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header14.xml" ContentType="application/vnd.openxmlformats-officedocument.wordprocessingml.header+xml"/>
  <Override PartName="/word/footer17.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16.xml" ContentType="application/vnd.openxmlformats-officedocument.wordprocessingml.header+xml"/>
  <Override PartName="/word/footer19.xml" ContentType="application/vnd.openxmlformats-officedocument.wordprocessingml.footer+xml"/>
  <Override PartName="/word/header17.xml" ContentType="application/vnd.openxmlformats-officedocument.wordprocessingml.header+xml"/>
  <Override PartName="/word/footer20.xml" ContentType="application/vnd.openxmlformats-officedocument.wordprocessingml.footer+xml"/>
  <Override PartName="/word/header18.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header19.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0.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1.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22.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23.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24.xml" ContentType="application/vnd.openxmlformats-officedocument.wordprocessingml.header+xml"/>
  <Override PartName="/word/footer36.xml" ContentType="application/vnd.openxmlformats-officedocument.wordprocessingml.footer+xml"/>
  <Override PartName="/word/header25.xml" ContentType="application/vnd.openxmlformats-officedocument.wordprocessingml.header+xml"/>
  <Override PartName="/word/footer37.xml" ContentType="application/vnd.openxmlformats-officedocument.wordprocessingml.footer+xml"/>
  <Override PartName="/word/header26.xml" ContentType="application/vnd.openxmlformats-officedocument.wordprocessingml.header+xml"/>
  <Override PartName="/word/footer38.xml" ContentType="application/vnd.openxmlformats-officedocument.wordprocessingml.footer+xml"/>
  <Override PartName="/word/header27.xml" ContentType="application/vnd.openxmlformats-officedocument.wordprocessingml.header+xml"/>
  <Override PartName="/word/footer39.xml" ContentType="application/vnd.openxmlformats-officedocument.wordprocessingml.footer+xml"/>
  <Override PartName="/word/header28.xml" ContentType="application/vnd.openxmlformats-officedocument.wordprocessingml.header+xml"/>
  <Override PartName="/word/footer40.xml" ContentType="application/vnd.openxmlformats-officedocument.wordprocessingml.footer+xml"/>
  <Override PartName="/word/header29.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30.xml" ContentType="application/vnd.openxmlformats-officedocument.wordprocessingml.header+xml"/>
  <Override PartName="/word/footer43.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33.xml" ContentType="application/vnd.openxmlformats-officedocument.wordprocessingml.header+xml"/>
  <Override PartName="/word/footer46.xml" ContentType="application/vnd.openxmlformats-officedocument.wordprocessingml.footer+xml"/>
  <Override PartName="/word/header34.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35.xml" ContentType="application/vnd.openxmlformats-officedocument.wordprocessingml.header+xml"/>
  <Override PartName="/word/footer49.xml" ContentType="application/vnd.openxmlformats-officedocument.wordprocessingml.footer+xml"/>
  <Override PartName="/word/header36.xml" ContentType="application/vnd.openxmlformats-officedocument.wordprocessingml.header+xml"/>
  <Override PartName="/word/footer50.xml" ContentType="application/vnd.openxmlformats-officedocument.wordprocessingml.footer+xml"/>
  <Override PartName="/word/header37.xml" ContentType="application/vnd.openxmlformats-officedocument.wordprocessingml.header+xml"/>
  <Override PartName="/word/footer51.xml" ContentType="application/vnd.openxmlformats-officedocument.wordprocessingml.footer+xml"/>
  <Override PartName="/word/footer52.xml" ContentType="application/vnd.openxmlformats-officedocument.wordprocessingml.footer+xml"/>
  <Override PartName="/word/header38.xml" ContentType="application/vnd.openxmlformats-officedocument.wordprocessingml.header+xml"/>
  <Override PartName="/word/footer53.xml" ContentType="application/vnd.openxmlformats-officedocument.wordprocessingml.footer+xml"/>
  <Override PartName="/word/header39.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header40.xml" ContentType="application/vnd.openxmlformats-officedocument.wordprocessingml.header+xml"/>
  <Override PartName="/word/footer56.xml" ContentType="application/vnd.openxmlformats-officedocument.wordprocessingml.footer+xml"/>
  <Override PartName="/word/footer57.xml" ContentType="application/vnd.openxmlformats-officedocument.wordprocessingml.footer+xml"/>
  <Override PartName="/word/header41.xml" ContentType="application/vnd.openxmlformats-officedocument.wordprocessingml.header+xml"/>
  <Override PartName="/word/footer58.xml" ContentType="application/vnd.openxmlformats-officedocument.wordprocessingml.footer+xml"/>
  <Override PartName="/word/header42.xml" ContentType="application/vnd.openxmlformats-officedocument.wordprocessingml.header+xml"/>
  <Override PartName="/word/footer59.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60.xml" ContentType="application/vnd.openxmlformats-officedocument.wordprocessingml.footer+xml"/>
  <Override PartName="/word/footer61.xml" ContentType="application/vnd.openxmlformats-officedocument.wordprocessingml.footer+xml"/>
  <Override PartName="/word/header45.xml" ContentType="application/vnd.openxmlformats-officedocument.wordprocessingml.header+xml"/>
  <Override PartName="/word/footer6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125A0" w14:textId="77777777" w:rsidR="00F67E9E" w:rsidRDefault="00F67E9E" w:rsidP="00F67E9E">
      <w:pPr>
        <w:pStyle w:val="Centered"/>
        <w:jc w:val="left"/>
      </w:pPr>
      <w:bookmarkStart w:id="0" w:name="_Hlk89700444"/>
      <w:r>
        <w:rPr>
          <w:noProof/>
        </w:rPr>
        <w:drawing>
          <wp:inline distT="0" distB="0" distL="0" distR="0" wp14:anchorId="42239DB6" wp14:editId="6B6625E2">
            <wp:extent cx="1381125" cy="72777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90698" cy="732822"/>
                    </a:xfrm>
                    <a:prstGeom prst="rect">
                      <a:avLst/>
                    </a:prstGeom>
                  </pic:spPr>
                </pic:pic>
              </a:graphicData>
            </a:graphic>
          </wp:inline>
        </w:drawing>
      </w:r>
      <w:r>
        <w:rPr>
          <w:noProof/>
        </w:rPr>
        <w:drawing>
          <wp:inline distT="0" distB="0" distL="0" distR="0" wp14:anchorId="48C835FA" wp14:editId="43CBA0CC">
            <wp:extent cx="1767032" cy="742829"/>
            <wp:effectExtent l="0" t="0" r="508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73262" cy="745448"/>
                    </a:xfrm>
                    <a:prstGeom prst="rect">
                      <a:avLst/>
                    </a:prstGeom>
                  </pic:spPr>
                </pic:pic>
              </a:graphicData>
            </a:graphic>
          </wp:inline>
        </w:drawing>
      </w:r>
    </w:p>
    <w:p w14:paraId="158D1FCD" w14:textId="77777777" w:rsidR="00F67E9E" w:rsidRDefault="00F67E9E" w:rsidP="00F67E9E">
      <w:pPr>
        <w:pStyle w:val="StdBodyText"/>
      </w:pPr>
    </w:p>
    <w:p w14:paraId="6209C98C" w14:textId="77777777" w:rsidR="00F67E9E" w:rsidRPr="00DB3A68" w:rsidRDefault="00F67E9E" w:rsidP="00F67E9E">
      <w:pPr>
        <w:pStyle w:val="BlankDocumentTitle"/>
        <w:rPr>
          <w:sz w:val="36"/>
          <w:szCs w:val="36"/>
        </w:rPr>
      </w:pPr>
      <w:r w:rsidRPr="00DB3A68">
        <w:rPr>
          <w:sz w:val="36"/>
          <w:szCs w:val="36"/>
        </w:rPr>
        <w:t>Model Services Agreement Combined Schedules</w:t>
      </w:r>
    </w:p>
    <w:p w14:paraId="2C85E40A" w14:textId="77777777" w:rsidR="00F67E9E" w:rsidRDefault="00F67E9E" w:rsidP="00F67E9E">
      <w:pPr>
        <w:pStyle w:val="StdBodyText"/>
      </w:pPr>
    </w:p>
    <w:p w14:paraId="278A27DB" w14:textId="77777777" w:rsidR="00F67E9E" w:rsidRPr="00D14151" w:rsidRDefault="00F67E9E" w:rsidP="00F67E9E">
      <w:pPr>
        <w:pStyle w:val="StdBodyTextBold"/>
        <w:rPr>
          <w:b w:val="0"/>
          <w:bCs/>
          <w:iCs/>
        </w:rPr>
      </w:pPr>
      <w:r w:rsidRPr="00D14151">
        <w:rPr>
          <w:b w:val="0"/>
          <w:bCs/>
          <w:iCs/>
        </w:rPr>
        <w:t xml:space="preserve">This agreement is issued by the Cabinet Office and is the copyright of the Crown. You may use and re-use the information within this agreement for commercial and non-commercial purposes without charge under the terms of the Open Government Licence v3.0, which is available at </w:t>
      </w:r>
      <w:hyperlink r:id="rId11" w:history="1">
        <w:r w:rsidRPr="00D14151">
          <w:rPr>
            <w:rStyle w:val="Hyperlink"/>
            <w:b w:val="0"/>
            <w:bCs/>
            <w:iCs/>
          </w:rPr>
          <w:t>http://www.nationalarchives.gov.uk/doc/open-government-licence/version/3/</w:t>
        </w:r>
      </w:hyperlink>
      <w:r w:rsidRPr="00D14151">
        <w:rPr>
          <w:b w:val="0"/>
          <w:bCs/>
          <w:iCs/>
        </w:rPr>
        <w:t>. When you use any information within this agreement, you should include the following attribution, “Contains public sector information licensed under the Open Government Licence v3.0”, and include a link to the Open Government Licence.</w:t>
      </w:r>
    </w:p>
    <w:p w14:paraId="7A27B653" w14:textId="77777777" w:rsidR="00F67E9E" w:rsidRPr="00D14151" w:rsidRDefault="00F67E9E" w:rsidP="00F67E9E">
      <w:pPr>
        <w:pStyle w:val="StdBodyTextBold"/>
        <w:rPr>
          <w:b w:val="0"/>
          <w:bCs/>
          <w:iCs/>
        </w:rPr>
      </w:pPr>
      <w:r w:rsidRPr="00D14151">
        <w:rPr>
          <w:b w:val="0"/>
          <w:bCs/>
          <w:iCs/>
        </w:rPr>
        <w:t xml:space="preserve">For further information on Crown copyright policy and licensing arrangements, see </w:t>
      </w:r>
      <w:hyperlink r:id="rId12" w:history="1">
        <w:r w:rsidRPr="00D14151">
          <w:rPr>
            <w:rStyle w:val="Hyperlink"/>
            <w:rFonts w:eastAsiaTheme="majorEastAsia"/>
            <w:b w:val="0"/>
            <w:bCs/>
            <w:iCs/>
          </w:rPr>
          <w:t>UK Government Licensing Framework - Re-using PSI (nationalarchives.gov.uk)</w:t>
        </w:r>
      </w:hyperlink>
      <w:r w:rsidRPr="00D14151">
        <w:rPr>
          <w:b w:val="0"/>
          <w:bCs/>
          <w:iCs/>
        </w:rPr>
        <w:t xml:space="preserve"> or you can contact the Information Policy Team at </w:t>
      </w:r>
      <w:hyperlink r:id="rId13" w:history="1">
        <w:r w:rsidRPr="00D14151">
          <w:rPr>
            <w:rStyle w:val="Hyperlink"/>
            <w:rFonts w:eastAsiaTheme="majorEastAsia"/>
            <w:b w:val="0"/>
            <w:bCs/>
            <w:iCs/>
          </w:rPr>
          <w:t>Public sector information enquiry - Contact us (nationalarchives.gov.uk)</w:t>
        </w:r>
      </w:hyperlink>
    </w:p>
    <w:p w14:paraId="608A9014" w14:textId="77777777" w:rsidR="00F67E9E" w:rsidRPr="00D14151" w:rsidRDefault="00F67E9E" w:rsidP="00F67E9E">
      <w:pPr>
        <w:pStyle w:val="StdBodyTextBold"/>
      </w:pPr>
      <w:r w:rsidRPr="00D14151">
        <w:t>No warranty is given by the Cabinet Office (or any other part of the Crown) as to the completeness of this document or its suitability for any purpose. This document is intended to be used only with legal advice and all users of this document do so at their own risk.</w:t>
      </w:r>
    </w:p>
    <w:p w14:paraId="3EC627E8" w14:textId="77777777" w:rsidR="00F67E9E" w:rsidRPr="00BD4EF0" w:rsidRDefault="00F67E9E" w:rsidP="00F67E9E">
      <w:pPr>
        <w:pStyle w:val="StdBodyTextBold"/>
        <w:rPr>
          <w:u w:val="single"/>
        </w:rPr>
      </w:pPr>
      <w:r w:rsidRPr="00BD4EF0">
        <w:rPr>
          <w:u w:val="single"/>
        </w:rPr>
        <w:t>Amendments in this version</w:t>
      </w:r>
    </w:p>
    <w:tbl>
      <w:tblPr>
        <w:tblStyle w:val="MSATable-header"/>
        <w:tblW w:w="10205" w:type="dxa"/>
        <w:tblLook w:val="04A0" w:firstRow="1" w:lastRow="0" w:firstColumn="1" w:lastColumn="0" w:noHBand="0" w:noVBand="1"/>
      </w:tblPr>
      <w:tblGrid>
        <w:gridCol w:w="2181"/>
        <w:gridCol w:w="2021"/>
        <w:gridCol w:w="5963"/>
        <w:gridCol w:w="40"/>
      </w:tblGrid>
      <w:tr w:rsidR="00F67E9E" w:rsidRPr="00BA6055" w14:paraId="697844D6" w14:textId="77777777" w:rsidTr="007F74AA">
        <w:trPr>
          <w:cnfStyle w:val="100000000000" w:firstRow="1" w:lastRow="0" w:firstColumn="0" w:lastColumn="0" w:oddVBand="0" w:evenVBand="0" w:oddHBand="0" w:evenHBand="0" w:firstRowFirstColumn="0" w:firstRowLastColumn="0" w:lastRowFirstColumn="0" w:lastRowLastColumn="0"/>
          <w:tblHeader/>
        </w:trPr>
        <w:tc>
          <w:tcPr>
            <w:tcW w:w="2181" w:type="dxa"/>
          </w:tcPr>
          <w:p w14:paraId="52F5C48C" w14:textId="77777777" w:rsidR="00F67E9E" w:rsidRPr="00BA6055" w:rsidRDefault="00F67E9E" w:rsidP="007F74AA">
            <w:pPr>
              <w:pStyle w:val="StdBodyTextBold"/>
              <w:spacing w:before="0" w:after="0"/>
              <w:rPr>
                <w:b/>
                <w:bCs/>
              </w:rPr>
            </w:pPr>
            <w:r w:rsidRPr="00BA6055">
              <w:rPr>
                <w:b/>
                <w:bCs/>
              </w:rPr>
              <w:t>Version number</w:t>
            </w:r>
          </w:p>
        </w:tc>
        <w:tc>
          <w:tcPr>
            <w:tcW w:w="2021" w:type="dxa"/>
          </w:tcPr>
          <w:p w14:paraId="398223D3" w14:textId="77777777" w:rsidR="00F67E9E" w:rsidRPr="00BA6055" w:rsidRDefault="00F67E9E" w:rsidP="007F74AA">
            <w:pPr>
              <w:pStyle w:val="StdBodyTextBold"/>
              <w:spacing w:before="0" w:after="0"/>
              <w:rPr>
                <w:b/>
                <w:bCs/>
              </w:rPr>
            </w:pPr>
            <w:r w:rsidRPr="00BA6055">
              <w:rPr>
                <w:b/>
                <w:bCs/>
              </w:rPr>
              <w:t>Date</w:t>
            </w:r>
          </w:p>
        </w:tc>
        <w:tc>
          <w:tcPr>
            <w:tcW w:w="6003" w:type="dxa"/>
            <w:gridSpan w:val="2"/>
          </w:tcPr>
          <w:p w14:paraId="50A51DE2" w14:textId="77777777" w:rsidR="00F67E9E" w:rsidRPr="00BA6055" w:rsidRDefault="00F67E9E" w:rsidP="007F74AA">
            <w:pPr>
              <w:pStyle w:val="StdBodyTextBold"/>
              <w:spacing w:before="0" w:after="0"/>
              <w:rPr>
                <w:b/>
                <w:bCs/>
              </w:rPr>
            </w:pPr>
            <w:r w:rsidRPr="00BA6055">
              <w:rPr>
                <w:b/>
                <w:bCs/>
              </w:rPr>
              <w:t>Amendments</w:t>
            </w:r>
          </w:p>
        </w:tc>
      </w:tr>
      <w:tr w:rsidR="00F67E9E" w:rsidRPr="00BD4EF0" w14:paraId="24EE09A4" w14:textId="77777777" w:rsidTr="007F74AA">
        <w:tc>
          <w:tcPr>
            <w:tcW w:w="2181" w:type="dxa"/>
          </w:tcPr>
          <w:p w14:paraId="45F5A87F" w14:textId="77777777" w:rsidR="00F67E9E" w:rsidRPr="00724541" w:rsidRDefault="00F67E9E" w:rsidP="007F74AA">
            <w:pPr>
              <w:pStyle w:val="StdBodyText"/>
              <w:spacing w:before="0" w:after="0"/>
            </w:pPr>
            <w:r w:rsidRPr="00724541">
              <w:t>Version 1.02</w:t>
            </w:r>
          </w:p>
        </w:tc>
        <w:tc>
          <w:tcPr>
            <w:tcW w:w="2021" w:type="dxa"/>
          </w:tcPr>
          <w:p w14:paraId="7C4DF968" w14:textId="77777777" w:rsidR="00F67E9E" w:rsidRPr="00724541" w:rsidRDefault="00F67E9E" w:rsidP="007F74AA">
            <w:pPr>
              <w:pStyle w:val="StdBodyText"/>
              <w:spacing w:before="0" w:after="0"/>
            </w:pPr>
            <w:r w:rsidRPr="00724541">
              <w:t xml:space="preserve">5 June 2014 </w:t>
            </w:r>
          </w:p>
        </w:tc>
        <w:tc>
          <w:tcPr>
            <w:tcW w:w="6003" w:type="dxa"/>
            <w:gridSpan w:val="2"/>
          </w:tcPr>
          <w:p w14:paraId="566612DA" w14:textId="77777777" w:rsidR="00F67E9E" w:rsidRPr="00724541" w:rsidRDefault="00F67E9E" w:rsidP="007F74AA">
            <w:pPr>
              <w:pStyle w:val="StdBodyText"/>
              <w:spacing w:before="0" w:after="0"/>
            </w:pPr>
            <w:r w:rsidRPr="00724541">
              <w:t xml:space="preserve">Minor formatting changes and correcting paragraph numbering in </w:t>
            </w:r>
            <w:bookmarkStart w:id="1" w:name="_9kMHG5YVtCIA6CJhvlol2BweOp7s9PEHYS57827"/>
            <w:bookmarkStart w:id="2" w:name="_9kMHG5YVtCIA6CKivlol2BweOp7s9PEHYS57827"/>
            <w:r w:rsidRPr="00724541">
              <w:t xml:space="preserve">Schedules </w:t>
            </w:r>
            <w:bookmarkStart w:id="3" w:name="_9kMHG5YVt4BB79Dfvlol2BweOp7s9PEHYS57827"/>
            <w:r w:rsidRPr="00724541">
              <w:t>2.4</w:t>
            </w:r>
            <w:bookmarkEnd w:id="1"/>
            <w:bookmarkEnd w:id="2"/>
            <w:bookmarkEnd w:id="3"/>
            <w:r w:rsidRPr="00724541">
              <w:t xml:space="preserve"> </w:t>
            </w:r>
            <w:bookmarkStart w:id="4" w:name="_9kR3WTr2CC47CLCwoze"/>
            <w:r w:rsidRPr="00724541">
              <w:t xml:space="preserve">Annex </w:t>
            </w:r>
            <w:bookmarkEnd w:id="4"/>
            <w:r w:rsidRPr="00724541">
              <w:t xml:space="preserve">1 and </w:t>
            </w:r>
            <w:bookmarkStart w:id="5" w:name="_9kR3WTr2CC47FLI"/>
            <w:r w:rsidRPr="00724541">
              <w:t>7.3</w:t>
            </w:r>
            <w:bookmarkEnd w:id="5"/>
            <w:r w:rsidRPr="00724541">
              <w:t xml:space="preserve"> Annex 2.</w:t>
            </w:r>
          </w:p>
        </w:tc>
      </w:tr>
      <w:tr w:rsidR="00F67E9E" w:rsidRPr="00BD4EF0" w14:paraId="6F1EA17A" w14:textId="77777777" w:rsidTr="007F74AA">
        <w:tc>
          <w:tcPr>
            <w:tcW w:w="2181" w:type="dxa"/>
          </w:tcPr>
          <w:p w14:paraId="5AF4A740" w14:textId="77777777" w:rsidR="00F67E9E" w:rsidRPr="00724541" w:rsidRDefault="00F67E9E" w:rsidP="007F74AA">
            <w:pPr>
              <w:pStyle w:val="StdBodyText"/>
              <w:spacing w:before="0" w:after="0"/>
            </w:pPr>
            <w:r w:rsidRPr="00724541">
              <w:t>Version 1.03</w:t>
            </w:r>
          </w:p>
        </w:tc>
        <w:tc>
          <w:tcPr>
            <w:tcW w:w="2021" w:type="dxa"/>
          </w:tcPr>
          <w:p w14:paraId="76C137CF" w14:textId="77777777" w:rsidR="00F67E9E" w:rsidRPr="00724541" w:rsidRDefault="00F67E9E" w:rsidP="007F74AA">
            <w:pPr>
              <w:pStyle w:val="StdBodyText"/>
              <w:spacing w:before="0" w:after="0"/>
            </w:pPr>
            <w:r w:rsidRPr="00724541">
              <w:t>5 November 2015</w:t>
            </w:r>
          </w:p>
        </w:tc>
        <w:tc>
          <w:tcPr>
            <w:tcW w:w="6003" w:type="dxa"/>
            <w:gridSpan w:val="2"/>
          </w:tcPr>
          <w:p w14:paraId="6D87002D" w14:textId="77777777" w:rsidR="00F67E9E" w:rsidRPr="00724541" w:rsidRDefault="00F67E9E" w:rsidP="007F74AA">
            <w:pPr>
              <w:pStyle w:val="StdBodyText"/>
              <w:spacing w:before="0" w:after="0"/>
            </w:pPr>
            <w:bookmarkStart w:id="6" w:name="_9kMHG5YVtCIA6DEbvlol2BweMk4797KJ3580ABM"/>
            <w:bookmarkStart w:id="7" w:name="_9kMHG5YVtCIA6DIfvlol2BweMk4797KJ3580ABM"/>
            <w:r w:rsidRPr="00724541">
              <w:t>Schedule 2.2</w:t>
            </w:r>
            <w:bookmarkEnd w:id="6"/>
            <w:bookmarkEnd w:id="7"/>
            <w:r w:rsidRPr="00724541">
              <w:t xml:space="preserve"> definitions of Availability and Service Availability; </w:t>
            </w:r>
            <w:bookmarkStart w:id="8" w:name="_9kMIH5YVtCIA6CJhvlol2BweOp7s9PEHYS57827"/>
            <w:bookmarkStart w:id="9" w:name="_9kMIH5YVtCIA6CKivlol2BweOp7s9PEHYS57827"/>
            <w:r w:rsidRPr="00724541">
              <w:t xml:space="preserve">Schedule </w:t>
            </w:r>
            <w:bookmarkStart w:id="10" w:name="_9kMIH5YVt4BB79Dfvlol2BweOp7s9PEHYS57827"/>
            <w:r w:rsidRPr="00724541">
              <w:t>2.4</w:t>
            </w:r>
            <w:bookmarkEnd w:id="8"/>
            <w:bookmarkEnd w:id="9"/>
            <w:bookmarkEnd w:id="10"/>
            <w:r w:rsidRPr="00724541">
              <w:t xml:space="preserve"> new definitions in Security Management Schedule; </w:t>
            </w:r>
            <w:bookmarkStart w:id="11" w:name="_9kMHG5YVtCIA6DHevlol2BwkTZwCKNSDCDFQKRa"/>
            <w:r w:rsidRPr="00724541">
              <w:t>Schedule 8.3</w:t>
            </w:r>
            <w:bookmarkEnd w:id="11"/>
            <w:r w:rsidRPr="00724541">
              <w:t xml:space="preserve"> model mediation agreement; </w:t>
            </w:r>
            <w:bookmarkStart w:id="12" w:name="_9kMHG5YVtCIA6DLivlol2BwkVcCHEJ134y3ABDT"/>
            <w:r w:rsidRPr="00724541">
              <w:t xml:space="preserve">Schedule </w:t>
            </w:r>
            <w:bookmarkStart w:id="13" w:name="_9kMHG5YVt4BDAAAcLhkhy7sGVcCHEJ134y3ABDT"/>
            <w:r w:rsidRPr="00724541">
              <w:t>8.5</w:t>
            </w:r>
            <w:bookmarkEnd w:id="12"/>
            <w:bookmarkEnd w:id="13"/>
            <w:r w:rsidRPr="00724541">
              <w:t xml:space="preserve"> </w:t>
            </w:r>
            <w:bookmarkStart w:id="14" w:name="_9kR3WTr2BB4CDwkno5O"/>
            <w:r w:rsidRPr="00724541">
              <w:t>para 7.5</w:t>
            </w:r>
            <w:bookmarkEnd w:id="14"/>
            <w:r w:rsidRPr="00724541">
              <w:t xml:space="preserve"> to allow normal recruitment; </w:t>
            </w:r>
            <w:bookmarkStart w:id="15" w:name="_9kMHG5YVtCIA6EIevlol2BwlSmM5syDQ85OH4H"/>
            <w:r w:rsidRPr="00724541">
              <w:t xml:space="preserve">Schedule </w:t>
            </w:r>
            <w:bookmarkEnd w:id="15"/>
            <w:r w:rsidRPr="00724541">
              <w:rPr>
                <w:rFonts w:cs="Arial"/>
                <w:szCs w:val="20"/>
              </w:rPr>
              <w:t>9</w:t>
            </w:r>
            <w:r w:rsidRPr="00724541">
              <w:t xml:space="preserve"> Pensions Annexes additions in event Admission Agreement breached; various minor typing corrections; improved numbering and headings in Schedules.</w:t>
            </w:r>
          </w:p>
        </w:tc>
      </w:tr>
      <w:tr w:rsidR="00F67E9E" w:rsidRPr="00BD4EF0" w14:paraId="6D04E9BB" w14:textId="77777777" w:rsidTr="007F74AA">
        <w:tc>
          <w:tcPr>
            <w:tcW w:w="2181" w:type="dxa"/>
          </w:tcPr>
          <w:p w14:paraId="0525AB27" w14:textId="77777777" w:rsidR="00F67E9E" w:rsidRPr="00724541" w:rsidRDefault="00F67E9E" w:rsidP="007F74AA">
            <w:pPr>
              <w:pStyle w:val="StdBodyText"/>
              <w:spacing w:before="0" w:after="0"/>
            </w:pPr>
            <w:r w:rsidRPr="00724541">
              <w:t>Version 1.04</w:t>
            </w:r>
          </w:p>
        </w:tc>
        <w:tc>
          <w:tcPr>
            <w:tcW w:w="2021" w:type="dxa"/>
          </w:tcPr>
          <w:p w14:paraId="1123A4F4" w14:textId="77777777" w:rsidR="00F67E9E" w:rsidRPr="00724541" w:rsidRDefault="00F67E9E" w:rsidP="007F74AA">
            <w:pPr>
              <w:pStyle w:val="StdBodyText"/>
              <w:spacing w:before="0" w:after="0"/>
            </w:pPr>
            <w:r w:rsidRPr="00724541">
              <w:t>26 May 2016</w:t>
            </w:r>
          </w:p>
        </w:tc>
        <w:tc>
          <w:tcPr>
            <w:tcW w:w="6003" w:type="dxa"/>
            <w:gridSpan w:val="2"/>
          </w:tcPr>
          <w:p w14:paraId="1F7BD772" w14:textId="77777777" w:rsidR="00F67E9E" w:rsidRPr="00724541" w:rsidRDefault="00F67E9E" w:rsidP="007F74AA">
            <w:pPr>
              <w:pStyle w:val="StdBodyText"/>
              <w:spacing w:before="0" w:after="0"/>
            </w:pPr>
            <w:bookmarkStart w:id="16" w:name="_9kMIH5YVtCIA6DHevlol2BwkTZwCKNSDCDFQKRa"/>
            <w:r w:rsidRPr="00724541">
              <w:t>Schedule 8.3</w:t>
            </w:r>
            <w:bookmarkEnd w:id="16"/>
            <w:r w:rsidRPr="00724541">
              <w:t xml:space="preserve"> minor amendments; </w:t>
            </w:r>
            <w:bookmarkStart w:id="17" w:name="_9kMHG5YVtCIA6ELhvlol2BwkUo65GJPR959EG2D"/>
            <w:r w:rsidRPr="00724541">
              <w:t>Schedule 8.4</w:t>
            </w:r>
            <w:bookmarkEnd w:id="17"/>
            <w:r w:rsidRPr="00724541">
              <w:t xml:space="preserve"> addition of Transparency Reports; other minor amendments.</w:t>
            </w:r>
          </w:p>
        </w:tc>
      </w:tr>
      <w:tr w:rsidR="00F67E9E" w:rsidRPr="00BD4EF0" w14:paraId="6C87967D" w14:textId="77777777" w:rsidTr="007F74AA">
        <w:tc>
          <w:tcPr>
            <w:tcW w:w="2181" w:type="dxa"/>
          </w:tcPr>
          <w:p w14:paraId="7087A969" w14:textId="77777777" w:rsidR="00F67E9E" w:rsidRPr="00724541" w:rsidRDefault="00F67E9E" w:rsidP="007F74AA">
            <w:pPr>
              <w:pStyle w:val="StdBodyText"/>
              <w:spacing w:before="0" w:after="0"/>
            </w:pPr>
            <w:r w:rsidRPr="00724541">
              <w:t>Version 1.05</w:t>
            </w:r>
          </w:p>
        </w:tc>
        <w:tc>
          <w:tcPr>
            <w:tcW w:w="2021" w:type="dxa"/>
          </w:tcPr>
          <w:p w14:paraId="1F7B125D" w14:textId="77777777" w:rsidR="00F67E9E" w:rsidRPr="00724541" w:rsidRDefault="00F67E9E" w:rsidP="007F74AA">
            <w:pPr>
              <w:pStyle w:val="StdBodyText"/>
              <w:spacing w:before="0" w:after="0"/>
            </w:pPr>
            <w:r w:rsidRPr="00724541">
              <w:t>1 January 2018</w:t>
            </w:r>
          </w:p>
        </w:tc>
        <w:tc>
          <w:tcPr>
            <w:tcW w:w="6003" w:type="dxa"/>
            <w:gridSpan w:val="2"/>
          </w:tcPr>
          <w:p w14:paraId="4F7C3EF1" w14:textId="77777777" w:rsidR="00F67E9E" w:rsidRPr="00724541" w:rsidRDefault="00F67E9E" w:rsidP="007F74AA">
            <w:pPr>
              <w:pStyle w:val="StdBodyText"/>
              <w:spacing w:before="0" w:after="0"/>
            </w:pPr>
            <w:r w:rsidRPr="00724541">
              <w:t xml:space="preserve">Introduction of Privacy Shield; minor corrections; improvements to </w:t>
            </w:r>
            <w:bookmarkStart w:id="18" w:name="_9kMHG5YVtCIA6EMQo2u5uINXK2vzz6H24KQPC74"/>
            <w:r w:rsidRPr="00724541">
              <w:t>clauses 16</w:t>
            </w:r>
            <w:bookmarkEnd w:id="18"/>
            <w:r w:rsidRPr="00724541">
              <w:t>,</w:t>
            </w:r>
            <w:bookmarkStart w:id="19" w:name="_9kMHG5YVtCIA9INQEyq1QIOYK215HLFzyH737vD"/>
            <w:r w:rsidRPr="00724541">
              <w:t>17</w:t>
            </w:r>
            <w:bookmarkEnd w:id="19"/>
            <w:r w:rsidRPr="00724541">
              <w:t xml:space="preserve"> and 19A and to </w:t>
            </w:r>
            <w:bookmarkStart w:id="20" w:name="_9kMIH5YVtCIA6EIevlol2BwlSmM5syDQ85OH4H"/>
            <w:r w:rsidRPr="00724541">
              <w:t xml:space="preserve">Schedule </w:t>
            </w:r>
            <w:bookmarkEnd w:id="20"/>
            <w:r w:rsidRPr="00724541">
              <w:rPr>
                <w:rFonts w:cs="Arial"/>
                <w:szCs w:val="20"/>
              </w:rPr>
              <w:t>9</w:t>
            </w:r>
            <w:r w:rsidRPr="00724541">
              <w:t xml:space="preserve">; introduction of e-invoicing in </w:t>
            </w:r>
            <w:bookmarkStart w:id="21" w:name="_9kMHG5YVtCIA6FGbvlol2BwjQWut4BzC9595GUW"/>
            <w:r w:rsidRPr="00724541">
              <w:t>Schedule</w:t>
            </w:r>
            <w:bookmarkEnd w:id="21"/>
            <w:r>
              <w:t> </w:t>
            </w:r>
            <w:r w:rsidRPr="00724541">
              <w:rPr>
                <w:rFonts w:cs="Arial"/>
                <w:szCs w:val="20"/>
              </w:rPr>
              <w:t>7</w:t>
            </w:r>
            <w:r w:rsidRPr="00724541">
              <w:t xml:space="preserve"> </w:t>
            </w:r>
            <w:bookmarkStart w:id="22" w:name="_9kR3WTr2BB89EeEn7V"/>
            <w:r w:rsidRPr="00724541">
              <w:lastRenderedPageBreak/>
              <w:t>Part E</w:t>
            </w:r>
            <w:bookmarkEnd w:id="22"/>
            <w:r w:rsidRPr="00724541">
              <w:t>; front cover amended to reflect open government licence terms.</w:t>
            </w:r>
          </w:p>
        </w:tc>
      </w:tr>
      <w:tr w:rsidR="00F67E9E" w:rsidRPr="00BD4EF0" w14:paraId="17A527D8" w14:textId="77777777" w:rsidTr="007F74AA">
        <w:tc>
          <w:tcPr>
            <w:tcW w:w="2181" w:type="dxa"/>
          </w:tcPr>
          <w:p w14:paraId="28A52BAD" w14:textId="77777777" w:rsidR="00F67E9E" w:rsidRPr="00BD4EF0" w:rsidRDefault="00F67E9E" w:rsidP="007F74AA">
            <w:pPr>
              <w:pStyle w:val="StdBodyText"/>
              <w:spacing w:before="0" w:after="0"/>
            </w:pPr>
            <w:r w:rsidRPr="00BD4EF0">
              <w:lastRenderedPageBreak/>
              <w:t>Version 1.06</w:t>
            </w:r>
          </w:p>
        </w:tc>
        <w:tc>
          <w:tcPr>
            <w:tcW w:w="2021" w:type="dxa"/>
          </w:tcPr>
          <w:p w14:paraId="638965D6" w14:textId="77777777" w:rsidR="00F67E9E" w:rsidRPr="00BD4EF0" w:rsidRDefault="00F67E9E" w:rsidP="007F74AA">
            <w:pPr>
              <w:pStyle w:val="StdBodyText"/>
              <w:spacing w:before="0" w:after="0"/>
            </w:pPr>
            <w:r w:rsidRPr="00BD4EF0">
              <w:t>30 July 2018</w:t>
            </w:r>
          </w:p>
        </w:tc>
        <w:tc>
          <w:tcPr>
            <w:tcW w:w="6003" w:type="dxa"/>
            <w:gridSpan w:val="2"/>
          </w:tcPr>
          <w:p w14:paraId="2914A25A" w14:textId="77777777" w:rsidR="00F67E9E" w:rsidRPr="00D10A05" w:rsidRDefault="00F67E9E" w:rsidP="007F74AA">
            <w:pPr>
              <w:pStyle w:val="StdBodyText"/>
              <w:spacing w:before="0" w:after="0"/>
            </w:pPr>
            <w:r w:rsidRPr="00D10A05">
              <w:t xml:space="preserve">Update to </w:t>
            </w:r>
            <w:bookmarkStart w:id="23" w:name="_9kMJI5YVtCIA6CJhvlol2BweOp7s9PEHYS57827"/>
            <w:bookmarkStart w:id="24" w:name="_9kMJI5YVtCIA6CKivlol2BweOp7s9PEHYS57827"/>
            <w:r w:rsidRPr="00D10A05">
              <w:t xml:space="preserve">Schedule </w:t>
            </w:r>
            <w:bookmarkStart w:id="25" w:name="_9kMJI5YVt4BB79Dfvlol2BweOp7s9PEHYS57827"/>
            <w:r w:rsidRPr="00D10A05">
              <w:t>2.4</w:t>
            </w:r>
            <w:bookmarkEnd w:id="23"/>
            <w:bookmarkEnd w:id="24"/>
            <w:bookmarkEnd w:id="25"/>
            <w:r w:rsidRPr="00D10A05">
              <w:t xml:space="preserve"> (</w:t>
            </w:r>
            <w:r w:rsidRPr="00215631">
              <w:rPr>
                <w:i/>
              </w:rPr>
              <w:t>Security Management</w:t>
            </w:r>
            <w:r w:rsidRPr="00D10A05">
              <w:t>), Staff Transfer 7.1 (</w:t>
            </w:r>
            <w:r w:rsidRPr="00215631">
              <w:rPr>
                <w:i/>
              </w:rPr>
              <w:t>Staff Transfer</w:t>
            </w:r>
            <w:r w:rsidRPr="00D10A05">
              <w:t xml:space="preserve">) including new Pensions Provisions for LGPS and NHS, </w:t>
            </w:r>
            <w:bookmarkStart w:id="26" w:name="_9kMHG5YVtCIA6FJevlol2BwdKjHH3uBQHDCFEHW"/>
            <w:r w:rsidRPr="00D10A05">
              <w:t xml:space="preserve">Schedule </w:t>
            </w:r>
            <w:bookmarkEnd w:id="26"/>
            <w:r w:rsidRPr="00D10A05">
              <w:rPr>
                <w:rFonts w:cs="Arial"/>
                <w:szCs w:val="20"/>
              </w:rPr>
              <w:t>11</w:t>
            </w:r>
            <w:r w:rsidRPr="00D10A05">
              <w:t xml:space="preserve"> (</w:t>
            </w:r>
            <w:r w:rsidRPr="00DE3E9C">
              <w:rPr>
                <w:i/>
                <w:iCs/>
              </w:rPr>
              <w:t>Processing Personal Data</w:t>
            </w:r>
            <w:r w:rsidRPr="00D10A05">
              <w:t>).</w:t>
            </w:r>
          </w:p>
        </w:tc>
      </w:tr>
      <w:tr w:rsidR="00F67E9E" w:rsidRPr="00BD4EF0" w14:paraId="117676BF" w14:textId="77777777" w:rsidTr="007F74AA">
        <w:tc>
          <w:tcPr>
            <w:tcW w:w="2181" w:type="dxa"/>
          </w:tcPr>
          <w:p w14:paraId="35F65872" w14:textId="77777777" w:rsidR="00F67E9E" w:rsidRPr="00BD4EF0" w:rsidRDefault="00F67E9E" w:rsidP="007F74AA">
            <w:pPr>
              <w:pStyle w:val="StdBodyText"/>
              <w:spacing w:before="0" w:after="0"/>
            </w:pPr>
            <w:r w:rsidRPr="00BD4EF0">
              <w:t>Version 1.07</w:t>
            </w:r>
          </w:p>
        </w:tc>
        <w:tc>
          <w:tcPr>
            <w:tcW w:w="2021" w:type="dxa"/>
          </w:tcPr>
          <w:p w14:paraId="46ABD220" w14:textId="77777777" w:rsidR="00F67E9E" w:rsidRPr="00BD4EF0" w:rsidRDefault="00F67E9E" w:rsidP="007F74AA">
            <w:pPr>
              <w:pStyle w:val="StdBodyText"/>
              <w:spacing w:before="0" w:after="0"/>
            </w:pPr>
            <w:r w:rsidRPr="00BD4EF0">
              <w:t>24</w:t>
            </w:r>
            <w:r>
              <w:t xml:space="preserve"> </w:t>
            </w:r>
            <w:r w:rsidRPr="00BD4EF0">
              <w:t>January 2019</w:t>
            </w:r>
          </w:p>
        </w:tc>
        <w:tc>
          <w:tcPr>
            <w:tcW w:w="6003" w:type="dxa"/>
            <w:gridSpan w:val="2"/>
          </w:tcPr>
          <w:p w14:paraId="48A8DEC1" w14:textId="77777777" w:rsidR="00F67E9E" w:rsidRPr="00D10A05" w:rsidRDefault="00F67E9E" w:rsidP="007F74AA">
            <w:pPr>
              <w:pStyle w:val="StdBodyText"/>
              <w:spacing w:before="0" w:after="0"/>
            </w:pPr>
            <w:r w:rsidRPr="00D10A05">
              <w:t xml:space="preserve">Update to </w:t>
            </w:r>
            <w:bookmarkStart w:id="27" w:name="_9kMIH5YVtCIA6FJevlol2BwdKjHH3uBQHDCFEHW"/>
            <w:r w:rsidRPr="00D10A05">
              <w:t>Schedule</w:t>
            </w:r>
            <w:r w:rsidRPr="00D10A05">
              <w:rPr>
                <w:szCs w:val="20"/>
              </w:rPr>
              <w:t xml:space="preserve"> </w:t>
            </w:r>
            <w:bookmarkEnd w:id="27"/>
            <w:r w:rsidRPr="00D10A05">
              <w:rPr>
                <w:rFonts w:cs="Arial"/>
                <w:szCs w:val="20"/>
              </w:rPr>
              <w:t>11</w:t>
            </w:r>
            <w:r w:rsidRPr="00D10A05">
              <w:t xml:space="preserve"> (</w:t>
            </w:r>
            <w:r w:rsidRPr="00DE3E9C">
              <w:rPr>
                <w:i/>
                <w:iCs/>
              </w:rPr>
              <w:t>Processing Data</w:t>
            </w:r>
            <w:r w:rsidRPr="00D10A05">
              <w:t>) – New annex on Joint Control.</w:t>
            </w:r>
          </w:p>
        </w:tc>
      </w:tr>
      <w:tr w:rsidR="00F67E9E" w:rsidRPr="00BD4EF0" w14:paraId="1A6AC20A" w14:textId="77777777" w:rsidTr="007F74AA">
        <w:tc>
          <w:tcPr>
            <w:tcW w:w="2181" w:type="dxa"/>
          </w:tcPr>
          <w:p w14:paraId="08B62EB1" w14:textId="77777777" w:rsidR="00F67E9E" w:rsidRPr="00724541" w:rsidRDefault="00F67E9E" w:rsidP="007F74AA">
            <w:pPr>
              <w:pStyle w:val="StdBodyText"/>
              <w:spacing w:before="0" w:after="0"/>
            </w:pPr>
            <w:r w:rsidRPr="00724541">
              <w:t>Version 1.08</w:t>
            </w:r>
          </w:p>
        </w:tc>
        <w:tc>
          <w:tcPr>
            <w:tcW w:w="2021" w:type="dxa"/>
          </w:tcPr>
          <w:p w14:paraId="502A03B5" w14:textId="77777777" w:rsidR="00F67E9E" w:rsidRPr="00724541" w:rsidRDefault="00F67E9E" w:rsidP="007F74AA">
            <w:pPr>
              <w:pStyle w:val="StdBodyText"/>
              <w:spacing w:before="0" w:after="0"/>
            </w:pPr>
            <w:r w:rsidRPr="00724541">
              <w:t>29 April 2019</w:t>
            </w:r>
          </w:p>
        </w:tc>
        <w:tc>
          <w:tcPr>
            <w:tcW w:w="6003" w:type="dxa"/>
            <w:gridSpan w:val="2"/>
          </w:tcPr>
          <w:p w14:paraId="76DD1490" w14:textId="77777777" w:rsidR="00F67E9E" w:rsidRPr="00724541" w:rsidRDefault="00F67E9E" w:rsidP="007F74AA">
            <w:pPr>
              <w:pStyle w:val="StdBodyText"/>
              <w:spacing w:before="0" w:after="0"/>
            </w:pPr>
            <w:r w:rsidRPr="00724541">
              <w:t xml:space="preserve">Update to </w:t>
            </w:r>
            <w:bookmarkStart w:id="28" w:name="_9kMIH5YVtCIA6DEbvlol2BweMk4797KJ3580ABM"/>
            <w:bookmarkStart w:id="29" w:name="_9kMIH5YVtCIA6DIfvlol2BweMk4797KJ3580ABM"/>
            <w:r w:rsidRPr="00724541">
              <w:t>Schedule 2.2</w:t>
            </w:r>
            <w:bookmarkEnd w:id="28"/>
            <w:bookmarkEnd w:id="29"/>
            <w:r w:rsidRPr="00724541">
              <w:t xml:space="preserve"> (</w:t>
            </w:r>
            <w:r w:rsidRPr="00215631">
              <w:rPr>
                <w:i/>
              </w:rPr>
              <w:t>Performance Levels</w:t>
            </w:r>
            <w:r w:rsidRPr="00724541">
              <w:t xml:space="preserve">), </w:t>
            </w:r>
            <w:bookmarkStart w:id="30" w:name="_9kMKJ5YVtCIA6CJhvlol2BweOp7s9PEHYS57827"/>
            <w:bookmarkStart w:id="31" w:name="_9kMKJ5YVtCIA6CKivlol2BweOp7s9PEHYS57827"/>
            <w:r w:rsidRPr="00724541">
              <w:t xml:space="preserve">Schedule </w:t>
            </w:r>
            <w:bookmarkStart w:id="32" w:name="_9kMKJ5YVt4BB79Dfvlol2BweOp7s9PEHYS57827"/>
            <w:r w:rsidRPr="00724541">
              <w:t>2.4</w:t>
            </w:r>
            <w:bookmarkEnd w:id="30"/>
            <w:bookmarkEnd w:id="31"/>
            <w:bookmarkEnd w:id="32"/>
            <w:r w:rsidRPr="00724541">
              <w:t xml:space="preserve"> (</w:t>
            </w:r>
            <w:r w:rsidRPr="00215631">
              <w:rPr>
                <w:i/>
              </w:rPr>
              <w:t>Security Management</w:t>
            </w:r>
            <w:r w:rsidRPr="00724541">
              <w:t xml:space="preserve">), </w:t>
            </w:r>
            <w:bookmarkStart w:id="33" w:name="_9kMHG5YVtCIA6FMhvlol2BwePg6HPP636yEFFWP"/>
            <w:r w:rsidRPr="00724541">
              <w:t>Schedule 2.5</w:t>
            </w:r>
            <w:bookmarkEnd w:id="33"/>
            <w:r w:rsidRPr="00724541">
              <w:t xml:space="preserve"> (</w:t>
            </w:r>
            <w:r w:rsidRPr="00215631">
              <w:rPr>
                <w:i/>
              </w:rPr>
              <w:t>Insurance Requirements</w:t>
            </w:r>
            <w:r w:rsidRPr="00724541">
              <w:t xml:space="preserve">), </w:t>
            </w:r>
            <w:bookmarkStart w:id="34" w:name="_9kMHG5YVtCIA6FPkvlol2BwhpG4ASA6B"/>
            <w:r w:rsidRPr="00724541">
              <w:t>Schedule 5</w:t>
            </w:r>
            <w:bookmarkEnd w:id="34"/>
            <w:r w:rsidRPr="00724541">
              <w:t xml:space="preserve"> (</w:t>
            </w:r>
            <w:r w:rsidRPr="00DE3E9C">
              <w:rPr>
                <w:i/>
                <w:iCs/>
              </w:rPr>
              <w:t>Software</w:t>
            </w:r>
            <w:r w:rsidRPr="00724541">
              <w:t xml:space="preserve">) - updated table only, </w:t>
            </w:r>
            <w:bookmarkStart w:id="35" w:name="_9kMHG5YVtCIA6GJdvlol2BwiQo88OFA9COOA13K"/>
            <w:r w:rsidRPr="00724541">
              <w:t>Schedule 6.2</w:t>
            </w:r>
            <w:bookmarkEnd w:id="35"/>
            <w:r w:rsidRPr="00724541">
              <w:t xml:space="preserve"> (</w:t>
            </w:r>
            <w:r w:rsidRPr="00215631">
              <w:rPr>
                <w:i/>
              </w:rPr>
              <w:t>Testing Procedures</w:t>
            </w:r>
            <w:r w:rsidRPr="00724541">
              <w:t xml:space="preserve">), </w:t>
            </w:r>
            <w:bookmarkStart w:id="36" w:name="_9kMIH5YVtCIA6FGbvlol2BwjQWut4BzC9595GUW"/>
            <w:r w:rsidRPr="00724541">
              <w:t>Schedule 7</w:t>
            </w:r>
            <w:bookmarkEnd w:id="36"/>
            <w:r w:rsidRPr="00724541">
              <w:t xml:space="preserve"> (</w:t>
            </w:r>
            <w:r w:rsidRPr="00DE3E9C">
              <w:rPr>
                <w:i/>
                <w:iCs/>
              </w:rPr>
              <w:t>Charges and Invoicing</w:t>
            </w:r>
            <w:r w:rsidRPr="00724541">
              <w:t xml:space="preserve">), </w:t>
            </w:r>
            <w:bookmarkStart w:id="37" w:name="_9kMHG5YVtCIA6GMgvlol2BwjTcy70140z375LXX"/>
            <w:r w:rsidRPr="00724541">
              <w:t>Schedule 7.4</w:t>
            </w:r>
            <w:bookmarkEnd w:id="37"/>
            <w:r w:rsidRPr="00724541">
              <w:t xml:space="preserve"> (</w:t>
            </w:r>
            <w:r w:rsidRPr="00215631">
              <w:rPr>
                <w:i/>
              </w:rPr>
              <w:t>Financial Distress</w:t>
            </w:r>
            <w:r w:rsidRPr="00724541">
              <w:t xml:space="preserve">), </w:t>
            </w:r>
            <w:bookmarkStart w:id="38" w:name="_9kMHG5YVtCIA6GPjvlol2BwjUdy70140z3LFEPS"/>
            <w:r w:rsidRPr="00724541">
              <w:t>Schedule 7.5</w:t>
            </w:r>
            <w:bookmarkEnd w:id="38"/>
            <w:r w:rsidRPr="00724541">
              <w:t xml:space="preserve"> (</w:t>
            </w:r>
            <w:r w:rsidRPr="00215631">
              <w:rPr>
                <w:i/>
              </w:rPr>
              <w:t>Financial Reports and Audit Rights</w:t>
            </w:r>
            <w:r w:rsidRPr="00724541">
              <w:t xml:space="preserve">) </w:t>
            </w:r>
            <w:bookmarkStart w:id="39" w:name="_9kMIH5YVtCIA6ELhvlol2BwkUo65GJPR959EG2D"/>
            <w:r w:rsidRPr="00724541">
              <w:t>Schedule 8.4</w:t>
            </w:r>
            <w:bookmarkEnd w:id="39"/>
            <w:r w:rsidRPr="00724541">
              <w:t xml:space="preserve"> (</w:t>
            </w:r>
            <w:r w:rsidRPr="00215631">
              <w:rPr>
                <w:i/>
              </w:rPr>
              <w:t>Reports and Records Provisions</w:t>
            </w:r>
            <w:r w:rsidRPr="00724541">
              <w:t xml:space="preserve">), </w:t>
            </w:r>
            <w:bookmarkStart w:id="40" w:name="_9kMIH5YVtCIA6DLivlol2BwkVcCHEJ134y3ABDT"/>
            <w:r w:rsidRPr="00724541">
              <w:t xml:space="preserve">Schedule </w:t>
            </w:r>
            <w:bookmarkStart w:id="41" w:name="_9kMIH5YVt4BDAAAcLhkhy7sGVcCHEJ134y3ABDT"/>
            <w:r w:rsidRPr="00724541">
              <w:t>8.5</w:t>
            </w:r>
            <w:bookmarkEnd w:id="40"/>
            <w:bookmarkEnd w:id="41"/>
            <w:r w:rsidRPr="00724541">
              <w:t xml:space="preserve"> (</w:t>
            </w:r>
            <w:r w:rsidRPr="00215631">
              <w:rPr>
                <w:i/>
              </w:rPr>
              <w:t>Exit Management</w:t>
            </w:r>
            <w:r w:rsidRPr="00724541">
              <w:t xml:space="preserve">), </w:t>
            </w:r>
            <w:bookmarkStart w:id="42" w:name="_9kMHG5YVtCIA789cvlol2BwkWr77PHzwx8KQMHU"/>
            <w:r w:rsidRPr="00724541">
              <w:t xml:space="preserve">Schedule </w:t>
            </w:r>
            <w:bookmarkStart w:id="43" w:name="_9kMHG5YVt4BDAA9bLhkhy7sGWr77PHzwx8KQMHU"/>
            <w:r w:rsidRPr="00724541">
              <w:t>8.6</w:t>
            </w:r>
            <w:bookmarkEnd w:id="42"/>
            <w:bookmarkEnd w:id="43"/>
            <w:r w:rsidRPr="00724541">
              <w:t xml:space="preserve"> (</w:t>
            </w:r>
            <w:r w:rsidRPr="00215631">
              <w:rPr>
                <w:i/>
              </w:rPr>
              <w:t>Service Continuity Plan and Corporate Resolution Planning</w:t>
            </w:r>
            <w:r w:rsidRPr="00724541">
              <w:t>).</w:t>
            </w:r>
          </w:p>
        </w:tc>
      </w:tr>
      <w:tr w:rsidR="00F67E9E" w:rsidRPr="00BD4EF0" w14:paraId="1FFC1BF8" w14:textId="77777777" w:rsidTr="007F74AA">
        <w:tc>
          <w:tcPr>
            <w:tcW w:w="2181" w:type="dxa"/>
          </w:tcPr>
          <w:p w14:paraId="0CA2B880" w14:textId="77777777" w:rsidR="00F67E9E" w:rsidRPr="00724541" w:rsidRDefault="00F67E9E" w:rsidP="007F74AA">
            <w:pPr>
              <w:pStyle w:val="StdBodyText"/>
              <w:spacing w:before="0" w:after="0"/>
            </w:pPr>
            <w:r w:rsidRPr="00724541">
              <w:t>Version 1.08A</w:t>
            </w:r>
          </w:p>
        </w:tc>
        <w:tc>
          <w:tcPr>
            <w:tcW w:w="2021" w:type="dxa"/>
          </w:tcPr>
          <w:p w14:paraId="598CC92F" w14:textId="77777777" w:rsidR="00F67E9E" w:rsidRPr="00724541" w:rsidRDefault="00F67E9E" w:rsidP="007F74AA">
            <w:pPr>
              <w:pStyle w:val="StdBodyText"/>
              <w:spacing w:before="0" w:after="0"/>
            </w:pPr>
            <w:r w:rsidRPr="00724541">
              <w:t>4 June 2019</w:t>
            </w:r>
          </w:p>
        </w:tc>
        <w:tc>
          <w:tcPr>
            <w:tcW w:w="6003" w:type="dxa"/>
            <w:gridSpan w:val="2"/>
          </w:tcPr>
          <w:p w14:paraId="090F033E" w14:textId="77777777" w:rsidR="00F67E9E" w:rsidRPr="00724541" w:rsidRDefault="00F67E9E" w:rsidP="007F74AA">
            <w:pPr>
              <w:pStyle w:val="StdBodyText"/>
              <w:spacing w:before="0" w:after="0"/>
            </w:pPr>
            <w:r w:rsidRPr="00724541">
              <w:t>Corrections to minor errors.</w:t>
            </w:r>
          </w:p>
        </w:tc>
      </w:tr>
      <w:tr w:rsidR="00F67E9E" w:rsidRPr="00BD4EF0" w14:paraId="3202B104" w14:textId="77777777" w:rsidTr="007F74AA">
        <w:tc>
          <w:tcPr>
            <w:tcW w:w="2181" w:type="dxa"/>
          </w:tcPr>
          <w:p w14:paraId="25C9C6A5" w14:textId="77777777" w:rsidR="00F67E9E" w:rsidRPr="00724541" w:rsidRDefault="00F67E9E" w:rsidP="007F74AA">
            <w:pPr>
              <w:pStyle w:val="StdBodyText"/>
              <w:spacing w:before="0" w:after="0"/>
            </w:pPr>
            <w:r w:rsidRPr="00724541">
              <w:t>Version 1.09</w:t>
            </w:r>
          </w:p>
        </w:tc>
        <w:tc>
          <w:tcPr>
            <w:tcW w:w="2021" w:type="dxa"/>
          </w:tcPr>
          <w:p w14:paraId="48D681B5" w14:textId="77777777" w:rsidR="00F67E9E" w:rsidRPr="00724541" w:rsidRDefault="00F67E9E" w:rsidP="007F74AA">
            <w:pPr>
              <w:pStyle w:val="StdBodyText"/>
              <w:spacing w:before="0" w:after="0"/>
            </w:pPr>
            <w:r w:rsidRPr="00724541">
              <w:t xml:space="preserve">10 July 2020 </w:t>
            </w:r>
            <w:r w:rsidRPr="00724541">
              <w:rPr>
                <w:caps/>
              </w:rPr>
              <w:t>continuously</w:t>
            </w:r>
            <w:r w:rsidRPr="00724541">
              <w:t xml:space="preserve"> </w:t>
            </w:r>
          </w:p>
        </w:tc>
        <w:tc>
          <w:tcPr>
            <w:tcW w:w="6003" w:type="dxa"/>
            <w:gridSpan w:val="2"/>
          </w:tcPr>
          <w:p w14:paraId="683AC775" w14:textId="77777777" w:rsidR="00F67E9E" w:rsidRPr="00724541" w:rsidRDefault="00F67E9E" w:rsidP="007F74AA">
            <w:pPr>
              <w:pStyle w:val="StdBodyText"/>
              <w:spacing w:before="0" w:after="0"/>
            </w:pPr>
            <w:r w:rsidRPr="00724541">
              <w:t xml:space="preserve">New Transparency KPIs inserted to the KPI tables at Annex 1 to </w:t>
            </w:r>
            <w:bookmarkStart w:id="44" w:name="_9kMJI5YVtCIA6DEbvlol2BweMk4797KJ3580ABM"/>
            <w:bookmarkStart w:id="45" w:name="_9kMJI5YVtCIA6DIfvlol2BweMk4797KJ3580ABM"/>
            <w:r w:rsidRPr="00724541">
              <w:t>Schedule 2.2</w:t>
            </w:r>
            <w:bookmarkEnd w:id="44"/>
            <w:bookmarkEnd w:id="45"/>
            <w:r w:rsidRPr="00724541">
              <w:t xml:space="preserve">. New environmental requirements annexed to </w:t>
            </w:r>
            <w:bookmarkStart w:id="46" w:name="_9kMHG5YVtCIA78Cfvlol2BweNoM504s7BD"/>
            <w:r w:rsidRPr="00724541">
              <w:t>Schedule 2.3</w:t>
            </w:r>
            <w:bookmarkEnd w:id="46"/>
            <w:r w:rsidRPr="00724541">
              <w:t xml:space="preserve">. New Assurance Process added to Security Management </w:t>
            </w:r>
            <w:bookmarkStart w:id="47" w:name="_9kMLK5YVtCIA6CJhvlol2BweOp7s9PEHYS57827"/>
            <w:bookmarkStart w:id="48" w:name="_9kMLK5YVtCIA6CKivlol2BweOp7s9PEHYS57827"/>
            <w:r w:rsidRPr="00724541">
              <w:t xml:space="preserve">Schedule </w:t>
            </w:r>
            <w:bookmarkStart w:id="49" w:name="_9kMLK5YVt4BB79Dfvlol2BweOp7s9PEHYS57827"/>
            <w:r w:rsidRPr="00724541">
              <w:t>2.4</w:t>
            </w:r>
            <w:bookmarkEnd w:id="47"/>
            <w:bookmarkEnd w:id="48"/>
            <w:bookmarkEnd w:id="49"/>
            <w:r w:rsidRPr="00724541">
              <w:t xml:space="preserve"> at Part A to supplement Accreditation Process.</w:t>
            </w:r>
            <w:r>
              <w:t xml:space="preserve"> </w:t>
            </w:r>
            <w:r w:rsidRPr="00724541">
              <w:t xml:space="preserve">New draft ethical wall agreement inserted at </w:t>
            </w:r>
            <w:bookmarkStart w:id="50" w:name="_9kMHG5YVtCIAADBKEyq1QU1zo889D3zs2PF5H73"/>
            <w:r w:rsidRPr="00724541">
              <w:t>Annex 2</w:t>
            </w:r>
            <w:bookmarkEnd w:id="50"/>
            <w:r w:rsidRPr="00724541">
              <w:t xml:space="preserve"> of </w:t>
            </w:r>
            <w:bookmarkStart w:id="51" w:name="_9kMJI5YVtCIA6DLivlol2BwkVcCHEJ134y3ABDT"/>
            <w:r w:rsidRPr="00724541">
              <w:t xml:space="preserve">Schedule </w:t>
            </w:r>
            <w:bookmarkStart w:id="52" w:name="_9kMJI5YVt4BDAAAcLhkhy7sGVcCHEJ134y3ABDT"/>
            <w:r w:rsidRPr="00724541">
              <w:t>8.5</w:t>
            </w:r>
            <w:bookmarkEnd w:id="51"/>
            <w:bookmarkEnd w:id="52"/>
            <w:r w:rsidRPr="00724541">
              <w:t>.</w:t>
            </w:r>
            <w:r>
              <w:t xml:space="preserve"> </w:t>
            </w:r>
            <w:r w:rsidRPr="00724541">
              <w:t xml:space="preserve">New TUPE staffing information tables inserted at </w:t>
            </w:r>
            <w:bookmarkStart w:id="53" w:name="_9kMHG5YVtCIAADENEyq1QjI1ouy762A8ANM6ENJ"/>
            <w:r w:rsidRPr="00724541">
              <w:t>Annex E2</w:t>
            </w:r>
            <w:bookmarkEnd w:id="53"/>
            <w:r w:rsidRPr="00724541">
              <w:t xml:space="preserve"> of </w:t>
            </w:r>
            <w:bookmarkStart w:id="54" w:name="_9kMJI5YVtCIA6EIevlol2BwlSmM5syDQ85OH4H"/>
            <w:r w:rsidRPr="00724541">
              <w:t>Schedule</w:t>
            </w:r>
            <w:r w:rsidRPr="00724541">
              <w:rPr>
                <w:szCs w:val="20"/>
              </w:rPr>
              <w:t xml:space="preserve"> </w:t>
            </w:r>
            <w:bookmarkEnd w:id="54"/>
            <w:r w:rsidRPr="00724541">
              <w:rPr>
                <w:rFonts w:cs="Arial"/>
                <w:szCs w:val="20"/>
              </w:rPr>
              <w:t>9</w:t>
            </w:r>
            <w:r w:rsidRPr="00724541">
              <w:t xml:space="preserve">. Updating of pensions provisions to reflect the requirements at </w:t>
            </w:r>
            <w:bookmarkStart w:id="55" w:name="_9kMHG5YVt4BD9HNhLhkhy7sHSMlR0Kh8A9OKHNS"/>
            <w:r w:rsidRPr="00724541">
              <w:t>Part D</w:t>
            </w:r>
            <w:bookmarkEnd w:id="55"/>
            <w:r w:rsidRPr="00724541">
              <w:t xml:space="preserve"> at </w:t>
            </w:r>
            <w:bookmarkStart w:id="56" w:name="_9kMKJ5YVtCIA6EIevlol2BwlSmM5syDQ85OH4H"/>
            <w:r w:rsidRPr="00724541">
              <w:t xml:space="preserve">Schedule </w:t>
            </w:r>
            <w:bookmarkEnd w:id="56"/>
            <w:r w:rsidRPr="00724541">
              <w:rPr>
                <w:rFonts w:cs="Arial"/>
                <w:szCs w:val="20"/>
              </w:rPr>
              <w:t>9</w:t>
            </w:r>
            <w:r w:rsidRPr="00724541">
              <w:t>.</w:t>
            </w:r>
            <w:r>
              <w:t xml:space="preserve"> </w:t>
            </w:r>
          </w:p>
        </w:tc>
      </w:tr>
      <w:tr w:rsidR="00F67E9E" w:rsidRPr="00BD4EF0" w14:paraId="640B749F" w14:textId="77777777" w:rsidTr="007F74AA">
        <w:tc>
          <w:tcPr>
            <w:tcW w:w="2181" w:type="dxa"/>
          </w:tcPr>
          <w:p w14:paraId="2C4DB44E" w14:textId="77777777" w:rsidR="00F67E9E" w:rsidRPr="00724541" w:rsidRDefault="00F67E9E" w:rsidP="007F74AA">
            <w:pPr>
              <w:pStyle w:val="StdBodyText"/>
              <w:spacing w:before="0" w:after="0"/>
            </w:pPr>
            <w:r w:rsidRPr="00724541">
              <w:t>Version 1.09A</w:t>
            </w:r>
          </w:p>
        </w:tc>
        <w:tc>
          <w:tcPr>
            <w:tcW w:w="2021" w:type="dxa"/>
          </w:tcPr>
          <w:p w14:paraId="3C0AE39C" w14:textId="77777777" w:rsidR="00F67E9E" w:rsidRPr="00724541" w:rsidRDefault="00F67E9E" w:rsidP="007F74AA">
            <w:pPr>
              <w:pStyle w:val="StdBodyText"/>
              <w:spacing w:before="0" w:after="0"/>
            </w:pPr>
            <w:r w:rsidRPr="00724541">
              <w:t>12 November 2020</w:t>
            </w:r>
          </w:p>
        </w:tc>
        <w:tc>
          <w:tcPr>
            <w:tcW w:w="6003" w:type="dxa"/>
            <w:gridSpan w:val="2"/>
          </w:tcPr>
          <w:p w14:paraId="08CAB842" w14:textId="77777777" w:rsidR="00F67E9E" w:rsidRPr="00724541" w:rsidRDefault="00F67E9E" w:rsidP="007F74AA">
            <w:pPr>
              <w:pStyle w:val="StdBodyText"/>
              <w:spacing w:before="0" w:after="0"/>
            </w:pPr>
            <w:r w:rsidRPr="00724541">
              <w:t xml:space="preserve">New list of schedules inserted. New Standard Contract Clauses added to Schedule </w:t>
            </w:r>
            <w:r w:rsidRPr="00724541">
              <w:rPr>
                <w:rFonts w:cs="Arial"/>
                <w:szCs w:val="20"/>
              </w:rPr>
              <w:t>11</w:t>
            </w:r>
            <w:r w:rsidRPr="00724541">
              <w:t xml:space="preserve"> at Annex 2 and Annex 3.</w:t>
            </w:r>
          </w:p>
        </w:tc>
      </w:tr>
      <w:tr w:rsidR="00F67E9E" w:rsidRPr="00BD4EF0" w14:paraId="395C04F0" w14:textId="77777777" w:rsidTr="007F74AA">
        <w:tc>
          <w:tcPr>
            <w:tcW w:w="2181" w:type="dxa"/>
          </w:tcPr>
          <w:p w14:paraId="2685DDE4" w14:textId="77777777" w:rsidR="00F67E9E" w:rsidRDefault="00F67E9E" w:rsidP="007F74AA">
            <w:pPr>
              <w:pStyle w:val="StdBodyText"/>
              <w:keepNext/>
              <w:spacing w:before="0" w:after="0"/>
            </w:pPr>
            <w:r>
              <w:lastRenderedPageBreak/>
              <w:t>Version 2.0</w:t>
            </w:r>
          </w:p>
        </w:tc>
        <w:tc>
          <w:tcPr>
            <w:tcW w:w="2021" w:type="dxa"/>
          </w:tcPr>
          <w:p w14:paraId="789E3D68" w14:textId="77777777" w:rsidR="00F67E9E" w:rsidRDefault="00F67E9E" w:rsidP="007F74AA">
            <w:pPr>
              <w:pStyle w:val="StdBodyText"/>
              <w:keepNext/>
              <w:spacing w:before="0" w:after="0"/>
            </w:pPr>
            <w:r>
              <w:t xml:space="preserve">11 April </w:t>
            </w:r>
            <w:r w:rsidRPr="00D10A05">
              <w:t>2022</w:t>
            </w:r>
          </w:p>
        </w:tc>
        <w:tc>
          <w:tcPr>
            <w:tcW w:w="6003" w:type="dxa"/>
            <w:gridSpan w:val="2"/>
          </w:tcPr>
          <w:p w14:paraId="69A6A6DB" w14:textId="2132B692" w:rsidR="00F67E9E" w:rsidRPr="000D25D4" w:rsidRDefault="00F67E9E" w:rsidP="007F74AA">
            <w:pPr>
              <w:pStyle w:val="StdBodyText"/>
              <w:keepNext/>
              <w:spacing w:before="0" w:after="0"/>
              <w:rPr>
                <w:szCs w:val="20"/>
              </w:rPr>
            </w:pPr>
            <w:r w:rsidRPr="000D25D4">
              <w:rPr>
                <w:szCs w:val="20"/>
              </w:rPr>
              <w:t xml:space="preserve">Schedules renumbered. New </w:t>
            </w:r>
            <w:r>
              <w:rPr>
                <w:szCs w:val="20"/>
              </w:rPr>
              <w:fldChar w:fldCharType="begin"/>
            </w:r>
            <w:r>
              <w:rPr>
                <w:szCs w:val="20"/>
              </w:rPr>
              <w:instrText xml:space="preserve"> REF Schedule32 \h </w:instrText>
            </w:r>
            <w:r>
              <w:rPr>
                <w:szCs w:val="20"/>
              </w:rPr>
            </w:r>
            <w:r>
              <w:rPr>
                <w:szCs w:val="20"/>
              </w:rPr>
              <w:fldChar w:fldCharType="separate"/>
            </w:r>
            <w:r w:rsidR="00302D39" w:rsidRPr="00477926">
              <w:t>Schedule</w:t>
            </w:r>
            <w:r w:rsidR="00302D39">
              <w:t> </w:t>
            </w:r>
            <w:r w:rsidR="00302D39" w:rsidRPr="00477926">
              <w:t>32</w:t>
            </w:r>
            <w:r>
              <w:rPr>
                <w:szCs w:val="20"/>
              </w:rPr>
              <w:fldChar w:fldCharType="end"/>
            </w:r>
            <w:r w:rsidRPr="00BA6861">
              <w:rPr>
                <w:rStyle w:val="StdBodyTextBoldChar"/>
                <w:rFonts w:eastAsiaTheme="majorEastAsia" w:cs="Arial"/>
                <w:b w:val="0"/>
                <w:bCs/>
                <w:szCs w:val="20"/>
                <w:lang w:eastAsia="en-US"/>
              </w:rPr>
              <w:t xml:space="preserve"> (</w:t>
            </w:r>
            <w:r w:rsidRPr="00DD03F1">
              <w:rPr>
                <w:rStyle w:val="StdBodyTextBoldChar"/>
                <w:rFonts w:eastAsiaTheme="majorEastAsia" w:cs="Arial"/>
                <w:b w:val="0"/>
                <w:bCs/>
                <w:i/>
                <w:iCs/>
                <w:szCs w:val="20"/>
                <w:lang w:eastAsia="en-US"/>
              </w:rPr>
              <w:fldChar w:fldCharType="begin"/>
            </w:r>
            <w:r w:rsidRPr="00DD03F1">
              <w:rPr>
                <w:rStyle w:val="StdBodyTextBoldChar"/>
                <w:rFonts w:eastAsiaTheme="majorEastAsia" w:cs="Arial"/>
                <w:b w:val="0"/>
                <w:bCs/>
                <w:i/>
                <w:iCs/>
                <w:szCs w:val="20"/>
                <w:lang w:eastAsia="en-US"/>
              </w:rPr>
              <w:instrText xml:space="preserve"> REF Schedule32Heading \h </w:instrText>
            </w:r>
            <w:r>
              <w:rPr>
                <w:rStyle w:val="StdBodyTextBoldChar"/>
                <w:rFonts w:eastAsiaTheme="majorEastAsia" w:cs="Arial"/>
                <w:b w:val="0"/>
                <w:bCs/>
                <w:i/>
                <w:iCs/>
                <w:szCs w:val="20"/>
                <w:lang w:eastAsia="en-US"/>
              </w:rPr>
              <w:instrText xml:space="preserve"> \* MERGEFORMAT </w:instrText>
            </w:r>
            <w:r w:rsidRPr="00DD03F1">
              <w:rPr>
                <w:rStyle w:val="StdBodyTextBoldChar"/>
                <w:rFonts w:eastAsiaTheme="majorEastAsia" w:cs="Arial"/>
                <w:b w:val="0"/>
                <w:bCs/>
                <w:i/>
                <w:iCs/>
                <w:szCs w:val="20"/>
                <w:lang w:eastAsia="en-US"/>
              </w:rPr>
            </w:r>
            <w:r w:rsidRPr="00DD03F1">
              <w:rPr>
                <w:rStyle w:val="StdBodyTextBoldChar"/>
                <w:rFonts w:eastAsiaTheme="majorEastAsia" w:cs="Arial"/>
                <w:b w:val="0"/>
                <w:bCs/>
                <w:i/>
                <w:iCs/>
                <w:szCs w:val="20"/>
                <w:lang w:eastAsia="en-US"/>
              </w:rPr>
              <w:fldChar w:fldCharType="separate"/>
            </w:r>
            <w:r w:rsidR="00302D39" w:rsidRPr="00302D39">
              <w:rPr>
                <w:i/>
                <w:iCs/>
              </w:rPr>
              <w:t>Intellectual Property Rights</w:t>
            </w:r>
            <w:r w:rsidRPr="00DD03F1">
              <w:rPr>
                <w:rStyle w:val="StdBodyTextBoldChar"/>
                <w:rFonts w:eastAsiaTheme="majorEastAsia" w:cs="Arial"/>
                <w:b w:val="0"/>
                <w:bCs/>
                <w:i/>
                <w:iCs/>
                <w:szCs w:val="20"/>
                <w:lang w:eastAsia="en-US"/>
              </w:rPr>
              <w:fldChar w:fldCharType="end"/>
            </w:r>
            <w:r w:rsidRPr="00BA6861">
              <w:rPr>
                <w:rStyle w:val="StdBodyTextBoldChar"/>
                <w:rFonts w:eastAsiaTheme="majorEastAsia" w:cs="Arial"/>
                <w:b w:val="0"/>
                <w:bCs/>
                <w:szCs w:val="20"/>
                <w:lang w:eastAsia="en-US"/>
              </w:rPr>
              <w:t>)</w:t>
            </w:r>
            <w:r w:rsidRPr="000D25D4">
              <w:rPr>
                <w:szCs w:val="20"/>
              </w:rPr>
              <w:t xml:space="preserve"> added. Updates to Schedules</w:t>
            </w:r>
            <w:r w:rsidRPr="00FA4ED5">
              <w:rPr>
                <w:szCs w:val="20"/>
              </w:rPr>
              <w:t xml:space="preserve"> </w:t>
            </w:r>
            <w:r w:rsidRPr="007D3E82">
              <w:rPr>
                <w:szCs w:val="20"/>
              </w:rPr>
              <w:fldChar w:fldCharType="begin"/>
            </w:r>
            <w:r w:rsidRPr="007D3E82">
              <w:rPr>
                <w:szCs w:val="20"/>
              </w:rPr>
              <w:instrText xml:space="preserve"> REF _Ref92197513 \h  \# "#" </w:instrText>
            </w:r>
            <w:r>
              <w:rPr>
                <w:szCs w:val="20"/>
              </w:rPr>
              <w:instrText xml:space="preserve"> \* MERGEFORMAT </w:instrText>
            </w:r>
            <w:r w:rsidRPr="007D3E82">
              <w:rPr>
                <w:szCs w:val="20"/>
              </w:rPr>
            </w:r>
            <w:r w:rsidRPr="007D3E82">
              <w:rPr>
                <w:szCs w:val="20"/>
              </w:rPr>
              <w:fldChar w:fldCharType="separate"/>
            </w:r>
            <w:r w:rsidR="00302D39">
              <w:rPr>
                <w:szCs w:val="20"/>
              </w:rPr>
              <w:t>1</w:t>
            </w:r>
            <w:r w:rsidRPr="007D3E82">
              <w:rPr>
                <w:szCs w:val="20"/>
              </w:rPr>
              <w:fldChar w:fldCharType="end"/>
            </w:r>
            <w:r w:rsidRPr="000D25D4">
              <w:rPr>
                <w:szCs w:val="20"/>
              </w:rPr>
              <w:t xml:space="preserve">, </w:t>
            </w:r>
            <w:r w:rsidRPr="007D3E82">
              <w:rPr>
                <w:rFonts w:cs="Arial"/>
                <w:szCs w:val="20"/>
              </w:rPr>
              <w:fldChar w:fldCharType="begin"/>
            </w:r>
            <w:r w:rsidRPr="007D3E82">
              <w:rPr>
                <w:rFonts w:cs="Arial"/>
                <w:szCs w:val="20"/>
              </w:rPr>
              <w:instrText xml:space="preserve"> REF _Ref92707577 \h  \# "#" </w:instrText>
            </w:r>
            <w:r>
              <w:rPr>
                <w:rFonts w:cs="Arial"/>
                <w:szCs w:val="20"/>
              </w:rPr>
              <w:instrText xml:space="preserve"> \* MERGEFORMAT </w:instrText>
            </w:r>
            <w:r w:rsidRPr="007D3E82">
              <w:rPr>
                <w:rFonts w:cs="Arial"/>
                <w:szCs w:val="20"/>
              </w:rPr>
            </w:r>
            <w:r w:rsidRPr="007D3E82">
              <w:rPr>
                <w:rFonts w:cs="Arial"/>
                <w:szCs w:val="20"/>
              </w:rPr>
              <w:fldChar w:fldCharType="separate"/>
            </w:r>
            <w:r w:rsidR="00302D39">
              <w:rPr>
                <w:rFonts w:cs="Arial"/>
                <w:szCs w:val="20"/>
              </w:rPr>
              <w:t>2</w:t>
            </w:r>
            <w:r w:rsidRPr="007D3E82">
              <w:rPr>
                <w:rFonts w:cs="Arial"/>
                <w:szCs w:val="20"/>
              </w:rPr>
              <w:fldChar w:fldCharType="end"/>
            </w:r>
            <w:r w:rsidRPr="000D25D4">
              <w:rPr>
                <w:szCs w:val="20"/>
              </w:rPr>
              <w:t xml:space="preserve">, </w:t>
            </w:r>
            <w:r w:rsidRPr="007D3E82">
              <w:rPr>
                <w:rFonts w:cs="Arial"/>
                <w:szCs w:val="20"/>
              </w:rPr>
              <w:fldChar w:fldCharType="begin"/>
            </w:r>
            <w:r w:rsidRPr="007D3E82">
              <w:rPr>
                <w:rFonts w:cs="Arial"/>
                <w:szCs w:val="20"/>
              </w:rPr>
              <w:instrText xml:space="preserve"> REF _Ref92197146 \h  \# "#"  \* MERGEFORMAT </w:instrText>
            </w:r>
            <w:r w:rsidRPr="007D3E82">
              <w:rPr>
                <w:rFonts w:cs="Arial"/>
                <w:szCs w:val="20"/>
              </w:rPr>
            </w:r>
            <w:r w:rsidRPr="007D3E82">
              <w:rPr>
                <w:rFonts w:cs="Arial"/>
                <w:szCs w:val="20"/>
              </w:rPr>
              <w:fldChar w:fldCharType="separate"/>
            </w:r>
            <w:r w:rsidR="00302D39">
              <w:rPr>
                <w:rFonts w:cs="Arial"/>
                <w:szCs w:val="20"/>
              </w:rPr>
              <w:t>3</w:t>
            </w:r>
            <w:r w:rsidRPr="007D3E82">
              <w:rPr>
                <w:rFonts w:cs="Arial"/>
                <w:szCs w:val="20"/>
              </w:rPr>
              <w:fldChar w:fldCharType="end"/>
            </w:r>
            <w:r w:rsidRPr="000D25D4">
              <w:rPr>
                <w:szCs w:val="20"/>
              </w:rPr>
              <w:t xml:space="preserve">, </w:t>
            </w:r>
            <w:r w:rsidRPr="007D3E82">
              <w:rPr>
                <w:rFonts w:cs="Arial"/>
                <w:szCs w:val="20"/>
              </w:rPr>
              <w:fldChar w:fldCharType="begin"/>
            </w:r>
            <w:r w:rsidRPr="007D3E82">
              <w:rPr>
                <w:rFonts w:cs="Arial"/>
                <w:szCs w:val="20"/>
              </w:rPr>
              <w:instrText xml:space="preserve"> REF _Ref92199295 \h  \# "#" </w:instrText>
            </w:r>
            <w:r>
              <w:rPr>
                <w:rFonts w:cs="Arial"/>
                <w:szCs w:val="20"/>
              </w:rPr>
              <w:instrText xml:space="preserve"> \* MERGEFORMAT </w:instrText>
            </w:r>
            <w:r w:rsidRPr="007D3E82">
              <w:rPr>
                <w:rFonts w:cs="Arial"/>
                <w:szCs w:val="20"/>
              </w:rPr>
            </w:r>
            <w:r w:rsidRPr="007D3E82">
              <w:rPr>
                <w:rFonts w:cs="Arial"/>
                <w:szCs w:val="20"/>
              </w:rPr>
              <w:fldChar w:fldCharType="separate"/>
            </w:r>
            <w:r w:rsidR="00302D39">
              <w:rPr>
                <w:rFonts w:cs="Arial"/>
                <w:szCs w:val="20"/>
              </w:rPr>
              <w:t>4</w:t>
            </w:r>
            <w:r w:rsidRPr="007D3E82">
              <w:rPr>
                <w:rFonts w:cs="Arial"/>
                <w:szCs w:val="20"/>
              </w:rPr>
              <w:fldChar w:fldCharType="end"/>
            </w:r>
            <w:r w:rsidRPr="000D25D4">
              <w:rPr>
                <w:szCs w:val="20"/>
              </w:rPr>
              <w:t xml:space="preserve">, </w:t>
            </w:r>
            <w:r w:rsidRPr="007D3E82">
              <w:rPr>
                <w:rFonts w:cs="Arial"/>
                <w:szCs w:val="20"/>
              </w:rPr>
              <w:fldChar w:fldCharType="begin"/>
            </w:r>
            <w:r w:rsidRPr="007D3E82">
              <w:rPr>
                <w:rFonts w:cs="Arial"/>
                <w:szCs w:val="20"/>
              </w:rPr>
              <w:instrText xml:space="preserve"> REF _Ref92199339 \h  \# "#"  \* MERGEFORMAT </w:instrText>
            </w:r>
            <w:r w:rsidRPr="007D3E82">
              <w:rPr>
                <w:rFonts w:cs="Arial"/>
                <w:szCs w:val="20"/>
              </w:rPr>
            </w:r>
            <w:r w:rsidRPr="007D3E82">
              <w:rPr>
                <w:rFonts w:cs="Arial"/>
                <w:szCs w:val="20"/>
              </w:rPr>
              <w:fldChar w:fldCharType="separate"/>
            </w:r>
            <w:r w:rsidR="00302D39">
              <w:rPr>
                <w:rFonts w:cs="Arial"/>
                <w:szCs w:val="20"/>
              </w:rPr>
              <w:t>5</w:t>
            </w:r>
            <w:r w:rsidRPr="007D3E82">
              <w:rPr>
                <w:rFonts w:cs="Arial"/>
                <w:szCs w:val="20"/>
              </w:rPr>
              <w:fldChar w:fldCharType="end"/>
            </w:r>
            <w:r w:rsidRPr="000D25D4">
              <w:rPr>
                <w:szCs w:val="20"/>
              </w:rPr>
              <w:t xml:space="preserve">, </w:t>
            </w:r>
            <w:r w:rsidRPr="007D3E82">
              <w:rPr>
                <w:rFonts w:cs="Arial"/>
                <w:szCs w:val="20"/>
              </w:rPr>
              <w:fldChar w:fldCharType="begin"/>
            </w:r>
            <w:r w:rsidRPr="007D3E82">
              <w:rPr>
                <w:rFonts w:cs="Arial"/>
                <w:szCs w:val="20"/>
              </w:rPr>
              <w:instrText xml:space="preserve"> REF _Ref92199868 \h  \# "#"  \* MERGEFORMAT </w:instrText>
            </w:r>
            <w:r w:rsidRPr="007D3E82">
              <w:rPr>
                <w:rFonts w:cs="Arial"/>
                <w:szCs w:val="20"/>
              </w:rPr>
            </w:r>
            <w:r w:rsidRPr="007D3E82">
              <w:rPr>
                <w:rFonts w:cs="Arial"/>
                <w:szCs w:val="20"/>
              </w:rPr>
              <w:fldChar w:fldCharType="separate"/>
            </w:r>
            <w:r w:rsidR="00302D39">
              <w:rPr>
                <w:rFonts w:cs="Arial"/>
                <w:szCs w:val="20"/>
              </w:rPr>
              <w:t>6</w:t>
            </w:r>
            <w:r w:rsidRPr="007D3E82">
              <w:rPr>
                <w:rFonts w:cs="Arial"/>
                <w:szCs w:val="20"/>
              </w:rPr>
              <w:fldChar w:fldCharType="end"/>
            </w:r>
            <w:r w:rsidRPr="000D25D4">
              <w:rPr>
                <w:szCs w:val="20"/>
              </w:rPr>
              <w:t xml:space="preserve"> (Guidance only) </w:t>
            </w:r>
            <w:r w:rsidRPr="007D3E82">
              <w:rPr>
                <w:rFonts w:cs="Arial"/>
                <w:szCs w:val="20"/>
              </w:rPr>
              <w:fldChar w:fldCharType="begin"/>
            </w:r>
            <w:r w:rsidRPr="007D3E82">
              <w:rPr>
                <w:rFonts w:cs="Arial"/>
                <w:szCs w:val="20"/>
              </w:rPr>
              <w:instrText xml:space="preserve"> REF _Ref92199904 \h  \# "#"  \* MERGEFORMAT </w:instrText>
            </w:r>
            <w:r w:rsidRPr="007D3E82">
              <w:rPr>
                <w:rFonts w:cs="Arial"/>
                <w:szCs w:val="20"/>
              </w:rPr>
            </w:r>
            <w:r w:rsidRPr="007D3E82">
              <w:rPr>
                <w:rFonts w:cs="Arial"/>
                <w:szCs w:val="20"/>
              </w:rPr>
              <w:fldChar w:fldCharType="separate"/>
            </w:r>
            <w:r w:rsidR="00302D39">
              <w:rPr>
                <w:rFonts w:cs="Arial"/>
                <w:szCs w:val="20"/>
              </w:rPr>
              <w:t>9</w:t>
            </w:r>
            <w:r w:rsidRPr="007D3E82">
              <w:rPr>
                <w:rFonts w:cs="Arial"/>
                <w:szCs w:val="20"/>
              </w:rPr>
              <w:fldChar w:fldCharType="end"/>
            </w:r>
            <w:r w:rsidRPr="000D25D4">
              <w:rPr>
                <w:szCs w:val="20"/>
              </w:rPr>
              <w:t xml:space="preserve">, </w:t>
            </w:r>
            <w:r w:rsidRPr="007D3E82">
              <w:rPr>
                <w:szCs w:val="20"/>
              </w:rPr>
              <w:fldChar w:fldCharType="begin"/>
            </w:r>
            <w:r w:rsidRPr="007D3E82">
              <w:rPr>
                <w:szCs w:val="20"/>
              </w:rPr>
              <w:instrText xml:space="preserve"> REF _Ref92199932 \h  \# "#"  \* MERGEFORMAT </w:instrText>
            </w:r>
            <w:r w:rsidRPr="007D3E82">
              <w:rPr>
                <w:szCs w:val="20"/>
              </w:rPr>
            </w:r>
            <w:r w:rsidRPr="007D3E82">
              <w:rPr>
                <w:szCs w:val="20"/>
              </w:rPr>
              <w:fldChar w:fldCharType="separate"/>
            </w:r>
            <w:r w:rsidR="00302D39">
              <w:rPr>
                <w:szCs w:val="20"/>
              </w:rPr>
              <w:t>12</w:t>
            </w:r>
            <w:r w:rsidRPr="007D3E82">
              <w:rPr>
                <w:szCs w:val="20"/>
              </w:rPr>
              <w:fldChar w:fldCharType="end"/>
            </w:r>
            <w:r w:rsidRPr="000D25D4">
              <w:rPr>
                <w:szCs w:val="20"/>
              </w:rPr>
              <w:t xml:space="preserve"> (minor updates only) </w:t>
            </w:r>
            <w:r w:rsidRPr="007D3E82">
              <w:rPr>
                <w:rFonts w:cs="Arial"/>
                <w:szCs w:val="20"/>
              </w:rPr>
              <w:fldChar w:fldCharType="begin"/>
            </w:r>
            <w:r w:rsidRPr="007D3E82">
              <w:rPr>
                <w:rFonts w:cs="Arial"/>
                <w:szCs w:val="20"/>
              </w:rPr>
              <w:instrText xml:space="preserve"> REF _Ref92199989 \h  \# "#"  \* MERGEFORMAT </w:instrText>
            </w:r>
            <w:r w:rsidRPr="007D3E82">
              <w:rPr>
                <w:rFonts w:cs="Arial"/>
                <w:szCs w:val="20"/>
              </w:rPr>
            </w:r>
            <w:r w:rsidRPr="007D3E82">
              <w:rPr>
                <w:rFonts w:cs="Arial"/>
                <w:szCs w:val="20"/>
              </w:rPr>
              <w:fldChar w:fldCharType="separate"/>
            </w:r>
            <w:r w:rsidR="00302D39">
              <w:rPr>
                <w:rFonts w:cs="Arial"/>
                <w:szCs w:val="20"/>
              </w:rPr>
              <w:t>18</w:t>
            </w:r>
            <w:r w:rsidRPr="007D3E82">
              <w:rPr>
                <w:rFonts w:cs="Arial"/>
                <w:szCs w:val="20"/>
              </w:rPr>
              <w:fldChar w:fldCharType="end"/>
            </w:r>
            <w:r w:rsidRPr="000D25D4">
              <w:rPr>
                <w:szCs w:val="20"/>
              </w:rPr>
              <w:t xml:space="preserve">, </w:t>
            </w:r>
            <w:r w:rsidRPr="007D3E82">
              <w:rPr>
                <w:rFonts w:cs="Arial"/>
                <w:szCs w:val="20"/>
              </w:rPr>
              <w:fldChar w:fldCharType="begin"/>
            </w:r>
            <w:r w:rsidRPr="007D3E82">
              <w:rPr>
                <w:rFonts w:cs="Arial"/>
                <w:szCs w:val="20"/>
              </w:rPr>
              <w:instrText xml:space="preserve"> REF _Ref92200001 \h  \# "#" </w:instrText>
            </w:r>
            <w:r>
              <w:rPr>
                <w:rFonts w:cs="Arial"/>
                <w:szCs w:val="20"/>
              </w:rPr>
              <w:instrText xml:space="preserve"> \* MERGEFORMAT </w:instrText>
            </w:r>
            <w:r w:rsidRPr="007D3E82">
              <w:rPr>
                <w:rFonts w:cs="Arial"/>
                <w:szCs w:val="20"/>
              </w:rPr>
            </w:r>
            <w:r w:rsidRPr="007D3E82">
              <w:rPr>
                <w:rFonts w:cs="Arial"/>
                <w:szCs w:val="20"/>
              </w:rPr>
              <w:fldChar w:fldCharType="separate"/>
            </w:r>
            <w:r w:rsidR="00302D39">
              <w:rPr>
                <w:rFonts w:cs="Arial"/>
                <w:szCs w:val="20"/>
              </w:rPr>
              <w:t>19</w:t>
            </w:r>
            <w:r w:rsidRPr="007D3E82">
              <w:rPr>
                <w:rFonts w:cs="Arial"/>
                <w:szCs w:val="20"/>
              </w:rPr>
              <w:fldChar w:fldCharType="end"/>
            </w:r>
            <w:r w:rsidRPr="000D25D4">
              <w:rPr>
                <w:szCs w:val="20"/>
              </w:rPr>
              <w:t xml:space="preserve"> (minor updates only), </w:t>
            </w:r>
            <w:r w:rsidRPr="007D3E82">
              <w:rPr>
                <w:rFonts w:cs="Arial"/>
                <w:szCs w:val="20"/>
              </w:rPr>
              <w:fldChar w:fldCharType="begin"/>
            </w:r>
            <w:r w:rsidRPr="007D3E82">
              <w:rPr>
                <w:rFonts w:cs="Arial"/>
                <w:szCs w:val="20"/>
              </w:rPr>
              <w:instrText xml:space="preserve"> REF _Ref92200032 \h  \# "#"  \* MERGEFORMAT </w:instrText>
            </w:r>
            <w:r w:rsidRPr="007D3E82">
              <w:rPr>
                <w:rFonts w:cs="Arial"/>
                <w:szCs w:val="20"/>
              </w:rPr>
            </w:r>
            <w:r w:rsidRPr="007D3E82">
              <w:rPr>
                <w:rFonts w:cs="Arial"/>
                <w:szCs w:val="20"/>
              </w:rPr>
              <w:fldChar w:fldCharType="separate"/>
            </w:r>
            <w:r w:rsidR="00302D39">
              <w:rPr>
                <w:rFonts w:cs="Arial"/>
                <w:szCs w:val="20"/>
              </w:rPr>
              <w:t>23</w:t>
            </w:r>
            <w:r w:rsidRPr="007D3E82">
              <w:rPr>
                <w:rFonts w:cs="Arial"/>
                <w:szCs w:val="20"/>
              </w:rPr>
              <w:fldChar w:fldCharType="end"/>
            </w:r>
            <w:r w:rsidRPr="000D25D4">
              <w:rPr>
                <w:szCs w:val="20"/>
              </w:rPr>
              <w:t xml:space="preserve"> (very minor updates only) </w:t>
            </w:r>
            <w:r w:rsidRPr="00D10A05">
              <w:rPr>
                <w:szCs w:val="20"/>
              </w:rPr>
              <w:fldChar w:fldCharType="begin"/>
            </w:r>
            <w:r w:rsidRPr="00D10A05">
              <w:rPr>
                <w:szCs w:val="20"/>
              </w:rPr>
              <w:instrText xml:space="preserve"> REF _Ref92200040 \h  \# "#"  \* MERGEFORMAT </w:instrText>
            </w:r>
            <w:r w:rsidRPr="00D10A05">
              <w:rPr>
                <w:szCs w:val="20"/>
              </w:rPr>
            </w:r>
            <w:r w:rsidRPr="00D10A05">
              <w:rPr>
                <w:szCs w:val="20"/>
              </w:rPr>
              <w:fldChar w:fldCharType="separate"/>
            </w:r>
            <w:r w:rsidR="00302D39">
              <w:rPr>
                <w:szCs w:val="20"/>
              </w:rPr>
              <w:t>24</w:t>
            </w:r>
            <w:r w:rsidRPr="00D10A05">
              <w:rPr>
                <w:szCs w:val="20"/>
              </w:rPr>
              <w:fldChar w:fldCharType="end"/>
            </w:r>
            <w:r w:rsidRPr="000D25D4">
              <w:rPr>
                <w:szCs w:val="20"/>
              </w:rPr>
              <w:t xml:space="preserve">, </w:t>
            </w:r>
            <w:r w:rsidRPr="00D10A05">
              <w:rPr>
                <w:szCs w:val="20"/>
              </w:rPr>
              <w:fldChar w:fldCharType="begin"/>
            </w:r>
            <w:r w:rsidRPr="00D10A05">
              <w:rPr>
                <w:szCs w:val="20"/>
              </w:rPr>
              <w:instrText xml:space="preserve"> REF _Ref92200048 \h  \# "#"  \* MERGEFORMAT </w:instrText>
            </w:r>
            <w:r w:rsidRPr="00D10A05">
              <w:rPr>
                <w:szCs w:val="20"/>
              </w:rPr>
            </w:r>
            <w:r w:rsidRPr="00D10A05">
              <w:rPr>
                <w:szCs w:val="20"/>
              </w:rPr>
              <w:fldChar w:fldCharType="separate"/>
            </w:r>
            <w:r w:rsidR="00302D39">
              <w:rPr>
                <w:szCs w:val="20"/>
              </w:rPr>
              <w:t>25</w:t>
            </w:r>
            <w:r w:rsidRPr="00D10A05">
              <w:rPr>
                <w:szCs w:val="20"/>
              </w:rPr>
              <w:fldChar w:fldCharType="end"/>
            </w:r>
            <w:r w:rsidRPr="000D25D4">
              <w:rPr>
                <w:szCs w:val="20"/>
              </w:rPr>
              <w:t xml:space="preserve">, </w:t>
            </w:r>
            <w:r w:rsidRPr="00D10A05">
              <w:rPr>
                <w:szCs w:val="20"/>
              </w:rPr>
              <w:fldChar w:fldCharType="begin"/>
            </w:r>
            <w:r w:rsidRPr="00D10A05">
              <w:rPr>
                <w:szCs w:val="20"/>
              </w:rPr>
              <w:instrText xml:space="preserve"> REF _Ref92200057 \h  \# "#"  \* MERGEFORMAT </w:instrText>
            </w:r>
            <w:r w:rsidRPr="00D10A05">
              <w:rPr>
                <w:szCs w:val="20"/>
              </w:rPr>
            </w:r>
            <w:r w:rsidRPr="00D10A05">
              <w:rPr>
                <w:szCs w:val="20"/>
              </w:rPr>
              <w:fldChar w:fldCharType="separate"/>
            </w:r>
            <w:r w:rsidR="00302D39">
              <w:rPr>
                <w:szCs w:val="20"/>
              </w:rPr>
              <w:t>26</w:t>
            </w:r>
            <w:r w:rsidRPr="00D10A05">
              <w:rPr>
                <w:szCs w:val="20"/>
              </w:rPr>
              <w:fldChar w:fldCharType="end"/>
            </w:r>
            <w:r w:rsidRPr="000D25D4">
              <w:rPr>
                <w:szCs w:val="20"/>
              </w:rPr>
              <w:t xml:space="preserve">, </w:t>
            </w:r>
            <w:r w:rsidRPr="00D10A05">
              <w:rPr>
                <w:szCs w:val="20"/>
              </w:rPr>
              <w:fldChar w:fldCharType="begin"/>
            </w:r>
            <w:r w:rsidRPr="00D10A05">
              <w:rPr>
                <w:szCs w:val="20"/>
              </w:rPr>
              <w:instrText xml:space="preserve"> REF _Ref92200072 \h  \# "#"  \* MERGEFORMAT </w:instrText>
            </w:r>
            <w:r w:rsidRPr="00D10A05">
              <w:rPr>
                <w:szCs w:val="20"/>
              </w:rPr>
            </w:r>
            <w:r w:rsidRPr="00D10A05">
              <w:rPr>
                <w:szCs w:val="20"/>
              </w:rPr>
              <w:fldChar w:fldCharType="separate"/>
            </w:r>
            <w:r w:rsidR="00302D39">
              <w:rPr>
                <w:szCs w:val="20"/>
              </w:rPr>
              <w:t>28</w:t>
            </w:r>
            <w:r w:rsidRPr="00D10A05">
              <w:rPr>
                <w:szCs w:val="20"/>
              </w:rPr>
              <w:fldChar w:fldCharType="end"/>
            </w:r>
            <w:r w:rsidRPr="000D25D4">
              <w:rPr>
                <w:szCs w:val="20"/>
              </w:rPr>
              <w:t xml:space="preserve">, </w:t>
            </w:r>
            <w:r w:rsidRPr="00D10A05">
              <w:rPr>
                <w:szCs w:val="20"/>
              </w:rPr>
              <w:fldChar w:fldCharType="begin"/>
            </w:r>
            <w:r w:rsidRPr="00D10A05">
              <w:rPr>
                <w:szCs w:val="20"/>
              </w:rPr>
              <w:instrText xml:space="preserve"> REF _Ref92200080 \h  \# "#"  \* MERGEFORMAT </w:instrText>
            </w:r>
            <w:r w:rsidRPr="00D10A05">
              <w:rPr>
                <w:szCs w:val="20"/>
              </w:rPr>
            </w:r>
            <w:r w:rsidRPr="00D10A05">
              <w:rPr>
                <w:szCs w:val="20"/>
              </w:rPr>
              <w:fldChar w:fldCharType="separate"/>
            </w:r>
            <w:r w:rsidR="00302D39">
              <w:rPr>
                <w:szCs w:val="20"/>
              </w:rPr>
              <w:t>29</w:t>
            </w:r>
            <w:r w:rsidRPr="00D10A05">
              <w:rPr>
                <w:szCs w:val="20"/>
              </w:rPr>
              <w:fldChar w:fldCharType="end"/>
            </w:r>
            <w:r w:rsidRPr="000D25D4">
              <w:rPr>
                <w:szCs w:val="20"/>
              </w:rPr>
              <w:t xml:space="preserve"> (minor updates only), </w:t>
            </w:r>
            <w:r w:rsidRPr="00A43C37">
              <w:rPr>
                <w:szCs w:val="20"/>
              </w:rPr>
              <w:t>30</w:t>
            </w:r>
            <w:r w:rsidRPr="000D25D4">
              <w:rPr>
                <w:szCs w:val="20"/>
              </w:rPr>
              <w:t xml:space="preserve"> (very minor updates only), and </w:t>
            </w:r>
            <w:r w:rsidRPr="00D10A05">
              <w:rPr>
                <w:szCs w:val="20"/>
              </w:rPr>
              <w:fldChar w:fldCharType="begin"/>
            </w:r>
            <w:r w:rsidRPr="00D10A05">
              <w:rPr>
                <w:szCs w:val="20"/>
              </w:rPr>
              <w:instrText xml:space="preserve"> REF _Ref92200097 \h  \# "#"  \* MERGEFORMAT </w:instrText>
            </w:r>
            <w:r w:rsidRPr="00D10A05">
              <w:rPr>
                <w:szCs w:val="20"/>
              </w:rPr>
            </w:r>
            <w:r w:rsidRPr="00D10A05">
              <w:rPr>
                <w:szCs w:val="20"/>
              </w:rPr>
              <w:fldChar w:fldCharType="separate"/>
            </w:r>
            <w:r w:rsidR="00302D39">
              <w:rPr>
                <w:szCs w:val="20"/>
              </w:rPr>
              <w:t>31</w:t>
            </w:r>
            <w:r w:rsidRPr="00D10A05">
              <w:rPr>
                <w:szCs w:val="20"/>
              </w:rPr>
              <w:fldChar w:fldCharType="end"/>
            </w:r>
            <w:r w:rsidRPr="000D25D4">
              <w:rPr>
                <w:szCs w:val="20"/>
              </w:rPr>
              <w:t>.</w:t>
            </w:r>
          </w:p>
        </w:tc>
      </w:tr>
      <w:tr w:rsidR="00C27495" w:rsidRPr="00BD4EF0" w14:paraId="51ABCA4F" w14:textId="77777777" w:rsidTr="007F74AA">
        <w:trPr>
          <w:gridAfter w:val="1"/>
          <w:wAfter w:w="40" w:type="dxa"/>
        </w:trPr>
        <w:tc>
          <w:tcPr>
            <w:tcW w:w="2181" w:type="dxa"/>
          </w:tcPr>
          <w:p w14:paraId="79810006" w14:textId="2AB88221" w:rsidR="00C27495" w:rsidRPr="00CD1AC6" w:rsidRDefault="00C27495" w:rsidP="00C27495">
            <w:pPr>
              <w:pStyle w:val="StdBodyText"/>
              <w:keepNext/>
              <w:spacing w:before="0" w:after="0"/>
            </w:pPr>
            <w:r w:rsidRPr="00CD1AC6">
              <w:t>Version 2.1</w:t>
            </w:r>
          </w:p>
        </w:tc>
        <w:tc>
          <w:tcPr>
            <w:tcW w:w="2021" w:type="dxa"/>
          </w:tcPr>
          <w:p w14:paraId="64EADAFE" w14:textId="47DD4481" w:rsidR="00C27495" w:rsidRPr="00CD1AC6" w:rsidRDefault="008471A6" w:rsidP="00C27495">
            <w:pPr>
              <w:pStyle w:val="StdBodyText"/>
              <w:keepNext/>
              <w:spacing w:before="0" w:after="0"/>
            </w:pPr>
            <w:r>
              <w:t>August</w:t>
            </w:r>
            <w:bookmarkStart w:id="57" w:name="_GoBack"/>
            <w:bookmarkEnd w:id="57"/>
            <w:r w:rsidR="00C27495" w:rsidRPr="00CD1AC6">
              <w:t xml:space="preserve"> 2023</w:t>
            </w:r>
          </w:p>
        </w:tc>
        <w:tc>
          <w:tcPr>
            <w:tcW w:w="5963" w:type="dxa"/>
          </w:tcPr>
          <w:p w14:paraId="20E02302" w14:textId="3BB2433F" w:rsidR="00C27495" w:rsidRDefault="00C27495" w:rsidP="00C27495">
            <w:pPr>
              <w:pStyle w:val="StdBodyText"/>
              <w:keepNext/>
              <w:spacing w:before="0" w:after="0"/>
              <w:rPr>
                <w:szCs w:val="20"/>
              </w:rPr>
            </w:pPr>
            <w:r>
              <w:t xml:space="preserve">Addition of indemnities and move from breach of contract to indemnities for some liabilities to align model contracts. Updates to limitation of liability. Amendments to Power of Attorney provisions. Simplification of supply chain protection provisions. Updates to and simplification of the GDPR data protection clauses. Amendments to Modern Slavery clauses. Amendments to severance clauses. Updates to Security Management Schedule. Amendments to Insurance Schedule. Amendments to Software Schedule. Amendments to Charges and Invoicing Schedule. Amendments to Benchmarking Schedule. Updates to Change Control Procedure Schedule. Updates to Reports and Records Schedule. Amendments to Exit Management Schedule. Amendments to Staff Transfer Schedule. </w:t>
            </w:r>
            <w:r w:rsidR="00A26B0A">
              <w:t>Amendments to</w:t>
            </w:r>
            <w:r>
              <w:t xml:space="preserve"> IPR Schedule and updates to IPR provisions in Core Terms and Software Schedule. </w:t>
            </w:r>
            <w:r w:rsidRPr="0064079D">
              <w:t>Numerous</w:t>
            </w:r>
            <w:r>
              <w:t xml:space="preserve"> other</w:t>
            </w:r>
            <w:r w:rsidRPr="0064079D">
              <w:t xml:space="preserve"> minor changes and improvements.</w:t>
            </w:r>
            <w:r>
              <w:t xml:space="preserve"> </w:t>
            </w:r>
          </w:p>
        </w:tc>
      </w:tr>
    </w:tbl>
    <w:p w14:paraId="467D1696" w14:textId="77777777" w:rsidR="00F67E9E" w:rsidRDefault="00F67E9E" w:rsidP="00F67E9E">
      <w:pPr>
        <w:pStyle w:val="StdBodyText"/>
      </w:pPr>
      <w:r>
        <w:br w:type="page"/>
      </w:r>
    </w:p>
    <w:p w14:paraId="47D842D2" w14:textId="77777777" w:rsidR="00F67E9E" w:rsidRPr="007C55B2" w:rsidRDefault="00F67E9E" w:rsidP="00F67E9E">
      <w:pPr>
        <w:pStyle w:val="Dividername"/>
      </w:pPr>
      <w:r w:rsidRPr="007C55B2">
        <w:lastRenderedPageBreak/>
        <w:t xml:space="preserve">Model Agreement </w:t>
      </w:r>
      <w:r>
        <w:t>f</w:t>
      </w:r>
      <w:r w:rsidRPr="007C55B2">
        <w:t>or Services</w:t>
      </w:r>
    </w:p>
    <w:p w14:paraId="4E885352" w14:textId="77777777" w:rsidR="00F67E9E" w:rsidRPr="007C55B2" w:rsidRDefault="00F67E9E" w:rsidP="00F67E9E">
      <w:pPr>
        <w:pStyle w:val="Dividername"/>
      </w:pPr>
      <w:r w:rsidRPr="007C55B2">
        <w:t>Schedules, Annex</w:t>
      </w:r>
      <w:r w:rsidRPr="008C33D5">
        <w:t>es an</w:t>
      </w:r>
      <w:r w:rsidRPr="007C55B2">
        <w:t>d Parts</w:t>
      </w:r>
    </w:p>
    <w:p w14:paraId="5EF1533E" w14:textId="77777777" w:rsidR="00F67E9E" w:rsidRDefault="00F67E9E" w:rsidP="00F67E9E">
      <w:pPr>
        <w:rPr>
          <w:rFonts w:cs="Arial"/>
        </w:rPr>
      </w:pPr>
    </w:p>
    <w:p w14:paraId="65D3F897" w14:textId="1CCFBE52" w:rsidR="000F11A9" w:rsidRDefault="00F67E9E">
      <w:pPr>
        <w:pStyle w:val="TOC1"/>
        <w:rPr>
          <w:rFonts w:eastAsiaTheme="minorEastAsia" w:cstheme="minorBidi"/>
          <w:b w:val="0"/>
          <w:noProof/>
          <w:color w:val="auto"/>
          <w:sz w:val="22"/>
          <w:szCs w:val="22"/>
          <w:lang w:eastAsia="en-GB"/>
        </w:rPr>
      </w:pPr>
      <w:r>
        <w:rPr>
          <w:rFonts w:ascii="Times New Roman" w:hAnsi="Times New Roman" w:cs="Arial"/>
          <w:sz w:val="22"/>
        </w:rPr>
        <w:fldChar w:fldCharType="begin"/>
      </w:r>
      <w:r>
        <w:rPr>
          <w:rFonts w:ascii="Times New Roman" w:hAnsi="Times New Roman" w:cs="Arial"/>
          <w:sz w:val="22"/>
        </w:rPr>
        <w:instrText xml:space="preserve"> TOC \h \z \t "Heading 1,1,Heading 2,2" </w:instrText>
      </w:r>
      <w:r>
        <w:rPr>
          <w:rFonts w:ascii="Times New Roman" w:hAnsi="Times New Roman" w:cs="Arial"/>
          <w:sz w:val="22"/>
        </w:rPr>
        <w:fldChar w:fldCharType="separate"/>
      </w:r>
      <w:hyperlink w:anchor="_Toc141711898" w:history="1">
        <w:r w:rsidR="000F11A9" w:rsidRPr="00C41525">
          <w:rPr>
            <w:rStyle w:val="Hyperlink"/>
            <w:noProof/>
          </w:rPr>
          <w:t>Schedule 1: Definitions</w:t>
        </w:r>
        <w:r w:rsidR="000F11A9">
          <w:rPr>
            <w:noProof/>
            <w:webHidden/>
          </w:rPr>
          <w:tab/>
        </w:r>
        <w:r w:rsidR="000F11A9">
          <w:rPr>
            <w:noProof/>
            <w:webHidden/>
          </w:rPr>
          <w:fldChar w:fldCharType="begin"/>
        </w:r>
        <w:r w:rsidR="000F11A9">
          <w:rPr>
            <w:noProof/>
            <w:webHidden/>
          </w:rPr>
          <w:instrText xml:space="preserve"> PAGEREF _Toc141711898 \h </w:instrText>
        </w:r>
        <w:r w:rsidR="000F11A9">
          <w:rPr>
            <w:noProof/>
            <w:webHidden/>
          </w:rPr>
        </w:r>
        <w:r w:rsidR="000F11A9">
          <w:rPr>
            <w:noProof/>
            <w:webHidden/>
          </w:rPr>
          <w:fldChar w:fldCharType="separate"/>
        </w:r>
        <w:r w:rsidR="000F11A9">
          <w:rPr>
            <w:noProof/>
            <w:webHidden/>
          </w:rPr>
          <w:t>9</w:t>
        </w:r>
        <w:r w:rsidR="000F11A9">
          <w:rPr>
            <w:noProof/>
            <w:webHidden/>
          </w:rPr>
          <w:fldChar w:fldCharType="end"/>
        </w:r>
      </w:hyperlink>
    </w:p>
    <w:p w14:paraId="0FF4B564" w14:textId="7C60B796" w:rsidR="000F11A9" w:rsidRDefault="000D7DE5">
      <w:pPr>
        <w:pStyle w:val="TOC1"/>
        <w:rPr>
          <w:rFonts w:eastAsiaTheme="minorEastAsia" w:cstheme="minorBidi"/>
          <w:b w:val="0"/>
          <w:noProof/>
          <w:color w:val="auto"/>
          <w:sz w:val="22"/>
          <w:szCs w:val="22"/>
          <w:lang w:eastAsia="en-GB"/>
        </w:rPr>
      </w:pPr>
      <w:hyperlink w:anchor="_Toc141711899" w:history="1">
        <w:r w:rsidR="000F11A9" w:rsidRPr="00C41525">
          <w:rPr>
            <w:rStyle w:val="Hyperlink"/>
            <w:noProof/>
          </w:rPr>
          <w:t>Schedule 2: Services Description</w:t>
        </w:r>
        <w:r w:rsidR="000F11A9">
          <w:rPr>
            <w:noProof/>
            <w:webHidden/>
          </w:rPr>
          <w:tab/>
        </w:r>
        <w:r w:rsidR="000F11A9">
          <w:rPr>
            <w:noProof/>
            <w:webHidden/>
          </w:rPr>
          <w:fldChar w:fldCharType="begin"/>
        </w:r>
        <w:r w:rsidR="000F11A9">
          <w:rPr>
            <w:noProof/>
            <w:webHidden/>
          </w:rPr>
          <w:instrText xml:space="preserve"> PAGEREF _Toc141711899 \h </w:instrText>
        </w:r>
        <w:r w:rsidR="000F11A9">
          <w:rPr>
            <w:noProof/>
            <w:webHidden/>
          </w:rPr>
        </w:r>
        <w:r w:rsidR="000F11A9">
          <w:rPr>
            <w:noProof/>
            <w:webHidden/>
          </w:rPr>
          <w:fldChar w:fldCharType="separate"/>
        </w:r>
        <w:r w:rsidR="000F11A9">
          <w:rPr>
            <w:noProof/>
            <w:webHidden/>
          </w:rPr>
          <w:t>57</w:t>
        </w:r>
        <w:r w:rsidR="000F11A9">
          <w:rPr>
            <w:noProof/>
            <w:webHidden/>
          </w:rPr>
          <w:fldChar w:fldCharType="end"/>
        </w:r>
      </w:hyperlink>
    </w:p>
    <w:p w14:paraId="39DF6C75" w14:textId="0FAFB3E8" w:rsidR="000F11A9" w:rsidRDefault="000D7DE5">
      <w:pPr>
        <w:pStyle w:val="TOC1"/>
        <w:rPr>
          <w:rFonts w:eastAsiaTheme="minorEastAsia" w:cstheme="minorBidi"/>
          <w:b w:val="0"/>
          <w:noProof/>
          <w:color w:val="auto"/>
          <w:sz w:val="22"/>
          <w:szCs w:val="22"/>
          <w:lang w:eastAsia="en-GB"/>
        </w:rPr>
      </w:pPr>
      <w:hyperlink w:anchor="_Toc141711900" w:history="1">
        <w:r w:rsidR="000F11A9" w:rsidRPr="00C41525">
          <w:rPr>
            <w:rStyle w:val="Hyperlink"/>
            <w:noProof/>
          </w:rPr>
          <w:t>Schedule 3: Performance Levels</w:t>
        </w:r>
        <w:r w:rsidR="000F11A9">
          <w:rPr>
            <w:noProof/>
            <w:webHidden/>
          </w:rPr>
          <w:tab/>
        </w:r>
        <w:r w:rsidR="000F11A9">
          <w:rPr>
            <w:noProof/>
            <w:webHidden/>
          </w:rPr>
          <w:fldChar w:fldCharType="begin"/>
        </w:r>
        <w:r w:rsidR="000F11A9">
          <w:rPr>
            <w:noProof/>
            <w:webHidden/>
          </w:rPr>
          <w:instrText xml:space="preserve"> PAGEREF _Toc141711900 \h </w:instrText>
        </w:r>
        <w:r w:rsidR="000F11A9">
          <w:rPr>
            <w:noProof/>
            <w:webHidden/>
          </w:rPr>
        </w:r>
        <w:r w:rsidR="000F11A9">
          <w:rPr>
            <w:noProof/>
            <w:webHidden/>
          </w:rPr>
          <w:fldChar w:fldCharType="separate"/>
        </w:r>
        <w:r w:rsidR="000F11A9">
          <w:rPr>
            <w:noProof/>
            <w:webHidden/>
          </w:rPr>
          <w:t>59</w:t>
        </w:r>
        <w:r w:rsidR="000F11A9">
          <w:rPr>
            <w:noProof/>
            <w:webHidden/>
          </w:rPr>
          <w:fldChar w:fldCharType="end"/>
        </w:r>
      </w:hyperlink>
    </w:p>
    <w:p w14:paraId="4B50A802" w14:textId="0A22C633" w:rsidR="000F11A9" w:rsidRDefault="000D7DE5">
      <w:pPr>
        <w:pStyle w:val="TOC2"/>
        <w:rPr>
          <w:rFonts w:eastAsiaTheme="minorEastAsia" w:cstheme="minorBidi"/>
          <w:noProof/>
          <w:sz w:val="22"/>
          <w:szCs w:val="22"/>
          <w:lang w:eastAsia="en-GB"/>
        </w:rPr>
      </w:pPr>
      <w:hyperlink w:anchor="_Toc141711901" w:history="1">
        <w:r w:rsidR="000F11A9" w:rsidRPr="00C41525">
          <w:rPr>
            <w:rStyle w:val="Hyperlink"/>
            <w:noProof/>
          </w:rPr>
          <w:t>Part A: Performance Indicators and Service Credits</w:t>
        </w:r>
        <w:r w:rsidR="000F11A9">
          <w:rPr>
            <w:noProof/>
            <w:webHidden/>
          </w:rPr>
          <w:tab/>
        </w:r>
        <w:r w:rsidR="000F11A9">
          <w:rPr>
            <w:noProof/>
            <w:webHidden/>
          </w:rPr>
          <w:fldChar w:fldCharType="begin"/>
        </w:r>
        <w:r w:rsidR="000F11A9">
          <w:rPr>
            <w:noProof/>
            <w:webHidden/>
          </w:rPr>
          <w:instrText xml:space="preserve"> PAGEREF _Toc141711901 \h </w:instrText>
        </w:r>
        <w:r w:rsidR="000F11A9">
          <w:rPr>
            <w:noProof/>
            <w:webHidden/>
          </w:rPr>
        </w:r>
        <w:r w:rsidR="000F11A9">
          <w:rPr>
            <w:noProof/>
            <w:webHidden/>
          </w:rPr>
          <w:fldChar w:fldCharType="separate"/>
        </w:r>
        <w:r w:rsidR="000F11A9">
          <w:rPr>
            <w:noProof/>
            <w:webHidden/>
          </w:rPr>
          <w:t>60</w:t>
        </w:r>
        <w:r w:rsidR="000F11A9">
          <w:rPr>
            <w:noProof/>
            <w:webHidden/>
          </w:rPr>
          <w:fldChar w:fldCharType="end"/>
        </w:r>
      </w:hyperlink>
    </w:p>
    <w:p w14:paraId="704A36F4" w14:textId="6E4580B1" w:rsidR="000F11A9" w:rsidRDefault="000D7DE5">
      <w:pPr>
        <w:pStyle w:val="TOC2"/>
        <w:rPr>
          <w:rFonts w:eastAsiaTheme="minorEastAsia" w:cstheme="minorBidi"/>
          <w:noProof/>
          <w:sz w:val="22"/>
          <w:szCs w:val="22"/>
          <w:lang w:eastAsia="en-GB"/>
        </w:rPr>
      </w:pPr>
      <w:hyperlink w:anchor="_Toc141711902" w:history="1">
        <w:r w:rsidR="000F11A9" w:rsidRPr="00C41525">
          <w:rPr>
            <w:rStyle w:val="Hyperlink"/>
            <w:noProof/>
          </w:rPr>
          <w:t>Part B: Performance Monitoring</w:t>
        </w:r>
        <w:r w:rsidR="000F11A9">
          <w:rPr>
            <w:noProof/>
            <w:webHidden/>
          </w:rPr>
          <w:tab/>
        </w:r>
        <w:r w:rsidR="000F11A9">
          <w:rPr>
            <w:noProof/>
            <w:webHidden/>
          </w:rPr>
          <w:fldChar w:fldCharType="begin"/>
        </w:r>
        <w:r w:rsidR="000F11A9">
          <w:rPr>
            <w:noProof/>
            <w:webHidden/>
          </w:rPr>
          <w:instrText xml:space="preserve"> PAGEREF _Toc141711902 \h </w:instrText>
        </w:r>
        <w:r w:rsidR="000F11A9">
          <w:rPr>
            <w:noProof/>
            <w:webHidden/>
          </w:rPr>
        </w:r>
        <w:r w:rsidR="000F11A9">
          <w:rPr>
            <w:noProof/>
            <w:webHidden/>
          </w:rPr>
          <w:fldChar w:fldCharType="separate"/>
        </w:r>
        <w:r w:rsidR="000F11A9">
          <w:rPr>
            <w:noProof/>
            <w:webHidden/>
          </w:rPr>
          <w:t>63</w:t>
        </w:r>
        <w:r w:rsidR="000F11A9">
          <w:rPr>
            <w:noProof/>
            <w:webHidden/>
          </w:rPr>
          <w:fldChar w:fldCharType="end"/>
        </w:r>
      </w:hyperlink>
    </w:p>
    <w:p w14:paraId="6A2B33DC" w14:textId="3B00AF83" w:rsidR="000F11A9" w:rsidRDefault="000D7DE5">
      <w:pPr>
        <w:pStyle w:val="TOC2"/>
        <w:rPr>
          <w:rFonts w:eastAsiaTheme="minorEastAsia" w:cstheme="minorBidi"/>
          <w:noProof/>
          <w:sz w:val="22"/>
          <w:szCs w:val="22"/>
          <w:lang w:eastAsia="en-GB"/>
        </w:rPr>
      </w:pPr>
      <w:hyperlink w:anchor="_Toc141711903" w:history="1">
        <w:r w:rsidR="000F11A9" w:rsidRPr="00C41525">
          <w:rPr>
            <w:rStyle w:val="Hyperlink"/>
            <w:noProof/>
          </w:rPr>
          <w:t>Annex 1: Key Performance Indicators and Subsidiary Performance Indicators</w:t>
        </w:r>
        <w:r w:rsidR="000F11A9">
          <w:rPr>
            <w:noProof/>
            <w:webHidden/>
          </w:rPr>
          <w:tab/>
        </w:r>
        <w:r w:rsidR="000F11A9">
          <w:rPr>
            <w:noProof/>
            <w:webHidden/>
          </w:rPr>
          <w:fldChar w:fldCharType="begin"/>
        </w:r>
        <w:r w:rsidR="000F11A9">
          <w:rPr>
            <w:noProof/>
            <w:webHidden/>
          </w:rPr>
          <w:instrText xml:space="preserve"> PAGEREF _Toc141711903 \h </w:instrText>
        </w:r>
        <w:r w:rsidR="000F11A9">
          <w:rPr>
            <w:noProof/>
            <w:webHidden/>
          </w:rPr>
        </w:r>
        <w:r w:rsidR="000F11A9">
          <w:rPr>
            <w:noProof/>
            <w:webHidden/>
          </w:rPr>
          <w:fldChar w:fldCharType="separate"/>
        </w:r>
        <w:r w:rsidR="000F11A9">
          <w:rPr>
            <w:noProof/>
            <w:webHidden/>
          </w:rPr>
          <w:t>66</w:t>
        </w:r>
        <w:r w:rsidR="000F11A9">
          <w:rPr>
            <w:noProof/>
            <w:webHidden/>
          </w:rPr>
          <w:fldChar w:fldCharType="end"/>
        </w:r>
      </w:hyperlink>
    </w:p>
    <w:p w14:paraId="16717DA1" w14:textId="317D7ECB" w:rsidR="000F11A9" w:rsidRDefault="000D7DE5">
      <w:pPr>
        <w:pStyle w:val="TOC2"/>
        <w:rPr>
          <w:rFonts w:eastAsiaTheme="minorEastAsia" w:cstheme="minorBidi"/>
          <w:noProof/>
          <w:sz w:val="22"/>
          <w:szCs w:val="22"/>
          <w:lang w:eastAsia="en-GB"/>
        </w:rPr>
      </w:pPr>
      <w:hyperlink w:anchor="_Toc141711904" w:history="1">
        <w:r w:rsidR="000F11A9" w:rsidRPr="00C41525">
          <w:rPr>
            <w:rStyle w:val="Hyperlink"/>
            <w:noProof/>
          </w:rPr>
          <w:t>Part A: Key Performance Indicators and Subsidiary Performance Indicators Tables</w:t>
        </w:r>
        <w:r w:rsidR="000F11A9">
          <w:rPr>
            <w:noProof/>
            <w:webHidden/>
          </w:rPr>
          <w:tab/>
        </w:r>
        <w:r w:rsidR="000F11A9">
          <w:rPr>
            <w:noProof/>
            <w:webHidden/>
          </w:rPr>
          <w:fldChar w:fldCharType="begin"/>
        </w:r>
        <w:r w:rsidR="000F11A9">
          <w:rPr>
            <w:noProof/>
            <w:webHidden/>
          </w:rPr>
          <w:instrText xml:space="preserve"> PAGEREF _Toc141711904 \h </w:instrText>
        </w:r>
        <w:r w:rsidR="000F11A9">
          <w:rPr>
            <w:noProof/>
            <w:webHidden/>
          </w:rPr>
        </w:r>
        <w:r w:rsidR="000F11A9">
          <w:rPr>
            <w:noProof/>
            <w:webHidden/>
          </w:rPr>
          <w:fldChar w:fldCharType="separate"/>
        </w:r>
        <w:r w:rsidR="000F11A9">
          <w:rPr>
            <w:noProof/>
            <w:webHidden/>
          </w:rPr>
          <w:t>66</w:t>
        </w:r>
        <w:r w:rsidR="000F11A9">
          <w:rPr>
            <w:noProof/>
            <w:webHidden/>
          </w:rPr>
          <w:fldChar w:fldCharType="end"/>
        </w:r>
      </w:hyperlink>
    </w:p>
    <w:p w14:paraId="1AED42E3" w14:textId="13A98453" w:rsidR="000F11A9" w:rsidRDefault="000D7DE5">
      <w:pPr>
        <w:pStyle w:val="TOC2"/>
        <w:rPr>
          <w:rFonts w:eastAsiaTheme="minorEastAsia" w:cstheme="minorBidi"/>
          <w:noProof/>
          <w:sz w:val="22"/>
          <w:szCs w:val="22"/>
          <w:lang w:eastAsia="en-GB"/>
        </w:rPr>
      </w:pPr>
      <w:hyperlink w:anchor="_Toc141711905" w:history="1">
        <w:r w:rsidR="000F11A9" w:rsidRPr="00C41525">
          <w:rPr>
            <w:rStyle w:val="Hyperlink"/>
            <w:noProof/>
          </w:rPr>
          <w:t>Part B: Definitions</w:t>
        </w:r>
        <w:r w:rsidR="000F11A9">
          <w:rPr>
            <w:noProof/>
            <w:webHidden/>
          </w:rPr>
          <w:tab/>
        </w:r>
        <w:r w:rsidR="000F11A9">
          <w:rPr>
            <w:noProof/>
            <w:webHidden/>
          </w:rPr>
          <w:fldChar w:fldCharType="begin"/>
        </w:r>
        <w:r w:rsidR="000F11A9">
          <w:rPr>
            <w:noProof/>
            <w:webHidden/>
          </w:rPr>
          <w:instrText xml:space="preserve"> PAGEREF _Toc141711905 \h </w:instrText>
        </w:r>
        <w:r w:rsidR="000F11A9">
          <w:rPr>
            <w:noProof/>
            <w:webHidden/>
          </w:rPr>
        </w:r>
        <w:r w:rsidR="000F11A9">
          <w:rPr>
            <w:noProof/>
            <w:webHidden/>
          </w:rPr>
          <w:fldChar w:fldCharType="separate"/>
        </w:r>
        <w:r w:rsidR="000F11A9">
          <w:rPr>
            <w:noProof/>
            <w:webHidden/>
          </w:rPr>
          <w:t>76</w:t>
        </w:r>
        <w:r w:rsidR="000F11A9">
          <w:rPr>
            <w:noProof/>
            <w:webHidden/>
          </w:rPr>
          <w:fldChar w:fldCharType="end"/>
        </w:r>
      </w:hyperlink>
    </w:p>
    <w:p w14:paraId="1B2BB730" w14:textId="3A819DAD" w:rsidR="000F11A9" w:rsidRDefault="000D7DE5">
      <w:pPr>
        <w:pStyle w:val="TOC1"/>
        <w:rPr>
          <w:rFonts w:eastAsiaTheme="minorEastAsia" w:cstheme="minorBidi"/>
          <w:b w:val="0"/>
          <w:noProof/>
          <w:color w:val="auto"/>
          <w:sz w:val="22"/>
          <w:szCs w:val="22"/>
          <w:lang w:eastAsia="en-GB"/>
        </w:rPr>
      </w:pPr>
      <w:hyperlink w:anchor="_Toc141711906" w:history="1">
        <w:r w:rsidR="000F11A9" w:rsidRPr="00C41525">
          <w:rPr>
            <w:rStyle w:val="Hyperlink"/>
            <w:noProof/>
          </w:rPr>
          <w:t>Schedule 4: Standards</w:t>
        </w:r>
        <w:r w:rsidR="000F11A9">
          <w:rPr>
            <w:noProof/>
            <w:webHidden/>
          </w:rPr>
          <w:tab/>
        </w:r>
        <w:r w:rsidR="000F11A9">
          <w:rPr>
            <w:noProof/>
            <w:webHidden/>
          </w:rPr>
          <w:fldChar w:fldCharType="begin"/>
        </w:r>
        <w:r w:rsidR="000F11A9">
          <w:rPr>
            <w:noProof/>
            <w:webHidden/>
          </w:rPr>
          <w:instrText xml:space="preserve"> PAGEREF _Toc141711906 \h </w:instrText>
        </w:r>
        <w:r w:rsidR="000F11A9">
          <w:rPr>
            <w:noProof/>
            <w:webHidden/>
          </w:rPr>
        </w:r>
        <w:r w:rsidR="000F11A9">
          <w:rPr>
            <w:noProof/>
            <w:webHidden/>
          </w:rPr>
          <w:fldChar w:fldCharType="separate"/>
        </w:r>
        <w:r w:rsidR="000F11A9">
          <w:rPr>
            <w:noProof/>
            <w:webHidden/>
          </w:rPr>
          <w:t>81</w:t>
        </w:r>
        <w:r w:rsidR="000F11A9">
          <w:rPr>
            <w:noProof/>
            <w:webHidden/>
          </w:rPr>
          <w:fldChar w:fldCharType="end"/>
        </w:r>
      </w:hyperlink>
    </w:p>
    <w:p w14:paraId="771F732B" w14:textId="1236B0F9" w:rsidR="000F11A9" w:rsidRDefault="000D7DE5">
      <w:pPr>
        <w:pStyle w:val="TOC2"/>
        <w:rPr>
          <w:rFonts w:eastAsiaTheme="minorEastAsia" w:cstheme="minorBidi"/>
          <w:noProof/>
          <w:sz w:val="22"/>
          <w:szCs w:val="22"/>
          <w:lang w:eastAsia="en-GB"/>
        </w:rPr>
      </w:pPr>
      <w:hyperlink w:anchor="_Toc141711907" w:history="1">
        <w:r w:rsidR="000F11A9" w:rsidRPr="00C41525">
          <w:rPr>
            <w:rStyle w:val="Hyperlink"/>
            <w:noProof/>
          </w:rPr>
          <w:t>Annex 1: Sustainability</w:t>
        </w:r>
        <w:r w:rsidR="000F11A9">
          <w:rPr>
            <w:noProof/>
            <w:webHidden/>
          </w:rPr>
          <w:tab/>
        </w:r>
        <w:r w:rsidR="000F11A9">
          <w:rPr>
            <w:noProof/>
            <w:webHidden/>
          </w:rPr>
          <w:fldChar w:fldCharType="begin"/>
        </w:r>
        <w:r w:rsidR="000F11A9">
          <w:rPr>
            <w:noProof/>
            <w:webHidden/>
          </w:rPr>
          <w:instrText xml:space="preserve"> PAGEREF _Toc141711907 \h </w:instrText>
        </w:r>
        <w:r w:rsidR="000F11A9">
          <w:rPr>
            <w:noProof/>
            <w:webHidden/>
          </w:rPr>
        </w:r>
        <w:r w:rsidR="000F11A9">
          <w:rPr>
            <w:noProof/>
            <w:webHidden/>
          </w:rPr>
          <w:fldChar w:fldCharType="separate"/>
        </w:r>
        <w:r w:rsidR="000F11A9">
          <w:rPr>
            <w:noProof/>
            <w:webHidden/>
          </w:rPr>
          <w:t>84</w:t>
        </w:r>
        <w:r w:rsidR="000F11A9">
          <w:rPr>
            <w:noProof/>
            <w:webHidden/>
          </w:rPr>
          <w:fldChar w:fldCharType="end"/>
        </w:r>
      </w:hyperlink>
    </w:p>
    <w:p w14:paraId="0C922472" w14:textId="0F4881E7" w:rsidR="000F11A9" w:rsidRDefault="000D7DE5">
      <w:pPr>
        <w:pStyle w:val="TOC1"/>
        <w:rPr>
          <w:rFonts w:eastAsiaTheme="minorEastAsia" w:cstheme="minorBidi"/>
          <w:b w:val="0"/>
          <w:noProof/>
          <w:color w:val="auto"/>
          <w:sz w:val="22"/>
          <w:szCs w:val="22"/>
          <w:lang w:eastAsia="en-GB"/>
        </w:rPr>
      </w:pPr>
      <w:hyperlink w:anchor="_Toc141711908" w:history="1">
        <w:r w:rsidR="000F11A9" w:rsidRPr="00C41525">
          <w:rPr>
            <w:rStyle w:val="Hyperlink"/>
            <w:noProof/>
          </w:rPr>
          <w:t>Schedule 5: Security Management</w:t>
        </w:r>
        <w:r w:rsidR="000F11A9">
          <w:rPr>
            <w:noProof/>
            <w:webHidden/>
          </w:rPr>
          <w:tab/>
        </w:r>
        <w:r w:rsidR="000F11A9">
          <w:rPr>
            <w:noProof/>
            <w:webHidden/>
          </w:rPr>
          <w:fldChar w:fldCharType="begin"/>
        </w:r>
        <w:r w:rsidR="000F11A9">
          <w:rPr>
            <w:noProof/>
            <w:webHidden/>
          </w:rPr>
          <w:instrText xml:space="preserve"> PAGEREF _Toc141711908 \h </w:instrText>
        </w:r>
        <w:r w:rsidR="000F11A9">
          <w:rPr>
            <w:noProof/>
            <w:webHidden/>
          </w:rPr>
        </w:r>
        <w:r w:rsidR="000F11A9">
          <w:rPr>
            <w:noProof/>
            <w:webHidden/>
          </w:rPr>
          <w:fldChar w:fldCharType="separate"/>
        </w:r>
        <w:r w:rsidR="000F11A9">
          <w:rPr>
            <w:noProof/>
            <w:webHidden/>
          </w:rPr>
          <w:t>91</w:t>
        </w:r>
        <w:r w:rsidR="000F11A9">
          <w:rPr>
            <w:noProof/>
            <w:webHidden/>
          </w:rPr>
          <w:fldChar w:fldCharType="end"/>
        </w:r>
      </w:hyperlink>
    </w:p>
    <w:p w14:paraId="5D8CEB93" w14:textId="5DCB1F12" w:rsidR="000F11A9" w:rsidRDefault="000D7DE5">
      <w:pPr>
        <w:pStyle w:val="TOC2"/>
        <w:rPr>
          <w:rFonts w:eastAsiaTheme="minorEastAsia" w:cstheme="minorBidi"/>
          <w:noProof/>
          <w:sz w:val="22"/>
          <w:szCs w:val="22"/>
          <w:lang w:eastAsia="en-GB"/>
        </w:rPr>
      </w:pPr>
      <w:hyperlink w:anchor="_Toc141711909" w:history="1">
        <w:r w:rsidR="000F11A9" w:rsidRPr="00C41525">
          <w:rPr>
            <w:rStyle w:val="Hyperlink"/>
            <w:noProof/>
          </w:rPr>
          <w:t>Part A: Security Assurance</w:t>
        </w:r>
        <w:r w:rsidR="000F11A9">
          <w:rPr>
            <w:noProof/>
            <w:webHidden/>
          </w:rPr>
          <w:tab/>
        </w:r>
        <w:r w:rsidR="000F11A9">
          <w:rPr>
            <w:noProof/>
            <w:webHidden/>
          </w:rPr>
          <w:fldChar w:fldCharType="begin"/>
        </w:r>
        <w:r w:rsidR="000F11A9">
          <w:rPr>
            <w:noProof/>
            <w:webHidden/>
          </w:rPr>
          <w:instrText xml:space="preserve"> PAGEREF _Toc141711909 \h </w:instrText>
        </w:r>
        <w:r w:rsidR="000F11A9">
          <w:rPr>
            <w:noProof/>
            <w:webHidden/>
          </w:rPr>
        </w:r>
        <w:r w:rsidR="000F11A9">
          <w:rPr>
            <w:noProof/>
            <w:webHidden/>
          </w:rPr>
          <w:fldChar w:fldCharType="separate"/>
        </w:r>
        <w:r w:rsidR="000F11A9">
          <w:rPr>
            <w:noProof/>
            <w:webHidden/>
          </w:rPr>
          <w:t>94</w:t>
        </w:r>
        <w:r w:rsidR="000F11A9">
          <w:rPr>
            <w:noProof/>
            <w:webHidden/>
          </w:rPr>
          <w:fldChar w:fldCharType="end"/>
        </w:r>
      </w:hyperlink>
    </w:p>
    <w:p w14:paraId="02364F28" w14:textId="15AACAF7" w:rsidR="000F11A9" w:rsidRDefault="000D7DE5">
      <w:pPr>
        <w:pStyle w:val="TOC2"/>
        <w:rPr>
          <w:rFonts w:eastAsiaTheme="minorEastAsia" w:cstheme="minorBidi"/>
          <w:noProof/>
          <w:sz w:val="22"/>
          <w:szCs w:val="22"/>
          <w:lang w:eastAsia="en-GB"/>
        </w:rPr>
      </w:pPr>
      <w:hyperlink w:anchor="_Toc141711910" w:history="1">
        <w:r w:rsidR="000F11A9" w:rsidRPr="00C41525">
          <w:rPr>
            <w:rStyle w:val="Hyperlink"/>
            <w:noProof/>
          </w:rPr>
          <w:t>Annex 1: Security Requirements</w:t>
        </w:r>
        <w:r w:rsidR="000F11A9">
          <w:rPr>
            <w:noProof/>
            <w:webHidden/>
          </w:rPr>
          <w:tab/>
        </w:r>
        <w:r w:rsidR="000F11A9">
          <w:rPr>
            <w:noProof/>
            <w:webHidden/>
          </w:rPr>
          <w:fldChar w:fldCharType="begin"/>
        </w:r>
        <w:r w:rsidR="000F11A9">
          <w:rPr>
            <w:noProof/>
            <w:webHidden/>
          </w:rPr>
          <w:instrText xml:space="preserve"> PAGEREF _Toc141711910 \h </w:instrText>
        </w:r>
        <w:r w:rsidR="000F11A9">
          <w:rPr>
            <w:noProof/>
            <w:webHidden/>
          </w:rPr>
        </w:r>
        <w:r w:rsidR="000F11A9">
          <w:rPr>
            <w:noProof/>
            <w:webHidden/>
          </w:rPr>
          <w:fldChar w:fldCharType="separate"/>
        </w:r>
        <w:r w:rsidR="000F11A9">
          <w:rPr>
            <w:noProof/>
            <w:webHidden/>
          </w:rPr>
          <w:t>105</w:t>
        </w:r>
        <w:r w:rsidR="000F11A9">
          <w:rPr>
            <w:noProof/>
            <w:webHidden/>
          </w:rPr>
          <w:fldChar w:fldCharType="end"/>
        </w:r>
      </w:hyperlink>
    </w:p>
    <w:p w14:paraId="78876275" w14:textId="4084990D" w:rsidR="000F11A9" w:rsidRDefault="000D7DE5">
      <w:pPr>
        <w:pStyle w:val="TOC2"/>
        <w:rPr>
          <w:rFonts w:eastAsiaTheme="minorEastAsia" w:cstheme="minorBidi"/>
          <w:noProof/>
          <w:sz w:val="22"/>
          <w:szCs w:val="22"/>
          <w:lang w:eastAsia="en-GB"/>
        </w:rPr>
      </w:pPr>
      <w:hyperlink w:anchor="_Toc141711911" w:history="1">
        <w:r w:rsidR="000F11A9" w:rsidRPr="00C41525">
          <w:rPr>
            <w:rStyle w:val="Hyperlink"/>
            <w:noProof/>
          </w:rPr>
          <w:t>Annex 2: Security Requirements for Sub-Contractors</w:t>
        </w:r>
        <w:r w:rsidR="000F11A9">
          <w:rPr>
            <w:noProof/>
            <w:webHidden/>
          </w:rPr>
          <w:tab/>
        </w:r>
        <w:r w:rsidR="000F11A9">
          <w:rPr>
            <w:noProof/>
            <w:webHidden/>
          </w:rPr>
          <w:fldChar w:fldCharType="begin"/>
        </w:r>
        <w:r w:rsidR="000F11A9">
          <w:rPr>
            <w:noProof/>
            <w:webHidden/>
          </w:rPr>
          <w:instrText xml:space="preserve"> PAGEREF _Toc141711911 \h </w:instrText>
        </w:r>
        <w:r w:rsidR="000F11A9">
          <w:rPr>
            <w:noProof/>
            <w:webHidden/>
          </w:rPr>
        </w:r>
        <w:r w:rsidR="000F11A9">
          <w:rPr>
            <w:noProof/>
            <w:webHidden/>
          </w:rPr>
          <w:fldChar w:fldCharType="separate"/>
        </w:r>
        <w:r w:rsidR="000F11A9">
          <w:rPr>
            <w:noProof/>
            <w:webHidden/>
          </w:rPr>
          <w:t>112</w:t>
        </w:r>
        <w:r w:rsidR="000F11A9">
          <w:rPr>
            <w:noProof/>
            <w:webHidden/>
          </w:rPr>
          <w:fldChar w:fldCharType="end"/>
        </w:r>
      </w:hyperlink>
    </w:p>
    <w:p w14:paraId="7CD913CB" w14:textId="16EAFCB6" w:rsidR="000F11A9" w:rsidRDefault="000D7DE5">
      <w:pPr>
        <w:pStyle w:val="TOC2"/>
        <w:rPr>
          <w:rFonts w:eastAsiaTheme="minorEastAsia" w:cstheme="minorBidi"/>
          <w:noProof/>
          <w:sz w:val="22"/>
          <w:szCs w:val="22"/>
          <w:lang w:eastAsia="en-GB"/>
        </w:rPr>
      </w:pPr>
      <w:hyperlink w:anchor="_Toc141711912" w:history="1">
        <w:r w:rsidR="000F11A9" w:rsidRPr="00C41525">
          <w:rPr>
            <w:rStyle w:val="Hyperlink"/>
            <w:noProof/>
          </w:rPr>
          <w:t>Annex 3: Security Management Plan Template for Part A and Part B</w:t>
        </w:r>
        <w:r w:rsidR="000F11A9">
          <w:rPr>
            <w:noProof/>
            <w:webHidden/>
          </w:rPr>
          <w:tab/>
        </w:r>
        <w:r w:rsidR="000F11A9">
          <w:rPr>
            <w:noProof/>
            <w:webHidden/>
          </w:rPr>
          <w:fldChar w:fldCharType="begin"/>
        </w:r>
        <w:r w:rsidR="000F11A9">
          <w:rPr>
            <w:noProof/>
            <w:webHidden/>
          </w:rPr>
          <w:instrText xml:space="preserve"> PAGEREF _Toc141711912 \h </w:instrText>
        </w:r>
        <w:r w:rsidR="000F11A9">
          <w:rPr>
            <w:noProof/>
            <w:webHidden/>
          </w:rPr>
        </w:r>
        <w:r w:rsidR="000F11A9">
          <w:rPr>
            <w:noProof/>
            <w:webHidden/>
          </w:rPr>
          <w:fldChar w:fldCharType="separate"/>
        </w:r>
        <w:r w:rsidR="000F11A9">
          <w:rPr>
            <w:noProof/>
            <w:webHidden/>
          </w:rPr>
          <w:t>116</w:t>
        </w:r>
        <w:r w:rsidR="000F11A9">
          <w:rPr>
            <w:noProof/>
            <w:webHidden/>
          </w:rPr>
          <w:fldChar w:fldCharType="end"/>
        </w:r>
      </w:hyperlink>
    </w:p>
    <w:p w14:paraId="2ED95C3E" w14:textId="3A526102" w:rsidR="000F11A9" w:rsidRDefault="000D7DE5">
      <w:pPr>
        <w:pStyle w:val="TOC2"/>
        <w:rPr>
          <w:rFonts w:eastAsiaTheme="minorEastAsia" w:cstheme="minorBidi"/>
          <w:noProof/>
          <w:sz w:val="22"/>
          <w:szCs w:val="22"/>
          <w:lang w:eastAsia="en-GB"/>
        </w:rPr>
      </w:pPr>
      <w:hyperlink w:anchor="_Toc141711913" w:history="1">
        <w:r w:rsidR="000F11A9" w:rsidRPr="00C41525">
          <w:rPr>
            <w:rStyle w:val="Hyperlink"/>
            <w:noProof/>
          </w:rPr>
          <w:t>Part B: Security Accreditation</w:t>
        </w:r>
        <w:r w:rsidR="000F11A9">
          <w:rPr>
            <w:noProof/>
            <w:webHidden/>
          </w:rPr>
          <w:tab/>
        </w:r>
        <w:r w:rsidR="000F11A9">
          <w:rPr>
            <w:noProof/>
            <w:webHidden/>
          </w:rPr>
          <w:fldChar w:fldCharType="begin"/>
        </w:r>
        <w:r w:rsidR="000F11A9">
          <w:rPr>
            <w:noProof/>
            <w:webHidden/>
          </w:rPr>
          <w:instrText xml:space="preserve"> PAGEREF _Toc141711913 \h </w:instrText>
        </w:r>
        <w:r w:rsidR="000F11A9">
          <w:rPr>
            <w:noProof/>
            <w:webHidden/>
          </w:rPr>
        </w:r>
        <w:r w:rsidR="000F11A9">
          <w:rPr>
            <w:noProof/>
            <w:webHidden/>
          </w:rPr>
          <w:fldChar w:fldCharType="separate"/>
        </w:r>
        <w:r w:rsidR="000F11A9">
          <w:rPr>
            <w:noProof/>
            <w:webHidden/>
          </w:rPr>
          <w:t>121</w:t>
        </w:r>
        <w:r w:rsidR="000F11A9">
          <w:rPr>
            <w:noProof/>
            <w:webHidden/>
          </w:rPr>
          <w:fldChar w:fldCharType="end"/>
        </w:r>
      </w:hyperlink>
    </w:p>
    <w:p w14:paraId="63B475FC" w14:textId="26BBB096" w:rsidR="000F11A9" w:rsidRDefault="000D7DE5">
      <w:pPr>
        <w:pStyle w:val="TOC2"/>
        <w:rPr>
          <w:rFonts w:eastAsiaTheme="minorEastAsia" w:cstheme="minorBidi"/>
          <w:noProof/>
          <w:sz w:val="22"/>
          <w:szCs w:val="22"/>
          <w:lang w:eastAsia="en-GB"/>
        </w:rPr>
      </w:pPr>
      <w:hyperlink w:anchor="_Toc141711914" w:history="1">
        <w:r w:rsidR="000F11A9" w:rsidRPr="00C41525">
          <w:rPr>
            <w:rStyle w:val="Hyperlink"/>
            <w:noProof/>
          </w:rPr>
          <w:t>Annex 1: Baseline Security Requirements</w:t>
        </w:r>
        <w:r w:rsidR="000F11A9">
          <w:rPr>
            <w:noProof/>
            <w:webHidden/>
          </w:rPr>
          <w:tab/>
        </w:r>
        <w:r w:rsidR="000F11A9">
          <w:rPr>
            <w:noProof/>
            <w:webHidden/>
          </w:rPr>
          <w:fldChar w:fldCharType="begin"/>
        </w:r>
        <w:r w:rsidR="000F11A9">
          <w:rPr>
            <w:noProof/>
            <w:webHidden/>
          </w:rPr>
          <w:instrText xml:space="preserve"> PAGEREF _Toc141711914 \h </w:instrText>
        </w:r>
        <w:r w:rsidR="000F11A9">
          <w:rPr>
            <w:noProof/>
            <w:webHidden/>
          </w:rPr>
        </w:r>
        <w:r w:rsidR="000F11A9">
          <w:rPr>
            <w:noProof/>
            <w:webHidden/>
          </w:rPr>
          <w:fldChar w:fldCharType="separate"/>
        </w:r>
        <w:r w:rsidR="000F11A9">
          <w:rPr>
            <w:noProof/>
            <w:webHidden/>
          </w:rPr>
          <w:t>139</w:t>
        </w:r>
        <w:r w:rsidR="000F11A9">
          <w:rPr>
            <w:noProof/>
            <w:webHidden/>
          </w:rPr>
          <w:fldChar w:fldCharType="end"/>
        </w:r>
      </w:hyperlink>
    </w:p>
    <w:p w14:paraId="1D1F3EFB" w14:textId="029BA0DD" w:rsidR="000F11A9" w:rsidRDefault="000D7DE5">
      <w:pPr>
        <w:pStyle w:val="TOC2"/>
        <w:rPr>
          <w:rFonts w:eastAsiaTheme="minorEastAsia" w:cstheme="minorBidi"/>
          <w:noProof/>
          <w:sz w:val="22"/>
          <w:szCs w:val="22"/>
          <w:lang w:eastAsia="en-GB"/>
        </w:rPr>
      </w:pPr>
      <w:hyperlink w:anchor="_Toc141711915" w:history="1">
        <w:r w:rsidR="000F11A9" w:rsidRPr="00C41525">
          <w:rPr>
            <w:rStyle w:val="Hyperlink"/>
            <w:noProof/>
          </w:rPr>
          <w:t>Annex 2: Security Requirements for Sub-Contractors</w:t>
        </w:r>
        <w:r w:rsidR="000F11A9">
          <w:rPr>
            <w:noProof/>
            <w:webHidden/>
          </w:rPr>
          <w:tab/>
        </w:r>
        <w:r w:rsidR="000F11A9">
          <w:rPr>
            <w:noProof/>
            <w:webHidden/>
          </w:rPr>
          <w:fldChar w:fldCharType="begin"/>
        </w:r>
        <w:r w:rsidR="000F11A9">
          <w:rPr>
            <w:noProof/>
            <w:webHidden/>
          </w:rPr>
          <w:instrText xml:space="preserve"> PAGEREF _Toc141711915 \h </w:instrText>
        </w:r>
        <w:r w:rsidR="000F11A9">
          <w:rPr>
            <w:noProof/>
            <w:webHidden/>
          </w:rPr>
        </w:r>
        <w:r w:rsidR="000F11A9">
          <w:rPr>
            <w:noProof/>
            <w:webHidden/>
          </w:rPr>
          <w:fldChar w:fldCharType="separate"/>
        </w:r>
        <w:r w:rsidR="000F11A9">
          <w:rPr>
            <w:noProof/>
            <w:webHidden/>
          </w:rPr>
          <w:t>144</w:t>
        </w:r>
        <w:r w:rsidR="000F11A9">
          <w:rPr>
            <w:noProof/>
            <w:webHidden/>
          </w:rPr>
          <w:fldChar w:fldCharType="end"/>
        </w:r>
      </w:hyperlink>
    </w:p>
    <w:p w14:paraId="52BFF561" w14:textId="4EA2DF11" w:rsidR="000F11A9" w:rsidRDefault="000D7DE5">
      <w:pPr>
        <w:pStyle w:val="TOC2"/>
        <w:rPr>
          <w:rFonts w:eastAsiaTheme="minorEastAsia" w:cstheme="minorBidi"/>
          <w:noProof/>
          <w:sz w:val="22"/>
          <w:szCs w:val="22"/>
          <w:lang w:eastAsia="en-GB"/>
        </w:rPr>
      </w:pPr>
      <w:hyperlink w:anchor="_Toc141711916" w:history="1">
        <w:r w:rsidR="000F11A9" w:rsidRPr="00C41525">
          <w:rPr>
            <w:rStyle w:val="Hyperlink"/>
            <w:noProof/>
          </w:rPr>
          <w:t>Annex 3: Information Management System</w:t>
        </w:r>
        <w:r w:rsidR="000F11A9">
          <w:rPr>
            <w:noProof/>
            <w:webHidden/>
          </w:rPr>
          <w:tab/>
        </w:r>
        <w:r w:rsidR="000F11A9">
          <w:rPr>
            <w:noProof/>
            <w:webHidden/>
          </w:rPr>
          <w:fldChar w:fldCharType="begin"/>
        </w:r>
        <w:r w:rsidR="000F11A9">
          <w:rPr>
            <w:noProof/>
            <w:webHidden/>
          </w:rPr>
          <w:instrText xml:space="preserve"> PAGEREF _Toc141711916 \h </w:instrText>
        </w:r>
        <w:r w:rsidR="000F11A9">
          <w:rPr>
            <w:noProof/>
            <w:webHidden/>
          </w:rPr>
        </w:r>
        <w:r w:rsidR="000F11A9">
          <w:rPr>
            <w:noProof/>
            <w:webHidden/>
          </w:rPr>
          <w:fldChar w:fldCharType="separate"/>
        </w:r>
        <w:r w:rsidR="000F11A9">
          <w:rPr>
            <w:noProof/>
            <w:webHidden/>
          </w:rPr>
          <w:t>148</w:t>
        </w:r>
        <w:r w:rsidR="000F11A9">
          <w:rPr>
            <w:noProof/>
            <w:webHidden/>
          </w:rPr>
          <w:fldChar w:fldCharType="end"/>
        </w:r>
      </w:hyperlink>
    </w:p>
    <w:p w14:paraId="29356E0B" w14:textId="69625DAE" w:rsidR="000F11A9" w:rsidRDefault="000D7DE5">
      <w:pPr>
        <w:pStyle w:val="TOC1"/>
        <w:rPr>
          <w:rFonts w:eastAsiaTheme="minorEastAsia" w:cstheme="minorBidi"/>
          <w:b w:val="0"/>
          <w:noProof/>
          <w:color w:val="auto"/>
          <w:sz w:val="22"/>
          <w:szCs w:val="22"/>
          <w:lang w:eastAsia="en-GB"/>
        </w:rPr>
      </w:pPr>
      <w:hyperlink w:anchor="_Toc141711917" w:history="1">
        <w:r w:rsidR="000F11A9" w:rsidRPr="00C41525">
          <w:rPr>
            <w:rStyle w:val="Hyperlink"/>
            <w:noProof/>
          </w:rPr>
          <w:t>Schedule 6: Insurance Requirements</w:t>
        </w:r>
        <w:r w:rsidR="000F11A9">
          <w:rPr>
            <w:noProof/>
            <w:webHidden/>
          </w:rPr>
          <w:tab/>
        </w:r>
        <w:r w:rsidR="000F11A9">
          <w:rPr>
            <w:noProof/>
            <w:webHidden/>
          </w:rPr>
          <w:fldChar w:fldCharType="begin"/>
        </w:r>
        <w:r w:rsidR="000F11A9">
          <w:rPr>
            <w:noProof/>
            <w:webHidden/>
          </w:rPr>
          <w:instrText xml:space="preserve"> PAGEREF _Toc141711917 \h </w:instrText>
        </w:r>
        <w:r w:rsidR="000F11A9">
          <w:rPr>
            <w:noProof/>
            <w:webHidden/>
          </w:rPr>
        </w:r>
        <w:r w:rsidR="000F11A9">
          <w:rPr>
            <w:noProof/>
            <w:webHidden/>
          </w:rPr>
          <w:fldChar w:fldCharType="separate"/>
        </w:r>
        <w:r w:rsidR="000F11A9">
          <w:rPr>
            <w:noProof/>
            <w:webHidden/>
          </w:rPr>
          <w:t>150</w:t>
        </w:r>
        <w:r w:rsidR="000F11A9">
          <w:rPr>
            <w:noProof/>
            <w:webHidden/>
          </w:rPr>
          <w:fldChar w:fldCharType="end"/>
        </w:r>
      </w:hyperlink>
    </w:p>
    <w:p w14:paraId="01CB73BE" w14:textId="26357465" w:rsidR="000F11A9" w:rsidRDefault="000D7DE5">
      <w:pPr>
        <w:pStyle w:val="TOC2"/>
        <w:rPr>
          <w:rFonts w:eastAsiaTheme="minorEastAsia" w:cstheme="minorBidi"/>
          <w:noProof/>
          <w:sz w:val="22"/>
          <w:szCs w:val="22"/>
          <w:lang w:eastAsia="en-GB"/>
        </w:rPr>
      </w:pPr>
      <w:hyperlink w:anchor="_Toc141711918" w:history="1">
        <w:r w:rsidR="000F11A9" w:rsidRPr="00C41525">
          <w:rPr>
            <w:rStyle w:val="Hyperlink"/>
            <w:noProof/>
          </w:rPr>
          <w:t>Annex 1: Required Insurances</w:t>
        </w:r>
        <w:r w:rsidR="000F11A9">
          <w:rPr>
            <w:noProof/>
            <w:webHidden/>
          </w:rPr>
          <w:tab/>
        </w:r>
        <w:r w:rsidR="000F11A9">
          <w:rPr>
            <w:noProof/>
            <w:webHidden/>
          </w:rPr>
          <w:fldChar w:fldCharType="begin"/>
        </w:r>
        <w:r w:rsidR="000F11A9">
          <w:rPr>
            <w:noProof/>
            <w:webHidden/>
          </w:rPr>
          <w:instrText xml:space="preserve"> PAGEREF _Toc141711918 \h </w:instrText>
        </w:r>
        <w:r w:rsidR="000F11A9">
          <w:rPr>
            <w:noProof/>
            <w:webHidden/>
          </w:rPr>
        </w:r>
        <w:r w:rsidR="000F11A9">
          <w:rPr>
            <w:noProof/>
            <w:webHidden/>
          </w:rPr>
          <w:fldChar w:fldCharType="separate"/>
        </w:r>
        <w:r w:rsidR="000F11A9">
          <w:rPr>
            <w:noProof/>
            <w:webHidden/>
          </w:rPr>
          <w:t>153</w:t>
        </w:r>
        <w:r w:rsidR="000F11A9">
          <w:rPr>
            <w:noProof/>
            <w:webHidden/>
          </w:rPr>
          <w:fldChar w:fldCharType="end"/>
        </w:r>
      </w:hyperlink>
    </w:p>
    <w:p w14:paraId="7523E808" w14:textId="23301224" w:rsidR="000F11A9" w:rsidRDefault="000D7DE5">
      <w:pPr>
        <w:pStyle w:val="TOC2"/>
        <w:rPr>
          <w:rFonts w:eastAsiaTheme="minorEastAsia" w:cstheme="minorBidi"/>
          <w:noProof/>
          <w:sz w:val="22"/>
          <w:szCs w:val="22"/>
          <w:lang w:eastAsia="en-GB"/>
        </w:rPr>
      </w:pPr>
      <w:hyperlink w:anchor="_Toc141711919" w:history="1">
        <w:r w:rsidR="000F11A9" w:rsidRPr="00C41525">
          <w:rPr>
            <w:rStyle w:val="Hyperlink"/>
            <w:noProof/>
          </w:rPr>
          <w:t>Part A: Insurance Claim Notification</w:t>
        </w:r>
        <w:r w:rsidR="000F11A9">
          <w:rPr>
            <w:noProof/>
            <w:webHidden/>
          </w:rPr>
          <w:tab/>
        </w:r>
        <w:r w:rsidR="000F11A9">
          <w:rPr>
            <w:noProof/>
            <w:webHidden/>
          </w:rPr>
          <w:fldChar w:fldCharType="begin"/>
        </w:r>
        <w:r w:rsidR="000F11A9">
          <w:rPr>
            <w:noProof/>
            <w:webHidden/>
          </w:rPr>
          <w:instrText xml:space="preserve"> PAGEREF _Toc141711919 \h </w:instrText>
        </w:r>
        <w:r w:rsidR="000F11A9">
          <w:rPr>
            <w:noProof/>
            <w:webHidden/>
          </w:rPr>
        </w:r>
        <w:r w:rsidR="000F11A9">
          <w:rPr>
            <w:noProof/>
            <w:webHidden/>
          </w:rPr>
          <w:fldChar w:fldCharType="separate"/>
        </w:r>
        <w:r w:rsidR="000F11A9">
          <w:rPr>
            <w:noProof/>
            <w:webHidden/>
          </w:rPr>
          <w:t>153</w:t>
        </w:r>
        <w:r w:rsidR="000F11A9">
          <w:rPr>
            <w:noProof/>
            <w:webHidden/>
          </w:rPr>
          <w:fldChar w:fldCharType="end"/>
        </w:r>
      </w:hyperlink>
    </w:p>
    <w:p w14:paraId="7D897AF5" w14:textId="67CB23C2" w:rsidR="000F11A9" w:rsidRDefault="000D7DE5">
      <w:pPr>
        <w:pStyle w:val="TOC2"/>
        <w:rPr>
          <w:rFonts w:eastAsiaTheme="minorEastAsia" w:cstheme="minorBidi"/>
          <w:noProof/>
          <w:sz w:val="22"/>
          <w:szCs w:val="22"/>
          <w:lang w:eastAsia="en-GB"/>
        </w:rPr>
      </w:pPr>
      <w:hyperlink w:anchor="_Toc141711920" w:history="1">
        <w:r w:rsidR="000F11A9" w:rsidRPr="00C41525">
          <w:rPr>
            <w:rStyle w:val="Hyperlink"/>
            <w:noProof/>
          </w:rPr>
          <w:t>Part B: Third Party Public and Products Liability Insurance</w:t>
        </w:r>
        <w:r w:rsidR="000F11A9">
          <w:rPr>
            <w:noProof/>
            <w:webHidden/>
          </w:rPr>
          <w:tab/>
        </w:r>
        <w:r w:rsidR="000F11A9">
          <w:rPr>
            <w:noProof/>
            <w:webHidden/>
          </w:rPr>
          <w:fldChar w:fldCharType="begin"/>
        </w:r>
        <w:r w:rsidR="000F11A9">
          <w:rPr>
            <w:noProof/>
            <w:webHidden/>
          </w:rPr>
          <w:instrText xml:space="preserve"> PAGEREF _Toc141711920 \h </w:instrText>
        </w:r>
        <w:r w:rsidR="000F11A9">
          <w:rPr>
            <w:noProof/>
            <w:webHidden/>
          </w:rPr>
        </w:r>
        <w:r w:rsidR="000F11A9">
          <w:rPr>
            <w:noProof/>
            <w:webHidden/>
          </w:rPr>
          <w:fldChar w:fldCharType="separate"/>
        </w:r>
        <w:r w:rsidR="000F11A9">
          <w:rPr>
            <w:noProof/>
            <w:webHidden/>
          </w:rPr>
          <w:t>154</w:t>
        </w:r>
        <w:r w:rsidR="000F11A9">
          <w:rPr>
            <w:noProof/>
            <w:webHidden/>
          </w:rPr>
          <w:fldChar w:fldCharType="end"/>
        </w:r>
      </w:hyperlink>
    </w:p>
    <w:p w14:paraId="1E3F0A1C" w14:textId="3CBA1464" w:rsidR="000F11A9" w:rsidRDefault="000D7DE5">
      <w:pPr>
        <w:pStyle w:val="TOC2"/>
        <w:rPr>
          <w:rFonts w:eastAsiaTheme="minorEastAsia" w:cstheme="minorBidi"/>
          <w:noProof/>
          <w:sz w:val="22"/>
          <w:szCs w:val="22"/>
          <w:lang w:eastAsia="en-GB"/>
        </w:rPr>
      </w:pPr>
      <w:hyperlink w:anchor="_Toc141711921" w:history="1">
        <w:r w:rsidR="000F11A9" w:rsidRPr="00C41525">
          <w:rPr>
            <w:rStyle w:val="Hyperlink"/>
            <w:noProof/>
          </w:rPr>
          <w:t>Part C: United Kingdom Compulsory Insurances</w:t>
        </w:r>
        <w:r w:rsidR="000F11A9">
          <w:rPr>
            <w:noProof/>
            <w:webHidden/>
          </w:rPr>
          <w:tab/>
        </w:r>
        <w:r w:rsidR="000F11A9">
          <w:rPr>
            <w:noProof/>
            <w:webHidden/>
          </w:rPr>
          <w:fldChar w:fldCharType="begin"/>
        </w:r>
        <w:r w:rsidR="000F11A9">
          <w:rPr>
            <w:noProof/>
            <w:webHidden/>
          </w:rPr>
          <w:instrText xml:space="preserve"> PAGEREF _Toc141711921 \h </w:instrText>
        </w:r>
        <w:r w:rsidR="000F11A9">
          <w:rPr>
            <w:noProof/>
            <w:webHidden/>
          </w:rPr>
        </w:r>
        <w:r w:rsidR="000F11A9">
          <w:rPr>
            <w:noProof/>
            <w:webHidden/>
          </w:rPr>
          <w:fldChar w:fldCharType="separate"/>
        </w:r>
        <w:r w:rsidR="000F11A9">
          <w:rPr>
            <w:noProof/>
            <w:webHidden/>
          </w:rPr>
          <w:t>157</w:t>
        </w:r>
        <w:r w:rsidR="000F11A9">
          <w:rPr>
            <w:noProof/>
            <w:webHidden/>
          </w:rPr>
          <w:fldChar w:fldCharType="end"/>
        </w:r>
      </w:hyperlink>
    </w:p>
    <w:p w14:paraId="73738672" w14:textId="2EDDE21F" w:rsidR="000F11A9" w:rsidRDefault="000D7DE5">
      <w:pPr>
        <w:pStyle w:val="TOC2"/>
        <w:rPr>
          <w:rFonts w:eastAsiaTheme="minorEastAsia" w:cstheme="minorBidi"/>
          <w:noProof/>
          <w:sz w:val="22"/>
          <w:szCs w:val="22"/>
          <w:lang w:eastAsia="en-GB"/>
        </w:rPr>
      </w:pPr>
      <w:hyperlink w:anchor="_Toc141711922" w:history="1">
        <w:r w:rsidR="000F11A9" w:rsidRPr="00C41525">
          <w:rPr>
            <w:rStyle w:val="Hyperlink"/>
            <w:noProof/>
          </w:rPr>
          <w:t>Part D: Additional Insurances</w:t>
        </w:r>
        <w:r w:rsidR="000F11A9">
          <w:rPr>
            <w:noProof/>
            <w:webHidden/>
          </w:rPr>
          <w:tab/>
        </w:r>
        <w:r w:rsidR="000F11A9">
          <w:rPr>
            <w:noProof/>
            <w:webHidden/>
          </w:rPr>
          <w:fldChar w:fldCharType="begin"/>
        </w:r>
        <w:r w:rsidR="000F11A9">
          <w:rPr>
            <w:noProof/>
            <w:webHidden/>
          </w:rPr>
          <w:instrText xml:space="preserve"> PAGEREF _Toc141711922 \h </w:instrText>
        </w:r>
        <w:r w:rsidR="000F11A9">
          <w:rPr>
            <w:noProof/>
            <w:webHidden/>
          </w:rPr>
        </w:r>
        <w:r w:rsidR="000F11A9">
          <w:rPr>
            <w:noProof/>
            <w:webHidden/>
          </w:rPr>
          <w:fldChar w:fldCharType="separate"/>
        </w:r>
        <w:r w:rsidR="000F11A9">
          <w:rPr>
            <w:noProof/>
            <w:webHidden/>
          </w:rPr>
          <w:t>158</w:t>
        </w:r>
        <w:r w:rsidR="000F11A9">
          <w:rPr>
            <w:noProof/>
            <w:webHidden/>
          </w:rPr>
          <w:fldChar w:fldCharType="end"/>
        </w:r>
      </w:hyperlink>
    </w:p>
    <w:p w14:paraId="31F9BF0C" w14:textId="4DAE0BA6" w:rsidR="000F11A9" w:rsidRDefault="000D7DE5">
      <w:pPr>
        <w:pStyle w:val="TOC1"/>
        <w:rPr>
          <w:rFonts w:eastAsiaTheme="minorEastAsia" w:cstheme="minorBidi"/>
          <w:b w:val="0"/>
          <w:noProof/>
          <w:color w:val="auto"/>
          <w:sz w:val="22"/>
          <w:szCs w:val="22"/>
          <w:lang w:eastAsia="en-GB"/>
        </w:rPr>
      </w:pPr>
      <w:hyperlink w:anchor="_Toc141711923" w:history="1">
        <w:r w:rsidR="000F11A9" w:rsidRPr="00C41525">
          <w:rPr>
            <w:rStyle w:val="Hyperlink"/>
            <w:noProof/>
          </w:rPr>
          <w:t>Schedule 7: Authority Responsibilities</w:t>
        </w:r>
        <w:r w:rsidR="000F11A9">
          <w:rPr>
            <w:noProof/>
            <w:webHidden/>
          </w:rPr>
          <w:tab/>
        </w:r>
        <w:r w:rsidR="000F11A9">
          <w:rPr>
            <w:noProof/>
            <w:webHidden/>
          </w:rPr>
          <w:fldChar w:fldCharType="begin"/>
        </w:r>
        <w:r w:rsidR="000F11A9">
          <w:rPr>
            <w:noProof/>
            <w:webHidden/>
          </w:rPr>
          <w:instrText xml:space="preserve"> PAGEREF _Toc141711923 \h </w:instrText>
        </w:r>
        <w:r w:rsidR="000F11A9">
          <w:rPr>
            <w:noProof/>
            <w:webHidden/>
          </w:rPr>
        </w:r>
        <w:r w:rsidR="000F11A9">
          <w:rPr>
            <w:noProof/>
            <w:webHidden/>
          </w:rPr>
          <w:fldChar w:fldCharType="separate"/>
        </w:r>
        <w:r w:rsidR="000F11A9">
          <w:rPr>
            <w:noProof/>
            <w:webHidden/>
          </w:rPr>
          <w:t>160</w:t>
        </w:r>
        <w:r w:rsidR="000F11A9">
          <w:rPr>
            <w:noProof/>
            <w:webHidden/>
          </w:rPr>
          <w:fldChar w:fldCharType="end"/>
        </w:r>
      </w:hyperlink>
    </w:p>
    <w:p w14:paraId="5522FE1C" w14:textId="390EB3C2" w:rsidR="000F11A9" w:rsidRDefault="000D7DE5">
      <w:pPr>
        <w:pStyle w:val="TOC1"/>
        <w:rPr>
          <w:rFonts w:eastAsiaTheme="minorEastAsia" w:cstheme="minorBidi"/>
          <w:b w:val="0"/>
          <w:noProof/>
          <w:color w:val="auto"/>
          <w:sz w:val="22"/>
          <w:szCs w:val="22"/>
          <w:lang w:eastAsia="en-GB"/>
        </w:rPr>
      </w:pPr>
      <w:hyperlink w:anchor="_Toc141711924" w:history="1">
        <w:r w:rsidR="000F11A9" w:rsidRPr="00C41525">
          <w:rPr>
            <w:rStyle w:val="Hyperlink"/>
            <w:noProof/>
          </w:rPr>
          <w:t>Schedule 8: Supplier Solution</w:t>
        </w:r>
        <w:r w:rsidR="000F11A9">
          <w:rPr>
            <w:noProof/>
            <w:webHidden/>
          </w:rPr>
          <w:tab/>
        </w:r>
        <w:r w:rsidR="000F11A9">
          <w:rPr>
            <w:noProof/>
            <w:webHidden/>
          </w:rPr>
          <w:fldChar w:fldCharType="begin"/>
        </w:r>
        <w:r w:rsidR="000F11A9">
          <w:rPr>
            <w:noProof/>
            <w:webHidden/>
          </w:rPr>
          <w:instrText xml:space="preserve"> PAGEREF _Toc141711924 \h </w:instrText>
        </w:r>
        <w:r w:rsidR="000F11A9">
          <w:rPr>
            <w:noProof/>
            <w:webHidden/>
          </w:rPr>
        </w:r>
        <w:r w:rsidR="000F11A9">
          <w:rPr>
            <w:noProof/>
            <w:webHidden/>
          </w:rPr>
          <w:fldChar w:fldCharType="separate"/>
        </w:r>
        <w:r w:rsidR="000F11A9">
          <w:rPr>
            <w:noProof/>
            <w:webHidden/>
          </w:rPr>
          <w:t>163</w:t>
        </w:r>
        <w:r w:rsidR="000F11A9">
          <w:rPr>
            <w:noProof/>
            <w:webHidden/>
          </w:rPr>
          <w:fldChar w:fldCharType="end"/>
        </w:r>
      </w:hyperlink>
    </w:p>
    <w:p w14:paraId="3A7B4E57" w14:textId="2137D68F" w:rsidR="000F11A9" w:rsidRDefault="000D7DE5">
      <w:pPr>
        <w:pStyle w:val="TOC1"/>
        <w:rPr>
          <w:rFonts w:eastAsiaTheme="minorEastAsia" w:cstheme="minorBidi"/>
          <w:b w:val="0"/>
          <w:noProof/>
          <w:color w:val="auto"/>
          <w:sz w:val="22"/>
          <w:szCs w:val="22"/>
          <w:lang w:eastAsia="en-GB"/>
        </w:rPr>
      </w:pPr>
      <w:hyperlink w:anchor="_Toc141711925" w:history="1">
        <w:r w:rsidR="000F11A9" w:rsidRPr="00C41525">
          <w:rPr>
            <w:rStyle w:val="Hyperlink"/>
            <w:noProof/>
          </w:rPr>
          <w:t>Schedule 9: Commercially Sensitive Information</w:t>
        </w:r>
        <w:r w:rsidR="000F11A9">
          <w:rPr>
            <w:noProof/>
            <w:webHidden/>
          </w:rPr>
          <w:tab/>
        </w:r>
        <w:r w:rsidR="000F11A9">
          <w:rPr>
            <w:noProof/>
            <w:webHidden/>
          </w:rPr>
          <w:fldChar w:fldCharType="begin"/>
        </w:r>
        <w:r w:rsidR="000F11A9">
          <w:rPr>
            <w:noProof/>
            <w:webHidden/>
          </w:rPr>
          <w:instrText xml:space="preserve"> PAGEREF _Toc141711925 \h </w:instrText>
        </w:r>
        <w:r w:rsidR="000F11A9">
          <w:rPr>
            <w:noProof/>
            <w:webHidden/>
          </w:rPr>
        </w:r>
        <w:r w:rsidR="000F11A9">
          <w:rPr>
            <w:noProof/>
            <w:webHidden/>
          </w:rPr>
          <w:fldChar w:fldCharType="separate"/>
        </w:r>
        <w:r w:rsidR="000F11A9">
          <w:rPr>
            <w:noProof/>
            <w:webHidden/>
          </w:rPr>
          <w:t>165</w:t>
        </w:r>
        <w:r w:rsidR="000F11A9">
          <w:rPr>
            <w:noProof/>
            <w:webHidden/>
          </w:rPr>
          <w:fldChar w:fldCharType="end"/>
        </w:r>
      </w:hyperlink>
    </w:p>
    <w:p w14:paraId="2779351A" w14:textId="5EF3E7F7" w:rsidR="000F11A9" w:rsidRDefault="000D7DE5">
      <w:pPr>
        <w:pStyle w:val="TOC1"/>
        <w:rPr>
          <w:rFonts w:eastAsiaTheme="minorEastAsia" w:cstheme="minorBidi"/>
          <w:b w:val="0"/>
          <w:noProof/>
          <w:color w:val="auto"/>
          <w:sz w:val="22"/>
          <w:szCs w:val="22"/>
          <w:lang w:eastAsia="en-GB"/>
        </w:rPr>
      </w:pPr>
      <w:hyperlink w:anchor="_Toc141711926" w:history="1">
        <w:r w:rsidR="000F11A9" w:rsidRPr="00C41525">
          <w:rPr>
            <w:rStyle w:val="Hyperlink"/>
            <w:noProof/>
          </w:rPr>
          <w:t>Schedule 10: Notified Key Sub-Contractors</w:t>
        </w:r>
        <w:r w:rsidR="000F11A9">
          <w:rPr>
            <w:noProof/>
            <w:webHidden/>
          </w:rPr>
          <w:tab/>
        </w:r>
        <w:r w:rsidR="000F11A9">
          <w:rPr>
            <w:noProof/>
            <w:webHidden/>
          </w:rPr>
          <w:fldChar w:fldCharType="begin"/>
        </w:r>
        <w:r w:rsidR="000F11A9">
          <w:rPr>
            <w:noProof/>
            <w:webHidden/>
          </w:rPr>
          <w:instrText xml:space="preserve"> PAGEREF _Toc141711926 \h </w:instrText>
        </w:r>
        <w:r w:rsidR="000F11A9">
          <w:rPr>
            <w:noProof/>
            <w:webHidden/>
          </w:rPr>
        </w:r>
        <w:r w:rsidR="000F11A9">
          <w:rPr>
            <w:noProof/>
            <w:webHidden/>
          </w:rPr>
          <w:fldChar w:fldCharType="separate"/>
        </w:r>
        <w:r w:rsidR="000F11A9">
          <w:rPr>
            <w:noProof/>
            <w:webHidden/>
          </w:rPr>
          <w:t>167</w:t>
        </w:r>
        <w:r w:rsidR="000F11A9">
          <w:rPr>
            <w:noProof/>
            <w:webHidden/>
          </w:rPr>
          <w:fldChar w:fldCharType="end"/>
        </w:r>
      </w:hyperlink>
    </w:p>
    <w:p w14:paraId="6FF6E396" w14:textId="2B6A1F69" w:rsidR="000F11A9" w:rsidRDefault="000D7DE5">
      <w:pPr>
        <w:pStyle w:val="TOC1"/>
        <w:rPr>
          <w:rFonts w:eastAsiaTheme="minorEastAsia" w:cstheme="minorBidi"/>
          <w:b w:val="0"/>
          <w:noProof/>
          <w:color w:val="auto"/>
          <w:sz w:val="22"/>
          <w:szCs w:val="22"/>
          <w:lang w:eastAsia="en-GB"/>
        </w:rPr>
      </w:pPr>
      <w:hyperlink w:anchor="_Toc141711927" w:history="1">
        <w:r w:rsidR="000F11A9" w:rsidRPr="00C41525">
          <w:rPr>
            <w:rStyle w:val="Hyperlink"/>
            <w:noProof/>
          </w:rPr>
          <w:t>Schedule 11: Third Party Contracts</w:t>
        </w:r>
        <w:r w:rsidR="000F11A9">
          <w:rPr>
            <w:noProof/>
            <w:webHidden/>
          </w:rPr>
          <w:tab/>
        </w:r>
        <w:r w:rsidR="000F11A9">
          <w:rPr>
            <w:noProof/>
            <w:webHidden/>
          </w:rPr>
          <w:fldChar w:fldCharType="begin"/>
        </w:r>
        <w:r w:rsidR="000F11A9">
          <w:rPr>
            <w:noProof/>
            <w:webHidden/>
          </w:rPr>
          <w:instrText xml:space="preserve"> PAGEREF _Toc141711927 \h </w:instrText>
        </w:r>
        <w:r w:rsidR="000F11A9">
          <w:rPr>
            <w:noProof/>
            <w:webHidden/>
          </w:rPr>
        </w:r>
        <w:r w:rsidR="000F11A9">
          <w:rPr>
            <w:noProof/>
            <w:webHidden/>
          </w:rPr>
          <w:fldChar w:fldCharType="separate"/>
        </w:r>
        <w:r w:rsidR="000F11A9">
          <w:rPr>
            <w:noProof/>
            <w:webHidden/>
          </w:rPr>
          <w:t>169</w:t>
        </w:r>
        <w:r w:rsidR="000F11A9">
          <w:rPr>
            <w:noProof/>
            <w:webHidden/>
          </w:rPr>
          <w:fldChar w:fldCharType="end"/>
        </w:r>
      </w:hyperlink>
    </w:p>
    <w:p w14:paraId="6D85D3B9" w14:textId="77A4071F" w:rsidR="000F11A9" w:rsidRDefault="000D7DE5">
      <w:pPr>
        <w:pStyle w:val="TOC1"/>
        <w:rPr>
          <w:rFonts w:eastAsiaTheme="minorEastAsia" w:cstheme="minorBidi"/>
          <w:b w:val="0"/>
          <w:noProof/>
          <w:color w:val="auto"/>
          <w:sz w:val="22"/>
          <w:szCs w:val="22"/>
          <w:lang w:eastAsia="en-GB"/>
        </w:rPr>
      </w:pPr>
      <w:hyperlink w:anchor="_Toc141711928" w:history="1">
        <w:r w:rsidR="000F11A9" w:rsidRPr="00C41525">
          <w:rPr>
            <w:rStyle w:val="Hyperlink"/>
            <w:noProof/>
          </w:rPr>
          <w:t>Schedule 12: Software</w:t>
        </w:r>
        <w:r w:rsidR="000F11A9">
          <w:rPr>
            <w:noProof/>
            <w:webHidden/>
          </w:rPr>
          <w:tab/>
        </w:r>
        <w:r w:rsidR="000F11A9">
          <w:rPr>
            <w:noProof/>
            <w:webHidden/>
          </w:rPr>
          <w:fldChar w:fldCharType="begin"/>
        </w:r>
        <w:r w:rsidR="000F11A9">
          <w:rPr>
            <w:noProof/>
            <w:webHidden/>
          </w:rPr>
          <w:instrText xml:space="preserve"> PAGEREF _Toc141711928 \h </w:instrText>
        </w:r>
        <w:r w:rsidR="000F11A9">
          <w:rPr>
            <w:noProof/>
            <w:webHidden/>
          </w:rPr>
        </w:r>
        <w:r w:rsidR="000F11A9">
          <w:rPr>
            <w:noProof/>
            <w:webHidden/>
          </w:rPr>
          <w:fldChar w:fldCharType="separate"/>
        </w:r>
        <w:r w:rsidR="000F11A9">
          <w:rPr>
            <w:noProof/>
            <w:webHidden/>
          </w:rPr>
          <w:t>171</w:t>
        </w:r>
        <w:r w:rsidR="000F11A9">
          <w:rPr>
            <w:noProof/>
            <w:webHidden/>
          </w:rPr>
          <w:fldChar w:fldCharType="end"/>
        </w:r>
      </w:hyperlink>
    </w:p>
    <w:p w14:paraId="42183F24" w14:textId="21A48A08" w:rsidR="000F11A9" w:rsidRDefault="000D7DE5">
      <w:pPr>
        <w:pStyle w:val="TOC2"/>
        <w:rPr>
          <w:rFonts w:eastAsiaTheme="minorEastAsia" w:cstheme="minorBidi"/>
          <w:noProof/>
          <w:sz w:val="22"/>
          <w:szCs w:val="22"/>
          <w:lang w:eastAsia="en-GB"/>
        </w:rPr>
      </w:pPr>
      <w:hyperlink w:anchor="_Toc141711929" w:history="1">
        <w:r w:rsidR="000F11A9" w:rsidRPr="00C41525">
          <w:rPr>
            <w:rStyle w:val="Hyperlink"/>
            <w:noProof/>
          </w:rPr>
          <w:t>Annex 1: Form Of Confidentiality Undertaking</w:t>
        </w:r>
        <w:r w:rsidR="000F11A9">
          <w:rPr>
            <w:noProof/>
            <w:webHidden/>
          </w:rPr>
          <w:tab/>
        </w:r>
        <w:r w:rsidR="000F11A9">
          <w:rPr>
            <w:noProof/>
            <w:webHidden/>
          </w:rPr>
          <w:fldChar w:fldCharType="begin"/>
        </w:r>
        <w:r w:rsidR="000F11A9">
          <w:rPr>
            <w:noProof/>
            <w:webHidden/>
          </w:rPr>
          <w:instrText xml:space="preserve"> PAGEREF _Toc141711929 \h </w:instrText>
        </w:r>
        <w:r w:rsidR="000F11A9">
          <w:rPr>
            <w:noProof/>
            <w:webHidden/>
          </w:rPr>
        </w:r>
        <w:r w:rsidR="000F11A9">
          <w:rPr>
            <w:noProof/>
            <w:webHidden/>
          </w:rPr>
          <w:fldChar w:fldCharType="separate"/>
        </w:r>
        <w:r w:rsidR="000F11A9">
          <w:rPr>
            <w:noProof/>
            <w:webHidden/>
          </w:rPr>
          <w:t>173</w:t>
        </w:r>
        <w:r w:rsidR="000F11A9">
          <w:rPr>
            <w:noProof/>
            <w:webHidden/>
          </w:rPr>
          <w:fldChar w:fldCharType="end"/>
        </w:r>
      </w:hyperlink>
    </w:p>
    <w:p w14:paraId="373B2750" w14:textId="765417BA" w:rsidR="000F11A9" w:rsidRDefault="000D7DE5">
      <w:pPr>
        <w:pStyle w:val="TOC1"/>
        <w:rPr>
          <w:rFonts w:eastAsiaTheme="minorEastAsia" w:cstheme="minorBidi"/>
          <w:b w:val="0"/>
          <w:noProof/>
          <w:color w:val="auto"/>
          <w:sz w:val="22"/>
          <w:szCs w:val="22"/>
          <w:lang w:eastAsia="en-GB"/>
        </w:rPr>
      </w:pPr>
      <w:hyperlink w:anchor="_Toc141711930" w:history="1">
        <w:r w:rsidR="000F11A9" w:rsidRPr="00C41525">
          <w:rPr>
            <w:rStyle w:val="Hyperlink"/>
            <w:noProof/>
          </w:rPr>
          <w:t>Schedule 13: Implementation Plan</w:t>
        </w:r>
        <w:r w:rsidR="000F11A9">
          <w:rPr>
            <w:noProof/>
            <w:webHidden/>
          </w:rPr>
          <w:tab/>
        </w:r>
        <w:r w:rsidR="000F11A9">
          <w:rPr>
            <w:noProof/>
            <w:webHidden/>
          </w:rPr>
          <w:fldChar w:fldCharType="begin"/>
        </w:r>
        <w:r w:rsidR="000F11A9">
          <w:rPr>
            <w:noProof/>
            <w:webHidden/>
          </w:rPr>
          <w:instrText xml:space="preserve"> PAGEREF _Toc141711930 \h </w:instrText>
        </w:r>
        <w:r w:rsidR="000F11A9">
          <w:rPr>
            <w:noProof/>
            <w:webHidden/>
          </w:rPr>
        </w:r>
        <w:r w:rsidR="000F11A9">
          <w:rPr>
            <w:noProof/>
            <w:webHidden/>
          </w:rPr>
          <w:fldChar w:fldCharType="separate"/>
        </w:r>
        <w:r w:rsidR="000F11A9">
          <w:rPr>
            <w:noProof/>
            <w:webHidden/>
          </w:rPr>
          <w:t>180</w:t>
        </w:r>
        <w:r w:rsidR="000F11A9">
          <w:rPr>
            <w:noProof/>
            <w:webHidden/>
          </w:rPr>
          <w:fldChar w:fldCharType="end"/>
        </w:r>
      </w:hyperlink>
    </w:p>
    <w:p w14:paraId="735FFCBB" w14:textId="2FCCC68D" w:rsidR="000F11A9" w:rsidRDefault="000D7DE5">
      <w:pPr>
        <w:pStyle w:val="TOC2"/>
        <w:rPr>
          <w:rFonts w:eastAsiaTheme="minorEastAsia" w:cstheme="minorBidi"/>
          <w:noProof/>
          <w:sz w:val="22"/>
          <w:szCs w:val="22"/>
          <w:lang w:eastAsia="en-GB"/>
        </w:rPr>
      </w:pPr>
      <w:hyperlink w:anchor="_Toc141711931" w:history="1">
        <w:r w:rsidR="000F11A9" w:rsidRPr="00C41525">
          <w:rPr>
            <w:rStyle w:val="Hyperlink"/>
            <w:noProof/>
          </w:rPr>
          <w:t>Annex A: Outline Implementation Plan</w:t>
        </w:r>
        <w:r w:rsidR="000F11A9">
          <w:rPr>
            <w:noProof/>
            <w:webHidden/>
          </w:rPr>
          <w:tab/>
        </w:r>
        <w:r w:rsidR="000F11A9">
          <w:rPr>
            <w:noProof/>
            <w:webHidden/>
          </w:rPr>
          <w:fldChar w:fldCharType="begin"/>
        </w:r>
        <w:r w:rsidR="000F11A9">
          <w:rPr>
            <w:noProof/>
            <w:webHidden/>
          </w:rPr>
          <w:instrText xml:space="preserve"> PAGEREF _Toc141711931 \h </w:instrText>
        </w:r>
        <w:r w:rsidR="000F11A9">
          <w:rPr>
            <w:noProof/>
            <w:webHidden/>
          </w:rPr>
        </w:r>
        <w:r w:rsidR="000F11A9">
          <w:rPr>
            <w:noProof/>
            <w:webHidden/>
          </w:rPr>
          <w:fldChar w:fldCharType="separate"/>
        </w:r>
        <w:r w:rsidR="000F11A9">
          <w:rPr>
            <w:noProof/>
            <w:webHidden/>
          </w:rPr>
          <w:t>183</w:t>
        </w:r>
        <w:r w:rsidR="000F11A9">
          <w:rPr>
            <w:noProof/>
            <w:webHidden/>
          </w:rPr>
          <w:fldChar w:fldCharType="end"/>
        </w:r>
      </w:hyperlink>
    </w:p>
    <w:p w14:paraId="446F7583" w14:textId="47A0D5D6" w:rsidR="000F11A9" w:rsidRDefault="000D7DE5">
      <w:pPr>
        <w:pStyle w:val="TOC1"/>
        <w:rPr>
          <w:rFonts w:eastAsiaTheme="minorEastAsia" w:cstheme="minorBidi"/>
          <w:b w:val="0"/>
          <w:noProof/>
          <w:color w:val="auto"/>
          <w:sz w:val="22"/>
          <w:szCs w:val="22"/>
          <w:lang w:eastAsia="en-GB"/>
        </w:rPr>
      </w:pPr>
      <w:hyperlink w:anchor="_Toc141711932" w:history="1">
        <w:r w:rsidR="000F11A9" w:rsidRPr="00C41525">
          <w:rPr>
            <w:rStyle w:val="Hyperlink"/>
            <w:noProof/>
          </w:rPr>
          <w:t>Schedule 14: Testing Procedures</w:t>
        </w:r>
        <w:r w:rsidR="000F11A9">
          <w:rPr>
            <w:noProof/>
            <w:webHidden/>
          </w:rPr>
          <w:tab/>
        </w:r>
        <w:r w:rsidR="000F11A9">
          <w:rPr>
            <w:noProof/>
            <w:webHidden/>
          </w:rPr>
          <w:fldChar w:fldCharType="begin"/>
        </w:r>
        <w:r w:rsidR="000F11A9">
          <w:rPr>
            <w:noProof/>
            <w:webHidden/>
          </w:rPr>
          <w:instrText xml:space="preserve"> PAGEREF _Toc141711932 \h </w:instrText>
        </w:r>
        <w:r w:rsidR="000F11A9">
          <w:rPr>
            <w:noProof/>
            <w:webHidden/>
          </w:rPr>
        </w:r>
        <w:r w:rsidR="000F11A9">
          <w:rPr>
            <w:noProof/>
            <w:webHidden/>
          </w:rPr>
          <w:fldChar w:fldCharType="separate"/>
        </w:r>
        <w:r w:rsidR="000F11A9">
          <w:rPr>
            <w:noProof/>
            <w:webHidden/>
          </w:rPr>
          <w:t>186</w:t>
        </w:r>
        <w:r w:rsidR="000F11A9">
          <w:rPr>
            <w:noProof/>
            <w:webHidden/>
          </w:rPr>
          <w:fldChar w:fldCharType="end"/>
        </w:r>
      </w:hyperlink>
    </w:p>
    <w:p w14:paraId="02FC0BDE" w14:textId="77BAF4BA" w:rsidR="000F11A9" w:rsidRDefault="000D7DE5">
      <w:pPr>
        <w:pStyle w:val="TOC2"/>
        <w:rPr>
          <w:rFonts w:eastAsiaTheme="minorEastAsia" w:cstheme="minorBidi"/>
          <w:noProof/>
          <w:sz w:val="22"/>
          <w:szCs w:val="22"/>
          <w:lang w:eastAsia="en-GB"/>
        </w:rPr>
      </w:pPr>
      <w:hyperlink w:anchor="_Toc141711933" w:history="1">
        <w:r w:rsidR="000F11A9" w:rsidRPr="00C41525">
          <w:rPr>
            <w:rStyle w:val="Hyperlink"/>
            <w:noProof/>
          </w:rPr>
          <w:t>Annex 1: Test Issues – Severity Levels</w:t>
        </w:r>
        <w:r w:rsidR="000F11A9">
          <w:rPr>
            <w:noProof/>
            <w:webHidden/>
          </w:rPr>
          <w:tab/>
        </w:r>
        <w:r w:rsidR="000F11A9">
          <w:rPr>
            <w:noProof/>
            <w:webHidden/>
          </w:rPr>
          <w:fldChar w:fldCharType="begin"/>
        </w:r>
        <w:r w:rsidR="000F11A9">
          <w:rPr>
            <w:noProof/>
            <w:webHidden/>
          </w:rPr>
          <w:instrText xml:space="preserve"> PAGEREF _Toc141711933 \h </w:instrText>
        </w:r>
        <w:r w:rsidR="000F11A9">
          <w:rPr>
            <w:noProof/>
            <w:webHidden/>
          </w:rPr>
        </w:r>
        <w:r w:rsidR="000F11A9">
          <w:rPr>
            <w:noProof/>
            <w:webHidden/>
          </w:rPr>
          <w:fldChar w:fldCharType="separate"/>
        </w:r>
        <w:r w:rsidR="000F11A9">
          <w:rPr>
            <w:noProof/>
            <w:webHidden/>
          </w:rPr>
          <w:t>195</w:t>
        </w:r>
        <w:r w:rsidR="000F11A9">
          <w:rPr>
            <w:noProof/>
            <w:webHidden/>
          </w:rPr>
          <w:fldChar w:fldCharType="end"/>
        </w:r>
      </w:hyperlink>
    </w:p>
    <w:p w14:paraId="1A5FFEFF" w14:textId="63254B38" w:rsidR="000F11A9" w:rsidRDefault="000D7DE5">
      <w:pPr>
        <w:pStyle w:val="TOC2"/>
        <w:rPr>
          <w:rFonts w:eastAsiaTheme="minorEastAsia" w:cstheme="minorBidi"/>
          <w:noProof/>
          <w:sz w:val="22"/>
          <w:szCs w:val="22"/>
          <w:lang w:eastAsia="en-GB"/>
        </w:rPr>
      </w:pPr>
      <w:hyperlink w:anchor="_Toc141711934" w:history="1">
        <w:r w:rsidR="000F11A9" w:rsidRPr="00C41525">
          <w:rPr>
            <w:rStyle w:val="Hyperlink"/>
            <w:noProof/>
          </w:rPr>
          <w:t>Annex 2: Test Certificate</w:t>
        </w:r>
        <w:r w:rsidR="000F11A9">
          <w:rPr>
            <w:noProof/>
            <w:webHidden/>
          </w:rPr>
          <w:tab/>
        </w:r>
        <w:r w:rsidR="000F11A9">
          <w:rPr>
            <w:noProof/>
            <w:webHidden/>
          </w:rPr>
          <w:fldChar w:fldCharType="begin"/>
        </w:r>
        <w:r w:rsidR="000F11A9">
          <w:rPr>
            <w:noProof/>
            <w:webHidden/>
          </w:rPr>
          <w:instrText xml:space="preserve"> PAGEREF _Toc141711934 \h </w:instrText>
        </w:r>
        <w:r w:rsidR="000F11A9">
          <w:rPr>
            <w:noProof/>
            <w:webHidden/>
          </w:rPr>
        </w:r>
        <w:r w:rsidR="000F11A9">
          <w:rPr>
            <w:noProof/>
            <w:webHidden/>
          </w:rPr>
          <w:fldChar w:fldCharType="separate"/>
        </w:r>
        <w:r w:rsidR="000F11A9">
          <w:rPr>
            <w:noProof/>
            <w:webHidden/>
          </w:rPr>
          <w:t>196</w:t>
        </w:r>
        <w:r w:rsidR="000F11A9">
          <w:rPr>
            <w:noProof/>
            <w:webHidden/>
          </w:rPr>
          <w:fldChar w:fldCharType="end"/>
        </w:r>
      </w:hyperlink>
    </w:p>
    <w:p w14:paraId="6FC62AB8" w14:textId="42B4E237" w:rsidR="000F11A9" w:rsidRDefault="000D7DE5">
      <w:pPr>
        <w:pStyle w:val="TOC2"/>
        <w:rPr>
          <w:rFonts w:eastAsiaTheme="minorEastAsia" w:cstheme="minorBidi"/>
          <w:noProof/>
          <w:sz w:val="22"/>
          <w:szCs w:val="22"/>
          <w:lang w:eastAsia="en-GB"/>
        </w:rPr>
      </w:pPr>
      <w:hyperlink w:anchor="_Toc141711935" w:history="1">
        <w:r w:rsidR="000F11A9" w:rsidRPr="00C41525">
          <w:rPr>
            <w:rStyle w:val="Hyperlink"/>
            <w:noProof/>
          </w:rPr>
          <w:t>Annex 3: Milestone Achievement Certificate</w:t>
        </w:r>
        <w:r w:rsidR="000F11A9">
          <w:rPr>
            <w:noProof/>
            <w:webHidden/>
          </w:rPr>
          <w:tab/>
        </w:r>
        <w:r w:rsidR="000F11A9">
          <w:rPr>
            <w:noProof/>
            <w:webHidden/>
          </w:rPr>
          <w:fldChar w:fldCharType="begin"/>
        </w:r>
        <w:r w:rsidR="000F11A9">
          <w:rPr>
            <w:noProof/>
            <w:webHidden/>
          </w:rPr>
          <w:instrText xml:space="preserve"> PAGEREF _Toc141711935 \h </w:instrText>
        </w:r>
        <w:r w:rsidR="000F11A9">
          <w:rPr>
            <w:noProof/>
            <w:webHidden/>
          </w:rPr>
        </w:r>
        <w:r w:rsidR="000F11A9">
          <w:rPr>
            <w:noProof/>
            <w:webHidden/>
          </w:rPr>
          <w:fldChar w:fldCharType="separate"/>
        </w:r>
        <w:r w:rsidR="000F11A9">
          <w:rPr>
            <w:noProof/>
            <w:webHidden/>
          </w:rPr>
          <w:t>197</w:t>
        </w:r>
        <w:r w:rsidR="000F11A9">
          <w:rPr>
            <w:noProof/>
            <w:webHidden/>
          </w:rPr>
          <w:fldChar w:fldCharType="end"/>
        </w:r>
      </w:hyperlink>
    </w:p>
    <w:p w14:paraId="2061BA86" w14:textId="7BE4BBC7" w:rsidR="000F11A9" w:rsidRDefault="000D7DE5">
      <w:pPr>
        <w:pStyle w:val="TOC2"/>
        <w:rPr>
          <w:rFonts w:eastAsiaTheme="minorEastAsia" w:cstheme="minorBidi"/>
          <w:noProof/>
          <w:sz w:val="22"/>
          <w:szCs w:val="22"/>
          <w:lang w:eastAsia="en-GB"/>
        </w:rPr>
      </w:pPr>
      <w:hyperlink w:anchor="_Toc141711936" w:history="1">
        <w:r w:rsidR="000F11A9" w:rsidRPr="00C41525">
          <w:rPr>
            <w:rStyle w:val="Hyperlink"/>
            <w:noProof/>
          </w:rPr>
          <w:t>Annex 4: Test Success Criteria</w:t>
        </w:r>
        <w:r w:rsidR="000F11A9">
          <w:rPr>
            <w:noProof/>
            <w:webHidden/>
          </w:rPr>
          <w:tab/>
        </w:r>
        <w:r w:rsidR="000F11A9">
          <w:rPr>
            <w:noProof/>
            <w:webHidden/>
          </w:rPr>
          <w:fldChar w:fldCharType="begin"/>
        </w:r>
        <w:r w:rsidR="000F11A9">
          <w:rPr>
            <w:noProof/>
            <w:webHidden/>
          </w:rPr>
          <w:instrText xml:space="preserve"> PAGEREF _Toc141711936 \h </w:instrText>
        </w:r>
        <w:r w:rsidR="000F11A9">
          <w:rPr>
            <w:noProof/>
            <w:webHidden/>
          </w:rPr>
        </w:r>
        <w:r w:rsidR="000F11A9">
          <w:rPr>
            <w:noProof/>
            <w:webHidden/>
          </w:rPr>
          <w:fldChar w:fldCharType="separate"/>
        </w:r>
        <w:r w:rsidR="000F11A9">
          <w:rPr>
            <w:noProof/>
            <w:webHidden/>
          </w:rPr>
          <w:t>198</w:t>
        </w:r>
        <w:r w:rsidR="000F11A9">
          <w:rPr>
            <w:noProof/>
            <w:webHidden/>
          </w:rPr>
          <w:fldChar w:fldCharType="end"/>
        </w:r>
      </w:hyperlink>
    </w:p>
    <w:p w14:paraId="603D6CE3" w14:textId="1FEB9271" w:rsidR="000F11A9" w:rsidRDefault="000D7DE5">
      <w:pPr>
        <w:pStyle w:val="TOC1"/>
        <w:rPr>
          <w:rFonts w:eastAsiaTheme="minorEastAsia" w:cstheme="minorBidi"/>
          <w:b w:val="0"/>
          <w:noProof/>
          <w:color w:val="auto"/>
          <w:sz w:val="22"/>
          <w:szCs w:val="22"/>
          <w:lang w:eastAsia="en-GB"/>
        </w:rPr>
      </w:pPr>
      <w:hyperlink w:anchor="_Toc141711937" w:history="1">
        <w:r w:rsidR="000F11A9" w:rsidRPr="00C41525">
          <w:rPr>
            <w:rStyle w:val="Hyperlink"/>
            <w:noProof/>
          </w:rPr>
          <w:t>Schedule 15: Charges and Invoicing</w:t>
        </w:r>
        <w:r w:rsidR="000F11A9">
          <w:rPr>
            <w:noProof/>
            <w:webHidden/>
          </w:rPr>
          <w:tab/>
        </w:r>
        <w:r w:rsidR="000F11A9">
          <w:rPr>
            <w:noProof/>
            <w:webHidden/>
          </w:rPr>
          <w:fldChar w:fldCharType="begin"/>
        </w:r>
        <w:r w:rsidR="000F11A9">
          <w:rPr>
            <w:noProof/>
            <w:webHidden/>
          </w:rPr>
          <w:instrText xml:space="preserve"> PAGEREF _Toc141711937 \h </w:instrText>
        </w:r>
        <w:r w:rsidR="000F11A9">
          <w:rPr>
            <w:noProof/>
            <w:webHidden/>
          </w:rPr>
        </w:r>
        <w:r w:rsidR="000F11A9">
          <w:rPr>
            <w:noProof/>
            <w:webHidden/>
          </w:rPr>
          <w:fldChar w:fldCharType="separate"/>
        </w:r>
        <w:r w:rsidR="000F11A9">
          <w:rPr>
            <w:noProof/>
            <w:webHidden/>
          </w:rPr>
          <w:t>200</w:t>
        </w:r>
        <w:r w:rsidR="000F11A9">
          <w:rPr>
            <w:noProof/>
            <w:webHidden/>
          </w:rPr>
          <w:fldChar w:fldCharType="end"/>
        </w:r>
      </w:hyperlink>
    </w:p>
    <w:p w14:paraId="2F8721DF" w14:textId="01969B32" w:rsidR="000F11A9" w:rsidRDefault="000D7DE5">
      <w:pPr>
        <w:pStyle w:val="TOC2"/>
        <w:rPr>
          <w:rFonts w:eastAsiaTheme="minorEastAsia" w:cstheme="minorBidi"/>
          <w:noProof/>
          <w:sz w:val="22"/>
          <w:szCs w:val="22"/>
          <w:lang w:eastAsia="en-GB"/>
        </w:rPr>
      </w:pPr>
      <w:hyperlink w:anchor="_Toc141711938" w:history="1">
        <w:r w:rsidR="000F11A9" w:rsidRPr="00C41525">
          <w:rPr>
            <w:rStyle w:val="Hyperlink"/>
            <w:noProof/>
          </w:rPr>
          <w:t>Part A: Pricing</w:t>
        </w:r>
        <w:r w:rsidR="000F11A9">
          <w:rPr>
            <w:noProof/>
            <w:webHidden/>
          </w:rPr>
          <w:tab/>
        </w:r>
        <w:r w:rsidR="000F11A9">
          <w:rPr>
            <w:noProof/>
            <w:webHidden/>
          </w:rPr>
          <w:fldChar w:fldCharType="begin"/>
        </w:r>
        <w:r w:rsidR="000F11A9">
          <w:rPr>
            <w:noProof/>
            <w:webHidden/>
          </w:rPr>
          <w:instrText xml:space="preserve"> PAGEREF _Toc141711938 \h </w:instrText>
        </w:r>
        <w:r w:rsidR="000F11A9">
          <w:rPr>
            <w:noProof/>
            <w:webHidden/>
          </w:rPr>
        </w:r>
        <w:r w:rsidR="000F11A9">
          <w:rPr>
            <w:noProof/>
            <w:webHidden/>
          </w:rPr>
          <w:fldChar w:fldCharType="separate"/>
        </w:r>
        <w:r w:rsidR="000F11A9">
          <w:rPr>
            <w:noProof/>
            <w:webHidden/>
          </w:rPr>
          <w:t>205</w:t>
        </w:r>
        <w:r w:rsidR="000F11A9">
          <w:rPr>
            <w:noProof/>
            <w:webHidden/>
          </w:rPr>
          <w:fldChar w:fldCharType="end"/>
        </w:r>
      </w:hyperlink>
    </w:p>
    <w:p w14:paraId="6E2B46F2" w14:textId="5A01A2A8" w:rsidR="000F11A9" w:rsidRDefault="000D7DE5">
      <w:pPr>
        <w:pStyle w:val="TOC2"/>
        <w:rPr>
          <w:rFonts w:eastAsiaTheme="minorEastAsia" w:cstheme="minorBidi"/>
          <w:noProof/>
          <w:sz w:val="22"/>
          <w:szCs w:val="22"/>
          <w:lang w:eastAsia="en-GB"/>
        </w:rPr>
      </w:pPr>
      <w:hyperlink w:anchor="_Toc141711939" w:history="1">
        <w:r w:rsidR="000F11A9" w:rsidRPr="00C41525">
          <w:rPr>
            <w:rStyle w:val="Hyperlink"/>
            <w:noProof/>
          </w:rPr>
          <w:t>Part B: Charging Mechanisms</w:t>
        </w:r>
        <w:r w:rsidR="000F11A9">
          <w:rPr>
            <w:noProof/>
            <w:webHidden/>
          </w:rPr>
          <w:tab/>
        </w:r>
        <w:r w:rsidR="000F11A9">
          <w:rPr>
            <w:noProof/>
            <w:webHidden/>
          </w:rPr>
          <w:fldChar w:fldCharType="begin"/>
        </w:r>
        <w:r w:rsidR="000F11A9">
          <w:rPr>
            <w:noProof/>
            <w:webHidden/>
          </w:rPr>
          <w:instrText xml:space="preserve"> PAGEREF _Toc141711939 \h </w:instrText>
        </w:r>
        <w:r w:rsidR="000F11A9">
          <w:rPr>
            <w:noProof/>
            <w:webHidden/>
          </w:rPr>
        </w:r>
        <w:r w:rsidR="000F11A9">
          <w:rPr>
            <w:noProof/>
            <w:webHidden/>
          </w:rPr>
          <w:fldChar w:fldCharType="separate"/>
        </w:r>
        <w:r w:rsidR="000F11A9">
          <w:rPr>
            <w:noProof/>
            <w:webHidden/>
          </w:rPr>
          <w:t>209</w:t>
        </w:r>
        <w:r w:rsidR="000F11A9">
          <w:rPr>
            <w:noProof/>
            <w:webHidden/>
          </w:rPr>
          <w:fldChar w:fldCharType="end"/>
        </w:r>
      </w:hyperlink>
    </w:p>
    <w:p w14:paraId="0D4D9114" w14:textId="0443BB10" w:rsidR="000F11A9" w:rsidRDefault="000D7DE5">
      <w:pPr>
        <w:pStyle w:val="TOC2"/>
        <w:rPr>
          <w:rFonts w:eastAsiaTheme="minorEastAsia" w:cstheme="minorBidi"/>
          <w:noProof/>
          <w:sz w:val="22"/>
          <w:szCs w:val="22"/>
          <w:lang w:eastAsia="en-GB"/>
        </w:rPr>
      </w:pPr>
      <w:hyperlink w:anchor="_Toc141711940" w:history="1">
        <w:r w:rsidR="000F11A9" w:rsidRPr="00C41525">
          <w:rPr>
            <w:rStyle w:val="Hyperlink"/>
            <w:noProof/>
          </w:rPr>
          <w:t>Part C: Adjustments To The Charges And Risk Register</w:t>
        </w:r>
        <w:r w:rsidR="000F11A9">
          <w:rPr>
            <w:noProof/>
            <w:webHidden/>
          </w:rPr>
          <w:tab/>
        </w:r>
        <w:r w:rsidR="000F11A9">
          <w:rPr>
            <w:noProof/>
            <w:webHidden/>
          </w:rPr>
          <w:fldChar w:fldCharType="begin"/>
        </w:r>
        <w:r w:rsidR="000F11A9">
          <w:rPr>
            <w:noProof/>
            <w:webHidden/>
          </w:rPr>
          <w:instrText xml:space="preserve"> PAGEREF _Toc141711940 \h </w:instrText>
        </w:r>
        <w:r w:rsidR="000F11A9">
          <w:rPr>
            <w:noProof/>
            <w:webHidden/>
          </w:rPr>
        </w:r>
        <w:r w:rsidR="000F11A9">
          <w:rPr>
            <w:noProof/>
            <w:webHidden/>
          </w:rPr>
          <w:fldChar w:fldCharType="separate"/>
        </w:r>
        <w:r w:rsidR="000F11A9">
          <w:rPr>
            <w:noProof/>
            <w:webHidden/>
          </w:rPr>
          <w:t>212</w:t>
        </w:r>
        <w:r w:rsidR="000F11A9">
          <w:rPr>
            <w:noProof/>
            <w:webHidden/>
          </w:rPr>
          <w:fldChar w:fldCharType="end"/>
        </w:r>
      </w:hyperlink>
    </w:p>
    <w:p w14:paraId="73C353C0" w14:textId="70587CAB" w:rsidR="000F11A9" w:rsidRDefault="000D7DE5">
      <w:pPr>
        <w:pStyle w:val="TOC2"/>
        <w:rPr>
          <w:rFonts w:eastAsiaTheme="minorEastAsia" w:cstheme="minorBidi"/>
          <w:noProof/>
          <w:sz w:val="22"/>
          <w:szCs w:val="22"/>
          <w:lang w:eastAsia="en-GB"/>
        </w:rPr>
      </w:pPr>
      <w:hyperlink w:anchor="_Toc141711941" w:history="1">
        <w:r w:rsidR="000F11A9" w:rsidRPr="00C41525">
          <w:rPr>
            <w:rStyle w:val="Hyperlink"/>
            <w:noProof/>
          </w:rPr>
          <w:t>Part D: Excessive Supplier Profit Margin</w:t>
        </w:r>
        <w:r w:rsidR="000F11A9">
          <w:rPr>
            <w:noProof/>
            <w:webHidden/>
          </w:rPr>
          <w:tab/>
        </w:r>
        <w:r w:rsidR="000F11A9">
          <w:rPr>
            <w:noProof/>
            <w:webHidden/>
          </w:rPr>
          <w:fldChar w:fldCharType="begin"/>
        </w:r>
        <w:r w:rsidR="000F11A9">
          <w:rPr>
            <w:noProof/>
            <w:webHidden/>
          </w:rPr>
          <w:instrText xml:space="preserve"> PAGEREF _Toc141711941 \h </w:instrText>
        </w:r>
        <w:r w:rsidR="000F11A9">
          <w:rPr>
            <w:noProof/>
            <w:webHidden/>
          </w:rPr>
        </w:r>
        <w:r w:rsidR="000F11A9">
          <w:rPr>
            <w:noProof/>
            <w:webHidden/>
          </w:rPr>
          <w:fldChar w:fldCharType="separate"/>
        </w:r>
        <w:r w:rsidR="000F11A9">
          <w:rPr>
            <w:noProof/>
            <w:webHidden/>
          </w:rPr>
          <w:t>218</w:t>
        </w:r>
        <w:r w:rsidR="000F11A9">
          <w:rPr>
            <w:noProof/>
            <w:webHidden/>
          </w:rPr>
          <w:fldChar w:fldCharType="end"/>
        </w:r>
      </w:hyperlink>
    </w:p>
    <w:p w14:paraId="2770E264" w14:textId="1EE56E5F" w:rsidR="000F11A9" w:rsidRDefault="000D7DE5">
      <w:pPr>
        <w:pStyle w:val="TOC2"/>
        <w:rPr>
          <w:rFonts w:eastAsiaTheme="minorEastAsia" w:cstheme="minorBidi"/>
          <w:noProof/>
          <w:sz w:val="22"/>
          <w:szCs w:val="22"/>
          <w:lang w:eastAsia="en-GB"/>
        </w:rPr>
      </w:pPr>
      <w:hyperlink w:anchor="_Toc141711942" w:history="1">
        <w:r w:rsidR="000F11A9" w:rsidRPr="00C41525">
          <w:rPr>
            <w:rStyle w:val="Hyperlink"/>
            <w:noProof/>
          </w:rPr>
          <w:t>Part E: Invoicing and Payment Terms</w:t>
        </w:r>
        <w:r w:rsidR="000F11A9">
          <w:rPr>
            <w:noProof/>
            <w:webHidden/>
          </w:rPr>
          <w:tab/>
        </w:r>
        <w:r w:rsidR="000F11A9">
          <w:rPr>
            <w:noProof/>
            <w:webHidden/>
          </w:rPr>
          <w:fldChar w:fldCharType="begin"/>
        </w:r>
        <w:r w:rsidR="000F11A9">
          <w:rPr>
            <w:noProof/>
            <w:webHidden/>
          </w:rPr>
          <w:instrText xml:space="preserve"> PAGEREF _Toc141711942 \h </w:instrText>
        </w:r>
        <w:r w:rsidR="000F11A9">
          <w:rPr>
            <w:noProof/>
            <w:webHidden/>
          </w:rPr>
        </w:r>
        <w:r w:rsidR="000F11A9">
          <w:rPr>
            <w:noProof/>
            <w:webHidden/>
          </w:rPr>
          <w:fldChar w:fldCharType="separate"/>
        </w:r>
        <w:r w:rsidR="000F11A9">
          <w:rPr>
            <w:noProof/>
            <w:webHidden/>
          </w:rPr>
          <w:t>219</w:t>
        </w:r>
        <w:r w:rsidR="000F11A9">
          <w:rPr>
            <w:noProof/>
            <w:webHidden/>
          </w:rPr>
          <w:fldChar w:fldCharType="end"/>
        </w:r>
      </w:hyperlink>
    </w:p>
    <w:p w14:paraId="30A9D0B3" w14:textId="2F0E4FD8" w:rsidR="000F11A9" w:rsidRDefault="000D7DE5">
      <w:pPr>
        <w:pStyle w:val="TOC2"/>
        <w:rPr>
          <w:rFonts w:eastAsiaTheme="minorEastAsia" w:cstheme="minorBidi"/>
          <w:noProof/>
          <w:sz w:val="22"/>
          <w:szCs w:val="22"/>
          <w:lang w:eastAsia="en-GB"/>
        </w:rPr>
      </w:pPr>
      <w:hyperlink w:anchor="_Toc141711943" w:history="1">
        <w:r w:rsidR="000F11A9" w:rsidRPr="00C41525">
          <w:rPr>
            <w:rStyle w:val="Hyperlink"/>
            <w:noProof/>
          </w:rPr>
          <w:t>Annex 1: Pricing Mechanism</w:t>
        </w:r>
        <w:r w:rsidR="000F11A9">
          <w:rPr>
            <w:noProof/>
            <w:webHidden/>
          </w:rPr>
          <w:tab/>
        </w:r>
        <w:r w:rsidR="000F11A9">
          <w:rPr>
            <w:noProof/>
            <w:webHidden/>
          </w:rPr>
          <w:fldChar w:fldCharType="begin"/>
        </w:r>
        <w:r w:rsidR="000F11A9">
          <w:rPr>
            <w:noProof/>
            <w:webHidden/>
          </w:rPr>
          <w:instrText xml:space="preserve"> PAGEREF _Toc141711943 \h </w:instrText>
        </w:r>
        <w:r w:rsidR="000F11A9">
          <w:rPr>
            <w:noProof/>
            <w:webHidden/>
          </w:rPr>
        </w:r>
        <w:r w:rsidR="000F11A9">
          <w:rPr>
            <w:noProof/>
            <w:webHidden/>
          </w:rPr>
          <w:fldChar w:fldCharType="separate"/>
        </w:r>
        <w:r w:rsidR="000F11A9">
          <w:rPr>
            <w:noProof/>
            <w:webHidden/>
          </w:rPr>
          <w:t>221</w:t>
        </w:r>
        <w:r w:rsidR="000F11A9">
          <w:rPr>
            <w:noProof/>
            <w:webHidden/>
          </w:rPr>
          <w:fldChar w:fldCharType="end"/>
        </w:r>
      </w:hyperlink>
    </w:p>
    <w:p w14:paraId="7DB8299B" w14:textId="47502B69" w:rsidR="000F11A9" w:rsidRDefault="000D7DE5">
      <w:pPr>
        <w:pStyle w:val="TOC2"/>
        <w:rPr>
          <w:rFonts w:eastAsiaTheme="minorEastAsia" w:cstheme="minorBidi"/>
          <w:noProof/>
          <w:sz w:val="22"/>
          <w:szCs w:val="22"/>
          <w:lang w:eastAsia="en-GB"/>
        </w:rPr>
      </w:pPr>
      <w:hyperlink w:anchor="_Toc141711944" w:history="1">
        <w:r w:rsidR="000F11A9" w:rsidRPr="00C41525">
          <w:rPr>
            <w:rStyle w:val="Hyperlink"/>
            <w:noProof/>
          </w:rPr>
          <w:t>Annex 2: Charging Mechanism and Adjustments</w:t>
        </w:r>
        <w:r w:rsidR="000F11A9">
          <w:rPr>
            <w:noProof/>
            <w:webHidden/>
          </w:rPr>
          <w:tab/>
        </w:r>
        <w:r w:rsidR="000F11A9">
          <w:rPr>
            <w:noProof/>
            <w:webHidden/>
          </w:rPr>
          <w:fldChar w:fldCharType="begin"/>
        </w:r>
        <w:r w:rsidR="000F11A9">
          <w:rPr>
            <w:noProof/>
            <w:webHidden/>
          </w:rPr>
          <w:instrText xml:space="preserve"> PAGEREF _Toc141711944 \h </w:instrText>
        </w:r>
        <w:r w:rsidR="000F11A9">
          <w:rPr>
            <w:noProof/>
            <w:webHidden/>
          </w:rPr>
        </w:r>
        <w:r w:rsidR="000F11A9">
          <w:rPr>
            <w:noProof/>
            <w:webHidden/>
          </w:rPr>
          <w:fldChar w:fldCharType="separate"/>
        </w:r>
        <w:r w:rsidR="000F11A9">
          <w:rPr>
            <w:noProof/>
            <w:webHidden/>
          </w:rPr>
          <w:t>224</w:t>
        </w:r>
        <w:r w:rsidR="000F11A9">
          <w:rPr>
            <w:noProof/>
            <w:webHidden/>
          </w:rPr>
          <w:fldChar w:fldCharType="end"/>
        </w:r>
      </w:hyperlink>
    </w:p>
    <w:p w14:paraId="1D21238F" w14:textId="1F895A45" w:rsidR="000F11A9" w:rsidRDefault="000D7DE5">
      <w:pPr>
        <w:pStyle w:val="TOC2"/>
        <w:rPr>
          <w:rFonts w:eastAsiaTheme="minorEastAsia" w:cstheme="minorBidi"/>
          <w:noProof/>
          <w:sz w:val="22"/>
          <w:szCs w:val="22"/>
          <w:lang w:eastAsia="en-GB"/>
        </w:rPr>
      </w:pPr>
      <w:hyperlink w:anchor="_Toc141711945" w:history="1">
        <w:r w:rsidR="000F11A9" w:rsidRPr="00C41525">
          <w:rPr>
            <w:rStyle w:val="Hyperlink"/>
            <w:noProof/>
          </w:rPr>
          <w:t>Annex 3: Pro-forma Certificate of Costs</w:t>
        </w:r>
        <w:r w:rsidR="000F11A9">
          <w:rPr>
            <w:noProof/>
            <w:webHidden/>
          </w:rPr>
          <w:tab/>
        </w:r>
        <w:r w:rsidR="000F11A9">
          <w:rPr>
            <w:noProof/>
            <w:webHidden/>
          </w:rPr>
          <w:fldChar w:fldCharType="begin"/>
        </w:r>
        <w:r w:rsidR="000F11A9">
          <w:rPr>
            <w:noProof/>
            <w:webHidden/>
          </w:rPr>
          <w:instrText xml:space="preserve"> PAGEREF _Toc141711945 \h </w:instrText>
        </w:r>
        <w:r w:rsidR="000F11A9">
          <w:rPr>
            <w:noProof/>
            <w:webHidden/>
          </w:rPr>
        </w:r>
        <w:r w:rsidR="000F11A9">
          <w:rPr>
            <w:noProof/>
            <w:webHidden/>
          </w:rPr>
          <w:fldChar w:fldCharType="separate"/>
        </w:r>
        <w:r w:rsidR="000F11A9">
          <w:rPr>
            <w:noProof/>
            <w:webHidden/>
          </w:rPr>
          <w:t>226</w:t>
        </w:r>
        <w:r w:rsidR="000F11A9">
          <w:rPr>
            <w:noProof/>
            <w:webHidden/>
          </w:rPr>
          <w:fldChar w:fldCharType="end"/>
        </w:r>
      </w:hyperlink>
    </w:p>
    <w:p w14:paraId="1B5DEF5B" w14:textId="7ED447AC" w:rsidR="000F11A9" w:rsidRDefault="000D7DE5">
      <w:pPr>
        <w:pStyle w:val="TOC2"/>
        <w:rPr>
          <w:rFonts w:eastAsiaTheme="minorEastAsia" w:cstheme="minorBidi"/>
          <w:noProof/>
          <w:sz w:val="22"/>
          <w:szCs w:val="22"/>
          <w:lang w:eastAsia="en-GB"/>
        </w:rPr>
      </w:pPr>
      <w:hyperlink w:anchor="_Toc141711946" w:history="1">
        <w:r w:rsidR="000F11A9" w:rsidRPr="00C41525">
          <w:rPr>
            <w:rStyle w:val="Hyperlink"/>
            <w:noProof/>
          </w:rPr>
          <w:t>Annex 4: Risk Register</w:t>
        </w:r>
        <w:r w:rsidR="000F11A9">
          <w:rPr>
            <w:noProof/>
            <w:webHidden/>
          </w:rPr>
          <w:tab/>
        </w:r>
        <w:r w:rsidR="000F11A9">
          <w:rPr>
            <w:noProof/>
            <w:webHidden/>
          </w:rPr>
          <w:fldChar w:fldCharType="begin"/>
        </w:r>
        <w:r w:rsidR="000F11A9">
          <w:rPr>
            <w:noProof/>
            <w:webHidden/>
          </w:rPr>
          <w:instrText xml:space="preserve"> PAGEREF _Toc141711946 \h </w:instrText>
        </w:r>
        <w:r w:rsidR="000F11A9">
          <w:rPr>
            <w:noProof/>
            <w:webHidden/>
          </w:rPr>
        </w:r>
        <w:r w:rsidR="000F11A9">
          <w:rPr>
            <w:noProof/>
            <w:webHidden/>
          </w:rPr>
          <w:fldChar w:fldCharType="separate"/>
        </w:r>
        <w:r w:rsidR="000F11A9">
          <w:rPr>
            <w:noProof/>
            <w:webHidden/>
          </w:rPr>
          <w:t>227</w:t>
        </w:r>
        <w:r w:rsidR="000F11A9">
          <w:rPr>
            <w:noProof/>
            <w:webHidden/>
          </w:rPr>
          <w:fldChar w:fldCharType="end"/>
        </w:r>
      </w:hyperlink>
    </w:p>
    <w:p w14:paraId="7DB437B1" w14:textId="6F3DAEE9" w:rsidR="000F11A9" w:rsidRDefault="000D7DE5">
      <w:pPr>
        <w:pStyle w:val="TOC2"/>
        <w:rPr>
          <w:rFonts w:eastAsiaTheme="minorEastAsia" w:cstheme="minorBidi"/>
          <w:noProof/>
          <w:sz w:val="22"/>
          <w:szCs w:val="22"/>
          <w:lang w:eastAsia="en-GB"/>
        </w:rPr>
      </w:pPr>
      <w:hyperlink w:anchor="_Toc141711947" w:history="1">
        <w:r w:rsidR="000F11A9" w:rsidRPr="00C41525">
          <w:rPr>
            <w:rStyle w:val="Hyperlink"/>
            <w:noProof/>
          </w:rPr>
          <w:t>Annex 5: Allowable Assumptions</w:t>
        </w:r>
        <w:r w:rsidR="000F11A9">
          <w:rPr>
            <w:noProof/>
            <w:webHidden/>
          </w:rPr>
          <w:tab/>
        </w:r>
        <w:r w:rsidR="000F11A9">
          <w:rPr>
            <w:noProof/>
            <w:webHidden/>
          </w:rPr>
          <w:fldChar w:fldCharType="begin"/>
        </w:r>
        <w:r w:rsidR="000F11A9">
          <w:rPr>
            <w:noProof/>
            <w:webHidden/>
          </w:rPr>
          <w:instrText xml:space="preserve"> PAGEREF _Toc141711947 \h </w:instrText>
        </w:r>
        <w:r w:rsidR="000F11A9">
          <w:rPr>
            <w:noProof/>
            <w:webHidden/>
          </w:rPr>
        </w:r>
        <w:r w:rsidR="000F11A9">
          <w:rPr>
            <w:noProof/>
            <w:webHidden/>
          </w:rPr>
          <w:fldChar w:fldCharType="separate"/>
        </w:r>
        <w:r w:rsidR="000F11A9">
          <w:rPr>
            <w:noProof/>
            <w:webHidden/>
          </w:rPr>
          <w:t>228</w:t>
        </w:r>
        <w:r w:rsidR="000F11A9">
          <w:rPr>
            <w:noProof/>
            <w:webHidden/>
          </w:rPr>
          <w:fldChar w:fldCharType="end"/>
        </w:r>
      </w:hyperlink>
    </w:p>
    <w:p w14:paraId="05C98601" w14:textId="555FC6BD" w:rsidR="000F11A9" w:rsidRDefault="000D7DE5">
      <w:pPr>
        <w:pStyle w:val="TOC1"/>
        <w:rPr>
          <w:rFonts w:eastAsiaTheme="minorEastAsia" w:cstheme="minorBidi"/>
          <w:b w:val="0"/>
          <w:noProof/>
          <w:color w:val="auto"/>
          <w:sz w:val="22"/>
          <w:szCs w:val="22"/>
          <w:lang w:eastAsia="en-GB"/>
        </w:rPr>
      </w:pPr>
      <w:hyperlink w:anchor="_Toc141711948" w:history="1">
        <w:r w:rsidR="000F11A9" w:rsidRPr="00C41525">
          <w:rPr>
            <w:rStyle w:val="Hyperlink"/>
            <w:noProof/>
          </w:rPr>
          <w:t>Schedule 16: Payments on Termination</w:t>
        </w:r>
        <w:r w:rsidR="000F11A9">
          <w:rPr>
            <w:noProof/>
            <w:webHidden/>
          </w:rPr>
          <w:tab/>
        </w:r>
        <w:r w:rsidR="000F11A9">
          <w:rPr>
            <w:noProof/>
            <w:webHidden/>
          </w:rPr>
          <w:fldChar w:fldCharType="begin"/>
        </w:r>
        <w:r w:rsidR="000F11A9">
          <w:rPr>
            <w:noProof/>
            <w:webHidden/>
          </w:rPr>
          <w:instrText xml:space="preserve"> PAGEREF _Toc141711948 \h </w:instrText>
        </w:r>
        <w:r w:rsidR="000F11A9">
          <w:rPr>
            <w:noProof/>
            <w:webHidden/>
          </w:rPr>
        </w:r>
        <w:r w:rsidR="000F11A9">
          <w:rPr>
            <w:noProof/>
            <w:webHidden/>
          </w:rPr>
          <w:fldChar w:fldCharType="separate"/>
        </w:r>
        <w:r w:rsidR="000F11A9">
          <w:rPr>
            <w:noProof/>
            <w:webHidden/>
          </w:rPr>
          <w:t>230</w:t>
        </w:r>
        <w:r w:rsidR="000F11A9">
          <w:rPr>
            <w:noProof/>
            <w:webHidden/>
          </w:rPr>
          <w:fldChar w:fldCharType="end"/>
        </w:r>
      </w:hyperlink>
    </w:p>
    <w:p w14:paraId="1F267BDA" w14:textId="796F316A" w:rsidR="000F11A9" w:rsidRDefault="000D7DE5">
      <w:pPr>
        <w:pStyle w:val="TOC2"/>
        <w:rPr>
          <w:rFonts w:eastAsiaTheme="minorEastAsia" w:cstheme="minorBidi"/>
          <w:noProof/>
          <w:sz w:val="22"/>
          <w:szCs w:val="22"/>
          <w:lang w:eastAsia="en-GB"/>
        </w:rPr>
      </w:pPr>
      <w:hyperlink w:anchor="_Toc141711949" w:history="1">
        <w:r w:rsidR="000F11A9" w:rsidRPr="00C41525">
          <w:rPr>
            <w:rStyle w:val="Hyperlink"/>
            <w:noProof/>
          </w:rPr>
          <w:t>Annex 1: Maximum Payments on Termination</w:t>
        </w:r>
        <w:r w:rsidR="000F11A9">
          <w:rPr>
            <w:noProof/>
            <w:webHidden/>
          </w:rPr>
          <w:tab/>
        </w:r>
        <w:r w:rsidR="000F11A9">
          <w:rPr>
            <w:noProof/>
            <w:webHidden/>
          </w:rPr>
          <w:fldChar w:fldCharType="begin"/>
        </w:r>
        <w:r w:rsidR="000F11A9">
          <w:rPr>
            <w:noProof/>
            <w:webHidden/>
          </w:rPr>
          <w:instrText xml:space="preserve"> PAGEREF _Toc141711949 \h </w:instrText>
        </w:r>
        <w:r w:rsidR="000F11A9">
          <w:rPr>
            <w:noProof/>
            <w:webHidden/>
          </w:rPr>
        </w:r>
        <w:r w:rsidR="000F11A9">
          <w:rPr>
            <w:noProof/>
            <w:webHidden/>
          </w:rPr>
          <w:fldChar w:fldCharType="separate"/>
        </w:r>
        <w:r w:rsidR="000F11A9">
          <w:rPr>
            <w:noProof/>
            <w:webHidden/>
          </w:rPr>
          <w:t>237</w:t>
        </w:r>
        <w:r w:rsidR="000F11A9">
          <w:rPr>
            <w:noProof/>
            <w:webHidden/>
          </w:rPr>
          <w:fldChar w:fldCharType="end"/>
        </w:r>
      </w:hyperlink>
    </w:p>
    <w:p w14:paraId="226A2979" w14:textId="00DBD99D" w:rsidR="000F11A9" w:rsidRDefault="000D7DE5">
      <w:pPr>
        <w:pStyle w:val="TOC1"/>
        <w:rPr>
          <w:rFonts w:eastAsiaTheme="minorEastAsia" w:cstheme="minorBidi"/>
          <w:b w:val="0"/>
          <w:noProof/>
          <w:color w:val="auto"/>
          <w:sz w:val="22"/>
          <w:szCs w:val="22"/>
          <w:lang w:eastAsia="en-GB"/>
        </w:rPr>
      </w:pPr>
      <w:hyperlink w:anchor="_Toc141711950" w:history="1">
        <w:r w:rsidR="000F11A9" w:rsidRPr="00C41525">
          <w:rPr>
            <w:rStyle w:val="Hyperlink"/>
            <w:noProof/>
          </w:rPr>
          <w:t>Schedule 17: Benchmarking</w:t>
        </w:r>
        <w:r w:rsidR="000F11A9">
          <w:rPr>
            <w:noProof/>
            <w:webHidden/>
          </w:rPr>
          <w:tab/>
        </w:r>
        <w:r w:rsidR="000F11A9">
          <w:rPr>
            <w:noProof/>
            <w:webHidden/>
          </w:rPr>
          <w:fldChar w:fldCharType="begin"/>
        </w:r>
        <w:r w:rsidR="000F11A9">
          <w:rPr>
            <w:noProof/>
            <w:webHidden/>
          </w:rPr>
          <w:instrText xml:space="preserve"> PAGEREF _Toc141711950 \h </w:instrText>
        </w:r>
        <w:r w:rsidR="000F11A9">
          <w:rPr>
            <w:noProof/>
            <w:webHidden/>
          </w:rPr>
        </w:r>
        <w:r w:rsidR="000F11A9">
          <w:rPr>
            <w:noProof/>
            <w:webHidden/>
          </w:rPr>
          <w:fldChar w:fldCharType="separate"/>
        </w:r>
        <w:r w:rsidR="000F11A9">
          <w:rPr>
            <w:noProof/>
            <w:webHidden/>
          </w:rPr>
          <w:t>239</w:t>
        </w:r>
        <w:r w:rsidR="000F11A9">
          <w:rPr>
            <w:noProof/>
            <w:webHidden/>
          </w:rPr>
          <w:fldChar w:fldCharType="end"/>
        </w:r>
      </w:hyperlink>
    </w:p>
    <w:p w14:paraId="5DC5C12D" w14:textId="68FF1DC4" w:rsidR="000F11A9" w:rsidRDefault="000D7DE5">
      <w:pPr>
        <w:pStyle w:val="TOC2"/>
        <w:rPr>
          <w:rFonts w:eastAsiaTheme="minorEastAsia" w:cstheme="minorBidi"/>
          <w:noProof/>
          <w:sz w:val="22"/>
          <w:szCs w:val="22"/>
          <w:lang w:eastAsia="en-GB"/>
        </w:rPr>
      </w:pPr>
      <w:hyperlink w:anchor="_Toc141711951" w:history="1">
        <w:r w:rsidR="000F11A9" w:rsidRPr="00C41525">
          <w:rPr>
            <w:rStyle w:val="Hyperlink"/>
            <w:noProof/>
          </w:rPr>
          <w:t>Annex 1: Approved Benchmarkers</w:t>
        </w:r>
        <w:r w:rsidR="000F11A9">
          <w:rPr>
            <w:noProof/>
            <w:webHidden/>
          </w:rPr>
          <w:tab/>
        </w:r>
        <w:r w:rsidR="000F11A9">
          <w:rPr>
            <w:noProof/>
            <w:webHidden/>
          </w:rPr>
          <w:fldChar w:fldCharType="begin"/>
        </w:r>
        <w:r w:rsidR="000F11A9">
          <w:rPr>
            <w:noProof/>
            <w:webHidden/>
          </w:rPr>
          <w:instrText xml:space="preserve"> PAGEREF _Toc141711951 \h </w:instrText>
        </w:r>
        <w:r w:rsidR="000F11A9">
          <w:rPr>
            <w:noProof/>
            <w:webHidden/>
          </w:rPr>
        </w:r>
        <w:r w:rsidR="000F11A9">
          <w:rPr>
            <w:noProof/>
            <w:webHidden/>
          </w:rPr>
          <w:fldChar w:fldCharType="separate"/>
        </w:r>
        <w:r w:rsidR="000F11A9">
          <w:rPr>
            <w:noProof/>
            <w:webHidden/>
          </w:rPr>
          <w:t>245</w:t>
        </w:r>
        <w:r w:rsidR="000F11A9">
          <w:rPr>
            <w:noProof/>
            <w:webHidden/>
          </w:rPr>
          <w:fldChar w:fldCharType="end"/>
        </w:r>
      </w:hyperlink>
    </w:p>
    <w:p w14:paraId="0690BA5C" w14:textId="5C3056B2" w:rsidR="000F11A9" w:rsidRDefault="000D7DE5">
      <w:pPr>
        <w:pStyle w:val="TOC2"/>
        <w:rPr>
          <w:rFonts w:eastAsiaTheme="minorEastAsia" w:cstheme="minorBidi"/>
          <w:noProof/>
          <w:sz w:val="22"/>
          <w:szCs w:val="22"/>
          <w:lang w:eastAsia="en-GB"/>
        </w:rPr>
      </w:pPr>
      <w:hyperlink w:anchor="_Toc141711952" w:history="1">
        <w:r w:rsidR="000F11A9" w:rsidRPr="00C41525">
          <w:rPr>
            <w:rStyle w:val="Hyperlink"/>
            <w:noProof/>
          </w:rPr>
          <w:t>Annex 2: Confidentiality Agreement</w:t>
        </w:r>
        <w:r w:rsidR="000F11A9">
          <w:rPr>
            <w:noProof/>
            <w:webHidden/>
          </w:rPr>
          <w:tab/>
        </w:r>
        <w:r w:rsidR="000F11A9">
          <w:rPr>
            <w:noProof/>
            <w:webHidden/>
          </w:rPr>
          <w:fldChar w:fldCharType="begin"/>
        </w:r>
        <w:r w:rsidR="000F11A9">
          <w:rPr>
            <w:noProof/>
            <w:webHidden/>
          </w:rPr>
          <w:instrText xml:space="preserve"> PAGEREF _Toc141711952 \h </w:instrText>
        </w:r>
        <w:r w:rsidR="000F11A9">
          <w:rPr>
            <w:noProof/>
            <w:webHidden/>
          </w:rPr>
        </w:r>
        <w:r w:rsidR="000F11A9">
          <w:rPr>
            <w:noProof/>
            <w:webHidden/>
          </w:rPr>
          <w:fldChar w:fldCharType="separate"/>
        </w:r>
        <w:r w:rsidR="000F11A9">
          <w:rPr>
            <w:noProof/>
            <w:webHidden/>
          </w:rPr>
          <w:t>246</w:t>
        </w:r>
        <w:r w:rsidR="000F11A9">
          <w:rPr>
            <w:noProof/>
            <w:webHidden/>
          </w:rPr>
          <w:fldChar w:fldCharType="end"/>
        </w:r>
      </w:hyperlink>
    </w:p>
    <w:p w14:paraId="794A1B2F" w14:textId="2EAA2EFD" w:rsidR="000F11A9" w:rsidRDefault="000D7DE5">
      <w:pPr>
        <w:pStyle w:val="TOC1"/>
        <w:rPr>
          <w:rFonts w:eastAsiaTheme="minorEastAsia" w:cstheme="minorBidi"/>
          <w:b w:val="0"/>
          <w:noProof/>
          <w:color w:val="auto"/>
          <w:sz w:val="22"/>
          <w:szCs w:val="22"/>
          <w:lang w:eastAsia="en-GB"/>
        </w:rPr>
      </w:pPr>
      <w:hyperlink w:anchor="_Toc141711953" w:history="1">
        <w:r w:rsidR="000F11A9" w:rsidRPr="00C41525">
          <w:rPr>
            <w:rStyle w:val="Hyperlink"/>
            <w:noProof/>
          </w:rPr>
          <w:t>Schedule 18: Financial Distress</w:t>
        </w:r>
        <w:r w:rsidR="000F11A9">
          <w:rPr>
            <w:noProof/>
            <w:webHidden/>
          </w:rPr>
          <w:tab/>
        </w:r>
        <w:r w:rsidR="000F11A9">
          <w:rPr>
            <w:noProof/>
            <w:webHidden/>
          </w:rPr>
          <w:fldChar w:fldCharType="begin"/>
        </w:r>
        <w:r w:rsidR="000F11A9">
          <w:rPr>
            <w:noProof/>
            <w:webHidden/>
          </w:rPr>
          <w:instrText xml:space="preserve"> PAGEREF _Toc141711953 \h </w:instrText>
        </w:r>
        <w:r w:rsidR="000F11A9">
          <w:rPr>
            <w:noProof/>
            <w:webHidden/>
          </w:rPr>
        </w:r>
        <w:r w:rsidR="000F11A9">
          <w:rPr>
            <w:noProof/>
            <w:webHidden/>
          </w:rPr>
          <w:fldChar w:fldCharType="separate"/>
        </w:r>
        <w:r w:rsidR="000F11A9">
          <w:rPr>
            <w:noProof/>
            <w:webHidden/>
          </w:rPr>
          <w:t>253</w:t>
        </w:r>
        <w:r w:rsidR="000F11A9">
          <w:rPr>
            <w:noProof/>
            <w:webHidden/>
          </w:rPr>
          <w:fldChar w:fldCharType="end"/>
        </w:r>
      </w:hyperlink>
    </w:p>
    <w:p w14:paraId="2B01CA05" w14:textId="6A6232A1" w:rsidR="000F11A9" w:rsidRDefault="000D7DE5">
      <w:pPr>
        <w:pStyle w:val="TOC2"/>
        <w:rPr>
          <w:rFonts w:eastAsiaTheme="minorEastAsia" w:cstheme="minorBidi"/>
          <w:noProof/>
          <w:sz w:val="22"/>
          <w:szCs w:val="22"/>
          <w:lang w:eastAsia="en-GB"/>
        </w:rPr>
      </w:pPr>
      <w:hyperlink w:anchor="_Toc141711954" w:history="1">
        <w:r w:rsidR="000F11A9" w:rsidRPr="00C41525">
          <w:rPr>
            <w:rStyle w:val="Hyperlink"/>
            <w:noProof/>
          </w:rPr>
          <w:t>Annex 1: Rating Agencies and their Standard Rating System</w:t>
        </w:r>
        <w:r w:rsidR="000F11A9">
          <w:rPr>
            <w:noProof/>
            <w:webHidden/>
          </w:rPr>
          <w:tab/>
        </w:r>
        <w:r w:rsidR="000F11A9">
          <w:rPr>
            <w:noProof/>
            <w:webHidden/>
          </w:rPr>
          <w:fldChar w:fldCharType="begin"/>
        </w:r>
        <w:r w:rsidR="000F11A9">
          <w:rPr>
            <w:noProof/>
            <w:webHidden/>
          </w:rPr>
          <w:instrText xml:space="preserve"> PAGEREF _Toc141711954 \h </w:instrText>
        </w:r>
        <w:r w:rsidR="000F11A9">
          <w:rPr>
            <w:noProof/>
            <w:webHidden/>
          </w:rPr>
        </w:r>
        <w:r w:rsidR="000F11A9">
          <w:rPr>
            <w:noProof/>
            <w:webHidden/>
          </w:rPr>
          <w:fldChar w:fldCharType="separate"/>
        </w:r>
        <w:r w:rsidR="000F11A9">
          <w:rPr>
            <w:noProof/>
            <w:webHidden/>
          </w:rPr>
          <w:t>263</w:t>
        </w:r>
        <w:r w:rsidR="000F11A9">
          <w:rPr>
            <w:noProof/>
            <w:webHidden/>
          </w:rPr>
          <w:fldChar w:fldCharType="end"/>
        </w:r>
      </w:hyperlink>
    </w:p>
    <w:p w14:paraId="7EAFE3AD" w14:textId="1880D7E1" w:rsidR="000F11A9" w:rsidRDefault="000D7DE5">
      <w:pPr>
        <w:pStyle w:val="TOC2"/>
        <w:rPr>
          <w:rFonts w:eastAsiaTheme="minorEastAsia" w:cstheme="minorBidi"/>
          <w:noProof/>
          <w:sz w:val="22"/>
          <w:szCs w:val="22"/>
          <w:lang w:eastAsia="en-GB"/>
        </w:rPr>
      </w:pPr>
      <w:hyperlink w:anchor="_Toc141711955" w:history="1">
        <w:r w:rsidR="000F11A9" w:rsidRPr="00C41525">
          <w:rPr>
            <w:rStyle w:val="Hyperlink"/>
            <w:noProof/>
          </w:rPr>
          <w:t>Annex 2: Credit Ratings and Credit Rating Thresholds</w:t>
        </w:r>
        <w:r w:rsidR="000F11A9">
          <w:rPr>
            <w:noProof/>
            <w:webHidden/>
          </w:rPr>
          <w:tab/>
        </w:r>
        <w:r w:rsidR="000F11A9">
          <w:rPr>
            <w:noProof/>
            <w:webHidden/>
          </w:rPr>
          <w:fldChar w:fldCharType="begin"/>
        </w:r>
        <w:r w:rsidR="000F11A9">
          <w:rPr>
            <w:noProof/>
            <w:webHidden/>
          </w:rPr>
          <w:instrText xml:space="preserve"> PAGEREF _Toc141711955 \h </w:instrText>
        </w:r>
        <w:r w:rsidR="000F11A9">
          <w:rPr>
            <w:noProof/>
            <w:webHidden/>
          </w:rPr>
        </w:r>
        <w:r w:rsidR="000F11A9">
          <w:rPr>
            <w:noProof/>
            <w:webHidden/>
          </w:rPr>
          <w:fldChar w:fldCharType="separate"/>
        </w:r>
        <w:r w:rsidR="000F11A9">
          <w:rPr>
            <w:noProof/>
            <w:webHidden/>
          </w:rPr>
          <w:t>265</w:t>
        </w:r>
        <w:r w:rsidR="000F11A9">
          <w:rPr>
            <w:noProof/>
            <w:webHidden/>
          </w:rPr>
          <w:fldChar w:fldCharType="end"/>
        </w:r>
      </w:hyperlink>
    </w:p>
    <w:p w14:paraId="3CBE5717" w14:textId="0FE2112D" w:rsidR="000F11A9" w:rsidRDefault="000D7DE5">
      <w:pPr>
        <w:pStyle w:val="TOC2"/>
        <w:rPr>
          <w:rFonts w:eastAsiaTheme="minorEastAsia" w:cstheme="minorBidi"/>
          <w:noProof/>
          <w:sz w:val="22"/>
          <w:szCs w:val="22"/>
          <w:lang w:eastAsia="en-GB"/>
        </w:rPr>
      </w:pPr>
      <w:hyperlink w:anchor="_Toc141711956" w:history="1">
        <w:r w:rsidR="000F11A9" w:rsidRPr="00C41525">
          <w:rPr>
            <w:rStyle w:val="Hyperlink"/>
            <w:noProof/>
          </w:rPr>
          <w:t>Annex 3: Calculation Methodology for Financial Indicators</w:t>
        </w:r>
        <w:r w:rsidR="000F11A9">
          <w:rPr>
            <w:noProof/>
            <w:webHidden/>
          </w:rPr>
          <w:tab/>
        </w:r>
        <w:r w:rsidR="000F11A9">
          <w:rPr>
            <w:noProof/>
            <w:webHidden/>
          </w:rPr>
          <w:fldChar w:fldCharType="begin"/>
        </w:r>
        <w:r w:rsidR="000F11A9">
          <w:rPr>
            <w:noProof/>
            <w:webHidden/>
          </w:rPr>
          <w:instrText xml:space="preserve"> PAGEREF _Toc141711956 \h </w:instrText>
        </w:r>
        <w:r w:rsidR="000F11A9">
          <w:rPr>
            <w:noProof/>
            <w:webHidden/>
          </w:rPr>
        </w:r>
        <w:r w:rsidR="000F11A9">
          <w:rPr>
            <w:noProof/>
            <w:webHidden/>
          </w:rPr>
          <w:fldChar w:fldCharType="separate"/>
        </w:r>
        <w:r w:rsidR="000F11A9">
          <w:rPr>
            <w:noProof/>
            <w:webHidden/>
          </w:rPr>
          <w:t>266</w:t>
        </w:r>
        <w:r w:rsidR="000F11A9">
          <w:rPr>
            <w:noProof/>
            <w:webHidden/>
          </w:rPr>
          <w:fldChar w:fldCharType="end"/>
        </w:r>
      </w:hyperlink>
    </w:p>
    <w:p w14:paraId="6D1FCEEA" w14:textId="2573CB31" w:rsidR="000F11A9" w:rsidRDefault="000D7DE5">
      <w:pPr>
        <w:pStyle w:val="TOC2"/>
        <w:rPr>
          <w:rFonts w:eastAsiaTheme="minorEastAsia" w:cstheme="minorBidi"/>
          <w:noProof/>
          <w:sz w:val="22"/>
          <w:szCs w:val="22"/>
          <w:lang w:eastAsia="en-GB"/>
        </w:rPr>
      </w:pPr>
      <w:hyperlink w:anchor="_Toc141711957" w:history="1">
        <w:r w:rsidR="000F11A9" w:rsidRPr="00C41525">
          <w:rPr>
            <w:rStyle w:val="Hyperlink"/>
            <w:noProof/>
          </w:rPr>
          <w:t>Annex 4: Board Confirmation</w:t>
        </w:r>
        <w:r w:rsidR="000F11A9">
          <w:rPr>
            <w:noProof/>
            <w:webHidden/>
          </w:rPr>
          <w:tab/>
        </w:r>
        <w:r w:rsidR="000F11A9">
          <w:rPr>
            <w:noProof/>
            <w:webHidden/>
          </w:rPr>
          <w:fldChar w:fldCharType="begin"/>
        </w:r>
        <w:r w:rsidR="000F11A9">
          <w:rPr>
            <w:noProof/>
            <w:webHidden/>
          </w:rPr>
          <w:instrText xml:space="preserve"> PAGEREF _Toc141711957 \h </w:instrText>
        </w:r>
        <w:r w:rsidR="000F11A9">
          <w:rPr>
            <w:noProof/>
            <w:webHidden/>
          </w:rPr>
        </w:r>
        <w:r w:rsidR="000F11A9">
          <w:rPr>
            <w:noProof/>
            <w:webHidden/>
          </w:rPr>
          <w:fldChar w:fldCharType="separate"/>
        </w:r>
        <w:r w:rsidR="000F11A9">
          <w:rPr>
            <w:noProof/>
            <w:webHidden/>
          </w:rPr>
          <w:t>271</w:t>
        </w:r>
        <w:r w:rsidR="000F11A9">
          <w:rPr>
            <w:noProof/>
            <w:webHidden/>
          </w:rPr>
          <w:fldChar w:fldCharType="end"/>
        </w:r>
      </w:hyperlink>
    </w:p>
    <w:p w14:paraId="7851E4BC" w14:textId="301135BF" w:rsidR="000F11A9" w:rsidRDefault="000D7DE5">
      <w:pPr>
        <w:pStyle w:val="TOC1"/>
        <w:rPr>
          <w:rFonts w:eastAsiaTheme="minorEastAsia" w:cstheme="minorBidi"/>
          <w:b w:val="0"/>
          <w:noProof/>
          <w:color w:val="auto"/>
          <w:sz w:val="22"/>
          <w:szCs w:val="22"/>
          <w:lang w:eastAsia="en-GB"/>
        </w:rPr>
      </w:pPr>
      <w:hyperlink w:anchor="_Toc141711958" w:history="1">
        <w:r w:rsidR="000F11A9" w:rsidRPr="00C41525">
          <w:rPr>
            <w:rStyle w:val="Hyperlink"/>
            <w:noProof/>
          </w:rPr>
          <w:t>Schedule 19: Financial Reports and Audit Rights</w:t>
        </w:r>
        <w:r w:rsidR="000F11A9">
          <w:rPr>
            <w:noProof/>
            <w:webHidden/>
          </w:rPr>
          <w:tab/>
        </w:r>
        <w:r w:rsidR="000F11A9">
          <w:rPr>
            <w:noProof/>
            <w:webHidden/>
          </w:rPr>
          <w:fldChar w:fldCharType="begin"/>
        </w:r>
        <w:r w:rsidR="000F11A9">
          <w:rPr>
            <w:noProof/>
            <w:webHidden/>
          </w:rPr>
          <w:instrText xml:space="preserve"> PAGEREF _Toc141711958 \h </w:instrText>
        </w:r>
        <w:r w:rsidR="000F11A9">
          <w:rPr>
            <w:noProof/>
            <w:webHidden/>
          </w:rPr>
        </w:r>
        <w:r w:rsidR="000F11A9">
          <w:rPr>
            <w:noProof/>
            <w:webHidden/>
          </w:rPr>
          <w:fldChar w:fldCharType="separate"/>
        </w:r>
        <w:r w:rsidR="000F11A9">
          <w:rPr>
            <w:noProof/>
            <w:webHidden/>
          </w:rPr>
          <w:t>273</w:t>
        </w:r>
        <w:r w:rsidR="000F11A9">
          <w:rPr>
            <w:noProof/>
            <w:webHidden/>
          </w:rPr>
          <w:fldChar w:fldCharType="end"/>
        </w:r>
      </w:hyperlink>
    </w:p>
    <w:p w14:paraId="78C0F8B4" w14:textId="5DB175E7" w:rsidR="000F11A9" w:rsidRDefault="000D7DE5">
      <w:pPr>
        <w:pStyle w:val="TOC2"/>
        <w:rPr>
          <w:rFonts w:eastAsiaTheme="minorEastAsia" w:cstheme="minorBidi"/>
          <w:noProof/>
          <w:sz w:val="22"/>
          <w:szCs w:val="22"/>
          <w:lang w:eastAsia="en-GB"/>
        </w:rPr>
      </w:pPr>
      <w:hyperlink w:anchor="_Toc141711959" w:history="1">
        <w:r w:rsidR="000F11A9" w:rsidRPr="00C41525">
          <w:rPr>
            <w:rStyle w:val="Hyperlink"/>
            <w:noProof/>
          </w:rPr>
          <w:t>Part A: Financial Transparency Objectives and Open Book Data</w:t>
        </w:r>
        <w:r w:rsidR="000F11A9">
          <w:rPr>
            <w:noProof/>
            <w:webHidden/>
          </w:rPr>
          <w:tab/>
        </w:r>
        <w:r w:rsidR="000F11A9">
          <w:rPr>
            <w:noProof/>
            <w:webHidden/>
          </w:rPr>
          <w:fldChar w:fldCharType="begin"/>
        </w:r>
        <w:r w:rsidR="000F11A9">
          <w:rPr>
            <w:noProof/>
            <w:webHidden/>
          </w:rPr>
          <w:instrText xml:space="preserve"> PAGEREF _Toc141711959 \h </w:instrText>
        </w:r>
        <w:r w:rsidR="000F11A9">
          <w:rPr>
            <w:noProof/>
            <w:webHidden/>
          </w:rPr>
        </w:r>
        <w:r w:rsidR="000F11A9">
          <w:rPr>
            <w:noProof/>
            <w:webHidden/>
          </w:rPr>
          <w:fldChar w:fldCharType="separate"/>
        </w:r>
        <w:r w:rsidR="000F11A9">
          <w:rPr>
            <w:noProof/>
            <w:webHidden/>
          </w:rPr>
          <w:t>276</w:t>
        </w:r>
        <w:r w:rsidR="000F11A9">
          <w:rPr>
            <w:noProof/>
            <w:webHidden/>
          </w:rPr>
          <w:fldChar w:fldCharType="end"/>
        </w:r>
      </w:hyperlink>
    </w:p>
    <w:p w14:paraId="1E120DB3" w14:textId="59E6AFB8" w:rsidR="000F11A9" w:rsidRDefault="000D7DE5">
      <w:pPr>
        <w:pStyle w:val="TOC2"/>
        <w:rPr>
          <w:rFonts w:eastAsiaTheme="minorEastAsia" w:cstheme="minorBidi"/>
          <w:noProof/>
          <w:sz w:val="22"/>
          <w:szCs w:val="22"/>
          <w:lang w:eastAsia="en-GB"/>
        </w:rPr>
      </w:pPr>
      <w:hyperlink w:anchor="_Toc141711960" w:history="1">
        <w:r w:rsidR="000F11A9" w:rsidRPr="00C41525">
          <w:rPr>
            <w:rStyle w:val="Hyperlink"/>
            <w:noProof/>
          </w:rPr>
          <w:t>Part B: Financial Reports</w:t>
        </w:r>
        <w:r w:rsidR="000F11A9">
          <w:rPr>
            <w:noProof/>
            <w:webHidden/>
          </w:rPr>
          <w:tab/>
        </w:r>
        <w:r w:rsidR="000F11A9">
          <w:rPr>
            <w:noProof/>
            <w:webHidden/>
          </w:rPr>
          <w:fldChar w:fldCharType="begin"/>
        </w:r>
        <w:r w:rsidR="000F11A9">
          <w:rPr>
            <w:noProof/>
            <w:webHidden/>
          </w:rPr>
          <w:instrText xml:space="preserve"> PAGEREF _Toc141711960 \h </w:instrText>
        </w:r>
        <w:r w:rsidR="000F11A9">
          <w:rPr>
            <w:noProof/>
            <w:webHidden/>
          </w:rPr>
        </w:r>
        <w:r w:rsidR="000F11A9">
          <w:rPr>
            <w:noProof/>
            <w:webHidden/>
          </w:rPr>
          <w:fldChar w:fldCharType="separate"/>
        </w:r>
        <w:r w:rsidR="000F11A9">
          <w:rPr>
            <w:noProof/>
            <w:webHidden/>
          </w:rPr>
          <w:t>278</w:t>
        </w:r>
        <w:r w:rsidR="000F11A9">
          <w:rPr>
            <w:noProof/>
            <w:webHidden/>
          </w:rPr>
          <w:fldChar w:fldCharType="end"/>
        </w:r>
      </w:hyperlink>
    </w:p>
    <w:p w14:paraId="35A44CB1" w14:textId="7E3B9D54" w:rsidR="000F11A9" w:rsidRDefault="000D7DE5">
      <w:pPr>
        <w:pStyle w:val="TOC2"/>
        <w:rPr>
          <w:rFonts w:eastAsiaTheme="minorEastAsia" w:cstheme="minorBidi"/>
          <w:noProof/>
          <w:sz w:val="22"/>
          <w:szCs w:val="22"/>
          <w:lang w:eastAsia="en-GB"/>
        </w:rPr>
      </w:pPr>
      <w:hyperlink w:anchor="_Toc141711961" w:history="1">
        <w:r w:rsidR="000F11A9" w:rsidRPr="00C41525">
          <w:rPr>
            <w:rStyle w:val="Hyperlink"/>
            <w:noProof/>
          </w:rPr>
          <w:t>Part C: Audit Rights</w:t>
        </w:r>
        <w:r w:rsidR="000F11A9">
          <w:rPr>
            <w:noProof/>
            <w:webHidden/>
          </w:rPr>
          <w:tab/>
        </w:r>
        <w:r w:rsidR="000F11A9">
          <w:rPr>
            <w:noProof/>
            <w:webHidden/>
          </w:rPr>
          <w:fldChar w:fldCharType="begin"/>
        </w:r>
        <w:r w:rsidR="000F11A9">
          <w:rPr>
            <w:noProof/>
            <w:webHidden/>
          </w:rPr>
          <w:instrText xml:space="preserve"> PAGEREF _Toc141711961 \h </w:instrText>
        </w:r>
        <w:r w:rsidR="000F11A9">
          <w:rPr>
            <w:noProof/>
            <w:webHidden/>
          </w:rPr>
        </w:r>
        <w:r w:rsidR="000F11A9">
          <w:rPr>
            <w:noProof/>
            <w:webHidden/>
          </w:rPr>
          <w:fldChar w:fldCharType="separate"/>
        </w:r>
        <w:r w:rsidR="000F11A9">
          <w:rPr>
            <w:noProof/>
            <w:webHidden/>
          </w:rPr>
          <w:t>281</w:t>
        </w:r>
        <w:r w:rsidR="000F11A9">
          <w:rPr>
            <w:noProof/>
            <w:webHidden/>
          </w:rPr>
          <w:fldChar w:fldCharType="end"/>
        </w:r>
      </w:hyperlink>
    </w:p>
    <w:p w14:paraId="7B1EF2C5" w14:textId="22E6F6B6" w:rsidR="000F11A9" w:rsidRDefault="000D7DE5">
      <w:pPr>
        <w:pStyle w:val="TOC1"/>
        <w:rPr>
          <w:rFonts w:eastAsiaTheme="minorEastAsia" w:cstheme="minorBidi"/>
          <w:b w:val="0"/>
          <w:noProof/>
          <w:color w:val="auto"/>
          <w:sz w:val="22"/>
          <w:szCs w:val="22"/>
          <w:lang w:eastAsia="en-GB"/>
        </w:rPr>
      </w:pPr>
      <w:hyperlink w:anchor="_Toc141711962" w:history="1">
        <w:r w:rsidR="000F11A9" w:rsidRPr="00C41525">
          <w:rPr>
            <w:rStyle w:val="Hyperlink"/>
            <w:noProof/>
          </w:rPr>
          <w:t>Schedule 20: Anticipated Savings</w:t>
        </w:r>
        <w:r w:rsidR="000F11A9">
          <w:rPr>
            <w:noProof/>
            <w:webHidden/>
          </w:rPr>
          <w:tab/>
        </w:r>
        <w:r w:rsidR="000F11A9">
          <w:rPr>
            <w:noProof/>
            <w:webHidden/>
          </w:rPr>
          <w:fldChar w:fldCharType="begin"/>
        </w:r>
        <w:r w:rsidR="000F11A9">
          <w:rPr>
            <w:noProof/>
            <w:webHidden/>
          </w:rPr>
          <w:instrText xml:space="preserve"> PAGEREF _Toc141711962 \h </w:instrText>
        </w:r>
        <w:r w:rsidR="000F11A9">
          <w:rPr>
            <w:noProof/>
            <w:webHidden/>
          </w:rPr>
        </w:r>
        <w:r w:rsidR="000F11A9">
          <w:rPr>
            <w:noProof/>
            <w:webHidden/>
          </w:rPr>
          <w:fldChar w:fldCharType="separate"/>
        </w:r>
        <w:r w:rsidR="000F11A9">
          <w:rPr>
            <w:noProof/>
            <w:webHidden/>
          </w:rPr>
          <w:t>285</w:t>
        </w:r>
        <w:r w:rsidR="000F11A9">
          <w:rPr>
            <w:noProof/>
            <w:webHidden/>
          </w:rPr>
          <w:fldChar w:fldCharType="end"/>
        </w:r>
      </w:hyperlink>
    </w:p>
    <w:p w14:paraId="6D5472EA" w14:textId="1E2EEEDA" w:rsidR="000F11A9" w:rsidRDefault="000D7DE5">
      <w:pPr>
        <w:pStyle w:val="TOC1"/>
        <w:rPr>
          <w:rFonts w:eastAsiaTheme="minorEastAsia" w:cstheme="minorBidi"/>
          <w:b w:val="0"/>
          <w:noProof/>
          <w:color w:val="auto"/>
          <w:sz w:val="22"/>
          <w:szCs w:val="22"/>
          <w:lang w:eastAsia="en-GB"/>
        </w:rPr>
      </w:pPr>
      <w:hyperlink w:anchor="_Toc141711963" w:history="1">
        <w:r w:rsidR="000F11A9" w:rsidRPr="00C41525">
          <w:rPr>
            <w:rStyle w:val="Hyperlink"/>
            <w:noProof/>
          </w:rPr>
          <w:t>Schedule 21: Governance</w:t>
        </w:r>
        <w:r w:rsidR="000F11A9">
          <w:rPr>
            <w:noProof/>
            <w:webHidden/>
          </w:rPr>
          <w:tab/>
        </w:r>
        <w:r w:rsidR="000F11A9">
          <w:rPr>
            <w:noProof/>
            <w:webHidden/>
          </w:rPr>
          <w:fldChar w:fldCharType="begin"/>
        </w:r>
        <w:r w:rsidR="000F11A9">
          <w:rPr>
            <w:noProof/>
            <w:webHidden/>
          </w:rPr>
          <w:instrText xml:space="preserve"> PAGEREF _Toc141711963 \h </w:instrText>
        </w:r>
        <w:r w:rsidR="000F11A9">
          <w:rPr>
            <w:noProof/>
            <w:webHidden/>
          </w:rPr>
        </w:r>
        <w:r w:rsidR="000F11A9">
          <w:rPr>
            <w:noProof/>
            <w:webHidden/>
          </w:rPr>
          <w:fldChar w:fldCharType="separate"/>
        </w:r>
        <w:r w:rsidR="000F11A9">
          <w:rPr>
            <w:noProof/>
            <w:webHidden/>
          </w:rPr>
          <w:t>287</w:t>
        </w:r>
        <w:r w:rsidR="000F11A9">
          <w:rPr>
            <w:noProof/>
            <w:webHidden/>
          </w:rPr>
          <w:fldChar w:fldCharType="end"/>
        </w:r>
      </w:hyperlink>
    </w:p>
    <w:p w14:paraId="5BC964E1" w14:textId="1E674F90" w:rsidR="000F11A9" w:rsidRDefault="000D7DE5">
      <w:pPr>
        <w:pStyle w:val="TOC2"/>
        <w:rPr>
          <w:rFonts w:eastAsiaTheme="minorEastAsia" w:cstheme="minorBidi"/>
          <w:noProof/>
          <w:sz w:val="22"/>
          <w:szCs w:val="22"/>
          <w:lang w:eastAsia="en-GB"/>
        </w:rPr>
      </w:pPr>
      <w:hyperlink w:anchor="_Toc141711964" w:history="1">
        <w:r w:rsidR="000F11A9" w:rsidRPr="00C41525">
          <w:rPr>
            <w:rStyle w:val="Hyperlink"/>
            <w:noProof/>
          </w:rPr>
          <w:t>Annex 1: Representation and Structure of Boards</w:t>
        </w:r>
        <w:r w:rsidR="000F11A9">
          <w:rPr>
            <w:noProof/>
            <w:webHidden/>
          </w:rPr>
          <w:tab/>
        </w:r>
        <w:r w:rsidR="000F11A9">
          <w:rPr>
            <w:noProof/>
            <w:webHidden/>
          </w:rPr>
          <w:fldChar w:fldCharType="begin"/>
        </w:r>
        <w:r w:rsidR="000F11A9">
          <w:rPr>
            <w:noProof/>
            <w:webHidden/>
          </w:rPr>
          <w:instrText xml:space="preserve"> PAGEREF _Toc141711964 \h </w:instrText>
        </w:r>
        <w:r w:rsidR="000F11A9">
          <w:rPr>
            <w:noProof/>
            <w:webHidden/>
          </w:rPr>
        </w:r>
        <w:r w:rsidR="000F11A9">
          <w:rPr>
            <w:noProof/>
            <w:webHidden/>
          </w:rPr>
          <w:fldChar w:fldCharType="separate"/>
        </w:r>
        <w:r w:rsidR="000F11A9">
          <w:rPr>
            <w:noProof/>
            <w:webHidden/>
          </w:rPr>
          <w:t>292</w:t>
        </w:r>
        <w:r w:rsidR="000F11A9">
          <w:rPr>
            <w:noProof/>
            <w:webHidden/>
          </w:rPr>
          <w:fldChar w:fldCharType="end"/>
        </w:r>
      </w:hyperlink>
    </w:p>
    <w:p w14:paraId="582FFEE7" w14:textId="58C23CA4" w:rsidR="000F11A9" w:rsidRDefault="000D7DE5">
      <w:pPr>
        <w:pStyle w:val="TOC1"/>
        <w:rPr>
          <w:rFonts w:eastAsiaTheme="minorEastAsia" w:cstheme="minorBidi"/>
          <w:b w:val="0"/>
          <w:noProof/>
          <w:color w:val="auto"/>
          <w:sz w:val="22"/>
          <w:szCs w:val="22"/>
          <w:lang w:eastAsia="en-GB"/>
        </w:rPr>
      </w:pPr>
      <w:hyperlink w:anchor="_Toc141711965" w:history="1">
        <w:r w:rsidR="000F11A9" w:rsidRPr="00C41525">
          <w:rPr>
            <w:rStyle w:val="Hyperlink"/>
            <w:noProof/>
          </w:rPr>
          <w:t>Schedule 22: Change Control Procedure</w:t>
        </w:r>
        <w:r w:rsidR="000F11A9">
          <w:rPr>
            <w:noProof/>
            <w:webHidden/>
          </w:rPr>
          <w:tab/>
        </w:r>
        <w:r w:rsidR="000F11A9">
          <w:rPr>
            <w:noProof/>
            <w:webHidden/>
          </w:rPr>
          <w:fldChar w:fldCharType="begin"/>
        </w:r>
        <w:r w:rsidR="000F11A9">
          <w:rPr>
            <w:noProof/>
            <w:webHidden/>
          </w:rPr>
          <w:instrText xml:space="preserve"> PAGEREF _Toc141711965 \h </w:instrText>
        </w:r>
        <w:r w:rsidR="000F11A9">
          <w:rPr>
            <w:noProof/>
            <w:webHidden/>
          </w:rPr>
        </w:r>
        <w:r w:rsidR="000F11A9">
          <w:rPr>
            <w:noProof/>
            <w:webHidden/>
          </w:rPr>
          <w:fldChar w:fldCharType="separate"/>
        </w:r>
        <w:r w:rsidR="000F11A9">
          <w:rPr>
            <w:noProof/>
            <w:webHidden/>
          </w:rPr>
          <w:t>295</w:t>
        </w:r>
        <w:r w:rsidR="000F11A9">
          <w:rPr>
            <w:noProof/>
            <w:webHidden/>
          </w:rPr>
          <w:fldChar w:fldCharType="end"/>
        </w:r>
      </w:hyperlink>
    </w:p>
    <w:p w14:paraId="4452C4BA" w14:textId="72092DA0" w:rsidR="000F11A9" w:rsidRDefault="000D7DE5">
      <w:pPr>
        <w:pStyle w:val="TOC2"/>
        <w:rPr>
          <w:rFonts w:eastAsiaTheme="minorEastAsia" w:cstheme="minorBidi"/>
          <w:noProof/>
          <w:sz w:val="22"/>
          <w:szCs w:val="22"/>
          <w:lang w:eastAsia="en-GB"/>
        </w:rPr>
      </w:pPr>
      <w:hyperlink w:anchor="_Toc141711966" w:history="1">
        <w:r w:rsidR="000F11A9" w:rsidRPr="00C41525">
          <w:rPr>
            <w:rStyle w:val="Hyperlink"/>
            <w:noProof/>
          </w:rPr>
          <w:t>Annex 1: Change Request Form</w:t>
        </w:r>
        <w:r w:rsidR="000F11A9">
          <w:rPr>
            <w:noProof/>
            <w:webHidden/>
          </w:rPr>
          <w:tab/>
        </w:r>
        <w:r w:rsidR="000F11A9">
          <w:rPr>
            <w:noProof/>
            <w:webHidden/>
          </w:rPr>
          <w:fldChar w:fldCharType="begin"/>
        </w:r>
        <w:r w:rsidR="000F11A9">
          <w:rPr>
            <w:noProof/>
            <w:webHidden/>
          </w:rPr>
          <w:instrText xml:space="preserve"> PAGEREF _Toc141711966 \h </w:instrText>
        </w:r>
        <w:r w:rsidR="000F11A9">
          <w:rPr>
            <w:noProof/>
            <w:webHidden/>
          </w:rPr>
        </w:r>
        <w:r w:rsidR="000F11A9">
          <w:rPr>
            <w:noProof/>
            <w:webHidden/>
          </w:rPr>
          <w:fldChar w:fldCharType="separate"/>
        </w:r>
        <w:r w:rsidR="000F11A9">
          <w:rPr>
            <w:noProof/>
            <w:webHidden/>
          </w:rPr>
          <w:t>302</w:t>
        </w:r>
        <w:r w:rsidR="000F11A9">
          <w:rPr>
            <w:noProof/>
            <w:webHidden/>
          </w:rPr>
          <w:fldChar w:fldCharType="end"/>
        </w:r>
      </w:hyperlink>
    </w:p>
    <w:p w14:paraId="3651E11F" w14:textId="0117F053" w:rsidR="000F11A9" w:rsidRDefault="000D7DE5">
      <w:pPr>
        <w:pStyle w:val="TOC2"/>
        <w:rPr>
          <w:rFonts w:eastAsiaTheme="minorEastAsia" w:cstheme="minorBidi"/>
          <w:noProof/>
          <w:sz w:val="22"/>
          <w:szCs w:val="22"/>
          <w:lang w:eastAsia="en-GB"/>
        </w:rPr>
      </w:pPr>
      <w:hyperlink w:anchor="_Toc141711967" w:history="1">
        <w:r w:rsidR="000F11A9" w:rsidRPr="00C41525">
          <w:rPr>
            <w:rStyle w:val="Hyperlink"/>
            <w:noProof/>
          </w:rPr>
          <w:t>Annex 2: Change Authorisation Note</w:t>
        </w:r>
        <w:r w:rsidR="000F11A9">
          <w:rPr>
            <w:noProof/>
            <w:webHidden/>
          </w:rPr>
          <w:tab/>
        </w:r>
        <w:r w:rsidR="000F11A9">
          <w:rPr>
            <w:noProof/>
            <w:webHidden/>
          </w:rPr>
          <w:fldChar w:fldCharType="begin"/>
        </w:r>
        <w:r w:rsidR="000F11A9">
          <w:rPr>
            <w:noProof/>
            <w:webHidden/>
          </w:rPr>
          <w:instrText xml:space="preserve"> PAGEREF _Toc141711967 \h </w:instrText>
        </w:r>
        <w:r w:rsidR="000F11A9">
          <w:rPr>
            <w:noProof/>
            <w:webHidden/>
          </w:rPr>
        </w:r>
        <w:r w:rsidR="000F11A9">
          <w:rPr>
            <w:noProof/>
            <w:webHidden/>
          </w:rPr>
          <w:fldChar w:fldCharType="separate"/>
        </w:r>
        <w:r w:rsidR="000F11A9">
          <w:rPr>
            <w:noProof/>
            <w:webHidden/>
          </w:rPr>
          <w:t>303</w:t>
        </w:r>
        <w:r w:rsidR="000F11A9">
          <w:rPr>
            <w:noProof/>
            <w:webHidden/>
          </w:rPr>
          <w:fldChar w:fldCharType="end"/>
        </w:r>
      </w:hyperlink>
    </w:p>
    <w:p w14:paraId="7E363C06" w14:textId="550566E3" w:rsidR="000F11A9" w:rsidRDefault="000D7DE5">
      <w:pPr>
        <w:pStyle w:val="TOC1"/>
        <w:rPr>
          <w:rFonts w:eastAsiaTheme="minorEastAsia" w:cstheme="minorBidi"/>
          <w:b w:val="0"/>
          <w:noProof/>
          <w:color w:val="auto"/>
          <w:sz w:val="22"/>
          <w:szCs w:val="22"/>
          <w:lang w:eastAsia="en-GB"/>
        </w:rPr>
      </w:pPr>
      <w:hyperlink w:anchor="_Toc141711968" w:history="1">
        <w:r w:rsidR="000F11A9" w:rsidRPr="00C41525">
          <w:rPr>
            <w:rStyle w:val="Hyperlink"/>
            <w:noProof/>
          </w:rPr>
          <w:t>Schedule 23: Dispute Resolution Procedure</w:t>
        </w:r>
        <w:r w:rsidR="000F11A9">
          <w:rPr>
            <w:noProof/>
            <w:webHidden/>
          </w:rPr>
          <w:tab/>
        </w:r>
        <w:r w:rsidR="000F11A9">
          <w:rPr>
            <w:noProof/>
            <w:webHidden/>
          </w:rPr>
          <w:fldChar w:fldCharType="begin"/>
        </w:r>
        <w:r w:rsidR="000F11A9">
          <w:rPr>
            <w:noProof/>
            <w:webHidden/>
          </w:rPr>
          <w:instrText xml:space="preserve"> PAGEREF _Toc141711968 \h </w:instrText>
        </w:r>
        <w:r w:rsidR="000F11A9">
          <w:rPr>
            <w:noProof/>
            <w:webHidden/>
          </w:rPr>
        </w:r>
        <w:r w:rsidR="000F11A9">
          <w:rPr>
            <w:noProof/>
            <w:webHidden/>
          </w:rPr>
          <w:fldChar w:fldCharType="separate"/>
        </w:r>
        <w:r w:rsidR="000F11A9">
          <w:rPr>
            <w:noProof/>
            <w:webHidden/>
          </w:rPr>
          <w:t>305</w:t>
        </w:r>
        <w:r w:rsidR="000F11A9">
          <w:rPr>
            <w:noProof/>
            <w:webHidden/>
          </w:rPr>
          <w:fldChar w:fldCharType="end"/>
        </w:r>
      </w:hyperlink>
    </w:p>
    <w:p w14:paraId="01A9A340" w14:textId="2AA97A19" w:rsidR="000F11A9" w:rsidRDefault="000D7DE5">
      <w:pPr>
        <w:pStyle w:val="TOC1"/>
        <w:rPr>
          <w:rFonts w:eastAsiaTheme="minorEastAsia" w:cstheme="minorBidi"/>
          <w:b w:val="0"/>
          <w:noProof/>
          <w:color w:val="auto"/>
          <w:sz w:val="22"/>
          <w:szCs w:val="22"/>
          <w:lang w:eastAsia="en-GB"/>
        </w:rPr>
      </w:pPr>
      <w:hyperlink w:anchor="_Toc141711969" w:history="1">
        <w:r w:rsidR="000F11A9" w:rsidRPr="00C41525">
          <w:rPr>
            <w:rStyle w:val="Hyperlink"/>
            <w:noProof/>
          </w:rPr>
          <w:t>Schedule 24: Reports and Records Provisions</w:t>
        </w:r>
        <w:r w:rsidR="000F11A9">
          <w:rPr>
            <w:noProof/>
            <w:webHidden/>
          </w:rPr>
          <w:tab/>
        </w:r>
        <w:r w:rsidR="000F11A9">
          <w:rPr>
            <w:noProof/>
            <w:webHidden/>
          </w:rPr>
          <w:fldChar w:fldCharType="begin"/>
        </w:r>
        <w:r w:rsidR="000F11A9">
          <w:rPr>
            <w:noProof/>
            <w:webHidden/>
          </w:rPr>
          <w:instrText xml:space="preserve"> PAGEREF _Toc141711969 \h </w:instrText>
        </w:r>
        <w:r w:rsidR="000F11A9">
          <w:rPr>
            <w:noProof/>
            <w:webHidden/>
          </w:rPr>
        </w:r>
        <w:r w:rsidR="000F11A9">
          <w:rPr>
            <w:noProof/>
            <w:webHidden/>
          </w:rPr>
          <w:fldChar w:fldCharType="separate"/>
        </w:r>
        <w:r w:rsidR="000F11A9">
          <w:rPr>
            <w:noProof/>
            <w:webHidden/>
          </w:rPr>
          <w:t>314</w:t>
        </w:r>
        <w:r w:rsidR="000F11A9">
          <w:rPr>
            <w:noProof/>
            <w:webHidden/>
          </w:rPr>
          <w:fldChar w:fldCharType="end"/>
        </w:r>
      </w:hyperlink>
    </w:p>
    <w:p w14:paraId="63E88578" w14:textId="6342ED0B" w:rsidR="000F11A9" w:rsidRDefault="000D7DE5">
      <w:pPr>
        <w:pStyle w:val="TOC2"/>
        <w:rPr>
          <w:rFonts w:eastAsiaTheme="minorEastAsia" w:cstheme="minorBidi"/>
          <w:noProof/>
          <w:sz w:val="22"/>
          <w:szCs w:val="22"/>
          <w:lang w:eastAsia="en-GB"/>
        </w:rPr>
      </w:pPr>
      <w:hyperlink w:anchor="_Toc141711970" w:history="1">
        <w:r w:rsidR="000F11A9" w:rsidRPr="00C41525">
          <w:rPr>
            <w:rStyle w:val="Hyperlink"/>
            <w:noProof/>
          </w:rPr>
          <w:t>Annex 1: Transparency Reports</w:t>
        </w:r>
        <w:r w:rsidR="000F11A9">
          <w:rPr>
            <w:noProof/>
            <w:webHidden/>
          </w:rPr>
          <w:tab/>
        </w:r>
        <w:r w:rsidR="000F11A9">
          <w:rPr>
            <w:noProof/>
            <w:webHidden/>
          </w:rPr>
          <w:fldChar w:fldCharType="begin"/>
        </w:r>
        <w:r w:rsidR="000F11A9">
          <w:rPr>
            <w:noProof/>
            <w:webHidden/>
          </w:rPr>
          <w:instrText xml:space="preserve"> PAGEREF _Toc141711970 \h </w:instrText>
        </w:r>
        <w:r w:rsidR="000F11A9">
          <w:rPr>
            <w:noProof/>
            <w:webHidden/>
          </w:rPr>
        </w:r>
        <w:r w:rsidR="000F11A9">
          <w:rPr>
            <w:noProof/>
            <w:webHidden/>
          </w:rPr>
          <w:fldChar w:fldCharType="separate"/>
        </w:r>
        <w:r w:rsidR="000F11A9">
          <w:rPr>
            <w:noProof/>
            <w:webHidden/>
          </w:rPr>
          <w:t>318</w:t>
        </w:r>
        <w:r w:rsidR="000F11A9">
          <w:rPr>
            <w:noProof/>
            <w:webHidden/>
          </w:rPr>
          <w:fldChar w:fldCharType="end"/>
        </w:r>
      </w:hyperlink>
    </w:p>
    <w:p w14:paraId="6A5547C6" w14:textId="74E9AA3C" w:rsidR="000F11A9" w:rsidRDefault="000D7DE5">
      <w:pPr>
        <w:pStyle w:val="TOC2"/>
        <w:rPr>
          <w:rFonts w:eastAsiaTheme="minorEastAsia" w:cstheme="minorBidi"/>
          <w:noProof/>
          <w:sz w:val="22"/>
          <w:szCs w:val="22"/>
          <w:lang w:eastAsia="en-GB"/>
        </w:rPr>
      </w:pPr>
      <w:hyperlink w:anchor="_Toc141711971" w:history="1">
        <w:r w:rsidR="000F11A9" w:rsidRPr="00C41525">
          <w:rPr>
            <w:rStyle w:val="Hyperlink"/>
            <w:noProof/>
          </w:rPr>
          <w:t>Annex 2: Records to be Kept by the Supplier</w:t>
        </w:r>
        <w:r w:rsidR="000F11A9">
          <w:rPr>
            <w:noProof/>
            <w:webHidden/>
          </w:rPr>
          <w:tab/>
        </w:r>
        <w:r w:rsidR="000F11A9">
          <w:rPr>
            <w:noProof/>
            <w:webHidden/>
          </w:rPr>
          <w:fldChar w:fldCharType="begin"/>
        </w:r>
        <w:r w:rsidR="000F11A9">
          <w:rPr>
            <w:noProof/>
            <w:webHidden/>
          </w:rPr>
          <w:instrText xml:space="preserve"> PAGEREF _Toc141711971 \h </w:instrText>
        </w:r>
        <w:r w:rsidR="000F11A9">
          <w:rPr>
            <w:noProof/>
            <w:webHidden/>
          </w:rPr>
        </w:r>
        <w:r w:rsidR="000F11A9">
          <w:rPr>
            <w:noProof/>
            <w:webHidden/>
          </w:rPr>
          <w:fldChar w:fldCharType="separate"/>
        </w:r>
        <w:r w:rsidR="000F11A9">
          <w:rPr>
            <w:noProof/>
            <w:webHidden/>
          </w:rPr>
          <w:t>319</w:t>
        </w:r>
        <w:r w:rsidR="000F11A9">
          <w:rPr>
            <w:noProof/>
            <w:webHidden/>
          </w:rPr>
          <w:fldChar w:fldCharType="end"/>
        </w:r>
      </w:hyperlink>
    </w:p>
    <w:p w14:paraId="64AF73E8" w14:textId="22DA5456" w:rsidR="000F11A9" w:rsidRDefault="000D7DE5">
      <w:pPr>
        <w:pStyle w:val="TOC2"/>
        <w:rPr>
          <w:rFonts w:eastAsiaTheme="minorEastAsia" w:cstheme="minorBidi"/>
          <w:noProof/>
          <w:sz w:val="22"/>
          <w:szCs w:val="22"/>
          <w:lang w:eastAsia="en-GB"/>
        </w:rPr>
      </w:pPr>
      <w:hyperlink w:anchor="_Toc141711972" w:history="1">
        <w:r w:rsidR="000F11A9" w:rsidRPr="00C41525">
          <w:rPr>
            <w:rStyle w:val="Hyperlink"/>
            <w:noProof/>
          </w:rPr>
          <w:t>Annex 3: Records to Upload to Virtual Library</w:t>
        </w:r>
        <w:r w:rsidR="000F11A9">
          <w:rPr>
            <w:noProof/>
            <w:webHidden/>
          </w:rPr>
          <w:tab/>
        </w:r>
        <w:r w:rsidR="000F11A9">
          <w:rPr>
            <w:noProof/>
            <w:webHidden/>
          </w:rPr>
          <w:fldChar w:fldCharType="begin"/>
        </w:r>
        <w:r w:rsidR="000F11A9">
          <w:rPr>
            <w:noProof/>
            <w:webHidden/>
          </w:rPr>
          <w:instrText xml:space="preserve"> PAGEREF _Toc141711972 \h </w:instrText>
        </w:r>
        <w:r w:rsidR="000F11A9">
          <w:rPr>
            <w:noProof/>
            <w:webHidden/>
          </w:rPr>
        </w:r>
        <w:r w:rsidR="000F11A9">
          <w:rPr>
            <w:noProof/>
            <w:webHidden/>
          </w:rPr>
          <w:fldChar w:fldCharType="separate"/>
        </w:r>
        <w:r w:rsidR="000F11A9">
          <w:rPr>
            <w:noProof/>
            <w:webHidden/>
          </w:rPr>
          <w:t>320</w:t>
        </w:r>
        <w:r w:rsidR="000F11A9">
          <w:rPr>
            <w:noProof/>
            <w:webHidden/>
          </w:rPr>
          <w:fldChar w:fldCharType="end"/>
        </w:r>
      </w:hyperlink>
    </w:p>
    <w:p w14:paraId="39FE8A96" w14:textId="5E7AD84A" w:rsidR="000F11A9" w:rsidRDefault="000D7DE5">
      <w:pPr>
        <w:pStyle w:val="TOC2"/>
        <w:rPr>
          <w:rFonts w:eastAsiaTheme="minorEastAsia" w:cstheme="minorBidi"/>
          <w:noProof/>
          <w:sz w:val="22"/>
          <w:szCs w:val="22"/>
          <w:lang w:eastAsia="en-GB"/>
        </w:rPr>
      </w:pPr>
      <w:hyperlink w:anchor="_Toc141711973" w:history="1">
        <w:r w:rsidR="000F11A9" w:rsidRPr="00C41525">
          <w:rPr>
            <w:rStyle w:val="Hyperlink"/>
            <w:noProof/>
          </w:rPr>
          <w:t>Annex 4: Supply Chain Transparency Information Template</w:t>
        </w:r>
        <w:r w:rsidR="000F11A9">
          <w:rPr>
            <w:noProof/>
            <w:webHidden/>
          </w:rPr>
          <w:tab/>
        </w:r>
        <w:r w:rsidR="000F11A9">
          <w:rPr>
            <w:noProof/>
            <w:webHidden/>
          </w:rPr>
          <w:fldChar w:fldCharType="begin"/>
        </w:r>
        <w:r w:rsidR="000F11A9">
          <w:rPr>
            <w:noProof/>
            <w:webHidden/>
          </w:rPr>
          <w:instrText xml:space="preserve"> PAGEREF _Toc141711973 \h </w:instrText>
        </w:r>
        <w:r w:rsidR="000F11A9">
          <w:rPr>
            <w:noProof/>
            <w:webHidden/>
          </w:rPr>
        </w:r>
        <w:r w:rsidR="000F11A9">
          <w:rPr>
            <w:noProof/>
            <w:webHidden/>
          </w:rPr>
          <w:fldChar w:fldCharType="separate"/>
        </w:r>
        <w:r w:rsidR="000F11A9">
          <w:rPr>
            <w:noProof/>
            <w:webHidden/>
          </w:rPr>
          <w:t>330</w:t>
        </w:r>
        <w:r w:rsidR="000F11A9">
          <w:rPr>
            <w:noProof/>
            <w:webHidden/>
          </w:rPr>
          <w:fldChar w:fldCharType="end"/>
        </w:r>
      </w:hyperlink>
    </w:p>
    <w:p w14:paraId="75176745" w14:textId="171674AC" w:rsidR="000F11A9" w:rsidRDefault="000D7DE5">
      <w:pPr>
        <w:pStyle w:val="TOC1"/>
        <w:rPr>
          <w:rFonts w:eastAsiaTheme="minorEastAsia" w:cstheme="minorBidi"/>
          <w:b w:val="0"/>
          <w:noProof/>
          <w:color w:val="auto"/>
          <w:sz w:val="22"/>
          <w:szCs w:val="22"/>
          <w:lang w:eastAsia="en-GB"/>
        </w:rPr>
      </w:pPr>
      <w:hyperlink w:anchor="_Toc141711974" w:history="1">
        <w:r w:rsidR="000F11A9" w:rsidRPr="00C41525">
          <w:rPr>
            <w:rStyle w:val="Hyperlink"/>
            <w:noProof/>
          </w:rPr>
          <w:t>Schedule 25: Exit Management</w:t>
        </w:r>
        <w:r w:rsidR="000F11A9">
          <w:rPr>
            <w:noProof/>
            <w:webHidden/>
          </w:rPr>
          <w:tab/>
        </w:r>
        <w:r w:rsidR="000F11A9">
          <w:rPr>
            <w:noProof/>
            <w:webHidden/>
          </w:rPr>
          <w:fldChar w:fldCharType="begin"/>
        </w:r>
        <w:r w:rsidR="000F11A9">
          <w:rPr>
            <w:noProof/>
            <w:webHidden/>
          </w:rPr>
          <w:instrText xml:space="preserve"> PAGEREF _Toc141711974 \h </w:instrText>
        </w:r>
        <w:r w:rsidR="000F11A9">
          <w:rPr>
            <w:noProof/>
            <w:webHidden/>
          </w:rPr>
        </w:r>
        <w:r w:rsidR="000F11A9">
          <w:rPr>
            <w:noProof/>
            <w:webHidden/>
          </w:rPr>
          <w:fldChar w:fldCharType="separate"/>
        </w:r>
        <w:r w:rsidR="000F11A9">
          <w:rPr>
            <w:noProof/>
            <w:webHidden/>
          </w:rPr>
          <w:t>332</w:t>
        </w:r>
        <w:r w:rsidR="000F11A9">
          <w:rPr>
            <w:noProof/>
            <w:webHidden/>
          </w:rPr>
          <w:fldChar w:fldCharType="end"/>
        </w:r>
      </w:hyperlink>
    </w:p>
    <w:p w14:paraId="1DE1A68C" w14:textId="503603A2" w:rsidR="000F11A9" w:rsidRDefault="000D7DE5">
      <w:pPr>
        <w:pStyle w:val="TOC2"/>
        <w:rPr>
          <w:rFonts w:eastAsiaTheme="minorEastAsia" w:cstheme="minorBidi"/>
          <w:noProof/>
          <w:sz w:val="22"/>
          <w:szCs w:val="22"/>
          <w:lang w:eastAsia="en-GB"/>
        </w:rPr>
      </w:pPr>
      <w:hyperlink w:anchor="_Toc141711975" w:history="1">
        <w:r w:rsidR="000F11A9" w:rsidRPr="00C41525">
          <w:rPr>
            <w:rStyle w:val="Hyperlink"/>
            <w:noProof/>
          </w:rPr>
          <w:t>Annex 1: Scope of the Termination Services</w:t>
        </w:r>
        <w:r w:rsidR="000F11A9">
          <w:rPr>
            <w:noProof/>
            <w:webHidden/>
          </w:rPr>
          <w:tab/>
        </w:r>
        <w:r w:rsidR="000F11A9">
          <w:rPr>
            <w:noProof/>
            <w:webHidden/>
          </w:rPr>
          <w:fldChar w:fldCharType="begin"/>
        </w:r>
        <w:r w:rsidR="000F11A9">
          <w:rPr>
            <w:noProof/>
            <w:webHidden/>
          </w:rPr>
          <w:instrText xml:space="preserve"> PAGEREF _Toc141711975 \h </w:instrText>
        </w:r>
        <w:r w:rsidR="000F11A9">
          <w:rPr>
            <w:noProof/>
            <w:webHidden/>
          </w:rPr>
        </w:r>
        <w:r w:rsidR="000F11A9">
          <w:rPr>
            <w:noProof/>
            <w:webHidden/>
          </w:rPr>
          <w:fldChar w:fldCharType="separate"/>
        </w:r>
        <w:r w:rsidR="000F11A9">
          <w:rPr>
            <w:noProof/>
            <w:webHidden/>
          </w:rPr>
          <w:t>344</w:t>
        </w:r>
        <w:r w:rsidR="000F11A9">
          <w:rPr>
            <w:noProof/>
            <w:webHidden/>
          </w:rPr>
          <w:fldChar w:fldCharType="end"/>
        </w:r>
      </w:hyperlink>
    </w:p>
    <w:p w14:paraId="74BF12A9" w14:textId="2492F3D9" w:rsidR="000F11A9" w:rsidRDefault="000D7DE5">
      <w:pPr>
        <w:pStyle w:val="TOC2"/>
        <w:rPr>
          <w:rFonts w:eastAsiaTheme="minorEastAsia" w:cstheme="minorBidi"/>
          <w:noProof/>
          <w:sz w:val="22"/>
          <w:szCs w:val="22"/>
          <w:lang w:eastAsia="en-GB"/>
        </w:rPr>
      </w:pPr>
      <w:hyperlink w:anchor="_Toc141711976" w:history="1">
        <w:r w:rsidR="000F11A9" w:rsidRPr="00C41525">
          <w:rPr>
            <w:rStyle w:val="Hyperlink"/>
            <w:noProof/>
          </w:rPr>
          <w:t>Annex 2: Draft Ethical Wall Agreement</w:t>
        </w:r>
        <w:r w:rsidR="000F11A9">
          <w:rPr>
            <w:noProof/>
            <w:webHidden/>
          </w:rPr>
          <w:tab/>
        </w:r>
        <w:r w:rsidR="000F11A9">
          <w:rPr>
            <w:noProof/>
            <w:webHidden/>
          </w:rPr>
          <w:fldChar w:fldCharType="begin"/>
        </w:r>
        <w:r w:rsidR="000F11A9">
          <w:rPr>
            <w:noProof/>
            <w:webHidden/>
          </w:rPr>
          <w:instrText xml:space="preserve"> PAGEREF _Toc141711976 \h </w:instrText>
        </w:r>
        <w:r w:rsidR="000F11A9">
          <w:rPr>
            <w:noProof/>
            <w:webHidden/>
          </w:rPr>
        </w:r>
        <w:r w:rsidR="000F11A9">
          <w:rPr>
            <w:noProof/>
            <w:webHidden/>
          </w:rPr>
          <w:fldChar w:fldCharType="separate"/>
        </w:r>
        <w:r w:rsidR="000F11A9">
          <w:rPr>
            <w:noProof/>
            <w:webHidden/>
          </w:rPr>
          <w:t>348</w:t>
        </w:r>
        <w:r w:rsidR="000F11A9">
          <w:rPr>
            <w:noProof/>
            <w:webHidden/>
          </w:rPr>
          <w:fldChar w:fldCharType="end"/>
        </w:r>
      </w:hyperlink>
    </w:p>
    <w:p w14:paraId="613BDA60" w14:textId="32C17FDE" w:rsidR="000F11A9" w:rsidRDefault="000D7DE5">
      <w:pPr>
        <w:pStyle w:val="TOC1"/>
        <w:rPr>
          <w:rFonts w:eastAsiaTheme="minorEastAsia" w:cstheme="minorBidi"/>
          <w:b w:val="0"/>
          <w:noProof/>
          <w:color w:val="auto"/>
          <w:sz w:val="22"/>
          <w:szCs w:val="22"/>
          <w:lang w:eastAsia="en-GB"/>
        </w:rPr>
      </w:pPr>
      <w:hyperlink w:anchor="_Toc141711977" w:history="1">
        <w:r w:rsidR="000F11A9" w:rsidRPr="00C41525">
          <w:rPr>
            <w:rStyle w:val="Hyperlink"/>
            <w:noProof/>
          </w:rPr>
          <w:t>Schedule 26: Service Continuity Plan and Corporate Resolution Planning</w:t>
        </w:r>
        <w:r w:rsidR="000F11A9">
          <w:rPr>
            <w:noProof/>
            <w:webHidden/>
          </w:rPr>
          <w:tab/>
        </w:r>
        <w:r w:rsidR="000F11A9">
          <w:rPr>
            <w:noProof/>
            <w:webHidden/>
          </w:rPr>
          <w:fldChar w:fldCharType="begin"/>
        </w:r>
        <w:r w:rsidR="000F11A9">
          <w:rPr>
            <w:noProof/>
            <w:webHidden/>
          </w:rPr>
          <w:instrText xml:space="preserve"> PAGEREF _Toc141711977 \h </w:instrText>
        </w:r>
        <w:r w:rsidR="000F11A9">
          <w:rPr>
            <w:noProof/>
            <w:webHidden/>
          </w:rPr>
        </w:r>
        <w:r w:rsidR="000F11A9">
          <w:rPr>
            <w:noProof/>
            <w:webHidden/>
          </w:rPr>
          <w:fldChar w:fldCharType="separate"/>
        </w:r>
        <w:r w:rsidR="000F11A9">
          <w:rPr>
            <w:noProof/>
            <w:webHidden/>
          </w:rPr>
          <w:t>359</w:t>
        </w:r>
        <w:r w:rsidR="000F11A9">
          <w:rPr>
            <w:noProof/>
            <w:webHidden/>
          </w:rPr>
          <w:fldChar w:fldCharType="end"/>
        </w:r>
      </w:hyperlink>
    </w:p>
    <w:p w14:paraId="50356DD0" w14:textId="3DAA22BE" w:rsidR="000F11A9" w:rsidRDefault="000D7DE5">
      <w:pPr>
        <w:pStyle w:val="TOC2"/>
        <w:rPr>
          <w:rFonts w:eastAsiaTheme="minorEastAsia" w:cstheme="minorBidi"/>
          <w:noProof/>
          <w:sz w:val="22"/>
          <w:szCs w:val="22"/>
          <w:lang w:eastAsia="en-GB"/>
        </w:rPr>
      </w:pPr>
      <w:hyperlink w:anchor="_Toc141711978" w:history="1">
        <w:r w:rsidR="000F11A9" w:rsidRPr="00C41525">
          <w:rPr>
            <w:rStyle w:val="Hyperlink"/>
            <w:noProof/>
          </w:rPr>
          <w:t>Part A: Service Continuity Plan</w:t>
        </w:r>
        <w:r w:rsidR="000F11A9">
          <w:rPr>
            <w:noProof/>
            <w:webHidden/>
          </w:rPr>
          <w:tab/>
        </w:r>
        <w:r w:rsidR="000F11A9">
          <w:rPr>
            <w:noProof/>
            <w:webHidden/>
          </w:rPr>
          <w:fldChar w:fldCharType="begin"/>
        </w:r>
        <w:r w:rsidR="000F11A9">
          <w:rPr>
            <w:noProof/>
            <w:webHidden/>
          </w:rPr>
          <w:instrText xml:space="preserve"> PAGEREF _Toc141711978 \h </w:instrText>
        </w:r>
        <w:r w:rsidR="000F11A9">
          <w:rPr>
            <w:noProof/>
            <w:webHidden/>
          </w:rPr>
        </w:r>
        <w:r w:rsidR="000F11A9">
          <w:rPr>
            <w:noProof/>
            <w:webHidden/>
          </w:rPr>
          <w:fldChar w:fldCharType="separate"/>
        </w:r>
        <w:r w:rsidR="000F11A9">
          <w:rPr>
            <w:noProof/>
            <w:webHidden/>
          </w:rPr>
          <w:t>359</w:t>
        </w:r>
        <w:r w:rsidR="000F11A9">
          <w:rPr>
            <w:noProof/>
            <w:webHidden/>
          </w:rPr>
          <w:fldChar w:fldCharType="end"/>
        </w:r>
      </w:hyperlink>
    </w:p>
    <w:p w14:paraId="2CC2B5B5" w14:textId="1809F2EF" w:rsidR="000F11A9" w:rsidRDefault="000D7DE5">
      <w:pPr>
        <w:pStyle w:val="TOC2"/>
        <w:rPr>
          <w:rFonts w:eastAsiaTheme="minorEastAsia" w:cstheme="minorBidi"/>
          <w:noProof/>
          <w:sz w:val="22"/>
          <w:szCs w:val="22"/>
          <w:lang w:eastAsia="en-GB"/>
        </w:rPr>
      </w:pPr>
      <w:hyperlink w:anchor="_Toc141711979" w:history="1">
        <w:r w:rsidR="000F11A9" w:rsidRPr="00C41525">
          <w:rPr>
            <w:rStyle w:val="Hyperlink"/>
            <w:noProof/>
          </w:rPr>
          <w:t>Part B: Corporate Resolution Planning</w:t>
        </w:r>
        <w:r w:rsidR="000F11A9">
          <w:rPr>
            <w:noProof/>
            <w:webHidden/>
          </w:rPr>
          <w:tab/>
        </w:r>
        <w:r w:rsidR="000F11A9">
          <w:rPr>
            <w:noProof/>
            <w:webHidden/>
          </w:rPr>
          <w:fldChar w:fldCharType="begin"/>
        </w:r>
        <w:r w:rsidR="000F11A9">
          <w:rPr>
            <w:noProof/>
            <w:webHidden/>
          </w:rPr>
          <w:instrText xml:space="preserve"> PAGEREF _Toc141711979 \h </w:instrText>
        </w:r>
        <w:r w:rsidR="000F11A9">
          <w:rPr>
            <w:noProof/>
            <w:webHidden/>
          </w:rPr>
        </w:r>
        <w:r w:rsidR="000F11A9">
          <w:rPr>
            <w:noProof/>
            <w:webHidden/>
          </w:rPr>
          <w:fldChar w:fldCharType="separate"/>
        </w:r>
        <w:r w:rsidR="000F11A9">
          <w:rPr>
            <w:noProof/>
            <w:webHidden/>
          </w:rPr>
          <w:t>368</w:t>
        </w:r>
        <w:r w:rsidR="000F11A9">
          <w:rPr>
            <w:noProof/>
            <w:webHidden/>
          </w:rPr>
          <w:fldChar w:fldCharType="end"/>
        </w:r>
      </w:hyperlink>
    </w:p>
    <w:p w14:paraId="44C19EDF" w14:textId="7F39CD08" w:rsidR="000F11A9" w:rsidRDefault="000D7DE5">
      <w:pPr>
        <w:pStyle w:val="TOC2"/>
        <w:rPr>
          <w:rFonts w:eastAsiaTheme="minorEastAsia" w:cstheme="minorBidi"/>
          <w:noProof/>
          <w:sz w:val="22"/>
          <w:szCs w:val="22"/>
          <w:lang w:eastAsia="en-GB"/>
        </w:rPr>
      </w:pPr>
      <w:hyperlink w:anchor="_Toc141711980" w:history="1">
        <w:r w:rsidR="000F11A9" w:rsidRPr="00C41525">
          <w:rPr>
            <w:rStyle w:val="Hyperlink"/>
            <w:noProof/>
            <w:lang w:val="fr-FR"/>
          </w:rPr>
          <w:t>Annex 1: Exposure Information (Contracts List)</w:t>
        </w:r>
        <w:r w:rsidR="000F11A9">
          <w:rPr>
            <w:noProof/>
            <w:webHidden/>
          </w:rPr>
          <w:tab/>
        </w:r>
        <w:r w:rsidR="000F11A9">
          <w:rPr>
            <w:noProof/>
            <w:webHidden/>
          </w:rPr>
          <w:fldChar w:fldCharType="begin"/>
        </w:r>
        <w:r w:rsidR="000F11A9">
          <w:rPr>
            <w:noProof/>
            <w:webHidden/>
          </w:rPr>
          <w:instrText xml:space="preserve"> PAGEREF _Toc141711980 \h </w:instrText>
        </w:r>
        <w:r w:rsidR="000F11A9">
          <w:rPr>
            <w:noProof/>
            <w:webHidden/>
          </w:rPr>
        </w:r>
        <w:r w:rsidR="000F11A9">
          <w:rPr>
            <w:noProof/>
            <w:webHidden/>
          </w:rPr>
          <w:fldChar w:fldCharType="separate"/>
        </w:r>
        <w:r w:rsidR="000F11A9">
          <w:rPr>
            <w:noProof/>
            <w:webHidden/>
          </w:rPr>
          <w:t>373</w:t>
        </w:r>
        <w:r w:rsidR="000F11A9">
          <w:rPr>
            <w:noProof/>
            <w:webHidden/>
          </w:rPr>
          <w:fldChar w:fldCharType="end"/>
        </w:r>
      </w:hyperlink>
    </w:p>
    <w:p w14:paraId="52F89ABE" w14:textId="37D66701" w:rsidR="000F11A9" w:rsidRDefault="000D7DE5">
      <w:pPr>
        <w:pStyle w:val="TOC2"/>
        <w:rPr>
          <w:rFonts w:eastAsiaTheme="minorEastAsia" w:cstheme="minorBidi"/>
          <w:noProof/>
          <w:sz w:val="22"/>
          <w:szCs w:val="22"/>
          <w:lang w:eastAsia="en-GB"/>
        </w:rPr>
      </w:pPr>
      <w:hyperlink w:anchor="_Toc141711981" w:history="1">
        <w:r w:rsidR="000F11A9" w:rsidRPr="00C41525">
          <w:rPr>
            <w:rStyle w:val="Hyperlink"/>
            <w:noProof/>
          </w:rPr>
          <w:t>Annex 2: Corporate Resolvability Assessment (Structural Review)</w:t>
        </w:r>
        <w:r w:rsidR="000F11A9">
          <w:rPr>
            <w:noProof/>
            <w:webHidden/>
          </w:rPr>
          <w:tab/>
        </w:r>
        <w:r w:rsidR="000F11A9">
          <w:rPr>
            <w:noProof/>
            <w:webHidden/>
          </w:rPr>
          <w:fldChar w:fldCharType="begin"/>
        </w:r>
        <w:r w:rsidR="000F11A9">
          <w:rPr>
            <w:noProof/>
            <w:webHidden/>
          </w:rPr>
          <w:instrText xml:space="preserve"> PAGEREF _Toc141711981 \h </w:instrText>
        </w:r>
        <w:r w:rsidR="000F11A9">
          <w:rPr>
            <w:noProof/>
            <w:webHidden/>
          </w:rPr>
        </w:r>
        <w:r w:rsidR="000F11A9">
          <w:rPr>
            <w:noProof/>
            <w:webHidden/>
          </w:rPr>
          <w:fldChar w:fldCharType="separate"/>
        </w:r>
        <w:r w:rsidR="000F11A9">
          <w:rPr>
            <w:noProof/>
            <w:webHidden/>
          </w:rPr>
          <w:t>374</w:t>
        </w:r>
        <w:r w:rsidR="000F11A9">
          <w:rPr>
            <w:noProof/>
            <w:webHidden/>
          </w:rPr>
          <w:fldChar w:fldCharType="end"/>
        </w:r>
      </w:hyperlink>
    </w:p>
    <w:p w14:paraId="26553AAD" w14:textId="5239AD11" w:rsidR="000F11A9" w:rsidRDefault="000D7DE5">
      <w:pPr>
        <w:pStyle w:val="TOC2"/>
        <w:rPr>
          <w:rFonts w:eastAsiaTheme="minorEastAsia" w:cstheme="minorBidi"/>
          <w:noProof/>
          <w:sz w:val="22"/>
          <w:szCs w:val="22"/>
          <w:lang w:eastAsia="en-GB"/>
        </w:rPr>
      </w:pPr>
      <w:hyperlink w:anchor="_Toc141711982" w:history="1">
        <w:r w:rsidR="000F11A9" w:rsidRPr="00C41525">
          <w:rPr>
            <w:rStyle w:val="Hyperlink"/>
            <w:noProof/>
          </w:rPr>
          <w:t>Annex 3: Financial Information And Commentary</w:t>
        </w:r>
        <w:r w:rsidR="000F11A9">
          <w:rPr>
            <w:noProof/>
            <w:webHidden/>
          </w:rPr>
          <w:tab/>
        </w:r>
        <w:r w:rsidR="000F11A9">
          <w:rPr>
            <w:noProof/>
            <w:webHidden/>
          </w:rPr>
          <w:fldChar w:fldCharType="begin"/>
        </w:r>
        <w:r w:rsidR="000F11A9">
          <w:rPr>
            <w:noProof/>
            <w:webHidden/>
          </w:rPr>
          <w:instrText xml:space="preserve"> PAGEREF _Toc141711982 \h </w:instrText>
        </w:r>
        <w:r w:rsidR="000F11A9">
          <w:rPr>
            <w:noProof/>
            <w:webHidden/>
          </w:rPr>
        </w:r>
        <w:r w:rsidR="000F11A9">
          <w:rPr>
            <w:noProof/>
            <w:webHidden/>
          </w:rPr>
          <w:fldChar w:fldCharType="separate"/>
        </w:r>
        <w:r w:rsidR="000F11A9">
          <w:rPr>
            <w:noProof/>
            <w:webHidden/>
          </w:rPr>
          <w:t>375</w:t>
        </w:r>
        <w:r w:rsidR="000F11A9">
          <w:rPr>
            <w:noProof/>
            <w:webHidden/>
          </w:rPr>
          <w:fldChar w:fldCharType="end"/>
        </w:r>
      </w:hyperlink>
    </w:p>
    <w:p w14:paraId="2EB8B58C" w14:textId="404607D7" w:rsidR="000F11A9" w:rsidRDefault="000D7DE5">
      <w:pPr>
        <w:pStyle w:val="TOC1"/>
        <w:rPr>
          <w:rFonts w:eastAsiaTheme="minorEastAsia" w:cstheme="minorBidi"/>
          <w:b w:val="0"/>
          <w:noProof/>
          <w:color w:val="auto"/>
          <w:sz w:val="22"/>
          <w:szCs w:val="22"/>
          <w:lang w:eastAsia="en-GB"/>
        </w:rPr>
      </w:pPr>
      <w:hyperlink w:anchor="_Toc141711983" w:history="1">
        <w:r w:rsidR="000F11A9" w:rsidRPr="00C41525">
          <w:rPr>
            <w:rStyle w:val="Hyperlink"/>
            <w:noProof/>
          </w:rPr>
          <w:t>Schedule 27: Conduct of Claims</w:t>
        </w:r>
        <w:r w:rsidR="000F11A9">
          <w:rPr>
            <w:noProof/>
            <w:webHidden/>
          </w:rPr>
          <w:tab/>
        </w:r>
        <w:r w:rsidR="000F11A9">
          <w:rPr>
            <w:noProof/>
            <w:webHidden/>
          </w:rPr>
          <w:fldChar w:fldCharType="begin"/>
        </w:r>
        <w:r w:rsidR="000F11A9">
          <w:rPr>
            <w:noProof/>
            <w:webHidden/>
          </w:rPr>
          <w:instrText xml:space="preserve"> PAGEREF _Toc141711983 \h </w:instrText>
        </w:r>
        <w:r w:rsidR="000F11A9">
          <w:rPr>
            <w:noProof/>
            <w:webHidden/>
          </w:rPr>
        </w:r>
        <w:r w:rsidR="000F11A9">
          <w:rPr>
            <w:noProof/>
            <w:webHidden/>
          </w:rPr>
          <w:fldChar w:fldCharType="separate"/>
        </w:r>
        <w:r w:rsidR="000F11A9">
          <w:rPr>
            <w:noProof/>
            <w:webHidden/>
          </w:rPr>
          <w:t>377</w:t>
        </w:r>
        <w:r w:rsidR="000F11A9">
          <w:rPr>
            <w:noProof/>
            <w:webHidden/>
          </w:rPr>
          <w:fldChar w:fldCharType="end"/>
        </w:r>
      </w:hyperlink>
    </w:p>
    <w:p w14:paraId="7F198642" w14:textId="36732FC1" w:rsidR="000F11A9" w:rsidRDefault="000D7DE5">
      <w:pPr>
        <w:pStyle w:val="TOC1"/>
        <w:rPr>
          <w:rFonts w:eastAsiaTheme="minorEastAsia" w:cstheme="minorBidi"/>
          <w:b w:val="0"/>
          <w:noProof/>
          <w:color w:val="auto"/>
          <w:sz w:val="22"/>
          <w:szCs w:val="22"/>
          <w:lang w:eastAsia="en-GB"/>
        </w:rPr>
      </w:pPr>
      <w:hyperlink w:anchor="_Toc141711984" w:history="1">
        <w:r w:rsidR="000F11A9" w:rsidRPr="00C41525">
          <w:rPr>
            <w:rStyle w:val="Hyperlink"/>
            <w:noProof/>
          </w:rPr>
          <w:t>Schedule 28: Staff Transfer</w:t>
        </w:r>
        <w:r w:rsidR="000F11A9">
          <w:rPr>
            <w:noProof/>
            <w:webHidden/>
          </w:rPr>
          <w:tab/>
        </w:r>
        <w:r w:rsidR="000F11A9">
          <w:rPr>
            <w:noProof/>
            <w:webHidden/>
          </w:rPr>
          <w:fldChar w:fldCharType="begin"/>
        </w:r>
        <w:r w:rsidR="000F11A9">
          <w:rPr>
            <w:noProof/>
            <w:webHidden/>
          </w:rPr>
          <w:instrText xml:space="preserve"> PAGEREF _Toc141711984 \h </w:instrText>
        </w:r>
        <w:r w:rsidR="000F11A9">
          <w:rPr>
            <w:noProof/>
            <w:webHidden/>
          </w:rPr>
        </w:r>
        <w:r w:rsidR="000F11A9">
          <w:rPr>
            <w:noProof/>
            <w:webHidden/>
          </w:rPr>
          <w:fldChar w:fldCharType="separate"/>
        </w:r>
        <w:r w:rsidR="000F11A9">
          <w:rPr>
            <w:noProof/>
            <w:webHidden/>
          </w:rPr>
          <w:t>380</w:t>
        </w:r>
        <w:r w:rsidR="000F11A9">
          <w:rPr>
            <w:noProof/>
            <w:webHidden/>
          </w:rPr>
          <w:fldChar w:fldCharType="end"/>
        </w:r>
      </w:hyperlink>
    </w:p>
    <w:p w14:paraId="1140A058" w14:textId="1CF26DD8" w:rsidR="000F11A9" w:rsidRDefault="000D7DE5">
      <w:pPr>
        <w:pStyle w:val="TOC2"/>
        <w:rPr>
          <w:rFonts w:eastAsiaTheme="minorEastAsia" w:cstheme="minorBidi"/>
          <w:noProof/>
          <w:sz w:val="22"/>
          <w:szCs w:val="22"/>
          <w:lang w:eastAsia="en-GB"/>
        </w:rPr>
      </w:pPr>
      <w:hyperlink w:anchor="_Toc141711985" w:history="1">
        <w:r w:rsidR="000F11A9" w:rsidRPr="00C41525">
          <w:rPr>
            <w:rStyle w:val="Hyperlink"/>
            <w:noProof/>
          </w:rPr>
          <w:t>Part A: Transferring Authority Employees at Commencement of Services</w:t>
        </w:r>
        <w:r w:rsidR="000F11A9">
          <w:rPr>
            <w:noProof/>
            <w:webHidden/>
          </w:rPr>
          <w:tab/>
        </w:r>
        <w:r w:rsidR="000F11A9">
          <w:rPr>
            <w:noProof/>
            <w:webHidden/>
          </w:rPr>
          <w:fldChar w:fldCharType="begin"/>
        </w:r>
        <w:r w:rsidR="000F11A9">
          <w:rPr>
            <w:noProof/>
            <w:webHidden/>
          </w:rPr>
          <w:instrText xml:space="preserve"> PAGEREF _Toc141711985 \h </w:instrText>
        </w:r>
        <w:r w:rsidR="000F11A9">
          <w:rPr>
            <w:noProof/>
            <w:webHidden/>
          </w:rPr>
        </w:r>
        <w:r w:rsidR="000F11A9">
          <w:rPr>
            <w:noProof/>
            <w:webHidden/>
          </w:rPr>
          <w:fldChar w:fldCharType="separate"/>
        </w:r>
        <w:r w:rsidR="000F11A9">
          <w:rPr>
            <w:noProof/>
            <w:webHidden/>
          </w:rPr>
          <w:t>384</w:t>
        </w:r>
        <w:r w:rsidR="000F11A9">
          <w:rPr>
            <w:noProof/>
            <w:webHidden/>
          </w:rPr>
          <w:fldChar w:fldCharType="end"/>
        </w:r>
      </w:hyperlink>
    </w:p>
    <w:p w14:paraId="775407F0" w14:textId="2CF4E452" w:rsidR="000F11A9" w:rsidRDefault="000D7DE5">
      <w:pPr>
        <w:pStyle w:val="TOC2"/>
        <w:rPr>
          <w:rFonts w:eastAsiaTheme="minorEastAsia" w:cstheme="minorBidi"/>
          <w:noProof/>
          <w:sz w:val="22"/>
          <w:szCs w:val="22"/>
          <w:lang w:eastAsia="en-GB"/>
        </w:rPr>
      </w:pPr>
      <w:hyperlink w:anchor="_Toc141711986" w:history="1">
        <w:r w:rsidR="000F11A9" w:rsidRPr="00C41525">
          <w:rPr>
            <w:rStyle w:val="Hyperlink"/>
            <w:noProof/>
          </w:rPr>
          <w:t>Part B: Transferring Former Supplier Employees at Commencement of Services</w:t>
        </w:r>
        <w:r w:rsidR="000F11A9">
          <w:rPr>
            <w:noProof/>
            <w:webHidden/>
          </w:rPr>
          <w:tab/>
        </w:r>
        <w:r w:rsidR="000F11A9">
          <w:rPr>
            <w:noProof/>
            <w:webHidden/>
          </w:rPr>
          <w:fldChar w:fldCharType="begin"/>
        </w:r>
        <w:r w:rsidR="000F11A9">
          <w:rPr>
            <w:noProof/>
            <w:webHidden/>
          </w:rPr>
          <w:instrText xml:space="preserve"> PAGEREF _Toc141711986 \h </w:instrText>
        </w:r>
        <w:r w:rsidR="000F11A9">
          <w:rPr>
            <w:noProof/>
            <w:webHidden/>
          </w:rPr>
        </w:r>
        <w:r w:rsidR="000F11A9">
          <w:rPr>
            <w:noProof/>
            <w:webHidden/>
          </w:rPr>
          <w:fldChar w:fldCharType="separate"/>
        </w:r>
        <w:r w:rsidR="000F11A9">
          <w:rPr>
            <w:noProof/>
            <w:webHidden/>
          </w:rPr>
          <w:t>390</w:t>
        </w:r>
        <w:r w:rsidR="000F11A9">
          <w:rPr>
            <w:noProof/>
            <w:webHidden/>
          </w:rPr>
          <w:fldChar w:fldCharType="end"/>
        </w:r>
      </w:hyperlink>
    </w:p>
    <w:p w14:paraId="6DC17653" w14:textId="1D2EE556" w:rsidR="000F11A9" w:rsidRDefault="000D7DE5">
      <w:pPr>
        <w:pStyle w:val="TOC2"/>
        <w:rPr>
          <w:rFonts w:eastAsiaTheme="minorEastAsia" w:cstheme="minorBidi"/>
          <w:noProof/>
          <w:sz w:val="22"/>
          <w:szCs w:val="22"/>
          <w:lang w:eastAsia="en-GB"/>
        </w:rPr>
      </w:pPr>
      <w:hyperlink w:anchor="_Toc141711987" w:history="1">
        <w:r w:rsidR="000F11A9" w:rsidRPr="00C41525">
          <w:rPr>
            <w:rStyle w:val="Hyperlink"/>
            <w:noProof/>
          </w:rPr>
          <w:t>Part C: No Transfer of Employees Expected at Commencement of Services</w:t>
        </w:r>
        <w:r w:rsidR="000F11A9">
          <w:rPr>
            <w:noProof/>
            <w:webHidden/>
          </w:rPr>
          <w:tab/>
        </w:r>
        <w:r w:rsidR="000F11A9">
          <w:rPr>
            <w:noProof/>
            <w:webHidden/>
          </w:rPr>
          <w:fldChar w:fldCharType="begin"/>
        </w:r>
        <w:r w:rsidR="000F11A9">
          <w:rPr>
            <w:noProof/>
            <w:webHidden/>
          </w:rPr>
          <w:instrText xml:space="preserve"> PAGEREF _Toc141711987 \h </w:instrText>
        </w:r>
        <w:r w:rsidR="000F11A9">
          <w:rPr>
            <w:noProof/>
            <w:webHidden/>
          </w:rPr>
        </w:r>
        <w:r w:rsidR="000F11A9">
          <w:rPr>
            <w:noProof/>
            <w:webHidden/>
          </w:rPr>
          <w:fldChar w:fldCharType="separate"/>
        </w:r>
        <w:r w:rsidR="000F11A9">
          <w:rPr>
            <w:noProof/>
            <w:webHidden/>
          </w:rPr>
          <w:t>397</w:t>
        </w:r>
        <w:r w:rsidR="000F11A9">
          <w:rPr>
            <w:noProof/>
            <w:webHidden/>
          </w:rPr>
          <w:fldChar w:fldCharType="end"/>
        </w:r>
      </w:hyperlink>
    </w:p>
    <w:p w14:paraId="31E53CF9" w14:textId="68617D9D" w:rsidR="000F11A9" w:rsidRDefault="000D7DE5">
      <w:pPr>
        <w:pStyle w:val="TOC2"/>
        <w:rPr>
          <w:rFonts w:eastAsiaTheme="minorEastAsia" w:cstheme="minorBidi"/>
          <w:noProof/>
          <w:sz w:val="22"/>
          <w:szCs w:val="22"/>
          <w:lang w:eastAsia="en-GB"/>
        </w:rPr>
      </w:pPr>
      <w:hyperlink w:anchor="_Toc141711988" w:history="1">
        <w:r w:rsidR="000F11A9" w:rsidRPr="00C41525">
          <w:rPr>
            <w:rStyle w:val="Hyperlink"/>
            <w:noProof/>
          </w:rPr>
          <w:t>Part D: Pensions</w:t>
        </w:r>
        <w:r w:rsidR="000F11A9">
          <w:rPr>
            <w:noProof/>
            <w:webHidden/>
          </w:rPr>
          <w:tab/>
        </w:r>
        <w:r w:rsidR="000F11A9">
          <w:rPr>
            <w:noProof/>
            <w:webHidden/>
          </w:rPr>
          <w:fldChar w:fldCharType="begin"/>
        </w:r>
        <w:r w:rsidR="000F11A9">
          <w:rPr>
            <w:noProof/>
            <w:webHidden/>
          </w:rPr>
          <w:instrText xml:space="preserve"> PAGEREF _Toc141711988 \h </w:instrText>
        </w:r>
        <w:r w:rsidR="000F11A9">
          <w:rPr>
            <w:noProof/>
            <w:webHidden/>
          </w:rPr>
        </w:r>
        <w:r w:rsidR="000F11A9">
          <w:rPr>
            <w:noProof/>
            <w:webHidden/>
          </w:rPr>
          <w:fldChar w:fldCharType="separate"/>
        </w:r>
        <w:r w:rsidR="000F11A9">
          <w:rPr>
            <w:noProof/>
            <w:webHidden/>
          </w:rPr>
          <w:t>400</w:t>
        </w:r>
        <w:r w:rsidR="000F11A9">
          <w:rPr>
            <w:noProof/>
            <w:webHidden/>
          </w:rPr>
          <w:fldChar w:fldCharType="end"/>
        </w:r>
      </w:hyperlink>
    </w:p>
    <w:p w14:paraId="4260E8CF" w14:textId="198DF709" w:rsidR="000F11A9" w:rsidRDefault="000D7DE5">
      <w:pPr>
        <w:pStyle w:val="TOC2"/>
        <w:rPr>
          <w:rFonts w:eastAsiaTheme="minorEastAsia" w:cstheme="minorBidi"/>
          <w:noProof/>
          <w:sz w:val="22"/>
          <w:szCs w:val="22"/>
          <w:lang w:eastAsia="en-GB"/>
        </w:rPr>
      </w:pPr>
      <w:hyperlink w:anchor="_Toc141711989" w:history="1">
        <w:r w:rsidR="000F11A9" w:rsidRPr="00C41525">
          <w:rPr>
            <w:rStyle w:val="Hyperlink"/>
            <w:noProof/>
          </w:rPr>
          <w:t>Annex D1: CSPS</w:t>
        </w:r>
        <w:r w:rsidR="000F11A9">
          <w:rPr>
            <w:noProof/>
            <w:webHidden/>
          </w:rPr>
          <w:tab/>
        </w:r>
        <w:r w:rsidR="000F11A9">
          <w:rPr>
            <w:noProof/>
            <w:webHidden/>
          </w:rPr>
          <w:fldChar w:fldCharType="begin"/>
        </w:r>
        <w:r w:rsidR="000F11A9">
          <w:rPr>
            <w:noProof/>
            <w:webHidden/>
          </w:rPr>
          <w:instrText xml:space="preserve"> PAGEREF _Toc141711989 \h </w:instrText>
        </w:r>
        <w:r w:rsidR="000F11A9">
          <w:rPr>
            <w:noProof/>
            <w:webHidden/>
          </w:rPr>
        </w:r>
        <w:r w:rsidR="000F11A9">
          <w:rPr>
            <w:noProof/>
            <w:webHidden/>
          </w:rPr>
          <w:fldChar w:fldCharType="separate"/>
        </w:r>
        <w:r w:rsidR="000F11A9">
          <w:rPr>
            <w:noProof/>
            <w:webHidden/>
          </w:rPr>
          <w:t>410</w:t>
        </w:r>
        <w:r w:rsidR="000F11A9">
          <w:rPr>
            <w:noProof/>
            <w:webHidden/>
          </w:rPr>
          <w:fldChar w:fldCharType="end"/>
        </w:r>
      </w:hyperlink>
    </w:p>
    <w:p w14:paraId="1AD02A90" w14:textId="7CA8F648" w:rsidR="000F11A9" w:rsidRDefault="000D7DE5">
      <w:pPr>
        <w:pStyle w:val="TOC2"/>
        <w:rPr>
          <w:rFonts w:eastAsiaTheme="minorEastAsia" w:cstheme="minorBidi"/>
          <w:noProof/>
          <w:sz w:val="22"/>
          <w:szCs w:val="22"/>
          <w:lang w:eastAsia="en-GB"/>
        </w:rPr>
      </w:pPr>
      <w:hyperlink w:anchor="_Toc141711990" w:history="1">
        <w:r w:rsidR="000F11A9" w:rsidRPr="00C41525">
          <w:rPr>
            <w:rStyle w:val="Hyperlink"/>
            <w:noProof/>
          </w:rPr>
          <w:t>Annex D2: NHSPS</w:t>
        </w:r>
        <w:r w:rsidR="000F11A9">
          <w:rPr>
            <w:noProof/>
            <w:webHidden/>
          </w:rPr>
          <w:tab/>
        </w:r>
        <w:r w:rsidR="000F11A9">
          <w:rPr>
            <w:noProof/>
            <w:webHidden/>
          </w:rPr>
          <w:fldChar w:fldCharType="begin"/>
        </w:r>
        <w:r w:rsidR="000F11A9">
          <w:rPr>
            <w:noProof/>
            <w:webHidden/>
          </w:rPr>
          <w:instrText xml:space="preserve"> PAGEREF _Toc141711990 \h </w:instrText>
        </w:r>
        <w:r w:rsidR="000F11A9">
          <w:rPr>
            <w:noProof/>
            <w:webHidden/>
          </w:rPr>
        </w:r>
        <w:r w:rsidR="000F11A9">
          <w:rPr>
            <w:noProof/>
            <w:webHidden/>
          </w:rPr>
          <w:fldChar w:fldCharType="separate"/>
        </w:r>
        <w:r w:rsidR="000F11A9">
          <w:rPr>
            <w:noProof/>
            <w:webHidden/>
          </w:rPr>
          <w:t>412</w:t>
        </w:r>
        <w:r w:rsidR="000F11A9">
          <w:rPr>
            <w:noProof/>
            <w:webHidden/>
          </w:rPr>
          <w:fldChar w:fldCharType="end"/>
        </w:r>
      </w:hyperlink>
    </w:p>
    <w:p w14:paraId="3EFD963A" w14:textId="4F3702C3" w:rsidR="000F11A9" w:rsidRDefault="000D7DE5">
      <w:pPr>
        <w:pStyle w:val="TOC2"/>
        <w:rPr>
          <w:rFonts w:eastAsiaTheme="minorEastAsia" w:cstheme="minorBidi"/>
          <w:noProof/>
          <w:sz w:val="22"/>
          <w:szCs w:val="22"/>
          <w:lang w:eastAsia="en-GB"/>
        </w:rPr>
      </w:pPr>
      <w:hyperlink w:anchor="_Toc141711991" w:history="1">
        <w:r w:rsidR="000F11A9" w:rsidRPr="00C41525">
          <w:rPr>
            <w:rStyle w:val="Hyperlink"/>
            <w:noProof/>
          </w:rPr>
          <w:t>Annex D3: LGPS</w:t>
        </w:r>
        <w:r w:rsidR="000F11A9">
          <w:rPr>
            <w:noProof/>
            <w:webHidden/>
          </w:rPr>
          <w:tab/>
        </w:r>
        <w:r w:rsidR="000F11A9">
          <w:rPr>
            <w:noProof/>
            <w:webHidden/>
          </w:rPr>
          <w:fldChar w:fldCharType="begin"/>
        </w:r>
        <w:r w:rsidR="000F11A9">
          <w:rPr>
            <w:noProof/>
            <w:webHidden/>
          </w:rPr>
          <w:instrText xml:space="preserve"> PAGEREF _Toc141711991 \h </w:instrText>
        </w:r>
        <w:r w:rsidR="000F11A9">
          <w:rPr>
            <w:noProof/>
            <w:webHidden/>
          </w:rPr>
        </w:r>
        <w:r w:rsidR="000F11A9">
          <w:rPr>
            <w:noProof/>
            <w:webHidden/>
          </w:rPr>
          <w:fldChar w:fldCharType="separate"/>
        </w:r>
        <w:r w:rsidR="000F11A9">
          <w:rPr>
            <w:noProof/>
            <w:webHidden/>
          </w:rPr>
          <w:t>417</w:t>
        </w:r>
        <w:r w:rsidR="000F11A9">
          <w:rPr>
            <w:noProof/>
            <w:webHidden/>
          </w:rPr>
          <w:fldChar w:fldCharType="end"/>
        </w:r>
      </w:hyperlink>
    </w:p>
    <w:p w14:paraId="21790697" w14:textId="5DF4522C" w:rsidR="000F11A9" w:rsidRDefault="000D7DE5">
      <w:pPr>
        <w:pStyle w:val="TOC2"/>
        <w:rPr>
          <w:rFonts w:eastAsiaTheme="minorEastAsia" w:cstheme="minorBidi"/>
          <w:noProof/>
          <w:sz w:val="22"/>
          <w:szCs w:val="22"/>
          <w:lang w:eastAsia="en-GB"/>
        </w:rPr>
      </w:pPr>
      <w:hyperlink w:anchor="_Toc141711992" w:history="1">
        <w:r w:rsidR="000F11A9" w:rsidRPr="00C41525">
          <w:rPr>
            <w:rStyle w:val="Hyperlink"/>
            <w:noProof/>
            <w:lang w:eastAsia="en-GB"/>
          </w:rPr>
          <w:t>Annex D4:</w:t>
        </w:r>
        <w:r w:rsidR="000F11A9" w:rsidRPr="00C41525">
          <w:rPr>
            <w:rStyle w:val="Hyperlink"/>
            <w:noProof/>
          </w:rPr>
          <w:t xml:space="preserve"> </w:t>
        </w:r>
        <w:r w:rsidR="000F11A9" w:rsidRPr="00C41525">
          <w:rPr>
            <w:rStyle w:val="Hyperlink"/>
            <w:noProof/>
            <w:lang w:eastAsia="en-GB"/>
          </w:rPr>
          <w:t>Other Schemes</w:t>
        </w:r>
        <w:r w:rsidR="000F11A9">
          <w:rPr>
            <w:noProof/>
            <w:webHidden/>
          </w:rPr>
          <w:tab/>
        </w:r>
        <w:r w:rsidR="000F11A9">
          <w:rPr>
            <w:noProof/>
            <w:webHidden/>
          </w:rPr>
          <w:fldChar w:fldCharType="begin"/>
        </w:r>
        <w:r w:rsidR="000F11A9">
          <w:rPr>
            <w:noProof/>
            <w:webHidden/>
          </w:rPr>
          <w:instrText xml:space="preserve"> PAGEREF _Toc141711992 \h </w:instrText>
        </w:r>
        <w:r w:rsidR="000F11A9">
          <w:rPr>
            <w:noProof/>
            <w:webHidden/>
          </w:rPr>
        </w:r>
        <w:r w:rsidR="000F11A9">
          <w:rPr>
            <w:noProof/>
            <w:webHidden/>
          </w:rPr>
          <w:fldChar w:fldCharType="separate"/>
        </w:r>
        <w:r w:rsidR="000F11A9">
          <w:rPr>
            <w:noProof/>
            <w:webHidden/>
          </w:rPr>
          <w:t>423</w:t>
        </w:r>
        <w:r w:rsidR="000F11A9">
          <w:rPr>
            <w:noProof/>
            <w:webHidden/>
          </w:rPr>
          <w:fldChar w:fldCharType="end"/>
        </w:r>
      </w:hyperlink>
    </w:p>
    <w:p w14:paraId="3AFE8853" w14:textId="1A50A4E0" w:rsidR="000F11A9" w:rsidRDefault="000D7DE5">
      <w:pPr>
        <w:pStyle w:val="TOC2"/>
        <w:rPr>
          <w:rFonts w:eastAsiaTheme="minorEastAsia" w:cstheme="minorBidi"/>
          <w:noProof/>
          <w:sz w:val="22"/>
          <w:szCs w:val="22"/>
          <w:lang w:eastAsia="en-GB"/>
        </w:rPr>
      </w:pPr>
      <w:hyperlink w:anchor="_Toc141711993" w:history="1">
        <w:r w:rsidR="000F11A9" w:rsidRPr="00C41525">
          <w:rPr>
            <w:rStyle w:val="Hyperlink"/>
            <w:noProof/>
          </w:rPr>
          <w:t>Part E: Employment Exit Provisions</w:t>
        </w:r>
        <w:r w:rsidR="000F11A9">
          <w:rPr>
            <w:noProof/>
            <w:webHidden/>
          </w:rPr>
          <w:tab/>
        </w:r>
        <w:r w:rsidR="000F11A9">
          <w:rPr>
            <w:noProof/>
            <w:webHidden/>
          </w:rPr>
          <w:fldChar w:fldCharType="begin"/>
        </w:r>
        <w:r w:rsidR="000F11A9">
          <w:rPr>
            <w:noProof/>
            <w:webHidden/>
          </w:rPr>
          <w:instrText xml:space="preserve"> PAGEREF _Toc141711993 \h </w:instrText>
        </w:r>
        <w:r w:rsidR="000F11A9">
          <w:rPr>
            <w:noProof/>
            <w:webHidden/>
          </w:rPr>
        </w:r>
        <w:r w:rsidR="000F11A9">
          <w:rPr>
            <w:noProof/>
            <w:webHidden/>
          </w:rPr>
          <w:fldChar w:fldCharType="separate"/>
        </w:r>
        <w:r w:rsidR="000F11A9">
          <w:rPr>
            <w:noProof/>
            <w:webHidden/>
          </w:rPr>
          <w:t>424</w:t>
        </w:r>
        <w:r w:rsidR="000F11A9">
          <w:rPr>
            <w:noProof/>
            <w:webHidden/>
          </w:rPr>
          <w:fldChar w:fldCharType="end"/>
        </w:r>
      </w:hyperlink>
    </w:p>
    <w:p w14:paraId="51C0BE34" w14:textId="5D3BBCC5" w:rsidR="000F11A9" w:rsidRDefault="000D7DE5">
      <w:pPr>
        <w:pStyle w:val="TOC2"/>
        <w:rPr>
          <w:rFonts w:eastAsiaTheme="minorEastAsia" w:cstheme="minorBidi"/>
          <w:noProof/>
          <w:sz w:val="22"/>
          <w:szCs w:val="22"/>
          <w:lang w:eastAsia="en-GB"/>
        </w:rPr>
      </w:pPr>
      <w:hyperlink w:anchor="_Toc141711994" w:history="1">
        <w:r w:rsidR="000F11A9" w:rsidRPr="00C41525">
          <w:rPr>
            <w:rStyle w:val="Hyperlink"/>
            <w:noProof/>
          </w:rPr>
          <w:t>Annex E1: List of Notified Sub-contractors</w:t>
        </w:r>
        <w:r w:rsidR="000F11A9">
          <w:rPr>
            <w:noProof/>
            <w:webHidden/>
          </w:rPr>
          <w:tab/>
        </w:r>
        <w:r w:rsidR="000F11A9">
          <w:rPr>
            <w:noProof/>
            <w:webHidden/>
          </w:rPr>
          <w:fldChar w:fldCharType="begin"/>
        </w:r>
        <w:r w:rsidR="000F11A9">
          <w:rPr>
            <w:noProof/>
            <w:webHidden/>
          </w:rPr>
          <w:instrText xml:space="preserve"> PAGEREF _Toc141711994 \h </w:instrText>
        </w:r>
        <w:r w:rsidR="000F11A9">
          <w:rPr>
            <w:noProof/>
            <w:webHidden/>
          </w:rPr>
        </w:r>
        <w:r w:rsidR="000F11A9">
          <w:rPr>
            <w:noProof/>
            <w:webHidden/>
          </w:rPr>
          <w:fldChar w:fldCharType="separate"/>
        </w:r>
        <w:r w:rsidR="000F11A9">
          <w:rPr>
            <w:noProof/>
            <w:webHidden/>
          </w:rPr>
          <w:t>433</w:t>
        </w:r>
        <w:r w:rsidR="000F11A9">
          <w:rPr>
            <w:noProof/>
            <w:webHidden/>
          </w:rPr>
          <w:fldChar w:fldCharType="end"/>
        </w:r>
      </w:hyperlink>
    </w:p>
    <w:p w14:paraId="6A4DB9DD" w14:textId="240BB52C" w:rsidR="000F11A9" w:rsidRDefault="000D7DE5">
      <w:pPr>
        <w:pStyle w:val="TOC2"/>
        <w:rPr>
          <w:rFonts w:eastAsiaTheme="minorEastAsia" w:cstheme="minorBidi"/>
          <w:noProof/>
          <w:sz w:val="22"/>
          <w:szCs w:val="22"/>
          <w:lang w:eastAsia="en-GB"/>
        </w:rPr>
      </w:pPr>
      <w:hyperlink w:anchor="_Toc141711995" w:history="1">
        <w:r w:rsidR="000F11A9" w:rsidRPr="00C41525">
          <w:rPr>
            <w:rStyle w:val="Hyperlink"/>
            <w:noProof/>
          </w:rPr>
          <w:t>Annex E2: Staffing Information</w:t>
        </w:r>
        <w:r w:rsidR="000F11A9">
          <w:rPr>
            <w:noProof/>
            <w:webHidden/>
          </w:rPr>
          <w:tab/>
        </w:r>
        <w:r w:rsidR="000F11A9">
          <w:rPr>
            <w:noProof/>
            <w:webHidden/>
          </w:rPr>
          <w:fldChar w:fldCharType="begin"/>
        </w:r>
        <w:r w:rsidR="000F11A9">
          <w:rPr>
            <w:noProof/>
            <w:webHidden/>
          </w:rPr>
          <w:instrText xml:space="preserve"> PAGEREF _Toc141711995 \h </w:instrText>
        </w:r>
        <w:r w:rsidR="000F11A9">
          <w:rPr>
            <w:noProof/>
            <w:webHidden/>
          </w:rPr>
        </w:r>
        <w:r w:rsidR="000F11A9">
          <w:rPr>
            <w:noProof/>
            <w:webHidden/>
          </w:rPr>
          <w:fldChar w:fldCharType="separate"/>
        </w:r>
        <w:r w:rsidR="000F11A9">
          <w:rPr>
            <w:noProof/>
            <w:webHidden/>
          </w:rPr>
          <w:t>434</w:t>
        </w:r>
        <w:r w:rsidR="000F11A9">
          <w:rPr>
            <w:noProof/>
            <w:webHidden/>
          </w:rPr>
          <w:fldChar w:fldCharType="end"/>
        </w:r>
      </w:hyperlink>
    </w:p>
    <w:p w14:paraId="42E03F7B" w14:textId="73EE18B0" w:rsidR="000F11A9" w:rsidRDefault="000D7DE5">
      <w:pPr>
        <w:pStyle w:val="TOC1"/>
        <w:rPr>
          <w:rFonts w:eastAsiaTheme="minorEastAsia" w:cstheme="minorBidi"/>
          <w:b w:val="0"/>
          <w:noProof/>
          <w:color w:val="auto"/>
          <w:sz w:val="22"/>
          <w:szCs w:val="22"/>
          <w:lang w:eastAsia="en-GB"/>
        </w:rPr>
      </w:pPr>
      <w:hyperlink w:anchor="_Toc141711996" w:history="1">
        <w:r w:rsidR="000F11A9" w:rsidRPr="00C41525">
          <w:rPr>
            <w:rStyle w:val="Hyperlink"/>
            <w:noProof/>
          </w:rPr>
          <w:t>Schedule 29: Key Personnel</w:t>
        </w:r>
        <w:r w:rsidR="000F11A9">
          <w:rPr>
            <w:noProof/>
            <w:webHidden/>
          </w:rPr>
          <w:tab/>
        </w:r>
        <w:r w:rsidR="000F11A9">
          <w:rPr>
            <w:noProof/>
            <w:webHidden/>
          </w:rPr>
          <w:fldChar w:fldCharType="begin"/>
        </w:r>
        <w:r w:rsidR="000F11A9">
          <w:rPr>
            <w:noProof/>
            <w:webHidden/>
          </w:rPr>
          <w:instrText xml:space="preserve"> PAGEREF _Toc141711996 \h </w:instrText>
        </w:r>
        <w:r w:rsidR="000F11A9">
          <w:rPr>
            <w:noProof/>
            <w:webHidden/>
          </w:rPr>
        </w:r>
        <w:r w:rsidR="000F11A9">
          <w:rPr>
            <w:noProof/>
            <w:webHidden/>
          </w:rPr>
          <w:fldChar w:fldCharType="separate"/>
        </w:r>
        <w:r w:rsidR="000F11A9">
          <w:rPr>
            <w:noProof/>
            <w:webHidden/>
          </w:rPr>
          <w:t>444</w:t>
        </w:r>
        <w:r w:rsidR="000F11A9">
          <w:rPr>
            <w:noProof/>
            <w:webHidden/>
          </w:rPr>
          <w:fldChar w:fldCharType="end"/>
        </w:r>
      </w:hyperlink>
    </w:p>
    <w:p w14:paraId="2FF0369D" w14:textId="2BB7999B" w:rsidR="000F11A9" w:rsidRDefault="000D7DE5">
      <w:pPr>
        <w:pStyle w:val="TOC1"/>
        <w:rPr>
          <w:rFonts w:eastAsiaTheme="minorEastAsia" w:cstheme="minorBidi"/>
          <w:b w:val="0"/>
          <w:noProof/>
          <w:color w:val="auto"/>
          <w:sz w:val="22"/>
          <w:szCs w:val="22"/>
          <w:lang w:eastAsia="en-GB"/>
        </w:rPr>
      </w:pPr>
      <w:hyperlink w:anchor="_Toc141711997" w:history="1">
        <w:r w:rsidR="000F11A9" w:rsidRPr="00C41525">
          <w:rPr>
            <w:rStyle w:val="Hyperlink"/>
            <w:rFonts w:ascii="Arial" w:hAnsi="Arial" w:cs="Arial"/>
            <w:noProof/>
            <w:lang w:eastAsia="en-GB"/>
          </w:rPr>
          <w:t>Schedule 30: Deed of</w:t>
        </w:r>
        <w:r w:rsidR="000F11A9" w:rsidRPr="00C41525">
          <w:rPr>
            <w:rStyle w:val="Hyperlink"/>
            <w:noProof/>
          </w:rPr>
          <w:t xml:space="preserve"> </w:t>
        </w:r>
        <w:r w:rsidR="000F11A9" w:rsidRPr="00C41525">
          <w:rPr>
            <w:rStyle w:val="Hyperlink"/>
            <w:rFonts w:ascii="Arial" w:hAnsi="Arial" w:cs="Arial"/>
            <w:noProof/>
            <w:lang w:eastAsia="en-GB"/>
          </w:rPr>
          <w:t>Guarantee</w:t>
        </w:r>
        <w:r w:rsidR="000F11A9">
          <w:rPr>
            <w:noProof/>
            <w:webHidden/>
          </w:rPr>
          <w:tab/>
        </w:r>
        <w:r w:rsidR="000F11A9">
          <w:rPr>
            <w:noProof/>
            <w:webHidden/>
          </w:rPr>
          <w:fldChar w:fldCharType="begin"/>
        </w:r>
        <w:r w:rsidR="000F11A9">
          <w:rPr>
            <w:noProof/>
            <w:webHidden/>
          </w:rPr>
          <w:instrText xml:space="preserve"> PAGEREF _Toc141711997 \h </w:instrText>
        </w:r>
        <w:r w:rsidR="000F11A9">
          <w:rPr>
            <w:noProof/>
            <w:webHidden/>
          </w:rPr>
        </w:r>
        <w:r w:rsidR="000F11A9">
          <w:rPr>
            <w:noProof/>
            <w:webHidden/>
          </w:rPr>
          <w:fldChar w:fldCharType="separate"/>
        </w:r>
        <w:r w:rsidR="000F11A9">
          <w:rPr>
            <w:noProof/>
            <w:webHidden/>
          </w:rPr>
          <w:t>446</w:t>
        </w:r>
        <w:r w:rsidR="000F11A9">
          <w:rPr>
            <w:noProof/>
            <w:webHidden/>
          </w:rPr>
          <w:fldChar w:fldCharType="end"/>
        </w:r>
      </w:hyperlink>
    </w:p>
    <w:p w14:paraId="2D6BF236" w14:textId="3E1774A9" w:rsidR="000F11A9" w:rsidRDefault="000D7DE5">
      <w:pPr>
        <w:pStyle w:val="TOC1"/>
        <w:rPr>
          <w:rFonts w:eastAsiaTheme="minorEastAsia" w:cstheme="minorBidi"/>
          <w:b w:val="0"/>
          <w:noProof/>
          <w:color w:val="auto"/>
          <w:sz w:val="22"/>
          <w:szCs w:val="22"/>
          <w:lang w:eastAsia="en-GB"/>
        </w:rPr>
      </w:pPr>
      <w:hyperlink w:anchor="_Toc141711998" w:history="1">
        <w:r w:rsidR="000F11A9" w:rsidRPr="00C41525">
          <w:rPr>
            <w:rStyle w:val="Hyperlink"/>
            <w:noProof/>
          </w:rPr>
          <w:t>Schedule 31: Processing Personal Data</w:t>
        </w:r>
        <w:r w:rsidR="000F11A9">
          <w:rPr>
            <w:noProof/>
            <w:webHidden/>
          </w:rPr>
          <w:tab/>
        </w:r>
        <w:r w:rsidR="000F11A9">
          <w:rPr>
            <w:noProof/>
            <w:webHidden/>
          </w:rPr>
          <w:fldChar w:fldCharType="begin"/>
        </w:r>
        <w:r w:rsidR="000F11A9">
          <w:rPr>
            <w:noProof/>
            <w:webHidden/>
          </w:rPr>
          <w:instrText xml:space="preserve"> PAGEREF _Toc141711998 \h </w:instrText>
        </w:r>
        <w:r w:rsidR="000F11A9">
          <w:rPr>
            <w:noProof/>
            <w:webHidden/>
          </w:rPr>
        </w:r>
        <w:r w:rsidR="000F11A9">
          <w:rPr>
            <w:noProof/>
            <w:webHidden/>
          </w:rPr>
          <w:fldChar w:fldCharType="separate"/>
        </w:r>
        <w:r w:rsidR="000F11A9">
          <w:rPr>
            <w:noProof/>
            <w:webHidden/>
          </w:rPr>
          <w:t>456</w:t>
        </w:r>
        <w:r w:rsidR="000F11A9">
          <w:rPr>
            <w:noProof/>
            <w:webHidden/>
          </w:rPr>
          <w:fldChar w:fldCharType="end"/>
        </w:r>
      </w:hyperlink>
    </w:p>
    <w:p w14:paraId="2137DEE8" w14:textId="4FFBB601" w:rsidR="000F11A9" w:rsidRDefault="000D7DE5">
      <w:pPr>
        <w:pStyle w:val="TOC2"/>
        <w:rPr>
          <w:rFonts w:eastAsiaTheme="minorEastAsia" w:cstheme="minorBidi"/>
          <w:noProof/>
          <w:sz w:val="22"/>
          <w:szCs w:val="22"/>
          <w:lang w:eastAsia="en-GB"/>
        </w:rPr>
      </w:pPr>
      <w:hyperlink w:anchor="_Toc141711999" w:history="1">
        <w:r w:rsidR="000F11A9" w:rsidRPr="00C41525">
          <w:rPr>
            <w:rStyle w:val="Hyperlink"/>
            <w:noProof/>
          </w:rPr>
          <w:t>Annex 1: Joint Controller Agreement</w:t>
        </w:r>
        <w:r w:rsidR="000F11A9">
          <w:rPr>
            <w:noProof/>
            <w:webHidden/>
          </w:rPr>
          <w:tab/>
        </w:r>
        <w:r w:rsidR="000F11A9">
          <w:rPr>
            <w:noProof/>
            <w:webHidden/>
          </w:rPr>
          <w:fldChar w:fldCharType="begin"/>
        </w:r>
        <w:r w:rsidR="000F11A9">
          <w:rPr>
            <w:noProof/>
            <w:webHidden/>
          </w:rPr>
          <w:instrText xml:space="preserve"> PAGEREF _Toc141711999 \h </w:instrText>
        </w:r>
        <w:r w:rsidR="000F11A9">
          <w:rPr>
            <w:noProof/>
            <w:webHidden/>
          </w:rPr>
        </w:r>
        <w:r w:rsidR="000F11A9">
          <w:rPr>
            <w:noProof/>
            <w:webHidden/>
          </w:rPr>
          <w:fldChar w:fldCharType="separate"/>
        </w:r>
        <w:r w:rsidR="000F11A9">
          <w:rPr>
            <w:noProof/>
            <w:webHidden/>
          </w:rPr>
          <w:t>459</w:t>
        </w:r>
        <w:r w:rsidR="000F11A9">
          <w:rPr>
            <w:noProof/>
            <w:webHidden/>
          </w:rPr>
          <w:fldChar w:fldCharType="end"/>
        </w:r>
      </w:hyperlink>
    </w:p>
    <w:p w14:paraId="776F2339" w14:textId="7D9B4BCE" w:rsidR="000F11A9" w:rsidRDefault="000D7DE5">
      <w:pPr>
        <w:pStyle w:val="TOC2"/>
        <w:rPr>
          <w:rFonts w:eastAsiaTheme="minorEastAsia" w:cstheme="minorBidi"/>
          <w:noProof/>
          <w:sz w:val="22"/>
          <w:szCs w:val="22"/>
          <w:lang w:eastAsia="en-GB"/>
        </w:rPr>
      </w:pPr>
      <w:hyperlink w:anchor="_Toc141712000" w:history="1">
        <w:r w:rsidR="000F11A9" w:rsidRPr="00C41525">
          <w:rPr>
            <w:rStyle w:val="Hyperlink"/>
            <w:noProof/>
          </w:rPr>
          <w:t xml:space="preserve">Annex 2: </w:t>
        </w:r>
        <w:r w:rsidR="000F11A9" w:rsidRPr="00C41525">
          <w:rPr>
            <w:rStyle w:val="Hyperlink"/>
            <w:rFonts w:cs="Arial"/>
            <w:noProof/>
          </w:rPr>
          <w:t>International Data Transfer Agreement and International Data Transfer Agreement Addendum to the EU Commission Standard Contractual Clauses</w:t>
        </w:r>
        <w:r w:rsidR="000F11A9">
          <w:rPr>
            <w:noProof/>
            <w:webHidden/>
          </w:rPr>
          <w:tab/>
        </w:r>
        <w:r w:rsidR="000F11A9">
          <w:rPr>
            <w:noProof/>
            <w:webHidden/>
          </w:rPr>
          <w:fldChar w:fldCharType="begin"/>
        </w:r>
        <w:r w:rsidR="000F11A9">
          <w:rPr>
            <w:noProof/>
            <w:webHidden/>
          </w:rPr>
          <w:instrText xml:space="preserve"> PAGEREF _Toc141712000 \h </w:instrText>
        </w:r>
        <w:r w:rsidR="000F11A9">
          <w:rPr>
            <w:noProof/>
            <w:webHidden/>
          </w:rPr>
        </w:r>
        <w:r w:rsidR="000F11A9">
          <w:rPr>
            <w:noProof/>
            <w:webHidden/>
          </w:rPr>
          <w:fldChar w:fldCharType="separate"/>
        </w:r>
        <w:r w:rsidR="000F11A9">
          <w:rPr>
            <w:noProof/>
            <w:webHidden/>
          </w:rPr>
          <w:t>467</w:t>
        </w:r>
        <w:r w:rsidR="000F11A9">
          <w:rPr>
            <w:noProof/>
            <w:webHidden/>
          </w:rPr>
          <w:fldChar w:fldCharType="end"/>
        </w:r>
      </w:hyperlink>
    </w:p>
    <w:p w14:paraId="7DA743B4" w14:textId="31D34416" w:rsidR="000F11A9" w:rsidRDefault="000D7DE5">
      <w:pPr>
        <w:pStyle w:val="TOC2"/>
        <w:rPr>
          <w:rFonts w:eastAsiaTheme="minorEastAsia" w:cstheme="minorBidi"/>
          <w:noProof/>
          <w:sz w:val="22"/>
          <w:szCs w:val="22"/>
          <w:lang w:eastAsia="en-GB"/>
        </w:rPr>
      </w:pPr>
      <w:hyperlink w:anchor="_Toc141712001" w:history="1">
        <w:r w:rsidR="000F11A9" w:rsidRPr="00C41525">
          <w:rPr>
            <w:rStyle w:val="Hyperlink"/>
            <w:noProof/>
          </w:rPr>
          <w:t>Part A: International Data Transfer Agreement</w:t>
        </w:r>
        <w:r w:rsidR="000F11A9">
          <w:rPr>
            <w:noProof/>
            <w:webHidden/>
          </w:rPr>
          <w:tab/>
        </w:r>
        <w:r w:rsidR="000F11A9">
          <w:rPr>
            <w:noProof/>
            <w:webHidden/>
          </w:rPr>
          <w:fldChar w:fldCharType="begin"/>
        </w:r>
        <w:r w:rsidR="000F11A9">
          <w:rPr>
            <w:noProof/>
            <w:webHidden/>
          </w:rPr>
          <w:instrText xml:space="preserve"> PAGEREF _Toc141712001 \h </w:instrText>
        </w:r>
        <w:r w:rsidR="000F11A9">
          <w:rPr>
            <w:noProof/>
            <w:webHidden/>
          </w:rPr>
        </w:r>
        <w:r w:rsidR="000F11A9">
          <w:rPr>
            <w:noProof/>
            <w:webHidden/>
          </w:rPr>
          <w:fldChar w:fldCharType="separate"/>
        </w:r>
        <w:r w:rsidR="000F11A9">
          <w:rPr>
            <w:noProof/>
            <w:webHidden/>
          </w:rPr>
          <w:t>467</w:t>
        </w:r>
        <w:r w:rsidR="000F11A9">
          <w:rPr>
            <w:noProof/>
            <w:webHidden/>
          </w:rPr>
          <w:fldChar w:fldCharType="end"/>
        </w:r>
      </w:hyperlink>
    </w:p>
    <w:p w14:paraId="14DD564A" w14:textId="5B40AE93" w:rsidR="000F11A9" w:rsidRDefault="000D7DE5">
      <w:pPr>
        <w:pStyle w:val="TOC2"/>
        <w:rPr>
          <w:rFonts w:eastAsiaTheme="minorEastAsia" w:cstheme="minorBidi"/>
          <w:noProof/>
          <w:sz w:val="22"/>
          <w:szCs w:val="22"/>
          <w:lang w:eastAsia="en-GB"/>
        </w:rPr>
      </w:pPr>
      <w:hyperlink w:anchor="_Toc141712002" w:history="1">
        <w:r w:rsidR="000F11A9" w:rsidRPr="00C41525">
          <w:rPr>
            <w:rStyle w:val="Hyperlink"/>
            <w:noProof/>
          </w:rPr>
          <w:t>Part B: International Data Transfer Agreement Addendum to the EU Commission Standard Contractual Clauses</w:t>
        </w:r>
        <w:r w:rsidR="000F11A9">
          <w:rPr>
            <w:noProof/>
            <w:webHidden/>
          </w:rPr>
          <w:tab/>
        </w:r>
        <w:r w:rsidR="000F11A9">
          <w:rPr>
            <w:noProof/>
            <w:webHidden/>
          </w:rPr>
          <w:fldChar w:fldCharType="begin"/>
        </w:r>
        <w:r w:rsidR="000F11A9">
          <w:rPr>
            <w:noProof/>
            <w:webHidden/>
          </w:rPr>
          <w:instrText xml:space="preserve"> PAGEREF _Toc141712002 \h </w:instrText>
        </w:r>
        <w:r w:rsidR="000F11A9">
          <w:rPr>
            <w:noProof/>
            <w:webHidden/>
          </w:rPr>
        </w:r>
        <w:r w:rsidR="000F11A9">
          <w:rPr>
            <w:noProof/>
            <w:webHidden/>
          </w:rPr>
          <w:fldChar w:fldCharType="separate"/>
        </w:r>
        <w:r w:rsidR="000F11A9">
          <w:rPr>
            <w:noProof/>
            <w:webHidden/>
          </w:rPr>
          <w:t>495</w:t>
        </w:r>
        <w:r w:rsidR="000F11A9">
          <w:rPr>
            <w:noProof/>
            <w:webHidden/>
          </w:rPr>
          <w:fldChar w:fldCharType="end"/>
        </w:r>
      </w:hyperlink>
    </w:p>
    <w:p w14:paraId="0A441F24" w14:textId="2E353FDD" w:rsidR="000F11A9" w:rsidRDefault="000D7DE5">
      <w:pPr>
        <w:pStyle w:val="TOC2"/>
        <w:rPr>
          <w:rFonts w:eastAsiaTheme="minorEastAsia" w:cstheme="minorBidi"/>
          <w:noProof/>
          <w:sz w:val="22"/>
          <w:szCs w:val="22"/>
          <w:lang w:eastAsia="en-GB"/>
        </w:rPr>
      </w:pPr>
      <w:hyperlink w:anchor="_Toc141712003" w:history="1">
        <w:r w:rsidR="000F11A9" w:rsidRPr="00C41525">
          <w:rPr>
            <w:rStyle w:val="Hyperlink"/>
            <w:noProof/>
          </w:rPr>
          <w:t>Annex 3: Standard Contractual Clauses for EU GDPR Compliant Transfers</w:t>
        </w:r>
        <w:r w:rsidR="000F11A9">
          <w:rPr>
            <w:noProof/>
            <w:webHidden/>
          </w:rPr>
          <w:tab/>
        </w:r>
        <w:r w:rsidR="000F11A9">
          <w:rPr>
            <w:noProof/>
            <w:webHidden/>
          </w:rPr>
          <w:fldChar w:fldCharType="begin"/>
        </w:r>
        <w:r w:rsidR="000F11A9">
          <w:rPr>
            <w:noProof/>
            <w:webHidden/>
          </w:rPr>
          <w:instrText xml:space="preserve"> PAGEREF _Toc141712003 \h </w:instrText>
        </w:r>
        <w:r w:rsidR="000F11A9">
          <w:rPr>
            <w:noProof/>
            <w:webHidden/>
          </w:rPr>
        </w:r>
        <w:r w:rsidR="000F11A9">
          <w:rPr>
            <w:noProof/>
            <w:webHidden/>
          </w:rPr>
          <w:fldChar w:fldCharType="separate"/>
        </w:r>
        <w:r w:rsidR="000F11A9">
          <w:rPr>
            <w:noProof/>
            <w:webHidden/>
          </w:rPr>
          <w:t>502</w:t>
        </w:r>
        <w:r w:rsidR="000F11A9">
          <w:rPr>
            <w:noProof/>
            <w:webHidden/>
          </w:rPr>
          <w:fldChar w:fldCharType="end"/>
        </w:r>
      </w:hyperlink>
    </w:p>
    <w:p w14:paraId="726B5BC7" w14:textId="5C55266D" w:rsidR="000F11A9" w:rsidRDefault="000D7DE5">
      <w:pPr>
        <w:pStyle w:val="TOC2"/>
        <w:rPr>
          <w:rFonts w:eastAsiaTheme="minorEastAsia" w:cstheme="minorBidi"/>
          <w:noProof/>
          <w:sz w:val="22"/>
          <w:szCs w:val="22"/>
          <w:lang w:eastAsia="en-GB"/>
        </w:rPr>
      </w:pPr>
      <w:hyperlink w:anchor="_Toc141712004" w:history="1">
        <w:r w:rsidR="000F11A9" w:rsidRPr="00C41525">
          <w:rPr>
            <w:rStyle w:val="Hyperlink"/>
            <w:noProof/>
          </w:rPr>
          <w:t>Part A: Processor to Controller Standard Contractual Clauses</w:t>
        </w:r>
        <w:r w:rsidR="000F11A9">
          <w:rPr>
            <w:noProof/>
            <w:webHidden/>
          </w:rPr>
          <w:tab/>
        </w:r>
        <w:r w:rsidR="000F11A9">
          <w:rPr>
            <w:noProof/>
            <w:webHidden/>
          </w:rPr>
          <w:fldChar w:fldCharType="begin"/>
        </w:r>
        <w:r w:rsidR="000F11A9">
          <w:rPr>
            <w:noProof/>
            <w:webHidden/>
          </w:rPr>
          <w:instrText xml:space="preserve"> PAGEREF _Toc141712004 \h </w:instrText>
        </w:r>
        <w:r w:rsidR="000F11A9">
          <w:rPr>
            <w:noProof/>
            <w:webHidden/>
          </w:rPr>
        </w:r>
        <w:r w:rsidR="000F11A9">
          <w:rPr>
            <w:noProof/>
            <w:webHidden/>
          </w:rPr>
          <w:fldChar w:fldCharType="separate"/>
        </w:r>
        <w:r w:rsidR="000F11A9">
          <w:rPr>
            <w:noProof/>
            <w:webHidden/>
          </w:rPr>
          <w:t>502</w:t>
        </w:r>
        <w:r w:rsidR="000F11A9">
          <w:rPr>
            <w:noProof/>
            <w:webHidden/>
          </w:rPr>
          <w:fldChar w:fldCharType="end"/>
        </w:r>
      </w:hyperlink>
    </w:p>
    <w:p w14:paraId="1BACC7DF" w14:textId="21FA17F8" w:rsidR="000F11A9" w:rsidRDefault="000D7DE5">
      <w:pPr>
        <w:pStyle w:val="TOC2"/>
        <w:rPr>
          <w:rFonts w:eastAsiaTheme="minorEastAsia" w:cstheme="minorBidi"/>
          <w:noProof/>
          <w:sz w:val="22"/>
          <w:szCs w:val="22"/>
          <w:lang w:eastAsia="en-GB"/>
        </w:rPr>
      </w:pPr>
      <w:hyperlink w:anchor="_Toc141712005" w:history="1">
        <w:r w:rsidR="000F11A9" w:rsidRPr="00C41525">
          <w:rPr>
            <w:rStyle w:val="Hyperlink"/>
            <w:noProof/>
          </w:rPr>
          <w:t>Part B: Controller to Processor Standard Contractual Clauses</w:t>
        </w:r>
        <w:r w:rsidR="000F11A9">
          <w:rPr>
            <w:noProof/>
            <w:webHidden/>
          </w:rPr>
          <w:tab/>
        </w:r>
        <w:r w:rsidR="000F11A9">
          <w:rPr>
            <w:noProof/>
            <w:webHidden/>
          </w:rPr>
          <w:fldChar w:fldCharType="begin"/>
        </w:r>
        <w:r w:rsidR="000F11A9">
          <w:rPr>
            <w:noProof/>
            <w:webHidden/>
          </w:rPr>
          <w:instrText xml:space="preserve"> PAGEREF _Toc141712005 \h </w:instrText>
        </w:r>
        <w:r w:rsidR="000F11A9">
          <w:rPr>
            <w:noProof/>
            <w:webHidden/>
          </w:rPr>
        </w:r>
        <w:r w:rsidR="000F11A9">
          <w:rPr>
            <w:noProof/>
            <w:webHidden/>
          </w:rPr>
          <w:fldChar w:fldCharType="separate"/>
        </w:r>
        <w:r w:rsidR="000F11A9">
          <w:rPr>
            <w:noProof/>
            <w:webHidden/>
          </w:rPr>
          <w:t>515</w:t>
        </w:r>
        <w:r w:rsidR="000F11A9">
          <w:rPr>
            <w:noProof/>
            <w:webHidden/>
          </w:rPr>
          <w:fldChar w:fldCharType="end"/>
        </w:r>
      </w:hyperlink>
    </w:p>
    <w:p w14:paraId="4E7C831D" w14:textId="6DB6A32C" w:rsidR="000F11A9" w:rsidRDefault="000D7DE5">
      <w:pPr>
        <w:pStyle w:val="TOC2"/>
        <w:rPr>
          <w:rFonts w:eastAsiaTheme="minorEastAsia" w:cstheme="minorBidi"/>
          <w:noProof/>
          <w:sz w:val="22"/>
          <w:szCs w:val="22"/>
          <w:lang w:eastAsia="en-GB"/>
        </w:rPr>
      </w:pPr>
      <w:hyperlink w:anchor="_Toc141712006" w:history="1">
        <w:r w:rsidR="000F11A9" w:rsidRPr="00C41525">
          <w:rPr>
            <w:rStyle w:val="Hyperlink"/>
            <w:noProof/>
          </w:rPr>
          <w:t>Part C: Processor to Processor Standard Contractual Clauses</w:t>
        </w:r>
        <w:r w:rsidR="000F11A9">
          <w:rPr>
            <w:noProof/>
            <w:webHidden/>
          </w:rPr>
          <w:tab/>
        </w:r>
        <w:r w:rsidR="000F11A9">
          <w:rPr>
            <w:noProof/>
            <w:webHidden/>
          </w:rPr>
          <w:fldChar w:fldCharType="begin"/>
        </w:r>
        <w:r w:rsidR="000F11A9">
          <w:rPr>
            <w:noProof/>
            <w:webHidden/>
          </w:rPr>
          <w:instrText xml:space="preserve"> PAGEREF _Toc141712006 \h </w:instrText>
        </w:r>
        <w:r w:rsidR="000F11A9">
          <w:rPr>
            <w:noProof/>
            <w:webHidden/>
          </w:rPr>
        </w:r>
        <w:r w:rsidR="000F11A9">
          <w:rPr>
            <w:noProof/>
            <w:webHidden/>
          </w:rPr>
          <w:fldChar w:fldCharType="separate"/>
        </w:r>
        <w:r w:rsidR="000F11A9">
          <w:rPr>
            <w:noProof/>
            <w:webHidden/>
          </w:rPr>
          <w:t>535</w:t>
        </w:r>
        <w:r w:rsidR="000F11A9">
          <w:rPr>
            <w:noProof/>
            <w:webHidden/>
          </w:rPr>
          <w:fldChar w:fldCharType="end"/>
        </w:r>
      </w:hyperlink>
    </w:p>
    <w:p w14:paraId="19BEC5DB" w14:textId="19095C89" w:rsidR="000F11A9" w:rsidRDefault="000D7DE5">
      <w:pPr>
        <w:pStyle w:val="TOC1"/>
        <w:rPr>
          <w:rFonts w:eastAsiaTheme="minorEastAsia" w:cstheme="minorBidi"/>
          <w:b w:val="0"/>
          <w:noProof/>
          <w:color w:val="auto"/>
          <w:sz w:val="22"/>
          <w:szCs w:val="22"/>
          <w:lang w:eastAsia="en-GB"/>
        </w:rPr>
      </w:pPr>
      <w:hyperlink w:anchor="_Toc141712007" w:history="1">
        <w:r w:rsidR="000F11A9" w:rsidRPr="00C41525">
          <w:rPr>
            <w:rStyle w:val="Hyperlink"/>
            <w:noProof/>
          </w:rPr>
          <w:t>Schedule 32: Intellectual Property Rights</w:t>
        </w:r>
        <w:r w:rsidR="000F11A9">
          <w:rPr>
            <w:noProof/>
            <w:webHidden/>
          </w:rPr>
          <w:tab/>
        </w:r>
        <w:r w:rsidR="000F11A9">
          <w:rPr>
            <w:noProof/>
            <w:webHidden/>
          </w:rPr>
          <w:fldChar w:fldCharType="begin"/>
        </w:r>
        <w:r w:rsidR="000F11A9">
          <w:rPr>
            <w:noProof/>
            <w:webHidden/>
          </w:rPr>
          <w:instrText xml:space="preserve"> PAGEREF _Toc141712007 \h </w:instrText>
        </w:r>
        <w:r w:rsidR="000F11A9">
          <w:rPr>
            <w:noProof/>
            <w:webHidden/>
          </w:rPr>
        </w:r>
        <w:r w:rsidR="000F11A9">
          <w:rPr>
            <w:noProof/>
            <w:webHidden/>
          </w:rPr>
          <w:fldChar w:fldCharType="separate"/>
        </w:r>
        <w:r w:rsidR="000F11A9">
          <w:rPr>
            <w:noProof/>
            <w:webHidden/>
          </w:rPr>
          <w:t>557</w:t>
        </w:r>
        <w:r w:rsidR="000F11A9">
          <w:rPr>
            <w:noProof/>
            <w:webHidden/>
          </w:rPr>
          <w:fldChar w:fldCharType="end"/>
        </w:r>
      </w:hyperlink>
    </w:p>
    <w:p w14:paraId="46B91FA0" w14:textId="6EA1E748" w:rsidR="000F11A9" w:rsidRDefault="000D7DE5">
      <w:pPr>
        <w:pStyle w:val="TOC2"/>
        <w:rPr>
          <w:rFonts w:eastAsiaTheme="minorEastAsia" w:cstheme="minorBidi"/>
          <w:noProof/>
          <w:sz w:val="22"/>
          <w:szCs w:val="22"/>
          <w:lang w:eastAsia="en-GB"/>
        </w:rPr>
      </w:pPr>
      <w:hyperlink w:anchor="_Toc141712008" w:history="1">
        <w:r w:rsidR="000F11A9" w:rsidRPr="00C41525">
          <w:rPr>
            <w:rStyle w:val="Hyperlink"/>
            <w:noProof/>
          </w:rPr>
          <w:t>Option 1</w:t>
        </w:r>
        <w:r w:rsidR="000F11A9">
          <w:rPr>
            <w:noProof/>
            <w:webHidden/>
          </w:rPr>
          <w:tab/>
        </w:r>
        <w:r w:rsidR="000F11A9">
          <w:rPr>
            <w:noProof/>
            <w:webHidden/>
          </w:rPr>
          <w:fldChar w:fldCharType="begin"/>
        </w:r>
        <w:r w:rsidR="000F11A9">
          <w:rPr>
            <w:noProof/>
            <w:webHidden/>
          </w:rPr>
          <w:instrText xml:space="preserve"> PAGEREF _Toc141712008 \h </w:instrText>
        </w:r>
        <w:r w:rsidR="000F11A9">
          <w:rPr>
            <w:noProof/>
            <w:webHidden/>
          </w:rPr>
        </w:r>
        <w:r w:rsidR="000F11A9">
          <w:rPr>
            <w:noProof/>
            <w:webHidden/>
          </w:rPr>
          <w:fldChar w:fldCharType="separate"/>
        </w:r>
        <w:r w:rsidR="000F11A9">
          <w:rPr>
            <w:noProof/>
            <w:webHidden/>
          </w:rPr>
          <w:t>559</w:t>
        </w:r>
        <w:r w:rsidR="000F11A9">
          <w:rPr>
            <w:noProof/>
            <w:webHidden/>
          </w:rPr>
          <w:fldChar w:fldCharType="end"/>
        </w:r>
      </w:hyperlink>
    </w:p>
    <w:p w14:paraId="46FF1863" w14:textId="1D6ED3BC" w:rsidR="000F11A9" w:rsidRDefault="000D7DE5">
      <w:pPr>
        <w:pStyle w:val="TOC2"/>
        <w:rPr>
          <w:rFonts w:eastAsiaTheme="minorEastAsia" w:cstheme="minorBidi"/>
          <w:noProof/>
          <w:sz w:val="22"/>
          <w:szCs w:val="22"/>
          <w:lang w:eastAsia="en-GB"/>
        </w:rPr>
      </w:pPr>
      <w:hyperlink w:anchor="_Toc141712009" w:history="1">
        <w:r w:rsidR="000F11A9" w:rsidRPr="00C41525">
          <w:rPr>
            <w:rStyle w:val="Hyperlink"/>
            <w:noProof/>
          </w:rPr>
          <w:t>Option 2</w:t>
        </w:r>
        <w:r w:rsidR="000F11A9">
          <w:rPr>
            <w:noProof/>
            <w:webHidden/>
          </w:rPr>
          <w:tab/>
        </w:r>
        <w:r w:rsidR="000F11A9">
          <w:rPr>
            <w:noProof/>
            <w:webHidden/>
          </w:rPr>
          <w:fldChar w:fldCharType="begin"/>
        </w:r>
        <w:r w:rsidR="000F11A9">
          <w:rPr>
            <w:noProof/>
            <w:webHidden/>
          </w:rPr>
          <w:instrText xml:space="preserve"> PAGEREF _Toc141712009 \h </w:instrText>
        </w:r>
        <w:r w:rsidR="000F11A9">
          <w:rPr>
            <w:noProof/>
            <w:webHidden/>
          </w:rPr>
        </w:r>
        <w:r w:rsidR="000F11A9">
          <w:rPr>
            <w:noProof/>
            <w:webHidden/>
          </w:rPr>
          <w:fldChar w:fldCharType="separate"/>
        </w:r>
        <w:r w:rsidR="000F11A9">
          <w:rPr>
            <w:noProof/>
            <w:webHidden/>
          </w:rPr>
          <w:t>568</w:t>
        </w:r>
        <w:r w:rsidR="000F11A9">
          <w:rPr>
            <w:noProof/>
            <w:webHidden/>
          </w:rPr>
          <w:fldChar w:fldCharType="end"/>
        </w:r>
      </w:hyperlink>
    </w:p>
    <w:p w14:paraId="435770F2" w14:textId="56A32381" w:rsidR="000F11A9" w:rsidRDefault="000D7DE5">
      <w:pPr>
        <w:pStyle w:val="TOC2"/>
        <w:rPr>
          <w:rFonts w:eastAsiaTheme="minorEastAsia" w:cstheme="minorBidi"/>
          <w:noProof/>
          <w:sz w:val="22"/>
          <w:szCs w:val="22"/>
          <w:lang w:eastAsia="en-GB"/>
        </w:rPr>
      </w:pPr>
      <w:hyperlink w:anchor="_Toc141712010" w:history="1">
        <w:r w:rsidR="000F11A9" w:rsidRPr="00C41525">
          <w:rPr>
            <w:rStyle w:val="Hyperlink"/>
            <w:noProof/>
          </w:rPr>
          <w:t>Option 3</w:t>
        </w:r>
        <w:r w:rsidR="000F11A9">
          <w:rPr>
            <w:noProof/>
            <w:webHidden/>
          </w:rPr>
          <w:tab/>
        </w:r>
        <w:r w:rsidR="000F11A9">
          <w:rPr>
            <w:noProof/>
            <w:webHidden/>
          </w:rPr>
          <w:fldChar w:fldCharType="begin"/>
        </w:r>
        <w:r w:rsidR="000F11A9">
          <w:rPr>
            <w:noProof/>
            <w:webHidden/>
          </w:rPr>
          <w:instrText xml:space="preserve"> PAGEREF _Toc141712010 \h </w:instrText>
        </w:r>
        <w:r w:rsidR="000F11A9">
          <w:rPr>
            <w:noProof/>
            <w:webHidden/>
          </w:rPr>
        </w:r>
        <w:r w:rsidR="000F11A9">
          <w:rPr>
            <w:noProof/>
            <w:webHidden/>
          </w:rPr>
          <w:fldChar w:fldCharType="separate"/>
        </w:r>
        <w:r w:rsidR="000F11A9">
          <w:rPr>
            <w:noProof/>
            <w:webHidden/>
          </w:rPr>
          <w:t>576</w:t>
        </w:r>
        <w:r w:rsidR="000F11A9">
          <w:rPr>
            <w:noProof/>
            <w:webHidden/>
          </w:rPr>
          <w:fldChar w:fldCharType="end"/>
        </w:r>
      </w:hyperlink>
    </w:p>
    <w:p w14:paraId="0C94CBBC" w14:textId="632649F3" w:rsidR="000F11A9" w:rsidRDefault="000D7DE5">
      <w:pPr>
        <w:pStyle w:val="TOC2"/>
        <w:rPr>
          <w:rFonts w:eastAsiaTheme="minorEastAsia" w:cstheme="minorBidi"/>
          <w:noProof/>
          <w:sz w:val="22"/>
          <w:szCs w:val="22"/>
          <w:lang w:eastAsia="en-GB"/>
        </w:rPr>
      </w:pPr>
      <w:hyperlink w:anchor="_Toc141712011" w:history="1">
        <w:r w:rsidR="000F11A9" w:rsidRPr="00C41525">
          <w:rPr>
            <w:rStyle w:val="Hyperlink"/>
            <w:noProof/>
          </w:rPr>
          <w:t>Option 4</w:t>
        </w:r>
        <w:r w:rsidR="000F11A9">
          <w:rPr>
            <w:noProof/>
            <w:webHidden/>
          </w:rPr>
          <w:tab/>
        </w:r>
        <w:r w:rsidR="000F11A9">
          <w:rPr>
            <w:noProof/>
            <w:webHidden/>
          </w:rPr>
          <w:fldChar w:fldCharType="begin"/>
        </w:r>
        <w:r w:rsidR="000F11A9">
          <w:rPr>
            <w:noProof/>
            <w:webHidden/>
          </w:rPr>
          <w:instrText xml:space="preserve"> PAGEREF _Toc141712011 \h </w:instrText>
        </w:r>
        <w:r w:rsidR="000F11A9">
          <w:rPr>
            <w:noProof/>
            <w:webHidden/>
          </w:rPr>
        </w:r>
        <w:r w:rsidR="000F11A9">
          <w:rPr>
            <w:noProof/>
            <w:webHidden/>
          </w:rPr>
          <w:fldChar w:fldCharType="separate"/>
        </w:r>
        <w:r w:rsidR="000F11A9">
          <w:rPr>
            <w:noProof/>
            <w:webHidden/>
          </w:rPr>
          <w:t>583</w:t>
        </w:r>
        <w:r w:rsidR="000F11A9">
          <w:rPr>
            <w:noProof/>
            <w:webHidden/>
          </w:rPr>
          <w:fldChar w:fldCharType="end"/>
        </w:r>
      </w:hyperlink>
    </w:p>
    <w:p w14:paraId="43589A47" w14:textId="4791A00F" w:rsidR="000F11A9" w:rsidRDefault="000D7DE5">
      <w:pPr>
        <w:pStyle w:val="TOC2"/>
        <w:rPr>
          <w:rFonts w:eastAsiaTheme="minorEastAsia" w:cstheme="minorBidi"/>
          <w:noProof/>
          <w:sz w:val="22"/>
          <w:szCs w:val="22"/>
          <w:lang w:eastAsia="en-GB"/>
        </w:rPr>
      </w:pPr>
      <w:hyperlink w:anchor="_Toc141712012" w:history="1">
        <w:r w:rsidR="000F11A9" w:rsidRPr="00C41525">
          <w:rPr>
            <w:rStyle w:val="Hyperlink"/>
            <w:noProof/>
          </w:rPr>
          <w:t>Option 5</w:t>
        </w:r>
        <w:r w:rsidR="000F11A9">
          <w:rPr>
            <w:noProof/>
            <w:webHidden/>
          </w:rPr>
          <w:tab/>
        </w:r>
        <w:r w:rsidR="000F11A9">
          <w:rPr>
            <w:noProof/>
            <w:webHidden/>
          </w:rPr>
          <w:fldChar w:fldCharType="begin"/>
        </w:r>
        <w:r w:rsidR="000F11A9">
          <w:rPr>
            <w:noProof/>
            <w:webHidden/>
          </w:rPr>
          <w:instrText xml:space="preserve"> PAGEREF _Toc141712012 \h </w:instrText>
        </w:r>
        <w:r w:rsidR="000F11A9">
          <w:rPr>
            <w:noProof/>
            <w:webHidden/>
          </w:rPr>
        </w:r>
        <w:r w:rsidR="000F11A9">
          <w:rPr>
            <w:noProof/>
            <w:webHidden/>
          </w:rPr>
          <w:fldChar w:fldCharType="separate"/>
        </w:r>
        <w:r w:rsidR="000F11A9">
          <w:rPr>
            <w:noProof/>
            <w:webHidden/>
          </w:rPr>
          <w:t>590</w:t>
        </w:r>
        <w:r w:rsidR="000F11A9">
          <w:rPr>
            <w:noProof/>
            <w:webHidden/>
          </w:rPr>
          <w:fldChar w:fldCharType="end"/>
        </w:r>
      </w:hyperlink>
    </w:p>
    <w:p w14:paraId="39236B5D" w14:textId="42FA5C0C" w:rsidR="000F11A9" w:rsidRDefault="000D7DE5">
      <w:pPr>
        <w:pStyle w:val="TOC2"/>
        <w:rPr>
          <w:rFonts w:eastAsiaTheme="minorEastAsia" w:cstheme="minorBidi"/>
          <w:noProof/>
          <w:sz w:val="22"/>
          <w:szCs w:val="22"/>
          <w:lang w:eastAsia="en-GB"/>
        </w:rPr>
      </w:pPr>
      <w:hyperlink w:anchor="_Toc141712013" w:history="1">
        <w:r w:rsidR="000F11A9" w:rsidRPr="00C41525">
          <w:rPr>
            <w:rStyle w:val="Hyperlink"/>
            <w:noProof/>
          </w:rPr>
          <w:t>Annex 1: Project Specific IPR and Specially Written Software</w:t>
        </w:r>
        <w:r w:rsidR="000F11A9">
          <w:rPr>
            <w:noProof/>
            <w:webHidden/>
          </w:rPr>
          <w:tab/>
        </w:r>
        <w:r w:rsidR="000F11A9">
          <w:rPr>
            <w:noProof/>
            <w:webHidden/>
          </w:rPr>
          <w:fldChar w:fldCharType="begin"/>
        </w:r>
        <w:r w:rsidR="000F11A9">
          <w:rPr>
            <w:noProof/>
            <w:webHidden/>
          </w:rPr>
          <w:instrText xml:space="preserve"> PAGEREF _Toc141712013 \h </w:instrText>
        </w:r>
        <w:r w:rsidR="000F11A9">
          <w:rPr>
            <w:noProof/>
            <w:webHidden/>
          </w:rPr>
        </w:r>
        <w:r w:rsidR="000F11A9">
          <w:rPr>
            <w:noProof/>
            <w:webHidden/>
          </w:rPr>
          <w:fldChar w:fldCharType="separate"/>
        </w:r>
        <w:r w:rsidR="000F11A9">
          <w:rPr>
            <w:noProof/>
            <w:webHidden/>
          </w:rPr>
          <w:t>594</w:t>
        </w:r>
        <w:r w:rsidR="000F11A9">
          <w:rPr>
            <w:noProof/>
            <w:webHidden/>
          </w:rPr>
          <w:fldChar w:fldCharType="end"/>
        </w:r>
      </w:hyperlink>
    </w:p>
    <w:p w14:paraId="390174B4" w14:textId="1EDA92E6" w:rsidR="00F67E9E" w:rsidRDefault="00F67E9E" w:rsidP="00F67E9E">
      <w:r>
        <w:rPr>
          <w:rFonts w:ascii="Times New Roman" w:eastAsia="STZhongsong" w:hAnsi="Times New Roman" w:cs="Arial"/>
          <w:caps/>
          <w:sz w:val="22"/>
          <w:lang w:eastAsia="zh-CN"/>
        </w:rPr>
        <w:fldChar w:fldCharType="end"/>
      </w:r>
    </w:p>
    <w:p w14:paraId="07E6DEA9" w14:textId="77777777" w:rsidR="00F67E9E" w:rsidRDefault="00F67E9E" w:rsidP="00F67E9E"/>
    <w:p w14:paraId="3EF8A587" w14:textId="77777777" w:rsidR="00F67E9E" w:rsidRPr="00CD26AF" w:rsidRDefault="00F67E9E" w:rsidP="00F67E9E"/>
    <w:p w14:paraId="63F3055B" w14:textId="77777777" w:rsidR="00F67E9E" w:rsidRPr="00CD26AF" w:rsidRDefault="00F67E9E" w:rsidP="00F67E9E">
      <w:pPr>
        <w:sectPr w:rsidR="00F67E9E" w:rsidRPr="00CD26AF" w:rsidSect="00240D26">
          <w:headerReference w:type="even" r:id="rId14"/>
          <w:headerReference w:type="default" r:id="rId15"/>
          <w:footerReference w:type="even" r:id="rId16"/>
          <w:footerReference w:type="default" r:id="rId17"/>
          <w:headerReference w:type="first" r:id="rId18"/>
          <w:footerReference w:type="first" r:id="rId19"/>
          <w:pgSz w:w="11900" w:h="16840" w:code="9"/>
          <w:pgMar w:top="1701" w:right="851" w:bottom="1134" w:left="851" w:header="567" w:footer="567" w:gutter="0"/>
          <w:cols w:space="720"/>
          <w:docGrid w:linePitch="360"/>
        </w:sectPr>
      </w:pPr>
    </w:p>
    <w:p w14:paraId="7D2161AD" w14:textId="77777777" w:rsidR="00F67E9E" w:rsidRPr="007C55B2" w:rsidRDefault="00F67E9E" w:rsidP="00F67E9E">
      <w:pPr>
        <w:pStyle w:val="Dividername"/>
      </w:pPr>
      <w:r w:rsidRPr="007C55B2">
        <w:t>Schedule 1</w:t>
      </w:r>
    </w:p>
    <w:p w14:paraId="04AD2017" w14:textId="77777777" w:rsidR="00F67E9E" w:rsidRPr="007C55B2" w:rsidRDefault="00F67E9E" w:rsidP="00F67E9E">
      <w:pPr>
        <w:pStyle w:val="Dividername"/>
      </w:pPr>
      <w:r w:rsidRPr="007C55B2">
        <w:t>Definitions</w:t>
      </w:r>
    </w:p>
    <w:p w14:paraId="00B4B7C0" w14:textId="77777777" w:rsidR="00F67E9E" w:rsidRDefault="00F67E9E" w:rsidP="00F67E9E"/>
    <w:p w14:paraId="2FF9E65E" w14:textId="77777777" w:rsidR="00F67E9E" w:rsidRPr="00724541" w:rsidRDefault="00F67E9E" w:rsidP="00F67E9E">
      <w:pPr>
        <w:pStyle w:val="Heading1"/>
        <w:rPr>
          <w:rFonts w:eastAsia="Times New Roman"/>
          <w:lang w:eastAsia="en-GB"/>
        </w:rPr>
      </w:pPr>
      <w:bookmarkStart w:id="58" w:name="Schedule1"/>
      <w:bookmarkStart w:id="59" w:name="_Ref92197513"/>
      <w:bookmarkStart w:id="60" w:name="_Toc141711898"/>
      <w:r w:rsidRPr="00724541">
        <w:t>Schedule</w:t>
      </w:r>
      <w:r>
        <w:t> </w:t>
      </w:r>
      <w:r w:rsidRPr="00724541">
        <w:t>1</w:t>
      </w:r>
      <w:bookmarkEnd w:id="58"/>
      <w:r>
        <w:t xml:space="preserve">: </w:t>
      </w:r>
      <w:bookmarkStart w:id="61" w:name="Schedule1Heading"/>
      <w:r w:rsidRPr="00F62024">
        <w:t>Definitions</w:t>
      </w:r>
      <w:bookmarkEnd w:id="59"/>
      <w:bookmarkEnd w:id="60"/>
      <w:bookmarkEnd w:id="61"/>
    </w:p>
    <w:p w14:paraId="21075EAC" w14:textId="77777777" w:rsidR="00F67E9E" w:rsidRPr="00724541" w:rsidRDefault="00F67E9E" w:rsidP="00F67E9E">
      <w:pPr>
        <w:pStyle w:val="Numbered1"/>
      </w:pPr>
      <w:r w:rsidRPr="00724541">
        <w:t>Definitions</w:t>
      </w:r>
    </w:p>
    <w:p w14:paraId="32C7A625" w14:textId="06F0EF1E" w:rsidR="00F67E9E" w:rsidRPr="00724541" w:rsidRDefault="00F67E9E" w:rsidP="00F67E9E">
      <w:pPr>
        <w:pStyle w:val="Numbered11"/>
      </w:pPr>
      <w:r w:rsidRPr="00724541">
        <w:t xml:space="preserve">In the Contract, unless the context otherwise requires, capitalised expressions shall have the meanings set out in this </w:t>
      </w:r>
      <w:r>
        <w:fldChar w:fldCharType="begin"/>
      </w:r>
      <w:r>
        <w:instrText xml:space="preserve"> REF Schedule1 \h </w:instrText>
      </w:r>
      <w:r>
        <w:fldChar w:fldCharType="separate"/>
      </w:r>
      <w:r w:rsidR="00302D39" w:rsidRPr="00724541">
        <w:t>Schedule</w:t>
      </w:r>
      <w:r w:rsidR="00302D39">
        <w:t> </w:t>
      </w:r>
      <w:r w:rsidR="00302D39" w:rsidRPr="00724541">
        <w:t>1</w:t>
      </w:r>
      <w:r>
        <w:fldChar w:fldCharType="end"/>
      </w:r>
      <w:r w:rsidRPr="00724541">
        <w:t xml:space="preserve"> (</w:t>
      </w:r>
      <w:r w:rsidRPr="0087475A">
        <w:rPr>
          <w:i/>
          <w:iCs/>
        </w:rPr>
        <w:fldChar w:fldCharType="begin"/>
      </w:r>
      <w:r w:rsidRPr="0087475A">
        <w:rPr>
          <w:i/>
          <w:iCs/>
        </w:rPr>
        <w:instrText xml:space="preserve"> REF Schedule1Heading \h  \* MERGEFORMAT </w:instrText>
      </w:r>
      <w:r w:rsidRPr="0087475A">
        <w:rPr>
          <w:i/>
          <w:iCs/>
        </w:rPr>
      </w:r>
      <w:r w:rsidRPr="0087475A">
        <w:rPr>
          <w:i/>
          <w:iCs/>
        </w:rPr>
        <w:fldChar w:fldCharType="separate"/>
      </w:r>
      <w:r w:rsidR="00302D39" w:rsidRPr="00302D39">
        <w:rPr>
          <w:i/>
          <w:iCs/>
        </w:rPr>
        <w:t>Definitions</w:t>
      </w:r>
      <w:r w:rsidRPr="0087475A">
        <w:rPr>
          <w:i/>
          <w:iCs/>
        </w:rPr>
        <w:fldChar w:fldCharType="end"/>
      </w:r>
      <w:r w:rsidRPr="00724541">
        <w:t>) or the relevant Schedule in which that capitalised expression appears.</w:t>
      </w:r>
    </w:p>
    <w:p w14:paraId="303D975F" w14:textId="77777777" w:rsidR="00F67E9E" w:rsidRPr="00724541" w:rsidRDefault="00F67E9E" w:rsidP="00F67E9E">
      <w:pPr>
        <w:pStyle w:val="Numbered11"/>
      </w:pPr>
      <w:r w:rsidRPr="00724541">
        <w:t>If a capitalised expression does not have an interpretation in this Schedule or any other Schedule, it shall, in the first instance, be interpreted in accordance with the common interpretation within the relevant market sector/industry where appropriate. Otherwise, it shall be interpreted in accordance with the dictionary meaning.</w:t>
      </w:r>
    </w:p>
    <w:p w14:paraId="45E4E300" w14:textId="77777777" w:rsidR="00F67E9E" w:rsidRPr="00724541" w:rsidRDefault="00F67E9E" w:rsidP="00F67E9E">
      <w:pPr>
        <w:pStyle w:val="Numbered11"/>
      </w:pPr>
      <w:r w:rsidRPr="00724541">
        <w:t>In the Contract, unless the context otherwise requires:</w:t>
      </w:r>
    </w:p>
    <w:p w14:paraId="78E56421" w14:textId="77777777" w:rsidR="00F67E9E" w:rsidRDefault="00F67E9E" w:rsidP="00F67E9E">
      <w:pPr>
        <w:pStyle w:val="Numbered111"/>
      </w:pPr>
      <w:r w:rsidRPr="00724541">
        <w:t>the singular includes the plural and vice versa;</w:t>
      </w:r>
    </w:p>
    <w:p w14:paraId="133F4884" w14:textId="77777777" w:rsidR="00F67E9E" w:rsidRPr="00724541" w:rsidRDefault="00F67E9E" w:rsidP="00F67E9E">
      <w:pPr>
        <w:pStyle w:val="Numbered111"/>
      </w:pPr>
      <w:r w:rsidRPr="00724541">
        <w:t>reference to a gender includes the other gender and the neuter;</w:t>
      </w:r>
    </w:p>
    <w:p w14:paraId="7DCDB39C" w14:textId="77777777" w:rsidR="00F67E9E" w:rsidRPr="00724541" w:rsidRDefault="00F67E9E" w:rsidP="00F67E9E">
      <w:pPr>
        <w:pStyle w:val="Numbered111"/>
      </w:pPr>
      <w:r w:rsidRPr="00724541">
        <w:t>references to a person include an individual, company, body corporate, corporation, unincorporated association, firm, partnership or other legal entity or Crown Body;</w:t>
      </w:r>
    </w:p>
    <w:p w14:paraId="577068B3" w14:textId="3FCD7B25" w:rsidR="00F67E9E" w:rsidRDefault="00F67E9E" w:rsidP="00F67E9E">
      <w:pPr>
        <w:pStyle w:val="Numbered111"/>
      </w:pPr>
      <w:r>
        <w:t xml:space="preserve">a reference to any Law includes a reference to that Law as amended, extended, consolidated, replaced or re-enacted (including as a consequence of the Retained EU Law (Revocation and Reform) </w:t>
      </w:r>
      <w:r w:rsidR="00C27495">
        <w:t>Act 2023</w:t>
      </w:r>
      <w:r>
        <w:t>) from time to time;</w:t>
      </w:r>
    </w:p>
    <w:p w14:paraId="0E6D6CC7" w14:textId="77777777" w:rsidR="00F67E9E" w:rsidRPr="00724541" w:rsidRDefault="00F67E9E" w:rsidP="00F67E9E">
      <w:pPr>
        <w:pStyle w:val="Numbered111"/>
      </w:pPr>
      <w:r w:rsidRPr="00724541">
        <w:t xml:space="preserve">the words </w:t>
      </w:r>
      <w:r>
        <w:t>“</w:t>
      </w:r>
      <w:r w:rsidRPr="00724541">
        <w:rPr>
          <w:b/>
        </w:rPr>
        <w:t>including</w:t>
      </w:r>
      <w:r>
        <w:t>”</w:t>
      </w:r>
      <w:r w:rsidRPr="00724541">
        <w:t xml:space="preserve">, </w:t>
      </w:r>
      <w:r>
        <w:t>“</w:t>
      </w:r>
      <w:r w:rsidRPr="00724541">
        <w:rPr>
          <w:b/>
        </w:rPr>
        <w:t>other</w:t>
      </w:r>
      <w:r>
        <w:t>”</w:t>
      </w:r>
      <w:r w:rsidRPr="00724541">
        <w:t xml:space="preserve">, </w:t>
      </w:r>
      <w:r>
        <w:t>“</w:t>
      </w:r>
      <w:r w:rsidRPr="00724541">
        <w:rPr>
          <w:b/>
        </w:rPr>
        <w:t>in particular</w:t>
      </w:r>
      <w:r>
        <w:t>”</w:t>
      </w:r>
      <w:r w:rsidRPr="00724541">
        <w:t xml:space="preserve">, </w:t>
      </w:r>
      <w:r>
        <w:t>“</w:t>
      </w:r>
      <w:r w:rsidRPr="00724541">
        <w:rPr>
          <w:b/>
        </w:rPr>
        <w:t>for example</w:t>
      </w:r>
      <w:r>
        <w:t>”</w:t>
      </w:r>
      <w:r w:rsidRPr="00724541">
        <w:t xml:space="preserve"> and similar words shall not limit the generality of the preceding words and shall be construed as if they were immediately followed by the words </w:t>
      </w:r>
      <w:r>
        <w:t>“</w:t>
      </w:r>
      <w:r w:rsidRPr="00724541">
        <w:rPr>
          <w:b/>
        </w:rPr>
        <w:t>without limitation</w:t>
      </w:r>
      <w:r>
        <w:t>”</w:t>
      </w:r>
      <w:r w:rsidRPr="00724541">
        <w:t>;</w:t>
      </w:r>
    </w:p>
    <w:p w14:paraId="16F2C84A" w14:textId="77777777" w:rsidR="00F67E9E" w:rsidRPr="00724541" w:rsidRDefault="00F67E9E" w:rsidP="00F67E9E">
      <w:pPr>
        <w:pStyle w:val="Numbered111"/>
      </w:pPr>
      <w:r w:rsidRPr="00724541">
        <w:t xml:space="preserve">references to </w:t>
      </w:r>
      <w:r>
        <w:t>“</w:t>
      </w:r>
      <w:r w:rsidRPr="00724541">
        <w:rPr>
          <w:b/>
        </w:rPr>
        <w:t>writing</w:t>
      </w:r>
      <w:r>
        <w:t>”</w:t>
      </w:r>
      <w:r w:rsidRPr="00724541">
        <w:t xml:space="preserve"> include typing, printing, lithography, photography, display on a screen, electronic and facsimile transmission and other modes of representing or reproducing words in a visible form, and expressions referring to writing shall be construed accordingly;</w:t>
      </w:r>
    </w:p>
    <w:p w14:paraId="7AFA88FC" w14:textId="77777777" w:rsidR="00F67E9E" w:rsidRPr="00724541" w:rsidRDefault="00F67E9E" w:rsidP="00F67E9E">
      <w:pPr>
        <w:pStyle w:val="Numbered111"/>
      </w:pPr>
      <w:r w:rsidRPr="00724541">
        <w:t xml:space="preserve">references to </w:t>
      </w:r>
      <w:r>
        <w:t>“</w:t>
      </w:r>
      <w:r w:rsidRPr="00724541">
        <w:rPr>
          <w:b/>
        </w:rPr>
        <w:t>representations</w:t>
      </w:r>
      <w:r>
        <w:t>”</w:t>
      </w:r>
      <w:r w:rsidRPr="00724541">
        <w:t xml:space="preserve"> shall be construed as references to present facts, to </w:t>
      </w:r>
      <w:r>
        <w:t>“</w:t>
      </w:r>
      <w:r w:rsidRPr="00724541">
        <w:rPr>
          <w:b/>
        </w:rPr>
        <w:t>warranties</w:t>
      </w:r>
      <w:r>
        <w:t>”</w:t>
      </w:r>
      <w:r w:rsidRPr="00724541">
        <w:t xml:space="preserve"> as references to present and future facts and to </w:t>
      </w:r>
      <w:r>
        <w:t>“</w:t>
      </w:r>
      <w:r w:rsidRPr="00724541">
        <w:rPr>
          <w:b/>
        </w:rPr>
        <w:t>undertakings</w:t>
      </w:r>
      <w:r>
        <w:rPr>
          <w:b/>
        </w:rPr>
        <w:t>”</w:t>
      </w:r>
      <w:r w:rsidRPr="00724541">
        <w:t xml:space="preserve"> as references to obligations under the Contract; </w:t>
      </w:r>
    </w:p>
    <w:p w14:paraId="78661E09" w14:textId="77777777" w:rsidR="00F67E9E" w:rsidRPr="00724541" w:rsidRDefault="00F67E9E" w:rsidP="00F67E9E">
      <w:pPr>
        <w:pStyle w:val="Numbered111"/>
      </w:pPr>
      <w:r w:rsidRPr="00724541">
        <w:t xml:space="preserve">references to </w:t>
      </w:r>
      <w:r>
        <w:rPr>
          <w:b/>
        </w:rPr>
        <w:t>“</w:t>
      </w:r>
      <w:r w:rsidRPr="00724541">
        <w:rPr>
          <w:b/>
        </w:rPr>
        <w:t>Clauses</w:t>
      </w:r>
      <w:r>
        <w:rPr>
          <w:b/>
        </w:rPr>
        <w:t>”</w:t>
      </w:r>
      <w:r w:rsidRPr="00724541">
        <w:rPr>
          <w:b/>
        </w:rPr>
        <w:t xml:space="preserve"> </w:t>
      </w:r>
      <w:r w:rsidRPr="00724541">
        <w:t xml:space="preserve">and </w:t>
      </w:r>
      <w:r>
        <w:rPr>
          <w:b/>
        </w:rPr>
        <w:t>“</w:t>
      </w:r>
      <w:r w:rsidRPr="00724541">
        <w:rPr>
          <w:b/>
        </w:rPr>
        <w:t>Schedules</w:t>
      </w:r>
      <w:r>
        <w:rPr>
          <w:b/>
        </w:rPr>
        <w:t>”</w:t>
      </w:r>
      <w:r w:rsidRPr="00724541">
        <w:t xml:space="preserve"> are, unless otherwise provided, references to the clauses and schedules of the Core Terms and references in any Schedule to parts, paragraphs, annexes and tables are, unless otherwise provided, references to the parts, paragraphs, annexes and tables of the Schedule in which these references appear; </w:t>
      </w:r>
    </w:p>
    <w:p w14:paraId="009B2E18" w14:textId="77777777" w:rsidR="00F67E9E" w:rsidRPr="00724541" w:rsidRDefault="00F67E9E" w:rsidP="00F67E9E">
      <w:pPr>
        <w:pStyle w:val="Numbered111"/>
      </w:pPr>
      <w:r w:rsidRPr="00724541">
        <w:t xml:space="preserve">references to </w:t>
      </w:r>
      <w:r>
        <w:rPr>
          <w:b/>
        </w:rPr>
        <w:t>“</w:t>
      </w:r>
      <w:r w:rsidRPr="00724541">
        <w:rPr>
          <w:b/>
        </w:rPr>
        <w:t>Paragraphs</w:t>
      </w:r>
      <w:r>
        <w:rPr>
          <w:b/>
        </w:rPr>
        <w:t>”</w:t>
      </w:r>
      <w:r w:rsidRPr="00724541">
        <w:t xml:space="preserve"> are, unless otherwise provided, references to the paragraph of the appropriate Schedules unless otherwise provided; and</w:t>
      </w:r>
    </w:p>
    <w:p w14:paraId="5C43F4B5" w14:textId="77777777" w:rsidR="00F67E9E" w:rsidRPr="00724541" w:rsidRDefault="00F67E9E" w:rsidP="00F67E9E">
      <w:pPr>
        <w:pStyle w:val="Numbered111"/>
      </w:pPr>
      <w:r w:rsidRPr="00724541">
        <w:t>references to a series of Clauses or Paragraphs shall be inclusive of the clause numbers specified.</w:t>
      </w:r>
    </w:p>
    <w:p w14:paraId="360FA11E" w14:textId="77777777" w:rsidR="00F67E9E" w:rsidRPr="00724541" w:rsidRDefault="00F67E9E" w:rsidP="00F67E9E">
      <w:pPr>
        <w:pStyle w:val="Numbered111"/>
      </w:pPr>
      <w:r w:rsidRPr="00724541">
        <w:t>the headings in the Contract are for ease of reference only and shall not affect the interpretation or construction of the Contract; and</w:t>
      </w:r>
    </w:p>
    <w:p w14:paraId="10A4C748" w14:textId="77777777" w:rsidR="00F67E9E" w:rsidRPr="00724541" w:rsidRDefault="00F67E9E" w:rsidP="00F67E9E">
      <w:pPr>
        <w:pStyle w:val="Numbered111"/>
      </w:pPr>
      <w:r w:rsidRPr="00724541">
        <w:t>where the Buyer is a Crown Body it shall be treated as contracting with the Crown as a whole.</w:t>
      </w:r>
    </w:p>
    <w:p w14:paraId="1C7DBE4B" w14:textId="77777777" w:rsidR="00F67E9E" w:rsidRPr="00724541" w:rsidRDefault="00F67E9E" w:rsidP="00F67E9E">
      <w:pPr>
        <w:pStyle w:val="Numbered11"/>
      </w:pPr>
      <w:r w:rsidRPr="00724541">
        <w:t xml:space="preserve">Any reference in this Contract which immediately before IP Completion Day (or such later date when relevant EU law ceases to have effect pursuant to Section 1A of the European Union (Withdrawal) Act 2018) is a reference to (as it has effect from time to time): </w:t>
      </w:r>
    </w:p>
    <w:p w14:paraId="1EFA125F" w14:textId="77777777" w:rsidR="00F67E9E" w:rsidRPr="00724541" w:rsidRDefault="00F67E9E" w:rsidP="00F67E9E">
      <w:pPr>
        <w:pStyle w:val="Numbered111"/>
      </w:pPr>
      <w:r w:rsidRPr="00724541">
        <w:t xml:space="preserve">any EU regulation, EU decision, EU tertiary legislation or </w:t>
      </w:r>
      <w:r w:rsidRPr="00166697">
        <w:t>provision</w:t>
      </w:r>
      <w:r w:rsidRPr="00724541">
        <w:t xml:space="preserve"> of the EEA agreement (</w:t>
      </w:r>
      <w:r>
        <w:t>“</w:t>
      </w:r>
      <w:r w:rsidRPr="00724541">
        <w:rPr>
          <w:b/>
        </w:rPr>
        <w:t>EU References</w:t>
      </w:r>
      <w:r>
        <w:t>”</w:t>
      </w:r>
      <w:r w:rsidRPr="00724541">
        <w:t>) which is to form part of domestic law by application of Section 3 of the European Union (Withdrawal) Act 2018 shall be read on and after IP Completion Day as a reference to the EU References as they form part of domestic law by virtue of Section 3 of the European Union (Withdrawal) Act 2018 as modified by domestic law from time to time; and</w:t>
      </w:r>
    </w:p>
    <w:p w14:paraId="7A9F9928" w14:textId="77777777" w:rsidR="00F67E9E" w:rsidRPr="00724541" w:rsidRDefault="00F67E9E" w:rsidP="00F67E9E">
      <w:pPr>
        <w:pStyle w:val="Numbered111"/>
      </w:pPr>
      <w:r w:rsidRPr="00724541">
        <w:t xml:space="preserve">any EU institution or EU authority or other such EU body </w:t>
      </w:r>
      <w:r w:rsidRPr="00166697">
        <w:t>shall</w:t>
      </w:r>
      <w:r w:rsidRPr="00724541">
        <w:t xml:space="preserve"> be read on and after IP Completion Day as a reference to the UK institution, authority or body to which its functions were transferred.</w:t>
      </w:r>
    </w:p>
    <w:p w14:paraId="57C37AC8" w14:textId="77777777" w:rsidR="00F67E9E" w:rsidRPr="00166697" w:rsidRDefault="00F67E9E" w:rsidP="00F67E9E">
      <w:pPr>
        <w:pStyle w:val="Numbered11"/>
      </w:pPr>
      <w:r w:rsidRPr="00166697">
        <w:t>Where a standard, policy or document is referred to in this Contract by reference to a hyperlink, then if the hyperlink is changed or no longer provides access to the relevant standard, policy or document, the Supplier shall notify the Authority and the Parties shall update this Contract with a reference to the replacement hyperlink.</w:t>
      </w:r>
    </w:p>
    <w:tbl>
      <w:tblPr>
        <w:tblStyle w:val="MSAdefinitions"/>
        <w:tblW w:w="9638" w:type="dxa"/>
        <w:tblLayout w:type="fixed"/>
        <w:tblLook w:val="04A0" w:firstRow="1" w:lastRow="0" w:firstColumn="1" w:lastColumn="0" w:noHBand="0" w:noVBand="1"/>
      </w:tblPr>
      <w:tblGrid>
        <w:gridCol w:w="2835"/>
        <w:gridCol w:w="6803"/>
      </w:tblGrid>
      <w:tr w:rsidR="00F67E9E" w:rsidRPr="00724541" w14:paraId="7EA67E88" w14:textId="77777777" w:rsidTr="007F74AA">
        <w:tc>
          <w:tcPr>
            <w:tcW w:w="2835" w:type="dxa"/>
          </w:tcPr>
          <w:p w14:paraId="014A3030" w14:textId="77777777" w:rsidR="00F67E9E" w:rsidRPr="00724541" w:rsidRDefault="00F67E9E" w:rsidP="007F74AA">
            <w:pPr>
              <w:pStyle w:val="StdBodyTextBold"/>
              <w:rPr>
                <w:rFonts w:cs="Arial"/>
              </w:rPr>
            </w:pPr>
            <w:r>
              <w:rPr>
                <w:rFonts w:cs="Arial"/>
              </w:rPr>
              <w:t>“</w:t>
            </w:r>
            <w:r w:rsidRPr="00724541">
              <w:rPr>
                <w:rFonts w:cs="Arial"/>
              </w:rPr>
              <w:t>Accounting Reference Date</w:t>
            </w:r>
            <w:r>
              <w:rPr>
                <w:rFonts w:cs="Arial"/>
              </w:rPr>
              <w:t>”</w:t>
            </w:r>
          </w:p>
        </w:tc>
        <w:tc>
          <w:tcPr>
            <w:tcW w:w="6803" w:type="dxa"/>
          </w:tcPr>
          <w:p w14:paraId="162759A3" w14:textId="77777777" w:rsidR="00F67E9E" w:rsidRPr="00724541" w:rsidRDefault="00F67E9E" w:rsidP="007F74AA">
            <w:pPr>
              <w:pStyle w:val="StdBodyText"/>
              <w:rPr>
                <w:rFonts w:cs="Arial"/>
              </w:rPr>
            </w:pPr>
            <w:r w:rsidRPr="00724541">
              <w:rPr>
                <w:rFonts w:cs="Arial"/>
              </w:rPr>
              <w:t>means in each year the date to which the Supplier prepares its annual audited financial statements;</w:t>
            </w:r>
          </w:p>
        </w:tc>
      </w:tr>
      <w:tr w:rsidR="00F67E9E" w:rsidRPr="00724541" w14:paraId="656D0811" w14:textId="77777777" w:rsidTr="007F74AA">
        <w:tc>
          <w:tcPr>
            <w:tcW w:w="2835" w:type="dxa"/>
          </w:tcPr>
          <w:p w14:paraId="54511536" w14:textId="77777777" w:rsidR="00F67E9E" w:rsidRPr="00724541" w:rsidRDefault="00F67E9E" w:rsidP="007F74AA">
            <w:pPr>
              <w:pStyle w:val="StdBodyTextBold"/>
              <w:rPr>
                <w:rFonts w:cs="Arial"/>
              </w:rPr>
            </w:pPr>
            <w:r>
              <w:rPr>
                <w:rFonts w:cs="Arial"/>
              </w:rPr>
              <w:t>“</w:t>
            </w:r>
            <w:r w:rsidRPr="00724541">
              <w:rPr>
                <w:rFonts w:cs="Arial"/>
              </w:rPr>
              <w:t>Achieve</w:t>
            </w:r>
            <w:r>
              <w:rPr>
                <w:rFonts w:cs="Arial"/>
              </w:rPr>
              <w:t>”</w:t>
            </w:r>
          </w:p>
        </w:tc>
        <w:tc>
          <w:tcPr>
            <w:tcW w:w="6803" w:type="dxa"/>
          </w:tcPr>
          <w:p w14:paraId="45A7AD21" w14:textId="77777777" w:rsidR="00F67E9E" w:rsidRPr="00724541" w:rsidRDefault="00F67E9E" w:rsidP="00F67E9E">
            <w:pPr>
              <w:pStyle w:val="DefinitionList"/>
              <w:numPr>
                <w:ilvl w:val="0"/>
                <w:numId w:val="108"/>
              </w:numPr>
            </w:pPr>
            <w:r w:rsidRPr="00724541">
              <w:t xml:space="preserve">in respect of a Test, to successfully pass a Test without any Test Issues; and </w:t>
            </w:r>
          </w:p>
          <w:p w14:paraId="4CA9B623" w14:textId="46696E54" w:rsidR="00F67E9E" w:rsidRPr="00724541" w:rsidRDefault="00F67E9E" w:rsidP="00F67E9E">
            <w:pPr>
              <w:pStyle w:val="DefinitionList"/>
              <w:numPr>
                <w:ilvl w:val="0"/>
                <w:numId w:val="108"/>
              </w:numPr>
            </w:pPr>
            <w:r w:rsidRPr="00724541">
              <w:t xml:space="preserve">in respect of a Milestone, the issue of a </w:t>
            </w:r>
            <w:bookmarkStart w:id="62" w:name="_9kMHG5YVt4CCFMHYLrowC94vJCqxv9A235LlRDT"/>
            <w:r w:rsidRPr="00724541">
              <w:t>Milestone Achievement Certificate</w:t>
            </w:r>
            <w:bookmarkEnd w:id="62"/>
            <w:r w:rsidRPr="00724541">
              <w:t xml:space="preserve"> in respect of that Milestone in accordance with the provisions of</w:t>
            </w:r>
            <w:r>
              <w:t xml:space="preserve"> </w:t>
            </w:r>
            <w:r>
              <w:rPr>
                <w:rFonts w:cs="Arial"/>
              </w:rPr>
              <w:fldChar w:fldCharType="begin"/>
            </w:r>
            <w:r>
              <w:rPr>
                <w:rFonts w:cs="Arial"/>
              </w:rPr>
              <w:instrText xml:space="preserve"> REF Schedule14 \h </w:instrText>
            </w:r>
            <w:r>
              <w:rPr>
                <w:rFonts w:cs="Arial"/>
              </w:rPr>
            </w:r>
            <w:r>
              <w:rPr>
                <w:rFonts w:cs="Arial"/>
              </w:rPr>
              <w:fldChar w:fldCharType="separate"/>
            </w:r>
            <w:r w:rsidR="00302D39" w:rsidRPr="005D0525">
              <w:t>Schedule</w:t>
            </w:r>
            <w:r w:rsidR="00302D39">
              <w:t> </w:t>
            </w:r>
            <w:r w:rsidR="00302D39" w:rsidRPr="005D0525">
              <w:t>14</w:t>
            </w:r>
            <w:r>
              <w:rPr>
                <w:rFonts w:cs="Arial"/>
              </w:rPr>
              <w:fldChar w:fldCharType="end"/>
            </w:r>
            <w:r>
              <w:rPr>
                <w:rFonts w:cs="Arial"/>
              </w:rPr>
              <w:t xml:space="preserve"> (</w:t>
            </w:r>
            <w:r w:rsidRPr="00B91437">
              <w:rPr>
                <w:rFonts w:cs="Arial"/>
                <w:i/>
                <w:iCs/>
              </w:rPr>
              <w:fldChar w:fldCharType="begin"/>
            </w:r>
            <w:r w:rsidRPr="00B91437">
              <w:rPr>
                <w:rFonts w:cs="Arial"/>
                <w:i/>
                <w:iCs/>
              </w:rPr>
              <w:instrText xml:space="preserve"> REF Schedule14Heading \h </w:instrText>
            </w:r>
            <w:r>
              <w:rPr>
                <w:rFonts w:cs="Arial"/>
                <w:i/>
                <w:iCs/>
              </w:rPr>
              <w:instrText xml:space="preserve"> \* MERGEFORMAT </w:instrText>
            </w:r>
            <w:r w:rsidRPr="00B91437">
              <w:rPr>
                <w:rFonts w:cs="Arial"/>
                <w:i/>
                <w:iCs/>
              </w:rPr>
            </w:r>
            <w:r w:rsidRPr="00B91437">
              <w:rPr>
                <w:rFonts w:cs="Arial"/>
                <w:i/>
                <w:iCs/>
              </w:rPr>
              <w:fldChar w:fldCharType="separate"/>
            </w:r>
            <w:r w:rsidR="00302D39" w:rsidRPr="00302D39">
              <w:rPr>
                <w:i/>
                <w:iCs/>
              </w:rPr>
              <w:t>Testing Procedures</w:t>
            </w:r>
            <w:r w:rsidRPr="00B91437">
              <w:rPr>
                <w:rFonts w:cs="Arial"/>
                <w:i/>
                <w:iCs/>
              </w:rPr>
              <w:fldChar w:fldCharType="end"/>
            </w:r>
            <w:r>
              <w:rPr>
                <w:rFonts w:cs="Arial"/>
              </w:rPr>
              <w:t>)</w:t>
            </w:r>
            <w:r w:rsidRPr="00724541">
              <w:t>,</w:t>
            </w:r>
          </w:p>
          <w:p w14:paraId="25BD2CD1" w14:textId="77777777" w:rsidR="00F67E9E" w:rsidRPr="00724541" w:rsidRDefault="00F67E9E" w:rsidP="007F74AA">
            <w:pPr>
              <w:pStyle w:val="StdBodyText"/>
              <w:rPr>
                <w:rFonts w:cs="Arial"/>
              </w:rPr>
            </w:pPr>
            <w:r w:rsidRPr="00724541">
              <w:rPr>
                <w:rFonts w:cs="Arial"/>
              </w:rPr>
              <w:t xml:space="preserve">and </w:t>
            </w:r>
            <w:r>
              <w:rPr>
                <w:rFonts w:cs="Arial"/>
              </w:rPr>
              <w:t>“</w:t>
            </w:r>
            <w:r w:rsidRPr="00724541">
              <w:rPr>
                <w:rStyle w:val="StdBodyTextBoldChar"/>
                <w:rFonts w:cs="Arial"/>
              </w:rPr>
              <w:t>Achieved</w:t>
            </w:r>
            <w:r>
              <w:rPr>
                <w:rFonts w:cs="Arial"/>
              </w:rPr>
              <w:t>”</w:t>
            </w:r>
            <w:r w:rsidRPr="00724541">
              <w:rPr>
                <w:rFonts w:cs="Arial"/>
              </w:rPr>
              <w:t xml:space="preserve"> and </w:t>
            </w:r>
            <w:r>
              <w:rPr>
                <w:rFonts w:cs="Arial"/>
              </w:rPr>
              <w:t>“</w:t>
            </w:r>
            <w:r w:rsidRPr="00724541">
              <w:rPr>
                <w:rStyle w:val="StdBodyTextBoldChar"/>
                <w:rFonts w:cs="Arial"/>
              </w:rPr>
              <w:t>Achievement</w:t>
            </w:r>
            <w:r>
              <w:rPr>
                <w:rFonts w:cs="Arial"/>
              </w:rPr>
              <w:t>”</w:t>
            </w:r>
            <w:r w:rsidRPr="00724541">
              <w:rPr>
                <w:rFonts w:cs="Arial"/>
              </w:rPr>
              <w:t xml:space="preserve"> shall be construed accordingly;</w:t>
            </w:r>
          </w:p>
        </w:tc>
      </w:tr>
      <w:tr w:rsidR="00F67E9E" w:rsidRPr="00724541" w14:paraId="1BD39CA9" w14:textId="77777777" w:rsidTr="007F74AA">
        <w:tc>
          <w:tcPr>
            <w:tcW w:w="2835" w:type="dxa"/>
          </w:tcPr>
          <w:p w14:paraId="22DB7295" w14:textId="77777777" w:rsidR="00F67E9E" w:rsidRPr="00724541" w:rsidRDefault="00F67E9E" w:rsidP="007F74AA">
            <w:pPr>
              <w:pStyle w:val="StdBodyTextBold"/>
              <w:rPr>
                <w:rFonts w:cs="Arial"/>
              </w:rPr>
            </w:pPr>
            <w:r>
              <w:rPr>
                <w:rFonts w:cs="Arial"/>
              </w:rPr>
              <w:t>“</w:t>
            </w:r>
            <w:r w:rsidRPr="00724541">
              <w:rPr>
                <w:rFonts w:cs="Arial"/>
              </w:rPr>
              <w:t>Affected Party</w:t>
            </w:r>
            <w:r>
              <w:rPr>
                <w:rFonts w:cs="Arial"/>
              </w:rPr>
              <w:t>”</w:t>
            </w:r>
          </w:p>
        </w:tc>
        <w:tc>
          <w:tcPr>
            <w:tcW w:w="6803" w:type="dxa"/>
          </w:tcPr>
          <w:p w14:paraId="57C78203" w14:textId="77777777" w:rsidR="00F67E9E" w:rsidRPr="00724541" w:rsidRDefault="00F67E9E" w:rsidP="007F74AA">
            <w:pPr>
              <w:pStyle w:val="StdBodyText"/>
              <w:rPr>
                <w:rFonts w:cs="Arial"/>
              </w:rPr>
            </w:pPr>
            <w:r w:rsidRPr="00724541">
              <w:rPr>
                <w:rFonts w:cs="Arial"/>
              </w:rPr>
              <w:t>the Party seeking to claim relief in respect of a Force Majeure Event;</w:t>
            </w:r>
          </w:p>
        </w:tc>
      </w:tr>
      <w:tr w:rsidR="00F67E9E" w:rsidRPr="00724541" w14:paraId="3D55A90D" w14:textId="77777777" w:rsidTr="007F74AA">
        <w:tc>
          <w:tcPr>
            <w:tcW w:w="2835" w:type="dxa"/>
          </w:tcPr>
          <w:p w14:paraId="202DC4A1" w14:textId="77777777" w:rsidR="00F67E9E" w:rsidRPr="00724541" w:rsidRDefault="00F67E9E" w:rsidP="007F74AA">
            <w:pPr>
              <w:pStyle w:val="StdBodyTextBold"/>
              <w:rPr>
                <w:rFonts w:cs="Arial"/>
              </w:rPr>
            </w:pPr>
            <w:r>
              <w:rPr>
                <w:rFonts w:cs="Arial"/>
              </w:rPr>
              <w:t>“</w:t>
            </w:r>
            <w:r w:rsidRPr="00724541">
              <w:rPr>
                <w:rFonts w:cs="Arial"/>
              </w:rPr>
              <w:t>Affiliate</w:t>
            </w:r>
            <w:r>
              <w:rPr>
                <w:rFonts w:cs="Arial"/>
              </w:rPr>
              <w:t>”</w:t>
            </w:r>
          </w:p>
        </w:tc>
        <w:tc>
          <w:tcPr>
            <w:tcW w:w="6803" w:type="dxa"/>
          </w:tcPr>
          <w:p w14:paraId="16DD2809" w14:textId="77777777" w:rsidR="00F67E9E" w:rsidRPr="00724541" w:rsidRDefault="00F67E9E" w:rsidP="007F74AA">
            <w:pPr>
              <w:pStyle w:val="StdBodyText"/>
              <w:rPr>
                <w:rFonts w:cs="Arial"/>
              </w:rPr>
            </w:pPr>
            <w:r w:rsidRPr="00724541">
              <w:rPr>
                <w:rFonts w:cs="Arial"/>
              </w:rPr>
              <w:t>in relation to a body corporate, any other entity which directly or indirectly Controls, is Controlled by, or is under direct or indirect common Control with, that body corporate from time to time;</w:t>
            </w:r>
          </w:p>
        </w:tc>
      </w:tr>
      <w:tr w:rsidR="00F67E9E" w:rsidRPr="00724541" w14:paraId="70444247" w14:textId="77777777" w:rsidTr="007F74AA">
        <w:tc>
          <w:tcPr>
            <w:tcW w:w="2835" w:type="dxa"/>
          </w:tcPr>
          <w:p w14:paraId="1A433204" w14:textId="77777777" w:rsidR="00F67E9E" w:rsidRPr="00724541" w:rsidRDefault="00F67E9E" w:rsidP="007F74AA">
            <w:pPr>
              <w:pStyle w:val="StdBodyTextBold"/>
              <w:rPr>
                <w:rFonts w:cs="Arial"/>
              </w:rPr>
            </w:pPr>
            <w:r>
              <w:rPr>
                <w:rFonts w:cs="Arial"/>
              </w:rPr>
              <w:t>“</w:t>
            </w:r>
            <w:r w:rsidRPr="00724541">
              <w:rPr>
                <w:rFonts w:cs="Arial"/>
              </w:rPr>
              <w:t>Allowable Assumptions</w:t>
            </w:r>
            <w:r>
              <w:rPr>
                <w:rFonts w:cs="Arial"/>
              </w:rPr>
              <w:t>”</w:t>
            </w:r>
          </w:p>
        </w:tc>
        <w:tc>
          <w:tcPr>
            <w:tcW w:w="6803" w:type="dxa"/>
          </w:tcPr>
          <w:p w14:paraId="1EE27236" w14:textId="605B69D3" w:rsidR="00F67E9E" w:rsidRPr="00724541" w:rsidRDefault="00F67E9E" w:rsidP="007F74AA">
            <w:pPr>
              <w:pStyle w:val="StdBodyText"/>
              <w:rPr>
                <w:rFonts w:cs="Arial"/>
              </w:rPr>
            </w:pPr>
            <w:r w:rsidRPr="00724541">
              <w:rPr>
                <w:rFonts w:cs="Arial"/>
              </w:rPr>
              <w:t xml:space="preserve">the assumptions set out in Annex </w:t>
            </w:r>
            <w:r w:rsidRPr="00724541">
              <w:rPr>
                <w:rFonts w:cs="Arial"/>
              </w:rPr>
              <w:fldChar w:fldCharType="begin"/>
            </w:r>
            <w:r w:rsidRPr="00724541">
              <w:rPr>
                <w:rFonts w:cs="Arial"/>
              </w:rPr>
              <w:instrText xml:space="preserve"> REF ANNEX5_SCHEDULE15 \h  \* MERGEFORMAT </w:instrText>
            </w:r>
            <w:r w:rsidRPr="00724541">
              <w:rPr>
                <w:rFonts w:cs="Arial"/>
              </w:rPr>
            </w:r>
            <w:r w:rsidRPr="00724541">
              <w:rPr>
                <w:rFonts w:cs="Arial"/>
              </w:rPr>
              <w:fldChar w:fldCharType="separate"/>
            </w:r>
            <w:r w:rsidR="00302D39" w:rsidRPr="00302D39">
              <w:rPr>
                <w:rFonts w:cs="Arial"/>
              </w:rPr>
              <w:t>5</w:t>
            </w:r>
            <w:r w:rsidRPr="00724541">
              <w:rPr>
                <w:rFonts w:cs="Arial"/>
              </w:rPr>
              <w:fldChar w:fldCharType="end"/>
            </w:r>
            <w:r w:rsidRPr="00724541">
              <w:rPr>
                <w:rFonts w:cs="Arial"/>
              </w:rPr>
              <w:t xml:space="preserve"> of </w:t>
            </w:r>
            <w:r>
              <w:rPr>
                <w:rFonts w:cs="Arial"/>
              </w:rPr>
              <w:fldChar w:fldCharType="begin"/>
            </w:r>
            <w:r>
              <w:rPr>
                <w:rFonts w:cs="Arial"/>
              </w:rPr>
              <w:instrText xml:space="preserve"> REF Schedule15 \h </w:instrText>
            </w:r>
            <w:r>
              <w:rPr>
                <w:rFonts w:cs="Arial"/>
              </w:rPr>
            </w:r>
            <w:r>
              <w:rPr>
                <w:rFonts w:cs="Arial"/>
              </w:rPr>
              <w:fldChar w:fldCharType="separate"/>
            </w:r>
            <w:r w:rsidR="00302D39" w:rsidRPr="005D0525">
              <w:t>Schedule</w:t>
            </w:r>
            <w:r w:rsidR="00302D39">
              <w:t> </w:t>
            </w:r>
            <w:r w:rsidR="00302D39" w:rsidRPr="005D0525">
              <w:t>15</w:t>
            </w:r>
            <w:r>
              <w:rPr>
                <w:rFonts w:cs="Arial"/>
              </w:rPr>
              <w:fldChar w:fldCharType="end"/>
            </w:r>
            <w:r>
              <w:rPr>
                <w:rFonts w:cs="Arial"/>
              </w:rPr>
              <w:t xml:space="preserve"> (</w:t>
            </w:r>
            <w:r w:rsidRPr="00B91437">
              <w:rPr>
                <w:rFonts w:cs="Arial"/>
                <w:i/>
                <w:iCs/>
              </w:rPr>
              <w:fldChar w:fldCharType="begin"/>
            </w:r>
            <w:r w:rsidRPr="00B91437">
              <w:rPr>
                <w:rFonts w:cs="Arial"/>
                <w:i/>
                <w:iCs/>
              </w:rPr>
              <w:instrText xml:space="preserve"> REF Schedule15Heading \h </w:instrText>
            </w:r>
            <w:r>
              <w:rPr>
                <w:rFonts w:cs="Arial"/>
                <w:i/>
                <w:iCs/>
              </w:rPr>
              <w:instrText xml:space="preserve"> \* MERGEFORMAT </w:instrText>
            </w:r>
            <w:r w:rsidRPr="00B91437">
              <w:rPr>
                <w:rFonts w:cs="Arial"/>
                <w:i/>
                <w:iCs/>
              </w:rPr>
            </w:r>
            <w:r w:rsidRPr="00B91437">
              <w:rPr>
                <w:rFonts w:cs="Arial"/>
                <w:i/>
                <w:iCs/>
              </w:rPr>
              <w:fldChar w:fldCharType="separate"/>
            </w:r>
            <w:r w:rsidR="00302D39" w:rsidRPr="00302D39">
              <w:rPr>
                <w:i/>
                <w:iCs/>
              </w:rPr>
              <w:t>Charges and Invoicing</w:t>
            </w:r>
            <w:r w:rsidRPr="00B91437">
              <w:rPr>
                <w:rFonts w:cs="Arial"/>
                <w:i/>
                <w:iCs/>
              </w:rPr>
              <w:fldChar w:fldCharType="end"/>
            </w:r>
            <w:r>
              <w:rPr>
                <w:rFonts w:cs="Arial"/>
              </w:rPr>
              <w:t>)</w:t>
            </w:r>
            <w:r w:rsidRPr="00724541">
              <w:rPr>
                <w:rFonts w:cs="Arial"/>
              </w:rPr>
              <w:t>;</w:t>
            </w:r>
          </w:p>
        </w:tc>
      </w:tr>
      <w:tr w:rsidR="00F67E9E" w:rsidRPr="00724541" w14:paraId="2C683586" w14:textId="77777777" w:rsidTr="007F74AA">
        <w:tc>
          <w:tcPr>
            <w:tcW w:w="2835" w:type="dxa"/>
          </w:tcPr>
          <w:p w14:paraId="05AF94A2" w14:textId="77777777" w:rsidR="00F67E9E" w:rsidRPr="00724541" w:rsidRDefault="00F67E9E" w:rsidP="007F74AA">
            <w:pPr>
              <w:pStyle w:val="StdBodyTextBold"/>
              <w:rPr>
                <w:rFonts w:cs="Arial"/>
              </w:rPr>
            </w:pPr>
            <w:r>
              <w:rPr>
                <w:rFonts w:cs="Arial"/>
              </w:rPr>
              <w:t>“</w:t>
            </w:r>
            <w:r w:rsidRPr="00724541">
              <w:rPr>
                <w:rFonts w:cs="Arial"/>
              </w:rPr>
              <w:t>Allowable Price</w:t>
            </w:r>
            <w:r>
              <w:rPr>
                <w:rFonts w:cs="Arial"/>
              </w:rPr>
              <w:t>”</w:t>
            </w:r>
          </w:p>
        </w:tc>
        <w:tc>
          <w:tcPr>
            <w:tcW w:w="6803" w:type="dxa"/>
          </w:tcPr>
          <w:p w14:paraId="3BE5C1A0" w14:textId="77777777" w:rsidR="00F67E9E" w:rsidRPr="00724541" w:rsidRDefault="00F67E9E" w:rsidP="007F74AA">
            <w:pPr>
              <w:pStyle w:val="StdBodyText"/>
              <w:rPr>
                <w:rFonts w:cs="Arial"/>
              </w:rPr>
            </w:pPr>
            <w:r w:rsidRPr="00724541">
              <w:rPr>
                <w:rFonts w:cs="Arial"/>
              </w:rPr>
              <w:t>in relation to the Retained Deliverables relating to a CPP Milestone, if any, an amount determined in accordance with the formula:</w:t>
            </w:r>
          </w:p>
          <w:p w14:paraId="7841E87E" w14:textId="77777777" w:rsidR="00F67E9E" w:rsidRPr="00724541" w:rsidRDefault="00F67E9E" w:rsidP="007F74AA">
            <w:pPr>
              <w:pStyle w:val="StdBodyText"/>
              <w:rPr>
                <w:rFonts w:cs="Arial"/>
              </w:rPr>
            </w:pPr>
            <w:r w:rsidRPr="00724541">
              <w:rPr>
                <w:rFonts w:cs="Arial"/>
              </w:rPr>
              <w:t>A – B</w:t>
            </w:r>
          </w:p>
          <w:p w14:paraId="13813405" w14:textId="77777777" w:rsidR="00F67E9E" w:rsidRPr="00724541" w:rsidRDefault="00F67E9E" w:rsidP="007F74AA">
            <w:pPr>
              <w:pStyle w:val="StdBodyText"/>
              <w:rPr>
                <w:rFonts w:cs="Arial"/>
              </w:rPr>
            </w:pPr>
            <w:r w:rsidRPr="00724541">
              <w:rPr>
                <w:rFonts w:cs="Arial"/>
              </w:rPr>
              <w:t>where:</w:t>
            </w:r>
          </w:p>
          <w:p w14:paraId="5EB55C3C" w14:textId="77777777" w:rsidR="00F67E9E" w:rsidRPr="000A6AA5" w:rsidRDefault="00F67E9E" w:rsidP="007F74AA">
            <w:pPr>
              <w:pStyle w:val="DefinitionList"/>
              <w:numPr>
                <w:ilvl w:val="0"/>
                <w:numId w:val="154"/>
              </w:numPr>
              <w:rPr>
                <w:rFonts w:cs="Arial"/>
              </w:rPr>
            </w:pPr>
            <w:r w:rsidRPr="000A6AA5">
              <w:rPr>
                <w:rFonts w:cs="Arial"/>
              </w:rPr>
              <w:t>A is an amount equal to the Costs incurred by the Supplier in providing or developing the relevant Retained Deliverables as reflected in the Financial Model together with an amount equal to the Anticipated Contract Life Profit Margin thereon; and</w:t>
            </w:r>
          </w:p>
          <w:p w14:paraId="6EA06161" w14:textId="77777777" w:rsidR="00F67E9E" w:rsidRPr="00724541" w:rsidRDefault="00F67E9E" w:rsidP="00F67E9E">
            <w:pPr>
              <w:pStyle w:val="DefinitionList"/>
              <w:numPr>
                <w:ilvl w:val="0"/>
                <w:numId w:val="108"/>
              </w:numPr>
              <w:rPr>
                <w:rFonts w:cs="Arial"/>
              </w:rPr>
            </w:pPr>
            <w:r w:rsidRPr="00724541">
              <w:rPr>
                <w:rFonts w:cs="Arial"/>
              </w:rPr>
              <w:t>B is an amount equal to the Allowable Price Adjustment relating to the relevant Retained Deliverables, if any, or if there is no such Allowable Price Adjustment, zero,</w:t>
            </w:r>
          </w:p>
          <w:p w14:paraId="19C4C28C" w14:textId="77777777" w:rsidR="00F67E9E" w:rsidRPr="00724541" w:rsidRDefault="00F67E9E" w:rsidP="007F74AA">
            <w:pPr>
              <w:pStyle w:val="StdBodyText"/>
              <w:rPr>
                <w:rFonts w:cs="Arial"/>
              </w:rPr>
            </w:pPr>
            <w:r w:rsidRPr="00724541">
              <w:rPr>
                <w:rFonts w:cs="Arial"/>
              </w:rPr>
              <w:t>provided that the Allowable Price for any Retained Deliverables shall in no circumstances exceed the aggregate amount of the Milestone Payments paid to the Supplier in respect of the Milestones (or in the case of Partial Termination, the Milestones for the parts of the Services terminated) relating to that CPP Milestone;</w:t>
            </w:r>
          </w:p>
        </w:tc>
      </w:tr>
      <w:tr w:rsidR="00F67E9E" w:rsidRPr="00724541" w14:paraId="1F1258F8" w14:textId="77777777" w:rsidTr="007F74AA">
        <w:tc>
          <w:tcPr>
            <w:tcW w:w="2835" w:type="dxa"/>
          </w:tcPr>
          <w:p w14:paraId="34DA2627" w14:textId="77777777" w:rsidR="00F67E9E" w:rsidRPr="00724541" w:rsidRDefault="00F67E9E" w:rsidP="007F74AA">
            <w:pPr>
              <w:pStyle w:val="StdBodyTextBold"/>
              <w:rPr>
                <w:rFonts w:cs="Arial"/>
              </w:rPr>
            </w:pPr>
            <w:r>
              <w:rPr>
                <w:rFonts w:cs="Arial"/>
              </w:rPr>
              <w:t>“</w:t>
            </w:r>
            <w:r w:rsidRPr="00724541">
              <w:rPr>
                <w:rFonts w:cs="Arial"/>
              </w:rPr>
              <w:t>Allowable Price Adjustment</w:t>
            </w:r>
            <w:r>
              <w:rPr>
                <w:rFonts w:cs="Arial"/>
              </w:rPr>
              <w:t>”</w:t>
            </w:r>
          </w:p>
        </w:tc>
        <w:tc>
          <w:tcPr>
            <w:tcW w:w="6803" w:type="dxa"/>
          </w:tcPr>
          <w:p w14:paraId="2FF68328" w14:textId="77777777" w:rsidR="00F67E9E" w:rsidRPr="00724541" w:rsidRDefault="00F67E9E" w:rsidP="007F74AA">
            <w:pPr>
              <w:pStyle w:val="StdBodyText"/>
              <w:rPr>
                <w:rFonts w:cs="Arial"/>
              </w:rPr>
            </w:pPr>
            <w:r w:rsidRPr="00724541">
              <w:rPr>
                <w:rFonts w:cs="Arial"/>
              </w:rPr>
              <w:t xml:space="preserve">has the meaning given in </w:t>
            </w:r>
            <w:bookmarkStart w:id="63" w:name="_9kMHG5YVtCJBAGKJHNwv1x90aV41r52tTP49KHE"/>
            <w:bookmarkStart w:id="64" w:name="_9kMHG5YVtCIAAGLKHNwv1x90aV41r52tTP49KHE"/>
            <w:r w:rsidRPr="00724541">
              <w:rPr>
                <w:rFonts w:cs="Arial"/>
              </w:rPr>
              <w:t>Clause</w:t>
            </w:r>
            <w:r>
              <w:rPr>
                <w:rFonts w:cs="Arial"/>
              </w:rPr>
              <w:t> </w:t>
            </w:r>
            <w:r w:rsidRPr="00724541">
              <w:rPr>
                <w:rFonts w:cs="Arial"/>
              </w:rPr>
              <w:t xml:space="preserve"> </w:t>
            </w:r>
            <w:bookmarkEnd w:id="63"/>
            <w:bookmarkEnd w:id="64"/>
            <w:r w:rsidRPr="00724541">
              <w:rPr>
                <w:rFonts w:cs="Arial"/>
              </w:rPr>
              <w:t>32.8(c) (</w:t>
            </w:r>
            <w:r w:rsidRPr="00C04B2F">
              <w:rPr>
                <w:rFonts w:cs="Arial"/>
                <w:i/>
                <w:iCs/>
              </w:rPr>
              <w:t>Payments by the Supplier</w:t>
            </w:r>
            <w:r w:rsidRPr="00724541">
              <w:rPr>
                <w:rFonts w:cs="Arial"/>
              </w:rPr>
              <w:t>);</w:t>
            </w:r>
          </w:p>
        </w:tc>
      </w:tr>
      <w:tr w:rsidR="00F67E9E" w:rsidRPr="00724541" w14:paraId="3DB6F3D4" w14:textId="77777777" w:rsidTr="007F74AA">
        <w:tc>
          <w:tcPr>
            <w:tcW w:w="2835" w:type="dxa"/>
          </w:tcPr>
          <w:p w14:paraId="1DEBE7DB" w14:textId="77777777" w:rsidR="00F67E9E" w:rsidRPr="00724541" w:rsidRDefault="00F67E9E" w:rsidP="007F74AA">
            <w:pPr>
              <w:pStyle w:val="StdBodyTextBold"/>
              <w:rPr>
                <w:rFonts w:cs="Arial"/>
              </w:rPr>
            </w:pPr>
            <w:r>
              <w:rPr>
                <w:rFonts w:cs="Arial"/>
              </w:rPr>
              <w:t>“</w:t>
            </w:r>
            <w:r w:rsidRPr="00724541">
              <w:rPr>
                <w:rFonts w:cs="Arial"/>
              </w:rPr>
              <w:t>Annual Contract Report</w:t>
            </w:r>
            <w:r>
              <w:rPr>
                <w:rFonts w:cs="Arial"/>
              </w:rPr>
              <w:t>”</w:t>
            </w:r>
          </w:p>
        </w:tc>
        <w:tc>
          <w:tcPr>
            <w:tcW w:w="6803" w:type="dxa"/>
          </w:tcPr>
          <w:p w14:paraId="7E2A7427" w14:textId="2A15578B" w:rsidR="00F67E9E" w:rsidRPr="00724541" w:rsidRDefault="00F67E9E" w:rsidP="007F74AA">
            <w:pPr>
              <w:pStyle w:val="StdBodyText"/>
              <w:rPr>
                <w:rFonts w:cs="Arial"/>
              </w:rPr>
            </w:pPr>
            <w:r w:rsidRPr="00724541">
              <w:rPr>
                <w:rFonts w:cs="Arial"/>
              </w:rPr>
              <w:t xml:space="preserve">has the meaning given in </w:t>
            </w:r>
            <w:r>
              <w:rPr>
                <w:rFonts w:cs="Arial"/>
              </w:rPr>
              <w:fldChar w:fldCharType="begin"/>
            </w:r>
            <w:r>
              <w:rPr>
                <w:rFonts w:cs="Arial"/>
              </w:rPr>
              <w:instrText xml:space="preserve"> REF Schedule19 \h </w:instrText>
            </w:r>
            <w:r>
              <w:rPr>
                <w:rFonts w:cs="Arial"/>
              </w:rPr>
            </w:r>
            <w:r>
              <w:rPr>
                <w:rFonts w:cs="Arial"/>
              </w:rPr>
              <w:fldChar w:fldCharType="separate"/>
            </w:r>
            <w:r w:rsidR="00302D39" w:rsidRPr="005D0525">
              <w:t>Schedule</w:t>
            </w:r>
            <w:r w:rsidR="00302D39">
              <w:t> </w:t>
            </w:r>
            <w:r w:rsidR="00302D39" w:rsidRPr="005D0525">
              <w:t>19</w:t>
            </w:r>
            <w:r>
              <w:rPr>
                <w:rFonts w:cs="Arial"/>
              </w:rPr>
              <w:fldChar w:fldCharType="end"/>
            </w:r>
            <w:r>
              <w:rPr>
                <w:rFonts w:cs="Arial"/>
              </w:rPr>
              <w:t xml:space="preserve"> (</w:t>
            </w:r>
            <w:r w:rsidRPr="002F30DB">
              <w:rPr>
                <w:rFonts w:cs="Arial"/>
                <w:i/>
                <w:iCs/>
              </w:rPr>
              <w:fldChar w:fldCharType="begin"/>
            </w:r>
            <w:r w:rsidRPr="002F30DB">
              <w:rPr>
                <w:rFonts w:cs="Arial"/>
                <w:i/>
                <w:iCs/>
              </w:rPr>
              <w:instrText xml:space="preserve"> REF Schedule19Heading \h </w:instrText>
            </w:r>
            <w:r>
              <w:rPr>
                <w:rFonts w:cs="Arial"/>
                <w:i/>
                <w:iCs/>
              </w:rPr>
              <w:instrText xml:space="preserve"> \* MERGEFORMAT </w:instrText>
            </w:r>
            <w:r w:rsidRPr="002F30DB">
              <w:rPr>
                <w:rFonts w:cs="Arial"/>
                <w:i/>
                <w:iCs/>
              </w:rPr>
            </w:r>
            <w:r w:rsidRPr="002F30DB">
              <w:rPr>
                <w:rFonts w:cs="Arial"/>
                <w:i/>
                <w:iCs/>
              </w:rPr>
              <w:fldChar w:fldCharType="separate"/>
            </w:r>
            <w:r w:rsidR="00302D39" w:rsidRPr="00302D39">
              <w:rPr>
                <w:i/>
                <w:iCs/>
              </w:rPr>
              <w:t>Financial Reports and Audit Rights</w:t>
            </w:r>
            <w:r w:rsidRPr="002F30DB">
              <w:rPr>
                <w:rFonts w:cs="Arial"/>
                <w:i/>
                <w:iCs/>
              </w:rPr>
              <w:fldChar w:fldCharType="end"/>
            </w:r>
            <w:r>
              <w:rPr>
                <w:rFonts w:cs="Arial"/>
              </w:rPr>
              <w:t>)</w:t>
            </w:r>
            <w:r w:rsidRPr="00724541">
              <w:rPr>
                <w:rFonts w:cs="Arial"/>
              </w:rPr>
              <w:t>;</w:t>
            </w:r>
          </w:p>
        </w:tc>
      </w:tr>
      <w:tr w:rsidR="00F67E9E" w:rsidRPr="00724541" w14:paraId="51C548EF" w14:textId="77777777" w:rsidTr="007F74AA">
        <w:tc>
          <w:tcPr>
            <w:tcW w:w="2835" w:type="dxa"/>
          </w:tcPr>
          <w:p w14:paraId="2EB4E901" w14:textId="77777777" w:rsidR="00F67E9E" w:rsidRPr="00724541" w:rsidRDefault="00F67E9E" w:rsidP="007F74AA">
            <w:pPr>
              <w:pStyle w:val="StdBodyTextBold"/>
              <w:rPr>
                <w:rFonts w:cs="Arial"/>
              </w:rPr>
            </w:pPr>
            <w:r>
              <w:rPr>
                <w:rFonts w:cs="Arial"/>
              </w:rPr>
              <w:t>“</w:t>
            </w:r>
            <w:r w:rsidRPr="00724541">
              <w:rPr>
                <w:rFonts w:cs="Arial"/>
              </w:rPr>
              <w:t>Annual Revenue</w:t>
            </w:r>
            <w:r>
              <w:rPr>
                <w:rFonts w:cs="Arial"/>
              </w:rPr>
              <w:t>”</w:t>
            </w:r>
          </w:p>
        </w:tc>
        <w:tc>
          <w:tcPr>
            <w:tcW w:w="6803" w:type="dxa"/>
          </w:tcPr>
          <w:p w14:paraId="6D5B8ECC" w14:textId="77777777" w:rsidR="00F67E9E" w:rsidRPr="00724541" w:rsidRDefault="00F67E9E" w:rsidP="007F74AA">
            <w:pPr>
              <w:pStyle w:val="StdBodyText"/>
              <w:rPr>
                <w:rFonts w:cs="Arial"/>
              </w:rPr>
            </w:pPr>
            <w:r w:rsidRPr="00724541">
              <w:rPr>
                <w:rFonts w:cs="Arial"/>
              </w:rPr>
              <w:t>means, for the purposes of determining whether an entity is a Public Sector Dependent Supplier, the audited consolidated aggregate revenue (including share of revenue of joint ventures and Associates) reported by the Supplier or, as appropriate, the Supplier Group in its most recent published accounts, subject to the following methodology:</w:t>
            </w:r>
          </w:p>
          <w:p w14:paraId="6C82143A" w14:textId="77777777" w:rsidR="00F67E9E" w:rsidRPr="00724541" w:rsidRDefault="00F67E9E" w:rsidP="007F74AA">
            <w:pPr>
              <w:pStyle w:val="DefinitionList"/>
              <w:numPr>
                <w:ilvl w:val="0"/>
                <w:numId w:val="147"/>
              </w:numPr>
            </w:pPr>
            <w:r w:rsidRPr="00724541">
              <w:t>figures for accounting periods of other than 12 months should be scaled pro rata to produce a proforma figure for a 12 month period; and</w:t>
            </w:r>
          </w:p>
          <w:p w14:paraId="554EF978" w14:textId="77777777" w:rsidR="00F67E9E" w:rsidRPr="00724541" w:rsidRDefault="00F67E9E" w:rsidP="00F67E9E">
            <w:pPr>
              <w:pStyle w:val="DefinitionList"/>
              <w:numPr>
                <w:ilvl w:val="0"/>
                <w:numId w:val="108"/>
              </w:numPr>
              <w:rPr>
                <w:rFonts w:cs="Arial"/>
              </w:rPr>
            </w:pPr>
            <w:r w:rsidRPr="00724541">
              <w:rPr>
                <w:rFonts w:cs="Arial"/>
              </w:rPr>
              <w:t>where the Supplier, the Supplier Group and/or their joint ventures and Associates report in a foreign currency, revenue should be converted to British Pound Sterling at the closing exchange rate on the Accounting Reference Date;</w:t>
            </w:r>
          </w:p>
        </w:tc>
      </w:tr>
      <w:tr w:rsidR="00F67E9E" w:rsidRPr="00724541" w14:paraId="5CB523B6" w14:textId="77777777" w:rsidTr="007F74AA">
        <w:tc>
          <w:tcPr>
            <w:tcW w:w="2835" w:type="dxa"/>
          </w:tcPr>
          <w:p w14:paraId="188BD896" w14:textId="77777777" w:rsidR="00F67E9E" w:rsidRPr="00724541" w:rsidRDefault="00F67E9E" w:rsidP="007F74AA">
            <w:pPr>
              <w:pStyle w:val="StdBodyTextBold"/>
              <w:rPr>
                <w:rFonts w:cs="Arial"/>
              </w:rPr>
            </w:pPr>
            <w:r>
              <w:rPr>
                <w:rFonts w:cs="Arial"/>
              </w:rPr>
              <w:t>“</w:t>
            </w:r>
            <w:r w:rsidRPr="00724541">
              <w:rPr>
                <w:rFonts w:cs="Arial"/>
              </w:rPr>
              <w:t>Anticipated Contract Life Profit Margin</w:t>
            </w:r>
            <w:r>
              <w:rPr>
                <w:rFonts w:cs="Arial"/>
              </w:rPr>
              <w:t>”</w:t>
            </w:r>
          </w:p>
        </w:tc>
        <w:tc>
          <w:tcPr>
            <w:tcW w:w="6803" w:type="dxa"/>
          </w:tcPr>
          <w:p w14:paraId="4800AB36" w14:textId="30A9BD80" w:rsidR="00F67E9E" w:rsidRPr="00724541" w:rsidRDefault="00F67E9E" w:rsidP="007F74AA">
            <w:pPr>
              <w:pStyle w:val="StdBodyText"/>
              <w:rPr>
                <w:rFonts w:cs="Arial"/>
              </w:rPr>
            </w:pPr>
            <w:r w:rsidRPr="00724541">
              <w:rPr>
                <w:rFonts w:cs="Arial"/>
              </w:rPr>
              <w:t xml:space="preserve">has the meaning given in </w:t>
            </w:r>
            <w:r>
              <w:rPr>
                <w:rFonts w:cs="Arial"/>
              </w:rPr>
              <w:fldChar w:fldCharType="begin"/>
            </w:r>
            <w:r>
              <w:rPr>
                <w:rFonts w:cs="Arial"/>
              </w:rPr>
              <w:instrText xml:space="preserve"> REF Schedule15 \h </w:instrText>
            </w:r>
            <w:r>
              <w:rPr>
                <w:rFonts w:cs="Arial"/>
              </w:rPr>
            </w:r>
            <w:r>
              <w:rPr>
                <w:rFonts w:cs="Arial"/>
              </w:rPr>
              <w:fldChar w:fldCharType="separate"/>
            </w:r>
            <w:r w:rsidR="00302D39" w:rsidRPr="005D0525">
              <w:t>Schedule</w:t>
            </w:r>
            <w:r w:rsidR="00302D39">
              <w:t> </w:t>
            </w:r>
            <w:r w:rsidR="00302D39" w:rsidRPr="005D0525">
              <w:t>15</w:t>
            </w:r>
            <w:r>
              <w:rPr>
                <w:rFonts w:cs="Arial"/>
              </w:rPr>
              <w:fldChar w:fldCharType="end"/>
            </w:r>
            <w:r>
              <w:rPr>
                <w:rFonts w:cs="Arial"/>
              </w:rPr>
              <w:t xml:space="preserve"> (</w:t>
            </w:r>
            <w:r w:rsidRPr="00B91437">
              <w:rPr>
                <w:rFonts w:cs="Arial"/>
                <w:i/>
                <w:iCs/>
              </w:rPr>
              <w:fldChar w:fldCharType="begin"/>
            </w:r>
            <w:r w:rsidRPr="00B91437">
              <w:rPr>
                <w:rFonts w:cs="Arial"/>
                <w:i/>
                <w:iCs/>
              </w:rPr>
              <w:instrText xml:space="preserve"> REF Schedule15Heading \h </w:instrText>
            </w:r>
            <w:r>
              <w:rPr>
                <w:rFonts w:cs="Arial"/>
                <w:i/>
                <w:iCs/>
              </w:rPr>
              <w:instrText xml:space="preserve"> \* MERGEFORMAT </w:instrText>
            </w:r>
            <w:r w:rsidRPr="00B91437">
              <w:rPr>
                <w:rFonts w:cs="Arial"/>
                <w:i/>
                <w:iCs/>
              </w:rPr>
            </w:r>
            <w:r w:rsidRPr="00B91437">
              <w:rPr>
                <w:rFonts w:cs="Arial"/>
                <w:i/>
                <w:iCs/>
              </w:rPr>
              <w:fldChar w:fldCharType="separate"/>
            </w:r>
            <w:r w:rsidR="00302D39" w:rsidRPr="00302D39">
              <w:rPr>
                <w:i/>
                <w:iCs/>
              </w:rPr>
              <w:t>Charges and Invoicing</w:t>
            </w:r>
            <w:r w:rsidRPr="00B91437">
              <w:rPr>
                <w:rFonts w:cs="Arial"/>
                <w:i/>
                <w:iCs/>
              </w:rPr>
              <w:fldChar w:fldCharType="end"/>
            </w:r>
            <w:r>
              <w:rPr>
                <w:rFonts w:cs="Arial"/>
              </w:rPr>
              <w:t>)</w:t>
            </w:r>
            <w:r w:rsidRPr="00724541">
              <w:rPr>
                <w:rFonts w:cs="Arial"/>
              </w:rPr>
              <w:t>;</w:t>
            </w:r>
          </w:p>
        </w:tc>
      </w:tr>
      <w:tr w:rsidR="00F67E9E" w:rsidRPr="00724541" w14:paraId="2F7E9B5E" w14:textId="77777777" w:rsidTr="007F74AA">
        <w:tc>
          <w:tcPr>
            <w:tcW w:w="2835" w:type="dxa"/>
          </w:tcPr>
          <w:p w14:paraId="2C27E8F1" w14:textId="77777777" w:rsidR="00F67E9E" w:rsidRPr="00724541" w:rsidRDefault="00F67E9E" w:rsidP="007F74AA">
            <w:pPr>
              <w:pStyle w:val="StdBodyTextBold"/>
              <w:rPr>
                <w:rFonts w:cs="Arial"/>
              </w:rPr>
            </w:pPr>
            <w:r>
              <w:rPr>
                <w:rFonts w:cs="Arial"/>
              </w:rPr>
              <w:t>“</w:t>
            </w:r>
            <w:r w:rsidRPr="00724541">
              <w:rPr>
                <w:rFonts w:cs="Arial"/>
              </w:rPr>
              <w:t>Approved Sub</w:t>
            </w:r>
            <w:r>
              <w:rPr>
                <w:rFonts w:cs="Arial"/>
              </w:rPr>
              <w:noBreakHyphen/>
            </w:r>
            <w:r w:rsidRPr="00724541">
              <w:rPr>
                <w:rFonts w:cs="Arial"/>
              </w:rPr>
              <w:t>Licensee</w:t>
            </w:r>
            <w:r>
              <w:rPr>
                <w:rFonts w:cs="Arial"/>
              </w:rPr>
              <w:t>”</w:t>
            </w:r>
          </w:p>
        </w:tc>
        <w:tc>
          <w:tcPr>
            <w:tcW w:w="6803" w:type="dxa"/>
          </w:tcPr>
          <w:p w14:paraId="122027A4" w14:textId="77777777" w:rsidR="00F67E9E" w:rsidRPr="00724541" w:rsidRDefault="00F67E9E" w:rsidP="007F74AA">
            <w:pPr>
              <w:pStyle w:val="StdBodyText"/>
              <w:rPr>
                <w:rFonts w:cs="Arial"/>
              </w:rPr>
            </w:pPr>
            <w:r w:rsidRPr="00724541">
              <w:rPr>
                <w:rFonts w:cs="Arial"/>
              </w:rPr>
              <w:t xml:space="preserve">any of the following: </w:t>
            </w:r>
          </w:p>
          <w:p w14:paraId="769D79FE" w14:textId="77777777" w:rsidR="00F67E9E" w:rsidRPr="00724541" w:rsidRDefault="00F67E9E" w:rsidP="007F74AA">
            <w:pPr>
              <w:pStyle w:val="DefinitionList"/>
              <w:numPr>
                <w:ilvl w:val="0"/>
                <w:numId w:val="148"/>
              </w:numPr>
            </w:pPr>
            <w:r w:rsidRPr="00724541">
              <w:t xml:space="preserve">a </w:t>
            </w:r>
            <w:r>
              <w:t>Crown</w:t>
            </w:r>
            <w:r w:rsidRPr="00724541">
              <w:t xml:space="preserve"> Body; </w:t>
            </w:r>
          </w:p>
          <w:p w14:paraId="125E070D" w14:textId="77777777" w:rsidR="00F67E9E" w:rsidRPr="00724541" w:rsidRDefault="00F67E9E" w:rsidP="00F67E9E">
            <w:pPr>
              <w:pStyle w:val="DefinitionList"/>
              <w:numPr>
                <w:ilvl w:val="0"/>
                <w:numId w:val="108"/>
              </w:numPr>
              <w:rPr>
                <w:rFonts w:cs="Arial"/>
              </w:rPr>
            </w:pPr>
            <w:r w:rsidRPr="00724541">
              <w:rPr>
                <w:rFonts w:cs="Arial"/>
              </w:rPr>
              <w:t xml:space="preserve">any third party providing services to a </w:t>
            </w:r>
            <w:r>
              <w:t>Crown</w:t>
            </w:r>
            <w:r w:rsidRPr="00724541">
              <w:t xml:space="preserve"> </w:t>
            </w:r>
            <w:r w:rsidRPr="00724541">
              <w:rPr>
                <w:rFonts w:cs="Arial"/>
              </w:rPr>
              <w:t>Body; and/or</w:t>
            </w:r>
          </w:p>
          <w:p w14:paraId="3C414847" w14:textId="77777777" w:rsidR="00F67E9E" w:rsidRPr="00724541" w:rsidRDefault="00F67E9E" w:rsidP="00F67E9E">
            <w:pPr>
              <w:pStyle w:val="DefinitionList"/>
              <w:numPr>
                <w:ilvl w:val="0"/>
                <w:numId w:val="108"/>
              </w:numPr>
              <w:rPr>
                <w:rFonts w:cs="Arial"/>
              </w:rPr>
            </w:pPr>
            <w:r w:rsidRPr="00724541">
              <w:rPr>
                <w:rFonts w:cs="Arial"/>
              </w:rPr>
              <w:t xml:space="preserve">any body (including any private sector body) which performs or carries on any of the functions and/or activities that previously had been performed and/or carried on by the Authority; </w:t>
            </w:r>
          </w:p>
        </w:tc>
      </w:tr>
      <w:tr w:rsidR="00F67E9E" w:rsidRPr="00724541" w14:paraId="0DBC1BFD" w14:textId="77777777" w:rsidTr="007F74AA">
        <w:tc>
          <w:tcPr>
            <w:tcW w:w="2835" w:type="dxa"/>
          </w:tcPr>
          <w:p w14:paraId="271B3B3E" w14:textId="77777777" w:rsidR="00F67E9E" w:rsidRPr="00724541" w:rsidRDefault="00F67E9E" w:rsidP="007F74AA">
            <w:pPr>
              <w:pStyle w:val="StdBodyTextBold"/>
              <w:rPr>
                <w:rFonts w:cs="Arial"/>
              </w:rPr>
            </w:pPr>
            <w:r>
              <w:rPr>
                <w:rFonts w:cs="Arial"/>
              </w:rPr>
              <w:t>“</w:t>
            </w:r>
            <w:r w:rsidRPr="00724541">
              <w:rPr>
                <w:rFonts w:cs="Arial"/>
              </w:rPr>
              <w:t>Assets</w:t>
            </w:r>
            <w:r>
              <w:rPr>
                <w:rFonts w:cs="Arial"/>
              </w:rPr>
              <w:t>”</w:t>
            </w:r>
          </w:p>
        </w:tc>
        <w:tc>
          <w:tcPr>
            <w:tcW w:w="6803" w:type="dxa"/>
          </w:tcPr>
          <w:p w14:paraId="5ABC880C" w14:textId="77777777" w:rsidR="00F67E9E" w:rsidRPr="00724541" w:rsidRDefault="00F67E9E" w:rsidP="007F74AA">
            <w:pPr>
              <w:pStyle w:val="StdBodyText"/>
              <w:rPr>
                <w:rFonts w:cs="Arial"/>
              </w:rPr>
            </w:pPr>
            <w:r w:rsidRPr="00724541">
              <w:rPr>
                <w:rFonts w:cs="Arial"/>
              </w:rPr>
              <w:t>all assets and rights used by the Supplier to provide the Services in accordance with this Contract but excluding the Authority Assets;</w:t>
            </w:r>
          </w:p>
        </w:tc>
      </w:tr>
      <w:tr w:rsidR="00F67E9E" w:rsidRPr="00724541" w14:paraId="7CD3FFE7" w14:textId="77777777" w:rsidTr="007F74AA">
        <w:tc>
          <w:tcPr>
            <w:tcW w:w="2835" w:type="dxa"/>
          </w:tcPr>
          <w:p w14:paraId="048A7468" w14:textId="77777777" w:rsidR="00F67E9E" w:rsidRPr="00724541" w:rsidRDefault="00F67E9E" w:rsidP="007F74AA">
            <w:pPr>
              <w:pStyle w:val="StdBodyTextBold"/>
              <w:rPr>
                <w:rFonts w:cs="Arial"/>
              </w:rPr>
            </w:pPr>
            <w:r>
              <w:rPr>
                <w:rFonts w:cs="Arial"/>
              </w:rPr>
              <w:t>“</w:t>
            </w:r>
            <w:r w:rsidRPr="00724541">
              <w:rPr>
                <w:rFonts w:cs="Arial"/>
              </w:rPr>
              <w:t>Associated Person</w:t>
            </w:r>
            <w:r>
              <w:rPr>
                <w:rFonts w:cs="Arial"/>
              </w:rPr>
              <w:t>”</w:t>
            </w:r>
          </w:p>
        </w:tc>
        <w:tc>
          <w:tcPr>
            <w:tcW w:w="6803" w:type="dxa"/>
          </w:tcPr>
          <w:p w14:paraId="4EA075CC" w14:textId="77777777" w:rsidR="00F67E9E" w:rsidRPr="00724541" w:rsidRDefault="00F67E9E" w:rsidP="007F74AA">
            <w:pPr>
              <w:pStyle w:val="StdBodyText"/>
              <w:rPr>
                <w:rFonts w:cs="Arial"/>
              </w:rPr>
            </w:pPr>
            <w:r w:rsidRPr="00724541">
              <w:rPr>
                <w:rFonts w:cs="Arial"/>
              </w:rPr>
              <w:t xml:space="preserve">has the meaning given to it in </w:t>
            </w:r>
            <w:bookmarkStart w:id="65" w:name="_9kR3WTr277DGAbLcszv1INO9y47tPXA67921hZE"/>
            <w:r w:rsidRPr="00724541">
              <w:rPr>
                <w:rFonts w:cs="Arial"/>
              </w:rPr>
              <w:t>Section 44(4) of the Criminal Finances Act 2017</w:t>
            </w:r>
            <w:bookmarkEnd w:id="65"/>
            <w:r w:rsidRPr="00724541">
              <w:rPr>
                <w:rFonts w:cs="Arial"/>
              </w:rPr>
              <w:t>;</w:t>
            </w:r>
          </w:p>
        </w:tc>
      </w:tr>
      <w:tr w:rsidR="00F67E9E" w:rsidRPr="00724541" w14:paraId="4A25D797" w14:textId="77777777" w:rsidTr="007F74AA">
        <w:tc>
          <w:tcPr>
            <w:tcW w:w="2835" w:type="dxa"/>
          </w:tcPr>
          <w:p w14:paraId="6C0D373A" w14:textId="77777777" w:rsidR="00F67E9E" w:rsidRPr="00724541" w:rsidRDefault="00F67E9E" w:rsidP="007F74AA">
            <w:pPr>
              <w:pStyle w:val="StdBodyTextBold"/>
              <w:rPr>
                <w:rFonts w:cs="Arial"/>
              </w:rPr>
            </w:pPr>
            <w:r>
              <w:rPr>
                <w:rFonts w:cs="Arial"/>
              </w:rPr>
              <w:t>“</w:t>
            </w:r>
            <w:r w:rsidRPr="00724541">
              <w:rPr>
                <w:rFonts w:cs="Arial"/>
              </w:rPr>
              <w:t>Associates</w:t>
            </w:r>
            <w:r>
              <w:rPr>
                <w:rFonts w:cs="Arial"/>
              </w:rPr>
              <w:t>”</w:t>
            </w:r>
          </w:p>
        </w:tc>
        <w:tc>
          <w:tcPr>
            <w:tcW w:w="6803" w:type="dxa"/>
          </w:tcPr>
          <w:p w14:paraId="520CA514" w14:textId="77777777" w:rsidR="00F67E9E" w:rsidRPr="00724541" w:rsidRDefault="00F67E9E" w:rsidP="007F74AA">
            <w:pPr>
              <w:pStyle w:val="StdBodyText"/>
              <w:rPr>
                <w:rFonts w:cs="Arial"/>
              </w:rPr>
            </w:pPr>
            <w:r w:rsidRPr="00724541">
              <w:rPr>
                <w:rFonts w:cs="Arial"/>
              </w:rPr>
              <w:t>means, in relation to an entity, an undertaking in which the entity owns, directly or indirectly, between 20% and 50% of the voting rights and exercises a degree of control sufficient for the undertaking to be treated as an associate under generally accepted accounting principles;</w:t>
            </w:r>
          </w:p>
        </w:tc>
      </w:tr>
      <w:tr w:rsidR="00F67E9E" w:rsidRPr="00724541" w14:paraId="78B8AA9F" w14:textId="77777777" w:rsidTr="007F74AA">
        <w:tc>
          <w:tcPr>
            <w:tcW w:w="2835" w:type="dxa"/>
          </w:tcPr>
          <w:p w14:paraId="28CCA834" w14:textId="77777777" w:rsidR="00F67E9E" w:rsidRPr="00724541" w:rsidRDefault="00F67E9E" w:rsidP="007F74AA">
            <w:pPr>
              <w:pStyle w:val="StdBodyTextBold"/>
              <w:rPr>
                <w:rFonts w:cs="Arial"/>
              </w:rPr>
            </w:pPr>
            <w:r>
              <w:rPr>
                <w:rFonts w:cs="Arial"/>
              </w:rPr>
              <w:t>“</w:t>
            </w:r>
            <w:r w:rsidRPr="00724541">
              <w:rPr>
                <w:rFonts w:cs="Arial"/>
              </w:rPr>
              <w:t>Assurance</w:t>
            </w:r>
            <w:r>
              <w:rPr>
                <w:rFonts w:cs="Arial"/>
              </w:rPr>
              <w:t>”</w:t>
            </w:r>
          </w:p>
        </w:tc>
        <w:tc>
          <w:tcPr>
            <w:tcW w:w="6803" w:type="dxa"/>
          </w:tcPr>
          <w:p w14:paraId="4E5D9F64" w14:textId="77777777" w:rsidR="00F67E9E" w:rsidRPr="00724541" w:rsidRDefault="00F67E9E" w:rsidP="007F74AA">
            <w:pPr>
              <w:pStyle w:val="StdBodyText"/>
              <w:rPr>
                <w:rFonts w:cs="Arial"/>
              </w:rPr>
            </w:pPr>
            <w:r w:rsidRPr="00724541">
              <w:rPr>
                <w:rFonts w:cs="Arial"/>
              </w:rPr>
              <w:t>means written confirmation from a Relevant Authority to the Supplier that the CRP Information is approved by the Relevant Authority;</w:t>
            </w:r>
          </w:p>
        </w:tc>
      </w:tr>
      <w:tr w:rsidR="00F67E9E" w:rsidRPr="00724541" w14:paraId="2C5AB08F" w14:textId="77777777" w:rsidTr="007F74AA">
        <w:tc>
          <w:tcPr>
            <w:tcW w:w="2835" w:type="dxa"/>
          </w:tcPr>
          <w:p w14:paraId="5F769A29" w14:textId="77777777" w:rsidR="00F67E9E" w:rsidRPr="00724541" w:rsidRDefault="00F67E9E" w:rsidP="007F74AA">
            <w:pPr>
              <w:pStyle w:val="StdBodyTextBold"/>
              <w:rPr>
                <w:rFonts w:cs="Arial"/>
              </w:rPr>
            </w:pPr>
            <w:r>
              <w:rPr>
                <w:rFonts w:cs="Arial"/>
              </w:rPr>
              <w:t>“</w:t>
            </w:r>
            <w:r w:rsidRPr="00724541">
              <w:rPr>
                <w:rFonts w:cs="Arial"/>
              </w:rPr>
              <w:t>ATP Milestone</w:t>
            </w:r>
            <w:r>
              <w:rPr>
                <w:rFonts w:cs="Arial"/>
              </w:rPr>
              <w:t>”</w:t>
            </w:r>
          </w:p>
        </w:tc>
        <w:tc>
          <w:tcPr>
            <w:tcW w:w="6803" w:type="dxa"/>
          </w:tcPr>
          <w:p w14:paraId="6404EF3C" w14:textId="77777777" w:rsidR="00F67E9E" w:rsidRPr="00724541" w:rsidRDefault="00F67E9E" w:rsidP="007F74AA">
            <w:pPr>
              <w:pStyle w:val="StdBodyText"/>
              <w:rPr>
                <w:rFonts w:cs="Arial"/>
              </w:rPr>
            </w:pPr>
            <w:r w:rsidRPr="00724541">
              <w:rPr>
                <w:rFonts w:cs="Arial"/>
              </w:rPr>
              <w:t>the Milestone linked to Authority to Proceed for the relevant Operational Services set out in the Implementation Plan;</w:t>
            </w:r>
          </w:p>
        </w:tc>
      </w:tr>
      <w:tr w:rsidR="00F67E9E" w:rsidRPr="00724541" w14:paraId="5627A8CD" w14:textId="77777777" w:rsidTr="007F74AA">
        <w:tc>
          <w:tcPr>
            <w:tcW w:w="2835" w:type="dxa"/>
          </w:tcPr>
          <w:p w14:paraId="2E3416AC" w14:textId="77777777" w:rsidR="00F67E9E" w:rsidRPr="00724541" w:rsidRDefault="00F67E9E" w:rsidP="007F74AA">
            <w:pPr>
              <w:pStyle w:val="StdBodyTextBold"/>
              <w:rPr>
                <w:rFonts w:cs="Arial"/>
              </w:rPr>
            </w:pPr>
            <w:r>
              <w:rPr>
                <w:rFonts w:cs="Arial"/>
              </w:rPr>
              <w:t>“</w:t>
            </w:r>
            <w:r w:rsidRPr="00724541">
              <w:rPr>
                <w:rFonts w:cs="Arial"/>
              </w:rPr>
              <w:t>Audit</w:t>
            </w:r>
            <w:r>
              <w:rPr>
                <w:rFonts w:cs="Arial"/>
              </w:rPr>
              <w:t>”</w:t>
            </w:r>
          </w:p>
        </w:tc>
        <w:tc>
          <w:tcPr>
            <w:tcW w:w="6803" w:type="dxa"/>
          </w:tcPr>
          <w:p w14:paraId="1F568B38" w14:textId="10FB9EC2" w:rsidR="00F67E9E" w:rsidRPr="00724541" w:rsidRDefault="00F67E9E" w:rsidP="007F74AA">
            <w:pPr>
              <w:pStyle w:val="StdBodyText"/>
              <w:rPr>
                <w:rFonts w:cs="Arial"/>
              </w:rPr>
            </w:pPr>
            <w:r w:rsidRPr="00724541">
              <w:rPr>
                <w:rFonts w:cs="Arial"/>
              </w:rPr>
              <w:t xml:space="preserve">any exercise by the Authority of its Audit Rights pursuant to </w:t>
            </w:r>
            <w:bookmarkStart w:id="66" w:name="_9kMJI5YVtCIA8BEgSz3p9LJKl5r2I8APCBMPVXF"/>
            <w:r w:rsidRPr="00724541">
              <w:rPr>
                <w:rFonts w:cs="Arial"/>
              </w:rPr>
              <w:t xml:space="preserve">Clause </w:t>
            </w:r>
            <w:bookmarkEnd w:id="66"/>
            <w:r w:rsidRPr="00724541">
              <w:rPr>
                <w:rFonts w:cs="Arial"/>
              </w:rPr>
              <w:t>12 (</w:t>
            </w:r>
            <w:r w:rsidRPr="00C04B2F">
              <w:rPr>
                <w:rFonts w:cs="Arial"/>
                <w:i/>
                <w:iCs/>
              </w:rPr>
              <w:t>Records, Reports, Audit and Open Book Data</w:t>
            </w:r>
            <w:r w:rsidRPr="00724541">
              <w:rPr>
                <w:rFonts w:cs="Arial"/>
              </w:rPr>
              <w:t xml:space="preserve">) and </w:t>
            </w:r>
            <w:r>
              <w:rPr>
                <w:rFonts w:cs="Arial"/>
              </w:rPr>
              <w:fldChar w:fldCharType="begin"/>
            </w:r>
            <w:r>
              <w:rPr>
                <w:rFonts w:cs="Arial"/>
              </w:rPr>
              <w:instrText xml:space="preserve"> REF Schedule19 \h </w:instrText>
            </w:r>
            <w:r>
              <w:rPr>
                <w:rFonts w:cs="Arial"/>
              </w:rPr>
            </w:r>
            <w:r>
              <w:rPr>
                <w:rFonts w:cs="Arial"/>
              </w:rPr>
              <w:fldChar w:fldCharType="separate"/>
            </w:r>
            <w:r w:rsidR="00302D39" w:rsidRPr="005D0525">
              <w:t>Schedule</w:t>
            </w:r>
            <w:r w:rsidR="00302D39">
              <w:t> </w:t>
            </w:r>
            <w:r w:rsidR="00302D39" w:rsidRPr="005D0525">
              <w:t>19</w:t>
            </w:r>
            <w:r>
              <w:rPr>
                <w:rFonts w:cs="Arial"/>
              </w:rPr>
              <w:fldChar w:fldCharType="end"/>
            </w:r>
            <w:r>
              <w:rPr>
                <w:rFonts w:cs="Arial"/>
              </w:rPr>
              <w:t xml:space="preserve"> (</w:t>
            </w:r>
            <w:r w:rsidRPr="002F30DB">
              <w:rPr>
                <w:rFonts w:cs="Arial"/>
                <w:i/>
                <w:iCs/>
              </w:rPr>
              <w:fldChar w:fldCharType="begin"/>
            </w:r>
            <w:r w:rsidRPr="002F30DB">
              <w:rPr>
                <w:rFonts w:cs="Arial"/>
                <w:i/>
                <w:iCs/>
              </w:rPr>
              <w:instrText xml:space="preserve"> REF Schedule19Heading \h </w:instrText>
            </w:r>
            <w:r>
              <w:rPr>
                <w:rFonts w:cs="Arial"/>
                <w:i/>
                <w:iCs/>
              </w:rPr>
              <w:instrText xml:space="preserve"> \* MERGEFORMAT </w:instrText>
            </w:r>
            <w:r w:rsidRPr="002F30DB">
              <w:rPr>
                <w:rFonts w:cs="Arial"/>
                <w:i/>
                <w:iCs/>
              </w:rPr>
            </w:r>
            <w:r w:rsidRPr="002F30DB">
              <w:rPr>
                <w:rFonts w:cs="Arial"/>
                <w:i/>
                <w:iCs/>
              </w:rPr>
              <w:fldChar w:fldCharType="separate"/>
            </w:r>
            <w:r w:rsidR="00302D39" w:rsidRPr="00302D39">
              <w:rPr>
                <w:i/>
                <w:iCs/>
              </w:rPr>
              <w:t>Financial Reports and Audit Rights</w:t>
            </w:r>
            <w:r w:rsidRPr="002F30DB">
              <w:rPr>
                <w:rFonts w:cs="Arial"/>
                <w:i/>
                <w:iCs/>
              </w:rPr>
              <w:fldChar w:fldCharType="end"/>
            </w:r>
            <w:r>
              <w:rPr>
                <w:rFonts w:cs="Arial"/>
              </w:rPr>
              <w:t>)</w:t>
            </w:r>
            <w:r w:rsidRPr="00724541">
              <w:rPr>
                <w:rFonts w:cs="Arial"/>
              </w:rPr>
              <w:t>;</w:t>
            </w:r>
          </w:p>
        </w:tc>
      </w:tr>
      <w:tr w:rsidR="00F67E9E" w:rsidRPr="00724541" w14:paraId="384B3DF9" w14:textId="77777777" w:rsidTr="007F74AA">
        <w:tc>
          <w:tcPr>
            <w:tcW w:w="2835" w:type="dxa"/>
          </w:tcPr>
          <w:p w14:paraId="4A83A8EC" w14:textId="77777777" w:rsidR="00F67E9E" w:rsidRPr="00724541" w:rsidRDefault="00F67E9E" w:rsidP="007F74AA">
            <w:pPr>
              <w:pStyle w:val="StdBodyTextBold"/>
              <w:rPr>
                <w:rFonts w:cs="Arial"/>
              </w:rPr>
            </w:pPr>
            <w:r>
              <w:rPr>
                <w:rFonts w:cs="Arial"/>
              </w:rPr>
              <w:t>“</w:t>
            </w:r>
            <w:r w:rsidRPr="00724541">
              <w:rPr>
                <w:rFonts w:cs="Arial"/>
              </w:rPr>
              <w:t>Audit Agents</w:t>
            </w:r>
            <w:r>
              <w:rPr>
                <w:rFonts w:cs="Arial"/>
              </w:rPr>
              <w:t>”</w:t>
            </w:r>
          </w:p>
        </w:tc>
        <w:tc>
          <w:tcPr>
            <w:tcW w:w="6803" w:type="dxa"/>
          </w:tcPr>
          <w:p w14:paraId="37F44784" w14:textId="77777777" w:rsidR="00F67E9E" w:rsidRPr="00724541" w:rsidRDefault="00F67E9E" w:rsidP="007F74AA">
            <w:pPr>
              <w:pStyle w:val="DefinitionList"/>
              <w:numPr>
                <w:ilvl w:val="0"/>
                <w:numId w:val="149"/>
              </w:numPr>
            </w:pPr>
            <w:r w:rsidRPr="00724541">
              <w:t>the Authority</w:t>
            </w:r>
            <w:r>
              <w:t>’</w:t>
            </w:r>
            <w:r w:rsidRPr="00724541">
              <w:t>s internal and external auditors;</w:t>
            </w:r>
          </w:p>
          <w:p w14:paraId="31686E5E" w14:textId="77777777" w:rsidR="00F67E9E" w:rsidRPr="00724541" w:rsidRDefault="00F67E9E" w:rsidP="00F67E9E">
            <w:pPr>
              <w:pStyle w:val="DefinitionList"/>
              <w:numPr>
                <w:ilvl w:val="0"/>
                <w:numId w:val="108"/>
              </w:numPr>
              <w:rPr>
                <w:rFonts w:cs="Arial"/>
              </w:rPr>
            </w:pPr>
            <w:r w:rsidRPr="00724541">
              <w:rPr>
                <w:rFonts w:cs="Arial"/>
              </w:rPr>
              <w:t>the Authority</w:t>
            </w:r>
            <w:r>
              <w:rPr>
                <w:rFonts w:cs="Arial"/>
              </w:rPr>
              <w:t>’</w:t>
            </w:r>
            <w:r w:rsidRPr="00724541">
              <w:rPr>
                <w:rFonts w:cs="Arial"/>
              </w:rPr>
              <w:t xml:space="preserve">s statutory or regulatory auditors; </w:t>
            </w:r>
          </w:p>
          <w:p w14:paraId="0E5ED6B5" w14:textId="77777777" w:rsidR="00F67E9E" w:rsidRPr="00724541" w:rsidRDefault="00F67E9E" w:rsidP="00F67E9E">
            <w:pPr>
              <w:pStyle w:val="DefinitionList"/>
              <w:numPr>
                <w:ilvl w:val="0"/>
                <w:numId w:val="108"/>
              </w:numPr>
              <w:rPr>
                <w:rFonts w:cs="Arial"/>
              </w:rPr>
            </w:pPr>
            <w:r w:rsidRPr="00724541">
              <w:rPr>
                <w:rFonts w:cs="Arial"/>
              </w:rPr>
              <w:t xml:space="preserve">the Comptroller and Auditor General, their staff and/or any appointed representatives of the National Audit Office; </w:t>
            </w:r>
          </w:p>
          <w:p w14:paraId="675F86F6" w14:textId="77777777" w:rsidR="00F67E9E" w:rsidRPr="00724541" w:rsidRDefault="00F67E9E" w:rsidP="00F67E9E">
            <w:pPr>
              <w:pStyle w:val="DefinitionList"/>
              <w:numPr>
                <w:ilvl w:val="0"/>
                <w:numId w:val="108"/>
              </w:numPr>
              <w:rPr>
                <w:rFonts w:cs="Arial"/>
              </w:rPr>
            </w:pPr>
            <w:r w:rsidRPr="00724541">
              <w:rPr>
                <w:rFonts w:cs="Arial"/>
              </w:rPr>
              <w:t>HM Treasury or the Cabinet Office;</w:t>
            </w:r>
          </w:p>
          <w:p w14:paraId="56C987D2" w14:textId="77777777" w:rsidR="00F67E9E" w:rsidRPr="00724541" w:rsidRDefault="00F67E9E" w:rsidP="00F67E9E">
            <w:pPr>
              <w:pStyle w:val="DefinitionList"/>
              <w:numPr>
                <w:ilvl w:val="0"/>
                <w:numId w:val="108"/>
              </w:numPr>
              <w:rPr>
                <w:rFonts w:cs="Arial"/>
              </w:rPr>
            </w:pPr>
            <w:r w:rsidRPr="00724541">
              <w:rPr>
                <w:rFonts w:cs="Arial"/>
              </w:rPr>
              <w:t>any party formally appointed by the Authority to carry out audit or similar review functions; and</w:t>
            </w:r>
          </w:p>
          <w:p w14:paraId="0C6C782E" w14:textId="77777777" w:rsidR="00F67E9E" w:rsidRPr="00724541" w:rsidRDefault="00F67E9E" w:rsidP="00F67E9E">
            <w:pPr>
              <w:pStyle w:val="DefinitionList"/>
              <w:numPr>
                <w:ilvl w:val="0"/>
                <w:numId w:val="108"/>
              </w:numPr>
              <w:rPr>
                <w:rFonts w:cs="Arial"/>
              </w:rPr>
            </w:pPr>
            <w:r w:rsidRPr="00724541">
              <w:rPr>
                <w:rFonts w:cs="Arial"/>
              </w:rPr>
              <w:t>successors or assigns of any of the above;</w:t>
            </w:r>
          </w:p>
        </w:tc>
      </w:tr>
      <w:tr w:rsidR="00F67E9E" w:rsidRPr="00724541" w14:paraId="03B451DA" w14:textId="77777777" w:rsidTr="007F74AA">
        <w:tc>
          <w:tcPr>
            <w:tcW w:w="2835" w:type="dxa"/>
          </w:tcPr>
          <w:p w14:paraId="39955B50" w14:textId="77777777" w:rsidR="00F67E9E" w:rsidRPr="00724541" w:rsidRDefault="00F67E9E" w:rsidP="007F74AA">
            <w:pPr>
              <w:pStyle w:val="StdBodyTextBold"/>
              <w:rPr>
                <w:rFonts w:cs="Arial"/>
              </w:rPr>
            </w:pPr>
            <w:r>
              <w:rPr>
                <w:rFonts w:cs="Arial"/>
              </w:rPr>
              <w:t>“</w:t>
            </w:r>
            <w:r w:rsidRPr="00724541">
              <w:rPr>
                <w:rFonts w:cs="Arial"/>
              </w:rPr>
              <w:t>Audit Rights</w:t>
            </w:r>
            <w:r>
              <w:rPr>
                <w:rFonts w:cs="Arial"/>
              </w:rPr>
              <w:t>”</w:t>
            </w:r>
          </w:p>
        </w:tc>
        <w:tc>
          <w:tcPr>
            <w:tcW w:w="6803" w:type="dxa"/>
          </w:tcPr>
          <w:p w14:paraId="31DCEE72" w14:textId="7307DD1E" w:rsidR="00F67E9E" w:rsidRPr="00724541" w:rsidRDefault="00F67E9E" w:rsidP="007F74AA">
            <w:pPr>
              <w:pStyle w:val="StdBodyText"/>
              <w:rPr>
                <w:rFonts w:cs="Arial"/>
              </w:rPr>
            </w:pPr>
            <w:r w:rsidRPr="00724541">
              <w:rPr>
                <w:rFonts w:cs="Arial"/>
              </w:rPr>
              <w:t xml:space="preserve">the audit and access rights referred to in </w:t>
            </w:r>
            <w:r>
              <w:rPr>
                <w:rFonts w:cs="Arial"/>
              </w:rPr>
              <w:fldChar w:fldCharType="begin"/>
            </w:r>
            <w:r>
              <w:rPr>
                <w:rFonts w:cs="Arial"/>
              </w:rPr>
              <w:instrText xml:space="preserve"> REF Schedule19 \h </w:instrText>
            </w:r>
            <w:r>
              <w:rPr>
                <w:rFonts w:cs="Arial"/>
              </w:rPr>
            </w:r>
            <w:r>
              <w:rPr>
                <w:rFonts w:cs="Arial"/>
              </w:rPr>
              <w:fldChar w:fldCharType="separate"/>
            </w:r>
            <w:r w:rsidR="00302D39" w:rsidRPr="005D0525">
              <w:t>Schedule</w:t>
            </w:r>
            <w:r w:rsidR="00302D39">
              <w:t> </w:t>
            </w:r>
            <w:r w:rsidR="00302D39" w:rsidRPr="005D0525">
              <w:t>19</w:t>
            </w:r>
            <w:r>
              <w:rPr>
                <w:rFonts w:cs="Arial"/>
              </w:rPr>
              <w:fldChar w:fldCharType="end"/>
            </w:r>
            <w:r>
              <w:rPr>
                <w:rFonts w:cs="Arial"/>
              </w:rPr>
              <w:t xml:space="preserve"> (</w:t>
            </w:r>
            <w:r w:rsidRPr="002F30DB">
              <w:rPr>
                <w:rFonts w:cs="Arial"/>
                <w:i/>
                <w:iCs/>
              </w:rPr>
              <w:fldChar w:fldCharType="begin"/>
            </w:r>
            <w:r w:rsidRPr="002F30DB">
              <w:rPr>
                <w:rFonts w:cs="Arial"/>
                <w:i/>
                <w:iCs/>
              </w:rPr>
              <w:instrText xml:space="preserve"> REF Schedule19Heading \h </w:instrText>
            </w:r>
            <w:r>
              <w:rPr>
                <w:rFonts w:cs="Arial"/>
                <w:i/>
                <w:iCs/>
              </w:rPr>
              <w:instrText xml:space="preserve"> \* MERGEFORMAT </w:instrText>
            </w:r>
            <w:r w:rsidRPr="002F30DB">
              <w:rPr>
                <w:rFonts w:cs="Arial"/>
                <w:i/>
                <w:iCs/>
              </w:rPr>
            </w:r>
            <w:r w:rsidRPr="002F30DB">
              <w:rPr>
                <w:rFonts w:cs="Arial"/>
                <w:i/>
                <w:iCs/>
              </w:rPr>
              <w:fldChar w:fldCharType="separate"/>
            </w:r>
            <w:r w:rsidR="00302D39" w:rsidRPr="00302D39">
              <w:rPr>
                <w:i/>
                <w:iCs/>
              </w:rPr>
              <w:t>Financial Reports and Audit Rights</w:t>
            </w:r>
            <w:r w:rsidRPr="002F30DB">
              <w:rPr>
                <w:rFonts w:cs="Arial"/>
                <w:i/>
                <w:iCs/>
              </w:rPr>
              <w:fldChar w:fldCharType="end"/>
            </w:r>
            <w:r>
              <w:rPr>
                <w:rFonts w:cs="Arial"/>
              </w:rPr>
              <w:t>)</w:t>
            </w:r>
            <w:r w:rsidRPr="00724541">
              <w:rPr>
                <w:rFonts w:cs="Arial"/>
              </w:rPr>
              <w:t>;</w:t>
            </w:r>
          </w:p>
        </w:tc>
      </w:tr>
      <w:tr w:rsidR="00F67E9E" w:rsidRPr="00724541" w14:paraId="022BD95B" w14:textId="77777777" w:rsidTr="007F74AA">
        <w:tc>
          <w:tcPr>
            <w:tcW w:w="2835" w:type="dxa"/>
          </w:tcPr>
          <w:p w14:paraId="37B4C1C8" w14:textId="77777777" w:rsidR="00F67E9E" w:rsidRPr="00724541" w:rsidRDefault="00F67E9E" w:rsidP="007F74AA">
            <w:pPr>
              <w:pStyle w:val="StdBodyTextBold"/>
              <w:rPr>
                <w:rFonts w:cs="Arial"/>
              </w:rPr>
            </w:pPr>
            <w:r>
              <w:rPr>
                <w:rFonts w:cs="Arial"/>
              </w:rPr>
              <w:t>“</w:t>
            </w:r>
            <w:r w:rsidRPr="00724541">
              <w:rPr>
                <w:rFonts w:cs="Arial"/>
              </w:rPr>
              <w:t>Authority Assets</w:t>
            </w:r>
            <w:r>
              <w:rPr>
                <w:rFonts w:cs="Arial"/>
              </w:rPr>
              <w:t>”</w:t>
            </w:r>
          </w:p>
        </w:tc>
        <w:tc>
          <w:tcPr>
            <w:tcW w:w="6803" w:type="dxa"/>
          </w:tcPr>
          <w:p w14:paraId="2C7AE83B" w14:textId="77777777" w:rsidR="00F67E9E" w:rsidRPr="00724541" w:rsidRDefault="00F67E9E" w:rsidP="007F74AA">
            <w:pPr>
              <w:pStyle w:val="StdBodyText"/>
              <w:rPr>
                <w:rFonts w:cs="Arial"/>
              </w:rPr>
            </w:pPr>
            <w:r w:rsidRPr="00724541">
              <w:rPr>
                <w:rFonts w:cs="Arial"/>
              </w:rPr>
              <w:t>the Authority Materials, the Authority infrastructure and any other data, software, assets, equipment or other property owned by and/or licensed or leased to the Authority and which is or may be used in connection with the provision or receipt of the Services;</w:t>
            </w:r>
          </w:p>
        </w:tc>
      </w:tr>
      <w:tr w:rsidR="00F67E9E" w:rsidRPr="00724541" w14:paraId="0A01AC9C" w14:textId="77777777" w:rsidTr="007F74AA">
        <w:tc>
          <w:tcPr>
            <w:tcW w:w="2835" w:type="dxa"/>
          </w:tcPr>
          <w:p w14:paraId="673E3B31" w14:textId="77777777" w:rsidR="00F67E9E" w:rsidRPr="00724541" w:rsidRDefault="00F67E9E" w:rsidP="007F74AA">
            <w:pPr>
              <w:pStyle w:val="StdBodyTextBold"/>
              <w:rPr>
                <w:rFonts w:cs="Arial"/>
              </w:rPr>
            </w:pPr>
            <w:r>
              <w:rPr>
                <w:rFonts w:cs="Arial"/>
              </w:rPr>
              <w:t>“</w:t>
            </w:r>
            <w:r w:rsidRPr="00724541">
              <w:rPr>
                <w:rFonts w:cs="Arial"/>
              </w:rPr>
              <w:t>Authority Background IPRs</w:t>
            </w:r>
            <w:r>
              <w:rPr>
                <w:rFonts w:cs="Arial"/>
              </w:rPr>
              <w:t>”</w:t>
            </w:r>
          </w:p>
        </w:tc>
        <w:tc>
          <w:tcPr>
            <w:tcW w:w="6803" w:type="dxa"/>
          </w:tcPr>
          <w:p w14:paraId="5971BD6A" w14:textId="77777777" w:rsidR="00F67E9E" w:rsidRPr="00724541" w:rsidRDefault="00F67E9E" w:rsidP="007F74AA">
            <w:pPr>
              <w:pStyle w:val="DefinitionList"/>
              <w:numPr>
                <w:ilvl w:val="0"/>
                <w:numId w:val="150"/>
              </w:numPr>
            </w:pPr>
            <w:r w:rsidRPr="00724541">
              <w:t xml:space="preserve">IPRs owned by the Authority before the Effective Date, including IPRs contained in any of the </w:t>
            </w:r>
            <w:bookmarkStart w:id="67" w:name="_9kMK9N6ZWu9A679B"/>
            <w:r w:rsidRPr="00724541">
              <w:t>Authority</w:t>
            </w:r>
            <w:r>
              <w:t>’</w:t>
            </w:r>
            <w:r w:rsidRPr="00724541">
              <w:t>s</w:t>
            </w:r>
            <w:bookmarkEnd w:id="67"/>
            <w:r w:rsidRPr="00724541">
              <w:t xml:space="preserve"> Know</w:t>
            </w:r>
            <w:r>
              <w:noBreakHyphen/>
            </w:r>
            <w:r w:rsidRPr="00724541">
              <w:t xml:space="preserve">How, documentation, processes and procedures; </w:t>
            </w:r>
          </w:p>
          <w:p w14:paraId="7B7C6A97" w14:textId="77777777" w:rsidR="00F67E9E" w:rsidRPr="00724541" w:rsidRDefault="00F67E9E" w:rsidP="00F67E9E">
            <w:pPr>
              <w:pStyle w:val="DefinitionList"/>
              <w:numPr>
                <w:ilvl w:val="0"/>
                <w:numId w:val="108"/>
              </w:numPr>
              <w:rPr>
                <w:rFonts w:cs="Arial"/>
              </w:rPr>
            </w:pPr>
            <w:r w:rsidRPr="00724541">
              <w:rPr>
                <w:rFonts w:cs="Arial"/>
              </w:rPr>
              <w:t>IPRs created by the Authority independently of this Contract; and/or</w:t>
            </w:r>
          </w:p>
          <w:p w14:paraId="6F120FF3" w14:textId="77777777" w:rsidR="00F67E9E" w:rsidRPr="00724541" w:rsidRDefault="00F67E9E" w:rsidP="00F67E9E">
            <w:pPr>
              <w:pStyle w:val="DefinitionList"/>
              <w:numPr>
                <w:ilvl w:val="0"/>
                <w:numId w:val="108"/>
              </w:numPr>
              <w:rPr>
                <w:rFonts w:cs="Arial"/>
              </w:rPr>
            </w:pPr>
            <w:r w:rsidRPr="00724541">
              <w:rPr>
                <w:rFonts w:cs="Arial"/>
              </w:rPr>
              <w:t>Crown Copyright which is not available to the Supplier otherwise than under this Contract;</w:t>
            </w:r>
          </w:p>
          <w:p w14:paraId="22FAC91A" w14:textId="77777777" w:rsidR="00F67E9E" w:rsidRPr="00724541" w:rsidRDefault="00F67E9E" w:rsidP="007F74AA">
            <w:pPr>
              <w:pStyle w:val="StdBodyText"/>
              <w:rPr>
                <w:rFonts w:cs="Arial"/>
              </w:rPr>
            </w:pPr>
            <w:r w:rsidRPr="00724541">
              <w:rPr>
                <w:rFonts w:cs="Arial"/>
              </w:rPr>
              <w:t>but excluding IPRs owned by the Authority subsisting in the Authority Software;</w:t>
            </w:r>
          </w:p>
        </w:tc>
      </w:tr>
      <w:tr w:rsidR="00F67E9E" w:rsidRPr="00724541" w14:paraId="6FCE1C0A" w14:textId="77777777" w:rsidTr="007F74AA">
        <w:tc>
          <w:tcPr>
            <w:tcW w:w="2835" w:type="dxa"/>
          </w:tcPr>
          <w:p w14:paraId="7D479F0E" w14:textId="77777777" w:rsidR="00F67E9E" w:rsidRPr="00724541" w:rsidRDefault="00F67E9E" w:rsidP="007F74AA">
            <w:pPr>
              <w:pStyle w:val="StdBodyTextBold"/>
              <w:rPr>
                <w:rFonts w:cs="Arial"/>
              </w:rPr>
            </w:pPr>
            <w:r>
              <w:rPr>
                <w:rFonts w:cs="Arial"/>
              </w:rPr>
              <w:t>“</w:t>
            </w:r>
            <w:r w:rsidRPr="00724541">
              <w:rPr>
                <w:rFonts w:cs="Arial"/>
              </w:rPr>
              <w:t>Authority Cause</w:t>
            </w:r>
            <w:r>
              <w:rPr>
                <w:rFonts w:cs="Arial"/>
              </w:rPr>
              <w:t>”</w:t>
            </w:r>
          </w:p>
        </w:tc>
        <w:tc>
          <w:tcPr>
            <w:tcW w:w="6803" w:type="dxa"/>
          </w:tcPr>
          <w:p w14:paraId="3FADD9BE" w14:textId="77777777" w:rsidR="00F67E9E" w:rsidRPr="00724541" w:rsidRDefault="00F67E9E" w:rsidP="007F74AA">
            <w:pPr>
              <w:pStyle w:val="StdBodyText"/>
              <w:rPr>
                <w:rFonts w:cs="Arial"/>
              </w:rPr>
            </w:pPr>
            <w:r w:rsidRPr="00724541">
              <w:rPr>
                <w:rFonts w:cs="Arial"/>
              </w:rPr>
              <w:t>any material breach by the Authority of any of the Authority Responsibilities, except to the extent that such breach is:</w:t>
            </w:r>
          </w:p>
          <w:p w14:paraId="0B871908" w14:textId="77777777" w:rsidR="00F67E9E" w:rsidRPr="004E7DA4" w:rsidRDefault="00F67E9E" w:rsidP="007F74AA">
            <w:pPr>
              <w:pStyle w:val="DefinitionList"/>
              <w:numPr>
                <w:ilvl w:val="0"/>
                <w:numId w:val="151"/>
              </w:numPr>
              <w:rPr>
                <w:rFonts w:cs="Arial"/>
              </w:rPr>
            </w:pPr>
            <w:r w:rsidRPr="004E7DA4">
              <w:rPr>
                <w:rFonts w:cs="Arial"/>
              </w:rPr>
              <w:t>the result of any act or omission by the Authority to which the Supplier has given its prior consent; or</w:t>
            </w:r>
          </w:p>
          <w:p w14:paraId="58D7F490" w14:textId="77777777" w:rsidR="00F67E9E" w:rsidRPr="00724541" w:rsidRDefault="00F67E9E" w:rsidP="00F67E9E">
            <w:pPr>
              <w:pStyle w:val="DefinitionList"/>
              <w:numPr>
                <w:ilvl w:val="0"/>
                <w:numId w:val="108"/>
              </w:numPr>
              <w:rPr>
                <w:rFonts w:cs="Arial"/>
              </w:rPr>
            </w:pPr>
            <w:r w:rsidRPr="00724541">
              <w:rPr>
                <w:rFonts w:cs="Arial"/>
              </w:rPr>
              <w:t>caused by the Supplier, any Sub-contractor or any Supplier Personnel;</w:t>
            </w:r>
          </w:p>
        </w:tc>
      </w:tr>
      <w:tr w:rsidR="00F67E9E" w:rsidRPr="00724541" w14:paraId="68772076" w14:textId="77777777" w:rsidTr="007F74AA">
        <w:tc>
          <w:tcPr>
            <w:tcW w:w="2835" w:type="dxa"/>
          </w:tcPr>
          <w:p w14:paraId="5116A2C5" w14:textId="77777777" w:rsidR="00F67E9E" w:rsidRPr="00724541" w:rsidRDefault="00F67E9E" w:rsidP="007F74AA">
            <w:pPr>
              <w:pStyle w:val="StdBodyTextBold"/>
              <w:rPr>
                <w:rFonts w:cs="Arial"/>
              </w:rPr>
            </w:pPr>
            <w:r>
              <w:rPr>
                <w:rFonts w:cs="Arial"/>
              </w:rPr>
              <w:t>“</w:t>
            </w:r>
            <w:r w:rsidRPr="00724541">
              <w:rPr>
                <w:rFonts w:cs="Arial"/>
              </w:rPr>
              <w:t>Authority Data</w:t>
            </w:r>
            <w:r>
              <w:rPr>
                <w:rFonts w:cs="Arial"/>
              </w:rPr>
              <w:t>”</w:t>
            </w:r>
          </w:p>
        </w:tc>
        <w:tc>
          <w:tcPr>
            <w:tcW w:w="6803" w:type="dxa"/>
          </w:tcPr>
          <w:p w14:paraId="6C6F3236" w14:textId="77777777" w:rsidR="00F67E9E" w:rsidRPr="004E7DA4" w:rsidRDefault="00F67E9E" w:rsidP="007F74AA">
            <w:pPr>
              <w:pStyle w:val="DefinitionList"/>
              <w:numPr>
                <w:ilvl w:val="0"/>
                <w:numId w:val="152"/>
              </w:numPr>
              <w:rPr>
                <w:rFonts w:cs="Arial"/>
              </w:rPr>
            </w:pPr>
            <w:r w:rsidRPr="004E7DA4">
              <w:rPr>
                <w:rFonts w:cs="Arial"/>
              </w:rPr>
              <w:t>the data, text, drawings, diagrams, images or sounds (together with any database made up of any of these) which are embodied in any electronic, magnetic, optical or tangible media, and which are:</w:t>
            </w:r>
          </w:p>
          <w:p w14:paraId="00E628DF" w14:textId="77777777" w:rsidR="00F67E9E" w:rsidRPr="00724541" w:rsidRDefault="00F67E9E" w:rsidP="00F67E9E">
            <w:pPr>
              <w:pStyle w:val="DefinitionListLevel1"/>
              <w:numPr>
                <w:ilvl w:val="1"/>
                <w:numId w:val="108"/>
              </w:numPr>
            </w:pPr>
            <w:r w:rsidRPr="00724541">
              <w:t xml:space="preserve">supplied to the Supplier by or on behalf of the Authority; and/or </w:t>
            </w:r>
          </w:p>
          <w:p w14:paraId="18BAB22E" w14:textId="77777777" w:rsidR="00F67E9E" w:rsidRPr="00724541" w:rsidRDefault="00F67E9E" w:rsidP="00F67E9E">
            <w:pPr>
              <w:pStyle w:val="DefinitionListLevel1"/>
              <w:numPr>
                <w:ilvl w:val="1"/>
                <w:numId w:val="108"/>
              </w:numPr>
              <w:rPr>
                <w:rFonts w:cs="Arial"/>
              </w:rPr>
            </w:pPr>
            <w:r w:rsidRPr="00724541">
              <w:rPr>
                <w:rFonts w:cs="Arial"/>
              </w:rPr>
              <w:t>which the Supplier is required to generate, process, store or transmit pursuant to this Contract; or</w:t>
            </w:r>
          </w:p>
          <w:p w14:paraId="4D5246E8" w14:textId="77777777" w:rsidR="00F67E9E" w:rsidRPr="00724541" w:rsidRDefault="00F67E9E" w:rsidP="00F67E9E">
            <w:pPr>
              <w:pStyle w:val="DefinitionList"/>
              <w:numPr>
                <w:ilvl w:val="0"/>
                <w:numId w:val="108"/>
              </w:numPr>
              <w:rPr>
                <w:rFonts w:cs="Arial"/>
              </w:rPr>
            </w:pPr>
            <w:r w:rsidRPr="00724541">
              <w:rPr>
                <w:rFonts w:cs="Arial"/>
              </w:rPr>
              <w:t>any Personal Data for which the Authority is the Controller;</w:t>
            </w:r>
          </w:p>
        </w:tc>
      </w:tr>
      <w:tr w:rsidR="00F67E9E" w:rsidRPr="00724541" w14:paraId="4A17F434" w14:textId="77777777" w:rsidTr="007F74AA">
        <w:tc>
          <w:tcPr>
            <w:tcW w:w="2835" w:type="dxa"/>
          </w:tcPr>
          <w:p w14:paraId="3D253FDC" w14:textId="77777777" w:rsidR="00F67E9E" w:rsidRPr="00724541" w:rsidRDefault="00F67E9E" w:rsidP="007F74AA">
            <w:pPr>
              <w:pStyle w:val="StdBodyTextBold"/>
              <w:rPr>
                <w:rFonts w:cs="Arial"/>
              </w:rPr>
            </w:pPr>
            <w:r>
              <w:rPr>
                <w:rFonts w:cs="Arial"/>
              </w:rPr>
              <w:t>“</w:t>
            </w:r>
            <w:r w:rsidRPr="00724541">
              <w:rPr>
                <w:rFonts w:cs="Arial"/>
              </w:rPr>
              <w:t>Authority IT Strategy</w:t>
            </w:r>
            <w:r>
              <w:rPr>
                <w:rFonts w:cs="Arial"/>
              </w:rPr>
              <w:t>”</w:t>
            </w:r>
          </w:p>
        </w:tc>
        <w:tc>
          <w:tcPr>
            <w:tcW w:w="6803" w:type="dxa"/>
          </w:tcPr>
          <w:p w14:paraId="590FB176" w14:textId="77777777" w:rsidR="00F67E9E" w:rsidRPr="00724541" w:rsidRDefault="00F67E9E" w:rsidP="007F74AA">
            <w:pPr>
              <w:pStyle w:val="StdBodyText"/>
              <w:rPr>
                <w:rFonts w:cs="Arial"/>
              </w:rPr>
            </w:pPr>
            <w:r w:rsidRPr="00724541">
              <w:rPr>
                <w:rFonts w:cs="Arial"/>
              </w:rPr>
              <w:t xml:space="preserve">the </w:t>
            </w:r>
            <w:bookmarkStart w:id="68" w:name="_9kMKAO6ZWu9A679B"/>
            <w:r w:rsidRPr="00724541">
              <w:rPr>
                <w:rFonts w:cs="Arial"/>
              </w:rPr>
              <w:t>Authority</w:t>
            </w:r>
            <w:r>
              <w:rPr>
                <w:rFonts w:cs="Arial"/>
              </w:rPr>
              <w:t>’</w:t>
            </w:r>
            <w:r w:rsidRPr="00724541">
              <w:rPr>
                <w:rFonts w:cs="Arial"/>
              </w:rPr>
              <w:t>s</w:t>
            </w:r>
            <w:bookmarkEnd w:id="68"/>
            <w:r w:rsidRPr="00724541">
              <w:rPr>
                <w:rFonts w:cs="Arial"/>
              </w:rPr>
              <w:t xml:space="preserve"> IT policy in force as at the Effective Date (a copy of which has been supplied to the Supplier), as updated from time to time in accordance with the Change Control Procedure;</w:t>
            </w:r>
          </w:p>
        </w:tc>
      </w:tr>
      <w:tr w:rsidR="00F67E9E" w:rsidRPr="00724541" w14:paraId="36D075C9" w14:textId="77777777" w:rsidTr="007F74AA">
        <w:tc>
          <w:tcPr>
            <w:tcW w:w="2835" w:type="dxa"/>
          </w:tcPr>
          <w:p w14:paraId="14003DCB" w14:textId="77777777" w:rsidR="00F67E9E" w:rsidRPr="00724541" w:rsidRDefault="00F67E9E" w:rsidP="007F74AA">
            <w:pPr>
              <w:pStyle w:val="StdBodyTextBold"/>
              <w:rPr>
                <w:rFonts w:cs="Arial"/>
              </w:rPr>
            </w:pPr>
            <w:r>
              <w:rPr>
                <w:rFonts w:cs="Arial"/>
              </w:rPr>
              <w:t>“</w:t>
            </w:r>
            <w:r w:rsidRPr="00724541">
              <w:rPr>
                <w:rFonts w:cs="Arial"/>
              </w:rPr>
              <w:t>Authority Materials</w:t>
            </w:r>
            <w:r>
              <w:rPr>
                <w:rFonts w:cs="Arial"/>
              </w:rPr>
              <w:t>”</w:t>
            </w:r>
          </w:p>
        </w:tc>
        <w:tc>
          <w:tcPr>
            <w:tcW w:w="6803" w:type="dxa"/>
          </w:tcPr>
          <w:p w14:paraId="684F527C" w14:textId="77777777" w:rsidR="00F67E9E" w:rsidRPr="00724541" w:rsidRDefault="00F67E9E" w:rsidP="007F74AA">
            <w:pPr>
              <w:pStyle w:val="StdBodyText"/>
              <w:rPr>
                <w:rFonts w:cs="Arial"/>
              </w:rPr>
            </w:pPr>
            <w:r w:rsidRPr="00724541">
              <w:rPr>
                <w:rFonts w:cs="Arial"/>
              </w:rPr>
              <w:t>the Authority Data together with any materials, documentation, information, programs and codes supplied by the Authority to the Supplier, the IPRs in which:</w:t>
            </w:r>
          </w:p>
          <w:p w14:paraId="461C52A9" w14:textId="77777777" w:rsidR="00F67E9E" w:rsidRPr="00724541" w:rsidRDefault="00F67E9E" w:rsidP="007F74AA">
            <w:pPr>
              <w:pStyle w:val="DefinitionList"/>
              <w:numPr>
                <w:ilvl w:val="0"/>
                <w:numId w:val="153"/>
              </w:numPr>
            </w:pPr>
            <w:r w:rsidRPr="00724541">
              <w:t>are owned or used by or on behalf of the Authority; and</w:t>
            </w:r>
          </w:p>
          <w:p w14:paraId="479C01A6" w14:textId="77777777" w:rsidR="00F67E9E" w:rsidRPr="00724541" w:rsidRDefault="00F67E9E" w:rsidP="00F67E9E">
            <w:pPr>
              <w:pStyle w:val="DefinitionList"/>
              <w:numPr>
                <w:ilvl w:val="0"/>
                <w:numId w:val="108"/>
              </w:numPr>
              <w:rPr>
                <w:rFonts w:cs="Arial"/>
              </w:rPr>
            </w:pPr>
            <w:r w:rsidRPr="00724541">
              <w:rPr>
                <w:rFonts w:cs="Arial"/>
              </w:rPr>
              <w:t>are or may be used in connection with the provision or receipt of the Services,</w:t>
            </w:r>
          </w:p>
          <w:p w14:paraId="46F8187E" w14:textId="77777777" w:rsidR="00F67E9E" w:rsidRPr="00724541" w:rsidRDefault="00F67E9E" w:rsidP="007F74AA">
            <w:pPr>
              <w:pStyle w:val="StdBodyText"/>
              <w:rPr>
                <w:rFonts w:cs="Arial"/>
              </w:rPr>
            </w:pPr>
            <w:r w:rsidRPr="00724541">
              <w:rPr>
                <w:rFonts w:cs="Arial"/>
              </w:rPr>
              <w:t>but excluding any Project Specific IPRs, Specially Written Software, Supplier Software, Third Party Software and Documentation relating to Supplier Software or Third Party Software;</w:t>
            </w:r>
          </w:p>
        </w:tc>
      </w:tr>
      <w:tr w:rsidR="00F67E9E" w:rsidRPr="00724541" w14:paraId="489E3BB2" w14:textId="77777777" w:rsidTr="007F74AA">
        <w:tc>
          <w:tcPr>
            <w:tcW w:w="2835" w:type="dxa"/>
          </w:tcPr>
          <w:p w14:paraId="76437BF4" w14:textId="77777777" w:rsidR="00F67E9E" w:rsidRPr="00724541" w:rsidRDefault="00F67E9E" w:rsidP="007F74AA">
            <w:pPr>
              <w:pStyle w:val="StdBodyTextBold"/>
              <w:rPr>
                <w:rFonts w:cs="Arial"/>
              </w:rPr>
            </w:pPr>
            <w:r>
              <w:rPr>
                <w:rFonts w:cs="Arial"/>
              </w:rPr>
              <w:t>“</w:t>
            </w:r>
            <w:r w:rsidRPr="00724541">
              <w:rPr>
                <w:rFonts w:cs="Arial"/>
              </w:rPr>
              <w:t>Authority Premises</w:t>
            </w:r>
            <w:r>
              <w:rPr>
                <w:rFonts w:cs="Arial"/>
              </w:rPr>
              <w:t>”</w:t>
            </w:r>
          </w:p>
        </w:tc>
        <w:tc>
          <w:tcPr>
            <w:tcW w:w="6803" w:type="dxa"/>
          </w:tcPr>
          <w:p w14:paraId="15F73AFA" w14:textId="77777777" w:rsidR="00F67E9E" w:rsidRPr="00724541" w:rsidRDefault="00F67E9E" w:rsidP="007F74AA">
            <w:pPr>
              <w:pStyle w:val="StdBodyText"/>
              <w:rPr>
                <w:rFonts w:cs="Arial"/>
              </w:rPr>
            </w:pPr>
            <w:r w:rsidRPr="00724541">
              <w:rPr>
                <w:rFonts w:cs="Arial"/>
              </w:rPr>
              <w:t xml:space="preserve">premises owned, controlled or occupied by the Authority and/or any </w:t>
            </w:r>
            <w:r>
              <w:t>Crown</w:t>
            </w:r>
            <w:r w:rsidRPr="00724541">
              <w:t xml:space="preserve"> </w:t>
            </w:r>
            <w:r w:rsidRPr="00724541">
              <w:rPr>
                <w:rFonts w:cs="Arial"/>
              </w:rPr>
              <w:t>Body which are made available for use by the Supplier or its Sub-contractors for provision of the Services (or any of them);</w:t>
            </w:r>
          </w:p>
        </w:tc>
      </w:tr>
      <w:tr w:rsidR="00F67E9E" w:rsidRPr="00724541" w14:paraId="08A1478A" w14:textId="77777777" w:rsidTr="007F74AA">
        <w:tc>
          <w:tcPr>
            <w:tcW w:w="2835" w:type="dxa"/>
          </w:tcPr>
          <w:p w14:paraId="79650250" w14:textId="77777777" w:rsidR="00F67E9E" w:rsidRPr="00724541" w:rsidRDefault="00F67E9E" w:rsidP="007F74AA">
            <w:pPr>
              <w:pStyle w:val="StdBodyTextBold"/>
              <w:rPr>
                <w:rFonts w:cs="Arial"/>
              </w:rPr>
            </w:pPr>
            <w:r>
              <w:rPr>
                <w:rFonts w:cs="Arial"/>
              </w:rPr>
              <w:t>“</w:t>
            </w:r>
            <w:r w:rsidRPr="00724541">
              <w:rPr>
                <w:rFonts w:cs="Arial"/>
              </w:rPr>
              <w:t>Authority Representative</w:t>
            </w:r>
            <w:r>
              <w:rPr>
                <w:rFonts w:cs="Arial"/>
              </w:rPr>
              <w:t>”</w:t>
            </w:r>
          </w:p>
        </w:tc>
        <w:tc>
          <w:tcPr>
            <w:tcW w:w="6803" w:type="dxa"/>
          </w:tcPr>
          <w:p w14:paraId="3316B16C" w14:textId="77777777" w:rsidR="00F67E9E" w:rsidRPr="00724541" w:rsidRDefault="00F67E9E" w:rsidP="007F74AA">
            <w:pPr>
              <w:pStyle w:val="StdBodyText"/>
              <w:rPr>
                <w:rFonts w:cs="Arial"/>
              </w:rPr>
            </w:pPr>
            <w:r w:rsidRPr="00724541">
              <w:rPr>
                <w:rFonts w:cs="Arial"/>
              </w:rPr>
              <w:t xml:space="preserve">the representative appointed by the Authority pursuant to </w:t>
            </w:r>
            <w:bookmarkStart w:id="69" w:name="_9kMHG5YVtCIAEJCACGjUmGRH51C7ARRBuzBEIPK"/>
            <w:r w:rsidRPr="00724541">
              <w:rPr>
                <w:rFonts w:cs="Arial"/>
              </w:rPr>
              <w:t xml:space="preserve">Clause </w:t>
            </w:r>
            <w:bookmarkEnd w:id="69"/>
            <w:r w:rsidRPr="00724541">
              <w:rPr>
                <w:rFonts w:cs="Arial"/>
              </w:rPr>
              <w:t>11.4 (</w:t>
            </w:r>
            <w:r w:rsidRPr="00C04B2F">
              <w:rPr>
                <w:rFonts w:cs="Arial"/>
                <w:i/>
                <w:iCs/>
              </w:rPr>
              <w:t>Representatives</w:t>
            </w:r>
            <w:r w:rsidRPr="00724541">
              <w:rPr>
                <w:rFonts w:cs="Arial"/>
              </w:rPr>
              <w:t>);</w:t>
            </w:r>
          </w:p>
        </w:tc>
      </w:tr>
      <w:tr w:rsidR="00F67E9E" w:rsidRPr="00724541" w14:paraId="6266FAA2" w14:textId="77777777" w:rsidTr="007F74AA">
        <w:tc>
          <w:tcPr>
            <w:tcW w:w="2835" w:type="dxa"/>
          </w:tcPr>
          <w:p w14:paraId="2E4241AA" w14:textId="77777777" w:rsidR="00F67E9E" w:rsidRPr="00724541" w:rsidRDefault="00F67E9E" w:rsidP="007F74AA">
            <w:pPr>
              <w:pStyle w:val="StdBodyTextBold"/>
              <w:rPr>
                <w:rFonts w:cs="Arial"/>
              </w:rPr>
            </w:pPr>
            <w:r>
              <w:rPr>
                <w:rFonts w:cs="Arial"/>
              </w:rPr>
              <w:t>“</w:t>
            </w:r>
            <w:r w:rsidRPr="00724541">
              <w:rPr>
                <w:rFonts w:cs="Arial"/>
              </w:rPr>
              <w:t>Authority Requirements</w:t>
            </w:r>
            <w:r>
              <w:rPr>
                <w:rFonts w:cs="Arial"/>
              </w:rPr>
              <w:t>”</w:t>
            </w:r>
          </w:p>
        </w:tc>
        <w:tc>
          <w:tcPr>
            <w:tcW w:w="6803" w:type="dxa"/>
          </w:tcPr>
          <w:p w14:paraId="3EDDEA01" w14:textId="1B80E70C" w:rsidR="00F67E9E" w:rsidRPr="00724541" w:rsidRDefault="00F67E9E" w:rsidP="007F74AA">
            <w:pPr>
              <w:pStyle w:val="StdBodyText"/>
              <w:rPr>
                <w:rFonts w:cs="Arial"/>
              </w:rPr>
            </w:pPr>
            <w:r w:rsidRPr="00724541">
              <w:rPr>
                <w:rFonts w:cs="Arial"/>
              </w:rPr>
              <w:t xml:space="preserve">the requirements of the Authority set out in </w:t>
            </w:r>
            <w:r>
              <w:rPr>
                <w:rFonts w:cs="Arial"/>
              </w:rPr>
              <w:fldChar w:fldCharType="begin"/>
            </w:r>
            <w:r>
              <w:rPr>
                <w:rFonts w:cs="Arial"/>
              </w:rPr>
              <w:instrText xml:space="preserve"> REF Schedule2 \h </w:instrText>
            </w:r>
            <w:r>
              <w:rPr>
                <w:rFonts w:cs="Arial"/>
              </w:rPr>
            </w:r>
            <w:r>
              <w:rPr>
                <w:rFonts w:cs="Arial"/>
              </w:rPr>
              <w:fldChar w:fldCharType="separate"/>
            </w:r>
            <w:r w:rsidR="00302D39" w:rsidRPr="005D0525">
              <w:t>Schedule</w:t>
            </w:r>
            <w:r w:rsidR="00302D39">
              <w:t> </w:t>
            </w:r>
            <w:r w:rsidR="00302D39" w:rsidRPr="005D0525">
              <w:t>2</w:t>
            </w:r>
            <w:r>
              <w:rPr>
                <w:rFonts w:cs="Arial"/>
              </w:rPr>
              <w:fldChar w:fldCharType="end"/>
            </w:r>
            <w:r>
              <w:rPr>
                <w:rFonts w:cs="Arial"/>
              </w:rPr>
              <w:t xml:space="preserve"> (</w:t>
            </w:r>
            <w:r w:rsidRPr="00A22335">
              <w:rPr>
                <w:rFonts w:cs="Arial"/>
                <w:i/>
                <w:iCs/>
              </w:rPr>
              <w:fldChar w:fldCharType="begin"/>
            </w:r>
            <w:r w:rsidRPr="00A22335">
              <w:rPr>
                <w:rFonts w:cs="Arial"/>
                <w:i/>
                <w:iCs/>
              </w:rPr>
              <w:instrText xml:space="preserve"> REF Schedule2Heading \h </w:instrText>
            </w:r>
            <w:r>
              <w:rPr>
                <w:rFonts w:cs="Arial"/>
                <w:i/>
                <w:iCs/>
              </w:rPr>
              <w:instrText xml:space="preserve"> \* MERGEFORMAT </w:instrText>
            </w:r>
            <w:r w:rsidRPr="00A22335">
              <w:rPr>
                <w:rFonts w:cs="Arial"/>
                <w:i/>
                <w:iCs/>
              </w:rPr>
            </w:r>
            <w:r w:rsidRPr="00A22335">
              <w:rPr>
                <w:rFonts w:cs="Arial"/>
                <w:i/>
                <w:iCs/>
              </w:rPr>
              <w:fldChar w:fldCharType="separate"/>
            </w:r>
            <w:r w:rsidR="00302D39" w:rsidRPr="00302D39">
              <w:rPr>
                <w:i/>
                <w:iCs/>
              </w:rPr>
              <w:t>Services Description</w:t>
            </w:r>
            <w:r w:rsidRPr="00A22335">
              <w:rPr>
                <w:rFonts w:cs="Arial"/>
                <w:i/>
                <w:iCs/>
              </w:rPr>
              <w:fldChar w:fldCharType="end"/>
            </w:r>
            <w:r>
              <w:rPr>
                <w:rFonts w:cs="Arial"/>
              </w:rPr>
              <w:t>)</w:t>
            </w:r>
            <w:r w:rsidRPr="00724541">
              <w:rPr>
                <w:rFonts w:cs="Arial"/>
              </w:rPr>
              <w:t xml:space="preserve">, </w:t>
            </w:r>
            <w:r>
              <w:rPr>
                <w:rFonts w:cs="Arial"/>
              </w:rPr>
              <w:fldChar w:fldCharType="begin"/>
            </w:r>
            <w:r>
              <w:rPr>
                <w:rFonts w:cs="Arial"/>
              </w:rPr>
              <w:instrText xml:space="preserve"> REF Schedule3 \h </w:instrText>
            </w:r>
            <w:r>
              <w:rPr>
                <w:rFonts w:cs="Arial"/>
              </w:rPr>
            </w:r>
            <w:r>
              <w:rPr>
                <w:rFonts w:cs="Arial"/>
              </w:rPr>
              <w:fldChar w:fldCharType="separate"/>
            </w:r>
            <w:r w:rsidR="00302D39" w:rsidRPr="005D0525">
              <w:t>Schedule</w:t>
            </w:r>
            <w:r w:rsidR="00302D39">
              <w:t> </w:t>
            </w:r>
            <w:r w:rsidR="00302D39" w:rsidRPr="005D0525">
              <w:t>3</w:t>
            </w:r>
            <w:r>
              <w:rPr>
                <w:rFonts w:cs="Arial"/>
              </w:rPr>
              <w:fldChar w:fldCharType="end"/>
            </w:r>
            <w:r>
              <w:rPr>
                <w:rFonts w:cs="Arial"/>
              </w:rPr>
              <w:t xml:space="preserve"> (</w:t>
            </w:r>
            <w:r w:rsidRPr="00A22335">
              <w:rPr>
                <w:rFonts w:cs="Arial"/>
                <w:i/>
                <w:iCs/>
              </w:rPr>
              <w:fldChar w:fldCharType="begin"/>
            </w:r>
            <w:r w:rsidRPr="00A22335">
              <w:rPr>
                <w:rFonts w:cs="Arial"/>
                <w:i/>
                <w:iCs/>
              </w:rPr>
              <w:instrText xml:space="preserve"> REF Schedule3Heading \h </w:instrText>
            </w:r>
            <w:r>
              <w:rPr>
                <w:rFonts w:cs="Arial"/>
                <w:i/>
                <w:iCs/>
              </w:rPr>
              <w:instrText xml:space="preserve"> \* MERGEFORMAT </w:instrText>
            </w:r>
            <w:r w:rsidRPr="00A22335">
              <w:rPr>
                <w:rFonts w:cs="Arial"/>
                <w:i/>
                <w:iCs/>
              </w:rPr>
            </w:r>
            <w:r w:rsidRPr="00A22335">
              <w:rPr>
                <w:rFonts w:cs="Arial"/>
                <w:i/>
                <w:iCs/>
              </w:rPr>
              <w:fldChar w:fldCharType="separate"/>
            </w:r>
            <w:r w:rsidR="00302D39" w:rsidRPr="00302D39">
              <w:rPr>
                <w:i/>
                <w:iCs/>
              </w:rPr>
              <w:t>Performance Levels</w:t>
            </w:r>
            <w:r w:rsidRPr="00A22335">
              <w:rPr>
                <w:rFonts w:cs="Arial"/>
                <w:i/>
                <w:iCs/>
              </w:rPr>
              <w:fldChar w:fldCharType="end"/>
            </w:r>
            <w:r>
              <w:rPr>
                <w:rFonts w:cs="Arial"/>
              </w:rPr>
              <w:t xml:space="preserve">) </w:t>
            </w:r>
            <w:r>
              <w:rPr>
                <w:rFonts w:cs="Arial"/>
              </w:rPr>
              <w:fldChar w:fldCharType="begin"/>
            </w:r>
            <w:r>
              <w:rPr>
                <w:rFonts w:cs="Arial"/>
              </w:rPr>
              <w:instrText xml:space="preserve"> REF Schedule4 \h </w:instrText>
            </w:r>
            <w:r>
              <w:rPr>
                <w:rFonts w:cs="Arial"/>
              </w:rPr>
            </w:r>
            <w:r>
              <w:rPr>
                <w:rFonts w:cs="Arial"/>
              </w:rPr>
              <w:fldChar w:fldCharType="separate"/>
            </w:r>
            <w:r w:rsidR="00302D39" w:rsidRPr="005D0525">
              <w:t>Schedule</w:t>
            </w:r>
            <w:r w:rsidR="00302D39">
              <w:t> </w:t>
            </w:r>
            <w:r w:rsidR="00302D39" w:rsidRPr="005D0525">
              <w:t>4</w:t>
            </w:r>
            <w:r>
              <w:rPr>
                <w:rFonts w:cs="Arial"/>
              </w:rPr>
              <w:fldChar w:fldCharType="end"/>
            </w:r>
            <w:r>
              <w:rPr>
                <w:rFonts w:cs="Arial"/>
              </w:rPr>
              <w:t xml:space="preserve"> (</w:t>
            </w:r>
            <w:r w:rsidRPr="00A22335">
              <w:rPr>
                <w:rFonts w:cs="Arial"/>
                <w:i/>
                <w:iCs/>
              </w:rPr>
              <w:fldChar w:fldCharType="begin"/>
            </w:r>
            <w:r w:rsidRPr="00A22335">
              <w:rPr>
                <w:rFonts w:cs="Arial"/>
                <w:i/>
                <w:iCs/>
              </w:rPr>
              <w:instrText xml:space="preserve"> REF Schedule4Heading \h </w:instrText>
            </w:r>
            <w:r>
              <w:rPr>
                <w:rFonts w:cs="Arial"/>
                <w:i/>
                <w:iCs/>
              </w:rPr>
              <w:instrText xml:space="preserve"> \* MERGEFORMAT </w:instrText>
            </w:r>
            <w:r w:rsidRPr="00A22335">
              <w:rPr>
                <w:rFonts w:cs="Arial"/>
                <w:i/>
                <w:iCs/>
              </w:rPr>
            </w:r>
            <w:r w:rsidRPr="00A22335">
              <w:rPr>
                <w:rFonts w:cs="Arial"/>
                <w:i/>
                <w:iCs/>
              </w:rPr>
              <w:fldChar w:fldCharType="separate"/>
            </w:r>
            <w:r w:rsidR="00302D39" w:rsidRPr="00302D39">
              <w:rPr>
                <w:i/>
                <w:iCs/>
              </w:rPr>
              <w:t>Standards</w:t>
            </w:r>
            <w:r w:rsidRPr="00A22335">
              <w:rPr>
                <w:rFonts w:cs="Arial"/>
                <w:i/>
                <w:iCs/>
              </w:rPr>
              <w:fldChar w:fldCharType="end"/>
            </w:r>
            <w:r>
              <w:rPr>
                <w:rFonts w:cs="Arial"/>
              </w:rPr>
              <w:t>)</w:t>
            </w:r>
            <w:r w:rsidRPr="00724541">
              <w:rPr>
                <w:rFonts w:cs="Arial"/>
              </w:rPr>
              <w:t xml:space="preserve">, </w:t>
            </w:r>
            <w:r>
              <w:rPr>
                <w:rFonts w:cs="Arial"/>
              </w:rPr>
              <w:fldChar w:fldCharType="begin"/>
            </w:r>
            <w:r>
              <w:rPr>
                <w:rFonts w:cs="Arial"/>
              </w:rPr>
              <w:instrText xml:space="preserve"> REF Schedule5 \h </w:instrText>
            </w:r>
            <w:r>
              <w:rPr>
                <w:rFonts w:cs="Arial"/>
              </w:rPr>
            </w:r>
            <w:r>
              <w:rPr>
                <w:rFonts w:cs="Arial"/>
              </w:rPr>
              <w:fldChar w:fldCharType="separate"/>
            </w:r>
            <w:r w:rsidR="00302D39" w:rsidRPr="005D0525">
              <w:t>Schedule</w:t>
            </w:r>
            <w:r w:rsidR="00302D39">
              <w:t> </w:t>
            </w:r>
            <w:r w:rsidR="00302D39" w:rsidRPr="005D0525">
              <w:t>5</w:t>
            </w:r>
            <w:r>
              <w:rPr>
                <w:rFonts w:cs="Arial"/>
              </w:rPr>
              <w:fldChar w:fldCharType="end"/>
            </w:r>
            <w:r>
              <w:rPr>
                <w:rFonts w:cs="Arial"/>
              </w:rPr>
              <w:t xml:space="preserve"> (</w:t>
            </w:r>
            <w:r w:rsidRPr="00A22335">
              <w:rPr>
                <w:rFonts w:cs="Arial"/>
                <w:i/>
                <w:iCs/>
              </w:rPr>
              <w:fldChar w:fldCharType="begin"/>
            </w:r>
            <w:r w:rsidRPr="00A22335">
              <w:rPr>
                <w:rFonts w:cs="Arial"/>
                <w:i/>
                <w:iCs/>
              </w:rPr>
              <w:instrText xml:space="preserve"> REF Schedule5Heading \h </w:instrText>
            </w:r>
            <w:r>
              <w:rPr>
                <w:rFonts w:cs="Arial"/>
                <w:i/>
                <w:iCs/>
              </w:rPr>
              <w:instrText xml:space="preserve"> \* MERGEFORMAT </w:instrText>
            </w:r>
            <w:r w:rsidRPr="00A22335">
              <w:rPr>
                <w:rFonts w:cs="Arial"/>
                <w:i/>
                <w:iCs/>
              </w:rPr>
            </w:r>
            <w:r w:rsidRPr="00A22335">
              <w:rPr>
                <w:rFonts w:cs="Arial"/>
                <w:i/>
                <w:iCs/>
              </w:rPr>
              <w:fldChar w:fldCharType="separate"/>
            </w:r>
            <w:r w:rsidR="00302D39" w:rsidRPr="00302D39">
              <w:rPr>
                <w:i/>
                <w:iCs/>
              </w:rPr>
              <w:t>Security Management</w:t>
            </w:r>
            <w:r w:rsidRPr="00A22335">
              <w:rPr>
                <w:rFonts w:cs="Arial"/>
                <w:i/>
                <w:iCs/>
              </w:rPr>
              <w:fldChar w:fldCharType="end"/>
            </w:r>
            <w:r>
              <w:rPr>
                <w:rFonts w:cs="Arial"/>
              </w:rPr>
              <w:t>)</w:t>
            </w:r>
            <w:r w:rsidRPr="00724541">
              <w:rPr>
                <w:rFonts w:cs="Arial"/>
              </w:rPr>
              <w:t xml:space="preserve">, </w:t>
            </w:r>
            <w:r>
              <w:rPr>
                <w:rFonts w:cs="Arial"/>
              </w:rPr>
              <w:fldChar w:fldCharType="begin"/>
            </w:r>
            <w:r>
              <w:rPr>
                <w:rFonts w:cs="Arial"/>
              </w:rPr>
              <w:instrText xml:space="preserve"> REF Schedule6 \h </w:instrText>
            </w:r>
            <w:r>
              <w:rPr>
                <w:rFonts w:cs="Arial"/>
              </w:rPr>
            </w:r>
            <w:r>
              <w:rPr>
                <w:rFonts w:cs="Arial"/>
              </w:rPr>
              <w:fldChar w:fldCharType="separate"/>
            </w:r>
            <w:r w:rsidR="00302D39" w:rsidRPr="005D0525">
              <w:t>Schedule</w:t>
            </w:r>
            <w:r w:rsidR="00302D39">
              <w:t> </w:t>
            </w:r>
            <w:r w:rsidR="00302D39" w:rsidRPr="005D0525">
              <w:t>6</w:t>
            </w:r>
            <w:r>
              <w:rPr>
                <w:rFonts w:cs="Arial"/>
              </w:rPr>
              <w:fldChar w:fldCharType="end"/>
            </w:r>
            <w:r>
              <w:rPr>
                <w:rFonts w:cs="Arial"/>
              </w:rPr>
              <w:t xml:space="preserve"> (</w:t>
            </w:r>
            <w:r w:rsidRPr="00A22335">
              <w:rPr>
                <w:rFonts w:cs="Arial"/>
                <w:i/>
                <w:iCs/>
              </w:rPr>
              <w:fldChar w:fldCharType="begin"/>
            </w:r>
            <w:r w:rsidRPr="00A22335">
              <w:rPr>
                <w:rFonts w:cs="Arial"/>
                <w:i/>
                <w:iCs/>
              </w:rPr>
              <w:instrText xml:space="preserve"> REF Schedule6Heading \h </w:instrText>
            </w:r>
            <w:r>
              <w:rPr>
                <w:rFonts w:cs="Arial"/>
                <w:i/>
                <w:iCs/>
              </w:rPr>
              <w:instrText xml:space="preserve"> \* MERGEFORMAT </w:instrText>
            </w:r>
            <w:r w:rsidRPr="00A22335">
              <w:rPr>
                <w:rFonts w:cs="Arial"/>
                <w:i/>
                <w:iCs/>
              </w:rPr>
            </w:r>
            <w:r w:rsidRPr="00A22335">
              <w:rPr>
                <w:rFonts w:cs="Arial"/>
                <w:i/>
                <w:iCs/>
              </w:rPr>
              <w:fldChar w:fldCharType="separate"/>
            </w:r>
            <w:r w:rsidR="00302D39" w:rsidRPr="00302D39">
              <w:rPr>
                <w:i/>
                <w:iCs/>
              </w:rPr>
              <w:t>Insurance Requirements</w:t>
            </w:r>
            <w:r w:rsidRPr="00A22335">
              <w:rPr>
                <w:rFonts w:cs="Arial"/>
                <w:i/>
                <w:iCs/>
              </w:rPr>
              <w:fldChar w:fldCharType="end"/>
            </w:r>
            <w:r>
              <w:rPr>
                <w:rFonts w:cs="Arial"/>
              </w:rPr>
              <w:t xml:space="preserve">) </w:t>
            </w:r>
            <w:r>
              <w:rPr>
                <w:rFonts w:cs="Arial"/>
              </w:rPr>
              <w:fldChar w:fldCharType="begin"/>
            </w:r>
            <w:r>
              <w:rPr>
                <w:rFonts w:cs="Arial"/>
              </w:rPr>
              <w:instrText xml:space="preserve"> REF Schedule13 \h </w:instrText>
            </w:r>
            <w:r>
              <w:rPr>
                <w:rFonts w:cs="Arial"/>
              </w:rPr>
            </w:r>
            <w:r>
              <w:rPr>
                <w:rFonts w:cs="Arial"/>
              </w:rPr>
              <w:fldChar w:fldCharType="separate"/>
            </w:r>
            <w:r w:rsidR="00302D39" w:rsidRPr="005D0525">
              <w:t>Schedule</w:t>
            </w:r>
            <w:r w:rsidR="00302D39">
              <w:t> </w:t>
            </w:r>
            <w:r w:rsidR="00302D39" w:rsidRPr="005D0525">
              <w:t>13</w:t>
            </w:r>
            <w:r>
              <w:rPr>
                <w:rFonts w:cs="Arial"/>
              </w:rPr>
              <w:fldChar w:fldCharType="end"/>
            </w:r>
            <w:r>
              <w:rPr>
                <w:rFonts w:cs="Arial"/>
              </w:rPr>
              <w:t xml:space="preserve"> (</w:t>
            </w:r>
            <w:r w:rsidRPr="00A22335">
              <w:rPr>
                <w:rFonts w:cs="Arial"/>
                <w:i/>
                <w:iCs/>
              </w:rPr>
              <w:fldChar w:fldCharType="begin"/>
            </w:r>
            <w:r w:rsidRPr="00A22335">
              <w:rPr>
                <w:rFonts w:cs="Arial"/>
                <w:i/>
                <w:iCs/>
              </w:rPr>
              <w:instrText xml:space="preserve"> REF Schedule13Heading \h </w:instrText>
            </w:r>
            <w:r>
              <w:rPr>
                <w:rFonts w:cs="Arial"/>
                <w:i/>
                <w:iCs/>
              </w:rPr>
              <w:instrText xml:space="preserve"> \* MERGEFORMAT </w:instrText>
            </w:r>
            <w:r w:rsidRPr="00A22335">
              <w:rPr>
                <w:rFonts w:cs="Arial"/>
                <w:i/>
                <w:iCs/>
              </w:rPr>
            </w:r>
            <w:r w:rsidRPr="00A22335">
              <w:rPr>
                <w:rFonts w:cs="Arial"/>
                <w:i/>
                <w:iCs/>
              </w:rPr>
              <w:fldChar w:fldCharType="separate"/>
            </w:r>
            <w:r w:rsidR="00302D39" w:rsidRPr="00302D39">
              <w:rPr>
                <w:i/>
                <w:iCs/>
              </w:rPr>
              <w:t>Implementation Plan</w:t>
            </w:r>
            <w:r w:rsidRPr="00A22335">
              <w:rPr>
                <w:rFonts w:cs="Arial"/>
                <w:i/>
                <w:iCs/>
              </w:rPr>
              <w:fldChar w:fldCharType="end"/>
            </w:r>
            <w:r>
              <w:rPr>
                <w:rFonts w:cs="Arial"/>
              </w:rPr>
              <w:t>)</w:t>
            </w:r>
            <w:r w:rsidRPr="00724541">
              <w:rPr>
                <w:rFonts w:cs="Arial"/>
              </w:rPr>
              <w:t xml:space="preserve">, </w:t>
            </w:r>
            <w:r>
              <w:rPr>
                <w:rFonts w:cs="Arial"/>
              </w:rPr>
              <w:fldChar w:fldCharType="begin"/>
            </w:r>
            <w:r>
              <w:rPr>
                <w:rFonts w:cs="Arial"/>
              </w:rPr>
              <w:instrText xml:space="preserve"> REF Schedule24 \h </w:instrText>
            </w:r>
            <w:r>
              <w:rPr>
                <w:rFonts w:cs="Arial"/>
              </w:rPr>
            </w:r>
            <w:r>
              <w:rPr>
                <w:rFonts w:cs="Arial"/>
              </w:rPr>
              <w:fldChar w:fldCharType="separate"/>
            </w:r>
            <w:r w:rsidR="00302D39" w:rsidRPr="005D0525">
              <w:t>Schedule</w:t>
            </w:r>
            <w:r w:rsidR="00302D39">
              <w:t> </w:t>
            </w:r>
            <w:r w:rsidR="00302D39" w:rsidRPr="005D0525">
              <w:t>24</w:t>
            </w:r>
            <w:r>
              <w:rPr>
                <w:rFonts w:cs="Arial"/>
              </w:rPr>
              <w:fldChar w:fldCharType="end"/>
            </w:r>
            <w:r>
              <w:rPr>
                <w:rFonts w:cs="Arial"/>
              </w:rPr>
              <w:t xml:space="preserve"> (</w:t>
            </w:r>
            <w:r w:rsidRPr="00A22335">
              <w:rPr>
                <w:rFonts w:cs="Arial"/>
                <w:i/>
                <w:iCs/>
              </w:rPr>
              <w:fldChar w:fldCharType="begin"/>
            </w:r>
            <w:r w:rsidRPr="00A22335">
              <w:rPr>
                <w:rFonts w:cs="Arial"/>
                <w:i/>
                <w:iCs/>
              </w:rPr>
              <w:instrText xml:space="preserve"> REF Schedule24Heading \h </w:instrText>
            </w:r>
            <w:r>
              <w:rPr>
                <w:rFonts w:cs="Arial"/>
                <w:i/>
                <w:iCs/>
              </w:rPr>
              <w:instrText xml:space="preserve"> \* MERGEFORMAT </w:instrText>
            </w:r>
            <w:r w:rsidRPr="00A22335">
              <w:rPr>
                <w:rFonts w:cs="Arial"/>
                <w:i/>
                <w:iCs/>
              </w:rPr>
            </w:r>
            <w:r w:rsidRPr="00A22335">
              <w:rPr>
                <w:rFonts w:cs="Arial"/>
                <w:i/>
                <w:iCs/>
              </w:rPr>
              <w:fldChar w:fldCharType="separate"/>
            </w:r>
            <w:r w:rsidR="00302D39" w:rsidRPr="00302D39">
              <w:rPr>
                <w:i/>
                <w:iCs/>
              </w:rPr>
              <w:t>Reports and Records Provisions</w:t>
            </w:r>
            <w:r w:rsidRPr="00A22335">
              <w:rPr>
                <w:rFonts w:cs="Arial"/>
                <w:i/>
                <w:iCs/>
              </w:rPr>
              <w:fldChar w:fldCharType="end"/>
            </w:r>
            <w:r>
              <w:rPr>
                <w:rFonts w:cs="Arial"/>
              </w:rPr>
              <w:t>)</w:t>
            </w:r>
            <w:r w:rsidRPr="00724541">
              <w:rPr>
                <w:rFonts w:cs="Arial"/>
              </w:rPr>
              <w:t xml:space="preserve">, </w:t>
            </w:r>
            <w:r>
              <w:rPr>
                <w:rFonts w:cs="Arial"/>
              </w:rPr>
              <w:fldChar w:fldCharType="begin"/>
            </w:r>
            <w:r>
              <w:rPr>
                <w:rFonts w:cs="Arial"/>
              </w:rPr>
              <w:instrText xml:space="preserve"> REF Schedule25 \h </w:instrText>
            </w:r>
            <w:r>
              <w:rPr>
                <w:rFonts w:cs="Arial"/>
              </w:rPr>
            </w:r>
            <w:r>
              <w:rPr>
                <w:rFonts w:cs="Arial"/>
              </w:rPr>
              <w:fldChar w:fldCharType="separate"/>
            </w:r>
            <w:r w:rsidR="00302D39" w:rsidRPr="005D0525">
              <w:t>Schedule 25</w:t>
            </w:r>
            <w:r>
              <w:rPr>
                <w:rFonts w:cs="Arial"/>
              </w:rPr>
              <w:fldChar w:fldCharType="end"/>
            </w:r>
            <w:r>
              <w:rPr>
                <w:rFonts w:cs="Arial"/>
              </w:rPr>
              <w:t xml:space="preserve"> (</w:t>
            </w:r>
            <w:r w:rsidRPr="00A22335">
              <w:rPr>
                <w:rFonts w:cs="Arial"/>
                <w:i/>
                <w:iCs/>
              </w:rPr>
              <w:fldChar w:fldCharType="begin"/>
            </w:r>
            <w:r w:rsidRPr="00A22335">
              <w:rPr>
                <w:rFonts w:cs="Arial"/>
                <w:i/>
                <w:iCs/>
              </w:rPr>
              <w:instrText xml:space="preserve"> REF Schedule25Heading \h </w:instrText>
            </w:r>
            <w:r>
              <w:rPr>
                <w:rFonts w:cs="Arial"/>
                <w:i/>
                <w:iCs/>
              </w:rPr>
              <w:instrText xml:space="preserve"> \* MERGEFORMAT </w:instrText>
            </w:r>
            <w:r w:rsidRPr="00A22335">
              <w:rPr>
                <w:rFonts w:cs="Arial"/>
                <w:i/>
                <w:iCs/>
              </w:rPr>
            </w:r>
            <w:r w:rsidRPr="00A22335">
              <w:rPr>
                <w:rFonts w:cs="Arial"/>
                <w:i/>
                <w:iCs/>
              </w:rPr>
              <w:fldChar w:fldCharType="separate"/>
            </w:r>
            <w:r w:rsidR="00302D39" w:rsidRPr="00302D39">
              <w:rPr>
                <w:i/>
                <w:iCs/>
              </w:rPr>
              <w:t>Exit Management</w:t>
            </w:r>
            <w:r w:rsidRPr="00A22335">
              <w:rPr>
                <w:rFonts w:cs="Arial"/>
                <w:i/>
                <w:iCs/>
              </w:rPr>
              <w:fldChar w:fldCharType="end"/>
            </w:r>
            <w:r>
              <w:rPr>
                <w:rFonts w:cs="Arial"/>
              </w:rPr>
              <w:t>) and</w:t>
            </w:r>
            <w:r w:rsidRPr="00724541">
              <w:rPr>
                <w:rFonts w:cs="Arial"/>
              </w:rPr>
              <w:t xml:space="preserve"> </w:t>
            </w:r>
            <w:r>
              <w:rPr>
                <w:rFonts w:cs="Arial"/>
              </w:rPr>
              <w:fldChar w:fldCharType="begin"/>
            </w:r>
            <w:r>
              <w:rPr>
                <w:rFonts w:cs="Arial"/>
              </w:rPr>
              <w:instrText xml:space="preserve"> REF Schedule26 \h </w:instrText>
            </w:r>
            <w:r>
              <w:rPr>
                <w:rFonts w:cs="Arial"/>
              </w:rPr>
            </w:r>
            <w:r>
              <w:rPr>
                <w:rFonts w:cs="Arial"/>
              </w:rPr>
              <w:fldChar w:fldCharType="separate"/>
            </w:r>
            <w:r w:rsidR="00302D39" w:rsidRPr="005D0525">
              <w:t>Schedule</w:t>
            </w:r>
            <w:r w:rsidR="00302D39">
              <w:t> </w:t>
            </w:r>
            <w:r w:rsidR="00302D39" w:rsidRPr="005D0525">
              <w:t>26</w:t>
            </w:r>
            <w:r>
              <w:rPr>
                <w:rFonts w:cs="Arial"/>
              </w:rPr>
              <w:fldChar w:fldCharType="end"/>
            </w:r>
            <w:r>
              <w:rPr>
                <w:rFonts w:cs="Arial"/>
              </w:rPr>
              <w:t xml:space="preserve"> (</w:t>
            </w:r>
            <w:r w:rsidRPr="00A22335">
              <w:rPr>
                <w:rFonts w:cs="Arial"/>
                <w:i/>
                <w:iCs/>
              </w:rPr>
              <w:fldChar w:fldCharType="begin"/>
            </w:r>
            <w:r w:rsidRPr="00A22335">
              <w:rPr>
                <w:rFonts w:cs="Arial"/>
                <w:i/>
                <w:iCs/>
              </w:rPr>
              <w:instrText xml:space="preserve"> REF Schedule26Heading \h </w:instrText>
            </w:r>
            <w:r>
              <w:rPr>
                <w:rFonts w:cs="Arial"/>
                <w:i/>
                <w:iCs/>
              </w:rPr>
              <w:instrText xml:space="preserve"> \* MERGEFORMAT </w:instrText>
            </w:r>
            <w:r w:rsidRPr="00A22335">
              <w:rPr>
                <w:rFonts w:cs="Arial"/>
                <w:i/>
                <w:iCs/>
              </w:rPr>
            </w:r>
            <w:r w:rsidRPr="00A22335">
              <w:rPr>
                <w:rFonts w:cs="Arial"/>
                <w:i/>
                <w:iCs/>
              </w:rPr>
              <w:fldChar w:fldCharType="separate"/>
            </w:r>
            <w:r w:rsidR="00302D39" w:rsidRPr="00302D39">
              <w:rPr>
                <w:i/>
                <w:iCs/>
              </w:rPr>
              <w:t>Service Continuity Plan and Corporate Resolution Planning</w:t>
            </w:r>
            <w:r w:rsidRPr="00A22335">
              <w:rPr>
                <w:rFonts w:cs="Arial"/>
                <w:i/>
                <w:iCs/>
              </w:rPr>
              <w:fldChar w:fldCharType="end"/>
            </w:r>
            <w:r>
              <w:rPr>
                <w:rFonts w:cs="Arial"/>
              </w:rPr>
              <w:t>)</w:t>
            </w:r>
            <w:r w:rsidRPr="00724541">
              <w:rPr>
                <w:rFonts w:cs="Arial"/>
              </w:rPr>
              <w:t>;</w:t>
            </w:r>
          </w:p>
        </w:tc>
      </w:tr>
      <w:tr w:rsidR="00F67E9E" w:rsidRPr="00724541" w14:paraId="2FA94223" w14:textId="77777777" w:rsidTr="007F74AA">
        <w:tc>
          <w:tcPr>
            <w:tcW w:w="2835" w:type="dxa"/>
          </w:tcPr>
          <w:p w14:paraId="23AA03A0" w14:textId="77777777" w:rsidR="00F67E9E" w:rsidRPr="00724541" w:rsidRDefault="00F67E9E" w:rsidP="007F74AA">
            <w:pPr>
              <w:pStyle w:val="StdBodyTextBold"/>
              <w:rPr>
                <w:rFonts w:cs="Arial"/>
              </w:rPr>
            </w:pPr>
            <w:r>
              <w:rPr>
                <w:rFonts w:cs="Arial"/>
              </w:rPr>
              <w:t>“</w:t>
            </w:r>
            <w:r w:rsidRPr="00724541">
              <w:rPr>
                <w:rFonts w:cs="Arial"/>
              </w:rPr>
              <w:t>Authority Responsibilities</w:t>
            </w:r>
            <w:r>
              <w:rPr>
                <w:rFonts w:cs="Arial"/>
              </w:rPr>
              <w:t>”</w:t>
            </w:r>
          </w:p>
        </w:tc>
        <w:tc>
          <w:tcPr>
            <w:tcW w:w="6803" w:type="dxa"/>
          </w:tcPr>
          <w:p w14:paraId="4C59E4BF" w14:textId="2A39E747" w:rsidR="00F67E9E" w:rsidRPr="00724541" w:rsidRDefault="00F67E9E" w:rsidP="007F74AA">
            <w:pPr>
              <w:pStyle w:val="StdBodyText"/>
              <w:rPr>
                <w:rFonts w:cs="Arial"/>
              </w:rPr>
            </w:pPr>
            <w:r w:rsidRPr="00724541">
              <w:rPr>
                <w:rFonts w:cs="Arial"/>
              </w:rPr>
              <w:t>the responsibilities of the Authority specified in</w:t>
            </w:r>
            <w:r>
              <w:rPr>
                <w:rFonts w:cs="Arial"/>
              </w:rPr>
              <w:t xml:space="preserve"> </w:t>
            </w:r>
            <w:r>
              <w:rPr>
                <w:rFonts w:cs="Arial"/>
              </w:rPr>
              <w:fldChar w:fldCharType="begin"/>
            </w:r>
            <w:r>
              <w:rPr>
                <w:rFonts w:cs="Arial"/>
              </w:rPr>
              <w:instrText xml:space="preserve"> REF Schedule7 \h </w:instrText>
            </w:r>
            <w:r>
              <w:rPr>
                <w:rFonts w:cs="Arial"/>
              </w:rPr>
            </w:r>
            <w:r>
              <w:rPr>
                <w:rFonts w:cs="Arial"/>
              </w:rPr>
              <w:fldChar w:fldCharType="separate"/>
            </w:r>
            <w:r w:rsidR="00302D39" w:rsidRPr="005D0525">
              <w:t>Schedule</w:t>
            </w:r>
            <w:r w:rsidR="00302D39">
              <w:t> </w:t>
            </w:r>
            <w:r w:rsidR="00302D39" w:rsidRPr="005D0525">
              <w:t>7</w:t>
            </w:r>
            <w:r>
              <w:rPr>
                <w:rFonts w:cs="Arial"/>
              </w:rPr>
              <w:fldChar w:fldCharType="end"/>
            </w:r>
            <w:r>
              <w:rPr>
                <w:rFonts w:cs="Arial"/>
              </w:rPr>
              <w:t xml:space="preserve"> (</w:t>
            </w:r>
            <w:r w:rsidRPr="00A22335">
              <w:rPr>
                <w:rFonts w:cs="Arial"/>
                <w:i/>
                <w:iCs/>
              </w:rPr>
              <w:fldChar w:fldCharType="begin"/>
            </w:r>
            <w:r w:rsidRPr="00A22335">
              <w:rPr>
                <w:rFonts w:cs="Arial"/>
                <w:i/>
                <w:iCs/>
              </w:rPr>
              <w:instrText xml:space="preserve"> REF Schedule7Heading \h </w:instrText>
            </w:r>
            <w:r>
              <w:rPr>
                <w:rFonts w:cs="Arial"/>
                <w:i/>
                <w:iCs/>
              </w:rPr>
              <w:instrText xml:space="preserve"> \* MERGEFORMAT </w:instrText>
            </w:r>
            <w:r w:rsidRPr="00A22335">
              <w:rPr>
                <w:rFonts w:cs="Arial"/>
                <w:i/>
                <w:iCs/>
              </w:rPr>
            </w:r>
            <w:r w:rsidRPr="00A22335">
              <w:rPr>
                <w:rFonts w:cs="Arial"/>
                <w:i/>
                <w:iCs/>
              </w:rPr>
              <w:fldChar w:fldCharType="separate"/>
            </w:r>
            <w:r w:rsidR="00302D39" w:rsidRPr="00302D39">
              <w:rPr>
                <w:i/>
                <w:iCs/>
              </w:rPr>
              <w:t>Authority Responsibilities</w:t>
            </w:r>
            <w:r w:rsidRPr="00A22335">
              <w:rPr>
                <w:rFonts w:cs="Arial"/>
                <w:i/>
                <w:iCs/>
              </w:rPr>
              <w:fldChar w:fldCharType="end"/>
            </w:r>
            <w:r>
              <w:rPr>
                <w:rFonts w:cs="Arial"/>
              </w:rPr>
              <w:t>)</w:t>
            </w:r>
            <w:r w:rsidRPr="00724541">
              <w:rPr>
                <w:rFonts w:cs="Arial"/>
              </w:rPr>
              <w:t>;</w:t>
            </w:r>
          </w:p>
        </w:tc>
      </w:tr>
      <w:tr w:rsidR="00F67E9E" w:rsidRPr="00724541" w14:paraId="7F80AFB8" w14:textId="77777777" w:rsidTr="007F74AA">
        <w:tc>
          <w:tcPr>
            <w:tcW w:w="2835" w:type="dxa"/>
          </w:tcPr>
          <w:p w14:paraId="0B5B0EE3" w14:textId="77777777" w:rsidR="00F67E9E" w:rsidRPr="00724541" w:rsidRDefault="00F67E9E" w:rsidP="007F74AA">
            <w:pPr>
              <w:pStyle w:val="StdBodyTextBold"/>
              <w:rPr>
                <w:rFonts w:cs="Arial"/>
              </w:rPr>
            </w:pPr>
            <w:r>
              <w:rPr>
                <w:rFonts w:cs="Arial"/>
              </w:rPr>
              <w:t>“</w:t>
            </w:r>
            <w:r w:rsidRPr="00724541">
              <w:rPr>
                <w:rFonts w:cs="Arial"/>
              </w:rPr>
              <w:t>Authority Software</w:t>
            </w:r>
            <w:r>
              <w:rPr>
                <w:rFonts w:cs="Arial"/>
              </w:rPr>
              <w:t>”</w:t>
            </w:r>
          </w:p>
        </w:tc>
        <w:tc>
          <w:tcPr>
            <w:tcW w:w="6803" w:type="dxa"/>
          </w:tcPr>
          <w:p w14:paraId="3F56C998" w14:textId="77777777" w:rsidR="00F67E9E" w:rsidRPr="00724541" w:rsidRDefault="00F67E9E" w:rsidP="007F74AA">
            <w:pPr>
              <w:pStyle w:val="StdBodyText"/>
              <w:rPr>
                <w:rFonts w:cs="Arial"/>
              </w:rPr>
            </w:pPr>
            <w:r w:rsidRPr="00724541">
              <w:rPr>
                <w:rFonts w:cs="Arial"/>
              </w:rPr>
              <w:t>software which is owned by or licensed to the Authority (other than under or pursuant to this Contract) and which is or will be used by the Supplier for the purposes of providing the Services;</w:t>
            </w:r>
          </w:p>
        </w:tc>
      </w:tr>
      <w:tr w:rsidR="00F67E9E" w:rsidRPr="00724541" w14:paraId="11407BEC" w14:textId="77777777" w:rsidTr="007F74AA">
        <w:tc>
          <w:tcPr>
            <w:tcW w:w="2835" w:type="dxa"/>
          </w:tcPr>
          <w:p w14:paraId="06E22E71" w14:textId="77777777" w:rsidR="00F67E9E" w:rsidRPr="00724541" w:rsidRDefault="00F67E9E" w:rsidP="007F74AA">
            <w:pPr>
              <w:pStyle w:val="StdBodyTextBold"/>
              <w:rPr>
                <w:rFonts w:cs="Arial"/>
              </w:rPr>
            </w:pPr>
            <w:r>
              <w:rPr>
                <w:rFonts w:cs="Arial"/>
              </w:rPr>
              <w:t>“</w:t>
            </w:r>
            <w:r w:rsidRPr="00724541">
              <w:rPr>
                <w:rFonts w:cs="Arial"/>
              </w:rPr>
              <w:t>Authority System</w:t>
            </w:r>
            <w:r>
              <w:rPr>
                <w:rFonts w:cs="Arial"/>
              </w:rPr>
              <w:t>”</w:t>
            </w:r>
          </w:p>
        </w:tc>
        <w:tc>
          <w:tcPr>
            <w:tcW w:w="6803" w:type="dxa"/>
          </w:tcPr>
          <w:p w14:paraId="2E1C5DA0" w14:textId="77777777" w:rsidR="00F67E9E" w:rsidRPr="00724541" w:rsidRDefault="00F67E9E" w:rsidP="007F74AA">
            <w:pPr>
              <w:pStyle w:val="StdBodyText"/>
              <w:rPr>
                <w:rFonts w:cs="Arial"/>
              </w:rPr>
            </w:pPr>
            <w:r w:rsidRPr="00724541">
              <w:rPr>
                <w:rFonts w:cs="Arial"/>
              </w:rPr>
              <w:t xml:space="preserve">the </w:t>
            </w:r>
            <w:bookmarkStart w:id="70" w:name="_9kMKBP6ZWu9A679B"/>
            <w:r w:rsidRPr="00724541">
              <w:rPr>
                <w:rFonts w:cs="Arial"/>
              </w:rPr>
              <w:t>Authority</w:t>
            </w:r>
            <w:r>
              <w:rPr>
                <w:rFonts w:cs="Arial"/>
              </w:rPr>
              <w:t>’</w:t>
            </w:r>
            <w:r w:rsidRPr="00724541">
              <w:rPr>
                <w:rFonts w:cs="Arial"/>
              </w:rPr>
              <w:t>s</w:t>
            </w:r>
            <w:bookmarkEnd w:id="70"/>
            <w:r w:rsidRPr="00724541">
              <w:rPr>
                <w:rFonts w:cs="Arial"/>
              </w:rPr>
              <w:t xml:space="preserve"> computing environment (consisting of hardware, software and/or telecommunications networks or equipment) used by the Authority or the Supplier in connection with this Contract which is owned by the Authority or licensed to it by a third party and which interfaces with the Supplier System or which is necessary for the Authority to receive the Services;</w:t>
            </w:r>
          </w:p>
        </w:tc>
      </w:tr>
      <w:tr w:rsidR="00F67E9E" w:rsidRPr="00724541" w14:paraId="6C301B01" w14:textId="77777777" w:rsidTr="007F74AA">
        <w:tc>
          <w:tcPr>
            <w:tcW w:w="2835" w:type="dxa"/>
          </w:tcPr>
          <w:p w14:paraId="71DEDA6F" w14:textId="77777777" w:rsidR="00F67E9E" w:rsidRPr="00724541" w:rsidRDefault="00F67E9E" w:rsidP="007F74AA">
            <w:pPr>
              <w:pStyle w:val="StdBodyTextBold"/>
              <w:rPr>
                <w:rFonts w:cs="Arial"/>
              </w:rPr>
            </w:pPr>
            <w:r>
              <w:rPr>
                <w:rFonts w:cs="Arial"/>
              </w:rPr>
              <w:t>“</w:t>
            </w:r>
            <w:r w:rsidRPr="00724541">
              <w:rPr>
                <w:rFonts w:cs="Arial"/>
              </w:rPr>
              <w:t>Authority to Proceed</w:t>
            </w:r>
            <w:r>
              <w:rPr>
                <w:rFonts w:cs="Arial"/>
              </w:rPr>
              <w:t>”</w:t>
            </w:r>
            <w:r w:rsidRPr="00724541">
              <w:rPr>
                <w:rFonts w:cs="Arial"/>
              </w:rPr>
              <w:t xml:space="preserve"> or </w:t>
            </w:r>
            <w:r>
              <w:rPr>
                <w:rFonts w:cs="Arial"/>
              </w:rPr>
              <w:t>“</w:t>
            </w:r>
            <w:r w:rsidRPr="00724541">
              <w:rPr>
                <w:rFonts w:cs="Arial"/>
              </w:rPr>
              <w:t>ATP</w:t>
            </w:r>
            <w:r>
              <w:rPr>
                <w:rFonts w:cs="Arial"/>
              </w:rPr>
              <w:t>”</w:t>
            </w:r>
          </w:p>
        </w:tc>
        <w:tc>
          <w:tcPr>
            <w:tcW w:w="6803" w:type="dxa"/>
          </w:tcPr>
          <w:p w14:paraId="0D6EBC07" w14:textId="77777777" w:rsidR="00F67E9E" w:rsidRPr="00724541" w:rsidRDefault="00F67E9E" w:rsidP="007F74AA">
            <w:pPr>
              <w:pStyle w:val="StdBodyText"/>
              <w:rPr>
                <w:rFonts w:cs="Arial"/>
              </w:rPr>
            </w:pPr>
            <w:r w:rsidRPr="00724541">
              <w:rPr>
                <w:rFonts w:cs="Arial"/>
              </w:rPr>
              <w:t xml:space="preserve">the authorisation to the Supplier to commence the provision of the relevant Operational Services to the Authority, provided by the Authority in the form of a </w:t>
            </w:r>
            <w:bookmarkStart w:id="71" w:name="_9kMIH5YVt4CCFMHYLrowC94vJCqxv9A235LlRDT"/>
            <w:r w:rsidRPr="00724541">
              <w:rPr>
                <w:rFonts w:cs="Arial"/>
              </w:rPr>
              <w:t>Milestone Achievement Certificate</w:t>
            </w:r>
            <w:bookmarkEnd w:id="71"/>
            <w:r w:rsidRPr="00724541">
              <w:rPr>
                <w:rFonts w:cs="Arial"/>
              </w:rPr>
              <w:t xml:space="preserve"> in respect of the ATP Milestone;</w:t>
            </w:r>
          </w:p>
        </w:tc>
      </w:tr>
      <w:tr w:rsidR="00F67E9E" w:rsidRPr="00724541" w14:paraId="3444C7FE" w14:textId="77777777" w:rsidTr="007F74AA">
        <w:tc>
          <w:tcPr>
            <w:tcW w:w="2835" w:type="dxa"/>
          </w:tcPr>
          <w:p w14:paraId="0C88D3A0" w14:textId="77777777" w:rsidR="00F67E9E" w:rsidRPr="00724541" w:rsidRDefault="00F67E9E" w:rsidP="007F74AA">
            <w:pPr>
              <w:pStyle w:val="StdBodyTextBold"/>
              <w:rPr>
                <w:rFonts w:cs="Arial"/>
              </w:rPr>
            </w:pPr>
            <w:r>
              <w:rPr>
                <w:rFonts w:cs="Arial"/>
              </w:rPr>
              <w:t>“</w:t>
            </w:r>
            <w:r w:rsidRPr="00724541">
              <w:rPr>
                <w:rFonts w:cs="Arial"/>
              </w:rPr>
              <w:t>Balanced Scorecard Report</w:t>
            </w:r>
            <w:r>
              <w:rPr>
                <w:rFonts w:cs="Arial"/>
              </w:rPr>
              <w:t>”</w:t>
            </w:r>
          </w:p>
        </w:tc>
        <w:tc>
          <w:tcPr>
            <w:tcW w:w="6803" w:type="dxa"/>
          </w:tcPr>
          <w:p w14:paraId="782B6814" w14:textId="557032EC" w:rsidR="00F67E9E" w:rsidRPr="00724541" w:rsidRDefault="00F67E9E" w:rsidP="007F74AA">
            <w:pPr>
              <w:pStyle w:val="StdBodyText"/>
              <w:rPr>
                <w:rFonts w:cs="Arial"/>
              </w:rPr>
            </w:pPr>
            <w:r w:rsidRPr="00724541">
              <w:rPr>
                <w:rFonts w:cs="Arial"/>
              </w:rPr>
              <w:t xml:space="preserve">has the meaning given in </w:t>
            </w:r>
            <w:bookmarkStart w:id="72" w:name="_9kR3WTr2CC4EIZEnoewrqyBJu"/>
            <w:r w:rsidRPr="00724541">
              <w:rPr>
                <w:rFonts w:cs="Arial"/>
              </w:rPr>
              <w:t>Paragraph</w:t>
            </w:r>
            <w:bookmarkEnd w:id="72"/>
            <w:r>
              <w:rPr>
                <w:rFonts w:cs="Arial"/>
              </w:rPr>
              <w:t> </w:t>
            </w:r>
            <w:r w:rsidRPr="00724541">
              <w:rPr>
                <w:rFonts w:cs="Arial"/>
              </w:rPr>
              <w:fldChar w:fldCharType="begin"/>
            </w:r>
            <w:r w:rsidRPr="00724541">
              <w:rPr>
                <w:rFonts w:cs="Arial"/>
              </w:rPr>
              <w:instrText xml:space="preserve"> REF _Ref99012720 \w \h </w:instrText>
            </w:r>
            <w:r>
              <w:rPr>
                <w:rFonts w:cs="Arial"/>
              </w:rPr>
              <w:instrText xml:space="preserve"> \* MERGEFORMAT </w:instrText>
            </w:r>
            <w:r w:rsidRPr="00724541">
              <w:rPr>
                <w:rFonts w:cs="Arial"/>
              </w:rPr>
            </w:r>
            <w:r w:rsidRPr="00724541">
              <w:rPr>
                <w:rFonts w:cs="Arial"/>
              </w:rPr>
              <w:fldChar w:fldCharType="separate"/>
            </w:r>
            <w:r w:rsidR="00302D39">
              <w:rPr>
                <w:rFonts w:cs="Arial"/>
              </w:rPr>
              <w:t>1.1.2</w:t>
            </w:r>
            <w:r w:rsidRPr="00724541">
              <w:rPr>
                <w:rFonts w:cs="Arial"/>
              </w:rPr>
              <w:fldChar w:fldCharType="end"/>
            </w:r>
            <w:r w:rsidRPr="00724541">
              <w:rPr>
                <w:rFonts w:cs="Arial"/>
              </w:rPr>
              <w:t xml:space="preserve"> of </w:t>
            </w:r>
            <w:r w:rsidRPr="00724541">
              <w:rPr>
                <w:rFonts w:cs="Arial"/>
              </w:rPr>
              <w:fldChar w:fldCharType="begin"/>
            </w:r>
            <w:r w:rsidRPr="00724541">
              <w:rPr>
                <w:rFonts w:cs="Arial"/>
              </w:rPr>
              <w:instrText xml:space="preserve"> REF Sch3PartB \h </w:instrText>
            </w:r>
            <w:r>
              <w:rPr>
                <w:rFonts w:cs="Arial"/>
              </w:rPr>
              <w:instrText xml:space="preserve"> \* MERGEFORMAT </w:instrText>
            </w:r>
            <w:r w:rsidRPr="00724541">
              <w:rPr>
                <w:rFonts w:cs="Arial"/>
              </w:rPr>
            </w:r>
            <w:r w:rsidRPr="00724541">
              <w:rPr>
                <w:rFonts w:cs="Arial"/>
              </w:rPr>
              <w:fldChar w:fldCharType="separate"/>
            </w:r>
            <w:r w:rsidR="00302D39" w:rsidRPr="00302D39">
              <w:rPr>
                <w:rFonts w:cs="Arial"/>
              </w:rPr>
              <w:t>Part B</w:t>
            </w:r>
            <w:r w:rsidRPr="00724541">
              <w:rPr>
                <w:rFonts w:cs="Arial"/>
              </w:rPr>
              <w:fldChar w:fldCharType="end"/>
            </w:r>
            <w:r w:rsidRPr="00724541">
              <w:rPr>
                <w:rFonts w:cs="Arial"/>
              </w:rPr>
              <w:t xml:space="preserve"> of </w:t>
            </w:r>
            <w:r>
              <w:rPr>
                <w:rFonts w:cs="Arial"/>
              </w:rPr>
              <w:fldChar w:fldCharType="begin"/>
            </w:r>
            <w:r>
              <w:rPr>
                <w:rFonts w:cs="Arial"/>
              </w:rPr>
              <w:instrText xml:space="preserve"> REF Schedule3 \h </w:instrText>
            </w:r>
            <w:r>
              <w:rPr>
                <w:rFonts w:cs="Arial"/>
              </w:rPr>
            </w:r>
            <w:r>
              <w:rPr>
                <w:rFonts w:cs="Arial"/>
              </w:rPr>
              <w:fldChar w:fldCharType="separate"/>
            </w:r>
            <w:r w:rsidR="00302D39" w:rsidRPr="005D0525">
              <w:t>Schedule</w:t>
            </w:r>
            <w:r w:rsidR="00302D39">
              <w:t> </w:t>
            </w:r>
            <w:r w:rsidR="00302D39" w:rsidRPr="005D0525">
              <w:t>3</w:t>
            </w:r>
            <w:r>
              <w:rPr>
                <w:rFonts w:cs="Arial"/>
              </w:rPr>
              <w:fldChar w:fldCharType="end"/>
            </w:r>
            <w:r>
              <w:rPr>
                <w:rFonts w:cs="Arial"/>
              </w:rPr>
              <w:t xml:space="preserve"> (</w:t>
            </w:r>
            <w:r w:rsidRPr="00A22335">
              <w:rPr>
                <w:rFonts w:cs="Arial"/>
                <w:i/>
                <w:iCs/>
              </w:rPr>
              <w:fldChar w:fldCharType="begin"/>
            </w:r>
            <w:r w:rsidRPr="00A22335">
              <w:rPr>
                <w:rFonts w:cs="Arial"/>
                <w:i/>
                <w:iCs/>
              </w:rPr>
              <w:instrText xml:space="preserve"> REF Schedule3Heading \h  \* MERGEFORMAT </w:instrText>
            </w:r>
            <w:r w:rsidRPr="00A22335">
              <w:rPr>
                <w:rFonts w:cs="Arial"/>
                <w:i/>
                <w:iCs/>
              </w:rPr>
            </w:r>
            <w:r w:rsidRPr="00A22335">
              <w:rPr>
                <w:rFonts w:cs="Arial"/>
                <w:i/>
                <w:iCs/>
              </w:rPr>
              <w:fldChar w:fldCharType="separate"/>
            </w:r>
            <w:r w:rsidR="00302D39" w:rsidRPr="00302D39">
              <w:rPr>
                <w:i/>
                <w:iCs/>
              </w:rPr>
              <w:t>Performance Levels</w:t>
            </w:r>
            <w:r w:rsidRPr="00A22335">
              <w:rPr>
                <w:rFonts w:cs="Arial"/>
                <w:i/>
                <w:iCs/>
              </w:rPr>
              <w:fldChar w:fldCharType="end"/>
            </w:r>
            <w:r>
              <w:rPr>
                <w:rFonts w:cs="Arial"/>
              </w:rPr>
              <w:t>)</w:t>
            </w:r>
            <w:r w:rsidRPr="00724541">
              <w:rPr>
                <w:rFonts w:cs="Arial"/>
              </w:rPr>
              <w:t>;</w:t>
            </w:r>
          </w:p>
        </w:tc>
      </w:tr>
      <w:tr w:rsidR="00F67E9E" w:rsidRPr="00724541" w14:paraId="12E5E626" w14:textId="77777777" w:rsidTr="007F74AA">
        <w:tc>
          <w:tcPr>
            <w:tcW w:w="2835" w:type="dxa"/>
          </w:tcPr>
          <w:p w14:paraId="4DB93782" w14:textId="77777777" w:rsidR="00F67E9E" w:rsidRPr="00724541" w:rsidRDefault="00F67E9E" w:rsidP="007F74AA">
            <w:pPr>
              <w:pStyle w:val="StdBodyTextBold"/>
              <w:rPr>
                <w:rFonts w:cs="Arial"/>
              </w:rPr>
            </w:pPr>
            <w:r>
              <w:rPr>
                <w:rFonts w:cs="Arial"/>
              </w:rPr>
              <w:t>“</w:t>
            </w:r>
            <w:r w:rsidRPr="00724541">
              <w:rPr>
                <w:rFonts w:cs="Arial"/>
              </w:rPr>
              <w:t>Baseline Security Requirements</w:t>
            </w:r>
            <w:r>
              <w:rPr>
                <w:rFonts w:cs="Arial"/>
              </w:rPr>
              <w:t>”</w:t>
            </w:r>
          </w:p>
        </w:tc>
        <w:tc>
          <w:tcPr>
            <w:tcW w:w="6803" w:type="dxa"/>
          </w:tcPr>
          <w:p w14:paraId="55936711" w14:textId="49F301F6" w:rsidR="00F67E9E" w:rsidRPr="00724541" w:rsidRDefault="00F67E9E" w:rsidP="007F74AA">
            <w:pPr>
              <w:pStyle w:val="StdBodyText"/>
              <w:rPr>
                <w:rFonts w:cs="Arial"/>
              </w:rPr>
            </w:pPr>
            <w:r w:rsidRPr="00724541">
              <w:rPr>
                <w:rFonts w:cs="Arial"/>
              </w:rPr>
              <w:t xml:space="preserve">the </w:t>
            </w:r>
            <w:bookmarkStart w:id="73" w:name="_9kML3G6ZWu9A679B"/>
            <w:r w:rsidRPr="00724541">
              <w:rPr>
                <w:rFonts w:cs="Arial"/>
              </w:rPr>
              <w:t>Authority</w:t>
            </w:r>
            <w:r>
              <w:rPr>
                <w:rFonts w:cs="Arial"/>
              </w:rPr>
              <w:t>’</w:t>
            </w:r>
            <w:r w:rsidRPr="00724541">
              <w:rPr>
                <w:rFonts w:cs="Arial"/>
              </w:rPr>
              <w:t>s</w:t>
            </w:r>
            <w:bookmarkEnd w:id="73"/>
            <w:r w:rsidRPr="00724541">
              <w:rPr>
                <w:rFonts w:cs="Arial"/>
              </w:rPr>
              <w:t xml:space="preserve"> baseline security requirements, the current copy of which is contained in Annex </w:t>
            </w:r>
            <w:r w:rsidRPr="00724541">
              <w:rPr>
                <w:rFonts w:cs="Arial"/>
              </w:rPr>
              <w:fldChar w:fldCharType="begin"/>
            </w:r>
            <w:r w:rsidRPr="00724541">
              <w:rPr>
                <w:rFonts w:cs="Arial"/>
              </w:rPr>
              <w:instrText xml:space="preserve"> REF ANNEX1_PARTB_SCHEDULE5 \h </w:instrText>
            </w:r>
            <w:r>
              <w:rPr>
                <w:rFonts w:cs="Arial"/>
              </w:rPr>
              <w:instrText xml:space="preserve"> \* MERGEFORMAT </w:instrText>
            </w:r>
            <w:r w:rsidRPr="00724541">
              <w:rPr>
                <w:rFonts w:cs="Arial"/>
              </w:rPr>
            </w:r>
            <w:r w:rsidRPr="00724541">
              <w:rPr>
                <w:rFonts w:cs="Arial"/>
              </w:rPr>
              <w:fldChar w:fldCharType="separate"/>
            </w:r>
            <w:r w:rsidR="00302D39" w:rsidRPr="00302D39">
              <w:rPr>
                <w:rFonts w:cs="Arial"/>
              </w:rPr>
              <w:t>1</w:t>
            </w:r>
            <w:r w:rsidRPr="00724541">
              <w:rPr>
                <w:rFonts w:cs="Arial"/>
              </w:rPr>
              <w:fldChar w:fldCharType="end"/>
            </w:r>
            <w:r w:rsidRPr="00724541">
              <w:rPr>
                <w:rFonts w:cs="Arial"/>
              </w:rPr>
              <w:t xml:space="preserve"> (Baseline Security Requirements), as updated from time to time by the Authority and notified to the Supplier;</w:t>
            </w:r>
          </w:p>
        </w:tc>
      </w:tr>
      <w:tr w:rsidR="00F67E9E" w:rsidRPr="00724541" w14:paraId="5851C9DB" w14:textId="77777777" w:rsidTr="007F74AA">
        <w:tc>
          <w:tcPr>
            <w:tcW w:w="2835" w:type="dxa"/>
          </w:tcPr>
          <w:p w14:paraId="18BAF3A8" w14:textId="77777777" w:rsidR="00F67E9E" w:rsidRPr="00724541" w:rsidRDefault="00F67E9E" w:rsidP="007F74AA">
            <w:pPr>
              <w:pStyle w:val="StdBodyTextBold"/>
              <w:rPr>
                <w:rFonts w:cs="Arial"/>
              </w:rPr>
            </w:pPr>
            <w:r>
              <w:rPr>
                <w:rFonts w:cs="Arial"/>
              </w:rPr>
              <w:t>“</w:t>
            </w:r>
            <w:r w:rsidRPr="00724541">
              <w:rPr>
                <w:rFonts w:cs="Arial"/>
              </w:rPr>
              <w:t>Board</w:t>
            </w:r>
            <w:r>
              <w:rPr>
                <w:rFonts w:cs="Arial"/>
              </w:rPr>
              <w:t>”</w:t>
            </w:r>
          </w:p>
        </w:tc>
        <w:tc>
          <w:tcPr>
            <w:tcW w:w="6803" w:type="dxa"/>
          </w:tcPr>
          <w:p w14:paraId="5722422E" w14:textId="77777777" w:rsidR="00F67E9E" w:rsidRPr="00724541" w:rsidRDefault="00F67E9E" w:rsidP="007F74AA">
            <w:pPr>
              <w:pStyle w:val="StdBodyText"/>
              <w:rPr>
                <w:rFonts w:cs="Arial"/>
              </w:rPr>
            </w:pPr>
            <w:r w:rsidRPr="00724541">
              <w:rPr>
                <w:rFonts w:cs="Arial"/>
              </w:rPr>
              <w:t>means the Supplier</w:t>
            </w:r>
            <w:r>
              <w:rPr>
                <w:rFonts w:cs="Arial"/>
              </w:rPr>
              <w:t>’</w:t>
            </w:r>
            <w:r w:rsidRPr="00724541">
              <w:rPr>
                <w:rFonts w:cs="Arial"/>
              </w:rPr>
              <w:t>s board of directors;</w:t>
            </w:r>
          </w:p>
        </w:tc>
      </w:tr>
      <w:tr w:rsidR="00F67E9E" w:rsidRPr="00724541" w14:paraId="1A075D32" w14:textId="77777777" w:rsidTr="007F74AA">
        <w:tc>
          <w:tcPr>
            <w:tcW w:w="2835" w:type="dxa"/>
          </w:tcPr>
          <w:p w14:paraId="54B9CD05" w14:textId="77777777" w:rsidR="00F67E9E" w:rsidRPr="00724541" w:rsidRDefault="00F67E9E" w:rsidP="007F74AA">
            <w:pPr>
              <w:pStyle w:val="StdBodyTextBold"/>
              <w:rPr>
                <w:rFonts w:cs="Arial"/>
              </w:rPr>
            </w:pPr>
            <w:r>
              <w:rPr>
                <w:rFonts w:cs="Arial"/>
              </w:rPr>
              <w:t>“</w:t>
            </w:r>
            <w:r w:rsidRPr="00724541">
              <w:rPr>
                <w:rFonts w:cs="Arial"/>
              </w:rPr>
              <w:t>Board Confirmation</w:t>
            </w:r>
            <w:r>
              <w:rPr>
                <w:rFonts w:cs="Arial"/>
              </w:rPr>
              <w:t>”</w:t>
            </w:r>
          </w:p>
        </w:tc>
        <w:tc>
          <w:tcPr>
            <w:tcW w:w="6803" w:type="dxa"/>
          </w:tcPr>
          <w:p w14:paraId="76FB1952" w14:textId="5181E7C2" w:rsidR="00F67E9E" w:rsidRPr="00724541" w:rsidRDefault="00F67E9E" w:rsidP="007F74AA">
            <w:pPr>
              <w:pStyle w:val="StdBodyText"/>
              <w:rPr>
                <w:rFonts w:cs="Arial"/>
              </w:rPr>
            </w:pPr>
            <w:r w:rsidRPr="00724541">
              <w:rPr>
                <w:rFonts w:cs="Arial"/>
              </w:rPr>
              <w:t xml:space="preserve">means the written confirmation from the Board in accordance with </w:t>
            </w:r>
            <w:bookmarkStart w:id="74" w:name="_9kR3WTr2CC4EJaEnoewrqyI"/>
            <w:r w:rsidRPr="00724541">
              <w:rPr>
                <w:rFonts w:cs="Arial"/>
              </w:rPr>
              <w:t xml:space="preserve">Paragraph </w:t>
            </w:r>
            <w:bookmarkEnd w:id="74"/>
            <w:r w:rsidRPr="00724541">
              <w:rPr>
                <w:rFonts w:cs="Arial"/>
              </w:rPr>
              <w:fldChar w:fldCharType="begin"/>
            </w:r>
            <w:r w:rsidRPr="00724541">
              <w:rPr>
                <w:rFonts w:cs="Arial"/>
              </w:rPr>
              <w:instrText xml:space="preserve"> REF _Ref_ContractCompanion_9kb9Ur246 \w \h  \* MERGEFORMAT </w:instrText>
            </w:r>
            <w:r w:rsidRPr="00724541">
              <w:rPr>
                <w:rFonts w:cs="Arial"/>
              </w:rPr>
            </w:r>
            <w:r w:rsidRPr="00724541">
              <w:rPr>
                <w:rFonts w:cs="Arial"/>
              </w:rPr>
              <w:fldChar w:fldCharType="separate"/>
            </w:r>
            <w:r w:rsidR="00302D39">
              <w:rPr>
                <w:rFonts w:cs="Arial"/>
              </w:rPr>
              <w:t>8</w:t>
            </w:r>
            <w:r w:rsidRPr="00724541">
              <w:rPr>
                <w:rFonts w:cs="Arial"/>
              </w:rPr>
              <w:fldChar w:fldCharType="end"/>
            </w:r>
            <w:r w:rsidRPr="00724541">
              <w:rPr>
                <w:rFonts w:cs="Arial"/>
              </w:rPr>
              <w:t xml:space="preserve"> of </w:t>
            </w:r>
            <w:r>
              <w:rPr>
                <w:rFonts w:cs="Arial"/>
              </w:rPr>
              <w:fldChar w:fldCharType="begin"/>
            </w:r>
            <w:r>
              <w:rPr>
                <w:rFonts w:cs="Arial"/>
              </w:rPr>
              <w:instrText xml:space="preserve"> REF Schedule18 \h </w:instrText>
            </w:r>
            <w:r>
              <w:rPr>
                <w:rFonts w:cs="Arial"/>
              </w:rPr>
            </w:r>
            <w:r>
              <w:rPr>
                <w:rFonts w:cs="Arial"/>
              </w:rPr>
              <w:fldChar w:fldCharType="separate"/>
            </w:r>
            <w:r w:rsidR="00302D39" w:rsidRPr="005D0525">
              <w:t>Schedule</w:t>
            </w:r>
            <w:r w:rsidR="00302D39">
              <w:t> </w:t>
            </w:r>
            <w:r w:rsidR="00302D39" w:rsidRPr="005D0525">
              <w:t>18</w:t>
            </w:r>
            <w:r>
              <w:rPr>
                <w:rFonts w:cs="Arial"/>
              </w:rPr>
              <w:fldChar w:fldCharType="end"/>
            </w:r>
            <w:r>
              <w:rPr>
                <w:rFonts w:cs="Arial"/>
              </w:rPr>
              <w:t xml:space="preserve"> (</w:t>
            </w:r>
            <w:r w:rsidRPr="002F30DB">
              <w:rPr>
                <w:rFonts w:cs="Arial"/>
                <w:i/>
                <w:iCs/>
              </w:rPr>
              <w:fldChar w:fldCharType="begin"/>
            </w:r>
            <w:r w:rsidRPr="002F30DB">
              <w:rPr>
                <w:rFonts w:cs="Arial"/>
                <w:i/>
                <w:iCs/>
              </w:rPr>
              <w:instrText xml:space="preserve"> REF Schedule18Heading \h </w:instrText>
            </w:r>
            <w:r>
              <w:rPr>
                <w:rFonts w:cs="Arial"/>
                <w:i/>
                <w:iCs/>
              </w:rPr>
              <w:instrText xml:space="preserve"> \* MERGEFORMAT </w:instrText>
            </w:r>
            <w:r w:rsidRPr="002F30DB">
              <w:rPr>
                <w:rFonts w:cs="Arial"/>
                <w:i/>
                <w:iCs/>
              </w:rPr>
            </w:r>
            <w:r w:rsidRPr="002F30DB">
              <w:rPr>
                <w:rFonts w:cs="Arial"/>
                <w:i/>
                <w:iCs/>
              </w:rPr>
              <w:fldChar w:fldCharType="separate"/>
            </w:r>
            <w:r w:rsidR="00302D39" w:rsidRPr="00302D39">
              <w:rPr>
                <w:i/>
                <w:iCs/>
              </w:rPr>
              <w:t>Financial Distress</w:t>
            </w:r>
            <w:r w:rsidRPr="002F30DB">
              <w:rPr>
                <w:rFonts w:cs="Arial"/>
                <w:i/>
                <w:iCs/>
              </w:rPr>
              <w:fldChar w:fldCharType="end"/>
            </w:r>
            <w:r>
              <w:rPr>
                <w:rFonts w:cs="Arial"/>
              </w:rPr>
              <w:t>)</w:t>
            </w:r>
            <w:r w:rsidRPr="00724541">
              <w:rPr>
                <w:rFonts w:cs="Arial"/>
              </w:rPr>
              <w:t>;</w:t>
            </w:r>
          </w:p>
        </w:tc>
      </w:tr>
      <w:tr w:rsidR="00F67E9E" w:rsidRPr="00724541" w14:paraId="6D016B95" w14:textId="77777777" w:rsidTr="007F74AA">
        <w:tc>
          <w:tcPr>
            <w:tcW w:w="2835" w:type="dxa"/>
          </w:tcPr>
          <w:p w14:paraId="278F0B20" w14:textId="77777777" w:rsidR="00F67E9E" w:rsidRPr="00724541" w:rsidRDefault="00F67E9E" w:rsidP="007F74AA">
            <w:pPr>
              <w:pStyle w:val="StdBodyTextBold"/>
              <w:rPr>
                <w:rFonts w:cs="Arial"/>
              </w:rPr>
            </w:pPr>
            <w:r>
              <w:rPr>
                <w:rFonts w:cs="Arial"/>
              </w:rPr>
              <w:t>“</w:t>
            </w:r>
            <w:r w:rsidRPr="00724541">
              <w:rPr>
                <w:rFonts w:cs="Arial"/>
              </w:rPr>
              <w:t>Breakage Costs Payment</w:t>
            </w:r>
            <w:r>
              <w:rPr>
                <w:rFonts w:cs="Arial"/>
              </w:rPr>
              <w:t>”</w:t>
            </w:r>
          </w:p>
        </w:tc>
        <w:tc>
          <w:tcPr>
            <w:tcW w:w="6803" w:type="dxa"/>
          </w:tcPr>
          <w:p w14:paraId="35AA9ACD" w14:textId="74C61001" w:rsidR="00F67E9E" w:rsidRPr="00724541" w:rsidRDefault="00F67E9E" w:rsidP="007F74AA">
            <w:pPr>
              <w:pStyle w:val="StdBodyText"/>
              <w:rPr>
                <w:rFonts w:cs="Arial"/>
              </w:rPr>
            </w:pPr>
            <w:r w:rsidRPr="00724541">
              <w:rPr>
                <w:rFonts w:cs="Arial"/>
              </w:rPr>
              <w:t>has the meaning given in</w:t>
            </w:r>
            <w:r>
              <w:rPr>
                <w:rFonts w:cs="Arial"/>
              </w:rPr>
              <w:t xml:space="preserve"> </w:t>
            </w:r>
            <w:r>
              <w:rPr>
                <w:rFonts w:cs="Arial"/>
              </w:rPr>
              <w:fldChar w:fldCharType="begin"/>
            </w:r>
            <w:r>
              <w:rPr>
                <w:rFonts w:cs="Arial"/>
              </w:rPr>
              <w:instrText xml:space="preserve"> REF Schedule16 \h </w:instrText>
            </w:r>
            <w:r>
              <w:rPr>
                <w:rFonts w:cs="Arial"/>
              </w:rPr>
            </w:r>
            <w:r>
              <w:rPr>
                <w:rFonts w:cs="Arial"/>
              </w:rPr>
              <w:fldChar w:fldCharType="separate"/>
            </w:r>
            <w:r w:rsidR="00302D39" w:rsidRPr="005D0525">
              <w:t>Schedule</w:t>
            </w:r>
            <w:r w:rsidR="00302D39">
              <w:t> </w:t>
            </w:r>
            <w:r w:rsidR="00302D39" w:rsidRPr="005D0525">
              <w:t>16</w:t>
            </w:r>
            <w:r>
              <w:rPr>
                <w:rFonts w:cs="Arial"/>
              </w:rPr>
              <w:fldChar w:fldCharType="end"/>
            </w:r>
            <w:r>
              <w:rPr>
                <w:rFonts w:cs="Arial"/>
              </w:rPr>
              <w:t xml:space="preserve"> (</w:t>
            </w:r>
            <w:r w:rsidRPr="00B91437">
              <w:rPr>
                <w:rFonts w:cs="Arial"/>
                <w:i/>
                <w:iCs/>
              </w:rPr>
              <w:fldChar w:fldCharType="begin"/>
            </w:r>
            <w:r w:rsidRPr="00B91437">
              <w:rPr>
                <w:rFonts w:cs="Arial"/>
                <w:i/>
                <w:iCs/>
              </w:rPr>
              <w:instrText xml:space="preserve"> REF Schedule16Heading \h </w:instrText>
            </w:r>
            <w:r>
              <w:rPr>
                <w:rFonts w:cs="Arial"/>
                <w:i/>
                <w:iCs/>
              </w:rPr>
              <w:instrText xml:space="preserve"> \* MERGEFORMAT </w:instrText>
            </w:r>
            <w:r w:rsidRPr="00B91437">
              <w:rPr>
                <w:rFonts w:cs="Arial"/>
                <w:i/>
                <w:iCs/>
              </w:rPr>
            </w:r>
            <w:r w:rsidRPr="00B91437">
              <w:rPr>
                <w:rFonts w:cs="Arial"/>
                <w:i/>
                <w:iCs/>
              </w:rPr>
              <w:fldChar w:fldCharType="separate"/>
            </w:r>
            <w:r w:rsidR="00302D39" w:rsidRPr="00302D39">
              <w:rPr>
                <w:i/>
                <w:iCs/>
              </w:rPr>
              <w:t>Payments on Termination</w:t>
            </w:r>
            <w:r w:rsidRPr="00B91437">
              <w:rPr>
                <w:rFonts w:cs="Arial"/>
                <w:i/>
                <w:iCs/>
              </w:rPr>
              <w:fldChar w:fldCharType="end"/>
            </w:r>
            <w:r>
              <w:rPr>
                <w:rFonts w:cs="Arial"/>
              </w:rPr>
              <w:t>)</w:t>
            </w:r>
            <w:r w:rsidRPr="00724541">
              <w:rPr>
                <w:rFonts w:cs="Arial"/>
              </w:rPr>
              <w:t>;</w:t>
            </w:r>
          </w:p>
        </w:tc>
      </w:tr>
      <w:tr w:rsidR="00F67E9E" w:rsidRPr="00724541" w14:paraId="3423EE40" w14:textId="77777777" w:rsidTr="007F74AA">
        <w:tc>
          <w:tcPr>
            <w:tcW w:w="2835" w:type="dxa"/>
          </w:tcPr>
          <w:p w14:paraId="6A892D69" w14:textId="77777777" w:rsidR="00F67E9E" w:rsidRPr="00724541" w:rsidRDefault="00F67E9E" w:rsidP="007F74AA">
            <w:pPr>
              <w:pStyle w:val="StdBodyTextBold"/>
              <w:rPr>
                <w:rFonts w:cs="Arial"/>
              </w:rPr>
            </w:pPr>
            <w:r>
              <w:rPr>
                <w:rFonts w:cs="Arial"/>
              </w:rPr>
              <w:t>“</w:t>
            </w:r>
            <w:r w:rsidRPr="00724541">
              <w:rPr>
                <w:rFonts w:cs="Arial"/>
              </w:rPr>
              <w:t>Cabinet Office Markets and Suppliers Team</w:t>
            </w:r>
            <w:r>
              <w:rPr>
                <w:rFonts w:cs="Arial"/>
              </w:rPr>
              <w:t>”</w:t>
            </w:r>
          </w:p>
        </w:tc>
        <w:tc>
          <w:tcPr>
            <w:tcW w:w="6803" w:type="dxa"/>
          </w:tcPr>
          <w:p w14:paraId="2B9FFFC5" w14:textId="77777777" w:rsidR="00F67E9E" w:rsidRPr="00724541" w:rsidRDefault="00F67E9E" w:rsidP="007F74AA">
            <w:pPr>
              <w:pStyle w:val="StdBodyText"/>
              <w:rPr>
                <w:rFonts w:cs="Arial"/>
              </w:rPr>
            </w:pPr>
            <w:r w:rsidRPr="00724541">
              <w:rPr>
                <w:rFonts w:cs="Arial"/>
              </w:rPr>
              <w:t>means the UK Government</w:t>
            </w:r>
            <w:r>
              <w:rPr>
                <w:rFonts w:cs="Arial"/>
              </w:rPr>
              <w:t>’</w:t>
            </w:r>
            <w:r w:rsidRPr="00724541">
              <w:rPr>
                <w:rFonts w:cs="Arial"/>
              </w:rPr>
              <w:t>s team responsible for managing the relationship between government and its Strategic Suppliers, or any replacement or successor body carrying out the same function;</w:t>
            </w:r>
          </w:p>
        </w:tc>
      </w:tr>
      <w:tr w:rsidR="00F67E9E" w:rsidRPr="00724541" w14:paraId="614A4116" w14:textId="77777777" w:rsidTr="007F74AA">
        <w:tc>
          <w:tcPr>
            <w:tcW w:w="2835" w:type="dxa"/>
          </w:tcPr>
          <w:p w14:paraId="6177E43D" w14:textId="77777777" w:rsidR="00F67E9E" w:rsidRPr="00724541" w:rsidRDefault="00F67E9E" w:rsidP="007F74AA">
            <w:pPr>
              <w:pStyle w:val="StdBodyTextBold"/>
              <w:rPr>
                <w:rFonts w:cs="Arial"/>
              </w:rPr>
            </w:pPr>
            <w:r>
              <w:rPr>
                <w:rFonts w:cs="Arial"/>
              </w:rPr>
              <w:t>“</w:t>
            </w:r>
            <w:r w:rsidRPr="00724541">
              <w:rPr>
                <w:rFonts w:cs="Arial"/>
              </w:rPr>
              <w:t>Certificate of Costs</w:t>
            </w:r>
            <w:r>
              <w:rPr>
                <w:rFonts w:cs="Arial"/>
              </w:rPr>
              <w:t>”</w:t>
            </w:r>
          </w:p>
        </w:tc>
        <w:tc>
          <w:tcPr>
            <w:tcW w:w="6803" w:type="dxa"/>
          </w:tcPr>
          <w:p w14:paraId="4F7BF3F1" w14:textId="1C986C4A" w:rsidR="00F67E9E" w:rsidRPr="00724541" w:rsidRDefault="00F67E9E" w:rsidP="007F74AA">
            <w:pPr>
              <w:pStyle w:val="StdBodyText"/>
              <w:rPr>
                <w:rFonts w:cs="Arial"/>
              </w:rPr>
            </w:pPr>
            <w:r w:rsidRPr="00724541">
              <w:rPr>
                <w:rFonts w:cs="Arial"/>
              </w:rPr>
              <w:t xml:space="preserve">has the meaning given in </w:t>
            </w:r>
            <w:r>
              <w:rPr>
                <w:rFonts w:cs="Arial"/>
              </w:rPr>
              <w:fldChar w:fldCharType="begin"/>
            </w:r>
            <w:r>
              <w:rPr>
                <w:rFonts w:cs="Arial"/>
              </w:rPr>
              <w:instrText xml:space="preserve"> REF Schedule15 \h </w:instrText>
            </w:r>
            <w:r>
              <w:rPr>
                <w:rFonts w:cs="Arial"/>
              </w:rPr>
            </w:r>
            <w:r>
              <w:rPr>
                <w:rFonts w:cs="Arial"/>
              </w:rPr>
              <w:fldChar w:fldCharType="separate"/>
            </w:r>
            <w:r w:rsidR="00302D39" w:rsidRPr="005D0525">
              <w:t>Schedule</w:t>
            </w:r>
            <w:r w:rsidR="00302D39">
              <w:t> </w:t>
            </w:r>
            <w:r w:rsidR="00302D39" w:rsidRPr="005D0525">
              <w:t>15</w:t>
            </w:r>
            <w:r>
              <w:rPr>
                <w:rFonts w:cs="Arial"/>
              </w:rPr>
              <w:fldChar w:fldCharType="end"/>
            </w:r>
            <w:r>
              <w:rPr>
                <w:rFonts w:cs="Arial"/>
              </w:rPr>
              <w:t xml:space="preserve"> (</w:t>
            </w:r>
            <w:r w:rsidRPr="00B91437">
              <w:rPr>
                <w:rFonts w:cs="Arial"/>
                <w:i/>
                <w:iCs/>
              </w:rPr>
              <w:fldChar w:fldCharType="begin"/>
            </w:r>
            <w:r w:rsidRPr="00B91437">
              <w:rPr>
                <w:rFonts w:cs="Arial"/>
                <w:i/>
                <w:iCs/>
              </w:rPr>
              <w:instrText xml:space="preserve"> REF Schedule15Heading \h </w:instrText>
            </w:r>
            <w:r>
              <w:rPr>
                <w:rFonts w:cs="Arial"/>
                <w:i/>
                <w:iCs/>
              </w:rPr>
              <w:instrText xml:space="preserve"> \* MERGEFORMAT </w:instrText>
            </w:r>
            <w:r w:rsidRPr="00B91437">
              <w:rPr>
                <w:rFonts w:cs="Arial"/>
                <w:i/>
                <w:iCs/>
              </w:rPr>
            </w:r>
            <w:r w:rsidRPr="00B91437">
              <w:rPr>
                <w:rFonts w:cs="Arial"/>
                <w:i/>
                <w:iCs/>
              </w:rPr>
              <w:fldChar w:fldCharType="separate"/>
            </w:r>
            <w:r w:rsidR="00302D39" w:rsidRPr="00302D39">
              <w:rPr>
                <w:i/>
                <w:iCs/>
              </w:rPr>
              <w:t>Charges and Invoicing</w:t>
            </w:r>
            <w:r w:rsidRPr="00B91437">
              <w:rPr>
                <w:rFonts w:cs="Arial"/>
                <w:i/>
                <w:iCs/>
              </w:rPr>
              <w:fldChar w:fldCharType="end"/>
            </w:r>
            <w:r>
              <w:rPr>
                <w:rFonts w:cs="Arial"/>
              </w:rPr>
              <w:t>)</w:t>
            </w:r>
            <w:r w:rsidRPr="00724541">
              <w:rPr>
                <w:rFonts w:cs="Arial"/>
              </w:rPr>
              <w:t>;</w:t>
            </w:r>
          </w:p>
        </w:tc>
      </w:tr>
      <w:tr w:rsidR="00F67E9E" w:rsidRPr="00724541" w14:paraId="5085DAED" w14:textId="77777777" w:rsidTr="007F74AA">
        <w:tc>
          <w:tcPr>
            <w:tcW w:w="2835" w:type="dxa"/>
          </w:tcPr>
          <w:p w14:paraId="78AFCF57" w14:textId="77777777" w:rsidR="00F67E9E" w:rsidRPr="00724541" w:rsidRDefault="00F67E9E" w:rsidP="007F74AA">
            <w:pPr>
              <w:pStyle w:val="StdBodyTextBold"/>
              <w:rPr>
                <w:rFonts w:cs="Arial"/>
              </w:rPr>
            </w:pPr>
            <w:r>
              <w:rPr>
                <w:rFonts w:cs="Arial"/>
              </w:rPr>
              <w:t>“</w:t>
            </w:r>
            <w:r w:rsidRPr="00724541">
              <w:rPr>
                <w:rFonts w:cs="Arial"/>
              </w:rPr>
              <w:t>Change</w:t>
            </w:r>
            <w:r>
              <w:rPr>
                <w:rFonts w:cs="Arial"/>
              </w:rPr>
              <w:t>”</w:t>
            </w:r>
          </w:p>
        </w:tc>
        <w:tc>
          <w:tcPr>
            <w:tcW w:w="6803" w:type="dxa"/>
          </w:tcPr>
          <w:p w14:paraId="0BB24175" w14:textId="77777777" w:rsidR="00F67E9E" w:rsidRPr="00724541" w:rsidRDefault="00F67E9E" w:rsidP="007F74AA">
            <w:pPr>
              <w:pStyle w:val="StdBodyText"/>
              <w:rPr>
                <w:rFonts w:cs="Arial"/>
              </w:rPr>
            </w:pPr>
            <w:r w:rsidRPr="00724541">
              <w:rPr>
                <w:rFonts w:cs="Arial"/>
              </w:rPr>
              <w:t>any change to this Contract;</w:t>
            </w:r>
          </w:p>
        </w:tc>
      </w:tr>
      <w:tr w:rsidR="00F67E9E" w:rsidRPr="00724541" w14:paraId="6AEFB5C6" w14:textId="77777777" w:rsidTr="007F74AA">
        <w:tc>
          <w:tcPr>
            <w:tcW w:w="2835" w:type="dxa"/>
          </w:tcPr>
          <w:p w14:paraId="3A2CA37E" w14:textId="77777777" w:rsidR="00F67E9E" w:rsidRPr="00724541" w:rsidRDefault="00F67E9E" w:rsidP="007F74AA">
            <w:pPr>
              <w:pStyle w:val="StdBodyTextBold"/>
              <w:rPr>
                <w:rFonts w:cs="Arial"/>
              </w:rPr>
            </w:pPr>
            <w:r>
              <w:rPr>
                <w:rFonts w:cs="Arial"/>
              </w:rPr>
              <w:t>“</w:t>
            </w:r>
            <w:r w:rsidRPr="00724541">
              <w:rPr>
                <w:rFonts w:cs="Arial"/>
              </w:rPr>
              <w:t>Change Authorisation Note</w:t>
            </w:r>
            <w:r>
              <w:rPr>
                <w:rFonts w:cs="Arial"/>
              </w:rPr>
              <w:t>”</w:t>
            </w:r>
          </w:p>
        </w:tc>
        <w:tc>
          <w:tcPr>
            <w:tcW w:w="6803" w:type="dxa"/>
          </w:tcPr>
          <w:p w14:paraId="5D88FA1B" w14:textId="1F50CAE2" w:rsidR="00F67E9E" w:rsidRPr="00724541" w:rsidRDefault="00F67E9E" w:rsidP="007F74AA">
            <w:pPr>
              <w:pStyle w:val="StdBodyText"/>
              <w:rPr>
                <w:rFonts w:cs="Arial"/>
              </w:rPr>
            </w:pPr>
            <w:r w:rsidRPr="00724541">
              <w:rPr>
                <w:rFonts w:cs="Arial"/>
              </w:rPr>
              <w:t xml:space="preserve">a form setting out an agreed Contract Change which shall be substantially in the form of </w:t>
            </w:r>
            <w:r w:rsidRPr="00724541">
              <w:rPr>
                <w:rFonts w:cs="Arial"/>
              </w:rPr>
              <w:fldChar w:fldCharType="begin"/>
            </w:r>
            <w:r w:rsidRPr="00724541">
              <w:rPr>
                <w:rFonts w:cs="Arial"/>
              </w:rPr>
              <w:instrText xml:space="preserve"> REF  _Ref44507489 \* Caps \h  \* MERGEFORMAT </w:instrText>
            </w:r>
            <w:r w:rsidRPr="00724541">
              <w:rPr>
                <w:rFonts w:cs="Arial"/>
              </w:rPr>
            </w:r>
            <w:r w:rsidRPr="00724541">
              <w:rPr>
                <w:rFonts w:cs="Arial"/>
              </w:rPr>
              <w:fldChar w:fldCharType="separate"/>
            </w:r>
            <w:r w:rsidR="00302D39" w:rsidRPr="00302D39">
              <w:rPr>
                <w:rFonts w:cs="Arial"/>
              </w:rPr>
              <w:t>Annex 2: Change Authorisation Note</w:t>
            </w:r>
            <w:r w:rsidRPr="00724541">
              <w:rPr>
                <w:rFonts w:cs="Arial"/>
              </w:rPr>
              <w:fldChar w:fldCharType="end"/>
            </w:r>
            <w:r w:rsidRPr="00724541">
              <w:rPr>
                <w:rFonts w:cs="Arial"/>
              </w:rPr>
              <w:t>;</w:t>
            </w:r>
          </w:p>
        </w:tc>
      </w:tr>
      <w:tr w:rsidR="00F67E9E" w:rsidRPr="00724541" w14:paraId="07B68CA6" w14:textId="77777777" w:rsidTr="007F74AA">
        <w:tc>
          <w:tcPr>
            <w:tcW w:w="2835" w:type="dxa"/>
          </w:tcPr>
          <w:p w14:paraId="091D5037" w14:textId="77777777" w:rsidR="00F67E9E" w:rsidRPr="00724541" w:rsidRDefault="00F67E9E" w:rsidP="007F74AA">
            <w:pPr>
              <w:pStyle w:val="StdBodyTextBold"/>
              <w:rPr>
                <w:rFonts w:cs="Arial"/>
              </w:rPr>
            </w:pPr>
            <w:r>
              <w:rPr>
                <w:rFonts w:cs="Arial"/>
              </w:rPr>
              <w:t>“</w:t>
            </w:r>
            <w:r w:rsidRPr="00724541">
              <w:rPr>
                <w:rFonts w:cs="Arial"/>
              </w:rPr>
              <w:t>Change Control Procedure</w:t>
            </w:r>
            <w:r>
              <w:rPr>
                <w:rFonts w:cs="Arial"/>
              </w:rPr>
              <w:t>”</w:t>
            </w:r>
          </w:p>
        </w:tc>
        <w:tc>
          <w:tcPr>
            <w:tcW w:w="6803" w:type="dxa"/>
          </w:tcPr>
          <w:p w14:paraId="449AF505" w14:textId="5AC2108E" w:rsidR="00F67E9E" w:rsidRPr="00724541" w:rsidRDefault="00F67E9E" w:rsidP="007F74AA">
            <w:pPr>
              <w:pStyle w:val="StdBodyText"/>
              <w:rPr>
                <w:rFonts w:cs="Arial"/>
              </w:rPr>
            </w:pPr>
            <w:r w:rsidRPr="00724541">
              <w:rPr>
                <w:rFonts w:cs="Arial"/>
              </w:rPr>
              <w:t>the procedure for changing this Contract set out in</w:t>
            </w:r>
            <w:r>
              <w:rPr>
                <w:rFonts w:cs="Arial"/>
              </w:rPr>
              <w:t xml:space="preserve"> </w:t>
            </w:r>
            <w:r>
              <w:rPr>
                <w:rFonts w:cs="Arial"/>
              </w:rPr>
              <w:fldChar w:fldCharType="begin"/>
            </w:r>
            <w:r>
              <w:rPr>
                <w:rFonts w:cs="Arial"/>
              </w:rPr>
              <w:instrText xml:space="preserve"> REF Schedule22 \h </w:instrText>
            </w:r>
            <w:r>
              <w:rPr>
                <w:rFonts w:cs="Arial"/>
              </w:rPr>
            </w:r>
            <w:r>
              <w:rPr>
                <w:rFonts w:cs="Arial"/>
              </w:rPr>
              <w:fldChar w:fldCharType="separate"/>
            </w:r>
            <w:r w:rsidR="00302D39" w:rsidRPr="005D0525">
              <w:t>Schedule</w:t>
            </w:r>
            <w:r w:rsidR="00302D39">
              <w:t> </w:t>
            </w:r>
            <w:r w:rsidR="00302D39" w:rsidRPr="005D0525">
              <w:t>22</w:t>
            </w:r>
            <w:r>
              <w:rPr>
                <w:rFonts w:cs="Arial"/>
              </w:rPr>
              <w:fldChar w:fldCharType="end"/>
            </w:r>
            <w:r>
              <w:rPr>
                <w:rFonts w:cs="Arial"/>
              </w:rPr>
              <w:t xml:space="preserve"> (</w:t>
            </w:r>
            <w:r w:rsidRPr="002F30DB">
              <w:rPr>
                <w:rFonts w:cs="Arial"/>
                <w:i/>
                <w:iCs/>
              </w:rPr>
              <w:fldChar w:fldCharType="begin"/>
            </w:r>
            <w:r w:rsidRPr="002F30DB">
              <w:rPr>
                <w:rFonts w:cs="Arial"/>
                <w:i/>
                <w:iCs/>
              </w:rPr>
              <w:instrText xml:space="preserve"> REF Schedule22Heading \h </w:instrText>
            </w:r>
            <w:r>
              <w:rPr>
                <w:rFonts w:cs="Arial"/>
                <w:i/>
                <w:iCs/>
              </w:rPr>
              <w:instrText xml:space="preserve"> \* MERGEFORMAT </w:instrText>
            </w:r>
            <w:r w:rsidRPr="002F30DB">
              <w:rPr>
                <w:rFonts w:cs="Arial"/>
                <w:i/>
                <w:iCs/>
              </w:rPr>
            </w:r>
            <w:r w:rsidRPr="002F30DB">
              <w:rPr>
                <w:rFonts w:cs="Arial"/>
                <w:i/>
                <w:iCs/>
              </w:rPr>
              <w:fldChar w:fldCharType="separate"/>
            </w:r>
            <w:r w:rsidR="00302D39" w:rsidRPr="00302D39">
              <w:rPr>
                <w:i/>
                <w:iCs/>
              </w:rPr>
              <w:t>Change Control Procedure</w:t>
            </w:r>
            <w:r w:rsidRPr="002F30DB">
              <w:rPr>
                <w:rFonts w:cs="Arial"/>
                <w:i/>
                <w:iCs/>
              </w:rPr>
              <w:fldChar w:fldCharType="end"/>
            </w:r>
            <w:r>
              <w:rPr>
                <w:rFonts w:cs="Arial"/>
              </w:rPr>
              <w:t>)</w:t>
            </w:r>
            <w:r w:rsidRPr="00724541">
              <w:rPr>
                <w:rFonts w:cs="Arial"/>
              </w:rPr>
              <w:t>;</w:t>
            </w:r>
          </w:p>
        </w:tc>
      </w:tr>
      <w:tr w:rsidR="00F67E9E" w:rsidRPr="00724541" w14:paraId="154AEAF8" w14:textId="77777777" w:rsidTr="007F74AA">
        <w:tc>
          <w:tcPr>
            <w:tcW w:w="2835" w:type="dxa"/>
          </w:tcPr>
          <w:p w14:paraId="013E68E4" w14:textId="77777777" w:rsidR="00F67E9E" w:rsidRPr="00724541" w:rsidRDefault="00F67E9E" w:rsidP="007F74AA">
            <w:pPr>
              <w:pStyle w:val="StdBodyTextBold"/>
              <w:rPr>
                <w:rFonts w:cs="Arial"/>
              </w:rPr>
            </w:pPr>
            <w:r>
              <w:rPr>
                <w:rFonts w:cs="Arial"/>
              </w:rPr>
              <w:t>“</w:t>
            </w:r>
            <w:r w:rsidRPr="00724541">
              <w:rPr>
                <w:rFonts w:cs="Arial"/>
              </w:rPr>
              <w:t>Change in Law</w:t>
            </w:r>
            <w:r>
              <w:rPr>
                <w:rFonts w:cs="Arial"/>
              </w:rPr>
              <w:t>”</w:t>
            </w:r>
          </w:p>
        </w:tc>
        <w:tc>
          <w:tcPr>
            <w:tcW w:w="6803" w:type="dxa"/>
          </w:tcPr>
          <w:p w14:paraId="524AA93A" w14:textId="77777777" w:rsidR="00F67E9E" w:rsidRPr="00724541" w:rsidRDefault="00F67E9E" w:rsidP="007F74AA">
            <w:pPr>
              <w:pStyle w:val="StdBodyText"/>
              <w:rPr>
                <w:rFonts w:cs="Arial"/>
              </w:rPr>
            </w:pPr>
            <w:r w:rsidRPr="00724541">
              <w:rPr>
                <w:rFonts w:cs="Arial"/>
              </w:rPr>
              <w:t>any change in Law which impacts on the performance of the Services which comes into force after the Effective Date;</w:t>
            </w:r>
          </w:p>
        </w:tc>
      </w:tr>
      <w:tr w:rsidR="00F67E9E" w:rsidRPr="00724541" w14:paraId="03858F0B" w14:textId="77777777" w:rsidTr="007F74AA">
        <w:tc>
          <w:tcPr>
            <w:tcW w:w="2835" w:type="dxa"/>
          </w:tcPr>
          <w:p w14:paraId="7624E350" w14:textId="77777777" w:rsidR="00F67E9E" w:rsidRPr="00724541" w:rsidRDefault="00F67E9E" w:rsidP="007F74AA">
            <w:pPr>
              <w:pStyle w:val="StdBodyTextBold"/>
              <w:rPr>
                <w:rFonts w:cs="Arial"/>
              </w:rPr>
            </w:pPr>
            <w:r>
              <w:rPr>
                <w:rFonts w:cs="Arial"/>
              </w:rPr>
              <w:t>“</w:t>
            </w:r>
            <w:r w:rsidRPr="00724541">
              <w:rPr>
                <w:rFonts w:cs="Arial"/>
              </w:rPr>
              <w:t>Change Request</w:t>
            </w:r>
            <w:r>
              <w:rPr>
                <w:rFonts w:cs="Arial"/>
              </w:rPr>
              <w:t>”</w:t>
            </w:r>
          </w:p>
        </w:tc>
        <w:tc>
          <w:tcPr>
            <w:tcW w:w="6803" w:type="dxa"/>
          </w:tcPr>
          <w:p w14:paraId="00316F40" w14:textId="494EA034" w:rsidR="00F67E9E" w:rsidRPr="00724541" w:rsidRDefault="00F67E9E" w:rsidP="007F74AA">
            <w:pPr>
              <w:pStyle w:val="StdBodyText"/>
              <w:rPr>
                <w:rFonts w:cs="Arial"/>
              </w:rPr>
            </w:pPr>
            <w:r w:rsidRPr="00724541">
              <w:rPr>
                <w:rFonts w:cs="Arial"/>
              </w:rPr>
              <w:t xml:space="preserve">a written request for a Contract Change substantially in the form of </w:t>
            </w:r>
            <w:r w:rsidRPr="00724541">
              <w:rPr>
                <w:rFonts w:cs="Arial"/>
              </w:rPr>
              <w:fldChar w:fldCharType="begin"/>
            </w:r>
            <w:r w:rsidRPr="00724541">
              <w:rPr>
                <w:rFonts w:cs="Arial"/>
              </w:rPr>
              <w:instrText xml:space="preserve"> REF ANNEX1_SCHEDULE22 \h  \* MERGEFORMAT </w:instrText>
            </w:r>
            <w:r w:rsidRPr="00724541">
              <w:rPr>
                <w:rFonts w:cs="Arial"/>
              </w:rPr>
            </w:r>
            <w:r w:rsidRPr="00724541">
              <w:rPr>
                <w:rFonts w:cs="Arial"/>
              </w:rPr>
              <w:fldChar w:fldCharType="separate"/>
            </w:r>
            <w:r w:rsidR="00302D39" w:rsidRPr="00302D39">
              <w:rPr>
                <w:rFonts w:cs="Arial"/>
              </w:rPr>
              <w:t>1</w:t>
            </w:r>
            <w:r w:rsidRPr="00724541">
              <w:rPr>
                <w:rFonts w:cs="Arial"/>
              </w:rPr>
              <w:fldChar w:fldCharType="end"/>
            </w:r>
            <w:r w:rsidRPr="00724541">
              <w:rPr>
                <w:rFonts w:cs="Arial"/>
              </w:rPr>
              <w:t xml:space="preserve"> </w:t>
            </w:r>
            <w:r w:rsidRPr="00200CC3">
              <w:rPr>
                <w:rFonts w:cs="Arial"/>
              </w:rPr>
              <w:t>(</w:t>
            </w:r>
            <w:r w:rsidRPr="00B74235">
              <w:rPr>
                <w:rFonts w:cs="Arial"/>
                <w:i/>
                <w:iCs/>
              </w:rPr>
              <w:fldChar w:fldCharType="begin"/>
            </w:r>
            <w:r w:rsidRPr="00B74235">
              <w:rPr>
                <w:rFonts w:cs="Arial"/>
                <w:i/>
                <w:iCs/>
              </w:rPr>
              <w:instrText xml:space="preserve"> REF Annex1HEADINGSCHEDULE22 \h </w:instrText>
            </w:r>
            <w:r>
              <w:rPr>
                <w:rFonts w:cs="Arial"/>
                <w:i/>
                <w:iCs/>
              </w:rPr>
              <w:instrText xml:space="preserve"> \* MERGEFORMAT </w:instrText>
            </w:r>
            <w:r w:rsidRPr="00B74235">
              <w:rPr>
                <w:rFonts w:cs="Arial"/>
                <w:i/>
                <w:iCs/>
              </w:rPr>
            </w:r>
            <w:r w:rsidRPr="00B74235">
              <w:rPr>
                <w:rFonts w:cs="Arial"/>
                <w:i/>
                <w:iCs/>
              </w:rPr>
              <w:fldChar w:fldCharType="separate"/>
            </w:r>
            <w:r w:rsidR="00302D39" w:rsidRPr="00302D39">
              <w:rPr>
                <w:i/>
                <w:iCs/>
              </w:rPr>
              <w:t>Change Request Form</w:t>
            </w:r>
            <w:r w:rsidRPr="00B74235">
              <w:rPr>
                <w:rFonts w:cs="Arial"/>
                <w:i/>
                <w:iCs/>
              </w:rPr>
              <w:fldChar w:fldCharType="end"/>
            </w:r>
            <w:r w:rsidRPr="00200CC3">
              <w:rPr>
                <w:rFonts w:cs="Arial"/>
              </w:rPr>
              <w:t>)</w:t>
            </w:r>
            <w:r w:rsidRPr="00724541">
              <w:rPr>
                <w:rFonts w:cs="Arial"/>
                <w:i/>
                <w:iCs/>
              </w:rPr>
              <w:t>;</w:t>
            </w:r>
          </w:p>
        </w:tc>
      </w:tr>
      <w:tr w:rsidR="00F67E9E" w:rsidRPr="00724541" w14:paraId="7F0A95B7" w14:textId="77777777" w:rsidTr="007F74AA">
        <w:tc>
          <w:tcPr>
            <w:tcW w:w="2835" w:type="dxa"/>
          </w:tcPr>
          <w:p w14:paraId="35CD5398" w14:textId="77777777" w:rsidR="00F67E9E" w:rsidRPr="00724541" w:rsidRDefault="00F67E9E" w:rsidP="007F74AA">
            <w:pPr>
              <w:pStyle w:val="StdBodyTextBold"/>
              <w:rPr>
                <w:rFonts w:cs="Arial"/>
              </w:rPr>
            </w:pPr>
            <w:r>
              <w:rPr>
                <w:rFonts w:cs="Arial"/>
              </w:rPr>
              <w:t>“</w:t>
            </w:r>
            <w:r w:rsidRPr="00724541">
              <w:rPr>
                <w:rFonts w:cs="Arial"/>
              </w:rPr>
              <w:t>Charges</w:t>
            </w:r>
            <w:r>
              <w:rPr>
                <w:rFonts w:cs="Arial"/>
              </w:rPr>
              <w:t>”</w:t>
            </w:r>
          </w:p>
        </w:tc>
        <w:tc>
          <w:tcPr>
            <w:tcW w:w="6803" w:type="dxa"/>
          </w:tcPr>
          <w:p w14:paraId="210CB1B8" w14:textId="731B7DD5" w:rsidR="00F67E9E" w:rsidRPr="00724541" w:rsidRDefault="00F67E9E" w:rsidP="007F74AA">
            <w:pPr>
              <w:pStyle w:val="StdBodyText"/>
              <w:rPr>
                <w:rFonts w:cs="Arial"/>
              </w:rPr>
            </w:pPr>
            <w:r w:rsidRPr="00724541">
              <w:rPr>
                <w:rFonts w:cs="Arial"/>
              </w:rPr>
              <w:t xml:space="preserve">the charges for the provision of the Services set out in or otherwise calculated in accordance with </w:t>
            </w:r>
            <w:r>
              <w:rPr>
                <w:rFonts w:cs="Arial"/>
              </w:rPr>
              <w:fldChar w:fldCharType="begin"/>
            </w:r>
            <w:r>
              <w:rPr>
                <w:rFonts w:cs="Arial"/>
              </w:rPr>
              <w:instrText xml:space="preserve"> REF Schedule15 \h </w:instrText>
            </w:r>
            <w:r>
              <w:rPr>
                <w:rFonts w:cs="Arial"/>
              </w:rPr>
            </w:r>
            <w:r>
              <w:rPr>
                <w:rFonts w:cs="Arial"/>
              </w:rPr>
              <w:fldChar w:fldCharType="separate"/>
            </w:r>
            <w:r w:rsidR="00302D39" w:rsidRPr="005D0525">
              <w:t>Schedule</w:t>
            </w:r>
            <w:r w:rsidR="00302D39">
              <w:t> </w:t>
            </w:r>
            <w:r w:rsidR="00302D39" w:rsidRPr="005D0525">
              <w:t>15</w:t>
            </w:r>
            <w:r>
              <w:rPr>
                <w:rFonts w:cs="Arial"/>
              </w:rPr>
              <w:fldChar w:fldCharType="end"/>
            </w:r>
            <w:r>
              <w:rPr>
                <w:rFonts w:cs="Arial"/>
              </w:rPr>
              <w:t xml:space="preserve"> (</w:t>
            </w:r>
            <w:r w:rsidRPr="00B91437">
              <w:rPr>
                <w:rFonts w:cs="Arial"/>
                <w:i/>
                <w:iCs/>
              </w:rPr>
              <w:fldChar w:fldCharType="begin"/>
            </w:r>
            <w:r w:rsidRPr="00B91437">
              <w:rPr>
                <w:rFonts w:cs="Arial"/>
                <w:i/>
                <w:iCs/>
              </w:rPr>
              <w:instrText xml:space="preserve"> REF Schedule15Heading \h </w:instrText>
            </w:r>
            <w:r>
              <w:rPr>
                <w:rFonts w:cs="Arial"/>
                <w:i/>
                <w:iCs/>
              </w:rPr>
              <w:instrText xml:space="preserve"> \* MERGEFORMAT </w:instrText>
            </w:r>
            <w:r w:rsidRPr="00B91437">
              <w:rPr>
                <w:rFonts w:cs="Arial"/>
                <w:i/>
                <w:iCs/>
              </w:rPr>
            </w:r>
            <w:r w:rsidRPr="00B91437">
              <w:rPr>
                <w:rFonts w:cs="Arial"/>
                <w:i/>
                <w:iCs/>
              </w:rPr>
              <w:fldChar w:fldCharType="separate"/>
            </w:r>
            <w:r w:rsidR="00302D39" w:rsidRPr="00302D39">
              <w:rPr>
                <w:i/>
                <w:iCs/>
              </w:rPr>
              <w:t>Charges and Invoicing</w:t>
            </w:r>
            <w:r w:rsidRPr="00B91437">
              <w:rPr>
                <w:rFonts w:cs="Arial"/>
                <w:i/>
                <w:iCs/>
              </w:rPr>
              <w:fldChar w:fldCharType="end"/>
            </w:r>
            <w:r>
              <w:rPr>
                <w:rFonts w:cs="Arial"/>
              </w:rPr>
              <w:t>)</w:t>
            </w:r>
            <w:r w:rsidRPr="00724541">
              <w:rPr>
                <w:rFonts w:cs="Arial"/>
              </w:rPr>
              <w:t>, including any Milestone Payment or Service Charge;</w:t>
            </w:r>
          </w:p>
        </w:tc>
      </w:tr>
      <w:tr w:rsidR="00F67E9E" w:rsidRPr="00724541" w14:paraId="429FF26F" w14:textId="77777777" w:rsidTr="007F74AA">
        <w:tc>
          <w:tcPr>
            <w:tcW w:w="2835" w:type="dxa"/>
          </w:tcPr>
          <w:p w14:paraId="541E7E52" w14:textId="77777777" w:rsidR="00F67E9E" w:rsidRPr="00724541" w:rsidRDefault="00F67E9E" w:rsidP="007F74AA">
            <w:pPr>
              <w:pStyle w:val="StdBodyTextBold"/>
              <w:rPr>
                <w:rFonts w:cs="Arial"/>
              </w:rPr>
            </w:pPr>
            <w:r>
              <w:rPr>
                <w:rFonts w:cs="Arial"/>
              </w:rPr>
              <w:t>“</w:t>
            </w:r>
            <w:r w:rsidRPr="00724541">
              <w:rPr>
                <w:rFonts w:cs="Arial"/>
              </w:rPr>
              <w:t>Class 1 Transaction</w:t>
            </w:r>
            <w:r>
              <w:rPr>
                <w:rFonts w:cs="Arial"/>
              </w:rPr>
              <w:t>”</w:t>
            </w:r>
          </w:p>
        </w:tc>
        <w:tc>
          <w:tcPr>
            <w:tcW w:w="6803" w:type="dxa"/>
          </w:tcPr>
          <w:p w14:paraId="30E0FEE9" w14:textId="77777777" w:rsidR="00F67E9E" w:rsidRPr="00724541" w:rsidRDefault="00F67E9E" w:rsidP="007F74AA">
            <w:pPr>
              <w:pStyle w:val="StdBodyText"/>
              <w:rPr>
                <w:rFonts w:cs="Arial"/>
              </w:rPr>
            </w:pPr>
            <w:r w:rsidRPr="00724541">
              <w:rPr>
                <w:rFonts w:cs="Arial"/>
              </w:rPr>
              <w:t>has the meaning set out in the listing rules issued by the UK Listing Authority;</w:t>
            </w:r>
          </w:p>
        </w:tc>
      </w:tr>
      <w:tr w:rsidR="00F67E9E" w:rsidRPr="00724541" w14:paraId="7D01BEEE" w14:textId="77777777" w:rsidTr="007F74AA">
        <w:tc>
          <w:tcPr>
            <w:tcW w:w="2835" w:type="dxa"/>
          </w:tcPr>
          <w:p w14:paraId="0D24523C" w14:textId="77777777" w:rsidR="00F67E9E" w:rsidRPr="00724541" w:rsidRDefault="00F67E9E" w:rsidP="007F74AA">
            <w:pPr>
              <w:pStyle w:val="StdBodyTextBold"/>
              <w:rPr>
                <w:rFonts w:cs="Arial"/>
              </w:rPr>
            </w:pPr>
            <w:r>
              <w:rPr>
                <w:rFonts w:cs="Arial"/>
              </w:rPr>
              <w:t>“</w:t>
            </w:r>
            <w:r w:rsidRPr="00724541">
              <w:rPr>
                <w:rFonts w:cs="Arial"/>
              </w:rPr>
              <w:t>CNI</w:t>
            </w:r>
            <w:r>
              <w:rPr>
                <w:rFonts w:cs="Arial"/>
              </w:rPr>
              <w:t>”</w:t>
            </w:r>
          </w:p>
        </w:tc>
        <w:tc>
          <w:tcPr>
            <w:tcW w:w="6803" w:type="dxa"/>
          </w:tcPr>
          <w:p w14:paraId="45738D55" w14:textId="77777777" w:rsidR="00F67E9E" w:rsidRPr="00724541" w:rsidRDefault="00F67E9E" w:rsidP="007F74AA">
            <w:pPr>
              <w:pStyle w:val="StdBodyText"/>
              <w:rPr>
                <w:rFonts w:cs="Arial"/>
              </w:rPr>
            </w:pPr>
            <w:r w:rsidRPr="00724541">
              <w:rPr>
                <w:rFonts w:cs="Arial"/>
              </w:rPr>
              <w:t>means Critical National Infrastructure;</w:t>
            </w:r>
          </w:p>
        </w:tc>
      </w:tr>
      <w:tr w:rsidR="00F67E9E" w:rsidRPr="00724541" w14:paraId="61453689" w14:textId="77777777" w:rsidTr="007F74AA">
        <w:tc>
          <w:tcPr>
            <w:tcW w:w="2835" w:type="dxa"/>
          </w:tcPr>
          <w:p w14:paraId="4706B47C" w14:textId="77777777" w:rsidR="00F67E9E" w:rsidRPr="00724541" w:rsidRDefault="00F67E9E" w:rsidP="007F74AA">
            <w:pPr>
              <w:pStyle w:val="StdBodyTextBold"/>
              <w:rPr>
                <w:rFonts w:cs="Arial"/>
              </w:rPr>
            </w:pPr>
            <w:r>
              <w:rPr>
                <w:rFonts w:cs="Arial"/>
              </w:rPr>
              <w:t>“</w:t>
            </w:r>
            <w:r w:rsidRPr="00724541">
              <w:rPr>
                <w:rFonts w:cs="Arial"/>
              </w:rPr>
              <w:t>Commercially Sensitive Information</w:t>
            </w:r>
            <w:r>
              <w:rPr>
                <w:rFonts w:cs="Arial"/>
              </w:rPr>
              <w:t>”</w:t>
            </w:r>
          </w:p>
        </w:tc>
        <w:tc>
          <w:tcPr>
            <w:tcW w:w="6803" w:type="dxa"/>
          </w:tcPr>
          <w:p w14:paraId="6746D4FB" w14:textId="43095854" w:rsidR="00F67E9E" w:rsidRPr="00724541" w:rsidRDefault="00F67E9E" w:rsidP="007F74AA">
            <w:pPr>
              <w:pStyle w:val="StdBodyText"/>
              <w:rPr>
                <w:rFonts w:cs="Arial"/>
              </w:rPr>
            </w:pPr>
            <w:r w:rsidRPr="00724541">
              <w:rPr>
                <w:rFonts w:cs="Arial"/>
              </w:rPr>
              <w:t>the information listed in</w:t>
            </w:r>
            <w:r>
              <w:rPr>
                <w:rFonts w:cs="Arial"/>
              </w:rPr>
              <w:t xml:space="preserve"> </w:t>
            </w:r>
            <w:r>
              <w:rPr>
                <w:rFonts w:cs="Arial"/>
              </w:rPr>
              <w:fldChar w:fldCharType="begin"/>
            </w:r>
            <w:r>
              <w:rPr>
                <w:rFonts w:cs="Arial"/>
              </w:rPr>
              <w:instrText xml:space="preserve"> REF Schedule9 \h </w:instrText>
            </w:r>
            <w:r>
              <w:rPr>
                <w:rFonts w:cs="Arial"/>
              </w:rPr>
            </w:r>
            <w:r>
              <w:rPr>
                <w:rFonts w:cs="Arial"/>
              </w:rPr>
              <w:fldChar w:fldCharType="separate"/>
            </w:r>
            <w:r w:rsidR="00302D39" w:rsidRPr="005D0525">
              <w:t>Schedule</w:t>
            </w:r>
            <w:r w:rsidR="00302D39">
              <w:t> </w:t>
            </w:r>
            <w:r w:rsidR="00302D39" w:rsidRPr="005D0525">
              <w:t>9</w:t>
            </w:r>
            <w:r>
              <w:rPr>
                <w:rFonts w:cs="Arial"/>
              </w:rPr>
              <w:fldChar w:fldCharType="end"/>
            </w:r>
            <w:r>
              <w:rPr>
                <w:rFonts w:cs="Arial"/>
              </w:rPr>
              <w:t xml:space="preserve"> (</w:t>
            </w:r>
            <w:r w:rsidRPr="00910061">
              <w:rPr>
                <w:rFonts w:cs="Arial"/>
                <w:i/>
                <w:iCs/>
              </w:rPr>
              <w:fldChar w:fldCharType="begin"/>
            </w:r>
            <w:r w:rsidRPr="00910061">
              <w:rPr>
                <w:rFonts w:cs="Arial"/>
                <w:i/>
                <w:iCs/>
              </w:rPr>
              <w:instrText xml:space="preserve"> REF Schedule9Heading \h </w:instrText>
            </w:r>
            <w:r>
              <w:rPr>
                <w:rFonts w:cs="Arial"/>
                <w:i/>
                <w:iCs/>
              </w:rPr>
              <w:instrText xml:space="preserve"> \* MERGEFORMAT </w:instrText>
            </w:r>
            <w:r w:rsidRPr="00910061">
              <w:rPr>
                <w:rFonts w:cs="Arial"/>
                <w:i/>
                <w:iCs/>
              </w:rPr>
            </w:r>
            <w:r w:rsidRPr="00910061">
              <w:rPr>
                <w:rFonts w:cs="Arial"/>
                <w:i/>
                <w:iCs/>
              </w:rPr>
              <w:fldChar w:fldCharType="separate"/>
            </w:r>
            <w:r w:rsidR="00302D39" w:rsidRPr="00302D39">
              <w:rPr>
                <w:i/>
                <w:iCs/>
              </w:rPr>
              <w:t>Commercially Sensitive Information</w:t>
            </w:r>
            <w:r w:rsidRPr="00910061">
              <w:rPr>
                <w:rFonts w:cs="Arial"/>
                <w:i/>
                <w:iCs/>
              </w:rPr>
              <w:fldChar w:fldCharType="end"/>
            </w:r>
            <w:r>
              <w:rPr>
                <w:rFonts w:cs="Arial"/>
              </w:rPr>
              <w:t>)</w:t>
            </w:r>
            <w:r w:rsidRPr="00724541">
              <w:rPr>
                <w:rFonts w:cs="Arial"/>
              </w:rPr>
              <w:t xml:space="preserve"> comprising the information of a commercially sensitive nature relating to:</w:t>
            </w:r>
          </w:p>
          <w:p w14:paraId="23659C85" w14:textId="77777777" w:rsidR="00F67E9E" w:rsidRPr="00724541" w:rsidRDefault="00F67E9E" w:rsidP="007F74AA">
            <w:pPr>
              <w:pStyle w:val="DefinitionList"/>
              <w:numPr>
                <w:ilvl w:val="0"/>
                <w:numId w:val="184"/>
              </w:numPr>
            </w:pPr>
            <w:r w:rsidRPr="00577E60">
              <w:rPr>
                <w:rFonts w:cs="Arial"/>
              </w:rPr>
              <w:t>the</w:t>
            </w:r>
            <w:r w:rsidRPr="00724541">
              <w:t xml:space="preserve"> pricing of the Services;</w:t>
            </w:r>
          </w:p>
          <w:p w14:paraId="0C324D0C" w14:textId="77777777" w:rsidR="00F67E9E" w:rsidRPr="00724541" w:rsidRDefault="00F67E9E" w:rsidP="00F67E9E">
            <w:pPr>
              <w:pStyle w:val="DefinitionList"/>
              <w:numPr>
                <w:ilvl w:val="0"/>
                <w:numId w:val="108"/>
              </w:numPr>
              <w:rPr>
                <w:rFonts w:cs="Arial"/>
              </w:rPr>
            </w:pPr>
            <w:r w:rsidRPr="00724541">
              <w:rPr>
                <w:rFonts w:cs="Arial"/>
              </w:rPr>
              <w:t xml:space="preserve">details of the </w:t>
            </w:r>
            <w:bookmarkStart w:id="75" w:name="_9kR3WTr5DA489Zb51ysmwB"/>
            <w:r w:rsidRPr="00724541">
              <w:rPr>
                <w:rFonts w:cs="Arial"/>
              </w:rPr>
              <w:t>Supplier</w:t>
            </w:r>
            <w:r>
              <w:rPr>
                <w:rFonts w:cs="Arial"/>
              </w:rPr>
              <w:t>’</w:t>
            </w:r>
            <w:r w:rsidRPr="00724541">
              <w:rPr>
                <w:rFonts w:cs="Arial"/>
              </w:rPr>
              <w:t>s</w:t>
            </w:r>
            <w:bookmarkEnd w:id="75"/>
            <w:r w:rsidRPr="00724541">
              <w:rPr>
                <w:rFonts w:cs="Arial"/>
              </w:rPr>
              <w:t xml:space="preserve"> IPRs; and</w:t>
            </w:r>
          </w:p>
          <w:p w14:paraId="00C277B7" w14:textId="77777777" w:rsidR="00F67E9E" w:rsidRPr="00724541" w:rsidRDefault="00F67E9E" w:rsidP="00F67E9E">
            <w:pPr>
              <w:pStyle w:val="DefinitionList"/>
              <w:numPr>
                <w:ilvl w:val="0"/>
                <w:numId w:val="108"/>
              </w:numPr>
              <w:rPr>
                <w:rFonts w:cs="Arial"/>
              </w:rPr>
            </w:pPr>
            <w:r w:rsidRPr="00724541">
              <w:rPr>
                <w:rFonts w:cs="Arial"/>
              </w:rPr>
              <w:t>the Supplier</w:t>
            </w:r>
            <w:r>
              <w:rPr>
                <w:rFonts w:cs="Arial"/>
              </w:rPr>
              <w:t>’</w:t>
            </w:r>
            <w:r w:rsidRPr="00724541">
              <w:rPr>
                <w:rFonts w:cs="Arial"/>
              </w:rPr>
              <w:t>s business and investment plans;</w:t>
            </w:r>
          </w:p>
          <w:p w14:paraId="3F775D5B" w14:textId="77777777" w:rsidR="00F67E9E" w:rsidRPr="00724541" w:rsidRDefault="00F67E9E" w:rsidP="007F74AA">
            <w:pPr>
              <w:pStyle w:val="StdBodyText"/>
              <w:rPr>
                <w:rFonts w:cs="Arial"/>
              </w:rPr>
            </w:pPr>
            <w:r w:rsidRPr="00724541">
              <w:rPr>
                <w:rFonts w:cs="Arial"/>
              </w:rPr>
              <w:t>which the Supplier has indicated to the Authority that, if disclosed by the Authority, would cause the Supplier significant commercial disadvantage or material financial loss;</w:t>
            </w:r>
          </w:p>
        </w:tc>
      </w:tr>
      <w:tr w:rsidR="00F67E9E" w:rsidRPr="00724541" w14:paraId="03AE58CD" w14:textId="77777777" w:rsidTr="007F74AA">
        <w:tc>
          <w:tcPr>
            <w:tcW w:w="2835" w:type="dxa"/>
          </w:tcPr>
          <w:p w14:paraId="374A2034" w14:textId="77777777" w:rsidR="00F67E9E" w:rsidRPr="00724541" w:rsidRDefault="00F67E9E" w:rsidP="007F74AA">
            <w:pPr>
              <w:pStyle w:val="StdBodyTextBold"/>
              <w:rPr>
                <w:rFonts w:cs="Arial"/>
              </w:rPr>
            </w:pPr>
            <w:r>
              <w:rPr>
                <w:rFonts w:cs="Arial"/>
              </w:rPr>
              <w:t>“</w:t>
            </w:r>
            <w:r w:rsidRPr="00724541">
              <w:rPr>
                <w:rFonts w:cs="Arial"/>
              </w:rPr>
              <w:t>Comparable Supply</w:t>
            </w:r>
            <w:r>
              <w:rPr>
                <w:rFonts w:cs="Arial"/>
              </w:rPr>
              <w:t>”</w:t>
            </w:r>
          </w:p>
        </w:tc>
        <w:tc>
          <w:tcPr>
            <w:tcW w:w="6803" w:type="dxa"/>
          </w:tcPr>
          <w:p w14:paraId="31C23D17" w14:textId="77777777" w:rsidR="00F67E9E" w:rsidRPr="00724541" w:rsidRDefault="00F67E9E" w:rsidP="007F74AA">
            <w:pPr>
              <w:pStyle w:val="StdBodyText"/>
              <w:rPr>
                <w:rFonts w:cs="Arial"/>
              </w:rPr>
            </w:pPr>
            <w:r w:rsidRPr="00724541">
              <w:rPr>
                <w:rFonts w:cs="Arial"/>
              </w:rPr>
              <w:t>the supply of services to another customer of the Supplier that are the same or similar to any of the Services;</w:t>
            </w:r>
          </w:p>
        </w:tc>
      </w:tr>
      <w:tr w:rsidR="00F67E9E" w:rsidRPr="00724541" w14:paraId="425FD8BA" w14:textId="77777777" w:rsidTr="007F74AA">
        <w:tc>
          <w:tcPr>
            <w:tcW w:w="2835" w:type="dxa"/>
          </w:tcPr>
          <w:p w14:paraId="529161D9" w14:textId="77777777" w:rsidR="00F67E9E" w:rsidRPr="00724541" w:rsidRDefault="00F67E9E" w:rsidP="007F74AA">
            <w:pPr>
              <w:pStyle w:val="StdBodyTextBold"/>
              <w:rPr>
                <w:rFonts w:cs="Arial"/>
              </w:rPr>
            </w:pPr>
            <w:r>
              <w:rPr>
                <w:rFonts w:cs="Arial"/>
              </w:rPr>
              <w:t>“</w:t>
            </w:r>
            <w:r w:rsidRPr="00724541">
              <w:rPr>
                <w:rFonts w:cs="Arial"/>
              </w:rPr>
              <w:t>Compensation for Unacceptable KPI Failure</w:t>
            </w:r>
            <w:r>
              <w:rPr>
                <w:rFonts w:cs="Arial"/>
              </w:rPr>
              <w:t>”</w:t>
            </w:r>
          </w:p>
        </w:tc>
        <w:tc>
          <w:tcPr>
            <w:tcW w:w="6803" w:type="dxa"/>
          </w:tcPr>
          <w:p w14:paraId="2E63B692" w14:textId="77777777" w:rsidR="00F67E9E" w:rsidRPr="00724541" w:rsidRDefault="00F67E9E" w:rsidP="007F74AA">
            <w:pPr>
              <w:pStyle w:val="StdBodyText"/>
              <w:rPr>
                <w:rFonts w:cs="Arial"/>
              </w:rPr>
            </w:pPr>
            <w:r w:rsidRPr="00724541">
              <w:rPr>
                <w:rFonts w:cs="Arial"/>
              </w:rPr>
              <w:t xml:space="preserve">has the meaning given in </w:t>
            </w:r>
            <w:bookmarkStart w:id="76" w:name="_9kMIH5YVt4DD8HINEjtCxDRv"/>
            <w:r w:rsidRPr="00724541">
              <w:rPr>
                <w:rFonts w:cs="Arial"/>
              </w:rPr>
              <w:t xml:space="preserve">Clause </w:t>
            </w:r>
            <w:bookmarkEnd w:id="76"/>
            <w:r w:rsidRPr="00724541">
              <w:rPr>
                <w:rFonts w:cs="Arial"/>
              </w:rPr>
              <w:t>7.4(a) (</w:t>
            </w:r>
            <w:r w:rsidRPr="00C04B2F">
              <w:rPr>
                <w:rFonts w:cs="Arial"/>
                <w:i/>
                <w:iCs/>
              </w:rPr>
              <w:t>Unacceptable KPI Failure</w:t>
            </w:r>
            <w:r w:rsidRPr="00724541">
              <w:rPr>
                <w:rFonts w:cs="Arial"/>
              </w:rPr>
              <w:t>);</w:t>
            </w:r>
          </w:p>
        </w:tc>
      </w:tr>
      <w:tr w:rsidR="00F67E9E" w:rsidRPr="00724541" w14:paraId="4A569FAA" w14:textId="77777777" w:rsidTr="007F74AA">
        <w:tc>
          <w:tcPr>
            <w:tcW w:w="2835" w:type="dxa"/>
          </w:tcPr>
          <w:p w14:paraId="720A41AB" w14:textId="77777777" w:rsidR="00F67E9E" w:rsidRPr="00724541" w:rsidRDefault="00F67E9E" w:rsidP="007F74AA">
            <w:pPr>
              <w:pStyle w:val="StdBodyTextBold"/>
              <w:rPr>
                <w:rFonts w:cs="Arial"/>
              </w:rPr>
            </w:pPr>
            <w:r>
              <w:rPr>
                <w:rFonts w:cs="Arial"/>
              </w:rPr>
              <w:t>“</w:t>
            </w:r>
            <w:r w:rsidRPr="00724541">
              <w:rPr>
                <w:rFonts w:cs="Arial"/>
              </w:rPr>
              <w:t>Compensation Payment</w:t>
            </w:r>
            <w:r>
              <w:rPr>
                <w:rFonts w:cs="Arial"/>
              </w:rPr>
              <w:t>”</w:t>
            </w:r>
          </w:p>
        </w:tc>
        <w:tc>
          <w:tcPr>
            <w:tcW w:w="6803" w:type="dxa"/>
          </w:tcPr>
          <w:p w14:paraId="0E861EC2" w14:textId="512DFB19" w:rsidR="00F67E9E" w:rsidRPr="00724541" w:rsidRDefault="00F67E9E" w:rsidP="007F74AA">
            <w:pPr>
              <w:pStyle w:val="StdBodyText"/>
              <w:rPr>
                <w:rFonts w:cs="Arial"/>
              </w:rPr>
            </w:pPr>
            <w:r w:rsidRPr="00724541">
              <w:rPr>
                <w:rFonts w:cs="Arial"/>
              </w:rPr>
              <w:t xml:space="preserve">has the meaning given in </w:t>
            </w:r>
            <w:r>
              <w:rPr>
                <w:rFonts w:cs="Arial"/>
              </w:rPr>
              <w:fldChar w:fldCharType="begin"/>
            </w:r>
            <w:r>
              <w:rPr>
                <w:rFonts w:cs="Arial"/>
              </w:rPr>
              <w:instrText xml:space="preserve"> REF Schedule16 \h </w:instrText>
            </w:r>
            <w:r>
              <w:rPr>
                <w:rFonts w:cs="Arial"/>
              </w:rPr>
            </w:r>
            <w:r>
              <w:rPr>
                <w:rFonts w:cs="Arial"/>
              </w:rPr>
              <w:fldChar w:fldCharType="separate"/>
            </w:r>
            <w:r w:rsidR="00302D39" w:rsidRPr="005D0525">
              <w:t>Schedule</w:t>
            </w:r>
            <w:r w:rsidR="00302D39">
              <w:t> </w:t>
            </w:r>
            <w:r w:rsidR="00302D39" w:rsidRPr="005D0525">
              <w:t>16</w:t>
            </w:r>
            <w:r>
              <w:rPr>
                <w:rFonts w:cs="Arial"/>
              </w:rPr>
              <w:fldChar w:fldCharType="end"/>
            </w:r>
            <w:r>
              <w:rPr>
                <w:rFonts w:cs="Arial"/>
              </w:rPr>
              <w:t xml:space="preserve"> (</w:t>
            </w:r>
            <w:r w:rsidRPr="00B91437">
              <w:rPr>
                <w:rFonts w:cs="Arial"/>
                <w:i/>
                <w:iCs/>
              </w:rPr>
              <w:fldChar w:fldCharType="begin"/>
            </w:r>
            <w:r w:rsidRPr="00B91437">
              <w:rPr>
                <w:rFonts w:cs="Arial"/>
                <w:i/>
                <w:iCs/>
              </w:rPr>
              <w:instrText xml:space="preserve"> REF Schedule16Heading \h </w:instrText>
            </w:r>
            <w:r>
              <w:rPr>
                <w:rFonts w:cs="Arial"/>
                <w:i/>
                <w:iCs/>
              </w:rPr>
              <w:instrText xml:space="preserve"> \* MERGEFORMAT </w:instrText>
            </w:r>
            <w:r w:rsidRPr="00B91437">
              <w:rPr>
                <w:rFonts w:cs="Arial"/>
                <w:i/>
                <w:iCs/>
              </w:rPr>
            </w:r>
            <w:r w:rsidRPr="00B91437">
              <w:rPr>
                <w:rFonts w:cs="Arial"/>
                <w:i/>
                <w:iCs/>
              </w:rPr>
              <w:fldChar w:fldCharType="separate"/>
            </w:r>
            <w:r w:rsidR="00302D39" w:rsidRPr="00302D39">
              <w:rPr>
                <w:i/>
                <w:iCs/>
              </w:rPr>
              <w:t>Payments on Termination</w:t>
            </w:r>
            <w:r w:rsidRPr="00B91437">
              <w:rPr>
                <w:rFonts w:cs="Arial"/>
                <w:i/>
                <w:iCs/>
              </w:rPr>
              <w:fldChar w:fldCharType="end"/>
            </w:r>
            <w:r>
              <w:rPr>
                <w:rFonts w:cs="Arial"/>
              </w:rPr>
              <w:t>)</w:t>
            </w:r>
            <w:r w:rsidRPr="00724541">
              <w:rPr>
                <w:rFonts w:cs="Arial"/>
              </w:rPr>
              <w:t>;</w:t>
            </w:r>
          </w:p>
        </w:tc>
      </w:tr>
      <w:tr w:rsidR="00F67E9E" w:rsidRPr="00724541" w14:paraId="0D6DD631" w14:textId="77777777" w:rsidTr="007F74AA">
        <w:tc>
          <w:tcPr>
            <w:tcW w:w="2835" w:type="dxa"/>
          </w:tcPr>
          <w:p w14:paraId="78381685" w14:textId="77777777" w:rsidR="00F67E9E" w:rsidRPr="00724541" w:rsidRDefault="00F67E9E" w:rsidP="007F74AA">
            <w:pPr>
              <w:pStyle w:val="StdBodyTextBold"/>
              <w:rPr>
                <w:rFonts w:cs="Arial"/>
              </w:rPr>
            </w:pPr>
            <w:r>
              <w:rPr>
                <w:rFonts w:cs="Arial"/>
              </w:rPr>
              <w:t>“</w:t>
            </w:r>
            <w:r w:rsidRPr="00724541">
              <w:rPr>
                <w:rFonts w:cs="Arial"/>
              </w:rPr>
              <w:t>Condition Precedent</w:t>
            </w:r>
            <w:r>
              <w:rPr>
                <w:rFonts w:cs="Arial"/>
              </w:rPr>
              <w:t>”</w:t>
            </w:r>
          </w:p>
        </w:tc>
        <w:tc>
          <w:tcPr>
            <w:tcW w:w="6803" w:type="dxa"/>
          </w:tcPr>
          <w:p w14:paraId="1AC4DD63" w14:textId="77777777" w:rsidR="00F67E9E" w:rsidRPr="00724541" w:rsidRDefault="00F67E9E" w:rsidP="007F74AA">
            <w:pPr>
              <w:pStyle w:val="StdBodyText"/>
              <w:rPr>
                <w:rFonts w:cs="Arial"/>
              </w:rPr>
            </w:pPr>
            <w:r w:rsidRPr="00724541">
              <w:rPr>
                <w:rFonts w:cs="Arial"/>
              </w:rPr>
              <w:t xml:space="preserve">has the meaning given in </w:t>
            </w:r>
            <w:bookmarkStart w:id="77" w:name="_9kMIH5YVt4DD8IOSEjtCxAM"/>
            <w:r w:rsidRPr="00724541">
              <w:rPr>
                <w:rFonts w:cs="Arial"/>
              </w:rPr>
              <w:t xml:space="preserve">Clause </w:t>
            </w:r>
            <w:bookmarkEnd w:id="77"/>
            <w:r w:rsidRPr="00724541">
              <w:rPr>
                <w:rFonts w:cs="Arial"/>
              </w:rPr>
              <w:t>4.2 (</w:t>
            </w:r>
            <w:r w:rsidRPr="00C04B2F">
              <w:rPr>
                <w:rFonts w:cs="Arial"/>
                <w:i/>
                <w:iCs/>
              </w:rPr>
              <w:t>Condition Precedent</w:t>
            </w:r>
            <w:r w:rsidRPr="00724541">
              <w:rPr>
                <w:rFonts w:cs="Arial"/>
              </w:rPr>
              <w:t>);</w:t>
            </w:r>
          </w:p>
        </w:tc>
      </w:tr>
      <w:tr w:rsidR="00F67E9E" w:rsidRPr="00724541" w14:paraId="58E8ABF2" w14:textId="77777777" w:rsidTr="007F74AA">
        <w:tc>
          <w:tcPr>
            <w:tcW w:w="2835" w:type="dxa"/>
          </w:tcPr>
          <w:p w14:paraId="49BEC442" w14:textId="77777777" w:rsidR="00F67E9E" w:rsidRPr="00724541" w:rsidRDefault="00F67E9E" w:rsidP="007F74AA">
            <w:pPr>
              <w:pStyle w:val="StdBodyTextBold"/>
              <w:rPr>
                <w:rFonts w:cs="Arial"/>
              </w:rPr>
            </w:pPr>
            <w:r>
              <w:rPr>
                <w:rFonts w:cs="Arial"/>
              </w:rPr>
              <w:t>“</w:t>
            </w:r>
            <w:r w:rsidRPr="00724541">
              <w:rPr>
                <w:rFonts w:cs="Arial"/>
              </w:rPr>
              <w:t>Confidential Information</w:t>
            </w:r>
            <w:r>
              <w:rPr>
                <w:rFonts w:cs="Arial"/>
              </w:rPr>
              <w:t>”</w:t>
            </w:r>
          </w:p>
        </w:tc>
        <w:tc>
          <w:tcPr>
            <w:tcW w:w="6803" w:type="dxa"/>
          </w:tcPr>
          <w:p w14:paraId="367BE321" w14:textId="77777777" w:rsidR="00F67E9E" w:rsidRPr="00724541" w:rsidRDefault="00F67E9E" w:rsidP="007F74AA">
            <w:pPr>
              <w:pStyle w:val="DefinitionList"/>
              <w:numPr>
                <w:ilvl w:val="0"/>
                <w:numId w:val="185"/>
              </w:numPr>
            </w:pPr>
            <w:r w:rsidRPr="00577E60">
              <w:rPr>
                <w:rFonts w:cs="Arial"/>
              </w:rPr>
              <w:t>Information</w:t>
            </w:r>
            <w:r w:rsidRPr="00724541">
              <w:t>, including all Personal Data, which (however it is conveyed) is provided by the Disclosing Party pursuant to or in anticipation of this Contract that relates to:</w:t>
            </w:r>
          </w:p>
          <w:p w14:paraId="49C549F2" w14:textId="77777777" w:rsidR="00F67E9E" w:rsidRPr="00724541" w:rsidRDefault="00F67E9E" w:rsidP="00F67E9E">
            <w:pPr>
              <w:pStyle w:val="DefinitionListLevel1"/>
              <w:numPr>
                <w:ilvl w:val="1"/>
                <w:numId w:val="108"/>
              </w:numPr>
            </w:pPr>
            <w:r w:rsidRPr="00724541">
              <w:t>the Disclosing Party Group; or</w:t>
            </w:r>
          </w:p>
          <w:p w14:paraId="30B2A467" w14:textId="77777777" w:rsidR="00F67E9E" w:rsidRPr="00724541" w:rsidRDefault="00F67E9E" w:rsidP="00F67E9E">
            <w:pPr>
              <w:pStyle w:val="DefinitionListLevel1"/>
              <w:numPr>
                <w:ilvl w:val="1"/>
                <w:numId w:val="108"/>
              </w:numPr>
              <w:rPr>
                <w:rFonts w:cs="Arial"/>
              </w:rPr>
            </w:pPr>
            <w:r w:rsidRPr="00724541">
              <w:rPr>
                <w:rFonts w:cs="Arial"/>
              </w:rPr>
              <w:t>the operations, business, affairs, developments, intellectual property rights, trade secrets, know-how and/or personnel of the Disclosing Party Group;</w:t>
            </w:r>
          </w:p>
          <w:p w14:paraId="5059D4F0" w14:textId="77777777" w:rsidR="00F67E9E" w:rsidRPr="00724541" w:rsidRDefault="00F67E9E" w:rsidP="00F67E9E">
            <w:pPr>
              <w:pStyle w:val="DefinitionList"/>
              <w:numPr>
                <w:ilvl w:val="0"/>
                <w:numId w:val="108"/>
              </w:numPr>
            </w:pPr>
            <w:r w:rsidRPr="00724541">
              <w:t xml:space="preserve">other Information provided by the Disclosing Party pursuant to or in anticipation of this Contract that is clearly designated as being confidential or </w:t>
            </w:r>
            <w:bookmarkStart w:id="78" w:name="_9kR3WTr5DA48Amp6z1ulqt9"/>
            <w:r w:rsidRPr="00724541">
              <w:t>equivalent</w:t>
            </w:r>
            <w:bookmarkEnd w:id="78"/>
            <w:r w:rsidRPr="00724541">
              <w:t xml:space="preserve"> or that ought reasonably to be considered to be confidential (whether or not it is so marked) which comes (or has come) to the Recipient</w:t>
            </w:r>
            <w:r>
              <w:t>’</w:t>
            </w:r>
            <w:r w:rsidRPr="00724541">
              <w:t>s attention or into the Recipient</w:t>
            </w:r>
            <w:r>
              <w:t>’</w:t>
            </w:r>
            <w:r w:rsidRPr="00724541">
              <w:t xml:space="preserve">s possession in connection with this Contract; </w:t>
            </w:r>
          </w:p>
          <w:p w14:paraId="214AED01" w14:textId="77777777" w:rsidR="00F67E9E" w:rsidRPr="00724541" w:rsidRDefault="00F67E9E" w:rsidP="00F67E9E">
            <w:pPr>
              <w:pStyle w:val="DefinitionList"/>
              <w:numPr>
                <w:ilvl w:val="0"/>
                <w:numId w:val="108"/>
              </w:numPr>
              <w:rPr>
                <w:rFonts w:cs="Arial"/>
              </w:rPr>
            </w:pPr>
            <w:r w:rsidRPr="00724541">
              <w:rPr>
                <w:rFonts w:cs="Arial"/>
              </w:rPr>
              <w:t>discussions, negotiations, and correspondence between the Disclosing Party or any of its directors, officers, employees, consultants or professional advisers and the Recipient or any of its directors, officers, employees, consultants and professional advisers in connection with this Contract and all matters arising therefrom; and</w:t>
            </w:r>
          </w:p>
          <w:p w14:paraId="527315D4" w14:textId="77777777" w:rsidR="00F67E9E" w:rsidRPr="00724541" w:rsidRDefault="00F67E9E" w:rsidP="00F67E9E">
            <w:pPr>
              <w:pStyle w:val="DefinitionList"/>
              <w:numPr>
                <w:ilvl w:val="0"/>
                <w:numId w:val="108"/>
              </w:numPr>
              <w:rPr>
                <w:rFonts w:cs="Arial"/>
              </w:rPr>
            </w:pPr>
            <w:r w:rsidRPr="00724541">
              <w:rPr>
                <w:rFonts w:cs="Arial"/>
              </w:rPr>
              <w:t>Information derived from any of the above,</w:t>
            </w:r>
          </w:p>
          <w:p w14:paraId="24195762" w14:textId="77777777" w:rsidR="00F67E9E" w:rsidRPr="00724541" w:rsidRDefault="00F67E9E" w:rsidP="007F74AA">
            <w:pPr>
              <w:pStyle w:val="StdBodyText"/>
              <w:rPr>
                <w:rFonts w:cs="Arial"/>
              </w:rPr>
            </w:pPr>
            <w:r w:rsidRPr="00724541">
              <w:rPr>
                <w:rFonts w:cs="Arial"/>
              </w:rPr>
              <w:t>but not including any Information which:</w:t>
            </w:r>
          </w:p>
          <w:p w14:paraId="7B3A1D9E" w14:textId="77777777" w:rsidR="00F67E9E" w:rsidRPr="00724541" w:rsidRDefault="00F67E9E" w:rsidP="00F67E9E">
            <w:pPr>
              <w:pStyle w:val="DefinitionListLevel1"/>
              <w:numPr>
                <w:ilvl w:val="1"/>
                <w:numId w:val="108"/>
              </w:numPr>
            </w:pPr>
            <w:r w:rsidRPr="00724541">
              <w:t xml:space="preserve">was in the possession of the Recipient without obligation of confidentiality prior to its disclosure by the Disclosing Party; </w:t>
            </w:r>
          </w:p>
          <w:p w14:paraId="7F8F407D" w14:textId="77777777" w:rsidR="00F67E9E" w:rsidRPr="00724541" w:rsidRDefault="00F67E9E" w:rsidP="00F67E9E">
            <w:pPr>
              <w:pStyle w:val="DefinitionListLevel1"/>
              <w:numPr>
                <w:ilvl w:val="1"/>
                <w:numId w:val="108"/>
              </w:numPr>
              <w:rPr>
                <w:rFonts w:cs="Arial"/>
              </w:rPr>
            </w:pPr>
            <w:r w:rsidRPr="00724541">
              <w:rPr>
                <w:rFonts w:cs="Arial"/>
              </w:rPr>
              <w:t>the Recipient obtained on a non-confidential basis from a third party who is not, to the Recipient</w:t>
            </w:r>
            <w:r>
              <w:rPr>
                <w:rFonts w:cs="Arial"/>
              </w:rPr>
              <w:t>’</w:t>
            </w:r>
            <w:r w:rsidRPr="00724541">
              <w:rPr>
                <w:rFonts w:cs="Arial"/>
              </w:rPr>
              <w:t xml:space="preserve">s knowledge or belief, bound by a </w:t>
            </w:r>
            <w:bookmarkStart w:id="79" w:name="_9kR3WTr2AADMGllxplkhs84mqz8P7q87v457NXN"/>
            <w:r w:rsidRPr="00724541">
              <w:rPr>
                <w:rFonts w:cs="Arial"/>
              </w:rPr>
              <w:t>confidentiality agreement with the Disclosing Party</w:t>
            </w:r>
            <w:bookmarkEnd w:id="79"/>
            <w:r w:rsidRPr="00724541">
              <w:rPr>
                <w:rFonts w:cs="Arial"/>
              </w:rPr>
              <w:t xml:space="preserve"> or otherwise prohibited from disclosing the information to the Recipient; </w:t>
            </w:r>
          </w:p>
          <w:p w14:paraId="35A9F29F" w14:textId="77777777" w:rsidR="00F67E9E" w:rsidRPr="00724541" w:rsidRDefault="00F67E9E" w:rsidP="00F67E9E">
            <w:pPr>
              <w:pStyle w:val="DefinitionListLevel1"/>
              <w:numPr>
                <w:ilvl w:val="1"/>
                <w:numId w:val="108"/>
              </w:numPr>
              <w:rPr>
                <w:rFonts w:cs="Arial"/>
              </w:rPr>
            </w:pPr>
            <w:r w:rsidRPr="00724541">
              <w:rPr>
                <w:rFonts w:cs="Arial"/>
              </w:rPr>
              <w:t xml:space="preserve">was already generally available and in the public domain at the time of disclosure otherwise than by a breach of this Contract or breach of a duty of confidentiality; </w:t>
            </w:r>
          </w:p>
          <w:p w14:paraId="53CD974D" w14:textId="77777777" w:rsidR="00F67E9E" w:rsidRPr="00724541" w:rsidRDefault="00F67E9E" w:rsidP="00F67E9E">
            <w:pPr>
              <w:pStyle w:val="DefinitionListLevel1"/>
              <w:numPr>
                <w:ilvl w:val="1"/>
                <w:numId w:val="108"/>
              </w:numPr>
              <w:rPr>
                <w:rFonts w:cs="Arial"/>
              </w:rPr>
            </w:pPr>
            <w:r w:rsidRPr="00724541">
              <w:rPr>
                <w:rFonts w:cs="Arial"/>
              </w:rPr>
              <w:t>was independently developed without access to the Confidential Information; or</w:t>
            </w:r>
          </w:p>
          <w:p w14:paraId="11324123" w14:textId="77777777" w:rsidR="00F67E9E" w:rsidRPr="00724541" w:rsidRDefault="00F67E9E" w:rsidP="00F67E9E">
            <w:pPr>
              <w:pStyle w:val="DefinitionListLevel1"/>
              <w:numPr>
                <w:ilvl w:val="1"/>
                <w:numId w:val="108"/>
              </w:numPr>
              <w:rPr>
                <w:rFonts w:cs="Arial"/>
              </w:rPr>
            </w:pPr>
            <w:r w:rsidRPr="00724541">
              <w:rPr>
                <w:rFonts w:cs="Arial"/>
              </w:rPr>
              <w:t>relates to the Supplier</w:t>
            </w:r>
            <w:r>
              <w:rPr>
                <w:rFonts w:cs="Arial"/>
              </w:rPr>
              <w:t>’</w:t>
            </w:r>
            <w:r w:rsidRPr="00724541">
              <w:rPr>
                <w:rFonts w:cs="Arial"/>
              </w:rPr>
              <w:t>s:</w:t>
            </w:r>
          </w:p>
          <w:p w14:paraId="4FF99F39" w14:textId="77777777" w:rsidR="00F67E9E" w:rsidRPr="00724541" w:rsidRDefault="00F67E9E" w:rsidP="00F67E9E">
            <w:pPr>
              <w:pStyle w:val="DefinitionListLevel2"/>
              <w:numPr>
                <w:ilvl w:val="2"/>
                <w:numId w:val="108"/>
              </w:numPr>
              <w:ind w:left="2160"/>
            </w:pPr>
            <w:r w:rsidRPr="00724541">
              <w:t xml:space="preserve">performance under this Contract; or </w:t>
            </w:r>
          </w:p>
          <w:p w14:paraId="365E40CC" w14:textId="77777777" w:rsidR="00F67E9E" w:rsidRPr="00724541" w:rsidRDefault="00F67E9E" w:rsidP="00F67E9E">
            <w:pPr>
              <w:pStyle w:val="DefinitionListLevel2"/>
              <w:numPr>
                <w:ilvl w:val="2"/>
                <w:numId w:val="108"/>
              </w:numPr>
              <w:ind w:left="2160"/>
              <w:rPr>
                <w:rFonts w:cs="Arial"/>
              </w:rPr>
            </w:pPr>
            <w:r w:rsidRPr="00724541">
              <w:rPr>
                <w:rFonts w:cs="Arial"/>
              </w:rPr>
              <w:t xml:space="preserve">failure to pay any Sub-contractor as required pursuant to </w:t>
            </w:r>
            <w:bookmarkStart w:id="80" w:name="_9kMJI5YVtCIAEFFHGHIsqr12sHPFzvBJMRCxCUP"/>
            <w:r w:rsidRPr="00724541">
              <w:rPr>
                <w:rFonts w:cs="Arial"/>
              </w:rPr>
              <w:t xml:space="preserve">Clause </w:t>
            </w:r>
            <w:bookmarkEnd w:id="80"/>
            <w:r w:rsidRPr="00724541">
              <w:rPr>
                <w:rFonts w:cs="Arial"/>
              </w:rPr>
              <w:t>15.15(a) (</w:t>
            </w:r>
            <w:r w:rsidRPr="00C04B2F">
              <w:rPr>
                <w:rFonts w:cs="Arial"/>
                <w:i/>
                <w:iCs/>
              </w:rPr>
              <w:t>Supply Chain Protection</w:t>
            </w:r>
            <w:r w:rsidRPr="00724541">
              <w:rPr>
                <w:rFonts w:cs="Arial"/>
              </w:rPr>
              <w:t>);</w:t>
            </w:r>
          </w:p>
        </w:tc>
      </w:tr>
      <w:tr w:rsidR="00F67E9E" w:rsidRPr="00724541" w14:paraId="76576F6B" w14:textId="77777777" w:rsidTr="007F74AA">
        <w:tc>
          <w:tcPr>
            <w:tcW w:w="2835" w:type="dxa"/>
          </w:tcPr>
          <w:p w14:paraId="71195AF2" w14:textId="77777777" w:rsidR="00F67E9E" w:rsidRPr="00724541" w:rsidRDefault="00F67E9E" w:rsidP="007F74AA">
            <w:pPr>
              <w:pStyle w:val="StdBodyTextBold"/>
              <w:keepNext/>
              <w:rPr>
                <w:rFonts w:cs="Arial"/>
              </w:rPr>
            </w:pPr>
            <w:r>
              <w:rPr>
                <w:rFonts w:cs="Arial"/>
              </w:rPr>
              <w:t>“</w:t>
            </w:r>
            <w:r w:rsidRPr="00724541">
              <w:rPr>
                <w:rFonts w:cs="Arial"/>
              </w:rPr>
              <w:t>Conflict of Interest</w:t>
            </w:r>
            <w:r>
              <w:rPr>
                <w:rFonts w:cs="Arial"/>
              </w:rPr>
              <w:t>”</w:t>
            </w:r>
          </w:p>
        </w:tc>
        <w:tc>
          <w:tcPr>
            <w:tcW w:w="6803" w:type="dxa"/>
          </w:tcPr>
          <w:p w14:paraId="74C2F5AA" w14:textId="77777777" w:rsidR="00F67E9E" w:rsidRPr="005D0525" w:rsidRDefault="00F67E9E" w:rsidP="007F74AA">
            <w:pPr>
              <w:pStyle w:val="StdBodyText"/>
              <w:rPr>
                <w:rFonts w:cs="Arial"/>
              </w:rPr>
            </w:pPr>
            <w:r w:rsidRPr="005D0525">
              <w:rPr>
                <w:rFonts w:cs="Arial"/>
              </w:rPr>
              <w:t>a conflict between the financial or personal duties of the Supplier or the Supplier Personnel and the duties owed to the Authority under the Contract, in the reasonable opinion of the Authority;</w:t>
            </w:r>
          </w:p>
        </w:tc>
      </w:tr>
      <w:tr w:rsidR="00F67E9E" w:rsidRPr="00724541" w14:paraId="5115DCF0" w14:textId="77777777" w:rsidTr="007F74AA">
        <w:tc>
          <w:tcPr>
            <w:tcW w:w="2835" w:type="dxa"/>
          </w:tcPr>
          <w:p w14:paraId="135A5508" w14:textId="77777777" w:rsidR="00F67E9E" w:rsidRDefault="00F67E9E" w:rsidP="007F74AA">
            <w:pPr>
              <w:pStyle w:val="StdBodyTextBold"/>
              <w:keepNext/>
              <w:rPr>
                <w:rFonts w:cs="Arial"/>
              </w:rPr>
            </w:pPr>
            <w:r>
              <w:rPr>
                <w:rFonts w:eastAsia="Arial" w:cs="Arial"/>
                <w:color w:val="000000"/>
              </w:rPr>
              <w:t>“Contract”</w:t>
            </w:r>
          </w:p>
        </w:tc>
        <w:tc>
          <w:tcPr>
            <w:tcW w:w="6803" w:type="dxa"/>
          </w:tcPr>
          <w:p w14:paraId="0B7CE2CF" w14:textId="77777777" w:rsidR="00F67E9E" w:rsidRPr="005D0525" w:rsidRDefault="00F67E9E" w:rsidP="007F74AA">
            <w:pPr>
              <w:pStyle w:val="StdBodyText"/>
              <w:rPr>
                <w:rFonts w:cs="Arial"/>
              </w:rPr>
            </w:pPr>
            <w:r>
              <w:rPr>
                <w:rFonts w:eastAsia="Arial" w:cs="Arial"/>
                <w:color w:val="000000"/>
              </w:rPr>
              <w:t>the contract between the Authority and the Supplier;</w:t>
            </w:r>
          </w:p>
        </w:tc>
      </w:tr>
      <w:tr w:rsidR="00F67E9E" w:rsidRPr="00724541" w14:paraId="7C9F6CC1" w14:textId="77777777" w:rsidTr="007F74AA">
        <w:tc>
          <w:tcPr>
            <w:tcW w:w="2835" w:type="dxa"/>
          </w:tcPr>
          <w:p w14:paraId="4EC9D6CD" w14:textId="77777777" w:rsidR="00F67E9E" w:rsidRPr="00724541" w:rsidRDefault="00F67E9E" w:rsidP="007F74AA">
            <w:pPr>
              <w:pStyle w:val="StdBodyTextBold"/>
              <w:rPr>
                <w:rFonts w:cs="Arial"/>
              </w:rPr>
            </w:pPr>
            <w:r>
              <w:rPr>
                <w:rFonts w:cs="Arial"/>
              </w:rPr>
              <w:t>“</w:t>
            </w:r>
            <w:r w:rsidRPr="00724541">
              <w:rPr>
                <w:rFonts w:cs="Arial"/>
              </w:rPr>
              <w:t>Contract Change</w:t>
            </w:r>
            <w:r>
              <w:rPr>
                <w:rFonts w:cs="Arial"/>
              </w:rPr>
              <w:t>”</w:t>
            </w:r>
          </w:p>
        </w:tc>
        <w:tc>
          <w:tcPr>
            <w:tcW w:w="6803" w:type="dxa"/>
          </w:tcPr>
          <w:p w14:paraId="30425ABA" w14:textId="77777777" w:rsidR="00F67E9E" w:rsidRPr="00724541" w:rsidRDefault="00F67E9E" w:rsidP="007F74AA">
            <w:pPr>
              <w:pStyle w:val="StdBodyText"/>
              <w:rPr>
                <w:rFonts w:cs="Arial"/>
              </w:rPr>
            </w:pPr>
            <w:r w:rsidRPr="00724541">
              <w:rPr>
                <w:rFonts w:cs="Arial"/>
              </w:rPr>
              <w:t>any change to this Contract other than an Operational Change;</w:t>
            </w:r>
          </w:p>
        </w:tc>
      </w:tr>
      <w:tr w:rsidR="00F67E9E" w:rsidRPr="00724541" w14:paraId="001D004E" w14:textId="77777777" w:rsidTr="007F74AA">
        <w:tc>
          <w:tcPr>
            <w:tcW w:w="2835" w:type="dxa"/>
          </w:tcPr>
          <w:p w14:paraId="0B1C2A7E" w14:textId="77777777" w:rsidR="00F67E9E" w:rsidRPr="00724541" w:rsidRDefault="00F67E9E" w:rsidP="007F74AA">
            <w:pPr>
              <w:pStyle w:val="StdBodyTextBold"/>
              <w:rPr>
                <w:rFonts w:cs="Arial"/>
              </w:rPr>
            </w:pPr>
            <w:r>
              <w:rPr>
                <w:rFonts w:cs="Arial"/>
              </w:rPr>
              <w:t>“</w:t>
            </w:r>
            <w:r w:rsidRPr="00724541">
              <w:rPr>
                <w:rFonts w:cs="Arial"/>
              </w:rPr>
              <w:t>Contract Inception Report</w:t>
            </w:r>
            <w:r>
              <w:rPr>
                <w:rFonts w:cs="Arial"/>
              </w:rPr>
              <w:t>”</w:t>
            </w:r>
          </w:p>
        </w:tc>
        <w:tc>
          <w:tcPr>
            <w:tcW w:w="6803" w:type="dxa"/>
          </w:tcPr>
          <w:p w14:paraId="5296D959" w14:textId="77777777" w:rsidR="00F67E9E" w:rsidRPr="00724541" w:rsidRDefault="00F67E9E" w:rsidP="007F74AA">
            <w:pPr>
              <w:pStyle w:val="StdBodyText"/>
              <w:rPr>
                <w:rFonts w:cs="Arial"/>
              </w:rPr>
            </w:pPr>
            <w:r w:rsidRPr="00724541">
              <w:rPr>
                <w:rFonts w:cs="Arial"/>
              </w:rPr>
              <w:t xml:space="preserve">the initial financial </w:t>
            </w:r>
            <w:bookmarkStart w:id="81" w:name="_9kR3WTr5DA48Bvvnen"/>
            <w:r w:rsidRPr="00724541">
              <w:rPr>
                <w:rFonts w:cs="Arial"/>
              </w:rPr>
              <w:t>model</w:t>
            </w:r>
            <w:bookmarkEnd w:id="81"/>
            <w:r w:rsidRPr="00724541">
              <w:rPr>
                <w:rFonts w:cs="Arial"/>
              </w:rPr>
              <w:t xml:space="preserve"> in a form agreed by the Supplier and the Authority in writing on or before the Effective Date;</w:t>
            </w:r>
          </w:p>
        </w:tc>
      </w:tr>
      <w:tr w:rsidR="00F67E9E" w:rsidRPr="00724541" w14:paraId="7FAC66AA" w14:textId="77777777" w:rsidTr="007F74AA">
        <w:tc>
          <w:tcPr>
            <w:tcW w:w="2835" w:type="dxa"/>
          </w:tcPr>
          <w:p w14:paraId="73A1630F" w14:textId="77777777" w:rsidR="00F67E9E" w:rsidRPr="00724541" w:rsidRDefault="00F67E9E" w:rsidP="007F74AA">
            <w:pPr>
              <w:pStyle w:val="StdBodyTextBold"/>
              <w:rPr>
                <w:rFonts w:cs="Arial"/>
              </w:rPr>
            </w:pPr>
            <w:r>
              <w:rPr>
                <w:rFonts w:cs="Arial"/>
              </w:rPr>
              <w:t>“</w:t>
            </w:r>
            <w:r w:rsidRPr="00724541">
              <w:rPr>
                <w:rFonts w:cs="Arial"/>
              </w:rPr>
              <w:t>Contracts Finder</w:t>
            </w:r>
            <w:r>
              <w:rPr>
                <w:rFonts w:cs="Arial"/>
              </w:rPr>
              <w:t>”</w:t>
            </w:r>
          </w:p>
        </w:tc>
        <w:tc>
          <w:tcPr>
            <w:tcW w:w="6803" w:type="dxa"/>
          </w:tcPr>
          <w:p w14:paraId="11623588" w14:textId="77777777" w:rsidR="00F67E9E" w:rsidRPr="00724541" w:rsidRDefault="00F67E9E" w:rsidP="007F74AA">
            <w:pPr>
              <w:pStyle w:val="StdBodyText"/>
              <w:rPr>
                <w:rFonts w:cs="Arial"/>
              </w:rPr>
            </w:pPr>
            <w:r w:rsidRPr="00724541">
              <w:rPr>
                <w:rFonts w:cs="Arial"/>
              </w:rPr>
              <w:t xml:space="preserve">the online government portal which allows suppliers to search for information about contracts as prescribed by </w:t>
            </w:r>
            <w:bookmarkStart w:id="82" w:name="_9kR3WTr2AADJHcEn7L4tz2oXi1t1tOVDJO6sC2i"/>
            <w:r w:rsidRPr="00724541">
              <w:rPr>
                <w:rFonts w:cs="Arial"/>
              </w:rPr>
              <w:t>Part 4 of the Public Contract Regulations 2015</w:t>
            </w:r>
            <w:bookmarkEnd w:id="82"/>
            <w:r w:rsidRPr="00724541">
              <w:rPr>
                <w:rFonts w:cs="Arial"/>
              </w:rPr>
              <w:t>;</w:t>
            </w:r>
          </w:p>
        </w:tc>
      </w:tr>
      <w:tr w:rsidR="00F67E9E" w:rsidRPr="00724541" w14:paraId="40A89AAE" w14:textId="77777777" w:rsidTr="007F74AA">
        <w:tc>
          <w:tcPr>
            <w:tcW w:w="2835" w:type="dxa"/>
          </w:tcPr>
          <w:p w14:paraId="13EB73CF" w14:textId="77777777" w:rsidR="00F67E9E" w:rsidRPr="00724541" w:rsidRDefault="00F67E9E" w:rsidP="007F74AA">
            <w:pPr>
              <w:pStyle w:val="StdBodyTextBold"/>
              <w:rPr>
                <w:rFonts w:cs="Arial"/>
              </w:rPr>
            </w:pPr>
            <w:r>
              <w:rPr>
                <w:rFonts w:cs="Arial"/>
              </w:rPr>
              <w:t>“</w:t>
            </w:r>
            <w:r w:rsidRPr="00724541">
              <w:rPr>
                <w:rFonts w:cs="Arial"/>
              </w:rPr>
              <w:t>Contract Year</w:t>
            </w:r>
            <w:r>
              <w:rPr>
                <w:rFonts w:cs="Arial"/>
              </w:rPr>
              <w:t>”</w:t>
            </w:r>
          </w:p>
        </w:tc>
        <w:tc>
          <w:tcPr>
            <w:tcW w:w="6803" w:type="dxa"/>
          </w:tcPr>
          <w:p w14:paraId="4AC67CFA" w14:textId="77777777" w:rsidR="00F67E9E" w:rsidRPr="00724541" w:rsidRDefault="00F67E9E" w:rsidP="007F74AA">
            <w:pPr>
              <w:pStyle w:val="DefinitionList"/>
              <w:numPr>
                <w:ilvl w:val="0"/>
                <w:numId w:val="186"/>
              </w:numPr>
            </w:pPr>
            <w:r w:rsidRPr="00724541">
              <w:t>a period of 12 months commencing on the Effective Date; or</w:t>
            </w:r>
          </w:p>
          <w:p w14:paraId="3BB5662D" w14:textId="77777777" w:rsidR="00F67E9E" w:rsidRPr="00724541" w:rsidRDefault="00F67E9E" w:rsidP="00F67E9E">
            <w:pPr>
              <w:pStyle w:val="DefinitionList"/>
              <w:numPr>
                <w:ilvl w:val="0"/>
                <w:numId w:val="108"/>
              </w:numPr>
              <w:rPr>
                <w:rFonts w:cs="Arial"/>
              </w:rPr>
            </w:pPr>
            <w:r w:rsidRPr="00724541">
              <w:rPr>
                <w:rFonts w:cs="Arial"/>
              </w:rPr>
              <w:t>thereafter a period of 12 months commencing on each anniversary of the Effective Date;</w:t>
            </w:r>
          </w:p>
          <w:p w14:paraId="391DA0A5" w14:textId="77777777" w:rsidR="00F67E9E" w:rsidRPr="00724541" w:rsidRDefault="00F67E9E" w:rsidP="007F74AA">
            <w:pPr>
              <w:pStyle w:val="StdBodyText"/>
              <w:rPr>
                <w:rFonts w:cs="Arial"/>
              </w:rPr>
            </w:pPr>
            <w:r w:rsidRPr="00724541">
              <w:rPr>
                <w:rFonts w:cs="Arial"/>
              </w:rPr>
              <w:t>provided that the final Contract Year shall end on the expiry or termination of the Term;</w:t>
            </w:r>
          </w:p>
        </w:tc>
      </w:tr>
      <w:tr w:rsidR="00F67E9E" w:rsidRPr="00724541" w14:paraId="22E80A95" w14:textId="77777777" w:rsidTr="007F74AA">
        <w:tc>
          <w:tcPr>
            <w:tcW w:w="2835" w:type="dxa"/>
          </w:tcPr>
          <w:p w14:paraId="1F42DCA8" w14:textId="77777777" w:rsidR="00F67E9E" w:rsidRPr="00724541" w:rsidRDefault="00F67E9E" w:rsidP="007F74AA">
            <w:pPr>
              <w:pStyle w:val="StdBodyTextBold"/>
              <w:rPr>
                <w:rFonts w:cs="Arial"/>
              </w:rPr>
            </w:pPr>
            <w:r>
              <w:rPr>
                <w:rFonts w:cs="Arial"/>
              </w:rPr>
              <w:t>“</w:t>
            </w:r>
            <w:r w:rsidRPr="00724541">
              <w:rPr>
                <w:rFonts w:cs="Arial"/>
              </w:rPr>
              <w:t>Control</w:t>
            </w:r>
            <w:r>
              <w:rPr>
                <w:rFonts w:cs="Arial"/>
              </w:rPr>
              <w:t>”</w:t>
            </w:r>
          </w:p>
        </w:tc>
        <w:tc>
          <w:tcPr>
            <w:tcW w:w="6803" w:type="dxa"/>
          </w:tcPr>
          <w:p w14:paraId="6317CB88" w14:textId="77777777" w:rsidR="00F67E9E" w:rsidRPr="00724541" w:rsidRDefault="00F67E9E" w:rsidP="007F74AA">
            <w:pPr>
              <w:pStyle w:val="StdBodyText"/>
              <w:rPr>
                <w:rFonts w:cs="Arial"/>
              </w:rPr>
            </w:pPr>
            <w:r w:rsidRPr="00724541">
              <w:rPr>
                <w:rFonts w:cs="Arial"/>
              </w:rPr>
              <w:t xml:space="preserve">the possession by person, directly or indirectly, of the power to direct or cause the direction of the management and policies of the other person (whether through the ownership of voting shares, by contract or otherwise) and </w:t>
            </w:r>
            <w:r>
              <w:rPr>
                <w:rFonts w:cs="Arial"/>
              </w:rPr>
              <w:t>“</w:t>
            </w:r>
            <w:r w:rsidRPr="00724541">
              <w:rPr>
                <w:rStyle w:val="StdBodyTextBoldChar"/>
                <w:rFonts w:cs="Arial"/>
              </w:rPr>
              <w:t>Controls</w:t>
            </w:r>
            <w:r>
              <w:rPr>
                <w:rFonts w:cs="Arial"/>
              </w:rPr>
              <w:t>”</w:t>
            </w:r>
            <w:r w:rsidRPr="00724541">
              <w:rPr>
                <w:rFonts w:cs="Arial"/>
              </w:rPr>
              <w:t xml:space="preserve"> and </w:t>
            </w:r>
            <w:r>
              <w:rPr>
                <w:rFonts w:cs="Arial"/>
              </w:rPr>
              <w:t>“</w:t>
            </w:r>
            <w:r w:rsidRPr="00724541">
              <w:rPr>
                <w:rStyle w:val="StdBodyTextBoldChar"/>
                <w:rFonts w:cs="Arial"/>
              </w:rPr>
              <w:t>Controlled</w:t>
            </w:r>
            <w:r>
              <w:rPr>
                <w:rFonts w:cs="Arial"/>
              </w:rPr>
              <w:t>”</w:t>
            </w:r>
            <w:r w:rsidRPr="00724541">
              <w:rPr>
                <w:rFonts w:cs="Arial"/>
              </w:rPr>
              <w:t xml:space="preserve"> shall be interpreted accordingly;</w:t>
            </w:r>
          </w:p>
        </w:tc>
      </w:tr>
      <w:tr w:rsidR="00F67E9E" w:rsidRPr="00724541" w14:paraId="451FA309" w14:textId="77777777" w:rsidTr="007F74AA">
        <w:tc>
          <w:tcPr>
            <w:tcW w:w="2835" w:type="dxa"/>
          </w:tcPr>
          <w:p w14:paraId="3AEAB85E" w14:textId="77777777" w:rsidR="00F67E9E" w:rsidRPr="00724541" w:rsidRDefault="00F67E9E" w:rsidP="007F74AA">
            <w:pPr>
              <w:pStyle w:val="StdBodyTextBold"/>
              <w:rPr>
                <w:rFonts w:cs="Arial"/>
              </w:rPr>
            </w:pPr>
            <w:r>
              <w:rPr>
                <w:rFonts w:cs="Arial"/>
              </w:rPr>
              <w:t>“</w:t>
            </w:r>
            <w:r w:rsidRPr="00724541">
              <w:rPr>
                <w:rFonts w:cs="Arial"/>
              </w:rPr>
              <w:t>Controller</w:t>
            </w:r>
            <w:r>
              <w:rPr>
                <w:rFonts w:cs="Arial"/>
              </w:rPr>
              <w:t>”</w:t>
            </w:r>
          </w:p>
        </w:tc>
        <w:tc>
          <w:tcPr>
            <w:tcW w:w="6803" w:type="dxa"/>
          </w:tcPr>
          <w:p w14:paraId="59AFB781" w14:textId="77777777" w:rsidR="00F67E9E" w:rsidRPr="00724541" w:rsidRDefault="00F67E9E" w:rsidP="007F74AA">
            <w:pPr>
              <w:pStyle w:val="StdBodyText"/>
              <w:rPr>
                <w:rFonts w:cs="Arial"/>
              </w:rPr>
            </w:pPr>
            <w:r w:rsidRPr="00724541">
              <w:rPr>
                <w:rFonts w:cs="Arial"/>
              </w:rPr>
              <w:t>has the meaning given in the UK GDPR or the EU GDPR as the context requires;</w:t>
            </w:r>
          </w:p>
        </w:tc>
      </w:tr>
      <w:tr w:rsidR="00F67E9E" w:rsidRPr="00724541" w14:paraId="207DD602" w14:textId="77777777" w:rsidTr="007F74AA">
        <w:tc>
          <w:tcPr>
            <w:tcW w:w="2835" w:type="dxa"/>
          </w:tcPr>
          <w:p w14:paraId="69BE5B92" w14:textId="77777777" w:rsidR="00F67E9E" w:rsidRPr="00724541" w:rsidRDefault="00F67E9E" w:rsidP="007F74AA">
            <w:pPr>
              <w:pStyle w:val="StdBodyTextBold"/>
              <w:rPr>
                <w:rFonts w:cs="Arial"/>
              </w:rPr>
            </w:pPr>
            <w:r>
              <w:rPr>
                <w:rFonts w:cs="Arial"/>
              </w:rPr>
              <w:t>“</w:t>
            </w:r>
            <w:r w:rsidRPr="00724541">
              <w:rPr>
                <w:rFonts w:cs="Arial"/>
              </w:rPr>
              <w:t>Corporate Change Event</w:t>
            </w:r>
            <w:r>
              <w:rPr>
                <w:rFonts w:cs="Arial"/>
              </w:rPr>
              <w:t>”</w:t>
            </w:r>
          </w:p>
        </w:tc>
        <w:tc>
          <w:tcPr>
            <w:tcW w:w="6803" w:type="dxa"/>
          </w:tcPr>
          <w:p w14:paraId="46CBDEEF" w14:textId="77777777" w:rsidR="00F67E9E" w:rsidRPr="00724541" w:rsidRDefault="00F67E9E" w:rsidP="007F74AA">
            <w:pPr>
              <w:pStyle w:val="StdBodyText"/>
              <w:rPr>
                <w:rFonts w:cs="Arial"/>
              </w:rPr>
            </w:pPr>
            <w:r w:rsidRPr="00724541">
              <w:rPr>
                <w:rFonts w:cs="Arial"/>
              </w:rPr>
              <w:t>means:</w:t>
            </w:r>
          </w:p>
          <w:p w14:paraId="16344A13" w14:textId="77777777" w:rsidR="00F67E9E" w:rsidRPr="00724541" w:rsidRDefault="00F67E9E" w:rsidP="007F74AA">
            <w:pPr>
              <w:pStyle w:val="DefinitionList"/>
              <w:numPr>
                <w:ilvl w:val="0"/>
                <w:numId w:val="187"/>
              </w:numPr>
            </w:pPr>
            <w:r w:rsidRPr="00724541">
              <w:t>any change of Control of the Supplier or a Parent Undertaking of the Supplier;</w:t>
            </w:r>
          </w:p>
          <w:p w14:paraId="6F0A66CF" w14:textId="77777777" w:rsidR="00F67E9E" w:rsidRPr="00724541" w:rsidRDefault="00F67E9E" w:rsidP="00F67E9E">
            <w:pPr>
              <w:pStyle w:val="DefinitionList"/>
              <w:numPr>
                <w:ilvl w:val="0"/>
                <w:numId w:val="108"/>
              </w:numPr>
              <w:rPr>
                <w:rFonts w:cs="Arial"/>
              </w:rPr>
            </w:pPr>
            <w:r w:rsidRPr="00724541">
              <w:rPr>
                <w:rFonts w:cs="Arial"/>
              </w:rPr>
              <w:t xml:space="preserve">any change of Control of any member of the Supplier Group which, in the reasonable opinion of the Authority, could have a material adverse effect on the Services; </w:t>
            </w:r>
          </w:p>
          <w:p w14:paraId="7D16FDF8" w14:textId="77777777" w:rsidR="00F67E9E" w:rsidRPr="00724541" w:rsidRDefault="00F67E9E" w:rsidP="00F67E9E">
            <w:pPr>
              <w:pStyle w:val="DefinitionList"/>
              <w:numPr>
                <w:ilvl w:val="0"/>
                <w:numId w:val="108"/>
              </w:numPr>
              <w:rPr>
                <w:rFonts w:cs="Arial"/>
              </w:rPr>
            </w:pPr>
            <w:r w:rsidRPr="00724541">
              <w:rPr>
                <w:rFonts w:cs="Arial"/>
              </w:rPr>
              <w:t>any change to the business of the Supplier or any member of the Supplier Group which, in the reasonable opinion of the Authority, could have a material adverse effect on the Services;</w:t>
            </w:r>
          </w:p>
          <w:p w14:paraId="761A0D26" w14:textId="77777777" w:rsidR="00F67E9E" w:rsidRPr="00724541" w:rsidRDefault="00F67E9E" w:rsidP="00F67E9E">
            <w:pPr>
              <w:pStyle w:val="DefinitionList"/>
              <w:numPr>
                <w:ilvl w:val="0"/>
                <w:numId w:val="108"/>
              </w:numPr>
              <w:rPr>
                <w:rFonts w:cs="Arial"/>
              </w:rPr>
            </w:pPr>
            <w:r w:rsidRPr="00724541">
              <w:rPr>
                <w:rFonts w:cs="Arial"/>
              </w:rPr>
              <w:t>a Class 1 Transaction taking place in relation to the shares of the Supplier or any Parent Undertaking of the Supplier whose shares are listed on the main market of the London Stock Exchange plc;</w:t>
            </w:r>
          </w:p>
          <w:p w14:paraId="607766F6" w14:textId="77777777" w:rsidR="00F67E9E" w:rsidRPr="00724541" w:rsidRDefault="00F67E9E" w:rsidP="00F67E9E">
            <w:pPr>
              <w:pStyle w:val="DefinitionList"/>
              <w:numPr>
                <w:ilvl w:val="0"/>
                <w:numId w:val="108"/>
              </w:numPr>
            </w:pPr>
            <w:bookmarkStart w:id="83" w:name="_Ref_ContractCompanion_9kb9Ur29B"/>
            <w:bookmarkStart w:id="84" w:name="_9kR3WTrAG86DHetjmj09ubTOACAD038SQv291am"/>
            <w:bookmarkStart w:id="85" w:name="_9kR3WTr299DIDctjmj09ubTOACAD038SQv291am"/>
            <w:r w:rsidRPr="00724541">
              <w:t>an event that could reasonably be regarded as being equivalent to a Class 1 Transaction taking place in respect of the Supplier or any Parent Undertaking of the Supplier;</w:t>
            </w:r>
            <w:bookmarkEnd w:id="83"/>
            <w:bookmarkEnd w:id="84"/>
            <w:bookmarkEnd w:id="85"/>
          </w:p>
          <w:p w14:paraId="5FB5C475" w14:textId="77777777" w:rsidR="00F67E9E" w:rsidRPr="00724541" w:rsidRDefault="00F67E9E" w:rsidP="00F67E9E">
            <w:pPr>
              <w:pStyle w:val="DefinitionList"/>
              <w:numPr>
                <w:ilvl w:val="0"/>
                <w:numId w:val="108"/>
              </w:numPr>
              <w:rPr>
                <w:rFonts w:cs="Arial"/>
              </w:rPr>
            </w:pPr>
            <w:r w:rsidRPr="00724541">
              <w:rPr>
                <w:rFonts w:cs="Arial"/>
              </w:rPr>
              <w:t>payment of dividends by the Supplier or the ultimate Parent Undertaking of the Supplier Group exceeding 25% of the Net Asset Value of the Supplier or the ultimate Parent Undertaking of the Supplier Group respectively in any 12 month period;</w:t>
            </w:r>
          </w:p>
          <w:p w14:paraId="5B3E9538" w14:textId="77777777" w:rsidR="00F67E9E" w:rsidRPr="00724541" w:rsidRDefault="00F67E9E" w:rsidP="00F67E9E">
            <w:pPr>
              <w:pStyle w:val="DefinitionList"/>
              <w:numPr>
                <w:ilvl w:val="0"/>
                <w:numId w:val="108"/>
              </w:numPr>
              <w:rPr>
                <w:rFonts w:cs="Arial"/>
              </w:rPr>
            </w:pPr>
            <w:bookmarkStart w:id="86" w:name="_9kR3WTrAG86DEbtjmj09ubTOACAD038SQv291am"/>
            <w:bookmarkStart w:id="87" w:name="_9kR3WTr299DICbtjmj09ubTOACAD038SQv291am"/>
            <w:bookmarkStart w:id="88" w:name="_Ref_ContractCompanion_9kb9Ur298"/>
            <w:r w:rsidRPr="00724541">
              <w:rPr>
                <w:rFonts w:cs="Arial"/>
              </w:rPr>
              <w:t>an order is made or an effective resolution is passed for the winding up of any member of the Supplier Group;</w:t>
            </w:r>
            <w:bookmarkEnd w:id="86"/>
            <w:bookmarkEnd w:id="87"/>
            <w:r w:rsidRPr="00724541">
              <w:rPr>
                <w:rFonts w:cs="Arial"/>
              </w:rPr>
              <w:t xml:space="preserve"> </w:t>
            </w:r>
            <w:bookmarkEnd w:id="88"/>
          </w:p>
          <w:p w14:paraId="0AEF6196" w14:textId="77777777" w:rsidR="00F67E9E" w:rsidRPr="00724541" w:rsidRDefault="00F67E9E" w:rsidP="00F67E9E">
            <w:pPr>
              <w:pStyle w:val="DefinitionList"/>
              <w:numPr>
                <w:ilvl w:val="0"/>
                <w:numId w:val="108"/>
              </w:numPr>
              <w:rPr>
                <w:rFonts w:cs="Arial"/>
              </w:rPr>
            </w:pPr>
            <w:r w:rsidRPr="00724541">
              <w:rPr>
                <w:rFonts w:cs="Arial"/>
              </w:rPr>
              <w:t xml:space="preserve">any member of the Supplier Group stopping payment of its debts generally or becoming unable to pay its debts within the meaning of </w:t>
            </w:r>
            <w:bookmarkStart w:id="89" w:name="_9kR3WTr277DH9zrcszv1FILL7z58uWaHJDLF87J"/>
            <w:r w:rsidRPr="00724541">
              <w:rPr>
                <w:rFonts w:cs="Arial"/>
              </w:rPr>
              <w:t>section 123(1) of the Insolvency Act 1986</w:t>
            </w:r>
            <w:bookmarkEnd w:id="89"/>
            <w:r w:rsidRPr="00724541">
              <w:rPr>
                <w:rFonts w:cs="Arial"/>
              </w:rPr>
              <w:t xml:space="preserve"> or any member of the Supplier Group ceasing to carry on all or substantially all its business, or any compromise, composition, arrangement or agreement being made with creditors of any member of the Supplier Group;</w:t>
            </w:r>
          </w:p>
          <w:p w14:paraId="1C7F5B9C" w14:textId="77777777" w:rsidR="00F67E9E" w:rsidRPr="00724541" w:rsidRDefault="00F67E9E" w:rsidP="00F67E9E">
            <w:pPr>
              <w:pStyle w:val="DefinitionList"/>
              <w:numPr>
                <w:ilvl w:val="0"/>
                <w:numId w:val="108"/>
              </w:numPr>
              <w:rPr>
                <w:rFonts w:cs="Arial"/>
              </w:rPr>
            </w:pPr>
            <w:r w:rsidRPr="00724541">
              <w:rPr>
                <w:rFonts w:cs="Arial"/>
              </w:rPr>
              <w:t>the appointment of a receiver, administrative receiver or administrator in respect of or over all or a material part of the undertaking or assets of any member of the Supplier Group; and/or</w:t>
            </w:r>
          </w:p>
          <w:p w14:paraId="5CEA3847" w14:textId="09755A2E" w:rsidR="00F67E9E" w:rsidRPr="00724541" w:rsidRDefault="00F67E9E" w:rsidP="00F67E9E">
            <w:pPr>
              <w:pStyle w:val="DefinitionList"/>
              <w:numPr>
                <w:ilvl w:val="0"/>
                <w:numId w:val="108"/>
              </w:numPr>
              <w:rPr>
                <w:rFonts w:cs="Arial"/>
              </w:rPr>
            </w:pPr>
            <w:r w:rsidRPr="00724541">
              <w:rPr>
                <w:rFonts w:cs="Arial"/>
              </w:rPr>
              <w:t xml:space="preserve">any process or events with an effect analogous to those in </w:t>
            </w:r>
            <w:bookmarkStart w:id="90" w:name="_9kMHG5YVtCIA8FJgvlol2BwdVQCECF25AUSx4B3"/>
            <w:r w:rsidRPr="00724541">
              <w:rPr>
                <w:rFonts w:cs="Arial"/>
              </w:rPr>
              <w:t xml:space="preserve">Paragraphs </w:t>
            </w:r>
            <w:r w:rsidRPr="00724541">
              <w:rPr>
                <w:rFonts w:cs="Arial"/>
              </w:rPr>
              <w:fldChar w:fldCharType="begin"/>
            </w:r>
            <w:r w:rsidRPr="00724541">
              <w:rPr>
                <w:rFonts w:cs="Arial"/>
              </w:rPr>
              <w:instrText xml:space="preserve"> REF _Ref_ContractCompanion_9kb9Ur29B \w \n \h \t \* MERGEFORMAT </w:instrText>
            </w:r>
            <w:r w:rsidRPr="00724541">
              <w:rPr>
                <w:rFonts w:cs="Arial"/>
              </w:rPr>
            </w:r>
            <w:r w:rsidRPr="00724541">
              <w:rPr>
                <w:rFonts w:cs="Arial"/>
              </w:rPr>
              <w:fldChar w:fldCharType="separate"/>
            </w:r>
            <w:bookmarkStart w:id="91" w:name="_9kMHG5YVt4BBFKFevlol2BwdVQCECF25AUSx4B3"/>
            <w:r w:rsidR="00302D39">
              <w:rPr>
                <w:rFonts w:cs="Arial"/>
              </w:rPr>
              <w:t>(e)</w:t>
            </w:r>
            <w:bookmarkEnd w:id="91"/>
            <w:r w:rsidRPr="00724541">
              <w:rPr>
                <w:rFonts w:cs="Arial"/>
              </w:rPr>
              <w:fldChar w:fldCharType="end"/>
            </w:r>
            <w:bookmarkEnd w:id="90"/>
            <w:r w:rsidRPr="00724541">
              <w:rPr>
                <w:rFonts w:cs="Arial"/>
              </w:rPr>
              <w:t xml:space="preserve"> to </w:t>
            </w:r>
            <w:bookmarkStart w:id="92" w:name="_9kMHG5YVtCIA8FGdvlol2BwdVQCECF25AUSx4B3"/>
            <w:r w:rsidRPr="00724541">
              <w:rPr>
                <w:rFonts w:cs="Arial"/>
              </w:rPr>
              <w:fldChar w:fldCharType="begin"/>
            </w:r>
            <w:r w:rsidRPr="00724541">
              <w:rPr>
                <w:rFonts w:cs="Arial"/>
              </w:rPr>
              <w:instrText xml:space="preserve"> REF _Ref_ContractCompanion_9kb9Ur298 \w \n \h \t \* MERGEFORMAT </w:instrText>
            </w:r>
            <w:r w:rsidRPr="00724541">
              <w:rPr>
                <w:rFonts w:cs="Arial"/>
              </w:rPr>
            </w:r>
            <w:r w:rsidRPr="00724541">
              <w:rPr>
                <w:rFonts w:cs="Arial"/>
              </w:rPr>
              <w:fldChar w:fldCharType="separate"/>
            </w:r>
            <w:bookmarkStart w:id="93" w:name="_9kMHG5YVt4BBFKEdvlol2BwdVQCECF25AUSx4B3"/>
            <w:r w:rsidR="00302D39">
              <w:rPr>
                <w:rFonts w:cs="Arial"/>
              </w:rPr>
              <w:t>(g)</w:t>
            </w:r>
            <w:bookmarkEnd w:id="93"/>
            <w:r w:rsidRPr="00724541">
              <w:rPr>
                <w:rFonts w:cs="Arial"/>
              </w:rPr>
              <w:fldChar w:fldCharType="end"/>
            </w:r>
            <w:bookmarkEnd w:id="92"/>
            <w:r w:rsidRPr="00724541">
              <w:rPr>
                <w:rFonts w:cs="Arial"/>
              </w:rPr>
              <w:t xml:space="preserve"> inclusive above occurring to a member of the Supplier Group in a jurisdiction outside England and Wales;</w:t>
            </w:r>
          </w:p>
        </w:tc>
      </w:tr>
      <w:tr w:rsidR="00F67E9E" w:rsidRPr="00724541" w14:paraId="048C88C8" w14:textId="77777777" w:rsidTr="007F74AA">
        <w:tc>
          <w:tcPr>
            <w:tcW w:w="2835" w:type="dxa"/>
          </w:tcPr>
          <w:p w14:paraId="1687D8E1" w14:textId="77777777" w:rsidR="00F67E9E" w:rsidRPr="00724541" w:rsidRDefault="00F67E9E" w:rsidP="007F74AA">
            <w:pPr>
              <w:pStyle w:val="StdBodyTextBold"/>
              <w:rPr>
                <w:rFonts w:cs="Arial"/>
              </w:rPr>
            </w:pPr>
            <w:r>
              <w:rPr>
                <w:rFonts w:cs="Arial"/>
              </w:rPr>
              <w:t>“</w:t>
            </w:r>
            <w:r w:rsidRPr="00724541">
              <w:rPr>
                <w:rFonts w:cs="Arial"/>
              </w:rPr>
              <w:t>Corporate Change Event Grace Period</w:t>
            </w:r>
            <w:r>
              <w:rPr>
                <w:rFonts w:cs="Arial"/>
              </w:rPr>
              <w:t>”</w:t>
            </w:r>
          </w:p>
        </w:tc>
        <w:tc>
          <w:tcPr>
            <w:tcW w:w="6803" w:type="dxa"/>
          </w:tcPr>
          <w:p w14:paraId="7497F485" w14:textId="77777777" w:rsidR="00F67E9E" w:rsidRPr="00724541" w:rsidRDefault="00F67E9E" w:rsidP="007F74AA">
            <w:pPr>
              <w:pStyle w:val="StdBodyText"/>
              <w:rPr>
                <w:rFonts w:cs="Arial"/>
              </w:rPr>
            </w:pPr>
            <w:r w:rsidRPr="00724541">
              <w:rPr>
                <w:rFonts w:cs="Arial"/>
              </w:rPr>
              <w:t>means a grace period agreed to by the Relevant Authority for providing CRP Information and/or updates to Service Continuity Plan after a Corporate Change Event</w:t>
            </w:r>
          </w:p>
        </w:tc>
      </w:tr>
      <w:tr w:rsidR="00F67E9E" w:rsidRPr="00724541" w14:paraId="0088AFBC" w14:textId="77777777" w:rsidTr="007F74AA">
        <w:tc>
          <w:tcPr>
            <w:tcW w:w="2835" w:type="dxa"/>
          </w:tcPr>
          <w:p w14:paraId="1E681AE1" w14:textId="77777777" w:rsidR="00F67E9E" w:rsidRPr="00724541" w:rsidRDefault="00F67E9E" w:rsidP="007F74AA">
            <w:pPr>
              <w:pStyle w:val="StdBodyTextBold"/>
              <w:rPr>
                <w:rFonts w:cs="Arial"/>
              </w:rPr>
            </w:pPr>
            <w:r>
              <w:rPr>
                <w:rFonts w:cs="Arial"/>
              </w:rPr>
              <w:t>“</w:t>
            </w:r>
            <w:r w:rsidRPr="00724541">
              <w:rPr>
                <w:rFonts w:cs="Arial"/>
              </w:rPr>
              <w:t>Corporate Resolvability Assessment (Structural Review)</w:t>
            </w:r>
            <w:r>
              <w:rPr>
                <w:rFonts w:cs="Arial"/>
              </w:rPr>
              <w:t>”</w:t>
            </w:r>
          </w:p>
        </w:tc>
        <w:tc>
          <w:tcPr>
            <w:tcW w:w="6803" w:type="dxa"/>
          </w:tcPr>
          <w:p w14:paraId="1ADBE263" w14:textId="4AF03A2C" w:rsidR="00F67E9E" w:rsidRPr="00724541" w:rsidRDefault="00F67E9E" w:rsidP="007F74AA">
            <w:pPr>
              <w:pStyle w:val="StdBodyText"/>
              <w:rPr>
                <w:rFonts w:cs="Arial"/>
              </w:rPr>
            </w:pPr>
            <w:r w:rsidRPr="00724541">
              <w:rPr>
                <w:rFonts w:cs="Arial"/>
              </w:rPr>
              <w:t xml:space="preserve">means part of the CRP Information relating to the Supplier Group to be provided by the Supplier in accordance with Paragraphs </w:t>
            </w:r>
            <w:r w:rsidRPr="00724541">
              <w:rPr>
                <w:rFonts w:cs="Arial"/>
              </w:rPr>
              <w:fldChar w:fldCharType="begin"/>
            </w:r>
            <w:r w:rsidRPr="00724541">
              <w:rPr>
                <w:rFonts w:cs="Arial"/>
              </w:rPr>
              <w:instrText xml:space="preserve"> REF _Ref_ContractCompanion_9kb9Ur29F \w \h  \* MERGEFORMAT </w:instrText>
            </w:r>
            <w:r w:rsidRPr="00724541">
              <w:rPr>
                <w:rFonts w:cs="Arial"/>
              </w:rPr>
            </w:r>
            <w:r w:rsidRPr="00724541">
              <w:rPr>
                <w:rFonts w:cs="Arial"/>
              </w:rPr>
              <w:fldChar w:fldCharType="separate"/>
            </w:r>
            <w:r w:rsidR="00302D39">
              <w:rPr>
                <w:rFonts w:cs="Arial"/>
              </w:rPr>
              <w:t>2</w:t>
            </w:r>
            <w:r w:rsidRPr="00724541">
              <w:rPr>
                <w:rFonts w:cs="Arial"/>
              </w:rPr>
              <w:fldChar w:fldCharType="end"/>
            </w:r>
            <w:r w:rsidRPr="00724541">
              <w:rPr>
                <w:rFonts w:cs="Arial"/>
              </w:rPr>
              <w:t xml:space="preserve"> and </w:t>
            </w:r>
            <w:r w:rsidRPr="00724541">
              <w:rPr>
                <w:rFonts w:cs="Arial"/>
              </w:rPr>
              <w:fldChar w:fldCharType="begin"/>
            </w:r>
            <w:r w:rsidRPr="00724541">
              <w:rPr>
                <w:rFonts w:cs="Arial"/>
              </w:rPr>
              <w:instrText xml:space="preserve"> REF  _Ref92450999 \* Caps \h  \* MERGEFORMAT </w:instrText>
            </w:r>
            <w:r w:rsidRPr="00724541">
              <w:rPr>
                <w:rFonts w:cs="Arial"/>
              </w:rPr>
            </w:r>
            <w:r w:rsidRPr="00724541">
              <w:rPr>
                <w:rFonts w:cs="Arial"/>
              </w:rPr>
              <w:fldChar w:fldCharType="separate"/>
            </w:r>
            <w:r w:rsidR="00302D39" w:rsidRPr="00302D39">
              <w:rPr>
                <w:rFonts w:cs="Arial"/>
              </w:rPr>
              <w:t>Annex 2: Corporate Resolvability Assessment (Structural Review)</w:t>
            </w:r>
            <w:r w:rsidRPr="00724541">
              <w:rPr>
                <w:rFonts w:cs="Arial"/>
              </w:rPr>
              <w:fldChar w:fldCharType="end"/>
            </w:r>
            <w:r w:rsidRPr="00724541">
              <w:rPr>
                <w:rFonts w:cs="Arial"/>
              </w:rPr>
              <w:t xml:space="preserve"> of </w:t>
            </w:r>
            <w:r>
              <w:rPr>
                <w:rFonts w:cs="Arial"/>
              </w:rPr>
              <w:fldChar w:fldCharType="begin"/>
            </w:r>
            <w:r>
              <w:rPr>
                <w:rFonts w:cs="Arial"/>
              </w:rPr>
              <w:instrText xml:space="preserve"> REF Schedule26 \h </w:instrText>
            </w:r>
            <w:r>
              <w:rPr>
                <w:rFonts w:cs="Arial"/>
              </w:rPr>
            </w:r>
            <w:r>
              <w:rPr>
                <w:rFonts w:cs="Arial"/>
              </w:rPr>
              <w:fldChar w:fldCharType="separate"/>
            </w:r>
            <w:r w:rsidR="00302D39" w:rsidRPr="005D0525">
              <w:t>Schedule</w:t>
            </w:r>
            <w:r w:rsidR="00302D39">
              <w:t> </w:t>
            </w:r>
            <w:r w:rsidR="00302D39" w:rsidRPr="005D0525">
              <w:t>26</w:t>
            </w:r>
            <w:r>
              <w:rPr>
                <w:rFonts w:cs="Arial"/>
              </w:rPr>
              <w:fldChar w:fldCharType="end"/>
            </w:r>
            <w:r>
              <w:rPr>
                <w:rFonts w:cs="Arial"/>
              </w:rPr>
              <w:t xml:space="preserve"> (</w:t>
            </w:r>
            <w:r w:rsidRPr="00A22335">
              <w:rPr>
                <w:rFonts w:cs="Arial"/>
                <w:i/>
                <w:iCs/>
              </w:rPr>
              <w:fldChar w:fldCharType="begin"/>
            </w:r>
            <w:r w:rsidRPr="00A22335">
              <w:rPr>
                <w:rFonts w:cs="Arial"/>
                <w:i/>
                <w:iCs/>
              </w:rPr>
              <w:instrText xml:space="preserve"> REF Schedule26Heading \h </w:instrText>
            </w:r>
            <w:r>
              <w:rPr>
                <w:rFonts w:cs="Arial"/>
                <w:i/>
                <w:iCs/>
              </w:rPr>
              <w:instrText xml:space="preserve"> \* MERGEFORMAT </w:instrText>
            </w:r>
            <w:r w:rsidRPr="00A22335">
              <w:rPr>
                <w:rFonts w:cs="Arial"/>
                <w:i/>
                <w:iCs/>
              </w:rPr>
            </w:r>
            <w:r w:rsidRPr="00A22335">
              <w:rPr>
                <w:rFonts w:cs="Arial"/>
                <w:i/>
                <w:iCs/>
              </w:rPr>
              <w:fldChar w:fldCharType="separate"/>
            </w:r>
            <w:r w:rsidR="00302D39" w:rsidRPr="00302D39">
              <w:rPr>
                <w:i/>
                <w:iCs/>
              </w:rPr>
              <w:t>Service Continuity Plan and Corporate Resolution Planning</w:t>
            </w:r>
            <w:r w:rsidRPr="00A22335">
              <w:rPr>
                <w:rFonts w:cs="Arial"/>
                <w:i/>
                <w:iCs/>
              </w:rPr>
              <w:fldChar w:fldCharType="end"/>
            </w:r>
            <w:r>
              <w:rPr>
                <w:rFonts w:cs="Arial"/>
              </w:rPr>
              <w:t>)</w:t>
            </w:r>
            <w:r w:rsidRPr="00724541">
              <w:rPr>
                <w:rFonts w:cs="Arial"/>
              </w:rPr>
              <w:t>;</w:t>
            </w:r>
          </w:p>
        </w:tc>
      </w:tr>
      <w:tr w:rsidR="00F67E9E" w:rsidRPr="00724541" w14:paraId="378F2190" w14:textId="77777777" w:rsidTr="007F74AA">
        <w:tc>
          <w:tcPr>
            <w:tcW w:w="2835" w:type="dxa"/>
          </w:tcPr>
          <w:p w14:paraId="16CA6284" w14:textId="77777777" w:rsidR="00F67E9E" w:rsidRPr="00724541" w:rsidRDefault="00F67E9E" w:rsidP="007F74AA">
            <w:pPr>
              <w:pStyle w:val="StdBodyTextBold"/>
              <w:rPr>
                <w:rFonts w:cs="Arial"/>
              </w:rPr>
            </w:pPr>
            <w:r>
              <w:rPr>
                <w:rFonts w:cs="Arial"/>
              </w:rPr>
              <w:t>“</w:t>
            </w:r>
            <w:r w:rsidRPr="00724541">
              <w:rPr>
                <w:rFonts w:cs="Arial"/>
              </w:rPr>
              <w:t>Costs</w:t>
            </w:r>
            <w:r>
              <w:rPr>
                <w:rFonts w:cs="Arial"/>
              </w:rPr>
              <w:t>”</w:t>
            </w:r>
          </w:p>
        </w:tc>
        <w:tc>
          <w:tcPr>
            <w:tcW w:w="6803" w:type="dxa"/>
          </w:tcPr>
          <w:p w14:paraId="6D3223AA" w14:textId="5D3011CC" w:rsidR="00F67E9E" w:rsidRPr="00724541" w:rsidRDefault="00F67E9E" w:rsidP="007F74AA">
            <w:pPr>
              <w:pStyle w:val="StdBodyText"/>
              <w:rPr>
                <w:rFonts w:cs="Arial"/>
              </w:rPr>
            </w:pPr>
            <w:r w:rsidRPr="00724541">
              <w:rPr>
                <w:rFonts w:cs="Arial"/>
              </w:rPr>
              <w:t xml:space="preserve">has the meaning given in </w:t>
            </w:r>
            <w:r>
              <w:rPr>
                <w:rFonts w:cs="Arial"/>
              </w:rPr>
              <w:fldChar w:fldCharType="begin"/>
            </w:r>
            <w:r>
              <w:rPr>
                <w:rFonts w:cs="Arial"/>
              </w:rPr>
              <w:instrText xml:space="preserve"> REF Schedule15 \h </w:instrText>
            </w:r>
            <w:r>
              <w:rPr>
                <w:rFonts w:cs="Arial"/>
              </w:rPr>
            </w:r>
            <w:r>
              <w:rPr>
                <w:rFonts w:cs="Arial"/>
              </w:rPr>
              <w:fldChar w:fldCharType="separate"/>
            </w:r>
            <w:r w:rsidR="00302D39" w:rsidRPr="005D0525">
              <w:t>Schedule</w:t>
            </w:r>
            <w:r w:rsidR="00302D39">
              <w:t> </w:t>
            </w:r>
            <w:r w:rsidR="00302D39" w:rsidRPr="005D0525">
              <w:t>15</w:t>
            </w:r>
            <w:r>
              <w:rPr>
                <w:rFonts w:cs="Arial"/>
              </w:rPr>
              <w:fldChar w:fldCharType="end"/>
            </w:r>
            <w:r>
              <w:rPr>
                <w:rFonts w:cs="Arial"/>
              </w:rPr>
              <w:t xml:space="preserve"> (</w:t>
            </w:r>
            <w:r w:rsidRPr="00B91437">
              <w:rPr>
                <w:rFonts w:cs="Arial"/>
                <w:i/>
                <w:iCs/>
              </w:rPr>
              <w:fldChar w:fldCharType="begin"/>
            </w:r>
            <w:r w:rsidRPr="00B91437">
              <w:rPr>
                <w:rFonts w:cs="Arial"/>
                <w:i/>
                <w:iCs/>
              </w:rPr>
              <w:instrText xml:space="preserve"> REF Schedule15Heading \h </w:instrText>
            </w:r>
            <w:r>
              <w:rPr>
                <w:rFonts w:cs="Arial"/>
                <w:i/>
                <w:iCs/>
              </w:rPr>
              <w:instrText xml:space="preserve"> \* MERGEFORMAT </w:instrText>
            </w:r>
            <w:r w:rsidRPr="00B91437">
              <w:rPr>
                <w:rFonts w:cs="Arial"/>
                <w:i/>
                <w:iCs/>
              </w:rPr>
            </w:r>
            <w:r w:rsidRPr="00B91437">
              <w:rPr>
                <w:rFonts w:cs="Arial"/>
                <w:i/>
                <w:iCs/>
              </w:rPr>
              <w:fldChar w:fldCharType="separate"/>
            </w:r>
            <w:r w:rsidR="00302D39" w:rsidRPr="00302D39">
              <w:rPr>
                <w:i/>
                <w:iCs/>
              </w:rPr>
              <w:t>Charges and Invoicing</w:t>
            </w:r>
            <w:r w:rsidRPr="00B91437">
              <w:rPr>
                <w:rFonts w:cs="Arial"/>
                <w:i/>
                <w:iCs/>
              </w:rPr>
              <w:fldChar w:fldCharType="end"/>
            </w:r>
            <w:r>
              <w:rPr>
                <w:rFonts w:cs="Arial"/>
              </w:rPr>
              <w:t>)</w:t>
            </w:r>
            <w:r w:rsidRPr="00724541">
              <w:rPr>
                <w:rFonts w:cs="Arial"/>
              </w:rPr>
              <w:t>;</w:t>
            </w:r>
          </w:p>
        </w:tc>
      </w:tr>
      <w:tr w:rsidR="00F67E9E" w:rsidRPr="00724541" w14:paraId="7E5C33AE" w14:textId="77777777" w:rsidTr="007F74AA">
        <w:tc>
          <w:tcPr>
            <w:tcW w:w="2835" w:type="dxa"/>
          </w:tcPr>
          <w:p w14:paraId="090769A8" w14:textId="77777777" w:rsidR="00F67E9E" w:rsidRPr="00724541" w:rsidRDefault="00F67E9E" w:rsidP="007F74AA">
            <w:pPr>
              <w:pStyle w:val="StdBodyTextBold"/>
              <w:rPr>
                <w:rFonts w:cs="Arial"/>
              </w:rPr>
            </w:pPr>
            <w:r>
              <w:rPr>
                <w:rFonts w:cs="Arial"/>
              </w:rPr>
              <w:t>“</w:t>
            </w:r>
            <w:r w:rsidRPr="00724541">
              <w:rPr>
                <w:rFonts w:cs="Arial"/>
              </w:rPr>
              <w:t>CPP Milestone</w:t>
            </w:r>
            <w:r>
              <w:rPr>
                <w:rFonts w:cs="Arial"/>
              </w:rPr>
              <w:t>”</w:t>
            </w:r>
          </w:p>
        </w:tc>
        <w:tc>
          <w:tcPr>
            <w:tcW w:w="6803" w:type="dxa"/>
          </w:tcPr>
          <w:p w14:paraId="7C6D0B6C" w14:textId="59467344" w:rsidR="00F67E9E" w:rsidRPr="00724541" w:rsidRDefault="00F67E9E" w:rsidP="007F74AA">
            <w:pPr>
              <w:pStyle w:val="StdBodyText"/>
              <w:rPr>
                <w:rFonts w:cs="Arial"/>
              </w:rPr>
            </w:pPr>
            <w:r w:rsidRPr="00724541">
              <w:rPr>
                <w:rFonts w:cs="Arial"/>
              </w:rPr>
              <w:t>a contract performance point as set out in the Implementation Plan, being the Milestone at which the Supplier has demonstrated that the Supplier Solution or relevant Service is working satisfactorily in its operating environment in accordance with</w:t>
            </w:r>
            <w:r>
              <w:rPr>
                <w:rFonts w:cs="Arial"/>
              </w:rPr>
              <w:t xml:space="preserve"> </w:t>
            </w:r>
            <w:r>
              <w:rPr>
                <w:rFonts w:cs="Arial"/>
              </w:rPr>
              <w:fldChar w:fldCharType="begin"/>
            </w:r>
            <w:r>
              <w:rPr>
                <w:rFonts w:cs="Arial"/>
              </w:rPr>
              <w:instrText xml:space="preserve"> REF Schedule14 \h </w:instrText>
            </w:r>
            <w:r>
              <w:rPr>
                <w:rFonts w:cs="Arial"/>
              </w:rPr>
            </w:r>
            <w:r>
              <w:rPr>
                <w:rFonts w:cs="Arial"/>
              </w:rPr>
              <w:fldChar w:fldCharType="separate"/>
            </w:r>
            <w:r w:rsidR="00302D39" w:rsidRPr="005D0525">
              <w:t>Schedule</w:t>
            </w:r>
            <w:r w:rsidR="00302D39">
              <w:t> </w:t>
            </w:r>
            <w:r w:rsidR="00302D39" w:rsidRPr="005D0525">
              <w:t>14</w:t>
            </w:r>
            <w:r>
              <w:rPr>
                <w:rFonts w:cs="Arial"/>
              </w:rPr>
              <w:fldChar w:fldCharType="end"/>
            </w:r>
            <w:r>
              <w:rPr>
                <w:rFonts w:cs="Arial"/>
              </w:rPr>
              <w:t xml:space="preserve"> (</w:t>
            </w:r>
            <w:r w:rsidRPr="00B91437">
              <w:rPr>
                <w:rFonts w:cs="Arial"/>
                <w:i/>
                <w:iCs/>
              </w:rPr>
              <w:fldChar w:fldCharType="begin"/>
            </w:r>
            <w:r w:rsidRPr="00B91437">
              <w:rPr>
                <w:rFonts w:cs="Arial"/>
                <w:i/>
                <w:iCs/>
              </w:rPr>
              <w:instrText xml:space="preserve"> REF Schedule14Heading \h </w:instrText>
            </w:r>
            <w:r>
              <w:rPr>
                <w:rFonts w:cs="Arial"/>
                <w:i/>
                <w:iCs/>
              </w:rPr>
              <w:instrText xml:space="preserve"> \* MERGEFORMAT </w:instrText>
            </w:r>
            <w:r w:rsidRPr="00B91437">
              <w:rPr>
                <w:rFonts w:cs="Arial"/>
                <w:i/>
                <w:iCs/>
              </w:rPr>
            </w:r>
            <w:r w:rsidRPr="00B91437">
              <w:rPr>
                <w:rFonts w:cs="Arial"/>
                <w:i/>
                <w:iCs/>
              </w:rPr>
              <w:fldChar w:fldCharType="separate"/>
            </w:r>
            <w:r w:rsidR="00302D39" w:rsidRPr="00302D39">
              <w:rPr>
                <w:i/>
                <w:iCs/>
              </w:rPr>
              <w:t>Testing Procedures</w:t>
            </w:r>
            <w:r w:rsidRPr="00B91437">
              <w:rPr>
                <w:rFonts w:cs="Arial"/>
                <w:i/>
                <w:iCs/>
              </w:rPr>
              <w:fldChar w:fldCharType="end"/>
            </w:r>
            <w:r>
              <w:rPr>
                <w:rFonts w:cs="Arial"/>
              </w:rPr>
              <w:t>)</w:t>
            </w:r>
            <w:r w:rsidRPr="00724541">
              <w:rPr>
                <w:rFonts w:cs="Arial"/>
              </w:rPr>
              <w:t>;</w:t>
            </w:r>
          </w:p>
        </w:tc>
      </w:tr>
      <w:tr w:rsidR="00F67E9E" w:rsidRPr="00F55457" w14:paraId="60D0A5B7" w14:textId="77777777" w:rsidTr="007F74AA">
        <w:tc>
          <w:tcPr>
            <w:tcW w:w="2835" w:type="dxa"/>
          </w:tcPr>
          <w:p w14:paraId="32378762" w14:textId="77777777" w:rsidR="00F67E9E" w:rsidRPr="00724541" w:rsidRDefault="00F67E9E" w:rsidP="007F74AA">
            <w:pPr>
              <w:pStyle w:val="StdBodyTextBold"/>
              <w:rPr>
                <w:rFonts w:cs="Arial"/>
              </w:rPr>
            </w:pPr>
            <w:r>
              <w:rPr>
                <w:rFonts w:cs="Arial"/>
              </w:rPr>
              <w:t>“</w:t>
            </w:r>
            <w:r w:rsidRPr="00724541">
              <w:rPr>
                <w:rFonts w:cs="Arial"/>
              </w:rPr>
              <w:t>Critical National Infrastructure</w:t>
            </w:r>
            <w:r>
              <w:rPr>
                <w:rFonts w:cs="Arial"/>
              </w:rPr>
              <w:t>”</w:t>
            </w:r>
          </w:p>
        </w:tc>
        <w:tc>
          <w:tcPr>
            <w:tcW w:w="6803" w:type="dxa"/>
          </w:tcPr>
          <w:p w14:paraId="1751871B" w14:textId="77777777" w:rsidR="00F67E9E" w:rsidRPr="00724541" w:rsidRDefault="00F67E9E" w:rsidP="007F74AA">
            <w:pPr>
              <w:pStyle w:val="StdBodyText"/>
              <w:rPr>
                <w:rFonts w:cs="Arial"/>
              </w:rPr>
            </w:pPr>
            <w:r w:rsidRPr="00724541">
              <w:rPr>
                <w:rFonts w:cs="Arial"/>
              </w:rPr>
              <w:t>means those critical elements of UK national infrastructure (namely assets, facilities, systems, networks or processes and the essential workers that operate and facilitate them), the loss or compromise of which could result in:</w:t>
            </w:r>
          </w:p>
          <w:p w14:paraId="2DB8DBBE" w14:textId="77777777" w:rsidR="00F67E9E" w:rsidRPr="00724541" w:rsidRDefault="00F67E9E" w:rsidP="007F74AA">
            <w:pPr>
              <w:pStyle w:val="DefinitionList"/>
              <w:numPr>
                <w:ilvl w:val="0"/>
                <w:numId w:val="188"/>
              </w:numPr>
            </w:pPr>
            <w:r w:rsidRPr="00724541">
              <w:t>major detrimental impact on the availability, integrity or delivery of essential services – including those services whose integrity, if compromised, could result in significant loss of life or casualties – taking into account significant economic or social impacts; and/or</w:t>
            </w:r>
          </w:p>
          <w:p w14:paraId="27D2E60F" w14:textId="77777777" w:rsidR="00F67E9E" w:rsidRPr="00724541" w:rsidRDefault="00F67E9E" w:rsidP="00F67E9E">
            <w:pPr>
              <w:pStyle w:val="DefinitionList"/>
              <w:numPr>
                <w:ilvl w:val="0"/>
                <w:numId w:val="108"/>
              </w:numPr>
              <w:rPr>
                <w:rFonts w:cs="Arial"/>
              </w:rPr>
            </w:pPr>
            <w:r w:rsidRPr="00724541">
              <w:rPr>
                <w:rFonts w:cs="Arial"/>
              </w:rPr>
              <w:t>significant impact on the national security, national defence, or the functioning of the UK;</w:t>
            </w:r>
          </w:p>
        </w:tc>
      </w:tr>
      <w:tr w:rsidR="00F67E9E" w:rsidRPr="00F55457" w14:paraId="1109FD5E" w14:textId="77777777" w:rsidTr="007F74AA">
        <w:tc>
          <w:tcPr>
            <w:tcW w:w="2835" w:type="dxa"/>
          </w:tcPr>
          <w:p w14:paraId="3F723645" w14:textId="77777777" w:rsidR="00F67E9E" w:rsidRPr="00F55457" w:rsidRDefault="00F67E9E" w:rsidP="007F74AA">
            <w:pPr>
              <w:pStyle w:val="StdBodyTextBold"/>
              <w:rPr>
                <w:rFonts w:cs="Arial"/>
              </w:rPr>
            </w:pPr>
            <w:r>
              <w:rPr>
                <w:rFonts w:cs="Arial"/>
              </w:rPr>
              <w:t>“</w:t>
            </w:r>
            <w:r w:rsidRPr="00F55457">
              <w:rPr>
                <w:rFonts w:cs="Arial"/>
              </w:rPr>
              <w:t>Critical Performance Failure</w:t>
            </w:r>
            <w:r>
              <w:rPr>
                <w:rFonts w:cs="Arial"/>
              </w:rPr>
              <w:t>”</w:t>
            </w:r>
          </w:p>
        </w:tc>
        <w:tc>
          <w:tcPr>
            <w:tcW w:w="6803" w:type="dxa"/>
          </w:tcPr>
          <w:p w14:paraId="1B98D846" w14:textId="77777777" w:rsidR="00F67E9E" w:rsidRPr="00577E60" w:rsidRDefault="00F67E9E" w:rsidP="007F74AA">
            <w:pPr>
              <w:pStyle w:val="DefinitionList"/>
              <w:numPr>
                <w:ilvl w:val="0"/>
                <w:numId w:val="189"/>
              </w:numPr>
              <w:rPr>
                <w:rFonts w:cs="Arial"/>
              </w:rPr>
            </w:pPr>
            <w:r w:rsidRPr="00577E60">
              <w:rPr>
                <w:rFonts w:cs="Arial"/>
              </w:rPr>
              <w:t xml:space="preserve">the Supplier accruing in aggregate </w:t>
            </w:r>
            <w:r w:rsidRPr="00B73DD6">
              <w:rPr>
                <w:rFonts w:cs="Arial"/>
                <w:b/>
                <w:highlight w:val="yellow"/>
              </w:rPr>
              <w:t>[insert</w:t>
            </w:r>
            <w:r w:rsidRPr="00577E60">
              <w:rPr>
                <w:rStyle w:val="StdBodyTextBoldChar"/>
                <w:rFonts w:cs="Arial"/>
                <w:b w:val="0"/>
                <w:bCs/>
                <w:highlight w:val="yellow"/>
              </w:rPr>
              <w:t xml:space="preserve"> number</w:t>
            </w:r>
            <w:r w:rsidRPr="00577E60">
              <w:rPr>
                <w:rFonts w:cs="Arial"/>
                <w:highlight w:val="yellow"/>
              </w:rPr>
              <w:t>]</w:t>
            </w:r>
            <w:r w:rsidRPr="00577E60">
              <w:rPr>
                <w:rFonts w:cs="Arial"/>
              </w:rPr>
              <w:t xml:space="preserve"> or more Service Points (in terms of the number of points allocated) in any period of </w:t>
            </w:r>
            <w:r w:rsidRPr="00B73DD6">
              <w:rPr>
                <w:rFonts w:cs="Arial"/>
                <w:b/>
                <w:highlight w:val="yellow"/>
              </w:rPr>
              <w:t>[insert</w:t>
            </w:r>
            <w:r w:rsidRPr="00577E60">
              <w:rPr>
                <w:rStyle w:val="StdBodyTextBoldChar"/>
                <w:rFonts w:cs="Arial"/>
                <w:b w:val="0"/>
                <w:bCs/>
                <w:highlight w:val="yellow"/>
              </w:rPr>
              <w:t xml:space="preserve"> number</w:t>
            </w:r>
            <w:r w:rsidRPr="00577E60">
              <w:rPr>
                <w:rFonts w:cs="Arial"/>
                <w:highlight w:val="yellow"/>
              </w:rPr>
              <w:t>]</w:t>
            </w:r>
            <w:r w:rsidRPr="00577E60">
              <w:rPr>
                <w:rFonts w:cs="Arial"/>
              </w:rPr>
              <w:t xml:space="preserve"> months; or</w:t>
            </w:r>
          </w:p>
          <w:p w14:paraId="51ADBBC9" w14:textId="77777777" w:rsidR="00F67E9E" w:rsidRPr="00F55457" w:rsidRDefault="00F67E9E" w:rsidP="00F67E9E">
            <w:pPr>
              <w:pStyle w:val="DefinitionList"/>
              <w:numPr>
                <w:ilvl w:val="0"/>
                <w:numId w:val="108"/>
              </w:numPr>
              <w:rPr>
                <w:rFonts w:cs="Arial"/>
              </w:rPr>
            </w:pPr>
            <w:r w:rsidRPr="00F55457">
              <w:rPr>
                <w:rFonts w:cs="Arial"/>
              </w:rPr>
              <w:t xml:space="preserve">the Supplier accruing Service Credits or Compensation for Unacceptable KPI Failure which meet or exceed the Service Credit Cap; </w:t>
            </w:r>
          </w:p>
        </w:tc>
      </w:tr>
      <w:tr w:rsidR="00F67E9E" w:rsidRPr="00F55457" w14:paraId="05648D18" w14:textId="77777777" w:rsidTr="007F74AA">
        <w:tc>
          <w:tcPr>
            <w:tcW w:w="2835" w:type="dxa"/>
          </w:tcPr>
          <w:p w14:paraId="4749AF7A" w14:textId="77777777" w:rsidR="00F67E9E" w:rsidRPr="00AB0447" w:rsidRDefault="00F67E9E" w:rsidP="007F74AA">
            <w:pPr>
              <w:pStyle w:val="StdBodyTextBold"/>
              <w:rPr>
                <w:rFonts w:cs="Arial"/>
              </w:rPr>
            </w:pPr>
            <w:r>
              <w:rPr>
                <w:rFonts w:cs="Arial"/>
              </w:rPr>
              <w:t>“</w:t>
            </w:r>
            <w:r w:rsidRPr="00AB0447">
              <w:rPr>
                <w:rFonts w:cs="Arial"/>
              </w:rPr>
              <w:t>Critical Service Contract</w:t>
            </w:r>
            <w:r>
              <w:rPr>
                <w:rFonts w:cs="Arial"/>
              </w:rPr>
              <w:t>”</w:t>
            </w:r>
          </w:p>
        </w:tc>
        <w:tc>
          <w:tcPr>
            <w:tcW w:w="6803" w:type="dxa"/>
          </w:tcPr>
          <w:p w14:paraId="70DDBB3A" w14:textId="61523861" w:rsidR="00F67E9E" w:rsidRPr="00AB0447" w:rsidRDefault="00F67E9E" w:rsidP="007F74AA">
            <w:pPr>
              <w:pStyle w:val="StdBodyText"/>
              <w:rPr>
                <w:rFonts w:cs="Arial"/>
              </w:rPr>
            </w:pPr>
            <w:r w:rsidRPr="00AB0447">
              <w:rPr>
                <w:rFonts w:cs="Arial"/>
              </w:rPr>
              <w:t xml:space="preserve">means the overall status of the Services provided under this Contract as determined by the Authority and specified in </w:t>
            </w:r>
            <w:bookmarkStart w:id="94" w:name="_9kR3WTr2CC4EK1knoewrqyBIJ"/>
            <w:r w:rsidRPr="00AB0447">
              <w:rPr>
                <w:rFonts w:cs="Arial"/>
              </w:rPr>
              <w:t xml:space="preserve">Paragraph </w:t>
            </w:r>
            <w:bookmarkEnd w:id="94"/>
            <w:r w:rsidRPr="00AB0447">
              <w:rPr>
                <w:rFonts w:cs="Arial"/>
              </w:rPr>
              <w:fldChar w:fldCharType="begin"/>
            </w:r>
            <w:r w:rsidRPr="00AB0447">
              <w:rPr>
                <w:rFonts w:cs="Arial"/>
              </w:rPr>
              <w:instrText xml:space="preserve"> REF _Ref44508113 \w \h  \* MERGEFORMAT </w:instrText>
            </w:r>
            <w:r w:rsidRPr="00AB0447">
              <w:rPr>
                <w:rFonts w:cs="Arial"/>
              </w:rPr>
            </w:r>
            <w:r w:rsidRPr="00AB0447">
              <w:rPr>
                <w:rFonts w:cs="Arial"/>
              </w:rPr>
              <w:fldChar w:fldCharType="separate"/>
            </w:r>
            <w:r w:rsidR="00302D39">
              <w:rPr>
                <w:rFonts w:cs="Arial"/>
              </w:rPr>
              <w:t>1.1</w:t>
            </w:r>
            <w:r w:rsidRPr="00AB0447">
              <w:rPr>
                <w:rFonts w:cs="Arial"/>
              </w:rPr>
              <w:fldChar w:fldCharType="end"/>
            </w:r>
            <w:r w:rsidRPr="00AB0447">
              <w:rPr>
                <w:rFonts w:cs="Arial"/>
              </w:rPr>
              <w:t xml:space="preserve"> of </w:t>
            </w:r>
            <w:r>
              <w:rPr>
                <w:rFonts w:cs="Arial"/>
              </w:rPr>
              <w:fldChar w:fldCharType="begin"/>
            </w:r>
            <w:r>
              <w:rPr>
                <w:rFonts w:cs="Arial"/>
              </w:rPr>
              <w:instrText xml:space="preserve"> REF Sch26PartB \h </w:instrText>
            </w:r>
            <w:r>
              <w:rPr>
                <w:rFonts w:cs="Arial"/>
              </w:rPr>
            </w:r>
            <w:r>
              <w:rPr>
                <w:rFonts w:cs="Arial"/>
              </w:rPr>
              <w:fldChar w:fldCharType="separate"/>
            </w:r>
            <w:r w:rsidR="00302D39" w:rsidRPr="00025910">
              <w:t>Part B</w:t>
            </w:r>
            <w:r>
              <w:rPr>
                <w:rFonts w:cs="Arial"/>
              </w:rPr>
              <w:fldChar w:fldCharType="end"/>
            </w:r>
            <w:r w:rsidRPr="00AB0447">
              <w:rPr>
                <w:rFonts w:cs="Arial"/>
              </w:rPr>
              <w:t xml:space="preserve"> to </w:t>
            </w:r>
            <w:r>
              <w:rPr>
                <w:rFonts w:cs="Arial"/>
              </w:rPr>
              <w:fldChar w:fldCharType="begin"/>
            </w:r>
            <w:r>
              <w:rPr>
                <w:rFonts w:cs="Arial"/>
              </w:rPr>
              <w:instrText xml:space="preserve"> REF Schedule26 \h </w:instrText>
            </w:r>
            <w:r>
              <w:rPr>
                <w:rFonts w:cs="Arial"/>
              </w:rPr>
            </w:r>
            <w:r>
              <w:rPr>
                <w:rFonts w:cs="Arial"/>
              </w:rPr>
              <w:fldChar w:fldCharType="separate"/>
            </w:r>
            <w:r w:rsidR="00302D39" w:rsidRPr="005D0525">
              <w:t>Schedule</w:t>
            </w:r>
            <w:r w:rsidR="00302D39">
              <w:t> </w:t>
            </w:r>
            <w:r w:rsidR="00302D39" w:rsidRPr="005D0525">
              <w:t>26</w:t>
            </w:r>
            <w:r>
              <w:rPr>
                <w:rFonts w:cs="Arial"/>
              </w:rPr>
              <w:fldChar w:fldCharType="end"/>
            </w:r>
            <w:r>
              <w:rPr>
                <w:rFonts w:cs="Arial"/>
              </w:rPr>
              <w:t xml:space="preserve"> (</w:t>
            </w:r>
            <w:r w:rsidRPr="00A22335">
              <w:rPr>
                <w:rFonts w:cs="Arial"/>
                <w:i/>
                <w:iCs/>
              </w:rPr>
              <w:fldChar w:fldCharType="begin"/>
            </w:r>
            <w:r w:rsidRPr="00A22335">
              <w:rPr>
                <w:rFonts w:cs="Arial"/>
                <w:i/>
                <w:iCs/>
              </w:rPr>
              <w:instrText xml:space="preserve"> REF Schedule26Heading \h </w:instrText>
            </w:r>
            <w:r>
              <w:rPr>
                <w:rFonts w:cs="Arial"/>
                <w:i/>
                <w:iCs/>
              </w:rPr>
              <w:instrText xml:space="preserve"> \* MERGEFORMAT </w:instrText>
            </w:r>
            <w:r w:rsidRPr="00A22335">
              <w:rPr>
                <w:rFonts w:cs="Arial"/>
                <w:i/>
                <w:iCs/>
              </w:rPr>
            </w:r>
            <w:r w:rsidRPr="00A22335">
              <w:rPr>
                <w:rFonts w:cs="Arial"/>
                <w:i/>
                <w:iCs/>
              </w:rPr>
              <w:fldChar w:fldCharType="separate"/>
            </w:r>
            <w:r w:rsidR="00302D39" w:rsidRPr="00302D39">
              <w:rPr>
                <w:i/>
                <w:iCs/>
              </w:rPr>
              <w:t>Service Continuity Plan and Corporate Resolution Planning</w:t>
            </w:r>
            <w:r w:rsidRPr="00A22335">
              <w:rPr>
                <w:rFonts w:cs="Arial"/>
                <w:i/>
                <w:iCs/>
              </w:rPr>
              <w:fldChar w:fldCharType="end"/>
            </w:r>
            <w:r>
              <w:rPr>
                <w:rFonts w:cs="Arial"/>
              </w:rPr>
              <w:t>)</w:t>
            </w:r>
            <w:r w:rsidRPr="00AB0447">
              <w:rPr>
                <w:rFonts w:cs="Arial"/>
              </w:rPr>
              <w:t>;</w:t>
            </w:r>
          </w:p>
        </w:tc>
      </w:tr>
      <w:tr w:rsidR="00F67E9E" w:rsidRPr="00F55457" w14:paraId="1203431A" w14:textId="77777777" w:rsidTr="007F74AA">
        <w:tc>
          <w:tcPr>
            <w:tcW w:w="2835" w:type="dxa"/>
          </w:tcPr>
          <w:p w14:paraId="7D859048" w14:textId="77777777" w:rsidR="00F67E9E" w:rsidRPr="00AB0447" w:rsidRDefault="00F67E9E" w:rsidP="007F74AA">
            <w:pPr>
              <w:pStyle w:val="StdBodyTextBold"/>
              <w:rPr>
                <w:rFonts w:cs="Arial"/>
              </w:rPr>
            </w:pPr>
            <w:r>
              <w:rPr>
                <w:rFonts w:cs="Arial"/>
              </w:rPr>
              <w:t>“</w:t>
            </w:r>
            <w:r w:rsidRPr="00AB0447">
              <w:rPr>
                <w:rFonts w:cs="Arial"/>
              </w:rPr>
              <w:t>Crown Body</w:t>
            </w:r>
            <w:r>
              <w:rPr>
                <w:rFonts w:cs="Arial"/>
              </w:rPr>
              <w:t>”</w:t>
            </w:r>
          </w:p>
        </w:tc>
        <w:tc>
          <w:tcPr>
            <w:tcW w:w="6803" w:type="dxa"/>
          </w:tcPr>
          <w:p w14:paraId="07FD0DB3" w14:textId="77777777" w:rsidR="00F67E9E" w:rsidRPr="00AB0447" w:rsidRDefault="00F67E9E" w:rsidP="007F74AA">
            <w:pPr>
              <w:pStyle w:val="StdBodyText"/>
              <w:rPr>
                <w:rFonts w:cs="Arial"/>
              </w:rPr>
            </w:pPr>
            <w:r w:rsidRPr="00AB0447">
              <w:rPr>
                <w:rFonts w:cs="Arial"/>
              </w:rPr>
              <w:t xml:space="preserve">means </w:t>
            </w:r>
            <w:r w:rsidRPr="00AB0447">
              <w:t xml:space="preserve">the government of the United Kingdom (including the Northern Ireland Assembly and Executive Committee, the Scottish Government and the </w:t>
            </w:r>
            <w:r>
              <w:t>Welsh Government</w:t>
            </w:r>
            <w:r w:rsidRPr="00AB0447">
              <w:t>), including government ministers and government departments and particular bodies, persons, commissions or agencies from time to time carrying out functions on its behalf;</w:t>
            </w:r>
          </w:p>
        </w:tc>
      </w:tr>
      <w:tr w:rsidR="00F67E9E" w:rsidRPr="00F55457" w14:paraId="3B7C4ADA" w14:textId="77777777" w:rsidTr="007F74AA">
        <w:tc>
          <w:tcPr>
            <w:tcW w:w="2835" w:type="dxa"/>
          </w:tcPr>
          <w:p w14:paraId="22320354" w14:textId="77777777" w:rsidR="00F67E9E" w:rsidRPr="00AB0447" w:rsidRDefault="00F67E9E" w:rsidP="007F74AA">
            <w:pPr>
              <w:pStyle w:val="StdBodyTextBold"/>
              <w:rPr>
                <w:rFonts w:cs="Arial"/>
              </w:rPr>
            </w:pPr>
            <w:r>
              <w:rPr>
                <w:rFonts w:cs="Arial"/>
              </w:rPr>
              <w:t>“</w:t>
            </w:r>
            <w:r w:rsidRPr="00AB0447">
              <w:rPr>
                <w:rFonts w:cs="Arial"/>
              </w:rPr>
              <w:t>Crown Copyright</w:t>
            </w:r>
            <w:r>
              <w:rPr>
                <w:rFonts w:cs="Arial"/>
              </w:rPr>
              <w:t>”</w:t>
            </w:r>
          </w:p>
        </w:tc>
        <w:tc>
          <w:tcPr>
            <w:tcW w:w="6803" w:type="dxa"/>
          </w:tcPr>
          <w:p w14:paraId="73B680E8" w14:textId="77777777" w:rsidR="00F67E9E" w:rsidRPr="00AB0447" w:rsidRDefault="00F67E9E" w:rsidP="007F74AA">
            <w:pPr>
              <w:pStyle w:val="StdBodyText"/>
              <w:rPr>
                <w:rFonts w:cs="Arial"/>
              </w:rPr>
            </w:pPr>
            <w:r w:rsidRPr="00AB0447">
              <w:rPr>
                <w:rFonts w:cs="Arial"/>
              </w:rPr>
              <w:t>has the meaning given in the Copyright, Designs and Patents Act 1988</w:t>
            </w:r>
          </w:p>
        </w:tc>
      </w:tr>
      <w:tr w:rsidR="00F67E9E" w:rsidRPr="00F55457" w14:paraId="23338F3F" w14:textId="77777777" w:rsidTr="007F74AA">
        <w:tc>
          <w:tcPr>
            <w:tcW w:w="2835" w:type="dxa"/>
          </w:tcPr>
          <w:p w14:paraId="2A506FBA" w14:textId="77777777" w:rsidR="00F67E9E" w:rsidRPr="00AB0447" w:rsidRDefault="00F67E9E" w:rsidP="007F74AA">
            <w:pPr>
              <w:pStyle w:val="StdBodyTextBold"/>
              <w:rPr>
                <w:rFonts w:cs="Arial"/>
              </w:rPr>
            </w:pPr>
            <w:r>
              <w:rPr>
                <w:rFonts w:cs="Arial"/>
              </w:rPr>
              <w:t>“</w:t>
            </w:r>
            <w:r w:rsidRPr="00AB0447">
              <w:rPr>
                <w:rFonts w:cs="Arial"/>
              </w:rPr>
              <w:t>CRP Information</w:t>
            </w:r>
            <w:r>
              <w:rPr>
                <w:rFonts w:cs="Arial"/>
              </w:rPr>
              <w:t>”</w:t>
            </w:r>
          </w:p>
        </w:tc>
        <w:tc>
          <w:tcPr>
            <w:tcW w:w="6803" w:type="dxa"/>
          </w:tcPr>
          <w:p w14:paraId="6ADB06F0" w14:textId="77777777" w:rsidR="00F67E9E" w:rsidRPr="00AB0447" w:rsidRDefault="00F67E9E" w:rsidP="007F74AA">
            <w:pPr>
              <w:pStyle w:val="StdBodyText"/>
              <w:rPr>
                <w:rFonts w:cs="Arial"/>
              </w:rPr>
            </w:pPr>
            <w:r w:rsidRPr="00AB0447">
              <w:rPr>
                <w:rFonts w:cs="Arial"/>
              </w:rPr>
              <w:t>means the Corporate Resolution Planning Information, together, the:</w:t>
            </w:r>
          </w:p>
          <w:p w14:paraId="6FA61341" w14:textId="77777777" w:rsidR="00F67E9E" w:rsidRPr="00577E60" w:rsidRDefault="00F67E9E" w:rsidP="007F74AA">
            <w:pPr>
              <w:pStyle w:val="DefinitionList"/>
              <w:numPr>
                <w:ilvl w:val="0"/>
                <w:numId w:val="190"/>
              </w:numPr>
              <w:rPr>
                <w:rFonts w:cs="Arial"/>
              </w:rPr>
            </w:pPr>
            <w:r w:rsidRPr="00577E60">
              <w:rPr>
                <w:rFonts w:cs="Arial"/>
              </w:rPr>
              <w:t>Exposure Information (Contracts List);</w:t>
            </w:r>
          </w:p>
          <w:p w14:paraId="513D9E5F" w14:textId="77777777" w:rsidR="00F67E9E" w:rsidRPr="00AB0447" w:rsidRDefault="00F67E9E" w:rsidP="00F67E9E">
            <w:pPr>
              <w:pStyle w:val="DefinitionList"/>
              <w:numPr>
                <w:ilvl w:val="0"/>
                <w:numId w:val="108"/>
              </w:numPr>
            </w:pPr>
            <w:r w:rsidRPr="00AB0447">
              <w:t>Corporate Resolvability Assessment</w:t>
            </w:r>
            <w:r>
              <w:t xml:space="preserve"> </w:t>
            </w:r>
            <w:r w:rsidRPr="00AB0447">
              <w:t>(Structural Review); and</w:t>
            </w:r>
          </w:p>
          <w:p w14:paraId="43F182CB" w14:textId="77777777" w:rsidR="00F67E9E" w:rsidRPr="00AB0447" w:rsidRDefault="00F67E9E" w:rsidP="00F67E9E">
            <w:pPr>
              <w:pStyle w:val="DefinitionList"/>
              <w:numPr>
                <w:ilvl w:val="0"/>
                <w:numId w:val="108"/>
              </w:numPr>
            </w:pPr>
            <w:r w:rsidRPr="00AB0447">
              <w:t>Financial Information and Commentary</w:t>
            </w:r>
          </w:p>
        </w:tc>
      </w:tr>
      <w:tr w:rsidR="00F67E9E" w:rsidRPr="00F55457" w14:paraId="23CB63E9" w14:textId="77777777" w:rsidTr="007F74AA">
        <w:tc>
          <w:tcPr>
            <w:tcW w:w="2835" w:type="dxa"/>
          </w:tcPr>
          <w:p w14:paraId="0C0B3423" w14:textId="77777777" w:rsidR="00F67E9E" w:rsidRPr="00AB0447" w:rsidRDefault="00F67E9E" w:rsidP="007F74AA">
            <w:pPr>
              <w:pStyle w:val="StdBodyTextBold"/>
              <w:rPr>
                <w:rFonts w:cs="Arial"/>
              </w:rPr>
            </w:pPr>
            <w:r>
              <w:rPr>
                <w:rFonts w:cs="Arial"/>
              </w:rPr>
              <w:t>“</w:t>
            </w:r>
            <w:r w:rsidRPr="00AB0447">
              <w:rPr>
                <w:rFonts w:cs="Arial"/>
              </w:rPr>
              <w:t>CRTPA</w:t>
            </w:r>
            <w:r>
              <w:rPr>
                <w:rFonts w:cs="Arial"/>
              </w:rPr>
              <w:t>”</w:t>
            </w:r>
          </w:p>
        </w:tc>
        <w:tc>
          <w:tcPr>
            <w:tcW w:w="6803" w:type="dxa"/>
          </w:tcPr>
          <w:p w14:paraId="24DBEACC" w14:textId="77777777" w:rsidR="00F67E9E" w:rsidRPr="00AB0447" w:rsidRDefault="00F67E9E" w:rsidP="007F74AA">
            <w:pPr>
              <w:pStyle w:val="StdBodyText"/>
              <w:rPr>
                <w:rFonts w:cs="Arial"/>
              </w:rPr>
            </w:pPr>
            <w:r w:rsidRPr="00AB0447">
              <w:rPr>
                <w:rFonts w:cs="Arial"/>
              </w:rPr>
              <w:t xml:space="preserve">the </w:t>
            </w:r>
            <w:bookmarkStart w:id="95" w:name="_9kR3WTr277DMFKFx38qcwDmXtt7JF3jg2D9ia9T"/>
            <w:r w:rsidRPr="00AB0447">
              <w:rPr>
                <w:rFonts w:cs="Arial"/>
              </w:rPr>
              <w:t>Contracts (Rights of Third Parties) Act 1999</w:t>
            </w:r>
            <w:bookmarkEnd w:id="95"/>
            <w:r w:rsidRPr="00AB0447">
              <w:rPr>
                <w:rFonts w:cs="Arial"/>
              </w:rPr>
              <w:t>;</w:t>
            </w:r>
          </w:p>
        </w:tc>
      </w:tr>
      <w:tr w:rsidR="00F67E9E" w:rsidRPr="00F55457" w14:paraId="40633E2D" w14:textId="77777777" w:rsidTr="007F74AA">
        <w:tc>
          <w:tcPr>
            <w:tcW w:w="2835" w:type="dxa"/>
          </w:tcPr>
          <w:p w14:paraId="4CC4A647" w14:textId="77777777" w:rsidR="00F67E9E" w:rsidRPr="00AB0447" w:rsidRDefault="00F67E9E" w:rsidP="007F74AA">
            <w:pPr>
              <w:pStyle w:val="StdBodyTextBold"/>
              <w:keepNext/>
              <w:rPr>
                <w:rFonts w:cs="Arial"/>
              </w:rPr>
            </w:pPr>
            <w:r>
              <w:rPr>
                <w:rFonts w:cs="Arial"/>
              </w:rPr>
              <w:t>“</w:t>
            </w:r>
            <w:r w:rsidRPr="00AB0447">
              <w:rPr>
                <w:rFonts w:cs="Arial"/>
              </w:rPr>
              <w:t>Data Loss Event</w:t>
            </w:r>
            <w:r>
              <w:rPr>
                <w:rFonts w:cs="Arial"/>
              </w:rPr>
              <w:t>”</w:t>
            </w:r>
          </w:p>
        </w:tc>
        <w:tc>
          <w:tcPr>
            <w:tcW w:w="6803" w:type="dxa"/>
          </w:tcPr>
          <w:p w14:paraId="2F2BDA52" w14:textId="77777777" w:rsidR="00F67E9E" w:rsidRPr="00AB0447" w:rsidRDefault="00F67E9E" w:rsidP="007F74AA">
            <w:pPr>
              <w:pStyle w:val="StdBodyText"/>
              <w:rPr>
                <w:rFonts w:cs="Arial"/>
              </w:rPr>
            </w:pPr>
            <w:r w:rsidRPr="00AB0447">
              <w:rPr>
                <w:rFonts w:cs="Arial"/>
              </w:rPr>
              <w:t xml:space="preserve">any event that results, or may result, in unauthorised access to Personal Data held by the Supplier under this Contract, and/or actual or potential loss and/or destruction of Personal Data in breach of this Contract, including any </w:t>
            </w:r>
            <w:r>
              <w:rPr>
                <w:rFonts w:cs="Arial"/>
              </w:rPr>
              <w:t>Data Loss Event</w:t>
            </w:r>
            <w:r w:rsidRPr="00AB0447">
              <w:rPr>
                <w:rFonts w:cs="Arial"/>
              </w:rPr>
              <w:t>;</w:t>
            </w:r>
          </w:p>
        </w:tc>
      </w:tr>
      <w:tr w:rsidR="00F67E9E" w:rsidRPr="00F55457" w14:paraId="4A68A047" w14:textId="77777777" w:rsidTr="007F74AA">
        <w:tc>
          <w:tcPr>
            <w:tcW w:w="2835" w:type="dxa"/>
          </w:tcPr>
          <w:p w14:paraId="3A551BA4" w14:textId="77777777" w:rsidR="00F67E9E" w:rsidRPr="00AB0447" w:rsidRDefault="00F67E9E" w:rsidP="007F74AA">
            <w:pPr>
              <w:pStyle w:val="StdBodyTextBold"/>
              <w:rPr>
                <w:rFonts w:cs="Arial"/>
              </w:rPr>
            </w:pPr>
            <w:r>
              <w:rPr>
                <w:rFonts w:cs="Arial"/>
              </w:rPr>
              <w:t>“</w:t>
            </w:r>
            <w:r w:rsidRPr="00AB0447">
              <w:rPr>
                <w:rFonts w:cs="Arial"/>
              </w:rPr>
              <w:t>Data Protection Impact Assessment</w:t>
            </w:r>
            <w:r>
              <w:rPr>
                <w:rFonts w:cs="Arial"/>
              </w:rPr>
              <w:t>”</w:t>
            </w:r>
          </w:p>
        </w:tc>
        <w:tc>
          <w:tcPr>
            <w:tcW w:w="6803" w:type="dxa"/>
          </w:tcPr>
          <w:p w14:paraId="6E122D81" w14:textId="77777777" w:rsidR="00F67E9E" w:rsidRPr="00AB0447" w:rsidRDefault="00F67E9E" w:rsidP="007F74AA">
            <w:pPr>
              <w:pStyle w:val="StdBodyText"/>
              <w:rPr>
                <w:rFonts w:cs="Arial"/>
              </w:rPr>
            </w:pPr>
            <w:r w:rsidRPr="00AB0447">
              <w:rPr>
                <w:rFonts w:cs="Arial"/>
              </w:rPr>
              <w:t>an assessment by the Controller of the impact of the envisaged processing on the protection of Personal Data;</w:t>
            </w:r>
          </w:p>
        </w:tc>
      </w:tr>
      <w:tr w:rsidR="00F67E9E" w:rsidRPr="00F55457" w14:paraId="38116849" w14:textId="77777777" w:rsidTr="007F74AA">
        <w:tc>
          <w:tcPr>
            <w:tcW w:w="2835" w:type="dxa"/>
          </w:tcPr>
          <w:p w14:paraId="2AD9ABB8" w14:textId="77777777" w:rsidR="00F67E9E" w:rsidRPr="00AB0447" w:rsidRDefault="00F67E9E" w:rsidP="007F74AA">
            <w:pPr>
              <w:pStyle w:val="StdBodyTextBold"/>
              <w:rPr>
                <w:rFonts w:cs="Arial"/>
              </w:rPr>
            </w:pPr>
            <w:r>
              <w:rPr>
                <w:rFonts w:cs="Arial"/>
              </w:rPr>
              <w:t>“</w:t>
            </w:r>
            <w:r w:rsidRPr="00AB0447">
              <w:rPr>
                <w:rFonts w:cs="Arial"/>
              </w:rPr>
              <w:t>Data Protection Legislation</w:t>
            </w:r>
            <w:r>
              <w:rPr>
                <w:rFonts w:cs="Arial"/>
              </w:rPr>
              <w:t>”</w:t>
            </w:r>
          </w:p>
        </w:tc>
        <w:tc>
          <w:tcPr>
            <w:tcW w:w="6803" w:type="dxa"/>
          </w:tcPr>
          <w:p w14:paraId="7B9D8935" w14:textId="77777777" w:rsidR="00F67E9E" w:rsidRPr="00577E60" w:rsidRDefault="00F67E9E" w:rsidP="007F74AA">
            <w:pPr>
              <w:pStyle w:val="DefinitionList"/>
              <w:numPr>
                <w:ilvl w:val="0"/>
                <w:numId w:val="191"/>
              </w:numPr>
              <w:rPr>
                <w:rFonts w:cs="Arial"/>
              </w:rPr>
            </w:pPr>
            <w:bookmarkStart w:id="96" w:name="_9kR3WTr8E845Fs"/>
            <w:bookmarkEnd w:id="96"/>
            <w:r w:rsidRPr="00577E60">
              <w:rPr>
                <w:rFonts w:eastAsia="Arial"/>
              </w:rPr>
              <w:t xml:space="preserve">the UK GDPR; </w:t>
            </w:r>
          </w:p>
          <w:p w14:paraId="65A5AE83" w14:textId="77777777" w:rsidR="00F67E9E" w:rsidRPr="00AB0447" w:rsidRDefault="00F67E9E" w:rsidP="00F67E9E">
            <w:pPr>
              <w:pStyle w:val="DefinitionList"/>
              <w:numPr>
                <w:ilvl w:val="0"/>
                <w:numId w:val="108"/>
              </w:numPr>
              <w:rPr>
                <w:rFonts w:cs="Arial"/>
              </w:rPr>
            </w:pPr>
            <w:r w:rsidRPr="00AB0447">
              <w:rPr>
                <w:rFonts w:eastAsia="Arial"/>
              </w:rPr>
              <w:t xml:space="preserve">the DPA 2018 to the extent that it relates to processing of personal data and privacy; </w:t>
            </w:r>
          </w:p>
          <w:p w14:paraId="2024C5F6" w14:textId="77777777" w:rsidR="00F67E9E" w:rsidRPr="00AB0447" w:rsidRDefault="00F67E9E" w:rsidP="00F67E9E">
            <w:pPr>
              <w:pStyle w:val="DefinitionList"/>
              <w:numPr>
                <w:ilvl w:val="0"/>
                <w:numId w:val="108"/>
              </w:numPr>
              <w:rPr>
                <w:rFonts w:cs="Arial"/>
              </w:rPr>
            </w:pPr>
            <w:r w:rsidRPr="00AB0447">
              <w:rPr>
                <w:rFonts w:eastAsia="Arial"/>
              </w:rPr>
              <w:t xml:space="preserve">all applicable Law about the processing of personal data and privacy; and </w:t>
            </w:r>
          </w:p>
          <w:p w14:paraId="3DCB3733" w14:textId="77777777" w:rsidR="00F67E9E" w:rsidRPr="00AB0447" w:rsidRDefault="00F67E9E" w:rsidP="00F67E9E">
            <w:pPr>
              <w:pStyle w:val="DefinitionList"/>
              <w:numPr>
                <w:ilvl w:val="0"/>
                <w:numId w:val="108"/>
              </w:numPr>
              <w:rPr>
                <w:rFonts w:cs="Arial"/>
              </w:rPr>
            </w:pPr>
            <w:r w:rsidRPr="00AB0447">
              <w:rPr>
                <w:rFonts w:eastAsia="Arial"/>
              </w:rPr>
              <w:t>(to the extent that it applies) the EU GDPR</w:t>
            </w:r>
            <w:r w:rsidRPr="00AB0447">
              <w:rPr>
                <w:rFonts w:cs="Arial"/>
              </w:rPr>
              <w:t>;</w:t>
            </w:r>
          </w:p>
        </w:tc>
      </w:tr>
      <w:tr w:rsidR="00F67E9E" w:rsidRPr="00F55457" w14:paraId="15D89C35" w14:textId="77777777" w:rsidTr="007F74AA">
        <w:tc>
          <w:tcPr>
            <w:tcW w:w="2835" w:type="dxa"/>
          </w:tcPr>
          <w:p w14:paraId="0EDA7A4F" w14:textId="77777777" w:rsidR="00F67E9E" w:rsidRPr="00AB0447" w:rsidRDefault="00F67E9E" w:rsidP="007F74AA">
            <w:pPr>
              <w:pStyle w:val="StdBodyTextBold"/>
              <w:rPr>
                <w:rFonts w:cs="Arial"/>
              </w:rPr>
            </w:pPr>
            <w:r>
              <w:rPr>
                <w:rFonts w:cs="Arial"/>
              </w:rPr>
              <w:t>“</w:t>
            </w:r>
            <w:r w:rsidRPr="00AB0447">
              <w:rPr>
                <w:rFonts w:cs="Arial"/>
              </w:rPr>
              <w:t>Data Subject</w:t>
            </w:r>
            <w:r>
              <w:rPr>
                <w:rFonts w:cs="Arial"/>
              </w:rPr>
              <w:t>”</w:t>
            </w:r>
          </w:p>
        </w:tc>
        <w:tc>
          <w:tcPr>
            <w:tcW w:w="6803" w:type="dxa"/>
          </w:tcPr>
          <w:p w14:paraId="6E92EE9B" w14:textId="77777777" w:rsidR="00F67E9E" w:rsidRPr="00AB0447" w:rsidRDefault="00F67E9E" w:rsidP="007F74AA">
            <w:pPr>
              <w:pStyle w:val="StdBodyText"/>
              <w:rPr>
                <w:rFonts w:cs="Arial"/>
              </w:rPr>
            </w:pPr>
            <w:r w:rsidRPr="00AB0447">
              <w:rPr>
                <w:rFonts w:cs="Arial"/>
              </w:rPr>
              <w:t xml:space="preserve">has the meaning given to it in the UK GDPR or the EU GDPR as the context requires; </w:t>
            </w:r>
          </w:p>
        </w:tc>
      </w:tr>
      <w:tr w:rsidR="00F67E9E" w:rsidRPr="00F55457" w14:paraId="2F7F1F36" w14:textId="77777777" w:rsidTr="007F74AA">
        <w:tc>
          <w:tcPr>
            <w:tcW w:w="2835" w:type="dxa"/>
          </w:tcPr>
          <w:p w14:paraId="31ED664F" w14:textId="77777777" w:rsidR="00F67E9E" w:rsidRPr="00AB0447" w:rsidRDefault="00F67E9E" w:rsidP="007F74AA">
            <w:pPr>
              <w:pStyle w:val="StdBodyTextBold"/>
              <w:rPr>
                <w:rFonts w:cs="Arial"/>
              </w:rPr>
            </w:pPr>
            <w:r>
              <w:rPr>
                <w:rFonts w:cs="Arial"/>
              </w:rPr>
              <w:t>“</w:t>
            </w:r>
            <w:r w:rsidRPr="00AB0447">
              <w:rPr>
                <w:rFonts w:cs="Arial"/>
              </w:rPr>
              <w:t>Data Subject Request</w:t>
            </w:r>
            <w:r>
              <w:rPr>
                <w:rFonts w:cs="Arial"/>
              </w:rPr>
              <w:t>”</w:t>
            </w:r>
          </w:p>
        </w:tc>
        <w:tc>
          <w:tcPr>
            <w:tcW w:w="6803" w:type="dxa"/>
          </w:tcPr>
          <w:p w14:paraId="7B7AC25B" w14:textId="77777777" w:rsidR="00F67E9E" w:rsidRPr="00AB0447" w:rsidRDefault="00F67E9E" w:rsidP="007F74AA">
            <w:pPr>
              <w:pStyle w:val="StdBodyText"/>
              <w:rPr>
                <w:rFonts w:cs="Arial"/>
              </w:rPr>
            </w:pPr>
            <w:r w:rsidRPr="00AB0447">
              <w:rPr>
                <w:rFonts w:cs="Arial"/>
              </w:rPr>
              <w:t>a request made by, or on behalf of, a Data Subject in accordance with rights granted pursuant to the Data Protection Legislation to their Personal Data;</w:t>
            </w:r>
          </w:p>
        </w:tc>
      </w:tr>
      <w:tr w:rsidR="00F67E9E" w:rsidRPr="00F55457" w14:paraId="18C4B513" w14:textId="77777777" w:rsidTr="007F74AA">
        <w:tc>
          <w:tcPr>
            <w:tcW w:w="2835" w:type="dxa"/>
          </w:tcPr>
          <w:p w14:paraId="3ADD21BA" w14:textId="77777777" w:rsidR="00F67E9E" w:rsidRPr="00AB0447" w:rsidRDefault="00F67E9E" w:rsidP="007F74AA">
            <w:pPr>
              <w:pStyle w:val="StdBodyTextBold"/>
              <w:rPr>
                <w:rFonts w:cs="Arial"/>
              </w:rPr>
            </w:pPr>
            <w:r>
              <w:rPr>
                <w:rFonts w:cs="Arial"/>
              </w:rPr>
              <w:t>“</w:t>
            </w:r>
            <w:r w:rsidRPr="00AB0447">
              <w:rPr>
                <w:rFonts w:cs="Arial"/>
              </w:rPr>
              <w:t>Deductions</w:t>
            </w:r>
            <w:r>
              <w:rPr>
                <w:rFonts w:cs="Arial"/>
              </w:rPr>
              <w:t>”</w:t>
            </w:r>
          </w:p>
        </w:tc>
        <w:tc>
          <w:tcPr>
            <w:tcW w:w="6803" w:type="dxa"/>
          </w:tcPr>
          <w:p w14:paraId="50639E82" w14:textId="77777777" w:rsidR="00F67E9E" w:rsidRPr="00AB0447" w:rsidRDefault="00F67E9E" w:rsidP="007F74AA">
            <w:pPr>
              <w:pStyle w:val="StdBodyText"/>
              <w:rPr>
                <w:rFonts w:cs="Arial"/>
              </w:rPr>
            </w:pPr>
            <w:r w:rsidRPr="00AB0447">
              <w:rPr>
                <w:rFonts w:cs="Arial"/>
              </w:rPr>
              <w:t>all Service Credits, Compensation for Unacceptable KPI Failure, Delay Payments or any other deduction which is paid or payable to the Authority under this Contract;</w:t>
            </w:r>
          </w:p>
        </w:tc>
      </w:tr>
      <w:tr w:rsidR="00F67E9E" w:rsidRPr="00F55457" w14:paraId="3462F07F" w14:textId="77777777" w:rsidTr="007F74AA">
        <w:tc>
          <w:tcPr>
            <w:tcW w:w="2835" w:type="dxa"/>
          </w:tcPr>
          <w:p w14:paraId="4D635731" w14:textId="77777777" w:rsidR="00F67E9E" w:rsidRPr="00AB0447" w:rsidRDefault="00F67E9E" w:rsidP="007F74AA">
            <w:pPr>
              <w:pStyle w:val="StdBodyTextBold"/>
              <w:rPr>
                <w:rFonts w:cs="Arial"/>
              </w:rPr>
            </w:pPr>
            <w:r>
              <w:rPr>
                <w:rFonts w:cs="Arial"/>
              </w:rPr>
              <w:t>“</w:t>
            </w:r>
            <w:r w:rsidRPr="00AB0447">
              <w:rPr>
                <w:rFonts w:cs="Arial"/>
              </w:rPr>
              <w:t>Default</w:t>
            </w:r>
            <w:r>
              <w:rPr>
                <w:rFonts w:cs="Arial"/>
              </w:rPr>
              <w:t>”</w:t>
            </w:r>
          </w:p>
        </w:tc>
        <w:tc>
          <w:tcPr>
            <w:tcW w:w="6803" w:type="dxa"/>
          </w:tcPr>
          <w:p w14:paraId="7714E2F7" w14:textId="77777777" w:rsidR="00F67E9E" w:rsidRPr="00AB0447" w:rsidRDefault="00F67E9E" w:rsidP="007F74AA">
            <w:pPr>
              <w:pStyle w:val="StdBodyText"/>
              <w:rPr>
                <w:rFonts w:cs="Arial"/>
              </w:rPr>
            </w:pPr>
            <w:r w:rsidRPr="00AB0447">
              <w:rPr>
                <w:rFonts w:cs="Arial"/>
              </w:rPr>
              <w:t>any breach of the obligations of the relevant Party (including abandonment of this Contract in breach of its terms, repudiatory breach or breach of a fundamental term) or any other default, act, omission, negligence or statement:</w:t>
            </w:r>
          </w:p>
          <w:p w14:paraId="77541AB5" w14:textId="77777777" w:rsidR="00F67E9E" w:rsidRPr="00577E60" w:rsidRDefault="00F67E9E" w:rsidP="007F74AA">
            <w:pPr>
              <w:pStyle w:val="DefinitionList"/>
              <w:numPr>
                <w:ilvl w:val="0"/>
                <w:numId w:val="192"/>
              </w:numPr>
              <w:rPr>
                <w:rFonts w:cs="Arial"/>
              </w:rPr>
            </w:pPr>
            <w:r w:rsidRPr="00577E60">
              <w:rPr>
                <w:rFonts w:cs="Arial"/>
              </w:rPr>
              <w:t>in the case of the Authority, of its employees, servants, agents; or</w:t>
            </w:r>
          </w:p>
          <w:p w14:paraId="7091910E" w14:textId="77777777" w:rsidR="00F67E9E" w:rsidRPr="00AB0447" w:rsidRDefault="00F67E9E" w:rsidP="00F67E9E">
            <w:pPr>
              <w:pStyle w:val="DefinitionList"/>
              <w:numPr>
                <w:ilvl w:val="0"/>
                <w:numId w:val="108"/>
              </w:numPr>
              <w:rPr>
                <w:rFonts w:cs="Arial"/>
              </w:rPr>
            </w:pPr>
            <w:r w:rsidRPr="00AB0447">
              <w:rPr>
                <w:rFonts w:cs="Arial"/>
              </w:rPr>
              <w:t>in the case of the Supplier, of its Sub-contractors or any Supplier Personnel,</w:t>
            </w:r>
          </w:p>
          <w:p w14:paraId="1B76B74E" w14:textId="77777777" w:rsidR="00F67E9E" w:rsidRPr="00AB0447" w:rsidRDefault="00F67E9E" w:rsidP="007F74AA">
            <w:pPr>
              <w:pStyle w:val="StdBodyText"/>
              <w:rPr>
                <w:rFonts w:cs="Arial"/>
              </w:rPr>
            </w:pPr>
            <w:r w:rsidRPr="00AB0447">
              <w:rPr>
                <w:rFonts w:cs="Arial"/>
              </w:rPr>
              <w:t>in connection with or in relation to the subject-matter of this Contract and in respect of which such Party is liable to the other;</w:t>
            </w:r>
          </w:p>
        </w:tc>
      </w:tr>
      <w:tr w:rsidR="00F67E9E" w:rsidRPr="00F55457" w14:paraId="17B4EF03" w14:textId="77777777" w:rsidTr="007F74AA">
        <w:tc>
          <w:tcPr>
            <w:tcW w:w="2835" w:type="dxa"/>
          </w:tcPr>
          <w:p w14:paraId="52B104B6" w14:textId="77777777" w:rsidR="00F67E9E" w:rsidRPr="00AB0447" w:rsidRDefault="00F67E9E" w:rsidP="007F74AA">
            <w:pPr>
              <w:pStyle w:val="StdBodyTextBold"/>
              <w:rPr>
                <w:rFonts w:cs="Arial"/>
              </w:rPr>
            </w:pPr>
            <w:r>
              <w:rPr>
                <w:rFonts w:cs="Arial"/>
              </w:rPr>
              <w:t>“</w:t>
            </w:r>
            <w:r w:rsidRPr="00AB0447">
              <w:rPr>
                <w:rFonts w:cs="Arial"/>
              </w:rPr>
              <w:t>Defect</w:t>
            </w:r>
            <w:r>
              <w:rPr>
                <w:rFonts w:cs="Arial"/>
              </w:rPr>
              <w:t>”</w:t>
            </w:r>
          </w:p>
        </w:tc>
        <w:tc>
          <w:tcPr>
            <w:tcW w:w="6803" w:type="dxa"/>
          </w:tcPr>
          <w:p w14:paraId="6C0EAC61" w14:textId="77777777" w:rsidR="00F67E9E" w:rsidRPr="00577E60" w:rsidRDefault="00F67E9E" w:rsidP="007F74AA">
            <w:pPr>
              <w:pStyle w:val="DefinitionList"/>
              <w:numPr>
                <w:ilvl w:val="0"/>
                <w:numId w:val="193"/>
              </w:numPr>
              <w:rPr>
                <w:rFonts w:cs="Arial"/>
              </w:rPr>
            </w:pPr>
            <w:r w:rsidRPr="00577E60">
              <w:rPr>
                <w:rFonts w:cs="Arial"/>
              </w:rPr>
              <w:t>any error, damage or defect in the manufacturing of a Deliverable; or</w:t>
            </w:r>
          </w:p>
          <w:p w14:paraId="09F80585" w14:textId="77777777" w:rsidR="00F67E9E" w:rsidRPr="00AB0447" w:rsidRDefault="00F67E9E" w:rsidP="00F67E9E">
            <w:pPr>
              <w:pStyle w:val="DefinitionList"/>
              <w:numPr>
                <w:ilvl w:val="0"/>
                <w:numId w:val="108"/>
              </w:numPr>
              <w:rPr>
                <w:rFonts w:cs="Arial"/>
              </w:rPr>
            </w:pPr>
            <w:r w:rsidRPr="00AB0447">
              <w:rPr>
                <w:rFonts w:cs="Arial"/>
              </w:rPr>
              <w:t>any error or failure of code within the Software which causes a Deliverable to malfunction or to produce unintelligible or incorrect results; or</w:t>
            </w:r>
          </w:p>
          <w:p w14:paraId="0AF87199" w14:textId="77777777" w:rsidR="00F67E9E" w:rsidRPr="00AB0447" w:rsidRDefault="00F67E9E" w:rsidP="007F74AA">
            <w:pPr>
              <w:pStyle w:val="DefinitionList"/>
              <w:numPr>
                <w:ilvl w:val="0"/>
                <w:numId w:val="193"/>
              </w:numPr>
            </w:pPr>
            <w:r w:rsidRPr="00AB0447">
              <w:t>any failure of any Deliverable to provide the performance, features and functionality specified in the Authority Requirements or the Documentation (including any adverse effect on response times) regardless of whether or not it prevents the relevant Deliverable from meeting its associated Test Success Criteria; or</w:t>
            </w:r>
          </w:p>
          <w:p w14:paraId="782AA97C" w14:textId="77777777" w:rsidR="00F67E9E" w:rsidRPr="00AB0447" w:rsidRDefault="00F67E9E" w:rsidP="00F67E9E">
            <w:pPr>
              <w:pStyle w:val="DefinitionList"/>
              <w:numPr>
                <w:ilvl w:val="0"/>
                <w:numId w:val="108"/>
              </w:numPr>
              <w:rPr>
                <w:rFonts w:cs="Arial"/>
              </w:rPr>
            </w:pPr>
            <w:r w:rsidRPr="00AB0447">
              <w:rPr>
                <w:rFonts w:cs="Arial"/>
              </w:rPr>
              <w:t>any failure of any Deliverable to operate in conjunction with or interface with any other Deliverable in order to provide the performance, features and functionality specified in the Authority Requirements or the Documentation (including any adverse effect on response times) regardless of whether or not it prevents the relevant Deliverable from meeting its associated Test Success Criteria;</w:t>
            </w:r>
          </w:p>
        </w:tc>
      </w:tr>
      <w:tr w:rsidR="00F67E9E" w:rsidRPr="00F55457" w14:paraId="54D27BCD" w14:textId="77777777" w:rsidTr="007F74AA">
        <w:tc>
          <w:tcPr>
            <w:tcW w:w="2835" w:type="dxa"/>
          </w:tcPr>
          <w:p w14:paraId="13420E66" w14:textId="77777777" w:rsidR="00F67E9E" w:rsidRPr="00AB0447" w:rsidRDefault="00F67E9E" w:rsidP="007F74AA">
            <w:pPr>
              <w:pStyle w:val="StdBodyTextBold"/>
              <w:rPr>
                <w:rFonts w:cs="Arial"/>
              </w:rPr>
            </w:pPr>
            <w:r>
              <w:rPr>
                <w:rFonts w:cs="Arial"/>
              </w:rPr>
              <w:t>“</w:t>
            </w:r>
            <w:r w:rsidRPr="00AB0447">
              <w:rPr>
                <w:rFonts w:cs="Arial"/>
              </w:rPr>
              <w:t>Delay</w:t>
            </w:r>
            <w:r>
              <w:rPr>
                <w:rFonts w:cs="Arial"/>
              </w:rPr>
              <w:t>”</w:t>
            </w:r>
          </w:p>
        </w:tc>
        <w:tc>
          <w:tcPr>
            <w:tcW w:w="6803" w:type="dxa"/>
          </w:tcPr>
          <w:p w14:paraId="682F1D65" w14:textId="77777777" w:rsidR="00F67E9E" w:rsidRPr="00577E60" w:rsidRDefault="00F67E9E" w:rsidP="007F74AA">
            <w:pPr>
              <w:pStyle w:val="DefinitionList"/>
              <w:numPr>
                <w:ilvl w:val="0"/>
                <w:numId w:val="194"/>
              </w:numPr>
              <w:rPr>
                <w:rFonts w:cs="Arial"/>
              </w:rPr>
            </w:pPr>
            <w:r w:rsidRPr="00577E60">
              <w:rPr>
                <w:rFonts w:cs="Arial"/>
              </w:rPr>
              <w:t>a delay in the Achievement of a Milestone by its Milestone Date; or</w:t>
            </w:r>
          </w:p>
          <w:p w14:paraId="72878A53" w14:textId="77777777" w:rsidR="00F67E9E" w:rsidRPr="00AB0447" w:rsidRDefault="00F67E9E" w:rsidP="00F67E9E">
            <w:pPr>
              <w:pStyle w:val="DefinitionList"/>
              <w:numPr>
                <w:ilvl w:val="0"/>
                <w:numId w:val="108"/>
              </w:numPr>
              <w:rPr>
                <w:rFonts w:cs="Arial"/>
              </w:rPr>
            </w:pPr>
            <w:r w:rsidRPr="00AB0447">
              <w:rPr>
                <w:rFonts w:cs="Arial"/>
              </w:rPr>
              <w:t>a delay in the design, development, testing or implementation of a Deliverable by the relevant date set out in the Implementation Plan;</w:t>
            </w:r>
          </w:p>
        </w:tc>
      </w:tr>
      <w:tr w:rsidR="00F67E9E" w:rsidRPr="00F55457" w14:paraId="6174B620" w14:textId="77777777" w:rsidTr="007F74AA">
        <w:tc>
          <w:tcPr>
            <w:tcW w:w="2835" w:type="dxa"/>
          </w:tcPr>
          <w:p w14:paraId="29E445CF" w14:textId="77777777" w:rsidR="00F67E9E" w:rsidRPr="00AB0447" w:rsidRDefault="00F67E9E" w:rsidP="007F74AA">
            <w:pPr>
              <w:pStyle w:val="StdBodyTextBold"/>
              <w:rPr>
                <w:rFonts w:cs="Arial"/>
              </w:rPr>
            </w:pPr>
            <w:r>
              <w:rPr>
                <w:rFonts w:cs="Arial"/>
              </w:rPr>
              <w:t>“</w:t>
            </w:r>
            <w:r w:rsidRPr="00AB0447">
              <w:rPr>
                <w:rFonts w:cs="Arial"/>
              </w:rPr>
              <w:t>Delay Deduction Period</w:t>
            </w:r>
            <w:r>
              <w:rPr>
                <w:rFonts w:cs="Arial"/>
              </w:rPr>
              <w:t>”</w:t>
            </w:r>
          </w:p>
        </w:tc>
        <w:tc>
          <w:tcPr>
            <w:tcW w:w="6803" w:type="dxa"/>
          </w:tcPr>
          <w:p w14:paraId="3556E3FA" w14:textId="77777777" w:rsidR="00F67E9E" w:rsidRPr="00AB0447" w:rsidRDefault="00F67E9E" w:rsidP="007F74AA">
            <w:pPr>
              <w:pStyle w:val="StdBodyText"/>
              <w:rPr>
                <w:rFonts w:cs="Arial"/>
              </w:rPr>
            </w:pPr>
            <w:r w:rsidRPr="00AB0447">
              <w:rPr>
                <w:rFonts w:cs="Arial"/>
              </w:rPr>
              <w:t>the period of one hundred (100) days commencing on the relevant Milestone Date;</w:t>
            </w:r>
          </w:p>
        </w:tc>
      </w:tr>
      <w:tr w:rsidR="00F67E9E" w:rsidRPr="00F55457" w14:paraId="71FADA73" w14:textId="77777777" w:rsidTr="007F74AA">
        <w:tc>
          <w:tcPr>
            <w:tcW w:w="2835" w:type="dxa"/>
          </w:tcPr>
          <w:p w14:paraId="557BCE54" w14:textId="77777777" w:rsidR="00F67E9E" w:rsidRPr="00AB0447" w:rsidRDefault="00F67E9E" w:rsidP="007F74AA">
            <w:pPr>
              <w:pStyle w:val="StdBodyTextBold"/>
              <w:rPr>
                <w:rFonts w:cs="Arial"/>
              </w:rPr>
            </w:pPr>
            <w:r>
              <w:rPr>
                <w:rFonts w:cs="Arial"/>
              </w:rPr>
              <w:t>“</w:t>
            </w:r>
            <w:r w:rsidRPr="00AB0447">
              <w:rPr>
                <w:rFonts w:cs="Arial"/>
              </w:rPr>
              <w:t>Delay Payments</w:t>
            </w:r>
            <w:r>
              <w:rPr>
                <w:rFonts w:cs="Arial"/>
              </w:rPr>
              <w:t>”</w:t>
            </w:r>
          </w:p>
        </w:tc>
        <w:tc>
          <w:tcPr>
            <w:tcW w:w="6803" w:type="dxa"/>
          </w:tcPr>
          <w:p w14:paraId="09A74B27" w14:textId="54AD365A" w:rsidR="00F67E9E" w:rsidRPr="00AB0447" w:rsidRDefault="00F67E9E" w:rsidP="007F74AA">
            <w:pPr>
              <w:pStyle w:val="StdBodyText"/>
              <w:rPr>
                <w:rFonts w:cs="Arial"/>
              </w:rPr>
            </w:pPr>
            <w:r w:rsidRPr="00AB0447">
              <w:rPr>
                <w:rFonts w:cs="Arial"/>
              </w:rPr>
              <w:t xml:space="preserve">the amounts payable by the Supplier to the Authority in respect of a Delay in Achieving a Key Milestone as specified in </w:t>
            </w:r>
            <w:r>
              <w:rPr>
                <w:rFonts w:cs="Arial"/>
              </w:rPr>
              <w:fldChar w:fldCharType="begin"/>
            </w:r>
            <w:r>
              <w:rPr>
                <w:rFonts w:cs="Arial"/>
              </w:rPr>
              <w:instrText xml:space="preserve"> REF Schedule15 \h </w:instrText>
            </w:r>
            <w:r>
              <w:rPr>
                <w:rFonts w:cs="Arial"/>
              </w:rPr>
            </w:r>
            <w:r>
              <w:rPr>
                <w:rFonts w:cs="Arial"/>
              </w:rPr>
              <w:fldChar w:fldCharType="separate"/>
            </w:r>
            <w:r w:rsidR="00302D39" w:rsidRPr="005D0525">
              <w:t>Schedule</w:t>
            </w:r>
            <w:r w:rsidR="00302D39">
              <w:t> </w:t>
            </w:r>
            <w:r w:rsidR="00302D39" w:rsidRPr="005D0525">
              <w:t>15</w:t>
            </w:r>
            <w:r>
              <w:rPr>
                <w:rFonts w:cs="Arial"/>
              </w:rPr>
              <w:fldChar w:fldCharType="end"/>
            </w:r>
            <w:r>
              <w:rPr>
                <w:rFonts w:cs="Arial"/>
              </w:rPr>
              <w:t xml:space="preserve"> (</w:t>
            </w:r>
            <w:r w:rsidRPr="00B91437">
              <w:rPr>
                <w:rFonts w:cs="Arial"/>
                <w:i/>
                <w:iCs/>
              </w:rPr>
              <w:fldChar w:fldCharType="begin"/>
            </w:r>
            <w:r w:rsidRPr="00B91437">
              <w:rPr>
                <w:rFonts w:cs="Arial"/>
                <w:i/>
                <w:iCs/>
              </w:rPr>
              <w:instrText xml:space="preserve"> REF Schedule15Heading \h </w:instrText>
            </w:r>
            <w:r>
              <w:rPr>
                <w:rFonts w:cs="Arial"/>
                <w:i/>
                <w:iCs/>
              </w:rPr>
              <w:instrText xml:space="preserve"> \* MERGEFORMAT </w:instrText>
            </w:r>
            <w:r w:rsidRPr="00B91437">
              <w:rPr>
                <w:rFonts w:cs="Arial"/>
                <w:i/>
                <w:iCs/>
              </w:rPr>
            </w:r>
            <w:r w:rsidRPr="00B91437">
              <w:rPr>
                <w:rFonts w:cs="Arial"/>
                <w:i/>
                <w:iCs/>
              </w:rPr>
              <w:fldChar w:fldCharType="separate"/>
            </w:r>
            <w:r w:rsidR="00302D39" w:rsidRPr="00302D39">
              <w:rPr>
                <w:i/>
                <w:iCs/>
              </w:rPr>
              <w:t>Charges and Invoicing</w:t>
            </w:r>
            <w:r w:rsidRPr="00B91437">
              <w:rPr>
                <w:rFonts w:cs="Arial"/>
                <w:i/>
                <w:iCs/>
              </w:rPr>
              <w:fldChar w:fldCharType="end"/>
            </w:r>
            <w:r>
              <w:rPr>
                <w:rFonts w:cs="Arial"/>
              </w:rPr>
              <w:t>)</w:t>
            </w:r>
            <w:r w:rsidRPr="00AB0447">
              <w:rPr>
                <w:rFonts w:cs="Arial"/>
              </w:rPr>
              <w:t>;</w:t>
            </w:r>
          </w:p>
        </w:tc>
      </w:tr>
      <w:tr w:rsidR="00F67E9E" w:rsidRPr="00F55457" w14:paraId="784C1379" w14:textId="77777777" w:rsidTr="007F74AA">
        <w:tc>
          <w:tcPr>
            <w:tcW w:w="2835" w:type="dxa"/>
          </w:tcPr>
          <w:p w14:paraId="3F9B7253" w14:textId="77777777" w:rsidR="00F67E9E" w:rsidRPr="00AB0447" w:rsidRDefault="00F67E9E" w:rsidP="007F74AA">
            <w:pPr>
              <w:pStyle w:val="StdBodyTextBold"/>
              <w:rPr>
                <w:rFonts w:cs="Arial"/>
              </w:rPr>
            </w:pPr>
            <w:r>
              <w:rPr>
                <w:rFonts w:cs="Arial"/>
              </w:rPr>
              <w:t>“</w:t>
            </w:r>
            <w:r w:rsidRPr="00AB0447">
              <w:rPr>
                <w:rFonts w:cs="Arial"/>
              </w:rPr>
              <w:t>Deliverable</w:t>
            </w:r>
            <w:r>
              <w:rPr>
                <w:rFonts w:cs="Arial"/>
              </w:rPr>
              <w:t>”</w:t>
            </w:r>
          </w:p>
        </w:tc>
        <w:tc>
          <w:tcPr>
            <w:tcW w:w="6803" w:type="dxa"/>
          </w:tcPr>
          <w:p w14:paraId="497DC06E" w14:textId="77777777" w:rsidR="00F67E9E" w:rsidRPr="00AB0447" w:rsidRDefault="00F67E9E" w:rsidP="007F74AA">
            <w:pPr>
              <w:pStyle w:val="StdBodyText"/>
              <w:rPr>
                <w:rFonts w:cs="Arial"/>
              </w:rPr>
            </w:pPr>
            <w:r w:rsidRPr="00AB0447">
              <w:rPr>
                <w:rFonts w:cs="Arial"/>
              </w:rPr>
              <w:t>an item</w:t>
            </w:r>
            <w:r>
              <w:rPr>
                <w:rFonts w:cs="Arial"/>
              </w:rPr>
              <w:t>,</w:t>
            </w:r>
            <w:r w:rsidRPr="00AB0447">
              <w:rPr>
                <w:rFonts w:cs="Arial"/>
              </w:rPr>
              <w:t xml:space="preserve"> feature </w:t>
            </w:r>
            <w:r>
              <w:rPr>
                <w:rFonts w:cs="Arial"/>
              </w:rPr>
              <w:t xml:space="preserve">or software </w:t>
            </w:r>
            <w:r w:rsidRPr="00AB0447">
              <w:rPr>
                <w:rFonts w:cs="Arial"/>
              </w:rPr>
              <w:t>delivered or to be delivered by the Supplier at or before a Milestone Date or at any other stage during the performance of this Contract;</w:t>
            </w:r>
          </w:p>
        </w:tc>
      </w:tr>
      <w:tr w:rsidR="00F67E9E" w:rsidRPr="00F55457" w14:paraId="4E6DFA30" w14:textId="77777777" w:rsidTr="007F74AA">
        <w:tc>
          <w:tcPr>
            <w:tcW w:w="2835" w:type="dxa"/>
          </w:tcPr>
          <w:p w14:paraId="19940F28" w14:textId="77777777" w:rsidR="00F67E9E" w:rsidRPr="00AB0447" w:rsidRDefault="00F67E9E" w:rsidP="007F74AA">
            <w:pPr>
              <w:pStyle w:val="StdBodyTextBold"/>
              <w:rPr>
                <w:rFonts w:cs="Arial"/>
              </w:rPr>
            </w:pPr>
            <w:r>
              <w:rPr>
                <w:rFonts w:cs="Arial"/>
              </w:rPr>
              <w:t>“</w:t>
            </w:r>
            <w:r w:rsidRPr="00AB0447">
              <w:rPr>
                <w:rFonts w:cs="Arial"/>
              </w:rPr>
              <w:t>Dependent Parent Undertaking</w:t>
            </w:r>
            <w:r>
              <w:rPr>
                <w:rFonts w:cs="Arial"/>
              </w:rPr>
              <w:t>”</w:t>
            </w:r>
          </w:p>
        </w:tc>
        <w:tc>
          <w:tcPr>
            <w:tcW w:w="6803" w:type="dxa"/>
          </w:tcPr>
          <w:p w14:paraId="6016314B" w14:textId="77777777" w:rsidR="00F67E9E" w:rsidRPr="00AB0447" w:rsidRDefault="00F67E9E" w:rsidP="007F74AA">
            <w:pPr>
              <w:pStyle w:val="StdBodyText"/>
              <w:rPr>
                <w:rFonts w:cs="Arial"/>
              </w:rPr>
            </w:pPr>
            <w:r w:rsidRPr="00AB0447">
              <w:rPr>
                <w:rFonts w:cs="Arial"/>
              </w:rPr>
              <w:t>means any Parent Undertaking which provides any of its Subsidiary Undertakings and/or Associates, whether directly or indirectly, with any financial, trading, managerial or other assistance of whatever nature, without which the Supplier would be unable to continue the day to day conduct and operation of its business in the same manner as carried on at the time of entering into this Contract, including for the avoidance of doubt the provision of the Services in accordance with the terms of this Contract;</w:t>
            </w:r>
          </w:p>
        </w:tc>
      </w:tr>
      <w:tr w:rsidR="00F67E9E" w:rsidRPr="00F55457" w14:paraId="0B964BD9" w14:textId="77777777" w:rsidTr="007F74AA">
        <w:tc>
          <w:tcPr>
            <w:tcW w:w="2835" w:type="dxa"/>
          </w:tcPr>
          <w:p w14:paraId="6C23EB83" w14:textId="77777777" w:rsidR="00F67E9E" w:rsidRPr="00AB0447" w:rsidRDefault="00F67E9E" w:rsidP="007F74AA">
            <w:pPr>
              <w:pStyle w:val="StdBodyTextBold"/>
              <w:rPr>
                <w:rFonts w:cs="Arial"/>
              </w:rPr>
            </w:pPr>
            <w:r>
              <w:rPr>
                <w:rFonts w:cs="Arial"/>
              </w:rPr>
              <w:t>“</w:t>
            </w:r>
            <w:r w:rsidRPr="00AB0447">
              <w:rPr>
                <w:rFonts w:cs="Arial"/>
              </w:rPr>
              <w:t>Detailed Implementation Plan</w:t>
            </w:r>
            <w:r>
              <w:rPr>
                <w:rFonts w:cs="Arial"/>
              </w:rPr>
              <w:t>”</w:t>
            </w:r>
          </w:p>
        </w:tc>
        <w:tc>
          <w:tcPr>
            <w:tcW w:w="6803" w:type="dxa"/>
          </w:tcPr>
          <w:p w14:paraId="390EE5E5" w14:textId="23BE9256" w:rsidR="00F67E9E" w:rsidRPr="00AB0447" w:rsidRDefault="00F67E9E" w:rsidP="007F74AA">
            <w:pPr>
              <w:pStyle w:val="StdBodyText"/>
              <w:rPr>
                <w:rFonts w:cs="Arial"/>
              </w:rPr>
            </w:pPr>
            <w:r w:rsidRPr="00AB0447">
              <w:rPr>
                <w:rFonts w:cs="Arial"/>
              </w:rPr>
              <w:t xml:space="preserve">the plan developed and revised from time to time in accordance with </w:t>
            </w:r>
            <w:bookmarkStart w:id="97" w:name="_9kR3WTr2CC4EMdEnoewrqy2P"/>
            <w:r w:rsidRPr="00AB0447">
              <w:rPr>
                <w:rFonts w:cs="Arial"/>
              </w:rPr>
              <w:t xml:space="preserve">Paragraphs </w:t>
            </w:r>
            <w:bookmarkEnd w:id="97"/>
            <w:r w:rsidRPr="00AB0447">
              <w:rPr>
                <w:rFonts w:cs="Arial"/>
              </w:rPr>
              <w:fldChar w:fldCharType="begin"/>
            </w:r>
            <w:r w:rsidRPr="00AB0447">
              <w:rPr>
                <w:rFonts w:cs="Arial"/>
              </w:rPr>
              <w:instrText xml:space="preserve"> REF _Ref_ContractCompanion_9kb9Ur9FB \w \h  \* MERGEFORMAT </w:instrText>
            </w:r>
            <w:r w:rsidRPr="00AB0447">
              <w:rPr>
                <w:rFonts w:cs="Arial"/>
              </w:rPr>
            </w:r>
            <w:r w:rsidRPr="00AB0447">
              <w:rPr>
                <w:rFonts w:cs="Arial"/>
              </w:rPr>
              <w:fldChar w:fldCharType="separate"/>
            </w:r>
            <w:r w:rsidR="00302D39">
              <w:rPr>
                <w:rFonts w:cs="Arial"/>
              </w:rPr>
              <w:t>3</w:t>
            </w:r>
            <w:r w:rsidRPr="00AB0447">
              <w:rPr>
                <w:rFonts w:cs="Arial"/>
              </w:rPr>
              <w:fldChar w:fldCharType="end"/>
            </w:r>
            <w:r w:rsidRPr="00AB0447">
              <w:rPr>
                <w:rFonts w:cs="Arial"/>
              </w:rPr>
              <w:t xml:space="preserve"> and </w:t>
            </w:r>
            <w:r w:rsidRPr="00AB0447">
              <w:rPr>
                <w:rFonts w:cs="Arial"/>
              </w:rPr>
              <w:fldChar w:fldCharType="begin"/>
            </w:r>
            <w:r w:rsidRPr="00AB0447">
              <w:rPr>
                <w:rFonts w:cs="Arial"/>
              </w:rPr>
              <w:instrText xml:space="preserve"> REF _Ref44508311 \w \h  \* MERGEFORMAT </w:instrText>
            </w:r>
            <w:r w:rsidRPr="00AB0447">
              <w:rPr>
                <w:rFonts w:cs="Arial"/>
              </w:rPr>
            </w:r>
            <w:r w:rsidRPr="00AB0447">
              <w:rPr>
                <w:rFonts w:cs="Arial"/>
              </w:rPr>
              <w:fldChar w:fldCharType="separate"/>
            </w:r>
            <w:r w:rsidR="00302D39">
              <w:rPr>
                <w:rFonts w:cs="Arial"/>
              </w:rPr>
              <w:t>4</w:t>
            </w:r>
            <w:r w:rsidRPr="00AB0447">
              <w:rPr>
                <w:rFonts w:cs="Arial"/>
              </w:rPr>
              <w:fldChar w:fldCharType="end"/>
            </w:r>
            <w:r w:rsidRPr="00AB0447">
              <w:rPr>
                <w:rFonts w:cs="Arial"/>
              </w:rPr>
              <w:t xml:space="preserve"> of </w:t>
            </w:r>
            <w:r>
              <w:rPr>
                <w:rFonts w:cs="Arial"/>
              </w:rPr>
              <w:fldChar w:fldCharType="begin"/>
            </w:r>
            <w:r>
              <w:rPr>
                <w:rFonts w:cs="Arial"/>
              </w:rPr>
              <w:instrText xml:space="preserve"> REF Schedule13 \h </w:instrText>
            </w:r>
            <w:r>
              <w:rPr>
                <w:rFonts w:cs="Arial"/>
              </w:rPr>
            </w:r>
            <w:r>
              <w:rPr>
                <w:rFonts w:cs="Arial"/>
              </w:rPr>
              <w:fldChar w:fldCharType="separate"/>
            </w:r>
            <w:r w:rsidR="00302D39" w:rsidRPr="005D0525">
              <w:t>Schedule</w:t>
            </w:r>
            <w:r w:rsidR="00302D39">
              <w:t> </w:t>
            </w:r>
            <w:r w:rsidR="00302D39" w:rsidRPr="005D0525">
              <w:t>13</w:t>
            </w:r>
            <w:r>
              <w:rPr>
                <w:rFonts w:cs="Arial"/>
              </w:rPr>
              <w:fldChar w:fldCharType="end"/>
            </w:r>
            <w:r>
              <w:rPr>
                <w:rFonts w:cs="Arial"/>
              </w:rPr>
              <w:t xml:space="preserve"> (</w:t>
            </w:r>
            <w:r w:rsidRPr="00A22335">
              <w:rPr>
                <w:rFonts w:cs="Arial"/>
                <w:i/>
                <w:iCs/>
              </w:rPr>
              <w:fldChar w:fldCharType="begin"/>
            </w:r>
            <w:r w:rsidRPr="00A22335">
              <w:rPr>
                <w:rFonts w:cs="Arial"/>
                <w:i/>
                <w:iCs/>
              </w:rPr>
              <w:instrText xml:space="preserve"> REF Schedule13Heading \h </w:instrText>
            </w:r>
            <w:r>
              <w:rPr>
                <w:rFonts w:cs="Arial"/>
                <w:i/>
                <w:iCs/>
              </w:rPr>
              <w:instrText xml:space="preserve"> \* MERGEFORMAT </w:instrText>
            </w:r>
            <w:r w:rsidRPr="00A22335">
              <w:rPr>
                <w:rFonts w:cs="Arial"/>
                <w:i/>
                <w:iCs/>
              </w:rPr>
            </w:r>
            <w:r w:rsidRPr="00A22335">
              <w:rPr>
                <w:rFonts w:cs="Arial"/>
                <w:i/>
                <w:iCs/>
              </w:rPr>
              <w:fldChar w:fldCharType="separate"/>
            </w:r>
            <w:r w:rsidR="00302D39" w:rsidRPr="00302D39">
              <w:rPr>
                <w:i/>
                <w:iCs/>
              </w:rPr>
              <w:t>Implementation Plan</w:t>
            </w:r>
            <w:r w:rsidRPr="00A22335">
              <w:rPr>
                <w:rFonts w:cs="Arial"/>
                <w:i/>
                <w:iCs/>
              </w:rPr>
              <w:fldChar w:fldCharType="end"/>
            </w:r>
            <w:r>
              <w:rPr>
                <w:rFonts w:cs="Arial"/>
              </w:rPr>
              <w:t>)</w:t>
            </w:r>
            <w:r w:rsidRPr="00AB0447">
              <w:rPr>
                <w:rFonts w:cs="Arial"/>
              </w:rPr>
              <w:t>;</w:t>
            </w:r>
          </w:p>
        </w:tc>
      </w:tr>
      <w:tr w:rsidR="00F67E9E" w:rsidRPr="00F55457" w14:paraId="7A379BF5" w14:textId="77777777" w:rsidTr="007F74AA">
        <w:tc>
          <w:tcPr>
            <w:tcW w:w="2835" w:type="dxa"/>
          </w:tcPr>
          <w:p w14:paraId="1FE88C84" w14:textId="77777777" w:rsidR="00F67E9E" w:rsidRPr="00AB0447" w:rsidRDefault="00F67E9E" w:rsidP="007F74AA">
            <w:pPr>
              <w:pStyle w:val="StdBodyTextBold"/>
              <w:rPr>
                <w:rFonts w:cs="Arial"/>
              </w:rPr>
            </w:pPr>
            <w:r>
              <w:rPr>
                <w:rFonts w:cs="Arial"/>
              </w:rPr>
              <w:t>“</w:t>
            </w:r>
            <w:r w:rsidRPr="00AB0447">
              <w:rPr>
                <w:rFonts w:cs="Arial"/>
              </w:rPr>
              <w:t>Disclosing Party</w:t>
            </w:r>
            <w:r>
              <w:rPr>
                <w:rFonts w:cs="Arial"/>
              </w:rPr>
              <w:t>”</w:t>
            </w:r>
          </w:p>
        </w:tc>
        <w:tc>
          <w:tcPr>
            <w:tcW w:w="6803" w:type="dxa"/>
          </w:tcPr>
          <w:p w14:paraId="37635EC6" w14:textId="77777777" w:rsidR="00F67E9E" w:rsidRPr="00AB0447" w:rsidRDefault="00F67E9E" w:rsidP="007F74AA">
            <w:pPr>
              <w:pStyle w:val="StdBodyText"/>
              <w:rPr>
                <w:rFonts w:cs="Arial"/>
              </w:rPr>
            </w:pPr>
            <w:r w:rsidRPr="00AB0447">
              <w:rPr>
                <w:rFonts w:cs="Arial"/>
              </w:rPr>
              <w:t xml:space="preserve">has the meaning given in </w:t>
            </w:r>
            <w:bookmarkStart w:id="98" w:name="_9kMHG5YVtCIACJIFDDSN6C3pyFIECG78J7DG6In"/>
            <w:bookmarkStart w:id="99" w:name="_9kMHG5YVtCJBCJJGDDSN6C3pyFIECG78J7DG6In"/>
            <w:r w:rsidRPr="00AB0447">
              <w:rPr>
                <w:rFonts w:cs="Arial"/>
              </w:rPr>
              <w:t xml:space="preserve">Clause </w:t>
            </w:r>
            <w:bookmarkEnd w:id="98"/>
            <w:bookmarkEnd w:id="99"/>
            <w:r w:rsidRPr="00AB0447">
              <w:rPr>
                <w:rFonts w:cs="Arial"/>
              </w:rPr>
              <w:t>19.1 (</w:t>
            </w:r>
            <w:r w:rsidRPr="00C04B2F">
              <w:rPr>
                <w:rFonts w:cs="Arial"/>
                <w:i/>
                <w:iCs/>
              </w:rPr>
              <w:t>Confidentiality</w:t>
            </w:r>
            <w:r w:rsidRPr="00AB0447">
              <w:rPr>
                <w:rFonts w:cs="Arial"/>
              </w:rPr>
              <w:t>);</w:t>
            </w:r>
          </w:p>
        </w:tc>
      </w:tr>
      <w:tr w:rsidR="00F67E9E" w:rsidRPr="00F55457" w14:paraId="18B8B491" w14:textId="77777777" w:rsidTr="007F74AA">
        <w:tc>
          <w:tcPr>
            <w:tcW w:w="2835" w:type="dxa"/>
          </w:tcPr>
          <w:p w14:paraId="4266F187" w14:textId="77777777" w:rsidR="00F67E9E" w:rsidRPr="00AB0447" w:rsidRDefault="00F67E9E" w:rsidP="007F74AA">
            <w:pPr>
              <w:pStyle w:val="StdBodyTextBold"/>
              <w:rPr>
                <w:rFonts w:cs="Arial"/>
              </w:rPr>
            </w:pPr>
            <w:r>
              <w:rPr>
                <w:rFonts w:cs="Arial"/>
              </w:rPr>
              <w:t>“</w:t>
            </w:r>
            <w:r w:rsidRPr="00AB0447">
              <w:rPr>
                <w:rFonts w:cs="Arial"/>
              </w:rPr>
              <w:t>Disclosing Party Group</w:t>
            </w:r>
            <w:r>
              <w:rPr>
                <w:rFonts w:cs="Arial"/>
              </w:rPr>
              <w:t>”</w:t>
            </w:r>
          </w:p>
        </w:tc>
        <w:tc>
          <w:tcPr>
            <w:tcW w:w="6803" w:type="dxa"/>
          </w:tcPr>
          <w:p w14:paraId="024C94B3" w14:textId="77777777" w:rsidR="00F67E9E" w:rsidRPr="00AB0447" w:rsidRDefault="00F67E9E" w:rsidP="007F74AA">
            <w:pPr>
              <w:pStyle w:val="DefinitionList"/>
              <w:numPr>
                <w:ilvl w:val="0"/>
                <w:numId w:val="195"/>
              </w:numPr>
            </w:pPr>
            <w:r w:rsidRPr="00AB0447">
              <w:t xml:space="preserve">where the Disclosing Party is the Supplier, the Supplier and any Affiliates of the Supplier; and </w:t>
            </w:r>
          </w:p>
          <w:p w14:paraId="4EF14389" w14:textId="76B44040" w:rsidR="00F67E9E" w:rsidRPr="00AB0447" w:rsidRDefault="00F67E9E" w:rsidP="00F67E9E">
            <w:pPr>
              <w:pStyle w:val="DefinitionList"/>
              <w:numPr>
                <w:ilvl w:val="0"/>
                <w:numId w:val="108"/>
              </w:numPr>
              <w:rPr>
                <w:rFonts w:cs="Arial"/>
              </w:rPr>
            </w:pPr>
            <w:r w:rsidRPr="00AB0447">
              <w:rPr>
                <w:rFonts w:cs="Arial"/>
              </w:rPr>
              <w:t xml:space="preserve">where the Disclosing Party is the Authority, the Authority and any </w:t>
            </w:r>
            <w:r>
              <w:rPr>
                <w:rFonts w:cs="Arial"/>
              </w:rPr>
              <w:t>Crown</w:t>
            </w:r>
            <w:r w:rsidRPr="00AB0447">
              <w:rPr>
                <w:rFonts w:cs="Arial"/>
              </w:rPr>
              <w:t xml:space="preserve"> </w:t>
            </w:r>
            <w:r w:rsidR="00B34128">
              <w:rPr>
                <w:rFonts w:cs="Arial"/>
              </w:rPr>
              <w:t xml:space="preserve">Body </w:t>
            </w:r>
            <w:r w:rsidRPr="00AB0447">
              <w:rPr>
                <w:rFonts w:cs="Arial"/>
              </w:rPr>
              <w:t>with which the Authority or the Supplier interacts in connection with this Contract;</w:t>
            </w:r>
          </w:p>
        </w:tc>
      </w:tr>
      <w:tr w:rsidR="00F67E9E" w:rsidRPr="00F55457" w14:paraId="26EEC822" w14:textId="77777777" w:rsidTr="007F74AA">
        <w:tc>
          <w:tcPr>
            <w:tcW w:w="2835" w:type="dxa"/>
          </w:tcPr>
          <w:p w14:paraId="00F3E856" w14:textId="77777777" w:rsidR="00F67E9E" w:rsidRPr="00AB0447" w:rsidRDefault="00F67E9E" w:rsidP="007F74AA">
            <w:pPr>
              <w:pStyle w:val="StdBodyTextBold"/>
              <w:rPr>
                <w:rFonts w:cs="Arial"/>
              </w:rPr>
            </w:pPr>
            <w:r>
              <w:rPr>
                <w:rFonts w:cs="Arial"/>
              </w:rPr>
              <w:t>“</w:t>
            </w:r>
            <w:r w:rsidRPr="00AB0447">
              <w:rPr>
                <w:rFonts w:cs="Arial"/>
              </w:rPr>
              <w:t>Dispute</w:t>
            </w:r>
            <w:r>
              <w:rPr>
                <w:rFonts w:cs="Arial"/>
              </w:rPr>
              <w:t>”</w:t>
            </w:r>
          </w:p>
        </w:tc>
        <w:tc>
          <w:tcPr>
            <w:tcW w:w="6803" w:type="dxa"/>
          </w:tcPr>
          <w:p w14:paraId="2824CD90" w14:textId="77777777" w:rsidR="00F67E9E" w:rsidRPr="00AB0447" w:rsidRDefault="00F67E9E" w:rsidP="007F74AA">
            <w:pPr>
              <w:pStyle w:val="StdBodyText"/>
              <w:rPr>
                <w:rFonts w:cs="Arial"/>
              </w:rPr>
            </w:pPr>
            <w:r w:rsidRPr="00AB0447">
              <w:rPr>
                <w:rFonts w:cs="Arial"/>
              </w:rPr>
              <w:t>any dispute, difference or question of interpretation arising out of or in connection with this Contract, including any dispute, difference or question of interpretation relating to the Services, failure to agree in accordance with the Change Control Procedure or any matter where this Contract directs the Parties to resolve an issue by reference to the Dispute Resolution Procedure;</w:t>
            </w:r>
          </w:p>
        </w:tc>
      </w:tr>
      <w:tr w:rsidR="00F67E9E" w:rsidRPr="00F55457" w14:paraId="606201A2" w14:textId="77777777" w:rsidTr="007F74AA">
        <w:tc>
          <w:tcPr>
            <w:tcW w:w="2835" w:type="dxa"/>
          </w:tcPr>
          <w:p w14:paraId="318095E2" w14:textId="77777777" w:rsidR="00F67E9E" w:rsidRPr="00AB0447" w:rsidRDefault="00F67E9E" w:rsidP="007F74AA">
            <w:pPr>
              <w:pStyle w:val="StdBodyTextBold"/>
              <w:rPr>
                <w:rFonts w:cs="Arial"/>
              </w:rPr>
            </w:pPr>
            <w:r>
              <w:rPr>
                <w:rFonts w:cs="Arial"/>
              </w:rPr>
              <w:t>“</w:t>
            </w:r>
            <w:r w:rsidRPr="00AB0447">
              <w:rPr>
                <w:rFonts w:cs="Arial"/>
              </w:rPr>
              <w:t>Dispute Notice</w:t>
            </w:r>
            <w:r>
              <w:rPr>
                <w:rFonts w:cs="Arial"/>
              </w:rPr>
              <w:t>”</w:t>
            </w:r>
          </w:p>
        </w:tc>
        <w:tc>
          <w:tcPr>
            <w:tcW w:w="6803" w:type="dxa"/>
          </w:tcPr>
          <w:p w14:paraId="2D02D2E9" w14:textId="77777777" w:rsidR="00F67E9E" w:rsidRPr="00AB0447" w:rsidRDefault="00F67E9E" w:rsidP="007F74AA">
            <w:pPr>
              <w:pStyle w:val="StdBodyText"/>
              <w:rPr>
                <w:rFonts w:cs="Arial"/>
              </w:rPr>
            </w:pPr>
            <w:r w:rsidRPr="00AB0447">
              <w:rPr>
                <w:rFonts w:cs="Arial"/>
              </w:rPr>
              <w:t>a written notice served by one Party on the other stating that the Party serving the notice believes that there is a Dispute;</w:t>
            </w:r>
          </w:p>
        </w:tc>
      </w:tr>
      <w:tr w:rsidR="00F67E9E" w:rsidRPr="00F55457" w14:paraId="1DFE192F" w14:textId="77777777" w:rsidTr="007F74AA">
        <w:tc>
          <w:tcPr>
            <w:tcW w:w="2835" w:type="dxa"/>
          </w:tcPr>
          <w:p w14:paraId="2AE582E6" w14:textId="77777777" w:rsidR="00F67E9E" w:rsidRPr="00AB0447" w:rsidRDefault="00F67E9E" w:rsidP="007F74AA">
            <w:pPr>
              <w:pStyle w:val="StdBodyTextBold"/>
              <w:rPr>
                <w:rFonts w:cs="Arial"/>
              </w:rPr>
            </w:pPr>
            <w:r>
              <w:rPr>
                <w:rFonts w:cs="Arial"/>
              </w:rPr>
              <w:t>“</w:t>
            </w:r>
            <w:r w:rsidRPr="00AB0447">
              <w:rPr>
                <w:rFonts w:cs="Arial"/>
              </w:rPr>
              <w:t>Dispute Resolution Procedure</w:t>
            </w:r>
            <w:r>
              <w:rPr>
                <w:rFonts w:cs="Arial"/>
              </w:rPr>
              <w:t>”</w:t>
            </w:r>
          </w:p>
        </w:tc>
        <w:tc>
          <w:tcPr>
            <w:tcW w:w="6803" w:type="dxa"/>
          </w:tcPr>
          <w:p w14:paraId="41DB8806" w14:textId="4B4C582F" w:rsidR="00F67E9E" w:rsidRPr="00AB0447" w:rsidRDefault="00F67E9E" w:rsidP="007F74AA">
            <w:pPr>
              <w:pStyle w:val="StdBodyText"/>
              <w:rPr>
                <w:rFonts w:cs="Arial"/>
              </w:rPr>
            </w:pPr>
            <w:r w:rsidRPr="00AB0447">
              <w:rPr>
                <w:rFonts w:cs="Arial"/>
              </w:rPr>
              <w:t xml:space="preserve">the dispute resolution procedure set out in </w:t>
            </w:r>
            <w:r>
              <w:rPr>
                <w:rFonts w:cs="Arial"/>
              </w:rPr>
              <w:fldChar w:fldCharType="begin"/>
            </w:r>
            <w:r>
              <w:rPr>
                <w:rFonts w:cs="Arial"/>
              </w:rPr>
              <w:instrText xml:space="preserve"> REF Schedule23 \h </w:instrText>
            </w:r>
            <w:r>
              <w:rPr>
                <w:rFonts w:cs="Arial"/>
              </w:rPr>
            </w:r>
            <w:r>
              <w:rPr>
                <w:rFonts w:cs="Arial"/>
              </w:rPr>
              <w:fldChar w:fldCharType="separate"/>
            </w:r>
            <w:r w:rsidR="00302D39" w:rsidRPr="005D0525">
              <w:t>Schedule</w:t>
            </w:r>
            <w:r w:rsidR="00302D39">
              <w:t> </w:t>
            </w:r>
            <w:r w:rsidR="00302D39" w:rsidRPr="005D0525">
              <w:t>23</w:t>
            </w:r>
            <w:r>
              <w:rPr>
                <w:rFonts w:cs="Arial"/>
              </w:rPr>
              <w:fldChar w:fldCharType="end"/>
            </w:r>
            <w:r>
              <w:rPr>
                <w:rFonts w:cs="Arial"/>
              </w:rPr>
              <w:t xml:space="preserve"> (</w:t>
            </w:r>
            <w:r w:rsidRPr="002F30DB">
              <w:rPr>
                <w:rFonts w:cs="Arial"/>
                <w:i/>
                <w:iCs/>
              </w:rPr>
              <w:fldChar w:fldCharType="begin"/>
            </w:r>
            <w:r w:rsidRPr="002F30DB">
              <w:rPr>
                <w:rFonts w:cs="Arial"/>
                <w:i/>
                <w:iCs/>
              </w:rPr>
              <w:instrText xml:space="preserve"> REF Schedule23Heading \h </w:instrText>
            </w:r>
            <w:r>
              <w:rPr>
                <w:rFonts w:cs="Arial"/>
                <w:i/>
                <w:iCs/>
              </w:rPr>
              <w:instrText xml:space="preserve"> \* MERGEFORMAT </w:instrText>
            </w:r>
            <w:r w:rsidRPr="002F30DB">
              <w:rPr>
                <w:rFonts w:cs="Arial"/>
                <w:i/>
                <w:iCs/>
              </w:rPr>
            </w:r>
            <w:r w:rsidRPr="002F30DB">
              <w:rPr>
                <w:rFonts w:cs="Arial"/>
                <w:i/>
                <w:iCs/>
              </w:rPr>
              <w:fldChar w:fldCharType="separate"/>
            </w:r>
            <w:r w:rsidR="00302D39" w:rsidRPr="00302D39">
              <w:rPr>
                <w:i/>
                <w:iCs/>
              </w:rPr>
              <w:t>Dispute Resolution Procedure</w:t>
            </w:r>
            <w:r w:rsidRPr="002F30DB">
              <w:rPr>
                <w:rFonts w:cs="Arial"/>
                <w:i/>
                <w:iCs/>
              </w:rPr>
              <w:fldChar w:fldCharType="end"/>
            </w:r>
            <w:r>
              <w:rPr>
                <w:rFonts w:cs="Arial"/>
              </w:rPr>
              <w:t>)</w:t>
            </w:r>
            <w:r w:rsidRPr="00AB0447">
              <w:rPr>
                <w:rFonts w:cs="Arial"/>
              </w:rPr>
              <w:t>;</w:t>
            </w:r>
          </w:p>
        </w:tc>
      </w:tr>
      <w:tr w:rsidR="00F67E9E" w:rsidRPr="00F55457" w14:paraId="7F83420A" w14:textId="77777777" w:rsidTr="007F74AA">
        <w:tc>
          <w:tcPr>
            <w:tcW w:w="2835" w:type="dxa"/>
          </w:tcPr>
          <w:p w14:paraId="3818F318" w14:textId="77777777" w:rsidR="00F67E9E" w:rsidRPr="00AB0447" w:rsidRDefault="00F67E9E" w:rsidP="007F74AA">
            <w:pPr>
              <w:pStyle w:val="StdBodyTextBold"/>
              <w:rPr>
                <w:rFonts w:cs="Arial"/>
              </w:rPr>
            </w:pPr>
            <w:r>
              <w:rPr>
                <w:rFonts w:cs="Arial"/>
              </w:rPr>
              <w:t>“</w:t>
            </w:r>
            <w:r w:rsidRPr="00AB0447">
              <w:rPr>
                <w:rFonts w:cs="Arial"/>
              </w:rPr>
              <w:t>Documentation</w:t>
            </w:r>
            <w:r>
              <w:rPr>
                <w:rFonts w:cs="Arial"/>
              </w:rPr>
              <w:t>”</w:t>
            </w:r>
          </w:p>
        </w:tc>
        <w:tc>
          <w:tcPr>
            <w:tcW w:w="6803" w:type="dxa"/>
          </w:tcPr>
          <w:p w14:paraId="3032C373" w14:textId="77777777" w:rsidR="00F67E9E" w:rsidRPr="00AB0447" w:rsidRDefault="00F67E9E" w:rsidP="007F74AA">
            <w:pPr>
              <w:pStyle w:val="StdBodyText"/>
              <w:rPr>
                <w:rFonts w:cs="Arial"/>
              </w:rPr>
            </w:pPr>
            <w:r w:rsidRPr="00AB0447">
              <w:rPr>
                <w:rFonts w:cs="Arial"/>
              </w:rPr>
              <w:t>descriptions of the Services and Performance Indicators, details of the Supplier System (including (i) vendors and versions for off-the-shelf components and (ii) source code and build information for proprietary components), relevant design and development information, technical specifications of all functionality including those not included in standard manuals (such as those that modify system performance and access levels), configuration details, test scripts, user manuals, operating manuals, process definitions and procedures, and all such other documentation as:</w:t>
            </w:r>
          </w:p>
          <w:p w14:paraId="2680E38D" w14:textId="77777777" w:rsidR="00F67E9E" w:rsidRPr="00AB0447" w:rsidRDefault="00F67E9E" w:rsidP="007F74AA">
            <w:pPr>
              <w:pStyle w:val="DefinitionList"/>
              <w:numPr>
                <w:ilvl w:val="0"/>
                <w:numId w:val="196"/>
              </w:numPr>
            </w:pPr>
            <w:r w:rsidRPr="00AB0447">
              <w:t>is required to be supplied by the Supplier to the Authority under this Contract;</w:t>
            </w:r>
          </w:p>
          <w:p w14:paraId="39A66AB8" w14:textId="77777777" w:rsidR="00F67E9E" w:rsidRPr="00AB0447" w:rsidRDefault="00F67E9E" w:rsidP="00F67E9E">
            <w:pPr>
              <w:pStyle w:val="DefinitionList"/>
              <w:numPr>
                <w:ilvl w:val="0"/>
                <w:numId w:val="108"/>
              </w:numPr>
              <w:rPr>
                <w:rFonts w:cs="Arial"/>
              </w:rPr>
            </w:pPr>
            <w:r w:rsidRPr="00AB0447">
              <w:rPr>
                <w:rFonts w:cs="Arial"/>
              </w:rPr>
              <w:t>would reasonably be required by a competent third party capable of Good Industry Practice contracted by the Authority to develop, configure, build, deploy, run, maintain, upgrade and test the individual systems that provide Services;</w:t>
            </w:r>
          </w:p>
          <w:p w14:paraId="4058EE29" w14:textId="77777777" w:rsidR="00F67E9E" w:rsidRPr="00AB0447" w:rsidRDefault="00F67E9E" w:rsidP="00F67E9E">
            <w:pPr>
              <w:pStyle w:val="DefinitionList"/>
              <w:numPr>
                <w:ilvl w:val="0"/>
                <w:numId w:val="108"/>
              </w:numPr>
              <w:rPr>
                <w:rFonts w:cs="Arial"/>
              </w:rPr>
            </w:pPr>
            <w:r w:rsidRPr="00AB0447">
              <w:rPr>
                <w:rFonts w:cs="Arial"/>
              </w:rPr>
              <w:t>is required by the Supplier in order to provide the Services; and/or</w:t>
            </w:r>
          </w:p>
          <w:p w14:paraId="2EB56227" w14:textId="77777777" w:rsidR="00F67E9E" w:rsidRPr="00AB0447" w:rsidRDefault="00F67E9E" w:rsidP="00F67E9E">
            <w:pPr>
              <w:pStyle w:val="DefinitionList"/>
              <w:numPr>
                <w:ilvl w:val="0"/>
                <w:numId w:val="108"/>
              </w:numPr>
              <w:rPr>
                <w:rFonts w:cs="Arial"/>
              </w:rPr>
            </w:pPr>
            <w:r w:rsidRPr="00AB0447">
              <w:rPr>
                <w:rFonts w:cs="Arial"/>
              </w:rPr>
              <w:t>has been or shall be generated for the purpose of providing the Services;</w:t>
            </w:r>
          </w:p>
        </w:tc>
      </w:tr>
      <w:tr w:rsidR="00F67E9E" w:rsidRPr="00F55457" w14:paraId="6E227C8A" w14:textId="77777777" w:rsidTr="007F74AA">
        <w:tc>
          <w:tcPr>
            <w:tcW w:w="2835" w:type="dxa"/>
          </w:tcPr>
          <w:p w14:paraId="69896B99" w14:textId="77777777" w:rsidR="00F67E9E" w:rsidRPr="00AB0447" w:rsidRDefault="00F67E9E" w:rsidP="007F74AA">
            <w:pPr>
              <w:pStyle w:val="StdBodyTextBold"/>
              <w:rPr>
                <w:rFonts w:cs="Arial"/>
              </w:rPr>
            </w:pPr>
            <w:r>
              <w:rPr>
                <w:rFonts w:cs="Arial"/>
              </w:rPr>
              <w:t>“</w:t>
            </w:r>
            <w:r w:rsidRPr="00AB0447">
              <w:rPr>
                <w:rFonts w:cs="Arial"/>
              </w:rPr>
              <w:t>DOTAS</w:t>
            </w:r>
            <w:r>
              <w:rPr>
                <w:rFonts w:cs="Arial"/>
              </w:rPr>
              <w:t>”</w:t>
            </w:r>
          </w:p>
        </w:tc>
        <w:tc>
          <w:tcPr>
            <w:tcW w:w="6803" w:type="dxa"/>
          </w:tcPr>
          <w:p w14:paraId="57F1B10F" w14:textId="77777777" w:rsidR="00F67E9E" w:rsidRPr="00AB0447" w:rsidRDefault="00F67E9E" w:rsidP="007F74AA">
            <w:pPr>
              <w:pStyle w:val="StdBodyText"/>
              <w:rPr>
                <w:rFonts w:cs="Arial"/>
              </w:rPr>
            </w:pPr>
            <w:r w:rsidRPr="00AB0447">
              <w:rPr>
                <w:rFonts w:cs="Arial"/>
              </w:rPr>
              <w:t xml:space="preserve">the Disclosure of Tax Avoidance Schemes rules which require a promoter of tax schemes to tell HMRC of any specified notifiable arrangements or proposals and to provide prescribed information on those arrangements or proposals within set time limits as contained in </w:t>
            </w:r>
            <w:bookmarkStart w:id="100" w:name="_9kR3WTr277DJFaEn7O7tz2oNM1uvyqPI8ZUTY"/>
            <w:r w:rsidRPr="00AB0447">
              <w:rPr>
                <w:rFonts w:cs="Arial"/>
              </w:rPr>
              <w:t>Part 7 of the Finance Act 2004</w:t>
            </w:r>
            <w:bookmarkEnd w:id="100"/>
            <w:r w:rsidRPr="00AB0447">
              <w:rPr>
                <w:rFonts w:cs="Arial"/>
              </w:rPr>
              <w:t xml:space="preserve"> and in secondary legislation made under vires contained in </w:t>
            </w:r>
            <w:bookmarkStart w:id="101" w:name="_9kMHG5YVt499FLHcGp9Q9v14qPO3wx0sRKAbWVa"/>
            <w:r w:rsidRPr="00AB0447">
              <w:rPr>
                <w:rFonts w:cs="Arial"/>
              </w:rPr>
              <w:t>Part 7 of the Finance Act 2004</w:t>
            </w:r>
            <w:bookmarkEnd w:id="101"/>
            <w:r w:rsidRPr="00AB0447">
              <w:rPr>
                <w:rFonts w:cs="Arial"/>
              </w:rPr>
              <w:t xml:space="preserve"> and as extended to national insurance contributions by the </w:t>
            </w:r>
            <w:bookmarkStart w:id="102" w:name="_9kR3WTr277DJKdCpyu0nmVS9HHyvyqRWEKPF0DW"/>
            <w:r w:rsidRPr="00AB0447">
              <w:rPr>
                <w:rFonts w:cs="Arial"/>
              </w:rPr>
              <w:t>National Insurance Contributions (Application of Part 7 of the Finance Act 2004) Regulations 2012, SI 2012/1868</w:t>
            </w:r>
            <w:bookmarkEnd w:id="102"/>
            <w:r w:rsidRPr="00AB0447">
              <w:rPr>
                <w:rFonts w:cs="Arial"/>
              </w:rPr>
              <w:t xml:space="preserve">) made under </w:t>
            </w:r>
            <w:bookmarkStart w:id="103" w:name="_9kR3WTr277DGH8rcszv1FJLTNz58ugl2xw0thyF"/>
            <w:r w:rsidRPr="00AB0447">
              <w:rPr>
                <w:rFonts w:cs="Arial"/>
              </w:rPr>
              <w:t>section 132A of the Social Security Administration Act 1992</w:t>
            </w:r>
            <w:bookmarkEnd w:id="103"/>
            <w:r w:rsidRPr="00AB0447">
              <w:rPr>
                <w:rFonts w:cs="Arial"/>
              </w:rPr>
              <w:t>;</w:t>
            </w:r>
          </w:p>
        </w:tc>
      </w:tr>
      <w:tr w:rsidR="00F67E9E" w:rsidRPr="00F55457" w14:paraId="774CF722" w14:textId="77777777" w:rsidTr="007F74AA">
        <w:tc>
          <w:tcPr>
            <w:tcW w:w="2835" w:type="dxa"/>
          </w:tcPr>
          <w:p w14:paraId="3C10B025" w14:textId="77777777" w:rsidR="00F67E9E" w:rsidRPr="00AB0447" w:rsidRDefault="00F67E9E" w:rsidP="007F74AA">
            <w:pPr>
              <w:pStyle w:val="StdBodyTextBold"/>
              <w:rPr>
                <w:rFonts w:cs="Arial"/>
              </w:rPr>
            </w:pPr>
            <w:r>
              <w:rPr>
                <w:rFonts w:cs="Arial"/>
              </w:rPr>
              <w:t>“</w:t>
            </w:r>
            <w:r w:rsidRPr="00AB0447">
              <w:rPr>
                <w:rFonts w:cs="Arial"/>
              </w:rPr>
              <w:t>DPA 2018</w:t>
            </w:r>
            <w:r>
              <w:rPr>
                <w:rFonts w:cs="Arial"/>
              </w:rPr>
              <w:t>”</w:t>
            </w:r>
          </w:p>
        </w:tc>
        <w:tc>
          <w:tcPr>
            <w:tcW w:w="6803" w:type="dxa"/>
          </w:tcPr>
          <w:p w14:paraId="67425893" w14:textId="77777777" w:rsidR="00F67E9E" w:rsidRPr="00AB0447" w:rsidRDefault="00F67E9E" w:rsidP="007F74AA">
            <w:pPr>
              <w:pStyle w:val="StdBodyText"/>
              <w:rPr>
                <w:rFonts w:cs="Arial"/>
              </w:rPr>
            </w:pPr>
            <w:r w:rsidRPr="00AB0447">
              <w:rPr>
                <w:rFonts w:cs="Arial"/>
              </w:rPr>
              <w:t xml:space="preserve">the </w:t>
            </w:r>
            <w:bookmarkStart w:id="104" w:name="_9kR3WTr277DLLS2pqNZ58zjz628VF5WRRa"/>
            <w:r w:rsidRPr="00AB0447">
              <w:rPr>
                <w:rFonts w:cs="Arial"/>
              </w:rPr>
              <w:t>Data Protection Act 2018</w:t>
            </w:r>
            <w:bookmarkEnd w:id="104"/>
            <w:r w:rsidRPr="00AB0447">
              <w:rPr>
                <w:rFonts w:cs="Arial"/>
              </w:rPr>
              <w:t>;</w:t>
            </w:r>
          </w:p>
        </w:tc>
      </w:tr>
      <w:tr w:rsidR="00F67E9E" w:rsidRPr="00F55457" w14:paraId="4E73CA96" w14:textId="77777777" w:rsidTr="007F74AA">
        <w:tc>
          <w:tcPr>
            <w:tcW w:w="2835" w:type="dxa"/>
          </w:tcPr>
          <w:p w14:paraId="5EB1DD98" w14:textId="77777777" w:rsidR="00F67E9E" w:rsidRPr="00AB0447" w:rsidRDefault="00F67E9E" w:rsidP="007F74AA">
            <w:pPr>
              <w:pStyle w:val="StdBodyTextBold"/>
              <w:rPr>
                <w:rFonts w:cs="Arial"/>
              </w:rPr>
            </w:pPr>
            <w:r>
              <w:rPr>
                <w:rFonts w:cs="Arial"/>
              </w:rPr>
              <w:t>“</w:t>
            </w:r>
            <w:r w:rsidRPr="00AB0447">
              <w:rPr>
                <w:rFonts w:cs="Arial"/>
              </w:rPr>
              <w:t>Due Diligence Information</w:t>
            </w:r>
            <w:r>
              <w:rPr>
                <w:rFonts w:cs="Arial"/>
              </w:rPr>
              <w:t>”</w:t>
            </w:r>
          </w:p>
        </w:tc>
        <w:tc>
          <w:tcPr>
            <w:tcW w:w="6803" w:type="dxa"/>
          </w:tcPr>
          <w:p w14:paraId="688EEF00" w14:textId="77777777" w:rsidR="00F67E9E" w:rsidRPr="00AB0447" w:rsidRDefault="00F67E9E" w:rsidP="007F74AA">
            <w:pPr>
              <w:pStyle w:val="StdBodyText"/>
              <w:rPr>
                <w:rFonts w:cs="Arial"/>
              </w:rPr>
            </w:pPr>
            <w:r w:rsidRPr="00AB0447">
              <w:rPr>
                <w:rFonts w:cs="Arial"/>
              </w:rPr>
              <w:t>any information supplied to the Supplier by or on behalf of the Authority prior to the Effective Date;</w:t>
            </w:r>
          </w:p>
        </w:tc>
      </w:tr>
      <w:tr w:rsidR="00F67E9E" w:rsidRPr="00F55457" w14:paraId="6404F44C" w14:textId="77777777" w:rsidTr="007F74AA">
        <w:tc>
          <w:tcPr>
            <w:tcW w:w="2835" w:type="dxa"/>
          </w:tcPr>
          <w:p w14:paraId="4B2FB26F" w14:textId="77777777" w:rsidR="00F67E9E" w:rsidRPr="00AB0447" w:rsidRDefault="00F67E9E" w:rsidP="007F74AA">
            <w:pPr>
              <w:pStyle w:val="StdBodyTextBold"/>
              <w:rPr>
                <w:rFonts w:cs="Arial"/>
              </w:rPr>
            </w:pPr>
            <w:r>
              <w:rPr>
                <w:rFonts w:cs="Arial"/>
              </w:rPr>
              <w:t>“</w:t>
            </w:r>
            <w:r w:rsidRPr="00AB0447">
              <w:rPr>
                <w:rFonts w:cs="Arial"/>
              </w:rPr>
              <w:t>EEA</w:t>
            </w:r>
            <w:r>
              <w:rPr>
                <w:rFonts w:cs="Arial"/>
              </w:rPr>
              <w:t>”</w:t>
            </w:r>
          </w:p>
        </w:tc>
        <w:tc>
          <w:tcPr>
            <w:tcW w:w="6803" w:type="dxa"/>
          </w:tcPr>
          <w:p w14:paraId="7FDD3346" w14:textId="77777777" w:rsidR="00F67E9E" w:rsidRPr="00AB0447" w:rsidRDefault="00F67E9E" w:rsidP="007F74AA">
            <w:pPr>
              <w:pStyle w:val="StdBodyText"/>
              <w:rPr>
                <w:rFonts w:cs="Arial"/>
              </w:rPr>
            </w:pPr>
            <w:r w:rsidRPr="00AB0447">
              <w:rPr>
                <w:rFonts w:cs="Arial"/>
              </w:rPr>
              <w:t>European Economic Area</w:t>
            </w:r>
          </w:p>
        </w:tc>
      </w:tr>
      <w:tr w:rsidR="00F67E9E" w:rsidRPr="00F55457" w14:paraId="4D1014BF" w14:textId="77777777" w:rsidTr="007F74AA">
        <w:tc>
          <w:tcPr>
            <w:tcW w:w="2835" w:type="dxa"/>
          </w:tcPr>
          <w:p w14:paraId="2D1CE8CB" w14:textId="77777777" w:rsidR="00F67E9E" w:rsidRPr="00AB0447" w:rsidRDefault="00F67E9E" w:rsidP="007F74AA">
            <w:pPr>
              <w:pStyle w:val="StdBodyTextBold"/>
              <w:rPr>
                <w:rFonts w:cs="Arial"/>
              </w:rPr>
            </w:pPr>
            <w:r>
              <w:rPr>
                <w:rFonts w:cs="Arial"/>
              </w:rPr>
              <w:t>“</w:t>
            </w:r>
            <w:r w:rsidRPr="00AB0447">
              <w:rPr>
                <w:rFonts w:cs="Arial"/>
              </w:rPr>
              <w:t>Effective Date</w:t>
            </w:r>
            <w:r>
              <w:rPr>
                <w:rFonts w:cs="Arial"/>
              </w:rPr>
              <w:t>”</w:t>
            </w:r>
          </w:p>
        </w:tc>
        <w:tc>
          <w:tcPr>
            <w:tcW w:w="6803" w:type="dxa"/>
          </w:tcPr>
          <w:p w14:paraId="491B7DC6" w14:textId="77777777" w:rsidR="00F67E9E" w:rsidRPr="00AB0447" w:rsidRDefault="00F67E9E" w:rsidP="007F74AA">
            <w:pPr>
              <w:pStyle w:val="StdBodyText"/>
              <w:rPr>
                <w:rFonts w:cs="Arial"/>
              </w:rPr>
            </w:pPr>
            <w:r w:rsidRPr="00AB0447">
              <w:rPr>
                <w:rFonts w:cs="Arial"/>
              </w:rPr>
              <w:t xml:space="preserve">the later of: </w:t>
            </w:r>
          </w:p>
          <w:p w14:paraId="3EB50074" w14:textId="77777777" w:rsidR="00F67E9E" w:rsidRPr="00AB0447" w:rsidRDefault="00F67E9E" w:rsidP="007F74AA">
            <w:pPr>
              <w:pStyle w:val="DefinitionList"/>
              <w:numPr>
                <w:ilvl w:val="0"/>
                <w:numId w:val="197"/>
              </w:numPr>
            </w:pPr>
            <w:r w:rsidRPr="00AB0447">
              <w:t>the date on which this Contract is signed by both Parties; and</w:t>
            </w:r>
          </w:p>
          <w:p w14:paraId="40DF2EB8" w14:textId="77777777" w:rsidR="00F67E9E" w:rsidRPr="00AB0447" w:rsidRDefault="00F67E9E" w:rsidP="00F67E9E">
            <w:pPr>
              <w:pStyle w:val="DefinitionList"/>
              <w:numPr>
                <w:ilvl w:val="0"/>
                <w:numId w:val="108"/>
              </w:numPr>
              <w:rPr>
                <w:rFonts w:cs="Arial"/>
              </w:rPr>
            </w:pPr>
            <w:r w:rsidRPr="00AB0447">
              <w:rPr>
                <w:rFonts w:cs="Arial"/>
              </w:rPr>
              <w:t xml:space="preserve">the date on which the Condition Precedent has been satisfied or waived in accordance with </w:t>
            </w:r>
            <w:bookmarkStart w:id="105" w:name="_9kMJI5YVt4DD8IOSEjtCxAM"/>
            <w:r w:rsidRPr="00AB0447">
              <w:rPr>
                <w:rFonts w:cs="Arial"/>
              </w:rPr>
              <w:t xml:space="preserve">Clause </w:t>
            </w:r>
            <w:bookmarkEnd w:id="105"/>
            <w:r w:rsidRPr="00AB0447">
              <w:rPr>
                <w:rFonts w:cs="Arial"/>
              </w:rPr>
              <w:t>4.2 (</w:t>
            </w:r>
            <w:r w:rsidRPr="00C04B2F">
              <w:rPr>
                <w:rFonts w:cs="Arial"/>
                <w:i/>
                <w:iCs/>
              </w:rPr>
              <w:t>Condition Precedent</w:t>
            </w:r>
            <w:r w:rsidRPr="00AB0447">
              <w:rPr>
                <w:rFonts w:cs="Arial"/>
              </w:rPr>
              <w:t xml:space="preserve">); </w:t>
            </w:r>
          </w:p>
        </w:tc>
      </w:tr>
      <w:tr w:rsidR="00F67E9E" w:rsidRPr="00F55457" w14:paraId="57615B61" w14:textId="77777777" w:rsidTr="007F74AA">
        <w:tc>
          <w:tcPr>
            <w:tcW w:w="2835" w:type="dxa"/>
          </w:tcPr>
          <w:p w14:paraId="7CF8BD4C" w14:textId="77777777" w:rsidR="00F67E9E" w:rsidRPr="00AB0447" w:rsidRDefault="00F67E9E" w:rsidP="007F74AA">
            <w:pPr>
              <w:pStyle w:val="StdBodyTextBold"/>
              <w:rPr>
                <w:rFonts w:cs="Arial"/>
              </w:rPr>
            </w:pPr>
            <w:r>
              <w:rPr>
                <w:rFonts w:cs="Arial"/>
              </w:rPr>
              <w:t>“</w:t>
            </w:r>
            <w:r w:rsidRPr="00AB0447">
              <w:rPr>
                <w:rFonts w:cs="Arial"/>
              </w:rPr>
              <w:t>EIRs</w:t>
            </w:r>
            <w:r>
              <w:rPr>
                <w:rFonts w:cs="Arial"/>
              </w:rPr>
              <w:t>”</w:t>
            </w:r>
          </w:p>
        </w:tc>
        <w:tc>
          <w:tcPr>
            <w:tcW w:w="6803" w:type="dxa"/>
          </w:tcPr>
          <w:p w14:paraId="6D830B9C" w14:textId="77777777" w:rsidR="00F67E9E" w:rsidRPr="00AB0447" w:rsidRDefault="00F67E9E" w:rsidP="007F74AA">
            <w:pPr>
              <w:pStyle w:val="StdBodyText"/>
              <w:rPr>
                <w:rFonts w:cs="Arial"/>
              </w:rPr>
            </w:pPr>
            <w:r w:rsidRPr="00AB0447">
              <w:rPr>
                <w:rFonts w:cs="Arial"/>
              </w:rPr>
              <w:t xml:space="preserve">the </w:t>
            </w:r>
            <w:bookmarkStart w:id="106" w:name="_9kR3WTr277DLJRG40x410suAyraX13GFz7GCIwi"/>
            <w:r w:rsidRPr="00AB0447">
              <w:rPr>
                <w:rFonts w:cs="Arial"/>
              </w:rPr>
              <w:t>Environmental Information Regulations 2004</w:t>
            </w:r>
            <w:bookmarkEnd w:id="106"/>
            <w:r w:rsidRPr="00AB0447">
              <w:rPr>
                <w:rFonts w:cs="Arial"/>
              </w:rPr>
              <w:t xml:space="preserve">, together with any guidance and/or codes of practice issued by the Information Commissioner or any </w:t>
            </w:r>
            <w:r>
              <w:rPr>
                <w:rFonts w:cs="Arial"/>
              </w:rPr>
              <w:t>Crown</w:t>
            </w:r>
            <w:r w:rsidRPr="00AB0447">
              <w:rPr>
                <w:rFonts w:cs="Arial"/>
              </w:rPr>
              <w:t xml:space="preserve"> Body in relation to such Regulations;</w:t>
            </w:r>
          </w:p>
        </w:tc>
      </w:tr>
      <w:tr w:rsidR="00F67E9E" w:rsidRPr="00F55457" w14:paraId="5DD3605C" w14:textId="77777777" w:rsidTr="007F74AA">
        <w:tc>
          <w:tcPr>
            <w:tcW w:w="2835" w:type="dxa"/>
          </w:tcPr>
          <w:p w14:paraId="4CFB6DE1" w14:textId="77777777" w:rsidR="00F67E9E" w:rsidRPr="00AB0447" w:rsidRDefault="00F67E9E" w:rsidP="007F74AA">
            <w:pPr>
              <w:pStyle w:val="StdBodyTextBold"/>
              <w:rPr>
                <w:rFonts w:cs="Arial"/>
              </w:rPr>
            </w:pPr>
            <w:r>
              <w:rPr>
                <w:rFonts w:cs="Arial"/>
              </w:rPr>
              <w:t>“</w:t>
            </w:r>
            <w:r w:rsidRPr="00AB0447">
              <w:rPr>
                <w:rFonts w:cs="Arial"/>
              </w:rPr>
              <w:t xml:space="preserve">Emergency </w:t>
            </w:r>
            <w:bookmarkStart w:id="107" w:name="_9kMON5YVt499FMJaDgu6ytqrum"/>
            <w:r w:rsidRPr="00AB0447">
              <w:rPr>
                <w:rFonts w:cs="Arial"/>
              </w:rPr>
              <w:t>Maintenance</w:t>
            </w:r>
            <w:bookmarkEnd w:id="107"/>
            <w:r>
              <w:rPr>
                <w:rFonts w:cs="Arial"/>
              </w:rPr>
              <w:t>”</w:t>
            </w:r>
          </w:p>
        </w:tc>
        <w:tc>
          <w:tcPr>
            <w:tcW w:w="6803" w:type="dxa"/>
          </w:tcPr>
          <w:p w14:paraId="64B3422E" w14:textId="77777777" w:rsidR="00F67E9E" w:rsidRPr="00AB0447" w:rsidRDefault="00F67E9E" w:rsidP="007F74AA">
            <w:pPr>
              <w:pStyle w:val="StdBodyText"/>
              <w:rPr>
                <w:rFonts w:cs="Arial"/>
              </w:rPr>
            </w:pPr>
            <w:r w:rsidRPr="00AB0447">
              <w:rPr>
                <w:rFonts w:cs="Arial"/>
              </w:rPr>
              <w:t xml:space="preserve">ad hoc and unplanned </w:t>
            </w:r>
            <w:bookmarkStart w:id="108" w:name="_9kMPO5YVt499FMK1jgu6ytqrum"/>
            <w:r w:rsidRPr="00AB0447">
              <w:rPr>
                <w:rFonts w:cs="Arial"/>
              </w:rPr>
              <w:t>maintenance</w:t>
            </w:r>
            <w:bookmarkEnd w:id="108"/>
            <w:r w:rsidRPr="00AB0447">
              <w:rPr>
                <w:rFonts w:cs="Arial"/>
              </w:rPr>
              <w:t xml:space="preserve"> provided by the Supplier where:</w:t>
            </w:r>
          </w:p>
          <w:p w14:paraId="4BFEB8B3" w14:textId="77777777" w:rsidR="00F67E9E" w:rsidRPr="00AB0447" w:rsidRDefault="00F67E9E" w:rsidP="007F74AA">
            <w:pPr>
              <w:pStyle w:val="DefinitionList"/>
              <w:numPr>
                <w:ilvl w:val="0"/>
                <w:numId w:val="198"/>
              </w:numPr>
            </w:pPr>
            <w:r w:rsidRPr="00AB0447">
              <w:t xml:space="preserve">the Authority reasonably suspects that the IT Environment or the Services, or any part of the IT Environment or the Services, has or may have developed a fault, and notifies the Supplier of the same; or </w:t>
            </w:r>
          </w:p>
          <w:p w14:paraId="06008AA4" w14:textId="77777777" w:rsidR="00F67E9E" w:rsidRPr="00AB0447" w:rsidRDefault="00F67E9E" w:rsidP="00F67E9E">
            <w:pPr>
              <w:pStyle w:val="DefinitionList"/>
              <w:numPr>
                <w:ilvl w:val="0"/>
                <w:numId w:val="108"/>
              </w:numPr>
              <w:rPr>
                <w:rFonts w:cs="Arial"/>
              </w:rPr>
            </w:pPr>
            <w:r w:rsidRPr="00AB0447">
              <w:rPr>
                <w:rFonts w:cs="Arial"/>
              </w:rPr>
              <w:t>the Supplier reasonably suspects that the IT Environment or the Services, or any part the IT Environment or the Services, has or may have developed a fault;</w:t>
            </w:r>
          </w:p>
        </w:tc>
      </w:tr>
      <w:tr w:rsidR="00F67E9E" w:rsidRPr="00F55457" w14:paraId="241D5705" w14:textId="77777777" w:rsidTr="007F74AA">
        <w:tc>
          <w:tcPr>
            <w:tcW w:w="2835" w:type="dxa"/>
          </w:tcPr>
          <w:p w14:paraId="11249EC3" w14:textId="77777777" w:rsidR="00F67E9E" w:rsidRPr="00AB0447" w:rsidRDefault="00F67E9E" w:rsidP="007F74AA">
            <w:pPr>
              <w:pStyle w:val="StdBodyTextBold"/>
              <w:rPr>
                <w:rFonts w:cs="Arial"/>
              </w:rPr>
            </w:pPr>
            <w:r>
              <w:rPr>
                <w:rFonts w:cs="Arial"/>
              </w:rPr>
              <w:t>“</w:t>
            </w:r>
            <w:r w:rsidRPr="00AB0447">
              <w:rPr>
                <w:rFonts w:cs="Arial"/>
              </w:rPr>
              <w:t>Employee Liabilities</w:t>
            </w:r>
            <w:r>
              <w:rPr>
                <w:rFonts w:cs="Arial"/>
              </w:rPr>
              <w:t>”</w:t>
            </w:r>
          </w:p>
        </w:tc>
        <w:tc>
          <w:tcPr>
            <w:tcW w:w="6803" w:type="dxa"/>
          </w:tcPr>
          <w:p w14:paraId="44EB638D" w14:textId="77777777" w:rsidR="00F67E9E" w:rsidRPr="00AB0447" w:rsidRDefault="00F67E9E" w:rsidP="007F74AA">
            <w:pPr>
              <w:pStyle w:val="StdBodyText"/>
              <w:rPr>
                <w:rFonts w:cs="Arial"/>
              </w:rPr>
            </w:pPr>
            <w:r w:rsidRPr="00AB0447">
              <w:rPr>
                <w:rFonts w:cs="Arial"/>
              </w:rPr>
              <w:t>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related to employment including in relation to the following:</w:t>
            </w:r>
          </w:p>
          <w:p w14:paraId="1556E15B" w14:textId="77777777" w:rsidR="00F67E9E" w:rsidRPr="00AB0447" w:rsidRDefault="00F67E9E" w:rsidP="007F74AA">
            <w:pPr>
              <w:pStyle w:val="DefinitionList"/>
              <w:numPr>
                <w:ilvl w:val="0"/>
                <w:numId w:val="199"/>
              </w:numPr>
            </w:pPr>
            <w:r w:rsidRPr="00200CC3">
              <w:t>redundancy</w:t>
            </w:r>
            <w:r w:rsidRPr="00AB0447">
              <w:t xml:space="preserve"> payments including contractual or enhanced redundancy costs, termination costs and notice payments; </w:t>
            </w:r>
          </w:p>
          <w:p w14:paraId="41101E53" w14:textId="77777777" w:rsidR="00F67E9E" w:rsidRPr="00AB0447" w:rsidRDefault="00F67E9E" w:rsidP="00F67E9E">
            <w:pPr>
              <w:pStyle w:val="DefinitionList"/>
              <w:numPr>
                <w:ilvl w:val="0"/>
                <w:numId w:val="108"/>
              </w:numPr>
              <w:rPr>
                <w:rFonts w:cs="Arial"/>
              </w:rPr>
            </w:pPr>
            <w:r w:rsidRPr="00AB0447">
              <w:rPr>
                <w:rFonts w:cs="Arial"/>
              </w:rPr>
              <w:t>unfair, wrongful or constructive dismissal compensation;</w:t>
            </w:r>
          </w:p>
          <w:p w14:paraId="22682DD2" w14:textId="77777777" w:rsidR="00F67E9E" w:rsidRPr="00AB0447" w:rsidRDefault="00F67E9E" w:rsidP="00F67E9E">
            <w:pPr>
              <w:pStyle w:val="DefinitionList"/>
              <w:numPr>
                <w:ilvl w:val="0"/>
                <w:numId w:val="108"/>
              </w:numPr>
              <w:rPr>
                <w:rFonts w:cs="Arial"/>
              </w:rPr>
            </w:pPr>
            <w:r w:rsidRPr="00AB0447">
              <w:rPr>
                <w:rFonts w:cs="Arial"/>
              </w:rPr>
              <w:t>compensation fo</w:t>
            </w:r>
            <w:bookmarkStart w:id="109" w:name="_9kR3WTr5DA48Cyo"/>
            <w:bookmarkEnd w:id="109"/>
            <w:r w:rsidRPr="00AB0447">
              <w:rPr>
                <w:rFonts w:cs="Arial"/>
              </w:rPr>
              <w:t>r discrimination on grounds of sex, race, disability, age, religion or belief, gender reassignment, marriage or civil partne</w:t>
            </w:r>
            <w:bookmarkStart w:id="110" w:name="_9kR3WTr5DA48Dxhput3v2J"/>
            <w:bookmarkEnd w:id="110"/>
            <w:r w:rsidRPr="00AB0447">
              <w:rPr>
                <w:rFonts w:cs="Arial"/>
              </w:rPr>
              <w:t xml:space="preserve">rship, pregnancy and maternity or sexual orientation or claims for equal pay; </w:t>
            </w:r>
          </w:p>
          <w:p w14:paraId="11B298B3" w14:textId="77777777" w:rsidR="00F67E9E" w:rsidRPr="00AB0447" w:rsidRDefault="00F67E9E" w:rsidP="00F67E9E">
            <w:pPr>
              <w:pStyle w:val="DefinitionList"/>
              <w:numPr>
                <w:ilvl w:val="0"/>
                <w:numId w:val="108"/>
              </w:numPr>
              <w:rPr>
                <w:rFonts w:cs="Arial"/>
              </w:rPr>
            </w:pPr>
            <w:r w:rsidRPr="00AB0447">
              <w:rPr>
                <w:rFonts w:cs="Arial"/>
              </w:rPr>
              <w:t>compensation for less favourable treatment of part-time workers or fixed term employees;</w:t>
            </w:r>
          </w:p>
          <w:p w14:paraId="0B98C27A" w14:textId="77777777" w:rsidR="00F67E9E" w:rsidRPr="00AB0447" w:rsidRDefault="00F67E9E" w:rsidP="00F67E9E">
            <w:pPr>
              <w:pStyle w:val="DefinitionList"/>
              <w:numPr>
                <w:ilvl w:val="0"/>
                <w:numId w:val="108"/>
              </w:numPr>
              <w:rPr>
                <w:rFonts w:cs="Arial"/>
              </w:rPr>
            </w:pPr>
            <w:r w:rsidRPr="00AB0447">
              <w:rPr>
                <w:rFonts w:cs="Arial"/>
              </w:rPr>
              <w:t>outstanding employment debts and unlawful deduction of wages including any PAYE and national insurance contributions;</w:t>
            </w:r>
          </w:p>
          <w:p w14:paraId="7E6985AD" w14:textId="77777777" w:rsidR="00F67E9E" w:rsidRPr="00AB0447" w:rsidRDefault="00F67E9E" w:rsidP="00F67E9E">
            <w:pPr>
              <w:pStyle w:val="DefinitionList"/>
              <w:numPr>
                <w:ilvl w:val="0"/>
                <w:numId w:val="108"/>
              </w:numPr>
              <w:rPr>
                <w:rFonts w:cs="Arial"/>
              </w:rPr>
            </w:pPr>
            <w:r w:rsidRPr="00AB0447">
              <w:rPr>
                <w:rFonts w:cs="Arial"/>
              </w:rPr>
              <w:t>employment claims whether in tort, contract or statute or otherwise;</w:t>
            </w:r>
          </w:p>
          <w:p w14:paraId="313A495E" w14:textId="77777777" w:rsidR="00F67E9E" w:rsidRPr="00AB0447" w:rsidRDefault="00F67E9E" w:rsidP="00F67E9E">
            <w:pPr>
              <w:pStyle w:val="DefinitionList"/>
              <w:numPr>
                <w:ilvl w:val="0"/>
                <w:numId w:val="108"/>
              </w:numPr>
              <w:rPr>
                <w:rFonts w:cs="Arial"/>
              </w:rPr>
            </w:pPr>
            <w:r w:rsidRPr="00AB0447">
              <w:rPr>
                <w:rFonts w:cs="Arial"/>
              </w:rPr>
              <w:t>any investigation relating to employment matters by the Equality and Human Rights Commission or other enforcement, regulatory or supervisory body and of implementing any requirements which may arise from such investigation;</w:t>
            </w:r>
          </w:p>
        </w:tc>
      </w:tr>
      <w:tr w:rsidR="00F67E9E" w:rsidRPr="00F55457" w14:paraId="2F6FDB70" w14:textId="77777777" w:rsidTr="007F74AA">
        <w:tc>
          <w:tcPr>
            <w:tcW w:w="2835" w:type="dxa"/>
          </w:tcPr>
          <w:p w14:paraId="14A01351" w14:textId="77777777" w:rsidR="00F67E9E" w:rsidRPr="00AB0447" w:rsidRDefault="00F67E9E" w:rsidP="007F74AA">
            <w:pPr>
              <w:pStyle w:val="StdBodyTextBold"/>
              <w:rPr>
                <w:rFonts w:cs="Arial"/>
              </w:rPr>
            </w:pPr>
            <w:r>
              <w:rPr>
                <w:rFonts w:cs="Arial"/>
              </w:rPr>
              <w:t>“</w:t>
            </w:r>
            <w:r w:rsidRPr="00AB0447">
              <w:rPr>
                <w:rFonts w:cs="Arial"/>
              </w:rPr>
              <w:t>Employment Regulations</w:t>
            </w:r>
            <w:r>
              <w:rPr>
                <w:rFonts w:cs="Arial"/>
              </w:rPr>
              <w:t>”</w:t>
            </w:r>
          </w:p>
        </w:tc>
        <w:tc>
          <w:tcPr>
            <w:tcW w:w="6803" w:type="dxa"/>
          </w:tcPr>
          <w:p w14:paraId="5C11BC40" w14:textId="77777777" w:rsidR="00F67E9E" w:rsidRPr="00AB0447" w:rsidRDefault="00F67E9E" w:rsidP="007F74AA">
            <w:pPr>
              <w:pStyle w:val="StdBodyText"/>
              <w:rPr>
                <w:rFonts w:cs="Arial"/>
              </w:rPr>
            </w:pPr>
            <w:r w:rsidRPr="00AB0447">
              <w:rPr>
                <w:rFonts w:cs="Arial"/>
              </w:rPr>
              <w:t xml:space="preserve">the </w:t>
            </w:r>
            <w:bookmarkStart w:id="111" w:name="_9kR3WTr277CKMjZnk3wjw7wdgwo3J3v487DxrNQ"/>
            <w:r w:rsidRPr="00AB0447">
              <w:rPr>
                <w:rFonts w:cs="Arial"/>
              </w:rPr>
              <w:t>Transfer of Undertakings (Protection of Employment) Regulations 2006</w:t>
            </w:r>
            <w:bookmarkEnd w:id="111"/>
            <w:r w:rsidRPr="00AB0447">
              <w:rPr>
                <w:rFonts w:cs="Arial"/>
              </w:rPr>
              <w:t xml:space="preserve"> (SI 2006/246) as amended or replaced;</w:t>
            </w:r>
          </w:p>
        </w:tc>
      </w:tr>
      <w:tr w:rsidR="00F67E9E" w:rsidRPr="00F55457" w14:paraId="34C5C752" w14:textId="77777777" w:rsidTr="007F74AA">
        <w:tc>
          <w:tcPr>
            <w:tcW w:w="2835" w:type="dxa"/>
          </w:tcPr>
          <w:p w14:paraId="714218A6" w14:textId="77777777" w:rsidR="00F67E9E" w:rsidRPr="00AB0447" w:rsidRDefault="00F67E9E" w:rsidP="007F74AA">
            <w:pPr>
              <w:pStyle w:val="StdBodyTextBold"/>
              <w:rPr>
                <w:rFonts w:cs="Arial"/>
              </w:rPr>
            </w:pPr>
            <w:r>
              <w:rPr>
                <w:rFonts w:cs="Arial"/>
              </w:rPr>
              <w:t>“</w:t>
            </w:r>
            <w:r w:rsidRPr="00AB0447">
              <w:rPr>
                <w:rFonts w:cs="Arial"/>
              </w:rPr>
              <w:t>Estimated Year 1 Charges</w:t>
            </w:r>
            <w:r>
              <w:rPr>
                <w:rFonts w:cs="Arial"/>
              </w:rPr>
              <w:t>”</w:t>
            </w:r>
          </w:p>
        </w:tc>
        <w:tc>
          <w:tcPr>
            <w:tcW w:w="6803" w:type="dxa"/>
          </w:tcPr>
          <w:p w14:paraId="0FB884A7" w14:textId="77777777" w:rsidR="00F67E9E" w:rsidRPr="00AB0447" w:rsidRDefault="00F67E9E" w:rsidP="007F74AA">
            <w:pPr>
              <w:pStyle w:val="StdBodyText"/>
              <w:rPr>
                <w:rFonts w:cs="Arial"/>
              </w:rPr>
            </w:pPr>
            <w:r w:rsidRPr="00AB0447">
              <w:rPr>
                <w:rFonts w:cs="Arial"/>
              </w:rPr>
              <w:t>the estimated Charges payable by the Authority during the first Contract Year, as set out in the Financial Model;</w:t>
            </w:r>
          </w:p>
        </w:tc>
      </w:tr>
      <w:tr w:rsidR="00F67E9E" w:rsidRPr="00F55457" w14:paraId="66BECE73" w14:textId="77777777" w:rsidTr="007F74AA">
        <w:tc>
          <w:tcPr>
            <w:tcW w:w="2835" w:type="dxa"/>
          </w:tcPr>
          <w:p w14:paraId="227C67A9" w14:textId="77777777" w:rsidR="00F67E9E" w:rsidRPr="00AB0447" w:rsidRDefault="00F67E9E" w:rsidP="007F74AA">
            <w:pPr>
              <w:pStyle w:val="StdBodyTextBold"/>
              <w:rPr>
                <w:rFonts w:cs="Arial"/>
              </w:rPr>
            </w:pPr>
            <w:r>
              <w:rPr>
                <w:rFonts w:cs="Arial"/>
              </w:rPr>
              <w:t>“</w:t>
            </w:r>
            <w:r w:rsidRPr="00AB0447">
              <w:rPr>
                <w:rFonts w:cs="Arial"/>
              </w:rPr>
              <w:t>Estimated Initial Service Charges</w:t>
            </w:r>
            <w:r>
              <w:rPr>
                <w:rFonts w:cs="Arial"/>
              </w:rPr>
              <w:t>”</w:t>
            </w:r>
          </w:p>
        </w:tc>
        <w:tc>
          <w:tcPr>
            <w:tcW w:w="6803" w:type="dxa"/>
          </w:tcPr>
          <w:p w14:paraId="19A19431" w14:textId="77777777" w:rsidR="00F67E9E" w:rsidRPr="00AB0447" w:rsidRDefault="00F67E9E" w:rsidP="007F74AA">
            <w:pPr>
              <w:pStyle w:val="StdBodyText"/>
              <w:rPr>
                <w:rFonts w:cs="Arial"/>
              </w:rPr>
            </w:pPr>
            <w:r w:rsidRPr="00AB0447">
              <w:rPr>
                <w:rFonts w:cs="Arial"/>
              </w:rPr>
              <w:t>the estimated Service Charges payable by the Authority during the period of 12 months from the first Operational Service Commencement Date, as set out in the Financial Model;</w:t>
            </w:r>
          </w:p>
        </w:tc>
      </w:tr>
      <w:tr w:rsidR="00F67E9E" w:rsidRPr="00995964" w14:paraId="71144DC1" w14:textId="77777777" w:rsidTr="007F74AA">
        <w:tc>
          <w:tcPr>
            <w:tcW w:w="2835" w:type="dxa"/>
          </w:tcPr>
          <w:p w14:paraId="410309E3" w14:textId="77777777" w:rsidR="00F67E9E" w:rsidRPr="00AB0447" w:rsidRDefault="00F67E9E" w:rsidP="007F74AA">
            <w:pPr>
              <w:pStyle w:val="StdBodyTextBold"/>
              <w:rPr>
                <w:rFonts w:cs="Arial"/>
              </w:rPr>
            </w:pPr>
            <w:r>
              <w:rPr>
                <w:rFonts w:cs="Arial"/>
              </w:rPr>
              <w:t>“</w:t>
            </w:r>
            <w:r w:rsidRPr="00AB0447">
              <w:rPr>
                <w:rFonts w:cs="Arial"/>
              </w:rPr>
              <w:t>EU GDPR</w:t>
            </w:r>
            <w:r>
              <w:rPr>
                <w:rFonts w:cs="Arial"/>
              </w:rPr>
              <w:t>”</w:t>
            </w:r>
          </w:p>
        </w:tc>
        <w:tc>
          <w:tcPr>
            <w:tcW w:w="6803" w:type="dxa"/>
          </w:tcPr>
          <w:p w14:paraId="2C9F29D3" w14:textId="77777777" w:rsidR="00F67E9E" w:rsidRPr="00AB0447" w:rsidRDefault="00F67E9E" w:rsidP="007F74AA">
            <w:pPr>
              <w:pStyle w:val="StdBodyText"/>
              <w:rPr>
                <w:rFonts w:cs="Arial"/>
              </w:rPr>
            </w:pPr>
            <w:r w:rsidRPr="00AB0447">
              <w:rPr>
                <w:rFonts w:cs="Arial"/>
              </w:rPr>
              <w:t>Regulation (EU) 2016/679 of the European Parliament and of the Council of 27 April 2016 on the protection of natural persons with regard to the processing of personal data and on the free movement of such data (General Data Protection Regulation) as it has effect in EU law;</w:t>
            </w:r>
          </w:p>
        </w:tc>
      </w:tr>
      <w:tr w:rsidR="00F67E9E" w:rsidRPr="00995964" w14:paraId="36DDB47B" w14:textId="77777777" w:rsidTr="007F74AA">
        <w:tc>
          <w:tcPr>
            <w:tcW w:w="2835" w:type="dxa"/>
          </w:tcPr>
          <w:p w14:paraId="32F7D79B" w14:textId="77777777" w:rsidR="00F67E9E" w:rsidRPr="00AB0447" w:rsidRDefault="00F67E9E" w:rsidP="007F74AA">
            <w:pPr>
              <w:pStyle w:val="StdBodyTextBold"/>
              <w:rPr>
                <w:rFonts w:cs="Arial"/>
              </w:rPr>
            </w:pPr>
            <w:r>
              <w:rPr>
                <w:rFonts w:cs="Arial"/>
              </w:rPr>
              <w:t>“</w:t>
            </w:r>
            <w:r w:rsidRPr="00AB0447">
              <w:rPr>
                <w:rFonts w:cs="Arial"/>
              </w:rPr>
              <w:t>EU</w:t>
            </w:r>
            <w:r>
              <w:rPr>
                <w:rFonts w:cs="Arial"/>
              </w:rPr>
              <w:t>”</w:t>
            </w:r>
          </w:p>
        </w:tc>
        <w:tc>
          <w:tcPr>
            <w:tcW w:w="6803" w:type="dxa"/>
          </w:tcPr>
          <w:p w14:paraId="69171DC3" w14:textId="77777777" w:rsidR="00F67E9E" w:rsidRPr="00AB0447" w:rsidRDefault="00F67E9E" w:rsidP="007F74AA">
            <w:pPr>
              <w:pStyle w:val="StdBodyText"/>
              <w:rPr>
                <w:rFonts w:cs="Arial"/>
              </w:rPr>
            </w:pPr>
            <w:bookmarkStart w:id="112" w:name="_9kR3WTr277DLIQN721seojez17qgAAv64AB1cOE"/>
            <w:r w:rsidRPr="00AB0447">
              <w:rPr>
                <w:rFonts w:cs="Arial"/>
              </w:rPr>
              <w:t>European Union</w:t>
            </w:r>
            <w:bookmarkEnd w:id="112"/>
          </w:p>
        </w:tc>
      </w:tr>
      <w:tr w:rsidR="00F67E9E" w:rsidRPr="00F55457" w14:paraId="4636E91D" w14:textId="77777777" w:rsidTr="007F74AA">
        <w:tc>
          <w:tcPr>
            <w:tcW w:w="2835" w:type="dxa"/>
          </w:tcPr>
          <w:p w14:paraId="7261A913" w14:textId="77777777" w:rsidR="00F67E9E" w:rsidRPr="00AB0447" w:rsidRDefault="00F67E9E" w:rsidP="007F74AA">
            <w:pPr>
              <w:pStyle w:val="StdBodyTextBold"/>
              <w:keepNext/>
              <w:rPr>
                <w:rFonts w:cs="Arial"/>
              </w:rPr>
            </w:pPr>
            <w:r>
              <w:rPr>
                <w:rFonts w:cs="Arial"/>
              </w:rPr>
              <w:t>“</w:t>
            </w:r>
            <w:r w:rsidRPr="00AB0447">
              <w:rPr>
                <w:rFonts w:cs="Arial"/>
              </w:rPr>
              <w:t>Exit Management</w:t>
            </w:r>
            <w:r>
              <w:rPr>
                <w:rFonts w:cs="Arial"/>
              </w:rPr>
              <w:t>”</w:t>
            </w:r>
          </w:p>
        </w:tc>
        <w:tc>
          <w:tcPr>
            <w:tcW w:w="6803" w:type="dxa"/>
          </w:tcPr>
          <w:p w14:paraId="27A0284D" w14:textId="215F0E4B" w:rsidR="00F67E9E" w:rsidRPr="00AB0447" w:rsidRDefault="00F67E9E" w:rsidP="007F74AA">
            <w:pPr>
              <w:pStyle w:val="StdBodyText"/>
              <w:keepNext/>
              <w:rPr>
                <w:rFonts w:cs="Arial"/>
              </w:rPr>
            </w:pPr>
            <w:r w:rsidRPr="00AB0447">
              <w:rPr>
                <w:rFonts w:cs="Arial"/>
              </w:rPr>
              <w:t xml:space="preserve">services, activities, processes and procedures to ensure a smooth and orderly transition of all or part of the Services from the Supplier to the Authority and/or a Replacement Supplier, as set out or referred to in </w:t>
            </w:r>
            <w:r>
              <w:rPr>
                <w:rFonts w:cs="Arial"/>
              </w:rPr>
              <w:fldChar w:fldCharType="begin"/>
            </w:r>
            <w:r>
              <w:rPr>
                <w:rFonts w:cs="Arial"/>
              </w:rPr>
              <w:instrText xml:space="preserve"> REF Schedule25 \h </w:instrText>
            </w:r>
            <w:r>
              <w:rPr>
                <w:rFonts w:cs="Arial"/>
              </w:rPr>
            </w:r>
            <w:r>
              <w:rPr>
                <w:rFonts w:cs="Arial"/>
              </w:rPr>
              <w:fldChar w:fldCharType="separate"/>
            </w:r>
            <w:r w:rsidR="00302D39" w:rsidRPr="005D0525">
              <w:t>Schedule 25</w:t>
            </w:r>
            <w:r>
              <w:rPr>
                <w:rFonts w:cs="Arial"/>
              </w:rPr>
              <w:fldChar w:fldCharType="end"/>
            </w:r>
            <w:r>
              <w:rPr>
                <w:rFonts w:cs="Arial"/>
              </w:rPr>
              <w:t xml:space="preserve"> (</w:t>
            </w:r>
            <w:r w:rsidRPr="00A22335">
              <w:rPr>
                <w:rFonts w:cs="Arial"/>
                <w:i/>
                <w:iCs/>
              </w:rPr>
              <w:fldChar w:fldCharType="begin"/>
            </w:r>
            <w:r w:rsidRPr="00A22335">
              <w:rPr>
                <w:rFonts w:cs="Arial"/>
                <w:i/>
                <w:iCs/>
              </w:rPr>
              <w:instrText xml:space="preserve"> REF Schedule25Heading \h </w:instrText>
            </w:r>
            <w:r>
              <w:rPr>
                <w:rFonts w:cs="Arial"/>
                <w:i/>
                <w:iCs/>
              </w:rPr>
              <w:instrText xml:space="preserve"> \* MERGEFORMAT </w:instrText>
            </w:r>
            <w:r w:rsidRPr="00A22335">
              <w:rPr>
                <w:rFonts w:cs="Arial"/>
                <w:i/>
                <w:iCs/>
              </w:rPr>
            </w:r>
            <w:r w:rsidRPr="00A22335">
              <w:rPr>
                <w:rFonts w:cs="Arial"/>
                <w:i/>
                <w:iCs/>
              </w:rPr>
              <w:fldChar w:fldCharType="separate"/>
            </w:r>
            <w:r w:rsidR="00302D39" w:rsidRPr="00302D39">
              <w:rPr>
                <w:i/>
                <w:iCs/>
              </w:rPr>
              <w:t>Exit Management</w:t>
            </w:r>
            <w:r w:rsidRPr="00A22335">
              <w:rPr>
                <w:rFonts w:cs="Arial"/>
                <w:i/>
                <w:iCs/>
              </w:rPr>
              <w:fldChar w:fldCharType="end"/>
            </w:r>
            <w:r>
              <w:rPr>
                <w:rFonts w:cs="Arial"/>
              </w:rPr>
              <w:t>)</w:t>
            </w:r>
            <w:r w:rsidRPr="00AB0447">
              <w:rPr>
                <w:rFonts w:cs="Arial"/>
              </w:rPr>
              <w:t>;</w:t>
            </w:r>
          </w:p>
        </w:tc>
      </w:tr>
      <w:tr w:rsidR="00F67E9E" w:rsidRPr="00F55457" w14:paraId="432F0F5D" w14:textId="77777777" w:rsidTr="007F74AA">
        <w:tc>
          <w:tcPr>
            <w:tcW w:w="2835" w:type="dxa"/>
          </w:tcPr>
          <w:p w14:paraId="4399E0E4" w14:textId="77777777" w:rsidR="00F67E9E" w:rsidRPr="00AB0447" w:rsidRDefault="00F67E9E" w:rsidP="007F74AA">
            <w:pPr>
              <w:pStyle w:val="StdBodyTextBold"/>
              <w:rPr>
                <w:rFonts w:cs="Arial"/>
              </w:rPr>
            </w:pPr>
            <w:r>
              <w:rPr>
                <w:rFonts w:cs="Arial"/>
              </w:rPr>
              <w:t>“</w:t>
            </w:r>
            <w:r w:rsidRPr="00AB0447">
              <w:rPr>
                <w:rFonts w:cs="Arial"/>
              </w:rPr>
              <w:t>Exit Plan</w:t>
            </w:r>
            <w:r>
              <w:rPr>
                <w:rFonts w:cs="Arial"/>
              </w:rPr>
              <w:t>”</w:t>
            </w:r>
          </w:p>
        </w:tc>
        <w:tc>
          <w:tcPr>
            <w:tcW w:w="6803" w:type="dxa"/>
          </w:tcPr>
          <w:p w14:paraId="01555F20" w14:textId="69D7D95F" w:rsidR="00F67E9E" w:rsidRPr="00AB0447" w:rsidRDefault="00F67E9E" w:rsidP="007F74AA">
            <w:pPr>
              <w:pStyle w:val="StdBodyText"/>
              <w:rPr>
                <w:rFonts w:cs="Arial"/>
              </w:rPr>
            </w:pPr>
            <w:r w:rsidRPr="00AB0447">
              <w:rPr>
                <w:rFonts w:cs="Arial"/>
              </w:rPr>
              <w:t xml:space="preserve">the plan produced and updated by the Supplier during the Term in accordance with </w:t>
            </w:r>
            <w:bookmarkStart w:id="113" w:name="_9kMIH5YVt4EE6EJcGpqgyts0G"/>
            <w:r w:rsidRPr="00AB0447">
              <w:rPr>
                <w:rFonts w:cs="Arial"/>
              </w:rPr>
              <w:t xml:space="preserve">Paragraph </w:t>
            </w:r>
            <w:bookmarkEnd w:id="113"/>
            <w:r w:rsidRPr="00AB0447">
              <w:rPr>
                <w:rFonts w:cs="Arial"/>
              </w:rPr>
              <w:fldChar w:fldCharType="begin"/>
            </w:r>
            <w:r w:rsidRPr="00AB0447">
              <w:rPr>
                <w:rFonts w:cs="Arial"/>
              </w:rPr>
              <w:instrText xml:space="preserve"> REF _Ref44508664 \w \h  \* MERGEFORMAT </w:instrText>
            </w:r>
            <w:r w:rsidRPr="00AB0447">
              <w:rPr>
                <w:rFonts w:cs="Arial"/>
              </w:rPr>
            </w:r>
            <w:r w:rsidRPr="00AB0447">
              <w:rPr>
                <w:rFonts w:cs="Arial"/>
              </w:rPr>
              <w:fldChar w:fldCharType="separate"/>
            </w:r>
            <w:r w:rsidR="00302D39">
              <w:rPr>
                <w:rFonts w:cs="Arial"/>
              </w:rPr>
              <w:t>4</w:t>
            </w:r>
            <w:r w:rsidRPr="00AB0447">
              <w:rPr>
                <w:rFonts w:cs="Arial"/>
              </w:rPr>
              <w:fldChar w:fldCharType="end"/>
            </w:r>
            <w:r w:rsidRPr="00AB0447">
              <w:rPr>
                <w:rFonts w:cs="Arial"/>
              </w:rPr>
              <w:t xml:space="preserve"> of </w:t>
            </w:r>
            <w:r>
              <w:rPr>
                <w:rFonts w:cs="Arial"/>
              </w:rPr>
              <w:fldChar w:fldCharType="begin"/>
            </w:r>
            <w:r>
              <w:rPr>
                <w:rFonts w:cs="Arial"/>
              </w:rPr>
              <w:instrText xml:space="preserve"> REF Schedule25 \h </w:instrText>
            </w:r>
            <w:r>
              <w:rPr>
                <w:rFonts w:cs="Arial"/>
              </w:rPr>
            </w:r>
            <w:r>
              <w:rPr>
                <w:rFonts w:cs="Arial"/>
              </w:rPr>
              <w:fldChar w:fldCharType="separate"/>
            </w:r>
            <w:r w:rsidR="00302D39" w:rsidRPr="005D0525">
              <w:t>Schedule 25</w:t>
            </w:r>
            <w:r>
              <w:rPr>
                <w:rFonts w:cs="Arial"/>
              </w:rPr>
              <w:fldChar w:fldCharType="end"/>
            </w:r>
            <w:r>
              <w:rPr>
                <w:rFonts w:cs="Arial"/>
              </w:rPr>
              <w:t xml:space="preserve"> (</w:t>
            </w:r>
            <w:r w:rsidRPr="00A22335">
              <w:rPr>
                <w:rFonts w:cs="Arial"/>
                <w:i/>
                <w:iCs/>
              </w:rPr>
              <w:fldChar w:fldCharType="begin"/>
            </w:r>
            <w:r w:rsidRPr="00A22335">
              <w:rPr>
                <w:rFonts w:cs="Arial"/>
                <w:i/>
                <w:iCs/>
              </w:rPr>
              <w:instrText xml:space="preserve"> REF Schedule25Heading \h </w:instrText>
            </w:r>
            <w:r>
              <w:rPr>
                <w:rFonts w:cs="Arial"/>
                <w:i/>
                <w:iCs/>
              </w:rPr>
              <w:instrText xml:space="preserve"> \* MERGEFORMAT </w:instrText>
            </w:r>
            <w:r w:rsidRPr="00A22335">
              <w:rPr>
                <w:rFonts w:cs="Arial"/>
                <w:i/>
                <w:iCs/>
              </w:rPr>
            </w:r>
            <w:r w:rsidRPr="00A22335">
              <w:rPr>
                <w:rFonts w:cs="Arial"/>
                <w:i/>
                <w:iCs/>
              </w:rPr>
              <w:fldChar w:fldCharType="separate"/>
            </w:r>
            <w:r w:rsidR="00302D39" w:rsidRPr="00302D39">
              <w:rPr>
                <w:i/>
                <w:iCs/>
              </w:rPr>
              <w:t>Exit Management</w:t>
            </w:r>
            <w:r w:rsidRPr="00A22335">
              <w:rPr>
                <w:rFonts w:cs="Arial"/>
                <w:i/>
                <w:iCs/>
              </w:rPr>
              <w:fldChar w:fldCharType="end"/>
            </w:r>
            <w:r>
              <w:rPr>
                <w:rFonts w:cs="Arial"/>
              </w:rPr>
              <w:t>)</w:t>
            </w:r>
            <w:r w:rsidRPr="00AB0447">
              <w:rPr>
                <w:rFonts w:cs="Arial"/>
              </w:rPr>
              <w:t>;</w:t>
            </w:r>
          </w:p>
        </w:tc>
      </w:tr>
      <w:tr w:rsidR="00F67E9E" w:rsidRPr="00F55457" w14:paraId="1CA5D64A" w14:textId="77777777" w:rsidTr="007F74AA">
        <w:tc>
          <w:tcPr>
            <w:tcW w:w="2835" w:type="dxa"/>
          </w:tcPr>
          <w:p w14:paraId="7F6D3A39" w14:textId="77777777" w:rsidR="00F67E9E" w:rsidRPr="00AB0447" w:rsidRDefault="00F67E9E" w:rsidP="007F74AA">
            <w:pPr>
              <w:pStyle w:val="StdBodyTextBold"/>
              <w:rPr>
                <w:rFonts w:cs="Arial"/>
              </w:rPr>
            </w:pPr>
            <w:r>
              <w:rPr>
                <w:rFonts w:cs="Arial"/>
              </w:rPr>
              <w:t>“</w:t>
            </w:r>
            <w:r w:rsidRPr="00AB0447">
              <w:rPr>
                <w:rFonts w:cs="Arial"/>
              </w:rPr>
              <w:t>Expedited Dispute Timetable</w:t>
            </w:r>
            <w:r>
              <w:rPr>
                <w:rFonts w:cs="Arial"/>
              </w:rPr>
              <w:t>”</w:t>
            </w:r>
          </w:p>
        </w:tc>
        <w:tc>
          <w:tcPr>
            <w:tcW w:w="6803" w:type="dxa"/>
          </w:tcPr>
          <w:p w14:paraId="1C5FA767" w14:textId="427C779F" w:rsidR="00F67E9E" w:rsidRPr="00AB0447" w:rsidRDefault="00F67E9E" w:rsidP="007F74AA">
            <w:pPr>
              <w:pStyle w:val="StdBodyText"/>
              <w:rPr>
                <w:rFonts w:cs="Arial"/>
              </w:rPr>
            </w:pPr>
            <w:r w:rsidRPr="00AB0447">
              <w:rPr>
                <w:rFonts w:cs="Arial"/>
              </w:rPr>
              <w:t xml:space="preserve">the reduced timetable for the resolution of Disputes set out in </w:t>
            </w:r>
            <w:bookmarkStart w:id="114" w:name="_9kMIH5YVt4EE6CEZGpqgyts0F"/>
            <w:r w:rsidRPr="00AB0447">
              <w:rPr>
                <w:rFonts w:cs="Arial"/>
              </w:rPr>
              <w:t xml:space="preserve">Paragraph </w:t>
            </w:r>
            <w:bookmarkEnd w:id="114"/>
            <w:r w:rsidRPr="00AB0447">
              <w:rPr>
                <w:rFonts w:cs="Arial"/>
              </w:rPr>
              <w:fldChar w:fldCharType="begin"/>
            </w:r>
            <w:r w:rsidRPr="00AB0447">
              <w:rPr>
                <w:rFonts w:cs="Arial"/>
              </w:rPr>
              <w:instrText xml:space="preserve"> REF _Ref_ContractCompanion_9kb9Us4BB \w \h  \* MERGEFORMAT </w:instrText>
            </w:r>
            <w:r w:rsidRPr="00AB0447">
              <w:rPr>
                <w:rFonts w:cs="Arial"/>
              </w:rPr>
            </w:r>
            <w:r w:rsidRPr="00AB0447">
              <w:rPr>
                <w:rFonts w:cs="Arial"/>
              </w:rPr>
              <w:fldChar w:fldCharType="separate"/>
            </w:r>
            <w:r w:rsidR="00302D39">
              <w:rPr>
                <w:rFonts w:cs="Arial"/>
              </w:rPr>
              <w:t>3</w:t>
            </w:r>
            <w:r w:rsidRPr="00AB0447">
              <w:rPr>
                <w:rFonts w:cs="Arial"/>
              </w:rPr>
              <w:fldChar w:fldCharType="end"/>
            </w:r>
            <w:r w:rsidRPr="00AB0447">
              <w:rPr>
                <w:rFonts w:cs="Arial"/>
              </w:rPr>
              <w:t xml:space="preserve"> of </w:t>
            </w:r>
            <w:r>
              <w:rPr>
                <w:rFonts w:cs="Arial"/>
              </w:rPr>
              <w:fldChar w:fldCharType="begin"/>
            </w:r>
            <w:r>
              <w:rPr>
                <w:rFonts w:cs="Arial"/>
              </w:rPr>
              <w:instrText xml:space="preserve"> REF Schedule23 \h </w:instrText>
            </w:r>
            <w:r>
              <w:rPr>
                <w:rFonts w:cs="Arial"/>
              </w:rPr>
            </w:r>
            <w:r>
              <w:rPr>
                <w:rFonts w:cs="Arial"/>
              </w:rPr>
              <w:fldChar w:fldCharType="separate"/>
            </w:r>
            <w:r w:rsidR="00302D39" w:rsidRPr="005D0525">
              <w:t>Schedule</w:t>
            </w:r>
            <w:r w:rsidR="00302D39">
              <w:t> </w:t>
            </w:r>
            <w:r w:rsidR="00302D39" w:rsidRPr="005D0525">
              <w:t>23</w:t>
            </w:r>
            <w:r>
              <w:rPr>
                <w:rFonts w:cs="Arial"/>
              </w:rPr>
              <w:fldChar w:fldCharType="end"/>
            </w:r>
            <w:r>
              <w:rPr>
                <w:rFonts w:cs="Arial"/>
              </w:rPr>
              <w:t xml:space="preserve"> (</w:t>
            </w:r>
            <w:r w:rsidRPr="002F30DB">
              <w:rPr>
                <w:rFonts w:cs="Arial"/>
                <w:i/>
                <w:iCs/>
              </w:rPr>
              <w:fldChar w:fldCharType="begin"/>
            </w:r>
            <w:r w:rsidRPr="002F30DB">
              <w:rPr>
                <w:rFonts w:cs="Arial"/>
                <w:i/>
                <w:iCs/>
              </w:rPr>
              <w:instrText xml:space="preserve"> REF Schedule23Heading \h </w:instrText>
            </w:r>
            <w:r>
              <w:rPr>
                <w:rFonts w:cs="Arial"/>
                <w:i/>
                <w:iCs/>
              </w:rPr>
              <w:instrText xml:space="preserve"> \* MERGEFORMAT </w:instrText>
            </w:r>
            <w:r w:rsidRPr="002F30DB">
              <w:rPr>
                <w:rFonts w:cs="Arial"/>
                <w:i/>
                <w:iCs/>
              </w:rPr>
            </w:r>
            <w:r w:rsidRPr="002F30DB">
              <w:rPr>
                <w:rFonts w:cs="Arial"/>
                <w:i/>
                <w:iCs/>
              </w:rPr>
              <w:fldChar w:fldCharType="separate"/>
            </w:r>
            <w:r w:rsidR="00302D39" w:rsidRPr="00302D39">
              <w:rPr>
                <w:i/>
                <w:iCs/>
              </w:rPr>
              <w:t>Dispute Resolution Procedure</w:t>
            </w:r>
            <w:r w:rsidRPr="002F30DB">
              <w:rPr>
                <w:rFonts w:cs="Arial"/>
                <w:i/>
                <w:iCs/>
              </w:rPr>
              <w:fldChar w:fldCharType="end"/>
            </w:r>
            <w:r>
              <w:rPr>
                <w:rFonts w:cs="Arial"/>
              </w:rPr>
              <w:t>)</w:t>
            </w:r>
            <w:r w:rsidRPr="00AB0447">
              <w:rPr>
                <w:rFonts w:cs="Arial"/>
              </w:rPr>
              <w:t>;</w:t>
            </w:r>
          </w:p>
        </w:tc>
      </w:tr>
      <w:tr w:rsidR="00F67E9E" w:rsidRPr="00F55457" w14:paraId="4F673FC8" w14:textId="77777777" w:rsidTr="007F74AA">
        <w:tc>
          <w:tcPr>
            <w:tcW w:w="2835" w:type="dxa"/>
          </w:tcPr>
          <w:p w14:paraId="211A8D62" w14:textId="77777777" w:rsidR="00F67E9E" w:rsidRPr="00AB0447" w:rsidRDefault="00F67E9E" w:rsidP="007F74AA">
            <w:pPr>
              <w:pStyle w:val="StdBodyTextBold"/>
              <w:rPr>
                <w:rFonts w:cs="Arial"/>
              </w:rPr>
            </w:pPr>
            <w:r>
              <w:rPr>
                <w:rFonts w:cs="Arial"/>
              </w:rPr>
              <w:t>“</w:t>
            </w:r>
            <w:r w:rsidRPr="00AB0447">
              <w:rPr>
                <w:rFonts w:cs="Arial"/>
              </w:rPr>
              <w:t>Expert</w:t>
            </w:r>
            <w:r>
              <w:rPr>
                <w:rFonts w:cs="Arial"/>
              </w:rPr>
              <w:t>”</w:t>
            </w:r>
          </w:p>
        </w:tc>
        <w:tc>
          <w:tcPr>
            <w:tcW w:w="6803" w:type="dxa"/>
          </w:tcPr>
          <w:p w14:paraId="12AE9A6F" w14:textId="675EC736" w:rsidR="00F67E9E" w:rsidRPr="00AB0447" w:rsidRDefault="00F67E9E" w:rsidP="007F74AA">
            <w:pPr>
              <w:pStyle w:val="StdBodyText"/>
              <w:rPr>
                <w:rFonts w:cs="Arial"/>
              </w:rPr>
            </w:pPr>
            <w:r w:rsidRPr="00AB0447">
              <w:rPr>
                <w:rFonts w:cs="Arial"/>
              </w:rPr>
              <w:t xml:space="preserve">has the meaning given in </w:t>
            </w:r>
            <w:r>
              <w:rPr>
                <w:rFonts w:cs="Arial"/>
              </w:rPr>
              <w:fldChar w:fldCharType="begin"/>
            </w:r>
            <w:r>
              <w:rPr>
                <w:rFonts w:cs="Arial"/>
              </w:rPr>
              <w:instrText xml:space="preserve"> REF Schedule23 \h </w:instrText>
            </w:r>
            <w:r>
              <w:rPr>
                <w:rFonts w:cs="Arial"/>
              </w:rPr>
            </w:r>
            <w:r>
              <w:rPr>
                <w:rFonts w:cs="Arial"/>
              </w:rPr>
              <w:fldChar w:fldCharType="separate"/>
            </w:r>
            <w:r w:rsidR="00302D39" w:rsidRPr="005D0525">
              <w:t>Schedule</w:t>
            </w:r>
            <w:r w:rsidR="00302D39">
              <w:t> </w:t>
            </w:r>
            <w:r w:rsidR="00302D39" w:rsidRPr="005D0525">
              <w:t>23</w:t>
            </w:r>
            <w:r>
              <w:rPr>
                <w:rFonts w:cs="Arial"/>
              </w:rPr>
              <w:fldChar w:fldCharType="end"/>
            </w:r>
            <w:r>
              <w:rPr>
                <w:rFonts w:cs="Arial"/>
              </w:rPr>
              <w:t xml:space="preserve"> (</w:t>
            </w:r>
            <w:r w:rsidRPr="002F30DB">
              <w:rPr>
                <w:rFonts w:cs="Arial"/>
                <w:i/>
                <w:iCs/>
              </w:rPr>
              <w:fldChar w:fldCharType="begin"/>
            </w:r>
            <w:r w:rsidRPr="002F30DB">
              <w:rPr>
                <w:rFonts w:cs="Arial"/>
                <w:i/>
                <w:iCs/>
              </w:rPr>
              <w:instrText xml:space="preserve"> REF Schedule23Heading \h </w:instrText>
            </w:r>
            <w:r>
              <w:rPr>
                <w:rFonts w:cs="Arial"/>
                <w:i/>
                <w:iCs/>
              </w:rPr>
              <w:instrText xml:space="preserve"> \* MERGEFORMAT </w:instrText>
            </w:r>
            <w:r w:rsidRPr="002F30DB">
              <w:rPr>
                <w:rFonts w:cs="Arial"/>
                <w:i/>
                <w:iCs/>
              </w:rPr>
            </w:r>
            <w:r w:rsidRPr="002F30DB">
              <w:rPr>
                <w:rFonts w:cs="Arial"/>
                <w:i/>
                <w:iCs/>
              </w:rPr>
              <w:fldChar w:fldCharType="separate"/>
            </w:r>
            <w:r w:rsidR="00302D39" w:rsidRPr="00302D39">
              <w:rPr>
                <w:i/>
                <w:iCs/>
              </w:rPr>
              <w:t>Dispute Resolution Procedure</w:t>
            </w:r>
            <w:r w:rsidRPr="002F30DB">
              <w:rPr>
                <w:rFonts w:cs="Arial"/>
                <w:i/>
                <w:iCs/>
              </w:rPr>
              <w:fldChar w:fldCharType="end"/>
            </w:r>
            <w:r>
              <w:rPr>
                <w:rFonts w:cs="Arial"/>
              </w:rPr>
              <w:t>)</w:t>
            </w:r>
            <w:r w:rsidRPr="00AB0447">
              <w:rPr>
                <w:rFonts w:cs="Arial"/>
              </w:rPr>
              <w:t>;</w:t>
            </w:r>
          </w:p>
        </w:tc>
      </w:tr>
      <w:tr w:rsidR="00F67E9E" w:rsidRPr="00F55457" w14:paraId="7C5B44E8" w14:textId="77777777" w:rsidTr="007F74AA">
        <w:tc>
          <w:tcPr>
            <w:tcW w:w="2835" w:type="dxa"/>
          </w:tcPr>
          <w:p w14:paraId="4706C2FB" w14:textId="77777777" w:rsidR="00F67E9E" w:rsidRPr="00AB0447" w:rsidRDefault="00F67E9E" w:rsidP="007F74AA">
            <w:pPr>
              <w:pStyle w:val="StdBodyTextBold"/>
              <w:rPr>
                <w:rFonts w:cs="Arial"/>
              </w:rPr>
            </w:pPr>
            <w:r>
              <w:rPr>
                <w:rFonts w:cs="Arial"/>
              </w:rPr>
              <w:t>“</w:t>
            </w:r>
            <w:r w:rsidRPr="00AB0447">
              <w:rPr>
                <w:rFonts w:cs="Arial"/>
              </w:rPr>
              <w:t>Expert Determination</w:t>
            </w:r>
            <w:r>
              <w:rPr>
                <w:rFonts w:cs="Arial"/>
              </w:rPr>
              <w:t>”</w:t>
            </w:r>
          </w:p>
        </w:tc>
        <w:tc>
          <w:tcPr>
            <w:tcW w:w="6803" w:type="dxa"/>
          </w:tcPr>
          <w:p w14:paraId="69730387" w14:textId="5C598A30" w:rsidR="00F67E9E" w:rsidRPr="00AB0447" w:rsidRDefault="00F67E9E" w:rsidP="007F74AA">
            <w:pPr>
              <w:pStyle w:val="StdBodyText"/>
              <w:rPr>
                <w:rFonts w:cs="Arial"/>
              </w:rPr>
            </w:pPr>
            <w:r w:rsidRPr="00AB0447">
              <w:rPr>
                <w:rFonts w:cs="Arial"/>
              </w:rPr>
              <w:t xml:space="preserve">the process described in </w:t>
            </w:r>
            <w:bookmarkStart w:id="115" w:name="_9kMJI5YVt4EE6BIeGpqgyts0I"/>
            <w:r w:rsidRPr="00AB0447">
              <w:rPr>
                <w:rFonts w:cs="Arial"/>
              </w:rPr>
              <w:t xml:space="preserve">Paragraph </w:t>
            </w:r>
            <w:bookmarkEnd w:id="115"/>
            <w:r w:rsidRPr="00AB0447">
              <w:rPr>
                <w:rFonts w:cs="Arial"/>
              </w:rPr>
              <w:fldChar w:fldCharType="begin"/>
            </w:r>
            <w:r w:rsidRPr="00AB0447">
              <w:rPr>
                <w:rFonts w:cs="Arial"/>
              </w:rPr>
              <w:instrText xml:space="preserve"> REF _Ref_ContractCompanion_9kb9Us4AB \w \h  \* MERGEFORMAT </w:instrText>
            </w:r>
            <w:r w:rsidRPr="00AB0447">
              <w:rPr>
                <w:rFonts w:cs="Arial"/>
              </w:rPr>
            </w:r>
            <w:r w:rsidRPr="00AB0447">
              <w:rPr>
                <w:rFonts w:cs="Arial"/>
              </w:rPr>
              <w:fldChar w:fldCharType="separate"/>
            </w:r>
            <w:r w:rsidR="00302D39">
              <w:rPr>
                <w:rFonts w:cs="Arial"/>
              </w:rPr>
              <w:t>6</w:t>
            </w:r>
            <w:r w:rsidRPr="00AB0447">
              <w:rPr>
                <w:rFonts w:cs="Arial"/>
              </w:rPr>
              <w:fldChar w:fldCharType="end"/>
            </w:r>
            <w:r w:rsidRPr="00AB0447">
              <w:rPr>
                <w:rFonts w:cs="Arial"/>
              </w:rPr>
              <w:t xml:space="preserve"> of </w:t>
            </w:r>
            <w:r>
              <w:rPr>
                <w:rFonts w:cs="Arial"/>
              </w:rPr>
              <w:fldChar w:fldCharType="begin"/>
            </w:r>
            <w:r>
              <w:rPr>
                <w:rFonts w:cs="Arial"/>
              </w:rPr>
              <w:instrText xml:space="preserve"> REF Schedule23 \h </w:instrText>
            </w:r>
            <w:r>
              <w:rPr>
                <w:rFonts w:cs="Arial"/>
              </w:rPr>
            </w:r>
            <w:r>
              <w:rPr>
                <w:rFonts w:cs="Arial"/>
              </w:rPr>
              <w:fldChar w:fldCharType="separate"/>
            </w:r>
            <w:r w:rsidR="00302D39" w:rsidRPr="005D0525">
              <w:t>Schedule</w:t>
            </w:r>
            <w:r w:rsidR="00302D39">
              <w:t> </w:t>
            </w:r>
            <w:r w:rsidR="00302D39" w:rsidRPr="005D0525">
              <w:t>23</w:t>
            </w:r>
            <w:r>
              <w:rPr>
                <w:rFonts w:cs="Arial"/>
              </w:rPr>
              <w:fldChar w:fldCharType="end"/>
            </w:r>
            <w:r>
              <w:rPr>
                <w:rFonts w:cs="Arial"/>
              </w:rPr>
              <w:t xml:space="preserve"> (</w:t>
            </w:r>
            <w:r w:rsidRPr="002F30DB">
              <w:rPr>
                <w:rFonts w:cs="Arial"/>
                <w:i/>
                <w:iCs/>
              </w:rPr>
              <w:fldChar w:fldCharType="begin"/>
            </w:r>
            <w:r w:rsidRPr="002F30DB">
              <w:rPr>
                <w:rFonts w:cs="Arial"/>
                <w:i/>
                <w:iCs/>
              </w:rPr>
              <w:instrText xml:space="preserve"> REF Schedule23Heading \h </w:instrText>
            </w:r>
            <w:r>
              <w:rPr>
                <w:rFonts w:cs="Arial"/>
                <w:i/>
                <w:iCs/>
              </w:rPr>
              <w:instrText xml:space="preserve"> \* MERGEFORMAT </w:instrText>
            </w:r>
            <w:r w:rsidRPr="002F30DB">
              <w:rPr>
                <w:rFonts w:cs="Arial"/>
                <w:i/>
                <w:iCs/>
              </w:rPr>
            </w:r>
            <w:r w:rsidRPr="002F30DB">
              <w:rPr>
                <w:rFonts w:cs="Arial"/>
                <w:i/>
                <w:iCs/>
              </w:rPr>
              <w:fldChar w:fldCharType="separate"/>
            </w:r>
            <w:r w:rsidR="00302D39" w:rsidRPr="00302D39">
              <w:rPr>
                <w:i/>
                <w:iCs/>
              </w:rPr>
              <w:t>Dispute Resolution Procedure</w:t>
            </w:r>
            <w:r w:rsidRPr="002F30DB">
              <w:rPr>
                <w:rFonts w:cs="Arial"/>
                <w:i/>
                <w:iCs/>
              </w:rPr>
              <w:fldChar w:fldCharType="end"/>
            </w:r>
            <w:r>
              <w:rPr>
                <w:rFonts w:cs="Arial"/>
              </w:rPr>
              <w:t>)</w:t>
            </w:r>
            <w:r w:rsidRPr="00AB0447">
              <w:rPr>
                <w:rFonts w:cs="Arial"/>
              </w:rPr>
              <w:t>;</w:t>
            </w:r>
          </w:p>
        </w:tc>
      </w:tr>
      <w:tr w:rsidR="00F67E9E" w:rsidRPr="00F55457" w14:paraId="0F144ABE" w14:textId="77777777" w:rsidTr="007F74AA">
        <w:tc>
          <w:tcPr>
            <w:tcW w:w="2835" w:type="dxa"/>
          </w:tcPr>
          <w:p w14:paraId="546F6394" w14:textId="77777777" w:rsidR="00F67E9E" w:rsidRPr="00AB0447" w:rsidRDefault="00F67E9E" w:rsidP="007F74AA">
            <w:pPr>
              <w:pStyle w:val="StdBodyTextBold"/>
              <w:rPr>
                <w:rFonts w:cs="Arial"/>
              </w:rPr>
            </w:pPr>
            <w:r>
              <w:rPr>
                <w:rFonts w:cs="Arial"/>
              </w:rPr>
              <w:t>“</w:t>
            </w:r>
            <w:r w:rsidRPr="00AB0447">
              <w:rPr>
                <w:rFonts w:cs="Arial"/>
              </w:rPr>
              <w:t>Exposure Information (Contracts List)</w:t>
            </w:r>
            <w:r>
              <w:rPr>
                <w:rFonts w:cs="Arial"/>
              </w:rPr>
              <w:t>”</w:t>
            </w:r>
          </w:p>
        </w:tc>
        <w:tc>
          <w:tcPr>
            <w:tcW w:w="6803" w:type="dxa"/>
          </w:tcPr>
          <w:p w14:paraId="504C02CD" w14:textId="32DBCBDC" w:rsidR="00F67E9E" w:rsidRPr="00AB0447" w:rsidRDefault="00F67E9E" w:rsidP="007F74AA">
            <w:pPr>
              <w:pStyle w:val="StdBodyText"/>
              <w:rPr>
                <w:rFonts w:cs="Arial"/>
              </w:rPr>
            </w:pPr>
            <w:r w:rsidRPr="00AB0447">
              <w:rPr>
                <w:rFonts w:cs="Arial"/>
              </w:rPr>
              <w:t xml:space="preserve">means part of the CRP Information relating to the Supplier Group to be provided by the Supplier in accordance with Paragraph </w:t>
            </w:r>
            <w:r w:rsidRPr="00AB0447">
              <w:rPr>
                <w:rFonts w:cs="Arial"/>
              </w:rPr>
              <w:fldChar w:fldCharType="begin"/>
            </w:r>
            <w:r w:rsidRPr="00AB0447">
              <w:rPr>
                <w:rFonts w:cs="Arial"/>
              </w:rPr>
              <w:instrText xml:space="preserve"> REF _Ref_ContractCompanion_9kb9Ur29F \r \h  \* MERGEFORMAT </w:instrText>
            </w:r>
            <w:r w:rsidRPr="00AB0447">
              <w:rPr>
                <w:rFonts w:cs="Arial"/>
              </w:rPr>
            </w:r>
            <w:r w:rsidRPr="00AB0447">
              <w:rPr>
                <w:rFonts w:cs="Arial"/>
              </w:rPr>
              <w:fldChar w:fldCharType="separate"/>
            </w:r>
            <w:r w:rsidR="00302D39">
              <w:rPr>
                <w:rFonts w:cs="Arial"/>
              </w:rPr>
              <w:t>2</w:t>
            </w:r>
            <w:r w:rsidRPr="00AB0447">
              <w:rPr>
                <w:rFonts w:cs="Arial"/>
              </w:rPr>
              <w:fldChar w:fldCharType="end"/>
            </w:r>
            <w:r w:rsidRPr="00AB0447">
              <w:rPr>
                <w:rFonts w:cs="Arial"/>
              </w:rPr>
              <w:t xml:space="preserve"> and Annex </w:t>
            </w:r>
            <w:r w:rsidRPr="00AB0447">
              <w:rPr>
                <w:rFonts w:cs="Arial"/>
              </w:rPr>
              <w:fldChar w:fldCharType="begin"/>
            </w:r>
            <w:r w:rsidRPr="00AB0447">
              <w:rPr>
                <w:rFonts w:cs="Arial"/>
              </w:rPr>
              <w:instrText xml:space="preserve"> REF ANNEX1_PARTB_SCHEDULE26 \h </w:instrText>
            </w:r>
            <w:r>
              <w:rPr>
                <w:rFonts w:cs="Arial"/>
              </w:rPr>
              <w:instrText xml:space="preserve"> \* MERGEFORMAT </w:instrText>
            </w:r>
            <w:r w:rsidRPr="00AB0447">
              <w:rPr>
                <w:rFonts w:cs="Arial"/>
              </w:rPr>
            </w:r>
            <w:r w:rsidRPr="00AB0447">
              <w:rPr>
                <w:rFonts w:cs="Arial"/>
              </w:rPr>
              <w:fldChar w:fldCharType="separate"/>
            </w:r>
            <w:r w:rsidR="00302D39" w:rsidRPr="00302D39">
              <w:rPr>
                <w:rFonts w:cs="Arial"/>
              </w:rPr>
              <w:t>1</w:t>
            </w:r>
            <w:r w:rsidRPr="00AB0447">
              <w:rPr>
                <w:rFonts w:cs="Arial"/>
              </w:rPr>
              <w:fldChar w:fldCharType="end"/>
            </w:r>
            <w:r w:rsidRPr="00AB0447">
              <w:rPr>
                <w:rFonts w:cs="Arial"/>
              </w:rPr>
              <w:t xml:space="preserve"> of </w:t>
            </w:r>
            <w:r>
              <w:rPr>
                <w:rFonts w:cs="Arial"/>
              </w:rPr>
              <w:fldChar w:fldCharType="begin"/>
            </w:r>
            <w:r>
              <w:rPr>
                <w:rFonts w:cs="Arial"/>
              </w:rPr>
              <w:instrText xml:space="preserve"> REF Sch26PartB \h </w:instrText>
            </w:r>
            <w:r>
              <w:rPr>
                <w:rFonts w:cs="Arial"/>
              </w:rPr>
            </w:r>
            <w:r>
              <w:rPr>
                <w:rFonts w:cs="Arial"/>
              </w:rPr>
              <w:fldChar w:fldCharType="separate"/>
            </w:r>
            <w:r w:rsidR="00302D39" w:rsidRPr="00025910">
              <w:t>Part B</w:t>
            </w:r>
            <w:r>
              <w:rPr>
                <w:rFonts w:cs="Arial"/>
              </w:rPr>
              <w:fldChar w:fldCharType="end"/>
            </w:r>
            <w:r w:rsidRPr="00AB0447">
              <w:rPr>
                <w:rFonts w:cs="Arial"/>
              </w:rPr>
              <w:t xml:space="preserve"> of </w:t>
            </w:r>
            <w:r>
              <w:rPr>
                <w:rFonts w:cs="Arial"/>
              </w:rPr>
              <w:fldChar w:fldCharType="begin"/>
            </w:r>
            <w:r>
              <w:rPr>
                <w:rFonts w:cs="Arial"/>
              </w:rPr>
              <w:instrText xml:space="preserve"> REF Schedule26 \h </w:instrText>
            </w:r>
            <w:r>
              <w:rPr>
                <w:rFonts w:cs="Arial"/>
              </w:rPr>
            </w:r>
            <w:r>
              <w:rPr>
                <w:rFonts w:cs="Arial"/>
              </w:rPr>
              <w:fldChar w:fldCharType="separate"/>
            </w:r>
            <w:r w:rsidR="00302D39" w:rsidRPr="005D0525">
              <w:t>Schedule</w:t>
            </w:r>
            <w:r w:rsidR="00302D39">
              <w:t> </w:t>
            </w:r>
            <w:r w:rsidR="00302D39" w:rsidRPr="005D0525">
              <w:t>26</w:t>
            </w:r>
            <w:r>
              <w:rPr>
                <w:rFonts w:cs="Arial"/>
              </w:rPr>
              <w:fldChar w:fldCharType="end"/>
            </w:r>
            <w:r>
              <w:rPr>
                <w:rFonts w:cs="Arial"/>
              </w:rPr>
              <w:t xml:space="preserve"> (</w:t>
            </w:r>
            <w:r w:rsidRPr="00A22335">
              <w:rPr>
                <w:rFonts w:cs="Arial"/>
                <w:i/>
                <w:iCs/>
              </w:rPr>
              <w:fldChar w:fldCharType="begin"/>
            </w:r>
            <w:r w:rsidRPr="00A22335">
              <w:rPr>
                <w:rFonts w:cs="Arial"/>
                <w:i/>
                <w:iCs/>
              </w:rPr>
              <w:instrText xml:space="preserve"> REF Schedule26Heading \h </w:instrText>
            </w:r>
            <w:r>
              <w:rPr>
                <w:rFonts w:cs="Arial"/>
                <w:i/>
                <w:iCs/>
              </w:rPr>
              <w:instrText xml:space="preserve"> \* MERGEFORMAT </w:instrText>
            </w:r>
            <w:r w:rsidRPr="00A22335">
              <w:rPr>
                <w:rFonts w:cs="Arial"/>
                <w:i/>
                <w:iCs/>
              </w:rPr>
            </w:r>
            <w:r w:rsidRPr="00A22335">
              <w:rPr>
                <w:rFonts w:cs="Arial"/>
                <w:i/>
                <w:iCs/>
              </w:rPr>
              <w:fldChar w:fldCharType="separate"/>
            </w:r>
            <w:r w:rsidR="00302D39" w:rsidRPr="00302D39">
              <w:rPr>
                <w:i/>
                <w:iCs/>
              </w:rPr>
              <w:t>Service Continuity Plan and Corporate Resolution Planning</w:t>
            </w:r>
            <w:r w:rsidRPr="00A22335">
              <w:rPr>
                <w:rFonts w:cs="Arial"/>
                <w:i/>
                <w:iCs/>
              </w:rPr>
              <w:fldChar w:fldCharType="end"/>
            </w:r>
            <w:r>
              <w:rPr>
                <w:rFonts w:cs="Arial"/>
              </w:rPr>
              <w:t>)</w:t>
            </w:r>
            <w:r w:rsidRPr="00AB0447">
              <w:rPr>
                <w:rFonts w:cs="Arial"/>
              </w:rPr>
              <w:t>;</w:t>
            </w:r>
          </w:p>
        </w:tc>
      </w:tr>
      <w:tr w:rsidR="00F67E9E" w:rsidRPr="00F55457" w14:paraId="5DDEA4E7" w14:textId="77777777" w:rsidTr="007F74AA">
        <w:tc>
          <w:tcPr>
            <w:tcW w:w="2835" w:type="dxa"/>
          </w:tcPr>
          <w:p w14:paraId="18840D74" w14:textId="77777777" w:rsidR="00F67E9E" w:rsidRPr="00F55457" w:rsidRDefault="00F67E9E" w:rsidP="007F74AA">
            <w:pPr>
              <w:pStyle w:val="StdBodyTextBold"/>
              <w:rPr>
                <w:rFonts w:cs="Arial"/>
              </w:rPr>
            </w:pPr>
            <w:r>
              <w:rPr>
                <w:rFonts w:cs="Arial"/>
              </w:rPr>
              <w:t>“</w:t>
            </w:r>
            <w:r w:rsidRPr="00F55457">
              <w:rPr>
                <w:rFonts w:cs="Arial"/>
              </w:rPr>
              <w:t>Extension Period</w:t>
            </w:r>
            <w:r>
              <w:rPr>
                <w:rFonts w:cs="Arial"/>
              </w:rPr>
              <w:t>”</w:t>
            </w:r>
          </w:p>
        </w:tc>
        <w:tc>
          <w:tcPr>
            <w:tcW w:w="6803" w:type="dxa"/>
          </w:tcPr>
          <w:p w14:paraId="1D04D7FC" w14:textId="77777777" w:rsidR="00F67E9E" w:rsidRPr="00F55457" w:rsidRDefault="00F67E9E" w:rsidP="007F74AA">
            <w:pPr>
              <w:pStyle w:val="StdBodyText"/>
              <w:rPr>
                <w:rFonts w:cs="Arial"/>
              </w:rPr>
            </w:pPr>
            <w:r w:rsidRPr="00F55457">
              <w:rPr>
                <w:rFonts w:cs="Arial"/>
              </w:rPr>
              <w:t xml:space="preserve">a period of </w:t>
            </w:r>
            <w:r w:rsidRPr="001C4B30">
              <w:rPr>
                <w:rFonts w:cs="Arial"/>
                <w:highlight w:val="yellow"/>
              </w:rPr>
              <w:t>[x</w:t>
            </w:r>
            <w:r w:rsidRPr="00F55457">
              <w:rPr>
                <w:rFonts w:cs="Arial"/>
                <w:highlight w:val="yellow"/>
              </w:rPr>
              <w:t>]</w:t>
            </w:r>
            <w:r w:rsidRPr="00F55457">
              <w:rPr>
                <w:rFonts w:cs="Arial"/>
              </w:rPr>
              <w:t xml:space="preserve"> years from the end of the Initial Term;</w:t>
            </w:r>
          </w:p>
        </w:tc>
      </w:tr>
      <w:tr w:rsidR="00F67E9E" w:rsidRPr="00F55457" w14:paraId="6FABB8D0" w14:textId="77777777" w:rsidTr="007F74AA">
        <w:tc>
          <w:tcPr>
            <w:tcW w:w="2835" w:type="dxa"/>
          </w:tcPr>
          <w:p w14:paraId="41692143" w14:textId="77777777" w:rsidR="00F67E9E" w:rsidRPr="00AB0447" w:rsidRDefault="00F67E9E" w:rsidP="007F74AA">
            <w:pPr>
              <w:pStyle w:val="StdBodyTextBold"/>
              <w:rPr>
                <w:rFonts w:cs="Arial"/>
              </w:rPr>
            </w:pPr>
            <w:r>
              <w:rPr>
                <w:rFonts w:cs="Arial"/>
              </w:rPr>
              <w:t>“</w:t>
            </w:r>
            <w:r w:rsidRPr="00AB0447">
              <w:rPr>
                <w:rFonts w:cs="Arial"/>
              </w:rPr>
              <w:t>Financial Distress Event</w:t>
            </w:r>
            <w:r>
              <w:rPr>
                <w:rFonts w:cs="Arial"/>
              </w:rPr>
              <w:t>”</w:t>
            </w:r>
          </w:p>
        </w:tc>
        <w:tc>
          <w:tcPr>
            <w:tcW w:w="6803" w:type="dxa"/>
          </w:tcPr>
          <w:p w14:paraId="792DDE07" w14:textId="4267CF8C" w:rsidR="00F67E9E" w:rsidRPr="00AB0447" w:rsidRDefault="00F67E9E" w:rsidP="007F74AA">
            <w:pPr>
              <w:pStyle w:val="StdBodyText"/>
              <w:rPr>
                <w:rFonts w:cs="Arial"/>
              </w:rPr>
            </w:pPr>
            <w:r w:rsidRPr="00AB0447">
              <w:rPr>
                <w:rFonts w:cs="Arial"/>
              </w:rPr>
              <w:t xml:space="preserve">the occurrence of one or more of the events listed in </w:t>
            </w:r>
            <w:bookmarkStart w:id="116" w:name="_9kR3WTr2CC4EOfEnoewrqyDL"/>
            <w:r w:rsidRPr="00AB0447">
              <w:rPr>
                <w:rFonts w:cs="Arial"/>
              </w:rPr>
              <w:t xml:space="preserve">Paragraph </w:t>
            </w:r>
            <w:bookmarkEnd w:id="116"/>
            <w:r w:rsidRPr="00AB0447">
              <w:rPr>
                <w:rFonts w:cs="Arial"/>
              </w:rPr>
              <w:fldChar w:fldCharType="begin"/>
            </w:r>
            <w:r w:rsidRPr="00AB0447">
              <w:rPr>
                <w:rFonts w:cs="Arial"/>
              </w:rPr>
              <w:instrText xml:space="preserve"> REF _Ref44508774 \w \h  \* MERGEFORMAT </w:instrText>
            </w:r>
            <w:r w:rsidRPr="00AB0447">
              <w:rPr>
                <w:rFonts w:cs="Arial"/>
              </w:rPr>
            </w:r>
            <w:r w:rsidRPr="00AB0447">
              <w:rPr>
                <w:rFonts w:cs="Arial"/>
              </w:rPr>
              <w:fldChar w:fldCharType="separate"/>
            </w:r>
            <w:r w:rsidR="00302D39">
              <w:rPr>
                <w:rFonts w:cs="Arial"/>
              </w:rPr>
              <w:t>3.1</w:t>
            </w:r>
            <w:r w:rsidRPr="00AB0447">
              <w:rPr>
                <w:rFonts w:cs="Arial"/>
              </w:rPr>
              <w:fldChar w:fldCharType="end"/>
            </w:r>
            <w:r w:rsidRPr="00AB0447">
              <w:rPr>
                <w:rFonts w:cs="Arial"/>
              </w:rPr>
              <w:t xml:space="preserve"> of </w:t>
            </w:r>
            <w:r>
              <w:rPr>
                <w:rFonts w:cs="Arial"/>
              </w:rPr>
              <w:fldChar w:fldCharType="begin"/>
            </w:r>
            <w:r>
              <w:rPr>
                <w:rFonts w:cs="Arial"/>
              </w:rPr>
              <w:instrText xml:space="preserve"> REF Schedule18 \h </w:instrText>
            </w:r>
            <w:r>
              <w:rPr>
                <w:rFonts w:cs="Arial"/>
              </w:rPr>
            </w:r>
            <w:r>
              <w:rPr>
                <w:rFonts w:cs="Arial"/>
              </w:rPr>
              <w:fldChar w:fldCharType="separate"/>
            </w:r>
            <w:r w:rsidR="00302D39" w:rsidRPr="005D0525">
              <w:t>Schedule</w:t>
            </w:r>
            <w:r w:rsidR="00302D39">
              <w:t> </w:t>
            </w:r>
            <w:r w:rsidR="00302D39" w:rsidRPr="005D0525">
              <w:t>18</w:t>
            </w:r>
            <w:r>
              <w:rPr>
                <w:rFonts w:cs="Arial"/>
              </w:rPr>
              <w:fldChar w:fldCharType="end"/>
            </w:r>
            <w:r>
              <w:rPr>
                <w:rFonts w:cs="Arial"/>
              </w:rPr>
              <w:t xml:space="preserve"> (</w:t>
            </w:r>
            <w:r w:rsidRPr="002F30DB">
              <w:rPr>
                <w:rFonts w:cs="Arial"/>
                <w:i/>
                <w:iCs/>
              </w:rPr>
              <w:fldChar w:fldCharType="begin"/>
            </w:r>
            <w:r w:rsidRPr="002F30DB">
              <w:rPr>
                <w:rFonts w:cs="Arial"/>
                <w:i/>
                <w:iCs/>
              </w:rPr>
              <w:instrText xml:space="preserve"> REF Schedule18Heading \h </w:instrText>
            </w:r>
            <w:r>
              <w:rPr>
                <w:rFonts w:cs="Arial"/>
                <w:i/>
                <w:iCs/>
              </w:rPr>
              <w:instrText xml:space="preserve"> \* MERGEFORMAT </w:instrText>
            </w:r>
            <w:r w:rsidRPr="002F30DB">
              <w:rPr>
                <w:rFonts w:cs="Arial"/>
                <w:i/>
                <w:iCs/>
              </w:rPr>
            </w:r>
            <w:r w:rsidRPr="002F30DB">
              <w:rPr>
                <w:rFonts w:cs="Arial"/>
                <w:i/>
                <w:iCs/>
              </w:rPr>
              <w:fldChar w:fldCharType="separate"/>
            </w:r>
            <w:r w:rsidR="00302D39" w:rsidRPr="00302D39">
              <w:rPr>
                <w:i/>
                <w:iCs/>
              </w:rPr>
              <w:t>Financial Distress</w:t>
            </w:r>
            <w:r w:rsidRPr="002F30DB">
              <w:rPr>
                <w:rFonts w:cs="Arial"/>
                <w:i/>
                <w:iCs/>
              </w:rPr>
              <w:fldChar w:fldCharType="end"/>
            </w:r>
            <w:r>
              <w:rPr>
                <w:rFonts w:cs="Arial"/>
              </w:rPr>
              <w:t>)</w:t>
            </w:r>
            <w:r w:rsidRPr="00AB0447">
              <w:rPr>
                <w:rFonts w:cs="Arial"/>
              </w:rPr>
              <w:t>;</w:t>
            </w:r>
          </w:p>
        </w:tc>
      </w:tr>
      <w:tr w:rsidR="00F67E9E" w:rsidRPr="00F55457" w14:paraId="7AC2319F" w14:textId="77777777" w:rsidTr="007F74AA">
        <w:tc>
          <w:tcPr>
            <w:tcW w:w="2835" w:type="dxa"/>
          </w:tcPr>
          <w:p w14:paraId="29DDF096" w14:textId="77777777" w:rsidR="00F67E9E" w:rsidRPr="00AB0447" w:rsidRDefault="00F67E9E" w:rsidP="007F74AA">
            <w:pPr>
              <w:pStyle w:val="StdBodyTextBold"/>
              <w:rPr>
                <w:rFonts w:cs="Arial"/>
              </w:rPr>
            </w:pPr>
            <w:r>
              <w:rPr>
                <w:rFonts w:cs="Arial"/>
              </w:rPr>
              <w:t>“</w:t>
            </w:r>
            <w:r w:rsidRPr="00AB0447">
              <w:rPr>
                <w:rFonts w:cs="Arial"/>
              </w:rPr>
              <w:t>Financial Information and Commentary</w:t>
            </w:r>
            <w:r>
              <w:rPr>
                <w:rFonts w:cs="Arial"/>
              </w:rPr>
              <w:t>”</w:t>
            </w:r>
          </w:p>
        </w:tc>
        <w:tc>
          <w:tcPr>
            <w:tcW w:w="6803" w:type="dxa"/>
          </w:tcPr>
          <w:p w14:paraId="4263690F" w14:textId="4C37E3EE" w:rsidR="00F67E9E" w:rsidRPr="00AB0447" w:rsidRDefault="00F67E9E" w:rsidP="007F74AA">
            <w:pPr>
              <w:pStyle w:val="StdBodyText"/>
              <w:rPr>
                <w:rFonts w:cs="Arial"/>
              </w:rPr>
            </w:pPr>
            <w:r w:rsidRPr="00AB0447">
              <w:rPr>
                <w:rFonts w:cs="Arial"/>
              </w:rPr>
              <w:t xml:space="preserve">means part of the CRP Information requirements set out in accordance with Paragraph </w:t>
            </w:r>
            <w:r w:rsidRPr="00AB0447">
              <w:rPr>
                <w:rFonts w:cs="Arial"/>
              </w:rPr>
              <w:fldChar w:fldCharType="begin"/>
            </w:r>
            <w:r w:rsidRPr="00AB0447">
              <w:rPr>
                <w:rFonts w:cs="Arial"/>
              </w:rPr>
              <w:instrText xml:space="preserve"> REF _Ref_ContractCompanion_9kb9Ur29F \w \h  \* MERGEFORMAT </w:instrText>
            </w:r>
            <w:r w:rsidRPr="00AB0447">
              <w:rPr>
                <w:rFonts w:cs="Arial"/>
              </w:rPr>
            </w:r>
            <w:r w:rsidRPr="00AB0447">
              <w:rPr>
                <w:rFonts w:cs="Arial"/>
              </w:rPr>
              <w:fldChar w:fldCharType="separate"/>
            </w:r>
            <w:r w:rsidR="00302D39">
              <w:rPr>
                <w:rFonts w:cs="Arial"/>
              </w:rPr>
              <w:t>2</w:t>
            </w:r>
            <w:r w:rsidRPr="00AB0447">
              <w:rPr>
                <w:rFonts w:cs="Arial"/>
              </w:rPr>
              <w:fldChar w:fldCharType="end"/>
            </w:r>
            <w:r>
              <w:rPr>
                <w:rFonts w:cs="Arial"/>
              </w:rPr>
              <w:t xml:space="preserve"> </w:t>
            </w:r>
            <w:r w:rsidRPr="00AB0447">
              <w:rPr>
                <w:rFonts w:cs="Arial"/>
              </w:rPr>
              <w:t xml:space="preserve">and Annex </w:t>
            </w:r>
            <w:r w:rsidRPr="00AB0447">
              <w:rPr>
                <w:rFonts w:cs="Arial"/>
              </w:rPr>
              <w:fldChar w:fldCharType="begin"/>
            </w:r>
            <w:r w:rsidRPr="00AB0447">
              <w:rPr>
                <w:rFonts w:cs="Arial"/>
              </w:rPr>
              <w:instrText xml:space="preserve"> REF ANNEX3_PARTB_SCHEDULE26 \h  \* MERGEFORMAT </w:instrText>
            </w:r>
            <w:r w:rsidRPr="00AB0447">
              <w:rPr>
                <w:rFonts w:cs="Arial"/>
              </w:rPr>
            </w:r>
            <w:r w:rsidRPr="00AB0447">
              <w:rPr>
                <w:rFonts w:cs="Arial"/>
              </w:rPr>
              <w:fldChar w:fldCharType="separate"/>
            </w:r>
            <w:r w:rsidR="00302D39" w:rsidRPr="00302D39">
              <w:rPr>
                <w:rFonts w:cs="Arial"/>
              </w:rPr>
              <w:t>3</w:t>
            </w:r>
            <w:r w:rsidRPr="00AB0447">
              <w:rPr>
                <w:rFonts w:cs="Arial"/>
              </w:rPr>
              <w:fldChar w:fldCharType="end"/>
            </w:r>
            <w:r w:rsidRPr="00AB0447">
              <w:rPr>
                <w:rFonts w:cs="Arial"/>
              </w:rPr>
              <w:t xml:space="preserve"> of </w:t>
            </w:r>
            <w:r>
              <w:rPr>
                <w:rFonts w:cs="Arial"/>
              </w:rPr>
              <w:fldChar w:fldCharType="begin"/>
            </w:r>
            <w:r>
              <w:rPr>
                <w:rFonts w:cs="Arial"/>
              </w:rPr>
              <w:instrText xml:space="preserve"> REF Sch26PartB \h </w:instrText>
            </w:r>
            <w:r>
              <w:rPr>
                <w:rFonts w:cs="Arial"/>
              </w:rPr>
            </w:r>
            <w:r>
              <w:rPr>
                <w:rFonts w:cs="Arial"/>
              </w:rPr>
              <w:fldChar w:fldCharType="separate"/>
            </w:r>
            <w:r w:rsidR="00302D39" w:rsidRPr="00025910">
              <w:t>Part B</w:t>
            </w:r>
            <w:r>
              <w:rPr>
                <w:rFonts w:cs="Arial"/>
              </w:rPr>
              <w:fldChar w:fldCharType="end"/>
            </w:r>
            <w:r w:rsidRPr="00AB0447">
              <w:rPr>
                <w:rFonts w:cs="Arial"/>
              </w:rPr>
              <w:t xml:space="preserve"> of </w:t>
            </w:r>
            <w:r>
              <w:rPr>
                <w:rFonts w:cs="Arial"/>
              </w:rPr>
              <w:fldChar w:fldCharType="begin"/>
            </w:r>
            <w:r>
              <w:rPr>
                <w:rFonts w:cs="Arial"/>
              </w:rPr>
              <w:instrText xml:space="preserve"> REF Schedule26 \h </w:instrText>
            </w:r>
            <w:r>
              <w:rPr>
                <w:rFonts w:cs="Arial"/>
              </w:rPr>
            </w:r>
            <w:r>
              <w:rPr>
                <w:rFonts w:cs="Arial"/>
              </w:rPr>
              <w:fldChar w:fldCharType="separate"/>
            </w:r>
            <w:r w:rsidR="00302D39" w:rsidRPr="005D0525">
              <w:t>Schedule</w:t>
            </w:r>
            <w:r w:rsidR="00302D39">
              <w:t> </w:t>
            </w:r>
            <w:r w:rsidR="00302D39" w:rsidRPr="005D0525">
              <w:t>26</w:t>
            </w:r>
            <w:r>
              <w:rPr>
                <w:rFonts w:cs="Arial"/>
              </w:rPr>
              <w:fldChar w:fldCharType="end"/>
            </w:r>
            <w:r>
              <w:rPr>
                <w:rFonts w:cs="Arial"/>
              </w:rPr>
              <w:t xml:space="preserve"> (</w:t>
            </w:r>
            <w:r w:rsidRPr="00A22335">
              <w:rPr>
                <w:rFonts w:cs="Arial"/>
                <w:i/>
                <w:iCs/>
              </w:rPr>
              <w:fldChar w:fldCharType="begin"/>
            </w:r>
            <w:r w:rsidRPr="00A22335">
              <w:rPr>
                <w:rFonts w:cs="Arial"/>
                <w:i/>
                <w:iCs/>
              </w:rPr>
              <w:instrText xml:space="preserve"> REF Schedule26Heading \h </w:instrText>
            </w:r>
            <w:r>
              <w:rPr>
                <w:rFonts w:cs="Arial"/>
                <w:i/>
                <w:iCs/>
              </w:rPr>
              <w:instrText xml:space="preserve"> \* MERGEFORMAT </w:instrText>
            </w:r>
            <w:r w:rsidRPr="00A22335">
              <w:rPr>
                <w:rFonts w:cs="Arial"/>
                <w:i/>
                <w:iCs/>
              </w:rPr>
            </w:r>
            <w:r w:rsidRPr="00A22335">
              <w:rPr>
                <w:rFonts w:cs="Arial"/>
                <w:i/>
                <w:iCs/>
              </w:rPr>
              <w:fldChar w:fldCharType="separate"/>
            </w:r>
            <w:r w:rsidR="00302D39" w:rsidRPr="00302D39">
              <w:rPr>
                <w:i/>
                <w:iCs/>
              </w:rPr>
              <w:t>Service Continuity Plan and Corporate Resolution Planning</w:t>
            </w:r>
            <w:r w:rsidRPr="00A22335">
              <w:rPr>
                <w:rFonts w:cs="Arial"/>
                <w:i/>
                <w:iCs/>
              </w:rPr>
              <w:fldChar w:fldCharType="end"/>
            </w:r>
            <w:r>
              <w:rPr>
                <w:rFonts w:cs="Arial"/>
              </w:rPr>
              <w:t>)</w:t>
            </w:r>
            <w:r w:rsidRPr="00AB0447">
              <w:rPr>
                <w:rFonts w:cs="Arial"/>
              </w:rPr>
              <w:t>;</w:t>
            </w:r>
          </w:p>
        </w:tc>
      </w:tr>
      <w:tr w:rsidR="00F67E9E" w:rsidRPr="00F55457" w14:paraId="1E4230A7" w14:textId="77777777" w:rsidTr="007F74AA">
        <w:tc>
          <w:tcPr>
            <w:tcW w:w="2835" w:type="dxa"/>
          </w:tcPr>
          <w:p w14:paraId="06F6A46A" w14:textId="77777777" w:rsidR="00F67E9E" w:rsidRPr="00AB0447" w:rsidRDefault="00F67E9E" w:rsidP="007F74AA">
            <w:pPr>
              <w:pStyle w:val="StdBodyTextBold"/>
              <w:rPr>
                <w:rFonts w:cs="Arial"/>
              </w:rPr>
            </w:pPr>
            <w:r>
              <w:rPr>
                <w:rFonts w:cs="Arial"/>
              </w:rPr>
              <w:t>“</w:t>
            </w:r>
            <w:r w:rsidRPr="00AB0447">
              <w:rPr>
                <w:rFonts w:cs="Arial"/>
              </w:rPr>
              <w:t>Financial Distress Remediation Plan</w:t>
            </w:r>
            <w:r>
              <w:rPr>
                <w:rFonts w:cs="Arial"/>
              </w:rPr>
              <w:t>”</w:t>
            </w:r>
          </w:p>
        </w:tc>
        <w:tc>
          <w:tcPr>
            <w:tcW w:w="6803" w:type="dxa"/>
          </w:tcPr>
          <w:p w14:paraId="3F0E2F87" w14:textId="77777777" w:rsidR="00F67E9E" w:rsidRPr="00AB0447" w:rsidRDefault="00F67E9E" w:rsidP="007F74AA">
            <w:pPr>
              <w:pStyle w:val="StdBodyText"/>
              <w:rPr>
                <w:rFonts w:cs="Arial"/>
              </w:rPr>
            </w:pPr>
            <w:r w:rsidRPr="00AB0447">
              <w:rPr>
                <w:rFonts w:cs="Arial"/>
              </w:rPr>
              <w:t>a plan setting out how the Supplier will ensure the continued performance and delivery of the Services in accordance with this Contract in the event that a Financial Distress Event occurs. This plan should include what the Authority would need to put in place to ensure</w:t>
            </w:r>
            <w:r>
              <w:rPr>
                <w:rFonts w:cs="Arial"/>
              </w:rPr>
              <w:t xml:space="preserve"> </w:t>
            </w:r>
            <w:r w:rsidRPr="00AB0447">
              <w:rPr>
                <w:rFonts w:cs="Arial"/>
              </w:rPr>
              <w:t>performance and delivery of the Services in accordance with this Contract up to and including any Insolvency Event in respect of the relevant FDE Group entity and may refer to the Insolvency Continuity Plan in this regard;</w:t>
            </w:r>
          </w:p>
        </w:tc>
      </w:tr>
      <w:tr w:rsidR="00F67E9E" w:rsidRPr="00F55457" w14:paraId="15C73AE4" w14:textId="77777777" w:rsidTr="007F74AA">
        <w:tc>
          <w:tcPr>
            <w:tcW w:w="2835" w:type="dxa"/>
          </w:tcPr>
          <w:p w14:paraId="6C512BA4" w14:textId="77777777" w:rsidR="00F67E9E" w:rsidRPr="00AB0447" w:rsidRDefault="00F67E9E" w:rsidP="007F74AA">
            <w:pPr>
              <w:pStyle w:val="StdBodyTextBold"/>
              <w:rPr>
                <w:rFonts w:cs="Arial"/>
              </w:rPr>
            </w:pPr>
            <w:r>
              <w:rPr>
                <w:rFonts w:cs="Arial"/>
              </w:rPr>
              <w:t>“</w:t>
            </w:r>
            <w:r w:rsidRPr="00AB0447">
              <w:rPr>
                <w:rFonts w:cs="Arial"/>
              </w:rPr>
              <w:t>Financial Model</w:t>
            </w:r>
            <w:r>
              <w:rPr>
                <w:rFonts w:cs="Arial"/>
              </w:rPr>
              <w:t>”</w:t>
            </w:r>
          </w:p>
        </w:tc>
        <w:tc>
          <w:tcPr>
            <w:tcW w:w="6803" w:type="dxa"/>
          </w:tcPr>
          <w:p w14:paraId="01041C88" w14:textId="2299151C" w:rsidR="00F67E9E" w:rsidRPr="00AB0447" w:rsidRDefault="00F67E9E" w:rsidP="007F74AA">
            <w:pPr>
              <w:pStyle w:val="StdBodyText"/>
              <w:rPr>
                <w:rFonts w:cs="Arial"/>
              </w:rPr>
            </w:pPr>
            <w:r w:rsidRPr="00AB0447">
              <w:rPr>
                <w:rFonts w:cs="Arial"/>
              </w:rPr>
              <w:t xml:space="preserve">has the meaning given in </w:t>
            </w:r>
            <w:r>
              <w:rPr>
                <w:rFonts w:cs="Arial"/>
              </w:rPr>
              <w:fldChar w:fldCharType="begin"/>
            </w:r>
            <w:r>
              <w:rPr>
                <w:rFonts w:cs="Arial"/>
              </w:rPr>
              <w:instrText xml:space="preserve"> REF Schedule19 \h </w:instrText>
            </w:r>
            <w:r>
              <w:rPr>
                <w:rFonts w:cs="Arial"/>
              </w:rPr>
            </w:r>
            <w:r>
              <w:rPr>
                <w:rFonts w:cs="Arial"/>
              </w:rPr>
              <w:fldChar w:fldCharType="separate"/>
            </w:r>
            <w:r w:rsidR="00302D39" w:rsidRPr="005D0525">
              <w:t>Schedule</w:t>
            </w:r>
            <w:r w:rsidR="00302D39">
              <w:t> </w:t>
            </w:r>
            <w:r w:rsidR="00302D39" w:rsidRPr="005D0525">
              <w:t>19</w:t>
            </w:r>
            <w:r>
              <w:rPr>
                <w:rFonts w:cs="Arial"/>
              </w:rPr>
              <w:fldChar w:fldCharType="end"/>
            </w:r>
            <w:r>
              <w:rPr>
                <w:rFonts w:cs="Arial"/>
              </w:rPr>
              <w:t xml:space="preserve"> (</w:t>
            </w:r>
            <w:r w:rsidRPr="002F30DB">
              <w:rPr>
                <w:rFonts w:cs="Arial"/>
                <w:i/>
                <w:iCs/>
              </w:rPr>
              <w:fldChar w:fldCharType="begin"/>
            </w:r>
            <w:r w:rsidRPr="002F30DB">
              <w:rPr>
                <w:rFonts w:cs="Arial"/>
                <w:i/>
                <w:iCs/>
              </w:rPr>
              <w:instrText xml:space="preserve"> REF Schedule19Heading \h </w:instrText>
            </w:r>
            <w:r>
              <w:rPr>
                <w:rFonts w:cs="Arial"/>
                <w:i/>
                <w:iCs/>
              </w:rPr>
              <w:instrText xml:space="preserve"> \* MERGEFORMAT </w:instrText>
            </w:r>
            <w:r w:rsidRPr="002F30DB">
              <w:rPr>
                <w:rFonts w:cs="Arial"/>
                <w:i/>
                <w:iCs/>
              </w:rPr>
            </w:r>
            <w:r w:rsidRPr="002F30DB">
              <w:rPr>
                <w:rFonts w:cs="Arial"/>
                <w:i/>
                <w:iCs/>
              </w:rPr>
              <w:fldChar w:fldCharType="separate"/>
            </w:r>
            <w:r w:rsidR="00302D39" w:rsidRPr="00302D39">
              <w:rPr>
                <w:i/>
                <w:iCs/>
              </w:rPr>
              <w:t>Financial Reports and Audit Rights</w:t>
            </w:r>
            <w:r w:rsidRPr="002F30DB">
              <w:rPr>
                <w:rFonts w:cs="Arial"/>
                <w:i/>
                <w:iCs/>
              </w:rPr>
              <w:fldChar w:fldCharType="end"/>
            </w:r>
            <w:r>
              <w:rPr>
                <w:rFonts w:cs="Arial"/>
              </w:rPr>
              <w:t>)</w:t>
            </w:r>
            <w:r w:rsidRPr="00AB0447">
              <w:rPr>
                <w:rFonts w:cs="Arial"/>
              </w:rPr>
              <w:t>;</w:t>
            </w:r>
          </w:p>
        </w:tc>
      </w:tr>
      <w:tr w:rsidR="00F67E9E" w:rsidRPr="00F55457" w14:paraId="79E83BF0" w14:textId="77777777" w:rsidTr="007F74AA">
        <w:tc>
          <w:tcPr>
            <w:tcW w:w="2835" w:type="dxa"/>
          </w:tcPr>
          <w:p w14:paraId="172AFA20" w14:textId="77777777" w:rsidR="00F67E9E" w:rsidRPr="00AB0447" w:rsidRDefault="00F67E9E" w:rsidP="007F74AA">
            <w:pPr>
              <w:pStyle w:val="StdBodyTextBold"/>
              <w:rPr>
                <w:rFonts w:cs="Arial"/>
              </w:rPr>
            </w:pPr>
            <w:r>
              <w:rPr>
                <w:rFonts w:cs="Arial"/>
              </w:rPr>
              <w:t>“</w:t>
            </w:r>
            <w:r w:rsidRPr="00AB0447">
              <w:rPr>
                <w:rFonts w:cs="Arial"/>
              </w:rPr>
              <w:t>Financial Reports</w:t>
            </w:r>
            <w:r>
              <w:rPr>
                <w:rFonts w:cs="Arial"/>
              </w:rPr>
              <w:t>”</w:t>
            </w:r>
          </w:p>
        </w:tc>
        <w:tc>
          <w:tcPr>
            <w:tcW w:w="6803" w:type="dxa"/>
          </w:tcPr>
          <w:p w14:paraId="66CA4C91" w14:textId="2EF18943" w:rsidR="00F67E9E" w:rsidRPr="00AB0447" w:rsidRDefault="00F67E9E" w:rsidP="007F74AA">
            <w:pPr>
              <w:pStyle w:val="StdBodyText"/>
              <w:rPr>
                <w:rFonts w:cs="Arial"/>
              </w:rPr>
            </w:pPr>
            <w:r w:rsidRPr="00AB0447">
              <w:rPr>
                <w:rFonts w:cs="Arial"/>
              </w:rPr>
              <w:t xml:space="preserve">has the meaning given in </w:t>
            </w:r>
            <w:r>
              <w:rPr>
                <w:rFonts w:cs="Arial"/>
              </w:rPr>
              <w:fldChar w:fldCharType="begin"/>
            </w:r>
            <w:r>
              <w:rPr>
                <w:rFonts w:cs="Arial"/>
              </w:rPr>
              <w:instrText xml:space="preserve"> REF Schedule19 \h </w:instrText>
            </w:r>
            <w:r>
              <w:rPr>
                <w:rFonts w:cs="Arial"/>
              </w:rPr>
            </w:r>
            <w:r>
              <w:rPr>
                <w:rFonts w:cs="Arial"/>
              </w:rPr>
              <w:fldChar w:fldCharType="separate"/>
            </w:r>
            <w:r w:rsidR="00302D39" w:rsidRPr="005D0525">
              <w:t>Schedule</w:t>
            </w:r>
            <w:r w:rsidR="00302D39">
              <w:t> </w:t>
            </w:r>
            <w:r w:rsidR="00302D39" w:rsidRPr="005D0525">
              <w:t>19</w:t>
            </w:r>
            <w:r>
              <w:rPr>
                <w:rFonts w:cs="Arial"/>
              </w:rPr>
              <w:fldChar w:fldCharType="end"/>
            </w:r>
            <w:r>
              <w:rPr>
                <w:rFonts w:cs="Arial"/>
              </w:rPr>
              <w:t xml:space="preserve"> (</w:t>
            </w:r>
            <w:r w:rsidRPr="002F30DB">
              <w:rPr>
                <w:rFonts w:cs="Arial"/>
                <w:i/>
                <w:iCs/>
              </w:rPr>
              <w:fldChar w:fldCharType="begin"/>
            </w:r>
            <w:r w:rsidRPr="002F30DB">
              <w:rPr>
                <w:rFonts w:cs="Arial"/>
                <w:i/>
                <w:iCs/>
              </w:rPr>
              <w:instrText xml:space="preserve"> REF Schedule19Heading \h </w:instrText>
            </w:r>
            <w:r>
              <w:rPr>
                <w:rFonts w:cs="Arial"/>
                <w:i/>
                <w:iCs/>
              </w:rPr>
              <w:instrText xml:space="preserve"> \* MERGEFORMAT </w:instrText>
            </w:r>
            <w:r w:rsidRPr="002F30DB">
              <w:rPr>
                <w:rFonts w:cs="Arial"/>
                <w:i/>
                <w:iCs/>
              </w:rPr>
            </w:r>
            <w:r w:rsidRPr="002F30DB">
              <w:rPr>
                <w:rFonts w:cs="Arial"/>
                <w:i/>
                <w:iCs/>
              </w:rPr>
              <w:fldChar w:fldCharType="separate"/>
            </w:r>
            <w:r w:rsidR="00302D39" w:rsidRPr="00302D39">
              <w:rPr>
                <w:i/>
                <w:iCs/>
              </w:rPr>
              <w:t>Financial Reports and Audit Rights</w:t>
            </w:r>
            <w:r w:rsidRPr="002F30DB">
              <w:rPr>
                <w:rFonts w:cs="Arial"/>
                <w:i/>
                <w:iCs/>
              </w:rPr>
              <w:fldChar w:fldCharType="end"/>
            </w:r>
            <w:r>
              <w:rPr>
                <w:rFonts w:cs="Arial"/>
              </w:rPr>
              <w:t>)</w:t>
            </w:r>
            <w:r w:rsidRPr="00AB0447">
              <w:rPr>
                <w:rFonts w:cs="Arial"/>
              </w:rPr>
              <w:t>;</w:t>
            </w:r>
          </w:p>
        </w:tc>
      </w:tr>
      <w:tr w:rsidR="00F67E9E" w:rsidRPr="00F55457" w14:paraId="4A3BE028" w14:textId="77777777" w:rsidTr="007F74AA">
        <w:tc>
          <w:tcPr>
            <w:tcW w:w="2835" w:type="dxa"/>
          </w:tcPr>
          <w:p w14:paraId="5D5065DD" w14:textId="77777777" w:rsidR="00F67E9E" w:rsidRPr="00AB0447" w:rsidRDefault="00F67E9E" w:rsidP="007F74AA">
            <w:pPr>
              <w:pStyle w:val="StdBodyTextBold"/>
              <w:rPr>
                <w:rFonts w:cs="Arial"/>
              </w:rPr>
            </w:pPr>
            <w:r>
              <w:rPr>
                <w:rFonts w:cs="Arial"/>
              </w:rPr>
              <w:t>“</w:t>
            </w:r>
            <w:r w:rsidRPr="00AB0447">
              <w:rPr>
                <w:rFonts w:cs="Arial"/>
              </w:rPr>
              <w:t>Financial Transparency Objectives</w:t>
            </w:r>
            <w:r>
              <w:rPr>
                <w:rFonts w:cs="Arial"/>
              </w:rPr>
              <w:t>”</w:t>
            </w:r>
          </w:p>
        </w:tc>
        <w:tc>
          <w:tcPr>
            <w:tcW w:w="6803" w:type="dxa"/>
          </w:tcPr>
          <w:p w14:paraId="7060BCE7" w14:textId="031F3850" w:rsidR="00F67E9E" w:rsidRPr="00AB0447" w:rsidRDefault="00F67E9E" w:rsidP="007F74AA">
            <w:pPr>
              <w:pStyle w:val="StdBodyText"/>
              <w:rPr>
                <w:rFonts w:cs="Arial"/>
              </w:rPr>
            </w:pPr>
            <w:r w:rsidRPr="00AB0447">
              <w:rPr>
                <w:rFonts w:cs="Arial"/>
              </w:rPr>
              <w:t xml:space="preserve">has the meaning given in </w:t>
            </w:r>
            <w:r>
              <w:rPr>
                <w:rFonts w:cs="Arial"/>
              </w:rPr>
              <w:fldChar w:fldCharType="begin"/>
            </w:r>
            <w:r>
              <w:rPr>
                <w:rFonts w:cs="Arial"/>
              </w:rPr>
              <w:instrText xml:space="preserve"> REF Schedule19 \h </w:instrText>
            </w:r>
            <w:r>
              <w:rPr>
                <w:rFonts w:cs="Arial"/>
              </w:rPr>
            </w:r>
            <w:r>
              <w:rPr>
                <w:rFonts w:cs="Arial"/>
              </w:rPr>
              <w:fldChar w:fldCharType="separate"/>
            </w:r>
            <w:r w:rsidR="00302D39" w:rsidRPr="005D0525">
              <w:t>Schedule</w:t>
            </w:r>
            <w:r w:rsidR="00302D39">
              <w:t> </w:t>
            </w:r>
            <w:r w:rsidR="00302D39" w:rsidRPr="005D0525">
              <w:t>19</w:t>
            </w:r>
            <w:r>
              <w:rPr>
                <w:rFonts w:cs="Arial"/>
              </w:rPr>
              <w:fldChar w:fldCharType="end"/>
            </w:r>
            <w:r>
              <w:rPr>
                <w:rFonts w:cs="Arial"/>
              </w:rPr>
              <w:t xml:space="preserve"> (</w:t>
            </w:r>
            <w:r w:rsidRPr="002F30DB">
              <w:rPr>
                <w:rFonts w:cs="Arial"/>
                <w:i/>
                <w:iCs/>
              </w:rPr>
              <w:fldChar w:fldCharType="begin"/>
            </w:r>
            <w:r w:rsidRPr="002F30DB">
              <w:rPr>
                <w:rFonts w:cs="Arial"/>
                <w:i/>
                <w:iCs/>
              </w:rPr>
              <w:instrText xml:space="preserve"> REF Schedule19Heading \h </w:instrText>
            </w:r>
            <w:r>
              <w:rPr>
                <w:rFonts w:cs="Arial"/>
                <w:i/>
                <w:iCs/>
              </w:rPr>
              <w:instrText xml:space="preserve"> \* MERGEFORMAT </w:instrText>
            </w:r>
            <w:r w:rsidRPr="002F30DB">
              <w:rPr>
                <w:rFonts w:cs="Arial"/>
                <w:i/>
                <w:iCs/>
              </w:rPr>
            </w:r>
            <w:r w:rsidRPr="002F30DB">
              <w:rPr>
                <w:rFonts w:cs="Arial"/>
                <w:i/>
                <w:iCs/>
              </w:rPr>
              <w:fldChar w:fldCharType="separate"/>
            </w:r>
            <w:r w:rsidR="00302D39" w:rsidRPr="00302D39">
              <w:rPr>
                <w:i/>
                <w:iCs/>
              </w:rPr>
              <w:t>Financial Reports and Audit Rights</w:t>
            </w:r>
            <w:r w:rsidRPr="002F30DB">
              <w:rPr>
                <w:rFonts w:cs="Arial"/>
                <w:i/>
                <w:iCs/>
              </w:rPr>
              <w:fldChar w:fldCharType="end"/>
            </w:r>
            <w:r>
              <w:rPr>
                <w:rFonts w:cs="Arial"/>
              </w:rPr>
              <w:t>)</w:t>
            </w:r>
            <w:r w:rsidRPr="00AB0447">
              <w:rPr>
                <w:rFonts w:cs="Arial"/>
              </w:rPr>
              <w:t>;</w:t>
            </w:r>
          </w:p>
        </w:tc>
      </w:tr>
      <w:tr w:rsidR="00F67E9E" w:rsidRPr="00F55457" w14:paraId="29B52F2C" w14:textId="77777777" w:rsidTr="007F74AA">
        <w:tc>
          <w:tcPr>
            <w:tcW w:w="2835" w:type="dxa"/>
          </w:tcPr>
          <w:p w14:paraId="76132A48" w14:textId="77777777" w:rsidR="00F67E9E" w:rsidRPr="00AB0447" w:rsidRDefault="00F67E9E" w:rsidP="007F74AA">
            <w:pPr>
              <w:pStyle w:val="StdBodyTextBold"/>
              <w:rPr>
                <w:rFonts w:cs="Arial"/>
              </w:rPr>
            </w:pPr>
            <w:r>
              <w:rPr>
                <w:rFonts w:cs="Arial"/>
              </w:rPr>
              <w:t>“</w:t>
            </w:r>
            <w:r w:rsidRPr="00AB0447">
              <w:rPr>
                <w:rFonts w:cs="Arial"/>
              </w:rPr>
              <w:t>FOIA</w:t>
            </w:r>
            <w:r>
              <w:rPr>
                <w:rFonts w:cs="Arial"/>
              </w:rPr>
              <w:t>”</w:t>
            </w:r>
          </w:p>
        </w:tc>
        <w:tc>
          <w:tcPr>
            <w:tcW w:w="6803" w:type="dxa"/>
          </w:tcPr>
          <w:p w14:paraId="5849FE7F" w14:textId="77777777" w:rsidR="00F67E9E" w:rsidRPr="00AB0447" w:rsidRDefault="00F67E9E" w:rsidP="007F74AA">
            <w:pPr>
              <w:pStyle w:val="StdBodyText"/>
              <w:rPr>
                <w:rFonts w:cs="Arial"/>
              </w:rPr>
            </w:pPr>
            <w:r w:rsidRPr="00AB0447">
              <w:rPr>
                <w:rFonts w:cs="Arial"/>
              </w:rPr>
              <w:t xml:space="preserve">the </w:t>
            </w:r>
            <w:bookmarkStart w:id="117" w:name="_9kR3WTr277DLFOLrffq01vQTxzCBv3C8EbLBcXW"/>
            <w:r w:rsidRPr="00AB0447">
              <w:rPr>
                <w:rFonts w:cs="Arial"/>
              </w:rPr>
              <w:t>Freedom of Information Act 2000</w:t>
            </w:r>
            <w:bookmarkEnd w:id="117"/>
            <w:r w:rsidRPr="00AB0447">
              <w:rPr>
                <w:rFonts w:cs="Arial"/>
              </w:rPr>
              <w:t xml:space="preserve"> and any subordinate legislation made under that Act from time to time, together with any guidance and/or codes of practice issued by the Information Commissioner or any relevant </w:t>
            </w:r>
            <w:r>
              <w:rPr>
                <w:rFonts w:cs="Arial"/>
              </w:rPr>
              <w:t>Crown Body</w:t>
            </w:r>
            <w:r w:rsidRPr="00AB0447">
              <w:rPr>
                <w:rFonts w:cs="Arial"/>
              </w:rPr>
              <w:t xml:space="preserve"> in relation to such Act;</w:t>
            </w:r>
          </w:p>
        </w:tc>
      </w:tr>
      <w:tr w:rsidR="00F67E9E" w:rsidRPr="00F55457" w14:paraId="159E66F4" w14:textId="77777777" w:rsidTr="007F74AA">
        <w:tc>
          <w:tcPr>
            <w:tcW w:w="2835" w:type="dxa"/>
          </w:tcPr>
          <w:p w14:paraId="26DF6714" w14:textId="77777777" w:rsidR="00F67E9E" w:rsidRPr="00AB0447" w:rsidRDefault="00F67E9E" w:rsidP="007F74AA">
            <w:pPr>
              <w:pStyle w:val="StdBodyTextBold"/>
              <w:rPr>
                <w:rFonts w:cs="Arial"/>
              </w:rPr>
            </w:pPr>
            <w:r>
              <w:rPr>
                <w:rFonts w:cs="Arial"/>
              </w:rPr>
              <w:t>“</w:t>
            </w:r>
            <w:r w:rsidRPr="00AB0447">
              <w:rPr>
                <w:rFonts w:cs="Arial"/>
              </w:rPr>
              <w:t>Force Majeure Event</w:t>
            </w:r>
            <w:r>
              <w:rPr>
                <w:rFonts w:cs="Arial"/>
              </w:rPr>
              <w:t>”</w:t>
            </w:r>
          </w:p>
        </w:tc>
        <w:tc>
          <w:tcPr>
            <w:tcW w:w="6803" w:type="dxa"/>
          </w:tcPr>
          <w:p w14:paraId="638237AA" w14:textId="77777777" w:rsidR="00F67E9E" w:rsidRPr="00AB0447" w:rsidRDefault="00F67E9E" w:rsidP="007F74AA">
            <w:pPr>
              <w:pStyle w:val="StdBodyText"/>
              <w:rPr>
                <w:rFonts w:cs="Arial"/>
              </w:rPr>
            </w:pPr>
            <w:r w:rsidRPr="00AB0447">
              <w:rPr>
                <w:rFonts w:cs="Arial"/>
              </w:rPr>
              <w:t>any event outside the reasonable control of either Party affecting its performance of its obligations under this Contract arising from acts, events, omissions, happenings or non-happenings beyond its reasonable control and which are not attributable to any wilful act, neglect or failure to take reasonable preventative action by that Party, including riots, war or armed conflict, acts of terrorism, acts of government, local government or regulatory bodies, fire, flood, storm or earthquake, or other natural disaster but excluding any industrial dispute relating to the Supplier or the Supplier Personnel or any other failure in the Supplier</w:t>
            </w:r>
            <w:r>
              <w:rPr>
                <w:rFonts w:cs="Arial"/>
              </w:rPr>
              <w:t>’</w:t>
            </w:r>
            <w:r w:rsidRPr="00AB0447">
              <w:rPr>
                <w:rFonts w:cs="Arial"/>
              </w:rPr>
              <w:t>s or a Sub-contractor</w:t>
            </w:r>
            <w:r>
              <w:rPr>
                <w:rFonts w:cs="Arial"/>
              </w:rPr>
              <w:t>’</w:t>
            </w:r>
            <w:r w:rsidRPr="00AB0447">
              <w:rPr>
                <w:rFonts w:cs="Arial"/>
              </w:rPr>
              <w:t>s supply chain;</w:t>
            </w:r>
          </w:p>
        </w:tc>
      </w:tr>
      <w:tr w:rsidR="00F67E9E" w:rsidRPr="00F55457" w14:paraId="13A91EA4" w14:textId="77777777" w:rsidTr="007F74AA">
        <w:tc>
          <w:tcPr>
            <w:tcW w:w="2835" w:type="dxa"/>
          </w:tcPr>
          <w:p w14:paraId="78E04B38" w14:textId="77777777" w:rsidR="00F67E9E" w:rsidRPr="00AB0447" w:rsidRDefault="00F67E9E" w:rsidP="007F74AA">
            <w:pPr>
              <w:pStyle w:val="StdBodyTextBold"/>
              <w:rPr>
                <w:rFonts w:cs="Arial"/>
              </w:rPr>
            </w:pPr>
            <w:r>
              <w:rPr>
                <w:rFonts w:cs="Arial"/>
              </w:rPr>
              <w:t>“</w:t>
            </w:r>
            <w:r w:rsidRPr="00AB0447">
              <w:rPr>
                <w:rFonts w:cs="Arial"/>
              </w:rPr>
              <w:t>Force Majeure Notice</w:t>
            </w:r>
            <w:r>
              <w:rPr>
                <w:rFonts w:cs="Arial"/>
              </w:rPr>
              <w:t>”</w:t>
            </w:r>
          </w:p>
        </w:tc>
        <w:tc>
          <w:tcPr>
            <w:tcW w:w="6803" w:type="dxa"/>
          </w:tcPr>
          <w:p w14:paraId="4FB2A678" w14:textId="77777777" w:rsidR="00F67E9E" w:rsidRPr="00AB0447" w:rsidRDefault="00F67E9E" w:rsidP="007F74AA">
            <w:pPr>
              <w:pStyle w:val="StdBodyText"/>
              <w:rPr>
                <w:rFonts w:cs="Arial"/>
              </w:rPr>
            </w:pPr>
            <w:r w:rsidRPr="00AB0447">
              <w:rPr>
                <w:rFonts w:cs="Arial"/>
              </w:rPr>
              <w:t>a written notice s</w:t>
            </w:r>
            <w:bookmarkStart w:id="118" w:name="_9kR3WTr5DA48E0w"/>
            <w:bookmarkEnd w:id="118"/>
            <w:r w:rsidRPr="00AB0447">
              <w:rPr>
                <w:rFonts w:cs="Arial"/>
              </w:rPr>
              <w:t>erved by the Affected Party on the other Party stating that the Affected Party believes that there is a Force Majeure Event;</w:t>
            </w:r>
          </w:p>
        </w:tc>
      </w:tr>
      <w:tr w:rsidR="00F67E9E" w:rsidRPr="00F55457" w14:paraId="719297CA" w14:textId="77777777" w:rsidTr="007F74AA">
        <w:tc>
          <w:tcPr>
            <w:tcW w:w="2835" w:type="dxa"/>
          </w:tcPr>
          <w:p w14:paraId="5A093346" w14:textId="77777777" w:rsidR="00F67E9E" w:rsidRPr="00AB0447" w:rsidRDefault="00F67E9E" w:rsidP="007F74AA">
            <w:pPr>
              <w:pStyle w:val="StdBodyTextBold"/>
              <w:rPr>
                <w:rFonts w:cs="Arial"/>
              </w:rPr>
            </w:pPr>
            <w:r>
              <w:rPr>
                <w:rFonts w:cs="Arial"/>
              </w:rPr>
              <w:t>“</w:t>
            </w:r>
            <w:r w:rsidRPr="00AB0447">
              <w:rPr>
                <w:rFonts w:cs="Arial"/>
              </w:rPr>
              <w:t>Former Supplier</w:t>
            </w:r>
            <w:r>
              <w:rPr>
                <w:rFonts w:cs="Arial"/>
              </w:rPr>
              <w:t>”</w:t>
            </w:r>
          </w:p>
        </w:tc>
        <w:tc>
          <w:tcPr>
            <w:tcW w:w="6803" w:type="dxa"/>
          </w:tcPr>
          <w:p w14:paraId="2E00D906" w14:textId="3D87DF4F" w:rsidR="00F67E9E" w:rsidRPr="00AB0447" w:rsidRDefault="00F67E9E" w:rsidP="007F74AA">
            <w:pPr>
              <w:pStyle w:val="StdBodyText"/>
              <w:rPr>
                <w:rFonts w:cs="Arial"/>
              </w:rPr>
            </w:pPr>
            <w:r w:rsidRPr="00AB0447">
              <w:rPr>
                <w:rFonts w:cs="Arial"/>
              </w:rPr>
              <w:t>has the meaning given in</w:t>
            </w:r>
            <w:r>
              <w:rPr>
                <w:rFonts w:cs="Arial"/>
              </w:rPr>
              <w:t xml:space="preserve"> </w:t>
            </w:r>
            <w:r>
              <w:rPr>
                <w:rFonts w:cs="Arial"/>
              </w:rPr>
              <w:fldChar w:fldCharType="begin"/>
            </w:r>
            <w:r>
              <w:rPr>
                <w:rFonts w:cs="Arial"/>
              </w:rPr>
              <w:instrText xml:space="preserve"> REF Schedule28 \h </w:instrText>
            </w:r>
            <w:r>
              <w:rPr>
                <w:rFonts w:cs="Arial"/>
              </w:rPr>
            </w:r>
            <w:r>
              <w:rPr>
                <w:rFonts w:cs="Arial"/>
              </w:rPr>
              <w:fldChar w:fldCharType="separate"/>
            </w:r>
            <w:r w:rsidR="00302D39" w:rsidRPr="005D0525">
              <w:t>Schedule</w:t>
            </w:r>
            <w:r w:rsidR="00302D39">
              <w:t> </w:t>
            </w:r>
            <w:r w:rsidR="00302D39" w:rsidRPr="005D0525">
              <w:t>28</w:t>
            </w:r>
            <w:r>
              <w:rPr>
                <w:rFonts w:cs="Arial"/>
              </w:rPr>
              <w:fldChar w:fldCharType="end"/>
            </w:r>
            <w:r>
              <w:rPr>
                <w:rFonts w:cs="Arial"/>
              </w:rPr>
              <w:t xml:space="preserve"> (</w:t>
            </w:r>
            <w:r w:rsidRPr="006F064F">
              <w:rPr>
                <w:rFonts w:cs="Arial"/>
                <w:i/>
                <w:iCs/>
              </w:rPr>
              <w:fldChar w:fldCharType="begin"/>
            </w:r>
            <w:r w:rsidRPr="006F064F">
              <w:rPr>
                <w:rFonts w:cs="Arial"/>
                <w:i/>
                <w:iCs/>
              </w:rPr>
              <w:instrText xml:space="preserve"> REF Schedule28Heading \h </w:instrText>
            </w:r>
            <w:r>
              <w:rPr>
                <w:rFonts w:cs="Arial"/>
                <w:i/>
                <w:iCs/>
              </w:rPr>
              <w:instrText xml:space="preserve"> \* MERGEFORMAT </w:instrText>
            </w:r>
            <w:r w:rsidRPr="006F064F">
              <w:rPr>
                <w:rFonts w:cs="Arial"/>
                <w:i/>
                <w:iCs/>
              </w:rPr>
            </w:r>
            <w:r w:rsidRPr="006F064F">
              <w:rPr>
                <w:rFonts w:cs="Arial"/>
                <w:i/>
                <w:iCs/>
              </w:rPr>
              <w:fldChar w:fldCharType="separate"/>
            </w:r>
            <w:r w:rsidR="00302D39" w:rsidRPr="00302D39">
              <w:rPr>
                <w:i/>
                <w:iCs/>
              </w:rPr>
              <w:t>Staff Transfer</w:t>
            </w:r>
            <w:r w:rsidRPr="006F064F">
              <w:rPr>
                <w:rFonts w:cs="Arial"/>
                <w:i/>
                <w:iCs/>
              </w:rPr>
              <w:fldChar w:fldCharType="end"/>
            </w:r>
            <w:r>
              <w:rPr>
                <w:rFonts w:cs="Arial"/>
              </w:rPr>
              <w:t>)</w:t>
            </w:r>
            <w:r w:rsidRPr="00AB0447">
              <w:rPr>
                <w:rFonts w:cs="Arial"/>
              </w:rPr>
              <w:t>;</w:t>
            </w:r>
          </w:p>
        </w:tc>
      </w:tr>
      <w:tr w:rsidR="00F67E9E" w:rsidRPr="00F55457" w14:paraId="519A8579" w14:textId="77777777" w:rsidTr="007F74AA">
        <w:tc>
          <w:tcPr>
            <w:tcW w:w="2835" w:type="dxa"/>
          </w:tcPr>
          <w:p w14:paraId="1FD60DB5" w14:textId="77777777" w:rsidR="00F67E9E" w:rsidRPr="00AB0447" w:rsidRDefault="00F67E9E" w:rsidP="007F74AA">
            <w:pPr>
              <w:pStyle w:val="StdBodyTextBold"/>
              <w:rPr>
                <w:rFonts w:cs="Arial"/>
              </w:rPr>
            </w:pPr>
            <w:r>
              <w:rPr>
                <w:rFonts w:cs="Arial"/>
              </w:rPr>
              <w:t>“</w:t>
            </w:r>
            <w:r w:rsidRPr="00AB0447">
              <w:rPr>
                <w:rFonts w:cs="Arial"/>
              </w:rPr>
              <w:t>General Anti-Abuse Rule</w:t>
            </w:r>
            <w:r>
              <w:rPr>
                <w:rFonts w:cs="Arial"/>
              </w:rPr>
              <w:t>”</w:t>
            </w:r>
          </w:p>
        </w:tc>
        <w:tc>
          <w:tcPr>
            <w:tcW w:w="6803" w:type="dxa"/>
          </w:tcPr>
          <w:p w14:paraId="71D88CD4" w14:textId="77777777" w:rsidR="00F67E9E" w:rsidRPr="00AB0447" w:rsidRDefault="00F67E9E" w:rsidP="007F74AA">
            <w:pPr>
              <w:pStyle w:val="DefinitionList"/>
              <w:numPr>
                <w:ilvl w:val="0"/>
                <w:numId w:val="200"/>
              </w:numPr>
            </w:pPr>
            <w:r w:rsidRPr="00AB0447">
              <w:t xml:space="preserve">the legislation in </w:t>
            </w:r>
            <w:bookmarkStart w:id="119" w:name="_9kR3WTr277DJGbEn7M5tz2oNM1uvyqPI8ZUUY"/>
            <w:r w:rsidRPr="00AB0447">
              <w:t>Part 5 of the Finance Act 2013</w:t>
            </w:r>
            <w:bookmarkEnd w:id="119"/>
            <w:r w:rsidRPr="00AB0447">
              <w:t>; and</w:t>
            </w:r>
          </w:p>
          <w:p w14:paraId="1B9F8413" w14:textId="77777777" w:rsidR="00F67E9E" w:rsidRPr="00AB0447" w:rsidRDefault="00F67E9E" w:rsidP="00F67E9E">
            <w:pPr>
              <w:pStyle w:val="DefinitionList"/>
              <w:numPr>
                <w:ilvl w:val="0"/>
                <w:numId w:val="108"/>
              </w:numPr>
              <w:rPr>
                <w:rFonts w:cs="Arial"/>
              </w:rPr>
            </w:pPr>
            <w:r w:rsidRPr="00AB0447">
              <w:rPr>
                <w:rFonts w:cs="Arial"/>
              </w:rPr>
              <w:t>any future legislation introduced into Parliament to counteract tax advantages arising from abusive arrangements to avoid national insurance contributions;</w:t>
            </w:r>
          </w:p>
        </w:tc>
      </w:tr>
      <w:tr w:rsidR="00F67E9E" w:rsidRPr="00F55457" w14:paraId="5EB5D348" w14:textId="77777777" w:rsidTr="007F74AA">
        <w:tc>
          <w:tcPr>
            <w:tcW w:w="2835" w:type="dxa"/>
          </w:tcPr>
          <w:p w14:paraId="2FFF521E" w14:textId="77777777" w:rsidR="00F67E9E" w:rsidRPr="00AB0447" w:rsidRDefault="00F67E9E" w:rsidP="007F74AA">
            <w:pPr>
              <w:pStyle w:val="StdBodyTextBold"/>
              <w:rPr>
                <w:rFonts w:cs="Arial"/>
              </w:rPr>
            </w:pPr>
            <w:r>
              <w:rPr>
                <w:rFonts w:cs="Arial"/>
              </w:rPr>
              <w:t>“</w:t>
            </w:r>
            <w:r w:rsidRPr="00AB0447">
              <w:rPr>
                <w:rFonts w:cs="Arial"/>
              </w:rPr>
              <w:t>General Change in Law</w:t>
            </w:r>
            <w:r>
              <w:rPr>
                <w:rFonts w:cs="Arial"/>
              </w:rPr>
              <w:t>”</w:t>
            </w:r>
          </w:p>
        </w:tc>
        <w:tc>
          <w:tcPr>
            <w:tcW w:w="6803" w:type="dxa"/>
          </w:tcPr>
          <w:p w14:paraId="70FE1699" w14:textId="77777777" w:rsidR="00F67E9E" w:rsidRPr="00AB0447" w:rsidRDefault="00F67E9E" w:rsidP="007F74AA">
            <w:pPr>
              <w:pStyle w:val="StdBodyText"/>
              <w:rPr>
                <w:rFonts w:cs="Arial"/>
              </w:rPr>
            </w:pPr>
            <w:r w:rsidRPr="00AB0447">
              <w:rPr>
                <w:rFonts w:cs="Arial"/>
              </w:rPr>
              <w:t>a Change in Law where the change is of a general legislative nature (including taxation or duties of any sort affecting the Supplier) or which affects or relates to a Comparable Supply;</w:t>
            </w:r>
          </w:p>
        </w:tc>
      </w:tr>
      <w:tr w:rsidR="00F67E9E" w:rsidRPr="00F55457" w14:paraId="5C206C39" w14:textId="77777777" w:rsidTr="007F74AA">
        <w:tc>
          <w:tcPr>
            <w:tcW w:w="2835" w:type="dxa"/>
          </w:tcPr>
          <w:p w14:paraId="007759FC" w14:textId="77777777" w:rsidR="00F67E9E" w:rsidRPr="00AB0447" w:rsidRDefault="00F67E9E" w:rsidP="007F74AA">
            <w:pPr>
              <w:pStyle w:val="StdBodyTextBold"/>
              <w:rPr>
                <w:rFonts w:cs="Arial"/>
              </w:rPr>
            </w:pPr>
            <w:r>
              <w:rPr>
                <w:rFonts w:cs="Arial"/>
              </w:rPr>
              <w:t>“</w:t>
            </w:r>
            <w:r w:rsidRPr="00AB0447">
              <w:rPr>
                <w:rFonts w:cs="Arial"/>
              </w:rPr>
              <w:t>Good Industry Practice</w:t>
            </w:r>
            <w:r>
              <w:rPr>
                <w:rFonts w:cs="Arial"/>
              </w:rPr>
              <w:t>”</w:t>
            </w:r>
          </w:p>
        </w:tc>
        <w:tc>
          <w:tcPr>
            <w:tcW w:w="6803" w:type="dxa"/>
          </w:tcPr>
          <w:p w14:paraId="7DC3D071" w14:textId="77777777" w:rsidR="00F67E9E" w:rsidRPr="00AB0447" w:rsidRDefault="00F67E9E" w:rsidP="007F74AA">
            <w:pPr>
              <w:pStyle w:val="StdBodyText"/>
              <w:rPr>
                <w:rFonts w:cs="Arial"/>
              </w:rPr>
            </w:pPr>
            <w:r w:rsidRPr="00AB0447">
              <w:rPr>
                <w:rFonts w:cs="Arial"/>
              </w:rPr>
              <w:t>at any time the exercise of that degree of care, skill, diligence, prudence, efficiency, foresight and timeliness which would be reasonably expected at such time from a leading and expert supplier of services similar to the Services to a customer like the Authority, such supplier seeking to comply with its contractual obligations in full and complying with applicable Laws;</w:t>
            </w:r>
          </w:p>
        </w:tc>
      </w:tr>
      <w:tr w:rsidR="00F67E9E" w:rsidRPr="00F55457" w14:paraId="73B8096B" w14:textId="77777777" w:rsidTr="007F74AA">
        <w:tc>
          <w:tcPr>
            <w:tcW w:w="2835" w:type="dxa"/>
          </w:tcPr>
          <w:p w14:paraId="62E49EBF" w14:textId="77777777" w:rsidR="00F67E9E" w:rsidRPr="00AB0447" w:rsidRDefault="00F67E9E" w:rsidP="007F74AA">
            <w:pPr>
              <w:pStyle w:val="StdBodyTextBold"/>
              <w:rPr>
                <w:rFonts w:cs="Arial"/>
              </w:rPr>
            </w:pPr>
            <w:r>
              <w:rPr>
                <w:rFonts w:cs="Arial"/>
              </w:rPr>
              <w:t>“</w:t>
            </w:r>
            <w:r w:rsidRPr="00AB0447">
              <w:rPr>
                <w:rFonts w:cs="Arial"/>
              </w:rPr>
              <w:t>Goods</w:t>
            </w:r>
            <w:r>
              <w:rPr>
                <w:rFonts w:cs="Arial"/>
              </w:rPr>
              <w:t>”</w:t>
            </w:r>
          </w:p>
        </w:tc>
        <w:tc>
          <w:tcPr>
            <w:tcW w:w="6803" w:type="dxa"/>
          </w:tcPr>
          <w:p w14:paraId="77AAEFA2" w14:textId="77777777" w:rsidR="00F67E9E" w:rsidRPr="00AB0447" w:rsidRDefault="00F67E9E" w:rsidP="007F74AA">
            <w:pPr>
              <w:pStyle w:val="StdBodyText"/>
              <w:rPr>
                <w:rFonts w:cs="Arial"/>
              </w:rPr>
            </w:pPr>
            <w:r w:rsidRPr="00AB0447">
              <w:rPr>
                <w:rFonts w:cs="Arial"/>
              </w:rPr>
              <w:t xml:space="preserve">has the meaning given in </w:t>
            </w:r>
            <w:bookmarkStart w:id="120" w:name="_9kMHG5YVtCIA9A8IQoWlwxhwCvyIG39CykfBTL3"/>
            <w:bookmarkStart w:id="121" w:name="_9kMHG5YVtCJB9A9JQoWlwxhwCvyIG39CykfBTL3"/>
            <w:bookmarkStart w:id="122" w:name="_9kMHG5YVt4AAFPHIQoWlwxhwCvyIG39CykfBTL3"/>
            <w:r w:rsidRPr="00AB0447">
              <w:rPr>
                <w:rFonts w:cs="Arial"/>
              </w:rPr>
              <w:t xml:space="preserve">Clause </w:t>
            </w:r>
            <w:bookmarkEnd w:id="120"/>
            <w:bookmarkEnd w:id="121"/>
            <w:bookmarkEnd w:id="122"/>
            <w:r w:rsidRPr="00AB0447">
              <w:rPr>
                <w:rFonts w:cs="Arial"/>
              </w:rPr>
              <w:t>9.7 (</w:t>
            </w:r>
            <w:r w:rsidRPr="00C04B2F">
              <w:rPr>
                <w:rFonts w:cs="Arial"/>
                <w:i/>
                <w:iCs/>
              </w:rPr>
              <w:t>Supply of Goods</w:t>
            </w:r>
            <w:r w:rsidRPr="00AB0447">
              <w:rPr>
                <w:rFonts w:cs="Arial"/>
              </w:rPr>
              <w:t>);</w:t>
            </w:r>
          </w:p>
        </w:tc>
      </w:tr>
      <w:tr w:rsidR="00F67E9E" w:rsidRPr="00F55457" w14:paraId="20C66AB3" w14:textId="77777777" w:rsidTr="007F74AA">
        <w:tc>
          <w:tcPr>
            <w:tcW w:w="2835" w:type="dxa"/>
          </w:tcPr>
          <w:p w14:paraId="764E398A" w14:textId="77777777" w:rsidR="00F67E9E" w:rsidRPr="00AB0447" w:rsidRDefault="00F67E9E" w:rsidP="007F74AA">
            <w:pPr>
              <w:pStyle w:val="StdBodyTextBold"/>
              <w:rPr>
                <w:rFonts w:cs="Arial"/>
              </w:rPr>
            </w:pPr>
            <w:r>
              <w:rPr>
                <w:rFonts w:cs="Arial"/>
              </w:rPr>
              <w:t>“</w:t>
            </w:r>
            <w:r w:rsidRPr="00AB0447">
              <w:rPr>
                <w:rFonts w:cs="Arial"/>
              </w:rPr>
              <w:t>Guarantee</w:t>
            </w:r>
            <w:r>
              <w:rPr>
                <w:rFonts w:cs="Arial"/>
              </w:rPr>
              <w:t>”</w:t>
            </w:r>
          </w:p>
        </w:tc>
        <w:tc>
          <w:tcPr>
            <w:tcW w:w="6803" w:type="dxa"/>
          </w:tcPr>
          <w:p w14:paraId="32026416" w14:textId="7A9F0F08" w:rsidR="00F67E9E" w:rsidRPr="00AB0447" w:rsidRDefault="00F67E9E" w:rsidP="007F74AA">
            <w:pPr>
              <w:pStyle w:val="StdBodyText"/>
              <w:rPr>
                <w:rFonts w:cs="Arial"/>
              </w:rPr>
            </w:pPr>
            <w:r w:rsidRPr="00AB0447">
              <w:rPr>
                <w:rFonts w:cs="Arial"/>
              </w:rPr>
              <w:t xml:space="preserve">the deed of guarantee in favour of the Authority entered into by the Guarantor on or about the date of this Contract (which is in the form set out in </w:t>
            </w:r>
            <w:r>
              <w:rPr>
                <w:rFonts w:cs="Arial"/>
              </w:rPr>
              <w:fldChar w:fldCharType="begin"/>
            </w:r>
            <w:r>
              <w:rPr>
                <w:rFonts w:cs="Arial"/>
              </w:rPr>
              <w:instrText xml:space="preserve"> REF Schedule29 \h </w:instrText>
            </w:r>
            <w:r>
              <w:rPr>
                <w:rFonts w:cs="Arial"/>
              </w:rPr>
            </w:r>
            <w:r>
              <w:rPr>
                <w:rFonts w:cs="Arial"/>
              </w:rPr>
              <w:fldChar w:fldCharType="separate"/>
            </w:r>
            <w:r w:rsidR="00302D39" w:rsidRPr="00DD4CC2">
              <w:t>Schedule</w:t>
            </w:r>
            <w:r w:rsidR="00302D39">
              <w:t> </w:t>
            </w:r>
            <w:r w:rsidR="00302D39" w:rsidRPr="00DD4CC2">
              <w:t>29</w:t>
            </w:r>
            <w:r>
              <w:rPr>
                <w:rFonts w:cs="Arial"/>
              </w:rPr>
              <w:fldChar w:fldCharType="end"/>
            </w:r>
            <w:r>
              <w:rPr>
                <w:rFonts w:cs="Arial"/>
              </w:rPr>
              <w:t xml:space="preserve"> (</w:t>
            </w:r>
            <w:r w:rsidRPr="006F064F">
              <w:rPr>
                <w:rFonts w:cs="Arial"/>
                <w:i/>
                <w:iCs/>
              </w:rPr>
              <w:fldChar w:fldCharType="begin"/>
            </w:r>
            <w:r w:rsidRPr="006F064F">
              <w:rPr>
                <w:rFonts w:cs="Arial"/>
                <w:i/>
                <w:iCs/>
              </w:rPr>
              <w:instrText xml:space="preserve"> REF Schedule29Heading \h </w:instrText>
            </w:r>
            <w:r>
              <w:rPr>
                <w:rFonts w:cs="Arial"/>
                <w:i/>
                <w:iCs/>
              </w:rPr>
              <w:instrText xml:space="preserve"> \* MERGEFORMAT </w:instrText>
            </w:r>
            <w:r w:rsidRPr="006F064F">
              <w:rPr>
                <w:rFonts w:cs="Arial"/>
                <w:i/>
                <w:iCs/>
              </w:rPr>
            </w:r>
            <w:r w:rsidRPr="006F064F">
              <w:rPr>
                <w:rFonts w:cs="Arial"/>
                <w:i/>
                <w:iCs/>
              </w:rPr>
              <w:fldChar w:fldCharType="separate"/>
            </w:r>
            <w:r w:rsidR="00302D39" w:rsidRPr="00302D39">
              <w:rPr>
                <w:i/>
                <w:iCs/>
              </w:rPr>
              <w:t>Key Personnel</w:t>
            </w:r>
            <w:r w:rsidRPr="006F064F">
              <w:rPr>
                <w:rFonts w:cs="Arial"/>
                <w:i/>
                <w:iCs/>
              </w:rPr>
              <w:fldChar w:fldCharType="end"/>
            </w:r>
            <w:r>
              <w:rPr>
                <w:rFonts w:cs="Arial"/>
              </w:rPr>
              <w:t>)</w:t>
            </w:r>
            <w:r w:rsidRPr="00AB0447">
              <w:rPr>
                <w:rFonts w:cs="Arial"/>
              </w:rPr>
              <w:t>, or any guarantee acceptable to the Authority that replaces it from time to time;</w:t>
            </w:r>
          </w:p>
        </w:tc>
      </w:tr>
      <w:tr w:rsidR="00F67E9E" w:rsidRPr="00F55457" w14:paraId="5593BBE0" w14:textId="77777777" w:rsidTr="007F74AA">
        <w:tc>
          <w:tcPr>
            <w:tcW w:w="2835" w:type="dxa"/>
          </w:tcPr>
          <w:p w14:paraId="76F80C2C" w14:textId="77777777" w:rsidR="00F67E9E" w:rsidRPr="00F55457" w:rsidRDefault="00F67E9E" w:rsidP="007F74AA">
            <w:pPr>
              <w:pStyle w:val="StdBodyTextBold"/>
              <w:rPr>
                <w:rFonts w:cs="Arial"/>
              </w:rPr>
            </w:pPr>
            <w:r>
              <w:rPr>
                <w:rFonts w:cs="Arial"/>
              </w:rPr>
              <w:t>“</w:t>
            </w:r>
            <w:r w:rsidRPr="00F55457">
              <w:rPr>
                <w:rFonts w:cs="Arial"/>
              </w:rPr>
              <w:t>Guarantor</w:t>
            </w:r>
            <w:r>
              <w:rPr>
                <w:rFonts w:cs="Arial"/>
              </w:rPr>
              <w:t>”</w:t>
            </w:r>
          </w:p>
        </w:tc>
        <w:tc>
          <w:tcPr>
            <w:tcW w:w="6803" w:type="dxa"/>
          </w:tcPr>
          <w:p w14:paraId="24F7E833" w14:textId="77777777" w:rsidR="00F67E9E" w:rsidRPr="00F55457" w:rsidRDefault="00F67E9E" w:rsidP="007F74AA">
            <w:pPr>
              <w:pStyle w:val="StdBodyText"/>
              <w:rPr>
                <w:rFonts w:cs="Arial"/>
              </w:rPr>
            </w:pPr>
            <w:r w:rsidRPr="00B73DD6">
              <w:rPr>
                <w:rFonts w:cs="Arial"/>
                <w:b/>
                <w:highlight w:val="yellow"/>
              </w:rPr>
              <w:t>[insert</w:t>
            </w:r>
            <w:r w:rsidRPr="001C4B30">
              <w:rPr>
                <w:rStyle w:val="StdBodyTextBoldChar"/>
                <w:rFonts w:cs="Arial"/>
                <w:b w:val="0"/>
                <w:bCs/>
                <w:highlight w:val="yellow"/>
              </w:rPr>
              <w:t xml:space="preserve"> name</w:t>
            </w:r>
            <w:r w:rsidRPr="00F55457">
              <w:rPr>
                <w:rFonts w:cs="Arial"/>
                <w:highlight w:val="yellow"/>
              </w:rPr>
              <w:t>]</w:t>
            </w:r>
            <w:r w:rsidRPr="00F55457">
              <w:rPr>
                <w:rFonts w:cs="Arial"/>
              </w:rPr>
              <w:t xml:space="preserve">, a company registered in </w:t>
            </w:r>
            <w:r w:rsidRPr="00B73DD6">
              <w:rPr>
                <w:rFonts w:cs="Arial"/>
                <w:b/>
                <w:highlight w:val="yellow"/>
              </w:rPr>
              <w:t>[insert</w:t>
            </w:r>
            <w:r w:rsidRPr="001C4B30">
              <w:rPr>
                <w:rStyle w:val="StdBodyTextBoldChar"/>
                <w:rFonts w:cs="Arial"/>
                <w:b w:val="0"/>
                <w:bCs/>
                <w:highlight w:val="yellow"/>
              </w:rPr>
              <w:t xml:space="preserve"> country</w:t>
            </w:r>
            <w:r w:rsidRPr="001C4B30">
              <w:rPr>
                <w:rFonts w:cs="Arial"/>
                <w:highlight w:val="yellow"/>
              </w:rPr>
              <w:t>]</w:t>
            </w:r>
            <w:r w:rsidRPr="00F55457">
              <w:rPr>
                <w:rFonts w:cs="Arial"/>
              </w:rPr>
              <w:t xml:space="preserve"> with company number </w:t>
            </w:r>
            <w:r w:rsidRPr="00B73DD6">
              <w:rPr>
                <w:rFonts w:cs="Arial"/>
                <w:b/>
                <w:highlight w:val="yellow"/>
              </w:rPr>
              <w:t>[insert</w:t>
            </w:r>
            <w:r w:rsidRPr="001C4B30">
              <w:rPr>
                <w:rStyle w:val="StdBodyTextBoldChar"/>
                <w:rFonts w:cs="Arial"/>
                <w:b w:val="0"/>
                <w:bCs/>
                <w:highlight w:val="yellow"/>
              </w:rPr>
              <w:t xml:space="preserve"> company number</w:t>
            </w:r>
            <w:r w:rsidRPr="001C4B30">
              <w:rPr>
                <w:rFonts w:cs="Arial"/>
                <w:highlight w:val="yellow"/>
              </w:rPr>
              <w:t>]</w:t>
            </w:r>
            <w:r w:rsidRPr="00F55457">
              <w:rPr>
                <w:rFonts w:cs="Arial"/>
              </w:rPr>
              <w:t xml:space="preserve"> and whose registered office is at </w:t>
            </w:r>
            <w:r w:rsidRPr="00B73DD6">
              <w:rPr>
                <w:rFonts w:cs="Arial"/>
                <w:b/>
                <w:highlight w:val="yellow"/>
              </w:rPr>
              <w:t>[insert</w:t>
            </w:r>
            <w:r w:rsidRPr="001C4B30">
              <w:rPr>
                <w:rStyle w:val="StdBodyTextBoldChar"/>
                <w:rFonts w:cs="Arial"/>
                <w:b w:val="0"/>
                <w:bCs/>
                <w:highlight w:val="yellow"/>
              </w:rPr>
              <w:t xml:space="preserve"> registered address</w:t>
            </w:r>
            <w:r w:rsidRPr="00F55457">
              <w:rPr>
                <w:rFonts w:cs="Arial"/>
                <w:highlight w:val="yellow"/>
              </w:rPr>
              <w:t>]</w:t>
            </w:r>
            <w:r w:rsidRPr="00F55457">
              <w:rPr>
                <w:rFonts w:cs="Arial"/>
              </w:rPr>
              <w:t>;</w:t>
            </w:r>
          </w:p>
        </w:tc>
      </w:tr>
      <w:tr w:rsidR="00F67E9E" w:rsidRPr="00F55457" w14:paraId="0EC7AF0D" w14:textId="77777777" w:rsidTr="007F74AA">
        <w:tc>
          <w:tcPr>
            <w:tcW w:w="2835" w:type="dxa"/>
          </w:tcPr>
          <w:p w14:paraId="1F9B67EE" w14:textId="77777777" w:rsidR="00F67E9E" w:rsidRPr="00F55457" w:rsidRDefault="00F67E9E" w:rsidP="007F74AA">
            <w:pPr>
              <w:pStyle w:val="StdBodyTextBold"/>
              <w:rPr>
                <w:rFonts w:cs="Arial"/>
              </w:rPr>
            </w:pPr>
            <w:r>
              <w:rPr>
                <w:rFonts w:cs="Arial"/>
              </w:rPr>
              <w:t>“</w:t>
            </w:r>
            <w:r w:rsidRPr="00F55457">
              <w:rPr>
                <w:rFonts w:cs="Arial"/>
              </w:rPr>
              <w:t>Halifax Abuse Principle</w:t>
            </w:r>
            <w:r>
              <w:rPr>
                <w:rFonts w:cs="Arial"/>
              </w:rPr>
              <w:t>”</w:t>
            </w:r>
          </w:p>
        </w:tc>
        <w:tc>
          <w:tcPr>
            <w:tcW w:w="6803" w:type="dxa"/>
          </w:tcPr>
          <w:p w14:paraId="27EEC9FD" w14:textId="77777777" w:rsidR="00F67E9E" w:rsidRPr="00F55457" w:rsidRDefault="00F67E9E" w:rsidP="007F74AA">
            <w:pPr>
              <w:pStyle w:val="StdBodyText"/>
              <w:rPr>
                <w:rFonts w:cs="Arial"/>
              </w:rPr>
            </w:pPr>
            <w:r w:rsidRPr="00F55457">
              <w:rPr>
                <w:rFonts w:cs="Arial"/>
              </w:rPr>
              <w:t>the principle explained in the CJEU Case C-255/02 Halifax and others;</w:t>
            </w:r>
          </w:p>
        </w:tc>
      </w:tr>
      <w:tr w:rsidR="00F67E9E" w:rsidRPr="00F55457" w14:paraId="3FEAB1CD" w14:textId="77777777" w:rsidTr="007F74AA">
        <w:tc>
          <w:tcPr>
            <w:tcW w:w="2835" w:type="dxa"/>
          </w:tcPr>
          <w:p w14:paraId="1D934BC8" w14:textId="77777777" w:rsidR="00F67E9E" w:rsidRPr="00F55457" w:rsidRDefault="00F67E9E" w:rsidP="007F74AA">
            <w:pPr>
              <w:pStyle w:val="StdBodyTextBold"/>
              <w:rPr>
                <w:rFonts w:cs="Arial"/>
              </w:rPr>
            </w:pPr>
            <w:r>
              <w:rPr>
                <w:rFonts w:cs="Arial"/>
              </w:rPr>
              <w:t>“</w:t>
            </w:r>
            <w:r w:rsidRPr="00F55457">
              <w:rPr>
                <w:rFonts w:cs="Arial"/>
              </w:rPr>
              <w:t>Health and Safety Policy</w:t>
            </w:r>
            <w:r>
              <w:rPr>
                <w:rFonts w:cs="Arial"/>
              </w:rPr>
              <w:t>”</w:t>
            </w:r>
          </w:p>
        </w:tc>
        <w:tc>
          <w:tcPr>
            <w:tcW w:w="6803" w:type="dxa"/>
          </w:tcPr>
          <w:p w14:paraId="36CF0B21" w14:textId="77777777" w:rsidR="00F67E9E" w:rsidRPr="00F55457" w:rsidRDefault="00F67E9E" w:rsidP="007F74AA">
            <w:pPr>
              <w:pStyle w:val="StdBodyText"/>
              <w:rPr>
                <w:rFonts w:cs="Arial"/>
              </w:rPr>
            </w:pPr>
            <w:r w:rsidRPr="00F55457">
              <w:rPr>
                <w:rFonts w:cs="Arial"/>
              </w:rPr>
              <w:t xml:space="preserve">the health and safety policy of the Authority and/or other relevant </w:t>
            </w:r>
            <w:r>
              <w:rPr>
                <w:rFonts w:cs="Arial"/>
              </w:rPr>
              <w:t>Crown Body</w:t>
            </w:r>
            <w:r w:rsidRPr="00F55457">
              <w:rPr>
                <w:rFonts w:cs="Arial"/>
              </w:rPr>
              <w:t xml:space="preserve"> as provided to the Supplier on or before the Effective Date and as subsequently provided to the Supplier from time to time except any provision of any such subsequently provided policy that cannot be reasonably reconciled to ensuring compliance with applicable Law regarding health and safety;</w:t>
            </w:r>
          </w:p>
        </w:tc>
      </w:tr>
      <w:tr w:rsidR="00F67E9E" w:rsidRPr="00F55457" w14:paraId="53642E04" w14:textId="77777777" w:rsidTr="007F74AA">
        <w:tc>
          <w:tcPr>
            <w:tcW w:w="2835" w:type="dxa"/>
          </w:tcPr>
          <w:p w14:paraId="29B3E3E2" w14:textId="77777777" w:rsidR="00F67E9E" w:rsidRPr="00F55457" w:rsidRDefault="00F67E9E" w:rsidP="007F74AA">
            <w:pPr>
              <w:pStyle w:val="StdBodyTextBold"/>
              <w:rPr>
                <w:rFonts w:cs="Arial"/>
              </w:rPr>
            </w:pPr>
            <w:r>
              <w:rPr>
                <w:rFonts w:cs="Arial"/>
              </w:rPr>
              <w:t>“</w:t>
            </w:r>
            <w:r w:rsidRPr="00F55457">
              <w:rPr>
                <w:rFonts w:cs="Arial"/>
              </w:rPr>
              <w:t>HMRC</w:t>
            </w:r>
            <w:r>
              <w:rPr>
                <w:rFonts w:cs="Arial"/>
              </w:rPr>
              <w:t>”</w:t>
            </w:r>
          </w:p>
        </w:tc>
        <w:tc>
          <w:tcPr>
            <w:tcW w:w="6803" w:type="dxa"/>
          </w:tcPr>
          <w:p w14:paraId="753A29D8" w14:textId="77777777" w:rsidR="00F67E9E" w:rsidRPr="00F55457" w:rsidRDefault="00F67E9E" w:rsidP="007F74AA">
            <w:pPr>
              <w:pStyle w:val="StdBodyText"/>
              <w:rPr>
                <w:rFonts w:cs="Arial"/>
              </w:rPr>
            </w:pPr>
            <w:r w:rsidRPr="00F55457">
              <w:rPr>
                <w:rFonts w:cs="Arial"/>
              </w:rPr>
              <w:t>HM Revenue &amp; Customs;</w:t>
            </w:r>
          </w:p>
        </w:tc>
      </w:tr>
      <w:tr w:rsidR="00F67E9E" w:rsidRPr="00F55457" w14:paraId="462B3724" w14:textId="77777777" w:rsidTr="007F74AA">
        <w:tc>
          <w:tcPr>
            <w:tcW w:w="2835" w:type="dxa"/>
          </w:tcPr>
          <w:p w14:paraId="454634AE" w14:textId="77777777" w:rsidR="00F67E9E" w:rsidRPr="00F55457" w:rsidRDefault="00F67E9E" w:rsidP="007F74AA">
            <w:pPr>
              <w:pStyle w:val="StdBodyTextBold"/>
              <w:rPr>
                <w:rFonts w:cs="Arial"/>
              </w:rPr>
            </w:pPr>
            <w:r>
              <w:rPr>
                <w:rFonts w:cs="Arial"/>
              </w:rPr>
              <w:t>“</w:t>
            </w:r>
            <w:r w:rsidRPr="00F55457">
              <w:rPr>
                <w:rFonts w:cs="Arial"/>
              </w:rPr>
              <w:t>Impact Assessment</w:t>
            </w:r>
            <w:r>
              <w:rPr>
                <w:rFonts w:cs="Arial"/>
              </w:rPr>
              <w:t>”</w:t>
            </w:r>
          </w:p>
        </w:tc>
        <w:tc>
          <w:tcPr>
            <w:tcW w:w="6803" w:type="dxa"/>
          </w:tcPr>
          <w:p w14:paraId="315FE043" w14:textId="7644B1F7" w:rsidR="00F67E9E" w:rsidRPr="00F55457" w:rsidRDefault="00F67E9E" w:rsidP="007F74AA">
            <w:pPr>
              <w:pStyle w:val="StdBodyText"/>
              <w:rPr>
                <w:rFonts w:cs="Arial"/>
              </w:rPr>
            </w:pPr>
            <w:r w:rsidRPr="00F55457">
              <w:rPr>
                <w:rFonts w:cs="Arial"/>
              </w:rPr>
              <w:t xml:space="preserve">has the meaning given in </w:t>
            </w:r>
            <w:r>
              <w:rPr>
                <w:rFonts w:cs="Arial"/>
              </w:rPr>
              <w:fldChar w:fldCharType="begin"/>
            </w:r>
            <w:r>
              <w:rPr>
                <w:rFonts w:cs="Arial"/>
              </w:rPr>
              <w:instrText xml:space="preserve"> REF Schedule22 \h </w:instrText>
            </w:r>
            <w:r>
              <w:rPr>
                <w:rFonts w:cs="Arial"/>
              </w:rPr>
            </w:r>
            <w:r>
              <w:rPr>
                <w:rFonts w:cs="Arial"/>
              </w:rPr>
              <w:fldChar w:fldCharType="separate"/>
            </w:r>
            <w:r w:rsidR="00302D39" w:rsidRPr="005D0525">
              <w:t>Schedule</w:t>
            </w:r>
            <w:r w:rsidR="00302D39">
              <w:t> </w:t>
            </w:r>
            <w:r w:rsidR="00302D39" w:rsidRPr="005D0525">
              <w:t>22</w:t>
            </w:r>
            <w:r>
              <w:rPr>
                <w:rFonts w:cs="Arial"/>
              </w:rPr>
              <w:fldChar w:fldCharType="end"/>
            </w:r>
            <w:r>
              <w:rPr>
                <w:rFonts w:cs="Arial"/>
              </w:rPr>
              <w:t xml:space="preserve"> (</w:t>
            </w:r>
            <w:r w:rsidRPr="002F30DB">
              <w:rPr>
                <w:rFonts w:cs="Arial"/>
                <w:i/>
                <w:iCs/>
              </w:rPr>
              <w:fldChar w:fldCharType="begin"/>
            </w:r>
            <w:r w:rsidRPr="002F30DB">
              <w:rPr>
                <w:rFonts w:cs="Arial"/>
                <w:i/>
                <w:iCs/>
              </w:rPr>
              <w:instrText xml:space="preserve"> REF Schedule22Heading \h </w:instrText>
            </w:r>
            <w:r>
              <w:rPr>
                <w:rFonts w:cs="Arial"/>
                <w:i/>
                <w:iCs/>
              </w:rPr>
              <w:instrText xml:space="preserve"> \* MERGEFORMAT </w:instrText>
            </w:r>
            <w:r w:rsidRPr="002F30DB">
              <w:rPr>
                <w:rFonts w:cs="Arial"/>
                <w:i/>
                <w:iCs/>
              </w:rPr>
            </w:r>
            <w:r w:rsidRPr="002F30DB">
              <w:rPr>
                <w:rFonts w:cs="Arial"/>
                <w:i/>
                <w:iCs/>
              </w:rPr>
              <w:fldChar w:fldCharType="separate"/>
            </w:r>
            <w:r w:rsidR="00302D39" w:rsidRPr="00302D39">
              <w:rPr>
                <w:i/>
                <w:iCs/>
              </w:rPr>
              <w:t>Change Control Procedure</w:t>
            </w:r>
            <w:r w:rsidRPr="002F30DB">
              <w:rPr>
                <w:rFonts w:cs="Arial"/>
                <w:i/>
                <w:iCs/>
              </w:rPr>
              <w:fldChar w:fldCharType="end"/>
            </w:r>
            <w:r>
              <w:rPr>
                <w:rFonts w:cs="Arial"/>
              </w:rPr>
              <w:t>)</w:t>
            </w:r>
            <w:r w:rsidRPr="00F55457">
              <w:rPr>
                <w:rFonts w:cs="Arial"/>
              </w:rPr>
              <w:t>;</w:t>
            </w:r>
          </w:p>
        </w:tc>
      </w:tr>
      <w:tr w:rsidR="00F67E9E" w:rsidRPr="00F55457" w14:paraId="1E54FD39" w14:textId="77777777" w:rsidTr="007F74AA">
        <w:tc>
          <w:tcPr>
            <w:tcW w:w="2835" w:type="dxa"/>
          </w:tcPr>
          <w:p w14:paraId="02EF40E4" w14:textId="77777777" w:rsidR="00F67E9E" w:rsidRPr="00F55457" w:rsidRDefault="00F67E9E" w:rsidP="007F74AA">
            <w:pPr>
              <w:pStyle w:val="StdBodyTextBold"/>
              <w:rPr>
                <w:rFonts w:cs="Arial"/>
              </w:rPr>
            </w:pPr>
            <w:r>
              <w:rPr>
                <w:rFonts w:cs="Arial"/>
              </w:rPr>
              <w:t>“</w:t>
            </w:r>
            <w:r w:rsidRPr="00F55457">
              <w:rPr>
                <w:rFonts w:cs="Arial"/>
              </w:rPr>
              <w:t>Implementation Plan</w:t>
            </w:r>
            <w:r>
              <w:rPr>
                <w:rFonts w:cs="Arial"/>
              </w:rPr>
              <w:t>”</w:t>
            </w:r>
          </w:p>
        </w:tc>
        <w:tc>
          <w:tcPr>
            <w:tcW w:w="6803" w:type="dxa"/>
          </w:tcPr>
          <w:p w14:paraId="2F991204" w14:textId="05B8405A" w:rsidR="00F67E9E" w:rsidRPr="00F55457" w:rsidRDefault="00F67E9E" w:rsidP="007F74AA">
            <w:pPr>
              <w:pStyle w:val="StdBodyText"/>
              <w:rPr>
                <w:rFonts w:cs="Arial"/>
              </w:rPr>
            </w:pPr>
            <w:r w:rsidRPr="00F55457">
              <w:rPr>
                <w:rFonts w:cs="Arial"/>
              </w:rPr>
              <w:t xml:space="preserve">the Outline Implementation Plan or (if and when approved by the Authority pursuant to </w:t>
            </w:r>
            <w:bookmarkStart w:id="123" w:name="_9kMJI5YVt4EE6CEZGpqgyts0F"/>
            <w:r w:rsidRPr="003D320B">
              <w:rPr>
                <w:rFonts w:cs="Arial"/>
              </w:rPr>
              <w:t>Paragraph</w:t>
            </w:r>
            <w:r w:rsidRPr="00F55457">
              <w:rPr>
                <w:rFonts w:cs="Arial"/>
              </w:rPr>
              <w:t xml:space="preserve"> </w:t>
            </w:r>
            <w:bookmarkEnd w:id="123"/>
            <w:r w:rsidRPr="003D320B">
              <w:rPr>
                <w:rFonts w:cs="Arial"/>
              </w:rPr>
              <w:fldChar w:fldCharType="begin"/>
            </w:r>
            <w:r w:rsidRPr="00F55457">
              <w:rPr>
                <w:rFonts w:cs="Arial"/>
              </w:rPr>
              <w:instrText xml:space="preserve"> REF _Ref_ContractCompanion_9kb9Ur9FB \w \h  \* MERGEFORMAT </w:instrText>
            </w:r>
            <w:r w:rsidRPr="003D320B">
              <w:rPr>
                <w:rFonts w:cs="Arial"/>
              </w:rPr>
            </w:r>
            <w:r w:rsidRPr="003D320B">
              <w:rPr>
                <w:rFonts w:cs="Arial"/>
              </w:rPr>
              <w:fldChar w:fldCharType="separate"/>
            </w:r>
            <w:r w:rsidR="00302D39">
              <w:rPr>
                <w:rFonts w:cs="Arial"/>
              </w:rPr>
              <w:t>3</w:t>
            </w:r>
            <w:r w:rsidRPr="003D320B">
              <w:rPr>
                <w:rFonts w:cs="Arial"/>
              </w:rPr>
              <w:fldChar w:fldCharType="end"/>
            </w:r>
            <w:r w:rsidRPr="00F55457">
              <w:rPr>
                <w:rFonts w:cs="Arial"/>
              </w:rPr>
              <w:t xml:space="preserve"> of </w:t>
            </w:r>
            <w:r>
              <w:rPr>
                <w:rFonts w:cs="Arial"/>
              </w:rPr>
              <w:fldChar w:fldCharType="begin"/>
            </w:r>
            <w:r>
              <w:rPr>
                <w:rFonts w:cs="Arial"/>
              </w:rPr>
              <w:instrText xml:space="preserve"> REF Schedule13 \h </w:instrText>
            </w:r>
            <w:r>
              <w:rPr>
                <w:rFonts w:cs="Arial"/>
              </w:rPr>
            </w:r>
            <w:r>
              <w:rPr>
                <w:rFonts w:cs="Arial"/>
              </w:rPr>
              <w:fldChar w:fldCharType="separate"/>
            </w:r>
            <w:r w:rsidR="00302D39" w:rsidRPr="005D0525">
              <w:t>Schedule</w:t>
            </w:r>
            <w:r w:rsidR="00302D39">
              <w:t> </w:t>
            </w:r>
            <w:r w:rsidR="00302D39" w:rsidRPr="005D0525">
              <w:t>13</w:t>
            </w:r>
            <w:r>
              <w:rPr>
                <w:rFonts w:cs="Arial"/>
              </w:rPr>
              <w:fldChar w:fldCharType="end"/>
            </w:r>
            <w:r>
              <w:rPr>
                <w:rFonts w:cs="Arial"/>
              </w:rPr>
              <w:t xml:space="preserve"> (</w:t>
            </w:r>
            <w:r w:rsidRPr="00A22335">
              <w:rPr>
                <w:rFonts w:cs="Arial"/>
                <w:i/>
                <w:iCs/>
              </w:rPr>
              <w:fldChar w:fldCharType="begin"/>
            </w:r>
            <w:r w:rsidRPr="00A22335">
              <w:rPr>
                <w:rFonts w:cs="Arial"/>
                <w:i/>
                <w:iCs/>
              </w:rPr>
              <w:instrText xml:space="preserve"> REF Schedule13Heading \h </w:instrText>
            </w:r>
            <w:r>
              <w:rPr>
                <w:rFonts w:cs="Arial"/>
                <w:i/>
                <w:iCs/>
              </w:rPr>
              <w:instrText xml:space="preserve"> \* MERGEFORMAT </w:instrText>
            </w:r>
            <w:r w:rsidRPr="00A22335">
              <w:rPr>
                <w:rFonts w:cs="Arial"/>
                <w:i/>
                <w:iCs/>
              </w:rPr>
            </w:r>
            <w:r w:rsidRPr="00A22335">
              <w:rPr>
                <w:rFonts w:cs="Arial"/>
                <w:i/>
                <w:iCs/>
              </w:rPr>
              <w:fldChar w:fldCharType="separate"/>
            </w:r>
            <w:r w:rsidR="00302D39" w:rsidRPr="00302D39">
              <w:rPr>
                <w:i/>
                <w:iCs/>
              </w:rPr>
              <w:t>Implementation Plan</w:t>
            </w:r>
            <w:r w:rsidRPr="00A22335">
              <w:rPr>
                <w:rFonts w:cs="Arial"/>
                <w:i/>
                <w:iCs/>
              </w:rPr>
              <w:fldChar w:fldCharType="end"/>
            </w:r>
            <w:r>
              <w:rPr>
                <w:rFonts w:cs="Arial"/>
              </w:rPr>
              <w:t>)</w:t>
            </w:r>
            <w:r w:rsidRPr="00F55457">
              <w:rPr>
                <w:rFonts w:cs="Arial"/>
              </w:rPr>
              <w:t xml:space="preserve">) the Detailed Implementation Plan as updated in accordance with </w:t>
            </w:r>
            <w:bookmarkStart w:id="124" w:name="_9kMJI5YVt4EE6EJcGpqgyts0G"/>
            <w:r w:rsidRPr="003D320B">
              <w:rPr>
                <w:rFonts w:cs="Arial"/>
              </w:rPr>
              <w:t>Paragraph</w:t>
            </w:r>
            <w:r w:rsidRPr="00F55457">
              <w:rPr>
                <w:rFonts w:cs="Arial"/>
              </w:rPr>
              <w:t xml:space="preserve"> </w:t>
            </w:r>
            <w:bookmarkEnd w:id="124"/>
            <w:r w:rsidRPr="003D320B">
              <w:rPr>
                <w:rFonts w:cs="Arial"/>
              </w:rPr>
              <w:fldChar w:fldCharType="begin"/>
            </w:r>
            <w:r w:rsidRPr="00F55457">
              <w:rPr>
                <w:rFonts w:cs="Arial"/>
              </w:rPr>
              <w:instrText xml:space="preserve"> REF _Ref44508311 \w \h  \* MERGEFORMAT </w:instrText>
            </w:r>
            <w:r w:rsidRPr="003D320B">
              <w:rPr>
                <w:rFonts w:cs="Arial"/>
              </w:rPr>
            </w:r>
            <w:r w:rsidRPr="003D320B">
              <w:rPr>
                <w:rFonts w:cs="Arial"/>
              </w:rPr>
              <w:fldChar w:fldCharType="separate"/>
            </w:r>
            <w:r w:rsidR="00302D39">
              <w:rPr>
                <w:rFonts w:cs="Arial"/>
              </w:rPr>
              <w:t>4</w:t>
            </w:r>
            <w:r w:rsidRPr="003D320B">
              <w:rPr>
                <w:rFonts w:cs="Arial"/>
              </w:rPr>
              <w:fldChar w:fldCharType="end"/>
            </w:r>
            <w:r w:rsidRPr="00F55457">
              <w:rPr>
                <w:rFonts w:cs="Arial"/>
              </w:rPr>
              <w:t xml:space="preserve"> of </w:t>
            </w:r>
            <w:r>
              <w:rPr>
                <w:rFonts w:cs="Arial"/>
              </w:rPr>
              <w:fldChar w:fldCharType="begin"/>
            </w:r>
            <w:r>
              <w:rPr>
                <w:rFonts w:cs="Arial"/>
              </w:rPr>
              <w:instrText xml:space="preserve"> REF Schedule13 \h </w:instrText>
            </w:r>
            <w:r>
              <w:rPr>
                <w:rFonts w:cs="Arial"/>
              </w:rPr>
            </w:r>
            <w:r>
              <w:rPr>
                <w:rFonts w:cs="Arial"/>
              </w:rPr>
              <w:fldChar w:fldCharType="separate"/>
            </w:r>
            <w:r w:rsidR="00302D39" w:rsidRPr="005D0525">
              <w:t>Schedule</w:t>
            </w:r>
            <w:r w:rsidR="00302D39">
              <w:t> </w:t>
            </w:r>
            <w:r w:rsidR="00302D39" w:rsidRPr="005D0525">
              <w:t>13</w:t>
            </w:r>
            <w:r>
              <w:rPr>
                <w:rFonts w:cs="Arial"/>
              </w:rPr>
              <w:fldChar w:fldCharType="end"/>
            </w:r>
            <w:r>
              <w:rPr>
                <w:rFonts w:cs="Arial"/>
              </w:rPr>
              <w:t xml:space="preserve"> (</w:t>
            </w:r>
            <w:r w:rsidRPr="00A22335">
              <w:rPr>
                <w:rFonts w:cs="Arial"/>
                <w:i/>
                <w:iCs/>
              </w:rPr>
              <w:fldChar w:fldCharType="begin"/>
            </w:r>
            <w:r w:rsidRPr="00A22335">
              <w:rPr>
                <w:rFonts w:cs="Arial"/>
                <w:i/>
                <w:iCs/>
              </w:rPr>
              <w:instrText xml:space="preserve"> REF Schedule13Heading \h </w:instrText>
            </w:r>
            <w:r>
              <w:rPr>
                <w:rFonts w:cs="Arial"/>
                <w:i/>
                <w:iCs/>
              </w:rPr>
              <w:instrText xml:space="preserve"> \* MERGEFORMAT </w:instrText>
            </w:r>
            <w:r w:rsidRPr="00A22335">
              <w:rPr>
                <w:rFonts w:cs="Arial"/>
                <w:i/>
                <w:iCs/>
              </w:rPr>
            </w:r>
            <w:r w:rsidRPr="00A22335">
              <w:rPr>
                <w:rFonts w:cs="Arial"/>
                <w:i/>
                <w:iCs/>
              </w:rPr>
              <w:fldChar w:fldCharType="separate"/>
            </w:r>
            <w:r w:rsidR="00302D39" w:rsidRPr="00302D39">
              <w:rPr>
                <w:i/>
                <w:iCs/>
              </w:rPr>
              <w:t>Implementation Plan</w:t>
            </w:r>
            <w:r w:rsidRPr="00A22335">
              <w:rPr>
                <w:rFonts w:cs="Arial"/>
                <w:i/>
                <w:iCs/>
              </w:rPr>
              <w:fldChar w:fldCharType="end"/>
            </w:r>
            <w:r>
              <w:rPr>
                <w:rFonts w:cs="Arial"/>
              </w:rPr>
              <w:t>)</w:t>
            </w:r>
            <w:r w:rsidRPr="00F55457">
              <w:rPr>
                <w:rFonts w:cs="Arial"/>
              </w:rPr>
              <w:t xml:space="preserve"> from time to time;</w:t>
            </w:r>
          </w:p>
        </w:tc>
      </w:tr>
      <w:tr w:rsidR="00F67E9E" w:rsidRPr="00F55457" w14:paraId="57AE724B" w14:textId="77777777" w:rsidTr="007F74AA">
        <w:tc>
          <w:tcPr>
            <w:tcW w:w="2835" w:type="dxa"/>
          </w:tcPr>
          <w:p w14:paraId="3D832F0D" w14:textId="77777777" w:rsidR="00F67E9E" w:rsidRPr="00F55457" w:rsidRDefault="00F67E9E" w:rsidP="007F74AA">
            <w:pPr>
              <w:pStyle w:val="StdBodyTextBold"/>
              <w:rPr>
                <w:rFonts w:cs="Arial"/>
              </w:rPr>
            </w:pPr>
            <w:r>
              <w:rPr>
                <w:rFonts w:cs="Arial"/>
              </w:rPr>
              <w:t>“</w:t>
            </w:r>
            <w:r w:rsidRPr="00F55457">
              <w:rPr>
                <w:rFonts w:cs="Arial"/>
              </w:rPr>
              <w:t>Implementation Services</w:t>
            </w:r>
            <w:r>
              <w:rPr>
                <w:rFonts w:cs="Arial"/>
              </w:rPr>
              <w:t>”</w:t>
            </w:r>
          </w:p>
        </w:tc>
        <w:tc>
          <w:tcPr>
            <w:tcW w:w="6803" w:type="dxa"/>
          </w:tcPr>
          <w:p w14:paraId="6CB0DA2A" w14:textId="77777777" w:rsidR="00F67E9E" w:rsidRPr="00F55457" w:rsidRDefault="00F67E9E" w:rsidP="007F74AA">
            <w:pPr>
              <w:pStyle w:val="StdBodyText"/>
              <w:rPr>
                <w:rFonts w:cs="Arial"/>
              </w:rPr>
            </w:pPr>
            <w:r w:rsidRPr="00F55457">
              <w:rPr>
                <w:rFonts w:cs="Arial"/>
              </w:rPr>
              <w:t>the implementation services described as such in the Services Description;</w:t>
            </w:r>
          </w:p>
        </w:tc>
      </w:tr>
      <w:tr w:rsidR="00F67E9E" w:rsidRPr="00F55457" w14:paraId="3FFE0479" w14:textId="77777777" w:rsidTr="007F74AA">
        <w:tc>
          <w:tcPr>
            <w:tcW w:w="2835" w:type="dxa"/>
          </w:tcPr>
          <w:p w14:paraId="5A639CF5" w14:textId="77777777" w:rsidR="00F67E9E" w:rsidRPr="00F55457" w:rsidRDefault="00F67E9E" w:rsidP="007F74AA">
            <w:pPr>
              <w:pStyle w:val="StdBodyTextBold"/>
              <w:rPr>
                <w:rFonts w:cs="Arial"/>
              </w:rPr>
            </w:pPr>
            <w:r>
              <w:rPr>
                <w:rFonts w:cs="Arial"/>
              </w:rPr>
              <w:t>“</w:t>
            </w:r>
            <w:r w:rsidRPr="00F55457">
              <w:rPr>
                <w:rFonts w:cs="Arial"/>
              </w:rPr>
              <w:t>Implementation Services Commencement Date</w:t>
            </w:r>
            <w:r>
              <w:rPr>
                <w:rFonts w:cs="Arial"/>
              </w:rPr>
              <w:t>”</w:t>
            </w:r>
          </w:p>
        </w:tc>
        <w:tc>
          <w:tcPr>
            <w:tcW w:w="6803" w:type="dxa"/>
          </w:tcPr>
          <w:p w14:paraId="3A894A8E" w14:textId="77777777" w:rsidR="00F67E9E" w:rsidRPr="00F55457" w:rsidRDefault="00F67E9E" w:rsidP="007F74AA">
            <w:pPr>
              <w:pStyle w:val="StdBodyText"/>
              <w:rPr>
                <w:rFonts w:cs="Arial"/>
              </w:rPr>
            </w:pPr>
            <w:r w:rsidRPr="00F55457">
              <w:rPr>
                <w:rFonts w:cs="Arial"/>
              </w:rPr>
              <w:t xml:space="preserve">the date on which the Supplier is to commence provision of the first of the Services, being </w:t>
            </w:r>
            <w:r w:rsidRPr="00B73DD6">
              <w:rPr>
                <w:rFonts w:cs="Arial"/>
                <w:b/>
                <w:highlight w:val="yellow"/>
              </w:rPr>
              <w:t>[insert</w:t>
            </w:r>
            <w:r w:rsidRPr="001C4B30">
              <w:rPr>
                <w:rStyle w:val="StdBodyTextBoldChar"/>
                <w:rFonts w:cs="Arial"/>
                <w:b w:val="0"/>
                <w:bCs/>
                <w:highlight w:val="yellow"/>
              </w:rPr>
              <w:t xml:space="preserve"> date</w:t>
            </w:r>
            <w:r w:rsidRPr="001C4B30">
              <w:rPr>
                <w:rFonts w:cs="Arial"/>
                <w:highlight w:val="yellow"/>
              </w:rPr>
              <w:t>]</w:t>
            </w:r>
            <w:r w:rsidRPr="001C4B30">
              <w:rPr>
                <w:rFonts w:cs="Arial"/>
              </w:rPr>
              <w:t>;</w:t>
            </w:r>
          </w:p>
        </w:tc>
      </w:tr>
      <w:tr w:rsidR="00F67E9E" w:rsidRPr="00F55457" w14:paraId="25D3D792" w14:textId="77777777" w:rsidTr="007F74AA">
        <w:tc>
          <w:tcPr>
            <w:tcW w:w="2835" w:type="dxa"/>
          </w:tcPr>
          <w:p w14:paraId="0EFE7C76" w14:textId="77777777" w:rsidR="00F67E9E" w:rsidRPr="00AB0447" w:rsidRDefault="00F67E9E" w:rsidP="007F74AA">
            <w:pPr>
              <w:pStyle w:val="StdBodyTextBold"/>
              <w:rPr>
                <w:rFonts w:cs="Arial"/>
              </w:rPr>
            </w:pPr>
            <w:r>
              <w:rPr>
                <w:rFonts w:cs="Arial"/>
              </w:rPr>
              <w:t>“</w:t>
            </w:r>
            <w:r w:rsidRPr="00AB0447">
              <w:rPr>
                <w:rFonts w:cs="Arial"/>
              </w:rPr>
              <w:t>Indemnified Person</w:t>
            </w:r>
            <w:r>
              <w:rPr>
                <w:rFonts w:cs="Arial"/>
              </w:rPr>
              <w:t>”</w:t>
            </w:r>
          </w:p>
        </w:tc>
        <w:tc>
          <w:tcPr>
            <w:tcW w:w="6803" w:type="dxa"/>
          </w:tcPr>
          <w:p w14:paraId="53F980ED" w14:textId="77777777" w:rsidR="00F67E9E" w:rsidRPr="00AB0447" w:rsidRDefault="00F67E9E" w:rsidP="007F74AA">
            <w:pPr>
              <w:pStyle w:val="StdBodyText"/>
              <w:rPr>
                <w:rFonts w:cs="Arial"/>
              </w:rPr>
            </w:pPr>
            <w:r w:rsidRPr="00AB0447">
              <w:rPr>
                <w:rFonts w:cs="Arial"/>
              </w:rPr>
              <w:t>the Authority and each and every person to whom the Authority (or any direct or indirect sub-licensee of the Authority) sub-licenses, assigns or novates any Relevant IPRs or rights in Relevant IPRs in accordance with this Contract;</w:t>
            </w:r>
          </w:p>
        </w:tc>
      </w:tr>
      <w:tr w:rsidR="00F67E9E" w:rsidRPr="00F55457" w14:paraId="2D2D700E" w14:textId="77777777" w:rsidTr="007F74AA">
        <w:tc>
          <w:tcPr>
            <w:tcW w:w="2835" w:type="dxa"/>
          </w:tcPr>
          <w:p w14:paraId="4B01BCDA" w14:textId="77777777" w:rsidR="00F67E9E" w:rsidRPr="00F55457" w:rsidRDefault="00F67E9E" w:rsidP="007F74AA">
            <w:pPr>
              <w:pStyle w:val="StdBodyTextBold"/>
              <w:rPr>
                <w:rFonts w:cs="Arial"/>
              </w:rPr>
            </w:pPr>
            <w:r>
              <w:rPr>
                <w:rFonts w:cs="Arial"/>
              </w:rPr>
              <w:t>“</w:t>
            </w:r>
            <w:r w:rsidRPr="00F55457">
              <w:rPr>
                <w:rFonts w:cs="Arial"/>
              </w:rPr>
              <w:t>Independent Control</w:t>
            </w:r>
            <w:r>
              <w:rPr>
                <w:rFonts w:cs="Arial"/>
              </w:rPr>
              <w:t>ler”</w:t>
            </w:r>
          </w:p>
        </w:tc>
        <w:tc>
          <w:tcPr>
            <w:tcW w:w="6803" w:type="dxa"/>
          </w:tcPr>
          <w:p w14:paraId="1CB6D59C" w14:textId="77777777" w:rsidR="00F67E9E" w:rsidRPr="00995964" w:rsidRDefault="00F67E9E" w:rsidP="007F74AA">
            <w:pPr>
              <w:pStyle w:val="StdBodyText"/>
              <w:rPr>
                <w:rFonts w:cs="Arial"/>
              </w:rPr>
            </w:pPr>
            <w:r w:rsidRPr="00995964">
              <w:t>a party which is Controller of the same Personal Data as the other Party and there is no element of joint control with regards to that Personal Data;</w:t>
            </w:r>
          </w:p>
        </w:tc>
      </w:tr>
      <w:tr w:rsidR="00F67E9E" w:rsidRPr="00F55457" w14:paraId="31A2E78E" w14:textId="77777777" w:rsidTr="007F74AA">
        <w:tc>
          <w:tcPr>
            <w:tcW w:w="2835" w:type="dxa"/>
          </w:tcPr>
          <w:p w14:paraId="43308D45" w14:textId="77777777" w:rsidR="00F67E9E" w:rsidRPr="00F55457" w:rsidRDefault="00F67E9E" w:rsidP="007F74AA">
            <w:pPr>
              <w:pStyle w:val="StdBodyTextBold"/>
              <w:rPr>
                <w:rFonts w:cs="Arial"/>
              </w:rPr>
            </w:pPr>
            <w:r>
              <w:rPr>
                <w:rFonts w:cs="Arial"/>
              </w:rPr>
              <w:t>“</w:t>
            </w:r>
            <w:r w:rsidRPr="00F55457">
              <w:rPr>
                <w:rFonts w:cs="Arial"/>
              </w:rPr>
              <w:t>Information</w:t>
            </w:r>
            <w:r>
              <w:rPr>
                <w:rFonts w:cs="Arial"/>
              </w:rPr>
              <w:t>”</w:t>
            </w:r>
          </w:p>
        </w:tc>
        <w:tc>
          <w:tcPr>
            <w:tcW w:w="6803" w:type="dxa"/>
          </w:tcPr>
          <w:p w14:paraId="38A87525" w14:textId="77777777" w:rsidR="00F67E9E" w:rsidRPr="00F55457" w:rsidRDefault="00F67E9E" w:rsidP="007F74AA">
            <w:pPr>
              <w:pStyle w:val="StdBodyText"/>
              <w:rPr>
                <w:rFonts w:cs="Arial"/>
              </w:rPr>
            </w:pPr>
            <w:r w:rsidRPr="00F55457">
              <w:rPr>
                <w:rFonts w:cs="Arial"/>
              </w:rPr>
              <w:t>all information of whatever nature, however conveyed and in whatever form, including in writing, orally, by demonstration, electronically and in a tangible, visual or machine-readable medium (including CD-ROM, magnetic and digital form);</w:t>
            </w:r>
          </w:p>
        </w:tc>
      </w:tr>
      <w:tr w:rsidR="00F67E9E" w:rsidRPr="00F55457" w14:paraId="77AD4E73" w14:textId="77777777" w:rsidTr="007F74AA">
        <w:tc>
          <w:tcPr>
            <w:tcW w:w="2835" w:type="dxa"/>
          </w:tcPr>
          <w:p w14:paraId="519A07A1" w14:textId="77777777" w:rsidR="00F67E9E" w:rsidRPr="00F55457" w:rsidRDefault="00F67E9E" w:rsidP="007F74AA">
            <w:pPr>
              <w:pStyle w:val="StdBodyTextBold"/>
              <w:rPr>
                <w:rFonts w:cs="Arial"/>
              </w:rPr>
            </w:pPr>
            <w:r>
              <w:rPr>
                <w:rFonts w:cs="Arial"/>
              </w:rPr>
              <w:t>“</w:t>
            </w:r>
            <w:r w:rsidRPr="00F55457">
              <w:rPr>
                <w:rFonts w:cs="Arial"/>
              </w:rPr>
              <w:t>Initial Term</w:t>
            </w:r>
            <w:r>
              <w:rPr>
                <w:rFonts w:cs="Arial"/>
              </w:rPr>
              <w:t>”</w:t>
            </w:r>
          </w:p>
        </w:tc>
        <w:tc>
          <w:tcPr>
            <w:tcW w:w="6803" w:type="dxa"/>
          </w:tcPr>
          <w:p w14:paraId="1D238B8C" w14:textId="77777777" w:rsidR="00F67E9E" w:rsidRPr="00F55457" w:rsidRDefault="00F67E9E" w:rsidP="007F74AA">
            <w:pPr>
              <w:pStyle w:val="StdBodyText"/>
              <w:rPr>
                <w:rFonts w:cs="Arial"/>
              </w:rPr>
            </w:pPr>
            <w:r w:rsidRPr="00F55457">
              <w:rPr>
                <w:rFonts w:cs="Arial"/>
              </w:rPr>
              <w:t xml:space="preserve">the period of </w:t>
            </w:r>
            <w:r w:rsidRPr="001C4B30">
              <w:rPr>
                <w:rStyle w:val="StdBodyTextBoldChar"/>
                <w:rFonts w:cs="Arial"/>
                <w:b w:val="0"/>
                <w:bCs/>
                <w:highlight w:val="yellow"/>
              </w:rPr>
              <w:t>[x years]</w:t>
            </w:r>
            <w:r w:rsidRPr="001C4B30">
              <w:rPr>
                <w:rFonts w:cs="Arial"/>
              </w:rPr>
              <w:t xml:space="preserve"> </w:t>
            </w:r>
            <w:r w:rsidRPr="00F55457">
              <w:rPr>
                <w:rFonts w:cs="Arial"/>
              </w:rPr>
              <w:t>from and including the Effective Date;</w:t>
            </w:r>
          </w:p>
        </w:tc>
      </w:tr>
      <w:tr w:rsidR="00F67E9E" w:rsidRPr="00F55457" w14:paraId="0F9EC7E8" w14:textId="77777777" w:rsidTr="007F74AA">
        <w:tc>
          <w:tcPr>
            <w:tcW w:w="2835" w:type="dxa"/>
          </w:tcPr>
          <w:p w14:paraId="4EA794C0" w14:textId="77777777" w:rsidR="00F67E9E" w:rsidRPr="00F55457" w:rsidRDefault="00F67E9E" w:rsidP="007F74AA">
            <w:pPr>
              <w:pStyle w:val="StdBodyTextBold"/>
              <w:rPr>
                <w:rFonts w:cs="Arial"/>
              </w:rPr>
            </w:pPr>
            <w:r>
              <w:rPr>
                <w:rFonts w:cs="Arial"/>
              </w:rPr>
              <w:t>“</w:t>
            </w:r>
            <w:r w:rsidRPr="00F55457">
              <w:rPr>
                <w:rFonts w:cs="Arial"/>
              </w:rPr>
              <w:t>Initial Upload Date</w:t>
            </w:r>
            <w:r>
              <w:rPr>
                <w:rFonts w:cs="Arial"/>
              </w:rPr>
              <w:t>”</w:t>
            </w:r>
          </w:p>
        </w:tc>
        <w:tc>
          <w:tcPr>
            <w:tcW w:w="6803" w:type="dxa"/>
          </w:tcPr>
          <w:p w14:paraId="0E027713" w14:textId="661E2612" w:rsidR="00F67E9E" w:rsidRPr="00DF43A1" w:rsidRDefault="00F67E9E" w:rsidP="007F74AA">
            <w:pPr>
              <w:pStyle w:val="StdBodyText"/>
              <w:rPr>
                <w:rFonts w:cs="Arial"/>
              </w:rPr>
            </w:pPr>
            <w:r w:rsidRPr="00DF43A1">
              <w:rPr>
                <w:rFonts w:cs="Arial"/>
              </w:rPr>
              <w:t xml:space="preserve">means the occurrence of an event detailed in </w:t>
            </w:r>
            <w:r>
              <w:rPr>
                <w:rFonts w:cs="Arial"/>
              </w:rPr>
              <w:fldChar w:fldCharType="begin"/>
            </w:r>
            <w:r>
              <w:rPr>
                <w:rFonts w:cs="Arial"/>
              </w:rPr>
              <w:instrText xml:space="preserve"> REF Schedule24 \h </w:instrText>
            </w:r>
            <w:r>
              <w:rPr>
                <w:rFonts w:cs="Arial"/>
              </w:rPr>
            </w:r>
            <w:r>
              <w:rPr>
                <w:rFonts w:cs="Arial"/>
              </w:rPr>
              <w:fldChar w:fldCharType="separate"/>
            </w:r>
            <w:r w:rsidR="00302D39" w:rsidRPr="005D0525">
              <w:t>Schedule</w:t>
            </w:r>
            <w:r w:rsidR="00302D39">
              <w:t> </w:t>
            </w:r>
            <w:r w:rsidR="00302D39" w:rsidRPr="005D0525">
              <w:t>24</w:t>
            </w:r>
            <w:r>
              <w:rPr>
                <w:rFonts w:cs="Arial"/>
              </w:rPr>
              <w:fldChar w:fldCharType="end"/>
            </w:r>
            <w:r>
              <w:rPr>
                <w:rFonts w:cs="Arial"/>
              </w:rPr>
              <w:t xml:space="preserve"> (</w:t>
            </w:r>
            <w:r w:rsidRPr="00A22335">
              <w:rPr>
                <w:rFonts w:cs="Arial"/>
                <w:i/>
                <w:iCs/>
              </w:rPr>
              <w:fldChar w:fldCharType="begin"/>
            </w:r>
            <w:r w:rsidRPr="00A22335">
              <w:rPr>
                <w:rFonts w:cs="Arial"/>
                <w:i/>
                <w:iCs/>
              </w:rPr>
              <w:instrText xml:space="preserve"> REF Schedule24Heading \h </w:instrText>
            </w:r>
            <w:r>
              <w:rPr>
                <w:rFonts w:cs="Arial"/>
                <w:i/>
                <w:iCs/>
              </w:rPr>
              <w:instrText xml:space="preserve"> \* MERGEFORMAT </w:instrText>
            </w:r>
            <w:r w:rsidRPr="00A22335">
              <w:rPr>
                <w:rFonts w:cs="Arial"/>
                <w:i/>
                <w:iCs/>
              </w:rPr>
            </w:r>
            <w:r w:rsidRPr="00A22335">
              <w:rPr>
                <w:rFonts w:cs="Arial"/>
                <w:i/>
                <w:iCs/>
              </w:rPr>
              <w:fldChar w:fldCharType="separate"/>
            </w:r>
            <w:r w:rsidR="00302D39" w:rsidRPr="00302D39">
              <w:rPr>
                <w:i/>
                <w:iCs/>
              </w:rPr>
              <w:t>Reports and Records Provisions</w:t>
            </w:r>
            <w:r w:rsidRPr="00A22335">
              <w:rPr>
                <w:rFonts w:cs="Arial"/>
                <w:i/>
                <w:iCs/>
              </w:rPr>
              <w:fldChar w:fldCharType="end"/>
            </w:r>
            <w:r>
              <w:rPr>
                <w:rFonts w:cs="Arial"/>
              </w:rPr>
              <w:t xml:space="preserve">) </w:t>
            </w:r>
            <w:r w:rsidRPr="00DF43A1">
              <w:rPr>
                <w:rFonts w:cs="Arial"/>
              </w:rPr>
              <w:fldChar w:fldCharType="begin"/>
            </w:r>
            <w:r w:rsidRPr="00DF43A1">
              <w:rPr>
                <w:rFonts w:cs="Arial"/>
              </w:rPr>
              <w:instrText xml:space="preserve"> REF  _Ref_ContractCompanion_9kb9Ur5BA \* Caps \h  \* MERGEFORMAT </w:instrText>
            </w:r>
            <w:r w:rsidRPr="00DF43A1">
              <w:rPr>
                <w:rFonts w:cs="Arial"/>
              </w:rPr>
            </w:r>
            <w:r w:rsidRPr="00DF43A1">
              <w:rPr>
                <w:rFonts w:cs="Arial"/>
              </w:rPr>
              <w:fldChar w:fldCharType="separate"/>
            </w:r>
            <w:r w:rsidR="00302D39" w:rsidRPr="00302D39">
              <w:rPr>
                <w:rFonts w:cs="Arial"/>
              </w:rPr>
              <w:t>Annex 3: Records</w:t>
            </w:r>
            <w:r w:rsidR="00302D39" w:rsidRPr="00302D39">
              <w:rPr>
                <w:rFonts w:cs="Arial"/>
                <w:i/>
                <w:iCs/>
              </w:rPr>
              <w:t xml:space="preserve"> To Upload To Virtual Library</w:t>
            </w:r>
            <w:r w:rsidRPr="00DF43A1">
              <w:rPr>
                <w:rFonts w:cs="Arial"/>
              </w:rPr>
              <w:fldChar w:fldCharType="end"/>
            </w:r>
            <w:r w:rsidRPr="00DF43A1">
              <w:rPr>
                <w:rFonts w:cs="Arial"/>
              </w:rPr>
              <w:t>) which requires the Supplier to provide its initial upload of the relevant information to the Virtual Library;</w:t>
            </w:r>
          </w:p>
        </w:tc>
      </w:tr>
      <w:tr w:rsidR="00F67E9E" w:rsidRPr="00F55457" w14:paraId="0C2C3F23" w14:textId="77777777" w:rsidTr="007F74AA">
        <w:tc>
          <w:tcPr>
            <w:tcW w:w="2835" w:type="dxa"/>
          </w:tcPr>
          <w:p w14:paraId="5967C501" w14:textId="77777777" w:rsidR="00F67E9E" w:rsidRPr="00F55457" w:rsidRDefault="00F67E9E" w:rsidP="007F74AA">
            <w:pPr>
              <w:pStyle w:val="StdBodyTextBold"/>
              <w:rPr>
                <w:rFonts w:cs="Arial"/>
              </w:rPr>
            </w:pPr>
            <w:r>
              <w:rPr>
                <w:rFonts w:cs="Arial"/>
              </w:rPr>
              <w:t>“</w:t>
            </w:r>
            <w:r w:rsidRPr="00F55457">
              <w:rPr>
                <w:rFonts w:cs="Arial"/>
              </w:rPr>
              <w:t>Insolvency Event</w:t>
            </w:r>
            <w:r>
              <w:rPr>
                <w:rFonts w:cs="Arial"/>
              </w:rPr>
              <w:t>”</w:t>
            </w:r>
          </w:p>
        </w:tc>
        <w:tc>
          <w:tcPr>
            <w:tcW w:w="6803" w:type="dxa"/>
          </w:tcPr>
          <w:p w14:paraId="7CFD9A44" w14:textId="77777777" w:rsidR="00F67E9E" w:rsidRPr="00F55457" w:rsidRDefault="00F67E9E" w:rsidP="007F74AA">
            <w:pPr>
              <w:pStyle w:val="StdBodyText"/>
              <w:rPr>
                <w:rFonts w:cs="Arial"/>
              </w:rPr>
            </w:pPr>
            <w:r w:rsidRPr="00F55457">
              <w:rPr>
                <w:rFonts w:cs="Arial"/>
              </w:rPr>
              <w:t>with respect to any person, means:</w:t>
            </w:r>
          </w:p>
          <w:p w14:paraId="281419EA" w14:textId="77777777" w:rsidR="00F67E9E" w:rsidRPr="00F55457" w:rsidRDefault="00F67E9E" w:rsidP="007F74AA">
            <w:pPr>
              <w:pStyle w:val="DefinitionList"/>
              <w:numPr>
                <w:ilvl w:val="0"/>
                <w:numId w:val="201"/>
              </w:numPr>
            </w:pPr>
            <w:r w:rsidRPr="00F55457">
              <w:t>that person suspends, or threatens to suspend, payment of its debts, or is unable to pay its debts as they fall due or admits inability to pay its debts, or:</w:t>
            </w:r>
          </w:p>
          <w:p w14:paraId="2632FF8D" w14:textId="77777777" w:rsidR="00F67E9E" w:rsidRPr="00F55457" w:rsidRDefault="00F67E9E" w:rsidP="00F67E9E">
            <w:pPr>
              <w:pStyle w:val="DefinitionListLevel1"/>
              <w:numPr>
                <w:ilvl w:val="1"/>
                <w:numId w:val="108"/>
              </w:numPr>
            </w:pPr>
            <w:r w:rsidRPr="00F55457">
              <w:t xml:space="preserve">(being a company or a LLP) is deemed unable to pay its debts within the meaning of </w:t>
            </w:r>
            <w:bookmarkStart w:id="125" w:name="_9kR3WTr277DHA0rcszv1FIL8y47tVZGICKE76Ir"/>
            <w:r w:rsidRPr="00F55457">
              <w:t>section 123 of the Insolvency Act 1986</w:t>
            </w:r>
            <w:bookmarkEnd w:id="125"/>
            <w:r w:rsidRPr="00F55457">
              <w:t xml:space="preserve">, or </w:t>
            </w:r>
          </w:p>
          <w:p w14:paraId="0D827A06" w14:textId="77777777" w:rsidR="00F67E9E" w:rsidRPr="00F55457" w:rsidRDefault="00F67E9E" w:rsidP="00F67E9E">
            <w:pPr>
              <w:pStyle w:val="DefinitionListLevel1"/>
              <w:numPr>
                <w:ilvl w:val="1"/>
                <w:numId w:val="108"/>
              </w:numPr>
              <w:rPr>
                <w:rFonts w:cs="Arial"/>
              </w:rPr>
            </w:pPr>
            <w:r w:rsidRPr="00F55457">
              <w:rPr>
                <w:rFonts w:cs="Arial"/>
              </w:rPr>
              <w:t xml:space="preserve">(being a partnership) is deemed unable to pay its debts within the meaning of </w:t>
            </w:r>
            <w:bookmarkStart w:id="126" w:name="_9kR3WTr277DGC3rcszv1GJK7y47tVZGICKE76Ir"/>
            <w:r w:rsidRPr="00F55457">
              <w:rPr>
                <w:rFonts w:cs="Arial"/>
              </w:rPr>
              <w:t>section 222 of the Insolvency Act 1986</w:t>
            </w:r>
            <w:bookmarkEnd w:id="126"/>
            <w:r w:rsidRPr="00F55457">
              <w:rPr>
                <w:rFonts w:cs="Arial"/>
              </w:rPr>
              <w:t xml:space="preserve">; </w:t>
            </w:r>
          </w:p>
          <w:p w14:paraId="618FFBB0" w14:textId="77777777" w:rsidR="00F67E9E" w:rsidRPr="00F55457" w:rsidRDefault="00F67E9E" w:rsidP="00F67E9E">
            <w:pPr>
              <w:pStyle w:val="DefinitionList"/>
              <w:numPr>
                <w:ilvl w:val="0"/>
                <w:numId w:val="108"/>
              </w:numPr>
              <w:rPr>
                <w:rFonts w:cs="Arial"/>
              </w:rPr>
            </w:pPr>
            <w:r w:rsidRPr="00F55457">
              <w:rPr>
                <w:rFonts w:cs="Arial"/>
              </w:rPr>
              <w:t xml:space="preserve">that person commences negotiations with one or more of its creditors (using a voluntary arrangement, scheme of arrangement or otherwise) with a view to rescheduling any of its debts, or makes a proposal for or enters into any compromise or arrangement with one or more of its creditors or takes any step to obtain a moratorium pursuant to </w:t>
            </w:r>
            <w:bookmarkStart w:id="127" w:name="_9kR3WTr277DGFgLcszv1FQ7rvbVrur8H2SkIAGJ"/>
            <w:r w:rsidRPr="00F55457">
              <w:rPr>
                <w:rFonts w:cs="Arial"/>
              </w:rPr>
              <w:t xml:space="preserve">Section 1A </w:t>
            </w:r>
            <w:r w:rsidRPr="00DF43A1">
              <w:rPr>
                <w:rFonts w:cs="Arial"/>
              </w:rPr>
              <w:t>and Schedule A1 of the</w:t>
            </w:r>
            <w:r w:rsidRPr="00F55457">
              <w:rPr>
                <w:rFonts w:cs="Arial"/>
              </w:rPr>
              <w:t xml:space="preserve"> Insolvency Act 1986</w:t>
            </w:r>
            <w:bookmarkEnd w:id="127"/>
            <w:r w:rsidRPr="00F55457">
              <w:rPr>
                <w:rFonts w:cs="Arial"/>
              </w:rPr>
              <w:t xml:space="preserve"> other than (in the case of a company, a LLP or a partnership) for the sole purpose of a scheme for a solvent amalgamation of that person with one or more other companies or the solvent reconstruction of that person;</w:t>
            </w:r>
          </w:p>
          <w:p w14:paraId="6BB78206" w14:textId="77777777" w:rsidR="00F67E9E" w:rsidRPr="00F55457" w:rsidRDefault="00F67E9E" w:rsidP="00F67E9E">
            <w:pPr>
              <w:pStyle w:val="DefinitionList"/>
              <w:numPr>
                <w:ilvl w:val="0"/>
                <w:numId w:val="108"/>
              </w:numPr>
              <w:rPr>
                <w:rFonts w:cs="Arial"/>
              </w:rPr>
            </w:pPr>
            <w:r w:rsidRPr="00F55457">
              <w:rPr>
                <w:rFonts w:cs="Arial"/>
              </w:rPr>
              <w:t xml:space="preserve">another person becomes entitled to appoint a receiver over the assets </w:t>
            </w:r>
            <w:bookmarkStart w:id="128" w:name="_9kR3WTr5DA48F1o"/>
            <w:r w:rsidRPr="00F55457">
              <w:rPr>
                <w:rFonts w:cs="Arial"/>
              </w:rPr>
              <w:t>of</w:t>
            </w:r>
            <w:bookmarkEnd w:id="128"/>
            <w:r w:rsidRPr="00F55457">
              <w:rPr>
                <w:rFonts w:cs="Arial"/>
              </w:rPr>
              <w:t xml:space="preserve"> </w:t>
            </w:r>
            <w:bookmarkStart w:id="129" w:name="_9kR3WTr5DA48G7vdq"/>
            <w:bookmarkEnd w:id="129"/>
            <w:r w:rsidRPr="00F55457">
              <w:rPr>
                <w:rFonts w:cs="Arial"/>
              </w:rPr>
              <w:t xml:space="preserve">that person or a receiver is appointed over the assets of that person; </w:t>
            </w:r>
          </w:p>
          <w:p w14:paraId="7A042061" w14:textId="77777777" w:rsidR="00F67E9E" w:rsidRPr="00F55457" w:rsidRDefault="00F67E9E" w:rsidP="00F67E9E">
            <w:pPr>
              <w:pStyle w:val="DefinitionList"/>
              <w:numPr>
                <w:ilvl w:val="0"/>
                <w:numId w:val="108"/>
              </w:numPr>
              <w:rPr>
                <w:rFonts w:cs="Arial"/>
              </w:rPr>
            </w:pPr>
            <w:r w:rsidRPr="00F55457">
              <w:rPr>
                <w:rFonts w:cs="Arial"/>
              </w:rPr>
              <w:t>a creditor or encumbrancer of that person attaches or takes possession of, or a distress, execution or other such process is levied or enforced on or sued against, the whole or any part of that person</w:t>
            </w:r>
            <w:r>
              <w:rPr>
                <w:rFonts w:cs="Arial"/>
              </w:rPr>
              <w:t>’</w:t>
            </w:r>
            <w:r w:rsidRPr="00F55457">
              <w:rPr>
                <w:rFonts w:cs="Arial"/>
              </w:rPr>
              <w:t xml:space="preserve">s assets and such attachment or process is not discharged within fourteen (14) days; </w:t>
            </w:r>
          </w:p>
          <w:p w14:paraId="0B5B215A" w14:textId="77777777" w:rsidR="00F67E9E" w:rsidRPr="00F55457" w:rsidRDefault="00F67E9E" w:rsidP="00F67E9E">
            <w:pPr>
              <w:pStyle w:val="DefinitionList"/>
              <w:numPr>
                <w:ilvl w:val="0"/>
                <w:numId w:val="108"/>
              </w:numPr>
              <w:rPr>
                <w:rFonts w:cs="Arial"/>
              </w:rPr>
            </w:pPr>
            <w:r w:rsidRPr="00F55457">
              <w:rPr>
                <w:rFonts w:cs="Arial"/>
              </w:rPr>
              <w:t>that person suspends or ceases, or threatens to suspend or cease, carrying on all or a substantial part of its business;</w:t>
            </w:r>
          </w:p>
          <w:p w14:paraId="421B33C4" w14:textId="77777777" w:rsidR="00F67E9E" w:rsidRPr="00F55457" w:rsidRDefault="00F67E9E" w:rsidP="00F67E9E">
            <w:pPr>
              <w:pStyle w:val="DefinitionList"/>
              <w:numPr>
                <w:ilvl w:val="0"/>
                <w:numId w:val="108"/>
              </w:numPr>
              <w:rPr>
                <w:rFonts w:cs="Arial"/>
              </w:rPr>
            </w:pPr>
            <w:r w:rsidRPr="00F55457">
              <w:rPr>
                <w:rFonts w:cs="Arial"/>
              </w:rPr>
              <w:t>where that person is a company, a LLP or a partnership:</w:t>
            </w:r>
          </w:p>
          <w:p w14:paraId="289DB747" w14:textId="77777777" w:rsidR="00F67E9E" w:rsidRPr="00F55457" w:rsidRDefault="00F67E9E" w:rsidP="00F67E9E">
            <w:pPr>
              <w:pStyle w:val="DefinitionListLevel1"/>
              <w:numPr>
                <w:ilvl w:val="1"/>
                <w:numId w:val="108"/>
              </w:numPr>
              <w:rPr>
                <w:rFonts w:cs="Arial"/>
              </w:rPr>
            </w:pPr>
            <w:r w:rsidRPr="00F55457">
              <w:rPr>
                <w:rFonts w:cs="Arial"/>
              </w:rPr>
              <w:t xml:space="preserve">a petition is presented (which is not dismissed within fourteen (14) days of its service), a notice is given, a resolution is passed, or an order is made, for or in connection with the winding up of that person other than for the sole purpose of a scheme for a solvent amalgamation of that person with one or more other companies or the solvent reconstruction of that person; </w:t>
            </w:r>
          </w:p>
          <w:p w14:paraId="458CE6CD" w14:textId="77777777" w:rsidR="00F67E9E" w:rsidRPr="00F55457" w:rsidRDefault="00F67E9E" w:rsidP="00F67E9E">
            <w:pPr>
              <w:pStyle w:val="DefinitionListLevel1"/>
              <w:numPr>
                <w:ilvl w:val="1"/>
                <w:numId w:val="108"/>
              </w:numPr>
              <w:rPr>
                <w:rFonts w:cs="Arial"/>
              </w:rPr>
            </w:pPr>
            <w:r w:rsidRPr="00F55457">
              <w:rPr>
                <w:rFonts w:cs="Arial"/>
              </w:rPr>
              <w:t xml:space="preserve">an application is made to court, or an order is made, for the appointment of an administrator, or if a notice of intention to appoint an administrator is filed at Court or given or if an administrator is appointed, over that person; </w:t>
            </w:r>
          </w:p>
          <w:p w14:paraId="497F0F4D" w14:textId="77777777" w:rsidR="00F67E9E" w:rsidRPr="00F55457" w:rsidRDefault="00F67E9E" w:rsidP="00F67E9E">
            <w:pPr>
              <w:pStyle w:val="DefinitionListLevel1"/>
              <w:numPr>
                <w:ilvl w:val="1"/>
                <w:numId w:val="108"/>
              </w:numPr>
              <w:rPr>
                <w:rFonts w:cs="Arial"/>
              </w:rPr>
            </w:pPr>
            <w:r w:rsidRPr="00F55457">
              <w:rPr>
                <w:rFonts w:cs="Arial"/>
              </w:rPr>
              <w:t xml:space="preserve">(being a company or a LLP) the holder of a qualifying floating charge over the assets of that </w:t>
            </w:r>
            <w:bookmarkStart w:id="130" w:name="_9kR3WTr5DA48H4or640"/>
            <w:r w:rsidRPr="00F55457">
              <w:rPr>
                <w:rFonts w:cs="Arial"/>
              </w:rPr>
              <w:t>person</w:t>
            </w:r>
            <w:bookmarkEnd w:id="130"/>
            <w:r w:rsidRPr="00F55457">
              <w:rPr>
                <w:rFonts w:cs="Arial"/>
              </w:rPr>
              <w:t xml:space="preserve"> has become entitled to appoint or has appointed an administrative receiver; or</w:t>
            </w:r>
          </w:p>
          <w:p w14:paraId="2A7AEC18" w14:textId="77777777" w:rsidR="00F67E9E" w:rsidRPr="00F55457" w:rsidRDefault="00F67E9E" w:rsidP="00F67E9E">
            <w:pPr>
              <w:pStyle w:val="DefinitionListLevel1"/>
              <w:numPr>
                <w:ilvl w:val="1"/>
                <w:numId w:val="108"/>
              </w:numPr>
              <w:rPr>
                <w:rFonts w:cs="Arial"/>
              </w:rPr>
            </w:pPr>
            <w:r w:rsidRPr="00F55457">
              <w:rPr>
                <w:rFonts w:cs="Arial"/>
              </w:rPr>
              <w:t xml:space="preserve">(being a partnership) the holder of an agricultural floating charge over the assets of that person has become entitled to appoint or has appointed an agricultural receiver; or </w:t>
            </w:r>
          </w:p>
          <w:p w14:paraId="48C01681" w14:textId="77777777" w:rsidR="00F67E9E" w:rsidRPr="00F55457" w:rsidRDefault="00F67E9E" w:rsidP="00F67E9E">
            <w:pPr>
              <w:pStyle w:val="DefinitionList"/>
              <w:numPr>
                <w:ilvl w:val="0"/>
                <w:numId w:val="108"/>
              </w:numPr>
              <w:rPr>
                <w:rFonts w:cs="Arial"/>
              </w:rPr>
            </w:pPr>
            <w:r w:rsidRPr="00F55457">
              <w:rPr>
                <w:rFonts w:cs="Arial"/>
              </w:rPr>
              <w:t>any event occurs, or proceeding is taken, with respect to that person in any jurisdiction to which it is subject that has an effect equivalent or similar to any of the events mentioned above;</w:t>
            </w:r>
          </w:p>
        </w:tc>
      </w:tr>
      <w:tr w:rsidR="00F67E9E" w:rsidRPr="00F55457" w14:paraId="3BB1D2A1" w14:textId="77777777" w:rsidTr="007F74AA">
        <w:tc>
          <w:tcPr>
            <w:tcW w:w="2835" w:type="dxa"/>
          </w:tcPr>
          <w:p w14:paraId="187EE740" w14:textId="77777777" w:rsidR="00F67E9E" w:rsidRPr="00F55457" w:rsidRDefault="00F67E9E" w:rsidP="007F74AA">
            <w:pPr>
              <w:pStyle w:val="StdBodyText"/>
              <w:rPr>
                <w:rFonts w:cs="Arial"/>
              </w:rPr>
            </w:pPr>
            <w:r>
              <w:rPr>
                <w:rStyle w:val="StdBodyTextBoldChar"/>
                <w:rFonts w:cs="Arial"/>
              </w:rPr>
              <w:t>“</w:t>
            </w:r>
            <w:r w:rsidRPr="00F55457">
              <w:rPr>
                <w:rStyle w:val="StdBodyTextBoldChar"/>
                <w:rFonts w:cs="Arial"/>
              </w:rPr>
              <w:t>Intellectual Property Rights</w:t>
            </w:r>
            <w:r>
              <w:rPr>
                <w:rStyle w:val="StdBodyTextBoldChar"/>
                <w:rFonts w:cs="Arial"/>
              </w:rPr>
              <w:t>”</w:t>
            </w:r>
            <w:r w:rsidRPr="00F55457">
              <w:rPr>
                <w:rFonts w:cs="Arial"/>
              </w:rPr>
              <w:t xml:space="preserve"> or </w:t>
            </w:r>
            <w:r>
              <w:rPr>
                <w:rStyle w:val="StdBodyTextBoldChar"/>
                <w:rFonts w:cs="Arial"/>
              </w:rPr>
              <w:t>“</w:t>
            </w:r>
            <w:r w:rsidRPr="00F55457">
              <w:rPr>
                <w:rStyle w:val="StdBodyTextBoldChar"/>
                <w:rFonts w:cs="Arial"/>
              </w:rPr>
              <w:t>IPRs</w:t>
            </w:r>
            <w:r>
              <w:rPr>
                <w:rStyle w:val="StdBodyTextBoldChar"/>
                <w:rFonts w:cs="Arial"/>
              </w:rPr>
              <w:t>”</w:t>
            </w:r>
          </w:p>
        </w:tc>
        <w:tc>
          <w:tcPr>
            <w:tcW w:w="6803" w:type="dxa"/>
          </w:tcPr>
          <w:p w14:paraId="577A4B4E" w14:textId="77777777" w:rsidR="00F67E9E" w:rsidRPr="00F55457" w:rsidRDefault="00F67E9E" w:rsidP="007F74AA">
            <w:pPr>
              <w:pStyle w:val="DefinitionList"/>
              <w:numPr>
                <w:ilvl w:val="0"/>
                <w:numId w:val="202"/>
              </w:numPr>
            </w:pPr>
            <w:bookmarkStart w:id="131" w:name="_Ref44062808"/>
            <w:r w:rsidRPr="00F55457">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bookmarkEnd w:id="131"/>
          </w:p>
          <w:p w14:paraId="09A7CD00" w14:textId="09A77CE1" w:rsidR="00F67E9E" w:rsidRPr="00F55457" w:rsidRDefault="00F67E9E" w:rsidP="00F67E9E">
            <w:pPr>
              <w:pStyle w:val="DefinitionList"/>
              <w:numPr>
                <w:ilvl w:val="0"/>
                <w:numId w:val="108"/>
              </w:numPr>
              <w:rPr>
                <w:rFonts w:cs="Arial"/>
              </w:rPr>
            </w:pPr>
            <w:r w:rsidRPr="00F55457">
              <w:rPr>
                <w:rFonts w:cs="Arial"/>
              </w:rPr>
              <w:t xml:space="preserve">applications for registration, and the right to apply for registration, for any of the rights listed at </w:t>
            </w:r>
            <w:r w:rsidRPr="00F55457">
              <w:rPr>
                <w:rFonts w:cs="Arial"/>
              </w:rPr>
              <w:fldChar w:fldCharType="begin"/>
            </w:r>
            <w:r w:rsidRPr="00F55457">
              <w:rPr>
                <w:rFonts w:cs="Arial"/>
              </w:rPr>
              <w:instrText xml:space="preserve"> REF _Ref44062808 \r \h  \* MERGEFORMAT </w:instrText>
            </w:r>
            <w:r w:rsidRPr="00F55457">
              <w:rPr>
                <w:rFonts w:cs="Arial"/>
              </w:rPr>
            </w:r>
            <w:r w:rsidRPr="00F55457">
              <w:rPr>
                <w:rFonts w:cs="Arial"/>
              </w:rPr>
              <w:fldChar w:fldCharType="separate"/>
            </w:r>
            <w:r w:rsidR="00302D39">
              <w:rPr>
                <w:rFonts w:cs="Arial"/>
              </w:rPr>
              <w:t>(a)</w:t>
            </w:r>
            <w:r w:rsidRPr="00F55457">
              <w:rPr>
                <w:rFonts w:cs="Arial"/>
              </w:rPr>
              <w:fldChar w:fldCharType="end"/>
            </w:r>
            <w:r w:rsidRPr="00F55457">
              <w:rPr>
                <w:rFonts w:cs="Arial"/>
              </w:rPr>
              <w:t xml:space="preserve"> that are capable of being registered in any country or jurisdiction; and</w:t>
            </w:r>
          </w:p>
          <w:p w14:paraId="05702E6E" w14:textId="77777777" w:rsidR="00F67E9E" w:rsidRPr="00F55457" w:rsidRDefault="00F67E9E" w:rsidP="00F67E9E">
            <w:pPr>
              <w:pStyle w:val="DefinitionList"/>
              <w:numPr>
                <w:ilvl w:val="0"/>
                <w:numId w:val="108"/>
              </w:numPr>
              <w:rPr>
                <w:rFonts w:cs="Arial"/>
              </w:rPr>
            </w:pPr>
            <w:r w:rsidRPr="00F55457">
              <w:rPr>
                <w:rFonts w:cs="Arial"/>
              </w:rPr>
              <w:t>all other rights having equivalent or similar effect in any country or jurisdiction;</w:t>
            </w:r>
          </w:p>
        </w:tc>
      </w:tr>
      <w:tr w:rsidR="00F67E9E" w:rsidRPr="00F55457" w14:paraId="1B6393E5" w14:textId="77777777" w:rsidTr="007F74AA">
        <w:tc>
          <w:tcPr>
            <w:tcW w:w="2835" w:type="dxa"/>
          </w:tcPr>
          <w:p w14:paraId="2FEA4BD2" w14:textId="77777777" w:rsidR="00F67E9E" w:rsidRPr="00F55457" w:rsidRDefault="00F67E9E" w:rsidP="007F74AA">
            <w:pPr>
              <w:pStyle w:val="StdBodyTextBold"/>
              <w:rPr>
                <w:rStyle w:val="StdBodyTextBoldChar"/>
                <w:rFonts w:cs="Arial"/>
              </w:rPr>
            </w:pPr>
            <w:r>
              <w:rPr>
                <w:rFonts w:cs="Arial"/>
              </w:rPr>
              <w:t>“</w:t>
            </w:r>
            <w:r w:rsidRPr="00F55457">
              <w:rPr>
                <w:rFonts w:cs="Arial"/>
              </w:rPr>
              <w:t>Intervention Cause</w:t>
            </w:r>
            <w:r>
              <w:rPr>
                <w:rFonts w:cs="Arial"/>
              </w:rPr>
              <w:t>”</w:t>
            </w:r>
          </w:p>
        </w:tc>
        <w:tc>
          <w:tcPr>
            <w:tcW w:w="6803" w:type="dxa"/>
          </w:tcPr>
          <w:p w14:paraId="4A6B8F41" w14:textId="77777777" w:rsidR="00F67E9E" w:rsidRPr="008D6A63" w:rsidRDefault="00F67E9E" w:rsidP="007F74AA">
            <w:pPr>
              <w:pStyle w:val="StdBodyText"/>
              <w:rPr>
                <w:rFonts w:cs="Arial"/>
              </w:rPr>
            </w:pPr>
            <w:r w:rsidRPr="008D6A63">
              <w:rPr>
                <w:rFonts w:cs="Arial"/>
              </w:rPr>
              <w:t xml:space="preserve">has the meaning given in </w:t>
            </w:r>
            <w:bookmarkStart w:id="132" w:name="_9kMIH5YVtCIABJKGLLVH"/>
            <w:bookmarkStart w:id="133" w:name="_9kMHG5YVtCJBBJLHLLVH"/>
            <w:r w:rsidRPr="008D6A63">
              <w:rPr>
                <w:rFonts w:cs="Arial"/>
              </w:rPr>
              <w:t xml:space="preserve">Clause </w:t>
            </w:r>
            <w:bookmarkEnd w:id="132"/>
            <w:bookmarkEnd w:id="133"/>
            <w:r w:rsidRPr="008D6A63">
              <w:rPr>
                <w:rFonts w:cs="Arial"/>
              </w:rPr>
              <w:t>27.1 (</w:t>
            </w:r>
            <w:r w:rsidRPr="00C04B2F">
              <w:rPr>
                <w:rFonts w:cs="Arial"/>
                <w:i/>
                <w:iCs/>
              </w:rPr>
              <w:t>Remedial Adviser</w:t>
            </w:r>
            <w:r w:rsidRPr="008D6A63">
              <w:rPr>
                <w:rFonts w:cs="Arial"/>
              </w:rPr>
              <w:t>);</w:t>
            </w:r>
          </w:p>
        </w:tc>
      </w:tr>
      <w:tr w:rsidR="00F67E9E" w:rsidRPr="00F55457" w14:paraId="5075096A" w14:textId="77777777" w:rsidTr="007F74AA">
        <w:tc>
          <w:tcPr>
            <w:tcW w:w="2835" w:type="dxa"/>
          </w:tcPr>
          <w:p w14:paraId="562D8584" w14:textId="77777777" w:rsidR="00F67E9E" w:rsidRPr="00F55457" w:rsidRDefault="00F67E9E" w:rsidP="007F74AA">
            <w:pPr>
              <w:pStyle w:val="StdBodyTextBold"/>
              <w:rPr>
                <w:rFonts w:cs="Arial"/>
              </w:rPr>
            </w:pPr>
            <w:r>
              <w:rPr>
                <w:rFonts w:cs="Arial"/>
              </w:rPr>
              <w:t>“</w:t>
            </w:r>
            <w:bookmarkStart w:id="134" w:name="_9kMKJ5YVt4CCFMNaM4wvD1uA628ieHCwt"/>
            <w:r w:rsidRPr="00F55457">
              <w:rPr>
                <w:rFonts w:cs="Arial"/>
              </w:rPr>
              <w:t>Intervention Notice</w:t>
            </w:r>
            <w:bookmarkEnd w:id="134"/>
            <w:r>
              <w:rPr>
                <w:rFonts w:cs="Arial"/>
              </w:rPr>
              <w:t>”</w:t>
            </w:r>
          </w:p>
        </w:tc>
        <w:tc>
          <w:tcPr>
            <w:tcW w:w="6803" w:type="dxa"/>
          </w:tcPr>
          <w:p w14:paraId="2B68042D" w14:textId="77777777" w:rsidR="00F67E9E" w:rsidRPr="008D6A63" w:rsidRDefault="00F67E9E" w:rsidP="007F74AA">
            <w:pPr>
              <w:pStyle w:val="StdBodyText"/>
              <w:rPr>
                <w:rFonts w:cs="Arial"/>
              </w:rPr>
            </w:pPr>
            <w:r w:rsidRPr="008D6A63">
              <w:rPr>
                <w:rFonts w:cs="Arial"/>
              </w:rPr>
              <w:t xml:space="preserve">has the meaning given in </w:t>
            </w:r>
            <w:bookmarkStart w:id="135" w:name="_9kMJI5YVtCIABJKGLLVH"/>
            <w:bookmarkStart w:id="136" w:name="_9kMIH5YVtCJBBJLHLLVH"/>
            <w:r w:rsidRPr="008D6A63">
              <w:rPr>
                <w:rFonts w:cs="Arial"/>
              </w:rPr>
              <w:t xml:space="preserve">Clause </w:t>
            </w:r>
            <w:bookmarkEnd w:id="135"/>
            <w:bookmarkEnd w:id="136"/>
            <w:r w:rsidRPr="008D6A63">
              <w:rPr>
                <w:rFonts w:cs="Arial"/>
              </w:rPr>
              <w:t>27.1 (</w:t>
            </w:r>
            <w:r w:rsidRPr="00C04B2F">
              <w:rPr>
                <w:rFonts w:cs="Arial"/>
                <w:i/>
                <w:iCs/>
              </w:rPr>
              <w:t>Remedial Adviser</w:t>
            </w:r>
            <w:r w:rsidRPr="008D6A63">
              <w:rPr>
                <w:rFonts w:cs="Arial"/>
              </w:rPr>
              <w:t>);</w:t>
            </w:r>
          </w:p>
        </w:tc>
      </w:tr>
      <w:tr w:rsidR="00F67E9E" w:rsidRPr="00F55457" w14:paraId="2B846109" w14:textId="77777777" w:rsidTr="007F74AA">
        <w:tc>
          <w:tcPr>
            <w:tcW w:w="2835" w:type="dxa"/>
          </w:tcPr>
          <w:p w14:paraId="34F703E5" w14:textId="77777777" w:rsidR="00F67E9E" w:rsidRPr="00F55457" w:rsidRDefault="00F67E9E" w:rsidP="007F74AA">
            <w:pPr>
              <w:pStyle w:val="StdBodyTextBold"/>
              <w:rPr>
                <w:rFonts w:cs="Arial"/>
              </w:rPr>
            </w:pPr>
            <w:r>
              <w:rPr>
                <w:rFonts w:cs="Arial"/>
              </w:rPr>
              <w:t>“</w:t>
            </w:r>
            <w:r w:rsidRPr="00F55457">
              <w:rPr>
                <w:rFonts w:cs="Arial"/>
              </w:rPr>
              <w:t>Intervention Period</w:t>
            </w:r>
            <w:r>
              <w:rPr>
                <w:rFonts w:cs="Arial"/>
              </w:rPr>
              <w:t>”</w:t>
            </w:r>
          </w:p>
        </w:tc>
        <w:tc>
          <w:tcPr>
            <w:tcW w:w="6803" w:type="dxa"/>
          </w:tcPr>
          <w:p w14:paraId="035D409C" w14:textId="77777777" w:rsidR="00F67E9E" w:rsidRPr="008D6A63" w:rsidRDefault="00F67E9E" w:rsidP="007F74AA">
            <w:pPr>
              <w:pStyle w:val="StdBodyText"/>
              <w:rPr>
                <w:rFonts w:cs="Arial"/>
              </w:rPr>
            </w:pPr>
            <w:r w:rsidRPr="008D6A63">
              <w:rPr>
                <w:rFonts w:cs="Arial"/>
              </w:rPr>
              <w:t xml:space="preserve">has the meaning given in </w:t>
            </w:r>
            <w:bookmarkStart w:id="137" w:name="_9kMHG5YVtCIABIMJLMqcoDI3tt7F28BxRcSGCNI"/>
            <w:bookmarkStart w:id="138" w:name="_9kMHG5YVtCJBBINKLMqcoDI3tt7F28BxRcSGCNI"/>
            <w:r w:rsidRPr="008D6A63">
              <w:rPr>
                <w:rFonts w:cs="Arial"/>
              </w:rPr>
              <w:t xml:space="preserve">Clause </w:t>
            </w:r>
            <w:bookmarkEnd w:id="137"/>
            <w:bookmarkEnd w:id="138"/>
            <w:r w:rsidRPr="008D6A63">
              <w:rPr>
                <w:rFonts w:cs="Arial"/>
              </w:rPr>
              <w:t>27.2(c) (</w:t>
            </w:r>
            <w:r w:rsidRPr="00C04B2F">
              <w:rPr>
                <w:rFonts w:cs="Arial"/>
                <w:i/>
                <w:iCs/>
              </w:rPr>
              <w:t>Remedial Adviser</w:t>
            </w:r>
            <w:r w:rsidRPr="008D6A63">
              <w:rPr>
                <w:rFonts w:cs="Arial"/>
              </w:rPr>
              <w:t>);</w:t>
            </w:r>
          </w:p>
        </w:tc>
      </w:tr>
      <w:tr w:rsidR="00F67E9E" w:rsidRPr="00F55457" w14:paraId="479172A7" w14:textId="77777777" w:rsidTr="007F74AA">
        <w:tc>
          <w:tcPr>
            <w:tcW w:w="2835" w:type="dxa"/>
          </w:tcPr>
          <w:p w14:paraId="108B713C" w14:textId="77777777" w:rsidR="00F67E9E" w:rsidRPr="00F55457" w:rsidRDefault="00F67E9E" w:rsidP="007F74AA">
            <w:pPr>
              <w:pStyle w:val="StdBodyTextBold"/>
              <w:rPr>
                <w:rFonts w:cs="Arial"/>
              </w:rPr>
            </w:pPr>
            <w:r>
              <w:rPr>
                <w:rFonts w:cs="Arial"/>
              </w:rPr>
              <w:t>“</w:t>
            </w:r>
            <w:r w:rsidRPr="00F55457">
              <w:rPr>
                <w:rFonts w:cs="Arial"/>
              </w:rPr>
              <w:t>Intervention Trigger Event</w:t>
            </w:r>
            <w:r>
              <w:rPr>
                <w:rFonts w:cs="Arial"/>
              </w:rPr>
              <w:t>”</w:t>
            </w:r>
          </w:p>
        </w:tc>
        <w:tc>
          <w:tcPr>
            <w:tcW w:w="6803" w:type="dxa"/>
          </w:tcPr>
          <w:p w14:paraId="5083D1E7" w14:textId="693C7D20" w:rsidR="00F67E9E" w:rsidRPr="00F55457" w:rsidRDefault="00F67E9E" w:rsidP="007F74AA">
            <w:pPr>
              <w:pStyle w:val="DefinitionList"/>
              <w:numPr>
                <w:ilvl w:val="0"/>
                <w:numId w:val="203"/>
              </w:numPr>
            </w:pPr>
            <w:bookmarkStart w:id="139" w:name="_9kR3WTrAG86CKitjmj09ubZTB32K81HD9FvuG65"/>
            <w:r w:rsidRPr="00F55457">
              <w:t>any event falling within limb</w:t>
            </w:r>
            <w:bookmarkEnd w:id="139"/>
            <w:r w:rsidRPr="00F55457">
              <w:t xml:space="preserve"> </w:t>
            </w:r>
            <w:bookmarkStart w:id="140" w:name="_9kMHG5YVtCIA8EMkvlol2BwdbVD54MA3JFBHxwI"/>
            <w:r w:rsidRPr="00F55457">
              <w:fldChar w:fldCharType="begin"/>
            </w:r>
            <w:r w:rsidRPr="00F55457">
              <w:instrText xml:space="preserve"> REF _Ref_ContractCompanion_9kb9Ur28E \w \n \h \t \* MERGEFORMAT </w:instrText>
            </w:r>
            <w:r w:rsidRPr="00F55457">
              <w:fldChar w:fldCharType="separate"/>
            </w:r>
            <w:bookmarkStart w:id="141" w:name="_9kMHG5YVt4BBFJIivlol2BwdlmGC93x7xfAJBD6"/>
            <w:r w:rsidR="00302D39">
              <w:t>(a)</w:t>
            </w:r>
            <w:bookmarkEnd w:id="141"/>
            <w:r w:rsidRPr="00F55457">
              <w:fldChar w:fldCharType="end"/>
            </w:r>
            <w:bookmarkEnd w:id="140"/>
            <w:r w:rsidRPr="00F55457">
              <w:t xml:space="preserve">, </w:t>
            </w:r>
            <w:bookmarkStart w:id="142" w:name="_9kMHG5YVt4DDEMMr"/>
            <w:r w:rsidRPr="00F55457">
              <w:fldChar w:fldCharType="begin"/>
            </w:r>
            <w:r w:rsidRPr="00F55457">
              <w:instrText xml:space="preserve"> REF _Ref_ContractCompanion_9kb9Ur8GE \w \n \h \t \* MERGEFORMAT </w:instrText>
            </w:r>
            <w:r w:rsidRPr="00F55457">
              <w:fldChar w:fldCharType="separate"/>
            </w:r>
            <w:r w:rsidR="00302D39">
              <w:t>(b)</w:t>
            </w:r>
            <w:r w:rsidRPr="00F55457">
              <w:fldChar w:fldCharType="end"/>
            </w:r>
            <w:bookmarkEnd w:id="142"/>
            <w:r w:rsidRPr="00F55457">
              <w:t xml:space="preserve">, </w:t>
            </w:r>
            <w:bookmarkStart w:id="143" w:name="_9kR3WTr2BBCKHn"/>
            <w:r w:rsidRPr="00F55457">
              <w:fldChar w:fldCharType="begin"/>
            </w:r>
            <w:r w:rsidRPr="00F55457">
              <w:instrText xml:space="preserve"> REF _Ref_ContractCompanion_9kb9Ur8GB \w \n \h \t \* MERGEFORMAT </w:instrText>
            </w:r>
            <w:r w:rsidRPr="00F55457">
              <w:fldChar w:fldCharType="separate"/>
            </w:r>
            <w:r w:rsidR="00302D39">
              <w:t>(c)</w:t>
            </w:r>
            <w:r w:rsidRPr="00F55457">
              <w:fldChar w:fldCharType="end"/>
            </w:r>
            <w:bookmarkEnd w:id="143"/>
            <w:r w:rsidRPr="00F55457">
              <w:t xml:space="preserve">, </w:t>
            </w:r>
            <w:r w:rsidRPr="00F55457">
              <w:fldChar w:fldCharType="begin"/>
            </w:r>
            <w:r w:rsidRPr="00F55457">
              <w:instrText xml:space="preserve"> REF _Ref44573604 \r \h  \* MERGEFORMAT </w:instrText>
            </w:r>
            <w:r w:rsidRPr="00F55457">
              <w:fldChar w:fldCharType="separate"/>
            </w:r>
            <w:r w:rsidR="00302D39">
              <w:t>(e)</w:t>
            </w:r>
            <w:r w:rsidRPr="00F55457">
              <w:fldChar w:fldCharType="end"/>
            </w:r>
            <w:r w:rsidRPr="00F55457">
              <w:t xml:space="preserve">, </w:t>
            </w:r>
            <w:bookmarkStart w:id="144" w:name="_9kMHG5YVtCIA8DGfvlol2BwdlmGC93x7xfAJBD6"/>
            <w:r w:rsidRPr="00F55457">
              <w:fldChar w:fldCharType="begin"/>
            </w:r>
            <w:r w:rsidRPr="00F55457">
              <w:instrText xml:space="preserve"> REF _Ref_ContractCompanion_9kb9Ur278 \w \n \h \t \* MERGEFORMAT </w:instrText>
            </w:r>
            <w:r w:rsidRPr="00F55457">
              <w:fldChar w:fldCharType="separate"/>
            </w:r>
            <w:bookmarkStart w:id="145" w:name="_9kMHG5YVt4BBFJHhvlol2BwdlmGC93x7xfAJBD6"/>
            <w:r w:rsidR="00302D39">
              <w:t>(f)</w:t>
            </w:r>
            <w:bookmarkEnd w:id="145"/>
            <w:r w:rsidRPr="00F55457">
              <w:fldChar w:fldCharType="end"/>
            </w:r>
            <w:bookmarkEnd w:id="144"/>
            <w:r w:rsidRPr="00F55457">
              <w:t xml:space="preserve"> or </w:t>
            </w:r>
            <w:bookmarkStart w:id="146" w:name="_9kMIH5YVtCIA8DDcvlol2BwdlmGC93x7xfAJBD6"/>
            <w:r w:rsidRPr="00F55457">
              <w:fldChar w:fldCharType="begin"/>
            </w:r>
            <w:r w:rsidRPr="00F55457">
              <w:instrText xml:space="preserve"> REF _Ref_ContractCompanion_9kb9Ur26E \w \n \h \t \* MERGEFORMAT </w:instrText>
            </w:r>
            <w:r w:rsidRPr="00F55457">
              <w:fldChar w:fldCharType="separate"/>
            </w:r>
            <w:bookmarkStart w:id="147" w:name="_9kMIH5YVt4BBFJGgvlol2BwdlmGC93x7xfAJBD6"/>
            <w:r w:rsidR="00302D39">
              <w:t>(g)</w:t>
            </w:r>
            <w:bookmarkEnd w:id="147"/>
            <w:r w:rsidRPr="00F55457">
              <w:fldChar w:fldCharType="end"/>
            </w:r>
            <w:bookmarkEnd w:id="146"/>
            <w:r w:rsidRPr="00F55457">
              <w:t xml:space="preserve"> of the definition of a Supplier Termination Event;</w:t>
            </w:r>
          </w:p>
          <w:p w14:paraId="6C187337" w14:textId="77777777" w:rsidR="00F67E9E" w:rsidRPr="00F55457" w:rsidRDefault="00F67E9E" w:rsidP="00F67E9E">
            <w:pPr>
              <w:pStyle w:val="DefinitionList"/>
              <w:numPr>
                <w:ilvl w:val="0"/>
                <w:numId w:val="108"/>
              </w:numPr>
              <w:rPr>
                <w:rFonts w:cs="Arial"/>
              </w:rPr>
            </w:pPr>
            <w:r w:rsidRPr="00F55457">
              <w:rPr>
                <w:rFonts w:cs="Arial"/>
              </w:rPr>
              <w:t>a Default by the Supplier that is materially preventing or materially delaying the performance of the Services or any material part of the Services;</w:t>
            </w:r>
          </w:p>
          <w:p w14:paraId="0108FF31" w14:textId="77777777" w:rsidR="00F67E9E" w:rsidRPr="00F55457" w:rsidRDefault="00F67E9E" w:rsidP="00F67E9E">
            <w:pPr>
              <w:pStyle w:val="DefinitionList"/>
              <w:numPr>
                <w:ilvl w:val="0"/>
                <w:numId w:val="108"/>
              </w:numPr>
              <w:rPr>
                <w:rFonts w:cs="Arial"/>
              </w:rPr>
            </w:pPr>
            <w:r w:rsidRPr="00F55457">
              <w:rPr>
                <w:rFonts w:cs="Arial"/>
              </w:rPr>
              <w:t xml:space="preserve">the Supplier accruing in aggregate </w:t>
            </w:r>
            <w:r w:rsidRPr="00B73DD6">
              <w:rPr>
                <w:rFonts w:cs="Arial"/>
                <w:b/>
                <w:highlight w:val="yellow"/>
              </w:rPr>
              <w:t>[insert</w:t>
            </w:r>
            <w:r w:rsidRPr="001C4B30">
              <w:rPr>
                <w:rStyle w:val="StdBodyTextBoldChar"/>
                <w:rFonts w:cs="Arial"/>
                <w:b w:val="0"/>
                <w:bCs/>
                <w:highlight w:val="yellow"/>
              </w:rPr>
              <w:t xml:space="preserve"> number of points which is 75% of the points that would constitute a “Critical Performance Failure”</w:t>
            </w:r>
            <w:r w:rsidRPr="001C4B30">
              <w:rPr>
                <w:rFonts w:cs="Arial"/>
                <w:highlight w:val="yellow"/>
              </w:rPr>
              <w:t>]</w:t>
            </w:r>
            <w:r w:rsidRPr="00F55457">
              <w:rPr>
                <w:rFonts w:cs="Arial"/>
              </w:rPr>
              <w:t xml:space="preserve"> or more Service Points (in terms of the number of points allocated) in any period of </w:t>
            </w:r>
            <w:r w:rsidRPr="00B73DD6">
              <w:rPr>
                <w:rFonts w:cs="Arial"/>
                <w:b/>
                <w:highlight w:val="yellow"/>
              </w:rPr>
              <w:t>[insert</w:t>
            </w:r>
            <w:r w:rsidRPr="001C4B30">
              <w:rPr>
                <w:rStyle w:val="StdBodyTextBoldChar"/>
                <w:rFonts w:cs="Arial"/>
                <w:b w:val="0"/>
                <w:bCs/>
                <w:highlight w:val="yellow"/>
              </w:rPr>
              <w:t xml:space="preserve"> number of months taken from definition o</w:t>
            </w:r>
            <w:r w:rsidRPr="007159CB">
              <w:rPr>
                <w:rStyle w:val="StdBodyTextBoldChar"/>
                <w:rFonts w:cs="Arial"/>
                <w:b w:val="0"/>
                <w:highlight w:val="yellow"/>
              </w:rPr>
              <w:t>f</w:t>
            </w:r>
            <w:r w:rsidRPr="001C4B30">
              <w:rPr>
                <w:rFonts w:cs="Arial"/>
                <w:highlight w:val="yellow"/>
              </w:rPr>
              <w:t xml:space="preserve"> “Critical Performance Failure”]</w:t>
            </w:r>
            <w:r w:rsidRPr="001C4B30">
              <w:rPr>
                <w:rFonts w:cs="Arial"/>
              </w:rPr>
              <w:t xml:space="preserve"> </w:t>
            </w:r>
            <w:r w:rsidRPr="00F55457">
              <w:rPr>
                <w:rFonts w:cs="Arial"/>
              </w:rPr>
              <w:t xml:space="preserve">months; </w:t>
            </w:r>
          </w:p>
          <w:p w14:paraId="5132B82B" w14:textId="77777777" w:rsidR="00F67E9E" w:rsidRPr="00F55457" w:rsidRDefault="00F67E9E" w:rsidP="00F67E9E">
            <w:pPr>
              <w:pStyle w:val="DefinitionList"/>
              <w:numPr>
                <w:ilvl w:val="0"/>
                <w:numId w:val="108"/>
              </w:numPr>
              <w:rPr>
                <w:rFonts w:cs="Arial"/>
              </w:rPr>
            </w:pPr>
            <w:r w:rsidRPr="00F55457">
              <w:rPr>
                <w:rFonts w:cs="Arial"/>
              </w:rPr>
              <w:t>the Supplier accruing Service Credits which meet or exceed 75% of the Service Credit Cap; and/or</w:t>
            </w:r>
          </w:p>
          <w:p w14:paraId="21D01A66" w14:textId="77777777" w:rsidR="00F67E9E" w:rsidRPr="00F55457" w:rsidRDefault="00F67E9E" w:rsidP="00F67E9E">
            <w:pPr>
              <w:pStyle w:val="DefinitionList"/>
              <w:numPr>
                <w:ilvl w:val="0"/>
                <w:numId w:val="108"/>
              </w:numPr>
              <w:rPr>
                <w:rFonts w:cs="Arial"/>
              </w:rPr>
            </w:pPr>
            <w:r w:rsidRPr="00F55457">
              <w:rPr>
                <w:rFonts w:cs="Arial"/>
              </w:rPr>
              <w:t xml:space="preserve">the Supplier not Achieving a Key Milestone within seventy-five (75) days of its relevant Milestone Date; </w:t>
            </w:r>
          </w:p>
        </w:tc>
      </w:tr>
      <w:tr w:rsidR="00F67E9E" w:rsidRPr="00995964" w14:paraId="09DBDF6A" w14:textId="77777777" w:rsidTr="007F74AA">
        <w:tc>
          <w:tcPr>
            <w:tcW w:w="2835" w:type="dxa"/>
          </w:tcPr>
          <w:p w14:paraId="31E841F7" w14:textId="77777777" w:rsidR="00F67E9E" w:rsidRPr="00995964" w:rsidRDefault="00F67E9E" w:rsidP="007F74AA">
            <w:pPr>
              <w:pStyle w:val="StdBodyTextBold"/>
              <w:rPr>
                <w:rFonts w:cs="Arial"/>
              </w:rPr>
            </w:pPr>
            <w:r>
              <w:rPr>
                <w:rFonts w:cs="Arial"/>
              </w:rPr>
              <w:t>“</w:t>
            </w:r>
            <w:r w:rsidRPr="00995964">
              <w:rPr>
                <w:rFonts w:cs="Arial"/>
              </w:rPr>
              <w:t>IP Completion Day</w:t>
            </w:r>
            <w:r>
              <w:rPr>
                <w:rFonts w:cs="Arial"/>
              </w:rPr>
              <w:t>”</w:t>
            </w:r>
          </w:p>
        </w:tc>
        <w:tc>
          <w:tcPr>
            <w:tcW w:w="6803" w:type="dxa"/>
          </w:tcPr>
          <w:p w14:paraId="36377DA4" w14:textId="77777777" w:rsidR="00F67E9E" w:rsidRPr="008D6A63" w:rsidRDefault="00F67E9E" w:rsidP="007F74AA">
            <w:pPr>
              <w:pStyle w:val="StdBodyText"/>
              <w:rPr>
                <w:rFonts w:cs="Arial"/>
              </w:rPr>
            </w:pPr>
            <w:r w:rsidRPr="008D6A63">
              <w:rPr>
                <w:rFonts w:cs="Arial"/>
              </w:rPr>
              <w:t>has the meaning given to it in the European Union (Withdrawal Agreement) Act 2020;</w:t>
            </w:r>
          </w:p>
        </w:tc>
      </w:tr>
      <w:tr w:rsidR="00F67E9E" w:rsidRPr="00F55457" w14:paraId="10F29C06" w14:textId="77777777" w:rsidTr="007F74AA">
        <w:tc>
          <w:tcPr>
            <w:tcW w:w="2835" w:type="dxa"/>
          </w:tcPr>
          <w:p w14:paraId="53168906" w14:textId="77777777" w:rsidR="00F67E9E" w:rsidRPr="00F55457" w:rsidRDefault="00F67E9E" w:rsidP="007F74AA">
            <w:pPr>
              <w:pStyle w:val="StdBodyTextBold"/>
              <w:rPr>
                <w:rFonts w:cs="Arial"/>
              </w:rPr>
            </w:pPr>
            <w:r>
              <w:rPr>
                <w:rFonts w:cs="Arial"/>
              </w:rPr>
              <w:t>“</w:t>
            </w:r>
            <w:r w:rsidRPr="00F55457">
              <w:rPr>
                <w:rFonts w:cs="Arial"/>
              </w:rPr>
              <w:t>IPRs Claim</w:t>
            </w:r>
            <w:r>
              <w:rPr>
                <w:rFonts w:cs="Arial"/>
              </w:rPr>
              <w:t>”</w:t>
            </w:r>
          </w:p>
        </w:tc>
        <w:tc>
          <w:tcPr>
            <w:tcW w:w="6803" w:type="dxa"/>
          </w:tcPr>
          <w:p w14:paraId="229388C4" w14:textId="77777777" w:rsidR="00F67E9E" w:rsidRPr="008D6A63" w:rsidRDefault="00F67E9E" w:rsidP="007F74AA">
            <w:pPr>
              <w:pStyle w:val="StdBodyText"/>
              <w:rPr>
                <w:rFonts w:cs="Arial"/>
              </w:rPr>
            </w:pPr>
            <w:r w:rsidRPr="008D6A63">
              <w:rPr>
                <w:rFonts w:cs="Arial"/>
              </w:rPr>
              <w:t>any claim against any Indemnified Person of infringement or alleged infringement (including the defence of such infringement or alleged infringement) of any Relevant IPRs save for any such claim to the extent that it is caused by any use by or on behalf of that Indemnified Person of any Relevant IPRs, or the use of the Authority Software by or on behalf of the Supplier, in either case in combination with any item not supplied or recommended by the Supplier pursuant to this Contract or for a purpose not reasonably to be inferred from the Services Description or the provisions of this Contract;</w:t>
            </w:r>
          </w:p>
        </w:tc>
      </w:tr>
      <w:tr w:rsidR="00F67E9E" w:rsidRPr="00F55457" w14:paraId="1BD2FB3B" w14:textId="77777777" w:rsidTr="007F74AA">
        <w:tc>
          <w:tcPr>
            <w:tcW w:w="2835" w:type="dxa"/>
          </w:tcPr>
          <w:p w14:paraId="46585D55" w14:textId="77777777" w:rsidR="00F67E9E" w:rsidRPr="00F55457" w:rsidRDefault="00F67E9E" w:rsidP="007F74AA">
            <w:pPr>
              <w:pStyle w:val="StdBodyTextBold"/>
              <w:rPr>
                <w:rFonts w:cs="Arial"/>
              </w:rPr>
            </w:pPr>
            <w:r>
              <w:rPr>
                <w:rFonts w:cs="Arial"/>
              </w:rPr>
              <w:t>“</w:t>
            </w:r>
            <w:r w:rsidRPr="00F55457">
              <w:rPr>
                <w:rFonts w:cs="Arial"/>
              </w:rPr>
              <w:t>IT</w:t>
            </w:r>
            <w:r>
              <w:rPr>
                <w:rFonts w:cs="Arial"/>
              </w:rPr>
              <w:t>”</w:t>
            </w:r>
          </w:p>
        </w:tc>
        <w:tc>
          <w:tcPr>
            <w:tcW w:w="6803" w:type="dxa"/>
          </w:tcPr>
          <w:p w14:paraId="470166D6" w14:textId="77777777" w:rsidR="00F67E9E" w:rsidRPr="00F55457" w:rsidRDefault="00F67E9E" w:rsidP="007F74AA">
            <w:pPr>
              <w:pStyle w:val="StdBodyText"/>
              <w:rPr>
                <w:rFonts w:cs="Arial"/>
              </w:rPr>
            </w:pPr>
            <w:r w:rsidRPr="00F55457">
              <w:rPr>
                <w:rFonts w:cs="Arial"/>
              </w:rPr>
              <w:t>information and communications technology;</w:t>
            </w:r>
          </w:p>
        </w:tc>
      </w:tr>
      <w:tr w:rsidR="00F67E9E" w:rsidRPr="00F55457" w14:paraId="2EA667F9" w14:textId="77777777" w:rsidTr="007F74AA">
        <w:tc>
          <w:tcPr>
            <w:tcW w:w="2835" w:type="dxa"/>
          </w:tcPr>
          <w:p w14:paraId="07FCD7F6" w14:textId="77777777" w:rsidR="00F67E9E" w:rsidRPr="00F55457" w:rsidRDefault="00F67E9E" w:rsidP="007F74AA">
            <w:pPr>
              <w:pStyle w:val="StdBodyTextBold"/>
              <w:rPr>
                <w:rFonts w:cs="Arial"/>
              </w:rPr>
            </w:pPr>
            <w:r>
              <w:rPr>
                <w:rFonts w:cs="Arial"/>
              </w:rPr>
              <w:t>“</w:t>
            </w:r>
            <w:r w:rsidRPr="00F55457">
              <w:rPr>
                <w:rFonts w:cs="Arial"/>
              </w:rPr>
              <w:t>IT Environment</w:t>
            </w:r>
            <w:r>
              <w:rPr>
                <w:rFonts w:cs="Arial"/>
              </w:rPr>
              <w:t>”</w:t>
            </w:r>
          </w:p>
        </w:tc>
        <w:tc>
          <w:tcPr>
            <w:tcW w:w="6803" w:type="dxa"/>
          </w:tcPr>
          <w:p w14:paraId="09F59D76" w14:textId="77777777" w:rsidR="00F67E9E" w:rsidRPr="00F55457" w:rsidRDefault="00F67E9E" w:rsidP="007F74AA">
            <w:pPr>
              <w:pStyle w:val="StdBodyText"/>
              <w:rPr>
                <w:rFonts w:cs="Arial"/>
              </w:rPr>
            </w:pPr>
            <w:r w:rsidRPr="00F55457">
              <w:rPr>
                <w:rFonts w:cs="Arial"/>
              </w:rPr>
              <w:t>the Authority System and the Supplier System;</w:t>
            </w:r>
          </w:p>
        </w:tc>
      </w:tr>
      <w:tr w:rsidR="00F67E9E" w:rsidRPr="00F55457" w14:paraId="4867FB32" w14:textId="77777777" w:rsidTr="007F74AA">
        <w:tc>
          <w:tcPr>
            <w:tcW w:w="2835" w:type="dxa"/>
          </w:tcPr>
          <w:p w14:paraId="40EF8676" w14:textId="77777777" w:rsidR="00F67E9E" w:rsidRPr="00F55457" w:rsidRDefault="00F67E9E" w:rsidP="007F74AA">
            <w:pPr>
              <w:pStyle w:val="StdBodyTextBold"/>
              <w:rPr>
                <w:rFonts w:cs="Arial"/>
              </w:rPr>
            </w:pPr>
            <w:r>
              <w:rPr>
                <w:rFonts w:cs="Arial"/>
              </w:rPr>
              <w:t>“</w:t>
            </w:r>
            <w:r w:rsidRPr="00F55457">
              <w:rPr>
                <w:rFonts w:cs="Arial"/>
              </w:rPr>
              <w:t>Joint Controllers</w:t>
            </w:r>
            <w:r>
              <w:rPr>
                <w:rFonts w:cs="Arial"/>
              </w:rPr>
              <w:t>”</w:t>
            </w:r>
          </w:p>
        </w:tc>
        <w:tc>
          <w:tcPr>
            <w:tcW w:w="6803" w:type="dxa"/>
          </w:tcPr>
          <w:p w14:paraId="40062FE3" w14:textId="77777777" w:rsidR="00F67E9E" w:rsidRPr="00F55457" w:rsidRDefault="00F67E9E" w:rsidP="007F74AA">
            <w:pPr>
              <w:pStyle w:val="StdBodyText"/>
              <w:rPr>
                <w:rFonts w:cs="Arial"/>
              </w:rPr>
            </w:pPr>
            <w:r w:rsidRPr="00C166BF">
              <w:rPr>
                <w:rFonts w:cs="Arial"/>
              </w:rPr>
              <w:t>has the meaning given in Article 26 of the UK GDPR, or EU GDPR, as the context requires</w:t>
            </w:r>
            <w:r w:rsidRPr="00F55457">
              <w:rPr>
                <w:rFonts w:cs="Arial"/>
              </w:rPr>
              <w:t>;</w:t>
            </w:r>
          </w:p>
        </w:tc>
      </w:tr>
      <w:tr w:rsidR="00F67E9E" w:rsidRPr="00F55457" w14:paraId="335D3CE4" w14:textId="77777777" w:rsidTr="007F74AA">
        <w:tc>
          <w:tcPr>
            <w:tcW w:w="2835" w:type="dxa"/>
          </w:tcPr>
          <w:p w14:paraId="581C7DF0" w14:textId="77777777" w:rsidR="00F67E9E" w:rsidRPr="00F55457" w:rsidRDefault="00F67E9E" w:rsidP="007F74AA">
            <w:pPr>
              <w:pStyle w:val="StdBodyTextBold"/>
              <w:rPr>
                <w:rFonts w:cs="Arial"/>
              </w:rPr>
            </w:pPr>
            <w:r>
              <w:rPr>
                <w:rFonts w:cs="Arial"/>
              </w:rPr>
              <w:t>“</w:t>
            </w:r>
            <w:r w:rsidRPr="00F55457">
              <w:rPr>
                <w:rFonts w:cs="Arial"/>
              </w:rPr>
              <w:t>Key Milestone</w:t>
            </w:r>
            <w:r>
              <w:rPr>
                <w:rFonts w:cs="Arial"/>
              </w:rPr>
              <w:t>”</w:t>
            </w:r>
          </w:p>
        </w:tc>
        <w:tc>
          <w:tcPr>
            <w:tcW w:w="6803" w:type="dxa"/>
          </w:tcPr>
          <w:p w14:paraId="581832AF" w14:textId="3D920290" w:rsidR="00F67E9E" w:rsidRPr="00F55457" w:rsidRDefault="00F67E9E" w:rsidP="007F74AA">
            <w:pPr>
              <w:pStyle w:val="StdBodyText"/>
              <w:rPr>
                <w:rFonts w:cs="Arial"/>
              </w:rPr>
            </w:pPr>
            <w:r w:rsidRPr="00F55457">
              <w:rPr>
                <w:rFonts w:cs="Arial"/>
              </w:rPr>
              <w:t>the Milestones identified in the Implementation Plan as key milestones and in respect of which Delay Payments may be payable in accordanc</w:t>
            </w:r>
            <w:r w:rsidRPr="008D6A63">
              <w:rPr>
                <w:rFonts w:cs="Arial"/>
              </w:rPr>
              <w:t>e with Paragraph</w:t>
            </w:r>
            <w:bookmarkStart w:id="148" w:name="_9kMIH5YVt4EE6DLfGpqgyts0D"/>
            <w:r w:rsidRPr="008D6A63">
              <w:rPr>
                <w:rFonts w:cs="Arial"/>
              </w:rPr>
              <w:t xml:space="preserve"> </w:t>
            </w:r>
            <w:bookmarkEnd w:id="148"/>
            <w:r w:rsidRPr="008D6A63">
              <w:rPr>
                <w:rFonts w:cs="Arial"/>
              </w:rPr>
              <w:fldChar w:fldCharType="begin"/>
            </w:r>
            <w:r w:rsidRPr="008D6A63">
              <w:rPr>
                <w:rFonts w:cs="Arial"/>
              </w:rPr>
              <w:instrText xml:space="preserve"> REF _Ref44509569 \w \h  \* MERGEFORMAT </w:instrText>
            </w:r>
            <w:r w:rsidRPr="008D6A63">
              <w:rPr>
                <w:rFonts w:cs="Arial"/>
              </w:rPr>
            </w:r>
            <w:r w:rsidRPr="008D6A63">
              <w:rPr>
                <w:rFonts w:cs="Arial"/>
              </w:rPr>
              <w:fldChar w:fldCharType="separate"/>
            </w:r>
            <w:r w:rsidR="00302D39">
              <w:rPr>
                <w:rFonts w:cs="Arial"/>
              </w:rPr>
              <w:t>1</w:t>
            </w:r>
            <w:r w:rsidRPr="008D6A63">
              <w:rPr>
                <w:rFonts w:cs="Arial"/>
              </w:rPr>
              <w:fldChar w:fldCharType="end"/>
            </w:r>
            <w:r w:rsidRPr="008D6A63">
              <w:rPr>
                <w:rFonts w:cs="Arial"/>
              </w:rPr>
              <w:t xml:space="preserve"> of </w:t>
            </w:r>
            <w:r w:rsidRPr="008D6A63">
              <w:rPr>
                <w:rFonts w:cs="Arial"/>
              </w:rPr>
              <w:fldChar w:fldCharType="begin"/>
            </w:r>
            <w:r w:rsidRPr="008D6A63">
              <w:rPr>
                <w:rFonts w:cs="Arial"/>
              </w:rPr>
              <w:instrText xml:space="preserve"> REF Sch15PartC \h  \* MERGEFORMAT </w:instrText>
            </w:r>
            <w:r w:rsidRPr="008D6A63">
              <w:rPr>
                <w:rFonts w:cs="Arial"/>
              </w:rPr>
            </w:r>
            <w:r w:rsidRPr="008D6A63">
              <w:rPr>
                <w:rFonts w:cs="Arial"/>
              </w:rPr>
              <w:fldChar w:fldCharType="separate"/>
            </w:r>
            <w:r w:rsidR="00302D39" w:rsidRPr="00302D39">
              <w:rPr>
                <w:rFonts w:cs="Arial"/>
              </w:rPr>
              <w:t>Part C</w:t>
            </w:r>
            <w:r w:rsidRPr="008D6A63">
              <w:rPr>
                <w:rFonts w:cs="Arial"/>
              </w:rPr>
              <w:fldChar w:fldCharType="end"/>
            </w:r>
            <w:r w:rsidRPr="00F55457">
              <w:rPr>
                <w:rFonts w:cs="Arial"/>
              </w:rPr>
              <w:t xml:space="preserve"> of </w:t>
            </w:r>
            <w:r>
              <w:rPr>
                <w:rFonts w:cs="Arial"/>
              </w:rPr>
              <w:fldChar w:fldCharType="begin"/>
            </w:r>
            <w:r>
              <w:rPr>
                <w:rFonts w:cs="Arial"/>
              </w:rPr>
              <w:instrText xml:space="preserve"> REF Schedule15 \h </w:instrText>
            </w:r>
            <w:r>
              <w:rPr>
                <w:rFonts w:cs="Arial"/>
              </w:rPr>
            </w:r>
            <w:r>
              <w:rPr>
                <w:rFonts w:cs="Arial"/>
              </w:rPr>
              <w:fldChar w:fldCharType="separate"/>
            </w:r>
            <w:r w:rsidR="00302D39" w:rsidRPr="005D0525">
              <w:t>Schedule</w:t>
            </w:r>
            <w:r w:rsidR="00302D39">
              <w:t> </w:t>
            </w:r>
            <w:r w:rsidR="00302D39" w:rsidRPr="005D0525">
              <w:t>15</w:t>
            </w:r>
            <w:r>
              <w:rPr>
                <w:rFonts w:cs="Arial"/>
              </w:rPr>
              <w:fldChar w:fldCharType="end"/>
            </w:r>
            <w:r>
              <w:rPr>
                <w:rFonts w:cs="Arial"/>
              </w:rPr>
              <w:t xml:space="preserve"> (</w:t>
            </w:r>
            <w:r w:rsidRPr="00B91437">
              <w:rPr>
                <w:rFonts w:cs="Arial"/>
                <w:i/>
                <w:iCs/>
              </w:rPr>
              <w:fldChar w:fldCharType="begin"/>
            </w:r>
            <w:r w:rsidRPr="00B91437">
              <w:rPr>
                <w:rFonts w:cs="Arial"/>
                <w:i/>
                <w:iCs/>
              </w:rPr>
              <w:instrText xml:space="preserve"> REF Schedule15Heading \h </w:instrText>
            </w:r>
            <w:r>
              <w:rPr>
                <w:rFonts w:cs="Arial"/>
                <w:i/>
                <w:iCs/>
              </w:rPr>
              <w:instrText xml:space="preserve"> \* MERGEFORMAT </w:instrText>
            </w:r>
            <w:r w:rsidRPr="00B91437">
              <w:rPr>
                <w:rFonts w:cs="Arial"/>
                <w:i/>
                <w:iCs/>
              </w:rPr>
            </w:r>
            <w:r w:rsidRPr="00B91437">
              <w:rPr>
                <w:rFonts w:cs="Arial"/>
                <w:i/>
                <w:iCs/>
              </w:rPr>
              <w:fldChar w:fldCharType="separate"/>
            </w:r>
            <w:r w:rsidR="00302D39" w:rsidRPr="00302D39">
              <w:rPr>
                <w:i/>
                <w:iCs/>
              </w:rPr>
              <w:t>Charges and Invoicing</w:t>
            </w:r>
            <w:r w:rsidRPr="00B91437">
              <w:rPr>
                <w:rFonts w:cs="Arial"/>
                <w:i/>
                <w:iCs/>
              </w:rPr>
              <w:fldChar w:fldCharType="end"/>
            </w:r>
            <w:r>
              <w:rPr>
                <w:rFonts w:cs="Arial"/>
              </w:rPr>
              <w:t>)</w:t>
            </w:r>
            <w:r w:rsidRPr="00F55457">
              <w:rPr>
                <w:rFonts w:cs="Arial"/>
              </w:rPr>
              <w:t xml:space="preserve"> if the Supplier fails to Achieve the Milestone Date in respect of such Milestone;</w:t>
            </w:r>
          </w:p>
        </w:tc>
      </w:tr>
      <w:tr w:rsidR="00F67E9E" w:rsidRPr="00F55457" w14:paraId="2E420D41" w14:textId="77777777" w:rsidTr="007F74AA">
        <w:tc>
          <w:tcPr>
            <w:tcW w:w="2835" w:type="dxa"/>
          </w:tcPr>
          <w:p w14:paraId="1AF5BE16" w14:textId="77777777" w:rsidR="00F67E9E" w:rsidRPr="00F55457" w:rsidRDefault="00F67E9E" w:rsidP="007F74AA">
            <w:pPr>
              <w:pStyle w:val="StdBodyTextBold"/>
              <w:rPr>
                <w:rFonts w:cs="Arial"/>
              </w:rPr>
            </w:pPr>
            <w:r>
              <w:rPr>
                <w:rFonts w:cs="Arial"/>
              </w:rPr>
              <w:t>“</w:t>
            </w:r>
            <w:r w:rsidRPr="00F55457">
              <w:rPr>
                <w:rFonts w:cs="Arial"/>
              </w:rPr>
              <w:t>Key Performance Indicator</w:t>
            </w:r>
            <w:r>
              <w:rPr>
                <w:rFonts w:cs="Arial"/>
              </w:rPr>
              <w:t>”</w:t>
            </w:r>
          </w:p>
        </w:tc>
        <w:tc>
          <w:tcPr>
            <w:tcW w:w="6803" w:type="dxa"/>
          </w:tcPr>
          <w:p w14:paraId="608A21DD" w14:textId="200E0204" w:rsidR="00F67E9E" w:rsidRPr="00973218" w:rsidRDefault="00F67E9E" w:rsidP="007F74AA">
            <w:pPr>
              <w:pStyle w:val="StdBodyText"/>
              <w:rPr>
                <w:rFonts w:cs="Arial"/>
              </w:rPr>
            </w:pPr>
            <w:r w:rsidRPr="00973218">
              <w:rPr>
                <w:rFonts w:cs="Arial"/>
              </w:rPr>
              <w:t xml:space="preserve">the key </w:t>
            </w:r>
            <w:r w:rsidRPr="00973218">
              <w:t>p</w:t>
            </w:r>
            <w:r w:rsidRPr="00973218">
              <w:rPr>
                <w:rFonts w:cs="Arial"/>
              </w:rPr>
              <w:t xml:space="preserve">erformance indicators set out in </w:t>
            </w:r>
            <w:bookmarkStart w:id="149" w:name="_9kR3WTr2CC56AeIXjn4"/>
            <w:r w:rsidRPr="00973218">
              <w:rPr>
                <w:rFonts w:cs="Arial"/>
              </w:rPr>
              <w:t>Table 1</w:t>
            </w:r>
            <w:bookmarkEnd w:id="149"/>
            <w:r w:rsidRPr="00973218">
              <w:rPr>
                <w:rFonts w:cs="Arial"/>
              </w:rPr>
              <w:t xml:space="preserve"> of </w:t>
            </w:r>
            <w:r w:rsidRPr="00973218">
              <w:fldChar w:fldCharType="begin"/>
            </w:r>
            <w:r w:rsidRPr="00973218">
              <w:instrText xml:space="preserve"> REF Sch3Ann1PartA \h </w:instrText>
            </w:r>
            <w:r>
              <w:instrText xml:space="preserve"> \* MERGEFORMAT </w:instrText>
            </w:r>
            <w:r w:rsidRPr="00973218">
              <w:fldChar w:fldCharType="separate"/>
            </w:r>
            <w:r w:rsidR="00302D39" w:rsidRPr="0089405F">
              <w:t>Part A</w:t>
            </w:r>
            <w:r w:rsidRPr="00973218">
              <w:fldChar w:fldCharType="end"/>
            </w:r>
            <w:r w:rsidRPr="00973218">
              <w:rPr>
                <w:rFonts w:cs="Arial"/>
              </w:rPr>
              <w:t xml:space="preserve"> of </w:t>
            </w:r>
            <w:r w:rsidRPr="00973218">
              <w:rPr>
                <w:rFonts w:cs="Arial"/>
              </w:rPr>
              <w:fldChar w:fldCharType="begin"/>
            </w:r>
            <w:r w:rsidRPr="00973218">
              <w:rPr>
                <w:rFonts w:cs="Arial"/>
              </w:rPr>
              <w:instrText xml:space="preserve"> REF ANNEX1_SCHEDULE3 \h </w:instrText>
            </w:r>
            <w:r>
              <w:rPr>
                <w:rFonts w:cs="Arial"/>
              </w:rPr>
              <w:instrText xml:space="preserve"> \* MERGEFORMAT </w:instrText>
            </w:r>
            <w:r w:rsidRPr="00973218">
              <w:rPr>
                <w:rFonts w:cs="Arial"/>
              </w:rPr>
            </w:r>
            <w:r w:rsidRPr="00973218">
              <w:rPr>
                <w:rFonts w:cs="Arial"/>
              </w:rPr>
              <w:fldChar w:fldCharType="separate"/>
            </w:r>
            <w:r w:rsidR="00302D39" w:rsidRPr="00302D39">
              <w:rPr>
                <w:rFonts w:cs="Arial"/>
              </w:rPr>
              <w:t>Annex 1</w:t>
            </w:r>
            <w:r w:rsidRPr="00973218">
              <w:rPr>
                <w:rFonts w:cs="Arial"/>
              </w:rPr>
              <w:fldChar w:fldCharType="end"/>
            </w:r>
            <w:r w:rsidRPr="00973218">
              <w:rPr>
                <w:rFonts w:cs="Arial"/>
              </w:rPr>
              <w:t xml:space="preserve"> of </w:t>
            </w:r>
            <w:r>
              <w:rPr>
                <w:rFonts w:cs="Arial"/>
              </w:rPr>
              <w:fldChar w:fldCharType="begin"/>
            </w:r>
            <w:r>
              <w:rPr>
                <w:rFonts w:cs="Arial"/>
              </w:rPr>
              <w:instrText xml:space="preserve"> REF Schedule3 \h </w:instrText>
            </w:r>
            <w:r>
              <w:rPr>
                <w:rFonts w:cs="Arial"/>
              </w:rPr>
            </w:r>
            <w:r>
              <w:rPr>
                <w:rFonts w:cs="Arial"/>
              </w:rPr>
              <w:fldChar w:fldCharType="separate"/>
            </w:r>
            <w:r w:rsidR="00302D39" w:rsidRPr="005D0525">
              <w:t>Schedule</w:t>
            </w:r>
            <w:r w:rsidR="00302D39">
              <w:t> </w:t>
            </w:r>
            <w:r w:rsidR="00302D39" w:rsidRPr="005D0525">
              <w:t>3</w:t>
            </w:r>
            <w:r>
              <w:rPr>
                <w:rFonts w:cs="Arial"/>
              </w:rPr>
              <w:fldChar w:fldCharType="end"/>
            </w:r>
            <w:r>
              <w:rPr>
                <w:rFonts w:cs="Arial"/>
              </w:rPr>
              <w:t xml:space="preserve"> (</w:t>
            </w:r>
            <w:r w:rsidRPr="00A22335">
              <w:rPr>
                <w:rFonts w:cs="Arial"/>
                <w:i/>
                <w:iCs/>
              </w:rPr>
              <w:fldChar w:fldCharType="begin"/>
            </w:r>
            <w:r w:rsidRPr="00A22335">
              <w:rPr>
                <w:rFonts w:cs="Arial"/>
                <w:i/>
                <w:iCs/>
              </w:rPr>
              <w:instrText xml:space="preserve"> REF Schedule3Heading \h </w:instrText>
            </w:r>
            <w:r>
              <w:rPr>
                <w:rFonts w:cs="Arial"/>
                <w:i/>
                <w:iCs/>
              </w:rPr>
              <w:instrText xml:space="preserve"> \* MERGEFORMAT </w:instrText>
            </w:r>
            <w:r w:rsidRPr="00A22335">
              <w:rPr>
                <w:rFonts w:cs="Arial"/>
                <w:i/>
                <w:iCs/>
              </w:rPr>
            </w:r>
            <w:r w:rsidRPr="00A22335">
              <w:rPr>
                <w:rFonts w:cs="Arial"/>
                <w:i/>
                <w:iCs/>
              </w:rPr>
              <w:fldChar w:fldCharType="separate"/>
            </w:r>
            <w:r w:rsidR="00302D39" w:rsidRPr="00302D39">
              <w:rPr>
                <w:i/>
                <w:iCs/>
              </w:rPr>
              <w:t>Performance Levels</w:t>
            </w:r>
            <w:r w:rsidRPr="00A22335">
              <w:rPr>
                <w:rFonts w:cs="Arial"/>
                <w:i/>
                <w:iCs/>
              </w:rPr>
              <w:fldChar w:fldCharType="end"/>
            </w:r>
            <w:r>
              <w:rPr>
                <w:rFonts w:cs="Arial"/>
              </w:rPr>
              <w:t>)</w:t>
            </w:r>
            <w:r w:rsidRPr="00973218">
              <w:rPr>
                <w:rFonts w:cs="Arial"/>
              </w:rPr>
              <w:t>;</w:t>
            </w:r>
          </w:p>
        </w:tc>
      </w:tr>
      <w:tr w:rsidR="00F67E9E" w:rsidRPr="00F55457" w14:paraId="7454E683" w14:textId="77777777" w:rsidTr="007F74AA">
        <w:tc>
          <w:tcPr>
            <w:tcW w:w="2835" w:type="dxa"/>
          </w:tcPr>
          <w:p w14:paraId="370334A8" w14:textId="77777777" w:rsidR="00F67E9E" w:rsidRPr="008D6A63" w:rsidRDefault="00F67E9E" w:rsidP="007F74AA">
            <w:pPr>
              <w:pStyle w:val="StdBodyTextBold"/>
              <w:rPr>
                <w:rFonts w:cs="Arial"/>
              </w:rPr>
            </w:pPr>
            <w:r>
              <w:rPr>
                <w:rFonts w:cs="Arial"/>
              </w:rPr>
              <w:t>“</w:t>
            </w:r>
            <w:r w:rsidRPr="008D6A63">
              <w:rPr>
                <w:rFonts w:cs="Arial"/>
              </w:rPr>
              <w:t>Key Personnel</w:t>
            </w:r>
            <w:r>
              <w:rPr>
                <w:rFonts w:cs="Arial"/>
              </w:rPr>
              <w:t>”</w:t>
            </w:r>
          </w:p>
        </w:tc>
        <w:tc>
          <w:tcPr>
            <w:tcW w:w="6803" w:type="dxa"/>
          </w:tcPr>
          <w:p w14:paraId="1107D3CC" w14:textId="51F565D8" w:rsidR="00F67E9E" w:rsidRPr="008D6A63" w:rsidRDefault="00F67E9E" w:rsidP="007F74AA">
            <w:pPr>
              <w:pStyle w:val="StdBodyText"/>
              <w:rPr>
                <w:rFonts w:cs="Arial"/>
              </w:rPr>
            </w:pPr>
            <w:r w:rsidRPr="008D6A63">
              <w:rPr>
                <w:rFonts w:cs="Arial"/>
              </w:rPr>
              <w:t xml:space="preserve">those persons appointed by the Supplier to fulfil the Key Roles, being the persons listed in </w:t>
            </w:r>
            <w:r>
              <w:rPr>
                <w:rFonts w:cs="Arial"/>
              </w:rPr>
              <w:fldChar w:fldCharType="begin"/>
            </w:r>
            <w:r>
              <w:rPr>
                <w:rFonts w:cs="Arial"/>
              </w:rPr>
              <w:instrText xml:space="preserve"> REF Schedule29 \h </w:instrText>
            </w:r>
            <w:r>
              <w:rPr>
                <w:rFonts w:cs="Arial"/>
              </w:rPr>
            </w:r>
            <w:r>
              <w:rPr>
                <w:rFonts w:cs="Arial"/>
              </w:rPr>
              <w:fldChar w:fldCharType="separate"/>
            </w:r>
            <w:r w:rsidR="00302D39" w:rsidRPr="00DD4CC2">
              <w:t>Schedule</w:t>
            </w:r>
            <w:r w:rsidR="00302D39">
              <w:t> </w:t>
            </w:r>
            <w:r w:rsidR="00302D39" w:rsidRPr="00DD4CC2">
              <w:t>29</w:t>
            </w:r>
            <w:r>
              <w:rPr>
                <w:rFonts w:cs="Arial"/>
              </w:rPr>
              <w:fldChar w:fldCharType="end"/>
            </w:r>
            <w:r>
              <w:rPr>
                <w:rFonts w:cs="Arial"/>
              </w:rPr>
              <w:t xml:space="preserve"> (</w:t>
            </w:r>
            <w:r w:rsidRPr="006F064F">
              <w:rPr>
                <w:rFonts w:cs="Arial"/>
                <w:i/>
                <w:iCs/>
              </w:rPr>
              <w:fldChar w:fldCharType="begin"/>
            </w:r>
            <w:r w:rsidRPr="006F064F">
              <w:rPr>
                <w:rFonts w:cs="Arial"/>
                <w:i/>
                <w:iCs/>
              </w:rPr>
              <w:instrText xml:space="preserve"> REF Schedule29Heading \h </w:instrText>
            </w:r>
            <w:r>
              <w:rPr>
                <w:rFonts w:cs="Arial"/>
                <w:i/>
                <w:iCs/>
              </w:rPr>
              <w:instrText xml:space="preserve"> \* MERGEFORMAT </w:instrText>
            </w:r>
            <w:r w:rsidRPr="006F064F">
              <w:rPr>
                <w:rFonts w:cs="Arial"/>
                <w:i/>
                <w:iCs/>
              </w:rPr>
            </w:r>
            <w:r w:rsidRPr="006F064F">
              <w:rPr>
                <w:rFonts w:cs="Arial"/>
                <w:i/>
                <w:iCs/>
              </w:rPr>
              <w:fldChar w:fldCharType="separate"/>
            </w:r>
            <w:r w:rsidR="00302D39" w:rsidRPr="00302D39">
              <w:rPr>
                <w:i/>
                <w:iCs/>
              </w:rPr>
              <w:t>Key Personnel</w:t>
            </w:r>
            <w:r w:rsidRPr="006F064F">
              <w:rPr>
                <w:rFonts w:cs="Arial"/>
                <w:i/>
                <w:iCs/>
              </w:rPr>
              <w:fldChar w:fldCharType="end"/>
            </w:r>
            <w:r>
              <w:rPr>
                <w:rFonts w:cs="Arial"/>
              </w:rPr>
              <w:t>)</w:t>
            </w:r>
            <w:r w:rsidRPr="008D6A63">
              <w:rPr>
                <w:rFonts w:cs="Arial"/>
              </w:rPr>
              <w:t xml:space="preserve"> against each Key Role as at the Effective Date or as amended from time to time in accordance with </w:t>
            </w:r>
            <w:bookmarkStart w:id="150" w:name="_9kMHG5YVtCIAEICBFKkUmYjD960u4JAtyADHOSE"/>
            <w:r w:rsidRPr="008D6A63">
              <w:rPr>
                <w:rFonts w:cs="Arial"/>
              </w:rPr>
              <w:t xml:space="preserve">Clauses </w:t>
            </w:r>
            <w:bookmarkEnd w:id="150"/>
            <w:r w:rsidRPr="008D6A63">
              <w:rPr>
                <w:rFonts w:cs="Arial"/>
              </w:rPr>
              <w:t>14.5 and 14.6 (</w:t>
            </w:r>
            <w:r w:rsidRPr="00C04B2F">
              <w:rPr>
                <w:rFonts w:cs="Arial"/>
                <w:i/>
                <w:iCs/>
              </w:rPr>
              <w:t>Key Personnel</w:t>
            </w:r>
            <w:r w:rsidRPr="008D6A63">
              <w:rPr>
                <w:rFonts w:cs="Arial"/>
              </w:rPr>
              <w:t>);</w:t>
            </w:r>
          </w:p>
        </w:tc>
      </w:tr>
      <w:tr w:rsidR="00F67E9E" w:rsidRPr="00F55457" w14:paraId="712A8A0C" w14:textId="77777777" w:rsidTr="007F74AA">
        <w:tc>
          <w:tcPr>
            <w:tcW w:w="2835" w:type="dxa"/>
          </w:tcPr>
          <w:p w14:paraId="781C32A3" w14:textId="77777777" w:rsidR="00F67E9E" w:rsidRPr="008D6A63" w:rsidRDefault="00F67E9E" w:rsidP="007F74AA">
            <w:pPr>
              <w:pStyle w:val="StdBodyTextBold"/>
              <w:rPr>
                <w:rFonts w:cs="Arial"/>
              </w:rPr>
            </w:pPr>
            <w:r>
              <w:rPr>
                <w:rFonts w:cs="Arial"/>
              </w:rPr>
              <w:t>“</w:t>
            </w:r>
            <w:r w:rsidRPr="008D6A63">
              <w:rPr>
                <w:rFonts w:cs="Arial"/>
              </w:rPr>
              <w:t>Key Roles</w:t>
            </w:r>
            <w:r>
              <w:rPr>
                <w:rFonts w:cs="Arial"/>
              </w:rPr>
              <w:t>”</w:t>
            </w:r>
          </w:p>
        </w:tc>
        <w:tc>
          <w:tcPr>
            <w:tcW w:w="6803" w:type="dxa"/>
          </w:tcPr>
          <w:p w14:paraId="6CCF8B93" w14:textId="6C8B6659" w:rsidR="00F67E9E" w:rsidRPr="008D6A63" w:rsidRDefault="00F67E9E" w:rsidP="007F74AA">
            <w:pPr>
              <w:pStyle w:val="StdBodyText"/>
              <w:rPr>
                <w:rFonts w:cs="Arial"/>
              </w:rPr>
            </w:pPr>
            <w:r w:rsidRPr="008D6A63">
              <w:rPr>
                <w:rFonts w:cs="Arial"/>
              </w:rPr>
              <w:t xml:space="preserve">a role described as a Key Role in </w:t>
            </w:r>
            <w:r>
              <w:rPr>
                <w:rFonts w:cs="Arial"/>
              </w:rPr>
              <w:fldChar w:fldCharType="begin"/>
            </w:r>
            <w:r>
              <w:rPr>
                <w:rFonts w:cs="Arial"/>
              </w:rPr>
              <w:instrText xml:space="preserve"> REF Schedule29 \h </w:instrText>
            </w:r>
            <w:r>
              <w:rPr>
                <w:rFonts w:cs="Arial"/>
              </w:rPr>
            </w:r>
            <w:r>
              <w:rPr>
                <w:rFonts w:cs="Arial"/>
              </w:rPr>
              <w:fldChar w:fldCharType="separate"/>
            </w:r>
            <w:r w:rsidR="00302D39" w:rsidRPr="00DD4CC2">
              <w:t>Schedule</w:t>
            </w:r>
            <w:r w:rsidR="00302D39">
              <w:t> </w:t>
            </w:r>
            <w:r w:rsidR="00302D39" w:rsidRPr="00DD4CC2">
              <w:t>29</w:t>
            </w:r>
            <w:r>
              <w:rPr>
                <w:rFonts w:cs="Arial"/>
              </w:rPr>
              <w:fldChar w:fldCharType="end"/>
            </w:r>
            <w:r>
              <w:rPr>
                <w:rFonts w:cs="Arial"/>
              </w:rPr>
              <w:t xml:space="preserve"> (</w:t>
            </w:r>
            <w:r w:rsidRPr="006F064F">
              <w:rPr>
                <w:rFonts w:cs="Arial"/>
                <w:i/>
                <w:iCs/>
              </w:rPr>
              <w:fldChar w:fldCharType="begin"/>
            </w:r>
            <w:r w:rsidRPr="006F064F">
              <w:rPr>
                <w:rFonts w:cs="Arial"/>
                <w:i/>
                <w:iCs/>
              </w:rPr>
              <w:instrText xml:space="preserve"> REF Schedule29Heading \h </w:instrText>
            </w:r>
            <w:r>
              <w:rPr>
                <w:rFonts w:cs="Arial"/>
                <w:i/>
                <w:iCs/>
              </w:rPr>
              <w:instrText xml:space="preserve"> \* MERGEFORMAT </w:instrText>
            </w:r>
            <w:r w:rsidRPr="006F064F">
              <w:rPr>
                <w:rFonts w:cs="Arial"/>
                <w:i/>
                <w:iCs/>
              </w:rPr>
            </w:r>
            <w:r w:rsidRPr="006F064F">
              <w:rPr>
                <w:rFonts w:cs="Arial"/>
                <w:i/>
                <w:iCs/>
              </w:rPr>
              <w:fldChar w:fldCharType="separate"/>
            </w:r>
            <w:r w:rsidR="00302D39" w:rsidRPr="00302D39">
              <w:rPr>
                <w:i/>
                <w:iCs/>
              </w:rPr>
              <w:t>Key Personnel</w:t>
            </w:r>
            <w:r w:rsidRPr="006F064F">
              <w:rPr>
                <w:rFonts w:cs="Arial"/>
                <w:i/>
                <w:iCs/>
              </w:rPr>
              <w:fldChar w:fldCharType="end"/>
            </w:r>
            <w:r>
              <w:rPr>
                <w:rFonts w:cs="Arial"/>
              </w:rPr>
              <w:t>)</w:t>
            </w:r>
            <w:r w:rsidRPr="008D6A63">
              <w:rPr>
                <w:rFonts w:cs="Arial"/>
              </w:rPr>
              <w:t xml:space="preserve"> and any additional roles added from time to time in accordance with </w:t>
            </w:r>
            <w:bookmarkStart w:id="151" w:name="_9kMHG5YVtCIAEIFEFJjUmGRH51C7ARLyBK0x8OK"/>
            <w:r w:rsidRPr="008D6A63">
              <w:rPr>
                <w:rFonts w:cs="Arial"/>
              </w:rPr>
              <w:t xml:space="preserve">Clause </w:t>
            </w:r>
            <w:bookmarkEnd w:id="151"/>
            <w:r w:rsidRPr="008D6A63">
              <w:rPr>
                <w:rFonts w:cs="Arial"/>
              </w:rPr>
              <w:t>14.4 (</w:t>
            </w:r>
            <w:r w:rsidRPr="00C04B2F">
              <w:rPr>
                <w:rFonts w:cs="Arial"/>
                <w:i/>
                <w:iCs/>
              </w:rPr>
              <w:t>Key Personnel</w:t>
            </w:r>
            <w:r w:rsidRPr="008D6A63">
              <w:rPr>
                <w:rFonts w:cs="Arial"/>
              </w:rPr>
              <w:t>);</w:t>
            </w:r>
          </w:p>
        </w:tc>
      </w:tr>
      <w:tr w:rsidR="00F67E9E" w:rsidRPr="00F55457" w14:paraId="00EBA7B8" w14:textId="77777777" w:rsidTr="007F74AA">
        <w:tc>
          <w:tcPr>
            <w:tcW w:w="2835" w:type="dxa"/>
          </w:tcPr>
          <w:p w14:paraId="07FEF41C" w14:textId="77777777" w:rsidR="00F67E9E" w:rsidRPr="008D6A63" w:rsidRDefault="00F67E9E" w:rsidP="007F74AA">
            <w:pPr>
              <w:pStyle w:val="StdBodyTextBold"/>
              <w:rPr>
                <w:rFonts w:cs="Arial"/>
              </w:rPr>
            </w:pPr>
            <w:r>
              <w:rPr>
                <w:rFonts w:cs="Arial"/>
              </w:rPr>
              <w:t>“</w:t>
            </w:r>
            <w:r w:rsidRPr="008D6A63">
              <w:rPr>
                <w:rFonts w:cs="Arial"/>
              </w:rPr>
              <w:t>Key Sub-contract</w:t>
            </w:r>
            <w:r>
              <w:rPr>
                <w:rFonts w:cs="Arial"/>
              </w:rPr>
              <w:t>”</w:t>
            </w:r>
          </w:p>
        </w:tc>
        <w:tc>
          <w:tcPr>
            <w:tcW w:w="6803" w:type="dxa"/>
          </w:tcPr>
          <w:p w14:paraId="5AE7927D" w14:textId="77777777" w:rsidR="00F67E9E" w:rsidRPr="008D6A63" w:rsidRDefault="00F67E9E" w:rsidP="007F74AA">
            <w:pPr>
              <w:pStyle w:val="StdBodyText"/>
              <w:rPr>
                <w:rFonts w:cs="Arial"/>
              </w:rPr>
            </w:pPr>
            <w:r w:rsidRPr="008D6A63">
              <w:rPr>
                <w:rFonts w:cs="Arial"/>
              </w:rPr>
              <w:t>each Sub-contract with a Key Sub-contractor;</w:t>
            </w:r>
          </w:p>
        </w:tc>
      </w:tr>
      <w:tr w:rsidR="00F67E9E" w:rsidRPr="00F55457" w14:paraId="09709ED9" w14:textId="77777777" w:rsidTr="007F74AA">
        <w:tc>
          <w:tcPr>
            <w:tcW w:w="2835" w:type="dxa"/>
          </w:tcPr>
          <w:p w14:paraId="6B8DFD4E" w14:textId="77777777" w:rsidR="00F67E9E" w:rsidRPr="008D6A63" w:rsidRDefault="00F67E9E" w:rsidP="007F74AA">
            <w:pPr>
              <w:pStyle w:val="StdBodyTextBold"/>
              <w:rPr>
                <w:rFonts w:cs="Arial"/>
              </w:rPr>
            </w:pPr>
            <w:r>
              <w:rPr>
                <w:rFonts w:cs="Arial"/>
              </w:rPr>
              <w:t>“</w:t>
            </w:r>
            <w:r w:rsidRPr="008D6A63">
              <w:rPr>
                <w:rFonts w:cs="Arial"/>
              </w:rPr>
              <w:t>Key Sub-contractor</w:t>
            </w:r>
            <w:r>
              <w:rPr>
                <w:rFonts w:cs="Arial"/>
              </w:rPr>
              <w:t>”</w:t>
            </w:r>
          </w:p>
        </w:tc>
        <w:tc>
          <w:tcPr>
            <w:tcW w:w="6803" w:type="dxa"/>
          </w:tcPr>
          <w:p w14:paraId="413B93C5" w14:textId="77777777" w:rsidR="00F67E9E" w:rsidRPr="008D6A63" w:rsidRDefault="00F67E9E" w:rsidP="007F74AA">
            <w:pPr>
              <w:pStyle w:val="StdBodyText"/>
              <w:rPr>
                <w:rFonts w:cs="Arial"/>
              </w:rPr>
            </w:pPr>
            <w:r w:rsidRPr="008D6A63">
              <w:rPr>
                <w:rFonts w:cs="Arial"/>
              </w:rPr>
              <w:t>any Sub-contractor:</w:t>
            </w:r>
          </w:p>
          <w:p w14:paraId="25A0CA4E" w14:textId="77777777" w:rsidR="00F67E9E" w:rsidRPr="008D6A63" w:rsidRDefault="00F67E9E" w:rsidP="007F74AA">
            <w:pPr>
              <w:pStyle w:val="DefinitionList"/>
              <w:numPr>
                <w:ilvl w:val="0"/>
                <w:numId w:val="204"/>
              </w:numPr>
            </w:pPr>
            <w:r w:rsidRPr="008D6A63">
              <w:t>which, in the opinion of the Authority, performs (or would perform if appointed) a critical role in the provision of all or any part of the Services; and/or</w:t>
            </w:r>
          </w:p>
          <w:p w14:paraId="247DCEBB" w14:textId="77777777" w:rsidR="00F67E9E" w:rsidRPr="008D6A63" w:rsidRDefault="00F67E9E" w:rsidP="00F67E9E">
            <w:pPr>
              <w:pStyle w:val="DefinitionList"/>
              <w:numPr>
                <w:ilvl w:val="0"/>
                <w:numId w:val="108"/>
              </w:numPr>
              <w:rPr>
                <w:rFonts w:cs="Arial"/>
              </w:rPr>
            </w:pPr>
            <w:r w:rsidRPr="008D6A63">
              <w:rPr>
                <w:rFonts w:cs="Arial"/>
              </w:rPr>
              <w:t>with a Sub-contract with a contract value which at the time of appointment exceeds (or would exceed if appointed) 10% of the aggregate Charges forecast to be payable under this Contract (as set out in the Financial Model);</w:t>
            </w:r>
          </w:p>
        </w:tc>
      </w:tr>
      <w:tr w:rsidR="00F67E9E" w:rsidRPr="00F55457" w14:paraId="3C5D9A6C" w14:textId="77777777" w:rsidTr="007F74AA">
        <w:tc>
          <w:tcPr>
            <w:tcW w:w="2835" w:type="dxa"/>
          </w:tcPr>
          <w:p w14:paraId="408AA62D" w14:textId="77777777" w:rsidR="00F67E9E" w:rsidRPr="008D6A63" w:rsidRDefault="00F67E9E" w:rsidP="007F74AA">
            <w:pPr>
              <w:pStyle w:val="StdBodyTextBold"/>
              <w:rPr>
                <w:rFonts w:cs="Arial"/>
              </w:rPr>
            </w:pPr>
            <w:r>
              <w:rPr>
                <w:rFonts w:cs="Arial"/>
              </w:rPr>
              <w:t>“</w:t>
            </w:r>
            <w:r w:rsidRPr="008D6A63">
              <w:rPr>
                <w:rFonts w:cs="Arial"/>
              </w:rPr>
              <w:t>Know-How</w:t>
            </w:r>
            <w:r>
              <w:rPr>
                <w:rFonts w:cs="Arial"/>
              </w:rPr>
              <w:t>”</w:t>
            </w:r>
          </w:p>
        </w:tc>
        <w:tc>
          <w:tcPr>
            <w:tcW w:w="6803" w:type="dxa"/>
          </w:tcPr>
          <w:p w14:paraId="2215E0CB" w14:textId="77777777" w:rsidR="00F67E9E" w:rsidRPr="008D6A63" w:rsidRDefault="00F67E9E" w:rsidP="007F74AA">
            <w:pPr>
              <w:pStyle w:val="StdBodyText"/>
              <w:rPr>
                <w:rFonts w:cs="Arial"/>
              </w:rPr>
            </w:pPr>
            <w:r w:rsidRPr="008D6A63">
              <w:rPr>
                <w:rFonts w:cs="Arial"/>
              </w:rPr>
              <w:t>all ideas, concepts, schemes, information, knowledge, techniques, methodology, and anything else in the nature of know how relating to the Services but excluding know how already in the other Party</w:t>
            </w:r>
            <w:r>
              <w:rPr>
                <w:rFonts w:cs="Arial"/>
              </w:rPr>
              <w:t>’</w:t>
            </w:r>
            <w:r w:rsidRPr="008D6A63">
              <w:rPr>
                <w:rFonts w:cs="Arial"/>
              </w:rPr>
              <w:t>s possession before this Contract;</w:t>
            </w:r>
          </w:p>
        </w:tc>
      </w:tr>
      <w:tr w:rsidR="00F67E9E" w:rsidRPr="00F55457" w14:paraId="4495F951" w14:textId="77777777" w:rsidTr="007F74AA">
        <w:tc>
          <w:tcPr>
            <w:tcW w:w="2835" w:type="dxa"/>
          </w:tcPr>
          <w:p w14:paraId="6DF9F06E" w14:textId="77777777" w:rsidR="00F67E9E" w:rsidRPr="008D6A63" w:rsidRDefault="00F67E9E" w:rsidP="007F74AA">
            <w:pPr>
              <w:pStyle w:val="StdBodyTextBold"/>
              <w:rPr>
                <w:rFonts w:cs="Arial"/>
              </w:rPr>
            </w:pPr>
            <w:r>
              <w:rPr>
                <w:rFonts w:cs="Arial"/>
              </w:rPr>
              <w:t>“</w:t>
            </w:r>
            <w:r w:rsidRPr="008D6A63">
              <w:rPr>
                <w:rFonts w:cs="Arial"/>
              </w:rPr>
              <w:t>KPI Failure</w:t>
            </w:r>
            <w:r>
              <w:rPr>
                <w:rFonts w:cs="Arial"/>
              </w:rPr>
              <w:t>”</w:t>
            </w:r>
          </w:p>
        </w:tc>
        <w:tc>
          <w:tcPr>
            <w:tcW w:w="6803" w:type="dxa"/>
          </w:tcPr>
          <w:p w14:paraId="2889ABF1" w14:textId="77777777" w:rsidR="00F67E9E" w:rsidRPr="008D6A63" w:rsidRDefault="00F67E9E" w:rsidP="007F74AA">
            <w:pPr>
              <w:pStyle w:val="StdBodyText"/>
              <w:rPr>
                <w:rFonts w:cs="Arial"/>
              </w:rPr>
            </w:pPr>
            <w:r w:rsidRPr="008D6A63">
              <w:rPr>
                <w:rFonts w:cs="Arial"/>
              </w:rPr>
              <w:t>a failure to meet the Target Performance Level in respect of a Key Performance Indicator;</w:t>
            </w:r>
          </w:p>
        </w:tc>
      </w:tr>
      <w:tr w:rsidR="00F67E9E" w:rsidRPr="00F55457" w14:paraId="135C3CE2" w14:textId="77777777" w:rsidTr="007F74AA">
        <w:tc>
          <w:tcPr>
            <w:tcW w:w="2835" w:type="dxa"/>
          </w:tcPr>
          <w:p w14:paraId="488A7E2E" w14:textId="77777777" w:rsidR="00F67E9E" w:rsidRPr="008D6A63" w:rsidRDefault="00F67E9E" w:rsidP="007F74AA">
            <w:pPr>
              <w:pStyle w:val="StdBodyTextBold"/>
              <w:rPr>
                <w:rFonts w:cs="Arial"/>
              </w:rPr>
            </w:pPr>
            <w:r>
              <w:rPr>
                <w:rFonts w:cs="Arial"/>
              </w:rPr>
              <w:t>“</w:t>
            </w:r>
            <w:r w:rsidRPr="008D6A63">
              <w:rPr>
                <w:rFonts w:cs="Arial"/>
              </w:rPr>
              <w:t>KPI Service Threshold</w:t>
            </w:r>
            <w:r>
              <w:rPr>
                <w:rFonts w:cs="Arial"/>
              </w:rPr>
              <w:t>”</w:t>
            </w:r>
          </w:p>
        </w:tc>
        <w:tc>
          <w:tcPr>
            <w:tcW w:w="6803" w:type="dxa"/>
          </w:tcPr>
          <w:p w14:paraId="041777D1" w14:textId="744B635B" w:rsidR="00F67E9E" w:rsidRPr="008D6A63" w:rsidRDefault="00F67E9E" w:rsidP="007F74AA">
            <w:pPr>
              <w:pStyle w:val="StdBodyText"/>
              <w:rPr>
                <w:rFonts w:cs="Arial"/>
              </w:rPr>
            </w:pPr>
            <w:r w:rsidRPr="008D6A63">
              <w:rPr>
                <w:rFonts w:cs="Arial"/>
              </w:rPr>
              <w:t xml:space="preserve">shall be as set out against the relevant </w:t>
            </w:r>
            <w:bookmarkStart w:id="152" w:name="_9kR3WTr2AADKKZDykLuwu76qsvnUY0wwp7MLGDz"/>
            <w:r w:rsidRPr="008D6A63">
              <w:rPr>
                <w:rFonts w:cs="Arial"/>
              </w:rPr>
              <w:t xml:space="preserve">Key Performance Indicator in Table 1 of </w:t>
            </w:r>
            <w:r w:rsidRPr="008D6A63">
              <w:rPr>
                <w:rFonts w:cs="Arial"/>
              </w:rPr>
              <w:fldChar w:fldCharType="begin"/>
            </w:r>
            <w:r w:rsidRPr="008D6A63">
              <w:rPr>
                <w:rFonts w:cs="Arial"/>
              </w:rPr>
              <w:instrText xml:space="preserve"> REF Sch3Ann1PartA \h  \* MERGEFORMAT </w:instrText>
            </w:r>
            <w:r w:rsidRPr="008D6A63">
              <w:rPr>
                <w:rFonts w:cs="Arial"/>
              </w:rPr>
            </w:r>
            <w:r w:rsidRPr="008D6A63">
              <w:rPr>
                <w:rFonts w:cs="Arial"/>
              </w:rPr>
              <w:fldChar w:fldCharType="separate"/>
            </w:r>
            <w:r w:rsidR="00302D39" w:rsidRPr="00302D39">
              <w:rPr>
                <w:rFonts w:cs="Arial"/>
              </w:rPr>
              <w:t>Part A</w:t>
            </w:r>
            <w:r w:rsidRPr="008D6A63">
              <w:rPr>
                <w:rFonts w:cs="Arial"/>
              </w:rPr>
              <w:fldChar w:fldCharType="end"/>
            </w:r>
            <w:r w:rsidRPr="008D6A63">
              <w:rPr>
                <w:rFonts w:cs="Arial"/>
              </w:rPr>
              <w:t xml:space="preserve"> of </w:t>
            </w:r>
            <w:bookmarkEnd w:id="152"/>
            <w:r w:rsidRPr="008D6A63">
              <w:rPr>
                <w:rFonts w:cs="Arial"/>
              </w:rPr>
              <w:fldChar w:fldCharType="begin"/>
            </w:r>
            <w:r w:rsidRPr="008D6A63">
              <w:rPr>
                <w:rFonts w:cs="Arial"/>
              </w:rPr>
              <w:instrText xml:space="preserve"> REF ANNEX1_SCHEDULE3 \h  \* MERGEFORMAT </w:instrText>
            </w:r>
            <w:r w:rsidRPr="008D6A63">
              <w:rPr>
                <w:rFonts w:cs="Arial"/>
              </w:rPr>
            </w:r>
            <w:r w:rsidRPr="008D6A63">
              <w:rPr>
                <w:rFonts w:cs="Arial"/>
              </w:rPr>
              <w:fldChar w:fldCharType="separate"/>
            </w:r>
            <w:r w:rsidR="00302D39" w:rsidRPr="00302D39">
              <w:rPr>
                <w:rFonts w:cs="Arial"/>
              </w:rPr>
              <w:t>Annex 1</w:t>
            </w:r>
            <w:r w:rsidRPr="008D6A63">
              <w:rPr>
                <w:rFonts w:cs="Arial"/>
              </w:rPr>
              <w:fldChar w:fldCharType="end"/>
            </w:r>
            <w:r w:rsidRPr="008D6A63">
              <w:rPr>
                <w:rFonts w:cs="Arial"/>
              </w:rPr>
              <w:t xml:space="preserve"> of </w:t>
            </w:r>
            <w:r>
              <w:rPr>
                <w:rFonts w:cs="Arial"/>
              </w:rPr>
              <w:fldChar w:fldCharType="begin"/>
            </w:r>
            <w:r>
              <w:rPr>
                <w:rFonts w:cs="Arial"/>
              </w:rPr>
              <w:instrText xml:space="preserve"> REF Schedule3 \h </w:instrText>
            </w:r>
            <w:r>
              <w:rPr>
                <w:rFonts w:cs="Arial"/>
              </w:rPr>
            </w:r>
            <w:r>
              <w:rPr>
                <w:rFonts w:cs="Arial"/>
              </w:rPr>
              <w:fldChar w:fldCharType="separate"/>
            </w:r>
            <w:r w:rsidR="00302D39" w:rsidRPr="005D0525">
              <w:t>Schedule</w:t>
            </w:r>
            <w:r w:rsidR="00302D39">
              <w:t> </w:t>
            </w:r>
            <w:r w:rsidR="00302D39" w:rsidRPr="005D0525">
              <w:t>3</w:t>
            </w:r>
            <w:r>
              <w:rPr>
                <w:rFonts w:cs="Arial"/>
              </w:rPr>
              <w:fldChar w:fldCharType="end"/>
            </w:r>
            <w:r>
              <w:rPr>
                <w:rFonts w:cs="Arial"/>
              </w:rPr>
              <w:t xml:space="preserve"> (</w:t>
            </w:r>
            <w:r w:rsidRPr="00A22335">
              <w:rPr>
                <w:rFonts w:cs="Arial"/>
                <w:i/>
                <w:iCs/>
              </w:rPr>
              <w:fldChar w:fldCharType="begin"/>
            </w:r>
            <w:r w:rsidRPr="00A22335">
              <w:rPr>
                <w:rFonts w:cs="Arial"/>
                <w:i/>
                <w:iCs/>
              </w:rPr>
              <w:instrText xml:space="preserve"> REF Schedule3Heading \h </w:instrText>
            </w:r>
            <w:r>
              <w:rPr>
                <w:rFonts w:cs="Arial"/>
                <w:i/>
                <w:iCs/>
              </w:rPr>
              <w:instrText xml:space="preserve"> \* MERGEFORMAT </w:instrText>
            </w:r>
            <w:r w:rsidRPr="00A22335">
              <w:rPr>
                <w:rFonts w:cs="Arial"/>
                <w:i/>
                <w:iCs/>
              </w:rPr>
            </w:r>
            <w:r w:rsidRPr="00A22335">
              <w:rPr>
                <w:rFonts w:cs="Arial"/>
                <w:i/>
                <w:iCs/>
              </w:rPr>
              <w:fldChar w:fldCharType="separate"/>
            </w:r>
            <w:r w:rsidR="00302D39" w:rsidRPr="00302D39">
              <w:rPr>
                <w:i/>
                <w:iCs/>
              </w:rPr>
              <w:t>Performance Levels</w:t>
            </w:r>
            <w:r w:rsidRPr="00A22335">
              <w:rPr>
                <w:rFonts w:cs="Arial"/>
                <w:i/>
                <w:iCs/>
              </w:rPr>
              <w:fldChar w:fldCharType="end"/>
            </w:r>
            <w:r>
              <w:rPr>
                <w:rFonts w:cs="Arial"/>
              </w:rPr>
              <w:t>)</w:t>
            </w:r>
            <w:r w:rsidRPr="008D6A63">
              <w:rPr>
                <w:rFonts w:cs="Arial"/>
              </w:rPr>
              <w:t>;</w:t>
            </w:r>
          </w:p>
        </w:tc>
      </w:tr>
      <w:tr w:rsidR="00F67E9E" w:rsidRPr="00F55457" w14:paraId="172D3C16" w14:textId="77777777" w:rsidTr="007F74AA">
        <w:tc>
          <w:tcPr>
            <w:tcW w:w="2835" w:type="dxa"/>
          </w:tcPr>
          <w:p w14:paraId="5498672B" w14:textId="77777777" w:rsidR="00F67E9E" w:rsidRPr="008D6A63" w:rsidRDefault="00F67E9E" w:rsidP="007F74AA">
            <w:pPr>
              <w:pStyle w:val="StdBodyTextBold"/>
              <w:rPr>
                <w:rFonts w:cs="Arial"/>
              </w:rPr>
            </w:pPr>
            <w:r>
              <w:rPr>
                <w:rFonts w:cs="Arial"/>
              </w:rPr>
              <w:t>“</w:t>
            </w:r>
            <w:r w:rsidRPr="008D6A63">
              <w:rPr>
                <w:rFonts w:cs="Arial"/>
              </w:rPr>
              <w:t>Law</w:t>
            </w:r>
            <w:r>
              <w:rPr>
                <w:rFonts w:cs="Arial"/>
              </w:rPr>
              <w:t>”</w:t>
            </w:r>
          </w:p>
        </w:tc>
        <w:tc>
          <w:tcPr>
            <w:tcW w:w="6803" w:type="dxa"/>
          </w:tcPr>
          <w:p w14:paraId="75BAB7E1" w14:textId="77777777" w:rsidR="00F67E9E" w:rsidRPr="008D6A63" w:rsidRDefault="00F67E9E" w:rsidP="007F74AA">
            <w:pPr>
              <w:pStyle w:val="StdBodyText"/>
              <w:rPr>
                <w:rFonts w:cs="Arial"/>
              </w:rPr>
            </w:pPr>
            <w:r w:rsidRPr="008D6A63">
              <w:rPr>
                <w:rFonts w:cs="Arial"/>
              </w:rPr>
              <w:t xml:space="preserve">any law, statute, subordinate legislation within the meaning of </w:t>
            </w:r>
            <w:bookmarkStart w:id="153" w:name="_9kR3WTr277DGD4rcszv1GII6y47tVZH98KLBEBC"/>
            <w:r w:rsidRPr="008D6A63">
              <w:rPr>
                <w:rFonts w:cs="Arial"/>
              </w:rPr>
              <w:t>Section 21(1) of the Interpretation Act 1978</w:t>
            </w:r>
            <w:bookmarkEnd w:id="153"/>
            <w:r w:rsidRPr="008D6A63">
              <w:rPr>
                <w:rFonts w:cs="Arial"/>
              </w:rPr>
              <w:t xml:space="preserve">, bye-law, right within the meaning of </w:t>
            </w:r>
            <w:bookmarkStart w:id="154" w:name="_9kR3WTr277DGE5rcszv1G5w25rPaKFE5r1eaHGP"/>
            <w:r w:rsidRPr="008D6A63">
              <w:rPr>
                <w:rFonts w:cs="Arial"/>
              </w:rPr>
              <w:t xml:space="preserve">the European Union (Withdrawal) Act </w:t>
            </w:r>
            <w:bookmarkEnd w:id="154"/>
            <w:r w:rsidRPr="008D6A63">
              <w:rPr>
                <w:rFonts w:cs="Arial"/>
              </w:rPr>
              <w:t>2018 as amended by European Union (Withdrawal Agreement) Act 2020, regulation, order, regulatory policy, mandatory guidance or code of practice, judgment of a relevant court of law, or directives or requirements of any regulatory body with which the Supplier is bound to comply;</w:t>
            </w:r>
          </w:p>
        </w:tc>
      </w:tr>
      <w:tr w:rsidR="00F67E9E" w:rsidRPr="00302D39" w14:paraId="632324EF" w14:textId="77777777" w:rsidTr="007F74AA">
        <w:tc>
          <w:tcPr>
            <w:tcW w:w="2835" w:type="dxa"/>
          </w:tcPr>
          <w:p w14:paraId="3D66C985" w14:textId="77777777" w:rsidR="00F67E9E" w:rsidRPr="008D6A63" w:rsidRDefault="00F67E9E" w:rsidP="007F74AA">
            <w:pPr>
              <w:pStyle w:val="StdBodyTextBold"/>
              <w:rPr>
                <w:rFonts w:cs="Arial"/>
              </w:rPr>
            </w:pPr>
            <w:r>
              <w:rPr>
                <w:rFonts w:cs="Arial"/>
              </w:rPr>
              <w:t>“</w:t>
            </w:r>
            <w:r w:rsidRPr="008D6A63">
              <w:rPr>
                <w:rFonts w:cs="Arial"/>
              </w:rPr>
              <w:t>LED</w:t>
            </w:r>
            <w:r>
              <w:rPr>
                <w:rFonts w:cs="Arial"/>
              </w:rPr>
              <w:t>”</w:t>
            </w:r>
          </w:p>
        </w:tc>
        <w:tc>
          <w:tcPr>
            <w:tcW w:w="6803" w:type="dxa"/>
          </w:tcPr>
          <w:p w14:paraId="2B4DCFA1" w14:textId="77777777" w:rsidR="00F67E9E" w:rsidRPr="008D6A63" w:rsidRDefault="00F67E9E" w:rsidP="007F74AA">
            <w:pPr>
              <w:pStyle w:val="StdBodyText"/>
              <w:rPr>
                <w:rFonts w:cs="Arial"/>
                <w:lang w:val="fr-FR"/>
              </w:rPr>
            </w:pPr>
            <w:r w:rsidRPr="008D6A63">
              <w:rPr>
                <w:rFonts w:cs="Arial"/>
                <w:lang w:val="fr-FR"/>
              </w:rPr>
              <w:t>Law Enforcement Directive (Directive (EU) 2016/680);</w:t>
            </w:r>
          </w:p>
        </w:tc>
      </w:tr>
      <w:tr w:rsidR="00F67E9E" w:rsidRPr="00F55457" w14:paraId="1C1FA789" w14:textId="77777777" w:rsidTr="007F74AA">
        <w:tc>
          <w:tcPr>
            <w:tcW w:w="2835" w:type="dxa"/>
          </w:tcPr>
          <w:p w14:paraId="564CCFAC" w14:textId="77777777" w:rsidR="00F67E9E" w:rsidRPr="008D6A63" w:rsidRDefault="00F67E9E" w:rsidP="007F74AA">
            <w:pPr>
              <w:pStyle w:val="StdBodyTextBold"/>
              <w:rPr>
                <w:rFonts w:cs="Arial"/>
              </w:rPr>
            </w:pPr>
            <w:r>
              <w:rPr>
                <w:rFonts w:cs="Arial"/>
              </w:rPr>
              <w:t>“</w:t>
            </w:r>
            <w:r w:rsidRPr="008D6A63">
              <w:rPr>
                <w:rFonts w:cs="Arial"/>
              </w:rPr>
              <w:t>Licensed Software</w:t>
            </w:r>
            <w:r>
              <w:rPr>
                <w:rFonts w:cs="Arial"/>
              </w:rPr>
              <w:t>”</w:t>
            </w:r>
          </w:p>
        </w:tc>
        <w:tc>
          <w:tcPr>
            <w:tcW w:w="6803" w:type="dxa"/>
          </w:tcPr>
          <w:p w14:paraId="5BC7D412" w14:textId="77777777" w:rsidR="00F67E9E" w:rsidRPr="008D6A63" w:rsidRDefault="00F67E9E" w:rsidP="007F74AA">
            <w:pPr>
              <w:pStyle w:val="StdBodyText"/>
              <w:rPr>
                <w:rFonts w:cs="Arial"/>
              </w:rPr>
            </w:pPr>
            <w:r w:rsidRPr="008D6A63">
              <w:rPr>
                <w:rFonts w:cs="Arial"/>
              </w:rPr>
              <w:t>all and any Software licensed by or through the Supplier, its Sub-contractors or any third party to the Authority for the purposes of or pursuant to this Contract, including any Supplier Software, Third Party Software and/or any Specially Written Software;</w:t>
            </w:r>
          </w:p>
        </w:tc>
      </w:tr>
      <w:tr w:rsidR="00F67E9E" w:rsidRPr="00F55457" w14:paraId="12A6A427" w14:textId="77777777" w:rsidTr="007F74AA">
        <w:tc>
          <w:tcPr>
            <w:tcW w:w="2835" w:type="dxa"/>
          </w:tcPr>
          <w:p w14:paraId="056AE2F4" w14:textId="77777777" w:rsidR="00F67E9E" w:rsidRPr="008D6A63" w:rsidRDefault="00F67E9E" w:rsidP="007F74AA">
            <w:pPr>
              <w:pStyle w:val="StdBodyTextBold"/>
              <w:rPr>
                <w:rFonts w:cs="Arial"/>
              </w:rPr>
            </w:pPr>
            <w:r>
              <w:rPr>
                <w:rFonts w:cs="Arial"/>
              </w:rPr>
              <w:t>“</w:t>
            </w:r>
            <w:r w:rsidRPr="008D6A63">
              <w:rPr>
                <w:rFonts w:cs="Arial"/>
              </w:rPr>
              <w:t>Losses</w:t>
            </w:r>
            <w:r>
              <w:rPr>
                <w:rFonts w:cs="Arial"/>
              </w:rPr>
              <w:t>”</w:t>
            </w:r>
          </w:p>
        </w:tc>
        <w:tc>
          <w:tcPr>
            <w:tcW w:w="6803" w:type="dxa"/>
          </w:tcPr>
          <w:p w14:paraId="7091563F" w14:textId="77777777" w:rsidR="00F67E9E" w:rsidRPr="008D6A63" w:rsidRDefault="00F67E9E" w:rsidP="007F74AA">
            <w:pPr>
              <w:pStyle w:val="StdBodyText"/>
              <w:rPr>
                <w:rFonts w:cs="Arial"/>
              </w:rPr>
            </w:pPr>
            <w:r w:rsidRPr="008D6A63">
              <w:rPr>
                <w:rFonts w:cs="Arial"/>
              </w:rPr>
              <w:t>losses, liabilities, damages, costs and expenses (including legal fees on a solicitor/client basis) and disbursements and costs of investigation, litigation, settlement, judgment interest and penalties whether arising in contract, tort (including negligence), breach of statutory duty or otherwise;</w:t>
            </w:r>
          </w:p>
        </w:tc>
      </w:tr>
      <w:tr w:rsidR="00F67E9E" w:rsidRPr="00F55457" w14:paraId="5CEE4B56" w14:textId="77777777" w:rsidTr="007F74AA">
        <w:tc>
          <w:tcPr>
            <w:tcW w:w="2835" w:type="dxa"/>
          </w:tcPr>
          <w:p w14:paraId="1DF429FC" w14:textId="77777777" w:rsidR="00F67E9E" w:rsidRPr="008D6A63" w:rsidRDefault="00F67E9E" w:rsidP="007F74AA">
            <w:pPr>
              <w:pStyle w:val="StdBodyTextBold"/>
              <w:rPr>
                <w:rFonts w:cs="Arial"/>
              </w:rPr>
            </w:pPr>
            <w:r>
              <w:rPr>
                <w:rFonts w:cs="Arial"/>
              </w:rPr>
              <w:t>“</w:t>
            </w:r>
            <w:bookmarkStart w:id="155" w:name="_9kMPO5YVt499FMJaDgu6ytqrum"/>
            <w:r w:rsidRPr="008D6A63">
              <w:rPr>
                <w:rFonts w:cs="Arial"/>
              </w:rPr>
              <w:t>Maintenance</w:t>
            </w:r>
            <w:bookmarkEnd w:id="155"/>
            <w:r w:rsidRPr="008D6A63">
              <w:rPr>
                <w:rFonts w:cs="Arial"/>
              </w:rPr>
              <w:t xml:space="preserve"> Schedule</w:t>
            </w:r>
            <w:r>
              <w:rPr>
                <w:rFonts w:cs="Arial"/>
              </w:rPr>
              <w:t>”</w:t>
            </w:r>
          </w:p>
        </w:tc>
        <w:tc>
          <w:tcPr>
            <w:tcW w:w="6803" w:type="dxa"/>
          </w:tcPr>
          <w:p w14:paraId="3AFB7CC4" w14:textId="77777777" w:rsidR="00F67E9E" w:rsidRPr="008D6A63" w:rsidRDefault="00F67E9E" w:rsidP="007F74AA">
            <w:pPr>
              <w:pStyle w:val="StdBodyText"/>
              <w:rPr>
                <w:rFonts w:cs="Arial"/>
              </w:rPr>
            </w:pPr>
            <w:r w:rsidRPr="008D6A63">
              <w:rPr>
                <w:rFonts w:cs="Arial"/>
              </w:rPr>
              <w:t xml:space="preserve">shall have the meaning set out in </w:t>
            </w:r>
            <w:bookmarkStart w:id="156" w:name="_9kMHG5YVtCIA9AFPNiTlXiC85zt3I9sx918BvBG"/>
            <w:r w:rsidRPr="008D6A63">
              <w:rPr>
                <w:rFonts w:cs="Arial"/>
              </w:rPr>
              <w:t xml:space="preserve">Clause </w:t>
            </w:r>
            <w:bookmarkEnd w:id="156"/>
            <w:r w:rsidRPr="008D6A63">
              <w:rPr>
                <w:rFonts w:cs="Arial"/>
              </w:rPr>
              <w:t>9.4 (</w:t>
            </w:r>
            <w:bookmarkStart w:id="157" w:name="_9kMHzG6ZWu5AAGNKbEhv7zursvn"/>
            <w:r w:rsidRPr="00C04B2F">
              <w:rPr>
                <w:rFonts w:cs="Arial"/>
                <w:i/>
                <w:iCs/>
              </w:rPr>
              <w:t>Maintenance</w:t>
            </w:r>
            <w:bookmarkEnd w:id="157"/>
            <w:r w:rsidRPr="008D6A63">
              <w:rPr>
                <w:rFonts w:cs="Arial"/>
              </w:rPr>
              <w:t>);</w:t>
            </w:r>
          </w:p>
        </w:tc>
      </w:tr>
      <w:tr w:rsidR="00F67E9E" w:rsidRPr="00F55457" w14:paraId="4DE07DD9" w14:textId="77777777" w:rsidTr="007F74AA">
        <w:tc>
          <w:tcPr>
            <w:tcW w:w="2835" w:type="dxa"/>
          </w:tcPr>
          <w:p w14:paraId="3CCCFDCE" w14:textId="77777777" w:rsidR="00F67E9E" w:rsidRPr="008D6A63" w:rsidRDefault="00F67E9E" w:rsidP="007F74AA">
            <w:pPr>
              <w:pStyle w:val="StdBodyTextBold"/>
              <w:rPr>
                <w:rFonts w:cs="Arial"/>
              </w:rPr>
            </w:pPr>
            <w:r>
              <w:rPr>
                <w:rFonts w:cs="Arial"/>
              </w:rPr>
              <w:t>“</w:t>
            </w:r>
            <w:r w:rsidRPr="008D6A63">
              <w:rPr>
                <w:rFonts w:cs="Arial"/>
              </w:rPr>
              <w:t>Malicious Software</w:t>
            </w:r>
            <w:r>
              <w:rPr>
                <w:rFonts w:cs="Arial"/>
              </w:rPr>
              <w:t>”</w:t>
            </w:r>
          </w:p>
        </w:tc>
        <w:tc>
          <w:tcPr>
            <w:tcW w:w="6803" w:type="dxa"/>
          </w:tcPr>
          <w:p w14:paraId="1F31A054" w14:textId="77777777" w:rsidR="00F67E9E" w:rsidRPr="008D6A63" w:rsidRDefault="00F67E9E" w:rsidP="007F74AA">
            <w:pPr>
              <w:pStyle w:val="StdBodyText"/>
              <w:rPr>
                <w:rFonts w:cs="Arial"/>
              </w:rPr>
            </w:pPr>
            <w:r w:rsidRPr="008D6A63">
              <w:rPr>
                <w:rFonts w:cs="Arial"/>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F67E9E" w:rsidRPr="00F55457" w14:paraId="5CB6C34B" w14:textId="77777777" w:rsidTr="007F74AA">
        <w:tc>
          <w:tcPr>
            <w:tcW w:w="2835" w:type="dxa"/>
          </w:tcPr>
          <w:p w14:paraId="3848C4AD" w14:textId="77777777" w:rsidR="00F67E9E" w:rsidRPr="008D6A63" w:rsidRDefault="00F67E9E" w:rsidP="007F74AA">
            <w:pPr>
              <w:pStyle w:val="StdBodyTextBold"/>
              <w:rPr>
                <w:rFonts w:cs="Arial"/>
              </w:rPr>
            </w:pPr>
            <w:r>
              <w:rPr>
                <w:rFonts w:cs="Arial"/>
              </w:rPr>
              <w:t>“</w:t>
            </w:r>
            <w:r w:rsidRPr="008D6A63">
              <w:rPr>
                <w:rFonts w:cs="Arial"/>
              </w:rPr>
              <w:t>Management Information</w:t>
            </w:r>
            <w:r>
              <w:rPr>
                <w:rFonts w:cs="Arial"/>
              </w:rPr>
              <w:t>”</w:t>
            </w:r>
          </w:p>
        </w:tc>
        <w:tc>
          <w:tcPr>
            <w:tcW w:w="6803" w:type="dxa"/>
          </w:tcPr>
          <w:p w14:paraId="5AADE854" w14:textId="63DDD2BB" w:rsidR="00F67E9E" w:rsidRPr="008D6A63" w:rsidRDefault="00F67E9E" w:rsidP="007F74AA">
            <w:pPr>
              <w:pStyle w:val="StdBodyText"/>
              <w:rPr>
                <w:rFonts w:cs="Arial"/>
              </w:rPr>
            </w:pPr>
            <w:r w:rsidRPr="008D6A63">
              <w:rPr>
                <w:rFonts w:cs="Arial"/>
              </w:rPr>
              <w:t xml:space="preserve">the management information specified in </w:t>
            </w:r>
            <w:r>
              <w:rPr>
                <w:rFonts w:cs="Arial"/>
              </w:rPr>
              <w:fldChar w:fldCharType="begin"/>
            </w:r>
            <w:r>
              <w:rPr>
                <w:rFonts w:cs="Arial"/>
              </w:rPr>
              <w:instrText xml:space="preserve"> REF Schedule3 \h </w:instrText>
            </w:r>
            <w:r>
              <w:rPr>
                <w:rFonts w:cs="Arial"/>
              </w:rPr>
            </w:r>
            <w:r>
              <w:rPr>
                <w:rFonts w:cs="Arial"/>
              </w:rPr>
              <w:fldChar w:fldCharType="separate"/>
            </w:r>
            <w:r w:rsidR="00302D39" w:rsidRPr="005D0525">
              <w:t>Schedule</w:t>
            </w:r>
            <w:r w:rsidR="00302D39">
              <w:t> </w:t>
            </w:r>
            <w:r w:rsidR="00302D39" w:rsidRPr="005D0525">
              <w:t>3</w:t>
            </w:r>
            <w:r>
              <w:rPr>
                <w:rFonts w:cs="Arial"/>
              </w:rPr>
              <w:fldChar w:fldCharType="end"/>
            </w:r>
            <w:r>
              <w:rPr>
                <w:rFonts w:cs="Arial"/>
              </w:rPr>
              <w:t xml:space="preserve"> (</w:t>
            </w:r>
            <w:r w:rsidRPr="00A22335">
              <w:rPr>
                <w:rFonts w:cs="Arial"/>
                <w:i/>
                <w:iCs/>
              </w:rPr>
              <w:fldChar w:fldCharType="begin"/>
            </w:r>
            <w:r w:rsidRPr="00A22335">
              <w:rPr>
                <w:rFonts w:cs="Arial"/>
                <w:i/>
                <w:iCs/>
              </w:rPr>
              <w:instrText xml:space="preserve"> REF Schedule3Heading \h </w:instrText>
            </w:r>
            <w:r>
              <w:rPr>
                <w:rFonts w:cs="Arial"/>
                <w:i/>
                <w:iCs/>
              </w:rPr>
              <w:instrText xml:space="preserve"> \* MERGEFORMAT </w:instrText>
            </w:r>
            <w:r w:rsidRPr="00A22335">
              <w:rPr>
                <w:rFonts w:cs="Arial"/>
                <w:i/>
                <w:iCs/>
              </w:rPr>
            </w:r>
            <w:r w:rsidRPr="00A22335">
              <w:rPr>
                <w:rFonts w:cs="Arial"/>
                <w:i/>
                <w:iCs/>
              </w:rPr>
              <w:fldChar w:fldCharType="separate"/>
            </w:r>
            <w:r w:rsidR="00302D39" w:rsidRPr="00302D39">
              <w:rPr>
                <w:i/>
                <w:iCs/>
              </w:rPr>
              <w:t>Performance Levels</w:t>
            </w:r>
            <w:r w:rsidRPr="00A22335">
              <w:rPr>
                <w:rFonts w:cs="Arial"/>
                <w:i/>
                <w:iCs/>
              </w:rPr>
              <w:fldChar w:fldCharType="end"/>
            </w:r>
            <w:r>
              <w:rPr>
                <w:rFonts w:cs="Arial"/>
              </w:rPr>
              <w:t>)</w:t>
            </w:r>
            <w:r w:rsidRPr="008D6A63">
              <w:rPr>
                <w:rFonts w:cs="Arial"/>
              </w:rPr>
              <w:t xml:space="preserve">, </w:t>
            </w:r>
            <w:r>
              <w:rPr>
                <w:rFonts w:cs="Arial"/>
              </w:rPr>
              <w:fldChar w:fldCharType="begin"/>
            </w:r>
            <w:r>
              <w:rPr>
                <w:rFonts w:cs="Arial"/>
              </w:rPr>
              <w:instrText xml:space="preserve"> REF Schedule15 \h </w:instrText>
            </w:r>
            <w:r>
              <w:rPr>
                <w:rFonts w:cs="Arial"/>
              </w:rPr>
            </w:r>
            <w:r>
              <w:rPr>
                <w:rFonts w:cs="Arial"/>
              </w:rPr>
              <w:fldChar w:fldCharType="separate"/>
            </w:r>
            <w:r w:rsidR="00302D39" w:rsidRPr="005D0525">
              <w:t>Schedule</w:t>
            </w:r>
            <w:r w:rsidR="00302D39">
              <w:t> </w:t>
            </w:r>
            <w:r w:rsidR="00302D39" w:rsidRPr="005D0525">
              <w:t>15</w:t>
            </w:r>
            <w:r>
              <w:rPr>
                <w:rFonts w:cs="Arial"/>
              </w:rPr>
              <w:fldChar w:fldCharType="end"/>
            </w:r>
            <w:r>
              <w:rPr>
                <w:rFonts w:cs="Arial"/>
              </w:rPr>
              <w:t xml:space="preserve"> (</w:t>
            </w:r>
            <w:r w:rsidRPr="00B91437">
              <w:rPr>
                <w:rFonts w:cs="Arial"/>
                <w:i/>
                <w:iCs/>
              </w:rPr>
              <w:fldChar w:fldCharType="begin"/>
            </w:r>
            <w:r w:rsidRPr="00B91437">
              <w:rPr>
                <w:rFonts w:cs="Arial"/>
                <w:i/>
                <w:iCs/>
              </w:rPr>
              <w:instrText xml:space="preserve"> REF Schedule15Heading \h </w:instrText>
            </w:r>
            <w:r>
              <w:rPr>
                <w:rFonts w:cs="Arial"/>
                <w:i/>
                <w:iCs/>
              </w:rPr>
              <w:instrText xml:space="preserve"> \* MERGEFORMAT </w:instrText>
            </w:r>
            <w:r w:rsidRPr="00B91437">
              <w:rPr>
                <w:rFonts w:cs="Arial"/>
                <w:i/>
                <w:iCs/>
              </w:rPr>
            </w:r>
            <w:r w:rsidRPr="00B91437">
              <w:rPr>
                <w:rFonts w:cs="Arial"/>
                <w:i/>
                <w:iCs/>
              </w:rPr>
              <w:fldChar w:fldCharType="separate"/>
            </w:r>
            <w:r w:rsidR="00302D39" w:rsidRPr="00302D39">
              <w:rPr>
                <w:i/>
                <w:iCs/>
              </w:rPr>
              <w:t>Charges and Invoicing</w:t>
            </w:r>
            <w:r w:rsidRPr="00B91437">
              <w:rPr>
                <w:rFonts w:cs="Arial"/>
                <w:i/>
                <w:iCs/>
              </w:rPr>
              <w:fldChar w:fldCharType="end"/>
            </w:r>
            <w:r>
              <w:rPr>
                <w:rFonts w:cs="Arial"/>
              </w:rPr>
              <w:t>)</w:t>
            </w:r>
            <w:r w:rsidRPr="008D6A63">
              <w:rPr>
                <w:rFonts w:cs="Arial"/>
              </w:rPr>
              <w:t xml:space="preserve"> and </w:t>
            </w:r>
            <w:r>
              <w:rPr>
                <w:rFonts w:cs="Arial"/>
              </w:rPr>
              <w:fldChar w:fldCharType="begin"/>
            </w:r>
            <w:r>
              <w:rPr>
                <w:rFonts w:cs="Arial"/>
              </w:rPr>
              <w:instrText xml:space="preserve"> REF Schedule21 \h </w:instrText>
            </w:r>
            <w:r>
              <w:rPr>
                <w:rFonts w:cs="Arial"/>
              </w:rPr>
            </w:r>
            <w:r>
              <w:rPr>
                <w:rFonts w:cs="Arial"/>
              </w:rPr>
              <w:fldChar w:fldCharType="separate"/>
            </w:r>
            <w:r w:rsidR="00302D39" w:rsidRPr="005D0525">
              <w:t>Schedule</w:t>
            </w:r>
            <w:r w:rsidR="00302D39">
              <w:t> </w:t>
            </w:r>
            <w:r w:rsidR="00302D39" w:rsidRPr="005D0525">
              <w:t>21</w:t>
            </w:r>
            <w:r>
              <w:rPr>
                <w:rFonts w:cs="Arial"/>
              </w:rPr>
              <w:fldChar w:fldCharType="end"/>
            </w:r>
            <w:r>
              <w:rPr>
                <w:rFonts w:cs="Arial"/>
              </w:rPr>
              <w:t xml:space="preserve"> (</w:t>
            </w:r>
            <w:r w:rsidRPr="002F30DB">
              <w:rPr>
                <w:rFonts w:cs="Arial"/>
                <w:i/>
                <w:iCs/>
              </w:rPr>
              <w:fldChar w:fldCharType="begin"/>
            </w:r>
            <w:r w:rsidRPr="002F30DB">
              <w:rPr>
                <w:rFonts w:cs="Arial"/>
                <w:i/>
                <w:iCs/>
              </w:rPr>
              <w:instrText xml:space="preserve"> REF Schedule21Heading \h </w:instrText>
            </w:r>
            <w:r>
              <w:rPr>
                <w:rFonts w:cs="Arial"/>
                <w:i/>
                <w:iCs/>
              </w:rPr>
              <w:instrText xml:space="preserve"> \* MERGEFORMAT </w:instrText>
            </w:r>
            <w:r w:rsidRPr="002F30DB">
              <w:rPr>
                <w:rFonts w:cs="Arial"/>
                <w:i/>
                <w:iCs/>
              </w:rPr>
            </w:r>
            <w:r w:rsidRPr="002F30DB">
              <w:rPr>
                <w:rFonts w:cs="Arial"/>
                <w:i/>
                <w:iCs/>
              </w:rPr>
              <w:fldChar w:fldCharType="separate"/>
            </w:r>
            <w:r w:rsidR="00302D39" w:rsidRPr="00302D39">
              <w:rPr>
                <w:i/>
                <w:iCs/>
              </w:rPr>
              <w:t>Governance</w:t>
            </w:r>
            <w:r w:rsidRPr="002F30DB">
              <w:rPr>
                <w:rFonts w:cs="Arial"/>
                <w:i/>
                <w:iCs/>
              </w:rPr>
              <w:fldChar w:fldCharType="end"/>
            </w:r>
            <w:r>
              <w:rPr>
                <w:rFonts w:cs="Arial"/>
              </w:rPr>
              <w:t>)</w:t>
            </w:r>
            <w:r w:rsidRPr="008D6A63">
              <w:rPr>
                <w:rFonts w:cs="Arial"/>
              </w:rPr>
              <w:t xml:space="preserve"> to be provided by the Supplier to the Authority;</w:t>
            </w:r>
          </w:p>
        </w:tc>
      </w:tr>
      <w:tr w:rsidR="00F67E9E" w:rsidRPr="00F55457" w14:paraId="15139DAB" w14:textId="77777777" w:rsidTr="007F74AA">
        <w:tc>
          <w:tcPr>
            <w:tcW w:w="2835" w:type="dxa"/>
          </w:tcPr>
          <w:p w14:paraId="6A6EF9D9" w14:textId="77777777" w:rsidR="00F67E9E" w:rsidRPr="008D6A63" w:rsidRDefault="00F67E9E" w:rsidP="007F74AA">
            <w:pPr>
              <w:pStyle w:val="StdBodyTextBold"/>
              <w:rPr>
                <w:rFonts w:cs="Arial"/>
              </w:rPr>
            </w:pPr>
            <w:r>
              <w:rPr>
                <w:rFonts w:cs="Arial"/>
              </w:rPr>
              <w:t>“</w:t>
            </w:r>
            <w:r w:rsidRPr="008D6A63">
              <w:rPr>
                <w:rFonts w:cs="Arial"/>
              </w:rPr>
              <w:t>Material KPI Failure</w:t>
            </w:r>
            <w:r>
              <w:rPr>
                <w:rFonts w:cs="Arial"/>
              </w:rPr>
              <w:t>”</w:t>
            </w:r>
          </w:p>
        </w:tc>
        <w:tc>
          <w:tcPr>
            <w:tcW w:w="6803" w:type="dxa"/>
          </w:tcPr>
          <w:p w14:paraId="3E73DF5C" w14:textId="77777777" w:rsidR="00F67E9E" w:rsidRPr="008D6A63" w:rsidRDefault="00F67E9E" w:rsidP="007F74AA">
            <w:pPr>
              <w:pStyle w:val="DefinitionList"/>
              <w:numPr>
                <w:ilvl w:val="0"/>
                <w:numId w:val="205"/>
              </w:numPr>
            </w:pPr>
            <w:r w:rsidRPr="008D6A63">
              <w:t>a Serious KPI Failure;</w:t>
            </w:r>
          </w:p>
          <w:p w14:paraId="7E4CAAFA" w14:textId="77777777" w:rsidR="00F67E9E" w:rsidRPr="008D6A63" w:rsidRDefault="00F67E9E" w:rsidP="00F67E9E">
            <w:pPr>
              <w:pStyle w:val="DefinitionList"/>
              <w:numPr>
                <w:ilvl w:val="0"/>
                <w:numId w:val="108"/>
              </w:numPr>
              <w:rPr>
                <w:rFonts w:cs="Arial"/>
              </w:rPr>
            </w:pPr>
            <w:r w:rsidRPr="008D6A63">
              <w:rPr>
                <w:rFonts w:cs="Arial"/>
              </w:rPr>
              <w:t>a Severe KPI Failure; or</w:t>
            </w:r>
          </w:p>
          <w:p w14:paraId="5E4841DD" w14:textId="77777777" w:rsidR="00F67E9E" w:rsidRPr="008D6A63" w:rsidRDefault="00F67E9E" w:rsidP="00F67E9E">
            <w:pPr>
              <w:pStyle w:val="DefinitionList"/>
              <w:numPr>
                <w:ilvl w:val="0"/>
                <w:numId w:val="108"/>
              </w:numPr>
              <w:rPr>
                <w:rFonts w:cs="Arial"/>
              </w:rPr>
            </w:pPr>
            <w:r w:rsidRPr="008D6A63">
              <w:rPr>
                <w:rFonts w:cs="Arial"/>
              </w:rPr>
              <w:t>a failure by the Supplier to meet a KPI Service Threshold;</w:t>
            </w:r>
          </w:p>
        </w:tc>
      </w:tr>
      <w:tr w:rsidR="00F67E9E" w:rsidRPr="00F55457" w14:paraId="5DF0D5E3" w14:textId="77777777" w:rsidTr="007F74AA">
        <w:tc>
          <w:tcPr>
            <w:tcW w:w="2835" w:type="dxa"/>
          </w:tcPr>
          <w:p w14:paraId="2C946F8E" w14:textId="77777777" w:rsidR="00F67E9E" w:rsidRPr="008D6A63" w:rsidRDefault="00F67E9E" w:rsidP="007F74AA">
            <w:pPr>
              <w:pStyle w:val="StdBodyTextBold"/>
              <w:rPr>
                <w:rFonts w:cs="Arial"/>
              </w:rPr>
            </w:pPr>
            <w:r>
              <w:rPr>
                <w:rFonts w:cs="Arial"/>
              </w:rPr>
              <w:t>“</w:t>
            </w:r>
            <w:r w:rsidRPr="008D6A63">
              <w:rPr>
                <w:rFonts w:cs="Arial"/>
              </w:rPr>
              <w:t>Material PI Failure</w:t>
            </w:r>
            <w:r>
              <w:rPr>
                <w:rFonts w:cs="Arial"/>
              </w:rPr>
              <w:t>”</w:t>
            </w:r>
          </w:p>
        </w:tc>
        <w:tc>
          <w:tcPr>
            <w:tcW w:w="6803" w:type="dxa"/>
          </w:tcPr>
          <w:p w14:paraId="55886A89" w14:textId="77777777" w:rsidR="00F67E9E" w:rsidRPr="008D6A63" w:rsidRDefault="00F67E9E" w:rsidP="007F74AA">
            <w:pPr>
              <w:pStyle w:val="DefinitionList"/>
              <w:numPr>
                <w:ilvl w:val="0"/>
                <w:numId w:val="206"/>
              </w:numPr>
            </w:pPr>
            <w:r w:rsidRPr="008D6A63">
              <w:t>a failure by the Supplier to meet the PI Service Threshold in respect of 25% or more of the Subsidiary Performance Indicators that are measured in that Service Period; and/or</w:t>
            </w:r>
          </w:p>
          <w:p w14:paraId="6D6BDC57" w14:textId="77777777" w:rsidR="00F67E9E" w:rsidRPr="008D6A63" w:rsidRDefault="00F67E9E" w:rsidP="00F67E9E">
            <w:pPr>
              <w:pStyle w:val="DefinitionList"/>
              <w:numPr>
                <w:ilvl w:val="0"/>
                <w:numId w:val="108"/>
              </w:numPr>
              <w:rPr>
                <w:rFonts w:cs="Arial"/>
              </w:rPr>
            </w:pPr>
            <w:r w:rsidRPr="008D6A63">
              <w:rPr>
                <w:rFonts w:cs="Arial"/>
              </w:rPr>
              <w:t>a failure by the Supplier to meet the Target Performance Level in respect of 50% or more of the Subsidiary Performance Indicators that are measured in that Service Period;</w:t>
            </w:r>
          </w:p>
        </w:tc>
      </w:tr>
      <w:tr w:rsidR="00F67E9E" w:rsidRPr="00F55457" w14:paraId="2AD1B428" w14:textId="77777777" w:rsidTr="007F74AA">
        <w:tc>
          <w:tcPr>
            <w:tcW w:w="2835" w:type="dxa"/>
          </w:tcPr>
          <w:p w14:paraId="7B4A4F09" w14:textId="77777777" w:rsidR="00F67E9E" w:rsidRPr="008D6A63" w:rsidRDefault="00F67E9E" w:rsidP="007F74AA">
            <w:pPr>
              <w:pStyle w:val="StdBodyTextBold"/>
              <w:rPr>
                <w:rFonts w:cs="Arial"/>
              </w:rPr>
            </w:pPr>
            <w:r>
              <w:rPr>
                <w:rFonts w:cs="Arial"/>
              </w:rPr>
              <w:t>“</w:t>
            </w:r>
            <w:r w:rsidRPr="008D6A63">
              <w:rPr>
                <w:rFonts w:cs="Arial"/>
              </w:rPr>
              <w:t>Measurement Period</w:t>
            </w:r>
            <w:r>
              <w:rPr>
                <w:rFonts w:cs="Arial"/>
              </w:rPr>
              <w:t>”</w:t>
            </w:r>
          </w:p>
        </w:tc>
        <w:tc>
          <w:tcPr>
            <w:tcW w:w="6803" w:type="dxa"/>
          </w:tcPr>
          <w:p w14:paraId="6CC709D9" w14:textId="77777777" w:rsidR="00F67E9E" w:rsidRPr="008D6A63" w:rsidRDefault="00F67E9E" w:rsidP="007F74AA">
            <w:pPr>
              <w:pStyle w:val="StdBodyText"/>
              <w:rPr>
                <w:rFonts w:cs="Arial"/>
              </w:rPr>
            </w:pPr>
            <w:r w:rsidRPr="008D6A63">
              <w:rPr>
                <w:rFonts w:cs="Arial"/>
              </w:rPr>
              <w:t>in relation to a Key Performance Indicator or Subsidiary Performance Indicator, the period over which the Supplier</w:t>
            </w:r>
            <w:r>
              <w:rPr>
                <w:rFonts w:cs="Arial"/>
              </w:rPr>
              <w:t>’</w:t>
            </w:r>
            <w:r w:rsidRPr="008D6A63">
              <w:rPr>
                <w:rFonts w:cs="Arial"/>
              </w:rPr>
              <w:t>s performance is measured (for example, a Service Period if measured monthly or a 12 month period if measured annually);</w:t>
            </w:r>
          </w:p>
        </w:tc>
      </w:tr>
      <w:tr w:rsidR="00F67E9E" w:rsidRPr="00F55457" w14:paraId="2EC32476" w14:textId="77777777" w:rsidTr="007F74AA">
        <w:tc>
          <w:tcPr>
            <w:tcW w:w="2835" w:type="dxa"/>
          </w:tcPr>
          <w:p w14:paraId="49F932C7" w14:textId="77777777" w:rsidR="00F67E9E" w:rsidRPr="008D6A63" w:rsidRDefault="00F67E9E" w:rsidP="007F74AA">
            <w:pPr>
              <w:pStyle w:val="StdBodyTextBold"/>
              <w:rPr>
                <w:rFonts w:cs="Arial"/>
              </w:rPr>
            </w:pPr>
            <w:r>
              <w:rPr>
                <w:rFonts w:cs="Arial"/>
              </w:rPr>
              <w:t>“</w:t>
            </w:r>
            <w:r w:rsidRPr="008D6A63">
              <w:rPr>
                <w:rFonts w:cs="Arial"/>
              </w:rPr>
              <w:t>Milestone</w:t>
            </w:r>
            <w:r>
              <w:rPr>
                <w:rFonts w:cs="Arial"/>
              </w:rPr>
              <w:t>”</w:t>
            </w:r>
          </w:p>
        </w:tc>
        <w:tc>
          <w:tcPr>
            <w:tcW w:w="6803" w:type="dxa"/>
          </w:tcPr>
          <w:p w14:paraId="781DEABC" w14:textId="77777777" w:rsidR="00F67E9E" w:rsidRPr="008D6A63" w:rsidRDefault="00F67E9E" w:rsidP="007F74AA">
            <w:pPr>
              <w:pStyle w:val="StdBodyText"/>
              <w:rPr>
                <w:rFonts w:cs="Arial"/>
              </w:rPr>
            </w:pPr>
            <w:r w:rsidRPr="008D6A63">
              <w:rPr>
                <w:rFonts w:cs="Arial"/>
              </w:rPr>
              <w:t>an event or task described in the Implementation Plan which, if applicable, shall be completed by the relevant Milestone Date;</w:t>
            </w:r>
          </w:p>
        </w:tc>
      </w:tr>
      <w:tr w:rsidR="00F67E9E" w:rsidRPr="00F55457" w14:paraId="442592D2" w14:textId="77777777" w:rsidTr="007F74AA">
        <w:tc>
          <w:tcPr>
            <w:tcW w:w="2835" w:type="dxa"/>
          </w:tcPr>
          <w:p w14:paraId="0F5A8794" w14:textId="77777777" w:rsidR="00F67E9E" w:rsidRPr="008D6A63" w:rsidRDefault="00F67E9E" w:rsidP="007F74AA">
            <w:pPr>
              <w:pStyle w:val="StdBodyTextBold"/>
              <w:rPr>
                <w:rFonts w:cs="Arial"/>
              </w:rPr>
            </w:pPr>
            <w:r>
              <w:rPr>
                <w:rFonts w:cs="Arial"/>
              </w:rPr>
              <w:t>“</w:t>
            </w:r>
            <w:bookmarkStart w:id="158" w:name="_9kMJI5YVt4CCFMHYLrowC94vJCqxv9A235LlRDT"/>
            <w:r w:rsidRPr="008D6A63">
              <w:rPr>
                <w:rFonts w:cs="Arial"/>
              </w:rPr>
              <w:t>Milestone Achievement Certificate</w:t>
            </w:r>
            <w:bookmarkEnd w:id="158"/>
            <w:r>
              <w:rPr>
                <w:rFonts w:cs="Arial"/>
              </w:rPr>
              <w:t>”</w:t>
            </w:r>
          </w:p>
        </w:tc>
        <w:tc>
          <w:tcPr>
            <w:tcW w:w="6803" w:type="dxa"/>
          </w:tcPr>
          <w:p w14:paraId="1F1001E6" w14:textId="5B23DC24" w:rsidR="00F67E9E" w:rsidRPr="008D6A63" w:rsidRDefault="00F67E9E" w:rsidP="007F74AA">
            <w:pPr>
              <w:pStyle w:val="StdBodyText"/>
              <w:rPr>
                <w:rFonts w:cs="Arial"/>
              </w:rPr>
            </w:pPr>
            <w:r w:rsidRPr="008D6A63">
              <w:rPr>
                <w:rFonts w:cs="Arial"/>
              </w:rPr>
              <w:t xml:space="preserve">the certificate to be granted by the Authority when the Supplier has Achieved a Milestone, which shall be in substantially the same form as that set out in Annex </w:t>
            </w:r>
            <w:r w:rsidRPr="008D6A63">
              <w:rPr>
                <w:rFonts w:cs="Arial"/>
              </w:rPr>
              <w:fldChar w:fldCharType="begin"/>
            </w:r>
            <w:r w:rsidRPr="008D6A63">
              <w:rPr>
                <w:rFonts w:cs="Arial"/>
              </w:rPr>
              <w:instrText xml:space="preserve"> REF ANNEX3_SCHEDULE14 \h </w:instrText>
            </w:r>
            <w:r w:rsidRPr="008D6A63">
              <w:rPr>
                <w:rFonts w:cs="Arial"/>
              </w:rPr>
            </w:r>
            <w:r w:rsidRPr="008D6A63">
              <w:rPr>
                <w:rFonts w:cs="Arial"/>
              </w:rPr>
              <w:fldChar w:fldCharType="separate"/>
            </w:r>
            <w:r w:rsidR="00302D39" w:rsidRPr="00D5341B">
              <w:t>3</w:t>
            </w:r>
            <w:r w:rsidRPr="008D6A63">
              <w:rPr>
                <w:rFonts w:cs="Arial"/>
              </w:rPr>
              <w:fldChar w:fldCharType="end"/>
            </w:r>
            <w:r w:rsidRPr="008D6A63">
              <w:rPr>
                <w:rFonts w:cs="Arial"/>
              </w:rPr>
              <w:t xml:space="preserve"> of </w:t>
            </w:r>
            <w:r>
              <w:rPr>
                <w:rFonts w:cs="Arial"/>
              </w:rPr>
              <w:fldChar w:fldCharType="begin"/>
            </w:r>
            <w:r>
              <w:rPr>
                <w:rFonts w:cs="Arial"/>
              </w:rPr>
              <w:instrText xml:space="preserve"> REF Schedule14 \h </w:instrText>
            </w:r>
            <w:r>
              <w:rPr>
                <w:rFonts w:cs="Arial"/>
              </w:rPr>
            </w:r>
            <w:r>
              <w:rPr>
                <w:rFonts w:cs="Arial"/>
              </w:rPr>
              <w:fldChar w:fldCharType="separate"/>
            </w:r>
            <w:r w:rsidR="00302D39" w:rsidRPr="005D0525">
              <w:t>Schedule</w:t>
            </w:r>
            <w:r w:rsidR="00302D39">
              <w:t> </w:t>
            </w:r>
            <w:r w:rsidR="00302D39" w:rsidRPr="005D0525">
              <w:t>14</w:t>
            </w:r>
            <w:r>
              <w:rPr>
                <w:rFonts w:cs="Arial"/>
              </w:rPr>
              <w:fldChar w:fldCharType="end"/>
            </w:r>
            <w:r>
              <w:rPr>
                <w:rFonts w:cs="Arial"/>
              </w:rPr>
              <w:t xml:space="preserve"> (</w:t>
            </w:r>
            <w:r w:rsidRPr="00B91437">
              <w:rPr>
                <w:rFonts w:cs="Arial"/>
                <w:i/>
                <w:iCs/>
              </w:rPr>
              <w:fldChar w:fldCharType="begin"/>
            </w:r>
            <w:r w:rsidRPr="00B91437">
              <w:rPr>
                <w:rFonts w:cs="Arial"/>
                <w:i/>
                <w:iCs/>
              </w:rPr>
              <w:instrText xml:space="preserve"> REF Schedule14Heading \h </w:instrText>
            </w:r>
            <w:r>
              <w:rPr>
                <w:rFonts w:cs="Arial"/>
                <w:i/>
                <w:iCs/>
              </w:rPr>
              <w:instrText xml:space="preserve"> \* MERGEFORMAT </w:instrText>
            </w:r>
            <w:r w:rsidRPr="00B91437">
              <w:rPr>
                <w:rFonts w:cs="Arial"/>
                <w:i/>
                <w:iCs/>
              </w:rPr>
            </w:r>
            <w:r w:rsidRPr="00B91437">
              <w:rPr>
                <w:rFonts w:cs="Arial"/>
                <w:i/>
                <w:iCs/>
              </w:rPr>
              <w:fldChar w:fldCharType="separate"/>
            </w:r>
            <w:r w:rsidR="00302D39" w:rsidRPr="00302D39">
              <w:rPr>
                <w:i/>
                <w:iCs/>
              </w:rPr>
              <w:t>Testing Procedures</w:t>
            </w:r>
            <w:r w:rsidRPr="00B91437">
              <w:rPr>
                <w:rFonts w:cs="Arial"/>
                <w:i/>
                <w:iCs/>
              </w:rPr>
              <w:fldChar w:fldCharType="end"/>
            </w:r>
            <w:r>
              <w:rPr>
                <w:rFonts w:cs="Arial"/>
              </w:rPr>
              <w:t>)</w:t>
            </w:r>
            <w:r w:rsidRPr="008D6A63">
              <w:rPr>
                <w:rFonts w:cs="Arial"/>
              </w:rPr>
              <w:t>;</w:t>
            </w:r>
          </w:p>
        </w:tc>
      </w:tr>
      <w:tr w:rsidR="00F67E9E" w:rsidRPr="00F55457" w14:paraId="1170EA5C" w14:textId="77777777" w:rsidTr="007F74AA">
        <w:tc>
          <w:tcPr>
            <w:tcW w:w="2835" w:type="dxa"/>
          </w:tcPr>
          <w:p w14:paraId="707E59F4" w14:textId="77777777" w:rsidR="00F67E9E" w:rsidRPr="008D6A63" w:rsidRDefault="00F67E9E" w:rsidP="007F74AA">
            <w:pPr>
              <w:pStyle w:val="StdBodyTextBold"/>
              <w:rPr>
                <w:rFonts w:cs="Arial"/>
              </w:rPr>
            </w:pPr>
            <w:r>
              <w:rPr>
                <w:rFonts w:cs="Arial"/>
              </w:rPr>
              <w:t>“</w:t>
            </w:r>
            <w:r w:rsidRPr="008D6A63">
              <w:rPr>
                <w:rFonts w:cs="Arial"/>
              </w:rPr>
              <w:t>Milestone Adjustment Payment Amount</w:t>
            </w:r>
            <w:r>
              <w:rPr>
                <w:rFonts w:cs="Arial"/>
              </w:rPr>
              <w:t>”</w:t>
            </w:r>
          </w:p>
        </w:tc>
        <w:tc>
          <w:tcPr>
            <w:tcW w:w="6803" w:type="dxa"/>
          </w:tcPr>
          <w:p w14:paraId="3A4DD369" w14:textId="77777777" w:rsidR="00F67E9E" w:rsidRPr="008D6A63" w:rsidRDefault="00F67E9E" w:rsidP="007F74AA">
            <w:pPr>
              <w:pStyle w:val="StdBodyText"/>
              <w:rPr>
                <w:rFonts w:cs="Arial"/>
              </w:rPr>
            </w:pPr>
            <w:r w:rsidRPr="008D6A63">
              <w:rPr>
                <w:rFonts w:cs="Arial"/>
              </w:rPr>
              <w:t xml:space="preserve">in respect of each CPP Milestone the subject of a </w:t>
            </w:r>
            <w:bookmarkStart w:id="159" w:name="_9kMON5YVt4CCFMGXLrowC94vJDtBLLG24KxZFS9"/>
            <w:r w:rsidRPr="008D6A63">
              <w:rPr>
                <w:rFonts w:cs="Arial"/>
              </w:rPr>
              <w:t>Milestone Adjustment Payment Notice</w:t>
            </w:r>
            <w:bookmarkEnd w:id="159"/>
            <w:r w:rsidRPr="008D6A63">
              <w:rPr>
                <w:rFonts w:cs="Arial"/>
              </w:rPr>
              <w:t>, an amount determined in accordance with the formula:</w:t>
            </w:r>
          </w:p>
          <w:p w14:paraId="56B44107" w14:textId="77777777" w:rsidR="00F67E9E" w:rsidRPr="008D6A63" w:rsidRDefault="00F67E9E" w:rsidP="007F74AA">
            <w:pPr>
              <w:pStyle w:val="StdBodyText"/>
              <w:rPr>
                <w:rFonts w:cs="Arial"/>
              </w:rPr>
            </w:pPr>
            <w:r w:rsidRPr="008D6A63">
              <w:rPr>
                <w:rFonts w:cs="Arial"/>
              </w:rPr>
              <w:t>A – B</w:t>
            </w:r>
          </w:p>
          <w:p w14:paraId="5C2F9A3C" w14:textId="77777777" w:rsidR="00F67E9E" w:rsidRPr="008D6A63" w:rsidRDefault="00F67E9E" w:rsidP="007F74AA">
            <w:pPr>
              <w:pStyle w:val="StdBodyText"/>
              <w:rPr>
                <w:rFonts w:cs="Arial"/>
              </w:rPr>
            </w:pPr>
            <w:r w:rsidRPr="008D6A63">
              <w:rPr>
                <w:rFonts w:cs="Arial"/>
              </w:rPr>
              <w:t>where:</w:t>
            </w:r>
          </w:p>
          <w:p w14:paraId="293CD0D5" w14:textId="77777777" w:rsidR="00F67E9E" w:rsidRPr="008D6A63" w:rsidRDefault="00F67E9E" w:rsidP="007F74AA">
            <w:pPr>
              <w:pStyle w:val="DefinitionList"/>
              <w:numPr>
                <w:ilvl w:val="0"/>
                <w:numId w:val="207"/>
              </w:numPr>
            </w:pPr>
            <w:r w:rsidRPr="008D6A63">
              <w:t>A is an amount equal to the aggregate sum of all Milestone Payments paid to the Supplier in respect of the Milestones (or in the case of Partial Termination, the Milestones for the parts of the Services terminated) relating to that CPP Milestone; and</w:t>
            </w:r>
          </w:p>
          <w:p w14:paraId="1D243779" w14:textId="77777777" w:rsidR="00F67E9E" w:rsidRPr="008D6A63" w:rsidRDefault="00F67E9E" w:rsidP="00F67E9E">
            <w:pPr>
              <w:pStyle w:val="DefinitionList"/>
              <w:numPr>
                <w:ilvl w:val="0"/>
                <w:numId w:val="108"/>
              </w:numPr>
              <w:rPr>
                <w:rFonts w:cs="Arial"/>
              </w:rPr>
            </w:pPr>
            <w:r w:rsidRPr="008D6A63">
              <w:rPr>
                <w:rFonts w:cs="Arial"/>
              </w:rPr>
              <w:t>B is an amount equal to the aggregate Allowable Price for the Retained Deliverables relating to that CPP Milestone or, if there are no such Retained Deliverables, zero;</w:t>
            </w:r>
          </w:p>
        </w:tc>
      </w:tr>
      <w:tr w:rsidR="00F67E9E" w:rsidRPr="00F55457" w14:paraId="44D96BED" w14:textId="77777777" w:rsidTr="007F74AA">
        <w:tc>
          <w:tcPr>
            <w:tcW w:w="2835" w:type="dxa"/>
          </w:tcPr>
          <w:p w14:paraId="33DB9740" w14:textId="77777777" w:rsidR="00F67E9E" w:rsidRPr="008D6A63" w:rsidRDefault="00F67E9E" w:rsidP="007F74AA">
            <w:pPr>
              <w:pStyle w:val="StdBodyTextBold"/>
              <w:rPr>
                <w:rFonts w:cs="Arial"/>
              </w:rPr>
            </w:pPr>
            <w:r>
              <w:rPr>
                <w:rFonts w:cs="Arial"/>
              </w:rPr>
              <w:t>“</w:t>
            </w:r>
            <w:bookmarkStart w:id="160" w:name="_9kMPO5YVt4CCFMGXLrowC94vJDtBLLG24KxZFS9"/>
            <w:r w:rsidRPr="008D6A63">
              <w:rPr>
                <w:rFonts w:cs="Arial"/>
              </w:rPr>
              <w:t>Milestone Adjustment Payment Notice</w:t>
            </w:r>
            <w:bookmarkEnd w:id="160"/>
            <w:r>
              <w:rPr>
                <w:rFonts w:cs="Arial"/>
              </w:rPr>
              <w:t>”</w:t>
            </w:r>
          </w:p>
        </w:tc>
        <w:tc>
          <w:tcPr>
            <w:tcW w:w="6803" w:type="dxa"/>
          </w:tcPr>
          <w:p w14:paraId="0A464533" w14:textId="77777777" w:rsidR="00F67E9E" w:rsidRPr="008D6A63" w:rsidRDefault="00F67E9E" w:rsidP="007F74AA">
            <w:pPr>
              <w:pStyle w:val="StdBodyText"/>
              <w:rPr>
                <w:rFonts w:cs="Arial"/>
              </w:rPr>
            </w:pPr>
            <w:r w:rsidRPr="008D6A63">
              <w:rPr>
                <w:rFonts w:cs="Arial"/>
              </w:rPr>
              <w:t xml:space="preserve">has the meaning given in </w:t>
            </w:r>
            <w:bookmarkStart w:id="161" w:name="_9kMIH5YVtCIAAHJHHMbHz2s4XG43r013JFFREDM"/>
            <w:bookmarkStart w:id="162" w:name="_9kMHG5YVtCJBAHKIHMbHz2s4XG43r013JFFREDM"/>
            <w:r w:rsidRPr="008D6A63">
              <w:rPr>
                <w:rFonts w:cs="Arial"/>
              </w:rPr>
              <w:t xml:space="preserve">Clause </w:t>
            </w:r>
            <w:bookmarkEnd w:id="161"/>
            <w:bookmarkEnd w:id="162"/>
            <w:r w:rsidRPr="008D6A63">
              <w:rPr>
                <w:rFonts w:cs="Arial"/>
              </w:rPr>
              <w:t>32.7 (</w:t>
            </w:r>
            <w:r w:rsidRPr="00C04B2F">
              <w:rPr>
                <w:rFonts w:cs="Arial"/>
                <w:i/>
                <w:iCs/>
              </w:rPr>
              <w:t>Payments by the Supplier</w:t>
            </w:r>
            <w:r w:rsidRPr="008D6A63">
              <w:rPr>
                <w:rFonts w:cs="Arial"/>
              </w:rPr>
              <w:t>);</w:t>
            </w:r>
          </w:p>
        </w:tc>
      </w:tr>
      <w:tr w:rsidR="00F67E9E" w:rsidRPr="00F55457" w14:paraId="20E84888" w14:textId="77777777" w:rsidTr="007F74AA">
        <w:tc>
          <w:tcPr>
            <w:tcW w:w="2835" w:type="dxa"/>
          </w:tcPr>
          <w:p w14:paraId="640E37FD" w14:textId="77777777" w:rsidR="00F67E9E" w:rsidRPr="008D6A63" w:rsidRDefault="00F67E9E" w:rsidP="007F74AA">
            <w:pPr>
              <w:pStyle w:val="StdBodyTextBold"/>
              <w:rPr>
                <w:rFonts w:cs="Arial"/>
              </w:rPr>
            </w:pPr>
            <w:r>
              <w:rPr>
                <w:rFonts w:cs="Arial"/>
              </w:rPr>
              <w:t>“</w:t>
            </w:r>
            <w:r w:rsidRPr="008D6A63">
              <w:rPr>
                <w:rFonts w:cs="Arial"/>
              </w:rPr>
              <w:t>Milestone Date</w:t>
            </w:r>
            <w:r>
              <w:rPr>
                <w:rFonts w:cs="Arial"/>
              </w:rPr>
              <w:t>”</w:t>
            </w:r>
          </w:p>
        </w:tc>
        <w:tc>
          <w:tcPr>
            <w:tcW w:w="6803" w:type="dxa"/>
          </w:tcPr>
          <w:p w14:paraId="1086DD66" w14:textId="77777777" w:rsidR="00F67E9E" w:rsidRPr="008D6A63" w:rsidRDefault="00F67E9E" w:rsidP="007F74AA">
            <w:pPr>
              <w:pStyle w:val="StdBodyText"/>
              <w:rPr>
                <w:rFonts w:cs="Arial"/>
              </w:rPr>
            </w:pPr>
            <w:r w:rsidRPr="008D6A63">
              <w:rPr>
                <w:rFonts w:cs="Arial"/>
              </w:rPr>
              <w:t>the target date set out against the relevant Milestone in the Implementation Plan by which the Milestone must be Achieved;</w:t>
            </w:r>
          </w:p>
        </w:tc>
      </w:tr>
      <w:tr w:rsidR="00F67E9E" w:rsidRPr="00F55457" w14:paraId="240D5F5E" w14:textId="77777777" w:rsidTr="007F74AA">
        <w:tc>
          <w:tcPr>
            <w:tcW w:w="2835" w:type="dxa"/>
          </w:tcPr>
          <w:p w14:paraId="0A333EE9" w14:textId="77777777" w:rsidR="00F67E9E" w:rsidRPr="008D6A63" w:rsidRDefault="00F67E9E" w:rsidP="007F74AA">
            <w:pPr>
              <w:pStyle w:val="StdBodyTextBold"/>
              <w:rPr>
                <w:rFonts w:cs="Arial"/>
              </w:rPr>
            </w:pPr>
            <w:r>
              <w:rPr>
                <w:rFonts w:cs="Arial"/>
              </w:rPr>
              <w:t>“</w:t>
            </w:r>
            <w:r w:rsidRPr="008D6A63">
              <w:rPr>
                <w:rFonts w:cs="Arial"/>
              </w:rPr>
              <w:t>Milestone Payment</w:t>
            </w:r>
            <w:r>
              <w:rPr>
                <w:rFonts w:cs="Arial"/>
              </w:rPr>
              <w:t>”</w:t>
            </w:r>
          </w:p>
        </w:tc>
        <w:tc>
          <w:tcPr>
            <w:tcW w:w="6803" w:type="dxa"/>
          </w:tcPr>
          <w:p w14:paraId="6B011848" w14:textId="6CEA7673" w:rsidR="00F67E9E" w:rsidRPr="008D6A63" w:rsidRDefault="00F67E9E" w:rsidP="007F74AA">
            <w:pPr>
              <w:pStyle w:val="StdBodyText"/>
              <w:rPr>
                <w:rFonts w:cs="Arial"/>
              </w:rPr>
            </w:pPr>
            <w:r w:rsidRPr="008D6A63">
              <w:rPr>
                <w:rFonts w:cs="Arial"/>
              </w:rPr>
              <w:t xml:space="preserve">a payment identified in </w:t>
            </w:r>
            <w:r>
              <w:rPr>
                <w:rFonts w:cs="Arial"/>
              </w:rPr>
              <w:fldChar w:fldCharType="begin"/>
            </w:r>
            <w:r>
              <w:rPr>
                <w:rFonts w:cs="Arial"/>
              </w:rPr>
              <w:instrText xml:space="preserve"> REF Schedule15 \h </w:instrText>
            </w:r>
            <w:r>
              <w:rPr>
                <w:rFonts w:cs="Arial"/>
              </w:rPr>
            </w:r>
            <w:r>
              <w:rPr>
                <w:rFonts w:cs="Arial"/>
              </w:rPr>
              <w:fldChar w:fldCharType="separate"/>
            </w:r>
            <w:r w:rsidR="00302D39" w:rsidRPr="005D0525">
              <w:t>Schedule</w:t>
            </w:r>
            <w:r w:rsidR="00302D39">
              <w:t> </w:t>
            </w:r>
            <w:r w:rsidR="00302D39" w:rsidRPr="005D0525">
              <w:t>15</w:t>
            </w:r>
            <w:r>
              <w:rPr>
                <w:rFonts w:cs="Arial"/>
              </w:rPr>
              <w:fldChar w:fldCharType="end"/>
            </w:r>
            <w:r>
              <w:rPr>
                <w:rFonts w:cs="Arial"/>
              </w:rPr>
              <w:t xml:space="preserve"> (</w:t>
            </w:r>
            <w:r w:rsidRPr="00B91437">
              <w:rPr>
                <w:rFonts w:cs="Arial"/>
                <w:i/>
                <w:iCs/>
              </w:rPr>
              <w:fldChar w:fldCharType="begin"/>
            </w:r>
            <w:r w:rsidRPr="00B91437">
              <w:rPr>
                <w:rFonts w:cs="Arial"/>
                <w:i/>
                <w:iCs/>
              </w:rPr>
              <w:instrText xml:space="preserve"> REF Schedule15Heading \h </w:instrText>
            </w:r>
            <w:r>
              <w:rPr>
                <w:rFonts w:cs="Arial"/>
                <w:i/>
                <w:iCs/>
              </w:rPr>
              <w:instrText xml:space="preserve"> \* MERGEFORMAT </w:instrText>
            </w:r>
            <w:r w:rsidRPr="00B91437">
              <w:rPr>
                <w:rFonts w:cs="Arial"/>
                <w:i/>
                <w:iCs/>
              </w:rPr>
            </w:r>
            <w:r w:rsidRPr="00B91437">
              <w:rPr>
                <w:rFonts w:cs="Arial"/>
                <w:i/>
                <w:iCs/>
              </w:rPr>
              <w:fldChar w:fldCharType="separate"/>
            </w:r>
            <w:r w:rsidR="00302D39" w:rsidRPr="00302D39">
              <w:rPr>
                <w:i/>
                <w:iCs/>
              </w:rPr>
              <w:t>Charges and Invoicing</w:t>
            </w:r>
            <w:r w:rsidRPr="00B91437">
              <w:rPr>
                <w:rFonts w:cs="Arial"/>
                <w:i/>
                <w:iCs/>
              </w:rPr>
              <w:fldChar w:fldCharType="end"/>
            </w:r>
            <w:r>
              <w:rPr>
                <w:rFonts w:cs="Arial"/>
              </w:rPr>
              <w:t>)</w:t>
            </w:r>
            <w:r w:rsidRPr="008D6A63">
              <w:rPr>
                <w:rFonts w:cs="Arial"/>
              </w:rPr>
              <w:t xml:space="preserve"> to be made following the issue of a </w:t>
            </w:r>
            <w:bookmarkStart w:id="163" w:name="_9kMKJ5YVt4CCFMHYLrowC94vJCqxv9A235LlRDT"/>
            <w:r w:rsidRPr="008D6A63">
              <w:rPr>
                <w:rFonts w:cs="Arial"/>
              </w:rPr>
              <w:t>Milestone Achievement Certificate</w:t>
            </w:r>
            <w:bookmarkEnd w:id="163"/>
            <w:r w:rsidRPr="008D6A63">
              <w:rPr>
                <w:rFonts w:cs="Arial"/>
              </w:rPr>
              <w:t>;</w:t>
            </w:r>
          </w:p>
        </w:tc>
      </w:tr>
      <w:tr w:rsidR="00F67E9E" w:rsidRPr="00F55457" w14:paraId="55E658B4" w14:textId="77777777" w:rsidTr="007F74AA">
        <w:tc>
          <w:tcPr>
            <w:tcW w:w="2835" w:type="dxa"/>
          </w:tcPr>
          <w:p w14:paraId="3010717D" w14:textId="77777777" w:rsidR="00F67E9E" w:rsidRPr="008D6A63" w:rsidRDefault="00F67E9E" w:rsidP="007F74AA">
            <w:pPr>
              <w:pStyle w:val="StdBodyTextBold"/>
              <w:rPr>
                <w:rFonts w:cs="Arial"/>
              </w:rPr>
            </w:pPr>
            <w:r>
              <w:rPr>
                <w:rFonts w:cs="Arial"/>
              </w:rPr>
              <w:t>“</w:t>
            </w:r>
            <w:r w:rsidRPr="008D6A63">
              <w:rPr>
                <w:rFonts w:cs="Arial"/>
              </w:rPr>
              <w:t>Milestone Retention</w:t>
            </w:r>
            <w:r>
              <w:rPr>
                <w:rFonts w:cs="Arial"/>
              </w:rPr>
              <w:t>”</w:t>
            </w:r>
          </w:p>
        </w:tc>
        <w:tc>
          <w:tcPr>
            <w:tcW w:w="6803" w:type="dxa"/>
          </w:tcPr>
          <w:p w14:paraId="01DEA82C" w14:textId="053D60F3" w:rsidR="00F67E9E" w:rsidRPr="008D6A63" w:rsidRDefault="00F67E9E" w:rsidP="007F74AA">
            <w:pPr>
              <w:pStyle w:val="StdBodyText"/>
              <w:rPr>
                <w:rFonts w:cs="Arial"/>
              </w:rPr>
            </w:pPr>
            <w:r w:rsidRPr="008D6A63">
              <w:rPr>
                <w:rFonts w:cs="Arial"/>
              </w:rPr>
              <w:t xml:space="preserve">has the meaning given in </w:t>
            </w:r>
            <w:r>
              <w:rPr>
                <w:rFonts w:cs="Arial"/>
              </w:rPr>
              <w:fldChar w:fldCharType="begin"/>
            </w:r>
            <w:r>
              <w:rPr>
                <w:rFonts w:cs="Arial"/>
              </w:rPr>
              <w:instrText xml:space="preserve"> REF Schedule15 \h </w:instrText>
            </w:r>
            <w:r>
              <w:rPr>
                <w:rFonts w:cs="Arial"/>
              </w:rPr>
            </w:r>
            <w:r>
              <w:rPr>
                <w:rFonts w:cs="Arial"/>
              </w:rPr>
              <w:fldChar w:fldCharType="separate"/>
            </w:r>
            <w:r w:rsidR="00302D39" w:rsidRPr="005D0525">
              <w:t>Schedule</w:t>
            </w:r>
            <w:r w:rsidR="00302D39">
              <w:t> </w:t>
            </w:r>
            <w:r w:rsidR="00302D39" w:rsidRPr="005D0525">
              <w:t>15</w:t>
            </w:r>
            <w:r>
              <w:rPr>
                <w:rFonts w:cs="Arial"/>
              </w:rPr>
              <w:fldChar w:fldCharType="end"/>
            </w:r>
            <w:r>
              <w:rPr>
                <w:rFonts w:cs="Arial"/>
              </w:rPr>
              <w:t xml:space="preserve"> (</w:t>
            </w:r>
            <w:r w:rsidRPr="00B91437">
              <w:rPr>
                <w:rFonts w:cs="Arial"/>
                <w:i/>
                <w:iCs/>
              </w:rPr>
              <w:fldChar w:fldCharType="begin"/>
            </w:r>
            <w:r w:rsidRPr="00B91437">
              <w:rPr>
                <w:rFonts w:cs="Arial"/>
                <w:i/>
                <w:iCs/>
              </w:rPr>
              <w:instrText xml:space="preserve"> REF Schedule15Heading \h </w:instrText>
            </w:r>
            <w:r>
              <w:rPr>
                <w:rFonts w:cs="Arial"/>
                <w:i/>
                <w:iCs/>
              </w:rPr>
              <w:instrText xml:space="preserve"> \* MERGEFORMAT </w:instrText>
            </w:r>
            <w:r w:rsidRPr="00B91437">
              <w:rPr>
                <w:rFonts w:cs="Arial"/>
                <w:i/>
                <w:iCs/>
              </w:rPr>
            </w:r>
            <w:r w:rsidRPr="00B91437">
              <w:rPr>
                <w:rFonts w:cs="Arial"/>
                <w:i/>
                <w:iCs/>
              </w:rPr>
              <w:fldChar w:fldCharType="separate"/>
            </w:r>
            <w:r w:rsidR="00302D39" w:rsidRPr="00302D39">
              <w:rPr>
                <w:i/>
                <w:iCs/>
              </w:rPr>
              <w:t>Charges and Invoicing</w:t>
            </w:r>
            <w:r w:rsidRPr="00B91437">
              <w:rPr>
                <w:rFonts w:cs="Arial"/>
                <w:i/>
                <w:iCs/>
              </w:rPr>
              <w:fldChar w:fldCharType="end"/>
            </w:r>
            <w:r>
              <w:rPr>
                <w:rFonts w:cs="Arial"/>
              </w:rPr>
              <w:t>)</w:t>
            </w:r>
            <w:r w:rsidRPr="008D6A63">
              <w:rPr>
                <w:rFonts w:cs="Arial"/>
              </w:rPr>
              <w:t>;</w:t>
            </w:r>
          </w:p>
        </w:tc>
      </w:tr>
      <w:tr w:rsidR="00F67E9E" w:rsidRPr="00F55457" w14:paraId="31737366" w14:textId="77777777" w:rsidTr="007F74AA">
        <w:tc>
          <w:tcPr>
            <w:tcW w:w="2835" w:type="dxa"/>
          </w:tcPr>
          <w:p w14:paraId="00E5DE7E" w14:textId="77777777" w:rsidR="00F67E9E" w:rsidRPr="008D6A63" w:rsidRDefault="00F67E9E" w:rsidP="007F74AA">
            <w:pPr>
              <w:pStyle w:val="StdBodyTextBold"/>
              <w:rPr>
                <w:rFonts w:cs="Arial"/>
              </w:rPr>
            </w:pPr>
            <w:r>
              <w:rPr>
                <w:rFonts w:cs="Arial"/>
              </w:rPr>
              <w:t>“</w:t>
            </w:r>
            <w:r w:rsidRPr="008D6A63">
              <w:rPr>
                <w:rFonts w:cs="Arial"/>
              </w:rPr>
              <w:t>Minor KPI Failure</w:t>
            </w:r>
            <w:r>
              <w:rPr>
                <w:rFonts w:cs="Arial"/>
              </w:rPr>
              <w:t>”</w:t>
            </w:r>
          </w:p>
        </w:tc>
        <w:tc>
          <w:tcPr>
            <w:tcW w:w="6803" w:type="dxa"/>
          </w:tcPr>
          <w:p w14:paraId="0D953DE0" w14:textId="7FFEAD73" w:rsidR="00F67E9E" w:rsidRPr="008D6A63" w:rsidRDefault="00F67E9E" w:rsidP="007F74AA">
            <w:pPr>
              <w:pStyle w:val="StdBodyText"/>
              <w:rPr>
                <w:rFonts w:cs="Arial"/>
              </w:rPr>
            </w:pPr>
            <w:r w:rsidRPr="008D6A63">
              <w:rPr>
                <w:rFonts w:cs="Arial"/>
              </w:rPr>
              <w:t xml:space="preserve">shall be as set out against the relevant </w:t>
            </w:r>
            <w:bookmarkStart w:id="164" w:name="_9kMHG5YVt4CCFMMbF0mNwyw98suxpWa2yyr9ONI"/>
            <w:r w:rsidRPr="008D6A63">
              <w:rPr>
                <w:rFonts w:cs="Arial"/>
              </w:rPr>
              <w:t xml:space="preserve">Key Performance Indicator in Table 1 of </w:t>
            </w:r>
            <w:r w:rsidRPr="008D6A63">
              <w:rPr>
                <w:rFonts w:cs="Arial"/>
              </w:rPr>
              <w:fldChar w:fldCharType="begin"/>
            </w:r>
            <w:r w:rsidRPr="008D6A63">
              <w:rPr>
                <w:rFonts w:cs="Arial"/>
              </w:rPr>
              <w:instrText xml:space="preserve"> REF Sch3Ann1PartA \h  \* MERGEFORMAT </w:instrText>
            </w:r>
            <w:r w:rsidRPr="008D6A63">
              <w:rPr>
                <w:rFonts w:cs="Arial"/>
              </w:rPr>
            </w:r>
            <w:r w:rsidRPr="008D6A63">
              <w:rPr>
                <w:rFonts w:cs="Arial"/>
              </w:rPr>
              <w:fldChar w:fldCharType="separate"/>
            </w:r>
            <w:r w:rsidR="00302D39" w:rsidRPr="00302D39">
              <w:rPr>
                <w:rFonts w:cs="Arial"/>
              </w:rPr>
              <w:t>Part A</w:t>
            </w:r>
            <w:r w:rsidRPr="008D6A63">
              <w:rPr>
                <w:rFonts w:cs="Arial"/>
              </w:rPr>
              <w:fldChar w:fldCharType="end"/>
            </w:r>
            <w:r w:rsidRPr="008D6A63">
              <w:rPr>
                <w:rFonts w:cs="Arial"/>
              </w:rPr>
              <w:t xml:space="preserve"> of </w:t>
            </w:r>
            <w:bookmarkEnd w:id="164"/>
            <w:r w:rsidRPr="008D6A63">
              <w:rPr>
                <w:rFonts w:cs="Arial"/>
              </w:rPr>
              <w:fldChar w:fldCharType="begin"/>
            </w:r>
            <w:r w:rsidRPr="008D6A63">
              <w:rPr>
                <w:rFonts w:cs="Arial"/>
              </w:rPr>
              <w:instrText xml:space="preserve"> REF ANNEX1_SCHEDULE3 \h  \* MERGEFORMAT </w:instrText>
            </w:r>
            <w:r w:rsidRPr="008D6A63">
              <w:rPr>
                <w:rFonts w:cs="Arial"/>
              </w:rPr>
            </w:r>
            <w:r w:rsidRPr="008D6A63">
              <w:rPr>
                <w:rFonts w:cs="Arial"/>
              </w:rPr>
              <w:fldChar w:fldCharType="separate"/>
            </w:r>
            <w:r w:rsidR="00302D39" w:rsidRPr="00302D39">
              <w:rPr>
                <w:rFonts w:cs="Arial"/>
              </w:rPr>
              <w:t>Annex 1</w:t>
            </w:r>
            <w:r w:rsidRPr="008D6A63">
              <w:rPr>
                <w:rFonts w:cs="Arial"/>
              </w:rPr>
              <w:fldChar w:fldCharType="end"/>
            </w:r>
            <w:r w:rsidRPr="008D6A63">
              <w:rPr>
                <w:rFonts w:cs="Arial"/>
              </w:rPr>
              <w:t xml:space="preserve"> of </w:t>
            </w:r>
            <w:r>
              <w:rPr>
                <w:rFonts w:cs="Arial"/>
              </w:rPr>
              <w:fldChar w:fldCharType="begin"/>
            </w:r>
            <w:r>
              <w:rPr>
                <w:rFonts w:cs="Arial"/>
              </w:rPr>
              <w:instrText xml:space="preserve"> REF Schedule3 \h </w:instrText>
            </w:r>
            <w:r>
              <w:rPr>
                <w:rFonts w:cs="Arial"/>
              </w:rPr>
            </w:r>
            <w:r>
              <w:rPr>
                <w:rFonts w:cs="Arial"/>
              </w:rPr>
              <w:fldChar w:fldCharType="separate"/>
            </w:r>
            <w:r w:rsidR="00302D39" w:rsidRPr="005D0525">
              <w:t>Schedule</w:t>
            </w:r>
            <w:r w:rsidR="00302D39">
              <w:t> </w:t>
            </w:r>
            <w:r w:rsidR="00302D39" w:rsidRPr="005D0525">
              <w:t>3</w:t>
            </w:r>
            <w:r>
              <w:rPr>
                <w:rFonts w:cs="Arial"/>
              </w:rPr>
              <w:fldChar w:fldCharType="end"/>
            </w:r>
            <w:r>
              <w:rPr>
                <w:rFonts w:cs="Arial"/>
              </w:rPr>
              <w:t xml:space="preserve"> (</w:t>
            </w:r>
            <w:r w:rsidRPr="00A22335">
              <w:rPr>
                <w:rFonts w:cs="Arial"/>
                <w:i/>
                <w:iCs/>
              </w:rPr>
              <w:fldChar w:fldCharType="begin"/>
            </w:r>
            <w:r w:rsidRPr="00A22335">
              <w:rPr>
                <w:rFonts w:cs="Arial"/>
                <w:i/>
                <w:iCs/>
              </w:rPr>
              <w:instrText xml:space="preserve"> REF Schedule3Heading \h </w:instrText>
            </w:r>
            <w:r>
              <w:rPr>
                <w:rFonts w:cs="Arial"/>
                <w:i/>
                <w:iCs/>
              </w:rPr>
              <w:instrText xml:space="preserve"> \* MERGEFORMAT </w:instrText>
            </w:r>
            <w:r w:rsidRPr="00A22335">
              <w:rPr>
                <w:rFonts w:cs="Arial"/>
                <w:i/>
                <w:iCs/>
              </w:rPr>
            </w:r>
            <w:r w:rsidRPr="00A22335">
              <w:rPr>
                <w:rFonts w:cs="Arial"/>
                <w:i/>
                <w:iCs/>
              </w:rPr>
              <w:fldChar w:fldCharType="separate"/>
            </w:r>
            <w:r w:rsidR="00302D39" w:rsidRPr="00302D39">
              <w:rPr>
                <w:i/>
                <w:iCs/>
              </w:rPr>
              <w:t>Performance Levels</w:t>
            </w:r>
            <w:r w:rsidRPr="00A22335">
              <w:rPr>
                <w:rFonts w:cs="Arial"/>
                <w:i/>
                <w:iCs/>
              </w:rPr>
              <w:fldChar w:fldCharType="end"/>
            </w:r>
            <w:r>
              <w:rPr>
                <w:rFonts w:cs="Arial"/>
              </w:rPr>
              <w:t>)</w:t>
            </w:r>
            <w:r w:rsidRPr="008D6A63">
              <w:rPr>
                <w:rFonts w:cs="Arial"/>
              </w:rPr>
              <w:t>;</w:t>
            </w:r>
          </w:p>
        </w:tc>
      </w:tr>
      <w:tr w:rsidR="00F67E9E" w:rsidRPr="00F55457" w14:paraId="2DC40C25" w14:textId="77777777" w:rsidTr="007F74AA">
        <w:tc>
          <w:tcPr>
            <w:tcW w:w="2835" w:type="dxa"/>
          </w:tcPr>
          <w:p w14:paraId="351ED7CD" w14:textId="77777777" w:rsidR="00F67E9E" w:rsidRDefault="00F67E9E" w:rsidP="007F74AA">
            <w:pPr>
              <w:pStyle w:val="StdBodyTextBold"/>
              <w:rPr>
                <w:rFonts w:cs="Arial"/>
              </w:rPr>
            </w:pPr>
            <w:r w:rsidRPr="00385171">
              <w:rPr>
                <w:rFonts w:cs="Arial"/>
              </w:rPr>
              <w:t>[</w:t>
            </w:r>
            <w:r w:rsidRPr="00622BE6">
              <w:rPr>
                <w:rFonts w:cs="Arial"/>
                <w:highlight w:val="yellow"/>
              </w:rPr>
              <w:t>Optional: “Modern Slavery Assessment Tool”</w:t>
            </w:r>
          </w:p>
          <w:p w14:paraId="7B499718" w14:textId="77777777" w:rsidR="00F67E9E" w:rsidRPr="00EF5BA5" w:rsidRDefault="00F67E9E" w:rsidP="007F74AA">
            <w:pPr>
              <w:pStyle w:val="StdBodyTextBold"/>
              <w:rPr>
                <w:iCs/>
              </w:rPr>
            </w:pPr>
            <w:r>
              <w:rPr>
                <w:rFonts w:cs="Arial"/>
                <w:iCs/>
                <w:highlight w:val="yellow"/>
              </w:rPr>
              <w:t>[</w:t>
            </w:r>
            <w:r w:rsidRPr="004B30F8">
              <w:rPr>
                <w:rFonts w:cs="Arial"/>
                <w:i/>
                <w:highlight w:val="yellow"/>
              </w:rPr>
              <w:t>Guidance note: Include this definition if Optional Clause 33.8(l) is included in the Core Terms</w:t>
            </w:r>
            <w:r w:rsidRPr="00EF5BA5">
              <w:rPr>
                <w:rFonts w:cs="Arial"/>
                <w:iCs/>
                <w:highlight w:val="yellow"/>
              </w:rPr>
              <w:t>]</w:t>
            </w:r>
          </w:p>
        </w:tc>
        <w:tc>
          <w:tcPr>
            <w:tcW w:w="6803" w:type="dxa"/>
          </w:tcPr>
          <w:p w14:paraId="51365E14" w14:textId="77777777" w:rsidR="00F67E9E" w:rsidRPr="00385171" w:rsidRDefault="00F67E9E" w:rsidP="007F74AA">
            <w:pPr>
              <w:pStyle w:val="StdBodyText"/>
              <w:rPr>
                <w:rFonts w:cs="Arial"/>
              </w:rPr>
            </w:pPr>
            <w:r w:rsidRPr="00622BE6">
              <w:rPr>
                <w:rFonts w:cs="Arial"/>
                <w:highlight w:val="yellow"/>
              </w:rPr>
              <w:t xml:space="preserve">means the modern slavery risk identification and management tool which can be found online at: </w:t>
            </w:r>
            <w:hyperlink r:id="rId20" w:history="1">
              <w:r w:rsidRPr="00622BE6">
                <w:rPr>
                  <w:rStyle w:val="Hyperlink"/>
                  <w:rFonts w:eastAsiaTheme="majorEastAsia" w:cs="Arial"/>
                  <w:highlight w:val="yellow"/>
                </w:rPr>
                <w:t>https://supplierregistration.cabinetoffice.gov.uk/msat</w:t>
              </w:r>
            </w:hyperlink>
            <w:r w:rsidRPr="00385171">
              <w:rPr>
                <w:rFonts w:cs="Arial"/>
              </w:rPr>
              <w:t xml:space="preserve">] </w:t>
            </w:r>
          </w:p>
        </w:tc>
      </w:tr>
      <w:tr w:rsidR="00F67E9E" w:rsidRPr="00F55457" w14:paraId="1F6DD269" w14:textId="77777777" w:rsidTr="007F74AA">
        <w:tc>
          <w:tcPr>
            <w:tcW w:w="2835" w:type="dxa"/>
          </w:tcPr>
          <w:p w14:paraId="5512A9FA" w14:textId="77777777" w:rsidR="00F67E9E" w:rsidRPr="00F55457" w:rsidRDefault="00F67E9E" w:rsidP="007F74AA">
            <w:pPr>
              <w:pStyle w:val="StdBodyTextBold"/>
              <w:rPr>
                <w:rFonts w:cs="Arial"/>
              </w:rPr>
            </w:pPr>
            <w:r>
              <w:rPr>
                <w:rFonts w:cs="Arial"/>
              </w:rPr>
              <w:t>“M</w:t>
            </w:r>
            <w:r w:rsidRPr="00F55457">
              <w:rPr>
                <w:rFonts w:cs="Arial"/>
              </w:rPr>
              <w:t>onth</w:t>
            </w:r>
            <w:r>
              <w:rPr>
                <w:rFonts w:cs="Arial"/>
              </w:rPr>
              <w:t>”</w:t>
            </w:r>
          </w:p>
        </w:tc>
        <w:tc>
          <w:tcPr>
            <w:tcW w:w="6803" w:type="dxa"/>
          </w:tcPr>
          <w:p w14:paraId="480FC10C" w14:textId="77777777" w:rsidR="00F67E9E" w:rsidRPr="00F55457" w:rsidRDefault="00F67E9E" w:rsidP="007F74AA">
            <w:pPr>
              <w:pStyle w:val="StdBodyText"/>
              <w:rPr>
                <w:rFonts w:cs="Arial"/>
              </w:rPr>
            </w:pPr>
            <w:r w:rsidRPr="00F55457">
              <w:rPr>
                <w:rFonts w:cs="Arial"/>
              </w:rPr>
              <w:t xml:space="preserve">a calendar month and </w:t>
            </w:r>
            <w:r>
              <w:rPr>
                <w:rFonts w:cs="Arial"/>
              </w:rPr>
              <w:t>“</w:t>
            </w:r>
            <w:r w:rsidRPr="00F55457">
              <w:rPr>
                <w:rStyle w:val="StdBodyTextBoldChar"/>
                <w:rFonts w:cs="Arial"/>
              </w:rPr>
              <w:t>monthly</w:t>
            </w:r>
            <w:r>
              <w:rPr>
                <w:rFonts w:cs="Arial"/>
              </w:rPr>
              <w:t>”</w:t>
            </w:r>
            <w:r w:rsidRPr="00F55457">
              <w:rPr>
                <w:rFonts w:cs="Arial"/>
              </w:rPr>
              <w:t xml:space="preserve"> shall be interpreted accordingly;</w:t>
            </w:r>
          </w:p>
        </w:tc>
      </w:tr>
      <w:tr w:rsidR="00F67E9E" w:rsidRPr="00F55457" w14:paraId="185E7CC3" w14:textId="77777777" w:rsidTr="007F74AA">
        <w:tc>
          <w:tcPr>
            <w:tcW w:w="2835" w:type="dxa"/>
          </w:tcPr>
          <w:p w14:paraId="532DD2F2" w14:textId="77777777" w:rsidR="00F67E9E" w:rsidRPr="00F55457" w:rsidRDefault="00F67E9E" w:rsidP="007F74AA">
            <w:pPr>
              <w:pStyle w:val="StdBodyTextBold"/>
              <w:rPr>
                <w:rFonts w:cs="Arial"/>
              </w:rPr>
            </w:pPr>
            <w:r>
              <w:rPr>
                <w:rFonts w:cs="Arial"/>
              </w:rPr>
              <w:t>“</w:t>
            </w:r>
            <w:r w:rsidRPr="00F55457">
              <w:rPr>
                <w:rFonts w:cs="Arial"/>
              </w:rPr>
              <w:t>Multi-Party Dispute Resolution Procedure</w:t>
            </w:r>
            <w:r>
              <w:rPr>
                <w:rFonts w:cs="Arial"/>
              </w:rPr>
              <w:t>”</w:t>
            </w:r>
          </w:p>
        </w:tc>
        <w:tc>
          <w:tcPr>
            <w:tcW w:w="6803" w:type="dxa"/>
          </w:tcPr>
          <w:p w14:paraId="20026EB9" w14:textId="1E311C14" w:rsidR="00F67E9E" w:rsidRPr="00F55457" w:rsidRDefault="00F67E9E" w:rsidP="007F74AA">
            <w:pPr>
              <w:pStyle w:val="StdBodyText"/>
              <w:rPr>
                <w:rFonts w:cs="Arial"/>
              </w:rPr>
            </w:pPr>
            <w:r w:rsidRPr="00F55457">
              <w:rPr>
                <w:rFonts w:cs="Arial"/>
              </w:rPr>
              <w:t xml:space="preserve">has </w:t>
            </w:r>
            <w:r w:rsidRPr="00D10A05">
              <w:rPr>
                <w:rFonts w:cs="Arial"/>
              </w:rPr>
              <w:t xml:space="preserve">the meaning given in </w:t>
            </w:r>
            <w:bookmarkStart w:id="165" w:name="_9kR3WTr2CC56CcEnoewrqyJR"/>
            <w:r w:rsidRPr="00D10A05">
              <w:rPr>
                <w:rFonts w:cs="Arial"/>
              </w:rPr>
              <w:t xml:space="preserve">Paragraph </w:t>
            </w:r>
            <w:r w:rsidRPr="00D10A05">
              <w:rPr>
                <w:rFonts w:cs="Arial"/>
              </w:rPr>
              <w:fldChar w:fldCharType="begin"/>
            </w:r>
            <w:r w:rsidRPr="00D10A05">
              <w:rPr>
                <w:rFonts w:cs="Arial"/>
              </w:rPr>
              <w:instrText xml:space="preserve"> REF _Ref44510621 \r \h  \* MERGEFORMAT </w:instrText>
            </w:r>
            <w:r w:rsidRPr="00D10A05">
              <w:rPr>
                <w:rFonts w:cs="Arial"/>
              </w:rPr>
            </w:r>
            <w:r w:rsidRPr="00D10A05">
              <w:rPr>
                <w:rFonts w:cs="Arial"/>
              </w:rPr>
              <w:fldChar w:fldCharType="separate"/>
            </w:r>
            <w:r w:rsidR="00302D39">
              <w:rPr>
                <w:rFonts w:cs="Arial"/>
              </w:rPr>
              <w:t>9.1</w:t>
            </w:r>
            <w:r w:rsidRPr="00D10A05">
              <w:rPr>
                <w:rFonts w:cs="Arial"/>
              </w:rPr>
              <w:fldChar w:fldCharType="end"/>
            </w:r>
            <w:r w:rsidRPr="00D10A05">
              <w:rPr>
                <w:rFonts w:cs="Arial"/>
              </w:rPr>
              <w:t xml:space="preserve"> </w:t>
            </w:r>
            <w:bookmarkEnd w:id="165"/>
            <w:r w:rsidRPr="00D10A05">
              <w:rPr>
                <w:rFonts w:cs="Arial"/>
              </w:rPr>
              <w:t xml:space="preserve">of </w:t>
            </w:r>
            <w:r>
              <w:rPr>
                <w:rFonts w:cs="Arial"/>
              </w:rPr>
              <w:fldChar w:fldCharType="begin"/>
            </w:r>
            <w:r>
              <w:rPr>
                <w:rFonts w:cs="Arial"/>
              </w:rPr>
              <w:instrText xml:space="preserve"> REF Schedule28 \h </w:instrText>
            </w:r>
            <w:r>
              <w:rPr>
                <w:rFonts w:cs="Arial"/>
              </w:rPr>
            </w:r>
            <w:r>
              <w:rPr>
                <w:rFonts w:cs="Arial"/>
              </w:rPr>
              <w:fldChar w:fldCharType="separate"/>
            </w:r>
            <w:r w:rsidR="00302D39" w:rsidRPr="005D0525">
              <w:t>Schedule</w:t>
            </w:r>
            <w:r w:rsidR="00302D39">
              <w:t> </w:t>
            </w:r>
            <w:r w:rsidR="00302D39" w:rsidRPr="005D0525">
              <w:t>28</w:t>
            </w:r>
            <w:r>
              <w:rPr>
                <w:rFonts w:cs="Arial"/>
              </w:rPr>
              <w:fldChar w:fldCharType="end"/>
            </w:r>
            <w:r>
              <w:rPr>
                <w:rFonts w:cs="Arial"/>
              </w:rPr>
              <w:t xml:space="preserve"> (</w:t>
            </w:r>
            <w:r w:rsidRPr="006F064F">
              <w:rPr>
                <w:rFonts w:cs="Arial"/>
                <w:i/>
                <w:iCs/>
              </w:rPr>
              <w:fldChar w:fldCharType="begin"/>
            </w:r>
            <w:r w:rsidRPr="006F064F">
              <w:rPr>
                <w:rFonts w:cs="Arial"/>
                <w:i/>
                <w:iCs/>
              </w:rPr>
              <w:instrText xml:space="preserve"> REF Schedule28Heading \h </w:instrText>
            </w:r>
            <w:r>
              <w:rPr>
                <w:rFonts w:cs="Arial"/>
                <w:i/>
                <w:iCs/>
              </w:rPr>
              <w:instrText xml:space="preserve"> \* MERGEFORMAT </w:instrText>
            </w:r>
            <w:r w:rsidRPr="006F064F">
              <w:rPr>
                <w:rFonts w:cs="Arial"/>
                <w:i/>
                <w:iCs/>
              </w:rPr>
            </w:r>
            <w:r w:rsidRPr="006F064F">
              <w:rPr>
                <w:rFonts w:cs="Arial"/>
                <w:i/>
                <w:iCs/>
              </w:rPr>
              <w:fldChar w:fldCharType="separate"/>
            </w:r>
            <w:r w:rsidR="00302D39" w:rsidRPr="00302D39">
              <w:rPr>
                <w:i/>
                <w:iCs/>
              </w:rPr>
              <w:t>Staff Transfer</w:t>
            </w:r>
            <w:r w:rsidRPr="006F064F">
              <w:rPr>
                <w:rFonts w:cs="Arial"/>
                <w:i/>
                <w:iCs/>
              </w:rPr>
              <w:fldChar w:fldCharType="end"/>
            </w:r>
            <w:r>
              <w:rPr>
                <w:rFonts w:cs="Arial"/>
              </w:rPr>
              <w:t>)</w:t>
            </w:r>
            <w:r w:rsidRPr="00D10A05">
              <w:rPr>
                <w:rFonts w:cs="Arial"/>
              </w:rPr>
              <w:t xml:space="preserve"> of</w:t>
            </w:r>
            <w:r w:rsidRPr="00F55457">
              <w:rPr>
                <w:rFonts w:cs="Arial"/>
              </w:rPr>
              <w:t xml:space="preserve"> </w:t>
            </w:r>
            <w:r>
              <w:rPr>
                <w:rFonts w:cs="Arial"/>
              </w:rPr>
              <w:fldChar w:fldCharType="begin"/>
            </w:r>
            <w:r>
              <w:rPr>
                <w:rFonts w:cs="Arial"/>
              </w:rPr>
              <w:instrText xml:space="preserve"> REF Schedule23 \h </w:instrText>
            </w:r>
            <w:r>
              <w:rPr>
                <w:rFonts w:cs="Arial"/>
              </w:rPr>
            </w:r>
            <w:r>
              <w:rPr>
                <w:rFonts w:cs="Arial"/>
              </w:rPr>
              <w:fldChar w:fldCharType="separate"/>
            </w:r>
            <w:r w:rsidR="00302D39" w:rsidRPr="005D0525">
              <w:t>Schedule</w:t>
            </w:r>
            <w:r w:rsidR="00302D39">
              <w:t> </w:t>
            </w:r>
            <w:r w:rsidR="00302D39" w:rsidRPr="005D0525">
              <w:t>23</w:t>
            </w:r>
            <w:r>
              <w:rPr>
                <w:rFonts w:cs="Arial"/>
              </w:rPr>
              <w:fldChar w:fldCharType="end"/>
            </w:r>
            <w:r>
              <w:rPr>
                <w:rFonts w:cs="Arial"/>
              </w:rPr>
              <w:t xml:space="preserve"> (</w:t>
            </w:r>
            <w:r w:rsidRPr="002F30DB">
              <w:rPr>
                <w:rFonts w:cs="Arial"/>
                <w:i/>
                <w:iCs/>
              </w:rPr>
              <w:fldChar w:fldCharType="begin"/>
            </w:r>
            <w:r w:rsidRPr="002F30DB">
              <w:rPr>
                <w:rFonts w:cs="Arial"/>
                <w:i/>
                <w:iCs/>
              </w:rPr>
              <w:instrText xml:space="preserve"> REF Schedule23Heading \h </w:instrText>
            </w:r>
            <w:r>
              <w:rPr>
                <w:rFonts w:cs="Arial"/>
                <w:i/>
                <w:iCs/>
              </w:rPr>
              <w:instrText xml:space="preserve"> \* MERGEFORMAT </w:instrText>
            </w:r>
            <w:r w:rsidRPr="002F30DB">
              <w:rPr>
                <w:rFonts w:cs="Arial"/>
                <w:i/>
                <w:iCs/>
              </w:rPr>
            </w:r>
            <w:r w:rsidRPr="002F30DB">
              <w:rPr>
                <w:rFonts w:cs="Arial"/>
                <w:i/>
                <w:iCs/>
              </w:rPr>
              <w:fldChar w:fldCharType="separate"/>
            </w:r>
            <w:r w:rsidR="00302D39" w:rsidRPr="00302D39">
              <w:rPr>
                <w:i/>
                <w:iCs/>
              </w:rPr>
              <w:t>Dispute Resolution Procedure</w:t>
            </w:r>
            <w:r w:rsidRPr="002F30DB">
              <w:rPr>
                <w:rFonts w:cs="Arial"/>
                <w:i/>
                <w:iCs/>
              </w:rPr>
              <w:fldChar w:fldCharType="end"/>
            </w:r>
            <w:r>
              <w:rPr>
                <w:rFonts w:cs="Arial"/>
              </w:rPr>
              <w:t>)</w:t>
            </w:r>
            <w:r w:rsidRPr="00F55457">
              <w:rPr>
                <w:rFonts w:cs="Arial"/>
              </w:rPr>
              <w:t>;</w:t>
            </w:r>
          </w:p>
        </w:tc>
      </w:tr>
      <w:tr w:rsidR="00F67E9E" w:rsidRPr="00F55457" w14:paraId="1317E7A9" w14:textId="77777777" w:rsidTr="007F74AA">
        <w:tc>
          <w:tcPr>
            <w:tcW w:w="2835" w:type="dxa"/>
          </w:tcPr>
          <w:p w14:paraId="7BE4F83D" w14:textId="77777777" w:rsidR="00F67E9E" w:rsidRPr="008D6A63" w:rsidRDefault="00F67E9E" w:rsidP="007F74AA">
            <w:pPr>
              <w:pStyle w:val="StdBodyTextBold"/>
              <w:rPr>
                <w:rFonts w:cs="Arial"/>
              </w:rPr>
            </w:pPr>
            <w:r>
              <w:rPr>
                <w:rFonts w:cs="Arial"/>
              </w:rPr>
              <w:t>“</w:t>
            </w:r>
            <w:bookmarkStart w:id="166" w:name="_9kMHG5YVt4CCFMEVX331YLuEMthDzqs9O9bfCJK"/>
            <w:r w:rsidRPr="008D6A63">
              <w:rPr>
                <w:rFonts w:cs="Arial"/>
              </w:rPr>
              <w:t>Multi-Party Procedure Initiation Notice</w:t>
            </w:r>
            <w:bookmarkEnd w:id="166"/>
            <w:r>
              <w:rPr>
                <w:rFonts w:cs="Arial"/>
              </w:rPr>
              <w:t>”</w:t>
            </w:r>
          </w:p>
        </w:tc>
        <w:tc>
          <w:tcPr>
            <w:tcW w:w="6803" w:type="dxa"/>
          </w:tcPr>
          <w:p w14:paraId="1A142D3B" w14:textId="0C203A35" w:rsidR="00F67E9E" w:rsidRPr="008D6A63" w:rsidRDefault="00F67E9E" w:rsidP="007F74AA">
            <w:pPr>
              <w:pStyle w:val="StdBodyText"/>
              <w:rPr>
                <w:rFonts w:cs="Arial"/>
              </w:rPr>
            </w:pPr>
            <w:r w:rsidRPr="008D6A63">
              <w:rPr>
                <w:rFonts w:cs="Arial"/>
              </w:rPr>
              <w:t xml:space="preserve">has the meaning given in </w:t>
            </w:r>
            <w:bookmarkStart w:id="167" w:name="_9kR3WTr2CC56DdEnoewrqyJS"/>
            <w:r w:rsidRPr="008D6A63">
              <w:rPr>
                <w:rFonts w:cs="Arial"/>
              </w:rPr>
              <w:t xml:space="preserve">Paragraph </w:t>
            </w:r>
            <w:bookmarkEnd w:id="167"/>
            <w:r w:rsidRPr="008D6A63">
              <w:rPr>
                <w:rFonts w:cs="Arial"/>
              </w:rPr>
              <w:fldChar w:fldCharType="begin"/>
            </w:r>
            <w:r w:rsidRPr="008D6A63">
              <w:rPr>
                <w:rFonts w:cs="Arial"/>
              </w:rPr>
              <w:instrText xml:space="preserve"> REF _Ref_ContractCompanion_9kb9Us686 \w \h  \* MERGEFORMAT </w:instrText>
            </w:r>
            <w:r w:rsidRPr="008D6A63">
              <w:rPr>
                <w:rFonts w:cs="Arial"/>
              </w:rPr>
            </w:r>
            <w:r w:rsidRPr="008D6A63">
              <w:rPr>
                <w:rFonts w:cs="Arial"/>
              </w:rPr>
              <w:fldChar w:fldCharType="separate"/>
            </w:r>
            <w:r w:rsidR="00302D39">
              <w:rPr>
                <w:rFonts w:cs="Arial"/>
              </w:rPr>
              <w:t>9.2</w:t>
            </w:r>
            <w:r w:rsidRPr="008D6A63">
              <w:rPr>
                <w:rFonts w:cs="Arial"/>
              </w:rPr>
              <w:fldChar w:fldCharType="end"/>
            </w:r>
            <w:r w:rsidRPr="008D6A63">
              <w:rPr>
                <w:rFonts w:cs="Arial"/>
              </w:rPr>
              <w:t xml:space="preserve"> of </w:t>
            </w:r>
            <w:r>
              <w:rPr>
                <w:rFonts w:cs="Arial"/>
              </w:rPr>
              <w:fldChar w:fldCharType="begin"/>
            </w:r>
            <w:r>
              <w:rPr>
                <w:rFonts w:cs="Arial"/>
              </w:rPr>
              <w:instrText xml:space="preserve"> REF Schedule23 \h </w:instrText>
            </w:r>
            <w:r>
              <w:rPr>
                <w:rFonts w:cs="Arial"/>
              </w:rPr>
            </w:r>
            <w:r>
              <w:rPr>
                <w:rFonts w:cs="Arial"/>
              </w:rPr>
              <w:fldChar w:fldCharType="separate"/>
            </w:r>
            <w:r w:rsidR="00302D39" w:rsidRPr="005D0525">
              <w:t>Schedule</w:t>
            </w:r>
            <w:r w:rsidR="00302D39">
              <w:t> </w:t>
            </w:r>
            <w:r w:rsidR="00302D39" w:rsidRPr="005D0525">
              <w:t>23</w:t>
            </w:r>
            <w:r>
              <w:rPr>
                <w:rFonts w:cs="Arial"/>
              </w:rPr>
              <w:fldChar w:fldCharType="end"/>
            </w:r>
            <w:r>
              <w:rPr>
                <w:rFonts w:cs="Arial"/>
              </w:rPr>
              <w:t xml:space="preserve"> (</w:t>
            </w:r>
            <w:r w:rsidRPr="002F30DB">
              <w:rPr>
                <w:rFonts w:cs="Arial"/>
                <w:i/>
                <w:iCs/>
              </w:rPr>
              <w:fldChar w:fldCharType="begin"/>
            </w:r>
            <w:r w:rsidRPr="002F30DB">
              <w:rPr>
                <w:rFonts w:cs="Arial"/>
                <w:i/>
                <w:iCs/>
              </w:rPr>
              <w:instrText xml:space="preserve"> REF Schedule23Heading \h </w:instrText>
            </w:r>
            <w:r>
              <w:rPr>
                <w:rFonts w:cs="Arial"/>
                <w:i/>
                <w:iCs/>
              </w:rPr>
              <w:instrText xml:space="preserve"> \* MERGEFORMAT </w:instrText>
            </w:r>
            <w:r w:rsidRPr="002F30DB">
              <w:rPr>
                <w:rFonts w:cs="Arial"/>
                <w:i/>
                <w:iCs/>
              </w:rPr>
            </w:r>
            <w:r w:rsidRPr="002F30DB">
              <w:rPr>
                <w:rFonts w:cs="Arial"/>
                <w:i/>
                <w:iCs/>
              </w:rPr>
              <w:fldChar w:fldCharType="separate"/>
            </w:r>
            <w:r w:rsidR="00302D39" w:rsidRPr="00302D39">
              <w:rPr>
                <w:i/>
                <w:iCs/>
              </w:rPr>
              <w:t>Dispute Resolution Procedure</w:t>
            </w:r>
            <w:r w:rsidRPr="002F30DB">
              <w:rPr>
                <w:rFonts w:cs="Arial"/>
                <w:i/>
                <w:iCs/>
              </w:rPr>
              <w:fldChar w:fldCharType="end"/>
            </w:r>
            <w:r>
              <w:rPr>
                <w:rFonts w:cs="Arial"/>
              </w:rPr>
              <w:t>)</w:t>
            </w:r>
            <w:r w:rsidRPr="008D6A63">
              <w:rPr>
                <w:rFonts w:cs="Arial"/>
              </w:rPr>
              <w:t>;</w:t>
            </w:r>
          </w:p>
        </w:tc>
      </w:tr>
      <w:tr w:rsidR="00F67E9E" w:rsidRPr="00F55457" w14:paraId="49A5614A" w14:textId="77777777" w:rsidTr="007F74AA">
        <w:tc>
          <w:tcPr>
            <w:tcW w:w="2835" w:type="dxa"/>
          </w:tcPr>
          <w:p w14:paraId="171EECDA" w14:textId="77777777" w:rsidR="00F67E9E" w:rsidRPr="008D6A63" w:rsidRDefault="00F67E9E" w:rsidP="007F74AA">
            <w:pPr>
              <w:pStyle w:val="StdBodyTextBold"/>
              <w:rPr>
                <w:rFonts w:cs="Arial"/>
              </w:rPr>
            </w:pPr>
            <w:r>
              <w:rPr>
                <w:rFonts w:cs="Arial"/>
              </w:rPr>
              <w:t>“</w:t>
            </w:r>
            <w:r w:rsidRPr="008D6A63">
              <w:rPr>
                <w:rFonts w:cs="Arial"/>
              </w:rPr>
              <w:t>NCSC</w:t>
            </w:r>
            <w:r>
              <w:rPr>
                <w:rFonts w:cs="Arial"/>
              </w:rPr>
              <w:t>”</w:t>
            </w:r>
          </w:p>
        </w:tc>
        <w:tc>
          <w:tcPr>
            <w:tcW w:w="6803" w:type="dxa"/>
          </w:tcPr>
          <w:p w14:paraId="1871325A" w14:textId="77777777" w:rsidR="00F67E9E" w:rsidRPr="008D6A63" w:rsidRDefault="00F67E9E" w:rsidP="007F74AA">
            <w:pPr>
              <w:pStyle w:val="StdBodyText"/>
              <w:rPr>
                <w:rFonts w:cs="Arial"/>
              </w:rPr>
            </w:pPr>
            <w:r w:rsidRPr="008D6A63">
              <w:rPr>
                <w:rFonts w:cs="Arial"/>
              </w:rPr>
              <w:t>the National Cyber Security Centre or any replacement or successor body carrying out the same function;</w:t>
            </w:r>
          </w:p>
        </w:tc>
      </w:tr>
      <w:tr w:rsidR="00F67E9E" w:rsidRPr="00F55457" w14:paraId="107021BA" w14:textId="77777777" w:rsidTr="007F74AA">
        <w:tc>
          <w:tcPr>
            <w:tcW w:w="2835" w:type="dxa"/>
          </w:tcPr>
          <w:p w14:paraId="68922F5E" w14:textId="77777777" w:rsidR="00F67E9E" w:rsidRPr="008D6A63" w:rsidRDefault="00F67E9E" w:rsidP="007F74AA">
            <w:pPr>
              <w:pStyle w:val="StdBodyTextBold"/>
              <w:rPr>
                <w:rFonts w:cs="Arial"/>
              </w:rPr>
            </w:pPr>
            <w:r>
              <w:rPr>
                <w:rFonts w:cs="Arial"/>
              </w:rPr>
              <w:t>“</w:t>
            </w:r>
            <w:r w:rsidRPr="008D6A63">
              <w:rPr>
                <w:rFonts w:cs="Arial"/>
              </w:rPr>
              <w:t>New Releases</w:t>
            </w:r>
            <w:r>
              <w:rPr>
                <w:rFonts w:cs="Arial"/>
              </w:rPr>
              <w:t>”</w:t>
            </w:r>
          </w:p>
        </w:tc>
        <w:tc>
          <w:tcPr>
            <w:tcW w:w="6803" w:type="dxa"/>
          </w:tcPr>
          <w:p w14:paraId="4B302109" w14:textId="77777777" w:rsidR="00F67E9E" w:rsidRPr="008D6A63" w:rsidRDefault="00F67E9E" w:rsidP="007F74AA">
            <w:pPr>
              <w:pStyle w:val="StdBodyText"/>
              <w:rPr>
                <w:rFonts w:cs="Arial"/>
              </w:rPr>
            </w:pPr>
            <w:r w:rsidRPr="008D6A63">
              <w:rPr>
                <w:rFonts w:cs="Arial"/>
              </w:rPr>
              <w:t>an item produced primarily to extend, alter or improve the Software and/or any Deliverable by providing additional functionality or performance enhancement (whether or not defects in the Software and/or Deliverable are also corrected) while still retaining the original designated purpose of that item;</w:t>
            </w:r>
          </w:p>
        </w:tc>
      </w:tr>
      <w:tr w:rsidR="00F67E9E" w:rsidRPr="00F55457" w14:paraId="4BCBE537" w14:textId="77777777" w:rsidTr="007F74AA">
        <w:tc>
          <w:tcPr>
            <w:tcW w:w="2835" w:type="dxa"/>
          </w:tcPr>
          <w:p w14:paraId="38CA8CAD" w14:textId="77777777" w:rsidR="00F67E9E" w:rsidRPr="008D6A63" w:rsidRDefault="00F67E9E" w:rsidP="007F74AA">
            <w:pPr>
              <w:pStyle w:val="StdBodyTextBold"/>
              <w:rPr>
                <w:rFonts w:cs="Arial"/>
              </w:rPr>
            </w:pPr>
            <w:r>
              <w:rPr>
                <w:rFonts w:cs="Arial"/>
              </w:rPr>
              <w:t>“</w:t>
            </w:r>
            <w:r w:rsidRPr="008D6A63">
              <w:rPr>
                <w:rFonts w:cs="Arial"/>
              </w:rPr>
              <w:t>Non-trivial Customer Base</w:t>
            </w:r>
            <w:r>
              <w:rPr>
                <w:rFonts w:cs="Arial"/>
              </w:rPr>
              <w:t>”</w:t>
            </w:r>
          </w:p>
        </w:tc>
        <w:tc>
          <w:tcPr>
            <w:tcW w:w="6803" w:type="dxa"/>
          </w:tcPr>
          <w:p w14:paraId="4D8393DA" w14:textId="77777777" w:rsidR="00F67E9E" w:rsidRPr="008D6A63" w:rsidRDefault="00F67E9E" w:rsidP="007F74AA">
            <w:pPr>
              <w:pStyle w:val="StdBodyText"/>
              <w:rPr>
                <w:rFonts w:cs="Arial"/>
              </w:rPr>
            </w:pPr>
            <w:r w:rsidRPr="008D6A63">
              <w:rPr>
                <w:rFonts w:cs="Arial"/>
              </w:rPr>
              <w:t>a significant customer base with respect to the date of first release and the relevant market but excluding Affiliates and other entities related to the licensor;</w:t>
            </w:r>
          </w:p>
        </w:tc>
      </w:tr>
      <w:tr w:rsidR="00F67E9E" w:rsidRPr="00F55457" w14:paraId="6CDA5D52" w14:textId="77777777" w:rsidTr="007F74AA">
        <w:tc>
          <w:tcPr>
            <w:tcW w:w="2835" w:type="dxa"/>
          </w:tcPr>
          <w:p w14:paraId="682552B5" w14:textId="77777777" w:rsidR="00F67E9E" w:rsidRPr="008D6A63" w:rsidRDefault="00F67E9E" w:rsidP="007F74AA">
            <w:pPr>
              <w:pStyle w:val="StdBodyTextBold"/>
              <w:rPr>
                <w:rFonts w:cs="Arial"/>
              </w:rPr>
            </w:pPr>
            <w:r>
              <w:rPr>
                <w:rFonts w:cs="Arial"/>
              </w:rPr>
              <w:t>“</w:t>
            </w:r>
            <w:r w:rsidRPr="008D6A63">
              <w:rPr>
                <w:rFonts w:cs="Arial"/>
              </w:rPr>
              <w:t>Non-retained Deliverables</w:t>
            </w:r>
            <w:r>
              <w:rPr>
                <w:rFonts w:cs="Arial"/>
              </w:rPr>
              <w:t>”</w:t>
            </w:r>
          </w:p>
        </w:tc>
        <w:tc>
          <w:tcPr>
            <w:tcW w:w="6803" w:type="dxa"/>
          </w:tcPr>
          <w:p w14:paraId="7AE2E0E3" w14:textId="77777777" w:rsidR="00F67E9E" w:rsidRPr="008D6A63" w:rsidRDefault="00F67E9E" w:rsidP="007F74AA">
            <w:pPr>
              <w:pStyle w:val="StdBodyText"/>
              <w:rPr>
                <w:rFonts w:cs="Arial"/>
              </w:rPr>
            </w:pPr>
            <w:r w:rsidRPr="008D6A63">
              <w:rPr>
                <w:rFonts w:cs="Arial"/>
              </w:rPr>
              <w:t>in relation to a CPP Milestone Payment Notice and each CPP Milestone the subject of that CPP Milestone Payment Notice, Deliverables provided to the Authority which relate to the relevant CPP Milestone(s) and which are not Retained Deliverables;</w:t>
            </w:r>
          </w:p>
        </w:tc>
      </w:tr>
      <w:tr w:rsidR="00F67E9E" w:rsidRPr="00F55457" w14:paraId="3D1A60D5" w14:textId="77777777" w:rsidTr="007F74AA">
        <w:tc>
          <w:tcPr>
            <w:tcW w:w="2835" w:type="dxa"/>
          </w:tcPr>
          <w:p w14:paraId="103B128C" w14:textId="77777777" w:rsidR="00F67E9E" w:rsidRPr="008D6A63" w:rsidRDefault="00F67E9E" w:rsidP="007F74AA">
            <w:pPr>
              <w:pStyle w:val="StdBodyTextBold"/>
              <w:rPr>
                <w:rFonts w:cs="Arial"/>
              </w:rPr>
            </w:pPr>
            <w:r>
              <w:rPr>
                <w:rFonts w:cs="Arial"/>
              </w:rPr>
              <w:t>“</w:t>
            </w:r>
            <w:r w:rsidRPr="008D6A63">
              <w:rPr>
                <w:rFonts w:cs="Arial"/>
              </w:rPr>
              <w:t>Notifiable Default</w:t>
            </w:r>
            <w:r>
              <w:rPr>
                <w:rFonts w:cs="Arial"/>
              </w:rPr>
              <w:t>”</w:t>
            </w:r>
          </w:p>
        </w:tc>
        <w:tc>
          <w:tcPr>
            <w:tcW w:w="6803" w:type="dxa"/>
          </w:tcPr>
          <w:p w14:paraId="45432CCC" w14:textId="77777777" w:rsidR="00F67E9E" w:rsidRPr="008D6A63" w:rsidRDefault="00F67E9E" w:rsidP="007F74AA">
            <w:pPr>
              <w:pStyle w:val="StdBodyText"/>
              <w:rPr>
                <w:rFonts w:cs="Arial"/>
              </w:rPr>
            </w:pPr>
            <w:r w:rsidRPr="008D6A63">
              <w:rPr>
                <w:rFonts w:cs="Arial"/>
              </w:rPr>
              <w:t xml:space="preserve">shall have the meaning given in </w:t>
            </w:r>
            <w:bookmarkStart w:id="168" w:name="_9kMHG5YVtCJBBLLFJJVP72om45yELAs5"/>
            <w:bookmarkStart w:id="169" w:name="_9kMJI5YVtCIABLOIJJVP72om45yELAs5"/>
            <w:r w:rsidRPr="008D6A63">
              <w:rPr>
                <w:rFonts w:cs="Arial"/>
              </w:rPr>
              <w:t xml:space="preserve">Clause </w:t>
            </w:r>
            <w:bookmarkEnd w:id="168"/>
            <w:bookmarkEnd w:id="169"/>
            <w:r w:rsidRPr="008D6A63">
              <w:rPr>
                <w:rFonts w:cs="Arial"/>
              </w:rPr>
              <w:t>25.1 (</w:t>
            </w:r>
            <w:r w:rsidRPr="00214A89">
              <w:rPr>
                <w:rFonts w:cs="Arial"/>
                <w:i/>
                <w:iCs/>
              </w:rPr>
              <w:t>Rectification Plan Process</w:t>
            </w:r>
            <w:r w:rsidRPr="008D6A63">
              <w:rPr>
                <w:rFonts w:cs="Arial"/>
              </w:rPr>
              <w:t>);</w:t>
            </w:r>
          </w:p>
        </w:tc>
      </w:tr>
      <w:tr w:rsidR="00F67E9E" w:rsidRPr="00F55457" w14:paraId="00DE5816" w14:textId="77777777" w:rsidTr="007F74AA">
        <w:tc>
          <w:tcPr>
            <w:tcW w:w="2835" w:type="dxa"/>
          </w:tcPr>
          <w:p w14:paraId="3801933C" w14:textId="77777777" w:rsidR="00F67E9E" w:rsidRPr="008D6A63" w:rsidRDefault="00F67E9E" w:rsidP="007F74AA">
            <w:pPr>
              <w:pStyle w:val="StdBodyTextBold"/>
              <w:rPr>
                <w:rFonts w:cs="Arial"/>
              </w:rPr>
            </w:pPr>
            <w:r>
              <w:rPr>
                <w:rFonts w:cs="Arial"/>
              </w:rPr>
              <w:t>“</w:t>
            </w:r>
            <w:r w:rsidRPr="008D6A63">
              <w:rPr>
                <w:rFonts w:cs="Arial"/>
              </w:rPr>
              <w:t>Object Code</w:t>
            </w:r>
            <w:r>
              <w:rPr>
                <w:rFonts w:cs="Arial"/>
              </w:rPr>
              <w:t>”</w:t>
            </w:r>
          </w:p>
        </w:tc>
        <w:tc>
          <w:tcPr>
            <w:tcW w:w="6803" w:type="dxa"/>
          </w:tcPr>
          <w:p w14:paraId="2F7A460E" w14:textId="77777777" w:rsidR="00F67E9E" w:rsidRPr="008D6A63" w:rsidRDefault="00F67E9E" w:rsidP="007F74AA">
            <w:pPr>
              <w:pStyle w:val="StdBodyText"/>
              <w:rPr>
                <w:rFonts w:cs="Arial"/>
              </w:rPr>
            </w:pPr>
            <w:r w:rsidRPr="008D6A63">
              <w:rPr>
                <w:rFonts w:cs="Arial"/>
              </w:rPr>
              <w:t>software and/or data in machine-readable, compiled object code form;</w:t>
            </w:r>
          </w:p>
        </w:tc>
      </w:tr>
      <w:tr w:rsidR="00F67E9E" w:rsidRPr="00F55457" w14:paraId="6B100C97" w14:textId="77777777" w:rsidTr="007F74AA">
        <w:tc>
          <w:tcPr>
            <w:tcW w:w="2835" w:type="dxa"/>
          </w:tcPr>
          <w:p w14:paraId="6CE60507" w14:textId="77777777" w:rsidR="00F67E9E" w:rsidRPr="008D6A63" w:rsidRDefault="00F67E9E" w:rsidP="007F74AA">
            <w:pPr>
              <w:pStyle w:val="StdBodyTextBold"/>
              <w:rPr>
                <w:rFonts w:cs="Arial"/>
              </w:rPr>
            </w:pPr>
            <w:r>
              <w:rPr>
                <w:rFonts w:cs="Arial"/>
              </w:rPr>
              <w:t>“</w:t>
            </w:r>
            <w:r w:rsidRPr="008D6A63">
              <w:rPr>
                <w:rFonts w:cs="Arial"/>
              </w:rPr>
              <w:t>Occasion of Tax Non-Compliance</w:t>
            </w:r>
            <w:r>
              <w:rPr>
                <w:rFonts w:cs="Arial"/>
              </w:rPr>
              <w:t>”</w:t>
            </w:r>
          </w:p>
        </w:tc>
        <w:tc>
          <w:tcPr>
            <w:tcW w:w="6803" w:type="dxa"/>
          </w:tcPr>
          <w:p w14:paraId="4F5BD0DC" w14:textId="77777777" w:rsidR="00F67E9E" w:rsidRPr="008D6A63" w:rsidRDefault="00F67E9E" w:rsidP="007F74AA">
            <w:pPr>
              <w:pStyle w:val="DefinitionList"/>
              <w:numPr>
                <w:ilvl w:val="0"/>
                <w:numId w:val="208"/>
              </w:numPr>
            </w:pPr>
            <w:r w:rsidRPr="008D6A63">
              <w:t>any tax return of the Supplier submitted to a Relevant Tax Authority on or after 1 October 2012 is found on or after 1 April 2013 to be incorrect as a result of:</w:t>
            </w:r>
          </w:p>
          <w:p w14:paraId="10685BEB" w14:textId="77777777" w:rsidR="00F67E9E" w:rsidRPr="008D6A63" w:rsidRDefault="00F67E9E" w:rsidP="00F67E9E">
            <w:pPr>
              <w:pStyle w:val="DefinitionListLevel1"/>
              <w:numPr>
                <w:ilvl w:val="1"/>
                <w:numId w:val="108"/>
              </w:numPr>
              <w:rPr>
                <w:rFonts w:cs="Arial"/>
              </w:rPr>
            </w:pPr>
            <w:r w:rsidRPr="008D6A63">
              <w:rPr>
                <w:rFonts w:cs="Arial"/>
              </w:rPr>
              <w:t xml:space="preserve">a Relevant Tax Authority successfully challenging the Supplier under the General Anti-Abuse Rule or the Halifax Abuse Principle or under any tax rules or legislation that have an effect equivalent or similar to the General Anti-Abuse Rule or the Halifax Abuse Principle; </w:t>
            </w:r>
          </w:p>
          <w:p w14:paraId="0E9B119A" w14:textId="77777777" w:rsidR="00F67E9E" w:rsidRPr="008D6A63" w:rsidRDefault="00F67E9E" w:rsidP="00F67E9E">
            <w:pPr>
              <w:pStyle w:val="DefinitionListLevel1"/>
              <w:numPr>
                <w:ilvl w:val="1"/>
                <w:numId w:val="108"/>
              </w:numPr>
              <w:rPr>
                <w:rFonts w:cs="Arial"/>
              </w:rPr>
            </w:pPr>
            <w:r w:rsidRPr="008D6A63">
              <w:rPr>
                <w:rFonts w:cs="Arial"/>
              </w:rPr>
              <w:t>the failure of an avoidance scheme which the Supplier was involved in, and which was, or should have been, notified to a Relevant Tax Authority under the DOTAS or any equivalent or similar regime; and/or</w:t>
            </w:r>
          </w:p>
          <w:p w14:paraId="6DFF0281" w14:textId="77777777" w:rsidR="00F67E9E" w:rsidRPr="008D6A63" w:rsidRDefault="00F67E9E" w:rsidP="00F67E9E">
            <w:pPr>
              <w:pStyle w:val="DefinitionList"/>
              <w:numPr>
                <w:ilvl w:val="0"/>
                <w:numId w:val="108"/>
              </w:numPr>
              <w:rPr>
                <w:rFonts w:cs="Arial"/>
              </w:rPr>
            </w:pPr>
            <w:r w:rsidRPr="008D6A63">
              <w:rPr>
                <w:rFonts w:cs="Arial"/>
              </w:rPr>
              <w:t>any tax return of the Supplier submitted to a Relevant Tax Authority on or after 1 October 2012 gives rise on or after 1 April 2013 to a criminal conviction in any jurisdiction for tax related offences which is not spent at the Effective Date or to a civil penalty for fraud or evasion;</w:t>
            </w:r>
          </w:p>
        </w:tc>
      </w:tr>
      <w:tr w:rsidR="00F67E9E" w:rsidRPr="00F55457" w14:paraId="1FFF2BE5" w14:textId="77777777" w:rsidTr="007F74AA">
        <w:tc>
          <w:tcPr>
            <w:tcW w:w="2835" w:type="dxa"/>
          </w:tcPr>
          <w:p w14:paraId="61BFF543" w14:textId="77777777" w:rsidR="00F67E9E" w:rsidRPr="008D6A63" w:rsidRDefault="00F67E9E" w:rsidP="007F74AA">
            <w:pPr>
              <w:pStyle w:val="StdBodyTextBold"/>
              <w:rPr>
                <w:rFonts w:cs="Arial"/>
              </w:rPr>
            </w:pPr>
            <w:r>
              <w:rPr>
                <w:rFonts w:cs="Arial"/>
              </w:rPr>
              <w:t>“</w:t>
            </w:r>
            <w:r w:rsidRPr="008D6A63">
              <w:rPr>
                <w:rFonts w:cs="Arial"/>
              </w:rPr>
              <w:t>Open Book Data</w:t>
            </w:r>
            <w:r>
              <w:rPr>
                <w:rFonts w:cs="Arial"/>
              </w:rPr>
              <w:t>”</w:t>
            </w:r>
          </w:p>
        </w:tc>
        <w:tc>
          <w:tcPr>
            <w:tcW w:w="6803" w:type="dxa"/>
          </w:tcPr>
          <w:p w14:paraId="1C3107A6" w14:textId="3EB90D5C" w:rsidR="00F67E9E" w:rsidRPr="008D6A63" w:rsidRDefault="00F67E9E" w:rsidP="007F74AA">
            <w:pPr>
              <w:pStyle w:val="StdBodyText"/>
              <w:rPr>
                <w:rFonts w:cs="Arial"/>
              </w:rPr>
            </w:pPr>
            <w:r w:rsidRPr="008D6A63">
              <w:rPr>
                <w:rFonts w:cs="Arial"/>
              </w:rPr>
              <w:t xml:space="preserve">has the meaning given in </w:t>
            </w:r>
            <w:r>
              <w:rPr>
                <w:rFonts w:cs="Arial"/>
              </w:rPr>
              <w:fldChar w:fldCharType="begin"/>
            </w:r>
            <w:r>
              <w:rPr>
                <w:rFonts w:cs="Arial"/>
              </w:rPr>
              <w:instrText xml:space="preserve"> REF Schedule19 \h </w:instrText>
            </w:r>
            <w:r>
              <w:rPr>
                <w:rFonts w:cs="Arial"/>
              </w:rPr>
            </w:r>
            <w:r>
              <w:rPr>
                <w:rFonts w:cs="Arial"/>
              </w:rPr>
              <w:fldChar w:fldCharType="separate"/>
            </w:r>
            <w:r w:rsidR="00302D39" w:rsidRPr="005D0525">
              <w:t>Schedule</w:t>
            </w:r>
            <w:r w:rsidR="00302D39">
              <w:t> </w:t>
            </w:r>
            <w:r w:rsidR="00302D39" w:rsidRPr="005D0525">
              <w:t>19</w:t>
            </w:r>
            <w:r>
              <w:rPr>
                <w:rFonts w:cs="Arial"/>
              </w:rPr>
              <w:fldChar w:fldCharType="end"/>
            </w:r>
            <w:r>
              <w:rPr>
                <w:rFonts w:cs="Arial"/>
              </w:rPr>
              <w:t xml:space="preserve"> (</w:t>
            </w:r>
            <w:r w:rsidRPr="002F30DB">
              <w:rPr>
                <w:rFonts w:cs="Arial"/>
                <w:i/>
                <w:iCs/>
              </w:rPr>
              <w:fldChar w:fldCharType="begin"/>
            </w:r>
            <w:r w:rsidRPr="002F30DB">
              <w:rPr>
                <w:rFonts w:cs="Arial"/>
                <w:i/>
                <w:iCs/>
              </w:rPr>
              <w:instrText xml:space="preserve"> REF Schedule19Heading \h </w:instrText>
            </w:r>
            <w:r>
              <w:rPr>
                <w:rFonts w:cs="Arial"/>
                <w:i/>
                <w:iCs/>
              </w:rPr>
              <w:instrText xml:space="preserve"> \* MERGEFORMAT </w:instrText>
            </w:r>
            <w:r w:rsidRPr="002F30DB">
              <w:rPr>
                <w:rFonts w:cs="Arial"/>
                <w:i/>
                <w:iCs/>
              </w:rPr>
            </w:r>
            <w:r w:rsidRPr="002F30DB">
              <w:rPr>
                <w:rFonts w:cs="Arial"/>
                <w:i/>
                <w:iCs/>
              </w:rPr>
              <w:fldChar w:fldCharType="separate"/>
            </w:r>
            <w:r w:rsidR="00302D39" w:rsidRPr="00302D39">
              <w:rPr>
                <w:i/>
                <w:iCs/>
              </w:rPr>
              <w:t>Financial Reports and Audit Rights</w:t>
            </w:r>
            <w:r w:rsidRPr="002F30DB">
              <w:rPr>
                <w:rFonts w:cs="Arial"/>
                <w:i/>
                <w:iCs/>
              </w:rPr>
              <w:fldChar w:fldCharType="end"/>
            </w:r>
            <w:r>
              <w:rPr>
                <w:rFonts w:cs="Arial"/>
              </w:rPr>
              <w:t>)</w:t>
            </w:r>
            <w:r w:rsidRPr="008D6A63">
              <w:rPr>
                <w:rFonts w:cs="Arial"/>
              </w:rPr>
              <w:t>;</w:t>
            </w:r>
          </w:p>
        </w:tc>
      </w:tr>
      <w:tr w:rsidR="00F67E9E" w:rsidRPr="00F55457" w14:paraId="4637E8FE" w14:textId="77777777" w:rsidTr="007F74AA">
        <w:tc>
          <w:tcPr>
            <w:tcW w:w="2835" w:type="dxa"/>
          </w:tcPr>
          <w:p w14:paraId="1B43B9B3" w14:textId="77777777" w:rsidR="00F67E9E" w:rsidRDefault="00F67E9E" w:rsidP="007F74AA">
            <w:pPr>
              <w:pStyle w:val="StdBodyTextBold"/>
              <w:rPr>
                <w:rFonts w:cs="Arial"/>
              </w:rPr>
            </w:pPr>
            <w:r>
              <w:rPr>
                <w:rFonts w:cs="Arial"/>
              </w:rPr>
              <w:t>“Open Licence”</w:t>
            </w:r>
          </w:p>
        </w:tc>
        <w:tc>
          <w:tcPr>
            <w:tcW w:w="6803" w:type="dxa"/>
          </w:tcPr>
          <w:p w14:paraId="1037C2C6" w14:textId="77777777" w:rsidR="00F67E9E" w:rsidRPr="008D6A63" w:rsidRDefault="00F67E9E" w:rsidP="007F74AA">
            <w:pPr>
              <w:pStyle w:val="StdBodyText"/>
              <w:rPr>
                <w:rFonts w:cs="Arial"/>
              </w:rPr>
            </w:pPr>
            <w:r w:rsidRPr="0099084E">
              <w:rPr>
                <w:rFonts w:cs="Arial"/>
              </w:rPr>
              <w:t xml:space="preserve">means any material that is published for use, with rights to access, copy and modify and publish, by any person for free, under a generally recognised open licence including Open Government Licence as set out at http://www.nationalarchives.gov.uk/doc/open-government-licence/version/3/ and the Open Standards Principles documented at </w:t>
            </w:r>
            <w:hyperlink r:id="rId21" w:history="1">
              <w:r w:rsidRPr="002032FC">
                <w:rPr>
                  <w:rStyle w:val="Hyperlink"/>
                  <w:rFonts w:cs="Arial"/>
                </w:rPr>
                <w:t>https://www.gov.uk/government/publications/open-standards-principles/open-standards-principles</w:t>
              </w:r>
            </w:hyperlink>
            <w:r>
              <w:rPr>
                <w:rFonts w:cs="Arial"/>
              </w:rPr>
              <w:t xml:space="preserve"> , and includes the Open Source publication of Software;</w:t>
            </w:r>
          </w:p>
        </w:tc>
      </w:tr>
      <w:tr w:rsidR="00F67E9E" w:rsidRPr="00F55457" w14:paraId="15D6E4CF" w14:textId="77777777" w:rsidTr="007F74AA">
        <w:tc>
          <w:tcPr>
            <w:tcW w:w="2835" w:type="dxa"/>
          </w:tcPr>
          <w:p w14:paraId="69F2218D" w14:textId="77777777" w:rsidR="00F67E9E" w:rsidRPr="008D6A63" w:rsidRDefault="00F67E9E" w:rsidP="007F74AA">
            <w:pPr>
              <w:pStyle w:val="StdBodyTextBold"/>
              <w:rPr>
                <w:rFonts w:cs="Arial"/>
              </w:rPr>
            </w:pPr>
            <w:r>
              <w:rPr>
                <w:rFonts w:cs="Arial"/>
              </w:rPr>
              <w:t>“</w:t>
            </w:r>
            <w:r w:rsidRPr="008D6A63">
              <w:rPr>
                <w:rFonts w:cs="Arial"/>
              </w:rPr>
              <w:t>Open Source</w:t>
            </w:r>
            <w:r>
              <w:rPr>
                <w:rFonts w:cs="Arial"/>
              </w:rPr>
              <w:t>”</w:t>
            </w:r>
          </w:p>
        </w:tc>
        <w:tc>
          <w:tcPr>
            <w:tcW w:w="6803" w:type="dxa"/>
          </w:tcPr>
          <w:p w14:paraId="08FE10CB" w14:textId="77777777" w:rsidR="00F67E9E" w:rsidRPr="008D6A63" w:rsidRDefault="00F67E9E" w:rsidP="007F74AA">
            <w:pPr>
              <w:pStyle w:val="StdBodyText"/>
              <w:rPr>
                <w:rFonts w:cs="Arial"/>
              </w:rPr>
            </w:pPr>
            <w:r w:rsidRPr="008D6A63">
              <w:rPr>
                <w:rFonts w:cs="Arial"/>
              </w:rPr>
              <w:t>computer Software that is released on the internet for use by any person, such release usually being made under a recognised open source licence and stating that it is released as open source;</w:t>
            </w:r>
          </w:p>
        </w:tc>
      </w:tr>
      <w:tr w:rsidR="00F67E9E" w:rsidRPr="00F55457" w14:paraId="3BCFE3AE" w14:textId="77777777" w:rsidTr="007F74AA">
        <w:tc>
          <w:tcPr>
            <w:tcW w:w="2835" w:type="dxa"/>
          </w:tcPr>
          <w:p w14:paraId="7014A15A" w14:textId="77777777" w:rsidR="00F67E9E" w:rsidRPr="008D6A63" w:rsidRDefault="00F67E9E" w:rsidP="007F74AA">
            <w:pPr>
              <w:pStyle w:val="StdBodyTextBold"/>
              <w:rPr>
                <w:rFonts w:cs="Arial"/>
              </w:rPr>
            </w:pPr>
            <w:r>
              <w:rPr>
                <w:rFonts w:cs="Arial"/>
              </w:rPr>
              <w:t>“</w:t>
            </w:r>
            <w:r w:rsidRPr="008D6A63">
              <w:rPr>
                <w:rFonts w:cs="Arial"/>
              </w:rPr>
              <w:t>Operating Environment</w:t>
            </w:r>
            <w:r>
              <w:rPr>
                <w:rFonts w:cs="Arial"/>
              </w:rPr>
              <w:t>”</w:t>
            </w:r>
          </w:p>
        </w:tc>
        <w:tc>
          <w:tcPr>
            <w:tcW w:w="6803" w:type="dxa"/>
          </w:tcPr>
          <w:p w14:paraId="627EF6D3" w14:textId="77777777" w:rsidR="00F67E9E" w:rsidRPr="008D6A63" w:rsidRDefault="00F67E9E" w:rsidP="007F74AA">
            <w:pPr>
              <w:pStyle w:val="StdBodyText"/>
              <w:rPr>
                <w:rFonts w:cs="Arial"/>
              </w:rPr>
            </w:pPr>
            <w:r w:rsidRPr="008D6A63">
              <w:rPr>
                <w:rFonts w:cs="Arial"/>
              </w:rPr>
              <w:t>the Authority System and the Sites;</w:t>
            </w:r>
          </w:p>
        </w:tc>
      </w:tr>
      <w:tr w:rsidR="00F67E9E" w:rsidRPr="00F55457" w14:paraId="6CF495D2" w14:textId="77777777" w:rsidTr="007F74AA">
        <w:tc>
          <w:tcPr>
            <w:tcW w:w="2835" w:type="dxa"/>
          </w:tcPr>
          <w:p w14:paraId="315E5AAF" w14:textId="77777777" w:rsidR="00F67E9E" w:rsidRPr="008D6A63" w:rsidRDefault="00F67E9E" w:rsidP="007F74AA">
            <w:pPr>
              <w:pStyle w:val="StdBodyTextBold"/>
              <w:rPr>
                <w:rFonts w:cs="Arial"/>
              </w:rPr>
            </w:pPr>
            <w:r>
              <w:rPr>
                <w:rFonts w:cs="Arial"/>
              </w:rPr>
              <w:t>“</w:t>
            </w:r>
            <w:r w:rsidRPr="008D6A63">
              <w:rPr>
                <w:rFonts w:cs="Arial"/>
              </w:rPr>
              <w:t>Operational Change</w:t>
            </w:r>
            <w:r>
              <w:rPr>
                <w:rFonts w:cs="Arial"/>
              </w:rPr>
              <w:t>”</w:t>
            </w:r>
          </w:p>
        </w:tc>
        <w:tc>
          <w:tcPr>
            <w:tcW w:w="6803" w:type="dxa"/>
          </w:tcPr>
          <w:p w14:paraId="0BC9C890" w14:textId="77777777" w:rsidR="00F67E9E" w:rsidRPr="008D6A63" w:rsidRDefault="00F67E9E" w:rsidP="007F74AA">
            <w:pPr>
              <w:pStyle w:val="StdBodyText"/>
              <w:rPr>
                <w:rFonts w:cs="Arial"/>
              </w:rPr>
            </w:pPr>
            <w:r w:rsidRPr="008D6A63">
              <w:rPr>
                <w:rFonts w:cs="Arial"/>
              </w:rPr>
              <w:t xml:space="preserve">any change in the </w:t>
            </w:r>
            <w:bookmarkStart w:id="170" w:name="_9kML4H6ZWu9A679B"/>
            <w:r w:rsidRPr="008D6A63">
              <w:rPr>
                <w:rFonts w:cs="Arial"/>
              </w:rPr>
              <w:t>Supplier</w:t>
            </w:r>
            <w:r>
              <w:rPr>
                <w:rFonts w:cs="Arial"/>
              </w:rPr>
              <w:t>’</w:t>
            </w:r>
            <w:r w:rsidRPr="008D6A63">
              <w:rPr>
                <w:rFonts w:cs="Arial"/>
              </w:rPr>
              <w:t>s</w:t>
            </w:r>
            <w:bookmarkEnd w:id="170"/>
            <w:r w:rsidRPr="008D6A63">
              <w:rPr>
                <w:rFonts w:cs="Arial"/>
              </w:rPr>
              <w:t xml:space="preserve"> operational procedures which in all respects, when implemented:</w:t>
            </w:r>
          </w:p>
          <w:p w14:paraId="571FFFBF" w14:textId="77777777" w:rsidR="00F67E9E" w:rsidRPr="008D6A63" w:rsidRDefault="00F67E9E" w:rsidP="007F74AA">
            <w:pPr>
              <w:pStyle w:val="DefinitionList"/>
              <w:numPr>
                <w:ilvl w:val="0"/>
                <w:numId w:val="209"/>
              </w:numPr>
            </w:pPr>
            <w:r w:rsidRPr="008D6A63">
              <w:t xml:space="preserve">will not affect the Charges and will not result in any other costs to the Authority; </w:t>
            </w:r>
          </w:p>
          <w:p w14:paraId="01A32E83" w14:textId="77777777" w:rsidR="00F67E9E" w:rsidRPr="008D6A63" w:rsidRDefault="00F67E9E" w:rsidP="00F67E9E">
            <w:pPr>
              <w:pStyle w:val="DefinitionList"/>
              <w:numPr>
                <w:ilvl w:val="0"/>
                <w:numId w:val="108"/>
              </w:numPr>
              <w:rPr>
                <w:rFonts w:cs="Arial"/>
              </w:rPr>
            </w:pPr>
            <w:r w:rsidRPr="008D6A63">
              <w:rPr>
                <w:rFonts w:cs="Arial"/>
              </w:rPr>
              <w:t xml:space="preserve">may change the way in which the Services are delivered but will not adversely affect the output of the Services or increase the risks in performing or receiving the Services; </w:t>
            </w:r>
          </w:p>
          <w:p w14:paraId="6C3C0F2F" w14:textId="77777777" w:rsidR="00F67E9E" w:rsidRPr="008D6A63" w:rsidRDefault="00F67E9E" w:rsidP="00F67E9E">
            <w:pPr>
              <w:pStyle w:val="DefinitionList"/>
              <w:numPr>
                <w:ilvl w:val="0"/>
                <w:numId w:val="108"/>
              </w:numPr>
              <w:rPr>
                <w:rFonts w:cs="Arial"/>
              </w:rPr>
            </w:pPr>
            <w:r w:rsidRPr="008D6A63">
              <w:rPr>
                <w:rFonts w:cs="Arial"/>
              </w:rPr>
              <w:t xml:space="preserve">will not adversely affect the interfaces or interoperability of the Services with any of the </w:t>
            </w:r>
            <w:bookmarkStart w:id="171" w:name="_9kML5I6ZWu9A679B"/>
            <w:r w:rsidRPr="008D6A63">
              <w:rPr>
                <w:rFonts w:cs="Arial"/>
              </w:rPr>
              <w:t>Authority</w:t>
            </w:r>
            <w:r>
              <w:rPr>
                <w:rFonts w:cs="Arial"/>
              </w:rPr>
              <w:t>’</w:t>
            </w:r>
            <w:r w:rsidRPr="008D6A63">
              <w:rPr>
                <w:rFonts w:cs="Arial"/>
              </w:rPr>
              <w:t>s</w:t>
            </w:r>
            <w:bookmarkEnd w:id="171"/>
            <w:r w:rsidRPr="008D6A63">
              <w:rPr>
                <w:rFonts w:cs="Arial"/>
              </w:rPr>
              <w:t xml:space="preserve"> IT infrastructure; and</w:t>
            </w:r>
          </w:p>
          <w:p w14:paraId="571F75BC" w14:textId="77777777" w:rsidR="00F67E9E" w:rsidRPr="008D6A63" w:rsidRDefault="00F67E9E" w:rsidP="00F67E9E">
            <w:pPr>
              <w:pStyle w:val="DefinitionList"/>
              <w:numPr>
                <w:ilvl w:val="0"/>
                <w:numId w:val="108"/>
              </w:numPr>
              <w:rPr>
                <w:rFonts w:cs="Arial"/>
              </w:rPr>
            </w:pPr>
            <w:r w:rsidRPr="008D6A63">
              <w:rPr>
                <w:rFonts w:cs="Arial"/>
              </w:rPr>
              <w:t>will not require a change to this Contract;</w:t>
            </w:r>
          </w:p>
        </w:tc>
      </w:tr>
      <w:tr w:rsidR="00F67E9E" w:rsidRPr="00F55457" w14:paraId="6EEF085D" w14:textId="77777777" w:rsidTr="007F74AA">
        <w:tc>
          <w:tcPr>
            <w:tcW w:w="2835" w:type="dxa"/>
          </w:tcPr>
          <w:p w14:paraId="7E248209" w14:textId="77777777" w:rsidR="00F67E9E" w:rsidRPr="008D6A63" w:rsidRDefault="00F67E9E" w:rsidP="007F74AA">
            <w:pPr>
              <w:pStyle w:val="StdBodyTextBold"/>
              <w:rPr>
                <w:rFonts w:cs="Arial"/>
              </w:rPr>
            </w:pPr>
            <w:r>
              <w:rPr>
                <w:rFonts w:cs="Arial"/>
              </w:rPr>
              <w:t>“</w:t>
            </w:r>
            <w:r w:rsidRPr="008D6A63">
              <w:rPr>
                <w:rFonts w:cs="Arial"/>
              </w:rPr>
              <w:t>Operational Service Commencement Date</w:t>
            </w:r>
            <w:r>
              <w:rPr>
                <w:rFonts w:cs="Arial"/>
              </w:rPr>
              <w:t>”</w:t>
            </w:r>
          </w:p>
        </w:tc>
        <w:tc>
          <w:tcPr>
            <w:tcW w:w="6803" w:type="dxa"/>
          </w:tcPr>
          <w:p w14:paraId="599D9113" w14:textId="77777777" w:rsidR="00F67E9E" w:rsidRPr="008D6A63" w:rsidRDefault="00F67E9E" w:rsidP="007F74AA">
            <w:pPr>
              <w:pStyle w:val="StdBodyText"/>
              <w:rPr>
                <w:rFonts w:cs="Arial"/>
              </w:rPr>
            </w:pPr>
            <w:r w:rsidRPr="008D6A63">
              <w:rPr>
                <w:rFonts w:cs="Arial"/>
              </w:rPr>
              <w:t>in relation to an Operational Service, the later of:</w:t>
            </w:r>
          </w:p>
          <w:p w14:paraId="0CD35ED8" w14:textId="77777777" w:rsidR="00F67E9E" w:rsidRPr="008D6A63" w:rsidRDefault="00F67E9E" w:rsidP="007F74AA">
            <w:pPr>
              <w:pStyle w:val="DefinitionList"/>
              <w:numPr>
                <w:ilvl w:val="0"/>
                <w:numId w:val="210"/>
              </w:numPr>
            </w:pPr>
            <w:r w:rsidRPr="008D6A63">
              <w:t xml:space="preserve">the date identified in the Operational Services Implementation Plan upon which the Operational Service is to commence; and </w:t>
            </w:r>
          </w:p>
          <w:p w14:paraId="23EA4F40" w14:textId="77777777" w:rsidR="00F67E9E" w:rsidRPr="008D6A63" w:rsidRDefault="00F67E9E" w:rsidP="00F67E9E">
            <w:pPr>
              <w:pStyle w:val="DefinitionList"/>
              <w:numPr>
                <w:ilvl w:val="0"/>
                <w:numId w:val="108"/>
              </w:numPr>
              <w:rPr>
                <w:rFonts w:cs="Arial"/>
              </w:rPr>
            </w:pPr>
            <w:r w:rsidRPr="008D6A63">
              <w:rPr>
                <w:rFonts w:cs="Arial"/>
              </w:rPr>
              <w:t xml:space="preserve">where the Implementation Plan states that the Supplier must have Achieved the relevant ATP Milestone before it can commence the provision of that Operational Service, the date upon which the Supplier Achieves the relevant ATP Milestone; </w:t>
            </w:r>
          </w:p>
        </w:tc>
      </w:tr>
      <w:tr w:rsidR="00F67E9E" w:rsidRPr="00F55457" w14:paraId="63B3FD06" w14:textId="77777777" w:rsidTr="007F74AA">
        <w:tc>
          <w:tcPr>
            <w:tcW w:w="2835" w:type="dxa"/>
          </w:tcPr>
          <w:p w14:paraId="6320C7E0" w14:textId="77777777" w:rsidR="00F67E9E" w:rsidRPr="008D6A63" w:rsidRDefault="00F67E9E" w:rsidP="007F74AA">
            <w:pPr>
              <w:pStyle w:val="StdBodyTextBold"/>
              <w:rPr>
                <w:rFonts w:cs="Arial"/>
              </w:rPr>
            </w:pPr>
            <w:r>
              <w:rPr>
                <w:rFonts w:cs="Arial"/>
              </w:rPr>
              <w:t>“</w:t>
            </w:r>
            <w:r w:rsidRPr="008D6A63">
              <w:rPr>
                <w:rFonts w:cs="Arial"/>
              </w:rPr>
              <w:t>Operational Services</w:t>
            </w:r>
            <w:r>
              <w:rPr>
                <w:rFonts w:cs="Arial"/>
              </w:rPr>
              <w:t>”</w:t>
            </w:r>
          </w:p>
        </w:tc>
        <w:tc>
          <w:tcPr>
            <w:tcW w:w="6803" w:type="dxa"/>
          </w:tcPr>
          <w:p w14:paraId="7BA0D262" w14:textId="77777777" w:rsidR="00F67E9E" w:rsidRPr="008D6A63" w:rsidRDefault="00F67E9E" w:rsidP="007F74AA">
            <w:pPr>
              <w:pStyle w:val="StdBodyText"/>
              <w:rPr>
                <w:rFonts w:cs="Arial"/>
              </w:rPr>
            </w:pPr>
            <w:r w:rsidRPr="008D6A63">
              <w:rPr>
                <w:rFonts w:cs="Arial"/>
              </w:rPr>
              <w:t>the operational services described as such in the Services Description;</w:t>
            </w:r>
          </w:p>
        </w:tc>
      </w:tr>
      <w:tr w:rsidR="00F67E9E" w:rsidRPr="00F55457" w14:paraId="5B02591F" w14:textId="77777777" w:rsidTr="007F74AA">
        <w:tc>
          <w:tcPr>
            <w:tcW w:w="2835" w:type="dxa"/>
          </w:tcPr>
          <w:p w14:paraId="0AFEC01A" w14:textId="77777777" w:rsidR="00F67E9E" w:rsidRPr="008D6A63" w:rsidRDefault="00F67E9E" w:rsidP="007F74AA">
            <w:pPr>
              <w:pStyle w:val="StdBodyTextBold"/>
              <w:rPr>
                <w:rFonts w:cs="Arial"/>
              </w:rPr>
            </w:pPr>
            <w:r>
              <w:rPr>
                <w:rFonts w:cs="Arial"/>
              </w:rPr>
              <w:t>“</w:t>
            </w:r>
            <w:r w:rsidRPr="008D6A63">
              <w:rPr>
                <w:rFonts w:cs="Arial"/>
              </w:rPr>
              <w:t>Optional Services</w:t>
            </w:r>
            <w:r>
              <w:rPr>
                <w:rFonts w:cs="Arial"/>
              </w:rPr>
              <w:t>”</w:t>
            </w:r>
          </w:p>
        </w:tc>
        <w:tc>
          <w:tcPr>
            <w:tcW w:w="6803" w:type="dxa"/>
          </w:tcPr>
          <w:p w14:paraId="6A1C4EA7" w14:textId="5E26ED3E" w:rsidR="00F67E9E" w:rsidRPr="008D6A63" w:rsidRDefault="00F67E9E" w:rsidP="007F74AA">
            <w:pPr>
              <w:pStyle w:val="StdBodyText"/>
              <w:rPr>
                <w:rFonts w:cs="Arial"/>
              </w:rPr>
            </w:pPr>
            <w:r w:rsidRPr="008D6A63">
              <w:rPr>
                <w:rFonts w:cs="Arial"/>
              </w:rPr>
              <w:t>the services described as such in</w:t>
            </w:r>
            <w:r>
              <w:rPr>
                <w:rFonts w:cs="Arial"/>
              </w:rPr>
              <w:t xml:space="preserve"> </w:t>
            </w:r>
            <w:r>
              <w:rPr>
                <w:rFonts w:cs="Arial"/>
              </w:rPr>
              <w:fldChar w:fldCharType="begin"/>
            </w:r>
            <w:r>
              <w:rPr>
                <w:rFonts w:cs="Arial"/>
              </w:rPr>
              <w:instrText xml:space="preserve"> REF Schedule2 \h </w:instrText>
            </w:r>
            <w:r>
              <w:rPr>
                <w:rFonts w:cs="Arial"/>
              </w:rPr>
            </w:r>
            <w:r>
              <w:rPr>
                <w:rFonts w:cs="Arial"/>
              </w:rPr>
              <w:fldChar w:fldCharType="separate"/>
            </w:r>
            <w:r w:rsidR="00302D39" w:rsidRPr="005D0525">
              <w:t>Schedule</w:t>
            </w:r>
            <w:r w:rsidR="00302D39">
              <w:t> </w:t>
            </w:r>
            <w:r w:rsidR="00302D39" w:rsidRPr="005D0525">
              <w:t>2</w:t>
            </w:r>
            <w:r>
              <w:rPr>
                <w:rFonts w:cs="Arial"/>
              </w:rPr>
              <w:fldChar w:fldCharType="end"/>
            </w:r>
            <w:r>
              <w:rPr>
                <w:rFonts w:cs="Arial"/>
              </w:rPr>
              <w:t xml:space="preserve"> (</w:t>
            </w:r>
            <w:r w:rsidRPr="00A22335">
              <w:rPr>
                <w:rFonts w:cs="Arial"/>
                <w:i/>
                <w:iCs/>
              </w:rPr>
              <w:fldChar w:fldCharType="begin"/>
            </w:r>
            <w:r w:rsidRPr="00A22335">
              <w:rPr>
                <w:rFonts w:cs="Arial"/>
                <w:i/>
                <w:iCs/>
              </w:rPr>
              <w:instrText xml:space="preserve"> REF Schedule2Heading \h </w:instrText>
            </w:r>
            <w:r>
              <w:rPr>
                <w:rFonts w:cs="Arial"/>
                <w:i/>
                <w:iCs/>
              </w:rPr>
              <w:instrText xml:space="preserve"> \* MERGEFORMAT </w:instrText>
            </w:r>
            <w:r w:rsidRPr="00A22335">
              <w:rPr>
                <w:rFonts w:cs="Arial"/>
                <w:i/>
                <w:iCs/>
              </w:rPr>
            </w:r>
            <w:r w:rsidRPr="00A22335">
              <w:rPr>
                <w:rFonts w:cs="Arial"/>
                <w:i/>
                <w:iCs/>
              </w:rPr>
              <w:fldChar w:fldCharType="separate"/>
            </w:r>
            <w:r w:rsidR="00302D39" w:rsidRPr="00302D39">
              <w:rPr>
                <w:i/>
                <w:iCs/>
              </w:rPr>
              <w:t>Services Description</w:t>
            </w:r>
            <w:r w:rsidRPr="00A22335">
              <w:rPr>
                <w:rFonts w:cs="Arial"/>
                <w:i/>
                <w:iCs/>
              </w:rPr>
              <w:fldChar w:fldCharType="end"/>
            </w:r>
            <w:r>
              <w:rPr>
                <w:rFonts w:cs="Arial"/>
              </w:rPr>
              <w:t>)</w:t>
            </w:r>
            <w:r w:rsidRPr="008D6A63">
              <w:rPr>
                <w:rFonts w:cs="Arial"/>
              </w:rPr>
              <w:t xml:space="preserve"> which are to be provided by the Supplier if required by the Authority in accordance with </w:t>
            </w:r>
            <w:bookmarkStart w:id="172" w:name="_9kMIH5YVtCIAABBHGCfUmGRH51C7ARLyBTAARKI"/>
            <w:r w:rsidRPr="008D6A63">
              <w:rPr>
                <w:rFonts w:cs="Arial"/>
              </w:rPr>
              <w:t xml:space="preserve">Clause </w:t>
            </w:r>
            <w:bookmarkEnd w:id="172"/>
            <w:r w:rsidRPr="008D6A63">
              <w:rPr>
                <w:rFonts w:cs="Arial"/>
              </w:rPr>
              <w:t>5.10 (</w:t>
            </w:r>
            <w:r w:rsidRPr="00214A89">
              <w:rPr>
                <w:rFonts w:cs="Arial"/>
                <w:i/>
                <w:iCs/>
              </w:rPr>
              <w:t>Optional Services</w:t>
            </w:r>
            <w:r w:rsidRPr="008D6A63">
              <w:rPr>
                <w:rFonts w:cs="Arial"/>
              </w:rPr>
              <w:t>);</w:t>
            </w:r>
          </w:p>
        </w:tc>
      </w:tr>
      <w:tr w:rsidR="00F67E9E" w:rsidRPr="00F55457" w14:paraId="50AC99D1" w14:textId="77777777" w:rsidTr="007F74AA">
        <w:tc>
          <w:tcPr>
            <w:tcW w:w="2835" w:type="dxa"/>
          </w:tcPr>
          <w:p w14:paraId="0421EF27" w14:textId="77777777" w:rsidR="00F67E9E" w:rsidRPr="008D6A63" w:rsidRDefault="00F67E9E" w:rsidP="007F74AA">
            <w:pPr>
              <w:pStyle w:val="StdBodyTextBold"/>
              <w:rPr>
                <w:rFonts w:cs="Arial"/>
              </w:rPr>
            </w:pPr>
            <w:r>
              <w:rPr>
                <w:rFonts w:cs="Arial"/>
              </w:rPr>
              <w:t>“</w:t>
            </w:r>
            <w:r w:rsidRPr="008D6A63">
              <w:rPr>
                <w:rFonts w:cs="Arial"/>
              </w:rPr>
              <w:t>Optional Services Implementation Plan</w:t>
            </w:r>
            <w:r>
              <w:rPr>
                <w:rFonts w:cs="Arial"/>
              </w:rPr>
              <w:t>”</w:t>
            </w:r>
          </w:p>
        </w:tc>
        <w:tc>
          <w:tcPr>
            <w:tcW w:w="6803" w:type="dxa"/>
          </w:tcPr>
          <w:p w14:paraId="24E06C6F" w14:textId="77777777" w:rsidR="00F67E9E" w:rsidRPr="008D6A63" w:rsidRDefault="00F67E9E" w:rsidP="007F74AA">
            <w:pPr>
              <w:pStyle w:val="StdBodyText"/>
              <w:rPr>
                <w:rFonts w:cs="Arial"/>
              </w:rPr>
            </w:pPr>
            <w:r w:rsidRPr="008D6A63">
              <w:rPr>
                <w:rFonts w:cs="Arial"/>
              </w:rPr>
              <w:t>the implementation plan to effect the Optional Services agreed between the Parties prior to the Effective Date and, if not agreed prior to the Effective Date, to be developed by the Supplier and approved by the Authority;</w:t>
            </w:r>
          </w:p>
        </w:tc>
      </w:tr>
      <w:tr w:rsidR="00F67E9E" w:rsidRPr="00F55457" w14:paraId="6450C24C" w14:textId="77777777" w:rsidTr="007F74AA">
        <w:tc>
          <w:tcPr>
            <w:tcW w:w="2835" w:type="dxa"/>
          </w:tcPr>
          <w:p w14:paraId="0895C94F" w14:textId="77777777" w:rsidR="00F67E9E" w:rsidRPr="008D6A63" w:rsidRDefault="00F67E9E" w:rsidP="007F74AA">
            <w:pPr>
              <w:pStyle w:val="StdBodyTextBold"/>
              <w:rPr>
                <w:rFonts w:cs="Arial"/>
              </w:rPr>
            </w:pPr>
            <w:r>
              <w:rPr>
                <w:rFonts w:cs="Arial"/>
              </w:rPr>
              <w:t>“</w:t>
            </w:r>
            <w:r w:rsidRPr="008D6A63">
              <w:rPr>
                <w:rFonts w:cs="Arial"/>
              </w:rPr>
              <w:t>Other Supplier</w:t>
            </w:r>
            <w:r>
              <w:rPr>
                <w:rFonts w:cs="Arial"/>
              </w:rPr>
              <w:t>”</w:t>
            </w:r>
          </w:p>
        </w:tc>
        <w:tc>
          <w:tcPr>
            <w:tcW w:w="6803" w:type="dxa"/>
          </w:tcPr>
          <w:p w14:paraId="7558A221" w14:textId="77777777" w:rsidR="00F67E9E" w:rsidRPr="008D6A63" w:rsidRDefault="00F67E9E" w:rsidP="007F74AA">
            <w:pPr>
              <w:pStyle w:val="StdBodyText"/>
              <w:rPr>
                <w:rFonts w:cs="Arial"/>
              </w:rPr>
            </w:pPr>
            <w:r w:rsidRPr="008D6A63">
              <w:rPr>
                <w:rFonts w:cs="Arial"/>
              </w:rPr>
              <w:t>any supplier to the Authority (other than the Supplier) which is notified to the Supplier from time to time;</w:t>
            </w:r>
          </w:p>
        </w:tc>
      </w:tr>
      <w:tr w:rsidR="00F67E9E" w:rsidRPr="00F55457" w14:paraId="3E978FAF" w14:textId="77777777" w:rsidTr="007F74AA">
        <w:tc>
          <w:tcPr>
            <w:tcW w:w="2835" w:type="dxa"/>
          </w:tcPr>
          <w:p w14:paraId="093AD69F" w14:textId="77777777" w:rsidR="00F67E9E" w:rsidRPr="008D6A63" w:rsidRDefault="00F67E9E" w:rsidP="007F74AA">
            <w:pPr>
              <w:pStyle w:val="StdBodyTextBold"/>
              <w:rPr>
                <w:rFonts w:cs="Arial"/>
              </w:rPr>
            </w:pPr>
            <w:r>
              <w:rPr>
                <w:rFonts w:cs="Arial"/>
              </w:rPr>
              <w:t>“</w:t>
            </w:r>
            <w:r w:rsidRPr="008D6A63">
              <w:rPr>
                <w:rFonts w:cs="Arial"/>
              </w:rPr>
              <w:t>Outline Implementation Plan</w:t>
            </w:r>
            <w:r>
              <w:rPr>
                <w:rFonts w:cs="Arial"/>
              </w:rPr>
              <w:t>”</w:t>
            </w:r>
          </w:p>
        </w:tc>
        <w:tc>
          <w:tcPr>
            <w:tcW w:w="6803" w:type="dxa"/>
          </w:tcPr>
          <w:p w14:paraId="314852A7" w14:textId="09D7E921" w:rsidR="00F67E9E" w:rsidRPr="008D6A63" w:rsidRDefault="00F67E9E" w:rsidP="007F74AA">
            <w:pPr>
              <w:pStyle w:val="StdBodyText"/>
              <w:rPr>
                <w:rFonts w:cs="Arial"/>
              </w:rPr>
            </w:pPr>
            <w:r w:rsidRPr="008D6A63">
              <w:rPr>
                <w:rFonts w:cs="Arial"/>
              </w:rPr>
              <w:t xml:space="preserve">the outline plan set out at Annex </w:t>
            </w:r>
            <w:r w:rsidRPr="008D6A63">
              <w:rPr>
                <w:rFonts w:cs="Arial"/>
              </w:rPr>
              <w:fldChar w:fldCharType="begin"/>
            </w:r>
            <w:r w:rsidRPr="008D6A63">
              <w:rPr>
                <w:rFonts w:cs="Arial"/>
              </w:rPr>
              <w:instrText xml:space="preserve"> REF ANNEX1_SCHEDULE13 \h </w:instrText>
            </w:r>
            <w:r w:rsidRPr="008D6A63">
              <w:rPr>
                <w:rFonts w:cs="Arial"/>
              </w:rPr>
            </w:r>
            <w:r w:rsidRPr="008D6A63">
              <w:rPr>
                <w:rFonts w:cs="Arial"/>
              </w:rPr>
              <w:fldChar w:fldCharType="separate"/>
            </w:r>
            <w:r w:rsidR="00302D39">
              <w:t>A</w:t>
            </w:r>
            <w:r w:rsidRPr="008D6A63">
              <w:rPr>
                <w:rFonts w:cs="Arial"/>
              </w:rPr>
              <w:fldChar w:fldCharType="end"/>
            </w:r>
            <w:r w:rsidRPr="008D6A63">
              <w:rPr>
                <w:rFonts w:cs="Arial"/>
              </w:rPr>
              <w:t xml:space="preserve"> of </w:t>
            </w:r>
            <w:r>
              <w:rPr>
                <w:rFonts w:cs="Arial"/>
              </w:rPr>
              <w:fldChar w:fldCharType="begin"/>
            </w:r>
            <w:r>
              <w:rPr>
                <w:rFonts w:cs="Arial"/>
              </w:rPr>
              <w:instrText xml:space="preserve"> REF Schedule13 \h </w:instrText>
            </w:r>
            <w:r>
              <w:rPr>
                <w:rFonts w:cs="Arial"/>
              </w:rPr>
            </w:r>
            <w:r>
              <w:rPr>
                <w:rFonts w:cs="Arial"/>
              </w:rPr>
              <w:fldChar w:fldCharType="separate"/>
            </w:r>
            <w:r w:rsidR="00302D39" w:rsidRPr="005D0525">
              <w:t>Schedule</w:t>
            </w:r>
            <w:r w:rsidR="00302D39">
              <w:t> </w:t>
            </w:r>
            <w:r w:rsidR="00302D39" w:rsidRPr="005D0525">
              <w:t>13</w:t>
            </w:r>
            <w:r>
              <w:rPr>
                <w:rFonts w:cs="Arial"/>
              </w:rPr>
              <w:fldChar w:fldCharType="end"/>
            </w:r>
            <w:r>
              <w:rPr>
                <w:rFonts w:cs="Arial"/>
              </w:rPr>
              <w:t xml:space="preserve"> (</w:t>
            </w:r>
            <w:r w:rsidRPr="00A22335">
              <w:rPr>
                <w:rFonts w:cs="Arial"/>
                <w:i/>
                <w:iCs/>
              </w:rPr>
              <w:fldChar w:fldCharType="begin"/>
            </w:r>
            <w:r w:rsidRPr="00A22335">
              <w:rPr>
                <w:rFonts w:cs="Arial"/>
                <w:i/>
                <w:iCs/>
              </w:rPr>
              <w:instrText xml:space="preserve"> REF Schedule13Heading \h </w:instrText>
            </w:r>
            <w:r>
              <w:rPr>
                <w:rFonts w:cs="Arial"/>
                <w:i/>
                <w:iCs/>
              </w:rPr>
              <w:instrText xml:space="preserve"> \* MERGEFORMAT </w:instrText>
            </w:r>
            <w:r w:rsidRPr="00A22335">
              <w:rPr>
                <w:rFonts w:cs="Arial"/>
                <w:i/>
                <w:iCs/>
              </w:rPr>
            </w:r>
            <w:r w:rsidRPr="00A22335">
              <w:rPr>
                <w:rFonts w:cs="Arial"/>
                <w:i/>
                <w:iCs/>
              </w:rPr>
              <w:fldChar w:fldCharType="separate"/>
            </w:r>
            <w:r w:rsidR="00302D39" w:rsidRPr="00302D39">
              <w:rPr>
                <w:i/>
                <w:iCs/>
              </w:rPr>
              <w:t>Implementation Plan</w:t>
            </w:r>
            <w:r w:rsidRPr="00A22335">
              <w:rPr>
                <w:rFonts w:cs="Arial"/>
                <w:i/>
                <w:iCs/>
              </w:rPr>
              <w:fldChar w:fldCharType="end"/>
            </w:r>
            <w:r>
              <w:rPr>
                <w:rFonts w:cs="Arial"/>
              </w:rPr>
              <w:t>)</w:t>
            </w:r>
            <w:r w:rsidRPr="008D6A63">
              <w:rPr>
                <w:rFonts w:cs="Arial"/>
              </w:rPr>
              <w:t>;</w:t>
            </w:r>
          </w:p>
        </w:tc>
      </w:tr>
      <w:tr w:rsidR="00F67E9E" w:rsidRPr="00F55457" w14:paraId="10C6F78D" w14:textId="77777777" w:rsidTr="007F74AA">
        <w:tc>
          <w:tcPr>
            <w:tcW w:w="2835" w:type="dxa"/>
          </w:tcPr>
          <w:p w14:paraId="576FFD32" w14:textId="77777777" w:rsidR="00F67E9E" w:rsidRPr="008D6A63" w:rsidRDefault="00F67E9E" w:rsidP="007F74AA">
            <w:pPr>
              <w:pStyle w:val="StdBodyTextBold"/>
              <w:rPr>
                <w:rFonts w:cs="Arial"/>
              </w:rPr>
            </w:pPr>
            <w:r>
              <w:rPr>
                <w:rFonts w:cs="Arial"/>
              </w:rPr>
              <w:t>“</w:t>
            </w:r>
            <w:r w:rsidRPr="008D6A63">
              <w:rPr>
                <w:rFonts w:cs="Arial"/>
              </w:rPr>
              <w:t>Parent Undertaking</w:t>
            </w:r>
            <w:r>
              <w:rPr>
                <w:rFonts w:cs="Arial"/>
              </w:rPr>
              <w:t>”</w:t>
            </w:r>
          </w:p>
        </w:tc>
        <w:tc>
          <w:tcPr>
            <w:tcW w:w="6803" w:type="dxa"/>
          </w:tcPr>
          <w:p w14:paraId="7E515215" w14:textId="77777777" w:rsidR="00F67E9E" w:rsidRPr="008D6A63" w:rsidRDefault="00F67E9E" w:rsidP="007F74AA">
            <w:pPr>
              <w:pStyle w:val="StdBodyText"/>
              <w:rPr>
                <w:rFonts w:cs="Arial"/>
              </w:rPr>
            </w:pPr>
            <w:r w:rsidRPr="008D6A63">
              <w:rPr>
                <w:rFonts w:cs="Arial"/>
              </w:rPr>
              <w:t xml:space="preserve">has the meaning set out in </w:t>
            </w:r>
            <w:bookmarkStart w:id="173" w:name="_9kR3WTr277DHC2rcszv1FHNP8z58uQVCE32B3El"/>
            <w:r w:rsidRPr="008D6A63">
              <w:rPr>
                <w:rFonts w:cs="Arial"/>
              </w:rPr>
              <w:t>section 1162 of the Companies Act 2006</w:t>
            </w:r>
            <w:bookmarkEnd w:id="173"/>
            <w:r w:rsidRPr="008D6A63">
              <w:rPr>
                <w:rFonts w:cs="Arial"/>
              </w:rPr>
              <w:t>;</w:t>
            </w:r>
          </w:p>
        </w:tc>
      </w:tr>
      <w:tr w:rsidR="00F67E9E" w:rsidRPr="00F55457" w14:paraId="6E3E6B6D" w14:textId="77777777" w:rsidTr="007F74AA">
        <w:tc>
          <w:tcPr>
            <w:tcW w:w="2835" w:type="dxa"/>
          </w:tcPr>
          <w:p w14:paraId="3C13A2E1" w14:textId="77777777" w:rsidR="00F67E9E" w:rsidRPr="008D6A63" w:rsidRDefault="00F67E9E" w:rsidP="007F74AA">
            <w:pPr>
              <w:pStyle w:val="StdBodyTextBold"/>
              <w:rPr>
                <w:rFonts w:cs="Arial"/>
              </w:rPr>
            </w:pPr>
            <w:r>
              <w:rPr>
                <w:rFonts w:cs="Arial"/>
              </w:rPr>
              <w:t>“</w:t>
            </w:r>
            <w:r w:rsidRPr="008D6A63">
              <w:rPr>
                <w:rFonts w:cs="Arial"/>
              </w:rPr>
              <w:t>Partial Termination</w:t>
            </w:r>
            <w:r>
              <w:rPr>
                <w:rFonts w:cs="Arial"/>
              </w:rPr>
              <w:t>”</w:t>
            </w:r>
          </w:p>
        </w:tc>
        <w:tc>
          <w:tcPr>
            <w:tcW w:w="6803" w:type="dxa"/>
          </w:tcPr>
          <w:p w14:paraId="585C7697" w14:textId="77777777" w:rsidR="00F67E9E" w:rsidRPr="008D6A63" w:rsidRDefault="00F67E9E" w:rsidP="007F74AA">
            <w:pPr>
              <w:pStyle w:val="StdBodyText"/>
              <w:rPr>
                <w:rFonts w:cs="Arial"/>
              </w:rPr>
            </w:pPr>
            <w:r w:rsidRPr="008D6A63">
              <w:rPr>
                <w:rFonts w:cs="Arial"/>
              </w:rPr>
              <w:t xml:space="preserve">the partial termination of this Contract to the extent that it relates to the provision of any part of the Services as further provided for in </w:t>
            </w:r>
            <w:bookmarkStart w:id="174" w:name="_9kMIH5YVtCIAAJNJGGpiiuE4q16wwANJKBAJBD6"/>
            <w:r w:rsidRPr="008D6A63">
              <w:rPr>
                <w:rFonts w:cs="Arial"/>
              </w:rPr>
              <w:t xml:space="preserve">Clause </w:t>
            </w:r>
            <w:bookmarkEnd w:id="174"/>
            <w:r w:rsidRPr="008D6A63">
              <w:rPr>
                <w:rFonts w:cs="Arial"/>
              </w:rPr>
              <w:t>31.2(b) (</w:t>
            </w:r>
            <w:r w:rsidRPr="00214A89">
              <w:rPr>
                <w:rFonts w:cs="Arial"/>
                <w:i/>
                <w:iCs/>
              </w:rPr>
              <w:t>Termination by the Authority</w:t>
            </w:r>
            <w:r w:rsidRPr="008D6A63">
              <w:rPr>
                <w:rFonts w:cs="Arial"/>
              </w:rPr>
              <w:t>) or 31.3(b) (</w:t>
            </w:r>
            <w:r w:rsidRPr="00214A89">
              <w:rPr>
                <w:rFonts w:cs="Arial"/>
                <w:i/>
                <w:iCs/>
              </w:rPr>
              <w:t>Termination by the Supplier</w:t>
            </w:r>
            <w:r w:rsidRPr="008D6A63">
              <w:rPr>
                <w:rFonts w:cs="Arial"/>
              </w:rPr>
              <w:t>) or otherwise by mutual agreement by the Parties;</w:t>
            </w:r>
          </w:p>
        </w:tc>
      </w:tr>
      <w:tr w:rsidR="00F67E9E" w:rsidRPr="00F55457" w14:paraId="5DEC59D7" w14:textId="77777777" w:rsidTr="007F74AA">
        <w:tc>
          <w:tcPr>
            <w:tcW w:w="2835" w:type="dxa"/>
          </w:tcPr>
          <w:p w14:paraId="6BAC1601" w14:textId="77777777" w:rsidR="00F67E9E" w:rsidRPr="008D6A63" w:rsidRDefault="00F67E9E" w:rsidP="007F74AA">
            <w:pPr>
              <w:pStyle w:val="StdBodyText"/>
              <w:rPr>
                <w:rFonts w:cs="Arial"/>
              </w:rPr>
            </w:pPr>
            <w:r>
              <w:rPr>
                <w:rStyle w:val="StdBodyTextBoldChar"/>
                <w:rFonts w:cs="Arial"/>
              </w:rPr>
              <w:t>“</w:t>
            </w:r>
            <w:r w:rsidRPr="008D6A63">
              <w:rPr>
                <w:rStyle w:val="StdBodyTextBoldChar"/>
                <w:rFonts w:cs="Arial"/>
              </w:rPr>
              <w:t>Parties</w:t>
            </w:r>
            <w:r>
              <w:rPr>
                <w:rStyle w:val="StdBodyTextBoldChar"/>
                <w:rFonts w:cs="Arial"/>
              </w:rPr>
              <w:t>”</w:t>
            </w:r>
            <w:r w:rsidRPr="008D6A63">
              <w:rPr>
                <w:rFonts w:cs="Arial"/>
              </w:rPr>
              <w:t xml:space="preserve"> and </w:t>
            </w:r>
            <w:r>
              <w:rPr>
                <w:rStyle w:val="StdBodyTextBoldChar"/>
                <w:rFonts w:cs="Arial"/>
              </w:rPr>
              <w:t>“</w:t>
            </w:r>
            <w:r w:rsidRPr="008D6A63">
              <w:rPr>
                <w:rStyle w:val="StdBodyTextBoldChar"/>
                <w:rFonts w:cs="Arial"/>
              </w:rPr>
              <w:t>Party</w:t>
            </w:r>
            <w:r>
              <w:rPr>
                <w:rStyle w:val="StdBodyTextBoldChar"/>
                <w:rFonts w:cs="Arial"/>
              </w:rPr>
              <w:t>”</w:t>
            </w:r>
          </w:p>
        </w:tc>
        <w:tc>
          <w:tcPr>
            <w:tcW w:w="6803" w:type="dxa"/>
          </w:tcPr>
          <w:p w14:paraId="43D5034C" w14:textId="77777777" w:rsidR="00F67E9E" w:rsidRPr="008D6A63" w:rsidRDefault="00F67E9E" w:rsidP="007F74AA">
            <w:pPr>
              <w:pStyle w:val="StdBodyText"/>
              <w:rPr>
                <w:rFonts w:cs="Arial"/>
              </w:rPr>
            </w:pPr>
            <w:r w:rsidRPr="008D6A63">
              <w:rPr>
                <w:rFonts w:cs="Arial"/>
              </w:rPr>
              <w:t>have the meanings respectively given on page 1 of this Contract;</w:t>
            </w:r>
          </w:p>
        </w:tc>
      </w:tr>
      <w:tr w:rsidR="00F67E9E" w:rsidRPr="00F55457" w14:paraId="3A044872" w14:textId="77777777" w:rsidTr="007F74AA">
        <w:tc>
          <w:tcPr>
            <w:tcW w:w="2835" w:type="dxa"/>
          </w:tcPr>
          <w:p w14:paraId="4F3F8823" w14:textId="77777777" w:rsidR="00F67E9E" w:rsidRPr="008D6A63" w:rsidRDefault="00F67E9E" w:rsidP="007F74AA">
            <w:pPr>
              <w:pStyle w:val="StdBodyTextBold"/>
              <w:rPr>
                <w:rStyle w:val="StdBodyTextBoldChar"/>
                <w:rFonts w:cs="Arial"/>
                <w:b/>
              </w:rPr>
            </w:pPr>
            <w:r>
              <w:rPr>
                <w:rFonts w:cs="Arial"/>
              </w:rPr>
              <w:t>“</w:t>
            </w:r>
            <w:r w:rsidRPr="008D6A63">
              <w:rPr>
                <w:rFonts w:cs="Arial"/>
              </w:rPr>
              <w:t>Performance Failure</w:t>
            </w:r>
            <w:r>
              <w:rPr>
                <w:rFonts w:cs="Arial"/>
              </w:rPr>
              <w:t>”</w:t>
            </w:r>
          </w:p>
        </w:tc>
        <w:tc>
          <w:tcPr>
            <w:tcW w:w="6803" w:type="dxa"/>
          </w:tcPr>
          <w:p w14:paraId="53568A4B" w14:textId="77777777" w:rsidR="00F67E9E" w:rsidRPr="008D6A63" w:rsidRDefault="00F67E9E" w:rsidP="007F74AA">
            <w:pPr>
              <w:pStyle w:val="StdBodyText"/>
              <w:rPr>
                <w:rFonts w:cs="Arial"/>
              </w:rPr>
            </w:pPr>
            <w:r w:rsidRPr="008D6A63">
              <w:rPr>
                <w:rFonts w:cs="Arial"/>
              </w:rPr>
              <w:t>a KPI Failure or a PI Failure;</w:t>
            </w:r>
          </w:p>
        </w:tc>
      </w:tr>
      <w:tr w:rsidR="00F67E9E" w:rsidRPr="00F55457" w14:paraId="7E19C298" w14:textId="77777777" w:rsidTr="007F74AA">
        <w:tc>
          <w:tcPr>
            <w:tcW w:w="2835" w:type="dxa"/>
          </w:tcPr>
          <w:p w14:paraId="515C1827" w14:textId="77777777" w:rsidR="00F67E9E" w:rsidRPr="008D6A63" w:rsidRDefault="00F67E9E" w:rsidP="007F74AA">
            <w:pPr>
              <w:pStyle w:val="StdBodyTextBold"/>
              <w:rPr>
                <w:rFonts w:cs="Arial"/>
              </w:rPr>
            </w:pPr>
            <w:r>
              <w:rPr>
                <w:rFonts w:cs="Arial"/>
              </w:rPr>
              <w:t>“</w:t>
            </w:r>
            <w:r w:rsidRPr="008D6A63">
              <w:rPr>
                <w:rFonts w:cs="Arial"/>
              </w:rPr>
              <w:t>Performance Indicators</w:t>
            </w:r>
            <w:r>
              <w:rPr>
                <w:rFonts w:cs="Arial"/>
              </w:rPr>
              <w:t>”</w:t>
            </w:r>
          </w:p>
        </w:tc>
        <w:tc>
          <w:tcPr>
            <w:tcW w:w="6803" w:type="dxa"/>
          </w:tcPr>
          <w:p w14:paraId="551768BB" w14:textId="77777777" w:rsidR="00F67E9E" w:rsidRPr="008D6A63" w:rsidRDefault="00F67E9E" w:rsidP="007F74AA">
            <w:pPr>
              <w:pStyle w:val="StdBodyText"/>
              <w:rPr>
                <w:rFonts w:cs="Arial"/>
              </w:rPr>
            </w:pPr>
            <w:r w:rsidRPr="008D6A63">
              <w:rPr>
                <w:rFonts w:cs="Arial"/>
              </w:rPr>
              <w:t>the Key Performance Indicators and the Subsidiary Performance Indicators;</w:t>
            </w:r>
          </w:p>
        </w:tc>
      </w:tr>
      <w:tr w:rsidR="00F67E9E" w:rsidRPr="00F55457" w14:paraId="04AA5B10" w14:textId="77777777" w:rsidTr="007F74AA">
        <w:tc>
          <w:tcPr>
            <w:tcW w:w="2835" w:type="dxa"/>
          </w:tcPr>
          <w:p w14:paraId="3D4B3A4E" w14:textId="77777777" w:rsidR="00F67E9E" w:rsidRPr="008D6A63" w:rsidRDefault="00F67E9E" w:rsidP="007F74AA">
            <w:pPr>
              <w:pStyle w:val="StdBodyTextBold"/>
              <w:rPr>
                <w:rFonts w:cs="Arial"/>
              </w:rPr>
            </w:pPr>
            <w:r>
              <w:rPr>
                <w:rFonts w:cs="Arial"/>
              </w:rPr>
              <w:t>“</w:t>
            </w:r>
            <w:r w:rsidRPr="008D6A63">
              <w:rPr>
                <w:rFonts w:cs="Arial"/>
              </w:rPr>
              <w:t xml:space="preserve">Permitted </w:t>
            </w:r>
            <w:bookmarkStart w:id="175" w:name="_9kMH0H6ZWu5AAGNKbEhv7zursvn"/>
            <w:r w:rsidRPr="008D6A63">
              <w:rPr>
                <w:rFonts w:cs="Arial"/>
              </w:rPr>
              <w:t>Maintenance</w:t>
            </w:r>
            <w:bookmarkEnd w:id="175"/>
            <w:r>
              <w:rPr>
                <w:rFonts w:cs="Arial"/>
              </w:rPr>
              <w:t>”</w:t>
            </w:r>
          </w:p>
        </w:tc>
        <w:tc>
          <w:tcPr>
            <w:tcW w:w="6803" w:type="dxa"/>
          </w:tcPr>
          <w:p w14:paraId="0A088A32" w14:textId="77777777" w:rsidR="00F67E9E" w:rsidRPr="008D6A63" w:rsidRDefault="00F67E9E" w:rsidP="007F74AA">
            <w:pPr>
              <w:pStyle w:val="StdBodyText"/>
              <w:rPr>
                <w:rFonts w:cs="Arial"/>
              </w:rPr>
            </w:pPr>
            <w:r w:rsidRPr="008D6A63">
              <w:rPr>
                <w:rFonts w:cs="Arial"/>
              </w:rPr>
              <w:t xml:space="preserve">has the meaning given in </w:t>
            </w:r>
            <w:bookmarkStart w:id="176" w:name="_9kMHG5YVtCJB9ACMNiTlXiC85zt3I9sx918BvBG"/>
            <w:bookmarkStart w:id="177" w:name="_9kMIH5YVtCIA9AFPNiTlXiC85zt3I9sx918BvBG"/>
            <w:bookmarkStart w:id="178" w:name="_9kMHG5YVt4AAFPIJNiTlXiC85zt3I9sx918BvBG"/>
            <w:r w:rsidRPr="008D6A63">
              <w:rPr>
                <w:rFonts w:cs="Arial"/>
              </w:rPr>
              <w:t xml:space="preserve">Clause </w:t>
            </w:r>
            <w:bookmarkEnd w:id="176"/>
            <w:bookmarkEnd w:id="177"/>
            <w:bookmarkEnd w:id="178"/>
            <w:r w:rsidRPr="008D6A63">
              <w:rPr>
                <w:rFonts w:cs="Arial"/>
              </w:rPr>
              <w:t>9.4 (</w:t>
            </w:r>
            <w:bookmarkStart w:id="179" w:name="_9kMH1I6ZWu5AAGNKbEhv7zursvn"/>
            <w:r w:rsidRPr="00214A89">
              <w:rPr>
                <w:rFonts w:cs="Arial"/>
                <w:i/>
                <w:iCs/>
              </w:rPr>
              <w:t>Maintenance</w:t>
            </w:r>
            <w:bookmarkEnd w:id="179"/>
            <w:r w:rsidRPr="008D6A63">
              <w:rPr>
                <w:rFonts w:cs="Arial"/>
              </w:rPr>
              <w:t>);</w:t>
            </w:r>
          </w:p>
        </w:tc>
      </w:tr>
      <w:tr w:rsidR="00F67E9E" w:rsidRPr="00F55457" w14:paraId="658801E0" w14:textId="77777777" w:rsidTr="007F74AA">
        <w:tc>
          <w:tcPr>
            <w:tcW w:w="2835" w:type="dxa"/>
          </w:tcPr>
          <w:p w14:paraId="16741F73" w14:textId="77777777" w:rsidR="00F67E9E" w:rsidRPr="008D6A63" w:rsidRDefault="00F67E9E" w:rsidP="007F74AA">
            <w:pPr>
              <w:pStyle w:val="StdBodyTextBold"/>
              <w:rPr>
                <w:rFonts w:cs="Arial"/>
              </w:rPr>
            </w:pPr>
            <w:r>
              <w:rPr>
                <w:rFonts w:cs="Arial"/>
              </w:rPr>
              <w:t>“</w:t>
            </w:r>
            <w:r w:rsidRPr="008D6A63">
              <w:rPr>
                <w:rFonts w:cs="Arial"/>
              </w:rPr>
              <w:t>Performance Monitoring Report</w:t>
            </w:r>
            <w:r>
              <w:rPr>
                <w:rFonts w:cs="Arial"/>
              </w:rPr>
              <w:t>”</w:t>
            </w:r>
          </w:p>
        </w:tc>
        <w:tc>
          <w:tcPr>
            <w:tcW w:w="6803" w:type="dxa"/>
          </w:tcPr>
          <w:p w14:paraId="7FE73FD0" w14:textId="371B9030" w:rsidR="00F67E9E" w:rsidRPr="008D6A63" w:rsidRDefault="00F67E9E" w:rsidP="007F74AA">
            <w:pPr>
              <w:pStyle w:val="StdBodyText"/>
              <w:rPr>
                <w:rFonts w:cs="Arial"/>
              </w:rPr>
            </w:pPr>
            <w:r w:rsidRPr="008D6A63">
              <w:rPr>
                <w:rFonts w:cs="Arial"/>
              </w:rPr>
              <w:t xml:space="preserve">has the meaning given in </w:t>
            </w:r>
            <w:r>
              <w:rPr>
                <w:rFonts w:cs="Arial"/>
              </w:rPr>
              <w:fldChar w:fldCharType="begin"/>
            </w:r>
            <w:r>
              <w:rPr>
                <w:rFonts w:cs="Arial"/>
              </w:rPr>
              <w:instrText xml:space="preserve"> REF Schedule3 \h </w:instrText>
            </w:r>
            <w:r>
              <w:rPr>
                <w:rFonts w:cs="Arial"/>
              </w:rPr>
            </w:r>
            <w:r>
              <w:rPr>
                <w:rFonts w:cs="Arial"/>
              </w:rPr>
              <w:fldChar w:fldCharType="separate"/>
            </w:r>
            <w:r w:rsidR="00302D39" w:rsidRPr="005D0525">
              <w:t>Schedule</w:t>
            </w:r>
            <w:r w:rsidR="00302D39">
              <w:t> </w:t>
            </w:r>
            <w:r w:rsidR="00302D39" w:rsidRPr="005D0525">
              <w:t>3</w:t>
            </w:r>
            <w:r>
              <w:rPr>
                <w:rFonts w:cs="Arial"/>
              </w:rPr>
              <w:fldChar w:fldCharType="end"/>
            </w:r>
            <w:r>
              <w:rPr>
                <w:rFonts w:cs="Arial"/>
              </w:rPr>
              <w:t xml:space="preserve"> (</w:t>
            </w:r>
            <w:r w:rsidRPr="00A22335">
              <w:rPr>
                <w:rFonts w:cs="Arial"/>
                <w:i/>
                <w:iCs/>
              </w:rPr>
              <w:fldChar w:fldCharType="begin"/>
            </w:r>
            <w:r w:rsidRPr="00A22335">
              <w:rPr>
                <w:rFonts w:cs="Arial"/>
                <w:i/>
                <w:iCs/>
              </w:rPr>
              <w:instrText xml:space="preserve"> REF Schedule3Heading \h </w:instrText>
            </w:r>
            <w:r>
              <w:rPr>
                <w:rFonts w:cs="Arial"/>
                <w:i/>
                <w:iCs/>
              </w:rPr>
              <w:instrText xml:space="preserve"> \* MERGEFORMAT </w:instrText>
            </w:r>
            <w:r w:rsidRPr="00A22335">
              <w:rPr>
                <w:rFonts w:cs="Arial"/>
                <w:i/>
                <w:iCs/>
              </w:rPr>
            </w:r>
            <w:r w:rsidRPr="00A22335">
              <w:rPr>
                <w:rFonts w:cs="Arial"/>
                <w:i/>
                <w:iCs/>
              </w:rPr>
              <w:fldChar w:fldCharType="separate"/>
            </w:r>
            <w:r w:rsidR="00302D39" w:rsidRPr="00302D39">
              <w:rPr>
                <w:i/>
                <w:iCs/>
              </w:rPr>
              <w:t>Performance Levels</w:t>
            </w:r>
            <w:r w:rsidRPr="00A22335">
              <w:rPr>
                <w:rFonts w:cs="Arial"/>
                <w:i/>
                <w:iCs/>
              </w:rPr>
              <w:fldChar w:fldCharType="end"/>
            </w:r>
            <w:r>
              <w:rPr>
                <w:rFonts w:cs="Arial"/>
              </w:rPr>
              <w:t>)</w:t>
            </w:r>
            <w:r w:rsidRPr="008D6A63">
              <w:rPr>
                <w:rFonts w:cs="Arial"/>
              </w:rPr>
              <w:t>;</w:t>
            </w:r>
          </w:p>
        </w:tc>
      </w:tr>
      <w:tr w:rsidR="00F67E9E" w:rsidRPr="00F55457" w14:paraId="2FEB2C72" w14:textId="77777777" w:rsidTr="007F74AA">
        <w:tc>
          <w:tcPr>
            <w:tcW w:w="2835" w:type="dxa"/>
          </w:tcPr>
          <w:p w14:paraId="2DBCDD32" w14:textId="77777777" w:rsidR="00F67E9E" w:rsidRPr="008D6A63" w:rsidRDefault="00F67E9E" w:rsidP="007F74AA">
            <w:pPr>
              <w:pStyle w:val="StdBodyTextBold"/>
              <w:rPr>
                <w:rFonts w:cs="Arial"/>
              </w:rPr>
            </w:pPr>
            <w:r>
              <w:rPr>
                <w:rFonts w:cs="Arial"/>
              </w:rPr>
              <w:t>“</w:t>
            </w:r>
            <w:r w:rsidRPr="008D6A63">
              <w:rPr>
                <w:rFonts w:cs="Arial"/>
              </w:rPr>
              <w:t>Personal Data</w:t>
            </w:r>
            <w:r>
              <w:rPr>
                <w:rFonts w:cs="Arial"/>
              </w:rPr>
              <w:t>”</w:t>
            </w:r>
          </w:p>
        </w:tc>
        <w:tc>
          <w:tcPr>
            <w:tcW w:w="6803" w:type="dxa"/>
          </w:tcPr>
          <w:p w14:paraId="417E9371" w14:textId="77777777" w:rsidR="00F67E9E" w:rsidRPr="008D6A63" w:rsidRDefault="00F67E9E" w:rsidP="007F74AA">
            <w:pPr>
              <w:pStyle w:val="StdBodyText"/>
              <w:rPr>
                <w:rFonts w:cs="Arial"/>
              </w:rPr>
            </w:pPr>
            <w:r w:rsidRPr="008D6A63">
              <w:rPr>
                <w:rFonts w:cs="Arial"/>
              </w:rPr>
              <w:t>has the meaning given in the UK GDPR or the EU GDPR as the context requires;</w:t>
            </w:r>
          </w:p>
        </w:tc>
      </w:tr>
      <w:tr w:rsidR="00F67E9E" w:rsidRPr="00F55457" w14:paraId="1464E1CE" w14:textId="77777777" w:rsidTr="007F74AA">
        <w:tc>
          <w:tcPr>
            <w:tcW w:w="2835" w:type="dxa"/>
          </w:tcPr>
          <w:p w14:paraId="6C14D572" w14:textId="77777777" w:rsidR="00F67E9E" w:rsidRPr="008D6A63" w:rsidRDefault="00F67E9E" w:rsidP="007F74AA">
            <w:pPr>
              <w:pStyle w:val="StdBodyTextBold"/>
              <w:rPr>
                <w:rFonts w:cs="Arial"/>
              </w:rPr>
            </w:pPr>
            <w:r>
              <w:rPr>
                <w:rFonts w:cs="Arial"/>
              </w:rPr>
              <w:t>“Data Loss Event”</w:t>
            </w:r>
          </w:p>
        </w:tc>
        <w:tc>
          <w:tcPr>
            <w:tcW w:w="6803" w:type="dxa"/>
          </w:tcPr>
          <w:p w14:paraId="764D73EA" w14:textId="77777777" w:rsidR="00F67E9E" w:rsidRPr="008D6A63" w:rsidRDefault="00F67E9E" w:rsidP="007F74AA">
            <w:pPr>
              <w:pStyle w:val="StdBodyText"/>
              <w:rPr>
                <w:rFonts w:cs="Arial"/>
              </w:rPr>
            </w:pPr>
            <w:r w:rsidRPr="008D6A63">
              <w:rPr>
                <w:rFonts w:cs="Arial"/>
              </w:rPr>
              <w:t>has the meaning given in the UK GDPR or the EU GDPR as the context requires;</w:t>
            </w:r>
          </w:p>
        </w:tc>
      </w:tr>
      <w:tr w:rsidR="00F67E9E" w:rsidRPr="00F55457" w14:paraId="560028A6" w14:textId="77777777" w:rsidTr="007F74AA">
        <w:tc>
          <w:tcPr>
            <w:tcW w:w="2835" w:type="dxa"/>
          </w:tcPr>
          <w:p w14:paraId="7D3750CF" w14:textId="77777777" w:rsidR="00F67E9E" w:rsidRPr="008D6A63" w:rsidRDefault="00F67E9E" w:rsidP="007F74AA">
            <w:pPr>
              <w:pStyle w:val="StdBodyTextBold"/>
              <w:rPr>
                <w:rFonts w:cs="Arial"/>
              </w:rPr>
            </w:pPr>
            <w:r>
              <w:rPr>
                <w:rFonts w:cs="Arial"/>
              </w:rPr>
              <w:t>“</w:t>
            </w:r>
            <w:r w:rsidRPr="008D6A63">
              <w:rPr>
                <w:rFonts w:cs="Arial"/>
              </w:rPr>
              <w:t>PI Failure</w:t>
            </w:r>
            <w:r>
              <w:rPr>
                <w:rFonts w:cs="Arial"/>
              </w:rPr>
              <w:t>”</w:t>
            </w:r>
          </w:p>
        </w:tc>
        <w:tc>
          <w:tcPr>
            <w:tcW w:w="6803" w:type="dxa"/>
          </w:tcPr>
          <w:p w14:paraId="4E23FF26" w14:textId="77777777" w:rsidR="00F67E9E" w:rsidRPr="008D6A63" w:rsidRDefault="00F67E9E" w:rsidP="007F74AA">
            <w:pPr>
              <w:pStyle w:val="StdBodyText"/>
              <w:rPr>
                <w:rFonts w:cs="Arial"/>
              </w:rPr>
            </w:pPr>
            <w:r w:rsidRPr="008D6A63">
              <w:rPr>
                <w:rFonts w:cs="Arial"/>
              </w:rPr>
              <w:t>a failure to meet the Target Performance Level in respect of a Subsidiary Performance Indicator;</w:t>
            </w:r>
          </w:p>
        </w:tc>
      </w:tr>
      <w:tr w:rsidR="00F67E9E" w:rsidRPr="00F55457" w14:paraId="4EC4FC9A" w14:textId="77777777" w:rsidTr="007F74AA">
        <w:tc>
          <w:tcPr>
            <w:tcW w:w="2835" w:type="dxa"/>
          </w:tcPr>
          <w:p w14:paraId="5F244BF5" w14:textId="77777777" w:rsidR="00F67E9E" w:rsidRPr="008D6A63" w:rsidRDefault="00F67E9E" w:rsidP="007F74AA">
            <w:pPr>
              <w:pStyle w:val="StdBodyTextBold"/>
              <w:rPr>
                <w:rFonts w:cs="Arial"/>
              </w:rPr>
            </w:pPr>
            <w:r>
              <w:rPr>
                <w:rFonts w:cs="Arial"/>
              </w:rPr>
              <w:t>“</w:t>
            </w:r>
            <w:r w:rsidRPr="008D6A63">
              <w:rPr>
                <w:rFonts w:cs="Arial"/>
              </w:rPr>
              <w:t>PI Service Threshold</w:t>
            </w:r>
            <w:r>
              <w:rPr>
                <w:rFonts w:cs="Arial"/>
              </w:rPr>
              <w:t>”</w:t>
            </w:r>
          </w:p>
        </w:tc>
        <w:tc>
          <w:tcPr>
            <w:tcW w:w="6803" w:type="dxa"/>
          </w:tcPr>
          <w:p w14:paraId="0E82E62D" w14:textId="39AA8E7B" w:rsidR="00F67E9E" w:rsidRPr="008D6A63" w:rsidRDefault="00F67E9E" w:rsidP="007F74AA">
            <w:pPr>
              <w:pStyle w:val="StdBodyText"/>
              <w:rPr>
                <w:rFonts w:cs="Arial"/>
              </w:rPr>
            </w:pPr>
            <w:r w:rsidRPr="008D6A63">
              <w:rPr>
                <w:rFonts w:cs="Arial"/>
              </w:rPr>
              <w:t xml:space="preserve">shall be as set out against the relevant Subsidiary Performance Indicator in </w:t>
            </w:r>
            <w:bookmarkStart w:id="180" w:name="_9kR3WTr2CC56EiIXjn5"/>
            <w:r w:rsidRPr="008D6A63">
              <w:rPr>
                <w:rFonts w:cs="Arial"/>
              </w:rPr>
              <w:t>Table 2</w:t>
            </w:r>
            <w:bookmarkEnd w:id="180"/>
            <w:r w:rsidRPr="008D6A63">
              <w:rPr>
                <w:rFonts w:cs="Arial"/>
              </w:rPr>
              <w:t xml:space="preserve"> in </w:t>
            </w:r>
            <w:r w:rsidRPr="008D6A63">
              <w:rPr>
                <w:rFonts w:cs="Arial"/>
              </w:rPr>
              <w:fldChar w:fldCharType="begin"/>
            </w:r>
            <w:r w:rsidRPr="008D6A63">
              <w:rPr>
                <w:rFonts w:cs="Arial"/>
              </w:rPr>
              <w:instrText xml:space="preserve"> REF Sch3Ann1PartA \h  \* MERGEFORMAT </w:instrText>
            </w:r>
            <w:r w:rsidRPr="008D6A63">
              <w:rPr>
                <w:rFonts w:cs="Arial"/>
              </w:rPr>
            </w:r>
            <w:r w:rsidRPr="008D6A63">
              <w:rPr>
                <w:rFonts w:cs="Arial"/>
              </w:rPr>
              <w:fldChar w:fldCharType="separate"/>
            </w:r>
            <w:r w:rsidR="00302D39" w:rsidRPr="00302D39">
              <w:rPr>
                <w:rFonts w:cs="Arial"/>
              </w:rPr>
              <w:t>Part A</w:t>
            </w:r>
            <w:r w:rsidRPr="008D6A63">
              <w:rPr>
                <w:rFonts w:cs="Arial"/>
              </w:rPr>
              <w:fldChar w:fldCharType="end"/>
            </w:r>
            <w:r w:rsidRPr="008D6A63">
              <w:rPr>
                <w:rFonts w:cs="Arial"/>
              </w:rPr>
              <w:t xml:space="preserve"> of </w:t>
            </w:r>
            <w:r w:rsidRPr="008D6A63">
              <w:rPr>
                <w:rFonts w:cs="Arial"/>
              </w:rPr>
              <w:fldChar w:fldCharType="begin"/>
            </w:r>
            <w:r w:rsidRPr="008D6A63">
              <w:rPr>
                <w:rFonts w:cs="Arial"/>
              </w:rPr>
              <w:instrText xml:space="preserve"> REF ANNEX1_SCHEDULE3 \h </w:instrText>
            </w:r>
            <w:r w:rsidRPr="008D6A63">
              <w:rPr>
                <w:rFonts w:cs="Arial"/>
              </w:rPr>
            </w:r>
            <w:r w:rsidRPr="008D6A63">
              <w:rPr>
                <w:rFonts w:cs="Arial"/>
              </w:rPr>
              <w:fldChar w:fldCharType="separate"/>
            </w:r>
            <w:r w:rsidR="00302D39" w:rsidRPr="00FC322D">
              <w:t>Annex 1</w:t>
            </w:r>
            <w:r w:rsidRPr="008D6A63">
              <w:rPr>
                <w:rFonts w:cs="Arial"/>
              </w:rPr>
              <w:fldChar w:fldCharType="end"/>
            </w:r>
            <w:r w:rsidRPr="008D6A63">
              <w:rPr>
                <w:rFonts w:cs="Arial"/>
              </w:rPr>
              <w:t xml:space="preserve"> of </w:t>
            </w:r>
            <w:r>
              <w:rPr>
                <w:rFonts w:cs="Arial"/>
              </w:rPr>
              <w:fldChar w:fldCharType="begin"/>
            </w:r>
            <w:r>
              <w:rPr>
                <w:rFonts w:cs="Arial"/>
              </w:rPr>
              <w:instrText xml:space="preserve"> REF Schedule3 \h </w:instrText>
            </w:r>
            <w:r>
              <w:rPr>
                <w:rFonts w:cs="Arial"/>
              </w:rPr>
            </w:r>
            <w:r>
              <w:rPr>
                <w:rFonts w:cs="Arial"/>
              </w:rPr>
              <w:fldChar w:fldCharType="separate"/>
            </w:r>
            <w:r w:rsidR="00302D39" w:rsidRPr="005D0525">
              <w:t>Schedule</w:t>
            </w:r>
            <w:r w:rsidR="00302D39">
              <w:t> </w:t>
            </w:r>
            <w:r w:rsidR="00302D39" w:rsidRPr="005D0525">
              <w:t>3</w:t>
            </w:r>
            <w:r>
              <w:rPr>
                <w:rFonts w:cs="Arial"/>
              </w:rPr>
              <w:fldChar w:fldCharType="end"/>
            </w:r>
            <w:r>
              <w:rPr>
                <w:rFonts w:cs="Arial"/>
              </w:rPr>
              <w:t xml:space="preserve"> (</w:t>
            </w:r>
            <w:r w:rsidRPr="00A22335">
              <w:rPr>
                <w:rFonts w:cs="Arial"/>
                <w:i/>
                <w:iCs/>
              </w:rPr>
              <w:fldChar w:fldCharType="begin"/>
            </w:r>
            <w:r w:rsidRPr="00A22335">
              <w:rPr>
                <w:rFonts w:cs="Arial"/>
                <w:i/>
                <w:iCs/>
              </w:rPr>
              <w:instrText xml:space="preserve"> REF Schedule3Heading \h </w:instrText>
            </w:r>
            <w:r>
              <w:rPr>
                <w:rFonts w:cs="Arial"/>
                <w:i/>
                <w:iCs/>
              </w:rPr>
              <w:instrText xml:space="preserve"> \* MERGEFORMAT </w:instrText>
            </w:r>
            <w:r w:rsidRPr="00A22335">
              <w:rPr>
                <w:rFonts w:cs="Arial"/>
                <w:i/>
                <w:iCs/>
              </w:rPr>
            </w:r>
            <w:r w:rsidRPr="00A22335">
              <w:rPr>
                <w:rFonts w:cs="Arial"/>
                <w:i/>
                <w:iCs/>
              </w:rPr>
              <w:fldChar w:fldCharType="separate"/>
            </w:r>
            <w:r w:rsidR="00302D39" w:rsidRPr="00302D39">
              <w:rPr>
                <w:i/>
                <w:iCs/>
              </w:rPr>
              <w:t>Performance Levels</w:t>
            </w:r>
            <w:r w:rsidRPr="00A22335">
              <w:rPr>
                <w:rFonts w:cs="Arial"/>
                <w:i/>
                <w:iCs/>
              </w:rPr>
              <w:fldChar w:fldCharType="end"/>
            </w:r>
            <w:r>
              <w:rPr>
                <w:rFonts w:cs="Arial"/>
              </w:rPr>
              <w:t>)</w:t>
            </w:r>
            <w:r w:rsidRPr="008D6A63">
              <w:rPr>
                <w:rFonts w:cs="Arial"/>
              </w:rPr>
              <w:t>;</w:t>
            </w:r>
          </w:p>
        </w:tc>
      </w:tr>
      <w:tr w:rsidR="00F67E9E" w:rsidRPr="00F55457" w14:paraId="78FA9A26" w14:textId="77777777" w:rsidTr="007F74AA">
        <w:tc>
          <w:tcPr>
            <w:tcW w:w="2835" w:type="dxa"/>
          </w:tcPr>
          <w:p w14:paraId="761B78E2" w14:textId="77777777" w:rsidR="00F67E9E" w:rsidRPr="008D6A63" w:rsidRDefault="00F67E9E" w:rsidP="007F74AA">
            <w:pPr>
              <w:pStyle w:val="StdBodyTextBold"/>
              <w:rPr>
                <w:rFonts w:cs="Arial"/>
              </w:rPr>
            </w:pPr>
            <w:r>
              <w:rPr>
                <w:rFonts w:cs="Arial"/>
              </w:rPr>
              <w:t>“</w:t>
            </w:r>
            <w:r w:rsidRPr="008D6A63">
              <w:rPr>
                <w:rFonts w:cs="Arial"/>
              </w:rPr>
              <w:t>Preceding Services</w:t>
            </w:r>
            <w:r>
              <w:rPr>
                <w:rFonts w:cs="Arial"/>
              </w:rPr>
              <w:t>”</w:t>
            </w:r>
          </w:p>
        </w:tc>
        <w:tc>
          <w:tcPr>
            <w:tcW w:w="6803" w:type="dxa"/>
          </w:tcPr>
          <w:p w14:paraId="16F9673F" w14:textId="77777777" w:rsidR="00F67E9E" w:rsidRPr="008D6A63" w:rsidRDefault="00F67E9E" w:rsidP="007F74AA">
            <w:pPr>
              <w:pStyle w:val="StdBodyText"/>
              <w:rPr>
                <w:rFonts w:cs="Arial"/>
              </w:rPr>
            </w:pPr>
            <w:r w:rsidRPr="008D6A63">
              <w:rPr>
                <w:rFonts w:cs="Arial"/>
              </w:rPr>
              <w:t xml:space="preserve">has the meaning given in </w:t>
            </w:r>
            <w:bookmarkStart w:id="181" w:name="_9kMHG5YVtCIA9JNKHow3mxy"/>
            <w:bookmarkStart w:id="182" w:name="_9kMHG5YVtCJB9JOLHow3mxy"/>
            <w:r w:rsidRPr="008D6A63">
              <w:rPr>
                <w:rFonts w:cs="Arial"/>
              </w:rPr>
              <w:t xml:space="preserve">Clause </w:t>
            </w:r>
            <w:bookmarkEnd w:id="181"/>
            <w:bookmarkEnd w:id="182"/>
            <w:r w:rsidRPr="008D6A63">
              <w:rPr>
                <w:rFonts w:cs="Arial"/>
              </w:rPr>
              <w:t>5.2(b) (</w:t>
            </w:r>
            <w:r w:rsidRPr="00214A89">
              <w:rPr>
                <w:rFonts w:cs="Arial"/>
                <w:i/>
                <w:iCs/>
              </w:rPr>
              <w:t>Standard of Services</w:t>
            </w:r>
            <w:r w:rsidRPr="008D6A63">
              <w:rPr>
                <w:rFonts w:cs="Arial"/>
              </w:rPr>
              <w:t>);</w:t>
            </w:r>
          </w:p>
        </w:tc>
      </w:tr>
      <w:tr w:rsidR="00F67E9E" w:rsidRPr="00F55457" w14:paraId="53AC8D5B" w14:textId="77777777" w:rsidTr="007F74AA">
        <w:tc>
          <w:tcPr>
            <w:tcW w:w="2835" w:type="dxa"/>
          </w:tcPr>
          <w:p w14:paraId="40F8A1D6" w14:textId="77777777" w:rsidR="00F67E9E" w:rsidRPr="008D6A63" w:rsidRDefault="00F67E9E" w:rsidP="007F74AA">
            <w:pPr>
              <w:pStyle w:val="StdBodyTextBold"/>
              <w:rPr>
                <w:rFonts w:cs="Arial"/>
              </w:rPr>
            </w:pPr>
            <w:r>
              <w:rPr>
                <w:rFonts w:cs="Arial"/>
              </w:rPr>
              <w:t>“</w:t>
            </w:r>
            <w:r w:rsidRPr="008D6A63">
              <w:rPr>
                <w:rFonts w:cs="Arial"/>
              </w:rPr>
              <w:t>Prescribed Person</w:t>
            </w:r>
            <w:r>
              <w:rPr>
                <w:rFonts w:cs="Arial"/>
              </w:rPr>
              <w:t>”</w:t>
            </w:r>
          </w:p>
        </w:tc>
        <w:tc>
          <w:tcPr>
            <w:tcW w:w="6803" w:type="dxa"/>
          </w:tcPr>
          <w:p w14:paraId="1D65564D" w14:textId="77777777" w:rsidR="00F67E9E" w:rsidRPr="008D6A63" w:rsidRDefault="00F67E9E" w:rsidP="007F74AA">
            <w:pPr>
              <w:pStyle w:val="StdBodyText"/>
              <w:rPr>
                <w:rFonts w:cs="Arial"/>
              </w:rPr>
            </w:pPr>
            <w:r w:rsidRPr="008D6A63">
              <w:rPr>
                <w:rFonts w:cs="Arial"/>
              </w:rPr>
              <w:t xml:space="preserve">a legal adviser, an MP, or an appropriate body which a whistle-blower may make a disclosure to as detailed in </w:t>
            </w:r>
            <w:r>
              <w:rPr>
                <w:rFonts w:cs="Arial"/>
              </w:rPr>
              <w:t>‘</w:t>
            </w:r>
            <w:r w:rsidRPr="008D6A63">
              <w:rPr>
                <w:rFonts w:cs="Arial"/>
              </w:rPr>
              <w:t>Whistleblowing: list of prescribed people and bodies</w:t>
            </w:r>
            <w:r>
              <w:rPr>
                <w:rFonts w:cs="Arial"/>
              </w:rPr>
              <w:t>’</w:t>
            </w:r>
            <w:r w:rsidRPr="008D6A63">
              <w:rPr>
                <w:rFonts w:cs="Arial"/>
              </w:rPr>
              <w:t xml:space="preserve">, available online at: </w:t>
            </w:r>
            <w:hyperlink r:id="rId22" w:history="1">
              <w:r w:rsidRPr="008D6A63">
                <w:rPr>
                  <w:rStyle w:val="Hyperlink"/>
                  <w:rFonts w:cs="Arial"/>
                </w:rPr>
                <w:t>https://www.gov.uk/government/publications/blowing-the-whistle-list-of-prescribed-people-and-bodies--2/whistleblowing-list-of-prescribed-people-and-bodies</w:t>
              </w:r>
            </w:hyperlink>
            <w:hyperlink r:id="rId23" w:history="1">
              <w:r w:rsidRPr="008D6A63">
                <w:rPr>
                  <w:rFonts w:cs="Arial"/>
                </w:rPr>
                <w:t>, as updated from time to time;</w:t>
              </w:r>
            </w:hyperlink>
          </w:p>
        </w:tc>
      </w:tr>
      <w:tr w:rsidR="00F67E9E" w:rsidRPr="00F55457" w14:paraId="71055D4E" w14:textId="77777777" w:rsidTr="007F74AA">
        <w:tc>
          <w:tcPr>
            <w:tcW w:w="2835" w:type="dxa"/>
          </w:tcPr>
          <w:p w14:paraId="1DB7BD8B" w14:textId="77777777" w:rsidR="00F67E9E" w:rsidRPr="008D6A63" w:rsidRDefault="00F67E9E" w:rsidP="007F74AA">
            <w:pPr>
              <w:pStyle w:val="StdBodyTextBold"/>
              <w:rPr>
                <w:rFonts w:cs="Arial"/>
              </w:rPr>
            </w:pPr>
            <w:r>
              <w:rPr>
                <w:rFonts w:cs="Arial"/>
              </w:rPr>
              <w:t>“</w:t>
            </w:r>
            <w:r w:rsidRPr="008D6A63">
              <w:rPr>
                <w:rFonts w:cs="Arial"/>
              </w:rPr>
              <w:t>Processor</w:t>
            </w:r>
            <w:r>
              <w:rPr>
                <w:rFonts w:cs="Arial"/>
              </w:rPr>
              <w:t>”</w:t>
            </w:r>
          </w:p>
        </w:tc>
        <w:tc>
          <w:tcPr>
            <w:tcW w:w="6803" w:type="dxa"/>
          </w:tcPr>
          <w:p w14:paraId="2CEF3D09" w14:textId="77777777" w:rsidR="00F67E9E" w:rsidRPr="008D6A63" w:rsidRDefault="00F67E9E" w:rsidP="007F74AA">
            <w:pPr>
              <w:pStyle w:val="StdBodyText"/>
              <w:rPr>
                <w:rFonts w:cs="Arial"/>
              </w:rPr>
            </w:pPr>
            <w:r w:rsidRPr="008D6A63">
              <w:rPr>
                <w:rFonts w:cs="Arial"/>
              </w:rPr>
              <w:t>has the meaning given to it under the UK GDPR or the EU GDPR as the context requires;</w:t>
            </w:r>
          </w:p>
        </w:tc>
      </w:tr>
      <w:tr w:rsidR="00F67E9E" w:rsidRPr="00F55457" w14:paraId="2B1CAB36" w14:textId="77777777" w:rsidTr="007F74AA">
        <w:tc>
          <w:tcPr>
            <w:tcW w:w="2835" w:type="dxa"/>
          </w:tcPr>
          <w:p w14:paraId="75D96DC6" w14:textId="77777777" w:rsidR="00F67E9E" w:rsidRPr="008D6A63" w:rsidRDefault="00F67E9E" w:rsidP="007F74AA">
            <w:pPr>
              <w:pStyle w:val="StdBodyTextBold"/>
              <w:rPr>
                <w:rFonts w:cs="Arial"/>
              </w:rPr>
            </w:pPr>
            <w:r>
              <w:rPr>
                <w:rFonts w:cs="Arial"/>
              </w:rPr>
              <w:t>“</w:t>
            </w:r>
            <w:r w:rsidRPr="008D6A63">
              <w:rPr>
                <w:rFonts w:cs="Arial"/>
              </w:rPr>
              <w:t>Processor Personnel</w:t>
            </w:r>
            <w:r>
              <w:rPr>
                <w:rFonts w:cs="Arial"/>
              </w:rPr>
              <w:t>”</w:t>
            </w:r>
          </w:p>
        </w:tc>
        <w:tc>
          <w:tcPr>
            <w:tcW w:w="6803" w:type="dxa"/>
          </w:tcPr>
          <w:p w14:paraId="31552943" w14:textId="77777777" w:rsidR="00F67E9E" w:rsidRPr="008D6A63" w:rsidRDefault="00F67E9E" w:rsidP="007F74AA">
            <w:pPr>
              <w:pStyle w:val="StdBodyText"/>
              <w:rPr>
                <w:rFonts w:cs="Arial"/>
              </w:rPr>
            </w:pPr>
            <w:r w:rsidRPr="008D6A63">
              <w:rPr>
                <w:rFonts w:cs="Arial"/>
              </w:rPr>
              <w:t>means all directors, officers, employees, agents, consultants and suppliers of the Processor and/or of any Sub-processor engaged in the performance of its obligations under this Contract;</w:t>
            </w:r>
          </w:p>
        </w:tc>
      </w:tr>
      <w:tr w:rsidR="00F67E9E" w:rsidRPr="00F55457" w14:paraId="7C95C863" w14:textId="77777777" w:rsidTr="007F74AA">
        <w:tc>
          <w:tcPr>
            <w:tcW w:w="2835" w:type="dxa"/>
          </w:tcPr>
          <w:p w14:paraId="05E0EF1E" w14:textId="77777777" w:rsidR="00F67E9E" w:rsidRPr="008D6A63" w:rsidRDefault="00F67E9E" w:rsidP="007F74AA">
            <w:pPr>
              <w:pStyle w:val="StdBodyTextBold"/>
              <w:rPr>
                <w:rFonts w:cs="Arial"/>
              </w:rPr>
            </w:pPr>
            <w:r>
              <w:rPr>
                <w:rFonts w:cs="Arial"/>
              </w:rPr>
              <w:t>“</w:t>
            </w:r>
            <w:r w:rsidRPr="008D6A63">
              <w:rPr>
                <w:rFonts w:cs="Arial"/>
              </w:rPr>
              <w:t>Programme Board</w:t>
            </w:r>
            <w:r>
              <w:rPr>
                <w:rFonts w:cs="Arial"/>
              </w:rPr>
              <w:t>”</w:t>
            </w:r>
          </w:p>
        </w:tc>
        <w:tc>
          <w:tcPr>
            <w:tcW w:w="6803" w:type="dxa"/>
          </w:tcPr>
          <w:p w14:paraId="214203BA" w14:textId="3AC4CC34" w:rsidR="00F67E9E" w:rsidRPr="008D6A63" w:rsidRDefault="00F67E9E" w:rsidP="007F74AA">
            <w:pPr>
              <w:pStyle w:val="StdBodyText"/>
              <w:rPr>
                <w:rFonts w:cs="Arial"/>
              </w:rPr>
            </w:pPr>
            <w:r w:rsidRPr="008D6A63">
              <w:rPr>
                <w:rFonts w:cs="Arial"/>
              </w:rPr>
              <w:t xml:space="preserve">the body described in </w:t>
            </w:r>
            <w:bookmarkStart w:id="183" w:name="_9kR3WTr2CC56FfEnoewrqyF"/>
            <w:r w:rsidRPr="008D6A63">
              <w:rPr>
                <w:rFonts w:cs="Arial"/>
              </w:rPr>
              <w:t xml:space="preserve">Paragraph </w:t>
            </w:r>
            <w:bookmarkEnd w:id="183"/>
            <w:r w:rsidRPr="008D6A63">
              <w:rPr>
                <w:rFonts w:cs="Arial"/>
              </w:rPr>
              <w:fldChar w:fldCharType="begin"/>
            </w:r>
            <w:r w:rsidRPr="008D6A63">
              <w:rPr>
                <w:rFonts w:cs="Arial"/>
              </w:rPr>
              <w:instrText xml:space="preserve"> REF _Ref44511058 \w \h  \* MERGEFORMAT </w:instrText>
            </w:r>
            <w:r w:rsidRPr="008D6A63">
              <w:rPr>
                <w:rFonts w:cs="Arial"/>
              </w:rPr>
            </w:r>
            <w:r w:rsidRPr="008D6A63">
              <w:rPr>
                <w:rFonts w:cs="Arial"/>
              </w:rPr>
              <w:fldChar w:fldCharType="separate"/>
            </w:r>
            <w:r w:rsidR="00302D39">
              <w:rPr>
                <w:rFonts w:cs="Arial"/>
              </w:rPr>
              <w:t>5</w:t>
            </w:r>
            <w:r w:rsidRPr="008D6A63">
              <w:rPr>
                <w:rFonts w:cs="Arial"/>
              </w:rPr>
              <w:fldChar w:fldCharType="end"/>
            </w:r>
            <w:r w:rsidRPr="008D6A63">
              <w:rPr>
                <w:rFonts w:cs="Arial"/>
              </w:rPr>
              <w:t xml:space="preserve"> of </w:t>
            </w:r>
            <w:r>
              <w:rPr>
                <w:rFonts w:cs="Arial"/>
              </w:rPr>
              <w:fldChar w:fldCharType="begin"/>
            </w:r>
            <w:r>
              <w:rPr>
                <w:rFonts w:cs="Arial"/>
              </w:rPr>
              <w:instrText xml:space="preserve"> REF Schedule21 \h </w:instrText>
            </w:r>
            <w:r>
              <w:rPr>
                <w:rFonts w:cs="Arial"/>
              </w:rPr>
            </w:r>
            <w:r>
              <w:rPr>
                <w:rFonts w:cs="Arial"/>
              </w:rPr>
              <w:fldChar w:fldCharType="separate"/>
            </w:r>
            <w:r w:rsidR="00302D39" w:rsidRPr="005D0525">
              <w:t>Schedule</w:t>
            </w:r>
            <w:r w:rsidR="00302D39">
              <w:t> </w:t>
            </w:r>
            <w:r w:rsidR="00302D39" w:rsidRPr="005D0525">
              <w:t>21</w:t>
            </w:r>
            <w:r>
              <w:rPr>
                <w:rFonts w:cs="Arial"/>
              </w:rPr>
              <w:fldChar w:fldCharType="end"/>
            </w:r>
            <w:r>
              <w:rPr>
                <w:rFonts w:cs="Arial"/>
              </w:rPr>
              <w:t xml:space="preserve"> (</w:t>
            </w:r>
            <w:r w:rsidRPr="002F30DB">
              <w:rPr>
                <w:rFonts w:cs="Arial"/>
                <w:i/>
                <w:iCs/>
              </w:rPr>
              <w:fldChar w:fldCharType="begin"/>
            </w:r>
            <w:r w:rsidRPr="002F30DB">
              <w:rPr>
                <w:rFonts w:cs="Arial"/>
                <w:i/>
                <w:iCs/>
              </w:rPr>
              <w:instrText xml:space="preserve"> REF Schedule21Heading \h </w:instrText>
            </w:r>
            <w:r>
              <w:rPr>
                <w:rFonts w:cs="Arial"/>
                <w:i/>
                <w:iCs/>
              </w:rPr>
              <w:instrText xml:space="preserve"> \* MERGEFORMAT </w:instrText>
            </w:r>
            <w:r w:rsidRPr="002F30DB">
              <w:rPr>
                <w:rFonts w:cs="Arial"/>
                <w:i/>
                <w:iCs/>
              </w:rPr>
            </w:r>
            <w:r w:rsidRPr="002F30DB">
              <w:rPr>
                <w:rFonts w:cs="Arial"/>
                <w:i/>
                <w:iCs/>
              </w:rPr>
              <w:fldChar w:fldCharType="separate"/>
            </w:r>
            <w:r w:rsidR="00302D39" w:rsidRPr="00302D39">
              <w:rPr>
                <w:i/>
                <w:iCs/>
              </w:rPr>
              <w:t>Governance</w:t>
            </w:r>
            <w:r w:rsidRPr="002F30DB">
              <w:rPr>
                <w:rFonts w:cs="Arial"/>
                <w:i/>
                <w:iCs/>
              </w:rPr>
              <w:fldChar w:fldCharType="end"/>
            </w:r>
            <w:r>
              <w:rPr>
                <w:rFonts w:cs="Arial"/>
              </w:rPr>
              <w:t>)</w:t>
            </w:r>
            <w:r w:rsidRPr="008D6A63">
              <w:rPr>
                <w:rFonts w:cs="Arial"/>
              </w:rPr>
              <w:t>;</w:t>
            </w:r>
          </w:p>
        </w:tc>
      </w:tr>
      <w:tr w:rsidR="00F67E9E" w:rsidRPr="00F55457" w14:paraId="54D53D0E" w14:textId="77777777" w:rsidTr="007F74AA">
        <w:tc>
          <w:tcPr>
            <w:tcW w:w="2835" w:type="dxa"/>
          </w:tcPr>
          <w:p w14:paraId="19358BA8" w14:textId="77777777" w:rsidR="00F67E9E" w:rsidRPr="008D6A63" w:rsidRDefault="00F67E9E" w:rsidP="007F74AA">
            <w:pPr>
              <w:pStyle w:val="StdBodyTextBold"/>
              <w:rPr>
                <w:rFonts w:cs="Arial"/>
              </w:rPr>
            </w:pPr>
            <w:r>
              <w:rPr>
                <w:rFonts w:cs="Arial"/>
              </w:rPr>
              <w:t>“</w:t>
            </w:r>
            <w:r w:rsidRPr="008D6A63">
              <w:rPr>
                <w:rFonts w:cs="Arial"/>
              </w:rPr>
              <w:t>Prohibited Act</w:t>
            </w:r>
            <w:r>
              <w:rPr>
                <w:rFonts w:cs="Arial"/>
              </w:rPr>
              <w:t>”</w:t>
            </w:r>
          </w:p>
        </w:tc>
        <w:tc>
          <w:tcPr>
            <w:tcW w:w="6803" w:type="dxa"/>
          </w:tcPr>
          <w:p w14:paraId="363B7217" w14:textId="77777777" w:rsidR="00F67E9E" w:rsidRPr="008D6A63" w:rsidRDefault="00F67E9E" w:rsidP="007F74AA">
            <w:pPr>
              <w:pStyle w:val="DefinitionList"/>
              <w:numPr>
                <w:ilvl w:val="0"/>
                <w:numId w:val="211"/>
              </w:numPr>
            </w:pPr>
            <w:r w:rsidRPr="008D6A63">
              <w:t>to directly or indirectly offer, promise or give any person working for or engaged by the Authority a financial or other advantage to:</w:t>
            </w:r>
          </w:p>
          <w:p w14:paraId="2194AFD4" w14:textId="77777777" w:rsidR="00F67E9E" w:rsidRPr="008D6A63" w:rsidRDefault="00F67E9E" w:rsidP="00F67E9E">
            <w:pPr>
              <w:pStyle w:val="DefinitionListLevel1"/>
              <w:numPr>
                <w:ilvl w:val="1"/>
                <w:numId w:val="108"/>
              </w:numPr>
              <w:rPr>
                <w:rFonts w:cs="Arial"/>
              </w:rPr>
            </w:pPr>
            <w:r w:rsidRPr="008D6A63">
              <w:rPr>
                <w:rFonts w:cs="Arial"/>
              </w:rPr>
              <w:t xml:space="preserve">induce that person to perform improperly a relevant function or activity; or </w:t>
            </w:r>
          </w:p>
          <w:p w14:paraId="602A18D4" w14:textId="77777777" w:rsidR="00F67E9E" w:rsidRPr="008D6A63" w:rsidRDefault="00F67E9E" w:rsidP="00F67E9E">
            <w:pPr>
              <w:pStyle w:val="DefinitionListLevel1"/>
              <w:numPr>
                <w:ilvl w:val="1"/>
                <w:numId w:val="108"/>
              </w:numPr>
              <w:rPr>
                <w:rFonts w:cs="Arial"/>
              </w:rPr>
            </w:pPr>
            <w:r w:rsidRPr="008D6A63">
              <w:rPr>
                <w:rFonts w:cs="Arial"/>
              </w:rPr>
              <w:t>reward that person for improper performance of a relevant function or activity;</w:t>
            </w:r>
          </w:p>
          <w:p w14:paraId="4A075B6D" w14:textId="77777777" w:rsidR="00F67E9E" w:rsidRPr="008D6A63" w:rsidRDefault="00F67E9E" w:rsidP="00F67E9E">
            <w:pPr>
              <w:pStyle w:val="DefinitionList"/>
              <w:numPr>
                <w:ilvl w:val="0"/>
                <w:numId w:val="108"/>
              </w:numPr>
              <w:rPr>
                <w:rFonts w:cs="Arial"/>
              </w:rPr>
            </w:pPr>
            <w:r w:rsidRPr="008D6A63">
              <w:rPr>
                <w:rFonts w:cs="Arial"/>
              </w:rPr>
              <w:t>to directly or indirectly request, agree to receive or accept any financial or other advantage as an inducement or a reward for improper performance of a relevant function or activity in connection with this Contract;</w:t>
            </w:r>
          </w:p>
          <w:p w14:paraId="174B3958" w14:textId="77777777" w:rsidR="00F67E9E" w:rsidRPr="008D6A63" w:rsidRDefault="00F67E9E" w:rsidP="007F74AA">
            <w:pPr>
              <w:pStyle w:val="DefinitionList"/>
              <w:numPr>
                <w:ilvl w:val="0"/>
                <w:numId w:val="211"/>
              </w:numPr>
              <w:rPr>
                <w:rFonts w:cs="Arial"/>
              </w:rPr>
            </w:pPr>
            <w:bookmarkStart w:id="184" w:name="_Ref_ContractCompanion_9kb9Ur28B"/>
            <w:bookmarkStart w:id="185" w:name="_9kR3WTrAG86CHftjmj09ubgeA1wrsB8tQKABt5K"/>
            <w:bookmarkStart w:id="186" w:name="_9kR3WTr299DIBatjmj09ubgeA1wrsB8tQKABt5K"/>
            <w:r w:rsidRPr="008D6A63">
              <w:rPr>
                <w:rFonts w:cs="Arial"/>
              </w:rPr>
              <w:t>an offence:</w:t>
            </w:r>
            <w:bookmarkEnd w:id="184"/>
            <w:bookmarkEnd w:id="185"/>
            <w:bookmarkEnd w:id="186"/>
          </w:p>
          <w:p w14:paraId="3BE3A927" w14:textId="77777777" w:rsidR="00F67E9E" w:rsidRPr="008D6A63" w:rsidRDefault="00F67E9E" w:rsidP="00F67E9E">
            <w:pPr>
              <w:pStyle w:val="DefinitionListLevel1"/>
              <w:numPr>
                <w:ilvl w:val="1"/>
                <w:numId w:val="108"/>
              </w:numPr>
              <w:rPr>
                <w:rFonts w:cs="Arial"/>
              </w:rPr>
            </w:pPr>
            <w:r w:rsidRPr="008D6A63">
              <w:rPr>
                <w:rFonts w:cs="Arial"/>
              </w:rPr>
              <w:t xml:space="preserve">under the </w:t>
            </w:r>
            <w:bookmarkStart w:id="187" w:name="_9kMHG5YVt499FOJNJxifwHbA0RMMN"/>
            <w:r w:rsidRPr="008D6A63">
              <w:rPr>
                <w:rFonts w:cs="Arial"/>
              </w:rPr>
              <w:t>Bribery Act 2010</w:t>
            </w:r>
            <w:bookmarkEnd w:id="187"/>
            <w:r w:rsidRPr="008D6A63">
              <w:rPr>
                <w:rFonts w:cs="Arial"/>
              </w:rPr>
              <w:t xml:space="preserve"> (or any legislation repealed or revoked by such Act); </w:t>
            </w:r>
          </w:p>
          <w:p w14:paraId="27DD223F" w14:textId="77777777" w:rsidR="00F67E9E" w:rsidRPr="008D6A63" w:rsidRDefault="00F67E9E" w:rsidP="00F67E9E">
            <w:pPr>
              <w:pStyle w:val="DefinitionListLevel1"/>
              <w:numPr>
                <w:ilvl w:val="1"/>
                <w:numId w:val="108"/>
              </w:numPr>
              <w:rPr>
                <w:rFonts w:cs="Arial"/>
              </w:rPr>
            </w:pPr>
            <w:r w:rsidRPr="008D6A63">
              <w:rPr>
                <w:rFonts w:cs="Arial"/>
              </w:rPr>
              <w:t>under legislation or common law concerning fraudulent acts; or</w:t>
            </w:r>
          </w:p>
          <w:p w14:paraId="6977A5FF" w14:textId="77777777" w:rsidR="00F67E9E" w:rsidRPr="008D6A63" w:rsidRDefault="00F67E9E" w:rsidP="00F67E9E">
            <w:pPr>
              <w:pStyle w:val="DefinitionListLevel1"/>
              <w:numPr>
                <w:ilvl w:val="1"/>
                <w:numId w:val="108"/>
              </w:numPr>
              <w:rPr>
                <w:rFonts w:cs="Arial"/>
              </w:rPr>
            </w:pPr>
            <w:r w:rsidRPr="008D6A63">
              <w:rPr>
                <w:rFonts w:cs="Arial"/>
              </w:rPr>
              <w:t xml:space="preserve">defrauding, attempting to defraud or conspiring to defraud the Authority (including offences by the Supplier under </w:t>
            </w:r>
            <w:bookmarkStart w:id="188" w:name="_9kR3WTr277DJIdEn7K3tz2oKS5124xwcU9236yF"/>
            <w:r w:rsidRPr="008D6A63">
              <w:rPr>
                <w:rFonts w:cs="Arial"/>
              </w:rPr>
              <w:t>Part 3 of the Criminal Finances Act 2017</w:t>
            </w:r>
            <w:bookmarkEnd w:id="188"/>
            <w:r w:rsidRPr="008D6A63">
              <w:rPr>
                <w:rFonts w:cs="Arial"/>
              </w:rPr>
              <w:t>); or</w:t>
            </w:r>
          </w:p>
          <w:p w14:paraId="2E28230C" w14:textId="264B8A28" w:rsidR="00F67E9E" w:rsidRPr="008D6A63" w:rsidRDefault="00F67E9E" w:rsidP="00F67E9E">
            <w:pPr>
              <w:pStyle w:val="DefinitionList"/>
              <w:numPr>
                <w:ilvl w:val="0"/>
                <w:numId w:val="108"/>
              </w:numPr>
              <w:rPr>
                <w:rFonts w:cs="Arial"/>
              </w:rPr>
            </w:pPr>
            <w:r w:rsidRPr="008D6A63">
              <w:rPr>
                <w:rFonts w:cs="Arial"/>
              </w:rPr>
              <w:t xml:space="preserve">any activity, practice or conduct which would constitute one of the offences listed under </w:t>
            </w:r>
            <w:bookmarkStart w:id="189" w:name="_9kMHG5YVtCIA8EJhvlol2BwdigC3ytuDAvSMCDv"/>
            <w:r w:rsidRPr="008D6A63">
              <w:rPr>
                <w:rFonts w:cs="Arial"/>
              </w:rPr>
              <w:fldChar w:fldCharType="begin"/>
            </w:r>
            <w:r w:rsidRPr="008D6A63">
              <w:rPr>
                <w:rFonts w:cs="Arial"/>
              </w:rPr>
              <w:instrText xml:space="preserve"> REF _Ref_ContractCompanion_9kb9Ur28B \w \n \h \t \* MERGEFORMAT </w:instrText>
            </w:r>
            <w:r w:rsidRPr="008D6A63">
              <w:rPr>
                <w:rFonts w:cs="Arial"/>
              </w:rPr>
            </w:r>
            <w:r w:rsidRPr="008D6A63">
              <w:rPr>
                <w:rFonts w:cs="Arial"/>
              </w:rPr>
              <w:fldChar w:fldCharType="separate"/>
            </w:r>
            <w:bookmarkStart w:id="190" w:name="_9kMHG5YVt4BBFKDcvlol2BwdigC3ytuDAvSMCDv"/>
            <w:r w:rsidR="00302D39">
              <w:rPr>
                <w:rFonts w:cs="Arial"/>
              </w:rPr>
              <w:t>(c)</w:t>
            </w:r>
            <w:bookmarkEnd w:id="190"/>
            <w:r w:rsidRPr="008D6A63">
              <w:rPr>
                <w:rFonts w:cs="Arial"/>
              </w:rPr>
              <w:fldChar w:fldCharType="end"/>
            </w:r>
            <w:bookmarkEnd w:id="189"/>
            <w:r w:rsidRPr="008D6A63">
              <w:rPr>
                <w:rFonts w:cs="Arial"/>
              </w:rPr>
              <w:t xml:space="preserve"> above if such activity, practice or conduct had been carried out in the UK;</w:t>
            </w:r>
          </w:p>
        </w:tc>
      </w:tr>
      <w:tr w:rsidR="00F67E9E" w:rsidRPr="00F55457" w14:paraId="5D4E7E9C" w14:textId="77777777" w:rsidTr="007F74AA">
        <w:tc>
          <w:tcPr>
            <w:tcW w:w="2835" w:type="dxa"/>
          </w:tcPr>
          <w:p w14:paraId="139416AF" w14:textId="77777777" w:rsidR="00F67E9E" w:rsidRPr="008D6A63" w:rsidRDefault="00F67E9E" w:rsidP="007F74AA">
            <w:pPr>
              <w:pStyle w:val="StdBodyTextBold"/>
              <w:rPr>
                <w:rFonts w:cs="Arial"/>
              </w:rPr>
            </w:pPr>
            <w:r>
              <w:rPr>
                <w:rFonts w:cs="Arial"/>
              </w:rPr>
              <w:t>“</w:t>
            </w:r>
            <w:r w:rsidRPr="008D6A63">
              <w:rPr>
                <w:rFonts w:cs="Arial"/>
              </w:rPr>
              <w:t>Protective Measures</w:t>
            </w:r>
            <w:r>
              <w:rPr>
                <w:rFonts w:cs="Arial"/>
              </w:rPr>
              <w:t>”</w:t>
            </w:r>
          </w:p>
        </w:tc>
        <w:tc>
          <w:tcPr>
            <w:tcW w:w="6803" w:type="dxa"/>
          </w:tcPr>
          <w:p w14:paraId="3336EDD3" w14:textId="05F1896E" w:rsidR="00F67E9E" w:rsidRPr="008D6A63" w:rsidRDefault="00F67E9E" w:rsidP="007F74AA">
            <w:pPr>
              <w:pStyle w:val="StdBodyText"/>
              <w:rPr>
                <w:rFonts w:cs="Arial"/>
              </w:rPr>
            </w:pPr>
            <w:r w:rsidRPr="00C42267">
              <w:rPr>
                <w:rFonts w:cs="Arial"/>
              </w:rPr>
              <w:t xml:space="preserve">appropriate technical and organisational measures designed to ensure compliance with obligations of the Parties arising under Data Protection Legislation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including those outlined in </w:t>
            </w:r>
            <w:r>
              <w:rPr>
                <w:rFonts w:cs="Arial"/>
              </w:rPr>
              <w:fldChar w:fldCharType="begin"/>
            </w:r>
            <w:r>
              <w:rPr>
                <w:rFonts w:cs="Arial"/>
              </w:rPr>
              <w:instrText xml:space="preserve"> REF Schedule5 \h </w:instrText>
            </w:r>
            <w:r>
              <w:rPr>
                <w:rFonts w:cs="Arial"/>
              </w:rPr>
            </w:r>
            <w:r>
              <w:rPr>
                <w:rFonts w:cs="Arial"/>
              </w:rPr>
              <w:fldChar w:fldCharType="separate"/>
            </w:r>
            <w:r w:rsidR="00302D39" w:rsidRPr="005D0525">
              <w:t>Schedule</w:t>
            </w:r>
            <w:r w:rsidR="00302D39">
              <w:t> </w:t>
            </w:r>
            <w:r w:rsidR="00302D39" w:rsidRPr="005D0525">
              <w:t>5</w:t>
            </w:r>
            <w:r>
              <w:rPr>
                <w:rFonts w:cs="Arial"/>
              </w:rPr>
              <w:fldChar w:fldCharType="end"/>
            </w:r>
            <w:r w:rsidRPr="00C42267">
              <w:rPr>
                <w:rFonts w:cs="Arial"/>
              </w:rPr>
              <w:t xml:space="preserve"> (</w:t>
            </w:r>
            <w:r w:rsidRPr="00A22335">
              <w:rPr>
                <w:rFonts w:cs="Arial"/>
                <w:i/>
                <w:iCs/>
              </w:rPr>
              <w:fldChar w:fldCharType="begin"/>
            </w:r>
            <w:r w:rsidRPr="00A22335">
              <w:rPr>
                <w:rFonts w:cs="Arial"/>
                <w:i/>
                <w:iCs/>
              </w:rPr>
              <w:instrText xml:space="preserve"> REF Schedule5Heading \h </w:instrText>
            </w:r>
            <w:r>
              <w:rPr>
                <w:rFonts w:cs="Arial"/>
                <w:i/>
                <w:iCs/>
              </w:rPr>
              <w:instrText xml:space="preserve"> \* MERGEFORMAT </w:instrText>
            </w:r>
            <w:r w:rsidRPr="00A22335">
              <w:rPr>
                <w:rFonts w:cs="Arial"/>
                <w:i/>
                <w:iCs/>
              </w:rPr>
            </w:r>
            <w:r w:rsidRPr="00A22335">
              <w:rPr>
                <w:rFonts w:cs="Arial"/>
                <w:i/>
                <w:iCs/>
              </w:rPr>
              <w:fldChar w:fldCharType="separate"/>
            </w:r>
            <w:r w:rsidR="00302D39" w:rsidRPr="00302D39">
              <w:rPr>
                <w:i/>
                <w:iCs/>
              </w:rPr>
              <w:t>Security Management</w:t>
            </w:r>
            <w:r w:rsidRPr="00A22335">
              <w:rPr>
                <w:rFonts w:cs="Arial"/>
                <w:i/>
                <w:iCs/>
              </w:rPr>
              <w:fldChar w:fldCharType="end"/>
            </w:r>
            <w:r w:rsidRPr="00C42267">
              <w:rPr>
                <w:rFonts w:cs="Arial"/>
              </w:rPr>
              <w:t>);</w:t>
            </w:r>
          </w:p>
        </w:tc>
      </w:tr>
      <w:tr w:rsidR="00F67E9E" w:rsidRPr="00F55457" w14:paraId="0EEB523C" w14:textId="77777777" w:rsidTr="007F74AA">
        <w:tc>
          <w:tcPr>
            <w:tcW w:w="2835" w:type="dxa"/>
          </w:tcPr>
          <w:p w14:paraId="275C010A" w14:textId="77777777" w:rsidR="00F67E9E" w:rsidRPr="008D6A63" w:rsidRDefault="00F67E9E" w:rsidP="007F74AA">
            <w:pPr>
              <w:pStyle w:val="StdBodyTextBold"/>
              <w:rPr>
                <w:rFonts w:cs="Arial"/>
              </w:rPr>
            </w:pPr>
            <w:r>
              <w:rPr>
                <w:rFonts w:cs="Arial"/>
              </w:rPr>
              <w:t>“</w:t>
            </w:r>
            <w:r w:rsidRPr="008D6A63">
              <w:rPr>
                <w:rFonts w:cs="Arial"/>
              </w:rPr>
              <w:t>Project Specific IPRs</w:t>
            </w:r>
            <w:r>
              <w:rPr>
                <w:rFonts w:cs="Arial"/>
              </w:rPr>
              <w:t>”</w:t>
            </w:r>
          </w:p>
        </w:tc>
        <w:tc>
          <w:tcPr>
            <w:tcW w:w="6803" w:type="dxa"/>
          </w:tcPr>
          <w:p w14:paraId="0FA0925C" w14:textId="77777777" w:rsidR="00F67E9E" w:rsidRPr="008D6A63" w:rsidRDefault="00F67E9E" w:rsidP="007F74AA">
            <w:pPr>
              <w:pStyle w:val="DefinitionList"/>
              <w:numPr>
                <w:ilvl w:val="0"/>
                <w:numId w:val="88"/>
              </w:numPr>
            </w:pPr>
            <w:r w:rsidRPr="008D6A63">
              <w:t>Intellectual Property Rights in items created by the Supplier (or by a third party on behalf of the Supplier) specifically for the purposes of this Contract and updates and amendments of these items including (but not limited to) database schema; and/or</w:t>
            </w:r>
          </w:p>
          <w:p w14:paraId="1E1B8FF7" w14:textId="77777777" w:rsidR="00F67E9E" w:rsidRPr="008D6A63" w:rsidRDefault="00F67E9E" w:rsidP="00F67E9E">
            <w:pPr>
              <w:pStyle w:val="DefinitionList"/>
              <w:numPr>
                <w:ilvl w:val="0"/>
                <w:numId w:val="108"/>
              </w:numPr>
              <w:rPr>
                <w:rFonts w:cs="Arial"/>
              </w:rPr>
            </w:pPr>
            <w:r w:rsidRPr="008D6A63">
              <w:rPr>
                <w:rFonts w:cs="Arial"/>
              </w:rPr>
              <w:t xml:space="preserve">Intellectual Property Rights arising as a result of the performance of the </w:t>
            </w:r>
            <w:bookmarkStart w:id="191" w:name="_9kML6J6ZWu9A679B"/>
            <w:r w:rsidRPr="008D6A63">
              <w:rPr>
                <w:rFonts w:cs="Arial"/>
              </w:rPr>
              <w:t>Supplier</w:t>
            </w:r>
            <w:r>
              <w:rPr>
                <w:rFonts w:cs="Arial"/>
              </w:rPr>
              <w:t>’</w:t>
            </w:r>
            <w:r w:rsidRPr="008D6A63">
              <w:rPr>
                <w:rFonts w:cs="Arial"/>
              </w:rPr>
              <w:t>s</w:t>
            </w:r>
            <w:bookmarkEnd w:id="191"/>
            <w:r w:rsidRPr="008D6A63">
              <w:rPr>
                <w:rFonts w:cs="Arial"/>
              </w:rPr>
              <w:t xml:space="preserve"> obligations under this Contract;</w:t>
            </w:r>
          </w:p>
          <w:p w14:paraId="226EC795" w14:textId="77777777" w:rsidR="00F67E9E" w:rsidRPr="008D6A63" w:rsidRDefault="00F67E9E" w:rsidP="007F74AA">
            <w:pPr>
              <w:pStyle w:val="StdBodyText"/>
              <w:rPr>
                <w:rFonts w:cs="Arial"/>
              </w:rPr>
            </w:pPr>
            <w:r w:rsidRPr="008D6A63">
              <w:rPr>
                <w:rFonts w:cs="Arial"/>
              </w:rPr>
              <w:t>but shall not include the Supplier Background IPRs or the Specially Written Software;</w:t>
            </w:r>
          </w:p>
        </w:tc>
      </w:tr>
      <w:tr w:rsidR="00F67E9E" w:rsidRPr="00F55457" w14:paraId="42925F9D" w14:textId="77777777" w:rsidTr="007F74AA">
        <w:tc>
          <w:tcPr>
            <w:tcW w:w="2835" w:type="dxa"/>
          </w:tcPr>
          <w:p w14:paraId="74BE76A0" w14:textId="77777777" w:rsidR="00F67E9E" w:rsidRPr="008D6A63" w:rsidRDefault="00F67E9E" w:rsidP="007F74AA">
            <w:pPr>
              <w:pStyle w:val="StdBodyTextBold"/>
              <w:rPr>
                <w:rFonts w:cs="Arial"/>
              </w:rPr>
            </w:pPr>
            <w:r>
              <w:rPr>
                <w:rFonts w:cs="Arial"/>
              </w:rPr>
              <w:t>“</w:t>
            </w:r>
            <w:r w:rsidRPr="008D6A63">
              <w:rPr>
                <w:rFonts w:cs="Arial"/>
              </w:rPr>
              <w:t>Public Sector Dependent Supplier</w:t>
            </w:r>
            <w:r>
              <w:rPr>
                <w:rFonts w:cs="Arial"/>
              </w:rPr>
              <w:t>”</w:t>
            </w:r>
          </w:p>
        </w:tc>
        <w:tc>
          <w:tcPr>
            <w:tcW w:w="6803" w:type="dxa"/>
          </w:tcPr>
          <w:p w14:paraId="49D9C61F" w14:textId="77777777" w:rsidR="00F67E9E" w:rsidRPr="008D6A63" w:rsidRDefault="00F67E9E" w:rsidP="007F74AA">
            <w:pPr>
              <w:pStyle w:val="StdBodyText"/>
              <w:rPr>
                <w:rFonts w:cs="Arial"/>
              </w:rPr>
            </w:pPr>
            <w:r w:rsidRPr="008D6A63">
              <w:rPr>
                <w:rFonts w:cs="Arial"/>
              </w:rPr>
              <w:t>means a supplier where that supplier, or that supplier</w:t>
            </w:r>
            <w:r>
              <w:rPr>
                <w:rFonts w:cs="Arial"/>
              </w:rPr>
              <w:t>’</w:t>
            </w:r>
            <w:r w:rsidRPr="008D6A63">
              <w:rPr>
                <w:rFonts w:cs="Arial"/>
              </w:rPr>
              <w:t>s group has Annual Revenue of £50 million or more of which over 50% is generated from UK Public Sector Business;</w:t>
            </w:r>
          </w:p>
        </w:tc>
      </w:tr>
      <w:tr w:rsidR="00F67E9E" w:rsidRPr="00F55457" w14:paraId="5B0B489C" w14:textId="77777777" w:rsidTr="007F74AA">
        <w:tc>
          <w:tcPr>
            <w:tcW w:w="2835" w:type="dxa"/>
          </w:tcPr>
          <w:p w14:paraId="046AE766" w14:textId="77777777" w:rsidR="00F67E9E" w:rsidRPr="008D6A63" w:rsidRDefault="00F67E9E" w:rsidP="007F74AA">
            <w:pPr>
              <w:pStyle w:val="StdBodyTextBold"/>
              <w:rPr>
                <w:rFonts w:cs="Arial"/>
              </w:rPr>
            </w:pPr>
            <w:r>
              <w:rPr>
                <w:rFonts w:cs="Arial"/>
              </w:rPr>
              <w:t>“</w:t>
            </w:r>
            <w:r w:rsidRPr="008D6A63">
              <w:rPr>
                <w:rFonts w:cs="Arial"/>
              </w:rPr>
              <w:t>Publishable Performance Information</w:t>
            </w:r>
            <w:r>
              <w:rPr>
                <w:rFonts w:cs="Arial"/>
              </w:rPr>
              <w:t>”</w:t>
            </w:r>
          </w:p>
        </w:tc>
        <w:tc>
          <w:tcPr>
            <w:tcW w:w="6803" w:type="dxa"/>
          </w:tcPr>
          <w:p w14:paraId="143BF3F9" w14:textId="63B464BD" w:rsidR="00F67E9E" w:rsidRPr="008D6A63" w:rsidRDefault="00F67E9E" w:rsidP="007F74AA">
            <w:pPr>
              <w:pStyle w:val="StdBodyText"/>
              <w:rPr>
                <w:rFonts w:cs="Arial"/>
              </w:rPr>
            </w:pPr>
            <w:r w:rsidRPr="008D6A63">
              <w:rPr>
                <w:rFonts w:cs="Arial"/>
              </w:rPr>
              <w:t xml:space="preserve">means any of the information in the Performance Monitoring Report as it relates to a Performance Indicator where it is expressed as publishable in the table in </w:t>
            </w:r>
            <w:bookmarkStart w:id="192" w:name="_9kMON5YVt4EE6CGMEyq1P"/>
            <w:r w:rsidRPr="008D6A63">
              <w:rPr>
                <w:rFonts w:cs="Arial"/>
              </w:rPr>
              <w:fldChar w:fldCharType="begin"/>
            </w:r>
            <w:r w:rsidRPr="008D6A63">
              <w:rPr>
                <w:rFonts w:cs="Arial"/>
              </w:rPr>
              <w:instrText xml:space="preserve"> REF ANNEX1_SCHEDULE3 \h </w:instrText>
            </w:r>
            <w:r w:rsidRPr="008D6A63">
              <w:rPr>
                <w:rFonts w:cs="Arial"/>
              </w:rPr>
            </w:r>
            <w:r w:rsidRPr="008D6A63">
              <w:rPr>
                <w:rFonts w:cs="Arial"/>
              </w:rPr>
              <w:fldChar w:fldCharType="separate"/>
            </w:r>
            <w:r w:rsidR="00302D39" w:rsidRPr="00FC322D">
              <w:t>Annex 1</w:t>
            </w:r>
            <w:r w:rsidRPr="008D6A63">
              <w:rPr>
                <w:rFonts w:cs="Arial"/>
              </w:rPr>
              <w:fldChar w:fldCharType="end"/>
            </w:r>
            <w:bookmarkEnd w:id="192"/>
            <w:r w:rsidRPr="008D6A63">
              <w:rPr>
                <w:rFonts w:cs="Arial"/>
              </w:rPr>
              <w:t xml:space="preserve"> which shall not constitute Commercially Sensitive Information;</w:t>
            </w:r>
          </w:p>
        </w:tc>
      </w:tr>
      <w:tr w:rsidR="00F67E9E" w:rsidRPr="00F55457" w14:paraId="00AFB3FD" w14:textId="77777777" w:rsidTr="007F74AA">
        <w:tc>
          <w:tcPr>
            <w:tcW w:w="2835" w:type="dxa"/>
          </w:tcPr>
          <w:p w14:paraId="5AED6881" w14:textId="77777777" w:rsidR="00F67E9E" w:rsidRPr="008D6A63" w:rsidRDefault="00F67E9E" w:rsidP="007F74AA">
            <w:pPr>
              <w:pStyle w:val="StdBodyTextBold"/>
              <w:rPr>
                <w:rFonts w:cs="Arial"/>
              </w:rPr>
            </w:pPr>
            <w:r>
              <w:rPr>
                <w:rFonts w:cs="Arial"/>
              </w:rPr>
              <w:t>“</w:t>
            </w:r>
            <w:r w:rsidRPr="008D6A63">
              <w:rPr>
                <w:rFonts w:cs="Arial"/>
              </w:rPr>
              <w:t>Quality Plans</w:t>
            </w:r>
            <w:r>
              <w:rPr>
                <w:rFonts w:cs="Arial"/>
              </w:rPr>
              <w:t>”</w:t>
            </w:r>
          </w:p>
        </w:tc>
        <w:tc>
          <w:tcPr>
            <w:tcW w:w="6803" w:type="dxa"/>
          </w:tcPr>
          <w:p w14:paraId="60CF02EA" w14:textId="77777777" w:rsidR="00F67E9E" w:rsidRPr="008D6A63" w:rsidRDefault="00F67E9E" w:rsidP="007F74AA">
            <w:pPr>
              <w:pStyle w:val="StdBodyText"/>
              <w:rPr>
                <w:rFonts w:cs="Arial"/>
              </w:rPr>
            </w:pPr>
            <w:r w:rsidRPr="008D6A63">
              <w:rPr>
                <w:rFonts w:cs="Arial"/>
              </w:rPr>
              <w:t xml:space="preserve">has the meaning given in </w:t>
            </w:r>
            <w:bookmarkStart w:id="193" w:name="_9kR3WTr2BB6GGKChrAvAL"/>
            <w:r w:rsidRPr="008D6A63">
              <w:rPr>
                <w:rFonts w:cs="Arial"/>
              </w:rPr>
              <w:t xml:space="preserve">Clause </w:t>
            </w:r>
            <w:bookmarkEnd w:id="193"/>
            <w:r w:rsidRPr="008D6A63">
              <w:rPr>
                <w:rFonts w:cs="Arial"/>
              </w:rPr>
              <w:t>6.1 (</w:t>
            </w:r>
            <w:r w:rsidRPr="00214A89">
              <w:rPr>
                <w:rFonts w:cs="Arial"/>
                <w:i/>
                <w:iCs/>
              </w:rPr>
              <w:t>Quality Plans</w:t>
            </w:r>
            <w:r w:rsidRPr="008D6A63">
              <w:rPr>
                <w:rFonts w:cs="Arial"/>
              </w:rPr>
              <w:t>);</w:t>
            </w:r>
          </w:p>
        </w:tc>
      </w:tr>
      <w:tr w:rsidR="00F67E9E" w:rsidRPr="00F55457" w14:paraId="37775069" w14:textId="77777777" w:rsidTr="007F74AA">
        <w:tc>
          <w:tcPr>
            <w:tcW w:w="2835" w:type="dxa"/>
          </w:tcPr>
          <w:p w14:paraId="6F989061" w14:textId="77777777" w:rsidR="00F67E9E" w:rsidRPr="008D6A63" w:rsidRDefault="00F67E9E" w:rsidP="007F74AA">
            <w:pPr>
              <w:pStyle w:val="StdBodyTextBold"/>
              <w:rPr>
                <w:rFonts w:cs="Arial"/>
              </w:rPr>
            </w:pPr>
            <w:r>
              <w:rPr>
                <w:rFonts w:cs="Arial"/>
              </w:rPr>
              <w:t>“</w:t>
            </w:r>
            <w:r w:rsidRPr="008D6A63">
              <w:rPr>
                <w:rFonts w:cs="Arial"/>
              </w:rPr>
              <w:t>Quarter</w:t>
            </w:r>
            <w:r>
              <w:rPr>
                <w:rFonts w:cs="Arial"/>
              </w:rPr>
              <w:t>”</w:t>
            </w:r>
          </w:p>
        </w:tc>
        <w:tc>
          <w:tcPr>
            <w:tcW w:w="6803" w:type="dxa"/>
          </w:tcPr>
          <w:p w14:paraId="4AE7BE2B" w14:textId="77777777" w:rsidR="00F67E9E" w:rsidRPr="008D6A63" w:rsidRDefault="00F67E9E" w:rsidP="007F74AA">
            <w:pPr>
              <w:pStyle w:val="StdBodyText"/>
              <w:rPr>
                <w:rFonts w:cs="Arial"/>
              </w:rPr>
            </w:pPr>
            <w:r w:rsidRPr="008D6A63">
              <w:rPr>
                <w:rFonts w:cs="Arial"/>
              </w:rPr>
              <w:t>the first three Service Periods and each subsequent three Service Periods (save that the final Quarter shall end on the date of termination or expiry of this Contract);</w:t>
            </w:r>
          </w:p>
        </w:tc>
      </w:tr>
      <w:tr w:rsidR="00F67E9E" w:rsidRPr="00F55457" w14:paraId="213BA025" w14:textId="77777777" w:rsidTr="007F74AA">
        <w:tc>
          <w:tcPr>
            <w:tcW w:w="2835" w:type="dxa"/>
          </w:tcPr>
          <w:p w14:paraId="7754AF59" w14:textId="77777777" w:rsidR="00F67E9E" w:rsidRPr="008D6A63" w:rsidRDefault="00F67E9E" w:rsidP="007F74AA">
            <w:pPr>
              <w:pStyle w:val="StdBodyTextBold"/>
              <w:rPr>
                <w:rFonts w:cs="Arial"/>
              </w:rPr>
            </w:pPr>
            <w:r>
              <w:rPr>
                <w:rFonts w:cs="Arial"/>
              </w:rPr>
              <w:t>“</w:t>
            </w:r>
            <w:r w:rsidRPr="008D6A63">
              <w:rPr>
                <w:rFonts w:cs="Arial"/>
              </w:rPr>
              <w:t>Recipient</w:t>
            </w:r>
            <w:r>
              <w:rPr>
                <w:rFonts w:cs="Arial"/>
              </w:rPr>
              <w:t>”</w:t>
            </w:r>
          </w:p>
        </w:tc>
        <w:tc>
          <w:tcPr>
            <w:tcW w:w="6803" w:type="dxa"/>
          </w:tcPr>
          <w:p w14:paraId="06D7D60F" w14:textId="77777777" w:rsidR="00F67E9E" w:rsidRPr="008D6A63" w:rsidRDefault="00F67E9E" w:rsidP="007F74AA">
            <w:pPr>
              <w:pStyle w:val="StdBodyText"/>
              <w:rPr>
                <w:rFonts w:cs="Arial"/>
              </w:rPr>
            </w:pPr>
            <w:r w:rsidRPr="008D6A63">
              <w:rPr>
                <w:rFonts w:cs="Arial"/>
              </w:rPr>
              <w:t xml:space="preserve">has the meaning given in </w:t>
            </w:r>
            <w:bookmarkStart w:id="194" w:name="_9kMIH5YVtCIACJIFDDSN6C3pyFIECG78J7DG6In"/>
            <w:bookmarkStart w:id="195" w:name="_9kMIH5YVtCJBCJJGDDSN6C3pyFIECG78J7DG6In"/>
            <w:r w:rsidRPr="008D6A63">
              <w:rPr>
                <w:rFonts w:cs="Arial"/>
              </w:rPr>
              <w:t xml:space="preserve">Clause </w:t>
            </w:r>
            <w:bookmarkEnd w:id="194"/>
            <w:bookmarkEnd w:id="195"/>
            <w:r w:rsidRPr="008D6A63">
              <w:rPr>
                <w:rFonts w:cs="Arial"/>
              </w:rPr>
              <w:t>19.1 (</w:t>
            </w:r>
            <w:r w:rsidRPr="00214A89">
              <w:rPr>
                <w:rFonts w:cs="Arial"/>
                <w:i/>
                <w:iCs/>
              </w:rPr>
              <w:t>Confidentiality</w:t>
            </w:r>
            <w:r w:rsidRPr="008D6A63">
              <w:rPr>
                <w:rFonts w:cs="Arial"/>
              </w:rPr>
              <w:t>);</w:t>
            </w:r>
          </w:p>
        </w:tc>
      </w:tr>
      <w:tr w:rsidR="00F67E9E" w:rsidRPr="00F55457" w14:paraId="2B21AAD0" w14:textId="77777777" w:rsidTr="007F74AA">
        <w:tc>
          <w:tcPr>
            <w:tcW w:w="2835" w:type="dxa"/>
          </w:tcPr>
          <w:p w14:paraId="077B62BE" w14:textId="77777777" w:rsidR="00F67E9E" w:rsidRDefault="00F67E9E" w:rsidP="007F74AA">
            <w:pPr>
              <w:pStyle w:val="StdBodyTextBold"/>
              <w:rPr>
                <w:rFonts w:cs="Arial"/>
              </w:rPr>
            </w:pPr>
            <w:r w:rsidRPr="00D8080C">
              <w:t>“Recall”</w:t>
            </w:r>
          </w:p>
        </w:tc>
        <w:tc>
          <w:tcPr>
            <w:tcW w:w="6803" w:type="dxa"/>
          </w:tcPr>
          <w:p w14:paraId="2387C873" w14:textId="77777777" w:rsidR="00F67E9E" w:rsidRPr="008D6A63" w:rsidRDefault="00F67E9E" w:rsidP="007F74AA">
            <w:pPr>
              <w:pStyle w:val="StdBodyText"/>
              <w:rPr>
                <w:rFonts w:cs="Arial"/>
              </w:rPr>
            </w:pPr>
            <w:r w:rsidRPr="00D8080C">
              <w:t>a request by the Supplier to return Goods to the Supplier or the manufacturer after the discovery of safety issues or defects (including defects in the IPR rights) that might endanger health or hinder performance;</w:t>
            </w:r>
          </w:p>
        </w:tc>
      </w:tr>
      <w:tr w:rsidR="00F67E9E" w:rsidRPr="00F55457" w14:paraId="7F60BCCA" w14:textId="77777777" w:rsidTr="007F74AA">
        <w:tc>
          <w:tcPr>
            <w:tcW w:w="2835" w:type="dxa"/>
          </w:tcPr>
          <w:p w14:paraId="45A2A888" w14:textId="77777777" w:rsidR="00F67E9E" w:rsidRPr="008D6A63" w:rsidRDefault="00F67E9E" w:rsidP="007F74AA">
            <w:pPr>
              <w:pStyle w:val="StdBodyTextBold"/>
              <w:rPr>
                <w:rFonts w:cs="Arial"/>
              </w:rPr>
            </w:pPr>
            <w:r>
              <w:rPr>
                <w:rFonts w:cs="Arial"/>
              </w:rPr>
              <w:t>“</w:t>
            </w:r>
            <w:r w:rsidRPr="008D6A63">
              <w:rPr>
                <w:rFonts w:cs="Arial"/>
              </w:rPr>
              <w:t>Records</w:t>
            </w:r>
            <w:r>
              <w:rPr>
                <w:rFonts w:cs="Arial"/>
              </w:rPr>
              <w:t>”</w:t>
            </w:r>
          </w:p>
        </w:tc>
        <w:tc>
          <w:tcPr>
            <w:tcW w:w="6803" w:type="dxa"/>
          </w:tcPr>
          <w:p w14:paraId="0C284160" w14:textId="05AB000F" w:rsidR="00F67E9E" w:rsidRPr="008D6A63" w:rsidRDefault="00F67E9E" w:rsidP="007F74AA">
            <w:pPr>
              <w:pStyle w:val="StdBodyText"/>
              <w:rPr>
                <w:rFonts w:cs="Arial"/>
              </w:rPr>
            </w:pPr>
            <w:r w:rsidRPr="008D6A63">
              <w:rPr>
                <w:rFonts w:cs="Arial"/>
              </w:rPr>
              <w:t xml:space="preserve">has the meaning given in </w:t>
            </w:r>
            <w:r>
              <w:rPr>
                <w:rFonts w:cs="Arial"/>
              </w:rPr>
              <w:fldChar w:fldCharType="begin"/>
            </w:r>
            <w:r>
              <w:rPr>
                <w:rFonts w:cs="Arial"/>
              </w:rPr>
              <w:instrText xml:space="preserve"> REF Schedule24 \h </w:instrText>
            </w:r>
            <w:r>
              <w:rPr>
                <w:rFonts w:cs="Arial"/>
              </w:rPr>
            </w:r>
            <w:r>
              <w:rPr>
                <w:rFonts w:cs="Arial"/>
              </w:rPr>
              <w:fldChar w:fldCharType="separate"/>
            </w:r>
            <w:r w:rsidR="00302D39" w:rsidRPr="005D0525">
              <w:t>Schedule</w:t>
            </w:r>
            <w:r w:rsidR="00302D39">
              <w:t> </w:t>
            </w:r>
            <w:r w:rsidR="00302D39" w:rsidRPr="005D0525">
              <w:t>24</w:t>
            </w:r>
            <w:r>
              <w:rPr>
                <w:rFonts w:cs="Arial"/>
              </w:rPr>
              <w:fldChar w:fldCharType="end"/>
            </w:r>
            <w:r>
              <w:rPr>
                <w:rFonts w:cs="Arial"/>
              </w:rPr>
              <w:t xml:space="preserve"> (</w:t>
            </w:r>
            <w:r w:rsidRPr="00A22335">
              <w:rPr>
                <w:rFonts w:cs="Arial"/>
                <w:i/>
                <w:iCs/>
              </w:rPr>
              <w:fldChar w:fldCharType="begin"/>
            </w:r>
            <w:r w:rsidRPr="00A22335">
              <w:rPr>
                <w:rFonts w:cs="Arial"/>
                <w:i/>
                <w:iCs/>
              </w:rPr>
              <w:instrText xml:space="preserve"> REF Schedule24Heading \h </w:instrText>
            </w:r>
            <w:r>
              <w:rPr>
                <w:rFonts w:cs="Arial"/>
                <w:i/>
                <w:iCs/>
              </w:rPr>
              <w:instrText xml:space="preserve"> \* MERGEFORMAT </w:instrText>
            </w:r>
            <w:r w:rsidRPr="00A22335">
              <w:rPr>
                <w:rFonts w:cs="Arial"/>
                <w:i/>
                <w:iCs/>
              </w:rPr>
            </w:r>
            <w:r w:rsidRPr="00A22335">
              <w:rPr>
                <w:rFonts w:cs="Arial"/>
                <w:i/>
                <w:iCs/>
              </w:rPr>
              <w:fldChar w:fldCharType="separate"/>
            </w:r>
            <w:r w:rsidR="00302D39" w:rsidRPr="00302D39">
              <w:rPr>
                <w:i/>
                <w:iCs/>
              </w:rPr>
              <w:t>Reports and Records Provisions</w:t>
            </w:r>
            <w:r w:rsidRPr="00A22335">
              <w:rPr>
                <w:rFonts w:cs="Arial"/>
                <w:i/>
                <w:iCs/>
              </w:rPr>
              <w:fldChar w:fldCharType="end"/>
            </w:r>
            <w:r>
              <w:rPr>
                <w:rFonts w:cs="Arial"/>
              </w:rPr>
              <w:t>)</w:t>
            </w:r>
            <w:r w:rsidRPr="008D6A63">
              <w:rPr>
                <w:rFonts w:cs="Arial"/>
              </w:rPr>
              <w:t>;</w:t>
            </w:r>
          </w:p>
        </w:tc>
      </w:tr>
      <w:tr w:rsidR="00F67E9E" w:rsidRPr="00F55457" w14:paraId="09EC85E9" w14:textId="77777777" w:rsidTr="007F74AA">
        <w:tc>
          <w:tcPr>
            <w:tcW w:w="2835" w:type="dxa"/>
          </w:tcPr>
          <w:p w14:paraId="3D378513" w14:textId="77777777" w:rsidR="00F67E9E" w:rsidRPr="008D6A63" w:rsidRDefault="00F67E9E" w:rsidP="007F74AA">
            <w:pPr>
              <w:pStyle w:val="StdBodyTextBold"/>
              <w:rPr>
                <w:rFonts w:cs="Arial"/>
              </w:rPr>
            </w:pPr>
            <w:r>
              <w:rPr>
                <w:rFonts w:cs="Arial"/>
              </w:rPr>
              <w:t>“</w:t>
            </w:r>
            <w:r w:rsidRPr="008D6A63">
              <w:rPr>
                <w:rFonts w:cs="Arial"/>
              </w:rPr>
              <w:t>Rectification Plan</w:t>
            </w:r>
            <w:r>
              <w:rPr>
                <w:rFonts w:cs="Arial"/>
              </w:rPr>
              <w:t>”</w:t>
            </w:r>
          </w:p>
        </w:tc>
        <w:tc>
          <w:tcPr>
            <w:tcW w:w="6803" w:type="dxa"/>
          </w:tcPr>
          <w:p w14:paraId="15F8EEC4" w14:textId="77777777" w:rsidR="00F67E9E" w:rsidRPr="008D6A63" w:rsidRDefault="00F67E9E" w:rsidP="007F74AA">
            <w:pPr>
              <w:pStyle w:val="StdBodyText"/>
              <w:rPr>
                <w:rFonts w:cs="Arial"/>
              </w:rPr>
            </w:pPr>
            <w:r w:rsidRPr="008D6A63">
              <w:rPr>
                <w:rFonts w:cs="Arial"/>
              </w:rPr>
              <w:t>a plan to address the impact of, and prevent the reoccurrence of, a Notifiable Default;</w:t>
            </w:r>
          </w:p>
        </w:tc>
      </w:tr>
      <w:tr w:rsidR="00F67E9E" w:rsidRPr="00F55457" w14:paraId="5348A6FA" w14:textId="77777777" w:rsidTr="007F74AA">
        <w:tc>
          <w:tcPr>
            <w:tcW w:w="2835" w:type="dxa"/>
          </w:tcPr>
          <w:p w14:paraId="51D9F1AB" w14:textId="77777777" w:rsidR="00F67E9E" w:rsidRPr="008D6A63" w:rsidRDefault="00F67E9E" w:rsidP="007F74AA">
            <w:pPr>
              <w:pStyle w:val="StdBodyTextBold"/>
              <w:rPr>
                <w:rFonts w:cs="Arial"/>
              </w:rPr>
            </w:pPr>
            <w:r>
              <w:rPr>
                <w:rFonts w:cs="Arial"/>
              </w:rPr>
              <w:t>“</w:t>
            </w:r>
            <w:r w:rsidRPr="008D6A63">
              <w:rPr>
                <w:rFonts w:cs="Arial"/>
              </w:rPr>
              <w:t>Rectification Plan Failure</w:t>
            </w:r>
            <w:r>
              <w:rPr>
                <w:rFonts w:cs="Arial"/>
              </w:rPr>
              <w:t>”</w:t>
            </w:r>
          </w:p>
        </w:tc>
        <w:tc>
          <w:tcPr>
            <w:tcW w:w="6803" w:type="dxa"/>
          </w:tcPr>
          <w:p w14:paraId="3119058A" w14:textId="77777777" w:rsidR="00F67E9E" w:rsidRPr="008D6A63" w:rsidRDefault="00F67E9E" w:rsidP="007F74AA">
            <w:pPr>
              <w:pStyle w:val="DefinitionList"/>
              <w:numPr>
                <w:ilvl w:val="0"/>
                <w:numId w:val="89"/>
              </w:numPr>
            </w:pPr>
            <w:r w:rsidRPr="008D6A63">
              <w:t xml:space="preserve">the Supplier failing to submit or resubmit a draft Rectification Plan to the Authority within the timescales </w:t>
            </w:r>
            <w:r w:rsidRPr="00FC6BE5">
              <w:t>specified</w:t>
            </w:r>
            <w:r w:rsidRPr="008D6A63">
              <w:t xml:space="preserve"> in </w:t>
            </w:r>
            <w:bookmarkStart w:id="196" w:name="_9kMIH5YVtCIABKOJJMjUmYjD960u4JAtyAISC5D"/>
            <w:r w:rsidRPr="008D6A63">
              <w:t xml:space="preserve">Clauses </w:t>
            </w:r>
            <w:bookmarkEnd w:id="196"/>
            <w:r w:rsidRPr="008D6A63">
              <w:t>25.4 (</w:t>
            </w:r>
            <w:r w:rsidRPr="00214A89">
              <w:rPr>
                <w:i/>
                <w:iCs/>
              </w:rPr>
              <w:t>Submission of the draft Rectification Plan</w:t>
            </w:r>
            <w:r w:rsidRPr="008D6A63">
              <w:t>) or 25.8 (</w:t>
            </w:r>
            <w:r w:rsidRPr="00214A89">
              <w:rPr>
                <w:i/>
                <w:iCs/>
              </w:rPr>
              <w:t>Agreement of the Rectification Plan</w:t>
            </w:r>
            <w:r w:rsidRPr="008D6A63">
              <w:t xml:space="preserve">); </w:t>
            </w:r>
          </w:p>
          <w:p w14:paraId="27F63F7F" w14:textId="77777777" w:rsidR="00F67E9E" w:rsidRPr="008D6A63" w:rsidRDefault="00F67E9E" w:rsidP="00F67E9E">
            <w:pPr>
              <w:pStyle w:val="DefinitionList"/>
              <w:numPr>
                <w:ilvl w:val="0"/>
                <w:numId w:val="108"/>
              </w:numPr>
              <w:rPr>
                <w:rFonts w:cs="Arial"/>
              </w:rPr>
            </w:pPr>
            <w:r w:rsidRPr="008D6A63">
              <w:rPr>
                <w:rFonts w:cs="Arial"/>
              </w:rPr>
              <w:t xml:space="preserve">the Authority, </w:t>
            </w:r>
            <w:bookmarkStart w:id="197" w:name="_9kR3WTr5DA49Ah"/>
            <w:bookmarkEnd w:id="197"/>
            <w:r w:rsidRPr="008D6A63">
              <w:rPr>
                <w:rFonts w:cs="Arial"/>
              </w:rPr>
              <w:t xml:space="preserve">acting reasonably, rejecting a revised draft of the Rectification Plan submitted by the Supplier pursuant to </w:t>
            </w:r>
            <w:bookmarkStart w:id="198" w:name="_9kMHG5YVtCIABKLGJPmUmGRH51C7ARLyBTA34yE"/>
            <w:r w:rsidRPr="008D6A63">
              <w:rPr>
                <w:rFonts w:cs="Arial"/>
              </w:rPr>
              <w:t xml:space="preserve">Clause </w:t>
            </w:r>
            <w:bookmarkEnd w:id="198"/>
            <w:r w:rsidRPr="008D6A63">
              <w:rPr>
                <w:rFonts w:cs="Arial"/>
              </w:rPr>
              <w:t>25.7 (</w:t>
            </w:r>
            <w:r w:rsidRPr="00214A89">
              <w:rPr>
                <w:rFonts w:cs="Arial"/>
                <w:i/>
                <w:iCs/>
              </w:rPr>
              <w:t>Agreement of the Rectification Plan</w:t>
            </w:r>
            <w:r w:rsidRPr="008D6A63">
              <w:rPr>
                <w:rFonts w:cs="Arial"/>
              </w:rPr>
              <w:t xml:space="preserve">); </w:t>
            </w:r>
          </w:p>
          <w:p w14:paraId="2CEEC61A" w14:textId="77777777" w:rsidR="00F67E9E" w:rsidRPr="008D6A63" w:rsidRDefault="00F67E9E" w:rsidP="00F67E9E">
            <w:pPr>
              <w:pStyle w:val="DefinitionList"/>
              <w:numPr>
                <w:ilvl w:val="0"/>
                <w:numId w:val="108"/>
              </w:numPr>
              <w:rPr>
                <w:rFonts w:cs="Arial"/>
              </w:rPr>
            </w:pPr>
            <w:r w:rsidRPr="008D6A63">
              <w:rPr>
                <w:rFonts w:cs="Arial"/>
              </w:rPr>
              <w:t>the Supplier failing to rectify a material Default within the later of:</w:t>
            </w:r>
          </w:p>
          <w:p w14:paraId="5F329A8D" w14:textId="77777777" w:rsidR="00F67E9E" w:rsidRPr="008D6A63" w:rsidRDefault="00F67E9E" w:rsidP="00F67E9E">
            <w:pPr>
              <w:pStyle w:val="DefinitionListLevel1"/>
              <w:numPr>
                <w:ilvl w:val="1"/>
                <w:numId w:val="108"/>
              </w:numPr>
              <w:rPr>
                <w:rFonts w:cs="Arial"/>
              </w:rPr>
            </w:pPr>
            <w:r w:rsidRPr="008D6A63">
              <w:rPr>
                <w:rFonts w:cs="Arial"/>
              </w:rPr>
              <w:t xml:space="preserve">30 Working Days of a notification made pursuant to </w:t>
            </w:r>
            <w:bookmarkStart w:id="199" w:name="_9kMIH5YVtCIABLICJKWH"/>
            <w:r w:rsidRPr="008D6A63">
              <w:rPr>
                <w:rFonts w:cs="Arial"/>
              </w:rPr>
              <w:t xml:space="preserve">Clause </w:t>
            </w:r>
            <w:bookmarkEnd w:id="199"/>
            <w:r w:rsidRPr="008D6A63">
              <w:rPr>
                <w:rFonts w:cs="Arial"/>
              </w:rPr>
              <w:t>25.2 (</w:t>
            </w:r>
            <w:r w:rsidRPr="00214A89">
              <w:rPr>
                <w:rFonts w:cs="Arial"/>
                <w:i/>
                <w:iCs/>
              </w:rPr>
              <w:t>Notification</w:t>
            </w:r>
            <w:r w:rsidRPr="008D6A63">
              <w:rPr>
                <w:rFonts w:cs="Arial"/>
              </w:rPr>
              <w:t xml:space="preserve">); and </w:t>
            </w:r>
          </w:p>
          <w:p w14:paraId="335FFB86" w14:textId="77777777" w:rsidR="00F67E9E" w:rsidRPr="008D6A63" w:rsidRDefault="00F67E9E" w:rsidP="00F67E9E">
            <w:pPr>
              <w:pStyle w:val="DefinitionListLevel1"/>
              <w:numPr>
                <w:ilvl w:val="1"/>
                <w:numId w:val="108"/>
              </w:numPr>
              <w:rPr>
                <w:rFonts w:cs="Arial"/>
              </w:rPr>
            </w:pPr>
            <w:r w:rsidRPr="008D6A63">
              <w:rPr>
                <w:rFonts w:cs="Arial"/>
              </w:rPr>
              <w:t>where the Parties have agreed a Rectification Plan in respect of that material Default and the Supplier can demonstrate that it is implementing the Rectification Plan in good faith, the date specified in the Rectification Plan by which the Supplier must rectify the material Default;</w:t>
            </w:r>
          </w:p>
          <w:p w14:paraId="04411787" w14:textId="77777777" w:rsidR="00F67E9E" w:rsidRPr="008D6A63" w:rsidRDefault="00F67E9E" w:rsidP="00F67E9E">
            <w:pPr>
              <w:pStyle w:val="DefinitionList"/>
              <w:numPr>
                <w:ilvl w:val="0"/>
                <w:numId w:val="108"/>
              </w:numPr>
              <w:rPr>
                <w:rFonts w:cs="Arial"/>
              </w:rPr>
            </w:pPr>
            <w:r w:rsidRPr="008D6A63">
              <w:rPr>
                <w:rFonts w:cs="Arial"/>
              </w:rPr>
              <w:t xml:space="preserve">a Material KPI Failure re-occurring in respect of the same Key Performance Indicator for the same (or substantially the same) root cause in any of the 3 Measurement Periods subsequent to the Measurement Period in which the initial Material KPI Failure occurred; </w:t>
            </w:r>
          </w:p>
          <w:p w14:paraId="50305355" w14:textId="77777777" w:rsidR="00F67E9E" w:rsidRPr="008D6A63" w:rsidRDefault="00F67E9E" w:rsidP="00F67E9E">
            <w:pPr>
              <w:pStyle w:val="DefinitionList"/>
              <w:numPr>
                <w:ilvl w:val="0"/>
                <w:numId w:val="108"/>
              </w:numPr>
              <w:rPr>
                <w:rFonts w:cs="Arial"/>
              </w:rPr>
            </w:pPr>
            <w:r w:rsidRPr="008D6A63">
              <w:rPr>
                <w:rFonts w:cs="Arial"/>
              </w:rPr>
              <w:t>the Supplier not Achieving a Key Milestone by the expiry of the Delay Deduction Period; and/or</w:t>
            </w:r>
          </w:p>
          <w:p w14:paraId="68F9D40B" w14:textId="77777777" w:rsidR="00F67E9E" w:rsidRPr="008D6A63" w:rsidRDefault="00F67E9E" w:rsidP="00F67E9E">
            <w:pPr>
              <w:pStyle w:val="DefinitionList"/>
              <w:numPr>
                <w:ilvl w:val="0"/>
                <w:numId w:val="108"/>
              </w:numPr>
              <w:rPr>
                <w:rFonts w:cs="Arial"/>
              </w:rPr>
            </w:pPr>
            <w:r w:rsidRPr="008D6A63">
              <w:rPr>
                <w:rFonts w:cs="Arial"/>
              </w:rPr>
              <w:t>following the successful implementation of a Rectification Plan, the same Notifiable Default recurring within a period of 6 months for the same (or substantially the same) root cause as that of the original Notifiable Default;</w:t>
            </w:r>
          </w:p>
        </w:tc>
      </w:tr>
      <w:tr w:rsidR="00F67E9E" w:rsidRPr="00F55457" w14:paraId="59C7EDE0" w14:textId="77777777" w:rsidTr="007F74AA">
        <w:tc>
          <w:tcPr>
            <w:tcW w:w="2835" w:type="dxa"/>
          </w:tcPr>
          <w:p w14:paraId="253A9DC3" w14:textId="77777777" w:rsidR="00F67E9E" w:rsidRPr="008D6A63" w:rsidRDefault="00F67E9E" w:rsidP="007F74AA">
            <w:pPr>
              <w:pStyle w:val="StdBodyTextBold"/>
              <w:rPr>
                <w:rFonts w:cs="Arial"/>
              </w:rPr>
            </w:pPr>
            <w:r>
              <w:rPr>
                <w:rFonts w:cs="Arial"/>
              </w:rPr>
              <w:t>“</w:t>
            </w:r>
            <w:r w:rsidRPr="008D6A63">
              <w:rPr>
                <w:rFonts w:cs="Arial"/>
              </w:rPr>
              <w:t>Rectification Plan Process</w:t>
            </w:r>
            <w:r>
              <w:rPr>
                <w:rFonts w:cs="Arial"/>
              </w:rPr>
              <w:t>”</w:t>
            </w:r>
          </w:p>
        </w:tc>
        <w:tc>
          <w:tcPr>
            <w:tcW w:w="6803" w:type="dxa"/>
          </w:tcPr>
          <w:p w14:paraId="54C30C9E" w14:textId="77777777" w:rsidR="00F67E9E" w:rsidRPr="008D6A63" w:rsidRDefault="00F67E9E" w:rsidP="007F74AA">
            <w:pPr>
              <w:pStyle w:val="StdBodyText"/>
              <w:rPr>
                <w:rFonts w:cs="Arial"/>
              </w:rPr>
            </w:pPr>
            <w:r w:rsidRPr="008D6A63">
              <w:rPr>
                <w:rFonts w:cs="Arial"/>
              </w:rPr>
              <w:t xml:space="preserve">the process set out in </w:t>
            </w:r>
            <w:bookmarkStart w:id="200" w:name="_9kMJI5YVtCIABKOJJMjUmYjD960u4JAtyAISC5D"/>
            <w:r w:rsidRPr="008D6A63">
              <w:rPr>
                <w:rFonts w:cs="Arial"/>
              </w:rPr>
              <w:t xml:space="preserve">Clauses </w:t>
            </w:r>
            <w:bookmarkEnd w:id="200"/>
            <w:r w:rsidRPr="008D6A63">
              <w:rPr>
                <w:rFonts w:cs="Arial"/>
              </w:rPr>
              <w:t>25.4 (</w:t>
            </w:r>
            <w:r w:rsidRPr="00214A89">
              <w:rPr>
                <w:rFonts w:cs="Arial"/>
                <w:i/>
                <w:iCs/>
              </w:rPr>
              <w:t>Submission of the draft Rectification Plan</w:t>
            </w:r>
            <w:r w:rsidRPr="008D6A63">
              <w:rPr>
                <w:rFonts w:cs="Arial"/>
              </w:rPr>
              <w:t>) to 25.9 (</w:t>
            </w:r>
            <w:r w:rsidRPr="00214A89">
              <w:rPr>
                <w:rFonts w:cs="Arial"/>
                <w:i/>
                <w:iCs/>
              </w:rPr>
              <w:t>Agreement of the Rectification Plan</w:t>
            </w:r>
            <w:r w:rsidRPr="008D6A63">
              <w:rPr>
                <w:rFonts w:cs="Arial"/>
              </w:rPr>
              <w:t>);</w:t>
            </w:r>
          </w:p>
        </w:tc>
      </w:tr>
      <w:tr w:rsidR="00F67E9E" w:rsidRPr="00F55457" w14:paraId="3C37D096" w14:textId="77777777" w:rsidTr="007F74AA">
        <w:tc>
          <w:tcPr>
            <w:tcW w:w="2835" w:type="dxa"/>
          </w:tcPr>
          <w:p w14:paraId="65FD9A77" w14:textId="77777777" w:rsidR="00F67E9E" w:rsidRPr="008D6A63" w:rsidRDefault="00F67E9E" w:rsidP="007F74AA">
            <w:pPr>
              <w:pStyle w:val="StdBodyTextBold"/>
              <w:rPr>
                <w:rFonts w:cs="Arial"/>
              </w:rPr>
            </w:pPr>
            <w:r>
              <w:rPr>
                <w:rFonts w:cs="Arial"/>
              </w:rPr>
              <w:t>“</w:t>
            </w:r>
            <w:r w:rsidRPr="008D6A63">
              <w:rPr>
                <w:rFonts w:cs="Arial"/>
              </w:rPr>
              <w:t>Registers</w:t>
            </w:r>
            <w:r>
              <w:rPr>
                <w:rFonts w:cs="Arial"/>
              </w:rPr>
              <w:t>”</w:t>
            </w:r>
            <w:r w:rsidRPr="008D6A63">
              <w:rPr>
                <w:rFonts w:cs="Arial"/>
              </w:rPr>
              <w:t xml:space="preserve"> </w:t>
            </w:r>
          </w:p>
        </w:tc>
        <w:tc>
          <w:tcPr>
            <w:tcW w:w="6803" w:type="dxa"/>
          </w:tcPr>
          <w:p w14:paraId="4D1BBD3E" w14:textId="4C641CBF" w:rsidR="00F67E9E" w:rsidRPr="008D6A63" w:rsidRDefault="00F67E9E" w:rsidP="007F74AA">
            <w:pPr>
              <w:pStyle w:val="StdBodyText"/>
              <w:rPr>
                <w:rFonts w:cs="Arial"/>
              </w:rPr>
            </w:pPr>
            <w:r w:rsidRPr="008D6A63">
              <w:rPr>
                <w:rFonts w:cs="Arial"/>
              </w:rPr>
              <w:t xml:space="preserve">has the meaning given in </w:t>
            </w:r>
            <w:r>
              <w:rPr>
                <w:rFonts w:cs="Arial"/>
              </w:rPr>
              <w:fldChar w:fldCharType="begin"/>
            </w:r>
            <w:r>
              <w:rPr>
                <w:rFonts w:cs="Arial"/>
              </w:rPr>
              <w:instrText xml:space="preserve"> REF Schedule25 \h </w:instrText>
            </w:r>
            <w:r>
              <w:rPr>
                <w:rFonts w:cs="Arial"/>
              </w:rPr>
            </w:r>
            <w:r>
              <w:rPr>
                <w:rFonts w:cs="Arial"/>
              </w:rPr>
              <w:fldChar w:fldCharType="separate"/>
            </w:r>
            <w:r w:rsidR="00302D39" w:rsidRPr="005D0525">
              <w:t>Schedule 25</w:t>
            </w:r>
            <w:r>
              <w:rPr>
                <w:rFonts w:cs="Arial"/>
              </w:rPr>
              <w:fldChar w:fldCharType="end"/>
            </w:r>
            <w:r>
              <w:rPr>
                <w:rFonts w:cs="Arial"/>
              </w:rPr>
              <w:t xml:space="preserve"> (</w:t>
            </w:r>
            <w:r w:rsidRPr="00A22335">
              <w:rPr>
                <w:rFonts w:cs="Arial"/>
                <w:i/>
                <w:iCs/>
              </w:rPr>
              <w:fldChar w:fldCharType="begin"/>
            </w:r>
            <w:r w:rsidRPr="00A22335">
              <w:rPr>
                <w:rFonts w:cs="Arial"/>
                <w:i/>
                <w:iCs/>
              </w:rPr>
              <w:instrText xml:space="preserve"> REF Schedule25Heading \h </w:instrText>
            </w:r>
            <w:r>
              <w:rPr>
                <w:rFonts w:cs="Arial"/>
                <w:i/>
                <w:iCs/>
              </w:rPr>
              <w:instrText xml:space="preserve"> \* MERGEFORMAT </w:instrText>
            </w:r>
            <w:r w:rsidRPr="00A22335">
              <w:rPr>
                <w:rFonts w:cs="Arial"/>
                <w:i/>
                <w:iCs/>
              </w:rPr>
            </w:r>
            <w:r w:rsidRPr="00A22335">
              <w:rPr>
                <w:rFonts w:cs="Arial"/>
                <w:i/>
                <w:iCs/>
              </w:rPr>
              <w:fldChar w:fldCharType="separate"/>
            </w:r>
            <w:r w:rsidR="00302D39" w:rsidRPr="00302D39">
              <w:rPr>
                <w:i/>
                <w:iCs/>
              </w:rPr>
              <w:t>Exit Management</w:t>
            </w:r>
            <w:r w:rsidRPr="00A22335">
              <w:rPr>
                <w:rFonts w:cs="Arial"/>
                <w:i/>
                <w:iCs/>
              </w:rPr>
              <w:fldChar w:fldCharType="end"/>
            </w:r>
            <w:r>
              <w:rPr>
                <w:rFonts w:cs="Arial"/>
              </w:rPr>
              <w:t>)</w:t>
            </w:r>
            <w:r w:rsidRPr="008D6A63">
              <w:rPr>
                <w:rFonts w:cs="Arial"/>
              </w:rPr>
              <w:t>;</w:t>
            </w:r>
          </w:p>
        </w:tc>
      </w:tr>
      <w:tr w:rsidR="00F67E9E" w:rsidRPr="00F55457" w14:paraId="492D5F23" w14:textId="77777777" w:rsidTr="007F74AA">
        <w:tc>
          <w:tcPr>
            <w:tcW w:w="2835" w:type="dxa"/>
          </w:tcPr>
          <w:p w14:paraId="4449D4E5" w14:textId="77777777" w:rsidR="00F67E9E" w:rsidRPr="008D6A63" w:rsidRDefault="00F67E9E" w:rsidP="007F74AA">
            <w:pPr>
              <w:pStyle w:val="StdBodyTextBold"/>
              <w:rPr>
                <w:rFonts w:cs="Arial"/>
              </w:rPr>
            </w:pPr>
            <w:r>
              <w:rPr>
                <w:rFonts w:cs="Arial"/>
              </w:rPr>
              <w:t>“</w:t>
            </w:r>
            <w:r w:rsidRPr="008D6A63">
              <w:rPr>
                <w:rFonts w:cs="Arial"/>
              </w:rPr>
              <w:t>Reimbursable Expenses</w:t>
            </w:r>
            <w:r>
              <w:rPr>
                <w:rFonts w:cs="Arial"/>
              </w:rPr>
              <w:t>”</w:t>
            </w:r>
          </w:p>
        </w:tc>
        <w:tc>
          <w:tcPr>
            <w:tcW w:w="6803" w:type="dxa"/>
          </w:tcPr>
          <w:p w14:paraId="5F793D31" w14:textId="77777777" w:rsidR="00F67E9E" w:rsidRPr="008D6A63" w:rsidRDefault="00F67E9E" w:rsidP="007F74AA">
            <w:pPr>
              <w:pStyle w:val="StdBodyText"/>
              <w:rPr>
                <w:rFonts w:cs="Arial"/>
              </w:rPr>
            </w:pPr>
            <w:r w:rsidRPr="008D6A63">
              <w:rPr>
                <w:rFonts w:cs="Arial"/>
              </w:rPr>
              <w:t>has the meaning given in ;</w:t>
            </w:r>
          </w:p>
        </w:tc>
      </w:tr>
      <w:tr w:rsidR="00F67E9E" w:rsidRPr="00F55457" w14:paraId="5DEEED0B" w14:textId="77777777" w:rsidTr="007F74AA">
        <w:tc>
          <w:tcPr>
            <w:tcW w:w="2835" w:type="dxa"/>
          </w:tcPr>
          <w:p w14:paraId="6CA78F7D" w14:textId="77777777" w:rsidR="00F67E9E" w:rsidRPr="008D6A63" w:rsidRDefault="00F67E9E" w:rsidP="007F74AA">
            <w:pPr>
              <w:pStyle w:val="StdBodyTextBold"/>
              <w:rPr>
                <w:rFonts w:cs="Arial"/>
              </w:rPr>
            </w:pPr>
            <w:r>
              <w:rPr>
                <w:rFonts w:cs="Arial"/>
              </w:rPr>
              <w:t>“</w:t>
            </w:r>
            <w:r w:rsidRPr="008D6A63">
              <w:rPr>
                <w:rFonts w:cs="Arial"/>
              </w:rPr>
              <w:t>Relevant Author</w:t>
            </w:r>
            <w:bookmarkStart w:id="201" w:name="_9kR3WTr5DA49BZKlmxun7"/>
            <w:bookmarkEnd w:id="201"/>
            <w:r w:rsidRPr="008D6A63">
              <w:rPr>
                <w:rFonts w:cs="Arial"/>
              </w:rPr>
              <w:t>ity</w:t>
            </w:r>
            <w:r>
              <w:rPr>
                <w:rFonts w:cs="Arial"/>
              </w:rPr>
              <w:t>”</w:t>
            </w:r>
            <w:r w:rsidRPr="008D6A63">
              <w:rPr>
                <w:rFonts w:cs="Arial"/>
              </w:rPr>
              <w:t xml:space="preserve"> or </w:t>
            </w:r>
            <w:r>
              <w:rPr>
                <w:rFonts w:cs="Arial"/>
              </w:rPr>
              <w:t>“</w:t>
            </w:r>
            <w:r w:rsidRPr="008D6A63">
              <w:rPr>
                <w:rFonts w:cs="Arial"/>
              </w:rPr>
              <w:t>Relevant Authorities</w:t>
            </w:r>
            <w:r>
              <w:rPr>
                <w:rFonts w:cs="Arial"/>
              </w:rPr>
              <w:t>”</w:t>
            </w:r>
          </w:p>
        </w:tc>
        <w:tc>
          <w:tcPr>
            <w:tcW w:w="6803" w:type="dxa"/>
          </w:tcPr>
          <w:p w14:paraId="73389D14" w14:textId="77777777" w:rsidR="00F67E9E" w:rsidRPr="008D6A63" w:rsidRDefault="00F67E9E" w:rsidP="007F74AA">
            <w:pPr>
              <w:pStyle w:val="StdBodyText"/>
              <w:rPr>
                <w:rFonts w:cs="Arial"/>
              </w:rPr>
            </w:pPr>
            <w:r w:rsidRPr="008D6A63">
              <w:rPr>
                <w:rFonts w:cs="Arial"/>
              </w:rPr>
              <w:t xml:space="preserve">means the Authority and the Cabinet Office Markets and Suppliers </w:t>
            </w:r>
            <w:bookmarkStart w:id="202" w:name="_9kR3WTr5DA49CcMaj"/>
            <w:r w:rsidRPr="008D6A63">
              <w:rPr>
                <w:rFonts w:cs="Arial"/>
              </w:rPr>
              <w:t>Team</w:t>
            </w:r>
            <w:bookmarkEnd w:id="202"/>
            <w:r w:rsidRPr="008D6A63">
              <w:rPr>
                <w:rFonts w:cs="Arial"/>
              </w:rPr>
              <w:t xml:space="preserve"> or, where the Supplier is a Strategic Supplier, the Cabinet Office Markets and Suppliers Team;</w:t>
            </w:r>
          </w:p>
        </w:tc>
      </w:tr>
      <w:tr w:rsidR="00F67E9E" w:rsidRPr="00F55457" w14:paraId="3C89E59F" w14:textId="77777777" w:rsidTr="007F74AA">
        <w:tc>
          <w:tcPr>
            <w:tcW w:w="2835" w:type="dxa"/>
          </w:tcPr>
          <w:p w14:paraId="3208A4AD" w14:textId="77777777" w:rsidR="00F67E9E" w:rsidRPr="008D6A63" w:rsidRDefault="00F67E9E" w:rsidP="007F74AA">
            <w:pPr>
              <w:pStyle w:val="StdBodyTextBold"/>
              <w:rPr>
                <w:rFonts w:cs="Arial"/>
              </w:rPr>
            </w:pPr>
            <w:r>
              <w:rPr>
                <w:rFonts w:cs="Arial"/>
              </w:rPr>
              <w:t>“</w:t>
            </w:r>
            <w:r w:rsidRPr="008D6A63">
              <w:rPr>
                <w:rFonts w:cs="Arial"/>
              </w:rPr>
              <w:t>Relevant IPRs</w:t>
            </w:r>
            <w:r>
              <w:rPr>
                <w:rFonts w:cs="Arial"/>
              </w:rPr>
              <w:t>”</w:t>
            </w:r>
          </w:p>
        </w:tc>
        <w:tc>
          <w:tcPr>
            <w:tcW w:w="6803" w:type="dxa"/>
          </w:tcPr>
          <w:p w14:paraId="10A246FC" w14:textId="77777777" w:rsidR="00F67E9E" w:rsidRPr="008D6A63" w:rsidRDefault="00F67E9E" w:rsidP="007F74AA">
            <w:pPr>
              <w:pStyle w:val="StdBodyText"/>
              <w:rPr>
                <w:rFonts w:cs="Arial"/>
              </w:rPr>
            </w:pPr>
            <w:r w:rsidRPr="008D6A63">
              <w:rPr>
                <w:rFonts w:cs="Arial"/>
              </w:rPr>
              <w:t>IPRs used to provide the Services or as otherwise provided and/or licensed by the Supplier (or to which the Supplier has provided access) to the Authority or a third party in the fulfilment of the Supplier</w:t>
            </w:r>
            <w:r>
              <w:rPr>
                <w:rFonts w:cs="Arial"/>
              </w:rPr>
              <w:t>’</w:t>
            </w:r>
            <w:r w:rsidRPr="008D6A63">
              <w:rPr>
                <w:rFonts w:cs="Arial"/>
              </w:rPr>
              <w:t>s obligations under this Contract including IPRs in the Specially Written Software, the Supplier Non-COTS Software, the Supplier Non-COTS Background IPRs, the Third Party Non-COTS Software and the Third Party Non-COTS IPRs but excluding any IPRs in the Authority Software, the Authority Background IPRs, the Supplier COTS Software, the Supplier COTS Background IPR</w:t>
            </w:r>
            <w:r>
              <w:rPr>
                <w:rFonts w:cs="Arial"/>
              </w:rPr>
              <w:t>s</w:t>
            </w:r>
            <w:r w:rsidRPr="008D6A63">
              <w:rPr>
                <w:rFonts w:cs="Arial"/>
              </w:rPr>
              <w:t>, the Third Party COTS Software and/or the Third Party COTS IPRs;</w:t>
            </w:r>
          </w:p>
        </w:tc>
      </w:tr>
      <w:tr w:rsidR="00F67E9E" w:rsidRPr="00F55457" w14:paraId="661FE656" w14:textId="77777777" w:rsidTr="007F74AA">
        <w:tc>
          <w:tcPr>
            <w:tcW w:w="2835" w:type="dxa"/>
          </w:tcPr>
          <w:p w14:paraId="113AE7D2" w14:textId="77777777" w:rsidR="00F67E9E" w:rsidRPr="008D6A63" w:rsidRDefault="00F67E9E" w:rsidP="007F74AA">
            <w:pPr>
              <w:pStyle w:val="StdBodyTextBold"/>
              <w:rPr>
                <w:rFonts w:cs="Arial"/>
              </w:rPr>
            </w:pPr>
            <w:r>
              <w:rPr>
                <w:rFonts w:cs="Arial"/>
              </w:rPr>
              <w:t>“</w:t>
            </w:r>
            <w:r w:rsidRPr="008D6A63">
              <w:rPr>
                <w:rFonts w:cs="Arial"/>
              </w:rPr>
              <w:t>Relevant Preceding Services</w:t>
            </w:r>
            <w:r>
              <w:rPr>
                <w:rFonts w:cs="Arial"/>
              </w:rPr>
              <w:t>”</w:t>
            </w:r>
          </w:p>
        </w:tc>
        <w:tc>
          <w:tcPr>
            <w:tcW w:w="6803" w:type="dxa"/>
          </w:tcPr>
          <w:p w14:paraId="1BDC1BB6" w14:textId="77777777" w:rsidR="00F67E9E" w:rsidRPr="008D6A63" w:rsidRDefault="00F67E9E" w:rsidP="007F74AA">
            <w:pPr>
              <w:pStyle w:val="StdBodyText"/>
              <w:rPr>
                <w:rFonts w:cs="Arial"/>
              </w:rPr>
            </w:pPr>
            <w:r w:rsidRPr="008D6A63">
              <w:rPr>
                <w:rFonts w:cs="Arial"/>
              </w:rPr>
              <w:t xml:space="preserve">has the meaning given in </w:t>
            </w:r>
            <w:bookmarkStart w:id="203" w:name="_9kMIH5YVtCIA9JNKHow3mxy"/>
            <w:bookmarkStart w:id="204" w:name="_9kMIH5YVtCJB9JOLHow3mxy"/>
            <w:r w:rsidRPr="008D6A63">
              <w:rPr>
                <w:rFonts w:cs="Arial"/>
              </w:rPr>
              <w:t xml:space="preserve">Clause </w:t>
            </w:r>
            <w:bookmarkEnd w:id="203"/>
            <w:bookmarkEnd w:id="204"/>
            <w:r w:rsidRPr="008D6A63">
              <w:rPr>
                <w:rFonts w:cs="Arial"/>
              </w:rPr>
              <w:t>5.2(b) (</w:t>
            </w:r>
            <w:r w:rsidRPr="00214A89">
              <w:rPr>
                <w:rFonts w:cs="Arial"/>
                <w:i/>
                <w:iCs/>
              </w:rPr>
              <w:t>Standard of Services</w:t>
            </w:r>
            <w:r w:rsidRPr="008D6A63">
              <w:rPr>
                <w:rFonts w:cs="Arial"/>
              </w:rPr>
              <w:t>);</w:t>
            </w:r>
          </w:p>
        </w:tc>
      </w:tr>
      <w:tr w:rsidR="00F67E9E" w:rsidRPr="00F55457" w14:paraId="3C234738" w14:textId="77777777" w:rsidTr="007F74AA">
        <w:tc>
          <w:tcPr>
            <w:tcW w:w="2835" w:type="dxa"/>
          </w:tcPr>
          <w:p w14:paraId="70D46D8C" w14:textId="77777777" w:rsidR="00F67E9E" w:rsidRPr="008D6A63" w:rsidRDefault="00F67E9E" w:rsidP="007F74AA">
            <w:pPr>
              <w:pStyle w:val="StdBodyTextBold"/>
              <w:rPr>
                <w:rFonts w:cs="Arial"/>
              </w:rPr>
            </w:pPr>
            <w:r>
              <w:rPr>
                <w:rFonts w:cs="Arial"/>
              </w:rPr>
              <w:t>“</w:t>
            </w:r>
            <w:r w:rsidRPr="008D6A63">
              <w:rPr>
                <w:rFonts w:cs="Arial"/>
              </w:rPr>
              <w:t>Relevant Requirements</w:t>
            </w:r>
            <w:r>
              <w:rPr>
                <w:rFonts w:cs="Arial"/>
              </w:rPr>
              <w:t>”</w:t>
            </w:r>
          </w:p>
        </w:tc>
        <w:tc>
          <w:tcPr>
            <w:tcW w:w="6803" w:type="dxa"/>
          </w:tcPr>
          <w:p w14:paraId="207B7AD0" w14:textId="77777777" w:rsidR="00F67E9E" w:rsidRPr="008D6A63" w:rsidRDefault="00F67E9E" w:rsidP="007F74AA">
            <w:pPr>
              <w:pStyle w:val="StdBodyText"/>
              <w:rPr>
                <w:rFonts w:cs="Arial"/>
              </w:rPr>
            </w:pPr>
            <w:r w:rsidRPr="008D6A63">
              <w:rPr>
                <w:rFonts w:cs="Arial"/>
              </w:rPr>
              <w:t xml:space="preserve">all applicable Law relating to bribery, corruption and fraud, including the </w:t>
            </w:r>
            <w:bookmarkStart w:id="205" w:name="_9kMIH5YVt499FOJNJxifwHbA0RMMN"/>
            <w:r w:rsidRPr="008D6A63">
              <w:rPr>
                <w:rFonts w:cs="Arial"/>
              </w:rPr>
              <w:t>Bribery Act 2010</w:t>
            </w:r>
            <w:bookmarkEnd w:id="205"/>
            <w:r w:rsidRPr="008D6A63">
              <w:rPr>
                <w:rFonts w:cs="Arial"/>
              </w:rPr>
              <w:t xml:space="preserve"> and any guidance issued by the Secretary of State for Justice pursuant to </w:t>
            </w:r>
            <w:bookmarkStart w:id="206" w:name="_9kR3WTr277DFG8rcszv1NCw25rMU8tq7SmLBcXX"/>
            <w:r w:rsidRPr="008D6A63">
              <w:rPr>
                <w:rFonts w:cs="Arial"/>
              </w:rPr>
              <w:t>section 9 of the Bribery Act 2010</w:t>
            </w:r>
            <w:bookmarkEnd w:id="206"/>
            <w:r w:rsidRPr="008D6A63">
              <w:rPr>
                <w:rFonts w:cs="Arial"/>
              </w:rPr>
              <w:t>;</w:t>
            </w:r>
          </w:p>
        </w:tc>
      </w:tr>
      <w:tr w:rsidR="00F67E9E" w:rsidRPr="00F55457" w14:paraId="34A7BCD1" w14:textId="77777777" w:rsidTr="007F74AA">
        <w:tc>
          <w:tcPr>
            <w:tcW w:w="2835" w:type="dxa"/>
          </w:tcPr>
          <w:p w14:paraId="306FF807" w14:textId="77777777" w:rsidR="00F67E9E" w:rsidRPr="008D6A63" w:rsidRDefault="00F67E9E" w:rsidP="007F74AA">
            <w:pPr>
              <w:pStyle w:val="StdBodyTextBold"/>
              <w:rPr>
                <w:rFonts w:cs="Arial"/>
              </w:rPr>
            </w:pPr>
            <w:r>
              <w:rPr>
                <w:rFonts w:cs="Arial"/>
              </w:rPr>
              <w:t>“</w:t>
            </w:r>
            <w:r w:rsidRPr="008D6A63">
              <w:rPr>
                <w:rFonts w:cs="Arial"/>
              </w:rPr>
              <w:t>Relevant Tax Authority</w:t>
            </w:r>
            <w:r>
              <w:rPr>
                <w:rFonts w:cs="Arial"/>
              </w:rPr>
              <w:t>”</w:t>
            </w:r>
          </w:p>
        </w:tc>
        <w:tc>
          <w:tcPr>
            <w:tcW w:w="6803" w:type="dxa"/>
          </w:tcPr>
          <w:p w14:paraId="528ADF5C" w14:textId="77777777" w:rsidR="00F67E9E" w:rsidRPr="008D6A63" w:rsidRDefault="00F67E9E" w:rsidP="007F74AA">
            <w:pPr>
              <w:pStyle w:val="StdBodyText"/>
              <w:rPr>
                <w:rFonts w:cs="Arial"/>
              </w:rPr>
            </w:pPr>
            <w:r w:rsidRPr="008D6A63">
              <w:rPr>
                <w:rFonts w:cs="Arial"/>
              </w:rPr>
              <w:t>HMRC, or, if applicable, a tax authority in the jurisdiction in which the Supplier is established;</w:t>
            </w:r>
          </w:p>
        </w:tc>
      </w:tr>
      <w:tr w:rsidR="00F67E9E" w:rsidRPr="00F55457" w14:paraId="654B1FF1" w14:textId="77777777" w:rsidTr="007F74AA">
        <w:tc>
          <w:tcPr>
            <w:tcW w:w="2835" w:type="dxa"/>
          </w:tcPr>
          <w:p w14:paraId="22036316" w14:textId="77777777" w:rsidR="00F67E9E" w:rsidRPr="008D6A63" w:rsidRDefault="00F67E9E" w:rsidP="007F74AA">
            <w:pPr>
              <w:pStyle w:val="StdBodyTextBold"/>
              <w:rPr>
                <w:rFonts w:cs="Arial"/>
              </w:rPr>
            </w:pPr>
            <w:r>
              <w:rPr>
                <w:rFonts w:cs="Arial"/>
              </w:rPr>
              <w:t>“</w:t>
            </w:r>
            <w:r w:rsidRPr="008D6A63">
              <w:rPr>
                <w:rFonts w:cs="Arial"/>
              </w:rPr>
              <w:t>Relevant Transfer</w:t>
            </w:r>
            <w:r>
              <w:rPr>
                <w:rFonts w:cs="Arial"/>
              </w:rPr>
              <w:t>”</w:t>
            </w:r>
          </w:p>
        </w:tc>
        <w:tc>
          <w:tcPr>
            <w:tcW w:w="6803" w:type="dxa"/>
          </w:tcPr>
          <w:p w14:paraId="76FD0F91" w14:textId="77777777" w:rsidR="00F67E9E" w:rsidRPr="008D6A63" w:rsidRDefault="00F67E9E" w:rsidP="007F74AA">
            <w:pPr>
              <w:pStyle w:val="StdBodyText"/>
              <w:rPr>
                <w:rFonts w:cs="Arial"/>
              </w:rPr>
            </w:pPr>
            <w:r w:rsidRPr="008D6A63">
              <w:rPr>
                <w:rFonts w:cs="Arial"/>
              </w:rPr>
              <w:t>a transfer of employment to which the Employment Regulations applies;</w:t>
            </w:r>
          </w:p>
        </w:tc>
      </w:tr>
      <w:tr w:rsidR="00F67E9E" w:rsidRPr="00F55457" w14:paraId="71C40D2B" w14:textId="77777777" w:rsidTr="007F74AA">
        <w:tc>
          <w:tcPr>
            <w:tcW w:w="2835" w:type="dxa"/>
          </w:tcPr>
          <w:p w14:paraId="0E153A8B" w14:textId="77777777" w:rsidR="00F67E9E" w:rsidRPr="008D6A63" w:rsidRDefault="00F67E9E" w:rsidP="007F74AA">
            <w:pPr>
              <w:pStyle w:val="StdBodyTextBold"/>
              <w:rPr>
                <w:rFonts w:cs="Arial"/>
              </w:rPr>
            </w:pPr>
            <w:r>
              <w:rPr>
                <w:rFonts w:cs="Arial"/>
              </w:rPr>
              <w:t>“</w:t>
            </w:r>
            <w:bookmarkStart w:id="207" w:name="_9kMJI5YVt4CCFKKiMnsmkUYB6qn"/>
            <w:r w:rsidRPr="008D6A63">
              <w:rPr>
                <w:rFonts w:cs="Arial"/>
              </w:rPr>
              <w:t>Relief Notice</w:t>
            </w:r>
            <w:bookmarkEnd w:id="207"/>
            <w:r>
              <w:rPr>
                <w:rFonts w:cs="Arial"/>
              </w:rPr>
              <w:t>”</w:t>
            </w:r>
          </w:p>
        </w:tc>
        <w:tc>
          <w:tcPr>
            <w:tcW w:w="6803" w:type="dxa"/>
          </w:tcPr>
          <w:p w14:paraId="5F739FBD" w14:textId="77777777" w:rsidR="00F67E9E" w:rsidRPr="008D6A63" w:rsidRDefault="00F67E9E" w:rsidP="007F74AA">
            <w:pPr>
              <w:pStyle w:val="StdBodyText"/>
              <w:rPr>
                <w:rFonts w:cs="Arial"/>
              </w:rPr>
            </w:pPr>
            <w:r w:rsidRPr="008D6A63">
              <w:rPr>
                <w:rFonts w:cs="Arial"/>
              </w:rPr>
              <w:t xml:space="preserve">has the meaning given in </w:t>
            </w:r>
            <w:bookmarkStart w:id="208" w:name="_9kMHG5YVtCJBBDDGEEWP27xl0GEywvt6z1QSAGJ"/>
            <w:bookmarkStart w:id="209" w:name="_9kMHG5YVtCIABDEHEEWP27xl0GEywvt6z1QSAGJ"/>
            <w:r w:rsidRPr="008D6A63">
              <w:rPr>
                <w:rFonts w:cs="Arial"/>
              </w:rPr>
              <w:t xml:space="preserve">Clause </w:t>
            </w:r>
            <w:bookmarkEnd w:id="208"/>
            <w:bookmarkEnd w:id="209"/>
            <w:r w:rsidRPr="008D6A63">
              <w:rPr>
                <w:rFonts w:cs="Arial"/>
              </w:rPr>
              <w:t>29.2 (</w:t>
            </w:r>
            <w:r w:rsidRPr="00214A89">
              <w:rPr>
                <w:rFonts w:cs="Arial"/>
                <w:i/>
                <w:iCs/>
              </w:rPr>
              <w:t>Authority Cause</w:t>
            </w:r>
            <w:r w:rsidRPr="008D6A63">
              <w:rPr>
                <w:rFonts w:cs="Arial"/>
              </w:rPr>
              <w:t>);</w:t>
            </w:r>
          </w:p>
        </w:tc>
      </w:tr>
      <w:tr w:rsidR="00F67E9E" w:rsidRPr="00F55457" w14:paraId="22AEB924" w14:textId="77777777" w:rsidTr="007F74AA">
        <w:tc>
          <w:tcPr>
            <w:tcW w:w="2835" w:type="dxa"/>
          </w:tcPr>
          <w:p w14:paraId="093A1FF6" w14:textId="77777777" w:rsidR="00F67E9E" w:rsidRPr="008D6A63" w:rsidRDefault="00F67E9E" w:rsidP="007F74AA">
            <w:pPr>
              <w:pStyle w:val="StdBodyTextBold"/>
              <w:rPr>
                <w:rFonts w:cs="Arial"/>
              </w:rPr>
            </w:pPr>
            <w:r>
              <w:rPr>
                <w:rFonts w:cs="Arial"/>
              </w:rPr>
              <w:t>“</w:t>
            </w:r>
            <w:r w:rsidRPr="008D6A63">
              <w:rPr>
                <w:rFonts w:cs="Arial"/>
              </w:rPr>
              <w:t>Remedial Adviser</w:t>
            </w:r>
            <w:r>
              <w:rPr>
                <w:rFonts w:cs="Arial"/>
              </w:rPr>
              <w:t>”</w:t>
            </w:r>
          </w:p>
        </w:tc>
        <w:tc>
          <w:tcPr>
            <w:tcW w:w="6803" w:type="dxa"/>
          </w:tcPr>
          <w:p w14:paraId="15E8E53B" w14:textId="77777777" w:rsidR="00F67E9E" w:rsidRPr="008D6A63" w:rsidRDefault="00F67E9E" w:rsidP="007F74AA">
            <w:pPr>
              <w:pStyle w:val="StdBodyText"/>
              <w:rPr>
                <w:rFonts w:cs="Arial"/>
              </w:rPr>
            </w:pPr>
            <w:r w:rsidRPr="008D6A63">
              <w:rPr>
                <w:rFonts w:cs="Arial"/>
              </w:rPr>
              <w:t xml:space="preserve">the person appointed pursuant to </w:t>
            </w:r>
            <w:bookmarkStart w:id="210" w:name="_9kMHG5YVtCIABJHDLMWHz2oITJ73E9CTH2IFDNK"/>
            <w:r w:rsidRPr="008D6A63">
              <w:rPr>
                <w:rFonts w:cs="Arial"/>
              </w:rPr>
              <w:t xml:space="preserve">Clause </w:t>
            </w:r>
            <w:bookmarkEnd w:id="210"/>
            <w:r w:rsidRPr="008D6A63">
              <w:rPr>
                <w:rFonts w:cs="Arial"/>
              </w:rPr>
              <w:t>27.2 (</w:t>
            </w:r>
            <w:r w:rsidRPr="00214A89">
              <w:rPr>
                <w:rFonts w:cs="Arial"/>
                <w:i/>
                <w:iCs/>
              </w:rPr>
              <w:t>Remedial Adviser</w:t>
            </w:r>
            <w:r w:rsidRPr="008D6A63">
              <w:rPr>
                <w:rFonts w:cs="Arial"/>
              </w:rPr>
              <w:t>);</w:t>
            </w:r>
          </w:p>
        </w:tc>
      </w:tr>
      <w:tr w:rsidR="00F67E9E" w:rsidRPr="00F55457" w14:paraId="596857A6" w14:textId="77777777" w:rsidTr="007F74AA">
        <w:tc>
          <w:tcPr>
            <w:tcW w:w="2835" w:type="dxa"/>
          </w:tcPr>
          <w:p w14:paraId="2401501A" w14:textId="77777777" w:rsidR="00F67E9E" w:rsidRPr="008D6A63" w:rsidRDefault="00F67E9E" w:rsidP="007F74AA">
            <w:pPr>
              <w:pStyle w:val="StdBodyTextBold"/>
              <w:rPr>
                <w:rFonts w:cs="Arial"/>
              </w:rPr>
            </w:pPr>
            <w:r>
              <w:rPr>
                <w:rFonts w:cs="Arial"/>
              </w:rPr>
              <w:t>“</w:t>
            </w:r>
            <w:r w:rsidRPr="008D6A63">
              <w:rPr>
                <w:rFonts w:cs="Arial"/>
              </w:rPr>
              <w:t>Remedial Adviser Failure</w:t>
            </w:r>
            <w:r>
              <w:rPr>
                <w:rFonts w:cs="Arial"/>
              </w:rPr>
              <w:t>”</w:t>
            </w:r>
          </w:p>
        </w:tc>
        <w:tc>
          <w:tcPr>
            <w:tcW w:w="6803" w:type="dxa"/>
          </w:tcPr>
          <w:p w14:paraId="616ACDDC" w14:textId="77777777" w:rsidR="00F67E9E" w:rsidRPr="008D6A63" w:rsidRDefault="00F67E9E" w:rsidP="007F74AA">
            <w:pPr>
              <w:pStyle w:val="StdBodyText"/>
              <w:rPr>
                <w:rFonts w:cs="Arial"/>
              </w:rPr>
            </w:pPr>
            <w:r w:rsidRPr="008D6A63">
              <w:rPr>
                <w:rFonts w:cs="Arial"/>
              </w:rPr>
              <w:t xml:space="preserve">has the meaning given in </w:t>
            </w:r>
            <w:bookmarkStart w:id="211" w:name="_9kMHG5YVtCJBBIFCLQaH"/>
            <w:bookmarkStart w:id="212" w:name="_9kMHG5YVtCIABIGDLQaH"/>
            <w:r w:rsidRPr="008D6A63">
              <w:rPr>
                <w:rFonts w:cs="Arial"/>
              </w:rPr>
              <w:t xml:space="preserve">Clause </w:t>
            </w:r>
            <w:bookmarkEnd w:id="211"/>
            <w:bookmarkEnd w:id="212"/>
            <w:r w:rsidRPr="008D6A63">
              <w:rPr>
                <w:rFonts w:cs="Arial"/>
              </w:rPr>
              <w:t>27.6 (</w:t>
            </w:r>
            <w:r w:rsidRPr="00243D18">
              <w:rPr>
                <w:rFonts w:cs="Arial"/>
                <w:i/>
                <w:iCs/>
              </w:rPr>
              <w:t>Remedial Adviser</w:t>
            </w:r>
            <w:r w:rsidRPr="008D6A63">
              <w:rPr>
                <w:rFonts w:cs="Arial"/>
              </w:rPr>
              <w:t>);</w:t>
            </w:r>
          </w:p>
        </w:tc>
      </w:tr>
      <w:tr w:rsidR="00F67E9E" w:rsidRPr="00F55457" w14:paraId="099DEC4A" w14:textId="77777777" w:rsidTr="007F74AA">
        <w:tc>
          <w:tcPr>
            <w:tcW w:w="2835" w:type="dxa"/>
          </w:tcPr>
          <w:p w14:paraId="12F75645" w14:textId="77777777" w:rsidR="00F67E9E" w:rsidRPr="008D6A63" w:rsidRDefault="00F67E9E" w:rsidP="007F74AA">
            <w:pPr>
              <w:pStyle w:val="StdBodyTextBold"/>
              <w:rPr>
                <w:rFonts w:cs="Arial"/>
              </w:rPr>
            </w:pPr>
            <w:r>
              <w:rPr>
                <w:rFonts w:cs="Arial"/>
              </w:rPr>
              <w:t>“</w:t>
            </w:r>
            <w:r w:rsidRPr="008D6A63">
              <w:rPr>
                <w:rFonts w:cs="Arial"/>
              </w:rPr>
              <w:t>Replacement Services</w:t>
            </w:r>
            <w:r>
              <w:rPr>
                <w:rFonts w:cs="Arial"/>
              </w:rPr>
              <w:t>”</w:t>
            </w:r>
          </w:p>
        </w:tc>
        <w:tc>
          <w:tcPr>
            <w:tcW w:w="6803" w:type="dxa"/>
          </w:tcPr>
          <w:p w14:paraId="35B55C2D" w14:textId="77777777" w:rsidR="00F67E9E" w:rsidRPr="008D6A63" w:rsidRDefault="00F67E9E" w:rsidP="007F74AA">
            <w:pPr>
              <w:pStyle w:val="StdBodyText"/>
              <w:rPr>
                <w:rFonts w:cs="Arial"/>
              </w:rPr>
            </w:pPr>
            <w:r w:rsidRPr="008D6A63">
              <w:rPr>
                <w:rFonts w:cs="Arial"/>
              </w:rPr>
              <w:t>any services which are the same as or substantially similar to any of the Services and which the Authority receives in substitution for any of the Services following the expiry or termination or Partial Termination of this Contract, whether those services are provided by the Authority internally and/or by any third party;</w:t>
            </w:r>
          </w:p>
        </w:tc>
      </w:tr>
      <w:tr w:rsidR="00F67E9E" w:rsidRPr="00F55457" w14:paraId="1100DFDC" w14:textId="77777777" w:rsidTr="007F74AA">
        <w:tc>
          <w:tcPr>
            <w:tcW w:w="2835" w:type="dxa"/>
          </w:tcPr>
          <w:p w14:paraId="0A7E805E" w14:textId="77777777" w:rsidR="00F67E9E" w:rsidRPr="008D6A63" w:rsidRDefault="00F67E9E" w:rsidP="007F74AA">
            <w:pPr>
              <w:pStyle w:val="StdBodyTextBold"/>
              <w:rPr>
                <w:rFonts w:cs="Arial"/>
              </w:rPr>
            </w:pPr>
            <w:r>
              <w:rPr>
                <w:rFonts w:cs="Arial"/>
              </w:rPr>
              <w:t>“</w:t>
            </w:r>
            <w:r w:rsidRPr="008D6A63">
              <w:rPr>
                <w:rFonts w:cs="Arial"/>
              </w:rPr>
              <w:t>Replacement Supplier</w:t>
            </w:r>
            <w:r>
              <w:rPr>
                <w:rFonts w:cs="Arial"/>
              </w:rPr>
              <w:t>”</w:t>
            </w:r>
          </w:p>
        </w:tc>
        <w:tc>
          <w:tcPr>
            <w:tcW w:w="6803" w:type="dxa"/>
          </w:tcPr>
          <w:p w14:paraId="320F5371" w14:textId="77777777" w:rsidR="00F67E9E" w:rsidRPr="008D6A63" w:rsidRDefault="00F67E9E" w:rsidP="007F74AA">
            <w:pPr>
              <w:pStyle w:val="StdBodyText"/>
              <w:rPr>
                <w:rFonts w:cs="Arial"/>
              </w:rPr>
            </w:pPr>
            <w:r w:rsidRPr="008D6A63">
              <w:rPr>
                <w:rFonts w:cs="Arial"/>
              </w:rPr>
              <w:t>any third party service provider of Replacement Services appointed by the Authority from time to time (or where the Authority is providing replacement Services for its own account, the Authority);</w:t>
            </w:r>
          </w:p>
        </w:tc>
      </w:tr>
      <w:tr w:rsidR="00F67E9E" w:rsidRPr="00F55457" w14:paraId="0DBCFFAA" w14:textId="77777777" w:rsidTr="007F74AA">
        <w:tc>
          <w:tcPr>
            <w:tcW w:w="2835" w:type="dxa"/>
          </w:tcPr>
          <w:p w14:paraId="6998AB2C" w14:textId="77777777" w:rsidR="00F67E9E" w:rsidRPr="008D6A63" w:rsidRDefault="00F67E9E" w:rsidP="007F74AA">
            <w:pPr>
              <w:pStyle w:val="StdBodyTextBold"/>
              <w:rPr>
                <w:rFonts w:cs="Arial"/>
              </w:rPr>
            </w:pPr>
            <w:r>
              <w:rPr>
                <w:rFonts w:cs="Arial"/>
              </w:rPr>
              <w:t>“</w:t>
            </w:r>
            <w:r w:rsidRPr="008D6A63">
              <w:rPr>
                <w:rFonts w:cs="Arial"/>
              </w:rPr>
              <w:t>Request For Information</w:t>
            </w:r>
            <w:r>
              <w:rPr>
                <w:rFonts w:cs="Arial"/>
              </w:rPr>
              <w:t>”</w:t>
            </w:r>
          </w:p>
        </w:tc>
        <w:tc>
          <w:tcPr>
            <w:tcW w:w="6803" w:type="dxa"/>
          </w:tcPr>
          <w:p w14:paraId="20EBB64A" w14:textId="77777777" w:rsidR="00F67E9E" w:rsidRPr="008D6A63" w:rsidRDefault="00F67E9E" w:rsidP="007F74AA">
            <w:pPr>
              <w:pStyle w:val="StdBodyText"/>
              <w:rPr>
                <w:rFonts w:cs="Arial"/>
              </w:rPr>
            </w:pPr>
            <w:r w:rsidRPr="008D6A63">
              <w:rPr>
                <w:rFonts w:cs="Arial"/>
              </w:rPr>
              <w:t>a Request for Information under the FOIA or the EIRs;</w:t>
            </w:r>
          </w:p>
        </w:tc>
      </w:tr>
      <w:tr w:rsidR="00F67E9E" w:rsidRPr="00F55457" w14:paraId="05EF1476" w14:textId="77777777" w:rsidTr="007F74AA">
        <w:tc>
          <w:tcPr>
            <w:tcW w:w="2835" w:type="dxa"/>
          </w:tcPr>
          <w:p w14:paraId="26A8DAE0" w14:textId="77777777" w:rsidR="00F67E9E" w:rsidRPr="008D6A63" w:rsidRDefault="00F67E9E" w:rsidP="007F74AA">
            <w:pPr>
              <w:pStyle w:val="StdBodyTextBold"/>
              <w:rPr>
                <w:rFonts w:cs="Arial"/>
              </w:rPr>
            </w:pPr>
            <w:r>
              <w:rPr>
                <w:rFonts w:cs="Arial"/>
              </w:rPr>
              <w:t>“</w:t>
            </w:r>
            <w:r w:rsidRPr="008D6A63">
              <w:rPr>
                <w:rFonts w:cs="Arial"/>
              </w:rPr>
              <w:t>Required Action</w:t>
            </w:r>
            <w:r>
              <w:rPr>
                <w:rFonts w:cs="Arial"/>
              </w:rPr>
              <w:t>”</w:t>
            </w:r>
          </w:p>
        </w:tc>
        <w:tc>
          <w:tcPr>
            <w:tcW w:w="6803" w:type="dxa"/>
          </w:tcPr>
          <w:p w14:paraId="36E18D1B" w14:textId="77777777" w:rsidR="00F67E9E" w:rsidRPr="008D6A63" w:rsidRDefault="00F67E9E" w:rsidP="007F74AA">
            <w:pPr>
              <w:pStyle w:val="StdBodyText"/>
              <w:rPr>
                <w:rFonts w:cs="Arial"/>
              </w:rPr>
            </w:pPr>
            <w:r w:rsidRPr="008D6A63">
              <w:rPr>
                <w:rFonts w:cs="Arial"/>
              </w:rPr>
              <w:t xml:space="preserve">has the meaning given in </w:t>
            </w:r>
            <w:bookmarkStart w:id="213" w:name="_9kMHG5YVtCJBBGDDDCnt1nhg0739FAwQbRFBMHK"/>
            <w:bookmarkStart w:id="214" w:name="_9kMHG5YVtCIABGEEDCnt1nhg0739FAwQbRFBMHK"/>
            <w:r w:rsidRPr="008D6A63">
              <w:rPr>
                <w:rFonts w:cs="Arial"/>
              </w:rPr>
              <w:t xml:space="preserve">Clause </w:t>
            </w:r>
            <w:bookmarkEnd w:id="213"/>
            <w:bookmarkEnd w:id="214"/>
            <w:r w:rsidRPr="008D6A63">
              <w:rPr>
                <w:rFonts w:cs="Arial"/>
              </w:rPr>
              <w:t>28.1(a) (</w:t>
            </w:r>
            <w:r w:rsidRPr="00243D18">
              <w:rPr>
                <w:rFonts w:cs="Arial"/>
                <w:i/>
                <w:iCs/>
              </w:rPr>
              <w:t>Step-In Rights</w:t>
            </w:r>
            <w:r w:rsidRPr="008D6A63">
              <w:rPr>
                <w:rFonts w:cs="Arial"/>
              </w:rPr>
              <w:t>);</w:t>
            </w:r>
          </w:p>
        </w:tc>
      </w:tr>
      <w:tr w:rsidR="00F67E9E" w:rsidRPr="00F55457" w14:paraId="0E11E945" w14:textId="77777777" w:rsidTr="007F74AA">
        <w:tc>
          <w:tcPr>
            <w:tcW w:w="2835" w:type="dxa"/>
          </w:tcPr>
          <w:p w14:paraId="3FF0A991" w14:textId="77777777" w:rsidR="00F67E9E" w:rsidRPr="008D6A63" w:rsidRDefault="00F67E9E" w:rsidP="007F74AA">
            <w:pPr>
              <w:pStyle w:val="StdBodyTextBold"/>
              <w:rPr>
                <w:rFonts w:cs="Arial"/>
              </w:rPr>
            </w:pPr>
            <w:r>
              <w:rPr>
                <w:rFonts w:cs="Arial"/>
              </w:rPr>
              <w:t>“</w:t>
            </w:r>
            <w:r w:rsidRPr="008D6A63">
              <w:rPr>
                <w:rFonts w:cs="Arial"/>
              </w:rPr>
              <w:t>Retained Deliverables</w:t>
            </w:r>
            <w:r>
              <w:rPr>
                <w:rFonts w:cs="Arial"/>
              </w:rPr>
              <w:t>”</w:t>
            </w:r>
          </w:p>
        </w:tc>
        <w:tc>
          <w:tcPr>
            <w:tcW w:w="6803" w:type="dxa"/>
          </w:tcPr>
          <w:p w14:paraId="0EA5EA15" w14:textId="77777777" w:rsidR="00F67E9E" w:rsidRPr="008D6A63" w:rsidRDefault="00F67E9E" w:rsidP="007F74AA">
            <w:pPr>
              <w:pStyle w:val="StdBodyText"/>
              <w:rPr>
                <w:rFonts w:cs="Arial"/>
              </w:rPr>
            </w:pPr>
            <w:r w:rsidRPr="008D6A63">
              <w:rPr>
                <w:rFonts w:cs="Arial"/>
              </w:rPr>
              <w:t xml:space="preserve">has the meaning given in </w:t>
            </w:r>
            <w:bookmarkStart w:id="215" w:name="_9kMHG5YVtCJBAHFDHNvjw6ytqz84AGI4rqyFTE2"/>
            <w:bookmarkStart w:id="216" w:name="_9kMHG5YVtCIAAHGEHNvjw6ytqz84AGI4rqyFTE2"/>
            <w:r w:rsidRPr="008D6A63">
              <w:rPr>
                <w:rFonts w:cs="Arial"/>
              </w:rPr>
              <w:t xml:space="preserve">Clause </w:t>
            </w:r>
            <w:bookmarkEnd w:id="215"/>
            <w:bookmarkEnd w:id="216"/>
            <w:r w:rsidRPr="008D6A63">
              <w:rPr>
                <w:rFonts w:cs="Arial"/>
              </w:rPr>
              <w:t>32.8(b) (</w:t>
            </w:r>
            <w:r w:rsidRPr="00243D18">
              <w:rPr>
                <w:rFonts w:cs="Arial"/>
                <w:i/>
                <w:iCs/>
              </w:rPr>
              <w:t>Payments by the Supplier</w:t>
            </w:r>
            <w:r w:rsidRPr="008D6A63">
              <w:rPr>
                <w:rFonts w:cs="Arial"/>
              </w:rPr>
              <w:t>);</w:t>
            </w:r>
          </w:p>
        </w:tc>
      </w:tr>
      <w:tr w:rsidR="00F67E9E" w:rsidRPr="00F55457" w14:paraId="5A4BD173" w14:textId="77777777" w:rsidTr="007F74AA">
        <w:tc>
          <w:tcPr>
            <w:tcW w:w="2835" w:type="dxa"/>
          </w:tcPr>
          <w:p w14:paraId="602EB409" w14:textId="77777777" w:rsidR="00F67E9E" w:rsidRPr="008D6A63" w:rsidRDefault="00F67E9E" w:rsidP="007F74AA">
            <w:pPr>
              <w:pStyle w:val="StdBodyTextBold"/>
              <w:rPr>
                <w:rFonts w:cs="Arial"/>
              </w:rPr>
            </w:pPr>
            <w:r>
              <w:rPr>
                <w:rFonts w:cs="Arial"/>
              </w:rPr>
              <w:t>“</w:t>
            </w:r>
            <w:r w:rsidRPr="008D6A63">
              <w:rPr>
                <w:rFonts w:cs="Arial"/>
              </w:rPr>
              <w:t>Risk Register</w:t>
            </w:r>
            <w:r>
              <w:rPr>
                <w:rFonts w:cs="Arial"/>
              </w:rPr>
              <w:t>”</w:t>
            </w:r>
          </w:p>
        </w:tc>
        <w:tc>
          <w:tcPr>
            <w:tcW w:w="6803" w:type="dxa"/>
          </w:tcPr>
          <w:p w14:paraId="7ABDB168" w14:textId="4422CF5C" w:rsidR="00F67E9E" w:rsidRPr="008D6A63" w:rsidRDefault="00F67E9E" w:rsidP="007F74AA">
            <w:pPr>
              <w:pStyle w:val="StdBodyText"/>
              <w:rPr>
                <w:rFonts w:cs="Arial"/>
              </w:rPr>
            </w:pPr>
            <w:r w:rsidRPr="008D6A63">
              <w:rPr>
                <w:rFonts w:cs="Arial"/>
              </w:rPr>
              <w:t xml:space="preserve">the register of risks and contingencies that have been factored into any Costs due under this Contract, a copy of which is set out in Annex </w:t>
            </w:r>
            <w:r w:rsidRPr="008D6A63">
              <w:rPr>
                <w:rFonts w:cs="Arial"/>
              </w:rPr>
              <w:fldChar w:fldCharType="begin"/>
            </w:r>
            <w:r w:rsidRPr="008D6A63">
              <w:rPr>
                <w:rFonts w:cs="Arial"/>
              </w:rPr>
              <w:instrText xml:space="preserve"> REF ANNEX4_SCHEDULE15 \h  \* MERGEFORMAT </w:instrText>
            </w:r>
            <w:r w:rsidRPr="008D6A63">
              <w:rPr>
                <w:rFonts w:cs="Arial"/>
              </w:rPr>
            </w:r>
            <w:r w:rsidRPr="008D6A63">
              <w:rPr>
                <w:rFonts w:cs="Arial"/>
              </w:rPr>
              <w:fldChar w:fldCharType="separate"/>
            </w:r>
            <w:r w:rsidR="00302D39" w:rsidRPr="00302D39">
              <w:rPr>
                <w:rFonts w:cs="Arial"/>
              </w:rPr>
              <w:t>4</w:t>
            </w:r>
            <w:r w:rsidRPr="008D6A63">
              <w:rPr>
                <w:rFonts w:cs="Arial"/>
              </w:rPr>
              <w:fldChar w:fldCharType="end"/>
            </w:r>
            <w:r w:rsidRPr="008D6A63">
              <w:rPr>
                <w:rFonts w:cs="Arial"/>
              </w:rPr>
              <w:t xml:space="preserve"> of </w:t>
            </w:r>
            <w:r>
              <w:rPr>
                <w:rFonts w:cs="Arial"/>
              </w:rPr>
              <w:fldChar w:fldCharType="begin"/>
            </w:r>
            <w:r>
              <w:rPr>
                <w:rFonts w:cs="Arial"/>
              </w:rPr>
              <w:instrText xml:space="preserve"> REF Schedule15 \h </w:instrText>
            </w:r>
            <w:r>
              <w:rPr>
                <w:rFonts w:cs="Arial"/>
              </w:rPr>
            </w:r>
            <w:r>
              <w:rPr>
                <w:rFonts w:cs="Arial"/>
              </w:rPr>
              <w:fldChar w:fldCharType="separate"/>
            </w:r>
            <w:r w:rsidR="00302D39" w:rsidRPr="005D0525">
              <w:t>Schedule</w:t>
            </w:r>
            <w:r w:rsidR="00302D39">
              <w:t> </w:t>
            </w:r>
            <w:r w:rsidR="00302D39" w:rsidRPr="005D0525">
              <w:t>15</w:t>
            </w:r>
            <w:r>
              <w:rPr>
                <w:rFonts w:cs="Arial"/>
              </w:rPr>
              <w:fldChar w:fldCharType="end"/>
            </w:r>
            <w:r>
              <w:rPr>
                <w:rFonts w:cs="Arial"/>
              </w:rPr>
              <w:t xml:space="preserve"> (</w:t>
            </w:r>
            <w:r w:rsidRPr="00B91437">
              <w:rPr>
                <w:rFonts w:cs="Arial"/>
                <w:i/>
                <w:iCs/>
              </w:rPr>
              <w:fldChar w:fldCharType="begin"/>
            </w:r>
            <w:r w:rsidRPr="00B91437">
              <w:rPr>
                <w:rFonts w:cs="Arial"/>
                <w:i/>
                <w:iCs/>
              </w:rPr>
              <w:instrText xml:space="preserve"> REF Schedule15Heading \h </w:instrText>
            </w:r>
            <w:r>
              <w:rPr>
                <w:rFonts w:cs="Arial"/>
                <w:i/>
                <w:iCs/>
              </w:rPr>
              <w:instrText xml:space="preserve"> \* MERGEFORMAT </w:instrText>
            </w:r>
            <w:r w:rsidRPr="00B91437">
              <w:rPr>
                <w:rFonts w:cs="Arial"/>
                <w:i/>
                <w:iCs/>
              </w:rPr>
            </w:r>
            <w:r w:rsidRPr="00B91437">
              <w:rPr>
                <w:rFonts w:cs="Arial"/>
                <w:i/>
                <w:iCs/>
              </w:rPr>
              <w:fldChar w:fldCharType="separate"/>
            </w:r>
            <w:r w:rsidR="00302D39" w:rsidRPr="00302D39">
              <w:rPr>
                <w:i/>
                <w:iCs/>
              </w:rPr>
              <w:t>Charges and Invoicing</w:t>
            </w:r>
            <w:r w:rsidRPr="00B91437">
              <w:rPr>
                <w:rFonts w:cs="Arial"/>
                <w:i/>
                <w:iCs/>
              </w:rPr>
              <w:fldChar w:fldCharType="end"/>
            </w:r>
            <w:r>
              <w:rPr>
                <w:rFonts w:cs="Arial"/>
              </w:rPr>
              <w:t>)</w:t>
            </w:r>
            <w:r w:rsidRPr="008D6A63">
              <w:rPr>
                <w:rFonts w:cs="Arial"/>
              </w:rPr>
              <w:t>;</w:t>
            </w:r>
          </w:p>
        </w:tc>
      </w:tr>
      <w:tr w:rsidR="00F67E9E" w:rsidRPr="00F55457" w14:paraId="3336A4F7" w14:textId="77777777" w:rsidTr="007F74AA">
        <w:tc>
          <w:tcPr>
            <w:tcW w:w="2835" w:type="dxa"/>
          </w:tcPr>
          <w:p w14:paraId="29AF0D8F" w14:textId="77777777" w:rsidR="00F67E9E" w:rsidRPr="008D6A63" w:rsidRDefault="00F67E9E" w:rsidP="007F74AA">
            <w:pPr>
              <w:pStyle w:val="StdBodyTextBold"/>
              <w:rPr>
                <w:rFonts w:cs="Arial"/>
              </w:rPr>
            </w:pPr>
            <w:r>
              <w:rPr>
                <w:rFonts w:cs="Arial"/>
              </w:rPr>
              <w:t>“</w:t>
            </w:r>
            <w:r w:rsidRPr="008D6A63">
              <w:rPr>
                <w:rFonts w:cs="Arial"/>
              </w:rPr>
              <w:t>Security Management Plan</w:t>
            </w:r>
            <w:r>
              <w:rPr>
                <w:rFonts w:cs="Arial"/>
              </w:rPr>
              <w:t>”</w:t>
            </w:r>
          </w:p>
        </w:tc>
        <w:tc>
          <w:tcPr>
            <w:tcW w:w="6803" w:type="dxa"/>
          </w:tcPr>
          <w:p w14:paraId="3BA7E630" w14:textId="2E786500" w:rsidR="00F67E9E" w:rsidRPr="008D6A63" w:rsidRDefault="00F67E9E" w:rsidP="007F74AA">
            <w:pPr>
              <w:pStyle w:val="StdBodyText"/>
              <w:rPr>
                <w:rFonts w:cs="Arial"/>
              </w:rPr>
            </w:pPr>
            <w:r w:rsidRPr="008D6A63">
              <w:rPr>
                <w:rFonts w:cs="Arial"/>
              </w:rPr>
              <w:t xml:space="preserve">the </w:t>
            </w:r>
            <w:bookmarkStart w:id="217" w:name="_9kML7K6ZWu9A679B"/>
            <w:r w:rsidRPr="008D6A63">
              <w:rPr>
                <w:rFonts w:cs="Arial"/>
              </w:rPr>
              <w:t>Supplier</w:t>
            </w:r>
            <w:r>
              <w:rPr>
                <w:rFonts w:cs="Arial"/>
              </w:rPr>
              <w:t>’</w:t>
            </w:r>
            <w:r w:rsidRPr="008D6A63">
              <w:rPr>
                <w:rFonts w:cs="Arial"/>
              </w:rPr>
              <w:t>s</w:t>
            </w:r>
            <w:bookmarkEnd w:id="217"/>
            <w:r w:rsidRPr="008D6A63">
              <w:rPr>
                <w:rFonts w:cs="Arial"/>
              </w:rPr>
              <w:t xml:space="preserve"> security plan as attached as Annex </w:t>
            </w:r>
            <w:r w:rsidRPr="008D6A63">
              <w:rPr>
                <w:rFonts w:cs="Arial"/>
              </w:rPr>
              <w:fldChar w:fldCharType="begin"/>
            </w:r>
            <w:r w:rsidRPr="008D6A63">
              <w:rPr>
                <w:rFonts w:cs="Arial"/>
              </w:rPr>
              <w:instrText xml:space="preserve"> REF ANNEX2_PARTA_SCHEDULE5 \h </w:instrText>
            </w:r>
            <w:r w:rsidRPr="008D6A63">
              <w:rPr>
                <w:rFonts w:cs="Arial"/>
              </w:rPr>
            </w:r>
            <w:r w:rsidRPr="008D6A63">
              <w:rPr>
                <w:rFonts w:cs="Arial"/>
              </w:rPr>
              <w:fldChar w:fldCharType="separate"/>
            </w:r>
            <w:r w:rsidR="00302D39" w:rsidRPr="00024F2F">
              <w:t>2</w:t>
            </w:r>
            <w:r w:rsidRPr="008D6A63">
              <w:rPr>
                <w:rFonts w:cs="Arial"/>
              </w:rPr>
              <w:fldChar w:fldCharType="end"/>
            </w:r>
            <w:r w:rsidRPr="008D6A63">
              <w:rPr>
                <w:rFonts w:cs="Arial"/>
              </w:rPr>
              <w:t xml:space="preserve"> of </w:t>
            </w:r>
            <w:r>
              <w:rPr>
                <w:rFonts w:cs="Arial"/>
              </w:rPr>
              <w:fldChar w:fldCharType="begin"/>
            </w:r>
            <w:r>
              <w:rPr>
                <w:rFonts w:cs="Arial"/>
              </w:rPr>
              <w:instrText xml:space="preserve"> REF Schedule5 \h </w:instrText>
            </w:r>
            <w:r>
              <w:rPr>
                <w:rFonts w:cs="Arial"/>
              </w:rPr>
            </w:r>
            <w:r>
              <w:rPr>
                <w:rFonts w:cs="Arial"/>
              </w:rPr>
              <w:fldChar w:fldCharType="separate"/>
            </w:r>
            <w:r w:rsidR="00302D39" w:rsidRPr="005D0525">
              <w:t>Schedule</w:t>
            </w:r>
            <w:r w:rsidR="00302D39">
              <w:t> </w:t>
            </w:r>
            <w:r w:rsidR="00302D39" w:rsidRPr="005D0525">
              <w:t>5</w:t>
            </w:r>
            <w:r>
              <w:rPr>
                <w:rFonts w:cs="Arial"/>
              </w:rPr>
              <w:fldChar w:fldCharType="end"/>
            </w:r>
            <w:r>
              <w:rPr>
                <w:rFonts w:cs="Arial"/>
              </w:rPr>
              <w:t xml:space="preserve"> (</w:t>
            </w:r>
            <w:r w:rsidRPr="00A22335">
              <w:rPr>
                <w:rFonts w:cs="Arial"/>
                <w:i/>
                <w:iCs/>
              </w:rPr>
              <w:fldChar w:fldCharType="begin"/>
            </w:r>
            <w:r w:rsidRPr="00A22335">
              <w:rPr>
                <w:rFonts w:cs="Arial"/>
                <w:i/>
                <w:iCs/>
              </w:rPr>
              <w:instrText xml:space="preserve"> REF Schedule5Heading \h </w:instrText>
            </w:r>
            <w:r>
              <w:rPr>
                <w:rFonts w:cs="Arial"/>
                <w:i/>
                <w:iCs/>
              </w:rPr>
              <w:instrText xml:space="preserve"> \* MERGEFORMAT </w:instrText>
            </w:r>
            <w:r w:rsidRPr="00A22335">
              <w:rPr>
                <w:rFonts w:cs="Arial"/>
                <w:i/>
                <w:iCs/>
              </w:rPr>
            </w:r>
            <w:r w:rsidRPr="00A22335">
              <w:rPr>
                <w:rFonts w:cs="Arial"/>
                <w:i/>
                <w:iCs/>
              </w:rPr>
              <w:fldChar w:fldCharType="separate"/>
            </w:r>
            <w:r w:rsidR="00302D39" w:rsidRPr="00302D39">
              <w:rPr>
                <w:i/>
                <w:iCs/>
              </w:rPr>
              <w:t>Security Management</w:t>
            </w:r>
            <w:r w:rsidRPr="00A22335">
              <w:rPr>
                <w:rFonts w:cs="Arial"/>
                <w:i/>
                <w:iCs/>
              </w:rPr>
              <w:fldChar w:fldCharType="end"/>
            </w:r>
            <w:r>
              <w:rPr>
                <w:rFonts w:cs="Arial"/>
              </w:rPr>
              <w:t>)</w:t>
            </w:r>
            <w:r w:rsidRPr="008D6A63">
              <w:rPr>
                <w:rFonts w:cs="Arial"/>
              </w:rPr>
              <w:t xml:space="preserve"> and as subsequently developed and revised pursuant to </w:t>
            </w:r>
            <w:bookmarkStart w:id="218" w:name="_9kMHG5YVt4EE6GOfGpqgyts04R"/>
            <w:r w:rsidRPr="008D6A63">
              <w:rPr>
                <w:rFonts w:cs="Arial"/>
              </w:rPr>
              <w:t xml:space="preserve">Paragraphs </w:t>
            </w:r>
            <w:bookmarkEnd w:id="218"/>
            <w:r w:rsidRPr="008D6A63">
              <w:rPr>
                <w:rFonts w:cs="Arial"/>
              </w:rPr>
              <w:fldChar w:fldCharType="begin"/>
            </w:r>
            <w:r w:rsidRPr="008D6A63">
              <w:rPr>
                <w:rFonts w:cs="Arial"/>
              </w:rPr>
              <w:instrText xml:space="preserve"> REF _Ref99013071 \w \h </w:instrText>
            </w:r>
            <w:r w:rsidRPr="008D6A63">
              <w:rPr>
                <w:rFonts w:cs="Arial"/>
              </w:rPr>
            </w:r>
            <w:r w:rsidRPr="008D6A63">
              <w:rPr>
                <w:rFonts w:cs="Arial"/>
              </w:rPr>
              <w:fldChar w:fldCharType="separate"/>
            </w:r>
            <w:r w:rsidR="00302D39">
              <w:rPr>
                <w:rFonts w:cs="Arial"/>
              </w:rPr>
              <w:t>3</w:t>
            </w:r>
            <w:r w:rsidRPr="008D6A63">
              <w:rPr>
                <w:rFonts w:cs="Arial"/>
              </w:rPr>
              <w:fldChar w:fldCharType="end"/>
            </w:r>
            <w:r w:rsidRPr="008D6A63">
              <w:rPr>
                <w:rFonts w:cs="Arial"/>
              </w:rPr>
              <w:t xml:space="preserve"> and </w:t>
            </w:r>
            <w:r w:rsidRPr="008D6A63">
              <w:rPr>
                <w:rFonts w:cs="Arial"/>
              </w:rPr>
              <w:fldChar w:fldCharType="begin"/>
            </w:r>
            <w:r w:rsidRPr="008D6A63">
              <w:rPr>
                <w:rFonts w:cs="Arial"/>
              </w:rPr>
              <w:instrText xml:space="preserve"> REF _9kR3WTrAG8BICZJfifw5q8MMLkQzJdjlc68LK4C \w \h </w:instrText>
            </w:r>
            <w:r w:rsidRPr="008D6A63">
              <w:rPr>
                <w:rFonts w:cs="Arial"/>
              </w:rPr>
            </w:r>
            <w:r w:rsidRPr="008D6A63">
              <w:rPr>
                <w:rFonts w:cs="Arial"/>
              </w:rPr>
              <w:fldChar w:fldCharType="separate"/>
            </w:r>
            <w:r w:rsidR="00302D39">
              <w:rPr>
                <w:rFonts w:cs="Arial"/>
              </w:rPr>
              <w:t>4</w:t>
            </w:r>
            <w:r w:rsidRPr="008D6A63">
              <w:rPr>
                <w:rFonts w:cs="Arial"/>
              </w:rPr>
              <w:fldChar w:fldCharType="end"/>
            </w:r>
            <w:r w:rsidRPr="008D6A63">
              <w:rPr>
                <w:rFonts w:cs="Arial"/>
              </w:rPr>
              <w:t xml:space="preserve"> of </w:t>
            </w:r>
            <w:r>
              <w:rPr>
                <w:rFonts w:cs="Arial"/>
              </w:rPr>
              <w:fldChar w:fldCharType="begin"/>
            </w:r>
            <w:r>
              <w:rPr>
                <w:rFonts w:cs="Arial"/>
              </w:rPr>
              <w:instrText xml:space="preserve"> REF Schedule5 \h </w:instrText>
            </w:r>
            <w:r>
              <w:rPr>
                <w:rFonts w:cs="Arial"/>
              </w:rPr>
            </w:r>
            <w:r>
              <w:rPr>
                <w:rFonts w:cs="Arial"/>
              </w:rPr>
              <w:fldChar w:fldCharType="separate"/>
            </w:r>
            <w:r w:rsidR="00302D39" w:rsidRPr="005D0525">
              <w:t>Schedule</w:t>
            </w:r>
            <w:r w:rsidR="00302D39">
              <w:t> </w:t>
            </w:r>
            <w:r w:rsidR="00302D39" w:rsidRPr="005D0525">
              <w:t>5</w:t>
            </w:r>
            <w:r>
              <w:rPr>
                <w:rFonts w:cs="Arial"/>
              </w:rPr>
              <w:fldChar w:fldCharType="end"/>
            </w:r>
            <w:r>
              <w:rPr>
                <w:rFonts w:cs="Arial"/>
              </w:rPr>
              <w:t xml:space="preserve"> (</w:t>
            </w:r>
            <w:r w:rsidRPr="00A22335">
              <w:rPr>
                <w:rFonts w:cs="Arial"/>
                <w:i/>
                <w:iCs/>
              </w:rPr>
              <w:fldChar w:fldCharType="begin"/>
            </w:r>
            <w:r w:rsidRPr="00A22335">
              <w:rPr>
                <w:rFonts w:cs="Arial"/>
                <w:i/>
                <w:iCs/>
              </w:rPr>
              <w:instrText xml:space="preserve"> REF Schedule5Heading \h </w:instrText>
            </w:r>
            <w:r>
              <w:rPr>
                <w:rFonts w:cs="Arial"/>
                <w:i/>
                <w:iCs/>
              </w:rPr>
              <w:instrText xml:space="preserve"> \* MERGEFORMAT </w:instrText>
            </w:r>
            <w:r w:rsidRPr="00A22335">
              <w:rPr>
                <w:rFonts w:cs="Arial"/>
                <w:i/>
                <w:iCs/>
              </w:rPr>
            </w:r>
            <w:r w:rsidRPr="00A22335">
              <w:rPr>
                <w:rFonts w:cs="Arial"/>
                <w:i/>
                <w:iCs/>
              </w:rPr>
              <w:fldChar w:fldCharType="separate"/>
            </w:r>
            <w:r w:rsidR="00302D39" w:rsidRPr="00302D39">
              <w:rPr>
                <w:i/>
                <w:iCs/>
              </w:rPr>
              <w:t>Security Management</w:t>
            </w:r>
            <w:r w:rsidRPr="00A22335">
              <w:rPr>
                <w:rFonts w:cs="Arial"/>
                <w:i/>
                <w:iCs/>
              </w:rPr>
              <w:fldChar w:fldCharType="end"/>
            </w:r>
            <w:r>
              <w:rPr>
                <w:rFonts w:cs="Arial"/>
              </w:rPr>
              <w:t>)</w:t>
            </w:r>
            <w:r w:rsidRPr="008D6A63">
              <w:rPr>
                <w:rFonts w:cs="Arial"/>
              </w:rPr>
              <w:t>;</w:t>
            </w:r>
          </w:p>
        </w:tc>
      </w:tr>
      <w:tr w:rsidR="00F67E9E" w:rsidRPr="00F55457" w14:paraId="2A03919F" w14:textId="77777777" w:rsidTr="007F74AA">
        <w:tc>
          <w:tcPr>
            <w:tcW w:w="2835" w:type="dxa"/>
          </w:tcPr>
          <w:p w14:paraId="5263764A" w14:textId="77777777" w:rsidR="00F67E9E" w:rsidRPr="008D6A63" w:rsidRDefault="00F67E9E" w:rsidP="007F74AA">
            <w:pPr>
              <w:pStyle w:val="StdBodyTextBold"/>
              <w:rPr>
                <w:rFonts w:cs="Arial"/>
              </w:rPr>
            </w:pPr>
            <w:r>
              <w:rPr>
                <w:rFonts w:cs="Arial"/>
              </w:rPr>
              <w:t>“</w:t>
            </w:r>
            <w:r w:rsidRPr="008D6A63">
              <w:rPr>
                <w:rFonts w:cs="Arial"/>
              </w:rPr>
              <w:t>Serious KPI Failure</w:t>
            </w:r>
            <w:r>
              <w:rPr>
                <w:rFonts w:cs="Arial"/>
              </w:rPr>
              <w:t>”</w:t>
            </w:r>
          </w:p>
        </w:tc>
        <w:tc>
          <w:tcPr>
            <w:tcW w:w="6803" w:type="dxa"/>
          </w:tcPr>
          <w:p w14:paraId="4CBDD790" w14:textId="7DEA23FC" w:rsidR="00F67E9E" w:rsidRPr="008D6A63" w:rsidRDefault="00F67E9E" w:rsidP="007F74AA">
            <w:pPr>
              <w:pStyle w:val="StdBodyText"/>
              <w:rPr>
                <w:rFonts w:cs="Arial"/>
              </w:rPr>
            </w:pPr>
            <w:r w:rsidRPr="008D6A63">
              <w:rPr>
                <w:rFonts w:cs="Arial"/>
              </w:rPr>
              <w:t xml:space="preserve">shall be as set out against the relevant </w:t>
            </w:r>
            <w:bookmarkStart w:id="219" w:name="_9kMIH5YVt4CCFMMbF0mNwyw98suxpWa2yyr9ONI"/>
            <w:r w:rsidRPr="008D6A63">
              <w:rPr>
                <w:rFonts w:cs="Arial"/>
              </w:rPr>
              <w:t xml:space="preserve">Key Performance Indicator in Table 1 of </w:t>
            </w:r>
            <w:r w:rsidRPr="008D6A63">
              <w:rPr>
                <w:rFonts w:cs="Arial"/>
              </w:rPr>
              <w:fldChar w:fldCharType="begin"/>
            </w:r>
            <w:r w:rsidRPr="008D6A63">
              <w:rPr>
                <w:rFonts w:cs="Arial"/>
              </w:rPr>
              <w:instrText xml:space="preserve"> REF Sch3Ann1PartA \h  \* MERGEFORMAT </w:instrText>
            </w:r>
            <w:r w:rsidRPr="008D6A63">
              <w:rPr>
                <w:rFonts w:cs="Arial"/>
              </w:rPr>
            </w:r>
            <w:r w:rsidRPr="008D6A63">
              <w:rPr>
                <w:rFonts w:cs="Arial"/>
              </w:rPr>
              <w:fldChar w:fldCharType="separate"/>
            </w:r>
            <w:r w:rsidR="00302D39" w:rsidRPr="00302D39">
              <w:rPr>
                <w:rFonts w:cs="Arial"/>
              </w:rPr>
              <w:t>Part A</w:t>
            </w:r>
            <w:r w:rsidRPr="008D6A63">
              <w:rPr>
                <w:rFonts w:cs="Arial"/>
              </w:rPr>
              <w:fldChar w:fldCharType="end"/>
            </w:r>
            <w:r w:rsidRPr="008D6A63">
              <w:rPr>
                <w:rFonts w:cs="Arial"/>
              </w:rPr>
              <w:t xml:space="preserve"> of </w:t>
            </w:r>
            <w:bookmarkStart w:id="220" w:name="_9kMH2J6ZWuDJBDLOKFdNwyw98suxpZUBC3I"/>
            <w:bookmarkStart w:id="221" w:name="_9kMH0H6ZWu5EEEF9cMiliz8tBN"/>
            <w:bookmarkEnd w:id="219"/>
            <w:r w:rsidRPr="008D6A63">
              <w:rPr>
                <w:rFonts w:cs="Arial"/>
              </w:rPr>
              <w:fldChar w:fldCharType="begin"/>
            </w:r>
            <w:r w:rsidRPr="008D6A63">
              <w:rPr>
                <w:rFonts w:cs="Arial"/>
              </w:rPr>
              <w:instrText xml:space="preserve"> REF ANNEX1_SCHEDULE3 \h  \* MERGEFORMAT </w:instrText>
            </w:r>
            <w:r w:rsidRPr="008D6A63">
              <w:rPr>
                <w:rFonts w:cs="Arial"/>
              </w:rPr>
            </w:r>
            <w:r w:rsidRPr="008D6A63">
              <w:rPr>
                <w:rFonts w:cs="Arial"/>
              </w:rPr>
              <w:fldChar w:fldCharType="separate"/>
            </w:r>
            <w:r w:rsidR="00302D39" w:rsidRPr="00302D39">
              <w:rPr>
                <w:rFonts w:cs="Arial"/>
              </w:rPr>
              <w:t>Annex 1</w:t>
            </w:r>
            <w:r w:rsidRPr="008D6A63">
              <w:rPr>
                <w:rFonts w:cs="Arial"/>
              </w:rPr>
              <w:fldChar w:fldCharType="end"/>
            </w:r>
            <w:r w:rsidRPr="008D6A63">
              <w:rPr>
                <w:rFonts w:cs="Arial"/>
              </w:rPr>
              <w:t xml:space="preserve"> of </w:t>
            </w:r>
            <w:bookmarkEnd w:id="220"/>
            <w:bookmarkEnd w:id="221"/>
            <w:r>
              <w:rPr>
                <w:rFonts w:cs="Arial"/>
              </w:rPr>
              <w:fldChar w:fldCharType="begin"/>
            </w:r>
            <w:r>
              <w:rPr>
                <w:rFonts w:cs="Arial"/>
              </w:rPr>
              <w:instrText xml:space="preserve"> REF Schedule3 \h </w:instrText>
            </w:r>
            <w:r>
              <w:rPr>
                <w:rFonts w:cs="Arial"/>
              </w:rPr>
            </w:r>
            <w:r>
              <w:rPr>
                <w:rFonts w:cs="Arial"/>
              </w:rPr>
              <w:fldChar w:fldCharType="separate"/>
            </w:r>
            <w:r w:rsidR="00302D39" w:rsidRPr="005D0525">
              <w:t>Schedule</w:t>
            </w:r>
            <w:r w:rsidR="00302D39">
              <w:t> </w:t>
            </w:r>
            <w:r w:rsidR="00302D39" w:rsidRPr="005D0525">
              <w:t>3</w:t>
            </w:r>
            <w:r>
              <w:rPr>
                <w:rFonts w:cs="Arial"/>
              </w:rPr>
              <w:fldChar w:fldCharType="end"/>
            </w:r>
            <w:r>
              <w:rPr>
                <w:rFonts w:cs="Arial"/>
              </w:rPr>
              <w:t xml:space="preserve"> (</w:t>
            </w:r>
            <w:r w:rsidRPr="00A22335">
              <w:rPr>
                <w:rFonts w:cs="Arial"/>
                <w:i/>
                <w:iCs/>
              </w:rPr>
              <w:fldChar w:fldCharType="begin"/>
            </w:r>
            <w:r w:rsidRPr="00A22335">
              <w:rPr>
                <w:rFonts w:cs="Arial"/>
                <w:i/>
                <w:iCs/>
              </w:rPr>
              <w:instrText xml:space="preserve"> REF Schedule3Heading \h </w:instrText>
            </w:r>
            <w:r>
              <w:rPr>
                <w:rFonts w:cs="Arial"/>
                <w:i/>
                <w:iCs/>
              </w:rPr>
              <w:instrText xml:space="preserve"> \* MERGEFORMAT </w:instrText>
            </w:r>
            <w:r w:rsidRPr="00A22335">
              <w:rPr>
                <w:rFonts w:cs="Arial"/>
                <w:i/>
                <w:iCs/>
              </w:rPr>
            </w:r>
            <w:r w:rsidRPr="00A22335">
              <w:rPr>
                <w:rFonts w:cs="Arial"/>
                <w:i/>
                <w:iCs/>
              </w:rPr>
              <w:fldChar w:fldCharType="separate"/>
            </w:r>
            <w:r w:rsidR="00302D39" w:rsidRPr="00302D39">
              <w:rPr>
                <w:i/>
                <w:iCs/>
              </w:rPr>
              <w:t>Performance Levels</w:t>
            </w:r>
            <w:r w:rsidRPr="00A22335">
              <w:rPr>
                <w:rFonts w:cs="Arial"/>
                <w:i/>
                <w:iCs/>
              </w:rPr>
              <w:fldChar w:fldCharType="end"/>
            </w:r>
            <w:r>
              <w:rPr>
                <w:rFonts w:cs="Arial"/>
              </w:rPr>
              <w:t>)</w:t>
            </w:r>
            <w:r w:rsidRPr="008D6A63">
              <w:rPr>
                <w:rFonts w:cs="Arial"/>
              </w:rPr>
              <w:t>;</w:t>
            </w:r>
          </w:p>
        </w:tc>
      </w:tr>
      <w:tr w:rsidR="00F67E9E" w:rsidRPr="00F55457" w14:paraId="3F39C846" w14:textId="77777777" w:rsidTr="007F74AA">
        <w:tc>
          <w:tcPr>
            <w:tcW w:w="2835" w:type="dxa"/>
          </w:tcPr>
          <w:p w14:paraId="65F64039" w14:textId="77777777" w:rsidR="00F67E9E" w:rsidRPr="008D6A63" w:rsidRDefault="00F67E9E" w:rsidP="007F74AA">
            <w:pPr>
              <w:pStyle w:val="StdBodyTextBold"/>
              <w:rPr>
                <w:rFonts w:cs="Arial"/>
              </w:rPr>
            </w:pPr>
            <w:r>
              <w:rPr>
                <w:rFonts w:cs="Arial"/>
              </w:rPr>
              <w:t>“</w:t>
            </w:r>
            <w:r w:rsidRPr="008D6A63">
              <w:rPr>
                <w:rFonts w:cs="Arial"/>
              </w:rPr>
              <w:t>Service Charges</w:t>
            </w:r>
            <w:r>
              <w:rPr>
                <w:rFonts w:cs="Arial"/>
              </w:rPr>
              <w:t>”</w:t>
            </w:r>
          </w:p>
        </w:tc>
        <w:tc>
          <w:tcPr>
            <w:tcW w:w="6803" w:type="dxa"/>
          </w:tcPr>
          <w:p w14:paraId="330AC524" w14:textId="0DC5B835" w:rsidR="00F67E9E" w:rsidRPr="008D6A63" w:rsidRDefault="00F67E9E" w:rsidP="007F74AA">
            <w:pPr>
              <w:pStyle w:val="StdBodyText"/>
              <w:rPr>
                <w:rFonts w:cs="Arial"/>
              </w:rPr>
            </w:pPr>
            <w:r w:rsidRPr="008D6A63">
              <w:rPr>
                <w:rFonts w:cs="Arial"/>
              </w:rPr>
              <w:t xml:space="preserve">the periodic payments made in accordance with </w:t>
            </w:r>
            <w:r>
              <w:rPr>
                <w:rFonts w:cs="Arial"/>
              </w:rPr>
              <w:fldChar w:fldCharType="begin"/>
            </w:r>
            <w:r>
              <w:rPr>
                <w:rFonts w:cs="Arial"/>
              </w:rPr>
              <w:instrText xml:space="preserve"> REF Schedule15 \h </w:instrText>
            </w:r>
            <w:r>
              <w:rPr>
                <w:rFonts w:cs="Arial"/>
              </w:rPr>
            </w:r>
            <w:r>
              <w:rPr>
                <w:rFonts w:cs="Arial"/>
              </w:rPr>
              <w:fldChar w:fldCharType="separate"/>
            </w:r>
            <w:r w:rsidR="00302D39" w:rsidRPr="005D0525">
              <w:t>Schedule</w:t>
            </w:r>
            <w:r w:rsidR="00302D39">
              <w:t> </w:t>
            </w:r>
            <w:r w:rsidR="00302D39" w:rsidRPr="005D0525">
              <w:t>15</w:t>
            </w:r>
            <w:r>
              <w:rPr>
                <w:rFonts w:cs="Arial"/>
              </w:rPr>
              <w:fldChar w:fldCharType="end"/>
            </w:r>
            <w:r>
              <w:rPr>
                <w:rFonts w:cs="Arial"/>
              </w:rPr>
              <w:t xml:space="preserve"> (</w:t>
            </w:r>
            <w:r w:rsidRPr="00B91437">
              <w:rPr>
                <w:rFonts w:cs="Arial"/>
                <w:i/>
                <w:iCs/>
              </w:rPr>
              <w:fldChar w:fldCharType="begin"/>
            </w:r>
            <w:r w:rsidRPr="00B91437">
              <w:rPr>
                <w:rFonts w:cs="Arial"/>
                <w:i/>
                <w:iCs/>
              </w:rPr>
              <w:instrText xml:space="preserve"> REF Schedule15Heading \h </w:instrText>
            </w:r>
            <w:r>
              <w:rPr>
                <w:rFonts w:cs="Arial"/>
                <w:i/>
                <w:iCs/>
              </w:rPr>
              <w:instrText xml:space="preserve"> \* MERGEFORMAT </w:instrText>
            </w:r>
            <w:r w:rsidRPr="00B91437">
              <w:rPr>
                <w:rFonts w:cs="Arial"/>
                <w:i/>
                <w:iCs/>
              </w:rPr>
            </w:r>
            <w:r w:rsidRPr="00B91437">
              <w:rPr>
                <w:rFonts w:cs="Arial"/>
                <w:i/>
                <w:iCs/>
              </w:rPr>
              <w:fldChar w:fldCharType="separate"/>
            </w:r>
            <w:r w:rsidR="00302D39" w:rsidRPr="00302D39">
              <w:rPr>
                <w:i/>
                <w:iCs/>
              </w:rPr>
              <w:t>Charges and Invoicing</w:t>
            </w:r>
            <w:r w:rsidRPr="00B91437">
              <w:rPr>
                <w:rFonts w:cs="Arial"/>
                <w:i/>
                <w:iCs/>
              </w:rPr>
              <w:fldChar w:fldCharType="end"/>
            </w:r>
            <w:r>
              <w:rPr>
                <w:rFonts w:cs="Arial"/>
              </w:rPr>
              <w:t>)</w:t>
            </w:r>
            <w:r w:rsidRPr="008D6A63">
              <w:rPr>
                <w:rFonts w:cs="Arial"/>
              </w:rPr>
              <w:t xml:space="preserve"> in respect of the supply of the Operational Services;</w:t>
            </w:r>
          </w:p>
        </w:tc>
      </w:tr>
      <w:tr w:rsidR="00F67E9E" w:rsidRPr="00F55457" w14:paraId="4F06EE82" w14:textId="77777777" w:rsidTr="007F74AA">
        <w:tc>
          <w:tcPr>
            <w:tcW w:w="2835" w:type="dxa"/>
          </w:tcPr>
          <w:p w14:paraId="26C5093C" w14:textId="77777777" w:rsidR="00F67E9E" w:rsidRPr="008D6A63" w:rsidRDefault="00F67E9E" w:rsidP="007F74AA">
            <w:pPr>
              <w:pStyle w:val="StdBodyTextBold"/>
              <w:rPr>
                <w:rFonts w:cs="Arial"/>
              </w:rPr>
            </w:pPr>
            <w:r>
              <w:rPr>
                <w:rFonts w:cs="Arial"/>
              </w:rPr>
              <w:t>“</w:t>
            </w:r>
            <w:r w:rsidRPr="008D6A63">
              <w:rPr>
                <w:rFonts w:cs="Arial"/>
              </w:rPr>
              <w:t>Service Continuity Plan</w:t>
            </w:r>
            <w:r>
              <w:rPr>
                <w:rFonts w:cs="Arial"/>
              </w:rPr>
              <w:t>”</w:t>
            </w:r>
          </w:p>
        </w:tc>
        <w:tc>
          <w:tcPr>
            <w:tcW w:w="6803" w:type="dxa"/>
          </w:tcPr>
          <w:p w14:paraId="70001A89" w14:textId="403AA303" w:rsidR="00F67E9E" w:rsidRPr="008D6A63" w:rsidRDefault="00F67E9E" w:rsidP="007F74AA">
            <w:pPr>
              <w:pStyle w:val="StdBodyText"/>
              <w:rPr>
                <w:rFonts w:cs="Arial"/>
              </w:rPr>
            </w:pPr>
            <w:r w:rsidRPr="008D6A63">
              <w:rPr>
                <w:rFonts w:cs="Arial"/>
              </w:rPr>
              <w:t xml:space="preserve">any plan prepared pursuant to </w:t>
            </w:r>
            <w:bookmarkStart w:id="222" w:name="_9kMHG5YVt4EE6ELeGpqgyts0E"/>
            <w:r w:rsidRPr="008D6A63">
              <w:rPr>
                <w:rFonts w:cs="Arial"/>
              </w:rPr>
              <w:t xml:space="preserve">Paragraph </w:t>
            </w:r>
            <w:bookmarkEnd w:id="222"/>
            <w:r w:rsidRPr="008D6A63">
              <w:rPr>
                <w:rFonts w:cs="Arial"/>
              </w:rPr>
              <w:fldChar w:fldCharType="begin"/>
            </w:r>
            <w:r w:rsidRPr="008D6A63">
              <w:rPr>
                <w:rFonts w:cs="Arial"/>
              </w:rPr>
              <w:instrText xml:space="preserve"> REF _Ref_ContractCompanion_9kb9Us49B \r \h  \* MERGEFORMAT </w:instrText>
            </w:r>
            <w:r w:rsidRPr="008D6A63">
              <w:rPr>
                <w:rFonts w:cs="Arial"/>
              </w:rPr>
            </w:r>
            <w:r w:rsidRPr="008D6A63">
              <w:rPr>
                <w:rFonts w:cs="Arial"/>
              </w:rPr>
              <w:fldChar w:fldCharType="separate"/>
            </w:r>
            <w:r w:rsidR="00302D39">
              <w:rPr>
                <w:rFonts w:cs="Arial"/>
              </w:rPr>
              <w:t>2</w:t>
            </w:r>
            <w:r w:rsidRPr="008D6A63">
              <w:rPr>
                <w:rFonts w:cs="Arial"/>
              </w:rPr>
              <w:fldChar w:fldCharType="end"/>
            </w:r>
            <w:r w:rsidRPr="008D6A63">
              <w:rPr>
                <w:rFonts w:cs="Arial"/>
              </w:rPr>
              <w:t xml:space="preserve"> of </w:t>
            </w:r>
            <w:r>
              <w:rPr>
                <w:rFonts w:cs="Arial"/>
              </w:rPr>
              <w:fldChar w:fldCharType="begin"/>
            </w:r>
            <w:r>
              <w:rPr>
                <w:rFonts w:cs="Arial"/>
              </w:rPr>
              <w:instrText xml:space="preserve"> REF Schedule26 \h </w:instrText>
            </w:r>
            <w:r>
              <w:rPr>
                <w:rFonts w:cs="Arial"/>
              </w:rPr>
            </w:r>
            <w:r>
              <w:rPr>
                <w:rFonts w:cs="Arial"/>
              </w:rPr>
              <w:fldChar w:fldCharType="separate"/>
            </w:r>
            <w:r w:rsidR="00302D39" w:rsidRPr="005D0525">
              <w:t>Schedule</w:t>
            </w:r>
            <w:r w:rsidR="00302D39">
              <w:t> </w:t>
            </w:r>
            <w:r w:rsidR="00302D39" w:rsidRPr="005D0525">
              <w:t>26</w:t>
            </w:r>
            <w:r>
              <w:rPr>
                <w:rFonts w:cs="Arial"/>
              </w:rPr>
              <w:fldChar w:fldCharType="end"/>
            </w:r>
            <w:r>
              <w:rPr>
                <w:rFonts w:cs="Arial"/>
              </w:rPr>
              <w:t xml:space="preserve"> (</w:t>
            </w:r>
            <w:r w:rsidRPr="00A22335">
              <w:rPr>
                <w:rFonts w:cs="Arial"/>
                <w:i/>
                <w:iCs/>
              </w:rPr>
              <w:fldChar w:fldCharType="begin"/>
            </w:r>
            <w:r w:rsidRPr="00A22335">
              <w:rPr>
                <w:rFonts w:cs="Arial"/>
                <w:i/>
                <w:iCs/>
              </w:rPr>
              <w:instrText xml:space="preserve"> REF Schedule26Heading \h </w:instrText>
            </w:r>
            <w:r>
              <w:rPr>
                <w:rFonts w:cs="Arial"/>
                <w:i/>
                <w:iCs/>
              </w:rPr>
              <w:instrText xml:space="preserve"> \* MERGEFORMAT </w:instrText>
            </w:r>
            <w:r w:rsidRPr="00A22335">
              <w:rPr>
                <w:rFonts w:cs="Arial"/>
                <w:i/>
                <w:iCs/>
              </w:rPr>
            </w:r>
            <w:r w:rsidRPr="00A22335">
              <w:rPr>
                <w:rFonts w:cs="Arial"/>
                <w:i/>
                <w:iCs/>
              </w:rPr>
              <w:fldChar w:fldCharType="separate"/>
            </w:r>
            <w:r w:rsidR="00302D39" w:rsidRPr="00302D39">
              <w:rPr>
                <w:i/>
                <w:iCs/>
              </w:rPr>
              <w:t>Service Continuity Plan and Corporate Resolution Planning</w:t>
            </w:r>
            <w:r w:rsidRPr="00A22335">
              <w:rPr>
                <w:rFonts w:cs="Arial"/>
                <w:i/>
                <w:iCs/>
              </w:rPr>
              <w:fldChar w:fldCharType="end"/>
            </w:r>
            <w:r>
              <w:rPr>
                <w:rFonts w:cs="Arial"/>
              </w:rPr>
              <w:t>)</w:t>
            </w:r>
            <w:r w:rsidRPr="008D6A63">
              <w:rPr>
                <w:rFonts w:cs="Arial"/>
              </w:rPr>
              <w:t xml:space="preserve"> as may be amended from time to time;</w:t>
            </w:r>
          </w:p>
        </w:tc>
      </w:tr>
      <w:tr w:rsidR="00F67E9E" w:rsidRPr="00F55457" w14:paraId="6CC68A38" w14:textId="77777777" w:rsidTr="007F74AA">
        <w:tc>
          <w:tcPr>
            <w:tcW w:w="2835" w:type="dxa"/>
          </w:tcPr>
          <w:p w14:paraId="57F8CB10" w14:textId="77777777" w:rsidR="00F67E9E" w:rsidRPr="008D6A63" w:rsidRDefault="00F67E9E" w:rsidP="007F74AA">
            <w:pPr>
              <w:pStyle w:val="StdBodyTextBold"/>
              <w:rPr>
                <w:rFonts w:cs="Arial"/>
              </w:rPr>
            </w:pPr>
            <w:r>
              <w:rPr>
                <w:rFonts w:cs="Arial"/>
              </w:rPr>
              <w:t>“</w:t>
            </w:r>
            <w:r w:rsidRPr="008D6A63">
              <w:rPr>
                <w:rFonts w:cs="Arial"/>
              </w:rPr>
              <w:t>Service Continuity Services</w:t>
            </w:r>
            <w:r>
              <w:rPr>
                <w:rFonts w:cs="Arial"/>
              </w:rPr>
              <w:t>”</w:t>
            </w:r>
          </w:p>
        </w:tc>
        <w:tc>
          <w:tcPr>
            <w:tcW w:w="6803" w:type="dxa"/>
          </w:tcPr>
          <w:p w14:paraId="7E931CD8" w14:textId="5710DEB8" w:rsidR="00F67E9E" w:rsidRPr="008D6A63" w:rsidRDefault="00F67E9E" w:rsidP="007F74AA">
            <w:pPr>
              <w:pStyle w:val="StdBodyText"/>
              <w:rPr>
                <w:rFonts w:cs="Arial"/>
              </w:rPr>
            </w:pPr>
            <w:r w:rsidRPr="008D6A63">
              <w:rPr>
                <w:rFonts w:cs="Arial"/>
              </w:rPr>
              <w:t xml:space="preserve">the business continuity, disaster </w:t>
            </w:r>
            <w:bookmarkStart w:id="223" w:name="_9kR3WTr5DA49D1qcn7yvG"/>
            <w:r w:rsidRPr="008D6A63">
              <w:rPr>
                <w:rFonts w:cs="Arial"/>
              </w:rPr>
              <w:t>recovery</w:t>
            </w:r>
            <w:bookmarkEnd w:id="223"/>
            <w:r w:rsidRPr="008D6A63">
              <w:rPr>
                <w:rFonts w:cs="Arial"/>
              </w:rPr>
              <w:t xml:space="preserve"> and insolvency continuity services set out in </w:t>
            </w:r>
            <w:r>
              <w:rPr>
                <w:rFonts w:cs="Arial"/>
              </w:rPr>
              <w:fldChar w:fldCharType="begin"/>
            </w:r>
            <w:r>
              <w:rPr>
                <w:rFonts w:cs="Arial"/>
              </w:rPr>
              <w:instrText xml:space="preserve"> REF Schedule26 \h </w:instrText>
            </w:r>
            <w:r>
              <w:rPr>
                <w:rFonts w:cs="Arial"/>
              </w:rPr>
            </w:r>
            <w:r>
              <w:rPr>
                <w:rFonts w:cs="Arial"/>
              </w:rPr>
              <w:fldChar w:fldCharType="separate"/>
            </w:r>
            <w:r w:rsidR="00302D39" w:rsidRPr="005D0525">
              <w:t>Schedule</w:t>
            </w:r>
            <w:r w:rsidR="00302D39">
              <w:t> </w:t>
            </w:r>
            <w:r w:rsidR="00302D39" w:rsidRPr="005D0525">
              <w:t>26</w:t>
            </w:r>
            <w:r>
              <w:rPr>
                <w:rFonts w:cs="Arial"/>
              </w:rPr>
              <w:fldChar w:fldCharType="end"/>
            </w:r>
            <w:r>
              <w:rPr>
                <w:rFonts w:cs="Arial"/>
              </w:rPr>
              <w:t xml:space="preserve"> (</w:t>
            </w:r>
            <w:r w:rsidRPr="00A22335">
              <w:rPr>
                <w:rFonts w:cs="Arial"/>
                <w:i/>
                <w:iCs/>
              </w:rPr>
              <w:fldChar w:fldCharType="begin"/>
            </w:r>
            <w:r w:rsidRPr="00A22335">
              <w:rPr>
                <w:rFonts w:cs="Arial"/>
                <w:i/>
                <w:iCs/>
              </w:rPr>
              <w:instrText xml:space="preserve"> REF Schedule26Heading \h </w:instrText>
            </w:r>
            <w:r>
              <w:rPr>
                <w:rFonts w:cs="Arial"/>
                <w:i/>
                <w:iCs/>
              </w:rPr>
              <w:instrText xml:space="preserve"> \* MERGEFORMAT </w:instrText>
            </w:r>
            <w:r w:rsidRPr="00A22335">
              <w:rPr>
                <w:rFonts w:cs="Arial"/>
                <w:i/>
                <w:iCs/>
              </w:rPr>
            </w:r>
            <w:r w:rsidRPr="00A22335">
              <w:rPr>
                <w:rFonts w:cs="Arial"/>
                <w:i/>
                <w:iCs/>
              </w:rPr>
              <w:fldChar w:fldCharType="separate"/>
            </w:r>
            <w:r w:rsidR="00302D39" w:rsidRPr="00302D39">
              <w:rPr>
                <w:i/>
                <w:iCs/>
              </w:rPr>
              <w:t>Service Continuity Plan and Corporate Resolution Planning</w:t>
            </w:r>
            <w:r w:rsidRPr="00A22335">
              <w:rPr>
                <w:rFonts w:cs="Arial"/>
                <w:i/>
                <w:iCs/>
              </w:rPr>
              <w:fldChar w:fldCharType="end"/>
            </w:r>
            <w:r>
              <w:rPr>
                <w:rFonts w:cs="Arial"/>
              </w:rPr>
              <w:t>)</w:t>
            </w:r>
          </w:p>
        </w:tc>
      </w:tr>
      <w:tr w:rsidR="00F67E9E" w:rsidRPr="00F55457" w14:paraId="658466FF" w14:textId="77777777" w:rsidTr="007F74AA">
        <w:tc>
          <w:tcPr>
            <w:tcW w:w="2835" w:type="dxa"/>
          </w:tcPr>
          <w:p w14:paraId="17B17B03" w14:textId="77777777" w:rsidR="00F67E9E" w:rsidRPr="00F55457" w:rsidRDefault="00F67E9E" w:rsidP="007F74AA">
            <w:pPr>
              <w:pStyle w:val="StdBodyTextBold"/>
              <w:rPr>
                <w:rFonts w:cs="Arial"/>
              </w:rPr>
            </w:pPr>
            <w:r>
              <w:rPr>
                <w:rFonts w:cs="Arial"/>
              </w:rPr>
              <w:t>“</w:t>
            </w:r>
            <w:r w:rsidRPr="00F55457">
              <w:rPr>
                <w:rFonts w:cs="Arial"/>
              </w:rPr>
              <w:t>Service Credit Cap</w:t>
            </w:r>
            <w:r>
              <w:rPr>
                <w:rFonts w:cs="Arial"/>
              </w:rPr>
              <w:t>”</w:t>
            </w:r>
          </w:p>
        </w:tc>
        <w:tc>
          <w:tcPr>
            <w:tcW w:w="6803" w:type="dxa"/>
          </w:tcPr>
          <w:p w14:paraId="0EC8CE87" w14:textId="77777777" w:rsidR="00F67E9E" w:rsidRPr="00F55457" w:rsidRDefault="00F67E9E" w:rsidP="007F74AA">
            <w:pPr>
              <w:pStyle w:val="DefinitionList"/>
              <w:numPr>
                <w:ilvl w:val="0"/>
                <w:numId w:val="90"/>
              </w:numPr>
            </w:pPr>
            <w:r w:rsidRPr="00FC6BE5">
              <w:t>in</w:t>
            </w:r>
            <w:r w:rsidRPr="00F55457">
              <w:t xml:space="preserve"> the period of 12 months from the first Operational Service Commencement Date to occur after the Effective Date, </w:t>
            </w:r>
            <w:r w:rsidRPr="00FC6BE5">
              <w:rPr>
                <w:highlight w:val="yellow"/>
              </w:rPr>
              <w:t>[</w:t>
            </w:r>
            <w:r w:rsidRPr="00FC6BE5">
              <w:rPr>
                <w:rStyle w:val="StdBodyTextBoldChar"/>
                <w:rFonts w:cs="Arial"/>
                <w:b w:val="0"/>
                <w:bCs/>
                <w:highlight w:val="yellow"/>
              </w:rPr>
              <w:t>x</w:t>
            </w:r>
            <w:r w:rsidRPr="00FC6BE5">
              <w:rPr>
                <w:highlight w:val="yellow"/>
              </w:rPr>
              <w:t>]</w:t>
            </w:r>
            <w:r w:rsidRPr="00622BE6">
              <w:t xml:space="preserve">% </w:t>
            </w:r>
            <w:r w:rsidRPr="00F55457">
              <w:t xml:space="preserve">of the Estimated Initial Service Charges; and </w:t>
            </w:r>
          </w:p>
          <w:p w14:paraId="48A7B981" w14:textId="77777777" w:rsidR="00F67E9E" w:rsidRPr="00F55457" w:rsidRDefault="00F67E9E" w:rsidP="00F67E9E">
            <w:pPr>
              <w:pStyle w:val="DefinitionList"/>
              <w:numPr>
                <w:ilvl w:val="0"/>
                <w:numId w:val="108"/>
              </w:numPr>
              <w:rPr>
                <w:rFonts w:cs="Arial"/>
              </w:rPr>
            </w:pPr>
            <w:r w:rsidRPr="00F55457">
              <w:rPr>
                <w:rFonts w:cs="Arial"/>
              </w:rPr>
              <w:t xml:space="preserve">during the remainder of the Term, </w:t>
            </w:r>
            <w:r w:rsidRPr="00F55457">
              <w:rPr>
                <w:rFonts w:cs="Arial"/>
                <w:highlight w:val="yellow"/>
              </w:rPr>
              <w:t>[</w:t>
            </w:r>
            <w:r w:rsidRPr="001C4B30">
              <w:rPr>
                <w:rStyle w:val="StdBodyTextBoldChar"/>
                <w:rFonts w:cs="Arial"/>
                <w:b w:val="0"/>
                <w:bCs/>
                <w:highlight w:val="yellow"/>
              </w:rPr>
              <w:t>x</w:t>
            </w:r>
            <w:r w:rsidRPr="00F55457">
              <w:rPr>
                <w:rFonts w:cs="Arial"/>
                <w:highlight w:val="yellow"/>
              </w:rPr>
              <w:t>]</w:t>
            </w:r>
            <w:r w:rsidRPr="00622BE6">
              <w:rPr>
                <w:rFonts w:cs="Arial"/>
              </w:rPr>
              <w:t>%</w:t>
            </w:r>
            <w:r w:rsidRPr="00F55457">
              <w:rPr>
                <w:rFonts w:cs="Arial"/>
              </w:rPr>
              <w:t xml:space="preserve"> of the Service Charges paid and/or due </w:t>
            </w:r>
            <w:r w:rsidRPr="008D6A63">
              <w:rPr>
                <w:rFonts w:cs="Arial"/>
              </w:rPr>
              <w:t>to be paid to the Supplier under this Contract in the</w:t>
            </w:r>
            <w:r w:rsidRPr="00F55457">
              <w:rPr>
                <w:rFonts w:cs="Arial"/>
              </w:rPr>
              <w:t xml:space="preserve"> period of 12 months immediately preceding the Service Period in respect of which Service Credits are accrued; </w:t>
            </w:r>
          </w:p>
        </w:tc>
      </w:tr>
      <w:tr w:rsidR="00F67E9E" w:rsidRPr="00F55457" w14:paraId="6E219709" w14:textId="77777777" w:rsidTr="007F74AA">
        <w:tc>
          <w:tcPr>
            <w:tcW w:w="2835" w:type="dxa"/>
          </w:tcPr>
          <w:p w14:paraId="23703C60" w14:textId="77777777" w:rsidR="00F67E9E" w:rsidRPr="00F55457" w:rsidRDefault="00F67E9E" w:rsidP="007F74AA">
            <w:pPr>
              <w:pStyle w:val="StdBodyTextBold"/>
              <w:rPr>
                <w:rFonts w:cs="Arial"/>
              </w:rPr>
            </w:pPr>
            <w:r>
              <w:rPr>
                <w:rFonts w:cs="Arial"/>
              </w:rPr>
              <w:t>“</w:t>
            </w:r>
            <w:r w:rsidRPr="00F55457">
              <w:rPr>
                <w:rFonts w:cs="Arial"/>
              </w:rPr>
              <w:t>Service Credits</w:t>
            </w:r>
            <w:r>
              <w:rPr>
                <w:rFonts w:cs="Arial"/>
              </w:rPr>
              <w:t>”</w:t>
            </w:r>
          </w:p>
        </w:tc>
        <w:tc>
          <w:tcPr>
            <w:tcW w:w="6803" w:type="dxa"/>
          </w:tcPr>
          <w:p w14:paraId="23C8EC65" w14:textId="78F9D666" w:rsidR="00F67E9E" w:rsidRPr="00F55457" w:rsidRDefault="00F67E9E" w:rsidP="007F74AA">
            <w:pPr>
              <w:pStyle w:val="StdBodyText"/>
              <w:rPr>
                <w:rFonts w:cs="Arial"/>
              </w:rPr>
            </w:pPr>
            <w:r w:rsidRPr="00F55457">
              <w:rPr>
                <w:rFonts w:cs="Arial"/>
              </w:rPr>
              <w:t xml:space="preserve">credits payable by the Supplier due to the </w:t>
            </w:r>
            <w:r w:rsidRPr="008D6A63">
              <w:rPr>
                <w:rFonts w:cs="Arial"/>
              </w:rPr>
              <w:t xml:space="preserve">occurrence of 1 or more KPI Failures, calculated in accordance with </w:t>
            </w:r>
            <w:bookmarkStart w:id="224" w:name="_9kMKJ5YVt4EE6CEZGpqgyts0F"/>
            <w:r w:rsidRPr="008D6A63">
              <w:rPr>
                <w:rFonts w:cs="Arial"/>
              </w:rPr>
              <w:t xml:space="preserve">Paragraph </w:t>
            </w:r>
            <w:bookmarkEnd w:id="224"/>
            <w:r w:rsidRPr="008D6A63">
              <w:rPr>
                <w:rFonts w:cs="Arial"/>
              </w:rPr>
              <w:fldChar w:fldCharType="begin"/>
            </w:r>
            <w:r w:rsidRPr="008D6A63">
              <w:rPr>
                <w:rFonts w:cs="Arial"/>
              </w:rPr>
              <w:instrText xml:space="preserve"> REF _Ref44570785 \r \h  \* MERGEFORMAT </w:instrText>
            </w:r>
            <w:r w:rsidRPr="008D6A63">
              <w:rPr>
                <w:rFonts w:cs="Arial"/>
              </w:rPr>
            </w:r>
            <w:r w:rsidRPr="008D6A63">
              <w:rPr>
                <w:rFonts w:cs="Arial"/>
              </w:rPr>
              <w:fldChar w:fldCharType="separate"/>
            </w:r>
            <w:r w:rsidR="00302D39">
              <w:rPr>
                <w:rFonts w:cs="Arial"/>
              </w:rPr>
              <w:t>3</w:t>
            </w:r>
            <w:r w:rsidRPr="008D6A63">
              <w:rPr>
                <w:rFonts w:cs="Arial"/>
              </w:rPr>
              <w:fldChar w:fldCharType="end"/>
            </w:r>
            <w:r w:rsidRPr="008D6A63">
              <w:rPr>
                <w:rFonts w:cs="Arial"/>
              </w:rPr>
              <w:t xml:space="preserve"> of </w:t>
            </w:r>
            <w:r w:rsidRPr="008D6A63">
              <w:rPr>
                <w:rFonts w:cs="Arial"/>
              </w:rPr>
              <w:fldChar w:fldCharType="begin"/>
            </w:r>
            <w:r w:rsidRPr="008D6A63">
              <w:rPr>
                <w:rFonts w:cs="Arial"/>
              </w:rPr>
              <w:instrText xml:space="preserve"> REF Sch15PartC \h  \* MERGEFORMAT </w:instrText>
            </w:r>
            <w:r w:rsidRPr="008D6A63">
              <w:rPr>
                <w:rFonts w:cs="Arial"/>
              </w:rPr>
            </w:r>
            <w:r w:rsidRPr="008D6A63">
              <w:rPr>
                <w:rFonts w:cs="Arial"/>
              </w:rPr>
              <w:fldChar w:fldCharType="separate"/>
            </w:r>
            <w:r w:rsidR="00302D39" w:rsidRPr="00302D39">
              <w:rPr>
                <w:rFonts w:cs="Arial"/>
              </w:rPr>
              <w:t>Part C</w:t>
            </w:r>
            <w:r w:rsidRPr="008D6A63">
              <w:rPr>
                <w:rFonts w:cs="Arial"/>
              </w:rPr>
              <w:fldChar w:fldCharType="end"/>
            </w:r>
            <w:r w:rsidRPr="008D6A63">
              <w:rPr>
                <w:rFonts w:cs="Arial"/>
              </w:rPr>
              <w:t xml:space="preserve"> of </w:t>
            </w:r>
            <w:r>
              <w:rPr>
                <w:rFonts w:cs="Arial"/>
              </w:rPr>
              <w:fldChar w:fldCharType="begin"/>
            </w:r>
            <w:r>
              <w:rPr>
                <w:rFonts w:cs="Arial"/>
              </w:rPr>
              <w:instrText xml:space="preserve"> REF Schedule15 \h </w:instrText>
            </w:r>
            <w:r>
              <w:rPr>
                <w:rFonts w:cs="Arial"/>
              </w:rPr>
            </w:r>
            <w:r>
              <w:rPr>
                <w:rFonts w:cs="Arial"/>
              </w:rPr>
              <w:fldChar w:fldCharType="separate"/>
            </w:r>
            <w:r w:rsidR="00302D39" w:rsidRPr="005D0525">
              <w:t>Schedule</w:t>
            </w:r>
            <w:r w:rsidR="00302D39">
              <w:t> </w:t>
            </w:r>
            <w:r w:rsidR="00302D39" w:rsidRPr="005D0525">
              <w:t>15</w:t>
            </w:r>
            <w:r>
              <w:rPr>
                <w:rFonts w:cs="Arial"/>
              </w:rPr>
              <w:fldChar w:fldCharType="end"/>
            </w:r>
            <w:r>
              <w:rPr>
                <w:rFonts w:cs="Arial"/>
              </w:rPr>
              <w:t xml:space="preserve"> (</w:t>
            </w:r>
            <w:r w:rsidRPr="00B91437">
              <w:rPr>
                <w:rFonts w:cs="Arial"/>
                <w:i/>
                <w:iCs/>
              </w:rPr>
              <w:fldChar w:fldCharType="begin"/>
            </w:r>
            <w:r w:rsidRPr="00B91437">
              <w:rPr>
                <w:rFonts w:cs="Arial"/>
                <w:i/>
                <w:iCs/>
              </w:rPr>
              <w:instrText xml:space="preserve"> REF Schedule15Heading \h </w:instrText>
            </w:r>
            <w:r>
              <w:rPr>
                <w:rFonts w:cs="Arial"/>
                <w:i/>
                <w:iCs/>
              </w:rPr>
              <w:instrText xml:space="preserve"> \* MERGEFORMAT </w:instrText>
            </w:r>
            <w:r w:rsidRPr="00B91437">
              <w:rPr>
                <w:rFonts w:cs="Arial"/>
                <w:i/>
                <w:iCs/>
              </w:rPr>
            </w:r>
            <w:r w:rsidRPr="00B91437">
              <w:rPr>
                <w:rFonts w:cs="Arial"/>
                <w:i/>
                <w:iCs/>
              </w:rPr>
              <w:fldChar w:fldCharType="separate"/>
            </w:r>
            <w:r w:rsidR="00302D39" w:rsidRPr="00302D39">
              <w:rPr>
                <w:i/>
                <w:iCs/>
              </w:rPr>
              <w:t>Charges and Invoicing</w:t>
            </w:r>
            <w:r w:rsidRPr="00B91437">
              <w:rPr>
                <w:rFonts w:cs="Arial"/>
                <w:i/>
                <w:iCs/>
              </w:rPr>
              <w:fldChar w:fldCharType="end"/>
            </w:r>
            <w:r>
              <w:rPr>
                <w:rFonts w:cs="Arial"/>
              </w:rPr>
              <w:t>)</w:t>
            </w:r>
            <w:r w:rsidRPr="008D6A63">
              <w:rPr>
                <w:rFonts w:cs="Arial"/>
              </w:rPr>
              <w:t>;</w:t>
            </w:r>
          </w:p>
        </w:tc>
      </w:tr>
      <w:tr w:rsidR="00F67E9E" w:rsidRPr="00F55457" w14:paraId="234AE7AE" w14:textId="77777777" w:rsidTr="007F74AA">
        <w:tc>
          <w:tcPr>
            <w:tcW w:w="2835" w:type="dxa"/>
          </w:tcPr>
          <w:p w14:paraId="19AC24E4" w14:textId="77777777" w:rsidR="00F67E9E" w:rsidRPr="00F55457" w:rsidRDefault="00F67E9E" w:rsidP="007F74AA">
            <w:pPr>
              <w:pStyle w:val="StdBodyTextBold"/>
              <w:rPr>
                <w:rFonts w:cs="Arial"/>
              </w:rPr>
            </w:pPr>
            <w:r>
              <w:rPr>
                <w:rFonts w:cs="Arial"/>
              </w:rPr>
              <w:t>“</w:t>
            </w:r>
            <w:r w:rsidRPr="00F55457">
              <w:rPr>
                <w:rFonts w:cs="Arial"/>
              </w:rPr>
              <w:t>Service Period</w:t>
            </w:r>
            <w:r>
              <w:rPr>
                <w:rFonts w:cs="Arial"/>
              </w:rPr>
              <w:t>”</w:t>
            </w:r>
          </w:p>
        </w:tc>
        <w:tc>
          <w:tcPr>
            <w:tcW w:w="6803" w:type="dxa"/>
          </w:tcPr>
          <w:p w14:paraId="7C0FF29A" w14:textId="77777777" w:rsidR="00F67E9E" w:rsidRPr="00F55457" w:rsidRDefault="00F67E9E" w:rsidP="007F74AA">
            <w:pPr>
              <w:pStyle w:val="StdBodyText"/>
              <w:rPr>
                <w:rFonts w:cs="Arial"/>
              </w:rPr>
            </w:pPr>
            <w:r w:rsidRPr="00F55457">
              <w:rPr>
                <w:rFonts w:cs="Arial"/>
              </w:rPr>
              <w:t>a calendar month, save that:</w:t>
            </w:r>
          </w:p>
          <w:p w14:paraId="0ADAEB7E" w14:textId="77777777" w:rsidR="00F67E9E" w:rsidRPr="00F55457" w:rsidRDefault="00F67E9E" w:rsidP="007F74AA">
            <w:pPr>
              <w:pStyle w:val="DefinitionList"/>
              <w:numPr>
                <w:ilvl w:val="0"/>
                <w:numId w:val="91"/>
              </w:numPr>
            </w:pPr>
            <w:r w:rsidRPr="00F55457">
              <w:t>the first service period shall begin on the first Operational Service Commencement Date and shall expire at the end of the calendar month in which the first Operational Service Commencement Date falls; and</w:t>
            </w:r>
          </w:p>
          <w:p w14:paraId="0B8909D5" w14:textId="77777777" w:rsidR="00F67E9E" w:rsidRPr="00F55457" w:rsidRDefault="00F67E9E" w:rsidP="00F67E9E">
            <w:pPr>
              <w:pStyle w:val="DefinitionList"/>
              <w:numPr>
                <w:ilvl w:val="0"/>
                <w:numId w:val="108"/>
              </w:numPr>
              <w:rPr>
                <w:rFonts w:cs="Arial"/>
              </w:rPr>
            </w:pPr>
            <w:r w:rsidRPr="00F55457">
              <w:rPr>
                <w:rFonts w:cs="Arial"/>
              </w:rPr>
              <w:t>the final service period shall commence on the first day of the calendar month in which the Term expires or terminates and shall end on the expiry or termination of the Term;</w:t>
            </w:r>
          </w:p>
        </w:tc>
      </w:tr>
      <w:tr w:rsidR="00F67E9E" w:rsidRPr="00117CBB" w14:paraId="425BC138" w14:textId="77777777" w:rsidTr="007F74AA">
        <w:tc>
          <w:tcPr>
            <w:tcW w:w="2835" w:type="dxa"/>
          </w:tcPr>
          <w:p w14:paraId="0BA6B3A3" w14:textId="77777777" w:rsidR="00F67E9E" w:rsidRPr="00F55457" w:rsidRDefault="00F67E9E" w:rsidP="007F74AA">
            <w:pPr>
              <w:pStyle w:val="StdBodyTextBold"/>
              <w:rPr>
                <w:rFonts w:cs="Arial"/>
              </w:rPr>
            </w:pPr>
            <w:r>
              <w:rPr>
                <w:rFonts w:cs="Arial"/>
              </w:rPr>
              <w:t>“</w:t>
            </w:r>
            <w:r w:rsidRPr="00F55457">
              <w:rPr>
                <w:rFonts w:cs="Arial"/>
              </w:rPr>
              <w:t>Service Points</w:t>
            </w:r>
            <w:r>
              <w:rPr>
                <w:rFonts w:cs="Arial"/>
              </w:rPr>
              <w:t>”</w:t>
            </w:r>
          </w:p>
        </w:tc>
        <w:tc>
          <w:tcPr>
            <w:tcW w:w="6803" w:type="dxa"/>
          </w:tcPr>
          <w:p w14:paraId="15463B40" w14:textId="7E48C590" w:rsidR="00F67E9E" w:rsidRPr="00117CBB" w:rsidRDefault="00F67E9E" w:rsidP="007F74AA">
            <w:pPr>
              <w:pStyle w:val="StdBodyText"/>
              <w:rPr>
                <w:rFonts w:cs="Arial"/>
              </w:rPr>
            </w:pPr>
            <w:r w:rsidRPr="00117CBB">
              <w:rPr>
                <w:rFonts w:cs="Arial"/>
              </w:rPr>
              <w:t xml:space="preserve">in relation to a KPI Failure, the points that are set out against the relevant Key Performance Indicator in the fifth column of the table in </w:t>
            </w:r>
            <w:r w:rsidRPr="00117CBB">
              <w:rPr>
                <w:rFonts w:cs="Arial"/>
              </w:rPr>
              <w:fldChar w:fldCharType="begin"/>
            </w:r>
            <w:r w:rsidRPr="00117CBB">
              <w:rPr>
                <w:rFonts w:cs="Arial"/>
              </w:rPr>
              <w:instrText xml:space="preserve"> REF ANNEX1_SCHEDULE3 \h </w:instrText>
            </w:r>
            <w:r>
              <w:rPr>
                <w:rFonts w:cs="Arial"/>
              </w:rPr>
              <w:instrText xml:space="preserve"> \* MERGEFORMAT </w:instrText>
            </w:r>
            <w:r w:rsidRPr="00117CBB">
              <w:rPr>
                <w:rFonts w:cs="Arial"/>
              </w:rPr>
            </w:r>
            <w:r w:rsidRPr="00117CBB">
              <w:rPr>
                <w:rFonts w:cs="Arial"/>
              </w:rPr>
              <w:fldChar w:fldCharType="separate"/>
            </w:r>
            <w:r w:rsidR="00302D39" w:rsidRPr="00302D39">
              <w:rPr>
                <w:rFonts w:cs="Arial"/>
              </w:rPr>
              <w:t>Annex 1</w:t>
            </w:r>
            <w:r w:rsidRPr="00117CBB">
              <w:rPr>
                <w:rFonts w:cs="Arial"/>
              </w:rPr>
              <w:fldChar w:fldCharType="end"/>
            </w:r>
            <w:r w:rsidRPr="00117CBB">
              <w:rPr>
                <w:rFonts w:cs="Arial"/>
              </w:rPr>
              <w:t xml:space="preserve"> of </w:t>
            </w:r>
            <w:r>
              <w:rPr>
                <w:rFonts w:cs="Arial"/>
              </w:rPr>
              <w:fldChar w:fldCharType="begin"/>
            </w:r>
            <w:r>
              <w:rPr>
                <w:rFonts w:cs="Arial"/>
              </w:rPr>
              <w:instrText xml:space="preserve"> REF Schedule3 \h </w:instrText>
            </w:r>
            <w:r>
              <w:rPr>
                <w:rFonts w:cs="Arial"/>
              </w:rPr>
            </w:r>
            <w:r>
              <w:rPr>
                <w:rFonts w:cs="Arial"/>
              </w:rPr>
              <w:fldChar w:fldCharType="separate"/>
            </w:r>
            <w:r w:rsidR="00302D39" w:rsidRPr="005D0525">
              <w:t>Schedule</w:t>
            </w:r>
            <w:r w:rsidR="00302D39">
              <w:t> </w:t>
            </w:r>
            <w:r w:rsidR="00302D39" w:rsidRPr="005D0525">
              <w:t>3</w:t>
            </w:r>
            <w:r>
              <w:rPr>
                <w:rFonts w:cs="Arial"/>
              </w:rPr>
              <w:fldChar w:fldCharType="end"/>
            </w:r>
            <w:r>
              <w:rPr>
                <w:rFonts w:cs="Arial"/>
              </w:rPr>
              <w:t xml:space="preserve"> (</w:t>
            </w:r>
            <w:r w:rsidRPr="00A22335">
              <w:rPr>
                <w:rFonts w:cs="Arial"/>
                <w:i/>
                <w:iCs/>
              </w:rPr>
              <w:fldChar w:fldCharType="begin"/>
            </w:r>
            <w:r w:rsidRPr="00A22335">
              <w:rPr>
                <w:rFonts w:cs="Arial"/>
                <w:i/>
                <w:iCs/>
              </w:rPr>
              <w:instrText xml:space="preserve"> REF Schedule3Heading \h </w:instrText>
            </w:r>
            <w:r>
              <w:rPr>
                <w:rFonts w:cs="Arial"/>
                <w:i/>
                <w:iCs/>
              </w:rPr>
              <w:instrText xml:space="preserve"> \* MERGEFORMAT </w:instrText>
            </w:r>
            <w:r w:rsidRPr="00A22335">
              <w:rPr>
                <w:rFonts w:cs="Arial"/>
                <w:i/>
                <w:iCs/>
              </w:rPr>
            </w:r>
            <w:r w:rsidRPr="00A22335">
              <w:rPr>
                <w:rFonts w:cs="Arial"/>
                <w:i/>
                <w:iCs/>
              </w:rPr>
              <w:fldChar w:fldCharType="separate"/>
            </w:r>
            <w:r w:rsidR="00302D39" w:rsidRPr="00302D39">
              <w:rPr>
                <w:i/>
                <w:iCs/>
              </w:rPr>
              <w:t>Performance Levels</w:t>
            </w:r>
            <w:r w:rsidRPr="00A22335">
              <w:rPr>
                <w:rFonts w:cs="Arial"/>
                <w:i/>
                <w:iCs/>
              </w:rPr>
              <w:fldChar w:fldCharType="end"/>
            </w:r>
            <w:r>
              <w:rPr>
                <w:rFonts w:cs="Arial"/>
              </w:rPr>
              <w:t>)</w:t>
            </w:r>
            <w:r w:rsidRPr="00117CBB">
              <w:rPr>
                <w:rFonts w:cs="Arial"/>
              </w:rPr>
              <w:t>;</w:t>
            </w:r>
          </w:p>
        </w:tc>
      </w:tr>
      <w:tr w:rsidR="00F67E9E" w:rsidRPr="00F55457" w14:paraId="612E8082" w14:textId="77777777" w:rsidTr="007F74AA">
        <w:tc>
          <w:tcPr>
            <w:tcW w:w="2835" w:type="dxa"/>
          </w:tcPr>
          <w:p w14:paraId="5510594F" w14:textId="77777777" w:rsidR="00F67E9E" w:rsidRPr="008D6A63" w:rsidRDefault="00F67E9E" w:rsidP="007F74AA">
            <w:pPr>
              <w:pStyle w:val="StdBodyTextBold"/>
              <w:rPr>
                <w:rFonts w:cs="Arial"/>
              </w:rPr>
            </w:pPr>
            <w:r>
              <w:rPr>
                <w:rFonts w:cs="Arial"/>
              </w:rPr>
              <w:t>“</w:t>
            </w:r>
            <w:r w:rsidRPr="008D6A63">
              <w:rPr>
                <w:rFonts w:cs="Arial"/>
              </w:rPr>
              <w:t>Services</w:t>
            </w:r>
            <w:r>
              <w:rPr>
                <w:rFonts w:cs="Arial"/>
              </w:rPr>
              <w:t>”</w:t>
            </w:r>
          </w:p>
        </w:tc>
        <w:tc>
          <w:tcPr>
            <w:tcW w:w="6803" w:type="dxa"/>
          </w:tcPr>
          <w:p w14:paraId="6F3F0EFA" w14:textId="6432B57D" w:rsidR="00F67E9E" w:rsidRPr="008D6A63" w:rsidRDefault="00F67E9E" w:rsidP="007F74AA">
            <w:pPr>
              <w:pStyle w:val="StdBodyText"/>
              <w:rPr>
                <w:rFonts w:cs="Arial"/>
              </w:rPr>
            </w:pPr>
            <w:r w:rsidRPr="008D6A63">
              <w:rPr>
                <w:rFonts w:cs="Arial"/>
              </w:rPr>
              <w:t xml:space="preserve">any and all of the services to be provided by the Supplier under this Contract, including those set out in </w:t>
            </w:r>
            <w:r>
              <w:rPr>
                <w:rFonts w:cs="Arial"/>
              </w:rPr>
              <w:fldChar w:fldCharType="begin"/>
            </w:r>
            <w:r>
              <w:rPr>
                <w:rFonts w:cs="Arial"/>
              </w:rPr>
              <w:instrText xml:space="preserve"> REF Schedule2 \h </w:instrText>
            </w:r>
            <w:r>
              <w:rPr>
                <w:rFonts w:cs="Arial"/>
              </w:rPr>
            </w:r>
            <w:r>
              <w:rPr>
                <w:rFonts w:cs="Arial"/>
              </w:rPr>
              <w:fldChar w:fldCharType="separate"/>
            </w:r>
            <w:r w:rsidR="00302D39" w:rsidRPr="005D0525">
              <w:t>Schedule</w:t>
            </w:r>
            <w:r w:rsidR="00302D39">
              <w:t> </w:t>
            </w:r>
            <w:r w:rsidR="00302D39" w:rsidRPr="005D0525">
              <w:t>2</w:t>
            </w:r>
            <w:r>
              <w:rPr>
                <w:rFonts w:cs="Arial"/>
              </w:rPr>
              <w:fldChar w:fldCharType="end"/>
            </w:r>
            <w:r>
              <w:rPr>
                <w:rFonts w:cs="Arial"/>
              </w:rPr>
              <w:t xml:space="preserve"> (</w:t>
            </w:r>
            <w:r w:rsidRPr="00A22335">
              <w:rPr>
                <w:rFonts w:cs="Arial"/>
                <w:i/>
                <w:iCs/>
              </w:rPr>
              <w:fldChar w:fldCharType="begin"/>
            </w:r>
            <w:r w:rsidRPr="00A22335">
              <w:rPr>
                <w:rFonts w:cs="Arial"/>
                <w:i/>
                <w:iCs/>
              </w:rPr>
              <w:instrText xml:space="preserve"> REF Schedule2Heading \h </w:instrText>
            </w:r>
            <w:r>
              <w:rPr>
                <w:rFonts w:cs="Arial"/>
                <w:i/>
                <w:iCs/>
              </w:rPr>
              <w:instrText xml:space="preserve"> \* MERGEFORMAT </w:instrText>
            </w:r>
            <w:r w:rsidRPr="00A22335">
              <w:rPr>
                <w:rFonts w:cs="Arial"/>
                <w:i/>
                <w:iCs/>
              </w:rPr>
            </w:r>
            <w:r w:rsidRPr="00A22335">
              <w:rPr>
                <w:rFonts w:cs="Arial"/>
                <w:i/>
                <w:iCs/>
              </w:rPr>
              <w:fldChar w:fldCharType="separate"/>
            </w:r>
            <w:r w:rsidR="00302D39" w:rsidRPr="00302D39">
              <w:rPr>
                <w:i/>
                <w:iCs/>
              </w:rPr>
              <w:t>Services Description</w:t>
            </w:r>
            <w:r w:rsidRPr="00A22335">
              <w:rPr>
                <w:rFonts w:cs="Arial"/>
                <w:i/>
                <w:iCs/>
              </w:rPr>
              <w:fldChar w:fldCharType="end"/>
            </w:r>
            <w:r>
              <w:rPr>
                <w:rFonts w:cs="Arial"/>
              </w:rPr>
              <w:t>)</w:t>
            </w:r>
            <w:r w:rsidRPr="008D6A63">
              <w:rPr>
                <w:rFonts w:cs="Arial"/>
              </w:rPr>
              <w:t>;</w:t>
            </w:r>
          </w:p>
        </w:tc>
      </w:tr>
      <w:tr w:rsidR="00F67E9E" w:rsidRPr="00F55457" w14:paraId="776C5ADA" w14:textId="77777777" w:rsidTr="007F74AA">
        <w:tc>
          <w:tcPr>
            <w:tcW w:w="2835" w:type="dxa"/>
          </w:tcPr>
          <w:p w14:paraId="5004E673" w14:textId="77777777" w:rsidR="00F67E9E" w:rsidRPr="008D6A63" w:rsidRDefault="00F67E9E" w:rsidP="007F74AA">
            <w:pPr>
              <w:pStyle w:val="StdBodyTextBold"/>
              <w:rPr>
                <w:rFonts w:cs="Arial"/>
              </w:rPr>
            </w:pPr>
            <w:r>
              <w:rPr>
                <w:rFonts w:cs="Arial"/>
              </w:rPr>
              <w:t>“</w:t>
            </w:r>
            <w:r w:rsidRPr="008D6A63">
              <w:rPr>
                <w:rFonts w:cs="Arial"/>
              </w:rPr>
              <w:t>Service Transfer Date</w:t>
            </w:r>
            <w:r>
              <w:rPr>
                <w:rFonts w:cs="Arial"/>
              </w:rPr>
              <w:t>”</w:t>
            </w:r>
          </w:p>
        </w:tc>
        <w:tc>
          <w:tcPr>
            <w:tcW w:w="6803" w:type="dxa"/>
          </w:tcPr>
          <w:p w14:paraId="6709A0D8" w14:textId="46F179C4" w:rsidR="00F67E9E" w:rsidRPr="008D6A63" w:rsidRDefault="00F67E9E" w:rsidP="007F74AA">
            <w:pPr>
              <w:pStyle w:val="StdBodyText"/>
              <w:rPr>
                <w:rFonts w:cs="Arial"/>
              </w:rPr>
            </w:pPr>
            <w:r w:rsidRPr="008D6A63">
              <w:rPr>
                <w:rFonts w:cs="Arial"/>
              </w:rPr>
              <w:t xml:space="preserve">has the meaning given in </w:t>
            </w:r>
            <w:r>
              <w:rPr>
                <w:rFonts w:cs="Arial"/>
              </w:rPr>
              <w:fldChar w:fldCharType="begin"/>
            </w:r>
            <w:r>
              <w:rPr>
                <w:rFonts w:cs="Arial"/>
              </w:rPr>
              <w:instrText xml:space="preserve"> REF Schedule28 \h </w:instrText>
            </w:r>
            <w:r>
              <w:rPr>
                <w:rFonts w:cs="Arial"/>
              </w:rPr>
            </w:r>
            <w:r>
              <w:rPr>
                <w:rFonts w:cs="Arial"/>
              </w:rPr>
              <w:fldChar w:fldCharType="separate"/>
            </w:r>
            <w:r w:rsidR="00302D39" w:rsidRPr="005D0525">
              <w:t>Schedule</w:t>
            </w:r>
            <w:r w:rsidR="00302D39">
              <w:t> </w:t>
            </w:r>
            <w:r w:rsidR="00302D39" w:rsidRPr="005D0525">
              <w:t>28</w:t>
            </w:r>
            <w:r>
              <w:rPr>
                <w:rFonts w:cs="Arial"/>
              </w:rPr>
              <w:fldChar w:fldCharType="end"/>
            </w:r>
            <w:r>
              <w:rPr>
                <w:rFonts w:cs="Arial"/>
              </w:rPr>
              <w:t xml:space="preserve"> (</w:t>
            </w:r>
            <w:r w:rsidRPr="006F064F">
              <w:rPr>
                <w:rFonts w:cs="Arial"/>
                <w:i/>
                <w:iCs/>
              </w:rPr>
              <w:fldChar w:fldCharType="begin"/>
            </w:r>
            <w:r w:rsidRPr="006F064F">
              <w:rPr>
                <w:rFonts w:cs="Arial"/>
                <w:i/>
                <w:iCs/>
              </w:rPr>
              <w:instrText xml:space="preserve"> REF Schedule28Heading \h </w:instrText>
            </w:r>
            <w:r>
              <w:rPr>
                <w:rFonts w:cs="Arial"/>
                <w:i/>
                <w:iCs/>
              </w:rPr>
              <w:instrText xml:space="preserve"> \* MERGEFORMAT </w:instrText>
            </w:r>
            <w:r w:rsidRPr="006F064F">
              <w:rPr>
                <w:rFonts w:cs="Arial"/>
                <w:i/>
                <w:iCs/>
              </w:rPr>
            </w:r>
            <w:r w:rsidRPr="006F064F">
              <w:rPr>
                <w:rFonts w:cs="Arial"/>
                <w:i/>
                <w:iCs/>
              </w:rPr>
              <w:fldChar w:fldCharType="separate"/>
            </w:r>
            <w:r w:rsidR="00302D39" w:rsidRPr="00302D39">
              <w:rPr>
                <w:i/>
                <w:iCs/>
              </w:rPr>
              <w:t>Staff Transfer</w:t>
            </w:r>
            <w:r w:rsidRPr="006F064F">
              <w:rPr>
                <w:rFonts w:cs="Arial"/>
                <w:i/>
                <w:iCs/>
              </w:rPr>
              <w:fldChar w:fldCharType="end"/>
            </w:r>
            <w:r>
              <w:rPr>
                <w:rFonts w:cs="Arial"/>
              </w:rPr>
              <w:t>)</w:t>
            </w:r>
            <w:r w:rsidRPr="008D6A63">
              <w:rPr>
                <w:rFonts w:cs="Arial"/>
              </w:rPr>
              <w:t>;</w:t>
            </w:r>
          </w:p>
        </w:tc>
      </w:tr>
      <w:tr w:rsidR="00F67E9E" w:rsidRPr="00F55457" w14:paraId="3D88540A" w14:textId="77777777" w:rsidTr="007F74AA">
        <w:tc>
          <w:tcPr>
            <w:tcW w:w="2835" w:type="dxa"/>
          </w:tcPr>
          <w:p w14:paraId="12E65BFA" w14:textId="77777777" w:rsidR="00F67E9E" w:rsidRPr="008D6A63" w:rsidRDefault="00F67E9E" w:rsidP="007F74AA">
            <w:pPr>
              <w:pStyle w:val="StdBodyTextBold"/>
              <w:rPr>
                <w:rFonts w:cs="Arial"/>
              </w:rPr>
            </w:pPr>
            <w:r>
              <w:rPr>
                <w:rFonts w:cs="Arial"/>
              </w:rPr>
              <w:t>“</w:t>
            </w:r>
            <w:r w:rsidRPr="008D6A63">
              <w:rPr>
                <w:rFonts w:cs="Arial"/>
              </w:rPr>
              <w:t>Services Description</w:t>
            </w:r>
            <w:r>
              <w:rPr>
                <w:rFonts w:cs="Arial"/>
              </w:rPr>
              <w:t>”</w:t>
            </w:r>
          </w:p>
        </w:tc>
        <w:tc>
          <w:tcPr>
            <w:tcW w:w="6803" w:type="dxa"/>
          </w:tcPr>
          <w:p w14:paraId="2A63462F" w14:textId="5DF7F765" w:rsidR="00F67E9E" w:rsidRPr="008D6A63" w:rsidRDefault="00F67E9E" w:rsidP="007F74AA">
            <w:pPr>
              <w:pStyle w:val="StdBodyText"/>
              <w:rPr>
                <w:rFonts w:cs="Arial"/>
              </w:rPr>
            </w:pPr>
            <w:r w:rsidRPr="008D6A63">
              <w:rPr>
                <w:rFonts w:cs="Arial"/>
              </w:rPr>
              <w:t xml:space="preserve">the services description set out in </w:t>
            </w:r>
            <w:r>
              <w:rPr>
                <w:rFonts w:cs="Arial"/>
              </w:rPr>
              <w:fldChar w:fldCharType="begin"/>
            </w:r>
            <w:r>
              <w:rPr>
                <w:rFonts w:cs="Arial"/>
              </w:rPr>
              <w:instrText xml:space="preserve"> REF Schedule2 \h </w:instrText>
            </w:r>
            <w:r>
              <w:rPr>
                <w:rFonts w:cs="Arial"/>
              </w:rPr>
            </w:r>
            <w:r>
              <w:rPr>
                <w:rFonts w:cs="Arial"/>
              </w:rPr>
              <w:fldChar w:fldCharType="separate"/>
            </w:r>
            <w:r w:rsidR="00302D39" w:rsidRPr="005D0525">
              <w:t>Schedule</w:t>
            </w:r>
            <w:r w:rsidR="00302D39">
              <w:t> </w:t>
            </w:r>
            <w:r w:rsidR="00302D39" w:rsidRPr="005D0525">
              <w:t>2</w:t>
            </w:r>
            <w:r>
              <w:rPr>
                <w:rFonts w:cs="Arial"/>
              </w:rPr>
              <w:fldChar w:fldCharType="end"/>
            </w:r>
            <w:r>
              <w:rPr>
                <w:rFonts w:cs="Arial"/>
              </w:rPr>
              <w:t xml:space="preserve"> (</w:t>
            </w:r>
            <w:r w:rsidRPr="00A22335">
              <w:rPr>
                <w:rFonts w:cs="Arial"/>
                <w:i/>
                <w:iCs/>
              </w:rPr>
              <w:fldChar w:fldCharType="begin"/>
            </w:r>
            <w:r w:rsidRPr="00A22335">
              <w:rPr>
                <w:rFonts w:cs="Arial"/>
                <w:i/>
                <w:iCs/>
              </w:rPr>
              <w:instrText xml:space="preserve"> REF Schedule2Heading \h </w:instrText>
            </w:r>
            <w:r>
              <w:rPr>
                <w:rFonts w:cs="Arial"/>
                <w:i/>
                <w:iCs/>
              </w:rPr>
              <w:instrText xml:space="preserve"> \* MERGEFORMAT </w:instrText>
            </w:r>
            <w:r w:rsidRPr="00A22335">
              <w:rPr>
                <w:rFonts w:cs="Arial"/>
                <w:i/>
                <w:iCs/>
              </w:rPr>
            </w:r>
            <w:r w:rsidRPr="00A22335">
              <w:rPr>
                <w:rFonts w:cs="Arial"/>
                <w:i/>
                <w:iCs/>
              </w:rPr>
              <w:fldChar w:fldCharType="separate"/>
            </w:r>
            <w:r w:rsidR="00302D39" w:rsidRPr="00302D39">
              <w:rPr>
                <w:i/>
                <w:iCs/>
              </w:rPr>
              <w:t>Services Description</w:t>
            </w:r>
            <w:r w:rsidRPr="00A22335">
              <w:rPr>
                <w:rFonts w:cs="Arial"/>
                <w:i/>
                <w:iCs/>
              </w:rPr>
              <w:fldChar w:fldCharType="end"/>
            </w:r>
            <w:r>
              <w:rPr>
                <w:rFonts w:cs="Arial"/>
              </w:rPr>
              <w:t>)</w:t>
            </w:r>
            <w:r w:rsidRPr="008D6A63">
              <w:rPr>
                <w:rFonts w:cs="Arial"/>
              </w:rPr>
              <w:t>;</w:t>
            </w:r>
          </w:p>
        </w:tc>
      </w:tr>
      <w:tr w:rsidR="00F67E9E" w:rsidRPr="00F55457" w14:paraId="0AF45D37" w14:textId="77777777" w:rsidTr="007F74AA">
        <w:tc>
          <w:tcPr>
            <w:tcW w:w="2835" w:type="dxa"/>
          </w:tcPr>
          <w:p w14:paraId="320CCABE" w14:textId="77777777" w:rsidR="00F67E9E" w:rsidRPr="008D6A63" w:rsidRDefault="00F67E9E" w:rsidP="007F74AA">
            <w:pPr>
              <w:pStyle w:val="StdBodyTextBold"/>
              <w:rPr>
                <w:rFonts w:cs="Arial"/>
              </w:rPr>
            </w:pPr>
            <w:r>
              <w:rPr>
                <w:rFonts w:cs="Arial"/>
              </w:rPr>
              <w:t>“</w:t>
            </w:r>
            <w:r w:rsidRPr="008D6A63">
              <w:rPr>
                <w:rFonts w:cs="Arial"/>
              </w:rPr>
              <w:t>Severe KPI Failure</w:t>
            </w:r>
            <w:r>
              <w:rPr>
                <w:rFonts w:cs="Arial"/>
              </w:rPr>
              <w:t>”</w:t>
            </w:r>
          </w:p>
        </w:tc>
        <w:tc>
          <w:tcPr>
            <w:tcW w:w="6803" w:type="dxa"/>
          </w:tcPr>
          <w:p w14:paraId="2FCA9CF6" w14:textId="658FA996" w:rsidR="00F67E9E" w:rsidRPr="008D6A63" w:rsidRDefault="00F67E9E" w:rsidP="007F74AA">
            <w:pPr>
              <w:pStyle w:val="StdBodyText"/>
              <w:rPr>
                <w:rFonts w:cs="Arial"/>
              </w:rPr>
            </w:pPr>
            <w:r w:rsidRPr="008D6A63">
              <w:rPr>
                <w:rFonts w:cs="Arial"/>
              </w:rPr>
              <w:t xml:space="preserve">shall be as set out against the relevant </w:t>
            </w:r>
            <w:bookmarkStart w:id="225" w:name="_9kMJI5YVt4CCFMMbF0mNwyw98suxpWa2yyr9ONI"/>
            <w:r w:rsidRPr="008D6A63">
              <w:rPr>
                <w:rFonts w:cs="Arial"/>
              </w:rPr>
              <w:t xml:space="preserve">Key Performance Indicator in Table 1 of </w:t>
            </w:r>
            <w:r w:rsidRPr="008D6A63">
              <w:rPr>
                <w:rFonts w:cs="Arial"/>
              </w:rPr>
              <w:fldChar w:fldCharType="begin"/>
            </w:r>
            <w:r w:rsidRPr="008D6A63">
              <w:rPr>
                <w:rFonts w:cs="Arial"/>
              </w:rPr>
              <w:instrText xml:space="preserve"> REF Sch3Ann1PartA \h  \* MERGEFORMAT </w:instrText>
            </w:r>
            <w:r w:rsidRPr="008D6A63">
              <w:rPr>
                <w:rFonts w:cs="Arial"/>
              </w:rPr>
            </w:r>
            <w:r w:rsidRPr="008D6A63">
              <w:rPr>
                <w:rFonts w:cs="Arial"/>
              </w:rPr>
              <w:fldChar w:fldCharType="separate"/>
            </w:r>
            <w:r w:rsidR="00302D39" w:rsidRPr="00302D39">
              <w:rPr>
                <w:rFonts w:cs="Arial"/>
              </w:rPr>
              <w:t>Part A</w:t>
            </w:r>
            <w:r w:rsidRPr="008D6A63">
              <w:rPr>
                <w:rFonts w:cs="Arial"/>
              </w:rPr>
              <w:fldChar w:fldCharType="end"/>
            </w:r>
            <w:r w:rsidRPr="008D6A63">
              <w:rPr>
                <w:rFonts w:cs="Arial"/>
              </w:rPr>
              <w:t xml:space="preserve"> of </w:t>
            </w:r>
            <w:bookmarkEnd w:id="225"/>
            <w:r w:rsidRPr="008D6A63">
              <w:rPr>
                <w:rFonts w:cs="Arial"/>
              </w:rPr>
              <w:fldChar w:fldCharType="begin"/>
            </w:r>
            <w:r w:rsidRPr="008D6A63">
              <w:rPr>
                <w:rFonts w:cs="Arial"/>
              </w:rPr>
              <w:instrText xml:space="preserve"> REF ANNEX1_SCHEDULE3 \h  \* MERGEFORMAT </w:instrText>
            </w:r>
            <w:r w:rsidRPr="008D6A63">
              <w:rPr>
                <w:rFonts w:cs="Arial"/>
              </w:rPr>
            </w:r>
            <w:r w:rsidRPr="008D6A63">
              <w:rPr>
                <w:rFonts w:cs="Arial"/>
              </w:rPr>
              <w:fldChar w:fldCharType="separate"/>
            </w:r>
            <w:r w:rsidR="00302D39" w:rsidRPr="00302D39">
              <w:rPr>
                <w:rFonts w:cs="Arial"/>
              </w:rPr>
              <w:t>Annex 1</w:t>
            </w:r>
            <w:r w:rsidRPr="008D6A63">
              <w:rPr>
                <w:rFonts w:cs="Arial"/>
              </w:rPr>
              <w:fldChar w:fldCharType="end"/>
            </w:r>
            <w:r w:rsidRPr="008D6A63">
              <w:rPr>
                <w:rFonts w:cs="Arial"/>
              </w:rPr>
              <w:t xml:space="preserve"> of </w:t>
            </w:r>
            <w:r>
              <w:rPr>
                <w:rFonts w:cs="Arial"/>
              </w:rPr>
              <w:fldChar w:fldCharType="begin"/>
            </w:r>
            <w:r>
              <w:rPr>
                <w:rFonts w:cs="Arial"/>
              </w:rPr>
              <w:instrText xml:space="preserve"> REF Schedule3 \h </w:instrText>
            </w:r>
            <w:r>
              <w:rPr>
                <w:rFonts w:cs="Arial"/>
              </w:rPr>
            </w:r>
            <w:r>
              <w:rPr>
                <w:rFonts w:cs="Arial"/>
              </w:rPr>
              <w:fldChar w:fldCharType="separate"/>
            </w:r>
            <w:r w:rsidR="00302D39" w:rsidRPr="005D0525">
              <w:t>Schedule</w:t>
            </w:r>
            <w:r w:rsidR="00302D39">
              <w:t> </w:t>
            </w:r>
            <w:r w:rsidR="00302D39" w:rsidRPr="005D0525">
              <w:t>3</w:t>
            </w:r>
            <w:r>
              <w:rPr>
                <w:rFonts w:cs="Arial"/>
              </w:rPr>
              <w:fldChar w:fldCharType="end"/>
            </w:r>
            <w:r>
              <w:rPr>
                <w:rFonts w:cs="Arial"/>
              </w:rPr>
              <w:t xml:space="preserve"> (</w:t>
            </w:r>
            <w:r w:rsidRPr="00A22335">
              <w:rPr>
                <w:rFonts w:cs="Arial"/>
                <w:i/>
                <w:iCs/>
              </w:rPr>
              <w:fldChar w:fldCharType="begin"/>
            </w:r>
            <w:r w:rsidRPr="00A22335">
              <w:rPr>
                <w:rFonts w:cs="Arial"/>
                <w:i/>
                <w:iCs/>
              </w:rPr>
              <w:instrText xml:space="preserve"> REF Schedule3Heading \h </w:instrText>
            </w:r>
            <w:r>
              <w:rPr>
                <w:rFonts w:cs="Arial"/>
                <w:i/>
                <w:iCs/>
              </w:rPr>
              <w:instrText xml:space="preserve"> \* MERGEFORMAT </w:instrText>
            </w:r>
            <w:r w:rsidRPr="00A22335">
              <w:rPr>
                <w:rFonts w:cs="Arial"/>
                <w:i/>
                <w:iCs/>
              </w:rPr>
            </w:r>
            <w:r w:rsidRPr="00A22335">
              <w:rPr>
                <w:rFonts w:cs="Arial"/>
                <w:i/>
                <w:iCs/>
              </w:rPr>
              <w:fldChar w:fldCharType="separate"/>
            </w:r>
            <w:r w:rsidR="00302D39" w:rsidRPr="00302D39">
              <w:rPr>
                <w:i/>
                <w:iCs/>
              </w:rPr>
              <w:t>Performance Levels</w:t>
            </w:r>
            <w:r w:rsidRPr="00A22335">
              <w:rPr>
                <w:rFonts w:cs="Arial"/>
                <w:i/>
                <w:iCs/>
              </w:rPr>
              <w:fldChar w:fldCharType="end"/>
            </w:r>
            <w:r>
              <w:rPr>
                <w:rFonts w:cs="Arial"/>
              </w:rPr>
              <w:t>)</w:t>
            </w:r>
            <w:r w:rsidRPr="008D6A63">
              <w:rPr>
                <w:rFonts w:cs="Arial"/>
              </w:rPr>
              <w:t>;</w:t>
            </w:r>
          </w:p>
        </w:tc>
      </w:tr>
      <w:tr w:rsidR="00F67E9E" w:rsidRPr="00F55457" w14:paraId="65B15785" w14:textId="77777777" w:rsidTr="007F74AA">
        <w:tc>
          <w:tcPr>
            <w:tcW w:w="2835" w:type="dxa"/>
          </w:tcPr>
          <w:p w14:paraId="5BA8C445" w14:textId="77777777" w:rsidR="00F67E9E" w:rsidRPr="008D6A63" w:rsidRDefault="00F67E9E" w:rsidP="007F74AA">
            <w:pPr>
              <w:pStyle w:val="StdBodyTextBold"/>
              <w:rPr>
                <w:rFonts w:cs="Arial"/>
              </w:rPr>
            </w:pPr>
            <w:r>
              <w:rPr>
                <w:rFonts w:cs="Arial"/>
              </w:rPr>
              <w:t>“</w:t>
            </w:r>
            <w:r w:rsidRPr="008D6A63">
              <w:rPr>
                <w:rFonts w:cs="Arial"/>
              </w:rPr>
              <w:t>Sites</w:t>
            </w:r>
            <w:r>
              <w:rPr>
                <w:rFonts w:cs="Arial"/>
              </w:rPr>
              <w:t>”</w:t>
            </w:r>
          </w:p>
        </w:tc>
        <w:tc>
          <w:tcPr>
            <w:tcW w:w="6803" w:type="dxa"/>
          </w:tcPr>
          <w:p w14:paraId="747E7B3B" w14:textId="77777777" w:rsidR="00F67E9E" w:rsidRPr="008D6A63" w:rsidRDefault="00F67E9E" w:rsidP="007F74AA">
            <w:pPr>
              <w:pStyle w:val="StdBodyText"/>
              <w:rPr>
                <w:rFonts w:cs="Arial"/>
              </w:rPr>
            </w:pPr>
            <w:r w:rsidRPr="008D6A63">
              <w:rPr>
                <w:rFonts w:cs="Arial"/>
              </w:rPr>
              <w:t>any premises (including the Authority Premises, the Supplier</w:t>
            </w:r>
            <w:r>
              <w:rPr>
                <w:rFonts w:cs="Arial"/>
              </w:rPr>
              <w:t>’</w:t>
            </w:r>
            <w:r w:rsidRPr="008D6A63">
              <w:rPr>
                <w:rFonts w:cs="Arial"/>
              </w:rPr>
              <w:t xml:space="preserve">s premises or third party premises): </w:t>
            </w:r>
          </w:p>
          <w:p w14:paraId="334A836A" w14:textId="77777777" w:rsidR="00F67E9E" w:rsidRPr="008D6A63" w:rsidRDefault="00F67E9E" w:rsidP="007F74AA">
            <w:pPr>
              <w:pStyle w:val="DefinitionList"/>
              <w:numPr>
                <w:ilvl w:val="0"/>
                <w:numId w:val="92"/>
              </w:numPr>
            </w:pPr>
            <w:r w:rsidRPr="008D6A63">
              <w:t>from, to or at which:</w:t>
            </w:r>
          </w:p>
          <w:p w14:paraId="4CA05272" w14:textId="77777777" w:rsidR="00F67E9E" w:rsidRPr="008D6A63" w:rsidRDefault="00F67E9E" w:rsidP="00F67E9E">
            <w:pPr>
              <w:pStyle w:val="DefinitionListLevel1"/>
              <w:numPr>
                <w:ilvl w:val="1"/>
                <w:numId w:val="108"/>
              </w:numPr>
              <w:rPr>
                <w:rFonts w:cs="Arial"/>
              </w:rPr>
            </w:pPr>
            <w:r w:rsidRPr="008D6A63">
              <w:rPr>
                <w:rFonts w:cs="Arial"/>
              </w:rPr>
              <w:t xml:space="preserve">the Services are (or are to be) provided; or </w:t>
            </w:r>
          </w:p>
          <w:p w14:paraId="3D87D08E" w14:textId="77777777" w:rsidR="00F67E9E" w:rsidRPr="008D6A63" w:rsidRDefault="00F67E9E" w:rsidP="00F67E9E">
            <w:pPr>
              <w:pStyle w:val="DefinitionListLevel1"/>
              <w:numPr>
                <w:ilvl w:val="1"/>
                <w:numId w:val="108"/>
              </w:numPr>
              <w:rPr>
                <w:rFonts w:cs="Arial"/>
              </w:rPr>
            </w:pPr>
            <w:r w:rsidRPr="008D6A63">
              <w:rPr>
                <w:rFonts w:cs="Arial"/>
              </w:rPr>
              <w:t>the Supplier manages, organises or otherwise directs the provision or the use of the Services; or</w:t>
            </w:r>
          </w:p>
          <w:p w14:paraId="1E58BC11" w14:textId="77777777" w:rsidR="00F67E9E" w:rsidRPr="008D6A63" w:rsidRDefault="00F67E9E" w:rsidP="00F67E9E">
            <w:pPr>
              <w:pStyle w:val="DefinitionList"/>
              <w:numPr>
                <w:ilvl w:val="0"/>
                <w:numId w:val="108"/>
              </w:numPr>
            </w:pPr>
            <w:r w:rsidRPr="008D6A63">
              <w:t>where:</w:t>
            </w:r>
          </w:p>
          <w:p w14:paraId="4D33A1E8" w14:textId="77777777" w:rsidR="00F67E9E" w:rsidRPr="008D6A63" w:rsidRDefault="00F67E9E" w:rsidP="00F67E9E">
            <w:pPr>
              <w:pStyle w:val="DefinitionListLevel1"/>
              <w:numPr>
                <w:ilvl w:val="1"/>
                <w:numId w:val="108"/>
              </w:numPr>
              <w:rPr>
                <w:rFonts w:cs="Arial"/>
              </w:rPr>
            </w:pPr>
            <w:r w:rsidRPr="008D6A63">
              <w:rPr>
                <w:rFonts w:cs="Arial"/>
              </w:rPr>
              <w:t xml:space="preserve">any part of the Supplier System is situated; or </w:t>
            </w:r>
          </w:p>
          <w:p w14:paraId="50D710EE" w14:textId="77777777" w:rsidR="00F67E9E" w:rsidRPr="008D6A63" w:rsidRDefault="00F67E9E" w:rsidP="00F67E9E">
            <w:pPr>
              <w:pStyle w:val="DefinitionListLevel1"/>
              <w:numPr>
                <w:ilvl w:val="1"/>
                <w:numId w:val="108"/>
              </w:numPr>
              <w:rPr>
                <w:rFonts w:cs="Arial"/>
              </w:rPr>
            </w:pPr>
            <w:r w:rsidRPr="008D6A63">
              <w:rPr>
                <w:rFonts w:cs="Arial"/>
              </w:rPr>
              <w:t>any physical interface with the Authority System takes place;</w:t>
            </w:r>
          </w:p>
        </w:tc>
      </w:tr>
      <w:tr w:rsidR="00F67E9E" w:rsidRPr="00F55457" w14:paraId="01C881D4" w14:textId="77777777" w:rsidTr="007F74AA">
        <w:tc>
          <w:tcPr>
            <w:tcW w:w="2835" w:type="dxa"/>
          </w:tcPr>
          <w:p w14:paraId="5F777A15" w14:textId="77777777" w:rsidR="00F67E9E" w:rsidRPr="008D6A63" w:rsidRDefault="00F67E9E" w:rsidP="007F74AA">
            <w:pPr>
              <w:pStyle w:val="StdBodyTextBold"/>
              <w:rPr>
                <w:rFonts w:cs="Arial"/>
              </w:rPr>
            </w:pPr>
            <w:r>
              <w:rPr>
                <w:rFonts w:cs="Arial"/>
              </w:rPr>
              <w:t>“</w:t>
            </w:r>
            <w:r w:rsidRPr="008D6A63">
              <w:rPr>
                <w:rFonts w:cs="Arial"/>
              </w:rPr>
              <w:t>SME</w:t>
            </w:r>
            <w:r>
              <w:rPr>
                <w:rFonts w:cs="Arial"/>
              </w:rPr>
              <w:t>”</w:t>
            </w:r>
          </w:p>
        </w:tc>
        <w:tc>
          <w:tcPr>
            <w:tcW w:w="6803" w:type="dxa"/>
          </w:tcPr>
          <w:p w14:paraId="05935FA2" w14:textId="77777777" w:rsidR="00F67E9E" w:rsidRPr="008D6A63" w:rsidRDefault="00F67E9E" w:rsidP="007F74AA">
            <w:pPr>
              <w:pStyle w:val="StdBodyText"/>
              <w:rPr>
                <w:rFonts w:cs="Arial"/>
              </w:rPr>
            </w:pPr>
            <w:r w:rsidRPr="008D6A63">
              <w:rPr>
                <w:rFonts w:cs="Arial"/>
              </w:rPr>
              <w:t>an enterprise falling within the category of micro, small and medium-sized enterprises defined by the Commission Recommendation of 6 May 2003 concerning the definition of micro, small and medium-sized enterprises;</w:t>
            </w:r>
          </w:p>
        </w:tc>
      </w:tr>
      <w:tr w:rsidR="00F67E9E" w:rsidRPr="00F55457" w14:paraId="03203168" w14:textId="77777777" w:rsidTr="007F74AA">
        <w:tc>
          <w:tcPr>
            <w:tcW w:w="2835" w:type="dxa"/>
          </w:tcPr>
          <w:p w14:paraId="0429496F" w14:textId="77777777" w:rsidR="00F67E9E" w:rsidRPr="008D6A63" w:rsidRDefault="00F67E9E" w:rsidP="007F74AA">
            <w:pPr>
              <w:pStyle w:val="StdBodyTextBold"/>
              <w:rPr>
                <w:rFonts w:cs="Arial"/>
              </w:rPr>
            </w:pPr>
            <w:r>
              <w:rPr>
                <w:rFonts w:cs="Arial"/>
              </w:rPr>
              <w:t>“</w:t>
            </w:r>
            <w:r w:rsidRPr="008D6A63">
              <w:rPr>
                <w:rFonts w:cs="Arial"/>
              </w:rPr>
              <w:t>Social Value</w:t>
            </w:r>
            <w:r>
              <w:rPr>
                <w:rFonts w:cs="Arial"/>
              </w:rPr>
              <w:t>”</w:t>
            </w:r>
          </w:p>
        </w:tc>
        <w:tc>
          <w:tcPr>
            <w:tcW w:w="6803" w:type="dxa"/>
          </w:tcPr>
          <w:p w14:paraId="3EF2C945" w14:textId="77777777" w:rsidR="00F67E9E" w:rsidRPr="008D6A63" w:rsidRDefault="00F67E9E" w:rsidP="007F74AA">
            <w:pPr>
              <w:pStyle w:val="StdBodyText"/>
              <w:rPr>
                <w:rFonts w:cs="Arial"/>
              </w:rPr>
            </w:pPr>
            <w:r w:rsidRPr="008D6A63">
              <w:rPr>
                <w:rFonts w:cs="Arial"/>
              </w:rPr>
              <w:t xml:space="preserve">the </w:t>
            </w:r>
            <w:r w:rsidRPr="009E1FEF">
              <w:rPr>
                <w:rFonts w:cs="Arial"/>
              </w:rPr>
              <w:t>additional social benefits that can be achieved in the delivery of the Contract,</w:t>
            </w:r>
            <w:r w:rsidRPr="005D0525" w:rsidDel="00F20695">
              <w:t xml:space="preserve"> </w:t>
            </w:r>
            <w:bookmarkStart w:id="226" w:name="_Hlk78901962"/>
            <w:r w:rsidRPr="008D6A63">
              <w:rPr>
                <w:rFonts w:cs="Arial"/>
              </w:rPr>
              <w:t xml:space="preserve">set out in </w:t>
            </w:r>
            <w:bookmarkEnd w:id="226"/>
            <w:r w:rsidRPr="008D6A63">
              <w:rPr>
                <w:rFonts w:cs="Arial"/>
              </w:rPr>
              <w:t>the Authority</w:t>
            </w:r>
            <w:r>
              <w:rPr>
                <w:rFonts w:cs="Arial"/>
              </w:rPr>
              <w:t>’</w:t>
            </w:r>
            <w:r w:rsidRPr="008D6A63">
              <w:rPr>
                <w:rFonts w:cs="Arial"/>
              </w:rPr>
              <w:t>s Requirements;</w:t>
            </w:r>
          </w:p>
        </w:tc>
      </w:tr>
      <w:tr w:rsidR="00F67E9E" w:rsidRPr="00F55457" w14:paraId="1E7CE23A" w14:textId="77777777" w:rsidTr="007F74AA">
        <w:tc>
          <w:tcPr>
            <w:tcW w:w="2835" w:type="dxa"/>
          </w:tcPr>
          <w:p w14:paraId="051402B4" w14:textId="77777777" w:rsidR="00F67E9E" w:rsidRPr="008D6A63" w:rsidRDefault="00F67E9E" w:rsidP="007F74AA">
            <w:pPr>
              <w:pStyle w:val="StdBodyTextBold"/>
              <w:rPr>
                <w:rFonts w:cs="Arial"/>
              </w:rPr>
            </w:pPr>
            <w:r>
              <w:rPr>
                <w:rFonts w:cs="Arial"/>
              </w:rPr>
              <w:t>“</w:t>
            </w:r>
            <w:r w:rsidRPr="008D6A63">
              <w:rPr>
                <w:rFonts w:cs="Arial"/>
              </w:rPr>
              <w:t>Social Value PI</w:t>
            </w:r>
            <w:r>
              <w:rPr>
                <w:rFonts w:cs="Arial"/>
              </w:rPr>
              <w:t>”</w:t>
            </w:r>
          </w:p>
        </w:tc>
        <w:tc>
          <w:tcPr>
            <w:tcW w:w="6803" w:type="dxa"/>
          </w:tcPr>
          <w:p w14:paraId="6BB87567" w14:textId="44937309" w:rsidR="00F67E9E" w:rsidRPr="008D6A63" w:rsidRDefault="00F67E9E" w:rsidP="007F74AA">
            <w:pPr>
              <w:pStyle w:val="StdBodyText"/>
              <w:rPr>
                <w:rFonts w:cs="Arial"/>
              </w:rPr>
            </w:pPr>
            <w:r w:rsidRPr="008D6A63">
              <w:rPr>
                <w:rFonts w:cs="Arial"/>
              </w:rPr>
              <w:t xml:space="preserve">The Social Value performance indicators set out in Table 2 of </w:t>
            </w:r>
            <w:r w:rsidRPr="008D6A63">
              <w:rPr>
                <w:rFonts w:cs="Arial"/>
              </w:rPr>
              <w:fldChar w:fldCharType="begin"/>
            </w:r>
            <w:r w:rsidRPr="008D6A63">
              <w:rPr>
                <w:rFonts w:cs="Arial"/>
              </w:rPr>
              <w:instrText xml:space="preserve"> REF _Ref92197316 \h  \* MERGEFORMAT </w:instrText>
            </w:r>
            <w:r w:rsidRPr="008D6A63">
              <w:rPr>
                <w:rFonts w:cs="Arial"/>
              </w:rPr>
            </w:r>
            <w:r w:rsidRPr="008D6A63">
              <w:rPr>
                <w:rFonts w:cs="Arial"/>
              </w:rPr>
              <w:fldChar w:fldCharType="separate"/>
            </w:r>
            <w:r w:rsidR="00302D39" w:rsidRPr="00302D39">
              <w:rPr>
                <w:rFonts w:cs="Arial"/>
              </w:rPr>
              <w:t>Part A:</w:t>
            </w:r>
            <w:r w:rsidR="00302D39" w:rsidRPr="0089405F">
              <w:t xml:space="preserve"> Key Performance Indicators </w:t>
            </w:r>
            <w:r w:rsidR="00302D39">
              <w:t>a</w:t>
            </w:r>
            <w:r w:rsidR="00302D39" w:rsidRPr="0089405F">
              <w:t>nd Subsidiary Performance Indicators Tables</w:t>
            </w:r>
            <w:r w:rsidRPr="008D6A63">
              <w:rPr>
                <w:rFonts w:cs="Arial"/>
              </w:rPr>
              <w:fldChar w:fldCharType="end"/>
            </w:r>
            <w:r w:rsidRPr="008D6A63">
              <w:rPr>
                <w:rFonts w:cs="Arial"/>
              </w:rPr>
              <w:t xml:space="preserve">of </w:t>
            </w:r>
            <w:r w:rsidRPr="008D6A63">
              <w:rPr>
                <w:rFonts w:cs="Arial"/>
              </w:rPr>
              <w:fldChar w:fldCharType="begin"/>
            </w:r>
            <w:r w:rsidRPr="008D6A63">
              <w:rPr>
                <w:rFonts w:cs="Arial"/>
              </w:rPr>
              <w:instrText xml:space="preserve"> REF _Ref92197299 \h  \* MERGEFORMAT </w:instrText>
            </w:r>
            <w:r w:rsidRPr="008D6A63">
              <w:rPr>
                <w:rFonts w:cs="Arial"/>
              </w:rPr>
            </w:r>
            <w:r w:rsidRPr="008D6A63">
              <w:rPr>
                <w:rFonts w:cs="Arial"/>
              </w:rPr>
              <w:fldChar w:fldCharType="separate"/>
            </w:r>
            <w:r w:rsidR="00302D39" w:rsidRPr="00302D39">
              <w:rPr>
                <w:rFonts w:cs="Arial"/>
              </w:rPr>
              <w:t>Annex 1</w:t>
            </w:r>
            <w:r w:rsidR="00302D39" w:rsidRPr="00FC322D">
              <w:t>: Key</w:t>
            </w:r>
            <w:r w:rsidR="00302D39" w:rsidRPr="00E737CD">
              <w:t xml:space="preserve"> Performance Indicators </w:t>
            </w:r>
            <w:r w:rsidR="00302D39">
              <w:t>a</w:t>
            </w:r>
            <w:r w:rsidR="00302D39" w:rsidRPr="00E737CD">
              <w:t>nd Subsidiary Performance Indicators</w:t>
            </w:r>
            <w:r w:rsidRPr="008D6A63">
              <w:rPr>
                <w:rFonts w:cs="Arial"/>
              </w:rPr>
              <w:fldChar w:fldCharType="end"/>
            </w:r>
            <w:r w:rsidRPr="008D6A63">
              <w:rPr>
                <w:rFonts w:cs="Arial"/>
              </w:rPr>
              <w:t xml:space="preserve"> of </w:t>
            </w:r>
            <w:r>
              <w:rPr>
                <w:rFonts w:cs="Arial"/>
              </w:rPr>
              <w:fldChar w:fldCharType="begin"/>
            </w:r>
            <w:r>
              <w:rPr>
                <w:rFonts w:cs="Arial"/>
              </w:rPr>
              <w:instrText xml:space="preserve"> REF Schedule3 \h </w:instrText>
            </w:r>
            <w:r>
              <w:rPr>
                <w:rFonts w:cs="Arial"/>
              </w:rPr>
            </w:r>
            <w:r>
              <w:rPr>
                <w:rFonts w:cs="Arial"/>
              </w:rPr>
              <w:fldChar w:fldCharType="separate"/>
            </w:r>
            <w:r w:rsidR="00302D39" w:rsidRPr="005D0525">
              <w:t>Schedule</w:t>
            </w:r>
            <w:r w:rsidR="00302D39">
              <w:t> </w:t>
            </w:r>
            <w:r w:rsidR="00302D39" w:rsidRPr="005D0525">
              <w:t>3</w:t>
            </w:r>
            <w:r>
              <w:rPr>
                <w:rFonts w:cs="Arial"/>
              </w:rPr>
              <w:fldChar w:fldCharType="end"/>
            </w:r>
            <w:r>
              <w:rPr>
                <w:rFonts w:cs="Arial"/>
              </w:rPr>
              <w:t xml:space="preserve"> (</w:t>
            </w:r>
            <w:r w:rsidRPr="00A22335">
              <w:rPr>
                <w:rFonts w:cs="Arial"/>
                <w:i/>
                <w:iCs/>
              </w:rPr>
              <w:fldChar w:fldCharType="begin"/>
            </w:r>
            <w:r w:rsidRPr="00A22335">
              <w:rPr>
                <w:rFonts w:cs="Arial"/>
                <w:i/>
                <w:iCs/>
              </w:rPr>
              <w:instrText xml:space="preserve"> REF Schedule3Heading \h </w:instrText>
            </w:r>
            <w:r>
              <w:rPr>
                <w:rFonts w:cs="Arial"/>
                <w:i/>
                <w:iCs/>
              </w:rPr>
              <w:instrText xml:space="preserve"> \* MERGEFORMAT </w:instrText>
            </w:r>
            <w:r w:rsidRPr="00A22335">
              <w:rPr>
                <w:rFonts w:cs="Arial"/>
                <w:i/>
                <w:iCs/>
              </w:rPr>
            </w:r>
            <w:r w:rsidRPr="00A22335">
              <w:rPr>
                <w:rFonts w:cs="Arial"/>
                <w:i/>
                <w:iCs/>
              </w:rPr>
              <w:fldChar w:fldCharType="separate"/>
            </w:r>
            <w:r w:rsidR="00302D39" w:rsidRPr="00302D39">
              <w:rPr>
                <w:i/>
                <w:iCs/>
              </w:rPr>
              <w:t>Performance Levels</w:t>
            </w:r>
            <w:r w:rsidRPr="00A22335">
              <w:rPr>
                <w:rFonts w:cs="Arial"/>
                <w:i/>
                <w:iCs/>
              </w:rPr>
              <w:fldChar w:fldCharType="end"/>
            </w:r>
            <w:r>
              <w:rPr>
                <w:rFonts w:cs="Arial"/>
              </w:rPr>
              <w:t>)</w:t>
            </w:r>
            <w:r w:rsidRPr="008D6A63">
              <w:rPr>
                <w:rFonts w:cs="Arial"/>
              </w:rPr>
              <w:t>;</w:t>
            </w:r>
          </w:p>
        </w:tc>
      </w:tr>
      <w:tr w:rsidR="00F67E9E" w:rsidRPr="00F55457" w14:paraId="4CED77EE" w14:textId="77777777" w:rsidTr="007F74AA">
        <w:tc>
          <w:tcPr>
            <w:tcW w:w="2835" w:type="dxa"/>
          </w:tcPr>
          <w:p w14:paraId="37FF9254" w14:textId="77777777" w:rsidR="00F67E9E" w:rsidRPr="008D6A63" w:rsidRDefault="00F67E9E" w:rsidP="007F74AA">
            <w:pPr>
              <w:pStyle w:val="StdBodyTextBold"/>
              <w:rPr>
                <w:rFonts w:cs="Arial"/>
              </w:rPr>
            </w:pPr>
            <w:r>
              <w:rPr>
                <w:rFonts w:cs="Arial"/>
              </w:rPr>
              <w:t>“</w:t>
            </w:r>
            <w:r w:rsidRPr="008D6A63">
              <w:rPr>
                <w:rFonts w:cs="Arial"/>
              </w:rPr>
              <w:t>Social Value KPI</w:t>
            </w:r>
            <w:r>
              <w:rPr>
                <w:rFonts w:cs="Arial"/>
              </w:rPr>
              <w:t>”</w:t>
            </w:r>
          </w:p>
        </w:tc>
        <w:tc>
          <w:tcPr>
            <w:tcW w:w="6803" w:type="dxa"/>
          </w:tcPr>
          <w:p w14:paraId="629D7063" w14:textId="6554ADEC" w:rsidR="00F67E9E" w:rsidRPr="008D6A63" w:rsidRDefault="00F67E9E" w:rsidP="007F74AA">
            <w:pPr>
              <w:pStyle w:val="StdBodyText"/>
              <w:rPr>
                <w:rFonts w:cs="Arial"/>
              </w:rPr>
            </w:pPr>
            <w:r w:rsidRPr="008D6A63">
              <w:rPr>
                <w:rFonts w:cs="Arial"/>
              </w:rPr>
              <w:t xml:space="preserve">The Social Value key performance indicators set out in Table 1 of </w:t>
            </w:r>
            <w:r w:rsidRPr="008D6A63">
              <w:rPr>
                <w:rFonts w:cs="Arial"/>
              </w:rPr>
              <w:fldChar w:fldCharType="begin"/>
            </w:r>
            <w:r w:rsidRPr="008D6A63">
              <w:rPr>
                <w:rFonts w:cs="Arial"/>
              </w:rPr>
              <w:instrText xml:space="preserve"> REF Sch3Ann1PartA \h  \* MERGEFORMAT </w:instrText>
            </w:r>
            <w:r w:rsidRPr="008D6A63">
              <w:rPr>
                <w:rFonts w:cs="Arial"/>
              </w:rPr>
            </w:r>
            <w:r w:rsidRPr="008D6A63">
              <w:rPr>
                <w:rFonts w:cs="Arial"/>
              </w:rPr>
              <w:fldChar w:fldCharType="separate"/>
            </w:r>
            <w:r w:rsidR="00302D39" w:rsidRPr="00302D39">
              <w:rPr>
                <w:rFonts w:cs="Arial"/>
              </w:rPr>
              <w:t>Part A</w:t>
            </w:r>
            <w:r w:rsidRPr="008D6A63">
              <w:rPr>
                <w:rFonts w:cs="Arial"/>
              </w:rPr>
              <w:fldChar w:fldCharType="end"/>
            </w:r>
            <w:r w:rsidRPr="008D6A63">
              <w:rPr>
                <w:rFonts w:cs="Arial"/>
              </w:rPr>
              <w:t xml:space="preserve"> of </w:t>
            </w:r>
            <w:r w:rsidRPr="008D6A63">
              <w:rPr>
                <w:rFonts w:cs="Arial"/>
              </w:rPr>
              <w:fldChar w:fldCharType="begin"/>
            </w:r>
            <w:r w:rsidRPr="008D6A63">
              <w:rPr>
                <w:rFonts w:cs="Arial"/>
              </w:rPr>
              <w:instrText xml:space="preserve"> REF ANNEX1_SCHEDULE3 \h  \* MERGEFORMAT </w:instrText>
            </w:r>
            <w:r w:rsidRPr="008D6A63">
              <w:rPr>
                <w:rFonts w:cs="Arial"/>
              </w:rPr>
            </w:r>
            <w:r w:rsidRPr="008D6A63">
              <w:rPr>
                <w:rFonts w:cs="Arial"/>
              </w:rPr>
              <w:fldChar w:fldCharType="separate"/>
            </w:r>
            <w:r w:rsidR="00302D39" w:rsidRPr="00302D39">
              <w:rPr>
                <w:rFonts w:cs="Arial"/>
              </w:rPr>
              <w:t>Annex 1</w:t>
            </w:r>
            <w:r w:rsidRPr="008D6A63">
              <w:rPr>
                <w:rFonts w:cs="Arial"/>
              </w:rPr>
              <w:fldChar w:fldCharType="end"/>
            </w:r>
            <w:r w:rsidRPr="008D6A63">
              <w:rPr>
                <w:rFonts w:cs="Arial"/>
              </w:rPr>
              <w:t xml:space="preserve"> of </w:t>
            </w:r>
            <w:r>
              <w:rPr>
                <w:rFonts w:cs="Arial"/>
              </w:rPr>
              <w:fldChar w:fldCharType="begin"/>
            </w:r>
            <w:r>
              <w:rPr>
                <w:rFonts w:cs="Arial"/>
              </w:rPr>
              <w:instrText xml:space="preserve"> REF Schedule3 \h </w:instrText>
            </w:r>
            <w:r>
              <w:rPr>
                <w:rFonts w:cs="Arial"/>
              </w:rPr>
            </w:r>
            <w:r>
              <w:rPr>
                <w:rFonts w:cs="Arial"/>
              </w:rPr>
              <w:fldChar w:fldCharType="separate"/>
            </w:r>
            <w:r w:rsidR="00302D39" w:rsidRPr="005D0525">
              <w:t>Schedule</w:t>
            </w:r>
            <w:r w:rsidR="00302D39">
              <w:t> </w:t>
            </w:r>
            <w:r w:rsidR="00302D39" w:rsidRPr="005D0525">
              <w:t>3</w:t>
            </w:r>
            <w:r>
              <w:rPr>
                <w:rFonts w:cs="Arial"/>
              </w:rPr>
              <w:fldChar w:fldCharType="end"/>
            </w:r>
            <w:r>
              <w:rPr>
                <w:rFonts w:cs="Arial"/>
              </w:rPr>
              <w:t xml:space="preserve"> (</w:t>
            </w:r>
            <w:r w:rsidRPr="00A22335">
              <w:rPr>
                <w:rFonts w:cs="Arial"/>
                <w:i/>
                <w:iCs/>
              </w:rPr>
              <w:fldChar w:fldCharType="begin"/>
            </w:r>
            <w:r w:rsidRPr="00A22335">
              <w:rPr>
                <w:rFonts w:cs="Arial"/>
                <w:i/>
                <w:iCs/>
              </w:rPr>
              <w:instrText xml:space="preserve"> REF Schedule3Heading \h </w:instrText>
            </w:r>
            <w:r>
              <w:rPr>
                <w:rFonts w:cs="Arial"/>
                <w:i/>
                <w:iCs/>
              </w:rPr>
              <w:instrText xml:space="preserve"> \* MERGEFORMAT </w:instrText>
            </w:r>
            <w:r w:rsidRPr="00A22335">
              <w:rPr>
                <w:rFonts w:cs="Arial"/>
                <w:i/>
                <w:iCs/>
              </w:rPr>
            </w:r>
            <w:r w:rsidRPr="00A22335">
              <w:rPr>
                <w:rFonts w:cs="Arial"/>
                <w:i/>
                <w:iCs/>
              </w:rPr>
              <w:fldChar w:fldCharType="separate"/>
            </w:r>
            <w:r w:rsidR="00302D39" w:rsidRPr="00302D39">
              <w:rPr>
                <w:i/>
                <w:iCs/>
              </w:rPr>
              <w:t>Performance Levels</w:t>
            </w:r>
            <w:r w:rsidRPr="00A22335">
              <w:rPr>
                <w:rFonts w:cs="Arial"/>
                <w:i/>
                <w:iCs/>
              </w:rPr>
              <w:fldChar w:fldCharType="end"/>
            </w:r>
            <w:r>
              <w:rPr>
                <w:rFonts w:cs="Arial"/>
              </w:rPr>
              <w:t>)</w:t>
            </w:r>
            <w:r w:rsidRPr="008D6A63">
              <w:rPr>
                <w:rFonts w:cs="Arial"/>
              </w:rPr>
              <w:t>;</w:t>
            </w:r>
          </w:p>
        </w:tc>
      </w:tr>
      <w:tr w:rsidR="00F67E9E" w:rsidRPr="00F55457" w14:paraId="0E6FEBEB" w14:textId="77777777" w:rsidTr="007F74AA">
        <w:tc>
          <w:tcPr>
            <w:tcW w:w="2835" w:type="dxa"/>
          </w:tcPr>
          <w:p w14:paraId="4D1EC9DD" w14:textId="77777777" w:rsidR="00F67E9E" w:rsidRPr="008D6A63" w:rsidRDefault="00F67E9E" w:rsidP="007F74AA">
            <w:pPr>
              <w:pStyle w:val="StdBodyTextBold"/>
              <w:rPr>
                <w:rFonts w:cs="Arial"/>
              </w:rPr>
            </w:pPr>
            <w:r>
              <w:rPr>
                <w:rFonts w:cs="Arial"/>
              </w:rPr>
              <w:t>“</w:t>
            </w:r>
            <w:r w:rsidRPr="008D6A63">
              <w:rPr>
                <w:rFonts w:cs="Arial"/>
              </w:rPr>
              <w:t>Software</w:t>
            </w:r>
            <w:r>
              <w:rPr>
                <w:rFonts w:cs="Arial"/>
              </w:rPr>
              <w:t>”</w:t>
            </w:r>
          </w:p>
        </w:tc>
        <w:tc>
          <w:tcPr>
            <w:tcW w:w="6803" w:type="dxa"/>
          </w:tcPr>
          <w:p w14:paraId="31330C69" w14:textId="77777777" w:rsidR="00F67E9E" w:rsidRPr="008D6A63" w:rsidRDefault="00F67E9E" w:rsidP="007F74AA">
            <w:pPr>
              <w:pStyle w:val="StdBodyText"/>
              <w:rPr>
                <w:rFonts w:cs="Arial"/>
              </w:rPr>
            </w:pPr>
            <w:r w:rsidRPr="008D6A63">
              <w:rPr>
                <w:rFonts w:cs="Arial"/>
              </w:rPr>
              <w:t>Specially Written Software, Supplier Software and Third Party Software;</w:t>
            </w:r>
          </w:p>
        </w:tc>
      </w:tr>
      <w:tr w:rsidR="00F67E9E" w:rsidRPr="00F55457" w14:paraId="4AF87519" w14:textId="77777777" w:rsidTr="007F74AA">
        <w:tc>
          <w:tcPr>
            <w:tcW w:w="2835" w:type="dxa"/>
          </w:tcPr>
          <w:p w14:paraId="76BA4CB1" w14:textId="77777777" w:rsidR="00F67E9E" w:rsidRPr="008D6A63" w:rsidRDefault="00F67E9E" w:rsidP="007F74AA">
            <w:pPr>
              <w:pStyle w:val="StdBodyTextBold"/>
              <w:rPr>
                <w:rFonts w:cs="Arial"/>
              </w:rPr>
            </w:pPr>
            <w:r>
              <w:rPr>
                <w:rFonts w:cs="Arial"/>
              </w:rPr>
              <w:t>“</w:t>
            </w:r>
            <w:r w:rsidRPr="008D6A63">
              <w:rPr>
                <w:rFonts w:cs="Arial"/>
              </w:rPr>
              <w:t>Software Supporting Materials</w:t>
            </w:r>
            <w:r>
              <w:rPr>
                <w:rFonts w:cs="Arial"/>
              </w:rPr>
              <w:t>”</w:t>
            </w:r>
          </w:p>
        </w:tc>
        <w:tc>
          <w:tcPr>
            <w:tcW w:w="6803" w:type="dxa"/>
          </w:tcPr>
          <w:p w14:paraId="641D1696" w14:textId="70F83C0C" w:rsidR="00F67E9E" w:rsidRPr="008D6A63" w:rsidRDefault="00F67E9E" w:rsidP="007F74AA">
            <w:pPr>
              <w:pStyle w:val="StdBodyText"/>
              <w:rPr>
                <w:rFonts w:cs="Arial"/>
              </w:rPr>
            </w:pPr>
            <w:r w:rsidRPr="008D6A63">
              <w:rPr>
                <w:rFonts w:cs="Arial"/>
              </w:rPr>
              <w:t xml:space="preserve">has the meaning given </w:t>
            </w:r>
            <w:r w:rsidRPr="00155460">
              <w:rPr>
                <w:rFonts w:cs="Arial"/>
              </w:rPr>
              <w:t>in</w:t>
            </w:r>
            <w:r>
              <w:rPr>
                <w:rFonts w:cs="Arial"/>
              </w:rPr>
              <w:t xml:space="preserve"> </w:t>
            </w:r>
            <w:r w:rsidRPr="00FA3EBF">
              <w:rPr>
                <w:rFonts w:cs="Arial"/>
              </w:rPr>
              <w:t>Paragraph </w:t>
            </w:r>
            <w:r>
              <w:fldChar w:fldCharType="begin"/>
            </w:r>
            <w:r>
              <w:instrText xml:space="preserve"> REF _Ref141343497 \w \h </w:instrText>
            </w:r>
            <w:r>
              <w:fldChar w:fldCharType="separate"/>
            </w:r>
            <w:r w:rsidR="00302D39">
              <w:t>1.1.1</w:t>
            </w:r>
            <w:r>
              <w:fldChar w:fldCharType="end"/>
            </w:r>
            <w:r w:rsidRPr="00FA3EBF">
              <w:rPr>
                <w:rFonts w:cs="Arial"/>
              </w:rPr>
              <w:t xml:space="preserve"> of </w:t>
            </w:r>
            <w:r w:rsidRPr="00FA3EBF">
              <w:rPr>
                <w:rFonts w:cs="Arial"/>
              </w:rPr>
              <w:fldChar w:fldCharType="begin"/>
            </w:r>
            <w:r w:rsidRPr="00FA3EBF">
              <w:rPr>
                <w:rFonts w:cs="Arial"/>
              </w:rPr>
              <w:instrText xml:space="preserve"> REF Schedule32 \h  \* MERGEFORMAT </w:instrText>
            </w:r>
            <w:r w:rsidRPr="00FA3EBF">
              <w:rPr>
                <w:rFonts w:cs="Arial"/>
              </w:rPr>
            </w:r>
            <w:r w:rsidRPr="00FA3EBF">
              <w:rPr>
                <w:rFonts w:cs="Arial"/>
              </w:rPr>
              <w:fldChar w:fldCharType="separate"/>
            </w:r>
            <w:r w:rsidR="00302D39" w:rsidRPr="00477926">
              <w:t>Schedule</w:t>
            </w:r>
            <w:r w:rsidR="00302D39">
              <w:t> </w:t>
            </w:r>
            <w:r w:rsidR="00302D39" w:rsidRPr="00477926">
              <w:t>32</w:t>
            </w:r>
            <w:r w:rsidRPr="00FA3EBF">
              <w:rPr>
                <w:rFonts w:cs="Arial"/>
              </w:rPr>
              <w:fldChar w:fldCharType="end"/>
            </w:r>
            <w:r w:rsidRPr="00B74235">
              <w:rPr>
                <w:rStyle w:val="StdBodyTextBoldChar"/>
                <w:rFonts w:eastAsiaTheme="majorEastAsia" w:cs="Arial"/>
                <w:b w:val="0"/>
                <w:bCs/>
                <w:lang w:eastAsia="en-US"/>
              </w:rPr>
              <w:t xml:space="preserve"> (</w:t>
            </w:r>
            <w:r w:rsidRPr="00B74235">
              <w:rPr>
                <w:rStyle w:val="StdBodyTextBoldChar"/>
                <w:rFonts w:eastAsiaTheme="majorEastAsia" w:cs="Arial"/>
                <w:b w:val="0"/>
                <w:bCs/>
                <w:i/>
                <w:iCs/>
                <w:lang w:eastAsia="en-US"/>
              </w:rPr>
              <w:fldChar w:fldCharType="begin"/>
            </w:r>
            <w:r w:rsidRPr="00B74235">
              <w:rPr>
                <w:rStyle w:val="StdBodyTextBoldChar"/>
                <w:rFonts w:eastAsiaTheme="majorEastAsia" w:cs="Arial"/>
                <w:b w:val="0"/>
                <w:bCs/>
                <w:i/>
                <w:iCs/>
                <w:lang w:eastAsia="en-US"/>
              </w:rPr>
              <w:instrText xml:space="preserve"> REF Schedule32Heading \h  \* MERGEFORMAT </w:instrText>
            </w:r>
            <w:r w:rsidRPr="00B74235">
              <w:rPr>
                <w:rStyle w:val="StdBodyTextBoldChar"/>
                <w:rFonts w:eastAsiaTheme="majorEastAsia" w:cs="Arial"/>
                <w:b w:val="0"/>
                <w:bCs/>
                <w:i/>
                <w:iCs/>
                <w:lang w:eastAsia="en-US"/>
              </w:rPr>
            </w:r>
            <w:r w:rsidRPr="00B74235">
              <w:rPr>
                <w:rStyle w:val="StdBodyTextBoldChar"/>
                <w:rFonts w:eastAsiaTheme="majorEastAsia" w:cs="Arial"/>
                <w:b w:val="0"/>
                <w:bCs/>
                <w:i/>
                <w:iCs/>
                <w:lang w:eastAsia="en-US"/>
              </w:rPr>
              <w:fldChar w:fldCharType="separate"/>
            </w:r>
            <w:r w:rsidR="00302D39" w:rsidRPr="00302D39">
              <w:rPr>
                <w:i/>
                <w:iCs/>
              </w:rPr>
              <w:t>Intellectual Property Rights</w:t>
            </w:r>
            <w:r w:rsidRPr="00B74235">
              <w:rPr>
                <w:rStyle w:val="StdBodyTextBoldChar"/>
                <w:rFonts w:eastAsiaTheme="majorEastAsia" w:cs="Arial"/>
                <w:b w:val="0"/>
                <w:bCs/>
                <w:i/>
                <w:iCs/>
                <w:lang w:eastAsia="en-US"/>
              </w:rPr>
              <w:fldChar w:fldCharType="end"/>
            </w:r>
            <w:r w:rsidRPr="00B74235">
              <w:rPr>
                <w:rStyle w:val="StdBodyTextBoldChar"/>
                <w:rFonts w:eastAsiaTheme="majorEastAsia" w:cs="Arial"/>
                <w:b w:val="0"/>
                <w:bCs/>
                <w:lang w:eastAsia="en-US"/>
              </w:rPr>
              <w:t>)</w:t>
            </w:r>
            <w:r w:rsidRPr="00B74235">
              <w:rPr>
                <w:rFonts w:cs="Arial"/>
              </w:rPr>
              <w:t xml:space="preserve"> (</w:t>
            </w:r>
            <w:r w:rsidRPr="00BB0C30">
              <w:rPr>
                <w:rFonts w:cs="Arial"/>
                <w:i/>
                <w:iCs/>
              </w:rPr>
              <w:t>Specially Written Software and Project Specific IPRs</w:t>
            </w:r>
            <w:r w:rsidRPr="00B74235">
              <w:rPr>
                <w:rFonts w:cs="Arial"/>
              </w:rPr>
              <w:t>);</w:t>
            </w:r>
          </w:p>
        </w:tc>
      </w:tr>
      <w:tr w:rsidR="00F67E9E" w:rsidRPr="00F55457" w14:paraId="1FB99D59" w14:textId="77777777" w:rsidTr="007F74AA">
        <w:tc>
          <w:tcPr>
            <w:tcW w:w="2835" w:type="dxa"/>
          </w:tcPr>
          <w:p w14:paraId="38B11C8B" w14:textId="77777777" w:rsidR="00F67E9E" w:rsidRPr="008D6A63" w:rsidRDefault="00F67E9E" w:rsidP="007F74AA">
            <w:pPr>
              <w:pStyle w:val="StdBodyTextBold"/>
              <w:rPr>
                <w:rFonts w:cs="Arial"/>
              </w:rPr>
            </w:pPr>
            <w:r>
              <w:rPr>
                <w:rFonts w:cs="Arial"/>
              </w:rPr>
              <w:t>“</w:t>
            </w:r>
            <w:r w:rsidRPr="008D6A63">
              <w:rPr>
                <w:rFonts w:cs="Arial"/>
              </w:rPr>
              <w:t>Source Code</w:t>
            </w:r>
            <w:r>
              <w:rPr>
                <w:rFonts w:cs="Arial"/>
              </w:rPr>
              <w:t>”</w:t>
            </w:r>
          </w:p>
        </w:tc>
        <w:tc>
          <w:tcPr>
            <w:tcW w:w="6803" w:type="dxa"/>
          </w:tcPr>
          <w:p w14:paraId="7DA0DFE0" w14:textId="77777777" w:rsidR="00F67E9E" w:rsidRPr="008D6A63" w:rsidRDefault="00F67E9E" w:rsidP="007F74AA">
            <w:pPr>
              <w:pStyle w:val="StdBodyText"/>
              <w:rPr>
                <w:rFonts w:cs="Arial"/>
              </w:rPr>
            </w:pPr>
            <w:r w:rsidRPr="008D6A63">
              <w:rPr>
                <w:rFonts w:cs="Arial"/>
              </w:rPr>
              <w:t xml:space="preserve">computer programs and/or data in eye-readable form and in such form that it can be compiled or interpreted into equivalent binary code together with all related design comments, flow charts, technical information and documentation necessary for the use, reproduction, </w:t>
            </w:r>
            <w:bookmarkStart w:id="227" w:name="_9kMHzG6ZWu5AAGNL2khv7zursvn"/>
            <w:r w:rsidRPr="008D6A63">
              <w:rPr>
                <w:rFonts w:cs="Arial"/>
              </w:rPr>
              <w:t>maintenance</w:t>
            </w:r>
            <w:bookmarkEnd w:id="227"/>
            <w:r w:rsidRPr="008D6A63">
              <w:rPr>
                <w:rFonts w:cs="Arial"/>
              </w:rPr>
              <w:t>, modification and enhancement of such software;</w:t>
            </w:r>
          </w:p>
        </w:tc>
      </w:tr>
      <w:tr w:rsidR="00F67E9E" w:rsidRPr="00F55457" w14:paraId="58BD6A37" w14:textId="77777777" w:rsidTr="007F74AA">
        <w:tc>
          <w:tcPr>
            <w:tcW w:w="2835" w:type="dxa"/>
          </w:tcPr>
          <w:p w14:paraId="2ED6144F" w14:textId="77777777" w:rsidR="00F67E9E" w:rsidRPr="008D6A63" w:rsidRDefault="00F67E9E" w:rsidP="007F74AA">
            <w:pPr>
              <w:pStyle w:val="StdBodyTextBold"/>
              <w:rPr>
                <w:rFonts w:cs="Arial"/>
              </w:rPr>
            </w:pPr>
            <w:r>
              <w:rPr>
                <w:rFonts w:cs="Arial"/>
              </w:rPr>
              <w:t>“</w:t>
            </w:r>
            <w:r w:rsidRPr="008D6A63">
              <w:rPr>
                <w:rFonts w:cs="Arial"/>
              </w:rPr>
              <w:t>Specially Written Software</w:t>
            </w:r>
            <w:r>
              <w:rPr>
                <w:rFonts w:cs="Arial"/>
              </w:rPr>
              <w:t>”</w:t>
            </w:r>
          </w:p>
        </w:tc>
        <w:tc>
          <w:tcPr>
            <w:tcW w:w="6803" w:type="dxa"/>
          </w:tcPr>
          <w:p w14:paraId="65D5DE48" w14:textId="77777777" w:rsidR="00F67E9E" w:rsidRPr="008D6A63" w:rsidRDefault="00F67E9E" w:rsidP="007F74AA">
            <w:pPr>
              <w:pStyle w:val="StdBodyText"/>
              <w:rPr>
                <w:rFonts w:cs="Arial"/>
              </w:rPr>
            </w:pPr>
            <w:r w:rsidRPr="008D6A63">
              <w:rPr>
                <w:rFonts w:cs="Arial"/>
              </w:rPr>
              <w:t>any software (including database software, linking instructions, test scripts, compilation instructions and test instructions) created by the Supplier (or by a Sub-contractor or other third party on behalf of the Supplier) specifically for the purposes of this Contract, including any modifications or enhancements to Supplier Software or Third Party Software created specifically for the purposes of this Contract.</w:t>
            </w:r>
          </w:p>
        </w:tc>
      </w:tr>
      <w:tr w:rsidR="00F67E9E" w:rsidRPr="00F55457" w14:paraId="6F0A9CD8" w14:textId="77777777" w:rsidTr="007F74AA">
        <w:tc>
          <w:tcPr>
            <w:tcW w:w="2835" w:type="dxa"/>
          </w:tcPr>
          <w:p w14:paraId="75A095B2" w14:textId="77777777" w:rsidR="00F67E9E" w:rsidRPr="008D6A63" w:rsidRDefault="00F67E9E" w:rsidP="007F74AA">
            <w:pPr>
              <w:pStyle w:val="StdBodyTextBold"/>
              <w:rPr>
                <w:rFonts w:cs="Arial"/>
              </w:rPr>
            </w:pPr>
            <w:r>
              <w:rPr>
                <w:rFonts w:cs="Arial"/>
              </w:rPr>
              <w:t>“</w:t>
            </w:r>
            <w:r w:rsidRPr="008D6A63">
              <w:rPr>
                <w:rFonts w:cs="Arial"/>
              </w:rPr>
              <w:t>Specific Change in Law</w:t>
            </w:r>
            <w:r>
              <w:rPr>
                <w:rFonts w:cs="Arial"/>
              </w:rPr>
              <w:t>”</w:t>
            </w:r>
          </w:p>
        </w:tc>
        <w:tc>
          <w:tcPr>
            <w:tcW w:w="6803" w:type="dxa"/>
          </w:tcPr>
          <w:p w14:paraId="2C9BC613" w14:textId="77777777" w:rsidR="00F67E9E" w:rsidRPr="008D6A63" w:rsidRDefault="00F67E9E" w:rsidP="007F74AA">
            <w:pPr>
              <w:pStyle w:val="StdBodyText"/>
              <w:rPr>
                <w:rFonts w:cs="Arial"/>
              </w:rPr>
            </w:pPr>
            <w:r w:rsidRPr="008D6A63">
              <w:rPr>
                <w:rFonts w:cs="Arial"/>
              </w:rPr>
              <w:t>a Change in Law that relates specifically to the business of the Authority and which would not affect a Comparable Supply;</w:t>
            </w:r>
          </w:p>
        </w:tc>
      </w:tr>
      <w:tr w:rsidR="00F67E9E" w:rsidRPr="00F55457" w14:paraId="08164483" w14:textId="77777777" w:rsidTr="007F74AA">
        <w:tc>
          <w:tcPr>
            <w:tcW w:w="2835" w:type="dxa"/>
          </w:tcPr>
          <w:p w14:paraId="052FF16D" w14:textId="77777777" w:rsidR="00F67E9E" w:rsidRPr="008D6A63" w:rsidRDefault="00F67E9E" w:rsidP="007F74AA">
            <w:pPr>
              <w:pStyle w:val="StdBodyTextBold"/>
              <w:rPr>
                <w:rFonts w:cs="Arial"/>
              </w:rPr>
            </w:pPr>
            <w:r>
              <w:rPr>
                <w:rFonts w:cs="Arial"/>
              </w:rPr>
              <w:t>“</w:t>
            </w:r>
            <w:r w:rsidRPr="008D6A63">
              <w:rPr>
                <w:rFonts w:cs="Arial"/>
              </w:rPr>
              <w:t>Staffing Information</w:t>
            </w:r>
            <w:r>
              <w:rPr>
                <w:rFonts w:cs="Arial"/>
              </w:rPr>
              <w:t>”</w:t>
            </w:r>
          </w:p>
        </w:tc>
        <w:tc>
          <w:tcPr>
            <w:tcW w:w="6803" w:type="dxa"/>
          </w:tcPr>
          <w:p w14:paraId="1B4D85E4" w14:textId="60C371CF" w:rsidR="00F67E9E" w:rsidRPr="008D6A63" w:rsidRDefault="00F67E9E" w:rsidP="007F74AA">
            <w:pPr>
              <w:pStyle w:val="StdBodyText"/>
              <w:rPr>
                <w:rFonts w:cs="Arial"/>
              </w:rPr>
            </w:pPr>
            <w:r w:rsidRPr="008D6A63">
              <w:rPr>
                <w:rFonts w:cs="Arial"/>
              </w:rPr>
              <w:t xml:space="preserve">has the meaning given in </w:t>
            </w:r>
            <w:r>
              <w:rPr>
                <w:rFonts w:cs="Arial"/>
              </w:rPr>
              <w:fldChar w:fldCharType="begin"/>
            </w:r>
            <w:r>
              <w:rPr>
                <w:rFonts w:cs="Arial"/>
              </w:rPr>
              <w:instrText xml:space="preserve"> REF Schedule28 \h </w:instrText>
            </w:r>
            <w:r>
              <w:rPr>
                <w:rFonts w:cs="Arial"/>
              </w:rPr>
            </w:r>
            <w:r>
              <w:rPr>
                <w:rFonts w:cs="Arial"/>
              </w:rPr>
              <w:fldChar w:fldCharType="separate"/>
            </w:r>
            <w:r w:rsidR="00302D39" w:rsidRPr="005D0525">
              <w:t>Schedule</w:t>
            </w:r>
            <w:r w:rsidR="00302D39">
              <w:t> </w:t>
            </w:r>
            <w:r w:rsidR="00302D39" w:rsidRPr="005D0525">
              <w:t>28</w:t>
            </w:r>
            <w:r>
              <w:rPr>
                <w:rFonts w:cs="Arial"/>
              </w:rPr>
              <w:fldChar w:fldCharType="end"/>
            </w:r>
            <w:r>
              <w:rPr>
                <w:rFonts w:cs="Arial"/>
              </w:rPr>
              <w:t xml:space="preserve"> (</w:t>
            </w:r>
            <w:r w:rsidRPr="006F064F">
              <w:rPr>
                <w:rFonts w:cs="Arial"/>
                <w:i/>
                <w:iCs/>
              </w:rPr>
              <w:fldChar w:fldCharType="begin"/>
            </w:r>
            <w:r w:rsidRPr="006F064F">
              <w:rPr>
                <w:rFonts w:cs="Arial"/>
                <w:i/>
                <w:iCs/>
              </w:rPr>
              <w:instrText xml:space="preserve"> REF Schedule28Heading \h </w:instrText>
            </w:r>
            <w:r>
              <w:rPr>
                <w:rFonts w:cs="Arial"/>
                <w:i/>
                <w:iCs/>
              </w:rPr>
              <w:instrText xml:space="preserve"> \* MERGEFORMAT </w:instrText>
            </w:r>
            <w:r w:rsidRPr="006F064F">
              <w:rPr>
                <w:rFonts w:cs="Arial"/>
                <w:i/>
                <w:iCs/>
              </w:rPr>
            </w:r>
            <w:r w:rsidRPr="006F064F">
              <w:rPr>
                <w:rFonts w:cs="Arial"/>
                <w:i/>
                <w:iCs/>
              </w:rPr>
              <w:fldChar w:fldCharType="separate"/>
            </w:r>
            <w:r w:rsidR="00302D39" w:rsidRPr="00302D39">
              <w:rPr>
                <w:i/>
                <w:iCs/>
              </w:rPr>
              <w:t>Staff Transfer</w:t>
            </w:r>
            <w:r w:rsidRPr="006F064F">
              <w:rPr>
                <w:rFonts w:cs="Arial"/>
                <w:i/>
                <w:iCs/>
              </w:rPr>
              <w:fldChar w:fldCharType="end"/>
            </w:r>
            <w:r>
              <w:rPr>
                <w:rFonts w:cs="Arial"/>
              </w:rPr>
              <w:t>)</w:t>
            </w:r>
            <w:r w:rsidRPr="008D6A63">
              <w:rPr>
                <w:rFonts w:cs="Arial"/>
              </w:rPr>
              <w:t>;</w:t>
            </w:r>
          </w:p>
        </w:tc>
      </w:tr>
      <w:tr w:rsidR="00F67E9E" w:rsidRPr="00F55457" w14:paraId="1E37C182" w14:textId="77777777" w:rsidTr="007F74AA">
        <w:tc>
          <w:tcPr>
            <w:tcW w:w="2835" w:type="dxa"/>
          </w:tcPr>
          <w:p w14:paraId="594F1068" w14:textId="77777777" w:rsidR="00F67E9E" w:rsidRPr="008D6A63" w:rsidRDefault="00F67E9E" w:rsidP="007F74AA">
            <w:pPr>
              <w:pStyle w:val="StdBodyTextBold"/>
              <w:rPr>
                <w:rFonts w:cs="Arial"/>
              </w:rPr>
            </w:pPr>
            <w:r>
              <w:rPr>
                <w:rFonts w:cs="Arial"/>
              </w:rPr>
              <w:t>“</w:t>
            </w:r>
            <w:r w:rsidRPr="008D6A63">
              <w:rPr>
                <w:rFonts w:cs="Arial"/>
              </w:rPr>
              <w:t>Standards</w:t>
            </w:r>
            <w:r>
              <w:rPr>
                <w:rFonts w:cs="Arial"/>
              </w:rPr>
              <w:t>”</w:t>
            </w:r>
          </w:p>
        </w:tc>
        <w:tc>
          <w:tcPr>
            <w:tcW w:w="6803" w:type="dxa"/>
          </w:tcPr>
          <w:p w14:paraId="4935562C" w14:textId="7CB4CA13" w:rsidR="00F67E9E" w:rsidRPr="008D6A63" w:rsidRDefault="00F67E9E" w:rsidP="007F74AA">
            <w:pPr>
              <w:pStyle w:val="StdBodyText"/>
              <w:rPr>
                <w:rFonts w:cs="Arial"/>
              </w:rPr>
            </w:pPr>
            <w:r w:rsidRPr="008D6A63">
              <w:rPr>
                <w:rFonts w:cs="Arial"/>
              </w:rPr>
              <w:t xml:space="preserve">the standards, polices and/or procedures identified in </w:t>
            </w:r>
            <w:r>
              <w:rPr>
                <w:rFonts w:cs="Arial"/>
              </w:rPr>
              <w:fldChar w:fldCharType="begin"/>
            </w:r>
            <w:r>
              <w:rPr>
                <w:rFonts w:cs="Arial"/>
              </w:rPr>
              <w:instrText xml:space="preserve"> REF Schedule4 \h </w:instrText>
            </w:r>
            <w:r>
              <w:rPr>
                <w:rFonts w:cs="Arial"/>
              </w:rPr>
            </w:r>
            <w:r>
              <w:rPr>
                <w:rFonts w:cs="Arial"/>
              </w:rPr>
              <w:fldChar w:fldCharType="separate"/>
            </w:r>
            <w:r w:rsidR="00302D39" w:rsidRPr="005D0525">
              <w:t>Schedule</w:t>
            </w:r>
            <w:r w:rsidR="00302D39">
              <w:t> </w:t>
            </w:r>
            <w:r w:rsidR="00302D39" w:rsidRPr="005D0525">
              <w:t>4</w:t>
            </w:r>
            <w:r>
              <w:rPr>
                <w:rFonts w:cs="Arial"/>
              </w:rPr>
              <w:fldChar w:fldCharType="end"/>
            </w:r>
            <w:r>
              <w:rPr>
                <w:rFonts w:cs="Arial"/>
              </w:rPr>
              <w:t xml:space="preserve"> (</w:t>
            </w:r>
            <w:r w:rsidRPr="00A22335">
              <w:rPr>
                <w:rFonts w:cs="Arial"/>
                <w:i/>
                <w:iCs/>
              </w:rPr>
              <w:fldChar w:fldCharType="begin"/>
            </w:r>
            <w:r w:rsidRPr="00A22335">
              <w:rPr>
                <w:rFonts w:cs="Arial"/>
                <w:i/>
                <w:iCs/>
              </w:rPr>
              <w:instrText xml:space="preserve"> REF Schedule4Heading \h </w:instrText>
            </w:r>
            <w:r>
              <w:rPr>
                <w:rFonts w:cs="Arial"/>
                <w:i/>
                <w:iCs/>
              </w:rPr>
              <w:instrText xml:space="preserve"> \* MERGEFORMAT </w:instrText>
            </w:r>
            <w:r w:rsidRPr="00A22335">
              <w:rPr>
                <w:rFonts w:cs="Arial"/>
                <w:i/>
                <w:iCs/>
              </w:rPr>
            </w:r>
            <w:r w:rsidRPr="00A22335">
              <w:rPr>
                <w:rFonts w:cs="Arial"/>
                <w:i/>
                <w:iCs/>
              </w:rPr>
              <w:fldChar w:fldCharType="separate"/>
            </w:r>
            <w:r w:rsidR="00302D39" w:rsidRPr="00302D39">
              <w:rPr>
                <w:i/>
                <w:iCs/>
              </w:rPr>
              <w:t>Standards</w:t>
            </w:r>
            <w:r w:rsidRPr="00A22335">
              <w:rPr>
                <w:rFonts w:cs="Arial"/>
                <w:i/>
                <w:iCs/>
              </w:rPr>
              <w:fldChar w:fldCharType="end"/>
            </w:r>
            <w:r>
              <w:rPr>
                <w:rFonts w:cs="Arial"/>
              </w:rPr>
              <w:t>)</w:t>
            </w:r>
            <w:r w:rsidRPr="008D6A63">
              <w:rPr>
                <w:rFonts w:cs="Arial"/>
              </w:rPr>
              <w:t>;</w:t>
            </w:r>
          </w:p>
        </w:tc>
      </w:tr>
      <w:tr w:rsidR="00F67E9E" w:rsidRPr="00F55457" w14:paraId="47E37293" w14:textId="77777777" w:rsidTr="007F74AA">
        <w:tc>
          <w:tcPr>
            <w:tcW w:w="2835" w:type="dxa"/>
          </w:tcPr>
          <w:p w14:paraId="5C0764CD" w14:textId="77777777" w:rsidR="00F67E9E" w:rsidRPr="008D6A63" w:rsidRDefault="00F67E9E" w:rsidP="007F74AA">
            <w:pPr>
              <w:pStyle w:val="StdBodyTextBold"/>
              <w:rPr>
                <w:rFonts w:cs="Arial"/>
              </w:rPr>
            </w:pPr>
            <w:r>
              <w:rPr>
                <w:rFonts w:cs="Arial"/>
              </w:rPr>
              <w:t>“</w:t>
            </w:r>
            <w:bookmarkStart w:id="228" w:name="_9kMLK5YVt4CCFHFhcvsXQcYB6qn"/>
            <w:r w:rsidRPr="008D6A63">
              <w:rPr>
                <w:rFonts w:cs="Arial"/>
              </w:rPr>
              <w:t>Step-In Notice</w:t>
            </w:r>
            <w:bookmarkEnd w:id="228"/>
            <w:r>
              <w:rPr>
                <w:rFonts w:cs="Arial"/>
              </w:rPr>
              <w:t>”</w:t>
            </w:r>
          </w:p>
        </w:tc>
        <w:tc>
          <w:tcPr>
            <w:tcW w:w="6803" w:type="dxa"/>
          </w:tcPr>
          <w:p w14:paraId="22B2FEBE" w14:textId="77777777" w:rsidR="00F67E9E" w:rsidRPr="008D6A63" w:rsidRDefault="00F67E9E" w:rsidP="007F74AA">
            <w:pPr>
              <w:pStyle w:val="StdBodyText"/>
              <w:rPr>
                <w:rFonts w:cs="Arial"/>
              </w:rPr>
            </w:pPr>
            <w:r w:rsidRPr="008D6A63">
              <w:rPr>
                <w:rFonts w:cs="Arial"/>
              </w:rPr>
              <w:t xml:space="preserve">has the meaning given in </w:t>
            </w:r>
            <w:bookmarkStart w:id="229" w:name="_9kMHG5YVtCJBBGHHDCbV72owvk3JH521t68vjxG"/>
            <w:bookmarkStart w:id="230" w:name="_9kMHG5YVtCIABGIIDCbV72owvk3JH521t68vjxG"/>
            <w:r w:rsidRPr="008D6A63">
              <w:rPr>
                <w:rFonts w:cs="Arial"/>
              </w:rPr>
              <w:t xml:space="preserve">Clause </w:t>
            </w:r>
            <w:bookmarkEnd w:id="229"/>
            <w:bookmarkEnd w:id="230"/>
            <w:r w:rsidRPr="008D6A63">
              <w:rPr>
                <w:rFonts w:cs="Arial"/>
              </w:rPr>
              <w:t>28.1 (</w:t>
            </w:r>
            <w:r w:rsidRPr="00F613BA">
              <w:rPr>
                <w:rFonts w:cs="Arial"/>
                <w:i/>
                <w:iCs/>
              </w:rPr>
              <w:t>Step-In Rights</w:t>
            </w:r>
            <w:r w:rsidRPr="008D6A63">
              <w:rPr>
                <w:rFonts w:cs="Arial"/>
              </w:rPr>
              <w:t>);</w:t>
            </w:r>
          </w:p>
        </w:tc>
      </w:tr>
      <w:tr w:rsidR="00F67E9E" w:rsidRPr="00F55457" w14:paraId="045B329D" w14:textId="77777777" w:rsidTr="007F74AA">
        <w:tc>
          <w:tcPr>
            <w:tcW w:w="2835" w:type="dxa"/>
          </w:tcPr>
          <w:p w14:paraId="7BAF4A0A" w14:textId="77777777" w:rsidR="00F67E9E" w:rsidRPr="008D6A63" w:rsidRDefault="00F67E9E" w:rsidP="007F74AA">
            <w:pPr>
              <w:pStyle w:val="StdBodyTextBold"/>
              <w:rPr>
                <w:rFonts w:cs="Arial"/>
              </w:rPr>
            </w:pPr>
            <w:r>
              <w:rPr>
                <w:rFonts w:cs="Arial"/>
              </w:rPr>
              <w:t>“</w:t>
            </w:r>
            <w:r w:rsidRPr="008D6A63">
              <w:rPr>
                <w:rFonts w:cs="Arial"/>
              </w:rPr>
              <w:t>Step-In Trigger Event</w:t>
            </w:r>
            <w:r>
              <w:rPr>
                <w:rFonts w:cs="Arial"/>
              </w:rPr>
              <w:t>”</w:t>
            </w:r>
          </w:p>
        </w:tc>
        <w:tc>
          <w:tcPr>
            <w:tcW w:w="6803" w:type="dxa"/>
          </w:tcPr>
          <w:p w14:paraId="0EB85D45" w14:textId="77777777" w:rsidR="00F67E9E" w:rsidRPr="008D6A63" w:rsidRDefault="00F67E9E" w:rsidP="007F74AA">
            <w:pPr>
              <w:pStyle w:val="DefinitionList"/>
              <w:numPr>
                <w:ilvl w:val="0"/>
                <w:numId w:val="93"/>
              </w:numPr>
            </w:pPr>
            <w:r w:rsidRPr="008D6A63">
              <w:t>any event falling within the definition of a Supplier Termination Event;</w:t>
            </w:r>
          </w:p>
          <w:p w14:paraId="51DEC874" w14:textId="77777777" w:rsidR="00F67E9E" w:rsidRPr="008D6A63" w:rsidRDefault="00F67E9E" w:rsidP="007F74AA">
            <w:pPr>
              <w:pStyle w:val="DefinitionList"/>
              <w:numPr>
                <w:ilvl w:val="0"/>
                <w:numId w:val="93"/>
              </w:numPr>
              <w:rPr>
                <w:rFonts w:cs="Arial"/>
              </w:rPr>
            </w:pPr>
            <w:r w:rsidRPr="008D6A63">
              <w:rPr>
                <w:rFonts w:cs="Arial"/>
              </w:rPr>
              <w:t>a Default by the Supplier that is materially preventing or materially delaying the performance of the Services or any material part of the Services;</w:t>
            </w:r>
          </w:p>
          <w:p w14:paraId="6ABCE04E" w14:textId="77777777" w:rsidR="00F67E9E" w:rsidRPr="008D6A63" w:rsidRDefault="00F67E9E" w:rsidP="007F74AA">
            <w:pPr>
              <w:pStyle w:val="DefinitionList"/>
              <w:numPr>
                <w:ilvl w:val="0"/>
                <w:numId w:val="93"/>
              </w:numPr>
              <w:rPr>
                <w:rFonts w:cs="Arial"/>
              </w:rPr>
            </w:pPr>
            <w:bookmarkStart w:id="231" w:name="_Ref_ContractCompanion_9kb9Ur288"/>
            <w:bookmarkStart w:id="232" w:name="_9kR3WTrAG86CEctjmj09ubjj2zeXpoA0zyAlkHA"/>
            <w:bookmarkStart w:id="233" w:name="_9kR3WTr299DIAZtjmj09ubjj2zeXpoA0zyAlkHA"/>
            <w:r w:rsidRPr="008D6A63">
              <w:rPr>
                <w:rFonts w:cs="Arial"/>
              </w:rPr>
              <w:t>the Authority considers that the circumstances constitute an emergency despite the Supplier not being in breach of its obligations under this Contract;</w:t>
            </w:r>
            <w:bookmarkEnd w:id="231"/>
            <w:bookmarkEnd w:id="232"/>
            <w:bookmarkEnd w:id="233"/>
          </w:p>
          <w:p w14:paraId="6AF60C31" w14:textId="77777777" w:rsidR="00F67E9E" w:rsidRPr="008D6A63" w:rsidRDefault="00F67E9E" w:rsidP="007F74AA">
            <w:pPr>
              <w:pStyle w:val="DefinitionList"/>
              <w:numPr>
                <w:ilvl w:val="0"/>
                <w:numId w:val="93"/>
              </w:numPr>
              <w:rPr>
                <w:rFonts w:cs="Arial"/>
              </w:rPr>
            </w:pPr>
            <w:bookmarkStart w:id="234" w:name="_9kR3WTrAG86CBZtjmj09ubjj2zeXpoA0zyAlkHA"/>
            <w:bookmarkStart w:id="235" w:name="_9kR3WTr299DHIitjmj09ubjj2zeXpoA0zyAlkHA"/>
            <w:bookmarkStart w:id="236" w:name="_Ref_ContractCompanion_9kb9Ur27E"/>
            <w:r w:rsidRPr="008D6A63">
              <w:rPr>
                <w:rFonts w:cs="Arial"/>
              </w:rPr>
              <w:t xml:space="preserve">the Authority being advised by a regulatory body that the exercise by the Authority of its rights under </w:t>
            </w:r>
            <w:bookmarkStart w:id="237" w:name="_9kMHzG6ZWuDJB8GLiT04qAMMLlM96BAKG66KW"/>
            <w:r w:rsidRPr="008D6A63">
              <w:rPr>
                <w:rFonts w:cs="Arial"/>
              </w:rPr>
              <w:t xml:space="preserve">Clause </w:t>
            </w:r>
            <w:bookmarkEnd w:id="237"/>
            <w:r w:rsidRPr="008D6A63">
              <w:rPr>
                <w:rFonts w:cs="Arial"/>
              </w:rPr>
              <w:t>28 (</w:t>
            </w:r>
            <w:r w:rsidRPr="00F613BA">
              <w:rPr>
                <w:rFonts w:cs="Arial"/>
                <w:i/>
                <w:iCs/>
              </w:rPr>
              <w:t>Step-In Rights</w:t>
            </w:r>
            <w:r w:rsidRPr="008D6A63">
              <w:rPr>
                <w:rFonts w:cs="Arial"/>
              </w:rPr>
              <w:t>) is necessary;</w:t>
            </w:r>
            <w:bookmarkEnd w:id="234"/>
            <w:bookmarkEnd w:id="235"/>
            <w:r w:rsidRPr="008D6A63">
              <w:rPr>
                <w:rFonts w:cs="Arial"/>
              </w:rPr>
              <w:t xml:space="preserve"> </w:t>
            </w:r>
            <w:bookmarkEnd w:id="236"/>
          </w:p>
          <w:p w14:paraId="7C3E974D" w14:textId="77777777" w:rsidR="00F67E9E" w:rsidRPr="008D6A63" w:rsidRDefault="00F67E9E" w:rsidP="007F74AA">
            <w:pPr>
              <w:pStyle w:val="DefinitionList"/>
              <w:numPr>
                <w:ilvl w:val="0"/>
                <w:numId w:val="93"/>
              </w:numPr>
              <w:rPr>
                <w:rFonts w:cs="Arial"/>
              </w:rPr>
            </w:pPr>
            <w:r w:rsidRPr="008D6A63">
              <w:rPr>
                <w:rFonts w:cs="Arial"/>
              </w:rPr>
              <w:t xml:space="preserve">the existence of a serious risk to the health or safety of persons, property or the environment in connection with the Services; and/or </w:t>
            </w:r>
          </w:p>
          <w:p w14:paraId="083F6D92" w14:textId="77777777" w:rsidR="00F67E9E" w:rsidRPr="008D6A63" w:rsidRDefault="00F67E9E" w:rsidP="007F74AA">
            <w:pPr>
              <w:pStyle w:val="DefinitionList"/>
              <w:numPr>
                <w:ilvl w:val="0"/>
                <w:numId w:val="93"/>
              </w:numPr>
              <w:rPr>
                <w:rFonts w:cs="Arial"/>
              </w:rPr>
            </w:pPr>
            <w:r w:rsidRPr="008D6A63">
              <w:rPr>
                <w:rFonts w:cs="Arial"/>
              </w:rPr>
              <w:t>a need by the Authority to take action to discharge a statutory duty;</w:t>
            </w:r>
          </w:p>
        </w:tc>
      </w:tr>
      <w:tr w:rsidR="00F67E9E" w:rsidRPr="00F55457" w14:paraId="3B958CF8" w14:textId="77777777" w:rsidTr="007F74AA">
        <w:tc>
          <w:tcPr>
            <w:tcW w:w="2835" w:type="dxa"/>
          </w:tcPr>
          <w:p w14:paraId="39B169D5" w14:textId="77777777" w:rsidR="00F67E9E" w:rsidRPr="008D6A63" w:rsidRDefault="00F67E9E" w:rsidP="007F74AA">
            <w:pPr>
              <w:pStyle w:val="StdBodyTextBold"/>
              <w:rPr>
                <w:rFonts w:cs="Arial"/>
              </w:rPr>
            </w:pPr>
            <w:r>
              <w:rPr>
                <w:rFonts w:cs="Arial"/>
              </w:rPr>
              <w:t>“</w:t>
            </w:r>
            <w:r w:rsidRPr="008D6A63">
              <w:rPr>
                <w:rFonts w:cs="Arial"/>
              </w:rPr>
              <w:t>Step-Out Date</w:t>
            </w:r>
            <w:r>
              <w:rPr>
                <w:rFonts w:cs="Arial"/>
              </w:rPr>
              <w:t>”</w:t>
            </w:r>
          </w:p>
        </w:tc>
        <w:tc>
          <w:tcPr>
            <w:tcW w:w="6803" w:type="dxa"/>
          </w:tcPr>
          <w:p w14:paraId="6635DE14" w14:textId="77777777" w:rsidR="00F67E9E" w:rsidRPr="008D6A63" w:rsidRDefault="00F67E9E" w:rsidP="007F74AA">
            <w:pPr>
              <w:pStyle w:val="StdBodyText"/>
              <w:rPr>
                <w:rFonts w:cs="Arial"/>
              </w:rPr>
            </w:pPr>
            <w:r w:rsidRPr="008D6A63">
              <w:rPr>
                <w:rFonts w:cs="Arial"/>
              </w:rPr>
              <w:t xml:space="preserve">has the meaning given in </w:t>
            </w:r>
            <w:bookmarkStart w:id="238" w:name="_9kMHG5YVtCJBBFBCDGsu1nkhy3z9ID0wwEF1VgW"/>
            <w:bookmarkStart w:id="239" w:name="_9kMHG5YVtCIABFCDDGsu1nkhy3z9ID0wwEF1VgW"/>
            <w:r w:rsidRPr="008D6A63">
              <w:rPr>
                <w:rFonts w:cs="Arial"/>
              </w:rPr>
              <w:t xml:space="preserve">Clause </w:t>
            </w:r>
            <w:bookmarkEnd w:id="238"/>
            <w:bookmarkEnd w:id="239"/>
            <w:r w:rsidRPr="008D6A63">
              <w:rPr>
                <w:rFonts w:cs="Arial"/>
              </w:rPr>
              <w:t>28.5(b) (</w:t>
            </w:r>
            <w:r w:rsidRPr="00F613BA">
              <w:rPr>
                <w:rFonts w:cs="Arial"/>
                <w:i/>
                <w:iCs/>
              </w:rPr>
              <w:t>Step-In Rights</w:t>
            </w:r>
            <w:r w:rsidRPr="008D6A63">
              <w:rPr>
                <w:rFonts w:cs="Arial"/>
              </w:rPr>
              <w:t>);</w:t>
            </w:r>
          </w:p>
        </w:tc>
      </w:tr>
      <w:tr w:rsidR="00F67E9E" w:rsidRPr="00F55457" w14:paraId="34CCC4CA" w14:textId="77777777" w:rsidTr="007F74AA">
        <w:tc>
          <w:tcPr>
            <w:tcW w:w="2835" w:type="dxa"/>
          </w:tcPr>
          <w:p w14:paraId="734DC88D" w14:textId="77777777" w:rsidR="00F67E9E" w:rsidRPr="008D6A63" w:rsidRDefault="00F67E9E" w:rsidP="007F74AA">
            <w:pPr>
              <w:pStyle w:val="StdBodyTextBold"/>
              <w:rPr>
                <w:rFonts w:cs="Arial"/>
              </w:rPr>
            </w:pPr>
            <w:r>
              <w:rPr>
                <w:rFonts w:cs="Arial"/>
              </w:rPr>
              <w:t>“</w:t>
            </w:r>
            <w:bookmarkStart w:id="240" w:name="_9kMIH5YVt4CCFHEgcvsddFjZC7ro"/>
            <w:r w:rsidRPr="008D6A63">
              <w:rPr>
                <w:rFonts w:cs="Arial"/>
              </w:rPr>
              <w:t>Step-Out Notice</w:t>
            </w:r>
            <w:bookmarkEnd w:id="240"/>
            <w:r>
              <w:rPr>
                <w:rFonts w:cs="Arial"/>
              </w:rPr>
              <w:t>”</w:t>
            </w:r>
          </w:p>
        </w:tc>
        <w:tc>
          <w:tcPr>
            <w:tcW w:w="6803" w:type="dxa"/>
          </w:tcPr>
          <w:p w14:paraId="0A13CDD9" w14:textId="77777777" w:rsidR="00F67E9E" w:rsidRPr="008D6A63" w:rsidRDefault="00F67E9E" w:rsidP="007F74AA">
            <w:pPr>
              <w:pStyle w:val="StdBodyText"/>
              <w:rPr>
                <w:rFonts w:cs="Arial"/>
              </w:rPr>
            </w:pPr>
            <w:r w:rsidRPr="008D6A63">
              <w:rPr>
                <w:rFonts w:cs="Arial"/>
              </w:rPr>
              <w:t xml:space="preserve">has the meaning given in </w:t>
            </w:r>
            <w:bookmarkStart w:id="241" w:name="_9kMHG5YVtCJBBFFGDGS9kv8zlml0954BK6GHCB3"/>
            <w:bookmarkStart w:id="242" w:name="_9kMHG5YVtCIABFGHDGS9kv8zlml0954BK6GHCB3"/>
            <w:r w:rsidRPr="008D6A63">
              <w:rPr>
                <w:rFonts w:cs="Arial"/>
              </w:rPr>
              <w:t xml:space="preserve">Clause </w:t>
            </w:r>
            <w:bookmarkEnd w:id="241"/>
            <w:bookmarkEnd w:id="242"/>
            <w:r w:rsidRPr="008D6A63">
              <w:rPr>
                <w:rFonts w:cs="Arial"/>
              </w:rPr>
              <w:t>28.5 (</w:t>
            </w:r>
            <w:r w:rsidRPr="00F613BA">
              <w:rPr>
                <w:rFonts w:cs="Arial"/>
                <w:i/>
                <w:iCs/>
              </w:rPr>
              <w:t>Step-In Rights</w:t>
            </w:r>
            <w:r w:rsidRPr="008D6A63">
              <w:rPr>
                <w:rFonts w:cs="Arial"/>
              </w:rPr>
              <w:t>);</w:t>
            </w:r>
          </w:p>
        </w:tc>
      </w:tr>
      <w:tr w:rsidR="00F67E9E" w:rsidRPr="00F55457" w14:paraId="7A50DEDC" w14:textId="77777777" w:rsidTr="007F74AA">
        <w:tc>
          <w:tcPr>
            <w:tcW w:w="2835" w:type="dxa"/>
          </w:tcPr>
          <w:p w14:paraId="2EA653BF" w14:textId="77777777" w:rsidR="00F67E9E" w:rsidRPr="008D6A63" w:rsidRDefault="00F67E9E" w:rsidP="007F74AA">
            <w:pPr>
              <w:pStyle w:val="StdBodyTextBold"/>
              <w:rPr>
                <w:rFonts w:cs="Arial"/>
              </w:rPr>
            </w:pPr>
            <w:r>
              <w:rPr>
                <w:rFonts w:cs="Arial"/>
              </w:rPr>
              <w:t>“</w:t>
            </w:r>
            <w:r w:rsidRPr="008D6A63">
              <w:rPr>
                <w:rFonts w:cs="Arial"/>
              </w:rPr>
              <w:t>Step-Out Plan</w:t>
            </w:r>
            <w:r>
              <w:rPr>
                <w:rFonts w:cs="Arial"/>
              </w:rPr>
              <w:t>”</w:t>
            </w:r>
          </w:p>
        </w:tc>
        <w:tc>
          <w:tcPr>
            <w:tcW w:w="6803" w:type="dxa"/>
          </w:tcPr>
          <w:p w14:paraId="3DE7A279" w14:textId="77777777" w:rsidR="00F67E9E" w:rsidRPr="008D6A63" w:rsidRDefault="00F67E9E" w:rsidP="007F74AA">
            <w:pPr>
              <w:pStyle w:val="StdBodyText"/>
              <w:rPr>
                <w:rFonts w:cs="Arial"/>
              </w:rPr>
            </w:pPr>
            <w:r w:rsidRPr="008D6A63">
              <w:rPr>
                <w:rFonts w:cs="Arial"/>
              </w:rPr>
              <w:t xml:space="preserve">has the meaning given in </w:t>
            </w:r>
            <w:bookmarkStart w:id="243" w:name="_9kMHG5YVtCJBBEEGDHlUmYjD960u4JAtyA59GEI"/>
            <w:bookmarkStart w:id="244" w:name="_9kMIH5YVtCIABEHJDHlUmYjD960u4JAtyA59GEI"/>
            <w:r w:rsidRPr="008D6A63">
              <w:rPr>
                <w:rFonts w:cs="Arial"/>
              </w:rPr>
              <w:t xml:space="preserve">Clause </w:t>
            </w:r>
            <w:bookmarkEnd w:id="243"/>
            <w:bookmarkEnd w:id="244"/>
            <w:r w:rsidRPr="008D6A63">
              <w:rPr>
                <w:rFonts w:cs="Arial"/>
              </w:rPr>
              <w:t>28.6 (</w:t>
            </w:r>
            <w:r w:rsidRPr="00F613BA">
              <w:rPr>
                <w:rFonts w:cs="Arial"/>
                <w:i/>
                <w:iCs/>
              </w:rPr>
              <w:t>Step-In Rights</w:t>
            </w:r>
            <w:r w:rsidRPr="008D6A63">
              <w:rPr>
                <w:rFonts w:cs="Arial"/>
              </w:rPr>
              <w:t>);</w:t>
            </w:r>
          </w:p>
        </w:tc>
      </w:tr>
      <w:tr w:rsidR="00F67E9E" w:rsidRPr="00F55457" w14:paraId="370190FE" w14:textId="77777777" w:rsidTr="007F74AA">
        <w:tc>
          <w:tcPr>
            <w:tcW w:w="2835" w:type="dxa"/>
          </w:tcPr>
          <w:p w14:paraId="0B829523" w14:textId="77777777" w:rsidR="00F67E9E" w:rsidRPr="008D6A63" w:rsidRDefault="00F67E9E" w:rsidP="007F74AA">
            <w:pPr>
              <w:pStyle w:val="StdBodyTextBold"/>
              <w:rPr>
                <w:rFonts w:cs="Arial"/>
              </w:rPr>
            </w:pPr>
            <w:r>
              <w:rPr>
                <w:rFonts w:cs="Arial"/>
              </w:rPr>
              <w:t>“</w:t>
            </w:r>
            <w:r w:rsidRPr="008D6A63">
              <w:rPr>
                <w:rFonts w:cs="Arial"/>
              </w:rPr>
              <w:t>Strategic Supplier</w:t>
            </w:r>
            <w:r>
              <w:rPr>
                <w:rFonts w:cs="Arial"/>
              </w:rPr>
              <w:t>”</w:t>
            </w:r>
          </w:p>
        </w:tc>
        <w:tc>
          <w:tcPr>
            <w:tcW w:w="6803" w:type="dxa"/>
          </w:tcPr>
          <w:p w14:paraId="2BA012E4" w14:textId="77777777" w:rsidR="00F67E9E" w:rsidRPr="008D6A63" w:rsidRDefault="00F67E9E" w:rsidP="007F74AA">
            <w:pPr>
              <w:pStyle w:val="StdBodyText"/>
              <w:rPr>
                <w:rFonts w:cs="Arial"/>
              </w:rPr>
            </w:pPr>
            <w:r w:rsidRPr="008D6A63">
              <w:rPr>
                <w:rFonts w:cs="Arial"/>
              </w:rPr>
              <w:t xml:space="preserve">means those suppliers to government listed at </w:t>
            </w:r>
            <w:hyperlink r:id="rId24" w:history="1">
              <w:r w:rsidRPr="005870ED">
                <w:rPr>
                  <w:rStyle w:val="Hyperlink"/>
                </w:rPr>
                <w:t>https://www.gov.uk/government/publications/strategic-suppliers</w:t>
              </w:r>
            </w:hyperlink>
            <w:r w:rsidRPr="008D6A63">
              <w:rPr>
                <w:rFonts w:cs="Arial"/>
              </w:rPr>
              <w:t>;</w:t>
            </w:r>
          </w:p>
        </w:tc>
      </w:tr>
      <w:tr w:rsidR="00F67E9E" w:rsidRPr="00F55457" w14:paraId="21D9533A" w14:textId="77777777" w:rsidTr="007F74AA">
        <w:tc>
          <w:tcPr>
            <w:tcW w:w="2835" w:type="dxa"/>
          </w:tcPr>
          <w:p w14:paraId="522423C8" w14:textId="77777777" w:rsidR="00F67E9E" w:rsidRPr="008D6A63" w:rsidRDefault="00F67E9E" w:rsidP="007F74AA">
            <w:pPr>
              <w:pStyle w:val="StdBodyTextBold"/>
              <w:rPr>
                <w:rFonts w:cs="Arial"/>
              </w:rPr>
            </w:pPr>
            <w:r>
              <w:rPr>
                <w:rFonts w:cs="Arial"/>
              </w:rPr>
              <w:t>“</w:t>
            </w:r>
            <w:r w:rsidRPr="008D6A63">
              <w:rPr>
                <w:rFonts w:cs="Arial"/>
              </w:rPr>
              <w:t>Sub-contract</w:t>
            </w:r>
            <w:r>
              <w:rPr>
                <w:rFonts w:cs="Arial"/>
              </w:rPr>
              <w:t>”</w:t>
            </w:r>
          </w:p>
        </w:tc>
        <w:tc>
          <w:tcPr>
            <w:tcW w:w="6803" w:type="dxa"/>
          </w:tcPr>
          <w:p w14:paraId="4F7DA2BF" w14:textId="77777777" w:rsidR="00F67E9E" w:rsidRPr="008D6A63" w:rsidRDefault="00F67E9E" w:rsidP="007F74AA">
            <w:pPr>
              <w:pStyle w:val="StdBodyText"/>
              <w:rPr>
                <w:rFonts w:cs="Arial"/>
              </w:rPr>
            </w:pPr>
            <w:r w:rsidRPr="008D6A63">
              <w:rPr>
                <w:rFonts w:cs="Arial"/>
              </w:rPr>
              <w:t>any contract or agreement (or proposed contract or agreement) between the Supplier (or a Sub-contractor) and any third party whereby that third party agrees to provide to the Supplier (or the Sub-contractor) all or any part of the Services or facilities or services which are material for the provision of the Services or any part thereof or necessary for the management, direction or control of the Services or any part thereof;</w:t>
            </w:r>
          </w:p>
        </w:tc>
      </w:tr>
      <w:tr w:rsidR="00F67E9E" w:rsidRPr="00F55457" w14:paraId="02CD48EA" w14:textId="77777777" w:rsidTr="007F74AA">
        <w:tc>
          <w:tcPr>
            <w:tcW w:w="2835" w:type="dxa"/>
          </w:tcPr>
          <w:p w14:paraId="295AA9BE" w14:textId="77777777" w:rsidR="00F67E9E" w:rsidRPr="008D6A63" w:rsidRDefault="00F67E9E" w:rsidP="007F74AA">
            <w:pPr>
              <w:pStyle w:val="StdBodyTextBold"/>
              <w:keepNext/>
              <w:rPr>
                <w:rFonts w:cs="Arial"/>
              </w:rPr>
            </w:pPr>
            <w:r>
              <w:rPr>
                <w:rFonts w:cs="Arial"/>
              </w:rPr>
              <w:t>“</w:t>
            </w:r>
            <w:r w:rsidRPr="008D6A63">
              <w:rPr>
                <w:rFonts w:cs="Arial"/>
              </w:rPr>
              <w:t>Sub-contractor</w:t>
            </w:r>
            <w:r>
              <w:rPr>
                <w:rFonts w:cs="Arial"/>
              </w:rPr>
              <w:t>”</w:t>
            </w:r>
          </w:p>
        </w:tc>
        <w:tc>
          <w:tcPr>
            <w:tcW w:w="6803" w:type="dxa"/>
          </w:tcPr>
          <w:p w14:paraId="162EB76A" w14:textId="77777777" w:rsidR="00F67E9E" w:rsidRPr="008D6A63" w:rsidRDefault="00F67E9E" w:rsidP="007F74AA">
            <w:pPr>
              <w:pStyle w:val="StdBodyText"/>
              <w:rPr>
                <w:rFonts w:cs="Arial"/>
              </w:rPr>
            </w:pPr>
            <w:r w:rsidRPr="008D6A63">
              <w:rPr>
                <w:rFonts w:cs="Arial"/>
              </w:rPr>
              <w:t>any third party with whom:</w:t>
            </w:r>
          </w:p>
          <w:p w14:paraId="193F2BBC" w14:textId="77777777" w:rsidR="00F67E9E" w:rsidRPr="00577E60" w:rsidRDefault="00F67E9E" w:rsidP="007F74AA">
            <w:pPr>
              <w:pStyle w:val="DefinitionList"/>
              <w:numPr>
                <w:ilvl w:val="0"/>
                <w:numId w:val="212"/>
              </w:numPr>
              <w:rPr>
                <w:rFonts w:cs="Arial"/>
              </w:rPr>
            </w:pPr>
            <w:bookmarkStart w:id="245" w:name="_9kR3WTrAG86BHgtjmj09ubjjFx05tyvgtNJGA4E"/>
            <w:bookmarkStart w:id="246" w:name="_9kR3WTr299DHHhtjmj09ubjjFx05tyvgtNJGA4E"/>
            <w:bookmarkStart w:id="247" w:name="_Ref_ContractCompanion_9kb9Ur27B"/>
            <w:r w:rsidRPr="00577E60">
              <w:rPr>
                <w:rFonts w:cs="Arial"/>
              </w:rPr>
              <w:t>the Supplier enters into a Sub-contract;</w:t>
            </w:r>
            <w:bookmarkEnd w:id="245"/>
            <w:bookmarkEnd w:id="246"/>
            <w:r w:rsidRPr="00577E60">
              <w:rPr>
                <w:rFonts w:cs="Arial"/>
              </w:rPr>
              <w:t xml:space="preserve"> or </w:t>
            </w:r>
            <w:bookmarkEnd w:id="247"/>
          </w:p>
          <w:p w14:paraId="277D970D" w14:textId="5FA7F463" w:rsidR="00F67E9E" w:rsidRPr="008D6A63" w:rsidRDefault="00F67E9E" w:rsidP="00F67E9E">
            <w:pPr>
              <w:pStyle w:val="DefinitionList"/>
              <w:numPr>
                <w:ilvl w:val="0"/>
                <w:numId w:val="108"/>
              </w:numPr>
              <w:rPr>
                <w:rFonts w:cs="Arial"/>
              </w:rPr>
            </w:pPr>
            <w:r w:rsidRPr="008D6A63">
              <w:rPr>
                <w:rFonts w:cs="Arial"/>
              </w:rPr>
              <w:t xml:space="preserve">a third party under </w:t>
            </w:r>
            <w:bookmarkStart w:id="248" w:name="_9kMHG5YVtCIA8DJivlol2BwdllHz27v0xivPLIC"/>
            <w:r w:rsidRPr="008D6A63">
              <w:rPr>
                <w:rFonts w:cs="Arial"/>
              </w:rPr>
              <w:fldChar w:fldCharType="begin"/>
            </w:r>
            <w:r w:rsidRPr="008D6A63">
              <w:rPr>
                <w:rFonts w:cs="Arial"/>
              </w:rPr>
              <w:instrText xml:space="preserve"> REF _Ref_ContractCompanion_9kb9Ur27B \w \n \h \t \* MERGEFORMAT </w:instrText>
            </w:r>
            <w:r w:rsidRPr="008D6A63">
              <w:rPr>
                <w:rFonts w:cs="Arial"/>
              </w:rPr>
            </w:r>
            <w:r w:rsidRPr="008D6A63">
              <w:rPr>
                <w:rFonts w:cs="Arial"/>
              </w:rPr>
              <w:fldChar w:fldCharType="separate"/>
            </w:r>
            <w:bookmarkStart w:id="249" w:name="_9kMHG5YVt4BBFJJjvlol2BwdllHz27v0xivPLIC"/>
            <w:r w:rsidR="00302D39">
              <w:rPr>
                <w:rFonts w:cs="Arial"/>
              </w:rPr>
              <w:t>(a)</w:t>
            </w:r>
            <w:bookmarkEnd w:id="249"/>
            <w:r w:rsidRPr="008D6A63">
              <w:rPr>
                <w:rFonts w:cs="Arial"/>
              </w:rPr>
              <w:fldChar w:fldCharType="end"/>
            </w:r>
            <w:bookmarkEnd w:id="248"/>
            <w:r w:rsidRPr="008D6A63">
              <w:rPr>
                <w:rFonts w:cs="Arial"/>
              </w:rPr>
              <w:t xml:space="preserve"> above enters into a Sub-contract,</w:t>
            </w:r>
          </w:p>
          <w:p w14:paraId="181899B4" w14:textId="77777777" w:rsidR="00F67E9E" w:rsidRPr="008D6A63" w:rsidRDefault="00F67E9E" w:rsidP="007F74AA">
            <w:pPr>
              <w:pStyle w:val="StdBodyText"/>
              <w:rPr>
                <w:rFonts w:cs="Arial"/>
              </w:rPr>
            </w:pPr>
            <w:r w:rsidRPr="008D6A63">
              <w:rPr>
                <w:rFonts w:cs="Arial"/>
              </w:rPr>
              <w:t>or the servants or agents of that third party;</w:t>
            </w:r>
          </w:p>
        </w:tc>
      </w:tr>
      <w:tr w:rsidR="00F67E9E" w:rsidRPr="00F55457" w14:paraId="27A47F00" w14:textId="77777777" w:rsidTr="007F74AA">
        <w:tc>
          <w:tcPr>
            <w:tcW w:w="2835" w:type="dxa"/>
          </w:tcPr>
          <w:p w14:paraId="1872E72B" w14:textId="77777777" w:rsidR="00F67E9E" w:rsidRPr="008D6A63" w:rsidRDefault="00F67E9E" w:rsidP="007F74AA">
            <w:pPr>
              <w:pStyle w:val="StdBodyTextBold"/>
              <w:rPr>
                <w:rFonts w:cs="Arial"/>
              </w:rPr>
            </w:pPr>
            <w:r>
              <w:rPr>
                <w:rFonts w:cs="Arial"/>
              </w:rPr>
              <w:t>“</w:t>
            </w:r>
            <w:r w:rsidRPr="008D6A63">
              <w:rPr>
                <w:rFonts w:cs="Arial"/>
              </w:rPr>
              <w:t>Sub-processor</w:t>
            </w:r>
            <w:r>
              <w:rPr>
                <w:rFonts w:cs="Arial"/>
              </w:rPr>
              <w:t>”</w:t>
            </w:r>
          </w:p>
        </w:tc>
        <w:tc>
          <w:tcPr>
            <w:tcW w:w="6803" w:type="dxa"/>
          </w:tcPr>
          <w:p w14:paraId="0B1B0BE8" w14:textId="77777777" w:rsidR="00F67E9E" w:rsidRPr="008D6A63" w:rsidRDefault="00F67E9E" w:rsidP="007F74AA">
            <w:pPr>
              <w:pStyle w:val="StdBodyText"/>
              <w:rPr>
                <w:rFonts w:cs="Arial"/>
              </w:rPr>
            </w:pPr>
            <w:r w:rsidRPr="008D6A63">
              <w:rPr>
                <w:rFonts w:cs="Arial"/>
              </w:rPr>
              <w:t xml:space="preserve">any third party appointed to process Personal Data on behalf of the </w:t>
            </w:r>
            <w:r>
              <w:rPr>
                <w:rFonts w:cs="Arial"/>
              </w:rPr>
              <w:t>Processor</w:t>
            </w:r>
            <w:r w:rsidRPr="008D6A63">
              <w:rPr>
                <w:rFonts w:cs="Arial"/>
              </w:rPr>
              <w:t xml:space="preserve"> related to this Contract;</w:t>
            </w:r>
          </w:p>
        </w:tc>
      </w:tr>
      <w:tr w:rsidR="00F67E9E" w:rsidRPr="00F55457" w14:paraId="7DDB93C4" w14:textId="77777777" w:rsidTr="007F74AA">
        <w:tc>
          <w:tcPr>
            <w:tcW w:w="2835" w:type="dxa"/>
          </w:tcPr>
          <w:p w14:paraId="6CA8F3EC" w14:textId="77777777" w:rsidR="00F67E9E" w:rsidRPr="008D6A63" w:rsidRDefault="00F67E9E" w:rsidP="007F74AA">
            <w:pPr>
              <w:pStyle w:val="StdBodyTextBold"/>
              <w:rPr>
                <w:rFonts w:cs="Arial"/>
              </w:rPr>
            </w:pPr>
            <w:r>
              <w:rPr>
                <w:rFonts w:cs="Arial"/>
              </w:rPr>
              <w:t>“</w:t>
            </w:r>
            <w:r w:rsidRPr="008D6A63">
              <w:rPr>
                <w:rFonts w:cs="Arial"/>
              </w:rPr>
              <w:t>Subsidiary Performance Indicator</w:t>
            </w:r>
            <w:r>
              <w:rPr>
                <w:rFonts w:cs="Arial"/>
              </w:rPr>
              <w:t>”</w:t>
            </w:r>
          </w:p>
        </w:tc>
        <w:tc>
          <w:tcPr>
            <w:tcW w:w="6803" w:type="dxa"/>
          </w:tcPr>
          <w:p w14:paraId="28A2852B" w14:textId="76037320" w:rsidR="00F67E9E" w:rsidRPr="008D6A63" w:rsidRDefault="00F67E9E" w:rsidP="007F74AA">
            <w:pPr>
              <w:pStyle w:val="StdBodyText"/>
              <w:rPr>
                <w:rFonts w:cs="Arial"/>
              </w:rPr>
            </w:pPr>
            <w:r w:rsidRPr="008D6A63">
              <w:rPr>
                <w:rFonts w:cs="Arial"/>
              </w:rPr>
              <w:t xml:space="preserve">the performance indicators set out in </w:t>
            </w:r>
            <w:bookmarkStart w:id="250" w:name="_9kMHG5YVt4EE78GkKZlp7"/>
            <w:r w:rsidRPr="008D6A63">
              <w:rPr>
                <w:rFonts w:cs="Arial"/>
              </w:rPr>
              <w:t>Table 2</w:t>
            </w:r>
            <w:bookmarkEnd w:id="250"/>
            <w:r w:rsidRPr="008D6A63">
              <w:rPr>
                <w:rFonts w:cs="Arial"/>
              </w:rPr>
              <w:t xml:space="preserve"> of </w:t>
            </w:r>
            <w:r w:rsidRPr="008D6A63">
              <w:rPr>
                <w:rFonts w:cs="Arial"/>
              </w:rPr>
              <w:fldChar w:fldCharType="begin"/>
            </w:r>
            <w:r w:rsidRPr="008D6A63">
              <w:rPr>
                <w:rFonts w:cs="Arial"/>
              </w:rPr>
              <w:instrText xml:space="preserve"> REF Sch3Ann1PartA \h  \* MERGEFORMAT </w:instrText>
            </w:r>
            <w:r w:rsidRPr="008D6A63">
              <w:rPr>
                <w:rFonts w:cs="Arial"/>
              </w:rPr>
            </w:r>
            <w:r w:rsidRPr="008D6A63">
              <w:rPr>
                <w:rFonts w:cs="Arial"/>
              </w:rPr>
              <w:fldChar w:fldCharType="separate"/>
            </w:r>
            <w:r w:rsidR="00302D39" w:rsidRPr="00302D39">
              <w:rPr>
                <w:rFonts w:cs="Arial"/>
              </w:rPr>
              <w:t>Part A</w:t>
            </w:r>
            <w:r w:rsidRPr="008D6A63">
              <w:rPr>
                <w:rFonts w:cs="Arial"/>
              </w:rPr>
              <w:fldChar w:fldCharType="end"/>
            </w:r>
            <w:r w:rsidRPr="008D6A63">
              <w:rPr>
                <w:rFonts w:cs="Arial"/>
              </w:rPr>
              <w:t xml:space="preserve"> of </w:t>
            </w:r>
            <w:r w:rsidRPr="008D6A63">
              <w:rPr>
                <w:rFonts w:cs="Arial"/>
              </w:rPr>
              <w:fldChar w:fldCharType="begin"/>
            </w:r>
            <w:r w:rsidRPr="008D6A63">
              <w:rPr>
                <w:rFonts w:cs="Arial"/>
              </w:rPr>
              <w:instrText xml:space="preserve"> REF ANNEX1_SCHEDULE3 \h  \* MERGEFORMAT </w:instrText>
            </w:r>
            <w:r w:rsidRPr="008D6A63">
              <w:rPr>
                <w:rFonts w:cs="Arial"/>
              </w:rPr>
            </w:r>
            <w:r w:rsidRPr="008D6A63">
              <w:rPr>
                <w:rFonts w:cs="Arial"/>
              </w:rPr>
              <w:fldChar w:fldCharType="separate"/>
            </w:r>
            <w:r w:rsidR="00302D39" w:rsidRPr="00302D39">
              <w:rPr>
                <w:rFonts w:cs="Arial"/>
              </w:rPr>
              <w:t>Annex 1</w:t>
            </w:r>
            <w:r w:rsidRPr="008D6A63">
              <w:rPr>
                <w:rFonts w:cs="Arial"/>
              </w:rPr>
              <w:fldChar w:fldCharType="end"/>
            </w:r>
            <w:r w:rsidRPr="008D6A63">
              <w:rPr>
                <w:rFonts w:cs="Arial"/>
              </w:rPr>
              <w:t xml:space="preserve"> of </w:t>
            </w:r>
            <w:r>
              <w:rPr>
                <w:rFonts w:cs="Arial"/>
              </w:rPr>
              <w:fldChar w:fldCharType="begin"/>
            </w:r>
            <w:r>
              <w:rPr>
                <w:rFonts w:cs="Arial"/>
              </w:rPr>
              <w:instrText xml:space="preserve"> REF Schedule3 \h </w:instrText>
            </w:r>
            <w:r>
              <w:rPr>
                <w:rFonts w:cs="Arial"/>
              </w:rPr>
            </w:r>
            <w:r>
              <w:rPr>
                <w:rFonts w:cs="Arial"/>
              </w:rPr>
              <w:fldChar w:fldCharType="separate"/>
            </w:r>
            <w:r w:rsidR="00302D39" w:rsidRPr="005D0525">
              <w:t>Schedule</w:t>
            </w:r>
            <w:r w:rsidR="00302D39">
              <w:t> </w:t>
            </w:r>
            <w:r w:rsidR="00302D39" w:rsidRPr="005D0525">
              <w:t>3</w:t>
            </w:r>
            <w:r>
              <w:rPr>
                <w:rFonts w:cs="Arial"/>
              </w:rPr>
              <w:fldChar w:fldCharType="end"/>
            </w:r>
            <w:r>
              <w:rPr>
                <w:rFonts w:cs="Arial"/>
              </w:rPr>
              <w:t xml:space="preserve"> (</w:t>
            </w:r>
            <w:r w:rsidRPr="00A22335">
              <w:rPr>
                <w:rFonts w:cs="Arial"/>
                <w:i/>
                <w:iCs/>
              </w:rPr>
              <w:fldChar w:fldCharType="begin"/>
            </w:r>
            <w:r w:rsidRPr="00A22335">
              <w:rPr>
                <w:rFonts w:cs="Arial"/>
                <w:i/>
                <w:iCs/>
              </w:rPr>
              <w:instrText xml:space="preserve"> REF Schedule3Heading \h </w:instrText>
            </w:r>
            <w:r>
              <w:rPr>
                <w:rFonts w:cs="Arial"/>
                <w:i/>
                <w:iCs/>
              </w:rPr>
              <w:instrText xml:space="preserve"> \* MERGEFORMAT </w:instrText>
            </w:r>
            <w:r w:rsidRPr="00A22335">
              <w:rPr>
                <w:rFonts w:cs="Arial"/>
                <w:i/>
                <w:iCs/>
              </w:rPr>
            </w:r>
            <w:r w:rsidRPr="00A22335">
              <w:rPr>
                <w:rFonts w:cs="Arial"/>
                <w:i/>
                <w:iCs/>
              </w:rPr>
              <w:fldChar w:fldCharType="separate"/>
            </w:r>
            <w:r w:rsidR="00302D39" w:rsidRPr="00302D39">
              <w:rPr>
                <w:i/>
                <w:iCs/>
              </w:rPr>
              <w:t>Performance Levels</w:t>
            </w:r>
            <w:r w:rsidRPr="00A22335">
              <w:rPr>
                <w:rFonts w:cs="Arial"/>
                <w:i/>
                <w:iCs/>
              </w:rPr>
              <w:fldChar w:fldCharType="end"/>
            </w:r>
            <w:r>
              <w:rPr>
                <w:rFonts w:cs="Arial"/>
              </w:rPr>
              <w:t>)</w:t>
            </w:r>
            <w:r w:rsidRPr="008D6A63">
              <w:rPr>
                <w:rFonts w:cs="Arial"/>
              </w:rPr>
              <w:t>;</w:t>
            </w:r>
          </w:p>
        </w:tc>
      </w:tr>
      <w:tr w:rsidR="00F67E9E" w:rsidRPr="00F55457" w14:paraId="5C66E233" w14:textId="77777777" w:rsidTr="007F74AA">
        <w:tc>
          <w:tcPr>
            <w:tcW w:w="2835" w:type="dxa"/>
          </w:tcPr>
          <w:p w14:paraId="6BC0BB8A" w14:textId="77777777" w:rsidR="00F67E9E" w:rsidRPr="008D6A63" w:rsidRDefault="00F67E9E" w:rsidP="007F74AA">
            <w:pPr>
              <w:pStyle w:val="StdBodyTextBold"/>
              <w:rPr>
                <w:rFonts w:cs="Arial"/>
              </w:rPr>
            </w:pPr>
            <w:r>
              <w:rPr>
                <w:rFonts w:cs="Arial"/>
              </w:rPr>
              <w:t>“</w:t>
            </w:r>
            <w:r w:rsidRPr="008D6A63">
              <w:rPr>
                <w:rFonts w:cs="Arial"/>
              </w:rPr>
              <w:t>Subsidiary Undertaking</w:t>
            </w:r>
            <w:r>
              <w:rPr>
                <w:rFonts w:cs="Arial"/>
              </w:rPr>
              <w:t>”</w:t>
            </w:r>
          </w:p>
        </w:tc>
        <w:tc>
          <w:tcPr>
            <w:tcW w:w="6803" w:type="dxa"/>
          </w:tcPr>
          <w:p w14:paraId="5BE7885B" w14:textId="77777777" w:rsidR="00F67E9E" w:rsidRPr="008D6A63" w:rsidRDefault="00F67E9E" w:rsidP="007F74AA">
            <w:pPr>
              <w:pStyle w:val="StdBodyText"/>
              <w:rPr>
                <w:rFonts w:cs="Arial"/>
              </w:rPr>
            </w:pPr>
            <w:r w:rsidRPr="008D6A63">
              <w:rPr>
                <w:rFonts w:cs="Arial"/>
              </w:rPr>
              <w:t xml:space="preserve">has the meaning set out in </w:t>
            </w:r>
            <w:bookmarkStart w:id="251" w:name="_9kMHG5YVt499FJE4teu1x3HJPRA17AwSXEG54D5"/>
            <w:r w:rsidRPr="008D6A63">
              <w:rPr>
                <w:rFonts w:cs="Arial"/>
              </w:rPr>
              <w:t>section 1162 of the Companies Act 2006</w:t>
            </w:r>
            <w:bookmarkEnd w:id="251"/>
            <w:r w:rsidRPr="008D6A63">
              <w:rPr>
                <w:rFonts w:cs="Arial"/>
              </w:rPr>
              <w:t>;</w:t>
            </w:r>
          </w:p>
        </w:tc>
      </w:tr>
      <w:tr w:rsidR="00F67E9E" w:rsidRPr="00F55457" w14:paraId="01DA1CDF" w14:textId="77777777" w:rsidTr="007F74AA">
        <w:tc>
          <w:tcPr>
            <w:tcW w:w="2835" w:type="dxa"/>
          </w:tcPr>
          <w:p w14:paraId="7200A1E1" w14:textId="77777777" w:rsidR="00F67E9E" w:rsidRPr="008D6A63" w:rsidRDefault="00F67E9E" w:rsidP="007F74AA">
            <w:pPr>
              <w:pStyle w:val="StdBodyTextBold"/>
              <w:rPr>
                <w:rFonts w:cs="Arial"/>
              </w:rPr>
            </w:pPr>
            <w:r>
              <w:rPr>
                <w:rFonts w:cs="Arial"/>
              </w:rPr>
              <w:t>“</w:t>
            </w:r>
            <w:r w:rsidRPr="008D6A63">
              <w:rPr>
                <w:rFonts w:cs="Arial"/>
              </w:rPr>
              <w:t>Successor Body</w:t>
            </w:r>
            <w:r>
              <w:rPr>
                <w:rFonts w:cs="Arial"/>
              </w:rPr>
              <w:t>”</w:t>
            </w:r>
          </w:p>
        </w:tc>
        <w:tc>
          <w:tcPr>
            <w:tcW w:w="6803" w:type="dxa"/>
          </w:tcPr>
          <w:p w14:paraId="1D4F2F66" w14:textId="77777777" w:rsidR="00F67E9E" w:rsidRPr="008D6A63" w:rsidRDefault="00F67E9E" w:rsidP="007F74AA">
            <w:pPr>
              <w:pStyle w:val="StdBodyText"/>
              <w:rPr>
                <w:rFonts w:cs="Arial"/>
              </w:rPr>
            </w:pPr>
            <w:r w:rsidRPr="008D6A63">
              <w:rPr>
                <w:rFonts w:cs="Arial"/>
              </w:rPr>
              <w:t xml:space="preserve">has the meaning given in </w:t>
            </w:r>
            <w:bookmarkStart w:id="252" w:name="_9kMIH5YVtCIAAGDCJLYHz2oITJ73E9CTB6PG5BO"/>
            <w:bookmarkStart w:id="253" w:name="_9kMHG5YVtCJBAGEDJLYHz2oITJ73E9CTB6PG5BO"/>
            <w:r w:rsidRPr="008D6A63">
              <w:rPr>
                <w:rFonts w:cs="Arial"/>
              </w:rPr>
              <w:t xml:space="preserve">Clause </w:t>
            </w:r>
            <w:bookmarkEnd w:id="252"/>
            <w:bookmarkEnd w:id="253"/>
            <w:r w:rsidRPr="008D6A63">
              <w:rPr>
                <w:rFonts w:cs="Arial"/>
              </w:rPr>
              <w:t>34.4 (</w:t>
            </w:r>
            <w:r w:rsidRPr="00F613BA">
              <w:rPr>
                <w:rFonts w:cs="Arial"/>
                <w:i/>
                <w:iCs/>
              </w:rPr>
              <w:t>Assignment and Novation</w:t>
            </w:r>
            <w:r w:rsidRPr="008D6A63">
              <w:rPr>
                <w:rFonts w:cs="Arial"/>
              </w:rPr>
              <w:t>);</w:t>
            </w:r>
          </w:p>
        </w:tc>
      </w:tr>
      <w:tr w:rsidR="00F67E9E" w:rsidRPr="00F55457" w14:paraId="639FB7B0" w14:textId="77777777" w:rsidTr="007F74AA">
        <w:tc>
          <w:tcPr>
            <w:tcW w:w="2835" w:type="dxa"/>
          </w:tcPr>
          <w:p w14:paraId="27924F0F" w14:textId="77777777" w:rsidR="00F67E9E" w:rsidRPr="008D6A63" w:rsidRDefault="00F67E9E" w:rsidP="007F74AA">
            <w:pPr>
              <w:pStyle w:val="StdBodyTextBold"/>
              <w:rPr>
                <w:rFonts w:cs="Arial"/>
              </w:rPr>
            </w:pPr>
            <w:r>
              <w:rPr>
                <w:rFonts w:cs="Arial"/>
              </w:rPr>
              <w:t>“</w:t>
            </w:r>
            <w:r w:rsidRPr="008D6A63">
              <w:rPr>
                <w:rFonts w:cs="Arial"/>
              </w:rPr>
              <w:t>Supplier Background IPRs</w:t>
            </w:r>
            <w:r>
              <w:rPr>
                <w:rFonts w:cs="Arial"/>
              </w:rPr>
              <w:t>”</w:t>
            </w:r>
          </w:p>
        </w:tc>
        <w:tc>
          <w:tcPr>
            <w:tcW w:w="6803" w:type="dxa"/>
          </w:tcPr>
          <w:p w14:paraId="32EFC732" w14:textId="77777777" w:rsidR="00F67E9E" w:rsidRPr="008D6A63" w:rsidRDefault="00F67E9E" w:rsidP="007F74AA">
            <w:pPr>
              <w:pStyle w:val="DefinitionList"/>
              <w:numPr>
                <w:ilvl w:val="0"/>
                <w:numId w:val="94"/>
              </w:numPr>
            </w:pPr>
            <w:r w:rsidRPr="008D6A63">
              <w:t xml:space="preserve">Intellectual Property Rights owned by the Supplier before the Effective Date, for example those subsisting in the </w:t>
            </w:r>
            <w:bookmarkStart w:id="254" w:name="_9kML8L6ZWu9A679B"/>
            <w:r w:rsidRPr="008D6A63">
              <w:t>Supplier</w:t>
            </w:r>
            <w:r>
              <w:t>’</w:t>
            </w:r>
            <w:r w:rsidRPr="008D6A63">
              <w:t>s</w:t>
            </w:r>
            <w:bookmarkEnd w:id="254"/>
            <w:r w:rsidRPr="008D6A63">
              <w:t xml:space="preserve"> </w:t>
            </w:r>
            <w:r w:rsidRPr="00DC4C80">
              <w:t>standard</w:t>
            </w:r>
            <w:r w:rsidRPr="008D6A63">
              <w:t xml:space="preserve"> development tools, program components or standard code used in computer programming or in physical or electronic media containing the </w:t>
            </w:r>
            <w:bookmarkStart w:id="255" w:name="_9kML9M6ZWu9A679B"/>
            <w:r w:rsidRPr="008D6A63">
              <w:t>Supplier</w:t>
            </w:r>
            <w:r>
              <w:t>’</w:t>
            </w:r>
            <w:r w:rsidRPr="008D6A63">
              <w:t>s</w:t>
            </w:r>
            <w:bookmarkEnd w:id="255"/>
            <w:r w:rsidRPr="008D6A63">
              <w:t xml:space="preserve"> Know-How or generic business methodologies; and/or</w:t>
            </w:r>
          </w:p>
          <w:p w14:paraId="33B9A45A" w14:textId="77777777" w:rsidR="00F67E9E" w:rsidRPr="008D6A63" w:rsidRDefault="00F67E9E" w:rsidP="00F67E9E">
            <w:pPr>
              <w:pStyle w:val="DefinitionList"/>
              <w:numPr>
                <w:ilvl w:val="0"/>
                <w:numId w:val="108"/>
              </w:numPr>
              <w:rPr>
                <w:rFonts w:cs="Arial"/>
              </w:rPr>
            </w:pPr>
            <w:r w:rsidRPr="008D6A63">
              <w:rPr>
                <w:rFonts w:cs="Arial"/>
              </w:rPr>
              <w:t>Intellectual Property Rights created by the Supplier independently of this Contract,</w:t>
            </w:r>
          </w:p>
          <w:p w14:paraId="73E2ECB4" w14:textId="77777777" w:rsidR="00F67E9E" w:rsidRPr="008D6A63" w:rsidRDefault="00F67E9E" w:rsidP="007F74AA">
            <w:pPr>
              <w:pStyle w:val="StdBodyText"/>
              <w:rPr>
                <w:rFonts w:cs="Arial"/>
              </w:rPr>
            </w:pPr>
            <w:r w:rsidRPr="008D6A63">
              <w:rPr>
                <w:rFonts w:cs="Arial"/>
              </w:rPr>
              <w:t>which in each case is or will be used before or during the Term for designing, testing implementing or providing the Services but excluding Intellectual Property Rights owned by the Supplier subsisting in the Supplier Software;</w:t>
            </w:r>
          </w:p>
        </w:tc>
      </w:tr>
      <w:tr w:rsidR="00F67E9E" w:rsidRPr="00F55457" w14:paraId="5A70676D" w14:textId="77777777" w:rsidTr="007F74AA">
        <w:tc>
          <w:tcPr>
            <w:tcW w:w="2835" w:type="dxa"/>
          </w:tcPr>
          <w:p w14:paraId="0156D659" w14:textId="77777777" w:rsidR="00F67E9E" w:rsidRPr="008D6A63" w:rsidRDefault="00F67E9E" w:rsidP="007F74AA">
            <w:pPr>
              <w:pStyle w:val="StdBodyTextBold"/>
              <w:rPr>
                <w:rFonts w:cs="Arial"/>
              </w:rPr>
            </w:pPr>
            <w:r>
              <w:rPr>
                <w:rFonts w:cs="Arial"/>
              </w:rPr>
              <w:t>“</w:t>
            </w:r>
            <w:r w:rsidRPr="008D6A63">
              <w:rPr>
                <w:rFonts w:cs="Arial"/>
              </w:rPr>
              <w:t>Supplier COTS Background IPRs</w:t>
            </w:r>
            <w:r>
              <w:rPr>
                <w:rFonts w:cs="Arial"/>
              </w:rPr>
              <w:t>”</w:t>
            </w:r>
          </w:p>
        </w:tc>
        <w:tc>
          <w:tcPr>
            <w:tcW w:w="6803" w:type="dxa"/>
          </w:tcPr>
          <w:p w14:paraId="7B69CE06" w14:textId="77777777" w:rsidR="00F67E9E" w:rsidRPr="008D6A63" w:rsidRDefault="00F67E9E" w:rsidP="007F74AA">
            <w:pPr>
              <w:pStyle w:val="StdBodyText"/>
              <w:rPr>
                <w:rFonts w:cs="Arial"/>
              </w:rPr>
            </w:pPr>
            <w:r w:rsidRPr="008D6A63">
              <w:rPr>
                <w:rFonts w:cs="Arial"/>
              </w:rPr>
              <w:t>Any embodiments of Supplier Background IPRs that:</w:t>
            </w:r>
          </w:p>
          <w:p w14:paraId="2511B724" w14:textId="77777777" w:rsidR="00F67E9E" w:rsidRPr="008D6A63" w:rsidRDefault="00F67E9E" w:rsidP="007F74AA">
            <w:pPr>
              <w:pStyle w:val="DefinitionList"/>
              <w:numPr>
                <w:ilvl w:val="0"/>
                <w:numId w:val="95"/>
              </w:numPr>
            </w:pPr>
            <w:r w:rsidRPr="008D6A63">
              <w:t>the Supplier makes generally available commercially prior to the date of this Contract (whether by way of sale, lease or licence) on standard terms which are not typically negotiated by the Supplier save as to price; and</w:t>
            </w:r>
          </w:p>
          <w:p w14:paraId="33ABA1F1" w14:textId="77777777" w:rsidR="00F67E9E" w:rsidRPr="008D6A63" w:rsidRDefault="00F67E9E" w:rsidP="00F67E9E">
            <w:pPr>
              <w:pStyle w:val="DefinitionList"/>
              <w:numPr>
                <w:ilvl w:val="0"/>
                <w:numId w:val="108"/>
              </w:numPr>
              <w:rPr>
                <w:rFonts w:cs="Arial"/>
              </w:rPr>
            </w:pPr>
            <w:r w:rsidRPr="008D6A63">
              <w:rPr>
                <w:rFonts w:cs="Arial"/>
              </w:rPr>
              <w:t>has a Non-trivial Customer Base;</w:t>
            </w:r>
          </w:p>
        </w:tc>
      </w:tr>
      <w:tr w:rsidR="00F67E9E" w:rsidRPr="00F55457" w14:paraId="3FCDEEC5" w14:textId="77777777" w:rsidTr="007F74AA">
        <w:tc>
          <w:tcPr>
            <w:tcW w:w="2835" w:type="dxa"/>
          </w:tcPr>
          <w:p w14:paraId="253CA860" w14:textId="77777777" w:rsidR="00F67E9E" w:rsidRPr="008D6A63" w:rsidRDefault="00F67E9E" w:rsidP="007F74AA">
            <w:pPr>
              <w:pStyle w:val="StdBodyTextBold"/>
              <w:rPr>
                <w:rFonts w:cs="Arial"/>
              </w:rPr>
            </w:pPr>
            <w:r>
              <w:rPr>
                <w:rFonts w:cs="Arial"/>
              </w:rPr>
              <w:t>“</w:t>
            </w:r>
            <w:r w:rsidRPr="008D6A63">
              <w:rPr>
                <w:rFonts w:cs="Arial"/>
              </w:rPr>
              <w:t>Supplier COTS Software</w:t>
            </w:r>
            <w:r>
              <w:rPr>
                <w:rFonts w:cs="Arial"/>
              </w:rPr>
              <w:t>”</w:t>
            </w:r>
          </w:p>
        </w:tc>
        <w:tc>
          <w:tcPr>
            <w:tcW w:w="6803" w:type="dxa"/>
          </w:tcPr>
          <w:p w14:paraId="2314344F" w14:textId="77777777" w:rsidR="00F67E9E" w:rsidRPr="008D6A63" w:rsidRDefault="00F67E9E" w:rsidP="007F74AA">
            <w:pPr>
              <w:pStyle w:val="StdBodyText"/>
              <w:rPr>
                <w:rFonts w:cs="Arial"/>
              </w:rPr>
            </w:pPr>
            <w:r w:rsidRPr="008D6A63">
              <w:rPr>
                <w:rFonts w:cs="Arial"/>
              </w:rPr>
              <w:t>Supplier Software (including open source software) that:</w:t>
            </w:r>
          </w:p>
          <w:p w14:paraId="59276E79" w14:textId="77777777" w:rsidR="00F67E9E" w:rsidRPr="008D6A63" w:rsidRDefault="00F67E9E" w:rsidP="007F74AA">
            <w:pPr>
              <w:pStyle w:val="DefinitionList"/>
              <w:numPr>
                <w:ilvl w:val="0"/>
                <w:numId w:val="96"/>
              </w:numPr>
            </w:pPr>
            <w:r w:rsidRPr="008D6A63">
              <w:t>the Supplier makes generally available commercially prior to the date of this Contract (whether by way of sale, lease or licence) on standard terms which are not typically negotiated by the Supplier save as to price; and</w:t>
            </w:r>
          </w:p>
          <w:p w14:paraId="58C60580" w14:textId="77777777" w:rsidR="00F67E9E" w:rsidRPr="008D6A63" w:rsidRDefault="00F67E9E" w:rsidP="00F67E9E">
            <w:pPr>
              <w:pStyle w:val="DefinitionList"/>
              <w:numPr>
                <w:ilvl w:val="0"/>
                <w:numId w:val="108"/>
              </w:numPr>
              <w:rPr>
                <w:rFonts w:cs="Arial"/>
              </w:rPr>
            </w:pPr>
            <w:r w:rsidRPr="008D6A63">
              <w:rPr>
                <w:rFonts w:cs="Arial"/>
              </w:rPr>
              <w:t>has a Non-trivial Customer Base;</w:t>
            </w:r>
          </w:p>
        </w:tc>
      </w:tr>
      <w:tr w:rsidR="00F67E9E" w:rsidRPr="00F55457" w14:paraId="4CF50C4A" w14:textId="77777777" w:rsidTr="007F74AA">
        <w:tc>
          <w:tcPr>
            <w:tcW w:w="2835" w:type="dxa"/>
          </w:tcPr>
          <w:p w14:paraId="5A4DCB4A" w14:textId="77777777" w:rsidR="00F67E9E" w:rsidRPr="008D6A63" w:rsidRDefault="00F67E9E" w:rsidP="007F74AA">
            <w:pPr>
              <w:pStyle w:val="StdBodyTextBold"/>
              <w:rPr>
                <w:rFonts w:cs="Arial"/>
              </w:rPr>
            </w:pPr>
            <w:r>
              <w:rPr>
                <w:rFonts w:cs="Arial"/>
              </w:rPr>
              <w:t>“</w:t>
            </w:r>
            <w:r w:rsidRPr="008D6A63">
              <w:rPr>
                <w:rFonts w:cs="Arial"/>
              </w:rPr>
              <w:t>Supplier Equipment</w:t>
            </w:r>
            <w:r>
              <w:rPr>
                <w:rFonts w:cs="Arial"/>
              </w:rPr>
              <w:t>”</w:t>
            </w:r>
          </w:p>
        </w:tc>
        <w:tc>
          <w:tcPr>
            <w:tcW w:w="6803" w:type="dxa"/>
          </w:tcPr>
          <w:p w14:paraId="757CB9E9" w14:textId="77777777" w:rsidR="00F67E9E" w:rsidRPr="008D6A63" w:rsidRDefault="00F67E9E" w:rsidP="007F74AA">
            <w:pPr>
              <w:pStyle w:val="StdBodyText"/>
              <w:rPr>
                <w:rFonts w:cs="Arial"/>
              </w:rPr>
            </w:pPr>
            <w:r w:rsidRPr="008D6A63">
              <w:rPr>
                <w:rFonts w:cs="Arial"/>
              </w:rPr>
              <w:t>the hardware, computer and telecoms devices and equipment used by the Supplier or its Sub-contractors (but not hired, leased or loaned from the Authority) for the provision of the Services;</w:t>
            </w:r>
          </w:p>
        </w:tc>
      </w:tr>
      <w:tr w:rsidR="00F67E9E" w:rsidRPr="00F55457" w14:paraId="437271D9" w14:textId="77777777" w:rsidTr="007F74AA">
        <w:tc>
          <w:tcPr>
            <w:tcW w:w="2835" w:type="dxa"/>
          </w:tcPr>
          <w:p w14:paraId="6FE55B68" w14:textId="77777777" w:rsidR="00F67E9E" w:rsidRPr="008D6A63" w:rsidRDefault="00F67E9E" w:rsidP="007F74AA">
            <w:pPr>
              <w:pStyle w:val="StdBodyTextBold"/>
              <w:rPr>
                <w:rFonts w:cs="Arial"/>
              </w:rPr>
            </w:pPr>
            <w:r>
              <w:rPr>
                <w:rFonts w:cs="Arial"/>
              </w:rPr>
              <w:t>“</w:t>
            </w:r>
            <w:r w:rsidRPr="008D6A63">
              <w:rPr>
                <w:rFonts w:cs="Arial"/>
              </w:rPr>
              <w:t>Supplier Group</w:t>
            </w:r>
            <w:r>
              <w:rPr>
                <w:rFonts w:cs="Arial"/>
              </w:rPr>
              <w:t>”</w:t>
            </w:r>
          </w:p>
        </w:tc>
        <w:tc>
          <w:tcPr>
            <w:tcW w:w="6803" w:type="dxa"/>
          </w:tcPr>
          <w:p w14:paraId="4CF08D88" w14:textId="77777777" w:rsidR="00F67E9E" w:rsidRPr="008D6A63" w:rsidRDefault="00F67E9E" w:rsidP="007F74AA">
            <w:pPr>
              <w:pStyle w:val="StdBodyText"/>
              <w:rPr>
                <w:rFonts w:cs="Arial"/>
              </w:rPr>
            </w:pPr>
            <w:r w:rsidRPr="008D6A63">
              <w:rPr>
                <w:rFonts w:cs="Arial"/>
              </w:rPr>
              <w:t>means the Supplier, its Dependent Parent Undertakings and all Subsidiary Undertakings and Associates of such Dependent Parent Undertakings;</w:t>
            </w:r>
          </w:p>
        </w:tc>
      </w:tr>
      <w:tr w:rsidR="00F67E9E" w:rsidRPr="00F55457" w14:paraId="6C9DB257" w14:textId="77777777" w:rsidTr="007F74AA">
        <w:tc>
          <w:tcPr>
            <w:tcW w:w="2835" w:type="dxa"/>
          </w:tcPr>
          <w:p w14:paraId="18866AB3" w14:textId="77777777" w:rsidR="00F67E9E" w:rsidRPr="008D6A63" w:rsidRDefault="00F67E9E" w:rsidP="007F74AA">
            <w:pPr>
              <w:pStyle w:val="StdBodyTextBold"/>
              <w:rPr>
                <w:rFonts w:cs="Arial"/>
              </w:rPr>
            </w:pPr>
            <w:r>
              <w:rPr>
                <w:rFonts w:cs="Arial"/>
              </w:rPr>
              <w:t>“</w:t>
            </w:r>
            <w:r w:rsidRPr="008D6A63">
              <w:rPr>
                <w:rFonts w:cs="Arial"/>
              </w:rPr>
              <w:t>Supplier Non-COTS Background IPRs</w:t>
            </w:r>
            <w:r>
              <w:rPr>
                <w:rFonts w:cs="Arial"/>
              </w:rPr>
              <w:t>”</w:t>
            </w:r>
          </w:p>
        </w:tc>
        <w:tc>
          <w:tcPr>
            <w:tcW w:w="6803" w:type="dxa"/>
          </w:tcPr>
          <w:p w14:paraId="77B818D6" w14:textId="77777777" w:rsidR="00F67E9E" w:rsidRPr="008D6A63" w:rsidRDefault="00F67E9E" w:rsidP="007F74AA">
            <w:pPr>
              <w:pStyle w:val="StdBodyText"/>
              <w:rPr>
                <w:rFonts w:cs="Arial"/>
              </w:rPr>
            </w:pPr>
            <w:r w:rsidRPr="008D6A63">
              <w:rPr>
                <w:rFonts w:cs="Arial"/>
              </w:rPr>
              <w:t>Any embodiments of Supplier Background IPRs that have been delivered by the Supplier to the Authority and that are not Supplier COTS Background IPRs;</w:t>
            </w:r>
          </w:p>
        </w:tc>
      </w:tr>
      <w:tr w:rsidR="00F67E9E" w:rsidRPr="00F55457" w14:paraId="76996D66" w14:textId="77777777" w:rsidTr="007F74AA">
        <w:tc>
          <w:tcPr>
            <w:tcW w:w="2835" w:type="dxa"/>
          </w:tcPr>
          <w:p w14:paraId="78CFA352" w14:textId="77777777" w:rsidR="00F67E9E" w:rsidRPr="008D6A63" w:rsidRDefault="00F67E9E" w:rsidP="007F74AA">
            <w:pPr>
              <w:pStyle w:val="StdBodyTextBold"/>
              <w:rPr>
                <w:rFonts w:cs="Arial"/>
              </w:rPr>
            </w:pPr>
            <w:r>
              <w:rPr>
                <w:rFonts w:cs="Arial"/>
              </w:rPr>
              <w:t>“</w:t>
            </w:r>
            <w:r w:rsidRPr="008D6A63">
              <w:rPr>
                <w:rFonts w:cs="Arial"/>
              </w:rPr>
              <w:t>Supplier Non-COTS Software</w:t>
            </w:r>
            <w:r>
              <w:rPr>
                <w:rFonts w:cs="Arial"/>
              </w:rPr>
              <w:t>”</w:t>
            </w:r>
          </w:p>
        </w:tc>
        <w:tc>
          <w:tcPr>
            <w:tcW w:w="6803" w:type="dxa"/>
          </w:tcPr>
          <w:p w14:paraId="50B97A66" w14:textId="77777777" w:rsidR="00F67E9E" w:rsidRPr="008D6A63" w:rsidRDefault="00F67E9E" w:rsidP="007F74AA">
            <w:pPr>
              <w:pStyle w:val="StdBodyText"/>
              <w:rPr>
                <w:rFonts w:cs="Arial"/>
              </w:rPr>
            </w:pPr>
            <w:r w:rsidRPr="008D6A63">
              <w:rPr>
                <w:rFonts w:cs="Arial"/>
              </w:rPr>
              <w:t>Supplier Software that is not Supplier COTS Software;</w:t>
            </w:r>
          </w:p>
        </w:tc>
      </w:tr>
      <w:tr w:rsidR="00F67E9E" w:rsidRPr="00F55457" w14:paraId="5574D79D" w14:textId="77777777" w:rsidTr="007F74AA">
        <w:tc>
          <w:tcPr>
            <w:tcW w:w="2835" w:type="dxa"/>
          </w:tcPr>
          <w:p w14:paraId="7706D3CB" w14:textId="77777777" w:rsidR="00F67E9E" w:rsidRPr="008D6A63" w:rsidRDefault="00F67E9E" w:rsidP="007F74AA">
            <w:pPr>
              <w:pStyle w:val="StdBodyTextBold"/>
              <w:rPr>
                <w:rFonts w:cs="Arial"/>
              </w:rPr>
            </w:pPr>
            <w:r>
              <w:rPr>
                <w:rFonts w:cs="Arial"/>
              </w:rPr>
              <w:t>“</w:t>
            </w:r>
            <w:r w:rsidRPr="008D6A63">
              <w:rPr>
                <w:rFonts w:cs="Arial"/>
              </w:rPr>
              <w:t>Supplier Non</w:t>
            </w:r>
            <w:r>
              <w:rPr>
                <w:rFonts w:cs="Arial"/>
              </w:rPr>
              <w:noBreakHyphen/>
            </w:r>
            <w:r w:rsidRPr="008D6A63">
              <w:rPr>
                <w:rFonts w:cs="Arial"/>
              </w:rPr>
              <w:t>Performance</w:t>
            </w:r>
            <w:r>
              <w:rPr>
                <w:rFonts w:cs="Arial"/>
              </w:rPr>
              <w:t>”</w:t>
            </w:r>
          </w:p>
        </w:tc>
        <w:tc>
          <w:tcPr>
            <w:tcW w:w="6803" w:type="dxa"/>
          </w:tcPr>
          <w:p w14:paraId="5BF808C2" w14:textId="77777777" w:rsidR="00F67E9E" w:rsidRPr="008D6A63" w:rsidRDefault="00F67E9E" w:rsidP="007F74AA">
            <w:pPr>
              <w:pStyle w:val="StdBodyText"/>
              <w:rPr>
                <w:rFonts w:cs="Arial"/>
              </w:rPr>
            </w:pPr>
            <w:r w:rsidRPr="008D6A63">
              <w:rPr>
                <w:rFonts w:cs="Arial"/>
              </w:rPr>
              <w:t xml:space="preserve">has the meaning given in </w:t>
            </w:r>
            <w:bookmarkStart w:id="256" w:name="_9kMHG5YVtCJBBDHKEDaV8H7555I1w0w76u2RTPJ"/>
            <w:bookmarkStart w:id="257" w:name="_9kMIH5YVtCIABEBDEDaV8H7555I1w0w76u2RTPJ"/>
            <w:r w:rsidRPr="008D6A63">
              <w:rPr>
                <w:rFonts w:cs="Arial"/>
              </w:rPr>
              <w:t xml:space="preserve">Clause </w:t>
            </w:r>
            <w:bookmarkEnd w:id="256"/>
            <w:bookmarkEnd w:id="257"/>
            <w:r w:rsidRPr="008D6A63">
              <w:rPr>
                <w:rFonts w:cs="Arial"/>
              </w:rPr>
              <w:t>29.1 (</w:t>
            </w:r>
            <w:r w:rsidRPr="00F613BA">
              <w:rPr>
                <w:rFonts w:cs="Arial"/>
                <w:i/>
                <w:iCs/>
              </w:rPr>
              <w:t>Authority Cause</w:t>
            </w:r>
            <w:r w:rsidRPr="008D6A63">
              <w:rPr>
                <w:rFonts w:cs="Arial"/>
              </w:rPr>
              <w:t>);</w:t>
            </w:r>
          </w:p>
        </w:tc>
      </w:tr>
      <w:tr w:rsidR="00F67E9E" w:rsidRPr="00F55457" w14:paraId="2335722E" w14:textId="77777777" w:rsidTr="007F74AA">
        <w:tc>
          <w:tcPr>
            <w:tcW w:w="2835" w:type="dxa"/>
          </w:tcPr>
          <w:p w14:paraId="7E807367" w14:textId="77777777" w:rsidR="00F67E9E" w:rsidRPr="008D6A63" w:rsidRDefault="00F67E9E" w:rsidP="007F74AA">
            <w:pPr>
              <w:pStyle w:val="StdBodyTextBold"/>
              <w:rPr>
                <w:rFonts w:cs="Arial"/>
              </w:rPr>
            </w:pPr>
            <w:r>
              <w:rPr>
                <w:rFonts w:cs="Arial"/>
              </w:rPr>
              <w:t>“</w:t>
            </w:r>
            <w:r w:rsidRPr="008D6A63">
              <w:rPr>
                <w:rFonts w:cs="Arial"/>
              </w:rPr>
              <w:t>Supplier Personnel</w:t>
            </w:r>
            <w:r>
              <w:rPr>
                <w:rFonts w:cs="Arial"/>
              </w:rPr>
              <w:t>”</w:t>
            </w:r>
          </w:p>
        </w:tc>
        <w:tc>
          <w:tcPr>
            <w:tcW w:w="6803" w:type="dxa"/>
          </w:tcPr>
          <w:p w14:paraId="20D840AA" w14:textId="77777777" w:rsidR="00F67E9E" w:rsidRPr="008D6A63" w:rsidRDefault="00F67E9E" w:rsidP="007F74AA">
            <w:pPr>
              <w:pStyle w:val="StdBodyText"/>
              <w:rPr>
                <w:rFonts w:cs="Arial"/>
              </w:rPr>
            </w:pPr>
            <w:r w:rsidRPr="008D6A63">
              <w:rPr>
                <w:rFonts w:cs="Arial"/>
              </w:rPr>
              <w:t>all directors, officers, employees, agents, consultants and contractors of the Supplier and/or of any Sub-contractor engaged in the performance of the Supplier</w:t>
            </w:r>
            <w:r>
              <w:rPr>
                <w:rFonts w:cs="Arial"/>
              </w:rPr>
              <w:t>’</w:t>
            </w:r>
            <w:r w:rsidRPr="008D6A63">
              <w:rPr>
                <w:rFonts w:cs="Arial"/>
              </w:rPr>
              <w:t>s obligations under this Contract;</w:t>
            </w:r>
          </w:p>
        </w:tc>
      </w:tr>
      <w:tr w:rsidR="00F67E9E" w:rsidRPr="00F55457" w14:paraId="75AFEB27" w14:textId="77777777" w:rsidTr="007F74AA">
        <w:tc>
          <w:tcPr>
            <w:tcW w:w="2835" w:type="dxa"/>
          </w:tcPr>
          <w:p w14:paraId="546A1FEF" w14:textId="77777777" w:rsidR="00F67E9E" w:rsidRPr="008D6A63" w:rsidRDefault="00F67E9E" w:rsidP="007F74AA">
            <w:pPr>
              <w:pStyle w:val="StdBodyTextBold"/>
              <w:rPr>
                <w:rFonts w:cs="Arial"/>
              </w:rPr>
            </w:pPr>
            <w:r>
              <w:rPr>
                <w:rFonts w:cs="Arial"/>
              </w:rPr>
              <w:t>“</w:t>
            </w:r>
            <w:r w:rsidRPr="008D6A63">
              <w:rPr>
                <w:rFonts w:cs="Arial"/>
              </w:rPr>
              <w:t>Supplier Profit</w:t>
            </w:r>
            <w:r>
              <w:rPr>
                <w:rFonts w:cs="Arial"/>
              </w:rPr>
              <w:t>”</w:t>
            </w:r>
          </w:p>
        </w:tc>
        <w:tc>
          <w:tcPr>
            <w:tcW w:w="6803" w:type="dxa"/>
          </w:tcPr>
          <w:p w14:paraId="0657E9C5" w14:textId="69D738D8" w:rsidR="00F67E9E" w:rsidRPr="008D6A63" w:rsidRDefault="00F67E9E" w:rsidP="007F74AA">
            <w:pPr>
              <w:pStyle w:val="StdBodyText"/>
              <w:rPr>
                <w:rFonts w:cs="Arial"/>
              </w:rPr>
            </w:pPr>
            <w:r w:rsidRPr="008D6A63">
              <w:rPr>
                <w:rFonts w:cs="Arial"/>
              </w:rPr>
              <w:t xml:space="preserve">has the meaning given in </w:t>
            </w:r>
            <w:r>
              <w:rPr>
                <w:rFonts w:cs="Arial"/>
              </w:rPr>
              <w:fldChar w:fldCharType="begin"/>
            </w:r>
            <w:r>
              <w:rPr>
                <w:rFonts w:cs="Arial"/>
              </w:rPr>
              <w:instrText xml:space="preserve"> REF Schedule15 \h </w:instrText>
            </w:r>
            <w:r>
              <w:rPr>
                <w:rFonts w:cs="Arial"/>
              </w:rPr>
            </w:r>
            <w:r>
              <w:rPr>
                <w:rFonts w:cs="Arial"/>
              </w:rPr>
              <w:fldChar w:fldCharType="separate"/>
            </w:r>
            <w:r w:rsidR="00302D39" w:rsidRPr="005D0525">
              <w:t>Schedule</w:t>
            </w:r>
            <w:r w:rsidR="00302D39">
              <w:t> </w:t>
            </w:r>
            <w:r w:rsidR="00302D39" w:rsidRPr="005D0525">
              <w:t>15</w:t>
            </w:r>
            <w:r>
              <w:rPr>
                <w:rFonts w:cs="Arial"/>
              </w:rPr>
              <w:fldChar w:fldCharType="end"/>
            </w:r>
            <w:r>
              <w:rPr>
                <w:rFonts w:cs="Arial"/>
              </w:rPr>
              <w:t xml:space="preserve"> (</w:t>
            </w:r>
            <w:r w:rsidRPr="00B91437">
              <w:rPr>
                <w:rFonts w:cs="Arial"/>
                <w:i/>
                <w:iCs/>
              </w:rPr>
              <w:fldChar w:fldCharType="begin"/>
            </w:r>
            <w:r w:rsidRPr="00B91437">
              <w:rPr>
                <w:rFonts w:cs="Arial"/>
                <w:i/>
                <w:iCs/>
              </w:rPr>
              <w:instrText xml:space="preserve"> REF Schedule15Heading \h </w:instrText>
            </w:r>
            <w:r>
              <w:rPr>
                <w:rFonts w:cs="Arial"/>
                <w:i/>
                <w:iCs/>
              </w:rPr>
              <w:instrText xml:space="preserve"> \* MERGEFORMAT </w:instrText>
            </w:r>
            <w:r w:rsidRPr="00B91437">
              <w:rPr>
                <w:rFonts w:cs="Arial"/>
                <w:i/>
                <w:iCs/>
              </w:rPr>
            </w:r>
            <w:r w:rsidRPr="00B91437">
              <w:rPr>
                <w:rFonts w:cs="Arial"/>
                <w:i/>
                <w:iCs/>
              </w:rPr>
              <w:fldChar w:fldCharType="separate"/>
            </w:r>
            <w:r w:rsidR="00302D39" w:rsidRPr="00302D39">
              <w:rPr>
                <w:i/>
                <w:iCs/>
              </w:rPr>
              <w:t>Charges and Invoicing</w:t>
            </w:r>
            <w:r w:rsidRPr="00B91437">
              <w:rPr>
                <w:rFonts w:cs="Arial"/>
                <w:i/>
                <w:iCs/>
              </w:rPr>
              <w:fldChar w:fldCharType="end"/>
            </w:r>
            <w:r>
              <w:rPr>
                <w:rFonts w:cs="Arial"/>
              </w:rPr>
              <w:t>)</w:t>
            </w:r>
            <w:r w:rsidRPr="008D6A63">
              <w:rPr>
                <w:rFonts w:cs="Arial"/>
              </w:rPr>
              <w:t>;</w:t>
            </w:r>
          </w:p>
        </w:tc>
      </w:tr>
      <w:tr w:rsidR="00F67E9E" w:rsidRPr="00F55457" w14:paraId="5053DD3E" w14:textId="77777777" w:rsidTr="007F74AA">
        <w:tc>
          <w:tcPr>
            <w:tcW w:w="2835" w:type="dxa"/>
          </w:tcPr>
          <w:p w14:paraId="78DD2708" w14:textId="77777777" w:rsidR="00F67E9E" w:rsidRPr="008D6A63" w:rsidRDefault="00F67E9E" w:rsidP="007F74AA">
            <w:pPr>
              <w:pStyle w:val="StdBodyTextBold"/>
              <w:rPr>
                <w:rFonts w:cs="Arial"/>
              </w:rPr>
            </w:pPr>
            <w:r>
              <w:rPr>
                <w:rFonts w:cs="Arial"/>
              </w:rPr>
              <w:t>“</w:t>
            </w:r>
            <w:r w:rsidRPr="008D6A63">
              <w:rPr>
                <w:rFonts w:cs="Arial"/>
              </w:rPr>
              <w:t>Supplier Profit Margin</w:t>
            </w:r>
            <w:r>
              <w:rPr>
                <w:rFonts w:cs="Arial"/>
              </w:rPr>
              <w:t>”</w:t>
            </w:r>
          </w:p>
        </w:tc>
        <w:tc>
          <w:tcPr>
            <w:tcW w:w="6803" w:type="dxa"/>
          </w:tcPr>
          <w:p w14:paraId="572F6573" w14:textId="71799CF1" w:rsidR="00F67E9E" w:rsidRPr="008D6A63" w:rsidRDefault="00F67E9E" w:rsidP="007F74AA">
            <w:pPr>
              <w:pStyle w:val="StdBodyText"/>
              <w:rPr>
                <w:rFonts w:cs="Arial"/>
              </w:rPr>
            </w:pPr>
            <w:r w:rsidRPr="008D6A63">
              <w:rPr>
                <w:rFonts w:cs="Arial"/>
              </w:rPr>
              <w:t xml:space="preserve">has the meaning given in </w:t>
            </w:r>
            <w:r>
              <w:rPr>
                <w:rFonts w:cs="Arial"/>
              </w:rPr>
              <w:fldChar w:fldCharType="begin"/>
            </w:r>
            <w:r>
              <w:rPr>
                <w:rFonts w:cs="Arial"/>
              </w:rPr>
              <w:instrText xml:space="preserve"> REF Schedule15 \h </w:instrText>
            </w:r>
            <w:r>
              <w:rPr>
                <w:rFonts w:cs="Arial"/>
              </w:rPr>
            </w:r>
            <w:r>
              <w:rPr>
                <w:rFonts w:cs="Arial"/>
              </w:rPr>
              <w:fldChar w:fldCharType="separate"/>
            </w:r>
            <w:r w:rsidR="00302D39" w:rsidRPr="005D0525">
              <w:t>Schedule</w:t>
            </w:r>
            <w:r w:rsidR="00302D39">
              <w:t> </w:t>
            </w:r>
            <w:r w:rsidR="00302D39" w:rsidRPr="005D0525">
              <w:t>15</w:t>
            </w:r>
            <w:r>
              <w:rPr>
                <w:rFonts w:cs="Arial"/>
              </w:rPr>
              <w:fldChar w:fldCharType="end"/>
            </w:r>
            <w:r>
              <w:rPr>
                <w:rFonts w:cs="Arial"/>
              </w:rPr>
              <w:t xml:space="preserve"> (</w:t>
            </w:r>
            <w:r w:rsidRPr="00B91437">
              <w:rPr>
                <w:rFonts w:cs="Arial"/>
                <w:i/>
                <w:iCs/>
              </w:rPr>
              <w:fldChar w:fldCharType="begin"/>
            </w:r>
            <w:r w:rsidRPr="00B91437">
              <w:rPr>
                <w:rFonts w:cs="Arial"/>
                <w:i/>
                <w:iCs/>
              </w:rPr>
              <w:instrText xml:space="preserve"> REF Schedule15Heading \h </w:instrText>
            </w:r>
            <w:r>
              <w:rPr>
                <w:rFonts w:cs="Arial"/>
                <w:i/>
                <w:iCs/>
              </w:rPr>
              <w:instrText xml:space="preserve"> \* MERGEFORMAT </w:instrText>
            </w:r>
            <w:r w:rsidRPr="00B91437">
              <w:rPr>
                <w:rFonts w:cs="Arial"/>
                <w:i/>
                <w:iCs/>
              </w:rPr>
            </w:r>
            <w:r w:rsidRPr="00B91437">
              <w:rPr>
                <w:rFonts w:cs="Arial"/>
                <w:i/>
                <w:iCs/>
              </w:rPr>
              <w:fldChar w:fldCharType="separate"/>
            </w:r>
            <w:r w:rsidR="00302D39" w:rsidRPr="00302D39">
              <w:rPr>
                <w:i/>
                <w:iCs/>
              </w:rPr>
              <w:t>Charges and Invoicing</w:t>
            </w:r>
            <w:r w:rsidRPr="00B91437">
              <w:rPr>
                <w:rFonts w:cs="Arial"/>
                <w:i/>
                <w:iCs/>
              </w:rPr>
              <w:fldChar w:fldCharType="end"/>
            </w:r>
            <w:r>
              <w:rPr>
                <w:rFonts w:cs="Arial"/>
              </w:rPr>
              <w:t>)</w:t>
            </w:r>
            <w:r w:rsidRPr="008D6A63">
              <w:rPr>
                <w:rFonts w:cs="Arial"/>
              </w:rPr>
              <w:t>;</w:t>
            </w:r>
          </w:p>
        </w:tc>
      </w:tr>
      <w:tr w:rsidR="00F67E9E" w:rsidRPr="00F55457" w14:paraId="5B3C29EC" w14:textId="77777777" w:rsidTr="007F74AA">
        <w:tc>
          <w:tcPr>
            <w:tcW w:w="2835" w:type="dxa"/>
          </w:tcPr>
          <w:p w14:paraId="3C5B8604" w14:textId="77777777" w:rsidR="00F67E9E" w:rsidRPr="008D6A63" w:rsidRDefault="00F67E9E" w:rsidP="007F74AA">
            <w:pPr>
              <w:pStyle w:val="StdBodyTextBold"/>
              <w:rPr>
                <w:rFonts w:cs="Arial"/>
              </w:rPr>
            </w:pPr>
            <w:r>
              <w:rPr>
                <w:rFonts w:cs="Arial"/>
              </w:rPr>
              <w:t>“</w:t>
            </w:r>
            <w:r w:rsidRPr="008D6A63">
              <w:rPr>
                <w:rFonts w:cs="Arial"/>
              </w:rPr>
              <w:t>Supplier Representative</w:t>
            </w:r>
            <w:r>
              <w:rPr>
                <w:rFonts w:cs="Arial"/>
              </w:rPr>
              <w:t>”</w:t>
            </w:r>
          </w:p>
        </w:tc>
        <w:tc>
          <w:tcPr>
            <w:tcW w:w="6803" w:type="dxa"/>
          </w:tcPr>
          <w:p w14:paraId="1E310FE9" w14:textId="77777777" w:rsidR="00F67E9E" w:rsidRPr="008D6A63" w:rsidRDefault="00F67E9E" w:rsidP="007F74AA">
            <w:pPr>
              <w:pStyle w:val="StdBodyText"/>
              <w:rPr>
                <w:rFonts w:cs="Arial"/>
              </w:rPr>
            </w:pPr>
            <w:r w:rsidRPr="008D6A63">
              <w:rPr>
                <w:rFonts w:cs="Arial"/>
              </w:rPr>
              <w:t xml:space="preserve">the representative appointed by the Supplier pursuant to </w:t>
            </w:r>
            <w:bookmarkStart w:id="258" w:name="_9kMHG5YVtCIAEJFDCFiUmoyz67ptmqKGD71BzhC"/>
            <w:r w:rsidRPr="008D6A63">
              <w:rPr>
                <w:rFonts w:cs="Arial"/>
              </w:rPr>
              <w:t xml:space="preserve">Clause </w:t>
            </w:r>
            <w:bookmarkEnd w:id="258"/>
            <w:r w:rsidRPr="008D6A63">
              <w:rPr>
                <w:rFonts w:cs="Arial"/>
              </w:rPr>
              <w:t>11.3 (</w:t>
            </w:r>
            <w:r w:rsidRPr="00F613BA">
              <w:rPr>
                <w:rFonts w:cs="Arial"/>
                <w:i/>
                <w:iCs/>
              </w:rPr>
              <w:t>Representatives</w:t>
            </w:r>
            <w:r w:rsidRPr="008D6A63">
              <w:rPr>
                <w:rFonts w:cs="Arial"/>
              </w:rPr>
              <w:t>);</w:t>
            </w:r>
          </w:p>
        </w:tc>
      </w:tr>
      <w:tr w:rsidR="00F67E9E" w:rsidRPr="00F55457" w14:paraId="5FF27C52" w14:textId="77777777" w:rsidTr="007F74AA">
        <w:tc>
          <w:tcPr>
            <w:tcW w:w="2835" w:type="dxa"/>
          </w:tcPr>
          <w:p w14:paraId="2E211921" w14:textId="77777777" w:rsidR="00F67E9E" w:rsidRPr="008D6A63" w:rsidRDefault="00F67E9E" w:rsidP="007F74AA">
            <w:pPr>
              <w:pStyle w:val="StdBodyTextBold"/>
              <w:rPr>
                <w:rFonts w:cs="Arial"/>
              </w:rPr>
            </w:pPr>
            <w:r>
              <w:rPr>
                <w:rFonts w:cs="Arial"/>
              </w:rPr>
              <w:t>“</w:t>
            </w:r>
            <w:r w:rsidRPr="008D6A63">
              <w:rPr>
                <w:rFonts w:cs="Arial"/>
              </w:rPr>
              <w:t>Supplier Software</w:t>
            </w:r>
            <w:r>
              <w:rPr>
                <w:rFonts w:cs="Arial"/>
              </w:rPr>
              <w:t>”</w:t>
            </w:r>
          </w:p>
        </w:tc>
        <w:tc>
          <w:tcPr>
            <w:tcW w:w="6803" w:type="dxa"/>
          </w:tcPr>
          <w:p w14:paraId="46CDCB06" w14:textId="2B3C13A5" w:rsidR="00F67E9E" w:rsidRPr="008D6A63" w:rsidRDefault="00F67E9E" w:rsidP="007F74AA">
            <w:pPr>
              <w:pStyle w:val="StdBodyText"/>
              <w:rPr>
                <w:rFonts w:cs="Arial"/>
              </w:rPr>
            </w:pPr>
            <w:r w:rsidRPr="008D6A63">
              <w:rPr>
                <w:rFonts w:cs="Arial"/>
              </w:rPr>
              <w:t>software which is proprietary to the Supplier (or an Affiliate of the Supplier) and which is or will be used by the Supplier for the purposes of providing the Services, including the software specified as such in</w:t>
            </w:r>
            <w:r>
              <w:rPr>
                <w:rFonts w:cs="Arial"/>
              </w:rPr>
              <w:t xml:space="preserve"> </w:t>
            </w:r>
            <w:r>
              <w:rPr>
                <w:rFonts w:cs="Arial"/>
              </w:rPr>
              <w:fldChar w:fldCharType="begin"/>
            </w:r>
            <w:r>
              <w:rPr>
                <w:rFonts w:cs="Arial"/>
              </w:rPr>
              <w:instrText xml:space="preserve"> REF Schedule12 \h </w:instrText>
            </w:r>
            <w:r>
              <w:rPr>
                <w:rFonts w:cs="Arial"/>
              </w:rPr>
            </w:r>
            <w:r>
              <w:rPr>
                <w:rFonts w:cs="Arial"/>
              </w:rPr>
              <w:fldChar w:fldCharType="separate"/>
            </w:r>
            <w:r w:rsidR="00302D39" w:rsidRPr="005D0525">
              <w:t>Schedule</w:t>
            </w:r>
            <w:r w:rsidR="00302D39">
              <w:t> </w:t>
            </w:r>
            <w:r w:rsidR="00302D39" w:rsidRPr="005D0525">
              <w:t>12</w:t>
            </w:r>
            <w:r>
              <w:rPr>
                <w:rFonts w:cs="Arial"/>
              </w:rPr>
              <w:fldChar w:fldCharType="end"/>
            </w:r>
            <w:r>
              <w:rPr>
                <w:rFonts w:cs="Arial"/>
              </w:rPr>
              <w:t xml:space="preserve"> (</w:t>
            </w:r>
            <w:r w:rsidRPr="00B91437">
              <w:rPr>
                <w:rFonts w:cs="Arial"/>
                <w:i/>
                <w:iCs/>
              </w:rPr>
              <w:fldChar w:fldCharType="begin"/>
            </w:r>
            <w:r w:rsidRPr="00B91437">
              <w:rPr>
                <w:rFonts w:cs="Arial"/>
                <w:i/>
                <w:iCs/>
              </w:rPr>
              <w:instrText xml:space="preserve"> REF Schedule12Heading \h </w:instrText>
            </w:r>
            <w:r>
              <w:rPr>
                <w:rFonts w:cs="Arial"/>
                <w:i/>
                <w:iCs/>
              </w:rPr>
              <w:instrText xml:space="preserve"> \* MERGEFORMAT </w:instrText>
            </w:r>
            <w:r w:rsidRPr="00B91437">
              <w:rPr>
                <w:rFonts w:cs="Arial"/>
                <w:i/>
                <w:iCs/>
              </w:rPr>
            </w:r>
            <w:r w:rsidRPr="00B91437">
              <w:rPr>
                <w:rFonts w:cs="Arial"/>
                <w:i/>
                <w:iCs/>
              </w:rPr>
              <w:fldChar w:fldCharType="separate"/>
            </w:r>
            <w:r w:rsidR="00302D39" w:rsidRPr="00302D39">
              <w:rPr>
                <w:i/>
                <w:iCs/>
              </w:rPr>
              <w:t>Software</w:t>
            </w:r>
            <w:r w:rsidRPr="00B91437">
              <w:rPr>
                <w:rFonts w:cs="Arial"/>
                <w:i/>
                <w:iCs/>
              </w:rPr>
              <w:fldChar w:fldCharType="end"/>
            </w:r>
            <w:r>
              <w:rPr>
                <w:rFonts w:cs="Arial"/>
              </w:rPr>
              <w:t>)</w:t>
            </w:r>
            <w:r w:rsidRPr="008D6A63">
              <w:rPr>
                <w:rFonts w:cs="Arial"/>
              </w:rPr>
              <w:t>;</w:t>
            </w:r>
          </w:p>
        </w:tc>
      </w:tr>
      <w:tr w:rsidR="00F67E9E" w:rsidRPr="00F55457" w14:paraId="1F89577A" w14:textId="77777777" w:rsidTr="007F74AA">
        <w:tc>
          <w:tcPr>
            <w:tcW w:w="2835" w:type="dxa"/>
          </w:tcPr>
          <w:p w14:paraId="74983924" w14:textId="77777777" w:rsidR="00F67E9E" w:rsidRPr="008D6A63" w:rsidRDefault="00F67E9E" w:rsidP="007F74AA">
            <w:pPr>
              <w:pStyle w:val="StdBodyTextBold"/>
              <w:rPr>
                <w:rFonts w:cs="Arial"/>
              </w:rPr>
            </w:pPr>
            <w:r>
              <w:rPr>
                <w:rFonts w:cs="Arial"/>
              </w:rPr>
              <w:t>“</w:t>
            </w:r>
            <w:r w:rsidRPr="008D6A63">
              <w:rPr>
                <w:rFonts w:cs="Arial"/>
              </w:rPr>
              <w:t>Supplier Solution</w:t>
            </w:r>
            <w:r>
              <w:rPr>
                <w:rFonts w:cs="Arial"/>
              </w:rPr>
              <w:t>”</w:t>
            </w:r>
          </w:p>
        </w:tc>
        <w:tc>
          <w:tcPr>
            <w:tcW w:w="6803" w:type="dxa"/>
          </w:tcPr>
          <w:p w14:paraId="0ED514BD" w14:textId="07B259E8" w:rsidR="00F67E9E" w:rsidRPr="008D6A63" w:rsidRDefault="00F67E9E" w:rsidP="007F74AA">
            <w:pPr>
              <w:pStyle w:val="StdBodyText"/>
              <w:rPr>
                <w:rFonts w:cs="Arial"/>
              </w:rPr>
            </w:pPr>
            <w:r w:rsidRPr="008D6A63">
              <w:rPr>
                <w:rFonts w:cs="Arial"/>
              </w:rPr>
              <w:t xml:space="preserve">the </w:t>
            </w:r>
            <w:bookmarkStart w:id="259" w:name="_9kMLAN6ZWu9A679B"/>
            <w:r w:rsidRPr="008D6A63">
              <w:rPr>
                <w:rFonts w:cs="Arial"/>
              </w:rPr>
              <w:t>Supplier</w:t>
            </w:r>
            <w:r>
              <w:rPr>
                <w:rFonts w:cs="Arial"/>
              </w:rPr>
              <w:t>’</w:t>
            </w:r>
            <w:r w:rsidRPr="008D6A63">
              <w:rPr>
                <w:rFonts w:cs="Arial"/>
              </w:rPr>
              <w:t>s</w:t>
            </w:r>
            <w:bookmarkEnd w:id="259"/>
            <w:r w:rsidRPr="008D6A63">
              <w:rPr>
                <w:rFonts w:cs="Arial"/>
              </w:rPr>
              <w:t xml:space="preserve"> solution for the Services set out in </w:t>
            </w:r>
            <w:r>
              <w:rPr>
                <w:rFonts w:cs="Arial"/>
              </w:rPr>
              <w:fldChar w:fldCharType="begin"/>
            </w:r>
            <w:r>
              <w:rPr>
                <w:rFonts w:cs="Arial"/>
              </w:rPr>
              <w:instrText xml:space="preserve"> REF Schedule8 \h </w:instrText>
            </w:r>
            <w:r>
              <w:rPr>
                <w:rFonts w:cs="Arial"/>
              </w:rPr>
            </w:r>
            <w:r>
              <w:rPr>
                <w:rFonts w:cs="Arial"/>
              </w:rPr>
              <w:fldChar w:fldCharType="separate"/>
            </w:r>
            <w:r w:rsidR="00302D39" w:rsidRPr="005D0525">
              <w:t>Schedule</w:t>
            </w:r>
            <w:r w:rsidR="00302D39">
              <w:t> </w:t>
            </w:r>
            <w:r w:rsidR="00302D39" w:rsidRPr="005D0525">
              <w:t>8</w:t>
            </w:r>
            <w:r>
              <w:rPr>
                <w:rFonts w:cs="Arial"/>
              </w:rPr>
              <w:fldChar w:fldCharType="end"/>
            </w:r>
            <w:r>
              <w:rPr>
                <w:rFonts w:cs="Arial"/>
              </w:rPr>
              <w:t xml:space="preserve"> (</w:t>
            </w:r>
            <w:r w:rsidRPr="00910061">
              <w:rPr>
                <w:rFonts w:cs="Arial"/>
                <w:i/>
                <w:iCs/>
              </w:rPr>
              <w:fldChar w:fldCharType="begin"/>
            </w:r>
            <w:r w:rsidRPr="00910061">
              <w:rPr>
                <w:rFonts w:cs="Arial"/>
                <w:i/>
                <w:iCs/>
              </w:rPr>
              <w:instrText xml:space="preserve"> REF Schedule8Heading \h </w:instrText>
            </w:r>
            <w:r>
              <w:rPr>
                <w:rFonts w:cs="Arial"/>
                <w:i/>
                <w:iCs/>
              </w:rPr>
              <w:instrText xml:space="preserve"> \* MERGEFORMAT </w:instrText>
            </w:r>
            <w:r w:rsidRPr="00910061">
              <w:rPr>
                <w:rFonts w:cs="Arial"/>
                <w:i/>
                <w:iCs/>
              </w:rPr>
            </w:r>
            <w:r w:rsidRPr="00910061">
              <w:rPr>
                <w:rFonts w:cs="Arial"/>
                <w:i/>
                <w:iCs/>
              </w:rPr>
              <w:fldChar w:fldCharType="separate"/>
            </w:r>
            <w:r w:rsidR="00302D39" w:rsidRPr="00302D39">
              <w:rPr>
                <w:i/>
                <w:iCs/>
              </w:rPr>
              <w:t>Supplier Solution</w:t>
            </w:r>
            <w:r w:rsidRPr="00910061">
              <w:rPr>
                <w:rFonts w:cs="Arial"/>
                <w:i/>
                <w:iCs/>
              </w:rPr>
              <w:fldChar w:fldCharType="end"/>
            </w:r>
            <w:r>
              <w:rPr>
                <w:rFonts w:cs="Arial"/>
              </w:rPr>
              <w:t xml:space="preserve">) </w:t>
            </w:r>
            <w:r w:rsidRPr="008D6A63">
              <w:rPr>
                <w:rFonts w:cs="Arial"/>
              </w:rPr>
              <w:t>including any Annexes of that Schedule;</w:t>
            </w:r>
          </w:p>
        </w:tc>
      </w:tr>
      <w:tr w:rsidR="00F67E9E" w:rsidRPr="00F55457" w14:paraId="3FAFCA74" w14:textId="77777777" w:rsidTr="007F74AA">
        <w:tc>
          <w:tcPr>
            <w:tcW w:w="2835" w:type="dxa"/>
          </w:tcPr>
          <w:p w14:paraId="72ED9B5D" w14:textId="77777777" w:rsidR="00F67E9E" w:rsidRPr="008D6A63" w:rsidRDefault="00F67E9E" w:rsidP="007F74AA">
            <w:pPr>
              <w:pStyle w:val="StdBodyTextBold"/>
              <w:rPr>
                <w:rFonts w:cs="Arial"/>
              </w:rPr>
            </w:pPr>
            <w:r>
              <w:rPr>
                <w:rFonts w:cs="Arial"/>
              </w:rPr>
              <w:t>“</w:t>
            </w:r>
            <w:r w:rsidRPr="008D6A63">
              <w:rPr>
                <w:rFonts w:cs="Arial"/>
              </w:rPr>
              <w:t>Supplier System</w:t>
            </w:r>
            <w:r>
              <w:rPr>
                <w:rFonts w:cs="Arial"/>
              </w:rPr>
              <w:t>”</w:t>
            </w:r>
          </w:p>
        </w:tc>
        <w:tc>
          <w:tcPr>
            <w:tcW w:w="6803" w:type="dxa"/>
          </w:tcPr>
          <w:p w14:paraId="206E39E5" w14:textId="77777777" w:rsidR="00F67E9E" w:rsidRPr="008D6A63" w:rsidRDefault="00F67E9E" w:rsidP="007F74AA">
            <w:pPr>
              <w:pStyle w:val="StdBodyText"/>
              <w:rPr>
                <w:rFonts w:cs="Arial"/>
              </w:rPr>
            </w:pPr>
            <w:r w:rsidRPr="008D6A63">
              <w:rPr>
                <w:rFonts w:cs="Arial"/>
              </w:rPr>
              <w:t>the information and communications technology system used by the Supplier in implementing and performing the Services including the Software, the Supplier Equipment, configuration and management utilities, calibration and testing tools and related cabling (but excluding the Authority System);</w:t>
            </w:r>
          </w:p>
        </w:tc>
      </w:tr>
      <w:tr w:rsidR="00F67E9E" w:rsidRPr="00F55457" w14:paraId="412FFCE2" w14:textId="77777777" w:rsidTr="007F74AA">
        <w:tc>
          <w:tcPr>
            <w:tcW w:w="2835" w:type="dxa"/>
          </w:tcPr>
          <w:p w14:paraId="55F689D3" w14:textId="77777777" w:rsidR="00F67E9E" w:rsidRPr="008D6A63" w:rsidRDefault="00F67E9E" w:rsidP="007F74AA">
            <w:pPr>
              <w:pStyle w:val="StdBodyTextBold"/>
              <w:rPr>
                <w:rFonts w:cs="Arial"/>
              </w:rPr>
            </w:pPr>
            <w:r>
              <w:rPr>
                <w:rFonts w:cs="Arial"/>
              </w:rPr>
              <w:t>“</w:t>
            </w:r>
            <w:r w:rsidRPr="008D6A63">
              <w:rPr>
                <w:rFonts w:cs="Arial"/>
              </w:rPr>
              <w:t>Supplier Termination Event</w:t>
            </w:r>
            <w:r>
              <w:rPr>
                <w:rFonts w:cs="Arial"/>
              </w:rPr>
              <w:t>”</w:t>
            </w:r>
          </w:p>
        </w:tc>
        <w:tc>
          <w:tcPr>
            <w:tcW w:w="6803" w:type="dxa"/>
          </w:tcPr>
          <w:p w14:paraId="6E123AA4" w14:textId="77777777" w:rsidR="00F67E9E" w:rsidRPr="008D6A63" w:rsidRDefault="00F67E9E" w:rsidP="007F74AA">
            <w:pPr>
              <w:pStyle w:val="DefinitionList"/>
              <w:numPr>
                <w:ilvl w:val="0"/>
                <w:numId w:val="97"/>
              </w:numPr>
            </w:pPr>
            <w:bookmarkStart w:id="260" w:name="_9kR3WTr299DHGgtjmj09ubjkEA71v5vd8H9B4BK"/>
            <w:bookmarkStart w:id="261" w:name="_Ref_ContractCompanion_9kb9Ur28E"/>
            <w:r w:rsidRPr="008D6A63">
              <w:t>the Supplier</w:t>
            </w:r>
            <w:r>
              <w:t>’</w:t>
            </w:r>
            <w:r w:rsidRPr="008D6A63">
              <w:t>s level of performance constituting a Critical Performance Failure</w:t>
            </w:r>
            <w:r>
              <w:t xml:space="preserve"> </w:t>
            </w:r>
            <w:r w:rsidRPr="008D2551">
              <w:t>in accordance with Clause 7.6</w:t>
            </w:r>
            <w:r w:rsidRPr="008D6A63">
              <w:t>;</w:t>
            </w:r>
            <w:bookmarkEnd w:id="260"/>
            <w:r w:rsidRPr="008D6A63">
              <w:t xml:space="preserve"> </w:t>
            </w:r>
            <w:bookmarkEnd w:id="261"/>
          </w:p>
          <w:p w14:paraId="4C60A15C" w14:textId="77777777" w:rsidR="00F67E9E" w:rsidRPr="008D6A63" w:rsidRDefault="00F67E9E" w:rsidP="00F67E9E">
            <w:pPr>
              <w:pStyle w:val="DefinitionList"/>
              <w:numPr>
                <w:ilvl w:val="0"/>
                <w:numId w:val="108"/>
              </w:numPr>
              <w:rPr>
                <w:rFonts w:cs="Arial"/>
              </w:rPr>
            </w:pPr>
            <w:bookmarkStart w:id="262" w:name="_Ref_ContractCompanion_9kb9Ur8GE"/>
            <w:r w:rsidRPr="008D6A63">
              <w:rPr>
                <w:rFonts w:cs="Arial"/>
              </w:rPr>
              <w:t xml:space="preserve">the Supplier committing a </w:t>
            </w:r>
            <w:r>
              <w:rPr>
                <w:rFonts w:cs="Arial"/>
              </w:rPr>
              <w:t>M</w:t>
            </w:r>
            <w:r w:rsidRPr="008D6A63">
              <w:rPr>
                <w:rFonts w:cs="Arial"/>
              </w:rPr>
              <w:t xml:space="preserve">aterial Default which is irremediable; </w:t>
            </w:r>
            <w:bookmarkEnd w:id="262"/>
          </w:p>
          <w:p w14:paraId="321B22F6" w14:textId="77777777" w:rsidR="00F67E9E" w:rsidRPr="008D6A63" w:rsidRDefault="00F67E9E" w:rsidP="00F67E9E">
            <w:pPr>
              <w:pStyle w:val="DefinitionList"/>
              <w:numPr>
                <w:ilvl w:val="0"/>
                <w:numId w:val="108"/>
              </w:numPr>
              <w:rPr>
                <w:rFonts w:cs="Arial"/>
              </w:rPr>
            </w:pPr>
            <w:bookmarkStart w:id="263" w:name="_Ref_ContractCompanion_9kb9Ur8GB"/>
            <w:r w:rsidRPr="008D6A63">
              <w:rPr>
                <w:rFonts w:cs="Arial"/>
              </w:rPr>
              <w:t xml:space="preserve">as a result of the </w:t>
            </w:r>
            <w:bookmarkStart w:id="264" w:name="_9kMLBO6ZWu9A679B"/>
            <w:r w:rsidRPr="008D6A63">
              <w:rPr>
                <w:rFonts w:cs="Arial"/>
              </w:rPr>
              <w:t>Supplier</w:t>
            </w:r>
            <w:r>
              <w:rPr>
                <w:rFonts w:cs="Arial"/>
              </w:rPr>
              <w:t>’</w:t>
            </w:r>
            <w:r w:rsidRPr="008D6A63">
              <w:rPr>
                <w:rFonts w:cs="Arial"/>
              </w:rPr>
              <w:t>s</w:t>
            </w:r>
            <w:bookmarkEnd w:id="264"/>
            <w:r w:rsidRPr="008D6A63">
              <w:rPr>
                <w:rFonts w:cs="Arial"/>
              </w:rPr>
              <w:t xml:space="preserve"> Default, the Authority incurring Losses in any Contract Year which exceed 80% of the value of the aggregate annual liability cap for that Contract Year as set out in </w:t>
            </w:r>
            <w:bookmarkStart w:id="265" w:name="_9kMHG5YVtCIACDEHHMst1nHSI62D8BSSOLM923z"/>
            <w:r w:rsidRPr="008D6A63">
              <w:rPr>
                <w:rFonts w:cs="Arial"/>
              </w:rPr>
              <w:t xml:space="preserve">Clause </w:t>
            </w:r>
            <w:bookmarkEnd w:id="265"/>
            <w:r w:rsidRPr="008D6A63">
              <w:rPr>
                <w:rFonts w:cs="Arial"/>
              </w:rPr>
              <w:t>23.6(a) (</w:t>
            </w:r>
            <w:r w:rsidRPr="00F613BA">
              <w:rPr>
                <w:rFonts w:cs="Arial"/>
                <w:i/>
                <w:iCs/>
              </w:rPr>
              <w:t>Financial and other Limits</w:t>
            </w:r>
            <w:r w:rsidRPr="008D6A63">
              <w:rPr>
                <w:rFonts w:cs="Arial"/>
              </w:rPr>
              <w:t>);</w:t>
            </w:r>
            <w:bookmarkEnd w:id="263"/>
          </w:p>
          <w:p w14:paraId="5618F75B" w14:textId="77777777" w:rsidR="00F67E9E" w:rsidRPr="008D6A63" w:rsidRDefault="00F67E9E" w:rsidP="00F67E9E">
            <w:pPr>
              <w:pStyle w:val="DefinitionList"/>
              <w:numPr>
                <w:ilvl w:val="0"/>
                <w:numId w:val="108"/>
              </w:numPr>
              <w:rPr>
                <w:rFonts w:cs="Arial"/>
              </w:rPr>
            </w:pPr>
            <w:r w:rsidRPr="008D6A63">
              <w:rPr>
                <w:rFonts w:cs="Arial"/>
              </w:rPr>
              <w:t>a Remedial Adviser Failure;</w:t>
            </w:r>
          </w:p>
          <w:p w14:paraId="16D63C8C" w14:textId="77777777" w:rsidR="00F67E9E" w:rsidRPr="008D6A63" w:rsidRDefault="00F67E9E" w:rsidP="00F67E9E">
            <w:pPr>
              <w:pStyle w:val="DefinitionList"/>
              <w:numPr>
                <w:ilvl w:val="0"/>
                <w:numId w:val="108"/>
              </w:numPr>
              <w:rPr>
                <w:rFonts w:cs="Arial"/>
              </w:rPr>
            </w:pPr>
            <w:bookmarkStart w:id="266" w:name="_Ref44573604"/>
            <w:r w:rsidRPr="008D6A63">
              <w:rPr>
                <w:rFonts w:cs="Arial"/>
              </w:rPr>
              <w:t>a Rectification Plan Failure;</w:t>
            </w:r>
            <w:bookmarkEnd w:id="266"/>
          </w:p>
          <w:p w14:paraId="33DD7C36" w14:textId="77777777" w:rsidR="00F67E9E" w:rsidRPr="008D6A63" w:rsidRDefault="00F67E9E" w:rsidP="00F67E9E">
            <w:pPr>
              <w:pStyle w:val="DefinitionList"/>
              <w:numPr>
                <w:ilvl w:val="0"/>
                <w:numId w:val="108"/>
              </w:numPr>
              <w:rPr>
                <w:rFonts w:cs="Arial"/>
              </w:rPr>
            </w:pPr>
            <w:bookmarkStart w:id="267" w:name="_Ref_ContractCompanion_9kb9Ur278"/>
            <w:bookmarkStart w:id="268" w:name="_9kR3WTrAG86BEdtjmj09ubjkEA71v5vd8H9B4BK"/>
            <w:bookmarkStart w:id="269" w:name="_9kR3WTr299DHFftjmj09ubjkEA71v5vd8H9B4BK"/>
            <w:r w:rsidRPr="008D6A63">
              <w:rPr>
                <w:rFonts w:cs="Arial"/>
              </w:rPr>
              <w:t>where a right of termination is expressly reserved in this Contract, including pursuant to:</w:t>
            </w:r>
            <w:bookmarkEnd w:id="267"/>
            <w:bookmarkEnd w:id="268"/>
            <w:bookmarkEnd w:id="269"/>
          </w:p>
          <w:p w14:paraId="52F2E3AE" w14:textId="77777777" w:rsidR="00F67E9E" w:rsidRPr="008D6A63" w:rsidRDefault="00F67E9E" w:rsidP="00F67E9E">
            <w:pPr>
              <w:pStyle w:val="DefinitionListLevel1"/>
              <w:numPr>
                <w:ilvl w:val="1"/>
                <w:numId w:val="108"/>
              </w:numPr>
              <w:rPr>
                <w:rFonts w:cs="Arial"/>
              </w:rPr>
            </w:pPr>
            <w:bookmarkStart w:id="270" w:name="_9kMIH5YVtCIA89CgSz3p9LJRj7Hlj95x7HELc"/>
            <w:r w:rsidRPr="008D6A63">
              <w:rPr>
                <w:rFonts w:cs="Arial"/>
              </w:rPr>
              <w:t xml:space="preserve">Clause </w:t>
            </w:r>
            <w:bookmarkEnd w:id="270"/>
            <w:r w:rsidRPr="008D6A63">
              <w:rPr>
                <w:rFonts w:cs="Arial"/>
              </w:rPr>
              <w:t>17 (</w:t>
            </w:r>
            <w:r w:rsidRPr="00F613BA">
              <w:rPr>
                <w:rFonts w:cs="Arial"/>
                <w:i/>
                <w:iCs/>
              </w:rPr>
              <w:t>IPRs Indemnity</w:t>
            </w:r>
            <w:r w:rsidRPr="008D6A63">
              <w:rPr>
                <w:rFonts w:cs="Arial"/>
              </w:rPr>
              <w:t xml:space="preserve">); </w:t>
            </w:r>
          </w:p>
          <w:p w14:paraId="4B156FAA" w14:textId="77777777" w:rsidR="00F67E9E" w:rsidRPr="008D6A63" w:rsidRDefault="00F67E9E" w:rsidP="00F67E9E">
            <w:pPr>
              <w:pStyle w:val="DefinitionListLevel1"/>
              <w:numPr>
                <w:ilvl w:val="1"/>
                <w:numId w:val="108"/>
              </w:numPr>
              <w:rPr>
                <w:rFonts w:cs="Arial"/>
              </w:rPr>
            </w:pPr>
            <w:bookmarkStart w:id="271" w:name="_9kMHG5YVtCIAAEDEMQtjv0tlqo05yJS98H9B4BG"/>
            <w:r w:rsidRPr="008D6A63">
              <w:rPr>
                <w:rFonts w:cs="Arial"/>
              </w:rPr>
              <w:t>Clause 3</w:t>
            </w:r>
            <w:r>
              <w:rPr>
                <w:rFonts w:cs="Arial"/>
              </w:rPr>
              <w:t>3</w:t>
            </w:r>
            <w:r w:rsidRPr="008D6A63">
              <w:rPr>
                <w:rFonts w:cs="Arial"/>
              </w:rPr>
              <w:t xml:space="preserve"> (</w:t>
            </w:r>
            <w:r w:rsidRPr="00F613BA">
              <w:rPr>
                <w:rFonts w:cs="Arial"/>
                <w:i/>
                <w:iCs/>
              </w:rPr>
              <w:t>Compliance</w:t>
            </w:r>
            <w:r w:rsidRPr="008D6A63">
              <w:rPr>
                <w:rFonts w:cs="Arial"/>
              </w:rPr>
              <w:t>)</w:t>
            </w:r>
          </w:p>
          <w:p w14:paraId="1069A45A" w14:textId="77777777" w:rsidR="00F67E9E" w:rsidRPr="008D6A63" w:rsidRDefault="00F67E9E" w:rsidP="00F67E9E">
            <w:pPr>
              <w:pStyle w:val="DefinitionListLevel1"/>
              <w:numPr>
                <w:ilvl w:val="1"/>
                <w:numId w:val="108"/>
              </w:numPr>
              <w:rPr>
                <w:rFonts w:cs="Arial"/>
              </w:rPr>
            </w:pPr>
            <w:r w:rsidRPr="008D6A63">
              <w:rPr>
                <w:rFonts w:cs="Arial"/>
              </w:rPr>
              <w:t xml:space="preserve">Clause </w:t>
            </w:r>
            <w:bookmarkEnd w:id="271"/>
            <w:r w:rsidRPr="008D6A63">
              <w:rPr>
                <w:rFonts w:cs="Arial"/>
              </w:rPr>
              <w:t>37.6(b) (</w:t>
            </w:r>
            <w:r w:rsidRPr="00F613BA">
              <w:rPr>
                <w:rFonts w:cs="Arial"/>
                <w:i/>
                <w:iCs/>
              </w:rPr>
              <w:t>Prevention of Fraud and Bribery</w:t>
            </w:r>
            <w:r w:rsidRPr="008D6A63">
              <w:rPr>
                <w:rFonts w:cs="Arial"/>
              </w:rPr>
              <w:t>); and/or</w:t>
            </w:r>
          </w:p>
          <w:p w14:paraId="3FD2D122" w14:textId="5AF825E8" w:rsidR="00F67E9E" w:rsidRPr="008D6A63" w:rsidRDefault="00F67E9E" w:rsidP="00F67E9E">
            <w:pPr>
              <w:pStyle w:val="DefinitionListLevel1"/>
              <w:numPr>
                <w:ilvl w:val="1"/>
                <w:numId w:val="108"/>
              </w:numPr>
              <w:rPr>
                <w:rFonts w:cs="Arial"/>
              </w:rPr>
            </w:pPr>
            <w:bookmarkStart w:id="272" w:name="_9kMKJ5YVt4EE6BIeGpqgyts0I"/>
            <w:r w:rsidRPr="008D6A63">
              <w:rPr>
                <w:rFonts w:cs="Arial"/>
              </w:rPr>
              <w:t xml:space="preserve">Paragraph </w:t>
            </w:r>
            <w:bookmarkEnd w:id="272"/>
            <w:r w:rsidRPr="008D6A63">
              <w:rPr>
                <w:rFonts w:cs="Arial"/>
              </w:rPr>
              <w:fldChar w:fldCharType="begin"/>
            </w:r>
            <w:r w:rsidRPr="008D6A63">
              <w:rPr>
                <w:rFonts w:cs="Arial"/>
              </w:rPr>
              <w:instrText xml:space="preserve"> REF _Ref44571523 \r \h  \* MERGEFORMAT </w:instrText>
            </w:r>
            <w:r w:rsidRPr="008D6A63">
              <w:rPr>
                <w:rFonts w:cs="Arial"/>
              </w:rPr>
            </w:r>
            <w:r w:rsidRPr="008D6A63">
              <w:rPr>
                <w:rFonts w:cs="Arial"/>
              </w:rPr>
              <w:fldChar w:fldCharType="separate"/>
            </w:r>
            <w:r w:rsidR="00302D39">
              <w:rPr>
                <w:rFonts w:cs="Arial"/>
              </w:rPr>
              <w:t>6</w:t>
            </w:r>
            <w:r w:rsidRPr="008D6A63">
              <w:rPr>
                <w:rFonts w:cs="Arial"/>
              </w:rPr>
              <w:fldChar w:fldCharType="end"/>
            </w:r>
            <w:r w:rsidRPr="008D6A63">
              <w:rPr>
                <w:rFonts w:cs="Arial"/>
              </w:rPr>
              <w:t xml:space="preserve"> of </w:t>
            </w:r>
            <w:r>
              <w:rPr>
                <w:rFonts w:cs="Arial"/>
              </w:rPr>
              <w:fldChar w:fldCharType="begin"/>
            </w:r>
            <w:r>
              <w:rPr>
                <w:rFonts w:cs="Arial"/>
              </w:rPr>
              <w:instrText xml:space="preserve"> REF Schedule18 \h </w:instrText>
            </w:r>
            <w:r>
              <w:rPr>
                <w:rFonts w:cs="Arial"/>
              </w:rPr>
            </w:r>
            <w:r>
              <w:rPr>
                <w:rFonts w:cs="Arial"/>
              </w:rPr>
              <w:fldChar w:fldCharType="separate"/>
            </w:r>
            <w:r w:rsidR="00302D39" w:rsidRPr="005D0525">
              <w:t>Schedule</w:t>
            </w:r>
            <w:r w:rsidR="00302D39">
              <w:t> </w:t>
            </w:r>
            <w:r w:rsidR="00302D39" w:rsidRPr="005D0525">
              <w:t>18</w:t>
            </w:r>
            <w:r>
              <w:rPr>
                <w:rFonts w:cs="Arial"/>
              </w:rPr>
              <w:fldChar w:fldCharType="end"/>
            </w:r>
            <w:r>
              <w:rPr>
                <w:rFonts w:cs="Arial"/>
              </w:rPr>
              <w:t xml:space="preserve"> (</w:t>
            </w:r>
            <w:r w:rsidRPr="002F30DB">
              <w:rPr>
                <w:rFonts w:cs="Arial"/>
                <w:i/>
                <w:iCs/>
              </w:rPr>
              <w:fldChar w:fldCharType="begin"/>
            </w:r>
            <w:r w:rsidRPr="002F30DB">
              <w:rPr>
                <w:rFonts w:cs="Arial"/>
                <w:i/>
                <w:iCs/>
              </w:rPr>
              <w:instrText xml:space="preserve"> REF Schedule18Heading \h </w:instrText>
            </w:r>
            <w:r>
              <w:rPr>
                <w:rFonts w:cs="Arial"/>
                <w:i/>
                <w:iCs/>
              </w:rPr>
              <w:instrText xml:space="preserve"> \* MERGEFORMAT </w:instrText>
            </w:r>
            <w:r w:rsidRPr="002F30DB">
              <w:rPr>
                <w:rFonts w:cs="Arial"/>
                <w:i/>
                <w:iCs/>
              </w:rPr>
            </w:r>
            <w:r w:rsidRPr="002F30DB">
              <w:rPr>
                <w:rFonts w:cs="Arial"/>
                <w:i/>
                <w:iCs/>
              </w:rPr>
              <w:fldChar w:fldCharType="separate"/>
            </w:r>
            <w:r w:rsidR="00302D39" w:rsidRPr="00302D39">
              <w:rPr>
                <w:i/>
                <w:iCs/>
              </w:rPr>
              <w:t>Financial Distress</w:t>
            </w:r>
            <w:r w:rsidRPr="002F30DB">
              <w:rPr>
                <w:rFonts w:cs="Arial"/>
                <w:i/>
                <w:iCs/>
              </w:rPr>
              <w:fldChar w:fldCharType="end"/>
            </w:r>
            <w:r>
              <w:rPr>
                <w:rFonts w:cs="Arial"/>
              </w:rPr>
              <w:t>)</w:t>
            </w:r>
            <w:r w:rsidRPr="008D6A63">
              <w:rPr>
                <w:rFonts w:cs="Arial"/>
              </w:rPr>
              <w:t xml:space="preserve">; </w:t>
            </w:r>
          </w:p>
          <w:p w14:paraId="15ADE749" w14:textId="6CC3D742" w:rsidR="00F67E9E" w:rsidRPr="008D6A63" w:rsidRDefault="00F67E9E" w:rsidP="00F67E9E">
            <w:pPr>
              <w:pStyle w:val="DefinitionListLevel1"/>
              <w:numPr>
                <w:ilvl w:val="1"/>
                <w:numId w:val="108"/>
              </w:numPr>
              <w:rPr>
                <w:rFonts w:cs="Arial"/>
              </w:rPr>
            </w:pPr>
            <w:bookmarkStart w:id="273" w:name="_9kR3WTr2CC578XEnoewrqyBK"/>
            <w:r w:rsidRPr="008D6A63">
              <w:rPr>
                <w:rFonts w:cs="Arial"/>
              </w:rPr>
              <w:t xml:space="preserve">Paragraph </w:t>
            </w:r>
            <w:bookmarkEnd w:id="273"/>
            <w:r w:rsidRPr="008D6A63">
              <w:rPr>
                <w:rFonts w:cs="Arial"/>
              </w:rPr>
              <w:fldChar w:fldCharType="begin"/>
            </w:r>
            <w:r w:rsidRPr="008D6A63">
              <w:rPr>
                <w:rFonts w:cs="Arial"/>
              </w:rPr>
              <w:instrText xml:space="preserve"> REF _Ref44571578 \r \h  \* MERGEFORMAT </w:instrText>
            </w:r>
            <w:r w:rsidRPr="008D6A63">
              <w:rPr>
                <w:rFonts w:cs="Arial"/>
              </w:rPr>
            </w:r>
            <w:r w:rsidRPr="008D6A63">
              <w:rPr>
                <w:rFonts w:cs="Arial"/>
              </w:rPr>
              <w:fldChar w:fldCharType="separate"/>
            </w:r>
            <w:r w:rsidR="00302D39">
              <w:rPr>
                <w:rFonts w:cs="Arial"/>
              </w:rPr>
              <w:t>3</w:t>
            </w:r>
            <w:r w:rsidRPr="008D6A63">
              <w:rPr>
                <w:rFonts w:cs="Arial"/>
              </w:rPr>
              <w:fldChar w:fldCharType="end"/>
            </w:r>
            <w:r w:rsidRPr="008D6A63">
              <w:rPr>
                <w:rFonts w:cs="Arial"/>
              </w:rPr>
              <w:t xml:space="preserve"> of </w:t>
            </w:r>
            <w:r w:rsidRPr="008D6A63">
              <w:rPr>
                <w:rFonts w:cs="Arial"/>
              </w:rPr>
              <w:fldChar w:fldCharType="begin"/>
            </w:r>
            <w:r w:rsidRPr="008D6A63">
              <w:rPr>
                <w:rFonts w:cs="Arial"/>
              </w:rPr>
              <w:instrText xml:space="preserve"> REF Sch26PartB \h  \* MERGEFORMAT </w:instrText>
            </w:r>
            <w:r w:rsidRPr="008D6A63">
              <w:rPr>
                <w:rFonts w:cs="Arial"/>
              </w:rPr>
            </w:r>
            <w:r w:rsidRPr="008D6A63">
              <w:rPr>
                <w:rFonts w:cs="Arial"/>
              </w:rPr>
              <w:fldChar w:fldCharType="separate"/>
            </w:r>
            <w:r w:rsidR="00302D39" w:rsidRPr="00302D39">
              <w:rPr>
                <w:rFonts w:cs="Arial"/>
              </w:rPr>
              <w:t>Part B</w:t>
            </w:r>
            <w:r w:rsidRPr="008D6A63">
              <w:rPr>
                <w:rFonts w:cs="Arial"/>
              </w:rPr>
              <w:fldChar w:fldCharType="end"/>
            </w:r>
            <w:r w:rsidRPr="008D6A63">
              <w:rPr>
                <w:rFonts w:cs="Arial"/>
              </w:rPr>
              <w:t xml:space="preserve"> to </w:t>
            </w:r>
            <w:r>
              <w:rPr>
                <w:rFonts w:cs="Arial"/>
              </w:rPr>
              <w:fldChar w:fldCharType="begin"/>
            </w:r>
            <w:r>
              <w:rPr>
                <w:rFonts w:cs="Arial"/>
              </w:rPr>
              <w:instrText xml:space="preserve"> REF Schedule26 \h </w:instrText>
            </w:r>
            <w:r>
              <w:rPr>
                <w:rFonts w:cs="Arial"/>
              </w:rPr>
            </w:r>
            <w:r>
              <w:rPr>
                <w:rFonts w:cs="Arial"/>
              </w:rPr>
              <w:fldChar w:fldCharType="separate"/>
            </w:r>
            <w:r w:rsidR="00302D39" w:rsidRPr="005D0525">
              <w:t>Schedule</w:t>
            </w:r>
            <w:r w:rsidR="00302D39">
              <w:t> </w:t>
            </w:r>
            <w:r w:rsidR="00302D39" w:rsidRPr="005D0525">
              <w:t>26</w:t>
            </w:r>
            <w:r>
              <w:rPr>
                <w:rFonts w:cs="Arial"/>
              </w:rPr>
              <w:fldChar w:fldCharType="end"/>
            </w:r>
            <w:r>
              <w:rPr>
                <w:rFonts w:cs="Arial"/>
              </w:rPr>
              <w:t xml:space="preserve"> (</w:t>
            </w:r>
            <w:r w:rsidRPr="00A22335">
              <w:rPr>
                <w:rFonts w:cs="Arial"/>
                <w:i/>
                <w:iCs/>
              </w:rPr>
              <w:fldChar w:fldCharType="begin"/>
            </w:r>
            <w:r w:rsidRPr="00A22335">
              <w:rPr>
                <w:rFonts w:cs="Arial"/>
                <w:i/>
                <w:iCs/>
              </w:rPr>
              <w:instrText xml:space="preserve"> REF Schedule26Heading \h </w:instrText>
            </w:r>
            <w:r>
              <w:rPr>
                <w:rFonts w:cs="Arial"/>
                <w:i/>
                <w:iCs/>
              </w:rPr>
              <w:instrText xml:space="preserve"> \* MERGEFORMAT </w:instrText>
            </w:r>
            <w:r w:rsidRPr="00A22335">
              <w:rPr>
                <w:rFonts w:cs="Arial"/>
                <w:i/>
                <w:iCs/>
              </w:rPr>
            </w:r>
            <w:r w:rsidRPr="00A22335">
              <w:rPr>
                <w:rFonts w:cs="Arial"/>
                <w:i/>
                <w:iCs/>
              </w:rPr>
              <w:fldChar w:fldCharType="separate"/>
            </w:r>
            <w:r w:rsidR="00302D39" w:rsidRPr="00302D39">
              <w:rPr>
                <w:i/>
                <w:iCs/>
              </w:rPr>
              <w:t>Service Continuity Plan and Corporate Resolution Planning</w:t>
            </w:r>
            <w:r w:rsidRPr="00A22335">
              <w:rPr>
                <w:rFonts w:cs="Arial"/>
                <w:i/>
                <w:iCs/>
              </w:rPr>
              <w:fldChar w:fldCharType="end"/>
            </w:r>
            <w:r>
              <w:rPr>
                <w:rFonts w:cs="Arial"/>
              </w:rPr>
              <w:t>)</w:t>
            </w:r>
            <w:r w:rsidRPr="008D6A63">
              <w:rPr>
                <w:rFonts w:cs="Arial"/>
              </w:rPr>
              <w:t>;</w:t>
            </w:r>
          </w:p>
          <w:p w14:paraId="4B8E9E81" w14:textId="3B602189" w:rsidR="00F67E9E" w:rsidRPr="008D6A63" w:rsidRDefault="00F67E9E" w:rsidP="00F67E9E">
            <w:pPr>
              <w:pStyle w:val="DefinitionList"/>
              <w:numPr>
                <w:ilvl w:val="0"/>
                <w:numId w:val="108"/>
              </w:numPr>
              <w:rPr>
                <w:rFonts w:cs="Arial"/>
              </w:rPr>
            </w:pPr>
            <w:bookmarkStart w:id="274" w:name="_Ref_ContractCompanion_9kb9Ur26E"/>
            <w:bookmarkStart w:id="275" w:name="_9kR3WTrAG86BBatjmj09ubjkEA71v5vd8H9B4BK"/>
            <w:bookmarkStart w:id="276" w:name="_9kR3WTr299DHEetjmj09ubjkEA71v5vd8H9B4BK"/>
            <w:r w:rsidRPr="008D6A63">
              <w:rPr>
                <w:rFonts w:cs="Arial"/>
              </w:rPr>
              <w:t xml:space="preserve">the representation and warranty given by the Supplier pursuant to </w:t>
            </w:r>
            <w:bookmarkStart w:id="277" w:name="_9kMHG5YVtCIABGLLFvp11jv96D8vwws8DzTeUIE"/>
            <w:r w:rsidRPr="008D6A63">
              <w:rPr>
                <w:rFonts w:cs="Arial"/>
              </w:rPr>
              <w:t>Clause</w:t>
            </w:r>
            <w:r>
              <w:rPr>
                <w:rFonts w:cs="Arial"/>
              </w:rPr>
              <w:t>s 3</w:t>
            </w:r>
            <w:r w:rsidR="00B40291">
              <w:rPr>
                <w:rFonts w:cs="Arial"/>
              </w:rPr>
              <w:t>.</w:t>
            </w:r>
            <w:r>
              <w:rPr>
                <w:rFonts w:cs="Arial"/>
              </w:rPr>
              <w:t>2(h) or</w:t>
            </w:r>
            <w:r w:rsidRPr="008D6A63">
              <w:rPr>
                <w:rFonts w:cs="Arial"/>
              </w:rPr>
              <w:t xml:space="preserve"> </w:t>
            </w:r>
            <w:bookmarkEnd w:id="277"/>
            <w:r w:rsidRPr="008D6A63">
              <w:rPr>
                <w:rFonts w:cs="Arial"/>
              </w:rPr>
              <w:t>3.2(i) (</w:t>
            </w:r>
            <w:r w:rsidRPr="00F613BA">
              <w:rPr>
                <w:rFonts w:cs="Arial"/>
                <w:i/>
                <w:iCs/>
              </w:rPr>
              <w:t>Warranties</w:t>
            </w:r>
            <w:r w:rsidRPr="008D6A63">
              <w:rPr>
                <w:rFonts w:cs="Arial"/>
              </w:rPr>
              <w:t>) being materially untrue or misleading;</w:t>
            </w:r>
            <w:bookmarkEnd w:id="274"/>
            <w:bookmarkEnd w:id="275"/>
            <w:bookmarkEnd w:id="276"/>
          </w:p>
          <w:p w14:paraId="3963A38A" w14:textId="77777777" w:rsidR="00F67E9E" w:rsidRPr="008D6A63" w:rsidRDefault="00F67E9E" w:rsidP="00F67E9E">
            <w:pPr>
              <w:pStyle w:val="DefinitionList"/>
              <w:numPr>
                <w:ilvl w:val="0"/>
                <w:numId w:val="108"/>
              </w:numPr>
              <w:rPr>
                <w:rFonts w:cs="Arial"/>
              </w:rPr>
            </w:pPr>
            <w:r w:rsidRPr="008D6A63">
              <w:rPr>
                <w:rFonts w:cs="Arial"/>
              </w:rPr>
              <w:t xml:space="preserve">the Supplier committing a material Default under </w:t>
            </w:r>
            <w:bookmarkStart w:id="278" w:name="_9kMHG5YVtCIAELFBBCDVIhwxsHKB55H8APEBAHJ"/>
            <w:r w:rsidRPr="008D6A63">
              <w:rPr>
                <w:rFonts w:cs="Arial"/>
              </w:rPr>
              <w:t xml:space="preserve">Clause </w:t>
            </w:r>
            <w:bookmarkEnd w:id="278"/>
            <w:r w:rsidRPr="008D6A63">
              <w:rPr>
                <w:rFonts w:cs="Arial"/>
              </w:rPr>
              <w:t>10.10 (</w:t>
            </w:r>
            <w:r w:rsidRPr="00F613BA">
              <w:rPr>
                <w:rFonts w:cs="Arial"/>
                <w:i/>
                <w:iCs/>
              </w:rPr>
              <w:t>Promoting Tax Compliance</w:t>
            </w:r>
            <w:r w:rsidRPr="008D6A63">
              <w:rPr>
                <w:rFonts w:cs="Arial"/>
              </w:rPr>
              <w:t xml:space="preserve">) or failing to provide details of steps being taken and mitigating factors pursuant to </w:t>
            </w:r>
            <w:bookmarkStart w:id="279" w:name="_9kMIH5YVtCIAELFBBCDVIhwxsHKB55H8APEBAHJ"/>
            <w:r w:rsidRPr="008D6A63">
              <w:rPr>
                <w:rFonts w:cs="Arial"/>
              </w:rPr>
              <w:t xml:space="preserve">Clause </w:t>
            </w:r>
            <w:bookmarkEnd w:id="279"/>
            <w:r w:rsidRPr="008D6A63">
              <w:rPr>
                <w:rFonts w:cs="Arial"/>
              </w:rPr>
              <w:t>10.10 (</w:t>
            </w:r>
            <w:r w:rsidRPr="00F613BA">
              <w:rPr>
                <w:rFonts w:cs="Arial"/>
                <w:i/>
                <w:iCs/>
              </w:rPr>
              <w:t>Promoting Tax Compliance</w:t>
            </w:r>
            <w:r w:rsidRPr="008D6A63">
              <w:rPr>
                <w:rFonts w:cs="Arial"/>
              </w:rPr>
              <w:t>) which in the reasonable opinion of the Authority are acceptable;</w:t>
            </w:r>
          </w:p>
          <w:p w14:paraId="3E85B575" w14:textId="77777777" w:rsidR="00F67E9E" w:rsidRPr="008D6A63" w:rsidRDefault="00F67E9E" w:rsidP="00F67E9E">
            <w:pPr>
              <w:pStyle w:val="DefinitionList"/>
              <w:numPr>
                <w:ilvl w:val="0"/>
                <w:numId w:val="108"/>
              </w:numPr>
              <w:rPr>
                <w:rFonts w:cs="Arial"/>
              </w:rPr>
            </w:pPr>
            <w:r w:rsidRPr="008D6A63">
              <w:rPr>
                <w:rFonts w:cs="Arial"/>
              </w:rPr>
              <w:t>the Supplier committing a material Default under any of the following Clauses:</w:t>
            </w:r>
          </w:p>
          <w:p w14:paraId="2A8F188E" w14:textId="77777777" w:rsidR="00F67E9E" w:rsidRPr="008D6A63" w:rsidRDefault="00F67E9E" w:rsidP="00F67E9E">
            <w:pPr>
              <w:pStyle w:val="DefinitionListLevel1"/>
              <w:numPr>
                <w:ilvl w:val="1"/>
                <w:numId w:val="108"/>
              </w:numPr>
              <w:rPr>
                <w:rFonts w:cs="Arial"/>
              </w:rPr>
            </w:pPr>
            <w:bookmarkStart w:id="280" w:name="_9kMIH5YVtCIA9GKKKzogu2ozyw64u38q047MMRM"/>
            <w:r w:rsidRPr="008D6A63">
              <w:rPr>
                <w:rFonts w:cs="Arial"/>
              </w:rPr>
              <w:t xml:space="preserve">Clause </w:t>
            </w:r>
            <w:bookmarkEnd w:id="280"/>
            <w:r w:rsidRPr="008D6A63">
              <w:rPr>
                <w:rFonts w:cs="Arial"/>
              </w:rPr>
              <w:t>5.5(j) (</w:t>
            </w:r>
            <w:r w:rsidRPr="00F613BA">
              <w:rPr>
                <w:rFonts w:cs="Arial"/>
                <w:i/>
                <w:iCs/>
              </w:rPr>
              <w:t>Services</w:t>
            </w:r>
            <w:r w:rsidRPr="008D6A63">
              <w:rPr>
                <w:rFonts w:cs="Arial"/>
              </w:rPr>
              <w:t>);</w:t>
            </w:r>
          </w:p>
          <w:p w14:paraId="4EADCB43" w14:textId="77777777" w:rsidR="00F67E9E" w:rsidRPr="008D6A63" w:rsidRDefault="00F67E9E" w:rsidP="00F67E9E">
            <w:pPr>
              <w:pStyle w:val="DefinitionListLevel1"/>
              <w:numPr>
                <w:ilvl w:val="1"/>
                <w:numId w:val="108"/>
              </w:numPr>
              <w:rPr>
                <w:rFonts w:cs="Arial"/>
              </w:rPr>
            </w:pPr>
            <w:bookmarkStart w:id="281" w:name="_9kMKJ5YVtCIA7HJeSz3p9LKMkGGJAuAHDJKDFFI"/>
            <w:r w:rsidRPr="008D6A63">
              <w:rPr>
                <w:rFonts w:cs="Arial"/>
              </w:rPr>
              <w:t xml:space="preserve">Clause </w:t>
            </w:r>
            <w:bookmarkEnd w:id="281"/>
            <w:r w:rsidRPr="008D6A63">
              <w:rPr>
                <w:rFonts w:cs="Arial"/>
              </w:rPr>
              <w:t>21 (</w:t>
            </w:r>
            <w:r w:rsidRPr="00F613BA">
              <w:rPr>
                <w:rFonts w:cs="Arial"/>
                <w:i/>
                <w:iCs/>
              </w:rPr>
              <w:t>Protection of Personal Data</w:t>
            </w:r>
            <w:r w:rsidRPr="008D6A63">
              <w:rPr>
                <w:rFonts w:cs="Arial"/>
              </w:rPr>
              <w:t xml:space="preserve">); </w:t>
            </w:r>
          </w:p>
          <w:p w14:paraId="7C5BB4B5" w14:textId="77777777" w:rsidR="00F67E9E" w:rsidRPr="008D6A63" w:rsidRDefault="00F67E9E" w:rsidP="00F67E9E">
            <w:pPr>
              <w:pStyle w:val="DefinitionListLevel1"/>
              <w:numPr>
                <w:ilvl w:val="1"/>
                <w:numId w:val="108"/>
              </w:numPr>
              <w:rPr>
                <w:rFonts w:cs="Arial"/>
              </w:rPr>
            </w:pPr>
            <w:bookmarkStart w:id="282" w:name="_9kMML5YVtCIA7HMhSz3p9LKLnK2zIL47C98KJ9D"/>
            <w:r w:rsidRPr="008D6A63">
              <w:rPr>
                <w:rFonts w:cs="Arial"/>
              </w:rPr>
              <w:t xml:space="preserve">Clause </w:t>
            </w:r>
            <w:bookmarkEnd w:id="282"/>
            <w:r w:rsidRPr="008D6A63">
              <w:rPr>
                <w:rFonts w:cs="Arial"/>
              </w:rPr>
              <w:t>20 (</w:t>
            </w:r>
            <w:r w:rsidRPr="00F613BA">
              <w:rPr>
                <w:rFonts w:cs="Arial"/>
                <w:i/>
                <w:iCs/>
              </w:rPr>
              <w:t>Transparency and Freedom of Information</w:t>
            </w:r>
            <w:r w:rsidRPr="008D6A63">
              <w:rPr>
                <w:rFonts w:cs="Arial"/>
              </w:rPr>
              <w:t xml:space="preserve">); </w:t>
            </w:r>
          </w:p>
          <w:p w14:paraId="65308F1E" w14:textId="77777777" w:rsidR="00F67E9E" w:rsidRPr="008D6A63" w:rsidRDefault="00F67E9E" w:rsidP="00F67E9E">
            <w:pPr>
              <w:pStyle w:val="DefinitionListLevel1"/>
              <w:numPr>
                <w:ilvl w:val="1"/>
                <w:numId w:val="108"/>
              </w:numPr>
              <w:rPr>
                <w:rFonts w:cs="Arial"/>
              </w:rPr>
            </w:pPr>
            <w:bookmarkStart w:id="283" w:name="_9kMH0H6ZWuDJB8IQlT04qAMLLW1D510x8OK26FO"/>
            <w:r w:rsidRPr="008D6A63">
              <w:rPr>
                <w:rFonts w:cs="Arial"/>
              </w:rPr>
              <w:t xml:space="preserve">Clause </w:t>
            </w:r>
            <w:bookmarkEnd w:id="283"/>
            <w:r w:rsidRPr="008D6A63">
              <w:rPr>
                <w:rFonts w:cs="Arial"/>
              </w:rPr>
              <w:t>19 (</w:t>
            </w:r>
            <w:r w:rsidRPr="00F613BA">
              <w:rPr>
                <w:rFonts w:cs="Arial"/>
                <w:i/>
                <w:iCs/>
              </w:rPr>
              <w:t>Confidentiality</w:t>
            </w:r>
            <w:r w:rsidRPr="008D6A63">
              <w:rPr>
                <w:rFonts w:cs="Arial"/>
              </w:rPr>
              <w:t xml:space="preserve">); </w:t>
            </w:r>
          </w:p>
          <w:p w14:paraId="12EF6C69" w14:textId="77777777" w:rsidR="00F67E9E" w:rsidRDefault="00F67E9E" w:rsidP="00F67E9E">
            <w:pPr>
              <w:pStyle w:val="DefinitionListLevel1"/>
              <w:numPr>
                <w:ilvl w:val="1"/>
                <w:numId w:val="108"/>
              </w:numPr>
              <w:rPr>
                <w:rFonts w:cs="Arial"/>
              </w:rPr>
            </w:pPr>
            <w:bookmarkStart w:id="284" w:name="_9kMHG5YVtCIA7EHfSz3p9LLPZ0BDD7x36y"/>
            <w:r w:rsidRPr="008D6A63">
              <w:rPr>
                <w:rFonts w:cs="Arial"/>
              </w:rPr>
              <w:t xml:space="preserve">Clause </w:t>
            </w:r>
            <w:bookmarkEnd w:id="284"/>
            <w:r w:rsidRPr="008D6A63">
              <w:rPr>
                <w:rFonts w:cs="Arial"/>
              </w:rPr>
              <w:t>33 (</w:t>
            </w:r>
            <w:r w:rsidRPr="00F613BA">
              <w:rPr>
                <w:rFonts w:cs="Arial"/>
                <w:i/>
                <w:iCs/>
              </w:rPr>
              <w:t>Compliance</w:t>
            </w:r>
            <w:r w:rsidRPr="008D6A63">
              <w:rPr>
                <w:rFonts w:cs="Arial"/>
              </w:rPr>
              <w:t xml:space="preserve">); </w:t>
            </w:r>
          </w:p>
          <w:p w14:paraId="001924B4" w14:textId="77777777" w:rsidR="0093202B" w:rsidRDefault="00F67E9E" w:rsidP="00F67E9E">
            <w:pPr>
              <w:pStyle w:val="DefinitionListLevel1"/>
              <w:numPr>
                <w:ilvl w:val="1"/>
                <w:numId w:val="108"/>
              </w:numPr>
              <w:rPr>
                <w:rFonts w:cs="Arial"/>
              </w:rPr>
            </w:pPr>
            <w:r w:rsidRPr="00573A67">
              <w:rPr>
                <w:rFonts w:cs="Arial"/>
              </w:rPr>
              <w:t>in respect of any security requirements</w:t>
            </w:r>
            <w:r w:rsidR="0093202B">
              <w:rPr>
                <w:rFonts w:cs="Arial"/>
              </w:rPr>
              <w:t xml:space="preserve"> or Cyber Essentials obligations</w:t>
            </w:r>
            <w:r w:rsidRPr="00573A67">
              <w:rPr>
                <w:rFonts w:cs="Arial"/>
              </w:rPr>
              <w:t xml:space="preserve"> set out in </w:t>
            </w:r>
            <w:r w:rsidRPr="00573A67">
              <w:rPr>
                <w:rFonts w:cs="Arial"/>
              </w:rPr>
              <w:fldChar w:fldCharType="begin"/>
            </w:r>
            <w:r w:rsidRPr="00573A67">
              <w:rPr>
                <w:rFonts w:cs="Arial"/>
              </w:rPr>
              <w:instrText xml:space="preserve"> REF Schedule2 \h </w:instrText>
            </w:r>
            <w:r w:rsidRPr="00573A67">
              <w:rPr>
                <w:rFonts w:cs="Arial"/>
              </w:rPr>
            </w:r>
            <w:r w:rsidRPr="00573A67">
              <w:rPr>
                <w:rFonts w:cs="Arial"/>
              </w:rPr>
              <w:fldChar w:fldCharType="separate"/>
            </w:r>
            <w:r w:rsidR="00302D39" w:rsidRPr="005D0525">
              <w:t>Schedule</w:t>
            </w:r>
            <w:r w:rsidR="00302D39">
              <w:t> </w:t>
            </w:r>
            <w:r w:rsidR="00302D39" w:rsidRPr="005D0525">
              <w:t>2</w:t>
            </w:r>
            <w:r w:rsidRPr="00573A67">
              <w:rPr>
                <w:rFonts w:cs="Arial"/>
              </w:rPr>
              <w:fldChar w:fldCharType="end"/>
            </w:r>
            <w:r w:rsidRPr="00573A67">
              <w:rPr>
                <w:rFonts w:cs="Arial"/>
              </w:rPr>
              <w:t xml:space="preserve"> (</w:t>
            </w:r>
            <w:r w:rsidRPr="00573A67">
              <w:rPr>
                <w:rFonts w:cs="Arial"/>
                <w:i/>
                <w:iCs/>
              </w:rPr>
              <w:fldChar w:fldCharType="begin"/>
            </w:r>
            <w:r w:rsidRPr="00573A67">
              <w:rPr>
                <w:rFonts w:cs="Arial"/>
                <w:i/>
                <w:iCs/>
              </w:rPr>
              <w:instrText xml:space="preserve"> REF Schedule2Heading \h  \* MERGEFORMAT </w:instrText>
            </w:r>
            <w:r w:rsidRPr="00573A67">
              <w:rPr>
                <w:rFonts w:cs="Arial"/>
                <w:i/>
                <w:iCs/>
              </w:rPr>
            </w:r>
            <w:r w:rsidRPr="00573A67">
              <w:rPr>
                <w:rFonts w:cs="Arial"/>
                <w:i/>
                <w:iCs/>
              </w:rPr>
              <w:fldChar w:fldCharType="separate"/>
            </w:r>
            <w:r w:rsidR="00302D39" w:rsidRPr="00302D39">
              <w:rPr>
                <w:i/>
                <w:iCs/>
              </w:rPr>
              <w:t>Services Description</w:t>
            </w:r>
            <w:r w:rsidRPr="00573A67">
              <w:rPr>
                <w:rFonts w:cs="Arial"/>
                <w:i/>
                <w:iCs/>
              </w:rPr>
              <w:fldChar w:fldCharType="end"/>
            </w:r>
            <w:r w:rsidRPr="00573A67">
              <w:rPr>
                <w:rFonts w:cs="Arial"/>
              </w:rPr>
              <w:t xml:space="preserve">), </w:t>
            </w:r>
            <w:r w:rsidRPr="00573A67">
              <w:rPr>
                <w:rFonts w:cs="Arial"/>
              </w:rPr>
              <w:fldChar w:fldCharType="begin"/>
            </w:r>
            <w:r w:rsidRPr="00573A67">
              <w:rPr>
                <w:rFonts w:cs="Arial"/>
              </w:rPr>
              <w:instrText xml:space="preserve"> REF Schedule5 \h </w:instrText>
            </w:r>
            <w:r w:rsidRPr="00573A67">
              <w:rPr>
                <w:rFonts w:cs="Arial"/>
              </w:rPr>
            </w:r>
            <w:r w:rsidRPr="00573A67">
              <w:rPr>
                <w:rFonts w:cs="Arial"/>
              </w:rPr>
              <w:fldChar w:fldCharType="separate"/>
            </w:r>
            <w:r w:rsidR="00302D39" w:rsidRPr="005D0525">
              <w:t>Schedule</w:t>
            </w:r>
            <w:r w:rsidR="00302D39">
              <w:t> </w:t>
            </w:r>
            <w:r w:rsidR="00302D39" w:rsidRPr="005D0525">
              <w:t>5</w:t>
            </w:r>
            <w:r w:rsidRPr="00573A67">
              <w:rPr>
                <w:rFonts w:cs="Arial"/>
              </w:rPr>
              <w:fldChar w:fldCharType="end"/>
            </w:r>
            <w:r w:rsidRPr="00573A67">
              <w:rPr>
                <w:rFonts w:cs="Arial"/>
              </w:rPr>
              <w:t xml:space="preserve"> (</w:t>
            </w:r>
            <w:r w:rsidRPr="00573A67">
              <w:rPr>
                <w:rFonts w:cs="Arial"/>
                <w:i/>
                <w:iCs/>
              </w:rPr>
              <w:fldChar w:fldCharType="begin"/>
            </w:r>
            <w:r w:rsidRPr="00573A67">
              <w:rPr>
                <w:rFonts w:cs="Arial"/>
                <w:i/>
                <w:iCs/>
              </w:rPr>
              <w:instrText xml:space="preserve"> REF Schedule5Heading \h  \* MERGEFORMAT </w:instrText>
            </w:r>
            <w:r w:rsidRPr="00573A67">
              <w:rPr>
                <w:rFonts w:cs="Arial"/>
                <w:i/>
                <w:iCs/>
              </w:rPr>
            </w:r>
            <w:r w:rsidRPr="00573A67">
              <w:rPr>
                <w:rFonts w:cs="Arial"/>
                <w:i/>
                <w:iCs/>
              </w:rPr>
              <w:fldChar w:fldCharType="separate"/>
            </w:r>
            <w:r w:rsidR="00302D39" w:rsidRPr="00302D39">
              <w:rPr>
                <w:i/>
                <w:iCs/>
              </w:rPr>
              <w:t>Security Management</w:t>
            </w:r>
            <w:r w:rsidRPr="00573A67">
              <w:rPr>
                <w:rFonts w:cs="Arial"/>
                <w:i/>
                <w:iCs/>
              </w:rPr>
              <w:fldChar w:fldCharType="end"/>
            </w:r>
            <w:r w:rsidRPr="00573A67">
              <w:rPr>
                <w:rFonts w:cs="Arial"/>
              </w:rPr>
              <w:t>) or the Baseline Security Requirements;</w:t>
            </w:r>
          </w:p>
          <w:p w14:paraId="061EAAF3" w14:textId="698F7CF0" w:rsidR="00F67E9E" w:rsidRDefault="0093202B" w:rsidP="00F67E9E">
            <w:pPr>
              <w:pStyle w:val="DefinitionListLevel1"/>
              <w:numPr>
                <w:ilvl w:val="1"/>
                <w:numId w:val="108"/>
              </w:numPr>
              <w:rPr>
                <w:rFonts w:cs="Arial"/>
              </w:rPr>
            </w:pPr>
            <w:r>
              <w:rPr>
                <w:rFonts w:cs="Arial"/>
              </w:rPr>
              <w:t xml:space="preserve">in respect of any requirements set out in </w:t>
            </w:r>
            <w:r>
              <w:rPr>
                <w:rFonts w:cs="Arial"/>
              </w:rPr>
              <w:fldChar w:fldCharType="begin"/>
            </w:r>
            <w:r>
              <w:rPr>
                <w:rFonts w:cs="Arial"/>
              </w:rPr>
              <w:instrText xml:space="preserve"> REF Schedule32 \h </w:instrText>
            </w:r>
            <w:r>
              <w:rPr>
                <w:rFonts w:cs="Arial"/>
              </w:rPr>
            </w:r>
            <w:r>
              <w:rPr>
                <w:rFonts w:cs="Arial"/>
              </w:rPr>
              <w:fldChar w:fldCharType="separate"/>
            </w:r>
            <w:r w:rsidRPr="00477926">
              <w:t>Schedule</w:t>
            </w:r>
            <w:r>
              <w:t> </w:t>
            </w:r>
            <w:r w:rsidRPr="00477926">
              <w:t>32</w:t>
            </w:r>
            <w:r>
              <w:rPr>
                <w:rFonts w:cs="Arial"/>
              </w:rPr>
              <w:fldChar w:fldCharType="end"/>
            </w:r>
            <w:r>
              <w:rPr>
                <w:rFonts w:cs="Arial"/>
              </w:rPr>
              <w:t xml:space="preserve"> (</w:t>
            </w:r>
            <w:r>
              <w:rPr>
                <w:rFonts w:cs="Arial"/>
              </w:rPr>
              <w:fldChar w:fldCharType="begin"/>
            </w:r>
            <w:r>
              <w:rPr>
                <w:rFonts w:cs="Arial"/>
              </w:rPr>
              <w:instrText xml:space="preserve"> REF Schedule32Heading \h </w:instrText>
            </w:r>
            <w:r>
              <w:rPr>
                <w:rFonts w:cs="Arial"/>
              </w:rPr>
            </w:r>
            <w:r>
              <w:rPr>
                <w:rFonts w:cs="Arial"/>
              </w:rPr>
              <w:fldChar w:fldCharType="separate"/>
            </w:r>
            <w:r w:rsidRPr="002223EA">
              <w:t>Intellectual Property Rights</w:t>
            </w:r>
            <w:r>
              <w:rPr>
                <w:rFonts w:cs="Arial"/>
              </w:rPr>
              <w:fldChar w:fldCharType="end"/>
            </w:r>
            <w:r>
              <w:rPr>
                <w:rFonts w:cs="Arial"/>
              </w:rPr>
              <w:t xml:space="preserve">) </w:t>
            </w:r>
            <w:r w:rsidR="00F67E9E" w:rsidRPr="00573A67">
              <w:rPr>
                <w:rFonts w:cs="Arial"/>
              </w:rPr>
              <w:t>and/or</w:t>
            </w:r>
          </w:p>
          <w:p w14:paraId="6190E599" w14:textId="33F93503" w:rsidR="00F67E9E" w:rsidRPr="00573A67" w:rsidRDefault="00F67E9E" w:rsidP="00F67E9E">
            <w:pPr>
              <w:pStyle w:val="DefinitionListLevel1"/>
              <w:numPr>
                <w:ilvl w:val="1"/>
                <w:numId w:val="108"/>
              </w:numPr>
              <w:rPr>
                <w:rFonts w:cs="Arial"/>
              </w:rPr>
            </w:pPr>
            <w:r>
              <w:rPr>
                <w:rFonts w:cs="Arial"/>
              </w:rPr>
              <w:t>i</w:t>
            </w:r>
            <w:r w:rsidRPr="00573A67">
              <w:rPr>
                <w:rFonts w:cs="Arial"/>
              </w:rPr>
              <w:t xml:space="preserve">n respect of any requirements set out in </w:t>
            </w:r>
            <w:r w:rsidRPr="00573A67">
              <w:rPr>
                <w:rFonts w:cs="Arial"/>
              </w:rPr>
              <w:fldChar w:fldCharType="begin"/>
            </w:r>
            <w:r w:rsidRPr="00573A67">
              <w:rPr>
                <w:rFonts w:cs="Arial"/>
              </w:rPr>
              <w:instrText xml:space="preserve"> REF Schedule28 \h </w:instrText>
            </w:r>
            <w:r w:rsidRPr="00573A67">
              <w:rPr>
                <w:rFonts w:cs="Arial"/>
              </w:rPr>
            </w:r>
            <w:r w:rsidRPr="00573A67">
              <w:rPr>
                <w:rFonts w:cs="Arial"/>
              </w:rPr>
              <w:fldChar w:fldCharType="separate"/>
            </w:r>
            <w:r w:rsidR="00302D39" w:rsidRPr="005D0525">
              <w:t>Schedule</w:t>
            </w:r>
            <w:r w:rsidR="00302D39">
              <w:t> </w:t>
            </w:r>
            <w:r w:rsidR="00302D39" w:rsidRPr="005D0525">
              <w:t>28</w:t>
            </w:r>
            <w:r w:rsidRPr="00573A67">
              <w:rPr>
                <w:rFonts w:cs="Arial"/>
              </w:rPr>
              <w:fldChar w:fldCharType="end"/>
            </w:r>
            <w:r w:rsidRPr="00573A67">
              <w:rPr>
                <w:rFonts w:cs="Arial"/>
              </w:rPr>
              <w:t xml:space="preserve"> (</w:t>
            </w:r>
            <w:r w:rsidRPr="00573A67">
              <w:rPr>
                <w:rFonts w:cs="Arial"/>
                <w:i/>
                <w:iCs/>
              </w:rPr>
              <w:fldChar w:fldCharType="begin"/>
            </w:r>
            <w:r w:rsidRPr="00573A67">
              <w:rPr>
                <w:rFonts w:cs="Arial"/>
                <w:i/>
                <w:iCs/>
              </w:rPr>
              <w:instrText xml:space="preserve"> REF Schedule28Heading \h  \* MERGEFORMAT </w:instrText>
            </w:r>
            <w:r w:rsidRPr="00573A67">
              <w:rPr>
                <w:rFonts w:cs="Arial"/>
                <w:i/>
                <w:iCs/>
              </w:rPr>
            </w:r>
            <w:r w:rsidRPr="00573A67">
              <w:rPr>
                <w:rFonts w:cs="Arial"/>
                <w:i/>
                <w:iCs/>
              </w:rPr>
              <w:fldChar w:fldCharType="separate"/>
            </w:r>
            <w:r w:rsidR="00302D39" w:rsidRPr="00302D39">
              <w:rPr>
                <w:i/>
                <w:iCs/>
              </w:rPr>
              <w:t>Staff Transfer</w:t>
            </w:r>
            <w:r w:rsidRPr="00573A67">
              <w:rPr>
                <w:rFonts w:cs="Arial"/>
                <w:i/>
                <w:iCs/>
              </w:rPr>
              <w:fldChar w:fldCharType="end"/>
            </w:r>
            <w:r w:rsidRPr="00573A67">
              <w:rPr>
                <w:rFonts w:cs="Arial"/>
              </w:rPr>
              <w:t>);</w:t>
            </w:r>
          </w:p>
          <w:p w14:paraId="0EC4F6B3" w14:textId="584DE5E0" w:rsidR="00F67E9E" w:rsidRPr="008D6A63" w:rsidRDefault="00F67E9E" w:rsidP="00F67E9E">
            <w:pPr>
              <w:pStyle w:val="DefinitionList"/>
              <w:numPr>
                <w:ilvl w:val="0"/>
                <w:numId w:val="108"/>
              </w:numPr>
              <w:rPr>
                <w:rFonts w:cs="Arial"/>
              </w:rPr>
            </w:pPr>
            <w:r w:rsidRPr="008D6A63">
              <w:rPr>
                <w:rFonts w:cs="Arial"/>
              </w:rPr>
              <w:t xml:space="preserve">any failure by the Supplier to implement the changes set out in a Benchmark Report as referred to in </w:t>
            </w:r>
            <w:bookmarkStart w:id="285" w:name="_9kR3WTr2CC579YEnoewrqyFV"/>
            <w:r w:rsidRPr="008D6A63">
              <w:rPr>
                <w:rFonts w:cs="Arial"/>
              </w:rPr>
              <w:t xml:space="preserve">Paragraph </w:t>
            </w:r>
            <w:bookmarkEnd w:id="285"/>
            <w:r w:rsidRPr="008D6A63">
              <w:rPr>
                <w:rFonts w:cs="Arial"/>
              </w:rPr>
              <w:fldChar w:fldCharType="begin"/>
            </w:r>
            <w:r w:rsidRPr="008D6A63">
              <w:rPr>
                <w:rFonts w:cs="Arial"/>
              </w:rPr>
              <w:instrText xml:space="preserve"> REF _Ref44571810 \r \h  \* MERGEFORMAT </w:instrText>
            </w:r>
            <w:r w:rsidRPr="008D6A63">
              <w:rPr>
                <w:rFonts w:cs="Arial"/>
              </w:rPr>
            </w:r>
            <w:r w:rsidRPr="008D6A63">
              <w:rPr>
                <w:rFonts w:cs="Arial"/>
              </w:rPr>
              <w:fldChar w:fldCharType="separate"/>
            </w:r>
            <w:r w:rsidR="00302D39">
              <w:rPr>
                <w:rFonts w:cs="Arial"/>
              </w:rPr>
              <w:t>5.9</w:t>
            </w:r>
            <w:r w:rsidRPr="008D6A63">
              <w:rPr>
                <w:rFonts w:cs="Arial"/>
              </w:rPr>
              <w:fldChar w:fldCharType="end"/>
            </w:r>
            <w:r w:rsidRPr="008D6A63">
              <w:rPr>
                <w:rFonts w:cs="Arial"/>
              </w:rPr>
              <w:t xml:space="preserve"> of</w:t>
            </w:r>
            <w:r>
              <w:rPr>
                <w:rFonts w:cs="Arial"/>
              </w:rPr>
              <w:t xml:space="preserve"> </w:t>
            </w:r>
            <w:r>
              <w:rPr>
                <w:rFonts w:cs="Arial"/>
              </w:rPr>
              <w:fldChar w:fldCharType="begin"/>
            </w:r>
            <w:r>
              <w:rPr>
                <w:rFonts w:cs="Arial"/>
              </w:rPr>
              <w:instrText xml:space="preserve"> REF Schedule17 \h </w:instrText>
            </w:r>
            <w:r>
              <w:rPr>
                <w:rFonts w:cs="Arial"/>
              </w:rPr>
            </w:r>
            <w:r>
              <w:rPr>
                <w:rFonts w:cs="Arial"/>
              </w:rPr>
              <w:fldChar w:fldCharType="separate"/>
            </w:r>
            <w:r w:rsidR="00302D39" w:rsidRPr="005D0525">
              <w:t>Schedule</w:t>
            </w:r>
            <w:r w:rsidR="00302D39">
              <w:t> </w:t>
            </w:r>
            <w:r w:rsidR="00302D39" w:rsidRPr="005D0525">
              <w:t>17</w:t>
            </w:r>
            <w:r>
              <w:rPr>
                <w:rFonts w:cs="Arial"/>
              </w:rPr>
              <w:fldChar w:fldCharType="end"/>
            </w:r>
            <w:r>
              <w:rPr>
                <w:rFonts w:cs="Arial"/>
              </w:rPr>
              <w:t xml:space="preserve"> (</w:t>
            </w:r>
            <w:r w:rsidRPr="00B91437">
              <w:rPr>
                <w:rFonts w:cs="Arial"/>
                <w:i/>
                <w:iCs/>
              </w:rPr>
              <w:fldChar w:fldCharType="begin"/>
            </w:r>
            <w:r w:rsidRPr="00B91437">
              <w:rPr>
                <w:rFonts w:cs="Arial"/>
                <w:i/>
                <w:iCs/>
              </w:rPr>
              <w:instrText xml:space="preserve"> REF Schedule17Heading \h </w:instrText>
            </w:r>
            <w:r>
              <w:rPr>
                <w:rFonts w:cs="Arial"/>
                <w:i/>
                <w:iCs/>
              </w:rPr>
              <w:instrText xml:space="preserve"> \* MERGEFORMAT </w:instrText>
            </w:r>
            <w:r w:rsidRPr="00B91437">
              <w:rPr>
                <w:rFonts w:cs="Arial"/>
                <w:i/>
                <w:iCs/>
              </w:rPr>
            </w:r>
            <w:r w:rsidRPr="00B91437">
              <w:rPr>
                <w:rFonts w:cs="Arial"/>
                <w:i/>
                <w:iCs/>
              </w:rPr>
              <w:fldChar w:fldCharType="separate"/>
            </w:r>
            <w:r w:rsidR="00302D39" w:rsidRPr="00302D39">
              <w:rPr>
                <w:i/>
                <w:iCs/>
              </w:rPr>
              <w:t>Benchmarking</w:t>
            </w:r>
            <w:r w:rsidRPr="00B91437">
              <w:rPr>
                <w:rFonts w:cs="Arial"/>
                <w:i/>
                <w:iCs/>
              </w:rPr>
              <w:fldChar w:fldCharType="end"/>
            </w:r>
            <w:r>
              <w:rPr>
                <w:rFonts w:cs="Arial"/>
              </w:rPr>
              <w:t>)</w:t>
            </w:r>
            <w:r w:rsidRPr="008D6A63">
              <w:rPr>
                <w:rFonts w:cs="Arial"/>
              </w:rPr>
              <w:t>;</w:t>
            </w:r>
          </w:p>
          <w:p w14:paraId="3538FBE2" w14:textId="77777777" w:rsidR="00F67E9E" w:rsidRPr="008D6A63" w:rsidRDefault="00F67E9E" w:rsidP="00F67E9E">
            <w:pPr>
              <w:pStyle w:val="DefinitionList"/>
              <w:numPr>
                <w:ilvl w:val="0"/>
                <w:numId w:val="108"/>
              </w:numPr>
              <w:rPr>
                <w:rFonts w:cs="Arial"/>
              </w:rPr>
            </w:pPr>
            <w:bookmarkStart w:id="286" w:name="_9kR3WTrAG86AHhtjmj09ubjkEA71v5vd8H9B4BK"/>
            <w:bookmarkStart w:id="287" w:name="_9kR3WTr299DHDdtjmj09ubjkEA71v5vd8H9B4BK"/>
            <w:bookmarkStart w:id="288" w:name="_Ref_ContractCompanion_9kb9Ur26B"/>
            <w:r w:rsidRPr="008D6A63">
              <w:rPr>
                <w:rFonts w:cs="Arial"/>
              </w:rPr>
              <w:t>an Insolvency Event occurring in respect of the Supplier or the Guarantor;</w:t>
            </w:r>
            <w:bookmarkEnd w:id="286"/>
            <w:bookmarkEnd w:id="287"/>
            <w:r w:rsidRPr="008D6A63">
              <w:rPr>
                <w:rFonts w:cs="Arial"/>
              </w:rPr>
              <w:t xml:space="preserve"> </w:t>
            </w:r>
            <w:bookmarkEnd w:id="288"/>
          </w:p>
          <w:p w14:paraId="6623D22F" w14:textId="77777777" w:rsidR="00F67E9E" w:rsidRPr="008D6A63" w:rsidRDefault="00F67E9E" w:rsidP="00F67E9E">
            <w:pPr>
              <w:pStyle w:val="DefinitionList"/>
              <w:numPr>
                <w:ilvl w:val="0"/>
                <w:numId w:val="108"/>
              </w:numPr>
              <w:rPr>
                <w:rFonts w:cs="Arial"/>
              </w:rPr>
            </w:pPr>
            <w:r w:rsidRPr="008D6A63">
              <w:rPr>
                <w:rFonts w:cs="Arial"/>
              </w:rPr>
              <w:t>the Guarantee ceasing to be valid or enforceable for any reason (without the Guarantee being replaced with a comparable guarantee to the satisfaction of the Authority with the Guarantor or with another guarantor which is acceptable to the Authority);</w:t>
            </w:r>
          </w:p>
          <w:p w14:paraId="0743410D" w14:textId="77777777" w:rsidR="00F67E9E" w:rsidRPr="008D6A63" w:rsidRDefault="00F67E9E" w:rsidP="00F67E9E">
            <w:pPr>
              <w:pStyle w:val="DefinitionList"/>
              <w:numPr>
                <w:ilvl w:val="0"/>
                <w:numId w:val="108"/>
              </w:numPr>
              <w:rPr>
                <w:rFonts w:cs="Arial"/>
              </w:rPr>
            </w:pPr>
            <w:r w:rsidRPr="008D6A63">
              <w:rPr>
                <w:rFonts w:cs="Arial"/>
              </w:rPr>
              <w:t>a change of Control of the Supplier or a Guarantor unless:</w:t>
            </w:r>
          </w:p>
          <w:p w14:paraId="3A233962" w14:textId="77777777" w:rsidR="00F67E9E" w:rsidRPr="008D6A63" w:rsidRDefault="00F67E9E" w:rsidP="00F67E9E">
            <w:pPr>
              <w:pStyle w:val="DefinitionListLevel1"/>
              <w:numPr>
                <w:ilvl w:val="1"/>
                <w:numId w:val="108"/>
              </w:numPr>
              <w:rPr>
                <w:rFonts w:cs="Arial"/>
              </w:rPr>
            </w:pPr>
            <w:r w:rsidRPr="008D6A63">
              <w:rPr>
                <w:rFonts w:cs="Arial"/>
              </w:rPr>
              <w:t>the Authority has given its prior written consent to the particular Change of Control, which subsequently takes place as proposed; or</w:t>
            </w:r>
          </w:p>
          <w:p w14:paraId="745D3E23" w14:textId="77777777" w:rsidR="00F67E9E" w:rsidRPr="008D6A63" w:rsidRDefault="00F67E9E" w:rsidP="00F67E9E">
            <w:pPr>
              <w:pStyle w:val="DefinitionListLevel1"/>
              <w:numPr>
                <w:ilvl w:val="1"/>
                <w:numId w:val="108"/>
              </w:numPr>
              <w:rPr>
                <w:rFonts w:cs="Arial"/>
              </w:rPr>
            </w:pPr>
            <w:r w:rsidRPr="008D6A63">
              <w:rPr>
                <w:rFonts w:cs="Arial"/>
              </w:rPr>
              <w:t xml:space="preserve">the Authority has not served its notice of objection within 6 months of the later of the date on which the Change of Control took place or the date on which the Authority was given notice of the </w:t>
            </w:r>
            <w:r>
              <w:rPr>
                <w:rFonts w:cs="Arial"/>
              </w:rPr>
              <w:t>c</w:t>
            </w:r>
            <w:r w:rsidRPr="008D6A63">
              <w:rPr>
                <w:rFonts w:cs="Arial"/>
              </w:rPr>
              <w:t xml:space="preserve">hange of Control; </w:t>
            </w:r>
          </w:p>
          <w:p w14:paraId="3825C73E" w14:textId="77777777" w:rsidR="00F67E9E" w:rsidRPr="008D6A63" w:rsidRDefault="00F67E9E" w:rsidP="00F67E9E">
            <w:pPr>
              <w:pStyle w:val="DefinitionList"/>
              <w:numPr>
                <w:ilvl w:val="0"/>
                <w:numId w:val="108"/>
              </w:numPr>
              <w:rPr>
                <w:rFonts w:cs="Arial"/>
              </w:rPr>
            </w:pPr>
            <w:r w:rsidRPr="008D6A63">
              <w:rPr>
                <w:rFonts w:cs="Arial"/>
              </w:rPr>
              <w:t xml:space="preserve">a change of Control of a Key Sub-contractor unless, within 6 months of being notified by the Authority that it objects to such change of Control, the Supplier terminates the relevant Key Sub-contract and replaces it with a comparable Key Sub-contract which is approved by the Authority pursuant to </w:t>
            </w:r>
            <w:bookmarkStart w:id="289" w:name="_9kMHG5YVtCIAEGCDGHDjYnyz26sepJFC60ATLII"/>
            <w:r w:rsidRPr="008D6A63">
              <w:rPr>
                <w:rFonts w:cs="Arial"/>
              </w:rPr>
              <w:t xml:space="preserve">Clause </w:t>
            </w:r>
            <w:bookmarkEnd w:id="289"/>
            <w:r w:rsidRPr="008D6A63">
              <w:rPr>
                <w:rFonts w:cs="Arial"/>
              </w:rPr>
              <w:t>15.10 (</w:t>
            </w:r>
            <w:r w:rsidRPr="00F613BA">
              <w:rPr>
                <w:rFonts w:cs="Arial"/>
                <w:i/>
                <w:iCs/>
              </w:rPr>
              <w:t>Appointment of Key Sub-contractors</w:t>
            </w:r>
            <w:r w:rsidRPr="008D6A63">
              <w:rPr>
                <w:rFonts w:cs="Arial"/>
              </w:rPr>
              <w:t xml:space="preserve">); </w:t>
            </w:r>
          </w:p>
          <w:p w14:paraId="1C595930" w14:textId="58FBB246" w:rsidR="00F67E9E" w:rsidRPr="008D6A63" w:rsidRDefault="00F67E9E" w:rsidP="00F67E9E">
            <w:pPr>
              <w:pStyle w:val="DefinitionList"/>
              <w:numPr>
                <w:ilvl w:val="0"/>
                <w:numId w:val="108"/>
              </w:numPr>
              <w:rPr>
                <w:rFonts w:cs="Arial"/>
              </w:rPr>
            </w:pPr>
            <w:r w:rsidRPr="001E5ACB">
              <w:rPr>
                <w:rFonts w:cs="Arial"/>
              </w:rPr>
              <w:t xml:space="preserve">any failure by the Supplier to enter into or to comply with an </w:t>
            </w:r>
            <w:bookmarkStart w:id="290" w:name="_9kR3WTr2AADMMP2lry90x3QE21pyz1HPK4wBRI4"/>
            <w:r w:rsidRPr="001E5ACB">
              <w:rPr>
                <w:rFonts w:cs="Arial"/>
              </w:rPr>
              <w:t xml:space="preserve">Admission Agreement under </w:t>
            </w:r>
            <w:bookmarkEnd w:id="290"/>
            <w:r w:rsidRPr="001E5ACB">
              <w:rPr>
                <w:rFonts w:cs="Arial"/>
              </w:rPr>
              <w:t>under</w:t>
            </w:r>
            <w:r w:rsidRPr="00535337">
              <w:rPr>
                <w:rFonts w:cs="Arial"/>
              </w:rPr>
              <w:t xml:space="preserve"> </w:t>
            </w:r>
            <w:r>
              <w:rPr>
                <w:rFonts w:cs="Arial"/>
              </w:rPr>
              <w:fldChar w:fldCharType="begin"/>
            </w:r>
            <w:r>
              <w:rPr>
                <w:rFonts w:cs="Arial"/>
              </w:rPr>
              <w:instrText xml:space="preserve"> REF Sch28PartD \h </w:instrText>
            </w:r>
            <w:r>
              <w:rPr>
                <w:rFonts w:cs="Arial"/>
              </w:rPr>
            </w:r>
            <w:r>
              <w:rPr>
                <w:rFonts w:cs="Arial"/>
              </w:rPr>
              <w:fldChar w:fldCharType="separate"/>
            </w:r>
            <w:r w:rsidR="00302D39" w:rsidRPr="00025910">
              <w:t>Part D</w:t>
            </w:r>
            <w:r>
              <w:rPr>
                <w:rFonts w:cs="Arial"/>
              </w:rPr>
              <w:fldChar w:fldCharType="end"/>
            </w:r>
            <w:r w:rsidRPr="00535337">
              <w:rPr>
                <w:rFonts w:cs="Arial"/>
              </w:rPr>
              <w:t xml:space="preserve"> of </w:t>
            </w:r>
            <w:r>
              <w:rPr>
                <w:rFonts w:cs="Arial"/>
              </w:rPr>
              <w:fldChar w:fldCharType="begin"/>
            </w:r>
            <w:r>
              <w:rPr>
                <w:rFonts w:cs="Arial"/>
              </w:rPr>
              <w:instrText xml:space="preserve"> REF Schedule28 \h </w:instrText>
            </w:r>
            <w:r>
              <w:rPr>
                <w:rFonts w:cs="Arial"/>
              </w:rPr>
            </w:r>
            <w:r>
              <w:rPr>
                <w:rFonts w:cs="Arial"/>
              </w:rPr>
              <w:fldChar w:fldCharType="separate"/>
            </w:r>
            <w:r w:rsidR="00302D39" w:rsidRPr="005D0525">
              <w:t>Schedule</w:t>
            </w:r>
            <w:r w:rsidR="00302D39">
              <w:t> </w:t>
            </w:r>
            <w:r w:rsidR="00302D39" w:rsidRPr="005D0525">
              <w:t>28</w:t>
            </w:r>
            <w:r>
              <w:rPr>
                <w:rFonts w:cs="Arial"/>
              </w:rPr>
              <w:fldChar w:fldCharType="end"/>
            </w:r>
            <w:r w:rsidRPr="00535337">
              <w:rPr>
                <w:rFonts w:cs="Arial"/>
              </w:rPr>
              <w:t xml:space="preserve"> (</w:t>
            </w:r>
            <w:r w:rsidRPr="00811E73">
              <w:rPr>
                <w:rFonts w:cs="Arial"/>
                <w:i/>
                <w:iCs/>
              </w:rPr>
              <w:fldChar w:fldCharType="begin"/>
            </w:r>
            <w:r w:rsidRPr="00811E73">
              <w:rPr>
                <w:rFonts w:cs="Arial"/>
                <w:i/>
                <w:iCs/>
              </w:rPr>
              <w:instrText xml:space="preserve"> REF Schedule28Heading \h </w:instrText>
            </w:r>
            <w:r>
              <w:rPr>
                <w:rFonts w:cs="Arial"/>
                <w:i/>
                <w:iCs/>
              </w:rPr>
              <w:instrText xml:space="preserve"> \* MERGEFORMAT </w:instrText>
            </w:r>
            <w:r w:rsidRPr="00811E73">
              <w:rPr>
                <w:rFonts w:cs="Arial"/>
                <w:i/>
                <w:iCs/>
              </w:rPr>
            </w:r>
            <w:r w:rsidRPr="00811E73">
              <w:rPr>
                <w:rFonts w:cs="Arial"/>
                <w:i/>
                <w:iCs/>
              </w:rPr>
              <w:fldChar w:fldCharType="separate"/>
            </w:r>
            <w:r w:rsidR="00302D39" w:rsidRPr="00302D39">
              <w:rPr>
                <w:i/>
                <w:iCs/>
              </w:rPr>
              <w:t>Staff Transfer</w:t>
            </w:r>
            <w:r w:rsidRPr="00811E73">
              <w:rPr>
                <w:rFonts w:cs="Arial"/>
                <w:i/>
                <w:iCs/>
              </w:rPr>
              <w:fldChar w:fldCharType="end"/>
            </w:r>
            <w:r w:rsidRPr="00535337">
              <w:rPr>
                <w:rFonts w:cs="Arial"/>
              </w:rPr>
              <w:t>)</w:t>
            </w:r>
            <w:r>
              <w:rPr>
                <w:rFonts w:cs="Arial"/>
              </w:rPr>
              <w:t>;</w:t>
            </w:r>
          </w:p>
          <w:p w14:paraId="2ABF3ABD" w14:textId="77777777" w:rsidR="00F67E9E" w:rsidRPr="008D6A63" w:rsidRDefault="00F67E9E" w:rsidP="00F67E9E">
            <w:pPr>
              <w:pStyle w:val="DefinitionList"/>
              <w:numPr>
                <w:ilvl w:val="0"/>
                <w:numId w:val="108"/>
              </w:numPr>
              <w:rPr>
                <w:rFonts w:cs="Arial"/>
              </w:rPr>
            </w:pPr>
            <w:r w:rsidRPr="008D6A63">
              <w:rPr>
                <w:rFonts w:cs="Arial"/>
              </w:rPr>
              <w:t xml:space="preserve">the Authority has become aware that the Supplier should have been excluded under </w:t>
            </w:r>
            <w:bookmarkStart w:id="291" w:name="_9kR3WTr277DIJhKgx3kt2y4MUR9DSD4ADzitC4C"/>
            <w:r w:rsidRPr="008D6A63">
              <w:rPr>
                <w:rFonts w:cs="Arial"/>
              </w:rPr>
              <w:t>Regulation 57(1) or (2) of the Public Contracts Regulations 2015</w:t>
            </w:r>
            <w:bookmarkEnd w:id="291"/>
            <w:r w:rsidRPr="008D6A63">
              <w:rPr>
                <w:rFonts w:cs="Arial"/>
              </w:rPr>
              <w:t xml:space="preserve"> from the procurement procedure leading to the award of this Contract; </w:t>
            </w:r>
          </w:p>
          <w:p w14:paraId="053D3643" w14:textId="77777777" w:rsidR="00F67E9E" w:rsidRPr="008D6A63" w:rsidRDefault="00F67E9E" w:rsidP="00F67E9E">
            <w:pPr>
              <w:pStyle w:val="DefinitionList"/>
              <w:numPr>
                <w:ilvl w:val="0"/>
                <w:numId w:val="108"/>
              </w:numPr>
              <w:rPr>
                <w:rFonts w:cs="Arial"/>
              </w:rPr>
            </w:pPr>
            <w:r w:rsidRPr="008D6A63">
              <w:rPr>
                <w:rFonts w:cs="Arial"/>
              </w:rPr>
              <w:t xml:space="preserve">a failure by the Supplier to comply in the performance of the Services with legal obligations in the fields of environmental, social or labour law; </w:t>
            </w:r>
          </w:p>
          <w:p w14:paraId="18575467" w14:textId="0B75B0B0" w:rsidR="00F67E9E" w:rsidRPr="008D6A63" w:rsidRDefault="00F67E9E" w:rsidP="00F67E9E">
            <w:pPr>
              <w:pStyle w:val="DefinitionList"/>
              <w:numPr>
                <w:ilvl w:val="0"/>
                <w:numId w:val="108"/>
              </w:numPr>
              <w:rPr>
                <w:rFonts w:cs="Arial"/>
              </w:rPr>
            </w:pPr>
            <w:r w:rsidRPr="008D6A63">
              <w:rPr>
                <w:rFonts w:cs="Arial"/>
              </w:rPr>
              <w:t xml:space="preserve">in relation to </w:t>
            </w:r>
            <w:r>
              <w:rPr>
                <w:rFonts w:cs="Arial"/>
              </w:rPr>
              <w:fldChar w:fldCharType="begin"/>
            </w:r>
            <w:r>
              <w:rPr>
                <w:rFonts w:cs="Arial"/>
              </w:rPr>
              <w:instrText xml:space="preserve"> REF Schedule5 \h </w:instrText>
            </w:r>
            <w:r>
              <w:rPr>
                <w:rFonts w:cs="Arial"/>
              </w:rPr>
            </w:r>
            <w:r>
              <w:rPr>
                <w:rFonts w:cs="Arial"/>
              </w:rPr>
              <w:fldChar w:fldCharType="separate"/>
            </w:r>
            <w:r w:rsidR="00302D39" w:rsidRPr="005D0525">
              <w:t>Schedule</w:t>
            </w:r>
            <w:r w:rsidR="00302D39">
              <w:t> </w:t>
            </w:r>
            <w:r w:rsidR="00302D39" w:rsidRPr="005D0525">
              <w:t>5</w:t>
            </w:r>
            <w:r>
              <w:rPr>
                <w:rFonts w:cs="Arial"/>
              </w:rPr>
              <w:fldChar w:fldCharType="end"/>
            </w:r>
            <w:r>
              <w:rPr>
                <w:rFonts w:cs="Arial"/>
              </w:rPr>
              <w:t xml:space="preserve"> (</w:t>
            </w:r>
            <w:r w:rsidRPr="00A22335">
              <w:rPr>
                <w:rFonts w:cs="Arial"/>
                <w:i/>
                <w:iCs/>
              </w:rPr>
              <w:fldChar w:fldCharType="begin"/>
            </w:r>
            <w:r w:rsidRPr="00A22335">
              <w:rPr>
                <w:rFonts w:cs="Arial"/>
                <w:i/>
                <w:iCs/>
              </w:rPr>
              <w:instrText xml:space="preserve"> REF Schedule5Heading \h </w:instrText>
            </w:r>
            <w:r>
              <w:rPr>
                <w:rFonts w:cs="Arial"/>
                <w:i/>
                <w:iCs/>
              </w:rPr>
              <w:instrText xml:space="preserve"> \* MERGEFORMAT </w:instrText>
            </w:r>
            <w:r w:rsidRPr="00A22335">
              <w:rPr>
                <w:rFonts w:cs="Arial"/>
                <w:i/>
                <w:iCs/>
              </w:rPr>
            </w:r>
            <w:r w:rsidRPr="00A22335">
              <w:rPr>
                <w:rFonts w:cs="Arial"/>
                <w:i/>
                <w:iCs/>
              </w:rPr>
              <w:fldChar w:fldCharType="separate"/>
            </w:r>
            <w:r w:rsidR="00302D39" w:rsidRPr="00302D39">
              <w:rPr>
                <w:i/>
                <w:iCs/>
              </w:rPr>
              <w:t>Security Management</w:t>
            </w:r>
            <w:r w:rsidRPr="00A22335">
              <w:rPr>
                <w:rFonts w:cs="Arial"/>
                <w:i/>
                <w:iCs/>
              </w:rPr>
              <w:fldChar w:fldCharType="end"/>
            </w:r>
            <w:r>
              <w:rPr>
                <w:rFonts w:cs="Arial"/>
              </w:rPr>
              <w:t>)</w:t>
            </w:r>
            <w:r w:rsidRPr="008D6A63">
              <w:rPr>
                <w:rFonts w:cs="Arial"/>
              </w:rPr>
              <w:t>:</w:t>
            </w:r>
          </w:p>
          <w:p w14:paraId="694D9F66" w14:textId="3EC086A7" w:rsidR="00F67E9E" w:rsidRPr="008D6A63" w:rsidRDefault="00F67E9E" w:rsidP="00F67E9E">
            <w:pPr>
              <w:pStyle w:val="DefinitionListLevel1"/>
              <w:numPr>
                <w:ilvl w:val="1"/>
                <w:numId w:val="108"/>
              </w:numPr>
              <w:rPr>
                <w:rFonts w:cs="Arial"/>
              </w:rPr>
            </w:pPr>
            <w:r w:rsidRPr="008D6A63">
              <w:rPr>
                <w:rFonts w:cs="Arial"/>
              </w:rPr>
              <w:t xml:space="preserve">the Authority has issued two rejection notices in respect of the Security Management Plan under </w:t>
            </w:r>
            <w:r w:rsidRPr="001C4B30">
              <w:rPr>
                <w:rFonts w:cs="Arial"/>
                <w:highlight w:val="yellow"/>
              </w:rPr>
              <w:t>[</w:t>
            </w:r>
            <w:bookmarkStart w:id="292" w:name="_9kR3WTr2CC57BaEnoewrqyEQP"/>
            <w:r w:rsidRPr="001C4B30">
              <w:rPr>
                <w:rFonts w:cs="Arial"/>
                <w:highlight w:val="yellow"/>
              </w:rPr>
              <w:t xml:space="preserve">Paragraph </w:t>
            </w:r>
            <w:bookmarkEnd w:id="292"/>
            <w:r w:rsidRPr="001C4B30">
              <w:rPr>
                <w:rFonts w:cs="Arial"/>
                <w:highlight w:val="yellow"/>
              </w:rPr>
              <w:fldChar w:fldCharType="begin"/>
            </w:r>
            <w:r w:rsidRPr="001C4B30">
              <w:rPr>
                <w:rFonts w:cs="Arial"/>
                <w:highlight w:val="yellow"/>
              </w:rPr>
              <w:instrText xml:space="preserve"> REF _Ref44572098 \r \h  \* MERGEFORMAT </w:instrText>
            </w:r>
            <w:r w:rsidRPr="001C4B30">
              <w:rPr>
                <w:rFonts w:cs="Arial"/>
                <w:highlight w:val="yellow"/>
              </w:rPr>
            </w:r>
            <w:r w:rsidRPr="001C4B30">
              <w:rPr>
                <w:rFonts w:cs="Arial"/>
                <w:highlight w:val="yellow"/>
              </w:rPr>
              <w:fldChar w:fldCharType="separate"/>
            </w:r>
            <w:r w:rsidR="00302D39">
              <w:rPr>
                <w:rFonts w:cs="Arial"/>
                <w:highlight w:val="yellow"/>
              </w:rPr>
              <w:t>4.5.2</w:t>
            </w:r>
            <w:r w:rsidRPr="001C4B30">
              <w:rPr>
                <w:rFonts w:cs="Arial"/>
                <w:highlight w:val="yellow"/>
              </w:rPr>
              <w:fldChar w:fldCharType="end"/>
            </w:r>
            <w:r w:rsidRPr="001C4B30">
              <w:rPr>
                <w:rFonts w:cs="Arial"/>
                <w:highlight w:val="yellow"/>
              </w:rPr>
              <w:t xml:space="preserve"> (</w:t>
            </w:r>
            <w:r w:rsidRPr="00CC45FB">
              <w:rPr>
                <w:rFonts w:cs="Arial"/>
                <w:b/>
                <w:bCs/>
                <w:highlight w:val="yellow"/>
              </w:rPr>
              <w:fldChar w:fldCharType="begin"/>
            </w:r>
            <w:r w:rsidRPr="00CC45FB">
              <w:rPr>
                <w:rFonts w:cs="Arial"/>
                <w:b/>
                <w:bCs/>
                <w:highlight w:val="yellow"/>
              </w:rPr>
              <w:instrText xml:space="preserve"> REF Sch5PartA \h  \* MERGEFORMAT </w:instrText>
            </w:r>
            <w:r w:rsidRPr="00CC45FB">
              <w:rPr>
                <w:rFonts w:cs="Arial"/>
                <w:b/>
                <w:bCs/>
                <w:highlight w:val="yellow"/>
              </w:rPr>
            </w:r>
            <w:r w:rsidRPr="00CC45FB">
              <w:rPr>
                <w:rFonts w:cs="Arial"/>
                <w:b/>
                <w:bCs/>
                <w:highlight w:val="yellow"/>
              </w:rPr>
              <w:fldChar w:fldCharType="separate"/>
            </w:r>
            <w:r w:rsidR="00302D39" w:rsidRPr="00302D39">
              <w:rPr>
                <w:rStyle w:val="Heading2Char"/>
                <w:rFonts w:ascii="Arial" w:hAnsi="Arial" w:cs="Arial"/>
                <w:b w:val="0"/>
                <w:bCs w:val="0"/>
                <w:color w:val="auto"/>
                <w:sz w:val="24"/>
                <w:szCs w:val="24"/>
                <w:highlight w:val="yellow"/>
              </w:rPr>
              <w:t>Part A</w:t>
            </w:r>
            <w:r w:rsidRPr="00CC45FB">
              <w:rPr>
                <w:rFonts w:cs="Arial"/>
                <w:b/>
                <w:bCs/>
                <w:highlight w:val="yellow"/>
              </w:rPr>
              <w:fldChar w:fldCharType="end"/>
            </w:r>
            <w:r w:rsidRPr="001C4B30">
              <w:rPr>
                <w:rFonts w:cs="Arial"/>
                <w:highlight w:val="yellow"/>
              </w:rPr>
              <w:t xml:space="preserve">)/ </w:t>
            </w:r>
            <w:bookmarkStart w:id="293" w:name="_9kR3WTr2CC57CbEnoewrqyGVS"/>
            <w:r w:rsidRPr="001C4B30">
              <w:rPr>
                <w:rFonts w:cs="Arial"/>
                <w:highlight w:val="yellow"/>
              </w:rPr>
              <w:t xml:space="preserve">Paragraph </w:t>
            </w:r>
            <w:bookmarkEnd w:id="293"/>
            <w:r w:rsidRPr="001C4B30">
              <w:rPr>
                <w:rFonts w:cs="Arial"/>
                <w:highlight w:val="yellow"/>
              </w:rPr>
              <w:fldChar w:fldCharType="begin"/>
            </w:r>
            <w:r w:rsidRPr="001C4B30">
              <w:rPr>
                <w:rFonts w:cs="Arial"/>
                <w:highlight w:val="yellow"/>
              </w:rPr>
              <w:instrText xml:space="preserve"> REF _Ref_ContractCompanion_9kb9Ur8A4 \r \h  \* MERGEFORMAT </w:instrText>
            </w:r>
            <w:r w:rsidRPr="001C4B30">
              <w:rPr>
                <w:rFonts w:cs="Arial"/>
                <w:highlight w:val="yellow"/>
              </w:rPr>
            </w:r>
            <w:r w:rsidRPr="001C4B30">
              <w:rPr>
                <w:rFonts w:cs="Arial"/>
                <w:highlight w:val="yellow"/>
              </w:rPr>
              <w:fldChar w:fldCharType="separate"/>
            </w:r>
            <w:r w:rsidR="00302D39">
              <w:rPr>
                <w:rFonts w:cs="Arial"/>
                <w:highlight w:val="yellow"/>
              </w:rPr>
              <w:t>6.8.2</w:t>
            </w:r>
            <w:r w:rsidRPr="001C4B30">
              <w:rPr>
                <w:rFonts w:cs="Arial"/>
                <w:highlight w:val="yellow"/>
              </w:rPr>
              <w:fldChar w:fldCharType="end"/>
            </w:r>
            <w:r w:rsidRPr="001C4B30">
              <w:rPr>
                <w:rFonts w:cs="Arial"/>
                <w:highlight w:val="yellow"/>
              </w:rPr>
              <w:t xml:space="preserve"> (</w:t>
            </w:r>
            <w:r w:rsidRPr="001C4B30">
              <w:rPr>
                <w:rFonts w:cs="Arial"/>
                <w:highlight w:val="yellow"/>
              </w:rPr>
              <w:fldChar w:fldCharType="begin"/>
            </w:r>
            <w:r w:rsidRPr="001C4B30">
              <w:rPr>
                <w:rFonts w:cs="Arial"/>
                <w:highlight w:val="yellow"/>
              </w:rPr>
              <w:instrText xml:space="preserve"> REF Sch5PartB \h  \* MERGEFORMAT </w:instrText>
            </w:r>
            <w:r w:rsidRPr="001C4B30">
              <w:rPr>
                <w:rFonts w:cs="Arial"/>
                <w:highlight w:val="yellow"/>
              </w:rPr>
            </w:r>
            <w:r w:rsidRPr="001C4B30">
              <w:rPr>
                <w:rFonts w:cs="Arial"/>
                <w:highlight w:val="yellow"/>
              </w:rPr>
              <w:fldChar w:fldCharType="separate"/>
            </w:r>
            <w:r w:rsidR="00302D39" w:rsidRPr="00302D39">
              <w:rPr>
                <w:rFonts w:cs="Arial"/>
                <w:highlight w:val="yellow"/>
              </w:rPr>
              <w:t>Part B</w:t>
            </w:r>
            <w:r w:rsidRPr="001C4B30">
              <w:rPr>
                <w:rFonts w:cs="Arial"/>
                <w:highlight w:val="yellow"/>
              </w:rPr>
              <w:fldChar w:fldCharType="end"/>
            </w:r>
            <w:r w:rsidRPr="001C4B30">
              <w:rPr>
                <w:rFonts w:cs="Arial"/>
                <w:highlight w:val="yellow"/>
              </w:rPr>
              <w:t>)]</w:t>
            </w:r>
            <w:r>
              <w:rPr>
                <w:rFonts w:cs="Arial"/>
              </w:rPr>
              <w:t>;</w:t>
            </w:r>
          </w:p>
          <w:p w14:paraId="61E8FDCB" w14:textId="77777777" w:rsidR="00F67E9E" w:rsidRPr="008D6A63" w:rsidRDefault="00F67E9E" w:rsidP="00F67E9E">
            <w:pPr>
              <w:pStyle w:val="DefinitionListLevel1"/>
              <w:numPr>
                <w:ilvl w:val="1"/>
                <w:numId w:val="108"/>
              </w:numPr>
              <w:rPr>
                <w:rFonts w:cs="Arial"/>
              </w:rPr>
            </w:pPr>
            <w:r w:rsidRPr="008D6A63">
              <w:rPr>
                <w:rFonts w:cs="Arial"/>
              </w:rPr>
              <w:t>the Supplier fails to implement a change required by the Required Changes Register in accordance with the timescales set out in the Required Changes Register;</w:t>
            </w:r>
          </w:p>
          <w:p w14:paraId="425D4A9C" w14:textId="77777777" w:rsidR="00F67E9E" w:rsidRPr="008D6A63" w:rsidRDefault="00F67E9E" w:rsidP="00F67E9E">
            <w:pPr>
              <w:pStyle w:val="DefinitionListLevel1"/>
              <w:numPr>
                <w:ilvl w:val="1"/>
                <w:numId w:val="108"/>
              </w:numPr>
              <w:rPr>
                <w:rFonts w:cs="Arial"/>
              </w:rPr>
            </w:pPr>
            <w:r w:rsidRPr="008D6A63">
              <w:rPr>
                <w:rFonts w:cs="Arial"/>
              </w:rPr>
              <w:t>Supplier COTS Software and Third Party COTS Software is not within mainstream support unless the Authority has agreed in writing</w:t>
            </w:r>
            <w:r>
              <w:rPr>
                <w:rFonts w:cs="Arial"/>
              </w:rPr>
              <w:t>;</w:t>
            </w:r>
          </w:p>
          <w:p w14:paraId="100411CD" w14:textId="7B9DCABC" w:rsidR="00F67E9E" w:rsidRPr="008D6A63" w:rsidRDefault="00F67E9E" w:rsidP="00F67E9E">
            <w:pPr>
              <w:pStyle w:val="DefinitionListLevel1"/>
              <w:numPr>
                <w:ilvl w:val="1"/>
                <w:numId w:val="108"/>
              </w:numPr>
              <w:rPr>
                <w:rFonts w:cs="Arial"/>
              </w:rPr>
            </w:pPr>
            <w:r w:rsidRPr="008D6A63">
              <w:rPr>
                <w:rFonts w:cs="Arial"/>
              </w:rPr>
              <w:t>the Supplier fails to patch vulnerabilities in accordance with the Security Requirements</w:t>
            </w:r>
            <w:r>
              <w:t xml:space="preserve"> </w:t>
            </w:r>
            <w:r w:rsidRPr="00BA075B">
              <w:rPr>
                <w:rFonts w:cs="Arial"/>
              </w:rPr>
              <w:t xml:space="preserve">set out in the Annexes to </w:t>
            </w:r>
            <w:r>
              <w:rPr>
                <w:rFonts w:cs="Arial"/>
              </w:rPr>
              <w:fldChar w:fldCharType="begin"/>
            </w:r>
            <w:r>
              <w:rPr>
                <w:rFonts w:cs="Arial"/>
              </w:rPr>
              <w:instrText xml:space="preserve"> REF Schedule5 \h </w:instrText>
            </w:r>
            <w:r>
              <w:rPr>
                <w:rFonts w:cs="Arial"/>
              </w:rPr>
            </w:r>
            <w:r>
              <w:rPr>
                <w:rFonts w:cs="Arial"/>
              </w:rPr>
              <w:fldChar w:fldCharType="separate"/>
            </w:r>
            <w:r w:rsidR="00302D39" w:rsidRPr="005D0525">
              <w:t>Schedule</w:t>
            </w:r>
            <w:r w:rsidR="00302D39">
              <w:t> </w:t>
            </w:r>
            <w:r w:rsidR="00302D39" w:rsidRPr="005D0525">
              <w:t>5</w:t>
            </w:r>
            <w:r>
              <w:rPr>
                <w:rFonts w:cs="Arial"/>
              </w:rPr>
              <w:fldChar w:fldCharType="end"/>
            </w:r>
            <w:r w:rsidRPr="00BA075B">
              <w:rPr>
                <w:rFonts w:cs="Arial"/>
              </w:rPr>
              <w:t xml:space="preserve"> (</w:t>
            </w:r>
            <w:r w:rsidRPr="00A22335">
              <w:rPr>
                <w:rFonts w:cs="Arial"/>
                <w:i/>
                <w:iCs/>
              </w:rPr>
              <w:fldChar w:fldCharType="begin"/>
            </w:r>
            <w:r w:rsidRPr="00A22335">
              <w:rPr>
                <w:rFonts w:cs="Arial"/>
                <w:i/>
                <w:iCs/>
              </w:rPr>
              <w:instrText xml:space="preserve"> REF Schedule5Heading \h </w:instrText>
            </w:r>
            <w:r>
              <w:rPr>
                <w:rFonts w:cs="Arial"/>
                <w:i/>
                <w:iCs/>
              </w:rPr>
              <w:instrText xml:space="preserve"> \* MERGEFORMAT </w:instrText>
            </w:r>
            <w:r w:rsidRPr="00A22335">
              <w:rPr>
                <w:rFonts w:cs="Arial"/>
                <w:i/>
                <w:iCs/>
              </w:rPr>
            </w:r>
            <w:r w:rsidRPr="00A22335">
              <w:rPr>
                <w:rFonts w:cs="Arial"/>
                <w:i/>
                <w:iCs/>
              </w:rPr>
              <w:fldChar w:fldCharType="separate"/>
            </w:r>
            <w:r w:rsidR="00302D39" w:rsidRPr="00302D39">
              <w:rPr>
                <w:i/>
                <w:iCs/>
              </w:rPr>
              <w:t>Security Management</w:t>
            </w:r>
            <w:r w:rsidRPr="00A22335">
              <w:rPr>
                <w:rFonts w:cs="Arial"/>
                <w:i/>
                <w:iCs/>
              </w:rPr>
              <w:fldChar w:fldCharType="end"/>
            </w:r>
            <w:r w:rsidRPr="00E82D9F">
              <w:rPr>
                <w:rFonts w:cs="Arial"/>
              </w:rPr>
              <w:t>)</w:t>
            </w:r>
            <w:r w:rsidRPr="00BA075B">
              <w:rPr>
                <w:rFonts w:cs="Arial"/>
                <w:i/>
                <w:iCs/>
              </w:rPr>
              <w:t>;</w:t>
            </w:r>
            <w:r w:rsidRPr="008D6A63">
              <w:rPr>
                <w:rFonts w:cs="Arial"/>
              </w:rPr>
              <w:t xml:space="preserve"> and/or, </w:t>
            </w:r>
          </w:p>
          <w:p w14:paraId="072B91C2" w14:textId="77777777" w:rsidR="00F67E9E" w:rsidRPr="000F3E80" w:rsidRDefault="00F67E9E" w:rsidP="00E62DE6">
            <w:pPr>
              <w:pStyle w:val="DefinitionListLevel1"/>
              <w:numPr>
                <w:ilvl w:val="1"/>
                <w:numId w:val="108"/>
              </w:numPr>
              <w:rPr>
                <w:rFonts w:cs="Arial"/>
              </w:rPr>
            </w:pPr>
            <w:r w:rsidRPr="000F3E80">
              <w:rPr>
                <w:rFonts w:cs="Arial"/>
              </w:rPr>
              <w:t>the Supplier fails to comply with the Incident Management Process;</w:t>
            </w:r>
          </w:p>
          <w:p w14:paraId="73078363" w14:textId="5008A0CF" w:rsidR="000F3E80" w:rsidRDefault="000F3E80" w:rsidP="00F67E9E">
            <w:pPr>
              <w:pStyle w:val="DefinitionList"/>
              <w:numPr>
                <w:ilvl w:val="0"/>
                <w:numId w:val="108"/>
              </w:numPr>
            </w:pPr>
            <w:r>
              <w:t>the Supplier is in Material Default of any Joint Controller Agreement relating to the Contract;</w:t>
            </w:r>
          </w:p>
          <w:p w14:paraId="2D83805E" w14:textId="2E93B15A" w:rsidR="00F67E9E" w:rsidRDefault="00F67E9E" w:rsidP="00F67E9E">
            <w:pPr>
              <w:pStyle w:val="DefinitionList"/>
              <w:numPr>
                <w:ilvl w:val="0"/>
                <w:numId w:val="108"/>
              </w:numPr>
            </w:pPr>
            <w:r>
              <w:t>a Default that occurs and continues to occur on one or more occasions within 6 Months following the Authority serving a warning notice on the Supplier that it may terminate for persistent breach of the Contract; or</w:t>
            </w:r>
          </w:p>
          <w:p w14:paraId="28E0552A" w14:textId="77777777" w:rsidR="00F67E9E" w:rsidRPr="008D6A63" w:rsidRDefault="00F67E9E" w:rsidP="00F67E9E">
            <w:pPr>
              <w:pStyle w:val="DefinitionList"/>
              <w:numPr>
                <w:ilvl w:val="0"/>
                <w:numId w:val="108"/>
              </w:numPr>
            </w:pPr>
            <w:r>
              <w:t>the Supplier or its Affiliates embarrass or bring the Authority into disrepute or diminish the public trust in them;</w:t>
            </w:r>
          </w:p>
        </w:tc>
      </w:tr>
      <w:tr w:rsidR="00F67E9E" w:rsidRPr="00F55457" w14:paraId="01BA4EEB" w14:textId="77777777" w:rsidTr="007F74AA">
        <w:tc>
          <w:tcPr>
            <w:tcW w:w="2835" w:type="dxa"/>
          </w:tcPr>
          <w:p w14:paraId="69052EA9" w14:textId="77777777" w:rsidR="00F67E9E" w:rsidRPr="00AE7147" w:rsidRDefault="00F67E9E" w:rsidP="007F74AA">
            <w:pPr>
              <w:pStyle w:val="StdBodyTextBold"/>
              <w:rPr>
                <w:rFonts w:cs="Arial"/>
                <w:highlight w:val="yellow"/>
              </w:rPr>
            </w:pPr>
            <w:r w:rsidRPr="00AE7147">
              <w:rPr>
                <w:rFonts w:cs="Arial"/>
                <w:highlight w:val="yellow"/>
              </w:rPr>
              <w:t>[Optional: “Supply Chain Map”</w:t>
            </w:r>
          </w:p>
          <w:p w14:paraId="06DBEAF4" w14:textId="77777777" w:rsidR="00F67E9E" w:rsidRPr="00AE7147" w:rsidRDefault="00F67E9E" w:rsidP="007F74AA">
            <w:pPr>
              <w:pStyle w:val="StdBodyTextBold"/>
              <w:rPr>
                <w:rFonts w:cs="Arial"/>
                <w:iCs/>
              </w:rPr>
            </w:pPr>
            <w:r>
              <w:rPr>
                <w:i/>
                <w:highlight w:val="yellow"/>
              </w:rPr>
              <w:t>[Guidance note:</w:t>
            </w:r>
            <w:r w:rsidRPr="00EF5BA5">
              <w:rPr>
                <w:bCs/>
                <w:iCs/>
                <w:highlight w:val="yellow"/>
              </w:rPr>
              <w:t xml:space="preserve"> Include this definition if Optional Clause 33.8(n) is included in the Core Terms]</w:t>
            </w:r>
          </w:p>
        </w:tc>
        <w:tc>
          <w:tcPr>
            <w:tcW w:w="6803" w:type="dxa"/>
          </w:tcPr>
          <w:p w14:paraId="3DD15926" w14:textId="77777777" w:rsidR="00F67E9E" w:rsidRPr="00622BE6" w:rsidRDefault="00F67E9E" w:rsidP="007F74AA">
            <w:pPr>
              <w:pStyle w:val="StdBodyText"/>
              <w:rPr>
                <w:rFonts w:cs="Arial"/>
                <w:highlight w:val="yellow"/>
              </w:rPr>
            </w:pPr>
            <w:r w:rsidRPr="00622BE6">
              <w:rPr>
                <w:rFonts w:cs="Arial"/>
                <w:highlight w:val="yellow"/>
              </w:rPr>
              <w:t>means details of (i) the Supplier, (ii) all Subcontractors and (iii) any other entity that the Supplier is aware is in its supply chain that is not a Subcontractor, setting out at least:</w:t>
            </w:r>
          </w:p>
          <w:p w14:paraId="2355DDB9" w14:textId="77777777" w:rsidR="00F67E9E" w:rsidRPr="00DC4C80" w:rsidRDefault="00F67E9E" w:rsidP="007F74AA">
            <w:pPr>
              <w:pStyle w:val="DefinitionList"/>
              <w:numPr>
                <w:ilvl w:val="0"/>
                <w:numId w:val="98"/>
              </w:numPr>
              <w:rPr>
                <w:highlight w:val="yellow"/>
              </w:rPr>
            </w:pPr>
            <w:r w:rsidRPr="00DC4C80">
              <w:rPr>
                <w:highlight w:val="yellow"/>
              </w:rPr>
              <w:t>the name, registered office and company registration number of each entity in the supply chain;</w:t>
            </w:r>
          </w:p>
          <w:p w14:paraId="3027D0A9" w14:textId="77777777" w:rsidR="00F67E9E" w:rsidRPr="00622BE6" w:rsidRDefault="00F67E9E" w:rsidP="007F74AA">
            <w:pPr>
              <w:pStyle w:val="DefinitionList"/>
              <w:numPr>
                <w:ilvl w:val="0"/>
                <w:numId w:val="98"/>
              </w:numPr>
              <w:rPr>
                <w:rFonts w:cs="Arial"/>
                <w:highlight w:val="yellow"/>
              </w:rPr>
            </w:pPr>
            <w:r w:rsidRPr="00622BE6">
              <w:rPr>
                <w:rFonts w:cs="Arial"/>
                <w:highlight w:val="yellow"/>
              </w:rPr>
              <w:t>the function of each entity in the supply chain; and</w:t>
            </w:r>
          </w:p>
          <w:p w14:paraId="027C9DB1" w14:textId="77777777" w:rsidR="00F67E9E" w:rsidRPr="009E4169" w:rsidRDefault="00F67E9E" w:rsidP="007F74AA">
            <w:pPr>
              <w:pStyle w:val="StdBodyText"/>
              <w:rPr>
                <w:rFonts w:cs="Arial"/>
              </w:rPr>
            </w:pPr>
            <w:r w:rsidRPr="00622BE6">
              <w:rPr>
                <w:rFonts w:cs="Arial"/>
                <w:highlight w:val="yellow"/>
              </w:rPr>
              <w:t>the location of any premises at which an entity in the supply chain carries out a function in the supply chain;</w:t>
            </w:r>
            <w:r w:rsidRPr="009E4169">
              <w:rPr>
                <w:rFonts w:cs="Arial"/>
              </w:rPr>
              <w:t>]</w:t>
            </w:r>
          </w:p>
        </w:tc>
      </w:tr>
      <w:tr w:rsidR="00F67E9E" w:rsidRPr="00FC322D" w14:paraId="5ABE0CA0" w14:textId="77777777" w:rsidTr="007F74AA">
        <w:tc>
          <w:tcPr>
            <w:tcW w:w="2835" w:type="dxa"/>
          </w:tcPr>
          <w:p w14:paraId="63724904" w14:textId="77777777" w:rsidR="00F67E9E" w:rsidRPr="00FC322D" w:rsidRDefault="00F67E9E" w:rsidP="007F74AA">
            <w:pPr>
              <w:pStyle w:val="StdBodyTextBold"/>
              <w:rPr>
                <w:rFonts w:cs="Arial"/>
              </w:rPr>
            </w:pPr>
            <w:r>
              <w:rPr>
                <w:rFonts w:cs="Arial"/>
              </w:rPr>
              <w:t>“</w:t>
            </w:r>
            <w:r w:rsidRPr="00FC322D">
              <w:rPr>
                <w:rFonts w:cs="Arial"/>
              </w:rPr>
              <w:t>Supply Chain Transparency Report</w:t>
            </w:r>
            <w:r>
              <w:rPr>
                <w:rFonts w:cs="Arial"/>
              </w:rPr>
              <w:t>”</w:t>
            </w:r>
          </w:p>
        </w:tc>
        <w:tc>
          <w:tcPr>
            <w:tcW w:w="6803" w:type="dxa"/>
          </w:tcPr>
          <w:p w14:paraId="3267FF68" w14:textId="30AAF262" w:rsidR="00F67E9E" w:rsidRPr="00FC322D" w:rsidRDefault="00F67E9E" w:rsidP="007F74AA">
            <w:pPr>
              <w:pStyle w:val="StdBodyText"/>
              <w:rPr>
                <w:rFonts w:cs="Arial"/>
              </w:rPr>
            </w:pPr>
            <w:r w:rsidRPr="00FC322D">
              <w:rPr>
                <w:rFonts w:cs="Arial"/>
              </w:rPr>
              <w:t xml:space="preserve">means the report provided by the Supplier to the Authority in the form set out in Annex </w:t>
            </w:r>
            <w:r w:rsidRPr="00FC322D">
              <w:rPr>
                <w:rFonts w:cs="Arial"/>
              </w:rPr>
              <w:fldChar w:fldCharType="begin"/>
            </w:r>
            <w:r w:rsidRPr="00FC322D">
              <w:rPr>
                <w:rFonts w:cs="Arial"/>
              </w:rPr>
              <w:instrText xml:space="preserve"> REF ANNEX4_SCHEDULE24 \h </w:instrText>
            </w:r>
            <w:r>
              <w:rPr>
                <w:rFonts w:cs="Arial"/>
              </w:rPr>
              <w:instrText xml:space="preserve"> \* MERGEFORMAT </w:instrText>
            </w:r>
            <w:r w:rsidRPr="00FC322D">
              <w:rPr>
                <w:rFonts w:cs="Arial"/>
              </w:rPr>
            </w:r>
            <w:r w:rsidRPr="00FC322D">
              <w:rPr>
                <w:rFonts w:cs="Arial"/>
              </w:rPr>
              <w:fldChar w:fldCharType="separate"/>
            </w:r>
            <w:r w:rsidR="00302D39" w:rsidRPr="00302D39">
              <w:rPr>
                <w:rFonts w:cs="Arial"/>
              </w:rPr>
              <w:t>4</w:t>
            </w:r>
            <w:r w:rsidRPr="00FC322D">
              <w:rPr>
                <w:rFonts w:cs="Arial"/>
              </w:rPr>
              <w:fldChar w:fldCharType="end"/>
            </w:r>
            <w:r w:rsidRPr="00FC322D">
              <w:rPr>
                <w:rFonts w:cs="Arial"/>
              </w:rPr>
              <w:t xml:space="preserve"> of </w:t>
            </w:r>
            <w:r>
              <w:rPr>
                <w:rFonts w:cs="Arial"/>
              </w:rPr>
              <w:fldChar w:fldCharType="begin"/>
            </w:r>
            <w:r>
              <w:rPr>
                <w:rFonts w:cs="Arial"/>
              </w:rPr>
              <w:instrText xml:space="preserve"> REF Schedule24 \h </w:instrText>
            </w:r>
            <w:r>
              <w:rPr>
                <w:rFonts w:cs="Arial"/>
              </w:rPr>
            </w:r>
            <w:r>
              <w:rPr>
                <w:rFonts w:cs="Arial"/>
              </w:rPr>
              <w:fldChar w:fldCharType="separate"/>
            </w:r>
            <w:r w:rsidR="00302D39" w:rsidRPr="005D0525">
              <w:t>Schedule</w:t>
            </w:r>
            <w:r w:rsidR="00302D39">
              <w:t> </w:t>
            </w:r>
            <w:r w:rsidR="00302D39" w:rsidRPr="005D0525">
              <w:t>24</w:t>
            </w:r>
            <w:r>
              <w:rPr>
                <w:rFonts w:cs="Arial"/>
              </w:rPr>
              <w:fldChar w:fldCharType="end"/>
            </w:r>
            <w:r>
              <w:rPr>
                <w:rFonts w:cs="Arial"/>
              </w:rPr>
              <w:t xml:space="preserve"> (</w:t>
            </w:r>
            <w:r w:rsidRPr="00A22335">
              <w:rPr>
                <w:rFonts w:cs="Arial"/>
                <w:i/>
                <w:iCs/>
              </w:rPr>
              <w:fldChar w:fldCharType="begin"/>
            </w:r>
            <w:r w:rsidRPr="00A22335">
              <w:rPr>
                <w:rFonts w:cs="Arial"/>
                <w:i/>
                <w:iCs/>
              </w:rPr>
              <w:instrText xml:space="preserve"> REF Schedule24Heading \h </w:instrText>
            </w:r>
            <w:r>
              <w:rPr>
                <w:rFonts w:cs="Arial"/>
                <w:i/>
                <w:iCs/>
              </w:rPr>
              <w:instrText xml:space="preserve"> \* MERGEFORMAT </w:instrText>
            </w:r>
            <w:r w:rsidRPr="00A22335">
              <w:rPr>
                <w:rFonts w:cs="Arial"/>
                <w:i/>
                <w:iCs/>
              </w:rPr>
            </w:r>
            <w:r w:rsidRPr="00A22335">
              <w:rPr>
                <w:rFonts w:cs="Arial"/>
                <w:i/>
                <w:iCs/>
              </w:rPr>
              <w:fldChar w:fldCharType="separate"/>
            </w:r>
            <w:r w:rsidR="00302D39" w:rsidRPr="00302D39">
              <w:rPr>
                <w:i/>
                <w:iCs/>
              </w:rPr>
              <w:t>Reports and Records Provisions</w:t>
            </w:r>
            <w:r w:rsidRPr="00A22335">
              <w:rPr>
                <w:rFonts w:cs="Arial"/>
                <w:i/>
                <w:iCs/>
              </w:rPr>
              <w:fldChar w:fldCharType="end"/>
            </w:r>
            <w:r>
              <w:rPr>
                <w:rFonts w:cs="Arial"/>
              </w:rPr>
              <w:t>)</w:t>
            </w:r>
            <w:r w:rsidRPr="00FC322D">
              <w:rPr>
                <w:rFonts w:cs="Arial"/>
              </w:rPr>
              <w:t>;</w:t>
            </w:r>
          </w:p>
        </w:tc>
      </w:tr>
      <w:tr w:rsidR="00F67E9E" w:rsidRPr="00FC322D" w14:paraId="5FA3C07C" w14:textId="77777777" w:rsidTr="007F74AA">
        <w:tc>
          <w:tcPr>
            <w:tcW w:w="2835" w:type="dxa"/>
          </w:tcPr>
          <w:p w14:paraId="47F739C8" w14:textId="77777777" w:rsidR="00F67E9E" w:rsidRPr="00FC322D" w:rsidRDefault="00F67E9E" w:rsidP="007F74AA">
            <w:pPr>
              <w:pStyle w:val="StdBodyTextBold"/>
              <w:rPr>
                <w:rFonts w:cs="Arial"/>
              </w:rPr>
            </w:pPr>
            <w:r>
              <w:rPr>
                <w:rFonts w:cs="Arial"/>
              </w:rPr>
              <w:t>“</w:t>
            </w:r>
            <w:r w:rsidRPr="00FC322D">
              <w:rPr>
                <w:rFonts w:cs="Arial"/>
              </w:rPr>
              <w:t>Target Performance Level</w:t>
            </w:r>
            <w:r>
              <w:rPr>
                <w:rFonts w:cs="Arial"/>
              </w:rPr>
              <w:t>”</w:t>
            </w:r>
          </w:p>
        </w:tc>
        <w:tc>
          <w:tcPr>
            <w:tcW w:w="6803" w:type="dxa"/>
          </w:tcPr>
          <w:p w14:paraId="72707775" w14:textId="1F86F55C" w:rsidR="00F67E9E" w:rsidRPr="00FC322D" w:rsidRDefault="00F67E9E" w:rsidP="007F74AA">
            <w:pPr>
              <w:pStyle w:val="StdBodyText"/>
              <w:rPr>
                <w:rFonts w:cs="Arial"/>
              </w:rPr>
            </w:pPr>
            <w:r w:rsidRPr="00FC322D">
              <w:rPr>
                <w:rFonts w:cs="Arial"/>
              </w:rPr>
              <w:t xml:space="preserve">the minimum level of performance for a Performance Indicator which is required by the Authority, as set out against the relevant Performance Indicator in the tables in </w:t>
            </w:r>
            <w:r w:rsidRPr="00FC322D">
              <w:rPr>
                <w:rFonts w:cs="Arial"/>
              </w:rPr>
              <w:fldChar w:fldCharType="begin"/>
            </w:r>
            <w:r w:rsidRPr="00FC322D">
              <w:rPr>
                <w:rFonts w:cs="Arial"/>
              </w:rPr>
              <w:instrText xml:space="preserve"> REF ANNEX1_SCHEDULE3 \h  \* MERGEFORMAT </w:instrText>
            </w:r>
            <w:r w:rsidRPr="00FC322D">
              <w:rPr>
                <w:rFonts w:cs="Arial"/>
              </w:rPr>
            </w:r>
            <w:r w:rsidRPr="00FC322D">
              <w:rPr>
                <w:rFonts w:cs="Arial"/>
              </w:rPr>
              <w:fldChar w:fldCharType="separate"/>
            </w:r>
            <w:r w:rsidR="00302D39" w:rsidRPr="00302D39">
              <w:rPr>
                <w:rFonts w:cs="Arial"/>
              </w:rPr>
              <w:t>Annex 1</w:t>
            </w:r>
            <w:r w:rsidRPr="00FC322D">
              <w:rPr>
                <w:rFonts w:cs="Arial"/>
              </w:rPr>
              <w:fldChar w:fldCharType="end"/>
            </w:r>
            <w:r w:rsidRPr="00FC322D">
              <w:rPr>
                <w:rFonts w:cs="Arial"/>
              </w:rPr>
              <w:t xml:space="preserve"> of </w:t>
            </w:r>
            <w:r>
              <w:rPr>
                <w:rFonts w:cs="Arial"/>
              </w:rPr>
              <w:fldChar w:fldCharType="begin"/>
            </w:r>
            <w:r>
              <w:rPr>
                <w:rFonts w:cs="Arial"/>
              </w:rPr>
              <w:instrText xml:space="preserve"> REF Schedule3 \h </w:instrText>
            </w:r>
            <w:r>
              <w:rPr>
                <w:rFonts w:cs="Arial"/>
              </w:rPr>
            </w:r>
            <w:r>
              <w:rPr>
                <w:rFonts w:cs="Arial"/>
              </w:rPr>
              <w:fldChar w:fldCharType="separate"/>
            </w:r>
            <w:r w:rsidR="00302D39" w:rsidRPr="005D0525">
              <w:t>Schedule</w:t>
            </w:r>
            <w:r w:rsidR="00302D39">
              <w:t> </w:t>
            </w:r>
            <w:r w:rsidR="00302D39" w:rsidRPr="005D0525">
              <w:t>3</w:t>
            </w:r>
            <w:r>
              <w:rPr>
                <w:rFonts w:cs="Arial"/>
              </w:rPr>
              <w:fldChar w:fldCharType="end"/>
            </w:r>
            <w:r>
              <w:rPr>
                <w:rFonts w:cs="Arial"/>
              </w:rPr>
              <w:t xml:space="preserve"> (</w:t>
            </w:r>
            <w:r w:rsidRPr="00A22335">
              <w:rPr>
                <w:rFonts w:cs="Arial"/>
                <w:i/>
                <w:iCs/>
              </w:rPr>
              <w:fldChar w:fldCharType="begin"/>
            </w:r>
            <w:r w:rsidRPr="00A22335">
              <w:rPr>
                <w:rFonts w:cs="Arial"/>
                <w:i/>
                <w:iCs/>
              </w:rPr>
              <w:instrText xml:space="preserve"> REF Schedule3Heading \h </w:instrText>
            </w:r>
            <w:r>
              <w:rPr>
                <w:rFonts w:cs="Arial"/>
                <w:i/>
                <w:iCs/>
              </w:rPr>
              <w:instrText xml:space="preserve"> \* MERGEFORMAT </w:instrText>
            </w:r>
            <w:r w:rsidRPr="00A22335">
              <w:rPr>
                <w:rFonts w:cs="Arial"/>
                <w:i/>
                <w:iCs/>
              </w:rPr>
            </w:r>
            <w:r w:rsidRPr="00A22335">
              <w:rPr>
                <w:rFonts w:cs="Arial"/>
                <w:i/>
                <w:iCs/>
              </w:rPr>
              <w:fldChar w:fldCharType="separate"/>
            </w:r>
            <w:r w:rsidR="00302D39" w:rsidRPr="00302D39">
              <w:rPr>
                <w:i/>
                <w:iCs/>
              </w:rPr>
              <w:t>Performance Levels</w:t>
            </w:r>
            <w:r w:rsidRPr="00A22335">
              <w:rPr>
                <w:rFonts w:cs="Arial"/>
                <w:i/>
                <w:iCs/>
              </w:rPr>
              <w:fldChar w:fldCharType="end"/>
            </w:r>
            <w:r>
              <w:rPr>
                <w:rFonts w:cs="Arial"/>
              </w:rPr>
              <w:t>)</w:t>
            </w:r>
            <w:r w:rsidRPr="00FC322D">
              <w:rPr>
                <w:rFonts w:cs="Arial"/>
              </w:rPr>
              <w:t>;</w:t>
            </w:r>
          </w:p>
        </w:tc>
      </w:tr>
      <w:tr w:rsidR="00F67E9E" w:rsidRPr="00FC322D" w14:paraId="61A2FD6A" w14:textId="77777777" w:rsidTr="007F74AA">
        <w:tc>
          <w:tcPr>
            <w:tcW w:w="2835" w:type="dxa"/>
          </w:tcPr>
          <w:p w14:paraId="281C2DFD" w14:textId="77777777" w:rsidR="00F67E9E" w:rsidRPr="00FC322D" w:rsidRDefault="00F67E9E" w:rsidP="007F74AA">
            <w:pPr>
              <w:pStyle w:val="StdBodyTextBold"/>
              <w:rPr>
                <w:rFonts w:cs="Arial"/>
              </w:rPr>
            </w:pPr>
            <w:r>
              <w:rPr>
                <w:rFonts w:cs="Arial"/>
              </w:rPr>
              <w:t>“</w:t>
            </w:r>
            <w:r w:rsidRPr="00FC322D">
              <w:rPr>
                <w:rFonts w:cs="Arial"/>
              </w:rPr>
              <w:t>Term</w:t>
            </w:r>
            <w:r>
              <w:rPr>
                <w:rFonts w:cs="Arial"/>
              </w:rPr>
              <w:t>”</w:t>
            </w:r>
          </w:p>
        </w:tc>
        <w:tc>
          <w:tcPr>
            <w:tcW w:w="6803" w:type="dxa"/>
          </w:tcPr>
          <w:p w14:paraId="5C1D0DB0" w14:textId="77777777" w:rsidR="00F67E9E" w:rsidRPr="00FC322D" w:rsidRDefault="00F67E9E" w:rsidP="007F74AA">
            <w:pPr>
              <w:pStyle w:val="StdBodyText"/>
              <w:rPr>
                <w:rFonts w:cs="Arial"/>
              </w:rPr>
            </w:pPr>
            <w:r w:rsidRPr="00FC322D">
              <w:rPr>
                <w:rFonts w:cs="Arial"/>
              </w:rPr>
              <w:t>the period commencing on the Effective Date and ending on the expiry of the Initial Term or any Extension Period or on earlier termination of this Contract;</w:t>
            </w:r>
          </w:p>
        </w:tc>
      </w:tr>
      <w:tr w:rsidR="00F67E9E" w:rsidRPr="00FC322D" w14:paraId="4E60EE47" w14:textId="77777777" w:rsidTr="007F74AA">
        <w:tc>
          <w:tcPr>
            <w:tcW w:w="2835" w:type="dxa"/>
          </w:tcPr>
          <w:p w14:paraId="44E0BB9A" w14:textId="77777777" w:rsidR="00F67E9E" w:rsidRPr="00FC322D" w:rsidRDefault="00F67E9E" w:rsidP="007F74AA">
            <w:pPr>
              <w:pStyle w:val="StdBodyTextBold"/>
              <w:rPr>
                <w:rFonts w:cs="Arial"/>
              </w:rPr>
            </w:pPr>
            <w:r>
              <w:rPr>
                <w:rFonts w:cs="Arial"/>
              </w:rPr>
              <w:t>“</w:t>
            </w:r>
            <w:bookmarkStart w:id="294" w:name="_9kR3WTr2AADFAdMr0sunu3z5SSH89L4z2uglOJ3"/>
            <w:r w:rsidRPr="00FC322D">
              <w:rPr>
                <w:rFonts w:cs="Arial"/>
              </w:rPr>
              <w:t>Termination Assistance Notice</w:t>
            </w:r>
            <w:bookmarkEnd w:id="294"/>
            <w:r>
              <w:rPr>
                <w:rFonts w:cs="Arial"/>
              </w:rPr>
              <w:t>”</w:t>
            </w:r>
          </w:p>
        </w:tc>
        <w:tc>
          <w:tcPr>
            <w:tcW w:w="6803" w:type="dxa"/>
          </w:tcPr>
          <w:p w14:paraId="7C89D297" w14:textId="11BA9865" w:rsidR="00F67E9E" w:rsidRPr="00FC322D" w:rsidRDefault="00F67E9E" w:rsidP="007F74AA">
            <w:pPr>
              <w:pStyle w:val="StdBodyText"/>
              <w:rPr>
                <w:rFonts w:cs="Arial"/>
              </w:rPr>
            </w:pPr>
            <w:r w:rsidRPr="00FC322D">
              <w:rPr>
                <w:rFonts w:cs="Arial"/>
              </w:rPr>
              <w:t xml:space="preserve">has the meaning given in </w:t>
            </w:r>
            <w:bookmarkStart w:id="295" w:name="_9kR3WTr2CC57DcEnoewrqyFN"/>
            <w:r w:rsidRPr="00FC322D">
              <w:rPr>
                <w:rFonts w:cs="Arial"/>
              </w:rPr>
              <w:t xml:space="preserve">Paragraph </w:t>
            </w:r>
            <w:bookmarkEnd w:id="295"/>
            <w:r w:rsidRPr="00FC322D">
              <w:rPr>
                <w:rFonts w:cs="Arial"/>
              </w:rPr>
              <w:fldChar w:fldCharType="begin"/>
            </w:r>
            <w:r w:rsidRPr="00FC322D">
              <w:rPr>
                <w:rFonts w:cs="Arial"/>
              </w:rPr>
              <w:instrText xml:space="preserve"> REF _Ref44572429 \r \h  \* MERGEFORMAT </w:instrText>
            </w:r>
            <w:r w:rsidRPr="00FC322D">
              <w:rPr>
                <w:rFonts w:cs="Arial"/>
              </w:rPr>
            </w:r>
            <w:r w:rsidRPr="00FC322D">
              <w:rPr>
                <w:rFonts w:cs="Arial"/>
              </w:rPr>
              <w:fldChar w:fldCharType="separate"/>
            </w:r>
            <w:r w:rsidR="00302D39">
              <w:rPr>
                <w:rFonts w:cs="Arial"/>
              </w:rPr>
              <w:t>5</w:t>
            </w:r>
            <w:r w:rsidRPr="00FC322D">
              <w:rPr>
                <w:rFonts w:cs="Arial"/>
              </w:rPr>
              <w:fldChar w:fldCharType="end"/>
            </w:r>
            <w:r w:rsidRPr="00FC322D">
              <w:rPr>
                <w:rFonts w:cs="Arial"/>
              </w:rPr>
              <w:t xml:space="preserve"> of </w:t>
            </w:r>
            <w:r>
              <w:rPr>
                <w:rFonts w:cs="Arial"/>
              </w:rPr>
              <w:fldChar w:fldCharType="begin"/>
            </w:r>
            <w:r>
              <w:rPr>
                <w:rFonts w:cs="Arial"/>
              </w:rPr>
              <w:instrText xml:space="preserve"> REF Schedule25 \h </w:instrText>
            </w:r>
            <w:r>
              <w:rPr>
                <w:rFonts w:cs="Arial"/>
              </w:rPr>
            </w:r>
            <w:r>
              <w:rPr>
                <w:rFonts w:cs="Arial"/>
              </w:rPr>
              <w:fldChar w:fldCharType="separate"/>
            </w:r>
            <w:r w:rsidR="00302D39" w:rsidRPr="005D0525">
              <w:t>Schedule 25</w:t>
            </w:r>
            <w:r>
              <w:rPr>
                <w:rFonts w:cs="Arial"/>
              </w:rPr>
              <w:fldChar w:fldCharType="end"/>
            </w:r>
            <w:r>
              <w:rPr>
                <w:rFonts w:cs="Arial"/>
              </w:rPr>
              <w:t xml:space="preserve"> (</w:t>
            </w:r>
            <w:r w:rsidRPr="00A22335">
              <w:rPr>
                <w:rFonts w:cs="Arial"/>
                <w:i/>
                <w:iCs/>
              </w:rPr>
              <w:fldChar w:fldCharType="begin"/>
            </w:r>
            <w:r w:rsidRPr="00A22335">
              <w:rPr>
                <w:rFonts w:cs="Arial"/>
                <w:i/>
                <w:iCs/>
              </w:rPr>
              <w:instrText xml:space="preserve"> REF Schedule25Heading \h </w:instrText>
            </w:r>
            <w:r>
              <w:rPr>
                <w:rFonts w:cs="Arial"/>
                <w:i/>
                <w:iCs/>
              </w:rPr>
              <w:instrText xml:space="preserve"> \* MERGEFORMAT </w:instrText>
            </w:r>
            <w:r w:rsidRPr="00A22335">
              <w:rPr>
                <w:rFonts w:cs="Arial"/>
                <w:i/>
                <w:iCs/>
              </w:rPr>
            </w:r>
            <w:r w:rsidRPr="00A22335">
              <w:rPr>
                <w:rFonts w:cs="Arial"/>
                <w:i/>
                <w:iCs/>
              </w:rPr>
              <w:fldChar w:fldCharType="separate"/>
            </w:r>
            <w:r w:rsidR="00302D39" w:rsidRPr="00302D39">
              <w:rPr>
                <w:i/>
                <w:iCs/>
              </w:rPr>
              <w:t>Exit Management</w:t>
            </w:r>
            <w:r w:rsidRPr="00A22335">
              <w:rPr>
                <w:rFonts w:cs="Arial"/>
                <w:i/>
                <w:iCs/>
              </w:rPr>
              <w:fldChar w:fldCharType="end"/>
            </w:r>
            <w:r>
              <w:rPr>
                <w:rFonts w:cs="Arial"/>
              </w:rPr>
              <w:t>)</w:t>
            </w:r>
            <w:r w:rsidRPr="00FC322D">
              <w:rPr>
                <w:rFonts w:cs="Arial"/>
              </w:rPr>
              <w:t>;</w:t>
            </w:r>
          </w:p>
        </w:tc>
      </w:tr>
      <w:tr w:rsidR="00F67E9E" w:rsidRPr="00FC322D" w14:paraId="7170D78A" w14:textId="77777777" w:rsidTr="007F74AA">
        <w:tc>
          <w:tcPr>
            <w:tcW w:w="2835" w:type="dxa"/>
          </w:tcPr>
          <w:p w14:paraId="77A20AB5" w14:textId="77777777" w:rsidR="00F67E9E" w:rsidRPr="00FC322D" w:rsidRDefault="00F67E9E" w:rsidP="007F74AA">
            <w:pPr>
              <w:pStyle w:val="StdBodyTextBold"/>
              <w:rPr>
                <w:rFonts w:cs="Arial"/>
              </w:rPr>
            </w:pPr>
            <w:r>
              <w:rPr>
                <w:rFonts w:cs="Arial"/>
              </w:rPr>
              <w:t>“</w:t>
            </w:r>
            <w:r w:rsidRPr="00FC322D">
              <w:rPr>
                <w:rFonts w:cs="Arial"/>
              </w:rPr>
              <w:t>Termination Assistance Period</w:t>
            </w:r>
            <w:r>
              <w:rPr>
                <w:rFonts w:cs="Arial"/>
              </w:rPr>
              <w:t>”</w:t>
            </w:r>
          </w:p>
        </w:tc>
        <w:tc>
          <w:tcPr>
            <w:tcW w:w="6803" w:type="dxa"/>
          </w:tcPr>
          <w:p w14:paraId="1E81B7B2" w14:textId="11356240" w:rsidR="00F67E9E" w:rsidRPr="00FC322D" w:rsidRDefault="00F67E9E" w:rsidP="007F74AA">
            <w:pPr>
              <w:pStyle w:val="StdBodyText"/>
              <w:rPr>
                <w:rFonts w:cs="Arial"/>
              </w:rPr>
            </w:pPr>
            <w:r w:rsidRPr="00FC322D">
              <w:rPr>
                <w:rFonts w:cs="Arial"/>
              </w:rPr>
              <w:t xml:space="preserve">in relation to a </w:t>
            </w:r>
            <w:bookmarkStart w:id="296" w:name="_9kMHG5YVt4CCFHCfOt2uwpw517UUJABN614winQ"/>
            <w:r w:rsidRPr="00FC322D">
              <w:rPr>
                <w:rFonts w:cs="Arial"/>
              </w:rPr>
              <w:t>Termination Assistance Notice</w:t>
            </w:r>
            <w:bookmarkEnd w:id="296"/>
            <w:r w:rsidRPr="00FC322D">
              <w:rPr>
                <w:rFonts w:cs="Arial"/>
              </w:rPr>
              <w:t xml:space="preserve">, the period specified in the </w:t>
            </w:r>
            <w:bookmarkStart w:id="297" w:name="_9kMIH5YVt4CCFHCfOt2uwpw517UUJABN614winQ"/>
            <w:r w:rsidRPr="00FC322D">
              <w:rPr>
                <w:rFonts w:cs="Arial"/>
              </w:rPr>
              <w:t>Termination Assistance Notice</w:t>
            </w:r>
            <w:bookmarkEnd w:id="297"/>
            <w:r w:rsidRPr="00FC322D">
              <w:rPr>
                <w:rFonts w:cs="Arial"/>
              </w:rPr>
              <w:t xml:space="preserve"> for which the Supplier is required to provide the Termination Services as such period may be extended pursuant to </w:t>
            </w:r>
            <w:bookmarkStart w:id="298" w:name="_9kR3WTr2CC57EdEnoewrqyFO"/>
            <w:r w:rsidRPr="00FC322D">
              <w:rPr>
                <w:rFonts w:cs="Arial"/>
              </w:rPr>
              <w:t xml:space="preserve">Paragraph </w:t>
            </w:r>
            <w:bookmarkEnd w:id="298"/>
            <w:r w:rsidRPr="00FC322D">
              <w:rPr>
                <w:rFonts w:cs="Arial"/>
              </w:rPr>
              <w:fldChar w:fldCharType="begin"/>
            </w:r>
            <w:r w:rsidRPr="00FC322D">
              <w:rPr>
                <w:rFonts w:cs="Arial"/>
              </w:rPr>
              <w:instrText xml:space="preserve"> REF _Ref_ContractCompanion_9kb9Us8D7 \r \h  \* MERGEFORMAT </w:instrText>
            </w:r>
            <w:r w:rsidRPr="00FC322D">
              <w:rPr>
                <w:rFonts w:cs="Arial"/>
              </w:rPr>
            </w:r>
            <w:r w:rsidRPr="00FC322D">
              <w:rPr>
                <w:rFonts w:cs="Arial"/>
              </w:rPr>
              <w:fldChar w:fldCharType="separate"/>
            </w:r>
            <w:r w:rsidR="00302D39">
              <w:rPr>
                <w:rFonts w:cs="Arial"/>
              </w:rPr>
              <w:t>5.2</w:t>
            </w:r>
            <w:r w:rsidRPr="00FC322D">
              <w:rPr>
                <w:rFonts w:cs="Arial"/>
              </w:rPr>
              <w:fldChar w:fldCharType="end"/>
            </w:r>
            <w:r w:rsidRPr="00FC322D">
              <w:rPr>
                <w:rFonts w:cs="Arial"/>
              </w:rPr>
              <w:t xml:space="preserve"> of </w:t>
            </w:r>
            <w:r>
              <w:rPr>
                <w:rFonts w:cs="Arial"/>
              </w:rPr>
              <w:fldChar w:fldCharType="begin"/>
            </w:r>
            <w:r>
              <w:rPr>
                <w:rFonts w:cs="Arial"/>
              </w:rPr>
              <w:instrText xml:space="preserve"> REF Schedule25 \h </w:instrText>
            </w:r>
            <w:r>
              <w:rPr>
                <w:rFonts w:cs="Arial"/>
              </w:rPr>
            </w:r>
            <w:r>
              <w:rPr>
                <w:rFonts w:cs="Arial"/>
              </w:rPr>
              <w:fldChar w:fldCharType="separate"/>
            </w:r>
            <w:r w:rsidR="00302D39" w:rsidRPr="005D0525">
              <w:t>Schedule 25</w:t>
            </w:r>
            <w:r>
              <w:rPr>
                <w:rFonts w:cs="Arial"/>
              </w:rPr>
              <w:fldChar w:fldCharType="end"/>
            </w:r>
            <w:r>
              <w:rPr>
                <w:rFonts w:cs="Arial"/>
              </w:rPr>
              <w:t xml:space="preserve"> (</w:t>
            </w:r>
            <w:r w:rsidRPr="00A22335">
              <w:rPr>
                <w:rFonts w:cs="Arial"/>
                <w:i/>
                <w:iCs/>
              </w:rPr>
              <w:fldChar w:fldCharType="begin"/>
            </w:r>
            <w:r w:rsidRPr="00A22335">
              <w:rPr>
                <w:rFonts w:cs="Arial"/>
                <w:i/>
                <w:iCs/>
              </w:rPr>
              <w:instrText xml:space="preserve"> REF Schedule25Heading \h </w:instrText>
            </w:r>
            <w:r>
              <w:rPr>
                <w:rFonts w:cs="Arial"/>
                <w:i/>
                <w:iCs/>
              </w:rPr>
              <w:instrText xml:space="preserve"> \* MERGEFORMAT </w:instrText>
            </w:r>
            <w:r w:rsidRPr="00A22335">
              <w:rPr>
                <w:rFonts w:cs="Arial"/>
                <w:i/>
                <w:iCs/>
              </w:rPr>
            </w:r>
            <w:r w:rsidRPr="00A22335">
              <w:rPr>
                <w:rFonts w:cs="Arial"/>
                <w:i/>
                <w:iCs/>
              </w:rPr>
              <w:fldChar w:fldCharType="separate"/>
            </w:r>
            <w:r w:rsidR="00302D39" w:rsidRPr="00302D39">
              <w:rPr>
                <w:i/>
                <w:iCs/>
              </w:rPr>
              <w:t>Exit Management</w:t>
            </w:r>
            <w:r w:rsidRPr="00A22335">
              <w:rPr>
                <w:rFonts w:cs="Arial"/>
                <w:i/>
                <w:iCs/>
              </w:rPr>
              <w:fldChar w:fldCharType="end"/>
            </w:r>
            <w:r>
              <w:rPr>
                <w:rFonts w:cs="Arial"/>
              </w:rPr>
              <w:t>)</w:t>
            </w:r>
            <w:r w:rsidRPr="00FC322D">
              <w:rPr>
                <w:rFonts w:cs="Arial"/>
              </w:rPr>
              <w:t>;</w:t>
            </w:r>
          </w:p>
        </w:tc>
      </w:tr>
      <w:tr w:rsidR="00F67E9E" w:rsidRPr="00FC322D" w14:paraId="68F8594F" w14:textId="77777777" w:rsidTr="007F74AA">
        <w:tc>
          <w:tcPr>
            <w:tcW w:w="2835" w:type="dxa"/>
          </w:tcPr>
          <w:p w14:paraId="1109CBF6" w14:textId="77777777" w:rsidR="00F67E9E" w:rsidRPr="00FC322D" w:rsidRDefault="00F67E9E" w:rsidP="007F74AA">
            <w:pPr>
              <w:pStyle w:val="StdBodyTextBold"/>
              <w:rPr>
                <w:rFonts w:cs="Arial"/>
              </w:rPr>
            </w:pPr>
            <w:r>
              <w:rPr>
                <w:rFonts w:cs="Arial"/>
              </w:rPr>
              <w:t>“</w:t>
            </w:r>
            <w:r w:rsidRPr="00FC322D">
              <w:rPr>
                <w:rFonts w:cs="Arial"/>
              </w:rPr>
              <w:t>Termination Date</w:t>
            </w:r>
            <w:r>
              <w:rPr>
                <w:rFonts w:cs="Arial"/>
              </w:rPr>
              <w:t>”</w:t>
            </w:r>
          </w:p>
        </w:tc>
        <w:tc>
          <w:tcPr>
            <w:tcW w:w="6803" w:type="dxa"/>
          </w:tcPr>
          <w:p w14:paraId="3FE2558A" w14:textId="77777777" w:rsidR="00F67E9E" w:rsidRPr="00FC322D" w:rsidRDefault="00F67E9E" w:rsidP="007F74AA">
            <w:pPr>
              <w:pStyle w:val="StdBodyText"/>
              <w:rPr>
                <w:rFonts w:cs="Arial"/>
              </w:rPr>
            </w:pPr>
            <w:r w:rsidRPr="00FC322D">
              <w:rPr>
                <w:rFonts w:cs="Arial"/>
              </w:rPr>
              <w:t xml:space="preserve">the date set out in a </w:t>
            </w:r>
            <w:bookmarkStart w:id="299" w:name="_9kMH1I6ZWu5DDGICfPu3vxqx628ieHCwt"/>
            <w:r w:rsidRPr="00FC322D">
              <w:rPr>
                <w:rFonts w:cs="Arial"/>
              </w:rPr>
              <w:t>Termination Notice</w:t>
            </w:r>
            <w:bookmarkEnd w:id="299"/>
            <w:r w:rsidRPr="00FC322D">
              <w:rPr>
                <w:rFonts w:cs="Arial"/>
              </w:rPr>
              <w:t xml:space="preserve"> on which this Contract (or a part of it as the case may be) is to terminate;</w:t>
            </w:r>
          </w:p>
        </w:tc>
      </w:tr>
      <w:tr w:rsidR="00F67E9E" w:rsidRPr="00FC322D" w14:paraId="74F75615" w14:textId="77777777" w:rsidTr="007F74AA">
        <w:tc>
          <w:tcPr>
            <w:tcW w:w="2835" w:type="dxa"/>
          </w:tcPr>
          <w:p w14:paraId="1A872529" w14:textId="77777777" w:rsidR="00F67E9E" w:rsidRPr="00FC322D" w:rsidRDefault="00F67E9E" w:rsidP="007F74AA">
            <w:pPr>
              <w:pStyle w:val="StdBodyTextBold"/>
              <w:rPr>
                <w:rFonts w:cs="Arial"/>
              </w:rPr>
            </w:pPr>
            <w:r>
              <w:rPr>
                <w:rFonts w:cs="Arial"/>
              </w:rPr>
              <w:t>“</w:t>
            </w:r>
            <w:bookmarkStart w:id="300" w:name="_9kMH2J6ZWu5DDGICfPu3vxqx628ieHCwt"/>
            <w:r w:rsidRPr="00FC322D">
              <w:rPr>
                <w:rFonts w:cs="Arial"/>
              </w:rPr>
              <w:t>Termination Notice</w:t>
            </w:r>
            <w:bookmarkEnd w:id="300"/>
            <w:r>
              <w:rPr>
                <w:rFonts w:cs="Arial"/>
              </w:rPr>
              <w:t>”</w:t>
            </w:r>
          </w:p>
        </w:tc>
        <w:tc>
          <w:tcPr>
            <w:tcW w:w="6803" w:type="dxa"/>
          </w:tcPr>
          <w:p w14:paraId="4DA95A3B" w14:textId="77777777" w:rsidR="00F67E9E" w:rsidRPr="00FC322D" w:rsidRDefault="00F67E9E" w:rsidP="007F74AA">
            <w:pPr>
              <w:pStyle w:val="StdBodyText"/>
              <w:rPr>
                <w:rFonts w:cs="Arial"/>
              </w:rPr>
            </w:pPr>
            <w:r w:rsidRPr="00FC322D">
              <w:rPr>
                <w:rFonts w:cs="Arial"/>
              </w:rPr>
              <w:t>a written notice of termination given by one Party to the other, notifying the Party receiving the notice of the intention of the Party giving the notice to terminate this Contract (or any part thereof) on a specified date and setting out the grounds for termination;</w:t>
            </w:r>
          </w:p>
        </w:tc>
      </w:tr>
      <w:tr w:rsidR="00F67E9E" w:rsidRPr="00FC322D" w14:paraId="3AD17806" w14:textId="77777777" w:rsidTr="007F74AA">
        <w:tc>
          <w:tcPr>
            <w:tcW w:w="2835" w:type="dxa"/>
          </w:tcPr>
          <w:p w14:paraId="4FAE5CDD" w14:textId="77777777" w:rsidR="00F67E9E" w:rsidRPr="00FC322D" w:rsidRDefault="00F67E9E" w:rsidP="007F74AA">
            <w:pPr>
              <w:pStyle w:val="StdBodyTextBold"/>
              <w:rPr>
                <w:rFonts w:cs="Arial"/>
              </w:rPr>
            </w:pPr>
            <w:r>
              <w:rPr>
                <w:rFonts w:cs="Arial"/>
              </w:rPr>
              <w:t>“</w:t>
            </w:r>
            <w:r w:rsidRPr="00FC322D">
              <w:rPr>
                <w:rFonts w:cs="Arial"/>
              </w:rPr>
              <w:t>Termination Payment</w:t>
            </w:r>
            <w:r>
              <w:rPr>
                <w:rFonts w:cs="Arial"/>
              </w:rPr>
              <w:t>”</w:t>
            </w:r>
          </w:p>
        </w:tc>
        <w:tc>
          <w:tcPr>
            <w:tcW w:w="6803" w:type="dxa"/>
          </w:tcPr>
          <w:p w14:paraId="6F2D603A" w14:textId="5398D60C" w:rsidR="00F67E9E" w:rsidRPr="00FC322D" w:rsidRDefault="00F67E9E" w:rsidP="007F74AA">
            <w:pPr>
              <w:pStyle w:val="StdBodyText"/>
              <w:rPr>
                <w:rFonts w:cs="Arial"/>
              </w:rPr>
            </w:pPr>
            <w:r w:rsidRPr="00FC322D">
              <w:rPr>
                <w:rFonts w:cs="Arial"/>
              </w:rPr>
              <w:t xml:space="preserve">the payment determined in accordance with </w:t>
            </w:r>
            <w:r>
              <w:rPr>
                <w:rFonts w:cs="Arial"/>
              </w:rPr>
              <w:fldChar w:fldCharType="begin"/>
            </w:r>
            <w:r>
              <w:rPr>
                <w:rFonts w:cs="Arial"/>
              </w:rPr>
              <w:instrText xml:space="preserve"> REF Schedule16 \h </w:instrText>
            </w:r>
            <w:r>
              <w:rPr>
                <w:rFonts w:cs="Arial"/>
              </w:rPr>
            </w:r>
            <w:r>
              <w:rPr>
                <w:rFonts w:cs="Arial"/>
              </w:rPr>
              <w:fldChar w:fldCharType="separate"/>
            </w:r>
            <w:r w:rsidR="00302D39" w:rsidRPr="005D0525">
              <w:t>Schedule</w:t>
            </w:r>
            <w:r w:rsidR="00302D39">
              <w:t> </w:t>
            </w:r>
            <w:r w:rsidR="00302D39" w:rsidRPr="005D0525">
              <w:t>16</w:t>
            </w:r>
            <w:r>
              <w:rPr>
                <w:rFonts w:cs="Arial"/>
              </w:rPr>
              <w:fldChar w:fldCharType="end"/>
            </w:r>
            <w:r>
              <w:rPr>
                <w:rFonts w:cs="Arial"/>
              </w:rPr>
              <w:t xml:space="preserve"> (</w:t>
            </w:r>
            <w:r w:rsidRPr="00B91437">
              <w:rPr>
                <w:rFonts w:cs="Arial"/>
                <w:i/>
                <w:iCs/>
              </w:rPr>
              <w:fldChar w:fldCharType="begin"/>
            </w:r>
            <w:r w:rsidRPr="00B91437">
              <w:rPr>
                <w:rFonts w:cs="Arial"/>
                <w:i/>
                <w:iCs/>
              </w:rPr>
              <w:instrText xml:space="preserve"> REF Schedule16Heading \h </w:instrText>
            </w:r>
            <w:r>
              <w:rPr>
                <w:rFonts w:cs="Arial"/>
                <w:i/>
                <w:iCs/>
              </w:rPr>
              <w:instrText xml:space="preserve"> \* MERGEFORMAT </w:instrText>
            </w:r>
            <w:r w:rsidRPr="00B91437">
              <w:rPr>
                <w:rFonts w:cs="Arial"/>
                <w:i/>
                <w:iCs/>
              </w:rPr>
            </w:r>
            <w:r w:rsidRPr="00B91437">
              <w:rPr>
                <w:rFonts w:cs="Arial"/>
                <w:i/>
                <w:iCs/>
              </w:rPr>
              <w:fldChar w:fldCharType="separate"/>
            </w:r>
            <w:r w:rsidR="00302D39" w:rsidRPr="00302D39">
              <w:rPr>
                <w:i/>
                <w:iCs/>
              </w:rPr>
              <w:t>Payments on Termination</w:t>
            </w:r>
            <w:r w:rsidRPr="00B91437">
              <w:rPr>
                <w:rFonts w:cs="Arial"/>
                <w:i/>
                <w:iCs/>
              </w:rPr>
              <w:fldChar w:fldCharType="end"/>
            </w:r>
            <w:r>
              <w:rPr>
                <w:rFonts w:cs="Arial"/>
              </w:rPr>
              <w:t>)</w:t>
            </w:r>
            <w:r w:rsidRPr="00FC322D">
              <w:rPr>
                <w:rFonts w:cs="Arial"/>
              </w:rPr>
              <w:t>;</w:t>
            </w:r>
          </w:p>
        </w:tc>
      </w:tr>
      <w:tr w:rsidR="00F67E9E" w:rsidRPr="00FC322D" w14:paraId="3F8D016B" w14:textId="77777777" w:rsidTr="007F74AA">
        <w:tc>
          <w:tcPr>
            <w:tcW w:w="2835" w:type="dxa"/>
          </w:tcPr>
          <w:p w14:paraId="10F647D6" w14:textId="77777777" w:rsidR="00F67E9E" w:rsidRPr="00FC322D" w:rsidRDefault="00F67E9E" w:rsidP="007F74AA">
            <w:pPr>
              <w:pStyle w:val="StdBodyTextBold"/>
              <w:rPr>
                <w:rFonts w:cs="Arial"/>
              </w:rPr>
            </w:pPr>
            <w:r>
              <w:rPr>
                <w:rFonts w:cs="Arial"/>
              </w:rPr>
              <w:t>“</w:t>
            </w:r>
            <w:r w:rsidRPr="00FC322D">
              <w:rPr>
                <w:rFonts w:cs="Arial"/>
              </w:rPr>
              <w:t>Termination Services</w:t>
            </w:r>
            <w:r>
              <w:rPr>
                <w:rFonts w:cs="Arial"/>
              </w:rPr>
              <w:t>”</w:t>
            </w:r>
          </w:p>
        </w:tc>
        <w:tc>
          <w:tcPr>
            <w:tcW w:w="6803" w:type="dxa"/>
          </w:tcPr>
          <w:p w14:paraId="532EA56C" w14:textId="7585D5C7" w:rsidR="00F67E9E" w:rsidRPr="00FC322D" w:rsidRDefault="00F67E9E" w:rsidP="007F74AA">
            <w:pPr>
              <w:pStyle w:val="StdBodyText"/>
              <w:rPr>
                <w:rFonts w:cs="Arial"/>
              </w:rPr>
            </w:pPr>
            <w:r w:rsidRPr="00FC322D">
              <w:rPr>
                <w:rFonts w:cs="Arial"/>
              </w:rPr>
              <w:t xml:space="preserve">the services and activities to be performed by the Supplier pursuant to the Exit Plan, including those activities listed in Annex </w:t>
            </w:r>
            <w:r w:rsidRPr="00FC322D">
              <w:rPr>
                <w:rFonts w:cs="Arial"/>
              </w:rPr>
              <w:fldChar w:fldCharType="begin"/>
            </w:r>
            <w:r w:rsidRPr="00FC322D">
              <w:rPr>
                <w:rFonts w:cs="Arial"/>
              </w:rPr>
              <w:instrText xml:space="preserve"> REF ANNEX1_SCHEDULE25 \h </w:instrText>
            </w:r>
            <w:r>
              <w:rPr>
                <w:rFonts w:cs="Arial"/>
              </w:rPr>
              <w:instrText xml:space="preserve"> \* MERGEFORMAT </w:instrText>
            </w:r>
            <w:r w:rsidRPr="00FC322D">
              <w:rPr>
                <w:rFonts w:cs="Arial"/>
              </w:rPr>
            </w:r>
            <w:r w:rsidRPr="00FC322D">
              <w:rPr>
                <w:rFonts w:cs="Arial"/>
              </w:rPr>
              <w:fldChar w:fldCharType="separate"/>
            </w:r>
            <w:r w:rsidR="00302D39" w:rsidRPr="00302D39">
              <w:rPr>
                <w:rFonts w:cs="Arial"/>
              </w:rPr>
              <w:t>1</w:t>
            </w:r>
            <w:r w:rsidRPr="00FC322D">
              <w:rPr>
                <w:rFonts w:cs="Arial"/>
              </w:rPr>
              <w:fldChar w:fldCharType="end"/>
            </w:r>
            <w:r w:rsidRPr="00FC322D">
              <w:rPr>
                <w:rFonts w:cs="Arial"/>
              </w:rPr>
              <w:t xml:space="preserve"> of </w:t>
            </w:r>
            <w:r>
              <w:rPr>
                <w:rFonts w:cs="Arial"/>
              </w:rPr>
              <w:fldChar w:fldCharType="begin"/>
            </w:r>
            <w:r>
              <w:rPr>
                <w:rFonts w:cs="Arial"/>
              </w:rPr>
              <w:instrText xml:space="preserve"> REF Schedule25 \h </w:instrText>
            </w:r>
            <w:r>
              <w:rPr>
                <w:rFonts w:cs="Arial"/>
              </w:rPr>
            </w:r>
            <w:r>
              <w:rPr>
                <w:rFonts w:cs="Arial"/>
              </w:rPr>
              <w:fldChar w:fldCharType="separate"/>
            </w:r>
            <w:r w:rsidR="00302D39" w:rsidRPr="005D0525">
              <w:t>Schedule 25</w:t>
            </w:r>
            <w:r>
              <w:rPr>
                <w:rFonts w:cs="Arial"/>
              </w:rPr>
              <w:fldChar w:fldCharType="end"/>
            </w:r>
            <w:r>
              <w:rPr>
                <w:rFonts w:cs="Arial"/>
              </w:rPr>
              <w:t xml:space="preserve"> (</w:t>
            </w:r>
            <w:r w:rsidRPr="00A22335">
              <w:rPr>
                <w:rFonts w:cs="Arial"/>
                <w:i/>
                <w:iCs/>
              </w:rPr>
              <w:fldChar w:fldCharType="begin"/>
            </w:r>
            <w:r w:rsidRPr="00A22335">
              <w:rPr>
                <w:rFonts w:cs="Arial"/>
                <w:i/>
                <w:iCs/>
              </w:rPr>
              <w:instrText xml:space="preserve"> REF Schedule25Heading \h </w:instrText>
            </w:r>
            <w:r>
              <w:rPr>
                <w:rFonts w:cs="Arial"/>
                <w:i/>
                <w:iCs/>
              </w:rPr>
              <w:instrText xml:space="preserve"> \* MERGEFORMAT </w:instrText>
            </w:r>
            <w:r w:rsidRPr="00A22335">
              <w:rPr>
                <w:rFonts w:cs="Arial"/>
                <w:i/>
                <w:iCs/>
              </w:rPr>
            </w:r>
            <w:r w:rsidRPr="00A22335">
              <w:rPr>
                <w:rFonts w:cs="Arial"/>
                <w:i/>
                <w:iCs/>
              </w:rPr>
              <w:fldChar w:fldCharType="separate"/>
            </w:r>
            <w:r w:rsidR="00302D39" w:rsidRPr="00302D39">
              <w:rPr>
                <w:i/>
                <w:iCs/>
              </w:rPr>
              <w:t>Exit Management</w:t>
            </w:r>
            <w:r w:rsidRPr="00A22335">
              <w:rPr>
                <w:rFonts w:cs="Arial"/>
                <w:i/>
                <w:iCs/>
              </w:rPr>
              <w:fldChar w:fldCharType="end"/>
            </w:r>
            <w:r>
              <w:rPr>
                <w:rFonts w:cs="Arial"/>
              </w:rPr>
              <w:t>)</w:t>
            </w:r>
            <w:r w:rsidRPr="00FC322D">
              <w:rPr>
                <w:rFonts w:cs="Arial"/>
              </w:rPr>
              <w:t xml:space="preserve">, and any other services required pursuant to the </w:t>
            </w:r>
            <w:bookmarkStart w:id="301" w:name="_9kMJI5YVt4CCFHCfOt2uwpw517UUJABN614winQ"/>
            <w:r w:rsidRPr="00FC322D">
              <w:rPr>
                <w:rFonts w:cs="Arial"/>
              </w:rPr>
              <w:t>Termination Assistance Notice</w:t>
            </w:r>
            <w:bookmarkEnd w:id="301"/>
            <w:r w:rsidRPr="00FC322D">
              <w:rPr>
                <w:rFonts w:cs="Arial"/>
              </w:rPr>
              <w:t>;</w:t>
            </w:r>
          </w:p>
        </w:tc>
      </w:tr>
      <w:tr w:rsidR="00F67E9E" w:rsidRPr="00FC322D" w14:paraId="7C2CA9D7" w14:textId="77777777" w:rsidTr="007F74AA">
        <w:tc>
          <w:tcPr>
            <w:tcW w:w="2835" w:type="dxa"/>
          </w:tcPr>
          <w:p w14:paraId="1F7C2FE7" w14:textId="77777777" w:rsidR="00F67E9E" w:rsidRPr="00FC322D" w:rsidRDefault="00F67E9E" w:rsidP="007F74AA">
            <w:pPr>
              <w:pStyle w:val="StdBodyTextBold"/>
              <w:rPr>
                <w:rFonts w:cs="Arial"/>
              </w:rPr>
            </w:pPr>
            <w:r>
              <w:rPr>
                <w:rFonts w:cs="Arial"/>
              </w:rPr>
              <w:t>“</w:t>
            </w:r>
            <w:r w:rsidRPr="00FC322D">
              <w:rPr>
                <w:rFonts w:cs="Arial"/>
              </w:rPr>
              <w:t>Test Issues</w:t>
            </w:r>
            <w:r>
              <w:rPr>
                <w:rFonts w:cs="Arial"/>
              </w:rPr>
              <w:t>”</w:t>
            </w:r>
          </w:p>
        </w:tc>
        <w:tc>
          <w:tcPr>
            <w:tcW w:w="6803" w:type="dxa"/>
          </w:tcPr>
          <w:p w14:paraId="7A467613" w14:textId="4762D298" w:rsidR="00F67E9E" w:rsidRPr="00FC322D" w:rsidRDefault="00F67E9E" w:rsidP="007F74AA">
            <w:pPr>
              <w:pStyle w:val="StdBodyText"/>
              <w:rPr>
                <w:rFonts w:cs="Arial"/>
              </w:rPr>
            </w:pPr>
            <w:r w:rsidRPr="00FC322D">
              <w:rPr>
                <w:rFonts w:cs="Arial"/>
              </w:rPr>
              <w:t xml:space="preserve">has the meaning given in </w:t>
            </w:r>
            <w:r>
              <w:rPr>
                <w:rFonts w:cs="Arial"/>
              </w:rPr>
              <w:fldChar w:fldCharType="begin"/>
            </w:r>
            <w:r>
              <w:rPr>
                <w:rFonts w:cs="Arial"/>
              </w:rPr>
              <w:instrText xml:space="preserve"> REF Schedule14 \h </w:instrText>
            </w:r>
            <w:r>
              <w:rPr>
                <w:rFonts w:cs="Arial"/>
              </w:rPr>
            </w:r>
            <w:r>
              <w:rPr>
                <w:rFonts w:cs="Arial"/>
              </w:rPr>
              <w:fldChar w:fldCharType="separate"/>
            </w:r>
            <w:r w:rsidR="00302D39" w:rsidRPr="005D0525">
              <w:t>Schedule</w:t>
            </w:r>
            <w:r w:rsidR="00302D39">
              <w:t> </w:t>
            </w:r>
            <w:r w:rsidR="00302D39" w:rsidRPr="005D0525">
              <w:t>14</w:t>
            </w:r>
            <w:r>
              <w:rPr>
                <w:rFonts w:cs="Arial"/>
              </w:rPr>
              <w:fldChar w:fldCharType="end"/>
            </w:r>
            <w:r>
              <w:rPr>
                <w:rFonts w:cs="Arial"/>
              </w:rPr>
              <w:t xml:space="preserve"> (</w:t>
            </w:r>
            <w:r w:rsidRPr="00B91437">
              <w:rPr>
                <w:rFonts w:cs="Arial"/>
                <w:i/>
                <w:iCs/>
              </w:rPr>
              <w:fldChar w:fldCharType="begin"/>
            </w:r>
            <w:r w:rsidRPr="00B91437">
              <w:rPr>
                <w:rFonts w:cs="Arial"/>
                <w:i/>
                <w:iCs/>
              </w:rPr>
              <w:instrText xml:space="preserve"> REF Schedule14Heading \h </w:instrText>
            </w:r>
            <w:r>
              <w:rPr>
                <w:rFonts w:cs="Arial"/>
                <w:i/>
                <w:iCs/>
              </w:rPr>
              <w:instrText xml:space="preserve"> \* MERGEFORMAT </w:instrText>
            </w:r>
            <w:r w:rsidRPr="00B91437">
              <w:rPr>
                <w:rFonts w:cs="Arial"/>
                <w:i/>
                <w:iCs/>
              </w:rPr>
            </w:r>
            <w:r w:rsidRPr="00B91437">
              <w:rPr>
                <w:rFonts w:cs="Arial"/>
                <w:i/>
                <w:iCs/>
              </w:rPr>
              <w:fldChar w:fldCharType="separate"/>
            </w:r>
            <w:r w:rsidR="00302D39" w:rsidRPr="00302D39">
              <w:rPr>
                <w:i/>
                <w:iCs/>
              </w:rPr>
              <w:t>Testing Procedures</w:t>
            </w:r>
            <w:r w:rsidRPr="00B91437">
              <w:rPr>
                <w:rFonts w:cs="Arial"/>
                <w:i/>
                <w:iCs/>
              </w:rPr>
              <w:fldChar w:fldCharType="end"/>
            </w:r>
            <w:r>
              <w:rPr>
                <w:rFonts w:cs="Arial"/>
              </w:rPr>
              <w:t>)</w:t>
            </w:r>
            <w:r w:rsidRPr="00FC322D">
              <w:rPr>
                <w:rFonts w:cs="Arial"/>
              </w:rPr>
              <w:t>;</w:t>
            </w:r>
          </w:p>
        </w:tc>
      </w:tr>
      <w:tr w:rsidR="00F67E9E" w:rsidRPr="00FC322D" w14:paraId="762726E3" w14:textId="77777777" w:rsidTr="007F74AA">
        <w:tc>
          <w:tcPr>
            <w:tcW w:w="2835" w:type="dxa"/>
          </w:tcPr>
          <w:p w14:paraId="587C8F85" w14:textId="77777777" w:rsidR="00F67E9E" w:rsidRPr="00FC322D" w:rsidRDefault="00F67E9E" w:rsidP="007F74AA">
            <w:pPr>
              <w:pStyle w:val="StdBodyTextBold"/>
              <w:rPr>
                <w:rFonts w:cs="Arial"/>
              </w:rPr>
            </w:pPr>
            <w:r>
              <w:rPr>
                <w:rFonts w:cs="Arial"/>
              </w:rPr>
              <w:t>“</w:t>
            </w:r>
            <w:r w:rsidRPr="00FC322D">
              <w:rPr>
                <w:rFonts w:cs="Arial"/>
              </w:rPr>
              <w:t>Tests</w:t>
            </w:r>
            <w:r>
              <w:rPr>
                <w:rFonts w:cs="Arial"/>
              </w:rPr>
              <w:t>”</w:t>
            </w:r>
            <w:r w:rsidRPr="00FC322D">
              <w:rPr>
                <w:rFonts w:cs="Arial"/>
              </w:rPr>
              <w:t xml:space="preserve"> and </w:t>
            </w:r>
            <w:r>
              <w:rPr>
                <w:rFonts w:cs="Arial"/>
              </w:rPr>
              <w:t>“</w:t>
            </w:r>
            <w:r w:rsidRPr="00FC322D">
              <w:rPr>
                <w:rFonts w:cs="Arial"/>
              </w:rPr>
              <w:t>Testing</w:t>
            </w:r>
            <w:r>
              <w:rPr>
                <w:rFonts w:cs="Arial"/>
              </w:rPr>
              <w:t>”</w:t>
            </w:r>
          </w:p>
        </w:tc>
        <w:tc>
          <w:tcPr>
            <w:tcW w:w="6803" w:type="dxa"/>
          </w:tcPr>
          <w:p w14:paraId="3D9AC93E" w14:textId="726733BB" w:rsidR="00F67E9E" w:rsidRPr="00FC322D" w:rsidRDefault="00F67E9E" w:rsidP="007F74AA">
            <w:pPr>
              <w:pStyle w:val="StdBodyText"/>
              <w:rPr>
                <w:rFonts w:cs="Arial"/>
              </w:rPr>
            </w:pPr>
            <w:r w:rsidRPr="00FC322D">
              <w:rPr>
                <w:rFonts w:cs="Arial"/>
              </w:rPr>
              <w:t xml:space="preserve">any tests required to be carried out under this Contract, as further described in </w:t>
            </w:r>
            <w:r>
              <w:rPr>
                <w:rFonts w:cs="Arial"/>
              </w:rPr>
              <w:fldChar w:fldCharType="begin"/>
            </w:r>
            <w:r>
              <w:rPr>
                <w:rFonts w:cs="Arial"/>
              </w:rPr>
              <w:instrText xml:space="preserve"> REF Schedule14 \h </w:instrText>
            </w:r>
            <w:r>
              <w:rPr>
                <w:rFonts w:cs="Arial"/>
              </w:rPr>
            </w:r>
            <w:r>
              <w:rPr>
                <w:rFonts w:cs="Arial"/>
              </w:rPr>
              <w:fldChar w:fldCharType="separate"/>
            </w:r>
            <w:r w:rsidR="00302D39" w:rsidRPr="005D0525">
              <w:t>Schedule</w:t>
            </w:r>
            <w:r w:rsidR="00302D39">
              <w:t> </w:t>
            </w:r>
            <w:r w:rsidR="00302D39" w:rsidRPr="005D0525">
              <w:t>14</w:t>
            </w:r>
            <w:r>
              <w:rPr>
                <w:rFonts w:cs="Arial"/>
              </w:rPr>
              <w:fldChar w:fldCharType="end"/>
            </w:r>
            <w:r>
              <w:rPr>
                <w:rFonts w:cs="Arial"/>
              </w:rPr>
              <w:t xml:space="preserve"> (</w:t>
            </w:r>
            <w:r w:rsidRPr="00B91437">
              <w:rPr>
                <w:rFonts w:cs="Arial"/>
                <w:i/>
                <w:iCs/>
              </w:rPr>
              <w:fldChar w:fldCharType="begin"/>
            </w:r>
            <w:r w:rsidRPr="00B91437">
              <w:rPr>
                <w:rFonts w:cs="Arial"/>
                <w:i/>
                <w:iCs/>
              </w:rPr>
              <w:instrText xml:space="preserve"> REF Schedule14Heading \h </w:instrText>
            </w:r>
            <w:r>
              <w:rPr>
                <w:rFonts w:cs="Arial"/>
                <w:i/>
                <w:iCs/>
              </w:rPr>
              <w:instrText xml:space="preserve"> \* MERGEFORMAT </w:instrText>
            </w:r>
            <w:r w:rsidRPr="00B91437">
              <w:rPr>
                <w:rFonts w:cs="Arial"/>
                <w:i/>
                <w:iCs/>
              </w:rPr>
            </w:r>
            <w:r w:rsidRPr="00B91437">
              <w:rPr>
                <w:rFonts w:cs="Arial"/>
                <w:i/>
                <w:iCs/>
              </w:rPr>
              <w:fldChar w:fldCharType="separate"/>
            </w:r>
            <w:r w:rsidR="00302D39" w:rsidRPr="00302D39">
              <w:rPr>
                <w:i/>
                <w:iCs/>
              </w:rPr>
              <w:t>Testing Procedures</w:t>
            </w:r>
            <w:r w:rsidRPr="00B91437">
              <w:rPr>
                <w:rFonts w:cs="Arial"/>
                <w:i/>
                <w:iCs/>
              </w:rPr>
              <w:fldChar w:fldCharType="end"/>
            </w:r>
            <w:r>
              <w:rPr>
                <w:rFonts w:cs="Arial"/>
              </w:rPr>
              <w:t>)</w:t>
            </w:r>
            <w:r w:rsidRPr="00FC322D">
              <w:rPr>
                <w:rFonts w:cs="Arial"/>
              </w:rPr>
              <w:t xml:space="preserve"> and </w:t>
            </w:r>
            <w:r>
              <w:rPr>
                <w:rFonts w:cs="Arial"/>
              </w:rPr>
              <w:t>“</w:t>
            </w:r>
            <w:r w:rsidRPr="00FC322D">
              <w:rPr>
                <w:rStyle w:val="StdBodyTextBoldChar"/>
                <w:rFonts w:cs="Arial"/>
              </w:rPr>
              <w:t>Tested</w:t>
            </w:r>
            <w:r>
              <w:rPr>
                <w:rFonts w:cs="Arial"/>
              </w:rPr>
              <w:t>”</w:t>
            </w:r>
            <w:r w:rsidRPr="00FC322D">
              <w:rPr>
                <w:rFonts w:cs="Arial"/>
              </w:rPr>
              <w:t xml:space="preserve"> shall be construed accordingly;</w:t>
            </w:r>
          </w:p>
        </w:tc>
      </w:tr>
      <w:tr w:rsidR="00F67E9E" w:rsidRPr="00FC322D" w14:paraId="44153B99" w14:textId="77777777" w:rsidTr="007F74AA">
        <w:tc>
          <w:tcPr>
            <w:tcW w:w="2835" w:type="dxa"/>
          </w:tcPr>
          <w:p w14:paraId="570BCAB9" w14:textId="77777777" w:rsidR="00F67E9E" w:rsidRPr="00FC322D" w:rsidRDefault="00F67E9E" w:rsidP="007F74AA">
            <w:pPr>
              <w:pStyle w:val="StdBodyTextBold"/>
              <w:rPr>
                <w:rFonts w:cs="Arial"/>
              </w:rPr>
            </w:pPr>
            <w:r>
              <w:rPr>
                <w:rFonts w:cs="Arial"/>
              </w:rPr>
              <w:t>“</w:t>
            </w:r>
            <w:r w:rsidRPr="00FC322D">
              <w:rPr>
                <w:rFonts w:cs="Arial"/>
              </w:rPr>
              <w:t>Test Success Criteria</w:t>
            </w:r>
            <w:r>
              <w:rPr>
                <w:rFonts w:cs="Arial"/>
              </w:rPr>
              <w:t>”</w:t>
            </w:r>
          </w:p>
        </w:tc>
        <w:tc>
          <w:tcPr>
            <w:tcW w:w="6803" w:type="dxa"/>
          </w:tcPr>
          <w:p w14:paraId="7A6D0993" w14:textId="7753029B" w:rsidR="00F67E9E" w:rsidRPr="00FC322D" w:rsidRDefault="00F67E9E" w:rsidP="007F74AA">
            <w:pPr>
              <w:pStyle w:val="StdBodyText"/>
              <w:rPr>
                <w:rFonts w:cs="Arial"/>
              </w:rPr>
            </w:pPr>
            <w:r w:rsidRPr="00FC322D">
              <w:rPr>
                <w:rFonts w:cs="Arial"/>
              </w:rPr>
              <w:t xml:space="preserve">has the meaning given in </w:t>
            </w:r>
            <w:r>
              <w:rPr>
                <w:rFonts w:cs="Arial"/>
              </w:rPr>
              <w:fldChar w:fldCharType="begin"/>
            </w:r>
            <w:r>
              <w:rPr>
                <w:rFonts w:cs="Arial"/>
              </w:rPr>
              <w:instrText xml:space="preserve"> REF Schedule14 \h </w:instrText>
            </w:r>
            <w:r>
              <w:rPr>
                <w:rFonts w:cs="Arial"/>
              </w:rPr>
            </w:r>
            <w:r>
              <w:rPr>
                <w:rFonts w:cs="Arial"/>
              </w:rPr>
              <w:fldChar w:fldCharType="separate"/>
            </w:r>
            <w:r w:rsidR="00302D39" w:rsidRPr="005D0525">
              <w:t>Schedule</w:t>
            </w:r>
            <w:r w:rsidR="00302D39">
              <w:t> </w:t>
            </w:r>
            <w:r w:rsidR="00302D39" w:rsidRPr="005D0525">
              <w:t>14</w:t>
            </w:r>
            <w:r>
              <w:rPr>
                <w:rFonts w:cs="Arial"/>
              </w:rPr>
              <w:fldChar w:fldCharType="end"/>
            </w:r>
            <w:r>
              <w:rPr>
                <w:rFonts w:cs="Arial"/>
              </w:rPr>
              <w:t xml:space="preserve"> (</w:t>
            </w:r>
            <w:r w:rsidRPr="00B91437">
              <w:rPr>
                <w:rFonts w:cs="Arial"/>
                <w:i/>
                <w:iCs/>
              </w:rPr>
              <w:fldChar w:fldCharType="begin"/>
            </w:r>
            <w:r w:rsidRPr="00B91437">
              <w:rPr>
                <w:rFonts w:cs="Arial"/>
                <w:i/>
                <w:iCs/>
              </w:rPr>
              <w:instrText xml:space="preserve"> REF Schedule14Heading \h </w:instrText>
            </w:r>
            <w:r>
              <w:rPr>
                <w:rFonts w:cs="Arial"/>
                <w:i/>
                <w:iCs/>
              </w:rPr>
              <w:instrText xml:space="preserve"> \* MERGEFORMAT </w:instrText>
            </w:r>
            <w:r w:rsidRPr="00B91437">
              <w:rPr>
                <w:rFonts w:cs="Arial"/>
                <w:i/>
                <w:iCs/>
              </w:rPr>
            </w:r>
            <w:r w:rsidRPr="00B91437">
              <w:rPr>
                <w:rFonts w:cs="Arial"/>
                <w:i/>
                <w:iCs/>
              </w:rPr>
              <w:fldChar w:fldCharType="separate"/>
            </w:r>
            <w:r w:rsidR="00302D39" w:rsidRPr="00302D39">
              <w:rPr>
                <w:i/>
                <w:iCs/>
              </w:rPr>
              <w:t>Testing Procedures</w:t>
            </w:r>
            <w:r w:rsidRPr="00B91437">
              <w:rPr>
                <w:rFonts w:cs="Arial"/>
                <w:i/>
                <w:iCs/>
              </w:rPr>
              <w:fldChar w:fldCharType="end"/>
            </w:r>
            <w:r>
              <w:rPr>
                <w:rFonts w:cs="Arial"/>
              </w:rPr>
              <w:t>)</w:t>
            </w:r>
            <w:r w:rsidRPr="00FC322D">
              <w:rPr>
                <w:rFonts w:cs="Arial"/>
              </w:rPr>
              <w:t>;</w:t>
            </w:r>
          </w:p>
        </w:tc>
      </w:tr>
      <w:tr w:rsidR="00F67E9E" w:rsidRPr="00FC322D" w14:paraId="4986B4C0" w14:textId="77777777" w:rsidTr="007F74AA">
        <w:tc>
          <w:tcPr>
            <w:tcW w:w="2835" w:type="dxa"/>
          </w:tcPr>
          <w:p w14:paraId="7D9C2555" w14:textId="77777777" w:rsidR="00F67E9E" w:rsidRPr="00FC322D" w:rsidRDefault="00F67E9E" w:rsidP="007F74AA">
            <w:pPr>
              <w:pStyle w:val="StdBodyTextBold"/>
              <w:rPr>
                <w:rFonts w:cs="Arial"/>
              </w:rPr>
            </w:pPr>
            <w:r>
              <w:rPr>
                <w:rFonts w:cs="Arial"/>
              </w:rPr>
              <w:t>“</w:t>
            </w:r>
            <w:r w:rsidRPr="00FC322D">
              <w:rPr>
                <w:rFonts w:cs="Arial"/>
              </w:rPr>
              <w:t>Third Party Auditor</w:t>
            </w:r>
            <w:r>
              <w:rPr>
                <w:rFonts w:cs="Arial"/>
              </w:rPr>
              <w:t>”</w:t>
            </w:r>
          </w:p>
        </w:tc>
        <w:tc>
          <w:tcPr>
            <w:tcW w:w="6803" w:type="dxa"/>
          </w:tcPr>
          <w:p w14:paraId="6A513C64" w14:textId="66FD4662" w:rsidR="00F67E9E" w:rsidRPr="00FC322D" w:rsidRDefault="00F67E9E" w:rsidP="007F74AA">
            <w:pPr>
              <w:pStyle w:val="StdBodyText"/>
              <w:rPr>
                <w:rFonts w:cs="Arial"/>
              </w:rPr>
            </w:pPr>
            <w:r w:rsidRPr="00FC322D">
              <w:rPr>
                <w:rFonts w:cs="Arial"/>
              </w:rPr>
              <w:t xml:space="preserve">an independent third party auditor as appointed by the Authority from time to time to confirm the completeness and accuracy of information uploaded to the Virtual Library in accordance with the requirements outlined in </w:t>
            </w:r>
            <w:r>
              <w:rPr>
                <w:rFonts w:cs="Arial"/>
              </w:rPr>
              <w:fldChar w:fldCharType="begin"/>
            </w:r>
            <w:r>
              <w:rPr>
                <w:rFonts w:cs="Arial"/>
              </w:rPr>
              <w:instrText xml:space="preserve"> REF Schedule24 \h </w:instrText>
            </w:r>
            <w:r>
              <w:rPr>
                <w:rFonts w:cs="Arial"/>
              </w:rPr>
            </w:r>
            <w:r>
              <w:rPr>
                <w:rFonts w:cs="Arial"/>
              </w:rPr>
              <w:fldChar w:fldCharType="separate"/>
            </w:r>
            <w:r w:rsidR="00302D39" w:rsidRPr="005D0525">
              <w:t>Schedule</w:t>
            </w:r>
            <w:r w:rsidR="00302D39">
              <w:t> </w:t>
            </w:r>
            <w:r w:rsidR="00302D39" w:rsidRPr="005D0525">
              <w:t>24</w:t>
            </w:r>
            <w:r>
              <w:rPr>
                <w:rFonts w:cs="Arial"/>
              </w:rPr>
              <w:fldChar w:fldCharType="end"/>
            </w:r>
            <w:r>
              <w:rPr>
                <w:rFonts w:cs="Arial"/>
              </w:rPr>
              <w:t xml:space="preserve"> (</w:t>
            </w:r>
            <w:r w:rsidRPr="00A22335">
              <w:rPr>
                <w:rFonts w:cs="Arial"/>
                <w:i/>
                <w:iCs/>
              </w:rPr>
              <w:fldChar w:fldCharType="begin"/>
            </w:r>
            <w:r w:rsidRPr="00A22335">
              <w:rPr>
                <w:rFonts w:cs="Arial"/>
                <w:i/>
                <w:iCs/>
              </w:rPr>
              <w:instrText xml:space="preserve"> REF Schedule24Heading \h </w:instrText>
            </w:r>
            <w:r>
              <w:rPr>
                <w:rFonts w:cs="Arial"/>
                <w:i/>
                <w:iCs/>
              </w:rPr>
              <w:instrText xml:space="preserve"> \* MERGEFORMAT </w:instrText>
            </w:r>
            <w:r w:rsidRPr="00A22335">
              <w:rPr>
                <w:rFonts w:cs="Arial"/>
                <w:i/>
                <w:iCs/>
              </w:rPr>
            </w:r>
            <w:r w:rsidRPr="00A22335">
              <w:rPr>
                <w:rFonts w:cs="Arial"/>
                <w:i/>
                <w:iCs/>
              </w:rPr>
              <w:fldChar w:fldCharType="separate"/>
            </w:r>
            <w:r w:rsidR="00302D39" w:rsidRPr="00302D39">
              <w:rPr>
                <w:i/>
                <w:iCs/>
              </w:rPr>
              <w:t>Reports and Records Provisions</w:t>
            </w:r>
            <w:r w:rsidRPr="00A22335">
              <w:rPr>
                <w:rFonts w:cs="Arial"/>
                <w:i/>
                <w:iCs/>
              </w:rPr>
              <w:fldChar w:fldCharType="end"/>
            </w:r>
            <w:r>
              <w:rPr>
                <w:rFonts w:cs="Arial"/>
              </w:rPr>
              <w:t>)</w:t>
            </w:r>
            <w:r w:rsidRPr="00FC322D">
              <w:rPr>
                <w:rFonts w:cs="Arial"/>
              </w:rPr>
              <w:t>;</w:t>
            </w:r>
          </w:p>
        </w:tc>
      </w:tr>
      <w:tr w:rsidR="00F67E9E" w:rsidRPr="00FC322D" w14:paraId="53DEB0BA" w14:textId="77777777" w:rsidTr="007F74AA">
        <w:tc>
          <w:tcPr>
            <w:tcW w:w="2835" w:type="dxa"/>
          </w:tcPr>
          <w:p w14:paraId="4FD0FD38" w14:textId="77777777" w:rsidR="00F67E9E" w:rsidRPr="00FC322D" w:rsidRDefault="00F67E9E" w:rsidP="007F74AA">
            <w:pPr>
              <w:pStyle w:val="StdBodyTextBold"/>
              <w:rPr>
                <w:rFonts w:cs="Arial"/>
              </w:rPr>
            </w:pPr>
            <w:r>
              <w:rPr>
                <w:rFonts w:cs="Arial"/>
              </w:rPr>
              <w:t>“</w:t>
            </w:r>
            <w:r w:rsidRPr="00FC322D">
              <w:rPr>
                <w:rFonts w:cs="Arial"/>
              </w:rPr>
              <w:t>Third Party Beneficiary</w:t>
            </w:r>
            <w:r>
              <w:rPr>
                <w:rFonts w:cs="Arial"/>
              </w:rPr>
              <w:t>”</w:t>
            </w:r>
          </w:p>
        </w:tc>
        <w:tc>
          <w:tcPr>
            <w:tcW w:w="6803" w:type="dxa"/>
          </w:tcPr>
          <w:p w14:paraId="1F8F3486" w14:textId="77777777" w:rsidR="00F67E9E" w:rsidRPr="00FC322D" w:rsidRDefault="00F67E9E" w:rsidP="007F74AA">
            <w:pPr>
              <w:pStyle w:val="StdBodyText"/>
              <w:rPr>
                <w:rFonts w:cs="Arial"/>
              </w:rPr>
            </w:pPr>
            <w:r w:rsidRPr="00FC322D">
              <w:rPr>
                <w:rFonts w:cs="Arial"/>
              </w:rPr>
              <w:t xml:space="preserve">has the meaning given in </w:t>
            </w:r>
            <w:bookmarkStart w:id="302" w:name="_9kMJI5YVtCIAACBFHFgUmv99E9785BGI6VW1BUF"/>
            <w:bookmarkStart w:id="303" w:name="_9kMHG5YVtCJBACCGHFgUmv99E9785BGI6VW1BUF"/>
            <w:r w:rsidRPr="00FC322D">
              <w:rPr>
                <w:rFonts w:cs="Arial"/>
              </w:rPr>
              <w:t xml:space="preserve">Clause </w:t>
            </w:r>
            <w:bookmarkEnd w:id="302"/>
            <w:bookmarkEnd w:id="303"/>
            <w:r w:rsidRPr="00FC322D">
              <w:rPr>
                <w:rFonts w:cs="Arial"/>
              </w:rPr>
              <w:t>41.1 (</w:t>
            </w:r>
            <w:r w:rsidRPr="00F613BA">
              <w:rPr>
                <w:rFonts w:cs="Arial"/>
                <w:i/>
                <w:iCs/>
              </w:rPr>
              <w:t>Third Party Rights</w:t>
            </w:r>
            <w:r w:rsidRPr="00FC322D">
              <w:rPr>
                <w:rFonts w:cs="Arial"/>
              </w:rPr>
              <w:t>);</w:t>
            </w:r>
          </w:p>
        </w:tc>
      </w:tr>
      <w:tr w:rsidR="00F67E9E" w:rsidRPr="00FC322D" w14:paraId="747CA753" w14:textId="77777777" w:rsidTr="007F74AA">
        <w:tc>
          <w:tcPr>
            <w:tcW w:w="2835" w:type="dxa"/>
          </w:tcPr>
          <w:p w14:paraId="212EA451" w14:textId="77777777" w:rsidR="00F67E9E" w:rsidRPr="00FC322D" w:rsidRDefault="00F67E9E" w:rsidP="007F74AA">
            <w:pPr>
              <w:pStyle w:val="StdBodyTextBold"/>
              <w:rPr>
                <w:rFonts w:cs="Arial"/>
              </w:rPr>
            </w:pPr>
            <w:r>
              <w:rPr>
                <w:rFonts w:cs="Arial"/>
              </w:rPr>
              <w:t>“</w:t>
            </w:r>
            <w:r w:rsidRPr="00FC322D">
              <w:rPr>
                <w:rFonts w:cs="Arial"/>
              </w:rPr>
              <w:t>Third Party COTS IPRs</w:t>
            </w:r>
            <w:r>
              <w:rPr>
                <w:rFonts w:cs="Arial"/>
              </w:rPr>
              <w:t>”</w:t>
            </w:r>
          </w:p>
        </w:tc>
        <w:tc>
          <w:tcPr>
            <w:tcW w:w="6803" w:type="dxa"/>
          </w:tcPr>
          <w:p w14:paraId="15627B9D" w14:textId="77777777" w:rsidR="00F67E9E" w:rsidRPr="00FC322D" w:rsidRDefault="00F67E9E" w:rsidP="007F74AA">
            <w:pPr>
              <w:pStyle w:val="StdBodyText"/>
              <w:rPr>
                <w:rFonts w:cs="Arial"/>
              </w:rPr>
            </w:pPr>
            <w:r w:rsidRPr="00FC322D">
              <w:rPr>
                <w:rFonts w:cs="Arial"/>
              </w:rPr>
              <w:t>Third Party IPRs that:</w:t>
            </w:r>
          </w:p>
          <w:p w14:paraId="7E2CF4BF" w14:textId="77777777" w:rsidR="00F67E9E" w:rsidRPr="00FC322D" w:rsidRDefault="00F67E9E" w:rsidP="007F74AA">
            <w:pPr>
              <w:pStyle w:val="DefinitionList"/>
              <w:numPr>
                <w:ilvl w:val="0"/>
                <w:numId w:val="99"/>
              </w:numPr>
            </w:pPr>
            <w:r w:rsidRPr="00FC322D">
              <w:t>the supplier makes generally available commercially prior to the date of this Contract (whether by way of sale, lease or licence) on standard terms which are not typically negotiated by the supplier save as to price; and</w:t>
            </w:r>
          </w:p>
          <w:p w14:paraId="1DB644DD" w14:textId="77777777" w:rsidR="00F67E9E" w:rsidRPr="00FC322D" w:rsidRDefault="00F67E9E" w:rsidP="00F67E9E">
            <w:pPr>
              <w:pStyle w:val="DefinitionList"/>
              <w:numPr>
                <w:ilvl w:val="0"/>
                <w:numId w:val="108"/>
              </w:numPr>
              <w:rPr>
                <w:rFonts w:cs="Arial"/>
              </w:rPr>
            </w:pPr>
            <w:r w:rsidRPr="00FC322D">
              <w:rPr>
                <w:rFonts w:cs="Arial"/>
              </w:rPr>
              <w:t>has a Non-trivial Customer Base;</w:t>
            </w:r>
          </w:p>
        </w:tc>
      </w:tr>
      <w:tr w:rsidR="00F67E9E" w:rsidRPr="00FC322D" w14:paraId="3C3D1EEA" w14:textId="77777777" w:rsidTr="007F74AA">
        <w:tc>
          <w:tcPr>
            <w:tcW w:w="2835" w:type="dxa"/>
          </w:tcPr>
          <w:p w14:paraId="6D2C2192" w14:textId="77777777" w:rsidR="00F67E9E" w:rsidRPr="00FC322D" w:rsidRDefault="00F67E9E" w:rsidP="007F74AA">
            <w:pPr>
              <w:pStyle w:val="StdBodyTextBold"/>
              <w:rPr>
                <w:rFonts w:cs="Arial"/>
              </w:rPr>
            </w:pPr>
            <w:r>
              <w:rPr>
                <w:rFonts w:cs="Arial"/>
              </w:rPr>
              <w:t>“</w:t>
            </w:r>
            <w:r w:rsidRPr="00FC322D">
              <w:rPr>
                <w:rFonts w:cs="Arial"/>
              </w:rPr>
              <w:t>Third Party COTS Software</w:t>
            </w:r>
            <w:r>
              <w:rPr>
                <w:rFonts w:cs="Arial"/>
              </w:rPr>
              <w:t>”</w:t>
            </w:r>
          </w:p>
        </w:tc>
        <w:tc>
          <w:tcPr>
            <w:tcW w:w="6803" w:type="dxa"/>
          </w:tcPr>
          <w:p w14:paraId="5110D925" w14:textId="77777777" w:rsidR="00F67E9E" w:rsidRPr="00FC322D" w:rsidRDefault="00F67E9E" w:rsidP="007F74AA">
            <w:pPr>
              <w:pStyle w:val="StdBodyText"/>
              <w:rPr>
                <w:rFonts w:cs="Arial"/>
              </w:rPr>
            </w:pPr>
            <w:r w:rsidRPr="00FC322D">
              <w:rPr>
                <w:rFonts w:cs="Arial"/>
              </w:rPr>
              <w:t>Third Party Software (including open source software) that:</w:t>
            </w:r>
          </w:p>
          <w:p w14:paraId="0E674B11" w14:textId="77777777" w:rsidR="00F67E9E" w:rsidRPr="00FC322D" w:rsidRDefault="00F67E9E" w:rsidP="007F74AA">
            <w:pPr>
              <w:pStyle w:val="DefinitionList"/>
              <w:numPr>
                <w:ilvl w:val="0"/>
                <w:numId w:val="100"/>
              </w:numPr>
            </w:pPr>
            <w:r w:rsidRPr="00FC322D">
              <w:t>the supplier makes generally available commercially prior to the date of this Contract (whether by way of sale, lease or licence) on standard terms which are not typically negotiated by the supplier save as to price; and</w:t>
            </w:r>
          </w:p>
          <w:p w14:paraId="2BB790DC" w14:textId="77777777" w:rsidR="00F67E9E" w:rsidRPr="00FC322D" w:rsidRDefault="00F67E9E" w:rsidP="00F67E9E">
            <w:pPr>
              <w:pStyle w:val="DefinitionList"/>
              <w:numPr>
                <w:ilvl w:val="0"/>
                <w:numId w:val="108"/>
              </w:numPr>
              <w:rPr>
                <w:rFonts w:cs="Arial"/>
              </w:rPr>
            </w:pPr>
            <w:r w:rsidRPr="00FC322D">
              <w:rPr>
                <w:rFonts w:cs="Arial"/>
              </w:rPr>
              <w:t>has a Non-trivial Customer base;</w:t>
            </w:r>
          </w:p>
        </w:tc>
      </w:tr>
      <w:tr w:rsidR="00F67E9E" w:rsidRPr="00FC322D" w14:paraId="402454B4" w14:textId="77777777" w:rsidTr="007F74AA">
        <w:tc>
          <w:tcPr>
            <w:tcW w:w="2835" w:type="dxa"/>
          </w:tcPr>
          <w:p w14:paraId="0FD7CC6E" w14:textId="77777777" w:rsidR="00F67E9E" w:rsidRPr="00FC322D" w:rsidRDefault="00F67E9E" w:rsidP="007F74AA">
            <w:pPr>
              <w:pStyle w:val="StdBodyTextBold"/>
              <w:rPr>
                <w:rFonts w:cs="Arial"/>
              </w:rPr>
            </w:pPr>
            <w:r>
              <w:rPr>
                <w:rFonts w:cs="Arial"/>
              </w:rPr>
              <w:t>“</w:t>
            </w:r>
            <w:r w:rsidRPr="00FC322D">
              <w:rPr>
                <w:rFonts w:cs="Arial"/>
              </w:rPr>
              <w:t>Third Party IPRs</w:t>
            </w:r>
            <w:r>
              <w:rPr>
                <w:rFonts w:cs="Arial"/>
              </w:rPr>
              <w:t>”</w:t>
            </w:r>
          </w:p>
        </w:tc>
        <w:tc>
          <w:tcPr>
            <w:tcW w:w="6803" w:type="dxa"/>
          </w:tcPr>
          <w:p w14:paraId="64CA4E22" w14:textId="77777777" w:rsidR="00F67E9E" w:rsidRPr="00FC322D" w:rsidRDefault="00F67E9E" w:rsidP="007F74AA">
            <w:pPr>
              <w:pStyle w:val="StdBodyText"/>
              <w:rPr>
                <w:rFonts w:cs="Arial"/>
              </w:rPr>
            </w:pPr>
            <w:r w:rsidRPr="00FC322D">
              <w:rPr>
                <w:rFonts w:cs="Arial"/>
              </w:rPr>
              <w:t>Intellectual Property Rights owned by a third party, but excluding Intellectual Property Rights owned by the third party subsisting in any Third Party Software, which in any case is, will be or is proposed to be used by the Supplier for the purposes of providing the Services;</w:t>
            </w:r>
          </w:p>
        </w:tc>
      </w:tr>
      <w:tr w:rsidR="00F67E9E" w:rsidRPr="00FC322D" w14:paraId="62743E6B" w14:textId="77777777" w:rsidTr="007F74AA">
        <w:tc>
          <w:tcPr>
            <w:tcW w:w="2835" w:type="dxa"/>
          </w:tcPr>
          <w:p w14:paraId="4CD25BE0" w14:textId="77777777" w:rsidR="00F67E9E" w:rsidRPr="00FC322D" w:rsidRDefault="00F67E9E" w:rsidP="007F74AA">
            <w:pPr>
              <w:pStyle w:val="StdBodyTextBold"/>
              <w:rPr>
                <w:rFonts w:cs="Arial"/>
              </w:rPr>
            </w:pPr>
            <w:r>
              <w:rPr>
                <w:rFonts w:cs="Arial"/>
              </w:rPr>
              <w:t>“</w:t>
            </w:r>
            <w:r w:rsidRPr="00FC322D">
              <w:rPr>
                <w:rFonts w:cs="Arial"/>
              </w:rPr>
              <w:t>Third Party Non-COTS IPRs</w:t>
            </w:r>
            <w:r>
              <w:rPr>
                <w:rFonts w:cs="Arial"/>
              </w:rPr>
              <w:t>”</w:t>
            </w:r>
          </w:p>
        </w:tc>
        <w:tc>
          <w:tcPr>
            <w:tcW w:w="6803" w:type="dxa"/>
          </w:tcPr>
          <w:p w14:paraId="3D1B7C16" w14:textId="77777777" w:rsidR="00F67E9E" w:rsidRPr="00FC322D" w:rsidRDefault="00F67E9E" w:rsidP="007F74AA">
            <w:pPr>
              <w:pStyle w:val="StdBodyText"/>
              <w:rPr>
                <w:rFonts w:cs="Arial"/>
              </w:rPr>
            </w:pPr>
            <w:r w:rsidRPr="00FC322D">
              <w:rPr>
                <w:rFonts w:cs="Arial"/>
              </w:rPr>
              <w:t>Third Party IPRs that are not Third Party COTS IPRs;</w:t>
            </w:r>
          </w:p>
        </w:tc>
      </w:tr>
      <w:tr w:rsidR="00F67E9E" w:rsidRPr="00FC322D" w14:paraId="42043ED3" w14:textId="77777777" w:rsidTr="007F74AA">
        <w:tc>
          <w:tcPr>
            <w:tcW w:w="2835" w:type="dxa"/>
          </w:tcPr>
          <w:p w14:paraId="208B7454" w14:textId="77777777" w:rsidR="00F67E9E" w:rsidRPr="00FC322D" w:rsidRDefault="00F67E9E" w:rsidP="007F74AA">
            <w:pPr>
              <w:pStyle w:val="StdBodyTextBold"/>
              <w:rPr>
                <w:rFonts w:cs="Arial"/>
              </w:rPr>
            </w:pPr>
            <w:r>
              <w:rPr>
                <w:rFonts w:cs="Arial"/>
              </w:rPr>
              <w:t>“</w:t>
            </w:r>
            <w:r w:rsidRPr="00FC322D">
              <w:rPr>
                <w:rFonts w:cs="Arial"/>
              </w:rPr>
              <w:t>Third Party Non-COTS Software</w:t>
            </w:r>
            <w:r>
              <w:rPr>
                <w:rFonts w:cs="Arial"/>
              </w:rPr>
              <w:t>”</w:t>
            </w:r>
          </w:p>
        </w:tc>
        <w:tc>
          <w:tcPr>
            <w:tcW w:w="6803" w:type="dxa"/>
          </w:tcPr>
          <w:p w14:paraId="20FA6BBF" w14:textId="77777777" w:rsidR="00F67E9E" w:rsidRPr="00FC322D" w:rsidRDefault="00F67E9E" w:rsidP="007F74AA">
            <w:pPr>
              <w:pStyle w:val="StdBodyText"/>
              <w:rPr>
                <w:rFonts w:cs="Arial"/>
              </w:rPr>
            </w:pPr>
            <w:r w:rsidRPr="00FC322D">
              <w:rPr>
                <w:rFonts w:cs="Arial"/>
              </w:rPr>
              <w:t>Third Party Software that is not Third Party COTS Software;</w:t>
            </w:r>
          </w:p>
        </w:tc>
      </w:tr>
      <w:tr w:rsidR="00F67E9E" w:rsidRPr="00FC322D" w14:paraId="16F00FFF" w14:textId="77777777" w:rsidTr="007F74AA">
        <w:tc>
          <w:tcPr>
            <w:tcW w:w="2835" w:type="dxa"/>
          </w:tcPr>
          <w:p w14:paraId="37EB0696" w14:textId="77777777" w:rsidR="00F67E9E" w:rsidRPr="00FC322D" w:rsidRDefault="00F67E9E" w:rsidP="007F74AA">
            <w:pPr>
              <w:pStyle w:val="StdBodyTextBold"/>
              <w:rPr>
                <w:rFonts w:cs="Arial"/>
              </w:rPr>
            </w:pPr>
            <w:r>
              <w:rPr>
                <w:rFonts w:cs="Arial"/>
              </w:rPr>
              <w:t>“</w:t>
            </w:r>
            <w:r w:rsidRPr="00FC322D">
              <w:rPr>
                <w:rFonts w:cs="Arial"/>
              </w:rPr>
              <w:t>Third Party Provisions</w:t>
            </w:r>
            <w:r>
              <w:rPr>
                <w:rFonts w:cs="Arial"/>
              </w:rPr>
              <w:t>”</w:t>
            </w:r>
          </w:p>
        </w:tc>
        <w:tc>
          <w:tcPr>
            <w:tcW w:w="6803" w:type="dxa"/>
          </w:tcPr>
          <w:p w14:paraId="4E686B7A" w14:textId="77777777" w:rsidR="00F67E9E" w:rsidRPr="00FC322D" w:rsidRDefault="00F67E9E" w:rsidP="007F74AA">
            <w:pPr>
              <w:pStyle w:val="StdBodyText"/>
              <w:rPr>
                <w:rFonts w:cs="Arial"/>
              </w:rPr>
            </w:pPr>
            <w:r w:rsidRPr="00FC322D">
              <w:rPr>
                <w:rFonts w:cs="Arial"/>
              </w:rPr>
              <w:t xml:space="preserve">has the meaning given in </w:t>
            </w:r>
            <w:bookmarkStart w:id="304" w:name="_9kMKJ5YVtCIAACBFHFgUmv99E9785BGI6VW1BUF"/>
            <w:bookmarkStart w:id="305" w:name="_9kMIH5YVtCJBACCGHFgUmv99E9785BGI6VW1BUF"/>
            <w:r w:rsidRPr="00FC322D">
              <w:rPr>
                <w:rFonts w:cs="Arial"/>
              </w:rPr>
              <w:t xml:space="preserve">Clause </w:t>
            </w:r>
            <w:bookmarkEnd w:id="304"/>
            <w:bookmarkEnd w:id="305"/>
            <w:r w:rsidRPr="00FC322D">
              <w:rPr>
                <w:rFonts w:cs="Arial"/>
              </w:rPr>
              <w:t>41.1 (</w:t>
            </w:r>
            <w:r w:rsidRPr="00F613BA">
              <w:rPr>
                <w:rFonts w:cs="Arial"/>
                <w:i/>
                <w:iCs/>
              </w:rPr>
              <w:t>Third Party Rights</w:t>
            </w:r>
            <w:r w:rsidRPr="00FC322D">
              <w:rPr>
                <w:rFonts w:cs="Arial"/>
              </w:rPr>
              <w:t>);</w:t>
            </w:r>
          </w:p>
        </w:tc>
      </w:tr>
      <w:tr w:rsidR="00F67E9E" w:rsidRPr="00FC322D" w14:paraId="3796518D" w14:textId="77777777" w:rsidTr="007F74AA">
        <w:tc>
          <w:tcPr>
            <w:tcW w:w="2835" w:type="dxa"/>
          </w:tcPr>
          <w:p w14:paraId="12A279F7" w14:textId="77777777" w:rsidR="00F67E9E" w:rsidRPr="00FC322D" w:rsidRDefault="00F67E9E" w:rsidP="007F74AA">
            <w:pPr>
              <w:pStyle w:val="StdBodyTextBold"/>
              <w:rPr>
                <w:rFonts w:cs="Arial"/>
              </w:rPr>
            </w:pPr>
            <w:r>
              <w:rPr>
                <w:rFonts w:cs="Arial"/>
              </w:rPr>
              <w:t>“</w:t>
            </w:r>
            <w:r w:rsidRPr="00FC322D">
              <w:rPr>
                <w:rFonts w:cs="Arial"/>
              </w:rPr>
              <w:t>Third Party Software</w:t>
            </w:r>
            <w:r>
              <w:rPr>
                <w:rFonts w:cs="Arial"/>
              </w:rPr>
              <w:t>”</w:t>
            </w:r>
          </w:p>
        </w:tc>
        <w:tc>
          <w:tcPr>
            <w:tcW w:w="6803" w:type="dxa"/>
          </w:tcPr>
          <w:p w14:paraId="7E2DA16A" w14:textId="2248F01C" w:rsidR="00F67E9E" w:rsidRPr="00FC322D" w:rsidRDefault="00F67E9E" w:rsidP="007F74AA">
            <w:pPr>
              <w:pStyle w:val="StdBodyText"/>
              <w:rPr>
                <w:rFonts w:cs="Arial"/>
              </w:rPr>
            </w:pPr>
            <w:r w:rsidRPr="00FC322D">
              <w:rPr>
                <w:rFonts w:cs="Arial"/>
              </w:rPr>
              <w:t xml:space="preserve">software which is proprietary to any third party (other than an Affiliate of the Supplier) or any Open Source Software which in any case is, will be or is proposed to be used by the Supplier for the purposes of providing the Services, including the software specified as such in </w:t>
            </w:r>
            <w:r>
              <w:rPr>
                <w:rFonts w:cs="Arial"/>
              </w:rPr>
              <w:fldChar w:fldCharType="begin"/>
            </w:r>
            <w:r>
              <w:rPr>
                <w:rFonts w:cs="Arial"/>
              </w:rPr>
              <w:instrText xml:space="preserve"> REF Schedule12 \h </w:instrText>
            </w:r>
            <w:r>
              <w:rPr>
                <w:rFonts w:cs="Arial"/>
              </w:rPr>
            </w:r>
            <w:r>
              <w:rPr>
                <w:rFonts w:cs="Arial"/>
              </w:rPr>
              <w:fldChar w:fldCharType="separate"/>
            </w:r>
            <w:r w:rsidR="00302D39" w:rsidRPr="005D0525">
              <w:t>Schedule</w:t>
            </w:r>
            <w:r w:rsidR="00302D39">
              <w:t> </w:t>
            </w:r>
            <w:r w:rsidR="00302D39" w:rsidRPr="005D0525">
              <w:t>12</w:t>
            </w:r>
            <w:r>
              <w:rPr>
                <w:rFonts w:cs="Arial"/>
              </w:rPr>
              <w:fldChar w:fldCharType="end"/>
            </w:r>
            <w:r>
              <w:rPr>
                <w:rFonts w:cs="Arial"/>
              </w:rPr>
              <w:t xml:space="preserve"> (</w:t>
            </w:r>
            <w:r w:rsidRPr="00B91437">
              <w:rPr>
                <w:rFonts w:cs="Arial"/>
                <w:i/>
                <w:iCs/>
              </w:rPr>
              <w:fldChar w:fldCharType="begin"/>
            </w:r>
            <w:r w:rsidRPr="00B91437">
              <w:rPr>
                <w:rFonts w:cs="Arial"/>
                <w:i/>
                <w:iCs/>
              </w:rPr>
              <w:instrText xml:space="preserve"> REF Schedule12Heading \h </w:instrText>
            </w:r>
            <w:r>
              <w:rPr>
                <w:rFonts w:cs="Arial"/>
                <w:i/>
                <w:iCs/>
              </w:rPr>
              <w:instrText xml:space="preserve"> \* MERGEFORMAT </w:instrText>
            </w:r>
            <w:r w:rsidRPr="00B91437">
              <w:rPr>
                <w:rFonts w:cs="Arial"/>
                <w:i/>
                <w:iCs/>
              </w:rPr>
            </w:r>
            <w:r w:rsidRPr="00B91437">
              <w:rPr>
                <w:rFonts w:cs="Arial"/>
                <w:i/>
                <w:iCs/>
              </w:rPr>
              <w:fldChar w:fldCharType="separate"/>
            </w:r>
            <w:r w:rsidR="00302D39" w:rsidRPr="00302D39">
              <w:rPr>
                <w:i/>
                <w:iCs/>
              </w:rPr>
              <w:t>Software</w:t>
            </w:r>
            <w:r w:rsidRPr="00B91437">
              <w:rPr>
                <w:rFonts w:cs="Arial"/>
                <w:i/>
                <w:iCs/>
              </w:rPr>
              <w:fldChar w:fldCharType="end"/>
            </w:r>
            <w:r>
              <w:rPr>
                <w:rFonts w:cs="Arial"/>
              </w:rPr>
              <w:t>)</w:t>
            </w:r>
            <w:r w:rsidRPr="00FC322D">
              <w:rPr>
                <w:rFonts w:cs="Arial"/>
              </w:rPr>
              <w:t>;</w:t>
            </w:r>
          </w:p>
        </w:tc>
      </w:tr>
      <w:tr w:rsidR="00F67E9E" w:rsidRPr="00FC322D" w14:paraId="3F1AE79D" w14:textId="77777777" w:rsidTr="007F74AA">
        <w:tc>
          <w:tcPr>
            <w:tcW w:w="2835" w:type="dxa"/>
          </w:tcPr>
          <w:p w14:paraId="1CC35362" w14:textId="77777777" w:rsidR="00F67E9E" w:rsidRPr="00FC322D" w:rsidRDefault="00F67E9E" w:rsidP="007F74AA">
            <w:pPr>
              <w:pStyle w:val="StdBodyTextBold"/>
              <w:rPr>
                <w:rFonts w:cs="Arial"/>
              </w:rPr>
            </w:pPr>
            <w:r>
              <w:rPr>
                <w:rFonts w:cs="Arial"/>
              </w:rPr>
              <w:t>“</w:t>
            </w:r>
            <w:r w:rsidRPr="00FC322D">
              <w:rPr>
                <w:rFonts w:cs="Arial"/>
              </w:rPr>
              <w:t>Transferring Assets</w:t>
            </w:r>
            <w:r>
              <w:rPr>
                <w:rFonts w:cs="Arial"/>
              </w:rPr>
              <w:t>”</w:t>
            </w:r>
          </w:p>
        </w:tc>
        <w:tc>
          <w:tcPr>
            <w:tcW w:w="6803" w:type="dxa"/>
          </w:tcPr>
          <w:p w14:paraId="0C62A32F" w14:textId="05893C14" w:rsidR="00F67E9E" w:rsidRPr="00FC322D" w:rsidRDefault="00F67E9E" w:rsidP="007F74AA">
            <w:pPr>
              <w:pStyle w:val="StdBodyText"/>
              <w:rPr>
                <w:rFonts w:cs="Arial"/>
              </w:rPr>
            </w:pPr>
            <w:r w:rsidRPr="00FC322D">
              <w:rPr>
                <w:rFonts w:cs="Arial"/>
              </w:rPr>
              <w:t xml:space="preserve">has the meaning given in </w:t>
            </w:r>
            <w:bookmarkStart w:id="306" w:name="_9kR3WTr2CC57FeEnoewrqyGPu"/>
            <w:r w:rsidRPr="00FC322D">
              <w:rPr>
                <w:rFonts w:cs="Arial"/>
              </w:rPr>
              <w:t xml:space="preserve">Paragraph </w:t>
            </w:r>
            <w:bookmarkEnd w:id="306"/>
            <w:r w:rsidRPr="00FC322D">
              <w:rPr>
                <w:rFonts w:cs="Arial"/>
              </w:rPr>
              <w:fldChar w:fldCharType="begin"/>
            </w:r>
            <w:r w:rsidRPr="00FC322D">
              <w:rPr>
                <w:rFonts w:cs="Arial"/>
              </w:rPr>
              <w:instrText xml:space="preserve"> REF _Ref44573069 \r \h  \* MERGEFORMAT </w:instrText>
            </w:r>
            <w:r w:rsidRPr="00FC322D">
              <w:rPr>
                <w:rFonts w:cs="Arial"/>
              </w:rPr>
            </w:r>
            <w:r w:rsidRPr="00FC322D">
              <w:rPr>
                <w:rFonts w:cs="Arial"/>
              </w:rPr>
              <w:fldChar w:fldCharType="separate"/>
            </w:r>
            <w:r w:rsidR="00F44D24">
              <w:rPr>
                <w:rFonts w:cs="Arial"/>
              </w:rPr>
              <w:t>6.2.1</w:t>
            </w:r>
            <w:r w:rsidRPr="00FC322D">
              <w:rPr>
                <w:rFonts w:cs="Arial"/>
              </w:rPr>
              <w:fldChar w:fldCharType="end"/>
            </w:r>
            <w:r w:rsidRPr="00FC322D">
              <w:rPr>
                <w:rFonts w:cs="Arial"/>
              </w:rPr>
              <w:t xml:space="preserve"> of </w:t>
            </w:r>
            <w:r>
              <w:rPr>
                <w:rFonts w:cs="Arial"/>
              </w:rPr>
              <w:fldChar w:fldCharType="begin"/>
            </w:r>
            <w:r>
              <w:rPr>
                <w:rFonts w:cs="Arial"/>
              </w:rPr>
              <w:instrText xml:space="preserve"> REF Schedule25 \h </w:instrText>
            </w:r>
            <w:r>
              <w:rPr>
                <w:rFonts w:cs="Arial"/>
              </w:rPr>
            </w:r>
            <w:r>
              <w:rPr>
                <w:rFonts w:cs="Arial"/>
              </w:rPr>
              <w:fldChar w:fldCharType="separate"/>
            </w:r>
            <w:r w:rsidR="00302D39" w:rsidRPr="005D0525">
              <w:t>Schedule 25</w:t>
            </w:r>
            <w:r>
              <w:rPr>
                <w:rFonts w:cs="Arial"/>
              </w:rPr>
              <w:fldChar w:fldCharType="end"/>
            </w:r>
            <w:r>
              <w:rPr>
                <w:rFonts w:cs="Arial"/>
              </w:rPr>
              <w:t xml:space="preserve"> (</w:t>
            </w:r>
            <w:r w:rsidRPr="00A22335">
              <w:rPr>
                <w:rFonts w:cs="Arial"/>
                <w:i/>
                <w:iCs/>
              </w:rPr>
              <w:fldChar w:fldCharType="begin"/>
            </w:r>
            <w:r w:rsidRPr="00A22335">
              <w:rPr>
                <w:rFonts w:cs="Arial"/>
                <w:i/>
                <w:iCs/>
              </w:rPr>
              <w:instrText xml:space="preserve"> REF Schedule25Heading \h </w:instrText>
            </w:r>
            <w:r>
              <w:rPr>
                <w:rFonts w:cs="Arial"/>
                <w:i/>
                <w:iCs/>
              </w:rPr>
              <w:instrText xml:space="preserve"> \* MERGEFORMAT </w:instrText>
            </w:r>
            <w:r w:rsidRPr="00A22335">
              <w:rPr>
                <w:rFonts w:cs="Arial"/>
                <w:i/>
                <w:iCs/>
              </w:rPr>
            </w:r>
            <w:r w:rsidRPr="00A22335">
              <w:rPr>
                <w:rFonts w:cs="Arial"/>
                <w:i/>
                <w:iCs/>
              </w:rPr>
              <w:fldChar w:fldCharType="separate"/>
            </w:r>
            <w:r w:rsidR="00302D39" w:rsidRPr="00302D39">
              <w:rPr>
                <w:i/>
                <w:iCs/>
              </w:rPr>
              <w:t>Exit Management</w:t>
            </w:r>
            <w:r w:rsidRPr="00A22335">
              <w:rPr>
                <w:rFonts w:cs="Arial"/>
                <w:i/>
                <w:iCs/>
              </w:rPr>
              <w:fldChar w:fldCharType="end"/>
            </w:r>
            <w:r>
              <w:rPr>
                <w:rFonts w:cs="Arial"/>
              </w:rPr>
              <w:t>)</w:t>
            </w:r>
            <w:r w:rsidRPr="00FC322D">
              <w:rPr>
                <w:rFonts w:cs="Arial"/>
              </w:rPr>
              <w:t>;</w:t>
            </w:r>
          </w:p>
        </w:tc>
      </w:tr>
      <w:tr w:rsidR="00F67E9E" w:rsidRPr="00FC322D" w14:paraId="3B4EE9A4" w14:textId="77777777" w:rsidTr="007F74AA">
        <w:tc>
          <w:tcPr>
            <w:tcW w:w="2835" w:type="dxa"/>
          </w:tcPr>
          <w:p w14:paraId="06344BF4" w14:textId="77777777" w:rsidR="00F67E9E" w:rsidRPr="00FC322D" w:rsidRDefault="00F67E9E" w:rsidP="007F74AA">
            <w:pPr>
              <w:pStyle w:val="StdBodyTextBold"/>
              <w:rPr>
                <w:rFonts w:cs="Arial"/>
              </w:rPr>
            </w:pPr>
            <w:r>
              <w:rPr>
                <w:rFonts w:cs="Arial"/>
              </w:rPr>
              <w:t>“</w:t>
            </w:r>
            <w:r w:rsidRPr="00FC322D">
              <w:rPr>
                <w:rFonts w:cs="Arial"/>
              </w:rPr>
              <w:t>Transferring Authority Employees</w:t>
            </w:r>
            <w:r>
              <w:rPr>
                <w:rFonts w:cs="Arial"/>
              </w:rPr>
              <w:t>”</w:t>
            </w:r>
          </w:p>
        </w:tc>
        <w:tc>
          <w:tcPr>
            <w:tcW w:w="6803" w:type="dxa"/>
          </w:tcPr>
          <w:p w14:paraId="1F5281EB" w14:textId="3C68497D" w:rsidR="00F67E9E" w:rsidRPr="00FC322D" w:rsidRDefault="00F67E9E" w:rsidP="007F74AA">
            <w:pPr>
              <w:pStyle w:val="StdBodyText"/>
              <w:rPr>
                <w:rFonts w:cs="Arial"/>
              </w:rPr>
            </w:pPr>
            <w:r w:rsidRPr="00FC322D">
              <w:rPr>
                <w:rFonts w:cs="Arial"/>
              </w:rPr>
              <w:t xml:space="preserve">has the meaning given in </w:t>
            </w:r>
            <w:r>
              <w:rPr>
                <w:rFonts w:cs="Arial"/>
              </w:rPr>
              <w:fldChar w:fldCharType="begin"/>
            </w:r>
            <w:r>
              <w:rPr>
                <w:rFonts w:cs="Arial"/>
              </w:rPr>
              <w:instrText xml:space="preserve"> REF Schedule28 \h </w:instrText>
            </w:r>
            <w:r>
              <w:rPr>
                <w:rFonts w:cs="Arial"/>
              </w:rPr>
            </w:r>
            <w:r>
              <w:rPr>
                <w:rFonts w:cs="Arial"/>
              </w:rPr>
              <w:fldChar w:fldCharType="separate"/>
            </w:r>
            <w:r w:rsidR="00302D39" w:rsidRPr="005D0525">
              <w:t>Schedule</w:t>
            </w:r>
            <w:r w:rsidR="00302D39">
              <w:t> </w:t>
            </w:r>
            <w:r w:rsidR="00302D39" w:rsidRPr="005D0525">
              <w:t>28</w:t>
            </w:r>
            <w:r>
              <w:rPr>
                <w:rFonts w:cs="Arial"/>
              </w:rPr>
              <w:fldChar w:fldCharType="end"/>
            </w:r>
            <w:r>
              <w:rPr>
                <w:rFonts w:cs="Arial"/>
              </w:rPr>
              <w:t xml:space="preserve"> (</w:t>
            </w:r>
            <w:r w:rsidRPr="006F064F">
              <w:rPr>
                <w:rFonts w:cs="Arial"/>
                <w:i/>
                <w:iCs/>
              </w:rPr>
              <w:fldChar w:fldCharType="begin"/>
            </w:r>
            <w:r w:rsidRPr="006F064F">
              <w:rPr>
                <w:rFonts w:cs="Arial"/>
                <w:i/>
                <w:iCs/>
              </w:rPr>
              <w:instrText xml:space="preserve"> REF Schedule28Heading \h </w:instrText>
            </w:r>
            <w:r>
              <w:rPr>
                <w:rFonts w:cs="Arial"/>
                <w:i/>
                <w:iCs/>
              </w:rPr>
              <w:instrText xml:space="preserve"> \* MERGEFORMAT </w:instrText>
            </w:r>
            <w:r w:rsidRPr="006F064F">
              <w:rPr>
                <w:rFonts w:cs="Arial"/>
                <w:i/>
                <w:iCs/>
              </w:rPr>
            </w:r>
            <w:r w:rsidRPr="006F064F">
              <w:rPr>
                <w:rFonts w:cs="Arial"/>
                <w:i/>
                <w:iCs/>
              </w:rPr>
              <w:fldChar w:fldCharType="separate"/>
            </w:r>
            <w:r w:rsidR="00302D39" w:rsidRPr="00302D39">
              <w:rPr>
                <w:i/>
                <w:iCs/>
              </w:rPr>
              <w:t>Staff Transfer</w:t>
            </w:r>
            <w:r w:rsidRPr="006F064F">
              <w:rPr>
                <w:rFonts w:cs="Arial"/>
                <w:i/>
                <w:iCs/>
              </w:rPr>
              <w:fldChar w:fldCharType="end"/>
            </w:r>
            <w:r>
              <w:rPr>
                <w:rFonts w:cs="Arial"/>
              </w:rPr>
              <w:t>)</w:t>
            </w:r>
            <w:r w:rsidRPr="00FC322D">
              <w:rPr>
                <w:rFonts w:cs="Arial"/>
              </w:rPr>
              <w:t>;</w:t>
            </w:r>
          </w:p>
        </w:tc>
      </w:tr>
      <w:tr w:rsidR="00F67E9E" w:rsidRPr="00FC322D" w14:paraId="3E24F649" w14:textId="77777777" w:rsidTr="007F74AA">
        <w:tc>
          <w:tcPr>
            <w:tcW w:w="2835" w:type="dxa"/>
          </w:tcPr>
          <w:p w14:paraId="5D66072D" w14:textId="77777777" w:rsidR="00F67E9E" w:rsidRPr="00FC322D" w:rsidRDefault="00F67E9E" w:rsidP="007F74AA">
            <w:pPr>
              <w:pStyle w:val="StdBodyTextBold"/>
              <w:rPr>
                <w:rFonts w:cs="Arial"/>
              </w:rPr>
            </w:pPr>
            <w:r>
              <w:rPr>
                <w:rFonts w:cs="Arial"/>
              </w:rPr>
              <w:t>“</w:t>
            </w:r>
            <w:r w:rsidRPr="00FC322D">
              <w:rPr>
                <w:rFonts w:cs="Arial"/>
              </w:rPr>
              <w:t>Transferring Former Supplier Employees</w:t>
            </w:r>
            <w:r>
              <w:rPr>
                <w:rFonts w:cs="Arial"/>
              </w:rPr>
              <w:t>”</w:t>
            </w:r>
          </w:p>
        </w:tc>
        <w:tc>
          <w:tcPr>
            <w:tcW w:w="6803" w:type="dxa"/>
          </w:tcPr>
          <w:p w14:paraId="2E2E37F1" w14:textId="3A2A7EFE" w:rsidR="00F67E9E" w:rsidRPr="00FC322D" w:rsidRDefault="00F67E9E" w:rsidP="007F74AA">
            <w:pPr>
              <w:pStyle w:val="StdBodyText"/>
              <w:rPr>
                <w:rFonts w:cs="Arial"/>
              </w:rPr>
            </w:pPr>
            <w:r w:rsidRPr="00FC322D">
              <w:rPr>
                <w:rFonts w:cs="Arial"/>
              </w:rPr>
              <w:t xml:space="preserve">has the meaning given in </w:t>
            </w:r>
            <w:r>
              <w:rPr>
                <w:rFonts w:cs="Arial"/>
              </w:rPr>
              <w:fldChar w:fldCharType="begin"/>
            </w:r>
            <w:r>
              <w:rPr>
                <w:rFonts w:cs="Arial"/>
              </w:rPr>
              <w:instrText xml:space="preserve"> REF Schedule28 \h </w:instrText>
            </w:r>
            <w:r>
              <w:rPr>
                <w:rFonts w:cs="Arial"/>
              </w:rPr>
            </w:r>
            <w:r>
              <w:rPr>
                <w:rFonts w:cs="Arial"/>
              </w:rPr>
              <w:fldChar w:fldCharType="separate"/>
            </w:r>
            <w:r w:rsidR="00302D39" w:rsidRPr="005D0525">
              <w:t>Schedule</w:t>
            </w:r>
            <w:r w:rsidR="00302D39">
              <w:t> </w:t>
            </w:r>
            <w:r w:rsidR="00302D39" w:rsidRPr="005D0525">
              <w:t>28</w:t>
            </w:r>
            <w:r>
              <w:rPr>
                <w:rFonts w:cs="Arial"/>
              </w:rPr>
              <w:fldChar w:fldCharType="end"/>
            </w:r>
            <w:r>
              <w:rPr>
                <w:rFonts w:cs="Arial"/>
              </w:rPr>
              <w:t xml:space="preserve"> (</w:t>
            </w:r>
            <w:r w:rsidRPr="006F064F">
              <w:rPr>
                <w:rFonts w:cs="Arial"/>
                <w:i/>
                <w:iCs/>
              </w:rPr>
              <w:fldChar w:fldCharType="begin"/>
            </w:r>
            <w:r w:rsidRPr="006F064F">
              <w:rPr>
                <w:rFonts w:cs="Arial"/>
                <w:i/>
                <w:iCs/>
              </w:rPr>
              <w:instrText xml:space="preserve"> REF Schedule28Heading \h </w:instrText>
            </w:r>
            <w:r>
              <w:rPr>
                <w:rFonts w:cs="Arial"/>
                <w:i/>
                <w:iCs/>
              </w:rPr>
              <w:instrText xml:space="preserve"> \* MERGEFORMAT </w:instrText>
            </w:r>
            <w:r w:rsidRPr="006F064F">
              <w:rPr>
                <w:rFonts w:cs="Arial"/>
                <w:i/>
                <w:iCs/>
              </w:rPr>
            </w:r>
            <w:r w:rsidRPr="006F064F">
              <w:rPr>
                <w:rFonts w:cs="Arial"/>
                <w:i/>
                <w:iCs/>
              </w:rPr>
              <w:fldChar w:fldCharType="separate"/>
            </w:r>
            <w:r w:rsidR="00302D39" w:rsidRPr="00302D39">
              <w:rPr>
                <w:i/>
                <w:iCs/>
              </w:rPr>
              <w:t>Staff Transfer</w:t>
            </w:r>
            <w:r w:rsidRPr="006F064F">
              <w:rPr>
                <w:rFonts w:cs="Arial"/>
                <w:i/>
                <w:iCs/>
              </w:rPr>
              <w:fldChar w:fldCharType="end"/>
            </w:r>
            <w:r>
              <w:rPr>
                <w:rFonts w:cs="Arial"/>
              </w:rPr>
              <w:t>)</w:t>
            </w:r>
            <w:r w:rsidRPr="00FC322D">
              <w:rPr>
                <w:rFonts w:cs="Arial"/>
              </w:rPr>
              <w:t>;</w:t>
            </w:r>
          </w:p>
        </w:tc>
      </w:tr>
      <w:tr w:rsidR="00F67E9E" w:rsidRPr="00FC322D" w14:paraId="0E30621A" w14:textId="77777777" w:rsidTr="007F74AA">
        <w:tc>
          <w:tcPr>
            <w:tcW w:w="2835" w:type="dxa"/>
          </w:tcPr>
          <w:p w14:paraId="2B093147" w14:textId="77777777" w:rsidR="00F67E9E" w:rsidRPr="00FC322D" w:rsidRDefault="00F67E9E" w:rsidP="007F74AA">
            <w:pPr>
              <w:pStyle w:val="StdBodyTextBold"/>
              <w:rPr>
                <w:rFonts w:cs="Arial"/>
              </w:rPr>
            </w:pPr>
            <w:r>
              <w:rPr>
                <w:rFonts w:cs="Arial"/>
              </w:rPr>
              <w:t>“</w:t>
            </w:r>
            <w:r w:rsidRPr="00FC322D">
              <w:rPr>
                <w:rFonts w:cs="Arial"/>
              </w:rPr>
              <w:t>Transferring Supplier Employees</w:t>
            </w:r>
            <w:r>
              <w:rPr>
                <w:rFonts w:cs="Arial"/>
              </w:rPr>
              <w:t>”</w:t>
            </w:r>
          </w:p>
        </w:tc>
        <w:tc>
          <w:tcPr>
            <w:tcW w:w="6803" w:type="dxa"/>
          </w:tcPr>
          <w:p w14:paraId="1AB433B5" w14:textId="359C4A2B" w:rsidR="00F67E9E" w:rsidRPr="00FC322D" w:rsidRDefault="00F67E9E" w:rsidP="007F74AA">
            <w:pPr>
              <w:pStyle w:val="StdBodyText"/>
              <w:rPr>
                <w:rFonts w:cs="Arial"/>
              </w:rPr>
            </w:pPr>
            <w:r w:rsidRPr="00FC322D">
              <w:rPr>
                <w:rFonts w:cs="Arial"/>
              </w:rPr>
              <w:t xml:space="preserve">has the meaning given in </w:t>
            </w:r>
            <w:r>
              <w:rPr>
                <w:rFonts w:cs="Arial"/>
              </w:rPr>
              <w:fldChar w:fldCharType="begin"/>
            </w:r>
            <w:r>
              <w:rPr>
                <w:rFonts w:cs="Arial"/>
              </w:rPr>
              <w:instrText xml:space="preserve"> REF Schedule28 \h </w:instrText>
            </w:r>
            <w:r>
              <w:rPr>
                <w:rFonts w:cs="Arial"/>
              </w:rPr>
            </w:r>
            <w:r>
              <w:rPr>
                <w:rFonts w:cs="Arial"/>
              </w:rPr>
              <w:fldChar w:fldCharType="separate"/>
            </w:r>
            <w:r w:rsidR="00302D39" w:rsidRPr="005D0525">
              <w:t>Schedule</w:t>
            </w:r>
            <w:r w:rsidR="00302D39">
              <w:t> </w:t>
            </w:r>
            <w:r w:rsidR="00302D39" w:rsidRPr="005D0525">
              <w:t>28</w:t>
            </w:r>
            <w:r>
              <w:rPr>
                <w:rFonts w:cs="Arial"/>
              </w:rPr>
              <w:fldChar w:fldCharType="end"/>
            </w:r>
            <w:r>
              <w:rPr>
                <w:rFonts w:cs="Arial"/>
              </w:rPr>
              <w:t xml:space="preserve"> (</w:t>
            </w:r>
            <w:r w:rsidRPr="006F064F">
              <w:rPr>
                <w:rFonts w:cs="Arial"/>
                <w:i/>
                <w:iCs/>
              </w:rPr>
              <w:fldChar w:fldCharType="begin"/>
            </w:r>
            <w:r w:rsidRPr="006F064F">
              <w:rPr>
                <w:rFonts w:cs="Arial"/>
                <w:i/>
                <w:iCs/>
              </w:rPr>
              <w:instrText xml:space="preserve"> REF Schedule28Heading \h </w:instrText>
            </w:r>
            <w:r>
              <w:rPr>
                <w:rFonts w:cs="Arial"/>
                <w:i/>
                <w:iCs/>
              </w:rPr>
              <w:instrText xml:space="preserve"> \* MERGEFORMAT </w:instrText>
            </w:r>
            <w:r w:rsidRPr="006F064F">
              <w:rPr>
                <w:rFonts w:cs="Arial"/>
                <w:i/>
                <w:iCs/>
              </w:rPr>
            </w:r>
            <w:r w:rsidRPr="006F064F">
              <w:rPr>
                <w:rFonts w:cs="Arial"/>
                <w:i/>
                <w:iCs/>
              </w:rPr>
              <w:fldChar w:fldCharType="separate"/>
            </w:r>
            <w:r w:rsidR="00302D39" w:rsidRPr="00302D39">
              <w:rPr>
                <w:i/>
                <w:iCs/>
              </w:rPr>
              <w:t>Staff Transfer</w:t>
            </w:r>
            <w:r w:rsidRPr="006F064F">
              <w:rPr>
                <w:rFonts w:cs="Arial"/>
                <w:i/>
                <w:iCs/>
              </w:rPr>
              <w:fldChar w:fldCharType="end"/>
            </w:r>
            <w:r>
              <w:rPr>
                <w:rFonts w:cs="Arial"/>
              </w:rPr>
              <w:t>)</w:t>
            </w:r>
            <w:r w:rsidRPr="00FC322D">
              <w:rPr>
                <w:rFonts w:cs="Arial"/>
              </w:rPr>
              <w:t>;</w:t>
            </w:r>
          </w:p>
        </w:tc>
      </w:tr>
      <w:tr w:rsidR="00F67E9E" w:rsidRPr="00FC322D" w14:paraId="608AFC31" w14:textId="77777777" w:rsidTr="007F74AA">
        <w:tc>
          <w:tcPr>
            <w:tcW w:w="2835" w:type="dxa"/>
          </w:tcPr>
          <w:p w14:paraId="71302D86" w14:textId="77777777" w:rsidR="00F67E9E" w:rsidRPr="00FC322D" w:rsidRDefault="00F67E9E" w:rsidP="007F74AA">
            <w:pPr>
              <w:pStyle w:val="StdBodyTextBold"/>
              <w:rPr>
                <w:rFonts w:cs="Arial"/>
              </w:rPr>
            </w:pPr>
            <w:r>
              <w:rPr>
                <w:rFonts w:cs="Arial"/>
              </w:rPr>
              <w:t>“</w:t>
            </w:r>
            <w:r w:rsidRPr="00FC322D">
              <w:rPr>
                <w:rFonts w:cs="Arial"/>
              </w:rPr>
              <w:t>Transparency Information</w:t>
            </w:r>
            <w:r>
              <w:rPr>
                <w:rFonts w:cs="Arial"/>
              </w:rPr>
              <w:t>”</w:t>
            </w:r>
          </w:p>
        </w:tc>
        <w:tc>
          <w:tcPr>
            <w:tcW w:w="6803" w:type="dxa"/>
          </w:tcPr>
          <w:p w14:paraId="604F62B7" w14:textId="77777777" w:rsidR="00F67E9E" w:rsidRPr="00FC322D" w:rsidRDefault="00F67E9E" w:rsidP="007F74AA">
            <w:pPr>
              <w:pStyle w:val="StdBodyText"/>
              <w:rPr>
                <w:rFonts w:cs="Arial"/>
              </w:rPr>
            </w:pPr>
            <w:r w:rsidRPr="00FC322D">
              <w:rPr>
                <w:rFonts w:cs="Arial"/>
              </w:rPr>
              <w:t xml:space="preserve">has the meaning given in </w:t>
            </w:r>
            <w:bookmarkStart w:id="307" w:name="_9kMIH5YVtCIACIECEEgUmVMvF7t41mx9EOM5y13"/>
            <w:bookmarkStart w:id="308" w:name="_9kMHG5YVtCJBCIFDEEgUmVMvF7t41mx9EOM5y13"/>
            <w:r w:rsidRPr="00FC322D">
              <w:rPr>
                <w:rFonts w:cs="Arial"/>
              </w:rPr>
              <w:t xml:space="preserve">Clause </w:t>
            </w:r>
            <w:bookmarkEnd w:id="307"/>
            <w:bookmarkEnd w:id="308"/>
            <w:r w:rsidRPr="00FC322D">
              <w:rPr>
                <w:rFonts w:cs="Arial"/>
              </w:rPr>
              <w:t>20.1 (</w:t>
            </w:r>
            <w:r w:rsidRPr="00050613">
              <w:rPr>
                <w:rFonts w:cs="Arial"/>
                <w:i/>
                <w:iCs/>
              </w:rPr>
              <w:t>Transparency and Freedom of Information</w:t>
            </w:r>
            <w:r w:rsidRPr="00FC322D">
              <w:rPr>
                <w:rFonts w:cs="Arial"/>
              </w:rPr>
              <w:t>);</w:t>
            </w:r>
          </w:p>
        </w:tc>
      </w:tr>
      <w:tr w:rsidR="00F67E9E" w:rsidRPr="00FC322D" w14:paraId="3E9E38A2" w14:textId="77777777" w:rsidTr="007F74AA">
        <w:tc>
          <w:tcPr>
            <w:tcW w:w="2835" w:type="dxa"/>
          </w:tcPr>
          <w:p w14:paraId="4EF9CB5A" w14:textId="77777777" w:rsidR="00F67E9E" w:rsidRPr="00FC322D" w:rsidRDefault="00F67E9E" w:rsidP="007F74AA">
            <w:pPr>
              <w:pStyle w:val="StdBodyTextBold"/>
              <w:rPr>
                <w:rFonts w:cs="Arial"/>
              </w:rPr>
            </w:pPr>
            <w:r>
              <w:rPr>
                <w:rFonts w:cs="Arial"/>
              </w:rPr>
              <w:t>“</w:t>
            </w:r>
            <w:r w:rsidRPr="00FC322D">
              <w:rPr>
                <w:rFonts w:cs="Arial"/>
              </w:rPr>
              <w:t>Transparency Reports</w:t>
            </w:r>
            <w:r>
              <w:rPr>
                <w:rFonts w:cs="Arial"/>
              </w:rPr>
              <w:t>”</w:t>
            </w:r>
          </w:p>
        </w:tc>
        <w:tc>
          <w:tcPr>
            <w:tcW w:w="6803" w:type="dxa"/>
          </w:tcPr>
          <w:p w14:paraId="5FFB1695" w14:textId="505E4839" w:rsidR="00F67E9E" w:rsidRPr="00FC322D" w:rsidRDefault="00F67E9E" w:rsidP="007F74AA">
            <w:pPr>
              <w:pStyle w:val="StdBodyText"/>
              <w:rPr>
                <w:rFonts w:cs="Arial"/>
              </w:rPr>
            </w:pPr>
            <w:r w:rsidRPr="00FC322D">
              <w:rPr>
                <w:rFonts w:cs="Arial"/>
              </w:rPr>
              <w:t xml:space="preserve">has the meaning given in </w:t>
            </w:r>
            <w:r>
              <w:rPr>
                <w:rFonts w:cs="Arial"/>
              </w:rPr>
              <w:fldChar w:fldCharType="begin"/>
            </w:r>
            <w:r>
              <w:rPr>
                <w:rFonts w:cs="Arial"/>
              </w:rPr>
              <w:instrText xml:space="preserve"> REF Schedule24 \h </w:instrText>
            </w:r>
            <w:r>
              <w:rPr>
                <w:rFonts w:cs="Arial"/>
              </w:rPr>
            </w:r>
            <w:r>
              <w:rPr>
                <w:rFonts w:cs="Arial"/>
              </w:rPr>
              <w:fldChar w:fldCharType="separate"/>
            </w:r>
            <w:r w:rsidR="00302D39" w:rsidRPr="005D0525">
              <w:t>Schedule</w:t>
            </w:r>
            <w:r w:rsidR="00302D39">
              <w:t> </w:t>
            </w:r>
            <w:r w:rsidR="00302D39" w:rsidRPr="005D0525">
              <w:t>24</w:t>
            </w:r>
            <w:r>
              <w:rPr>
                <w:rFonts w:cs="Arial"/>
              </w:rPr>
              <w:fldChar w:fldCharType="end"/>
            </w:r>
            <w:r>
              <w:rPr>
                <w:rFonts w:cs="Arial"/>
              </w:rPr>
              <w:t xml:space="preserve"> (</w:t>
            </w:r>
            <w:r w:rsidRPr="00A22335">
              <w:rPr>
                <w:rFonts w:cs="Arial"/>
                <w:i/>
                <w:iCs/>
              </w:rPr>
              <w:fldChar w:fldCharType="begin"/>
            </w:r>
            <w:r w:rsidRPr="00A22335">
              <w:rPr>
                <w:rFonts w:cs="Arial"/>
                <w:i/>
                <w:iCs/>
              </w:rPr>
              <w:instrText xml:space="preserve"> REF Schedule24Heading \h </w:instrText>
            </w:r>
            <w:r>
              <w:rPr>
                <w:rFonts w:cs="Arial"/>
                <w:i/>
                <w:iCs/>
              </w:rPr>
              <w:instrText xml:space="preserve"> \* MERGEFORMAT </w:instrText>
            </w:r>
            <w:r w:rsidRPr="00A22335">
              <w:rPr>
                <w:rFonts w:cs="Arial"/>
                <w:i/>
                <w:iCs/>
              </w:rPr>
            </w:r>
            <w:r w:rsidRPr="00A22335">
              <w:rPr>
                <w:rFonts w:cs="Arial"/>
                <w:i/>
                <w:iCs/>
              </w:rPr>
              <w:fldChar w:fldCharType="separate"/>
            </w:r>
            <w:r w:rsidR="00302D39" w:rsidRPr="00302D39">
              <w:rPr>
                <w:i/>
                <w:iCs/>
              </w:rPr>
              <w:t>Reports and Records Provisions</w:t>
            </w:r>
            <w:r w:rsidRPr="00A22335">
              <w:rPr>
                <w:rFonts w:cs="Arial"/>
                <w:i/>
                <w:iCs/>
              </w:rPr>
              <w:fldChar w:fldCharType="end"/>
            </w:r>
            <w:r>
              <w:rPr>
                <w:rFonts w:cs="Arial"/>
              </w:rPr>
              <w:t>)</w:t>
            </w:r>
            <w:r w:rsidRPr="00FC322D">
              <w:rPr>
                <w:rFonts w:cs="Arial"/>
              </w:rPr>
              <w:t>;</w:t>
            </w:r>
          </w:p>
        </w:tc>
      </w:tr>
      <w:tr w:rsidR="00F67E9E" w:rsidRPr="00FC322D" w14:paraId="2C66C9B7" w14:textId="77777777" w:rsidTr="007F74AA">
        <w:tc>
          <w:tcPr>
            <w:tcW w:w="2835" w:type="dxa"/>
          </w:tcPr>
          <w:p w14:paraId="56EF64E9" w14:textId="77777777" w:rsidR="00F67E9E" w:rsidRPr="00FC322D" w:rsidRDefault="00F67E9E" w:rsidP="007F74AA">
            <w:pPr>
              <w:pStyle w:val="StdBodyTextBold"/>
              <w:rPr>
                <w:rFonts w:cs="Arial"/>
              </w:rPr>
            </w:pPr>
            <w:r>
              <w:rPr>
                <w:rFonts w:cs="Arial"/>
              </w:rPr>
              <w:t>“</w:t>
            </w:r>
            <w:r w:rsidRPr="00FC322D">
              <w:rPr>
                <w:rFonts w:cs="Arial"/>
              </w:rPr>
              <w:t>UK</w:t>
            </w:r>
            <w:r>
              <w:rPr>
                <w:rFonts w:cs="Arial"/>
              </w:rPr>
              <w:t>”</w:t>
            </w:r>
          </w:p>
        </w:tc>
        <w:tc>
          <w:tcPr>
            <w:tcW w:w="6803" w:type="dxa"/>
          </w:tcPr>
          <w:p w14:paraId="38FF121E" w14:textId="77777777" w:rsidR="00F67E9E" w:rsidRPr="00FC322D" w:rsidRDefault="00F67E9E" w:rsidP="007F74AA">
            <w:pPr>
              <w:pStyle w:val="StdBodyText"/>
              <w:rPr>
                <w:rFonts w:cs="Arial"/>
              </w:rPr>
            </w:pPr>
            <w:r w:rsidRPr="00FC322D">
              <w:rPr>
                <w:rFonts w:cs="Arial"/>
              </w:rPr>
              <w:t>the United Kingdom;</w:t>
            </w:r>
          </w:p>
        </w:tc>
      </w:tr>
      <w:tr w:rsidR="00F67E9E" w:rsidRPr="00FC322D" w14:paraId="0589ADA5" w14:textId="77777777" w:rsidTr="007F74AA">
        <w:tc>
          <w:tcPr>
            <w:tcW w:w="2835" w:type="dxa"/>
          </w:tcPr>
          <w:p w14:paraId="7E552986" w14:textId="77777777" w:rsidR="00F67E9E" w:rsidRPr="00FC322D" w:rsidRDefault="00F67E9E" w:rsidP="007F74AA">
            <w:pPr>
              <w:pStyle w:val="StdBodyTextBold"/>
              <w:rPr>
                <w:rFonts w:cs="Arial"/>
              </w:rPr>
            </w:pPr>
            <w:r>
              <w:rPr>
                <w:rFonts w:cs="Arial"/>
              </w:rPr>
              <w:t>“</w:t>
            </w:r>
            <w:r w:rsidRPr="00FC322D">
              <w:rPr>
                <w:rFonts w:cs="Arial"/>
              </w:rPr>
              <w:t>UK GDPR</w:t>
            </w:r>
            <w:r>
              <w:rPr>
                <w:rFonts w:cs="Arial"/>
              </w:rPr>
              <w:t>”</w:t>
            </w:r>
          </w:p>
        </w:tc>
        <w:tc>
          <w:tcPr>
            <w:tcW w:w="6803" w:type="dxa"/>
          </w:tcPr>
          <w:p w14:paraId="2426F4CA" w14:textId="77777777" w:rsidR="00F67E9E" w:rsidRPr="00FC322D" w:rsidRDefault="00F67E9E" w:rsidP="007F74AA">
            <w:pPr>
              <w:pStyle w:val="StdBodyText"/>
              <w:rPr>
                <w:rFonts w:cs="Arial"/>
              </w:rPr>
            </w:pPr>
            <w:r w:rsidRPr="00240454">
              <w:rPr>
                <w:rFonts w:cs="Arial"/>
              </w:rPr>
              <w:t>has the meaning as set out in section 3(10) of the DPA 2018, supplemented by section 205(4) of the DPA 2018;</w:t>
            </w:r>
          </w:p>
        </w:tc>
      </w:tr>
      <w:tr w:rsidR="00F67E9E" w:rsidRPr="00FC322D" w14:paraId="70835950" w14:textId="77777777" w:rsidTr="007F74AA">
        <w:tc>
          <w:tcPr>
            <w:tcW w:w="2835" w:type="dxa"/>
          </w:tcPr>
          <w:p w14:paraId="0DD758A1" w14:textId="77777777" w:rsidR="00F67E9E" w:rsidRPr="00FC322D" w:rsidRDefault="00F67E9E" w:rsidP="007F74AA">
            <w:pPr>
              <w:pStyle w:val="StdBodyTextBold"/>
              <w:rPr>
                <w:rFonts w:cs="Arial"/>
              </w:rPr>
            </w:pPr>
            <w:r>
              <w:rPr>
                <w:rFonts w:cs="Arial"/>
              </w:rPr>
              <w:t>“</w:t>
            </w:r>
            <w:r w:rsidRPr="00FC322D">
              <w:rPr>
                <w:rFonts w:cs="Arial"/>
              </w:rPr>
              <w:t>UK Public Sector Business</w:t>
            </w:r>
            <w:r>
              <w:rPr>
                <w:rFonts w:cs="Arial"/>
              </w:rPr>
              <w:t>”</w:t>
            </w:r>
          </w:p>
        </w:tc>
        <w:tc>
          <w:tcPr>
            <w:tcW w:w="6803" w:type="dxa"/>
          </w:tcPr>
          <w:p w14:paraId="196FC91F" w14:textId="77777777" w:rsidR="00F67E9E" w:rsidRPr="00FC322D" w:rsidRDefault="00F67E9E" w:rsidP="007F74AA">
            <w:pPr>
              <w:pStyle w:val="StdBodyText"/>
              <w:rPr>
                <w:rFonts w:cs="Arial"/>
              </w:rPr>
            </w:pPr>
            <w:r w:rsidRPr="00FC322D">
              <w:rPr>
                <w:rFonts w:cs="Arial"/>
              </w:rPr>
              <w:t xml:space="preserve">means any goods, service or works provision to UK public sector bodies, including </w:t>
            </w:r>
            <w:r>
              <w:rPr>
                <w:rFonts w:cs="Arial"/>
              </w:rPr>
              <w:t>Crown Bodies</w:t>
            </w:r>
            <w:r w:rsidRPr="00FC322D">
              <w:rPr>
                <w:rFonts w:cs="Arial"/>
              </w:rPr>
              <w:t xml:space="preserve"> and their </w:t>
            </w:r>
            <w:bookmarkStart w:id="309" w:name="_9kMLCP6ZWu9A679B"/>
            <w:r w:rsidRPr="00FC322D">
              <w:rPr>
                <w:rFonts w:cs="Arial"/>
              </w:rPr>
              <w:t>arm</w:t>
            </w:r>
            <w:r>
              <w:rPr>
                <w:rFonts w:cs="Arial"/>
              </w:rPr>
              <w:t>’</w:t>
            </w:r>
            <w:r w:rsidRPr="00FC322D">
              <w:rPr>
                <w:rFonts w:cs="Arial"/>
              </w:rPr>
              <w:t>s</w:t>
            </w:r>
            <w:bookmarkEnd w:id="309"/>
            <w:r w:rsidRPr="00FC322D">
              <w:rPr>
                <w:rFonts w:cs="Arial"/>
              </w:rPr>
              <w:t xml:space="preserve"> length bodies and agencies, non-departmental public bodies, NHS bodies, local authorities, health bodies, police, fire and rescue, education bodies and devolved administrations;</w:t>
            </w:r>
          </w:p>
        </w:tc>
      </w:tr>
      <w:tr w:rsidR="00F67E9E" w:rsidRPr="00FC322D" w14:paraId="062D1C47" w14:textId="77777777" w:rsidTr="007F74AA">
        <w:tc>
          <w:tcPr>
            <w:tcW w:w="2835" w:type="dxa"/>
          </w:tcPr>
          <w:p w14:paraId="7A0654F6" w14:textId="77777777" w:rsidR="00F67E9E" w:rsidRPr="00FC322D" w:rsidRDefault="00F67E9E" w:rsidP="007F74AA">
            <w:pPr>
              <w:pStyle w:val="StdBodyTextBold"/>
              <w:rPr>
                <w:rFonts w:cs="Arial"/>
              </w:rPr>
            </w:pPr>
            <w:r>
              <w:rPr>
                <w:rFonts w:cs="Arial"/>
              </w:rPr>
              <w:t>“</w:t>
            </w:r>
            <w:r w:rsidRPr="00FC322D">
              <w:rPr>
                <w:rFonts w:cs="Arial"/>
              </w:rPr>
              <w:t>Unacceptable KPI Failure</w:t>
            </w:r>
            <w:r>
              <w:rPr>
                <w:rFonts w:cs="Arial"/>
              </w:rPr>
              <w:t>”</w:t>
            </w:r>
          </w:p>
        </w:tc>
        <w:tc>
          <w:tcPr>
            <w:tcW w:w="6803" w:type="dxa"/>
          </w:tcPr>
          <w:p w14:paraId="5FF647CB" w14:textId="77777777" w:rsidR="00F67E9E" w:rsidRPr="00FC322D" w:rsidRDefault="00F67E9E" w:rsidP="007F74AA">
            <w:pPr>
              <w:pStyle w:val="StdBodyText"/>
              <w:rPr>
                <w:rFonts w:cs="Arial"/>
              </w:rPr>
            </w:pPr>
            <w:r w:rsidRPr="00FC322D">
              <w:rPr>
                <w:rFonts w:cs="Arial"/>
              </w:rPr>
              <w:t>the Supplier failing to achieve the KPI Service Threshold in respect of more than 50% of the Key Performance Indicators that are measured in that Service Period;</w:t>
            </w:r>
          </w:p>
        </w:tc>
      </w:tr>
      <w:tr w:rsidR="00F67E9E" w:rsidRPr="00FC322D" w14:paraId="60269E29" w14:textId="77777777" w:rsidTr="007F74AA">
        <w:tc>
          <w:tcPr>
            <w:tcW w:w="2835" w:type="dxa"/>
          </w:tcPr>
          <w:p w14:paraId="0BA287FE" w14:textId="77777777" w:rsidR="00F67E9E" w:rsidRPr="00FC322D" w:rsidRDefault="00F67E9E" w:rsidP="007F74AA">
            <w:pPr>
              <w:pStyle w:val="StdBodyTextBold"/>
              <w:rPr>
                <w:rFonts w:cs="Arial"/>
              </w:rPr>
            </w:pPr>
            <w:r>
              <w:rPr>
                <w:rFonts w:cs="Arial"/>
              </w:rPr>
              <w:t>“</w:t>
            </w:r>
            <w:r w:rsidRPr="00FC322D">
              <w:rPr>
                <w:rFonts w:cs="Arial"/>
              </w:rPr>
              <w:t>Unconnected Sub</w:t>
            </w:r>
            <w:r>
              <w:rPr>
                <w:rFonts w:cs="Arial"/>
              </w:rPr>
              <w:noBreakHyphen/>
            </w:r>
            <w:r w:rsidRPr="00FC322D">
              <w:rPr>
                <w:rFonts w:cs="Arial"/>
              </w:rPr>
              <w:t>contract</w:t>
            </w:r>
            <w:r>
              <w:rPr>
                <w:rFonts w:cs="Arial"/>
              </w:rPr>
              <w:t>”</w:t>
            </w:r>
          </w:p>
        </w:tc>
        <w:tc>
          <w:tcPr>
            <w:tcW w:w="6803" w:type="dxa"/>
          </w:tcPr>
          <w:p w14:paraId="7547D796" w14:textId="77777777" w:rsidR="00F67E9E" w:rsidRPr="00FC322D" w:rsidRDefault="00F67E9E" w:rsidP="007F74AA">
            <w:pPr>
              <w:pStyle w:val="StdBodyText"/>
              <w:rPr>
                <w:rFonts w:cs="Arial"/>
              </w:rPr>
            </w:pPr>
            <w:r w:rsidRPr="00FC322D">
              <w:rPr>
                <w:rFonts w:cs="Arial"/>
              </w:rPr>
              <w:t xml:space="preserve">any contract or agreement which is not a Sub-contract and is between the Supplier and a third party (which is not an Affiliate of the Supplier) and is a qualifying contract under regulation 6 of The </w:t>
            </w:r>
            <w:bookmarkStart w:id="310" w:name="_9kR3WTr277DIHfKp0391wvx5hP5Iz1Hun5rBI2z"/>
            <w:r w:rsidRPr="00FC322D">
              <w:rPr>
                <w:rFonts w:cs="Arial"/>
              </w:rPr>
              <w:t>Reporting on Payment Practices and Performance Regulations 2017</w:t>
            </w:r>
            <w:bookmarkEnd w:id="310"/>
            <w:r w:rsidRPr="00FC322D">
              <w:rPr>
                <w:rFonts w:cs="Arial"/>
              </w:rPr>
              <w:t>;</w:t>
            </w:r>
          </w:p>
        </w:tc>
      </w:tr>
      <w:tr w:rsidR="00F67E9E" w:rsidRPr="00FC322D" w14:paraId="0A469EFE" w14:textId="77777777" w:rsidTr="007F74AA">
        <w:tc>
          <w:tcPr>
            <w:tcW w:w="2835" w:type="dxa"/>
          </w:tcPr>
          <w:p w14:paraId="448E70B9" w14:textId="77777777" w:rsidR="00F67E9E" w:rsidRPr="00FC322D" w:rsidRDefault="00F67E9E" w:rsidP="007F74AA">
            <w:pPr>
              <w:pStyle w:val="StdBodyTextBold"/>
              <w:rPr>
                <w:rFonts w:cs="Arial"/>
              </w:rPr>
            </w:pPr>
            <w:r>
              <w:rPr>
                <w:rFonts w:cs="Arial"/>
              </w:rPr>
              <w:t>“</w:t>
            </w:r>
            <w:r w:rsidRPr="00FC322D">
              <w:rPr>
                <w:rFonts w:cs="Arial"/>
              </w:rPr>
              <w:t>Unconnected Sub</w:t>
            </w:r>
            <w:r>
              <w:rPr>
                <w:rFonts w:cs="Arial"/>
              </w:rPr>
              <w:noBreakHyphen/>
            </w:r>
            <w:r w:rsidRPr="00FC322D">
              <w:rPr>
                <w:rFonts w:cs="Arial"/>
              </w:rPr>
              <w:t>contractor</w:t>
            </w:r>
            <w:r>
              <w:rPr>
                <w:rFonts w:cs="Arial"/>
              </w:rPr>
              <w:t>”</w:t>
            </w:r>
          </w:p>
        </w:tc>
        <w:tc>
          <w:tcPr>
            <w:tcW w:w="6803" w:type="dxa"/>
          </w:tcPr>
          <w:p w14:paraId="27873D47" w14:textId="77777777" w:rsidR="00F67E9E" w:rsidRPr="00FC322D" w:rsidRDefault="00F67E9E" w:rsidP="007F74AA">
            <w:pPr>
              <w:pStyle w:val="StdBodyText"/>
              <w:rPr>
                <w:rFonts w:cs="Arial"/>
              </w:rPr>
            </w:pPr>
            <w:r w:rsidRPr="00FC322D">
              <w:rPr>
                <w:rFonts w:cs="Arial"/>
              </w:rPr>
              <w:t>any third party with whom the Supplier enters into an Unconnected Sub-contract;</w:t>
            </w:r>
          </w:p>
        </w:tc>
      </w:tr>
      <w:tr w:rsidR="00F67E9E" w:rsidRPr="00FC322D" w14:paraId="5ADB1815" w14:textId="77777777" w:rsidTr="007F74AA">
        <w:tc>
          <w:tcPr>
            <w:tcW w:w="2835" w:type="dxa"/>
          </w:tcPr>
          <w:p w14:paraId="524E33B7" w14:textId="77777777" w:rsidR="00F67E9E" w:rsidRPr="00FC322D" w:rsidRDefault="00F67E9E" w:rsidP="007F74AA">
            <w:pPr>
              <w:pStyle w:val="StdBodyTextBold"/>
              <w:rPr>
                <w:rFonts w:cs="Arial"/>
              </w:rPr>
            </w:pPr>
            <w:r>
              <w:rPr>
                <w:rFonts w:cs="Arial"/>
              </w:rPr>
              <w:t>“</w:t>
            </w:r>
            <w:r w:rsidRPr="00FC322D">
              <w:rPr>
                <w:rFonts w:cs="Arial"/>
              </w:rPr>
              <w:t>Unrecovered Payment</w:t>
            </w:r>
            <w:r>
              <w:rPr>
                <w:rFonts w:cs="Arial"/>
              </w:rPr>
              <w:t>”</w:t>
            </w:r>
          </w:p>
        </w:tc>
        <w:tc>
          <w:tcPr>
            <w:tcW w:w="6803" w:type="dxa"/>
          </w:tcPr>
          <w:p w14:paraId="1D22CB39" w14:textId="174BA725" w:rsidR="00F67E9E" w:rsidRPr="00FC322D" w:rsidRDefault="00F67E9E" w:rsidP="007F74AA">
            <w:pPr>
              <w:pStyle w:val="StdBodyText"/>
              <w:rPr>
                <w:rFonts w:cs="Arial"/>
              </w:rPr>
            </w:pPr>
            <w:r w:rsidRPr="00FC322D">
              <w:rPr>
                <w:rFonts w:cs="Arial"/>
              </w:rPr>
              <w:t xml:space="preserve">has the meaning given in </w:t>
            </w:r>
            <w:r>
              <w:rPr>
                <w:rFonts w:cs="Arial"/>
              </w:rPr>
              <w:fldChar w:fldCharType="begin"/>
            </w:r>
            <w:r>
              <w:rPr>
                <w:rFonts w:cs="Arial"/>
              </w:rPr>
              <w:instrText xml:space="preserve"> REF Schedule16 \h </w:instrText>
            </w:r>
            <w:r>
              <w:rPr>
                <w:rFonts w:cs="Arial"/>
              </w:rPr>
            </w:r>
            <w:r>
              <w:rPr>
                <w:rFonts w:cs="Arial"/>
              </w:rPr>
              <w:fldChar w:fldCharType="separate"/>
            </w:r>
            <w:r w:rsidR="00302D39" w:rsidRPr="005D0525">
              <w:t>Schedule</w:t>
            </w:r>
            <w:r w:rsidR="00302D39">
              <w:t> </w:t>
            </w:r>
            <w:r w:rsidR="00302D39" w:rsidRPr="005D0525">
              <w:t>16</w:t>
            </w:r>
            <w:r>
              <w:rPr>
                <w:rFonts w:cs="Arial"/>
              </w:rPr>
              <w:fldChar w:fldCharType="end"/>
            </w:r>
            <w:r>
              <w:rPr>
                <w:rFonts w:cs="Arial"/>
              </w:rPr>
              <w:t xml:space="preserve"> (</w:t>
            </w:r>
            <w:r w:rsidRPr="00B91437">
              <w:rPr>
                <w:rFonts w:cs="Arial"/>
                <w:i/>
                <w:iCs/>
              </w:rPr>
              <w:fldChar w:fldCharType="begin"/>
            </w:r>
            <w:r w:rsidRPr="00B91437">
              <w:rPr>
                <w:rFonts w:cs="Arial"/>
                <w:i/>
                <w:iCs/>
              </w:rPr>
              <w:instrText xml:space="preserve"> REF Schedule16Heading \h </w:instrText>
            </w:r>
            <w:r>
              <w:rPr>
                <w:rFonts w:cs="Arial"/>
                <w:i/>
                <w:iCs/>
              </w:rPr>
              <w:instrText xml:space="preserve"> \* MERGEFORMAT </w:instrText>
            </w:r>
            <w:r w:rsidRPr="00B91437">
              <w:rPr>
                <w:rFonts w:cs="Arial"/>
                <w:i/>
                <w:iCs/>
              </w:rPr>
            </w:r>
            <w:r w:rsidRPr="00B91437">
              <w:rPr>
                <w:rFonts w:cs="Arial"/>
                <w:i/>
                <w:iCs/>
              </w:rPr>
              <w:fldChar w:fldCharType="separate"/>
            </w:r>
            <w:r w:rsidR="00302D39" w:rsidRPr="00302D39">
              <w:rPr>
                <w:i/>
                <w:iCs/>
              </w:rPr>
              <w:t>Payments on Termination</w:t>
            </w:r>
            <w:r w:rsidRPr="00B91437">
              <w:rPr>
                <w:rFonts w:cs="Arial"/>
                <w:i/>
                <w:iCs/>
              </w:rPr>
              <w:fldChar w:fldCharType="end"/>
            </w:r>
            <w:r>
              <w:rPr>
                <w:rFonts w:cs="Arial"/>
              </w:rPr>
              <w:t>)</w:t>
            </w:r>
            <w:r w:rsidRPr="00FC322D">
              <w:rPr>
                <w:rFonts w:cs="Arial"/>
              </w:rPr>
              <w:t>;</w:t>
            </w:r>
          </w:p>
        </w:tc>
      </w:tr>
      <w:tr w:rsidR="00F67E9E" w:rsidRPr="00FC322D" w14:paraId="34025E50" w14:textId="77777777" w:rsidTr="007F74AA">
        <w:tc>
          <w:tcPr>
            <w:tcW w:w="2835" w:type="dxa"/>
          </w:tcPr>
          <w:p w14:paraId="2237B752" w14:textId="77777777" w:rsidR="00F67E9E" w:rsidRPr="00FC322D" w:rsidRDefault="00F67E9E" w:rsidP="007F74AA">
            <w:pPr>
              <w:pStyle w:val="StdBodyTextBold"/>
              <w:rPr>
                <w:rFonts w:cs="Arial"/>
              </w:rPr>
            </w:pPr>
            <w:r>
              <w:rPr>
                <w:rFonts w:cs="Arial"/>
              </w:rPr>
              <w:t>“</w:t>
            </w:r>
            <w:r w:rsidRPr="00FC322D">
              <w:rPr>
                <w:rFonts w:cs="Arial"/>
              </w:rPr>
              <w:t>Updates</w:t>
            </w:r>
            <w:r>
              <w:rPr>
                <w:rFonts w:cs="Arial"/>
              </w:rPr>
              <w:t>”</w:t>
            </w:r>
          </w:p>
        </w:tc>
        <w:tc>
          <w:tcPr>
            <w:tcW w:w="6803" w:type="dxa"/>
          </w:tcPr>
          <w:p w14:paraId="4E808886" w14:textId="77777777" w:rsidR="00F67E9E" w:rsidRPr="00FC322D" w:rsidRDefault="00F67E9E" w:rsidP="007F74AA">
            <w:pPr>
              <w:pStyle w:val="StdBodyText"/>
              <w:rPr>
                <w:rFonts w:cs="Arial"/>
              </w:rPr>
            </w:pPr>
            <w:r w:rsidRPr="00FC322D">
              <w:rPr>
                <w:rFonts w:cs="Arial"/>
              </w:rPr>
              <w:t>in relation to any Software and/or any Deliverable means a version of such item which has been produced primarily to overcome Defects in, or to improve the operation of, that item;</w:t>
            </w:r>
          </w:p>
        </w:tc>
      </w:tr>
      <w:tr w:rsidR="00F67E9E" w:rsidRPr="00FC322D" w14:paraId="1070694A" w14:textId="77777777" w:rsidTr="007F74AA">
        <w:tc>
          <w:tcPr>
            <w:tcW w:w="2835" w:type="dxa"/>
          </w:tcPr>
          <w:p w14:paraId="59E8F089" w14:textId="77777777" w:rsidR="00F67E9E" w:rsidRPr="00FC322D" w:rsidRDefault="00F67E9E" w:rsidP="007F74AA">
            <w:pPr>
              <w:pStyle w:val="StdBodyTextBold"/>
              <w:rPr>
                <w:rFonts w:cs="Arial"/>
              </w:rPr>
            </w:pPr>
            <w:r>
              <w:rPr>
                <w:rFonts w:cs="Arial"/>
              </w:rPr>
              <w:t>“</w:t>
            </w:r>
            <w:r w:rsidRPr="00FC322D">
              <w:rPr>
                <w:rFonts w:cs="Arial"/>
              </w:rPr>
              <w:t>Update Requirement</w:t>
            </w:r>
            <w:r>
              <w:rPr>
                <w:rFonts w:cs="Arial"/>
              </w:rPr>
              <w:t>”</w:t>
            </w:r>
          </w:p>
        </w:tc>
        <w:tc>
          <w:tcPr>
            <w:tcW w:w="6803" w:type="dxa"/>
          </w:tcPr>
          <w:p w14:paraId="5860B0ED" w14:textId="69DB06D3" w:rsidR="00F67E9E" w:rsidRPr="00FC322D" w:rsidRDefault="00F67E9E" w:rsidP="007F74AA">
            <w:pPr>
              <w:pStyle w:val="StdBodyText"/>
              <w:rPr>
                <w:rFonts w:cs="Arial"/>
              </w:rPr>
            </w:pPr>
            <w:r w:rsidRPr="00FC322D">
              <w:rPr>
                <w:rFonts w:cs="Arial"/>
              </w:rPr>
              <w:t xml:space="preserve">means the occurrence of an event detailed in </w:t>
            </w:r>
            <w:r>
              <w:rPr>
                <w:rFonts w:cs="Arial"/>
              </w:rPr>
              <w:fldChar w:fldCharType="begin"/>
            </w:r>
            <w:r>
              <w:rPr>
                <w:rFonts w:cs="Arial"/>
              </w:rPr>
              <w:instrText xml:space="preserve"> REF Schedule24 \h </w:instrText>
            </w:r>
            <w:r>
              <w:rPr>
                <w:rFonts w:cs="Arial"/>
              </w:rPr>
            </w:r>
            <w:r>
              <w:rPr>
                <w:rFonts w:cs="Arial"/>
              </w:rPr>
              <w:fldChar w:fldCharType="separate"/>
            </w:r>
            <w:r w:rsidR="00302D39" w:rsidRPr="005D0525">
              <w:t>Schedule</w:t>
            </w:r>
            <w:r w:rsidR="00302D39">
              <w:t> </w:t>
            </w:r>
            <w:r w:rsidR="00302D39" w:rsidRPr="005D0525">
              <w:t>24</w:t>
            </w:r>
            <w:r>
              <w:rPr>
                <w:rFonts w:cs="Arial"/>
              </w:rPr>
              <w:fldChar w:fldCharType="end"/>
            </w:r>
            <w:r>
              <w:rPr>
                <w:rFonts w:cs="Arial"/>
              </w:rPr>
              <w:t xml:space="preserve"> (</w:t>
            </w:r>
            <w:r w:rsidRPr="00A22335">
              <w:rPr>
                <w:rFonts w:cs="Arial"/>
                <w:i/>
                <w:iCs/>
              </w:rPr>
              <w:fldChar w:fldCharType="begin"/>
            </w:r>
            <w:r w:rsidRPr="00A22335">
              <w:rPr>
                <w:rFonts w:cs="Arial"/>
                <w:i/>
                <w:iCs/>
              </w:rPr>
              <w:instrText xml:space="preserve"> REF Schedule24Heading \h </w:instrText>
            </w:r>
            <w:r>
              <w:rPr>
                <w:rFonts w:cs="Arial"/>
                <w:i/>
                <w:iCs/>
              </w:rPr>
              <w:instrText xml:space="preserve"> \* MERGEFORMAT </w:instrText>
            </w:r>
            <w:r w:rsidRPr="00A22335">
              <w:rPr>
                <w:rFonts w:cs="Arial"/>
                <w:i/>
                <w:iCs/>
              </w:rPr>
            </w:r>
            <w:r w:rsidRPr="00A22335">
              <w:rPr>
                <w:rFonts w:cs="Arial"/>
                <w:i/>
                <w:iCs/>
              </w:rPr>
              <w:fldChar w:fldCharType="separate"/>
            </w:r>
            <w:r w:rsidR="00302D39" w:rsidRPr="00302D39">
              <w:rPr>
                <w:i/>
                <w:iCs/>
              </w:rPr>
              <w:t>Reports and Records Provisions</w:t>
            </w:r>
            <w:r w:rsidRPr="00A22335">
              <w:rPr>
                <w:rFonts w:cs="Arial"/>
                <w:i/>
                <w:iCs/>
              </w:rPr>
              <w:fldChar w:fldCharType="end"/>
            </w:r>
            <w:r>
              <w:rPr>
                <w:rFonts w:cs="Arial"/>
              </w:rPr>
              <w:t>)</w:t>
            </w:r>
            <w:r w:rsidRPr="00FC322D">
              <w:rPr>
                <w:rFonts w:cs="Arial"/>
              </w:rPr>
              <w:t xml:space="preserve"> (</w:t>
            </w:r>
            <w:r w:rsidRPr="00FC322D">
              <w:rPr>
                <w:rFonts w:cs="Arial"/>
              </w:rPr>
              <w:fldChar w:fldCharType="begin"/>
            </w:r>
            <w:r w:rsidRPr="00FC322D">
              <w:rPr>
                <w:rFonts w:cs="Arial"/>
              </w:rPr>
              <w:instrText xml:space="preserve"> REF  _Ref_ContractCompanion_9kb9Ur5BA \* Caps \h  \* MERGEFORMAT </w:instrText>
            </w:r>
            <w:r w:rsidRPr="00FC322D">
              <w:rPr>
                <w:rFonts w:cs="Arial"/>
              </w:rPr>
            </w:r>
            <w:r w:rsidRPr="00FC322D">
              <w:rPr>
                <w:rFonts w:cs="Arial"/>
              </w:rPr>
              <w:fldChar w:fldCharType="separate"/>
            </w:r>
            <w:r w:rsidR="00302D39" w:rsidRPr="00302D39">
              <w:rPr>
                <w:rFonts w:cs="Arial"/>
              </w:rPr>
              <w:t xml:space="preserve">Annex 3: </w:t>
            </w:r>
            <w:r w:rsidR="00302D39" w:rsidRPr="00302D39">
              <w:rPr>
                <w:rFonts w:cs="Arial"/>
                <w:i/>
                <w:iCs/>
              </w:rPr>
              <w:t>Records To Upload To Virtual Library</w:t>
            </w:r>
            <w:r w:rsidRPr="00FC322D">
              <w:rPr>
                <w:rFonts w:cs="Arial"/>
              </w:rPr>
              <w:fldChar w:fldCharType="end"/>
            </w:r>
            <w:r w:rsidRPr="00FC322D">
              <w:rPr>
                <w:rFonts w:cs="Arial"/>
              </w:rPr>
              <w:t>) which requires the Supplier to update the relevant information hosted on the Virtual Library;</w:t>
            </w:r>
          </w:p>
        </w:tc>
      </w:tr>
      <w:tr w:rsidR="00F67E9E" w:rsidRPr="00FC322D" w14:paraId="15E09B4D" w14:textId="77777777" w:rsidTr="007F74AA">
        <w:tc>
          <w:tcPr>
            <w:tcW w:w="2835" w:type="dxa"/>
          </w:tcPr>
          <w:p w14:paraId="4383F2A8" w14:textId="77777777" w:rsidR="00F67E9E" w:rsidRPr="00FC322D" w:rsidRDefault="00F67E9E" w:rsidP="007F74AA">
            <w:pPr>
              <w:pStyle w:val="StdBodyTextBold"/>
              <w:rPr>
                <w:rFonts w:cs="Arial"/>
              </w:rPr>
            </w:pPr>
            <w:r>
              <w:rPr>
                <w:rFonts w:cs="Arial"/>
              </w:rPr>
              <w:t>“</w:t>
            </w:r>
            <w:r w:rsidRPr="00FC322D">
              <w:rPr>
                <w:rFonts w:cs="Arial"/>
              </w:rPr>
              <w:t>Upgrades</w:t>
            </w:r>
            <w:r>
              <w:rPr>
                <w:rFonts w:cs="Arial"/>
              </w:rPr>
              <w:t>”</w:t>
            </w:r>
          </w:p>
        </w:tc>
        <w:tc>
          <w:tcPr>
            <w:tcW w:w="6803" w:type="dxa"/>
          </w:tcPr>
          <w:p w14:paraId="3800E867" w14:textId="77777777" w:rsidR="00F67E9E" w:rsidRPr="00FC322D" w:rsidRDefault="00F67E9E" w:rsidP="007F74AA">
            <w:pPr>
              <w:pStyle w:val="StdBodyText"/>
              <w:rPr>
                <w:rFonts w:cs="Arial"/>
              </w:rPr>
            </w:pPr>
            <w:r>
              <w:rPr>
                <w:rFonts w:cs="Arial"/>
              </w:rPr>
              <w:t xml:space="preserve">means </w:t>
            </w:r>
            <w:r w:rsidRPr="00FC322D">
              <w:rPr>
                <w:rFonts w:cs="Arial"/>
              </w:rPr>
              <w:t>any patch, New Release or upgrade of Software and/or a Deliverable, including standard upgrades, product enhancements, and any modifications, but excluding any Update which the Supplier or a third party software supplier (or any Affiliate of the Supplier or any third party) releases during the Term;</w:t>
            </w:r>
          </w:p>
        </w:tc>
      </w:tr>
      <w:tr w:rsidR="00F67E9E" w:rsidRPr="00FC322D" w14:paraId="40639D0F" w14:textId="77777777" w:rsidTr="007F74AA">
        <w:tc>
          <w:tcPr>
            <w:tcW w:w="2835" w:type="dxa"/>
          </w:tcPr>
          <w:p w14:paraId="64B29151" w14:textId="77777777" w:rsidR="00F67E9E" w:rsidRPr="00FC322D" w:rsidRDefault="00F67E9E" w:rsidP="007F74AA">
            <w:pPr>
              <w:pStyle w:val="StdBodyTextBold"/>
              <w:rPr>
                <w:rFonts w:cs="Arial"/>
              </w:rPr>
            </w:pPr>
            <w:r>
              <w:rPr>
                <w:rFonts w:cs="Arial"/>
              </w:rPr>
              <w:t>“</w:t>
            </w:r>
            <w:r w:rsidRPr="00FC322D">
              <w:rPr>
                <w:rFonts w:cs="Arial"/>
              </w:rPr>
              <w:t>Valid</w:t>
            </w:r>
            <w:r>
              <w:rPr>
                <w:rFonts w:cs="Arial"/>
              </w:rPr>
              <w:t>”</w:t>
            </w:r>
          </w:p>
        </w:tc>
        <w:tc>
          <w:tcPr>
            <w:tcW w:w="6803" w:type="dxa"/>
          </w:tcPr>
          <w:p w14:paraId="317DC10B" w14:textId="7C7B33D8" w:rsidR="00F67E9E" w:rsidRPr="00FC322D" w:rsidRDefault="00F67E9E" w:rsidP="007F74AA">
            <w:pPr>
              <w:pStyle w:val="StdBodyText"/>
              <w:rPr>
                <w:rFonts w:cs="Arial"/>
              </w:rPr>
            </w:pPr>
            <w:r w:rsidRPr="00FC322D">
              <w:rPr>
                <w:rFonts w:cs="Arial"/>
              </w:rPr>
              <w:t xml:space="preserve">in respect of an Assurance, has the meaning given to it in </w:t>
            </w:r>
            <w:bookmarkStart w:id="311" w:name="_9kR3WTr2CC57GfEnoewrqyBJQ"/>
            <w:r w:rsidRPr="00FC322D">
              <w:rPr>
                <w:rFonts w:cs="Arial"/>
              </w:rPr>
              <w:t xml:space="preserve">Paragraph </w:t>
            </w:r>
            <w:bookmarkEnd w:id="311"/>
            <w:r w:rsidRPr="00FC322D">
              <w:rPr>
                <w:rFonts w:cs="Arial"/>
              </w:rPr>
              <w:fldChar w:fldCharType="begin"/>
            </w:r>
            <w:r w:rsidRPr="00FC322D">
              <w:rPr>
                <w:rFonts w:cs="Arial"/>
              </w:rPr>
              <w:instrText xml:space="preserve"> REF _Ref44573382 \r \h  \* MERGEFORMAT </w:instrText>
            </w:r>
            <w:r w:rsidRPr="00FC322D">
              <w:rPr>
                <w:rFonts w:cs="Arial"/>
              </w:rPr>
            </w:r>
            <w:r w:rsidRPr="00FC322D">
              <w:rPr>
                <w:rFonts w:cs="Arial"/>
              </w:rPr>
              <w:fldChar w:fldCharType="separate"/>
            </w:r>
            <w:r w:rsidR="00302D39">
              <w:rPr>
                <w:rFonts w:cs="Arial"/>
              </w:rPr>
              <w:t>2.7</w:t>
            </w:r>
            <w:r w:rsidRPr="00FC322D">
              <w:rPr>
                <w:rFonts w:cs="Arial"/>
              </w:rPr>
              <w:fldChar w:fldCharType="end"/>
            </w:r>
            <w:r w:rsidRPr="00FC322D">
              <w:rPr>
                <w:rFonts w:cs="Arial"/>
              </w:rPr>
              <w:t xml:space="preserve"> of </w:t>
            </w:r>
            <w:r w:rsidRPr="00FC322D">
              <w:rPr>
                <w:rFonts w:cs="Arial"/>
              </w:rPr>
              <w:fldChar w:fldCharType="begin"/>
            </w:r>
            <w:r w:rsidRPr="00FC322D">
              <w:rPr>
                <w:rFonts w:cs="Arial"/>
              </w:rPr>
              <w:instrText xml:space="preserve"> REF Sch26PartB \h  \* MERGEFORMAT </w:instrText>
            </w:r>
            <w:r w:rsidRPr="00FC322D">
              <w:rPr>
                <w:rFonts w:cs="Arial"/>
              </w:rPr>
            </w:r>
            <w:r w:rsidRPr="00FC322D">
              <w:rPr>
                <w:rFonts w:cs="Arial"/>
              </w:rPr>
              <w:fldChar w:fldCharType="separate"/>
            </w:r>
            <w:r w:rsidR="00302D39" w:rsidRPr="00302D39">
              <w:rPr>
                <w:rFonts w:cs="Arial"/>
              </w:rPr>
              <w:t>Part B</w:t>
            </w:r>
            <w:r w:rsidRPr="00FC322D">
              <w:rPr>
                <w:rFonts w:cs="Arial"/>
              </w:rPr>
              <w:fldChar w:fldCharType="end"/>
            </w:r>
            <w:r w:rsidRPr="00FC322D">
              <w:rPr>
                <w:rFonts w:cs="Arial"/>
              </w:rPr>
              <w:t xml:space="preserve"> to </w:t>
            </w:r>
            <w:r>
              <w:rPr>
                <w:rFonts w:cs="Arial"/>
              </w:rPr>
              <w:fldChar w:fldCharType="begin"/>
            </w:r>
            <w:r>
              <w:rPr>
                <w:rFonts w:cs="Arial"/>
              </w:rPr>
              <w:instrText xml:space="preserve"> REF Schedule26 \h </w:instrText>
            </w:r>
            <w:r>
              <w:rPr>
                <w:rFonts w:cs="Arial"/>
              </w:rPr>
            </w:r>
            <w:r>
              <w:rPr>
                <w:rFonts w:cs="Arial"/>
              </w:rPr>
              <w:fldChar w:fldCharType="separate"/>
            </w:r>
            <w:r w:rsidR="00302D39" w:rsidRPr="005D0525">
              <w:t>Schedule</w:t>
            </w:r>
            <w:r w:rsidR="00302D39">
              <w:t> </w:t>
            </w:r>
            <w:r w:rsidR="00302D39" w:rsidRPr="005D0525">
              <w:t>26</w:t>
            </w:r>
            <w:r>
              <w:rPr>
                <w:rFonts w:cs="Arial"/>
              </w:rPr>
              <w:fldChar w:fldCharType="end"/>
            </w:r>
            <w:r>
              <w:rPr>
                <w:rFonts w:cs="Arial"/>
              </w:rPr>
              <w:t xml:space="preserve"> (</w:t>
            </w:r>
            <w:r w:rsidRPr="00A22335">
              <w:rPr>
                <w:rFonts w:cs="Arial"/>
                <w:i/>
                <w:iCs/>
              </w:rPr>
              <w:fldChar w:fldCharType="begin"/>
            </w:r>
            <w:r w:rsidRPr="00A22335">
              <w:rPr>
                <w:rFonts w:cs="Arial"/>
                <w:i/>
                <w:iCs/>
              </w:rPr>
              <w:instrText xml:space="preserve"> REF Schedule26Heading \h </w:instrText>
            </w:r>
            <w:r>
              <w:rPr>
                <w:rFonts w:cs="Arial"/>
                <w:i/>
                <w:iCs/>
              </w:rPr>
              <w:instrText xml:space="preserve"> \* MERGEFORMAT </w:instrText>
            </w:r>
            <w:r w:rsidRPr="00A22335">
              <w:rPr>
                <w:rFonts w:cs="Arial"/>
                <w:i/>
                <w:iCs/>
              </w:rPr>
            </w:r>
            <w:r w:rsidRPr="00A22335">
              <w:rPr>
                <w:rFonts w:cs="Arial"/>
                <w:i/>
                <w:iCs/>
              </w:rPr>
              <w:fldChar w:fldCharType="separate"/>
            </w:r>
            <w:r w:rsidR="00302D39" w:rsidRPr="00302D39">
              <w:rPr>
                <w:i/>
                <w:iCs/>
              </w:rPr>
              <w:t>Service Continuity Plan and Corporate Resolution Planning</w:t>
            </w:r>
            <w:r w:rsidRPr="00A22335">
              <w:rPr>
                <w:rFonts w:cs="Arial"/>
                <w:i/>
                <w:iCs/>
              </w:rPr>
              <w:fldChar w:fldCharType="end"/>
            </w:r>
            <w:r>
              <w:rPr>
                <w:rFonts w:cs="Arial"/>
              </w:rPr>
              <w:t>)</w:t>
            </w:r>
            <w:r w:rsidRPr="00FC322D">
              <w:rPr>
                <w:rFonts w:cs="Arial"/>
              </w:rPr>
              <w:t>;</w:t>
            </w:r>
          </w:p>
        </w:tc>
      </w:tr>
      <w:tr w:rsidR="00F67E9E" w:rsidRPr="00FC322D" w14:paraId="40ED6C63" w14:textId="77777777" w:rsidTr="007F74AA">
        <w:tc>
          <w:tcPr>
            <w:tcW w:w="2835" w:type="dxa"/>
          </w:tcPr>
          <w:p w14:paraId="488D2F07" w14:textId="77777777" w:rsidR="00F67E9E" w:rsidRPr="00FC322D" w:rsidRDefault="00F67E9E" w:rsidP="007F74AA">
            <w:pPr>
              <w:pStyle w:val="StdBodyTextBold"/>
              <w:rPr>
                <w:rFonts w:cs="Arial"/>
              </w:rPr>
            </w:pPr>
            <w:r>
              <w:rPr>
                <w:rFonts w:cs="Arial"/>
              </w:rPr>
              <w:t>“</w:t>
            </w:r>
            <w:r w:rsidRPr="00FC322D">
              <w:rPr>
                <w:rFonts w:cs="Arial"/>
              </w:rPr>
              <w:t>VAT</w:t>
            </w:r>
            <w:r>
              <w:rPr>
                <w:rFonts w:cs="Arial"/>
              </w:rPr>
              <w:t>”</w:t>
            </w:r>
          </w:p>
        </w:tc>
        <w:tc>
          <w:tcPr>
            <w:tcW w:w="6803" w:type="dxa"/>
          </w:tcPr>
          <w:p w14:paraId="6B51EC91" w14:textId="77777777" w:rsidR="00F67E9E" w:rsidRPr="00FC322D" w:rsidRDefault="00F67E9E" w:rsidP="007F74AA">
            <w:pPr>
              <w:pStyle w:val="StdBodyText"/>
              <w:rPr>
                <w:rFonts w:cs="Arial"/>
              </w:rPr>
            </w:pPr>
            <w:r w:rsidRPr="00FC322D">
              <w:rPr>
                <w:rFonts w:cs="Arial"/>
              </w:rPr>
              <w:t xml:space="preserve">value added tax as provided for in the </w:t>
            </w:r>
            <w:bookmarkStart w:id="312" w:name="_9kR3WTr277CKLkKh2wD7hjkaS3eE4UYhd"/>
            <w:r w:rsidRPr="00FC322D">
              <w:rPr>
                <w:rFonts w:cs="Arial"/>
              </w:rPr>
              <w:t>Value Added Tax Act 1994</w:t>
            </w:r>
            <w:bookmarkEnd w:id="312"/>
            <w:r w:rsidRPr="00FC322D">
              <w:rPr>
                <w:rFonts w:cs="Arial"/>
              </w:rPr>
              <w:t>;</w:t>
            </w:r>
          </w:p>
        </w:tc>
      </w:tr>
      <w:tr w:rsidR="00F67E9E" w:rsidRPr="00FC322D" w14:paraId="47ADE3A6" w14:textId="77777777" w:rsidTr="007F74AA">
        <w:tc>
          <w:tcPr>
            <w:tcW w:w="2835" w:type="dxa"/>
          </w:tcPr>
          <w:p w14:paraId="6F63F997" w14:textId="77777777" w:rsidR="00F67E9E" w:rsidRPr="00FC322D" w:rsidRDefault="00F67E9E" w:rsidP="007F74AA">
            <w:pPr>
              <w:pStyle w:val="StdBodyTextBold"/>
              <w:rPr>
                <w:rFonts w:cs="Arial"/>
              </w:rPr>
            </w:pPr>
            <w:r>
              <w:rPr>
                <w:rFonts w:cs="Arial"/>
              </w:rPr>
              <w:t>“</w:t>
            </w:r>
            <w:r w:rsidRPr="00FC322D">
              <w:rPr>
                <w:rFonts w:cs="Arial"/>
              </w:rPr>
              <w:t>VCSE</w:t>
            </w:r>
            <w:r>
              <w:rPr>
                <w:rFonts w:cs="Arial"/>
              </w:rPr>
              <w:t>”</w:t>
            </w:r>
          </w:p>
        </w:tc>
        <w:tc>
          <w:tcPr>
            <w:tcW w:w="6803" w:type="dxa"/>
          </w:tcPr>
          <w:p w14:paraId="696AF7B6" w14:textId="77777777" w:rsidR="00F67E9E" w:rsidRPr="00FC322D" w:rsidRDefault="00F67E9E" w:rsidP="007F74AA">
            <w:pPr>
              <w:pStyle w:val="StdBodyText"/>
              <w:rPr>
                <w:rFonts w:cs="Arial"/>
              </w:rPr>
            </w:pPr>
            <w:r w:rsidRPr="00FC322D">
              <w:rPr>
                <w:rFonts w:cs="Arial"/>
              </w:rPr>
              <w:t>means a non-governmental organisation that is value-driven and which principally reinvests its surpluses to further social, environmental or cultural objectives;</w:t>
            </w:r>
          </w:p>
        </w:tc>
      </w:tr>
      <w:tr w:rsidR="00F67E9E" w:rsidRPr="00FC322D" w14:paraId="022541FC" w14:textId="77777777" w:rsidTr="007F74AA">
        <w:tc>
          <w:tcPr>
            <w:tcW w:w="2835" w:type="dxa"/>
          </w:tcPr>
          <w:p w14:paraId="75032BAC" w14:textId="77777777" w:rsidR="00F67E9E" w:rsidRPr="00FC322D" w:rsidRDefault="00F67E9E" w:rsidP="007F74AA">
            <w:pPr>
              <w:pStyle w:val="StdBodyTextBold"/>
              <w:rPr>
                <w:rFonts w:cs="Arial"/>
              </w:rPr>
            </w:pPr>
            <w:r>
              <w:rPr>
                <w:rFonts w:cs="Arial"/>
              </w:rPr>
              <w:t>“</w:t>
            </w:r>
            <w:r w:rsidRPr="00FC322D">
              <w:rPr>
                <w:rFonts w:cs="Arial"/>
              </w:rPr>
              <w:t>Virtual Library</w:t>
            </w:r>
            <w:r>
              <w:rPr>
                <w:rFonts w:cs="Arial"/>
              </w:rPr>
              <w:t>”</w:t>
            </w:r>
          </w:p>
        </w:tc>
        <w:tc>
          <w:tcPr>
            <w:tcW w:w="6803" w:type="dxa"/>
          </w:tcPr>
          <w:p w14:paraId="15AF538F" w14:textId="33512BE0" w:rsidR="00F67E9E" w:rsidRPr="00FC322D" w:rsidRDefault="00F67E9E" w:rsidP="007F74AA">
            <w:pPr>
              <w:pStyle w:val="StdBodyText"/>
              <w:rPr>
                <w:rFonts w:cs="Arial"/>
              </w:rPr>
            </w:pPr>
            <w:r w:rsidRPr="00FC322D">
              <w:rPr>
                <w:rFonts w:cs="Arial"/>
              </w:rPr>
              <w:t xml:space="preserve">means the data repository hosted by the Supplier containing the information about this Contract and the Services provided under it in accordance with </w:t>
            </w:r>
            <w:r>
              <w:rPr>
                <w:rFonts w:cs="Arial"/>
              </w:rPr>
              <w:fldChar w:fldCharType="begin"/>
            </w:r>
            <w:r>
              <w:rPr>
                <w:rFonts w:cs="Arial"/>
              </w:rPr>
              <w:instrText xml:space="preserve"> REF Schedule24 \h </w:instrText>
            </w:r>
            <w:r>
              <w:rPr>
                <w:rFonts w:cs="Arial"/>
              </w:rPr>
            </w:r>
            <w:r>
              <w:rPr>
                <w:rFonts w:cs="Arial"/>
              </w:rPr>
              <w:fldChar w:fldCharType="separate"/>
            </w:r>
            <w:r w:rsidR="00302D39" w:rsidRPr="005D0525">
              <w:t>Schedule</w:t>
            </w:r>
            <w:r w:rsidR="00302D39">
              <w:t> </w:t>
            </w:r>
            <w:r w:rsidR="00302D39" w:rsidRPr="005D0525">
              <w:t>24</w:t>
            </w:r>
            <w:r>
              <w:rPr>
                <w:rFonts w:cs="Arial"/>
              </w:rPr>
              <w:fldChar w:fldCharType="end"/>
            </w:r>
            <w:r>
              <w:rPr>
                <w:rFonts w:cs="Arial"/>
              </w:rPr>
              <w:t xml:space="preserve"> (</w:t>
            </w:r>
            <w:r w:rsidRPr="00A22335">
              <w:rPr>
                <w:rFonts w:cs="Arial"/>
                <w:i/>
                <w:iCs/>
              </w:rPr>
              <w:fldChar w:fldCharType="begin"/>
            </w:r>
            <w:r w:rsidRPr="00A22335">
              <w:rPr>
                <w:rFonts w:cs="Arial"/>
                <w:i/>
                <w:iCs/>
              </w:rPr>
              <w:instrText xml:space="preserve"> REF Schedule24Heading \h </w:instrText>
            </w:r>
            <w:r>
              <w:rPr>
                <w:rFonts w:cs="Arial"/>
                <w:i/>
                <w:iCs/>
              </w:rPr>
              <w:instrText xml:space="preserve"> \* MERGEFORMAT </w:instrText>
            </w:r>
            <w:r w:rsidRPr="00A22335">
              <w:rPr>
                <w:rFonts w:cs="Arial"/>
                <w:i/>
                <w:iCs/>
              </w:rPr>
            </w:r>
            <w:r w:rsidRPr="00A22335">
              <w:rPr>
                <w:rFonts w:cs="Arial"/>
                <w:i/>
                <w:iCs/>
              </w:rPr>
              <w:fldChar w:fldCharType="separate"/>
            </w:r>
            <w:r w:rsidR="00302D39" w:rsidRPr="00302D39">
              <w:rPr>
                <w:i/>
                <w:iCs/>
              </w:rPr>
              <w:t>Reports and Records Provisions</w:t>
            </w:r>
            <w:r w:rsidRPr="00A22335">
              <w:rPr>
                <w:rFonts w:cs="Arial"/>
                <w:i/>
                <w:iCs/>
              </w:rPr>
              <w:fldChar w:fldCharType="end"/>
            </w:r>
            <w:r>
              <w:rPr>
                <w:rFonts w:cs="Arial"/>
              </w:rPr>
              <w:t>)</w:t>
            </w:r>
            <w:r w:rsidRPr="00FC322D">
              <w:rPr>
                <w:rFonts w:cs="Arial"/>
              </w:rPr>
              <w:t>; and</w:t>
            </w:r>
          </w:p>
        </w:tc>
      </w:tr>
      <w:tr w:rsidR="00F67E9E" w:rsidRPr="00FC322D" w14:paraId="33B0F34C" w14:textId="77777777" w:rsidTr="007F74AA">
        <w:tc>
          <w:tcPr>
            <w:tcW w:w="2835" w:type="dxa"/>
          </w:tcPr>
          <w:p w14:paraId="6A611A64" w14:textId="77777777" w:rsidR="00F67E9E" w:rsidRPr="00FC322D" w:rsidRDefault="00F67E9E" w:rsidP="007F74AA">
            <w:pPr>
              <w:pStyle w:val="StdBodyTextBold"/>
              <w:rPr>
                <w:rFonts w:cs="Arial"/>
              </w:rPr>
            </w:pPr>
            <w:r>
              <w:rPr>
                <w:rFonts w:cs="Arial"/>
              </w:rPr>
              <w:t>“</w:t>
            </w:r>
            <w:r w:rsidRPr="00FC322D">
              <w:rPr>
                <w:rFonts w:cs="Arial"/>
              </w:rPr>
              <w:t>Working Day</w:t>
            </w:r>
            <w:r>
              <w:rPr>
                <w:rFonts w:cs="Arial"/>
              </w:rPr>
              <w:t>”</w:t>
            </w:r>
          </w:p>
        </w:tc>
        <w:tc>
          <w:tcPr>
            <w:tcW w:w="6803" w:type="dxa"/>
          </w:tcPr>
          <w:p w14:paraId="2A3E50DD" w14:textId="77777777" w:rsidR="00F67E9E" w:rsidRPr="00FC322D" w:rsidRDefault="00F67E9E" w:rsidP="007F74AA">
            <w:pPr>
              <w:pStyle w:val="StdBodyText"/>
              <w:rPr>
                <w:rFonts w:cs="Arial"/>
              </w:rPr>
            </w:pPr>
            <w:r w:rsidRPr="00FC322D">
              <w:rPr>
                <w:rFonts w:cs="Arial"/>
              </w:rPr>
              <w:t>any day other than a Saturday, Sunday or public holiday in England and Wales.</w:t>
            </w:r>
          </w:p>
        </w:tc>
      </w:tr>
      <w:bookmarkEnd w:id="0"/>
    </w:tbl>
    <w:p w14:paraId="26726940" w14:textId="77777777" w:rsidR="00F67E9E" w:rsidRDefault="00F67E9E" w:rsidP="00F67E9E"/>
    <w:p w14:paraId="0E3C9066" w14:textId="77777777" w:rsidR="00F67E9E" w:rsidRDefault="00F67E9E" w:rsidP="00F67E9E"/>
    <w:p w14:paraId="447C4BDB" w14:textId="77777777" w:rsidR="00F67E9E" w:rsidRPr="00FC322D" w:rsidRDefault="00F67E9E" w:rsidP="00F67E9E">
      <w:pPr>
        <w:sectPr w:rsidR="00F67E9E" w:rsidRPr="00FC322D" w:rsidSect="00240D26">
          <w:headerReference w:type="default" r:id="rId25"/>
          <w:footerReference w:type="default" r:id="rId26"/>
          <w:pgSz w:w="11900" w:h="16840" w:code="9"/>
          <w:pgMar w:top="1701" w:right="851" w:bottom="1134" w:left="851" w:header="567" w:footer="567" w:gutter="0"/>
          <w:cols w:space="720"/>
          <w:docGrid w:linePitch="360"/>
        </w:sectPr>
      </w:pPr>
    </w:p>
    <w:p w14:paraId="6F76F03D" w14:textId="77777777" w:rsidR="00F67E9E" w:rsidRPr="007C55B2" w:rsidRDefault="00F67E9E" w:rsidP="00F67E9E">
      <w:pPr>
        <w:pStyle w:val="Dividername"/>
      </w:pPr>
      <w:bookmarkStart w:id="313" w:name="_Ref92197519"/>
      <w:r w:rsidRPr="007C55B2">
        <w:t>Schedule 2</w:t>
      </w:r>
    </w:p>
    <w:p w14:paraId="40EB52A4" w14:textId="77777777" w:rsidR="00F67E9E" w:rsidRPr="007C55B2" w:rsidRDefault="00F67E9E" w:rsidP="00F67E9E">
      <w:pPr>
        <w:pStyle w:val="Dividername"/>
      </w:pPr>
      <w:r w:rsidRPr="007C55B2">
        <w:t>Services Description</w:t>
      </w:r>
    </w:p>
    <w:p w14:paraId="1ECE286F" w14:textId="77777777" w:rsidR="00F67E9E" w:rsidRDefault="00F67E9E" w:rsidP="00F67E9E"/>
    <w:p w14:paraId="65F1EF68" w14:textId="77777777" w:rsidR="00F67E9E" w:rsidRPr="005D0525" w:rsidRDefault="00F67E9E" w:rsidP="00F67E9E">
      <w:pPr>
        <w:pStyle w:val="Heading1"/>
      </w:pPr>
      <w:bookmarkStart w:id="314" w:name="Schedule2"/>
      <w:bookmarkStart w:id="315" w:name="_Ref92707577"/>
      <w:bookmarkStart w:id="316" w:name="_Toc141711899"/>
      <w:r w:rsidRPr="005D0525">
        <w:t>Schedule</w:t>
      </w:r>
      <w:r>
        <w:t> </w:t>
      </w:r>
      <w:r w:rsidRPr="005D0525">
        <w:t>2</w:t>
      </w:r>
      <w:bookmarkEnd w:id="314"/>
      <w:r>
        <w:t xml:space="preserve">: </w:t>
      </w:r>
      <w:bookmarkStart w:id="317" w:name="Schedule2Heading"/>
      <w:r w:rsidRPr="00F97284">
        <w:t>Services Description</w:t>
      </w:r>
      <w:bookmarkEnd w:id="313"/>
      <w:bookmarkEnd w:id="315"/>
      <w:bookmarkEnd w:id="316"/>
      <w:bookmarkEnd w:id="317"/>
    </w:p>
    <w:p w14:paraId="0D7A54C2" w14:textId="77777777" w:rsidR="00F67E9E" w:rsidRPr="0043675B" w:rsidRDefault="00F67E9E" w:rsidP="00F67E9E">
      <w:pPr>
        <w:pStyle w:val="Numbered1"/>
        <w:numPr>
          <w:ilvl w:val="0"/>
          <w:numId w:val="156"/>
        </w:numPr>
      </w:pPr>
      <w:r w:rsidRPr="0043675B">
        <w:t>Definitions</w:t>
      </w:r>
    </w:p>
    <w:p w14:paraId="29124023" w14:textId="77777777" w:rsidR="00F67E9E" w:rsidRDefault="00F67E9E" w:rsidP="00F67E9E">
      <w:pPr>
        <w:pStyle w:val="Numbered11"/>
      </w:pPr>
      <w:r w:rsidRPr="00FC322D">
        <w:t>In this Schedule, the following</w:t>
      </w:r>
      <w:r>
        <w:t xml:space="preserve"> definitions shall apply:</w:t>
      </w:r>
    </w:p>
    <w:p w14:paraId="3C335841" w14:textId="77777777" w:rsidR="00F67E9E" w:rsidRPr="003535B2" w:rsidRDefault="00F67E9E" w:rsidP="00F67E9E">
      <w:pPr>
        <w:pStyle w:val="StdBodyText"/>
        <w:tabs>
          <w:tab w:val="left" w:pos="3000"/>
        </w:tabs>
        <w:ind w:left="732"/>
        <w:rPr>
          <w:bCs/>
          <w:iCs/>
        </w:rPr>
      </w:pPr>
      <w:r w:rsidRPr="00B73DD6">
        <w:rPr>
          <w:b/>
          <w:bCs/>
          <w:iCs/>
          <w:highlight w:val="yellow"/>
        </w:rPr>
        <w:t>[insert</w:t>
      </w:r>
      <w:r w:rsidRPr="003535B2">
        <w:rPr>
          <w:bCs/>
          <w:iCs/>
          <w:highlight w:val="yellow"/>
        </w:rPr>
        <w:t xml:space="preserve"> definitions as required]</w:t>
      </w:r>
    </w:p>
    <w:p w14:paraId="18CD91C7" w14:textId="77777777" w:rsidR="00F67E9E" w:rsidRDefault="00F67E9E" w:rsidP="00F67E9E">
      <w:pPr>
        <w:pStyle w:val="Numbered1"/>
      </w:pPr>
      <w:r>
        <w:t>Introduction</w:t>
      </w:r>
    </w:p>
    <w:p w14:paraId="215E42CE" w14:textId="77777777" w:rsidR="00F67E9E" w:rsidRPr="001C4B30" w:rsidRDefault="00F67E9E" w:rsidP="00F67E9E">
      <w:pPr>
        <w:pStyle w:val="Numbered11"/>
        <w:rPr>
          <w:highlight w:val="yellow"/>
        </w:rPr>
      </w:pPr>
      <w:r w:rsidRPr="001C4B30">
        <w:rPr>
          <w:highlight w:val="yellow"/>
        </w:rPr>
        <w:t>[</w:t>
      </w:r>
      <w:r w:rsidRPr="0043675B">
        <w:rPr>
          <w:b/>
          <w:bCs/>
          <w:highlight w:val="yellow"/>
        </w:rPr>
        <w:t>Outline</w:t>
      </w:r>
      <w:r w:rsidRPr="001C4B30">
        <w:rPr>
          <w:highlight w:val="yellow"/>
        </w:rPr>
        <w:t xml:space="preserve"> why the Authority has identified that it needs the Supplier to provide the Services.]</w:t>
      </w:r>
    </w:p>
    <w:p w14:paraId="3835A590" w14:textId="77777777" w:rsidR="00F67E9E" w:rsidRDefault="00F67E9E" w:rsidP="00F67E9E">
      <w:pPr>
        <w:pStyle w:val="Numbered11"/>
      </w:pPr>
      <w:r w:rsidRPr="00FC322D">
        <w:t>This Schedule sets out</w:t>
      </w:r>
      <w:r>
        <w:t xml:space="preserve"> the intended scope of the Services to be provided by the Supplier and to provide a description of what each Service entails.</w:t>
      </w:r>
    </w:p>
    <w:p w14:paraId="7D1D5F26" w14:textId="77777777" w:rsidR="00F67E9E" w:rsidRDefault="00F67E9E" w:rsidP="00F67E9E">
      <w:pPr>
        <w:pStyle w:val="Numbered1"/>
      </w:pPr>
      <w:r>
        <w:t>Services Description</w:t>
      </w:r>
    </w:p>
    <w:p w14:paraId="6AD82CD6" w14:textId="77777777" w:rsidR="00F67E9E" w:rsidRPr="00F97284" w:rsidRDefault="00F67E9E" w:rsidP="00F67E9E">
      <w:pPr>
        <w:pStyle w:val="Numbered11"/>
      </w:pPr>
      <w:r w:rsidRPr="00991A10">
        <w:rPr>
          <w:rStyle w:val="StdBodyTextBoldChar"/>
          <w:rFonts w:eastAsiaTheme="majorEastAsia"/>
        </w:rPr>
        <w:t>Implementation Services</w:t>
      </w:r>
      <w:r>
        <w:t xml:space="preserve"> </w:t>
      </w:r>
      <w:r w:rsidRPr="00166697">
        <w:t>–</w:t>
      </w:r>
      <w:r w:rsidRPr="00F97284">
        <w:t xml:space="preserve"> </w:t>
      </w:r>
      <w:r w:rsidRPr="00F97284">
        <w:rPr>
          <w:highlight w:val="yellow"/>
        </w:rPr>
        <w:t>[</w:t>
      </w:r>
      <w:r w:rsidRPr="0043675B">
        <w:rPr>
          <w:b/>
          <w:bCs/>
          <w:highlight w:val="yellow"/>
        </w:rPr>
        <w:t>Description</w:t>
      </w:r>
      <w:r w:rsidRPr="00F97284">
        <w:rPr>
          <w:highlight w:val="yellow"/>
        </w:rPr>
        <w:t xml:space="preserve"> of the services to be provided by the Supplier for the design, build, test, implementation and roll out of the Operational Services]</w:t>
      </w:r>
    </w:p>
    <w:p w14:paraId="023D0DA6" w14:textId="77777777" w:rsidR="00F67E9E" w:rsidRPr="00F97284" w:rsidRDefault="00F67E9E" w:rsidP="00F67E9E">
      <w:pPr>
        <w:pStyle w:val="Numbered11"/>
      </w:pPr>
      <w:r w:rsidRPr="00991A10">
        <w:rPr>
          <w:rStyle w:val="StdBodyTextBoldChar"/>
          <w:rFonts w:eastAsiaTheme="majorEastAsia"/>
        </w:rPr>
        <w:t>Operational</w:t>
      </w:r>
      <w:r>
        <w:t xml:space="preserve"> </w:t>
      </w:r>
      <w:r w:rsidRPr="00991A10">
        <w:rPr>
          <w:rStyle w:val="StdBodyTextBoldChar"/>
          <w:rFonts w:eastAsiaTheme="majorEastAsia"/>
        </w:rPr>
        <w:t>Services</w:t>
      </w:r>
      <w:r>
        <w:t xml:space="preserve"> </w:t>
      </w:r>
      <w:r w:rsidRPr="00166697">
        <w:t>–</w:t>
      </w:r>
      <w:r w:rsidRPr="00F97284">
        <w:t xml:space="preserve"> </w:t>
      </w:r>
      <w:r w:rsidRPr="00F97284">
        <w:rPr>
          <w:highlight w:val="yellow"/>
        </w:rPr>
        <w:t>[</w:t>
      </w:r>
      <w:r w:rsidRPr="0043675B">
        <w:rPr>
          <w:b/>
          <w:bCs/>
          <w:highlight w:val="yellow"/>
        </w:rPr>
        <w:t>Description</w:t>
      </w:r>
      <w:r w:rsidRPr="00F97284">
        <w:rPr>
          <w:highlight w:val="yellow"/>
        </w:rPr>
        <w:t xml:space="preserve"> of the business as usual services including Operational Hours]</w:t>
      </w:r>
    </w:p>
    <w:p w14:paraId="7B414F2D" w14:textId="77777777" w:rsidR="00F67E9E" w:rsidRDefault="00F67E9E" w:rsidP="00F67E9E">
      <w:pPr>
        <w:pStyle w:val="Numbered11"/>
      </w:pPr>
      <w:r w:rsidRPr="00991A10">
        <w:rPr>
          <w:rStyle w:val="StdBodyTextBoldChar"/>
          <w:rFonts w:eastAsiaTheme="majorEastAsia"/>
        </w:rPr>
        <w:t>Interface</w:t>
      </w:r>
      <w:r>
        <w:t xml:space="preserve"> </w:t>
      </w:r>
      <w:r w:rsidRPr="00991A10">
        <w:rPr>
          <w:rStyle w:val="StdBodyTextBoldChar"/>
          <w:rFonts w:eastAsiaTheme="majorEastAsia"/>
        </w:rPr>
        <w:t>Requirements</w:t>
      </w:r>
      <w:r>
        <w:rPr>
          <w:rStyle w:val="StdBodyTextBoldChar"/>
          <w:rFonts w:eastAsiaTheme="majorEastAsia"/>
        </w:rPr>
        <w:t xml:space="preserve"> - </w:t>
      </w:r>
      <w:r w:rsidRPr="00B73DD6">
        <w:rPr>
          <w:b/>
          <w:bCs/>
          <w:iCs/>
          <w:highlight w:val="yellow"/>
        </w:rPr>
        <w:t>[insert</w:t>
      </w:r>
      <w:r w:rsidRPr="003535B2">
        <w:rPr>
          <w:bCs/>
          <w:iCs/>
          <w:highlight w:val="yellow"/>
        </w:rPr>
        <w:t xml:space="preserve"> as required</w:t>
      </w:r>
    </w:p>
    <w:p w14:paraId="13876232" w14:textId="77777777" w:rsidR="00F67E9E" w:rsidRPr="00D55DF4" w:rsidRDefault="00F67E9E" w:rsidP="00F67E9E">
      <w:pPr>
        <w:pStyle w:val="Numbered111"/>
      </w:pPr>
      <w:r w:rsidRPr="00D55DF4">
        <w:t>technical interface and</w:t>
      </w:r>
    </w:p>
    <w:p w14:paraId="4BCED17C" w14:textId="77777777" w:rsidR="00F67E9E" w:rsidRPr="00D55DF4" w:rsidRDefault="00F67E9E" w:rsidP="00F67E9E">
      <w:pPr>
        <w:pStyle w:val="Numbered111"/>
      </w:pPr>
      <w:r w:rsidRPr="00D55DF4">
        <w:t>management obligations/responsibilities</w:t>
      </w:r>
      <w:r>
        <w:t>]</w:t>
      </w:r>
    </w:p>
    <w:p w14:paraId="58475A29" w14:textId="77777777" w:rsidR="00F67E9E" w:rsidRDefault="00F67E9E" w:rsidP="00F67E9E">
      <w:pPr>
        <w:pStyle w:val="Numbered11"/>
        <w:rPr>
          <w:rStyle w:val="StdBodyTextBoldChar"/>
          <w:rFonts w:eastAsiaTheme="majorEastAsia"/>
        </w:rPr>
      </w:pPr>
      <w:r w:rsidRPr="00991A10">
        <w:rPr>
          <w:rStyle w:val="StdBodyTextBoldChar"/>
          <w:rFonts w:eastAsiaTheme="majorEastAsia"/>
        </w:rPr>
        <w:t>Security</w:t>
      </w:r>
      <w:r>
        <w:t xml:space="preserve"> </w:t>
      </w:r>
      <w:r w:rsidRPr="00991A10">
        <w:rPr>
          <w:rStyle w:val="StdBodyTextBoldChar"/>
          <w:rFonts w:eastAsiaTheme="majorEastAsia"/>
        </w:rPr>
        <w:t>Requirements</w:t>
      </w:r>
      <w:r>
        <w:rPr>
          <w:rStyle w:val="StdBodyTextBoldChar"/>
          <w:rFonts w:eastAsiaTheme="majorEastAsia"/>
        </w:rPr>
        <w:t xml:space="preserve"> </w:t>
      </w:r>
      <w:r w:rsidRPr="00B73DD6">
        <w:rPr>
          <w:b/>
          <w:bCs/>
          <w:iCs/>
          <w:highlight w:val="yellow"/>
        </w:rPr>
        <w:t>[insert</w:t>
      </w:r>
      <w:r w:rsidRPr="003535B2">
        <w:rPr>
          <w:bCs/>
          <w:iCs/>
          <w:highlight w:val="yellow"/>
        </w:rPr>
        <w:t xml:space="preserve"> as required</w:t>
      </w:r>
      <w:r w:rsidRPr="0043675B">
        <w:rPr>
          <w:bCs/>
          <w:iCs/>
          <w:highlight w:val="yellow"/>
        </w:rPr>
        <w:t>]</w:t>
      </w:r>
    </w:p>
    <w:p w14:paraId="445AC81C" w14:textId="77777777" w:rsidR="00F67E9E" w:rsidRPr="009E1FEF" w:rsidRDefault="00F67E9E" w:rsidP="00F67E9E">
      <w:pPr>
        <w:pStyle w:val="Numbered11"/>
      </w:pPr>
      <w:r w:rsidRPr="001C4B30">
        <w:rPr>
          <w:b/>
          <w:bCs/>
        </w:rPr>
        <w:t>Social Value Requirements</w:t>
      </w:r>
      <w:r w:rsidRPr="00166697">
        <w:t xml:space="preserve"> – </w:t>
      </w:r>
      <w:r w:rsidRPr="00F97284">
        <w:rPr>
          <w:iCs/>
        </w:rPr>
        <w:t>[</w:t>
      </w:r>
      <w:r w:rsidRPr="0043675B">
        <w:rPr>
          <w:b/>
          <w:bCs/>
          <w:iCs/>
          <w:shd w:val="clear" w:color="auto" w:fill="FFFF00"/>
        </w:rPr>
        <w:t>Description</w:t>
      </w:r>
      <w:r w:rsidRPr="00F97284">
        <w:rPr>
          <w:iCs/>
          <w:shd w:val="clear" w:color="auto" w:fill="FFFF00"/>
        </w:rPr>
        <w:t xml:space="preserve"> of the additional social, environmental and economic benefits to be delivered in line with the </w:t>
      </w:r>
      <w:hyperlink r:id="rId27" w:history="1">
        <w:r w:rsidRPr="00F97284">
          <w:rPr>
            <w:rStyle w:val="Hyperlink"/>
            <w:rFonts w:cs="Arial"/>
            <w:b/>
            <w:iCs/>
            <w:color w:val="1155CC"/>
            <w:shd w:val="clear" w:color="auto" w:fill="FFFF00"/>
          </w:rPr>
          <w:t>Public Services (Social Value) Act 2012</w:t>
        </w:r>
      </w:hyperlink>
      <w:r w:rsidRPr="00F97284">
        <w:rPr>
          <w:iCs/>
          <w:shd w:val="clear" w:color="auto" w:fill="FFFF00"/>
        </w:rPr>
        <w:t xml:space="preserve">, </w:t>
      </w:r>
      <w:hyperlink r:id="rId28" w:history="1">
        <w:r w:rsidRPr="00F97284">
          <w:rPr>
            <w:rStyle w:val="Hyperlink"/>
            <w:rFonts w:cs="Arial"/>
            <w:b/>
            <w:iCs/>
            <w:color w:val="1155CC"/>
            <w:shd w:val="clear" w:color="auto" w:fill="FFFF00"/>
          </w:rPr>
          <w:t>PPN 06/20</w:t>
        </w:r>
      </w:hyperlink>
      <w:r w:rsidRPr="00F97284">
        <w:rPr>
          <w:iCs/>
          <w:shd w:val="clear" w:color="auto" w:fill="FFFF00"/>
        </w:rPr>
        <w:t>, and Authority policies and practices]</w:t>
      </w:r>
    </w:p>
    <w:p w14:paraId="69BBC59E" w14:textId="77777777" w:rsidR="00F67E9E" w:rsidRPr="00584280" w:rsidRDefault="00F67E9E" w:rsidP="00F67E9E">
      <w:pPr>
        <w:pStyle w:val="Numbered11"/>
      </w:pPr>
      <w:r w:rsidRPr="00991A10">
        <w:rPr>
          <w:rStyle w:val="StdBodyTextBoldChar"/>
          <w:rFonts w:eastAsiaTheme="majorEastAsia"/>
        </w:rPr>
        <w:t>Other</w:t>
      </w:r>
      <w:r>
        <w:t xml:space="preserve"> </w:t>
      </w:r>
      <w:r w:rsidRPr="00991A10">
        <w:rPr>
          <w:rStyle w:val="StdBodyTextBoldChar"/>
          <w:rFonts w:eastAsiaTheme="majorEastAsia"/>
        </w:rPr>
        <w:t>Authority</w:t>
      </w:r>
      <w:r>
        <w:t xml:space="preserve"> </w:t>
      </w:r>
      <w:r w:rsidRPr="00991A10">
        <w:rPr>
          <w:rStyle w:val="StdBodyTextBoldChar"/>
          <w:rFonts w:eastAsiaTheme="majorEastAsia"/>
        </w:rPr>
        <w:t>Requirements</w:t>
      </w:r>
      <w:r w:rsidRPr="001C4B30">
        <w:rPr>
          <w:rStyle w:val="StdBodyTextBoldChar"/>
          <w:rFonts w:eastAsiaTheme="majorEastAsia"/>
          <w:b w:val="0"/>
        </w:rPr>
        <w:t xml:space="preserve"> </w:t>
      </w:r>
      <w:r w:rsidRPr="001C4B30">
        <w:rPr>
          <w:bCs/>
        </w:rPr>
        <w:t>–</w:t>
      </w:r>
      <w:r w:rsidRPr="001C4B30">
        <w:rPr>
          <w:rStyle w:val="StdBodyTextBoldChar"/>
          <w:rFonts w:eastAsiaTheme="majorEastAsia"/>
          <w:b w:val="0"/>
        </w:rPr>
        <w:t xml:space="preserve"> </w:t>
      </w:r>
      <w:r w:rsidRPr="00F97284">
        <w:t>[</w:t>
      </w:r>
      <w:r w:rsidRPr="00F97284">
        <w:rPr>
          <w:highlight w:val="yellow"/>
        </w:rPr>
        <w:t>Description of any other requirements of the Authority e.g. wider sustainability requirements and other Authority commitments</w:t>
      </w:r>
      <w:r w:rsidRPr="00F97284">
        <w:t>]</w:t>
      </w:r>
    </w:p>
    <w:p w14:paraId="63992A5E" w14:textId="77777777" w:rsidR="00F67E9E" w:rsidRDefault="00F67E9E" w:rsidP="00F67E9E">
      <w:pPr>
        <w:pStyle w:val="Numbered11"/>
        <w:rPr>
          <w:rStyle w:val="StdBodyTextBoldChar"/>
          <w:rFonts w:eastAsiaTheme="majorEastAsia"/>
        </w:rPr>
      </w:pPr>
      <w:r w:rsidRPr="00991A10">
        <w:rPr>
          <w:rStyle w:val="StdBodyTextBoldChar"/>
          <w:rFonts w:eastAsiaTheme="majorEastAsia"/>
        </w:rPr>
        <w:t>Optional</w:t>
      </w:r>
      <w:r>
        <w:t xml:space="preserve"> </w:t>
      </w:r>
      <w:r w:rsidRPr="00991A10">
        <w:rPr>
          <w:rStyle w:val="StdBodyTextBoldChar"/>
          <w:rFonts w:eastAsiaTheme="majorEastAsia"/>
        </w:rPr>
        <w:t>Services</w:t>
      </w:r>
      <w:r>
        <w:rPr>
          <w:rStyle w:val="StdBodyTextBoldChar"/>
          <w:rFonts w:eastAsiaTheme="majorEastAsia"/>
        </w:rPr>
        <w:t xml:space="preserve"> - </w:t>
      </w:r>
      <w:r w:rsidRPr="00B73DD6">
        <w:rPr>
          <w:b/>
          <w:bCs/>
          <w:iCs/>
          <w:highlight w:val="yellow"/>
        </w:rPr>
        <w:t>[insert</w:t>
      </w:r>
      <w:r w:rsidRPr="003535B2">
        <w:rPr>
          <w:bCs/>
          <w:iCs/>
          <w:highlight w:val="yellow"/>
        </w:rPr>
        <w:t xml:space="preserve"> as required</w:t>
      </w:r>
      <w:r w:rsidRPr="0043675B">
        <w:rPr>
          <w:bCs/>
          <w:iCs/>
          <w:highlight w:val="yellow"/>
        </w:rPr>
        <w:t>]</w:t>
      </w:r>
    </w:p>
    <w:p w14:paraId="05FB4E8A" w14:textId="77777777" w:rsidR="00F67E9E" w:rsidRDefault="00F67E9E" w:rsidP="00F67E9E"/>
    <w:p w14:paraId="1500B750" w14:textId="77777777" w:rsidR="00F67E9E" w:rsidRPr="006A5EAC" w:rsidRDefault="00F67E9E" w:rsidP="00F67E9E"/>
    <w:p w14:paraId="57852DDC" w14:textId="77777777" w:rsidR="00F67E9E" w:rsidRDefault="00F67E9E" w:rsidP="00F67E9E">
      <w:pPr>
        <w:sectPr w:rsidR="00F67E9E" w:rsidSect="00240D26">
          <w:headerReference w:type="default" r:id="rId29"/>
          <w:footerReference w:type="default" r:id="rId30"/>
          <w:pgSz w:w="11900" w:h="16840" w:code="9"/>
          <w:pgMar w:top="1701" w:right="851" w:bottom="1134" w:left="851" w:header="567" w:footer="567" w:gutter="0"/>
          <w:cols w:space="720"/>
          <w:docGrid w:linePitch="360"/>
        </w:sectPr>
      </w:pPr>
    </w:p>
    <w:p w14:paraId="2B3D3ACC" w14:textId="77777777" w:rsidR="00F67E9E" w:rsidRPr="007C55B2" w:rsidRDefault="00F67E9E" w:rsidP="00F67E9E">
      <w:pPr>
        <w:pStyle w:val="Dividername"/>
      </w:pPr>
      <w:r w:rsidRPr="007C55B2">
        <w:t>Schedule 3</w:t>
      </w:r>
    </w:p>
    <w:p w14:paraId="670570D5" w14:textId="77777777" w:rsidR="00F67E9E" w:rsidRPr="007C55B2" w:rsidRDefault="00F67E9E" w:rsidP="00F67E9E">
      <w:pPr>
        <w:pStyle w:val="Dividername"/>
      </w:pPr>
      <w:r w:rsidRPr="007C55B2">
        <w:t>Performance Levels</w:t>
      </w:r>
    </w:p>
    <w:p w14:paraId="56C69B95" w14:textId="77777777" w:rsidR="00F67E9E" w:rsidRDefault="00F67E9E" w:rsidP="00F67E9E"/>
    <w:p w14:paraId="1C4B74CE" w14:textId="77777777" w:rsidR="00F67E9E" w:rsidRPr="005D0525" w:rsidRDefault="00F67E9E" w:rsidP="00F67E9E">
      <w:pPr>
        <w:pStyle w:val="Heading1"/>
      </w:pPr>
      <w:bookmarkStart w:id="318" w:name="Schedule3"/>
      <w:bookmarkStart w:id="319" w:name="_Ref92197146"/>
      <w:bookmarkStart w:id="320" w:name="_Toc141711900"/>
      <w:bookmarkStart w:id="321" w:name="_Hlk85483324"/>
      <w:r w:rsidRPr="005D0525">
        <w:t>Schedule</w:t>
      </w:r>
      <w:r>
        <w:t> </w:t>
      </w:r>
      <w:r w:rsidRPr="005D0525">
        <w:t>3</w:t>
      </w:r>
      <w:bookmarkEnd w:id="318"/>
      <w:r>
        <w:t xml:space="preserve">: </w:t>
      </w:r>
      <w:bookmarkStart w:id="322" w:name="Schedule3Heading"/>
      <w:r w:rsidRPr="00F97284">
        <w:t>Performance Levels</w:t>
      </w:r>
      <w:bookmarkEnd w:id="319"/>
      <w:bookmarkEnd w:id="320"/>
      <w:bookmarkEnd w:id="322"/>
    </w:p>
    <w:p w14:paraId="15CCB5DD" w14:textId="77777777" w:rsidR="00F67E9E" w:rsidRPr="009E1FEF" w:rsidRDefault="00F67E9E" w:rsidP="00F67E9E">
      <w:pPr>
        <w:pStyle w:val="Numbered1"/>
        <w:numPr>
          <w:ilvl w:val="0"/>
          <w:numId w:val="157"/>
        </w:numPr>
      </w:pPr>
      <w:r w:rsidRPr="009E1FEF">
        <w:t>Definitions</w:t>
      </w:r>
    </w:p>
    <w:p w14:paraId="6969AD82" w14:textId="77777777" w:rsidR="00F67E9E" w:rsidRPr="009E1FEF" w:rsidRDefault="00F67E9E" w:rsidP="00F67E9E">
      <w:pPr>
        <w:pStyle w:val="Numbered11"/>
      </w:pPr>
      <w:r w:rsidRPr="009E1FEF">
        <w:t>In this Schedule, the following definitions shall apply:</w:t>
      </w:r>
    </w:p>
    <w:tbl>
      <w:tblPr>
        <w:tblStyle w:val="MSAdefinitions"/>
        <w:tblW w:w="9638" w:type="dxa"/>
        <w:tblLayout w:type="fixed"/>
        <w:tblLook w:val="0400" w:firstRow="0" w:lastRow="0" w:firstColumn="0" w:lastColumn="0" w:noHBand="0" w:noVBand="1"/>
      </w:tblPr>
      <w:tblGrid>
        <w:gridCol w:w="2835"/>
        <w:gridCol w:w="6803"/>
      </w:tblGrid>
      <w:tr w:rsidR="00F67E9E" w:rsidRPr="00FC322D" w14:paraId="140A49CD" w14:textId="77777777" w:rsidTr="007F74AA">
        <w:tc>
          <w:tcPr>
            <w:tcW w:w="2835" w:type="dxa"/>
          </w:tcPr>
          <w:p w14:paraId="16324658" w14:textId="77777777" w:rsidR="00F67E9E" w:rsidRPr="00FC322D" w:rsidRDefault="00F67E9E" w:rsidP="007F74AA">
            <w:pPr>
              <w:pBdr>
                <w:top w:val="nil"/>
                <w:left w:val="nil"/>
                <w:bottom w:val="nil"/>
                <w:right w:val="nil"/>
                <w:between w:val="nil"/>
              </w:pBdr>
              <w:spacing w:before="100" w:after="200"/>
              <w:rPr>
                <w:b/>
                <w:szCs w:val="24"/>
              </w:rPr>
            </w:pPr>
            <w:r>
              <w:rPr>
                <w:b/>
                <w:szCs w:val="24"/>
              </w:rPr>
              <w:t>“</w:t>
            </w:r>
            <w:r w:rsidRPr="00FC322D">
              <w:rPr>
                <w:b/>
                <w:szCs w:val="24"/>
              </w:rPr>
              <w:t>Available</w:t>
            </w:r>
            <w:r>
              <w:rPr>
                <w:b/>
                <w:szCs w:val="24"/>
              </w:rPr>
              <w:t>”</w:t>
            </w:r>
          </w:p>
        </w:tc>
        <w:tc>
          <w:tcPr>
            <w:tcW w:w="6803" w:type="dxa"/>
          </w:tcPr>
          <w:p w14:paraId="21C169F3" w14:textId="4CD81CB6" w:rsidR="00F67E9E" w:rsidRPr="00FC322D" w:rsidRDefault="00F67E9E" w:rsidP="007F74AA">
            <w:pPr>
              <w:pBdr>
                <w:top w:val="nil"/>
                <w:left w:val="nil"/>
                <w:bottom w:val="nil"/>
                <w:right w:val="nil"/>
                <w:between w:val="nil"/>
              </w:pBdr>
              <w:spacing w:before="100" w:after="200"/>
              <w:rPr>
                <w:szCs w:val="24"/>
              </w:rPr>
            </w:pPr>
            <w:bookmarkStart w:id="323" w:name="_heading=h.gjdgxs" w:colFirst="0" w:colLast="0"/>
            <w:bookmarkEnd w:id="323"/>
            <w:r w:rsidRPr="00FC322D">
              <w:rPr>
                <w:szCs w:val="24"/>
              </w:rPr>
              <w:t xml:space="preserve">has the meaning given in Paragraph </w:t>
            </w:r>
            <w:r w:rsidRPr="00FC322D">
              <w:rPr>
                <w:szCs w:val="24"/>
              </w:rPr>
              <w:fldChar w:fldCharType="begin"/>
            </w:r>
            <w:r w:rsidRPr="00FC322D">
              <w:rPr>
                <w:szCs w:val="24"/>
              </w:rPr>
              <w:instrText xml:space="preserve"> REF _Ref99013903 \w \h </w:instrText>
            </w:r>
            <w:r>
              <w:rPr>
                <w:szCs w:val="24"/>
              </w:rPr>
              <w:instrText xml:space="preserve"> \* MERGEFORMAT </w:instrText>
            </w:r>
            <w:r w:rsidRPr="00FC322D">
              <w:rPr>
                <w:szCs w:val="24"/>
              </w:rPr>
            </w:r>
            <w:r w:rsidRPr="00FC322D">
              <w:rPr>
                <w:szCs w:val="24"/>
              </w:rPr>
              <w:fldChar w:fldCharType="separate"/>
            </w:r>
            <w:r w:rsidR="00302D39">
              <w:rPr>
                <w:szCs w:val="24"/>
              </w:rPr>
              <w:t>1.1</w:t>
            </w:r>
            <w:r w:rsidRPr="00FC322D">
              <w:rPr>
                <w:szCs w:val="24"/>
              </w:rPr>
              <w:fldChar w:fldCharType="end"/>
            </w:r>
            <w:r w:rsidRPr="00FC322D">
              <w:rPr>
                <w:szCs w:val="24"/>
              </w:rPr>
              <w:t xml:space="preserve"> of </w:t>
            </w:r>
            <w:r w:rsidRPr="00FC322D">
              <w:rPr>
                <w:szCs w:val="24"/>
              </w:rPr>
              <w:fldChar w:fldCharType="begin"/>
            </w:r>
            <w:r w:rsidRPr="00FC322D">
              <w:rPr>
                <w:szCs w:val="24"/>
              </w:rPr>
              <w:instrText xml:space="preserve"> REF Sch3Ann1PartB \h </w:instrText>
            </w:r>
            <w:r>
              <w:rPr>
                <w:szCs w:val="24"/>
              </w:rPr>
              <w:instrText xml:space="preserve"> \* MERGEFORMAT </w:instrText>
            </w:r>
            <w:r w:rsidRPr="00FC322D">
              <w:rPr>
                <w:szCs w:val="24"/>
              </w:rPr>
            </w:r>
            <w:r w:rsidRPr="00FC322D">
              <w:rPr>
                <w:szCs w:val="24"/>
              </w:rPr>
              <w:fldChar w:fldCharType="separate"/>
            </w:r>
            <w:r w:rsidR="00302D39" w:rsidRPr="00302D39">
              <w:rPr>
                <w:rFonts w:cs="Arial"/>
              </w:rPr>
              <w:t>Part B</w:t>
            </w:r>
            <w:r w:rsidRPr="00FC322D">
              <w:rPr>
                <w:szCs w:val="24"/>
              </w:rPr>
              <w:fldChar w:fldCharType="end"/>
            </w:r>
            <w:r w:rsidRPr="00FC322D">
              <w:rPr>
                <w:szCs w:val="24"/>
              </w:rPr>
              <w:t xml:space="preserve"> of </w:t>
            </w:r>
            <w:r w:rsidRPr="00FC322D">
              <w:rPr>
                <w:szCs w:val="24"/>
              </w:rPr>
              <w:fldChar w:fldCharType="begin"/>
            </w:r>
            <w:r w:rsidRPr="00FC322D">
              <w:rPr>
                <w:szCs w:val="24"/>
              </w:rPr>
              <w:instrText xml:space="preserve"> REF ANNEX1_SCHEDULE3 \h </w:instrText>
            </w:r>
            <w:r>
              <w:rPr>
                <w:szCs w:val="24"/>
              </w:rPr>
              <w:instrText xml:space="preserve"> \* MERGEFORMAT </w:instrText>
            </w:r>
            <w:r w:rsidRPr="00FC322D">
              <w:rPr>
                <w:szCs w:val="24"/>
              </w:rPr>
            </w:r>
            <w:r w:rsidRPr="00FC322D">
              <w:rPr>
                <w:szCs w:val="24"/>
              </w:rPr>
              <w:fldChar w:fldCharType="separate"/>
            </w:r>
            <w:r w:rsidR="00302D39" w:rsidRPr="00302D39">
              <w:rPr>
                <w:rFonts w:cs="Arial"/>
                <w:szCs w:val="24"/>
              </w:rPr>
              <w:t>Annex 1</w:t>
            </w:r>
            <w:r w:rsidRPr="00FC322D">
              <w:rPr>
                <w:szCs w:val="24"/>
              </w:rPr>
              <w:fldChar w:fldCharType="end"/>
            </w:r>
            <w:r w:rsidRPr="00FC322D">
              <w:rPr>
                <w:szCs w:val="24"/>
              </w:rPr>
              <w:t>;</w:t>
            </w:r>
          </w:p>
        </w:tc>
      </w:tr>
      <w:tr w:rsidR="00F67E9E" w:rsidRPr="00FC322D" w14:paraId="059FC46F" w14:textId="77777777" w:rsidTr="007F74AA">
        <w:tc>
          <w:tcPr>
            <w:tcW w:w="2835" w:type="dxa"/>
          </w:tcPr>
          <w:p w14:paraId="69BDEBA0" w14:textId="77777777" w:rsidR="00F67E9E" w:rsidRPr="00FC322D" w:rsidRDefault="00F67E9E" w:rsidP="007F74AA">
            <w:pPr>
              <w:pBdr>
                <w:top w:val="nil"/>
                <w:left w:val="nil"/>
                <w:bottom w:val="nil"/>
                <w:right w:val="nil"/>
                <w:between w:val="nil"/>
              </w:pBdr>
              <w:spacing w:before="100" w:after="200"/>
              <w:rPr>
                <w:b/>
                <w:szCs w:val="24"/>
              </w:rPr>
            </w:pPr>
            <w:r>
              <w:rPr>
                <w:b/>
                <w:szCs w:val="24"/>
              </w:rPr>
              <w:t>“</w:t>
            </w:r>
            <w:r w:rsidRPr="00FC322D">
              <w:rPr>
                <w:b/>
                <w:szCs w:val="24"/>
              </w:rPr>
              <w:t>End User</w:t>
            </w:r>
            <w:r>
              <w:rPr>
                <w:b/>
                <w:szCs w:val="24"/>
              </w:rPr>
              <w:t>”</w:t>
            </w:r>
          </w:p>
        </w:tc>
        <w:tc>
          <w:tcPr>
            <w:tcW w:w="6803" w:type="dxa"/>
          </w:tcPr>
          <w:p w14:paraId="36055522" w14:textId="77777777" w:rsidR="00F67E9E" w:rsidRPr="00FC322D" w:rsidRDefault="00F67E9E" w:rsidP="007F74AA">
            <w:pPr>
              <w:pBdr>
                <w:top w:val="nil"/>
                <w:left w:val="nil"/>
                <w:bottom w:val="nil"/>
                <w:right w:val="nil"/>
                <w:between w:val="nil"/>
              </w:pBdr>
              <w:spacing w:before="100" w:after="200"/>
              <w:rPr>
                <w:szCs w:val="24"/>
              </w:rPr>
            </w:pPr>
            <w:r w:rsidRPr="00FC322D">
              <w:rPr>
                <w:szCs w:val="24"/>
              </w:rPr>
              <w:t>any person authorised by the Authority to use the IT Environment and/or the Services;</w:t>
            </w:r>
          </w:p>
        </w:tc>
      </w:tr>
      <w:tr w:rsidR="00F67E9E" w:rsidRPr="00FC322D" w14:paraId="22F3EB9D" w14:textId="77777777" w:rsidTr="007F74AA">
        <w:tc>
          <w:tcPr>
            <w:tcW w:w="2835" w:type="dxa"/>
          </w:tcPr>
          <w:p w14:paraId="5D3F89F3" w14:textId="77777777" w:rsidR="00F67E9E" w:rsidRPr="00FC322D" w:rsidRDefault="00F67E9E" w:rsidP="007F74AA">
            <w:pPr>
              <w:pBdr>
                <w:top w:val="nil"/>
                <w:left w:val="nil"/>
                <w:bottom w:val="nil"/>
                <w:right w:val="nil"/>
                <w:between w:val="nil"/>
              </w:pBdr>
              <w:spacing w:before="100" w:after="200"/>
              <w:rPr>
                <w:b/>
                <w:szCs w:val="24"/>
              </w:rPr>
            </w:pPr>
            <w:r>
              <w:rPr>
                <w:b/>
                <w:szCs w:val="24"/>
              </w:rPr>
              <w:t>“</w:t>
            </w:r>
            <w:r w:rsidRPr="00FC322D">
              <w:rPr>
                <w:b/>
                <w:szCs w:val="24"/>
              </w:rPr>
              <w:t>Help Desk</w:t>
            </w:r>
            <w:r>
              <w:rPr>
                <w:b/>
                <w:szCs w:val="24"/>
              </w:rPr>
              <w:t>”</w:t>
            </w:r>
          </w:p>
        </w:tc>
        <w:tc>
          <w:tcPr>
            <w:tcW w:w="6803" w:type="dxa"/>
          </w:tcPr>
          <w:p w14:paraId="699C0EE2" w14:textId="77777777" w:rsidR="00F67E9E" w:rsidRPr="00FC322D" w:rsidRDefault="00F67E9E" w:rsidP="007F74AA">
            <w:pPr>
              <w:pBdr>
                <w:top w:val="nil"/>
                <w:left w:val="nil"/>
                <w:bottom w:val="nil"/>
                <w:right w:val="nil"/>
                <w:between w:val="nil"/>
              </w:pBdr>
              <w:spacing w:before="100" w:after="200"/>
              <w:rPr>
                <w:szCs w:val="24"/>
              </w:rPr>
            </w:pPr>
            <w:r w:rsidRPr="00FC322D">
              <w:rPr>
                <w:szCs w:val="24"/>
              </w:rPr>
              <w:t>the single point of contact help desk set up and operated by the Supplier for the purposes of this Contract;</w:t>
            </w:r>
          </w:p>
        </w:tc>
      </w:tr>
      <w:tr w:rsidR="00F67E9E" w:rsidRPr="00FC322D" w14:paraId="2183999B" w14:textId="77777777" w:rsidTr="007F74AA">
        <w:tc>
          <w:tcPr>
            <w:tcW w:w="2835" w:type="dxa"/>
          </w:tcPr>
          <w:p w14:paraId="02A2B503" w14:textId="77777777" w:rsidR="00F67E9E" w:rsidRPr="00FC322D" w:rsidRDefault="00F67E9E" w:rsidP="007F74AA">
            <w:pPr>
              <w:pBdr>
                <w:top w:val="nil"/>
                <w:left w:val="nil"/>
                <w:bottom w:val="nil"/>
                <w:right w:val="nil"/>
                <w:between w:val="nil"/>
              </w:pBdr>
              <w:spacing w:before="100" w:after="200"/>
              <w:rPr>
                <w:b/>
                <w:szCs w:val="24"/>
              </w:rPr>
            </w:pPr>
            <w:r>
              <w:rPr>
                <w:b/>
                <w:szCs w:val="24"/>
              </w:rPr>
              <w:t>“</w:t>
            </w:r>
            <w:r w:rsidRPr="00FC322D">
              <w:rPr>
                <w:b/>
                <w:szCs w:val="24"/>
              </w:rPr>
              <w:t>Non-Available</w:t>
            </w:r>
            <w:r>
              <w:rPr>
                <w:b/>
                <w:szCs w:val="24"/>
              </w:rPr>
              <w:t>”</w:t>
            </w:r>
          </w:p>
        </w:tc>
        <w:tc>
          <w:tcPr>
            <w:tcW w:w="6803" w:type="dxa"/>
          </w:tcPr>
          <w:p w14:paraId="3706F8CD" w14:textId="77777777" w:rsidR="00F67E9E" w:rsidRPr="00FC322D" w:rsidRDefault="00F67E9E" w:rsidP="007F74AA">
            <w:pPr>
              <w:pBdr>
                <w:top w:val="nil"/>
                <w:left w:val="nil"/>
                <w:bottom w:val="nil"/>
                <w:right w:val="nil"/>
                <w:between w:val="nil"/>
              </w:pBdr>
              <w:spacing w:before="100" w:after="200"/>
              <w:rPr>
                <w:szCs w:val="24"/>
              </w:rPr>
            </w:pPr>
            <w:r w:rsidRPr="00FC322D">
              <w:rPr>
                <w:szCs w:val="24"/>
              </w:rPr>
              <w:t>in relation to the IT Environment or the Services, that the IT Environment or the Services are not Available;</w:t>
            </w:r>
          </w:p>
        </w:tc>
      </w:tr>
      <w:tr w:rsidR="00F67E9E" w:rsidRPr="00FC322D" w14:paraId="59B52E61" w14:textId="77777777" w:rsidTr="007F74AA">
        <w:tc>
          <w:tcPr>
            <w:tcW w:w="2835" w:type="dxa"/>
          </w:tcPr>
          <w:p w14:paraId="50A8A494" w14:textId="77777777" w:rsidR="00F67E9E" w:rsidRPr="00FC322D" w:rsidRDefault="00F67E9E" w:rsidP="007F74AA">
            <w:pPr>
              <w:pBdr>
                <w:top w:val="nil"/>
                <w:left w:val="nil"/>
                <w:bottom w:val="nil"/>
                <w:right w:val="nil"/>
                <w:between w:val="nil"/>
              </w:pBdr>
              <w:spacing w:before="100" w:after="200"/>
              <w:rPr>
                <w:b/>
                <w:szCs w:val="24"/>
              </w:rPr>
            </w:pPr>
            <w:r>
              <w:rPr>
                <w:b/>
                <w:szCs w:val="24"/>
              </w:rPr>
              <w:t>“</w:t>
            </w:r>
            <w:r w:rsidRPr="00FC322D">
              <w:rPr>
                <w:b/>
                <w:szCs w:val="24"/>
              </w:rPr>
              <w:t>Performance Monitoring Report</w:t>
            </w:r>
            <w:r>
              <w:rPr>
                <w:b/>
                <w:szCs w:val="24"/>
              </w:rPr>
              <w:t>”</w:t>
            </w:r>
          </w:p>
        </w:tc>
        <w:tc>
          <w:tcPr>
            <w:tcW w:w="6803" w:type="dxa"/>
          </w:tcPr>
          <w:p w14:paraId="70BE905D" w14:textId="74AE4A46" w:rsidR="00F67E9E" w:rsidRPr="00FC322D" w:rsidRDefault="00F67E9E" w:rsidP="007F74AA">
            <w:pPr>
              <w:pBdr>
                <w:top w:val="nil"/>
                <w:left w:val="nil"/>
                <w:bottom w:val="nil"/>
                <w:right w:val="nil"/>
                <w:between w:val="nil"/>
              </w:pBdr>
              <w:spacing w:before="100" w:after="200"/>
              <w:rPr>
                <w:szCs w:val="24"/>
              </w:rPr>
            </w:pPr>
            <w:bookmarkStart w:id="324" w:name="_heading=h.30j0zll" w:colFirst="0" w:colLast="0"/>
            <w:bookmarkEnd w:id="324"/>
            <w:r w:rsidRPr="00FC322D">
              <w:rPr>
                <w:szCs w:val="24"/>
              </w:rPr>
              <w:t xml:space="preserve">has the meaning given in Paragraph </w:t>
            </w:r>
            <w:r w:rsidRPr="00FC322D">
              <w:rPr>
                <w:szCs w:val="24"/>
              </w:rPr>
              <w:fldChar w:fldCharType="begin"/>
            </w:r>
            <w:r w:rsidRPr="00FC322D">
              <w:rPr>
                <w:szCs w:val="24"/>
              </w:rPr>
              <w:instrText xml:space="preserve"> REF _Ref99013914 \w \h </w:instrText>
            </w:r>
            <w:r>
              <w:rPr>
                <w:szCs w:val="24"/>
              </w:rPr>
              <w:instrText xml:space="preserve"> \* MERGEFORMAT </w:instrText>
            </w:r>
            <w:r w:rsidRPr="00FC322D">
              <w:rPr>
                <w:szCs w:val="24"/>
              </w:rPr>
            </w:r>
            <w:r w:rsidRPr="00FC322D">
              <w:rPr>
                <w:szCs w:val="24"/>
              </w:rPr>
              <w:fldChar w:fldCharType="separate"/>
            </w:r>
            <w:r w:rsidR="00302D39">
              <w:rPr>
                <w:szCs w:val="24"/>
              </w:rPr>
              <w:t>1.1.1</w:t>
            </w:r>
            <w:r w:rsidRPr="00FC322D">
              <w:rPr>
                <w:szCs w:val="24"/>
              </w:rPr>
              <w:fldChar w:fldCharType="end"/>
            </w:r>
            <w:r>
              <w:rPr>
                <w:szCs w:val="24"/>
              </w:rPr>
              <w:t xml:space="preserve"> </w:t>
            </w:r>
            <w:r w:rsidRPr="00FC322D">
              <w:rPr>
                <w:szCs w:val="24"/>
              </w:rPr>
              <w:t xml:space="preserve">of </w:t>
            </w:r>
            <w:r w:rsidRPr="00FC322D">
              <w:rPr>
                <w:szCs w:val="24"/>
              </w:rPr>
              <w:fldChar w:fldCharType="begin"/>
            </w:r>
            <w:r w:rsidRPr="00FC322D">
              <w:rPr>
                <w:szCs w:val="24"/>
              </w:rPr>
              <w:instrText xml:space="preserve"> REF Sch3Ann1PartB \h </w:instrText>
            </w:r>
            <w:r>
              <w:rPr>
                <w:szCs w:val="24"/>
              </w:rPr>
              <w:instrText xml:space="preserve"> \* MERGEFORMAT </w:instrText>
            </w:r>
            <w:r w:rsidRPr="00FC322D">
              <w:rPr>
                <w:szCs w:val="24"/>
              </w:rPr>
            </w:r>
            <w:r w:rsidRPr="00FC322D">
              <w:rPr>
                <w:szCs w:val="24"/>
              </w:rPr>
              <w:fldChar w:fldCharType="separate"/>
            </w:r>
            <w:r w:rsidR="00302D39" w:rsidRPr="00302D39">
              <w:rPr>
                <w:rFonts w:cs="Arial"/>
              </w:rPr>
              <w:t>Part B</w:t>
            </w:r>
            <w:r w:rsidRPr="00FC322D">
              <w:rPr>
                <w:szCs w:val="24"/>
              </w:rPr>
              <w:fldChar w:fldCharType="end"/>
            </w:r>
            <w:r w:rsidRPr="00FC322D">
              <w:rPr>
                <w:szCs w:val="24"/>
              </w:rPr>
              <w:t>;</w:t>
            </w:r>
          </w:p>
        </w:tc>
      </w:tr>
      <w:tr w:rsidR="00F67E9E" w:rsidRPr="00FC322D" w14:paraId="432E83E4" w14:textId="77777777" w:rsidTr="007F74AA">
        <w:tc>
          <w:tcPr>
            <w:tcW w:w="2835" w:type="dxa"/>
          </w:tcPr>
          <w:p w14:paraId="16C11CFA" w14:textId="77777777" w:rsidR="00F67E9E" w:rsidRPr="00FC322D" w:rsidRDefault="00F67E9E" w:rsidP="007F74AA">
            <w:pPr>
              <w:pBdr>
                <w:top w:val="nil"/>
                <w:left w:val="nil"/>
                <w:bottom w:val="nil"/>
                <w:right w:val="nil"/>
                <w:between w:val="nil"/>
              </w:pBdr>
              <w:spacing w:before="100" w:after="200"/>
              <w:rPr>
                <w:b/>
                <w:szCs w:val="24"/>
              </w:rPr>
            </w:pPr>
            <w:r>
              <w:rPr>
                <w:b/>
                <w:szCs w:val="24"/>
              </w:rPr>
              <w:t>“</w:t>
            </w:r>
            <w:r w:rsidRPr="00FC322D">
              <w:rPr>
                <w:b/>
                <w:szCs w:val="24"/>
              </w:rPr>
              <w:t>Performance Review Meeting</w:t>
            </w:r>
            <w:r>
              <w:rPr>
                <w:b/>
                <w:szCs w:val="24"/>
              </w:rPr>
              <w:t>”</w:t>
            </w:r>
          </w:p>
        </w:tc>
        <w:tc>
          <w:tcPr>
            <w:tcW w:w="6803" w:type="dxa"/>
          </w:tcPr>
          <w:p w14:paraId="09815F37" w14:textId="0EC207AD" w:rsidR="00F67E9E" w:rsidRPr="00FC322D" w:rsidRDefault="00F67E9E" w:rsidP="007F74AA">
            <w:pPr>
              <w:pBdr>
                <w:top w:val="nil"/>
                <w:left w:val="nil"/>
                <w:bottom w:val="nil"/>
                <w:right w:val="nil"/>
                <w:between w:val="nil"/>
              </w:pBdr>
              <w:spacing w:before="100" w:after="200"/>
              <w:rPr>
                <w:szCs w:val="24"/>
              </w:rPr>
            </w:pPr>
            <w:bookmarkStart w:id="325" w:name="_heading=h.1fob9te" w:colFirst="0" w:colLast="0"/>
            <w:bookmarkEnd w:id="325"/>
            <w:r w:rsidRPr="00FC322D">
              <w:rPr>
                <w:szCs w:val="24"/>
              </w:rPr>
              <w:t>the regular meetings between the Supplier and the Authority to manage and review the Supplier</w:t>
            </w:r>
            <w:r>
              <w:rPr>
                <w:szCs w:val="24"/>
              </w:rPr>
              <w:t>’</w:t>
            </w:r>
            <w:r w:rsidRPr="00FC322D">
              <w:rPr>
                <w:szCs w:val="24"/>
              </w:rPr>
              <w:t xml:space="preserve">s performance under this Contract, as further described in Paragraph </w:t>
            </w:r>
            <w:r w:rsidRPr="00FC322D">
              <w:rPr>
                <w:szCs w:val="24"/>
              </w:rPr>
              <w:fldChar w:fldCharType="begin"/>
            </w:r>
            <w:r w:rsidRPr="00FC322D">
              <w:rPr>
                <w:szCs w:val="24"/>
              </w:rPr>
              <w:instrText xml:space="preserve"> REF _Ref99013931 \w \h </w:instrText>
            </w:r>
            <w:r>
              <w:rPr>
                <w:szCs w:val="24"/>
              </w:rPr>
              <w:instrText xml:space="preserve"> \* MERGEFORMAT </w:instrText>
            </w:r>
            <w:r w:rsidRPr="00FC322D">
              <w:rPr>
                <w:szCs w:val="24"/>
              </w:rPr>
            </w:r>
            <w:r w:rsidRPr="00FC322D">
              <w:rPr>
                <w:szCs w:val="24"/>
              </w:rPr>
              <w:fldChar w:fldCharType="separate"/>
            </w:r>
            <w:r w:rsidR="00302D39">
              <w:rPr>
                <w:szCs w:val="24"/>
              </w:rPr>
              <w:t>1.5</w:t>
            </w:r>
            <w:r w:rsidRPr="00FC322D">
              <w:rPr>
                <w:szCs w:val="24"/>
              </w:rPr>
              <w:fldChar w:fldCharType="end"/>
            </w:r>
            <w:r w:rsidRPr="00FC322D">
              <w:rPr>
                <w:szCs w:val="24"/>
              </w:rPr>
              <w:t xml:space="preserve"> of </w:t>
            </w:r>
            <w:r w:rsidRPr="00FC322D">
              <w:rPr>
                <w:szCs w:val="24"/>
              </w:rPr>
              <w:fldChar w:fldCharType="begin"/>
            </w:r>
            <w:r w:rsidRPr="00FC322D">
              <w:rPr>
                <w:szCs w:val="24"/>
              </w:rPr>
              <w:instrText xml:space="preserve"> REF Sch3Ann1PartB \h </w:instrText>
            </w:r>
            <w:r>
              <w:rPr>
                <w:szCs w:val="24"/>
              </w:rPr>
              <w:instrText xml:space="preserve"> \* MERGEFORMAT </w:instrText>
            </w:r>
            <w:r w:rsidRPr="00FC322D">
              <w:rPr>
                <w:szCs w:val="24"/>
              </w:rPr>
            </w:r>
            <w:r w:rsidRPr="00FC322D">
              <w:rPr>
                <w:szCs w:val="24"/>
              </w:rPr>
              <w:fldChar w:fldCharType="separate"/>
            </w:r>
            <w:r w:rsidR="00302D39" w:rsidRPr="00302D39">
              <w:rPr>
                <w:rFonts w:cs="Arial"/>
              </w:rPr>
              <w:t>Part B</w:t>
            </w:r>
            <w:r w:rsidRPr="00FC322D">
              <w:rPr>
                <w:szCs w:val="24"/>
              </w:rPr>
              <w:fldChar w:fldCharType="end"/>
            </w:r>
            <w:r w:rsidRPr="00FC322D">
              <w:rPr>
                <w:szCs w:val="24"/>
              </w:rPr>
              <w:t>;</w:t>
            </w:r>
          </w:p>
        </w:tc>
      </w:tr>
      <w:tr w:rsidR="00F67E9E" w:rsidRPr="00FC322D" w14:paraId="10E873A9" w14:textId="77777777" w:rsidTr="007F74AA">
        <w:tc>
          <w:tcPr>
            <w:tcW w:w="2835" w:type="dxa"/>
          </w:tcPr>
          <w:p w14:paraId="6A86A388" w14:textId="77777777" w:rsidR="00F67E9E" w:rsidRPr="00FC322D" w:rsidRDefault="00F67E9E" w:rsidP="007F74AA">
            <w:pPr>
              <w:pBdr>
                <w:top w:val="nil"/>
                <w:left w:val="nil"/>
                <w:bottom w:val="nil"/>
                <w:right w:val="nil"/>
                <w:between w:val="nil"/>
              </w:pBdr>
              <w:spacing w:before="100" w:after="200"/>
              <w:rPr>
                <w:b/>
                <w:szCs w:val="24"/>
              </w:rPr>
            </w:pPr>
            <w:r>
              <w:rPr>
                <w:b/>
                <w:szCs w:val="24"/>
              </w:rPr>
              <w:t>“</w:t>
            </w:r>
            <w:r w:rsidRPr="00FC322D">
              <w:rPr>
                <w:b/>
                <w:szCs w:val="24"/>
              </w:rPr>
              <w:t>Repeat KPI Failure</w:t>
            </w:r>
            <w:r>
              <w:rPr>
                <w:b/>
                <w:szCs w:val="24"/>
              </w:rPr>
              <w:t>”</w:t>
            </w:r>
          </w:p>
        </w:tc>
        <w:tc>
          <w:tcPr>
            <w:tcW w:w="6803" w:type="dxa"/>
          </w:tcPr>
          <w:p w14:paraId="4A3C9337" w14:textId="3CC0812E" w:rsidR="00F67E9E" w:rsidRPr="00FC322D" w:rsidRDefault="00F67E9E" w:rsidP="007F74AA">
            <w:pPr>
              <w:pBdr>
                <w:top w:val="nil"/>
                <w:left w:val="nil"/>
                <w:bottom w:val="nil"/>
                <w:right w:val="nil"/>
                <w:between w:val="nil"/>
              </w:pBdr>
              <w:spacing w:before="100" w:after="200"/>
              <w:rPr>
                <w:szCs w:val="24"/>
              </w:rPr>
            </w:pPr>
            <w:bookmarkStart w:id="326" w:name="_heading=h.3znysh7" w:colFirst="0" w:colLast="0"/>
            <w:bookmarkEnd w:id="326"/>
            <w:r w:rsidRPr="00FC322D">
              <w:rPr>
                <w:szCs w:val="24"/>
              </w:rPr>
              <w:t xml:space="preserve">has the meaning given in Paragraph </w:t>
            </w:r>
            <w:r w:rsidRPr="00FC322D">
              <w:rPr>
                <w:szCs w:val="24"/>
              </w:rPr>
              <w:fldChar w:fldCharType="begin"/>
            </w:r>
            <w:r w:rsidRPr="00FC322D">
              <w:rPr>
                <w:szCs w:val="24"/>
              </w:rPr>
              <w:instrText xml:space="preserve"> REF _Ref99014039 \w \h </w:instrText>
            </w:r>
            <w:r>
              <w:rPr>
                <w:szCs w:val="24"/>
              </w:rPr>
              <w:instrText xml:space="preserve"> \* MERGEFORMAT </w:instrText>
            </w:r>
            <w:r w:rsidRPr="00FC322D">
              <w:rPr>
                <w:szCs w:val="24"/>
              </w:rPr>
            </w:r>
            <w:r w:rsidRPr="00FC322D">
              <w:rPr>
                <w:szCs w:val="24"/>
              </w:rPr>
              <w:fldChar w:fldCharType="separate"/>
            </w:r>
            <w:r w:rsidR="00302D39">
              <w:rPr>
                <w:szCs w:val="24"/>
              </w:rPr>
              <w:t>3.1</w:t>
            </w:r>
            <w:r w:rsidRPr="00FC322D">
              <w:rPr>
                <w:szCs w:val="24"/>
              </w:rPr>
              <w:fldChar w:fldCharType="end"/>
            </w:r>
            <w:r w:rsidRPr="00FC322D">
              <w:rPr>
                <w:szCs w:val="24"/>
              </w:rPr>
              <w:t xml:space="preserve"> of </w:t>
            </w:r>
            <w:r w:rsidRPr="00FC322D">
              <w:rPr>
                <w:szCs w:val="24"/>
              </w:rPr>
              <w:fldChar w:fldCharType="begin"/>
            </w:r>
            <w:r w:rsidRPr="00FC322D">
              <w:rPr>
                <w:szCs w:val="24"/>
              </w:rPr>
              <w:instrText xml:space="preserve"> REF Sch3PartA \h </w:instrText>
            </w:r>
            <w:r>
              <w:rPr>
                <w:szCs w:val="24"/>
              </w:rPr>
              <w:instrText xml:space="preserve"> \* MERGEFORMAT </w:instrText>
            </w:r>
            <w:r w:rsidRPr="00FC322D">
              <w:rPr>
                <w:szCs w:val="24"/>
              </w:rPr>
            </w:r>
            <w:r w:rsidRPr="00FC322D">
              <w:rPr>
                <w:szCs w:val="24"/>
              </w:rPr>
              <w:fldChar w:fldCharType="separate"/>
            </w:r>
            <w:r w:rsidR="00302D39" w:rsidRPr="00302D39">
              <w:rPr>
                <w:rFonts w:cs="Arial"/>
                <w:szCs w:val="24"/>
              </w:rPr>
              <w:t>Part A</w:t>
            </w:r>
            <w:r w:rsidRPr="00FC322D">
              <w:rPr>
                <w:szCs w:val="24"/>
              </w:rPr>
              <w:fldChar w:fldCharType="end"/>
            </w:r>
            <w:r w:rsidRPr="00FC322D">
              <w:rPr>
                <w:szCs w:val="24"/>
              </w:rPr>
              <w:t>;</w:t>
            </w:r>
          </w:p>
        </w:tc>
      </w:tr>
      <w:tr w:rsidR="00F67E9E" w:rsidRPr="00FC322D" w14:paraId="4177177D" w14:textId="77777777" w:rsidTr="007F74AA">
        <w:tc>
          <w:tcPr>
            <w:tcW w:w="2835" w:type="dxa"/>
          </w:tcPr>
          <w:p w14:paraId="40A9C33B" w14:textId="77777777" w:rsidR="00F67E9E" w:rsidRPr="00FC322D" w:rsidRDefault="00F67E9E" w:rsidP="007F74AA">
            <w:pPr>
              <w:pBdr>
                <w:top w:val="nil"/>
                <w:left w:val="nil"/>
                <w:bottom w:val="nil"/>
                <w:right w:val="nil"/>
                <w:between w:val="nil"/>
              </w:pBdr>
              <w:spacing w:before="100" w:after="200"/>
              <w:rPr>
                <w:b/>
                <w:szCs w:val="24"/>
              </w:rPr>
            </w:pPr>
            <w:r>
              <w:rPr>
                <w:b/>
                <w:szCs w:val="24"/>
              </w:rPr>
              <w:t>“</w:t>
            </w:r>
            <w:r w:rsidRPr="00FC322D">
              <w:rPr>
                <w:b/>
                <w:szCs w:val="24"/>
              </w:rPr>
              <w:t>Satisfaction Survey</w:t>
            </w:r>
            <w:r>
              <w:rPr>
                <w:b/>
                <w:szCs w:val="24"/>
              </w:rPr>
              <w:t>”</w:t>
            </w:r>
          </w:p>
        </w:tc>
        <w:tc>
          <w:tcPr>
            <w:tcW w:w="6803" w:type="dxa"/>
          </w:tcPr>
          <w:p w14:paraId="4BB3880C" w14:textId="494CFFC0" w:rsidR="00F67E9E" w:rsidRPr="00FC322D" w:rsidRDefault="00F67E9E" w:rsidP="007F74AA">
            <w:pPr>
              <w:pBdr>
                <w:top w:val="nil"/>
                <w:left w:val="nil"/>
                <w:bottom w:val="nil"/>
                <w:right w:val="nil"/>
                <w:between w:val="nil"/>
              </w:pBdr>
              <w:spacing w:before="100" w:after="200"/>
              <w:rPr>
                <w:szCs w:val="24"/>
              </w:rPr>
            </w:pPr>
            <w:bookmarkStart w:id="327" w:name="_heading=h.2et92p0" w:colFirst="0" w:colLast="0"/>
            <w:bookmarkEnd w:id="327"/>
            <w:r w:rsidRPr="00FC322D">
              <w:rPr>
                <w:szCs w:val="24"/>
              </w:rPr>
              <w:t xml:space="preserve">has the meaning given in Paragraph </w:t>
            </w:r>
            <w:r w:rsidRPr="00FC322D">
              <w:rPr>
                <w:szCs w:val="24"/>
              </w:rPr>
              <w:fldChar w:fldCharType="begin"/>
            </w:r>
            <w:r w:rsidRPr="00FC322D">
              <w:rPr>
                <w:szCs w:val="24"/>
              </w:rPr>
              <w:instrText xml:space="preserve"> REF _Ref99013637 \w \h </w:instrText>
            </w:r>
            <w:r>
              <w:rPr>
                <w:szCs w:val="24"/>
              </w:rPr>
              <w:instrText xml:space="preserve"> \* MERGEFORMAT </w:instrText>
            </w:r>
            <w:r w:rsidRPr="00FC322D">
              <w:rPr>
                <w:szCs w:val="24"/>
              </w:rPr>
            </w:r>
            <w:r w:rsidRPr="00FC322D">
              <w:rPr>
                <w:szCs w:val="24"/>
              </w:rPr>
              <w:fldChar w:fldCharType="separate"/>
            </w:r>
            <w:r w:rsidR="00302D39">
              <w:rPr>
                <w:szCs w:val="24"/>
              </w:rPr>
              <w:t>6.1</w:t>
            </w:r>
            <w:r w:rsidRPr="00FC322D">
              <w:rPr>
                <w:szCs w:val="24"/>
              </w:rPr>
              <w:fldChar w:fldCharType="end"/>
            </w:r>
            <w:r w:rsidRPr="00FC322D">
              <w:rPr>
                <w:szCs w:val="24"/>
              </w:rPr>
              <w:t xml:space="preserve"> of </w:t>
            </w:r>
            <w:r w:rsidRPr="00FC322D">
              <w:rPr>
                <w:szCs w:val="24"/>
              </w:rPr>
              <w:fldChar w:fldCharType="begin"/>
            </w:r>
            <w:r w:rsidRPr="00FC322D">
              <w:rPr>
                <w:szCs w:val="24"/>
              </w:rPr>
              <w:instrText xml:space="preserve"> REF Sch3PartB \h </w:instrText>
            </w:r>
            <w:r>
              <w:rPr>
                <w:szCs w:val="24"/>
              </w:rPr>
              <w:instrText xml:space="preserve"> \* MERGEFORMAT </w:instrText>
            </w:r>
            <w:r w:rsidRPr="00FC322D">
              <w:rPr>
                <w:szCs w:val="24"/>
              </w:rPr>
            </w:r>
            <w:r w:rsidRPr="00FC322D">
              <w:rPr>
                <w:szCs w:val="24"/>
              </w:rPr>
              <w:fldChar w:fldCharType="separate"/>
            </w:r>
            <w:r w:rsidR="00302D39" w:rsidRPr="00302D39">
              <w:rPr>
                <w:rFonts w:cs="Arial"/>
                <w:szCs w:val="24"/>
              </w:rPr>
              <w:t>Part B</w:t>
            </w:r>
            <w:r w:rsidRPr="00FC322D">
              <w:rPr>
                <w:szCs w:val="24"/>
              </w:rPr>
              <w:fldChar w:fldCharType="end"/>
            </w:r>
            <w:r w:rsidRPr="00FC322D">
              <w:rPr>
                <w:szCs w:val="24"/>
              </w:rPr>
              <w:t xml:space="preserve"> of </w:t>
            </w:r>
            <w:r w:rsidRPr="00FC322D">
              <w:rPr>
                <w:szCs w:val="24"/>
              </w:rPr>
              <w:fldChar w:fldCharType="begin"/>
            </w:r>
            <w:r w:rsidRPr="00FC322D">
              <w:rPr>
                <w:szCs w:val="24"/>
              </w:rPr>
              <w:instrText xml:space="preserve"> REF ANNEX1_SCHEDULE3 \h </w:instrText>
            </w:r>
            <w:r>
              <w:rPr>
                <w:szCs w:val="24"/>
              </w:rPr>
              <w:instrText xml:space="preserve"> \* MERGEFORMAT </w:instrText>
            </w:r>
            <w:r w:rsidRPr="00FC322D">
              <w:rPr>
                <w:szCs w:val="24"/>
              </w:rPr>
            </w:r>
            <w:r w:rsidRPr="00FC322D">
              <w:rPr>
                <w:szCs w:val="24"/>
              </w:rPr>
              <w:fldChar w:fldCharType="separate"/>
            </w:r>
            <w:r w:rsidR="00302D39" w:rsidRPr="00302D39">
              <w:rPr>
                <w:rFonts w:cs="Arial"/>
                <w:szCs w:val="24"/>
              </w:rPr>
              <w:t>Annex 1</w:t>
            </w:r>
            <w:r w:rsidRPr="00FC322D">
              <w:rPr>
                <w:szCs w:val="24"/>
              </w:rPr>
              <w:fldChar w:fldCharType="end"/>
            </w:r>
            <w:r w:rsidRPr="00FC322D">
              <w:rPr>
                <w:szCs w:val="24"/>
              </w:rPr>
              <w:t>;</w:t>
            </w:r>
          </w:p>
        </w:tc>
      </w:tr>
      <w:tr w:rsidR="00F67E9E" w:rsidRPr="00FC322D" w14:paraId="519833BD" w14:textId="77777777" w:rsidTr="007F74AA">
        <w:tc>
          <w:tcPr>
            <w:tcW w:w="2835" w:type="dxa"/>
          </w:tcPr>
          <w:p w14:paraId="10CCFC2A" w14:textId="77777777" w:rsidR="00F67E9E" w:rsidRPr="00FC322D" w:rsidRDefault="00F67E9E" w:rsidP="007F74AA">
            <w:pPr>
              <w:pBdr>
                <w:top w:val="nil"/>
                <w:left w:val="nil"/>
                <w:bottom w:val="nil"/>
                <w:right w:val="nil"/>
                <w:between w:val="nil"/>
              </w:pBdr>
              <w:spacing w:before="100" w:after="200"/>
              <w:rPr>
                <w:b/>
                <w:szCs w:val="24"/>
              </w:rPr>
            </w:pPr>
            <w:r>
              <w:rPr>
                <w:b/>
                <w:szCs w:val="24"/>
              </w:rPr>
              <w:t>“</w:t>
            </w:r>
            <w:r w:rsidRPr="00FC322D">
              <w:rPr>
                <w:b/>
                <w:szCs w:val="24"/>
              </w:rPr>
              <w:t>Service Availability</w:t>
            </w:r>
            <w:r>
              <w:rPr>
                <w:b/>
                <w:szCs w:val="24"/>
              </w:rPr>
              <w:t>”</w:t>
            </w:r>
          </w:p>
        </w:tc>
        <w:tc>
          <w:tcPr>
            <w:tcW w:w="6803" w:type="dxa"/>
          </w:tcPr>
          <w:p w14:paraId="22F2A45C" w14:textId="4DD34236" w:rsidR="00F67E9E" w:rsidRPr="00FC322D" w:rsidRDefault="00F67E9E" w:rsidP="007F74AA">
            <w:pPr>
              <w:pBdr>
                <w:top w:val="nil"/>
                <w:left w:val="nil"/>
                <w:bottom w:val="nil"/>
                <w:right w:val="nil"/>
                <w:between w:val="nil"/>
              </w:pBdr>
              <w:spacing w:before="100" w:after="200"/>
              <w:rPr>
                <w:szCs w:val="24"/>
              </w:rPr>
            </w:pPr>
            <w:bookmarkStart w:id="328" w:name="_heading=h.tyjcwt" w:colFirst="0" w:colLast="0"/>
            <w:bookmarkEnd w:id="328"/>
            <w:r w:rsidRPr="00FC322D">
              <w:rPr>
                <w:szCs w:val="24"/>
              </w:rPr>
              <w:t xml:space="preserve">has the meaning given in Paragraph </w:t>
            </w:r>
            <w:r w:rsidRPr="00FC322D">
              <w:rPr>
                <w:szCs w:val="24"/>
              </w:rPr>
              <w:fldChar w:fldCharType="begin"/>
            </w:r>
            <w:r w:rsidRPr="00FC322D">
              <w:rPr>
                <w:szCs w:val="24"/>
              </w:rPr>
              <w:instrText xml:space="preserve"> REF _Ref99013649 \w \h </w:instrText>
            </w:r>
            <w:r>
              <w:rPr>
                <w:szCs w:val="24"/>
              </w:rPr>
              <w:instrText xml:space="preserve"> \* MERGEFORMAT </w:instrText>
            </w:r>
            <w:r w:rsidRPr="00FC322D">
              <w:rPr>
                <w:szCs w:val="24"/>
              </w:rPr>
            </w:r>
            <w:r w:rsidRPr="00FC322D">
              <w:rPr>
                <w:szCs w:val="24"/>
              </w:rPr>
              <w:fldChar w:fldCharType="separate"/>
            </w:r>
            <w:r w:rsidR="00302D39">
              <w:rPr>
                <w:szCs w:val="24"/>
              </w:rPr>
              <w:t>2</w:t>
            </w:r>
            <w:r w:rsidRPr="00FC322D">
              <w:rPr>
                <w:szCs w:val="24"/>
              </w:rPr>
              <w:fldChar w:fldCharType="end"/>
            </w:r>
            <w:r w:rsidRPr="00FC322D">
              <w:rPr>
                <w:szCs w:val="24"/>
              </w:rPr>
              <w:t xml:space="preserve"> of </w:t>
            </w:r>
            <w:r w:rsidRPr="00FC322D">
              <w:rPr>
                <w:szCs w:val="24"/>
              </w:rPr>
              <w:fldChar w:fldCharType="begin"/>
            </w:r>
            <w:r w:rsidRPr="00FC322D">
              <w:rPr>
                <w:szCs w:val="24"/>
              </w:rPr>
              <w:instrText xml:space="preserve"> REF Sch3PartB \h </w:instrText>
            </w:r>
            <w:r>
              <w:rPr>
                <w:szCs w:val="24"/>
              </w:rPr>
              <w:instrText xml:space="preserve"> \* MERGEFORMAT </w:instrText>
            </w:r>
            <w:r w:rsidRPr="00FC322D">
              <w:rPr>
                <w:szCs w:val="24"/>
              </w:rPr>
            </w:r>
            <w:r w:rsidRPr="00FC322D">
              <w:rPr>
                <w:szCs w:val="24"/>
              </w:rPr>
              <w:fldChar w:fldCharType="separate"/>
            </w:r>
            <w:r w:rsidR="00302D39" w:rsidRPr="00302D39">
              <w:rPr>
                <w:rFonts w:cs="Arial"/>
                <w:szCs w:val="24"/>
              </w:rPr>
              <w:t>Part B</w:t>
            </w:r>
            <w:r w:rsidRPr="00FC322D">
              <w:rPr>
                <w:szCs w:val="24"/>
              </w:rPr>
              <w:fldChar w:fldCharType="end"/>
            </w:r>
            <w:r w:rsidRPr="00FC322D">
              <w:rPr>
                <w:szCs w:val="24"/>
              </w:rPr>
              <w:t xml:space="preserve"> of </w:t>
            </w:r>
            <w:r w:rsidRPr="00FC322D">
              <w:rPr>
                <w:szCs w:val="24"/>
              </w:rPr>
              <w:fldChar w:fldCharType="begin"/>
            </w:r>
            <w:r w:rsidRPr="00FC322D">
              <w:rPr>
                <w:szCs w:val="24"/>
              </w:rPr>
              <w:instrText xml:space="preserve"> REF ANNEX1_SCHEDULE3 \h </w:instrText>
            </w:r>
            <w:r>
              <w:rPr>
                <w:szCs w:val="24"/>
              </w:rPr>
              <w:instrText xml:space="preserve"> \* MERGEFORMAT </w:instrText>
            </w:r>
            <w:r w:rsidRPr="00FC322D">
              <w:rPr>
                <w:szCs w:val="24"/>
              </w:rPr>
            </w:r>
            <w:r w:rsidRPr="00FC322D">
              <w:rPr>
                <w:szCs w:val="24"/>
              </w:rPr>
              <w:fldChar w:fldCharType="separate"/>
            </w:r>
            <w:r w:rsidR="00302D39" w:rsidRPr="00302D39">
              <w:rPr>
                <w:rFonts w:cs="Arial"/>
                <w:szCs w:val="24"/>
              </w:rPr>
              <w:t>Annex 1</w:t>
            </w:r>
            <w:r w:rsidRPr="00FC322D">
              <w:rPr>
                <w:szCs w:val="24"/>
              </w:rPr>
              <w:fldChar w:fldCharType="end"/>
            </w:r>
            <w:r w:rsidRPr="00FC322D">
              <w:rPr>
                <w:szCs w:val="24"/>
              </w:rPr>
              <w:t>;</w:t>
            </w:r>
          </w:p>
        </w:tc>
      </w:tr>
      <w:tr w:rsidR="00F67E9E" w:rsidRPr="00FC322D" w14:paraId="6E88EE60" w14:textId="77777777" w:rsidTr="007F74AA">
        <w:tc>
          <w:tcPr>
            <w:tcW w:w="2835" w:type="dxa"/>
          </w:tcPr>
          <w:p w14:paraId="5705BD17" w14:textId="77777777" w:rsidR="00F67E9E" w:rsidRPr="00FC322D" w:rsidRDefault="00F67E9E" w:rsidP="007F74AA">
            <w:pPr>
              <w:pBdr>
                <w:top w:val="nil"/>
                <w:left w:val="nil"/>
                <w:bottom w:val="nil"/>
                <w:right w:val="nil"/>
                <w:between w:val="nil"/>
              </w:pBdr>
              <w:spacing w:before="100" w:after="200"/>
              <w:rPr>
                <w:b/>
                <w:szCs w:val="24"/>
              </w:rPr>
            </w:pPr>
            <w:r>
              <w:rPr>
                <w:b/>
                <w:szCs w:val="24"/>
              </w:rPr>
              <w:t>“</w:t>
            </w:r>
            <w:r w:rsidRPr="00FC322D">
              <w:rPr>
                <w:b/>
                <w:szCs w:val="24"/>
              </w:rPr>
              <w:t>Service Downtime</w:t>
            </w:r>
            <w:r>
              <w:rPr>
                <w:b/>
                <w:szCs w:val="24"/>
              </w:rPr>
              <w:t>”</w:t>
            </w:r>
          </w:p>
        </w:tc>
        <w:tc>
          <w:tcPr>
            <w:tcW w:w="6803" w:type="dxa"/>
          </w:tcPr>
          <w:p w14:paraId="1233F69F" w14:textId="77777777" w:rsidR="00F67E9E" w:rsidRPr="00FC322D" w:rsidRDefault="00F67E9E" w:rsidP="007F74AA">
            <w:pPr>
              <w:pBdr>
                <w:top w:val="nil"/>
                <w:left w:val="nil"/>
                <w:bottom w:val="nil"/>
                <w:right w:val="nil"/>
                <w:between w:val="nil"/>
              </w:pBdr>
              <w:spacing w:before="100" w:after="200"/>
              <w:rPr>
                <w:szCs w:val="24"/>
              </w:rPr>
            </w:pPr>
            <w:r w:rsidRPr="00FC322D">
              <w:rPr>
                <w:szCs w:val="24"/>
              </w:rPr>
              <w:t>any period of time during which any of the Services are not Available; and</w:t>
            </w:r>
          </w:p>
        </w:tc>
      </w:tr>
      <w:tr w:rsidR="00F67E9E" w:rsidRPr="00FC322D" w14:paraId="51969687" w14:textId="77777777" w:rsidTr="007F74AA">
        <w:tc>
          <w:tcPr>
            <w:tcW w:w="2835" w:type="dxa"/>
          </w:tcPr>
          <w:p w14:paraId="162DD70F" w14:textId="77777777" w:rsidR="00F67E9E" w:rsidRPr="00FC322D" w:rsidRDefault="00F67E9E" w:rsidP="007F74AA">
            <w:pPr>
              <w:pBdr>
                <w:top w:val="nil"/>
                <w:left w:val="nil"/>
                <w:bottom w:val="nil"/>
                <w:right w:val="nil"/>
                <w:between w:val="nil"/>
              </w:pBdr>
              <w:spacing w:before="100" w:after="200"/>
              <w:rPr>
                <w:b/>
                <w:szCs w:val="24"/>
              </w:rPr>
            </w:pPr>
            <w:r>
              <w:rPr>
                <w:b/>
                <w:szCs w:val="24"/>
              </w:rPr>
              <w:t>“</w:t>
            </w:r>
            <w:r w:rsidRPr="00FC322D">
              <w:rPr>
                <w:b/>
                <w:szCs w:val="24"/>
              </w:rPr>
              <w:t>System Response Time</w:t>
            </w:r>
            <w:r>
              <w:rPr>
                <w:b/>
                <w:szCs w:val="24"/>
              </w:rPr>
              <w:t>”</w:t>
            </w:r>
          </w:p>
        </w:tc>
        <w:tc>
          <w:tcPr>
            <w:tcW w:w="6803" w:type="dxa"/>
          </w:tcPr>
          <w:p w14:paraId="77A0096D" w14:textId="4EBE8DB3" w:rsidR="00F67E9E" w:rsidRPr="00FC322D" w:rsidRDefault="00F67E9E" w:rsidP="007F74AA">
            <w:pPr>
              <w:pBdr>
                <w:top w:val="nil"/>
                <w:left w:val="nil"/>
                <w:bottom w:val="nil"/>
                <w:right w:val="nil"/>
                <w:between w:val="nil"/>
              </w:pBdr>
              <w:spacing w:before="100" w:after="200"/>
              <w:rPr>
                <w:szCs w:val="24"/>
              </w:rPr>
            </w:pPr>
            <w:bookmarkStart w:id="329" w:name="_heading=h.3dy6vkm" w:colFirst="0" w:colLast="0"/>
            <w:bookmarkEnd w:id="329"/>
            <w:r w:rsidRPr="00FC322D">
              <w:rPr>
                <w:szCs w:val="24"/>
              </w:rPr>
              <w:t xml:space="preserve">has the meaning given in Paragraph </w:t>
            </w:r>
            <w:r w:rsidRPr="00FC322D">
              <w:rPr>
                <w:szCs w:val="24"/>
              </w:rPr>
              <w:fldChar w:fldCharType="begin"/>
            </w:r>
            <w:r w:rsidRPr="00FC322D">
              <w:rPr>
                <w:szCs w:val="24"/>
              </w:rPr>
              <w:instrText xml:space="preserve"> REF _Ref99013983 \w \h </w:instrText>
            </w:r>
            <w:r>
              <w:rPr>
                <w:szCs w:val="24"/>
              </w:rPr>
              <w:instrText xml:space="preserve"> \* MERGEFORMAT </w:instrText>
            </w:r>
            <w:r w:rsidRPr="00FC322D">
              <w:rPr>
                <w:szCs w:val="24"/>
              </w:rPr>
            </w:r>
            <w:r w:rsidRPr="00FC322D">
              <w:rPr>
                <w:szCs w:val="24"/>
              </w:rPr>
              <w:fldChar w:fldCharType="separate"/>
            </w:r>
            <w:r w:rsidR="00302D39">
              <w:rPr>
                <w:szCs w:val="24"/>
              </w:rPr>
              <w:t>3.1</w:t>
            </w:r>
            <w:r w:rsidRPr="00FC322D">
              <w:rPr>
                <w:szCs w:val="24"/>
              </w:rPr>
              <w:fldChar w:fldCharType="end"/>
            </w:r>
            <w:r w:rsidRPr="00FC322D">
              <w:rPr>
                <w:szCs w:val="24"/>
              </w:rPr>
              <w:t xml:space="preserve"> of </w:t>
            </w:r>
            <w:r w:rsidRPr="00FC322D">
              <w:rPr>
                <w:szCs w:val="24"/>
              </w:rPr>
              <w:fldChar w:fldCharType="begin"/>
            </w:r>
            <w:r w:rsidRPr="00FC322D">
              <w:rPr>
                <w:szCs w:val="24"/>
              </w:rPr>
              <w:instrText xml:space="preserve"> REF Sch3PartB \h </w:instrText>
            </w:r>
            <w:r>
              <w:rPr>
                <w:szCs w:val="24"/>
              </w:rPr>
              <w:instrText xml:space="preserve"> \* MERGEFORMAT </w:instrText>
            </w:r>
            <w:r w:rsidRPr="00FC322D">
              <w:rPr>
                <w:szCs w:val="24"/>
              </w:rPr>
            </w:r>
            <w:r w:rsidRPr="00FC322D">
              <w:rPr>
                <w:szCs w:val="24"/>
              </w:rPr>
              <w:fldChar w:fldCharType="separate"/>
            </w:r>
            <w:r w:rsidR="00302D39" w:rsidRPr="00302D39">
              <w:rPr>
                <w:rFonts w:cs="Arial"/>
                <w:szCs w:val="24"/>
              </w:rPr>
              <w:t>Part B</w:t>
            </w:r>
            <w:r w:rsidRPr="00FC322D">
              <w:rPr>
                <w:szCs w:val="24"/>
              </w:rPr>
              <w:fldChar w:fldCharType="end"/>
            </w:r>
            <w:r w:rsidRPr="00FC322D">
              <w:rPr>
                <w:szCs w:val="24"/>
              </w:rPr>
              <w:t xml:space="preserve"> of </w:t>
            </w:r>
            <w:r w:rsidRPr="00FC322D">
              <w:rPr>
                <w:szCs w:val="24"/>
              </w:rPr>
              <w:fldChar w:fldCharType="begin"/>
            </w:r>
            <w:r w:rsidRPr="00FC322D">
              <w:rPr>
                <w:szCs w:val="24"/>
              </w:rPr>
              <w:instrText xml:space="preserve"> REF ANNEX1_SCHEDULE3 \h </w:instrText>
            </w:r>
            <w:r>
              <w:rPr>
                <w:szCs w:val="24"/>
              </w:rPr>
              <w:instrText xml:space="preserve"> \* MERGEFORMAT </w:instrText>
            </w:r>
            <w:r w:rsidRPr="00FC322D">
              <w:rPr>
                <w:szCs w:val="24"/>
              </w:rPr>
            </w:r>
            <w:r w:rsidRPr="00FC322D">
              <w:rPr>
                <w:szCs w:val="24"/>
              </w:rPr>
              <w:fldChar w:fldCharType="separate"/>
            </w:r>
            <w:r w:rsidR="00302D39" w:rsidRPr="00302D39">
              <w:rPr>
                <w:rFonts w:cs="Arial"/>
                <w:szCs w:val="24"/>
              </w:rPr>
              <w:t>Annex 1</w:t>
            </w:r>
            <w:r w:rsidRPr="00FC322D">
              <w:rPr>
                <w:szCs w:val="24"/>
              </w:rPr>
              <w:fldChar w:fldCharType="end"/>
            </w:r>
            <w:r w:rsidRPr="00FC322D">
              <w:rPr>
                <w:szCs w:val="24"/>
              </w:rPr>
              <w:t>.</w:t>
            </w:r>
          </w:p>
        </w:tc>
      </w:tr>
    </w:tbl>
    <w:p w14:paraId="1919A3AB" w14:textId="77777777" w:rsidR="00F67E9E" w:rsidRDefault="00F67E9E" w:rsidP="00F67E9E"/>
    <w:p w14:paraId="07A89CCF" w14:textId="77777777" w:rsidR="00F67E9E" w:rsidRDefault="00F67E9E" w:rsidP="00F67E9E">
      <w:r>
        <w:br w:type="page"/>
      </w:r>
    </w:p>
    <w:p w14:paraId="6A9461D3" w14:textId="77777777" w:rsidR="00F67E9E" w:rsidRDefault="00F67E9E" w:rsidP="00F67E9E">
      <w:pPr>
        <w:pStyle w:val="Heading2"/>
      </w:pPr>
      <w:bookmarkStart w:id="330" w:name="_heading=h.1t3h5sf" w:colFirst="0" w:colLast="0"/>
      <w:bookmarkStart w:id="331" w:name="Sch3PartA"/>
      <w:bookmarkStart w:id="332" w:name="Schedule3PartA"/>
      <w:bookmarkStart w:id="333" w:name="_Ref92197231"/>
      <w:bookmarkStart w:id="334" w:name="_Toc141711901"/>
      <w:bookmarkEnd w:id="330"/>
      <w:r w:rsidRPr="00147F02">
        <w:t>Part A</w:t>
      </w:r>
      <w:bookmarkEnd w:id="331"/>
      <w:bookmarkEnd w:id="332"/>
      <w:r w:rsidRPr="00147F02">
        <w:t xml:space="preserve">: </w:t>
      </w:r>
      <w:bookmarkStart w:id="335" w:name="Schedule3PartAHeading"/>
      <w:r w:rsidRPr="00147F02">
        <w:t xml:space="preserve">Performance Indicators </w:t>
      </w:r>
      <w:r>
        <w:t>a</w:t>
      </w:r>
      <w:r w:rsidRPr="00147F02">
        <w:t>nd Service Credits</w:t>
      </w:r>
      <w:bookmarkEnd w:id="333"/>
      <w:bookmarkEnd w:id="334"/>
      <w:bookmarkEnd w:id="335"/>
    </w:p>
    <w:p w14:paraId="5979D76F" w14:textId="77777777" w:rsidR="00F67E9E" w:rsidRPr="009E1FEF" w:rsidRDefault="00F67E9E" w:rsidP="00F67E9E">
      <w:pPr>
        <w:pStyle w:val="Numbered1"/>
        <w:numPr>
          <w:ilvl w:val="0"/>
          <w:numId w:val="158"/>
        </w:numPr>
      </w:pPr>
      <w:r w:rsidRPr="009E1FEF">
        <w:t>Performance Indicators</w:t>
      </w:r>
    </w:p>
    <w:p w14:paraId="324A99DD" w14:textId="26BDDDE1" w:rsidR="00F67E9E" w:rsidRPr="00166697" w:rsidRDefault="00F67E9E" w:rsidP="00F67E9E">
      <w:pPr>
        <w:pStyle w:val="Numbered11"/>
      </w:pPr>
      <w:r w:rsidRPr="00FC322D">
        <w:fldChar w:fldCharType="begin"/>
      </w:r>
      <w:r w:rsidRPr="00FC322D">
        <w:instrText xml:space="preserve"> REF ANNEX1_SCHEDULE3 \h </w:instrText>
      </w:r>
      <w:r>
        <w:instrText xml:space="preserve"> \* MERGEFORMAT </w:instrText>
      </w:r>
      <w:r w:rsidRPr="00FC322D">
        <w:fldChar w:fldCharType="separate"/>
      </w:r>
      <w:r w:rsidR="00302D39" w:rsidRPr="00302D39">
        <w:rPr>
          <w:rFonts w:cs="Arial"/>
        </w:rPr>
        <w:t>Annex 1</w:t>
      </w:r>
      <w:r w:rsidRPr="00FC322D">
        <w:fldChar w:fldCharType="end"/>
      </w:r>
      <w:r w:rsidRPr="00166697">
        <w:t xml:space="preserve"> sets out the Key Performance Indicators and Subsidiary Performance Indicators which the </w:t>
      </w:r>
      <w:r w:rsidRPr="0043675B">
        <w:t>Parties</w:t>
      </w:r>
      <w:r w:rsidRPr="00166697">
        <w:t xml:space="preserve"> have agreed shall be used to measure the performance of the Services and Social Value by the Supplier. </w:t>
      </w:r>
    </w:p>
    <w:p w14:paraId="72FD7345" w14:textId="3E46B09A" w:rsidR="00F67E9E" w:rsidRPr="00166697" w:rsidRDefault="00F67E9E" w:rsidP="00F67E9E">
      <w:pPr>
        <w:pStyle w:val="Numbered11"/>
      </w:pPr>
      <w:bookmarkStart w:id="336" w:name="_heading=h.4d34og8" w:colFirst="0" w:colLast="0"/>
      <w:bookmarkEnd w:id="336"/>
      <w:r w:rsidRPr="00166697">
        <w:t xml:space="preserve">The Supplier shall monitor its performance against each Performance Indicator and shall send the Authority a report detailing the level of service actually achieved in accordance with </w:t>
      </w:r>
      <w:r w:rsidRPr="00FC322D">
        <w:fldChar w:fldCharType="begin"/>
      </w:r>
      <w:r w:rsidRPr="00FC322D">
        <w:instrText xml:space="preserve"> REF Sch3Ann1PartB \h </w:instrText>
      </w:r>
      <w:r>
        <w:instrText xml:space="preserve"> \* MERGEFORMAT </w:instrText>
      </w:r>
      <w:r w:rsidRPr="00FC322D">
        <w:fldChar w:fldCharType="separate"/>
      </w:r>
      <w:r w:rsidR="00302D39" w:rsidRPr="00302D39">
        <w:rPr>
          <w:rFonts w:cs="Arial"/>
        </w:rPr>
        <w:t>Part B</w:t>
      </w:r>
      <w:r w:rsidRPr="00FC322D">
        <w:fldChar w:fldCharType="end"/>
      </w:r>
      <w:r w:rsidRPr="00166697">
        <w:t xml:space="preserve">. </w:t>
      </w:r>
    </w:p>
    <w:p w14:paraId="003C22EB" w14:textId="23053BA2" w:rsidR="00F67E9E" w:rsidRPr="009E1FEF" w:rsidRDefault="00F67E9E" w:rsidP="00F67E9E">
      <w:pPr>
        <w:pStyle w:val="Numbered11"/>
      </w:pPr>
      <w:bookmarkStart w:id="337" w:name="_heading=h.2s8eyo1" w:colFirst="0" w:colLast="0"/>
      <w:bookmarkEnd w:id="337"/>
      <w:r w:rsidRPr="009E1FEF">
        <w:t xml:space="preserve">Service Points, and therefore Service Credits, shall accrue for any KPI Failure and shall be calculated in accordance with Paragraphs </w:t>
      </w:r>
      <w:r w:rsidRPr="009E1FEF">
        <w:fldChar w:fldCharType="begin"/>
      </w:r>
      <w:r w:rsidRPr="009E1FEF">
        <w:instrText xml:space="preserve"> REF _Ref99014071 \w \h  \* MERGEFORMAT </w:instrText>
      </w:r>
      <w:r w:rsidRPr="009E1FEF">
        <w:fldChar w:fldCharType="separate"/>
      </w:r>
      <w:r w:rsidR="00302D39">
        <w:t>2</w:t>
      </w:r>
      <w:r w:rsidRPr="009E1FEF">
        <w:fldChar w:fldCharType="end"/>
      </w:r>
      <w:r w:rsidRPr="009E1FEF">
        <w:t xml:space="preserve">, </w:t>
      </w:r>
      <w:r w:rsidRPr="009E1FEF">
        <w:fldChar w:fldCharType="begin"/>
      </w:r>
      <w:r w:rsidRPr="009E1FEF">
        <w:instrText xml:space="preserve"> REF _Ref99014079 \w \h  \* MERGEFORMAT </w:instrText>
      </w:r>
      <w:r w:rsidRPr="009E1FEF">
        <w:fldChar w:fldCharType="separate"/>
      </w:r>
      <w:r w:rsidR="00302D39">
        <w:t>3</w:t>
      </w:r>
      <w:r w:rsidRPr="009E1FEF">
        <w:fldChar w:fldCharType="end"/>
      </w:r>
      <w:r w:rsidRPr="009E1FEF">
        <w:t xml:space="preserve"> and </w:t>
      </w:r>
      <w:r w:rsidRPr="009E1FEF">
        <w:fldChar w:fldCharType="begin"/>
      </w:r>
      <w:r w:rsidRPr="009E1FEF">
        <w:instrText xml:space="preserve"> REF _Ref99006028 \w \h  \* MERGEFORMAT </w:instrText>
      </w:r>
      <w:r w:rsidRPr="009E1FEF">
        <w:fldChar w:fldCharType="separate"/>
      </w:r>
      <w:r w:rsidR="00302D39">
        <w:t>5</w:t>
      </w:r>
      <w:r w:rsidRPr="009E1FEF">
        <w:fldChar w:fldCharType="end"/>
      </w:r>
      <w:r w:rsidRPr="009E1FEF">
        <w:t>.</w:t>
      </w:r>
    </w:p>
    <w:p w14:paraId="1E1446CC" w14:textId="77777777" w:rsidR="00F67E9E" w:rsidRPr="009E1FEF" w:rsidRDefault="00F67E9E" w:rsidP="00F67E9E">
      <w:pPr>
        <w:pStyle w:val="Numbered1"/>
      </w:pPr>
      <w:bookmarkStart w:id="338" w:name="_heading=h.17dp8vu" w:colFirst="0" w:colLast="0"/>
      <w:bookmarkStart w:id="339" w:name="_Ref99014071"/>
      <w:bookmarkEnd w:id="338"/>
      <w:r w:rsidRPr="009E1FEF">
        <w:t>Service Points</w:t>
      </w:r>
      <w:bookmarkEnd w:id="339"/>
    </w:p>
    <w:p w14:paraId="0AECC725" w14:textId="77777777" w:rsidR="00F67E9E" w:rsidRPr="009E1FEF" w:rsidRDefault="00F67E9E" w:rsidP="00F67E9E">
      <w:pPr>
        <w:pStyle w:val="Numbered11"/>
      </w:pPr>
      <w:r w:rsidRPr="009E1FEF">
        <w:t>If the level of performance of the Supplier during a Service Period achieves the Target Performance Level in respect of a Key Performance Indicator, no Service Points shall accrue to the Supplier in respect of that Key Performance Indicator.</w:t>
      </w:r>
    </w:p>
    <w:p w14:paraId="38A09FCC" w14:textId="7AEF6730" w:rsidR="00F67E9E" w:rsidRPr="009E1FEF" w:rsidRDefault="00F67E9E" w:rsidP="00F67E9E">
      <w:pPr>
        <w:pStyle w:val="Numbered11"/>
      </w:pPr>
      <w:bookmarkStart w:id="340" w:name="_heading=h.3rdcrjn" w:colFirst="0" w:colLast="0"/>
      <w:bookmarkEnd w:id="340"/>
      <w:r w:rsidRPr="009E1FEF">
        <w:t xml:space="preserve">If the level of performance of the Supplier during a Service Period is below the Target Performance Level in respect of a Key Performance Indicator, Service Points shall accrue to the Supplier in respect of that Key Performance Indicator as set out in Paragraph </w:t>
      </w:r>
      <w:r w:rsidRPr="009E1FEF">
        <w:fldChar w:fldCharType="begin"/>
      </w:r>
      <w:r w:rsidRPr="009E1FEF">
        <w:instrText xml:space="preserve"> REF _Ref99014115 \w \h  \* MERGEFORMAT </w:instrText>
      </w:r>
      <w:r w:rsidRPr="009E1FEF">
        <w:fldChar w:fldCharType="separate"/>
      </w:r>
      <w:r w:rsidR="00302D39">
        <w:t>2.3</w:t>
      </w:r>
      <w:r w:rsidRPr="009E1FEF">
        <w:fldChar w:fldCharType="end"/>
      </w:r>
      <w:r w:rsidRPr="009E1FEF">
        <w:t>.</w:t>
      </w:r>
    </w:p>
    <w:p w14:paraId="051F2849" w14:textId="5B83561D" w:rsidR="00F67E9E" w:rsidRPr="00166697" w:rsidRDefault="00F67E9E" w:rsidP="00F67E9E">
      <w:pPr>
        <w:pStyle w:val="Numbered11"/>
      </w:pPr>
      <w:bookmarkStart w:id="341" w:name="_heading=h.26in1rg" w:colFirst="0" w:colLast="0"/>
      <w:bookmarkStart w:id="342" w:name="_Ref99014115"/>
      <w:bookmarkEnd w:id="341"/>
      <w:r w:rsidRPr="00166697">
        <w:t xml:space="preserve">The number of Service Points that shall accrue to the Supplier in respect of a KPI Failure shall be the applicable number as set out in </w:t>
      </w:r>
      <w:r w:rsidRPr="00FC322D">
        <w:fldChar w:fldCharType="begin"/>
      </w:r>
      <w:r w:rsidRPr="00FC322D">
        <w:instrText xml:space="preserve"> REF ANNEX1_SCHEDULE3 \h </w:instrText>
      </w:r>
      <w:r>
        <w:instrText xml:space="preserve"> \* MERGEFORMAT </w:instrText>
      </w:r>
      <w:r w:rsidRPr="00FC322D">
        <w:fldChar w:fldCharType="separate"/>
      </w:r>
      <w:r w:rsidR="00302D39" w:rsidRPr="00302D39">
        <w:rPr>
          <w:rFonts w:cs="Arial"/>
        </w:rPr>
        <w:t>Annex 1</w:t>
      </w:r>
      <w:r w:rsidRPr="00FC322D">
        <w:fldChar w:fldCharType="end"/>
      </w:r>
      <w:r w:rsidRPr="00166697">
        <w:t xml:space="preserve"> depending on whether the KPI Failure is a Minor KPI Failure, a Serious KPI Failure or a Severe KPI Failure, unless the KPI Failure is a Repeat KPI Failure when the provisions of Paragraph </w:t>
      </w:r>
      <w:r w:rsidRPr="00FC322D">
        <w:rPr>
          <w:color w:val="000000"/>
        </w:rPr>
        <w:fldChar w:fldCharType="begin"/>
      </w:r>
      <w:r w:rsidRPr="00FC322D">
        <w:rPr>
          <w:color w:val="000000"/>
        </w:rPr>
        <w:instrText xml:space="preserve"> REF _Ref99014127 \w \h </w:instrText>
      </w:r>
      <w:r>
        <w:rPr>
          <w:color w:val="000000"/>
        </w:rPr>
        <w:instrText xml:space="preserve"> \* MERGEFORMAT </w:instrText>
      </w:r>
      <w:r w:rsidRPr="00FC322D">
        <w:rPr>
          <w:color w:val="000000"/>
        </w:rPr>
      </w:r>
      <w:r w:rsidRPr="00FC322D">
        <w:rPr>
          <w:color w:val="000000"/>
        </w:rPr>
        <w:fldChar w:fldCharType="separate"/>
      </w:r>
      <w:r w:rsidR="00302D39">
        <w:rPr>
          <w:color w:val="000000"/>
        </w:rPr>
        <w:t>3.2</w:t>
      </w:r>
      <w:r w:rsidRPr="00FC322D">
        <w:rPr>
          <w:color w:val="000000"/>
        </w:rPr>
        <w:fldChar w:fldCharType="end"/>
      </w:r>
      <w:r w:rsidRPr="00166697">
        <w:t xml:space="preserve"> shall apply.</w:t>
      </w:r>
      <w:bookmarkEnd w:id="342"/>
    </w:p>
    <w:p w14:paraId="17591D76" w14:textId="77777777" w:rsidR="00F67E9E" w:rsidRPr="009E1FEF" w:rsidRDefault="00F67E9E" w:rsidP="00F67E9E">
      <w:pPr>
        <w:pStyle w:val="Numbered1"/>
      </w:pPr>
      <w:bookmarkStart w:id="343" w:name="_heading=h.lnxbz9" w:colFirst="0" w:colLast="0"/>
      <w:bookmarkStart w:id="344" w:name="_Ref99014079"/>
      <w:bookmarkEnd w:id="343"/>
      <w:r w:rsidRPr="009E1FEF">
        <w:t>Repeat KPI Failures and Related KPI Failures</w:t>
      </w:r>
      <w:bookmarkEnd w:id="344"/>
    </w:p>
    <w:p w14:paraId="50CC0066" w14:textId="77777777" w:rsidR="00F67E9E" w:rsidRPr="00166697" w:rsidRDefault="00F67E9E" w:rsidP="00F67E9E">
      <w:pPr>
        <w:pBdr>
          <w:top w:val="nil"/>
          <w:left w:val="nil"/>
          <w:bottom w:val="nil"/>
          <w:right w:val="nil"/>
          <w:between w:val="nil"/>
        </w:pBdr>
        <w:spacing w:before="100" w:after="200"/>
        <w:ind w:left="720"/>
        <w:rPr>
          <w:szCs w:val="24"/>
        </w:rPr>
      </w:pPr>
      <w:r w:rsidRPr="007C382B">
        <w:rPr>
          <w:b/>
          <w:szCs w:val="24"/>
        </w:rPr>
        <w:t>Repeat</w:t>
      </w:r>
      <w:r w:rsidRPr="00166697">
        <w:rPr>
          <w:szCs w:val="24"/>
        </w:rPr>
        <w:t xml:space="preserve"> </w:t>
      </w:r>
      <w:r w:rsidRPr="007C382B">
        <w:rPr>
          <w:b/>
          <w:szCs w:val="24"/>
        </w:rPr>
        <w:t>KPI</w:t>
      </w:r>
      <w:r w:rsidRPr="00166697">
        <w:rPr>
          <w:szCs w:val="24"/>
        </w:rPr>
        <w:t xml:space="preserve"> </w:t>
      </w:r>
      <w:r w:rsidRPr="007C382B">
        <w:rPr>
          <w:b/>
          <w:szCs w:val="24"/>
        </w:rPr>
        <w:t>Failures</w:t>
      </w:r>
    </w:p>
    <w:p w14:paraId="3D381C4D" w14:textId="77777777" w:rsidR="00F67E9E" w:rsidRPr="00166697" w:rsidRDefault="00F67E9E" w:rsidP="00F67E9E">
      <w:pPr>
        <w:pStyle w:val="Numbered11"/>
      </w:pPr>
      <w:bookmarkStart w:id="345" w:name="_heading=h.35nkun2" w:colFirst="0" w:colLast="0"/>
      <w:bookmarkStart w:id="346" w:name="_Ref99014039"/>
      <w:bookmarkEnd w:id="345"/>
      <w:r w:rsidRPr="00166697">
        <w:t xml:space="preserve">If a KPI Failure occurs in respect of the same Key Performance Indicator in any two consecutive Measurement Periods, the second and any subsequent such KPI Failure shall be a </w:t>
      </w:r>
      <w:r>
        <w:t>“</w:t>
      </w:r>
      <w:r w:rsidRPr="007C382B">
        <w:rPr>
          <w:b/>
        </w:rPr>
        <w:t>Repeat KPI Failure</w:t>
      </w:r>
      <w:r>
        <w:t>”</w:t>
      </w:r>
      <w:r w:rsidRPr="00166697">
        <w:t>.</w:t>
      </w:r>
      <w:bookmarkEnd w:id="346"/>
    </w:p>
    <w:p w14:paraId="2CA2883F" w14:textId="77777777" w:rsidR="00F67E9E" w:rsidRPr="009E1FEF" w:rsidRDefault="00F67E9E" w:rsidP="00F67E9E">
      <w:pPr>
        <w:pStyle w:val="Numbered11"/>
      </w:pPr>
      <w:bookmarkStart w:id="347" w:name="_heading=h.1ksv4uv" w:colFirst="0" w:colLast="0"/>
      <w:bookmarkStart w:id="348" w:name="_Ref99014127"/>
      <w:bookmarkEnd w:id="347"/>
      <w:r w:rsidRPr="009E1FEF">
        <w:t>The number of Service Points that shall accrue to the Supplier in respect of a KPI Failure that is a Repeat KPI Failure shall be calculated as follows:</w:t>
      </w:r>
      <w:bookmarkEnd w:id="348"/>
      <w:r w:rsidRPr="009E1FEF">
        <w:t xml:space="preserve"> </w:t>
      </w:r>
    </w:p>
    <w:p w14:paraId="72519D4B" w14:textId="77777777" w:rsidR="00F67E9E" w:rsidRPr="00166697" w:rsidRDefault="00F67E9E" w:rsidP="00F67E9E">
      <w:pPr>
        <w:pBdr>
          <w:top w:val="nil"/>
          <w:left w:val="nil"/>
          <w:bottom w:val="nil"/>
          <w:right w:val="nil"/>
          <w:between w:val="nil"/>
        </w:pBdr>
        <w:spacing w:before="100" w:after="200"/>
        <w:ind w:left="720"/>
        <w:rPr>
          <w:szCs w:val="24"/>
        </w:rPr>
      </w:pPr>
      <w:r w:rsidRPr="007C382B">
        <w:rPr>
          <w:b/>
          <w:szCs w:val="24"/>
        </w:rPr>
        <w:t>SP = P x</w:t>
      </w:r>
      <w:r w:rsidRPr="00166697">
        <w:rPr>
          <w:szCs w:val="24"/>
        </w:rPr>
        <w:t xml:space="preserve"> </w:t>
      </w:r>
      <w:r w:rsidRPr="007C382B">
        <w:rPr>
          <w:b/>
          <w:szCs w:val="24"/>
        </w:rPr>
        <w:t>2</w:t>
      </w:r>
    </w:p>
    <w:p w14:paraId="400C403B" w14:textId="77777777" w:rsidR="00F67E9E" w:rsidRPr="00BC27FD" w:rsidRDefault="00F67E9E" w:rsidP="00F67E9E">
      <w:pPr>
        <w:pBdr>
          <w:top w:val="nil"/>
          <w:left w:val="nil"/>
          <w:bottom w:val="nil"/>
          <w:right w:val="nil"/>
          <w:between w:val="nil"/>
        </w:pBdr>
        <w:spacing w:before="100" w:after="200"/>
        <w:ind w:left="720"/>
        <w:rPr>
          <w:szCs w:val="24"/>
        </w:rPr>
      </w:pPr>
      <w:r w:rsidRPr="00BC27FD">
        <w:rPr>
          <w:szCs w:val="24"/>
        </w:rPr>
        <w:t xml:space="preserve">where: </w:t>
      </w:r>
    </w:p>
    <w:p w14:paraId="3108E62F" w14:textId="77777777" w:rsidR="00F67E9E" w:rsidRPr="00166697" w:rsidRDefault="00F67E9E" w:rsidP="00F67E9E">
      <w:pPr>
        <w:pBdr>
          <w:top w:val="nil"/>
          <w:left w:val="nil"/>
          <w:bottom w:val="nil"/>
          <w:right w:val="nil"/>
          <w:between w:val="nil"/>
        </w:pBdr>
        <w:spacing w:before="100" w:after="200"/>
        <w:ind w:left="1440" w:hanging="720"/>
        <w:rPr>
          <w:szCs w:val="24"/>
        </w:rPr>
      </w:pPr>
      <w:r w:rsidRPr="007C382B">
        <w:rPr>
          <w:b/>
          <w:szCs w:val="24"/>
        </w:rPr>
        <w:t>SP =</w:t>
      </w:r>
      <w:r w:rsidRPr="00166697">
        <w:rPr>
          <w:szCs w:val="24"/>
        </w:rPr>
        <w:t xml:space="preserve"> </w:t>
      </w:r>
      <w:r w:rsidRPr="00166697">
        <w:rPr>
          <w:szCs w:val="24"/>
        </w:rPr>
        <w:tab/>
        <w:t>the number of Service Points that shall accrue for the Repeat KPI Failure; and</w:t>
      </w:r>
    </w:p>
    <w:p w14:paraId="3D736F3E" w14:textId="30E6D1A5" w:rsidR="00F67E9E" w:rsidRPr="00166697" w:rsidRDefault="00F67E9E" w:rsidP="00F67E9E">
      <w:pPr>
        <w:pBdr>
          <w:top w:val="nil"/>
          <w:left w:val="nil"/>
          <w:bottom w:val="nil"/>
          <w:right w:val="nil"/>
          <w:between w:val="nil"/>
        </w:pBdr>
        <w:spacing w:before="100" w:after="200"/>
        <w:ind w:left="1440" w:hanging="720"/>
        <w:rPr>
          <w:szCs w:val="24"/>
        </w:rPr>
      </w:pPr>
      <w:r w:rsidRPr="007C382B">
        <w:rPr>
          <w:b/>
          <w:szCs w:val="24"/>
        </w:rPr>
        <w:t>P =</w:t>
      </w:r>
      <w:r w:rsidRPr="00166697">
        <w:rPr>
          <w:szCs w:val="24"/>
        </w:rPr>
        <w:t xml:space="preserve"> </w:t>
      </w:r>
      <w:r w:rsidRPr="00166697">
        <w:rPr>
          <w:szCs w:val="24"/>
        </w:rPr>
        <w:tab/>
        <w:t xml:space="preserve">the applicable number of Service Points for that KPI Failure as set out in </w:t>
      </w:r>
      <w:r w:rsidRPr="00FC322D">
        <w:rPr>
          <w:szCs w:val="24"/>
        </w:rPr>
        <w:fldChar w:fldCharType="begin"/>
      </w:r>
      <w:r w:rsidRPr="00FC322D">
        <w:rPr>
          <w:szCs w:val="24"/>
        </w:rPr>
        <w:instrText xml:space="preserve"> REF ANNEX1_SCHEDULE3 \h </w:instrText>
      </w:r>
      <w:r>
        <w:rPr>
          <w:szCs w:val="24"/>
        </w:rPr>
        <w:instrText xml:space="preserve"> \* MERGEFORMAT </w:instrText>
      </w:r>
      <w:r w:rsidRPr="00FC322D">
        <w:rPr>
          <w:szCs w:val="24"/>
        </w:rPr>
      </w:r>
      <w:r w:rsidRPr="00FC322D">
        <w:rPr>
          <w:szCs w:val="24"/>
        </w:rPr>
        <w:fldChar w:fldCharType="separate"/>
      </w:r>
      <w:r w:rsidR="00302D39" w:rsidRPr="00302D39">
        <w:rPr>
          <w:rFonts w:cs="Arial"/>
          <w:szCs w:val="24"/>
        </w:rPr>
        <w:t>Annex 1</w:t>
      </w:r>
      <w:r w:rsidRPr="00FC322D">
        <w:rPr>
          <w:szCs w:val="24"/>
        </w:rPr>
        <w:fldChar w:fldCharType="end"/>
      </w:r>
      <w:r w:rsidRPr="00166697">
        <w:rPr>
          <w:szCs w:val="24"/>
        </w:rPr>
        <w:t xml:space="preserve"> depending on whether the Repeat KPI Failure is a Minor KPI Failure, a Serious KPI Failure, a Severe KPI Failure or a failure to meet the KPI Service Threshold.</w:t>
      </w:r>
    </w:p>
    <w:p w14:paraId="107F7305" w14:textId="77777777" w:rsidR="00F67E9E" w:rsidRPr="00166697" w:rsidRDefault="00F67E9E" w:rsidP="00F67E9E">
      <w:pPr>
        <w:keepNext/>
        <w:keepLines/>
        <w:pBdr>
          <w:top w:val="nil"/>
          <w:left w:val="nil"/>
          <w:bottom w:val="nil"/>
          <w:right w:val="nil"/>
          <w:between w:val="nil"/>
        </w:pBdr>
        <w:spacing w:before="100" w:after="200"/>
        <w:rPr>
          <w:szCs w:val="24"/>
          <w:highlight w:val="yellow"/>
        </w:rPr>
      </w:pPr>
      <w:r w:rsidRPr="00F97284">
        <w:rPr>
          <w:b/>
          <w:iCs/>
          <w:szCs w:val="24"/>
          <w:highlight w:val="yellow"/>
        </w:rPr>
        <w:t>[Worked example based on the following Service Points regime for Service Availability:</w:t>
      </w:r>
    </w:p>
    <w:tbl>
      <w:tblPr>
        <w:tblStyle w:val="MSATable-header"/>
        <w:tblW w:w="9582" w:type="dxa"/>
        <w:tblInd w:w="624" w:type="dxa"/>
        <w:tblLayout w:type="fixed"/>
        <w:tblLook w:val="0620" w:firstRow="1" w:lastRow="0" w:firstColumn="0" w:lastColumn="0" w:noHBand="1" w:noVBand="1"/>
      </w:tblPr>
      <w:tblGrid>
        <w:gridCol w:w="6006"/>
        <w:gridCol w:w="3576"/>
      </w:tblGrid>
      <w:tr w:rsidR="00F67E9E" w14:paraId="3C480CA8" w14:textId="77777777" w:rsidTr="007F74AA">
        <w:trPr>
          <w:cnfStyle w:val="100000000000" w:firstRow="1" w:lastRow="0" w:firstColumn="0" w:lastColumn="0" w:oddVBand="0" w:evenVBand="0" w:oddHBand="0" w:evenHBand="0" w:firstRowFirstColumn="0" w:firstRowLastColumn="0" w:lastRowFirstColumn="0" w:lastRowLastColumn="0"/>
          <w:cantSplit/>
          <w:tblHeader/>
        </w:trPr>
        <w:tc>
          <w:tcPr>
            <w:tcW w:w="5229" w:type="dxa"/>
          </w:tcPr>
          <w:p w14:paraId="046C43F6" w14:textId="77777777" w:rsidR="00F67E9E" w:rsidRDefault="00F67E9E" w:rsidP="007F74AA">
            <w:pPr>
              <w:pBdr>
                <w:top w:val="nil"/>
                <w:left w:val="nil"/>
                <w:bottom w:val="nil"/>
                <w:right w:val="nil"/>
                <w:between w:val="nil"/>
              </w:pBdr>
              <w:rPr>
                <w:szCs w:val="24"/>
                <w:highlight w:val="yellow"/>
              </w:rPr>
            </w:pPr>
            <w:r>
              <w:rPr>
                <w:szCs w:val="24"/>
                <w:highlight w:val="yellow"/>
              </w:rPr>
              <w:t>Service Availability Severity Levels</w:t>
            </w:r>
          </w:p>
        </w:tc>
        <w:tc>
          <w:tcPr>
            <w:tcW w:w="3114" w:type="dxa"/>
          </w:tcPr>
          <w:p w14:paraId="4877F03C" w14:textId="77777777" w:rsidR="00F67E9E" w:rsidRDefault="00F67E9E" w:rsidP="007F74AA">
            <w:pPr>
              <w:pBdr>
                <w:top w:val="nil"/>
                <w:left w:val="nil"/>
                <w:bottom w:val="nil"/>
                <w:right w:val="nil"/>
                <w:between w:val="nil"/>
              </w:pBdr>
              <w:rPr>
                <w:szCs w:val="24"/>
                <w:highlight w:val="yellow"/>
              </w:rPr>
            </w:pPr>
            <w:r>
              <w:rPr>
                <w:szCs w:val="24"/>
                <w:highlight w:val="yellow"/>
              </w:rPr>
              <w:t>Service Points</w:t>
            </w:r>
          </w:p>
        </w:tc>
      </w:tr>
      <w:tr w:rsidR="00F67E9E" w14:paraId="15DEB75F" w14:textId="77777777" w:rsidTr="007F74AA">
        <w:trPr>
          <w:cantSplit/>
        </w:trPr>
        <w:tc>
          <w:tcPr>
            <w:tcW w:w="5229" w:type="dxa"/>
          </w:tcPr>
          <w:p w14:paraId="331A6139" w14:textId="77777777" w:rsidR="00F67E9E" w:rsidRDefault="00F67E9E" w:rsidP="007F74AA">
            <w:pPr>
              <w:pBdr>
                <w:top w:val="nil"/>
                <w:left w:val="nil"/>
                <w:bottom w:val="nil"/>
                <w:right w:val="nil"/>
                <w:between w:val="nil"/>
              </w:pBdr>
              <w:rPr>
                <w:szCs w:val="24"/>
                <w:highlight w:val="yellow"/>
              </w:rPr>
            </w:pPr>
            <w:r>
              <w:rPr>
                <w:szCs w:val="24"/>
                <w:highlight w:val="yellow"/>
              </w:rPr>
              <w:t>Target Performance Level:</w:t>
            </w:r>
            <w:r>
              <w:rPr>
                <w:szCs w:val="24"/>
                <w:highlight w:val="yellow"/>
              </w:rPr>
              <w:tab/>
            </w:r>
            <w:r>
              <w:rPr>
                <w:szCs w:val="24"/>
                <w:highlight w:val="yellow"/>
              </w:rPr>
              <w:tab/>
              <w:t>99%</w:t>
            </w:r>
          </w:p>
        </w:tc>
        <w:tc>
          <w:tcPr>
            <w:tcW w:w="3114" w:type="dxa"/>
          </w:tcPr>
          <w:p w14:paraId="16109988" w14:textId="77777777" w:rsidR="00F67E9E" w:rsidRDefault="00F67E9E" w:rsidP="007F74AA">
            <w:pPr>
              <w:pBdr>
                <w:top w:val="nil"/>
                <w:left w:val="nil"/>
                <w:bottom w:val="nil"/>
                <w:right w:val="nil"/>
                <w:between w:val="nil"/>
              </w:pBdr>
              <w:rPr>
                <w:szCs w:val="24"/>
                <w:highlight w:val="yellow"/>
              </w:rPr>
            </w:pPr>
            <w:r>
              <w:rPr>
                <w:szCs w:val="24"/>
                <w:highlight w:val="yellow"/>
              </w:rPr>
              <w:t>0</w:t>
            </w:r>
          </w:p>
        </w:tc>
      </w:tr>
      <w:tr w:rsidR="00F67E9E" w14:paraId="272D8184" w14:textId="77777777" w:rsidTr="007F74AA">
        <w:trPr>
          <w:cantSplit/>
        </w:trPr>
        <w:tc>
          <w:tcPr>
            <w:tcW w:w="5229" w:type="dxa"/>
          </w:tcPr>
          <w:p w14:paraId="1C2D7D7F" w14:textId="77777777" w:rsidR="00F67E9E" w:rsidRDefault="00F67E9E" w:rsidP="007F74AA">
            <w:pPr>
              <w:pBdr>
                <w:top w:val="nil"/>
                <w:left w:val="nil"/>
                <w:bottom w:val="nil"/>
                <w:right w:val="nil"/>
                <w:between w:val="nil"/>
              </w:pBdr>
              <w:rPr>
                <w:szCs w:val="24"/>
                <w:highlight w:val="yellow"/>
              </w:rPr>
            </w:pPr>
            <w:r>
              <w:rPr>
                <w:szCs w:val="24"/>
                <w:highlight w:val="yellow"/>
              </w:rPr>
              <w:t>Minor KPI Failure:</w:t>
            </w:r>
            <w:r>
              <w:rPr>
                <w:szCs w:val="24"/>
                <w:highlight w:val="yellow"/>
              </w:rPr>
              <w:tab/>
            </w:r>
            <w:r>
              <w:rPr>
                <w:szCs w:val="24"/>
                <w:highlight w:val="yellow"/>
              </w:rPr>
              <w:tab/>
              <w:t>98.0% - 98.9%</w:t>
            </w:r>
          </w:p>
        </w:tc>
        <w:tc>
          <w:tcPr>
            <w:tcW w:w="3114" w:type="dxa"/>
          </w:tcPr>
          <w:p w14:paraId="18343DA4" w14:textId="77777777" w:rsidR="00F67E9E" w:rsidRDefault="00F67E9E" w:rsidP="007F74AA">
            <w:pPr>
              <w:pBdr>
                <w:top w:val="nil"/>
                <w:left w:val="nil"/>
                <w:bottom w:val="nil"/>
                <w:right w:val="nil"/>
                <w:between w:val="nil"/>
              </w:pBdr>
              <w:rPr>
                <w:szCs w:val="24"/>
                <w:highlight w:val="yellow"/>
              </w:rPr>
            </w:pPr>
            <w:r>
              <w:rPr>
                <w:szCs w:val="24"/>
                <w:highlight w:val="yellow"/>
              </w:rPr>
              <w:t>1</w:t>
            </w:r>
          </w:p>
        </w:tc>
      </w:tr>
      <w:tr w:rsidR="00F67E9E" w14:paraId="1D9A5B1F" w14:textId="77777777" w:rsidTr="007F74AA">
        <w:trPr>
          <w:cantSplit/>
        </w:trPr>
        <w:tc>
          <w:tcPr>
            <w:tcW w:w="5229" w:type="dxa"/>
          </w:tcPr>
          <w:p w14:paraId="17CE5CA1" w14:textId="77777777" w:rsidR="00F67E9E" w:rsidRDefault="00F67E9E" w:rsidP="007F74AA">
            <w:pPr>
              <w:pBdr>
                <w:top w:val="nil"/>
                <w:left w:val="nil"/>
                <w:bottom w:val="nil"/>
                <w:right w:val="nil"/>
                <w:between w:val="nil"/>
              </w:pBdr>
              <w:rPr>
                <w:szCs w:val="24"/>
                <w:highlight w:val="yellow"/>
              </w:rPr>
            </w:pPr>
            <w:r>
              <w:rPr>
                <w:szCs w:val="24"/>
                <w:highlight w:val="yellow"/>
              </w:rPr>
              <w:t>Serious KPI Failure:</w:t>
            </w:r>
            <w:r>
              <w:rPr>
                <w:szCs w:val="24"/>
                <w:highlight w:val="yellow"/>
              </w:rPr>
              <w:tab/>
            </w:r>
            <w:r>
              <w:rPr>
                <w:szCs w:val="24"/>
                <w:highlight w:val="yellow"/>
              </w:rPr>
              <w:tab/>
              <w:t>97.0% - 97.9%</w:t>
            </w:r>
          </w:p>
        </w:tc>
        <w:tc>
          <w:tcPr>
            <w:tcW w:w="3114" w:type="dxa"/>
          </w:tcPr>
          <w:p w14:paraId="62C43E64" w14:textId="77777777" w:rsidR="00F67E9E" w:rsidRDefault="00F67E9E" w:rsidP="007F74AA">
            <w:pPr>
              <w:pBdr>
                <w:top w:val="nil"/>
                <w:left w:val="nil"/>
                <w:bottom w:val="nil"/>
                <w:right w:val="nil"/>
                <w:between w:val="nil"/>
              </w:pBdr>
              <w:rPr>
                <w:szCs w:val="24"/>
                <w:highlight w:val="yellow"/>
              </w:rPr>
            </w:pPr>
            <w:r>
              <w:rPr>
                <w:szCs w:val="24"/>
                <w:highlight w:val="yellow"/>
              </w:rPr>
              <w:t>2</w:t>
            </w:r>
          </w:p>
        </w:tc>
      </w:tr>
      <w:tr w:rsidR="00F67E9E" w14:paraId="4F773D9A" w14:textId="77777777" w:rsidTr="007F74AA">
        <w:trPr>
          <w:cantSplit/>
        </w:trPr>
        <w:tc>
          <w:tcPr>
            <w:tcW w:w="5229" w:type="dxa"/>
          </w:tcPr>
          <w:p w14:paraId="45A6711A" w14:textId="77777777" w:rsidR="00F67E9E" w:rsidRDefault="00F67E9E" w:rsidP="007F74AA">
            <w:pPr>
              <w:pBdr>
                <w:top w:val="nil"/>
                <w:left w:val="nil"/>
                <w:bottom w:val="nil"/>
                <w:right w:val="nil"/>
                <w:between w:val="nil"/>
              </w:pBdr>
              <w:rPr>
                <w:szCs w:val="24"/>
                <w:highlight w:val="yellow"/>
              </w:rPr>
            </w:pPr>
            <w:r>
              <w:rPr>
                <w:szCs w:val="24"/>
                <w:highlight w:val="yellow"/>
              </w:rPr>
              <w:t>Severe KPI Failure:</w:t>
            </w:r>
            <w:r>
              <w:rPr>
                <w:szCs w:val="24"/>
                <w:highlight w:val="yellow"/>
              </w:rPr>
              <w:tab/>
            </w:r>
            <w:r>
              <w:rPr>
                <w:szCs w:val="24"/>
                <w:highlight w:val="yellow"/>
              </w:rPr>
              <w:tab/>
              <w:t>96.0% - 96.9%</w:t>
            </w:r>
          </w:p>
        </w:tc>
        <w:tc>
          <w:tcPr>
            <w:tcW w:w="3114" w:type="dxa"/>
          </w:tcPr>
          <w:p w14:paraId="1D4DDF2B" w14:textId="77777777" w:rsidR="00F67E9E" w:rsidRDefault="00F67E9E" w:rsidP="007F74AA">
            <w:pPr>
              <w:pBdr>
                <w:top w:val="nil"/>
                <w:left w:val="nil"/>
                <w:bottom w:val="nil"/>
                <w:right w:val="nil"/>
                <w:between w:val="nil"/>
              </w:pBdr>
              <w:rPr>
                <w:szCs w:val="24"/>
                <w:highlight w:val="yellow"/>
              </w:rPr>
            </w:pPr>
            <w:r>
              <w:rPr>
                <w:szCs w:val="24"/>
                <w:highlight w:val="yellow"/>
              </w:rPr>
              <w:t>3</w:t>
            </w:r>
          </w:p>
        </w:tc>
      </w:tr>
      <w:tr w:rsidR="00F67E9E" w14:paraId="65FD7648" w14:textId="77777777" w:rsidTr="007F74AA">
        <w:trPr>
          <w:cantSplit/>
        </w:trPr>
        <w:tc>
          <w:tcPr>
            <w:tcW w:w="5229" w:type="dxa"/>
          </w:tcPr>
          <w:p w14:paraId="2C8313A4" w14:textId="77777777" w:rsidR="00F67E9E" w:rsidRDefault="00F67E9E" w:rsidP="007F74AA">
            <w:pPr>
              <w:pBdr>
                <w:top w:val="nil"/>
                <w:left w:val="nil"/>
                <w:bottom w:val="nil"/>
                <w:right w:val="nil"/>
                <w:between w:val="nil"/>
              </w:pBdr>
              <w:rPr>
                <w:szCs w:val="24"/>
                <w:highlight w:val="yellow"/>
              </w:rPr>
            </w:pPr>
            <w:r>
              <w:rPr>
                <w:szCs w:val="24"/>
                <w:highlight w:val="yellow"/>
              </w:rPr>
              <w:t>KPI Service Threshold:</w:t>
            </w:r>
            <w:r>
              <w:rPr>
                <w:szCs w:val="24"/>
                <w:highlight w:val="yellow"/>
              </w:rPr>
              <w:tab/>
              <w:t xml:space="preserve">below 96% </w:t>
            </w:r>
          </w:p>
        </w:tc>
        <w:tc>
          <w:tcPr>
            <w:tcW w:w="3114" w:type="dxa"/>
          </w:tcPr>
          <w:p w14:paraId="3B953420" w14:textId="77777777" w:rsidR="00F67E9E" w:rsidRDefault="00F67E9E" w:rsidP="007F74AA">
            <w:pPr>
              <w:pBdr>
                <w:top w:val="nil"/>
                <w:left w:val="nil"/>
                <w:bottom w:val="nil"/>
                <w:right w:val="nil"/>
                <w:between w:val="nil"/>
              </w:pBdr>
              <w:rPr>
                <w:szCs w:val="24"/>
                <w:highlight w:val="yellow"/>
              </w:rPr>
            </w:pPr>
            <w:r>
              <w:rPr>
                <w:szCs w:val="24"/>
                <w:highlight w:val="yellow"/>
              </w:rPr>
              <w:t>4</w:t>
            </w:r>
          </w:p>
        </w:tc>
      </w:tr>
    </w:tbl>
    <w:p w14:paraId="47AF8D02" w14:textId="77777777" w:rsidR="00F67E9E" w:rsidRPr="001C4B30" w:rsidRDefault="00F67E9E" w:rsidP="00F67E9E">
      <w:pPr>
        <w:pBdr>
          <w:top w:val="nil"/>
          <w:left w:val="nil"/>
          <w:bottom w:val="nil"/>
          <w:right w:val="nil"/>
          <w:between w:val="nil"/>
        </w:pBdr>
        <w:spacing w:before="100" w:after="200"/>
        <w:rPr>
          <w:b/>
          <w:iCs/>
          <w:color w:val="000000"/>
          <w:szCs w:val="24"/>
          <w:highlight w:val="yellow"/>
        </w:rPr>
      </w:pPr>
      <w:r w:rsidRPr="001C4B30">
        <w:rPr>
          <w:b/>
          <w:iCs/>
          <w:color w:val="000000"/>
          <w:szCs w:val="24"/>
          <w:highlight w:val="yellow"/>
        </w:rPr>
        <w:t>Example 1:</w:t>
      </w:r>
    </w:p>
    <w:p w14:paraId="34C1724C" w14:textId="77777777" w:rsidR="00F67E9E" w:rsidRPr="00F97284" w:rsidRDefault="00F67E9E" w:rsidP="00F67E9E">
      <w:pPr>
        <w:pBdr>
          <w:top w:val="nil"/>
          <w:left w:val="nil"/>
          <w:bottom w:val="nil"/>
          <w:right w:val="nil"/>
          <w:between w:val="nil"/>
        </w:pBdr>
        <w:spacing w:before="100" w:after="200"/>
        <w:rPr>
          <w:iCs/>
          <w:szCs w:val="24"/>
          <w:highlight w:val="yellow"/>
        </w:rPr>
      </w:pPr>
      <w:bookmarkStart w:id="349" w:name="_heading=h.44sinio" w:colFirst="0" w:colLast="0"/>
      <w:bookmarkEnd w:id="349"/>
      <w:r w:rsidRPr="00F97284">
        <w:rPr>
          <w:iCs/>
          <w:szCs w:val="24"/>
          <w:highlight w:val="yellow"/>
        </w:rPr>
        <w:t>If the Supplier achieves Service Availability of 98.5% in a given Measurement Period, it will incur a Minor KPI Failure for Service Availability in that Measurement Period and accordingly accrue 1 Service Point. If, in the next Measurement Period, it achieves Service Availability of 96.5%, it will incur a Severe KPI Failure and accordingly accrue 3 Service Points, but as the failure is a Repeat Failure, this amount is doubled and so the Supplier will incur 6 Service Points for the failure (i.e. SP = 3 x 2). If in the next Measurement Period it achieves Service Availability of 96.5%, the Supplier will again incur 6 Service Points.</w:t>
      </w:r>
    </w:p>
    <w:p w14:paraId="7C4AAF03" w14:textId="77777777" w:rsidR="00F67E9E" w:rsidRPr="001C4B30" w:rsidRDefault="00F67E9E" w:rsidP="00F67E9E">
      <w:pPr>
        <w:pBdr>
          <w:top w:val="nil"/>
          <w:left w:val="nil"/>
          <w:bottom w:val="nil"/>
          <w:right w:val="nil"/>
          <w:between w:val="nil"/>
        </w:pBdr>
        <w:spacing w:before="100" w:after="200"/>
        <w:rPr>
          <w:b/>
          <w:iCs/>
          <w:color w:val="000000"/>
          <w:szCs w:val="24"/>
          <w:highlight w:val="yellow"/>
        </w:rPr>
      </w:pPr>
      <w:r w:rsidRPr="001C4B30">
        <w:rPr>
          <w:b/>
          <w:iCs/>
          <w:color w:val="000000"/>
          <w:szCs w:val="24"/>
          <w:highlight w:val="yellow"/>
        </w:rPr>
        <w:t>Example 2:</w:t>
      </w:r>
    </w:p>
    <w:p w14:paraId="58290B63" w14:textId="77777777" w:rsidR="00F67E9E" w:rsidRPr="00F97284" w:rsidRDefault="00F67E9E" w:rsidP="00F67E9E">
      <w:pPr>
        <w:pBdr>
          <w:top w:val="nil"/>
          <w:left w:val="nil"/>
          <w:bottom w:val="nil"/>
          <w:right w:val="nil"/>
          <w:between w:val="nil"/>
        </w:pBdr>
        <w:spacing w:before="100" w:after="200"/>
        <w:rPr>
          <w:iCs/>
          <w:szCs w:val="24"/>
        </w:rPr>
      </w:pPr>
      <w:bookmarkStart w:id="350" w:name="_heading=h.2jxsxqh" w:colFirst="0" w:colLast="0"/>
      <w:bookmarkEnd w:id="350"/>
      <w:r w:rsidRPr="00F97284">
        <w:rPr>
          <w:iCs/>
          <w:szCs w:val="24"/>
          <w:highlight w:val="yellow"/>
        </w:rPr>
        <w:t>If the Supplier achieves Service Availability of 96.5% in a given Measurement Period, it will incur a Severe KPI Failure for Service Availability in that Measurement Period and accordingly accrue 3 Service Points. If, in the next Measurement Period, it achieves Service Availability of 98.5%, it will incur a Minor KPI Failure and accordingly accrue 1 Service Point, but as the failure is a Repeat Failure, this amount is doubled and so the Supplier will incur 2 Service Points for the failure (i.e. SP = 1 x 2). If in the next Measurement Period it achieves Service Availability of 96.5%, the Supplier will incur 6 Service Points.]</w:t>
      </w:r>
    </w:p>
    <w:p w14:paraId="39A6B433" w14:textId="77777777" w:rsidR="00F67E9E" w:rsidRPr="00863151" w:rsidRDefault="00F67E9E" w:rsidP="00F67E9E">
      <w:pPr>
        <w:pBdr>
          <w:top w:val="nil"/>
          <w:left w:val="nil"/>
          <w:bottom w:val="nil"/>
          <w:right w:val="nil"/>
          <w:between w:val="nil"/>
        </w:pBdr>
        <w:spacing w:before="100" w:after="200"/>
        <w:rPr>
          <w:b/>
          <w:szCs w:val="24"/>
        </w:rPr>
      </w:pPr>
      <w:r w:rsidRPr="00863151">
        <w:rPr>
          <w:b/>
          <w:szCs w:val="24"/>
        </w:rPr>
        <w:t xml:space="preserve">Related KPI Failures </w:t>
      </w:r>
    </w:p>
    <w:p w14:paraId="4B5BDD32" w14:textId="77777777" w:rsidR="00F67E9E" w:rsidRPr="009E1FEF" w:rsidRDefault="00F67E9E" w:rsidP="00F67E9E">
      <w:pPr>
        <w:pStyle w:val="Numbered11"/>
      </w:pPr>
      <w:r w:rsidRPr="009E1FEF">
        <w:t>If any specific Key Performance Indicators refer to both Service Availability and System Response Times, the System Response Times achieved by the Supplier for any period of time during a Service Period during which the relevant Service or element of a Service is determined to be Non-Available shall not be taken into account in calculating the average System Response Times over the course of that Service Period. Accordingly, the Supplier shall not incur any Service Points for failure to meet System Response Times in circumstances where such failure is a result of, and the Supplier has already incurred Service Points for, the Service being Non-Available.</w:t>
      </w:r>
    </w:p>
    <w:p w14:paraId="1E41AABF" w14:textId="77777777" w:rsidR="00F67E9E" w:rsidRPr="009E1FEF" w:rsidRDefault="00F67E9E" w:rsidP="00F67E9E">
      <w:pPr>
        <w:pStyle w:val="Numbered1"/>
      </w:pPr>
      <w:r w:rsidRPr="009E1FEF">
        <w:t>Permitted Maintenance</w:t>
      </w:r>
    </w:p>
    <w:p w14:paraId="58402439" w14:textId="77777777" w:rsidR="00F67E9E" w:rsidRPr="00166697" w:rsidRDefault="00F67E9E" w:rsidP="00F67E9E">
      <w:pPr>
        <w:pStyle w:val="Numbered11"/>
      </w:pPr>
      <w:bookmarkStart w:id="351" w:name="_heading=h.z337ya" w:colFirst="0" w:colLast="0"/>
      <w:bookmarkEnd w:id="351"/>
      <w:r w:rsidRPr="00166697">
        <w:t xml:space="preserve">The Supplier shall be allowed to book a maximum of </w:t>
      </w:r>
      <w:r w:rsidRPr="00B73DD6">
        <w:rPr>
          <w:b/>
          <w:bCs/>
          <w:highlight w:val="yellow"/>
        </w:rPr>
        <w:t>[insert</w:t>
      </w:r>
      <w:r w:rsidRPr="001C4B30">
        <w:rPr>
          <w:iCs/>
          <w:highlight w:val="yellow"/>
        </w:rPr>
        <w:t xml:space="preserve"> number</w:t>
      </w:r>
      <w:r w:rsidRPr="001C4B30">
        <w:rPr>
          <w:highlight w:val="yellow"/>
        </w:rPr>
        <w:t>]</w:t>
      </w:r>
      <w:r w:rsidRPr="00166697">
        <w:t xml:space="preserve"> hours Service Downtime for Permitted Maintenance in any one Service Period which shall take place between the hours and on the day specified in the Maintenance Schedule unless otherwise agreed in writing with the Authority. </w:t>
      </w:r>
    </w:p>
    <w:p w14:paraId="2FBA7972" w14:textId="77777777" w:rsidR="00F67E9E" w:rsidRPr="009E1FEF" w:rsidRDefault="00F67E9E" w:rsidP="00F67E9E">
      <w:pPr>
        <w:pStyle w:val="Numbered1"/>
      </w:pPr>
      <w:bookmarkStart w:id="352" w:name="_heading=h.3j2qqm3" w:colFirst="0" w:colLast="0"/>
      <w:bookmarkStart w:id="353" w:name="_Ref99006028"/>
      <w:bookmarkEnd w:id="352"/>
      <w:r w:rsidRPr="009E1FEF">
        <w:t>Service Credits</w:t>
      </w:r>
      <w:bookmarkEnd w:id="353"/>
    </w:p>
    <w:bookmarkStart w:id="354" w:name="_heading=h.1y810tw" w:colFirst="0" w:colLast="0"/>
    <w:bookmarkEnd w:id="354"/>
    <w:p w14:paraId="1FD1E2FB" w14:textId="4F2B27A6" w:rsidR="00F67E9E" w:rsidRPr="00166697" w:rsidRDefault="00F67E9E" w:rsidP="00F67E9E">
      <w:pPr>
        <w:pStyle w:val="Numbered11"/>
        <w:tabs>
          <w:tab w:val="clear" w:pos="720"/>
        </w:tabs>
      </w:pPr>
      <w:r>
        <w:rPr>
          <w:rFonts w:cs="Arial"/>
        </w:rPr>
        <w:fldChar w:fldCharType="begin"/>
      </w:r>
      <w:r>
        <w:rPr>
          <w:rFonts w:cs="Arial"/>
        </w:rPr>
        <w:instrText xml:space="preserve"> REF Schedule15 \h </w:instrText>
      </w:r>
      <w:r>
        <w:rPr>
          <w:rFonts w:cs="Arial"/>
        </w:rPr>
      </w:r>
      <w:r>
        <w:rPr>
          <w:rFonts w:cs="Arial"/>
        </w:rPr>
        <w:fldChar w:fldCharType="separate"/>
      </w:r>
      <w:r w:rsidR="00302D39" w:rsidRPr="005D0525">
        <w:t>Schedule</w:t>
      </w:r>
      <w:r w:rsidR="00302D39">
        <w:t> </w:t>
      </w:r>
      <w:r w:rsidR="00302D39" w:rsidRPr="005D0525">
        <w:t>15</w:t>
      </w:r>
      <w:r>
        <w:rPr>
          <w:rFonts w:cs="Arial"/>
        </w:rPr>
        <w:fldChar w:fldCharType="end"/>
      </w:r>
      <w:r>
        <w:rPr>
          <w:rFonts w:cs="Arial"/>
        </w:rPr>
        <w:t xml:space="preserve"> (</w:t>
      </w:r>
      <w:r w:rsidRPr="00B91437">
        <w:rPr>
          <w:rFonts w:cs="Arial"/>
          <w:i/>
          <w:iCs/>
        </w:rPr>
        <w:fldChar w:fldCharType="begin"/>
      </w:r>
      <w:r w:rsidRPr="00B91437">
        <w:rPr>
          <w:rFonts w:cs="Arial"/>
          <w:i/>
          <w:iCs/>
        </w:rPr>
        <w:instrText xml:space="preserve"> REF Schedule15Heading \h </w:instrText>
      </w:r>
      <w:r>
        <w:rPr>
          <w:rFonts w:cs="Arial"/>
          <w:i/>
          <w:iCs/>
        </w:rPr>
        <w:instrText xml:space="preserve"> \* MERGEFORMAT </w:instrText>
      </w:r>
      <w:r w:rsidRPr="00B91437">
        <w:rPr>
          <w:rFonts w:cs="Arial"/>
          <w:i/>
          <w:iCs/>
        </w:rPr>
      </w:r>
      <w:r w:rsidRPr="00B91437">
        <w:rPr>
          <w:rFonts w:cs="Arial"/>
          <w:i/>
          <w:iCs/>
        </w:rPr>
        <w:fldChar w:fldCharType="separate"/>
      </w:r>
      <w:r w:rsidR="00302D39" w:rsidRPr="00302D39">
        <w:rPr>
          <w:i/>
          <w:iCs/>
        </w:rPr>
        <w:t>Charges and Invoicing</w:t>
      </w:r>
      <w:r w:rsidRPr="00B91437">
        <w:rPr>
          <w:rFonts w:cs="Arial"/>
          <w:i/>
          <w:iCs/>
        </w:rPr>
        <w:fldChar w:fldCharType="end"/>
      </w:r>
      <w:r>
        <w:rPr>
          <w:rFonts w:cs="Arial"/>
        </w:rPr>
        <w:t>)</w:t>
      </w:r>
      <w:r w:rsidRPr="00166697">
        <w:t xml:space="preserve"> sets out the mechanism by which Service Points shall be converted into Service Credits. </w:t>
      </w:r>
    </w:p>
    <w:p w14:paraId="51FD857C" w14:textId="30953A7C" w:rsidR="00F67E9E" w:rsidRPr="00166697" w:rsidRDefault="00F67E9E" w:rsidP="00F67E9E">
      <w:pPr>
        <w:pStyle w:val="Numbered11"/>
        <w:tabs>
          <w:tab w:val="clear" w:pos="720"/>
        </w:tabs>
      </w:pPr>
      <w:r w:rsidRPr="00166697">
        <w:t xml:space="preserve">The Authority shall use the Performance Monitoring Reports provided pursuant to </w:t>
      </w:r>
      <w:r>
        <w:fldChar w:fldCharType="begin"/>
      </w:r>
      <w:r>
        <w:instrText xml:space="preserve"> REF Sch3Ann1PartB \h </w:instrText>
      </w:r>
      <w:r>
        <w:fldChar w:fldCharType="separate"/>
      </w:r>
      <w:r w:rsidR="00302D39" w:rsidRPr="0089405F">
        <w:t>Part B</w:t>
      </w:r>
      <w:r>
        <w:fldChar w:fldCharType="end"/>
      </w:r>
      <w:r w:rsidRPr="00166697">
        <w:t>, among other things, to verify the calculation and accuracy of the Service Credits (if any) applicable to each Service Period.</w:t>
      </w:r>
    </w:p>
    <w:p w14:paraId="05F6B8C6" w14:textId="77777777" w:rsidR="00F67E9E" w:rsidRDefault="00F67E9E" w:rsidP="00F67E9E"/>
    <w:p w14:paraId="651B256C" w14:textId="77777777" w:rsidR="00F67E9E" w:rsidRDefault="00F67E9E" w:rsidP="00F67E9E">
      <w:pPr>
        <w:pStyle w:val="Heading2"/>
        <w:pageBreakBefore/>
      </w:pPr>
      <w:bookmarkStart w:id="355" w:name="_heading=h.4i7ojhp" w:colFirst="0" w:colLast="0"/>
      <w:bookmarkStart w:id="356" w:name="Sch3PartB"/>
      <w:bookmarkStart w:id="357" w:name="Schedule3PartB"/>
      <w:bookmarkStart w:id="358" w:name="_Ref92197253"/>
      <w:bookmarkStart w:id="359" w:name="_Toc141711902"/>
      <w:bookmarkEnd w:id="355"/>
      <w:r>
        <w:t>Part B</w:t>
      </w:r>
      <w:bookmarkEnd w:id="356"/>
      <w:bookmarkEnd w:id="357"/>
      <w:r w:rsidRPr="00E737CD">
        <w:t xml:space="preserve">: </w:t>
      </w:r>
      <w:bookmarkStart w:id="360" w:name="Schedule3PartBHeading"/>
      <w:r w:rsidRPr="00E737CD">
        <w:t>Performance Monitoring</w:t>
      </w:r>
      <w:bookmarkEnd w:id="358"/>
      <w:bookmarkEnd w:id="359"/>
      <w:bookmarkEnd w:id="360"/>
    </w:p>
    <w:p w14:paraId="5D77817D" w14:textId="77777777" w:rsidR="00F67E9E" w:rsidRPr="008F44C6" w:rsidRDefault="00F67E9E" w:rsidP="00F67E9E">
      <w:pPr>
        <w:pStyle w:val="Numbered1"/>
        <w:numPr>
          <w:ilvl w:val="0"/>
          <w:numId w:val="159"/>
        </w:numPr>
      </w:pPr>
      <w:bookmarkStart w:id="361" w:name="_Ref99014325"/>
      <w:r w:rsidRPr="008F44C6">
        <w:t>Performance Monitoring and Performance Review</w:t>
      </w:r>
      <w:bookmarkEnd w:id="361"/>
    </w:p>
    <w:p w14:paraId="4CAF8FC5" w14:textId="77777777" w:rsidR="00F67E9E" w:rsidRPr="009E1FEF" w:rsidRDefault="00F67E9E" w:rsidP="00F67E9E">
      <w:pPr>
        <w:pStyle w:val="Numbered11"/>
      </w:pPr>
      <w:bookmarkStart w:id="362" w:name="_Ref99013903"/>
      <w:r w:rsidRPr="009E1FEF">
        <w:t>Within 10 Working Days of the end of each Service Period, the Supplier shall provide:</w:t>
      </w:r>
      <w:bookmarkEnd w:id="362"/>
    </w:p>
    <w:p w14:paraId="062B5FF9" w14:textId="34EC59D7" w:rsidR="00F67E9E" w:rsidRPr="00166697" w:rsidRDefault="00F67E9E" w:rsidP="00F67E9E">
      <w:pPr>
        <w:pStyle w:val="Numbered111"/>
        <w:tabs>
          <w:tab w:val="clear" w:pos="1800"/>
        </w:tabs>
      </w:pPr>
      <w:bookmarkStart w:id="363" w:name="_heading=h.2xcytpi" w:colFirst="0" w:colLast="0"/>
      <w:bookmarkStart w:id="364" w:name="_Ref99013914"/>
      <w:bookmarkEnd w:id="363"/>
      <w:r w:rsidRPr="00166697">
        <w:t xml:space="preserve">a report to the Authority Representative which summarises the performance by the Supplier against each of the Performance Indicators as more particularly described in Paragraph </w:t>
      </w:r>
      <w:r w:rsidRPr="00FC322D">
        <w:rPr>
          <w:color w:val="000000"/>
        </w:rPr>
        <w:fldChar w:fldCharType="begin"/>
      </w:r>
      <w:r w:rsidRPr="00FC322D">
        <w:rPr>
          <w:color w:val="000000"/>
        </w:rPr>
        <w:instrText xml:space="preserve"> REF _Ref99014181 \w \h </w:instrText>
      </w:r>
      <w:r>
        <w:rPr>
          <w:color w:val="000000"/>
        </w:rPr>
        <w:instrText xml:space="preserve"> \* MERGEFORMAT </w:instrText>
      </w:r>
      <w:r w:rsidRPr="00FC322D">
        <w:rPr>
          <w:color w:val="000000"/>
        </w:rPr>
      </w:r>
      <w:r w:rsidRPr="00FC322D">
        <w:rPr>
          <w:color w:val="000000"/>
        </w:rPr>
        <w:fldChar w:fldCharType="separate"/>
      </w:r>
      <w:r w:rsidR="00302D39">
        <w:rPr>
          <w:color w:val="000000"/>
        </w:rPr>
        <w:t>1.2</w:t>
      </w:r>
      <w:r w:rsidRPr="00FC322D">
        <w:rPr>
          <w:color w:val="000000"/>
        </w:rPr>
        <w:fldChar w:fldCharType="end"/>
      </w:r>
      <w:r w:rsidRPr="00166697">
        <w:t xml:space="preserve"> (the </w:t>
      </w:r>
      <w:r>
        <w:t>“</w:t>
      </w:r>
      <w:r w:rsidRPr="007C382B">
        <w:rPr>
          <w:b/>
        </w:rPr>
        <w:t>Performance Monitoring Report</w:t>
      </w:r>
      <w:r>
        <w:t>”</w:t>
      </w:r>
      <w:r w:rsidRPr="00166697">
        <w:t>); and</w:t>
      </w:r>
      <w:bookmarkEnd w:id="364"/>
    </w:p>
    <w:p w14:paraId="490D7A0B" w14:textId="41234A73" w:rsidR="00F67E9E" w:rsidRPr="00166697" w:rsidRDefault="00F67E9E" w:rsidP="00F67E9E">
      <w:pPr>
        <w:pStyle w:val="Numbered111"/>
        <w:tabs>
          <w:tab w:val="clear" w:pos="1800"/>
        </w:tabs>
      </w:pPr>
      <w:bookmarkStart w:id="365" w:name="_heading=h.1ci93xb" w:colFirst="0" w:colLast="0"/>
      <w:bookmarkStart w:id="366" w:name="_Ref99012720"/>
      <w:bookmarkEnd w:id="365"/>
      <w:r w:rsidRPr="00166697">
        <w:t>a report created by the Supplier to the Authority</w:t>
      </w:r>
      <w:r>
        <w:t>’</w:t>
      </w:r>
      <w:r w:rsidRPr="00166697">
        <w:t>s senior responsible officer which summarises the Supplier</w:t>
      </w:r>
      <w:r>
        <w:t>’</w:t>
      </w:r>
      <w:r w:rsidRPr="00166697">
        <w:t xml:space="preserve">s performance over the relevant Service Period as more particularly described in Paragraph </w:t>
      </w:r>
      <w:r w:rsidRPr="00FC322D">
        <w:rPr>
          <w:color w:val="000000"/>
        </w:rPr>
        <w:fldChar w:fldCharType="begin"/>
      </w:r>
      <w:r w:rsidRPr="00FC322D">
        <w:rPr>
          <w:color w:val="000000"/>
        </w:rPr>
        <w:instrText xml:space="preserve"> REF _Ref99014192 \w \h </w:instrText>
      </w:r>
      <w:r>
        <w:rPr>
          <w:color w:val="000000"/>
        </w:rPr>
        <w:instrText xml:space="preserve"> \* MERGEFORMAT </w:instrText>
      </w:r>
      <w:r w:rsidRPr="00FC322D">
        <w:rPr>
          <w:color w:val="000000"/>
        </w:rPr>
      </w:r>
      <w:r w:rsidRPr="00FC322D">
        <w:rPr>
          <w:color w:val="000000"/>
        </w:rPr>
        <w:fldChar w:fldCharType="separate"/>
      </w:r>
      <w:r w:rsidR="00302D39">
        <w:rPr>
          <w:color w:val="000000"/>
        </w:rPr>
        <w:t>1.3</w:t>
      </w:r>
      <w:r w:rsidRPr="00FC322D">
        <w:rPr>
          <w:color w:val="000000"/>
        </w:rPr>
        <w:fldChar w:fldCharType="end"/>
      </w:r>
      <w:r w:rsidRPr="00166697">
        <w:t xml:space="preserve"> (the </w:t>
      </w:r>
      <w:r>
        <w:t>“</w:t>
      </w:r>
      <w:r w:rsidRPr="007C382B">
        <w:rPr>
          <w:b/>
        </w:rPr>
        <w:t>Balanced Scorecard Report</w:t>
      </w:r>
      <w:r>
        <w:t>”</w:t>
      </w:r>
      <w:r w:rsidRPr="00166697">
        <w:t>).</w:t>
      </w:r>
      <w:bookmarkEnd w:id="366"/>
    </w:p>
    <w:p w14:paraId="250FE6BE" w14:textId="77777777" w:rsidR="00F67E9E" w:rsidRPr="00166697" w:rsidRDefault="00F67E9E" w:rsidP="00F67E9E">
      <w:pPr>
        <w:pBdr>
          <w:top w:val="nil"/>
          <w:left w:val="nil"/>
          <w:bottom w:val="nil"/>
          <w:right w:val="nil"/>
          <w:between w:val="nil"/>
        </w:pBdr>
        <w:spacing w:before="100" w:after="200"/>
        <w:ind w:left="720"/>
        <w:rPr>
          <w:szCs w:val="24"/>
        </w:rPr>
      </w:pPr>
      <w:r w:rsidRPr="007C382B">
        <w:rPr>
          <w:b/>
          <w:szCs w:val="24"/>
        </w:rPr>
        <w:t>Performance Monitoring</w:t>
      </w:r>
      <w:r w:rsidRPr="00166697">
        <w:rPr>
          <w:szCs w:val="24"/>
        </w:rPr>
        <w:t xml:space="preserve"> </w:t>
      </w:r>
      <w:r w:rsidRPr="007C382B">
        <w:rPr>
          <w:b/>
          <w:szCs w:val="24"/>
        </w:rPr>
        <w:t>Report</w:t>
      </w:r>
    </w:p>
    <w:p w14:paraId="6E13CC54" w14:textId="77777777" w:rsidR="00F67E9E" w:rsidRPr="009E1FEF" w:rsidRDefault="00F67E9E" w:rsidP="00F67E9E">
      <w:pPr>
        <w:pStyle w:val="Numbered11"/>
      </w:pPr>
      <w:bookmarkStart w:id="367" w:name="_heading=h.3whwml4" w:colFirst="0" w:colLast="0"/>
      <w:bookmarkStart w:id="368" w:name="_Ref99014181"/>
      <w:bookmarkEnd w:id="367"/>
      <w:r w:rsidRPr="009E1FEF">
        <w:t>The Performance Monitoring Report shall be in such format as agreed between the Parties from time to time and contain, as a minimum, the following information:</w:t>
      </w:r>
      <w:bookmarkEnd w:id="368"/>
    </w:p>
    <w:p w14:paraId="0892B365" w14:textId="77777777" w:rsidR="00F67E9E" w:rsidRPr="00166697" w:rsidRDefault="00F67E9E" w:rsidP="00F67E9E">
      <w:pPr>
        <w:pBdr>
          <w:top w:val="nil"/>
          <w:left w:val="nil"/>
          <w:bottom w:val="nil"/>
          <w:right w:val="nil"/>
          <w:between w:val="nil"/>
        </w:pBdr>
        <w:spacing w:before="100" w:after="200"/>
        <w:ind w:left="720"/>
        <w:rPr>
          <w:szCs w:val="24"/>
        </w:rPr>
      </w:pPr>
      <w:r w:rsidRPr="007C382B">
        <w:rPr>
          <w:b/>
          <w:szCs w:val="24"/>
        </w:rPr>
        <w:t>Information in respect of the Service Period just</w:t>
      </w:r>
      <w:r w:rsidRPr="00166697">
        <w:rPr>
          <w:szCs w:val="24"/>
        </w:rPr>
        <w:t xml:space="preserve"> </w:t>
      </w:r>
      <w:r w:rsidRPr="007C382B">
        <w:rPr>
          <w:b/>
          <w:szCs w:val="24"/>
        </w:rPr>
        <w:t>ended</w:t>
      </w:r>
    </w:p>
    <w:p w14:paraId="7EF8ED59" w14:textId="77777777" w:rsidR="00F67E9E" w:rsidRPr="009E1FEF" w:rsidRDefault="00F67E9E" w:rsidP="00F67E9E">
      <w:pPr>
        <w:pStyle w:val="Numbered111"/>
        <w:tabs>
          <w:tab w:val="clear" w:pos="1800"/>
        </w:tabs>
      </w:pPr>
      <w:r w:rsidRPr="009E1FEF">
        <w:t xml:space="preserve">for each Key Performance Indicator and Subsidiary Performance Indicator, the actual performance achieved over the Service Period, and that achieved over the previous 3 Measurement Periods; </w:t>
      </w:r>
    </w:p>
    <w:p w14:paraId="2EB6705C" w14:textId="77777777" w:rsidR="00F67E9E" w:rsidRPr="009E1FEF" w:rsidRDefault="00F67E9E" w:rsidP="00F67E9E">
      <w:pPr>
        <w:pStyle w:val="Numbered111"/>
        <w:tabs>
          <w:tab w:val="clear" w:pos="1800"/>
        </w:tabs>
      </w:pPr>
      <w:r w:rsidRPr="009E1FEF">
        <w:t>a summary of all Performance Failures that occurred during the Service Period;</w:t>
      </w:r>
    </w:p>
    <w:p w14:paraId="28014B2C" w14:textId="77777777" w:rsidR="00F67E9E" w:rsidRPr="009E1FEF" w:rsidRDefault="00F67E9E" w:rsidP="00F67E9E">
      <w:pPr>
        <w:pStyle w:val="Numbered111"/>
        <w:tabs>
          <w:tab w:val="clear" w:pos="1800"/>
        </w:tabs>
      </w:pPr>
      <w:r w:rsidRPr="009E1FEF">
        <w:t>the severity level of each KPI Failure which occurred during the Service Period and whether each PI Failure which occurred during the Service Period fell below the PI Service Threshold;</w:t>
      </w:r>
    </w:p>
    <w:p w14:paraId="54AD90FA" w14:textId="77777777" w:rsidR="00F67E9E" w:rsidRPr="009E1FEF" w:rsidRDefault="00F67E9E" w:rsidP="00F67E9E">
      <w:pPr>
        <w:pStyle w:val="Numbered111"/>
        <w:tabs>
          <w:tab w:val="clear" w:pos="1800"/>
        </w:tabs>
      </w:pPr>
      <w:r w:rsidRPr="009E1FEF">
        <w:t>which Performance Failures remain outstanding and progress in resolving them;</w:t>
      </w:r>
    </w:p>
    <w:p w14:paraId="219FB74A" w14:textId="77777777" w:rsidR="00F67E9E" w:rsidRPr="009E1FEF" w:rsidRDefault="00F67E9E" w:rsidP="00F67E9E">
      <w:pPr>
        <w:pStyle w:val="Numbered111"/>
        <w:tabs>
          <w:tab w:val="clear" w:pos="1800"/>
        </w:tabs>
      </w:pPr>
      <w:r w:rsidRPr="009E1FEF">
        <w:t xml:space="preserve">for any Material KPI Failures or Material PI Failures occurring during the Service Period, the cause of the relevant KPI Failure or PI Failure and the action being taken to reduce the likelihood of recurrence; </w:t>
      </w:r>
    </w:p>
    <w:p w14:paraId="07475E04" w14:textId="77777777" w:rsidR="00F67E9E" w:rsidRDefault="00F67E9E" w:rsidP="00F67E9E">
      <w:pPr>
        <w:pStyle w:val="Numbered111"/>
        <w:tabs>
          <w:tab w:val="clear" w:pos="1800"/>
        </w:tabs>
      </w:pPr>
      <w:r w:rsidRPr="009E1FEF">
        <w:t>the status of any outstanding Rectification Plan processes, including:</w:t>
      </w:r>
    </w:p>
    <w:p w14:paraId="57EE618B" w14:textId="77777777" w:rsidR="00F67E9E" w:rsidRPr="003A2635" w:rsidRDefault="00F67E9E" w:rsidP="00F67E9E">
      <w:pPr>
        <w:pStyle w:val="Numbered111a"/>
        <w:tabs>
          <w:tab w:val="clear" w:pos="2520"/>
        </w:tabs>
      </w:pPr>
      <w:r w:rsidRPr="003A2635">
        <w:t>whether or not a Rectification Plan has been agreed; and</w:t>
      </w:r>
    </w:p>
    <w:p w14:paraId="6F210422" w14:textId="77777777" w:rsidR="00F67E9E" w:rsidRPr="003A2635" w:rsidRDefault="00F67E9E" w:rsidP="00F67E9E">
      <w:pPr>
        <w:pStyle w:val="Numbered111a"/>
        <w:tabs>
          <w:tab w:val="clear" w:pos="2520"/>
        </w:tabs>
      </w:pPr>
      <w:r w:rsidRPr="003A2635">
        <w:t>where a Rectification Plan has been agreed, a summary of the Supplier’s progress in implementing that Rectification Plan;</w:t>
      </w:r>
    </w:p>
    <w:p w14:paraId="60A8891B" w14:textId="77777777" w:rsidR="00F67E9E" w:rsidRPr="009E1FEF" w:rsidRDefault="00F67E9E" w:rsidP="00F67E9E">
      <w:pPr>
        <w:pStyle w:val="Numbered111"/>
        <w:tabs>
          <w:tab w:val="clear" w:pos="1800"/>
        </w:tabs>
      </w:pPr>
      <w:r w:rsidRPr="009E1FEF">
        <w:t>for any Repeat Failures, actions taken to resolve the underlying cause and prevent recurrence;</w:t>
      </w:r>
    </w:p>
    <w:p w14:paraId="3CA0BB48" w14:textId="77777777" w:rsidR="00F67E9E" w:rsidRPr="009E1FEF" w:rsidRDefault="00F67E9E" w:rsidP="00F67E9E">
      <w:pPr>
        <w:pStyle w:val="Numbered111"/>
        <w:tabs>
          <w:tab w:val="clear" w:pos="1800"/>
        </w:tabs>
      </w:pPr>
      <w:r w:rsidRPr="009E1FEF">
        <w:t>the number of Service Points awarded in respect of each KPI Failure;</w:t>
      </w:r>
    </w:p>
    <w:p w14:paraId="7D3D9743" w14:textId="77777777" w:rsidR="00F67E9E" w:rsidRPr="009E1FEF" w:rsidRDefault="00F67E9E" w:rsidP="00F67E9E">
      <w:pPr>
        <w:pStyle w:val="Numbered111"/>
        <w:tabs>
          <w:tab w:val="clear" w:pos="1800"/>
        </w:tabs>
      </w:pPr>
      <w:r w:rsidRPr="009E1FEF">
        <w:t>the Service Credits to be applied, indicating the KPI Failure(s) to which the Service Credits relate;</w:t>
      </w:r>
    </w:p>
    <w:p w14:paraId="3EE0EAF0" w14:textId="77777777" w:rsidR="00F67E9E" w:rsidRPr="009E1FEF" w:rsidRDefault="00F67E9E" w:rsidP="00F67E9E">
      <w:pPr>
        <w:pStyle w:val="Numbered111"/>
        <w:tabs>
          <w:tab w:val="clear" w:pos="1800"/>
        </w:tabs>
      </w:pPr>
      <w:r w:rsidRPr="009E1FEF">
        <w:t xml:space="preserve">the conduct and performance of any agreed periodic tests that have occurred, such as the annual failover test of the Service Continuity Plan; </w:t>
      </w:r>
    </w:p>
    <w:p w14:paraId="55A1CDEE" w14:textId="77777777" w:rsidR="00F67E9E" w:rsidRPr="009E1FEF" w:rsidRDefault="00F67E9E" w:rsidP="00F67E9E">
      <w:pPr>
        <w:pStyle w:val="Numbered111"/>
        <w:tabs>
          <w:tab w:val="clear" w:pos="1800"/>
        </w:tabs>
      </w:pPr>
      <w:r w:rsidRPr="009E1FEF">
        <w:t>relevant particulars of any aspects of the Supplier</w:t>
      </w:r>
      <w:r>
        <w:t>’</w:t>
      </w:r>
      <w:r w:rsidRPr="009E1FEF">
        <w:t xml:space="preserve">s performance which fail to meet the requirements of this Contract; </w:t>
      </w:r>
    </w:p>
    <w:p w14:paraId="3B660E02" w14:textId="77777777" w:rsidR="00F67E9E" w:rsidRPr="009E1FEF" w:rsidRDefault="00F67E9E" w:rsidP="00F67E9E">
      <w:pPr>
        <w:pStyle w:val="Numbered111"/>
        <w:tabs>
          <w:tab w:val="clear" w:pos="1800"/>
        </w:tabs>
      </w:pPr>
      <w:r w:rsidRPr="009E1FEF">
        <w:t>such other details as the Authority may reasonably require from time to time; and</w:t>
      </w:r>
    </w:p>
    <w:p w14:paraId="553447CE" w14:textId="77777777" w:rsidR="00F67E9E" w:rsidRPr="00166697" w:rsidRDefault="00F67E9E" w:rsidP="00F67E9E">
      <w:pPr>
        <w:pBdr>
          <w:top w:val="nil"/>
          <w:left w:val="nil"/>
          <w:bottom w:val="nil"/>
          <w:right w:val="nil"/>
          <w:between w:val="nil"/>
        </w:pBdr>
        <w:spacing w:before="100" w:after="200"/>
        <w:ind w:left="720"/>
        <w:rPr>
          <w:szCs w:val="24"/>
        </w:rPr>
      </w:pPr>
      <w:r w:rsidRPr="007C382B">
        <w:rPr>
          <w:b/>
          <w:szCs w:val="24"/>
        </w:rPr>
        <w:t xml:space="preserve">Information in respect </w:t>
      </w:r>
      <w:r w:rsidRPr="00C74CBE">
        <w:rPr>
          <w:szCs w:val="22"/>
        </w:rPr>
        <w:t>of</w:t>
      </w:r>
      <w:r w:rsidRPr="007C382B">
        <w:rPr>
          <w:b/>
          <w:szCs w:val="24"/>
        </w:rPr>
        <w:t xml:space="preserve"> previous Service</w:t>
      </w:r>
      <w:r w:rsidRPr="00166697">
        <w:rPr>
          <w:szCs w:val="24"/>
        </w:rPr>
        <w:t xml:space="preserve"> </w:t>
      </w:r>
      <w:r w:rsidRPr="007C382B">
        <w:rPr>
          <w:b/>
          <w:szCs w:val="24"/>
        </w:rPr>
        <w:t>Periods</w:t>
      </w:r>
    </w:p>
    <w:p w14:paraId="51B384F3" w14:textId="77777777" w:rsidR="00F67E9E" w:rsidRPr="009E1FEF" w:rsidRDefault="00F67E9E" w:rsidP="00F67E9E">
      <w:pPr>
        <w:pStyle w:val="Numbered111"/>
        <w:tabs>
          <w:tab w:val="clear" w:pos="1800"/>
        </w:tabs>
      </w:pPr>
      <w:r w:rsidRPr="009E1FEF">
        <w:t xml:space="preserve">a rolling total of the number of Performance Failures that have occurred over the past six Service Periods; </w:t>
      </w:r>
    </w:p>
    <w:p w14:paraId="6F003352" w14:textId="77777777" w:rsidR="00F67E9E" w:rsidRPr="009E1FEF" w:rsidRDefault="00F67E9E" w:rsidP="00F67E9E">
      <w:pPr>
        <w:pStyle w:val="Numbered111"/>
        <w:tabs>
          <w:tab w:val="clear" w:pos="1800"/>
        </w:tabs>
      </w:pPr>
      <w:r w:rsidRPr="009E1FEF">
        <w:t xml:space="preserve">the amount of Service Credits that have been incurred by the Supplier over the past six Service Periods; </w:t>
      </w:r>
    </w:p>
    <w:p w14:paraId="75BDB0D8" w14:textId="77777777" w:rsidR="00F67E9E" w:rsidRPr="009E1FEF" w:rsidRDefault="00F67E9E" w:rsidP="00F67E9E">
      <w:pPr>
        <w:pStyle w:val="Numbered111"/>
        <w:tabs>
          <w:tab w:val="clear" w:pos="1800"/>
        </w:tabs>
      </w:pPr>
      <w:r w:rsidRPr="009E1FEF">
        <w:t>the conduct and performance of any agreed periodic tests that have occurred in such Service Period such as the annual failover test of the Service Continuity Plan; and</w:t>
      </w:r>
    </w:p>
    <w:p w14:paraId="09364994" w14:textId="77777777" w:rsidR="00F67E9E" w:rsidRPr="00166697" w:rsidRDefault="00F67E9E" w:rsidP="00F67E9E">
      <w:pPr>
        <w:pBdr>
          <w:top w:val="nil"/>
          <w:left w:val="nil"/>
          <w:bottom w:val="nil"/>
          <w:right w:val="nil"/>
          <w:between w:val="nil"/>
        </w:pBdr>
        <w:spacing w:before="100" w:after="200"/>
        <w:ind w:left="720"/>
        <w:rPr>
          <w:szCs w:val="24"/>
        </w:rPr>
      </w:pPr>
      <w:r w:rsidRPr="007C382B">
        <w:rPr>
          <w:b/>
          <w:szCs w:val="24"/>
        </w:rPr>
        <w:t>Information in respect of the next</w:t>
      </w:r>
      <w:r w:rsidRPr="00166697">
        <w:rPr>
          <w:szCs w:val="24"/>
        </w:rPr>
        <w:t xml:space="preserve"> </w:t>
      </w:r>
      <w:r w:rsidRPr="007C382B">
        <w:rPr>
          <w:b/>
          <w:szCs w:val="24"/>
        </w:rPr>
        <w:t>Quarter</w:t>
      </w:r>
    </w:p>
    <w:p w14:paraId="02B17708" w14:textId="77777777" w:rsidR="00F67E9E" w:rsidRPr="009E1FEF" w:rsidRDefault="00F67E9E" w:rsidP="00F67E9E">
      <w:pPr>
        <w:pStyle w:val="Numbered111"/>
        <w:tabs>
          <w:tab w:val="clear" w:pos="1800"/>
        </w:tabs>
      </w:pPr>
      <w:r w:rsidRPr="009E1FEF">
        <w:t>any scheduled Service Downtime for Permitted Maintenance and Updates that has been agreed between the Authority and the Supplier for the next Quarter.</w:t>
      </w:r>
    </w:p>
    <w:p w14:paraId="6D300D39" w14:textId="77777777" w:rsidR="00F67E9E" w:rsidRPr="00166697" w:rsidRDefault="00F67E9E" w:rsidP="00F67E9E">
      <w:pPr>
        <w:pBdr>
          <w:top w:val="nil"/>
          <w:left w:val="nil"/>
          <w:bottom w:val="nil"/>
          <w:right w:val="nil"/>
          <w:between w:val="nil"/>
        </w:pBdr>
        <w:spacing w:before="100" w:after="200"/>
        <w:ind w:left="720"/>
        <w:rPr>
          <w:szCs w:val="24"/>
        </w:rPr>
      </w:pPr>
      <w:r w:rsidRPr="007C382B">
        <w:rPr>
          <w:b/>
          <w:szCs w:val="24"/>
        </w:rPr>
        <w:t>Balanced Scorecard</w:t>
      </w:r>
      <w:r w:rsidRPr="00166697">
        <w:rPr>
          <w:szCs w:val="24"/>
        </w:rPr>
        <w:t xml:space="preserve"> </w:t>
      </w:r>
      <w:r w:rsidRPr="007C382B">
        <w:rPr>
          <w:b/>
          <w:szCs w:val="24"/>
        </w:rPr>
        <w:t>Report</w:t>
      </w:r>
    </w:p>
    <w:p w14:paraId="67784110" w14:textId="77777777" w:rsidR="00F67E9E" w:rsidRPr="009E1FEF" w:rsidRDefault="00F67E9E" w:rsidP="00F67E9E">
      <w:pPr>
        <w:pStyle w:val="Numbered11"/>
      </w:pPr>
      <w:bookmarkStart w:id="369" w:name="_heading=h.2bn6wsx" w:colFirst="0" w:colLast="0"/>
      <w:bookmarkStart w:id="370" w:name="_Ref99014192"/>
      <w:bookmarkEnd w:id="369"/>
      <w:r w:rsidRPr="009E1FEF">
        <w:t>The Balanced Scorecard Report shall be presented in the form of an online accessible dashboard and, as a minimum, shall contain a high level summary of the Supplier</w:t>
      </w:r>
      <w:r>
        <w:t>’</w:t>
      </w:r>
      <w:r w:rsidRPr="009E1FEF">
        <w:t>s performance over the relevant Service Period, including details of the following:</w:t>
      </w:r>
      <w:bookmarkEnd w:id="370"/>
    </w:p>
    <w:p w14:paraId="0B64EF3D" w14:textId="77777777" w:rsidR="00F67E9E" w:rsidRPr="009E1FEF" w:rsidRDefault="00F67E9E" w:rsidP="00F67E9E">
      <w:pPr>
        <w:pStyle w:val="Numbered111"/>
        <w:tabs>
          <w:tab w:val="clear" w:pos="1800"/>
        </w:tabs>
      </w:pPr>
      <w:r w:rsidRPr="009E1FEF">
        <w:t>financial indicators;</w:t>
      </w:r>
    </w:p>
    <w:p w14:paraId="3A3AA445" w14:textId="77777777" w:rsidR="00F67E9E" w:rsidRPr="009E1FEF" w:rsidRDefault="00F67E9E" w:rsidP="00F67E9E">
      <w:pPr>
        <w:pStyle w:val="Numbered111"/>
        <w:tabs>
          <w:tab w:val="clear" w:pos="1800"/>
        </w:tabs>
      </w:pPr>
      <w:r w:rsidRPr="009E1FEF">
        <w:t>the Target Performance Levels achieved;</w:t>
      </w:r>
    </w:p>
    <w:p w14:paraId="76BCABE0" w14:textId="77777777" w:rsidR="00F67E9E" w:rsidRPr="009E1FEF" w:rsidRDefault="00F67E9E" w:rsidP="00F67E9E">
      <w:pPr>
        <w:pStyle w:val="Numbered111"/>
        <w:tabs>
          <w:tab w:val="clear" w:pos="1800"/>
        </w:tabs>
      </w:pPr>
      <w:r w:rsidRPr="009E1FEF">
        <w:t>behavioural indicators;</w:t>
      </w:r>
    </w:p>
    <w:p w14:paraId="3F1AB526" w14:textId="77777777" w:rsidR="00F67E9E" w:rsidRPr="009E1FEF" w:rsidRDefault="00F67E9E" w:rsidP="00F67E9E">
      <w:pPr>
        <w:pStyle w:val="Numbered111"/>
        <w:tabs>
          <w:tab w:val="clear" w:pos="1800"/>
        </w:tabs>
      </w:pPr>
      <w:r w:rsidRPr="009E1FEF">
        <w:t xml:space="preserve">performance against its obligation to pay its Sub-contractors within thirty (30) days of receipt of an undisputed invoice; </w:t>
      </w:r>
    </w:p>
    <w:p w14:paraId="7EA4478C" w14:textId="77777777" w:rsidR="00F67E9E" w:rsidRPr="009E1FEF" w:rsidRDefault="00F67E9E" w:rsidP="00F67E9E">
      <w:pPr>
        <w:pStyle w:val="Numbered111"/>
        <w:tabs>
          <w:tab w:val="clear" w:pos="1800"/>
        </w:tabs>
      </w:pPr>
      <w:r w:rsidRPr="009E1FEF">
        <w:t>performance against its obligation to pay its Unconnected Sub-contractors within sixty (60) days of receipt of an invoice;</w:t>
      </w:r>
    </w:p>
    <w:p w14:paraId="7F59B067" w14:textId="77777777" w:rsidR="00F67E9E" w:rsidRPr="009E1FEF" w:rsidRDefault="00F67E9E" w:rsidP="00F67E9E">
      <w:pPr>
        <w:pStyle w:val="Numbered111"/>
        <w:tabs>
          <w:tab w:val="clear" w:pos="1800"/>
        </w:tabs>
      </w:pPr>
      <w:r w:rsidRPr="009E1FEF">
        <w:t xml:space="preserve">Milestone trend chart, showing performance of the overall programme; </w:t>
      </w:r>
    </w:p>
    <w:p w14:paraId="2ED16B03" w14:textId="77777777" w:rsidR="00F67E9E" w:rsidRPr="00166697" w:rsidRDefault="00F67E9E" w:rsidP="00F67E9E">
      <w:pPr>
        <w:pStyle w:val="Numbered111"/>
        <w:tabs>
          <w:tab w:val="clear" w:pos="1800"/>
        </w:tabs>
      </w:pPr>
      <w:r w:rsidRPr="00166697">
        <w:t xml:space="preserve">sustainability indicators, for example </w:t>
      </w:r>
      <w:r w:rsidRPr="00FC322D">
        <w:t>net zero carbon, waste minimisation or performance to support a circular economy</w:t>
      </w:r>
      <w:r w:rsidRPr="00166697">
        <w:t>; and</w:t>
      </w:r>
    </w:p>
    <w:p w14:paraId="330314DA" w14:textId="77777777" w:rsidR="00F67E9E" w:rsidRPr="00166697" w:rsidRDefault="00F67E9E" w:rsidP="00F67E9E">
      <w:pPr>
        <w:pStyle w:val="Numbered111"/>
        <w:tabs>
          <w:tab w:val="clear" w:pos="1800"/>
        </w:tabs>
      </w:pPr>
      <w:r w:rsidRPr="00166697">
        <w:t>Social Value (as appli</w:t>
      </w:r>
      <w:r w:rsidRPr="00FC322D">
        <w:t>cable)</w:t>
      </w:r>
      <w:r w:rsidRPr="00166697">
        <w:t>.</w:t>
      </w:r>
    </w:p>
    <w:p w14:paraId="1843C2F8" w14:textId="36775B50" w:rsidR="00F67E9E" w:rsidRPr="009E1FEF" w:rsidRDefault="00F67E9E" w:rsidP="00F67E9E">
      <w:pPr>
        <w:pStyle w:val="Numbered11"/>
      </w:pPr>
      <w:bookmarkStart w:id="371" w:name="_heading=h.qsh70q" w:colFirst="0" w:colLast="0"/>
      <w:bookmarkEnd w:id="371"/>
      <w:r w:rsidRPr="009E1FEF">
        <w:t xml:space="preserve">The Performance Monitoring Report and the Balanced Scorecard Report shall be reviewed and their contents agreed by the Parties at the next Performance Review Meeting held in accordance with Paragraph </w:t>
      </w:r>
      <w:r w:rsidRPr="009E1FEF">
        <w:fldChar w:fldCharType="begin"/>
      </w:r>
      <w:r w:rsidRPr="009E1FEF">
        <w:instrText xml:space="preserve"> REF _Ref99013931 \w \h  \* MERGEFORMAT </w:instrText>
      </w:r>
      <w:r w:rsidRPr="009E1FEF">
        <w:fldChar w:fldCharType="separate"/>
      </w:r>
      <w:r w:rsidR="00302D39">
        <w:t>1.5</w:t>
      </w:r>
      <w:r w:rsidRPr="009E1FEF">
        <w:fldChar w:fldCharType="end"/>
      </w:r>
      <w:r w:rsidRPr="009E1FEF">
        <w:t>.</w:t>
      </w:r>
    </w:p>
    <w:p w14:paraId="7A9B5A6A" w14:textId="77777777" w:rsidR="00F67E9E" w:rsidRPr="009E1FEF" w:rsidRDefault="00F67E9E" w:rsidP="00F67E9E">
      <w:pPr>
        <w:pStyle w:val="Numbered11"/>
      </w:pPr>
      <w:bookmarkStart w:id="372" w:name="_heading=h.3as4poj" w:colFirst="0" w:colLast="0"/>
      <w:bookmarkStart w:id="373" w:name="_Ref99013931"/>
      <w:bookmarkEnd w:id="372"/>
      <w:r w:rsidRPr="009E1FEF">
        <w:t>The Parties shall attend meetings on a monthly basis (unless otherwise agreed) to review the Performance Monitoring Reports and the Balanced Scorecard Reports. The Performance Review Meetings shall (unless otherwise agreed):</w:t>
      </w:r>
      <w:bookmarkEnd w:id="373"/>
    </w:p>
    <w:p w14:paraId="34E888CC" w14:textId="77777777" w:rsidR="00F67E9E" w:rsidRPr="009E1FEF" w:rsidRDefault="00F67E9E" w:rsidP="00F67E9E">
      <w:pPr>
        <w:pStyle w:val="Numbered111"/>
        <w:tabs>
          <w:tab w:val="clear" w:pos="1800"/>
        </w:tabs>
      </w:pPr>
      <w:r w:rsidRPr="009E1FEF">
        <w:t>take place within 5 Working Days of the Performance Monitoring Report being issued by the Supplier;</w:t>
      </w:r>
    </w:p>
    <w:p w14:paraId="57D4D05A" w14:textId="77777777" w:rsidR="00F67E9E" w:rsidRPr="009E1FEF" w:rsidRDefault="00F67E9E" w:rsidP="00F67E9E">
      <w:pPr>
        <w:pStyle w:val="Numbered111"/>
        <w:tabs>
          <w:tab w:val="clear" w:pos="1800"/>
        </w:tabs>
      </w:pPr>
      <w:r w:rsidRPr="009E1FEF">
        <w:t>take place at such location and time (within normal business hours) as the Authority shall reasonably require (unless otherwise agreed in advance); and</w:t>
      </w:r>
    </w:p>
    <w:p w14:paraId="1A49E929" w14:textId="77777777" w:rsidR="00F67E9E" w:rsidRPr="009E1FEF" w:rsidRDefault="00F67E9E" w:rsidP="00F67E9E">
      <w:pPr>
        <w:pStyle w:val="Numbered111"/>
        <w:tabs>
          <w:tab w:val="clear" w:pos="1800"/>
        </w:tabs>
      </w:pPr>
      <w:r w:rsidRPr="009E1FEF">
        <w:t xml:space="preserve">be attended by the Supplier Representative and the Authority Representative. </w:t>
      </w:r>
    </w:p>
    <w:p w14:paraId="208282EB" w14:textId="77777777" w:rsidR="00F67E9E" w:rsidRPr="009E1FEF" w:rsidRDefault="00F67E9E" w:rsidP="00F67E9E">
      <w:pPr>
        <w:pStyle w:val="Numbered11"/>
      </w:pPr>
      <w:r w:rsidRPr="009E1FEF">
        <w:t xml:space="preserve">The Authority shall be entitled to raise any additional questions and/or request any further information from the Supplier regarding any KPI Failure and/or PI Failure. </w:t>
      </w:r>
    </w:p>
    <w:p w14:paraId="49E52D9D" w14:textId="77777777" w:rsidR="00F67E9E" w:rsidRPr="009E1FEF" w:rsidRDefault="00F67E9E" w:rsidP="00F67E9E">
      <w:pPr>
        <w:pStyle w:val="Numbered1"/>
        <w:numPr>
          <w:ilvl w:val="0"/>
          <w:numId w:val="159"/>
        </w:numPr>
      </w:pPr>
      <w:r w:rsidRPr="009E1FEF">
        <w:t>Performance Records</w:t>
      </w:r>
    </w:p>
    <w:p w14:paraId="7813BB5F" w14:textId="77777777" w:rsidR="00F67E9E" w:rsidRPr="009E1FEF" w:rsidRDefault="00F67E9E" w:rsidP="00F67E9E">
      <w:pPr>
        <w:pStyle w:val="Numbered11"/>
      </w:pPr>
      <w:bookmarkStart w:id="374" w:name="_heading=h.1pxezwc" w:colFirst="0" w:colLast="0"/>
      <w:bookmarkStart w:id="375" w:name="_Ref99014232"/>
      <w:bookmarkEnd w:id="374"/>
      <w:r w:rsidRPr="009E1FEF">
        <w:t>The Supplier shall keep appropriate documents and records (including Help Desk records, staff records, timesheets, training programmes, staff training records, goods received documentation, supplier accreditation records, complaints received etc) in relation to the Services being delivered. Without prejudice to the generality of the foregoing, the Supplier shall maintain accurate records of call histories for a minimum of 12 months and provide prompt access to such records to the Authority upon the Authority</w:t>
      </w:r>
      <w:r>
        <w:t>’</w:t>
      </w:r>
      <w:r w:rsidRPr="009E1FEF">
        <w:t>s request. The records and documents of the Supplier shall be available for inspection by the Authority and/or its nominee at any time and the Authority and/or its nominee may make copies of any such records and documents.</w:t>
      </w:r>
      <w:bookmarkEnd w:id="375"/>
    </w:p>
    <w:p w14:paraId="28081576" w14:textId="65C28FEC" w:rsidR="00F67E9E" w:rsidRPr="009E1FEF" w:rsidRDefault="00F67E9E" w:rsidP="00F67E9E">
      <w:pPr>
        <w:pStyle w:val="Numbered11"/>
      </w:pPr>
      <w:bookmarkStart w:id="376" w:name="_heading=h.49x2ik5" w:colFirst="0" w:colLast="0"/>
      <w:bookmarkEnd w:id="376"/>
      <w:r w:rsidRPr="009E1FEF">
        <w:t xml:space="preserve">In addition to the requirement in Paragraph </w:t>
      </w:r>
      <w:r w:rsidRPr="009E1FEF">
        <w:fldChar w:fldCharType="begin"/>
      </w:r>
      <w:r w:rsidRPr="009E1FEF">
        <w:instrText xml:space="preserve"> REF _Ref99014232 \w \h  \* MERGEFORMAT </w:instrText>
      </w:r>
      <w:r w:rsidRPr="009E1FEF">
        <w:fldChar w:fldCharType="separate"/>
      </w:r>
      <w:r w:rsidR="00302D39">
        <w:t>2.1</w:t>
      </w:r>
      <w:r w:rsidRPr="009E1FEF">
        <w:fldChar w:fldCharType="end"/>
      </w:r>
      <w:r w:rsidRPr="009E1FEF">
        <w:t xml:space="preserve"> to maintain appropriate documents and records, the Supplier shall provide to the Authority such supporting documentation as the Authority may reasonably require in order to verify the level of the performance of the Supplier both before and after each Operational Service Commencement Date and the calculations of the amount of Service Credits for any specified period. </w:t>
      </w:r>
    </w:p>
    <w:p w14:paraId="592C23B6" w14:textId="77777777" w:rsidR="00F67E9E" w:rsidRPr="009E1FEF" w:rsidRDefault="00F67E9E" w:rsidP="00F67E9E">
      <w:pPr>
        <w:pStyle w:val="Numbered11"/>
      </w:pPr>
      <w:bookmarkStart w:id="377" w:name="_heading=h.2p2csry" w:colFirst="0" w:colLast="0"/>
      <w:bookmarkStart w:id="378" w:name="_Ref99003160"/>
      <w:bookmarkEnd w:id="377"/>
      <w:r w:rsidRPr="009E1FEF">
        <w:t>The Supplier shall ensure that the Performance Monitoring Report, the Balanced Scorecard Report (as well as historic Performance Monitoring Reports and historic Balance Scorecard Reports) and any variations or amendments thereto, any reports and summaries produced in accordance with this Schedule and any other document or record reasonably required by the Authority are available to the Authority on-line and are capable of being printed.</w:t>
      </w:r>
      <w:bookmarkEnd w:id="378"/>
    </w:p>
    <w:p w14:paraId="0D62E0C6" w14:textId="77777777" w:rsidR="00F67E9E" w:rsidRPr="009E1FEF" w:rsidRDefault="00F67E9E" w:rsidP="00F67E9E">
      <w:pPr>
        <w:pStyle w:val="Numbered1"/>
        <w:numPr>
          <w:ilvl w:val="0"/>
          <w:numId w:val="159"/>
        </w:numPr>
      </w:pPr>
      <w:bookmarkStart w:id="379" w:name="_Ref92197053"/>
      <w:r w:rsidRPr="009E1FEF">
        <w:t>Performance Verification</w:t>
      </w:r>
      <w:bookmarkEnd w:id="379"/>
    </w:p>
    <w:p w14:paraId="2555D5BC" w14:textId="77777777" w:rsidR="00F67E9E" w:rsidRPr="009E1FEF" w:rsidRDefault="00F67E9E" w:rsidP="00F67E9E">
      <w:pPr>
        <w:pStyle w:val="Numbered11"/>
      </w:pPr>
      <w:r w:rsidRPr="009E1FEF">
        <w:t>The Authority reserves the right to verify the Availability of the IT Environment and/or the Services and the Supplier</w:t>
      </w:r>
      <w:r>
        <w:t>’</w:t>
      </w:r>
      <w:r w:rsidRPr="009E1FEF">
        <w:t>s performance under this Contract against the Performance Indicators including by sending test transactions through the IT Environment or otherwise.</w:t>
      </w:r>
    </w:p>
    <w:p w14:paraId="68F563E9" w14:textId="77777777" w:rsidR="00F67E9E" w:rsidRDefault="00F67E9E" w:rsidP="00F67E9E"/>
    <w:p w14:paraId="2906E0F3" w14:textId="77777777" w:rsidR="00F67E9E" w:rsidRDefault="00F67E9E" w:rsidP="00F67E9E"/>
    <w:p w14:paraId="07F0950F" w14:textId="77777777" w:rsidR="00F67E9E" w:rsidRDefault="00F67E9E" w:rsidP="00F67E9E">
      <w:pPr>
        <w:sectPr w:rsidR="00F67E9E" w:rsidSect="00240D26">
          <w:headerReference w:type="default" r:id="rId31"/>
          <w:footerReference w:type="default" r:id="rId32"/>
          <w:pgSz w:w="11909" w:h="16834" w:code="9"/>
          <w:pgMar w:top="1701" w:right="851" w:bottom="1134" w:left="851" w:header="567" w:footer="567" w:gutter="0"/>
          <w:cols w:space="720"/>
        </w:sectPr>
      </w:pPr>
    </w:p>
    <w:p w14:paraId="33931E91" w14:textId="77777777" w:rsidR="00F67E9E" w:rsidRPr="00147F02" w:rsidRDefault="00F67E9E" w:rsidP="00F67E9E">
      <w:pPr>
        <w:pStyle w:val="Heading2"/>
      </w:pPr>
      <w:bookmarkStart w:id="380" w:name="_heading=h.147n2zr" w:colFirst="0" w:colLast="0"/>
      <w:bookmarkStart w:id="381" w:name="ANNEX1_SCHEDULE3"/>
      <w:bookmarkStart w:id="382" w:name="Schedule3PartBAnnex1"/>
      <w:bookmarkStart w:id="383" w:name="_Ref92197299"/>
      <w:bookmarkStart w:id="384" w:name="_Toc141711903"/>
      <w:bookmarkEnd w:id="380"/>
      <w:r w:rsidRPr="00FC322D">
        <w:t>Annex 1</w:t>
      </w:r>
      <w:bookmarkEnd w:id="381"/>
      <w:bookmarkEnd w:id="382"/>
      <w:r w:rsidRPr="00FC322D">
        <w:t xml:space="preserve">: </w:t>
      </w:r>
      <w:bookmarkStart w:id="385" w:name="Schedule3PartBAnnex1Heading"/>
      <w:r w:rsidRPr="00FC322D">
        <w:t>Key</w:t>
      </w:r>
      <w:r w:rsidRPr="00E737CD">
        <w:t xml:space="preserve"> Performance Indicators </w:t>
      </w:r>
      <w:r>
        <w:t>a</w:t>
      </w:r>
      <w:r w:rsidRPr="00E737CD">
        <w:t>nd Subsidiary Performance Indicators</w:t>
      </w:r>
      <w:bookmarkEnd w:id="383"/>
      <w:bookmarkEnd w:id="384"/>
      <w:bookmarkEnd w:id="385"/>
    </w:p>
    <w:p w14:paraId="2E086A68" w14:textId="77777777" w:rsidR="00F67E9E" w:rsidRPr="004472FD" w:rsidRDefault="00F67E9E" w:rsidP="00F67E9E">
      <w:pPr>
        <w:pStyle w:val="Heading2"/>
      </w:pPr>
      <w:bookmarkStart w:id="386" w:name="_heading=h.3o7alnk" w:colFirst="0" w:colLast="0"/>
      <w:bookmarkStart w:id="387" w:name="Sch3Ann1PartA"/>
      <w:bookmarkStart w:id="388" w:name="Schedule3PartBAnnex1PartA"/>
      <w:bookmarkStart w:id="389" w:name="_Ref92197316"/>
      <w:bookmarkStart w:id="390" w:name="_Toc141711904"/>
      <w:bookmarkEnd w:id="386"/>
      <w:r w:rsidRPr="0089405F">
        <w:t>Part A</w:t>
      </w:r>
      <w:bookmarkEnd w:id="387"/>
      <w:bookmarkEnd w:id="388"/>
      <w:r w:rsidRPr="0089405F">
        <w:t xml:space="preserve">: </w:t>
      </w:r>
      <w:bookmarkStart w:id="391" w:name="Schedule3PartBAnnex1PartAHeading"/>
      <w:r w:rsidRPr="0089405F">
        <w:t xml:space="preserve">Key Performance Indicators </w:t>
      </w:r>
      <w:r>
        <w:t>a</w:t>
      </w:r>
      <w:r w:rsidRPr="0089405F">
        <w:t>nd Subsidiary Performance Indicators Tables</w:t>
      </w:r>
      <w:bookmarkEnd w:id="389"/>
      <w:bookmarkEnd w:id="390"/>
      <w:bookmarkEnd w:id="391"/>
    </w:p>
    <w:p w14:paraId="13E6E76F" w14:textId="77777777" w:rsidR="00F67E9E" w:rsidRPr="00EF5BA5" w:rsidRDefault="00F67E9E" w:rsidP="00F67E9E">
      <w:pPr>
        <w:pBdr>
          <w:top w:val="nil"/>
          <w:left w:val="nil"/>
          <w:bottom w:val="nil"/>
          <w:right w:val="nil"/>
          <w:between w:val="nil"/>
        </w:pBdr>
        <w:spacing w:before="100" w:after="200"/>
        <w:rPr>
          <w:b/>
          <w:i/>
        </w:rPr>
      </w:pPr>
      <w:bookmarkStart w:id="392" w:name="_Hlk83890608"/>
      <w:r w:rsidRPr="00F97284">
        <w:rPr>
          <w:b/>
          <w:iCs/>
          <w:highlight w:val="yellow"/>
        </w:rPr>
        <w:t>[</w:t>
      </w:r>
      <w:r w:rsidRPr="008F44C6">
        <w:rPr>
          <w:b/>
          <w:i/>
          <w:highlight w:val="yellow"/>
        </w:rPr>
        <w:t xml:space="preserve">Guidance </w:t>
      </w:r>
      <w:r w:rsidRPr="00EF5BA5">
        <w:rPr>
          <w:b/>
          <w:i/>
          <w:highlight w:val="yellow"/>
        </w:rPr>
        <w:t>– these tables now contain space to insert Key Performance Indicators and/or Subsidiary Performance Indicators relating to Social Value. You should use the Model Award Criteria and Reporting Metrics set out in the procurement documentation and in the tenderer’s proposals to establish Social Value KPIs and/or PIs, and include these below</w:t>
      </w:r>
    </w:p>
    <w:p w14:paraId="1C494406" w14:textId="77777777" w:rsidR="00F67E9E" w:rsidRPr="00EF5BA5" w:rsidRDefault="00F67E9E" w:rsidP="00F67E9E">
      <w:pPr>
        <w:pBdr>
          <w:top w:val="nil"/>
          <w:left w:val="nil"/>
          <w:bottom w:val="nil"/>
          <w:right w:val="nil"/>
          <w:between w:val="nil"/>
        </w:pBdr>
        <w:spacing w:before="100" w:after="200"/>
        <w:rPr>
          <w:b/>
          <w:iCs/>
          <w:szCs w:val="24"/>
        </w:rPr>
      </w:pPr>
      <w:r w:rsidRPr="00EF5BA5">
        <w:rPr>
          <w:b/>
          <w:i/>
          <w:highlight w:val="yellow"/>
        </w:rPr>
        <w:t>Contracting Authorities should use pre-market engagement to inform the selection of relevant, proportionate and non-discriminatory questions and criteria from the Social Value Model in order to inform the choice of relevant Social Value KPIs and/or PIs.</w:t>
      </w:r>
      <w:r w:rsidRPr="00EF5BA5">
        <w:rPr>
          <w:b/>
          <w:iCs/>
          <w:highlight w:val="yellow"/>
        </w:rPr>
        <w:t>]</w:t>
      </w:r>
      <w:r w:rsidRPr="00EF5BA5">
        <w:rPr>
          <w:b/>
          <w:iCs/>
          <w:szCs w:val="24"/>
        </w:rPr>
        <w:t xml:space="preserve"> </w:t>
      </w:r>
    </w:p>
    <w:bookmarkEnd w:id="392"/>
    <w:p w14:paraId="41C36495" w14:textId="77777777" w:rsidR="00F67E9E" w:rsidRPr="00166697" w:rsidRDefault="00F67E9E" w:rsidP="00F67E9E">
      <w:pPr>
        <w:pBdr>
          <w:top w:val="nil"/>
          <w:left w:val="nil"/>
          <w:bottom w:val="nil"/>
          <w:right w:val="nil"/>
          <w:between w:val="nil"/>
        </w:pBdr>
        <w:spacing w:before="100" w:after="200"/>
        <w:rPr>
          <w:szCs w:val="24"/>
        </w:rPr>
      </w:pPr>
      <w:r w:rsidRPr="00166697">
        <w:rPr>
          <w:szCs w:val="24"/>
        </w:rPr>
        <w:t>The Key Performance Indicators and Subsidiary Performance Indicators that shall apply to the Operational Services and the Key Performance Indicators relating to Social Value are set out below:</w:t>
      </w:r>
    </w:p>
    <w:p w14:paraId="7FF69020" w14:textId="77777777" w:rsidR="00F67E9E" w:rsidRPr="009E1FEF" w:rsidRDefault="00F67E9E" w:rsidP="00F67E9E">
      <w:pPr>
        <w:pStyle w:val="Heading3"/>
        <w:numPr>
          <w:ilvl w:val="0"/>
          <w:numId w:val="36"/>
        </w:numPr>
      </w:pPr>
      <w:r w:rsidRPr="009E1FEF">
        <w:t>Key Performance Indicators</w:t>
      </w:r>
    </w:p>
    <w:tbl>
      <w:tblPr>
        <w:tblStyle w:val="MSATable-header"/>
        <w:tblW w:w="15137" w:type="dxa"/>
        <w:tblLayout w:type="fixed"/>
        <w:tblLook w:val="0620" w:firstRow="1" w:lastRow="0" w:firstColumn="0" w:lastColumn="0" w:noHBand="1" w:noVBand="1"/>
      </w:tblPr>
      <w:tblGrid>
        <w:gridCol w:w="737"/>
        <w:gridCol w:w="2551"/>
        <w:gridCol w:w="1701"/>
        <w:gridCol w:w="1701"/>
        <w:gridCol w:w="2665"/>
        <w:gridCol w:w="1020"/>
        <w:gridCol w:w="4762"/>
      </w:tblGrid>
      <w:tr w:rsidR="00F67E9E" w:rsidRPr="009B681D" w14:paraId="12AA6D4A" w14:textId="77777777" w:rsidTr="007F74AA">
        <w:trPr>
          <w:cnfStyle w:val="100000000000" w:firstRow="1" w:lastRow="0" w:firstColumn="0" w:lastColumn="0" w:oddVBand="0" w:evenVBand="0" w:oddHBand="0" w:evenHBand="0" w:firstRowFirstColumn="0" w:firstRowLastColumn="0" w:lastRowFirstColumn="0" w:lastRowLastColumn="0"/>
          <w:tblHeader/>
        </w:trPr>
        <w:tc>
          <w:tcPr>
            <w:tcW w:w="737" w:type="dxa"/>
          </w:tcPr>
          <w:p w14:paraId="31042053" w14:textId="77777777" w:rsidR="00F67E9E" w:rsidRPr="009B681D" w:rsidRDefault="00F67E9E" w:rsidP="007F74AA">
            <w:pPr>
              <w:pBdr>
                <w:top w:val="nil"/>
                <w:left w:val="nil"/>
                <w:bottom w:val="nil"/>
                <w:right w:val="nil"/>
                <w:between w:val="nil"/>
              </w:pBdr>
              <w:rPr>
                <w:szCs w:val="24"/>
              </w:rPr>
            </w:pPr>
            <w:r w:rsidRPr="009B681D">
              <w:rPr>
                <w:szCs w:val="24"/>
              </w:rPr>
              <w:t>No.</w:t>
            </w:r>
          </w:p>
        </w:tc>
        <w:tc>
          <w:tcPr>
            <w:tcW w:w="2551" w:type="dxa"/>
          </w:tcPr>
          <w:p w14:paraId="0658DE02" w14:textId="77777777" w:rsidR="00F67E9E" w:rsidRPr="009B681D" w:rsidRDefault="00F67E9E" w:rsidP="007F74AA">
            <w:pPr>
              <w:pBdr>
                <w:top w:val="nil"/>
                <w:left w:val="nil"/>
                <w:bottom w:val="nil"/>
                <w:right w:val="nil"/>
                <w:between w:val="nil"/>
              </w:pBdr>
              <w:rPr>
                <w:szCs w:val="24"/>
              </w:rPr>
            </w:pPr>
            <w:r w:rsidRPr="009B681D">
              <w:rPr>
                <w:szCs w:val="24"/>
              </w:rPr>
              <w:t>Key Performance Indicator Title</w:t>
            </w:r>
          </w:p>
        </w:tc>
        <w:tc>
          <w:tcPr>
            <w:tcW w:w="1701" w:type="dxa"/>
          </w:tcPr>
          <w:p w14:paraId="1A499BA4" w14:textId="77777777" w:rsidR="00F67E9E" w:rsidRPr="009B681D" w:rsidRDefault="00F67E9E" w:rsidP="007F74AA">
            <w:pPr>
              <w:pBdr>
                <w:top w:val="nil"/>
                <w:left w:val="nil"/>
                <w:bottom w:val="nil"/>
                <w:right w:val="nil"/>
                <w:between w:val="nil"/>
              </w:pBdr>
              <w:rPr>
                <w:szCs w:val="24"/>
              </w:rPr>
            </w:pPr>
            <w:r w:rsidRPr="009B681D">
              <w:rPr>
                <w:szCs w:val="24"/>
              </w:rPr>
              <w:t>Definition</w:t>
            </w:r>
          </w:p>
        </w:tc>
        <w:tc>
          <w:tcPr>
            <w:tcW w:w="1701" w:type="dxa"/>
          </w:tcPr>
          <w:p w14:paraId="14E49CCD" w14:textId="77777777" w:rsidR="00F67E9E" w:rsidRPr="009B681D" w:rsidRDefault="00F67E9E" w:rsidP="007F74AA">
            <w:pPr>
              <w:pBdr>
                <w:top w:val="nil"/>
                <w:left w:val="nil"/>
                <w:bottom w:val="nil"/>
                <w:right w:val="nil"/>
                <w:between w:val="nil"/>
              </w:pBdr>
              <w:rPr>
                <w:szCs w:val="24"/>
              </w:rPr>
            </w:pPr>
            <w:r w:rsidRPr="009B681D">
              <w:rPr>
                <w:szCs w:val="24"/>
              </w:rPr>
              <w:t>Frequency of Measurement</w:t>
            </w:r>
          </w:p>
        </w:tc>
        <w:tc>
          <w:tcPr>
            <w:tcW w:w="2665" w:type="dxa"/>
          </w:tcPr>
          <w:p w14:paraId="21601D1F" w14:textId="77777777" w:rsidR="00F67E9E" w:rsidRPr="009B681D" w:rsidRDefault="00F67E9E" w:rsidP="007F74AA">
            <w:pPr>
              <w:pBdr>
                <w:top w:val="nil"/>
                <w:left w:val="nil"/>
                <w:bottom w:val="nil"/>
                <w:right w:val="nil"/>
                <w:between w:val="nil"/>
              </w:pBdr>
              <w:rPr>
                <w:szCs w:val="24"/>
              </w:rPr>
            </w:pPr>
            <w:r w:rsidRPr="009B681D">
              <w:rPr>
                <w:szCs w:val="24"/>
              </w:rPr>
              <w:t>Severity Levels</w:t>
            </w:r>
          </w:p>
        </w:tc>
        <w:tc>
          <w:tcPr>
            <w:tcW w:w="1020" w:type="dxa"/>
          </w:tcPr>
          <w:p w14:paraId="7F49EE06" w14:textId="77777777" w:rsidR="00F67E9E" w:rsidRPr="009B681D" w:rsidRDefault="00F67E9E" w:rsidP="007F74AA">
            <w:pPr>
              <w:pBdr>
                <w:top w:val="nil"/>
                <w:left w:val="nil"/>
                <w:bottom w:val="nil"/>
                <w:right w:val="nil"/>
                <w:between w:val="nil"/>
              </w:pBdr>
              <w:rPr>
                <w:szCs w:val="24"/>
              </w:rPr>
            </w:pPr>
            <w:r w:rsidRPr="009B681D">
              <w:rPr>
                <w:szCs w:val="24"/>
              </w:rPr>
              <w:t>Service Points</w:t>
            </w:r>
          </w:p>
        </w:tc>
        <w:tc>
          <w:tcPr>
            <w:tcW w:w="4762" w:type="dxa"/>
          </w:tcPr>
          <w:p w14:paraId="523D4C1F" w14:textId="77777777" w:rsidR="00F67E9E" w:rsidRPr="009B681D" w:rsidRDefault="00F67E9E" w:rsidP="007F74AA">
            <w:pPr>
              <w:pBdr>
                <w:top w:val="nil"/>
                <w:left w:val="nil"/>
                <w:bottom w:val="nil"/>
                <w:right w:val="nil"/>
                <w:between w:val="nil"/>
              </w:pBdr>
              <w:rPr>
                <w:szCs w:val="24"/>
              </w:rPr>
            </w:pPr>
            <w:r w:rsidRPr="009B681D">
              <w:rPr>
                <w:szCs w:val="24"/>
              </w:rPr>
              <w:t>Publishable Performance Information</w:t>
            </w:r>
          </w:p>
          <w:p w14:paraId="149E297D" w14:textId="77777777" w:rsidR="00F67E9E" w:rsidRPr="00F97284" w:rsidRDefault="00F67E9E" w:rsidP="007F74AA">
            <w:pPr>
              <w:pBdr>
                <w:top w:val="nil"/>
                <w:left w:val="nil"/>
                <w:bottom w:val="nil"/>
                <w:right w:val="nil"/>
                <w:between w:val="nil"/>
              </w:pBdr>
              <w:rPr>
                <w:iCs/>
                <w:sz w:val="20"/>
              </w:rPr>
            </w:pPr>
            <w:r>
              <w:rPr>
                <w:iCs/>
                <w:sz w:val="20"/>
                <w:highlight w:val="yellow"/>
              </w:rPr>
              <w:t>[Guidance note:</w:t>
            </w:r>
            <w:r w:rsidRPr="008F44C6">
              <w:rPr>
                <w:i/>
                <w:sz w:val="20"/>
                <w:highlight w:val="yellow"/>
              </w:rPr>
              <w:t xml:space="preserve"> </w:t>
            </w:r>
            <w:r w:rsidRPr="00EF5BA5">
              <w:rPr>
                <w:i/>
                <w:sz w:val="20"/>
                <w:highlight w:val="yellow"/>
              </w:rPr>
              <w:t>It is HMG’s intention to publish the top KPIs in the vast majority of contracts. The Authority must select at least three KPI/PIs which shall be publishable and also must select the single most important Social Value KPI/PI, which shall be publishable (four KPIs/PIs in total).</w:t>
            </w:r>
            <w:r w:rsidRPr="00EF5BA5">
              <w:rPr>
                <w:iCs/>
                <w:sz w:val="20"/>
                <w:highlight w:val="yellow"/>
              </w:rPr>
              <w:t>]</w:t>
            </w:r>
            <w:r w:rsidRPr="00622BE6">
              <w:rPr>
                <w:b w:val="0"/>
                <w:bCs/>
                <w:iCs/>
                <w:sz w:val="20"/>
                <w:highlight w:val="yellow"/>
              </w:rPr>
              <w:t xml:space="preserve"> </w:t>
            </w:r>
          </w:p>
        </w:tc>
      </w:tr>
      <w:tr w:rsidR="00F67E9E" w14:paraId="0ADE1DCB" w14:textId="77777777" w:rsidTr="007F74AA">
        <w:tc>
          <w:tcPr>
            <w:tcW w:w="737" w:type="dxa"/>
          </w:tcPr>
          <w:p w14:paraId="2F2F714C" w14:textId="77777777" w:rsidR="00F67E9E" w:rsidRDefault="00F67E9E" w:rsidP="007F74AA">
            <w:pPr>
              <w:pBdr>
                <w:top w:val="nil"/>
                <w:left w:val="nil"/>
                <w:bottom w:val="nil"/>
                <w:right w:val="nil"/>
                <w:between w:val="nil"/>
              </w:pBdr>
              <w:rPr>
                <w:szCs w:val="24"/>
              </w:rPr>
            </w:pPr>
            <w:r>
              <w:rPr>
                <w:szCs w:val="24"/>
              </w:rPr>
              <w:t>KPI1</w:t>
            </w:r>
          </w:p>
        </w:tc>
        <w:tc>
          <w:tcPr>
            <w:tcW w:w="2551" w:type="dxa"/>
          </w:tcPr>
          <w:p w14:paraId="4A1A3A0A" w14:textId="77777777" w:rsidR="00F67E9E" w:rsidRDefault="00F67E9E" w:rsidP="007F74AA">
            <w:pPr>
              <w:pBdr>
                <w:top w:val="nil"/>
                <w:left w:val="nil"/>
                <w:bottom w:val="nil"/>
                <w:right w:val="nil"/>
                <w:between w:val="nil"/>
              </w:pBdr>
              <w:rPr>
                <w:szCs w:val="24"/>
              </w:rPr>
            </w:pPr>
            <w:r>
              <w:rPr>
                <w:szCs w:val="24"/>
                <w:highlight w:val="yellow"/>
              </w:rPr>
              <w:t>[Service Availability]</w:t>
            </w:r>
          </w:p>
        </w:tc>
        <w:tc>
          <w:tcPr>
            <w:tcW w:w="1701" w:type="dxa"/>
          </w:tcPr>
          <w:p w14:paraId="6B316BC5" w14:textId="7ED2B8FA" w:rsidR="00F67E9E" w:rsidRDefault="00F67E9E" w:rsidP="007F74AA">
            <w:pPr>
              <w:pBdr>
                <w:top w:val="nil"/>
                <w:left w:val="nil"/>
                <w:bottom w:val="nil"/>
                <w:right w:val="nil"/>
                <w:between w:val="nil"/>
              </w:pBdr>
              <w:rPr>
                <w:szCs w:val="24"/>
              </w:rPr>
            </w:pPr>
            <w:bookmarkStart w:id="393" w:name="_heading=h.23ckvvd" w:colFirst="0" w:colLast="0"/>
            <w:bookmarkEnd w:id="393"/>
            <w:r w:rsidRPr="00FC322D">
              <w:rPr>
                <w:szCs w:val="24"/>
              </w:rPr>
              <w:t xml:space="preserve">See Paragraph </w:t>
            </w:r>
            <w:r w:rsidRPr="00FC322D">
              <w:rPr>
                <w:szCs w:val="24"/>
              </w:rPr>
              <w:fldChar w:fldCharType="begin"/>
            </w:r>
            <w:r w:rsidRPr="00FC322D">
              <w:rPr>
                <w:szCs w:val="24"/>
              </w:rPr>
              <w:instrText xml:space="preserve"> REF _Ref99014433 \w \h </w:instrText>
            </w:r>
            <w:r>
              <w:rPr>
                <w:szCs w:val="24"/>
              </w:rPr>
              <w:instrText xml:space="preserve"> \* MERGEFORMAT </w:instrText>
            </w:r>
            <w:r w:rsidRPr="00FC322D">
              <w:rPr>
                <w:szCs w:val="24"/>
              </w:rPr>
            </w:r>
            <w:r w:rsidRPr="00FC322D">
              <w:rPr>
                <w:szCs w:val="24"/>
              </w:rPr>
              <w:fldChar w:fldCharType="separate"/>
            </w:r>
            <w:r w:rsidR="00302D39">
              <w:rPr>
                <w:szCs w:val="24"/>
              </w:rPr>
              <w:t>1</w:t>
            </w:r>
            <w:r w:rsidRPr="00FC322D">
              <w:rPr>
                <w:szCs w:val="24"/>
              </w:rPr>
              <w:fldChar w:fldCharType="end"/>
            </w:r>
            <w:r w:rsidRPr="00FC322D">
              <w:rPr>
                <w:szCs w:val="24"/>
              </w:rPr>
              <w:t xml:space="preserve"> of </w:t>
            </w:r>
            <w:r w:rsidRPr="00FC322D">
              <w:rPr>
                <w:szCs w:val="24"/>
              </w:rPr>
              <w:fldChar w:fldCharType="begin"/>
            </w:r>
            <w:r w:rsidRPr="00FC322D">
              <w:rPr>
                <w:szCs w:val="24"/>
              </w:rPr>
              <w:instrText xml:space="preserve"> REF Sch3Ann1PartB \h </w:instrText>
            </w:r>
            <w:r>
              <w:rPr>
                <w:szCs w:val="24"/>
              </w:rPr>
              <w:instrText xml:space="preserve"> \* MERGEFORMAT </w:instrText>
            </w:r>
            <w:r w:rsidRPr="00FC322D">
              <w:rPr>
                <w:szCs w:val="24"/>
              </w:rPr>
            </w:r>
            <w:r w:rsidRPr="00FC322D">
              <w:rPr>
                <w:szCs w:val="24"/>
              </w:rPr>
              <w:fldChar w:fldCharType="separate"/>
            </w:r>
            <w:r w:rsidR="00302D39" w:rsidRPr="00302D39">
              <w:rPr>
                <w:rFonts w:cs="Arial"/>
              </w:rPr>
              <w:t>Part B</w:t>
            </w:r>
            <w:r w:rsidRPr="00FC322D">
              <w:rPr>
                <w:szCs w:val="24"/>
              </w:rPr>
              <w:fldChar w:fldCharType="end"/>
            </w:r>
            <w:r w:rsidRPr="00FC322D">
              <w:rPr>
                <w:szCs w:val="24"/>
              </w:rPr>
              <w:t xml:space="preserve"> of this Annex</w:t>
            </w:r>
          </w:p>
        </w:tc>
        <w:tc>
          <w:tcPr>
            <w:tcW w:w="1701" w:type="dxa"/>
          </w:tcPr>
          <w:p w14:paraId="6200521C" w14:textId="77777777" w:rsidR="00F67E9E" w:rsidRDefault="00F67E9E" w:rsidP="007F74AA">
            <w:pPr>
              <w:pBdr>
                <w:top w:val="nil"/>
                <w:left w:val="nil"/>
                <w:bottom w:val="nil"/>
                <w:right w:val="nil"/>
                <w:between w:val="nil"/>
              </w:pBdr>
              <w:rPr>
                <w:szCs w:val="24"/>
              </w:rPr>
            </w:pPr>
          </w:p>
        </w:tc>
        <w:tc>
          <w:tcPr>
            <w:tcW w:w="2665" w:type="dxa"/>
          </w:tcPr>
          <w:p w14:paraId="415AEB97" w14:textId="77777777" w:rsidR="00F67E9E" w:rsidRDefault="00F67E9E" w:rsidP="007F74AA">
            <w:pPr>
              <w:pBdr>
                <w:top w:val="nil"/>
                <w:left w:val="nil"/>
                <w:bottom w:val="nil"/>
                <w:right w:val="nil"/>
                <w:between w:val="nil"/>
              </w:pBdr>
              <w:rPr>
                <w:szCs w:val="24"/>
              </w:rPr>
            </w:pPr>
            <w:r>
              <w:rPr>
                <w:szCs w:val="24"/>
              </w:rPr>
              <w:t xml:space="preserve">Target Performance Level: </w:t>
            </w:r>
            <w:r>
              <w:rPr>
                <w:szCs w:val="24"/>
                <w:highlight w:val="yellow"/>
              </w:rPr>
              <w:tab/>
              <w:t>[99%]</w:t>
            </w:r>
          </w:p>
          <w:p w14:paraId="580CDD84" w14:textId="77777777" w:rsidR="00F67E9E" w:rsidRDefault="00F67E9E" w:rsidP="007F74AA">
            <w:pPr>
              <w:pBdr>
                <w:top w:val="nil"/>
                <w:left w:val="nil"/>
                <w:bottom w:val="nil"/>
                <w:right w:val="nil"/>
                <w:between w:val="nil"/>
              </w:pBdr>
              <w:rPr>
                <w:szCs w:val="24"/>
              </w:rPr>
            </w:pPr>
            <w:r>
              <w:rPr>
                <w:szCs w:val="24"/>
              </w:rPr>
              <w:t>Minor KPI Failure:</w:t>
            </w:r>
            <w:r>
              <w:rPr>
                <w:szCs w:val="24"/>
              </w:rPr>
              <w:br/>
            </w:r>
            <w:r>
              <w:rPr>
                <w:szCs w:val="24"/>
                <w:highlight w:val="yellow"/>
              </w:rPr>
              <w:t>[98.0% - 98.9%]</w:t>
            </w:r>
          </w:p>
          <w:p w14:paraId="009AECBF" w14:textId="77777777" w:rsidR="00F67E9E" w:rsidRDefault="00F67E9E" w:rsidP="007F74AA">
            <w:pPr>
              <w:pBdr>
                <w:top w:val="nil"/>
                <w:left w:val="nil"/>
                <w:bottom w:val="nil"/>
                <w:right w:val="nil"/>
                <w:between w:val="nil"/>
              </w:pBdr>
              <w:rPr>
                <w:szCs w:val="24"/>
              </w:rPr>
            </w:pPr>
            <w:r>
              <w:rPr>
                <w:szCs w:val="24"/>
              </w:rPr>
              <w:t>Serious KPI Failure:</w:t>
            </w:r>
            <w:r>
              <w:rPr>
                <w:szCs w:val="24"/>
              </w:rPr>
              <w:br/>
            </w:r>
            <w:r>
              <w:rPr>
                <w:szCs w:val="24"/>
                <w:highlight w:val="yellow"/>
              </w:rPr>
              <w:t>[97.0% - 97.9%]</w:t>
            </w:r>
          </w:p>
          <w:p w14:paraId="5278FC0E" w14:textId="77777777" w:rsidR="00F67E9E" w:rsidRDefault="00F67E9E" w:rsidP="007F74AA">
            <w:pPr>
              <w:pBdr>
                <w:top w:val="nil"/>
                <w:left w:val="nil"/>
                <w:bottom w:val="nil"/>
                <w:right w:val="nil"/>
                <w:between w:val="nil"/>
              </w:pBdr>
              <w:rPr>
                <w:szCs w:val="24"/>
              </w:rPr>
            </w:pPr>
            <w:r>
              <w:rPr>
                <w:szCs w:val="24"/>
              </w:rPr>
              <w:t>Severe KPI Failure:</w:t>
            </w:r>
            <w:r>
              <w:rPr>
                <w:szCs w:val="24"/>
              </w:rPr>
              <w:br/>
            </w:r>
            <w:r>
              <w:rPr>
                <w:szCs w:val="24"/>
                <w:highlight w:val="yellow"/>
              </w:rPr>
              <w:t>[96.0% - 96.9%]</w:t>
            </w:r>
          </w:p>
          <w:p w14:paraId="066A866C" w14:textId="77777777" w:rsidR="00F67E9E" w:rsidRDefault="00F67E9E" w:rsidP="007F74AA">
            <w:pPr>
              <w:pBdr>
                <w:top w:val="nil"/>
                <w:left w:val="nil"/>
                <w:bottom w:val="nil"/>
                <w:right w:val="nil"/>
                <w:between w:val="nil"/>
              </w:pBdr>
              <w:rPr>
                <w:szCs w:val="24"/>
              </w:rPr>
            </w:pPr>
            <w:r>
              <w:rPr>
                <w:szCs w:val="24"/>
              </w:rPr>
              <w:t>KPI Service Threshold:</w:t>
            </w:r>
            <w:r>
              <w:rPr>
                <w:szCs w:val="24"/>
              </w:rPr>
              <w:br/>
            </w:r>
            <w:r>
              <w:rPr>
                <w:szCs w:val="24"/>
                <w:highlight w:val="yellow"/>
              </w:rPr>
              <w:t>[below 96%]</w:t>
            </w:r>
          </w:p>
        </w:tc>
        <w:tc>
          <w:tcPr>
            <w:tcW w:w="1020" w:type="dxa"/>
          </w:tcPr>
          <w:p w14:paraId="3FB39A4D" w14:textId="77777777" w:rsidR="00F67E9E" w:rsidRDefault="00F67E9E" w:rsidP="007F74AA">
            <w:pPr>
              <w:pBdr>
                <w:top w:val="nil"/>
                <w:left w:val="nil"/>
                <w:bottom w:val="nil"/>
                <w:right w:val="nil"/>
                <w:between w:val="nil"/>
              </w:pBdr>
              <w:rPr>
                <w:szCs w:val="24"/>
              </w:rPr>
            </w:pPr>
            <w:r>
              <w:rPr>
                <w:szCs w:val="24"/>
              </w:rPr>
              <w:t>0</w:t>
            </w:r>
            <w:r>
              <w:rPr>
                <w:szCs w:val="24"/>
              </w:rPr>
              <w:br/>
            </w:r>
          </w:p>
          <w:p w14:paraId="6833573C" w14:textId="77777777" w:rsidR="00F67E9E" w:rsidRDefault="00F67E9E" w:rsidP="007F74AA">
            <w:pPr>
              <w:pBdr>
                <w:top w:val="nil"/>
                <w:left w:val="nil"/>
                <w:bottom w:val="nil"/>
                <w:right w:val="nil"/>
                <w:between w:val="nil"/>
              </w:pBdr>
              <w:rPr>
                <w:szCs w:val="24"/>
              </w:rPr>
            </w:pPr>
            <w:r>
              <w:rPr>
                <w:szCs w:val="24"/>
                <w:highlight w:val="yellow"/>
              </w:rPr>
              <w:t>[1]</w:t>
            </w:r>
            <w:r>
              <w:rPr>
                <w:szCs w:val="24"/>
              </w:rPr>
              <w:br/>
            </w:r>
          </w:p>
          <w:p w14:paraId="14A67BC8" w14:textId="77777777" w:rsidR="00F67E9E" w:rsidRDefault="00F67E9E" w:rsidP="007F74AA">
            <w:pPr>
              <w:pBdr>
                <w:top w:val="nil"/>
                <w:left w:val="nil"/>
                <w:bottom w:val="nil"/>
                <w:right w:val="nil"/>
                <w:between w:val="nil"/>
              </w:pBdr>
              <w:rPr>
                <w:szCs w:val="24"/>
              </w:rPr>
            </w:pPr>
            <w:r>
              <w:rPr>
                <w:szCs w:val="24"/>
                <w:highlight w:val="yellow"/>
              </w:rPr>
              <w:t>[2]</w:t>
            </w:r>
            <w:r>
              <w:rPr>
                <w:szCs w:val="24"/>
              </w:rPr>
              <w:br/>
            </w:r>
          </w:p>
          <w:p w14:paraId="51E7591C" w14:textId="77777777" w:rsidR="00F67E9E" w:rsidRDefault="00F67E9E" w:rsidP="007F74AA">
            <w:pPr>
              <w:pBdr>
                <w:top w:val="nil"/>
                <w:left w:val="nil"/>
                <w:bottom w:val="nil"/>
                <w:right w:val="nil"/>
                <w:between w:val="nil"/>
              </w:pBdr>
              <w:rPr>
                <w:szCs w:val="24"/>
              </w:rPr>
            </w:pPr>
            <w:r>
              <w:rPr>
                <w:szCs w:val="24"/>
                <w:highlight w:val="yellow"/>
              </w:rPr>
              <w:t>[3]</w:t>
            </w:r>
            <w:r>
              <w:rPr>
                <w:szCs w:val="24"/>
              </w:rPr>
              <w:br/>
            </w:r>
          </w:p>
          <w:p w14:paraId="33525C84" w14:textId="77777777" w:rsidR="00F67E9E" w:rsidRDefault="00F67E9E" w:rsidP="007F74AA">
            <w:pPr>
              <w:pBdr>
                <w:top w:val="nil"/>
                <w:left w:val="nil"/>
                <w:bottom w:val="nil"/>
                <w:right w:val="nil"/>
                <w:between w:val="nil"/>
              </w:pBdr>
              <w:rPr>
                <w:szCs w:val="24"/>
              </w:rPr>
            </w:pPr>
            <w:r>
              <w:rPr>
                <w:szCs w:val="24"/>
                <w:highlight w:val="yellow"/>
              </w:rPr>
              <w:t>[4]</w:t>
            </w:r>
          </w:p>
        </w:tc>
        <w:tc>
          <w:tcPr>
            <w:tcW w:w="4762" w:type="dxa"/>
          </w:tcPr>
          <w:p w14:paraId="79B40985" w14:textId="77777777" w:rsidR="00F67E9E" w:rsidRDefault="00F67E9E" w:rsidP="007F74AA">
            <w:pPr>
              <w:pBdr>
                <w:top w:val="nil"/>
                <w:left w:val="nil"/>
                <w:bottom w:val="nil"/>
                <w:right w:val="nil"/>
                <w:between w:val="nil"/>
              </w:pBdr>
              <w:rPr>
                <w:szCs w:val="24"/>
              </w:rPr>
            </w:pPr>
            <w:r>
              <w:rPr>
                <w:szCs w:val="24"/>
                <w:highlight w:val="yellow"/>
              </w:rPr>
              <w:t>[YES/NO]</w:t>
            </w:r>
          </w:p>
        </w:tc>
      </w:tr>
      <w:tr w:rsidR="00F67E9E" w14:paraId="03AED411" w14:textId="77777777" w:rsidTr="007F74AA">
        <w:tc>
          <w:tcPr>
            <w:tcW w:w="737" w:type="dxa"/>
          </w:tcPr>
          <w:p w14:paraId="0629AC92" w14:textId="77777777" w:rsidR="00F67E9E" w:rsidRDefault="00F67E9E" w:rsidP="007F74AA">
            <w:pPr>
              <w:pBdr>
                <w:top w:val="nil"/>
                <w:left w:val="nil"/>
                <w:bottom w:val="nil"/>
                <w:right w:val="nil"/>
                <w:between w:val="nil"/>
              </w:pBdr>
              <w:rPr>
                <w:szCs w:val="24"/>
              </w:rPr>
            </w:pPr>
            <w:r>
              <w:rPr>
                <w:szCs w:val="24"/>
              </w:rPr>
              <w:t>KPI2</w:t>
            </w:r>
          </w:p>
        </w:tc>
        <w:tc>
          <w:tcPr>
            <w:tcW w:w="2551" w:type="dxa"/>
          </w:tcPr>
          <w:p w14:paraId="07CE1CE2" w14:textId="77777777" w:rsidR="00F67E9E" w:rsidRDefault="00F67E9E" w:rsidP="007F74AA">
            <w:pPr>
              <w:pBdr>
                <w:top w:val="nil"/>
                <w:left w:val="nil"/>
                <w:bottom w:val="nil"/>
                <w:right w:val="nil"/>
                <w:between w:val="nil"/>
              </w:pBdr>
              <w:rPr>
                <w:szCs w:val="24"/>
              </w:rPr>
            </w:pPr>
            <w:r>
              <w:rPr>
                <w:szCs w:val="24"/>
              </w:rPr>
              <w:t>[</w:t>
            </w:r>
            <w:r w:rsidRPr="00622BE6">
              <w:rPr>
                <w:szCs w:val="24"/>
                <w:highlight w:val="yellow"/>
              </w:rPr>
              <w:t>Supplier System Response Times</w:t>
            </w:r>
            <w:r>
              <w:rPr>
                <w:szCs w:val="24"/>
              </w:rPr>
              <w:t>]</w:t>
            </w:r>
          </w:p>
        </w:tc>
        <w:tc>
          <w:tcPr>
            <w:tcW w:w="1701" w:type="dxa"/>
          </w:tcPr>
          <w:p w14:paraId="0936B44A" w14:textId="67D304AC" w:rsidR="00F67E9E" w:rsidRPr="00FC322D" w:rsidRDefault="00F67E9E" w:rsidP="007F74AA">
            <w:pPr>
              <w:pBdr>
                <w:top w:val="nil"/>
                <w:left w:val="nil"/>
                <w:bottom w:val="nil"/>
                <w:right w:val="nil"/>
                <w:between w:val="nil"/>
              </w:pBdr>
              <w:rPr>
                <w:szCs w:val="24"/>
              </w:rPr>
            </w:pPr>
            <w:bookmarkStart w:id="394" w:name="_heading=h.ihv636" w:colFirst="0" w:colLast="0"/>
            <w:bookmarkEnd w:id="394"/>
            <w:r w:rsidRPr="00FC322D">
              <w:rPr>
                <w:szCs w:val="24"/>
              </w:rPr>
              <w:t xml:space="preserve">See Paragraph </w:t>
            </w:r>
            <w:r w:rsidRPr="00FC322D">
              <w:rPr>
                <w:szCs w:val="24"/>
              </w:rPr>
              <w:fldChar w:fldCharType="begin"/>
            </w:r>
            <w:r w:rsidRPr="00FC322D">
              <w:rPr>
                <w:szCs w:val="24"/>
              </w:rPr>
              <w:instrText xml:space="preserve"> REF _Ref99014444 \w \h </w:instrText>
            </w:r>
            <w:r w:rsidRPr="00FC322D">
              <w:rPr>
                <w:szCs w:val="24"/>
              </w:rPr>
            </w:r>
            <w:r w:rsidRPr="00FC322D">
              <w:rPr>
                <w:szCs w:val="24"/>
              </w:rPr>
              <w:fldChar w:fldCharType="separate"/>
            </w:r>
            <w:r w:rsidR="00302D39">
              <w:rPr>
                <w:szCs w:val="24"/>
              </w:rPr>
              <w:t>3</w:t>
            </w:r>
            <w:r w:rsidRPr="00FC322D">
              <w:rPr>
                <w:szCs w:val="24"/>
              </w:rPr>
              <w:fldChar w:fldCharType="end"/>
            </w:r>
            <w:r w:rsidRPr="00FC322D">
              <w:rPr>
                <w:szCs w:val="24"/>
              </w:rPr>
              <w:t xml:space="preserve"> of </w:t>
            </w:r>
            <w:r w:rsidRPr="00FC322D">
              <w:rPr>
                <w:szCs w:val="24"/>
              </w:rPr>
              <w:fldChar w:fldCharType="begin"/>
            </w:r>
            <w:r w:rsidRPr="00FC322D">
              <w:rPr>
                <w:szCs w:val="24"/>
              </w:rPr>
              <w:instrText xml:space="preserve"> REF Sch3Ann1PartB \h </w:instrText>
            </w:r>
            <w:r w:rsidRPr="00FC322D">
              <w:rPr>
                <w:szCs w:val="24"/>
              </w:rPr>
            </w:r>
            <w:r w:rsidRPr="00FC322D">
              <w:rPr>
                <w:szCs w:val="24"/>
              </w:rPr>
              <w:fldChar w:fldCharType="separate"/>
            </w:r>
            <w:r w:rsidR="00302D39" w:rsidRPr="0089405F">
              <w:t>Part B</w:t>
            </w:r>
            <w:r w:rsidRPr="00FC322D">
              <w:rPr>
                <w:szCs w:val="24"/>
              </w:rPr>
              <w:fldChar w:fldCharType="end"/>
            </w:r>
            <w:r w:rsidRPr="00FC322D">
              <w:rPr>
                <w:szCs w:val="24"/>
              </w:rPr>
              <w:t xml:space="preserve"> of this Annex</w:t>
            </w:r>
          </w:p>
        </w:tc>
        <w:tc>
          <w:tcPr>
            <w:tcW w:w="1701" w:type="dxa"/>
          </w:tcPr>
          <w:p w14:paraId="12AF387A" w14:textId="77777777" w:rsidR="00F67E9E" w:rsidRDefault="00F67E9E" w:rsidP="007F74AA">
            <w:pPr>
              <w:pBdr>
                <w:top w:val="nil"/>
                <w:left w:val="nil"/>
                <w:bottom w:val="nil"/>
                <w:right w:val="nil"/>
                <w:between w:val="nil"/>
              </w:pBdr>
              <w:rPr>
                <w:szCs w:val="24"/>
              </w:rPr>
            </w:pPr>
          </w:p>
        </w:tc>
        <w:tc>
          <w:tcPr>
            <w:tcW w:w="2665" w:type="dxa"/>
          </w:tcPr>
          <w:p w14:paraId="67165FA2" w14:textId="77777777" w:rsidR="00F67E9E" w:rsidRDefault="00F67E9E" w:rsidP="007F74AA">
            <w:pPr>
              <w:pBdr>
                <w:top w:val="nil"/>
                <w:left w:val="nil"/>
                <w:bottom w:val="nil"/>
                <w:right w:val="nil"/>
                <w:between w:val="nil"/>
              </w:pBdr>
              <w:rPr>
                <w:szCs w:val="24"/>
              </w:rPr>
            </w:pPr>
            <w:r>
              <w:rPr>
                <w:szCs w:val="24"/>
              </w:rPr>
              <w:t xml:space="preserve">Target Performance Level: </w:t>
            </w:r>
            <w:r>
              <w:rPr>
                <w:szCs w:val="24"/>
                <w:highlight w:val="yellow"/>
              </w:rPr>
              <w:t>[X]</w:t>
            </w:r>
            <w:r>
              <w:rPr>
                <w:szCs w:val="24"/>
              </w:rPr>
              <w:t xml:space="preserve"> seconds</w:t>
            </w:r>
          </w:p>
          <w:p w14:paraId="605FB659" w14:textId="77777777" w:rsidR="00F67E9E" w:rsidRDefault="00F67E9E" w:rsidP="007F74AA">
            <w:pPr>
              <w:pBdr>
                <w:top w:val="nil"/>
                <w:left w:val="nil"/>
                <w:bottom w:val="nil"/>
                <w:right w:val="nil"/>
                <w:between w:val="nil"/>
              </w:pBdr>
              <w:rPr>
                <w:szCs w:val="24"/>
              </w:rPr>
            </w:pPr>
            <w:r>
              <w:rPr>
                <w:szCs w:val="24"/>
              </w:rPr>
              <w:t>Minor KPI Failure:</w:t>
            </w:r>
            <w:r>
              <w:rPr>
                <w:szCs w:val="24"/>
              </w:rPr>
              <w:br/>
            </w:r>
            <w:r>
              <w:rPr>
                <w:szCs w:val="24"/>
                <w:highlight w:val="yellow"/>
              </w:rPr>
              <w:t>[X]</w:t>
            </w:r>
            <w:r w:rsidRPr="00622BE6">
              <w:rPr>
                <w:szCs w:val="24"/>
              </w:rPr>
              <w:t xml:space="preserve"> </w:t>
            </w:r>
            <w:r>
              <w:rPr>
                <w:szCs w:val="24"/>
              </w:rPr>
              <w:t>seconds</w:t>
            </w:r>
          </w:p>
          <w:p w14:paraId="52E34EC5" w14:textId="77777777" w:rsidR="00F67E9E" w:rsidRDefault="00F67E9E" w:rsidP="007F74AA">
            <w:pPr>
              <w:pBdr>
                <w:top w:val="nil"/>
                <w:left w:val="nil"/>
                <w:bottom w:val="nil"/>
                <w:right w:val="nil"/>
                <w:between w:val="nil"/>
              </w:pBdr>
              <w:rPr>
                <w:szCs w:val="24"/>
              </w:rPr>
            </w:pPr>
            <w:r>
              <w:rPr>
                <w:szCs w:val="24"/>
              </w:rPr>
              <w:t>Serious KPI Failure:</w:t>
            </w:r>
            <w:r>
              <w:rPr>
                <w:szCs w:val="24"/>
              </w:rPr>
              <w:br/>
            </w:r>
            <w:r>
              <w:rPr>
                <w:szCs w:val="24"/>
                <w:highlight w:val="yellow"/>
              </w:rPr>
              <w:t>[X]</w:t>
            </w:r>
            <w:r w:rsidRPr="00622BE6">
              <w:rPr>
                <w:szCs w:val="24"/>
              </w:rPr>
              <w:t xml:space="preserve"> </w:t>
            </w:r>
            <w:r>
              <w:rPr>
                <w:szCs w:val="24"/>
              </w:rPr>
              <w:t>seconds</w:t>
            </w:r>
          </w:p>
          <w:p w14:paraId="7551BE9E" w14:textId="77777777" w:rsidR="00F67E9E" w:rsidRDefault="00F67E9E" w:rsidP="007F74AA">
            <w:pPr>
              <w:pBdr>
                <w:top w:val="nil"/>
                <w:left w:val="nil"/>
                <w:bottom w:val="nil"/>
                <w:right w:val="nil"/>
                <w:between w:val="nil"/>
              </w:pBdr>
              <w:rPr>
                <w:szCs w:val="24"/>
              </w:rPr>
            </w:pPr>
            <w:r>
              <w:rPr>
                <w:szCs w:val="24"/>
              </w:rPr>
              <w:t>Severe KPI Failure:</w:t>
            </w:r>
            <w:r>
              <w:rPr>
                <w:szCs w:val="24"/>
              </w:rPr>
              <w:br/>
            </w:r>
            <w:r>
              <w:rPr>
                <w:szCs w:val="24"/>
                <w:highlight w:val="yellow"/>
              </w:rPr>
              <w:t>[X]</w:t>
            </w:r>
            <w:r w:rsidRPr="00622BE6">
              <w:rPr>
                <w:szCs w:val="24"/>
              </w:rPr>
              <w:t xml:space="preserve"> </w:t>
            </w:r>
            <w:r>
              <w:rPr>
                <w:szCs w:val="24"/>
              </w:rPr>
              <w:t>seconds</w:t>
            </w:r>
          </w:p>
          <w:p w14:paraId="5C0AB88B" w14:textId="77777777" w:rsidR="00F67E9E" w:rsidRDefault="00F67E9E" w:rsidP="007F74AA">
            <w:pPr>
              <w:pBdr>
                <w:top w:val="nil"/>
                <w:left w:val="nil"/>
                <w:bottom w:val="nil"/>
                <w:right w:val="nil"/>
                <w:between w:val="nil"/>
              </w:pBdr>
              <w:rPr>
                <w:szCs w:val="24"/>
              </w:rPr>
            </w:pPr>
            <w:r>
              <w:rPr>
                <w:szCs w:val="24"/>
              </w:rPr>
              <w:t>KPI Service Threshold:</w:t>
            </w:r>
            <w:r>
              <w:rPr>
                <w:szCs w:val="24"/>
              </w:rPr>
              <w:br/>
            </w:r>
            <w:r>
              <w:rPr>
                <w:szCs w:val="24"/>
                <w:highlight w:val="yellow"/>
              </w:rPr>
              <w:t>[X]</w:t>
            </w:r>
            <w:r w:rsidRPr="00622BE6">
              <w:rPr>
                <w:szCs w:val="24"/>
              </w:rPr>
              <w:t xml:space="preserve"> </w:t>
            </w:r>
            <w:r>
              <w:rPr>
                <w:szCs w:val="24"/>
              </w:rPr>
              <w:t>seconds</w:t>
            </w:r>
          </w:p>
        </w:tc>
        <w:tc>
          <w:tcPr>
            <w:tcW w:w="1020" w:type="dxa"/>
          </w:tcPr>
          <w:p w14:paraId="2256A429" w14:textId="77777777" w:rsidR="00F67E9E" w:rsidRDefault="00F67E9E" w:rsidP="007F74AA">
            <w:pPr>
              <w:pBdr>
                <w:top w:val="nil"/>
                <w:left w:val="nil"/>
                <w:bottom w:val="nil"/>
                <w:right w:val="nil"/>
                <w:between w:val="nil"/>
              </w:pBdr>
              <w:rPr>
                <w:szCs w:val="24"/>
              </w:rPr>
            </w:pPr>
            <w:r>
              <w:rPr>
                <w:szCs w:val="24"/>
              </w:rPr>
              <w:t>0</w:t>
            </w:r>
            <w:r>
              <w:rPr>
                <w:szCs w:val="24"/>
              </w:rPr>
              <w:br/>
            </w:r>
          </w:p>
          <w:p w14:paraId="70E46F71" w14:textId="77777777" w:rsidR="00F67E9E" w:rsidRDefault="00F67E9E" w:rsidP="007F74AA">
            <w:pPr>
              <w:pBdr>
                <w:top w:val="nil"/>
                <w:left w:val="nil"/>
                <w:bottom w:val="nil"/>
                <w:right w:val="nil"/>
                <w:between w:val="nil"/>
              </w:pBdr>
              <w:rPr>
                <w:szCs w:val="24"/>
              </w:rPr>
            </w:pPr>
            <w:r>
              <w:rPr>
                <w:szCs w:val="24"/>
                <w:highlight w:val="yellow"/>
              </w:rPr>
              <w:t>[1]</w:t>
            </w:r>
            <w:r>
              <w:rPr>
                <w:szCs w:val="24"/>
              </w:rPr>
              <w:br/>
            </w:r>
          </w:p>
          <w:p w14:paraId="069424E3" w14:textId="77777777" w:rsidR="00F67E9E" w:rsidRDefault="00F67E9E" w:rsidP="007F74AA">
            <w:pPr>
              <w:pBdr>
                <w:top w:val="nil"/>
                <w:left w:val="nil"/>
                <w:bottom w:val="nil"/>
                <w:right w:val="nil"/>
                <w:between w:val="nil"/>
              </w:pBdr>
              <w:rPr>
                <w:szCs w:val="24"/>
              </w:rPr>
            </w:pPr>
            <w:r>
              <w:rPr>
                <w:szCs w:val="24"/>
                <w:highlight w:val="yellow"/>
              </w:rPr>
              <w:t>[2]</w:t>
            </w:r>
            <w:r>
              <w:rPr>
                <w:szCs w:val="24"/>
              </w:rPr>
              <w:br/>
            </w:r>
          </w:p>
          <w:p w14:paraId="7C57BC0D" w14:textId="77777777" w:rsidR="00F67E9E" w:rsidRDefault="00F67E9E" w:rsidP="007F74AA">
            <w:pPr>
              <w:pBdr>
                <w:top w:val="nil"/>
                <w:left w:val="nil"/>
                <w:bottom w:val="nil"/>
                <w:right w:val="nil"/>
                <w:between w:val="nil"/>
              </w:pBdr>
              <w:rPr>
                <w:szCs w:val="24"/>
              </w:rPr>
            </w:pPr>
            <w:r>
              <w:rPr>
                <w:szCs w:val="24"/>
                <w:highlight w:val="yellow"/>
              </w:rPr>
              <w:t>[3]</w:t>
            </w:r>
            <w:r>
              <w:rPr>
                <w:szCs w:val="24"/>
              </w:rPr>
              <w:br/>
            </w:r>
          </w:p>
          <w:p w14:paraId="4CD649A4" w14:textId="77777777" w:rsidR="00F67E9E" w:rsidRDefault="00F67E9E" w:rsidP="007F74AA">
            <w:pPr>
              <w:pBdr>
                <w:top w:val="nil"/>
                <w:left w:val="nil"/>
                <w:bottom w:val="nil"/>
                <w:right w:val="nil"/>
                <w:between w:val="nil"/>
              </w:pBdr>
              <w:rPr>
                <w:szCs w:val="24"/>
              </w:rPr>
            </w:pPr>
            <w:r>
              <w:rPr>
                <w:szCs w:val="24"/>
                <w:highlight w:val="yellow"/>
              </w:rPr>
              <w:t>[4]</w:t>
            </w:r>
          </w:p>
        </w:tc>
        <w:tc>
          <w:tcPr>
            <w:tcW w:w="4762" w:type="dxa"/>
          </w:tcPr>
          <w:p w14:paraId="53D3E96D" w14:textId="77777777" w:rsidR="00F67E9E" w:rsidRDefault="00F67E9E" w:rsidP="007F74AA">
            <w:pPr>
              <w:pBdr>
                <w:top w:val="nil"/>
                <w:left w:val="nil"/>
                <w:bottom w:val="nil"/>
                <w:right w:val="nil"/>
                <w:between w:val="nil"/>
              </w:pBdr>
              <w:rPr>
                <w:szCs w:val="24"/>
              </w:rPr>
            </w:pPr>
            <w:r>
              <w:rPr>
                <w:szCs w:val="24"/>
                <w:highlight w:val="yellow"/>
              </w:rPr>
              <w:t>[YES/NO]</w:t>
            </w:r>
          </w:p>
        </w:tc>
      </w:tr>
      <w:tr w:rsidR="00F67E9E" w14:paraId="654A8CC1" w14:textId="77777777" w:rsidTr="007F74AA">
        <w:tc>
          <w:tcPr>
            <w:tcW w:w="737" w:type="dxa"/>
          </w:tcPr>
          <w:p w14:paraId="650A3F01" w14:textId="77777777" w:rsidR="00F67E9E" w:rsidRDefault="00F67E9E" w:rsidP="007F74AA">
            <w:pPr>
              <w:pBdr>
                <w:top w:val="nil"/>
                <w:left w:val="nil"/>
                <w:bottom w:val="nil"/>
                <w:right w:val="nil"/>
                <w:between w:val="nil"/>
              </w:pBdr>
              <w:rPr>
                <w:szCs w:val="24"/>
              </w:rPr>
            </w:pPr>
            <w:r>
              <w:rPr>
                <w:szCs w:val="24"/>
              </w:rPr>
              <w:t>KPI3</w:t>
            </w:r>
          </w:p>
        </w:tc>
        <w:tc>
          <w:tcPr>
            <w:tcW w:w="2551" w:type="dxa"/>
          </w:tcPr>
          <w:p w14:paraId="551FF75B" w14:textId="77777777" w:rsidR="00F67E9E" w:rsidRDefault="00F67E9E" w:rsidP="007F74AA">
            <w:pPr>
              <w:pBdr>
                <w:top w:val="nil"/>
                <w:left w:val="nil"/>
                <w:bottom w:val="nil"/>
                <w:right w:val="nil"/>
                <w:between w:val="nil"/>
              </w:pBdr>
              <w:rPr>
                <w:szCs w:val="24"/>
              </w:rPr>
            </w:pPr>
            <w:r>
              <w:rPr>
                <w:szCs w:val="24"/>
                <w:highlight w:val="yellow"/>
              </w:rPr>
              <w:t>[Help Desk Response Times]</w:t>
            </w:r>
          </w:p>
        </w:tc>
        <w:tc>
          <w:tcPr>
            <w:tcW w:w="1701" w:type="dxa"/>
          </w:tcPr>
          <w:p w14:paraId="466150C6" w14:textId="3D0408A3" w:rsidR="00F67E9E" w:rsidRPr="00FC322D" w:rsidRDefault="00F67E9E" w:rsidP="007F74AA">
            <w:pPr>
              <w:pBdr>
                <w:top w:val="nil"/>
                <w:left w:val="nil"/>
                <w:bottom w:val="nil"/>
                <w:right w:val="nil"/>
                <w:between w:val="nil"/>
              </w:pBdr>
              <w:rPr>
                <w:szCs w:val="24"/>
              </w:rPr>
            </w:pPr>
            <w:bookmarkStart w:id="395" w:name="_heading=h.32hioqz" w:colFirst="0" w:colLast="0"/>
            <w:bookmarkEnd w:id="395"/>
            <w:r w:rsidRPr="00FC322D">
              <w:rPr>
                <w:szCs w:val="24"/>
              </w:rPr>
              <w:t xml:space="preserve">See Paragraph </w:t>
            </w:r>
            <w:r w:rsidRPr="00FC322D">
              <w:rPr>
                <w:szCs w:val="24"/>
              </w:rPr>
              <w:fldChar w:fldCharType="begin"/>
            </w:r>
            <w:r w:rsidRPr="00FC322D">
              <w:rPr>
                <w:szCs w:val="24"/>
              </w:rPr>
              <w:instrText xml:space="preserve"> REF _Ref99014464 \w \h </w:instrText>
            </w:r>
            <w:r>
              <w:rPr>
                <w:szCs w:val="24"/>
              </w:rPr>
              <w:instrText xml:space="preserve"> \* MERGEFORMAT </w:instrText>
            </w:r>
            <w:r w:rsidRPr="00FC322D">
              <w:rPr>
                <w:szCs w:val="24"/>
              </w:rPr>
            </w:r>
            <w:r w:rsidRPr="00FC322D">
              <w:rPr>
                <w:szCs w:val="24"/>
              </w:rPr>
              <w:fldChar w:fldCharType="separate"/>
            </w:r>
            <w:r w:rsidR="00302D39">
              <w:rPr>
                <w:szCs w:val="24"/>
              </w:rPr>
              <w:t>4</w:t>
            </w:r>
            <w:r w:rsidRPr="00FC322D">
              <w:rPr>
                <w:szCs w:val="24"/>
              </w:rPr>
              <w:fldChar w:fldCharType="end"/>
            </w:r>
            <w:r w:rsidRPr="00FC322D">
              <w:rPr>
                <w:szCs w:val="24"/>
              </w:rPr>
              <w:t xml:space="preserve"> of </w:t>
            </w:r>
            <w:r w:rsidRPr="00FC322D">
              <w:rPr>
                <w:szCs w:val="24"/>
              </w:rPr>
              <w:fldChar w:fldCharType="begin"/>
            </w:r>
            <w:r w:rsidRPr="00FC322D">
              <w:rPr>
                <w:szCs w:val="24"/>
              </w:rPr>
              <w:instrText xml:space="preserve"> REF Sch3Ann1PartB \h </w:instrText>
            </w:r>
            <w:r>
              <w:rPr>
                <w:szCs w:val="24"/>
              </w:rPr>
              <w:instrText xml:space="preserve"> \* MERGEFORMAT </w:instrText>
            </w:r>
            <w:r w:rsidRPr="00FC322D">
              <w:rPr>
                <w:szCs w:val="24"/>
              </w:rPr>
            </w:r>
            <w:r w:rsidRPr="00FC322D">
              <w:rPr>
                <w:szCs w:val="24"/>
              </w:rPr>
              <w:fldChar w:fldCharType="separate"/>
            </w:r>
            <w:r w:rsidR="00302D39" w:rsidRPr="00302D39">
              <w:rPr>
                <w:rFonts w:cs="Arial"/>
              </w:rPr>
              <w:t>Part B</w:t>
            </w:r>
            <w:r w:rsidRPr="00FC322D">
              <w:rPr>
                <w:szCs w:val="24"/>
              </w:rPr>
              <w:fldChar w:fldCharType="end"/>
            </w:r>
            <w:r w:rsidRPr="00FC322D">
              <w:rPr>
                <w:szCs w:val="24"/>
              </w:rPr>
              <w:t xml:space="preserve"> of this Annex</w:t>
            </w:r>
          </w:p>
        </w:tc>
        <w:tc>
          <w:tcPr>
            <w:tcW w:w="1701" w:type="dxa"/>
          </w:tcPr>
          <w:p w14:paraId="1E64994B" w14:textId="77777777" w:rsidR="00F67E9E" w:rsidRDefault="00F67E9E" w:rsidP="007F74AA">
            <w:pPr>
              <w:pBdr>
                <w:top w:val="nil"/>
                <w:left w:val="nil"/>
                <w:bottom w:val="nil"/>
                <w:right w:val="nil"/>
                <w:between w:val="nil"/>
              </w:pBdr>
              <w:rPr>
                <w:szCs w:val="24"/>
              </w:rPr>
            </w:pPr>
          </w:p>
        </w:tc>
        <w:tc>
          <w:tcPr>
            <w:tcW w:w="2665" w:type="dxa"/>
          </w:tcPr>
          <w:p w14:paraId="1459922A" w14:textId="77777777" w:rsidR="00F67E9E" w:rsidRDefault="00F67E9E" w:rsidP="007F74AA">
            <w:pPr>
              <w:pBdr>
                <w:top w:val="nil"/>
                <w:left w:val="nil"/>
                <w:bottom w:val="nil"/>
                <w:right w:val="nil"/>
                <w:between w:val="nil"/>
              </w:pBdr>
              <w:rPr>
                <w:szCs w:val="24"/>
              </w:rPr>
            </w:pPr>
            <w:r>
              <w:rPr>
                <w:szCs w:val="24"/>
              </w:rPr>
              <w:t>Target Performance Level:</w:t>
            </w:r>
            <w:r>
              <w:rPr>
                <w:szCs w:val="24"/>
              </w:rPr>
              <w:br/>
            </w:r>
            <w:r>
              <w:rPr>
                <w:szCs w:val="24"/>
                <w:highlight w:val="yellow"/>
              </w:rPr>
              <w:t>[X]</w:t>
            </w:r>
            <w:r w:rsidRPr="00622BE6">
              <w:rPr>
                <w:szCs w:val="24"/>
              </w:rPr>
              <w:t xml:space="preserve"> </w:t>
            </w:r>
            <w:r>
              <w:rPr>
                <w:szCs w:val="24"/>
              </w:rPr>
              <w:t>seconds</w:t>
            </w:r>
          </w:p>
          <w:p w14:paraId="4B490669" w14:textId="77777777" w:rsidR="00F67E9E" w:rsidRDefault="00F67E9E" w:rsidP="007F74AA">
            <w:pPr>
              <w:pBdr>
                <w:top w:val="nil"/>
                <w:left w:val="nil"/>
                <w:bottom w:val="nil"/>
                <w:right w:val="nil"/>
                <w:between w:val="nil"/>
              </w:pBdr>
              <w:rPr>
                <w:szCs w:val="24"/>
              </w:rPr>
            </w:pPr>
            <w:r>
              <w:rPr>
                <w:szCs w:val="24"/>
              </w:rPr>
              <w:t>Minor KPI Failure:</w:t>
            </w:r>
            <w:r>
              <w:rPr>
                <w:szCs w:val="24"/>
              </w:rPr>
              <w:br/>
            </w:r>
            <w:r>
              <w:rPr>
                <w:szCs w:val="24"/>
                <w:highlight w:val="yellow"/>
              </w:rPr>
              <w:t>[X]</w:t>
            </w:r>
            <w:r>
              <w:rPr>
                <w:szCs w:val="24"/>
              </w:rPr>
              <w:t xml:space="preserve"> seconds</w:t>
            </w:r>
          </w:p>
          <w:p w14:paraId="4B87C9FA" w14:textId="77777777" w:rsidR="00F67E9E" w:rsidRDefault="00F67E9E" w:rsidP="007F74AA">
            <w:pPr>
              <w:pBdr>
                <w:top w:val="nil"/>
                <w:left w:val="nil"/>
                <w:bottom w:val="nil"/>
                <w:right w:val="nil"/>
                <w:between w:val="nil"/>
              </w:pBdr>
              <w:rPr>
                <w:szCs w:val="24"/>
              </w:rPr>
            </w:pPr>
            <w:r>
              <w:rPr>
                <w:szCs w:val="24"/>
              </w:rPr>
              <w:t>Serious KPI Failure:</w:t>
            </w:r>
            <w:r>
              <w:rPr>
                <w:szCs w:val="24"/>
              </w:rPr>
              <w:br/>
            </w:r>
            <w:r>
              <w:rPr>
                <w:szCs w:val="24"/>
                <w:highlight w:val="yellow"/>
              </w:rPr>
              <w:t>[X]</w:t>
            </w:r>
            <w:r w:rsidRPr="00622BE6">
              <w:rPr>
                <w:szCs w:val="24"/>
              </w:rPr>
              <w:t xml:space="preserve"> </w:t>
            </w:r>
            <w:r>
              <w:rPr>
                <w:szCs w:val="24"/>
              </w:rPr>
              <w:t>seconds</w:t>
            </w:r>
          </w:p>
          <w:p w14:paraId="335C61E0" w14:textId="77777777" w:rsidR="00F67E9E" w:rsidRDefault="00F67E9E" w:rsidP="007F74AA">
            <w:pPr>
              <w:pBdr>
                <w:top w:val="nil"/>
                <w:left w:val="nil"/>
                <w:bottom w:val="nil"/>
                <w:right w:val="nil"/>
                <w:between w:val="nil"/>
              </w:pBdr>
              <w:rPr>
                <w:szCs w:val="24"/>
              </w:rPr>
            </w:pPr>
            <w:r>
              <w:rPr>
                <w:szCs w:val="24"/>
              </w:rPr>
              <w:t>Severe KPI Failure:</w:t>
            </w:r>
            <w:r>
              <w:rPr>
                <w:szCs w:val="24"/>
              </w:rPr>
              <w:br/>
            </w:r>
            <w:r>
              <w:rPr>
                <w:szCs w:val="24"/>
                <w:highlight w:val="yellow"/>
              </w:rPr>
              <w:t>[X]</w:t>
            </w:r>
            <w:r w:rsidRPr="00622BE6">
              <w:rPr>
                <w:szCs w:val="24"/>
              </w:rPr>
              <w:t xml:space="preserve"> </w:t>
            </w:r>
            <w:r>
              <w:rPr>
                <w:szCs w:val="24"/>
              </w:rPr>
              <w:t>seconds</w:t>
            </w:r>
          </w:p>
          <w:p w14:paraId="7A2390FC" w14:textId="77777777" w:rsidR="00F67E9E" w:rsidRDefault="00F67E9E" w:rsidP="007F74AA">
            <w:pPr>
              <w:pBdr>
                <w:top w:val="nil"/>
                <w:left w:val="nil"/>
                <w:bottom w:val="nil"/>
                <w:right w:val="nil"/>
                <w:between w:val="nil"/>
              </w:pBdr>
              <w:rPr>
                <w:szCs w:val="24"/>
              </w:rPr>
            </w:pPr>
            <w:r>
              <w:rPr>
                <w:szCs w:val="24"/>
              </w:rPr>
              <w:t>KPI Service Threshold:</w:t>
            </w:r>
            <w:r>
              <w:rPr>
                <w:szCs w:val="24"/>
              </w:rPr>
              <w:br/>
            </w:r>
            <w:r>
              <w:rPr>
                <w:szCs w:val="24"/>
                <w:highlight w:val="yellow"/>
              </w:rPr>
              <w:t>[X]</w:t>
            </w:r>
            <w:r w:rsidRPr="00622BE6">
              <w:rPr>
                <w:szCs w:val="24"/>
              </w:rPr>
              <w:t xml:space="preserve"> </w:t>
            </w:r>
            <w:r>
              <w:rPr>
                <w:szCs w:val="24"/>
              </w:rPr>
              <w:t>seconds</w:t>
            </w:r>
          </w:p>
        </w:tc>
        <w:tc>
          <w:tcPr>
            <w:tcW w:w="1020" w:type="dxa"/>
          </w:tcPr>
          <w:p w14:paraId="417DFFBE" w14:textId="77777777" w:rsidR="00F67E9E" w:rsidRDefault="00F67E9E" w:rsidP="007F74AA">
            <w:pPr>
              <w:pBdr>
                <w:top w:val="nil"/>
                <w:left w:val="nil"/>
                <w:bottom w:val="nil"/>
                <w:right w:val="nil"/>
                <w:between w:val="nil"/>
              </w:pBdr>
              <w:rPr>
                <w:szCs w:val="24"/>
              </w:rPr>
            </w:pPr>
            <w:r>
              <w:rPr>
                <w:szCs w:val="24"/>
              </w:rPr>
              <w:t>0</w:t>
            </w:r>
            <w:r>
              <w:rPr>
                <w:szCs w:val="24"/>
              </w:rPr>
              <w:br/>
            </w:r>
            <w:r>
              <w:rPr>
                <w:szCs w:val="24"/>
              </w:rPr>
              <w:br/>
            </w:r>
          </w:p>
          <w:p w14:paraId="19C900F4" w14:textId="77777777" w:rsidR="00F67E9E" w:rsidRDefault="00F67E9E" w:rsidP="007F74AA">
            <w:pPr>
              <w:pBdr>
                <w:top w:val="nil"/>
                <w:left w:val="nil"/>
                <w:bottom w:val="nil"/>
                <w:right w:val="nil"/>
                <w:between w:val="nil"/>
              </w:pBdr>
              <w:rPr>
                <w:szCs w:val="24"/>
              </w:rPr>
            </w:pPr>
            <w:r>
              <w:rPr>
                <w:szCs w:val="24"/>
                <w:highlight w:val="yellow"/>
              </w:rPr>
              <w:t>[1]</w:t>
            </w:r>
            <w:r>
              <w:rPr>
                <w:szCs w:val="24"/>
              </w:rPr>
              <w:br/>
            </w:r>
          </w:p>
          <w:p w14:paraId="4F365DD1" w14:textId="77777777" w:rsidR="00F67E9E" w:rsidRDefault="00F67E9E" w:rsidP="007F74AA">
            <w:pPr>
              <w:pBdr>
                <w:top w:val="nil"/>
                <w:left w:val="nil"/>
                <w:bottom w:val="nil"/>
                <w:right w:val="nil"/>
                <w:between w:val="nil"/>
              </w:pBdr>
              <w:rPr>
                <w:szCs w:val="24"/>
              </w:rPr>
            </w:pPr>
            <w:r>
              <w:rPr>
                <w:szCs w:val="24"/>
                <w:highlight w:val="yellow"/>
              </w:rPr>
              <w:t>[2]</w:t>
            </w:r>
            <w:r>
              <w:rPr>
                <w:szCs w:val="24"/>
              </w:rPr>
              <w:br/>
            </w:r>
          </w:p>
          <w:p w14:paraId="73B9F835" w14:textId="77777777" w:rsidR="00F67E9E" w:rsidRDefault="00F67E9E" w:rsidP="007F74AA">
            <w:pPr>
              <w:pBdr>
                <w:top w:val="nil"/>
                <w:left w:val="nil"/>
                <w:bottom w:val="nil"/>
                <w:right w:val="nil"/>
                <w:between w:val="nil"/>
              </w:pBdr>
              <w:rPr>
                <w:szCs w:val="24"/>
              </w:rPr>
            </w:pPr>
            <w:r>
              <w:rPr>
                <w:szCs w:val="24"/>
                <w:highlight w:val="yellow"/>
              </w:rPr>
              <w:t>[3]</w:t>
            </w:r>
            <w:r>
              <w:rPr>
                <w:szCs w:val="24"/>
              </w:rPr>
              <w:br/>
            </w:r>
          </w:p>
          <w:p w14:paraId="40740EED" w14:textId="77777777" w:rsidR="00F67E9E" w:rsidRDefault="00F67E9E" w:rsidP="007F74AA">
            <w:pPr>
              <w:pBdr>
                <w:top w:val="nil"/>
                <w:left w:val="nil"/>
                <w:bottom w:val="nil"/>
                <w:right w:val="nil"/>
                <w:between w:val="nil"/>
              </w:pBdr>
              <w:rPr>
                <w:szCs w:val="24"/>
              </w:rPr>
            </w:pPr>
            <w:r>
              <w:rPr>
                <w:szCs w:val="24"/>
                <w:highlight w:val="yellow"/>
              </w:rPr>
              <w:t>[4]</w:t>
            </w:r>
          </w:p>
        </w:tc>
        <w:tc>
          <w:tcPr>
            <w:tcW w:w="4762" w:type="dxa"/>
          </w:tcPr>
          <w:p w14:paraId="3F6D75BC" w14:textId="77777777" w:rsidR="00F67E9E" w:rsidRDefault="00F67E9E" w:rsidP="007F74AA">
            <w:pPr>
              <w:pBdr>
                <w:top w:val="nil"/>
                <w:left w:val="nil"/>
                <w:bottom w:val="nil"/>
                <w:right w:val="nil"/>
                <w:between w:val="nil"/>
              </w:pBdr>
              <w:rPr>
                <w:szCs w:val="24"/>
              </w:rPr>
            </w:pPr>
            <w:r>
              <w:rPr>
                <w:szCs w:val="24"/>
                <w:highlight w:val="yellow"/>
              </w:rPr>
              <w:t>[YES/NO]</w:t>
            </w:r>
          </w:p>
        </w:tc>
      </w:tr>
      <w:tr w:rsidR="00F67E9E" w14:paraId="031B6B00" w14:textId="77777777" w:rsidTr="007F74AA">
        <w:tc>
          <w:tcPr>
            <w:tcW w:w="737" w:type="dxa"/>
          </w:tcPr>
          <w:p w14:paraId="7806B1AF" w14:textId="77777777" w:rsidR="00F67E9E" w:rsidRDefault="00F67E9E" w:rsidP="007F74AA">
            <w:pPr>
              <w:pBdr>
                <w:top w:val="nil"/>
                <w:left w:val="nil"/>
                <w:bottom w:val="nil"/>
                <w:right w:val="nil"/>
                <w:between w:val="nil"/>
              </w:pBdr>
              <w:rPr>
                <w:szCs w:val="24"/>
              </w:rPr>
            </w:pPr>
            <w:r>
              <w:rPr>
                <w:szCs w:val="24"/>
              </w:rPr>
              <w:t>KPI4</w:t>
            </w:r>
          </w:p>
        </w:tc>
        <w:tc>
          <w:tcPr>
            <w:tcW w:w="2551" w:type="dxa"/>
          </w:tcPr>
          <w:p w14:paraId="33DB8428" w14:textId="77777777" w:rsidR="00F67E9E" w:rsidRDefault="00F67E9E" w:rsidP="007F74AA">
            <w:pPr>
              <w:pBdr>
                <w:top w:val="nil"/>
                <w:left w:val="nil"/>
                <w:bottom w:val="nil"/>
                <w:right w:val="nil"/>
                <w:between w:val="nil"/>
              </w:pBdr>
              <w:rPr>
                <w:szCs w:val="24"/>
              </w:rPr>
            </w:pPr>
            <w:r>
              <w:rPr>
                <w:szCs w:val="24"/>
                <w:highlight w:val="yellow"/>
              </w:rPr>
              <w:t>[Fix Times]</w:t>
            </w:r>
          </w:p>
        </w:tc>
        <w:tc>
          <w:tcPr>
            <w:tcW w:w="1701" w:type="dxa"/>
          </w:tcPr>
          <w:p w14:paraId="0769B67F" w14:textId="7A97DEE2" w:rsidR="00F67E9E" w:rsidRDefault="00F67E9E" w:rsidP="007F74AA">
            <w:pPr>
              <w:pBdr>
                <w:top w:val="nil"/>
                <w:left w:val="nil"/>
                <w:bottom w:val="nil"/>
                <w:right w:val="nil"/>
                <w:between w:val="nil"/>
              </w:pBdr>
              <w:rPr>
                <w:szCs w:val="24"/>
              </w:rPr>
            </w:pPr>
            <w:bookmarkStart w:id="396" w:name="_heading=h.1hmsyys" w:colFirst="0" w:colLast="0"/>
            <w:bookmarkEnd w:id="396"/>
            <w:r w:rsidRPr="00FC322D">
              <w:rPr>
                <w:szCs w:val="24"/>
              </w:rPr>
              <w:t xml:space="preserve">See Paragraph </w:t>
            </w:r>
            <w:r w:rsidRPr="00FC322D">
              <w:rPr>
                <w:szCs w:val="24"/>
              </w:rPr>
              <w:fldChar w:fldCharType="begin"/>
            </w:r>
            <w:r w:rsidRPr="00FC322D">
              <w:rPr>
                <w:szCs w:val="24"/>
              </w:rPr>
              <w:instrText xml:space="preserve"> REF _Ref99014476 \w \h </w:instrText>
            </w:r>
            <w:r>
              <w:rPr>
                <w:szCs w:val="24"/>
              </w:rPr>
              <w:instrText xml:space="preserve"> \* MERGEFORMAT </w:instrText>
            </w:r>
            <w:r w:rsidRPr="00FC322D">
              <w:rPr>
                <w:szCs w:val="24"/>
              </w:rPr>
            </w:r>
            <w:r w:rsidRPr="00FC322D">
              <w:rPr>
                <w:szCs w:val="24"/>
              </w:rPr>
              <w:fldChar w:fldCharType="separate"/>
            </w:r>
            <w:r w:rsidR="00302D39">
              <w:rPr>
                <w:szCs w:val="24"/>
              </w:rPr>
              <w:t>5</w:t>
            </w:r>
            <w:r w:rsidRPr="00FC322D">
              <w:rPr>
                <w:szCs w:val="24"/>
              </w:rPr>
              <w:fldChar w:fldCharType="end"/>
            </w:r>
            <w:r w:rsidRPr="00FC322D">
              <w:rPr>
                <w:szCs w:val="24"/>
              </w:rPr>
              <w:t xml:space="preserve"> of </w:t>
            </w:r>
            <w:r w:rsidRPr="00FC322D">
              <w:rPr>
                <w:szCs w:val="24"/>
              </w:rPr>
              <w:fldChar w:fldCharType="begin"/>
            </w:r>
            <w:r w:rsidRPr="00FC322D">
              <w:rPr>
                <w:szCs w:val="24"/>
              </w:rPr>
              <w:instrText xml:space="preserve"> REF Sch3Ann1PartB \h </w:instrText>
            </w:r>
            <w:r>
              <w:rPr>
                <w:szCs w:val="24"/>
              </w:rPr>
              <w:instrText xml:space="preserve"> \* MERGEFORMAT </w:instrText>
            </w:r>
            <w:r w:rsidRPr="00FC322D">
              <w:rPr>
                <w:szCs w:val="24"/>
              </w:rPr>
            </w:r>
            <w:r w:rsidRPr="00FC322D">
              <w:rPr>
                <w:szCs w:val="24"/>
              </w:rPr>
              <w:fldChar w:fldCharType="separate"/>
            </w:r>
            <w:r w:rsidR="00302D39" w:rsidRPr="00302D39">
              <w:rPr>
                <w:rFonts w:cs="Arial"/>
              </w:rPr>
              <w:t>Part B</w:t>
            </w:r>
            <w:r w:rsidRPr="00FC322D">
              <w:rPr>
                <w:szCs w:val="24"/>
              </w:rPr>
              <w:fldChar w:fldCharType="end"/>
            </w:r>
            <w:r w:rsidRPr="00FC322D">
              <w:rPr>
                <w:szCs w:val="24"/>
              </w:rPr>
              <w:t xml:space="preserve"> of this Annex</w:t>
            </w:r>
          </w:p>
        </w:tc>
        <w:tc>
          <w:tcPr>
            <w:tcW w:w="1701" w:type="dxa"/>
          </w:tcPr>
          <w:p w14:paraId="7D8ACFF1" w14:textId="77777777" w:rsidR="00F67E9E" w:rsidRDefault="00F67E9E" w:rsidP="007F74AA">
            <w:pPr>
              <w:pBdr>
                <w:top w:val="nil"/>
                <w:left w:val="nil"/>
                <w:bottom w:val="nil"/>
                <w:right w:val="nil"/>
                <w:between w:val="nil"/>
              </w:pBdr>
              <w:rPr>
                <w:szCs w:val="24"/>
              </w:rPr>
            </w:pPr>
          </w:p>
        </w:tc>
        <w:tc>
          <w:tcPr>
            <w:tcW w:w="2665" w:type="dxa"/>
          </w:tcPr>
          <w:p w14:paraId="51585E64" w14:textId="77777777" w:rsidR="00F67E9E" w:rsidRDefault="00F67E9E" w:rsidP="007F74AA">
            <w:pPr>
              <w:pBdr>
                <w:top w:val="nil"/>
                <w:left w:val="nil"/>
                <w:bottom w:val="nil"/>
                <w:right w:val="nil"/>
                <w:between w:val="nil"/>
              </w:pBdr>
              <w:rPr>
                <w:szCs w:val="24"/>
              </w:rPr>
            </w:pPr>
            <w:r>
              <w:rPr>
                <w:szCs w:val="24"/>
              </w:rPr>
              <w:t xml:space="preserve">Target Performance Level: </w:t>
            </w:r>
            <w:r>
              <w:rPr>
                <w:szCs w:val="24"/>
                <w:highlight w:val="yellow"/>
              </w:rPr>
              <w:t>[X]</w:t>
            </w:r>
            <w:r w:rsidRPr="00622BE6">
              <w:rPr>
                <w:szCs w:val="24"/>
              </w:rPr>
              <w:t xml:space="preserve"> </w:t>
            </w:r>
            <w:r>
              <w:rPr>
                <w:szCs w:val="24"/>
              </w:rPr>
              <w:t>minutes</w:t>
            </w:r>
          </w:p>
          <w:p w14:paraId="4629F653" w14:textId="77777777" w:rsidR="00F67E9E" w:rsidRDefault="00F67E9E" w:rsidP="007F74AA">
            <w:pPr>
              <w:pBdr>
                <w:top w:val="nil"/>
                <w:left w:val="nil"/>
                <w:bottom w:val="nil"/>
                <w:right w:val="nil"/>
                <w:between w:val="nil"/>
              </w:pBdr>
              <w:rPr>
                <w:szCs w:val="24"/>
              </w:rPr>
            </w:pPr>
            <w:r>
              <w:rPr>
                <w:szCs w:val="24"/>
              </w:rPr>
              <w:t>Minor KPI Failure:</w:t>
            </w:r>
            <w:r>
              <w:rPr>
                <w:szCs w:val="24"/>
              </w:rPr>
              <w:br/>
            </w:r>
            <w:r>
              <w:rPr>
                <w:szCs w:val="24"/>
                <w:highlight w:val="yellow"/>
              </w:rPr>
              <w:t>[X]</w:t>
            </w:r>
            <w:r w:rsidRPr="00622BE6">
              <w:rPr>
                <w:szCs w:val="24"/>
              </w:rPr>
              <w:t xml:space="preserve"> </w:t>
            </w:r>
            <w:r>
              <w:rPr>
                <w:szCs w:val="24"/>
              </w:rPr>
              <w:t>minutes</w:t>
            </w:r>
          </w:p>
          <w:p w14:paraId="52DB9961" w14:textId="77777777" w:rsidR="00F67E9E" w:rsidRDefault="00F67E9E" w:rsidP="007F74AA">
            <w:pPr>
              <w:pBdr>
                <w:top w:val="nil"/>
                <w:left w:val="nil"/>
                <w:bottom w:val="nil"/>
                <w:right w:val="nil"/>
                <w:between w:val="nil"/>
              </w:pBdr>
              <w:rPr>
                <w:szCs w:val="24"/>
              </w:rPr>
            </w:pPr>
            <w:r>
              <w:rPr>
                <w:szCs w:val="24"/>
              </w:rPr>
              <w:t>Serious KPI Failure:</w:t>
            </w:r>
            <w:r>
              <w:rPr>
                <w:szCs w:val="24"/>
              </w:rPr>
              <w:br/>
            </w:r>
            <w:r>
              <w:rPr>
                <w:szCs w:val="24"/>
                <w:highlight w:val="yellow"/>
              </w:rPr>
              <w:t>[X]</w:t>
            </w:r>
            <w:r w:rsidRPr="00622BE6">
              <w:rPr>
                <w:szCs w:val="24"/>
              </w:rPr>
              <w:t xml:space="preserve"> </w:t>
            </w:r>
            <w:r>
              <w:rPr>
                <w:szCs w:val="24"/>
              </w:rPr>
              <w:t>minutes</w:t>
            </w:r>
          </w:p>
          <w:p w14:paraId="4D98062A" w14:textId="77777777" w:rsidR="00F67E9E" w:rsidRDefault="00F67E9E" w:rsidP="007F74AA">
            <w:pPr>
              <w:pBdr>
                <w:top w:val="nil"/>
                <w:left w:val="nil"/>
                <w:bottom w:val="nil"/>
                <w:right w:val="nil"/>
                <w:between w:val="nil"/>
              </w:pBdr>
              <w:rPr>
                <w:szCs w:val="24"/>
              </w:rPr>
            </w:pPr>
            <w:r>
              <w:rPr>
                <w:szCs w:val="24"/>
              </w:rPr>
              <w:t>Severe KPI Failure:</w:t>
            </w:r>
            <w:r>
              <w:rPr>
                <w:szCs w:val="24"/>
              </w:rPr>
              <w:br/>
            </w:r>
            <w:r>
              <w:rPr>
                <w:szCs w:val="24"/>
                <w:highlight w:val="yellow"/>
              </w:rPr>
              <w:t>[X]</w:t>
            </w:r>
            <w:r w:rsidRPr="00622BE6">
              <w:rPr>
                <w:szCs w:val="24"/>
              </w:rPr>
              <w:t xml:space="preserve"> </w:t>
            </w:r>
            <w:r>
              <w:rPr>
                <w:szCs w:val="24"/>
              </w:rPr>
              <w:t>minutes</w:t>
            </w:r>
          </w:p>
          <w:p w14:paraId="5C31509F" w14:textId="77777777" w:rsidR="00F67E9E" w:rsidRDefault="00F67E9E" w:rsidP="007F74AA">
            <w:pPr>
              <w:pBdr>
                <w:top w:val="nil"/>
                <w:left w:val="nil"/>
                <w:bottom w:val="nil"/>
                <w:right w:val="nil"/>
                <w:between w:val="nil"/>
              </w:pBdr>
              <w:rPr>
                <w:szCs w:val="24"/>
              </w:rPr>
            </w:pPr>
            <w:r>
              <w:rPr>
                <w:szCs w:val="24"/>
              </w:rPr>
              <w:t>KPI Service Threshold:</w:t>
            </w:r>
            <w:r>
              <w:rPr>
                <w:szCs w:val="24"/>
              </w:rPr>
              <w:br/>
            </w:r>
            <w:r>
              <w:rPr>
                <w:szCs w:val="24"/>
                <w:highlight w:val="yellow"/>
              </w:rPr>
              <w:t>[X]</w:t>
            </w:r>
            <w:r w:rsidRPr="00622BE6">
              <w:rPr>
                <w:szCs w:val="24"/>
              </w:rPr>
              <w:t xml:space="preserve"> </w:t>
            </w:r>
            <w:r>
              <w:rPr>
                <w:szCs w:val="24"/>
              </w:rPr>
              <w:t>minutes</w:t>
            </w:r>
          </w:p>
        </w:tc>
        <w:tc>
          <w:tcPr>
            <w:tcW w:w="1020" w:type="dxa"/>
          </w:tcPr>
          <w:p w14:paraId="6AEEDC05" w14:textId="77777777" w:rsidR="00F67E9E" w:rsidRDefault="00F67E9E" w:rsidP="007F74AA">
            <w:pPr>
              <w:pBdr>
                <w:top w:val="nil"/>
                <w:left w:val="nil"/>
                <w:bottom w:val="nil"/>
                <w:right w:val="nil"/>
                <w:between w:val="nil"/>
              </w:pBdr>
              <w:rPr>
                <w:szCs w:val="24"/>
              </w:rPr>
            </w:pPr>
            <w:r>
              <w:rPr>
                <w:szCs w:val="24"/>
              </w:rPr>
              <w:t>0</w:t>
            </w:r>
            <w:r>
              <w:rPr>
                <w:szCs w:val="24"/>
              </w:rPr>
              <w:br/>
            </w:r>
          </w:p>
          <w:p w14:paraId="687B9A1C" w14:textId="77777777" w:rsidR="00F67E9E" w:rsidRDefault="00F67E9E" w:rsidP="007F74AA">
            <w:pPr>
              <w:pBdr>
                <w:top w:val="nil"/>
                <w:left w:val="nil"/>
                <w:bottom w:val="nil"/>
                <w:right w:val="nil"/>
                <w:between w:val="nil"/>
              </w:pBdr>
              <w:rPr>
                <w:szCs w:val="24"/>
              </w:rPr>
            </w:pPr>
            <w:r>
              <w:rPr>
                <w:szCs w:val="24"/>
                <w:highlight w:val="yellow"/>
              </w:rPr>
              <w:t>[1]</w:t>
            </w:r>
            <w:r>
              <w:rPr>
                <w:szCs w:val="24"/>
              </w:rPr>
              <w:br/>
            </w:r>
          </w:p>
          <w:p w14:paraId="68D40C65" w14:textId="77777777" w:rsidR="00F67E9E" w:rsidRDefault="00F67E9E" w:rsidP="007F74AA">
            <w:pPr>
              <w:pBdr>
                <w:top w:val="nil"/>
                <w:left w:val="nil"/>
                <w:bottom w:val="nil"/>
                <w:right w:val="nil"/>
                <w:between w:val="nil"/>
              </w:pBdr>
              <w:rPr>
                <w:szCs w:val="24"/>
              </w:rPr>
            </w:pPr>
            <w:r>
              <w:rPr>
                <w:szCs w:val="24"/>
                <w:highlight w:val="yellow"/>
              </w:rPr>
              <w:t>[2]</w:t>
            </w:r>
            <w:r>
              <w:rPr>
                <w:szCs w:val="24"/>
              </w:rPr>
              <w:br/>
            </w:r>
          </w:p>
          <w:p w14:paraId="29EC71EF" w14:textId="77777777" w:rsidR="00F67E9E" w:rsidRDefault="00F67E9E" w:rsidP="007F74AA">
            <w:pPr>
              <w:pBdr>
                <w:top w:val="nil"/>
                <w:left w:val="nil"/>
                <w:bottom w:val="nil"/>
                <w:right w:val="nil"/>
                <w:between w:val="nil"/>
              </w:pBdr>
              <w:rPr>
                <w:szCs w:val="24"/>
              </w:rPr>
            </w:pPr>
            <w:r>
              <w:rPr>
                <w:szCs w:val="24"/>
                <w:highlight w:val="yellow"/>
              </w:rPr>
              <w:t>[3]</w:t>
            </w:r>
            <w:r>
              <w:rPr>
                <w:szCs w:val="24"/>
              </w:rPr>
              <w:br/>
            </w:r>
          </w:p>
          <w:p w14:paraId="6EDB9F3C" w14:textId="77777777" w:rsidR="00F67E9E" w:rsidRDefault="00F67E9E" w:rsidP="007F74AA">
            <w:pPr>
              <w:pBdr>
                <w:top w:val="nil"/>
                <w:left w:val="nil"/>
                <w:bottom w:val="nil"/>
                <w:right w:val="nil"/>
                <w:between w:val="nil"/>
              </w:pBdr>
              <w:rPr>
                <w:szCs w:val="24"/>
              </w:rPr>
            </w:pPr>
            <w:r>
              <w:rPr>
                <w:szCs w:val="24"/>
                <w:highlight w:val="yellow"/>
              </w:rPr>
              <w:t>[4]</w:t>
            </w:r>
          </w:p>
        </w:tc>
        <w:tc>
          <w:tcPr>
            <w:tcW w:w="4762" w:type="dxa"/>
          </w:tcPr>
          <w:p w14:paraId="7A78B096" w14:textId="77777777" w:rsidR="00F67E9E" w:rsidRDefault="00F67E9E" w:rsidP="007F74AA">
            <w:pPr>
              <w:pBdr>
                <w:top w:val="nil"/>
                <w:left w:val="nil"/>
                <w:bottom w:val="nil"/>
                <w:right w:val="nil"/>
                <w:between w:val="nil"/>
              </w:pBdr>
              <w:rPr>
                <w:szCs w:val="24"/>
              </w:rPr>
            </w:pPr>
            <w:r>
              <w:rPr>
                <w:szCs w:val="24"/>
                <w:highlight w:val="yellow"/>
              </w:rPr>
              <w:t>[YES/NO]</w:t>
            </w:r>
          </w:p>
        </w:tc>
      </w:tr>
      <w:tr w:rsidR="00F67E9E" w14:paraId="4403B53B" w14:textId="77777777" w:rsidTr="007F74AA">
        <w:tc>
          <w:tcPr>
            <w:tcW w:w="737" w:type="dxa"/>
          </w:tcPr>
          <w:p w14:paraId="4DE47FE5" w14:textId="77777777" w:rsidR="00F67E9E" w:rsidRDefault="00F67E9E" w:rsidP="007F74AA">
            <w:pPr>
              <w:pBdr>
                <w:top w:val="nil"/>
                <w:left w:val="nil"/>
                <w:bottom w:val="nil"/>
                <w:right w:val="nil"/>
                <w:between w:val="nil"/>
              </w:pBdr>
              <w:rPr>
                <w:szCs w:val="24"/>
              </w:rPr>
            </w:pPr>
            <w:r>
              <w:rPr>
                <w:szCs w:val="24"/>
              </w:rPr>
              <w:t>KPI5</w:t>
            </w:r>
          </w:p>
        </w:tc>
        <w:tc>
          <w:tcPr>
            <w:tcW w:w="2551" w:type="dxa"/>
          </w:tcPr>
          <w:p w14:paraId="520B4411" w14:textId="77777777" w:rsidR="00F67E9E" w:rsidRDefault="00F67E9E" w:rsidP="007F74AA">
            <w:pPr>
              <w:pBdr>
                <w:top w:val="nil"/>
                <w:left w:val="nil"/>
                <w:bottom w:val="nil"/>
                <w:right w:val="nil"/>
                <w:between w:val="nil"/>
              </w:pBdr>
              <w:rPr>
                <w:szCs w:val="24"/>
              </w:rPr>
            </w:pPr>
            <w:r>
              <w:rPr>
                <w:szCs w:val="24"/>
                <w:highlight w:val="yellow"/>
              </w:rPr>
              <w:t>[Satisfaction Surveys]</w:t>
            </w:r>
          </w:p>
        </w:tc>
        <w:tc>
          <w:tcPr>
            <w:tcW w:w="1701" w:type="dxa"/>
          </w:tcPr>
          <w:p w14:paraId="153F22C9" w14:textId="163D7628" w:rsidR="00F67E9E" w:rsidRPr="00FC322D" w:rsidRDefault="00F67E9E" w:rsidP="007F74AA">
            <w:pPr>
              <w:pBdr>
                <w:top w:val="nil"/>
                <w:left w:val="nil"/>
                <w:bottom w:val="nil"/>
                <w:right w:val="nil"/>
                <w:between w:val="nil"/>
              </w:pBdr>
              <w:rPr>
                <w:szCs w:val="24"/>
              </w:rPr>
            </w:pPr>
            <w:bookmarkStart w:id="397" w:name="_heading=h.41mghml" w:colFirst="0" w:colLast="0"/>
            <w:bookmarkEnd w:id="397"/>
            <w:r w:rsidRPr="00FC322D">
              <w:rPr>
                <w:szCs w:val="24"/>
              </w:rPr>
              <w:t xml:space="preserve">See Paragraph </w:t>
            </w:r>
            <w:r w:rsidRPr="00FC322D">
              <w:rPr>
                <w:szCs w:val="24"/>
              </w:rPr>
              <w:fldChar w:fldCharType="begin"/>
            </w:r>
            <w:r w:rsidRPr="00FC322D">
              <w:rPr>
                <w:szCs w:val="24"/>
              </w:rPr>
              <w:instrText xml:space="preserve"> REF _Ref99014491 \w \h </w:instrText>
            </w:r>
            <w:r w:rsidRPr="00FC322D">
              <w:rPr>
                <w:szCs w:val="24"/>
              </w:rPr>
            </w:r>
            <w:r w:rsidRPr="00FC322D">
              <w:rPr>
                <w:szCs w:val="24"/>
              </w:rPr>
              <w:fldChar w:fldCharType="separate"/>
            </w:r>
            <w:r w:rsidR="00302D39">
              <w:rPr>
                <w:szCs w:val="24"/>
              </w:rPr>
              <w:t>6</w:t>
            </w:r>
            <w:r w:rsidRPr="00FC322D">
              <w:rPr>
                <w:szCs w:val="24"/>
              </w:rPr>
              <w:fldChar w:fldCharType="end"/>
            </w:r>
            <w:r w:rsidRPr="00FC322D">
              <w:rPr>
                <w:szCs w:val="24"/>
              </w:rPr>
              <w:t xml:space="preserve"> of </w:t>
            </w:r>
            <w:r w:rsidRPr="00FC322D">
              <w:rPr>
                <w:szCs w:val="24"/>
              </w:rPr>
              <w:fldChar w:fldCharType="begin"/>
            </w:r>
            <w:r w:rsidRPr="00FC322D">
              <w:rPr>
                <w:szCs w:val="24"/>
              </w:rPr>
              <w:instrText xml:space="preserve"> REF Sch3Ann1PartB \h </w:instrText>
            </w:r>
            <w:r w:rsidRPr="00FC322D">
              <w:rPr>
                <w:szCs w:val="24"/>
              </w:rPr>
            </w:r>
            <w:r w:rsidRPr="00FC322D">
              <w:rPr>
                <w:szCs w:val="24"/>
              </w:rPr>
              <w:fldChar w:fldCharType="separate"/>
            </w:r>
            <w:r w:rsidR="00302D39" w:rsidRPr="0089405F">
              <w:t>Part B</w:t>
            </w:r>
            <w:r w:rsidRPr="00FC322D">
              <w:rPr>
                <w:szCs w:val="24"/>
              </w:rPr>
              <w:fldChar w:fldCharType="end"/>
            </w:r>
            <w:r w:rsidRPr="00FC322D">
              <w:rPr>
                <w:szCs w:val="24"/>
              </w:rPr>
              <w:t xml:space="preserve"> of this Annex</w:t>
            </w:r>
          </w:p>
        </w:tc>
        <w:tc>
          <w:tcPr>
            <w:tcW w:w="1701" w:type="dxa"/>
          </w:tcPr>
          <w:p w14:paraId="32262DFF" w14:textId="77777777" w:rsidR="00F67E9E" w:rsidRDefault="00F67E9E" w:rsidP="007F74AA">
            <w:pPr>
              <w:pBdr>
                <w:top w:val="nil"/>
                <w:left w:val="nil"/>
                <w:bottom w:val="nil"/>
                <w:right w:val="nil"/>
                <w:between w:val="nil"/>
              </w:pBdr>
              <w:rPr>
                <w:szCs w:val="24"/>
              </w:rPr>
            </w:pPr>
          </w:p>
        </w:tc>
        <w:tc>
          <w:tcPr>
            <w:tcW w:w="2665" w:type="dxa"/>
          </w:tcPr>
          <w:p w14:paraId="7DBF5338" w14:textId="77777777" w:rsidR="00F67E9E" w:rsidRDefault="00F67E9E" w:rsidP="007F74AA">
            <w:pPr>
              <w:pBdr>
                <w:top w:val="nil"/>
                <w:left w:val="nil"/>
                <w:bottom w:val="nil"/>
                <w:right w:val="nil"/>
                <w:between w:val="nil"/>
              </w:pBdr>
              <w:rPr>
                <w:szCs w:val="24"/>
              </w:rPr>
            </w:pPr>
            <w:r>
              <w:rPr>
                <w:szCs w:val="24"/>
              </w:rPr>
              <w:t xml:space="preserve">Target Performance Level: </w:t>
            </w:r>
            <w:r>
              <w:rPr>
                <w:szCs w:val="24"/>
                <w:highlight w:val="yellow"/>
              </w:rPr>
              <w:t>[x]</w:t>
            </w:r>
            <w:r>
              <w:rPr>
                <w:szCs w:val="24"/>
              </w:rPr>
              <w:t>%</w:t>
            </w:r>
          </w:p>
          <w:p w14:paraId="2FE88567" w14:textId="77777777" w:rsidR="00F67E9E" w:rsidRDefault="00F67E9E" w:rsidP="007F74AA">
            <w:pPr>
              <w:pBdr>
                <w:top w:val="nil"/>
                <w:left w:val="nil"/>
                <w:bottom w:val="nil"/>
                <w:right w:val="nil"/>
                <w:between w:val="nil"/>
              </w:pBdr>
              <w:rPr>
                <w:szCs w:val="24"/>
              </w:rPr>
            </w:pPr>
            <w:r>
              <w:rPr>
                <w:szCs w:val="24"/>
              </w:rPr>
              <w:t>Minor KPI Failure:</w:t>
            </w:r>
            <w:r>
              <w:rPr>
                <w:szCs w:val="24"/>
              </w:rPr>
              <w:br/>
            </w:r>
            <w:r>
              <w:rPr>
                <w:szCs w:val="24"/>
                <w:highlight w:val="yellow"/>
              </w:rPr>
              <w:t>[x]</w:t>
            </w:r>
            <w:r>
              <w:rPr>
                <w:szCs w:val="24"/>
              </w:rPr>
              <w:t>%-</w:t>
            </w:r>
            <w:r>
              <w:rPr>
                <w:szCs w:val="24"/>
                <w:highlight w:val="yellow"/>
              </w:rPr>
              <w:t>[x]</w:t>
            </w:r>
            <w:r>
              <w:rPr>
                <w:szCs w:val="24"/>
              </w:rPr>
              <w:t>%</w:t>
            </w:r>
          </w:p>
          <w:p w14:paraId="06529637" w14:textId="77777777" w:rsidR="00F67E9E" w:rsidRDefault="00F67E9E" w:rsidP="007F74AA">
            <w:pPr>
              <w:pBdr>
                <w:top w:val="nil"/>
                <w:left w:val="nil"/>
                <w:bottom w:val="nil"/>
                <w:right w:val="nil"/>
                <w:between w:val="nil"/>
              </w:pBdr>
              <w:rPr>
                <w:szCs w:val="24"/>
              </w:rPr>
            </w:pPr>
            <w:r>
              <w:rPr>
                <w:szCs w:val="24"/>
              </w:rPr>
              <w:t>Serious KPI Failure:</w:t>
            </w:r>
            <w:r>
              <w:rPr>
                <w:szCs w:val="24"/>
              </w:rPr>
              <w:br/>
            </w:r>
            <w:r>
              <w:rPr>
                <w:szCs w:val="24"/>
                <w:highlight w:val="yellow"/>
              </w:rPr>
              <w:t>[x]</w:t>
            </w:r>
            <w:r>
              <w:rPr>
                <w:szCs w:val="24"/>
              </w:rPr>
              <w:t>%-</w:t>
            </w:r>
            <w:r>
              <w:rPr>
                <w:szCs w:val="24"/>
                <w:highlight w:val="yellow"/>
              </w:rPr>
              <w:t>[x]</w:t>
            </w:r>
            <w:r>
              <w:rPr>
                <w:szCs w:val="24"/>
              </w:rPr>
              <w:t>%</w:t>
            </w:r>
          </w:p>
          <w:p w14:paraId="29596EA2" w14:textId="77777777" w:rsidR="00F67E9E" w:rsidRDefault="00F67E9E" w:rsidP="007F74AA">
            <w:pPr>
              <w:pBdr>
                <w:top w:val="nil"/>
                <w:left w:val="nil"/>
                <w:bottom w:val="nil"/>
                <w:right w:val="nil"/>
                <w:between w:val="nil"/>
              </w:pBdr>
              <w:rPr>
                <w:szCs w:val="24"/>
              </w:rPr>
            </w:pPr>
            <w:r>
              <w:rPr>
                <w:szCs w:val="24"/>
              </w:rPr>
              <w:t>Severe KPI Failure:</w:t>
            </w:r>
            <w:r>
              <w:rPr>
                <w:szCs w:val="24"/>
              </w:rPr>
              <w:br/>
            </w:r>
            <w:r>
              <w:rPr>
                <w:szCs w:val="24"/>
                <w:highlight w:val="yellow"/>
              </w:rPr>
              <w:t>[x]</w:t>
            </w:r>
            <w:r>
              <w:rPr>
                <w:szCs w:val="24"/>
              </w:rPr>
              <w:t>%-</w:t>
            </w:r>
            <w:r>
              <w:rPr>
                <w:szCs w:val="24"/>
                <w:highlight w:val="yellow"/>
              </w:rPr>
              <w:t>[x]</w:t>
            </w:r>
            <w:r>
              <w:rPr>
                <w:szCs w:val="24"/>
              </w:rPr>
              <w:t>%</w:t>
            </w:r>
          </w:p>
          <w:p w14:paraId="66F60E99" w14:textId="77777777" w:rsidR="00F67E9E" w:rsidRDefault="00F67E9E" w:rsidP="007F74AA">
            <w:pPr>
              <w:pBdr>
                <w:top w:val="nil"/>
                <w:left w:val="nil"/>
                <w:bottom w:val="nil"/>
                <w:right w:val="nil"/>
                <w:between w:val="nil"/>
              </w:pBdr>
              <w:rPr>
                <w:szCs w:val="24"/>
              </w:rPr>
            </w:pPr>
            <w:r>
              <w:rPr>
                <w:szCs w:val="24"/>
              </w:rPr>
              <w:t>KPI Service Threshold:</w:t>
            </w:r>
            <w:r>
              <w:rPr>
                <w:szCs w:val="24"/>
              </w:rPr>
              <w:br/>
              <w:t xml:space="preserve">below </w:t>
            </w:r>
            <w:r>
              <w:rPr>
                <w:szCs w:val="24"/>
                <w:highlight w:val="yellow"/>
              </w:rPr>
              <w:t>[x]</w:t>
            </w:r>
            <w:r>
              <w:rPr>
                <w:szCs w:val="24"/>
              </w:rPr>
              <w:t>%</w:t>
            </w:r>
          </w:p>
        </w:tc>
        <w:tc>
          <w:tcPr>
            <w:tcW w:w="1020" w:type="dxa"/>
          </w:tcPr>
          <w:p w14:paraId="089AE3F2" w14:textId="77777777" w:rsidR="00F67E9E" w:rsidRDefault="00F67E9E" w:rsidP="007F74AA">
            <w:pPr>
              <w:pBdr>
                <w:top w:val="nil"/>
                <w:left w:val="nil"/>
                <w:bottom w:val="nil"/>
                <w:right w:val="nil"/>
                <w:between w:val="nil"/>
              </w:pBdr>
              <w:rPr>
                <w:szCs w:val="24"/>
              </w:rPr>
            </w:pPr>
            <w:r>
              <w:rPr>
                <w:szCs w:val="24"/>
              </w:rPr>
              <w:t>0</w:t>
            </w:r>
            <w:r>
              <w:rPr>
                <w:szCs w:val="24"/>
              </w:rPr>
              <w:br/>
            </w:r>
          </w:p>
          <w:p w14:paraId="39275EA8" w14:textId="77777777" w:rsidR="00F67E9E" w:rsidRDefault="00F67E9E" w:rsidP="007F74AA">
            <w:pPr>
              <w:pBdr>
                <w:top w:val="nil"/>
                <w:left w:val="nil"/>
                <w:bottom w:val="nil"/>
                <w:right w:val="nil"/>
                <w:between w:val="nil"/>
              </w:pBdr>
              <w:rPr>
                <w:szCs w:val="24"/>
              </w:rPr>
            </w:pPr>
            <w:r>
              <w:rPr>
                <w:szCs w:val="24"/>
                <w:highlight w:val="yellow"/>
              </w:rPr>
              <w:t>[1]</w:t>
            </w:r>
            <w:r>
              <w:rPr>
                <w:szCs w:val="24"/>
              </w:rPr>
              <w:br/>
            </w:r>
          </w:p>
          <w:p w14:paraId="36671F29" w14:textId="77777777" w:rsidR="00F67E9E" w:rsidRDefault="00F67E9E" w:rsidP="007F74AA">
            <w:pPr>
              <w:pBdr>
                <w:top w:val="nil"/>
                <w:left w:val="nil"/>
                <w:bottom w:val="nil"/>
                <w:right w:val="nil"/>
                <w:between w:val="nil"/>
              </w:pBdr>
              <w:rPr>
                <w:szCs w:val="24"/>
                <w:highlight w:val="yellow"/>
              </w:rPr>
            </w:pPr>
            <w:r>
              <w:rPr>
                <w:szCs w:val="24"/>
                <w:highlight w:val="yellow"/>
              </w:rPr>
              <w:t>[2]</w:t>
            </w:r>
            <w:r>
              <w:rPr>
                <w:szCs w:val="24"/>
                <w:highlight w:val="yellow"/>
              </w:rPr>
              <w:br/>
            </w:r>
          </w:p>
          <w:p w14:paraId="2D23305A" w14:textId="77777777" w:rsidR="00F67E9E" w:rsidRDefault="00F67E9E" w:rsidP="007F74AA">
            <w:pPr>
              <w:pBdr>
                <w:top w:val="nil"/>
                <w:left w:val="nil"/>
                <w:bottom w:val="nil"/>
                <w:right w:val="nil"/>
                <w:between w:val="nil"/>
              </w:pBdr>
              <w:rPr>
                <w:szCs w:val="24"/>
                <w:highlight w:val="yellow"/>
              </w:rPr>
            </w:pPr>
            <w:r>
              <w:rPr>
                <w:szCs w:val="24"/>
                <w:highlight w:val="yellow"/>
              </w:rPr>
              <w:t>[3]</w:t>
            </w:r>
            <w:r>
              <w:rPr>
                <w:szCs w:val="24"/>
                <w:highlight w:val="yellow"/>
              </w:rPr>
              <w:br/>
            </w:r>
          </w:p>
          <w:p w14:paraId="3A02B8F9" w14:textId="77777777" w:rsidR="00F67E9E" w:rsidRDefault="00F67E9E" w:rsidP="007F74AA">
            <w:pPr>
              <w:pBdr>
                <w:top w:val="nil"/>
                <w:left w:val="nil"/>
                <w:bottom w:val="nil"/>
                <w:right w:val="nil"/>
                <w:between w:val="nil"/>
              </w:pBdr>
              <w:rPr>
                <w:szCs w:val="24"/>
              </w:rPr>
            </w:pPr>
            <w:r>
              <w:rPr>
                <w:szCs w:val="24"/>
                <w:highlight w:val="yellow"/>
              </w:rPr>
              <w:t>[4]</w:t>
            </w:r>
          </w:p>
        </w:tc>
        <w:tc>
          <w:tcPr>
            <w:tcW w:w="4762" w:type="dxa"/>
          </w:tcPr>
          <w:p w14:paraId="157EFEDA" w14:textId="77777777" w:rsidR="00F67E9E" w:rsidRDefault="00F67E9E" w:rsidP="007F74AA">
            <w:pPr>
              <w:pBdr>
                <w:top w:val="nil"/>
                <w:left w:val="nil"/>
                <w:bottom w:val="nil"/>
                <w:right w:val="nil"/>
                <w:between w:val="nil"/>
              </w:pBdr>
              <w:rPr>
                <w:szCs w:val="24"/>
              </w:rPr>
            </w:pPr>
            <w:r>
              <w:rPr>
                <w:szCs w:val="24"/>
                <w:highlight w:val="yellow"/>
              </w:rPr>
              <w:t>[YES/NO]</w:t>
            </w:r>
          </w:p>
        </w:tc>
      </w:tr>
      <w:tr w:rsidR="00F67E9E" w14:paraId="38BAB1C2" w14:textId="77777777" w:rsidTr="007F74AA">
        <w:tc>
          <w:tcPr>
            <w:tcW w:w="737" w:type="dxa"/>
          </w:tcPr>
          <w:p w14:paraId="5D4C6F93" w14:textId="77777777" w:rsidR="00F67E9E" w:rsidRDefault="00F67E9E" w:rsidP="007F74AA">
            <w:pPr>
              <w:pBdr>
                <w:top w:val="nil"/>
                <w:left w:val="nil"/>
                <w:bottom w:val="nil"/>
                <w:right w:val="nil"/>
                <w:between w:val="nil"/>
              </w:pBdr>
              <w:rPr>
                <w:szCs w:val="24"/>
              </w:rPr>
            </w:pPr>
            <w:r>
              <w:rPr>
                <w:szCs w:val="24"/>
              </w:rPr>
              <w:t>KPI6</w:t>
            </w:r>
          </w:p>
        </w:tc>
        <w:tc>
          <w:tcPr>
            <w:tcW w:w="2551" w:type="dxa"/>
          </w:tcPr>
          <w:p w14:paraId="58613DC2" w14:textId="77777777" w:rsidR="00F67E9E" w:rsidRDefault="00F67E9E" w:rsidP="007F74AA">
            <w:pPr>
              <w:pBdr>
                <w:top w:val="nil"/>
                <w:left w:val="nil"/>
                <w:bottom w:val="nil"/>
                <w:right w:val="nil"/>
                <w:between w:val="nil"/>
              </w:pBdr>
              <w:rPr>
                <w:szCs w:val="24"/>
                <w:highlight w:val="yellow"/>
              </w:rPr>
            </w:pPr>
            <w:r>
              <w:rPr>
                <w:szCs w:val="24"/>
                <w:highlight w:val="yellow"/>
              </w:rPr>
              <w:t>[Virtual Library Completeness]</w:t>
            </w:r>
          </w:p>
        </w:tc>
        <w:tc>
          <w:tcPr>
            <w:tcW w:w="1701" w:type="dxa"/>
          </w:tcPr>
          <w:p w14:paraId="258B0FC6" w14:textId="75AFFF25" w:rsidR="00F67E9E" w:rsidRPr="00FC322D" w:rsidRDefault="00F67E9E" w:rsidP="007F74AA">
            <w:pPr>
              <w:pBdr>
                <w:top w:val="nil"/>
                <w:left w:val="nil"/>
                <w:bottom w:val="nil"/>
                <w:right w:val="nil"/>
                <w:between w:val="nil"/>
              </w:pBdr>
              <w:rPr>
                <w:szCs w:val="24"/>
              </w:rPr>
            </w:pPr>
            <w:r w:rsidRPr="00FC322D">
              <w:rPr>
                <w:szCs w:val="24"/>
              </w:rPr>
              <w:t xml:space="preserve">See Paragraph </w:t>
            </w:r>
            <w:r w:rsidRPr="00FC322D">
              <w:rPr>
                <w:szCs w:val="24"/>
              </w:rPr>
              <w:fldChar w:fldCharType="begin"/>
            </w:r>
            <w:r w:rsidRPr="00FC322D">
              <w:rPr>
                <w:szCs w:val="24"/>
              </w:rPr>
              <w:instrText xml:space="preserve"> REF _Ref99014502 \w \h </w:instrText>
            </w:r>
            <w:r>
              <w:rPr>
                <w:szCs w:val="24"/>
              </w:rPr>
              <w:instrText xml:space="preserve"> \* MERGEFORMAT </w:instrText>
            </w:r>
            <w:r w:rsidRPr="00FC322D">
              <w:rPr>
                <w:szCs w:val="24"/>
              </w:rPr>
            </w:r>
            <w:r w:rsidRPr="00FC322D">
              <w:rPr>
                <w:szCs w:val="24"/>
              </w:rPr>
              <w:fldChar w:fldCharType="separate"/>
            </w:r>
            <w:r w:rsidR="00302D39">
              <w:rPr>
                <w:szCs w:val="24"/>
              </w:rPr>
              <w:t>7</w:t>
            </w:r>
            <w:r w:rsidRPr="00FC322D">
              <w:rPr>
                <w:szCs w:val="24"/>
              </w:rPr>
              <w:fldChar w:fldCharType="end"/>
            </w:r>
            <w:r w:rsidRPr="00FC322D">
              <w:rPr>
                <w:szCs w:val="24"/>
              </w:rPr>
              <w:t xml:space="preserve"> of </w:t>
            </w:r>
            <w:r w:rsidRPr="00FC322D">
              <w:rPr>
                <w:szCs w:val="24"/>
              </w:rPr>
              <w:fldChar w:fldCharType="begin"/>
            </w:r>
            <w:r w:rsidRPr="00FC322D">
              <w:rPr>
                <w:szCs w:val="24"/>
              </w:rPr>
              <w:instrText xml:space="preserve"> REF Sch3Ann1PartB \h </w:instrText>
            </w:r>
            <w:r>
              <w:rPr>
                <w:szCs w:val="24"/>
              </w:rPr>
              <w:instrText xml:space="preserve"> \* MERGEFORMAT </w:instrText>
            </w:r>
            <w:r w:rsidRPr="00FC322D">
              <w:rPr>
                <w:szCs w:val="24"/>
              </w:rPr>
            </w:r>
            <w:r w:rsidRPr="00FC322D">
              <w:rPr>
                <w:szCs w:val="24"/>
              </w:rPr>
              <w:fldChar w:fldCharType="separate"/>
            </w:r>
            <w:r w:rsidR="00302D39" w:rsidRPr="00302D39">
              <w:rPr>
                <w:rFonts w:cs="Arial"/>
              </w:rPr>
              <w:t>Part B</w:t>
            </w:r>
            <w:r w:rsidRPr="00FC322D">
              <w:rPr>
                <w:szCs w:val="24"/>
              </w:rPr>
              <w:fldChar w:fldCharType="end"/>
            </w:r>
            <w:r w:rsidRPr="00FC322D">
              <w:rPr>
                <w:szCs w:val="24"/>
              </w:rPr>
              <w:t xml:space="preserve"> of this Annex</w:t>
            </w:r>
          </w:p>
        </w:tc>
        <w:tc>
          <w:tcPr>
            <w:tcW w:w="1701" w:type="dxa"/>
          </w:tcPr>
          <w:p w14:paraId="62E8DFAA" w14:textId="77777777" w:rsidR="00F67E9E" w:rsidRDefault="00F67E9E" w:rsidP="007F74AA">
            <w:pPr>
              <w:pBdr>
                <w:top w:val="nil"/>
                <w:left w:val="nil"/>
                <w:bottom w:val="nil"/>
                <w:right w:val="nil"/>
                <w:between w:val="nil"/>
              </w:pBdr>
              <w:rPr>
                <w:szCs w:val="24"/>
              </w:rPr>
            </w:pPr>
          </w:p>
        </w:tc>
        <w:tc>
          <w:tcPr>
            <w:tcW w:w="2665" w:type="dxa"/>
          </w:tcPr>
          <w:p w14:paraId="1AD97A91" w14:textId="77777777" w:rsidR="00F67E9E" w:rsidRDefault="00F67E9E" w:rsidP="007F74AA">
            <w:pPr>
              <w:pBdr>
                <w:top w:val="nil"/>
                <w:left w:val="nil"/>
                <w:bottom w:val="nil"/>
                <w:right w:val="nil"/>
                <w:between w:val="nil"/>
              </w:pBdr>
              <w:rPr>
                <w:szCs w:val="24"/>
              </w:rPr>
            </w:pPr>
            <w:r>
              <w:rPr>
                <w:szCs w:val="24"/>
              </w:rPr>
              <w:t xml:space="preserve">Target Performance Level: </w:t>
            </w:r>
            <w:r>
              <w:rPr>
                <w:szCs w:val="24"/>
                <w:highlight w:val="yellow"/>
              </w:rPr>
              <w:t>[x]</w:t>
            </w:r>
            <w:r>
              <w:rPr>
                <w:szCs w:val="24"/>
              </w:rPr>
              <w:t>%</w:t>
            </w:r>
          </w:p>
          <w:p w14:paraId="243FBF2E" w14:textId="77777777" w:rsidR="00F67E9E" w:rsidRDefault="00F67E9E" w:rsidP="007F74AA">
            <w:pPr>
              <w:pBdr>
                <w:top w:val="nil"/>
                <w:left w:val="nil"/>
                <w:bottom w:val="nil"/>
                <w:right w:val="nil"/>
                <w:between w:val="nil"/>
              </w:pBdr>
              <w:rPr>
                <w:szCs w:val="24"/>
              </w:rPr>
            </w:pPr>
            <w:r>
              <w:rPr>
                <w:szCs w:val="24"/>
              </w:rPr>
              <w:t>Minor KPI Failure:</w:t>
            </w:r>
            <w:r>
              <w:rPr>
                <w:szCs w:val="24"/>
              </w:rPr>
              <w:br/>
            </w:r>
            <w:r>
              <w:rPr>
                <w:szCs w:val="24"/>
                <w:highlight w:val="yellow"/>
              </w:rPr>
              <w:t>[x]</w:t>
            </w:r>
            <w:r>
              <w:rPr>
                <w:szCs w:val="24"/>
              </w:rPr>
              <w:t>%-</w:t>
            </w:r>
            <w:r>
              <w:rPr>
                <w:szCs w:val="24"/>
                <w:highlight w:val="yellow"/>
              </w:rPr>
              <w:t>[x]</w:t>
            </w:r>
            <w:r>
              <w:rPr>
                <w:szCs w:val="24"/>
              </w:rPr>
              <w:t>%</w:t>
            </w:r>
          </w:p>
          <w:p w14:paraId="3C960B86" w14:textId="77777777" w:rsidR="00F67E9E" w:rsidRDefault="00F67E9E" w:rsidP="007F74AA">
            <w:pPr>
              <w:pBdr>
                <w:top w:val="nil"/>
                <w:left w:val="nil"/>
                <w:bottom w:val="nil"/>
                <w:right w:val="nil"/>
                <w:between w:val="nil"/>
              </w:pBdr>
              <w:rPr>
                <w:szCs w:val="24"/>
              </w:rPr>
            </w:pPr>
            <w:r>
              <w:rPr>
                <w:szCs w:val="24"/>
              </w:rPr>
              <w:t>Serious KPI Failure:</w:t>
            </w:r>
            <w:r>
              <w:rPr>
                <w:szCs w:val="24"/>
              </w:rPr>
              <w:br/>
            </w:r>
            <w:r>
              <w:rPr>
                <w:szCs w:val="24"/>
                <w:highlight w:val="yellow"/>
              </w:rPr>
              <w:t>[x]</w:t>
            </w:r>
            <w:r>
              <w:rPr>
                <w:szCs w:val="24"/>
              </w:rPr>
              <w:t>%-</w:t>
            </w:r>
            <w:r>
              <w:rPr>
                <w:szCs w:val="24"/>
                <w:highlight w:val="yellow"/>
              </w:rPr>
              <w:t>[x]</w:t>
            </w:r>
            <w:r>
              <w:rPr>
                <w:szCs w:val="24"/>
              </w:rPr>
              <w:t>%</w:t>
            </w:r>
          </w:p>
          <w:p w14:paraId="6344D5EA" w14:textId="77777777" w:rsidR="00F67E9E" w:rsidRDefault="00F67E9E" w:rsidP="007F74AA">
            <w:pPr>
              <w:pBdr>
                <w:top w:val="nil"/>
                <w:left w:val="nil"/>
                <w:bottom w:val="nil"/>
                <w:right w:val="nil"/>
                <w:between w:val="nil"/>
              </w:pBdr>
              <w:rPr>
                <w:szCs w:val="24"/>
              </w:rPr>
            </w:pPr>
            <w:r>
              <w:rPr>
                <w:szCs w:val="24"/>
              </w:rPr>
              <w:t>Severe KPI Failure:</w:t>
            </w:r>
            <w:r>
              <w:rPr>
                <w:szCs w:val="24"/>
              </w:rPr>
              <w:br/>
            </w:r>
            <w:r>
              <w:rPr>
                <w:szCs w:val="24"/>
                <w:highlight w:val="yellow"/>
              </w:rPr>
              <w:t>[x]</w:t>
            </w:r>
            <w:r>
              <w:rPr>
                <w:szCs w:val="24"/>
              </w:rPr>
              <w:t>%-</w:t>
            </w:r>
            <w:r>
              <w:rPr>
                <w:szCs w:val="24"/>
                <w:highlight w:val="yellow"/>
              </w:rPr>
              <w:t>[x]</w:t>
            </w:r>
            <w:r>
              <w:rPr>
                <w:szCs w:val="24"/>
              </w:rPr>
              <w:t>%</w:t>
            </w:r>
          </w:p>
          <w:p w14:paraId="62CF61B9" w14:textId="77777777" w:rsidR="00F67E9E" w:rsidRDefault="00F67E9E" w:rsidP="007F74AA">
            <w:pPr>
              <w:pBdr>
                <w:top w:val="nil"/>
                <w:left w:val="nil"/>
                <w:bottom w:val="nil"/>
                <w:right w:val="nil"/>
                <w:between w:val="nil"/>
              </w:pBdr>
              <w:rPr>
                <w:szCs w:val="24"/>
              </w:rPr>
            </w:pPr>
            <w:r>
              <w:rPr>
                <w:szCs w:val="24"/>
              </w:rPr>
              <w:t>KPI Service Threshold:</w:t>
            </w:r>
            <w:r>
              <w:rPr>
                <w:szCs w:val="24"/>
              </w:rPr>
              <w:br/>
              <w:t xml:space="preserve">below </w:t>
            </w:r>
            <w:r>
              <w:rPr>
                <w:szCs w:val="24"/>
                <w:highlight w:val="yellow"/>
              </w:rPr>
              <w:t>[x]</w:t>
            </w:r>
            <w:r>
              <w:rPr>
                <w:szCs w:val="24"/>
              </w:rPr>
              <w:t>%</w:t>
            </w:r>
          </w:p>
        </w:tc>
        <w:tc>
          <w:tcPr>
            <w:tcW w:w="1020" w:type="dxa"/>
          </w:tcPr>
          <w:p w14:paraId="48E4EFBE" w14:textId="77777777" w:rsidR="00F67E9E" w:rsidRDefault="00F67E9E" w:rsidP="007F74AA">
            <w:pPr>
              <w:pBdr>
                <w:top w:val="nil"/>
                <w:left w:val="nil"/>
                <w:bottom w:val="nil"/>
                <w:right w:val="nil"/>
                <w:between w:val="nil"/>
              </w:pBdr>
              <w:rPr>
                <w:szCs w:val="24"/>
              </w:rPr>
            </w:pPr>
            <w:r>
              <w:rPr>
                <w:szCs w:val="24"/>
              </w:rPr>
              <w:t>0</w:t>
            </w:r>
            <w:r>
              <w:rPr>
                <w:szCs w:val="24"/>
              </w:rPr>
              <w:br/>
            </w:r>
          </w:p>
          <w:p w14:paraId="11CE1754" w14:textId="77777777" w:rsidR="00F67E9E" w:rsidRDefault="00F67E9E" w:rsidP="007F74AA">
            <w:pPr>
              <w:pBdr>
                <w:top w:val="nil"/>
                <w:left w:val="nil"/>
                <w:bottom w:val="nil"/>
                <w:right w:val="nil"/>
                <w:between w:val="nil"/>
              </w:pBdr>
              <w:rPr>
                <w:szCs w:val="24"/>
                <w:highlight w:val="yellow"/>
              </w:rPr>
            </w:pPr>
            <w:r>
              <w:rPr>
                <w:szCs w:val="24"/>
                <w:highlight w:val="yellow"/>
              </w:rPr>
              <w:t>[1]</w:t>
            </w:r>
            <w:r>
              <w:rPr>
                <w:szCs w:val="24"/>
                <w:highlight w:val="yellow"/>
              </w:rPr>
              <w:br/>
            </w:r>
          </w:p>
          <w:p w14:paraId="2A61BA0C" w14:textId="77777777" w:rsidR="00F67E9E" w:rsidRDefault="00F67E9E" w:rsidP="007F74AA">
            <w:pPr>
              <w:pBdr>
                <w:top w:val="nil"/>
                <w:left w:val="nil"/>
                <w:bottom w:val="nil"/>
                <w:right w:val="nil"/>
                <w:between w:val="nil"/>
              </w:pBdr>
              <w:rPr>
                <w:szCs w:val="24"/>
                <w:highlight w:val="yellow"/>
              </w:rPr>
            </w:pPr>
            <w:r>
              <w:rPr>
                <w:szCs w:val="24"/>
                <w:highlight w:val="yellow"/>
              </w:rPr>
              <w:t>[2]</w:t>
            </w:r>
            <w:r>
              <w:rPr>
                <w:szCs w:val="24"/>
                <w:highlight w:val="yellow"/>
              </w:rPr>
              <w:br/>
            </w:r>
          </w:p>
          <w:p w14:paraId="022B319C" w14:textId="77777777" w:rsidR="00F67E9E" w:rsidRDefault="00F67E9E" w:rsidP="007F74AA">
            <w:pPr>
              <w:pBdr>
                <w:top w:val="nil"/>
                <w:left w:val="nil"/>
                <w:bottom w:val="nil"/>
                <w:right w:val="nil"/>
                <w:between w:val="nil"/>
              </w:pBdr>
              <w:rPr>
                <w:szCs w:val="24"/>
                <w:highlight w:val="yellow"/>
              </w:rPr>
            </w:pPr>
            <w:r>
              <w:rPr>
                <w:szCs w:val="24"/>
                <w:highlight w:val="yellow"/>
              </w:rPr>
              <w:t>[3]</w:t>
            </w:r>
            <w:r>
              <w:rPr>
                <w:szCs w:val="24"/>
                <w:highlight w:val="yellow"/>
              </w:rPr>
              <w:br/>
            </w:r>
          </w:p>
          <w:p w14:paraId="4E1AD994" w14:textId="77777777" w:rsidR="00F67E9E" w:rsidRDefault="00F67E9E" w:rsidP="007F74AA">
            <w:pPr>
              <w:pBdr>
                <w:top w:val="nil"/>
                <w:left w:val="nil"/>
                <w:bottom w:val="nil"/>
                <w:right w:val="nil"/>
                <w:between w:val="nil"/>
              </w:pBdr>
              <w:rPr>
                <w:szCs w:val="24"/>
              </w:rPr>
            </w:pPr>
            <w:r>
              <w:rPr>
                <w:szCs w:val="24"/>
                <w:highlight w:val="yellow"/>
              </w:rPr>
              <w:t>[4]</w:t>
            </w:r>
          </w:p>
        </w:tc>
        <w:tc>
          <w:tcPr>
            <w:tcW w:w="4762" w:type="dxa"/>
          </w:tcPr>
          <w:p w14:paraId="7719ED8A" w14:textId="77777777" w:rsidR="00F67E9E" w:rsidRDefault="00F67E9E" w:rsidP="007F74AA">
            <w:pPr>
              <w:pBdr>
                <w:top w:val="nil"/>
                <w:left w:val="nil"/>
                <w:bottom w:val="nil"/>
                <w:right w:val="nil"/>
                <w:between w:val="nil"/>
              </w:pBdr>
              <w:rPr>
                <w:szCs w:val="24"/>
              </w:rPr>
            </w:pPr>
            <w:r>
              <w:rPr>
                <w:szCs w:val="24"/>
                <w:highlight w:val="yellow"/>
              </w:rPr>
              <w:t>[YES/NO]</w:t>
            </w:r>
          </w:p>
        </w:tc>
      </w:tr>
      <w:tr w:rsidR="00F67E9E" w14:paraId="4B14173D" w14:textId="77777777" w:rsidTr="007F74AA">
        <w:tc>
          <w:tcPr>
            <w:tcW w:w="737" w:type="dxa"/>
          </w:tcPr>
          <w:p w14:paraId="6D42253B" w14:textId="77777777" w:rsidR="00F67E9E" w:rsidRPr="00CE01D2" w:rsidRDefault="00F67E9E" w:rsidP="007F74AA">
            <w:pPr>
              <w:pBdr>
                <w:top w:val="nil"/>
                <w:left w:val="nil"/>
                <w:bottom w:val="nil"/>
                <w:right w:val="nil"/>
                <w:between w:val="nil"/>
              </w:pBdr>
              <w:rPr>
                <w:szCs w:val="24"/>
                <w:highlight w:val="yellow"/>
              </w:rPr>
            </w:pPr>
            <w:r w:rsidRPr="00CE01D2">
              <w:rPr>
                <w:szCs w:val="24"/>
                <w:highlight w:val="yellow"/>
              </w:rPr>
              <w:t>KPI7</w:t>
            </w:r>
          </w:p>
        </w:tc>
        <w:tc>
          <w:tcPr>
            <w:tcW w:w="2551" w:type="dxa"/>
          </w:tcPr>
          <w:p w14:paraId="1D9B4CC2" w14:textId="77777777" w:rsidR="00F67E9E" w:rsidRDefault="00F67E9E" w:rsidP="007F74AA">
            <w:pPr>
              <w:pBdr>
                <w:top w:val="nil"/>
                <w:left w:val="nil"/>
                <w:bottom w:val="nil"/>
                <w:right w:val="nil"/>
                <w:between w:val="nil"/>
              </w:pBdr>
              <w:rPr>
                <w:szCs w:val="24"/>
                <w:highlight w:val="yellow"/>
              </w:rPr>
            </w:pPr>
            <w:r w:rsidRPr="00CE01D2">
              <w:rPr>
                <w:szCs w:val="24"/>
                <w:highlight w:val="yellow"/>
              </w:rPr>
              <w:t>[Social Value KPI 1]</w:t>
            </w:r>
          </w:p>
          <w:p w14:paraId="69DC7FEC" w14:textId="77777777" w:rsidR="00F67E9E" w:rsidRPr="00CE01D2" w:rsidRDefault="00F67E9E" w:rsidP="007F74AA">
            <w:pPr>
              <w:pBdr>
                <w:top w:val="nil"/>
                <w:left w:val="nil"/>
                <w:bottom w:val="nil"/>
                <w:right w:val="nil"/>
                <w:between w:val="nil"/>
              </w:pBdr>
              <w:rPr>
                <w:szCs w:val="24"/>
                <w:highlight w:val="yellow"/>
              </w:rPr>
            </w:pPr>
            <w:r>
              <w:rPr>
                <w:b/>
                <w:bCs/>
                <w:i/>
                <w:iCs/>
                <w:szCs w:val="24"/>
                <w:highlight w:val="yellow"/>
              </w:rPr>
              <w:t>[Guidance note:</w:t>
            </w:r>
            <w:r w:rsidRPr="00F97284">
              <w:rPr>
                <w:b/>
                <w:bCs/>
                <w:szCs w:val="24"/>
                <w:highlight w:val="yellow"/>
              </w:rPr>
              <w:t xml:space="preserve"> </w:t>
            </w:r>
            <w:r w:rsidRPr="00EF5BA5">
              <w:rPr>
                <w:b/>
                <w:bCs/>
                <w:i/>
                <w:iCs/>
                <w:szCs w:val="24"/>
                <w:highlight w:val="yellow"/>
              </w:rPr>
              <w:t>Contracting authorities should consider carefully whether the Social Value targets chosen should be KPIs or PIs. In a market with a mature understanding and offerings around Social Value, designating them as KPIs will be appropriate (i.e. allowing for Service Credits to be used as a remedy). In a less mature market, they should be PIs (i.e. making plans for rectification the main remedy and with the ability to withhold a proportionate amount of Service Charges until the PI failure is rectified in the case of material failure</w:t>
            </w:r>
            <w:r w:rsidRPr="00EF5BA5">
              <w:rPr>
                <w:b/>
                <w:bCs/>
                <w:i/>
                <w:iCs/>
                <w:szCs w:val="24"/>
              </w:rPr>
              <w:t>.</w:t>
            </w:r>
            <w:r w:rsidRPr="00EF5BA5">
              <w:rPr>
                <w:b/>
                <w:bCs/>
                <w:szCs w:val="24"/>
              </w:rPr>
              <w:t>]</w:t>
            </w:r>
          </w:p>
        </w:tc>
        <w:tc>
          <w:tcPr>
            <w:tcW w:w="1701" w:type="dxa"/>
          </w:tcPr>
          <w:p w14:paraId="4B246B95" w14:textId="77777777" w:rsidR="00F67E9E" w:rsidRDefault="00F67E9E" w:rsidP="007F74AA">
            <w:pPr>
              <w:pBdr>
                <w:top w:val="nil"/>
                <w:left w:val="nil"/>
                <w:bottom w:val="nil"/>
                <w:right w:val="nil"/>
                <w:between w:val="nil"/>
              </w:pBdr>
              <w:rPr>
                <w:szCs w:val="24"/>
                <w:highlight w:val="yellow"/>
              </w:rPr>
            </w:pPr>
            <w:r w:rsidRPr="00B73DD6">
              <w:rPr>
                <w:b/>
                <w:bCs/>
                <w:szCs w:val="24"/>
                <w:highlight w:val="yellow"/>
              </w:rPr>
              <w:t>[insert</w:t>
            </w:r>
            <w:r w:rsidRPr="00CE01D2">
              <w:rPr>
                <w:szCs w:val="24"/>
                <w:highlight w:val="yellow"/>
              </w:rPr>
              <w:t xml:space="preserve"> definition]</w:t>
            </w:r>
          </w:p>
        </w:tc>
        <w:tc>
          <w:tcPr>
            <w:tcW w:w="1701" w:type="dxa"/>
          </w:tcPr>
          <w:p w14:paraId="4F400DB7" w14:textId="77777777" w:rsidR="00F67E9E" w:rsidRDefault="00F67E9E" w:rsidP="007F74AA">
            <w:pPr>
              <w:pBdr>
                <w:top w:val="nil"/>
                <w:left w:val="nil"/>
                <w:bottom w:val="nil"/>
                <w:right w:val="nil"/>
                <w:between w:val="nil"/>
              </w:pBdr>
              <w:rPr>
                <w:szCs w:val="24"/>
                <w:highlight w:val="yellow"/>
              </w:rPr>
            </w:pPr>
          </w:p>
        </w:tc>
        <w:tc>
          <w:tcPr>
            <w:tcW w:w="2665" w:type="dxa"/>
          </w:tcPr>
          <w:p w14:paraId="675B1678" w14:textId="77777777" w:rsidR="00F67E9E" w:rsidRDefault="00F67E9E" w:rsidP="007F74AA">
            <w:pPr>
              <w:rPr>
                <w:szCs w:val="24"/>
                <w:highlight w:val="yellow"/>
              </w:rPr>
            </w:pPr>
            <w:r>
              <w:rPr>
                <w:szCs w:val="24"/>
              </w:rPr>
              <w:t xml:space="preserve">Target Performance Level: </w:t>
            </w:r>
            <w:r>
              <w:rPr>
                <w:szCs w:val="24"/>
                <w:highlight w:val="yellow"/>
              </w:rPr>
              <w:t>[ ]</w:t>
            </w:r>
          </w:p>
          <w:p w14:paraId="2C79F680" w14:textId="77777777" w:rsidR="00F67E9E" w:rsidRDefault="00F67E9E" w:rsidP="007F74AA">
            <w:pPr>
              <w:rPr>
                <w:szCs w:val="24"/>
                <w:highlight w:val="yellow"/>
              </w:rPr>
            </w:pPr>
            <w:r>
              <w:rPr>
                <w:szCs w:val="24"/>
              </w:rPr>
              <w:t xml:space="preserve">Minor KPI Failure: </w:t>
            </w:r>
            <w:r>
              <w:rPr>
                <w:szCs w:val="24"/>
                <w:highlight w:val="yellow"/>
              </w:rPr>
              <w:t>[ ]</w:t>
            </w:r>
          </w:p>
          <w:p w14:paraId="5DF25E78" w14:textId="77777777" w:rsidR="00F67E9E" w:rsidRDefault="00F67E9E" w:rsidP="007F74AA">
            <w:pPr>
              <w:rPr>
                <w:szCs w:val="24"/>
                <w:highlight w:val="yellow"/>
              </w:rPr>
            </w:pPr>
            <w:r>
              <w:rPr>
                <w:szCs w:val="24"/>
              </w:rPr>
              <w:t xml:space="preserve">Serious KPI Failure: </w:t>
            </w:r>
            <w:r>
              <w:rPr>
                <w:szCs w:val="24"/>
                <w:highlight w:val="yellow"/>
              </w:rPr>
              <w:t>[ ]</w:t>
            </w:r>
          </w:p>
          <w:p w14:paraId="361F16DC" w14:textId="77777777" w:rsidR="00F67E9E" w:rsidRDefault="00F67E9E" w:rsidP="007F74AA">
            <w:pPr>
              <w:rPr>
                <w:szCs w:val="24"/>
              </w:rPr>
            </w:pPr>
            <w:r>
              <w:rPr>
                <w:szCs w:val="24"/>
              </w:rPr>
              <w:t xml:space="preserve">Severe KPI Failure: </w:t>
            </w:r>
            <w:r>
              <w:rPr>
                <w:szCs w:val="24"/>
                <w:highlight w:val="yellow"/>
              </w:rPr>
              <w:t>[ ]</w:t>
            </w:r>
          </w:p>
          <w:p w14:paraId="61BCB3A9" w14:textId="77777777" w:rsidR="00F67E9E" w:rsidRDefault="00F67E9E" w:rsidP="007F74AA">
            <w:pPr>
              <w:rPr>
                <w:szCs w:val="24"/>
                <w:highlight w:val="yellow"/>
              </w:rPr>
            </w:pPr>
            <w:r>
              <w:rPr>
                <w:szCs w:val="24"/>
              </w:rPr>
              <w:t xml:space="preserve">Service Threshold: </w:t>
            </w:r>
            <w:r>
              <w:rPr>
                <w:szCs w:val="24"/>
                <w:highlight w:val="yellow"/>
              </w:rPr>
              <w:t>[ ]</w:t>
            </w:r>
          </w:p>
        </w:tc>
        <w:tc>
          <w:tcPr>
            <w:tcW w:w="1020" w:type="dxa"/>
          </w:tcPr>
          <w:p w14:paraId="1F454E03" w14:textId="77777777" w:rsidR="00F67E9E" w:rsidRDefault="00F67E9E" w:rsidP="007F74AA">
            <w:pPr>
              <w:rPr>
                <w:szCs w:val="24"/>
                <w:highlight w:val="yellow"/>
              </w:rPr>
            </w:pPr>
            <w:r>
              <w:rPr>
                <w:szCs w:val="24"/>
              </w:rPr>
              <w:t>0</w:t>
            </w:r>
            <w:r>
              <w:rPr>
                <w:szCs w:val="24"/>
              </w:rPr>
              <w:br/>
            </w:r>
          </w:p>
          <w:p w14:paraId="40CE86FB" w14:textId="77777777" w:rsidR="00F67E9E" w:rsidRDefault="00F67E9E" w:rsidP="007F74AA">
            <w:pPr>
              <w:rPr>
                <w:szCs w:val="24"/>
                <w:highlight w:val="yellow"/>
              </w:rPr>
            </w:pPr>
            <w:r>
              <w:rPr>
                <w:szCs w:val="24"/>
                <w:highlight w:val="yellow"/>
              </w:rPr>
              <w:t>[1]</w:t>
            </w:r>
          </w:p>
          <w:p w14:paraId="4E1D265F" w14:textId="77777777" w:rsidR="00F67E9E" w:rsidRDefault="00F67E9E" w:rsidP="007F74AA">
            <w:pPr>
              <w:rPr>
                <w:szCs w:val="24"/>
                <w:highlight w:val="yellow"/>
              </w:rPr>
            </w:pPr>
            <w:r>
              <w:rPr>
                <w:szCs w:val="24"/>
                <w:highlight w:val="yellow"/>
              </w:rPr>
              <w:t>[2]</w:t>
            </w:r>
          </w:p>
          <w:p w14:paraId="4F55E686" w14:textId="77777777" w:rsidR="00F67E9E" w:rsidRDefault="00F67E9E" w:rsidP="007F74AA">
            <w:pPr>
              <w:rPr>
                <w:szCs w:val="24"/>
                <w:highlight w:val="yellow"/>
              </w:rPr>
            </w:pPr>
            <w:r>
              <w:rPr>
                <w:szCs w:val="24"/>
                <w:highlight w:val="yellow"/>
              </w:rPr>
              <w:t>[3]</w:t>
            </w:r>
          </w:p>
          <w:p w14:paraId="2D797E9E" w14:textId="77777777" w:rsidR="00F67E9E" w:rsidRPr="00CE01D2" w:rsidRDefault="00F67E9E" w:rsidP="007F74AA">
            <w:pPr>
              <w:rPr>
                <w:szCs w:val="24"/>
              </w:rPr>
            </w:pPr>
            <w:r>
              <w:rPr>
                <w:szCs w:val="24"/>
                <w:highlight w:val="yellow"/>
              </w:rPr>
              <w:t>[4]</w:t>
            </w:r>
          </w:p>
        </w:tc>
        <w:tc>
          <w:tcPr>
            <w:tcW w:w="4762" w:type="dxa"/>
          </w:tcPr>
          <w:p w14:paraId="28FB485E" w14:textId="77777777" w:rsidR="00F67E9E" w:rsidRDefault="00F67E9E" w:rsidP="007F74AA">
            <w:pPr>
              <w:rPr>
                <w:szCs w:val="24"/>
                <w:highlight w:val="yellow"/>
              </w:rPr>
            </w:pPr>
            <w:r>
              <w:rPr>
                <w:szCs w:val="24"/>
                <w:highlight w:val="yellow"/>
              </w:rPr>
              <w:t>[YES/NO]</w:t>
            </w:r>
          </w:p>
        </w:tc>
      </w:tr>
      <w:tr w:rsidR="00F67E9E" w14:paraId="5FCA38AA" w14:textId="77777777" w:rsidTr="007F74AA">
        <w:tc>
          <w:tcPr>
            <w:tcW w:w="737" w:type="dxa"/>
          </w:tcPr>
          <w:p w14:paraId="5CCC57E0" w14:textId="77777777" w:rsidR="00F67E9E" w:rsidRPr="00CE01D2" w:rsidRDefault="00F67E9E" w:rsidP="007F74AA">
            <w:pPr>
              <w:pBdr>
                <w:top w:val="nil"/>
                <w:left w:val="nil"/>
                <w:bottom w:val="nil"/>
                <w:right w:val="nil"/>
                <w:between w:val="nil"/>
              </w:pBdr>
              <w:rPr>
                <w:highlight w:val="yellow"/>
              </w:rPr>
            </w:pPr>
            <w:r w:rsidRPr="00CE01D2">
              <w:rPr>
                <w:szCs w:val="24"/>
                <w:highlight w:val="yellow"/>
              </w:rPr>
              <w:t>KPI</w:t>
            </w:r>
            <w:r>
              <w:rPr>
                <w:szCs w:val="24"/>
                <w:highlight w:val="yellow"/>
              </w:rPr>
              <w:t>8</w:t>
            </w:r>
          </w:p>
        </w:tc>
        <w:tc>
          <w:tcPr>
            <w:tcW w:w="2551" w:type="dxa"/>
          </w:tcPr>
          <w:p w14:paraId="2654089D" w14:textId="77777777" w:rsidR="00F67E9E" w:rsidRPr="00CE01D2" w:rsidRDefault="00F67E9E" w:rsidP="007F74AA">
            <w:pPr>
              <w:pBdr>
                <w:top w:val="nil"/>
                <w:left w:val="nil"/>
                <w:bottom w:val="nil"/>
                <w:right w:val="nil"/>
                <w:between w:val="nil"/>
              </w:pBdr>
              <w:rPr>
                <w:highlight w:val="yellow"/>
              </w:rPr>
            </w:pPr>
            <w:r w:rsidRPr="00CE01D2">
              <w:rPr>
                <w:szCs w:val="24"/>
                <w:highlight w:val="yellow"/>
              </w:rPr>
              <w:t xml:space="preserve">[Social Value KPI </w:t>
            </w:r>
            <w:r>
              <w:rPr>
                <w:szCs w:val="24"/>
                <w:highlight w:val="yellow"/>
              </w:rPr>
              <w:t>2</w:t>
            </w:r>
            <w:r w:rsidRPr="00CE01D2">
              <w:rPr>
                <w:szCs w:val="24"/>
                <w:highlight w:val="yellow"/>
              </w:rPr>
              <w:t>]</w:t>
            </w:r>
          </w:p>
        </w:tc>
        <w:tc>
          <w:tcPr>
            <w:tcW w:w="1701" w:type="dxa"/>
          </w:tcPr>
          <w:p w14:paraId="00DB3985" w14:textId="77777777" w:rsidR="00F67E9E" w:rsidRDefault="00F67E9E" w:rsidP="007F74AA">
            <w:pPr>
              <w:pBdr>
                <w:top w:val="nil"/>
                <w:left w:val="nil"/>
                <w:bottom w:val="nil"/>
                <w:right w:val="nil"/>
                <w:between w:val="nil"/>
              </w:pBdr>
            </w:pPr>
            <w:r w:rsidRPr="00B73DD6">
              <w:rPr>
                <w:b/>
                <w:bCs/>
                <w:szCs w:val="24"/>
                <w:highlight w:val="yellow"/>
              </w:rPr>
              <w:t>[insert</w:t>
            </w:r>
            <w:r w:rsidRPr="00CE01D2">
              <w:rPr>
                <w:szCs w:val="24"/>
                <w:highlight w:val="yellow"/>
              </w:rPr>
              <w:t xml:space="preserve"> definition]</w:t>
            </w:r>
          </w:p>
        </w:tc>
        <w:tc>
          <w:tcPr>
            <w:tcW w:w="1701" w:type="dxa"/>
          </w:tcPr>
          <w:p w14:paraId="753A458E" w14:textId="77777777" w:rsidR="00F67E9E" w:rsidRDefault="00F67E9E" w:rsidP="007F74AA">
            <w:pPr>
              <w:pBdr>
                <w:top w:val="nil"/>
                <w:left w:val="nil"/>
                <w:bottom w:val="nil"/>
                <w:right w:val="nil"/>
                <w:between w:val="nil"/>
              </w:pBdr>
            </w:pPr>
          </w:p>
        </w:tc>
        <w:tc>
          <w:tcPr>
            <w:tcW w:w="2665" w:type="dxa"/>
          </w:tcPr>
          <w:p w14:paraId="578B592A" w14:textId="77777777" w:rsidR="00F67E9E" w:rsidRDefault="00F67E9E" w:rsidP="007F74AA">
            <w:pPr>
              <w:rPr>
                <w:szCs w:val="24"/>
                <w:highlight w:val="yellow"/>
              </w:rPr>
            </w:pPr>
            <w:r>
              <w:rPr>
                <w:szCs w:val="24"/>
              </w:rPr>
              <w:t xml:space="preserve">Target Performance Level: </w:t>
            </w:r>
            <w:r>
              <w:rPr>
                <w:szCs w:val="24"/>
                <w:highlight w:val="yellow"/>
              </w:rPr>
              <w:t>[ ]</w:t>
            </w:r>
          </w:p>
          <w:p w14:paraId="17E879F3" w14:textId="77777777" w:rsidR="00F67E9E" w:rsidRDefault="00F67E9E" w:rsidP="007F74AA">
            <w:pPr>
              <w:rPr>
                <w:szCs w:val="24"/>
                <w:highlight w:val="yellow"/>
              </w:rPr>
            </w:pPr>
            <w:r>
              <w:rPr>
                <w:szCs w:val="24"/>
              </w:rPr>
              <w:t xml:space="preserve">Minor KPI Failure: </w:t>
            </w:r>
            <w:r>
              <w:rPr>
                <w:szCs w:val="24"/>
                <w:highlight w:val="yellow"/>
              </w:rPr>
              <w:t>[ ]</w:t>
            </w:r>
          </w:p>
          <w:p w14:paraId="4C9B2303" w14:textId="77777777" w:rsidR="00F67E9E" w:rsidRDefault="00F67E9E" w:rsidP="007F74AA">
            <w:pPr>
              <w:rPr>
                <w:szCs w:val="24"/>
                <w:highlight w:val="yellow"/>
              </w:rPr>
            </w:pPr>
            <w:r>
              <w:rPr>
                <w:szCs w:val="24"/>
              </w:rPr>
              <w:t xml:space="preserve">Serious KPI Failure: </w:t>
            </w:r>
            <w:r>
              <w:rPr>
                <w:szCs w:val="24"/>
                <w:highlight w:val="yellow"/>
              </w:rPr>
              <w:t>[ ]</w:t>
            </w:r>
          </w:p>
          <w:p w14:paraId="769B0BB8" w14:textId="77777777" w:rsidR="00F67E9E" w:rsidRDefault="00F67E9E" w:rsidP="007F74AA">
            <w:pPr>
              <w:rPr>
                <w:szCs w:val="24"/>
              </w:rPr>
            </w:pPr>
            <w:r>
              <w:rPr>
                <w:szCs w:val="24"/>
              </w:rPr>
              <w:t xml:space="preserve">Severe KPI Failure: </w:t>
            </w:r>
            <w:r>
              <w:rPr>
                <w:szCs w:val="24"/>
                <w:highlight w:val="yellow"/>
              </w:rPr>
              <w:t>[ ]</w:t>
            </w:r>
          </w:p>
          <w:p w14:paraId="351D85AF" w14:textId="77777777" w:rsidR="00F67E9E" w:rsidRDefault="00F67E9E" w:rsidP="007F74AA">
            <w:pPr>
              <w:rPr>
                <w:szCs w:val="24"/>
              </w:rPr>
            </w:pPr>
            <w:r>
              <w:rPr>
                <w:szCs w:val="24"/>
              </w:rPr>
              <w:t xml:space="preserve">Service Threshold: </w:t>
            </w:r>
            <w:r>
              <w:rPr>
                <w:szCs w:val="24"/>
                <w:highlight w:val="yellow"/>
              </w:rPr>
              <w:t>[ ]</w:t>
            </w:r>
          </w:p>
        </w:tc>
        <w:tc>
          <w:tcPr>
            <w:tcW w:w="1020" w:type="dxa"/>
          </w:tcPr>
          <w:p w14:paraId="489E5D85" w14:textId="77777777" w:rsidR="00F67E9E" w:rsidRPr="00CE01D2" w:rsidRDefault="00F67E9E" w:rsidP="007F74AA">
            <w:pPr>
              <w:rPr>
                <w:szCs w:val="24"/>
              </w:rPr>
            </w:pPr>
            <w:r>
              <w:rPr>
                <w:szCs w:val="24"/>
              </w:rPr>
              <w:t>0</w:t>
            </w:r>
            <w:r>
              <w:rPr>
                <w:szCs w:val="24"/>
              </w:rPr>
              <w:br/>
            </w:r>
          </w:p>
          <w:p w14:paraId="7E769413" w14:textId="77777777" w:rsidR="00F67E9E" w:rsidRDefault="00F67E9E" w:rsidP="007F74AA">
            <w:pPr>
              <w:rPr>
                <w:szCs w:val="24"/>
                <w:highlight w:val="yellow"/>
              </w:rPr>
            </w:pPr>
            <w:r>
              <w:rPr>
                <w:szCs w:val="24"/>
                <w:highlight w:val="yellow"/>
              </w:rPr>
              <w:t>[1]</w:t>
            </w:r>
          </w:p>
          <w:p w14:paraId="261B9829" w14:textId="77777777" w:rsidR="00F67E9E" w:rsidRDefault="00F67E9E" w:rsidP="007F74AA">
            <w:pPr>
              <w:rPr>
                <w:szCs w:val="24"/>
                <w:highlight w:val="yellow"/>
              </w:rPr>
            </w:pPr>
            <w:r>
              <w:rPr>
                <w:szCs w:val="24"/>
                <w:highlight w:val="yellow"/>
              </w:rPr>
              <w:t>[2]</w:t>
            </w:r>
          </w:p>
          <w:p w14:paraId="0BA92F18" w14:textId="77777777" w:rsidR="00F67E9E" w:rsidRDefault="00F67E9E" w:rsidP="007F74AA">
            <w:pPr>
              <w:rPr>
                <w:szCs w:val="24"/>
                <w:highlight w:val="yellow"/>
              </w:rPr>
            </w:pPr>
            <w:r>
              <w:rPr>
                <w:szCs w:val="24"/>
                <w:highlight w:val="yellow"/>
              </w:rPr>
              <w:t>[3]</w:t>
            </w:r>
          </w:p>
          <w:p w14:paraId="74806928" w14:textId="77777777" w:rsidR="00F67E9E" w:rsidRDefault="00F67E9E" w:rsidP="007F74AA">
            <w:pPr>
              <w:rPr>
                <w:szCs w:val="24"/>
              </w:rPr>
            </w:pPr>
            <w:r>
              <w:rPr>
                <w:szCs w:val="24"/>
                <w:highlight w:val="yellow"/>
              </w:rPr>
              <w:t>[4]</w:t>
            </w:r>
          </w:p>
        </w:tc>
        <w:tc>
          <w:tcPr>
            <w:tcW w:w="4762" w:type="dxa"/>
          </w:tcPr>
          <w:p w14:paraId="7D4F21A2" w14:textId="77777777" w:rsidR="00F67E9E" w:rsidRDefault="00F67E9E" w:rsidP="007F74AA">
            <w:r>
              <w:rPr>
                <w:szCs w:val="24"/>
                <w:highlight w:val="yellow"/>
              </w:rPr>
              <w:t>[YES/NO]</w:t>
            </w:r>
          </w:p>
        </w:tc>
      </w:tr>
      <w:tr w:rsidR="00F67E9E" w14:paraId="1EAD726E" w14:textId="77777777" w:rsidTr="007F74AA">
        <w:tc>
          <w:tcPr>
            <w:tcW w:w="737" w:type="dxa"/>
          </w:tcPr>
          <w:p w14:paraId="6BECB27D" w14:textId="77777777" w:rsidR="00F67E9E" w:rsidRPr="00CE01D2" w:rsidRDefault="00F67E9E" w:rsidP="007F74AA">
            <w:pPr>
              <w:pBdr>
                <w:top w:val="nil"/>
                <w:left w:val="nil"/>
                <w:bottom w:val="nil"/>
                <w:right w:val="nil"/>
                <w:between w:val="nil"/>
              </w:pBdr>
              <w:rPr>
                <w:highlight w:val="yellow"/>
              </w:rPr>
            </w:pPr>
            <w:r w:rsidRPr="00CE01D2">
              <w:rPr>
                <w:szCs w:val="24"/>
                <w:highlight w:val="yellow"/>
              </w:rPr>
              <w:t>KPI</w:t>
            </w:r>
            <w:r>
              <w:rPr>
                <w:szCs w:val="24"/>
                <w:highlight w:val="yellow"/>
              </w:rPr>
              <w:t>9</w:t>
            </w:r>
          </w:p>
        </w:tc>
        <w:tc>
          <w:tcPr>
            <w:tcW w:w="2551" w:type="dxa"/>
          </w:tcPr>
          <w:p w14:paraId="7288525A" w14:textId="77777777" w:rsidR="00F67E9E" w:rsidRPr="00CE01D2" w:rsidRDefault="00F67E9E" w:rsidP="007F74AA">
            <w:pPr>
              <w:pBdr>
                <w:top w:val="nil"/>
                <w:left w:val="nil"/>
                <w:bottom w:val="nil"/>
                <w:right w:val="nil"/>
                <w:between w:val="nil"/>
              </w:pBdr>
              <w:rPr>
                <w:highlight w:val="yellow"/>
              </w:rPr>
            </w:pPr>
            <w:r w:rsidRPr="00CE01D2">
              <w:rPr>
                <w:szCs w:val="24"/>
                <w:highlight w:val="yellow"/>
              </w:rPr>
              <w:t xml:space="preserve">[Social Value KPI </w:t>
            </w:r>
            <w:r>
              <w:rPr>
                <w:szCs w:val="24"/>
                <w:highlight w:val="yellow"/>
              </w:rPr>
              <w:t>3</w:t>
            </w:r>
            <w:r w:rsidRPr="00CE01D2">
              <w:rPr>
                <w:szCs w:val="24"/>
                <w:highlight w:val="yellow"/>
              </w:rPr>
              <w:t>]</w:t>
            </w:r>
          </w:p>
        </w:tc>
        <w:tc>
          <w:tcPr>
            <w:tcW w:w="1701" w:type="dxa"/>
          </w:tcPr>
          <w:p w14:paraId="72CC4B17" w14:textId="77777777" w:rsidR="00F67E9E" w:rsidRDefault="00F67E9E" w:rsidP="007F74AA">
            <w:pPr>
              <w:pBdr>
                <w:top w:val="nil"/>
                <w:left w:val="nil"/>
                <w:bottom w:val="nil"/>
                <w:right w:val="nil"/>
                <w:between w:val="nil"/>
              </w:pBdr>
            </w:pPr>
            <w:r w:rsidRPr="00B73DD6">
              <w:rPr>
                <w:b/>
                <w:bCs/>
                <w:szCs w:val="24"/>
                <w:highlight w:val="yellow"/>
              </w:rPr>
              <w:t>[insert</w:t>
            </w:r>
            <w:r w:rsidRPr="00CE01D2">
              <w:rPr>
                <w:szCs w:val="24"/>
                <w:highlight w:val="yellow"/>
              </w:rPr>
              <w:t xml:space="preserve"> definition]</w:t>
            </w:r>
          </w:p>
        </w:tc>
        <w:tc>
          <w:tcPr>
            <w:tcW w:w="1701" w:type="dxa"/>
          </w:tcPr>
          <w:p w14:paraId="2269B010" w14:textId="77777777" w:rsidR="00F67E9E" w:rsidRDefault="00F67E9E" w:rsidP="007F74AA">
            <w:pPr>
              <w:pBdr>
                <w:top w:val="nil"/>
                <w:left w:val="nil"/>
                <w:bottom w:val="nil"/>
                <w:right w:val="nil"/>
                <w:between w:val="nil"/>
              </w:pBdr>
            </w:pPr>
          </w:p>
        </w:tc>
        <w:tc>
          <w:tcPr>
            <w:tcW w:w="2665" w:type="dxa"/>
          </w:tcPr>
          <w:p w14:paraId="4B940F48" w14:textId="77777777" w:rsidR="00F67E9E" w:rsidRDefault="00F67E9E" w:rsidP="007F74AA">
            <w:pPr>
              <w:rPr>
                <w:szCs w:val="24"/>
                <w:highlight w:val="yellow"/>
              </w:rPr>
            </w:pPr>
            <w:r>
              <w:rPr>
                <w:szCs w:val="24"/>
              </w:rPr>
              <w:t xml:space="preserve">Target Performance Level: </w:t>
            </w:r>
            <w:r>
              <w:rPr>
                <w:szCs w:val="24"/>
                <w:highlight w:val="yellow"/>
              </w:rPr>
              <w:t>[ ]</w:t>
            </w:r>
          </w:p>
          <w:p w14:paraId="0A1B2336" w14:textId="77777777" w:rsidR="00F67E9E" w:rsidRDefault="00F67E9E" w:rsidP="007F74AA">
            <w:pPr>
              <w:rPr>
                <w:szCs w:val="24"/>
                <w:highlight w:val="yellow"/>
              </w:rPr>
            </w:pPr>
            <w:r>
              <w:rPr>
                <w:szCs w:val="24"/>
              </w:rPr>
              <w:t xml:space="preserve">Minor KPI Failure: </w:t>
            </w:r>
            <w:r>
              <w:rPr>
                <w:szCs w:val="24"/>
                <w:highlight w:val="yellow"/>
              </w:rPr>
              <w:t>[ ]</w:t>
            </w:r>
          </w:p>
          <w:p w14:paraId="4E22913A" w14:textId="77777777" w:rsidR="00F67E9E" w:rsidRDefault="00F67E9E" w:rsidP="007F74AA">
            <w:pPr>
              <w:rPr>
                <w:szCs w:val="24"/>
                <w:highlight w:val="yellow"/>
              </w:rPr>
            </w:pPr>
            <w:r>
              <w:rPr>
                <w:szCs w:val="24"/>
              </w:rPr>
              <w:t xml:space="preserve">Serious KPI Failure: </w:t>
            </w:r>
            <w:r>
              <w:rPr>
                <w:szCs w:val="24"/>
                <w:highlight w:val="yellow"/>
              </w:rPr>
              <w:t>[ ]</w:t>
            </w:r>
          </w:p>
          <w:p w14:paraId="1F2A4A45" w14:textId="77777777" w:rsidR="00F67E9E" w:rsidRDefault="00F67E9E" w:rsidP="007F74AA">
            <w:pPr>
              <w:rPr>
                <w:szCs w:val="24"/>
              </w:rPr>
            </w:pPr>
            <w:r>
              <w:rPr>
                <w:szCs w:val="24"/>
              </w:rPr>
              <w:t xml:space="preserve">Severe KPI Failure: </w:t>
            </w:r>
            <w:r>
              <w:rPr>
                <w:szCs w:val="24"/>
                <w:highlight w:val="yellow"/>
              </w:rPr>
              <w:t>[ ]</w:t>
            </w:r>
          </w:p>
          <w:p w14:paraId="346FF7A2" w14:textId="77777777" w:rsidR="00F67E9E" w:rsidRDefault="00F67E9E" w:rsidP="007F74AA">
            <w:pPr>
              <w:rPr>
                <w:szCs w:val="24"/>
              </w:rPr>
            </w:pPr>
            <w:r>
              <w:rPr>
                <w:szCs w:val="24"/>
              </w:rPr>
              <w:t xml:space="preserve">Service Threshold: </w:t>
            </w:r>
            <w:r>
              <w:rPr>
                <w:szCs w:val="24"/>
                <w:highlight w:val="yellow"/>
              </w:rPr>
              <w:t>[ ]</w:t>
            </w:r>
          </w:p>
        </w:tc>
        <w:tc>
          <w:tcPr>
            <w:tcW w:w="1020" w:type="dxa"/>
          </w:tcPr>
          <w:p w14:paraId="467BCF07" w14:textId="77777777" w:rsidR="00F67E9E" w:rsidRPr="00CE01D2" w:rsidRDefault="00F67E9E" w:rsidP="007F74AA">
            <w:pPr>
              <w:rPr>
                <w:szCs w:val="24"/>
              </w:rPr>
            </w:pPr>
            <w:r>
              <w:rPr>
                <w:szCs w:val="24"/>
              </w:rPr>
              <w:t>0</w:t>
            </w:r>
            <w:r>
              <w:rPr>
                <w:szCs w:val="24"/>
              </w:rPr>
              <w:br/>
            </w:r>
          </w:p>
          <w:p w14:paraId="16C21CD5" w14:textId="77777777" w:rsidR="00F67E9E" w:rsidRDefault="00F67E9E" w:rsidP="007F74AA">
            <w:pPr>
              <w:rPr>
                <w:szCs w:val="24"/>
                <w:highlight w:val="yellow"/>
              </w:rPr>
            </w:pPr>
            <w:r>
              <w:rPr>
                <w:szCs w:val="24"/>
                <w:highlight w:val="yellow"/>
              </w:rPr>
              <w:t>[1]</w:t>
            </w:r>
          </w:p>
          <w:p w14:paraId="2FD8D053" w14:textId="77777777" w:rsidR="00F67E9E" w:rsidRDefault="00F67E9E" w:rsidP="007F74AA">
            <w:pPr>
              <w:rPr>
                <w:szCs w:val="24"/>
                <w:highlight w:val="yellow"/>
              </w:rPr>
            </w:pPr>
            <w:r>
              <w:rPr>
                <w:szCs w:val="24"/>
                <w:highlight w:val="yellow"/>
              </w:rPr>
              <w:t>[2]</w:t>
            </w:r>
          </w:p>
          <w:p w14:paraId="2BBCDBCB" w14:textId="77777777" w:rsidR="00F67E9E" w:rsidRDefault="00F67E9E" w:rsidP="007F74AA">
            <w:pPr>
              <w:rPr>
                <w:szCs w:val="24"/>
                <w:highlight w:val="yellow"/>
              </w:rPr>
            </w:pPr>
            <w:r>
              <w:rPr>
                <w:szCs w:val="24"/>
                <w:highlight w:val="yellow"/>
              </w:rPr>
              <w:t>[3]</w:t>
            </w:r>
          </w:p>
          <w:p w14:paraId="0748B3D8" w14:textId="77777777" w:rsidR="00F67E9E" w:rsidRDefault="00F67E9E" w:rsidP="007F74AA">
            <w:pPr>
              <w:rPr>
                <w:szCs w:val="24"/>
              </w:rPr>
            </w:pPr>
            <w:r>
              <w:rPr>
                <w:szCs w:val="24"/>
                <w:highlight w:val="yellow"/>
              </w:rPr>
              <w:t>[4]</w:t>
            </w:r>
          </w:p>
        </w:tc>
        <w:tc>
          <w:tcPr>
            <w:tcW w:w="4762" w:type="dxa"/>
          </w:tcPr>
          <w:p w14:paraId="0B2828AF" w14:textId="77777777" w:rsidR="00F67E9E" w:rsidRDefault="00F67E9E" w:rsidP="007F74AA">
            <w:r>
              <w:rPr>
                <w:szCs w:val="24"/>
                <w:highlight w:val="yellow"/>
              </w:rPr>
              <w:t>[YES/NO]</w:t>
            </w:r>
          </w:p>
        </w:tc>
      </w:tr>
    </w:tbl>
    <w:p w14:paraId="7F0BA9EB" w14:textId="77777777" w:rsidR="00F67E9E" w:rsidRDefault="00F67E9E" w:rsidP="00F67E9E"/>
    <w:p w14:paraId="7D8292E7" w14:textId="77777777" w:rsidR="00F67E9E" w:rsidRPr="008C01F0" w:rsidRDefault="00F67E9E" w:rsidP="00F67E9E">
      <w:pPr>
        <w:pStyle w:val="Heading3"/>
        <w:numPr>
          <w:ilvl w:val="0"/>
          <w:numId w:val="36"/>
        </w:numPr>
        <w:ind w:left="1440" w:hanging="1440"/>
      </w:pPr>
      <w:r w:rsidRPr="009E1FEF">
        <w:t>Subsidiary Performance Indicators</w:t>
      </w:r>
    </w:p>
    <w:tbl>
      <w:tblPr>
        <w:tblStyle w:val="MSATable-header"/>
        <w:tblW w:w="15137" w:type="dxa"/>
        <w:tblLayout w:type="fixed"/>
        <w:tblLook w:val="0620" w:firstRow="1" w:lastRow="0" w:firstColumn="0" w:lastColumn="0" w:noHBand="1" w:noVBand="1"/>
      </w:tblPr>
      <w:tblGrid>
        <w:gridCol w:w="680"/>
        <w:gridCol w:w="2551"/>
        <w:gridCol w:w="1701"/>
        <w:gridCol w:w="1814"/>
        <w:gridCol w:w="3005"/>
        <w:gridCol w:w="5386"/>
      </w:tblGrid>
      <w:tr w:rsidR="00F67E9E" w:rsidRPr="009B681D" w14:paraId="285891F9" w14:textId="77777777" w:rsidTr="007F74AA">
        <w:trPr>
          <w:cnfStyle w:val="100000000000" w:firstRow="1" w:lastRow="0" w:firstColumn="0" w:lastColumn="0" w:oddVBand="0" w:evenVBand="0" w:oddHBand="0" w:evenHBand="0" w:firstRowFirstColumn="0" w:firstRowLastColumn="0" w:lastRowFirstColumn="0" w:lastRowLastColumn="0"/>
          <w:tblHeader/>
        </w:trPr>
        <w:tc>
          <w:tcPr>
            <w:tcW w:w="680" w:type="dxa"/>
          </w:tcPr>
          <w:p w14:paraId="154AB5E9" w14:textId="77777777" w:rsidR="00F67E9E" w:rsidRPr="009B681D" w:rsidRDefault="00F67E9E" w:rsidP="007F74AA">
            <w:pPr>
              <w:pBdr>
                <w:top w:val="nil"/>
                <w:left w:val="nil"/>
                <w:bottom w:val="nil"/>
                <w:right w:val="nil"/>
                <w:between w:val="nil"/>
              </w:pBdr>
              <w:rPr>
                <w:szCs w:val="24"/>
              </w:rPr>
            </w:pPr>
            <w:r w:rsidRPr="009B681D">
              <w:rPr>
                <w:szCs w:val="24"/>
              </w:rPr>
              <w:t>No.</w:t>
            </w:r>
          </w:p>
        </w:tc>
        <w:tc>
          <w:tcPr>
            <w:tcW w:w="2551" w:type="dxa"/>
          </w:tcPr>
          <w:p w14:paraId="6E316736" w14:textId="77777777" w:rsidR="00F67E9E" w:rsidRPr="009B681D" w:rsidRDefault="00F67E9E" w:rsidP="007F74AA">
            <w:pPr>
              <w:pBdr>
                <w:top w:val="nil"/>
                <w:left w:val="nil"/>
                <w:bottom w:val="nil"/>
                <w:right w:val="nil"/>
                <w:between w:val="nil"/>
              </w:pBdr>
              <w:rPr>
                <w:szCs w:val="24"/>
              </w:rPr>
            </w:pPr>
            <w:r w:rsidRPr="009B681D">
              <w:rPr>
                <w:szCs w:val="24"/>
              </w:rPr>
              <w:t>Subsidiary Performance Indicator Title</w:t>
            </w:r>
          </w:p>
        </w:tc>
        <w:tc>
          <w:tcPr>
            <w:tcW w:w="1701" w:type="dxa"/>
          </w:tcPr>
          <w:p w14:paraId="78516BF7" w14:textId="77777777" w:rsidR="00F67E9E" w:rsidRPr="009B681D" w:rsidRDefault="00F67E9E" w:rsidP="007F74AA">
            <w:pPr>
              <w:pBdr>
                <w:top w:val="nil"/>
                <w:left w:val="nil"/>
                <w:bottom w:val="nil"/>
                <w:right w:val="nil"/>
                <w:between w:val="nil"/>
              </w:pBdr>
              <w:rPr>
                <w:szCs w:val="24"/>
              </w:rPr>
            </w:pPr>
            <w:r w:rsidRPr="009B681D">
              <w:rPr>
                <w:szCs w:val="24"/>
              </w:rPr>
              <w:t>Definition</w:t>
            </w:r>
          </w:p>
        </w:tc>
        <w:tc>
          <w:tcPr>
            <w:tcW w:w="1814" w:type="dxa"/>
          </w:tcPr>
          <w:p w14:paraId="66A7CB8E" w14:textId="77777777" w:rsidR="00F67E9E" w:rsidRPr="009B681D" w:rsidRDefault="00F67E9E" w:rsidP="007F74AA">
            <w:pPr>
              <w:pBdr>
                <w:top w:val="nil"/>
                <w:left w:val="nil"/>
                <w:bottom w:val="nil"/>
                <w:right w:val="nil"/>
                <w:between w:val="nil"/>
              </w:pBdr>
              <w:rPr>
                <w:szCs w:val="24"/>
              </w:rPr>
            </w:pPr>
            <w:r w:rsidRPr="009B681D">
              <w:rPr>
                <w:szCs w:val="24"/>
              </w:rPr>
              <w:t>Frequency of Measurement</w:t>
            </w:r>
          </w:p>
        </w:tc>
        <w:tc>
          <w:tcPr>
            <w:tcW w:w="3005" w:type="dxa"/>
          </w:tcPr>
          <w:p w14:paraId="4E38E4EC" w14:textId="77777777" w:rsidR="00F67E9E" w:rsidRPr="009B681D" w:rsidRDefault="00F67E9E" w:rsidP="007F74AA">
            <w:pPr>
              <w:pBdr>
                <w:top w:val="nil"/>
                <w:left w:val="nil"/>
                <w:bottom w:val="nil"/>
                <w:right w:val="nil"/>
                <w:between w:val="nil"/>
              </w:pBdr>
              <w:rPr>
                <w:szCs w:val="24"/>
              </w:rPr>
            </w:pPr>
            <w:r w:rsidRPr="009B681D">
              <w:rPr>
                <w:szCs w:val="24"/>
              </w:rPr>
              <w:t>Severity Levels</w:t>
            </w:r>
          </w:p>
        </w:tc>
        <w:tc>
          <w:tcPr>
            <w:tcW w:w="5386" w:type="dxa"/>
          </w:tcPr>
          <w:p w14:paraId="77B2FF82" w14:textId="77777777" w:rsidR="00F67E9E" w:rsidRPr="009B681D" w:rsidRDefault="00F67E9E" w:rsidP="007F74AA">
            <w:pPr>
              <w:pBdr>
                <w:top w:val="nil"/>
                <w:left w:val="nil"/>
                <w:bottom w:val="nil"/>
                <w:right w:val="nil"/>
                <w:between w:val="nil"/>
              </w:pBdr>
              <w:rPr>
                <w:szCs w:val="24"/>
              </w:rPr>
            </w:pPr>
            <w:r w:rsidRPr="009B681D">
              <w:rPr>
                <w:szCs w:val="24"/>
              </w:rPr>
              <w:t>Publishable Performance Information</w:t>
            </w:r>
          </w:p>
          <w:p w14:paraId="29010CE6" w14:textId="77777777" w:rsidR="00F67E9E" w:rsidRPr="00F97284" w:rsidRDefault="00F67E9E" w:rsidP="007F74AA">
            <w:pPr>
              <w:pBdr>
                <w:top w:val="nil"/>
                <w:left w:val="nil"/>
                <w:bottom w:val="nil"/>
                <w:right w:val="nil"/>
                <w:between w:val="nil"/>
              </w:pBdr>
              <w:rPr>
                <w:iCs/>
                <w:sz w:val="20"/>
              </w:rPr>
            </w:pPr>
            <w:r>
              <w:rPr>
                <w:iCs/>
                <w:sz w:val="20"/>
                <w:highlight w:val="yellow"/>
              </w:rPr>
              <w:t>[Guidance note:</w:t>
            </w:r>
            <w:r w:rsidRPr="00EF5BA5">
              <w:rPr>
                <w:i/>
                <w:sz w:val="20"/>
                <w:highlight w:val="yellow"/>
              </w:rPr>
              <w:t xml:space="preserve"> It is HMG’s intention to publish the top KPIs in the vast majority of contracts. The Authority must select at least three KPI/PIs which shall be publishable and also must select the single most important Social Value KPI/PI, which shall be publishable (four KPIs/PIs in total.)]</w:t>
            </w:r>
          </w:p>
        </w:tc>
      </w:tr>
      <w:tr w:rsidR="00F67E9E" w14:paraId="4E697EF0" w14:textId="77777777" w:rsidTr="007F74AA">
        <w:tc>
          <w:tcPr>
            <w:tcW w:w="680" w:type="dxa"/>
          </w:tcPr>
          <w:p w14:paraId="68E4BCB2" w14:textId="77777777" w:rsidR="00F67E9E" w:rsidRDefault="00F67E9E" w:rsidP="007F74AA">
            <w:pPr>
              <w:pBdr>
                <w:top w:val="nil"/>
                <w:left w:val="nil"/>
                <w:bottom w:val="nil"/>
                <w:right w:val="nil"/>
                <w:between w:val="nil"/>
              </w:pBdr>
              <w:rPr>
                <w:szCs w:val="24"/>
              </w:rPr>
            </w:pPr>
            <w:r>
              <w:rPr>
                <w:szCs w:val="24"/>
              </w:rPr>
              <w:t>PI1</w:t>
            </w:r>
          </w:p>
        </w:tc>
        <w:tc>
          <w:tcPr>
            <w:tcW w:w="2551" w:type="dxa"/>
          </w:tcPr>
          <w:p w14:paraId="2A27DE32" w14:textId="77777777" w:rsidR="00F67E9E" w:rsidRDefault="00F67E9E" w:rsidP="007F74AA">
            <w:pPr>
              <w:pBdr>
                <w:top w:val="nil"/>
                <w:left w:val="nil"/>
                <w:bottom w:val="nil"/>
                <w:right w:val="nil"/>
                <w:between w:val="nil"/>
              </w:pBdr>
              <w:rPr>
                <w:szCs w:val="24"/>
              </w:rPr>
            </w:pPr>
            <w:r>
              <w:rPr>
                <w:szCs w:val="24"/>
                <w:highlight w:val="yellow"/>
              </w:rPr>
              <w:t>[Sustainability/ Efficiency indicators]</w:t>
            </w:r>
          </w:p>
        </w:tc>
        <w:tc>
          <w:tcPr>
            <w:tcW w:w="1701" w:type="dxa"/>
          </w:tcPr>
          <w:p w14:paraId="5683DC5C" w14:textId="1E40C79F" w:rsidR="00F67E9E" w:rsidRDefault="00F67E9E" w:rsidP="007F74AA">
            <w:pPr>
              <w:pBdr>
                <w:top w:val="nil"/>
                <w:left w:val="nil"/>
                <w:bottom w:val="nil"/>
                <w:right w:val="nil"/>
                <w:between w:val="nil"/>
              </w:pBdr>
              <w:rPr>
                <w:szCs w:val="24"/>
              </w:rPr>
            </w:pPr>
            <w:bookmarkStart w:id="398" w:name="_heading=h.vx1227" w:colFirst="0" w:colLast="0"/>
            <w:bookmarkEnd w:id="398"/>
            <w:r w:rsidRPr="00DA33A6">
              <w:rPr>
                <w:szCs w:val="24"/>
                <w:highlight w:val="yellow"/>
              </w:rPr>
              <w:t xml:space="preserve">[See </w:t>
            </w:r>
            <w:r w:rsidRPr="00DA33A6">
              <w:rPr>
                <w:rFonts w:cs="Arial"/>
                <w:highlight w:val="yellow"/>
              </w:rPr>
              <w:fldChar w:fldCharType="begin"/>
            </w:r>
            <w:r w:rsidRPr="00DA33A6">
              <w:rPr>
                <w:rFonts w:cs="Arial"/>
                <w:highlight w:val="yellow"/>
              </w:rPr>
              <w:instrText xml:space="preserve"> REF Schedule2 \h </w:instrText>
            </w:r>
            <w:r>
              <w:rPr>
                <w:rFonts w:cs="Arial"/>
                <w:highlight w:val="yellow"/>
              </w:rPr>
              <w:instrText xml:space="preserve"> \* MERGEFORMAT </w:instrText>
            </w:r>
            <w:r w:rsidRPr="00DA33A6">
              <w:rPr>
                <w:rFonts w:cs="Arial"/>
                <w:highlight w:val="yellow"/>
              </w:rPr>
            </w:r>
            <w:r w:rsidRPr="00DA33A6">
              <w:rPr>
                <w:rFonts w:cs="Arial"/>
                <w:highlight w:val="yellow"/>
              </w:rPr>
              <w:fldChar w:fldCharType="separate"/>
            </w:r>
            <w:r w:rsidR="00302D39" w:rsidRPr="00302D39">
              <w:rPr>
                <w:highlight w:val="yellow"/>
              </w:rPr>
              <w:t>Schedule 2</w:t>
            </w:r>
            <w:r w:rsidRPr="00DA33A6">
              <w:rPr>
                <w:rFonts w:cs="Arial"/>
                <w:highlight w:val="yellow"/>
              </w:rPr>
              <w:fldChar w:fldCharType="end"/>
            </w:r>
            <w:r w:rsidRPr="00DA33A6">
              <w:rPr>
                <w:rFonts w:cs="Arial"/>
                <w:highlight w:val="yellow"/>
              </w:rPr>
              <w:t xml:space="preserve"> (</w:t>
            </w:r>
            <w:r w:rsidRPr="00DA33A6">
              <w:rPr>
                <w:rFonts w:cs="Arial"/>
                <w:i/>
                <w:iCs/>
                <w:highlight w:val="yellow"/>
              </w:rPr>
              <w:fldChar w:fldCharType="begin"/>
            </w:r>
            <w:r w:rsidRPr="00DA33A6">
              <w:rPr>
                <w:rFonts w:cs="Arial"/>
                <w:i/>
                <w:iCs/>
                <w:highlight w:val="yellow"/>
              </w:rPr>
              <w:instrText xml:space="preserve"> REF Schedule2Heading \h  \* MERGEFORMAT </w:instrText>
            </w:r>
            <w:r w:rsidRPr="00DA33A6">
              <w:rPr>
                <w:rFonts w:cs="Arial"/>
                <w:i/>
                <w:iCs/>
                <w:highlight w:val="yellow"/>
              </w:rPr>
            </w:r>
            <w:r w:rsidRPr="00DA33A6">
              <w:rPr>
                <w:rFonts w:cs="Arial"/>
                <w:i/>
                <w:iCs/>
                <w:highlight w:val="yellow"/>
              </w:rPr>
              <w:fldChar w:fldCharType="separate"/>
            </w:r>
            <w:r w:rsidR="00302D39" w:rsidRPr="00302D39">
              <w:rPr>
                <w:i/>
                <w:iCs/>
                <w:highlight w:val="yellow"/>
              </w:rPr>
              <w:t>Services Description</w:t>
            </w:r>
            <w:r w:rsidRPr="00DA33A6">
              <w:rPr>
                <w:rFonts w:cs="Arial"/>
                <w:i/>
                <w:iCs/>
                <w:highlight w:val="yellow"/>
              </w:rPr>
              <w:fldChar w:fldCharType="end"/>
            </w:r>
            <w:r w:rsidRPr="00DA33A6">
              <w:rPr>
                <w:rFonts w:cs="Arial"/>
                <w:highlight w:val="yellow"/>
              </w:rPr>
              <w:t>)</w:t>
            </w:r>
            <w:r>
              <w:rPr>
                <w:rFonts w:cs="Arial"/>
                <w:highlight w:val="yellow"/>
              </w:rPr>
              <w:t>]</w:t>
            </w:r>
            <w:r w:rsidRPr="00E562A1">
              <w:rPr>
                <w:szCs w:val="24"/>
                <w:highlight w:val="yellow"/>
              </w:rPr>
              <w:t xml:space="preserve"> </w:t>
            </w:r>
          </w:p>
        </w:tc>
        <w:tc>
          <w:tcPr>
            <w:tcW w:w="1814" w:type="dxa"/>
          </w:tcPr>
          <w:p w14:paraId="1BA9981B" w14:textId="77777777" w:rsidR="00F67E9E" w:rsidRDefault="00F67E9E" w:rsidP="007F74AA">
            <w:pPr>
              <w:pBdr>
                <w:top w:val="nil"/>
                <w:left w:val="nil"/>
                <w:bottom w:val="nil"/>
                <w:right w:val="nil"/>
                <w:between w:val="nil"/>
              </w:pBdr>
              <w:rPr>
                <w:szCs w:val="24"/>
              </w:rPr>
            </w:pPr>
          </w:p>
        </w:tc>
        <w:tc>
          <w:tcPr>
            <w:tcW w:w="3005" w:type="dxa"/>
          </w:tcPr>
          <w:p w14:paraId="543CFFC0" w14:textId="77777777" w:rsidR="00F67E9E" w:rsidRDefault="00F67E9E" w:rsidP="007F74AA">
            <w:pPr>
              <w:pBdr>
                <w:top w:val="nil"/>
                <w:left w:val="nil"/>
                <w:bottom w:val="nil"/>
                <w:right w:val="nil"/>
                <w:between w:val="nil"/>
              </w:pBdr>
              <w:rPr>
                <w:szCs w:val="24"/>
              </w:rPr>
            </w:pPr>
            <w:r>
              <w:rPr>
                <w:szCs w:val="24"/>
              </w:rPr>
              <w:t>Target Performance Level:</w:t>
            </w:r>
            <w:r>
              <w:rPr>
                <w:szCs w:val="24"/>
              </w:rPr>
              <w:br/>
            </w:r>
            <w:r>
              <w:rPr>
                <w:szCs w:val="24"/>
                <w:highlight w:val="yellow"/>
              </w:rPr>
              <w:t>[xx%]</w:t>
            </w:r>
          </w:p>
          <w:p w14:paraId="432C4E94" w14:textId="77777777" w:rsidR="00F67E9E" w:rsidRDefault="00F67E9E" w:rsidP="007F74AA">
            <w:pPr>
              <w:pBdr>
                <w:top w:val="nil"/>
                <w:left w:val="nil"/>
                <w:bottom w:val="nil"/>
                <w:right w:val="nil"/>
                <w:between w:val="nil"/>
              </w:pBdr>
              <w:rPr>
                <w:szCs w:val="24"/>
              </w:rPr>
            </w:pPr>
            <w:r>
              <w:rPr>
                <w:szCs w:val="24"/>
              </w:rPr>
              <w:t>Service Threshold:</w:t>
            </w:r>
            <w:r>
              <w:rPr>
                <w:szCs w:val="24"/>
              </w:rPr>
              <w:br/>
            </w:r>
            <w:r>
              <w:rPr>
                <w:szCs w:val="24"/>
                <w:highlight w:val="yellow"/>
              </w:rPr>
              <w:t>[xx%]</w:t>
            </w:r>
          </w:p>
        </w:tc>
        <w:tc>
          <w:tcPr>
            <w:tcW w:w="5386" w:type="dxa"/>
          </w:tcPr>
          <w:p w14:paraId="15CF57D7" w14:textId="77777777" w:rsidR="00F67E9E" w:rsidRDefault="00F67E9E" w:rsidP="007F74AA">
            <w:pPr>
              <w:pBdr>
                <w:top w:val="nil"/>
                <w:left w:val="nil"/>
                <w:bottom w:val="nil"/>
                <w:right w:val="nil"/>
                <w:between w:val="nil"/>
              </w:pBdr>
              <w:rPr>
                <w:szCs w:val="24"/>
              </w:rPr>
            </w:pPr>
            <w:r>
              <w:rPr>
                <w:szCs w:val="24"/>
                <w:highlight w:val="yellow"/>
              </w:rPr>
              <w:t>[YES/NO]</w:t>
            </w:r>
          </w:p>
        </w:tc>
      </w:tr>
      <w:tr w:rsidR="00F67E9E" w14:paraId="67BF90C0" w14:textId="77777777" w:rsidTr="007F74AA">
        <w:tc>
          <w:tcPr>
            <w:tcW w:w="680" w:type="dxa"/>
          </w:tcPr>
          <w:p w14:paraId="4037A0FE" w14:textId="77777777" w:rsidR="00F67E9E" w:rsidRDefault="00F67E9E" w:rsidP="007F74AA">
            <w:pPr>
              <w:pBdr>
                <w:top w:val="nil"/>
                <w:left w:val="nil"/>
                <w:bottom w:val="nil"/>
                <w:right w:val="nil"/>
                <w:between w:val="nil"/>
              </w:pBdr>
              <w:rPr>
                <w:szCs w:val="24"/>
              </w:rPr>
            </w:pPr>
            <w:r>
              <w:rPr>
                <w:szCs w:val="24"/>
              </w:rPr>
              <w:t>PI2</w:t>
            </w:r>
          </w:p>
        </w:tc>
        <w:tc>
          <w:tcPr>
            <w:tcW w:w="2551" w:type="dxa"/>
          </w:tcPr>
          <w:p w14:paraId="31280804" w14:textId="77777777" w:rsidR="00F67E9E" w:rsidRDefault="00F67E9E" w:rsidP="007F74AA">
            <w:pPr>
              <w:pBdr>
                <w:top w:val="nil"/>
                <w:left w:val="nil"/>
                <w:bottom w:val="nil"/>
                <w:right w:val="nil"/>
                <w:between w:val="nil"/>
              </w:pBdr>
              <w:rPr>
                <w:szCs w:val="24"/>
              </w:rPr>
            </w:pPr>
            <w:r>
              <w:rPr>
                <w:szCs w:val="24"/>
                <w:highlight w:val="yellow"/>
              </w:rPr>
              <w:t>[Vulnerability Patching Performance]</w:t>
            </w:r>
          </w:p>
        </w:tc>
        <w:tc>
          <w:tcPr>
            <w:tcW w:w="1701" w:type="dxa"/>
          </w:tcPr>
          <w:p w14:paraId="67C84FD3" w14:textId="68621A7A" w:rsidR="00F67E9E" w:rsidRDefault="00F67E9E" w:rsidP="007F74AA">
            <w:pPr>
              <w:pBdr>
                <w:top w:val="nil"/>
                <w:left w:val="nil"/>
                <w:bottom w:val="nil"/>
                <w:right w:val="nil"/>
                <w:between w:val="nil"/>
              </w:pBdr>
              <w:rPr>
                <w:szCs w:val="24"/>
              </w:rPr>
            </w:pPr>
            <w:bookmarkStart w:id="399" w:name="_heading=h.3fwokq0" w:colFirst="0" w:colLast="0"/>
            <w:bookmarkEnd w:id="399"/>
            <w:r w:rsidRPr="00DA33A6">
              <w:rPr>
                <w:szCs w:val="24"/>
                <w:highlight w:val="yellow"/>
              </w:rPr>
              <w:t xml:space="preserve">[See </w:t>
            </w:r>
            <w:r w:rsidRPr="00DA33A6">
              <w:rPr>
                <w:rFonts w:cs="Arial"/>
                <w:highlight w:val="yellow"/>
              </w:rPr>
              <w:fldChar w:fldCharType="begin"/>
            </w:r>
            <w:r w:rsidRPr="00DA33A6">
              <w:rPr>
                <w:rFonts w:cs="Arial"/>
                <w:highlight w:val="yellow"/>
              </w:rPr>
              <w:instrText xml:space="preserve"> REF Schedule2 \h </w:instrText>
            </w:r>
            <w:r>
              <w:rPr>
                <w:rFonts w:cs="Arial"/>
                <w:highlight w:val="yellow"/>
              </w:rPr>
              <w:instrText xml:space="preserve"> \* MERGEFORMAT </w:instrText>
            </w:r>
            <w:r w:rsidRPr="00DA33A6">
              <w:rPr>
                <w:rFonts w:cs="Arial"/>
                <w:highlight w:val="yellow"/>
              </w:rPr>
            </w:r>
            <w:r w:rsidRPr="00DA33A6">
              <w:rPr>
                <w:rFonts w:cs="Arial"/>
                <w:highlight w:val="yellow"/>
              </w:rPr>
              <w:fldChar w:fldCharType="separate"/>
            </w:r>
            <w:r w:rsidR="00302D39" w:rsidRPr="00302D39">
              <w:rPr>
                <w:highlight w:val="yellow"/>
              </w:rPr>
              <w:t>Schedule 2</w:t>
            </w:r>
            <w:r w:rsidRPr="00DA33A6">
              <w:rPr>
                <w:rFonts w:cs="Arial"/>
                <w:highlight w:val="yellow"/>
              </w:rPr>
              <w:fldChar w:fldCharType="end"/>
            </w:r>
            <w:r w:rsidRPr="00DA33A6">
              <w:rPr>
                <w:rFonts w:cs="Arial"/>
                <w:highlight w:val="yellow"/>
              </w:rPr>
              <w:t xml:space="preserve"> (</w:t>
            </w:r>
            <w:r w:rsidRPr="00DA33A6">
              <w:rPr>
                <w:rFonts w:cs="Arial"/>
                <w:i/>
                <w:iCs/>
                <w:highlight w:val="yellow"/>
              </w:rPr>
              <w:fldChar w:fldCharType="begin"/>
            </w:r>
            <w:r w:rsidRPr="00DA33A6">
              <w:rPr>
                <w:rFonts w:cs="Arial"/>
                <w:i/>
                <w:iCs/>
                <w:highlight w:val="yellow"/>
              </w:rPr>
              <w:instrText xml:space="preserve"> REF Schedule2Heading \h  \* MERGEFORMAT </w:instrText>
            </w:r>
            <w:r w:rsidRPr="00DA33A6">
              <w:rPr>
                <w:rFonts w:cs="Arial"/>
                <w:i/>
                <w:iCs/>
                <w:highlight w:val="yellow"/>
              </w:rPr>
            </w:r>
            <w:r w:rsidRPr="00DA33A6">
              <w:rPr>
                <w:rFonts w:cs="Arial"/>
                <w:i/>
                <w:iCs/>
                <w:highlight w:val="yellow"/>
              </w:rPr>
              <w:fldChar w:fldCharType="separate"/>
            </w:r>
            <w:r w:rsidR="00302D39" w:rsidRPr="00302D39">
              <w:rPr>
                <w:i/>
                <w:iCs/>
                <w:highlight w:val="yellow"/>
              </w:rPr>
              <w:t>Services Description</w:t>
            </w:r>
            <w:r w:rsidRPr="00DA33A6">
              <w:rPr>
                <w:rFonts w:cs="Arial"/>
                <w:i/>
                <w:iCs/>
                <w:highlight w:val="yellow"/>
              </w:rPr>
              <w:fldChar w:fldCharType="end"/>
            </w:r>
            <w:r w:rsidRPr="00DA33A6">
              <w:rPr>
                <w:rFonts w:cs="Arial"/>
                <w:highlight w:val="yellow"/>
              </w:rPr>
              <w:t>)]</w:t>
            </w:r>
          </w:p>
        </w:tc>
        <w:tc>
          <w:tcPr>
            <w:tcW w:w="1814" w:type="dxa"/>
          </w:tcPr>
          <w:p w14:paraId="0AAB51B5" w14:textId="77777777" w:rsidR="00F67E9E" w:rsidRDefault="00F67E9E" w:rsidP="007F74AA">
            <w:pPr>
              <w:pBdr>
                <w:top w:val="nil"/>
                <w:left w:val="nil"/>
                <w:bottom w:val="nil"/>
                <w:right w:val="nil"/>
                <w:between w:val="nil"/>
              </w:pBdr>
              <w:rPr>
                <w:szCs w:val="24"/>
              </w:rPr>
            </w:pPr>
          </w:p>
        </w:tc>
        <w:tc>
          <w:tcPr>
            <w:tcW w:w="3005" w:type="dxa"/>
          </w:tcPr>
          <w:p w14:paraId="696A507D" w14:textId="77777777" w:rsidR="00F67E9E" w:rsidRDefault="00F67E9E" w:rsidP="007F74AA">
            <w:pPr>
              <w:pBdr>
                <w:top w:val="nil"/>
                <w:left w:val="nil"/>
                <w:bottom w:val="nil"/>
                <w:right w:val="nil"/>
                <w:between w:val="nil"/>
              </w:pBdr>
              <w:rPr>
                <w:szCs w:val="24"/>
              </w:rPr>
            </w:pPr>
            <w:r>
              <w:rPr>
                <w:szCs w:val="24"/>
              </w:rPr>
              <w:t>Target Performance Level:</w:t>
            </w:r>
            <w:r>
              <w:rPr>
                <w:szCs w:val="24"/>
              </w:rPr>
              <w:br/>
            </w:r>
            <w:r>
              <w:rPr>
                <w:szCs w:val="24"/>
                <w:highlight w:val="yellow"/>
              </w:rPr>
              <w:t>[xx%]</w:t>
            </w:r>
          </w:p>
          <w:p w14:paraId="2E9EAD0B" w14:textId="77777777" w:rsidR="00F67E9E" w:rsidRDefault="00F67E9E" w:rsidP="007F74AA">
            <w:pPr>
              <w:pBdr>
                <w:top w:val="nil"/>
                <w:left w:val="nil"/>
                <w:bottom w:val="nil"/>
                <w:right w:val="nil"/>
                <w:between w:val="nil"/>
              </w:pBdr>
              <w:rPr>
                <w:szCs w:val="24"/>
              </w:rPr>
            </w:pPr>
            <w:r>
              <w:rPr>
                <w:szCs w:val="24"/>
              </w:rPr>
              <w:t>Service Threshold:</w:t>
            </w:r>
            <w:r>
              <w:rPr>
                <w:szCs w:val="24"/>
              </w:rPr>
              <w:br/>
            </w:r>
            <w:r>
              <w:rPr>
                <w:szCs w:val="24"/>
                <w:highlight w:val="yellow"/>
              </w:rPr>
              <w:t>[xx%]</w:t>
            </w:r>
          </w:p>
        </w:tc>
        <w:tc>
          <w:tcPr>
            <w:tcW w:w="5386" w:type="dxa"/>
          </w:tcPr>
          <w:p w14:paraId="18614C7A" w14:textId="77777777" w:rsidR="00F67E9E" w:rsidRDefault="00F67E9E" w:rsidP="007F74AA">
            <w:pPr>
              <w:pBdr>
                <w:top w:val="nil"/>
                <w:left w:val="nil"/>
                <w:bottom w:val="nil"/>
                <w:right w:val="nil"/>
                <w:between w:val="nil"/>
              </w:pBdr>
              <w:rPr>
                <w:szCs w:val="24"/>
              </w:rPr>
            </w:pPr>
            <w:r>
              <w:rPr>
                <w:szCs w:val="24"/>
                <w:highlight w:val="yellow"/>
              </w:rPr>
              <w:t>[YES/NO]</w:t>
            </w:r>
          </w:p>
        </w:tc>
      </w:tr>
      <w:tr w:rsidR="00F67E9E" w14:paraId="607EF16C" w14:textId="77777777" w:rsidTr="007F74AA">
        <w:tc>
          <w:tcPr>
            <w:tcW w:w="680" w:type="dxa"/>
          </w:tcPr>
          <w:p w14:paraId="3B210AF0" w14:textId="77777777" w:rsidR="00F67E9E" w:rsidRDefault="00F67E9E" w:rsidP="007F74AA">
            <w:pPr>
              <w:widowControl w:val="0"/>
              <w:pBdr>
                <w:top w:val="nil"/>
                <w:left w:val="nil"/>
                <w:bottom w:val="nil"/>
                <w:right w:val="nil"/>
                <w:between w:val="nil"/>
              </w:pBdr>
              <w:spacing w:line="276" w:lineRule="auto"/>
              <w:rPr>
                <w:szCs w:val="24"/>
              </w:rPr>
            </w:pPr>
            <w:r>
              <w:rPr>
                <w:szCs w:val="24"/>
              </w:rPr>
              <w:t>PI3</w:t>
            </w:r>
          </w:p>
        </w:tc>
        <w:tc>
          <w:tcPr>
            <w:tcW w:w="2551" w:type="dxa"/>
          </w:tcPr>
          <w:p w14:paraId="7DAD7652" w14:textId="77777777" w:rsidR="00F67E9E" w:rsidRPr="00EF5BA5" w:rsidRDefault="00F67E9E" w:rsidP="007F74AA">
            <w:pPr>
              <w:widowControl w:val="0"/>
              <w:pBdr>
                <w:top w:val="nil"/>
                <w:left w:val="nil"/>
                <w:bottom w:val="nil"/>
                <w:right w:val="nil"/>
                <w:between w:val="nil"/>
              </w:pBdr>
              <w:spacing w:line="276" w:lineRule="auto"/>
              <w:rPr>
                <w:szCs w:val="24"/>
              </w:rPr>
            </w:pPr>
            <w:r w:rsidRPr="00EF5BA5">
              <w:rPr>
                <w:szCs w:val="24"/>
              </w:rPr>
              <w:t>[</w:t>
            </w:r>
            <w:r w:rsidRPr="00EF5BA5">
              <w:rPr>
                <w:szCs w:val="24"/>
                <w:highlight w:val="yellow"/>
              </w:rPr>
              <w:t>Social Value PI</w:t>
            </w:r>
            <w:r w:rsidRPr="00EF5BA5">
              <w:rPr>
                <w:szCs w:val="24"/>
              </w:rPr>
              <w:t>]</w:t>
            </w:r>
          </w:p>
          <w:p w14:paraId="02A11F87" w14:textId="77777777" w:rsidR="00F67E9E" w:rsidRPr="00EF5BA5" w:rsidRDefault="00F67E9E" w:rsidP="007F74AA">
            <w:pPr>
              <w:widowControl w:val="0"/>
              <w:pBdr>
                <w:top w:val="nil"/>
                <w:left w:val="nil"/>
                <w:bottom w:val="nil"/>
                <w:right w:val="nil"/>
                <w:between w:val="nil"/>
              </w:pBdr>
              <w:spacing w:line="276" w:lineRule="auto"/>
              <w:rPr>
                <w:b/>
                <w:bCs/>
                <w:szCs w:val="24"/>
              </w:rPr>
            </w:pPr>
          </w:p>
          <w:p w14:paraId="7A433BB5" w14:textId="77777777" w:rsidR="00F67E9E" w:rsidRPr="00EF5BA5" w:rsidRDefault="00F67E9E" w:rsidP="007F74AA">
            <w:pPr>
              <w:widowControl w:val="0"/>
              <w:pBdr>
                <w:top w:val="nil"/>
                <w:left w:val="nil"/>
                <w:bottom w:val="nil"/>
                <w:right w:val="nil"/>
                <w:between w:val="nil"/>
              </w:pBdr>
              <w:spacing w:line="276" w:lineRule="auto"/>
              <w:rPr>
                <w:b/>
                <w:bCs/>
                <w:szCs w:val="24"/>
              </w:rPr>
            </w:pPr>
            <w:r>
              <w:rPr>
                <w:b/>
                <w:bCs/>
                <w:szCs w:val="24"/>
                <w:highlight w:val="yellow"/>
              </w:rPr>
              <w:t>[Guidance note:</w:t>
            </w:r>
            <w:r w:rsidRPr="00EF5BA5">
              <w:rPr>
                <w:b/>
                <w:bCs/>
                <w:i/>
                <w:iCs/>
                <w:szCs w:val="24"/>
                <w:highlight w:val="yellow"/>
              </w:rPr>
              <w:t xml:space="preserve"> Contracting authorities should consider carefully whether the Social Value targets chosen should be KPIs or PIs. In a market with a mature understanding and offerings around Social Value, designating them as KPIs will be appropriate (i.e. allowing for Service Credits to be used as a remedy). In a less mature market, they should be PIs (i.e. making plans for rectification the main remedy and with the ability to withhold a proportionate amount of Service Charges until the PI failure is rectified in the case of material failure.</w:t>
            </w:r>
            <w:r w:rsidRPr="00EF5BA5">
              <w:rPr>
                <w:b/>
                <w:bCs/>
                <w:szCs w:val="24"/>
                <w:highlight w:val="yellow"/>
              </w:rPr>
              <w:t>]</w:t>
            </w:r>
          </w:p>
        </w:tc>
        <w:tc>
          <w:tcPr>
            <w:tcW w:w="1701" w:type="dxa"/>
          </w:tcPr>
          <w:p w14:paraId="00567B68" w14:textId="5F460779" w:rsidR="00F67E9E" w:rsidRDefault="00F67E9E" w:rsidP="007F74AA">
            <w:pPr>
              <w:widowControl w:val="0"/>
              <w:pBdr>
                <w:top w:val="nil"/>
                <w:left w:val="nil"/>
                <w:bottom w:val="nil"/>
                <w:right w:val="nil"/>
                <w:between w:val="nil"/>
              </w:pBdr>
              <w:spacing w:line="276" w:lineRule="auto"/>
              <w:rPr>
                <w:szCs w:val="24"/>
              </w:rPr>
            </w:pPr>
            <w:r w:rsidRPr="00DA33A6">
              <w:rPr>
                <w:szCs w:val="24"/>
                <w:highlight w:val="yellow"/>
              </w:rPr>
              <w:t xml:space="preserve">[See </w:t>
            </w:r>
            <w:r w:rsidRPr="00DA33A6">
              <w:rPr>
                <w:rFonts w:cs="Arial"/>
                <w:highlight w:val="yellow"/>
              </w:rPr>
              <w:fldChar w:fldCharType="begin"/>
            </w:r>
            <w:r w:rsidRPr="00DA33A6">
              <w:rPr>
                <w:rFonts w:cs="Arial"/>
                <w:highlight w:val="yellow"/>
              </w:rPr>
              <w:instrText xml:space="preserve"> REF Schedule2 \h </w:instrText>
            </w:r>
            <w:r>
              <w:rPr>
                <w:rFonts w:cs="Arial"/>
                <w:highlight w:val="yellow"/>
              </w:rPr>
              <w:instrText xml:space="preserve"> \* MERGEFORMAT </w:instrText>
            </w:r>
            <w:r w:rsidRPr="00DA33A6">
              <w:rPr>
                <w:rFonts w:cs="Arial"/>
                <w:highlight w:val="yellow"/>
              </w:rPr>
            </w:r>
            <w:r w:rsidRPr="00DA33A6">
              <w:rPr>
                <w:rFonts w:cs="Arial"/>
                <w:highlight w:val="yellow"/>
              </w:rPr>
              <w:fldChar w:fldCharType="separate"/>
            </w:r>
            <w:r w:rsidR="00302D39" w:rsidRPr="00302D39">
              <w:rPr>
                <w:highlight w:val="yellow"/>
              </w:rPr>
              <w:t>Schedule 2</w:t>
            </w:r>
            <w:r w:rsidRPr="00DA33A6">
              <w:rPr>
                <w:rFonts w:cs="Arial"/>
                <w:highlight w:val="yellow"/>
              </w:rPr>
              <w:fldChar w:fldCharType="end"/>
            </w:r>
            <w:r w:rsidRPr="00DA33A6">
              <w:rPr>
                <w:rFonts w:cs="Arial"/>
                <w:highlight w:val="yellow"/>
              </w:rPr>
              <w:t xml:space="preserve"> (</w:t>
            </w:r>
            <w:r w:rsidRPr="00DA33A6">
              <w:rPr>
                <w:rFonts w:cs="Arial"/>
                <w:i/>
                <w:iCs/>
                <w:highlight w:val="yellow"/>
              </w:rPr>
              <w:fldChar w:fldCharType="begin"/>
            </w:r>
            <w:r w:rsidRPr="00DA33A6">
              <w:rPr>
                <w:rFonts w:cs="Arial"/>
                <w:i/>
                <w:iCs/>
                <w:highlight w:val="yellow"/>
              </w:rPr>
              <w:instrText xml:space="preserve"> REF Schedule2Heading \h  \* MERGEFORMAT </w:instrText>
            </w:r>
            <w:r w:rsidRPr="00DA33A6">
              <w:rPr>
                <w:rFonts w:cs="Arial"/>
                <w:i/>
                <w:iCs/>
                <w:highlight w:val="yellow"/>
              </w:rPr>
            </w:r>
            <w:r w:rsidRPr="00DA33A6">
              <w:rPr>
                <w:rFonts w:cs="Arial"/>
                <w:i/>
                <w:iCs/>
                <w:highlight w:val="yellow"/>
              </w:rPr>
              <w:fldChar w:fldCharType="separate"/>
            </w:r>
            <w:r w:rsidR="00302D39" w:rsidRPr="00302D39">
              <w:rPr>
                <w:i/>
                <w:iCs/>
                <w:highlight w:val="yellow"/>
              </w:rPr>
              <w:t>Services Description</w:t>
            </w:r>
            <w:r w:rsidRPr="00DA33A6">
              <w:rPr>
                <w:rFonts w:cs="Arial"/>
                <w:i/>
                <w:iCs/>
                <w:highlight w:val="yellow"/>
              </w:rPr>
              <w:fldChar w:fldCharType="end"/>
            </w:r>
            <w:r w:rsidRPr="00DA33A6">
              <w:rPr>
                <w:rFonts w:cs="Arial"/>
                <w:highlight w:val="yellow"/>
              </w:rPr>
              <w:t>)</w:t>
            </w:r>
            <w:r w:rsidRPr="00FC322D">
              <w:rPr>
                <w:szCs w:val="24"/>
                <w:highlight w:val="yellow"/>
              </w:rPr>
              <w:t>]</w:t>
            </w:r>
          </w:p>
        </w:tc>
        <w:tc>
          <w:tcPr>
            <w:tcW w:w="1814" w:type="dxa"/>
          </w:tcPr>
          <w:p w14:paraId="10C8F783" w14:textId="77777777" w:rsidR="00F67E9E" w:rsidRDefault="00F67E9E" w:rsidP="007F74AA">
            <w:pPr>
              <w:widowControl w:val="0"/>
              <w:pBdr>
                <w:top w:val="nil"/>
                <w:left w:val="nil"/>
                <w:bottom w:val="nil"/>
                <w:right w:val="nil"/>
                <w:between w:val="nil"/>
              </w:pBdr>
              <w:spacing w:line="276" w:lineRule="auto"/>
              <w:rPr>
                <w:szCs w:val="24"/>
              </w:rPr>
            </w:pPr>
          </w:p>
        </w:tc>
        <w:tc>
          <w:tcPr>
            <w:tcW w:w="3005" w:type="dxa"/>
          </w:tcPr>
          <w:p w14:paraId="08CC0EF2" w14:textId="77777777" w:rsidR="00F67E9E" w:rsidRDefault="00F67E9E" w:rsidP="007F74AA">
            <w:pPr>
              <w:pBdr>
                <w:top w:val="nil"/>
                <w:left w:val="nil"/>
                <w:bottom w:val="nil"/>
                <w:right w:val="nil"/>
                <w:between w:val="nil"/>
              </w:pBdr>
              <w:rPr>
                <w:szCs w:val="24"/>
              </w:rPr>
            </w:pPr>
            <w:r>
              <w:rPr>
                <w:szCs w:val="24"/>
              </w:rPr>
              <w:t>Target Performance Level:</w:t>
            </w:r>
            <w:r>
              <w:rPr>
                <w:szCs w:val="24"/>
              </w:rPr>
              <w:br/>
            </w:r>
            <w:r>
              <w:rPr>
                <w:szCs w:val="24"/>
                <w:highlight w:val="yellow"/>
              </w:rPr>
              <w:t>[xx%]</w:t>
            </w:r>
          </w:p>
          <w:p w14:paraId="17661E28" w14:textId="77777777" w:rsidR="00F67E9E" w:rsidRDefault="00F67E9E" w:rsidP="007F74AA">
            <w:pPr>
              <w:pBdr>
                <w:top w:val="nil"/>
                <w:left w:val="nil"/>
                <w:bottom w:val="nil"/>
                <w:right w:val="nil"/>
                <w:between w:val="nil"/>
              </w:pBdr>
              <w:rPr>
                <w:szCs w:val="24"/>
              </w:rPr>
            </w:pPr>
            <w:r>
              <w:rPr>
                <w:szCs w:val="24"/>
              </w:rPr>
              <w:t xml:space="preserve">Service Threshold: </w:t>
            </w:r>
            <w:r>
              <w:rPr>
                <w:szCs w:val="24"/>
                <w:highlight w:val="yellow"/>
              </w:rPr>
              <w:t>[xx%]</w:t>
            </w:r>
          </w:p>
        </w:tc>
        <w:tc>
          <w:tcPr>
            <w:tcW w:w="5386" w:type="dxa"/>
          </w:tcPr>
          <w:p w14:paraId="439FB210" w14:textId="77777777" w:rsidR="00F67E9E" w:rsidRDefault="00F67E9E" w:rsidP="007F74AA">
            <w:pPr>
              <w:widowControl w:val="0"/>
              <w:pBdr>
                <w:top w:val="nil"/>
                <w:left w:val="nil"/>
                <w:bottom w:val="nil"/>
                <w:right w:val="nil"/>
                <w:between w:val="nil"/>
              </w:pBdr>
              <w:spacing w:line="276" w:lineRule="auto"/>
              <w:rPr>
                <w:szCs w:val="24"/>
              </w:rPr>
            </w:pPr>
            <w:r>
              <w:rPr>
                <w:szCs w:val="24"/>
                <w:highlight w:val="yellow"/>
              </w:rPr>
              <w:t>[YES/NO]</w:t>
            </w:r>
          </w:p>
        </w:tc>
      </w:tr>
    </w:tbl>
    <w:p w14:paraId="0100B7F2" w14:textId="77777777" w:rsidR="00F67E9E" w:rsidRDefault="00F67E9E" w:rsidP="00F67E9E"/>
    <w:p w14:paraId="139D6E1F" w14:textId="77777777" w:rsidR="00F67E9E" w:rsidRDefault="00F67E9E" w:rsidP="00F67E9E">
      <w:r>
        <w:br w:type="page"/>
      </w:r>
    </w:p>
    <w:p w14:paraId="19965F60" w14:textId="77777777" w:rsidR="00F67E9E" w:rsidRPr="004472FD" w:rsidRDefault="00F67E9E" w:rsidP="00F67E9E">
      <w:pPr>
        <w:pStyle w:val="Heading3"/>
      </w:pPr>
      <w:bookmarkStart w:id="400" w:name="_Ref92197450"/>
      <w:r w:rsidRPr="0089405F">
        <w:t>Optional Services</w:t>
      </w:r>
      <w:bookmarkEnd w:id="400"/>
    </w:p>
    <w:p w14:paraId="38D5A920" w14:textId="77777777" w:rsidR="00F67E9E" w:rsidRDefault="00F67E9E" w:rsidP="00F67E9E">
      <w:r>
        <w:t>The Key Performance Indicators and Subsidiary Performance Indicators that shall apply to the Optional Services are set out below:</w:t>
      </w:r>
    </w:p>
    <w:p w14:paraId="77C5F824" w14:textId="77777777" w:rsidR="00F67E9E" w:rsidRPr="008C01F0" w:rsidRDefault="00F67E9E" w:rsidP="00F67E9E">
      <w:pPr>
        <w:pStyle w:val="Heading3"/>
        <w:numPr>
          <w:ilvl w:val="0"/>
          <w:numId w:val="36"/>
        </w:numPr>
      </w:pPr>
      <w:r w:rsidRPr="009E1FEF">
        <w:t>Key Performance Indicators</w:t>
      </w:r>
    </w:p>
    <w:tbl>
      <w:tblPr>
        <w:tblStyle w:val="MSATable-header"/>
        <w:tblW w:w="15161" w:type="dxa"/>
        <w:tblLayout w:type="fixed"/>
        <w:tblLook w:val="0620" w:firstRow="1" w:lastRow="0" w:firstColumn="0" w:lastColumn="0" w:noHBand="1" w:noVBand="1"/>
      </w:tblPr>
      <w:tblGrid>
        <w:gridCol w:w="680"/>
        <w:gridCol w:w="2098"/>
        <w:gridCol w:w="1361"/>
        <w:gridCol w:w="1814"/>
        <w:gridCol w:w="2835"/>
        <w:gridCol w:w="987"/>
        <w:gridCol w:w="5386"/>
      </w:tblGrid>
      <w:tr w:rsidR="00F67E9E" w:rsidRPr="009B681D" w14:paraId="5D44BE20" w14:textId="77777777" w:rsidTr="007F74AA">
        <w:trPr>
          <w:cnfStyle w:val="100000000000" w:firstRow="1" w:lastRow="0" w:firstColumn="0" w:lastColumn="0" w:oddVBand="0" w:evenVBand="0" w:oddHBand="0" w:evenHBand="0" w:firstRowFirstColumn="0" w:firstRowLastColumn="0" w:lastRowFirstColumn="0" w:lastRowLastColumn="0"/>
          <w:tblHeader/>
        </w:trPr>
        <w:tc>
          <w:tcPr>
            <w:tcW w:w="680" w:type="dxa"/>
          </w:tcPr>
          <w:p w14:paraId="00CD7890" w14:textId="77777777" w:rsidR="00F67E9E" w:rsidRPr="009B681D" w:rsidRDefault="00F67E9E" w:rsidP="007F74AA">
            <w:pPr>
              <w:pBdr>
                <w:top w:val="nil"/>
                <w:left w:val="nil"/>
                <w:bottom w:val="nil"/>
                <w:right w:val="nil"/>
                <w:between w:val="nil"/>
              </w:pBdr>
              <w:rPr>
                <w:szCs w:val="24"/>
              </w:rPr>
            </w:pPr>
            <w:r w:rsidRPr="009B681D">
              <w:rPr>
                <w:szCs w:val="24"/>
              </w:rPr>
              <w:t>No.</w:t>
            </w:r>
          </w:p>
        </w:tc>
        <w:tc>
          <w:tcPr>
            <w:tcW w:w="2098" w:type="dxa"/>
          </w:tcPr>
          <w:p w14:paraId="6596ECF9" w14:textId="77777777" w:rsidR="00F67E9E" w:rsidRPr="009B681D" w:rsidRDefault="00F67E9E" w:rsidP="007F74AA">
            <w:pPr>
              <w:pBdr>
                <w:top w:val="nil"/>
                <w:left w:val="nil"/>
                <w:bottom w:val="nil"/>
                <w:right w:val="nil"/>
                <w:between w:val="nil"/>
              </w:pBdr>
              <w:rPr>
                <w:szCs w:val="24"/>
              </w:rPr>
            </w:pPr>
            <w:r w:rsidRPr="009B681D">
              <w:rPr>
                <w:szCs w:val="24"/>
              </w:rPr>
              <w:t>Key Performance Indicator Title</w:t>
            </w:r>
          </w:p>
        </w:tc>
        <w:tc>
          <w:tcPr>
            <w:tcW w:w="1361" w:type="dxa"/>
          </w:tcPr>
          <w:p w14:paraId="6A0E034B" w14:textId="77777777" w:rsidR="00F67E9E" w:rsidRPr="009B681D" w:rsidRDefault="00F67E9E" w:rsidP="007F74AA">
            <w:pPr>
              <w:pBdr>
                <w:top w:val="nil"/>
                <w:left w:val="nil"/>
                <w:bottom w:val="nil"/>
                <w:right w:val="nil"/>
                <w:between w:val="nil"/>
              </w:pBdr>
              <w:rPr>
                <w:szCs w:val="24"/>
              </w:rPr>
            </w:pPr>
            <w:r w:rsidRPr="009B681D">
              <w:rPr>
                <w:szCs w:val="24"/>
              </w:rPr>
              <w:t>Definition</w:t>
            </w:r>
          </w:p>
        </w:tc>
        <w:tc>
          <w:tcPr>
            <w:tcW w:w="1814" w:type="dxa"/>
          </w:tcPr>
          <w:p w14:paraId="36A13CB2" w14:textId="77777777" w:rsidR="00F67E9E" w:rsidRPr="009B681D" w:rsidRDefault="00F67E9E" w:rsidP="007F74AA">
            <w:pPr>
              <w:pBdr>
                <w:top w:val="nil"/>
                <w:left w:val="nil"/>
                <w:bottom w:val="nil"/>
                <w:right w:val="nil"/>
                <w:between w:val="nil"/>
              </w:pBdr>
              <w:rPr>
                <w:szCs w:val="24"/>
              </w:rPr>
            </w:pPr>
            <w:r w:rsidRPr="009B681D">
              <w:rPr>
                <w:szCs w:val="24"/>
              </w:rPr>
              <w:t>Frequency of Measurement</w:t>
            </w:r>
          </w:p>
        </w:tc>
        <w:tc>
          <w:tcPr>
            <w:tcW w:w="2835" w:type="dxa"/>
          </w:tcPr>
          <w:p w14:paraId="62A25A72" w14:textId="77777777" w:rsidR="00F67E9E" w:rsidRPr="009B681D" w:rsidRDefault="00F67E9E" w:rsidP="007F74AA">
            <w:pPr>
              <w:pBdr>
                <w:top w:val="nil"/>
                <w:left w:val="nil"/>
                <w:bottom w:val="nil"/>
                <w:right w:val="nil"/>
                <w:between w:val="nil"/>
              </w:pBdr>
              <w:rPr>
                <w:szCs w:val="24"/>
              </w:rPr>
            </w:pPr>
            <w:r w:rsidRPr="009B681D">
              <w:rPr>
                <w:szCs w:val="24"/>
              </w:rPr>
              <w:t>Severity Levels</w:t>
            </w:r>
          </w:p>
        </w:tc>
        <w:tc>
          <w:tcPr>
            <w:tcW w:w="987" w:type="dxa"/>
          </w:tcPr>
          <w:p w14:paraId="0974A2D5" w14:textId="77777777" w:rsidR="00F67E9E" w:rsidRPr="009B681D" w:rsidRDefault="00F67E9E" w:rsidP="007F74AA">
            <w:pPr>
              <w:pBdr>
                <w:top w:val="nil"/>
                <w:left w:val="nil"/>
                <w:bottom w:val="nil"/>
                <w:right w:val="nil"/>
                <w:between w:val="nil"/>
              </w:pBdr>
              <w:rPr>
                <w:szCs w:val="24"/>
              </w:rPr>
            </w:pPr>
            <w:r w:rsidRPr="009B681D">
              <w:rPr>
                <w:szCs w:val="24"/>
              </w:rPr>
              <w:t>Service Points</w:t>
            </w:r>
          </w:p>
        </w:tc>
        <w:tc>
          <w:tcPr>
            <w:tcW w:w="5386" w:type="dxa"/>
          </w:tcPr>
          <w:p w14:paraId="5A976991" w14:textId="77777777" w:rsidR="00F67E9E" w:rsidRPr="009B681D" w:rsidRDefault="00F67E9E" w:rsidP="007F74AA">
            <w:pPr>
              <w:pBdr>
                <w:top w:val="nil"/>
                <w:left w:val="nil"/>
                <w:bottom w:val="nil"/>
                <w:right w:val="nil"/>
                <w:between w:val="nil"/>
              </w:pBdr>
              <w:rPr>
                <w:szCs w:val="24"/>
              </w:rPr>
            </w:pPr>
            <w:r w:rsidRPr="009B681D">
              <w:rPr>
                <w:szCs w:val="24"/>
              </w:rPr>
              <w:t>Publishable Performance Information</w:t>
            </w:r>
          </w:p>
          <w:p w14:paraId="7DB9D59C" w14:textId="77777777" w:rsidR="00F67E9E" w:rsidRPr="00F97284" w:rsidRDefault="00F67E9E" w:rsidP="007F74AA">
            <w:pPr>
              <w:pBdr>
                <w:top w:val="nil"/>
                <w:left w:val="nil"/>
                <w:bottom w:val="nil"/>
                <w:right w:val="nil"/>
                <w:between w:val="nil"/>
              </w:pBdr>
              <w:rPr>
                <w:iCs/>
                <w:sz w:val="20"/>
              </w:rPr>
            </w:pPr>
            <w:r>
              <w:rPr>
                <w:iCs/>
                <w:sz w:val="20"/>
                <w:highlight w:val="yellow"/>
              </w:rPr>
              <w:t>[Guidance note:</w:t>
            </w:r>
            <w:r w:rsidRPr="002F232A">
              <w:rPr>
                <w:b w:val="0"/>
                <w:bCs/>
                <w:i/>
                <w:sz w:val="20"/>
                <w:highlight w:val="yellow"/>
              </w:rPr>
              <w:t xml:space="preserve"> </w:t>
            </w:r>
            <w:r w:rsidRPr="00EF5BA5">
              <w:rPr>
                <w:i/>
                <w:sz w:val="20"/>
                <w:highlight w:val="yellow"/>
              </w:rPr>
              <w:t>It is HMG’s intention to publish the top KPIs in the vast majority of contracts. The Authority must select at least three KPI/PIs which shall be publishable and also must select the single most important Social Value KPI/PI, which shall be publishable (four KPIs/PIs in total).</w:t>
            </w:r>
            <w:r w:rsidRPr="00EF5BA5">
              <w:rPr>
                <w:iCs/>
                <w:sz w:val="20"/>
                <w:highlight w:val="yellow"/>
              </w:rPr>
              <w:t>]</w:t>
            </w:r>
          </w:p>
        </w:tc>
      </w:tr>
      <w:tr w:rsidR="00F67E9E" w:rsidRPr="00562C7F" w14:paraId="35042721" w14:textId="77777777" w:rsidTr="007F74AA">
        <w:tc>
          <w:tcPr>
            <w:tcW w:w="680" w:type="dxa"/>
          </w:tcPr>
          <w:p w14:paraId="313EC697" w14:textId="77777777" w:rsidR="00F67E9E" w:rsidRPr="00562C7F" w:rsidRDefault="00F67E9E" w:rsidP="007F74AA">
            <w:pPr>
              <w:pBdr>
                <w:top w:val="nil"/>
                <w:left w:val="nil"/>
                <w:bottom w:val="nil"/>
                <w:right w:val="nil"/>
                <w:between w:val="nil"/>
              </w:pBdr>
              <w:rPr>
                <w:szCs w:val="24"/>
              </w:rPr>
            </w:pPr>
            <w:r w:rsidRPr="00562C7F">
              <w:rPr>
                <w:szCs w:val="24"/>
              </w:rPr>
              <w:t>KPI1</w:t>
            </w:r>
          </w:p>
        </w:tc>
        <w:tc>
          <w:tcPr>
            <w:tcW w:w="2098" w:type="dxa"/>
          </w:tcPr>
          <w:p w14:paraId="50555716" w14:textId="77777777" w:rsidR="00F67E9E" w:rsidRPr="00562C7F" w:rsidRDefault="00F67E9E" w:rsidP="007F74AA">
            <w:pPr>
              <w:pBdr>
                <w:top w:val="nil"/>
                <w:left w:val="nil"/>
                <w:bottom w:val="nil"/>
                <w:right w:val="nil"/>
                <w:between w:val="nil"/>
              </w:pBdr>
              <w:rPr>
                <w:szCs w:val="24"/>
              </w:rPr>
            </w:pPr>
            <w:r w:rsidRPr="00562C7F">
              <w:rPr>
                <w:szCs w:val="24"/>
                <w:highlight w:val="yellow"/>
              </w:rPr>
              <w:t>[ ]</w:t>
            </w:r>
          </w:p>
        </w:tc>
        <w:tc>
          <w:tcPr>
            <w:tcW w:w="1361" w:type="dxa"/>
          </w:tcPr>
          <w:p w14:paraId="74FAC4B9" w14:textId="77777777" w:rsidR="00F67E9E" w:rsidRPr="00562C7F" w:rsidRDefault="00F67E9E" w:rsidP="007F74AA">
            <w:pPr>
              <w:pBdr>
                <w:top w:val="nil"/>
                <w:left w:val="nil"/>
                <w:bottom w:val="nil"/>
                <w:right w:val="nil"/>
                <w:between w:val="nil"/>
              </w:pBdr>
              <w:rPr>
                <w:szCs w:val="24"/>
              </w:rPr>
            </w:pPr>
            <w:r w:rsidRPr="00562C7F">
              <w:rPr>
                <w:szCs w:val="24"/>
                <w:highlight w:val="yellow"/>
              </w:rPr>
              <w:t>[ ]</w:t>
            </w:r>
          </w:p>
        </w:tc>
        <w:tc>
          <w:tcPr>
            <w:tcW w:w="1814" w:type="dxa"/>
          </w:tcPr>
          <w:p w14:paraId="5359F653" w14:textId="77777777" w:rsidR="00F67E9E" w:rsidRPr="00562C7F" w:rsidRDefault="00F67E9E" w:rsidP="007F74AA">
            <w:pPr>
              <w:pBdr>
                <w:top w:val="nil"/>
                <w:left w:val="nil"/>
                <w:bottom w:val="nil"/>
                <w:right w:val="nil"/>
                <w:between w:val="nil"/>
              </w:pBdr>
              <w:rPr>
                <w:szCs w:val="24"/>
              </w:rPr>
            </w:pPr>
          </w:p>
        </w:tc>
        <w:tc>
          <w:tcPr>
            <w:tcW w:w="2835" w:type="dxa"/>
          </w:tcPr>
          <w:p w14:paraId="3D4BB794" w14:textId="77777777" w:rsidR="00F67E9E" w:rsidRPr="00562C7F" w:rsidRDefault="00F67E9E" w:rsidP="007F74AA">
            <w:pPr>
              <w:pBdr>
                <w:top w:val="nil"/>
                <w:left w:val="nil"/>
                <w:bottom w:val="nil"/>
                <w:right w:val="nil"/>
                <w:between w:val="nil"/>
              </w:pBdr>
              <w:rPr>
                <w:szCs w:val="24"/>
              </w:rPr>
            </w:pPr>
            <w:r w:rsidRPr="00562C7F">
              <w:rPr>
                <w:szCs w:val="24"/>
              </w:rPr>
              <w:t xml:space="preserve">Target Performance Level: </w:t>
            </w:r>
            <w:r w:rsidRPr="00562C7F">
              <w:rPr>
                <w:szCs w:val="24"/>
                <w:highlight w:val="yellow"/>
              </w:rPr>
              <w:t>[ ]</w:t>
            </w:r>
          </w:p>
          <w:p w14:paraId="1CCE720C" w14:textId="77777777" w:rsidR="00F67E9E" w:rsidRPr="00562C7F" w:rsidRDefault="00F67E9E" w:rsidP="007F74AA">
            <w:pPr>
              <w:pBdr>
                <w:top w:val="nil"/>
                <w:left w:val="nil"/>
                <w:bottom w:val="nil"/>
                <w:right w:val="nil"/>
                <w:between w:val="nil"/>
              </w:pBdr>
              <w:rPr>
                <w:szCs w:val="24"/>
              </w:rPr>
            </w:pPr>
            <w:r w:rsidRPr="00562C7F">
              <w:rPr>
                <w:szCs w:val="24"/>
              </w:rPr>
              <w:t xml:space="preserve">Minor KPI Failure: </w:t>
            </w:r>
            <w:r w:rsidRPr="00562C7F">
              <w:rPr>
                <w:szCs w:val="24"/>
                <w:highlight w:val="yellow"/>
              </w:rPr>
              <w:t>[ ]</w:t>
            </w:r>
          </w:p>
          <w:p w14:paraId="36FA0290" w14:textId="77777777" w:rsidR="00F67E9E" w:rsidRPr="00562C7F" w:rsidRDefault="00F67E9E" w:rsidP="007F74AA">
            <w:pPr>
              <w:pBdr>
                <w:top w:val="nil"/>
                <w:left w:val="nil"/>
                <w:bottom w:val="nil"/>
                <w:right w:val="nil"/>
                <w:between w:val="nil"/>
              </w:pBdr>
              <w:rPr>
                <w:szCs w:val="24"/>
              </w:rPr>
            </w:pPr>
            <w:r w:rsidRPr="00562C7F">
              <w:rPr>
                <w:szCs w:val="24"/>
              </w:rPr>
              <w:t xml:space="preserve">Serious KPI Failure: </w:t>
            </w:r>
            <w:r w:rsidRPr="00562C7F">
              <w:rPr>
                <w:szCs w:val="24"/>
                <w:highlight w:val="yellow"/>
              </w:rPr>
              <w:t>[ ]</w:t>
            </w:r>
          </w:p>
          <w:p w14:paraId="30411DBD" w14:textId="77777777" w:rsidR="00F67E9E" w:rsidRPr="00562C7F" w:rsidRDefault="00F67E9E" w:rsidP="007F74AA">
            <w:pPr>
              <w:pBdr>
                <w:top w:val="nil"/>
                <w:left w:val="nil"/>
                <w:bottom w:val="nil"/>
                <w:right w:val="nil"/>
                <w:between w:val="nil"/>
              </w:pBdr>
              <w:rPr>
                <w:szCs w:val="24"/>
              </w:rPr>
            </w:pPr>
            <w:r w:rsidRPr="00562C7F">
              <w:rPr>
                <w:szCs w:val="24"/>
              </w:rPr>
              <w:t xml:space="preserve">Severe KPI Failure: </w:t>
            </w:r>
            <w:r w:rsidRPr="00562C7F">
              <w:rPr>
                <w:szCs w:val="24"/>
                <w:highlight w:val="yellow"/>
              </w:rPr>
              <w:t>[ ]</w:t>
            </w:r>
          </w:p>
          <w:p w14:paraId="4D1EA3D1" w14:textId="77777777" w:rsidR="00F67E9E" w:rsidRPr="00562C7F" w:rsidRDefault="00F67E9E" w:rsidP="007F74AA">
            <w:pPr>
              <w:pBdr>
                <w:top w:val="nil"/>
                <w:left w:val="nil"/>
                <w:bottom w:val="nil"/>
                <w:right w:val="nil"/>
                <w:between w:val="nil"/>
              </w:pBdr>
              <w:rPr>
                <w:szCs w:val="24"/>
              </w:rPr>
            </w:pPr>
            <w:r w:rsidRPr="00562C7F">
              <w:rPr>
                <w:szCs w:val="24"/>
              </w:rPr>
              <w:t xml:space="preserve">Service Threshold: </w:t>
            </w:r>
            <w:r w:rsidRPr="00562C7F">
              <w:rPr>
                <w:szCs w:val="24"/>
                <w:highlight w:val="yellow"/>
              </w:rPr>
              <w:t>[ ]</w:t>
            </w:r>
          </w:p>
        </w:tc>
        <w:tc>
          <w:tcPr>
            <w:tcW w:w="987" w:type="dxa"/>
          </w:tcPr>
          <w:p w14:paraId="2B7F5FB2" w14:textId="77777777" w:rsidR="00F67E9E" w:rsidRPr="00562C7F" w:rsidRDefault="00F67E9E" w:rsidP="007F74AA">
            <w:pPr>
              <w:pBdr>
                <w:top w:val="nil"/>
                <w:left w:val="nil"/>
                <w:bottom w:val="nil"/>
                <w:right w:val="nil"/>
                <w:between w:val="nil"/>
              </w:pBdr>
              <w:rPr>
                <w:szCs w:val="24"/>
              </w:rPr>
            </w:pPr>
            <w:r w:rsidRPr="00562C7F">
              <w:rPr>
                <w:szCs w:val="24"/>
              </w:rPr>
              <w:t>0</w:t>
            </w:r>
            <w:r>
              <w:rPr>
                <w:szCs w:val="24"/>
              </w:rPr>
              <w:br/>
            </w:r>
          </w:p>
          <w:p w14:paraId="5086F02D" w14:textId="77777777" w:rsidR="00F67E9E" w:rsidRPr="00562C7F" w:rsidRDefault="00F67E9E" w:rsidP="007F74AA">
            <w:pPr>
              <w:pBdr>
                <w:top w:val="nil"/>
                <w:left w:val="nil"/>
                <w:bottom w:val="nil"/>
                <w:right w:val="nil"/>
                <w:between w:val="nil"/>
              </w:pBdr>
              <w:rPr>
                <w:szCs w:val="24"/>
                <w:highlight w:val="yellow"/>
              </w:rPr>
            </w:pPr>
            <w:r w:rsidRPr="00562C7F">
              <w:rPr>
                <w:szCs w:val="24"/>
                <w:highlight w:val="yellow"/>
              </w:rPr>
              <w:t>[1]</w:t>
            </w:r>
          </w:p>
          <w:p w14:paraId="63B8D73F" w14:textId="77777777" w:rsidR="00F67E9E" w:rsidRPr="00562C7F" w:rsidRDefault="00F67E9E" w:rsidP="007F74AA">
            <w:pPr>
              <w:pBdr>
                <w:top w:val="nil"/>
                <w:left w:val="nil"/>
                <w:bottom w:val="nil"/>
                <w:right w:val="nil"/>
                <w:between w:val="nil"/>
              </w:pBdr>
              <w:rPr>
                <w:szCs w:val="24"/>
                <w:highlight w:val="yellow"/>
              </w:rPr>
            </w:pPr>
            <w:r w:rsidRPr="00562C7F">
              <w:rPr>
                <w:szCs w:val="24"/>
                <w:highlight w:val="yellow"/>
              </w:rPr>
              <w:t>[2]</w:t>
            </w:r>
          </w:p>
          <w:p w14:paraId="4526711D" w14:textId="77777777" w:rsidR="00F67E9E" w:rsidRPr="00562C7F" w:rsidRDefault="00F67E9E" w:rsidP="007F74AA">
            <w:pPr>
              <w:pBdr>
                <w:top w:val="nil"/>
                <w:left w:val="nil"/>
                <w:bottom w:val="nil"/>
                <w:right w:val="nil"/>
                <w:between w:val="nil"/>
              </w:pBdr>
              <w:rPr>
                <w:szCs w:val="24"/>
                <w:highlight w:val="yellow"/>
              </w:rPr>
            </w:pPr>
            <w:r w:rsidRPr="00562C7F">
              <w:rPr>
                <w:szCs w:val="24"/>
                <w:highlight w:val="yellow"/>
              </w:rPr>
              <w:t>[3]</w:t>
            </w:r>
          </w:p>
          <w:p w14:paraId="6ECE4E95" w14:textId="77777777" w:rsidR="00F67E9E" w:rsidRPr="00562C7F" w:rsidRDefault="00F67E9E" w:rsidP="007F74AA">
            <w:pPr>
              <w:pBdr>
                <w:top w:val="nil"/>
                <w:left w:val="nil"/>
                <w:bottom w:val="nil"/>
                <w:right w:val="nil"/>
                <w:between w:val="nil"/>
              </w:pBdr>
              <w:rPr>
                <w:szCs w:val="24"/>
              </w:rPr>
            </w:pPr>
            <w:r w:rsidRPr="00562C7F">
              <w:rPr>
                <w:szCs w:val="24"/>
                <w:highlight w:val="yellow"/>
              </w:rPr>
              <w:t>[4]</w:t>
            </w:r>
          </w:p>
        </w:tc>
        <w:tc>
          <w:tcPr>
            <w:tcW w:w="5386" w:type="dxa"/>
          </w:tcPr>
          <w:p w14:paraId="7BA99D4A" w14:textId="77777777" w:rsidR="00F67E9E" w:rsidRPr="00562C7F" w:rsidRDefault="00F67E9E" w:rsidP="007F74AA">
            <w:pPr>
              <w:pBdr>
                <w:top w:val="nil"/>
                <w:left w:val="nil"/>
                <w:bottom w:val="nil"/>
                <w:right w:val="nil"/>
                <w:between w:val="nil"/>
              </w:pBdr>
              <w:rPr>
                <w:szCs w:val="24"/>
              </w:rPr>
            </w:pPr>
            <w:r w:rsidRPr="00562C7F">
              <w:rPr>
                <w:szCs w:val="24"/>
                <w:highlight w:val="yellow"/>
              </w:rPr>
              <w:t>[YES/NO]</w:t>
            </w:r>
          </w:p>
        </w:tc>
      </w:tr>
    </w:tbl>
    <w:p w14:paraId="7B5DF194" w14:textId="77777777" w:rsidR="00F67E9E" w:rsidRDefault="00F67E9E" w:rsidP="00F67E9E"/>
    <w:p w14:paraId="5E09BDBD" w14:textId="77777777" w:rsidR="00F67E9E" w:rsidRDefault="00F67E9E" w:rsidP="00F67E9E">
      <w:r>
        <w:br w:type="page"/>
      </w:r>
    </w:p>
    <w:p w14:paraId="36C0E8FB" w14:textId="77777777" w:rsidR="00F67E9E" w:rsidRPr="008C01F0" w:rsidRDefault="00F67E9E" w:rsidP="00F67E9E">
      <w:pPr>
        <w:pStyle w:val="Heading3"/>
        <w:numPr>
          <w:ilvl w:val="0"/>
          <w:numId w:val="36"/>
        </w:numPr>
        <w:tabs>
          <w:tab w:val="clear" w:pos="720"/>
        </w:tabs>
      </w:pPr>
      <w:r w:rsidRPr="009E1FEF">
        <w:t>Subsidiary Performance Indicators</w:t>
      </w:r>
    </w:p>
    <w:tbl>
      <w:tblPr>
        <w:tblStyle w:val="MSATable-header"/>
        <w:tblW w:w="15137" w:type="dxa"/>
        <w:tblLayout w:type="fixed"/>
        <w:tblLook w:val="0620" w:firstRow="1" w:lastRow="0" w:firstColumn="0" w:lastColumn="0" w:noHBand="1" w:noVBand="1"/>
      </w:tblPr>
      <w:tblGrid>
        <w:gridCol w:w="680"/>
        <w:gridCol w:w="3061"/>
        <w:gridCol w:w="1361"/>
        <w:gridCol w:w="1814"/>
        <w:gridCol w:w="2835"/>
        <w:gridCol w:w="5386"/>
      </w:tblGrid>
      <w:tr w:rsidR="00F67E9E" w:rsidRPr="009B681D" w14:paraId="094E6D5D" w14:textId="77777777" w:rsidTr="007F74AA">
        <w:trPr>
          <w:cnfStyle w:val="100000000000" w:firstRow="1" w:lastRow="0" w:firstColumn="0" w:lastColumn="0" w:oddVBand="0" w:evenVBand="0" w:oddHBand="0" w:evenHBand="0" w:firstRowFirstColumn="0" w:firstRowLastColumn="0" w:lastRowFirstColumn="0" w:lastRowLastColumn="0"/>
          <w:tblHeader/>
        </w:trPr>
        <w:tc>
          <w:tcPr>
            <w:tcW w:w="680" w:type="dxa"/>
          </w:tcPr>
          <w:p w14:paraId="21B6BF8D" w14:textId="77777777" w:rsidR="00F67E9E" w:rsidRPr="009B681D" w:rsidRDefault="00F67E9E" w:rsidP="007F74AA">
            <w:pPr>
              <w:pBdr>
                <w:top w:val="nil"/>
                <w:left w:val="nil"/>
                <w:bottom w:val="nil"/>
                <w:right w:val="nil"/>
                <w:between w:val="nil"/>
              </w:pBdr>
              <w:rPr>
                <w:szCs w:val="24"/>
              </w:rPr>
            </w:pPr>
            <w:r w:rsidRPr="009B681D">
              <w:rPr>
                <w:szCs w:val="24"/>
              </w:rPr>
              <w:t>No.</w:t>
            </w:r>
          </w:p>
        </w:tc>
        <w:tc>
          <w:tcPr>
            <w:tcW w:w="3061" w:type="dxa"/>
          </w:tcPr>
          <w:p w14:paraId="7ADF39F1" w14:textId="77777777" w:rsidR="00F67E9E" w:rsidRPr="009B681D" w:rsidRDefault="00F67E9E" w:rsidP="007F74AA">
            <w:pPr>
              <w:pBdr>
                <w:top w:val="nil"/>
                <w:left w:val="nil"/>
                <w:bottom w:val="nil"/>
                <w:right w:val="nil"/>
                <w:between w:val="nil"/>
              </w:pBdr>
              <w:rPr>
                <w:szCs w:val="24"/>
              </w:rPr>
            </w:pPr>
            <w:r w:rsidRPr="009B681D">
              <w:rPr>
                <w:szCs w:val="24"/>
              </w:rPr>
              <w:t>Subsidiary Performance Indicator Title</w:t>
            </w:r>
          </w:p>
        </w:tc>
        <w:tc>
          <w:tcPr>
            <w:tcW w:w="1361" w:type="dxa"/>
          </w:tcPr>
          <w:p w14:paraId="60BEDBD1" w14:textId="77777777" w:rsidR="00F67E9E" w:rsidRPr="009B681D" w:rsidRDefault="00F67E9E" w:rsidP="007F74AA">
            <w:pPr>
              <w:pBdr>
                <w:top w:val="nil"/>
                <w:left w:val="nil"/>
                <w:bottom w:val="nil"/>
                <w:right w:val="nil"/>
                <w:between w:val="nil"/>
              </w:pBdr>
              <w:rPr>
                <w:szCs w:val="24"/>
              </w:rPr>
            </w:pPr>
            <w:r w:rsidRPr="009B681D">
              <w:rPr>
                <w:szCs w:val="24"/>
              </w:rPr>
              <w:t>Definition</w:t>
            </w:r>
          </w:p>
        </w:tc>
        <w:tc>
          <w:tcPr>
            <w:tcW w:w="1814" w:type="dxa"/>
          </w:tcPr>
          <w:p w14:paraId="1503D824" w14:textId="77777777" w:rsidR="00F67E9E" w:rsidRPr="009B681D" w:rsidRDefault="00F67E9E" w:rsidP="007F74AA">
            <w:pPr>
              <w:pBdr>
                <w:top w:val="nil"/>
                <w:left w:val="nil"/>
                <w:bottom w:val="nil"/>
                <w:right w:val="nil"/>
                <w:between w:val="nil"/>
              </w:pBdr>
              <w:rPr>
                <w:szCs w:val="24"/>
              </w:rPr>
            </w:pPr>
            <w:r w:rsidRPr="009B681D">
              <w:rPr>
                <w:szCs w:val="24"/>
              </w:rPr>
              <w:t>Frequency of Measurement</w:t>
            </w:r>
          </w:p>
        </w:tc>
        <w:tc>
          <w:tcPr>
            <w:tcW w:w="2835" w:type="dxa"/>
          </w:tcPr>
          <w:p w14:paraId="4F87902E" w14:textId="77777777" w:rsidR="00F67E9E" w:rsidRPr="009B681D" w:rsidRDefault="00F67E9E" w:rsidP="007F74AA">
            <w:pPr>
              <w:pBdr>
                <w:top w:val="nil"/>
                <w:left w:val="nil"/>
                <w:bottom w:val="nil"/>
                <w:right w:val="nil"/>
                <w:between w:val="nil"/>
              </w:pBdr>
              <w:rPr>
                <w:szCs w:val="24"/>
              </w:rPr>
            </w:pPr>
            <w:r w:rsidRPr="009B681D">
              <w:rPr>
                <w:szCs w:val="24"/>
              </w:rPr>
              <w:t>Severity Levels</w:t>
            </w:r>
          </w:p>
        </w:tc>
        <w:tc>
          <w:tcPr>
            <w:tcW w:w="5386" w:type="dxa"/>
          </w:tcPr>
          <w:p w14:paraId="1EB309E8" w14:textId="77777777" w:rsidR="00F67E9E" w:rsidRPr="009B681D" w:rsidRDefault="00F67E9E" w:rsidP="007F74AA">
            <w:pPr>
              <w:pBdr>
                <w:top w:val="nil"/>
                <w:left w:val="nil"/>
                <w:bottom w:val="nil"/>
                <w:right w:val="nil"/>
                <w:between w:val="nil"/>
              </w:pBdr>
              <w:rPr>
                <w:szCs w:val="24"/>
              </w:rPr>
            </w:pPr>
            <w:r w:rsidRPr="009B681D">
              <w:rPr>
                <w:szCs w:val="24"/>
              </w:rPr>
              <w:t>Publishable Performance Information</w:t>
            </w:r>
          </w:p>
          <w:p w14:paraId="558FD0E9" w14:textId="77777777" w:rsidR="00F67E9E" w:rsidRPr="00F97284" w:rsidRDefault="00F67E9E" w:rsidP="007F74AA">
            <w:pPr>
              <w:pBdr>
                <w:top w:val="nil"/>
                <w:left w:val="nil"/>
                <w:bottom w:val="nil"/>
                <w:right w:val="nil"/>
                <w:between w:val="nil"/>
              </w:pBdr>
              <w:rPr>
                <w:iCs/>
                <w:sz w:val="20"/>
              </w:rPr>
            </w:pPr>
            <w:r>
              <w:rPr>
                <w:iCs/>
                <w:sz w:val="20"/>
                <w:highlight w:val="yellow"/>
              </w:rPr>
              <w:t>[Guidance note:</w:t>
            </w:r>
            <w:r w:rsidRPr="002F232A">
              <w:rPr>
                <w:i/>
                <w:sz w:val="20"/>
                <w:highlight w:val="yellow"/>
              </w:rPr>
              <w:t xml:space="preserve"> </w:t>
            </w:r>
            <w:r w:rsidRPr="00140BDF">
              <w:rPr>
                <w:i/>
                <w:sz w:val="20"/>
                <w:highlight w:val="yellow"/>
              </w:rPr>
              <w:t>It is HMG’s intention to publish the top KPIs in the vast majority of contracts. The Authority must select at least three KPI/PIs which shall be publishable and also must select the single most important Social Value KPI/PI, which shall be publishable (four KPIs/PIs in total).]</w:t>
            </w:r>
          </w:p>
        </w:tc>
      </w:tr>
      <w:tr w:rsidR="00F67E9E" w14:paraId="5E78DB7D" w14:textId="77777777" w:rsidTr="007F74AA">
        <w:tc>
          <w:tcPr>
            <w:tcW w:w="680" w:type="dxa"/>
          </w:tcPr>
          <w:p w14:paraId="20C63FC9" w14:textId="77777777" w:rsidR="00F67E9E" w:rsidRDefault="00F67E9E" w:rsidP="007F74AA">
            <w:pPr>
              <w:pBdr>
                <w:top w:val="nil"/>
                <w:left w:val="nil"/>
                <w:bottom w:val="nil"/>
                <w:right w:val="nil"/>
                <w:between w:val="nil"/>
              </w:pBdr>
              <w:rPr>
                <w:szCs w:val="24"/>
              </w:rPr>
            </w:pPr>
            <w:r>
              <w:rPr>
                <w:szCs w:val="24"/>
              </w:rPr>
              <w:t>PI1</w:t>
            </w:r>
          </w:p>
        </w:tc>
        <w:tc>
          <w:tcPr>
            <w:tcW w:w="3061" w:type="dxa"/>
          </w:tcPr>
          <w:p w14:paraId="7089C1EE" w14:textId="77777777" w:rsidR="00F67E9E" w:rsidRDefault="00F67E9E" w:rsidP="007F74AA">
            <w:pPr>
              <w:pBdr>
                <w:top w:val="nil"/>
                <w:left w:val="nil"/>
                <w:bottom w:val="nil"/>
                <w:right w:val="nil"/>
                <w:between w:val="nil"/>
              </w:pBdr>
              <w:rPr>
                <w:szCs w:val="24"/>
              </w:rPr>
            </w:pPr>
            <w:r>
              <w:rPr>
                <w:szCs w:val="24"/>
                <w:highlight w:val="yellow"/>
              </w:rPr>
              <w:t>[ ]</w:t>
            </w:r>
          </w:p>
        </w:tc>
        <w:tc>
          <w:tcPr>
            <w:tcW w:w="1361" w:type="dxa"/>
          </w:tcPr>
          <w:p w14:paraId="6FE1C556" w14:textId="77777777" w:rsidR="00F67E9E" w:rsidRDefault="00F67E9E" w:rsidP="007F74AA">
            <w:pPr>
              <w:pBdr>
                <w:top w:val="nil"/>
                <w:left w:val="nil"/>
                <w:bottom w:val="nil"/>
                <w:right w:val="nil"/>
                <w:between w:val="nil"/>
              </w:pBdr>
              <w:rPr>
                <w:szCs w:val="24"/>
                <w:highlight w:val="yellow"/>
              </w:rPr>
            </w:pPr>
            <w:r>
              <w:rPr>
                <w:szCs w:val="24"/>
                <w:highlight w:val="yellow"/>
              </w:rPr>
              <w:t>[ ]</w:t>
            </w:r>
          </w:p>
        </w:tc>
        <w:tc>
          <w:tcPr>
            <w:tcW w:w="1814" w:type="dxa"/>
          </w:tcPr>
          <w:p w14:paraId="435C7A70" w14:textId="77777777" w:rsidR="00F67E9E" w:rsidRDefault="00F67E9E" w:rsidP="007F74AA">
            <w:pPr>
              <w:pBdr>
                <w:top w:val="nil"/>
                <w:left w:val="nil"/>
                <w:bottom w:val="nil"/>
                <w:right w:val="nil"/>
                <w:between w:val="nil"/>
              </w:pBdr>
              <w:rPr>
                <w:szCs w:val="24"/>
              </w:rPr>
            </w:pPr>
          </w:p>
        </w:tc>
        <w:tc>
          <w:tcPr>
            <w:tcW w:w="2835" w:type="dxa"/>
          </w:tcPr>
          <w:p w14:paraId="4DD200D0" w14:textId="77777777" w:rsidR="00F67E9E" w:rsidRDefault="00F67E9E" w:rsidP="007F74AA">
            <w:pPr>
              <w:pBdr>
                <w:top w:val="nil"/>
                <w:left w:val="nil"/>
                <w:bottom w:val="nil"/>
                <w:right w:val="nil"/>
                <w:between w:val="nil"/>
              </w:pBdr>
              <w:rPr>
                <w:szCs w:val="24"/>
              </w:rPr>
            </w:pPr>
            <w:r>
              <w:rPr>
                <w:szCs w:val="24"/>
              </w:rPr>
              <w:t xml:space="preserve">Target Performance Level: </w:t>
            </w:r>
            <w:r>
              <w:rPr>
                <w:szCs w:val="24"/>
                <w:highlight w:val="yellow"/>
              </w:rPr>
              <w:t>[ ]</w:t>
            </w:r>
          </w:p>
          <w:p w14:paraId="0C761B82" w14:textId="77777777" w:rsidR="00F67E9E" w:rsidRDefault="00F67E9E" w:rsidP="007F74AA">
            <w:pPr>
              <w:pBdr>
                <w:top w:val="nil"/>
                <w:left w:val="nil"/>
                <w:bottom w:val="nil"/>
                <w:right w:val="nil"/>
                <w:between w:val="nil"/>
              </w:pBdr>
              <w:rPr>
                <w:szCs w:val="24"/>
              </w:rPr>
            </w:pPr>
            <w:r>
              <w:rPr>
                <w:szCs w:val="24"/>
              </w:rPr>
              <w:t xml:space="preserve">Service Threshold: </w:t>
            </w:r>
            <w:r>
              <w:rPr>
                <w:szCs w:val="24"/>
                <w:highlight w:val="yellow"/>
              </w:rPr>
              <w:t>[ ]</w:t>
            </w:r>
          </w:p>
        </w:tc>
        <w:tc>
          <w:tcPr>
            <w:tcW w:w="5386" w:type="dxa"/>
          </w:tcPr>
          <w:p w14:paraId="2A0A0BF1" w14:textId="77777777" w:rsidR="00F67E9E" w:rsidRDefault="00F67E9E" w:rsidP="007F74AA">
            <w:pPr>
              <w:pBdr>
                <w:top w:val="nil"/>
                <w:left w:val="nil"/>
                <w:bottom w:val="nil"/>
                <w:right w:val="nil"/>
                <w:between w:val="nil"/>
              </w:pBdr>
              <w:rPr>
                <w:szCs w:val="24"/>
              </w:rPr>
            </w:pPr>
            <w:r>
              <w:rPr>
                <w:szCs w:val="24"/>
                <w:highlight w:val="yellow"/>
              </w:rPr>
              <w:t>[YES/NO]</w:t>
            </w:r>
          </w:p>
        </w:tc>
      </w:tr>
    </w:tbl>
    <w:p w14:paraId="5D893A6D" w14:textId="77777777" w:rsidR="00F67E9E" w:rsidRDefault="00F67E9E" w:rsidP="00F67E9E"/>
    <w:p w14:paraId="749356A3" w14:textId="77777777" w:rsidR="00F67E9E" w:rsidRDefault="00F67E9E" w:rsidP="00F67E9E"/>
    <w:p w14:paraId="536FB2C2" w14:textId="77777777" w:rsidR="00F67E9E" w:rsidRDefault="00F67E9E" w:rsidP="00F67E9E">
      <w:pPr>
        <w:sectPr w:rsidR="00F67E9E" w:rsidSect="00240D26">
          <w:footerReference w:type="default" r:id="rId33"/>
          <w:pgSz w:w="16834" w:h="11909" w:orient="landscape" w:code="9"/>
          <w:pgMar w:top="1701" w:right="851" w:bottom="1134" w:left="851" w:header="567" w:footer="567" w:gutter="0"/>
          <w:cols w:space="720"/>
        </w:sectPr>
      </w:pPr>
    </w:p>
    <w:p w14:paraId="7F29ACF1" w14:textId="77777777" w:rsidR="00F67E9E" w:rsidRDefault="00F67E9E" w:rsidP="00F67E9E">
      <w:pPr>
        <w:pStyle w:val="Heading2"/>
      </w:pPr>
      <w:bookmarkStart w:id="401" w:name="_heading=h.1v1yuxt" w:colFirst="0" w:colLast="0"/>
      <w:bookmarkStart w:id="402" w:name="Sch3Ann1PartB"/>
      <w:bookmarkStart w:id="403" w:name="Schedule3PartBAnnex1PartB"/>
      <w:bookmarkStart w:id="404" w:name="_Ref92197454"/>
      <w:bookmarkStart w:id="405" w:name="_Toc141711905"/>
      <w:bookmarkEnd w:id="401"/>
      <w:r w:rsidRPr="0089405F">
        <w:t>Part B</w:t>
      </w:r>
      <w:bookmarkEnd w:id="402"/>
      <w:bookmarkEnd w:id="403"/>
      <w:r w:rsidRPr="0089405F">
        <w:t xml:space="preserve">: </w:t>
      </w:r>
      <w:bookmarkStart w:id="406" w:name="Schedule3PartBAnnex1PartBHeading"/>
      <w:r w:rsidRPr="0089405F">
        <w:t>Definitions</w:t>
      </w:r>
      <w:bookmarkEnd w:id="404"/>
      <w:bookmarkEnd w:id="405"/>
      <w:bookmarkEnd w:id="406"/>
    </w:p>
    <w:p w14:paraId="7CDC8C0A" w14:textId="77777777" w:rsidR="00F67E9E" w:rsidRDefault="00F67E9E" w:rsidP="00F67E9E">
      <w:pPr>
        <w:pStyle w:val="AppendixText1"/>
        <w:numPr>
          <w:ilvl w:val="0"/>
          <w:numId w:val="146"/>
        </w:numPr>
      </w:pPr>
      <w:bookmarkStart w:id="407" w:name="_heading=h.4f1mdlm" w:colFirst="0" w:colLast="0"/>
      <w:bookmarkStart w:id="408" w:name="_Ref99014433"/>
      <w:bookmarkEnd w:id="407"/>
      <w:r w:rsidRPr="009E1FEF">
        <w:t>Available</w:t>
      </w:r>
      <w:bookmarkEnd w:id="408"/>
    </w:p>
    <w:p w14:paraId="33F54A74" w14:textId="77777777" w:rsidR="00F67E9E" w:rsidRPr="009E1FEF" w:rsidRDefault="00F67E9E" w:rsidP="00F67E9E">
      <w:pPr>
        <w:pStyle w:val="AppendixText2"/>
        <w:tabs>
          <w:tab w:val="num" w:pos="720"/>
        </w:tabs>
      </w:pPr>
      <w:bookmarkStart w:id="409" w:name="_heading=h.2u6wntf" w:colFirst="0" w:colLast="0"/>
      <w:bookmarkStart w:id="410" w:name="_Ref99013550"/>
      <w:bookmarkEnd w:id="409"/>
      <w:r w:rsidRPr="009E1FEF">
        <w:t>The IT Environment and/or the Services shall be Available when:</w:t>
      </w:r>
      <w:bookmarkEnd w:id="410"/>
      <w:r w:rsidRPr="009E1FEF">
        <w:t xml:space="preserve"> </w:t>
      </w:r>
    </w:p>
    <w:p w14:paraId="6436107E" w14:textId="77777777" w:rsidR="00F67E9E" w:rsidRPr="009E1FEF" w:rsidRDefault="00F67E9E" w:rsidP="00F67E9E">
      <w:pPr>
        <w:pStyle w:val="AppendixText3"/>
        <w:tabs>
          <w:tab w:val="clear" w:pos="1800"/>
        </w:tabs>
      </w:pPr>
      <w:bookmarkStart w:id="411" w:name="_Ref99013566"/>
      <w:r w:rsidRPr="009E1FEF">
        <w:t>End Users are able to access and utilise all the functions of the Supplier System and/or the Services; and</w:t>
      </w:r>
      <w:bookmarkEnd w:id="411"/>
    </w:p>
    <w:p w14:paraId="09238F23" w14:textId="77777777" w:rsidR="00F67E9E" w:rsidRPr="009E1FEF" w:rsidRDefault="00F67E9E" w:rsidP="00F67E9E">
      <w:pPr>
        <w:pStyle w:val="AppendixText3"/>
        <w:tabs>
          <w:tab w:val="clear" w:pos="1800"/>
        </w:tabs>
      </w:pPr>
      <w:r w:rsidRPr="009E1FEF">
        <w:t>the Supplier System is able to process the Authority Data and to provide any required reports within the timescales set out in the Services Description (as measured on a 24 x 7 basis); and</w:t>
      </w:r>
    </w:p>
    <w:p w14:paraId="3436F1A1" w14:textId="77777777" w:rsidR="00F67E9E" w:rsidRPr="009E1FEF" w:rsidRDefault="00F67E9E" w:rsidP="00F67E9E">
      <w:pPr>
        <w:pStyle w:val="AppendixText3"/>
        <w:tabs>
          <w:tab w:val="clear" w:pos="1800"/>
        </w:tabs>
      </w:pPr>
      <w:r w:rsidRPr="009E1FEF">
        <w:t>all Performance Indicators other than Service Availability are above the KPI Service Threshold.</w:t>
      </w:r>
    </w:p>
    <w:p w14:paraId="3AE08501" w14:textId="77777777" w:rsidR="00F67E9E" w:rsidRPr="00A11D6F" w:rsidRDefault="00F67E9E" w:rsidP="00F67E9E">
      <w:pPr>
        <w:pStyle w:val="AppendixText1"/>
        <w:tabs>
          <w:tab w:val="clear" w:pos="720"/>
        </w:tabs>
      </w:pPr>
      <w:bookmarkStart w:id="412" w:name="_heading=h.19c6y18" w:colFirst="0" w:colLast="0"/>
      <w:bookmarkStart w:id="413" w:name="_Ref99013649"/>
      <w:bookmarkEnd w:id="412"/>
      <w:r w:rsidRPr="00A11D6F">
        <w:t>Service Availability</w:t>
      </w:r>
      <w:bookmarkEnd w:id="413"/>
    </w:p>
    <w:p w14:paraId="525B5732" w14:textId="77777777" w:rsidR="00F67E9E" w:rsidRPr="009E1FEF" w:rsidRDefault="00F67E9E" w:rsidP="00F67E9E">
      <w:pPr>
        <w:pStyle w:val="AppendixText2"/>
      </w:pPr>
      <w:bookmarkStart w:id="414" w:name="_heading=h.3tbugp1" w:colFirst="0" w:colLast="0"/>
      <w:bookmarkEnd w:id="414"/>
      <w:r w:rsidRPr="009E1FEF">
        <w:t>Service Availability shall be measured as a percentage of the total time in a Service Period, in accordance with the following formula:</w:t>
      </w:r>
    </w:p>
    <w:p w14:paraId="152CFF38" w14:textId="77777777" w:rsidR="00F67E9E" w:rsidRPr="008A086C" w:rsidRDefault="00F67E9E" w:rsidP="00F67E9E">
      <w:pPr>
        <w:pBdr>
          <w:top w:val="nil"/>
          <w:left w:val="nil"/>
          <w:bottom w:val="nil"/>
          <w:right w:val="nil"/>
          <w:between w:val="nil"/>
        </w:pBdr>
        <w:spacing w:before="100" w:after="200"/>
        <w:ind w:left="720"/>
        <w:rPr>
          <w:szCs w:val="24"/>
        </w:rPr>
      </w:pPr>
      <w:r w:rsidRPr="008A086C">
        <w:rPr>
          <w:szCs w:val="24"/>
        </w:rPr>
        <w:t xml:space="preserve">Service Availability % = </w:t>
      </w:r>
      <w:r w:rsidRPr="008A086C">
        <w:rPr>
          <w:szCs w:val="24"/>
        </w:rPr>
        <w:tab/>
      </w:r>
      <m:oMath>
        <m:f>
          <m:fPr>
            <m:ctrlPr>
              <w:rPr>
                <w:rFonts w:ascii="Cambria Math" w:eastAsia="Cambria Math" w:hAnsi="Cambria Math" w:cs="Cambria Math"/>
                <w:szCs w:val="24"/>
              </w:rPr>
            </m:ctrlPr>
          </m:fPr>
          <m:num>
            <m:d>
              <m:dPr>
                <m:ctrlPr>
                  <w:rPr>
                    <w:rFonts w:ascii="Cambria Math" w:eastAsia="Cambria Math" w:hAnsi="Cambria Math" w:cs="Cambria Math"/>
                    <w:szCs w:val="24"/>
                  </w:rPr>
                </m:ctrlPr>
              </m:dPr>
              <m:e>
                <m:r>
                  <w:rPr>
                    <w:rFonts w:ascii="Cambria Math" w:eastAsia="Cambria Math" w:hAnsi="Cambria Math" w:cs="Cambria Math"/>
                    <w:szCs w:val="24"/>
                  </w:rPr>
                  <m:t>MP-SD</m:t>
                </m:r>
              </m:e>
            </m:d>
            <m:r>
              <w:rPr>
                <w:rFonts w:ascii="Cambria Math" w:eastAsia="Cambria Math" w:hAnsi="Cambria Math" w:cs="Cambria Math"/>
                <w:szCs w:val="24"/>
              </w:rPr>
              <m:t xml:space="preserve"> ×100</m:t>
            </m:r>
          </m:num>
          <m:den>
            <m:r>
              <w:rPr>
                <w:rFonts w:ascii="Cambria Math" w:eastAsia="Cambria Math" w:hAnsi="Cambria Math" w:cs="Cambria Math"/>
                <w:szCs w:val="24"/>
              </w:rPr>
              <m:t>MP</m:t>
            </m:r>
          </m:den>
        </m:f>
      </m:oMath>
    </w:p>
    <w:p w14:paraId="7A47C9F4" w14:textId="77777777" w:rsidR="00F67E9E" w:rsidRPr="00BC27FD" w:rsidRDefault="00F67E9E" w:rsidP="00F67E9E">
      <w:pPr>
        <w:pBdr>
          <w:top w:val="nil"/>
          <w:left w:val="nil"/>
          <w:bottom w:val="nil"/>
          <w:right w:val="nil"/>
          <w:between w:val="nil"/>
        </w:pBdr>
        <w:spacing w:before="100" w:after="200"/>
        <w:ind w:left="720"/>
        <w:rPr>
          <w:szCs w:val="24"/>
        </w:rPr>
      </w:pPr>
      <w:r w:rsidRPr="00BC27FD">
        <w:rPr>
          <w:szCs w:val="24"/>
        </w:rPr>
        <w:t>where:</w:t>
      </w:r>
    </w:p>
    <w:p w14:paraId="2F1B81D7" w14:textId="77777777" w:rsidR="00F67E9E" w:rsidRPr="007C382B" w:rsidRDefault="00F67E9E" w:rsidP="00F67E9E">
      <w:pPr>
        <w:pBdr>
          <w:top w:val="nil"/>
          <w:left w:val="nil"/>
          <w:bottom w:val="nil"/>
          <w:right w:val="nil"/>
          <w:between w:val="nil"/>
        </w:pBdr>
        <w:spacing w:before="100" w:after="200"/>
        <w:ind w:left="1803" w:hanging="1083"/>
        <w:rPr>
          <w:szCs w:val="24"/>
        </w:rPr>
      </w:pPr>
      <w:r w:rsidRPr="007C382B">
        <w:rPr>
          <w:szCs w:val="24"/>
        </w:rPr>
        <w:t xml:space="preserve">MP = </w:t>
      </w:r>
      <w:r w:rsidRPr="007C382B">
        <w:rPr>
          <w:szCs w:val="24"/>
        </w:rPr>
        <w:tab/>
        <w:t>total number of minutes, excluding Permitted Maintenance, within the relevant Service Period; and</w:t>
      </w:r>
    </w:p>
    <w:p w14:paraId="4D50D3AC" w14:textId="77777777" w:rsidR="00F67E9E" w:rsidRPr="007C382B" w:rsidRDefault="00F67E9E" w:rsidP="00F67E9E">
      <w:pPr>
        <w:pBdr>
          <w:top w:val="nil"/>
          <w:left w:val="nil"/>
          <w:bottom w:val="nil"/>
          <w:right w:val="nil"/>
          <w:between w:val="nil"/>
        </w:pBdr>
        <w:spacing w:before="100" w:after="200"/>
        <w:ind w:left="1803" w:hanging="1083"/>
        <w:rPr>
          <w:szCs w:val="24"/>
        </w:rPr>
      </w:pPr>
      <w:r w:rsidRPr="007C382B">
        <w:rPr>
          <w:szCs w:val="24"/>
        </w:rPr>
        <w:t>SD =</w:t>
      </w:r>
      <w:r w:rsidRPr="007C382B">
        <w:rPr>
          <w:szCs w:val="24"/>
        </w:rPr>
        <w:tab/>
        <w:t>total number of minutes of Service Downtime, excluding Permitted Maintenance, in the relevant Service Period.</w:t>
      </w:r>
    </w:p>
    <w:p w14:paraId="30D53AA9" w14:textId="4A1FA2E9" w:rsidR="00F67E9E" w:rsidRPr="009E1FEF" w:rsidRDefault="00F67E9E" w:rsidP="00F67E9E">
      <w:pPr>
        <w:pStyle w:val="AppendixText2"/>
      </w:pPr>
      <w:bookmarkStart w:id="415" w:name="_heading=h.28h4qwu" w:colFirst="0" w:colLast="0"/>
      <w:bookmarkEnd w:id="415"/>
      <w:r w:rsidRPr="009E1FEF">
        <w:t xml:space="preserve">When calculating Service Availability in accordance with this Paragraph </w:t>
      </w:r>
      <w:r w:rsidRPr="009E1FEF">
        <w:fldChar w:fldCharType="begin"/>
      </w:r>
      <w:r w:rsidRPr="009E1FEF">
        <w:instrText xml:space="preserve"> REF _Ref99013649 \w \h  \* MERGEFORMAT </w:instrText>
      </w:r>
      <w:r w:rsidRPr="009E1FEF">
        <w:fldChar w:fldCharType="separate"/>
      </w:r>
      <w:r w:rsidR="00302D39">
        <w:t>2</w:t>
      </w:r>
      <w:r w:rsidRPr="009E1FEF">
        <w:fldChar w:fldCharType="end"/>
      </w:r>
      <w:r w:rsidRPr="009E1FEF">
        <w:t>:</w:t>
      </w:r>
    </w:p>
    <w:p w14:paraId="7F3842AD" w14:textId="77777777" w:rsidR="00F67E9E" w:rsidRPr="00166697" w:rsidRDefault="00F67E9E" w:rsidP="00F67E9E">
      <w:pPr>
        <w:pStyle w:val="AppendixText3"/>
        <w:tabs>
          <w:tab w:val="clear" w:pos="1800"/>
        </w:tabs>
      </w:pPr>
      <w:bookmarkStart w:id="416" w:name="_heading=h.nmf14n" w:colFirst="0" w:colLast="0"/>
      <w:bookmarkEnd w:id="416"/>
      <w:r w:rsidRPr="00166697">
        <w:t>Service Downtime arising due to Permitted Maintenance that is carried out by the Supplier in accordance with Clause 9.4 (</w:t>
      </w:r>
      <w:r w:rsidRPr="00166697">
        <w:rPr>
          <w:i/>
        </w:rPr>
        <w:t>Maintenance</w:t>
      </w:r>
      <w:r w:rsidRPr="00166697">
        <w:t>) shall be subtracted from the total number of hours in the relevant Service Period; and</w:t>
      </w:r>
    </w:p>
    <w:p w14:paraId="2C62EC85" w14:textId="77777777" w:rsidR="00F67E9E" w:rsidRPr="009E1FEF" w:rsidRDefault="00F67E9E" w:rsidP="00F67E9E">
      <w:pPr>
        <w:pStyle w:val="AppendixText3"/>
        <w:tabs>
          <w:tab w:val="clear" w:pos="1800"/>
        </w:tabs>
      </w:pPr>
      <w:r w:rsidRPr="009E1FEF">
        <w:t>Service Points shall accrue if:</w:t>
      </w:r>
    </w:p>
    <w:p w14:paraId="6A1885F4" w14:textId="77777777" w:rsidR="00F67E9E" w:rsidRPr="007C382B" w:rsidRDefault="00F67E9E" w:rsidP="00F67E9E">
      <w:pPr>
        <w:pStyle w:val="AppendixText4"/>
        <w:tabs>
          <w:tab w:val="clear" w:pos="2520"/>
        </w:tabs>
      </w:pPr>
      <w:r w:rsidRPr="007C382B">
        <w:t>any Service Downtime occurs as a result of Emergency Maintenance undertaken by the Supplier; or</w:t>
      </w:r>
    </w:p>
    <w:p w14:paraId="49D7C119" w14:textId="77777777" w:rsidR="00F67E9E" w:rsidRPr="00166697" w:rsidRDefault="00F67E9E" w:rsidP="00F67E9E">
      <w:pPr>
        <w:pStyle w:val="AppendixText4"/>
        <w:tabs>
          <w:tab w:val="clear" w:pos="2520"/>
        </w:tabs>
      </w:pPr>
      <w:r w:rsidRPr="00166697">
        <w:t>where maintenance undertaken by the Supplier exceeds</w:t>
      </w:r>
      <w:r w:rsidRPr="00A921DD">
        <w:t xml:space="preserve"> </w:t>
      </w:r>
      <w:r w:rsidRPr="00B73DD6">
        <w:rPr>
          <w:b/>
          <w:bCs/>
          <w:highlight w:val="yellow"/>
        </w:rPr>
        <w:t>[insert</w:t>
      </w:r>
      <w:r w:rsidRPr="00A921DD">
        <w:rPr>
          <w:iCs/>
          <w:highlight w:val="yellow"/>
        </w:rPr>
        <w:t xml:space="preserve"> number</w:t>
      </w:r>
      <w:r w:rsidRPr="00A921DD">
        <w:rPr>
          <w:highlight w:val="yellow"/>
        </w:rPr>
        <w:t>]</w:t>
      </w:r>
      <w:r w:rsidRPr="00166697">
        <w:t xml:space="preserve"> hours in any Service Period.</w:t>
      </w:r>
    </w:p>
    <w:p w14:paraId="7517C5A7" w14:textId="77777777" w:rsidR="00F67E9E" w:rsidRPr="00A11D6F" w:rsidRDefault="00F67E9E" w:rsidP="00F67E9E">
      <w:pPr>
        <w:pStyle w:val="AppendixText1"/>
        <w:tabs>
          <w:tab w:val="clear" w:pos="720"/>
        </w:tabs>
      </w:pPr>
      <w:bookmarkStart w:id="417" w:name="_heading=h.37m2jsg" w:colFirst="0" w:colLast="0"/>
      <w:bookmarkStart w:id="418" w:name="_Ref99014444"/>
      <w:bookmarkEnd w:id="417"/>
      <w:r w:rsidRPr="00A11D6F">
        <w:t>Response Times</w:t>
      </w:r>
      <w:bookmarkEnd w:id="418"/>
    </w:p>
    <w:p w14:paraId="2C069540" w14:textId="77777777" w:rsidR="00F67E9E" w:rsidRPr="00166697" w:rsidRDefault="00F67E9E" w:rsidP="00F67E9E">
      <w:pPr>
        <w:pStyle w:val="AppendixText2"/>
      </w:pPr>
      <w:bookmarkStart w:id="419" w:name="_heading=h.1mrcu09" w:colFirst="0" w:colLast="0"/>
      <w:bookmarkStart w:id="420" w:name="_Ref99013983"/>
      <w:bookmarkEnd w:id="419"/>
      <w:r w:rsidRPr="00166697">
        <w:t xml:space="preserve">The </w:t>
      </w:r>
      <w:r>
        <w:t>“</w:t>
      </w:r>
      <w:r w:rsidRPr="007C382B">
        <w:rPr>
          <w:b/>
        </w:rPr>
        <w:t>System Response Time</w:t>
      </w:r>
      <w:r>
        <w:t>”</w:t>
      </w:r>
      <w:r w:rsidRPr="00166697">
        <w:t xml:space="preserve"> is the round trip time taken to process a message or request of the IT Environment and/or the Services, and shall be measured from the moment the last packet of data which relates to a particular message is received at the external interface of the IT Environment until a response is generated and the first block of data leaves the external interface (including, for the avoidance of doubt, the time taken for any necessary processing).</w:t>
      </w:r>
      <w:bookmarkEnd w:id="420"/>
    </w:p>
    <w:p w14:paraId="13987C37" w14:textId="77777777" w:rsidR="00F67E9E" w:rsidRPr="009E1FEF" w:rsidRDefault="00F67E9E" w:rsidP="00F67E9E">
      <w:pPr>
        <w:pStyle w:val="AppendixText2"/>
      </w:pPr>
      <w:r w:rsidRPr="009E1FEF">
        <w:t>The Supplier System Response Time shall be the average System Response Time measured over the course of a Service Period.</w:t>
      </w:r>
    </w:p>
    <w:p w14:paraId="5BE1F3CA" w14:textId="77777777" w:rsidR="00F67E9E" w:rsidRPr="00A54A71" w:rsidRDefault="00F67E9E" w:rsidP="00F67E9E">
      <w:pPr>
        <w:pStyle w:val="AppendixText1"/>
        <w:tabs>
          <w:tab w:val="clear" w:pos="720"/>
        </w:tabs>
      </w:pPr>
      <w:bookmarkStart w:id="421" w:name="_heading=h.46r0co2" w:colFirst="0" w:colLast="0"/>
      <w:bookmarkStart w:id="422" w:name="_Ref99014464"/>
      <w:bookmarkEnd w:id="421"/>
      <w:r w:rsidRPr="00A54A71">
        <w:t>Help Desk Response Times</w:t>
      </w:r>
      <w:bookmarkEnd w:id="422"/>
    </w:p>
    <w:p w14:paraId="065273DD" w14:textId="77777777" w:rsidR="00F67E9E" w:rsidRPr="009E1FEF" w:rsidRDefault="00F67E9E" w:rsidP="00F67E9E">
      <w:pPr>
        <w:pStyle w:val="AppendixText2"/>
      </w:pPr>
      <w:r w:rsidRPr="009E1FEF">
        <w:t>Measurement of Help Desk response times will be based on the time taken for a Help Desk operative to answer a call. Calls receiving an automated response or placed into a queuing system shall be deemed not to have been answered.</w:t>
      </w:r>
    </w:p>
    <w:p w14:paraId="243392D8" w14:textId="07139E42" w:rsidR="00F67E9E" w:rsidRPr="00166697" w:rsidRDefault="00F67E9E" w:rsidP="00F67E9E">
      <w:pPr>
        <w:pStyle w:val="AppendixText2"/>
      </w:pPr>
      <w:bookmarkStart w:id="423" w:name="_heading=h.2lwamvv" w:colFirst="0" w:colLast="0"/>
      <w:bookmarkEnd w:id="423"/>
      <w:r w:rsidRPr="00166697">
        <w:t xml:space="preserve">The Supplier shall monitor the Help Desk response times and shall provide the results of such monitoring to the Authority in accordance with the provisions of </w:t>
      </w:r>
      <w:r w:rsidRPr="00FC322D">
        <w:rPr>
          <w:color w:val="000000"/>
        </w:rPr>
        <w:fldChar w:fldCharType="begin"/>
      </w:r>
      <w:r w:rsidRPr="00FC322D">
        <w:rPr>
          <w:color w:val="000000"/>
        </w:rPr>
        <w:instrText xml:space="preserve"> REF Sch3PartB \h </w:instrText>
      </w:r>
      <w:r>
        <w:rPr>
          <w:color w:val="000000"/>
        </w:rPr>
        <w:instrText xml:space="preserve"> \* MERGEFORMAT </w:instrText>
      </w:r>
      <w:r w:rsidRPr="00FC322D">
        <w:rPr>
          <w:color w:val="000000"/>
        </w:rPr>
      </w:r>
      <w:r w:rsidRPr="00FC322D">
        <w:rPr>
          <w:color w:val="000000"/>
        </w:rPr>
        <w:fldChar w:fldCharType="separate"/>
      </w:r>
      <w:r w:rsidR="00302D39" w:rsidRPr="00302D39">
        <w:rPr>
          <w:rFonts w:cs="Arial"/>
        </w:rPr>
        <w:t>Part B</w:t>
      </w:r>
      <w:r w:rsidRPr="00FC322D">
        <w:rPr>
          <w:color w:val="000000"/>
        </w:rPr>
        <w:fldChar w:fldCharType="end"/>
      </w:r>
      <w:r w:rsidRPr="00166697">
        <w:t xml:space="preserve"> of this Schedule.</w:t>
      </w:r>
    </w:p>
    <w:p w14:paraId="69952CBA" w14:textId="77777777" w:rsidR="00F67E9E" w:rsidRPr="00A54A71" w:rsidRDefault="00F67E9E" w:rsidP="00F67E9E">
      <w:pPr>
        <w:pStyle w:val="AppendixText1"/>
        <w:tabs>
          <w:tab w:val="clear" w:pos="720"/>
        </w:tabs>
      </w:pPr>
      <w:bookmarkStart w:id="424" w:name="_heading=h.111kx3o" w:colFirst="0" w:colLast="0"/>
      <w:bookmarkStart w:id="425" w:name="_Ref99014476"/>
      <w:bookmarkEnd w:id="424"/>
      <w:r w:rsidRPr="00A54A71">
        <w:t>Fix Times</w:t>
      </w:r>
      <w:bookmarkEnd w:id="425"/>
    </w:p>
    <w:p w14:paraId="1AE1C79F" w14:textId="77777777" w:rsidR="00F67E9E" w:rsidRPr="00166697" w:rsidRDefault="00F67E9E" w:rsidP="00F67E9E">
      <w:pPr>
        <w:pStyle w:val="AppendixText2"/>
      </w:pPr>
      <w:bookmarkStart w:id="426" w:name="_heading=h.3l18frh" w:colFirst="0" w:colLast="0"/>
      <w:bookmarkEnd w:id="426"/>
      <w:r w:rsidRPr="00166697">
        <w:t xml:space="preserve">The </w:t>
      </w:r>
      <w:r>
        <w:t>“</w:t>
      </w:r>
      <w:r w:rsidRPr="007C382B">
        <w:rPr>
          <w:b/>
        </w:rPr>
        <w:t>Fix Time</w:t>
      </w:r>
      <w:r>
        <w:t>”</w:t>
      </w:r>
      <w:r w:rsidRPr="00166697">
        <w:t xml:space="preserve"> of a Service Incident is the period from the time that the Service Incident has been reported to the Supplier to the point of its Resolution and </w:t>
      </w:r>
      <w:r>
        <w:t>“</w:t>
      </w:r>
      <w:r w:rsidRPr="007C382B">
        <w:rPr>
          <w:b/>
        </w:rPr>
        <w:t>Resolution</w:t>
      </w:r>
      <w:r>
        <w:t>”</w:t>
      </w:r>
      <w:r w:rsidRPr="00166697">
        <w:t xml:space="preserve"> means in relation to a Service Incident either:</w:t>
      </w:r>
    </w:p>
    <w:p w14:paraId="62B3CF63" w14:textId="77777777" w:rsidR="00F67E9E" w:rsidRPr="009E1FEF" w:rsidRDefault="00F67E9E" w:rsidP="00F67E9E">
      <w:pPr>
        <w:pStyle w:val="AppendixText3"/>
        <w:tabs>
          <w:tab w:val="clear" w:pos="1800"/>
        </w:tabs>
      </w:pPr>
      <w:r w:rsidRPr="009E1FEF">
        <w:t xml:space="preserve">the root cause of the Service Incident has been removed and the Services are being provided in accordance with the Services Description and </w:t>
      </w:r>
      <w:r>
        <w:t>Target Performance</w:t>
      </w:r>
      <w:r w:rsidRPr="009E1FEF">
        <w:t xml:space="preserve"> Levels; or</w:t>
      </w:r>
    </w:p>
    <w:p w14:paraId="272804C0" w14:textId="77777777" w:rsidR="00F67E9E" w:rsidRPr="009E1FEF" w:rsidRDefault="00F67E9E" w:rsidP="00F67E9E">
      <w:pPr>
        <w:pStyle w:val="AppendixText3"/>
        <w:tabs>
          <w:tab w:val="clear" w:pos="1800"/>
        </w:tabs>
      </w:pPr>
      <w:r w:rsidRPr="009E1FEF">
        <w:t>the Authority has been provided with a workaround in relation to the Service Incident deemed acceptable by the Authority.</w:t>
      </w:r>
    </w:p>
    <w:p w14:paraId="454AEFEC" w14:textId="77777777" w:rsidR="00F67E9E" w:rsidRPr="009E1FEF" w:rsidRDefault="00F67E9E" w:rsidP="00F67E9E">
      <w:pPr>
        <w:pStyle w:val="AppendixText2"/>
      </w:pPr>
      <w:r w:rsidRPr="009E1FEF">
        <w:t>Fix Times for Severity 3 Service Incidents, Severity 4 Service Incidents and Severity 5 Service Incidents shall be measured in Operational Hours.</w:t>
      </w:r>
    </w:p>
    <w:p w14:paraId="66E31716" w14:textId="77777777" w:rsidR="00F67E9E" w:rsidRPr="00166697" w:rsidRDefault="00F67E9E" w:rsidP="00F67E9E">
      <w:pPr>
        <w:pBdr>
          <w:top w:val="nil"/>
          <w:left w:val="nil"/>
          <w:bottom w:val="nil"/>
          <w:right w:val="nil"/>
          <w:between w:val="nil"/>
        </w:pBdr>
        <w:spacing w:before="100" w:after="200"/>
        <w:ind w:left="720"/>
        <w:rPr>
          <w:szCs w:val="24"/>
        </w:rPr>
      </w:pPr>
      <w:r w:rsidRPr="007C382B">
        <w:rPr>
          <w:b/>
          <w:szCs w:val="24"/>
          <w:highlight w:val="yellow"/>
        </w:rPr>
        <w:t>[</w:t>
      </w:r>
      <w:r w:rsidRPr="00F97284">
        <w:rPr>
          <w:b/>
          <w:iCs/>
          <w:szCs w:val="24"/>
          <w:highlight w:val="yellow"/>
        </w:rPr>
        <w:t>Worked example:</w:t>
      </w:r>
      <w:r w:rsidRPr="00166697">
        <w:rPr>
          <w:szCs w:val="24"/>
          <w:highlight w:val="yellow"/>
        </w:rPr>
        <w:t xml:space="preserve"> if the Operational Hours for a fault are 0800-1800, then the clock stops measuring Fix Time at 1800 in the evening and restarts at 0800 the following day).]</w:t>
      </w:r>
    </w:p>
    <w:p w14:paraId="30F9857A" w14:textId="77777777" w:rsidR="00F67E9E" w:rsidRPr="009E1FEF" w:rsidRDefault="00F67E9E" w:rsidP="00F67E9E">
      <w:pPr>
        <w:pStyle w:val="AppendixText2"/>
      </w:pPr>
      <w:r w:rsidRPr="009E1FEF">
        <w:t>Fix times for Severity 1 Service Incidents and Severity 2 Service Incidents shall be measured 24x7.</w:t>
      </w:r>
    </w:p>
    <w:p w14:paraId="6F827508" w14:textId="77777777" w:rsidR="00F67E9E" w:rsidRPr="009E1FEF" w:rsidRDefault="00F67E9E" w:rsidP="00F67E9E">
      <w:pPr>
        <w:pStyle w:val="AppendixText2"/>
      </w:pPr>
      <w:r w:rsidRPr="009E1FEF">
        <w:t>The Supplier shall measure Fix Times as part of its service management responsibilities and report periodically to the Authority on Fix Times as part of the Performance Monitoring Report.</w:t>
      </w:r>
    </w:p>
    <w:p w14:paraId="7AD09A54" w14:textId="39B8B214" w:rsidR="00F67E9E" w:rsidRPr="009E1FEF" w:rsidRDefault="00F67E9E" w:rsidP="00F67E9E">
      <w:pPr>
        <w:pStyle w:val="AppendixText2"/>
      </w:pPr>
      <w:bookmarkStart w:id="427" w:name="_heading=h.206ipza" w:colFirst="0" w:colLast="0"/>
      <w:bookmarkEnd w:id="427"/>
      <w:r w:rsidRPr="009E1FEF">
        <w:t xml:space="preserve">For the purposes of this Paragraph </w:t>
      </w:r>
      <w:r w:rsidRPr="009E1FEF">
        <w:fldChar w:fldCharType="begin"/>
      </w:r>
      <w:r w:rsidRPr="009E1FEF">
        <w:instrText xml:space="preserve"> REF _Ref99014476 \w \h  \* MERGEFORMAT </w:instrText>
      </w:r>
      <w:r w:rsidRPr="009E1FEF">
        <w:fldChar w:fldCharType="separate"/>
      </w:r>
      <w:r w:rsidR="00302D39">
        <w:t>5</w:t>
      </w:r>
      <w:r w:rsidRPr="009E1FEF">
        <w:fldChar w:fldCharType="end"/>
      </w:r>
      <w:r w:rsidRPr="009E1FEF">
        <w:t>, the following expressions shall have the meanings set opposite them below:</w:t>
      </w:r>
    </w:p>
    <w:tbl>
      <w:tblPr>
        <w:tblStyle w:val="MSAdefinitions"/>
        <w:tblW w:w="9638" w:type="dxa"/>
        <w:tblLayout w:type="fixed"/>
        <w:tblLook w:val="0400" w:firstRow="0" w:lastRow="0" w:firstColumn="0" w:lastColumn="0" w:noHBand="0" w:noVBand="1"/>
      </w:tblPr>
      <w:tblGrid>
        <w:gridCol w:w="2835"/>
        <w:gridCol w:w="6803"/>
      </w:tblGrid>
      <w:tr w:rsidR="00F67E9E" w14:paraId="0BC82429" w14:textId="77777777" w:rsidTr="007F74AA">
        <w:tc>
          <w:tcPr>
            <w:tcW w:w="2835" w:type="dxa"/>
          </w:tcPr>
          <w:p w14:paraId="2FBD9468" w14:textId="77777777" w:rsidR="00F67E9E" w:rsidRDefault="00F67E9E" w:rsidP="007F74AA">
            <w:pPr>
              <w:pBdr>
                <w:top w:val="nil"/>
                <w:left w:val="nil"/>
                <w:bottom w:val="nil"/>
                <w:right w:val="nil"/>
                <w:between w:val="nil"/>
              </w:pBdr>
              <w:spacing w:before="100" w:after="200"/>
              <w:rPr>
                <w:b/>
                <w:szCs w:val="24"/>
              </w:rPr>
            </w:pPr>
            <w:r>
              <w:rPr>
                <w:b/>
                <w:szCs w:val="24"/>
              </w:rPr>
              <w:t>“Operational Hours”</w:t>
            </w:r>
          </w:p>
        </w:tc>
        <w:tc>
          <w:tcPr>
            <w:tcW w:w="6803" w:type="dxa"/>
          </w:tcPr>
          <w:p w14:paraId="16F3386B" w14:textId="7DBE84AE" w:rsidR="00F67E9E" w:rsidRDefault="00F67E9E" w:rsidP="007F74AA">
            <w:pPr>
              <w:pBdr>
                <w:top w:val="nil"/>
                <w:left w:val="nil"/>
                <w:bottom w:val="nil"/>
                <w:right w:val="nil"/>
                <w:between w:val="nil"/>
              </w:pBdr>
              <w:spacing w:before="100" w:after="200"/>
              <w:rPr>
                <w:szCs w:val="24"/>
              </w:rPr>
            </w:pPr>
            <w:r>
              <w:rPr>
                <w:szCs w:val="24"/>
              </w:rPr>
              <w:t xml:space="preserve">In relation to any Service, the hours for which that Service is to be operational as set out </w:t>
            </w:r>
            <w:r w:rsidRPr="00E562A1">
              <w:rPr>
                <w:szCs w:val="24"/>
              </w:rPr>
              <w:t xml:space="preserve">in </w:t>
            </w:r>
            <w:r>
              <w:rPr>
                <w:rFonts w:cs="Arial"/>
              </w:rPr>
              <w:fldChar w:fldCharType="begin"/>
            </w:r>
            <w:r>
              <w:rPr>
                <w:rFonts w:cs="Arial"/>
              </w:rPr>
              <w:instrText xml:space="preserve"> REF Schedule2 \h </w:instrText>
            </w:r>
            <w:r>
              <w:rPr>
                <w:rFonts w:cs="Arial"/>
              </w:rPr>
            </w:r>
            <w:r>
              <w:rPr>
                <w:rFonts w:cs="Arial"/>
              </w:rPr>
              <w:fldChar w:fldCharType="separate"/>
            </w:r>
            <w:r w:rsidR="00302D39" w:rsidRPr="005D0525">
              <w:t>Schedule</w:t>
            </w:r>
            <w:r w:rsidR="00302D39">
              <w:t> </w:t>
            </w:r>
            <w:r w:rsidR="00302D39" w:rsidRPr="005D0525">
              <w:t>2</w:t>
            </w:r>
            <w:r>
              <w:rPr>
                <w:rFonts w:cs="Arial"/>
              </w:rPr>
              <w:fldChar w:fldCharType="end"/>
            </w:r>
            <w:r>
              <w:rPr>
                <w:rFonts w:cs="Arial"/>
              </w:rPr>
              <w:t xml:space="preserve"> (</w:t>
            </w:r>
            <w:r w:rsidRPr="00A22335">
              <w:rPr>
                <w:rFonts w:cs="Arial"/>
                <w:i/>
                <w:iCs/>
              </w:rPr>
              <w:fldChar w:fldCharType="begin"/>
            </w:r>
            <w:r w:rsidRPr="00A22335">
              <w:rPr>
                <w:rFonts w:cs="Arial"/>
                <w:i/>
                <w:iCs/>
              </w:rPr>
              <w:instrText xml:space="preserve"> REF Schedule2Heading \h </w:instrText>
            </w:r>
            <w:r>
              <w:rPr>
                <w:rFonts w:cs="Arial"/>
                <w:i/>
                <w:iCs/>
              </w:rPr>
              <w:instrText xml:space="preserve"> \* MERGEFORMAT </w:instrText>
            </w:r>
            <w:r w:rsidRPr="00A22335">
              <w:rPr>
                <w:rFonts w:cs="Arial"/>
                <w:i/>
                <w:iCs/>
              </w:rPr>
            </w:r>
            <w:r w:rsidRPr="00A22335">
              <w:rPr>
                <w:rFonts w:cs="Arial"/>
                <w:i/>
                <w:iCs/>
              </w:rPr>
              <w:fldChar w:fldCharType="separate"/>
            </w:r>
            <w:r w:rsidR="00302D39" w:rsidRPr="00302D39">
              <w:rPr>
                <w:i/>
                <w:iCs/>
              </w:rPr>
              <w:t>Services Description</w:t>
            </w:r>
            <w:r w:rsidRPr="00A22335">
              <w:rPr>
                <w:rFonts w:cs="Arial"/>
                <w:i/>
                <w:iCs/>
              </w:rPr>
              <w:fldChar w:fldCharType="end"/>
            </w:r>
            <w:r>
              <w:rPr>
                <w:rFonts w:cs="Arial"/>
              </w:rPr>
              <w:t>)</w:t>
            </w:r>
            <w:r w:rsidRPr="00E562A1">
              <w:rPr>
                <w:szCs w:val="24"/>
              </w:rPr>
              <w:t>;</w:t>
            </w:r>
          </w:p>
        </w:tc>
      </w:tr>
      <w:tr w:rsidR="00F67E9E" w14:paraId="0A3C4420" w14:textId="77777777" w:rsidTr="007F74AA">
        <w:tc>
          <w:tcPr>
            <w:tcW w:w="2835" w:type="dxa"/>
          </w:tcPr>
          <w:p w14:paraId="181FF0B8" w14:textId="77777777" w:rsidR="00F67E9E" w:rsidRDefault="00F67E9E" w:rsidP="007F74AA">
            <w:pPr>
              <w:pBdr>
                <w:top w:val="nil"/>
                <w:left w:val="nil"/>
                <w:bottom w:val="nil"/>
                <w:right w:val="nil"/>
                <w:between w:val="nil"/>
              </w:pBdr>
              <w:spacing w:before="100" w:after="200"/>
              <w:rPr>
                <w:b/>
                <w:szCs w:val="24"/>
              </w:rPr>
            </w:pPr>
            <w:r>
              <w:rPr>
                <w:b/>
                <w:szCs w:val="24"/>
              </w:rPr>
              <w:t>“Service Incident”</w:t>
            </w:r>
          </w:p>
        </w:tc>
        <w:tc>
          <w:tcPr>
            <w:tcW w:w="6803" w:type="dxa"/>
          </w:tcPr>
          <w:p w14:paraId="1C6282AF" w14:textId="77777777" w:rsidR="00F67E9E" w:rsidRDefault="00F67E9E" w:rsidP="007F74AA">
            <w:pPr>
              <w:pBdr>
                <w:top w:val="nil"/>
                <w:left w:val="nil"/>
                <w:bottom w:val="nil"/>
                <w:right w:val="nil"/>
                <w:between w:val="nil"/>
              </w:pBdr>
              <w:spacing w:before="100" w:after="200"/>
              <w:rPr>
                <w:szCs w:val="24"/>
              </w:rPr>
            </w:pPr>
            <w:r>
              <w:rPr>
                <w:szCs w:val="24"/>
              </w:rPr>
              <w:t>a reported occurrence of a failure to deliver any part of the Services in accordance with the Authority Requirements or the Performance Indicators;</w:t>
            </w:r>
          </w:p>
        </w:tc>
      </w:tr>
      <w:tr w:rsidR="00F67E9E" w14:paraId="0CEB8C8E" w14:textId="77777777" w:rsidTr="007F74AA">
        <w:tc>
          <w:tcPr>
            <w:tcW w:w="2835" w:type="dxa"/>
          </w:tcPr>
          <w:p w14:paraId="450E3D37" w14:textId="77777777" w:rsidR="00F67E9E" w:rsidRDefault="00F67E9E" w:rsidP="007F74AA">
            <w:pPr>
              <w:pBdr>
                <w:top w:val="nil"/>
                <w:left w:val="nil"/>
                <w:bottom w:val="nil"/>
                <w:right w:val="nil"/>
                <w:between w:val="nil"/>
              </w:pBdr>
              <w:spacing w:before="100" w:after="200"/>
              <w:rPr>
                <w:b/>
                <w:szCs w:val="24"/>
              </w:rPr>
            </w:pPr>
            <w:r>
              <w:rPr>
                <w:b/>
                <w:szCs w:val="24"/>
              </w:rPr>
              <w:t>“Severity 1 Service Incident”</w:t>
            </w:r>
          </w:p>
        </w:tc>
        <w:tc>
          <w:tcPr>
            <w:tcW w:w="6803" w:type="dxa"/>
          </w:tcPr>
          <w:p w14:paraId="4E4F4CA8" w14:textId="77777777" w:rsidR="00F67E9E" w:rsidRDefault="00F67E9E" w:rsidP="007F74AA">
            <w:pPr>
              <w:pBdr>
                <w:top w:val="nil"/>
                <w:left w:val="nil"/>
                <w:bottom w:val="nil"/>
                <w:right w:val="nil"/>
                <w:between w:val="nil"/>
              </w:pBdr>
              <w:spacing w:before="100" w:after="200"/>
              <w:rPr>
                <w:szCs w:val="24"/>
              </w:rPr>
            </w:pPr>
            <w:r>
              <w:rPr>
                <w:szCs w:val="24"/>
              </w:rPr>
              <w:t>a Service Incident which, in the reasonable opinion of the Authority:</w:t>
            </w:r>
          </w:p>
          <w:p w14:paraId="533CB587" w14:textId="77777777" w:rsidR="00F67E9E" w:rsidRDefault="00F67E9E" w:rsidP="007F74AA">
            <w:pPr>
              <w:pStyle w:val="DefinitionList"/>
              <w:numPr>
                <w:ilvl w:val="0"/>
                <w:numId w:val="101"/>
              </w:numPr>
            </w:pPr>
            <w:r>
              <w:t>constitutes a loss of the Service which prevents a large group of End Users from working;</w:t>
            </w:r>
          </w:p>
          <w:p w14:paraId="5B0CD67B" w14:textId="77777777" w:rsidR="00F67E9E" w:rsidRDefault="00F67E9E" w:rsidP="007F74AA">
            <w:pPr>
              <w:pStyle w:val="DefinitionList"/>
              <w:numPr>
                <w:ilvl w:val="0"/>
                <w:numId w:val="101"/>
              </w:numPr>
              <w:pBdr>
                <w:top w:val="nil"/>
                <w:left w:val="nil"/>
                <w:bottom w:val="nil"/>
                <w:right w:val="nil"/>
                <w:between w:val="nil"/>
              </w:pBdr>
            </w:pPr>
            <w:r>
              <w:t>has a critical impact on the activities of the Authority;</w:t>
            </w:r>
          </w:p>
          <w:p w14:paraId="168D0FBE" w14:textId="77777777" w:rsidR="00F67E9E" w:rsidRDefault="00F67E9E" w:rsidP="007F74AA">
            <w:pPr>
              <w:pStyle w:val="DefinitionList"/>
              <w:numPr>
                <w:ilvl w:val="0"/>
                <w:numId w:val="101"/>
              </w:numPr>
              <w:pBdr>
                <w:top w:val="nil"/>
                <w:left w:val="nil"/>
                <w:bottom w:val="nil"/>
                <w:right w:val="nil"/>
                <w:between w:val="nil"/>
              </w:pBdr>
            </w:pPr>
            <w:r>
              <w:t>causes significant financial loss and/or disruption to the Authority; or</w:t>
            </w:r>
          </w:p>
          <w:p w14:paraId="3CA1A472" w14:textId="77777777" w:rsidR="00F67E9E" w:rsidRDefault="00F67E9E" w:rsidP="007F74AA">
            <w:pPr>
              <w:pStyle w:val="DefinitionList"/>
              <w:numPr>
                <w:ilvl w:val="0"/>
                <w:numId w:val="101"/>
              </w:numPr>
              <w:pBdr>
                <w:top w:val="nil"/>
                <w:left w:val="nil"/>
                <w:bottom w:val="nil"/>
                <w:right w:val="nil"/>
                <w:between w:val="nil"/>
              </w:pBdr>
            </w:pPr>
            <w:r>
              <w:t>results in any material loss or corruption of Authority Data;</w:t>
            </w:r>
          </w:p>
          <w:p w14:paraId="202E7AA3" w14:textId="77777777" w:rsidR="00F67E9E" w:rsidRPr="00F97284" w:rsidRDefault="00F67E9E" w:rsidP="007F74AA">
            <w:pPr>
              <w:pBdr>
                <w:top w:val="nil"/>
                <w:left w:val="nil"/>
                <w:bottom w:val="nil"/>
                <w:right w:val="nil"/>
                <w:between w:val="nil"/>
              </w:pBdr>
              <w:spacing w:before="100" w:after="200"/>
              <w:rPr>
                <w:b/>
                <w:iCs/>
                <w:szCs w:val="24"/>
              </w:rPr>
            </w:pPr>
            <w:r w:rsidRPr="00F97284">
              <w:rPr>
                <w:b/>
                <w:iCs/>
                <w:szCs w:val="24"/>
              </w:rPr>
              <w:t>Non-exhaustive examples:</w:t>
            </w:r>
          </w:p>
          <w:p w14:paraId="32239529" w14:textId="77777777" w:rsidR="00F67E9E" w:rsidRPr="009E1FEF" w:rsidRDefault="00F67E9E" w:rsidP="007F74AA">
            <w:pPr>
              <w:pStyle w:val="DefinitionList"/>
              <w:numPr>
                <w:ilvl w:val="0"/>
                <w:numId w:val="102"/>
              </w:numPr>
              <w:pBdr>
                <w:top w:val="nil"/>
                <w:left w:val="nil"/>
                <w:bottom w:val="nil"/>
                <w:right w:val="nil"/>
                <w:between w:val="nil"/>
              </w:pBdr>
            </w:pPr>
            <w:r w:rsidRPr="009E1FEF">
              <w:t>a loss of power to a data centre causing failure of Services; or</w:t>
            </w:r>
          </w:p>
          <w:p w14:paraId="1A1E067C" w14:textId="77777777" w:rsidR="00F67E9E" w:rsidRDefault="00F67E9E" w:rsidP="007F74AA">
            <w:pPr>
              <w:pStyle w:val="DefinitionList"/>
              <w:numPr>
                <w:ilvl w:val="0"/>
                <w:numId w:val="101"/>
              </w:numPr>
              <w:pBdr>
                <w:top w:val="nil"/>
                <w:left w:val="nil"/>
                <w:bottom w:val="nil"/>
                <w:right w:val="nil"/>
                <w:between w:val="nil"/>
              </w:pBdr>
            </w:pPr>
            <w:r w:rsidRPr="009E1FEF">
              <w:t>a failure of the Services to provide user authentication service;</w:t>
            </w:r>
          </w:p>
        </w:tc>
      </w:tr>
      <w:tr w:rsidR="00F67E9E" w14:paraId="1B9791D0" w14:textId="77777777" w:rsidTr="007F74AA">
        <w:tc>
          <w:tcPr>
            <w:tcW w:w="2835" w:type="dxa"/>
          </w:tcPr>
          <w:p w14:paraId="437BDE54" w14:textId="77777777" w:rsidR="00F67E9E" w:rsidRDefault="00F67E9E" w:rsidP="007F74AA">
            <w:pPr>
              <w:pBdr>
                <w:top w:val="nil"/>
                <w:left w:val="nil"/>
                <w:bottom w:val="nil"/>
                <w:right w:val="nil"/>
                <w:between w:val="nil"/>
              </w:pBdr>
              <w:spacing w:before="100" w:after="200"/>
              <w:rPr>
                <w:b/>
                <w:szCs w:val="24"/>
              </w:rPr>
            </w:pPr>
            <w:r>
              <w:rPr>
                <w:b/>
                <w:szCs w:val="24"/>
              </w:rPr>
              <w:t>“Severity 2 Service Incident”</w:t>
            </w:r>
          </w:p>
        </w:tc>
        <w:tc>
          <w:tcPr>
            <w:tcW w:w="6803" w:type="dxa"/>
          </w:tcPr>
          <w:p w14:paraId="020D25F2" w14:textId="77777777" w:rsidR="00F67E9E" w:rsidRDefault="00F67E9E" w:rsidP="007F74AA">
            <w:pPr>
              <w:pBdr>
                <w:top w:val="nil"/>
                <w:left w:val="nil"/>
                <w:bottom w:val="nil"/>
                <w:right w:val="nil"/>
                <w:between w:val="nil"/>
              </w:pBdr>
              <w:spacing w:before="100" w:after="200"/>
              <w:rPr>
                <w:szCs w:val="24"/>
              </w:rPr>
            </w:pPr>
            <w:r>
              <w:rPr>
                <w:szCs w:val="24"/>
              </w:rPr>
              <w:t>a Service Incident which, in the reasonable opinion of the Authority has the potential to:</w:t>
            </w:r>
          </w:p>
          <w:p w14:paraId="4D7557D5" w14:textId="77777777" w:rsidR="00F67E9E" w:rsidRDefault="00F67E9E" w:rsidP="007F74AA">
            <w:pPr>
              <w:pStyle w:val="DefinitionList"/>
              <w:numPr>
                <w:ilvl w:val="0"/>
                <w:numId w:val="103"/>
              </w:numPr>
              <w:pBdr>
                <w:top w:val="nil"/>
                <w:left w:val="nil"/>
                <w:bottom w:val="nil"/>
                <w:right w:val="nil"/>
                <w:between w:val="nil"/>
              </w:pBdr>
            </w:pPr>
            <w:r>
              <w:t>have a major (but not critical) adverse impact on the activities of the Authority and no workaround acceptable to the Authority is available;</w:t>
            </w:r>
          </w:p>
          <w:p w14:paraId="29B75296" w14:textId="77777777" w:rsidR="00F67E9E" w:rsidRDefault="00F67E9E" w:rsidP="007F74AA">
            <w:pPr>
              <w:pStyle w:val="DefinitionList"/>
              <w:numPr>
                <w:ilvl w:val="0"/>
                <w:numId w:val="102"/>
              </w:numPr>
              <w:pBdr>
                <w:top w:val="nil"/>
                <w:left w:val="nil"/>
                <w:bottom w:val="nil"/>
                <w:right w:val="nil"/>
                <w:between w:val="nil"/>
              </w:pBdr>
            </w:pPr>
            <w:r>
              <w:t>have a major (but not critical) adverse impact on the activities of the Authority and no workaround acceptable to the Authority is available; or</w:t>
            </w:r>
          </w:p>
          <w:p w14:paraId="78E8048D" w14:textId="77777777" w:rsidR="00F67E9E" w:rsidRDefault="00F67E9E" w:rsidP="007F74AA">
            <w:pPr>
              <w:pStyle w:val="DefinitionList"/>
              <w:numPr>
                <w:ilvl w:val="0"/>
                <w:numId w:val="102"/>
              </w:numPr>
              <w:pBdr>
                <w:top w:val="nil"/>
                <w:left w:val="nil"/>
                <w:bottom w:val="nil"/>
                <w:right w:val="nil"/>
                <w:between w:val="nil"/>
              </w:pBdr>
            </w:pPr>
            <w:r>
              <w:t>cause a financial loss and/or disruption to the Authority which is more than trivial but less severe than the significant financial loss described in the definition of a Severity 1 Service Failure;</w:t>
            </w:r>
          </w:p>
          <w:p w14:paraId="7803A109" w14:textId="77777777" w:rsidR="00F67E9E" w:rsidRPr="00F97284" w:rsidRDefault="00F67E9E" w:rsidP="007F74AA">
            <w:pPr>
              <w:keepNext/>
              <w:pBdr>
                <w:top w:val="nil"/>
                <w:left w:val="nil"/>
                <w:bottom w:val="nil"/>
                <w:right w:val="nil"/>
                <w:between w:val="nil"/>
              </w:pBdr>
              <w:spacing w:before="100" w:after="200"/>
              <w:rPr>
                <w:b/>
                <w:iCs/>
                <w:szCs w:val="24"/>
              </w:rPr>
            </w:pPr>
            <w:r w:rsidRPr="00F97284">
              <w:rPr>
                <w:b/>
                <w:iCs/>
                <w:szCs w:val="24"/>
              </w:rPr>
              <w:t>Non-exhaustive examples:</w:t>
            </w:r>
          </w:p>
          <w:p w14:paraId="3E45D460" w14:textId="77777777" w:rsidR="00F67E9E" w:rsidRPr="009E1FEF" w:rsidRDefault="00F67E9E" w:rsidP="007F74AA">
            <w:pPr>
              <w:pStyle w:val="DefinitionList"/>
              <w:numPr>
                <w:ilvl w:val="0"/>
                <w:numId w:val="104"/>
              </w:numPr>
              <w:pBdr>
                <w:top w:val="nil"/>
                <w:left w:val="nil"/>
                <w:bottom w:val="nil"/>
                <w:right w:val="nil"/>
                <w:between w:val="nil"/>
              </w:pBdr>
            </w:pPr>
            <w:r w:rsidRPr="009E1FEF">
              <w:t>corruption of organisational database tables; or</w:t>
            </w:r>
          </w:p>
          <w:p w14:paraId="17F13554" w14:textId="77777777" w:rsidR="00F67E9E" w:rsidRDefault="00F67E9E" w:rsidP="007F74AA">
            <w:pPr>
              <w:pStyle w:val="DefinitionList"/>
              <w:numPr>
                <w:ilvl w:val="0"/>
                <w:numId w:val="103"/>
              </w:numPr>
              <w:pBdr>
                <w:top w:val="nil"/>
                <w:left w:val="nil"/>
                <w:bottom w:val="nil"/>
                <w:right w:val="nil"/>
                <w:between w:val="nil"/>
              </w:pBdr>
            </w:pPr>
            <w:r w:rsidRPr="009E1FEF">
              <w:t>loss of ability to update Authority Data.</w:t>
            </w:r>
          </w:p>
        </w:tc>
      </w:tr>
      <w:tr w:rsidR="00F67E9E" w14:paraId="3CD56E3F" w14:textId="77777777" w:rsidTr="007F74AA">
        <w:tc>
          <w:tcPr>
            <w:tcW w:w="2835" w:type="dxa"/>
          </w:tcPr>
          <w:p w14:paraId="20C1982E" w14:textId="77777777" w:rsidR="00F67E9E" w:rsidRDefault="00F67E9E" w:rsidP="007F74AA">
            <w:pPr>
              <w:pBdr>
                <w:top w:val="nil"/>
                <w:left w:val="nil"/>
                <w:bottom w:val="nil"/>
                <w:right w:val="nil"/>
                <w:between w:val="nil"/>
              </w:pBdr>
              <w:spacing w:before="100" w:after="200"/>
              <w:rPr>
                <w:b/>
                <w:szCs w:val="24"/>
              </w:rPr>
            </w:pPr>
            <w:r>
              <w:rPr>
                <w:b/>
                <w:szCs w:val="24"/>
              </w:rPr>
              <w:t>“Severity 3 Service Incident”</w:t>
            </w:r>
          </w:p>
        </w:tc>
        <w:tc>
          <w:tcPr>
            <w:tcW w:w="6803" w:type="dxa"/>
          </w:tcPr>
          <w:p w14:paraId="3DF7D85B" w14:textId="77777777" w:rsidR="00F67E9E" w:rsidRDefault="00F67E9E" w:rsidP="007F74AA">
            <w:pPr>
              <w:pBdr>
                <w:top w:val="nil"/>
                <w:left w:val="nil"/>
                <w:bottom w:val="nil"/>
                <w:right w:val="nil"/>
                <w:between w:val="nil"/>
              </w:pBdr>
              <w:spacing w:before="100" w:after="200"/>
              <w:rPr>
                <w:szCs w:val="24"/>
              </w:rPr>
            </w:pPr>
            <w:r>
              <w:rPr>
                <w:szCs w:val="24"/>
              </w:rPr>
              <w:t>a Service Incident which, in the reasonable opinion of the Authority has the potential to:</w:t>
            </w:r>
          </w:p>
          <w:p w14:paraId="6833E503" w14:textId="77777777" w:rsidR="00F67E9E" w:rsidRDefault="00F67E9E" w:rsidP="007F74AA">
            <w:pPr>
              <w:pStyle w:val="DefinitionList"/>
              <w:numPr>
                <w:ilvl w:val="0"/>
                <w:numId w:val="105"/>
              </w:numPr>
              <w:pBdr>
                <w:top w:val="nil"/>
                <w:left w:val="nil"/>
                <w:bottom w:val="nil"/>
                <w:right w:val="nil"/>
                <w:between w:val="nil"/>
              </w:pBdr>
            </w:pPr>
            <w:r>
              <w:t>have a major adverse impact on the activities of the Authority which can be reduced to a moderate adverse impact due to the availability of a workaround acceptable to the Authority; or</w:t>
            </w:r>
          </w:p>
          <w:p w14:paraId="29E588A5" w14:textId="77777777" w:rsidR="00F67E9E" w:rsidRDefault="00F67E9E" w:rsidP="007F74AA">
            <w:pPr>
              <w:pStyle w:val="DefinitionList"/>
              <w:numPr>
                <w:ilvl w:val="0"/>
                <w:numId w:val="104"/>
              </w:numPr>
              <w:pBdr>
                <w:top w:val="nil"/>
                <w:left w:val="nil"/>
                <w:bottom w:val="nil"/>
                <w:right w:val="nil"/>
                <w:between w:val="nil"/>
              </w:pBdr>
            </w:pPr>
            <w:r>
              <w:t>have a moderate adverse impact on the activities of the Authority;</w:t>
            </w:r>
          </w:p>
          <w:p w14:paraId="65B7F2A3" w14:textId="77777777" w:rsidR="00F67E9E" w:rsidRPr="00F97284" w:rsidRDefault="00F67E9E" w:rsidP="007F74AA">
            <w:pPr>
              <w:keepNext/>
              <w:keepLines/>
              <w:pBdr>
                <w:top w:val="nil"/>
                <w:left w:val="nil"/>
                <w:bottom w:val="nil"/>
                <w:right w:val="nil"/>
                <w:between w:val="nil"/>
              </w:pBdr>
              <w:spacing w:before="100" w:after="200"/>
              <w:rPr>
                <w:b/>
                <w:iCs/>
                <w:szCs w:val="24"/>
              </w:rPr>
            </w:pPr>
            <w:r w:rsidRPr="00F97284">
              <w:rPr>
                <w:b/>
                <w:iCs/>
                <w:szCs w:val="24"/>
              </w:rPr>
              <w:t>Non-exhaustive example:</w:t>
            </w:r>
          </w:p>
          <w:p w14:paraId="5CE4491B" w14:textId="77777777" w:rsidR="00F67E9E" w:rsidRDefault="00F67E9E" w:rsidP="007F74AA">
            <w:pPr>
              <w:pStyle w:val="DefinitionList"/>
              <w:numPr>
                <w:ilvl w:val="0"/>
                <w:numId w:val="106"/>
              </w:numPr>
              <w:pBdr>
                <w:top w:val="nil"/>
                <w:left w:val="nil"/>
                <w:bottom w:val="nil"/>
                <w:right w:val="nil"/>
                <w:between w:val="nil"/>
              </w:pBdr>
            </w:pPr>
            <w:r w:rsidRPr="009E1FEF">
              <w:t>inability to access data for a class of customers;</w:t>
            </w:r>
          </w:p>
        </w:tc>
      </w:tr>
      <w:tr w:rsidR="00F67E9E" w14:paraId="1F422432" w14:textId="77777777" w:rsidTr="007F74AA">
        <w:tc>
          <w:tcPr>
            <w:tcW w:w="2835" w:type="dxa"/>
          </w:tcPr>
          <w:p w14:paraId="62F32DC4" w14:textId="77777777" w:rsidR="00F67E9E" w:rsidRDefault="00F67E9E" w:rsidP="007F74AA">
            <w:pPr>
              <w:pBdr>
                <w:top w:val="nil"/>
                <w:left w:val="nil"/>
                <w:bottom w:val="nil"/>
                <w:right w:val="nil"/>
                <w:between w:val="nil"/>
              </w:pBdr>
              <w:spacing w:before="100" w:after="200"/>
              <w:rPr>
                <w:b/>
                <w:szCs w:val="24"/>
              </w:rPr>
            </w:pPr>
            <w:r>
              <w:rPr>
                <w:b/>
                <w:szCs w:val="24"/>
              </w:rPr>
              <w:t>“Severity 4 Service Incident”</w:t>
            </w:r>
          </w:p>
        </w:tc>
        <w:tc>
          <w:tcPr>
            <w:tcW w:w="6803" w:type="dxa"/>
          </w:tcPr>
          <w:p w14:paraId="262FB1F7" w14:textId="77777777" w:rsidR="00F67E9E" w:rsidRDefault="00F67E9E" w:rsidP="007F74AA">
            <w:pPr>
              <w:pBdr>
                <w:top w:val="nil"/>
                <w:left w:val="nil"/>
                <w:bottom w:val="nil"/>
                <w:right w:val="nil"/>
                <w:between w:val="nil"/>
              </w:pBdr>
              <w:spacing w:before="100" w:after="200"/>
              <w:rPr>
                <w:szCs w:val="24"/>
              </w:rPr>
            </w:pPr>
            <w:r>
              <w:rPr>
                <w:szCs w:val="24"/>
              </w:rPr>
              <w:t>a Service Incident which, in the reasonable opinion of the Authority has the potential to have a minor adverse impact on the provision of the Services to End Users;</w:t>
            </w:r>
          </w:p>
          <w:p w14:paraId="0ECB0A94" w14:textId="77777777" w:rsidR="00F67E9E" w:rsidRPr="00F97284" w:rsidRDefault="00F67E9E" w:rsidP="007F74AA">
            <w:pPr>
              <w:pBdr>
                <w:top w:val="nil"/>
                <w:left w:val="nil"/>
                <w:bottom w:val="nil"/>
                <w:right w:val="nil"/>
                <w:between w:val="nil"/>
              </w:pBdr>
              <w:spacing w:before="100" w:after="200"/>
              <w:rPr>
                <w:b/>
                <w:iCs/>
                <w:szCs w:val="24"/>
              </w:rPr>
            </w:pPr>
            <w:r w:rsidRPr="00F97284">
              <w:rPr>
                <w:b/>
                <w:iCs/>
                <w:szCs w:val="24"/>
              </w:rPr>
              <w:t>Non-exhaustive example:</w:t>
            </w:r>
          </w:p>
          <w:p w14:paraId="1E618BEF" w14:textId="77777777" w:rsidR="00F67E9E" w:rsidRDefault="00F67E9E" w:rsidP="007F74AA">
            <w:pPr>
              <w:pStyle w:val="DefinitionList"/>
              <w:numPr>
                <w:ilvl w:val="0"/>
                <w:numId w:val="107"/>
              </w:numPr>
              <w:pBdr>
                <w:top w:val="nil"/>
                <w:left w:val="nil"/>
                <w:bottom w:val="nil"/>
                <w:right w:val="nil"/>
                <w:between w:val="nil"/>
              </w:pBdr>
            </w:pPr>
            <w:r w:rsidRPr="009E1FEF">
              <w:t>inability to access data for a single customer; and</w:t>
            </w:r>
          </w:p>
        </w:tc>
      </w:tr>
      <w:tr w:rsidR="00F67E9E" w14:paraId="7F8A7A08" w14:textId="77777777" w:rsidTr="007F74AA">
        <w:tc>
          <w:tcPr>
            <w:tcW w:w="2835" w:type="dxa"/>
          </w:tcPr>
          <w:p w14:paraId="477359DF" w14:textId="77777777" w:rsidR="00F67E9E" w:rsidRDefault="00F67E9E" w:rsidP="007F74AA">
            <w:pPr>
              <w:pBdr>
                <w:top w:val="nil"/>
                <w:left w:val="nil"/>
                <w:bottom w:val="nil"/>
                <w:right w:val="nil"/>
                <w:between w:val="nil"/>
              </w:pBdr>
              <w:spacing w:before="100" w:after="200"/>
              <w:rPr>
                <w:b/>
                <w:szCs w:val="24"/>
              </w:rPr>
            </w:pPr>
            <w:r>
              <w:rPr>
                <w:b/>
                <w:szCs w:val="24"/>
              </w:rPr>
              <w:t>“Severity 5 Service Incident”</w:t>
            </w:r>
          </w:p>
        </w:tc>
        <w:tc>
          <w:tcPr>
            <w:tcW w:w="6803" w:type="dxa"/>
          </w:tcPr>
          <w:p w14:paraId="2F4B9355" w14:textId="77777777" w:rsidR="00F67E9E" w:rsidRDefault="00F67E9E" w:rsidP="007F74AA">
            <w:pPr>
              <w:pBdr>
                <w:top w:val="nil"/>
                <w:left w:val="nil"/>
                <w:bottom w:val="nil"/>
                <w:right w:val="nil"/>
                <w:between w:val="nil"/>
              </w:pBdr>
              <w:spacing w:before="100" w:after="200"/>
              <w:rPr>
                <w:szCs w:val="24"/>
              </w:rPr>
            </w:pPr>
            <w:r>
              <w:rPr>
                <w:szCs w:val="24"/>
              </w:rPr>
              <w:t>a Service Incident comprising a flaw which is cosmetic and, as such, does not undermine the End User’s confidence in the information being displayed;</w:t>
            </w:r>
          </w:p>
          <w:p w14:paraId="015FFD1F" w14:textId="77777777" w:rsidR="00F67E9E" w:rsidRPr="00F97284" w:rsidRDefault="00F67E9E" w:rsidP="007F74AA">
            <w:pPr>
              <w:pBdr>
                <w:top w:val="nil"/>
                <w:left w:val="nil"/>
                <w:bottom w:val="nil"/>
                <w:right w:val="nil"/>
                <w:between w:val="nil"/>
              </w:pBdr>
              <w:spacing w:before="100" w:after="200"/>
              <w:rPr>
                <w:b/>
                <w:iCs/>
                <w:szCs w:val="24"/>
              </w:rPr>
            </w:pPr>
            <w:r w:rsidRPr="00F97284">
              <w:rPr>
                <w:b/>
                <w:iCs/>
                <w:szCs w:val="24"/>
              </w:rPr>
              <w:t>Non-exhaustive examples:</w:t>
            </w:r>
          </w:p>
          <w:p w14:paraId="5A7E4E8D" w14:textId="77777777" w:rsidR="00F67E9E" w:rsidRPr="009E1FEF" w:rsidRDefault="00F67E9E" w:rsidP="007F74AA">
            <w:pPr>
              <w:pStyle w:val="DefinitionList"/>
              <w:numPr>
                <w:ilvl w:val="0"/>
                <w:numId w:val="280"/>
              </w:numPr>
              <w:pBdr>
                <w:top w:val="nil"/>
                <w:left w:val="nil"/>
                <w:bottom w:val="nil"/>
                <w:right w:val="nil"/>
                <w:between w:val="nil"/>
              </w:pBdr>
            </w:pPr>
            <w:r w:rsidRPr="009E1FEF">
              <w:t>spelling error; or</w:t>
            </w:r>
          </w:p>
          <w:p w14:paraId="3A984B38" w14:textId="77777777" w:rsidR="00F67E9E" w:rsidRDefault="00F67E9E" w:rsidP="007F74AA">
            <w:pPr>
              <w:pStyle w:val="DefinitionList"/>
              <w:numPr>
                <w:ilvl w:val="0"/>
                <w:numId w:val="108"/>
              </w:numPr>
              <w:pBdr>
                <w:top w:val="nil"/>
                <w:left w:val="nil"/>
                <w:bottom w:val="nil"/>
                <w:right w:val="nil"/>
                <w:between w:val="nil"/>
              </w:pBdr>
            </w:pPr>
            <w:r w:rsidRPr="009E1FEF">
              <w:t>misalignment of data on screen display.</w:t>
            </w:r>
          </w:p>
        </w:tc>
      </w:tr>
    </w:tbl>
    <w:p w14:paraId="7E788B2D" w14:textId="77777777" w:rsidR="00F67E9E" w:rsidRPr="00A54A71" w:rsidRDefault="00F67E9E" w:rsidP="00F67E9E">
      <w:pPr>
        <w:pStyle w:val="AppendixText1"/>
        <w:tabs>
          <w:tab w:val="clear" w:pos="720"/>
        </w:tabs>
      </w:pPr>
      <w:bookmarkStart w:id="428" w:name="_heading=h.4k668n3" w:colFirst="0" w:colLast="0"/>
      <w:bookmarkStart w:id="429" w:name="_Ref99014491"/>
      <w:bookmarkEnd w:id="428"/>
      <w:r w:rsidRPr="00A54A71">
        <w:t>Satisfaction Surveys</w:t>
      </w:r>
      <w:bookmarkEnd w:id="429"/>
    </w:p>
    <w:p w14:paraId="71802A5E" w14:textId="77777777" w:rsidR="00F67E9E" w:rsidRPr="00166697" w:rsidRDefault="00F67E9E" w:rsidP="00F67E9E">
      <w:pPr>
        <w:pStyle w:val="AppendixText2"/>
        <w:tabs>
          <w:tab w:val="num" w:pos="720"/>
        </w:tabs>
      </w:pPr>
      <w:bookmarkStart w:id="430" w:name="_heading=h.2zbgiuw" w:colFirst="0" w:colLast="0"/>
      <w:bookmarkStart w:id="431" w:name="_Ref99013637"/>
      <w:bookmarkEnd w:id="430"/>
      <w:r w:rsidRPr="00166697">
        <w:t xml:space="preserve">In order to assess the level of performance of the Supplier, the Authority may undertake satisfaction surveys in respect of End Users or various groups of End Users (each such survey a </w:t>
      </w:r>
      <w:r>
        <w:t>“</w:t>
      </w:r>
      <w:r w:rsidRPr="007C382B">
        <w:rPr>
          <w:b/>
        </w:rPr>
        <w:t>Satisfaction Survey</w:t>
      </w:r>
      <w:r>
        <w:t>”</w:t>
      </w:r>
      <w:r w:rsidRPr="00166697">
        <w:t>), the results of which may be reflected in the Balanced Scorecard Report. The subject matter of Satisfaction Surveys may include:</w:t>
      </w:r>
      <w:bookmarkEnd w:id="431"/>
    </w:p>
    <w:p w14:paraId="5CE63D13" w14:textId="77777777" w:rsidR="00F67E9E" w:rsidRPr="009E1FEF" w:rsidRDefault="00F67E9E" w:rsidP="00F67E9E">
      <w:pPr>
        <w:pStyle w:val="AppendixText3"/>
        <w:tabs>
          <w:tab w:val="clear" w:pos="1800"/>
          <w:tab w:val="num" w:pos="1440"/>
        </w:tabs>
        <w:ind w:left="1440" w:hanging="720"/>
      </w:pPr>
      <w:r w:rsidRPr="009E1FEF">
        <w:t>the assessment of the Supplier</w:t>
      </w:r>
      <w:r>
        <w:t>’</w:t>
      </w:r>
      <w:r w:rsidRPr="009E1FEF">
        <w:t xml:space="preserve">s performance by the End Users against the agreed Key Performance Indicators and Subsidiary Performance Indicators; and/or </w:t>
      </w:r>
    </w:p>
    <w:p w14:paraId="07C1F585" w14:textId="77777777" w:rsidR="00F67E9E" w:rsidRPr="009E1FEF" w:rsidRDefault="00F67E9E" w:rsidP="00F67E9E">
      <w:pPr>
        <w:pStyle w:val="AppendixText3"/>
        <w:tabs>
          <w:tab w:val="clear" w:pos="1800"/>
          <w:tab w:val="num" w:pos="1440"/>
        </w:tabs>
        <w:ind w:left="1440" w:hanging="720"/>
      </w:pPr>
      <w:r w:rsidRPr="009E1FEF">
        <w:t>other suggestions for improvements to the Services.</w:t>
      </w:r>
    </w:p>
    <w:p w14:paraId="36F4AD35" w14:textId="77777777" w:rsidR="00F67E9E" w:rsidRPr="009E1FEF" w:rsidRDefault="00F67E9E" w:rsidP="00F67E9E">
      <w:pPr>
        <w:pStyle w:val="AppendixText2"/>
        <w:tabs>
          <w:tab w:val="num" w:pos="0"/>
        </w:tabs>
      </w:pPr>
      <w:r w:rsidRPr="009E1FEF">
        <w:t>The Authority shall reflect in the Balanced Scorecard Report any aspects of the Supplier</w:t>
      </w:r>
      <w:r>
        <w:t>’</w:t>
      </w:r>
      <w:r w:rsidRPr="009E1FEF">
        <w:t>s performance of the Services which the responses to the Satisfaction Surveys reasonably suggest are not meeting the Services Description.</w:t>
      </w:r>
    </w:p>
    <w:p w14:paraId="63A5A571" w14:textId="77777777" w:rsidR="00F67E9E" w:rsidRPr="00A54A71" w:rsidRDefault="00F67E9E" w:rsidP="00F67E9E">
      <w:pPr>
        <w:pStyle w:val="AppendixText1"/>
        <w:tabs>
          <w:tab w:val="clear" w:pos="720"/>
          <w:tab w:val="num" w:pos="0"/>
        </w:tabs>
      </w:pPr>
      <w:bookmarkStart w:id="432" w:name="_heading=h.1egqt2p" w:colFirst="0" w:colLast="0"/>
      <w:bookmarkStart w:id="433" w:name="_Ref99014502"/>
      <w:bookmarkEnd w:id="432"/>
      <w:r w:rsidRPr="00A54A71">
        <w:t>Virtual Library Completeness</w:t>
      </w:r>
      <w:bookmarkEnd w:id="433"/>
    </w:p>
    <w:p w14:paraId="64C8BC10" w14:textId="6E5AD212" w:rsidR="00F67E9E" w:rsidRPr="00A54A71" w:rsidRDefault="00F67E9E" w:rsidP="00F67E9E">
      <w:pPr>
        <w:pStyle w:val="AppendixText2"/>
        <w:tabs>
          <w:tab w:val="num" w:pos="0"/>
        </w:tabs>
      </w:pPr>
      <w:bookmarkStart w:id="434" w:name="_heading=h.3ygebqi" w:colFirst="0" w:colLast="0"/>
      <w:bookmarkEnd w:id="434"/>
      <w:r w:rsidRPr="00A54A71">
        <w:t xml:space="preserve">The Virtual Library shall be complete where all of the information required under </w:t>
      </w:r>
      <w:r>
        <w:rPr>
          <w:rFonts w:cs="Arial"/>
        </w:rPr>
        <w:fldChar w:fldCharType="begin"/>
      </w:r>
      <w:r>
        <w:rPr>
          <w:rFonts w:cs="Arial"/>
        </w:rPr>
        <w:instrText xml:space="preserve"> REF Schedule24 \h </w:instrText>
      </w:r>
      <w:r>
        <w:rPr>
          <w:rFonts w:cs="Arial"/>
        </w:rPr>
      </w:r>
      <w:r>
        <w:rPr>
          <w:rFonts w:cs="Arial"/>
        </w:rPr>
        <w:fldChar w:fldCharType="separate"/>
      </w:r>
      <w:r w:rsidR="00302D39" w:rsidRPr="005D0525">
        <w:t>Schedule</w:t>
      </w:r>
      <w:r w:rsidR="00302D39">
        <w:t> </w:t>
      </w:r>
      <w:r w:rsidR="00302D39" w:rsidRPr="005D0525">
        <w:t>24</w:t>
      </w:r>
      <w:r>
        <w:rPr>
          <w:rFonts w:cs="Arial"/>
        </w:rPr>
        <w:fldChar w:fldCharType="end"/>
      </w:r>
      <w:r>
        <w:rPr>
          <w:rFonts w:cs="Arial"/>
        </w:rPr>
        <w:t xml:space="preserve"> (</w:t>
      </w:r>
      <w:r w:rsidRPr="00A22335">
        <w:rPr>
          <w:rFonts w:cs="Arial"/>
          <w:i/>
          <w:iCs/>
        </w:rPr>
        <w:fldChar w:fldCharType="begin"/>
      </w:r>
      <w:r w:rsidRPr="00A22335">
        <w:rPr>
          <w:rFonts w:cs="Arial"/>
          <w:i/>
          <w:iCs/>
        </w:rPr>
        <w:instrText xml:space="preserve"> REF Schedule24Heading \h </w:instrText>
      </w:r>
      <w:r>
        <w:rPr>
          <w:rFonts w:cs="Arial"/>
          <w:i/>
          <w:iCs/>
        </w:rPr>
        <w:instrText xml:space="preserve"> \* MERGEFORMAT </w:instrText>
      </w:r>
      <w:r w:rsidRPr="00A22335">
        <w:rPr>
          <w:rFonts w:cs="Arial"/>
          <w:i/>
          <w:iCs/>
        </w:rPr>
      </w:r>
      <w:r w:rsidRPr="00A22335">
        <w:rPr>
          <w:rFonts w:cs="Arial"/>
          <w:i/>
          <w:iCs/>
        </w:rPr>
        <w:fldChar w:fldCharType="separate"/>
      </w:r>
      <w:r w:rsidR="00302D39" w:rsidRPr="00302D39">
        <w:rPr>
          <w:i/>
          <w:iCs/>
        </w:rPr>
        <w:t>Reports and Records Provisions</w:t>
      </w:r>
      <w:r w:rsidRPr="00A22335">
        <w:rPr>
          <w:rFonts w:cs="Arial"/>
          <w:i/>
          <w:iCs/>
        </w:rPr>
        <w:fldChar w:fldCharType="end"/>
      </w:r>
      <w:r>
        <w:rPr>
          <w:rFonts w:cs="Arial"/>
        </w:rPr>
        <w:t>)</w:t>
      </w:r>
      <w:r w:rsidRPr="00A54A71">
        <w:t xml:space="preserve"> (</w:t>
      </w:r>
      <w:r w:rsidRPr="00A54A71">
        <w:rPr>
          <w:i/>
          <w:iCs/>
          <w:color w:val="000000"/>
        </w:rPr>
        <w:fldChar w:fldCharType="begin"/>
      </w:r>
      <w:r w:rsidRPr="00A54A71">
        <w:rPr>
          <w:i/>
          <w:iCs/>
          <w:color w:val="000000"/>
        </w:rPr>
        <w:instrText xml:space="preserve"> REF  _Ref_ContractCompanion_9kb9Ur5BA \* Caps \h  \* MERGEFORMAT </w:instrText>
      </w:r>
      <w:r w:rsidRPr="00A54A71">
        <w:rPr>
          <w:i/>
          <w:iCs/>
          <w:color w:val="000000"/>
        </w:rPr>
      </w:r>
      <w:r w:rsidRPr="00A54A71">
        <w:rPr>
          <w:i/>
          <w:iCs/>
          <w:color w:val="000000"/>
        </w:rPr>
        <w:fldChar w:fldCharType="separate"/>
      </w:r>
      <w:r w:rsidR="00302D39" w:rsidRPr="00302D39">
        <w:rPr>
          <w:rFonts w:cs="Arial"/>
          <w:i/>
          <w:iCs/>
        </w:rPr>
        <w:t>Annex 3: Records To Upload To Virtual Library</w:t>
      </w:r>
      <w:r w:rsidRPr="00A54A71">
        <w:rPr>
          <w:i/>
          <w:iCs/>
          <w:color w:val="000000"/>
        </w:rPr>
        <w:fldChar w:fldCharType="end"/>
      </w:r>
      <w:r w:rsidRPr="00A54A71">
        <w:t xml:space="preserve">) has been uploaded to the Virtual Library in accordance with Paragraph </w:t>
      </w:r>
      <w:r w:rsidRPr="00A54A71">
        <w:rPr>
          <w:color w:val="000000"/>
        </w:rPr>
        <w:fldChar w:fldCharType="begin"/>
      </w:r>
      <w:r w:rsidRPr="00A54A71">
        <w:rPr>
          <w:color w:val="000000"/>
        </w:rPr>
        <w:instrText xml:space="preserve"> REF _Ref_ContractCompanion_9kb9Ur58B \w \h  \* MERGEFORMAT </w:instrText>
      </w:r>
      <w:r w:rsidRPr="00A54A71">
        <w:rPr>
          <w:color w:val="000000"/>
        </w:rPr>
      </w:r>
      <w:r w:rsidRPr="00A54A71">
        <w:rPr>
          <w:color w:val="000000"/>
        </w:rPr>
        <w:fldChar w:fldCharType="separate"/>
      </w:r>
      <w:r w:rsidR="00302D39">
        <w:rPr>
          <w:color w:val="000000"/>
        </w:rPr>
        <w:t>3</w:t>
      </w:r>
      <w:r w:rsidRPr="00A54A71">
        <w:rPr>
          <w:color w:val="000000"/>
        </w:rPr>
        <w:fldChar w:fldCharType="end"/>
      </w:r>
      <w:r w:rsidRPr="00A54A71">
        <w:t xml:space="preserve"> of that Schedule.</w:t>
      </w:r>
    </w:p>
    <w:p w14:paraId="03E38DC1" w14:textId="77777777" w:rsidR="00F67E9E" w:rsidRDefault="00F67E9E" w:rsidP="00F67E9E"/>
    <w:p w14:paraId="4BC1D3B8" w14:textId="77777777" w:rsidR="00F67E9E" w:rsidRDefault="00F67E9E" w:rsidP="00F67E9E"/>
    <w:p w14:paraId="65E412EE" w14:textId="77777777" w:rsidR="00F67E9E" w:rsidRPr="009E1FEF" w:rsidRDefault="00F67E9E" w:rsidP="00F67E9E">
      <w:pPr>
        <w:numPr>
          <w:ilvl w:val="1"/>
          <w:numId w:val="46"/>
        </w:numPr>
        <w:pBdr>
          <w:top w:val="nil"/>
          <w:left w:val="nil"/>
          <w:bottom w:val="nil"/>
          <w:right w:val="nil"/>
          <w:between w:val="nil"/>
        </w:pBdr>
        <w:tabs>
          <w:tab w:val="num" w:pos="360"/>
        </w:tabs>
        <w:spacing w:before="100" w:after="200"/>
        <w:ind w:left="360"/>
        <w:rPr>
          <w:szCs w:val="24"/>
        </w:rPr>
        <w:sectPr w:rsidR="00F67E9E" w:rsidRPr="009E1FEF" w:rsidSect="00240D26">
          <w:footerReference w:type="default" r:id="rId34"/>
          <w:footerReference w:type="first" r:id="rId35"/>
          <w:pgSz w:w="11900" w:h="16840" w:code="9"/>
          <w:pgMar w:top="1701" w:right="851" w:bottom="1134" w:left="851" w:header="567" w:footer="567" w:gutter="0"/>
          <w:cols w:space="720"/>
          <w:docGrid w:linePitch="360"/>
        </w:sectPr>
      </w:pPr>
    </w:p>
    <w:p w14:paraId="79B73389" w14:textId="77777777" w:rsidR="00F67E9E" w:rsidRPr="007C55B2" w:rsidRDefault="00F67E9E" w:rsidP="00F67E9E">
      <w:pPr>
        <w:pStyle w:val="Dividername"/>
      </w:pPr>
      <w:bookmarkStart w:id="435" w:name="_Ref92707593"/>
      <w:bookmarkEnd w:id="321"/>
      <w:r w:rsidRPr="007C55B2">
        <w:t>Schedule 4</w:t>
      </w:r>
      <w:bookmarkEnd w:id="435"/>
    </w:p>
    <w:p w14:paraId="04411160" w14:textId="77777777" w:rsidR="00F67E9E" w:rsidRPr="007C55B2" w:rsidRDefault="00F67E9E" w:rsidP="00F67E9E">
      <w:pPr>
        <w:pStyle w:val="Dividername"/>
      </w:pPr>
      <w:r w:rsidRPr="007C55B2">
        <w:t>Standards</w:t>
      </w:r>
    </w:p>
    <w:p w14:paraId="4F443411" w14:textId="77777777" w:rsidR="00F67E9E" w:rsidRDefault="00F67E9E" w:rsidP="00F67E9E"/>
    <w:p w14:paraId="068E3FC1" w14:textId="77777777" w:rsidR="00F67E9E" w:rsidRPr="005D0525" w:rsidRDefault="00F67E9E" w:rsidP="00F67E9E">
      <w:pPr>
        <w:pStyle w:val="Heading1"/>
      </w:pPr>
      <w:bookmarkStart w:id="436" w:name="Schedule4"/>
      <w:bookmarkStart w:id="437" w:name="_Ref92199295"/>
      <w:bookmarkStart w:id="438" w:name="_Toc141711906"/>
      <w:r w:rsidRPr="005D0525">
        <w:t>Schedule</w:t>
      </w:r>
      <w:r>
        <w:t> </w:t>
      </w:r>
      <w:r w:rsidRPr="005D0525">
        <w:t>4</w:t>
      </w:r>
      <w:bookmarkEnd w:id="436"/>
      <w:r>
        <w:t xml:space="preserve">: </w:t>
      </w:r>
      <w:bookmarkStart w:id="439" w:name="Schedule4Heading"/>
      <w:r w:rsidRPr="00F97284">
        <w:t>Standards</w:t>
      </w:r>
      <w:bookmarkEnd w:id="437"/>
      <w:bookmarkEnd w:id="438"/>
      <w:bookmarkEnd w:id="439"/>
    </w:p>
    <w:p w14:paraId="1A307ED8" w14:textId="77777777" w:rsidR="00F67E9E" w:rsidRPr="00E6346F" w:rsidRDefault="00F67E9E" w:rsidP="00F67E9E">
      <w:pPr>
        <w:pStyle w:val="Numbered1"/>
        <w:numPr>
          <w:ilvl w:val="0"/>
          <w:numId w:val="160"/>
        </w:numPr>
      </w:pPr>
      <w:r w:rsidRPr="00E6346F">
        <w:t>Definitions</w:t>
      </w:r>
    </w:p>
    <w:p w14:paraId="517EF2FE" w14:textId="77777777" w:rsidR="00F67E9E" w:rsidRPr="00F511A1" w:rsidRDefault="00F67E9E" w:rsidP="00F67E9E">
      <w:pPr>
        <w:pStyle w:val="Numbered11"/>
      </w:pPr>
      <w:r w:rsidRPr="00F511A1">
        <w:t>In this Schedule, the following definitions shall apply:</w:t>
      </w:r>
    </w:p>
    <w:tbl>
      <w:tblPr>
        <w:tblStyle w:val="MSAdefinitions"/>
        <w:tblW w:w="9638" w:type="dxa"/>
        <w:tblLook w:val="04A0" w:firstRow="1" w:lastRow="0" w:firstColumn="1" w:lastColumn="0" w:noHBand="0" w:noVBand="1"/>
      </w:tblPr>
      <w:tblGrid>
        <w:gridCol w:w="2835"/>
        <w:gridCol w:w="6803"/>
      </w:tblGrid>
      <w:tr w:rsidR="00F67E9E" w:rsidRPr="00F511A1" w14:paraId="016F9C88" w14:textId="77777777" w:rsidTr="007F74AA">
        <w:tc>
          <w:tcPr>
            <w:tcW w:w="2835" w:type="dxa"/>
          </w:tcPr>
          <w:p w14:paraId="0E3CE1E7" w14:textId="77777777" w:rsidR="00F67E9E" w:rsidRPr="00F511A1" w:rsidRDefault="00F67E9E" w:rsidP="007F74AA">
            <w:pPr>
              <w:pStyle w:val="StdBodyTextBold"/>
              <w:rPr>
                <w:rFonts w:cs="Arial"/>
              </w:rPr>
            </w:pPr>
            <w:r>
              <w:rPr>
                <w:rFonts w:cs="Arial"/>
              </w:rPr>
              <w:t>“</w:t>
            </w:r>
            <w:r w:rsidRPr="00F511A1">
              <w:rPr>
                <w:rFonts w:cs="Arial"/>
              </w:rPr>
              <w:t>Standards Hub</w:t>
            </w:r>
            <w:r>
              <w:rPr>
                <w:rFonts w:cs="Arial"/>
              </w:rPr>
              <w:t>”</w:t>
            </w:r>
          </w:p>
        </w:tc>
        <w:tc>
          <w:tcPr>
            <w:tcW w:w="6803" w:type="dxa"/>
          </w:tcPr>
          <w:p w14:paraId="50B31669" w14:textId="77777777" w:rsidR="00F67E9E" w:rsidRPr="00F511A1" w:rsidRDefault="00F67E9E" w:rsidP="007F74AA">
            <w:pPr>
              <w:pStyle w:val="StdBodyText"/>
              <w:rPr>
                <w:rFonts w:cs="Arial"/>
              </w:rPr>
            </w:pPr>
            <w:r w:rsidRPr="00F511A1">
              <w:rPr>
                <w:rFonts w:cs="Arial"/>
              </w:rPr>
              <w:t>the Government</w:t>
            </w:r>
            <w:r>
              <w:rPr>
                <w:rFonts w:cs="Arial"/>
              </w:rPr>
              <w:t>’</w:t>
            </w:r>
            <w:r w:rsidRPr="00F511A1">
              <w:rPr>
                <w:rFonts w:cs="Arial"/>
              </w:rPr>
              <w:t xml:space="preserve">s open and transparent standards adoption process as documented at </w:t>
            </w:r>
            <w:hyperlink r:id="rId36" w:history="1">
              <w:r w:rsidRPr="005870ED">
                <w:rPr>
                  <w:rStyle w:val="Hyperlink"/>
                </w:rPr>
                <w:t>http://standards.data.gov.uk/</w:t>
              </w:r>
            </w:hyperlink>
            <w:r w:rsidRPr="00F511A1">
              <w:rPr>
                <w:rFonts w:cs="Arial"/>
              </w:rPr>
              <w:t>; and</w:t>
            </w:r>
          </w:p>
        </w:tc>
      </w:tr>
      <w:tr w:rsidR="00F67E9E" w:rsidRPr="00F511A1" w14:paraId="49A7C223" w14:textId="77777777" w:rsidTr="007F74AA">
        <w:tc>
          <w:tcPr>
            <w:tcW w:w="2835" w:type="dxa"/>
          </w:tcPr>
          <w:p w14:paraId="31D4AD7A" w14:textId="77777777" w:rsidR="00F67E9E" w:rsidRPr="00F511A1" w:rsidRDefault="00F67E9E" w:rsidP="007F74AA">
            <w:pPr>
              <w:pStyle w:val="StdBodyTextBold"/>
              <w:rPr>
                <w:rFonts w:cs="Arial"/>
              </w:rPr>
            </w:pPr>
            <w:r>
              <w:rPr>
                <w:rFonts w:cs="Arial"/>
              </w:rPr>
              <w:t>“</w:t>
            </w:r>
            <w:r w:rsidRPr="00F511A1">
              <w:rPr>
                <w:rFonts w:cs="Arial"/>
              </w:rPr>
              <w:t>Suggested Challenge</w:t>
            </w:r>
            <w:r>
              <w:rPr>
                <w:rFonts w:cs="Arial"/>
              </w:rPr>
              <w:t>”</w:t>
            </w:r>
          </w:p>
        </w:tc>
        <w:tc>
          <w:tcPr>
            <w:tcW w:w="6803" w:type="dxa"/>
          </w:tcPr>
          <w:p w14:paraId="470FF145" w14:textId="77777777" w:rsidR="00F67E9E" w:rsidRPr="00F511A1" w:rsidRDefault="00F67E9E" w:rsidP="007F74AA">
            <w:pPr>
              <w:pStyle w:val="StdBodyText"/>
              <w:rPr>
                <w:rFonts w:cs="Arial"/>
              </w:rPr>
            </w:pPr>
            <w:r w:rsidRPr="00F511A1">
              <w:rPr>
                <w:rFonts w:cs="Arial"/>
              </w:rPr>
              <w:t>a submission to suggest the adoption of new or emergent standards in the format specified on Standards Hub.</w:t>
            </w:r>
          </w:p>
        </w:tc>
      </w:tr>
    </w:tbl>
    <w:p w14:paraId="43CFA79C" w14:textId="77777777" w:rsidR="00F67E9E" w:rsidRPr="00F511A1" w:rsidRDefault="00F67E9E" w:rsidP="00F67E9E">
      <w:pPr>
        <w:pStyle w:val="Numbered1"/>
      </w:pPr>
      <w:bookmarkStart w:id="440" w:name="_Ref_ContractCompanion_9kb9Ur5CD"/>
      <w:r w:rsidRPr="00F511A1">
        <w:t>General</w:t>
      </w:r>
      <w:bookmarkEnd w:id="440"/>
    </w:p>
    <w:p w14:paraId="105DDEEC" w14:textId="77777777" w:rsidR="00F67E9E" w:rsidRPr="00F511A1" w:rsidRDefault="00F67E9E" w:rsidP="00F67E9E">
      <w:pPr>
        <w:pStyle w:val="Numbered11"/>
      </w:pPr>
      <w:bookmarkStart w:id="441" w:name="_9kR3WTrAG89GGDBdRw481pyCII7t676FD7DG6Il"/>
      <w:r w:rsidRPr="00F511A1">
        <w:t>Throughout the term of this Contract, the Parties shall monitor and notify each other of any new or emergent standards which could affect the Supplier</w:t>
      </w:r>
      <w:r>
        <w:t>’</w:t>
      </w:r>
      <w:r w:rsidRPr="00F511A1">
        <w:t>s provision, or the Authority</w:t>
      </w:r>
      <w:r>
        <w:t>’</w:t>
      </w:r>
      <w:r w:rsidRPr="00F511A1">
        <w:t>s receipt, of the Services.</w:t>
      </w:r>
      <w:bookmarkEnd w:id="441"/>
      <w:r w:rsidRPr="00F511A1">
        <w:t xml:space="preserve"> Any changes to the Standards, including the adoption of any such new or emergent standard, shall be agreed in accordance with the Change Control Procedure.</w:t>
      </w:r>
    </w:p>
    <w:p w14:paraId="7C3DAFA4" w14:textId="77777777" w:rsidR="00F67E9E" w:rsidRPr="00F511A1" w:rsidRDefault="00F67E9E" w:rsidP="00F67E9E">
      <w:pPr>
        <w:pStyle w:val="Numbered11"/>
      </w:pPr>
      <w:bookmarkStart w:id="442" w:name="_Ref_ContractCompanion_9kb9Ur5BE"/>
      <w:bookmarkStart w:id="443" w:name="_9kR3WTrAG89FKIChUjuvfpu4FB2yz58w4KQRA59"/>
      <w:r w:rsidRPr="00F511A1">
        <w:t>Where a new or emergent standard is to be developed or introduced by the Authority, the Supplier shall be responsible for ensuring that the potential impact on the Supplier</w:t>
      </w:r>
      <w:r>
        <w:t>’</w:t>
      </w:r>
      <w:r w:rsidRPr="00F511A1">
        <w:t>s provision, or the Authority</w:t>
      </w:r>
      <w:r>
        <w:t>’</w:t>
      </w:r>
      <w:r w:rsidRPr="00F511A1">
        <w:t>s receipt, of the Services is explained to the Authority (in a reasonable timeframe), prior to the implementation of the new or emergent standard.</w:t>
      </w:r>
      <w:bookmarkEnd w:id="442"/>
      <w:bookmarkEnd w:id="443"/>
    </w:p>
    <w:p w14:paraId="65881159" w14:textId="77777777" w:rsidR="00F67E9E" w:rsidRPr="00F511A1" w:rsidRDefault="00F67E9E" w:rsidP="00F67E9E">
      <w:pPr>
        <w:pStyle w:val="Numbered11"/>
      </w:pPr>
      <w:r w:rsidRPr="00F511A1">
        <w:t>Where Standards referenced conflict with each other or with Good Industry Practice, then the later Standard or best practice shall be adopted by the Supplier. Any such alteration to any Standard(s) shall require the prior written agreement of the Authority and shall be implemented within an agreed timescale.</w:t>
      </w:r>
    </w:p>
    <w:p w14:paraId="300E7D64" w14:textId="77777777" w:rsidR="00F67E9E" w:rsidRPr="00651C62" w:rsidRDefault="00F67E9E" w:rsidP="00F67E9E">
      <w:pPr>
        <w:pStyle w:val="Numbered1"/>
      </w:pPr>
      <w:r w:rsidRPr="00651C62">
        <w:t xml:space="preserve">Technology </w:t>
      </w:r>
      <w:r>
        <w:t>a</w:t>
      </w:r>
      <w:r w:rsidRPr="00651C62">
        <w:t>nd Digital Services Practice</w:t>
      </w:r>
    </w:p>
    <w:p w14:paraId="36ED3B0C" w14:textId="77777777" w:rsidR="00F67E9E" w:rsidRPr="00651C62" w:rsidRDefault="00F67E9E" w:rsidP="00F67E9E">
      <w:pPr>
        <w:pStyle w:val="Numbered11"/>
      </w:pPr>
      <w:r w:rsidRPr="00651C62">
        <w:t>The Supplier shall (when designing, implementing and delivering the Services) adopt the applicable elements of HM Government</w:t>
      </w:r>
      <w:r>
        <w:t>’</w:t>
      </w:r>
      <w:r w:rsidRPr="00651C62">
        <w:t xml:space="preserve">s Technology Code of Practice as documented at </w:t>
      </w:r>
      <w:hyperlink r:id="rId37" w:history="1">
        <w:r w:rsidRPr="009611CF">
          <w:rPr>
            <w:rStyle w:val="Hyperlink"/>
            <w:rFonts w:cs="Arial"/>
          </w:rPr>
          <w:t>https://www.gov.uk/service-manual/technology/code-of-practice.html</w:t>
        </w:r>
      </w:hyperlink>
      <w:r w:rsidRPr="00651C62">
        <w:t xml:space="preserve">. </w:t>
      </w:r>
    </w:p>
    <w:p w14:paraId="45FF0D68" w14:textId="77777777" w:rsidR="00F67E9E" w:rsidRPr="00651C62" w:rsidRDefault="00F67E9E" w:rsidP="00F67E9E">
      <w:pPr>
        <w:pStyle w:val="Numbered1"/>
      </w:pPr>
      <w:bookmarkStart w:id="444" w:name="_Ref_ContractCompanion_9kb9Ur5CG"/>
      <w:r w:rsidRPr="00651C62">
        <w:t>Open Data Standards &amp; Standards Hub</w:t>
      </w:r>
      <w:bookmarkEnd w:id="444"/>
    </w:p>
    <w:p w14:paraId="64B224A6" w14:textId="77777777" w:rsidR="00F67E9E" w:rsidRPr="00651C62" w:rsidRDefault="00F67E9E" w:rsidP="00F67E9E">
      <w:pPr>
        <w:pStyle w:val="Numbered11"/>
      </w:pPr>
      <w:bookmarkStart w:id="445" w:name="_Ref_ContractCompanion_9kb9Ur5C8"/>
      <w:bookmarkStart w:id="446" w:name="_9kR3WTrAG89GEDDdRjVgA63xr1G7qv7z3EGGQZQ"/>
      <w:r w:rsidRPr="00651C62">
        <w:t>The Supplier shall comply to the extent within its control with UK Government</w:t>
      </w:r>
      <w:r>
        <w:t>’</w:t>
      </w:r>
      <w:r w:rsidRPr="00651C62">
        <w:t xml:space="preserve">s Open Standards Principles as documented at </w:t>
      </w:r>
      <w:hyperlink r:id="rId38" w:history="1">
        <w:r w:rsidRPr="009611CF">
          <w:rPr>
            <w:rStyle w:val="Hyperlink"/>
            <w:rFonts w:cs="Arial"/>
          </w:rPr>
          <w:t>https://www.gov.uk/government/publications/open-standards-principles/open-standards-principles</w:t>
        </w:r>
      </w:hyperlink>
      <w:r w:rsidRPr="00651C62">
        <w:t>, as they relate to the specification of standards for software interoperability, data and document formats in the IT Environment.</w:t>
      </w:r>
      <w:bookmarkEnd w:id="445"/>
      <w:bookmarkEnd w:id="446"/>
    </w:p>
    <w:p w14:paraId="2134D44A" w14:textId="1FF32CC7" w:rsidR="00F67E9E" w:rsidRPr="00F511A1" w:rsidRDefault="00F67E9E" w:rsidP="00F67E9E">
      <w:pPr>
        <w:pStyle w:val="Numbered11"/>
      </w:pPr>
      <w:r w:rsidRPr="00F511A1">
        <w:t xml:space="preserve">Without prejudice to the generality of </w:t>
      </w:r>
      <w:bookmarkStart w:id="447" w:name="_9kMHG5YVtCIABHMKEjWlwxhrw6HD4017Ay6MSTC"/>
      <w:r w:rsidRPr="00F511A1">
        <w:t xml:space="preserve">Paragraph </w:t>
      </w:r>
      <w:r w:rsidRPr="00F511A1">
        <w:fldChar w:fldCharType="begin"/>
      </w:r>
      <w:r w:rsidRPr="00F511A1">
        <w:instrText xml:space="preserve"> REF _Ref_ContractCompanion_9kb9Ur5BE \n \h \t \* MERGEFORMAT </w:instrText>
      </w:r>
      <w:r w:rsidRPr="00F511A1">
        <w:fldChar w:fldCharType="separate"/>
      </w:r>
      <w:r w:rsidR="00302D39">
        <w:t>2.2</w:t>
      </w:r>
      <w:r w:rsidRPr="00F511A1">
        <w:fldChar w:fldCharType="end"/>
      </w:r>
      <w:bookmarkEnd w:id="447"/>
      <w:r w:rsidRPr="00F511A1">
        <w:t>, the Supplier shall, when implementing or updating a technical component or part of the Software or Supplier Solution where there is a requirement under this Contract or opportunity to use a new or emergent standard, submit a Suggested Challenge compliant with the UK Government</w:t>
      </w:r>
      <w:r>
        <w:t>’</w:t>
      </w:r>
      <w:r w:rsidRPr="00F511A1">
        <w:t xml:space="preserve">s Open Standards Principles (using the process detailed on Standards Hub and documented at </w:t>
      </w:r>
      <w:hyperlink r:id="rId39" w:history="1">
        <w:r w:rsidRPr="009611CF">
          <w:rPr>
            <w:rStyle w:val="Hyperlink"/>
            <w:rFonts w:cs="Arial"/>
          </w:rPr>
          <w:t>http://standards.data.gov.uk/</w:t>
        </w:r>
      </w:hyperlink>
      <w:r w:rsidRPr="00F511A1">
        <w:t>). Each Suggested Challenge submitted by the Supplier shall detail, subject to the security and confidentiality provisions in this Contract, an illustration of such requirement or opportunity within the IT Environment, Supplier Solution and Government</w:t>
      </w:r>
      <w:r>
        <w:t>’</w:t>
      </w:r>
      <w:r w:rsidRPr="00F511A1">
        <w:t>s IT infrastructure and the suggested open standard.</w:t>
      </w:r>
    </w:p>
    <w:p w14:paraId="02C0E883" w14:textId="3B9BCA8A" w:rsidR="00F67E9E" w:rsidRPr="00F511A1" w:rsidRDefault="00F67E9E" w:rsidP="00F67E9E">
      <w:pPr>
        <w:pStyle w:val="Numbered11"/>
      </w:pPr>
      <w:r w:rsidRPr="00F511A1">
        <w:t xml:space="preserve">The Supplier shall ensure that all documentation published on behalf of the Authority pursuant to this Contract is provided in a non-proprietary format (such as PDF or Open Document Format (ISO 26300 or equivalent)) as well as any native file format documentation in accordance with the obligation under </w:t>
      </w:r>
      <w:bookmarkStart w:id="448" w:name="_9kMHG5YVtCIABIGFFfTlXiC85zt3I9sx915GIIS"/>
      <w:r w:rsidRPr="00F511A1">
        <w:t xml:space="preserve">Paragraph </w:t>
      </w:r>
      <w:r w:rsidRPr="00F511A1">
        <w:fldChar w:fldCharType="begin"/>
      </w:r>
      <w:r w:rsidRPr="00F511A1">
        <w:instrText xml:space="preserve"> REF _Ref_ContractCompanion_9kb9Ur5C8 \n \h \t \* MERGEFORMAT </w:instrText>
      </w:r>
      <w:r w:rsidRPr="00F511A1">
        <w:fldChar w:fldCharType="separate"/>
      </w:r>
      <w:r w:rsidR="00302D39">
        <w:t>4.1</w:t>
      </w:r>
      <w:r w:rsidRPr="00F511A1">
        <w:fldChar w:fldCharType="end"/>
      </w:r>
      <w:bookmarkEnd w:id="448"/>
      <w:r w:rsidRPr="00F511A1">
        <w:t xml:space="preserve"> to comply with the UK Government</w:t>
      </w:r>
      <w:r>
        <w:t>’</w:t>
      </w:r>
      <w:r w:rsidRPr="00F511A1">
        <w:t xml:space="preserve">s Open Standards Principles, unless the Authority otherwise agrees in writing. </w:t>
      </w:r>
    </w:p>
    <w:p w14:paraId="3DA4A3F6" w14:textId="77777777" w:rsidR="00F67E9E" w:rsidRPr="00F511A1" w:rsidRDefault="00F67E9E" w:rsidP="00F67E9E">
      <w:pPr>
        <w:pStyle w:val="Numbered1"/>
      </w:pPr>
      <w:r w:rsidRPr="00F511A1">
        <w:t>Technology Architecture Standards</w:t>
      </w:r>
    </w:p>
    <w:p w14:paraId="7032DAF3" w14:textId="77777777" w:rsidR="00F67E9E" w:rsidRPr="00F511A1" w:rsidRDefault="00F67E9E" w:rsidP="00F67E9E">
      <w:pPr>
        <w:pStyle w:val="Numbered11"/>
      </w:pPr>
      <w:r w:rsidRPr="00F511A1">
        <w:t xml:space="preserve">The Supplier shall produce full and detailed technical architecture documentation for the Supplier Solution in accordance with Good Industry Practice. If documentation exists that complies with the Open Group Architecture Framework </w:t>
      </w:r>
      <w:bookmarkStart w:id="449" w:name="_9kMHG5YVtCIABIHLLjWlwxyzzG974r7J45LM5AQ"/>
      <w:r w:rsidRPr="00F511A1">
        <w:t>9.2</w:t>
      </w:r>
      <w:bookmarkEnd w:id="449"/>
      <w:r w:rsidRPr="00F511A1">
        <w:t xml:space="preserve"> or its equivalent, then this shall be deemed acceptable.</w:t>
      </w:r>
    </w:p>
    <w:p w14:paraId="6A06912A" w14:textId="77777777" w:rsidR="00F67E9E" w:rsidRPr="00F511A1" w:rsidRDefault="00F67E9E" w:rsidP="00F67E9E">
      <w:pPr>
        <w:pStyle w:val="Numbered1"/>
      </w:pPr>
      <w:r w:rsidRPr="00F511A1">
        <w:t>Accessible Digital Standards</w:t>
      </w:r>
    </w:p>
    <w:p w14:paraId="18FBDFE3" w14:textId="77777777" w:rsidR="00F67E9E" w:rsidRPr="00F511A1" w:rsidRDefault="00F67E9E" w:rsidP="00F67E9E">
      <w:pPr>
        <w:pStyle w:val="Numbered11"/>
      </w:pPr>
      <w:r w:rsidRPr="00F511A1">
        <w:t>The Supplier shall comply with (or with equivalents to):</w:t>
      </w:r>
    </w:p>
    <w:p w14:paraId="11C8C2F6" w14:textId="77777777" w:rsidR="00F67E9E" w:rsidRPr="00F511A1" w:rsidRDefault="00F67E9E" w:rsidP="00F67E9E">
      <w:pPr>
        <w:pStyle w:val="Numbered111"/>
        <w:tabs>
          <w:tab w:val="clear" w:pos="1800"/>
        </w:tabs>
        <w:ind w:left="1440" w:hanging="720"/>
      </w:pPr>
      <w:r w:rsidRPr="00F511A1">
        <w:t xml:space="preserve">the World Wide Web Consortium (W3C) Web Accessibility Initiative (WAI) Web Content Accessibility Guidelines (WCAG) </w:t>
      </w:r>
      <w:bookmarkStart w:id="450" w:name="_9kMHG5YVtCIABIIFDfTy6A3r0EKK9v898HF9FI8"/>
      <w:r w:rsidRPr="00F511A1">
        <w:t>2.1</w:t>
      </w:r>
      <w:bookmarkEnd w:id="450"/>
      <w:r w:rsidRPr="00F511A1">
        <w:t xml:space="preserve"> Conformance Level AA; and</w:t>
      </w:r>
    </w:p>
    <w:p w14:paraId="5DEC1362" w14:textId="77777777" w:rsidR="00F67E9E" w:rsidRPr="00F511A1" w:rsidRDefault="00F67E9E" w:rsidP="00F67E9E">
      <w:pPr>
        <w:pStyle w:val="Numbered111"/>
        <w:tabs>
          <w:tab w:val="clear" w:pos="1800"/>
        </w:tabs>
        <w:ind w:left="1440" w:hanging="720"/>
      </w:pPr>
      <w:r w:rsidRPr="00F511A1">
        <w:t xml:space="preserve">ISO/IEC 13066-1: 2011 Information Technology – Interoperability with assistive technology (AT) – </w:t>
      </w:r>
      <w:bookmarkStart w:id="451" w:name="_9kR3WTr2CC57AZEn7I"/>
      <w:r w:rsidRPr="00F511A1">
        <w:t>Part 1</w:t>
      </w:r>
      <w:bookmarkEnd w:id="451"/>
      <w:r w:rsidRPr="00F511A1">
        <w:t>: Requirements and recommendations for interoperability.</w:t>
      </w:r>
    </w:p>
    <w:p w14:paraId="44B08366" w14:textId="77777777" w:rsidR="00F67E9E" w:rsidRPr="00F511A1" w:rsidRDefault="00F67E9E" w:rsidP="00F67E9E">
      <w:pPr>
        <w:pStyle w:val="Numbered1"/>
      </w:pPr>
      <w:r w:rsidRPr="00F511A1">
        <w:t>Service Management Software &amp; Standards</w:t>
      </w:r>
    </w:p>
    <w:p w14:paraId="42ADB001" w14:textId="73515E83" w:rsidR="00F67E9E" w:rsidRPr="00F511A1" w:rsidRDefault="00F67E9E" w:rsidP="00F67E9E">
      <w:pPr>
        <w:pStyle w:val="Numbered11"/>
      </w:pPr>
      <w:r w:rsidRPr="00F511A1">
        <w:t xml:space="preserve">Subject to </w:t>
      </w:r>
      <w:bookmarkStart w:id="452" w:name="_9kR3WTr2BB9GJdEnoewrqy2O"/>
      <w:r w:rsidRPr="00F511A1">
        <w:t xml:space="preserve">Paragraphs </w:t>
      </w:r>
      <w:r w:rsidRPr="00F511A1">
        <w:fldChar w:fldCharType="begin"/>
      </w:r>
      <w:r w:rsidRPr="00F511A1">
        <w:instrText xml:space="preserve"> REF _Ref_ContractCompanion_9kb9Ur5CD \w \n \h \t \* MERGEFORMAT </w:instrText>
      </w:r>
      <w:r w:rsidRPr="00F511A1">
        <w:fldChar w:fldCharType="separate"/>
      </w:r>
      <w:r w:rsidR="00302D39">
        <w:t>2</w:t>
      </w:r>
      <w:r w:rsidRPr="00F511A1">
        <w:fldChar w:fldCharType="end"/>
      </w:r>
      <w:bookmarkEnd w:id="452"/>
      <w:r w:rsidRPr="00F511A1">
        <w:t xml:space="preserve"> to </w:t>
      </w:r>
      <w:bookmarkStart w:id="453" w:name="_9kR3WTr2BB9HDB"/>
      <w:r w:rsidRPr="00F511A1">
        <w:fldChar w:fldCharType="begin"/>
      </w:r>
      <w:r w:rsidRPr="00F511A1">
        <w:instrText xml:space="preserve"> REF _Ref_ContractCompanion_9kb9Ur5CG \w \n \h \t \* MERGEFORMAT </w:instrText>
      </w:r>
      <w:r w:rsidRPr="00F511A1">
        <w:fldChar w:fldCharType="separate"/>
      </w:r>
      <w:r w:rsidR="00302D39">
        <w:t>4</w:t>
      </w:r>
      <w:r w:rsidRPr="00F511A1">
        <w:fldChar w:fldCharType="end"/>
      </w:r>
      <w:bookmarkEnd w:id="453"/>
      <w:r w:rsidRPr="00F511A1">
        <w:t xml:space="preserve"> (inclusive), the Supplier shall reference relevant industry and HM Government standards and best practice guidelines in the management of the Services, including the following and/or their equivalents:</w:t>
      </w:r>
    </w:p>
    <w:p w14:paraId="1C45E8F0" w14:textId="77777777" w:rsidR="00F67E9E" w:rsidRPr="00F511A1" w:rsidRDefault="00F67E9E" w:rsidP="00F67E9E">
      <w:pPr>
        <w:pStyle w:val="Numbered111"/>
        <w:tabs>
          <w:tab w:val="clear" w:pos="1800"/>
          <w:tab w:val="num" w:pos="1440"/>
        </w:tabs>
        <w:ind w:left="1440" w:hanging="720"/>
      </w:pPr>
      <w:r w:rsidRPr="00F511A1">
        <w:t>ITIL v4;</w:t>
      </w:r>
    </w:p>
    <w:p w14:paraId="4105F91B" w14:textId="77777777" w:rsidR="00F67E9E" w:rsidRPr="00F511A1" w:rsidRDefault="00F67E9E" w:rsidP="00F67E9E">
      <w:pPr>
        <w:pStyle w:val="Numbered111"/>
        <w:tabs>
          <w:tab w:val="clear" w:pos="1800"/>
          <w:tab w:val="num" w:pos="1440"/>
        </w:tabs>
        <w:ind w:left="1440" w:hanging="720"/>
        <w:rPr>
          <w:lang w:val="fr-FR"/>
        </w:rPr>
      </w:pPr>
      <w:r w:rsidRPr="00F511A1">
        <w:rPr>
          <w:lang w:val="fr-FR"/>
        </w:rPr>
        <w:t xml:space="preserve">ISO/IEC 20000-1 2018 </w:t>
      </w:r>
      <w:r>
        <w:rPr>
          <w:lang w:val="fr-FR"/>
        </w:rPr>
        <w:t>“</w:t>
      </w:r>
      <w:r w:rsidRPr="00F511A1">
        <w:rPr>
          <w:lang w:val="fr-FR"/>
        </w:rPr>
        <w:t xml:space="preserve">Information technology — Service management – </w:t>
      </w:r>
      <w:bookmarkStart w:id="454" w:name="_9kMHG5YVt4EE79CbGp9K"/>
      <w:r w:rsidRPr="00F511A1">
        <w:rPr>
          <w:lang w:val="fr-FR"/>
        </w:rPr>
        <w:t>Part</w:t>
      </w:r>
      <w:r>
        <w:rPr>
          <w:lang w:val="fr-FR"/>
        </w:rPr>
        <w:t> </w:t>
      </w:r>
      <w:r w:rsidRPr="00F511A1">
        <w:rPr>
          <w:lang w:val="fr-FR"/>
        </w:rPr>
        <w:t>1</w:t>
      </w:r>
      <w:bookmarkEnd w:id="454"/>
      <w:r>
        <w:rPr>
          <w:lang w:val="fr-FR"/>
        </w:rPr>
        <w:t>”</w:t>
      </w:r>
      <w:r w:rsidRPr="00F511A1">
        <w:rPr>
          <w:lang w:val="fr-FR"/>
        </w:rPr>
        <w:t xml:space="preserve">; </w:t>
      </w:r>
    </w:p>
    <w:p w14:paraId="1D326A4F" w14:textId="77777777" w:rsidR="00F67E9E" w:rsidRPr="00F511A1" w:rsidRDefault="00F67E9E" w:rsidP="00F67E9E">
      <w:pPr>
        <w:pStyle w:val="Numbered111"/>
        <w:tabs>
          <w:tab w:val="clear" w:pos="1800"/>
          <w:tab w:val="num" w:pos="1440"/>
        </w:tabs>
        <w:ind w:left="1440" w:hanging="720"/>
        <w:rPr>
          <w:lang w:val="fr-FR"/>
        </w:rPr>
      </w:pPr>
      <w:r w:rsidRPr="00F511A1">
        <w:rPr>
          <w:lang w:val="fr-FR"/>
        </w:rPr>
        <w:t xml:space="preserve">ISO/IEC 20000-2 2019 </w:t>
      </w:r>
      <w:r>
        <w:rPr>
          <w:lang w:val="fr-FR"/>
        </w:rPr>
        <w:t>“</w:t>
      </w:r>
      <w:r w:rsidRPr="00F511A1">
        <w:rPr>
          <w:lang w:val="fr-FR"/>
        </w:rPr>
        <w:t xml:space="preserve">Information technology — Service management – </w:t>
      </w:r>
      <w:bookmarkStart w:id="455" w:name="_9kR3WTr2CC58CaEn7J"/>
      <w:bookmarkEnd w:id="455"/>
      <w:r w:rsidRPr="00F511A1">
        <w:rPr>
          <w:lang w:val="fr-FR"/>
        </w:rPr>
        <w:t>Part</w:t>
      </w:r>
      <w:r>
        <w:rPr>
          <w:lang w:val="fr-FR"/>
        </w:rPr>
        <w:t> </w:t>
      </w:r>
      <w:r w:rsidRPr="00F511A1">
        <w:rPr>
          <w:lang w:val="fr-FR"/>
        </w:rPr>
        <w:t>2</w:t>
      </w:r>
      <w:r>
        <w:rPr>
          <w:lang w:val="fr-FR"/>
        </w:rPr>
        <w:t>”</w:t>
      </w:r>
      <w:r w:rsidRPr="00F511A1">
        <w:rPr>
          <w:lang w:val="fr-FR"/>
        </w:rPr>
        <w:t xml:space="preserve">; </w:t>
      </w:r>
    </w:p>
    <w:p w14:paraId="322528F3" w14:textId="77777777" w:rsidR="00F67E9E" w:rsidRPr="00F511A1" w:rsidRDefault="00F67E9E" w:rsidP="00F67E9E">
      <w:pPr>
        <w:pStyle w:val="Numbered111"/>
        <w:tabs>
          <w:tab w:val="clear" w:pos="1800"/>
          <w:tab w:val="num" w:pos="1440"/>
        </w:tabs>
        <w:ind w:left="1440" w:hanging="720"/>
      </w:pPr>
      <w:r w:rsidRPr="00F511A1">
        <w:t xml:space="preserve">ISO 10007: 2017 </w:t>
      </w:r>
      <w:r>
        <w:t>“</w:t>
      </w:r>
      <w:r w:rsidRPr="00F511A1">
        <w:t>Quality management systems – Guidelines for configuration management</w:t>
      </w:r>
      <w:r>
        <w:t>”</w:t>
      </w:r>
      <w:r w:rsidRPr="00F511A1">
        <w:t>; and</w:t>
      </w:r>
    </w:p>
    <w:p w14:paraId="56A0BA5B" w14:textId="77777777" w:rsidR="00F67E9E" w:rsidRPr="00F511A1" w:rsidRDefault="00F67E9E" w:rsidP="00F67E9E">
      <w:pPr>
        <w:pStyle w:val="Numbered111"/>
        <w:tabs>
          <w:tab w:val="clear" w:pos="1800"/>
          <w:tab w:val="num" w:pos="1440"/>
        </w:tabs>
        <w:ind w:left="1440" w:hanging="720"/>
      </w:pPr>
      <w:r w:rsidRPr="00F511A1">
        <w:t xml:space="preserve">ISO 22313:2020 </w:t>
      </w:r>
      <w:r>
        <w:t>“</w:t>
      </w:r>
      <w:r w:rsidRPr="00F511A1">
        <w:t>Security and resilience. Business continuity management systems. Guidance on the use of ISO 22301</w:t>
      </w:r>
      <w:r>
        <w:t>”</w:t>
      </w:r>
      <w:r w:rsidRPr="00F511A1">
        <w:t xml:space="preserve"> and, ISO/IEC 27031:2011 and ISO 22301:2019.</w:t>
      </w:r>
    </w:p>
    <w:p w14:paraId="6F1A2B38" w14:textId="77777777" w:rsidR="00F67E9E" w:rsidRPr="00F511A1" w:rsidRDefault="00F67E9E" w:rsidP="00F67E9E">
      <w:pPr>
        <w:pStyle w:val="Numbered11"/>
      </w:pPr>
      <w:r w:rsidRPr="00F511A1">
        <w:t xml:space="preserve">For the purposes of management of the Services and delivery performance the Supplier shall make use of Software that complies with Good Industry Practice including availability, change, incident, knowledge, problem, release &amp; deployment, request fulfilment, service asset and configuration, service catalogue, service level and service portfolio management. If such Software has been assessed under the ITIL Software Scheme as being compliant to </w:t>
      </w:r>
      <w:r>
        <w:t>“</w:t>
      </w:r>
      <w:r w:rsidRPr="00F511A1">
        <w:t>Bronze Level</w:t>
      </w:r>
      <w:r>
        <w:t>”</w:t>
      </w:r>
      <w:r w:rsidRPr="00F511A1">
        <w:t>, then this shall be deemed acceptable.</w:t>
      </w:r>
    </w:p>
    <w:p w14:paraId="59F8EE57" w14:textId="77777777" w:rsidR="00F67E9E" w:rsidRPr="00F511A1" w:rsidRDefault="00F67E9E" w:rsidP="00F67E9E">
      <w:pPr>
        <w:pStyle w:val="Numbered1"/>
      </w:pPr>
      <w:r w:rsidRPr="00F511A1">
        <w:t>Sustainability</w:t>
      </w:r>
    </w:p>
    <w:p w14:paraId="3DDC6822" w14:textId="0F38E9E9" w:rsidR="00F67E9E" w:rsidRPr="00F511A1" w:rsidRDefault="00F67E9E" w:rsidP="00F67E9E">
      <w:pPr>
        <w:pStyle w:val="Numbered11"/>
      </w:pPr>
      <w:r w:rsidRPr="00F511A1">
        <w:t xml:space="preserve">The Supplier shall comply with the sustainability requirements set out in </w:t>
      </w:r>
      <w:r>
        <w:fldChar w:fldCharType="begin"/>
      </w:r>
      <w:r>
        <w:instrText xml:space="preserve"> REF Schedule4Annex1 \h </w:instrText>
      </w:r>
      <w:r>
        <w:fldChar w:fldCharType="separate"/>
      </w:r>
      <w:r w:rsidR="00302D39" w:rsidRPr="00F511A1">
        <w:t>Annex 1</w:t>
      </w:r>
      <w:r>
        <w:fldChar w:fldCharType="end"/>
      </w:r>
      <w:r w:rsidRPr="00F511A1">
        <w:t xml:space="preserve"> to this </w:t>
      </w:r>
      <w:r>
        <w:fldChar w:fldCharType="begin"/>
      </w:r>
      <w:r>
        <w:instrText xml:space="preserve"> REF Schedule4 \h </w:instrText>
      </w:r>
      <w:r>
        <w:fldChar w:fldCharType="separate"/>
      </w:r>
      <w:r w:rsidR="00302D39" w:rsidRPr="005D0525">
        <w:t>Schedule</w:t>
      </w:r>
      <w:r w:rsidR="00302D39">
        <w:t> </w:t>
      </w:r>
      <w:r w:rsidR="00302D39" w:rsidRPr="005D0525">
        <w:t>4</w:t>
      </w:r>
      <w:r>
        <w:fldChar w:fldCharType="end"/>
      </w:r>
      <w:r w:rsidRPr="00F511A1">
        <w:t>.</w:t>
      </w:r>
    </w:p>
    <w:p w14:paraId="4B93A2BD" w14:textId="77777777" w:rsidR="00F67E9E" w:rsidRPr="00F511A1" w:rsidRDefault="00F67E9E" w:rsidP="00F67E9E">
      <w:pPr>
        <w:pStyle w:val="Numbered1"/>
      </w:pPr>
      <w:r w:rsidRPr="00F511A1">
        <w:t>Hardware Safety Standards</w:t>
      </w:r>
    </w:p>
    <w:p w14:paraId="79D703F3" w14:textId="77777777" w:rsidR="00F67E9E" w:rsidRPr="00F511A1" w:rsidRDefault="00F67E9E" w:rsidP="00F67E9E">
      <w:pPr>
        <w:pStyle w:val="Numbered11"/>
      </w:pPr>
      <w:r w:rsidRPr="00F511A1">
        <w:t>The Supplier shall comply with those BS or other standards relevant to the provision of the Services, including the following or their equivalents:</w:t>
      </w:r>
    </w:p>
    <w:p w14:paraId="48BF7292" w14:textId="77777777" w:rsidR="00F67E9E" w:rsidRPr="00F511A1" w:rsidRDefault="00F67E9E" w:rsidP="00F67E9E">
      <w:pPr>
        <w:pStyle w:val="Numbered111"/>
        <w:tabs>
          <w:tab w:val="clear" w:pos="1800"/>
          <w:tab w:val="num" w:pos="1440"/>
        </w:tabs>
        <w:ind w:left="1440" w:hanging="720"/>
      </w:pPr>
      <w:r w:rsidRPr="00F511A1">
        <w:t>any new hardware required for the delivery of the Services (including printers), shall conform to BS EN IEC 62368-1:2020+A11:2020 or subsequent replacements. In considering where to site any such hardware, the Supplier shall consider the future working user environment and shall position the hardware sympathetically, wherever possible;</w:t>
      </w:r>
    </w:p>
    <w:p w14:paraId="739B1717" w14:textId="77777777" w:rsidR="00F67E9E" w:rsidRPr="00F511A1" w:rsidRDefault="00F67E9E" w:rsidP="00F67E9E">
      <w:pPr>
        <w:pStyle w:val="Numbered111"/>
        <w:tabs>
          <w:tab w:val="clear" w:pos="1800"/>
          <w:tab w:val="num" w:pos="1440"/>
        </w:tabs>
        <w:ind w:left="1440" w:hanging="720"/>
      </w:pPr>
      <w:r w:rsidRPr="00F511A1">
        <w:t>any new audio, video and similar electronic apparatus required for the delivery of the Services, shall conform to the following standard: BS EN IEC 62368-1:2020+A11:2020 or any subsequent replacements;</w:t>
      </w:r>
    </w:p>
    <w:p w14:paraId="1FD1B535" w14:textId="77777777" w:rsidR="00F67E9E" w:rsidRPr="00F511A1" w:rsidRDefault="00F67E9E" w:rsidP="00F67E9E">
      <w:pPr>
        <w:pStyle w:val="Numbered111"/>
        <w:tabs>
          <w:tab w:val="clear" w:pos="1800"/>
          <w:tab w:val="num" w:pos="1440"/>
        </w:tabs>
        <w:ind w:left="1440" w:hanging="720"/>
      </w:pPr>
      <w:r w:rsidRPr="00F511A1">
        <w:t>any new laser printers or scanners using lasers, required for the delivery of the Services, shall conform to either of the following safety Standards: BS EN 60825-1:2014 or any subsequent replacements; and</w:t>
      </w:r>
    </w:p>
    <w:p w14:paraId="4B2182CD" w14:textId="77777777" w:rsidR="00F67E9E" w:rsidRPr="00F511A1" w:rsidRDefault="00F67E9E" w:rsidP="00F67E9E">
      <w:pPr>
        <w:pStyle w:val="Numbered111"/>
        <w:tabs>
          <w:tab w:val="clear" w:pos="1800"/>
          <w:tab w:val="num" w:pos="1440"/>
        </w:tabs>
        <w:ind w:left="1440" w:hanging="720"/>
      </w:pPr>
      <w:r w:rsidRPr="00F511A1">
        <w:t>any new apparatus for connection to any telecommunication network, and required for the delivery of the Services, shall conform to the following safety Standard: BS EN 62949:2017 or any subsequent replacements.</w:t>
      </w:r>
    </w:p>
    <w:p w14:paraId="5FA3D66D" w14:textId="77777777" w:rsidR="00F67E9E" w:rsidRPr="00F511A1" w:rsidRDefault="00F67E9E" w:rsidP="00F67E9E">
      <w:pPr>
        <w:pStyle w:val="Numbered11"/>
      </w:pPr>
      <w:bookmarkStart w:id="456" w:name="_9kR3WTrAG89GFJJhUjuvwxxE752p5H23JK38O7A"/>
      <w:r w:rsidRPr="00F511A1">
        <w:t>Where required to do so as part of the Services, the Supplier shall perform electrical safety checks in relation to all equipment supplied under this Contract in accordance with the relevant health and safety regulations.</w:t>
      </w:r>
      <w:bookmarkEnd w:id="456"/>
    </w:p>
    <w:p w14:paraId="2B65F947" w14:textId="77777777" w:rsidR="00F67E9E" w:rsidRDefault="00F67E9E" w:rsidP="00F67E9E">
      <w:pPr>
        <w:rPr>
          <w:rFonts w:eastAsia="Times New Roman" w:cs="Arial"/>
          <w:szCs w:val="24"/>
          <w:lang w:eastAsia="en-GB"/>
        </w:rPr>
      </w:pPr>
    </w:p>
    <w:p w14:paraId="0218DEEE" w14:textId="77777777" w:rsidR="00F67E9E" w:rsidRDefault="00F67E9E" w:rsidP="00F67E9E">
      <w:pPr>
        <w:rPr>
          <w:rFonts w:eastAsia="Times New Roman" w:cs="Arial"/>
          <w:szCs w:val="24"/>
          <w:lang w:eastAsia="en-GB"/>
        </w:rPr>
      </w:pPr>
      <w:r>
        <w:rPr>
          <w:rFonts w:eastAsia="Times New Roman" w:cs="Arial"/>
          <w:szCs w:val="24"/>
          <w:lang w:eastAsia="en-GB"/>
        </w:rPr>
        <w:br w:type="page"/>
      </w:r>
    </w:p>
    <w:p w14:paraId="0F2D048A" w14:textId="77777777" w:rsidR="00F67E9E" w:rsidRPr="00147F02" w:rsidRDefault="00F67E9E" w:rsidP="00F67E9E">
      <w:pPr>
        <w:pStyle w:val="Heading2"/>
      </w:pPr>
      <w:bookmarkStart w:id="457" w:name="Schedule4Annex1"/>
      <w:bookmarkStart w:id="458" w:name="_Ref92201503"/>
      <w:bookmarkStart w:id="459" w:name="_Toc141711907"/>
      <w:r w:rsidRPr="00F511A1">
        <w:t>Annex 1</w:t>
      </w:r>
      <w:bookmarkEnd w:id="457"/>
      <w:r w:rsidRPr="00F511A1">
        <w:t xml:space="preserve">: </w:t>
      </w:r>
      <w:bookmarkStart w:id="460" w:name="Schedule4Annex1Heading"/>
      <w:r w:rsidRPr="00F511A1">
        <w:t>Sustainability</w:t>
      </w:r>
      <w:bookmarkEnd w:id="458"/>
      <w:bookmarkEnd w:id="459"/>
      <w:bookmarkEnd w:id="460"/>
    </w:p>
    <w:p w14:paraId="4D13DED4" w14:textId="669D0C2A" w:rsidR="00F67E9E" w:rsidRPr="009716A7" w:rsidRDefault="00F67E9E" w:rsidP="00F67E9E">
      <w:r w:rsidRPr="00F97284">
        <w:rPr>
          <w:b/>
          <w:bCs/>
          <w:highlight w:val="yellow"/>
        </w:rPr>
        <w:t>[</w:t>
      </w:r>
      <w:r w:rsidRPr="002F232A">
        <w:rPr>
          <w:b/>
          <w:bCs/>
          <w:i/>
          <w:iCs/>
          <w:highlight w:val="yellow"/>
        </w:rPr>
        <w:t>Guidance</w:t>
      </w:r>
      <w:r w:rsidRPr="002F232A">
        <w:rPr>
          <w:i/>
          <w:iCs/>
          <w:highlight w:val="yellow"/>
        </w:rPr>
        <w:t xml:space="preserve"> </w:t>
      </w:r>
      <w:r w:rsidRPr="00140BDF">
        <w:rPr>
          <w:b/>
          <w:bCs/>
          <w:i/>
          <w:iCs/>
          <w:highlight w:val="yellow"/>
        </w:rPr>
        <w:t xml:space="preserve">– As set out in the MSC Guidance, this </w:t>
      </w:r>
      <w:r w:rsidRPr="009C0668">
        <w:rPr>
          <w:b/>
          <w:bCs/>
          <w:i/>
          <w:iCs/>
        </w:rPr>
        <w:fldChar w:fldCharType="begin"/>
      </w:r>
      <w:r w:rsidRPr="009C0668">
        <w:rPr>
          <w:b/>
          <w:bCs/>
          <w:i/>
          <w:iCs/>
        </w:rPr>
        <w:instrText xml:space="preserve"> REF Schedule4Annex1 \h  \* MERGEFORMAT </w:instrText>
      </w:r>
      <w:r w:rsidRPr="009C0668">
        <w:rPr>
          <w:b/>
          <w:bCs/>
          <w:i/>
          <w:iCs/>
        </w:rPr>
      </w:r>
      <w:r w:rsidRPr="009C0668">
        <w:rPr>
          <w:b/>
          <w:bCs/>
          <w:i/>
          <w:iCs/>
        </w:rPr>
        <w:fldChar w:fldCharType="separate"/>
      </w:r>
      <w:r w:rsidR="00302D39" w:rsidRPr="00302D39">
        <w:rPr>
          <w:b/>
          <w:bCs/>
          <w:i/>
          <w:iCs/>
        </w:rPr>
        <w:t>Annex 1</w:t>
      </w:r>
      <w:r w:rsidRPr="009C0668">
        <w:rPr>
          <w:b/>
          <w:bCs/>
          <w:i/>
          <w:iCs/>
        </w:rPr>
        <w:fldChar w:fldCharType="end"/>
      </w:r>
      <w:r>
        <w:t xml:space="preserve"> </w:t>
      </w:r>
      <w:r w:rsidRPr="00140BDF">
        <w:rPr>
          <w:b/>
          <w:bCs/>
          <w:i/>
          <w:iCs/>
          <w:highlight w:val="yellow"/>
        </w:rPr>
        <w:t>has been designed to provide a starting point for sustainability requirements in any procurement. Authorities are expected to tailor the annex to their specific procurements. Authorities may also choose whether or not to include any paragraph or sub-paragraph marked optional. Authorities will want to select and amend those requirements which are appropriate for their Contract, ensuring that these are relevant and proportional to the subject matter of the Contract. Authorities may want to consider using some or all of these paragraphs when there are key sustainability benefits or risks that need to be managed and/or for higher value/larger Suppliers and/or Contracts. Authorities should also note that some obligations, such as compliance with the Authority’s sustainability requirements, for example net zero commitments or EDI, will require the Authority to provide the requirements to the Supplier.</w:t>
      </w:r>
      <w:r w:rsidRPr="00140BDF">
        <w:rPr>
          <w:b/>
          <w:bCs/>
          <w:highlight w:val="yellow"/>
        </w:rPr>
        <w:t>]</w:t>
      </w:r>
    </w:p>
    <w:p w14:paraId="0E583A71" w14:textId="77777777" w:rsidR="00F67E9E" w:rsidRPr="00D546EF" w:rsidRDefault="00F67E9E" w:rsidP="00F67E9E"/>
    <w:p w14:paraId="69C6C934" w14:textId="77777777" w:rsidR="00F67E9E" w:rsidRPr="00F511A1" w:rsidRDefault="00F67E9E" w:rsidP="00F67E9E">
      <w:pPr>
        <w:pStyle w:val="AppendixText1"/>
        <w:numPr>
          <w:ilvl w:val="0"/>
          <w:numId w:val="47"/>
        </w:numPr>
      </w:pPr>
      <w:r w:rsidRPr="00F511A1">
        <w:t>Definitions</w:t>
      </w:r>
    </w:p>
    <w:p w14:paraId="0A21CD06" w14:textId="1FE4B26B" w:rsidR="00F67E9E" w:rsidRPr="00F511A1" w:rsidRDefault="00F67E9E" w:rsidP="00F67E9E">
      <w:pPr>
        <w:pStyle w:val="AppendixText2"/>
        <w:tabs>
          <w:tab w:val="num" w:pos="720"/>
        </w:tabs>
      </w:pPr>
      <w:bookmarkStart w:id="461" w:name="_9kR3WTrAG9BHFKm0s3rWQ83t5YO80BRCyx8FDHT"/>
      <w:r w:rsidRPr="00F511A1">
        <w:t xml:space="preserve">In this </w:t>
      </w:r>
      <w:r>
        <w:fldChar w:fldCharType="begin"/>
      </w:r>
      <w:r>
        <w:instrText xml:space="preserve"> REF Schedule4Annex1 \h </w:instrText>
      </w:r>
      <w:r>
        <w:fldChar w:fldCharType="separate"/>
      </w:r>
      <w:r w:rsidR="00302D39" w:rsidRPr="00F511A1">
        <w:t>Annex 1</w:t>
      </w:r>
      <w:r>
        <w:fldChar w:fldCharType="end"/>
      </w:r>
      <w:r w:rsidRPr="00F511A1">
        <w:t>, the following definitions shall apply:</w:t>
      </w:r>
      <w:bookmarkEnd w:id="461"/>
    </w:p>
    <w:tbl>
      <w:tblPr>
        <w:tblStyle w:val="MSAdefinitions"/>
        <w:tblW w:w="9638" w:type="dxa"/>
        <w:tblLook w:val="04A0" w:firstRow="1" w:lastRow="0" w:firstColumn="1" w:lastColumn="0" w:noHBand="0" w:noVBand="1"/>
      </w:tblPr>
      <w:tblGrid>
        <w:gridCol w:w="2835"/>
        <w:gridCol w:w="6803"/>
      </w:tblGrid>
      <w:tr w:rsidR="00F67E9E" w:rsidRPr="00F511A1" w14:paraId="0FF833C2" w14:textId="77777777" w:rsidTr="007F74AA">
        <w:tc>
          <w:tcPr>
            <w:tcW w:w="2835" w:type="dxa"/>
          </w:tcPr>
          <w:p w14:paraId="4DC31FB1" w14:textId="77777777" w:rsidR="00F67E9E" w:rsidRPr="00F511A1" w:rsidRDefault="00F67E9E" w:rsidP="007F74AA">
            <w:pPr>
              <w:pStyle w:val="StdBodyTextBold"/>
              <w:rPr>
                <w:rFonts w:cs="Arial"/>
              </w:rPr>
            </w:pPr>
            <w:r>
              <w:rPr>
                <w:rFonts w:cs="Arial"/>
              </w:rPr>
              <w:t>“</w:t>
            </w:r>
            <w:r w:rsidRPr="00F511A1">
              <w:rPr>
                <w:rFonts w:cs="Arial"/>
              </w:rPr>
              <w:t>Permitted Item</w:t>
            </w:r>
            <w:r>
              <w:rPr>
                <w:rFonts w:cs="Arial"/>
              </w:rPr>
              <w:t>”</w:t>
            </w:r>
          </w:p>
        </w:tc>
        <w:tc>
          <w:tcPr>
            <w:tcW w:w="6803" w:type="dxa"/>
          </w:tcPr>
          <w:p w14:paraId="51A3B233" w14:textId="3C2A8DFF" w:rsidR="00F67E9E" w:rsidRPr="00F511A1" w:rsidRDefault="00F67E9E" w:rsidP="007F74AA">
            <w:pPr>
              <w:pStyle w:val="StdBodyText"/>
              <w:rPr>
                <w:rFonts w:cs="Arial"/>
              </w:rPr>
            </w:pPr>
            <w:r w:rsidRPr="00F511A1">
              <w:rPr>
                <w:rFonts w:cs="Arial"/>
              </w:rPr>
              <w:t xml:space="preserve">means those items which are permissible under this Contract to the extent set out in </w:t>
            </w:r>
            <w:bookmarkStart w:id="462" w:name="_9kMHG5YVtCIABJGcLhkhy7sANVw5o04v7bAJBJV"/>
            <w:r w:rsidRPr="00F511A1">
              <w:rPr>
                <w:rFonts w:cs="Arial"/>
              </w:rPr>
              <w:t>Table B</w:t>
            </w:r>
            <w:bookmarkEnd w:id="462"/>
            <w:r w:rsidRPr="00F511A1">
              <w:rPr>
                <w:rFonts w:cs="Arial"/>
              </w:rPr>
              <w:t xml:space="preserve"> of this </w:t>
            </w:r>
            <w:r>
              <w:fldChar w:fldCharType="begin"/>
            </w:r>
            <w:r>
              <w:instrText xml:space="preserve"> REF Schedule4Annex1 \h </w:instrText>
            </w:r>
            <w:r>
              <w:fldChar w:fldCharType="separate"/>
            </w:r>
            <w:r w:rsidR="00302D39" w:rsidRPr="00F511A1">
              <w:t>Annex 1</w:t>
            </w:r>
            <w:r>
              <w:fldChar w:fldCharType="end"/>
            </w:r>
            <w:r>
              <w:rPr>
                <w:rFonts w:cs="Arial"/>
              </w:rPr>
              <w:t>;</w:t>
            </w:r>
          </w:p>
        </w:tc>
      </w:tr>
      <w:tr w:rsidR="00F67E9E" w:rsidRPr="00F511A1" w14:paraId="28591442" w14:textId="77777777" w:rsidTr="007F74AA">
        <w:tc>
          <w:tcPr>
            <w:tcW w:w="2835" w:type="dxa"/>
          </w:tcPr>
          <w:p w14:paraId="3FE65C2A" w14:textId="77777777" w:rsidR="00F67E9E" w:rsidRPr="00F511A1" w:rsidRDefault="00F67E9E" w:rsidP="007F74AA">
            <w:pPr>
              <w:pStyle w:val="StdBodyTextBold"/>
              <w:rPr>
                <w:rFonts w:cs="Arial"/>
              </w:rPr>
            </w:pPr>
            <w:r>
              <w:rPr>
                <w:rFonts w:cs="Arial"/>
              </w:rPr>
              <w:t>“</w:t>
            </w:r>
            <w:r w:rsidRPr="00F511A1">
              <w:rPr>
                <w:rFonts w:cs="Arial"/>
              </w:rPr>
              <w:t>Prohibited Items</w:t>
            </w:r>
            <w:r>
              <w:rPr>
                <w:rFonts w:cs="Arial"/>
              </w:rPr>
              <w:t>”</w:t>
            </w:r>
          </w:p>
        </w:tc>
        <w:tc>
          <w:tcPr>
            <w:tcW w:w="6803" w:type="dxa"/>
          </w:tcPr>
          <w:p w14:paraId="036A8410" w14:textId="5F6BBAED" w:rsidR="00F67E9E" w:rsidRPr="00F511A1" w:rsidRDefault="00F67E9E" w:rsidP="007F74AA">
            <w:pPr>
              <w:pStyle w:val="StdBodyText"/>
              <w:rPr>
                <w:rFonts w:cs="Arial"/>
              </w:rPr>
            </w:pPr>
            <w:r w:rsidRPr="00F511A1">
              <w:rPr>
                <w:rFonts w:cs="Arial"/>
              </w:rPr>
              <w:t xml:space="preserve">means those items which are not permissible under this Contract as set out at </w:t>
            </w:r>
            <w:bookmarkStart w:id="463" w:name="_9kMHG5YVtCIABJHdLhkhy7sANVw5o04u6oKB612"/>
            <w:r w:rsidRPr="00F511A1">
              <w:rPr>
                <w:rFonts w:cs="Arial"/>
              </w:rPr>
              <w:t>Table A</w:t>
            </w:r>
            <w:bookmarkEnd w:id="463"/>
            <w:r w:rsidRPr="00F511A1">
              <w:rPr>
                <w:rFonts w:cs="Arial"/>
              </w:rPr>
              <w:t xml:space="preserve"> of this </w:t>
            </w:r>
            <w:r>
              <w:fldChar w:fldCharType="begin"/>
            </w:r>
            <w:r>
              <w:instrText xml:space="preserve"> REF Schedule4Annex1 \h </w:instrText>
            </w:r>
            <w:r>
              <w:fldChar w:fldCharType="separate"/>
            </w:r>
            <w:r w:rsidR="00302D39" w:rsidRPr="00F511A1">
              <w:t>Annex 1</w:t>
            </w:r>
            <w:r>
              <w:fldChar w:fldCharType="end"/>
            </w:r>
            <w:r>
              <w:rPr>
                <w:rFonts w:cs="Arial"/>
              </w:rPr>
              <w:t>;</w:t>
            </w:r>
          </w:p>
        </w:tc>
      </w:tr>
      <w:tr w:rsidR="00F67E9E" w:rsidRPr="00F511A1" w14:paraId="5103710D" w14:textId="77777777" w:rsidTr="007F74AA">
        <w:tc>
          <w:tcPr>
            <w:tcW w:w="2835" w:type="dxa"/>
          </w:tcPr>
          <w:p w14:paraId="7C6AF586" w14:textId="77777777" w:rsidR="00F67E9E" w:rsidRPr="00F511A1" w:rsidRDefault="00F67E9E" w:rsidP="007F74AA">
            <w:pPr>
              <w:pStyle w:val="StdBodyTextBold"/>
              <w:rPr>
                <w:rFonts w:cs="Arial"/>
              </w:rPr>
            </w:pPr>
            <w:r>
              <w:rPr>
                <w:rFonts w:cs="Arial"/>
              </w:rPr>
              <w:t>“</w:t>
            </w:r>
            <w:r w:rsidRPr="00F511A1">
              <w:rPr>
                <w:rFonts w:cs="Arial"/>
              </w:rPr>
              <w:t>Sustainability Reports</w:t>
            </w:r>
            <w:r>
              <w:rPr>
                <w:rFonts w:cs="Arial"/>
              </w:rPr>
              <w:t>”</w:t>
            </w:r>
          </w:p>
        </w:tc>
        <w:tc>
          <w:tcPr>
            <w:tcW w:w="6803" w:type="dxa"/>
          </w:tcPr>
          <w:p w14:paraId="2E5A15CF" w14:textId="636DC3A3" w:rsidR="00F67E9E" w:rsidRPr="00F511A1" w:rsidRDefault="00F67E9E" w:rsidP="007F74AA">
            <w:pPr>
              <w:pStyle w:val="StdBodyText"/>
              <w:rPr>
                <w:rFonts w:cs="Arial"/>
              </w:rPr>
            </w:pPr>
            <w:r w:rsidRPr="00F511A1">
              <w:rPr>
                <w:rFonts w:cs="Arial"/>
              </w:rPr>
              <w:t xml:space="preserve">written reports to be completed by the Supplier containing the information outlined in </w:t>
            </w:r>
            <w:bookmarkStart w:id="464" w:name="_9kMHG5YVtCIABJIeLhkhy7sANVw5o04wBuRRA0E"/>
            <w:r w:rsidRPr="00F511A1">
              <w:rPr>
                <w:rFonts w:cs="Arial"/>
              </w:rPr>
              <w:t>Table C</w:t>
            </w:r>
            <w:bookmarkEnd w:id="464"/>
            <w:r w:rsidRPr="00F511A1">
              <w:rPr>
                <w:rFonts w:cs="Arial"/>
              </w:rPr>
              <w:t xml:space="preserve"> of this </w:t>
            </w:r>
            <w:r>
              <w:fldChar w:fldCharType="begin"/>
            </w:r>
            <w:r>
              <w:instrText xml:space="preserve"> REF Schedule4Annex1 \h </w:instrText>
            </w:r>
            <w:r>
              <w:fldChar w:fldCharType="separate"/>
            </w:r>
            <w:r w:rsidR="00302D39" w:rsidRPr="00F511A1">
              <w:t>Annex 1</w:t>
            </w:r>
            <w:r>
              <w:fldChar w:fldCharType="end"/>
            </w:r>
            <w:r>
              <w:rPr>
                <w:rFonts w:cs="Arial"/>
              </w:rPr>
              <w:t>; and</w:t>
            </w:r>
          </w:p>
        </w:tc>
      </w:tr>
      <w:tr w:rsidR="00F67E9E" w:rsidRPr="00F511A1" w14:paraId="62BCE6CC" w14:textId="77777777" w:rsidTr="007F74AA">
        <w:tc>
          <w:tcPr>
            <w:tcW w:w="2835" w:type="dxa"/>
          </w:tcPr>
          <w:p w14:paraId="0C14EB2C" w14:textId="77777777" w:rsidR="00F67E9E" w:rsidRPr="00F511A1" w:rsidRDefault="00F67E9E" w:rsidP="007F74AA">
            <w:pPr>
              <w:pStyle w:val="StdBodyTextBold"/>
              <w:rPr>
                <w:rFonts w:cs="Arial"/>
              </w:rPr>
            </w:pPr>
            <w:r>
              <w:rPr>
                <w:rFonts w:cs="Arial"/>
              </w:rPr>
              <w:t>“</w:t>
            </w:r>
            <w:r w:rsidRPr="00F511A1">
              <w:rPr>
                <w:rFonts w:cs="Arial"/>
              </w:rPr>
              <w:t>Waste Hierarchy</w:t>
            </w:r>
            <w:r>
              <w:rPr>
                <w:rFonts w:cs="Arial"/>
              </w:rPr>
              <w:t>”</w:t>
            </w:r>
          </w:p>
        </w:tc>
        <w:tc>
          <w:tcPr>
            <w:tcW w:w="6803" w:type="dxa"/>
          </w:tcPr>
          <w:p w14:paraId="198EBC98" w14:textId="77777777" w:rsidR="00F67E9E" w:rsidRPr="00F511A1" w:rsidRDefault="00F67E9E" w:rsidP="007F74AA">
            <w:pPr>
              <w:pStyle w:val="StdBodyText"/>
              <w:rPr>
                <w:rFonts w:cs="Arial"/>
              </w:rPr>
            </w:pPr>
            <w:r w:rsidRPr="00F511A1">
              <w:rPr>
                <w:rFonts w:cs="Arial"/>
              </w:rPr>
              <w:t>means prioritisation of waste management in the following order of preference as set out in the Waste (England and Wales) Regulation 2011:</w:t>
            </w:r>
          </w:p>
          <w:p w14:paraId="13E5E33F" w14:textId="77777777" w:rsidR="00F67E9E" w:rsidRPr="008C58BE" w:rsidRDefault="00F67E9E" w:rsidP="007F74AA">
            <w:pPr>
              <w:pStyle w:val="DefinitionList"/>
              <w:numPr>
                <w:ilvl w:val="0"/>
                <w:numId w:val="171"/>
              </w:numPr>
            </w:pPr>
            <w:r w:rsidRPr="008C58BE">
              <w:t>Prevention;</w:t>
            </w:r>
          </w:p>
          <w:p w14:paraId="754B9B0F" w14:textId="77777777" w:rsidR="00F67E9E" w:rsidRPr="008C58BE" w:rsidRDefault="00F67E9E" w:rsidP="00F67E9E">
            <w:pPr>
              <w:pStyle w:val="DefinitionList"/>
              <w:numPr>
                <w:ilvl w:val="0"/>
                <w:numId w:val="108"/>
              </w:numPr>
            </w:pPr>
            <w:r w:rsidRPr="008C58BE">
              <w:t>Preparing for re-use;</w:t>
            </w:r>
          </w:p>
          <w:p w14:paraId="708890F9" w14:textId="77777777" w:rsidR="00F67E9E" w:rsidRPr="008C58BE" w:rsidRDefault="00F67E9E" w:rsidP="00F67E9E">
            <w:pPr>
              <w:pStyle w:val="DefinitionList"/>
              <w:numPr>
                <w:ilvl w:val="0"/>
                <w:numId w:val="108"/>
              </w:numPr>
            </w:pPr>
            <w:r w:rsidRPr="008C58BE">
              <w:t>Recycling;</w:t>
            </w:r>
          </w:p>
          <w:p w14:paraId="422E8A7B" w14:textId="77777777" w:rsidR="00F67E9E" w:rsidRPr="008C58BE" w:rsidRDefault="00F67E9E" w:rsidP="00F67E9E">
            <w:pPr>
              <w:pStyle w:val="DefinitionList"/>
              <w:numPr>
                <w:ilvl w:val="0"/>
                <w:numId w:val="108"/>
              </w:numPr>
            </w:pPr>
            <w:r w:rsidRPr="008C58BE">
              <w:t>Other Recovery; and</w:t>
            </w:r>
          </w:p>
          <w:p w14:paraId="0E836B6D" w14:textId="77777777" w:rsidR="00F67E9E" w:rsidRPr="00F511A1" w:rsidRDefault="00F67E9E" w:rsidP="00F67E9E">
            <w:pPr>
              <w:pStyle w:val="DefinitionList"/>
              <w:numPr>
                <w:ilvl w:val="0"/>
                <w:numId w:val="108"/>
              </w:numPr>
              <w:rPr>
                <w:rFonts w:cs="Arial"/>
              </w:rPr>
            </w:pPr>
            <w:r w:rsidRPr="008C58BE">
              <w:t>Disposal.</w:t>
            </w:r>
          </w:p>
        </w:tc>
      </w:tr>
    </w:tbl>
    <w:p w14:paraId="03EF14C7" w14:textId="77777777" w:rsidR="00F67E9E" w:rsidRPr="00F511A1" w:rsidRDefault="00F67E9E" w:rsidP="00F67E9E">
      <w:pPr>
        <w:pStyle w:val="AppendixText1"/>
        <w:tabs>
          <w:tab w:val="clear" w:pos="720"/>
          <w:tab w:val="num" w:pos="1080"/>
        </w:tabs>
        <w:ind w:left="1080"/>
      </w:pPr>
      <w:r w:rsidRPr="00F511A1">
        <w:t>Public Sector Equality Duty</w:t>
      </w:r>
    </w:p>
    <w:p w14:paraId="05FCC2A8" w14:textId="77777777" w:rsidR="00F67E9E" w:rsidRPr="00F511A1" w:rsidRDefault="00F67E9E" w:rsidP="00F67E9E">
      <w:pPr>
        <w:pStyle w:val="AppendixText2"/>
        <w:tabs>
          <w:tab w:val="num" w:pos="1080"/>
        </w:tabs>
        <w:ind w:left="1080"/>
      </w:pPr>
      <w:bookmarkStart w:id="465" w:name="_Ref99015013"/>
      <w:r w:rsidRPr="00F511A1">
        <w:t>In addition to legal obligations, where the Supplier is providing a Service to which the Public Sector Equality duty applies, the Supplier shall support the Authority in fulfilling its Public Sector Equality duty under S149 of the Equality Act 2010 by ensuring that it fulfils its obligations under the Contract in a way that seeks to:</w:t>
      </w:r>
      <w:bookmarkEnd w:id="465"/>
    </w:p>
    <w:p w14:paraId="4CC44886" w14:textId="77777777" w:rsidR="00F67E9E" w:rsidRPr="00F511A1" w:rsidRDefault="00F67E9E" w:rsidP="00F67E9E">
      <w:pPr>
        <w:pStyle w:val="AppendixText3"/>
        <w:tabs>
          <w:tab w:val="clear" w:pos="1800"/>
        </w:tabs>
        <w:ind w:left="1890" w:hanging="810"/>
      </w:pPr>
      <w:r w:rsidRPr="00F511A1">
        <w:t>eliminate discrimination, harassment or victimisation and any other conduct prohibited by the Equality Act 2010; and</w:t>
      </w:r>
    </w:p>
    <w:p w14:paraId="211F1DF0" w14:textId="77777777" w:rsidR="00F67E9E" w:rsidRPr="00F511A1" w:rsidRDefault="00F67E9E" w:rsidP="00F67E9E">
      <w:pPr>
        <w:pStyle w:val="AppendixText3"/>
        <w:keepNext/>
        <w:tabs>
          <w:tab w:val="clear" w:pos="1800"/>
        </w:tabs>
        <w:ind w:left="1890" w:hanging="810"/>
      </w:pPr>
      <w:r w:rsidRPr="00F511A1">
        <w:t>advance:</w:t>
      </w:r>
    </w:p>
    <w:p w14:paraId="41CC512F" w14:textId="77777777" w:rsidR="00F67E9E" w:rsidRPr="00BF2D9D" w:rsidRDefault="00F67E9E" w:rsidP="00F67E9E">
      <w:pPr>
        <w:pStyle w:val="AppendixText4"/>
        <w:tabs>
          <w:tab w:val="clear" w:pos="2520"/>
          <w:tab w:val="num" w:pos="2610"/>
        </w:tabs>
        <w:ind w:left="2610"/>
      </w:pPr>
      <w:r w:rsidRPr="00BF2D9D">
        <w:t xml:space="preserve">equality of opportunity; and </w:t>
      </w:r>
    </w:p>
    <w:p w14:paraId="56535F79" w14:textId="77777777" w:rsidR="00F67E9E" w:rsidRPr="00BF2D9D" w:rsidRDefault="00F67E9E" w:rsidP="00F67E9E">
      <w:pPr>
        <w:pStyle w:val="AppendixText4"/>
        <w:tabs>
          <w:tab w:val="clear" w:pos="2520"/>
          <w:tab w:val="num" w:pos="2610"/>
        </w:tabs>
        <w:ind w:left="2610"/>
      </w:pPr>
      <w:r w:rsidRPr="00BF2D9D">
        <w:t>good relations,</w:t>
      </w:r>
    </w:p>
    <w:p w14:paraId="57829845" w14:textId="77777777" w:rsidR="00F67E9E" w:rsidRPr="003B5A16" w:rsidRDefault="00F67E9E" w:rsidP="00F67E9E">
      <w:pPr>
        <w:pStyle w:val="AppendixText3continued"/>
        <w:ind w:left="1893"/>
      </w:pPr>
      <w:r w:rsidRPr="003B5A16">
        <w:t>between those with a protected characteristic (age, disability, gender reassignment, pregnancy and maternity, race, religion or belief, sex, sexual orientation, and marriage and civil partnership) and those who do not share it.</w:t>
      </w:r>
    </w:p>
    <w:p w14:paraId="48187DCF" w14:textId="77777777" w:rsidR="00F67E9E" w:rsidRPr="00F511A1" w:rsidRDefault="00F67E9E" w:rsidP="00F67E9E">
      <w:pPr>
        <w:pStyle w:val="AppendixText2"/>
        <w:tabs>
          <w:tab w:val="num" w:pos="720"/>
        </w:tabs>
      </w:pPr>
      <w:bookmarkStart w:id="466" w:name="_Ref99015024"/>
      <w:r w:rsidRPr="002E7013">
        <w:rPr>
          <w:rFonts w:cs="Arial"/>
        </w:rPr>
        <w:t>[</w:t>
      </w:r>
      <w:r w:rsidRPr="002E7013">
        <w:rPr>
          <w:rFonts w:cs="Arial"/>
          <w:b/>
          <w:highlight w:val="yellow"/>
        </w:rPr>
        <w:t xml:space="preserve">Optional: </w:t>
      </w:r>
      <w:r w:rsidRPr="002E7013">
        <w:rPr>
          <w:rFonts w:cs="Arial"/>
          <w:highlight w:val="yellow"/>
        </w:rPr>
        <w:t xml:space="preserve">In </w:t>
      </w:r>
      <w:r w:rsidRPr="002E7013">
        <w:rPr>
          <w:highlight w:val="yellow"/>
        </w:rPr>
        <w:t>delivering the Service, the Supplier will comply with the Authority’s equality, diversity and inclusion requirements, to be provided to the Supplier by the Authority.]</w:t>
      </w:r>
      <w:bookmarkEnd w:id="466"/>
    </w:p>
    <w:p w14:paraId="6E9F59DE" w14:textId="77777777" w:rsidR="00F67E9E" w:rsidRPr="00D546EF" w:rsidRDefault="00F67E9E" w:rsidP="00F67E9E">
      <w:pPr>
        <w:pStyle w:val="AppendixText2"/>
        <w:tabs>
          <w:tab w:val="num" w:pos="720"/>
        </w:tabs>
      </w:pPr>
      <w:bookmarkStart w:id="467" w:name="_Ref99015061"/>
      <w:r w:rsidRPr="00F511A1">
        <w:t>[</w:t>
      </w:r>
      <w:r w:rsidRPr="002E7013">
        <w:rPr>
          <w:b/>
          <w:highlight w:val="yellow"/>
        </w:rPr>
        <w:t xml:space="preserve">Optional: </w:t>
      </w:r>
      <w:r w:rsidRPr="002E7013">
        <w:rPr>
          <w:highlight w:val="yellow"/>
        </w:rPr>
        <w:t>The Supplier shall ensure that it fulfils its obligations under the Contract in a way that does not discriminate against individuals because of socio-economic background, working pattern or having parental or other caring responsibilities.]</w:t>
      </w:r>
      <w:bookmarkEnd w:id="467"/>
    </w:p>
    <w:p w14:paraId="72479A86" w14:textId="77777777" w:rsidR="00F67E9E" w:rsidRPr="00651C62" w:rsidRDefault="00F67E9E" w:rsidP="00F67E9E">
      <w:pPr>
        <w:pStyle w:val="AppendixText1"/>
      </w:pPr>
      <w:r w:rsidRPr="00651C62">
        <w:t>Environmental Requirements</w:t>
      </w:r>
    </w:p>
    <w:p w14:paraId="3FFFF0B4" w14:textId="77777777" w:rsidR="00F67E9E" w:rsidRPr="00F511A1" w:rsidRDefault="00F67E9E" w:rsidP="00F67E9E">
      <w:pPr>
        <w:pStyle w:val="AppendixText2"/>
      </w:pPr>
      <w:bookmarkStart w:id="468" w:name="_9kR3WTr8E8458B"/>
      <w:bookmarkStart w:id="469" w:name="_Ref99015037"/>
      <w:bookmarkEnd w:id="468"/>
      <w:r w:rsidRPr="00F511A1">
        <w:t>The Supplier must perform its obligations meeting in all material respects the requirements of all applicable Laws Contract regarding the environment.</w:t>
      </w:r>
      <w:bookmarkEnd w:id="469"/>
      <w:r w:rsidRPr="00F511A1">
        <w:t xml:space="preserve"> </w:t>
      </w:r>
    </w:p>
    <w:p w14:paraId="58C20421" w14:textId="77777777" w:rsidR="00F67E9E" w:rsidRPr="00F511A1" w:rsidRDefault="00F67E9E" w:rsidP="00F67E9E">
      <w:pPr>
        <w:pStyle w:val="AppendixText2"/>
      </w:pPr>
      <w:r w:rsidRPr="00F511A1">
        <w:t>The Supplier warrants that it has obtained relevant Environment Management System (EMS) certified to ISO 14001 or an equivalent certification from a UKAS accredited body and shall comply with and maintain certification requirements throughout the Term.</w:t>
      </w:r>
    </w:p>
    <w:p w14:paraId="26253E8E" w14:textId="77777777" w:rsidR="00F67E9E" w:rsidRPr="00F511A1" w:rsidRDefault="00F67E9E" w:rsidP="00F67E9E">
      <w:pPr>
        <w:pStyle w:val="AppendixText2"/>
      </w:pPr>
      <w:r w:rsidRPr="00F511A1">
        <w:t>In performing its obligations under the Contract the Supplier shall, where applicable to the Contract, to the reasonable satisfaction of the Authority:</w:t>
      </w:r>
    </w:p>
    <w:p w14:paraId="7DDD9BE2" w14:textId="77777777" w:rsidR="00F67E9E" w:rsidRPr="00F511A1" w:rsidRDefault="00F67E9E" w:rsidP="00F67E9E">
      <w:pPr>
        <w:pStyle w:val="AppendixText3"/>
        <w:tabs>
          <w:tab w:val="clear" w:pos="1800"/>
          <w:tab w:val="num" w:pos="1440"/>
        </w:tabs>
        <w:ind w:left="1440" w:hanging="720"/>
      </w:pPr>
      <w:r w:rsidRPr="00F511A1">
        <w:t>demonstrate low carbon resource efficiency, including minimising the use of resources and responding promptly to the Authority</w:t>
      </w:r>
      <w:r>
        <w:t>’</w:t>
      </w:r>
      <w:r w:rsidRPr="00F511A1">
        <w:t>s reasonable questions;</w:t>
      </w:r>
    </w:p>
    <w:p w14:paraId="39B22630" w14:textId="77777777" w:rsidR="00F67E9E" w:rsidRPr="00F511A1" w:rsidRDefault="00F67E9E" w:rsidP="00F67E9E">
      <w:pPr>
        <w:pStyle w:val="AppendixText3"/>
        <w:tabs>
          <w:tab w:val="clear" w:pos="1800"/>
          <w:tab w:val="num" w:pos="1440"/>
        </w:tabs>
        <w:ind w:left="1440" w:hanging="720"/>
      </w:pPr>
      <w:r w:rsidRPr="00F511A1">
        <w:t xml:space="preserve">prioritise waste management in accordance with the Waste Hierarchy as set out in Law; </w:t>
      </w:r>
    </w:p>
    <w:p w14:paraId="026FC74C" w14:textId="77777777" w:rsidR="00F67E9E" w:rsidRPr="00F511A1" w:rsidRDefault="00F67E9E" w:rsidP="00F67E9E">
      <w:pPr>
        <w:pStyle w:val="AppendixText3"/>
        <w:tabs>
          <w:tab w:val="clear" w:pos="1800"/>
          <w:tab w:val="num" w:pos="1440"/>
        </w:tabs>
        <w:ind w:left="1440" w:hanging="720"/>
      </w:pPr>
      <w:r w:rsidRPr="00F511A1">
        <w:t>be responsible for ensuring that any waste generated by the Supplier and sent for recycling, disposal or other recovery as a consequence of this Contract is taken by a licensed waste carrier to an authorised site for treatment or disposal and that the disposal or treatment of waste complies with the law;</w:t>
      </w:r>
    </w:p>
    <w:p w14:paraId="153D6982" w14:textId="77777777" w:rsidR="00F67E9E" w:rsidRPr="00F511A1" w:rsidRDefault="00F67E9E" w:rsidP="00F67E9E">
      <w:pPr>
        <w:pStyle w:val="AppendixText3"/>
        <w:tabs>
          <w:tab w:val="clear" w:pos="1800"/>
          <w:tab w:val="num" w:pos="1440"/>
        </w:tabs>
        <w:ind w:left="1440" w:hanging="720"/>
      </w:pPr>
      <w:r w:rsidRPr="00F511A1">
        <w:t>ensure that it and any third parties used to undertake recycling disposal or other recovery as a consequence of this Contract do so in a legally compliant way, and can demonstrate that reasonable checks are undertaken to ensure this on a regular basis and provide relevant data and evidence of recycling, recovery and disposal;</w:t>
      </w:r>
    </w:p>
    <w:p w14:paraId="70054ADC" w14:textId="77777777" w:rsidR="00F67E9E" w:rsidRPr="00F511A1" w:rsidRDefault="00F67E9E" w:rsidP="00F67E9E">
      <w:pPr>
        <w:pStyle w:val="AppendixText3"/>
        <w:tabs>
          <w:tab w:val="clear" w:pos="1800"/>
          <w:tab w:val="num" w:pos="1440"/>
        </w:tabs>
        <w:ind w:left="1440" w:hanging="720"/>
      </w:pPr>
      <w:r w:rsidRPr="00F511A1">
        <w:t>in circumstances that a permit, licence or exemption to carry or send waste generated under this Contract is revoked, the Supplier shall cease to carry or send waste or allow waste to be carried by any Subcontractor until authorisation is obtained from the Environment Agency; minimise the release of greenhouse gases (including carbon dioxide emissions), air pollutants, volatile organic compounds and other substances damaging to health and the environment; and</w:t>
      </w:r>
    </w:p>
    <w:p w14:paraId="1615D854" w14:textId="77777777" w:rsidR="00F67E9E" w:rsidRPr="00F511A1" w:rsidRDefault="00F67E9E" w:rsidP="00F67E9E">
      <w:pPr>
        <w:pStyle w:val="AppendixText3"/>
        <w:tabs>
          <w:tab w:val="clear" w:pos="1800"/>
          <w:tab w:val="num" w:pos="1440"/>
        </w:tabs>
        <w:ind w:left="1440" w:hanging="720"/>
      </w:pPr>
      <w:r w:rsidRPr="00F511A1">
        <w:t>reduce and minimise carbon emissions by taking into account factors including, but not limited to, the locations from which materials are sourced, the transport of materials, the locations from which the work force are recruited and emissions from offices and on-site equipment.</w:t>
      </w:r>
    </w:p>
    <w:p w14:paraId="5F18D279" w14:textId="77777777" w:rsidR="00F67E9E" w:rsidRPr="00F511A1" w:rsidRDefault="00F67E9E" w:rsidP="00F67E9E">
      <w:pPr>
        <w:pStyle w:val="AppendixText2"/>
      </w:pPr>
      <w:r w:rsidRPr="00F511A1">
        <w:t>In performing its obligations under the Contract, the Supplier shall to the reasonable satisfaction of the Authority (where the anticipated Charges in any Contract Year are above £5 million per annum (excluding VAT)), where related to and proportionate to the contract in accordance with PPN 06/21), publish and maintain a credible Carbon Reduction Plan in accordance with PPN 06/21.</w:t>
      </w:r>
    </w:p>
    <w:p w14:paraId="564F627E" w14:textId="77777777" w:rsidR="00F67E9E" w:rsidRPr="00F511A1" w:rsidRDefault="00F67E9E" w:rsidP="00F67E9E">
      <w:pPr>
        <w:pStyle w:val="AppendixText2"/>
      </w:pPr>
      <w:r w:rsidRPr="00F511A1">
        <w:t>The Supplier shall not provide to the Authority Goods or Deliverables which comprise wholly or partly of Prohibited Items unless such item is a Permitted Item.</w:t>
      </w:r>
    </w:p>
    <w:p w14:paraId="3E826340" w14:textId="77777777" w:rsidR="00F67E9E" w:rsidRPr="00F511A1" w:rsidRDefault="00F67E9E" w:rsidP="00F67E9E">
      <w:pPr>
        <w:pStyle w:val="AppendixText2"/>
      </w:pPr>
      <w:bookmarkStart w:id="470" w:name="_Ref99015051"/>
      <w:r w:rsidRPr="00F511A1">
        <w:t>The Supplier shall not use anything which comprises wholly or partly of the Prohibited Items to provide the Services under this Contract unless:</w:t>
      </w:r>
      <w:bookmarkEnd w:id="470"/>
    </w:p>
    <w:p w14:paraId="2B26622C" w14:textId="77777777" w:rsidR="00F67E9E" w:rsidRPr="00F511A1" w:rsidRDefault="00F67E9E" w:rsidP="00F67E9E">
      <w:pPr>
        <w:pStyle w:val="AppendixText3"/>
        <w:tabs>
          <w:tab w:val="clear" w:pos="1800"/>
          <w:tab w:val="num" w:pos="1440"/>
        </w:tabs>
        <w:ind w:left="1440" w:hanging="720"/>
      </w:pPr>
      <w:r w:rsidRPr="00F511A1">
        <w:t xml:space="preserve">it is a Permitted Item; or </w:t>
      </w:r>
    </w:p>
    <w:p w14:paraId="7A90F63E" w14:textId="77777777" w:rsidR="00F67E9E" w:rsidRPr="00F511A1" w:rsidRDefault="00F67E9E" w:rsidP="00F67E9E">
      <w:pPr>
        <w:pStyle w:val="AppendixText3"/>
        <w:tabs>
          <w:tab w:val="clear" w:pos="1800"/>
          <w:tab w:val="num" w:pos="1440"/>
        </w:tabs>
        <w:ind w:left="1440" w:hanging="720"/>
      </w:pPr>
      <w:r w:rsidRPr="00F511A1">
        <w:t>the use is primarily related to the management of the Supplier</w:t>
      </w:r>
      <w:r>
        <w:t>’</w:t>
      </w:r>
      <w:r w:rsidRPr="00F511A1">
        <w:t>s own facilities or internal operations as opposed to the provision of Services.</w:t>
      </w:r>
    </w:p>
    <w:p w14:paraId="26439492" w14:textId="77777777" w:rsidR="00F67E9E" w:rsidRPr="00EA5FFD" w:rsidRDefault="00F67E9E" w:rsidP="00F67E9E">
      <w:pPr>
        <w:pStyle w:val="AppendixText2"/>
        <w:tabs>
          <w:tab w:val="num" w:pos="0"/>
          <w:tab w:val="num" w:pos="1080"/>
        </w:tabs>
      </w:pPr>
      <w:bookmarkStart w:id="471" w:name="_Ref99015094"/>
      <w:r w:rsidRPr="00836CC1">
        <w:t>[</w:t>
      </w:r>
      <w:r w:rsidRPr="002E7013">
        <w:rPr>
          <w:b/>
          <w:highlight w:val="yellow"/>
        </w:rPr>
        <w:t xml:space="preserve">Optional: </w:t>
      </w:r>
      <w:r w:rsidRPr="002E7013">
        <w:rPr>
          <w:highlight w:val="yellow"/>
        </w:rPr>
        <w:t>The Supplier must have a documented management system and controls in place to manage the environmental impacts of delivering the Services.]</w:t>
      </w:r>
      <w:bookmarkEnd w:id="471"/>
    </w:p>
    <w:p w14:paraId="09A77C2F" w14:textId="77777777" w:rsidR="00F67E9E" w:rsidRPr="00EA5FFD" w:rsidRDefault="00F67E9E" w:rsidP="00F67E9E">
      <w:pPr>
        <w:pStyle w:val="AppendixText2"/>
        <w:tabs>
          <w:tab w:val="num" w:pos="0"/>
          <w:tab w:val="num" w:pos="1080"/>
        </w:tabs>
      </w:pPr>
      <w:r w:rsidRPr="002E7013">
        <w:rPr>
          <w:highlight w:val="yellow"/>
        </w:rPr>
        <w:t>[</w:t>
      </w:r>
      <w:r w:rsidRPr="002E7013">
        <w:rPr>
          <w:b/>
          <w:highlight w:val="yellow"/>
        </w:rPr>
        <w:t xml:space="preserve">Optional: </w:t>
      </w:r>
      <w:r w:rsidRPr="002E7013">
        <w:rPr>
          <w:highlight w:val="yellow"/>
        </w:rPr>
        <w:t>The Supplier shall ensure that any Services are designed, sourced and delivered in a manner which is environmentally and socially responsible.]</w:t>
      </w:r>
    </w:p>
    <w:p w14:paraId="7953D410" w14:textId="77777777" w:rsidR="00F67E9E" w:rsidRPr="00EA5FFD" w:rsidRDefault="00F67E9E" w:rsidP="00F67E9E">
      <w:pPr>
        <w:pStyle w:val="AppendixText2"/>
        <w:tabs>
          <w:tab w:val="num" w:pos="0"/>
          <w:tab w:val="num" w:pos="1080"/>
        </w:tabs>
        <w:rPr>
          <w:bCs/>
        </w:rPr>
      </w:pPr>
      <w:r w:rsidRPr="002E7013">
        <w:rPr>
          <w:highlight w:val="yellow"/>
        </w:rPr>
        <w:t>[</w:t>
      </w:r>
      <w:r w:rsidRPr="002E7013">
        <w:rPr>
          <w:b/>
          <w:highlight w:val="yellow"/>
        </w:rPr>
        <w:t xml:space="preserve">Optional: </w:t>
      </w:r>
      <w:r w:rsidRPr="002E7013">
        <w:rPr>
          <w:highlight w:val="yellow"/>
        </w:rPr>
        <w:t>In delivering the Services, the Supplier must comply with the Authority’s sustainability requirements, to be provided to the Supplier by the Authority.]</w:t>
      </w:r>
    </w:p>
    <w:p w14:paraId="1FFB6479" w14:textId="77777777" w:rsidR="00F67E9E" w:rsidRPr="00836CC1" w:rsidRDefault="00F67E9E" w:rsidP="00F67E9E">
      <w:pPr>
        <w:pStyle w:val="AppendixText2"/>
        <w:tabs>
          <w:tab w:val="num" w:pos="0"/>
          <w:tab w:val="num" w:pos="1080"/>
        </w:tabs>
      </w:pPr>
      <w:r w:rsidRPr="002E7013">
        <w:rPr>
          <w:highlight w:val="yellow"/>
        </w:rPr>
        <w:t>[</w:t>
      </w:r>
      <w:r w:rsidRPr="002E7013">
        <w:rPr>
          <w:b/>
          <w:highlight w:val="yellow"/>
        </w:rPr>
        <w:t xml:space="preserve">Optional: </w:t>
      </w:r>
      <w:r w:rsidRPr="002E7013">
        <w:rPr>
          <w:highlight w:val="yellow"/>
        </w:rPr>
        <w:t>In performing its obligations under the Contract, the Supplier shall to the reasonable satisfaction of the Authority:</w:t>
      </w:r>
    </w:p>
    <w:p w14:paraId="0A4A36C6" w14:textId="77777777" w:rsidR="00F67E9E" w:rsidRPr="00EA5FFD" w:rsidRDefault="00F67E9E" w:rsidP="00F67E9E">
      <w:pPr>
        <w:pStyle w:val="AppendixText3"/>
        <w:tabs>
          <w:tab w:val="clear" w:pos="1800"/>
          <w:tab w:val="num" w:pos="1440"/>
        </w:tabs>
        <w:ind w:left="1440" w:hanging="720"/>
        <w:rPr>
          <w:bCs/>
        </w:rPr>
      </w:pPr>
      <w:r w:rsidRPr="002E7013">
        <w:rPr>
          <w:highlight w:val="yellow"/>
        </w:rPr>
        <w:t>[</w:t>
      </w:r>
      <w:r w:rsidRPr="002E7013">
        <w:rPr>
          <w:b/>
          <w:highlight w:val="yellow"/>
        </w:rPr>
        <w:t xml:space="preserve">Optional: </w:t>
      </w:r>
      <w:r w:rsidRPr="002E7013">
        <w:rPr>
          <w:highlight w:val="yellow"/>
        </w:rPr>
        <w:t>demonstrate that the whole life cycle impacts (including end of use) associated with the Services that extend beyond direct operations into that of the supply chain have been considered and reduced];</w:t>
      </w:r>
    </w:p>
    <w:p w14:paraId="5C2401FA" w14:textId="77777777" w:rsidR="00F67E9E" w:rsidRPr="00EA5FFD" w:rsidRDefault="00F67E9E" w:rsidP="00F67E9E">
      <w:pPr>
        <w:pStyle w:val="AppendixText3"/>
        <w:tabs>
          <w:tab w:val="clear" w:pos="1800"/>
          <w:tab w:val="num" w:pos="1440"/>
        </w:tabs>
        <w:ind w:left="1440" w:hanging="720"/>
      </w:pPr>
      <w:r w:rsidRPr="002E7013">
        <w:rPr>
          <w:highlight w:val="yellow"/>
        </w:rPr>
        <w:t>[</w:t>
      </w:r>
      <w:r w:rsidRPr="002E7013">
        <w:rPr>
          <w:b/>
          <w:highlight w:val="yellow"/>
        </w:rPr>
        <w:t xml:space="preserve">Optional: </w:t>
      </w:r>
      <w:r w:rsidRPr="002E7013">
        <w:rPr>
          <w:highlight w:val="yellow"/>
        </w:rPr>
        <w:t>minimise the consumption of resources and use them efficiently (including water and energy), working towards a circular economy including designing out waste and non-renewable resources, using re-use and closed loop systems];</w:t>
      </w:r>
    </w:p>
    <w:p w14:paraId="6C6CA890" w14:textId="77777777" w:rsidR="00F67E9E" w:rsidRPr="00EA5FFD" w:rsidRDefault="00F67E9E" w:rsidP="00F67E9E">
      <w:pPr>
        <w:pStyle w:val="AppendixText3"/>
        <w:tabs>
          <w:tab w:val="clear" w:pos="1800"/>
          <w:tab w:val="num" w:pos="1440"/>
        </w:tabs>
        <w:ind w:left="1440" w:hanging="720"/>
      </w:pPr>
      <w:r w:rsidRPr="002E7013">
        <w:rPr>
          <w:highlight w:val="yellow"/>
        </w:rPr>
        <w:t>[</w:t>
      </w:r>
      <w:r w:rsidRPr="002E7013">
        <w:rPr>
          <w:b/>
          <w:highlight w:val="yellow"/>
        </w:rPr>
        <w:t xml:space="preserve">Optional: </w:t>
      </w:r>
      <w:r w:rsidRPr="002E7013">
        <w:rPr>
          <w:highlight w:val="yellow"/>
        </w:rPr>
        <w:t>demonstrate protection of the environment including understanding and reduction of biosecurity risks (which include risks to plant and tree health from harmful pests and diseases), and reducing and eliminating hazardous/harmful substances to the environment and preventing pollution];</w:t>
      </w:r>
    </w:p>
    <w:p w14:paraId="1F8B86DD" w14:textId="77777777" w:rsidR="00F67E9E" w:rsidRPr="00EA5FFD" w:rsidRDefault="00F67E9E" w:rsidP="00F67E9E">
      <w:pPr>
        <w:pStyle w:val="AppendixText3"/>
        <w:tabs>
          <w:tab w:val="clear" w:pos="1800"/>
          <w:tab w:val="num" w:pos="1440"/>
        </w:tabs>
        <w:ind w:left="1440" w:hanging="720"/>
      </w:pPr>
      <w:r w:rsidRPr="002E7013">
        <w:rPr>
          <w:highlight w:val="yellow"/>
        </w:rPr>
        <w:t>[</w:t>
      </w:r>
      <w:r w:rsidRPr="002E7013">
        <w:rPr>
          <w:b/>
          <w:highlight w:val="yellow"/>
        </w:rPr>
        <w:t xml:space="preserve">Optional: </w:t>
      </w:r>
      <w:r w:rsidRPr="002E7013">
        <w:rPr>
          <w:highlight w:val="yellow"/>
        </w:rPr>
        <w:t>enhance the natural environment and connecting communities with the environment]; and</w:t>
      </w:r>
    </w:p>
    <w:p w14:paraId="46C18B26" w14:textId="77777777" w:rsidR="00F67E9E" w:rsidRPr="00EA5FFD" w:rsidRDefault="00F67E9E" w:rsidP="00F67E9E">
      <w:pPr>
        <w:pStyle w:val="AppendixText3"/>
        <w:tabs>
          <w:tab w:val="clear" w:pos="1800"/>
          <w:tab w:val="num" w:pos="1440"/>
        </w:tabs>
        <w:ind w:left="1440" w:hanging="720"/>
      </w:pPr>
      <w:r w:rsidRPr="002E7013">
        <w:rPr>
          <w:highlight w:val="yellow"/>
        </w:rPr>
        <w:t>[</w:t>
      </w:r>
      <w:r w:rsidRPr="002E7013">
        <w:rPr>
          <w:b/>
          <w:highlight w:val="yellow"/>
        </w:rPr>
        <w:t xml:space="preserve">Optional: </w:t>
      </w:r>
      <w:r w:rsidRPr="002E7013">
        <w:rPr>
          <w:highlight w:val="yellow"/>
        </w:rPr>
        <w:t>achieve continuous improvement in environmental (and social) performance.]</w:t>
      </w:r>
    </w:p>
    <w:p w14:paraId="0A0419DC" w14:textId="77777777" w:rsidR="00F67E9E" w:rsidRDefault="00F67E9E" w:rsidP="00F67E9E">
      <w:pPr>
        <w:pStyle w:val="AppendixText2"/>
        <w:tabs>
          <w:tab w:val="num" w:pos="360"/>
          <w:tab w:val="num" w:pos="720"/>
        </w:tabs>
      </w:pPr>
      <w:r w:rsidRPr="002E7013">
        <w:rPr>
          <w:highlight w:val="yellow"/>
        </w:rPr>
        <w:t>[</w:t>
      </w:r>
      <w:r w:rsidRPr="002E7013">
        <w:rPr>
          <w:b/>
          <w:highlight w:val="yellow"/>
        </w:rPr>
        <w:t xml:space="preserve">Optional: </w:t>
      </w:r>
      <w:r w:rsidRPr="002E7013">
        <w:rPr>
          <w:highlight w:val="yellow"/>
        </w:rPr>
        <w:t>The Supplier shall inform the Authority within one Working Day in the event that a permit, licence or exemption to carry or send waste generated under this Contract is revoked.]</w:t>
      </w:r>
      <w:r w:rsidRPr="00836CC1">
        <w:t xml:space="preserve"> </w:t>
      </w:r>
    </w:p>
    <w:p w14:paraId="5A60B35C" w14:textId="77777777" w:rsidR="00F67E9E" w:rsidRPr="00140BDF" w:rsidRDefault="00F67E9E" w:rsidP="00F67E9E">
      <w:pPr>
        <w:pStyle w:val="AppendixText2"/>
        <w:tabs>
          <w:tab w:val="num" w:pos="360"/>
          <w:tab w:val="num" w:pos="720"/>
        </w:tabs>
        <w:rPr>
          <w:b/>
          <w:bCs/>
        </w:rPr>
      </w:pPr>
      <w:bookmarkStart w:id="472" w:name="_Ref99015104"/>
      <w:r>
        <w:rPr>
          <w:b/>
          <w:bCs/>
          <w:highlight w:val="yellow"/>
        </w:rPr>
        <w:t>[Guidance note:</w:t>
      </w:r>
      <w:r w:rsidRPr="00140BDF">
        <w:rPr>
          <w:b/>
          <w:bCs/>
          <w:i/>
          <w:iCs/>
          <w:highlight w:val="yellow"/>
        </w:rPr>
        <w:t xml:space="preserve"> Insert any other environmental requirement the Authority wishes to add, e.g. those in line with the </w:t>
      </w:r>
      <w:r w:rsidRPr="007E446C">
        <w:rPr>
          <w:b/>
          <w:bCs/>
          <w:i/>
          <w:iCs/>
          <w:highlight w:val="yellow"/>
        </w:rPr>
        <w:t>Government Greening Commitments, the Greening government: ICT and digital services strategy 2020 to 2025 and point 12 of the Technology Code of Practice.</w:t>
      </w:r>
      <w:r w:rsidRPr="007E446C">
        <w:rPr>
          <w:b/>
          <w:bCs/>
          <w:highlight w:val="yellow"/>
        </w:rPr>
        <w:t>]</w:t>
      </w:r>
      <w:bookmarkEnd w:id="472"/>
    </w:p>
    <w:p w14:paraId="4ACDB13B" w14:textId="77777777" w:rsidR="00F67E9E" w:rsidRPr="00C5141A" w:rsidRDefault="00F67E9E" w:rsidP="00F67E9E">
      <w:pPr>
        <w:pStyle w:val="AppendixText2"/>
        <w:tabs>
          <w:tab w:val="num" w:pos="360"/>
          <w:tab w:val="num" w:pos="720"/>
        </w:tabs>
        <w:spacing w:after="100"/>
      </w:pPr>
      <w:bookmarkStart w:id="473" w:name="_Ref99015075"/>
      <w:r w:rsidRPr="00C5141A">
        <w:t xml:space="preserve">The Supplier </w:t>
      </w:r>
      <w:r w:rsidRPr="002E7013">
        <w:rPr>
          <w:rFonts w:eastAsia="Arial"/>
        </w:rPr>
        <w:t>shall</w:t>
      </w:r>
      <w:r w:rsidRPr="00C5141A">
        <w:t xml:space="preserve"> meet the applicable Government Buying Standards applicable to </w:t>
      </w:r>
      <w:r>
        <w:t>Services</w:t>
      </w:r>
      <w:r w:rsidRPr="00C5141A">
        <w:t xml:space="preserve"> which can be found online at:</w:t>
      </w:r>
      <w:bookmarkEnd w:id="473"/>
      <w:r w:rsidRPr="00C5141A">
        <w:t xml:space="preserve"> </w:t>
      </w:r>
    </w:p>
    <w:p w14:paraId="5014F1FC" w14:textId="77777777" w:rsidR="00F67E9E" w:rsidRPr="00F97284" w:rsidRDefault="000D7DE5" w:rsidP="00F67E9E">
      <w:pPr>
        <w:pStyle w:val="AppendixText2continued"/>
        <w:tabs>
          <w:tab w:val="num" w:pos="720"/>
        </w:tabs>
        <w:ind w:left="720"/>
      </w:pPr>
      <w:hyperlink r:id="rId40" w:history="1">
        <w:r w:rsidR="00F67E9E" w:rsidRPr="00F97284">
          <w:rPr>
            <w:rStyle w:val="Hyperlink"/>
            <w:rFonts w:asciiTheme="majorHAnsi" w:hAnsiTheme="majorHAnsi" w:cstheme="majorHAnsi"/>
            <w:szCs w:val="24"/>
          </w:rPr>
          <w:t>https://www.gov.uk/government/collections/sustainable-procurement-the-government-buying-standards-gbs</w:t>
        </w:r>
      </w:hyperlink>
      <w:r w:rsidR="00F67E9E" w:rsidRPr="00F97284">
        <w:rPr>
          <w:rStyle w:val="Hyperlink"/>
          <w:rFonts w:asciiTheme="majorHAnsi" w:hAnsiTheme="majorHAnsi" w:cstheme="majorHAnsi"/>
          <w:szCs w:val="24"/>
        </w:rPr>
        <w:t>.</w:t>
      </w:r>
    </w:p>
    <w:p w14:paraId="4E942A4F" w14:textId="77777777" w:rsidR="00F67E9E" w:rsidRPr="00C5141A" w:rsidRDefault="00F67E9E" w:rsidP="00F67E9E">
      <w:pPr>
        <w:pStyle w:val="AppendixText1"/>
      </w:pPr>
      <w:bookmarkStart w:id="474" w:name="_Ref99015084"/>
      <w:r>
        <w:t>Supplier Code of Conduct</w:t>
      </w:r>
      <w:bookmarkEnd w:id="474"/>
    </w:p>
    <w:p w14:paraId="252809C5" w14:textId="77777777" w:rsidR="00F67E9E" w:rsidRPr="00C5141A" w:rsidRDefault="00F67E9E" w:rsidP="00F67E9E">
      <w:pPr>
        <w:pStyle w:val="AppendixText2"/>
        <w:tabs>
          <w:tab w:val="num" w:pos="720"/>
        </w:tabs>
        <w:spacing w:after="100"/>
      </w:pPr>
      <w:r w:rsidRPr="00C5141A">
        <w:t>In February 2019, HM Government published a Supplier Code of Conduct setting out the standards and behaviours expected of suppliers who work with government which can be found online at:</w:t>
      </w:r>
    </w:p>
    <w:p w14:paraId="0C0B81B8" w14:textId="77777777" w:rsidR="00F67E9E" w:rsidRPr="00440B73" w:rsidRDefault="000D7DE5" w:rsidP="00F67E9E">
      <w:pPr>
        <w:pStyle w:val="AppendixText2"/>
        <w:numPr>
          <w:ilvl w:val="0"/>
          <w:numId w:val="0"/>
        </w:numPr>
        <w:spacing w:after="100"/>
        <w:ind w:left="720"/>
      </w:pPr>
      <w:hyperlink r:id="rId41" w:history="1">
        <w:r w:rsidR="00F67E9E" w:rsidRPr="0068493F">
          <w:rPr>
            <w:rStyle w:val="Hyperlink"/>
            <w:rFonts w:eastAsiaTheme="minorHAnsi" w:cstheme="minorBidi"/>
            <w:szCs w:val="20"/>
            <w:lang w:eastAsia="en-US"/>
          </w:rPr>
          <w:t>https://assets.publishing.service.gov.uk/government/uploads/system/uploads/attachment_data/file/1163536/Supplier_Code_of_Conduct_v3.pdf</w:t>
        </w:r>
      </w:hyperlink>
    </w:p>
    <w:p w14:paraId="307C1755" w14:textId="77777777" w:rsidR="00F67E9E" w:rsidRPr="00B87B2B" w:rsidRDefault="00F67E9E" w:rsidP="00F67E9E">
      <w:pPr>
        <w:pStyle w:val="AppendixText2"/>
        <w:tabs>
          <w:tab w:val="num" w:pos="720"/>
        </w:tabs>
        <w:spacing w:after="100"/>
      </w:pPr>
      <w:r w:rsidRPr="00B87B2B">
        <w:t>The Authority expects to meet, and expects its suppliers and subcontractors to meet, the standards set out in that Code.</w:t>
      </w:r>
    </w:p>
    <w:p w14:paraId="2397E728" w14:textId="77777777" w:rsidR="00F67E9E" w:rsidRPr="00D546EF" w:rsidRDefault="00F67E9E" w:rsidP="00F67E9E">
      <w:pPr>
        <w:pStyle w:val="AppendixText1"/>
      </w:pPr>
      <w:r w:rsidRPr="00D546EF">
        <w:t>Reporting Requirements</w:t>
      </w:r>
    </w:p>
    <w:p w14:paraId="158BA3C1" w14:textId="77777777" w:rsidR="00F67E9E" w:rsidRDefault="00F67E9E" w:rsidP="00F67E9E">
      <w:pPr>
        <w:pStyle w:val="AppendixText2"/>
        <w:tabs>
          <w:tab w:val="num" w:pos="720"/>
        </w:tabs>
      </w:pPr>
      <w:r w:rsidRPr="00651C62">
        <w:t>The Supplier shall comply with reasonable requests by the Authority for information evidencing compliance</w:t>
      </w:r>
      <w:r>
        <w:t>:</w:t>
      </w:r>
    </w:p>
    <w:p w14:paraId="2915DBC3" w14:textId="6915CC9B" w:rsidR="00F67E9E" w:rsidRDefault="00F67E9E" w:rsidP="00F67E9E">
      <w:pPr>
        <w:pStyle w:val="AppendixText3"/>
        <w:tabs>
          <w:tab w:val="clear" w:pos="1800"/>
          <w:tab w:val="num" w:pos="1440"/>
        </w:tabs>
        <w:ind w:left="1440" w:hanging="720"/>
      </w:pPr>
      <w:r w:rsidRPr="00F511A1">
        <w:t xml:space="preserve">with Paragraphs </w:t>
      </w:r>
      <w:r w:rsidRPr="00F511A1">
        <w:fldChar w:fldCharType="begin"/>
      </w:r>
      <w:r w:rsidRPr="00F511A1">
        <w:instrText xml:space="preserve"> REF _Ref99015013 \w \h </w:instrText>
      </w:r>
      <w:r>
        <w:instrText xml:space="preserve"> \* MERGEFORMAT </w:instrText>
      </w:r>
      <w:r w:rsidRPr="00F511A1">
        <w:fldChar w:fldCharType="separate"/>
      </w:r>
      <w:r w:rsidR="00302D39">
        <w:t>2.1</w:t>
      </w:r>
      <w:r w:rsidRPr="00F511A1">
        <w:fldChar w:fldCharType="end"/>
      </w:r>
      <w:r w:rsidRPr="00F511A1">
        <w:t xml:space="preserve">, </w:t>
      </w:r>
      <w:r w:rsidRPr="00F511A1">
        <w:fldChar w:fldCharType="begin"/>
      </w:r>
      <w:r w:rsidRPr="00F511A1">
        <w:instrText xml:space="preserve"> REF _Ref99015037 \w \h </w:instrText>
      </w:r>
      <w:r>
        <w:instrText xml:space="preserve"> \* MERGEFORMAT </w:instrText>
      </w:r>
      <w:r w:rsidRPr="00F511A1">
        <w:fldChar w:fldCharType="separate"/>
      </w:r>
      <w:r w:rsidR="00302D39">
        <w:t>3.1</w:t>
      </w:r>
      <w:r w:rsidRPr="00F511A1">
        <w:fldChar w:fldCharType="end"/>
      </w:r>
      <w:r w:rsidRPr="00F511A1">
        <w:t xml:space="preserve"> to </w:t>
      </w:r>
      <w:r w:rsidRPr="00F511A1">
        <w:fldChar w:fldCharType="begin"/>
      </w:r>
      <w:r w:rsidRPr="00F511A1">
        <w:instrText xml:space="preserve"> REF _Ref99015051 \w \h </w:instrText>
      </w:r>
      <w:r>
        <w:instrText xml:space="preserve"> \* MERGEFORMAT </w:instrText>
      </w:r>
      <w:r w:rsidRPr="00F511A1">
        <w:fldChar w:fldCharType="separate"/>
      </w:r>
      <w:r w:rsidR="00302D39">
        <w:t>3.6</w:t>
      </w:r>
      <w:r w:rsidRPr="00F511A1">
        <w:fldChar w:fldCharType="end"/>
      </w:r>
      <w:r w:rsidRPr="00F511A1">
        <w:t xml:space="preserve">, </w:t>
      </w:r>
      <w:r w:rsidRPr="00F511A1">
        <w:fldChar w:fldCharType="begin"/>
      </w:r>
      <w:r w:rsidRPr="00F511A1">
        <w:instrText xml:space="preserve"> REF _Ref99015075 \w \h </w:instrText>
      </w:r>
      <w:r>
        <w:instrText xml:space="preserve"> \* MERGEFORMAT </w:instrText>
      </w:r>
      <w:r w:rsidRPr="00F511A1">
        <w:fldChar w:fldCharType="separate"/>
      </w:r>
      <w:r w:rsidR="00302D39">
        <w:t>3.13</w:t>
      </w:r>
      <w:r w:rsidRPr="00F511A1">
        <w:fldChar w:fldCharType="end"/>
      </w:r>
      <w:r w:rsidRPr="00F511A1">
        <w:t xml:space="preserve"> and </w:t>
      </w:r>
      <w:r w:rsidRPr="00F511A1">
        <w:fldChar w:fldCharType="begin"/>
      </w:r>
      <w:r w:rsidRPr="00F511A1">
        <w:instrText xml:space="preserve"> REF _Ref99015084 \w \h </w:instrText>
      </w:r>
      <w:r>
        <w:instrText xml:space="preserve"> \* MERGEFORMAT </w:instrText>
      </w:r>
      <w:r w:rsidRPr="00F511A1">
        <w:fldChar w:fldCharType="separate"/>
      </w:r>
      <w:r w:rsidR="00302D39">
        <w:t>4</w:t>
      </w:r>
      <w:r w:rsidRPr="00F511A1">
        <w:fldChar w:fldCharType="end"/>
      </w:r>
      <w:r w:rsidRPr="00F511A1">
        <w:t xml:space="preserve"> of this </w:t>
      </w:r>
      <w:r>
        <w:fldChar w:fldCharType="begin"/>
      </w:r>
      <w:r>
        <w:instrText xml:space="preserve"> REF Schedule4Annex1 \h </w:instrText>
      </w:r>
      <w:r>
        <w:fldChar w:fldCharType="separate"/>
      </w:r>
      <w:r w:rsidR="00302D39" w:rsidRPr="00F511A1">
        <w:t>Annex 1</w:t>
      </w:r>
      <w:r>
        <w:fldChar w:fldCharType="end"/>
      </w:r>
      <w:r>
        <w:t xml:space="preserve"> </w:t>
      </w:r>
      <w:r w:rsidRPr="00F511A1">
        <w:t>within</w:t>
      </w:r>
      <w:r w:rsidRPr="00651C62">
        <w:t xml:space="preserve"> </w:t>
      </w:r>
      <w:r>
        <w:t>[</w:t>
      </w:r>
      <w:r w:rsidRPr="002E7013">
        <w:rPr>
          <w:highlight w:val="yellow"/>
        </w:rPr>
        <w:t>fourteen (14)</w:t>
      </w:r>
      <w:r>
        <w:t>]</w:t>
      </w:r>
      <w:r w:rsidRPr="00651C62">
        <w:t xml:space="preserve"> days of such request</w:t>
      </w:r>
      <w:r>
        <w:t>; and</w:t>
      </w:r>
    </w:p>
    <w:p w14:paraId="469C879B" w14:textId="3BA11D26" w:rsidR="00F67E9E" w:rsidRPr="00A301A6" w:rsidRDefault="00F67E9E" w:rsidP="00F67E9E">
      <w:pPr>
        <w:pStyle w:val="AppendixText3"/>
        <w:tabs>
          <w:tab w:val="clear" w:pos="1800"/>
          <w:tab w:val="num" w:pos="1440"/>
        </w:tabs>
        <w:ind w:left="1440" w:hanging="720"/>
      </w:pPr>
      <w:r w:rsidRPr="00F511A1">
        <w:t xml:space="preserve">With Paragraphs </w:t>
      </w:r>
      <w:r w:rsidRPr="00F511A1">
        <w:fldChar w:fldCharType="begin"/>
      </w:r>
      <w:r w:rsidRPr="00F511A1">
        <w:instrText xml:space="preserve"> REF _Ref99015024 \w \h </w:instrText>
      </w:r>
      <w:r>
        <w:instrText xml:space="preserve"> \* MERGEFORMAT </w:instrText>
      </w:r>
      <w:r w:rsidRPr="00F511A1">
        <w:fldChar w:fldCharType="separate"/>
      </w:r>
      <w:r w:rsidR="00302D39">
        <w:t>2.2</w:t>
      </w:r>
      <w:r w:rsidRPr="00F511A1">
        <w:fldChar w:fldCharType="end"/>
      </w:r>
      <w:r w:rsidRPr="00F511A1">
        <w:t xml:space="preserve">, </w:t>
      </w:r>
      <w:r w:rsidRPr="00F511A1">
        <w:fldChar w:fldCharType="begin"/>
      </w:r>
      <w:r w:rsidRPr="00F511A1">
        <w:instrText xml:space="preserve"> REF _Ref99015061 \w \h </w:instrText>
      </w:r>
      <w:r>
        <w:instrText xml:space="preserve"> \* MERGEFORMAT </w:instrText>
      </w:r>
      <w:r w:rsidRPr="00F511A1">
        <w:fldChar w:fldCharType="separate"/>
      </w:r>
      <w:r w:rsidR="00302D39">
        <w:t>2.3</w:t>
      </w:r>
      <w:r w:rsidRPr="00F511A1">
        <w:fldChar w:fldCharType="end"/>
      </w:r>
      <w:r w:rsidRPr="00F511A1">
        <w:t xml:space="preserve"> and </w:t>
      </w:r>
      <w:r w:rsidRPr="00F511A1">
        <w:fldChar w:fldCharType="begin"/>
      </w:r>
      <w:r w:rsidRPr="00F511A1">
        <w:instrText xml:space="preserve"> REF _Ref99015094 \w \h </w:instrText>
      </w:r>
      <w:r>
        <w:instrText xml:space="preserve"> \* MERGEFORMAT </w:instrText>
      </w:r>
      <w:r w:rsidRPr="00F511A1">
        <w:fldChar w:fldCharType="separate"/>
      </w:r>
      <w:r w:rsidR="00302D39">
        <w:t>3.7</w:t>
      </w:r>
      <w:r w:rsidRPr="00F511A1">
        <w:fldChar w:fldCharType="end"/>
      </w:r>
      <w:r w:rsidRPr="00F511A1">
        <w:t xml:space="preserve"> to </w:t>
      </w:r>
      <w:r w:rsidRPr="00F511A1">
        <w:fldChar w:fldCharType="begin"/>
      </w:r>
      <w:r w:rsidRPr="00F511A1">
        <w:instrText xml:space="preserve"> REF _Ref99015104 \w \h </w:instrText>
      </w:r>
      <w:r>
        <w:instrText xml:space="preserve"> \* MERGEFORMAT </w:instrText>
      </w:r>
      <w:r w:rsidRPr="00F511A1">
        <w:fldChar w:fldCharType="separate"/>
      </w:r>
      <w:r w:rsidR="00302D39">
        <w:t>3.12</w:t>
      </w:r>
      <w:r w:rsidRPr="00F511A1">
        <w:fldChar w:fldCharType="end"/>
      </w:r>
      <w:r w:rsidRPr="00F511A1">
        <w:t xml:space="preserve"> of this </w:t>
      </w:r>
      <w:r>
        <w:fldChar w:fldCharType="begin"/>
      </w:r>
      <w:r>
        <w:instrText xml:space="preserve"> REF Schedule4Annex1 \h </w:instrText>
      </w:r>
      <w:r>
        <w:fldChar w:fldCharType="separate"/>
      </w:r>
      <w:r w:rsidR="00302D39" w:rsidRPr="00F511A1">
        <w:t>Annex 1</w:t>
      </w:r>
      <w:r>
        <w:fldChar w:fldCharType="end"/>
      </w:r>
      <w:r>
        <w:t xml:space="preserve"> within [</w:t>
      </w:r>
      <w:r w:rsidRPr="002E7013">
        <w:rPr>
          <w:highlight w:val="yellow"/>
        </w:rPr>
        <w:t>thirty (30) days</w:t>
      </w:r>
      <w:r>
        <w:t>] of such request[</w:t>
      </w:r>
      <w:r w:rsidRPr="002E7013">
        <w:rPr>
          <w:highlight w:val="yellow"/>
        </w:rPr>
        <w:t>.]/[,</w:t>
      </w:r>
    </w:p>
    <w:p w14:paraId="7E0B0EE2" w14:textId="77777777" w:rsidR="00F67E9E" w:rsidRPr="00F511A1" w:rsidRDefault="00F67E9E" w:rsidP="00F67E9E">
      <w:pPr>
        <w:pStyle w:val="AppendixText3continued"/>
        <w:tabs>
          <w:tab w:val="num" w:pos="720"/>
        </w:tabs>
        <w:ind w:left="1440" w:hanging="720"/>
      </w:pPr>
      <w:r w:rsidRPr="00A301A6">
        <w:rPr>
          <w:highlight w:val="yellow"/>
        </w:rPr>
        <w:t>provided that such requests are limited to [two] per Contract Year.</w:t>
      </w:r>
      <w:r w:rsidRPr="00F511A1">
        <w:t>]</w:t>
      </w:r>
    </w:p>
    <w:p w14:paraId="0947028B" w14:textId="1F881072" w:rsidR="00F67E9E" w:rsidRPr="00F511A1" w:rsidRDefault="00F67E9E" w:rsidP="00F67E9E">
      <w:pPr>
        <w:pStyle w:val="AppendixText2"/>
        <w:tabs>
          <w:tab w:val="num" w:pos="720"/>
        </w:tabs>
      </w:pPr>
      <w:r w:rsidRPr="00F511A1">
        <w:t xml:space="preserve">The Supplier shall complete the Sustainability Report in relation </w:t>
      </w:r>
      <w:r>
        <w:t xml:space="preserve">to </w:t>
      </w:r>
      <w:r w:rsidRPr="00F511A1">
        <w:t xml:space="preserve">its provision of the Services under this Contract and provide the Sustainability Report to the Authority on the date and frequency outlined in Table C of this </w:t>
      </w:r>
      <w:r>
        <w:fldChar w:fldCharType="begin"/>
      </w:r>
      <w:r>
        <w:instrText xml:space="preserve"> REF Schedule4Annex1 \h </w:instrText>
      </w:r>
      <w:r>
        <w:fldChar w:fldCharType="separate"/>
      </w:r>
      <w:r w:rsidR="00302D39" w:rsidRPr="00F511A1">
        <w:t>Annex 1</w:t>
      </w:r>
      <w:r>
        <w:fldChar w:fldCharType="end"/>
      </w:r>
      <w:r w:rsidRPr="00F511A1">
        <w:t>.</w:t>
      </w:r>
    </w:p>
    <w:p w14:paraId="04394D84" w14:textId="77777777" w:rsidR="00F67E9E" w:rsidRPr="00B87B2B" w:rsidRDefault="00F67E9E" w:rsidP="00F67E9E">
      <w:pPr>
        <w:pStyle w:val="Heading3"/>
      </w:pPr>
      <w:bookmarkStart w:id="475" w:name="Schedule4TableA"/>
      <w:bookmarkStart w:id="476" w:name="_9kR3WTrAG89HFbJfifw5q8LTu3my2s4mI94z0JG"/>
      <w:r w:rsidRPr="00B87B2B">
        <w:t>Table</w:t>
      </w:r>
      <w:r>
        <w:t> </w:t>
      </w:r>
      <w:r w:rsidRPr="00B87B2B">
        <w:t>A</w:t>
      </w:r>
      <w:bookmarkEnd w:id="475"/>
      <w:r w:rsidRPr="00B87B2B">
        <w:t xml:space="preserve"> – Prohibited Items</w:t>
      </w:r>
      <w:bookmarkEnd w:id="476"/>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689"/>
        <w:gridCol w:w="7483"/>
      </w:tblGrid>
      <w:tr w:rsidR="00F67E9E" w:rsidRPr="00651C62" w14:paraId="34C6901D" w14:textId="77777777" w:rsidTr="007F74AA">
        <w:trPr>
          <w:trHeight w:val="145"/>
        </w:trPr>
        <w:tc>
          <w:tcPr>
            <w:tcW w:w="2689" w:type="dxa"/>
            <w:vMerge w:val="restart"/>
          </w:tcPr>
          <w:p w14:paraId="255F6B37" w14:textId="77777777" w:rsidR="00F67E9E" w:rsidRPr="00651C62" w:rsidRDefault="00F67E9E" w:rsidP="007F74AA">
            <w:pPr>
              <w:pStyle w:val="StdBodyTextBold"/>
              <w:spacing w:before="0" w:after="0"/>
              <w:rPr>
                <w:rFonts w:cs="Arial"/>
                <w:sz w:val="24"/>
              </w:rPr>
            </w:pPr>
            <w:r w:rsidRPr="00651C62">
              <w:rPr>
                <w:rFonts w:cs="Arial"/>
                <w:sz w:val="24"/>
              </w:rPr>
              <w:t>The following consumer single use plastics are Prohibited Items:</w:t>
            </w:r>
          </w:p>
        </w:tc>
        <w:tc>
          <w:tcPr>
            <w:tcW w:w="7483" w:type="dxa"/>
          </w:tcPr>
          <w:p w14:paraId="58A0E18A" w14:textId="77777777" w:rsidR="00F67E9E" w:rsidRPr="008C58BE" w:rsidRDefault="00F67E9E" w:rsidP="007F74AA">
            <w:pPr>
              <w:pStyle w:val="StdBodyTextBold"/>
              <w:keepNext/>
              <w:keepLines/>
              <w:spacing w:before="0" w:after="0"/>
              <w:rPr>
                <w:rFonts w:cs="Arial"/>
                <w:sz w:val="24"/>
              </w:rPr>
            </w:pPr>
            <w:r w:rsidRPr="008C58BE">
              <w:rPr>
                <w:rFonts w:cs="Arial"/>
                <w:sz w:val="24"/>
              </w:rPr>
              <w:t>Catering</w:t>
            </w:r>
          </w:p>
          <w:p w14:paraId="2EF94CB1" w14:textId="77777777" w:rsidR="00F67E9E" w:rsidRPr="008C58BE" w:rsidRDefault="00F67E9E" w:rsidP="007F74AA">
            <w:pPr>
              <w:pStyle w:val="DefinitionList"/>
              <w:numPr>
                <w:ilvl w:val="0"/>
                <w:numId w:val="110"/>
              </w:numPr>
              <w:spacing w:after="0"/>
              <w:rPr>
                <w:sz w:val="24"/>
                <w:szCs w:val="36"/>
              </w:rPr>
            </w:pPr>
            <w:r w:rsidRPr="008C58BE">
              <w:rPr>
                <w:sz w:val="24"/>
                <w:szCs w:val="36"/>
              </w:rPr>
              <w:t>Single use sachets e.g. coffee pods, sauce sachets, milk sachets</w:t>
            </w:r>
          </w:p>
          <w:p w14:paraId="2CFFE8CF" w14:textId="77777777" w:rsidR="00F67E9E" w:rsidRPr="00BF2D9D" w:rsidRDefault="00F67E9E" w:rsidP="00F67E9E">
            <w:pPr>
              <w:pStyle w:val="DefinitionList"/>
              <w:numPr>
                <w:ilvl w:val="0"/>
                <w:numId w:val="108"/>
              </w:numPr>
              <w:spacing w:after="0"/>
              <w:rPr>
                <w:sz w:val="24"/>
                <w:szCs w:val="32"/>
              </w:rPr>
            </w:pPr>
            <w:r w:rsidRPr="00BF2D9D">
              <w:rPr>
                <w:sz w:val="24"/>
                <w:szCs w:val="32"/>
              </w:rPr>
              <w:t>Take away cutlery</w:t>
            </w:r>
          </w:p>
          <w:p w14:paraId="7093241D" w14:textId="77777777" w:rsidR="00F67E9E" w:rsidRPr="00BF2D9D" w:rsidRDefault="00F67E9E" w:rsidP="00F67E9E">
            <w:pPr>
              <w:pStyle w:val="DefinitionList"/>
              <w:numPr>
                <w:ilvl w:val="0"/>
                <w:numId w:val="108"/>
              </w:numPr>
              <w:spacing w:after="0"/>
              <w:rPr>
                <w:sz w:val="24"/>
                <w:szCs w:val="32"/>
              </w:rPr>
            </w:pPr>
            <w:r w:rsidRPr="00BF2D9D">
              <w:rPr>
                <w:sz w:val="24"/>
                <w:szCs w:val="32"/>
              </w:rPr>
              <w:t>Take away boxes and plates</w:t>
            </w:r>
          </w:p>
          <w:p w14:paraId="57DD6159" w14:textId="77777777" w:rsidR="00F67E9E" w:rsidRPr="00BF2D9D" w:rsidRDefault="00F67E9E" w:rsidP="00F67E9E">
            <w:pPr>
              <w:pStyle w:val="DefinitionList"/>
              <w:numPr>
                <w:ilvl w:val="0"/>
                <w:numId w:val="108"/>
              </w:numPr>
              <w:spacing w:after="0"/>
              <w:rPr>
                <w:sz w:val="24"/>
                <w:szCs w:val="32"/>
              </w:rPr>
            </w:pPr>
            <w:r w:rsidRPr="00BF2D9D">
              <w:rPr>
                <w:sz w:val="24"/>
                <w:szCs w:val="32"/>
              </w:rPr>
              <w:t>Cups made wholly or partially of plastic</w:t>
            </w:r>
          </w:p>
          <w:p w14:paraId="62EC7410" w14:textId="77777777" w:rsidR="00F67E9E" w:rsidRPr="00BF2D9D" w:rsidRDefault="00F67E9E" w:rsidP="00F67E9E">
            <w:pPr>
              <w:pStyle w:val="DefinitionList"/>
              <w:numPr>
                <w:ilvl w:val="0"/>
                <w:numId w:val="108"/>
              </w:numPr>
              <w:spacing w:after="0"/>
              <w:rPr>
                <w:sz w:val="24"/>
                <w:szCs w:val="32"/>
              </w:rPr>
            </w:pPr>
            <w:r w:rsidRPr="00BF2D9D">
              <w:rPr>
                <w:sz w:val="24"/>
                <w:szCs w:val="32"/>
              </w:rPr>
              <w:t>Straws</w:t>
            </w:r>
          </w:p>
          <w:p w14:paraId="242D76C3" w14:textId="77777777" w:rsidR="00F67E9E" w:rsidRPr="00BF2D9D" w:rsidRDefault="00F67E9E" w:rsidP="00F67E9E">
            <w:pPr>
              <w:pStyle w:val="DefinitionList"/>
              <w:numPr>
                <w:ilvl w:val="0"/>
                <w:numId w:val="108"/>
              </w:numPr>
              <w:spacing w:after="0"/>
              <w:rPr>
                <w:sz w:val="24"/>
                <w:szCs w:val="32"/>
              </w:rPr>
            </w:pPr>
            <w:r w:rsidRPr="00BF2D9D">
              <w:rPr>
                <w:sz w:val="24"/>
                <w:szCs w:val="32"/>
              </w:rPr>
              <w:t>Stirrers</w:t>
            </w:r>
          </w:p>
          <w:p w14:paraId="7F31CE5C" w14:textId="77777777" w:rsidR="00F67E9E" w:rsidRPr="008C58BE" w:rsidRDefault="00F67E9E" w:rsidP="00F67E9E">
            <w:pPr>
              <w:pStyle w:val="DefinitionList"/>
              <w:numPr>
                <w:ilvl w:val="0"/>
                <w:numId w:val="108"/>
              </w:numPr>
              <w:spacing w:after="0"/>
              <w:rPr>
                <w:sz w:val="24"/>
                <w:szCs w:val="32"/>
              </w:rPr>
            </w:pPr>
            <w:r w:rsidRPr="00BF2D9D">
              <w:rPr>
                <w:sz w:val="24"/>
                <w:szCs w:val="32"/>
              </w:rPr>
              <w:t>Water bottles</w:t>
            </w:r>
          </w:p>
        </w:tc>
      </w:tr>
      <w:tr w:rsidR="00F67E9E" w:rsidRPr="00651C62" w14:paraId="2A8A0272" w14:textId="77777777" w:rsidTr="007F74AA">
        <w:trPr>
          <w:trHeight w:val="145"/>
        </w:trPr>
        <w:tc>
          <w:tcPr>
            <w:tcW w:w="2689" w:type="dxa"/>
            <w:vMerge/>
          </w:tcPr>
          <w:p w14:paraId="40938991" w14:textId="77777777" w:rsidR="00F67E9E" w:rsidRPr="00651C62" w:rsidRDefault="00F67E9E" w:rsidP="007F74AA">
            <w:pPr>
              <w:pStyle w:val="StdBodyText"/>
              <w:spacing w:before="0" w:after="0"/>
              <w:rPr>
                <w:rFonts w:cs="Arial"/>
                <w:sz w:val="24"/>
              </w:rPr>
            </w:pPr>
          </w:p>
        </w:tc>
        <w:tc>
          <w:tcPr>
            <w:tcW w:w="7483" w:type="dxa"/>
          </w:tcPr>
          <w:p w14:paraId="77116221" w14:textId="77777777" w:rsidR="00F67E9E" w:rsidRPr="00651C62" w:rsidRDefault="00F67E9E" w:rsidP="007F74AA">
            <w:pPr>
              <w:pStyle w:val="StdBodyTextBold"/>
              <w:keepNext/>
              <w:keepLines/>
              <w:spacing w:before="0" w:after="0"/>
              <w:rPr>
                <w:rFonts w:cs="Arial"/>
                <w:sz w:val="24"/>
              </w:rPr>
            </w:pPr>
            <w:r w:rsidRPr="00651C62">
              <w:rPr>
                <w:rFonts w:cs="Arial"/>
                <w:sz w:val="24"/>
              </w:rPr>
              <w:t>Facilities</w:t>
            </w:r>
          </w:p>
          <w:p w14:paraId="70EE7FC0" w14:textId="77777777" w:rsidR="00F67E9E" w:rsidRPr="008C58BE" w:rsidRDefault="00F67E9E" w:rsidP="007F74AA">
            <w:pPr>
              <w:pStyle w:val="DefinitionList"/>
              <w:numPr>
                <w:ilvl w:val="0"/>
                <w:numId w:val="109"/>
              </w:numPr>
              <w:spacing w:after="0"/>
              <w:rPr>
                <w:sz w:val="24"/>
                <w:szCs w:val="32"/>
              </w:rPr>
            </w:pPr>
            <w:r w:rsidRPr="008C58BE">
              <w:rPr>
                <w:sz w:val="24"/>
                <w:szCs w:val="32"/>
              </w:rPr>
              <w:t>Single use containers e.g. hand soap, cleaning products</w:t>
            </w:r>
          </w:p>
          <w:p w14:paraId="08A7DB05" w14:textId="77777777" w:rsidR="00F67E9E" w:rsidRPr="00651C62" w:rsidRDefault="00F67E9E" w:rsidP="00F67E9E">
            <w:pPr>
              <w:pStyle w:val="DefinitionList"/>
              <w:numPr>
                <w:ilvl w:val="0"/>
                <w:numId w:val="108"/>
              </w:numPr>
              <w:rPr>
                <w:rFonts w:cs="Arial"/>
                <w:sz w:val="24"/>
              </w:rPr>
            </w:pPr>
            <w:r w:rsidRPr="005F4E68">
              <w:rPr>
                <w:sz w:val="24"/>
              </w:rPr>
              <w:t>Wipes containing plastic</w:t>
            </w:r>
          </w:p>
        </w:tc>
      </w:tr>
      <w:tr w:rsidR="00F67E9E" w:rsidRPr="00651C62" w14:paraId="604D91BF" w14:textId="77777777" w:rsidTr="007F74AA">
        <w:trPr>
          <w:trHeight w:val="145"/>
        </w:trPr>
        <w:tc>
          <w:tcPr>
            <w:tcW w:w="2689" w:type="dxa"/>
            <w:vMerge/>
          </w:tcPr>
          <w:p w14:paraId="0B8C88AA" w14:textId="77777777" w:rsidR="00F67E9E" w:rsidRPr="00651C62" w:rsidRDefault="00F67E9E" w:rsidP="007F74AA">
            <w:pPr>
              <w:pStyle w:val="StdBodyText"/>
              <w:spacing w:before="0" w:after="0"/>
              <w:rPr>
                <w:rFonts w:cs="Arial"/>
                <w:sz w:val="24"/>
              </w:rPr>
            </w:pPr>
          </w:p>
        </w:tc>
        <w:tc>
          <w:tcPr>
            <w:tcW w:w="7483" w:type="dxa"/>
          </w:tcPr>
          <w:p w14:paraId="29638C8B" w14:textId="77777777" w:rsidR="00F67E9E" w:rsidRPr="00651C62" w:rsidRDefault="00F67E9E" w:rsidP="007F74AA">
            <w:pPr>
              <w:pStyle w:val="StdBodyTextBold"/>
              <w:spacing w:before="0" w:after="0"/>
              <w:rPr>
                <w:rFonts w:cs="Arial"/>
                <w:sz w:val="24"/>
              </w:rPr>
            </w:pPr>
            <w:r w:rsidRPr="00651C62">
              <w:rPr>
                <w:rFonts w:cs="Arial"/>
                <w:sz w:val="24"/>
              </w:rPr>
              <w:t>Office Supplies</w:t>
            </w:r>
          </w:p>
          <w:p w14:paraId="6B137F78" w14:textId="77777777" w:rsidR="00F67E9E" w:rsidRPr="008C58BE" w:rsidRDefault="00F67E9E" w:rsidP="007F74AA">
            <w:pPr>
              <w:pStyle w:val="DefinitionList"/>
              <w:numPr>
                <w:ilvl w:val="0"/>
                <w:numId w:val="111"/>
              </w:numPr>
              <w:spacing w:after="0"/>
              <w:rPr>
                <w:sz w:val="24"/>
                <w:szCs w:val="28"/>
              </w:rPr>
            </w:pPr>
            <w:r w:rsidRPr="008C58BE">
              <w:rPr>
                <w:sz w:val="24"/>
                <w:szCs w:val="28"/>
              </w:rPr>
              <w:t>Plastic envelopes</w:t>
            </w:r>
          </w:p>
          <w:p w14:paraId="660E09AA" w14:textId="77777777" w:rsidR="00F67E9E" w:rsidRPr="005F4E68" w:rsidRDefault="00F67E9E" w:rsidP="007F74AA">
            <w:pPr>
              <w:pStyle w:val="DefinitionList"/>
              <w:numPr>
                <w:ilvl w:val="0"/>
                <w:numId w:val="109"/>
              </w:numPr>
              <w:spacing w:after="0"/>
              <w:rPr>
                <w:sz w:val="24"/>
              </w:rPr>
            </w:pPr>
            <w:r w:rsidRPr="005F4E68">
              <w:rPr>
                <w:sz w:val="24"/>
              </w:rPr>
              <w:t xml:space="preserve">Plastic wrapping for </w:t>
            </w:r>
            <w:r w:rsidRPr="00BF2D9D">
              <w:t>brochures</w:t>
            </w:r>
          </w:p>
          <w:p w14:paraId="4395AE53" w14:textId="77777777" w:rsidR="00F67E9E" w:rsidRPr="00651C62" w:rsidRDefault="00F67E9E" w:rsidP="007F74AA">
            <w:pPr>
              <w:pStyle w:val="DefinitionList"/>
              <w:numPr>
                <w:ilvl w:val="0"/>
                <w:numId w:val="109"/>
              </w:numPr>
              <w:spacing w:after="0"/>
              <w:rPr>
                <w:rFonts w:cs="Arial"/>
                <w:sz w:val="24"/>
              </w:rPr>
            </w:pPr>
            <w:r w:rsidRPr="005F4E68">
              <w:rPr>
                <w:sz w:val="24"/>
              </w:rPr>
              <w:t xml:space="preserve">Paper or card </w:t>
            </w:r>
            <w:r w:rsidRPr="00BF2D9D">
              <w:t>which</w:t>
            </w:r>
            <w:r w:rsidRPr="005F4E68">
              <w:rPr>
                <w:sz w:val="24"/>
              </w:rPr>
              <w:t xml:space="preserve"> is bleached with chlorine</w:t>
            </w:r>
          </w:p>
        </w:tc>
      </w:tr>
      <w:tr w:rsidR="00F67E9E" w:rsidRPr="00D10A05" w14:paraId="7269EBFA" w14:textId="77777777" w:rsidTr="007F74AA">
        <w:trPr>
          <w:trHeight w:val="145"/>
        </w:trPr>
        <w:tc>
          <w:tcPr>
            <w:tcW w:w="2689" w:type="dxa"/>
            <w:vMerge/>
          </w:tcPr>
          <w:p w14:paraId="1ADD464C" w14:textId="77777777" w:rsidR="00F67E9E" w:rsidRPr="00D10A05" w:rsidRDefault="00F67E9E" w:rsidP="007F74AA">
            <w:pPr>
              <w:pStyle w:val="StdBodyText"/>
              <w:spacing w:before="0" w:after="0"/>
              <w:rPr>
                <w:rFonts w:cs="Arial"/>
                <w:sz w:val="24"/>
              </w:rPr>
            </w:pPr>
          </w:p>
        </w:tc>
        <w:tc>
          <w:tcPr>
            <w:tcW w:w="7483" w:type="dxa"/>
          </w:tcPr>
          <w:p w14:paraId="35DE9964" w14:textId="77777777" w:rsidR="00F67E9E" w:rsidRPr="00D10A05" w:rsidRDefault="00F67E9E" w:rsidP="007F74AA">
            <w:pPr>
              <w:pStyle w:val="StdBodyTextBold"/>
              <w:spacing w:before="0" w:after="0"/>
              <w:rPr>
                <w:rFonts w:cs="Arial"/>
                <w:sz w:val="24"/>
              </w:rPr>
            </w:pPr>
            <w:r w:rsidRPr="00D10A05">
              <w:rPr>
                <w:rFonts w:cs="Arial"/>
                <w:sz w:val="24"/>
              </w:rPr>
              <w:t>Packaging</w:t>
            </w:r>
          </w:p>
          <w:p w14:paraId="37AF6B9E" w14:textId="77777777" w:rsidR="00F67E9E" w:rsidRPr="008C58BE" w:rsidRDefault="00F67E9E" w:rsidP="007F74AA">
            <w:pPr>
              <w:pStyle w:val="DefinitionList"/>
              <w:numPr>
                <w:ilvl w:val="0"/>
                <w:numId w:val="112"/>
              </w:numPr>
              <w:spacing w:after="0"/>
              <w:rPr>
                <w:sz w:val="24"/>
                <w:szCs w:val="32"/>
              </w:rPr>
            </w:pPr>
            <w:r w:rsidRPr="008C58BE">
              <w:rPr>
                <w:sz w:val="24"/>
                <w:szCs w:val="32"/>
              </w:rPr>
              <w:t>Single use plastic packaging from deliveries where avoidable e.g. shrink wrapped packaging from office supplier or facilities products.</w:t>
            </w:r>
          </w:p>
          <w:p w14:paraId="5FC06184" w14:textId="77777777" w:rsidR="00F67E9E" w:rsidRPr="00D10A05" w:rsidRDefault="00F67E9E" w:rsidP="007F74AA">
            <w:pPr>
              <w:pStyle w:val="DefinitionList"/>
              <w:numPr>
                <w:ilvl w:val="0"/>
                <w:numId w:val="111"/>
              </w:numPr>
              <w:spacing w:after="0"/>
              <w:rPr>
                <w:rFonts w:cs="Arial"/>
                <w:sz w:val="24"/>
              </w:rPr>
            </w:pPr>
            <w:r w:rsidRPr="008C58BE">
              <w:rPr>
                <w:sz w:val="24"/>
                <w:szCs w:val="28"/>
              </w:rPr>
              <w:t>Single use carrier bags</w:t>
            </w:r>
          </w:p>
        </w:tc>
      </w:tr>
      <w:tr w:rsidR="00F67E9E" w:rsidRPr="00D10A05" w14:paraId="5367C427" w14:textId="77777777" w:rsidTr="007F74AA">
        <w:tc>
          <w:tcPr>
            <w:tcW w:w="2689" w:type="dxa"/>
          </w:tcPr>
          <w:p w14:paraId="648ECCA8" w14:textId="77777777" w:rsidR="00F67E9E" w:rsidRPr="00D10A05" w:rsidRDefault="00F67E9E" w:rsidP="007F74AA">
            <w:pPr>
              <w:pStyle w:val="StdBodyTextBold"/>
              <w:spacing w:before="0" w:after="0"/>
              <w:rPr>
                <w:rFonts w:cs="Arial"/>
                <w:sz w:val="24"/>
              </w:rPr>
            </w:pPr>
            <w:r w:rsidRPr="00D10A05">
              <w:rPr>
                <w:rFonts w:cs="Arial"/>
                <w:sz w:val="24"/>
              </w:rPr>
              <w:t>Authority specific Prohibitions</w:t>
            </w:r>
          </w:p>
        </w:tc>
        <w:tc>
          <w:tcPr>
            <w:tcW w:w="7483" w:type="dxa"/>
          </w:tcPr>
          <w:p w14:paraId="554E262B" w14:textId="77777777" w:rsidR="00F67E9E" w:rsidRPr="00A301A6" w:rsidRDefault="00F67E9E" w:rsidP="007F74AA">
            <w:pPr>
              <w:pStyle w:val="StdBodyText"/>
              <w:spacing w:before="0" w:after="120"/>
              <w:rPr>
                <w:rFonts w:cs="Arial"/>
                <w:bCs/>
                <w:iCs/>
                <w:sz w:val="24"/>
                <w:highlight w:val="yellow"/>
              </w:rPr>
            </w:pPr>
            <w:r w:rsidRPr="00A301A6">
              <w:rPr>
                <w:rFonts w:cs="Arial"/>
                <w:bCs/>
                <w:iCs/>
                <w:sz w:val="24"/>
                <w:highlight w:val="yellow"/>
              </w:rPr>
              <w:t>[Authority to consider other items outside of the Cabinet Office 2020 commitment to be prohibited]</w:t>
            </w:r>
          </w:p>
          <w:p w14:paraId="321B10FF" w14:textId="77777777" w:rsidR="00F67E9E" w:rsidRPr="00A301A6" w:rsidRDefault="00F67E9E" w:rsidP="007F74AA">
            <w:pPr>
              <w:pStyle w:val="StdBodyText"/>
              <w:spacing w:before="0" w:after="0"/>
              <w:rPr>
                <w:rFonts w:cs="Arial"/>
                <w:bCs/>
                <w:iCs/>
                <w:sz w:val="24"/>
                <w:highlight w:val="yellow"/>
              </w:rPr>
            </w:pPr>
            <w:r w:rsidRPr="00A301A6">
              <w:rPr>
                <w:rFonts w:cs="Arial"/>
                <w:bCs/>
                <w:iCs/>
                <w:sz w:val="24"/>
                <w:highlight w:val="yellow"/>
              </w:rPr>
              <w:t xml:space="preserve">[Conflict minerals as defined by the </w:t>
            </w:r>
            <w:hyperlink r:id="rId42" w:history="1">
              <w:r w:rsidRPr="00A301A6">
                <w:rPr>
                  <w:rStyle w:val="Hyperlink"/>
                  <w:rFonts w:cs="Arial"/>
                  <w:bCs/>
                  <w:iCs/>
                  <w:sz w:val="24"/>
                  <w:highlight w:val="yellow"/>
                </w:rPr>
                <w:t>https://www.gov.uk/guidance/conflict-minerals</w:t>
              </w:r>
            </w:hyperlink>
            <w:r w:rsidRPr="00A301A6">
              <w:rPr>
                <w:rFonts w:cs="Arial"/>
                <w:bCs/>
                <w:iCs/>
                <w:sz w:val="24"/>
                <w:highlight w:val="yellow"/>
              </w:rPr>
              <w:t>, E.g. non-recyclable plastic pens]</w:t>
            </w:r>
          </w:p>
        </w:tc>
      </w:tr>
      <w:tr w:rsidR="00F67E9E" w:rsidRPr="00D10A05" w14:paraId="7C738155" w14:textId="77777777" w:rsidTr="007F74AA">
        <w:tc>
          <w:tcPr>
            <w:tcW w:w="2689" w:type="dxa"/>
          </w:tcPr>
          <w:p w14:paraId="4EDCEAE0" w14:textId="77777777" w:rsidR="00F67E9E" w:rsidRPr="00D10A05" w:rsidRDefault="00F67E9E" w:rsidP="007F74AA">
            <w:pPr>
              <w:pStyle w:val="StdBodyTextBold"/>
              <w:spacing w:before="0" w:after="0"/>
              <w:rPr>
                <w:rFonts w:cs="Arial"/>
                <w:sz w:val="24"/>
              </w:rPr>
            </w:pPr>
            <w:r w:rsidRPr="00D10A05">
              <w:rPr>
                <w:rFonts w:cs="Arial"/>
                <w:sz w:val="24"/>
              </w:rPr>
              <w:t>Project specific Prohibitions</w:t>
            </w:r>
          </w:p>
        </w:tc>
        <w:tc>
          <w:tcPr>
            <w:tcW w:w="7483" w:type="dxa"/>
          </w:tcPr>
          <w:p w14:paraId="0C2B83FF" w14:textId="77777777" w:rsidR="00F67E9E" w:rsidRPr="00A301A6" w:rsidRDefault="00F67E9E" w:rsidP="007F74AA">
            <w:pPr>
              <w:pStyle w:val="StdBodyText"/>
              <w:spacing w:before="0" w:after="0"/>
              <w:rPr>
                <w:rFonts w:cs="Arial"/>
                <w:bCs/>
                <w:iCs/>
                <w:sz w:val="24"/>
              </w:rPr>
            </w:pPr>
            <w:r w:rsidRPr="00B73DD6">
              <w:rPr>
                <w:rFonts w:cs="Arial"/>
                <w:b/>
                <w:iCs/>
                <w:sz w:val="24"/>
                <w:highlight w:val="yellow"/>
              </w:rPr>
              <w:t>[insert</w:t>
            </w:r>
            <w:r w:rsidRPr="00A301A6">
              <w:rPr>
                <w:rFonts w:cs="Arial"/>
                <w:bCs/>
                <w:iCs/>
                <w:sz w:val="24"/>
                <w:highlight w:val="yellow"/>
              </w:rPr>
              <w:t xml:space="preserve"> items specific to the project which you wish to prohibit use of for sustainability reasons]</w:t>
            </w:r>
          </w:p>
        </w:tc>
      </w:tr>
    </w:tbl>
    <w:p w14:paraId="7635A6D1" w14:textId="77777777" w:rsidR="00F67E9E" w:rsidRPr="00A11D6F" w:rsidRDefault="00F67E9E" w:rsidP="00F67E9E">
      <w:pPr>
        <w:rPr>
          <w:rFonts w:cs="Arial"/>
          <w:bCs/>
          <w:szCs w:val="24"/>
        </w:rPr>
      </w:pPr>
    </w:p>
    <w:p w14:paraId="034D9365" w14:textId="77777777" w:rsidR="00F67E9E" w:rsidRPr="000038E2" w:rsidRDefault="00F67E9E" w:rsidP="00F67E9E">
      <w:pPr>
        <w:pStyle w:val="Heading3"/>
      </w:pPr>
      <w:bookmarkStart w:id="477" w:name="Schedule4TableB"/>
      <w:bookmarkStart w:id="478" w:name="_9kR3WTrAG89HEaJfifw5q8LTu3my2t5Z8H9HTF0"/>
      <w:r w:rsidRPr="000038E2">
        <w:t>Table</w:t>
      </w:r>
      <w:r>
        <w:t> </w:t>
      </w:r>
      <w:r w:rsidRPr="000038E2">
        <w:t>B</w:t>
      </w:r>
      <w:bookmarkEnd w:id="477"/>
      <w:r w:rsidRPr="000038E2">
        <w:t xml:space="preserve"> – Permitted Items</w:t>
      </w:r>
      <w:bookmarkEnd w:id="478"/>
    </w:p>
    <w:tbl>
      <w:tblPr>
        <w:tblStyle w:val="TableGrid"/>
        <w:tblW w:w="10200" w:type="dxa"/>
        <w:tblCellMar>
          <w:top w:w="57" w:type="dxa"/>
          <w:left w:w="57" w:type="dxa"/>
          <w:bottom w:w="57" w:type="dxa"/>
          <w:right w:w="57" w:type="dxa"/>
        </w:tblCellMar>
        <w:tblLook w:val="04A0" w:firstRow="1" w:lastRow="0" w:firstColumn="1" w:lastColumn="0" w:noHBand="0" w:noVBand="1"/>
      </w:tblPr>
      <w:tblGrid>
        <w:gridCol w:w="1696"/>
        <w:gridCol w:w="8504"/>
      </w:tblGrid>
      <w:tr w:rsidR="00F67E9E" w:rsidRPr="00D10A05" w14:paraId="509762AB" w14:textId="77777777" w:rsidTr="007F74AA">
        <w:tc>
          <w:tcPr>
            <w:tcW w:w="1696" w:type="dxa"/>
            <w:tcBorders>
              <w:bottom w:val="single" w:sz="4" w:space="0" w:color="auto"/>
            </w:tcBorders>
          </w:tcPr>
          <w:p w14:paraId="521C39B8" w14:textId="77777777" w:rsidR="00F67E9E" w:rsidRPr="00D10A05" w:rsidRDefault="00F67E9E" w:rsidP="007F74AA">
            <w:pPr>
              <w:pStyle w:val="StdBodyTextBold"/>
              <w:spacing w:before="0" w:after="0"/>
              <w:rPr>
                <w:rFonts w:cs="Arial"/>
                <w:sz w:val="24"/>
              </w:rPr>
            </w:pPr>
            <w:r w:rsidRPr="00D10A05">
              <w:rPr>
                <w:rFonts w:cs="Arial"/>
                <w:sz w:val="24"/>
              </w:rPr>
              <w:t xml:space="preserve">Authority Permitted Items </w:t>
            </w:r>
          </w:p>
        </w:tc>
        <w:tc>
          <w:tcPr>
            <w:tcW w:w="8504" w:type="dxa"/>
            <w:tcBorders>
              <w:bottom w:val="single" w:sz="4" w:space="0" w:color="auto"/>
            </w:tcBorders>
          </w:tcPr>
          <w:p w14:paraId="1FDF323F" w14:textId="77777777" w:rsidR="00F67E9E" w:rsidRPr="009716A7" w:rsidRDefault="00F67E9E" w:rsidP="007F74AA">
            <w:pPr>
              <w:pStyle w:val="StdBodyText"/>
              <w:spacing w:before="0" w:after="0"/>
              <w:rPr>
                <w:rFonts w:cs="Arial"/>
                <w:bCs/>
                <w:iCs/>
                <w:sz w:val="24"/>
                <w:highlight w:val="yellow"/>
              </w:rPr>
            </w:pPr>
            <w:r w:rsidRPr="009716A7">
              <w:rPr>
                <w:rFonts w:cs="Arial"/>
                <w:bCs/>
                <w:iCs/>
                <w:sz w:val="24"/>
                <w:highlight w:val="yellow"/>
              </w:rPr>
              <w:t>[Authority to consider whether there are other items which it may wish to expressly authorise]</w:t>
            </w:r>
          </w:p>
        </w:tc>
      </w:tr>
      <w:tr w:rsidR="00F67E9E" w:rsidRPr="00D10A05" w14:paraId="02C6B0A0" w14:textId="77777777" w:rsidTr="007F74AA">
        <w:tc>
          <w:tcPr>
            <w:tcW w:w="1696" w:type="dxa"/>
            <w:tcBorders>
              <w:bottom w:val="single" w:sz="4" w:space="0" w:color="auto"/>
            </w:tcBorders>
          </w:tcPr>
          <w:p w14:paraId="5AB11469" w14:textId="77777777" w:rsidR="00F67E9E" w:rsidRPr="00D10A05" w:rsidRDefault="00F67E9E" w:rsidP="007F74AA">
            <w:pPr>
              <w:pStyle w:val="StdBodyTextBold"/>
              <w:spacing w:before="0" w:after="0"/>
              <w:rPr>
                <w:rFonts w:cs="Arial"/>
                <w:sz w:val="24"/>
              </w:rPr>
            </w:pPr>
            <w:r w:rsidRPr="00D10A05">
              <w:rPr>
                <w:rFonts w:cs="Arial"/>
                <w:sz w:val="24"/>
              </w:rPr>
              <w:t>Project Specific Permitted Items</w:t>
            </w:r>
          </w:p>
        </w:tc>
        <w:tc>
          <w:tcPr>
            <w:tcW w:w="8504" w:type="dxa"/>
            <w:tcBorders>
              <w:bottom w:val="single" w:sz="4" w:space="0" w:color="auto"/>
            </w:tcBorders>
          </w:tcPr>
          <w:p w14:paraId="5668D543" w14:textId="77777777" w:rsidR="00F67E9E" w:rsidRPr="009716A7" w:rsidRDefault="00F67E9E" w:rsidP="007F74AA">
            <w:pPr>
              <w:pStyle w:val="StdBodyText"/>
              <w:spacing w:before="0" w:after="120"/>
              <w:rPr>
                <w:rFonts w:cs="Arial"/>
                <w:bCs/>
                <w:iCs/>
                <w:sz w:val="24"/>
                <w:highlight w:val="yellow"/>
              </w:rPr>
            </w:pPr>
            <w:r w:rsidRPr="009716A7">
              <w:rPr>
                <w:rFonts w:cs="Arial"/>
                <w:bCs/>
                <w:iCs/>
                <w:sz w:val="24"/>
                <w:highlight w:val="yellow"/>
              </w:rPr>
              <w:t>[A market consultation should be undertaken before issuing the ITT to ensure that necessary items are not precluded from this project.</w:t>
            </w:r>
          </w:p>
          <w:p w14:paraId="0ECA525F" w14:textId="77777777" w:rsidR="00F67E9E" w:rsidRPr="009716A7" w:rsidRDefault="00F67E9E" w:rsidP="007F74AA">
            <w:pPr>
              <w:pStyle w:val="StdBodyText"/>
              <w:spacing w:before="0" w:after="0"/>
              <w:rPr>
                <w:rFonts w:cs="Arial"/>
                <w:bCs/>
                <w:iCs/>
                <w:sz w:val="24"/>
                <w:highlight w:val="yellow"/>
              </w:rPr>
            </w:pPr>
            <w:r w:rsidRPr="009716A7">
              <w:rPr>
                <w:rFonts w:cs="Arial"/>
                <w:bCs/>
                <w:iCs/>
                <w:sz w:val="24"/>
                <w:highlight w:val="yellow"/>
              </w:rPr>
              <w:t>Items should be permitted for operational, technical, economic, or environmental reasons. The Authority should include the circumstances that the prohibition should not apply if the exception should apply in only limited instances.]</w:t>
            </w:r>
          </w:p>
        </w:tc>
      </w:tr>
    </w:tbl>
    <w:p w14:paraId="1B72A0C0" w14:textId="77777777" w:rsidR="00F67E9E" w:rsidRDefault="00F67E9E" w:rsidP="00F67E9E"/>
    <w:p w14:paraId="178DA931" w14:textId="77777777" w:rsidR="00F67E9E" w:rsidRPr="000038E2" w:rsidRDefault="00F67E9E" w:rsidP="00F67E9E">
      <w:pPr>
        <w:pStyle w:val="Heading3"/>
      </w:pPr>
      <w:bookmarkStart w:id="479" w:name="Schedule4TableC"/>
      <w:bookmarkStart w:id="480" w:name="_9kR3WTrAG89HGcJfifw5q8LTu3my2u9sPP8yC5u"/>
      <w:r w:rsidRPr="000038E2">
        <w:t>Table</w:t>
      </w:r>
      <w:r>
        <w:t> </w:t>
      </w:r>
      <w:r w:rsidRPr="000038E2">
        <w:t>C</w:t>
      </w:r>
      <w:bookmarkEnd w:id="479"/>
      <w:r w:rsidRPr="000038E2">
        <w:t xml:space="preserve"> – Sustainability Reports</w:t>
      </w:r>
      <w:bookmarkEnd w:id="480"/>
    </w:p>
    <w:p w14:paraId="30A07333" w14:textId="77777777" w:rsidR="00F67E9E" w:rsidRPr="009716A7" w:rsidRDefault="00F67E9E" w:rsidP="00F67E9E">
      <w:pPr>
        <w:pStyle w:val="StdBodyText"/>
        <w:rPr>
          <w:rFonts w:cs="Arial"/>
          <w:bCs/>
          <w:iCs/>
          <w:highlight w:val="yellow"/>
        </w:rPr>
      </w:pPr>
      <w:r w:rsidRPr="009716A7">
        <w:rPr>
          <w:rFonts w:cs="Arial"/>
          <w:b/>
          <w:iCs/>
          <w:spacing w:val="-2"/>
          <w:highlight w:val="yellow"/>
        </w:rPr>
        <w:t>[</w:t>
      </w:r>
      <w:r w:rsidRPr="002F232A">
        <w:rPr>
          <w:rFonts w:cs="Arial"/>
          <w:b/>
          <w:i/>
          <w:spacing w:val="-2"/>
          <w:highlight w:val="yellow"/>
        </w:rPr>
        <w:t>Guidance</w:t>
      </w:r>
      <w:r>
        <w:rPr>
          <w:rFonts w:cs="Arial"/>
          <w:b/>
          <w:i/>
          <w:spacing w:val="-2"/>
          <w:highlight w:val="yellow"/>
        </w:rPr>
        <w:t xml:space="preserve"> note:</w:t>
      </w:r>
      <w:r w:rsidRPr="00140BDF">
        <w:rPr>
          <w:rFonts w:cs="Arial"/>
          <w:b/>
          <w:i/>
          <w:spacing w:val="-2"/>
          <w:highlight w:val="yellow"/>
        </w:rPr>
        <w:t xml:space="preserve"> All reports and the content of these reports in Table C are optional. Authorities</w:t>
      </w:r>
      <w:r w:rsidRPr="00140BDF">
        <w:rPr>
          <w:rFonts w:cs="Arial"/>
          <w:b/>
          <w:i/>
          <w:highlight w:val="yellow"/>
        </w:rPr>
        <w:t xml:space="preserve"> will want to select and amend those reports and requirements which are appropriate for their Contract, ensuring that these are relevant and proportional to the subject matter of the Contract and do not create unnecessary burdens upon the Supplier.]</w:t>
      </w:r>
    </w:p>
    <w:tbl>
      <w:tblPr>
        <w:tblStyle w:val="MSATable-header"/>
        <w:tblW w:w="10204" w:type="dxa"/>
        <w:tblLook w:val="0620" w:firstRow="1" w:lastRow="0" w:firstColumn="0" w:lastColumn="0" w:noHBand="1" w:noVBand="1"/>
      </w:tblPr>
      <w:tblGrid>
        <w:gridCol w:w="1984"/>
        <w:gridCol w:w="5669"/>
        <w:gridCol w:w="2551"/>
      </w:tblGrid>
      <w:tr w:rsidR="00F67E9E" w:rsidRPr="005E541B" w14:paraId="375D5921" w14:textId="77777777" w:rsidTr="007F74AA">
        <w:trPr>
          <w:cnfStyle w:val="100000000000" w:firstRow="1" w:lastRow="0" w:firstColumn="0" w:lastColumn="0" w:oddVBand="0" w:evenVBand="0" w:oddHBand="0" w:evenHBand="0" w:firstRowFirstColumn="0" w:firstRowLastColumn="0" w:lastRowFirstColumn="0" w:lastRowLastColumn="0"/>
          <w:tblHeader/>
        </w:trPr>
        <w:tc>
          <w:tcPr>
            <w:tcW w:w="1984" w:type="dxa"/>
            <w:vAlign w:val="bottom"/>
          </w:tcPr>
          <w:p w14:paraId="1670406D" w14:textId="77777777" w:rsidR="00F67E9E" w:rsidRPr="005E541B" w:rsidRDefault="00F67E9E" w:rsidP="007F74AA">
            <w:pPr>
              <w:pStyle w:val="StdBodyTextBold"/>
              <w:spacing w:before="0" w:after="0"/>
              <w:rPr>
                <w:rFonts w:cs="Arial"/>
                <w:b/>
                <w:bCs/>
              </w:rPr>
            </w:pPr>
            <w:r w:rsidRPr="005E541B">
              <w:rPr>
                <w:rFonts w:cs="Arial"/>
                <w:b/>
                <w:bCs/>
              </w:rPr>
              <w:t>Sustainability Report Name</w:t>
            </w:r>
          </w:p>
        </w:tc>
        <w:tc>
          <w:tcPr>
            <w:tcW w:w="5669" w:type="dxa"/>
            <w:vAlign w:val="bottom"/>
          </w:tcPr>
          <w:p w14:paraId="6B64415A" w14:textId="77777777" w:rsidR="00F67E9E" w:rsidRPr="005E541B" w:rsidRDefault="00F67E9E" w:rsidP="007F74AA">
            <w:pPr>
              <w:pStyle w:val="StdBodyTextBold"/>
              <w:spacing w:before="0" w:after="0"/>
              <w:rPr>
                <w:rFonts w:cs="Arial"/>
                <w:b/>
                <w:bCs/>
              </w:rPr>
            </w:pPr>
            <w:r w:rsidRPr="005E541B">
              <w:rPr>
                <w:rFonts w:cs="Arial"/>
                <w:b/>
                <w:bCs/>
              </w:rPr>
              <w:t>Content of Report</w:t>
            </w:r>
          </w:p>
        </w:tc>
        <w:tc>
          <w:tcPr>
            <w:tcW w:w="2551" w:type="dxa"/>
            <w:vAlign w:val="bottom"/>
          </w:tcPr>
          <w:p w14:paraId="002C1CE6" w14:textId="77777777" w:rsidR="00F67E9E" w:rsidRPr="005E541B" w:rsidRDefault="00F67E9E" w:rsidP="007F74AA">
            <w:pPr>
              <w:pStyle w:val="StdBodyTextBold"/>
              <w:spacing w:before="0" w:after="0"/>
              <w:rPr>
                <w:rFonts w:cs="Arial"/>
                <w:b/>
                <w:bCs/>
              </w:rPr>
            </w:pPr>
            <w:r w:rsidRPr="005E541B">
              <w:rPr>
                <w:rFonts w:cs="Arial"/>
                <w:b/>
                <w:bCs/>
              </w:rPr>
              <w:t>Frequency of Report</w:t>
            </w:r>
          </w:p>
        </w:tc>
      </w:tr>
      <w:tr w:rsidR="00F67E9E" w:rsidRPr="00651C62" w14:paraId="74F38D91" w14:textId="77777777" w:rsidTr="007F74AA">
        <w:tc>
          <w:tcPr>
            <w:tcW w:w="1984" w:type="dxa"/>
          </w:tcPr>
          <w:p w14:paraId="13311BF6" w14:textId="77777777" w:rsidR="00F67E9E" w:rsidRPr="00293A7A" w:rsidRDefault="00F67E9E" w:rsidP="007F74AA">
            <w:pPr>
              <w:pStyle w:val="StdBodyTextBold"/>
              <w:spacing w:before="0" w:after="0"/>
              <w:rPr>
                <w:rFonts w:cs="Arial"/>
                <w:highlight w:val="yellow"/>
              </w:rPr>
            </w:pPr>
            <w:r w:rsidRPr="00293A7A">
              <w:rPr>
                <w:rFonts w:cs="Arial"/>
                <w:highlight w:val="yellow"/>
              </w:rPr>
              <w:t>[Sustainability - General]</w:t>
            </w:r>
          </w:p>
        </w:tc>
        <w:tc>
          <w:tcPr>
            <w:tcW w:w="5669" w:type="dxa"/>
          </w:tcPr>
          <w:p w14:paraId="5E0A6D7A" w14:textId="77777777" w:rsidR="00F67E9E" w:rsidRPr="00293A7A" w:rsidRDefault="00F67E9E" w:rsidP="007F74AA">
            <w:pPr>
              <w:pStyle w:val="StdBodyText"/>
              <w:spacing w:before="0" w:after="0"/>
              <w:rPr>
                <w:highlight w:val="yellow"/>
              </w:rPr>
            </w:pPr>
            <w:r w:rsidRPr="00293A7A">
              <w:rPr>
                <w:highlight w:val="yellow"/>
              </w:rPr>
              <w:t>[as proportionate and relevant to the Contract, the key sustainability impacts identified; the sustainability improvements planned or delivered; and the risks to the Services of climate change, including mitigation, adaptation and continuity plans employed by the Supplier in response to those risks].</w:t>
            </w:r>
          </w:p>
        </w:tc>
        <w:tc>
          <w:tcPr>
            <w:tcW w:w="2551" w:type="dxa"/>
          </w:tcPr>
          <w:p w14:paraId="5116DB9A" w14:textId="77777777" w:rsidR="00F67E9E" w:rsidRPr="00293A7A" w:rsidRDefault="00F67E9E" w:rsidP="007F74AA">
            <w:pPr>
              <w:pStyle w:val="StdBodyText"/>
              <w:spacing w:before="0" w:after="0"/>
              <w:rPr>
                <w:rFonts w:cs="Arial"/>
                <w:highlight w:val="yellow"/>
              </w:rPr>
            </w:pPr>
            <w:r w:rsidRPr="00293A7A">
              <w:rPr>
                <w:rFonts w:cs="Arial"/>
                <w:highlight w:val="yellow"/>
              </w:rPr>
              <w:t>[On the anniversary of the Effective Date]</w:t>
            </w:r>
          </w:p>
        </w:tc>
      </w:tr>
      <w:tr w:rsidR="00F67E9E" w:rsidRPr="00651C62" w14:paraId="113B5463" w14:textId="77777777" w:rsidTr="007F74AA">
        <w:tc>
          <w:tcPr>
            <w:tcW w:w="1984" w:type="dxa"/>
          </w:tcPr>
          <w:p w14:paraId="3E8ADFB9" w14:textId="77777777" w:rsidR="00F67E9E" w:rsidRPr="00293A7A" w:rsidRDefault="00F67E9E" w:rsidP="007F74AA">
            <w:pPr>
              <w:pStyle w:val="StdBodyTextBold"/>
              <w:spacing w:before="0" w:after="0"/>
              <w:rPr>
                <w:rFonts w:cs="Arial"/>
                <w:highlight w:val="yellow"/>
              </w:rPr>
            </w:pPr>
            <w:r w:rsidRPr="00293A7A">
              <w:rPr>
                <w:rFonts w:cs="Arial"/>
                <w:highlight w:val="yellow"/>
              </w:rPr>
              <w:t>[Waste created]</w:t>
            </w:r>
          </w:p>
        </w:tc>
        <w:tc>
          <w:tcPr>
            <w:tcW w:w="5669" w:type="dxa"/>
          </w:tcPr>
          <w:p w14:paraId="70B59359" w14:textId="77777777" w:rsidR="00F67E9E" w:rsidRPr="00293A7A" w:rsidRDefault="00F67E9E" w:rsidP="007F74AA">
            <w:pPr>
              <w:pStyle w:val="StdBodyText"/>
              <w:spacing w:before="0" w:after="0"/>
              <w:rPr>
                <w:rFonts w:cs="Arial"/>
                <w:highlight w:val="yellow"/>
              </w:rPr>
            </w:pPr>
            <w:r w:rsidRPr="00293A7A">
              <w:rPr>
                <w:rFonts w:cs="Arial"/>
                <w:highlight w:val="yellow"/>
              </w:rPr>
              <w:t>[By type of material the weight of waste categories by each means of disposal in the Waste Hierarchy with separate figures for disposal by incineration and landfill.]</w:t>
            </w:r>
          </w:p>
        </w:tc>
        <w:tc>
          <w:tcPr>
            <w:tcW w:w="2551" w:type="dxa"/>
          </w:tcPr>
          <w:p w14:paraId="00E2A0B1" w14:textId="77777777" w:rsidR="00F67E9E" w:rsidRPr="00293A7A" w:rsidRDefault="00F67E9E" w:rsidP="007F74AA">
            <w:pPr>
              <w:pStyle w:val="StdBodyText"/>
              <w:spacing w:before="0" w:after="0"/>
              <w:rPr>
                <w:rFonts w:cs="Arial"/>
                <w:highlight w:val="yellow"/>
              </w:rPr>
            </w:pPr>
            <w:r w:rsidRPr="00293A7A">
              <w:rPr>
                <w:rFonts w:cs="Arial"/>
                <w:highlight w:val="yellow"/>
              </w:rPr>
              <w:t>[Before contract award and on the anniversary of the Effective Date.]</w:t>
            </w:r>
          </w:p>
        </w:tc>
      </w:tr>
      <w:tr w:rsidR="00F67E9E" w:rsidRPr="00651C62" w14:paraId="194396D1" w14:textId="77777777" w:rsidTr="007F74AA">
        <w:tc>
          <w:tcPr>
            <w:tcW w:w="1984" w:type="dxa"/>
          </w:tcPr>
          <w:p w14:paraId="2C210247" w14:textId="77777777" w:rsidR="00F67E9E" w:rsidRPr="00293A7A" w:rsidRDefault="00F67E9E" w:rsidP="007F74AA">
            <w:pPr>
              <w:pStyle w:val="StdBodyTextBold"/>
              <w:spacing w:before="0" w:after="0"/>
              <w:rPr>
                <w:rFonts w:cs="Arial"/>
                <w:highlight w:val="yellow"/>
              </w:rPr>
            </w:pPr>
            <w:r w:rsidRPr="00293A7A">
              <w:rPr>
                <w:rFonts w:cs="Arial"/>
                <w:highlight w:val="yellow"/>
              </w:rPr>
              <w:t>[Waste permits]</w:t>
            </w:r>
          </w:p>
        </w:tc>
        <w:tc>
          <w:tcPr>
            <w:tcW w:w="5669" w:type="dxa"/>
          </w:tcPr>
          <w:p w14:paraId="0961387F" w14:textId="77777777" w:rsidR="00F67E9E" w:rsidRPr="00293A7A" w:rsidRDefault="00F67E9E" w:rsidP="007F74AA">
            <w:pPr>
              <w:pStyle w:val="StdBodyText"/>
              <w:spacing w:before="0" w:after="0"/>
              <w:rPr>
                <w:rFonts w:cs="Arial"/>
                <w:highlight w:val="yellow"/>
              </w:rPr>
            </w:pPr>
            <w:r w:rsidRPr="00293A7A">
              <w:rPr>
                <w:rFonts w:cs="Arial"/>
                <w:highlight w:val="yellow"/>
              </w:rPr>
              <w:t>[Copies of relevant permits and exemptions for waste, handling, storage and disposal.]</w:t>
            </w:r>
          </w:p>
        </w:tc>
        <w:tc>
          <w:tcPr>
            <w:tcW w:w="2551" w:type="dxa"/>
          </w:tcPr>
          <w:p w14:paraId="71C12209" w14:textId="77777777" w:rsidR="00F67E9E" w:rsidRPr="00293A7A" w:rsidRDefault="00F67E9E" w:rsidP="007F74AA">
            <w:pPr>
              <w:pStyle w:val="StdBodyText"/>
              <w:spacing w:before="0" w:after="0"/>
              <w:rPr>
                <w:rFonts w:cs="Arial"/>
                <w:highlight w:val="yellow"/>
              </w:rPr>
            </w:pPr>
            <w:r w:rsidRPr="00293A7A">
              <w:rPr>
                <w:rFonts w:cs="Arial"/>
                <w:highlight w:val="yellow"/>
              </w:rPr>
              <w:t>[Before the Effective Date, on the anniversary of the Effective Date and within ten (10) Working Days of there is any change or renewal to license or exemption to carry, store or dispose waste]</w:t>
            </w:r>
          </w:p>
        </w:tc>
      </w:tr>
      <w:tr w:rsidR="00F67E9E" w:rsidRPr="00651C62" w14:paraId="40137E7A" w14:textId="77777777" w:rsidTr="007F74AA">
        <w:tc>
          <w:tcPr>
            <w:tcW w:w="1984" w:type="dxa"/>
          </w:tcPr>
          <w:p w14:paraId="50FD7C35" w14:textId="77777777" w:rsidR="00F67E9E" w:rsidRPr="00293A7A" w:rsidRDefault="00F67E9E" w:rsidP="007F74AA">
            <w:pPr>
              <w:pStyle w:val="StdBodyTextBold"/>
              <w:spacing w:before="0" w:after="0"/>
              <w:rPr>
                <w:rFonts w:cs="Arial"/>
                <w:highlight w:val="yellow"/>
              </w:rPr>
            </w:pPr>
            <w:r w:rsidRPr="00293A7A">
              <w:rPr>
                <w:rFonts w:cs="Arial"/>
                <w:highlight w:val="yellow"/>
              </w:rPr>
              <w:t>[Greenhouse Gas Emissions]</w:t>
            </w:r>
          </w:p>
        </w:tc>
        <w:tc>
          <w:tcPr>
            <w:tcW w:w="5669" w:type="dxa"/>
          </w:tcPr>
          <w:p w14:paraId="2792E482" w14:textId="77777777" w:rsidR="00F67E9E" w:rsidRPr="00293A7A" w:rsidRDefault="00F67E9E" w:rsidP="007F74AA">
            <w:pPr>
              <w:pStyle w:val="StdBodyText"/>
              <w:spacing w:before="0" w:after="0"/>
              <w:rPr>
                <w:rFonts w:cs="Arial"/>
                <w:highlight w:val="yellow"/>
              </w:rPr>
            </w:pPr>
            <w:r w:rsidRPr="00293A7A">
              <w:rPr>
                <w:rFonts w:cs="Arial"/>
                <w:highlight w:val="yellow"/>
              </w:rPr>
              <w:t>[Detail the Scope 1 and Scope 2 GHG emissions associated with the delivery of the contract.</w:t>
            </w:r>
          </w:p>
          <w:p w14:paraId="49550E3E" w14:textId="77777777" w:rsidR="00F67E9E" w:rsidRPr="00293A7A" w:rsidRDefault="00F67E9E" w:rsidP="007F74AA">
            <w:pPr>
              <w:pStyle w:val="StdBodyText"/>
              <w:spacing w:before="0" w:after="120"/>
              <w:rPr>
                <w:rFonts w:cs="Arial"/>
                <w:highlight w:val="yellow"/>
              </w:rPr>
            </w:pPr>
            <w:r w:rsidRPr="00293A7A">
              <w:rPr>
                <w:rFonts w:cs="Arial"/>
                <w:highlight w:val="yellow"/>
              </w:rPr>
              <w:t>Scope 3 emissions to be reported as required (Optional)</w:t>
            </w:r>
          </w:p>
          <w:p w14:paraId="5F103125" w14:textId="77777777" w:rsidR="00F67E9E" w:rsidRPr="00293A7A" w:rsidRDefault="00F67E9E" w:rsidP="007F74AA">
            <w:pPr>
              <w:pStyle w:val="StdBodyText"/>
              <w:spacing w:before="0" w:after="120"/>
              <w:rPr>
                <w:rFonts w:cs="Arial"/>
                <w:highlight w:val="yellow"/>
              </w:rPr>
            </w:pPr>
            <w:r w:rsidRPr="00293A7A">
              <w:rPr>
                <w:rFonts w:cs="Arial"/>
                <w:highlight w:val="yellow"/>
              </w:rPr>
              <w:t xml:space="preserve">Emissions reporting should be in accordance with established best practice and internationally accepted standards. </w:t>
            </w:r>
          </w:p>
          <w:p w14:paraId="0B3A435E" w14:textId="77777777" w:rsidR="00F67E9E" w:rsidRPr="00293A7A" w:rsidRDefault="00F67E9E" w:rsidP="007F74AA">
            <w:pPr>
              <w:pStyle w:val="StdBodyText"/>
              <w:spacing w:before="0" w:after="0"/>
              <w:rPr>
                <w:rFonts w:cs="Arial"/>
                <w:highlight w:val="yellow"/>
              </w:rPr>
            </w:pPr>
            <w:r w:rsidRPr="00293A7A">
              <w:rPr>
                <w:rFonts w:cs="Arial"/>
                <w:highlight w:val="yellow"/>
              </w:rPr>
              <w:t>Greenhouse gas reporting from emissions sources (Scope 1, Scope 2 and Scope 3), and specific activities as requested by the Authority. This may include activities such as transportation, energy use and waste disposal.]</w:t>
            </w:r>
          </w:p>
        </w:tc>
        <w:tc>
          <w:tcPr>
            <w:tcW w:w="2551" w:type="dxa"/>
          </w:tcPr>
          <w:p w14:paraId="55372857" w14:textId="77777777" w:rsidR="00F67E9E" w:rsidRPr="00293A7A" w:rsidRDefault="00F67E9E" w:rsidP="007F74AA">
            <w:pPr>
              <w:pStyle w:val="StdBodyText"/>
              <w:spacing w:before="0" w:after="0"/>
              <w:rPr>
                <w:rFonts w:cs="Arial"/>
                <w:highlight w:val="yellow"/>
              </w:rPr>
            </w:pPr>
            <w:r w:rsidRPr="00293A7A">
              <w:rPr>
                <w:rFonts w:cs="Arial"/>
                <w:highlight w:val="yellow"/>
              </w:rPr>
              <w:t>[On the anniversary of the Effective Date]</w:t>
            </w:r>
          </w:p>
        </w:tc>
      </w:tr>
      <w:tr w:rsidR="00F67E9E" w:rsidRPr="00651C62" w14:paraId="2B3F947F" w14:textId="77777777" w:rsidTr="007F74AA">
        <w:tc>
          <w:tcPr>
            <w:tcW w:w="1984" w:type="dxa"/>
          </w:tcPr>
          <w:p w14:paraId="46E7E53D" w14:textId="77777777" w:rsidR="00F67E9E" w:rsidRPr="00293A7A" w:rsidRDefault="00F67E9E" w:rsidP="007F74AA">
            <w:pPr>
              <w:pStyle w:val="StdBodyTextBold"/>
              <w:spacing w:before="0" w:after="0"/>
              <w:rPr>
                <w:rFonts w:cs="Arial"/>
                <w:highlight w:val="yellow"/>
              </w:rPr>
            </w:pPr>
            <w:r w:rsidRPr="00293A7A">
              <w:rPr>
                <w:rFonts w:cs="Arial"/>
                <w:highlight w:val="yellow"/>
              </w:rPr>
              <w:t>[Water Use]</w:t>
            </w:r>
          </w:p>
        </w:tc>
        <w:tc>
          <w:tcPr>
            <w:tcW w:w="5669" w:type="dxa"/>
          </w:tcPr>
          <w:p w14:paraId="4952239C" w14:textId="77777777" w:rsidR="00F67E9E" w:rsidRPr="00293A7A" w:rsidRDefault="00F67E9E" w:rsidP="007F74AA">
            <w:pPr>
              <w:pStyle w:val="StdBodyText"/>
              <w:spacing w:before="0" w:after="0"/>
              <w:rPr>
                <w:rFonts w:cs="Arial"/>
                <w:highlight w:val="yellow"/>
              </w:rPr>
            </w:pPr>
            <w:r w:rsidRPr="00293A7A">
              <w:rPr>
                <w:rFonts w:cs="Arial"/>
                <w:highlight w:val="yellow"/>
              </w:rPr>
              <w:t>[Volume in metres cubed.]</w:t>
            </w:r>
          </w:p>
        </w:tc>
        <w:tc>
          <w:tcPr>
            <w:tcW w:w="2551" w:type="dxa"/>
          </w:tcPr>
          <w:p w14:paraId="6F2CF854" w14:textId="77777777" w:rsidR="00F67E9E" w:rsidRPr="00293A7A" w:rsidRDefault="00F67E9E" w:rsidP="007F74AA">
            <w:pPr>
              <w:pStyle w:val="StdBodyText"/>
              <w:spacing w:before="0" w:after="0"/>
              <w:rPr>
                <w:rFonts w:cs="Arial"/>
                <w:highlight w:val="yellow"/>
              </w:rPr>
            </w:pPr>
            <w:r w:rsidRPr="00293A7A">
              <w:rPr>
                <w:rFonts w:cs="Arial"/>
                <w:highlight w:val="yellow"/>
              </w:rPr>
              <w:t>[On the anniversary of the Effective Date]</w:t>
            </w:r>
          </w:p>
        </w:tc>
      </w:tr>
      <w:tr w:rsidR="00F67E9E" w:rsidRPr="00651C62" w14:paraId="7503D80B" w14:textId="77777777" w:rsidTr="007F74AA">
        <w:tc>
          <w:tcPr>
            <w:tcW w:w="1984" w:type="dxa"/>
          </w:tcPr>
          <w:p w14:paraId="413087DB" w14:textId="77777777" w:rsidR="00F67E9E" w:rsidRPr="00456753" w:rsidRDefault="00F67E9E" w:rsidP="007F74AA">
            <w:pPr>
              <w:pStyle w:val="StdBodyTextBold"/>
              <w:spacing w:before="0" w:after="0"/>
              <w:rPr>
                <w:rFonts w:cs="Arial"/>
                <w:highlight w:val="yellow"/>
              </w:rPr>
            </w:pPr>
            <w:r w:rsidRPr="00456753">
              <w:rPr>
                <w:rFonts w:cs="Arial"/>
                <w:highlight w:val="yellow"/>
              </w:rPr>
              <w:t>[Other]</w:t>
            </w:r>
          </w:p>
        </w:tc>
        <w:tc>
          <w:tcPr>
            <w:tcW w:w="5669" w:type="dxa"/>
          </w:tcPr>
          <w:p w14:paraId="7DD8AD7A" w14:textId="77777777" w:rsidR="00F67E9E" w:rsidRPr="00456753" w:rsidRDefault="00F67E9E" w:rsidP="007F74AA">
            <w:pPr>
              <w:pStyle w:val="StdBodyText"/>
              <w:spacing w:before="0" w:after="0"/>
              <w:rPr>
                <w:rFonts w:cs="Arial"/>
                <w:highlight w:val="yellow"/>
              </w:rPr>
            </w:pPr>
            <w:r w:rsidRPr="00A8169B">
              <w:rPr>
                <w:rFonts w:cs="Arial"/>
                <w:highlight w:val="yellow"/>
              </w:rPr>
              <w:t>[    ]</w:t>
            </w:r>
          </w:p>
        </w:tc>
        <w:tc>
          <w:tcPr>
            <w:tcW w:w="2551" w:type="dxa"/>
          </w:tcPr>
          <w:p w14:paraId="7C84281D" w14:textId="77777777" w:rsidR="00F67E9E" w:rsidRPr="00456753" w:rsidRDefault="00F67E9E" w:rsidP="007F74AA">
            <w:pPr>
              <w:pStyle w:val="StdBodyText"/>
              <w:spacing w:before="0" w:after="0"/>
              <w:rPr>
                <w:rFonts w:cs="Arial"/>
              </w:rPr>
            </w:pPr>
            <w:r w:rsidRPr="00456753">
              <w:rPr>
                <w:rFonts w:cs="Arial"/>
                <w:highlight w:val="yellow"/>
              </w:rPr>
              <w:t>[    ]</w:t>
            </w:r>
          </w:p>
        </w:tc>
      </w:tr>
    </w:tbl>
    <w:p w14:paraId="2F841369" w14:textId="77777777" w:rsidR="00F67E9E" w:rsidRDefault="00F67E9E" w:rsidP="00F67E9E"/>
    <w:p w14:paraId="78E96EE5" w14:textId="77777777" w:rsidR="00F67E9E" w:rsidRDefault="00F67E9E" w:rsidP="00F67E9E"/>
    <w:p w14:paraId="2E503989" w14:textId="77777777" w:rsidR="00F67E9E" w:rsidRDefault="00F67E9E" w:rsidP="00F67E9E">
      <w:pPr>
        <w:sectPr w:rsidR="00F67E9E" w:rsidSect="00240D26">
          <w:headerReference w:type="default" r:id="rId43"/>
          <w:footerReference w:type="default" r:id="rId44"/>
          <w:headerReference w:type="first" r:id="rId45"/>
          <w:footerReference w:type="first" r:id="rId46"/>
          <w:pgSz w:w="11900" w:h="16840" w:code="9"/>
          <w:pgMar w:top="1701" w:right="851" w:bottom="1134" w:left="851" w:header="567" w:footer="567" w:gutter="0"/>
          <w:cols w:space="720"/>
          <w:docGrid w:linePitch="360"/>
        </w:sectPr>
      </w:pPr>
    </w:p>
    <w:p w14:paraId="56BBF770" w14:textId="77777777" w:rsidR="00F67E9E" w:rsidRPr="007C55B2" w:rsidRDefault="00F67E9E" w:rsidP="00F67E9E">
      <w:pPr>
        <w:pStyle w:val="Dividername"/>
      </w:pPr>
      <w:r w:rsidRPr="007C55B2">
        <w:t>Schedule 5</w:t>
      </w:r>
    </w:p>
    <w:p w14:paraId="04106626" w14:textId="77777777" w:rsidR="00F67E9E" w:rsidRPr="007C55B2" w:rsidRDefault="00F67E9E" w:rsidP="00F67E9E">
      <w:pPr>
        <w:pStyle w:val="Dividername"/>
      </w:pPr>
      <w:r w:rsidRPr="007C55B2">
        <w:t>Security Management</w:t>
      </w:r>
    </w:p>
    <w:p w14:paraId="042B66D9" w14:textId="77777777" w:rsidR="00F67E9E" w:rsidRDefault="00F67E9E" w:rsidP="00F67E9E"/>
    <w:p w14:paraId="1015384D" w14:textId="77777777" w:rsidR="00F67E9E" w:rsidRPr="005D0525" w:rsidRDefault="00F67E9E" w:rsidP="00F67E9E">
      <w:pPr>
        <w:pStyle w:val="Heading1"/>
      </w:pPr>
      <w:bookmarkStart w:id="481" w:name="Schedule5"/>
      <w:bookmarkStart w:id="482" w:name="_Ref92199339"/>
      <w:bookmarkStart w:id="483" w:name="_Toc141711908"/>
      <w:r w:rsidRPr="005D0525">
        <w:t>Schedule</w:t>
      </w:r>
      <w:r>
        <w:t> </w:t>
      </w:r>
      <w:r w:rsidRPr="005D0525">
        <w:t>5</w:t>
      </w:r>
      <w:bookmarkEnd w:id="481"/>
      <w:r>
        <w:t xml:space="preserve">: </w:t>
      </w:r>
      <w:bookmarkStart w:id="484" w:name="Schedule5Heading"/>
      <w:r w:rsidRPr="00F97284">
        <w:t>Security Management</w:t>
      </w:r>
      <w:bookmarkEnd w:id="482"/>
      <w:bookmarkEnd w:id="483"/>
      <w:bookmarkEnd w:id="484"/>
    </w:p>
    <w:p w14:paraId="191D8E8F" w14:textId="77777777" w:rsidR="00F67E9E" w:rsidRPr="00523735" w:rsidRDefault="00F67E9E" w:rsidP="00F67E9E">
      <w:pPr>
        <w:pStyle w:val="StdBodyText"/>
        <w:rPr>
          <w:rStyle w:val="StdBodyTextBoldChar"/>
          <w:rFonts w:cs="Arial"/>
          <w:i/>
          <w:highlight w:val="yellow"/>
        </w:rPr>
      </w:pPr>
      <w:r w:rsidRPr="00523735">
        <w:rPr>
          <w:rFonts w:cs="Arial"/>
          <w:b/>
          <w:i/>
          <w:highlight w:val="yellow"/>
        </w:rPr>
        <w:t>[</w:t>
      </w:r>
      <w:r w:rsidRPr="00523735">
        <w:rPr>
          <w:rStyle w:val="StdBodyTextBoldChar"/>
          <w:rFonts w:cs="Arial"/>
          <w:i/>
          <w:highlight w:val="yellow"/>
        </w:rPr>
        <w:t>Guidance</w:t>
      </w:r>
    </w:p>
    <w:p w14:paraId="1DF2BA59" w14:textId="77777777" w:rsidR="00F67E9E" w:rsidRPr="001A7A9E" w:rsidRDefault="00F67E9E" w:rsidP="00F67E9E">
      <w:pPr>
        <w:pStyle w:val="Guidancenumbered"/>
        <w:numPr>
          <w:ilvl w:val="0"/>
          <w:numId w:val="113"/>
        </w:numPr>
        <w:rPr>
          <w:highlight w:val="yellow"/>
        </w:rPr>
      </w:pPr>
      <w:r w:rsidRPr="001A7A9E">
        <w:rPr>
          <w:highlight w:val="yellow"/>
        </w:rPr>
        <w:t>This Schedule was provided by the Cabinet Office Commercial Information Assurance team who have provided two alternative Security procedures for HMG replacing the legacy long and short form Security Schedules:</w:t>
      </w:r>
    </w:p>
    <w:p w14:paraId="03E3BD3B" w14:textId="490C9D03" w:rsidR="00F67E9E" w:rsidRPr="00DC04FB" w:rsidRDefault="00F67E9E" w:rsidP="00F67E9E">
      <w:pPr>
        <w:pStyle w:val="Numbered111a"/>
        <w:tabs>
          <w:tab w:val="num" w:pos="720"/>
        </w:tabs>
        <w:ind w:left="1440"/>
        <w:rPr>
          <w:b/>
          <w:bCs/>
          <w:i/>
          <w:iCs/>
          <w:highlight w:val="yellow"/>
        </w:rPr>
      </w:pPr>
      <w:r w:rsidRPr="00A23F8C">
        <w:rPr>
          <w:b/>
          <w:bCs/>
          <w:i/>
          <w:iCs/>
          <w:highlight w:val="yellow"/>
        </w:rPr>
        <w:fldChar w:fldCharType="begin"/>
      </w:r>
      <w:r w:rsidRPr="00A23F8C">
        <w:rPr>
          <w:b/>
          <w:bCs/>
          <w:i/>
          <w:iCs/>
          <w:highlight w:val="yellow"/>
        </w:rPr>
        <w:instrText xml:space="preserve"> REF Sch5PartA \h  \* MERGEFORMAT </w:instrText>
      </w:r>
      <w:r w:rsidRPr="00A23F8C">
        <w:rPr>
          <w:b/>
          <w:bCs/>
          <w:i/>
          <w:iCs/>
          <w:highlight w:val="yellow"/>
        </w:rPr>
      </w:r>
      <w:r w:rsidRPr="00A23F8C">
        <w:rPr>
          <w:b/>
          <w:bCs/>
          <w:i/>
          <w:iCs/>
          <w:highlight w:val="yellow"/>
        </w:rPr>
        <w:fldChar w:fldCharType="separate"/>
      </w:r>
      <w:r w:rsidR="00302D39" w:rsidRPr="00302D39">
        <w:rPr>
          <w:b/>
          <w:bCs/>
          <w:i/>
          <w:iCs/>
          <w:highlight w:val="yellow"/>
        </w:rPr>
        <w:t>Part A</w:t>
      </w:r>
      <w:r w:rsidRPr="00A23F8C">
        <w:rPr>
          <w:b/>
          <w:bCs/>
          <w:i/>
          <w:iCs/>
          <w:highlight w:val="yellow"/>
        </w:rPr>
        <w:fldChar w:fldCharType="end"/>
      </w:r>
      <w:r w:rsidRPr="00A23F8C">
        <w:rPr>
          <w:b/>
          <w:bCs/>
          <w:i/>
          <w:iCs/>
          <w:highlight w:val="yellow"/>
        </w:rPr>
        <w:t xml:space="preserve"> to this </w:t>
      </w:r>
      <w:r w:rsidRPr="00DC04FB">
        <w:rPr>
          <w:b/>
          <w:bCs/>
          <w:i/>
          <w:iCs/>
          <w:highlight w:val="yellow"/>
        </w:rPr>
        <w:t xml:space="preserve">Schedule - Security Assurance </w:t>
      </w:r>
    </w:p>
    <w:p w14:paraId="52DF2C31" w14:textId="471A1AE4" w:rsidR="00F67E9E" w:rsidRPr="00DC04FB" w:rsidRDefault="00F67E9E" w:rsidP="00F67E9E">
      <w:pPr>
        <w:pStyle w:val="Numbered111a"/>
        <w:ind w:left="1440"/>
        <w:rPr>
          <w:b/>
          <w:bCs/>
          <w:i/>
          <w:iCs/>
          <w:highlight w:val="yellow"/>
        </w:rPr>
      </w:pPr>
      <w:r w:rsidRPr="00DC04FB">
        <w:rPr>
          <w:b/>
          <w:bCs/>
          <w:i/>
          <w:iCs/>
          <w:highlight w:val="yellow"/>
        </w:rPr>
        <w:fldChar w:fldCharType="begin"/>
      </w:r>
      <w:r w:rsidRPr="00DC04FB">
        <w:rPr>
          <w:b/>
          <w:bCs/>
          <w:i/>
          <w:iCs/>
          <w:highlight w:val="yellow"/>
        </w:rPr>
        <w:instrText xml:space="preserve"> REF Sch5PartB \h  \* MERGEFORMAT </w:instrText>
      </w:r>
      <w:r w:rsidRPr="00DC04FB">
        <w:rPr>
          <w:b/>
          <w:bCs/>
          <w:i/>
          <w:iCs/>
          <w:highlight w:val="yellow"/>
        </w:rPr>
      </w:r>
      <w:r w:rsidRPr="00DC04FB">
        <w:rPr>
          <w:b/>
          <w:bCs/>
          <w:i/>
          <w:iCs/>
          <w:highlight w:val="yellow"/>
        </w:rPr>
        <w:fldChar w:fldCharType="separate"/>
      </w:r>
      <w:r w:rsidR="00302D39" w:rsidRPr="00302D39">
        <w:rPr>
          <w:b/>
          <w:bCs/>
          <w:i/>
          <w:iCs/>
          <w:highlight w:val="yellow"/>
        </w:rPr>
        <w:t>Part B</w:t>
      </w:r>
      <w:r w:rsidRPr="00DC04FB">
        <w:rPr>
          <w:b/>
          <w:bCs/>
          <w:i/>
          <w:iCs/>
          <w:highlight w:val="yellow"/>
        </w:rPr>
        <w:fldChar w:fldCharType="end"/>
      </w:r>
      <w:r w:rsidRPr="00DC04FB">
        <w:rPr>
          <w:b/>
          <w:bCs/>
          <w:i/>
          <w:iCs/>
          <w:highlight w:val="yellow"/>
        </w:rPr>
        <w:t xml:space="preserve"> to this Schedule - Security Accreditation </w:t>
      </w:r>
    </w:p>
    <w:p w14:paraId="56AF30A3" w14:textId="77777777" w:rsidR="00F67E9E" w:rsidRPr="0047109F" w:rsidRDefault="00F67E9E" w:rsidP="00F67E9E">
      <w:pPr>
        <w:pStyle w:val="Guidancenumbered"/>
        <w:numPr>
          <w:ilvl w:val="0"/>
          <w:numId w:val="113"/>
        </w:numPr>
        <w:rPr>
          <w:highlight w:val="yellow"/>
        </w:rPr>
      </w:pPr>
      <w:r w:rsidRPr="0047109F">
        <w:rPr>
          <w:highlight w:val="yellow"/>
        </w:rPr>
        <w:t>The essential difference between the two versions of this Schedule is that the Accreditation version requires the Authority to directly assess the security of the systems used to Process Authority Data. The Assurance Schedule requires less Authority involvement in that review process. In the Assurance Schedule, the decision whether or not to allow the Supplier to Process Authority Data is based on a desktop review of the Supplier’s Security Management Plan. The decision whether to use the Assurance or Accreditation version of the Schedule depends mainly on the quantity and nature of the Authority Data which the Supplier will Process. In addition, the Authority will need to consider whether it possesses, or has access to, the technical capability to perform the accreditation role.</w:t>
      </w:r>
    </w:p>
    <w:p w14:paraId="19E9B914" w14:textId="77777777" w:rsidR="00F67E9E" w:rsidRPr="0047109F" w:rsidRDefault="00F67E9E" w:rsidP="00F67E9E">
      <w:pPr>
        <w:pStyle w:val="Guidancenumbered"/>
        <w:numPr>
          <w:ilvl w:val="0"/>
          <w:numId w:val="113"/>
        </w:numPr>
        <w:rPr>
          <w:highlight w:val="yellow"/>
        </w:rPr>
      </w:pPr>
      <w:bookmarkStart w:id="485" w:name="_Ref44570566"/>
      <w:r w:rsidRPr="0047109F">
        <w:rPr>
          <w:highlight w:val="yellow"/>
        </w:rPr>
        <w:t>The Authority or organisation running the procurement will need to consider several definitions used in the versions of this Schedule and adapt them to the Services being provided. The Schedule incorporates a series of “flow downs” to different categories of Sub-contractor to ensure that those bodies contribute to the Supplier’s compliance with the obligations in this Schedule. These are:</w:t>
      </w:r>
      <w:bookmarkEnd w:id="485"/>
    </w:p>
    <w:p w14:paraId="366E0244" w14:textId="6E7F703D" w:rsidR="00F67E9E" w:rsidRPr="009C0668" w:rsidRDefault="00F67E9E" w:rsidP="00F67E9E">
      <w:pPr>
        <w:pStyle w:val="Numbered111ai"/>
        <w:numPr>
          <w:ilvl w:val="4"/>
          <w:numId w:val="298"/>
        </w:numPr>
        <w:tabs>
          <w:tab w:val="num" w:pos="-2160"/>
        </w:tabs>
        <w:ind w:left="1440"/>
        <w:rPr>
          <w:b/>
          <w:bCs/>
          <w:i/>
          <w:iCs/>
          <w:highlight w:val="yellow"/>
        </w:rPr>
      </w:pPr>
      <w:r w:rsidRPr="009C0668">
        <w:rPr>
          <w:b/>
          <w:bCs/>
          <w:i/>
          <w:iCs/>
          <w:highlight w:val="yellow"/>
        </w:rPr>
        <w:t xml:space="preserve">All Sub-contractors that Process Authority Data. These Sub-contractors must comply with the Sub-contractor Security Requirements in Annex </w:t>
      </w:r>
      <w:r w:rsidRPr="009C0668">
        <w:rPr>
          <w:b/>
          <w:bCs/>
          <w:i/>
          <w:iCs/>
          <w:highlight w:val="yellow"/>
        </w:rPr>
        <w:fldChar w:fldCharType="begin"/>
      </w:r>
      <w:r w:rsidRPr="009C0668">
        <w:rPr>
          <w:b/>
          <w:bCs/>
          <w:i/>
          <w:iCs/>
          <w:highlight w:val="yellow"/>
        </w:rPr>
        <w:instrText xml:space="preserve"> REF ANNEX2_PARTA_SCHEDULE5 \h  \* MERGEFORMAT </w:instrText>
      </w:r>
      <w:r w:rsidRPr="009C0668">
        <w:rPr>
          <w:b/>
          <w:bCs/>
          <w:i/>
          <w:iCs/>
          <w:highlight w:val="yellow"/>
        </w:rPr>
      </w:r>
      <w:r w:rsidRPr="009C0668">
        <w:rPr>
          <w:b/>
          <w:bCs/>
          <w:i/>
          <w:iCs/>
          <w:highlight w:val="yellow"/>
        </w:rPr>
        <w:fldChar w:fldCharType="separate"/>
      </w:r>
      <w:r w:rsidR="00302D39" w:rsidRPr="00302D39">
        <w:rPr>
          <w:b/>
          <w:bCs/>
          <w:i/>
          <w:iCs/>
          <w:highlight w:val="yellow"/>
        </w:rPr>
        <w:t>2</w:t>
      </w:r>
      <w:r w:rsidRPr="009C0668">
        <w:rPr>
          <w:b/>
          <w:bCs/>
          <w:i/>
          <w:iCs/>
          <w:highlight w:val="yellow"/>
        </w:rPr>
        <w:fldChar w:fldCharType="end"/>
      </w:r>
      <w:r w:rsidRPr="009C0668">
        <w:rPr>
          <w:b/>
          <w:bCs/>
          <w:i/>
          <w:iCs/>
          <w:highlight w:val="yellow"/>
        </w:rPr>
        <w:t>. The Authority must check that these requirements are appropriate to the full range of Sub-contractors that will Process Authority Data.</w:t>
      </w:r>
    </w:p>
    <w:p w14:paraId="3559C7EA" w14:textId="77777777" w:rsidR="00F67E9E" w:rsidRPr="009C0668" w:rsidRDefault="00F67E9E" w:rsidP="00F67E9E">
      <w:pPr>
        <w:pStyle w:val="Numbered111ai"/>
        <w:numPr>
          <w:ilvl w:val="4"/>
          <w:numId w:val="298"/>
        </w:numPr>
        <w:tabs>
          <w:tab w:val="num" w:pos="-2160"/>
        </w:tabs>
        <w:ind w:left="1440"/>
        <w:rPr>
          <w:b/>
          <w:i/>
          <w:highlight w:val="yellow"/>
        </w:rPr>
      </w:pPr>
      <w:r w:rsidRPr="009C0668">
        <w:rPr>
          <w:b/>
          <w:i/>
          <w:highlight w:val="yellow"/>
        </w:rPr>
        <w:t>Higher Risk Sub-contractors. These Sub-contractors are subject to a requirement to be certified to ISO/IEC 27001(at least ISO/IEC 27001:2013) and/or to possess HMG’s Cyber Essentials Plus certification. The Authority will need to consider the nature and quantity of Authority Data being Processed under the contract to determine the threshold for designating a Sub-contractor as a Higher Risk Sub-contractor.</w:t>
      </w:r>
    </w:p>
    <w:p w14:paraId="50573459" w14:textId="77777777" w:rsidR="00F67E9E" w:rsidRPr="009C0668" w:rsidRDefault="00F67E9E" w:rsidP="00F67E9E">
      <w:pPr>
        <w:pStyle w:val="Numbered111ai"/>
        <w:numPr>
          <w:ilvl w:val="4"/>
          <w:numId w:val="298"/>
        </w:numPr>
        <w:tabs>
          <w:tab w:val="num" w:pos="-2160"/>
        </w:tabs>
        <w:ind w:left="1440"/>
        <w:rPr>
          <w:b/>
          <w:i/>
          <w:highlight w:val="yellow"/>
        </w:rPr>
      </w:pPr>
      <w:r w:rsidRPr="009C0668">
        <w:rPr>
          <w:b/>
          <w:i/>
          <w:highlight w:val="yellow"/>
        </w:rPr>
        <w:t>Medium Risk Sub-contractors. These Sub-contractors require certification under the Cyber Essentials scheme. Again, the Authority will need to determine the threshold for designation.</w:t>
      </w:r>
    </w:p>
    <w:p w14:paraId="3C801A17" w14:textId="77777777" w:rsidR="00F67E9E" w:rsidRPr="00DC04FB" w:rsidRDefault="00F67E9E" w:rsidP="00F67E9E">
      <w:pPr>
        <w:pStyle w:val="Guidancenumbered"/>
        <w:numPr>
          <w:ilvl w:val="0"/>
          <w:numId w:val="113"/>
        </w:numPr>
        <w:rPr>
          <w:b w:val="0"/>
          <w:bCs/>
          <w:i w:val="0"/>
          <w:iCs/>
          <w:highlight w:val="yellow"/>
        </w:rPr>
      </w:pPr>
      <w:r w:rsidRPr="00DC04FB">
        <w:rPr>
          <w:bCs/>
          <w:iCs/>
          <w:highlight w:val="yellow"/>
        </w:rPr>
        <w:t>For the accreditation version, the CIMS Sub-contractor. This is defined in the Schedule as “a Sub-contractor that provides or operates the whole, or a substantial part, of the Core Information Management System”. The Authority will need to consider whether it will allow the Supplier to subcontract this element of the requirement. This is an aspect it will need to consider as part of its engagement with the Supplier as part of its pre-contract engagement. If the Authority will not allow such subcontracting to occur, it will need to amend the Schedule accordingly.</w:t>
      </w:r>
    </w:p>
    <w:p w14:paraId="1975C371" w14:textId="76942571" w:rsidR="00F67E9E" w:rsidRPr="00DC04FB" w:rsidRDefault="00F67E9E" w:rsidP="00F67E9E">
      <w:pPr>
        <w:pStyle w:val="Guidancenumbered"/>
        <w:numPr>
          <w:ilvl w:val="0"/>
          <w:numId w:val="113"/>
        </w:numPr>
        <w:rPr>
          <w:highlight w:val="yellow"/>
        </w:rPr>
      </w:pPr>
      <w:bookmarkStart w:id="486" w:name="_Ref_ContractCompanion_9kb9Us78B"/>
      <w:r w:rsidRPr="00DC04FB">
        <w:rPr>
          <w:highlight w:val="yellow"/>
        </w:rPr>
        <w:t xml:space="preserve">The “Baseline Security Requirements” set out in Annex </w:t>
      </w:r>
      <w:r w:rsidRPr="00DC04FB">
        <w:rPr>
          <w:highlight w:val="yellow"/>
        </w:rPr>
        <w:fldChar w:fldCharType="begin"/>
      </w:r>
      <w:r w:rsidRPr="00DC04FB">
        <w:rPr>
          <w:highlight w:val="yellow"/>
        </w:rPr>
        <w:instrText xml:space="preserve"> REF ANNEX1_SCHEDULE5 \h  \* MERGEFORMAT </w:instrText>
      </w:r>
      <w:r w:rsidRPr="00DC04FB">
        <w:rPr>
          <w:highlight w:val="yellow"/>
        </w:rPr>
      </w:r>
      <w:r w:rsidRPr="00DC04FB">
        <w:rPr>
          <w:highlight w:val="yellow"/>
        </w:rPr>
        <w:fldChar w:fldCharType="separate"/>
      </w:r>
      <w:r w:rsidR="00302D39" w:rsidRPr="00302D39">
        <w:rPr>
          <w:highlight w:val="yellow"/>
        </w:rPr>
        <w:t>1</w:t>
      </w:r>
      <w:r w:rsidRPr="00DC04FB">
        <w:rPr>
          <w:highlight w:val="yellow"/>
        </w:rPr>
        <w:fldChar w:fldCharType="end"/>
      </w:r>
      <w:r w:rsidRPr="00DC04FB">
        <w:rPr>
          <w:highlight w:val="yellow"/>
        </w:rPr>
        <w:t xml:space="preserve"> to this Schedule require review prior before issuing to bidders to ensure that all necessary security requirements are documented, and each of the requirements is clearly expressed and appropriate for the Services which are to be provided. In particular, the Authority should review the National Cyber Security Centre Cloud Security Principles to determine what implementation approach for each of those principles it will require.</w:t>
      </w:r>
      <w:bookmarkEnd w:id="486"/>
    </w:p>
    <w:p w14:paraId="55D78CC8" w14:textId="77777777" w:rsidR="00F67E9E" w:rsidRPr="00DC04FB" w:rsidRDefault="00F67E9E" w:rsidP="00F67E9E">
      <w:pPr>
        <w:pStyle w:val="Guidancenumbered"/>
        <w:numPr>
          <w:ilvl w:val="0"/>
          <w:numId w:val="113"/>
        </w:numPr>
        <w:rPr>
          <w:highlight w:val="yellow"/>
        </w:rPr>
      </w:pPr>
      <w:r w:rsidRPr="00DC04FB">
        <w:rPr>
          <w:highlight w:val="yellow"/>
        </w:rPr>
        <w:t>The Authority will need to check the text that is in square brackets. These relate mainly to timeframes and dates for the provision of information or reports by the Supplier or for decisions by the Authority. The Authority will need to ensure that these dates are consistent with its plans for the implementation of the services and that it has sufficient allocated resource to make the appropriate decisions within the timeframes it specifies.</w:t>
      </w:r>
    </w:p>
    <w:p w14:paraId="4940C07A" w14:textId="53B0A9DE" w:rsidR="00F67E9E" w:rsidRPr="00DC04FB" w:rsidRDefault="00F67E9E" w:rsidP="00F67E9E">
      <w:pPr>
        <w:pStyle w:val="Guidancenumbered"/>
        <w:numPr>
          <w:ilvl w:val="0"/>
          <w:numId w:val="113"/>
        </w:numPr>
        <w:rPr>
          <w:highlight w:val="yellow"/>
        </w:rPr>
      </w:pPr>
      <w:r w:rsidRPr="00DC04FB">
        <w:rPr>
          <w:highlight w:val="yellow"/>
        </w:rPr>
        <w:t xml:space="preserve">This Schedule does not deal specifically with the Processing of Personal Data but documents the Protective Measures in place to secure compliance with that requirement of the UK GDPR or EU GDPR, as applicable. The Authority will need to ensure that the relevant provisions of the contract (i.e., </w:t>
      </w:r>
      <w:bookmarkStart w:id="487" w:name="_9kR3WTr2CC58DOChrAv6J"/>
      <w:bookmarkStart w:id="488" w:name="_9kR3WTr2CC58FQChrAv6J"/>
      <w:r w:rsidRPr="00DC04FB">
        <w:rPr>
          <w:highlight w:val="yellow"/>
        </w:rPr>
        <w:t xml:space="preserve">Clause </w:t>
      </w:r>
      <w:bookmarkEnd w:id="487"/>
      <w:bookmarkEnd w:id="488"/>
      <w:r w:rsidRPr="00DC04FB">
        <w:rPr>
          <w:highlight w:val="yellow"/>
        </w:rPr>
        <w:t xml:space="preserve">21 and </w:t>
      </w:r>
      <w:r w:rsidRPr="00DC04FB">
        <w:rPr>
          <w:highlight w:val="yellow"/>
        </w:rPr>
        <w:fldChar w:fldCharType="begin"/>
      </w:r>
      <w:r w:rsidRPr="00DC04FB">
        <w:rPr>
          <w:highlight w:val="yellow"/>
        </w:rPr>
        <w:instrText xml:space="preserve"> REF _Ref92200097 \h  \* MERGEFORMAT </w:instrText>
      </w:r>
      <w:r w:rsidRPr="00DC04FB">
        <w:rPr>
          <w:highlight w:val="yellow"/>
        </w:rPr>
      </w:r>
      <w:r w:rsidRPr="00DC04FB">
        <w:rPr>
          <w:highlight w:val="yellow"/>
        </w:rPr>
        <w:fldChar w:fldCharType="separate"/>
      </w:r>
      <w:r w:rsidR="00302D39" w:rsidRPr="00302D39">
        <w:rPr>
          <w:highlight w:val="yellow"/>
        </w:rPr>
        <w:t>Schedule 31: Processing Personal Data</w:t>
      </w:r>
      <w:r w:rsidRPr="00DC04FB">
        <w:rPr>
          <w:highlight w:val="yellow"/>
        </w:rPr>
        <w:fldChar w:fldCharType="end"/>
      </w:r>
      <w:r w:rsidRPr="00DC04FB">
        <w:rPr>
          <w:highlight w:val="yellow"/>
        </w:rPr>
        <w:t xml:space="preserve">) accurately reflect the Controller and Processor relationships in the Contract. </w:t>
      </w:r>
    </w:p>
    <w:p w14:paraId="5424F0C5" w14:textId="0E49C734" w:rsidR="00F67E9E" w:rsidRPr="00DC04FB" w:rsidRDefault="00F67E9E" w:rsidP="00F67E9E">
      <w:pPr>
        <w:pStyle w:val="Guidancenumbered"/>
        <w:numPr>
          <w:ilvl w:val="0"/>
          <w:numId w:val="113"/>
        </w:numPr>
        <w:rPr>
          <w:highlight w:val="yellow"/>
        </w:rPr>
      </w:pPr>
      <w:r w:rsidRPr="00DC04FB">
        <w:rPr>
          <w:highlight w:val="yellow"/>
        </w:rPr>
        <w:t xml:space="preserve">As the default position, this version of </w:t>
      </w:r>
      <w:r w:rsidRPr="0027261A">
        <w:rPr>
          <w:highlight w:val="yellow"/>
        </w:rPr>
        <w:fldChar w:fldCharType="begin"/>
      </w:r>
      <w:r w:rsidRPr="0027261A">
        <w:rPr>
          <w:highlight w:val="yellow"/>
        </w:rPr>
        <w:instrText xml:space="preserve"> REF Schedule5 \h </w:instrText>
      </w:r>
      <w:r>
        <w:rPr>
          <w:highlight w:val="yellow"/>
        </w:rPr>
        <w:instrText xml:space="preserve"> \* MERGEFORMAT </w:instrText>
      </w:r>
      <w:r w:rsidRPr="0027261A">
        <w:rPr>
          <w:highlight w:val="yellow"/>
        </w:rPr>
      </w:r>
      <w:r w:rsidRPr="0027261A">
        <w:rPr>
          <w:highlight w:val="yellow"/>
        </w:rPr>
        <w:fldChar w:fldCharType="separate"/>
      </w:r>
      <w:r w:rsidR="00302D39" w:rsidRPr="00302D39">
        <w:rPr>
          <w:highlight w:val="yellow"/>
        </w:rPr>
        <w:t>Schedule 5</w:t>
      </w:r>
      <w:r w:rsidRPr="0027261A">
        <w:rPr>
          <w:highlight w:val="yellow"/>
        </w:rPr>
        <w:fldChar w:fldCharType="end"/>
      </w:r>
      <w:r w:rsidRPr="0027261A">
        <w:rPr>
          <w:highlight w:val="yellow"/>
        </w:rPr>
        <w:t xml:space="preserve"> (</w:t>
      </w:r>
      <w:r w:rsidRPr="0027261A">
        <w:rPr>
          <w:i w:val="0"/>
          <w:iCs/>
          <w:highlight w:val="yellow"/>
        </w:rPr>
        <w:fldChar w:fldCharType="begin"/>
      </w:r>
      <w:r w:rsidRPr="0027261A">
        <w:rPr>
          <w:i w:val="0"/>
          <w:iCs/>
          <w:highlight w:val="yellow"/>
        </w:rPr>
        <w:instrText xml:space="preserve"> REF Schedule5Heading \h  \* MERGEFORMAT </w:instrText>
      </w:r>
      <w:r w:rsidRPr="0027261A">
        <w:rPr>
          <w:i w:val="0"/>
          <w:iCs/>
          <w:highlight w:val="yellow"/>
        </w:rPr>
      </w:r>
      <w:r w:rsidRPr="0027261A">
        <w:rPr>
          <w:i w:val="0"/>
          <w:iCs/>
          <w:highlight w:val="yellow"/>
        </w:rPr>
        <w:fldChar w:fldCharType="separate"/>
      </w:r>
      <w:r w:rsidR="00302D39" w:rsidRPr="00302D39">
        <w:rPr>
          <w:iCs/>
          <w:highlight w:val="yellow"/>
        </w:rPr>
        <w:t>Security Management</w:t>
      </w:r>
      <w:r w:rsidRPr="0027261A">
        <w:rPr>
          <w:i w:val="0"/>
          <w:iCs/>
          <w:highlight w:val="yellow"/>
        </w:rPr>
        <w:fldChar w:fldCharType="end"/>
      </w:r>
      <w:r w:rsidRPr="0027261A">
        <w:rPr>
          <w:highlight w:val="yellow"/>
        </w:rPr>
        <w:t>)</w:t>
      </w:r>
      <w:r w:rsidRPr="00DC04FB">
        <w:rPr>
          <w:highlight w:val="yellow"/>
        </w:rPr>
        <w:t xml:space="preserve"> requires that all Processing of Authority Data must take place in the UK (see </w:t>
      </w:r>
      <w:r w:rsidRPr="00DC04FB">
        <w:rPr>
          <w:highlight w:val="yellow"/>
        </w:rPr>
        <w:fldChar w:fldCharType="begin"/>
      </w:r>
      <w:r w:rsidRPr="00DC04FB">
        <w:rPr>
          <w:highlight w:val="yellow"/>
        </w:rPr>
        <w:instrText xml:space="preserve"> REF Sch3Ann1PartA \h  \* MERGEFORMAT </w:instrText>
      </w:r>
      <w:r w:rsidRPr="00DC04FB">
        <w:rPr>
          <w:highlight w:val="yellow"/>
        </w:rPr>
      </w:r>
      <w:r w:rsidRPr="00DC04FB">
        <w:rPr>
          <w:highlight w:val="yellow"/>
        </w:rPr>
        <w:fldChar w:fldCharType="separate"/>
      </w:r>
      <w:r w:rsidR="00302D39" w:rsidRPr="00302D39">
        <w:rPr>
          <w:highlight w:val="yellow"/>
        </w:rPr>
        <w:t>Part A</w:t>
      </w:r>
      <w:r w:rsidRPr="00DC04FB">
        <w:rPr>
          <w:highlight w:val="yellow"/>
        </w:rPr>
        <w:fldChar w:fldCharType="end"/>
      </w:r>
      <w:r w:rsidRPr="00DC04FB">
        <w:rPr>
          <w:highlight w:val="yellow"/>
        </w:rPr>
        <w:t xml:space="preserve">, Annex </w:t>
      </w:r>
      <w:r w:rsidRPr="00DC04FB">
        <w:rPr>
          <w:highlight w:val="yellow"/>
        </w:rPr>
        <w:fldChar w:fldCharType="begin"/>
      </w:r>
      <w:r w:rsidRPr="00DC04FB">
        <w:rPr>
          <w:highlight w:val="yellow"/>
        </w:rPr>
        <w:instrText xml:space="preserve"> REF ANNEX1_PARTA_SCHEDULE5 \h  \* MERGEFORMAT </w:instrText>
      </w:r>
      <w:r w:rsidRPr="00DC04FB">
        <w:rPr>
          <w:highlight w:val="yellow"/>
        </w:rPr>
      </w:r>
      <w:r w:rsidRPr="00DC04FB">
        <w:rPr>
          <w:highlight w:val="yellow"/>
        </w:rPr>
        <w:fldChar w:fldCharType="separate"/>
      </w:r>
      <w:r w:rsidR="00302D39" w:rsidRPr="00302D39">
        <w:rPr>
          <w:highlight w:val="yellow"/>
        </w:rPr>
        <w:t>1</w:t>
      </w:r>
      <w:r w:rsidRPr="00DC04FB">
        <w:rPr>
          <w:highlight w:val="yellow"/>
        </w:rPr>
        <w:fldChar w:fldCharType="end"/>
      </w:r>
      <w:r w:rsidRPr="00DC04FB">
        <w:rPr>
          <w:highlight w:val="yellow"/>
        </w:rPr>
        <w:t xml:space="preserve">, </w:t>
      </w:r>
      <w:bookmarkStart w:id="489" w:name="_9kR3WTr2BB9IN5knoewrqyI"/>
      <w:r w:rsidRPr="00DC04FB">
        <w:rPr>
          <w:highlight w:val="yellow"/>
        </w:rPr>
        <w:t xml:space="preserve">paragraph </w:t>
      </w:r>
      <w:bookmarkEnd w:id="489"/>
      <w:r w:rsidRPr="00DC04FB">
        <w:rPr>
          <w:highlight w:val="yellow"/>
        </w:rPr>
        <w:fldChar w:fldCharType="begin"/>
      </w:r>
      <w:r w:rsidRPr="00DC04FB">
        <w:rPr>
          <w:highlight w:val="yellow"/>
        </w:rPr>
        <w:instrText xml:space="preserve"> REF _Ref_ContractCompanion_9kb9Ur5EH \w \h  \* MERGEFORMAT </w:instrText>
      </w:r>
      <w:r w:rsidRPr="00DC04FB">
        <w:rPr>
          <w:highlight w:val="yellow"/>
        </w:rPr>
      </w:r>
      <w:r w:rsidRPr="00DC04FB">
        <w:rPr>
          <w:highlight w:val="yellow"/>
        </w:rPr>
        <w:fldChar w:fldCharType="separate"/>
      </w:r>
      <w:r w:rsidR="00302D39">
        <w:rPr>
          <w:highlight w:val="yellow"/>
        </w:rPr>
        <w:t>8</w:t>
      </w:r>
      <w:r w:rsidRPr="00DC04FB">
        <w:rPr>
          <w:highlight w:val="yellow"/>
        </w:rPr>
        <w:fldChar w:fldCharType="end"/>
      </w:r>
      <w:r w:rsidRPr="00DC04FB">
        <w:rPr>
          <w:highlight w:val="yellow"/>
        </w:rPr>
        <w:t xml:space="preserve"> and Annex </w:t>
      </w:r>
      <w:r w:rsidRPr="00DC04FB">
        <w:rPr>
          <w:highlight w:val="yellow"/>
        </w:rPr>
        <w:fldChar w:fldCharType="begin"/>
      </w:r>
      <w:r w:rsidRPr="00DC04FB">
        <w:rPr>
          <w:highlight w:val="yellow"/>
        </w:rPr>
        <w:instrText xml:space="preserve"> REF ANNEX2_PARTA_SCHEDULE5 \h  \* MERGEFORMAT </w:instrText>
      </w:r>
      <w:r w:rsidRPr="00DC04FB">
        <w:rPr>
          <w:highlight w:val="yellow"/>
        </w:rPr>
      </w:r>
      <w:r w:rsidRPr="00DC04FB">
        <w:rPr>
          <w:highlight w:val="yellow"/>
        </w:rPr>
        <w:fldChar w:fldCharType="separate"/>
      </w:r>
      <w:r w:rsidR="00302D39" w:rsidRPr="00302D39">
        <w:rPr>
          <w:highlight w:val="yellow"/>
        </w:rPr>
        <w:t>2</w:t>
      </w:r>
      <w:r w:rsidRPr="00DC04FB">
        <w:rPr>
          <w:highlight w:val="yellow"/>
        </w:rPr>
        <w:fldChar w:fldCharType="end"/>
      </w:r>
      <w:r w:rsidRPr="00DC04FB">
        <w:rPr>
          <w:highlight w:val="yellow"/>
        </w:rPr>
        <w:t xml:space="preserve">, </w:t>
      </w:r>
      <w:bookmarkStart w:id="490" w:name="_9kR3WTr2BBAB6wknoewrqyDL"/>
      <w:r w:rsidRPr="00DC04FB">
        <w:rPr>
          <w:highlight w:val="yellow"/>
        </w:rPr>
        <w:t xml:space="preserve">paragraph </w:t>
      </w:r>
      <w:r w:rsidRPr="00DC04FB">
        <w:rPr>
          <w:highlight w:val="yellow"/>
        </w:rPr>
        <w:fldChar w:fldCharType="begin"/>
      </w:r>
      <w:r w:rsidRPr="00DC04FB">
        <w:rPr>
          <w:highlight w:val="yellow"/>
        </w:rPr>
        <w:instrText xml:space="preserve"> REF _Ref_ContractCompanion_9kb9Ur5FJ \n \h \t \* MERGEFORMAT </w:instrText>
      </w:r>
      <w:r w:rsidRPr="00DC04FB">
        <w:rPr>
          <w:highlight w:val="yellow"/>
        </w:rPr>
      </w:r>
      <w:r w:rsidRPr="00DC04FB">
        <w:rPr>
          <w:highlight w:val="yellow"/>
        </w:rPr>
        <w:fldChar w:fldCharType="separate"/>
      </w:r>
      <w:r w:rsidR="00302D39">
        <w:rPr>
          <w:highlight w:val="yellow"/>
        </w:rPr>
        <w:t>3.1</w:t>
      </w:r>
      <w:r w:rsidRPr="00DC04FB">
        <w:rPr>
          <w:highlight w:val="yellow"/>
        </w:rPr>
        <w:fldChar w:fldCharType="end"/>
      </w:r>
      <w:bookmarkEnd w:id="490"/>
      <w:r w:rsidRPr="00DC04FB">
        <w:rPr>
          <w:highlight w:val="yellow"/>
        </w:rPr>
        <w:t xml:space="preserve"> and </w:t>
      </w:r>
      <w:r w:rsidRPr="00DC04FB">
        <w:rPr>
          <w:highlight w:val="yellow"/>
        </w:rPr>
        <w:fldChar w:fldCharType="begin"/>
      </w:r>
      <w:r w:rsidRPr="00DC04FB">
        <w:rPr>
          <w:highlight w:val="yellow"/>
        </w:rPr>
        <w:instrText xml:space="preserve"> REF Sch5PartB \h  \* MERGEFORMAT </w:instrText>
      </w:r>
      <w:r w:rsidRPr="00DC04FB">
        <w:rPr>
          <w:highlight w:val="yellow"/>
        </w:rPr>
      </w:r>
      <w:r w:rsidRPr="00DC04FB">
        <w:rPr>
          <w:highlight w:val="yellow"/>
        </w:rPr>
        <w:fldChar w:fldCharType="separate"/>
      </w:r>
      <w:r w:rsidR="00302D39" w:rsidRPr="00302D39">
        <w:rPr>
          <w:highlight w:val="yellow"/>
        </w:rPr>
        <w:t>Part B</w:t>
      </w:r>
      <w:r w:rsidRPr="00DC04FB">
        <w:rPr>
          <w:highlight w:val="yellow"/>
        </w:rPr>
        <w:fldChar w:fldCharType="end"/>
      </w:r>
      <w:r w:rsidRPr="00DC04FB">
        <w:rPr>
          <w:highlight w:val="yellow"/>
        </w:rPr>
        <w:t xml:space="preserve"> </w:t>
      </w:r>
      <w:bookmarkStart w:id="491" w:name="_9kMHG5YVtCIACDBDDEEdb7tk1GZWMA6HCFWrOBC"/>
      <w:r w:rsidRPr="00DC04FB">
        <w:rPr>
          <w:highlight w:val="yellow"/>
        </w:rPr>
        <w:t>paragraph</w:t>
      </w:r>
      <w:bookmarkEnd w:id="491"/>
      <w:r w:rsidRPr="00DC04FB">
        <w:rPr>
          <w:highlight w:val="yellow"/>
        </w:rPr>
        <w:t xml:space="preserve"> </w:t>
      </w:r>
      <w:r w:rsidRPr="00DC04FB">
        <w:rPr>
          <w:highlight w:val="yellow"/>
        </w:rPr>
        <w:fldChar w:fldCharType="begin"/>
      </w:r>
      <w:r w:rsidRPr="00DC04FB">
        <w:rPr>
          <w:highlight w:val="yellow"/>
        </w:rPr>
        <w:instrText xml:space="preserve"> REF _Ref_ContractCompanion_9kb9Ur673 \w \h  \* MERGEFORMAT </w:instrText>
      </w:r>
      <w:r w:rsidRPr="00DC04FB">
        <w:rPr>
          <w:highlight w:val="yellow"/>
        </w:rPr>
      </w:r>
      <w:r w:rsidRPr="00DC04FB">
        <w:rPr>
          <w:highlight w:val="yellow"/>
        </w:rPr>
        <w:fldChar w:fldCharType="separate"/>
      </w:r>
      <w:r w:rsidR="001045EF">
        <w:rPr>
          <w:highlight w:val="yellow"/>
        </w:rPr>
        <w:t>12.1.1</w:t>
      </w:r>
      <w:r w:rsidRPr="00DC04FB">
        <w:rPr>
          <w:highlight w:val="yellow"/>
        </w:rPr>
        <w:fldChar w:fldCharType="end"/>
      </w:r>
      <w:r w:rsidRPr="00DC04FB">
        <w:rPr>
          <w:highlight w:val="yellow"/>
        </w:rPr>
        <w:t>). The Authority may depart from this position where it has considered the risks of doing so and if using the Accreditation schedule incorporated its requirements in the Statement of Information Risk Appetite. The Authority will need to ensure if it chooses to allow the Supplier to Process Authority Data outside the UK, this Processing occurs in compliance with the requirements of the Data Protection Legislation and any other relevant government policy.</w:t>
      </w:r>
    </w:p>
    <w:p w14:paraId="28359759" w14:textId="77777777" w:rsidR="00F67E9E" w:rsidRPr="00293A7A" w:rsidRDefault="00F67E9E" w:rsidP="00F67E9E">
      <w:pPr>
        <w:pStyle w:val="StdBodyTextBold"/>
        <w:ind w:left="720"/>
        <w:rPr>
          <w:rFonts w:cs="Arial"/>
          <w:iCs/>
          <w:highlight w:val="yellow"/>
        </w:rPr>
      </w:pPr>
      <w:r w:rsidRPr="00293A7A">
        <w:rPr>
          <w:rFonts w:cs="Arial"/>
          <w:iCs/>
          <w:highlight w:val="yellow"/>
        </w:rPr>
        <w:t>Assurance version only</w:t>
      </w:r>
    </w:p>
    <w:p w14:paraId="2AFC0CBF" w14:textId="77777777" w:rsidR="00F67E9E" w:rsidRPr="00DC04FB" w:rsidRDefault="00F67E9E" w:rsidP="00F67E9E">
      <w:pPr>
        <w:pStyle w:val="Guidancenumbered"/>
        <w:numPr>
          <w:ilvl w:val="0"/>
          <w:numId w:val="113"/>
        </w:numPr>
        <w:rPr>
          <w:highlight w:val="yellow"/>
        </w:rPr>
      </w:pPr>
      <w:r w:rsidRPr="00DC04FB">
        <w:rPr>
          <w:highlight w:val="yellow"/>
        </w:rPr>
        <w:t xml:space="preserve">One key difference between the two versions of the </w:t>
      </w:r>
      <w:bookmarkStart w:id="492" w:name="_9kR3WTr2AC7FFZJfifw5qo3F5n0K9vPYNQQ747z"/>
      <w:r w:rsidRPr="00DC04FB">
        <w:rPr>
          <w:highlight w:val="yellow"/>
        </w:rPr>
        <w:t>Schedule is that the Assurance</w:t>
      </w:r>
      <w:bookmarkEnd w:id="492"/>
      <w:r w:rsidRPr="00DC04FB">
        <w:rPr>
          <w:highlight w:val="yellow"/>
        </w:rPr>
        <w:t xml:space="preserve"> version omits the express rights to terminate contained in the Accreditation version. The Authority should consider whether to include express termination rights in all or some of the following circumstances:</w:t>
      </w:r>
    </w:p>
    <w:p w14:paraId="2281C5F1" w14:textId="77777777" w:rsidR="00F67E9E" w:rsidRPr="009C0668" w:rsidRDefault="00F67E9E" w:rsidP="00F67E9E">
      <w:pPr>
        <w:pStyle w:val="Numbered111ai"/>
        <w:numPr>
          <w:ilvl w:val="4"/>
          <w:numId w:val="302"/>
        </w:numPr>
        <w:tabs>
          <w:tab w:val="num" w:pos="-1440"/>
        </w:tabs>
        <w:ind w:left="1440"/>
        <w:rPr>
          <w:b/>
          <w:bCs/>
          <w:i/>
          <w:iCs/>
          <w:highlight w:val="yellow"/>
        </w:rPr>
      </w:pPr>
      <w:r w:rsidRPr="009C0668">
        <w:rPr>
          <w:b/>
          <w:bCs/>
          <w:i/>
          <w:iCs/>
          <w:highlight w:val="yellow"/>
        </w:rPr>
        <w:t>the Authority has issued two rejection notices in respect of the Security Management Plan;</w:t>
      </w:r>
    </w:p>
    <w:p w14:paraId="67937E1F" w14:textId="77777777" w:rsidR="00F67E9E" w:rsidRPr="0094700A" w:rsidRDefault="00F67E9E" w:rsidP="00F67E9E">
      <w:pPr>
        <w:pStyle w:val="Numbered111ai"/>
        <w:tabs>
          <w:tab w:val="clear" w:pos="3240"/>
          <w:tab w:val="num" w:pos="1440"/>
        </w:tabs>
        <w:ind w:left="1440"/>
        <w:rPr>
          <w:highlight w:val="yellow"/>
        </w:rPr>
      </w:pPr>
      <w:r w:rsidRPr="00DC04FB">
        <w:rPr>
          <w:highlight w:val="yellow"/>
        </w:rPr>
        <w:t xml:space="preserve">the Supplier fails to implement a change required by the Required Changes Risk </w:t>
      </w:r>
      <w:r w:rsidRPr="0094700A">
        <w:rPr>
          <w:highlight w:val="yellow"/>
        </w:rPr>
        <w:t>Register in accordance with the timescales set out in the Required Changes Risk Register;</w:t>
      </w:r>
    </w:p>
    <w:p w14:paraId="205A67B8" w14:textId="77777777" w:rsidR="00F67E9E" w:rsidRPr="0094700A" w:rsidRDefault="00F67E9E" w:rsidP="00F67E9E">
      <w:pPr>
        <w:pStyle w:val="Numbered111ai"/>
        <w:tabs>
          <w:tab w:val="clear" w:pos="3240"/>
          <w:tab w:val="num" w:pos="1440"/>
        </w:tabs>
        <w:ind w:left="1440"/>
        <w:rPr>
          <w:highlight w:val="yellow"/>
        </w:rPr>
      </w:pPr>
      <w:r w:rsidRPr="0094700A">
        <w:rPr>
          <w:highlight w:val="yellow"/>
        </w:rPr>
        <w:t>the Supplier fails to patch vulnerabilities in accordance with the Security Requirements; and/or</w:t>
      </w:r>
    </w:p>
    <w:p w14:paraId="4749CC5E" w14:textId="77777777" w:rsidR="00F67E9E" w:rsidRPr="00DC04FB" w:rsidRDefault="00F67E9E" w:rsidP="00F67E9E">
      <w:pPr>
        <w:pStyle w:val="Numbered111ai"/>
        <w:tabs>
          <w:tab w:val="clear" w:pos="3240"/>
          <w:tab w:val="num" w:pos="1440"/>
        </w:tabs>
        <w:ind w:left="1440"/>
        <w:rPr>
          <w:highlight w:val="yellow"/>
        </w:rPr>
      </w:pPr>
      <w:r w:rsidRPr="0094700A">
        <w:rPr>
          <w:highlight w:val="yellow"/>
        </w:rPr>
        <w:t>the Supplier</w:t>
      </w:r>
      <w:r w:rsidRPr="00DC04FB">
        <w:rPr>
          <w:highlight w:val="yellow"/>
        </w:rPr>
        <w:t xml:space="preserve"> materially fails to comply with the Incident Management Process.</w:t>
      </w:r>
    </w:p>
    <w:p w14:paraId="753219C5" w14:textId="77777777" w:rsidR="00F67E9E" w:rsidRPr="00293A7A" w:rsidRDefault="00F67E9E" w:rsidP="00F67E9E">
      <w:pPr>
        <w:pStyle w:val="StdBodyTextBold"/>
        <w:ind w:left="720"/>
        <w:rPr>
          <w:rFonts w:cs="Arial"/>
          <w:iCs/>
          <w:highlight w:val="yellow"/>
        </w:rPr>
      </w:pPr>
      <w:r w:rsidRPr="00293A7A">
        <w:rPr>
          <w:rFonts w:cs="Arial"/>
          <w:iCs/>
          <w:highlight w:val="yellow"/>
        </w:rPr>
        <w:t>Accreditation version only</w:t>
      </w:r>
    </w:p>
    <w:p w14:paraId="1E13A2CA" w14:textId="6924DF75" w:rsidR="00F67E9E" w:rsidRPr="00DC04FB" w:rsidRDefault="00F67E9E" w:rsidP="00F67E9E">
      <w:pPr>
        <w:pStyle w:val="Guidancenumbered"/>
        <w:numPr>
          <w:ilvl w:val="0"/>
          <w:numId w:val="113"/>
        </w:numPr>
        <w:rPr>
          <w:highlight w:val="yellow"/>
        </w:rPr>
      </w:pPr>
      <w:r w:rsidRPr="00DC04FB">
        <w:rPr>
          <w:highlight w:val="yellow"/>
        </w:rPr>
        <w:t xml:space="preserve">The Authority will need to agree with the Supplier what constitutes the Core Information Management System and its boundary with the Wider Information Management System. This process is essential to determining the scope of the Accreditation exercise. If the Authority will determine and map this boundary as part of the procurement exercise, then the first option in Paragraph </w:t>
      </w:r>
      <w:r w:rsidRPr="00DC04FB">
        <w:rPr>
          <w:highlight w:val="yellow"/>
        </w:rPr>
        <w:fldChar w:fldCharType="begin"/>
      </w:r>
      <w:r w:rsidRPr="00DC04FB">
        <w:rPr>
          <w:highlight w:val="yellow"/>
        </w:rPr>
        <w:instrText xml:space="preserve"> REF _Ref99017275 \w \h  \* MERGEFORMAT </w:instrText>
      </w:r>
      <w:r w:rsidRPr="00DC04FB">
        <w:rPr>
          <w:highlight w:val="yellow"/>
        </w:rPr>
      </w:r>
      <w:r w:rsidRPr="00DC04FB">
        <w:rPr>
          <w:highlight w:val="yellow"/>
        </w:rPr>
        <w:fldChar w:fldCharType="separate"/>
      </w:r>
      <w:r w:rsidR="00302D39">
        <w:rPr>
          <w:highlight w:val="yellow"/>
        </w:rPr>
        <w:t>4.2</w:t>
      </w:r>
      <w:r w:rsidRPr="00DC04FB">
        <w:rPr>
          <w:highlight w:val="yellow"/>
        </w:rPr>
        <w:fldChar w:fldCharType="end"/>
      </w:r>
      <w:r w:rsidRPr="00DC04FB">
        <w:rPr>
          <w:highlight w:val="yellow"/>
        </w:rPr>
        <w:t xml:space="preserve"> should be used. If the Authority choses this approach, will need to ask the bidders to provide sufficient details of the proposed information system (e.g. a description of the system architecture, the hardware and software components, Sub-contractors and other suppliers) to enable the Authority to categorise prior to contract award what parts of the proposed information system are to be categorised as either: the “Core Information Management System” and subject to accreditation in accordance with Paragraph </w:t>
      </w:r>
      <w:r w:rsidRPr="00DC04FB">
        <w:rPr>
          <w:highlight w:val="yellow"/>
        </w:rPr>
        <w:fldChar w:fldCharType="begin"/>
      </w:r>
      <w:r w:rsidRPr="00DC04FB">
        <w:rPr>
          <w:highlight w:val="yellow"/>
        </w:rPr>
        <w:instrText xml:space="preserve"> REF _Ref_ContractCompanion_9kb9Ur688 \w \h  \* MERGEFORMAT </w:instrText>
      </w:r>
      <w:r w:rsidRPr="00DC04FB">
        <w:rPr>
          <w:highlight w:val="yellow"/>
        </w:rPr>
      </w:r>
      <w:r w:rsidRPr="00DC04FB">
        <w:rPr>
          <w:highlight w:val="yellow"/>
        </w:rPr>
        <w:fldChar w:fldCharType="separate"/>
      </w:r>
      <w:r w:rsidR="00302D39">
        <w:rPr>
          <w:highlight w:val="yellow"/>
        </w:rPr>
        <w:t>6</w:t>
      </w:r>
      <w:r w:rsidRPr="00DC04FB">
        <w:rPr>
          <w:highlight w:val="yellow"/>
        </w:rPr>
        <w:fldChar w:fldCharType="end"/>
      </w:r>
      <w:r w:rsidRPr="00DC04FB">
        <w:rPr>
          <w:highlight w:val="yellow"/>
        </w:rPr>
        <w:t xml:space="preserve"> of this Schedule, or the “Wider Information Management System” and subject to the Certification Requirements set out in Paragraph </w:t>
      </w:r>
      <w:r w:rsidRPr="00DC04FB">
        <w:rPr>
          <w:highlight w:val="yellow"/>
        </w:rPr>
        <w:fldChar w:fldCharType="begin"/>
      </w:r>
      <w:r w:rsidRPr="00DC04FB">
        <w:rPr>
          <w:highlight w:val="yellow"/>
        </w:rPr>
        <w:instrText xml:space="preserve"> REF _Ref99017320 \w \h  \* MERGEFORMAT </w:instrText>
      </w:r>
      <w:r w:rsidRPr="00DC04FB">
        <w:rPr>
          <w:highlight w:val="yellow"/>
        </w:rPr>
      </w:r>
      <w:r w:rsidRPr="00DC04FB">
        <w:rPr>
          <w:highlight w:val="yellow"/>
        </w:rPr>
        <w:fldChar w:fldCharType="separate"/>
      </w:r>
      <w:r w:rsidR="00302D39">
        <w:rPr>
          <w:highlight w:val="yellow"/>
        </w:rPr>
        <w:t>7</w:t>
      </w:r>
      <w:r w:rsidRPr="00DC04FB">
        <w:rPr>
          <w:highlight w:val="yellow"/>
        </w:rPr>
        <w:fldChar w:fldCharType="end"/>
      </w:r>
      <w:r w:rsidRPr="00DC04FB">
        <w:rPr>
          <w:highlight w:val="yellow"/>
        </w:rPr>
        <w:t xml:space="preserve">. This description should be in the form of a diagram setting out the components of the Information Management System and the linkages and data flows between them. This diagram should then be included as Annex </w:t>
      </w:r>
      <w:r w:rsidRPr="00DC04FB">
        <w:rPr>
          <w:highlight w:val="yellow"/>
        </w:rPr>
        <w:fldChar w:fldCharType="begin"/>
      </w:r>
      <w:r w:rsidRPr="00DC04FB">
        <w:rPr>
          <w:highlight w:val="yellow"/>
        </w:rPr>
        <w:instrText xml:space="preserve"> REF ANNEX3_PARTA_SCHEDULE5 \h  \* MERGEFORMAT </w:instrText>
      </w:r>
      <w:r w:rsidRPr="00DC04FB">
        <w:rPr>
          <w:highlight w:val="yellow"/>
        </w:rPr>
      </w:r>
      <w:r w:rsidRPr="00DC04FB">
        <w:rPr>
          <w:highlight w:val="yellow"/>
        </w:rPr>
        <w:fldChar w:fldCharType="separate"/>
      </w:r>
      <w:r w:rsidR="00302D39" w:rsidRPr="00302D39">
        <w:rPr>
          <w:highlight w:val="yellow"/>
        </w:rPr>
        <w:t>3</w:t>
      </w:r>
      <w:r w:rsidRPr="00DC04FB">
        <w:rPr>
          <w:highlight w:val="yellow"/>
        </w:rPr>
        <w:fldChar w:fldCharType="end"/>
      </w:r>
      <w:r w:rsidRPr="00DC04FB">
        <w:rPr>
          <w:highlight w:val="yellow"/>
        </w:rPr>
        <w:t xml:space="preserve"> to this Schedule.</w:t>
      </w:r>
    </w:p>
    <w:p w14:paraId="7258DB8C" w14:textId="200649FA" w:rsidR="00F67E9E" w:rsidRPr="00DC04FB" w:rsidRDefault="00F67E9E" w:rsidP="00F67E9E">
      <w:pPr>
        <w:pStyle w:val="Guidancenumbered"/>
        <w:numPr>
          <w:ilvl w:val="0"/>
          <w:numId w:val="113"/>
        </w:numPr>
        <w:rPr>
          <w:highlight w:val="yellow"/>
        </w:rPr>
      </w:pPr>
      <w:r w:rsidRPr="00DC04FB">
        <w:rPr>
          <w:highlight w:val="yellow"/>
        </w:rPr>
        <w:t xml:space="preserve">If the Authority will agree the boundary as part of the implementation process, then the second option in Paragraph </w:t>
      </w:r>
      <w:r w:rsidRPr="00DC04FB">
        <w:rPr>
          <w:highlight w:val="yellow"/>
        </w:rPr>
        <w:fldChar w:fldCharType="begin"/>
      </w:r>
      <w:r w:rsidRPr="00DC04FB">
        <w:rPr>
          <w:highlight w:val="yellow"/>
        </w:rPr>
        <w:instrText xml:space="preserve"> REF _Ref99017275 \w \h  \* MERGEFORMAT </w:instrText>
      </w:r>
      <w:r w:rsidRPr="00DC04FB">
        <w:rPr>
          <w:highlight w:val="yellow"/>
        </w:rPr>
      </w:r>
      <w:r w:rsidRPr="00DC04FB">
        <w:rPr>
          <w:highlight w:val="yellow"/>
        </w:rPr>
        <w:fldChar w:fldCharType="separate"/>
      </w:r>
      <w:r w:rsidR="00302D39">
        <w:rPr>
          <w:highlight w:val="yellow"/>
        </w:rPr>
        <w:t>4.2</w:t>
      </w:r>
      <w:r w:rsidRPr="00DC04FB">
        <w:rPr>
          <w:highlight w:val="yellow"/>
        </w:rPr>
        <w:fldChar w:fldCharType="end"/>
      </w:r>
      <w:r w:rsidRPr="00DC04FB">
        <w:rPr>
          <w:highlight w:val="yellow"/>
        </w:rPr>
        <w:t xml:space="preserve"> (with any necessary modifications to reflect the actual implementation process adopted) should be used.</w:t>
      </w:r>
    </w:p>
    <w:p w14:paraId="55EB8497" w14:textId="0012EA36" w:rsidR="00F67E9E" w:rsidRPr="00DC04FB" w:rsidRDefault="00F67E9E" w:rsidP="00F67E9E">
      <w:pPr>
        <w:pStyle w:val="Guidancenumbered"/>
        <w:numPr>
          <w:ilvl w:val="0"/>
          <w:numId w:val="113"/>
        </w:numPr>
        <w:rPr>
          <w:highlight w:val="yellow"/>
        </w:rPr>
      </w:pPr>
      <w:r w:rsidRPr="00DC04FB">
        <w:rPr>
          <w:highlight w:val="yellow"/>
        </w:rPr>
        <w:t xml:space="preserve">This version allows the Authority to play an active role in assessing the Core Information Management System. The Authority must satisfy itself that the Core information Management System, as implemented by the Supplier, will adequately meet the requirements of the Baseline Security Requirements (set out in Annex </w:t>
      </w:r>
      <w:r w:rsidRPr="00DC04FB">
        <w:rPr>
          <w:highlight w:val="yellow"/>
        </w:rPr>
        <w:fldChar w:fldCharType="begin"/>
      </w:r>
      <w:r w:rsidRPr="00DC04FB">
        <w:rPr>
          <w:highlight w:val="yellow"/>
        </w:rPr>
        <w:instrText xml:space="preserve"> REF ANNEX1_PARTA_SCHEDULE5 \h  \* MERGEFORMAT </w:instrText>
      </w:r>
      <w:r w:rsidRPr="00DC04FB">
        <w:rPr>
          <w:highlight w:val="yellow"/>
        </w:rPr>
      </w:r>
      <w:r w:rsidRPr="00DC04FB">
        <w:rPr>
          <w:highlight w:val="yellow"/>
        </w:rPr>
        <w:fldChar w:fldCharType="separate"/>
      </w:r>
      <w:r w:rsidR="00302D39" w:rsidRPr="00302D39">
        <w:rPr>
          <w:highlight w:val="yellow"/>
        </w:rPr>
        <w:t>1</w:t>
      </w:r>
      <w:r w:rsidRPr="00DC04FB">
        <w:rPr>
          <w:highlight w:val="yellow"/>
        </w:rPr>
        <w:fldChar w:fldCharType="end"/>
      </w:r>
      <w:r w:rsidRPr="00DC04FB">
        <w:rPr>
          <w:highlight w:val="yellow"/>
        </w:rPr>
        <w:t xml:space="preserve"> to this Schedule) and the Statement of Information Risk Appetite prepared by the Authority as part of the procurement process. If the Authority lacks the technical capability to perform this task, it should consider whether to use the Assurance version of the Schedule.</w:t>
      </w:r>
    </w:p>
    <w:p w14:paraId="474A8313" w14:textId="77777777" w:rsidR="00F67E9E" w:rsidRPr="00DC04FB" w:rsidRDefault="00F67E9E" w:rsidP="00F67E9E">
      <w:pPr>
        <w:pStyle w:val="Guidancenumbered"/>
        <w:numPr>
          <w:ilvl w:val="0"/>
          <w:numId w:val="113"/>
        </w:numPr>
        <w:rPr>
          <w:highlight w:val="yellow"/>
        </w:rPr>
      </w:pPr>
      <w:bookmarkStart w:id="493" w:name="_Ref45002965"/>
      <w:r w:rsidRPr="00DC04FB">
        <w:rPr>
          <w:highlight w:val="yellow"/>
        </w:rPr>
        <w:t>The key document that the Authority must prepare to use this Schedule is the Statement of Information Risk Appetite. This sets out the overall amount of risk an organisation is prepared to accept, tolerate or be exposed to at any point in time. The Authority will need to prepare this document as part of the documentation provided to bidders along with other documents describing the Authority’s system requirements for them to bid against.]</w:t>
      </w:r>
      <w:bookmarkEnd w:id="493"/>
    </w:p>
    <w:p w14:paraId="1093512A" w14:textId="77777777" w:rsidR="00F67E9E" w:rsidRDefault="00F67E9E" w:rsidP="00F67E9E">
      <w:pPr>
        <w:rPr>
          <w:highlight w:val="yellow"/>
        </w:rPr>
      </w:pPr>
    </w:p>
    <w:p w14:paraId="7E9D62E3" w14:textId="77777777" w:rsidR="00F67E9E" w:rsidRDefault="00F67E9E" w:rsidP="00F67E9E">
      <w:pPr>
        <w:pStyle w:val="Heading2"/>
        <w:pageBreakBefore/>
      </w:pPr>
      <w:bookmarkStart w:id="494" w:name="Sch5PartA"/>
      <w:bookmarkStart w:id="495" w:name="_Ref_ContractCompanion_9kb9Ur45B"/>
      <w:bookmarkStart w:id="496" w:name="_Ref_ContractCompanion_9kb9Ur466"/>
      <w:bookmarkStart w:id="497" w:name="_Ref_ContractCompanion_9kb9Ur468"/>
      <w:bookmarkStart w:id="498" w:name="_Toc141711909"/>
      <w:r w:rsidRPr="00147F02">
        <w:t>Part A</w:t>
      </w:r>
      <w:bookmarkEnd w:id="494"/>
      <w:r w:rsidRPr="00147F02">
        <w:t xml:space="preserve">: </w:t>
      </w:r>
      <w:r w:rsidRPr="00B80662">
        <w:t>Security Assurance</w:t>
      </w:r>
      <w:bookmarkEnd w:id="495"/>
      <w:bookmarkEnd w:id="496"/>
      <w:bookmarkEnd w:id="497"/>
      <w:bookmarkEnd w:id="498"/>
    </w:p>
    <w:p w14:paraId="76E7AC3A" w14:textId="77777777" w:rsidR="00F67E9E" w:rsidRPr="00DC04FB" w:rsidRDefault="00F67E9E" w:rsidP="00F67E9E">
      <w:pPr>
        <w:pStyle w:val="Numbered1"/>
        <w:numPr>
          <w:ilvl w:val="0"/>
          <w:numId w:val="161"/>
        </w:numPr>
      </w:pPr>
      <w:r w:rsidRPr="00DC04FB">
        <w:t>Definitions</w:t>
      </w:r>
    </w:p>
    <w:p w14:paraId="30C72063" w14:textId="77777777" w:rsidR="00F67E9E" w:rsidRPr="00F511A1" w:rsidRDefault="00F67E9E" w:rsidP="00F67E9E">
      <w:pPr>
        <w:pStyle w:val="Numbered11"/>
      </w:pPr>
      <w:r w:rsidRPr="00F511A1">
        <w:t>In this Schedule:</w:t>
      </w:r>
    </w:p>
    <w:tbl>
      <w:tblPr>
        <w:tblStyle w:val="MSAdefinitions"/>
        <w:tblW w:w="9638" w:type="dxa"/>
        <w:tblLook w:val="04A0" w:firstRow="1" w:lastRow="0" w:firstColumn="1" w:lastColumn="0" w:noHBand="0" w:noVBand="1"/>
      </w:tblPr>
      <w:tblGrid>
        <w:gridCol w:w="2835"/>
        <w:gridCol w:w="6803"/>
      </w:tblGrid>
      <w:tr w:rsidR="00F67E9E" w:rsidRPr="00F511A1" w14:paraId="352254FC" w14:textId="77777777" w:rsidTr="007F74AA">
        <w:tc>
          <w:tcPr>
            <w:tcW w:w="2835" w:type="dxa"/>
          </w:tcPr>
          <w:p w14:paraId="62323E6B" w14:textId="77777777" w:rsidR="00F67E9E" w:rsidRPr="00F511A1" w:rsidRDefault="00F67E9E" w:rsidP="007F74AA">
            <w:pPr>
              <w:pStyle w:val="StdBodyTextBold"/>
              <w:rPr>
                <w:rFonts w:cs="Arial"/>
              </w:rPr>
            </w:pPr>
            <w:r>
              <w:rPr>
                <w:rFonts w:cs="Arial"/>
              </w:rPr>
              <w:t>“</w:t>
            </w:r>
            <w:r w:rsidRPr="00F511A1">
              <w:rPr>
                <w:rFonts w:cs="Arial"/>
              </w:rPr>
              <w:t>Anti-Malicious Software</w:t>
            </w:r>
            <w:r>
              <w:rPr>
                <w:rFonts w:cs="Arial"/>
              </w:rPr>
              <w:t>”</w:t>
            </w:r>
          </w:p>
        </w:tc>
        <w:tc>
          <w:tcPr>
            <w:tcW w:w="6803" w:type="dxa"/>
          </w:tcPr>
          <w:p w14:paraId="3C918183" w14:textId="77777777" w:rsidR="00F67E9E" w:rsidRPr="00F511A1" w:rsidRDefault="00F67E9E" w:rsidP="007F74AA">
            <w:pPr>
              <w:pStyle w:val="StdBodyText"/>
              <w:rPr>
                <w:rFonts w:cs="Arial"/>
              </w:rPr>
            </w:pPr>
            <w:r w:rsidRPr="00F511A1">
              <w:rPr>
                <w:rFonts w:cs="Arial"/>
              </w:rPr>
              <w:t>means software that scans for and identifies possible Malicious Software in the IT Environment;</w:t>
            </w:r>
          </w:p>
        </w:tc>
      </w:tr>
      <w:tr w:rsidR="00F67E9E" w:rsidRPr="00F511A1" w14:paraId="4F34615B" w14:textId="77777777" w:rsidTr="007F74AA">
        <w:tc>
          <w:tcPr>
            <w:tcW w:w="2835" w:type="dxa"/>
          </w:tcPr>
          <w:p w14:paraId="01230B96" w14:textId="77777777" w:rsidR="00F67E9E" w:rsidRPr="00F511A1" w:rsidRDefault="00F67E9E" w:rsidP="007F74AA">
            <w:pPr>
              <w:pStyle w:val="StdBodyTextBold"/>
              <w:rPr>
                <w:rFonts w:cs="Arial"/>
              </w:rPr>
            </w:pPr>
            <w:r>
              <w:rPr>
                <w:rFonts w:cs="Arial"/>
              </w:rPr>
              <w:t>“</w:t>
            </w:r>
            <w:r w:rsidRPr="00F511A1">
              <w:rPr>
                <w:rFonts w:cs="Arial"/>
              </w:rPr>
              <w:t>Breach of Security</w:t>
            </w:r>
          </w:p>
        </w:tc>
        <w:tc>
          <w:tcPr>
            <w:tcW w:w="6803" w:type="dxa"/>
          </w:tcPr>
          <w:p w14:paraId="38802A45" w14:textId="77777777" w:rsidR="00F67E9E" w:rsidRPr="00DC04FB" w:rsidRDefault="00F67E9E" w:rsidP="007F74AA">
            <w:pPr>
              <w:pStyle w:val="DefinitionList"/>
              <w:numPr>
                <w:ilvl w:val="0"/>
                <w:numId w:val="0"/>
              </w:numPr>
              <w:ind w:left="720" w:hanging="720"/>
              <w:rPr>
                <w:rFonts w:cs="Arial"/>
              </w:rPr>
            </w:pPr>
            <w:r w:rsidRPr="00DC04FB">
              <w:rPr>
                <w:rFonts w:cs="Arial"/>
              </w:rPr>
              <w:t>an event that results, or could result, in:</w:t>
            </w:r>
          </w:p>
          <w:p w14:paraId="27E27C6D" w14:textId="77777777" w:rsidR="00F67E9E" w:rsidRPr="001A6135" w:rsidRDefault="00F67E9E" w:rsidP="007F74AA">
            <w:pPr>
              <w:pStyle w:val="DefinitionList"/>
              <w:numPr>
                <w:ilvl w:val="0"/>
                <w:numId w:val="294"/>
              </w:numPr>
              <w:rPr>
                <w:rFonts w:cs="Arial"/>
              </w:rPr>
            </w:pPr>
            <w:r w:rsidRPr="001A6135">
              <w:rPr>
                <w:rFonts w:cs="Arial"/>
              </w:rPr>
              <w:t>any unauthorised access to or use of the Authority Data, the Services and/or the Information Management System; and/or</w:t>
            </w:r>
          </w:p>
          <w:p w14:paraId="36CC1AFE" w14:textId="77777777" w:rsidR="00F67E9E" w:rsidRPr="00F511A1" w:rsidRDefault="00F67E9E" w:rsidP="00F67E9E">
            <w:pPr>
              <w:pStyle w:val="DefinitionList"/>
              <w:numPr>
                <w:ilvl w:val="0"/>
                <w:numId w:val="108"/>
              </w:numPr>
              <w:rPr>
                <w:rFonts w:cs="Arial"/>
              </w:rPr>
            </w:pPr>
            <w:r w:rsidRPr="00F511A1">
              <w:rPr>
                <w:rFonts w:cs="Arial"/>
              </w:rPr>
              <w:t xml:space="preserve">the loss, corruption and/or unauthorised disclosure of any information or data (including the Confidential Information and the Authority Data), including any copies of such information or data, used by the Authority and/or the Supplier in connection with this Contract; </w:t>
            </w:r>
          </w:p>
        </w:tc>
      </w:tr>
      <w:tr w:rsidR="00F67E9E" w:rsidRPr="00F511A1" w14:paraId="78EE9E5B" w14:textId="77777777" w:rsidTr="007F74AA">
        <w:tc>
          <w:tcPr>
            <w:tcW w:w="2835" w:type="dxa"/>
          </w:tcPr>
          <w:p w14:paraId="2787CD28" w14:textId="77777777" w:rsidR="00F67E9E" w:rsidRPr="00F511A1" w:rsidRDefault="00F67E9E" w:rsidP="007F74AA">
            <w:pPr>
              <w:pStyle w:val="StdBodyTextBold"/>
              <w:rPr>
                <w:rFonts w:cs="Arial"/>
              </w:rPr>
            </w:pPr>
            <w:r>
              <w:rPr>
                <w:rFonts w:cs="Arial"/>
              </w:rPr>
              <w:t>“</w:t>
            </w:r>
            <w:r w:rsidRPr="00F511A1">
              <w:rPr>
                <w:rFonts w:cs="Arial"/>
              </w:rPr>
              <w:t>Certification Requirements</w:t>
            </w:r>
            <w:r>
              <w:rPr>
                <w:rFonts w:cs="Arial"/>
              </w:rPr>
              <w:t>”</w:t>
            </w:r>
          </w:p>
        </w:tc>
        <w:tc>
          <w:tcPr>
            <w:tcW w:w="6803" w:type="dxa"/>
          </w:tcPr>
          <w:p w14:paraId="1FD63CFE" w14:textId="203CC759" w:rsidR="00F67E9E" w:rsidRPr="00F511A1" w:rsidRDefault="00F67E9E" w:rsidP="007F74AA">
            <w:pPr>
              <w:pStyle w:val="StdBodyText"/>
              <w:rPr>
                <w:rFonts w:cs="Arial"/>
              </w:rPr>
            </w:pPr>
            <w:r w:rsidRPr="00F511A1">
              <w:rPr>
                <w:rFonts w:cs="Arial"/>
              </w:rPr>
              <w:t xml:space="preserve">means the information security requirements set out in </w:t>
            </w:r>
            <w:bookmarkStart w:id="499" w:name="_9kMHG5YVt4DDCFDbGpqgyts0I"/>
            <w:r w:rsidRPr="00F511A1">
              <w:rPr>
                <w:rFonts w:cs="Arial"/>
              </w:rPr>
              <w:t xml:space="preserve">Paragraph </w:t>
            </w:r>
            <w:r w:rsidRPr="00F511A1">
              <w:rPr>
                <w:rFonts w:cs="Arial"/>
              </w:rPr>
              <w:fldChar w:fldCharType="begin"/>
            </w:r>
            <w:r w:rsidRPr="00F511A1">
              <w:rPr>
                <w:rFonts w:cs="Arial"/>
              </w:rPr>
              <w:instrText xml:space="preserve"> REF _Ref_ContractCompanion_9kb9Ur688 \w \n \h \t \* MERGEFORMAT </w:instrText>
            </w:r>
            <w:r w:rsidRPr="00F511A1">
              <w:rPr>
                <w:rFonts w:cs="Arial"/>
              </w:rPr>
            </w:r>
            <w:r w:rsidRPr="00F511A1">
              <w:rPr>
                <w:rFonts w:cs="Arial"/>
              </w:rPr>
              <w:fldChar w:fldCharType="separate"/>
            </w:r>
            <w:r w:rsidR="00302D39">
              <w:rPr>
                <w:rFonts w:cs="Arial"/>
              </w:rPr>
              <w:t>6</w:t>
            </w:r>
            <w:r w:rsidRPr="00F511A1">
              <w:rPr>
                <w:rFonts w:cs="Arial"/>
              </w:rPr>
              <w:fldChar w:fldCharType="end"/>
            </w:r>
            <w:bookmarkEnd w:id="499"/>
            <w:r w:rsidRPr="00F511A1">
              <w:rPr>
                <w:rFonts w:cs="Arial"/>
              </w:rPr>
              <w:t>;</w:t>
            </w:r>
          </w:p>
        </w:tc>
      </w:tr>
      <w:tr w:rsidR="00F67E9E" w:rsidRPr="00F511A1" w14:paraId="118801D7" w14:textId="77777777" w:rsidTr="007F74AA">
        <w:tc>
          <w:tcPr>
            <w:tcW w:w="2835" w:type="dxa"/>
          </w:tcPr>
          <w:p w14:paraId="753E1133" w14:textId="77777777" w:rsidR="00F67E9E" w:rsidRPr="00F511A1" w:rsidRDefault="00F67E9E" w:rsidP="007F74AA">
            <w:pPr>
              <w:pStyle w:val="StdBodyTextBold"/>
              <w:rPr>
                <w:rFonts w:cs="Arial"/>
              </w:rPr>
            </w:pPr>
            <w:r>
              <w:rPr>
                <w:rFonts w:cs="Arial"/>
              </w:rPr>
              <w:t>“</w:t>
            </w:r>
            <w:r w:rsidRPr="00F511A1">
              <w:rPr>
                <w:rFonts w:cs="Arial"/>
              </w:rPr>
              <w:t>CHECK Service Provider</w:t>
            </w:r>
            <w:r>
              <w:rPr>
                <w:rFonts w:cs="Arial"/>
              </w:rPr>
              <w:t>”</w:t>
            </w:r>
          </w:p>
        </w:tc>
        <w:tc>
          <w:tcPr>
            <w:tcW w:w="6803" w:type="dxa"/>
          </w:tcPr>
          <w:p w14:paraId="6926D360" w14:textId="79D0CCE7" w:rsidR="00F67E9E" w:rsidRPr="00F511A1" w:rsidRDefault="00F67E9E" w:rsidP="007F74AA">
            <w:pPr>
              <w:pStyle w:val="StdBodyText"/>
              <w:rPr>
                <w:rFonts w:cs="Arial"/>
              </w:rPr>
            </w:pPr>
            <w:r w:rsidRPr="00F511A1">
              <w:rPr>
                <w:rFonts w:cs="Arial"/>
              </w:rPr>
              <w:t xml:space="preserve">means a company which has been certified by the National Cyber Security Centre, holds </w:t>
            </w:r>
            <w:r>
              <w:rPr>
                <w:rFonts w:cs="Arial"/>
              </w:rPr>
              <w:t>“</w:t>
            </w:r>
            <w:r w:rsidRPr="00F511A1">
              <w:rPr>
                <w:rFonts w:cs="Arial"/>
              </w:rPr>
              <w:t>Green Light</w:t>
            </w:r>
            <w:r>
              <w:rPr>
                <w:rFonts w:cs="Arial"/>
              </w:rPr>
              <w:t>”</w:t>
            </w:r>
            <w:r w:rsidRPr="00F511A1">
              <w:rPr>
                <w:rFonts w:cs="Arial"/>
              </w:rPr>
              <w:t xml:space="preserve"> status and is authorised to provide the IT Health Check services required by </w:t>
            </w:r>
            <w:bookmarkStart w:id="500" w:name="_9kR3WTr2BBAIMfEnoewrqyHP"/>
            <w:r w:rsidRPr="00F511A1">
              <w:rPr>
                <w:rFonts w:cs="Arial"/>
              </w:rPr>
              <w:t xml:space="preserve">Paragraph </w:t>
            </w:r>
            <w:r w:rsidRPr="00F511A1">
              <w:rPr>
                <w:rFonts w:cs="Arial"/>
              </w:rPr>
              <w:fldChar w:fldCharType="begin"/>
            </w:r>
            <w:r w:rsidRPr="00F511A1">
              <w:rPr>
                <w:rFonts w:cs="Arial"/>
              </w:rPr>
              <w:instrText xml:space="preserve"> REF _Ref_ContractCompanion_9kb9Ur6EA \n \h \t \* MERGEFORMAT </w:instrText>
            </w:r>
            <w:r w:rsidRPr="00F511A1">
              <w:rPr>
                <w:rFonts w:cs="Arial"/>
              </w:rPr>
            </w:r>
            <w:r w:rsidRPr="00F511A1">
              <w:rPr>
                <w:rFonts w:cs="Arial"/>
              </w:rPr>
              <w:fldChar w:fldCharType="separate"/>
            </w:r>
            <w:r w:rsidR="00302D39">
              <w:rPr>
                <w:rFonts w:cs="Arial"/>
              </w:rPr>
              <w:t>7.1</w:t>
            </w:r>
            <w:r w:rsidRPr="00F511A1">
              <w:rPr>
                <w:rFonts w:cs="Arial"/>
              </w:rPr>
              <w:fldChar w:fldCharType="end"/>
            </w:r>
            <w:bookmarkEnd w:id="500"/>
            <w:r w:rsidRPr="00F511A1">
              <w:rPr>
                <w:rFonts w:cs="Arial"/>
              </w:rPr>
              <w:t>;</w:t>
            </w:r>
          </w:p>
        </w:tc>
      </w:tr>
      <w:tr w:rsidR="00F67E9E" w:rsidRPr="001B1EB0" w14:paraId="496697B0" w14:textId="77777777" w:rsidTr="007F74AA">
        <w:tc>
          <w:tcPr>
            <w:tcW w:w="2835" w:type="dxa"/>
          </w:tcPr>
          <w:p w14:paraId="29BB412A" w14:textId="77777777" w:rsidR="00F67E9E" w:rsidRPr="00F511A1" w:rsidRDefault="00F67E9E" w:rsidP="007F74AA">
            <w:pPr>
              <w:pStyle w:val="StdBodyTextBold"/>
              <w:rPr>
                <w:rFonts w:cs="Arial"/>
              </w:rPr>
            </w:pPr>
            <w:r>
              <w:rPr>
                <w:rFonts w:cs="Arial"/>
              </w:rPr>
              <w:t>“</w:t>
            </w:r>
            <w:r w:rsidRPr="00F511A1">
              <w:rPr>
                <w:rFonts w:cs="Arial"/>
              </w:rPr>
              <w:t>CREST Service Provider</w:t>
            </w:r>
            <w:r>
              <w:rPr>
                <w:rFonts w:cs="Arial"/>
              </w:rPr>
              <w:t>”</w:t>
            </w:r>
          </w:p>
        </w:tc>
        <w:tc>
          <w:tcPr>
            <w:tcW w:w="6803" w:type="dxa"/>
          </w:tcPr>
          <w:p w14:paraId="0FBFBA9B" w14:textId="77777777" w:rsidR="00F67E9E" w:rsidRPr="001B1EB0" w:rsidRDefault="00F67E9E" w:rsidP="007F74AA">
            <w:pPr>
              <w:pStyle w:val="StdBodyText"/>
              <w:rPr>
                <w:rFonts w:cs="Arial"/>
              </w:rPr>
            </w:pPr>
            <w:r w:rsidRPr="00F511A1">
              <w:rPr>
                <w:rFonts w:cs="Arial"/>
              </w:rPr>
              <w:t>means a company with a SOC Accreditation from CREST International;</w:t>
            </w:r>
          </w:p>
        </w:tc>
      </w:tr>
      <w:tr w:rsidR="00F67E9E" w:rsidRPr="001B1EB0" w14:paraId="1ECB3A86" w14:textId="77777777" w:rsidTr="007F74AA">
        <w:tc>
          <w:tcPr>
            <w:tcW w:w="2835" w:type="dxa"/>
          </w:tcPr>
          <w:p w14:paraId="7FD60A6F" w14:textId="77777777" w:rsidR="00F67E9E" w:rsidRPr="00383F2E" w:rsidRDefault="00F67E9E" w:rsidP="007F74AA">
            <w:pPr>
              <w:pStyle w:val="StdBodyTextBold"/>
              <w:rPr>
                <w:rFonts w:cs="Arial"/>
              </w:rPr>
            </w:pPr>
            <w:r>
              <w:rPr>
                <w:rFonts w:cs="Arial"/>
              </w:rPr>
              <w:t>“</w:t>
            </w:r>
            <w:r w:rsidRPr="00B70A1B">
              <w:rPr>
                <w:rFonts w:cs="Arial"/>
              </w:rPr>
              <w:t>Higher Risk Sub</w:t>
            </w:r>
            <w:r>
              <w:rPr>
                <w:rFonts w:cs="Arial"/>
              </w:rPr>
              <w:noBreakHyphen/>
            </w:r>
            <w:r w:rsidRPr="00B70A1B">
              <w:rPr>
                <w:rFonts w:cs="Arial"/>
              </w:rPr>
              <w:t>contractor</w:t>
            </w:r>
            <w:r>
              <w:rPr>
                <w:rFonts w:cs="Arial"/>
              </w:rPr>
              <w:t>”</w:t>
            </w:r>
          </w:p>
        </w:tc>
        <w:tc>
          <w:tcPr>
            <w:tcW w:w="6803" w:type="dxa"/>
          </w:tcPr>
          <w:p w14:paraId="515B39D0" w14:textId="77777777" w:rsidR="00F67E9E" w:rsidRPr="00C549FA" w:rsidRDefault="00F67E9E" w:rsidP="007F74AA">
            <w:pPr>
              <w:pStyle w:val="StdBodyText"/>
              <w:rPr>
                <w:rFonts w:cs="Arial"/>
                <w:highlight w:val="yellow"/>
              </w:rPr>
            </w:pPr>
            <w:r w:rsidRPr="00C549FA">
              <w:rPr>
                <w:rFonts w:cs="Arial"/>
              </w:rPr>
              <w:t xml:space="preserve">means a </w:t>
            </w:r>
            <w:r w:rsidRPr="00F511A1">
              <w:rPr>
                <w:rFonts w:cs="Arial"/>
              </w:rPr>
              <w:t>Sub-contractor that</w:t>
            </w:r>
            <w:r w:rsidRPr="00C549FA">
              <w:rPr>
                <w:rFonts w:cs="Arial"/>
              </w:rPr>
              <w:t xml:space="preserve"> Processes Authority Data[</w:t>
            </w:r>
            <w:r w:rsidRPr="00C549FA">
              <w:rPr>
                <w:rFonts w:cs="Arial"/>
                <w:highlight w:val="yellow"/>
              </w:rPr>
              <w:t>, where that data includes either:</w:t>
            </w:r>
          </w:p>
          <w:p w14:paraId="33C5B336" w14:textId="77777777" w:rsidR="00F67E9E" w:rsidRPr="00DC04FB" w:rsidRDefault="00F67E9E" w:rsidP="007F74AA">
            <w:pPr>
              <w:pStyle w:val="DefinitionList"/>
              <w:numPr>
                <w:ilvl w:val="0"/>
                <w:numId w:val="116"/>
              </w:numPr>
              <w:rPr>
                <w:rFonts w:cs="Arial"/>
                <w:highlight w:val="yellow"/>
              </w:rPr>
            </w:pPr>
            <w:r w:rsidRPr="00DC04FB">
              <w:rPr>
                <w:rFonts w:cs="Arial"/>
                <w:highlight w:val="yellow"/>
              </w:rPr>
              <w:t xml:space="preserve">the Personal Data of 1000 or more individuals in aggregate during the period between the first Operational Service Commencement Date and the date on which this Contract terminates in accordance with </w:t>
            </w:r>
            <w:bookmarkStart w:id="501" w:name="_9kR3WTr2BBAJEJChrAv8Jr"/>
            <w:r w:rsidRPr="00DC04FB">
              <w:rPr>
                <w:rFonts w:cs="Arial"/>
                <w:highlight w:val="yellow"/>
              </w:rPr>
              <w:t>Clause 4.1(b)</w:t>
            </w:r>
            <w:bookmarkEnd w:id="501"/>
            <w:r w:rsidRPr="00DC04FB">
              <w:rPr>
                <w:rFonts w:cs="Arial"/>
                <w:highlight w:val="yellow"/>
              </w:rPr>
              <w:t>; or</w:t>
            </w:r>
          </w:p>
          <w:p w14:paraId="4278DF81" w14:textId="77777777" w:rsidR="00F67E9E" w:rsidRPr="00F27478" w:rsidRDefault="00F67E9E" w:rsidP="00F67E9E">
            <w:pPr>
              <w:pStyle w:val="DefinitionList"/>
              <w:numPr>
                <w:ilvl w:val="0"/>
                <w:numId w:val="108"/>
              </w:numPr>
              <w:rPr>
                <w:rFonts w:cs="Arial"/>
                <w:highlight w:val="yellow"/>
              </w:rPr>
            </w:pPr>
            <w:r w:rsidRPr="00F27478">
              <w:rPr>
                <w:rFonts w:cs="Arial"/>
                <w:highlight w:val="yellow"/>
              </w:rPr>
              <w:t>any part of that data includes any of the following:</w:t>
            </w:r>
          </w:p>
          <w:p w14:paraId="32233D3E" w14:textId="77777777" w:rsidR="00F67E9E" w:rsidRPr="00F27478" w:rsidRDefault="00F67E9E" w:rsidP="00F67E9E">
            <w:pPr>
              <w:pStyle w:val="DefinitionListLevel1"/>
              <w:numPr>
                <w:ilvl w:val="1"/>
                <w:numId w:val="108"/>
              </w:numPr>
              <w:rPr>
                <w:highlight w:val="yellow"/>
              </w:rPr>
            </w:pPr>
            <w:r w:rsidRPr="00F27478">
              <w:rPr>
                <w:highlight w:val="yellow"/>
              </w:rPr>
              <w:t>financial information (including any tax and/or welfare information) relating to any person;</w:t>
            </w:r>
          </w:p>
          <w:p w14:paraId="0CF14426" w14:textId="77777777" w:rsidR="00F67E9E" w:rsidRPr="00F27478" w:rsidRDefault="00F67E9E" w:rsidP="00F67E9E">
            <w:pPr>
              <w:pStyle w:val="DefinitionListLevel1"/>
              <w:numPr>
                <w:ilvl w:val="1"/>
                <w:numId w:val="108"/>
              </w:numPr>
              <w:rPr>
                <w:highlight w:val="yellow"/>
              </w:rPr>
            </w:pPr>
            <w:r w:rsidRPr="00F27478">
              <w:rPr>
                <w:highlight w:val="yellow"/>
              </w:rPr>
              <w:t>any information relating to actual or alleged criminal offences (including criminal records);</w:t>
            </w:r>
          </w:p>
          <w:p w14:paraId="1ED02A5E" w14:textId="77777777" w:rsidR="00F67E9E" w:rsidRPr="00F27478" w:rsidRDefault="00F67E9E" w:rsidP="00F67E9E">
            <w:pPr>
              <w:pStyle w:val="DefinitionListLevel1"/>
              <w:numPr>
                <w:ilvl w:val="1"/>
                <w:numId w:val="108"/>
              </w:numPr>
              <w:rPr>
                <w:highlight w:val="yellow"/>
              </w:rPr>
            </w:pPr>
            <w:r w:rsidRPr="00F27478">
              <w:rPr>
                <w:highlight w:val="yellow"/>
              </w:rPr>
              <w:t>any information relating to children and/or vulnerable persons;</w:t>
            </w:r>
          </w:p>
          <w:p w14:paraId="32F61358" w14:textId="77777777" w:rsidR="00F67E9E" w:rsidRPr="00F27478" w:rsidRDefault="00F67E9E" w:rsidP="00F67E9E">
            <w:pPr>
              <w:pStyle w:val="DefinitionListLevel1"/>
              <w:numPr>
                <w:ilvl w:val="1"/>
                <w:numId w:val="108"/>
              </w:numPr>
              <w:rPr>
                <w:highlight w:val="yellow"/>
              </w:rPr>
            </w:pPr>
            <w:r w:rsidRPr="00F27478">
              <w:rPr>
                <w:highlight w:val="yellow"/>
              </w:rPr>
              <w:t>any information relating to social care;</w:t>
            </w:r>
          </w:p>
          <w:p w14:paraId="2550DD7A" w14:textId="77777777" w:rsidR="00F67E9E" w:rsidRPr="00F27478" w:rsidRDefault="00F67E9E" w:rsidP="00F67E9E">
            <w:pPr>
              <w:pStyle w:val="DefinitionListLevel1"/>
              <w:numPr>
                <w:ilvl w:val="1"/>
                <w:numId w:val="108"/>
              </w:numPr>
              <w:rPr>
                <w:highlight w:val="yellow"/>
              </w:rPr>
            </w:pPr>
            <w:r w:rsidRPr="00F27478">
              <w:rPr>
                <w:highlight w:val="yellow"/>
              </w:rPr>
              <w:t>any information relating to a person</w:t>
            </w:r>
            <w:r>
              <w:rPr>
                <w:highlight w:val="yellow"/>
              </w:rPr>
              <w:t>’</w:t>
            </w:r>
            <w:r w:rsidRPr="00F27478">
              <w:rPr>
                <w:highlight w:val="yellow"/>
              </w:rPr>
              <w:t>s current or past employment; or</w:t>
            </w:r>
          </w:p>
          <w:p w14:paraId="2A4D683D" w14:textId="77777777" w:rsidR="00F67E9E" w:rsidRPr="00F27478" w:rsidRDefault="00F67E9E" w:rsidP="00F67E9E">
            <w:pPr>
              <w:pStyle w:val="DefinitionListLevel1"/>
              <w:numPr>
                <w:ilvl w:val="1"/>
                <w:numId w:val="108"/>
              </w:numPr>
              <w:rPr>
                <w:highlight w:val="yellow"/>
              </w:rPr>
            </w:pPr>
            <w:r w:rsidRPr="00F27478">
              <w:rPr>
                <w:highlight w:val="yellow"/>
              </w:rPr>
              <w:t>Special Category Personal Data; or</w:t>
            </w:r>
          </w:p>
          <w:p w14:paraId="76A4BA9B" w14:textId="77777777" w:rsidR="00F67E9E" w:rsidRPr="00F27478" w:rsidRDefault="00F67E9E" w:rsidP="007F74AA">
            <w:pPr>
              <w:pStyle w:val="DefinitionList"/>
              <w:numPr>
                <w:ilvl w:val="0"/>
                <w:numId w:val="116"/>
              </w:numPr>
              <w:rPr>
                <w:rFonts w:cs="Arial"/>
                <w:highlight w:val="yellow"/>
              </w:rPr>
            </w:pPr>
            <w:r>
              <w:rPr>
                <w:rFonts w:cs="Arial"/>
                <w:highlight w:val="yellow"/>
              </w:rPr>
              <w:t>the Authority in its discretion, designates a Sub-contractor as a Higher Risk Sub-Contractor in any procurement document related to this Contract; or</w:t>
            </w:r>
          </w:p>
          <w:p w14:paraId="2897D355" w14:textId="77777777" w:rsidR="00F67E9E" w:rsidRPr="00B70A1B" w:rsidRDefault="00F67E9E" w:rsidP="00F67E9E">
            <w:pPr>
              <w:pStyle w:val="DefinitionList"/>
              <w:numPr>
                <w:ilvl w:val="0"/>
                <w:numId w:val="108"/>
              </w:numPr>
              <w:rPr>
                <w:rFonts w:cs="Arial"/>
                <w:highlight w:val="yellow"/>
              </w:rPr>
            </w:pPr>
            <w:r w:rsidRPr="00F27478">
              <w:rPr>
                <w:rFonts w:cs="Arial"/>
                <w:highlight w:val="yellow"/>
              </w:rPr>
              <w:t>the Authority considers in its discretion, that any actual or potential Processing carried out by the S</w:t>
            </w:r>
            <w:r w:rsidRPr="00B70A1B">
              <w:rPr>
                <w:rFonts w:cs="Arial"/>
                <w:highlight w:val="yellow"/>
              </w:rPr>
              <w:t xml:space="preserve">ub-contractor is high risk] </w:t>
            </w:r>
          </w:p>
          <w:p w14:paraId="639323A4" w14:textId="77777777" w:rsidR="00F67E9E" w:rsidRPr="00F97284" w:rsidRDefault="00F67E9E" w:rsidP="007F74AA">
            <w:pPr>
              <w:pStyle w:val="StdBodyText"/>
              <w:rPr>
                <w:rFonts w:cs="Arial"/>
                <w:b/>
                <w:iCs/>
              </w:rPr>
            </w:pPr>
            <w:r>
              <w:rPr>
                <w:rFonts w:cs="Arial"/>
                <w:b/>
                <w:iCs/>
                <w:highlight w:val="yellow"/>
              </w:rPr>
              <w:t>[Guidance note:</w:t>
            </w:r>
            <w:r w:rsidRPr="00DC04FB">
              <w:rPr>
                <w:rFonts w:cs="Arial"/>
                <w:b/>
                <w:bCs/>
                <w:i/>
                <w:highlight w:val="yellow"/>
              </w:rPr>
              <w:t xml:space="preserve"> </w:t>
            </w:r>
            <w:r w:rsidRPr="00140BDF">
              <w:rPr>
                <w:rFonts w:cs="Arial"/>
                <w:b/>
                <w:bCs/>
                <w:i/>
                <w:highlight w:val="yellow"/>
              </w:rPr>
              <w:t>This definition is provided as an example only and should be modified to take into account the circumstances of the individual Contract.</w:t>
            </w:r>
            <w:r w:rsidRPr="00140BDF">
              <w:rPr>
                <w:rFonts w:cs="Arial"/>
                <w:b/>
                <w:bCs/>
                <w:iCs/>
                <w:highlight w:val="yellow"/>
              </w:rPr>
              <w:t>]</w:t>
            </w:r>
          </w:p>
        </w:tc>
      </w:tr>
      <w:tr w:rsidR="00F67E9E" w:rsidRPr="001B1EB0" w14:paraId="79B9F581" w14:textId="77777777" w:rsidTr="007F74AA">
        <w:tc>
          <w:tcPr>
            <w:tcW w:w="2835" w:type="dxa"/>
          </w:tcPr>
          <w:p w14:paraId="7590E864" w14:textId="77777777" w:rsidR="00F67E9E" w:rsidRPr="001B1EB0" w:rsidRDefault="00F67E9E" w:rsidP="007F74AA">
            <w:pPr>
              <w:pStyle w:val="StdBodyTextBold"/>
              <w:rPr>
                <w:rFonts w:cs="Arial"/>
              </w:rPr>
            </w:pPr>
            <w:r>
              <w:rPr>
                <w:rFonts w:cs="Arial"/>
              </w:rPr>
              <w:t>“</w:t>
            </w:r>
            <w:r w:rsidRPr="001B1EB0">
              <w:rPr>
                <w:rFonts w:cs="Arial"/>
              </w:rPr>
              <w:t>Cyber Essentials</w:t>
            </w:r>
            <w:r>
              <w:rPr>
                <w:rFonts w:cs="Arial"/>
              </w:rPr>
              <w:t>”</w:t>
            </w:r>
          </w:p>
        </w:tc>
        <w:tc>
          <w:tcPr>
            <w:tcW w:w="6803" w:type="dxa"/>
          </w:tcPr>
          <w:p w14:paraId="533029A1" w14:textId="77777777" w:rsidR="00F67E9E" w:rsidRPr="001B1EB0" w:rsidRDefault="00F67E9E" w:rsidP="007F74AA">
            <w:pPr>
              <w:pStyle w:val="StdBodyText"/>
              <w:rPr>
                <w:rFonts w:cs="Arial"/>
              </w:rPr>
            </w:pPr>
            <w:r w:rsidRPr="001B1EB0">
              <w:rPr>
                <w:rFonts w:cs="Arial"/>
              </w:rPr>
              <w:t>means the Cyber Essentials certificate issued under the Cyber Essentials Scheme;</w:t>
            </w:r>
          </w:p>
        </w:tc>
      </w:tr>
      <w:tr w:rsidR="00F67E9E" w:rsidRPr="001B1EB0" w14:paraId="3FC6B414" w14:textId="77777777" w:rsidTr="007F74AA">
        <w:tc>
          <w:tcPr>
            <w:tcW w:w="2835" w:type="dxa"/>
          </w:tcPr>
          <w:p w14:paraId="6E0C44E8" w14:textId="77777777" w:rsidR="00F67E9E" w:rsidRPr="001B1EB0" w:rsidRDefault="00F67E9E" w:rsidP="007F74AA">
            <w:pPr>
              <w:pStyle w:val="StdBodyTextBold"/>
              <w:rPr>
                <w:rFonts w:cs="Arial"/>
              </w:rPr>
            </w:pPr>
            <w:r>
              <w:rPr>
                <w:rFonts w:cs="Arial"/>
              </w:rPr>
              <w:t>“</w:t>
            </w:r>
            <w:r w:rsidRPr="001B1EB0">
              <w:rPr>
                <w:rFonts w:cs="Arial"/>
              </w:rPr>
              <w:t>Cyber Essentials Plus</w:t>
            </w:r>
            <w:r>
              <w:rPr>
                <w:rFonts w:cs="Arial"/>
              </w:rPr>
              <w:t>”</w:t>
            </w:r>
          </w:p>
        </w:tc>
        <w:tc>
          <w:tcPr>
            <w:tcW w:w="6803" w:type="dxa"/>
          </w:tcPr>
          <w:p w14:paraId="67BC599C" w14:textId="77777777" w:rsidR="00F67E9E" w:rsidRPr="001B1EB0" w:rsidRDefault="00F67E9E" w:rsidP="007F74AA">
            <w:pPr>
              <w:pStyle w:val="StdBodyText"/>
              <w:rPr>
                <w:rFonts w:cs="Arial"/>
              </w:rPr>
            </w:pPr>
            <w:r w:rsidRPr="001B1EB0">
              <w:rPr>
                <w:rFonts w:cs="Arial"/>
              </w:rPr>
              <w:t>means the Cyber Essentials Plus certificate issued under the Cyber Essentials Scheme;</w:t>
            </w:r>
          </w:p>
        </w:tc>
      </w:tr>
      <w:tr w:rsidR="00F67E9E" w:rsidRPr="001B1EB0" w14:paraId="6B9E441B" w14:textId="77777777" w:rsidTr="007F74AA">
        <w:tc>
          <w:tcPr>
            <w:tcW w:w="2835" w:type="dxa"/>
          </w:tcPr>
          <w:p w14:paraId="44F72727" w14:textId="77777777" w:rsidR="00F67E9E" w:rsidRPr="001B1EB0" w:rsidRDefault="00F67E9E" w:rsidP="007F74AA">
            <w:pPr>
              <w:pStyle w:val="StdBodyTextBold"/>
              <w:rPr>
                <w:rFonts w:cs="Arial"/>
              </w:rPr>
            </w:pPr>
            <w:r>
              <w:rPr>
                <w:rFonts w:cs="Arial"/>
              </w:rPr>
              <w:t>“</w:t>
            </w:r>
            <w:r w:rsidRPr="001B1EB0">
              <w:rPr>
                <w:rFonts w:cs="Arial"/>
              </w:rPr>
              <w:t>Cyber Essentials Scheme</w:t>
            </w:r>
            <w:r>
              <w:rPr>
                <w:rFonts w:cs="Arial"/>
              </w:rPr>
              <w:t>”</w:t>
            </w:r>
          </w:p>
        </w:tc>
        <w:tc>
          <w:tcPr>
            <w:tcW w:w="6803" w:type="dxa"/>
          </w:tcPr>
          <w:p w14:paraId="58A5CC5F" w14:textId="77777777" w:rsidR="00F67E9E" w:rsidRPr="001B1EB0" w:rsidRDefault="00F67E9E" w:rsidP="007F74AA">
            <w:pPr>
              <w:pStyle w:val="StdBodyText"/>
              <w:rPr>
                <w:rFonts w:cs="Arial"/>
              </w:rPr>
            </w:pPr>
            <w:r w:rsidRPr="001B1EB0">
              <w:rPr>
                <w:rFonts w:cs="Arial"/>
              </w:rPr>
              <w:t>means the Cyber Essentials scheme operated by the National Cyber Security Centre;</w:t>
            </w:r>
          </w:p>
        </w:tc>
      </w:tr>
      <w:tr w:rsidR="00F67E9E" w:rsidRPr="001B1EB0" w14:paraId="4D71A749" w14:textId="77777777" w:rsidTr="007F74AA">
        <w:tc>
          <w:tcPr>
            <w:tcW w:w="2835" w:type="dxa"/>
          </w:tcPr>
          <w:p w14:paraId="31A7B9B8" w14:textId="77777777" w:rsidR="00F67E9E" w:rsidRPr="001B1EB0" w:rsidRDefault="00F67E9E" w:rsidP="007F74AA">
            <w:pPr>
              <w:pStyle w:val="StdBodyTextBold"/>
              <w:rPr>
                <w:rFonts w:cs="Arial"/>
              </w:rPr>
            </w:pPr>
            <w:r>
              <w:rPr>
                <w:rFonts w:cs="Arial"/>
              </w:rPr>
              <w:t>“</w:t>
            </w:r>
            <w:r w:rsidRPr="001B1EB0">
              <w:rPr>
                <w:rFonts w:cs="Arial"/>
              </w:rPr>
              <w:t>Incident Management Process</w:t>
            </w:r>
            <w:r>
              <w:rPr>
                <w:rFonts w:cs="Arial"/>
              </w:rPr>
              <w:t>”</w:t>
            </w:r>
          </w:p>
        </w:tc>
        <w:tc>
          <w:tcPr>
            <w:tcW w:w="6803" w:type="dxa"/>
          </w:tcPr>
          <w:p w14:paraId="0A8C8FB4" w14:textId="18F8CE74" w:rsidR="00F67E9E" w:rsidRPr="00B70A1B" w:rsidRDefault="00F67E9E" w:rsidP="007F74AA">
            <w:pPr>
              <w:pStyle w:val="StdBodyText"/>
              <w:rPr>
                <w:rFonts w:cs="Arial"/>
              </w:rPr>
            </w:pPr>
            <w:r w:rsidRPr="00B70A1B">
              <w:rPr>
                <w:rFonts w:cs="Arial"/>
              </w:rPr>
              <w:t xml:space="preserve">means the process which the Supplier shall implement immediately after it becomes aware of a Breach of Security which is intended to restore normal operations as quickly as possible, minimising any adverse impact on the Authority Data, the Authority, the Services and/or users of the Services and which shall be shall be prepared by the Supplier in accordance with </w:t>
            </w:r>
            <w:bookmarkStart w:id="502" w:name="_9kR3WTr2BBAKIZEnoewrqyE"/>
            <w:r w:rsidRPr="00B70A1B">
              <w:rPr>
                <w:rFonts w:cs="Arial"/>
              </w:rPr>
              <w:t xml:space="preserve">Paragraph </w:t>
            </w:r>
            <w:r w:rsidRPr="00B70A1B">
              <w:rPr>
                <w:rFonts w:cs="Arial"/>
              </w:rPr>
              <w:fldChar w:fldCharType="begin"/>
            </w:r>
            <w:r w:rsidRPr="00B70A1B">
              <w:rPr>
                <w:rFonts w:cs="Arial"/>
              </w:rPr>
              <w:instrText xml:space="preserve"> REF _Ref_ContractCompanion_9kb9Ur6FB \w \n \h \t \* MERGEFORMAT </w:instrText>
            </w:r>
            <w:r w:rsidRPr="00B70A1B">
              <w:rPr>
                <w:rFonts w:cs="Arial"/>
              </w:rPr>
            </w:r>
            <w:r w:rsidRPr="00B70A1B">
              <w:rPr>
                <w:rFonts w:cs="Arial"/>
              </w:rPr>
              <w:fldChar w:fldCharType="separate"/>
            </w:r>
            <w:r w:rsidR="00302D39">
              <w:rPr>
                <w:rFonts w:cs="Arial"/>
              </w:rPr>
              <w:t>4</w:t>
            </w:r>
            <w:r w:rsidRPr="00B70A1B">
              <w:rPr>
                <w:rFonts w:cs="Arial"/>
              </w:rPr>
              <w:fldChar w:fldCharType="end"/>
            </w:r>
            <w:bookmarkEnd w:id="502"/>
            <w:r w:rsidRPr="00B70A1B">
              <w:rPr>
                <w:rFonts w:cs="Arial"/>
              </w:rPr>
              <w:t xml:space="preserve"> using the template set out in Annex </w:t>
            </w:r>
            <w:r w:rsidRPr="00B70A1B">
              <w:rPr>
                <w:rFonts w:cs="Arial"/>
              </w:rPr>
              <w:fldChar w:fldCharType="begin"/>
            </w:r>
            <w:r w:rsidRPr="00B70A1B">
              <w:rPr>
                <w:rFonts w:cs="Arial"/>
              </w:rPr>
              <w:instrText xml:space="preserve"> REF ANNEX3_PARTA_SCHEDULE5 \h </w:instrText>
            </w:r>
            <w:r w:rsidRPr="00B70A1B">
              <w:rPr>
                <w:rFonts w:cs="Arial"/>
              </w:rPr>
            </w:r>
            <w:r w:rsidRPr="00B70A1B">
              <w:rPr>
                <w:rFonts w:cs="Arial"/>
              </w:rPr>
              <w:fldChar w:fldCharType="separate"/>
            </w:r>
            <w:r w:rsidR="00302D39" w:rsidRPr="00147F02">
              <w:t>3</w:t>
            </w:r>
            <w:r w:rsidRPr="00B70A1B">
              <w:rPr>
                <w:rFonts w:cs="Arial"/>
              </w:rPr>
              <w:fldChar w:fldCharType="end"/>
            </w:r>
            <w:r w:rsidRPr="00B70A1B">
              <w:rPr>
                <w:rFonts w:cs="Arial"/>
              </w:rPr>
              <w:t>;</w:t>
            </w:r>
          </w:p>
        </w:tc>
      </w:tr>
      <w:tr w:rsidR="00F67E9E" w:rsidRPr="001B1EB0" w14:paraId="10C7CF03" w14:textId="77777777" w:rsidTr="007F74AA">
        <w:tc>
          <w:tcPr>
            <w:tcW w:w="2835" w:type="dxa"/>
          </w:tcPr>
          <w:p w14:paraId="1C2B6C85" w14:textId="77777777" w:rsidR="00F67E9E" w:rsidRPr="001B1EB0" w:rsidRDefault="00F67E9E" w:rsidP="007F74AA">
            <w:pPr>
              <w:pStyle w:val="StdBodyTextBold"/>
              <w:rPr>
                <w:rFonts w:cs="Arial"/>
              </w:rPr>
            </w:pPr>
            <w:r>
              <w:rPr>
                <w:rFonts w:cs="Arial"/>
              </w:rPr>
              <w:t>“</w:t>
            </w:r>
            <w:r w:rsidRPr="001B1EB0">
              <w:rPr>
                <w:rFonts w:cs="Arial"/>
              </w:rPr>
              <w:t>Information Assurance Assessment</w:t>
            </w:r>
            <w:r>
              <w:rPr>
                <w:rFonts w:cs="Arial"/>
              </w:rPr>
              <w:t>”</w:t>
            </w:r>
          </w:p>
        </w:tc>
        <w:tc>
          <w:tcPr>
            <w:tcW w:w="6803" w:type="dxa"/>
          </w:tcPr>
          <w:p w14:paraId="48EEEB5B" w14:textId="620305FF" w:rsidR="00F67E9E" w:rsidRPr="00B70A1B" w:rsidRDefault="00F67E9E" w:rsidP="007F74AA">
            <w:pPr>
              <w:pStyle w:val="StdBodyText"/>
              <w:rPr>
                <w:rFonts w:cs="Arial"/>
              </w:rPr>
            </w:pPr>
            <w:r w:rsidRPr="00B70A1B">
              <w:rPr>
                <w:rFonts w:cs="Arial"/>
              </w:rPr>
              <w:t xml:space="preserve">means the set of policies, procedures, systems and processes which the Supplier shall implement, maintain and update in accordance with </w:t>
            </w:r>
            <w:bookmarkStart w:id="503" w:name="_9kMHG5YVt4DDCMKbGpqgyts0G"/>
            <w:r w:rsidRPr="00B70A1B">
              <w:rPr>
                <w:rFonts w:cs="Arial"/>
              </w:rPr>
              <w:t xml:space="preserve">Paragraph </w:t>
            </w:r>
            <w:r w:rsidRPr="00B70A1B">
              <w:rPr>
                <w:rFonts w:cs="Arial"/>
              </w:rPr>
              <w:fldChar w:fldCharType="begin"/>
            </w:r>
            <w:r w:rsidRPr="00B70A1B">
              <w:rPr>
                <w:rFonts w:cs="Arial"/>
              </w:rPr>
              <w:instrText xml:space="preserve"> REF _Ref_ContractCompanion_9kb9Ur6FD \w \n \h \t \* MERGEFORMAT </w:instrText>
            </w:r>
            <w:r w:rsidRPr="00B70A1B">
              <w:rPr>
                <w:rFonts w:cs="Arial"/>
              </w:rPr>
            </w:r>
            <w:r w:rsidRPr="00B70A1B">
              <w:rPr>
                <w:rFonts w:cs="Arial"/>
              </w:rPr>
              <w:fldChar w:fldCharType="separate"/>
            </w:r>
            <w:r w:rsidR="00302D39">
              <w:rPr>
                <w:rFonts w:cs="Arial"/>
              </w:rPr>
              <w:t>4</w:t>
            </w:r>
            <w:r w:rsidRPr="00B70A1B">
              <w:rPr>
                <w:rFonts w:cs="Arial"/>
              </w:rPr>
              <w:fldChar w:fldCharType="end"/>
            </w:r>
            <w:bookmarkEnd w:id="503"/>
            <w:r w:rsidRPr="00B70A1B">
              <w:rPr>
                <w:rFonts w:cs="Arial"/>
              </w:rPr>
              <w:t xml:space="preserve"> in order to manage, mitigate and, where possible, avoid information security risks including cyber-attacks, hacks, data leaks, </w:t>
            </w:r>
            <w:r>
              <w:rPr>
                <w:rFonts w:cs="Arial"/>
              </w:rPr>
              <w:t>Data Loss Event</w:t>
            </w:r>
            <w:r w:rsidRPr="00B70A1B">
              <w:rPr>
                <w:rFonts w:cs="Arial"/>
              </w:rPr>
              <w:t>es and/or theft and which shall be prepared by the Supplier using the template set out in</w:t>
            </w:r>
            <w:r>
              <w:rPr>
                <w:rFonts w:cs="Arial"/>
              </w:rPr>
              <w:t xml:space="preserve"> Annex </w:t>
            </w:r>
            <w:r>
              <w:rPr>
                <w:rFonts w:cs="Arial"/>
              </w:rPr>
              <w:fldChar w:fldCharType="begin"/>
            </w:r>
            <w:r>
              <w:rPr>
                <w:rFonts w:cs="Arial"/>
              </w:rPr>
              <w:instrText xml:space="preserve"> REF ANNEX3_SCHEDULE5 \h </w:instrText>
            </w:r>
            <w:r>
              <w:rPr>
                <w:rFonts w:cs="Arial"/>
              </w:rPr>
            </w:r>
            <w:r>
              <w:rPr>
                <w:rFonts w:cs="Arial"/>
              </w:rPr>
              <w:fldChar w:fldCharType="separate"/>
            </w:r>
            <w:r w:rsidR="00302D39" w:rsidRPr="00147F02">
              <w:t>3</w:t>
            </w:r>
            <w:r>
              <w:rPr>
                <w:rFonts w:cs="Arial"/>
              </w:rPr>
              <w:fldChar w:fldCharType="end"/>
            </w:r>
            <w:r w:rsidRPr="00B70A1B">
              <w:rPr>
                <w:rFonts w:cs="Arial"/>
              </w:rPr>
              <w:t>;</w:t>
            </w:r>
          </w:p>
        </w:tc>
      </w:tr>
      <w:tr w:rsidR="00F67E9E" w:rsidRPr="001B1EB0" w14:paraId="637E7D06" w14:textId="77777777" w:rsidTr="007F74AA">
        <w:tc>
          <w:tcPr>
            <w:tcW w:w="2835" w:type="dxa"/>
          </w:tcPr>
          <w:p w14:paraId="5C5D6E78" w14:textId="77777777" w:rsidR="00F67E9E" w:rsidRPr="001B1EB0" w:rsidRDefault="00F67E9E" w:rsidP="007F74AA">
            <w:pPr>
              <w:pStyle w:val="StdBodyTextBold"/>
              <w:rPr>
                <w:rFonts w:cs="Arial"/>
              </w:rPr>
            </w:pPr>
            <w:r>
              <w:rPr>
                <w:rFonts w:cs="Arial"/>
              </w:rPr>
              <w:t>“</w:t>
            </w:r>
            <w:r w:rsidRPr="001B1EB0">
              <w:rPr>
                <w:rFonts w:cs="Arial"/>
              </w:rPr>
              <w:t>Information Management System</w:t>
            </w:r>
            <w:r>
              <w:rPr>
                <w:rFonts w:cs="Arial"/>
              </w:rPr>
              <w:t>”</w:t>
            </w:r>
          </w:p>
        </w:tc>
        <w:tc>
          <w:tcPr>
            <w:tcW w:w="6803" w:type="dxa"/>
          </w:tcPr>
          <w:p w14:paraId="0763DD45" w14:textId="77777777" w:rsidR="00F67E9E" w:rsidRPr="00B70A1B" w:rsidRDefault="00F67E9E" w:rsidP="007F74AA">
            <w:pPr>
              <w:pStyle w:val="StdBodyText"/>
              <w:rPr>
                <w:rFonts w:cs="Arial"/>
              </w:rPr>
            </w:pPr>
            <w:r w:rsidRPr="00B70A1B">
              <w:rPr>
                <w:rFonts w:cs="Arial"/>
              </w:rPr>
              <w:t>means</w:t>
            </w:r>
          </w:p>
          <w:p w14:paraId="1D2C5438" w14:textId="77777777" w:rsidR="00F67E9E" w:rsidRPr="00DC04FB" w:rsidRDefault="00F67E9E" w:rsidP="007F74AA">
            <w:pPr>
              <w:pStyle w:val="DefinitionList"/>
              <w:numPr>
                <w:ilvl w:val="0"/>
                <w:numId w:val="117"/>
              </w:numPr>
            </w:pPr>
            <w:r w:rsidRPr="00DC04FB">
              <w:t>those parts of the Supplier System, and those of the Sites, that the Supplier or its Sub-contractors will use to provide the parts of the Services that require Processing Authority Data; and</w:t>
            </w:r>
          </w:p>
          <w:p w14:paraId="48A7AC01" w14:textId="77777777" w:rsidR="00F67E9E" w:rsidRPr="00DC04FB" w:rsidRDefault="00F67E9E" w:rsidP="007F74AA">
            <w:pPr>
              <w:pStyle w:val="DefinitionList"/>
              <w:numPr>
                <w:ilvl w:val="0"/>
                <w:numId w:val="117"/>
              </w:numPr>
              <w:rPr>
                <w:rFonts w:cs="Arial"/>
              </w:rPr>
            </w:pPr>
            <w:r w:rsidRPr="00DC04FB">
              <w:rPr>
                <w:rFonts w:cs="Arial"/>
              </w:rPr>
              <w:t>the associated information assets and systems (including organisational structure, controls, policies, practices, procedures, processes and resources);</w:t>
            </w:r>
          </w:p>
        </w:tc>
      </w:tr>
      <w:tr w:rsidR="00F67E9E" w:rsidRPr="001B1EB0" w14:paraId="68FFAB05" w14:textId="77777777" w:rsidTr="007F74AA">
        <w:tc>
          <w:tcPr>
            <w:tcW w:w="2835" w:type="dxa"/>
          </w:tcPr>
          <w:p w14:paraId="068F4725" w14:textId="77777777" w:rsidR="00F67E9E" w:rsidRPr="001B1EB0" w:rsidRDefault="00F67E9E" w:rsidP="007F74AA">
            <w:pPr>
              <w:pStyle w:val="StdBodyTextBold"/>
              <w:rPr>
                <w:rFonts w:cs="Arial"/>
              </w:rPr>
            </w:pPr>
            <w:r>
              <w:rPr>
                <w:rFonts w:cs="Arial"/>
              </w:rPr>
              <w:t>“</w:t>
            </w:r>
            <w:r w:rsidRPr="001B1EB0">
              <w:rPr>
                <w:rFonts w:cs="Arial"/>
              </w:rPr>
              <w:t>Information Security Approval Statement</w:t>
            </w:r>
            <w:r>
              <w:rPr>
                <w:rFonts w:cs="Arial"/>
              </w:rPr>
              <w:t>”</w:t>
            </w:r>
          </w:p>
        </w:tc>
        <w:tc>
          <w:tcPr>
            <w:tcW w:w="6803" w:type="dxa"/>
          </w:tcPr>
          <w:p w14:paraId="41A90280" w14:textId="77777777" w:rsidR="00F67E9E" w:rsidRPr="005D0525" w:rsidRDefault="00F67E9E" w:rsidP="007F74AA">
            <w:pPr>
              <w:pStyle w:val="StdBodyText"/>
              <w:rPr>
                <w:rFonts w:cs="Arial"/>
              </w:rPr>
            </w:pPr>
            <w:r w:rsidRPr="001B1EB0">
              <w:rPr>
                <w:rFonts w:cs="Arial"/>
              </w:rPr>
              <w:t>means a notice issued by the Authority which sets out the information risks which the Supplier has identified as being associated with using the Information Management System and confirms that:</w:t>
            </w:r>
          </w:p>
          <w:p w14:paraId="0BD1BADA" w14:textId="77777777" w:rsidR="00F67E9E" w:rsidRPr="00DC04FB" w:rsidRDefault="00F67E9E" w:rsidP="007F74AA">
            <w:pPr>
              <w:pStyle w:val="DefinitionList"/>
              <w:numPr>
                <w:ilvl w:val="0"/>
                <w:numId w:val="118"/>
              </w:numPr>
              <w:rPr>
                <w:rFonts w:cs="Arial"/>
              </w:rPr>
            </w:pPr>
            <w:r w:rsidRPr="00DC04FB">
              <w:rPr>
                <w:rFonts w:cs="Arial"/>
              </w:rPr>
              <w:t>the Authority is satisfied that the identified risks have been adequately and appropriately addressed;</w:t>
            </w:r>
          </w:p>
          <w:p w14:paraId="07F9E237" w14:textId="77777777" w:rsidR="00F67E9E" w:rsidRPr="001B1EB0" w:rsidRDefault="00F67E9E" w:rsidP="007F74AA">
            <w:pPr>
              <w:pStyle w:val="DefinitionList"/>
              <w:numPr>
                <w:ilvl w:val="0"/>
                <w:numId w:val="117"/>
              </w:numPr>
              <w:rPr>
                <w:rFonts w:cs="Arial"/>
              </w:rPr>
            </w:pPr>
            <w:r w:rsidRPr="001B1EB0">
              <w:rPr>
                <w:rFonts w:cs="Arial"/>
              </w:rPr>
              <w:t>the Authority has accepted the residual risks; and</w:t>
            </w:r>
          </w:p>
          <w:p w14:paraId="1868011E" w14:textId="77777777" w:rsidR="00F67E9E" w:rsidRPr="001B1EB0" w:rsidRDefault="00F67E9E" w:rsidP="007F74AA">
            <w:pPr>
              <w:pStyle w:val="DefinitionList"/>
              <w:numPr>
                <w:ilvl w:val="0"/>
                <w:numId w:val="117"/>
              </w:numPr>
              <w:rPr>
                <w:rFonts w:cs="Arial"/>
              </w:rPr>
            </w:pPr>
            <w:r w:rsidRPr="001B1EB0">
              <w:rPr>
                <w:rFonts w:cs="Arial"/>
              </w:rPr>
              <w:t>the Supplier may use the Information Management System to Process Authority Data;</w:t>
            </w:r>
          </w:p>
        </w:tc>
      </w:tr>
      <w:tr w:rsidR="00F67E9E" w:rsidRPr="001B1EB0" w14:paraId="784DA34B" w14:textId="77777777" w:rsidTr="007F74AA">
        <w:tc>
          <w:tcPr>
            <w:tcW w:w="2835" w:type="dxa"/>
          </w:tcPr>
          <w:p w14:paraId="3350D7D4" w14:textId="77777777" w:rsidR="00F67E9E" w:rsidRPr="001B1EB0" w:rsidRDefault="00F67E9E" w:rsidP="007F74AA">
            <w:pPr>
              <w:pStyle w:val="StdBodyTextBold"/>
              <w:rPr>
                <w:rFonts w:cs="Arial"/>
              </w:rPr>
            </w:pPr>
            <w:r>
              <w:rPr>
                <w:rFonts w:cs="Arial"/>
              </w:rPr>
              <w:t>“</w:t>
            </w:r>
            <w:r w:rsidRPr="001B1EB0">
              <w:rPr>
                <w:rFonts w:cs="Arial"/>
              </w:rPr>
              <w:t>IT Health Check</w:t>
            </w:r>
            <w:r>
              <w:rPr>
                <w:rFonts w:cs="Arial"/>
              </w:rPr>
              <w:t>”</w:t>
            </w:r>
          </w:p>
        </w:tc>
        <w:tc>
          <w:tcPr>
            <w:tcW w:w="6803" w:type="dxa"/>
          </w:tcPr>
          <w:p w14:paraId="3F74A0E7" w14:textId="7B7AB2B9" w:rsidR="00F67E9E" w:rsidRPr="00B70A1B" w:rsidRDefault="00F67E9E" w:rsidP="007F74AA">
            <w:pPr>
              <w:pStyle w:val="StdBodyText"/>
              <w:rPr>
                <w:rFonts w:cs="Arial"/>
              </w:rPr>
            </w:pPr>
            <w:r w:rsidRPr="00B70A1B">
              <w:rPr>
                <w:rFonts w:cs="Arial"/>
              </w:rPr>
              <w:t xml:space="preserve">has the meaning given in </w:t>
            </w:r>
            <w:bookmarkStart w:id="504" w:name="_9kMHG5YVt4DDCKOhGpqgyts0JR"/>
            <w:r w:rsidRPr="00B70A1B">
              <w:rPr>
                <w:rFonts w:cs="Arial"/>
              </w:rPr>
              <w:t xml:space="preserve">Paragraph </w:t>
            </w:r>
            <w:bookmarkEnd w:id="504"/>
            <w:r w:rsidRPr="00B70A1B">
              <w:rPr>
                <w:rFonts w:cs="Arial"/>
              </w:rPr>
              <w:fldChar w:fldCharType="begin"/>
            </w:r>
            <w:r w:rsidRPr="00B70A1B">
              <w:rPr>
                <w:rFonts w:cs="Arial"/>
              </w:rPr>
              <w:instrText xml:space="preserve"> REF _Ref99026593 \w \h </w:instrText>
            </w:r>
            <w:r>
              <w:rPr>
                <w:rFonts w:cs="Arial"/>
              </w:rPr>
              <w:instrText xml:space="preserve"> \* MERGEFORMAT </w:instrText>
            </w:r>
            <w:r w:rsidRPr="00B70A1B">
              <w:rPr>
                <w:rFonts w:cs="Arial"/>
              </w:rPr>
            </w:r>
            <w:r w:rsidRPr="00B70A1B">
              <w:rPr>
                <w:rFonts w:cs="Arial"/>
              </w:rPr>
              <w:fldChar w:fldCharType="separate"/>
            </w:r>
            <w:r w:rsidR="00302D39">
              <w:rPr>
                <w:rFonts w:cs="Arial"/>
              </w:rPr>
              <w:t>7.1.1</w:t>
            </w:r>
            <w:r w:rsidRPr="00B70A1B">
              <w:rPr>
                <w:rFonts w:cs="Arial"/>
              </w:rPr>
              <w:fldChar w:fldCharType="end"/>
            </w:r>
            <w:r w:rsidRPr="00B70A1B">
              <w:rPr>
                <w:rFonts w:cs="Arial"/>
              </w:rPr>
              <w:t>;</w:t>
            </w:r>
          </w:p>
        </w:tc>
      </w:tr>
      <w:tr w:rsidR="00F67E9E" w:rsidRPr="001B1EB0" w14:paraId="4D89C5A1" w14:textId="77777777" w:rsidTr="007F74AA">
        <w:tc>
          <w:tcPr>
            <w:tcW w:w="2835" w:type="dxa"/>
          </w:tcPr>
          <w:p w14:paraId="557E6B3B" w14:textId="77777777" w:rsidR="00F67E9E" w:rsidRPr="001B1EB0" w:rsidRDefault="00F67E9E" w:rsidP="007F74AA">
            <w:pPr>
              <w:pStyle w:val="StdBodyTextBold"/>
              <w:rPr>
                <w:rFonts w:cs="Arial"/>
              </w:rPr>
            </w:pPr>
            <w:r>
              <w:rPr>
                <w:rFonts w:cs="Arial"/>
              </w:rPr>
              <w:t>“</w:t>
            </w:r>
            <w:r w:rsidRPr="00B70A1B">
              <w:rPr>
                <w:rFonts w:cs="Arial"/>
              </w:rPr>
              <w:t>Medium Risk Sub</w:t>
            </w:r>
            <w:r>
              <w:rPr>
                <w:rFonts w:cs="Arial"/>
              </w:rPr>
              <w:noBreakHyphen/>
            </w:r>
            <w:r w:rsidRPr="00B70A1B">
              <w:rPr>
                <w:rFonts w:cs="Arial"/>
              </w:rPr>
              <w:t>contractor</w:t>
            </w:r>
            <w:r>
              <w:rPr>
                <w:rFonts w:cs="Arial"/>
              </w:rPr>
              <w:t>”</w:t>
            </w:r>
          </w:p>
        </w:tc>
        <w:tc>
          <w:tcPr>
            <w:tcW w:w="6803" w:type="dxa"/>
          </w:tcPr>
          <w:p w14:paraId="6DE4A15B" w14:textId="77777777" w:rsidR="00F67E9E" w:rsidRPr="001B1EB0" w:rsidRDefault="00F67E9E" w:rsidP="007F74AA">
            <w:pPr>
              <w:pStyle w:val="StdBodyText"/>
              <w:rPr>
                <w:rFonts w:cs="Arial"/>
                <w:highlight w:val="yellow"/>
              </w:rPr>
            </w:pPr>
            <w:r w:rsidRPr="001B1EB0">
              <w:rPr>
                <w:rFonts w:cs="Arial"/>
              </w:rPr>
              <w:t xml:space="preserve">means a </w:t>
            </w:r>
            <w:r w:rsidRPr="00B70A1B">
              <w:rPr>
                <w:rFonts w:cs="Arial"/>
              </w:rPr>
              <w:t>Sub-contractor that</w:t>
            </w:r>
            <w:r w:rsidRPr="001B1EB0">
              <w:rPr>
                <w:rFonts w:cs="Arial"/>
              </w:rPr>
              <w:t xml:space="preserve"> Processes Authority Data, [</w:t>
            </w:r>
            <w:r w:rsidRPr="001B1EB0">
              <w:rPr>
                <w:rFonts w:cs="Arial"/>
                <w:highlight w:val="yellow"/>
              </w:rPr>
              <w:t>where that data</w:t>
            </w:r>
          </w:p>
          <w:p w14:paraId="770F019D" w14:textId="77777777" w:rsidR="00F67E9E" w:rsidRPr="00DC04FB" w:rsidRDefault="00F67E9E" w:rsidP="007F74AA">
            <w:pPr>
              <w:pStyle w:val="DefinitionList"/>
              <w:numPr>
                <w:ilvl w:val="0"/>
                <w:numId w:val="119"/>
              </w:numPr>
              <w:rPr>
                <w:rFonts w:cs="Arial"/>
                <w:highlight w:val="yellow"/>
              </w:rPr>
            </w:pPr>
            <w:r w:rsidRPr="00DC04FB">
              <w:rPr>
                <w:rFonts w:cs="Arial"/>
                <w:highlight w:val="yellow"/>
              </w:rPr>
              <w:t xml:space="preserve">includes the Personal Data of between 100 and 999 individuals (inclusive) in the period between the first Operational Service Commencement Date and the date on which this Contract terminates in accordance with </w:t>
            </w:r>
            <w:bookmarkStart w:id="505" w:name="_9kMHG5YVt4DDCLGLEjtCxALt"/>
            <w:r w:rsidRPr="00DC04FB">
              <w:rPr>
                <w:rFonts w:cs="Arial"/>
                <w:highlight w:val="yellow"/>
              </w:rPr>
              <w:t>Clause 4.1(b)</w:t>
            </w:r>
            <w:bookmarkEnd w:id="505"/>
            <w:r w:rsidRPr="00DC04FB">
              <w:rPr>
                <w:rFonts w:cs="Arial"/>
                <w:highlight w:val="yellow"/>
              </w:rPr>
              <w:t>; and</w:t>
            </w:r>
          </w:p>
          <w:p w14:paraId="15BDD10F" w14:textId="77777777" w:rsidR="00F67E9E" w:rsidRPr="00B70A1B" w:rsidRDefault="00F67E9E" w:rsidP="007F74AA">
            <w:pPr>
              <w:pStyle w:val="DefinitionList"/>
              <w:numPr>
                <w:ilvl w:val="0"/>
                <w:numId w:val="117"/>
              </w:numPr>
              <w:rPr>
                <w:rFonts w:cs="Arial"/>
                <w:highlight w:val="yellow"/>
              </w:rPr>
            </w:pPr>
            <w:r w:rsidRPr="00B70A1B">
              <w:rPr>
                <w:rFonts w:cs="Arial"/>
                <w:highlight w:val="yellow"/>
              </w:rPr>
              <w:t>does not include Special Category Personal Data];</w:t>
            </w:r>
          </w:p>
          <w:p w14:paraId="2E09EB04" w14:textId="77777777" w:rsidR="00F67E9E" w:rsidRPr="00DC04FB" w:rsidRDefault="00F67E9E" w:rsidP="007F74AA">
            <w:pPr>
              <w:pStyle w:val="StdBodyText"/>
              <w:rPr>
                <w:rFonts w:cs="Arial"/>
                <w:b/>
                <w:i/>
              </w:rPr>
            </w:pPr>
            <w:r>
              <w:rPr>
                <w:rFonts w:cs="Arial"/>
                <w:b/>
                <w:i/>
                <w:highlight w:val="yellow"/>
              </w:rPr>
              <w:t>[Guidance note:</w:t>
            </w:r>
            <w:r w:rsidRPr="00DC04FB">
              <w:rPr>
                <w:rFonts w:cs="Arial"/>
                <w:bCs/>
                <w:i/>
                <w:highlight w:val="yellow"/>
              </w:rPr>
              <w:t xml:space="preserve"> </w:t>
            </w:r>
            <w:r w:rsidRPr="00C20547">
              <w:rPr>
                <w:rFonts w:cs="Arial"/>
                <w:b/>
                <w:i/>
                <w:highlight w:val="yellow"/>
              </w:rPr>
              <w:t>This definition is provided as an example only and should be modified to take into account the circumstances of the individual Contract.]</w:t>
            </w:r>
          </w:p>
        </w:tc>
      </w:tr>
      <w:tr w:rsidR="00F67E9E" w:rsidRPr="001B1EB0" w14:paraId="3098FCCC" w14:textId="77777777" w:rsidTr="007F74AA">
        <w:tc>
          <w:tcPr>
            <w:tcW w:w="2835" w:type="dxa"/>
          </w:tcPr>
          <w:p w14:paraId="396F8EC6" w14:textId="77777777" w:rsidR="00F67E9E" w:rsidRPr="00C549FA" w:rsidRDefault="00F67E9E" w:rsidP="007F74AA">
            <w:pPr>
              <w:pStyle w:val="StdBodyTextBold"/>
              <w:rPr>
                <w:rFonts w:cs="Arial"/>
              </w:rPr>
            </w:pPr>
            <w:r>
              <w:rPr>
                <w:rFonts w:cs="Arial"/>
              </w:rPr>
              <w:t>“</w:t>
            </w:r>
            <w:r w:rsidRPr="00C549FA">
              <w:rPr>
                <w:rFonts w:cs="Arial"/>
              </w:rPr>
              <w:t>Process</w:t>
            </w:r>
            <w:r>
              <w:rPr>
                <w:rFonts w:cs="Arial"/>
              </w:rPr>
              <w:t>”</w:t>
            </w:r>
          </w:p>
        </w:tc>
        <w:tc>
          <w:tcPr>
            <w:tcW w:w="6803" w:type="dxa"/>
          </w:tcPr>
          <w:p w14:paraId="07C5213E" w14:textId="77777777" w:rsidR="00F67E9E" w:rsidRPr="001B1EB0" w:rsidRDefault="00F67E9E" w:rsidP="007F74AA">
            <w:pPr>
              <w:pStyle w:val="StdBodyText"/>
              <w:rPr>
                <w:rFonts w:cs="Arial"/>
              </w:rPr>
            </w:pPr>
            <w:r w:rsidRPr="001B1EB0">
              <w:rPr>
                <w:rFonts w:cs="Arial"/>
              </w:rPr>
              <w:t>means any operation which is performed on data, whether or not by automated means, including collection, recording, organisation, structuring, storage, adaptation or alteration, retrieval, consultation, use, disclosure by transmission, dissemination or otherwise making available, alignment or combination, restriction, erasure or destruction;</w:t>
            </w:r>
          </w:p>
        </w:tc>
      </w:tr>
      <w:tr w:rsidR="00F67E9E" w:rsidRPr="001B1EB0" w14:paraId="7D69A78A" w14:textId="77777777" w:rsidTr="007F74AA">
        <w:tc>
          <w:tcPr>
            <w:tcW w:w="2835" w:type="dxa"/>
          </w:tcPr>
          <w:p w14:paraId="7826FD91" w14:textId="77777777" w:rsidR="00F67E9E" w:rsidRPr="00F27478" w:rsidRDefault="00F67E9E" w:rsidP="007F74AA">
            <w:pPr>
              <w:pStyle w:val="StdBodyTextBold"/>
              <w:rPr>
                <w:rFonts w:cs="Arial"/>
              </w:rPr>
            </w:pPr>
            <w:r>
              <w:rPr>
                <w:rFonts w:cs="Arial"/>
              </w:rPr>
              <w:t>“</w:t>
            </w:r>
            <w:r w:rsidRPr="00F27478">
              <w:rPr>
                <w:rFonts w:cs="Arial"/>
              </w:rPr>
              <w:t>Remediation Action Plan</w:t>
            </w:r>
            <w:r>
              <w:rPr>
                <w:rFonts w:cs="Arial"/>
              </w:rPr>
              <w:t>”</w:t>
            </w:r>
          </w:p>
        </w:tc>
        <w:tc>
          <w:tcPr>
            <w:tcW w:w="6803" w:type="dxa"/>
          </w:tcPr>
          <w:p w14:paraId="0ADA8D41" w14:textId="57EA49D3" w:rsidR="00F67E9E" w:rsidRPr="00F27478" w:rsidRDefault="00F67E9E" w:rsidP="007F74AA">
            <w:pPr>
              <w:pStyle w:val="StdBodyText"/>
              <w:rPr>
                <w:rFonts w:cs="Arial"/>
              </w:rPr>
            </w:pPr>
            <w:r w:rsidRPr="001B1EB0">
              <w:rPr>
                <w:rFonts w:cs="Arial"/>
              </w:rPr>
              <w:t xml:space="preserve">has the meaning </w:t>
            </w:r>
            <w:r w:rsidRPr="00B70A1B">
              <w:rPr>
                <w:rFonts w:cs="Arial"/>
              </w:rPr>
              <w:t xml:space="preserve">given in Paragraph </w:t>
            </w:r>
            <w:r w:rsidRPr="00B70A1B">
              <w:rPr>
                <w:rFonts w:cs="Arial"/>
              </w:rPr>
              <w:fldChar w:fldCharType="begin"/>
            </w:r>
            <w:r w:rsidRPr="00B70A1B">
              <w:rPr>
                <w:rFonts w:cs="Arial"/>
              </w:rPr>
              <w:instrText xml:space="preserve"> REF _Ref88063578 \r \h  \* MERGEFORMAT </w:instrText>
            </w:r>
            <w:r w:rsidRPr="00B70A1B">
              <w:rPr>
                <w:rFonts w:cs="Arial"/>
              </w:rPr>
            </w:r>
            <w:r w:rsidRPr="00B70A1B">
              <w:rPr>
                <w:rFonts w:cs="Arial"/>
              </w:rPr>
              <w:fldChar w:fldCharType="separate"/>
            </w:r>
            <w:r w:rsidR="00302D39">
              <w:rPr>
                <w:rFonts w:cs="Arial"/>
              </w:rPr>
              <w:t>7.3.3(a)</w:t>
            </w:r>
            <w:r w:rsidRPr="00B70A1B">
              <w:rPr>
                <w:rFonts w:cs="Arial"/>
              </w:rPr>
              <w:fldChar w:fldCharType="end"/>
            </w:r>
            <w:r w:rsidRPr="00B70A1B">
              <w:rPr>
                <w:rFonts w:cs="Arial"/>
              </w:rPr>
              <w:t>;</w:t>
            </w:r>
          </w:p>
        </w:tc>
      </w:tr>
      <w:tr w:rsidR="00F67E9E" w:rsidRPr="001B1EB0" w14:paraId="2AF1DF28" w14:textId="77777777" w:rsidTr="007F74AA">
        <w:tc>
          <w:tcPr>
            <w:tcW w:w="2835" w:type="dxa"/>
          </w:tcPr>
          <w:p w14:paraId="594D4A6C" w14:textId="77777777" w:rsidR="00F67E9E" w:rsidRPr="001B1EB0" w:rsidRDefault="00F67E9E" w:rsidP="007F74AA">
            <w:pPr>
              <w:pStyle w:val="StdBodyTextBold"/>
              <w:rPr>
                <w:rFonts w:cs="Arial"/>
              </w:rPr>
            </w:pPr>
            <w:r>
              <w:rPr>
                <w:rFonts w:cs="Arial"/>
              </w:rPr>
              <w:t>“</w:t>
            </w:r>
            <w:r w:rsidRPr="001B1EB0">
              <w:rPr>
                <w:rFonts w:cs="Arial"/>
              </w:rPr>
              <w:t>Required Changes Register</w:t>
            </w:r>
            <w:r>
              <w:rPr>
                <w:rFonts w:cs="Arial"/>
              </w:rPr>
              <w:t>”</w:t>
            </w:r>
          </w:p>
        </w:tc>
        <w:tc>
          <w:tcPr>
            <w:tcW w:w="6803" w:type="dxa"/>
          </w:tcPr>
          <w:p w14:paraId="052D03A7" w14:textId="09BEBEA6" w:rsidR="00F67E9E" w:rsidRPr="00B70A1B" w:rsidRDefault="00F67E9E" w:rsidP="007F74AA">
            <w:pPr>
              <w:pStyle w:val="StdBodyText"/>
              <w:rPr>
                <w:rFonts w:cs="Arial"/>
              </w:rPr>
            </w:pPr>
            <w:r w:rsidRPr="00B70A1B">
              <w:rPr>
                <w:rFonts w:cs="Arial"/>
              </w:rPr>
              <w:t xml:space="preserve">mean the register within the Security Management Plan which is to be maintained and updated by the Supplier and which shall record each of the changes that the Supplier shall make to the Information Management System and/or the Security Management Plan as a consequence of the occurrence of any of the events set out in </w:t>
            </w:r>
            <w:bookmarkStart w:id="506" w:name="_9kR3WTr2BBAKNeEnoewrqyFO"/>
            <w:r w:rsidRPr="00B70A1B">
              <w:rPr>
                <w:rFonts w:cs="Arial"/>
              </w:rPr>
              <w:t xml:space="preserve">Paragraph </w:t>
            </w:r>
            <w:r w:rsidRPr="00B70A1B">
              <w:rPr>
                <w:rFonts w:cs="Arial"/>
              </w:rPr>
              <w:fldChar w:fldCharType="begin"/>
            </w:r>
            <w:r w:rsidRPr="00B70A1B">
              <w:rPr>
                <w:rFonts w:cs="Arial"/>
              </w:rPr>
              <w:instrText xml:space="preserve"> REF _Ref_ContractCompanion_9kb9Ur6GF \n \h \t \* MERGEFORMAT </w:instrText>
            </w:r>
            <w:r w:rsidRPr="00B70A1B">
              <w:rPr>
                <w:rFonts w:cs="Arial"/>
              </w:rPr>
            </w:r>
            <w:r w:rsidRPr="00B70A1B">
              <w:rPr>
                <w:rFonts w:cs="Arial"/>
              </w:rPr>
              <w:fldChar w:fldCharType="separate"/>
            </w:r>
            <w:r w:rsidR="00302D39">
              <w:rPr>
                <w:rFonts w:cs="Arial"/>
              </w:rPr>
              <w:t>5.2</w:t>
            </w:r>
            <w:r w:rsidRPr="00B70A1B">
              <w:rPr>
                <w:rFonts w:cs="Arial"/>
              </w:rPr>
              <w:fldChar w:fldCharType="end"/>
            </w:r>
            <w:bookmarkEnd w:id="506"/>
            <w:r w:rsidRPr="00B70A1B">
              <w:rPr>
                <w:rFonts w:cs="Arial"/>
              </w:rPr>
              <w:t xml:space="preserve"> together with the date by which such change shall be implemented and the date on which such change was implemented;</w:t>
            </w:r>
          </w:p>
        </w:tc>
      </w:tr>
      <w:tr w:rsidR="00F67E9E" w:rsidRPr="001B1EB0" w14:paraId="1E88CF3E" w14:textId="77777777" w:rsidTr="007F74AA">
        <w:tc>
          <w:tcPr>
            <w:tcW w:w="2835" w:type="dxa"/>
          </w:tcPr>
          <w:p w14:paraId="1C0AD1EF" w14:textId="77777777" w:rsidR="00F67E9E" w:rsidRPr="001B1EB0" w:rsidRDefault="00F67E9E" w:rsidP="007F74AA">
            <w:pPr>
              <w:pStyle w:val="StdBodyTextBold"/>
              <w:rPr>
                <w:rFonts w:cs="Arial"/>
              </w:rPr>
            </w:pPr>
            <w:r>
              <w:rPr>
                <w:rFonts w:cs="Arial"/>
              </w:rPr>
              <w:t>“</w:t>
            </w:r>
            <w:r w:rsidRPr="001B1EB0">
              <w:rPr>
                <w:rFonts w:cs="Arial"/>
              </w:rPr>
              <w:t>Risk Register</w:t>
            </w:r>
            <w:r>
              <w:rPr>
                <w:rFonts w:cs="Arial"/>
              </w:rPr>
              <w:t>”</w:t>
            </w:r>
          </w:p>
        </w:tc>
        <w:tc>
          <w:tcPr>
            <w:tcW w:w="6803" w:type="dxa"/>
          </w:tcPr>
          <w:p w14:paraId="66246D7A" w14:textId="2111991E" w:rsidR="00F67E9E" w:rsidRPr="00B70A1B" w:rsidRDefault="00F67E9E" w:rsidP="007F74AA">
            <w:pPr>
              <w:pStyle w:val="StdBodyText"/>
              <w:rPr>
                <w:rFonts w:cs="Arial"/>
              </w:rPr>
            </w:pPr>
            <w:r w:rsidRPr="00B70A1B">
              <w:rPr>
                <w:rFonts w:cs="Arial"/>
              </w:rPr>
              <w:t xml:space="preserve">is the risk register within the Information Assurance Assessment which is to be prepared and submitted to the Authority for approval in accordance with Paragraph </w:t>
            </w:r>
            <w:r w:rsidRPr="00B70A1B">
              <w:rPr>
                <w:rFonts w:cs="Arial"/>
              </w:rPr>
              <w:fldChar w:fldCharType="begin"/>
            </w:r>
            <w:r w:rsidRPr="00B70A1B">
              <w:rPr>
                <w:rFonts w:cs="Arial"/>
              </w:rPr>
              <w:instrText xml:space="preserve"> REF _9kR3WTrAG8BICZJfifw5q8MMLkQzJdjlc68LK4C \r \h  \* MERGEFORMAT </w:instrText>
            </w:r>
            <w:r w:rsidRPr="00B70A1B">
              <w:rPr>
                <w:rFonts w:cs="Arial"/>
              </w:rPr>
            </w:r>
            <w:r w:rsidRPr="00B70A1B">
              <w:rPr>
                <w:rFonts w:cs="Arial"/>
              </w:rPr>
              <w:fldChar w:fldCharType="separate"/>
            </w:r>
            <w:r w:rsidR="00302D39">
              <w:rPr>
                <w:rFonts w:cs="Arial"/>
              </w:rPr>
              <w:t>4</w:t>
            </w:r>
            <w:r w:rsidRPr="00B70A1B">
              <w:rPr>
                <w:rFonts w:cs="Arial"/>
              </w:rPr>
              <w:fldChar w:fldCharType="end"/>
            </w:r>
            <w:r w:rsidRPr="00B70A1B">
              <w:rPr>
                <w:rFonts w:cs="Arial"/>
              </w:rPr>
              <w:t>;</w:t>
            </w:r>
          </w:p>
        </w:tc>
      </w:tr>
      <w:tr w:rsidR="00F67E9E" w:rsidRPr="001B1EB0" w14:paraId="207EB6CC" w14:textId="77777777" w:rsidTr="007F74AA">
        <w:tc>
          <w:tcPr>
            <w:tcW w:w="2835" w:type="dxa"/>
          </w:tcPr>
          <w:p w14:paraId="018342E9" w14:textId="77777777" w:rsidR="00F67E9E" w:rsidRPr="001B1EB0" w:rsidRDefault="00F67E9E" w:rsidP="007F74AA">
            <w:pPr>
              <w:pStyle w:val="StdBodyTextBold"/>
              <w:rPr>
                <w:rFonts w:cs="Arial"/>
              </w:rPr>
            </w:pPr>
            <w:r>
              <w:rPr>
                <w:rFonts w:cs="Arial"/>
              </w:rPr>
              <w:t>“</w:t>
            </w:r>
            <w:r w:rsidRPr="001B1EB0">
              <w:rPr>
                <w:rFonts w:cs="Arial"/>
              </w:rPr>
              <w:t>Security Management Plan</w:t>
            </w:r>
            <w:r>
              <w:rPr>
                <w:rFonts w:cs="Arial"/>
              </w:rPr>
              <w:t>”</w:t>
            </w:r>
          </w:p>
        </w:tc>
        <w:tc>
          <w:tcPr>
            <w:tcW w:w="6803" w:type="dxa"/>
          </w:tcPr>
          <w:p w14:paraId="23AA9FC4" w14:textId="2C133A6E" w:rsidR="00F67E9E" w:rsidRPr="00B70A1B" w:rsidRDefault="00F67E9E" w:rsidP="007F74AA">
            <w:pPr>
              <w:pStyle w:val="StdBodyText"/>
              <w:rPr>
                <w:rFonts w:cs="Arial"/>
              </w:rPr>
            </w:pPr>
            <w:r w:rsidRPr="00B70A1B">
              <w:rPr>
                <w:rFonts w:cs="Arial"/>
              </w:rPr>
              <w:t xml:space="preserve">means the document prepared by the Supplier using the template in Annex </w:t>
            </w:r>
            <w:r w:rsidRPr="00B70A1B">
              <w:rPr>
                <w:rFonts w:cs="Arial"/>
              </w:rPr>
              <w:fldChar w:fldCharType="begin"/>
            </w:r>
            <w:r w:rsidRPr="00B70A1B">
              <w:rPr>
                <w:rFonts w:cs="Arial"/>
              </w:rPr>
              <w:instrText xml:space="preserve"> REF ANNEX3_PARTA_SCHEDULE5 \h </w:instrText>
            </w:r>
            <w:r>
              <w:rPr>
                <w:rFonts w:cs="Arial"/>
              </w:rPr>
              <w:instrText xml:space="preserve"> \* MERGEFORMAT </w:instrText>
            </w:r>
            <w:r w:rsidRPr="00B70A1B">
              <w:rPr>
                <w:rFonts w:cs="Arial"/>
              </w:rPr>
            </w:r>
            <w:r w:rsidRPr="00B70A1B">
              <w:rPr>
                <w:rFonts w:cs="Arial"/>
              </w:rPr>
              <w:fldChar w:fldCharType="separate"/>
            </w:r>
            <w:r w:rsidR="00302D39" w:rsidRPr="00302D39">
              <w:rPr>
                <w:rFonts w:cs="Arial"/>
              </w:rPr>
              <w:t>3</w:t>
            </w:r>
            <w:r w:rsidRPr="00B70A1B">
              <w:rPr>
                <w:rFonts w:cs="Arial"/>
              </w:rPr>
              <w:fldChar w:fldCharType="end"/>
            </w:r>
            <w:r w:rsidRPr="00B70A1B">
              <w:rPr>
                <w:rFonts w:cs="Arial"/>
              </w:rPr>
              <w:t xml:space="preserve">, comprising: </w:t>
            </w:r>
          </w:p>
          <w:p w14:paraId="63BFE1BE" w14:textId="77777777" w:rsidR="00F67E9E" w:rsidRPr="00DC04FB" w:rsidRDefault="00F67E9E" w:rsidP="007F74AA">
            <w:pPr>
              <w:pStyle w:val="DefinitionList"/>
              <w:numPr>
                <w:ilvl w:val="0"/>
                <w:numId w:val="120"/>
              </w:numPr>
            </w:pPr>
            <w:r w:rsidRPr="00DC04FB">
              <w:t>the Information Assurance Assessment;</w:t>
            </w:r>
          </w:p>
          <w:p w14:paraId="53441C90" w14:textId="77777777" w:rsidR="00F67E9E" w:rsidRPr="00DC04FB" w:rsidRDefault="00F67E9E" w:rsidP="00F67E9E">
            <w:pPr>
              <w:pStyle w:val="DefinitionList"/>
              <w:numPr>
                <w:ilvl w:val="0"/>
                <w:numId w:val="108"/>
              </w:numPr>
            </w:pPr>
            <w:r w:rsidRPr="00DC04FB">
              <w:t>the Required Changes Register; and</w:t>
            </w:r>
          </w:p>
          <w:p w14:paraId="77089D12" w14:textId="77777777" w:rsidR="00F67E9E" w:rsidRPr="00B70A1B" w:rsidRDefault="00F67E9E" w:rsidP="00F67E9E">
            <w:pPr>
              <w:pStyle w:val="DefinitionList"/>
              <w:numPr>
                <w:ilvl w:val="0"/>
                <w:numId w:val="108"/>
              </w:numPr>
            </w:pPr>
            <w:r w:rsidRPr="00DC04FB">
              <w:t>the Incident Management Process;</w:t>
            </w:r>
          </w:p>
        </w:tc>
      </w:tr>
      <w:tr w:rsidR="00F67E9E" w:rsidRPr="001B1EB0" w14:paraId="358712D2" w14:textId="77777777" w:rsidTr="007F74AA">
        <w:tc>
          <w:tcPr>
            <w:tcW w:w="2835" w:type="dxa"/>
          </w:tcPr>
          <w:p w14:paraId="3837824E" w14:textId="77777777" w:rsidR="00F67E9E" w:rsidRPr="001B1EB0" w:rsidRDefault="00F67E9E" w:rsidP="007F74AA">
            <w:pPr>
              <w:pStyle w:val="StdBodyTextBold"/>
              <w:rPr>
                <w:rFonts w:cs="Arial"/>
              </w:rPr>
            </w:pPr>
            <w:r>
              <w:rPr>
                <w:rFonts w:cs="Arial"/>
              </w:rPr>
              <w:t>“</w:t>
            </w:r>
            <w:r w:rsidRPr="001B1EB0">
              <w:rPr>
                <w:rFonts w:cs="Arial"/>
              </w:rPr>
              <w:t>Special Category Personal Data</w:t>
            </w:r>
            <w:r>
              <w:rPr>
                <w:rFonts w:cs="Arial"/>
              </w:rPr>
              <w:t>”</w:t>
            </w:r>
          </w:p>
        </w:tc>
        <w:tc>
          <w:tcPr>
            <w:tcW w:w="6803" w:type="dxa"/>
          </w:tcPr>
          <w:p w14:paraId="448ECE24" w14:textId="77777777" w:rsidR="00F67E9E" w:rsidRPr="001B1EB0" w:rsidRDefault="00F67E9E" w:rsidP="007F74AA">
            <w:pPr>
              <w:pStyle w:val="StdBodyText"/>
              <w:rPr>
                <w:rFonts w:cs="Arial"/>
              </w:rPr>
            </w:pPr>
            <w:r w:rsidRPr="001B1EB0">
              <w:rPr>
                <w:rFonts w:cs="Arial"/>
              </w:rPr>
              <w:t xml:space="preserve">means the categories of Personal Data set out in </w:t>
            </w:r>
            <w:bookmarkStart w:id="507" w:name="_9kR3WTr2CC58Hqm6yimpEP"/>
            <w:r w:rsidRPr="001B1EB0">
              <w:rPr>
                <w:rFonts w:cs="Arial"/>
              </w:rPr>
              <w:t>article 9(1)</w:t>
            </w:r>
            <w:bookmarkEnd w:id="507"/>
            <w:r w:rsidRPr="001B1EB0">
              <w:rPr>
                <w:rFonts w:cs="Arial"/>
              </w:rPr>
              <w:t xml:space="preserve"> </w:t>
            </w:r>
            <w:r w:rsidRPr="00A1755B">
              <w:rPr>
                <w:rFonts w:cs="Arial"/>
              </w:rPr>
              <w:t xml:space="preserve">and article 10 </w:t>
            </w:r>
            <w:r w:rsidRPr="001B1EB0">
              <w:rPr>
                <w:rFonts w:cs="Arial"/>
              </w:rPr>
              <w:t xml:space="preserve">of the </w:t>
            </w:r>
            <w:r>
              <w:rPr>
                <w:rFonts w:cs="Arial"/>
              </w:rPr>
              <w:t xml:space="preserve">UK </w:t>
            </w:r>
            <w:r w:rsidRPr="001B1EB0">
              <w:rPr>
                <w:rFonts w:cs="Arial"/>
              </w:rPr>
              <w:t>GDPR;</w:t>
            </w:r>
          </w:p>
        </w:tc>
      </w:tr>
    </w:tbl>
    <w:p w14:paraId="19E9D0AB" w14:textId="77777777" w:rsidR="00F67E9E" w:rsidRPr="001B1EB0" w:rsidRDefault="00F67E9E" w:rsidP="00F67E9E">
      <w:pPr>
        <w:pStyle w:val="Numbered1"/>
      </w:pPr>
      <w:r w:rsidRPr="001B1EB0">
        <w:t>Introduction</w:t>
      </w:r>
    </w:p>
    <w:p w14:paraId="39F6E373" w14:textId="4EEA5E2E" w:rsidR="00F67E9E" w:rsidRPr="00DC04FB" w:rsidRDefault="00F67E9E" w:rsidP="00F67E9E">
      <w:pPr>
        <w:pStyle w:val="Numbered11"/>
      </w:pPr>
      <w:r w:rsidRPr="00DC04FB">
        <w:t xml:space="preserve">This </w:t>
      </w:r>
      <w:r w:rsidRPr="00DC04FB">
        <w:fldChar w:fldCharType="begin"/>
      </w:r>
      <w:r w:rsidRPr="00DC04FB">
        <w:instrText xml:space="preserve"> REF Sch5PartA \h  \* MERGEFORMAT </w:instrText>
      </w:r>
      <w:r w:rsidRPr="00DC04FB">
        <w:fldChar w:fldCharType="separate"/>
      </w:r>
      <w:r w:rsidR="00302D39" w:rsidRPr="00302D39">
        <w:rPr>
          <w:rStyle w:val="Heading2Char"/>
          <w:rFonts w:ascii="Arial" w:hAnsi="Arial" w:cs="Arial"/>
          <w:b w:val="0"/>
          <w:bCs w:val="0"/>
          <w:color w:val="auto"/>
          <w:sz w:val="24"/>
          <w:szCs w:val="24"/>
        </w:rPr>
        <w:t>Part A</w:t>
      </w:r>
      <w:r w:rsidRPr="00DC04FB">
        <w:fldChar w:fldCharType="end"/>
      </w:r>
      <w:r w:rsidRPr="00DC04FB">
        <w:t xml:space="preserve"> of this Schedule sets out:</w:t>
      </w:r>
    </w:p>
    <w:p w14:paraId="4F807683" w14:textId="77777777" w:rsidR="00F67E9E" w:rsidRPr="00B70A1B" w:rsidRDefault="00F67E9E" w:rsidP="00F67E9E">
      <w:pPr>
        <w:pStyle w:val="Numbered111"/>
        <w:tabs>
          <w:tab w:val="clear" w:pos="1800"/>
          <w:tab w:val="num" w:pos="1440"/>
          <w:tab w:val="num" w:pos="2160"/>
        </w:tabs>
        <w:ind w:left="1440" w:hanging="720"/>
      </w:pPr>
      <w:r w:rsidRPr="00B70A1B">
        <w:t>the arrangements the Supplier must implement before, and comply with when, providing the Services and performing its other obligations under this Contract to ensure the security of the Authority Data and the Information Management System;</w:t>
      </w:r>
    </w:p>
    <w:p w14:paraId="0E4F613A" w14:textId="77777777" w:rsidR="00F67E9E" w:rsidRPr="00B70A1B" w:rsidRDefault="00F67E9E" w:rsidP="00F67E9E">
      <w:pPr>
        <w:pStyle w:val="Numbered111"/>
        <w:tabs>
          <w:tab w:val="clear" w:pos="1800"/>
          <w:tab w:val="num" w:pos="1440"/>
          <w:tab w:val="num" w:pos="2160"/>
        </w:tabs>
        <w:ind w:left="1440" w:hanging="720"/>
      </w:pPr>
      <w:r w:rsidRPr="00B70A1B">
        <w:t>the Certification Requirements applicable to the Supplier and each of those Sub-contractors which Processes Authority Data;</w:t>
      </w:r>
    </w:p>
    <w:p w14:paraId="16519530" w14:textId="7079F2B9" w:rsidR="00F67E9E" w:rsidRPr="00DC04FB" w:rsidRDefault="00F67E9E" w:rsidP="00F67E9E">
      <w:pPr>
        <w:pStyle w:val="Numbered111"/>
        <w:tabs>
          <w:tab w:val="clear" w:pos="1800"/>
          <w:tab w:val="num" w:pos="1440"/>
          <w:tab w:val="num" w:pos="2160"/>
        </w:tabs>
        <w:ind w:left="1440" w:hanging="720"/>
      </w:pPr>
      <w:r w:rsidRPr="00DC04FB">
        <w:t xml:space="preserve">the security requirements in Annex </w:t>
      </w:r>
      <w:r w:rsidRPr="00DC04FB">
        <w:rPr>
          <w:b/>
          <w:bCs/>
        </w:rPr>
        <w:fldChar w:fldCharType="begin"/>
      </w:r>
      <w:r w:rsidRPr="00DC04FB">
        <w:rPr>
          <w:b/>
          <w:bCs/>
        </w:rPr>
        <w:instrText xml:space="preserve"> REF ANNEX1_PARTA_SCHEDULE5 \h  \* MERGEFORMAT </w:instrText>
      </w:r>
      <w:r w:rsidRPr="00DC04FB">
        <w:rPr>
          <w:b/>
          <w:bCs/>
        </w:rPr>
      </w:r>
      <w:r w:rsidRPr="00DC04FB">
        <w:rPr>
          <w:b/>
          <w:bCs/>
        </w:rPr>
        <w:fldChar w:fldCharType="separate"/>
      </w:r>
      <w:r w:rsidR="00302D39" w:rsidRPr="00302D39">
        <w:rPr>
          <w:rStyle w:val="Heading2Char"/>
          <w:rFonts w:ascii="Arial" w:hAnsi="Arial" w:cs="Arial"/>
          <w:b w:val="0"/>
          <w:color w:val="auto"/>
          <w:sz w:val="24"/>
          <w:szCs w:val="24"/>
        </w:rPr>
        <w:t>1</w:t>
      </w:r>
      <w:r w:rsidRPr="00DC04FB">
        <w:rPr>
          <w:b/>
          <w:bCs/>
        </w:rPr>
        <w:fldChar w:fldCharType="end"/>
      </w:r>
      <w:r w:rsidRPr="00DC04FB">
        <w:t>, with which the Supplier must comply;</w:t>
      </w:r>
    </w:p>
    <w:p w14:paraId="52D4FEDF" w14:textId="77777777" w:rsidR="00F67E9E" w:rsidRPr="00B70A1B" w:rsidRDefault="00F67E9E" w:rsidP="00F67E9E">
      <w:pPr>
        <w:pStyle w:val="Numbered111"/>
        <w:tabs>
          <w:tab w:val="clear" w:pos="1800"/>
          <w:tab w:val="num" w:pos="1440"/>
          <w:tab w:val="num" w:pos="2160"/>
        </w:tabs>
        <w:ind w:left="1440" w:hanging="720"/>
      </w:pPr>
      <w:r w:rsidRPr="00B70A1B">
        <w:t>the tests which the Supplier shall conduct on the Information Management System during the Term; and</w:t>
      </w:r>
    </w:p>
    <w:p w14:paraId="50427FD6" w14:textId="77777777" w:rsidR="00F67E9E" w:rsidRPr="00B70A1B" w:rsidRDefault="00F67E9E" w:rsidP="00F67E9E">
      <w:pPr>
        <w:pStyle w:val="Numbered111"/>
        <w:tabs>
          <w:tab w:val="clear" w:pos="1800"/>
          <w:tab w:val="num" w:pos="1440"/>
          <w:tab w:val="num" w:pos="2160"/>
        </w:tabs>
        <w:ind w:left="1440" w:hanging="720"/>
      </w:pPr>
      <w:r w:rsidRPr="00B70A1B">
        <w:t>the Supplier</w:t>
      </w:r>
      <w:r>
        <w:t>’</w:t>
      </w:r>
      <w:r w:rsidRPr="00B70A1B">
        <w:t>s obligations to:</w:t>
      </w:r>
    </w:p>
    <w:p w14:paraId="222F11E1" w14:textId="77777777" w:rsidR="00F67E9E" w:rsidRPr="00B70A1B" w:rsidRDefault="00F67E9E" w:rsidP="00F67E9E">
      <w:pPr>
        <w:pStyle w:val="Numbered111a"/>
        <w:tabs>
          <w:tab w:val="clear" w:pos="2520"/>
          <w:tab w:val="num" w:pos="2160"/>
          <w:tab w:val="num" w:pos="2880"/>
        </w:tabs>
        <w:ind w:left="2160"/>
      </w:pPr>
      <w:r w:rsidRPr="00B70A1B">
        <w:t>return or destroy Authority Data on the expiry or earlier termination of this Contract; and</w:t>
      </w:r>
    </w:p>
    <w:p w14:paraId="02CDB61D" w14:textId="65C49322" w:rsidR="00F67E9E" w:rsidRPr="00B70A1B" w:rsidRDefault="00F67E9E" w:rsidP="00F67E9E">
      <w:pPr>
        <w:pStyle w:val="Numbered111a"/>
        <w:tabs>
          <w:tab w:val="clear" w:pos="2520"/>
          <w:tab w:val="num" w:pos="2160"/>
          <w:tab w:val="num" w:pos="2880"/>
        </w:tabs>
        <w:ind w:left="2160"/>
      </w:pPr>
      <w:r w:rsidRPr="00B70A1B">
        <w:t xml:space="preserve">prevent the introduction of Malicious Software into the Supplier System and to scan for, contain the spread of, and minimise the impact of Malicious Software which is introduced into the Supplier System in Paragraph </w:t>
      </w:r>
      <w:r w:rsidRPr="00B70A1B">
        <w:fldChar w:fldCharType="begin"/>
      </w:r>
      <w:r w:rsidRPr="00B70A1B">
        <w:instrText xml:space="preserve"> REF _Ref_ContractCompanion_9kb9Ur797 \w \n \h \t \* MERGEFORMAT </w:instrText>
      </w:r>
      <w:r w:rsidRPr="00B70A1B">
        <w:fldChar w:fldCharType="separate"/>
      </w:r>
      <w:r w:rsidR="00302D39">
        <w:t>9</w:t>
      </w:r>
      <w:r w:rsidRPr="00B70A1B">
        <w:fldChar w:fldCharType="end"/>
      </w:r>
      <w:r w:rsidRPr="00B70A1B">
        <w:t>; and</w:t>
      </w:r>
    </w:p>
    <w:p w14:paraId="28D0340E" w14:textId="77777777" w:rsidR="00F67E9E" w:rsidRPr="001B1EB0" w:rsidRDefault="00F67E9E" w:rsidP="00F67E9E">
      <w:pPr>
        <w:pStyle w:val="Numbered111a"/>
        <w:tabs>
          <w:tab w:val="clear" w:pos="2520"/>
          <w:tab w:val="num" w:pos="2160"/>
          <w:tab w:val="num" w:pos="2880"/>
        </w:tabs>
        <w:ind w:left="2160"/>
      </w:pPr>
      <w:r w:rsidRPr="001B1EB0">
        <w:t>report Breaches of Security to the Authority.</w:t>
      </w:r>
    </w:p>
    <w:p w14:paraId="5669B56F" w14:textId="77777777" w:rsidR="00F67E9E" w:rsidRPr="001B1EB0" w:rsidRDefault="00F67E9E" w:rsidP="00F67E9E">
      <w:pPr>
        <w:pStyle w:val="Numbered1"/>
      </w:pPr>
      <w:bookmarkStart w:id="508" w:name="_Ref99013071"/>
      <w:r w:rsidRPr="001B1EB0">
        <w:t>Principles of Security</w:t>
      </w:r>
      <w:bookmarkEnd w:id="508"/>
    </w:p>
    <w:p w14:paraId="30624495" w14:textId="77777777" w:rsidR="00F67E9E" w:rsidRPr="001B1EB0" w:rsidRDefault="00F67E9E" w:rsidP="00F67E9E">
      <w:pPr>
        <w:pStyle w:val="Numbered11"/>
      </w:pPr>
      <w:r w:rsidRPr="001B1EB0">
        <w:t>The Supplier acknowledges that the Authority places great emphasis on the confidentiality, integrity and availability of the Authority Data and, consequently on the security of:</w:t>
      </w:r>
    </w:p>
    <w:p w14:paraId="44EDD920" w14:textId="77777777" w:rsidR="00F67E9E" w:rsidRPr="001B1EB0" w:rsidRDefault="00F67E9E" w:rsidP="00F67E9E">
      <w:pPr>
        <w:pStyle w:val="Numbered111"/>
        <w:tabs>
          <w:tab w:val="clear" w:pos="1800"/>
          <w:tab w:val="num" w:pos="1440"/>
          <w:tab w:val="num" w:pos="2160"/>
        </w:tabs>
        <w:ind w:left="1440" w:hanging="720"/>
      </w:pPr>
      <w:r w:rsidRPr="001B1EB0">
        <w:t>the Sites;</w:t>
      </w:r>
    </w:p>
    <w:p w14:paraId="73AF8806" w14:textId="77777777" w:rsidR="00F67E9E" w:rsidRPr="001B1EB0" w:rsidRDefault="00F67E9E" w:rsidP="00F67E9E">
      <w:pPr>
        <w:pStyle w:val="Numbered111"/>
        <w:tabs>
          <w:tab w:val="clear" w:pos="1800"/>
          <w:tab w:val="num" w:pos="1440"/>
          <w:tab w:val="num" w:pos="2160"/>
        </w:tabs>
        <w:ind w:left="1440" w:hanging="720"/>
      </w:pPr>
      <w:r w:rsidRPr="001B1EB0">
        <w:t xml:space="preserve">the IT Environment; </w:t>
      </w:r>
    </w:p>
    <w:p w14:paraId="3002417F" w14:textId="77777777" w:rsidR="00F67E9E" w:rsidRPr="001B1EB0" w:rsidRDefault="00F67E9E" w:rsidP="00F67E9E">
      <w:pPr>
        <w:pStyle w:val="Numbered111"/>
        <w:tabs>
          <w:tab w:val="clear" w:pos="1800"/>
          <w:tab w:val="num" w:pos="1440"/>
          <w:tab w:val="num" w:pos="2160"/>
        </w:tabs>
        <w:ind w:left="1440" w:hanging="720"/>
      </w:pPr>
      <w:r w:rsidRPr="001B1EB0">
        <w:t>the Information Management System; and</w:t>
      </w:r>
    </w:p>
    <w:p w14:paraId="61976D97" w14:textId="77777777" w:rsidR="00F67E9E" w:rsidRPr="001B1EB0" w:rsidRDefault="00F67E9E" w:rsidP="00F67E9E">
      <w:pPr>
        <w:pStyle w:val="Numbered111"/>
        <w:tabs>
          <w:tab w:val="clear" w:pos="1800"/>
          <w:tab w:val="num" w:pos="1440"/>
          <w:tab w:val="num" w:pos="2160"/>
        </w:tabs>
        <w:ind w:left="1440" w:hanging="720"/>
      </w:pPr>
      <w:r w:rsidRPr="001B1EB0">
        <w:t>the Services.</w:t>
      </w:r>
    </w:p>
    <w:p w14:paraId="09542C80" w14:textId="77777777" w:rsidR="00F67E9E" w:rsidRPr="001B1EB0" w:rsidRDefault="00F67E9E" w:rsidP="00F67E9E">
      <w:pPr>
        <w:pStyle w:val="Numbered11"/>
      </w:pPr>
      <w:r w:rsidRPr="001B1EB0">
        <w:t>Notwithstanding the involvement of the Authority in assessing the arrangements which the Supplier implements to ensure the security of the Authority Data and the Information Management System, the Supplier shall be, and shall remain, responsible for:</w:t>
      </w:r>
    </w:p>
    <w:p w14:paraId="7D3BDA87" w14:textId="77777777" w:rsidR="00F67E9E" w:rsidRPr="00024F2F" w:rsidRDefault="00F67E9E" w:rsidP="00F67E9E">
      <w:pPr>
        <w:pStyle w:val="Numbered111"/>
        <w:tabs>
          <w:tab w:val="clear" w:pos="1800"/>
          <w:tab w:val="num" w:pos="1440"/>
          <w:tab w:val="num" w:pos="2160"/>
        </w:tabs>
        <w:ind w:left="1440" w:hanging="720"/>
      </w:pPr>
      <w:r w:rsidRPr="00024F2F">
        <w:t>the security, confidentiality, integrity and availability of the Authority Data whilst that Authority Data is under the control of the Supplier or any of its Sub-contractors; and</w:t>
      </w:r>
    </w:p>
    <w:p w14:paraId="7C3B5770" w14:textId="77777777" w:rsidR="00F67E9E" w:rsidRPr="00024F2F" w:rsidRDefault="00F67E9E" w:rsidP="00F67E9E">
      <w:pPr>
        <w:pStyle w:val="Numbered111"/>
        <w:tabs>
          <w:tab w:val="clear" w:pos="1800"/>
          <w:tab w:val="num" w:pos="1440"/>
          <w:tab w:val="num" w:pos="2160"/>
        </w:tabs>
        <w:ind w:left="1440" w:hanging="720"/>
      </w:pPr>
      <w:r w:rsidRPr="00024F2F">
        <w:t>the security of the Information Management System.</w:t>
      </w:r>
    </w:p>
    <w:p w14:paraId="0B966132" w14:textId="77777777" w:rsidR="00F67E9E" w:rsidRPr="00024F2F" w:rsidRDefault="00F67E9E" w:rsidP="00F67E9E">
      <w:pPr>
        <w:pStyle w:val="Numbered11"/>
      </w:pPr>
      <w:r w:rsidRPr="00024F2F">
        <w:t>The Supplier shall:</w:t>
      </w:r>
    </w:p>
    <w:p w14:paraId="231B783C" w14:textId="79C5BA59" w:rsidR="00F67E9E" w:rsidRPr="00024F2F" w:rsidRDefault="00F67E9E" w:rsidP="00F67E9E">
      <w:pPr>
        <w:pStyle w:val="Numbered111"/>
        <w:tabs>
          <w:tab w:val="clear" w:pos="1800"/>
          <w:tab w:val="num" w:pos="1440"/>
          <w:tab w:val="num" w:pos="2160"/>
        </w:tabs>
        <w:ind w:left="1440" w:hanging="720"/>
      </w:pPr>
      <w:r w:rsidRPr="00024F2F">
        <w:t xml:space="preserve">comply with the security requirements in Annex </w:t>
      </w:r>
      <w:r w:rsidRPr="00024F2F">
        <w:fldChar w:fldCharType="begin"/>
      </w:r>
      <w:r w:rsidRPr="00024F2F">
        <w:instrText xml:space="preserve"> REF ANNEX1_PARTA_SCHEDULE5 \h  \* MERGEFORMAT </w:instrText>
      </w:r>
      <w:r w:rsidRPr="00024F2F">
        <w:fldChar w:fldCharType="separate"/>
      </w:r>
      <w:r w:rsidR="00302D39" w:rsidRPr="00B80662">
        <w:t>1</w:t>
      </w:r>
      <w:r w:rsidRPr="00024F2F">
        <w:fldChar w:fldCharType="end"/>
      </w:r>
      <w:r w:rsidRPr="00024F2F">
        <w:t>; and</w:t>
      </w:r>
    </w:p>
    <w:p w14:paraId="6FE04AB2" w14:textId="77777777" w:rsidR="00F67E9E" w:rsidRPr="00024F2F" w:rsidRDefault="00F67E9E" w:rsidP="00F67E9E">
      <w:pPr>
        <w:pStyle w:val="Numbered111"/>
        <w:tabs>
          <w:tab w:val="clear" w:pos="1800"/>
          <w:tab w:val="num" w:pos="1440"/>
          <w:tab w:val="num" w:pos="2160"/>
        </w:tabs>
        <w:ind w:left="1440" w:hanging="720"/>
      </w:pPr>
      <w:r w:rsidRPr="00024F2F">
        <w:t>ensure that each Sub-contractor that Processes Authority Data complies with the Sub-contractor Security Requirements.</w:t>
      </w:r>
    </w:p>
    <w:p w14:paraId="0A9E71A6" w14:textId="77777777" w:rsidR="00F67E9E" w:rsidRPr="00024F2F" w:rsidRDefault="00F67E9E" w:rsidP="00F67E9E">
      <w:pPr>
        <w:pStyle w:val="Numbered11"/>
      </w:pPr>
      <w:r w:rsidRPr="00024F2F">
        <w:t>The Supplier shall provide the Authority with access to Supplier Personnel responsible for information assurance to facilitate the Authority</w:t>
      </w:r>
      <w:r>
        <w:t>’</w:t>
      </w:r>
      <w:r w:rsidRPr="00024F2F">
        <w:t>s assessment of the Supplier</w:t>
      </w:r>
      <w:r>
        <w:t>’</w:t>
      </w:r>
      <w:r w:rsidRPr="00024F2F">
        <w:t>s compliance with its obligations set out in this Schedule at reasonable times on reasonable notice.</w:t>
      </w:r>
    </w:p>
    <w:p w14:paraId="7B7A9ED4" w14:textId="77777777" w:rsidR="00F67E9E" w:rsidRPr="00024F2F" w:rsidRDefault="00F67E9E" w:rsidP="00F67E9E">
      <w:pPr>
        <w:pStyle w:val="Numbered1"/>
      </w:pPr>
      <w:bookmarkStart w:id="509" w:name="_9kR3WTrAG8BICZJfifw5q8MMLkQzJdjlc68LK4C"/>
      <w:bookmarkStart w:id="510" w:name="_Ref_ContractCompanion_9kb9Ur6FB"/>
      <w:bookmarkStart w:id="511" w:name="_Ref_ContractCompanion_9kb9Ur6FD"/>
      <w:bookmarkStart w:id="512" w:name="_Ref_ContractCompanion_9kb9Ur7DF"/>
      <w:r w:rsidRPr="00024F2F">
        <w:t>Information Security Approval Statement</w:t>
      </w:r>
      <w:bookmarkEnd w:id="509"/>
      <w:r w:rsidRPr="00024F2F">
        <w:t xml:space="preserve"> </w:t>
      </w:r>
      <w:bookmarkEnd w:id="510"/>
      <w:bookmarkEnd w:id="511"/>
      <w:bookmarkEnd w:id="512"/>
    </w:p>
    <w:p w14:paraId="2A2C2DB1" w14:textId="24D6F09A" w:rsidR="00F67E9E" w:rsidRPr="00024F2F" w:rsidRDefault="00F67E9E" w:rsidP="00F67E9E">
      <w:pPr>
        <w:pStyle w:val="Numbered11"/>
      </w:pPr>
      <w:r w:rsidRPr="00024F2F">
        <w:t xml:space="preserve">The Supplier must ensure that its Implementation Plan sets out in sufficient detail how it will ensure compliance with the requirements of this Schedule, including any requirements imposed on Sub-contractors by Annex </w:t>
      </w:r>
      <w:r w:rsidRPr="00024F2F">
        <w:fldChar w:fldCharType="begin"/>
      </w:r>
      <w:r w:rsidRPr="00024F2F">
        <w:instrText xml:space="preserve"> REF ANNEX2_PARTA_SCHEDULE5 \h </w:instrText>
      </w:r>
      <w:r>
        <w:instrText xml:space="preserve"> \* MERGEFORMAT </w:instrText>
      </w:r>
      <w:r w:rsidRPr="00024F2F">
        <w:fldChar w:fldCharType="separate"/>
      </w:r>
      <w:r w:rsidR="00302D39" w:rsidRPr="00024F2F">
        <w:t>2</w:t>
      </w:r>
      <w:r w:rsidRPr="00024F2F">
        <w:fldChar w:fldCharType="end"/>
      </w:r>
      <w:r w:rsidRPr="00024F2F">
        <w:t>, from the first Operational Service Commencement Date.</w:t>
      </w:r>
    </w:p>
    <w:p w14:paraId="7BE1B0BF" w14:textId="77777777" w:rsidR="00F67E9E" w:rsidRPr="00024F2F" w:rsidRDefault="00F67E9E" w:rsidP="00F67E9E">
      <w:pPr>
        <w:pStyle w:val="Numbered11"/>
      </w:pPr>
      <w:bookmarkStart w:id="513" w:name="_Ref99017275"/>
      <w:r w:rsidRPr="00024F2F">
        <w:t>The Supplier may not use the Information Management System to Process Authority Data unless and until:</w:t>
      </w:r>
      <w:bookmarkEnd w:id="513"/>
    </w:p>
    <w:p w14:paraId="1C467A3D" w14:textId="77306702" w:rsidR="00F67E9E" w:rsidRPr="00024F2F" w:rsidRDefault="00F67E9E" w:rsidP="00F67E9E">
      <w:pPr>
        <w:pStyle w:val="Numbered111"/>
        <w:tabs>
          <w:tab w:val="clear" w:pos="1800"/>
          <w:tab w:val="num" w:pos="1440"/>
          <w:tab w:val="num" w:pos="2160"/>
        </w:tabs>
        <w:ind w:left="1440" w:hanging="720"/>
      </w:pPr>
      <w:r w:rsidRPr="00024F2F">
        <w:t xml:space="preserve">the Supplier has procured the conduct of an IT Health Check of the Supplier System by a CHECK Service Provider or a CREST Service Provider in accordance with </w:t>
      </w:r>
      <w:bookmarkStart w:id="514" w:name="_9kMIH5YVt4DDCKOhGpqgyts0JR"/>
      <w:r w:rsidRPr="00024F2F">
        <w:t xml:space="preserve">Paragraph </w:t>
      </w:r>
      <w:r w:rsidRPr="00024F2F">
        <w:fldChar w:fldCharType="begin"/>
      </w:r>
      <w:r w:rsidRPr="00024F2F">
        <w:instrText xml:space="preserve"> REF _Ref_ContractCompanion_9kb9Ur6EE \n \h \t \* MERGEFORMAT </w:instrText>
      </w:r>
      <w:r w:rsidRPr="00024F2F">
        <w:fldChar w:fldCharType="separate"/>
      </w:r>
      <w:r w:rsidR="00302D39">
        <w:t>7.1</w:t>
      </w:r>
      <w:r w:rsidRPr="00024F2F">
        <w:fldChar w:fldCharType="end"/>
      </w:r>
      <w:bookmarkEnd w:id="514"/>
      <w:r w:rsidRPr="00024F2F">
        <w:t xml:space="preserve">; and </w:t>
      </w:r>
    </w:p>
    <w:p w14:paraId="56CC2A89" w14:textId="12A693CB" w:rsidR="00F67E9E" w:rsidRPr="00024F2F" w:rsidRDefault="00F67E9E" w:rsidP="00F67E9E">
      <w:pPr>
        <w:pStyle w:val="Numbered111"/>
        <w:tabs>
          <w:tab w:val="clear" w:pos="1800"/>
          <w:tab w:val="num" w:pos="1440"/>
          <w:tab w:val="num" w:pos="2160"/>
        </w:tabs>
        <w:ind w:left="1440" w:hanging="720"/>
      </w:pPr>
      <w:r w:rsidRPr="00024F2F">
        <w:t xml:space="preserve">the Authority has issued the Supplier with an Information Security Approval Statement in accordance with the process set out in this </w:t>
      </w:r>
      <w:bookmarkStart w:id="515" w:name="_9kMHG5YVtCIADKEbLhkhy7sAOONmS1Lflne8ANM"/>
      <w:r w:rsidRPr="00024F2F">
        <w:t xml:space="preserve">Paragraph </w:t>
      </w:r>
      <w:r w:rsidRPr="00024F2F">
        <w:fldChar w:fldCharType="begin"/>
      </w:r>
      <w:r w:rsidRPr="00024F2F">
        <w:instrText xml:space="preserve"> REF _Ref_ContractCompanion_9kb9Ur7DF \w \n \h \t \* MERGEFORMAT </w:instrText>
      </w:r>
      <w:r w:rsidRPr="00024F2F">
        <w:fldChar w:fldCharType="separate"/>
      </w:r>
      <w:r w:rsidR="00302D39">
        <w:t>4</w:t>
      </w:r>
      <w:r w:rsidRPr="00024F2F">
        <w:fldChar w:fldCharType="end"/>
      </w:r>
      <w:bookmarkEnd w:id="515"/>
      <w:r w:rsidRPr="00024F2F">
        <w:t>.</w:t>
      </w:r>
    </w:p>
    <w:p w14:paraId="7188A255" w14:textId="77777777" w:rsidR="00F67E9E" w:rsidRPr="00024F2F" w:rsidRDefault="00F67E9E" w:rsidP="00F67E9E">
      <w:pPr>
        <w:pStyle w:val="Numbered11"/>
      </w:pPr>
      <w:r w:rsidRPr="00024F2F">
        <w:t>The Supplier shall document in the Security Management Plan how the Supplier and its Sub-contractors shall comply with the requirements set out in this Schedule and the Contract in order to ensure the security of the Authority Data and the Information Management System.</w:t>
      </w:r>
    </w:p>
    <w:p w14:paraId="21C88B8B" w14:textId="77777777" w:rsidR="00F67E9E" w:rsidRPr="001B1EB0" w:rsidRDefault="00F67E9E" w:rsidP="00F67E9E">
      <w:pPr>
        <w:pStyle w:val="Numbered11"/>
      </w:pPr>
      <w:bookmarkStart w:id="516" w:name="_Ref45003103"/>
      <w:r w:rsidRPr="001B1EB0">
        <w:t xml:space="preserve">The Supplier shall prepare and submit to the Authority within </w:t>
      </w:r>
      <w:r w:rsidRPr="001B1EB0">
        <w:rPr>
          <w:highlight w:val="yellow"/>
        </w:rPr>
        <w:t>[</w:t>
      </w:r>
      <w:r w:rsidRPr="008B5F6C">
        <w:rPr>
          <w:highlight w:val="yellow"/>
        </w:rPr>
        <w:t>20</w:t>
      </w:r>
      <w:r w:rsidRPr="001B1EB0">
        <w:rPr>
          <w:highlight w:val="yellow"/>
        </w:rPr>
        <w:t>]</w:t>
      </w:r>
      <w:r w:rsidRPr="001B1EB0">
        <w:t xml:space="preserve"> Working Days of the date </w:t>
      </w:r>
      <w:r w:rsidRPr="00C549FA">
        <w:t xml:space="preserve">of </w:t>
      </w:r>
      <w:r w:rsidRPr="00024F2F">
        <w:t>this Contract, the Security</w:t>
      </w:r>
      <w:r w:rsidRPr="001B1EB0">
        <w:t xml:space="preserve"> Management Plan, which comprises:</w:t>
      </w:r>
      <w:bookmarkEnd w:id="516"/>
    </w:p>
    <w:p w14:paraId="259E264B" w14:textId="77777777" w:rsidR="00F67E9E" w:rsidRPr="001B1EB0" w:rsidRDefault="00F67E9E" w:rsidP="00F67E9E">
      <w:pPr>
        <w:pStyle w:val="Numbered111"/>
        <w:tabs>
          <w:tab w:val="clear" w:pos="1800"/>
          <w:tab w:val="num" w:pos="1440"/>
          <w:tab w:val="num" w:pos="2160"/>
        </w:tabs>
        <w:ind w:left="1440" w:hanging="720"/>
      </w:pPr>
      <w:r w:rsidRPr="001B1EB0">
        <w:t>an Information Assurance Assessment;</w:t>
      </w:r>
    </w:p>
    <w:p w14:paraId="3F2FDA12" w14:textId="77777777" w:rsidR="00F67E9E" w:rsidRPr="001B1EB0" w:rsidRDefault="00F67E9E" w:rsidP="00F67E9E">
      <w:pPr>
        <w:pStyle w:val="Numbered111"/>
        <w:tabs>
          <w:tab w:val="clear" w:pos="1800"/>
          <w:tab w:val="num" w:pos="1440"/>
          <w:tab w:val="num" w:pos="2160"/>
        </w:tabs>
        <w:ind w:left="1440" w:hanging="720"/>
      </w:pPr>
      <w:r w:rsidRPr="001B1EB0">
        <w:t>the Required Changes Register;</w:t>
      </w:r>
      <w:r w:rsidRPr="002B4301">
        <w:t xml:space="preserve"> </w:t>
      </w:r>
      <w:r w:rsidRPr="001B1EB0">
        <w:t>and</w:t>
      </w:r>
    </w:p>
    <w:p w14:paraId="29CDC1AD" w14:textId="77777777" w:rsidR="00F67E9E" w:rsidRPr="001B1EB0" w:rsidRDefault="00F67E9E" w:rsidP="00F67E9E">
      <w:pPr>
        <w:pStyle w:val="Numbered111"/>
        <w:tabs>
          <w:tab w:val="clear" w:pos="1800"/>
          <w:tab w:val="num" w:pos="1440"/>
          <w:tab w:val="num" w:pos="2160"/>
        </w:tabs>
        <w:ind w:left="1440" w:hanging="720"/>
      </w:pPr>
      <w:r w:rsidRPr="001B1EB0">
        <w:t>the Incident Management Process.</w:t>
      </w:r>
    </w:p>
    <w:p w14:paraId="558BDB38" w14:textId="77777777" w:rsidR="00F67E9E" w:rsidRPr="001B1EB0" w:rsidRDefault="00F67E9E" w:rsidP="00F67E9E">
      <w:pPr>
        <w:pStyle w:val="Numbered11"/>
      </w:pPr>
      <w:r w:rsidRPr="001B1EB0">
        <w:t>The Authority shall review the Supplier</w:t>
      </w:r>
      <w:r>
        <w:t>’</w:t>
      </w:r>
      <w:r w:rsidRPr="001B1EB0">
        <w:t xml:space="preserve">s proposed Security Management Plan as soon as possible and, in any event within </w:t>
      </w:r>
      <w:r w:rsidRPr="008B5F6C">
        <w:rPr>
          <w:highlight w:val="yellow"/>
        </w:rPr>
        <w:t>[20</w:t>
      </w:r>
      <w:r w:rsidRPr="001B1EB0">
        <w:rPr>
          <w:highlight w:val="yellow"/>
        </w:rPr>
        <w:t>]</w:t>
      </w:r>
      <w:r w:rsidRPr="001B1EB0">
        <w:t xml:space="preserve"> Working Days of receipt and shall either issue the Supplier with:</w:t>
      </w:r>
    </w:p>
    <w:p w14:paraId="7165D738" w14:textId="77777777" w:rsidR="00F67E9E" w:rsidRPr="001B1EB0" w:rsidRDefault="00F67E9E" w:rsidP="00F67E9E">
      <w:pPr>
        <w:pStyle w:val="Numbered111"/>
        <w:tabs>
          <w:tab w:val="clear" w:pos="1800"/>
          <w:tab w:val="num" w:pos="1440"/>
          <w:tab w:val="num" w:pos="2160"/>
        </w:tabs>
        <w:ind w:left="1440" w:hanging="720"/>
      </w:pPr>
      <w:r w:rsidRPr="001B1EB0">
        <w:t>an Information Security Approval Statement, which shall confirm that the Supplier may use the Information Management System to Process Authority Data; or</w:t>
      </w:r>
    </w:p>
    <w:p w14:paraId="6AFE846A" w14:textId="77777777" w:rsidR="00F67E9E" w:rsidRPr="001B1EB0" w:rsidRDefault="00F67E9E" w:rsidP="00F67E9E">
      <w:pPr>
        <w:pStyle w:val="Numbered111"/>
        <w:tabs>
          <w:tab w:val="clear" w:pos="1800"/>
          <w:tab w:val="num" w:pos="1440"/>
          <w:tab w:val="num" w:pos="2160"/>
        </w:tabs>
        <w:ind w:left="1440" w:hanging="720"/>
      </w:pPr>
      <w:bookmarkStart w:id="517" w:name="_Ref44572098"/>
      <w:r w:rsidRPr="001B1EB0">
        <w:t>a rejection notice, which shall set out the Authority</w:t>
      </w:r>
      <w:r>
        <w:t>’</w:t>
      </w:r>
      <w:r w:rsidRPr="001B1EB0">
        <w:t>s reasons for rejecting the Security Management Plan.</w:t>
      </w:r>
      <w:bookmarkEnd w:id="517"/>
      <w:r w:rsidRPr="001B1EB0">
        <w:t xml:space="preserve"> </w:t>
      </w:r>
    </w:p>
    <w:p w14:paraId="412AC720" w14:textId="77777777" w:rsidR="00F67E9E" w:rsidRPr="001B1EB0" w:rsidRDefault="00F67E9E" w:rsidP="00F67E9E">
      <w:pPr>
        <w:pStyle w:val="Numbered11"/>
      </w:pPr>
      <w:r w:rsidRPr="001B1EB0">
        <w:t>If the Authority rejects the Supplier</w:t>
      </w:r>
      <w:r>
        <w:t>’</w:t>
      </w:r>
      <w:r w:rsidRPr="001B1EB0">
        <w:t>s proposed Security Management Plan, the Supplier shall take the Authority</w:t>
      </w:r>
      <w:r>
        <w:t>’</w:t>
      </w:r>
      <w:r w:rsidRPr="001B1EB0">
        <w:t xml:space="preserve">s reasons into account in the preparation of a revised Security Management Plan, which the Supplier shall submit to the Authority for review within </w:t>
      </w:r>
      <w:r w:rsidRPr="001B1EB0">
        <w:rPr>
          <w:highlight w:val="yellow"/>
        </w:rPr>
        <w:t>[</w:t>
      </w:r>
      <w:r w:rsidRPr="008B5F6C">
        <w:rPr>
          <w:highlight w:val="yellow"/>
        </w:rPr>
        <w:t>10</w:t>
      </w:r>
      <w:r w:rsidRPr="001B1EB0">
        <w:rPr>
          <w:highlight w:val="yellow"/>
        </w:rPr>
        <w:t>]</w:t>
      </w:r>
      <w:r w:rsidRPr="001B1EB0">
        <w:t xml:space="preserve"> Working Days or such other timescale as agreed with the Authority.</w:t>
      </w:r>
    </w:p>
    <w:p w14:paraId="2125F0C4" w14:textId="77777777" w:rsidR="00F67E9E" w:rsidRPr="001B1EB0" w:rsidRDefault="00F67E9E" w:rsidP="00F67E9E">
      <w:pPr>
        <w:pStyle w:val="Numbered11"/>
      </w:pPr>
      <w:r w:rsidRPr="001B1EB0">
        <w:t>The Authority may require, and the Supplier shall provide the Authority and its authorised representatives with:</w:t>
      </w:r>
    </w:p>
    <w:p w14:paraId="47925663" w14:textId="77777777" w:rsidR="00F67E9E" w:rsidRPr="00C549FA" w:rsidRDefault="00F67E9E" w:rsidP="00F67E9E">
      <w:pPr>
        <w:pStyle w:val="Numbered111"/>
        <w:tabs>
          <w:tab w:val="clear" w:pos="1800"/>
          <w:tab w:val="num" w:pos="1440"/>
          <w:tab w:val="num" w:pos="2160"/>
        </w:tabs>
        <w:ind w:left="1440" w:hanging="720"/>
      </w:pPr>
      <w:r w:rsidRPr="001B1EB0">
        <w:t xml:space="preserve">access to the Supplier </w:t>
      </w:r>
      <w:r w:rsidRPr="00C549FA">
        <w:t>Personnel;</w:t>
      </w:r>
    </w:p>
    <w:p w14:paraId="5408DCDF" w14:textId="77777777" w:rsidR="00F67E9E" w:rsidRPr="00024F2F" w:rsidRDefault="00F67E9E" w:rsidP="00F67E9E">
      <w:pPr>
        <w:pStyle w:val="Numbered111"/>
        <w:tabs>
          <w:tab w:val="clear" w:pos="1800"/>
          <w:tab w:val="num" w:pos="1440"/>
          <w:tab w:val="num" w:pos="2160"/>
        </w:tabs>
        <w:ind w:left="1440" w:hanging="720"/>
      </w:pPr>
      <w:r w:rsidRPr="00024F2F">
        <w:t>access to the Information Management System to audit the Supplier and its Sub-contractors</w:t>
      </w:r>
      <w:r>
        <w:t>’</w:t>
      </w:r>
      <w:r w:rsidRPr="00024F2F">
        <w:t xml:space="preserve"> compliance with this Contract; and</w:t>
      </w:r>
    </w:p>
    <w:p w14:paraId="730E26BC" w14:textId="77777777" w:rsidR="00F67E9E" w:rsidRPr="00024F2F" w:rsidRDefault="00F67E9E" w:rsidP="00F67E9E">
      <w:pPr>
        <w:pStyle w:val="Numbered111"/>
        <w:tabs>
          <w:tab w:val="clear" w:pos="1800"/>
          <w:tab w:val="num" w:pos="1440"/>
          <w:tab w:val="num" w:pos="2160"/>
        </w:tabs>
        <w:ind w:left="1440" w:hanging="720"/>
      </w:pPr>
      <w:r w:rsidRPr="00024F2F">
        <w:t>such other information and/or documentation that the Authority or its authorised representatives may reasonably require,</w:t>
      </w:r>
    </w:p>
    <w:p w14:paraId="00F0DE55" w14:textId="77777777" w:rsidR="00F67E9E" w:rsidRPr="001B1EB0" w:rsidRDefault="00F67E9E" w:rsidP="00F67E9E">
      <w:pPr>
        <w:pStyle w:val="Numbered111"/>
        <w:numPr>
          <w:ilvl w:val="0"/>
          <w:numId w:val="0"/>
        </w:numPr>
        <w:tabs>
          <w:tab w:val="num" w:pos="2160"/>
        </w:tabs>
        <w:ind w:left="720"/>
      </w:pPr>
      <w:r w:rsidRPr="00024F2F">
        <w:t>to assist the Authority to establish whether the arrangements which the Supplier and its Sub-contractors have implemented in order to ensure the security of the Authority Data and the Information Management System are consistent with the representations in the Security Management Plan. The Supplier shall provide the access required by the Authority in accordance with this Paragraph</w:t>
      </w:r>
      <w:r w:rsidRPr="001B1EB0">
        <w:t xml:space="preserve"> within </w:t>
      </w:r>
      <w:r w:rsidRPr="001B1EB0">
        <w:rPr>
          <w:highlight w:val="yellow"/>
        </w:rPr>
        <w:t>[</w:t>
      </w:r>
      <w:r w:rsidRPr="008B5F6C">
        <w:rPr>
          <w:highlight w:val="yellow"/>
        </w:rPr>
        <w:t>10</w:t>
      </w:r>
      <w:r w:rsidRPr="001B1EB0">
        <w:rPr>
          <w:highlight w:val="yellow"/>
        </w:rPr>
        <w:t>]</w:t>
      </w:r>
      <w:r w:rsidRPr="001B1EB0">
        <w:t xml:space="preserve"> Working Days of receipt of such request, except in the case of a Breach of Security in which case the Supplier shall provide the Authority with the access that it requires within </w:t>
      </w:r>
      <w:r w:rsidRPr="001B1EB0">
        <w:rPr>
          <w:highlight w:val="yellow"/>
        </w:rPr>
        <w:t>[</w:t>
      </w:r>
      <w:r w:rsidRPr="008B5F6C">
        <w:rPr>
          <w:highlight w:val="yellow"/>
        </w:rPr>
        <w:t>24 hours</w:t>
      </w:r>
      <w:r w:rsidRPr="001B1EB0">
        <w:rPr>
          <w:highlight w:val="yellow"/>
        </w:rPr>
        <w:t>]</w:t>
      </w:r>
      <w:r w:rsidRPr="001B1EB0">
        <w:t xml:space="preserve"> of receipt of such request.</w:t>
      </w:r>
    </w:p>
    <w:p w14:paraId="338E02E0" w14:textId="77777777" w:rsidR="00F67E9E" w:rsidRPr="001B1EB0" w:rsidRDefault="00F67E9E" w:rsidP="00F67E9E">
      <w:pPr>
        <w:pStyle w:val="Numbered1"/>
      </w:pPr>
      <w:bookmarkStart w:id="518" w:name="_Ref_ContractCompanion_9kb9Ur7EC"/>
      <w:r w:rsidRPr="001B1EB0">
        <w:t>Compliance Reviews</w:t>
      </w:r>
      <w:bookmarkEnd w:id="518"/>
    </w:p>
    <w:p w14:paraId="6A11145B" w14:textId="77777777" w:rsidR="00F67E9E" w:rsidRPr="001B1EB0" w:rsidRDefault="00F67E9E" w:rsidP="00F67E9E">
      <w:pPr>
        <w:pStyle w:val="Numbered11"/>
      </w:pPr>
      <w:r w:rsidRPr="001B1EB0">
        <w:t xml:space="preserve">The Supplier shall regularly review and update the Security Management Plan, </w:t>
      </w:r>
      <w:r w:rsidRPr="00024F2F">
        <w:t>and provide such to the Authority, at least once each year and as required by this Paragraph.</w:t>
      </w:r>
    </w:p>
    <w:p w14:paraId="2C46C941" w14:textId="77777777" w:rsidR="00F67E9E" w:rsidRPr="001B1EB0" w:rsidRDefault="00F67E9E" w:rsidP="00F67E9E">
      <w:pPr>
        <w:pStyle w:val="Numbered11"/>
      </w:pPr>
      <w:bookmarkStart w:id="519" w:name="_Ref_ContractCompanion_9kb9Ur6GF"/>
      <w:r w:rsidRPr="001B1EB0">
        <w:t xml:space="preserve">The Supplier shall notify the Authority within </w:t>
      </w:r>
      <w:r w:rsidRPr="001B1EB0">
        <w:rPr>
          <w:highlight w:val="yellow"/>
        </w:rPr>
        <w:t>[</w:t>
      </w:r>
      <w:r w:rsidRPr="008B5F6C">
        <w:rPr>
          <w:highlight w:val="yellow"/>
        </w:rPr>
        <w:t>2</w:t>
      </w:r>
      <w:r w:rsidRPr="001B1EB0">
        <w:rPr>
          <w:highlight w:val="yellow"/>
        </w:rPr>
        <w:t>]</w:t>
      </w:r>
      <w:r w:rsidRPr="001B1EB0">
        <w:t xml:space="preserve"> Working Days after becoming aware of:</w:t>
      </w:r>
      <w:bookmarkEnd w:id="519"/>
    </w:p>
    <w:p w14:paraId="32A38AD8" w14:textId="77777777" w:rsidR="00F67E9E" w:rsidRPr="001B1EB0" w:rsidRDefault="00F67E9E" w:rsidP="00F67E9E">
      <w:pPr>
        <w:pStyle w:val="Numbered111"/>
        <w:tabs>
          <w:tab w:val="clear" w:pos="1800"/>
          <w:tab w:val="num" w:pos="1440"/>
          <w:tab w:val="num" w:pos="2160"/>
        </w:tabs>
        <w:ind w:left="1440" w:hanging="720"/>
      </w:pPr>
      <w:r w:rsidRPr="001B1EB0">
        <w:t>a significant change to the components or architecture of the Information Management System;</w:t>
      </w:r>
    </w:p>
    <w:p w14:paraId="47125E34" w14:textId="77777777" w:rsidR="00F67E9E" w:rsidRPr="001B1EB0" w:rsidRDefault="00F67E9E" w:rsidP="00F67E9E">
      <w:pPr>
        <w:pStyle w:val="Numbered111"/>
        <w:tabs>
          <w:tab w:val="clear" w:pos="1800"/>
          <w:tab w:val="num" w:pos="1440"/>
          <w:tab w:val="num" w:pos="2160"/>
        </w:tabs>
        <w:ind w:left="1440" w:hanging="720"/>
      </w:pPr>
      <w:r w:rsidRPr="001B1EB0">
        <w:t>a new risk to the components or architecture of the Information Management System;</w:t>
      </w:r>
    </w:p>
    <w:p w14:paraId="26B4D3A6" w14:textId="3DEE732A" w:rsidR="00F67E9E" w:rsidRPr="00024F2F" w:rsidRDefault="00F67E9E" w:rsidP="00F67E9E">
      <w:pPr>
        <w:pStyle w:val="Numbered111"/>
        <w:tabs>
          <w:tab w:val="clear" w:pos="1800"/>
          <w:tab w:val="num" w:pos="1440"/>
          <w:tab w:val="num" w:pos="2160"/>
        </w:tabs>
        <w:ind w:left="1440" w:hanging="720"/>
      </w:pPr>
      <w:r w:rsidRPr="001B1EB0">
        <w:t xml:space="preserve">a vulnerability to the components or architecture of the Service </w:t>
      </w:r>
      <w:r w:rsidRPr="00024F2F">
        <w:t xml:space="preserve">which is classified </w:t>
      </w:r>
      <w:r>
        <w:t>‘</w:t>
      </w:r>
      <w:r w:rsidRPr="00024F2F">
        <w:t>Medium</w:t>
      </w:r>
      <w:r>
        <w:t>’</w:t>
      </w:r>
      <w:r w:rsidRPr="00024F2F">
        <w:t xml:space="preserve">, </w:t>
      </w:r>
      <w:r>
        <w:t>‘</w:t>
      </w:r>
      <w:r w:rsidRPr="00024F2F">
        <w:t>High</w:t>
      </w:r>
      <w:r>
        <w:t>’</w:t>
      </w:r>
      <w:r w:rsidRPr="00024F2F">
        <w:t xml:space="preserve">, </w:t>
      </w:r>
      <w:r>
        <w:t>‘</w:t>
      </w:r>
      <w:r w:rsidRPr="00024F2F">
        <w:t>Critical</w:t>
      </w:r>
      <w:r>
        <w:t>’</w:t>
      </w:r>
      <w:r w:rsidRPr="00024F2F">
        <w:t xml:space="preserve"> or </w:t>
      </w:r>
      <w:r>
        <w:t>‘</w:t>
      </w:r>
      <w:r w:rsidRPr="00024F2F">
        <w:t>Important</w:t>
      </w:r>
      <w:r>
        <w:t>’</w:t>
      </w:r>
      <w:r w:rsidRPr="00024F2F">
        <w:t xml:space="preserve"> in accordance with the classification methodology set out in </w:t>
      </w:r>
      <w:bookmarkStart w:id="520" w:name="_9kR3WTr2CC59DaEnoewrqyJS"/>
      <w:r w:rsidRPr="00024F2F">
        <w:t>Paragraph </w:t>
      </w:r>
      <w:r w:rsidRPr="00024F2F">
        <w:fldChar w:fldCharType="begin"/>
      </w:r>
      <w:r w:rsidRPr="00024F2F">
        <w:instrText xml:space="preserve"> REF _Ref_ContractCompanion_9kb9Ur157 \n \h \t \* MERGEFORMAT </w:instrText>
      </w:r>
      <w:r w:rsidRPr="00024F2F">
        <w:fldChar w:fldCharType="separate"/>
      </w:r>
      <w:r w:rsidR="00302D39">
        <w:t>9.2</w:t>
      </w:r>
      <w:r w:rsidRPr="00024F2F">
        <w:fldChar w:fldCharType="end"/>
      </w:r>
      <w:bookmarkEnd w:id="520"/>
      <w:r w:rsidRPr="00024F2F">
        <w:t xml:space="preserve"> of Annex </w:t>
      </w:r>
      <w:r w:rsidRPr="00024F2F">
        <w:rPr>
          <w:b/>
          <w:bCs/>
        </w:rPr>
        <w:fldChar w:fldCharType="begin"/>
      </w:r>
      <w:r w:rsidRPr="00024F2F">
        <w:rPr>
          <w:b/>
          <w:bCs/>
        </w:rPr>
        <w:instrText xml:space="preserve"> REF ANNEX1_PARTA_SCHEDULE5 \h  \* MERGEFORMAT </w:instrText>
      </w:r>
      <w:r w:rsidRPr="00024F2F">
        <w:rPr>
          <w:b/>
          <w:bCs/>
        </w:rPr>
      </w:r>
      <w:r w:rsidRPr="00024F2F">
        <w:rPr>
          <w:b/>
          <w:bCs/>
        </w:rPr>
        <w:fldChar w:fldCharType="separate"/>
      </w:r>
      <w:r w:rsidR="00302D39" w:rsidRPr="00302D39">
        <w:rPr>
          <w:rStyle w:val="Heading2Char"/>
          <w:rFonts w:ascii="Arial" w:hAnsi="Arial" w:cs="Arial"/>
          <w:b w:val="0"/>
          <w:bCs w:val="0"/>
          <w:sz w:val="24"/>
          <w:szCs w:val="24"/>
        </w:rPr>
        <w:t>1</w:t>
      </w:r>
      <w:r w:rsidRPr="00024F2F">
        <w:rPr>
          <w:b/>
          <w:bCs/>
        </w:rPr>
        <w:fldChar w:fldCharType="end"/>
      </w:r>
      <w:r w:rsidRPr="00024F2F">
        <w:t xml:space="preserve"> to this Schedule;</w:t>
      </w:r>
    </w:p>
    <w:p w14:paraId="02284A38" w14:textId="77777777" w:rsidR="00F67E9E" w:rsidRPr="001B1EB0" w:rsidRDefault="00F67E9E" w:rsidP="00F67E9E">
      <w:pPr>
        <w:pStyle w:val="Numbered111"/>
        <w:tabs>
          <w:tab w:val="clear" w:pos="1800"/>
          <w:tab w:val="num" w:pos="1440"/>
          <w:tab w:val="num" w:pos="2160"/>
        </w:tabs>
        <w:ind w:left="1440" w:hanging="720"/>
      </w:pPr>
      <w:r w:rsidRPr="001B1EB0">
        <w:t>a change in the threat profile;</w:t>
      </w:r>
    </w:p>
    <w:p w14:paraId="5EB401AF" w14:textId="77777777" w:rsidR="00F67E9E" w:rsidRPr="001B1EB0" w:rsidRDefault="00F67E9E" w:rsidP="00F67E9E">
      <w:pPr>
        <w:pStyle w:val="Numbered111"/>
        <w:tabs>
          <w:tab w:val="clear" w:pos="1800"/>
          <w:tab w:val="num" w:pos="1440"/>
          <w:tab w:val="num" w:pos="2160"/>
        </w:tabs>
        <w:ind w:left="1440" w:hanging="720"/>
      </w:pPr>
      <w:r w:rsidRPr="001B1EB0">
        <w:t>a significant change to any risk component;</w:t>
      </w:r>
    </w:p>
    <w:p w14:paraId="3AB19162" w14:textId="77777777" w:rsidR="00F67E9E" w:rsidRPr="001B1EB0" w:rsidRDefault="00F67E9E" w:rsidP="00F67E9E">
      <w:pPr>
        <w:pStyle w:val="Numbered111"/>
        <w:tabs>
          <w:tab w:val="clear" w:pos="1800"/>
          <w:tab w:val="num" w:pos="1440"/>
          <w:tab w:val="num" w:pos="2160"/>
        </w:tabs>
        <w:ind w:left="1440" w:hanging="720"/>
      </w:pPr>
      <w:r w:rsidRPr="001B1EB0">
        <w:t>a significant change in the quantity of Personal Data held within the Service;</w:t>
      </w:r>
    </w:p>
    <w:p w14:paraId="49234247" w14:textId="77777777" w:rsidR="00F67E9E" w:rsidRPr="001B1EB0" w:rsidRDefault="00F67E9E" w:rsidP="00F67E9E">
      <w:pPr>
        <w:pStyle w:val="Numbered111"/>
        <w:tabs>
          <w:tab w:val="clear" w:pos="1800"/>
          <w:tab w:val="num" w:pos="1440"/>
          <w:tab w:val="num" w:pos="2160"/>
        </w:tabs>
        <w:ind w:left="1440" w:hanging="720"/>
      </w:pPr>
      <w:r w:rsidRPr="001B1EB0">
        <w:t>a proposal to change any of the Sites from which any part of the Services are provided; and/or</w:t>
      </w:r>
    </w:p>
    <w:p w14:paraId="68B28A49" w14:textId="77777777" w:rsidR="00F67E9E" w:rsidRPr="001B1EB0" w:rsidRDefault="00F67E9E" w:rsidP="00F67E9E">
      <w:pPr>
        <w:pStyle w:val="Numbered111"/>
        <w:tabs>
          <w:tab w:val="clear" w:pos="1800"/>
          <w:tab w:val="num" w:pos="1440"/>
          <w:tab w:val="num" w:pos="2160"/>
        </w:tabs>
        <w:ind w:left="1440" w:hanging="720"/>
      </w:pPr>
      <w:r w:rsidRPr="001B1EB0">
        <w:t>an ISO</w:t>
      </w:r>
      <w:r>
        <w:t xml:space="preserve">/IEC </w:t>
      </w:r>
      <w:r w:rsidRPr="001B1EB0">
        <w:t xml:space="preserve">27001 </w:t>
      </w:r>
      <w:r>
        <w:t xml:space="preserve">(at least ISO/IEC 27001:2013) </w:t>
      </w:r>
      <w:r w:rsidRPr="001B1EB0">
        <w:t>audit report produced in connection with the Certification Requirements indicates significant concerns.</w:t>
      </w:r>
    </w:p>
    <w:p w14:paraId="24701353" w14:textId="77777777" w:rsidR="00F67E9E" w:rsidRPr="001B1EB0" w:rsidRDefault="00F67E9E" w:rsidP="00F67E9E">
      <w:pPr>
        <w:pStyle w:val="Numbered11"/>
      </w:pPr>
      <w:r w:rsidRPr="001B1EB0">
        <w:t xml:space="preserve">Within </w:t>
      </w:r>
      <w:r w:rsidRPr="001B1EB0">
        <w:rPr>
          <w:highlight w:val="yellow"/>
        </w:rPr>
        <w:t>[</w:t>
      </w:r>
      <w:r w:rsidRPr="008B5F6C">
        <w:rPr>
          <w:highlight w:val="yellow"/>
        </w:rPr>
        <w:t>10</w:t>
      </w:r>
      <w:r w:rsidRPr="001B1EB0">
        <w:rPr>
          <w:highlight w:val="yellow"/>
        </w:rPr>
        <w:t>]</w:t>
      </w:r>
      <w:r w:rsidRPr="001B1EB0">
        <w:t xml:space="preserve"> Working Days of such notifying the Authority or such other timescale as may be agreed with the Authority, the Supplier shall make the necessary changes to the Required Changes Register and submit the updated Required Changes Register the Authority for review and approval.</w:t>
      </w:r>
    </w:p>
    <w:p w14:paraId="7AA213D7" w14:textId="77777777" w:rsidR="00F67E9E" w:rsidRPr="001B1EB0" w:rsidRDefault="00F67E9E" w:rsidP="00F67E9E">
      <w:pPr>
        <w:pStyle w:val="Numbered11"/>
      </w:pPr>
      <w:r w:rsidRPr="001B1EB0">
        <w:t xml:space="preserve">Where the Supplier is required to implement a change, including any change to the Information Management System, the Supplier shall effect such change at its own cost and expense. </w:t>
      </w:r>
    </w:p>
    <w:p w14:paraId="36E02441" w14:textId="77777777" w:rsidR="00F67E9E" w:rsidRPr="001B1EB0" w:rsidRDefault="00F67E9E" w:rsidP="00F67E9E">
      <w:pPr>
        <w:pStyle w:val="Numbered1"/>
      </w:pPr>
      <w:bookmarkStart w:id="521" w:name="_Ref_ContractCompanion_9kb9Ur688"/>
      <w:bookmarkStart w:id="522" w:name="_Ref_ContractCompanion_9kb9Ur7E9"/>
      <w:bookmarkStart w:id="523" w:name="_9kR3WTrAG8BIFcJfifw5q8MMLkQzJdlhN9PH453"/>
      <w:r w:rsidRPr="001B1EB0">
        <w:t>Certification Requirements</w:t>
      </w:r>
      <w:bookmarkEnd w:id="521"/>
      <w:bookmarkEnd w:id="522"/>
      <w:bookmarkEnd w:id="523"/>
    </w:p>
    <w:p w14:paraId="4FDBA2E9" w14:textId="77777777" w:rsidR="00F67E9E" w:rsidRPr="001B1EB0" w:rsidRDefault="00F67E9E" w:rsidP="00F67E9E">
      <w:pPr>
        <w:pStyle w:val="Numbered11"/>
      </w:pPr>
      <w:bookmarkStart w:id="524" w:name="_Ref45003125"/>
      <w:r w:rsidRPr="001B1EB0">
        <w:t>The Supplier shall be certified as compliant with:</w:t>
      </w:r>
      <w:bookmarkEnd w:id="524"/>
    </w:p>
    <w:p w14:paraId="3805A18E" w14:textId="77777777" w:rsidR="00F67E9E" w:rsidRPr="001B1EB0" w:rsidRDefault="00F67E9E" w:rsidP="00F67E9E">
      <w:pPr>
        <w:pStyle w:val="Numbered111"/>
        <w:tabs>
          <w:tab w:val="clear" w:pos="1800"/>
          <w:tab w:val="num" w:pos="1440"/>
          <w:tab w:val="num" w:pos="2160"/>
        </w:tabs>
        <w:ind w:left="1440" w:hanging="720"/>
      </w:pPr>
      <w:r w:rsidRPr="001B1EB0">
        <w:t>ISO/IEC 27001</w:t>
      </w:r>
      <w:r>
        <w:t xml:space="preserve"> (at least ISO/IEC 27001:2013) </w:t>
      </w:r>
      <w:r w:rsidRPr="001B1EB0">
        <w:t xml:space="preserve">by a </w:t>
      </w:r>
      <w:r>
        <w:t>UK</w:t>
      </w:r>
      <w:r w:rsidRPr="001B1EB0">
        <w:t xml:space="preserve"> Accreditation Service-approved certification body or is included within the scope of an existing certification of compliance with ISO/IEC 27001</w:t>
      </w:r>
      <w:r>
        <w:t xml:space="preserve"> (at least ISO/IEC 27001:2013)</w:t>
      </w:r>
      <w:r w:rsidRPr="001B1EB0">
        <w:t xml:space="preserve">; and </w:t>
      </w:r>
    </w:p>
    <w:p w14:paraId="4B13A76A" w14:textId="77777777" w:rsidR="00F67E9E" w:rsidRPr="001B1EB0" w:rsidRDefault="00F67E9E" w:rsidP="00F67E9E">
      <w:pPr>
        <w:pStyle w:val="Numbered111"/>
        <w:tabs>
          <w:tab w:val="clear" w:pos="1800"/>
          <w:tab w:val="num" w:pos="1440"/>
          <w:tab w:val="num" w:pos="2160"/>
        </w:tabs>
        <w:ind w:left="1440" w:hanging="720"/>
      </w:pPr>
      <w:r w:rsidRPr="001B1EB0">
        <w:t xml:space="preserve">Cyber Essentials PLUS, </w:t>
      </w:r>
    </w:p>
    <w:p w14:paraId="4C0A7DC0" w14:textId="77777777" w:rsidR="00F67E9E" w:rsidRPr="001B1EB0" w:rsidRDefault="00F67E9E" w:rsidP="00F67E9E">
      <w:pPr>
        <w:pStyle w:val="StdBodyText2"/>
        <w:tabs>
          <w:tab w:val="num" w:pos="720"/>
        </w:tabs>
        <w:rPr>
          <w:rFonts w:cs="Arial"/>
        </w:rPr>
      </w:pPr>
      <w:r w:rsidRPr="001B1EB0">
        <w:rPr>
          <w:rFonts w:cs="Arial"/>
        </w:rPr>
        <w:t xml:space="preserve">and shall provide the Authority with a copy of each such certificate of compliance before the Supplier shall be permitted to receive, store or Process Authority Data. </w:t>
      </w:r>
    </w:p>
    <w:p w14:paraId="49870C56" w14:textId="77777777" w:rsidR="00F67E9E" w:rsidRPr="00024F2F" w:rsidRDefault="00F67E9E" w:rsidP="00F67E9E">
      <w:pPr>
        <w:pStyle w:val="Numbered11"/>
      </w:pPr>
      <w:bookmarkStart w:id="525" w:name="_Ref45003133"/>
      <w:r w:rsidRPr="00024F2F">
        <w:t>The Supplier shall ensure that each Higher Risk Sub-contractor is certified as compliant with either:</w:t>
      </w:r>
      <w:bookmarkEnd w:id="525"/>
    </w:p>
    <w:p w14:paraId="5CF1140F" w14:textId="77777777" w:rsidR="00F67E9E" w:rsidRPr="00024F2F" w:rsidRDefault="00F67E9E" w:rsidP="00F67E9E">
      <w:pPr>
        <w:pStyle w:val="Numbered111"/>
        <w:tabs>
          <w:tab w:val="clear" w:pos="1800"/>
          <w:tab w:val="num" w:pos="1440"/>
          <w:tab w:val="num" w:pos="2160"/>
        </w:tabs>
        <w:ind w:left="1440" w:hanging="720"/>
      </w:pPr>
      <w:r w:rsidRPr="00024F2F">
        <w:t xml:space="preserve">ISO/IEC 27001 (at least ISO/IEC 27001:2013) by a UK Accreditation Service-approved certification body or is included within the scope of an existing certification of compliance with ISO/IEC 27001 (at least ISO/IEC 27001:2013); or </w:t>
      </w:r>
    </w:p>
    <w:p w14:paraId="279B74F8" w14:textId="77777777" w:rsidR="00F67E9E" w:rsidRPr="00024F2F" w:rsidRDefault="00F67E9E" w:rsidP="00F67E9E">
      <w:pPr>
        <w:pStyle w:val="Numbered111"/>
        <w:tabs>
          <w:tab w:val="clear" w:pos="1800"/>
          <w:tab w:val="num" w:pos="1440"/>
          <w:tab w:val="num" w:pos="2160"/>
        </w:tabs>
        <w:ind w:left="1440" w:hanging="720"/>
      </w:pPr>
      <w:r w:rsidRPr="00024F2F">
        <w:t xml:space="preserve">Cyber Essentials PLUS, </w:t>
      </w:r>
    </w:p>
    <w:p w14:paraId="11E308B1" w14:textId="77777777" w:rsidR="00F67E9E" w:rsidRPr="00024F2F" w:rsidRDefault="00F67E9E" w:rsidP="00F67E9E">
      <w:pPr>
        <w:pStyle w:val="StdBodyText2"/>
        <w:tabs>
          <w:tab w:val="num" w:pos="720"/>
        </w:tabs>
        <w:rPr>
          <w:rFonts w:cs="Arial"/>
        </w:rPr>
      </w:pPr>
      <w:r w:rsidRPr="00024F2F">
        <w:rPr>
          <w:rFonts w:cs="Arial"/>
        </w:rPr>
        <w:t>and shall provide the Authority with a copy of each such certificate of compliance before the Higher-Risk Sub-contractor shall be permitted to receive, store or Process Authority Data.</w:t>
      </w:r>
    </w:p>
    <w:p w14:paraId="4DD1236D" w14:textId="77777777" w:rsidR="00F67E9E" w:rsidRPr="00024F2F" w:rsidRDefault="00F67E9E" w:rsidP="00F67E9E">
      <w:pPr>
        <w:pStyle w:val="Numbered11"/>
      </w:pPr>
      <w:bookmarkStart w:id="526" w:name="_Ref45003139"/>
      <w:r w:rsidRPr="00024F2F">
        <w:t>The Supplier shall ensure that each Medium Risk Sub-contractor is certified compliant with Cyber Essentials.</w:t>
      </w:r>
      <w:bookmarkEnd w:id="526"/>
    </w:p>
    <w:p w14:paraId="6B48DE1E" w14:textId="77777777" w:rsidR="00F67E9E" w:rsidRPr="00024F2F" w:rsidRDefault="00F67E9E" w:rsidP="00F67E9E">
      <w:pPr>
        <w:pStyle w:val="Numbered11"/>
      </w:pPr>
      <w:r w:rsidRPr="00024F2F">
        <w:t>The Supplier shall ensure that the Supplier and each Sub-contractor who is responsible for the secure destruction of Authority Data:</w:t>
      </w:r>
    </w:p>
    <w:p w14:paraId="657E16B6" w14:textId="77777777" w:rsidR="00F67E9E" w:rsidRPr="00024F2F" w:rsidRDefault="00F67E9E" w:rsidP="00F67E9E">
      <w:pPr>
        <w:pStyle w:val="Numbered111"/>
        <w:tabs>
          <w:tab w:val="clear" w:pos="1800"/>
          <w:tab w:val="num" w:pos="1440"/>
          <w:tab w:val="num" w:pos="2160"/>
        </w:tabs>
        <w:ind w:left="1440" w:hanging="720"/>
      </w:pPr>
      <w:r w:rsidRPr="00024F2F">
        <w:t xml:space="preserve">securely destroys Authority Data only on Sites which are included within the scope of an existing certification of compliance with ISO/IEC 27001 (at least ISO/IEC 27001:2013); </w:t>
      </w:r>
    </w:p>
    <w:p w14:paraId="313A4106" w14:textId="77777777" w:rsidR="00F67E9E" w:rsidRPr="00024F2F" w:rsidRDefault="00F67E9E" w:rsidP="00F67E9E">
      <w:pPr>
        <w:pStyle w:val="Numbered111"/>
        <w:tabs>
          <w:tab w:val="clear" w:pos="1800"/>
          <w:tab w:val="num" w:pos="1440"/>
          <w:tab w:val="num" w:pos="2160"/>
        </w:tabs>
        <w:ind w:left="1440" w:hanging="720"/>
      </w:pPr>
      <w:r w:rsidRPr="00024F2F">
        <w:t xml:space="preserve">should satisfy the Authority that their data destruction/deletion practices comply with UK GDPR requirements and follows all relevant NCSC guidance; and </w:t>
      </w:r>
    </w:p>
    <w:p w14:paraId="22DD5527" w14:textId="77777777" w:rsidR="00F67E9E" w:rsidRPr="00024F2F" w:rsidRDefault="00F67E9E" w:rsidP="00F67E9E">
      <w:pPr>
        <w:pStyle w:val="Numbered111"/>
        <w:tabs>
          <w:tab w:val="clear" w:pos="1800"/>
          <w:tab w:val="num" w:pos="1440"/>
          <w:tab w:val="num" w:pos="2160"/>
        </w:tabs>
        <w:ind w:left="1440" w:hanging="720"/>
      </w:pPr>
      <w:r w:rsidRPr="00024F2F">
        <w:t>must maintain an asset register of all Authority supplied information, data and equipment to ensure Authority assets are returned and/or deleted.</w:t>
      </w:r>
    </w:p>
    <w:p w14:paraId="20188812" w14:textId="3D8BDBC8" w:rsidR="00F67E9E" w:rsidRPr="00024F2F" w:rsidRDefault="00F67E9E" w:rsidP="00F67E9E">
      <w:pPr>
        <w:pStyle w:val="Numbered11"/>
      </w:pPr>
      <w:r w:rsidRPr="00024F2F">
        <w:t>The Supplier shall provide the Authority with evidence of its and its Sub-contractor</w:t>
      </w:r>
      <w:r>
        <w:t>’</w:t>
      </w:r>
      <w:r w:rsidRPr="00024F2F">
        <w:t xml:space="preserve">s compliance with the requirements set out in this </w:t>
      </w:r>
      <w:bookmarkStart w:id="527" w:name="_9kMHG5YVtCIADKHeLhkhy7sAOONmS1LfnjPBRJ6"/>
      <w:r w:rsidRPr="00024F2F">
        <w:t xml:space="preserve">Paragraph </w:t>
      </w:r>
      <w:r w:rsidRPr="00024F2F">
        <w:fldChar w:fldCharType="begin"/>
      </w:r>
      <w:r w:rsidRPr="00024F2F">
        <w:instrText xml:space="preserve"> REF _Ref_ContractCompanion_9kb9Ur7E9 \w \n \h \t \* MERGEFORMAT </w:instrText>
      </w:r>
      <w:r w:rsidRPr="00024F2F">
        <w:fldChar w:fldCharType="separate"/>
      </w:r>
      <w:r w:rsidR="00302D39">
        <w:t>6</w:t>
      </w:r>
      <w:r w:rsidRPr="00024F2F">
        <w:fldChar w:fldCharType="end"/>
      </w:r>
      <w:bookmarkEnd w:id="527"/>
      <w:r w:rsidRPr="00024F2F">
        <w:t xml:space="preserve"> before the Supplier or the relevant Sub-contractor (as applicable) may carry out the secure destruction of any Authority Data.</w:t>
      </w:r>
    </w:p>
    <w:p w14:paraId="6828D847" w14:textId="77777777" w:rsidR="00F67E9E" w:rsidRPr="00024F2F" w:rsidRDefault="00F67E9E" w:rsidP="00F67E9E">
      <w:pPr>
        <w:pStyle w:val="Numbered11"/>
      </w:pPr>
      <w:r w:rsidRPr="00024F2F">
        <w:t>The Supplier shall notify the Authority as soon as reasonably practicable and, in any event within 2 Working Days, if the Supplier or any Sub-contractor ceases to be compliant with the Certification Requirements and, on request from the Authority, shall or shall procure that the relevant Sub-contractor shall:</w:t>
      </w:r>
    </w:p>
    <w:p w14:paraId="01FE0F69" w14:textId="77777777" w:rsidR="00F67E9E" w:rsidRPr="00024F2F" w:rsidRDefault="00F67E9E" w:rsidP="00F67E9E">
      <w:pPr>
        <w:pStyle w:val="Numbered111"/>
        <w:tabs>
          <w:tab w:val="clear" w:pos="1800"/>
          <w:tab w:val="num" w:pos="1440"/>
          <w:tab w:val="num" w:pos="2160"/>
        </w:tabs>
        <w:ind w:left="1440" w:hanging="720"/>
      </w:pPr>
      <w:r w:rsidRPr="00024F2F">
        <w:t>immediately ceases using the Authority Data; and</w:t>
      </w:r>
    </w:p>
    <w:p w14:paraId="0AA1ED0A" w14:textId="77777777" w:rsidR="00F67E9E" w:rsidRPr="00024F2F" w:rsidRDefault="00F67E9E" w:rsidP="00F67E9E">
      <w:pPr>
        <w:pStyle w:val="Numbered111"/>
        <w:tabs>
          <w:tab w:val="clear" w:pos="1800"/>
          <w:tab w:val="num" w:pos="1440"/>
          <w:tab w:val="num" w:pos="2160"/>
        </w:tabs>
        <w:ind w:left="1440" w:hanging="720"/>
      </w:pPr>
      <w:r w:rsidRPr="00024F2F">
        <w:t>procure that the relevant Sub-contractor promptly returns, destroys and/or erases the Authority Data in accordance with the requirements set out in this Paragraph.</w:t>
      </w:r>
    </w:p>
    <w:p w14:paraId="010F4D77" w14:textId="4F2F8199" w:rsidR="00F67E9E" w:rsidRPr="00024F2F" w:rsidRDefault="00F67E9E" w:rsidP="00F67E9E">
      <w:pPr>
        <w:pStyle w:val="Numbered11"/>
      </w:pPr>
      <w:r w:rsidRPr="00024F2F">
        <w:t xml:space="preserve">The Authority may agree to exempt, in whole or part, the Supplier or any Sub-contractor from the requirements of this </w:t>
      </w:r>
      <w:bookmarkStart w:id="528" w:name="_9kMIH5YVtCIADKHeLhkhy7sAOONmS1LfnjPBRJ6"/>
      <w:r w:rsidRPr="00024F2F">
        <w:t xml:space="preserve">Paragraph </w:t>
      </w:r>
      <w:r w:rsidRPr="00024F2F">
        <w:fldChar w:fldCharType="begin"/>
      </w:r>
      <w:r w:rsidRPr="00024F2F">
        <w:instrText xml:space="preserve"> REF _Ref_ContractCompanion_9kb9Ur7E9 \w \n \h \t \* MERGEFORMAT </w:instrText>
      </w:r>
      <w:r w:rsidRPr="00024F2F">
        <w:fldChar w:fldCharType="separate"/>
      </w:r>
      <w:r w:rsidR="00302D39">
        <w:t>6</w:t>
      </w:r>
      <w:r w:rsidRPr="00024F2F">
        <w:fldChar w:fldCharType="end"/>
      </w:r>
      <w:bookmarkEnd w:id="528"/>
      <w:r w:rsidRPr="00024F2F">
        <w:t>. Any exemption must be in writing to be effective. The Supplier must include the exemption in the Security Management Plan.</w:t>
      </w:r>
    </w:p>
    <w:p w14:paraId="431B7482" w14:textId="77777777" w:rsidR="00F67E9E" w:rsidRPr="00024F2F" w:rsidRDefault="00F67E9E" w:rsidP="00F67E9E">
      <w:pPr>
        <w:pStyle w:val="Numbered1"/>
      </w:pPr>
      <w:bookmarkStart w:id="529" w:name="_Ref99017320"/>
      <w:r w:rsidRPr="00024F2F">
        <w:t>Security Testing</w:t>
      </w:r>
      <w:bookmarkEnd w:id="529"/>
    </w:p>
    <w:p w14:paraId="0F518935" w14:textId="77777777" w:rsidR="00F67E9E" w:rsidRPr="00024F2F" w:rsidRDefault="00F67E9E" w:rsidP="00F67E9E">
      <w:pPr>
        <w:pStyle w:val="Numbered11"/>
      </w:pPr>
      <w:bookmarkStart w:id="530" w:name="_Ref_ContractCompanion_9kb9Ur6EA"/>
      <w:bookmarkStart w:id="531" w:name="_Ref_ContractCompanion_9kb9Ur6EC"/>
      <w:bookmarkStart w:id="532" w:name="_Ref_ContractCompanion_9kb9Ur6EE"/>
      <w:r w:rsidRPr="00024F2F">
        <w:t>The Supplier shall, at its own cost and expense procure and conduct:</w:t>
      </w:r>
      <w:bookmarkEnd w:id="530"/>
      <w:bookmarkEnd w:id="531"/>
      <w:bookmarkEnd w:id="532"/>
    </w:p>
    <w:p w14:paraId="46097678" w14:textId="77777777" w:rsidR="00F67E9E" w:rsidRPr="00024F2F" w:rsidRDefault="00F67E9E" w:rsidP="00F67E9E">
      <w:pPr>
        <w:pStyle w:val="Numbered111"/>
        <w:tabs>
          <w:tab w:val="clear" w:pos="1800"/>
          <w:tab w:val="num" w:pos="1440"/>
          <w:tab w:val="num" w:pos="2160"/>
        </w:tabs>
        <w:ind w:left="1440" w:hanging="720"/>
      </w:pPr>
      <w:bookmarkStart w:id="533" w:name="_Ref99026593"/>
      <w:r w:rsidRPr="00024F2F">
        <w:t>testing of the Information Management System by a CHECK Service Provider or a CREST Service Provider (</w:t>
      </w:r>
      <w:r>
        <w:t>“</w:t>
      </w:r>
      <w:r w:rsidRPr="0089429B">
        <w:rPr>
          <w:b/>
        </w:rPr>
        <w:t>IT Health Check</w:t>
      </w:r>
      <w:r>
        <w:t>”</w:t>
      </w:r>
      <w:r w:rsidRPr="00024F2F">
        <w:t>); and</w:t>
      </w:r>
      <w:bookmarkEnd w:id="533"/>
    </w:p>
    <w:p w14:paraId="7412A69E" w14:textId="77777777" w:rsidR="00F67E9E" w:rsidRPr="00024F2F" w:rsidRDefault="00F67E9E" w:rsidP="00F67E9E">
      <w:pPr>
        <w:pStyle w:val="Numbered111"/>
        <w:tabs>
          <w:tab w:val="clear" w:pos="1800"/>
          <w:tab w:val="num" w:pos="1440"/>
          <w:tab w:val="num" w:pos="2160"/>
        </w:tabs>
        <w:ind w:left="1440" w:hanging="720"/>
      </w:pPr>
      <w:r w:rsidRPr="00024F2F">
        <w:t>such other security tests as may be required by the Authority,</w:t>
      </w:r>
    </w:p>
    <w:p w14:paraId="0A8EF11D" w14:textId="77777777" w:rsidR="00F67E9E" w:rsidRPr="00024F2F" w:rsidRDefault="00F67E9E" w:rsidP="00F67E9E">
      <w:pPr>
        <w:pStyle w:val="Numbered11"/>
      </w:pPr>
      <w:r w:rsidRPr="00024F2F">
        <w:t>The Supplier shall:</w:t>
      </w:r>
    </w:p>
    <w:p w14:paraId="28C4A6CD" w14:textId="77777777" w:rsidR="00F67E9E" w:rsidRPr="00024F2F" w:rsidRDefault="00F67E9E" w:rsidP="00F67E9E">
      <w:pPr>
        <w:pStyle w:val="Numbered111"/>
        <w:keepNext/>
        <w:tabs>
          <w:tab w:val="clear" w:pos="1800"/>
          <w:tab w:val="num" w:pos="1440"/>
          <w:tab w:val="num" w:pos="2160"/>
        </w:tabs>
        <w:ind w:left="1440" w:hanging="720"/>
      </w:pPr>
      <w:r w:rsidRPr="00024F2F">
        <w:t>complete all of the above security tests before:</w:t>
      </w:r>
    </w:p>
    <w:p w14:paraId="1B3FC1F8" w14:textId="1503583D" w:rsidR="00F67E9E" w:rsidRPr="003250BB" w:rsidRDefault="00F67E9E" w:rsidP="00F67E9E">
      <w:pPr>
        <w:pStyle w:val="Numbered111a"/>
        <w:tabs>
          <w:tab w:val="clear" w:pos="2520"/>
          <w:tab w:val="num" w:pos="2160"/>
        </w:tabs>
        <w:ind w:left="2160"/>
      </w:pPr>
      <w:r w:rsidRPr="00024F2F">
        <w:t xml:space="preserve">the Supplier submits </w:t>
      </w:r>
      <w:r w:rsidRPr="003250BB">
        <w:t xml:space="preserve">the Security Management Plan to the Authority for review in accordance with </w:t>
      </w:r>
      <w:bookmarkStart w:id="534" w:name="_9kMJI5YVt4DDCMKbGpqgyts0G"/>
      <w:r w:rsidRPr="003250BB">
        <w:t>Paragraph</w:t>
      </w:r>
      <w:bookmarkEnd w:id="534"/>
      <w:r w:rsidRPr="003250BB">
        <w:t xml:space="preserve"> </w:t>
      </w:r>
      <w:r w:rsidRPr="003250BB">
        <w:fldChar w:fldCharType="begin"/>
      </w:r>
      <w:r w:rsidRPr="003250BB">
        <w:instrText xml:space="preserve"> REF _9kR3WTrAG8BICZJfifw5q8MMLkQzJdjlc68LK4C \r \h  \* MERGEFORMAT </w:instrText>
      </w:r>
      <w:r w:rsidRPr="003250BB">
        <w:fldChar w:fldCharType="separate"/>
      </w:r>
      <w:r w:rsidR="00302D39">
        <w:t>4</w:t>
      </w:r>
      <w:r w:rsidRPr="003250BB">
        <w:fldChar w:fldCharType="end"/>
      </w:r>
      <w:r w:rsidRPr="003250BB">
        <w:t>; and</w:t>
      </w:r>
    </w:p>
    <w:p w14:paraId="7801031C" w14:textId="77777777" w:rsidR="00F67E9E" w:rsidRPr="00024F2F" w:rsidRDefault="00F67E9E" w:rsidP="00F67E9E">
      <w:pPr>
        <w:pStyle w:val="Numbered111a"/>
        <w:tabs>
          <w:tab w:val="clear" w:pos="2520"/>
          <w:tab w:val="num" w:pos="2160"/>
        </w:tabs>
        <w:ind w:left="2160"/>
      </w:pPr>
      <w:r w:rsidRPr="003250BB">
        <w:t>before the Supplier is</w:t>
      </w:r>
      <w:r w:rsidRPr="00024F2F">
        <w:t xml:space="preserve"> given permission by the Authority to Process or manage any Authority Data; and</w:t>
      </w:r>
    </w:p>
    <w:p w14:paraId="59E135F7" w14:textId="77777777" w:rsidR="00F67E9E" w:rsidRPr="00024F2F" w:rsidRDefault="00F67E9E" w:rsidP="00F67E9E">
      <w:pPr>
        <w:pStyle w:val="Numbered111"/>
        <w:tabs>
          <w:tab w:val="clear" w:pos="1800"/>
          <w:tab w:val="num" w:pos="1440"/>
          <w:tab w:val="num" w:pos="2160"/>
        </w:tabs>
        <w:ind w:left="1440" w:hanging="720"/>
      </w:pPr>
      <w:r w:rsidRPr="00024F2F">
        <w:t>repeat the IT Health Check not less than once every 12 months during the Term and submit the results of each such test to the Authority for review in accordance with this Paragraph.</w:t>
      </w:r>
    </w:p>
    <w:p w14:paraId="2FE03B0B" w14:textId="77777777" w:rsidR="00F67E9E" w:rsidRPr="00024F2F" w:rsidRDefault="00F67E9E" w:rsidP="00F67E9E">
      <w:pPr>
        <w:pStyle w:val="Numbered11"/>
      </w:pPr>
      <w:bookmarkStart w:id="535" w:name="_Ref88200919"/>
      <w:r w:rsidRPr="00024F2F">
        <w:t>In relation to each IT Health Check, the Supplier shall:</w:t>
      </w:r>
      <w:bookmarkEnd w:id="535"/>
    </w:p>
    <w:p w14:paraId="4845E791" w14:textId="77777777" w:rsidR="00F67E9E" w:rsidRPr="00024F2F" w:rsidRDefault="00F67E9E" w:rsidP="00F67E9E">
      <w:pPr>
        <w:pStyle w:val="Numbered111"/>
        <w:tabs>
          <w:tab w:val="clear" w:pos="1800"/>
          <w:tab w:val="num" w:pos="1440"/>
          <w:tab w:val="num" w:pos="2160"/>
        </w:tabs>
        <w:ind w:left="1440" w:hanging="720"/>
      </w:pPr>
      <w:r w:rsidRPr="00024F2F">
        <w:t>agree with the Authority the aim and scope of the IT Health Check;</w:t>
      </w:r>
    </w:p>
    <w:p w14:paraId="3CD185F6" w14:textId="77777777" w:rsidR="00F67E9E" w:rsidRPr="00024F2F" w:rsidRDefault="00F67E9E" w:rsidP="00F67E9E">
      <w:pPr>
        <w:pStyle w:val="Numbered111"/>
        <w:tabs>
          <w:tab w:val="clear" w:pos="1800"/>
          <w:tab w:val="num" w:pos="1440"/>
          <w:tab w:val="num" w:pos="2160"/>
        </w:tabs>
        <w:ind w:left="1440" w:hanging="720"/>
      </w:pPr>
      <w:r w:rsidRPr="00024F2F">
        <w:t>promptly, and no later than ten (10) Working Days, following the receipt of each IT Health Check report, provide the Authority with a copy of the full report;</w:t>
      </w:r>
    </w:p>
    <w:p w14:paraId="4D0CF181" w14:textId="77777777" w:rsidR="00F67E9E" w:rsidRPr="00024F2F" w:rsidRDefault="00F67E9E" w:rsidP="00F67E9E">
      <w:pPr>
        <w:pStyle w:val="Numbered111"/>
        <w:tabs>
          <w:tab w:val="clear" w:pos="1800"/>
          <w:tab w:val="num" w:pos="1440"/>
          <w:tab w:val="num" w:pos="2160"/>
        </w:tabs>
        <w:ind w:left="1440" w:hanging="720"/>
      </w:pPr>
      <w:r w:rsidRPr="00024F2F">
        <w:t xml:space="preserve">in the event that the IT Health Check report identifies any vulnerabilities, the Supplier shall: </w:t>
      </w:r>
    </w:p>
    <w:p w14:paraId="0499B21E" w14:textId="77777777" w:rsidR="00F67E9E" w:rsidRPr="00024F2F" w:rsidRDefault="00F67E9E" w:rsidP="00F67E9E">
      <w:pPr>
        <w:pStyle w:val="Numbered111a"/>
        <w:tabs>
          <w:tab w:val="clear" w:pos="2520"/>
          <w:tab w:val="num" w:pos="2160"/>
        </w:tabs>
        <w:ind w:left="2160"/>
      </w:pPr>
      <w:bookmarkStart w:id="536" w:name="_Ref88063578"/>
      <w:r w:rsidRPr="00024F2F">
        <w:t xml:space="preserve">prepare a remedial plan for approval by the Authority (each a </w:t>
      </w:r>
      <w:r>
        <w:t>“</w:t>
      </w:r>
      <w:r w:rsidRPr="00EA5FFD">
        <w:rPr>
          <w:rStyle w:val="StdBodyTextBoldChar"/>
          <w:rFonts w:eastAsiaTheme="minorHAnsi" w:cs="Arial"/>
        </w:rPr>
        <w:t>Remediation Action Plan</w:t>
      </w:r>
      <w:r>
        <w:t>”</w:t>
      </w:r>
      <w:r w:rsidRPr="00024F2F">
        <w:t>) which sets out in respect of each vulnerability identified in the IT Health Check report:</w:t>
      </w:r>
      <w:bookmarkEnd w:id="536"/>
    </w:p>
    <w:p w14:paraId="1752CA9E" w14:textId="77777777" w:rsidR="00F67E9E" w:rsidRPr="00024F2F" w:rsidRDefault="00F67E9E" w:rsidP="00F67E9E">
      <w:pPr>
        <w:pStyle w:val="Numbered111a"/>
        <w:tabs>
          <w:tab w:val="clear" w:pos="2520"/>
          <w:tab w:val="num" w:pos="2160"/>
        </w:tabs>
        <w:ind w:left="2160"/>
      </w:pPr>
      <w:r w:rsidRPr="00024F2F">
        <w:t xml:space="preserve">how the vulnerability will be remedied; </w:t>
      </w:r>
    </w:p>
    <w:p w14:paraId="5E33DF32" w14:textId="77777777" w:rsidR="00F67E9E" w:rsidRPr="00024F2F" w:rsidRDefault="00F67E9E" w:rsidP="00F67E9E">
      <w:pPr>
        <w:pStyle w:val="Numbered111a"/>
        <w:tabs>
          <w:tab w:val="clear" w:pos="2520"/>
          <w:tab w:val="num" w:pos="2160"/>
        </w:tabs>
        <w:ind w:left="2160"/>
      </w:pPr>
      <w:r w:rsidRPr="00024F2F">
        <w:t>unless otherwise agreed in writing between the Parties, the date by which the vulnerability will be remedied, which must be:</w:t>
      </w:r>
    </w:p>
    <w:p w14:paraId="07066C2A" w14:textId="77777777" w:rsidR="00F67E9E" w:rsidRPr="00024F2F" w:rsidRDefault="00F67E9E" w:rsidP="00F67E9E">
      <w:pPr>
        <w:pStyle w:val="Numbered111a"/>
        <w:tabs>
          <w:tab w:val="clear" w:pos="2520"/>
          <w:tab w:val="num" w:pos="2160"/>
        </w:tabs>
        <w:ind w:left="2160"/>
      </w:pPr>
      <w:r w:rsidRPr="00024F2F">
        <w:t xml:space="preserve">within three months of the date the Supplier received the IT Health Check report in the case of any vulnerability categorised with a severity of </w:t>
      </w:r>
      <w:r>
        <w:t>“</w:t>
      </w:r>
      <w:r w:rsidRPr="00024F2F">
        <w:t>medium</w:t>
      </w:r>
      <w:r>
        <w:t>”</w:t>
      </w:r>
      <w:r w:rsidRPr="00024F2F">
        <w:t>;</w:t>
      </w:r>
    </w:p>
    <w:p w14:paraId="1C70496C" w14:textId="77777777" w:rsidR="00F67E9E" w:rsidRPr="00024F2F" w:rsidRDefault="00F67E9E" w:rsidP="00F67E9E">
      <w:pPr>
        <w:pStyle w:val="Numbered111a"/>
        <w:tabs>
          <w:tab w:val="clear" w:pos="2520"/>
          <w:tab w:val="num" w:pos="2160"/>
        </w:tabs>
        <w:ind w:left="2160"/>
      </w:pPr>
      <w:r w:rsidRPr="00024F2F">
        <w:t xml:space="preserve">within one month of the date the Supplier received the IT Health Check report in the case of any vulnerability categorised with a severity of </w:t>
      </w:r>
      <w:r>
        <w:t>“</w:t>
      </w:r>
      <w:r w:rsidRPr="00024F2F">
        <w:t>high</w:t>
      </w:r>
      <w:r>
        <w:t>”</w:t>
      </w:r>
      <w:r w:rsidRPr="00024F2F">
        <w:t>; and</w:t>
      </w:r>
    </w:p>
    <w:p w14:paraId="1ABD76A0" w14:textId="77777777" w:rsidR="00F67E9E" w:rsidRPr="00024F2F" w:rsidRDefault="00F67E9E" w:rsidP="00F67E9E">
      <w:pPr>
        <w:pStyle w:val="Numbered111a"/>
        <w:tabs>
          <w:tab w:val="clear" w:pos="2520"/>
          <w:tab w:val="num" w:pos="2160"/>
        </w:tabs>
        <w:ind w:left="2160"/>
      </w:pPr>
      <w:r w:rsidRPr="00024F2F">
        <w:t xml:space="preserve">within 7 Working Days of the date the Supplier received the IT Health Check report in the case of any vulnerability categorised with a severity of </w:t>
      </w:r>
      <w:r>
        <w:t>“</w:t>
      </w:r>
      <w:r w:rsidRPr="00024F2F">
        <w:t>critical</w:t>
      </w:r>
      <w:r>
        <w:t>”</w:t>
      </w:r>
      <w:r w:rsidRPr="00024F2F">
        <w:t>;</w:t>
      </w:r>
    </w:p>
    <w:p w14:paraId="717C890D" w14:textId="77777777" w:rsidR="00F67E9E" w:rsidRPr="00024F2F" w:rsidRDefault="00F67E9E" w:rsidP="00F67E9E">
      <w:pPr>
        <w:pStyle w:val="Numbered111a"/>
        <w:tabs>
          <w:tab w:val="clear" w:pos="2520"/>
          <w:tab w:val="num" w:pos="2160"/>
        </w:tabs>
        <w:ind w:left="2160"/>
      </w:pPr>
      <w:r w:rsidRPr="00024F2F">
        <w:t>the tests which the Supplier shall perform or procure to be performed (which may, at the discretion of the Authority, include a further IT Health Check) to confirm that the vulnerability has been remedied;</w:t>
      </w:r>
    </w:p>
    <w:p w14:paraId="51A2A903" w14:textId="77777777" w:rsidR="00F67E9E" w:rsidRPr="00024F2F" w:rsidRDefault="00F67E9E" w:rsidP="00F67E9E">
      <w:pPr>
        <w:pStyle w:val="Numbered111a"/>
        <w:tabs>
          <w:tab w:val="clear" w:pos="2520"/>
          <w:tab w:val="num" w:pos="2160"/>
        </w:tabs>
        <w:ind w:left="2160"/>
      </w:pPr>
      <w:r w:rsidRPr="00024F2F">
        <w:t>comply with the Remediation Action Plan; and</w:t>
      </w:r>
    </w:p>
    <w:p w14:paraId="683ACA81" w14:textId="77777777" w:rsidR="00F67E9E" w:rsidRPr="00024F2F" w:rsidRDefault="00F67E9E" w:rsidP="00F67E9E">
      <w:pPr>
        <w:pStyle w:val="Numbered111a"/>
        <w:tabs>
          <w:tab w:val="clear" w:pos="2520"/>
          <w:tab w:val="num" w:pos="2160"/>
        </w:tabs>
        <w:ind w:left="2160"/>
      </w:pPr>
      <w:r w:rsidRPr="00024F2F">
        <w:t>conduct such further tests on the Service as are required by the Remediation Action Plan to confirm that the Remediation Action Plan has been complied with.</w:t>
      </w:r>
    </w:p>
    <w:p w14:paraId="32779EB7" w14:textId="77777777" w:rsidR="00F67E9E" w:rsidRPr="00024F2F" w:rsidRDefault="00F67E9E" w:rsidP="00F67E9E">
      <w:pPr>
        <w:pStyle w:val="Numbered11"/>
      </w:pPr>
      <w:r w:rsidRPr="00024F2F">
        <w:t>The Supplier shall ensure that any testing which could adversely affect the Supplier System shall be designed and implemented by the Supplier so as to minimise the impact on the delivery of the Services and the date, timing, content and conduct of such tests shall be agreed in advance with the Authority.</w:t>
      </w:r>
    </w:p>
    <w:p w14:paraId="3210A2E1" w14:textId="77777777" w:rsidR="00F67E9E" w:rsidRPr="001B1EB0" w:rsidRDefault="00F67E9E" w:rsidP="00F67E9E">
      <w:pPr>
        <w:pStyle w:val="Numbered11"/>
      </w:pPr>
      <w:r w:rsidRPr="001B1EB0">
        <w:t xml:space="preserve">If any testing conducted by or on behalf of the Supplier identifies a new risk, new threat, vulnerability or exploitation technique that has the potential to affect the security of the Information Management System, the Supplier shall within </w:t>
      </w:r>
      <w:r w:rsidRPr="001B1EB0">
        <w:rPr>
          <w:highlight w:val="yellow"/>
        </w:rPr>
        <w:t>[</w:t>
      </w:r>
      <w:r w:rsidRPr="008B5F6C">
        <w:rPr>
          <w:highlight w:val="yellow"/>
        </w:rPr>
        <w:t>2</w:t>
      </w:r>
      <w:r w:rsidRPr="001B1EB0">
        <w:rPr>
          <w:highlight w:val="yellow"/>
        </w:rPr>
        <w:t>]</w:t>
      </w:r>
      <w:r w:rsidRPr="001B1EB0">
        <w:t xml:space="preserve"> Working Days of becoming aware of such risk, threat, vulnerability or exploitation technique provide the Authority with a copy of the test report and:</w:t>
      </w:r>
    </w:p>
    <w:p w14:paraId="434567C2" w14:textId="77777777" w:rsidR="00F67E9E" w:rsidRPr="001B1EB0" w:rsidRDefault="00F67E9E" w:rsidP="00F67E9E">
      <w:pPr>
        <w:pStyle w:val="Numbered111"/>
        <w:tabs>
          <w:tab w:val="clear" w:pos="1800"/>
          <w:tab w:val="num" w:pos="1440"/>
        </w:tabs>
        <w:ind w:left="1440" w:hanging="720"/>
      </w:pPr>
      <w:r w:rsidRPr="001B1EB0">
        <w:t>propose interim mitigation measures to vulnerabilities in the Information Management System known to be exploitable where a security patch is not immediately available; and</w:t>
      </w:r>
    </w:p>
    <w:p w14:paraId="58AA4508" w14:textId="77777777" w:rsidR="00F67E9E" w:rsidRPr="001B1EB0" w:rsidRDefault="00F67E9E" w:rsidP="00F67E9E">
      <w:pPr>
        <w:pStyle w:val="Numbered111"/>
        <w:tabs>
          <w:tab w:val="clear" w:pos="1800"/>
          <w:tab w:val="num" w:pos="1440"/>
        </w:tabs>
        <w:ind w:left="1440" w:hanging="720"/>
      </w:pPr>
      <w:r w:rsidRPr="001B1EB0">
        <w:t>where and to the extent applicable, remove or disable any extraneous interfaces, services or capabilities that are not needed for the provision of the Services (in order to reduce the attack surface of the Supplier System) within the timescales set out in the test report or such other timescales as may be agreed with the Authority.</w:t>
      </w:r>
    </w:p>
    <w:p w14:paraId="17272FA8" w14:textId="77777777" w:rsidR="00F67E9E" w:rsidRPr="00024F2F" w:rsidRDefault="00F67E9E" w:rsidP="00F67E9E">
      <w:pPr>
        <w:pStyle w:val="Numbered11"/>
        <w:tabs>
          <w:tab w:val="clear" w:pos="720"/>
        </w:tabs>
      </w:pPr>
      <w:r w:rsidRPr="00024F2F">
        <w:t>The Supplier shall conduct such further tests of the Supplier System as may be required by the Authority from time to time to demonstrate compliance with its obligations set out this Schedule and the Contract.</w:t>
      </w:r>
    </w:p>
    <w:p w14:paraId="555BFB26" w14:textId="50B02536" w:rsidR="00F67E9E" w:rsidRPr="00024F2F" w:rsidRDefault="00F67E9E" w:rsidP="00F67E9E">
      <w:pPr>
        <w:pStyle w:val="Numbered11"/>
        <w:tabs>
          <w:tab w:val="clear" w:pos="720"/>
        </w:tabs>
      </w:pPr>
      <w:r w:rsidRPr="00024F2F">
        <w:t xml:space="preserve">The Supplier shall notify the Authority immediately if it fails to, or believes that it will not, mitigate the vulnerability within the timescales set out in Paragraph </w:t>
      </w:r>
      <w:r w:rsidRPr="00024F2F">
        <w:fldChar w:fldCharType="begin"/>
      </w:r>
      <w:r w:rsidRPr="00024F2F">
        <w:instrText xml:space="preserve"> REF _Ref88200919 \r \h </w:instrText>
      </w:r>
      <w:r>
        <w:instrText xml:space="preserve"> \* MERGEFORMAT </w:instrText>
      </w:r>
      <w:r w:rsidRPr="00024F2F">
        <w:fldChar w:fldCharType="separate"/>
      </w:r>
      <w:r w:rsidR="00302D39">
        <w:t>7.3</w:t>
      </w:r>
      <w:r w:rsidRPr="00024F2F">
        <w:fldChar w:fldCharType="end"/>
      </w:r>
      <w:r w:rsidRPr="00024F2F">
        <w:t>.</w:t>
      </w:r>
    </w:p>
    <w:p w14:paraId="44BEC6B5" w14:textId="77777777" w:rsidR="00F67E9E" w:rsidRPr="00024F2F" w:rsidRDefault="00F67E9E" w:rsidP="00F67E9E">
      <w:pPr>
        <w:pStyle w:val="Numbered1"/>
      </w:pPr>
      <w:r w:rsidRPr="00024F2F">
        <w:t>Security Monitoring and Reporting</w:t>
      </w:r>
    </w:p>
    <w:p w14:paraId="65D9E8CA" w14:textId="77777777" w:rsidR="00F67E9E" w:rsidRPr="00024F2F" w:rsidRDefault="00F67E9E" w:rsidP="00F67E9E">
      <w:pPr>
        <w:pStyle w:val="Numbered11"/>
      </w:pPr>
      <w:r w:rsidRPr="00024F2F">
        <w:t>The Supplier shall:</w:t>
      </w:r>
    </w:p>
    <w:p w14:paraId="73C481D2" w14:textId="77777777" w:rsidR="00F67E9E" w:rsidRPr="00024F2F" w:rsidRDefault="00F67E9E" w:rsidP="00F67E9E">
      <w:pPr>
        <w:pStyle w:val="Numbered111"/>
        <w:tabs>
          <w:tab w:val="clear" w:pos="1800"/>
          <w:tab w:val="num" w:pos="1440"/>
        </w:tabs>
        <w:ind w:left="1440" w:hanging="720"/>
      </w:pPr>
      <w:r w:rsidRPr="00024F2F">
        <w:t>monitor the delivery of assurance activities;</w:t>
      </w:r>
    </w:p>
    <w:p w14:paraId="54B53978" w14:textId="10C455A8" w:rsidR="00F67E9E" w:rsidRPr="00024F2F" w:rsidRDefault="00F67E9E" w:rsidP="00F67E9E">
      <w:pPr>
        <w:pStyle w:val="Numbered111"/>
        <w:tabs>
          <w:tab w:val="clear" w:pos="1800"/>
          <w:tab w:val="num" w:pos="1440"/>
        </w:tabs>
        <w:ind w:left="1440" w:hanging="720"/>
      </w:pPr>
      <w:r w:rsidRPr="00024F2F">
        <w:t xml:space="preserve">maintain and update the Security Management Plan in accordance with </w:t>
      </w:r>
      <w:bookmarkStart w:id="537" w:name="_9kR3WTr2BBBJDWEnoewrqyF"/>
      <w:r w:rsidRPr="00024F2F">
        <w:t xml:space="preserve">Paragraph </w:t>
      </w:r>
      <w:r w:rsidRPr="00024F2F">
        <w:fldChar w:fldCharType="begin"/>
      </w:r>
      <w:r w:rsidRPr="00024F2F">
        <w:instrText xml:space="preserve"> REF _Ref_ContractCompanion_9kb9Ur7EC \w \n \h \t \* MERGEFORMAT </w:instrText>
      </w:r>
      <w:r w:rsidRPr="00024F2F">
        <w:fldChar w:fldCharType="separate"/>
      </w:r>
      <w:r w:rsidR="00302D39">
        <w:t>5</w:t>
      </w:r>
      <w:r w:rsidRPr="00024F2F">
        <w:fldChar w:fldCharType="end"/>
      </w:r>
      <w:bookmarkEnd w:id="537"/>
      <w:r w:rsidRPr="00024F2F">
        <w:t>;</w:t>
      </w:r>
    </w:p>
    <w:p w14:paraId="476A84E3" w14:textId="77777777" w:rsidR="00F67E9E" w:rsidRPr="00024F2F" w:rsidRDefault="00F67E9E" w:rsidP="00F67E9E">
      <w:pPr>
        <w:pStyle w:val="Numbered111"/>
        <w:tabs>
          <w:tab w:val="clear" w:pos="1800"/>
          <w:tab w:val="num" w:pos="1440"/>
        </w:tabs>
        <w:ind w:left="1440" w:hanging="720"/>
      </w:pPr>
      <w:r w:rsidRPr="00024F2F">
        <w:t>agree a document which presents the residual security risks to inform the Authority</w:t>
      </w:r>
      <w:r>
        <w:t>’</w:t>
      </w:r>
      <w:r w:rsidRPr="00024F2F">
        <w:t>s decision to give approval to the Supplier to Process and transit the Authority Data;</w:t>
      </w:r>
    </w:p>
    <w:p w14:paraId="5C78DF91" w14:textId="77777777" w:rsidR="00F67E9E" w:rsidRPr="00024F2F" w:rsidRDefault="00F67E9E" w:rsidP="00F67E9E">
      <w:pPr>
        <w:pStyle w:val="Numbered111"/>
        <w:tabs>
          <w:tab w:val="clear" w:pos="1800"/>
          <w:tab w:val="num" w:pos="1440"/>
        </w:tabs>
        <w:ind w:left="1440" w:hanging="720"/>
      </w:pPr>
      <w:r w:rsidRPr="00024F2F">
        <w:t>monitor security risk impacting upon the operation of the Service;</w:t>
      </w:r>
    </w:p>
    <w:p w14:paraId="2425951E" w14:textId="77777777" w:rsidR="00F67E9E" w:rsidRPr="00024F2F" w:rsidRDefault="00F67E9E" w:rsidP="00F67E9E">
      <w:pPr>
        <w:pStyle w:val="Numbered111"/>
        <w:tabs>
          <w:tab w:val="clear" w:pos="1800"/>
          <w:tab w:val="num" w:pos="1440"/>
        </w:tabs>
        <w:ind w:left="1440" w:hanging="720"/>
      </w:pPr>
      <w:r w:rsidRPr="00024F2F">
        <w:t>report Breaches of Security in accordance with the approved Incident Management Process;</w:t>
      </w:r>
    </w:p>
    <w:p w14:paraId="50D678C3" w14:textId="77777777" w:rsidR="00F67E9E" w:rsidRPr="001B1EB0" w:rsidRDefault="00F67E9E" w:rsidP="00F67E9E">
      <w:pPr>
        <w:pStyle w:val="Numbered111"/>
        <w:tabs>
          <w:tab w:val="clear" w:pos="1800"/>
          <w:tab w:val="num" w:pos="1440"/>
        </w:tabs>
        <w:ind w:left="1440" w:hanging="720"/>
      </w:pPr>
      <w:r w:rsidRPr="001B1EB0">
        <w:t xml:space="preserve">agree with the Authority the frequency and nature of the security reports to be prepared and submitted by the Supplier to the Authority within </w:t>
      </w:r>
      <w:r w:rsidRPr="001B1EB0">
        <w:rPr>
          <w:highlight w:val="yellow"/>
        </w:rPr>
        <w:t>[</w:t>
      </w:r>
      <w:r w:rsidRPr="008B5F6C">
        <w:rPr>
          <w:highlight w:val="yellow"/>
        </w:rPr>
        <w:t>20</w:t>
      </w:r>
      <w:r w:rsidRPr="001B1EB0">
        <w:rPr>
          <w:highlight w:val="yellow"/>
        </w:rPr>
        <w:t>]</w:t>
      </w:r>
      <w:r w:rsidRPr="001B1EB0">
        <w:t xml:space="preserve"> Working Days of Effective Date.</w:t>
      </w:r>
    </w:p>
    <w:p w14:paraId="4EE3BB03" w14:textId="77777777" w:rsidR="00F67E9E" w:rsidRPr="001B1EB0" w:rsidRDefault="00F67E9E" w:rsidP="00F67E9E">
      <w:pPr>
        <w:pStyle w:val="Numbered1"/>
      </w:pPr>
      <w:bookmarkStart w:id="538" w:name="_Ref_ContractCompanion_9kb9Ur797"/>
      <w:r w:rsidRPr="001B1EB0">
        <w:t>Malicious Software</w:t>
      </w:r>
      <w:bookmarkEnd w:id="538"/>
    </w:p>
    <w:p w14:paraId="118A4AB1" w14:textId="77777777" w:rsidR="00F67E9E" w:rsidRPr="001B1EB0" w:rsidRDefault="00F67E9E" w:rsidP="00F67E9E">
      <w:pPr>
        <w:pStyle w:val="Numbered11"/>
      </w:pPr>
      <w:r w:rsidRPr="001B1EB0">
        <w:t>The Supplier shall install and maintain Anti-Malicious Software or procure that Anti-Malicious Software is installed and maintained on any part of the Information Management System which may Process Authority Data and ensure that such Anti-Malicious Software is configured to perform automatic software and definition updates as well as regular scans of the Information Management System to check for, prevent the introduction of Malicious Software or where Malicious Software has been introduced into the Information Management System, to identify, contain the spread of, and minimise the impact of Malicious Software.</w:t>
      </w:r>
    </w:p>
    <w:p w14:paraId="016031A9" w14:textId="77777777" w:rsidR="00F67E9E" w:rsidRPr="001B1EB0" w:rsidRDefault="00F67E9E" w:rsidP="00F67E9E">
      <w:pPr>
        <w:pStyle w:val="Numbered11"/>
      </w:pPr>
      <w:bookmarkStart w:id="539" w:name="_9kR3WTrAG8BJGJJTEPFlumn0DIri28Q8491GEBR"/>
      <w:r w:rsidRPr="001B1EB0">
        <w:t>If Malicious Software is found, the parties shall cooperate to reduce the effect of the Malicious Software and, particularly if Malicious Software causes loss of operational efficiency or loss or corruption of Authority Data, assist each other to mitigate any Losses and to restore the Services to their desired operating efficiency.</w:t>
      </w:r>
      <w:bookmarkEnd w:id="539"/>
    </w:p>
    <w:p w14:paraId="625DCD33" w14:textId="1A20B53E" w:rsidR="00F67E9E" w:rsidRPr="00024F2F" w:rsidRDefault="00F67E9E" w:rsidP="00F67E9E">
      <w:pPr>
        <w:pStyle w:val="Numbered11"/>
      </w:pPr>
      <w:r w:rsidRPr="00024F2F">
        <w:t xml:space="preserve">Any cost arising out of the actions of the parties taken in compliance with the provisions of </w:t>
      </w:r>
      <w:bookmarkStart w:id="540" w:name="_9kMHG5YVtCIADLILLVGRHnwop2FKtk4ASA6B3IG"/>
      <w:r w:rsidRPr="00024F2F">
        <w:t xml:space="preserve">Paragraph </w:t>
      </w:r>
      <w:bookmarkEnd w:id="540"/>
      <w:r w:rsidRPr="00024F2F">
        <w:fldChar w:fldCharType="begin"/>
      </w:r>
      <w:r w:rsidRPr="00024F2F">
        <w:instrText xml:space="preserve"> REF _9kR3WTrAG8BJGJJTEPFlumn0DIri28Q8491GEBR \w \h </w:instrText>
      </w:r>
      <w:r>
        <w:instrText xml:space="preserve"> \* MERGEFORMAT </w:instrText>
      </w:r>
      <w:r w:rsidRPr="00024F2F">
        <w:fldChar w:fldCharType="separate"/>
      </w:r>
      <w:r w:rsidR="00302D39">
        <w:t>9.2</w:t>
      </w:r>
      <w:r w:rsidRPr="00024F2F">
        <w:fldChar w:fldCharType="end"/>
      </w:r>
      <w:r w:rsidRPr="00024F2F">
        <w:t xml:space="preserve"> shall be borne by the parties as follows:</w:t>
      </w:r>
    </w:p>
    <w:p w14:paraId="43960F32" w14:textId="77777777" w:rsidR="00F67E9E" w:rsidRPr="00024F2F" w:rsidRDefault="00F67E9E" w:rsidP="00F67E9E">
      <w:pPr>
        <w:pStyle w:val="Numbered111"/>
        <w:tabs>
          <w:tab w:val="clear" w:pos="1800"/>
          <w:tab w:val="num" w:pos="1440"/>
        </w:tabs>
        <w:ind w:left="1440" w:hanging="720"/>
      </w:pPr>
      <w:r w:rsidRPr="00024F2F">
        <w:t>by the Supplier where the Malicious Software originates from:</w:t>
      </w:r>
    </w:p>
    <w:p w14:paraId="6ED1C528" w14:textId="77777777" w:rsidR="00F67E9E" w:rsidRPr="00024F2F" w:rsidRDefault="00F67E9E" w:rsidP="00F67E9E">
      <w:pPr>
        <w:pStyle w:val="Numbered111a"/>
        <w:tabs>
          <w:tab w:val="clear" w:pos="2520"/>
          <w:tab w:val="num" w:pos="2160"/>
        </w:tabs>
        <w:ind w:left="2160"/>
      </w:pPr>
      <w:r w:rsidRPr="00024F2F">
        <w:t>the Supplier Software;</w:t>
      </w:r>
    </w:p>
    <w:p w14:paraId="00858120" w14:textId="77777777" w:rsidR="00F67E9E" w:rsidRPr="00024F2F" w:rsidRDefault="00F67E9E" w:rsidP="00F67E9E">
      <w:pPr>
        <w:pStyle w:val="Numbered111a"/>
        <w:tabs>
          <w:tab w:val="clear" w:pos="2520"/>
          <w:tab w:val="num" w:pos="2160"/>
        </w:tabs>
        <w:ind w:left="2160"/>
      </w:pPr>
      <w:r w:rsidRPr="00024F2F">
        <w:t xml:space="preserve">the Third Party Software supplied by the Supplier; or </w:t>
      </w:r>
    </w:p>
    <w:p w14:paraId="1CB76A31" w14:textId="77777777" w:rsidR="00F67E9E" w:rsidRPr="00024F2F" w:rsidRDefault="00F67E9E" w:rsidP="00F67E9E">
      <w:pPr>
        <w:pStyle w:val="Numbered111a"/>
        <w:tabs>
          <w:tab w:val="clear" w:pos="2520"/>
          <w:tab w:val="num" w:pos="2160"/>
        </w:tabs>
        <w:ind w:left="2160"/>
      </w:pPr>
      <w:r w:rsidRPr="00024F2F">
        <w:t>the Authority Data whilst the Authority Data is or was under the control of the Supplier,</w:t>
      </w:r>
    </w:p>
    <w:p w14:paraId="43718ACE" w14:textId="77777777" w:rsidR="00F67E9E" w:rsidRPr="00024F2F" w:rsidRDefault="00F67E9E" w:rsidP="00F67E9E">
      <w:pPr>
        <w:pStyle w:val="AppendixText3continued"/>
        <w:tabs>
          <w:tab w:val="num" w:pos="720"/>
        </w:tabs>
        <w:ind w:left="1440"/>
      </w:pPr>
      <w:r w:rsidRPr="00024F2F">
        <w:t xml:space="preserve">unless, in the case of the Authority Data only, the Supplier can demonstrate that such Malicious Software was present in the Authority Data and not quarantined or otherwise identified by the Authority when the Authority provided the Authority Data to the Supplier; and </w:t>
      </w:r>
    </w:p>
    <w:p w14:paraId="75E6DE3B" w14:textId="77777777" w:rsidR="00F67E9E" w:rsidRPr="00024F2F" w:rsidRDefault="00F67E9E" w:rsidP="00F67E9E">
      <w:pPr>
        <w:pStyle w:val="Numbered111"/>
        <w:tabs>
          <w:tab w:val="clear" w:pos="1800"/>
          <w:tab w:val="num" w:pos="1440"/>
        </w:tabs>
        <w:ind w:left="1440" w:hanging="720"/>
      </w:pPr>
      <w:r w:rsidRPr="00024F2F">
        <w:t>by the Authority, in any other circumstance.</w:t>
      </w:r>
    </w:p>
    <w:p w14:paraId="34E87A6A" w14:textId="77777777" w:rsidR="00F67E9E" w:rsidRPr="00024F2F" w:rsidRDefault="00F67E9E" w:rsidP="00F67E9E">
      <w:pPr>
        <w:pStyle w:val="Numbered1"/>
      </w:pPr>
      <w:r w:rsidRPr="00024F2F">
        <w:t>Breach of Security</w:t>
      </w:r>
    </w:p>
    <w:p w14:paraId="55AD0D72" w14:textId="77777777" w:rsidR="00F67E9E" w:rsidRPr="00024F2F" w:rsidRDefault="00F67E9E" w:rsidP="00F67E9E">
      <w:pPr>
        <w:pStyle w:val="Numbered11"/>
        <w:tabs>
          <w:tab w:val="num" w:pos="360"/>
        </w:tabs>
      </w:pPr>
      <w:r w:rsidRPr="00024F2F">
        <w:t>If either party becomes aware of a Breach of Security it shall notify the other in accordance with the Incident Management Process.</w:t>
      </w:r>
    </w:p>
    <w:p w14:paraId="6AE9BF8E" w14:textId="77777777" w:rsidR="00F67E9E" w:rsidRPr="00024F2F" w:rsidRDefault="00F67E9E" w:rsidP="00F67E9E">
      <w:pPr>
        <w:pStyle w:val="Numbered11"/>
      </w:pPr>
      <w:r w:rsidRPr="00024F2F">
        <w:t>The Incident Management Process shall, as a minimum, require the Supplier to do the following upon it becoming aware of a Breach of Security or attempted Breach of Security:</w:t>
      </w:r>
    </w:p>
    <w:p w14:paraId="24668F11" w14:textId="77777777" w:rsidR="00F67E9E" w:rsidRPr="00024F2F" w:rsidRDefault="00F67E9E" w:rsidP="00F67E9E">
      <w:pPr>
        <w:pStyle w:val="Numbered111"/>
        <w:tabs>
          <w:tab w:val="clear" w:pos="1800"/>
          <w:tab w:val="num" w:pos="1440"/>
        </w:tabs>
        <w:ind w:left="1440" w:hanging="720"/>
      </w:pPr>
      <w:r w:rsidRPr="00024F2F">
        <w:t>Immediately take all reasonable steps necessary to:</w:t>
      </w:r>
    </w:p>
    <w:p w14:paraId="0D8B48FC" w14:textId="77777777" w:rsidR="00F67E9E" w:rsidRPr="00024F2F" w:rsidRDefault="00F67E9E" w:rsidP="00F67E9E">
      <w:pPr>
        <w:pStyle w:val="Numbered111a"/>
        <w:tabs>
          <w:tab w:val="clear" w:pos="2520"/>
          <w:tab w:val="num" w:pos="2160"/>
        </w:tabs>
        <w:ind w:left="2160"/>
      </w:pPr>
      <w:r w:rsidRPr="00024F2F">
        <w:t>minimise the extent of actual or potential harm caused by such Breach of Security;</w:t>
      </w:r>
    </w:p>
    <w:p w14:paraId="337B9BCD" w14:textId="77777777" w:rsidR="00F67E9E" w:rsidRPr="00024F2F" w:rsidRDefault="00F67E9E" w:rsidP="00F67E9E">
      <w:pPr>
        <w:pStyle w:val="Numbered111a"/>
        <w:tabs>
          <w:tab w:val="clear" w:pos="2520"/>
          <w:tab w:val="num" w:pos="2160"/>
        </w:tabs>
        <w:ind w:left="2160"/>
      </w:pPr>
      <w:r w:rsidRPr="00024F2F">
        <w:t xml:space="preserve">remedy such Breach of Security to the extent possible; </w:t>
      </w:r>
    </w:p>
    <w:p w14:paraId="2814E06A" w14:textId="77777777" w:rsidR="00F67E9E" w:rsidRPr="00024F2F" w:rsidRDefault="00F67E9E" w:rsidP="00F67E9E">
      <w:pPr>
        <w:pStyle w:val="Numbered111a"/>
        <w:tabs>
          <w:tab w:val="clear" w:pos="2520"/>
          <w:tab w:val="num" w:pos="2160"/>
        </w:tabs>
        <w:ind w:left="2160"/>
      </w:pPr>
      <w:r w:rsidRPr="00024F2F">
        <w:t>apply a tested mitigation against any such Breach of Security; and</w:t>
      </w:r>
    </w:p>
    <w:p w14:paraId="43F20D49" w14:textId="77777777" w:rsidR="00F67E9E" w:rsidRPr="00024F2F" w:rsidRDefault="00F67E9E" w:rsidP="00F67E9E">
      <w:pPr>
        <w:pStyle w:val="Numbered111a"/>
        <w:tabs>
          <w:tab w:val="clear" w:pos="2520"/>
          <w:tab w:val="num" w:pos="2160"/>
        </w:tabs>
        <w:ind w:left="2160"/>
      </w:pPr>
      <w:r w:rsidRPr="00024F2F">
        <w:t>prevent a further Breach of Security in the future which exploits the same root cause failure;</w:t>
      </w:r>
    </w:p>
    <w:p w14:paraId="37F48E00" w14:textId="77777777" w:rsidR="00F67E9E" w:rsidRPr="00024F2F" w:rsidRDefault="00F67E9E" w:rsidP="00F67E9E">
      <w:pPr>
        <w:pStyle w:val="Numbered111"/>
        <w:tabs>
          <w:tab w:val="clear" w:pos="1800"/>
          <w:tab w:val="num" w:pos="1440"/>
        </w:tabs>
        <w:ind w:left="1440" w:hanging="720"/>
      </w:pPr>
      <w:r w:rsidRPr="00024F2F">
        <w:t>as soon as reasonably practicable and, in any event, within 2 Working Days, following the Breach of Security or attempted Breach of Security, provide to the Authority full details of the Breach of Security or attempted Breach of Security, including a root cause analysis where required by the Authority.</w:t>
      </w:r>
    </w:p>
    <w:p w14:paraId="3BF85FBB" w14:textId="77777777" w:rsidR="00F67E9E" w:rsidRDefault="00F67E9E" w:rsidP="00F67E9E">
      <w:pPr>
        <w:pStyle w:val="Numbered11"/>
        <w:tabs>
          <w:tab w:val="num" w:pos="360"/>
        </w:tabs>
      </w:pPr>
      <w:r w:rsidRPr="0034321B">
        <w:t>In the event that any action is taken in response to a Breach of Security or attempted Breach of Security as a result of non-compliance by the Supplier, its Sub-contractors and/or all or any part of the Information Management System with this Contract, then such remedial action shall be completed at no additional cost to the Authority.</w:t>
      </w:r>
    </w:p>
    <w:p w14:paraId="427D5895" w14:textId="77777777" w:rsidR="00F67E9E" w:rsidRDefault="00F67E9E" w:rsidP="00F67E9E">
      <w:pPr>
        <w:pStyle w:val="Heading2"/>
        <w:pageBreakBefore/>
      </w:pPr>
      <w:bookmarkStart w:id="541" w:name="_Ref_ContractCompanion_9kb9Ur5DE"/>
      <w:bookmarkStart w:id="542" w:name="_Ref_ContractCompanion_9kb9Ur6BF"/>
      <w:bookmarkStart w:id="543" w:name="_Ref_ContractCompanion_9kb9Ur799"/>
      <w:bookmarkStart w:id="544" w:name="_Ref_ContractCompanion_9kb9Ur79B"/>
      <w:bookmarkStart w:id="545" w:name="_Toc141711910"/>
      <w:r w:rsidRPr="00B80662">
        <w:t xml:space="preserve">Annex </w:t>
      </w:r>
      <w:bookmarkStart w:id="546" w:name="ANNEX1_SCHEDULE5"/>
      <w:bookmarkStart w:id="547" w:name="ANNEX1_PARTA_SCHEDULE5"/>
      <w:r w:rsidRPr="00B80662">
        <w:t>1</w:t>
      </w:r>
      <w:bookmarkEnd w:id="546"/>
      <w:bookmarkEnd w:id="547"/>
      <w:r w:rsidRPr="00B80662">
        <w:t>: Security Requirements</w:t>
      </w:r>
      <w:bookmarkEnd w:id="541"/>
      <w:bookmarkEnd w:id="542"/>
      <w:bookmarkEnd w:id="543"/>
      <w:bookmarkEnd w:id="544"/>
      <w:bookmarkEnd w:id="545"/>
    </w:p>
    <w:p w14:paraId="5DBC2930" w14:textId="77777777" w:rsidR="00F67E9E" w:rsidRPr="00024F2F" w:rsidRDefault="00F67E9E" w:rsidP="00F67E9E">
      <w:pPr>
        <w:pStyle w:val="AppendixText1"/>
        <w:numPr>
          <w:ilvl w:val="0"/>
          <w:numId w:val="48"/>
        </w:numPr>
      </w:pPr>
      <w:r w:rsidRPr="00024F2F">
        <w:t>Security Classification of Information</w:t>
      </w:r>
    </w:p>
    <w:p w14:paraId="16850735" w14:textId="77777777" w:rsidR="00F67E9E" w:rsidRPr="00024F2F" w:rsidRDefault="00F67E9E" w:rsidP="00F67E9E">
      <w:pPr>
        <w:pStyle w:val="AppendixText2"/>
        <w:tabs>
          <w:tab w:val="num" w:pos="720"/>
        </w:tabs>
      </w:pPr>
      <w:r w:rsidRPr="00024F2F">
        <w:t xml:space="preserve">If the provision of the Services requires the Supplier to Process Authority Data which is classified as: </w:t>
      </w:r>
    </w:p>
    <w:p w14:paraId="08723DE5" w14:textId="77777777" w:rsidR="00F67E9E" w:rsidRPr="00024F2F" w:rsidRDefault="00F67E9E" w:rsidP="00F67E9E">
      <w:pPr>
        <w:pStyle w:val="AppendixText3"/>
        <w:tabs>
          <w:tab w:val="clear" w:pos="1800"/>
        </w:tabs>
        <w:ind w:left="1440" w:hanging="720"/>
      </w:pPr>
      <w:r w:rsidRPr="00024F2F">
        <w:t>OFFICIAL-SENSITIVE, the Supplier shall implement such additional measures as agreed with the Authority from time to time in order to ensure that such information is safeguarded in accordance with the applicable Standards; and/or</w:t>
      </w:r>
    </w:p>
    <w:p w14:paraId="21BD322A" w14:textId="77777777" w:rsidR="00F67E9E" w:rsidRPr="00024F2F" w:rsidRDefault="00F67E9E" w:rsidP="00F67E9E">
      <w:pPr>
        <w:pStyle w:val="AppendixText3"/>
        <w:tabs>
          <w:tab w:val="clear" w:pos="1800"/>
        </w:tabs>
        <w:ind w:left="1440" w:hanging="720"/>
      </w:pPr>
      <w:r w:rsidRPr="00024F2F">
        <w:t>SECRET or TOP SECRET, the Supplier shall only do so where it has notified the Authority prior to receipt of such Authority Data and the Supplier shall implement additional measures as agreed with the Authority from time to time in order to ensure that such information is safeguarded in accordance with the applicable Standards.</w:t>
      </w:r>
    </w:p>
    <w:p w14:paraId="723A4308" w14:textId="77777777" w:rsidR="00F67E9E" w:rsidRPr="00024F2F" w:rsidRDefault="00F67E9E" w:rsidP="00F67E9E">
      <w:pPr>
        <w:pStyle w:val="AppendixText1"/>
        <w:numPr>
          <w:ilvl w:val="0"/>
          <w:numId w:val="48"/>
        </w:numPr>
        <w:tabs>
          <w:tab w:val="clear" w:pos="720"/>
          <w:tab w:val="num" w:pos="1080"/>
        </w:tabs>
      </w:pPr>
      <w:r w:rsidRPr="00024F2F">
        <w:t>End User Devices</w:t>
      </w:r>
    </w:p>
    <w:p w14:paraId="402A7893" w14:textId="77777777" w:rsidR="00F67E9E" w:rsidRPr="0014291F" w:rsidRDefault="00F67E9E" w:rsidP="00F67E9E">
      <w:pPr>
        <w:pStyle w:val="AppendixText2"/>
        <w:tabs>
          <w:tab w:val="num" w:pos="720"/>
        </w:tabs>
      </w:pPr>
      <w:r w:rsidRPr="00024F2F">
        <w:t>The Supplier must manage, and must ensure that all Sub-contractors manage, all end-user devices used by the Supplier on which Authority Data is Processed in accordance the following requirements:</w:t>
      </w:r>
    </w:p>
    <w:p w14:paraId="3860842F" w14:textId="77777777" w:rsidR="00F67E9E" w:rsidRPr="0014291F" w:rsidRDefault="00F67E9E" w:rsidP="00F67E9E">
      <w:pPr>
        <w:pStyle w:val="AppendixText3"/>
        <w:tabs>
          <w:tab w:val="clear" w:pos="1800"/>
        </w:tabs>
        <w:ind w:left="1440" w:hanging="720"/>
      </w:pPr>
      <w:r w:rsidRPr="00024F2F">
        <w:t>the operating system and any applications that Process or have access to Authority Data must be in current support by the vendor, or the relevant community in the case of Open Source operating systems or applications;</w:t>
      </w:r>
    </w:p>
    <w:p w14:paraId="69BBBE50" w14:textId="77777777" w:rsidR="00F67E9E" w:rsidRPr="0014291F" w:rsidRDefault="00F67E9E" w:rsidP="00F67E9E">
      <w:pPr>
        <w:pStyle w:val="AppendixText3"/>
        <w:tabs>
          <w:tab w:val="clear" w:pos="1800"/>
        </w:tabs>
        <w:ind w:left="1440" w:hanging="720"/>
      </w:pPr>
      <w:r w:rsidRPr="00024F2F">
        <w:t>users must authenticate before gaining access;</w:t>
      </w:r>
    </w:p>
    <w:p w14:paraId="6280E897" w14:textId="77777777" w:rsidR="00F67E9E" w:rsidRPr="0014291F" w:rsidRDefault="00F67E9E" w:rsidP="00F67E9E">
      <w:pPr>
        <w:pStyle w:val="AppendixText3"/>
        <w:tabs>
          <w:tab w:val="clear" w:pos="1800"/>
        </w:tabs>
        <w:ind w:left="1440" w:hanging="720"/>
      </w:pPr>
      <w:r w:rsidRPr="00024F2F">
        <w:t>all Authority Data must be encrypted using an encryption tool agreed to by the Authority;</w:t>
      </w:r>
    </w:p>
    <w:p w14:paraId="0667C76B" w14:textId="77777777" w:rsidR="00F67E9E" w:rsidRPr="0014291F" w:rsidRDefault="00F67E9E" w:rsidP="00F67E9E">
      <w:pPr>
        <w:pStyle w:val="AppendixText3"/>
        <w:tabs>
          <w:tab w:val="clear" w:pos="1800"/>
        </w:tabs>
        <w:ind w:left="1440" w:hanging="720"/>
      </w:pPr>
      <w:r w:rsidRPr="00024F2F">
        <w:t>the end-user device must lock and require any user to re-authenticate after a period of time that is proportionate to the risk environment, during which the end-user device is inactive;</w:t>
      </w:r>
    </w:p>
    <w:p w14:paraId="565A1030" w14:textId="77777777" w:rsidR="00F67E9E" w:rsidRPr="0014291F" w:rsidRDefault="00F67E9E" w:rsidP="00F67E9E">
      <w:pPr>
        <w:pStyle w:val="AppendixText3"/>
        <w:tabs>
          <w:tab w:val="clear" w:pos="1800"/>
        </w:tabs>
        <w:ind w:left="1440" w:hanging="720"/>
      </w:pPr>
      <w:r w:rsidRPr="00024F2F">
        <w:t>the end-user device must be managed in a way that allows for the application of technical policies and controls over applications that have access to Authority Data;</w:t>
      </w:r>
    </w:p>
    <w:p w14:paraId="582BE3BE" w14:textId="3EB1DF17" w:rsidR="00F67E9E" w:rsidRPr="0014291F" w:rsidRDefault="00F67E9E" w:rsidP="00F67E9E">
      <w:pPr>
        <w:pStyle w:val="AppendixText3"/>
        <w:tabs>
          <w:tab w:val="clear" w:pos="1800"/>
        </w:tabs>
        <w:ind w:left="1440" w:hanging="720"/>
      </w:pPr>
      <w:r w:rsidRPr="00024F2F">
        <w:t>the Suppl</w:t>
      </w:r>
      <w:r w:rsidR="00A10006">
        <w:t>i</w:t>
      </w:r>
      <w:r w:rsidRPr="00024F2F">
        <w:t>er or Sub-contractor, as applicable, can, without physical access to the end-user device, remove or make inaccessible all Authority Data on the device and prevent any user or group of users from accessing the device;</w:t>
      </w:r>
    </w:p>
    <w:p w14:paraId="26CCD5DA" w14:textId="77777777" w:rsidR="00F67E9E" w:rsidRPr="0014291F" w:rsidRDefault="00F67E9E" w:rsidP="00F67E9E">
      <w:pPr>
        <w:pStyle w:val="AppendixText3"/>
        <w:tabs>
          <w:tab w:val="clear" w:pos="1800"/>
        </w:tabs>
        <w:ind w:left="1440" w:hanging="720"/>
      </w:pPr>
      <w:r w:rsidRPr="00024F2F">
        <w:t xml:space="preserve">all end-user devices are within in the scope of any current Cyber Essentials Plus certificate held by the Supplier, or any ISO/IEC 27001 </w:t>
      </w:r>
      <w:r w:rsidRPr="0089429B">
        <w:t>(at least ISO/IEC 27001:2013)</w:t>
      </w:r>
      <w:r w:rsidRPr="00024F2F">
        <w:t xml:space="preserve"> certification issued by a UKAS-approved certification body, where the scope of that certification includes the Services.</w:t>
      </w:r>
    </w:p>
    <w:p w14:paraId="1B34E044" w14:textId="77777777" w:rsidR="00F67E9E" w:rsidRPr="0014291F" w:rsidRDefault="00F67E9E" w:rsidP="00F67E9E">
      <w:pPr>
        <w:pStyle w:val="AppendixText2"/>
        <w:tabs>
          <w:tab w:val="num" w:pos="720"/>
        </w:tabs>
      </w:pPr>
      <w:r w:rsidRPr="00024F2F">
        <w:t>The Supplier must comply, and ensure that all Sub-contractors comply, with the recommendations in NCSC Device Guidance, as updated, amended or replaced from time to time, as if those recommendations were incorporated as specific obligations under this Agreement.</w:t>
      </w:r>
    </w:p>
    <w:p w14:paraId="568C62E6" w14:textId="7B3815CE" w:rsidR="00F67E9E" w:rsidRPr="00024F2F" w:rsidRDefault="00F67E9E" w:rsidP="00F67E9E">
      <w:pPr>
        <w:pStyle w:val="AppendixText2"/>
        <w:tabs>
          <w:tab w:val="num" w:pos="720"/>
        </w:tabs>
      </w:pPr>
      <w:r w:rsidRPr="00024F2F">
        <w:t xml:space="preserve">Where there any conflict between the requirements of this </w:t>
      </w:r>
      <w:r>
        <w:rPr>
          <w:rFonts w:cs="Arial"/>
        </w:rPr>
        <w:fldChar w:fldCharType="begin"/>
      </w:r>
      <w:r>
        <w:rPr>
          <w:rFonts w:cs="Arial"/>
        </w:rPr>
        <w:instrText xml:space="preserve"> REF Schedule5 \h </w:instrText>
      </w:r>
      <w:r>
        <w:rPr>
          <w:rFonts w:cs="Arial"/>
        </w:rPr>
      </w:r>
      <w:r>
        <w:rPr>
          <w:rFonts w:cs="Arial"/>
        </w:rPr>
        <w:fldChar w:fldCharType="separate"/>
      </w:r>
      <w:r w:rsidR="00302D39" w:rsidRPr="005D0525">
        <w:t>Schedule</w:t>
      </w:r>
      <w:r w:rsidR="00302D39">
        <w:t> </w:t>
      </w:r>
      <w:r w:rsidR="00302D39" w:rsidRPr="005D0525">
        <w:t>5</w:t>
      </w:r>
      <w:r>
        <w:rPr>
          <w:rFonts w:cs="Arial"/>
        </w:rPr>
        <w:fldChar w:fldCharType="end"/>
      </w:r>
      <w:r>
        <w:rPr>
          <w:rFonts w:cs="Arial"/>
        </w:rPr>
        <w:t xml:space="preserve"> (</w:t>
      </w:r>
      <w:r w:rsidRPr="00A22335">
        <w:rPr>
          <w:rFonts w:cs="Arial"/>
          <w:i/>
          <w:iCs/>
        </w:rPr>
        <w:fldChar w:fldCharType="begin"/>
      </w:r>
      <w:r w:rsidRPr="00A22335">
        <w:rPr>
          <w:rFonts w:cs="Arial"/>
          <w:i/>
          <w:iCs/>
        </w:rPr>
        <w:instrText xml:space="preserve"> REF Schedule5Heading \h </w:instrText>
      </w:r>
      <w:r>
        <w:rPr>
          <w:rFonts w:cs="Arial"/>
          <w:i/>
          <w:iCs/>
        </w:rPr>
        <w:instrText xml:space="preserve"> \* MERGEFORMAT </w:instrText>
      </w:r>
      <w:r w:rsidRPr="00A22335">
        <w:rPr>
          <w:rFonts w:cs="Arial"/>
          <w:i/>
          <w:iCs/>
        </w:rPr>
      </w:r>
      <w:r w:rsidRPr="00A22335">
        <w:rPr>
          <w:rFonts w:cs="Arial"/>
          <w:i/>
          <w:iCs/>
        </w:rPr>
        <w:fldChar w:fldCharType="separate"/>
      </w:r>
      <w:r w:rsidR="00302D39" w:rsidRPr="00302D39">
        <w:rPr>
          <w:i/>
          <w:iCs/>
        </w:rPr>
        <w:t>Security Management</w:t>
      </w:r>
      <w:r w:rsidRPr="00A22335">
        <w:rPr>
          <w:rFonts w:cs="Arial"/>
          <w:i/>
          <w:iCs/>
        </w:rPr>
        <w:fldChar w:fldCharType="end"/>
      </w:r>
      <w:r>
        <w:rPr>
          <w:rFonts w:cs="Arial"/>
        </w:rPr>
        <w:t>)</w:t>
      </w:r>
      <w:r w:rsidRPr="00024F2F">
        <w:t xml:space="preserve"> and the requirements of the NCSC Device Guidance, the requirements of this Schedule will take precedence.</w:t>
      </w:r>
    </w:p>
    <w:p w14:paraId="62BAF55B" w14:textId="77777777" w:rsidR="00F67E9E" w:rsidRPr="00024F2F" w:rsidRDefault="00F67E9E" w:rsidP="00F67E9E">
      <w:pPr>
        <w:pStyle w:val="AppendixText1"/>
      </w:pPr>
      <w:r w:rsidRPr="00024F2F">
        <w:t>Encryption</w:t>
      </w:r>
    </w:p>
    <w:p w14:paraId="3963A22A" w14:textId="77777777" w:rsidR="00F67E9E" w:rsidRPr="00024F2F" w:rsidRDefault="00F67E9E" w:rsidP="00F67E9E">
      <w:pPr>
        <w:pStyle w:val="AppendixText2"/>
        <w:tabs>
          <w:tab w:val="num" w:pos="720"/>
        </w:tabs>
      </w:pPr>
      <w:r w:rsidRPr="00024F2F">
        <w:t>The Supplier must ensure, and must ensure that all Sub-contractors ensure, that Authority Data is encrypted:</w:t>
      </w:r>
    </w:p>
    <w:p w14:paraId="3E50F3A2" w14:textId="77777777" w:rsidR="00F67E9E" w:rsidRPr="00024F2F" w:rsidRDefault="00F67E9E" w:rsidP="00F67E9E">
      <w:pPr>
        <w:pStyle w:val="AppendixText3"/>
        <w:tabs>
          <w:tab w:val="clear" w:pos="1800"/>
        </w:tabs>
        <w:ind w:left="1440" w:hanging="720"/>
      </w:pPr>
      <w:r w:rsidRPr="00024F2F">
        <w:t>when stored at any time when no operation is being performed on it; and</w:t>
      </w:r>
    </w:p>
    <w:p w14:paraId="429F678A" w14:textId="77777777" w:rsidR="00F67E9E" w:rsidRPr="00024F2F" w:rsidRDefault="00F67E9E" w:rsidP="00F67E9E">
      <w:pPr>
        <w:pStyle w:val="AppendixText3"/>
        <w:tabs>
          <w:tab w:val="clear" w:pos="1800"/>
        </w:tabs>
        <w:ind w:left="1440" w:hanging="720"/>
      </w:pPr>
      <w:r w:rsidRPr="00024F2F">
        <w:t>when transmitted.</w:t>
      </w:r>
    </w:p>
    <w:p w14:paraId="7854033A" w14:textId="77777777" w:rsidR="00F67E9E" w:rsidRPr="00024F2F" w:rsidRDefault="00F67E9E" w:rsidP="00F67E9E">
      <w:pPr>
        <w:pStyle w:val="AppendixText2"/>
        <w:tabs>
          <w:tab w:val="num" w:pos="720"/>
        </w:tabs>
      </w:pPr>
      <w:r w:rsidRPr="00024F2F">
        <w:t>Where the Supplier, or a Sub-contractor, cannot encrypt Authority Data the Supplier must:</w:t>
      </w:r>
    </w:p>
    <w:p w14:paraId="4A0CD011" w14:textId="77777777" w:rsidR="00F67E9E" w:rsidRPr="00024F2F" w:rsidRDefault="00F67E9E" w:rsidP="00F67E9E">
      <w:pPr>
        <w:pStyle w:val="AppendixText3"/>
        <w:tabs>
          <w:tab w:val="clear" w:pos="1800"/>
        </w:tabs>
        <w:ind w:left="1440" w:hanging="720"/>
      </w:pPr>
      <w:r w:rsidRPr="00024F2F">
        <w:t>immediately inform the Authority of the subset or subsets of Authority Data it cannot encrypt and the circumstances in which and the reasons why it cannot do so;</w:t>
      </w:r>
    </w:p>
    <w:p w14:paraId="6896E9B9" w14:textId="77777777" w:rsidR="00F67E9E" w:rsidRPr="00024F2F" w:rsidRDefault="00F67E9E" w:rsidP="00F67E9E">
      <w:pPr>
        <w:pStyle w:val="AppendixText3"/>
        <w:tabs>
          <w:tab w:val="clear" w:pos="1800"/>
        </w:tabs>
        <w:ind w:left="1440" w:hanging="720"/>
      </w:pPr>
      <w:r w:rsidRPr="00024F2F">
        <w:t>provide details of the protective measures the Supplier or Sub-contractor (as applicable) proposes to take to provide equivalent protection to the Authority as encryption; and</w:t>
      </w:r>
    </w:p>
    <w:p w14:paraId="00915E57" w14:textId="77777777" w:rsidR="00F67E9E" w:rsidRPr="00024F2F" w:rsidRDefault="00F67E9E" w:rsidP="00F67E9E">
      <w:pPr>
        <w:pStyle w:val="AppendixText3"/>
        <w:tabs>
          <w:tab w:val="clear" w:pos="1800"/>
        </w:tabs>
        <w:ind w:left="1440" w:hanging="720"/>
      </w:pPr>
      <w:r w:rsidRPr="00024F2F">
        <w:t>provide the Authority with such information relating to the Authority Data concerned, the reasons why that Authority Data cannot be encrypted and the proposed protective measures as the Authority may require.</w:t>
      </w:r>
    </w:p>
    <w:p w14:paraId="63DCD3F2" w14:textId="77777777" w:rsidR="00F67E9E" w:rsidRPr="00024F2F" w:rsidRDefault="00F67E9E" w:rsidP="00F67E9E">
      <w:pPr>
        <w:pStyle w:val="AppendixText2"/>
        <w:tabs>
          <w:tab w:val="num" w:pos="720"/>
        </w:tabs>
      </w:pPr>
      <w:r w:rsidRPr="00024F2F">
        <w:t>The Authority, the Supplier and, where the Authority requires, any relevant Sub-contractor shall meet to agree appropriate protective measures for the unencrypted Authority Data.</w:t>
      </w:r>
    </w:p>
    <w:p w14:paraId="29BBC86D" w14:textId="77777777" w:rsidR="00F67E9E" w:rsidRPr="00024F2F" w:rsidRDefault="00F67E9E" w:rsidP="00F67E9E">
      <w:pPr>
        <w:pStyle w:val="AppendixText2"/>
        <w:tabs>
          <w:tab w:val="num" w:pos="720"/>
        </w:tabs>
      </w:pPr>
      <w:r w:rsidRPr="00024F2F">
        <w:t>Where the Authority and Supplier reach agreement, the Supplier must update the Security Management Plan to include:</w:t>
      </w:r>
    </w:p>
    <w:p w14:paraId="2404D6EA" w14:textId="77777777" w:rsidR="00F67E9E" w:rsidRPr="00024F2F" w:rsidRDefault="00F67E9E" w:rsidP="00F67E9E">
      <w:pPr>
        <w:pStyle w:val="AppendixText3"/>
        <w:tabs>
          <w:tab w:val="clear" w:pos="1800"/>
        </w:tabs>
        <w:ind w:left="1440" w:hanging="720"/>
      </w:pPr>
      <w:r w:rsidRPr="00024F2F">
        <w:t>the subset or subsets of Authority Data not encrypted and the circumstances in which that will occur; and</w:t>
      </w:r>
    </w:p>
    <w:p w14:paraId="68B59643" w14:textId="77777777" w:rsidR="00F67E9E" w:rsidRPr="00024F2F" w:rsidRDefault="00F67E9E" w:rsidP="00F67E9E">
      <w:pPr>
        <w:pStyle w:val="AppendixText3"/>
        <w:tabs>
          <w:tab w:val="clear" w:pos="1800"/>
        </w:tabs>
        <w:ind w:left="1440" w:hanging="720"/>
      </w:pPr>
      <w:r w:rsidRPr="00024F2F">
        <w:t>the protective measure that the Supplier and/or Sub-contractor will put in please in respect of the unencrypted Authority Data.</w:t>
      </w:r>
    </w:p>
    <w:p w14:paraId="19527E94" w14:textId="77777777" w:rsidR="00F67E9E" w:rsidRDefault="00F67E9E" w:rsidP="00F67E9E">
      <w:pPr>
        <w:pStyle w:val="AppendixText2"/>
        <w:tabs>
          <w:tab w:val="num" w:pos="720"/>
        </w:tabs>
      </w:pPr>
      <w:r w:rsidRPr="00024F2F">
        <w:t>Where the Authority and Supplier do not reach agreement within</w:t>
      </w:r>
      <w:r w:rsidRPr="00C549FA">
        <w:t xml:space="preserve"> 40 Working Days of the date on which the Supplier first notified the </w:t>
      </w:r>
      <w:r>
        <w:t>Authority</w:t>
      </w:r>
      <w:r w:rsidRPr="00C549FA">
        <w:t xml:space="preserve"> that it could not encrypt certain </w:t>
      </w:r>
      <w:r>
        <w:t>Authority</w:t>
      </w:r>
      <w:r w:rsidRPr="00C549FA">
        <w:t xml:space="preserve"> Data, either party may refer the matter to</w:t>
      </w:r>
      <w:r w:rsidRPr="00EB5F38">
        <w:t xml:space="preserve"> </w:t>
      </w:r>
      <w:r w:rsidRPr="00E34031">
        <w:rPr>
          <w:highlight w:val="yellow"/>
        </w:rPr>
        <w:t>[</w:t>
      </w:r>
      <w:r w:rsidRPr="008B5F6C">
        <w:rPr>
          <w:highlight w:val="yellow"/>
        </w:rPr>
        <w:t>be determined in accordance with the Dispute Resolution Procedure</w:t>
      </w:r>
      <w:r w:rsidRPr="00E34031">
        <w:rPr>
          <w:highlight w:val="yellow"/>
        </w:rPr>
        <w:t>]</w:t>
      </w:r>
      <w:r w:rsidRPr="00EB5F38">
        <w:t>.</w:t>
      </w:r>
    </w:p>
    <w:p w14:paraId="0CCEBF5F" w14:textId="77777777" w:rsidR="00F67E9E" w:rsidRPr="001B1EB0" w:rsidRDefault="00F67E9E" w:rsidP="00F67E9E">
      <w:pPr>
        <w:pStyle w:val="AppendixText1"/>
      </w:pPr>
      <w:r w:rsidRPr="001B1EB0">
        <w:t>Personnel Security</w:t>
      </w:r>
    </w:p>
    <w:p w14:paraId="72905D8D" w14:textId="77777777" w:rsidR="00F67E9E" w:rsidRPr="001B1EB0" w:rsidRDefault="00F67E9E" w:rsidP="00F67E9E">
      <w:pPr>
        <w:pStyle w:val="AppendixText2"/>
        <w:tabs>
          <w:tab w:val="num" w:pos="720"/>
        </w:tabs>
      </w:pPr>
      <w:bookmarkStart w:id="548" w:name="_9kR3WTrAG8BJJHDKCucgA63xr1nV4JHDD54JGz4"/>
      <w:bookmarkStart w:id="549" w:name="_Ref_ContractCompanion_9kb9Ur7FD"/>
      <w:r w:rsidRPr="001B1EB0">
        <w:t>All Supplier Personnel shall be subject to a pre-employment check before they may participate in the provision and or management of the Services.</w:t>
      </w:r>
      <w:bookmarkEnd w:id="548"/>
      <w:r>
        <w:t xml:space="preserve"> </w:t>
      </w:r>
      <w:r w:rsidRPr="001B1EB0">
        <w:t>Such pre-employment checks must include all pre-employment checks which are required by the HMG Baseline Personnel Security Standard including: verification of the individual</w:t>
      </w:r>
      <w:r>
        <w:t>’</w:t>
      </w:r>
      <w:r w:rsidRPr="001B1EB0">
        <w:t>s identity; verification of the individual</w:t>
      </w:r>
      <w:r>
        <w:t>’</w:t>
      </w:r>
      <w:r w:rsidRPr="001B1EB0">
        <w:t>s nationality and immigration status; and, verification of the individual</w:t>
      </w:r>
      <w:r>
        <w:t>’</w:t>
      </w:r>
      <w:r w:rsidRPr="001B1EB0">
        <w:t>s employment history; verification of the individual</w:t>
      </w:r>
      <w:r>
        <w:t>’</w:t>
      </w:r>
      <w:r w:rsidRPr="001B1EB0">
        <w:t>s criminal record.</w:t>
      </w:r>
      <w:bookmarkEnd w:id="549"/>
    </w:p>
    <w:p w14:paraId="2761D359" w14:textId="77777777" w:rsidR="00F67E9E" w:rsidRPr="001B1EB0" w:rsidRDefault="00F67E9E" w:rsidP="00F67E9E">
      <w:pPr>
        <w:pStyle w:val="AppendixText2"/>
        <w:tabs>
          <w:tab w:val="num" w:pos="720"/>
        </w:tabs>
      </w:pPr>
      <w:bookmarkStart w:id="550" w:name="_9kR3WTrAG8BJMKEeRjDOE2y947O6w07CykvPLIC"/>
      <w:bookmarkStart w:id="551" w:name="_Ref_ContractCompanion_9kb9Ur7FG"/>
      <w:r w:rsidRPr="001B1EB0">
        <w:t>The Authority and the Supplier shall review the roles and responsibilities of the Supplier Personnel who will be involved in the management and/or provision of the Services in order to enable the Authority to determine which roles require additional vetting and a specific national security vetting clearance (e.g. a Counter Terrorist Check;</w:t>
      </w:r>
      <w:bookmarkEnd w:id="550"/>
      <w:r w:rsidRPr="001B1EB0">
        <w:t xml:space="preserve"> a Security Check).</w:t>
      </w:r>
      <w:r>
        <w:t xml:space="preserve"> </w:t>
      </w:r>
      <w:r w:rsidRPr="001B1EB0">
        <w:t>Roles which are likely to require additional vetting and a specific national security vetting clearance include system administrators whose role would provide those individuals with privileged access to IT systems which Process Authority Data or data which, if it were Authority Data, would be classified as OFFICIAL-SENSITIVE.</w:t>
      </w:r>
      <w:bookmarkEnd w:id="551"/>
    </w:p>
    <w:p w14:paraId="6EF5D12D" w14:textId="2CF57DCC" w:rsidR="00F67E9E" w:rsidRPr="00024F2F" w:rsidRDefault="00F67E9E" w:rsidP="00F67E9E">
      <w:pPr>
        <w:pStyle w:val="AppendixText2"/>
        <w:tabs>
          <w:tab w:val="num" w:pos="720"/>
        </w:tabs>
      </w:pPr>
      <w:r w:rsidRPr="00024F2F">
        <w:t xml:space="preserve">The Supplier shall not permit Supplier Personnel who fail the security checks required by </w:t>
      </w:r>
      <w:bookmarkStart w:id="552" w:name="_9kMHG5YVtCIADLLJFMEweiC85zt3pX6LJFF76LI"/>
      <w:r w:rsidRPr="00024F2F">
        <w:t xml:space="preserve">Paragraphs </w:t>
      </w:r>
      <w:r w:rsidRPr="00024F2F">
        <w:fldChar w:fldCharType="begin"/>
      </w:r>
      <w:r w:rsidRPr="00024F2F">
        <w:instrText xml:space="preserve"> REF _Ref_ContractCompanion_9kb9Ur7FD \n \h \t \* MERGEFORMAT </w:instrText>
      </w:r>
      <w:r w:rsidRPr="00024F2F">
        <w:fldChar w:fldCharType="separate"/>
      </w:r>
      <w:r w:rsidR="00302D39">
        <w:t>4.1</w:t>
      </w:r>
      <w:r w:rsidRPr="00024F2F">
        <w:fldChar w:fldCharType="end"/>
      </w:r>
      <w:bookmarkEnd w:id="552"/>
      <w:r w:rsidRPr="00024F2F">
        <w:t xml:space="preserve"> and </w:t>
      </w:r>
      <w:bookmarkStart w:id="553" w:name="_9kMHG5YVtCIADLOMGgTlFQG40B69Q8y29E0mxRN"/>
      <w:r w:rsidRPr="00024F2F">
        <w:fldChar w:fldCharType="begin"/>
      </w:r>
      <w:r w:rsidRPr="00024F2F">
        <w:instrText xml:space="preserve"> REF _Ref_ContractCompanion_9kb9Ur7FG \n \h \t \* MERGEFORMAT </w:instrText>
      </w:r>
      <w:r w:rsidRPr="00024F2F">
        <w:fldChar w:fldCharType="separate"/>
      </w:r>
      <w:r w:rsidR="00302D39">
        <w:t>4.2</w:t>
      </w:r>
      <w:r w:rsidRPr="00024F2F">
        <w:fldChar w:fldCharType="end"/>
      </w:r>
      <w:bookmarkEnd w:id="553"/>
      <w:r w:rsidRPr="00024F2F">
        <w:t xml:space="preserve"> to be involved in the management and/or provision of the Services except where the Authority has expressly agreed in writing to the involvement of the named individual in the management and/or provision of the Services.</w:t>
      </w:r>
    </w:p>
    <w:p w14:paraId="67668F00" w14:textId="77777777" w:rsidR="00F67E9E" w:rsidRPr="00024F2F" w:rsidRDefault="00F67E9E" w:rsidP="00F67E9E">
      <w:pPr>
        <w:pStyle w:val="AppendixText2"/>
        <w:tabs>
          <w:tab w:val="num" w:pos="720"/>
        </w:tabs>
      </w:pPr>
      <w:r w:rsidRPr="00024F2F">
        <w:t>The Supplier shall ensure that Supplier Personnel are only granted such access to Authority Data as is necessary to enable the Supplier Personnel to perform their role and to fulfil their responsibilities.</w:t>
      </w:r>
    </w:p>
    <w:p w14:paraId="6488E351" w14:textId="77777777" w:rsidR="00F67E9E" w:rsidRPr="00024F2F" w:rsidRDefault="00F67E9E" w:rsidP="00F67E9E">
      <w:pPr>
        <w:pStyle w:val="AppendixText2"/>
        <w:tabs>
          <w:tab w:val="num" w:pos="720"/>
        </w:tabs>
      </w:pPr>
      <w:r w:rsidRPr="00024F2F">
        <w:t>The Supplier shall ensure that Supplier Personnel who no longer require access to the Authority Data (e.g. they cease to be employed by the Supplier or any of its Sub-contractors), have their rights to access the Authority Data revoked within 1 Working Day.</w:t>
      </w:r>
    </w:p>
    <w:p w14:paraId="72857EFA" w14:textId="77777777" w:rsidR="00F67E9E" w:rsidRPr="00024F2F" w:rsidRDefault="00F67E9E" w:rsidP="00F67E9E">
      <w:pPr>
        <w:pStyle w:val="AppendixText2"/>
        <w:tabs>
          <w:tab w:val="num" w:pos="720"/>
        </w:tabs>
      </w:pPr>
      <w:bookmarkStart w:id="554" w:name="_Ref_ContractCompanion_9kb9Ur7GA"/>
      <w:bookmarkStart w:id="555" w:name="_9kR3WTrAG8BKGDIiRjVgA63xr1G7qv714JRRCFJ"/>
      <w:r w:rsidRPr="00024F2F">
        <w:t>The Supplier shall ensure that Supplier Staff that have access to the Sites, the IT Environment or the Authority Data receive regular training on security awareness that reflects the degree of access those individuals have to the Sites, the IT Environment or the Authority Data.</w:t>
      </w:r>
      <w:bookmarkEnd w:id="554"/>
      <w:bookmarkEnd w:id="555"/>
    </w:p>
    <w:p w14:paraId="066533E3" w14:textId="38B901C3" w:rsidR="00F67E9E" w:rsidRPr="00024F2F" w:rsidRDefault="00F67E9E" w:rsidP="00F67E9E">
      <w:pPr>
        <w:pStyle w:val="AppendixText2"/>
      </w:pPr>
      <w:r w:rsidRPr="00024F2F">
        <w:t xml:space="preserve">The Supplier shall ensure that the training provided to Supplier Staff under </w:t>
      </w:r>
      <w:bookmarkStart w:id="556" w:name="_9kMHG5YVtCIADMIFKkTlXiC85zt3I9sx936LTTE"/>
      <w:r w:rsidRPr="00024F2F">
        <w:t xml:space="preserve">Paragraph </w:t>
      </w:r>
      <w:r w:rsidRPr="00024F2F">
        <w:fldChar w:fldCharType="begin"/>
      </w:r>
      <w:r w:rsidRPr="00024F2F">
        <w:instrText xml:space="preserve"> REF _Ref_ContractCompanion_9kb9Ur7GA \n \h \t \* MERGEFORMAT </w:instrText>
      </w:r>
      <w:r w:rsidRPr="00024F2F">
        <w:fldChar w:fldCharType="separate"/>
      </w:r>
      <w:r w:rsidR="00302D39">
        <w:t>4.6</w:t>
      </w:r>
      <w:r w:rsidRPr="00024F2F">
        <w:fldChar w:fldCharType="end"/>
      </w:r>
      <w:bookmarkEnd w:id="556"/>
      <w:r w:rsidRPr="00024F2F">
        <w:t xml:space="preserve"> includes training on the identification and reporting fraudulent communications intended to induce individuals to disclose Personal Data or any other information that could be used, including in combination with other Personal Data or information, or with other techniques, to facilitate unauthorised access to the Sites, the IT Environment or the Authority Data (</w:t>
      </w:r>
      <w:r>
        <w:t>“</w:t>
      </w:r>
      <w:r w:rsidRPr="00024F2F">
        <w:t>phishing</w:t>
      </w:r>
      <w:r>
        <w:t>”</w:t>
      </w:r>
      <w:r w:rsidRPr="00024F2F">
        <w:t>).</w:t>
      </w:r>
    </w:p>
    <w:p w14:paraId="738430B4" w14:textId="77777777" w:rsidR="00F67E9E" w:rsidRPr="00024F2F" w:rsidRDefault="00F67E9E" w:rsidP="00F67E9E">
      <w:pPr>
        <w:pStyle w:val="AppendixText1"/>
        <w:tabs>
          <w:tab w:val="clear" w:pos="720"/>
        </w:tabs>
      </w:pPr>
      <w:r w:rsidRPr="00024F2F">
        <w:t>Identity, Authentication and Access Control</w:t>
      </w:r>
    </w:p>
    <w:p w14:paraId="314D4DCC" w14:textId="77777777" w:rsidR="00F67E9E" w:rsidRPr="00024F2F" w:rsidRDefault="00F67E9E" w:rsidP="00F67E9E">
      <w:pPr>
        <w:pStyle w:val="AppendixText2"/>
      </w:pPr>
      <w:r w:rsidRPr="00024F2F">
        <w:t xml:space="preserve">The Supplier shall operate an access control regime to ensure: </w:t>
      </w:r>
    </w:p>
    <w:p w14:paraId="7DAE4DDE" w14:textId="77777777" w:rsidR="00F67E9E" w:rsidRPr="00024F2F" w:rsidRDefault="00F67E9E" w:rsidP="00F67E9E">
      <w:pPr>
        <w:pStyle w:val="AppendixText3"/>
        <w:tabs>
          <w:tab w:val="clear" w:pos="1800"/>
          <w:tab w:val="num" w:pos="1440"/>
        </w:tabs>
        <w:ind w:left="1440" w:hanging="720"/>
      </w:pPr>
      <w:r w:rsidRPr="00024F2F">
        <w:t xml:space="preserve">all users and administrators of the Supplier System are uniquely identified and authenticated when accessing or administering the Services; and </w:t>
      </w:r>
    </w:p>
    <w:p w14:paraId="22EE37C9" w14:textId="77777777" w:rsidR="00F67E9E" w:rsidRPr="00024F2F" w:rsidRDefault="00F67E9E" w:rsidP="00F67E9E">
      <w:pPr>
        <w:pStyle w:val="AppendixText3"/>
        <w:tabs>
          <w:tab w:val="clear" w:pos="1800"/>
          <w:tab w:val="num" w:pos="1440"/>
        </w:tabs>
        <w:ind w:left="1440" w:hanging="720"/>
      </w:pPr>
      <w:r w:rsidRPr="00024F2F">
        <w:t>all persons who access the Sites are identified and authenticated before they are allowed access to the Sites.</w:t>
      </w:r>
    </w:p>
    <w:p w14:paraId="27DED07F" w14:textId="77777777" w:rsidR="00F67E9E" w:rsidRPr="00024F2F" w:rsidRDefault="00F67E9E" w:rsidP="00F67E9E">
      <w:pPr>
        <w:pStyle w:val="AppendixText2"/>
      </w:pPr>
      <w:r w:rsidRPr="00024F2F">
        <w:t xml:space="preserve">The Supplier shall apply the </w:t>
      </w:r>
      <w:r>
        <w:t>‘</w:t>
      </w:r>
      <w:r w:rsidRPr="00024F2F">
        <w:t>principle of least privilege</w:t>
      </w:r>
      <w:r>
        <w:t>’</w:t>
      </w:r>
      <w:r w:rsidRPr="00024F2F">
        <w:t xml:space="preserve"> when allowing persons access to the Supplier System and Sites so that such persons are allowed access only to those parts of the Sites and the Supplier System they require. </w:t>
      </w:r>
    </w:p>
    <w:p w14:paraId="29F14DA3" w14:textId="77777777" w:rsidR="00F67E9E" w:rsidRPr="00024F2F" w:rsidRDefault="00F67E9E" w:rsidP="00F67E9E">
      <w:pPr>
        <w:pStyle w:val="AppendixText2"/>
      </w:pPr>
      <w:r w:rsidRPr="00024F2F">
        <w:t>The Supplier shall retain records of access to the Sites and to the Supplier System and shall make such record available to the Authority on request.</w:t>
      </w:r>
      <w:r>
        <w:t xml:space="preserve"> </w:t>
      </w:r>
    </w:p>
    <w:p w14:paraId="293C3438" w14:textId="77777777" w:rsidR="00F67E9E" w:rsidRPr="00024F2F" w:rsidRDefault="00F67E9E" w:rsidP="00F67E9E">
      <w:pPr>
        <w:pStyle w:val="AppendixText1"/>
        <w:tabs>
          <w:tab w:val="clear" w:pos="720"/>
        </w:tabs>
      </w:pPr>
      <w:r w:rsidRPr="00024F2F">
        <w:t>Data Destruction or Deletion</w:t>
      </w:r>
    </w:p>
    <w:p w14:paraId="05ABFF32" w14:textId="77777777" w:rsidR="00F67E9E" w:rsidRPr="00024F2F" w:rsidRDefault="00F67E9E" w:rsidP="00F67E9E">
      <w:pPr>
        <w:pStyle w:val="AppendixText2"/>
      </w:pPr>
      <w:r w:rsidRPr="00024F2F">
        <w:t>The Supplier shall:</w:t>
      </w:r>
    </w:p>
    <w:p w14:paraId="3269D324" w14:textId="77777777" w:rsidR="00F67E9E" w:rsidRPr="00024F2F" w:rsidRDefault="00F67E9E" w:rsidP="00F67E9E">
      <w:pPr>
        <w:pStyle w:val="AppendixText3"/>
        <w:tabs>
          <w:tab w:val="clear" w:pos="1800"/>
          <w:tab w:val="num" w:pos="1440"/>
        </w:tabs>
        <w:ind w:left="1440" w:hanging="720"/>
      </w:pPr>
      <w:r w:rsidRPr="00024F2F">
        <w:t>prior to securely sanitising any Authority Data or when requested the Supplier shall provide the Government with all Authority Data in an agreed format</w:t>
      </w:r>
      <w:r>
        <w:t xml:space="preserve"> </w:t>
      </w:r>
      <w:r w:rsidRPr="006D2B6A">
        <w:t>provided it is secure and readable</w:t>
      </w:r>
      <w:r w:rsidRPr="00024F2F">
        <w:t>;</w:t>
      </w:r>
    </w:p>
    <w:p w14:paraId="20D5EBD7" w14:textId="77777777" w:rsidR="00F67E9E" w:rsidRPr="00024F2F" w:rsidRDefault="00F67E9E" w:rsidP="00F67E9E">
      <w:pPr>
        <w:pStyle w:val="AppendixText3"/>
        <w:tabs>
          <w:tab w:val="clear" w:pos="1800"/>
          <w:tab w:val="num" w:pos="1440"/>
        </w:tabs>
        <w:ind w:left="1440" w:hanging="720"/>
      </w:pPr>
      <w:r w:rsidRPr="00024F2F">
        <w:t>have documented processes to ensure the availability of Authority Data in the event of the Supplier ceasing to trade;</w:t>
      </w:r>
    </w:p>
    <w:p w14:paraId="49C54FD3" w14:textId="35CFEDFC" w:rsidR="00F67E9E" w:rsidRPr="00024F2F" w:rsidRDefault="00F67E9E" w:rsidP="00F67E9E">
      <w:pPr>
        <w:pStyle w:val="AppendixText3"/>
        <w:tabs>
          <w:tab w:val="clear" w:pos="1800"/>
          <w:tab w:val="num" w:pos="1440"/>
        </w:tabs>
        <w:ind w:left="1440" w:hanging="720"/>
      </w:pPr>
      <w:r w:rsidRPr="00024F2F">
        <w:t>securely erase in a manner agreed with the Authority any or all Authority Data held by the Supplier when requested to do so by the Authority</w:t>
      </w:r>
      <w:r w:rsidRPr="00393DBD">
        <w:t xml:space="preserve"> and certify to the Authority that it has done so unless and to the extent required by Law to retain it</w:t>
      </w:r>
      <w:r w:rsidR="00A10006">
        <w:t xml:space="preserve"> </w:t>
      </w:r>
      <w:r w:rsidR="00A10006" w:rsidRPr="00BE3416">
        <w:rPr>
          <w:rFonts w:cs="Arial"/>
          <w:color w:val="000000"/>
        </w:rPr>
        <w:t xml:space="preserve">other than in relation to </w:t>
      </w:r>
      <w:r w:rsidR="00A10006">
        <w:rPr>
          <w:rFonts w:cs="Arial"/>
          <w:color w:val="000000"/>
        </w:rPr>
        <w:t>Authority</w:t>
      </w:r>
      <w:r w:rsidR="00A10006" w:rsidRPr="00BE3416">
        <w:rPr>
          <w:rFonts w:cs="Arial"/>
          <w:color w:val="000000"/>
        </w:rPr>
        <w:t xml:space="preserve"> Data which is owned or licenced by the Supplier or in respect of which the Parties are either Independent Controllers or Joint Controllers</w:t>
      </w:r>
      <w:r w:rsidRPr="00024F2F">
        <w:t xml:space="preserve">; </w:t>
      </w:r>
    </w:p>
    <w:p w14:paraId="31943EC0" w14:textId="1A1E28BD" w:rsidR="00F67E9E" w:rsidRPr="00024F2F" w:rsidRDefault="00F67E9E" w:rsidP="00F67E9E">
      <w:pPr>
        <w:pStyle w:val="AppendixText3"/>
        <w:tabs>
          <w:tab w:val="clear" w:pos="1800"/>
          <w:tab w:val="num" w:pos="1440"/>
        </w:tabs>
        <w:ind w:left="1440" w:hanging="720"/>
      </w:pPr>
      <w:r w:rsidRPr="00024F2F">
        <w:t>securely destroy in a manner agreed with the Authority all media that has held Authority Data at the end of life of that media in accordance with any specific requirements in this Contract and, in the absence of any such requirements, as agreed by the Authority</w:t>
      </w:r>
      <w:r w:rsidR="00A10006">
        <w:t xml:space="preserve"> </w:t>
      </w:r>
      <w:r w:rsidR="00A10006" w:rsidRPr="00BE3416">
        <w:rPr>
          <w:rFonts w:cs="Arial"/>
          <w:color w:val="000000"/>
        </w:rPr>
        <w:t xml:space="preserve">other than in relation to </w:t>
      </w:r>
      <w:r w:rsidR="00A10006">
        <w:rPr>
          <w:rFonts w:cs="Arial"/>
          <w:color w:val="000000"/>
        </w:rPr>
        <w:t>Authority</w:t>
      </w:r>
      <w:r w:rsidR="00A10006" w:rsidRPr="00BE3416">
        <w:rPr>
          <w:rFonts w:cs="Arial"/>
          <w:color w:val="000000"/>
        </w:rPr>
        <w:t xml:space="preserve"> Data which is owned or licenced by the Supplier or in respect of which the Parties are either Independent Controllers or Joint Controllers</w:t>
      </w:r>
      <w:r w:rsidRPr="00024F2F">
        <w:t>; and</w:t>
      </w:r>
      <w:r>
        <w:t xml:space="preserve"> </w:t>
      </w:r>
    </w:p>
    <w:p w14:paraId="1F381136" w14:textId="77777777" w:rsidR="00F67E9E" w:rsidRPr="00024F2F" w:rsidRDefault="00F67E9E" w:rsidP="00F67E9E">
      <w:pPr>
        <w:pStyle w:val="AppendixText3"/>
        <w:tabs>
          <w:tab w:val="clear" w:pos="1800"/>
          <w:tab w:val="num" w:pos="1440"/>
        </w:tabs>
        <w:ind w:left="1440" w:hanging="720"/>
      </w:pPr>
      <w:r w:rsidRPr="00024F2F">
        <w:t>implement processes which address the CPNI and NCSC guidance on secure sanitisation.</w:t>
      </w:r>
    </w:p>
    <w:p w14:paraId="44F906B4" w14:textId="77777777" w:rsidR="00F67E9E" w:rsidRPr="00024F2F" w:rsidRDefault="00F67E9E" w:rsidP="00F67E9E">
      <w:pPr>
        <w:pStyle w:val="AppendixText1"/>
      </w:pPr>
      <w:r w:rsidRPr="00024F2F">
        <w:t>Audit and Protective Monitoring</w:t>
      </w:r>
    </w:p>
    <w:p w14:paraId="2083092D" w14:textId="77777777" w:rsidR="00F67E9E" w:rsidRPr="00024F2F" w:rsidRDefault="00F67E9E" w:rsidP="00F67E9E">
      <w:pPr>
        <w:pStyle w:val="AppendixText2"/>
        <w:tabs>
          <w:tab w:val="num" w:pos="720"/>
        </w:tabs>
      </w:pPr>
      <w:r w:rsidRPr="00024F2F">
        <w:t>The Supplier shall collect audit records which relate to security events in the Information Management System or that would support the analysis of potential and actual compromises. In order to facilitate effective monitoring and forensic readiness such Supplier audit records should (as a minimum) include regular reports and alerts setting out details of access by users of the Information Management System, to enable the identification of (without limitation) changing access trends, any unusual patterns of usage and/or accounts accessing higher than average amounts of Authority Data.</w:t>
      </w:r>
    </w:p>
    <w:p w14:paraId="5E03B865" w14:textId="77777777" w:rsidR="00F67E9E" w:rsidRPr="00024F2F" w:rsidRDefault="00F67E9E" w:rsidP="00F67E9E">
      <w:pPr>
        <w:pStyle w:val="AppendixText2"/>
        <w:tabs>
          <w:tab w:val="num" w:pos="720"/>
        </w:tabs>
      </w:pPr>
      <w:r w:rsidRPr="00024F2F">
        <w:t>The Supplier and the Authority shall work together to establish any additional audit and monitoring requirements for the Information Management System.</w:t>
      </w:r>
    </w:p>
    <w:p w14:paraId="4FC5EB9C" w14:textId="77777777" w:rsidR="00F67E9E" w:rsidRPr="00024F2F" w:rsidRDefault="00F67E9E" w:rsidP="00F67E9E">
      <w:pPr>
        <w:pStyle w:val="AppendixText2"/>
        <w:tabs>
          <w:tab w:val="num" w:pos="720"/>
        </w:tabs>
      </w:pPr>
      <w:r w:rsidRPr="00024F2F">
        <w:t>The retention periods for audit records and event logs must be agreed with the Authority and documented in the Security Management Plan.</w:t>
      </w:r>
      <w:r>
        <w:t xml:space="preserve"> </w:t>
      </w:r>
    </w:p>
    <w:p w14:paraId="76EC8F3E" w14:textId="77777777" w:rsidR="00F67E9E" w:rsidRPr="00024F2F" w:rsidRDefault="00F67E9E" w:rsidP="00F67E9E">
      <w:pPr>
        <w:pStyle w:val="AppendixText1"/>
      </w:pPr>
      <w:bookmarkStart w:id="557" w:name="_Ref_ContractCompanion_9kb9Ur5EH"/>
      <w:r w:rsidRPr="00024F2F">
        <w:t>Location of Authority Data</w:t>
      </w:r>
      <w:bookmarkEnd w:id="557"/>
    </w:p>
    <w:p w14:paraId="6C4039FA" w14:textId="77777777" w:rsidR="00F67E9E" w:rsidRPr="001B1EB0" w:rsidRDefault="00F67E9E" w:rsidP="00F67E9E">
      <w:pPr>
        <w:pStyle w:val="AppendixText2"/>
        <w:tabs>
          <w:tab w:val="num" w:pos="720"/>
        </w:tabs>
      </w:pPr>
      <w:r w:rsidRPr="00024F2F">
        <w:t>The Supplier shall not and shall procure that none of its Sub-contractors</w:t>
      </w:r>
      <w:r w:rsidRPr="001B1EB0">
        <w:t xml:space="preserve"> Process Authority Data outside the </w:t>
      </w:r>
      <w:r>
        <w:t>[</w:t>
      </w:r>
      <w:r w:rsidRPr="008B5F6C">
        <w:rPr>
          <w:highlight w:val="yellow"/>
        </w:rPr>
        <w:t>UK</w:t>
      </w:r>
      <w:r>
        <w:t>]</w:t>
      </w:r>
      <w:r w:rsidRPr="001B1EB0">
        <w:t xml:space="preserve"> without the prior written consent of the Authority, which may be subject to conditions.</w:t>
      </w:r>
    </w:p>
    <w:p w14:paraId="76FD20C8" w14:textId="77777777" w:rsidR="00F67E9E" w:rsidRPr="001B1EB0" w:rsidRDefault="00F67E9E" w:rsidP="00F67E9E">
      <w:pPr>
        <w:pStyle w:val="AppendixText1"/>
      </w:pPr>
      <w:r w:rsidRPr="001B1EB0">
        <w:t>Vulnerabilities and Corrective Action</w:t>
      </w:r>
    </w:p>
    <w:p w14:paraId="67DF8753" w14:textId="77777777" w:rsidR="00F67E9E" w:rsidRPr="001B1EB0" w:rsidRDefault="00F67E9E" w:rsidP="00F67E9E">
      <w:pPr>
        <w:pStyle w:val="AppendixText2"/>
        <w:tabs>
          <w:tab w:val="num" w:pos="720"/>
        </w:tabs>
      </w:pPr>
      <w:r w:rsidRPr="001B1EB0">
        <w:t xml:space="preserve">The Authority and the Supplier acknowledge that from time to time vulnerabilities in the Information Management System will be discovered which unless mitigated will present an unacceptable risk to the Authority Data. </w:t>
      </w:r>
    </w:p>
    <w:p w14:paraId="05575FEF" w14:textId="77777777" w:rsidR="00F67E9E" w:rsidRPr="001B1EB0" w:rsidRDefault="00F67E9E" w:rsidP="00F67E9E">
      <w:pPr>
        <w:pStyle w:val="AppendixText2"/>
        <w:tabs>
          <w:tab w:val="num" w:pos="720"/>
        </w:tabs>
      </w:pPr>
      <w:bookmarkStart w:id="558" w:name="_Ref_ContractCompanion_9kb9Ur157"/>
      <w:r w:rsidRPr="001B1EB0">
        <w:t xml:space="preserve">The severity of vulnerabilities for COTS Software shall be categorised by the Supplier as </w:t>
      </w:r>
      <w:r>
        <w:t>‘</w:t>
      </w:r>
      <w:r w:rsidRPr="001B1EB0">
        <w:t>Critical</w:t>
      </w:r>
      <w:r>
        <w:t>’</w:t>
      </w:r>
      <w:r w:rsidRPr="001B1EB0">
        <w:t xml:space="preserve">, </w:t>
      </w:r>
      <w:r>
        <w:t>‘</w:t>
      </w:r>
      <w:r w:rsidRPr="001B1EB0">
        <w:t>Important</w:t>
      </w:r>
      <w:r>
        <w:t>’</w:t>
      </w:r>
      <w:r w:rsidRPr="001B1EB0">
        <w:t xml:space="preserve"> and </w:t>
      </w:r>
      <w:r>
        <w:t>‘</w:t>
      </w:r>
      <w:r w:rsidRPr="001B1EB0">
        <w:t>Other</w:t>
      </w:r>
      <w:r>
        <w:t>’</w:t>
      </w:r>
      <w:r w:rsidRPr="001B1EB0">
        <w:t xml:space="preserve"> by aligning these categories to the vulnerability scoring according to the agreed method in the Security Management Plan and using the appropriate vulnerability scoring systems including:</w:t>
      </w:r>
      <w:bookmarkEnd w:id="558"/>
    </w:p>
    <w:p w14:paraId="04081311" w14:textId="77777777" w:rsidR="00F67E9E" w:rsidRPr="001B1EB0" w:rsidRDefault="00F67E9E" w:rsidP="00F67E9E">
      <w:pPr>
        <w:pStyle w:val="AppendixText3"/>
        <w:tabs>
          <w:tab w:val="clear" w:pos="1800"/>
        </w:tabs>
        <w:ind w:left="1440" w:hanging="720"/>
      </w:pPr>
      <w:r w:rsidRPr="001B1EB0">
        <w:t xml:space="preserve">the </w:t>
      </w:r>
      <w:r>
        <w:t>‘</w:t>
      </w:r>
      <w:r w:rsidRPr="001B1EB0">
        <w:t>National Vulnerability Database</w:t>
      </w:r>
      <w:r>
        <w:t>’</w:t>
      </w:r>
      <w:r w:rsidRPr="001B1EB0">
        <w:t xml:space="preserve"> </w:t>
      </w:r>
      <w:r>
        <w:t>‘</w:t>
      </w:r>
      <w:r w:rsidRPr="001B1EB0">
        <w:t>Vulnerability Severity Ratings</w:t>
      </w:r>
      <w:r>
        <w:t>’</w:t>
      </w:r>
      <w:r w:rsidRPr="001B1EB0">
        <w:t xml:space="preserve">: </w:t>
      </w:r>
      <w:r>
        <w:t>‘</w:t>
      </w:r>
      <w:r w:rsidRPr="001B1EB0">
        <w:t>High</w:t>
      </w:r>
      <w:r>
        <w:t>’</w:t>
      </w:r>
      <w:r w:rsidRPr="001B1EB0">
        <w:t xml:space="preserve">, </w:t>
      </w:r>
      <w:r>
        <w:t>‘</w:t>
      </w:r>
      <w:r w:rsidRPr="001B1EB0">
        <w:t>Medium</w:t>
      </w:r>
      <w:r>
        <w:t>’</w:t>
      </w:r>
      <w:r w:rsidRPr="001B1EB0">
        <w:t xml:space="preserve"> and </w:t>
      </w:r>
      <w:r>
        <w:t>‘</w:t>
      </w:r>
      <w:r w:rsidRPr="001B1EB0">
        <w:t>Low</w:t>
      </w:r>
      <w:r>
        <w:t>’</w:t>
      </w:r>
      <w:r w:rsidRPr="001B1EB0">
        <w:t xml:space="preserve"> respectively (these in turn are aligned to CVSS scores as set out by NIST at </w:t>
      </w:r>
      <w:hyperlink r:id="rId47" w:history="1">
        <w:r w:rsidRPr="009611CF">
          <w:rPr>
            <w:rStyle w:val="Hyperlink"/>
            <w:rFonts w:cs="Arial"/>
          </w:rPr>
          <w:t>http://nvd.nist.gov/cvss.cfm</w:t>
        </w:r>
      </w:hyperlink>
      <w:r w:rsidRPr="001B1EB0">
        <w:t xml:space="preserve">); and </w:t>
      </w:r>
    </w:p>
    <w:p w14:paraId="44D03257" w14:textId="77777777" w:rsidR="00F67E9E" w:rsidRPr="001B1EB0" w:rsidRDefault="00F67E9E" w:rsidP="00F67E9E">
      <w:pPr>
        <w:pStyle w:val="AppendixText3"/>
        <w:tabs>
          <w:tab w:val="clear" w:pos="1800"/>
        </w:tabs>
        <w:ind w:left="1440" w:hanging="720"/>
      </w:pPr>
      <w:r w:rsidRPr="001B1EB0">
        <w:t>Microsoft</w:t>
      </w:r>
      <w:r>
        <w:t>’</w:t>
      </w:r>
      <w:r w:rsidRPr="001B1EB0">
        <w:t xml:space="preserve">s </w:t>
      </w:r>
      <w:r>
        <w:t>‘</w:t>
      </w:r>
      <w:r w:rsidRPr="001B1EB0">
        <w:t>Security Bulletin Severity Rating System</w:t>
      </w:r>
      <w:r>
        <w:t>’</w:t>
      </w:r>
      <w:r w:rsidRPr="001B1EB0">
        <w:t xml:space="preserve"> ratings </w:t>
      </w:r>
      <w:r>
        <w:t>‘</w:t>
      </w:r>
      <w:r w:rsidRPr="001B1EB0">
        <w:t>Critical</w:t>
      </w:r>
      <w:r>
        <w:t>’</w:t>
      </w:r>
      <w:r w:rsidRPr="001B1EB0">
        <w:t xml:space="preserve">, </w:t>
      </w:r>
      <w:r>
        <w:t>‘</w:t>
      </w:r>
      <w:r w:rsidRPr="001B1EB0">
        <w:t>Important</w:t>
      </w:r>
      <w:r>
        <w:t>’</w:t>
      </w:r>
      <w:r w:rsidRPr="001B1EB0">
        <w:t>, and the two remaining levels (</w:t>
      </w:r>
      <w:r>
        <w:t>‘</w:t>
      </w:r>
      <w:r w:rsidRPr="001B1EB0">
        <w:t>Moderate</w:t>
      </w:r>
      <w:r>
        <w:t>’</w:t>
      </w:r>
      <w:r w:rsidRPr="001B1EB0">
        <w:t xml:space="preserve"> and </w:t>
      </w:r>
      <w:r>
        <w:t>‘</w:t>
      </w:r>
      <w:r w:rsidRPr="001B1EB0">
        <w:t>Low</w:t>
      </w:r>
      <w:r>
        <w:t>’</w:t>
      </w:r>
      <w:r w:rsidRPr="001B1EB0">
        <w:t>) respectively.</w:t>
      </w:r>
    </w:p>
    <w:p w14:paraId="0228122B" w14:textId="132ED983" w:rsidR="00F67E9E" w:rsidRPr="00024F2F" w:rsidRDefault="00F67E9E" w:rsidP="00F67E9E">
      <w:pPr>
        <w:pStyle w:val="AppendixText2"/>
        <w:tabs>
          <w:tab w:val="num" w:pos="720"/>
        </w:tabs>
      </w:pPr>
      <w:bookmarkStart w:id="559" w:name="_9kR3WTrAG8BKMOKedtjnhxFBiPyzp7219UfQH3p"/>
      <w:bookmarkStart w:id="560" w:name="_Ref_ContractCompanion_9kb9Ur7GG"/>
      <w:r w:rsidRPr="00024F2F">
        <w:t xml:space="preserve">Subject to </w:t>
      </w:r>
      <w:bookmarkStart w:id="561" w:name="_9kMHG5YVtCIADMLNNiTly3xu10jty685I54KHRP"/>
      <w:r w:rsidRPr="00024F2F">
        <w:t xml:space="preserve">Paragraph </w:t>
      </w:r>
      <w:r w:rsidRPr="00024F2F">
        <w:fldChar w:fldCharType="begin"/>
      </w:r>
      <w:r w:rsidRPr="00024F2F">
        <w:instrText xml:space="preserve"> REF _Ref_ContractCompanion_9kb9Ur7GD \n \h \t \* MERGEFORMAT </w:instrText>
      </w:r>
      <w:r w:rsidRPr="00024F2F">
        <w:fldChar w:fldCharType="separate"/>
      </w:r>
      <w:r w:rsidR="00302D39">
        <w:t>9.4</w:t>
      </w:r>
      <w:r w:rsidRPr="00024F2F">
        <w:fldChar w:fldCharType="end"/>
      </w:r>
      <w:bookmarkEnd w:id="561"/>
      <w:r w:rsidRPr="00024F2F">
        <w:t>, the Supplier shall procure the application of security patches to vulnerabilities in the Information Management System within:</w:t>
      </w:r>
      <w:bookmarkEnd w:id="559"/>
      <w:r w:rsidRPr="00024F2F">
        <w:t xml:space="preserve"> </w:t>
      </w:r>
      <w:bookmarkEnd w:id="560"/>
    </w:p>
    <w:p w14:paraId="564DB7F0" w14:textId="77777777" w:rsidR="00F67E9E" w:rsidRPr="00024F2F" w:rsidRDefault="00F67E9E" w:rsidP="00F67E9E">
      <w:pPr>
        <w:pStyle w:val="AppendixText3"/>
        <w:tabs>
          <w:tab w:val="clear" w:pos="1800"/>
        </w:tabs>
        <w:ind w:left="1440" w:hanging="720"/>
      </w:pPr>
      <w:r w:rsidRPr="00024F2F">
        <w:t xml:space="preserve">seven (7) days after the public release of patches for those vulnerabilities categorised as </w:t>
      </w:r>
      <w:r>
        <w:t>‘</w:t>
      </w:r>
      <w:r w:rsidRPr="00024F2F">
        <w:t>Critical</w:t>
      </w:r>
      <w:r>
        <w:t>’</w:t>
      </w:r>
      <w:r w:rsidRPr="00024F2F">
        <w:t>;</w:t>
      </w:r>
      <w:r>
        <w:t xml:space="preserve"> </w:t>
      </w:r>
    </w:p>
    <w:p w14:paraId="7E96547E" w14:textId="77777777" w:rsidR="00F67E9E" w:rsidRPr="00024F2F" w:rsidRDefault="00F67E9E" w:rsidP="00F67E9E">
      <w:pPr>
        <w:pStyle w:val="AppendixText3"/>
        <w:tabs>
          <w:tab w:val="clear" w:pos="1800"/>
        </w:tabs>
        <w:ind w:left="1440" w:hanging="720"/>
      </w:pPr>
      <w:r w:rsidRPr="00024F2F">
        <w:t xml:space="preserve">thirty (30) days after the public release of patches for those vulnerabilities categorised as </w:t>
      </w:r>
      <w:r>
        <w:t>‘</w:t>
      </w:r>
      <w:r w:rsidRPr="00024F2F">
        <w:t>Important</w:t>
      </w:r>
      <w:r>
        <w:t>’</w:t>
      </w:r>
      <w:r w:rsidRPr="00024F2F">
        <w:t xml:space="preserve">; and </w:t>
      </w:r>
    </w:p>
    <w:p w14:paraId="6834629A" w14:textId="77777777" w:rsidR="00F67E9E" w:rsidRPr="00024F2F" w:rsidRDefault="00F67E9E" w:rsidP="00F67E9E">
      <w:pPr>
        <w:pStyle w:val="AppendixText3"/>
        <w:tabs>
          <w:tab w:val="clear" w:pos="1800"/>
        </w:tabs>
        <w:ind w:left="1440" w:hanging="720"/>
      </w:pPr>
      <w:r w:rsidRPr="00024F2F">
        <w:t xml:space="preserve">sixty (60) days after the public release of patches for those vulnerabilities categorised as </w:t>
      </w:r>
      <w:r>
        <w:t>‘</w:t>
      </w:r>
      <w:r w:rsidRPr="00024F2F">
        <w:t>Other</w:t>
      </w:r>
      <w:r>
        <w:t>’</w:t>
      </w:r>
      <w:r w:rsidRPr="00024F2F">
        <w:t>.</w:t>
      </w:r>
    </w:p>
    <w:p w14:paraId="3CB79F76" w14:textId="4EF0E547" w:rsidR="00F67E9E" w:rsidRPr="00024F2F" w:rsidRDefault="00F67E9E" w:rsidP="00F67E9E">
      <w:pPr>
        <w:pStyle w:val="AppendixText2"/>
        <w:tabs>
          <w:tab w:val="num" w:pos="720"/>
        </w:tabs>
      </w:pPr>
      <w:bookmarkStart w:id="562" w:name="_Ref_ContractCompanion_9kb9Ur7GD"/>
      <w:bookmarkStart w:id="563" w:name="_9kR3WTrAG8BKJLLgRjw1vszyhrw463G32IFPNDC"/>
      <w:r w:rsidRPr="00024F2F">
        <w:t xml:space="preserve">The timescales for applying patches to vulnerabilities in the Information Management System set out in </w:t>
      </w:r>
      <w:bookmarkStart w:id="564" w:name="_9kMHG5YVtCIADMOQMgfvlpjzHDkR01r943BWhSJ"/>
      <w:r w:rsidRPr="00024F2F">
        <w:t xml:space="preserve">Paragraph </w:t>
      </w:r>
      <w:r w:rsidRPr="00024F2F">
        <w:fldChar w:fldCharType="begin"/>
      </w:r>
      <w:r w:rsidRPr="00024F2F">
        <w:instrText xml:space="preserve"> REF _Ref_ContractCompanion_9kb9Ur7GG \n \h \t \* MERGEFORMAT </w:instrText>
      </w:r>
      <w:r w:rsidRPr="00024F2F">
        <w:fldChar w:fldCharType="separate"/>
      </w:r>
      <w:r w:rsidR="00302D39">
        <w:t>9.3</w:t>
      </w:r>
      <w:r w:rsidRPr="00024F2F">
        <w:fldChar w:fldCharType="end"/>
      </w:r>
      <w:bookmarkEnd w:id="564"/>
      <w:r w:rsidRPr="00024F2F">
        <w:t xml:space="preserve"> shall be extended where:</w:t>
      </w:r>
      <w:bookmarkEnd w:id="562"/>
      <w:bookmarkEnd w:id="563"/>
    </w:p>
    <w:p w14:paraId="6B6D52D2" w14:textId="21502D6B" w:rsidR="00F67E9E" w:rsidRPr="00024F2F" w:rsidRDefault="00F67E9E" w:rsidP="00F67E9E">
      <w:pPr>
        <w:pStyle w:val="AppendixText3"/>
        <w:tabs>
          <w:tab w:val="clear" w:pos="1800"/>
        </w:tabs>
        <w:ind w:left="1440" w:hanging="720"/>
      </w:pPr>
      <w:r w:rsidRPr="00024F2F">
        <w:t xml:space="preserve">the Supplier can demonstrate that a vulnerability in the Information Management System is not exploitable within the context of the Services (e.g. because it resides in a Software component which is not involved in running in the Services) provided such vulnerabilities shall be remedied by the Supplier within the timescales set out in </w:t>
      </w:r>
      <w:bookmarkStart w:id="565" w:name="_9kMIH5YVtCIADMOQMgfvlpjzHDkR01r943BWhSJ"/>
      <w:r w:rsidRPr="00024F2F">
        <w:t xml:space="preserve">Paragraph </w:t>
      </w:r>
      <w:r w:rsidRPr="00024F2F">
        <w:fldChar w:fldCharType="begin"/>
      </w:r>
      <w:r w:rsidRPr="00024F2F">
        <w:instrText xml:space="preserve"> REF _Ref_ContractCompanion_9kb9Ur7GG \n \h \t \* MERGEFORMAT </w:instrText>
      </w:r>
      <w:r w:rsidRPr="00024F2F">
        <w:fldChar w:fldCharType="separate"/>
      </w:r>
      <w:r w:rsidR="00302D39">
        <w:t>9.3</w:t>
      </w:r>
      <w:r w:rsidRPr="00024F2F">
        <w:fldChar w:fldCharType="end"/>
      </w:r>
      <w:bookmarkEnd w:id="565"/>
      <w:r w:rsidRPr="00024F2F">
        <w:t xml:space="preserve"> if the vulnerability becomes exploitable within the context of the Services;</w:t>
      </w:r>
    </w:p>
    <w:p w14:paraId="5C0F4423" w14:textId="77777777" w:rsidR="00F67E9E" w:rsidRPr="00024F2F" w:rsidRDefault="00F67E9E" w:rsidP="00F67E9E">
      <w:pPr>
        <w:pStyle w:val="AppendixText3"/>
        <w:tabs>
          <w:tab w:val="clear" w:pos="1800"/>
        </w:tabs>
        <w:ind w:left="1440" w:hanging="720"/>
      </w:pPr>
      <w:r w:rsidRPr="00024F2F">
        <w:t xml:space="preserve">the application of a </w:t>
      </w:r>
      <w:r>
        <w:t>‘</w:t>
      </w:r>
      <w:r w:rsidRPr="00024F2F">
        <w:t>Critical</w:t>
      </w:r>
      <w:r>
        <w:t>’</w:t>
      </w:r>
      <w:r w:rsidRPr="00024F2F">
        <w:t xml:space="preserve"> or </w:t>
      </w:r>
      <w:r>
        <w:t>‘</w:t>
      </w:r>
      <w:r w:rsidRPr="00024F2F">
        <w:t>Important</w:t>
      </w:r>
      <w:r>
        <w:t>’</w:t>
      </w:r>
      <w:r w:rsidRPr="00024F2F">
        <w:t xml:space="preserve"> security patch adversely affects the Supplier</w:t>
      </w:r>
      <w:r>
        <w:t>’</w:t>
      </w:r>
      <w:r w:rsidRPr="00024F2F">
        <w:t>s ability to deliver the Services in which case the Supplier shall be granted an extension to such timescales of five (5) days, provided the Supplier had followed and continues to follow the security patch test plan agreed with the Authority; or</w:t>
      </w:r>
    </w:p>
    <w:p w14:paraId="50B5EAAD" w14:textId="77777777" w:rsidR="00F67E9E" w:rsidRPr="00024F2F" w:rsidRDefault="00F67E9E" w:rsidP="00F67E9E">
      <w:pPr>
        <w:pStyle w:val="AppendixText3"/>
        <w:tabs>
          <w:tab w:val="clear" w:pos="1800"/>
        </w:tabs>
        <w:ind w:left="1440" w:hanging="720"/>
      </w:pPr>
      <w:r w:rsidRPr="00024F2F">
        <w:t>the Authority agrees a different maximum period after a case-by-case consultation with the Supplier under the processes defined in the Security Management Plan.</w:t>
      </w:r>
    </w:p>
    <w:p w14:paraId="6DF8C144" w14:textId="77777777" w:rsidR="00F67E9E" w:rsidRPr="00024F2F" w:rsidRDefault="00F67E9E" w:rsidP="00F67E9E">
      <w:pPr>
        <w:pStyle w:val="AppendixText2"/>
        <w:tabs>
          <w:tab w:val="num" w:pos="720"/>
        </w:tabs>
      </w:pPr>
      <w:r w:rsidRPr="00024F2F">
        <w:t>The Security Management Plan shall include provisions for major version upgrades of all COTS Software to be kept up to date such that all COTS Software are always in mainstream support throughout the Term unless otherwise agreed by the Authority in writing. All COTS Software should be no more than N-1 versions behind the latest software release.</w:t>
      </w:r>
    </w:p>
    <w:p w14:paraId="7B1B4669" w14:textId="77777777" w:rsidR="00F67E9E" w:rsidRPr="00024F2F" w:rsidRDefault="00F67E9E" w:rsidP="00F67E9E">
      <w:pPr>
        <w:pStyle w:val="AppendixText1"/>
      </w:pPr>
      <w:r w:rsidRPr="00024F2F">
        <w:t>Secure Architecture</w:t>
      </w:r>
    </w:p>
    <w:p w14:paraId="60691BF5" w14:textId="77777777" w:rsidR="00F67E9E" w:rsidRPr="00024F2F" w:rsidRDefault="00F67E9E" w:rsidP="00F67E9E">
      <w:pPr>
        <w:pStyle w:val="AppendixText2"/>
        <w:tabs>
          <w:tab w:val="num" w:pos="720"/>
        </w:tabs>
      </w:pPr>
      <w:r w:rsidRPr="00024F2F">
        <w:t>The Supplier shall design the Information Management System in accordance with:</w:t>
      </w:r>
    </w:p>
    <w:p w14:paraId="3B6282E9" w14:textId="77777777" w:rsidR="00F67E9E" w:rsidRPr="00024F2F" w:rsidRDefault="00F67E9E" w:rsidP="00F67E9E">
      <w:pPr>
        <w:pStyle w:val="AppendixText3"/>
        <w:tabs>
          <w:tab w:val="clear" w:pos="1800"/>
        </w:tabs>
        <w:ind w:left="1440" w:hanging="720"/>
      </w:pPr>
      <w:r w:rsidRPr="00024F2F">
        <w:t xml:space="preserve">the NCSC </w:t>
      </w:r>
      <w:r>
        <w:t>“</w:t>
      </w:r>
      <w:r w:rsidRPr="00024F2F">
        <w:t>Security Design Principles for Digital Services</w:t>
      </w:r>
      <w:r>
        <w:t>”</w:t>
      </w:r>
      <w:r w:rsidRPr="00024F2F">
        <w:t xml:space="preserve">, a copy of which can be found at: </w:t>
      </w:r>
      <w:hyperlink r:id="rId48" w:history="1">
        <w:r w:rsidRPr="00C7229A">
          <w:rPr>
            <w:rStyle w:val="Hyperlink"/>
            <w:rFonts w:cs="Arial"/>
          </w:rPr>
          <w:t>https://www.ncsc.gov.uk/guidance/security-design-principles-digital-services-main</w:t>
        </w:r>
      </w:hyperlink>
      <w:r w:rsidRPr="00024F2F">
        <w:t>;</w:t>
      </w:r>
    </w:p>
    <w:p w14:paraId="4D44F69E" w14:textId="77777777" w:rsidR="00F67E9E" w:rsidRPr="00024F2F" w:rsidRDefault="00F67E9E" w:rsidP="00F67E9E">
      <w:pPr>
        <w:pStyle w:val="AppendixText3"/>
        <w:tabs>
          <w:tab w:val="clear" w:pos="1800"/>
        </w:tabs>
        <w:ind w:left="1440" w:hanging="720"/>
      </w:pPr>
      <w:r w:rsidRPr="00024F2F">
        <w:t xml:space="preserve">the NCSC </w:t>
      </w:r>
      <w:r>
        <w:t>“</w:t>
      </w:r>
      <w:r w:rsidRPr="00024F2F">
        <w:t>Bulk Data Principles</w:t>
      </w:r>
      <w:r>
        <w:t>”</w:t>
      </w:r>
      <w:r w:rsidRPr="00024F2F">
        <w:t xml:space="preserve">, a copy of which can be found at </w:t>
      </w:r>
      <w:hyperlink r:id="rId49" w:history="1">
        <w:r w:rsidRPr="00C7229A">
          <w:rPr>
            <w:rStyle w:val="Hyperlink"/>
            <w:rFonts w:cs="Arial"/>
          </w:rPr>
          <w:t>https://www.ncsc.gov.uk/guidance/protecting-bulk-personal-data-main</w:t>
        </w:r>
      </w:hyperlink>
      <w:r w:rsidRPr="00024F2F">
        <w:t>; and</w:t>
      </w:r>
    </w:p>
    <w:p w14:paraId="69B5DA4C" w14:textId="77777777" w:rsidR="00F67E9E" w:rsidRPr="00024F2F" w:rsidRDefault="00F67E9E" w:rsidP="00F67E9E">
      <w:pPr>
        <w:pStyle w:val="AppendixText3"/>
        <w:tabs>
          <w:tab w:val="clear" w:pos="1800"/>
        </w:tabs>
        <w:ind w:left="1440" w:hanging="720"/>
      </w:pPr>
      <w:r w:rsidRPr="00024F2F">
        <w:t xml:space="preserve">the NSCS </w:t>
      </w:r>
      <w:r>
        <w:t>“</w:t>
      </w:r>
      <w:r w:rsidRPr="00024F2F">
        <w:t>Cloud Security Principles</w:t>
      </w:r>
      <w:r>
        <w:t>”</w:t>
      </w:r>
      <w:r w:rsidRPr="00024F2F">
        <w:t xml:space="preserve">, a copy of which can be found at: </w:t>
      </w:r>
      <w:hyperlink r:id="rId50" w:history="1">
        <w:r w:rsidRPr="00C7229A">
          <w:rPr>
            <w:rStyle w:val="Hyperlink"/>
            <w:rFonts w:cs="Arial"/>
          </w:rPr>
          <w:t>https://www.ncsc.gov.uk/guidance/implementing-cloud-security-principles</w:t>
        </w:r>
      </w:hyperlink>
      <w:r>
        <w:t xml:space="preserve"> </w:t>
      </w:r>
      <w:r w:rsidRPr="00024F2F">
        <w:t>and which are summarised below:</w:t>
      </w:r>
    </w:p>
    <w:p w14:paraId="008479B8" w14:textId="77777777" w:rsidR="00F67E9E" w:rsidRPr="00024F2F" w:rsidRDefault="00F67E9E" w:rsidP="00F67E9E">
      <w:pPr>
        <w:pStyle w:val="Numbered111a"/>
        <w:tabs>
          <w:tab w:val="clear" w:pos="2520"/>
          <w:tab w:val="num" w:pos="2160"/>
        </w:tabs>
        <w:ind w:left="2160"/>
      </w:pPr>
      <w:r>
        <w:t>“</w:t>
      </w:r>
      <w:r w:rsidRPr="00024F2F">
        <w:t>Cloud Security Principle 1: data in transit protection</w:t>
      </w:r>
      <w:r>
        <w:t>”</w:t>
      </w:r>
      <w:r w:rsidRPr="00024F2F">
        <w:t xml:space="preserve"> which, amongst other matters, requires that user data transiting networks should be adequately protected against tampering and eavesdropping;</w:t>
      </w:r>
    </w:p>
    <w:p w14:paraId="753E2EBB" w14:textId="77777777" w:rsidR="00F67E9E" w:rsidRPr="00024F2F" w:rsidRDefault="00F67E9E" w:rsidP="00F67E9E">
      <w:pPr>
        <w:pStyle w:val="Numbered111a"/>
        <w:tabs>
          <w:tab w:val="clear" w:pos="2520"/>
          <w:tab w:val="num" w:pos="2160"/>
        </w:tabs>
        <w:ind w:left="2160"/>
      </w:pPr>
      <w:r>
        <w:t>“</w:t>
      </w:r>
      <w:r w:rsidRPr="00024F2F">
        <w:t>Cloud Security Principle 2: asset protection and resilience</w:t>
      </w:r>
      <w:r>
        <w:t>”</w:t>
      </w:r>
      <w:r w:rsidRPr="00024F2F">
        <w:t xml:space="preserve"> which, amongst other matters, requires that user data, and the assets storing or processing it, should be protected against physical tampering, loss, damage or seizure;</w:t>
      </w:r>
    </w:p>
    <w:p w14:paraId="6D93A030" w14:textId="77777777" w:rsidR="00F67E9E" w:rsidRPr="00024F2F" w:rsidRDefault="00F67E9E" w:rsidP="00F67E9E">
      <w:pPr>
        <w:pStyle w:val="Numbered111a"/>
        <w:tabs>
          <w:tab w:val="clear" w:pos="2520"/>
          <w:tab w:val="num" w:pos="2160"/>
        </w:tabs>
        <w:ind w:left="2160"/>
      </w:pPr>
      <w:r>
        <w:t>“</w:t>
      </w:r>
      <w:r w:rsidRPr="00024F2F">
        <w:t>Cloud Security Principle 3: separation between users</w:t>
      </w:r>
      <w:r>
        <w:t>”</w:t>
      </w:r>
      <w:r w:rsidRPr="00024F2F">
        <w:t xml:space="preserve"> which, amongst other matters, requires that a malicious or compromised user of the service should not be able to affect the service or data of another;</w:t>
      </w:r>
    </w:p>
    <w:p w14:paraId="5375382A" w14:textId="77777777" w:rsidR="00F67E9E" w:rsidRPr="00024F2F" w:rsidRDefault="00F67E9E" w:rsidP="00F67E9E">
      <w:pPr>
        <w:pStyle w:val="Numbered111a"/>
        <w:tabs>
          <w:tab w:val="clear" w:pos="2520"/>
          <w:tab w:val="num" w:pos="2160"/>
        </w:tabs>
        <w:ind w:left="2160"/>
      </w:pPr>
      <w:r>
        <w:t>“</w:t>
      </w:r>
      <w:r w:rsidRPr="00024F2F">
        <w:t>Cloud Security Principle 4: governance framework</w:t>
      </w:r>
      <w:r>
        <w:t>”</w:t>
      </w:r>
      <w:r w:rsidRPr="00024F2F">
        <w:t xml:space="preserve"> which, amongst other matters, requires that the Supplier should have a security governance framework which coordinates and directs its management of the Services and information within it;</w:t>
      </w:r>
    </w:p>
    <w:p w14:paraId="52F87E4B" w14:textId="77777777" w:rsidR="00F67E9E" w:rsidRPr="00024F2F" w:rsidRDefault="00F67E9E" w:rsidP="00F67E9E">
      <w:pPr>
        <w:pStyle w:val="Numbered111a"/>
        <w:tabs>
          <w:tab w:val="clear" w:pos="2520"/>
          <w:tab w:val="num" w:pos="2160"/>
        </w:tabs>
        <w:ind w:left="2160"/>
      </w:pPr>
      <w:r>
        <w:t>“</w:t>
      </w:r>
      <w:r w:rsidRPr="00024F2F">
        <w:t>Cloud Security Principle 5: operational security</w:t>
      </w:r>
      <w:r>
        <w:t>”</w:t>
      </w:r>
      <w:r w:rsidRPr="00024F2F">
        <w:t xml:space="preserve"> which, amongst other matters, requires that the Services need to be operated and managed securely in order to impede, detect or prevent a Breach of Security;</w:t>
      </w:r>
    </w:p>
    <w:p w14:paraId="2211F7B0" w14:textId="77777777" w:rsidR="00F67E9E" w:rsidRPr="00024F2F" w:rsidRDefault="00F67E9E" w:rsidP="00F67E9E">
      <w:pPr>
        <w:pStyle w:val="Numbered111a"/>
        <w:tabs>
          <w:tab w:val="clear" w:pos="2520"/>
          <w:tab w:val="num" w:pos="2160"/>
        </w:tabs>
        <w:ind w:left="2160"/>
      </w:pPr>
      <w:r>
        <w:t>“</w:t>
      </w:r>
      <w:r w:rsidRPr="00024F2F">
        <w:t>Cloud Security Principle 6: personnel security</w:t>
      </w:r>
      <w:r>
        <w:t>”</w:t>
      </w:r>
      <w:r w:rsidRPr="00024F2F">
        <w:t xml:space="preserve"> which, amongst other matters, requires that where Supplier Personnel have access to Authority Data and/or the Authority System that those personnel be subject to appropriate security screening and regular security training;</w:t>
      </w:r>
    </w:p>
    <w:p w14:paraId="2657D8C1" w14:textId="77777777" w:rsidR="00F67E9E" w:rsidRPr="00024F2F" w:rsidRDefault="00F67E9E" w:rsidP="00F67E9E">
      <w:pPr>
        <w:pStyle w:val="Numbered111a"/>
        <w:tabs>
          <w:tab w:val="clear" w:pos="2520"/>
          <w:tab w:val="num" w:pos="2160"/>
        </w:tabs>
        <w:ind w:left="2160"/>
      </w:pPr>
      <w:r>
        <w:t>“</w:t>
      </w:r>
      <w:r w:rsidRPr="00024F2F">
        <w:t>Cloud Security Principle 7: secure development</w:t>
      </w:r>
      <w:r>
        <w:t>”</w:t>
      </w:r>
      <w:r w:rsidRPr="00024F2F">
        <w:t xml:space="preserve"> which, amongst other matters, requires that the Services be designed and developed to identify and mitigate threats to their security;</w:t>
      </w:r>
    </w:p>
    <w:p w14:paraId="13233856" w14:textId="77777777" w:rsidR="00F67E9E" w:rsidRPr="00024F2F" w:rsidRDefault="00F67E9E" w:rsidP="00F67E9E">
      <w:pPr>
        <w:pStyle w:val="Numbered111a"/>
        <w:tabs>
          <w:tab w:val="clear" w:pos="2520"/>
          <w:tab w:val="num" w:pos="2160"/>
        </w:tabs>
        <w:ind w:left="2160"/>
      </w:pPr>
      <w:r>
        <w:t>“</w:t>
      </w:r>
      <w:r w:rsidRPr="00024F2F">
        <w:t>Cloud Security Principle 8: supply chain security</w:t>
      </w:r>
      <w:r>
        <w:t>”</w:t>
      </w:r>
      <w:r w:rsidRPr="00024F2F">
        <w:t xml:space="preserve"> which, amongst other matters, requires the Supplier to ensure that appropriate security controls are in place with its Sub-contractors and other suppliers;</w:t>
      </w:r>
    </w:p>
    <w:p w14:paraId="4934F503" w14:textId="77777777" w:rsidR="00F67E9E" w:rsidRPr="00024F2F" w:rsidRDefault="00F67E9E" w:rsidP="00F67E9E">
      <w:pPr>
        <w:pStyle w:val="Numbered111a"/>
        <w:tabs>
          <w:tab w:val="clear" w:pos="2520"/>
          <w:tab w:val="num" w:pos="2160"/>
        </w:tabs>
        <w:ind w:left="2160"/>
      </w:pPr>
      <w:r>
        <w:t>“</w:t>
      </w:r>
      <w:r w:rsidRPr="00024F2F">
        <w:t>Cloud Security Principle 9: secure user management</w:t>
      </w:r>
      <w:r>
        <w:t>”</w:t>
      </w:r>
      <w:r w:rsidRPr="00024F2F">
        <w:t xml:space="preserve"> which, amongst other matters, requires the Supplier to make the tools available for the Authority to securely manage the Authority</w:t>
      </w:r>
      <w:r>
        <w:t>’</w:t>
      </w:r>
      <w:r w:rsidRPr="00024F2F">
        <w:t>s use of the Service;</w:t>
      </w:r>
    </w:p>
    <w:p w14:paraId="0FA84FA8" w14:textId="77777777" w:rsidR="00F67E9E" w:rsidRPr="00024F2F" w:rsidRDefault="00F67E9E" w:rsidP="00F67E9E">
      <w:pPr>
        <w:pStyle w:val="Numbered111a"/>
        <w:tabs>
          <w:tab w:val="clear" w:pos="2520"/>
          <w:tab w:val="num" w:pos="2160"/>
        </w:tabs>
        <w:ind w:left="2160"/>
      </w:pPr>
      <w:r>
        <w:t>“</w:t>
      </w:r>
      <w:r w:rsidRPr="00024F2F">
        <w:t>Cloud Security Principle 10: identity and authentication</w:t>
      </w:r>
      <w:r>
        <w:t>”</w:t>
      </w:r>
      <w:r w:rsidRPr="00024F2F">
        <w:t xml:space="preserve"> which, amongst other matters, requires the Supplier to implement appropriate controls in order to ensure that access to Service interfaces is constrained to authenticated and authorised individuals;</w:t>
      </w:r>
    </w:p>
    <w:p w14:paraId="47049228" w14:textId="77777777" w:rsidR="00F67E9E" w:rsidRPr="00024F2F" w:rsidRDefault="00F67E9E" w:rsidP="00F67E9E">
      <w:pPr>
        <w:pStyle w:val="Numbered111a"/>
        <w:tabs>
          <w:tab w:val="clear" w:pos="2520"/>
          <w:tab w:val="num" w:pos="2160"/>
        </w:tabs>
        <w:ind w:left="2160"/>
      </w:pPr>
      <w:r>
        <w:t>“</w:t>
      </w:r>
      <w:r w:rsidRPr="00024F2F">
        <w:t>Cloud Security Principle 11: external interface protection</w:t>
      </w:r>
      <w:r>
        <w:t>”</w:t>
      </w:r>
      <w:r w:rsidRPr="00024F2F">
        <w:t xml:space="preserve"> which, amongst other matters, requires that all external or less trusted interfaces with the Services should be identified and appropriately defended;</w:t>
      </w:r>
    </w:p>
    <w:p w14:paraId="1567F63B" w14:textId="77777777" w:rsidR="00F67E9E" w:rsidRPr="00024F2F" w:rsidRDefault="00F67E9E" w:rsidP="00F67E9E">
      <w:pPr>
        <w:pStyle w:val="Numbered111a"/>
        <w:tabs>
          <w:tab w:val="clear" w:pos="2520"/>
          <w:tab w:val="num" w:pos="2160"/>
        </w:tabs>
        <w:ind w:left="2160"/>
      </w:pPr>
      <w:r>
        <w:t>“</w:t>
      </w:r>
      <w:r w:rsidRPr="00024F2F">
        <w:t>Cloud Security Principle 12: secure service administration</w:t>
      </w:r>
      <w:r>
        <w:t>”</w:t>
      </w:r>
      <w:r w:rsidRPr="00024F2F">
        <w:t xml:space="preserve"> which, amongst other matters, requires that any ICT system which is used for administration of a cloud service will have highly privileged access to that service;</w:t>
      </w:r>
    </w:p>
    <w:p w14:paraId="505DE5E9" w14:textId="77777777" w:rsidR="00F67E9E" w:rsidRPr="00024F2F" w:rsidRDefault="00F67E9E" w:rsidP="00F67E9E">
      <w:pPr>
        <w:pStyle w:val="Numbered111a"/>
        <w:tabs>
          <w:tab w:val="clear" w:pos="2520"/>
          <w:tab w:val="num" w:pos="2160"/>
        </w:tabs>
        <w:ind w:left="2160"/>
      </w:pPr>
      <w:r>
        <w:t>“</w:t>
      </w:r>
      <w:r w:rsidRPr="00024F2F">
        <w:t>Cloud Security Principle 13: audit information for users</w:t>
      </w:r>
      <w:r>
        <w:t>”</w:t>
      </w:r>
      <w:r w:rsidRPr="00024F2F">
        <w:t xml:space="preserve"> which, amongst other matters, requires the Supplier to be able to provide the Authority with the audit records it needs to monitor access to the Service and the Authority Data held by the Supplier and/or its Sub-contractors; and</w:t>
      </w:r>
    </w:p>
    <w:p w14:paraId="3D4A097D" w14:textId="77777777" w:rsidR="00F67E9E" w:rsidRDefault="00F67E9E" w:rsidP="00F67E9E">
      <w:pPr>
        <w:pStyle w:val="Numbered111a"/>
        <w:tabs>
          <w:tab w:val="clear" w:pos="2520"/>
          <w:tab w:val="num" w:pos="2160"/>
        </w:tabs>
        <w:ind w:left="2160"/>
      </w:pPr>
      <w:r>
        <w:t>“</w:t>
      </w:r>
      <w:r w:rsidRPr="00024F2F">
        <w:t>Cloud Security Principle 14: secure use of the service</w:t>
      </w:r>
      <w:r>
        <w:t>”</w:t>
      </w:r>
      <w:r w:rsidRPr="00024F2F">
        <w:t xml:space="preserve"> which, amongst other matters, requires the Supplier to educate Supplier Personnel on the safe and secure use of the Information Management System.</w:t>
      </w:r>
    </w:p>
    <w:p w14:paraId="5C5AE530" w14:textId="77777777" w:rsidR="00F67E9E" w:rsidRDefault="00F67E9E" w:rsidP="00F67E9E"/>
    <w:p w14:paraId="2617480B" w14:textId="77777777" w:rsidR="00F67E9E" w:rsidRDefault="00F67E9E" w:rsidP="00F67E9E">
      <w:pPr>
        <w:pStyle w:val="Heading2"/>
        <w:pageBreakBefore/>
      </w:pPr>
      <w:bookmarkStart w:id="566" w:name="_Ref_ContractCompanion_9kb9Ur5FB"/>
      <w:bookmarkStart w:id="567" w:name="_Ref_ContractCompanion_9kb9Ur5FD"/>
      <w:bookmarkStart w:id="568" w:name="_Ref_ContractCompanion_9kb9Ur5FF"/>
      <w:bookmarkStart w:id="569" w:name="_Toc141711911"/>
      <w:r w:rsidRPr="00024F2F">
        <w:t xml:space="preserve">Annex </w:t>
      </w:r>
      <w:bookmarkStart w:id="570" w:name="ANNEX2_SCHEDULE5"/>
      <w:bookmarkStart w:id="571" w:name="ANNEX2_PARTA_SCHEDULE5"/>
      <w:r w:rsidRPr="00024F2F">
        <w:t>2</w:t>
      </w:r>
      <w:bookmarkEnd w:id="570"/>
      <w:bookmarkEnd w:id="571"/>
      <w:r w:rsidRPr="00024F2F">
        <w:t xml:space="preserve">: Security Requirements </w:t>
      </w:r>
      <w:r>
        <w:t>f</w:t>
      </w:r>
      <w:r w:rsidRPr="00024F2F">
        <w:t>or Sub-Contractors</w:t>
      </w:r>
      <w:bookmarkEnd w:id="566"/>
      <w:bookmarkEnd w:id="567"/>
      <w:bookmarkEnd w:id="568"/>
      <w:bookmarkEnd w:id="569"/>
    </w:p>
    <w:p w14:paraId="66338D29" w14:textId="07538109" w:rsidR="00F67E9E" w:rsidRPr="00024F2F" w:rsidRDefault="00F67E9E" w:rsidP="00F67E9E">
      <w:pPr>
        <w:pStyle w:val="AppendixText1"/>
        <w:numPr>
          <w:ilvl w:val="0"/>
          <w:numId w:val="49"/>
        </w:numPr>
      </w:pPr>
      <w:r w:rsidRPr="00024F2F">
        <w:t>Application of Annex</w:t>
      </w:r>
      <w:r>
        <w:t xml:space="preserve"> </w:t>
      </w:r>
      <w:r>
        <w:fldChar w:fldCharType="begin"/>
      </w:r>
      <w:r>
        <w:instrText xml:space="preserve"> REF ANNEX2_PARTA_SCHEDULE5 \h </w:instrText>
      </w:r>
      <w:r>
        <w:fldChar w:fldCharType="separate"/>
      </w:r>
      <w:r w:rsidR="00302D39" w:rsidRPr="00024F2F">
        <w:t>2</w:t>
      </w:r>
      <w:r>
        <w:fldChar w:fldCharType="end"/>
      </w:r>
    </w:p>
    <w:p w14:paraId="62BB3C74" w14:textId="6A9E437B" w:rsidR="00F67E9E" w:rsidRPr="00024F2F" w:rsidRDefault="00F67E9E" w:rsidP="00F67E9E">
      <w:pPr>
        <w:pStyle w:val="AppendixText2"/>
        <w:tabs>
          <w:tab w:val="num" w:pos="720"/>
        </w:tabs>
      </w:pPr>
      <w:r w:rsidRPr="00024F2F">
        <w:t>This Annex</w:t>
      </w:r>
      <w:r>
        <w:t> </w:t>
      </w:r>
      <w:r>
        <w:fldChar w:fldCharType="begin"/>
      </w:r>
      <w:r>
        <w:instrText xml:space="preserve"> REF ANNEX2_PARTA_SCHEDULE5 \h </w:instrText>
      </w:r>
      <w:r>
        <w:fldChar w:fldCharType="separate"/>
      </w:r>
      <w:r w:rsidR="00302D39" w:rsidRPr="00024F2F">
        <w:t>2</w:t>
      </w:r>
      <w:r>
        <w:fldChar w:fldCharType="end"/>
      </w:r>
      <w:r w:rsidRPr="00024F2F">
        <w:t xml:space="preserve"> applies to all Sub-contractors that Process Authority Data.</w:t>
      </w:r>
    </w:p>
    <w:p w14:paraId="440B10D2" w14:textId="77777777" w:rsidR="00F67E9E" w:rsidRPr="00024F2F" w:rsidRDefault="00F67E9E" w:rsidP="00F67E9E">
      <w:pPr>
        <w:pStyle w:val="AppendixText2"/>
        <w:tabs>
          <w:tab w:val="num" w:pos="720"/>
        </w:tabs>
      </w:pPr>
      <w:r w:rsidRPr="00024F2F">
        <w:t>The Supplier must:</w:t>
      </w:r>
    </w:p>
    <w:p w14:paraId="77912A98" w14:textId="47F6DD88" w:rsidR="00F67E9E" w:rsidRPr="00024F2F" w:rsidRDefault="00F67E9E" w:rsidP="00F67E9E">
      <w:pPr>
        <w:pStyle w:val="AppendixText3"/>
        <w:tabs>
          <w:tab w:val="clear" w:pos="1800"/>
          <w:tab w:val="num" w:pos="1440"/>
        </w:tabs>
        <w:ind w:left="1440" w:hanging="720"/>
      </w:pPr>
      <w:r w:rsidRPr="00024F2F">
        <w:t>ensure that those Sub-contractors comply with the provisions of this Annex</w:t>
      </w:r>
      <w:r>
        <w:t> </w:t>
      </w:r>
      <w:r>
        <w:fldChar w:fldCharType="begin"/>
      </w:r>
      <w:r>
        <w:instrText xml:space="preserve"> REF ANNEX2_PARTA_SCHEDULE5 \h </w:instrText>
      </w:r>
      <w:r>
        <w:fldChar w:fldCharType="separate"/>
      </w:r>
      <w:r w:rsidR="00302D39" w:rsidRPr="00024F2F">
        <w:t>2</w:t>
      </w:r>
      <w:r>
        <w:fldChar w:fldCharType="end"/>
      </w:r>
      <w:r w:rsidRPr="00024F2F">
        <w:t>;</w:t>
      </w:r>
    </w:p>
    <w:p w14:paraId="171BEF0D" w14:textId="77777777" w:rsidR="00F67E9E" w:rsidRPr="00024F2F" w:rsidRDefault="00F67E9E" w:rsidP="00F67E9E">
      <w:pPr>
        <w:pStyle w:val="AppendixText3"/>
        <w:tabs>
          <w:tab w:val="clear" w:pos="1800"/>
          <w:tab w:val="num" w:pos="1440"/>
        </w:tabs>
        <w:ind w:left="1440" w:hanging="720"/>
      </w:pPr>
      <w:r w:rsidRPr="00024F2F">
        <w:t>keep sufficient records to demonstrate that compliance to the Authority; and</w:t>
      </w:r>
    </w:p>
    <w:p w14:paraId="25AE7381" w14:textId="77777777" w:rsidR="00F67E9E" w:rsidRPr="00024F2F" w:rsidRDefault="00F67E9E" w:rsidP="00F67E9E">
      <w:pPr>
        <w:pStyle w:val="AppendixText3"/>
        <w:tabs>
          <w:tab w:val="clear" w:pos="1800"/>
          <w:tab w:val="num" w:pos="1440"/>
        </w:tabs>
        <w:ind w:left="1440" w:hanging="720"/>
      </w:pPr>
      <w:r w:rsidRPr="00024F2F">
        <w:t>ensure that its Implementation Plan includes Deliverable Items, Milestones and Milestone Dates that relate to the design, implementation and management of any systems used by Sub-contractors to Process Authority Data.</w:t>
      </w:r>
    </w:p>
    <w:p w14:paraId="3091F507" w14:textId="77777777" w:rsidR="00F67E9E" w:rsidRPr="00024F2F" w:rsidRDefault="00F67E9E" w:rsidP="00F67E9E">
      <w:pPr>
        <w:pStyle w:val="AppendixText1"/>
      </w:pPr>
      <w:r w:rsidRPr="00024F2F">
        <w:t>Designing and managing secure solutions</w:t>
      </w:r>
    </w:p>
    <w:p w14:paraId="6A71ED39" w14:textId="77777777" w:rsidR="00F67E9E" w:rsidRPr="00024F2F" w:rsidRDefault="00F67E9E" w:rsidP="00F67E9E">
      <w:pPr>
        <w:pStyle w:val="AppendixText2"/>
        <w:tabs>
          <w:tab w:val="num" w:pos="720"/>
        </w:tabs>
      </w:pPr>
      <w:r w:rsidRPr="00024F2F">
        <w:t>The Sub-contractor shall implement their solution(s) to mitigate the security risks in accordance with the NCSC</w:t>
      </w:r>
      <w:r>
        <w:t>’</w:t>
      </w:r>
      <w:r w:rsidRPr="00024F2F">
        <w:t xml:space="preserve">s Cyber Security Design Principles </w:t>
      </w:r>
      <w:hyperlink r:id="rId51" w:history="1">
        <w:r w:rsidRPr="002E7013">
          <w:rPr>
            <w:rStyle w:val="Hyperlink"/>
            <w:rFonts w:cs="Arial"/>
          </w:rPr>
          <w:t>https://www.ncsc.gov.uk/collection/cyber-security-design-principles</w:t>
        </w:r>
      </w:hyperlink>
      <w:r w:rsidRPr="00024F2F">
        <w:t xml:space="preserve">. </w:t>
      </w:r>
    </w:p>
    <w:p w14:paraId="2FA6A230" w14:textId="77777777" w:rsidR="00F67E9E" w:rsidRPr="002E7013" w:rsidRDefault="00F67E9E" w:rsidP="00F67E9E">
      <w:pPr>
        <w:pStyle w:val="AppendixText2"/>
        <w:tabs>
          <w:tab w:val="num" w:pos="720"/>
        </w:tabs>
        <w:rPr>
          <w:rFonts w:cs="Arial"/>
        </w:rPr>
      </w:pPr>
      <w:r w:rsidRPr="002E7013">
        <w:rPr>
          <w:rFonts w:cs="Arial"/>
        </w:rPr>
        <w:t xml:space="preserve">The Sub-contractor must assess their systems against the NCSC Cloud Security Principles: </w:t>
      </w:r>
      <w:hyperlink r:id="rId52" w:history="1">
        <w:r w:rsidRPr="005870ED">
          <w:rPr>
            <w:rStyle w:val="Hyperlink"/>
          </w:rPr>
          <w:t>https://www.ncsc.gov.uk/collection/cloud-security?curPage=/collection/cloud-security/implementing-the-cloud-security-principles</w:t>
        </w:r>
      </w:hyperlink>
      <w:r w:rsidRPr="002E7013">
        <w:rPr>
          <w:rFonts w:cs="Arial"/>
        </w:rPr>
        <w:t xml:space="preserve"> at their own cost and expense to demonstrate that the people, process, technical and physical controls have been delivered in an effective way. The Sub-contractor must document that assessment and make that documentation available to the Authority on the Authority’s request.</w:t>
      </w:r>
    </w:p>
    <w:p w14:paraId="26A8D64B" w14:textId="77777777" w:rsidR="00F67E9E" w:rsidRPr="00024F2F" w:rsidRDefault="00F67E9E" w:rsidP="00F67E9E">
      <w:pPr>
        <w:pStyle w:val="AppendixText1"/>
      </w:pPr>
      <w:r w:rsidRPr="00024F2F">
        <w:t>Data Processing, Storage, Management and Destruction</w:t>
      </w:r>
    </w:p>
    <w:p w14:paraId="3631C055" w14:textId="77777777" w:rsidR="00F67E9E" w:rsidRPr="001B1EB0" w:rsidRDefault="00F67E9E" w:rsidP="00F67E9E">
      <w:pPr>
        <w:pStyle w:val="AppendixText2"/>
        <w:tabs>
          <w:tab w:val="num" w:pos="720"/>
        </w:tabs>
      </w:pPr>
      <w:bookmarkStart w:id="572" w:name="_Ref_ContractCompanion_9kb9Ur5FJ"/>
      <w:r w:rsidRPr="00024F2F">
        <w:t>The Sub-contractor must not Proc</w:t>
      </w:r>
      <w:r w:rsidRPr="001B1EB0">
        <w:t xml:space="preserve">ess any Authority Data outside the </w:t>
      </w:r>
      <w:r>
        <w:t>[</w:t>
      </w:r>
      <w:r w:rsidRPr="008B5F6C">
        <w:rPr>
          <w:highlight w:val="yellow"/>
        </w:rPr>
        <w:t>UK</w:t>
      </w:r>
      <w:r>
        <w:t>]</w:t>
      </w:r>
      <w:r w:rsidRPr="001B1EB0">
        <w:t xml:space="preserve">. The Authority may permit the </w:t>
      </w:r>
      <w:r w:rsidRPr="00024F2F">
        <w:t>Sub-contractor to</w:t>
      </w:r>
      <w:r w:rsidRPr="001B1EB0">
        <w:t xml:space="preserve"> Process Authority Data outside the </w:t>
      </w:r>
      <w:r>
        <w:t>[</w:t>
      </w:r>
      <w:r w:rsidRPr="008B5F6C">
        <w:rPr>
          <w:highlight w:val="yellow"/>
        </w:rPr>
        <w:t>UK</w:t>
      </w:r>
      <w:r>
        <w:t>]</w:t>
      </w:r>
      <w:r w:rsidRPr="001B1EB0">
        <w:t xml:space="preserve"> and may impose conditions on that permission, with which the Sub-</w:t>
      </w:r>
      <w:r w:rsidRPr="00024F2F">
        <w:t>contractor m</w:t>
      </w:r>
      <w:r w:rsidRPr="001B1EB0">
        <w:t>ust comply. Any permission must be in writing to be effective.</w:t>
      </w:r>
      <w:bookmarkEnd w:id="572"/>
    </w:p>
    <w:p w14:paraId="2DAC427D" w14:textId="77777777" w:rsidR="00F67E9E" w:rsidRPr="00024F2F" w:rsidRDefault="00F67E9E" w:rsidP="00F67E9E">
      <w:pPr>
        <w:pStyle w:val="AppendixText2"/>
        <w:tabs>
          <w:tab w:val="num" w:pos="720"/>
        </w:tabs>
      </w:pPr>
      <w:bookmarkStart w:id="573" w:name="_Hlk89716020"/>
      <w:r w:rsidRPr="00024F2F">
        <w:t>The Sub-contractor must</w:t>
      </w:r>
      <w:r>
        <w:t xml:space="preserve"> </w:t>
      </w:r>
      <w:r w:rsidRPr="00024F2F">
        <w:t>when requested to do so by the Authority:</w:t>
      </w:r>
    </w:p>
    <w:p w14:paraId="447F856F" w14:textId="77777777" w:rsidR="00F67E9E" w:rsidRPr="00024F2F" w:rsidRDefault="00F67E9E" w:rsidP="00F67E9E">
      <w:pPr>
        <w:pStyle w:val="AppendixText3"/>
        <w:tabs>
          <w:tab w:val="clear" w:pos="1800"/>
          <w:tab w:val="num" w:pos="1440"/>
        </w:tabs>
        <w:ind w:left="1440" w:hanging="720"/>
      </w:pPr>
      <w:r w:rsidRPr="00024F2F">
        <w:t xml:space="preserve">securely destroy Authority Data only on Sites which are included within the scope of an existing certification of compliance with ISO/IEC 27001 (at least ISO/IEC 27001:2013); </w:t>
      </w:r>
    </w:p>
    <w:p w14:paraId="6B2ECCDC" w14:textId="77777777" w:rsidR="00F67E9E" w:rsidRPr="00024F2F" w:rsidRDefault="00F67E9E" w:rsidP="00F67E9E">
      <w:pPr>
        <w:pStyle w:val="AppendixText3"/>
        <w:tabs>
          <w:tab w:val="clear" w:pos="1800"/>
          <w:tab w:val="num" w:pos="1440"/>
        </w:tabs>
        <w:ind w:left="1440" w:hanging="720"/>
      </w:pPr>
      <w:r w:rsidRPr="00024F2F">
        <w:t xml:space="preserve">satisfy the Authority that their data destruction/deletion practices comply with UK GDPR requirements and follows all relevant NCSC guidance; and </w:t>
      </w:r>
    </w:p>
    <w:p w14:paraId="7D761672" w14:textId="77777777" w:rsidR="00F67E9E" w:rsidRPr="00024F2F" w:rsidRDefault="00F67E9E" w:rsidP="00F67E9E">
      <w:pPr>
        <w:pStyle w:val="AppendixText3"/>
        <w:tabs>
          <w:tab w:val="clear" w:pos="1800"/>
          <w:tab w:val="num" w:pos="1440"/>
        </w:tabs>
        <w:ind w:left="1440" w:hanging="720"/>
      </w:pPr>
      <w:r w:rsidRPr="00024F2F">
        <w:t>maintain an asset register of all Authority supplied information, data and equipment to ensure Authority assets are returned and/or deleted.</w:t>
      </w:r>
    </w:p>
    <w:bookmarkEnd w:id="573"/>
    <w:p w14:paraId="3647FD70" w14:textId="77777777" w:rsidR="00F67E9E" w:rsidRPr="00024F2F" w:rsidRDefault="00F67E9E" w:rsidP="00F67E9E">
      <w:pPr>
        <w:pStyle w:val="AppendixText1"/>
      </w:pPr>
      <w:r w:rsidRPr="00024F2F">
        <w:t>Personnel Security</w:t>
      </w:r>
    </w:p>
    <w:p w14:paraId="02D28C6E" w14:textId="77777777" w:rsidR="00F67E9E" w:rsidRPr="00024F2F" w:rsidRDefault="00F67E9E" w:rsidP="00F67E9E">
      <w:pPr>
        <w:pStyle w:val="AppendixText2"/>
        <w:tabs>
          <w:tab w:val="num" w:pos="720"/>
        </w:tabs>
      </w:pPr>
      <w:r w:rsidRPr="00024F2F">
        <w:t>The Sub-contractor must perform appropriate checks on their staff before they may participate in the provision and or management of the Services. Those checks must include all pre-employment checks required by the HMG Baseline Personnel Security Standard including: verification of the individual</w:t>
      </w:r>
      <w:r>
        <w:t>’</w:t>
      </w:r>
      <w:r w:rsidRPr="00024F2F">
        <w:t>s identity; verification of the individual</w:t>
      </w:r>
      <w:r>
        <w:t>’</w:t>
      </w:r>
      <w:r w:rsidRPr="00024F2F">
        <w:t>s nationality and immigration status; verification of the individual</w:t>
      </w:r>
      <w:r>
        <w:t>’</w:t>
      </w:r>
      <w:r w:rsidRPr="00024F2F">
        <w:t>s employment history; and verification of the individual</w:t>
      </w:r>
      <w:r>
        <w:t>’</w:t>
      </w:r>
      <w:r w:rsidRPr="00024F2F">
        <w:t xml:space="preserve">s criminal record. The HMG Baseline Personnel Security Standard is at </w:t>
      </w:r>
      <w:hyperlink r:id="rId53" w:history="1">
        <w:r w:rsidRPr="009611CF">
          <w:rPr>
            <w:rStyle w:val="Hyperlink"/>
          </w:rPr>
          <w:t>https://www.gov.uk/government/publications/government-baseline-personnel-security-standard</w:t>
        </w:r>
      </w:hyperlink>
      <w:r w:rsidRPr="00024F2F">
        <w:t>.</w:t>
      </w:r>
    </w:p>
    <w:p w14:paraId="62620A29" w14:textId="77777777" w:rsidR="00F67E9E" w:rsidRPr="00024F2F" w:rsidRDefault="00F67E9E" w:rsidP="00F67E9E">
      <w:pPr>
        <w:pStyle w:val="AppendixText2"/>
        <w:tabs>
          <w:tab w:val="num" w:pos="720"/>
        </w:tabs>
      </w:pPr>
      <w:r w:rsidRPr="00024F2F">
        <w:t>The Sub-contractor must, if the Authority requires, at any time, ensure that one or more of the Sub-contractor</w:t>
      </w:r>
      <w:r>
        <w:t>’</w:t>
      </w:r>
      <w:r w:rsidRPr="00024F2F">
        <w:t>s staff obtains Security Check clearance in order to Process Authority Data containing Personal Data above certain volumes specified by the Authority, or containing Special Category Personal Data.</w:t>
      </w:r>
    </w:p>
    <w:p w14:paraId="662CBB8F" w14:textId="77777777" w:rsidR="00F67E9E" w:rsidRPr="00024F2F" w:rsidRDefault="00F67E9E" w:rsidP="00F67E9E">
      <w:pPr>
        <w:pStyle w:val="AppendixText2"/>
        <w:tabs>
          <w:tab w:val="num" w:pos="720"/>
        </w:tabs>
      </w:pPr>
      <w:r w:rsidRPr="00024F2F">
        <w:t>Any Sub-contractor staff who will, when performing the Services, have access to a person under the age of 18 years must undergo Disclosure and Barring Service checks.</w:t>
      </w:r>
    </w:p>
    <w:p w14:paraId="5D2446AC" w14:textId="77777777" w:rsidR="00F67E9E" w:rsidRPr="00024F2F" w:rsidRDefault="00F67E9E" w:rsidP="00F67E9E">
      <w:pPr>
        <w:pStyle w:val="AppendixText1"/>
      </w:pPr>
      <w:r w:rsidRPr="00024F2F">
        <w:t>End User Devices</w:t>
      </w:r>
    </w:p>
    <w:p w14:paraId="53B819A3" w14:textId="77777777" w:rsidR="00F67E9E" w:rsidRPr="003250BB" w:rsidRDefault="00F67E9E" w:rsidP="00F67E9E">
      <w:pPr>
        <w:pStyle w:val="AppendixText2"/>
        <w:tabs>
          <w:tab w:val="num" w:pos="720"/>
        </w:tabs>
      </w:pPr>
      <w:r w:rsidRPr="00024F2F">
        <w:t>The Supplier must manage, and must ensure that all Sub-contractors manage, all end-user devices used by the Supplier on which Authority Data is Processed in accordance the following requirements:</w:t>
      </w:r>
    </w:p>
    <w:p w14:paraId="58BC644B" w14:textId="77777777" w:rsidR="00F67E9E" w:rsidRPr="003250BB" w:rsidRDefault="00F67E9E" w:rsidP="00F67E9E">
      <w:pPr>
        <w:pStyle w:val="AppendixText3"/>
        <w:tabs>
          <w:tab w:val="clear" w:pos="1800"/>
          <w:tab w:val="num" w:pos="1440"/>
        </w:tabs>
        <w:ind w:left="1440" w:hanging="720"/>
      </w:pPr>
      <w:r w:rsidRPr="00024F2F">
        <w:t>the operating system and any applications that Process or have access to Authority Data must be in current support by the vendor, or the relevant community in the case of Open Source operating systems or applications;</w:t>
      </w:r>
    </w:p>
    <w:p w14:paraId="4E608888" w14:textId="77777777" w:rsidR="00F67E9E" w:rsidRPr="003250BB" w:rsidRDefault="00F67E9E" w:rsidP="00F67E9E">
      <w:pPr>
        <w:pStyle w:val="AppendixText3"/>
        <w:tabs>
          <w:tab w:val="clear" w:pos="1800"/>
          <w:tab w:val="num" w:pos="1440"/>
        </w:tabs>
        <w:ind w:left="1440" w:hanging="720"/>
      </w:pPr>
      <w:r w:rsidRPr="00024F2F">
        <w:t>users must authenticate before gaining access;</w:t>
      </w:r>
    </w:p>
    <w:p w14:paraId="6862A9D6" w14:textId="77777777" w:rsidR="00F67E9E" w:rsidRPr="003250BB" w:rsidRDefault="00F67E9E" w:rsidP="00F67E9E">
      <w:pPr>
        <w:pStyle w:val="AppendixText3"/>
        <w:tabs>
          <w:tab w:val="clear" w:pos="1800"/>
          <w:tab w:val="num" w:pos="1440"/>
        </w:tabs>
        <w:ind w:left="1440" w:hanging="720"/>
      </w:pPr>
      <w:r w:rsidRPr="00024F2F">
        <w:t>all Authority Data must be encrypted using an encryption tool agreed to by the Authority;</w:t>
      </w:r>
    </w:p>
    <w:p w14:paraId="2C1A6E2E" w14:textId="77777777" w:rsidR="00F67E9E" w:rsidRPr="003250BB" w:rsidRDefault="00F67E9E" w:rsidP="00F67E9E">
      <w:pPr>
        <w:pStyle w:val="AppendixText3"/>
        <w:tabs>
          <w:tab w:val="clear" w:pos="1800"/>
          <w:tab w:val="num" w:pos="1440"/>
        </w:tabs>
        <w:ind w:left="1440" w:hanging="720"/>
      </w:pPr>
      <w:r w:rsidRPr="00024F2F">
        <w:t>the end-user device must lock and require any user to re-authenticate after a period of time that is proportionate to the risk environment, during which the end-user device is inactive;</w:t>
      </w:r>
    </w:p>
    <w:p w14:paraId="0D01A2B8" w14:textId="77777777" w:rsidR="00F67E9E" w:rsidRPr="003250BB" w:rsidRDefault="00F67E9E" w:rsidP="00F67E9E">
      <w:pPr>
        <w:pStyle w:val="AppendixText3"/>
        <w:tabs>
          <w:tab w:val="clear" w:pos="1800"/>
          <w:tab w:val="num" w:pos="1440"/>
        </w:tabs>
        <w:ind w:left="1440" w:hanging="720"/>
      </w:pPr>
      <w:r w:rsidRPr="00024F2F">
        <w:t>the end-user device must be managed in a way that allows for the application of technical policies and controls over applications that have access to Authority Data;</w:t>
      </w:r>
    </w:p>
    <w:p w14:paraId="12CC35AD" w14:textId="400CF607" w:rsidR="00F67E9E" w:rsidRPr="003250BB" w:rsidRDefault="00F67E9E" w:rsidP="00F67E9E">
      <w:pPr>
        <w:pStyle w:val="AppendixText3"/>
        <w:tabs>
          <w:tab w:val="clear" w:pos="1800"/>
          <w:tab w:val="num" w:pos="1440"/>
        </w:tabs>
        <w:ind w:left="1440" w:hanging="720"/>
      </w:pPr>
      <w:r w:rsidRPr="00024F2F">
        <w:t>the Suppl</w:t>
      </w:r>
      <w:r w:rsidR="00A10006">
        <w:t>i</w:t>
      </w:r>
      <w:r w:rsidRPr="00024F2F">
        <w:t>er or Sub-contractor, as applicable, can, without physical access to the end-user device, remove or make inaccessible all Authority Data on the device and prevent any user or group of users from accessing the device;</w:t>
      </w:r>
    </w:p>
    <w:p w14:paraId="3F33F69A" w14:textId="77777777" w:rsidR="00F67E9E" w:rsidRPr="003250BB" w:rsidRDefault="00F67E9E" w:rsidP="00F67E9E">
      <w:pPr>
        <w:pStyle w:val="AppendixText3"/>
        <w:tabs>
          <w:tab w:val="clear" w:pos="1800"/>
          <w:tab w:val="num" w:pos="1440"/>
        </w:tabs>
        <w:ind w:left="1440" w:hanging="720"/>
      </w:pPr>
      <w:r w:rsidRPr="00024F2F">
        <w:t xml:space="preserve">all end-user devices are within in the scope of any current Cyber Essentials Plus certificate held by the Supplier, or any ISO/IEC 27001 </w:t>
      </w:r>
      <w:r w:rsidRPr="00973CD9">
        <w:t>(at least ISO/IEC 27001:2013)</w:t>
      </w:r>
      <w:r w:rsidRPr="00024F2F">
        <w:t xml:space="preserve"> certification issued by a UKAS-approved certification body, where the scope of that certification includes the Services.</w:t>
      </w:r>
    </w:p>
    <w:p w14:paraId="47885A18" w14:textId="77777777" w:rsidR="00F67E9E" w:rsidRPr="003250BB" w:rsidRDefault="00F67E9E" w:rsidP="00F67E9E">
      <w:pPr>
        <w:pStyle w:val="AppendixText2"/>
        <w:tabs>
          <w:tab w:val="num" w:pos="720"/>
        </w:tabs>
      </w:pPr>
      <w:r w:rsidRPr="00024F2F">
        <w:t>The Supplier must comply, and ensure that all Sub-contractors comply, with the recommendations in NCSC Device Guidance, as updated, amended or replaced from time to time, as if those recommendations were incorporated as specific obligations under this Agreement.</w:t>
      </w:r>
    </w:p>
    <w:p w14:paraId="54F536FD" w14:textId="3BDA5177" w:rsidR="00F67E9E" w:rsidRPr="00024F2F" w:rsidRDefault="00F67E9E" w:rsidP="00F67E9E">
      <w:pPr>
        <w:pStyle w:val="AppendixText2"/>
        <w:tabs>
          <w:tab w:val="num" w:pos="720"/>
        </w:tabs>
      </w:pPr>
      <w:r w:rsidRPr="00024F2F">
        <w:t xml:space="preserve">Where there any conflict between the requirements of this </w:t>
      </w:r>
      <w:r>
        <w:rPr>
          <w:rFonts w:cs="Arial"/>
        </w:rPr>
        <w:fldChar w:fldCharType="begin"/>
      </w:r>
      <w:r>
        <w:rPr>
          <w:rFonts w:cs="Arial"/>
        </w:rPr>
        <w:instrText xml:space="preserve"> REF Schedule5 \h </w:instrText>
      </w:r>
      <w:r>
        <w:rPr>
          <w:rFonts w:cs="Arial"/>
        </w:rPr>
      </w:r>
      <w:r>
        <w:rPr>
          <w:rFonts w:cs="Arial"/>
        </w:rPr>
        <w:fldChar w:fldCharType="separate"/>
      </w:r>
      <w:r w:rsidR="00302D39" w:rsidRPr="005D0525">
        <w:t>Schedule</w:t>
      </w:r>
      <w:r w:rsidR="00302D39">
        <w:t> </w:t>
      </w:r>
      <w:r w:rsidR="00302D39" w:rsidRPr="005D0525">
        <w:t>5</w:t>
      </w:r>
      <w:r>
        <w:rPr>
          <w:rFonts w:cs="Arial"/>
        </w:rPr>
        <w:fldChar w:fldCharType="end"/>
      </w:r>
      <w:r>
        <w:rPr>
          <w:rFonts w:cs="Arial"/>
        </w:rPr>
        <w:t xml:space="preserve"> (</w:t>
      </w:r>
      <w:r w:rsidRPr="00A22335">
        <w:rPr>
          <w:rFonts w:cs="Arial"/>
          <w:i/>
          <w:iCs/>
        </w:rPr>
        <w:fldChar w:fldCharType="begin"/>
      </w:r>
      <w:r w:rsidRPr="00A22335">
        <w:rPr>
          <w:rFonts w:cs="Arial"/>
          <w:i/>
          <w:iCs/>
        </w:rPr>
        <w:instrText xml:space="preserve"> REF Schedule5Heading \h </w:instrText>
      </w:r>
      <w:r>
        <w:rPr>
          <w:rFonts w:cs="Arial"/>
          <w:i/>
          <w:iCs/>
        </w:rPr>
        <w:instrText xml:space="preserve"> \* MERGEFORMAT </w:instrText>
      </w:r>
      <w:r w:rsidRPr="00A22335">
        <w:rPr>
          <w:rFonts w:cs="Arial"/>
          <w:i/>
          <w:iCs/>
        </w:rPr>
      </w:r>
      <w:r w:rsidRPr="00A22335">
        <w:rPr>
          <w:rFonts w:cs="Arial"/>
          <w:i/>
          <w:iCs/>
        </w:rPr>
        <w:fldChar w:fldCharType="separate"/>
      </w:r>
      <w:r w:rsidR="00302D39" w:rsidRPr="00302D39">
        <w:rPr>
          <w:i/>
          <w:iCs/>
        </w:rPr>
        <w:t>Security Management</w:t>
      </w:r>
      <w:r w:rsidRPr="00A22335">
        <w:rPr>
          <w:rFonts w:cs="Arial"/>
          <w:i/>
          <w:iCs/>
        </w:rPr>
        <w:fldChar w:fldCharType="end"/>
      </w:r>
      <w:r>
        <w:rPr>
          <w:rFonts w:cs="Arial"/>
        </w:rPr>
        <w:t>)</w:t>
      </w:r>
      <w:r w:rsidRPr="00024F2F">
        <w:t xml:space="preserve"> and the requirements of the NCSC Device Guidance, the requirements of this Schedule will take precedence.</w:t>
      </w:r>
    </w:p>
    <w:p w14:paraId="5E4B73CE" w14:textId="77777777" w:rsidR="00F67E9E" w:rsidRPr="00024F2F" w:rsidRDefault="00F67E9E" w:rsidP="00F67E9E">
      <w:pPr>
        <w:pStyle w:val="AppendixText1"/>
      </w:pPr>
      <w:r w:rsidRPr="00024F2F">
        <w:t>Encryption</w:t>
      </w:r>
    </w:p>
    <w:p w14:paraId="0FA69542" w14:textId="77777777" w:rsidR="00F67E9E" w:rsidRPr="00024F2F" w:rsidRDefault="00F67E9E" w:rsidP="00F67E9E">
      <w:pPr>
        <w:pStyle w:val="AppendixText2"/>
        <w:tabs>
          <w:tab w:val="num" w:pos="720"/>
        </w:tabs>
      </w:pPr>
      <w:r w:rsidRPr="00024F2F">
        <w:t>The Supplier must ensure, and must ensure that all Sub-contractors ensure, that Authority Data is encrypted:</w:t>
      </w:r>
    </w:p>
    <w:p w14:paraId="04B8BC47" w14:textId="77777777" w:rsidR="00F67E9E" w:rsidRPr="00024F2F" w:rsidRDefault="00F67E9E" w:rsidP="00F67E9E">
      <w:pPr>
        <w:pStyle w:val="AppendixText3"/>
        <w:tabs>
          <w:tab w:val="clear" w:pos="1800"/>
          <w:tab w:val="num" w:pos="1440"/>
        </w:tabs>
        <w:ind w:left="1440" w:hanging="720"/>
      </w:pPr>
      <w:r w:rsidRPr="00024F2F">
        <w:t>when stored at any time when no operation is being performed on it; and</w:t>
      </w:r>
    </w:p>
    <w:p w14:paraId="3E1BA538" w14:textId="77777777" w:rsidR="00F67E9E" w:rsidRPr="00024F2F" w:rsidRDefault="00F67E9E" w:rsidP="00F67E9E">
      <w:pPr>
        <w:pStyle w:val="AppendixText3"/>
        <w:tabs>
          <w:tab w:val="clear" w:pos="1800"/>
          <w:tab w:val="num" w:pos="1440"/>
        </w:tabs>
        <w:ind w:left="1440" w:hanging="720"/>
      </w:pPr>
      <w:r w:rsidRPr="00024F2F">
        <w:t>when transmitted.</w:t>
      </w:r>
    </w:p>
    <w:p w14:paraId="459E1C60" w14:textId="77777777" w:rsidR="00F67E9E" w:rsidRPr="00024F2F" w:rsidRDefault="00F67E9E" w:rsidP="00F67E9E">
      <w:pPr>
        <w:pStyle w:val="AppendixText2"/>
        <w:tabs>
          <w:tab w:val="num" w:pos="720"/>
        </w:tabs>
      </w:pPr>
      <w:r w:rsidRPr="00024F2F">
        <w:t>Where the Supplier, or a Sub-contractor, cannot encrypt Authority Data the Supplier must:</w:t>
      </w:r>
    </w:p>
    <w:p w14:paraId="5DB37035" w14:textId="77777777" w:rsidR="00F67E9E" w:rsidRPr="00024F2F" w:rsidRDefault="00F67E9E" w:rsidP="00F67E9E">
      <w:pPr>
        <w:pStyle w:val="AppendixText3"/>
        <w:tabs>
          <w:tab w:val="clear" w:pos="1800"/>
          <w:tab w:val="num" w:pos="1440"/>
        </w:tabs>
        <w:ind w:left="1440" w:hanging="720"/>
      </w:pPr>
      <w:r w:rsidRPr="00024F2F">
        <w:t>immediately inform the Authority of the subset or subsets of Authority Data it cannot encrypt and the circumstances in which and the reasons why it cannot do so;</w:t>
      </w:r>
    </w:p>
    <w:p w14:paraId="47E47938" w14:textId="77777777" w:rsidR="00F67E9E" w:rsidRPr="00024F2F" w:rsidRDefault="00F67E9E" w:rsidP="00F67E9E">
      <w:pPr>
        <w:pStyle w:val="AppendixText3"/>
        <w:tabs>
          <w:tab w:val="clear" w:pos="1800"/>
          <w:tab w:val="num" w:pos="1440"/>
        </w:tabs>
        <w:ind w:left="1440" w:hanging="720"/>
      </w:pPr>
      <w:r w:rsidRPr="00024F2F">
        <w:t>provide details of the protective measures the Supplier or Sub-contractor (as applicable) proposes to take to provide equivalent protection to the Authority as encryption; and</w:t>
      </w:r>
    </w:p>
    <w:p w14:paraId="230B3CA0" w14:textId="77777777" w:rsidR="00F67E9E" w:rsidRPr="00024F2F" w:rsidRDefault="00F67E9E" w:rsidP="00F67E9E">
      <w:pPr>
        <w:pStyle w:val="AppendixText3"/>
        <w:tabs>
          <w:tab w:val="clear" w:pos="1800"/>
          <w:tab w:val="num" w:pos="1440"/>
        </w:tabs>
        <w:ind w:left="1440" w:hanging="720"/>
      </w:pPr>
      <w:r w:rsidRPr="00024F2F">
        <w:t>provide the Authority with such information relating to the Authority Data concerned, the reasons why that Authority Data cannot be encrypted and the proposed protective measures as the Authority may require.</w:t>
      </w:r>
    </w:p>
    <w:p w14:paraId="01219375" w14:textId="77777777" w:rsidR="00F67E9E" w:rsidRPr="00024F2F" w:rsidRDefault="00F67E9E" w:rsidP="00F67E9E">
      <w:pPr>
        <w:pStyle w:val="AppendixText2"/>
        <w:tabs>
          <w:tab w:val="num" w:pos="720"/>
        </w:tabs>
      </w:pPr>
      <w:r w:rsidRPr="00024F2F">
        <w:t>The Authority, the Supplier and, where the Authority requires, any relevant Sub-contractor shall meet to agree appropriate protective measures for the unencrypted Authority Data.</w:t>
      </w:r>
    </w:p>
    <w:p w14:paraId="00228E01" w14:textId="77777777" w:rsidR="00F67E9E" w:rsidRPr="00024F2F" w:rsidRDefault="00F67E9E" w:rsidP="00F67E9E">
      <w:pPr>
        <w:pStyle w:val="AppendixText2"/>
        <w:tabs>
          <w:tab w:val="num" w:pos="720"/>
        </w:tabs>
      </w:pPr>
      <w:r w:rsidRPr="00024F2F">
        <w:t>Where the Authority and Supplier reach agreement, the Supplier must update the Security Management Plan to include:</w:t>
      </w:r>
    </w:p>
    <w:p w14:paraId="48AE6D11" w14:textId="77777777" w:rsidR="00F67E9E" w:rsidRPr="00024F2F" w:rsidRDefault="00F67E9E" w:rsidP="00F67E9E">
      <w:pPr>
        <w:pStyle w:val="AppendixText3"/>
        <w:tabs>
          <w:tab w:val="clear" w:pos="1800"/>
          <w:tab w:val="num" w:pos="1440"/>
        </w:tabs>
        <w:ind w:left="1440" w:hanging="720"/>
      </w:pPr>
      <w:r w:rsidRPr="00024F2F">
        <w:t>the subset or subsets of Authority Data not encrypted and the circumstances in which that will occur; and</w:t>
      </w:r>
    </w:p>
    <w:p w14:paraId="669B0D0F" w14:textId="77777777" w:rsidR="00F67E9E" w:rsidRPr="00024F2F" w:rsidRDefault="00F67E9E" w:rsidP="00F67E9E">
      <w:pPr>
        <w:pStyle w:val="AppendixText3"/>
        <w:tabs>
          <w:tab w:val="clear" w:pos="1800"/>
          <w:tab w:val="num" w:pos="1440"/>
        </w:tabs>
        <w:ind w:left="1440" w:hanging="720"/>
      </w:pPr>
      <w:r w:rsidRPr="00024F2F">
        <w:t>the protective measure that the Supplier and/or Sub-contractor will put in please in respect of the unencrypted Authority Data.</w:t>
      </w:r>
    </w:p>
    <w:p w14:paraId="6550F1C2" w14:textId="77777777" w:rsidR="00F67E9E" w:rsidRPr="001B1EB0" w:rsidRDefault="00F67E9E" w:rsidP="00F67E9E">
      <w:pPr>
        <w:pStyle w:val="AppendixText2"/>
        <w:tabs>
          <w:tab w:val="num" w:pos="720"/>
        </w:tabs>
      </w:pPr>
      <w:r w:rsidRPr="00024F2F">
        <w:t>Where the Authority and Supplier do not reach agreement within</w:t>
      </w:r>
      <w:r w:rsidRPr="0082514D">
        <w:t xml:space="preserve"> 40 Working Days of the date on which the Supplier first notified the Authority that it could not encrypt certain Authority Data, either party may refer the matter to </w:t>
      </w:r>
      <w:r w:rsidRPr="00E34031">
        <w:rPr>
          <w:highlight w:val="yellow"/>
        </w:rPr>
        <w:t>[</w:t>
      </w:r>
      <w:r w:rsidRPr="003843A3">
        <w:rPr>
          <w:highlight w:val="yellow"/>
        </w:rPr>
        <w:t>be determined in accordance with the Dispute Resolution Procedure</w:t>
      </w:r>
      <w:r w:rsidRPr="00E34031">
        <w:rPr>
          <w:highlight w:val="yellow"/>
        </w:rPr>
        <w:t>]</w:t>
      </w:r>
      <w:r w:rsidRPr="0082514D">
        <w:t>.</w:t>
      </w:r>
    </w:p>
    <w:p w14:paraId="6D577C3C" w14:textId="77777777" w:rsidR="00F67E9E" w:rsidRPr="001B1EB0" w:rsidRDefault="00F67E9E" w:rsidP="00F67E9E">
      <w:pPr>
        <w:pStyle w:val="AppendixText1"/>
      </w:pPr>
      <w:r w:rsidRPr="001B1EB0">
        <w:t>Patching and Vulnerability Scanning</w:t>
      </w:r>
    </w:p>
    <w:p w14:paraId="5046050E" w14:textId="77777777" w:rsidR="00F67E9E" w:rsidRPr="00024F2F" w:rsidRDefault="00F67E9E" w:rsidP="00F67E9E">
      <w:pPr>
        <w:pStyle w:val="AppendixText2"/>
        <w:tabs>
          <w:tab w:val="num" w:pos="720"/>
        </w:tabs>
      </w:pPr>
      <w:r w:rsidRPr="00024F2F">
        <w:t xml:space="preserve">The Sub-contractor must proactively monitor supplier vulnerability websites and ensure all necessary patches and upgrades are applied to maintain security, integrity and availability in accordance with the NCSC Cloud Security Principles. </w:t>
      </w:r>
    </w:p>
    <w:p w14:paraId="293CBC49" w14:textId="77777777" w:rsidR="00F67E9E" w:rsidRPr="00024F2F" w:rsidRDefault="00F67E9E" w:rsidP="00F67E9E">
      <w:pPr>
        <w:pStyle w:val="AppendixText1"/>
      </w:pPr>
      <w:r w:rsidRPr="00024F2F">
        <w:t>Third Party Sub-contractors</w:t>
      </w:r>
    </w:p>
    <w:p w14:paraId="1A0FF9F7" w14:textId="77777777" w:rsidR="00F67E9E" w:rsidRPr="00024F2F" w:rsidRDefault="00F67E9E" w:rsidP="00F67E9E">
      <w:pPr>
        <w:pStyle w:val="AppendixText2"/>
        <w:tabs>
          <w:tab w:val="num" w:pos="720"/>
        </w:tabs>
      </w:pPr>
      <w:r w:rsidRPr="00024F2F">
        <w:t>The Sub-contractor must not transmit or disseminate the Authority Data to any other person unless specifically authorised by the Authority. Such authorisation must be in writing to be effective and may be subject to conditions.</w:t>
      </w:r>
    </w:p>
    <w:p w14:paraId="71F52A1B" w14:textId="77777777" w:rsidR="00F67E9E" w:rsidRDefault="00F67E9E" w:rsidP="00F67E9E">
      <w:pPr>
        <w:pStyle w:val="AppendixText2"/>
        <w:tabs>
          <w:tab w:val="num" w:pos="720"/>
        </w:tabs>
      </w:pPr>
      <w:r w:rsidRPr="00024F2F">
        <w:t>The Sub-contractor must not, when performing any part of the Services, use any software to Process the Authority Data where the licence terms of that software purport to grant the licensor rights to Progress the Authority Data greater than those rights strictly necessary for the use of the software.</w:t>
      </w:r>
    </w:p>
    <w:p w14:paraId="655D428C" w14:textId="77777777" w:rsidR="00F67E9E" w:rsidRDefault="00F67E9E" w:rsidP="00F67E9E"/>
    <w:p w14:paraId="45CECEB3" w14:textId="76D97DE3" w:rsidR="00F67E9E" w:rsidRPr="00147F02" w:rsidRDefault="00F67E9E" w:rsidP="00F67E9E">
      <w:pPr>
        <w:pStyle w:val="Heading2"/>
        <w:pageBreakBefore/>
      </w:pPr>
      <w:bookmarkStart w:id="574" w:name="_Toc141711912"/>
      <w:bookmarkStart w:id="575" w:name="_Ref92205260"/>
      <w:r w:rsidRPr="00147F02">
        <w:t xml:space="preserve">Annex </w:t>
      </w:r>
      <w:bookmarkStart w:id="576" w:name="ANNEX3_SCHEDULE5"/>
      <w:bookmarkStart w:id="577" w:name="ANNEX3_PARTA_SCHEDULE5"/>
      <w:r w:rsidRPr="00147F02">
        <w:t>3</w:t>
      </w:r>
      <w:bookmarkEnd w:id="576"/>
      <w:bookmarkEnd w:id="577"/>
      <w:r w:rsidRPr="00147F02">
        <w:t xml:space="preserve">: Security Management Plan Template </w:t>
      </w:r>
      <w:r>
        <w:t>f</w:t>
      </w:r>
      <w:r w:rsidRPr="00147F02">
        <w:t xml:space="preserve">or </w:t>
      </w:r>
      <w:r>
        <w:fldChar w:fldCharType="begin"/>
      </w:r>
      <w:r>
        <w:instrText xml:space="preserve"> REF  Sch5PartA \h  \* MERGEFORMAT </w:instrText>
      </w:r>
      <w:r>
        <w:fldChar w:fldCharType="separate"/>
      </w:r>
      <w:r w:rsidR="00302D39" w:rsidRPr="00147F02">
        <w:t>Part A</w:t>
      </w:r>
      <w:r>
        <w:fldChar w:fldCharType="end"/>
      </w:r>
      <w:r w:rsidRPr="00147F02">
        <w:t xml:space="preserve"> </w:t>
      </w:r>
      <w:r>
        <w:t>a</w:t>
      </w:r>
      <w:r w:rsidRPr="00147F02">
        <w:t xml:space="preserve">nd </w:t>
      </w:r>
      <w:r w:rsidRPr="00147F02">
        <w:fldChar w:fldCharType="begin"/>
      </w:r>
      <w:r w:rsidRPr="00147F02">
        <w:instrText xml:space="preserve"> REF Sch5PartB \h  \* MERGEFORMAT </w:instrText>
      </w:r>
      <w:r w:rsidRPr="00147F02">
        <w:fldChar w:fldCharType="separate"/>
      </w:r>
      <w:r w:rsidR="00302D39" w:rsidRPr="004472FD">
        <w:t>Part</w:t>
      </w:r>
      <w:r w:rsidR="00302D39" w:rsidRPr="00024F2F">
        <w:t> B</w:t>
      </w:r>
      <w:bookmarkEnd w:id="574"/>
      <w:r w:rsidRPr="00147F02">
        <w:fldChar w:fldCharType="end"/>
      </w:r>
      <w:bookmarkEnd w:id="575"/>
    </w:p>
    <w:p w14:paraId="29DC7AB3" w14:textId="77777777" w:rsidR="00F67E9E" w:rsidRPr="001B1EB0" w:rsidRDefault="00F67E9E" w:rsidP="00F67E9E">
      <w:pPr>
        <w:pStyle w:val="StdBodyTextBold"/>
        <w:rPr>
          <w:rFonts w:cs="Arial"/>
        </w:rPr>
      </w:pPr>
      <w:r w:rsidRPr="001B1EB0">
        <w:rPr>
          <w:rFonts w:cs="Arial"/>
        </w:rPr>
        <w:t>Security Management Plan Template</w:t>
      </w:r>
    </w:p>
    <w:p w14:paraId="0A5BFE6C" w14:textId="77777777" w:rsidR="00F67E9E" w:rsidRPr="001B1EB0" w:rsidRDefault="00F67E9E" w:rsidP="00F67E9E">
      <w:pPr>
        <w:pStyle w:val="StdBodyTextBold"/>
        <w:rPr>
          <w:rFonts w:cs="Arial"/>
        </w:rPr>
      </w:pPr>
      <w:r w:rsidRPr="001B1EB0">
        <w:rPr>
          <w:rFonts w:cs="Arial"/>
          <w:highlight w:val="yellow"/>
        </w:rPr>
        <w:t>[Project/Service and Supplier Name]</w:t>
      </w:r>
    </w:p>
    <w:p w14:paraId="063C1D1A" w14:textId="77777777" w:rsidR="00F67E9E" w:rsidRPr="0082514D" w:rsidRDefault="00F67E9E" w:rsidP="00F67E9E">
      <w:pPr>
        <w:pStyle w:val="AppendixText1"/>
        <w:numPr>
          <w:ilvl w:val="0"/>
          <w:numId w:val="50"/>
        </w:numPr>
      </w:pPr>
      <w:r w:rsidRPr="0082514D">
        <w:t>Executive Summary</w:t>
      </w:r>
    </w:p>
    <w:p w14:paraId="4B3513D6" w14:textId="77777777" w:rsidR="00F67E9E" w:rsidRPr="00F97284" w:rsidRDefault="00F67E9E" w:rsidP="00F67E9E">
      <w:pPr>
        <w:pStyle w:val="StdBodyText1"/>
        <w:tabs>
          <w:tab w:val="num" w:pos="720"/>
        </w:tabs>
        <w:rPr>
          <w:rFonts w:cs="Arial"/>
          <w:iCs/>
        </w:rPr>
      </w:pPr>
      <w:r w:rsidRPr="00F97284">
        <w:rPr>
          <w:rFonts w:cs="Arial"/>
          <w:iCs/>
          <w:highlight w:val="yellow"/>
        </w:rPr>
        <w:t>[This section should contain a brief summary of the business context of the system, any key IA controls, the assurance work done, any off-shoring considerations and any significant residual risks that need acceptance.]</w:t>
      </w:r>
    </w:p>
    <w:p w14:paraId="4E46C4B8" w14:textId="77777777" w:rsidR="00F67E9E" w:rsidRPr="001B1EB0" w:rsidRDefault="00F67E9E" w:rsidP="00F67E9E">
      <w:pPr>
        <w:pStyle w:val="AppendixText1"/>
      </w:pPr>
      <w:r w:rsidRPr="001B1EB0">
        <w:t>System Description</w:t>
      </w:r>
    </w:p>
    <w:p w14:paraId="0BF5A7BB" w14:textId="77777777" w:rsidR="00F67E9E" w:rsidRPr="00AC3F91" w:rsidRDefault="00F67E9E" w:rsidP="00F67E9E">
      <w:pPr>
        <w:pStyle w:val="AppendixText2"/>
        <w:tabs>
          <w:tab w:val="num" w:pos="720"/>
        </w:tabs>
      </w:pPr>
      <w:r w:rsidRPr="00AC3F91">
        <w:t>Background</w:t>
      </w:r>
    </w:p>
    <w:p w14:paraId="6A305F16" w14:textId="77777777" w:rsidR="00F67E9E" w:rsidRPr="00F97284" w:rsidRDefault="00F67E9E" w:rsidP="00F67E9E">
      <w:pPr>
        <w:pStyle w:val="StdBodyText1"/>
        <w:tabs>
          <w:tab w:val="num" w:pos="720"/>
        </w:tabs>
        <w:rPr>
          <w:rFonts w:cs="Arial"/>
          <w:iCs/>
        </w:rPr>
      </w:pPr>
      <w:r w:rsidRPr="00F97284">
        <w:rPr>
          <w:rFonts w:cs="Arial"/>
          <w:iCs/>
          <w:highlight w:val="yellow"/>
        </w:rPr>
        <w:t>[A short description of the project/product/system. Describe its purpose, functionality, aim and scope.]</w:t>
      </w:r>
    </w:p>
    <w:p w14:paraId="5CBCCAFF" w14:textId="77777777" w:rsidR="00F67E9E" w:rsidRPr="00AC3F91" w:rsidRDefault="00F67E9E" w:rsidP="00F67E9E">
      <w:pPr>
        <w:pStyle w:val="AppendixText2"/>
        <w:tabs>
          <w:tab w:val="num" w:pos="720"/>
        </w:tabs>
      </w:pPr>
      <w:r w:rsidRPr="00AC3F91">
        <w:t>Organisational Ownership/Structure</w:t>
      </w:r>
    </w:p>
    <w:p w14:paraId="51C48A14" w14:textId="77777777" w:rsidR="00F67E9E" w:rsidRPr="00F97284" w:rsidRDefault="00F67E9E" w:rsidP="00F67E9E">
      <w:pPr>
        <w:pStyle w:val="StdBodyText1"/>
        <w:tabs>
          <w:tab w:val="num" w:pos="720"/>
        </w:tabs>
        <w:rPr>
          <w:rFonts w:cs="Arial"/>
          <w:iCs/>
        </w:rPr>
      </w:pPr>
      <w:r w:rsidRPr="00F97284">
        <w:rPr>
          <w:rFonts w:cs="Arial"/>
          <w:iCs/>
          <w:highlight w:val="yellow"/>
        </w:rPr>
        <w:t>[Who owns the system and operates the system and the organisational governance structure. This should include how any ongoing security management is integrated into the project governance e.g. how a Security Working Group reports to the project board.]</w:t>
      </w:r>
    </w:p>
    <w:p w14:paraId="7BF1FB40" w14:textId="77777777" w:rsidR="00F67E9E" w:rsidRPr="00AC3F91" w:rsidRDefault="00F67E9E" w:rsidP="00F67E9E">
      <w:pPr>
        <w:pStyle w:val="AppendixText2"/>
        <w:tabs>
          <w:tab w:val="num" w:pos="720"/>
        </w:tabs>
      </w:pPr>
      <w:r w:rsidRPr="00AC3F91">
        <w:t>Information assets and flows</w:t>
      </w:r>
    </w:p>
    <w:p w14:paraId="0D40CC3A" w14:textId="77777777" w:rsidR="00F67E9E" w:rsidRPr="00F97284" w:rsidRDefault="00F67E9E" w:rsidP="00F67E9E">
      <w:pPr>
        <w:pStyle w:val="StdBodyText1"/>
        <w:tabs>
          <w:tab w:val="num" w:pos="720"/>
        </w:tabs>
        <w:rPr>
          <w:rFonts w:cs="Arial"/>
          <w:iCs/>
        </w:rPr>
      </w:pPr>
      <w:r w:rsidRPr="00F97284">
        <w:rPr>
          <w:rFonts w:cs="Arial"/>
          <w:iCs/>
          <w:highlight w:val="yellow"/>
        </w:rPr>
        <w:t>[The information assets processed by the system which should include a simple high level diagram on one page. Include a list of the type and volumes of data that will be processed, managed and stored within the supplier system. If personal data, please include the fields used such as name, address, department DOB, NI number etc.[</w:t>
      </w:r>
    </w:p>
    <w:p w14:paraId="09E777DC" w14:textId="77777777" w:rsidR="00F67E9E" w:rsidRPr="00AC3F91" w:rsidRDefault="00F67E9E" w:rsidP="00F67E9E">
      <w:pPr>
        <w:pStyle w:val="AppendixText2"/>
        <w:tabs>
          <w:tab w:val="num" w:pos="720"/>
        </w:tabs>
      </w:pPr>
      <w:r w:rsidRPr="00AC3F91">
        <w:t xml:space="preserve">System Architecture </w:t>
      </w:r>
    </w:p>
    <w:p w14:paraId="0FEDDB89" w14:textId="77777777" w:rsidR="00F67E9E" w:rsidRPr="00F97284" w:rsidRDefault="00F67E9E" w:rsidP="00F67E9E">
      <w:pPr>
        <w:pStyle w:val="StdBodyText1"/>
        <w:tabs>
          <w:tab w:val="num" w:pos="720"/>
        </w:tabs>
        <w:rPr>
          <w:rFonts w:cs="Arial"/>
          <w:iCs/>
        </w:rPr>
      </w:pPr>
      <w:r w:rsidRPr="00F97284">
        <w:rPr>
          <w:rFonts w:cs="Arial"/>
          <w:iCs/>
          <w:highlight w:val="yellow"/>
        </w:rPr>
        <w:t>[A description of the physical system architecture, to include the system management. A diagram will be needed here]</w:t>
      </w:r>
    </w:p>
    <w:p w14:paraId="330BDB7B" w14:textId="77777777" w:rsidR="00F67E9E" w:rsidRPr="00AC3F91" w:rsidRDefault="00F67E9E" w:rsidP="00F67E9E">
      <w:pPr>
        <w:pStyle w:val="AppendixText2"/>
        <w:tabs>
          <w:tab w:val="num" w:pos="720"/>
        </w:tabs>
      </w:pPr>
      <w:r w:rsidRPr="00AC3F91">
        <w:t>Users</w:t>
      </w:r>
    </w:p>
    <w:p w14:paraId="68EFC6D0" w14:textId="77777777" w:rsidR="00F67E9E" w:rsidRPr="00F97284" w:rsidRDefault="00F67E9E" w:rsidP="00F67E9E">
      <w:pPr>
        <w:pStyle w:val="StdBodyText1"/>
        <w:tabs>
          <w:tab w:val="num" w:pos="720"/>
        </w:tabs>
        <w:rPr>
          <w:rFonts w:cs="Arial"/>
          <w:iCs/>
        </w:rPr>
      </w:pPr>
      <w:r>
        <w:rPr>
          <w:rFonts w:cs="Arial"/>
          <w:iCs/>
          <w:highlight w:val="yellow"/>
        </w:rPr>
        <w:t>[</w:t>
      </w:r>
      <w:r w:rsidRPr="00F97284">
        <w:rPr>
          <w:rFonts w:cs="Arial"/>
          <w:iCs/>
          <w:highlight w:val="yellow"/>
        </w:rPr>
        <w:t>A brief description of the system users, to include HMG users as well as any service provider users and system managers. If relevant, security clearance level requirements should be included.</w:t>
      </w:r>
      <w:r>
        <w:rPr>
          <w:rFonts w:cs="Arial"/>
          <w:iCs/>
        </w:rPr>
        <w:t>]</w:t>
      </w:r>
    </w:p>
    <w:p w14:paraId="51AAFE31" w14:textId="77777777" w:rsidR="00F67E9E" w:rsidRPr="00AC3F91" w:rsidRDefault="00F67E9E" w:rsidP="00F67E9E">
      <w:pPr>
        <w:pStyle w:val="AppendixText2"/>
        <w:tabs>
          <w:tab w:val="num" w:pos="720"/>
        </w:tabs>
      </w:pPr>
      <w:r w:rsidRPr="00AC3F91">
        <w:t>Locations</w:t>
      </w:r>
    </w:p>
    <w:p w14:paraId="27E67578" w14:textId="77777777" w:rsidR="00F67E9E" w:rsidRPr="00F97284" w:rsidRDefault="00F67E9E" w:rsidP="00F67E9E">
      <w:pPr>
        <w:pStyle w:val="StdBodyText1"/>
        <w:tabs>
          <w:tab w:val="num" w:pos="720"/>
        </w:tabs>
        <w:rPr>
          <w:rFonts w:cs="Arial"/>
          <w:iCs/>
          <w:highlight w:val="yellow"/>
        </w:rPr>
      </w:pPr>
      <w:r>
        <w:rPr>
          <w:rFonts w:cs="Arial"/>
          <w:iCs/>
          <w:highlight w:val="yellow"/>
        </w:rPr>
        <w:t>[</w:t>
      </w:r>
      <w:r w:rsidRPr="00F97284">
        <w:rPr>
          <w:rFonts w:cs="Arial"/>
          <w:iCs/>
          <w:highlight w:val="yellow"/>
        </w:rPr>
        <w:t>Where the data assets are stored and managed from. If any locations hold independent security certifications (e.g. ISO27001 (at least ISO/IEC 27001:2013) these should be noted. Any off-shoring considerations should be detailed.</w:t>
      </w:r>
      <w:r>
        <w:rPr>
          <w:rFonts w:cs="Arial"/>
          <w:iCs/>
          <w:highlight w:val="yellow"/>
        </w:rPr>
        <w:t>]</w:t>
      </w:r>
    </w:p>
    <w:p w14:paraId="4F354400" w14:textId="77777777" w:rsidR="00F67E9E" w:rsidRPr="00AC3F91" w:rsidRDefault="00F67E9E" w:rsidP="00F67E9E">
      <w:pPr>
        <w:pStyle w:val="AppendixText2"/>
        <w:tabs>
          <w:tab w:val="num" w:pos="720"/>
        </w:tabs>
      </w:pPr>
      <w:r w:rsidRPr="00AC3F91">
        <w:t>Test and Development Systems</w:t>
      </w:r>
    </w:p>
    <w:p w14:paraId="497E91CF" w14:textId="77777777" w:rsidR="00F67E9E" w:rsidRPr="00F97284" w:rsidRDefault="00F67E9E" w:rsidP="00F67E9E">
      <w:pPr>
        <w:pStyle w:val="StdBodyText1"/>
        <w:tabs>
          <w:tab w:val="num" w:pos="720"/>
        </w:tabs>
        <w:rPr>
          <w:rFonts w:cs="Arial"/>
          <w:iCs/>
          <w:highlight w:val="yellow"/>
        </w:rPr>
      </w:pPr>
      <w:r>
        <w:rPr>
          <w:rFonts w:cs="Arial"/>
          <w:iCs/>
          <w:highlight w:val="yellow"/>
        </w:rPr>
        <w:t>[</w:t>
      </w:r>
      <w:r w:rsidRPr="00F97284">
        <w:rPr>
          <w:rFonts w:cs="Arial"/>
          <w:iCs/>
          <w:highlight w:val="yellow"/>
        </w:rPr>
        <w:t>Include information about any test and development systems, their locations and whether they contain live system data.</w:t>
      </w:r>
      <w:r>
        <w:rPr>
          <w:rFonts w:cs="Arial"/>
          <w:iCs/>
          <w:highlight w:val="yellow"/>
        </w:rPr>
        <w:t>]</w:t>
      </w:r>
    </w:p>
    <w:p w14:paraId="17AC9BED" w14:textId="77777777" w:rsidR="00F67E9E" w:rsidRPr="00AC3F91" w:rsidRDefault="00F67E9E" w:rsidP="00F67E9E">
      <w:pPr>
        <w:pStyle w:val="AppendixText2"/>
        <w:tabs>
          <w:tab w:val="num" w:pos="720"/>
        </w:tabs>
      </w:pPr>
      <w:r w:rsidRPr="00AC3F91">
        <w:t>Key roles and responsibilities</w:t>
      </w:r>
    </w:p>
    <w:p w14:paraId="53E691E3" w14:textId="77777777" w:rsidR="00F67E9E" w:rsidRPr="00F97284" w:rsidRDefault="00F67E9E" w:rsidP="00F67E9E">
      <w:pPr>
        <w:pStyle w:val="StdBodyText1"/>
        <w:tabs>
          <w:tab w:val="num" w:pos="720"/>
        </w:tabs>
        <w:rPr>
          <w:rFonts w:cs="Arial"/>
          <w:iCs/>
          <w:highlight w:val="yellow"/>
        </w:rPr>
      </w:pPr>
      <w:r>
        <w:rPr>
          <w:rFonts w:cs="Arial"/>
          <w:iCs/>
          <w:highlight w:val="yellow"/>
        </w:rPr>
        <w:t>[</w:t>
      </w:r>
      <w:r w:rsidRPr="00F97284">
        <w:rPr>
          <w:rFonts w:cs="Arial"/>
          <w:iCs/>
          <w:highlight w:val="yellow"/>
        </w:rPr>
        <w:t>A brief description of the lead security roles such as that of the SIRO, IAO, Security manager, Accreditor</w:t>
      </w:r>
      <w:r>
        <w:rPr>
          <w:rFonts w:cs="Arial"/>
          <w:iCs/>
          <w:highlight w:val="yellow"/>
        </w:rPr>
        <w:t>]</w:t>
      </w:r>
    </w:p>
    <w:p w14:paraId="4F77938C" w14:textId="77777777" w:rsidR="00F67E9E" w:rsidRPr="001B1EB0" w:rsidRDefault="00F67E9E" w:rsidP="00F67E9E">
      <w:pPr>
        <w:pStyle w:val="AppendixText1"/>
      </w:pPr>
      <w:r w:rsidRPr="001B1EB0">
        <w:t>Risk Assessment</w:t>
      </w:r>
    </w:p>
    <w:p w14:paraId="396432C8" w14:textId="77777777" w:rsidR="00F67E9E" w:rsidRPr="00AC3F91" w:rsidRDefault="00F67E9E" w:rsidP="00F67E9E">
      <w:pPr>
        <w:pStyle w:val="AppendixText2"/>
        <w:tabs>
          <w:tab w:val="num" w:pos="720"/>
        </w:tabs>
      </w:pPr>
      <w:r w:rsidRPr="00AC3F91">
        <w:t>Accreditation/Assurance Scope</w:t>
      </w:r>
    </w:p>
    <w:p w14:paraId="53FD0317" w14:textId="77777777" w:rsidR="00F67E9E" w:rsidRPr="00F97284" w:rsidRDefault="00F67E9E" w:rsidP="00F67E9E">
      <w:pPr>
        <w:pStyle w:val="StdBodyText1"/>
        <w:tabs>
          <w:tab w:val="num" w:pos="720"/>
        </w:tabs>
        <w:rPr>
          <w:rFonts w:cs="Arial"/>
          <w:iCs/>
          <w:highlight w:val="yellow"/>
        </w:rPr>
      </w:pPr>
      <w:r>
        <w:rPr>
          <w:rFonts w:cs="Arial"/>
          <w:iCs/>
          <w:highlight w:val="yellow"/>
        </w:rPr>
        <w:t>[</w:t>
      </w:r>
      <w:r w:rsidRPr="00F97284">
        <w:rPr>
          <w:rFonts w:cs="Arial"/>
          <w:iCs/>
          <w:highlight w:val="yellow"/>
        </w:rPr>
        <w:t>This section describes the scope of the Accreditation/Assurance for the system. The scope of the assurance assessment should be clearly indicated, with components of the architecture upon which reliance is placed but assurance will not be done clearly shown e.g. a cloud hosting service. A logical diagram should be used along with a brief description of the components.</w:t>
      </w:r>
      <w:r>
        <w:rPr>
          <w:rFonts w:cs="Arial"/>
          <w:iCs/>
          <w:highlight w:val="yellow"/>
        </w:rPr>
        <w:t>]</w:t>
      </w:r>
    </w:p>
    <w:p w14:paraId="2C6C5A6E" w14:textId="77777777" w:rsidR="00F67E9E" w:rsidRPr="00AC3F91" w:rsidRDefault="00F67E9E" w:rsidP="00F67E9E">
      <w:pPr>
        <w:pStyle w:val="AppendixText2"/>
        <w:tabs>
          <w:tab w:val="num" w:pos="720"/>
        </w:tabs>
      </w:pPr>
      <w:r w:rsidRPr="00AC3F91">
        <w:t>Risk appetite</w:t>
      </w:r>
    </w:p>
    <w:p w14:paraId="53D5F5F7" w14:textId="77777777" w:rsidR="00F67E9E" w:rsidRPr="00F97284" w:rsidRDefault="00F67E9E" w:rsidP="00F67E9E">
      <w:pPr>
        <w:pStyle w:val="StdBodyText1"/>
        <w:tabs>
          <w:tab w:val="num" w:pos="720"/>
        </w:tabs>
        <w:rPr>
          <w:rFonts w:cs="Arial"/>
          <w:iCs/>
          <w:highlight w:val="yellow"/>
        </w:rPr>
      </w:pPr>
      <w:r>
        <w:rPr>
          <w:rFonts w:cs="Arial"/>
          <w:iCs/>
          <w:highlight w:val="yellow"/>
        </w:rPr>
        <w:t>[</w:t>
      </w:r>
      <w:r w:rsidRPr="00F97284">
        <w:rPr>
          <w:rFonts w:cs="Arial"/>
          <w:iCs/>
          <w:highlight w:val="yellow"/>
        </w:rPr>
        <w:t>A risk appetite should be agreed with the SRO and included here.</w:t>
      </w:r>
      <w:r>
        <w:rPr>
          <w:rFonts w:cs="Arial"/>
          <w:iCs/>
          <w:highlight w:val="yellow"/>
        </w:rPr>
        <w:t>]</w:t>
      </w:r>
    </w:p>
    <w:p w14:paraId="5249F3EC" w14:textId="77777777" w:rsidR="00F67E9E" w:rsidRPr="00AC3F91" w:rsidRDefault="00F67E9E" w:rsidP="00F67E9E">
      <w:pPr>
        <w:pStyle w:val="AppendixText2"/>
        <w:tabs>
          <w:tab w:val="num" w:pos="720"/>
        </w:tabs>
      </w:pPr>
      <w:r w:rsidRPr="00AC3F91">
        <w:t>Business impact assessment</w:t>
      </w:r>
    </w:p>
    <w:p w14:paraId="7A1F93DA" w14:textId="77777777" w:rsidR="00F67E9E" w:rsidRPr="00F97284" w:rsidRDefault="00F67E9E" w:rsidP="00F67E9E">
      <w:pPr>
        <w:pStyle w:val="StdBodyText1"/>
        <w:tabs>
          <w:tab w:val="num" w:pos="720"/>
        </w:tabs>
        <w:rPr>
          <w:rFonts w:cs="Arial"/>
          <w:iCs/>
          <w:highlight w:val="yellow"/>
        </w:rPr>
      </w:pPr>
      <w:r>
        <w:rPr>
          <w:rFonts w:cs="Arial"/>
          <w:iCs/>
          <w:highlight w:val="yellow"/>
        </w:rPr>
        <w:t>[</w:t>
      </w:r>
      <w:r w:rsidRPr="00F97284">
        <w:rPr>
          <w:rFonts w:cs="Arial"/>
          <w:iCs/>
          <w:highlight w:val="yellow"/>
        </w:rPr>
        <w:t>A description of the information assets and the impact of their loss or corruption (e.g. large amounts of Official Sensitive personal data the loss of which would be severely damaging to individuals, embarrassing to HMG, and make HMG liable to ICO investigations) in business terms should be included. This section should cover the impact on loss of confidentiality, integrity and availability of the assets. The format of this assessment may be dependent on the risk assessment method chosen.</w:t>
      </w:r>
      <w:r>
        <w:rPr>
          <w:rFonts w:cs="Arial"/>
          <w:iCs/>
          <w:highlight w:val="yellow"/>
        </w:rPr>
        <w:t>]</w:t>
      </w:r>
    </w:p>
    <w:p w14:paraId="2877FA59" w14:textId="77777777" w:rsidR="00F67E9E" w:rsidRPr="00AC3F91" w:rsidRDefault="00F67E9E" w:rsidP="00F67E9E">
      <w:pPr>
        <w:pStyle w:val="AppendixText2"/>
        <w:tabs>
          <w:tab w:val="num" w:pos="720"/>
        </w:tabs>
      </w:pPr>
      <w:r w:rsidRPr="00AC3F91">
        <w:t>Risk assessment</w:t>
      </w:r>
    </w:p>
    <w:p w14:paraId="1DCBEE64" w14:textId="4292AEFB" w:rsidR="00F67E9E" w:rsidRPr="00F97284" w:rsidRDefault="00F67E9E" w:rsidP="00F67E9E">
      <w:pPr>
        <w:pStyle w:val="StdBodyText1"/>
        <w:tabs>
          <w:tab w:val="num" w:pos="720"/>
        </w:tabs>
        <w:rPr>
          <w:rFonts w:cs="Arial"/>
          <w:iCs/>
          <w:highlight w:val="yellow"/>
        </w:rPr>
      </w:pPr>
      <w:r>
        <w:rPr>
          <w:rFonts w:cs="Arial"/>
          <w:iCs/>
          <w:highlight w:val="yellow"/>
        </w:rPr>
        <w:t>[</w:t>
      </w:r>
      <w:r w:rsidRPr="00F97284">
        <w:rPr>
          <w:rFonts w:cs="Arial"/>
          <w:iCs/>
          <w:highlight w:val="yellow"/>
        </w:rPr>
        <w:t xml:space="preserve">The content of this section will depend on the risk assessment methodology chosen and for </w:t>
      </w:r>
      <w:r w:rsidRPr="00F97284">
        <w:rPr>
          <w:rFonts w:cs="Arial"/>
          <w:iCs/>
          <w:highlight w:val="yellow"/>
        </w:rPr>
        <w:fldChar w:fldCharType="begin"/>
      </w:r>
      <w:r w:rsidRPr="00F97284">
        <w:rPr>
          <w:rFonts w:cs="Arial"/>
          <w:iCs/>
          <w:highlight w:val="yellow"/>
        </w:rPr>
        <w:instrText xml:space="preserve"> REF Sch5PartB \h  \* MERGEFORMAT </w:instrText>
      </w:r>
      <w:r w:rsidRPr="00F97284">
        <w:rPr>
          <w:rFonts w:cs="Arial"/>
          <w:iCs/>
          <w:highlight w:val="yellow"/>
        </w:rPr>
      </w:r>
      <w:r w:rsidRPr="00F97284">
        <w:rPr>
          <w:rFonts w:cs="Arial"/>
          <w:iCs/>
          <w:highlight w:val="yellow"/>
        </w:rPr>
        <w:fldChar w:fldCharType="separate"/>
      </w:r>
      <w:r w:rsidR="00302D39" w:rsidRPr="00302D39">
        <w:rPr>
          <w:rFonts w:cs="Arial"/>
          <w:iCs/>
          <w:highlight w:val="yellow"/>
        </w:rPr>
        <w:t>Part B</w:t>
      </w:r>
      <w:r w:rsidRPr="00F97284">
        <w:rPr>
          <w:rFonts w:cs="Arial"/>
          <w:iCs/>
          <w:highlight w:val="yellow"/>
        </w:rPr>
        <w:fldChar w:fldCharType="end"/>
      </w:r>
      <w:r w:rsidRPr="00F97284">
        <w:rPr>
          <w:rFonts w:cs="Arial"/>
          <w:iCs/>
          <w:highlight w:val="yellow"/>
        </w:rPr>
        <w:t xml:space="preserve"> should contain the output of the formal information risk assessment in a prioritised list using business language. Experts on the system and business process should have been involved in the risk assessment to ensure the formal risk methodology used has not missed out any risks. The example table below should be used as the format to identify the risks and document the controls used to mitigate those risks.</w:t>
      </w:r>
      <w:r>
        <w:rPr>
          <w:rFonts w:cs="Arial"/>
          <w:iCs/>
          <w:highlight w:val="yellow"/>
        </w:rPr>
        <w:t>]</w:t>
      </w:r>
    </w:p>
    <w:tbl>
      <w:tblPr>
        <w:tblStyle w:val="MSATable-header"/>
        <w:tblW w:w="10221" w:type="dxa"/>
        <w:tblLook w:val="04A0" w:firstRow="1" w:lastRow="0" w:firstColumn="1" w:lastColumn="0" w:noHBand="0" w:noVBand="1"/>
      </w:tblPr>
      <w:tblGrid>
        <w:gridCol w:w="850"/>
        <w:gridCol w:w="1701"/>
        <w:gridCol w:w="1417"/>
        <w:gridCol w:w="2268"/>
        <w:gridCol w:w="2835"/>
        <w:gridCol w:w="1150"/>
      </w:tblGrid>
      <w:tr w:rsidR="00F67E9E" w:rsidRPr="001B1EB0" w14:paraId="7A2D9B50" w14:textId="77777777" w:rsidTr="007F74AA">
        <w:trPr>
          <w:cnfStyle w:val="100000000000" w:firstRow="1" w:lastRow="0" w:firstColumn="0" w:lastColumn="0" w:oddVBand="0" w:evenVBand="0" w:oddHBand="0" w:evenHBand="0" w:firstRowFirstColumn="0" w:firstRowLastColumn="0" w:lastRowFirstColumn="0" w:lastRowLastColumn="0"/>
          <w:tblHeader/>
        </w:trPr>
        <w:tc>
          <w:tcPr>
            <w:tcW w:w="850" w:type="dxa"/>
            <w:vAlign w:val="bottom"/>
          </w:tcPr>
          <w:p w14:paraId="338545CD" w14:textId="77777777" w:rsidR="00F67E9E" w:rsidRPr="001B1EB0" w:rsidRDefault="00F67E9E" w:rsidP="007F74AA">
            <w:pPr>
              <w:pStyle w:val="StdBodyText"/>
              <w:spacing w:before="0" w:after="0"/>
              <w:rPr>
                <w:rFonts w:cs="Arial"/>
                <w:i/>
              </w:rPr>
            </w:pPr>
            <w:r w:rsidRPr="001B1EB0">
              <w:rPr>
                <w:rFonts w:cs="Arial"/>
              </w:rPr>
              <w:t>Risk ID</w:t>
            </w:r>
          </w:p>
        </w:tc>
        <w:tc>
          <w:tcPr>
            <w:tcW w:w="1701" w:type="dxa"/>
            <w:vAlign w:val="bottom"/>
          </w:tcPr>
          <w:p w14:paraId="1AD38A4A" w14:textId="77777777" w:rsidR="00F67E9E" w:rsidRPr="001B1EB0" w:rsidRDefault="00F67E9E" w:rsidP="007F74AA">
            <w:pPr>
              <w:pStyle w:val="StdBodyText"/>
              <w:spacing w:before="0" w:after="0"/>
              <w:rPr>
                <w:rFonts w:cs="Arial"/>
                <w:i/>
              </w:rPr>
            </w:pPr>
            <w:r w:rsidRPr="001B1EB0">
              <w:rPr>
                <w:rFonts w:cs="Arial"/>
              </w:rPr>
              <w:t>Inherent risk</w:t>
            </w:r>
          </w:p>
        </w:tc>
        <w:tc>
          <w:tcPr>
            <w:tcW w:w="1417" w:type="dxa"/>
            <w:vAlign w:val="bottom"/>
          </w:tcPr>
          <w:p w14:paraId="406CF0EE" w14:textId="77777777" w:rsidR="00F67E9E" w:rsidRPr="001B1EB0" w:rsidRDefault="00F67E9E" w:rsidP="007F74AA">
            <w:pPr>
              <w:pStyle w:val="StdBodyText"/>
              <w:spacing w:before="0" w:after="0"/>
              <w:rPr>
                <w:rFonts w:cs="Arial"/>
                <w:i/>
              </w:rPr>
            </w:pPr>
            <w:r w:rsidRPr="001B1EB0">
              <w:rPr>
                <w:rFonts w:cs="Arial"/>
              </w:rPr>
              <w:t>Inherent risk level</w:t>
            </w:r>
          </w:p>
        </w:tc>
        <w:tc>
          <w:tcPr>
            <w:tcW w:w="2268" w:type="dxa"/>
            <w:vAlign w:val="bottom"/>
          </w:tcPr>
          <w:p w14:paraId="2E63AF35" w14:textId="77777777" w:rsidR="00F67E9E" w:rsidRPr="001B1EB0" w:rsidRDefault="00F67E9E" w:rsidP="007F74AA">
            <w:pPr>
              <w:pStyle w:val="StdBodyText"/>
              <w:spacing w:before="0" w:after="0"/>
              <w:rPr>
                <w:rFonts w:cs="Arial"/>
                <w:i/>
              </w:rPr>
            </w:pPr>
            <w:r w:rsidRPr="001B1EB0">
              <w:rPr>
                <w:rFonts w:cs="Arial"/>
              </w:rPr>
              <w:t>Vulnerability</w:t>
            </w:r>
          </w:p>
        </w:tc>
        <w:tc>
          <w:tcPr>
            <w:tcW w:w="2835" w:type="dxa"/>
            <w:vAlign w:val="bottom"/>
          </w:tcPr>
          <w:p w14:paraId="41454870" w14:textId="77777777" w:rsidR="00F67E9E" w:rsidRPr="001B1EB0" w:rsidRDefault="00F67E9E" w:rsidP="007F74AA">
            <w:pPr>
              <w:pStyle w:val="StdBodyText"/>
              <w:spacing w:before="0" w:after="0"/>
              <w:rPr>
                <w:rFonts w:cs="Arial"/>
                <w:i/>
              </w:rPr>
            </w:pPr>
            <w:r w:rsidRPr="001B1EB0">
              <w:rPr>
                <w:rFonts w:cs="Arial"/>
              </w:rPr>
              <w:t>Controls</w:t>
            </w:r>
          </w:p>
        </w:tc>
        <w:tc>
          <w:tcPr>
            <w:tcW w:w="1150" w:type="dxa"/>
            <w:vAlign w:val="bottom"/>
          </w:tcPr>
          <w:p w14:paraId="19F8D5C5" w14:textId="77777777" w:rsidR="00F67E9E" w:rsidRPr="001B1EB0" w:rsidRDefault="00F67E9E" w:rsidP="007F74AA">
            <w:pPr>
              <w:pStyle w:val="StdBodyText"/>
              <w:spacing w:before="0" w:after="0"/>
              <w:rPr>
                <w:rFonts w:cs="Arial"/>
                <w:i/>
              </w:rPr>
            </w:pPr>
            <w:r w:rsidRPr="001B1EB0">
              <w:rPr>
                <w:rFonts w:cs="Arial"/>
              </w:rPr>
              <w:t>Residual risk level</w:t>
            </w:r>
          </w:p>
        </w:tc>
      </w:tr>
      <w:tr w:rsidR="00F67E9E" w:rsidRPr="001B1EB0" w14:paraId="1A933179" w14:textId="77777777" w:rsidTr="007F74AA">
        <w:tc>
          <w:tcPr>
            <w:tcW w:w="850" w:type="dxa"/>
          </w:tcPr>
          <w:p w14:paraId="42AC4778" w14:textId="77777777" w:rsidR="00F67E9E" w:rsidRPr="001B1EB0" w:rsidRDefault="00F67E9E" w:rsidP="007F74AA">
            <w:pPr>
              <w:pStyle w:val="StdBodyText"/>
              <w:spacing w:before="0" w:after="0"/>
              <w:rPr>
                <w:rFonts w:cs="Arial"/>
                <w:i/>
              </w:rPr>
            </w:pPr>
            <w:r w:rsidRPr="001B1EB0">
              <w:rPr>
                <w:rFonts w:cs="Arial"/>
              </w:rPr>
              <w:t>R1</w:t>
            </w:r>
          </w:p>
        </w:tc>
        <w:tc>
          <w:tcPr>
            <w:tcW w:w="1701" w:type="dxa"/>
          </w:tcPr>
          <w:p w14:paraId="663EA6BA" w14:textId="77777777" w:rsidR="00F67E9E" w:rsidRPr="001B1EB0" w:rsidRDefault="00F67E9E" w:rsidP="007F74AA">
            <w:pPr>
              <w:pStyle w:val="StdBodyText"/>
              <w:spacing w:before="0" w:after="0"/>
              <w:rPr>
                <w:rFonts w:cs="Arial"/>
                <w:i/>
              </w:rPr>
            </w:pPr>
            <w:r w:rsidRPr="001B1EB0">
              <w:rPr>
                <w:rFonts w:cs="Arial"/>
              </w:rPr>
              <w:t>Internet attackers could hack the system.</w:t>
            </w:r>
          </w:p>
        </w:tc>
        <w:tc>
          <w:tcPr>
            <w:tcW w:w="1417" w:type="dxa"/>
          </w:tcPr>
          <w:p w14:paraId="0C8F0923" w14:textId="77777777" w:rsidR="00F67E9E" w:rsidRPr="001B1EB0" w:rsidRDefault="00F67E9E" w:rsidP="007F74AA">
            <w:pPr>
              <w:pStyle w:val="StdBodyText"/>
              <w:spacing w:before="0" w:after="0"/>
              <w:rPr>
                <w:rFonts w:cs="Arial"/>
                <w:i/>
              </w:rPr>
            </w:pPr>
            <w:r w:rsidRPr="001B1EB0">
              <w:rPr>
                <w:rFonts w:cs="Arial"/>
              </w:rPr>
              <w:t>Medium</w:t>
            </w:r>
          </w:p>
        </w:tc>
        <w:tc>
          <w:tcPr>
            <w:tcW w:w="2268" w:type="dxa"/>
          </w:tcPr>
          <w:p w14:paraId="665E35D7" w14:textId="77777777" w:rsidR="00F67E9E" w:rsidRPr="001B1EB0" w:rsidRDefault="00F67E9E" w:rsidP="007F74AA">
            <w:pPr>
              <w:pStyle w:val="StdBodyText"/>
              <w:spacing w:before="0" w:after="0"/>
              <w:rPr>
                <w:rFonts w:cs="Arial"/>
                <w:i/>
              </w:rPr>
            </w:pPr>
            <w:r w:rsidRPr="001B1EB0">
              <w:rPr>
                <w:rFonts w:cs="Arial"/>
              </w:rPr>
              <w:t>The service systems are exposed to the internet via the web portal.</w:t>
            </w:r>
          </w:p>
        </w:tc>
        <w:tc>
          <w:tcPr>
            <w:tcW w:w="2835" w:type="dxa"/>
          </w:tcPr>
          <w:p w14:paraId="474466CD" w14:textId="77777777" w:rsidR="00F67E9E" w:rsidRPr="001B1EB0" w:rsidRDefault="00F67E9E" w:rsidP="007F74AA">
            <w:pPr>
              <w:pStyle w:val="StdBodyText"/>
              <w:spacing w:before="0" w:after="120"/>
              <w:rPr>
                <w:rFonts w:cs="Arial"/>
              </w:rPr>
            </w:pPr>
            <w:r w:rsidRPr="001B1EB0">
              <w:rPr>
                <w:rFonts w:cs="Arial"/>
              </w:rPr>
              <w:t xml:space="preserve">C1: Internet-facing firewalls </w:t>
            </w:r>
          </w:p>
          <w:p w14:paraId="26289D51" w14:textId="77777777" w:rsidR="00F67E9E" w:rsidRPr="001B1EB0" w:rsidRDefault="00F67E9E" w:rsidP="007F74AA">
            <w:pPr>
              <w:pStyle w:val="StdBodyText"/>
              <w:spacing w:before="0" w:after="120"/>
              <w:rPr>
                <w:rFonts w:cs="Arial"/>
              </w:rPr>
            </w:pPr>
            <w:r w:rsidRPr="001B1EB0">
              <w:rPr>
                <w:rFonts w:cs="Arial"/>
              </w:rPr>
              <w:t>C2: Internet-facing IP whitelist</w:t>
            </w:r>
          </w:p>
          <w:p w14:paraId="7F27F3E7" w14:textId="77777777" w:rsidR="00F67E9E" w:rsidRPr="001B1EB0" w:rsidRDefault="00F67E9E" w:rsidP="007F74AA">
            <w:pPr>
              <w:pStyle w:val="StdBodyText"/>
              <w:spacing w:before="0" w:after="120"/>
              <w:rPr>
                <w:rFonts w:cs="Arial"/>
              </w:rPr>
            </w:pPr>
            <w:r w:rsidRPr="001B1EB0">
              <w:rPr>
                <w:rFonts w:cs="Arial"/>
              </w:rPr>
              <w:t>C3: System hardening</w:t>
            </w:r>
          </w:p>
          <w:p w14:paraId="3AC4F00F" w14:textId="77777777" w:rsidR="00F67E9E" w:rsidRPr="001B1EB0" w:rsidRDefault="00F67E9E" w:rsidP="007F74AA">
            <w:pPr>
              <w:pStyle w:val="StdBodyText"/>
              <w:spacing w:before="0" w:after="120"/>
              <w:rPr>
                <w:rFonts w:cs="Arial"/>
              </w:rPr>
            </w:pPr>
            <w:r w:rsidRPr="001B1EB0">
              <w:rPr>
                <w:rFonts w:cs="Arial"/>
              </w:rPr>
              <w:t>C4: Protective monitoring</w:t>
            </w:r>
          </w:p>
          <w:p w14:paraId="303A5521" w14:textId="77777777" w:rsidR="00F67E9E" w:rsidRPr="001B1EB0" w:rsidRDefault="00F67E9E" w:rsidP="007F74AA">
            <w:pPr>
              <w:pStyle w:val="StdBodyText"/>
              <w:spacing w:before="0" w:after="120"/>
              <w:rPr>
                <w:rFonts w:cs="Arial"/>
              </w:rPr>
            </w:pPr>
            <w:r w:rsidRPr="001B1EB0">
              <w:rPr>
                <w:rFonts w:cs="Arial"/>
              </w:rPr>
              <w:t>C5: Application access control</w:t>
            </w:r>
          </w:p>
          <w:p w14:paraId="48E0991F" w14:textId="77777777" w:rsidR="00F67E9E" w:rsidRPr="001B1EB0" w:rsidRDefault="00F67E9E" w:rsidP="007F74AA">
            <w:pPr>
              <w:pStyle w:val="StdBodyText"/>
              <w:spacing w:before="0" w:after="120"/>
              <w:rPr>
                <w:rFonts w:cs="Arial"/>
              </w:rPr>
            </w:pPr>
            <w:r w:rsidRPr="001B1EB0">
              <w:rPr>
                <w:rFonts w:cs="Arial"/>
              </w:rPr>
              <w:t>C16: Anti-virus for incoming files</w:t>
            </w:r>
          </w:p>
          <w:p w14:paraId="6B5F14B3" w14:textId="77777777" w:rsidR="00F67E9E" w:rsidRPr="001B1EB0" w:rsidRDefault="00F67E9E" w:rsidP="007F74AA">
            <w:pPr>
              <w:pStyle w:val="StdBodyText"/>
              <w:spacing w:before="0" w:after="120"/>
              <w:rPr>
                <w:rFonts w:cs="Arial"/>
              </w:rPr>
            </w:pPr>
            <w:r w:rsidRPr="001B1EB0">
              <w:rPr>
                <w:rFonts w:cs="Arial"/>
              </w:rPr>
              <w:t>C54: Files deleted when processed</w:t>
            </w:r>
          </w:p>
          <w:p w14:paraId="39A9FA15" w14:textId="77777777" w:rsidR="00F67E9E" w:rsidRPr="001B1EB0" w:rsidRDefault="00F67E9E" w:rsidP="007F74AA">
            <w:pPr>
              <w:pStyle w:val="StdBodyText"/>
              <w:spacing w:before="0" w:after="0"/>
              <w:rPr>
                <w:rFonts w:cs="Arial"/>
              </w:rPr>
            </w:pPr>
            <w:r w:rsidRPr="001B1EB0">
              <w:rPr>
                <w:rFonts w:cs="Arial"/>
              </w:rPr>
              <w:t>C59: Removal of departmental identifier</w:t>
            </w:r>
          </w:p>
        </w:tc>
        <w:tc>
          <w:tcPr>
            <w:tcW w:w="1150" w:type="dxa"/>
          </w:tcPr>
          <w:p w14:paraId="48EBD690" w14:textId="77777777" w:rsidR="00F67E9E" w:rsidRPr="001B1EB0" w:rsidRDefault="00F67E9E" w:rsidP="007F74AA">
            <w:pPr>
              <w:pStyle w:val="StdBodyText"/>
              <w:spacing w:before="0" w:after="0"/>
              <w:rPr>
                <w:rFonts w:cs="Arial"/>
                <w:i/>
              </w:rPr>
            </w:pPr>
            <w:r w:rsidRPr="001B1EB0">
              <w:rPr>
                <w:rFonts w:cs="Arial"/>
              </w:rPr>
              <w:t>Very low</w:t>
            </w:r>
          </w:p>
        </w:tc>
      </w:tr>
      <w:tr w:rsidR="00F67E9E" w:rsidRPr="001B1EB0" w14:paraId="2CC5CD14" w14:textId="77777777" w:rsidTr="007F74AA">
        <w:tc>
          <w:tcPr>
            <w:tcW w:w="850" w:type="dxa"/>
          </w:tcPr>
          <w:p w14:paraId="1BDDBCA9" w14:textId="77777777" w:rsidR="00F67E9E" w:rsidRPr="001B1EB0" w:rsidRDefault="00F67E9E" w:rsidP="007F74AA">
            <w:pPr>
              <w:pStyle w:val="StdBodyText"/>
              <w:spacing w:before="0" w:after="0"/>
              <w:rPr>
                <w:rFonts w:cs="Arial"/>
                <w:i/>
              </w:rPr>
            </w:pPr>
            <w:r w:rsidRPr="001B1EB0">
              <w:rPr>
                <w:rFonts w:cs="Arial"/>
              </w:rPr>
              <w:t>R2</w:t>
            </w:r>
          </w:p>
        </w:tc>
        <w:tc>
          <w:tcPr>
            <w:tcW w:w="1701" w:type="dxa"/>
          </w:tcPr>
          <w:p w14:paraId="249B60BC" w14:textId="77777777" w:rsidR="00F67E9E" w:rsidRPr="001B1EB0" w:rsidRDefault="00F67E9E" w:rsidP="007F74AA">
            <w:pPr>
              <w:pStyle w:val="StdBodyText"/>
              <w:spacing w:before="0" w:after="0"/>
              <w:rPr>
                <w:rFonts w:cs="Arial"/>
                <w:i/>
              </w:rPr>
            </w:pPr>
            <w:r w:rsidRPr="001B1EB0">
              <w:rPr>
                <w:rFonts w:cs="Arial"/>
              </w:rPr>
              <w:t>Remote attackers could intercept or disrupt information crossing the internet.</w:t>
            </w:r>
          </w:p>
        </w:tc>
        <w:tc>
          <w:tcPr>
            <w:tcW w:w="1417" w:type="dxa"/>
          </w:tcPr>
          <w:p w14:paraId="77DACEC1" w14:textId="77777777" w:rsidR="00F67E9E" w:rsidRPr="001B1EB0" w:rsidRDefault="00F67E9E" w:rsidP="007F74AA">
            <w:pPr>
              <w:pStyle w:val="StdBodyText"/>
              <w:spacing w:before="0" w:after="0"/>
              <w:rPr>
                <w:rFonts w:cs="Arial"/>
                <w:i/>
              </w:rPr>
            </w:pPr>
            <w:r w:rsidRPr="001B1EB0">
              <w:rPr>
                <w:rFonts w:cs="Arial"/>
              </w:rPr>
              <w:t>Medium</w:t>
            </w:r>
          </w:p>
        </w:tc>
        <w:tc>
          <w:tcPr>
            <w:tcW w:w="2268" w:type="dxa"/>
          </w:tcPr>
          <w:p w14:paraId="203AC6BD" w14:textId="77777777" w:rsidR="00F67E9E" w:rsidRPr="001B1EB0" w:rsidRDefault="00F67E9E" w:rsidP="007F74AA">
            <w:pPr>
              <w:pStyle w:val="StdBodyText"/>
              <w:spacing w:before="0" w:after="0"/>
              <w:rPr>
                <w:rFonts w:cs="Arial"/>
                <w:i/>
              </w:rPr>
            </w:pPr>
            <w:r w:rsidRPr="001B1EB0">
              <w:rPr>
                <w:rFonts w:cs="Arial"/>
              </w:rPr>
              <w:t>File sharing with organisations across the internet.</w:t>
            </w:r>
          </w:p>
        </w:tc>
        <w:tc>
          <w:tcPr>
            <w:tcW w:w="2835" w:type="dxa"/>
          </w:tcPr>
          <w:p w14:paraId="09E7079F" w14:textId="77777777" w:rsidR="00F67E9E" w:rsidRPr="001B1EB0" w:rsidRDefault="00F67E9E" w:rsidP="007F74AA">
            <w:pPr>
              <w:pStyle w:val="StdBodyText"/>
              <w:spacing w:before="0" w:after="120"/>
              <w:rPr>
                <w:rFonts w:cs="Arial"/>
              </w:rPr>
            </w:pPr>
            <w:r w:rsidRPr="001B1EB0">
              <w:rPr>
                <w:rFonts w:cs="Arial"/>
              </w:rPr>
              <w:t>C9: TLS communications</w:t>
            </w:r>
          </w:p>
          <w:p w14:paraId="7F1C12C2" w14:textId="77777777" w:rsidR="00F67E9E" w:rsidRPr="001B1EB0" w:rsidRDefault="00F67E9E" w:rsidP="007F74AA">
            <w:pPr>
              <w:pStyle w:val="StdBodyText"/>
              <w:spacing w:before="0" w:after="0"/>
              <w:rPr>
                <w:rFonts w:cs="Arial"/>
                <w:i/>
              </w:rPr>
            </w:pPr>
            <w:r w:rsidRPr="001B1EB0">
              <w:rPr>
                <w:rFonts w:cs="Arial"/>
              </w:rPr>
              <w:t>C10: PGP file-sharing</w:t>
            </w:r>
          </w:p>
        </w:tc>
        <w:tc>
          <w:tcPr>
            <w:tcW w:w="1150" w:type="dxa"/>
          </w:tcPr>
          <w:p w14:paraId="73089EED" w14:textId="77777777" w:rsidR="00F67E9E" w:rsidRPr="001B1EB0" w:rsidRDefault="00F67E9E" w:rsidP="007F74AA">
            <w:pPr>
              <w:pStyle w:val="StdBodyText"/>
              <w:spacing w:before="0" w:after="0"/>
              <w:rPr>
                <w:rFonts w:cs="Arial"/>
                <w:i/>
              </w:rPr>
            </w:pPr>
            <w:r w:rsidRPr="001B1EB0">
              <w:rPr>
                <w:rFonts w:cs="Arial"/>
              </w:rPr>
              <w:t>Very low</w:t>
            </w:r>
          </w:p>
        </w:tc>
      </w:tr>
      <w:tr w:rsidR="00F67E9E" w:rsidRPr="001B1EB0" w14:paraId="6F0CB28F" w14:textId="77777777" w:rsidTr="007F74AA">
        <w:tc>
          <w:tcPr>
            <w:tcW w:w="850" w:type="dxa"/>
          </w:tcPr>
          <w:p w14:paraId="3B595028" w14:textId="77777777" w:rsidR="00F67E9E" w:rsidRPr="001B1EB0" w:rsidRDefault="00F67E9E" w:rsidP="007F74AA">
            <w:pPr>
              <w:pStyle w:val="StdBodyText"/>
              <w:spacing w:before="0" w:after="0"/>
              <w:rPr>
                <w:rFonts w:cs="Arial"/>
                <w:i/>
              </w:rPr>
            </w:pPr>
            <w:r w:rsidRPr="001B1EB0">
              <w:rPr>
                <w:rFonts w:cs="Arial"/>
              </w:rPr>
              <w:t>R3</w:t>
            </w:r>
          </w:p>
        </w:tc>
        <w:tc>
          <w:tcPr>
            <w:tcW w:w="1701" w:type="dxa"/>
          </w:tcPr>
          <w:p w14:paraId="6C64EAD7" w14:textId="77777777" w:rsidR="00F67E9E" w:rsidRPr="001B1EB0" w:rsidRDefault="00F67E9E" w:rsidP="007F74AA">
            <w:pPr>
              <w:pStyle w:val="StdBodyText"/>
              <w:spacing w:before="0" w:after="0"/>
              <w:rPr>
                <w:rFonts w:cs="Arial"/>
                <w:i/>
              </w:rPr>
            </w:pPr>
            <w:r w:rsidRPr="001B1EB0">
              <w:rPr>
                <w:rFonts w:cs="Arial"/>
              </w:rPr>
              <w:t>Internal users could maliciously or accidentally alter bank details.</w:t>
            </w:r>
          </w:p>
        </w:tc>
        <w:tc>
          <w:tcPr>
            <w:tcW w:w="1417" w:type="dxa"/>
          </w:tcPr>
          <w:p w14:paraId="769231EA" w14:textId="77777777" w:rsidR="00F67E9E" w:rsidRPr="001B1EB0" w:rsidRDefault="00F67E9E" w:rsidP="007F74AA">
            <w:pPr>
              <w:pStyle w:val="StdBodyText"/>
              <w:spacing w:before="0" w:after="0"/>
              <w:rPr>
                <w:rFonts w:cs="Arial"/>
                <w:i/>
              </w:rPr>
            </w:pPr>
            <w:r w:rsidRPr="001B1EB0">
              <w:rPr>
                <w:rFonts w:cs="Arial"/>
              </w:rPr>
              <w:t>Medium-High</w:t>
            </w:r>
          </w:p>
        </w:tc>
        <w:tc>
          <w:tcPr>
            <w:tcW w:w="2268" w:type="dxa"/>
          </w:tcPr>
          <w:p w14:paraId="6191C8EE" w14:textId="77777777" w:rsidR="00F67E9E" w:rsidRPr="001B1EB0" w:rsidRDefault="00F67E9E" w:rsidP="007F74AA">
            <w:pPr>
              <w:pStyle w:val="StdBodyText"/>
              <w:spacing w:before="0" w:after="0"/>
              <w:rPr>
                <w:rFonts w:cs="Arial"/>
                <w:i/>
              </w:rPr>
            </w:pPr>
            <w:r w:rsidRPr="001B1EB0">
              <w:rPr>
                <w:rFonts w:cs="Arial"/>
              </w:rPr>
              <w:t>Users bank details can be altered as part of the normal business function.</w:t>
            </w:r>
          </w:p>
        </w:tc>
        <w:tc>
          <w:tcPr>
            <w:tcW w:w="2835" w:type="dxa"/>
          </w:tcPr>
          <w:p w14:paraId="30D63418" w14:textId="77777777" w:rsidR="00F67E9E" w:rsidRPr="001B1EB0" w:rsidRDefault="00F67E9E" w:rsidP="007F74AA">
            <w:pPr>
              <w:pStyle w:val="StdBodyText"/>
              <w:spacing w:before="0" w:after="120"/>
              <w:rPr>
                <w:rFonts w:cs="Arial"/>
              </w:rPr>
            </w:pPr>
            <w:r w:rsidRPr="001B1EB0">
              <w:rPr>
                <w:rFonts w:cs="Arial"/>
              </w:rPr>
              <w:t>C12. System administrators hold SC clearance.</w:t>
            </w:r>
          </w:p>
          <w:p w14:paraId="24994A32" w14:textId="77777777" w:rsidR="00F67E9E" w:rsidRPr="001B1EB0" w:rsidRDefault="00F67E9E" w:rsidP="007F74AA">
            <w:pPr>
              <w:pStyle w:val="StdBodyText"/>
              <w:spacing w:before="0" w:after="120"/>
              <w:rPr>
                <w:rFonts w:cs="Arial"/>
              </w:rPr>
            </w:pPr>
            <w:r w:rsidRPr="001B1EB0">
              <w:rPr>
                <w:rFonts w:cs="Arial"/>
              </w:rPr>
              <w:t>C13. All changes to user information are logged and audited.</w:t>
            </w:r>
          </w:p>
          <w:p w14:paraId="27C032F6" w14:textId="77777777" w:rsidR="00F67E9E" w:rsidRPr="001B1EB0" w:rsidRDefault="00F67E9E" w:rsidP="007F74AA">
            <w:pPr>
              <w:pStyle w:val="StdBodyText"/>
              <w:spacing w:before="0" w:after="120"/>
              <w:rPr>
                <w:rFonts w:cs="Arial"/>
              </w:rPr>
            </w:pPr>
            <w:r w:rsidRPr="001B1EB0">
              <w:rPr>
                <w:rFonts w:cs="Arial"/>
              </w:rPr>
              <w:t>C14. Letters are automatically sent to users</w:t>
            </w:r>
            <w:r>
              <w:rPr>
                <w:rFonts w:cs="Arial"/>
              </w:rPr>
              <w:t>’</w:t>
            </w:r>
            <w:r w:rsidRPr="001B1EB0">
              <w:rPr>
                <w:rFonts w:cs="Arial"/>
              </w:rPr>
              <w:t xml:space="preserve"> home addresses when bank details are altered.</w:t>
            </w:r>
          </w:p>
          <w:p w14:paraId="136FD632" w14:textId="77777777" w:rsidR="00F67E9E" w:rsidRPr="001B1EB0" w:rsidRDefault="00F67E9E" w:rsidP="007F74AA">
            <w:pPr>
              <w:pStyle w:val="StdBodyText"/>
              <w:spacing w:before="0" w:after="0"/>
              <w:rPr>
                <w:rFonts w:cs="Arial"/>
                <w:i/>
              </w:rPr>
            </w:pPr>
            <w:r w:rsidRPr="001B1EB0">
              <w:rPr>
                <w:rFonts w:cs="Arial"/>
              </w:rPr>
              <w:t>C15. Staff awareness training</w:t>
            </w:r>
          </w:p>
        </w:tc>
        <w:tc>
          <w:tcPr>
            <w:tcW w:w="1150" w:type="dxa"/>
          </w:tcPr>
          <w:p w14:paraId="4478F2F0" w14:textId="77777777" w:rsidR="00F67E9E" w:rsidRPr="001B1EB0" w:rsidRDefault="00F67E9E" w:rsidP="007F74AA">
            <w:pPr>
              <w:pStyle w:val="StdBodyText"/>
              <w:spacing w:before="0" w:after="0"/>
              <w:rPr>
                <w:rFonts w:cs="Arial"/>
                <w:i/>
              </w:rPr>
            </w:pPr>
            <w:r w:rsidRPr="001B1EB0">
              <w:rPr>
                <w:rFonts w:cs="Arial"/>
              </w:rPr>
              <w:t>Low</w:t>
            </w:r>
          </w:p>
        </w:tc>
      </w:tr>
    </w:tbl>
    <w:p w14:paraId="552AFBD4" w14:textId="77777777" w:rsidR="00F67E9E" w:rsidRPr="001B1EB0" w:rsidRDefault="00F67E9E" w:rsidP="00F67E9E">
      <w:pPr>
        <w:pStyle w:val="Table-followingparagraph"/>
      </w:pPr>
    </w:p>
    <w:p w14:paraId="6D0BD2CC" w14:textId="77777777" w:rsidR="00F67E9E" w:rsidRPr="00AC3F91" w:rsidRDefault="00F67E9E" w:rsidP="00F67E9E">
      <w:pPr>
        <w:pStyle w:val="AppendixText2"/>
      </w:pPr>
      <w:r w:rsidRPr="00AC3F91">
        <w:t>Controls</w:t>
      </w:r>
    </w:p>
    <w:p w14:paraId="79A2D3B1" w14:textId="77777777" w:rsidR="00F67E9E" w:rsidRPr="00F97284" w:rsidRDefault="00F67E9E" w:rsidP="00F67E9E">
      <w:pPr>
        <w:pStyle w:val="StdBodyText1"/>
        <w:rPr>
          <w:rFonts w:cs="Arial"/>
          <w:iCs/>
        </w:rPr>
      </w:pPr>
      <w:r>
        <w:rPr>
          <w:rFonts w:cs="Arial"/>
          <w:iCs/>
          <w:highlight w:val="yellow"/>
        </w:rPr>
        <w:t>[</w:t>
      </w:r>
      <w:r w:rsidRPr="00F97284">
        <w:rPr>
          <w:rFonts w:cs="Arial"/>
          <w:iCs/>
          <w:highlight w:val="yellow"/>
        </w:rPr>
        <w:t>The controls listed above to mitigate the risks identified should be detailed. There should be a description of each control, further information and configuration details where relevant, and an assessment of the implementation status of, and assurance in, the control. A sample layout is included below.</w:t>
      </w:r>
      <w:r>
        <w:rPr>
          <w:rFonts w:cs="Arial"/>
          <w:iCs/>
        </w:rPr>
        <w:t>]</w:t>
      </w:r>
    </w:p>
    <w:tbl>
      <w:tblPr>
        <w:tblStyle w:val="MSATable-header"/>
        <w:tblW w:w="0" w:type="auto"/>
        <w:tblLook w:val="04A0" w:firstRow="1" w:lastRow="0" w:firstColumn="1" w:lastColumn="0" w:noHBand="0" w:noVBand="1"/>
      </w:tblPr>
      <w:tblGrid>
        <w:gridCol w:w="850"/>
        <w:gridCol w:w="1984"/>
        <w:gridCol w:w="3402"/>
        <w:gridCol w:w="3685"/>
      </w:tblGrid>
      <w:tr w:rsidR="00F67E9E" w:rsidRPr="001B1EB0" w14:paraId="0CF236CB" w14:textId="77777777" w:rsidTr="007F74AA">
        <w:trPr>
          <w:cnfStyle w:val="100000000000" w:firstRow="1" w:lastRow="0" w:firstColumn="0" w:lastColumn="0" w:oddVBand="0" w:evenVBand="0" w:oddHBand="0" w:evenHBand="0" w:firstRowFirstColumn="0" w:firstRowLastColumn="0" w:lastRowFirstColumn="0" w:lastRowLastColumn="0"/>
          <w:tblHeader/>
        </w:trPr>
        <w:tc>
          <w:tcPr>
            <w:tcW w:w="850" w:type="dxa"/>
            <w:vAlign w:val="bottom"/>
          </w:tcPr>
          <w:p w14:paraId="76A0299B" w14:textId="77777777" w:rsidR="00F67E9E" w:rsidRPr="001B1EB0" w:rsidRDefault="00F67E9E" w:rsidP="007F74AA">
            <w:pPr>
              <w:pStyle w:val="StdBodyText"/>
              <w:spacing w:before="0" w:after="0"/>
              <w:rPr>
                <w:rFonts w:cs="Arial"/>
              </w:rPr>
            </w:pPr>
            <w:r w:rsidRPr="001B1EB0">
              <w:rPr>
                <w:rFonts w:cs="Arial"/>
              </w:rPr>
              <w:t>ID</w:t>
            </w:r>
          </w:p>
        </w:tc>
        <w:tc>
          <w:tcPr>
            <w:tcW w:w="1984" w:type="dxa"/>
            <w:vAlign w:val="bottom"/>
          </w:tcPr>
          <w:p w14:paraId="79690655" w14:textId="77777777" w:rsidR="00F67E9E" w:rsidRPr="001B1EB0" w:rsidRDefault="00F67E9E" w:rsidP="007F74AA">
            <w:pPr>
              <w:pStyle w:val="StdBodyText"/>
              <w:spacing w:before="0" w:after="0"/>
              <w:rPr>
                <w:rFonts w:cs="Arial"/>
              </w:rPr>
            </w:pPr>
            <w:r w:rsidRPr="001B1EB0">
              <w:rPr>
                <w:rFonts w:cs="Arial"/>
              </w:rPr>
              <w:t>Control title</w:t>
            </w:r>
          </w:p>
        </w:tc>
        <w:tc>
          <w:tcPr>
            <w:tcW w:w="3402" w:type="dxa"/>
            <w:vAlign w:val="bottom"/>
          </w:tcPr>
          <w:p w14:paraId="4D24E1CA" w14:textId="77777777" w:rsidR="00F67E9E" w:rsidRPr="001B1EB0" w:rsidRDefault="00F67E9E" w:rsidP="007F74AA">
            <w:pPr>
              <w:pStyle w:val="StdBodyText"/>
              <w:spacing w:before="0" w:after="0"/>
              <w:rPr>
                <w:rFonts w:cs="Arial"/>
              </w:rPr>
            </w:pPr>
            <w:r w:rsidRPr="001B1EB0">
              <w:rPr>
                <w:rFonts w:cs="Arial"/>
              </w:rPr>
              <w:t>Control description</w:t>
            </w:r>
          </w:p>
        </w:tc>
        <w:tc>
          <w:tcPr>
            <w:tcW w:w="3685" w:type="dxa"/>
            <w:vAlign w:val="bottom"/>
          </w:tcPr>
          <w:p w14:paraId="1AF6E66A" w14:textId="77777777" w:rsidR="00F67E9E" w:rsidRPr="001B1EB0" w:rsidRDefault="00F67E9E" w:rsidP="007F74AA">
            <w:pPr>
              <w:pStyle w:val="StdBodyText"/>
              <w:spacing w:before="0" w:after="0"/>
              <w:rPr>
                <w:rFonts w:cs="Arial"/>
              </w:rPr>
            </w:pPr>
            <w:r w:rsidRPr="001B1EB0">
              <w:rPr>
                <w:rFonts w:cs="Arial"/>
              </w:rPr>
              <w:t>Further information and assurance status</w:t>
            </w:r>
          </w:p>
        </w:tc>
      </w:tr>
      <w:tr w:rsidR="00F67E9E" w:rsidRPr="001B1EB0" w14:paraId="197FEEF8" w14:textId="77777777" w:rsidTr="007F74AA">
        <w:tc>
          <w:tcPr>
            <w:tcW w:w="850" w:type="dxa"/>
          </w:tcPr>
          <w:p w14:paraId="432CCBC2" w14:textId="77777777" w:rsidR="00F67E9E" w:rsidRPr="001B1EB0" w:rsidRDefault="00F67E9E" w:rsidP="007F74AA">
            <w:pPr>
              <w:pStyle w:val="StdBodyText"/>
              <w:spacing w:before="0" w:after="0"/>
              <w:rPr>
                <w:rFonts w:cs="Arial"/>
              </w:rPr>
            </w:pPr>
            <w:r w:rsidRPr="001B1EB0">
              <w:rPr>
                <w:rFonts w:cs="Arial"/>
              </w:rPr>
              <w:t>C1</w:t>
            </w:r>
          </w:p>
        </w:tc>
        <w:tc>
          <w:tcPr>
            <w:tcW w:w="1984" w:type="dxa"/>
          </w:tcPr>
          <w:p w14:paraId="2891AC4B" w14:textId="77777777" w:rsidR="00F67E9E" w:rsidRPr="001B1EB0" w:rsidRDefault="00F67E9E" w:rsidP="007F74AA">
            <w:pPr>
              <w:pStyle w:val="StdBodyText"/>
              <w:spacing w:before="0" w:after="0"/>
              <w:rPr>
                <w:rFonts w:cs="Arial"/>
              </w:rPr>
            </w:pPr>
            <w:r w:rsidRPr="001B1EB0">
              <w:rPr>
                <w:rFonts w:cs="Arial"/>
              </w:rPr>
              <w:t>Internet-facing firewalls</w:t>
            </w:r>
          </w:p>
        </w:tc>
        <w:tc>
          <w:tcPr>
            <w:tcW w:w="3402" w:type="dxa"/>
          </w:tcPr>
          <w:p w14:paraId="778B726A" w14:textId="77777777" w:rsidR="00F67E9E" w:rsidRPr="001B1EB0" w:rsidRDefault="00F67E9E" w:rsidP="007F74AA">
            <w:pPr>
              <w:pStyle w:val="StdBodyText"/>
              <w:spacing w:before="0" w:after="0"/>
              <w:rPr>
                <w:rFonts w:cs="Arial"/>
              </w:rPr>
            </w:pPr>
            <w:r w:rsidRPr="001B1EB0">
              <w:rPr>
                <w:rFonts w:cs="Arial"/>
              </w:rPr>
              <w:t>Internet-facing firewalls are in place between the internet and the system</w:t>
            </w:r>
            <w:r>
              <w:rPr>
                <w:rFonts w:cs="Arial"/>
              </w:rPr>
              <w:t>’</w:t>
            </w:r>
            <w:r w:rsidRPr="001B1EB0">
              <w:rPr>
                <w:rFonts w:cs="Arial"/>
              </w:rPr>
              <w:t>, which restrict access from the internet to the required ports only.</w:t>
            </w:r>
          </w:p>
        </w:tc>
        <w:tc>
          <w:tcPr>
            <w:tcW w:w="3685" w:type="dxa"/>
          </w:tcPr>
          <w:p w14:paraId="3BB13D0D" w14:textId="77777777" w:rsidR="00F67E9E" w:rsidRPr="001B1EB0" w:rsidRDefault="00F67E9E" w:rsidP="007F74AA">
            <w:pPr>
              <w:pStyle w:val="StdBodyText"/>
              <w:spacing w:before="0" w:after="0"/>
              <w:rPr>
                <w:rFonts w:cs="Arial"/>
              </w:rPr>
            </w:pPr>
            <w:r w:rsidRPr="001B1EB0">
              <w:rPr>
                <w:rFonts w:cs="Arial"/>
              </w:rPr>
              <w:t>Assured via ITHC firewall rule check</w:t>
            </w:r>
          </w:p>
        </w:tc>
      </w:tr>
      <w:tr w:rsidR="00F67E9E" w:rsidRPr="001B1EB0" w14:paraId="05E10B8E" w14:textId="77777777" w:rsidTr="007F74AA">
        <w:tc>
          <w:tcPr>
            <w:tcW w:w="850" w:type="dxa"/>
          </w:tcPr>
          <w:p w14:paraId="5BFF725D" w14:textId="77777777" w:rsidR="00F67E9E" w:rsidRPr="001B1EB0" w:rsidRDefault="00F67E9E" w:rsidP="007F74AA">
            <w:pPr>
              <w:pStyle w:val="StdBodyText"/>
              <w:spacing w:before="0" w:after="0"/>
              <w:rPr>
                <w:rFonts w:cs="Arial"/>
              </w:rPr>
            </w:pPr>
            <w:r w:rsidRPr="001B1EB0">
              <w:rPr>
                <w:rFonts w:cs="Arial"/>
              </w:rPr>
              <w:t>C2</w:t>
            </w:r>
          </w:p>
        </w:tc>
        <w:tc>
          <w:tcPr>
            <w:tcW w:w="1984" w:type="dxa"/>
          </w:tcPr>
          <w:p w14:paraId="71D3448E" w14:textId="77777777" w:rsidR="00F67E9E" w:rsidRPr="001B1EB0" w:rsidRDefault="00F67E9E" w:rsidP="007F74AA">
            <w:pPr>
              <w:pStyle w:val="StdBodyText"/>
              <w:spacing w:before="0" w:after="0"/>
              <w:rPr>
                <w:rFonts w:cs="Arial"/>
              </w:rPr>
            </w:pPr>
            <w:r w:rsidRPr="001B1EB0">
              <w:rPr>
                <w:rFonts w:cs="Arial"/>
              </w:rPr>
              <w:t>Internet-facing IP whitelist</w:t>
            </w:r>
          </w:p>
        </w:tc>
        <w:tc>
          <w:tcPr>
            <w:tcW w:w="3402" w:type="dxa"/>
          </w:tcPr>
          <w:p w14:paraId="50F9F592" w14:textId="77777777" w:rsidR="00F67E9E" w:rsidRPr="001B1EB0" w:rsidRDefault="00F67E9E" w:rsidP="007F74AA">
            <w:pPr>
              <w:pStyle w:val="StdBodyText"/>
              <w:spacing w:before="0" w:after="0"/>
              <w:rPr>
                <w:rFonts w:cs="Arial"/>
              </w:rPr>
            </w:pPr>
            <w:r w:rsidRPr="001B1EB0">
              <w:rPr>
                <w:rFonts w:cs="Arial"/>
              </w:rPr>
              <w:t>An IP whitelist is in place for all access from the internet.</w:t>
            </w:r>
          </w:p>
        </w:tc>
        <w:tc>
          <w:tcPr>
            <w:tcW w:w="3685" w:type="dxa"/>
          </w:tcPr>
          <w:p w14:paraId="204EB0CA" w14:textId="77777777" w:rsidR="00F67E9E" w:rsidRPr="001B1EB0" w:rsidRDefault="00F67E9E" w:rsidP="007F74AA">
            <w:pPr>
              <w:pStyle w:val="StdBodyText"/>
              <w:spacing w:before="0" w:after="0"/>
              <w:rPr>
                <w:rFonts w:cs="Arial"/>
              </w:rPr>
            </w:pPr>
            <w:r w:rsidRPr="001B1EB0">
              <w:rPr>
                <w:rFonts w:cs="Arial"/>
              </w:rPr>
              <w:t>Assured via ITHC</w:t>
            </w:r>
          </w:p>
        </w:tc>
      </w:tr>
      <w:tr w:rsidR="00F67E9E" w:rsidRPr="001B1EB0" w14:paraId="0C12FA3C" w14:textId="77777777" w:rsidTr="007F74AA">
        <w:tc>
          <w:tcPr>
            <w:tcW w:w="850" w:type="dxa"/>
          </w:tcPr>
          <w:p w14:paraId="2584F5B8" w14:textId="77777777" w:rsidR="00F67E9E" w:rsidRPr="001B1EB0" w:rsidRDefault="00F67E9E" w:rsidP="007F74AA">
            <w:pPr>
              <w:pStyle w:val="StdBodyText"/>
              <w:spacing w:before="0" w:after="0"/>
              <w:rPr>
                <w:rFonts w:cs="Arial"/>
              </w:rPr>
            </w:pPr>
            <w:r w:rsidRPr="001B1EB0">
              <w:rPr>
                <w:rFonts w:cs="Arial"/>
              </w:rPr>
              <w:t>C15</w:t>
            </w:r>
          </w:p>
        </w:tc>
        <w:tc>
          <w:tcPr>
            <w:tcW w:w="1984" w:type="dxa"/>
          </w:tcPr>
          <w:p w14:paraId="78D350FB" w14:textId="77777777" w:rsidR="00F67E9E" w:rsidRPr="001B1EB0" w:rsidRDefault="00F67E9E" w:rsidP="007F74AA">
            <w:pPr>
              <w:pStyle w:val="StdBodyText"/>
              <w:spacing w:before="0" w:after="0"/>
              <w:rPr>
                <w:rFonts w:cs="Arial"/>
              </w:rPr>
            </w:pPr>
            <w:r w:rsidRPr="001B1EB0">
              <w:rPr>
                <w:rFonts w:cs="Arial"/>
              </w:rPr>
              <w:t>Staff awareness training</w:t>
            </w:r>
          </w:p>
        </w:tc>
        <w:tc>
          <w:tcPr>
            <w:tcW w:w="3402" w:type="dxa"/>
          </w:tcPr>
          <w:p w14:paraId="5DD6B5C7" w14:textId="77777777" w:rsidR="00F67E9E" w:rsidRPr="001B1EB0" w:rsidRDefault="00F67E9E" w:rsidP="007F74AA">
            <w:pPr>
              <w:pStyle w:val="StdBodyText"/>
              <w:spacing w:before="0" w:after="0"/>
              <w:rPr>
                <w:rFonts w:cs="Arial"/>
              </w:rPr>
            </w:pPr>
            <w:r w:rsidRPr="001B1EB0">
              <w:rPr>
                <w:rFonts w:cs="Arial"/>
              </w:rPr>
              <w:t>All staff must undertake annual security awareness training and this process is audited and monitored by line managers.</w:t>
            </w:r>
          </w:p>
        </w:tc>
        <w:tc>
          <w:tcPr>
            <w:tcW w:w="3685" w:type="dxa"/>
          </w:tcPr>
          <w:p w14:paraId="1108723B" w14:textId="77777777" w:rsidR="00F67E9E" w:rsidRPr="001B1EB0" w:rsidRDefault="00F67E9E" w:rsidP="007F74AA">
            <w:pPr>
              <w:pStyle w:val="StdBodyText"/>
              <w:spacing w:before="0" w:after="0"/>
              <w:rPr>
                <w:rFonts w:cs="Arial"/>
              </w:rPr>
            </w:pPr>
            <w:r w:rsidRPr="001B1EB0">
              <w:rPr>
                <w:rFonts w:cs="Arial"/>
              </w:rPr>
              <w:t>Assured as part of ISO</w:t>
            </w:r>
            <w:r>
              <w:rPr>
                <w:rFonts w:cs="Arial"/>
              </w:rPr>
              <w:t xml:space="preserve">/IEC </w:t>
            </w:r>
            <w:r w:rsidRPr="001B1EB0">
              <w:rPr>
                <w:rFonts w:cs="Arial"/>
              </w:rPr>
              <w:t>27001</w:t>
            </w:r>
            <w:r>
              <w:rPr>
                <w:rFonts w:cs="Arial"/>
              </w:rPr>
              <w:t xml:space="preserve"> </w:t>
            </w:r>
            <w:r w:rsidRPr="00A13C64">
              <w:rPr>
                <w:rFonts w:cs="Arial"/>
              </w:rPr>
              <w:t>(at least ISO/IEC 27001:2013)</w:t>
            </w:r>
            <w:r w:rsidRPr="001B1EB0">
              <w:rPr>
                <w:rFonts w:cs="Arial"/>
              </w:rPr>
              <w:t xml:space="preserve"> certification</w:t>
            </w:r>
          </w:p>
        </w:tc>
      </w:tr>
    </w:tbl>
    <w:p w14:paraId="4F167722" w14:textId="77777777" w:rsidR="00F67E9E" w:rsidRPr="001B1EB0" w:rsidRDefault="00F67E9E" w:rsidP="00F67E9E">
      <w:pPr>
        <w:pStyle w:val="StdBodyText"/>
        <w:spacing w:before="0" w:after="0"/>
        <w:rPr>
          <w:rFonts w:cs="Arial"/>
        </w:rPr>
      </w:pPr>
    </w:p>
    <w:p w14:paraId="2BE53B0E" w14:textId="77777777" w:rsidR="00F67E9E" w:rsidRPr="00AC3F91" w:rsidRDefault="00F67E9E" w:rsidP="00F67E9E">
      <w:pPr>
        <w:pStyle w:val="AppendixText2"/>
      </w:pPr>
      <w:r w:rsidRPr="00AC3F91">
        <w:t>Residual risks and actions</w:t>
      </w:r>
    </w:p>
    <w:p w14:paraId="14174A8D" w14:textId="77777777" w:rsidR="00F67E9E" w:rsidRPr="00F97284" w:rsidRDefault="00F67E9E" w:rsidP="00F67E9E">
      <w:pPr>
        <w:pStyle w:val="StdBodyText1"/>
        <w:rPr>
          <w:rFonts w:cs="Arial"/>
          <w:iCs/>
        </w:rPr>
      </w:pPr>
      <w:r w:rsidRPr="00F97284">
        <w:rPr>
          <w:rFonts w:cs="Arial"/>
          <w:iCs/>
          <w:highlight w:val="yellow"/>
        </w:rPr>
        <w:t>[A summary of the residual risks which are likely to be above the risk appetite stated after all controls have been applied and verified should be listed with actions and timescales included.]</w:t>
      </w:r>
    </w:p>
    <w:p w14:paraId="5C93BB1E" w14:textId="77777777" w:rsidR="00F67E9E" w:rsidRPr="00024F2F" w:rsidRDefault="00F67E9E" w:rsidP="00F67E9E">
      <w:pPr>
        <w:pStyle w:val="AppendixText1"/>
        <w:tabs>
          <w:tab w:val="clear" w:pos="720"/>
        </w:tabs>
      </w:pPr>
      <w:r w:rsidRPr="00024F2F">
        <w:t>In-service controls</w:t>
      </w:r>
    </w:p>
    <w:p w14:paraId="2A7E5B12" w14:textId="77777777" w:rsidR="00F67E9E" w:rsidRPr="00A3495C" w:rsidRDefault="00F67E9E" w:rsidP="00F67E9E">
      <w:pPr>
        <w:pStyle w:val="AppendixText2"/>
        <w:rPr>
          <w:rFonts w:cs="Arial"/>
          <w:iCs/>
        </w:rPr>
      </w:pPr>
      <w:r>
        <w:rPr>
          <w:rFonts w:cs="Arial"/>
          <w:iCs/>
          <w:highlight w:val="yellow"/>
        </w:rPr>
        <w:t>[</w:t>
      </w:r>
      <w:r w:rsidRPr="00F97284">
        <w:rPr>
          <w:rFonts w:cs="Arial"/>
          <w:iCs/>
          <w:highlight w:val="yellow"/>
        </w:rPr>
        <w:t>This section should describe the controls relating to the information lifecycle, including development, testing, in-service, termination and on-going risk management and accreditation assurance. Details of any formal assurance requirements specified in the contract such as security CHECK testing or maintained ISO/IEC 27001 (at least ISO/IEC 27001:2013) certification should be included. This section should include at least:</w:t>
      </w:r>
    </w:p>
    <w:p w14:paraId="4C788DF7" w14:textId="77777777" w:rsidR="00F67E9E" w:rsidRPr="00F97284" w:rsidRDefault="00F67E9E" w:rsidP="00F67E9E">
      <w:pPr>
        <w:pStyle w:val="AppendixText3"/>
        <w:tabs>
          <w:tab w:val="clear" w:pos="1800"/>
        </w:tabs>
        <w:ind w:left="1440" w:hanging="720"/>
        <w:rPr>
          <w:highlight w:val="yellow"/>
        </w:rPr>
      </w:pPr>
      <w:r w:rsidRPr="00F97284">
        <w:rPr>
          <w:highlight w:val="yellow"/>
        </w:rPr>
        <w:t>information risk management and timescales and triggers for a review;</w:t>
      </w:r>
    </w:p>
    <w:p w14:paraId="47EB210F" w14:textId="77777777" w:rsidR="00F67E9E" w:rsidRPr="00F97284" w:rsidRDefault="00F67E9E" w:rsidP="00F67E9E">
      <w:pPr>
        <w:pStyle w:val="AppendixText3"/>
        <w:tabs>
          <w:tab w:val="clear" w:pos="1800"/>
        </w:tabs>
        <w:ind w:left="1440" w:hanging="720"/>
        <w:rPr>
          <w:highlight w:val="yellow"/>
        </w:rPr>
      </w:pPr>
      <w:r w:rsidRPr="00F97284">
        <w:rPr>
          <w:highlight w:val="yellow"/>
        </w:rPr>
        <w:t>contractual patching requirements and timescales for the different priorities of patch;</w:t>
      </w:r>
    </w:p>
    <w:p w14:paraId="22601E9B" w14:textId="77777777" w:rsidR="00F67E9E" w:rsidRPr="00F97284" w:rsidRDefault="00F67E9E" w:rsidP="00F67E9E">
      <w:pPr>
        <w:pStyle w:val="AppendixText3"/>
        <w:tabs>
          <w:tab w:val="clear" w:pos="1800"/>
        </w:tabs>
        <w:ind w:left="1440" w:hanging="720"/>
        <w:rPr>
          <w:highlight w:val="yellow"/>
        </w:rPr>
      </w:pPr>
      <w:r w:rsidRPr="00F97284">
        <w:rPr>
          <w:highlight w:val="yellow"/>
        </w:rPr>
        <w:t>protective monitoring arrangements to include how anomalous behaviour is identified and acted upon as well as how logging and auditing of user activity is done;</w:t>
      </w:r>
    </w:p>
    <w:p w14:paraId="5C82F833" w14:textId="77777777" w:rsidR="00F67E9E" w:rsidRPr="00F97284" w:rsidRDefault="00F67E9E" w:rsidP="00F67E9E">
      <w:pPr>
        <w:pStyle w:val="AppendixText3"/>
        <w:tabs>
          <w:tab w:val="clear" w:pos="1800"/>
        </w:tabs>
        <w:ind w:left="1440" w:hanging="720"/>
        <w:rPr>
          <w:highlight w:val="yellow"/>
        </w:rPr>
      </w:pPr>
      <w:r w:rsidRPr="00F97284">
        <w:rPr>
          <w:highlight w:val="yellow"/>
        </w:rPr>
        <w:t>configuration and change management;</w:t>
      </w:r>
    </w:p>
    <w:p w14:paraId="277898D7" w14:textId="77777777" w:rsidR="00F67E9E" w:rsidRPr="00F97284" w:rsidRDefault="00F67E9E" w:rsidP="00F67E9E">
      <w:pPr>
        <w:pStyle w:val="AppendixText3"/>
        <w:tabs>
          <w:tab w:val="clear" w:pos="1800"/>
        </w:tabs>
        <w:ind w:left="1440" w:hanging="720"/>
        <w:rPr>
          <w:highlight w:val="yellow"/>
        </w:rPr>
      </w:pPr>
      <w:r w:rsidRPr="00F97284">
        <w:rPr>
          <w:highlight w:val="yellow"/>
        </w:rPr>
        <w:t>incident management;</w:t>
      </w:r>
    </w:p>
    <w:p w14:paraId="588C418D" w14:textId="77777777" w:rsidR="00F67E9E" w:rsidRPr="00F97284" w:rsidRDefault="00F67E9E" w:rsidP="00F67E9E">
      <w:pPr>
        <w:pStyle w:val="AppendixText3"/>
        <w:tabs>
          <w:tab w:val="clear" w:pos="1800"/>
        </w:tabs>
        <w:ind w:left="1440" w:hanging="720"/>
        <w:rPr>
          <w:highlight w:val="yellow"/>
        </w:rPr>
      </w:pPr>
      <w:r w:rsidRPr="00F97284">
        <w:rPr>
          <w:highlight w:val="yellow"/>
        </w:rPr>
        <w:t>vulnerability management;</w:t>
      </w:r>
    </w:p>
    <w:p w14:paraId="17BBA913" w14:textId="77777777" w:rsidR="00F67E9E" w:rsidRPr="00F97284" w:rsidRDefault="00F67E9E" w:rsidP="00F67E9E">
      <w:pPr>
        <w:pStyle w:val="AppendixText3"/>
        <w:tabs>
          <w:tab w:val="clear" w:pos="1800"/>
        </w:tabs>
        <w:ind w:left="1440" w:hanging="720"/>
        <w:rPr>
          <w:highlight w:val="yellow"/>
        </w:rPr>
      </w:pPr>
      <w:r w:rsidRPr="00F97284">
        <w:rPr>
          <w:highlight w:val="yellow"/>
        </w:rPr>
        <w:t>user access management; and</w:t>
      </w:r>
    </w:p>
    <w:p w14:paraId="1551F221" w14:textId="77777777" w:rsidR="00F67E9E" w:rsidRPr="00F97284" w:rsidRDefault="00F67E9E" w:rsidP="00F67E9E">
      <w:pPr>
        <w:pStyle w:val="AppendixText3"/>
        <w:tabs>
          <w:tab w:val="clear" w:pos="1800"/>
        </w:tabs>
        <w:ind w:left="1440" w:hanging="720"/>
        <w:rPr>
          <w:highlight w:val="yellow"/>
        </w:rPr>
      </w:pPr>
      <w:r w:rsidRPr="00F97284">
        <w:rPr>
          <w:highlight w:val="yellow"/>
        </w:rPr>
        <w:t>data sanitisation and disposal.</w:t>
      </w:r>
      <w:r>
        <w:rPr>
          <w:highlight w:val="yellow"/>
        </w:rPr>
        <w:t>]</w:t>
      </w:r>
    </w:p>
    <w:p w14:paraId="03C2A69F" w14:textId="77777777" w:rsidR="00F67E9E" w:rsidRPr="001B1EB0" w:rsidRDefault="00F67E9E" w:rsidP="00F67E9E">
      <w:pPr>
        <w:pStyle w:val="AppendixText1"/>
        <w:tabs>
          <w:tab w:val="clear" w:pos="720"/>
        </w:tabs>
      </w:pPr>
      <w:r w:rsidRPr="001B1EB0">
        <w:t>Security Operating Procedures (SyOPs)</w:t>
      </w:r>
    </w:p>
    <w:p w14:paraId="5D7ED1F0" w14:textId="77777777" w:rsidR="00F67E9E" w:rsidRPr="00F97284" w:rsidRDefault="00F67E9E" w:rsidP="00F67E9E">
      <w:pPr>
        <w:pStyle w:val="AppendixText2"/>
      </w:pPr>
      <w:r>
        <w:rPr>
          <w:highlight w:val="yellow"/>
        </w:rPr>
        <w:t>[</w:t>
      </w:r>
      <w:r w:rsidRPr="00F97284">
        <w:rPr>
          <w:highlight w:val="yellow"/>
        </w:rPr>
        <w:t>If needed any SyOps requirements should be included and referenced here.</w:t>
      </w:r>
      <w:r>
        <w:t>]</w:t>
      </w:r>
    </w:p>
    <w:p w14:paraId="6548DC85" w14:textId="77777777" w:rsidR="00F67E9E" w:rsidRPr="001B1EB0" w:rsidRDefault="00F67E9E" w:rsidP="00F67E9E">
      <w:pPr>
        <w:pStyle w:val="AppendixText1"/>
        <w:tabs>
          <w:tab w:val="clear" w:pos="720"/>
        </w:tabs>
      </w:pPr>
      <w:r w:rsidRPr="001B1EB0">
        <w:t>Major Hardware and Software and end of support dates</w:t>
      </w:r>
    </w:p>
    <w:p w14:paraId="3740CF94" w14:textId="77777777" w:rsidR="00F67E9E" w:rsidRPr="00A3495C" w:rsidRDefault="00F67E9E" w:rsidP="00F67E9E">
      <w:pPr>
        <w:pStyle w:val="AppendixText2"/>
      </w:pPr>
      <w:r>
        <w:rPr>
          <w:highlight w:val="yellow"/>
        </w:rPr>
        <w:t>[</w:t>
      </w:r>
      <w:r w:rsidRPr="00F97284">
        <w:rPr>
          <w:highlight w:val="yellow"/>
        </w:rPr>
        <w:t>This should be a table which lists the end of support dates for hardware and software products and components. An example table is shown below.]</w:t>
      </w:r>
    </w:p>
    <w:tbl>
      <w:tblPr>
        <w:tblStyle w:val="MSATable-header"/>
        <w:tblW w:w="10205" w:type="dxa"/>
        <w:tblLook w:val="04A0" w:firstRow="1" w:lastRow="0" w:firstColumn="1" w:lastColumn="0" w:noHBand="0" w:noVBand="1"/>
      </w:tblPr>
      <w:tblGrid>
        <w:gridCol w:w="1701"/>
        <w:gridCol w:w="1984"/>
        <w:gridCol w:w="3685"/>
        <w:gridCol w:w="2835"/>
      </w:tblGrid>
      <w:tr w:rsidR="00F67E9E" w:rsidRPr="001B1EB0" w14:paraId="25F3C5CC" w14:textId="77777777" w:rsidTr="007F74AA">
        <w:trPr>
          <w:cnfStyle w:val="100000000000" w:firstRow="1" w:lastRow="0" w:firstColumn="0" w:lastColumn="0" w:oddVBand="0" w:evenVBand="0" w:oddHBand="0" w:evenHBand="0" w:firstRowFirstColumn="0" w:firstRowLastColumn="0" w:lastRowFirstColumn="0" w:lastRowLastColumn="0"/>
          <w:tblHeader/>
        </w:trPr>
        <w:tc>
          <w:tcPr>
            <w:tcW w:w="1701" w:type="dxa"/>
            <w:vAlign w:val="bottom"/>
          </w:tcPr>
          <w:p w14:paraId="4C6844DF" w14:textId="77777777" w:rsidR="00F67E9E" w:rsidRPr="001B1EB0" w:rsidRDefault="00F67E9E" w:rsidP="007F74AA">
            <w:pPr>
              <w:pStyle w:val="StdBodyText"/>
              <w:spacing w:before="0" w:after="0"/>
              <w:rPr>
                <w:rFonts w:cs="Arial"/>
              </w:rPr>
            </w:pPr>
            <w:r w:rsidRPr="001B1EB0">
              <w:rPr>
                <w:rFonts w:cs="Arial"/>
              </w:rPr>
              <w:t>Name</w:t>
            </w:r>
          </w:p>
        </w:tc>
        <w:tc>
          <w:tcPr>
            <w:tcW w:w="1984" w:type="dxa"/>
            <w:vAlign w:val="bottom"/>
          </w:tcPr>
          <w:p w14:paraId="5726EC43" w14:textId="77777777" w:rsidR="00F67E9E" w:rsidRPr="001B1EB0" w:rsidRDefault="00F67E9E" w:rsidP="007F74AA">
            <w:pPr>
              <w:pStyle w:val="StdBodyText"/>
              <w:spacing w:before="0" w:after="0"/>
              <w:rPr>
                <w:rFonts w:cs="Arial"/>
              </w:rPr>
            </w:pPr>
            <w:r w:rsidRPr="001B1EB0">
              <w:rPr>
                <w:rFonts w:cs="Arial"/>
              </w:rPr>
              <w:t>Version</w:t>
            </w:r>
          </w:p>
        </w:tc>
        <w:tc>
          <w:tcPr>
            <w:tcW w:w="3685" w:type="dxa"/>
            <w:vAlign w:val="bottom"/>
          </w:tcPr>
          <w:p w14:paraId="0B42AA99" w14:textId="77777777" w:rsidR="00F67E9E" w:rsidRPr="001B1EB0" w:rsidRDefault="00F67E9E" w:rsidP="007F74AA">
            <w:pPr>
              <w:pStyle w:val="StdBodyText"/>
              <w:spacing w:before="0" w:after="0"/>
              <w:rPr>
                <w:rFonts w:cs="Arial"/>
              </w:rPr>
            </w:pPr>
            <w:r w:rsidRPr="001B1EB0">
              <w:rPr>
                <w:rFonts w:cs="Arial"/>
              </w:rPr>
              <w:t>End of mainstream Support/</w:t>
            </w:r>
            <w:r>
              <w:rPr>
                <w:rFonts w:cs="Arial"/>
              </w:rPr>
              <w:t xml:space="preserve"> </w:t>
            </w:r>
            <w:r w:rsidRPr="001B1EB0">
              <w:rPr>
                <w:rFonts w:cs="Arial"/>
              </w:rPr>
              <w:t>Extended Support</w:t>
            </w:r>
          </w:p>
        </w:tc>
        <w:tc>
          <w:tcPr>
            <w:tcW w:w="2835" w:type="dxa"/>
            <w:vAlign w:val="bottom"/>
          </w:tcPr>
          <w:p w14:paraId="17976469" w14:textId="77777777" w:rsidR="00F67E9E" w:rsidRPr="001B1EB0" w:rsidRDefault="00F67E9E" w:rsidP="007F74AA">
            <w:pPr>
              <w:pStyle w:val="StdBodyText"/>
              <w:spacing w:before="0" w:after="0"/>
              <w:rPr>
                <w:rFonts w:cs="Arial"/>
              </w:rPr>
            </w:pPr>
            <w:r w:rsidRPr="001B1EB0">
              <w:rPr>
                <w:rFonts w:cs="Arial"/>
              </w:rPr>
              <w:t>Notes/RAG Status</w:t>
            </w:r>
          </w:p>
        </w:tc>
      </w:tr>
      <w:tr w:rsidR="00F67E9E" w:rsidRPr="001B1EB0" w14:paraId="0C58677E" w14:textId="77777777" w:rsidTr="007F74AA">
        <w:tc>
          <w:tcPr>
            <w:tcW w:w="1701" w:type="dxa"/>
          </w:tcPr>
          <w:p w14:paraId="13F7D8B0" w14:textId="77777777" w:rsidR="00F67E9E" w:rsidRPr="001B1EB0" w:rsidRDefault="00F67E9E" w:rsidP="007F74AA">
            <w:pPr>
              <w:pStyle w:val="StdBodyText"/>
              <w:spacing w:before="0" w:after="0"/>
              <w:rPr>
                <w:rFonts w:cs="Arial"/>
              </w:rPr>
            </w:pPr>
            <w:r w:rsidRPr="001B1EB0">
              <w:rPr>
                <w:rFonts w:cs="Arial"/>
              </w:rPr>
              <w:t>Server Host</w:t>
            </w:r>
          </w:p>
        </w:tc>
        <w:tc>
          <w:tcPr>
            <w:tcW w:w="1984" w:type="dxa"/>
          </w:tcPr>
          <w:p w14:paraId="2640868B" w14:textId="77777777" w:rsidR="00F67E9E" w:rsidRPr="001B1EB0" w:rsidRDefault="00F67E9E" w:rsidP="007F74AA">
            <w:pPr>
              <w:pStyle w:val="StdBodyText"/>
              <w:spacing w:before="0" w:after="0"/>
              <w:rPr>
                <w:rFonts w:cs="Arial"/>
              </w:rPr>
            </w:pPr>
            <w:r w:rsidRPr="001B1EB0">
              <w:rPr>
                <w:rFonts w:cs="Arial"/>
              </w:rPr>
              <w:t>HP XXXX</w:t>
            </w:r>
          </w:p>
        </w:tc>
        <w:tc>
          <w:tcPr>
            <w:tcW w:w="3685" w:type="dxa"/>
          </w:tcPr>
          <w:p w14:paraId="14765B97" w14:textId="77777777" w:rsidR="00F67E9E" w:rsidRPr="001B1EB0" w:rsidRDefault="00F67E9E" w:rsidP="007F74AA">
            <w:pPr>
              <w:pStyle w:val="StdBodyText"/>
              <w:spacing w:before="0" w:after="0"/>
              <w:rPr>
                <w:rFonts w:cs="Arial"/>
              </w:rPr>
            </w:pPr>
            <w:r w:rsidRPr="001B1EB0">
              <w:rPr>
                <w:rFonts w:cs="Arial"/>
              </w:rPr>
              <w:t>Feb 2020/ March 2022</w:t>
            </w:r>
          </w:p>
        </w:tc>
        <w:tc>
          <w:tcPr>
            <w:tcW w:w="2835" w:type="dxa"/>
            <w:shd w:val="clear" w:color="auto" w:fill="auto"/>
          </w:tcPr>
          <w:p w14:paraId="1BA46236" w14:textId="77777777" w:rsidR="00F67E9E" w:rsidRPr="001B1EB0" w:rsidRDefault="00F67E9E" w:rsidP="007F74AA">
            <w:pPr>
              <w:pStyle w:val="StdBodyText"/>
              <w:spacing w:before="0" w:after="0"/>
              <w:rPr>
                <w:rFonts w:cs="Arial"/>
              </w:rPr>
            </w:pPr>
          </w:p>
        </w:tc>
      </w:tr>
    </w:tbl>
    <w:p w14:paraId="36871741" w14:textId="77777777" w:rsidR="00F67E9E" w:rsidRPr="001B1EB0" w:rsidRDefault="00F67E9E" w:rsidP="00F67E9E">
      <w:pPr>
        <w:pStyle w:val="StdBodyText"/>
        <w:spacing w:before="0" w:after="0"/>
        <w:rPr>
          <w:rFonts w:cs="Arial"/>
        </w:rPr>
      </w:pPr>
    </w:p>
    <w:p w14:paraId="7793E137" w14:textId="77777777" w:rsidR="00F67E9E" w:rsidRPr="001B1EB0" w:rsidRDefault="00F67E9E" w:rsidP="00F67E9E">
      <w:pPr>
        <w:pStyle w:val="AppendixText1"/>
        <w:tabs>
          <w:tab w:val="clear" w:pos="720"/>
        </w:tabs>
      </w:pPr>
      <w:r w:rsidRPr="001B1EB0">
        <w:t>Incident Management Process</w:t>
      </w:r>
    </w:p>
    <w:p w14:paraId="7F33FB8E" w14:textId="77777777" w:rsidR="00F67E9E" w:rsidRPr="00F97284" w:rsidRDefault="00F67E9E" w:rsidP="00F67E9E">
      <w:pPr>
        <w:pStyle w:val="AppendixText2"/>
        <w:tabs>
          <w:tab w:val="num" w:pos="720"/>
        </w:tabs>
        <w:rPr>
          <w:highlight w:val="yellow"/>
        </w:rPr>
      </w:pPr>
      <w:r>
        <w:rPr>
          <w:highlight w:val="yellow"/>
        </w:rPr>
        <w:t>[</w:t>
      </w:r>
      <w:r w:rsidRPr="00F97284">
        <w:rPr>
          <w:highlight w:val="yellow"/>
        </w:rPr>
        <w:t>The suppliers’ process, as agreed with the Authority/Customer, should be included here. It must as a minimum include the protocol for how and when incidents will be reported to the Authority/customer and the process that will be undertaken to mitigate the incidents and investigate the root cause.</w:t>
      </w:r>
      <w:r>
        <w:rPr>
          <w:highlight w:val="yellow"/>
        </w:rPr>
        <w:t>]</w:t>
      </w:r>
    </w:p>
    <w:p w14:paraId="08466B1A" w14:textId="77777777" w:rsidR="00F67E9E" w:rsidRPr="001B1EB0" w:rsidRDefault="00F67E9E" w:rsidP="00F67E9E">
      <w:pPr>
        <w:pStyle w:val="AppendixText1"/>
        <w:tabs>
          <w:tab w:val="clear" w:pos="720"/>
        </w:tabs>
      </w:pPr>
      <w:r w:rsidRPr="001B1EB0">
        <w:t>Security Requirements for User Organisations</w:t>
      </w:r>
    </w:p>
    <w:p w14:paraId="1087894F" w14:textId="77777777" w:rsidR="00F67E9E" w:rsidRPr="00F97284" w:rsidRDefault="00F67E9E" w:rsidP="00F67E9E">
      <w:pPr>
        <w:pStyle w:val="AppendixText2"/>
        <w:tabs>
          <w:tab w:val="num" w:pos="720"/>
        </w:tabs>
        <w:rPr>
          <w:highlight w:val="yellow"/>
        </w:rPr>
      </w:pPr>
      <w:r>
        <w:rPr>
          <w:highlight w:val="yellow"/>
        </w:rPr>
        <w:t>[</w:t>
      </w:r>
      <w:r w:rsidRPr="00F97284">
        <w:rPr>
          <w:highlight w:val="yellow"/>
        </w:rPr>
        <w:t>Any security requirements for connecting organisations or departments should be included or referenced here.</w:t>
      </w:r>
      <w:r>
        <w:rPr>
          <w:highlight w:val="yellow"/>
        </w:rPr>
        <w:t>]</w:t>
      </w:r>
    </w:p>
    <w:p w14:paraId="3AAB4C67" w14:textId="77777777" w:rsidR="00F67E9E" w:rsidRPr="001B1EB0" w:rsidRDefault="00F67E9E" w:rsidP="00F67E9E">
      <w:pPr>
        <w:pStyle w:val="AppendixText1"/>
        <w:tabs>
          <w:tab w:val="clear" w:pos="720"/>
        </w:tabs>
      </w:pPr>
      <w:r w:rsidRPr="001B1EB0">
        <w:t>Required Changes Register</w:t>
      </w:r>
    </w:p>
    <w:p w14:paraId="589EE7CE" w14:textId="77777777" w:rsidR="00F67E9E" w:rsidRPr="00F97284" w:rsidRDefault="00F67E9E" w:rsidP="00F67E9E">
      <w:pPr>
        <w:pStyle w:val="AppendixText2"/>
        <w:tabs>
          <w:tab w:val="num" w:pos="720"/>
        </w:tabs>
        <w:rPr>
          <w:highlight w:val="yellow"/>
        </w:rPr>
      </w:pPr>
      <w:r>
        <w:rPr>
          <w:highlight w:val="yellow"/>
        </w:rPr>
        <w:t>[</w:t>
      </w:r>
      <w:r w:rsidRPr="00F97284">
        <w:rPr>
          <w:highlight w:val="yellow"/>
        </w:rPr>
        <w:t>The table below shows the headings for the Required Changes Register which should be maintained and used to update the contents of this document at least annually.</w:t>
      </w:r>
      <w:r>
        <w:rPr>
          <w:highlight w:val="yellow"/>
        </w:rPr>
        <w:t>]</w:t>
      </w:r>
    </w:p>
    <w:tbl>
      <w:tblPr>
        <w:tblStyle w:val="MSATable-header"/>
        <w:tblW w:w="10262" w:type="dxa"/>
        <w:tblLook w:val="04A0" w:firstRow="1" w:lastRow="0" w:firstColumn="1" w:lastColumn="0" w:noHBand="0" w:noVBand="1"/>
      </w:tblPr>
      <w:tblGrid>
        <w:gridCol w:w="850"/>
        <w:gridCol w:w="1134"/>
        <w:gridCol w:w="2551"/>
        <w:gridCol w:w="1134"/>
        <w:gridCol w:w="1418"/>
        <w:gridCol w:w="2041"/>
        <w:gridCol w:w="1134"/>
      </w:tblGrid>
      <w:tr w:rsidR="00F67E9E" w:rsidRPr="001B1EB0" w14:paraId="29B12836" w14:textId="77777777" w:rsidTr="007F74AA">
        <w:trPr>
          <w:cnfStyle w:val="100000000000" w:firstRow="1" w:lastRow="0" w:firstColumn="0" w:lastColumn="0" w:oddVBand="0" w:evenVBand="0" w:oddHBand="0" w:evenHBand="0" w:firstRowFirstColumn="0" w:firstRowLastColumn="0" w:lastRowFirstColumn="0" w:lastRowLastColumn="0"/>
          <w:tblHeader/>
        </w:trPr>
        <w:tc>
          <w:tcPr>
            <w:tcW w:w="850" w:type="dxa"/>
            <w:vAlign w:val="bottom"/>
          </w:tcPr>
          <w:p w14:paraId="632FA240" w14:textId="77777777" w:rsidR="00F67E9E" w:rsidRPr="001B1EB0" w:rsidRDefault="00F67E9E" w:rsidP="007F74AA">
            <w:pPr>
              <w:pStyle w:val="StdBodyText"/>
              <w:spacing w:before="0" w:after="0"/>
              <w:rPr>
                <w:rFonts w:cs="Arial"/>
              </w:rPr>
            </w:pPr>
            <w:r w:rsidRPr="001B1EB0">
              <w:rPr>
                <w:rFonts w:cs="Arial"/>
              </w:rPr>
              <w:t>Ref</w:t>
            </w:r>
          </w:p>
        </w:tc>
        <w:tc>
          <w:tcPr>
            <w:tcW w:w="1134" w:type="dxa"/>
            <w:vAlign w:val="bottom"/>
          </w:tcPr>
          <w:p w14:paraId="357057FA" w14:textId="77777777" w:rsidR="00F67E9E" w:rsidRPr="001B1EB0" w:rsidRDefault="00F67E9E" w:rsidP="007F74AA">
            <w:pPr>
              <w:pStyle w:val="StdBodyText"/>
              <w:spacing w:before="0" w:after="0"/>
              <w:rPr>
                <w:rFonts w:cs="Arial"/>
              </w:rPr>
            </w:pPr>
            <w:r w:rsidRPr="001B1EB0">
              <w:rPr>
                <w:rFonts w:cs="Arial"/>
              </w:rPr>
              <w:t>Section</w:t>
            </w:r>
          </w:p>
        </w:tc>
        <w:tc>
          <w:tcPr>
            <w:tcW w:w="2551" w:type="dxa"/>
            <w:vAlign w:val="bottom"/>
          </w:tcPr>
          <w:p w14:paraId="31EBECC9" w14:textId="77777777" w:rsidR="00F67E9E" w:rsidRPr="001B1EB0" w:rsidRDefault="00F67E9E" w:rsidP="007F74AA">
            <w:pPr>
              <w:pStyle w:val="StdBodyText"/>
              <w:spacing w:before="0" w:after="0"/>
              <w:rPr>
                <w:rFonts w:cs="Arial"/>
              </w:rPr>
            </w:pPr>
            <w:r w:rsidRPr="001B1EB0">
              <w:rPr>
                <w:rFonts w:cs="Arial"/>
              </w:rPr>
              <w:t>Change</w:t>
            </w:r>
          </w:p>
        </w:tc>
        <w:tc>
          <w:tcPr>
            <w:tcW w:w="1134" w:type="dxa"/>
            <w:vAlign w:val="bottom"/>
          </w:tcPr>
          <w:p w14:paraId="42E7A220" w14:textId="77777777" w:rsidR="00F67E9E" w:rsidRPr="001B1EB0" w:rsidRDefault="00F67E9E" w:rsidP="007F74AA">
            <w:pPr>
              <w:pStyle w:val="StdBodyText"/>
              <w:spacing w:before="0" w:after="0"/>
              <w:rPr>
                <w:rFonts w:cs="Arial"/>
              </w:rPr>
            </w:pPr>
            <w:r w:rsidRPr="001B1EB0">
              <w:rPr>
                <w:rFonts w:cs="Arial"/>
              </w:rPr>
              <w:t>Agreed With</w:t>
            </w:r>
          </w:p>
        </w:tc>
        <w:tc>
          <w:tcPr>
            <w:tcW w:w="1418" w:type="dxa"/>
            <w:vAlign w:val="bottom"/>
          </w:tcPr>
          <w:p w14:paraId="4B438DED" w14:textId="77777777" w:rsidR="00F67E9E" w:rsidRPr="001B1EB0" w:rsidRDefault="00F67E9E" w:rsidP="007F74AA">
            <w:pPr>
              <w:pStyle w:val="StdBodyText"/>
              <w:spacing w:before="0" w:after="0"/>
              <w:rPr>
                <w:rFonts w:cs="Arial"/>
              </w:rPr>
            </w:pPr>
            <w:r w:rsidRPr="001B1EB0">
              <w:rPr>
                <w:rFonts w:cs="Arial"/>
              </w:rPr>
              <w:t>Date agreed</w:t>
            </w:r>
          </w:p>
        </w:tc>
        <w:tc>
          <w:tcPr>
            <w:tcW w:w="2041" w:type="dxa"/>
            <w:vAlign w:val="bottom"/>
          </w:tcPr>
          <w:p w14:paraId="79A890F0" w14:textId="77777777" w:rsidR="00F67E9E" w:rsidRPr="001B1EB0" w:rsidRDefault="00F67E9E" w:rsidP="007F74AA">
            <w:pPr>
              <w:pStyle w:val="StdBodyText"/>
              <w:spacing w:before="0" w:after="0"/>
              <w:rPr>
                <w:rFonts w:cs="Arial"/>
              </w:rPr>
            </w:pPr>
            <w:r w:rsidRPr="001B1EB0">
              <w:rPr>
                <w:rFonts w:cs="Arial"/>
              </w:rPr>
              <w:t>Documentation update</w:t>
            </w:r>
          </w:p>
        </w:tc>
        <w:tc>
          <w:tcPr>
            <w:tcW w:w="1134" w:type="dxa"/>
            <w:vAlign w:val="bottom"/>
          </w:tcPr>
          <w:p w14:paraId="52CD5134" w14:textId="77777777" w:rsidR="00F67E9E" w:rsidRPr="001B1EB0" w:rsidRDefault="00F67E9E" w:rsidP="007F74AA">
            <w:pPr>
              <w:pStyle w:val="StdBodyText"/>
              <w:spacing w:before="0" w:after="0"/>
              <w:rPr>
                <w:rFonts w:cs="Arial"/>
              </w:rPr>
            </w:pPr>
            <w:r w:rsidRPr="001B1EB0">
              <w:rPr>
                <w:rFonts w:cs="Arial"/>
              </w:rPr>
              <w:t>Status</w:t>
            </w:r>
          </w:p>
        </w:tc>
      </w:tr>
      <w:tr w:rsidR="00F67E9E" w:rsidRPr="001B1EB0" w14:paraId="693CFE60" w14:textId="77777777" w:rsidTr="007F74AA">
        <w:tc>
          <w:tcPr>
            <w:tcW w:w="850" w:type="dxa"/>
          </w:tcPr>
          <w:p w14:paraId="0C605DD0" w14:textId="77777777" w:rsidR="00F67E9E" w:rsidRPr="001B1EB0" w:rsidRDefault="00F67E9E" w:rsidP="007F74AA">
            <w:pPr>
              <w:pStyle w:val="StdBodyText"/>
              <w:spacing w:before="0" w:after="0"/>
              <w:rPr>
                <w:rFonts w:cs="Arial"/>
              </w:rPr>
            </w:pPr>
            <w:r w:rsidRPr="001B1EB0">
              <w:rPr>
                <w:rFonts w:cs="Arial"/>
              </w:rPr>
              <w:t>1</w:t>
            </w:r>
          </w:p>
        </w:tc>
        <w:tc>
          <w:tcPr>
            <w:tcW w:w="1134" w:type="dxa"/>
          </w:tcPr>
          <w:p w14:paraId="67FB9EE5" w14:textId="77777777" w:rsidR="00F67E9E" w:rsidRPr="001B1EB0" w:rsidRDefault="00F67E9E" w:rsidP="007F74AA">
            <w:pPr>
              <w:pStyle w:val="StdBodyText"/>
              <w:spacing w:before="0" w:after="0"/>
              <w:rPr>
                <w:rFonts w:cs="Arial"/>
              </w:rPr>
            </w:pPr>
            <w:r w:rsidRPr="001B1EB0">
              <w:rPr>
                <w:rFonts w:cs="Arial"/>
              </w:rPr>
              <w:t>6.4</w:t>
            </w:r>
          </w:p>
        </w:tc>
        <w:tc>
          <w:tcPr>
            <w:tcW w:w="2551" w:type="dxa"/>
          </w:tcPr>
          <w:p w14:paraId="3B0BA915" w14:textId="77777777" w:rsidR="00F67E9E" w:rsidRPr="001B1EB0" w:rsidRDefault="00F67E9E" w:rsidP="007F74AA">
            <w:pPr>
              <w:pStyle w:val="StdBodyText"/>
              <w:spacing w:before="0" w:after="0"/>
              <w:rPr>
                <w:rFonts w:cs="Arial"/>
              </w:rPr>
            </w:pPr>
            <w:r w:rsidRPr="001B1EB0">
              <w:rPr>
                <w:rFonts w:cs="Arial"/>
              </w:rPr>
              <w:t>A new Third Party supplier XXXX will be performing the print capability.</w:t>
            </w:r>
          </w:p>
        </w:tc>
        <w:tc>
          <w:tcPr>
            <w:tcW w:w="1134" w:type="dxa"/>
          </w:tcPr>
          <w:p w14:paraId="49626810" w14:textId="77777777" w:rsidR="00F67E9E" w:rsidRPr="001B1EB0" w:rsidRDefault="00F67E9E" w:rsidP="007F74AA">
            <w:pPr>
              <w:pStyle w:val="StdBodyText"/>
              <w:spacing w:before="0" w:after="0"/>
              <w:rPr>
                <w:rFonts w:cs="Arial"/>
              </w:rPr>
            </w:pPr>
            <w:r w:rsidRPr="001B1EB0">
              <w:rPr>
                <w:rFonts w:cs="Arial"/>
              </w:rPr>
              <w:t>Authority name</w:t>
            </w:r>
          </w:p>
        </w:tc>
        <w:tc>
          <w:tcPr>
            <w:tcW w:w="1418" w:type="dxa"/>
          </w:tcPr>
          <w:p w14:paraId="5F3F1B0E" w14:textId="77777777" w:rsidR="00F67E9E" w:rsidRPr="001B1EB0" w:rsidRDefault="00F67E9E" w:rsidP="007F74AA">
            <w:pPr>
              <w:pStyle w:val="StdBodyText"/>
              <w:spacing w:before="0" w:after="0"/>
              <w:rPr>
                <w:rFonts w:cs="Arial"/>
              </w:rPr>
            </w:pPr>
            <w:r w:rsidRPr="001B1EB0">
              <w:rPr>
                <w:rFonts w:cs="Arial"/>
              </w:rPr>
              <w:t>11/11/2018</w:t>
            </w:r>
          </w:p>
        </w:tc>
        <w:tc>
          <w:tcPr>
            <w:tcW w:w="2041" w:type="dxa"/>
          </w:tcPr>
          <w:p w14:paraId="12FDE1D9" w14:textId="77777777" w:rsidR="00F67E9E" w:rsidRPr="001B1EB0" w:rsidRDefault="00F67E9E" w:rsidP="007F74AA">
            <w:pPr>
              <w:pStyle w:val="StdBodyText"/>
              <w:spacing w:before="0" w:after="0"/>
              <w:rPr>
                <w:rFonts w:cs="Arial"/>
              </w:rPr>
            </w:pPr>
            <w:r w:rsidRPr="001B1EB0">
              <w:rPr>
                <w:rFonts w:cs="Arial"/>
              </w:rPr>
              <w:t>Jul-2019</w:t>
            </w:r>
          </w:p>
        </w:tc>
        <w:tc>
          <w:tcPr>
            <w:tcW w:w="1134" w:type="dxa"/>
          </w:tcPr>
          <w:p w14:paraId="30CDFBAE" w14:textId="77777777" w:rsidR="00F67E9E" w:rsidRPr="001B1EB0" w:rsidRDefault="00F67E9E" w:rsidP="007F74AA">
            <w:pPr>
              <w:pStyle w:val="StdBodyText"/>
              <w:spacing w:before="0" w:after="0"/>
              <w:rPr>
                <w:rFonts w:cs="Arial"/>
              </w:rPr>
            </w:pPr>
            <w:r w:rsidRPr="001B1EB0">
              <w:rPr>
                <w:rFonts w:cs="Arial"/>
              </w:rPr>
              <w:t>Open</w:t>
            </w:r>
          </w:p>
        </w:tc>
      </w:tr>
    </w:tbl>
    <w:p w14:paraId="63F7A39B" w14:textId="77777777" w:rsidR="00F67E9E" w:rsidRPr="00E20763" w:rsidRDefault="00F67E9E" w:rsidP="00F67E9E">
      <w:pPr>
        <w:pStyle w:val="StdBodyText"/>
        <w:spacing w:before="0" w:after="0"/>
        <w:rPr>
          <w:rFonts w:cs="Arial"/>
        </w:rPr>
      </w:pPr>
    </w:p>
    <w:p w14:paraId="2E4C5F61" w14:textId="77777777" w:rsidR="00F67E9E" w:rsidRPr="00024F2F" w:rsidRDefault="00F67E9E" w:rsidP="00F67E9E">
      <w:pPr>
        <w:pStyle w:val="AppendixText1"/>
      </w:pPr>
      <w:r w:rsidRPr="00024F2F">
        <w:t>Sub-contractors</w:t>
      </w:r>
    </w:p>
    <w:p w14:paraId="42F3DF8F" w14:textId="77777777" w:rsidR="00F67E9E" w:rsidRPr="00F97284" w:rsidRDefault="00F67E9E" w:rsidP="00F67E9E">
      <w:pPr>
        <w:pStyle w:val="AppendixText2"/>
        <w:tabs>
          <w:tab w:val="num" w:pos="720"/>
        </w:tabs>
        <w:rPr>
          <w:highlight w:val="yellow"/>
        </w:rPr>
      </w:pPr>
      <w:r>
        <w:rPr>
          <w:highlight w:val="yellow"/>
        </w:rPr>
        <w:t>[</w:t>
      </w:r>
      <w:r w:rsidRPr="00F97284">
        <w:rPr>
          <w:highlight w:val="yellow"/>
        </w:rPr>
        <w:t>This should include a table which shows for each Sub-contractor their name, the function that they are performing, the data and data volume being processed, the location, and their certification status</w:t>
      </w:r>
      <w:r>
        <w:rPr>
          <w:highlight w:val="yellow"/>
        </w:rPr>
        <w:t>]</w:t>
      </w:r>
    </w:p>
    <w:p w14:paraId="20D44A31" w14:textId="77777777" w:rsidR="00F67E9E" w:rsidRPr="00024F2F" w:rsidRDefault="00F67E9E" w:rsidP="00F67E9E">
      <w:pPr>
        <w:pStyle w:val="AppendixText1"/>
      </w:pPr>
      <w:bookmarkStart w:id="578" w:name="_9kR3WTr2CC599HCwozW"/>
      <w:r w:rsidRPr="00024F2F">
        <w:t>Annex A</w:t>
      </w:r>
      <w:bookmarkEnd w:id="578"/>
      <w:r w:rsidRPr="00024F2F">
        <w:t xml:space="preserve">. ISO/IEC 27001 </w:t>
      </w:r>
      <w:r w:rsidRPr="002E7013">
        <w:rPr>
          <w:rFonts w:cs="Arial"/>
        </w:rPr>
        <w:t>(at least ISO/IEC 27001:2013)</w:t>
      </w:r>
      <w:r w:rsidRPr="00024F2F">
        <w:t xml:space="preserve"> and/or Cyber Essential Plus certificates</w:t>
      </w:r>
    </w:p>
    <w:p w14:paraId="0B2EFA18" w14:textId="77777777" w:rsidR="00F67E9E" w:rsidRPr="00F97284" w:rsidRDefault="00F67E9E" w:rsidP="00F67E9E">
      <w:pPr>
        <w:pStyle w:val="AppendixText2"/>
        <w:tabs>
          <w:tab w:val="num" w:pos="720"/>
        </w:tabs>
        <w:rPr>
          <w:highlight w:val="yellow"/>
        </w:rPr>
      </w:pPr>
      <w:r>
        <w:rPr>
          <w:highlight w:val="yellow"/>
        </w:rPr>
        <w:t>[</w:t>
      </w:r>
      <w:r w:rsidRPr="00F97284">
        <w:rPr>
          <w:highlight w:val="yellow"/>
        </w:rPr>
        <w:t>Any certifications relied upon should have their certificates included</w:t>
      </w:r>
      <w:r>
        <w:rPr>
          <w:highlight w:val="yellow"/>
        </w:rPr>
        <w:t>]</w:t>
      </w:r>
    </w:p>
    <w:p w14:paraId="243D185A" w14:textId="77777777" w:rsidR="00F67E9E" w:rsidRPr="00024F2F" w:rsidRDefault="00F67E9E" w:rsidP="00F67E9E">
      <w:pPr>
        <w:pStyle w:val="AppendixText1"/>
      </w:pPr>
      <w:bookmarkStart w:id="579" w:name="_9kR3WTr2CC59AICwozX"/>
      <w:r w:rsidRPr="00024F2F">
        <w:t>Annex B</w:t>
      </w:r>
      <w:bookmarkEnd w:id="579"/>
      <w:r w:rsidRPr="00024F2F">
        <w:t>. Cloud Security Principles assessment</w:t>
      </w:r>
    </w:p>
    <w:p w14:paraId="56DBFFEC" w14:textId="77777777" w:rsidR="00F67E9E" w:rsidRPr="00F97284" w:rsidRDefault="00F67E9E" w:rsidP="00F67E9E">
      <w:pPr>
        <w:pStyle w:val="AppendixText2"/>
        <w:tabs>
          <w:tab w:val="num" w:pos="720"/>
        </w:tabs>
        <w:rPr>
          <w:highlight w:val="yellow"/>
        </w:rPr>
      </w:pPr>
      <w:r>
        <w:rPr>
          <w:highlight w:val="yellow"/>
        </w:rPr>
        <w:t>[</w:t>
      </w:r>
      <w:r w:rsidRPr="00F97284">
        <w:rPr>
          <w:highlight w:val="yellow"/>
        </w:rPr>
        <w:t>A spreadsheet may be attached</w:t>
      </w:r>
      <w:r>
        <w:rPr>
          <w:highlight w:val="yellow"/>
        </w:rPr>
        <w:t>]</w:t>
      </w:r>
    </w:p>
    <w:p w14:paraId="50F5E8A9" w14:textId="77777777" w:rsidR="00F67E9E" w:rsidRPr="00024F2F" w:rsidRDefault="00F67E9E" w:rsidP="00F67E9E">
      <w:pPr>
        <w:pStyle w:val="AppendixText1"/>
      </w:pPr>
      <w:bookmarkStart w:id="580" w:name="_9kR3WTr2CC59EMCwozY"/>
      <w:r w:rsidRPr="00024F2F">
        <w:t>Annex C</w:t>
      </w:r>
      <w:bookmarkEnd w:id="580"/>
      <w:r w:rsidRPr="00024F2F">
        <w:t>. Protecting Bulk Data assessment if required by the Authority/Customer</w:t>
      </w:r>
    </w:p>
    <w:p w14:paraId="04EB72C4" w14:textId="77777777" w:rsidR="00F67E9E" w:rsidRPr="00F97284" w:rsidRDefault="00F67E9E" w:rsidP="00F67E9E">
      <w:pPr>
        <w:pStyle w:val="AppendixText2"/>
        <w:tabs>
          <w:tab w:val="num" w:pos="720"/>
        </w:tabs>
        <w:rPr>
          <w:highlight w:val="yellow"/>
        </w:rPr>
      </w:pPr>
      <w:r>
        <w:rPr>
          <w:highlight w:val="yellow"/>
        </w:rPr>
        <w:t>[</w:t>
      </w:r>
      <w:r w:rsidRPr="00F97284">
        <w:rPr>
          <w:highlight w:val="yellow"/>
        </w:rPr>
        <w:t>A spreadsheet may be attached</w:t>
      </w:r>
      <w:r>
        <w:rPr>
          <w:highlight w:val="yellow"/>
        </w:rPr>
        <w:t>]</w:t>
      </w:r>
    </w:p>
    <w:p w14:paraId="579E74BC" w14:textId="77777777" w:rsidR="00F67E9E" w:rsidRDefault="00F67E9E" w:rsidP="00F67E9E">
      <w:pPr>
        <w:pStyle w:val="AppendixText1"/>
      </w:pPr>
      <w:bookmarkStart w:id="581" w:name="_9kR3WTr2CC59FNCwoza"/>
      <w:r w:rsidRPr="00024F2F">
        <w:t xml:space="preserve">Annex </w:t>
      </w:r>
      <w:bookmarkEnd w:id="581"/>
      <w:r w:rsidRPr="00024F2F">
        <w:t xml:space="preserve">D. Latest ITHC report and </w:t>
      </w:r>
      <w:r w:rsidRPr="00E34031">
        <w:rPr>
          <w:rFonts w:cs="Arial"/>
        </w:rPr>
        <w:t>Remediation Action</w:t>
      </w:r>
      <w:r w:rsidRPr="00024F2F">
        <w:t xml:space="preserve"> Plan</w:t>
      </w:r>
    </w:p>
    <w:p w14:paraId="74F13E97" w14:textId="77777777" w:rsidR="00F67E9E" w:rsidRDefault="00F67E9E" w:rsidP="00F67E9E">
      <w:pPr>
        <w:tabs>
          <w:tab w:val="num" w:pos="720"/>
        </w:tabs>
        <w:ind w:left="720" w:hanging="720"/>
      </w:pPr>
    </w:p>
    <w:p w14:paraId="65FB0F14" w14:textId="77777777" w:rsidR="00F67E9E" w:rsidRDefault="00F67E9E" w:rsidP="00F67E9E">
      <w:pPr>
        <w:pStyle w:val="Heading2"/>
        <w:pageBreakBefore/>
      </w:pPr>
      <w:bookmarkStart w:id="582" w:name="Sch5PartB"/>
      <w:bookmarkStart w:id="583" w:name="_Ref_ContractCompanion_9kb9Ur4BD"/>
      <w:bookmarkStart w:id="584" w:name="_Ref_ContractCompanion_9kb9Ur4BF"/>
      <w:bookmarkStart w:id="585" w:name="_Toc141711913"/>
      <w:r w:rsidRPr="004472FD">
        <w:t>Part</w:t>
      </w:r>
      <w:r w:rsidRPr="00024F2F">
        <w:t> B</w:t>
      </w:r>
      <w:bookmarkEnd w:id="582"/>
      <w:r w:rsidRPr="00024F2F">
        <w:t>: Security Accreditation</w:t>
      </w:r>
      <w:bookmarkEnd w:id="583"/>
      <w:bookmarkEnd w:id="584"/>
      <w:bookmarkEnd w:id="585"/>
    </w:p>
    <w:p w14:paraId="6B7E6594" w14:textId="77777777" w:rsidR="00F67E9E" w:rsidRPr="00024F2F" w:rsidRDefault="00F67E9E" w:rsidP="00F67E9E">
      <w:pPr>
        <w:pStyle w:val="Numbered1"/>
        <w:numPr>
          <w:ilvl w:val="0"/>
          <w:numId w:val="162"/>
        </w:numPr>
      </w:pPr>
      <w:r w:rsidRPr="00024F2F">
        <w:t>Definitions</w:t>
      </w:r>
    </w:p>
    <w:p w14:paraId="6B0BCD82" w14:textId="77777777" w:rsidR="00F67E9E" w:rsidRPr="00024F2F" w:rsidRDefault="00F67E9E" w:rsidP="00F67E9E">
      <w:pPr>
        <w:pStyle w:val="Numbered11"/>
      </w:pPr>
      <w:r w:rsidRPr="00024F2F">
        <w:t>In this Schedule, the following definitions shall apply:</w:t>
      </w:r>
    </w:p>
    <w:tbl>
      <w:tblPr>
        <w:tblStyle w:val="MSAdefinitions"/>
        <w:tblW w:w="9638" w:type="dxa"/>
        <w:tblLook w:val="04A0" w:firstRow="1" w:lastRow="0" w:firstColumn="1" w:lastColumn="0" w:noHBand="0" w:noVBand="1"/>
      </w:tblPr>
      <w:tblGrid>
        <w:gridCol w:w="2835"/>
        <w:gridCol w:w="6803"/>
      </w:tblGrid>
      <w:tr w:rsidR="00F67E9E" w:rsidRPr="00024F2F" w14:paraId="761D0AD9" w14:textId="77777777" w:rsidTr="007F74AA">
        <w:tc>
          <w:tcPr>
            <w:tcW w:w="2835" w:type="dxa"/>
          </w:tcPr>
          <w:p w14:paraId="3ED7E00C" w14:textId="77777777" w:rsidR="00F67E9E" w:rsidRPr="00024F2F" w:rsidRDefault="00F67E9E" w:rsidP="007F74AA">
            <w:pPr>
              <w:pStyle w:val="StdBodyTextBold"/>
              <w:rPr>
                <w:rFonts w:cs="Arial"/>
              </w:rPr>
            </w:pPr>
            <w:r>
              <w:rPr>
                <w:rFonts w:cs="Arial"/>
              </w:rPr>
              <w:t>“</w:t>
            </w:r>
            <w:r w:rsidRPr="00024F2F">
              <w:rPr>
                <w:rFonts w:cs="Arial"/>
              </w:rPr>
              <w:t>Accreditation</w:t>
            </w:r>
            <w:r>
              <w:rPr>
                <w:rFonts w:cs="Arial"/>
              </w:rPr>
              <w:t>”</w:t>
            </w:r>
          </w:p>
        </w:tc>
        <w:tc>
          <w:tcPr>
            <w:tcW w:w="6803" w:type="dxa"/>
          </w:tcPr>
          <w:p w14:paraId="7ABB14E2" w14:textId="5DD29826" w:rsidR="00F67E9E" w:rsidRPr="00024F2F" w:rsidRDefault="00F67E9E" w:rsidP="007F74AA">
            <w:pPr>
              <w:pStyle w:val="StdBodyText"/>
              <w:rPr>
                <w:rFonts w:cs="Arial"/>
              </w:rPr>
            </w:pPr>
            <w:r w:rsidRPr="00024F2F">
              <w:rPr>
                <w:rFonts w:cs="Arial"/>
              </w:rPr>
              <w:t xml:space="preserve">means the assessment of the Core Information Management System in accordance with </w:t>
            </w:r>
            <w:bookmarkStart w:id="586" w:name="_9kMIH5YVt4DDCFDbGpqgyts0I"/>
            <w:r w:rsidRPr="00024F2F">
              <w:rPr>
                <w:rFonts w:cs="Arial"/>
              </w:rPr>
              <w:t xml:space="preserve">Paragraph </w:t>
            </w:r>
            <w:r w:rsidRPr="00024F2F">
              <w:rPr>
                <w:rFonts w:cs="Arial"/>
              </w:rPr>
              <w:fldChar w:fldCharType="begin"/>
            </w:r>
            <w:r w:rsidRPr="00024F2F">
              <w:rPr>
                <w:rFonts w:cs="Arial"/>
              </w:rPr>
              <w:instrText xml:space="preserve"> REF _Ref_ContractCompanion_9kb9Ur68A \w \n \h \t \* MERGEFORMAT </w:instrText>
            </w:r>
            <w:r w:rsidRPr="00024F2F">
              <w:rPr>
                <w:rFonts w:cs="Arial"/>
              </w:rPr>
            </w:r>
            <w:r w:rsidRPr="00024F2F">
              <w:rPr>
                <w:rFonts w:cs="Arial"/>
              </w:rPr>
              <w:fldChar w:fldCharType="separate"/>
            </w:r>
            <w:r w:rsidR="00302D39">
              <w:rPr>
                <w:rFonts w:cs="Arial"/>
              </w:rPr>
              <w:t>6</w:t>
            </w:r>
            <w:r w:rsidRPr="00024F2F">
              <w:rPr>
                <w:rFonts w:cs="Arial"/>
              </w:rPr>
              <w:fldChar w:fldCharType="end"/>
            </w:r>
            <w:bookmarkEnd w:id="586"/>
            <w:r w:rsidRPr="00024F2F">
              <w:rPr>
                <w:rFonts w:cs="Arial"/>
              </w:rPr>
              <w:t xml:space="preserve"> by the Authority or an independent information risk manager/professional appointed by the Authority, which results in an Accreditation Decision;</w:t>
            </w:r>
          </w:p>
        </w:tc>
      </w:tr>
      <w:tr w:rsidR="00F67E9E" w:rsidRPr="00024F2F" w14:paraId="2A177B50" w14:textId="77777777" w:rsidTr="007F74AA">
        <w:tc>
          <w:tcPr>
            <w:tcW w:w="2835" w:type="dxa"/>
          </w:tcPr>
          <w:p w14:paraId="533624A3" w14:textId="77777777" w:rsidR="00F67E9E" w:rsidRPr="00024F2F" w:rsidRDefault="00F67E9E" w:rsidP="007F74AA">
            <w:pPr>
              <w:pStyle w:val="StdBodyTextBold"/>
              <w:rPr>
                <w:rFonts w:cs="Arial"/>
              </w:rPr>
            </w:pPr>
            <w:r>
              <w:rPr>
                <w:rFonts w:cs="Arial"/>
              </w:rPr>
              <w:t>“</w:t>
            </w:r>
            <w:r w:rsidRPr="00024F2F">
              <w:rPr>
                <w:rFonts w:cs="Arial"/>
              </w:rPr>
              <w:t>Accreditation Decision</w:t>
            </w:r>
            <w:r>
              <w:rPr>
                <w:rFonts w:cs="Arial"/>
              </w:rPr>
              <w:t>”</w:t>
            </w:r>
          </w:p>
        </w:tc>
        <w:tc>
          <w:tcPr>
            <w:tcW w:w="6803" w:type="dxa"/>
          </w:tcPr>
          <w:p w14:paraId="5F285A27" w14:textId="40CA2372" w:rsidR="00F67E9E" w:rsidRPr="00024F2F" w:rsidRDefault="00F67E9E" w:rsidP="007F74AA">
            <w:pPr>
              <w:pStyle w:val="StdBodyText"/>
              <w:rPr>
                <w:rFonts w:cs="Arial"/>
              </w:rPr>
            </w:pPr>
            <w:r w:rsidRPr="00024F2F">
              <w:rPr>
                <w:rFonts w:cs="Arial"/>
              </w:rPr>
              <w:t xml:space="preserve">means is the decision of the Authority, taken in accordance with the process set out in </w:t>
            </w:r>
            <w:bookmarkStart w:id="587" w:name="_9kMJI5YVt4DDCFDbGpqgyts0I"/>
            <w:r w:rsidRPr="00024F2F">
              <w:rPr>
                <w:rFonts w:cs="Arial"/>
              </w:rPr>
              <w:t xml:space="preserve">Paragraph </w:t>
            </w:r>
            <w:r w:rsidRPr="00024F2F">
              <w:rPr>
                <w:rFonts w:cs="Arial"/>
              </w:rPr>
              <w:fldChar w:fldCharType="begin"/>
            </w:r>
            <w:r w:rsidRPr="00024F2F">
              <w:rPr>
                <w:rFonts w:cs="Arial"/>
              </w:rPr>
              <w:instrText xml:space="preserve"> REF _Ref_ContractCompanion_9kb9Ur68C \w \n \h \t \* MERGEFORMAT </w:instrText>
            </w:r>
            <w:r w:rsidRPr="00024F2F">
              <w:rPr>
                <w:rFonts w:cs="Arial"/>
              </w:rPr>
            </w:r>
            <w:r w:rsidRPr="00024F2F">
              <w:rPr>
                <w:rFonts w:cs="Arial"/>
              </w:rPr>
              <w:fldChar w:fldCharType="separate"/>
            </w:r>
            <w:r w:rsidR="00302D39">
              <w:rPr>
                <w:rFonts w:cs="Arial"/>
              </w:rPr>
              <w:t>6</w:t>
            </w:r>
            <w:r w:rsidRPr="00024F2F">
              <w:rPr>
                <w:rFonts w:cs="Arial"/>
              </w:rPr>
              <w:fldChar w:fldCharType="end"/>
            </w:r>
            <w:bookmarkEnd w:id="587"/>
            <w:r w:rsidRPr="00024F2F">
              <w:rPr>
                <w:rFonts w:cs="Arial"/>
              </w:rPr>
              <w:t>, to issue the Supplier with a Residual Risk Statement or a Risk Management Rejection Notice in respect of the Core Information Management System;</w:t>
            </w:r>
          </w:p>
        </w:tc>
      </w:tr>
      <w:tr w:rsidR="00F67E9E" w:rsidRPr="00024F2F" w14:paraId="761F2EB2" w14:textId="77777777" w:rsidTr="007F74AA">
        <w:tc>
          <w:tcPr>
            <w:tcW w:w="2835" w:type="dxa"/>
          </w:tcPr>
          <w:p w14:paraId="61E26A2D" w14:textId="77777777" w:rsidR="00F67E9E" w:rsidRPr="00024F2F" w:rsidRDefault="00F67E9E" w:rsidP="007F74AA">
            <w:pPr>
              <w:pStyle w:val="StdBodyTextBold"/>
              <w:rPr>
                <w:rFonts w:cs="Arial"/>
              </w:rPr>
            </w:pPr>
            <w:r>
              <w:rPr>
                <w:rFonts w:cs="Arial"/>
              </w:rPr>
              <w:t>“</w:t>
            </w:r>
            <w:r w:rsidRPr="00024F2F">
              <w:rPr>
                <w:rFonts w:cs="Arial"/>
              </w:rPr>
              <w:t>Accreditation Plan</w:t>
            </w:r>
          </w:p>
        </w:tc>
        <w:tc>
          <w:tcPr>
            <w:tcW w:w="6803" w:type="dxa"/>
          </w:tcPr>
          <w:p w14:paraId="46103071" w14:textId="6CBB0348" w:rsidR="00F67E9E" w:rsidRPr="00024F2F" w:rsidRDefault="00F67E9E" w:rsidP="007F74AA">
            <w:pPr>
              <w:pStyle w:val="StdBodyText"/>
              <w:rPr>
                <w:rFonts w:cs="Arial"/>
              </w:rPr>
            </w:pPr>
            <w:r w:rsidRPr="00024F2F">
              <w:rPr>
                <w:rFonts w:cs="Arial"/>
              </w:rPr>
              <w:t>means the Supplier</w:t>
            </w:r>
            <w:r>
              <w:rPr>
                <w:rFonts w:cs="Arial"/>
              </w:rPr>
              <w:t>’</w:t>
            </w:r>
            <w:r w:rsidRPr="00024F2F">
              <w:rPr>
                <w:rFonts w:cs="Arial"/>
              </w:rPr>
              <w:t xml:space="preserve">s plan to attain a Residual Risk Statement from the Authority, which is prepared by the Supplier and approved by the Authority in accordance with </w:t>
            </w:r>
            <w:bookmarkStart w:id="588" w:name="_9kMHG5YVtCIADNIGMkTlXSj0G58PtQyzty568O1"/>
            <w:r w:rsidRPr="00024F2F">
              <w:rPr>
                <w:rFonts w:cs="Arial"/>
              </w:rPr>
              <w:t xml:space="preserve">Paragraph </w:t>
            </w:r>
            <w:r w:rsidRPr="00024F2F">
              <w:rPr>
                <w:rFonts w:cs="Arial"/>
              </w:rPr>
              <w:fldChar w:fldCharType="begin"/>
            </w:r>
            <w:r w:rsidRPr="00024F2F">
              <w:rPr>
                <w:rFonts w:cs="Arial"/>
              </w:rPr>
              <w:instrText xml:space="preserve"> REF _Ref_ContractCompanion_9kb9Ur7GJ \n \h \t \* MERGEFORMAT </w:instrText>
            </w:r>
            <w:r w:rsidRPr="00024F2F">
              <w:rPr>
                <w:rFonts w:cs="Arial"/>
              </w:rPr>
            </w:r>
            <w:r w:rsidRPr="00024F2F">
              <w:rPr>
                <w:rFonts w:cs="Arial"/>
              </w:rPr>
              <w:fldChar w:fldCharType="separate"/>
            </w:r>
            <w:r w:rsidR="00302D39">
              <w:rPr>
                <w:rFonts w:cs="Arial"/>
              </w:rPr>
              <w:t>6.6</w:t>
            </w:r>
            <w:r w:rsidRPr="00024F2F">
              <w:rPr>
                <w:rFonts w:cs="Arial"/>
              </w:rPr>
              <w:fldChar w:fldCharType="end"/>
            </w:r>
            <w:bookmarkEnd w:id="588"/>
            <w:r w:rsidRPr="00024F2F">
              <w:rPr>
                <w:rFonts w:cs="Arial"/>
              </w:rPr>
              <w:t>;</w:t>
            </w:r>
          </w:p>
        </w:tc>
      </w:tr>
      <w:tr w:rsidR="00F67E9E" w:rsidRPr="00024F2F" w14:paraId="5CA29C38" w14:textId="77777777" w:rsidTr="007F74AA">
        <w:tc>
          <w:tcPr>
            <w:tcW w:w="2835" w:type="dxa"/>
          </w:tcPr>
          <w:p w14:paraId="254F6617" w14:textId="77777777" w:rsidR="00F67E9E" w:rsidRPr="00024F2F" w:rsidRDefault="00F67E9E" w:rsidP="007F74AA">
            <w:pPr>
              <w:pStyle w:val="StdBodyTextBold"/>
              <w:rPr>
                <w:rFonts w:cs="Arial"/>
              </w:rPr>
            </w:pPr>
            <w:r>
              <w:rPr>
                <w:rFonts w:cs="Arial"/>
              </w:rPr>
              <w:t>“</w:t>
            </w:r>
            <w:r w:rsidRPr="00024F2F">
              <w:rPr>
                <w:rFonts w:cs="Arial"/>
              </w:rPr>
              <w:t>Anti-Malicious Software</w:t>
            </w:r>
            <w:r>
              <w:rPr>
                <w:rFonts w:cs="Arial"/>
              </w:rPr>
              <w:t>”</w:t>
            </w:r>
          </w:p>
        </w:tc>
        <w:tc>
          <w:tcPr>
            <w:tcW w:w="6803" w:type="dxa"/>
          </w:tcPr>
          <w:p w14:paraId="720C4AE8" w14:textId="77777777" w:rsidR="00F67E9E" w:rsidRPr="00024F2F" w:rsidRDefault="00F67E9E" w:rsidP="007F74AA">
            <w:pPr>
              <w:pStyle w:val="StdBodyText"/>
              <w:rPr>
                <w:rFonts w:cs="Arial"/>
              </w:rPr>
            </w:pPr>
            <w:r w:rsidRPr="00024F2F">
              <w:rPr>
                <w:rFonts w:cs="Arial"/>
              </w:rPr>
              <w:t>means software that scans for and identifies possible Malicious Software in the IT Environment;</w:t>
            </w:r>
          </w:p>
        </w:tc>
      </w:tr>
      <w:tr w:rsidR="00F67E9E" w:rsidRPr="00024F2F" w14:paraId="096E0F6D" w14:textId="77777777" w:rsidTr="007F74AA">
        <w:tc>
          <w:tcPr>
            <w:tcW w:w="2835" w:type="dxa"/>
          </w:tcPr>
          <w:p w14:paraId="654FE696" w14:textId="77777777" w:rsidR="00F67E9E" w:rsidRPr="00024F2F" w:rsidRDefault="00F67E9E" w:rsidP="007F74AA">
            <w:pPr>
              <w:pStyle w:val="StdBodyTextBold"/>
              <w:rPr>
                <w:rFonts w:cs="Arial"/>
              </w:rPr>
            </w:pPr>
            <w:r>
              <w:rPr>
                <w:rFonts w:cs="Arial"/>
              </w:rPr>
              <w:t>“</w:t>
            </w:r>
            <w:r w:rsidRPr="00024F2F">
              <w:rPr>
                <w:rFonts w:cs="Arial"/>
              </w:rPr>
              <w:t>Breach of Security</w:t>
            </w:r>
            <w:r>
              <w:rPr>
                <w:rFonts w:cs="Arial"/>
              </w:rPr>
              <w:t>”</w:t>
            </w:r>
          </w:p>
        </w:tc>
        <w:tc>
          <w:tcPr>
            <w:tcW w:w="6803" w:type="dxa"/>
          </w:tcPr>
          <w:p w14:paraId="454DE4F4" w14:textId="77777777" w:rsidR="00F67E9E" w:rsidRPr="00024F2F" w:rsidRDefault="00F67E9E" w:rsidP="007F74AA">
            <w:pPr>
              <w:pStyle w:val="StdBodyText"/>
              <w:rPr>
                <w:rFonts w:cs="Arial"/>
              </w:rPr>
            </w:pPr>
            <w:r w:rsidRPr="00024F2F">
              <w:rPr>
                <w:rFonts w:cs="Arial"/>
              </w:rPr>
              <w:t>means the occurrence of:</w:t>
            </w:r>
          </w:p>
          <w:p w14:paraId="58554406" w14:textId="77777777" w:rsidR="00F67E9E" w:rsidRPr="00336587" w:rsidRDefault="00F67E9E" w:rsidP="007F74AA">
            <w:pPr>
              <w:pStyle w:val="DefinitionList"/>
              <w:numPr>
                <w:ilvl w:val="0"/>
                <w:numId w:val="121"/>
              </w:numPr>
              <w:rPr>
                <w:rFonts w:cs="Arial"/>
              </w:rPr>
            </w:pPr>
            <w:r w:rsidRPr="00336587">
              <w:rPr>
                <w:rFonts w:cs="Arial"/>
              </w:rPr>
              <w:t xml:space="preserve">any unauthorised access to or use of the Services, the Authority Premises, the Sites, the Supplier System, the Authority System and/or any information or data (including the Confidential Information and the Authority Data) used by the Authority, the Supplier or any Sub-contractor in connection with this Contract; </w:t>
            </w:r>
          </w:p>
          <w:p w14:paraId="5A1F7CC9" w14:textId="77777777" w:rsidR="00F67E9E" w:rsidRPr="00024F2F" w:rsidRDefault="00F67E9E" w:rsidP="00F67E9E">
            <w:pPr>
              <w:pStyle w:val="DefinitionList"/>
              <w:numPr>
                <w:ilvl w:val="0"/>
                <w:numId w:val="108"/>
              </w:numPr>
              <w:rPr>
                <w:rFonts w:cs="Arial"/>
              </w:rPr>
            </w:pPr>
            <w:r w:rsidRPr="00024F2F">
              <w:rPr>
                <w:rFonts w:cs="Arial"/>
              </w:rPr>
              <w:t>the loss (physical or otherwise) and/or unauthorised disclosure of any information or data (including the Confidential Information and the Authority Data), including copies of such information or data, used by the Authority, the Supplier or any Sub-contractor in connection with this Contract; and/or</w:t>
            </w:r>
          </w:p>
          <w:p w14:paraId="0503065C" w14:textId="77777777" w:rsidR="00F67E9E" w:rsidRPr="00024F2F" w:rsidRDefault="00F67E9E" w:rsidP="00F67E9E">
            <w:pPr>
              <w:pStyle w:val="DefinitionList"/>
              <w:numPr>
                <w:ilvl w:val="0"/>
                <w:numId w:val="108"/>
              </w:numPr>
              <w:rPr>
                <w:rFonts w:cs="Arial"/>
              </w:rPr>
            </w:pPr>
            <w:r w:rsidRPr="00024F2F">
              <w:rPr>
                <w:rFonts w:cs="Arial"/>
              </w:rPr>
              <w:t>any part of the Supplier System ceasing to be compliant with the Certification Requirements,</w:t>
            </w:r>
          </w:p>
          <w:p w14:paraId="6017BB01" w14:textId="7C76DC21" w:rsidR="00F67E9E" w:rsidRPr="00024F2F" w:rsidRDefault="00F67E9E" w:rsidP="007F74AA">
            <w:pPr>
              <w:pStyle w:val="StdBodyText"/>
              <w:rPr>
                <w:rFonts w:cs="Arial"/>
              </w:rPr>
            </w:pPr>
            <w:r w:rsidRPr="00024F2F">
              <w:rPr>
                <w:rFonts w:cs="Arial"/>
              </w:rPr>
              <w:t xml:space="preserve">in each case as more particularly set out in the security requirements in </w:t>
            </w:r>
            <w:r>
              <w:rPr>
                <w:rFonts w:cs="Arial"/>
              </w:rPr>
              <w:fldChar w:fldCharType="begin"/>
            </w:r>
            <w:r>
              <w:rPr>
                <w:rFonts w:cs="Arial"/>
              </w:rPr>
              <w:instrText xml:space="preserve"> REF Schedule2 \h </w:instrText>
            </w:r>
            <w:r>
              <w:rPr>
                <w:rFonts w:cs="Arial"/>
              </w:rPr>
            </w:r>
            <w:r>
              <w:rPr>
                <w:rFonts w:cs="Arial"/>
              </w:rPr>
              <w:fldChar w:fldCharType="separate"/>
            </w:r>
            <w:r w:rsidR="00302D39" w:rsidRPr="005D0525">
              <w:t>Schedule</w:t>
            </w:r>
            <w:r w:rsidR="00302D39">
              <w:t> </w:t>
            </w:r>
            <w:r w:rsidR="00302D39" w:rsidRPr="005D0525">
              <w:t>2</w:t>
            </w:r>
            <w:r>
              <w:rPr>
                <w:rFonts w:cs="Arial"/>
              </w:rPr>
              <w:fldChar w:fldCharType="end"/>
            </w:r>
            <w:r>
              <w:rPr>
                <w:rFonts w:cs="Arial"/>
              </w:rPr>
              <w:t xml:space="preserve"> (</w:t>
            </w:r>
            <w:r w:rsidRPr="00A22335">
              <w:rPr>
                <w:rFonts w:cs="Arial"/>
                <w:i/>
                <w:iCs/>
              </w:rPr>
              <w:fldChar w:fldCharType="begin"/>
            </w:r>
            <w:r w:rsidRPr="00A22335">
              <w:rPr>
                <w:rFonts w:cs="Arial"/>
                <w:i/>
                <w:iCs/>
              </w:rPr>
              <w:instrText xml:space="preserve"> REF Schedule2Heading \h </w:instrText>
            </w:r>
            <w:r>
              <w:rPr>
                <w:rFonts w:cs="Arial"/>
                <w:i/>
                <w:iCs/>
              </w:rPr>
              <w:instrText xml:space="preserve"> \* MERGEFORMAT </w:instrText>
            </w:r>
            <w:r w:rsidRPr="00A22335">
              <w:rPr>
                <w:rFonts w:cs="Arial"/>
                <w:i/>
                <w:iCs/>
              </w:rPr>
            </w:r>
            <w:r w:rsidRPr="00A22335">
              <w:rPr>
                <w:rFonts w:cs="Arial"/>
                <w:i/>
                <w:iCs/>
              </w:rPr>
              <w:fldChar w:fldCharType="separate"/>
            </w:r>
            <w:r w:rsidR="00302D39" w:rsidRPr="00302D39">
              <w:rPr>
                <w:i/>
                <w:iCs/>
              </w:rPr>
              <w:t>Services Description</w:t>
            </w:r>
            <w:r w:rsidRPr="00A22335">
              <w:rPr>
                <w:rFonts w:cs="Arial"/>
                <w:i/>
                <w:iCs/>
              </w:rPr>
              <w:fldChar w:fldCharType="end"/>
            </w:r>
            <w:r>
              <w:rPr>
                <w:rFonts w:cs="Arial"/>
              </w:rPr>
              <w:t>)</w:t>
            </w:r>
            <w:r w:rsidRPr="00024F2F">
              <w:rPr>
                <w:rFonts w:cs="Arial"/>
              </w:rPr>
              <w:t xml:space="preserve"> and the Baseline Security Requirements;</w:t>
            </w:r>
          </w:p>
        </w:tc>
      </w:tr>
      <w:tr w:rsidR="00F67E9E" w:rsidRPr="00024F2F" w14:paraId="0A3E3ECF" w14:textId="77777777" w:rsidTr="007F74AA">
        <w:tc>
          <w:tcPr>
            <w:tcW w:w="2835" w:type="dxa"/>
          </w:tcPr>
          <w:p w14:paraId="5E5277F3" w14:textId="77777777" w:rsidR="00F67E9E" w:rsidRPr="00024F2F" w:rsidRDefault="00F67E9E" w:rsidP="007F74AA">
            <w:pPr>
              <w:pStyle w:val="StdBodyTextBold"/>
              <w:rPr>
                <w:rFonts w:cs="Arial"/>
              </w:rPr>
            </w:pPr>
            <w:r>
              <w:rPr>
                <w:rFonts w:cs="Arial"/>
              </w:rPr>
              <w:t>“</w:t>
            </w:r>
            <w:r w:rsidRPr="00024F2F">
              <w:rPr>
                <w:rFonts w:cs="Arial"/>
              </w:rPr>
              <w:t>Certification Requirements</w:t>
            </w:r>
            <w:r>
              <w:rPr>
                <w:rFonts w:cs="Arial"/>
              </w:rPr>
              <w:t>”</w:t>
            </w:r>
          </w:p>
        </w:tc>
        <w:tc>
          <w:tcPr>
            <w:tcW w:w="6803" w:type="dxa"/>
          </w:tcPr>
          <w:p w14:paraId="1CD09DB1" w14:textId="2098C9BF" w:rsidR="00F67E9E" w:rsidRPr="00024F2F" w:rsidRDefault="00F67E9E" w:rsidP="007F74AA">
            <w:pPr>
              <w:pStyle w:val="StdBodyText"/>
              <w:rPr>
                <w:rFonts w:cs="Arial"/>
              </w:rPr>
            </w:pPr>
            <w:r w:rsidRPr="00024F2F">
              <w:rPr>
                <w:rFonts w:cs="Arial"/>
              </w:rPr>
              <w:t xml:space="preserve">means the requirements set out in </w:t>
            </w:r>
            <w:bookmarkStart w:id="589" w:name="_9kMHG5YVtCIADNLKIfTlXiC85zt3I9sx936LTTE"/>
            <w:r w:rsidRPr="00024F2F">
              <w:rPr>
                <w:rFonts w:cs="Arial"/>
              </w:rPr>
              <w:t xml:space="preserve">Paragraphs </w:t>
            </w:r>
            <w:r w:rsidRPr="00024F2F">
              <w:rPr>
                <w:rFonts w:cs="Arial"/>
              </w:rPr>
              <w:fldChar w:fldCharType="begin"/>
            </w:r>
            <w:r w:rsidRPr="00024F2F">
              <w:rPr>
                <w:rFonts w:cs="Arial"/>
              </w:rPr>
              <w:instrText xml:space="preserve"> REF _Ref_ContractCompanion_9kb9Ur7HD \n \h \t \* MERGEFORMAT </w:instrText>
            </w:r>
            <w:r w:rsidRPr="00024F2F">
              <w:rPr>
                <w:rFonts w:cs="Arial"/>
              </w:rPr>
            </w:r>
            <w:r w:rsidRPr="00024F2F">
              <w:rPr>
                <w:rFonts w:cs="Arial"/>
              </w:rPr>
              <w:fldChar w:fldCharType="separate"/>
            </w:r>
            <w:r w:rsidR="00302D39">
              <w:rPr>
                <w:rFonts w:cs="Arial"/>
              </w:rPr>
              <w:t>7.1</w:t>
            </w:r>
            <w:r w:rsidRPr="00024F2F">
              <w:rPr>
                <w:rFonts w:cs="Arial"/>
              </w:rPr>
              <w:fldChar w:fldCharType="end"/>
            </w:r>
            <w:bookmarkEnd w:id="589"/>
            <w:r w:rsidRPr="00024F2F">
              <w:rPr>
                <w:rFonts w:cs="Arial"/>
              </w:rPr>
              <w:t xml:space="preserve"> to </w:t>
            </w:r>
            <w:bookmarkStart w:id="590" w:name="_9kMHG5YVtCIADNONOlTlXiC85zt3I9sx9CGNI5M"/>
            <w:r w:rsidRPr="00024F2F">
              <w:rPr>
                <w:rFonts w:cs="Arial"/>
              </w:rPr>
              <w:fldChar w:fldCharType="begin"/>
            </w:r>
            <w:r w:rsidRPr="00024F2F">
              <w:rPr>
                <w:rFonts w:cs="Arial"/>
              </w:rPr>
              <w:instrText xml:space="preserve"> REF _Ref_ContractCompanion_9kb9Ur7HG \n \h \t \* MERGEFORMAT </w:instrText>
            </w:r>
            <w:r w:rsidRPr="00024F2F">
              <w:rPr>
                <w:rFonts w:cs="Arial"/>
              </w:rPr>
            </w:r>
            <w:r w:rsidRPr="00024F2F">
              <w:rPr>
                <w:rFonts w:cs="Arial"/>
              </w:rPr>
              <w:fldChar w:fldCharType="separate"/>
            </w:r>
            <w:r w:rsidR="00302D39">
              <w:rPr>
                <w:rFonts w:cs="Arial"/>
              </w:rPr>
              <w:t>7.8</w:t>
            </w:r>
            <w:r w:rsidRPr="00024F2F">
              <w:rPr>
                <w:rFonts w:cs="Arial"/>
              </w:rPr>
              <w:fldChar w:fldCharType="end"/>
            </w:r>
            <w:bookmarkEnd w:id="590"/>
            <w:r w:rsidRPr="00024F2F">
              <w:rPr>
                <w:rFonts w:cs="Arial"/>
              </w:rPr>
              <w:t>, inclusive;</w:t>
            </w:r>
          </w:p>
        </w:tc>
      </w:tr>
      <w:tr w:rsidR="00F67E9E" w:rsidRPr="00024F2F" w14:paraId="5CC866BD" w14:textId="77777777" w:rsidTr="007F74AA">
        <w:tc>
          <w:tcPr>
            <w:tcW w:w="2835" w:type="dxa"/>
          </w:tcPr>
          <w:p w14:paraId="10FC44D3" w14:textId="77777777" w:rsidR="00F67E9E" w:rsidRPr="00024F2F" w:rsidRDefault="00F67E9E" w:rsidP="007F74AA">
            <w:pPr>
              <w:pStyle w:val="StdBodyTextBold"/>
              <w:rPr>
                <w:rFonts w:cs="Arial"/>
              </w:rPr>
            </w:pPr>
            <w:r>
              <w:rPr>
                <w:rFonts w:cs="Arial"/>
              </w:rPr>
              <w:t>“</w:t>
            </w:r>
            <w:r w:rsidRPr="00024F2F">
              <w:rPr>
                <w:rFonts w:cs="Arial"/>
              </w:rPr>
              <w:t>CHECK Service Provider</w:t>
            </w:r>
            <w:r>
              <w:rPr>
                <w:rFonts w:cs="Arial"/>
              </w:rPr>
              <w:t>”</w:t>
            </w:r>
          </w:p>
        </w:tc>
        <w:tc>
          <w:tcPr>
            <w:tcW w:w="6803" w:type="dxa"/>
          </w:tcPr>
          <w:p w14:paraId="38E8F9EA" w14:textId="7B5D956A" w:rsidR="00F67E9E" w:rsidRPr="00024F2F" w:rsidRDefault="00F67E9E" w:rsidP="007F74AA">
            <w:pPr>
              <w:pStyle w:val="StdBodyText"/>
              <w:rPr>
                <w:rFonts w:cs="Arial"/>
              </w:rPr>
            </w:pPr>
            <w:r w:rsidRPr="00024F2F">
              <w:rPr>
                <w:rFonts w:cs="Arial"/>
              </w:rPr>
              <w:t xml:space="preserve">means a company which has been certified by the National Cyber Security Centre, holds </w:t>
            </w:r>
            <w:r>
              <w:rPr>
                <w:rFonts w:cs="Arial"/>
              </w:rPr>
              <w:t>“</w:t>
            </w:r>
            <w:r w:rsidRPr="00024F2F">
              <w:rPr>
                <w:rFonts w:cs="Arial"/>
              </w:rPr>
              <w:t>Green Light</w:t>
            </w:r>
            <w:r>
              <w:rPr>
                <w:rFonts w:cs="Arial"/>
              </w:rPr>
              <w:t>”</w:t>
            </w:r>
            <w:r w:rsidRPr="00024F2F">
              <w:rPr>
                <w:rFonts w:cs="Arial"/>
              </w:rPr>
              <w:t xml:space="preserve"> status and is authorised to provide the IT Health Check services required by the </w:t>
            </w:r>
            <w:bookmarkStart w:id="591" w:name="_9kR3WTr2BBCDAaEnoewrqyIQ"/>
            <w:r w:rsidRPr="00024F2F">
              <w:rPr>
                <w:rFonts w:cs="Arial"/>
              </w:rPr>
              <w:t xml:space="preserve">Paragraph </w:t>
            </w:r>
            <w:r w:rsidRPr="00024F2F">
              <w:rPr>
                <w:rFonts w:cs="Arial"/>
              </w:rPr>
              <w:fldChar w:fldCharType="begin"/>
            </w:r>
            <w:r w:rsidRPr="00024F2F">
              <w:rPr>
                <w:rFonts w:cs="Arial"/>
              </w:rPr>
              <w:instrText xml:space="preserve"> REF _Ref_ContractCompanion_9kb9Ur7HJ \n \h \t \* MERGEFORMAT </w:instrText>
            </w:r>
            <w:r w:rsidRPr="00024F2F">
              <w:rPr>
                <w:rFonts w:cs="Arial"/>
              </w:rPr>
            </w:r>
            <w:r w:rsidRPr="00024F2F">
              <w:rPr>
                <w:rFonts w:cs="Arial"/>
              </w:rPr>
              <w:fldChar w:fldCharType="separate"/>
            </w:r>
            <w:r w:rsidR="00302D39">
              <w:rPr>
                <w:rFonts w:cs="Arial"/>
              </w:rPr>
              <w:t>8.1</w:t>
            </w:r>
            <w:r w:rsidRPr="00024F2F">
              <w:rPr>
                <w:rFonts w:cs="Arial"/>
              </w:rPr>
              <w:fldChar w:fldCharType="end"/>
            </w:r>
            <w:bookmarkEnd w:id="591"/>
            <w:r w:rsidRPr="00024F2F">
              <w:rPr>
                <w:rFonts w:cs="Arial"/>
              </w:rPr>
              <w:t>;</w:t>
            </w:r>
          </w:p>
        </w:tc>
      </w:tr>
      <w:tr w:rsidR="00F67E9E" w:rsidRPr="00024F2F" w14:paraId="0C40757F" w14:textId="77777777" w:rsidTr="007F74AA">
        <w:tc>
          <w:tcPr>
            <w:tcW w:w="2835" w:type="dxa"/>
          </w:tcPr>
          <w:p w14:paraId="0F1A4D9C" w14:textId="77777777" w:rsidR="00F67E9E" w:rsidRPr="00024F2F" w:rsidRDefault="00F67E9E" w:rsidP="007F74AA">
            <w:pPr>
              <w:pStyle w:val="StdBodyTextBold"/>
              <w:rPr>
                <w:rFonts w:cs="Arial"/>
              </w:rPr>
            </w:pPr>
            <w:r>
              <w:rPr>
                <w:rFonts w:cs="Arial"/>
              </w:rPr>
              <w:t>“</w:t>
            </w:r>
            <w:r w:rsidRPr="00024F2F">
              <w:rPr>
                <w:rFonts w:cs="Arial"/>
              </w:rPr>
              <w:t>CIMS Sub-contractor</w:t>
            </w:r>
            <w:r>
              <w:rPr>
                <w:rFonts w:cs="Arial"/>
              </w:rPr>
              <w:t>”</w:t>
            </w:r>
          </w:p>
        </w:tc>
        <w:tc>
          <w:tcPr>
            <w:tcW w:w="6803" w:type="dxa"/>
          </w:tcPr>
          <w:p w14:paraId="7F201131" w14:textId="77777777" w:rsidR="00F67E9E" w:rsidRPr="00024F2F" w:rsidRDefault="00F67E9E" w:rsidP="007F74AA">
            <w:pPr>
              <w:pStyle w:val="StdBodyText"/>
              <w:rPr>
                <w:rFonts w:cs="Arial"/>
              </w:rPr>
            </w:pPr>
            <w:r w:rsidRPr="00024F2F">
              <w:rPr>
                <w:rFonts w:cs="Arial"/>
              </w:rPr>
              <w:t>means a Sub-contractor that provides or operates the whole, or a substantial part, of the Core Information Management System;</w:t>
            </w:r>
          </w:p>
        </w:tc>
      </w:tr>
      <w:tr w:rsidR="00F67E9E" w:rsidRPr="00024F2F" w14:paraId="7C76C2A5" w14:textId="77777777" w:rsidTr="007F74AA">
        <w:tc>
          <w:tcPr>
            <w:tcW w:w="2835" w:type="dxa"/>
          </w:tcPr>
          <w:p w14:paraId="1FE843CF" w14:textId="77777777" w:rsidR="00F67E9E" w:rsidRPr="00024F2F" w:rsidRDefault="00F67E9E" w:rsidP="007F74AA">
            <w:pPr>
              <w:pStyle w:val="StdBodyTextBold"/>
              <w:rPr>
                <w:rFonts w:cs="Arial"/>
              </w:rPr>
            </w:pPr>
            <w:r>
              <w:rPr>
                <w:rFonts w:cs="Arial"/>
              </w:rPr>
              <w:t>“</w:t>
            </w:r>
            <w:r w:rsidRPr="00024F2F">
              <w:rPr>
                <w:rFonts w:cs="Arial"/>
              </w:rPr>
              <w:t>Commercial off the shelf Software</w:t>
            </w:r>
            <w:r>
              <w:rPr>
                <w:rFonts w:cs="Arial"/>
              </w:rPr>
              <w:t>”</w:t>
            </w:r>
            <w:r w:rsidRPr="00024F2F">
              <w:rPr>
                <w:rFonts w:cs="Arial"/>
              </w:rPr>
              <w:t xml:space="preserve"> or </w:t>
            </w:r>
            <w:r>
              <w:rPr>
                <w:rFonts w:cs="Arial"/>
              </w:rPr>
              <w:t>“</w:t>
            </w:r>
            <w:r w:rsidRPr="00024F2F">
              <w:rPr>
                <w:rFonts w:cs="Arial"/>
              </w:rPr>
              <w:t>COTS Software</w:t>
            </w:r>
            <w:r>
              <w:rPr>
                <w:rFonts w:cs="Arial"/>
              </w:rPr>
              <w:t>”</w:t>
            </w:r>
          </w:p>
        </w:tc>
        <w:tc>
          <w:tcPr>
            <w:tcW w:w="6803" w:type="dxa"/>
          </w:tcPr>
          <w:p w14:paraId="2C7E184B" w14:textId="77777777" w:rsidR="00F67E9E" w:rsidRPr="00024F2F" w:rsidRDefault="00F67E9E" w:rsidP="007F74AA">
            <w:pPr>
              <w:pStyle w:val="StdBodyText"/>
              <w:rPr>
                <w:rFonts w:cs="Arial"/>
              </w:rPr>
            </w:pPr>
            <w:r w:rsidRPr="00024F2F">
              <w:rPr>
                <w:rFonts w:cs="Arial"/>
              </w:rPr>
              <w:t>means the Supplier COTS Software and the Third Party COTS Software;</w:t>
            </w:r>
          </w:p>
        </w:tc>
      </w:tr>
      <w:tr w:rsidR="00F67E9E" w:rsidRPr="00024F2F" w14:paraId="29EE7572" w14:textId="77777777" w:rsidTr="007F74AA">
        <w:tc>
          <w:tcPr>
            <w:tcW w:w="2835" w:type="dxa"/>
          </w:tcPr>
          <w:p w14:paraId="73162621" w14:textId="77777777" w:rsidR="00F67E9E" w:rsidRPr="00024F2F" w:rsidRDefault="00F67E9E" w:rsidP="007F74AA">
            <w:pPr>
              <w:pStyle w:val="StdBodyTextBold"/>
              <w:rPr>
                <w:rFonts w:cs="Arial"/>
              </w:rPr>
            </w:pPr>
            <w:r>
              <w:rPr>
                <w:rFonts w:cs="Arial"/>
              </w:rPr>
              <w:t>“</w:t>
            </w:r>
            <w:r w:rsidRPr="00024F2F">
              <w:rPr>
                <w:rFonts w:cs="Arial"/>
              </w:rPr>
              <w:t>Core Information Management System</w:t>
            </w:r>
            <w:r>
              <w:rPr>
                <w:rFonts w:cs="Arial"/>
              </w:rPr>
              <w:t>”</w:t>
            </w:r>
          </w:p>
        </w:tc>
        <w:tc>
          <w:tcPr>
            <w:tcW w:w="6803" w:type="dxa"/>
          </w:tcPr>
          <w:p w14:paraId="33C1B94C" w14:textId="5D0F1311" w:rsidR="00F67E9E" w:rsidRPr="00024F2F" w:rsidRDefault="00F67E9E" w:rsidP="007F74AA">
            <w:pPr>
              <w:pStyle w:val="StdBodyText"/>
              <w:rPr>
                <w:rFonts w:cs="Arial"/>
              </w:rPr>
            </w:pPr>
            <w:r w:rsidRPr="00024F2F">
              <w:rPr>
                <w:rFonts w:cs="Arial"/>
              </w:rPr>
              <w:t xml:space="preserve">means those information assets, IT systems and/or Sites which will be used by the Supplier and/or its Sub-contractors to Process Authority Data, together with the associated information management system (including organisational structure, controls, policies, practices, procedures, processes and resources) which the Authority has determined in accordance with </w:t>
            </w:r>
            <w:bookmarkStart w:id="592" w:name="_9kMIH5YVt4DDCEBaGpqgyts0GP"/>
            <w:r w:rsidRPr="00024F2F">
              <w:rPr>
                <w:rFonts w:cs="Arial"/>
              </w:rPr>
              <w:t xml:space="preserve">Paragraph </w:t>
            </w:r>
            <w:r w:rsidRPr="00024F2F">
              <w:rPr>
                <w:rFonts w:cs="Arial"/>
              </w:rPr>
              <w:fldChar w:fldCharType="begin"/>
            </w:r>
            <w:r w:rsidRPr="00024F2F">
              <w:rPr>
                <w:rFonts w:cs="Arial"/>
              </w:rPr>
              <w:instrText xml:space="preserve"> REF _Ref_ContractCompanion_9kb9Ur67A \n \h \t \* MERGEFORMAT </w:instrText>
            </w:r>
            <w:r w:rsidRPr="00024F2F">
              <w:rPr>
                <w:rFonts w:cs="Arial"/>
              </w:rPr>
            </w:r>
            <w:r w:rsidRPr="00024F2F">
              <w:rPr>
                <w:rFonts w:cs="Arial"/>
              </w:rPr>
              <w:fldChar w:fldCharType="separate"/>
            </w:r>
            <w:r w:rsidR="00302D39">
              <w:rPr>
                <w:rFonts w:cs="Arial"/>
              </w:rPr>
              <w:t>4.2</w:t>
            </w:r>
            <w:r w:rsidRPr="00024F2F">
              <w:rPr>
                <w:rFonts w:cs="Arial"/>
              </w:rPr>
              <w:fldChar w:fldCharType="end"/>
            </w:r>
            <w:bookmarkEnd w:id="592"/>
            <w:r w:rsidRPr="00024F2F">
              <w:rPr>
                <w:rFonts w:cs="Arial"/>
              </w:rPr>
              <w:t xml:space="preserve"> shall be subject to Accreditation;</w:t>
            </w:r>
          </w:p>
        </w:tc>
      </w:tr>
      <w:tr w:rsidR="00F67E9E" w:rsidRPr="00024F2F" w14:paraId="2DF4D7F5" w14:textId="77777777" w:rsidTr="007F74AA">
        <w:tc>
          <w:tcPr>
            <w:tcW w:w="2835" w:type="dxa"/>
          </w:tcPr>
          <w:p w14:paraId="3C1C7247" w14:textId="77777777" w:rsidR="00F67E9E" w:rsidRPr="00024F2F" w:rsidRDefault="00F67E9E" w:rsidP="007F74AA">
            <w:pPr>
              <w:pStyle w:val="StdBodyTextBold"/>
              <w:rPr>
                <w:rFonts w:cs="Arial"/>
              </w:rPr>
            </w:pPr>
            <w:r>
              <w:rPr>
                <w:rFonts w:cs="Arial"/>
              </w:rPr>
              <w:t>“</w:t>
            </w:r>
            <w:r w:rsidRPr="00024F2F">
              <w:rPr>
                <w:rFonts w:cs="Arial"/>
              </w:rPr>
              <w:t>CREST Service Provider</w:t>
            </w:r>
            <w:r>
              <w:rPr>
                <w:rFonts w:cs="Arial"/>
              </w:rPr>
              <w:t>”</w:t>
            </w:r>
          </w:p>
        </w:tc>
        <w:tc>
          <w:tcPr>
            <w:tcW w:w="6803" w:type="dxa"/>
          </w:tcPr>
          <w:p w14:paraId="2A58DBCC" w14:textId="77777777" w:rsidR="00F67E9E" w:rsidRPr="00024F2F" w:rsidRDefault="00F67E9E" w:rsidP="007F74AA">
            <w:pPr>
              <w:pStyle w:val="StdBodyText"/>
              <w:rPr>
                <w:rFonts w:cs="Arial"/>
              </w:rPr>
            </w:pPr>
            <w:r w:rsidRPr="00024F2F">
              <w:rPr>
                <w:rFonts w:cs="Arial"/>
              </w:rPr>
              <w:t>means a company with a SOC Accreditation from CREST International;</w:t>
            </w:r>
          </w:p>
        </w:tc>
      </w:tr>
      <w:tr w:rsidR="00F67E9E" w:rsidRPr="00024F2F" w14:paraId="5616ABA7" w14:textId="77777777" w:rsidTr="007F74AA">
        <w:tc>
          <w:tcPr>
            <w:tcW w:w="2835" w:type="dxa"/>
          </w:tcPr>
          <w:p w14:paraId="250DAA59" w14:textId="77777777" w:rsidR="00F67E9E" w:rsidRPr="00024F2F" w:rsidRDefault="00F67E9E" w:rsidP="007F74AA">
            <w:pPr>
              <w:pStyle w:val="StdBodyTextBold"/>
              <w:rPr>
                <w:rFonts w:cs="Arial"/>
              </w:rPr>
            </w:pPr>
            <w:r>
              <w:rPr>
                <w:rFonts w:cs="Arial"/>
              </w:rPr>
              <w:t>“</w:t>
            </w:r>
            <w:r w:rsidRPr="00024F2F">
              <w:rPr>
                <w:rFonts w:cs="Arial"/>
              </w:rPr>
              <w:t>Cyber Essentials</w:t>
            </w:r>
            <w:r>
              <w:rPr>
                <w:rFonts w:cs="Arial"/>
              </w:rPr>
              <w:t>”</w:t>
            </w:r>
          </w:p>
        </w:tc>
        <w:tc>
          <w:tcPr>
            <w:tcW w:w="6803" w:type="dxa"/>
          </w:tcPr>
          <w:p w14:paraId="184CD1BB" w14:textId="77777777" w:rsidR="00F67E9E" w:rsidRPr="00024F2F" w:rsidRDefault="00F67E9E" w:rsidP="007F74AA">
            <w:pPr>
              <w:pStyle w:val="StdBodyText"/>
              <w:rPr>
                <w:rFonts w:cs="Arial"/>
              </w:rPr>
            </w:pPr>
            <w:r w:rsidRPr="00024F2F">
              <w:rPr>
                <w:rFonts w:cs="Arial"/>
              </w:rPr>
              <w:t>means the Cyber Essentials certificate issued under the Cyber Essentials Scheme;</w:t>
            </w:r>
          </w:p>
        </w:tc>
      </w:tr>
      <w:tr w:rsidR="00F67E9E" w:rsidRPr="00024F2F" w14:paraId="320971D9" w14:textId="77777777" w:rsidTr="007F74AA">
        <w:tc>
          <w:tcPr>
            <w:tcW w:w="2835" w:type="dxa"/>
          </w:tcPr>
          <w:p w14:paraId="3EC412C4" w14:textId="77777777" w:rsidR="00F67E9E" w:rsidRPr="00024F2F" w:rsidRDefault="00F67E9E" w:rsidP="007F74AA">
            <w:pPr>
              <w:pStyle w:val="StdBodyTextBold"/>
              <w:rPr>
                <w:rFonts w:cs="Arial"/>
              </w:rPr>
            </w:pPr>
            <w:r>
              <w:rPr>
                <w:rFonts w:cs="Arial"/>
              </w:rPr>
              <w:t>“</w:t>
            </w:r>
            <w:r w:rsidRPr="00024F2F">
              <w:rPr>
                <w:rFonts w:cs="Arial"/>
              </w:rPr>
              <w:t>Cyber Essentials Plus</w:t>
            </w:r>
            <w:r>
              <w:rPr>
                <w:rFonts w:cs="Arial"/>
              </w:rPr>
              <w:t>”</w:t>
            </w:r>
          </w:p>
        </w:tc>
        <w:tc>
          <w:tcPr>
            <w:tcW w:w="6803" w:type="dxa"/>
          </w:tcPr>
          <w:p w14:paraId="0310AEAA" w14:textId="77777777" w:rsidR="00F67E9E" w:rsidRPr="00024F2F" w:rsidRDefault="00F67E9E" w:rsidP="007F74AA">
            <w:pPr>
              <w:pStyle w:val="StdBodyText"/>
              <w:rPr>
                <w:rFonts w:cs="Arial"/>
              </w:rPr>
            </w:pPr>
            <w:r w:rsidRPr="00024F2F">
              <w:rPr>
                <w:rFonts w:cs="Arial"/>
              </w:rPr>
              <w:t>means the Cyber Essentials Plus certificate issued under the Cyber Essentials Scheme;</w:t>
            </w:r>
          </w:p>
        </w:tc>
      </w:tr>
      <w:tr w:rsidR="00F67E9E" w:rsidRPr="001B1EB0" w14:paraId="46EA9B9C" w14:textId="77777777" w:rsidTr="007F74AA">
        <w:tc>
          <w:tcPr>
            <w:tcW w:w="2835" w:type="dxa"/>
          </w:tcPr>
          <w:p w14:paraId="2F614D41" w14:textId="77777777" w:rsidR="00F67E9E" w:rsidRPr="00024F2F" w:rsidRDefault="00F67E9E" w:rsidP="007F74AA">
            <w:pPr>
              <w:pStyle w:val="StdBodyTextBold"/>
              <w:rPr>
                <w:rFonts w:cs="Arial"/>
              </w:rPr>
            </w:pPr>
            <w:r>
              <w:rPr>
                <w:rFonts w:cs="Arial"/>
              </w:rPr>
              <w:t>“</w:t>
            </w:r>
            <w:r w:rsidRPr="00024F2F">
              <w:rPr>
                <w:rFonts w:cs="Arial"/>
              </w:rPr>
              <w:t>Cyber Essentials Scheme</w:t>
            </w:r>
            <w:r>
              <w:rPr>
                <w:rFonts w:cs="Arial"/>
              </w:rPr>
              <w:t>”</w:t>
            </w:r>
          </w:p>
        </w:tc>
        <w:tc>
          <w:tcPr>
            <w:tcW w:w="6803" w:type="dxa"/>
          </w:tcPr>
          <w:p w14:paraId="42DD82AA" w14:textId="77777777" w:rsidR="00F67E9E" w:rsidRPr="001B1EB0" w:rsidRDefault="00F67E9E" w:rsidP="007F74AA">
            <w:pPr>
              <w:pStyle w:val="StdBodyText"/>
              <w:rPr>
                <w:rFonts w:cs="Arial"/>
              </w:rPr>
            </w:pPr>
            <w:r w:rsidRPr="00024F2F">
              <w:rPr>
                <w:rFonts w:cs="Arial"/>
              </w:rPr>
              <w:t>means the Cyber Essentials scheme operated by the National Cyber Security Centre;</w:t>
            </w:r>
          </w:p>
        </w:tc>
      </w:tr>
      <w:tr w:rsidR="00F67E9E" w:rsidRPr="001B1EB0" w14:paraId="587E6F80" w14:textId="77777777" w:rsidTr="007F74AA">
        <w:tc>
          <w:tcPr>
            <w:tcW w:w="2835" w:type="dxa"/>
          </w:tcPr>
          <w:p w14:paraId="31608012" w14:textId="77777777" w:rsidR="00F67E9E" w:rsidRPr="001B1EB0" w:rsidRDefault="00F67E9E" w:rsidP="007F74AA">
            <w:pPr>
              <w:pStyle w:val="StdBodyTextBold"/>
              <w:rPr>
                <w:rFonts w:cs="Arial"/>
              </w:rPr>
            </w:pPr>
            <w:r>
              <w:rPr>
                <w:rFonts w:cs="Arial"/>
              </w:rPr>
              <w:t>“</w:t>
            </w:r>
            <w:r w:rsidRPr="00024F2F">
              <w:rPr>
                <w:rFonts w:cs="Arial"/>
              </w:rPr>
              <w:t>Higher Risk Sub-contractor</w:t>
            </w:r>
            <w:r>
              <w:rPr>
                <w:rFonts w:cs="Arial"/>
              </w:rPr>
              <w:t>”</w:t>
            </w:r>
          </w:p>
        </w:tc>
        <w:tc>
          <w:tcPr>
            <w:tcW w:w="6803" w:type="dxa"/>
          </w:tcPr>
          <w:p w14:paraId="5E1E088E" w14:textId="77777777" w:rsidR="00F67E9E" w:rsidRPr="001B1EB0" w:rsidRDefault="00F67E9E" w:rsidP="007F74AA">
            <w:pPr>
              <w:pStyle w:val="StdBodyText"/>
              <w:rPr>
                <w:rFonts w:cs="Arial"/>
                <w:highlight w:val="yellow"/>
              </w:rPr>
            </w:pPr>
            <w:r w:rsidRPr="001B1EB0">
              <w:rPr>
                <w:rFonts w:cs="Arial"/>
              </w:rPr>
              <w:t xml:space="preserve">means a </w:t>
            </w:r>
            <w:r w:rsidRPr="00024F2F">
              <w:rPr>
                <w:rFonts w:cs="Arial"/>
              </w:rPr>
              <w:t>Sub-contractor that</w:t>
            </w:r>
            <w:r w:rsidRPr="001B1EB0">
              <w:rPr>
                <w:rFonts w:cs="Arial"/>
              </w:rPr>
              <w:t xml:space="preserve"> Processes Authority Data</w:t>
            </w:r>
            <w:r w:rsidRPr="001B1EB0">
              <w:rPr>
                <w:rFonts w:cs="Arial"/>
                <w:highlight w:val="yellow"/>
              </w:rPr>
              <w:t>[, where that data includes either:</w:t>
            </w:r>
          </w:p>
          <w:p w14:paraId="413B1D82" w14:textId="77777777" w:rsidR="00F67E9E" w:rsidRPr="00336587" w:rsidRDefault="00F67E9E" w:rsidP="007F74AA">
            <w:pPr>
              <w:pStyle w:val="DefinitionList"/>
              <w:numPr>
                <w:ilvl w:val="0"/>
                <w:numId w:val="122"/>
              </w:numPr>
              <w:rPr>
                <w:rFonts w:cs="Arial"/>
                <w:highlight w:val="yellow"/>
              </w:rPr>
            </w:pPr>
            <w:r w:rsidRPr="00336587">
              <w:rPr>
                <w:rFonts w:cs="Arial"/>
                <w:highlight w:val="yellow"/>
              </w:rPr>
              <w:t xml:space="preserve">the Personal Data of 1000 or more individuals in aggregate during the period between the first Operational Service Commencement Date and the date on which this Contract terminates in accordance with </w:t>
            </w:r>
            <w:bookmarkStart w:id="593" w:name="_9kMIH5YVt4DDCLGLEjtCxALt"/>
            <w:r w:rsidRPr="00336587">
              <w:rPr>
                <w:rFonts w:cs="Arial"/>
                <w:highlight w:val="yellow"/>
              </w:rPr>
              <w:t>Clause 4.1(b)</w:t>
            </w:r>
            <w:bookmarkEnd w:id="593"/>
            <w:r w:rsidRPr="00336587">
              <w:rPr>
                <w:rFonts w:cs="Arial"/>
                <w:highlight w:val="yellow"/>
              </w:rPr>
              <w:t>; or</w:t>
            </w:r>
          </w:p>
          <w:p w14:paraId="13E7C99D" w14:textId="77777777" w:rsidR="00F67E9E" w:rsidRPr="008F0BF8" w:rsidRDefault="00F67E9E" w:rsidP="00F67E9E">
            <w:pPr>
              <w:pStyle w:val="DefinitionList"/>
              <w:numPr>
                <w:ilvl w:val="0"/>
                <w:numId w:val="108"/>
              </w:numPr>
              <w:rPr>
                <w:rFonts w:cs="Arial"/>
                <w:highlight w:val="yellow"/>
              </w:rPr>
            </w:pPr>
            <w:r w:rsidRPr="008F0BF8">
              <w:rPr>
                <w:rFonts w:cs="Arial"/>
                <w:highlight w:val="yellow"/>
              </w:rPr>
              <w:t>any part of that data includes any of the following:</w:t>
            </w:r>
          </w:p>
          <w:p w14:paraId="3E2E4727" w14:textId="77777777" w:rsidR="00F67E9E" w:rsidRPr="008F0BF8" w:rsidRDefault="00F67E9E" w:rsidP="00F67E9E">
            <w:pPr>
              <w:pStyle w:val="DefinitionListLevel1"/>
              <w:numPr>
                <w:ilvl w:val="1"/>
                <w:numId w:val="108"/>
              </w:numPr>
              <w:rPr>
                <w:highlight w:val="yellow"/>
              </w:rPr>
            </w:pPr>
            <w:r w:rsidRPr="008F0BF8">
              <w:rPr>
                <w:highlight w:val="yellow"/>
              </w:rPr>
              <w:t>financial information (including any tax and/or welfare information) relating to any person;</w:t>
            </w:r>
          </w:p>
          <w:p w14:paraId="106C8913" w14:textId="77777777" w:rsidR="00F67E9E" w:rsidRPr="008F0BF8" w:rsidRDefault="00F67E9E" w:rsidP="00F67E9E">
            <w:pPr>
              <w:pStyle w:val="DefinitionListLevel1"/>
              <w:numPr>
                <w:ilvl w:val="1"/>
                <w:numId w:val="108"/>
              </w:numPr>
              <w:rPr>
                <w:highlight w:val="yellow"/>
              </w:rPr>
            </w:pPr>
            <w:r w:rsidRPr="008F0BF8">
              <w:rPr>
                <w:highlight w:val="yellow"/>
              </w:rPr>
              <w:t>any information relating to actual or alleged criminal offences (including criminal records);</w:t>
            </w:r>
          </w:p>
          <w:p w14:paraId="2ED35294" w14:textId="77777777" w:rsidR="00F67E9E" w:rsidRPr="008F0BF8" w:rsidRDefault="00F67E9E" w:rsidP="00F67E9E">
            <w:pPr>
              <w:pStyle w:val="DefinitionListLevel1"/>
              <w:numPr>
                <w:ilvl w:val="1"/>
                <w:numId w:val="108"/>
              </w:numPr>
              <w:rPr>
                <w:highlight w:val="yellow"/>
              </w:rPr>
            </w:pPr>
            <w:r w:rsidRPr="008F0BF8">
              <w:rPr>
                <w:highlight w:val="yellow"/>
              </w:rPr>
              <w:t>any information relating to children and/or vulnerable persons;</w:t>
            </w:r>
          </w:p>
          <w:p w14:paraId="7C13C5D6" w14:textId="77777777" w:rsidR="00F67E9E" w:rsidRPr="008F0BF8" w:rsidRDefault="00F67E9E" w:rsidP="00F67E9E">
            <w:pPr>
              <w:pStyle w:val="DefinitionListLevel1"/>
              <w:numPr>
                <w:ilvl w:val="1"/>
                <w:numId w:val="108"/>
              </w:numPr>
              <w:rPr>
                <w:highlight w:val="yellow"/>
              </w:rPr>
            </w:pPr>
            <w:r w:rsidRPr="008F0BF8">
              <w:rPr>
                <w:highlight w:val="yellow"/>
              </w:rPr>
              <w:t>any information relating to social care;</w:t>
            </w:r>
          </w:p>
          <w:p w14:paraId="1D99AD49" w14:textId="77777777" w:rsidR="00F67E9E" w:rsidRPr="008F0BF8" w:rsidRDefault="00F67E9E" w:rsidP="00F67E9E">
            <w:pPr>
              <w:pStyle w:val="DefinitionListLevel1"/>
              <w:numPr>
                <w:ilvl w:val="1"/>
                <w:numId w:val="108"/>
              </w:numPr>
              <w:rPr>
                <w:highlight w:val="yellow"/>
              </w:rPr>
            </w:pPr>
            <w:r w:rsidRPr="008F0BF8">
              <w:rPr>
                <w:highlight w:val="yellow"/>
              </w:rPr>
              <w:t>any information relating to a person</w:t>
            </w:r>
            <w:r>
              <w:rPr>
                <w:highlight w:val="yellow"/>
              </w:rPr>
              <w:t>’</w:t>
            </w:r>
            <w:r w:rsidRPr="008F0BF8">
              <w:rPr>
                <w:highlight w:val="yellow"/>
              </w:rPr>
              <w:t>s current or past employment; or</w:t>
            </w:r>
          </w:p>
          <w:p w14:paraId="2B999DD1" w14:textId="77777777" w:rsidR="00F67E9E" w:rsidRDefault="00F67E9E" w:rsidP="00F67E9E">
            <w:pPr>
              <w:pStyle w:val="DefinitionListLevel1"/>
              <w:numPr>
                <w:ilvl w:val="1"/>
                <w:numId w:val="108"/>
              </w:numPr>
              <w:rPr>
                <w:highlight w:val="yellow"/>
              </w:rPr>
            </w:pPr>
            <w:r w:rsidRPr="008F0BF8">
              <w:rPr>
                <w:highlight w:val="yellow"/>
              </w:rPr>
              <w:t>Special Category Personal Data; or</w:t>
            </w:r>
          </w:p>
          <w:p w14:paraId="3F481BAA" w14:textId="77777777" w:rsidR="00F67E9E" w:rsidRPr="00C729B0" w:rsidRDefault="00F67E9E" w:rsidP="00F67E9E">
            <w:pPr>
              <w:pStyle w:val="DefinitionList"/>
              <w:numPr>
                <w:ilvl w:val="0"/>
                <w:numId w:val="108"/>
              </w:numPr>
              <w:rPr>
                <w:rFonts w:cs="Arial"/>
                <w:highlight w:val="yellow"/>
              </w:rPr>
            </w:pPr>
            <w:r>
              <w:rPr>
                <w:rFonts w:cs="Arial"/>
                <w:highlight w:val="yellow"/>
              </w:rPr>
              <w:t>the Authority in its discretion, designates a Sub-contractor as a Higher Risk Sub-Contractor in any procurement document related to this Contract; or</w:t>
            </w:r>
          </w:p>
          <w:p w14:paraId="4C5A2033" w14:textId="77777777" w:rsidR="00F67E9E" w:rsidRPr="00024F2F" w:rsidRDefault="00F67E9E" w:rsidP="00F67E9E">
            <w:pPr>
              <w:pStyle w:val="DefinitionList"/>
              <w:numPr>
                <w:ilvl w:val="0"/>
                <w:numId w:val="108"/>
              </w:numPr>
              <w:rPr>
                <w:rFonts w:cs="Arial"/>
                <w:highlight w:val="yellow"/>
              </w:rPr>
            </w:pPr>
            <w:r w:rsidRPr="008F0BF8">
              <w:rPr>
                <w:rFonts w:cs="Arial"/>
                <w:highlight w:val="yellow"/>
              </w:rPr>
              <w:t xml:space="preserve">the Authority considers in its discretion, that any actual or </w:t>
            </w:r>
            <w:r w:rsidRPr="00024F2F">
              <w:rPr>
                <w:rFonts w:cs="Arial"/>
                <w:highlight w:val="yellow"/>
              </w:rPr>
              <w:t>potential Processing carried out by the Sub-contractor is high risk]</w:t>
            </w:r>
          </w:p>
          <w:p w14:paraId="38921D65" w14:textId="77777777" w:rsidR="00F67E9E" w:rsidRPr="00F97284" w:rsidRDefault="00F67E9E" w:rsidP="007F74AA">
            <w:pPr>
              <w:pStyle w:val="StdBodyText"/>
              <w:rPr>
                <w:rFonts w:cs="Arial"/>
                <w:b/>
                <w:iCs/>
              </w:rPr>
            </w:pPr>
            <w:r>
              <w:rPr>
                <w:rFonts w:cs="Arial"/>
                <w:b/>
                <w:i/>
                <w:highlight w:val="yellow"/>
              </w:rPr>
              <w:t>[Guidance note:</w:t>
            </w:r>
            <w:r w:rsidRPr="00AC3F91">
              <w:rPr>
                <w:rFonts w:cs="Arial"/>
                <w:bCs/>
                <w:iCs/>
                <w:highlight w:val="yellow"/>
              </w:rPr>
              <w:t xml:space="preserve"> </w:t>
            </w:r>
            <w:r w:rsidRPr="00C20547">
              <w:rPr>
                <w:rFonts w:cs="Arial"/>
                <w:b/>
                <w:i/>
                <w:highlight w:val="yellow"/>
              </w:rPr>
              <w:t>This definition is provided as an example only and should be modified to take into account the circumstances of the individual Contract.]</w:t>
            </w:r>
          </w:p>
        </w:tc>
      </w:tr>
      <w:tr w:rsidR="00F67E9E" w:rsidRPr="001B1EB0" w14:paraId="0E6BFBA5" w14:textId="77777777" w:rsidTr="007F74AA">
        <w:tc>
          <w:tcPr>
            <w:tcW w:w="2835" w:type="dxa"/>
          </w:tcPr>
          <w:p w14:paraId="05886A1B" w14:textId="77777777" w:rsidR="00F67E9E" w:rsidRPr="00024F2F" w:rsidRDefault="00F67E9E" w:rsidP="007F74AA">
            <w:pPr>
              <w:pStyle w:val="StdBodyTextBold"/>
              <w:rPr>
                <w:rFonts w:cs="Arial"/>
              </w:rPr>
            </w:pPr>
            <w:r>
              <w:rPr>
                <w:rFonts w:cs="Arial"/>
              </w:rPr>
              <w:t>“</w:t>
            </w:r>
            <w:r w:rsidRPr="00024F2F">
              <w:rPr>
                <w:rFonts w:cs="Arial"/>
              </w:rPr>
              <w:t>Information Management System</w:t>
            </w:r>
            <w:r>
              <w:rPr>
                <w:rFonts w:cs="Arial"/>
              </w:rPr>
              <w:t>”</w:t>
            </w:r>
          </w:p>
        </w:tc>
        <w:tc>
          <w:tcPr>
            <w:tcW w:w="6803" w:type="dxa"/>
          </w:tcPr>
          <w:p w14:paraId="5D5B30CC" w14:textId="77777777" w:rsidR="00F67E9E" w:rsidRPr="00024F2F" w:rsidRDefault="00F67E9E" w:rsidP="007F74AA">
            <w:pPr>
              <w:pStyle w:val="StdBodyText"/>
              <w:rPr>
                <w:rFonts w:cs="Arial"/>
              </w:rPr>
            </w:pPr>
            <w:r w:rsidRPr="00024F2F">
              <w:rPr>
                <w:rFonts w:cs="Arial"/>
              </w:rPr>
              <w:t>means the Core Information Management System and the Wider Information Management System;</w:t>
            </w:r>
          </w:p>
        </w:tc>
      </w:tr>
      <w:tr w:rsidR="00F67E9E" w:rsidRPr="001B1EB0" w14:paraId="027FE51F" w14:textId="77777777" w:rsidTr="007F74AA">
        <w:tc>
          <w:tcPr>
            <w:tcW w:w="2835" w:type="dxa"/>
          </w:tcPr>
          <w:p w14:paraId="5FA1B43E" w14:textId="77777777" w:rsidR="00F67E9E" w:rsidRPr="00024F2F" w:rsidRDefault="00F67E9E" w:rsidP="007F74AA">
            <w:pPr>
              <w:pStyle w:val="StdBodyTextBold"/>
              <w:rPr>
                <w:rFonts w:cs="Arial"/>
              </w:rPr>
            </w:pPr>
            <w:r>
              <w:rPr>
                <w:rFonts w:cs="Arial"/>
              </w:rPr>
              <w:t>“</w:t>
            </w:r>
            <w:r w:rsidRPr="00024F2F">
              <w:rPr>
                <w:rFonts w:cs="Arial"/>
              </w:rPr>
              <w:t>IT Health Check</w:t>
            </w:r>
            <w:r>
              <w:rPr>
                <w:rFonts w:cs="Arial"/>
              </w:rPr>
              <w:t>”</w:t>
            </w:r>
          </w:p>
        </w:tc>
        <w:tc>
          <w:tcPr>
            <w:tcW w:w="6803" w:type="dxa"/>
          </w:tcPr>
          <w:p w14:paraId="598C9D6B" w14:textId="1ABFC06F" w:rsidR="00F67E9E" w:rsidRPr="00024F2F" w:rsidRDefault="00F67E9E" w:rsidP="007F74AA">
            <w:pPr>
              <w:pStyle w:val="StdBodyText"/>
              <w:rPr>
                <w:rFonts w:cs="Arial"/>
              </w:rPr>
            </w:pPr>
            <w:r w:rsidRPr="00024F2F">
              <w:rPr>
                <w:rFonts w:cs="Arial"/>
              </w:rPr>
              <w:t xml:space="preserve">has the meaning given </w:t>
            </w:r>
            <w:bookmarkStart w:id="594" w:name="_9kMHG5YVtCIAEFFOJD266szF0344KB6577DG2Yd"/>
            <w:r w:rsidRPr="00024F2F">
              <w:rPr>
                <w:rFonts w:cs="Arial"/>
              </w:rPr>
              <w:t xml:space="preserve">Paragraph </w:t>
            </w:r>
            <w:r w:rsidRPr="00024F2F">
              <w:rPr>
                <w:rFonts w:cs="Arial"/>
              </w:rPr>
              <w:fldChar w:fldCharType="begin"/>
            </w:r>
            <w:r w:rsidRPr="00024F2F">
              <w:rPr>
                <w:rFonts w:cs="Arial"/>
              </w:rPr>
              <w:instrText xml:space="preserve"> REF _Ref_ContractCompanion_9kb9Ur897 \n \h \t \* MERGEFORMAT </w:instrText>
            </w:r>
            <w:r w:rsidRPr="00024F2F">
              <w:rPr>
                <w:rFonts w:cs="Arial"/>
              </w:rPr>
            </w:r>
            <w:r w:rsidRPr="00024F2F">
              <w:rPr>
                <w:rFonts w:cs="Arial"/>
              </w:rPr>
              <w:fldChar w:fldCharType="separate"/>
            </w:r>
            <w:r w:rsidR="00302D39">
              <w:rPr>
                <w:rFonts w:cs="Arial"/>
              </w:rPr>
              <w:t>8.1.1</w:t>
            </w:r>
            <w:r w:rsidRPr="00024F2F">
              <w:rPr>
                <w:rFonts w:cs="Arial"/>
              </w:rPr>
              <w:fldChar w:fldCharType="end"/>
            </w:r>
            <w:bookmarkEnd w:id="594"/>
            <w:r w:rsidRPr="00024F2F">
              <w:rPr>
                <w:rFonts w:cs="Arial"/>
              </w:rPr>
              <w:t>;</w:t>
            </w:r>
          </w:p>
        </w:tc>
      </w:tr>
      <w:tr w:rsidR="00F67E9E" w:rsidRPr="001B1EB0" w14:paraId="7CCACD6A" w14:textId="77777777" w:rsidTr="007F74AA">
        <w:tc>
          <w:tcPr>
            <w:tcW w:w="2835" w:type="dxa"/>
          </w:tcPr>
          <w:p w14:paraId="7F85822B" w14:textId="77777777" w:rsidR="00F67E9E" w:rsidRPr="001B1EB0" w:rsidRDefault="00F67E9E" w:rsidP="007F74AA">
            <w:pPr>
              <w:pStyle w:val="StdBodyTextBold"/>
              <w:rPr>
                <w:rFonts w:cs="Arial"/>
              </w:rPr>
            </w:pPr>
            <w:r>
              <w:rPr>
                <w:rFonts w:cs="Arial"/>
              </w:rPr>
              <w:t>“</w:t>
            </w:r>
            <w:r w:rsidRPr="00024F2F">
              <w:rPr>
                <w:rFonts w:cs="Arial"/>
              </w:rPr>
              <w:t>Medium Risk Sub-contractor</w:t>
            </w:r>
            <w:r>
              <w:rPr>
                <w:rFonts w:cs="Arial"/>
              </w:rPr>
              <w:t>”</w:t>
            </w:r>
          </w:p>
        </w:tc>
        <w:tc>
          <w:tcPr>
            <w:tcW w:w="6803" w:type="dxa"/>
          </w:tcPr>
          <w:p w14:paraId="3FDF9666" w14:textId="77777777" w:rsidR="00F67E9E" w:rsidRPr="001B1EB0" w:rsidRDefault="00F67E9E" w:rsidP="007F74AA">
            <w:pPr>
              <w:pStyle w:val="StdBodyText"/>
              <w:rPr>
                <w:rFonts w:cs="Arial"/>
                <w:highlight w:val="yellow"/>
              </w:rPr>
            </w:pPr>
            <w:r w:rsidRPr="001B1EB0">
              <w:rPr>
                <w:rFonts w:cs="Arial"/>
              </w:rPr>
              <w:t xml:space="preserve">means a </w:t>
            </w:r>
            <w:r w:rsidRPr="009B67E0">
              <w:rPr>
                <w:rFonts w:cs="Arial"/>
              </w:rPr>
              <w:t>Sub-contractor</w:t>
            </w:r>
            <w:r w:rsidRPr="001B1EB0">
              <w:rPr>
                <w:rFonts w:cs="Arial"/>
              </w:rPr>
              <w:t xml:space="preserve"> that Processes Authority Data[</w:t>
            </w:r>
            <w:r w:rsidRPr="001B1EB0">
              <w:rPr>
                <w:rFonts w:cs="Arial"/>
                <w:highlight w:val="yellow"/>
              </w:rPr>
              <w:t>, where that data</w:t>
            </w:r>
          </w:p>
          <w:p w14:paraId="7F998B50" w14:textId="77777777" w:rsidR="00F67E9E" w:rsidRPr="00336587" w:rsidRDefault="00F67E9E" w:rsidP="007F74AA">
            <w:pPr>
              <w:pStyle w:val="DefinitionList"/>
              <w:numPr>
                <w:ilvl w:val="0"/>
                <w:numId w:val="123"/>
              </w:numPr>
              <w:rPr>
                <w:rFonts w:cs="Arial"/>
                <w:highlight w:val="yellow"/>
              </w:rPr>
            </w:pPr>
            <w:r w:rsidRPr="00336587">
              <w:rPr>
                <w:rFonts w:cs="Arial"/>
                <w:highlight w:val="yellow"/>
              </w:rPr>
              <w:t xml:space="preserve">includes the Personal Data of between 100 and 999 individuals (inclusive) in the period between the first Operational Service Commencement Date and the date on which this Contract terminates in accordance with </w:t>
            </w:r>
            <w:bookmarkStart w:id="595" w:name="_9kMJI5YVt4DDCLGLEjtCxALt"/>
            <w:r w:rsidRPr="00336587">
              <w:rPr>
                <w:rFonts w:cs="Arial"/>
                <w:highlight w:val="yellow"/>
              </w:rPr>
              <w:t>Clause 4.1(b)</w:t>
            </w:r>
            <w:bookmarkEnd w:id="595"/>
            <w:r w:rsidRPr="00336587">
              <w:rPr>
                <w:rFonts w:cs="Arial"/>
                <w:highlight w:val="yellow"/>
              </w:rPr>
              <w:t>; and</w:t>
            </w:r>
          </w:p>
          <w:p w14:paraId="4082681C" w14:textId="77777777" w:rsidR="00F67E9E" w:rsidRPr="001B1EB0" w:rsidRDefault="00F67E9E" w:rsidP="00F67E9E">
            <w:pPr>
              <w:pStyle w:val="DefinitionList"/>
              <w:numPr>
                <w:ilvl w:val="0"/>
                <w:numId w:val="108"/>
              </w:numPr>
              <w:rPr>
                <w:rFonts w:cs="Arial"/>
              </w:rPr>
            </w:pPr>
            <w:r w:rsidRPr="001B1EB0">
              <w:rPr>
                <w:rFonts w:cs="Arial"/>
                <w:highlight w:val="yellow"/>
              </w:rPr>
              <w:t>does not include Special Category Personal Data;</w:t>
            </w:r>
            <w:r w:rsidRPr="001B1EB0">
              <w:rPr>
                <w:rFonts w:cs="Arial"/>
              </w:rPr>
              <w:t>]</w:t>
            </w:r>
          </w:p>
          <w:p w14:paraId="65E0D150" w14:textId="77777777" w:rsidR="00F67E9E" w:rsidRPr="00336587" w:rsidRDefault="00F67E9E" w:rsidP="007F74AA">
            <w:pPr>
              <w:pStyle w:val="StdBodyText"/>
              <w:rPr>
                <w:rFonts w:cs="Arial"/>
                <w:b/>
                <w:i/>
              </w:rPr>
            </w:pPr>
            <w:r>
              <w:rPr>
                <w:rFonts w:cs="Arial"/>
                <w:b/>
                <w:i/>
                <w:highlight w:val="yellow"/>
              </w:rPr>
              <w:t>[Guidance note:</w:t>
            </w:r>
            <w:r w:rsidRPr="00336587">
              <w:rPr>
                <w:rFonts w:cs="Arial"/>
                <w:b/>
                <w:i/>
                <w:highlight w:val="yellow"/>
              </w:rPr>
              <w:t xml:space="preserve"> </w:t>
            </w:r>
            <w:r w:rsidRPr="00C20547">
              <w:rPr>
                <w:rFonts w:cs="Arial"/>
                <w:b/>
                <w:i/>
                <w:highlight w:val="yellow"/>
              </w:rPr>
              <w:t>This definition is provided as an example only and should be modified to take into account the circumstances of the individual Contract.]</w:t>
            </w:r>
          </w:p>
        </w:tc>
      </w:tr>
      <w:tr w:rsidR="00F67E9E" w:rsidRPr="001B1EB0" w14:paraId="1D7330BC" w14:textId="77777777" w:rsidTr="007F74AA">
        <w:tc>
          <w:tcPr>
            <w:tcW w:w="2835" w:type="dxa"/>
          </w:tcPr>
          <w:p w14:paraId="0B37562B" w14:textId="77777777" w:rsidR="00F67E9E" w:rsidRPr="001B1EB0" w:rsidRDefault="00F67E9E" w:rsidP="007F74AA">
            <w:pPr>
              <w:pStyle w:val="StdBodyTextBold"/>
              <w:rPr>
                <w:rFonts w:cs="Arial"/>
              </w:rPr>
            </w:pPr>
            <w:r>
              <w:rPr>
                <w:rFonts w:cs="Arial"/>
              </w:rPr>
              <w:t>“</w:t>
            </w:r>
            <w:r w:rsidRPr="001B1EB0">
              <w:rPr>
                <w:rFonts w:cs="Arial"/>
              </w:rPr>
              <w:t>Process</w:t>
            </w:r>
            <w:r>
              <w:rPr>
                <w:rFonts w:cs="Arial"/>
              </w:rPr>
              <w:t>”</w:t>
            </w:r>
          </w:p>
        </w:tc>
        <w:tc>
          <w:tcPr>
            <w:tcW w:w="6803" w:type="dxa"/>
          </w:tcPr>
          <w:p w14:paraId="64F1706F" w14:textId="77777777" w:rsidR="00F67E9E" w:rsidRPr="001B1EB0" w:rsidRDefault="00F67E9E" w:rsidP="007F74AA">
            <w:pPr>
              <w:pStyle w:val="StdBodyText"/>
              <w:rPr>
                <w:rFonts w:cs="Arial"/>
              </w:rPr>
            </w:pPr>
            <w:r w:rsidRPr="001B1EB0">
              <w:rPr>
                <w:rFonts w:cs="Arial"/>
              </w:rPr>
              <w:t>means any operation which is performed on data, whether or not by automated means, including collection, recording, organisation, structuring, storage, adaptation or alteration, retrieval, consultation, use, disclosure by transmission, dissemination or otherwise making available, alignment or combination, restriction, erasure or destruction;</w:t>
            </w:r>
          </w:p>
        </w:tc>
      </w:tr>
      <w:tr w:rsidR="00F67E9E" w:rsidRPr="009B67E0" w14:paraId="0BBB04CB" w14:textId="77777777" w:rsidTr="007F74AA">
        <w:tc>
          <w:tcPr>
            <w:tcW w:w="2835" w:type="dxa"/>
          </w:tcPr>
          <w:p w14:paraId="6721710A" w14:textId="77777777" w:rsidR="00F67E9E" w:rsidRPr="009B67E0" w:rsidRDefault="00F67E9E" w:rsidP="007F74AA">
            <w:pPr>
              <w:pStyle w:val="StdBodyTextBold"/>
              <w:rPr>
                <w:rFonts w:cs="Arial"/>
              </w:rPr>
            </w:pPr>
            <w:r>
              <w:rPr>
                <w:rFonts w:cs="Arial"/>
              </w:rPr>
              <w:t>“</w:t>
            </w:r>
            <w:r w:rsidRPr="009B67E0">
              <w:rPr>
                <w:rFonts w:cs="Arial"/>
              </w:rPr>
              <w:t>Remediation Action Plan</w:t>
            </w:r>
            <w:r>
              <w:rPr>
                <w:rFonts w:cs="Arial"/>
              </w:rPr>
              <w:t>”</w:t>
            </w:r>
          </w:p>
        </w:tc>
        <w:tc>
          <w:tcPr>
            <w:tcW w:w="6803" w:type="dxa"/>
          </w:tcPr>
          <w:p w14:paraId="08FA772F" w14:textId="22B354A5" w:rsidR="00F67E9E" w:rsidRPr="009B67E0" w:rsidRDefault="00F67E9E" w:rsidP="007F74AA">
            <w:pPr>
              <w:pStyle w:val="StdBodyText"/>
              <w:rPr>
                <w:rFonts w:cs="Arial"/>
              </w:rPr>
            </w:pPr>
            <w:r w:rsidRPr="009B67E0">
              <w:rPr>
                <w:rFonts w:cs="Arial"/>
              </w:rPr>
              <w:t xml:space="preserve">has the meaning given in Paragraph </w:t>
            </w:r>
            <w:r w:rsidRPr="009B67E0">
              <w:rPr>
                <w:rFonts w:cs="Arial"/>
              </w:rPr>
              <w:fldChar w:fldCharType="begin"/>
            </w:r>
            <w:r w:rsidRPr="009B67E0">
              <w:rPr>
                <w:rFonts w:cs="Arial"/>
              </w:rPr>
              <w:instrText xml:space="preserve"> REF _Ref_ContractCompanion_9kb9Ur8BC \w \h \t \* MERGEFORMAT </w:instrText>
            </w:r>
            <w:r w:rsidRPr="009B67E0">
              <w:rPr>
                <w:rFonts w:cs="Arial"/>
              </w:rPr>
            </w:r>
            <w:r w:rsidRPr="009B67E0">
              <w:rPr>
                <w:rFonts w:cs="Arial"/>
              </w:rPr>
              <w:fldChar w:fldCharType="separate"/>
            </w:r>
            <w:r w:rsidR="00302D39">
              <w:rPr>
                <w:rFonts w:cs="Arial"/>
              </w:rPr>
              <w:t>8.3.3(a)</w:t>
            </w:r>
            <w:r w:rsidRPr="009B67E0">
              <w:rPr>
                <w:rFonts w:cs="Arial"/>
              </w:rPr>
              <w:fldChar w:fldCharType="end"/>
            </w:r>
            <w:r w:rsidRPr="009B67E0">
              <w:rPr>
                <w:rFonts w:cs="Arial"/>
              </w:rPr>
              <w:t xml:space="preserve">; </w:t>
            </w:r>
          </w:p>
        </w:tc>
      </w:tr>
      <w:tr w:rsidR="00F67E9E" w:rsidRPr="009B67E0" w14:paraId="5DB841C4" w14:textId="77777777" w:rsidTr="007F74AA">
        <w:tc>
          <w:tcPr>
            <w:tcW w:w="2835" w:type="dxa"/>
          </w:tcPr>
          <w:p w14:paraId="20B3947F" w14:textId="77777777" w:rsidR="00F67E9E" w:rsidRPr="009B67E0" w:rsidRDefault="00F67E9E" w:rsidP="007F74AA">
            <w:pPr>
              <w:pStyle w:val="StdBodyTextBold"/>
              <w:rPr>
                <w:rFonts w:cs="Arial"/>
              </w:rPr>
            </w:pPr>
            <w:r>
              <w:rPr>
                <w:rFonts w:cs="Arial"/>
              </w:rPr>
              <w:t>“</w:t>
            </w:r>
            <w:r w:rsidRPr="009B67E0">
              <w:rPr>
                <w:rFonts w:cs="Arial"/>
              </w:rPr>
              <w:t>Required Changes Register</w:t>
            </w:r>
            <w:r>
              <w:rPr>
                <w:rFonts w:cs="Arial"/>
              </w:rPr>
              <w:t>”</w:t>
            </w:r>
          </w:p>
        </w:tc>
        <w:tc>
          <w:tcPr>
            <w:tcW w:w="6803" w:type="dxa"/>
          </w:tcPr>
          <w:p w14:paraId="2454A12F" w14:textId="576953E2" w:rsidR="00F67E9E" w:rsidRPr="009B67E0" w:rsidRDefault="00F67E9E" w:rsidP="007F74AA">
            <w:pPr>
              <w:pStyle w:val="StdBodyText"/>
              <w:rPr>
                <w:rFonts w:cs="Arial"/>
              </w:rPr>
            </w:pPr>
            <w:r w:rsidRPr="009B67E0">
              <w:rPr>
                <w:rFonts w:cs="Arial"/>
              </w:rPr>
              <w:t xml:space="preserve">means the register forming part of the Security Management Plan which records each of the changes that the Supplier has agreed with the Authority shall be made to the Core Information Management System and/or the Security Management Plan as a consequence of the occurrence of any of the events set out in </w:t>
            </w:r>
            <w:bookmarkStart w:id="596" w:name="_9kMHG5YVtCIAEG9FHHIwv0tlqo05yJBsr6BETIE"/>
            <w:r w:rsidRPr="009B67E0">
              <w:rPr>
                <w:rFonts w:cs="Arial"/>
              </w:rPr>
              <w:t xml:space="preserve">Paragraph </w:t>
            </w:r>
            <w:r w:rsidRPr="009B67E0">
              <w:rPr>
                <w:rFonts w:cs="Arial"/>
              </w:rPr>
              <w:fldChar w:fldCharType="begin"/>
            </w:r>
            <w:r w:rsidRPr="009B67E0">
              <w:rPr>
                <w:rFonts w:cs="Arial"/>
              </w:rPr>
              <w:instrText xml:space="preserve"> REF _Ref_ContractCompanion_9kb9Ur89A \w \h \t \* MERGEFORMAT </w:instrText>
            </w:r>
            <w:r w:rsidRPr="009B67E0">
              <w:rPr>
                <w:rFonts w:cs="Arial"/>
              </w:rPr>
            </w:r>
            <w:r w:rsidRPr="009B67E0">
              <w:rPr>
                <w:rFonts w:cs="Arial"/>
              </w:rPr>
              <w:fldChar w:fldCharType="separate"/>
            </w:r>
            <w:r w:rsidR="00302D39">
              <w:rPr>
                <w:rFonts w:cs="Arial"/>
              </w:rPr>
              <w:t>6.15.1</w:t>
            </w:r>
            <w:r w:rsidRPr="009B67E0">
              <w:rPr>
                <w:rFonts w:cs="Arial"/>
              </w:rPr>
              <w:fldChar w:fldCharType="end"/>
            </w:r>
            <w:bookmarkEnd w:id="596"/>
            <w:r w:rsidRPr="009B67E0">
              <w:rPr>
                <w:rFonts w:cs="Arial"/>
              </w:rPr>
              <w:t xml:space="preserve"> together with the date on which each such change shall be implemented and the date on which each such change was implemented;</w:t>
            </w:r>
          </w:p>
        </w:tc>
      </w:tr>
      <w:tr w:rsidR="00F67E9E" w:rsidRPr="009B67E0" w14:paraId="5C418E2F" w14:textId="77777777" w:rsidTr="007F74AA">
        <w:tc>
          <w:tcPr>
            <w:tcW w:w="2835" w:type="dxa"/>
          </w:tcPr>
          <w:p w14:paraId="00BFF72A" w14:textId="77777777" w:rsidR="00F67E9E" w:rsidRPr="009B67E0" w:rsidRDefault="00F67E9E" w:rsidP="007F74AA">
            <w:pPr>
              <w:pStyle w:val="StdBodyTextBold"/>
              <w:rPr>
                <w:rFonts w:cs="Arial"/>
              </w:rPr>
            </w:pPr>
            <w:r>
              <w:rPr>
                <w:rFonts w:cs="Arial"/>
              </w:rPr>
              <w:t>“</w:t>
            </w:r>
            <w:r w:rsidRPr="009B67E0">
              <w:rPr>
                <w:rFonts w:cs="Arial"/>
              </w:rPr>
              <w:t>Residual Risk Statement</w:t>
            </w:r>
            <w:r>
              <w:rPr>
                <w:rFonts w:cs="Arial"/>
              </w:rPr>
              <w:t>”</w:t>
            </w:r>
          </w:p>
        </w:tc>
        <w:tc>
          <w:tcPr>
            <w:tcW w:w="6803" w:type="dxa"/>
          </w:tcPr>
          <w:p w14:paraId="5F79BC81" w14:textId="77777777" w:rsidR="00F67E9E" w:rsidRPr="009B67E0" w:rsidRDefault="00F67E9E" w:rsidP="007F74AA">
            <w:pPr>
              <w:pStyle w:val="StdBodyText"/>
              <w:rPr>
                <w:rFonts w:cs="Arial"/>
              </w:rPr>
            </w:pPr>
            <w:r w:rsidRPr="009B67E0">
              <w:rPr>
                <w:rFonts w:cs="Arial"/>
              </w:rPr>
              <w:t>means a notice issued by the Authority which sets out the information risks associated with using the Core Information Management System and confirms that the Authority is satisfied that the identified risks have been adequately and appropriately addressed and that the residual risks are understood and accepted by the Authority;</w:t>
            </w:r>
          </w:p>
        </w:tc>
      </w:tr>
      <w:tr w:rsidR="00F67E9E" w:rsidRPr="009B67E0" w14:paraId="1F43FF1C" w14:textId="77777777" w:rsidTr="007F74AA">
        <w:tc>
          <w:tcPr>
            <w:tcW w:w="2835" w:type="dxa"/>
          </w:tcPr>
          <w:p w14:paraId="59F886E7" w14:textId="77777777" w:rsidR="00F67E9E" w:rsidRPr="009B67E0" w:rsidRDefault="00F67E9E" w:rsidP="007F74AA">
            <w:pPr>
              <w:pStyle w:val="StdBodyTextBold"/>
              <w:rPr>
                <w:rFonts w:cs="Arial"/>
              </w:rPr>
            </w:pPr>
            <w:r>
              <w:rPr>
                <w:rFonts w:cs="Arial"/>
              </w:rPr>
              <w:t>“</w:t>
            </w:r>
            <w:r w:rsidRPr="009B67E0">
              <w:rPr>
                <w:rFonts w:cs="Arial"/>
              </w:rPr>
              <w:t>Risk Management Reject Notice</w:t>
            </w:r>
            <w:r>
              <w:rPr>
                <w:rFonts w:cs="Arial"/>
              </w:rPr>
              <w:t>”</w:t>
            </w:r>
          </w:p>
        </w:tc>
        <w:tc>
          <w:tcPr>
            <w:tcW w:w="6803" w:type="dxa"/>
          </w:tcPr>
          <w:p w14:paraId="2E5C1FFD" w14:textId="3F182983" w:rsidR="00F67E9E" w:rsidRPr="009B67E0" w:rsidRDefault="00F67E9E" w:rsidP="007F74AA">
            <w:pPr>
              <w:pStyle w:val="StdBodyText"/>
              <w:rPr>
                <w:rFonts w:cs="Arial"/>
              </w:rPr>
            </w:pPr>
            <w:r w:rsidRPr="009B67E0">
              <w:rPr>
                <w:rFonts w:cs="Arial"/>
              </w:rPr>
              <w:t xml:space="preserve">has the meaning given in </w:t>
            </w:r>
            <w:bookmarkStart w:id="597" w:name="_9kMHG5YVtCIAEGCIOLorwpqk07399BIDxuBRABK"/>
            <w:bookmarkStart w:id="598" w:name="_9kMHG5YVtCJBEGDJOLorwpqk07399BIDxuBRABK"/>
            <w:r w:rsidRPr="009B67E0">
              <w:rPr>
                <w:rFonts w:cs="Arial"/>
              </w:rPr>
              <w:t xml:space="preserve">Paragraph </w:t>
            </w:r>
            <w:r w:rsidRPr="009B67E0">
              <w:rPr>
                <w:rFonts w:cs="Arial"/>
              </w:rPr>
              <w:fldChar w:fldCharType="begin"/>
            </w:r>
            <w:r w:rsidRPr="009B67E0">
              <w:rPr>
                <w:rFonts w:cs="Arial"/>
              </w:rPr>
              <w:instrText xml:space="preserve"> REF _Ref_ContractCompanion_9kb9Ur8A4 \w \h \t \* MERGEFORMAT </w:instrText>
            </w:r>
            <w:r w:rsidRPr="009B67E0">
              <w:rPr>
                <w:rFonts w:cs="Arial"/>
              </w:rPr>
            </w:r>
            <w:r w:rsidRPr="009B67E0">
              <w:rPr>
                <w:rFonts w:cs="Arial"/>
              </w:rPr>
              <w:fldChar w:fldCharType="separate"/>
            </w:r>
            <w:r w:rsidR="00302D39">
              <w:rPr>
                <w:rFonts w:cs="Arial"/>
              </w:rPr>
              <w:t>6.8.2</w:t>
            </w:r>
            <w:r w:rsidRPr="009B67E0">
              <w:rPr>
                <w:rFonts w:cs="Arial"/>
              </w:rPr>
              <w:fldChar w:fldCharType="end"/>
            </w:r>
            <w:bookmarkEnd w:id="597"/>
            <w:bookmarkEnd w:id="598"/>
            <w:r w:rsidRPr="009B67E0">
              <w:rPr>
                <w:rFonts w:cs="Arial"/>
              </w:rPr>
              <w:t>;</w:t>
            </w:r>
          </w:p>
        </w:tc>
      </w:tr>
      <w:tr w:rsidR="00F67E9E" w:rsidRPr="009B67E0" w14:paraId="579F68AB" w14:textId="77777777" w:rsidTr="007F74AA">
        <w:tc>
          <w:tcPr>
            <w:tcW w:w="2835" w:type="dxa"/>
          </w:tcPr>
          <w:p w14:paraId="0E9E929E" w14:textId="77777777" w:rsidR="00F67E9E" w:rsidRPr="009B67E0" w:rsidRDefault="00F67E9E" w:rsidP="007F74AA">
            <w:pPr>
              <w:pStyle w:val="StdBodyTextBold"/>
              <w:rPr>
                <w:rFonts w:cs="Arial"/>
              </w:rPr>
            </w:pPr>
            <w:r>
              <w:rPr>
                <w:rFonts w:cs="Arial"/>
              </w:rPr>
              <w:t>“</w:t>
            </w:r>
            <w:r w:rsidRPr="009B67E0">
              <w:rPr>
                <w:rFonts w:cs="Arial"/>
              </w:rPr>
              <w:t>Security Management Plan</w:t>
            </w:r>
            <w:r>
              <w:rPr>
                <w:rFonts w:cs="Arial"/>
              </w:rPr>
              <w:t>”</w:t>
            </w:r>
          </w:p>
        </w:tc>
        <w:tc>
          <w:tcPr>
            <w:tcW w:w="6803" w:type="dxa"/>
          </w:tcPr>
          <w:p w14:paraId="746B68C6" w14:textId="603CAC7E" w:rsidR="00F67E9E" w:rsidRPr="009B67E0" w:rsidRDefault="00F67E9E" w:rsidP="007F74AA">
            <w:pPr>
              <w:pStyle w:val="StdBodyText"/>
              <w:rPr>
                <w:rFonts w:cs="Arial"/>
              </w:rPr>
            </w:pPr>
            <w:r w:rsidRPr="009B67E0">
              <w:rPr>
                <w:rFonts w:cs="Arial"/>
              </w:rPr>
              <w:t xml:space="preserve">has the meaning given in </w:t>
            </w:r>
            <w:bookmarkStart w:id="599" w:name="_9kMHG5YVtCIAEGGMLRSH1nkhy33F2qvz00w1COJ"/>
            <w:bookmarkStart w:id="600" w:name="_9kMHG5YVtCJBEGHNLRSH1nkhy33F2qvz00w1COJ"/>
            <w:r w:rsidRPr="009B67E0">
              <w:rPr>
                <w:rFonts w:cs="Arial"/>
              </w:rPr>
              <w:t xml:space="preserve">Paragraph </w:t>
            </w:r>
            <w:r w:rsidRPr="009B67E0">
              <w:rPr>
                <w:rFonts w:cs="Arial"/>
              </w:rPr>
              <w:fldChar w:fldCharType="begin"/>
            </w:r>
            <w:r w:rsidRPr="009B67E0">
              <w:rPr>
                <w:rFonts w:cs="Arial"/>
              </w:rPr>
              <w:instrText xml:space="preserve"> REF _Ref_ContractCompanion_9kb9Ur8A8 \n \h \t \* MERGEFORMAT </w:instrText>
            </w:r>
            <w:r w:rsidRPr="009B67E0">
              <w:rPr>
                <w:rFonts w:cs="Arial"/>
              </w:rPr>
            </w:r>
            <w:r w:rsidRPr="009B67E0">
              <w:rPr>
                <w:rFonts w:cs="Arial"/>
              </w:rPr>
              <w:fldChar w:fldCharType="separate"/>
            </w:r>
            <w:r w:rsidR="00302D39">
              <w:rPr>
                <w:rFonts w:cs="Arial"/>
              </w:rPr>
              <w:t>6.5</w:t>
            </w:r>
            <w:r w:rsidRPr="009B67E0">
              <w:rPr>
                <w:rFonts w:cs="Arial"/>
              </w:rPr>
              <w:fldChar w:fldCharType="end"/>
            </w:r>
            <w:bookmarkEnd w:id="599"/>
            <w:bookmarkEnd w:id="600"/>
            <w:r w:rsidRPr="009B67E0">
              <w:rPr>
                <w:rFonts w:cs="Arial"/>
              </w:rPr>
              <w:t>;</w:t>
            </w:r>
          </w:p>
        </w:tc>
      </w:tr>
      <w:tr w:rsidR="00F67E9E" w:rsidRPr="009B67E0" w14:paraId="52FBF505" w14:textId="77777777" w:rsidTr="007F74AA">
        <w:tc>
          <w:tcPr>
            <w:tcW w:w="2835" w:type="dxa"/>
          </w:tcPr>
          <w:p w14:paraId="197F41F6" w14:textId="77777777" w:rsidR="00F67E9E" w:rsidRPr="009B67E0" w:rsidRDefault="00F67E9E" w:rsidP="007F74AA">
            <w:pPr>
              <w:pStyle w:val="StdBodyTextBold"/>
              <w:rPr>
                <w:rFonts w:cs="Arial"/>
              </w:rPr>
            </w:pPr>
            <w:r>
              <w:rPr>
                <w:rFonts w:cs="Arial"/>
              </w:rPr>
              <w:t>“</w:t>
            </w:r>
            <w:r w:rsidRPr="009B67E0">
              <w:rPr>
                <w:rFonts w:cs="Arial"/>
              </w:rPr>
              <w:t>Security Test</w:t>
            </w:r>
            <w:r>
              <w:rPr>
                <w:rFonts w:cs="Arial"/>
              </w:rPr>
              <w:t>”</w:t>
            </w:r>
          </w:p>
        </w:tc>
        <w:tc>
          <w:tcPr>
            <w:tcW w:w="6803" w:type="dxa"/>
          </w:tcPr>
          <w:p w14:paraId="42124C0A" w14:textId="5E00262F" w:rsidR="00F67E9E" w:rsidRPr="009B67E0" w:rsidRDefault="00F67E9E" w:rsidP="007F74AA">
            <w:pPr>
              <w:pStyle w:val="StdBodyText"/>
              <w:rPr>
                <w:rFonts w:cs="Arial"/>
              </w:rPr>
            </w:pPr>
            <w:r w:rsidRPr="009B67E0">
              <w:rPr>
                <w:rFonts w:cs="Arial"/>
              </w:rPr>
              <w:t xml:space="preserve">has the meaning given </w:t>
            </w:r>
            <w:bookmarkStart w:id="601" w:name="_9kMHG5YVt4DDEFCcGpqgyts0KS"/>
            <w:r w:rsidRPr="009B67E0">
              <w:rPr>
                <w:rFonts w:cs="Arial"/>
              </w:rPr>
              <w:t xml:space="preserve">Paragraph </w:t>
            </w:r>
            <w:r w:rsidRPr="009B67E0">
              <w:rPr>
                <w:rFonts w:cs="Arial"/>
              </w:rPr>
              <w:fldChar w:fldCharType="begin"/>
            </w:r>
            <w:r w:rsidRPr="009B67E0">
              <w:rPr>
                <w:rFonts w:cs="Arial"/>
              </w:rPr>
              <w:instrText xml:space="preserve"> REF _Ref_ContractCompanion_9kb9Ur892 \n \h \t \* MERGEFORMAT </w:instrText>
            </w:r>
            <w:r w:rsidRPr="009B67E0">
              <w:rPr>
                <w:rFonts w:cs="Arial"/>
              </w:rPr>
            </w:r>
            <w:r w:rsidRPr="009B67E0">
              <w:rPr>
                <w:rFonts w:cs="Arial"/>
              </w:rPr>
              <w:fldChar w:fldCharType="separate"/>
            </w:r>
            <w:r w:rsidR="00302D39">
              <w:rPr>
                <w:rFonts w:cs="Arial"/>
              </w:rPr>
              <w:t>8.1</w:t>
            </w:r>
            <w:r w:rsidRPr="009B67E0">
              <w:rPr>
                <w:rFonts w:cs="Arial"/>
              </w:rPr>
              <w:fldChar w:fldCharType="end"/>
            </w:r>
            <w:bookmarkEnd w:id="601"/>
            <w:r w:rsidRPr="009B67E0">
              <w:rPr>
                <w:rFonts w:cs="Arial"/>
              </w:rPr>
              <w:t>; and</w:t>
            </w:r>
          </w:p>
        </w:tc>
      </w:tr>
      <w:tr w:rsidR="00F67E9E" w:rsidRPr="009B67E0" w14:paraId="37D0ADBF" w14:textId="77777777" w:rsidTr="007F74AA">
        <w:tc>
          <w:tcPr>
            <w:tcW w:w="2835" w:type="dxa"/>
          </w:tcPr>
          <w:p w14:paraId="26F3B568" w14:textId="77777777" w:rsidR="00F67E9E" w:rsidRPr="009B67E0" w:rsidRDefault="00F67E9E" w:rsidP="007F74AA">
            <w:pPr>
              <w:pStyle w:val="StdBodyTextBold"/>
              <w:rPr>
                <w:rFonts w:cs="Arial"/>
              </w:rPr>
            </w:pPr>
            <w:r>
              <w:rPr>
                <w:rFonts w:cs="Arial"/>
              </w:rPr>
              <w:t>“</w:t>
            </w:r>
            <w:r w:rsidRPr="009B67E0">
              <w:rPr>
                <w:rFonts w:cs="Arial"/>
              </w:rPr>
              <w:t>Special Category Personal Data</w:t>
            </w:r>
            <w:r>
              <w:rPr>
                <w:rFonts w:cs="Arial"/>
              </w:rPr>
              <w:t>”</w:t>
            </w:r>
          </w:p>
        </w:tc>
        <w:tc>
          <w:tcPr>
            <w:tcW w:w="6803" w:type="dxa"/>
          </w:tcPr>
          <w:p w14:paraId="6E832288" w14:textId="77777777" w:rsidR="00F67E9E" w:rsidRPr="009B67E0" w:rsidRDefault="00F67E9E" w:rsidP="007F74AA">
            <w:pPr>
              <w:pStyle w:val="StdBodyText"/>
              <w:rPr>
                <w:rFonts w:cs="Arial"/>
              </w:rPr>
            </w:pPr>
            <w:r w:rsidRPr="009B67E0">
              <w:rPr>
                <w:rFonts w:cs="Arial"/>
              </w:rPr>
              <w:t xml:space="preserve">means the categories of Personal Data set out in </w:t>
            </w:r>
            <w:bookmarkStart w:id="602" w:name="_9kMHG5YVt4EE7AJso80korGR"/>
            <w:r w:rsidRPr="009B67E0">
              <w:rPr>
                <w:rFonts w:cs="Arial"/>
              </w:rPr>
              <w:t>article 9(1)</w:t>
            </w:r>
            <w:bookmarkEnd w:id="602"/>
            <w:r w:rsidRPr="009B67E0">
              <w:rPr>
                <w:rFonts w:cs="Arial"/>
              </w:rPr>
              <w:t xml:space="preserve"> </w:t>
            </w:r>
            <w:r w:rsidRPr="007F51C2">
              <w:rPr>
                <w:rFonts w:cs="Arial"/>
              </w:rPr>
              <w:t>and article 10</w:t>
            </w:r>
            <w:r>
              <w:rPr>
                <w:rFonts w:cs="Arial"/>
              </w:rPr>
              <w:t xml:space="preserve"> </w:t>
            </w:r>
            <w:r w:rsidRPr="009B67E0">
              <w:rPr>
                <w:rFonts w:cs="Arial"/>
              </w:rPr>
              <w:t>of the UK GDPR.</w:t>
            </w:r>
          </w:p>
        </w:tc>
      </w:tr>
      <w:tr w:rsidR="00F67E9E" w:rsidRPr="009B67E0" w14:paraId="6BCDA3EA" w14:textId="77777777" w:rsidTr="007F74AA">
        <w:tc>
          <w:tcPr>
            <w:tcW w:w="2835" w:type="dxa"/>
          </w:tcPr>
          <w:p w14:paraId="5BA6596B" w14:textId="77777777" w:rsidR="00F67E9E" w:rsidRPr="009B67E0" w:rsidRDefault="00F67E9E" w:rsidP="007F74AA">
            <w:pPr>
              <w:pStyle w:val="StdBodyTextBold"/>
              <w:rPr>
                <w:rFonts w:cs="Arial"/>
              </w:rPr>
            </w:pPr>
            <w:r>
              <w:rPr>
                <w:rFonts w:cs="Arial"/>
              </w:rPr>
              <w:t>“</w:t>
            </w:r>
            <w:r w:rsidRPr="009B67E0">
              <w:rPr>
                <w:rFonts w:cs="Arial"/>
              </w:rPr>
              <w:t>Statement of Information Risk Appetite</w:t>
            </w:r>
            <w:r>
              <w:rPr>
                <w:rFonts w:cs="Arial"/>
              </w:rPr>
              <w:t>”</w:t>
            </w:r>
          </w:p>
        </w:tc>
        <w:tc>
          <w:tcPr>
            <w:tcW w:w="6803" w:type="dxa"/>
          </w:tcPr>
          <w:p w14:paraId="17C14054" w14:textId="2A70410B" w:rsidR="00F67E9E" w:rsidRPr="009B67E0" w:rsidRDefault="00F67E9E" w:rsidP="007F74AA">
            <w:pPr>
              <w:pStyle w:val="StdBodyText"/>
              <w:rPr>
                <w:rFonts w:cs="Arial"/>
              </w:rPr>
            </w:pPr>
            <w:r w:rsidRPr="009B67E0">
              <w:rPr>
                <w:rFonts w:cs="Arial"/>
              </w:rPr>
              <w:t xml:space="preserve">has the meaning given in </w:t>
            </w:r>
            <w:bookmarkStart w:id="603" w:name="_9kR3WTr2BBCFFdEnoewrqyFN"/>
            <w:r w:rsidRPr="009B67E0">
              <w:rPr>
                <w:rFonts w:cs="Arial"/>
              </w:rPr>
              <w:t xml:space="preserve">Paragraph </w:t>
            </w:r>
            <w:r w:rsidRPr="009B67E0">
              <w:rPr>
                <w:rFonts w:cs="Arial"/>
              </w:rPr>
              <w:fldChar w:fldCharType="begin"/>
            </w:r>
            <w:r w:rsidRPr="009B67E0">
              <w:rPr>
                <w:rFonts w:cs="Arial"/>
              </w:rPr>
              <w:instrText xml:space="preserve"> REF _Ref_ContractCompanion_9kb9Ur8AC \n \h \t \* MERGEFORMAT </w:instrText>
            </w:r>
            <w:r w:rsidRPr="009B67E0">
              <w:rPr>
                <w:rFonts w:cs="Arial"/>
              </w:rPr>
            </w:r>
            <w:r w:rsidRPr="009B67E0">
              <w:rPr>
                <w:rFonts w:cs="Arial"/>
              </w:rPr>
              <w:fldChar w:fldCharType="separate"/>
            </w:r>
            <w:r w:rsidR="00302D39">
              <w:rPr>
                <w:rFonts w:cs="Arial"/>
              </w:rPr>
              <w:t>5.1</w:t>
            </w:r>
            <w:r w:rsidRPr="009B67E0">
              <w:rPr>
                <w:rFonts w:cs="Arial"/>
              </w:rPr>
              <w:fldChar w:fldCharType="end"/>
            </w:r>
            <w:bookmarkEnd w:id="603"/>
            <w:r w:rsidRPr="009B67E0">
              <w:rPr>
                <w:rFonts w:cs="Arial"/>
              </w:rPr>
              <w:t>;</w:t>
            </w:r>
          </w:p>
        </w:tc>
      </w:tr>
      <w:tr w:rsidR="00F67E9E" w:rsidRPr="009B67E0" w14:paraId="1E7DC3B8" w14:textId="77777777" w:rsidTr="007F74AA">
        <w:tc>
          <w:tcPr>
            <w:tcW w:w="2835" w:type="dxa"/>
          </w:tcPr>
          <w:p w14:paraId="4B163A33" w14:textId="77777777" w:rsidR="00F67E9E" w:rsidRPr="009B67E0" w:rsidRDefault="00F67E9E" w:rsidP="007F74AA">
            <w:pPr>
              <w:pStyle w:val="StdBodyTextBold"/>
              <w:rPr>
                <w:rFonts w:cs="Arial"/>
              </w:rPr>
            </w:pPr>
            <w:r>
              <w:rPr>
                <w:rFonts w:cs="Arial"/>
              </w:rPr>
              <w:t>“</w:t>
            </w:r>
            <w:r w:rsidRPr="009B67E0">
              <w:rPr>
                <w:rFonts w:cs="Arial"/>
              </w:rPr>
              <w:t>Sub-contractor Security Requirements</w:t>
            </w:r>
            <w:r>
              <w:rPr>
                <w:rFonts w:cs="Arial"/>
              </w:rPr>
              <w:t>”</w:t>
            </w:r>
          </w:p>
        </w:tc>
        <w:tc>
          <w:tcPr>
            <w:tcW w:w="6803" w:type="dxa"/>
          </w:tcPr>
          <w:p w14:paraId="2EC38979" w14:textId="0AC5F538" w:rsidR="00F67E9E" w:rsidRPr="009B67E0" w:rsidRDefault="00F67E9E" w:rsidP="007F74AA">
            <w:pPr>
              <w:pStyle w:val="StdBodyText"/>
              <w:rPr>
                <w:rFonts w:cs="Arial"/>
              </w:rPr>
            </w:pPr>
            <w:r w:rsidRPr="009B67E0">
              <w:rPr>
                <w:rFonts w:cs="Arial"/>
              </w:rPr>
              <w:t xml:space="preserve">means those requirements set out in Annex </w:t>
            </w:r>
            <w:r w:rsidRPr="009B67E0">
              <w:rPr>
                <w:rFonts w:cs="Arial"/>
              </w:rPr>
              <w:fldChar w:fldCharType="begin"/>
            </w:r>
            <w:r w:rsidRPr="009B67E0">
              <w:rPr>
                <w:rFonts w:cs="Arial"/>
              </w:rPr>
              <w:instrText xml:space="preserve"> REF ANNEX2_PARTB_SCHEDULE5 \h </w:instrText>
            </w:r>
            <w:r>
              <w:rPr>
                <w:rFonts w:cs="Arial"/>
              </w:rPr>
              <w:instrText xml:space="preserve"> \* MERGEFORMAT </w:instrText>
            </w:r>
            <w:r w:rsidRPr="009B67E0">
              <w:rPr>
                <w:rFonts w:cs="Arial"/>
              </w:rPr>
            </w:r>
            <w:r w:rsidRPr="009B67E0">
              <w:rPr>
                <w:rFonts w:cs="Arial"/>
              </w:rPr>
              <w:fldChar w:fldCharType="separate"/>
            </w:r>
            <w:r w:rsidR="00302D39" w:rsidRPr="00302D39">
              <w:rPr>
                <w:rFonts w:cs="Arial"/>
              </w:rPr>
              <w:t>2</w:t>
            </w:r>
            <w:r w:rsidRPr="009B67E0">
              <w:rPr>
                <w:rFonts w:cs="Arial"/>
              </w:rPr>
              <w:fldChar w:fldCharType="end"/>
            </w:r>
            <w:r w:rsidRPr="009B67E0">
              <w:rPr>
                <w:rFonts w:cs="Arial"/>
              </w:rPr>
              <w:t>; and</w:t>
            </w:r>
          </w:p>
        </w:tc>
      </w:tr>
      <w:tr w:rsidR="00F67E9E" w:rsidRPr="009B67E0" w14:paraId="2605977F" w14:textId="77777777" w:rsidTr="007F74AA">
        <w:tc>
          <w:tcPr>
            <w:tcW w:w="2835" w:type="dxa"/>
          </w:tcPr>
          <w:p w14:paraId="59CA3EBC" w14:textId="77777777" w:rsidR="00F67E9E" w:rsidRPr="009B67E0" w:rsidRDefault="00F67E9E" w:rsidP="007F74AA">
            <w:pPr>
              <w:pStyle w:val="StdBodyTextBold"/>
              <w:rPr>
                <w:rFonts w:cs="Arial"/>
              </w:rPr>
            </w:pPr>
            <w:r>
              <w:rPr>
                <w:rFonts w:cs="Arial"/>
              </w:rPr>
              <w:t>“</w:t>
            </w:r>
            <w:r w:rsidRPr="009B67E0">
              <w:rPr>
                <w:rFonts w:cs="Arial"/>
              </w:rPr>
              <w:t>Wider Information Management System</w:t>
            </w:r>
            <w:r>
              <w:rPr>
                <w:rFonts w:cs="Arial"/>
              </w:rPr>
              <w:t>”</w:t>
            </w:r>
          </w:p>
        </w:tc>
        <w:tc>
          <w:tcPr>
            <w:tcW w:w="6803" w:type="dxa"/>
          </w:tcPr>
          <w:p w14:paraId="3ED5AAC8" w14:textId="77777777" w:rsidR="00F67E9E" w:rsidRPr="009B67E0" w:rsidRDefault="00F67E9E" w:rsidP="007F74AA">
            <w:pPr>
              <w:pStyle w:val="StdBodyText"/>
              <w:rPr>
                <w:rFonts w:cs="Arial"/>
              </w:rPr>
            </w:pPr>
            <w:r w:rsidRPr="009B67E0">
              <w:rPr>
                <w:rFonts w:cs="Arial"/>
              </w:rPr>
              <w:t>means those information assets, IT systems and/or Sites which will be used by the Supplier and/or its Sub-contractors to Process Authority Data which have not been determined by the Authority to form part of the Core Information Management System, together with the associated information management system (including organisational structure, controls, policies, practices, procedures, processes and resources).</w:t>
            </w:r>
          </w:p>
        </w:tc>
      </w:tr>
    </w:tbl>
    <w:p w14:paraId="3F9198A3" w14:textId="77777777" w:rsidR="00F67E9E" w:rsidRPr="009B67E0" w:rsidRDefault="00F67E9E" w:rsidP="00F67E9E">
      <w:pPr>
        <w:pStyle w:val="Numbered1"/>
      </w:pPr>
      <w:r w:rsidRPr="009B67E0">
        <w:t>Introduction</w:t>
      </w:r>
    </w:p>
    <w:p w14:paraId="4F997337" w14:textId="33B583CC" w:rsidR="00F67E9E" w:rsidRPr="009B67E0" w:rsidRDefault="00F67E9E" w:rsidP="00F67E9E">
      <w:pPr>
        <w:pStyle w:val="Numbered11"/>
      </w:pPr>
      <w:r w:rsidRPr="009B67E0">
        <w:t xml:space="preserve">This </w:t>
      </w:r>
      <w:r w:rsidRPr="009B67E0">
        <w:fldChar w:fldCharType="begin"/>
      </w:r>
      <w:r w:rsidRPr="009B67E0">
        <w:instrText xml:space="preserve"> REF Sch5PartB \h  \* MERGEFORMAT </w:instrText>
      </w:r>
      <w:r w:rsidRPr="009B67E0">
        <w:fldChar w:fldCharType="separate"/>
      </w:r>
      <w:r w:rsidR="00302D39" w:rsidRPr="004472FD">
        <w:t>Part</w:t>
      </w:r>
      <w:r w:rsidR="00302D39" w:rsidRPr="00024F2F">
        <w:t> B</w:t>
      </w:r>
      <w:r w:rsidRPr="009B67E0">
        <w:fldChar w:fldCharType="end"/>
      </w:r>
      <w:r w:rsidRPr="009B67E0">
        <w:t xml:space="preserve"> of this Schedule sets out:</w:t>
      </w:r>
    </w:p>
    <w:p w14:paraId="4CE5E231" w14:textId="77777777" w:rsidR="00F67E9E" w:rsidRPr="009B67E0" w:rsidRDefault="00F67E9E" w:rsidP="00F67E9E">
      <w:pPr>
        <w:pStyle w:val="Numbered111"/>
        <w:tabs>
          <w:tab w:val="clear" w:pos="1800"/>
          <w:tab w:val="num" w:pos="1440"/>
          <w:tab w:val="num" w:pos="2160"/>
        </w:tabs>
        <w:ind w:left="1440" w:hanging="720"/>
      </w:pPr>
      <w:r w:rsidRPr="009B67E0">
        <w:t>the arrangements the Supplier must implement before, and comply with when, providing the Services and performing its other obligations under this Contract to ensure the security of the Authority Data, the IT Environment, the Services and the Information Management System;</w:t>
      </w:r>
    </w:p>
    <w:p w14:paraId="2A234A25" w14:textId="4205ED9E" w:rsidR="00F67E9E" w:rsidRPr="009B67E0" w:rsidRDefault="00F67E9E" w:rsidP="00F67E9E">
      <w:pPr>
        <w:pStyle w:val="Numbered111"/>
        <w:tabs>
          <w:tab w:val="clear" w:pos="1800"/>
          <w:tab w:val="num" w:pos="1440"/>
          <w:tab w:val="num" w:pos="2160"/>
        </w:tabs>
        <w:ind w:left="1440" w:hanging="720"/>
      </w:pPr>
      <w:r w:rsidRPr="009B67E0">
        <w:t xml:space="preserve">the process which shall apply to the Accreditation of the Core Information Management System in </w:t>
      </w:r>
      <w:bookmarkStart w:id="604" w:name="_9kMKJ5YVt4DDCFDbGpqgyts0I"/>
      <w:r w:rsidRPr="009B67E0">
        <w:t xml:space="preserve">Paragraph </w:t>
      </w:r>
      <w:r w:rsidRPr="009B67E0">
        <w:fldChar w:fldCharType="begin"/>
      </w:r>
      <w:r w:rsidRPr="009B67E0">
        <w:instrText xml:space="preserve"> REF _Ref_ContractCompanion_9kb9Ur695 \w \n \h \t \* MERGEFORMAT </w:instrText>
      </w:r>
      <w:r w:rsidRPr="009B67E0">
        <w:fldChar w:fldCharType="separate"/>
      </w:r>
      <w:r w:rsidR="00302D39">
        <w:t>6</w:t>
      </w:r>
      <w:r w:rsidRPr="009B67E0">
        <w:fldChar w:fldCharType="end"/>
      </w:r>
      <w:bookmarkEnd w:id="604"/>
      <w:r w:rsidRPr="009B67E0">
        <w:t>;</w:t>
      </w:r>
    </w:p>
    <w:p w14:paraId="26E026D7" w14:textId="6AFCCD3D" w:rsidR="00F67E9E" w:rsidRPr="009B67E0" w:rsidRDefault="00F67E9E" w:rsidP="00F67E9E">
      <w:pPr>
        <w:pStyle w:val="Numbered111"/>
        <w:tabs>
          <w:tab w:val="clear" w:pos="1800"/>
          <w:tab w:val="num" w:pos="1440"/>
          <w:tab w:val="num" w:pos="2160"/>
        </w:tabs>
        <w:ind w:left="1440" w:hanging="720"/>
      </w:pPr>
      <w:r w:rsidRPr="009B67E0">
        <w:t xml:space="preserve">the Certification Requirements applicable to the Wider Information Management System in </w:t>
      </w:r>
      <w:bookmarkStart w:id="605" w:name="_9kR3WTr2BBCGDaEnoewrqyH"/>
      <w:r w:rsidRPr="009B67E0">
        <w:t xml:space="preserve">Paragraph </w:t>
      </w:r>
      <w:r w:rsidRPr="009B67E0">
        <w:fldChar w:fldCharType="begin"/>
      </w:r>
      <w:r w:rsidRPr="009B67E0">
        <w:instrText xml:space="preserve"> REF _Ref_ContractCompanion_9kb9Ur8C7 \w \n \h \t \* MERGEFORMAT </w:instrText>
      </w:r>
      <w:r w:rsidRPr="009B67E0">
        <w:fldChar w:fldCharType="separate"/>
      </w:r>
      <w:r w:rsidR="00302D39">
        <w:t>7</w:t>
      </w:r>
      <w:r w:rsidRPr="009B67E0">
        <w:fldChar w:fldCharType="end"/>
      </w:r>
      <w:bookmarkEnd w:id="605"/>
      <w:r w:rsidRPr="009B67E0">
        <w:t>;</w:t>
      </w:r>
    </w:p>
    <w:p w14:paraId="003EBED5" w14:textId="4F123009" w:rsidR="00F67E9E" w:rsidRPr="009B67E0" w:rsidRDefault="00F67E9E" w:rsidP="00F67E9E">
      <w:pPr>
        <w:pStyle w:val="Numbered111"/>
        <w:tabs>
          <w:tab w:val="clear" w:pos="1800"/>
          <w:tab w:val="num" w:pos="1440"/>
          <w:tab w:val="num" w:pos="2160"/>
        </w:tabs>
        <w:ind w:left="1440" w:hanging="720"/>
      </w:pPr>
      <w:r w:rsidRPr="009B67E0">
        <w:t xml:space="preserve">the Security Tests which the Supplier shall conduct during the Contract Period in </w:t>
      </w:r>
      <w:bookmarkStart w:id="606" w:name="_9kR3WTr2BBCGGdEnoewrqyI"/>
      <w:r w:rsidRPr="009B67E0">
        <w:t xml:space="preserve">Paragraph </w:t>
      </w:r>
      <w:r w:rsidRPr="009B67E0">
        <w:fldChar w:fldCharType="begin"/>
      </w:r>
      <w:r w:rsidRPr="009B67E0">
        <w:instrText xml:space="preserve"> REF _Ref_ContractCompanion_9kb9Ur8CA \w \n \h \t \* MERGEFORMAT </w:instrText>
      </w:r>
      <w:r w:rsidRPr="009B67E0">
        <w:fldChar w:fldCharType="separate"/>
      </w:r>
      <w:r w:rsidR="00302D39">
        <w:t>8</w:t>
      </w:r>
      <w:r w:rsidRPr="009B67E0">
        <w:fldChar w:fldCharType="end"/>
      </w:r>
      <w:bookmarkEnd w:id="606"/>
      <w:r w:rsidRPr="009B67E0">
        <w:t>;</w:t>
      </w:r>
    </w:p>
    <w:p w14:paraId="022B91C1" w14:textId="5F606560" w:rsidR="00F67E9E" w:rsidRPr="009B67E0" w:rsidRDefault="00F67E9E" w:rsidP="00F67E9E">
      <w:pPr>
        <w:pStyle w:val="Numbered111"/>
        <w:tabs>
          <w:tab w:val="clear" w:pos="1800"/>
          <w:tab w:val="num" w:pos="1440"/>
          <w:tab w:val="num" w:pos="2160"/>
        </w:tabs>
        <w:ind w:left="1440" w:hanging="720"/>
      </w:pPr>
      <w:r w:rsidRPr="009B67E0">
        <w:t xml:space="preserve">the Security Tests which the Authority may conduct during the Contract Period in </w:t>
      </w:r>
      <w:bookmarkStart w:id="607" w:name="_9kMHG5YVtCIAEJCHOkTlFQG40B69Q8y24JEHSAD"/>
      <w:r w:rsidRPr="009B67E0">
        <w:t xml:space="preserve">Paragraph </w:t>
      </w:r>
      <w:r w:rsidRPr="009B67E0">
        <w:fldChar w:fldCharType="begin"/>
      </w:r>
      <w:r w:rsidRPr="009B67E0">
        <w:instrText xml:space="preserve"> REF _Ref_ContractCompanion_9kb9Ur8CD \n \h \t \* MERGEFORMAT </w:instrText>
      </w:r>
      <w:r w:rsidRPr="009B67E0">
        <w:fldChar w:fldCharType="separate"/>
      </w:r>
      <w:r w:rsidR="00302D39">
        <w:t>8.6</w:t>
      </w:r>
      <w:r w:rsidRPr="009B67E0">
        <w:fldChar w:fldCharType="end"/>
      </w:r>
      <w:bookmarkEnd w:id="607"/>
      <w:r w:rsidRPr="009B67E0">
        <w:t>;</w:t>
      </w:r>
    </w:p>
    <w:p w14:paraId="5C833835" w14:textId="681B4CCE" w:rsidR="00F67E9E" w:rsidRPr="009B67E0" w:rsidRDefault="00F67E9E" w:rsidP="00F67E9E">
      <w:pPr>
        <w:pStyle w:val="Numbered111"/>
        <w:tabs>
          <w:tab w:val="clear" w:pos="1800"/>
          <w:tab w:val="num" w:pos="1440"/>
          <w:tab w:val="num" w:pos="2160"/>
        </w:tabs>
        <w:ind w:left="1440" w:hanging="720"/>
      </w:pPr>
      <w:r w:rsidRPr="009B67E0">
        <w:t xml:space="preserve">the requirements to patch vulnerabilities in the Core Information Management System in </w:t>
      </w:r>
      <w:bookmarkStart w:id="608" w:name="_9kR3WTr2BBCHDZEnoewrqyJ"/>
      <w:r w:rsidRPr="009B67E0">
        <w:t xml:space="preserve">Paragraph </w:t>
      </w:r>
      <w:r w:rsidRPr="009B67E0">
        <w:fldChar w:fldCharType="begin"/>
      </w:r>
      <w:r w:rsidRPr="009B67E0">
        <w:instrText xml:space="preserve"> REF _Ref_ContractCompanion_9kb9Ur8D7 \w \n \h \t \* MERGEFORMAT </w:instrText>
      </w:r>
      <w:r w:rsidRPr="009B67E0">
        <w:fldChar w:fldCharType="separate"/>
      </w:r>
      <w:r w:rsidR="00302D39">
        <w:t>9</w:t>
      </w:r>
      <w:r w:rsidRPr="009B67E0">
        <w:fldChar w:fldCharType="end"/>
      </w:r>
      <w:bookmarkEnd w:id="608"/>
      <w:r w:rsidRPr="009B67E0">
        <w:t xml:space="preserve">; </w:t>
      </w:r>
    </w:p>
    <w:p w14:paraId="31104014" w14:textId="1227E866" w:rsidR="00F67E9E" w:rsidRPr="009B67E0" w:rsidRDefault="00F67E9E" w:rsidP="00F67E9E">
      <w:pPr>
        <w:pStyle w:val="Numbered111"/>
        <w:tabs>
          <w:tab w:val="clear" w:pos="1800"/>
          <w:tab w:val="num" w:pos="1440"/>
          <w:tab w:val="num" w:pos="2160"/>
        </w:tabs>
        <w:ind w:left="1440" w:hanging="720"/>
      </w:pPr>
      <w:r w:rsidRPr="009B67E0">
        <w:t xml:space="preserve">the obligations on the Supplier to prevent the introduction of Malicious Software into the Information Management System and to scan for, contain the spread of, and minimise the impact of Malicious Software which is introduced into the Information Management System in </w:t>
      </w:r>
      <w:bookmarkStart w:id="609" w:name="_9kR3WTr2BBCHIeEnoewrqyBI"/>
      <w:r w:rsidRPr="009B67E0">
        <w:t xml:space="preserve">Paragraph </w:t>
      </w:r>
      <w:r w:rsidRPr="009B67E0">
        <w:fldChar w:fldCharType="begin"/>
      </w:r>
      <w:r w:rsidRPr="009B67E0">
        <w:instrText xml:space="preserve"> REF _Ref_ContractCompanion_9kb9Ur8DA \w \n \h \t \* MERGEFORMAT </w:instrText>
      </w:r>
      <w:r w:rsidRPr="009B67E0">
        <w:fldChar w:fldCharType="separate"/>
      </w:r>
      <w:r w:rsidR="00302D39">
        <w:t>10</w:t>
      </w:r>
      <w:r w:rsidRPr="009B67E0">
        <w:fldChar w:fldCharType="end"/>
      </w:r>
      <w:bookmarkEnd w:id="609"/>
      <w:r w:rsidRPr="009B67E0">
        <w:t>; and</w:t>
      </w:r>
    </w:p>
    <w:p w14:paraId="57771C53" w14:textId="6CFA53EF" w:rsidR="00F67E9E" w:rsidRPr="009B67E0" w:rsidRDefault="00F67E9E" w:rsidP="00F67E9E">
      <w:pPr>
        <w:pStyle w:val="Numbered111"/>
        <w:tabs>
          <w:tab w:val="clear" w:pos="1800"/>
          <w:tab w:val="num" w:pos="1440"/>
          <w:tab w:val="num" w:pos="2160"/>
        </w:tabs>
        <w:ind w:left="1440" w:hanging="720"/>
      </w:pPr>
      <w:r w:rsidRPr="009B67E0">
        <w:t>each Party</w:t>
      </w:r>
      <w:r>
        <w:t>’</w:t>
      </w:r>
      <w:r w:rsidRPr="009B67E0">
        <w:t xml:space="preserve">s obligations in the event of an actual or attempted Breach of Security in </w:t>
      </w:r>
      <w:bookmarkStart w:id="610" w:name="_9kR3WTr2BBCICXEnoewrqyBJ"/>
      <w:r w:rsidRPr="009B67E0">
        <w:t xml:space="preserve">Paragraph </w:t>
      </w:r>
      <w:r w:rsidRPr="009B67E0">
        <w:fldChar w:fldCharType="begin"/>
      </w:r>
      <w:r w:rsidRPr="009B67E0">
        <w:instrText xml:space="preserve"> REF _Ref_ContractCompanion_9kb9Ur8DF \w \n \h \t \* MERGEFORMAT </w:instrText>
      </w:r>
      <w:r w:rsidRPr="009B67E0">
        <w:fldChar w:fldCharType="separate"/>
      </w:r>
      <w:r w:rsidR="00302D39">
        <w:t>11</w:t>
      </w:r>
      <w:r w:rsidRPr="009B67E0">
        <w:fldChar w:fldCharType="end"/>
      </w:r>
      <w:bookmarkEnd w:id="610"/>
      <w:r w:rsidRPr="009B67E0">
        <w:t>.</w:t>
      </w:r>
    </w:p>
    <w:p w14:paraId="0F868CEC" w14:textId="77777777" w:rsidR="00F67E9E" w:rsidRPr="009B67E0" w:rsidRDefault="00F67E9E" w:rsidP="00F67E9E">
      <w:pPr>
        <w:pStyle w:val="Numbered1"/>
      </w:pPr>
      <w:r w:rsidRPr="009B67E0">
        <w:t>Principles of Security</w:t>
      </w:r>
    </w:p>
    <w:p w14:paraId="37D8FB5F" w14:textId="77777777" w:rsidR="00F67E9E" w:rsidRPr="009B67E0" w:rsidRDefault="00F67E9E" w:rsidP="00F67E9E">
      <w:pPr>
        <w:pStyle w:val="Numbered11"/>
      </w:pPr>
      <w:r w:rsidRPr="009B67E0">
        <w:t>The Supplier acknowledges that the Authority places great emphasis on the confidentiality, integrity and availability of the Authority Data and, consequently on the security of:</w:t>
      </w:r>
    </w:p>
    <w:p w14:paraId="1A3049D9" w14:textId="77777777" w:rsidR="00F67E9E" w:rsidRPr="009B67E0" w:rsidRDefault="00F67E9E" w:rsidP="00F67E9E">
      <w:pPr>
        <w:pStyle w:val="Numbered111"/>
        <w:tabs>
          <w:tab w:val="clear" w:pos="1800"/>
          <w:tab w:val="num" w:pos="1440"/>
          <w:tab w:val="num" w:pos="2160"/>
        </w:tabs>
        <w:ind w:left="1440" w:hanging="720"/>
      </w:pPr>
      <w:r w:rsidRPr="009B67E0">
        <w:t>the Sites;</w:t>
      </w:r>
    </w:p>
    <w:p w14:paraId="498DD79B" w14:textId="77777777" w:rsidR="00F67E9E" w:rsidRPr="009B67E0" w:rsidRDefault="00F67E9E" w:rsidP="00F67E9E">
      <w:pPr>
        <w:pStyle w:val="Numbered111"/>
        <w:tabs>
          <w:tab w:val="clear" w:pos="1800"/>
          <w:tab w:val="num" w:pos="1440"/>
          <w:tab w:val="num" w:pos="2160"/>
        </w:tabs>
        <w:ind w:left="1440" w:hanging="720"/>
      </w:pPr>
      <w:r w:rsidRPr="009B67E0">
        <w:t xml:space="preserve">the IT Environment; </w:t>
      </w:r>
    </w:p>
    <w:p w14:paraId="619543FA" w14:textId="77777777" w:rsidR="00F67E9E" w:rsidRPr="009B67E0" w:rsidRDefault="00F67E9E" w:rsidP="00F67E9E">
      <w:pPr>
        <w:pStyle w:val="Numbered111"/>
        <w:tabs>
          <w:tab w:val="clear" w:pos="1800"/>
          <w:tab w:val="num" w:pos="1440"/>
          <w:tab w:val="num" w:pos="2160"/>
        </w:tabs>
        <w:ind w:left="1440" w:hanging="720"/>
      </w:pPr>
      <w:r w:rsidRPr="009B67E0">
        <w:t>the Services; and</w:t>
      </w:r>
    </w:p>
    <w:p w14:paraId="365DB286" w14:textId="77777777" w:rsidR="00F67E9E" w:rsidRPr="009B67E0" w:rsidRDefault="00F67E9E" w:rsidP="00F67E9E">
      <w:pPr>
        <w:pStyle w:val="Numbered111"/>
        <w:tabs>
          <w:tab w:val="clear" w:pos="1800"/>
          <w:tab w:val="num" w:pos="1440"/>
          <w:tab w:val="num" w:pos="2160"/>
        </w:tabs>
        <w:ind w:left="1440" w:hanging="720"/>
      </w:pPr>
      <w:r w:rsidRPr="009B67E0">
        <w:t>the Core Information Management System.</w:t>
      </w:r>
    </w:p>
    <w:p w14:paraId="43969D50" w14:textId="77777777" w:rsidR="00F67E9E" w:rsidRPr="009B67E0" w:rsidRDefault="00F67E9E" w:rsidP="00F67E9E">
      <w:pPr>
        <w:pStyle w:val="Numbered11"/>
      </w:pPr>
      <w:r w:rsidRPr="009B67E0">
        <w:t>Notwithstanding the involvement of the Authority in the Accreditation of the Core Information Management System, the Supplier shall be and shall remain responsible for:</w:t>
      </w:r>
    </w:p>
    <w:p w14:paraId="041DEFB7" w14:textId="77777777" w:rsidR="00F67E9E" w:rsidRPr="009B67E0" w:rsidRDefault="00F67E9E" w:rsidP="00F67E9E">
      <w:pPr>
        <w:pStyle w:val="Numbered111"/>
        <w:tabs>
          <w:tab w:val="clear" w:pos="1800"/>
          <w:tab w:val="num" w:pos="1440"/>
          <w:tab w:val="num" w:pos="2160"/>
        </w:tabs>
        <w:ind w:left="1440" w:hanging="720"/>
      </w:pPr>
      <w:r w:rsidRPr="009B67E0">
        <w:t>the security, confidentiality, integrity and availability of the Authority Data whilst that Authority Data is under the control of the Supplier or any of its Sub-contractors; and</w:t>
      </w:r>
    </w:p>
    <w:p w14:paraId="0B81F74E" w14:textId="77777777" w:rsidR="00F67E9E" w:rsidRPr="009B67E0" w:rsidRDefault="00F67E9E" w:rsidP="00F67E9E">
      <w:pPr>
        <w:pStyle w:val="Numbered111"/>
        <w:tabs>
          <w:tab w:val="clear" w:pos="1800"/>
          <w:tab w:val="num" w:pos="1440"/>
          <w:tab w:val="num" w:pos="2160"/>
        </w:tabs>
        <w:ind w:left="1440" w:hanging="720"/>
      </w:pPr>
      <w:r w:rsidRPr="009B67E0">
        <w:t>the security of the Information Management System.</w:t>
      </w:r>
    </w:p>
    <w:p w14:paraId="13F92B2E" w14:textId="77777777" w:rsidR="00F67E9E" w:rsidRPr="009B67E0" w:rsidRDefault="00F67E9E" w:rsidP="00F67E9E">
      <w:pPr>
        <w:pStyle w:val="Numbered11"/>
      </w:pPr>
      <w:r w:rsidRPr="009B67E0">
        <w:t>The Supplier shall:</w:t>
      </w:r>
    </w:p>
    <w:p w14:paraId="58FA2DE5" w14:textId="77777777" w:rsidR="00F67E9E" w:rsidRPr="009B67E0" w:rsidRDefault="00F67E9E" w:rsidP="00F67E9E">
      <w:pPr>
        <w:pStyle w:val="Numbered111"/>
        <w:tabs>
          <w:tab w:val="clear" w:pos="1800"/>
          <w:tab w:val="num" w:pos="1440"/>
          <w:tab w:val="num" w:pos="2160"/>
        </w:tabs>
        <w:ind w:left="1440" w:hanging="720"/>
      </w:pPr>
      <w:r w:rsidRPr="009B67E0">
        <w:t>comply with the Baseline Security Requirements; and</w:t>
      </w:r>
    </w:p>
    <w:p w14:paraId="10BF8E26" w14:textId="77777777" w:rsidR="00F67E9E" w:rsidRPr="009B67E0" w:rsidRDefault="00F67E9E" w:rsidP="00F67E9E">
      <w:pPr>
        <w:pStyle w:val="Numbered111"/>
        <w:tabs>
          <w:tab w:val="clear" w:pos="1800"/>
          <w:tab w:val="num" w:pos="1440"/>
          <w:tab w:val="num" w:pos="2160"/>
        </w:tabs>
        <w:ind w:left="1440" w:hanging="720"/>
      </w:pPr>
      <w:r w:rsidRPr="009B67E0">
        <w:t>ensure that each Sub-contractor that Processes Authority Data complies with the Sub-contractor Security Requirements.</w:t>
      </w:r>
    </w:p>
    <w:p w14:paraId="1FBD071F" w14:textId="5A4E8199" w:rsidR="00F67E9E" w:rsidRPr="001B1EB0" w:rsidRDefault="00F67E9E" w:rsidP="00F67E9E">
      <w:pPr>
        <w:pStyle w:val="Numbered11"/>
        <w:keepNext/>
        <w:keepLines/>
        <w:widowControl/>
      </w:pPr>
      <w:r w:rsidRPr="001B1EB0">
        <w:t>The [</w:t>
      </w:r>
      <w:r w:rsidRPr="003843A3">
        <w:rPr>
          <w:highlight w:val="yellow"/>
        </w:rPr>
        <w:t>Board Name</w:t>
      </w:r>
      <w:r w:rsidRPr="001B1EB0">
        <w:t xml:space="preserve">] established </w:t>
      </w:r>
      <w:r w:rsidRPr="009B67E0">
        <w:t>under Paragraph</w:t>
      </w:r>
      <w:r w:rsidRPr="001B1EB0">
        <w:t xml:space="preserve"> [</w:t>
      </w:r>
      <w:r w:rsidRPr="003843A3">
        <w:rPr>
          <w:highlight w:val="yellow"/>
        </w:rPr>
        <w:t>number</w:t>
      </w:r>
      <w:r w:rsidRPr="001B1EB0">
        <w:t xml:space="preserve">] of </w:t>
      </w:r>
      <w:r>
        <w:rPr>
          <w:rFonts w:cs="Arial"/>
        </w:rPr>
        <w:fldChar w:fldCharType="begin"/>
      </w:r>
      <w:r>
        <w:rPr>
          <w:rFonts w:cs="Arial"/>
        </w:rPr>
        <w:instrText xml:space="preserve"> REF Schedule21 \h </w:instrText>
      </w:r>
      <w:r>
        <w:rPr>
          <w:rFonts w:cs="Arial"/>
        </w:rPr>
      </w:r>
      <w:r>
        <w:rPr>
          <w:rFonts w:cs="Arial"/>
        </w:rPr>
        <w:fldChar w:fldCharType="separate"/>
      </w:r>
      <w:r w:rsidR="00302D39" w:rsidRPr="005D0525">
        <w:t>Schedule</w:t>
      </w:r>
      <w:r w:rsidR="00302D39">
        <w:t> </w:t>
      </w:r>
      <w:r w:rsidR="00302D39" w:rsidRPr="005D0525">
        <w:t>21</w:t>
      </w:r>
      <w:r>
        <w:rPr>
          <w:rFonts w:cs="Arial"/>
        </w:rPr>
        <w:fldChar w:fldCharType="end"/>
      </w:r>
      <w:r>
        <w:rPr>
          <w:rFonts w:cs="Arial"/>
        </w:rPr>
        <w:t xml:space="preserve"> (</w:t>
      </w:r>
      <w:r w:rsidRPr="002F30DB">
        <w:rPr>
          <w:rFonts w:cs="Arial"/>
          <w:i/>
          <w:iCs/>
        </w:rPr>
        <w:fldChar w:fldCharType="begin"/>
      </w:r>
      <w:r w:rsidRPr="002F30DB">
        <w:rPr>
          <w:rFonts w:cs="Arial"/>
          <w:i/>
          <w:iCs/>
        </w:rPr>
        <w:instrText xml:space="preserve"> REF Schedule21Heading \h </w:instrText>
      </w:r>
      <w:r>
        <w:rPr>
          <w:rFonts w:cs="Arial"/>
          <w:i/>
          <w:iCs/>
        </w:rPr>
        <w:instrText xml:space="preserve"> \* MERGEFORMAT </w:instrText>
      </w:r>
      <w:r w:rsidRPr="002F30DB">
        <w:rPr>
          <w:rFonts w:cs="Arial"/>
          <w:i/>
          <w:iCs/>
        </w:rPr>
      </w:r>
      <w:r w:rsidRPr="002F30DB">
        <w:rPr>
          <w:rFonts w:cs="Arial"/>
          <w:i/>
          <w:iCs/>
        </w:rPr>
        <w:fldChar w:fldCharType="separate"/>
      </w:r>
      <w:r w:rsidR="00302D39" w:rsidRPr="00302D39">
        <w:rPr>
          <w:i/>
          <w:iCs/>
        </w:rPr>
        <w:t>Governance</w:t>
      </w:r>
      <w:r w:rsidRPr="002F30DB">
        <w:rPr>
          <w:rFonts w:cs="Arial"/>
          <w:i/>
          <w:iCs/>
        </w:rPr>
        <w:fldChar w:fldCharType="end"/>
      </w:r>
      <w:r>
        <w:rPr>
          <w:rFonts w:cs="Arial"/>
        </w:rPr>
        <w:t>)</w:t>
      </w:r>
      <w:r w:rsidRPr="001B1EB0">
        <w:t xml:space="preserve"> shall, in addition to its responsibilities set out </w:t>
      </w:r>
      <w:r w:rsidRPr="009B67E0">
        <w:t>in that Schedule</w:t>
      </w:r>
      <w:r w:rsidRPr="001B1EB0">
        <w:t>, monitor and may also provide recommendations to the Supplier on the Accreditation of the Core Information Management System.</w:t>
      </w:r>
      <w:r>
        <w:t xml:space="preserve"> </w:t>
      </w:r>
    </w:p>
    <w:p w14:paraId="31C6F665" w14:textId="77777777" w:rsidR="00F67E9E" w:rsidRPr="001B1EB0" w:rsidRDefault="00F67E9E" w:rsidP="00F67E9E">
      <w:pPr>
        <w:pStyle w:val="Numbered11"/>
      </w:pPr>
      <w:r w:rsidRPr="001B1EB0">
        <w:t>To facilitate the Supplier</w:t>
      </w:r>
      <w:r>
        <w:t>’</w:t>
      </w:r>
      <w:r w:rsidRPr="001B1EB0">
        <w:t>s design, implementation, operation, management and continual improvement of the Security Management Plan and the security of the Services and Information Management System and otherwise:</w:t>
      </w:r>
    </w:p>
    <w:p w14:paraId="38E75B21" w14:textId="77777777" w:rsidR="00F67E9E" w:rsidRPr="001B1EB0" w:rsidRDefault="00F67E9E" w:rsidP="00F67E9E">
      <w:pPr>
        <w:pStyle w:val="Numbered111"/>
        <w:tabs>
          <w:tab w:val="clear" w:pos="1800"/>
          <w:tab w:val="num" w:pos="1440"/>
          <w:tab w:val="num" w:pos="2160"/>
        </w:tabs>
        <w:ind w:left="1440" w:hanging="720"/>
      </w:pPr>
      <w:r w:rsidRPr="001B1EB0">
        <w:t>the Supplier shall provide access to the Supplier Personnel responsible for information assurance; and</w:t>
      </w:r>
    </w:p>
    <w:p w14:paraId="1E9FE40C" w14:textId="77777777" w:rsidR="00F67E9E" w:rsidRPr="001B1EB0" w:rsidRDefault="00F67E9E" w:rsidP="00F67E9E">
      <w:pPr>
        <w:pStyle w:val="Numbered111"/>
        <w:tabs>
          <w:tab w:val="clear" w:pos="1800"/>
          <w:tab w:val="num" w:pos="1440"/>
          <w:tab w:val="num" w:pos="2160"/>
        </w:tabs>
        <w:ind w:left="1440" w:hanging="720"/>
      </w:pPr>
      <w:r w:rsidRPr="001B1EB0">
        <w:t>the Authority shall provide access to its personnel responsible for information assurance</w:t>
      </w:r>
    </w:p>
    <w:p w14:paraId="76FC58C7" w14:textId="77777777" w:rsidR="00F67E9E" w:rsidRPr="001B1EB0" w:rsidRDefault="00F67E9E" w:rsidP="00F67E9E">
      <w:pPr>
        <w:pStyle w:val="StdBodyText2"/>
        <w:tabs>
          <w:tab w:val="num" w:pos="720"/>
        </w:tabs>
        <w:ind w:left="1440" w:hanging="720"/>
        <w:rPr>
          <w:rFonts w:cs="Arial"/>
        </w:rPr>
      </w:pPr>
      <w:r w:rsidRPr="001B1EB0">
        <w:rPr>
          <w:rFonts w:cs="Arial"/>
        </w:rPr>
        <w:t>in each case at reasonable times on reasonable notice.</w:t>
      </w:r>
    </w:p>
    <w:p w14:paraId="49E6C1E1" w14:textId="77777777" w:rsidR="00F67E9E" w:rsidRPr="001B1EB0" w:rsidRDefault="00F67E9E" w:rsidP="00F67E9E">
      <w:pPr>
        <w:pStyle w:val="Numbered1"/>
        <w:tabs>
          <w:tab w:val="clear" w:pos="720"/>
        </w:tabs>
      </w:pPr>
      <w:r w:rsidRPr="001B1EB0">
        <w:t>Information Management System</w:t>
      </w:r>
    </w:p>
    <w:p w14:paraId="34A8AAAF" w14:textId="77777777" w:rsidR="00F67E9E" w:rsidRPr="001B1EB0" w:rsidRDefault="00F67E9E" w:rsidP="00F67E9E">
      <w:pPr>
        <w:pStyle w:val="Numbered11"/>
        <w:tabs>
          <w:tab w:val="clear" w:pos="720"/>
        </w:tabs>
      </w:pPr>
      <w:r w:rsidRPr="001B1EB0">
        <w:t>The Information Management System comprises the Core Information Management System and the Wider Information Management System.</w:t>
      </w:r>
    </w:p>
    <w:p w14:paraId="45A8BC2A" w14:textId="0D9035C3" w:rsidR="00F67E9E" w:rsidRPr="001B1EB0" w:rsidRDefault="00F67E9E" w:rsidP="00F67E9E">
      <w:pPr>
        <w:pStyle w:val="Numbered11"/>
        <w:tabs>
          <w:tab w:val="clear" w:pos="720"/>
        </w:tabs>
        <w:rPr>
          <w:highlight w:val="yellow"/>
        </w:rPr>
      </w:pPr>
      <w:bookmarkStart w:id="611" w:name="_Ref_ContractCompanion_9kb9Ur676"/>
      <w:bookmarkStart w:id="612" w:name="_Ref_ContractCompanion_9kb9Ur678"/>
      <w:bookmarkStart w:id="613" w:name="_Ref_ContractCompanion_9kb9Ur67A"/>
      <w:bookmarkStart w:id="614" w:name="_Ref_ContractCompanion_9kb9Ur683"/>
      <w:r w:rsidRPr="001B1EB0">
        <w:t>[</w:t>
      </w:r>
      <w:r w:rsidRPr="001B1EB0">
        <w:rPr>
          <w:highlight w:val="yellow"/>
        </w:rPr>
        <w:t xml:space="preserve">The component parts of the Core Information Management System and its boundary with the Wider Information Management System are shown in the </w:t>
      </w:r>
      <w:r w:rsidRPr="009B67E0">
        <w:rPr>
          <w:highlight w:val="yellow"/>
        </w:rPr>
        <w:t xml:space="preserve">diagram in </w:t>
      </w:r>
      <w:r w:rsidRPr="00ED71AB">
        <w:rPr>
          <w:highlight w:val="yellow"/>
        </w:rPr>
        <w:fldChar w:fldCharType="begin"/>
      </w:r>
      <w:r w:rsidRPr="00ED71AB">
        <w:rPr>
          <w:highlight w:val="yellow"/>
        </w:rPr>
        <w:instrText xml:space="preserve"> REF _Ref_ContractCompanion_9kb9Ur8E9 \h  \* MERGEFORMAT </w:instrText>
      </w:r>
      <w:r w:rsidRPr="00ED71AB">
        <w:rPr>
          <w:highlight w:val="yellow"/>
        </w:rPr>
      </w:r>
      <w:r w:rsidRPr="00ED71AB">
        <w:rPr>
          <w:highlight w:val="yellow"/>
        </w:rPr>
        <w:fldChar w:fldCharType="separate"/>
      </w:r>
      <w:r w:rsidR="00302D39" w:rsidRPr="00302D39">
        <w:rPr>
          <w:highlight w:val="yellow"/>
        </w:rPr>
        <w:t>Annex 3</w:t>
      </w:r>
      <w:r w:rsidR="00302D39" w:rsidRPr="0077466E">
        <w:t>: In</w:t>
      </w:r>
      <w:r w:rsidR="00302D39" w:rsidRPr="005B59F3">
        <w:t>formation Management System</w:t>
      </w:r>
      <w:r w:rsidRPr="00ED71AB">
        <w:rPr>
          <w:highlight w:val="yellow"/>
        </w:rPr>
        <w:fldChar w:fldCharType="end"/>
      </w:r>
      <w:r w:rsidRPr="009B67E0">
        <w:rPr>
          <w:highlight w:val="yellow"/>
        </w:rPr>
        <w:t>.</w:t>
      </w:r>
      <w:bookmarkEnd w:id="611"/>
      <w:bookmarkEnd w:id="612"/>
      <w:bookmarkEnd w:id="613"/>
      <w:bookmarkEnd w:id="614"/>
    </w:p>
    <w:p w14:paraId="754760C2" w14:textId="77777777" w:rsidR="00F67E9E" w:rsidRPr="00AC3F91" w:rsidRDefault="00F67E9E" w:rsidP="00F67E9E">
      <w:pPr>
        <w:pStyle w:val="StdBodyText2"/>
        <w:ind w:hanging="720"/>
        <w:rPr>
          <w:rFonts w:cs="Arial"/>
          <w:b/>
          <w:bCs/>
          <w:highlight w:val="yellow"/>
        </w:rPr>
      </w:pPr>
      <w:r w:rsidRPr="00AC3F91">
        <w:rPr>
          <w:rFonts w:cs="Arial"/>
          <w:b/>
          <w:bCs/>
          <w:highlight w:val="yellow"/>
        </w:rPr>
        <w:t>OR</w:t>
      </w:r>
    </w:p>
    <w:p w14:paraId="4E57F9F2" w14:textId="77777777" w:rsidR="00F67E9E" w:rsidRPr="001B1EB0" w:rsidRDefault="00F67E9E" w:rsidP="00F67E9E">
      <w:pPr>
        <w:pStyle w:val="Numbered11"/>
        <w:tabs>
          <w:tab w:val="clear" w:pos="720"/>
        </w:tabs>
      </w:pPr>
      <w:r w:rsidRPr="001B1EB0">
        <w:rPr>
          <w:highlight w:val="yellow"/>
        </w:rPr>
        <w:t>The Authority shall be responsible for determining the boundary between the Core Information Management System and the Wider Information Management System.</w:t>
      </w:r>
      <w:r>
        <w:rPr>
          <w:highlight w:val="yellow"/>
        </w:rPr>
        <w:t xml:space="preserve"> </w:t>
      </w:r>
      <w:r w:rsidRPr="001B1EB0">
        <w:rPr>
          <w:highlight w:val="yellow"/>
        </w:rPr>
        <w:t xml:space="preserve">In order to enable the Authority to make such determination, the Supplier shall provide the Authority with such documentation and information that the Authority may reasonably require regarding any information assets, IT systems and/or Sites which will be used by the Supplier or any </w:t>
      </w:r>
      <w:r w:rsidRPr="009B67E0">
        <w:rPr>
          <w:highlight w:val="yellow"/>
        </w:rPr>
        <w:t xml:space="preserve">Sub-contractor to Process </w:t>
      </w:r>
      <w:r w:rsidRPr="001B1EB0">
        <w:rPr>
          <w:highlight w:val="yellow"/>
        </w:rPr>
        <w:t>Authority Data together with the associated information management system (including organisational structure, controls, policies, practices, procedures, processes and resources).</w:t>
      </w:r>
      <w:r>
        <w:rPr>
          <w:highlight w:val="yellow"/>
        </w:rPr>
        <w:t xml:space="preserve"> </w:t>
      </w:r>
      <w:r w:rsidRPr="001B1EB0">
        <w:rPr>
          <w:highlight w:val="yellow"/>
        </w:rPr>
        <w:t>The Authority shall notify the Supplier, as soon as reasonably practical following the receipt of such documentation and information, of its decision regarding the component parts of the Core Information Management System and its boundary with the Wider Information Management System. The Supplier shall reproduce the Authority</w:t>
      </w:r>
      <w:r>
        <w:rPr>
          <w:highlight w:val="yellow"/>
        </w:rPr>
        <w:t>’</w:t>
      </w:r>
      <w:r w:rsidRPr="001B1EB0">
        <w:rPr>
          <w:highlight w:val="yellow"/>
        </w:rPr>
        <w:t>s decision as a diagram documenting the Core Information Management System, the Wider Information Management system and the boundary between the two. This diagram shall form part of the Security Management Plan.</w:t>
      </w:r>
      <w:r w:rsidRPr="001B1EB0">
        <w:t>]</w:t>
      </w:r>
    </w:p>
    <w:p w14:paraId="201CA257" w14:textId="77777777" w:rsidR="00F67E9E" w:rsidRPr="001B1EB0" w:rsidRDefault="00F67E9E" w:rsidP="00F67E9E">
      <w:pPr>
        <w:pStyle w:val="Numbered11"/>
        <w:tabs>
          <w:tab w:val="clear" w:pos="720"/>
        </w:tabs>
      </w:pPr>
      <w:r w:rsidRPr="001B1EB0">
        <w:t>Any proposed change to the component parts of the Core Information Management System or the boundary between the Core Information Management System and the Wider Information Management System shall be notified and processed in accordance with the Change Control Procedure.</w:t>
      </w:r>
    </w:p>
    <w:p w14:paraId="058CACE4" w14:textId="77777777" w:rsidR="00F67E9E" w:rsidRPr="001B1EB0" w:rsidRDefault="00F67E9E" w:rsidP="00F67E9E">
      <w:pPr>
        <w:pStyle w:val="Numbered1"/>
        <w:tabs>
          <w:tab w:val="clear" w:pos="720"/>
        </w:tabs>
      </w:pPr>
      <w:r w:rsidRPr="001B1EB0">
        <w:t>Statement of Information Risk Appetite and Baseline Security Requirements</w:t>
      </w:r>
    </w:p>
    <w:p w14:paraId="00D14CAC" w14:textId="77777777" w:rsidR="00F67E9E" w:rsidRPr="001B1EB0" w:rsidRDefault="00F67E9E" w:rsidP="00F67E9E">
      <w:pPr>
        <w:pStyle w:val="Numbered11"/>
        <w:tabs>
          <w:tab w:val="clear" w:pos="720"/>
        </w:tabs>
      </w:pPr>
      <w:bookmarkStart w:id="615" w:name="_Ref_ContractCompanion_9kb9Ur8AC"/>
      <w:r w:rsidRPr="001B1EB0">
        <w:t xml:space="preserve">The Supplier acknowledges that the Authority has provided and the Supplier has received a statement of information risk appetite for the Supplier System and the Services (the </w:t>
      </w:r>
      <w:r>
        <w:t>“</w:t>
      </w:r>
      <w:r w:rsidRPr="001B1EB0">
        <w:rPr>
          <w:rStyle w:val="StdBodyTextBoldChar"/>
          <w:rFonts w:eastAsia="Arial" w:cs="Arial"/>
        </w:rPr>
        <w:t>Statement of Information Risk Appetite</w:t>
      </w:r>
      <w:r>
        <w:t>”</w:t>
      </w:r>
      <w:r w:rsidRPr="001B1EB0">
        <w:t xml:space="preserve">). </w:t>
      </w:r>
      <w:bookmarkEnd w:id="615"/>
    </w:p>
    <w:p w14:paraId="78770B8B" w14:textId="00E236F8" w:rsidR="00F67E9E" w:rsidRPr="009B67E0" w:rsidRDefault="00F67E9E" w:rsidP="00F67E9E">
      <w:pPr>
        <w:pStyle w:val="Numbered11"/>
        <w:tabs>
          <w:tab w:val="clear" w:pos="720"/>
        </w:tabs>
      </w:pPr>
      <w:r w:rsidRPr="009B67E0">
        <w:t>The Authority</w:t>
      </w:r>
      <w:r>
        <w:t>’</w:t>
      </w:r>
      <w:r w:rsidRPr="009B67E0">
        <w:t xml:space="preserve">s Baseline Security Requirements in respect of the Core Information Management System are set out in Annex </w:t>
      </w:r>
      <w:r w:rsidRPr="009B67E0">
        <w:rPr>
          <w:b/>
          <w:bCs/>
        </w:rPr>
        <w:fldChar w:fldCharType="begin"/>
      </w:r>
      <w:r w:rsidRPr="009B67E0">
        <w:rPr>
          <w:b/>
          <w:bCs/>
        </w:rPr>
        <w:instrText xml:space="preserve"> REF ANNEX1_PARTA_SCHEDULE5 \h  \* MERGEFORMAT </w:instrText>
      </w:r>
      <w:r w:rsidRPr="009B67E0">
        <w:rPr>
          <w:b/>
          <w:bCs/>
        </w:rPr>
      </w:r>
      <w:r w:rsidRPr="009B67E0">
        <w:rPr>
          <w:b/>
          <w:bCs/>
        </w:rPr>
        <w:fldChar w:fldCharType="separate"/>
      </w:r>
      <w:r w:rsidR="00302D39" w:rsidRPr="00302D39">
        <w:rPr>
          <w:rStyle w:val="Heading2Char"/>
          <w:rFonts w:ascii="Arial" w:hAnsi="Arial" w:cs="Arial"/>
          <w:b w:val="0"/>
          <w:bCs w:val="0"/>
          <w:sz w:val="24"/>
          <w:szCs w:val="24"/>
        </w:rPr>
        <w:t>1</w:t>
      </w:r>
      <w:r w:rsidRPr="009B67E0">
        <w:rPr>
          <w:b/>
          <w:bCs/>
        </w:rPr>
        <w:fldChar w:fldCharType="end"/>
      </w:r>
      <w:r w:rsidRPr="009B67E0">
        <w:t>.</w:t>
      </w:r>
    </w:p>
    <w:p w14:paraId="0A02C205" w14:textId="77777777" w:rsidR="00F67E9E" w:rsidRPr="009B67E0" w:rsidRDefault="00F67E9E" w:rsidP="00F67E9E">
      <w:pPr>
        <w:pStyle w:val="Numbered1"/>
        <w:tabs>
          <w:tab w:val="clear" w:pos="720"/>
        </w:tabs>
      </w:pPr>
      <w:bookmarkStart w:id="616" w:name="_Ref_ContractCompanion_9kb9Ur686"/>
      <w:bookmarkStart w:id="617" w:name="_Ref_ContractCompanion_9kb9Ur68A"/>
      <w:bookmarkStart w:id="618" w:name="_Ref_ContractCompanion_9kb9Ur68C"/>
      <w:bookmarkStart w:id="619" w:name="_Ref_ContractCompanion_9kb9Ur695"/>
      <w:bookmarkStart w:id="620" w:name="_Ref_ContractCompanion_9kb9Ur8EC"/>
      <w:bookmarkStart w:id="621" w:name="_9kR3WTrAG8CIIgJfifw5q8MMLkQzJemfJs8By3K"/>
      <w:r w:rsidRPr="009B67E0">
        <w:t>Accreditation of the Core Information Management System</w:t>
      </w:r>
      <w:bookmarkEnd w:id="616"/>
      <w:bookmarkEnd w:id="617"/>
      <w:bookmarkEnd w:id="618"/>
      <w:bookmarkEnd w:id="619"/>
      <w:bookmarkEnd w:id="620"/>
      <w:bookmarkEnd w:id="621"/>
    </w:p>
    <w:p w14:paraId="26D9F5D6" w14:textId="5DA5A2F3" w:rsidR="00F67E9E" w:rsidRPr="009B67E0" w:rsidRDefault="00F67E9E" w:rsidP="00F67E9E">
      <w:pPr>
        <w:pStyle w:val="Numbered11"/>
        <w:tabs>
          <w:tab w:val="clear" w:pos="720"/>
        </w:tabs>
      </w:pPr>
      <w:r w:rsidRPr="009B67E0">
        <w:t xml:space="preserve">The Core Information Management System shall be subject to Accreditation in accordance with this </w:t>
      </w:r>
      <w:bookmarkStart w:id="622" w:name="_9kMHG5YVtCIAEKKiLhkhy7sAOONmS1LgohLuAD0"/>
      <w:r w:rsidRPr="009B67E0">
        <w:t xml:space="preserve">Paragraph </w:t>
      </w:r>
      <w:r w:rsidRPr="009B67E0">
        <w:fldChar w:fldCharType="begin"/>
      </w:r>
      <w:r w:rsidRPr="009B67E0">
        <w:instrText xml:space="preserve"> REF _Ref_ContractCompanion_9kb9Ur8EC \w \n \h \t \* MERGEFORMAT </w:instrText>
      </w:r>
      <w:r w:rsidRPr="009B67E0">
        <w:fldChar w:fldCharType="separate"/>
      </w:r>
      <w:r w:rsidR="00302D39">
        <w:t>6</w:t>
      </w:r>
      <w:r w:rsidRPr="009B67E0">
        <w:fldChar w:fldCharType="end"/>
      </w:r>
      <w:bookmarkEnd w:id="622"/>
      <w:r w:rsidRPr="009B67E0">
        <w:t>.</w:t>
      </w:r>
    </w:p>
    <w:p w14:paraId="12B8D92E" w14:textId="77777777" w:rsidR="00F67E9E" w:rsidRPr="009B67E0" w:rsidRDefault="00F67E9E" w:rsidP="00F67E9E">
      <w:pPr>
        <w:pStyle w:val="Numbered11"/>
        <w:tabs>
          <w:tab w:val="clear" w:pos="720"/>
        </w:tabs>
      </w:pPr>
      <w:r w:rsidRPr="009B67E0">
        <w:t>The Supplier acknowledges that the purpose of Accreditation is to ensure that:</w:t>
      </w:r>
    </w:p>
    <w:p w14:paraId="5870634C" w14:textId="77777777" w:rsidR="00F67E9E" w:rsidRPr="009B67E0" w:rsidRDefault="00F67E9E" w:rsidP="00F67E9E">
      <w:pPr>
        <w:pStyle w:val="Numbered111"/>
        <w:tabs>
          <w:tab w:val="clear" w:pos="1800"/>
          <w:tab w:val="num" w:pos="1440"/>
        </w:tabs>
        <w:ind w:left="1440" w:hanging="720"/>
      </w:pPr>
      <w:r w:rsidRPr="009B67E0">
        <w:t>the Security Management Plan accurately represents the Core Information Management System;</w:t>
      </w:r>
    </w:p>
    <w:p w14:paraId="6A9E2D2E" w14:textId="77777777" w:rsidR="00F67E9E" w:rsidRPr="009B67E0" w:rsidRDefault="00F67E9E" w:rsidP="00F67E9E">
      <w:pPr>
        <w:pStyle w:val="Numbered111"/>
        <w:tabs>
          <w:tab w:val="clear" w:pos="1800"/>
          <w:tab w:val="num" w:pos="1440"/>
        </w:tabs>
        <w:ind w:left="1440" w:hanging="720"/>
      </w:pPr>
      <w:r w:rsidRPr="009B67E0">
        <w:t>the Accreditation Plan, if followed, provides the Authority with sufficient confidence that the CIMS will meet the requirements of the Baseline Security Requirements and the Statement of Risk Appetite; and</w:t>
      </w:r>
    </w:p>
    <w:p w14:paraId="51381DFE" w14:textId="77777777" w:rsidR="00F67E9E" w:rsidRPr="009B67E0" w:rsidRDefault="00F67E9E" w:rsidP="00F67E9E">
      <w:pPr>
        <w:pStyle w:val="Numbered111"/>
        <w:tabs>
          <w:tab w:val="clear" w:pos="1800"/>
          <w:tab w:val="num" w:pos="1440"/>
        </w:tabs>
        <w:ind w:left="1440" w:hanging="720"/>
      </w:pPr>
      <w:r w:rsidRPr="009B67E0">
        <w:t>the residual risks of the Core Information Management System are no greater than those provided for in the Statement of Risk Appetite and Baseline Security Requirements.</w:t>
      </w:r>
    </w:p>
    <w:p w14:paraId="70E382C5" w14:textId="77777777" w:rsidR="00F67E9E" w:rsidRPr="009B67E0" w:rsidRDefault="00F67E9E" w:rsidP="00F67E9E">
      <w:pPr>
        <w:pStyle w:val="Numbered11"/>
        <w:tabs>
          <w:tab w:val="clear" w:pos="720"/>
        </w:tabs>
      </w:pPr>
      <w:r w:rsidRPr="009B67E0">
        <w:t>The Accreditation shall be performed by the Authority or by representatives appointed by the Authority.</w:t>
      </w:r>
    </w:p>
    <w:p w14:paraId="631CB62D" w14:textId="6753E1A6" w:rsidR="00F67E9E" w:rsidRPr="009B67E0" w:rsidRDefault="00F67E9E" w:rsidP="00F67E9E">
      <w:pPr>
        <w:pStyle w:val="Numbered11"/>
        <w:tabs>
          <w:tab w:val="clear" w:pos="720"/>
        </w:tabs>
      </w:pPr>
      <w:r w:rsidRPr="009B67E0">
        <w:t xml:space="preserve">In addition to any obligations imposed by </w:t>
      </w:r>
      <w:r>
        <w:rPr>
          <w:rFonts w:cs="Arial"/>
        </w:rPr>
        <w:fldChar w:fldCharType="begin"/>
      </w:r>
      <w:r>
        <w:rPr>
          <w:rFonts w:cs="Arial"/>
        </w:rPr>
        <w:instrText xml:space="preserve"> REF Schedule13 \h </w:instrText>
      </w:r>
      <w:r>
        <w:rPr>
          <w:rFonts w:cs="Arial"/>
        </w:rPr>
      </w:r>
      <w:r>
        <w:rPr>
          <w:rFonts w:cs="Arial"/>
        </w:rPr>
        <w:fldChar w:fldCharType="separate"/>
      </w:r>
      <w:r w:rsidR="00302D39" w:rsidRPr="005D0525">
        <w:t>Schedule</w:t>
      </w:r>
      <w:r w:rsidR="00302D39">
        <w:t> </w:t>
      </w:r>
      <w:r w:rsidR="00302D39" w:rsidRPr="005D0525">
        <w:t>13</w:t>
      </w:r>
      <w:r>
        <w:rPr>
          <w:rFonts w:cs="Arial"/>
        </w:rPr>
        <w:fldChar w:fldCharType="end"/>
      </w:r>
      <w:r>
        <w:rPr>
          <w:rFonts w:cs="Arial"/>
        </w:rPr>
        <w:t xml:space="preserve"> (</w:t>
      </w:r>
      <w:r w:rsidRPr="00A22335">
        <w:rPr>
          <w:rFonts w:cs="Arial"/>
          <w:i/>
          <w:iCs/>
        </w:rPr>
        <w:fldChar w:fldCharType="begin"/>
      </w:r>
      <w:r w:rsidRPr="00A22335">
        <w:rPr>
          <w:rFonts w:cs="Arial"/>
          <w:i/>
          <w:iCs/>
        </w:rPr>
        <w:instrText xml:space="preserve"> REF Schedule13Heading \h </w:instrText>
      </w:r>
      <w:r>
        <w:rPr>
          <w:rFonts w:cs="Arial"/>
          <w:i/>
          <w:iCs/>
        </w:rPr>
        <w:instrText xml:space="preserve"> \* MERGEFORMAT </w:instrText>
      </w:r>
      <w:r w:rsidRPr="00A22335">
        <w:rPr>
          <w:rFonts w:cs="Arial"/>
          <w:i/>
          <w:iCs/>
        </w:rPr>
      </w:r>
      <w:r w:rsidRPr="00A22335">
        <w:rPr>
          <w:rFonts w:cs="Arial"/>
          <w:i/>
          <w:iCs/>
        </w:rPr>
        <w:fldChar w:fldCharType="separate"/>
      </w:r>
      <w:r w:rsidR="00302D39" w:rsidRPr="00302D39">
        <w:rPr>
          <w:i/>
          <w:iCs/>
        </w:rPr>
        <w:t>Implementation Plan</w:t>
      </w:r>
      <w:r w:rsidRPr="00A22335">
        <w:rPr>
          <w:rFonts w:cs="Arial"/>
          <w:i/>
          <w:iCs/>
        </w:rPr>
        <w:fldChar w:fldCharType="end"/>
      </w:r>
      <w:r>
        <w:rPr>
          <w:rFonts w:cs="Arial"/>
        </w:rPr>
        <w:t>)</w:t>
      </w:r>
      <w:r w:rsidRPr="009B67E0">
        <w:t xml:space="preserve"> or </w:t>
      </w:r>
      <w:r>
        <w:rPr>
          <w:rFonts w:cs="Arial"/>
        </w:rPr>
        <w:fldChar w:fldCharType="begin"/>
      </w:r>
      <w:r>
        <w:rPr>
          <w:rFonts w:cs="Arial"/>
        </w:rPr>
        <w:instrText xml:space="preserve"> REF Schedule14 \h </w:instrText>
      </w:r>
      <w:r>
        <w:rPr>
          <w:rFonts w:cs="Arial"/>
        </w:rPr>
      </w:r>
      <w:r>
        <w:rPr>
          <w:rFonts w:cs="Arial"/>
        </w:rPr>
        <w:fldChar w:fldCharType="separate"/>
      </w:r>
      <w:r w:rsidR="00302D39" w:rsidRPr="005D0525">
        <w:t>Schedule</w:t>
      </w:r>
      <w:r w:rsidR="00302D39">
        <w:t> </w:t>
      </w:r>
      <w:r w:rsidR="00302D39" w:rsidRPr="005D0525">
        <w:t>14</w:t>
      </w:r>
      <w:r>
        <w:rPr>
          <w:rFonts w:cs="Arial"/>
        </w:rPr>
        <w:fldChar w:fldCharType="end"/>
      </w:r>
      <w:r>
        <w:rPr>
          <w:rFonts w:cs="Arial"/>
        </w:rPr>
        <w:t xml:space="preserve"> (</w:t>
      </w:r>
      <w:r w:rsidRPr="00B91437">
        <w:rPr>
          <w:rFonts w:cs="Arial"/>
          <w:i/>
          <w:iCs/>
        </w:rPr>
        <w:fldChar w:fldCharType="begin"/>
      </w:r>
      <w:r w:rsidRPr="00B91437">
        <w:rPr>
          <w:rFonts w:cs="Arial"/>
          <w:i/>
          <w:iCs/>
        </w:rPr>
        <w:instrText xml:space="preserve"> REF Schedule14Heading \h </w:instrText>
      </w:r>
      <w:r>
        <w:rPr>
          <w:rFonts w:cs="Arial"/>
          <w:i/>
          <w:iCs/>
        </w:rPr>
        <w:instrText xml:space="preserve"> \* MERGEFORMAT </w:instrText>
      </w:r>
      <w:r w:rsidRPr="00B91437">
        <w:rPr>
          <w:rFonts w:cs="Arial"/>
          <w:i/>
          <w:iCs/>
        </w:rPr>
      </w:r>
      <w:r w:rsidRPr="00B91437">
        <w:rPr>
          <w:rFonts w:cs="Arial"/>
          <w:i/>
          <w:iCs/>
        </w:rPr>
        <w:fldChar w:fldCharType="separate"/>
      </w:r>
      <w:r w:rsidR="00302D39" w:rsidRPr="00302D39">
        <w:rPr>
          <w:i/>
          <w:iCs/>
        </w:rPr>
        <w:t>Testing Procedures</w:t>
      </w:r>
      <w:r w:rsidRPr="00B91437">
        <w:rPr>
          <w:rFonts w:cs="Arial"/>
          <w:i/>
          <w:iCs/>
        </w:rPr>
        <w:fldChar w:fldCharType="end"/>
      </w:r>
      <w:r>
        <w:rPr>
          <w:rFonts w:cs="Arial"/>
        </w:rPr>
        <w:t>)</w:t>
      </w:r>
      <w:r w:rsidRPr="009B67E0">
        <w:t xml:space="preserve"> the Supplier must ensure that its Detailed Implementation Plan sets out in sufficient detail how it will ensure compliance with the requirements of this </w:t>
      </w:r>
      <w:r>
        <w:rPr>
          <w:rFonts w:cs="Arial"/>
        </w:rPr>
        <w:fldChar w:fldCharType="begin"/>
      </w:r>
      <w:r>
        <w:rPr>
          <w:rFonts w:cs="Arial"/>
        </w:rPr>
        <w:instrText xml:space="preserve"> REF Schedule5 \h </w:instrText>
      </w:r>
      <w:r>
        <w:rPr>
          <w:rFonts w:cs="Arial"/>
        </w:rPr>
      </w:r>
      <w:r>
        <w:rPr>
          <w:rFonts w:cs="Arial"/>
        </w:rPr>
        <w:fldChar w:fldCharType="separate"/>
      </w:r>
      <w:r w:rsidR="00302D39" w:rsidRPr="005D0525">
        <w:t>Schedule</w:t>
      </w:r>
      <w:r w:rsidR="00302D39">
        <w:t> </w:t>
      </w:r>
      <w:r w:rsidR="00302D39" w:rsidRPr="005D0525">
        <w:t>5</w:t>
      </w:r>
      <w:r>
        <w:rPr>
          <w:rFonts w:cs="Arial"/>
        </w:rPr>
        <w:fldChar w:fldCharType="end"/>
      </w:r>
      <w:r>
        <w:rPr>
          <w:rFonts w:cs="Arial"/>
        </w:rPr>
        <w:t xml:space="preserve"> (</w:t>
      </w:r>
      <w:r w:rsidRPr="00A22335">
        <w:rPr>
          <w:rFonts w:cs="Arial"/>
          <w:i/>
          <w:iCs/>
        </w:rPr>
        <w:fldChar w:fldCharType="begin"/>
      </w:r>
      <w:r w:rsidRPr="00A22335">
        <w:rPr>
          <w:rFonts w:cs="Arial"/>
          <w:i/>
          <w:iCs/>
        </w:rPr>
        <w:instrText xml:space="preserve"> REF Schedule5Heading \h </w:instrText>
      </w:r>
      <w:r>
        <w:rPr>
          <w:rFonts w:cs="Arial"/>
          <w:i/>
          <w:iCs/>
        </w:rPr>
        <w:instrText xml:space="preserve"> \* MERGEFORMAT </w:instrText>
      </w:r>
      <w:r w:rsidRPr="00A22335">
        <w:rPr>
          <w:rFonts w:cs="Arial"/>
          <w:i/>
          <w:iCs/>
        </w:rPr>
      </w:r>
      <w:r w:rsidRPr="00A22335">
        <w:rPr>
          <w:rFonts w:cs="Arial"/>
          <w:i/>
          <w:iCs/>
        </w:rPr>
        <w:fldChar w:fldCharType="separate"/>
      </w:r>
      <w:r w:rsidR="00302D39" w:rsidRPr="00302D39">
        <w:rPr>
          <w:i/>
          <w:iCs/>
        </w:rPr>
        <w:t>Security Management</w:t>
      </w:r>
      <w:r w:rsidRPr="00A22335">
        <w:rPr>
          <w:rFonts w:cs="Arial"/>
          <w:i/>
          <w:iCs/>
        </w:rPr>
        <w:fldChar w:fldCharType="end"/>
      </w:r>
      <w:r>
        <w:rPr>
          <w:rFonts w:cs="Arial"/>
        </w:rPr>
        <w:t>)</w:t>
      </w:r>
      <w:r w:rsidRPr="009B67E0">
        <w:t xml:space="preserve">, including any requirements imposed on Sub-contractors by Annex </w:t>
      </w:r>
      <w:r w:rsidRPr="009B67E0">
        <w:fldChar w:fldCharType="begin"/>
      </w:r>
      <w:r w:rsidRPr="009B67E0">
        <w:instrText xml:space="preserve"> REF ANNEX2_PARTA_SCHEDULE5 \h </w:instrText>
      </w:r>
      <w:r>
        <w:instrText xml:space="preserve"> \* MERGEFORMAT </w:instrText>
      </w:r>
      <w:r w:rsidRPr="009B67E0">
        <w:fldChar w:fldCharType="separate"/>
      </w:r>
      <w:r w:rsidR="00302D39" w:rsidRPr="00024F2F">
        <w:t>2</w:t>
      </w:r>
      <w:r w:rsidRPr="009B67E0">
        <w:fldChar w:fldCharType="end"/>
      </w:r>
      <w:r w:rsidRPr="009B67E0">
        <w:t>, from any relevant Operational Service Commencement Date.</w:t>
      </w:r>
    </w:p>
    <w:p w14:paraId="5F85CADE" w14:textId="3D91C2D8" w:rsidR="00F67E9E" w:rsidRPr="009B67E0" w:rsidRDefault="00F67E9E" w:rsidP="00F67E9E">
      <w:pPr>
        <w:pStyle w:val="Numbered11"/>
        <w:tabs>
          <w:tab w:val="clear" w:pos="720"/>
        </w:tabs>
      </w:pPr>
      <w:bookmarkStart w:id="623" w:name="_9kR3WTrAG8CEEKJPQFzlifw11D0otxyyuzAMH3a"/>
      <w:bookmarkStart w:id="624" w:name="_9kR3WTrAH9CEFLJPQFzlifw11D0otxyyuzAMH3a"/>
      <w:bookmarkStart w:id="625" w:name="_Ref_ContractCompanion_9kb9Ur8A8"/>
      <w:r w:rsidRPr="009B67E0">
        <w:t xml:space="preserve">By the date specified in the Detailed Implementation Plan, the Supplier shall prepare and submit to the Authority the risk management documentation for the Core Information Management System, which shall be subject to approval by the Authority in accordance with, this </w:t>
      </w:r>
      <w:bookmarkStart w:id="626" w:name="_9kMIH5YVtCIAEKKiLhkhy7sAOONmS1LgohLuAD0"/>
      <w:r w:rsidRPr="009B67E0">
        <w:t xml:space="preserve">Paragraph </w:t>
      </w:r>
      <w:r w:rsidRPr="009B67E0">
        <w:fldChar w:fldCharType="begin"/>
      </w:r>
      <w:r w:rsidRPr="009B67E0">
        <w:instrText xml:space="preserve"> REF _Ref_ContractCompanion_9kb9Ur8EC \w \n \h \t \* MERGEFORMAT </w:instrText>
      </w:r>
      <w:r w:rsidRPr="009B67E0">
        <w:fldChar w:fldCharType="separate"/>
      </w:r>
      <w:r w:rsidR="00302D39">
        <w:t>6</w:t>
      </w:r>
      <w:r w:rsidRPr="009B67E0">
        <w:fldChar w:fldCharType="end"/>
      </w:r>
      <w:bookmarkEnd w:id="626"/>
      <w:r w:rsidRPr="009B67E0">
        <w:t xml:space="preserve"> (the </w:t>
      </w:r>
      <w:r>
        <w:t>“</w:t>
      </w:r>
      <w:r w:rsidRPr="009B67E0">
        <w:rPr>
          <w:rStyle w:val="StdBodyTextBoldChar"/>
          <w:rFonts w:eastAsia="Arial" w:cs="Arial"/>
        </w:rPr>
        <w:t>Security</w:t>
      </w:r>
      <w:r w:rsidRPr="009B67E0">
        <w:t xml:space="preserve"> </w:t>
      </w:r>
      <w:r w:rsidRPr="009B67E0">
        <w:rPr>
          <w:rStyle w:val="StdBodyTextBoldChar"/>
          <w:rFonts w:eastAsia="Arial" w:cs="Arial"/>
        </w:rPr>
        <w:t>Management Plan</w:t>
      </w:r>
      <w:r>
        <w:t>”</w:t>
      </w:r>
      <w:r w:rsidRPr="009B67E0">
        <w:t>).</w:t>
      </w:r>
      <w:bookmarkEnd w:id="623"/>
      <w:bookmarkEnd w:id="624"/>
      <w:bookmarkEnd w:id="625"/>
    </w:p>
    <w:p w14:paraId="2AC47D6B" w14:textId="1096BF7C" w:rsidR="00F67E9E" w:rsidRPr="009B67E0" w:rsidRDefault="00F67E9E" w:rsidP="00F67E9E">
      <w:pPr>
        <w:pStyle w:val="Numbered11"/>
        <w:tabs>
          <w:tab w:val="clear" w:pos="720"/>
        </w:tabs>
      </w:pPr>
      <w:bookmarkStart w:id="627" w:name="_Ref_ContractCompanion_9kb9Ur7GJ"/>
      <w:bookmarkStart w:id="628" w:name="_9kR3WTrAG8BLGEKiRjVQhyE36NrOwxrw346Mzm4"/>
      <w:r w:rsidRPr="009B67E0">
        <w:t xml:space="preserve">The Security Management Plan shall be structured in accordance with the template as set out in Annex </w:t>
      </w:r>
      <w:r w:rsidRPr="009B67E0">
        <w:fldChar w:fldCharType="begin"/>
      </w:r>
      <w:r w:rsidRPr="009B67E0">
        <w:instrText xml:space="preserve"> REF ANNEX3_PARTA_SCHEDULE5 \h </w:instrText>
      </w:r>
      <w:r>
        <w:instrText xml:space="preserve"> \* MERGEFORMAT </w:instrText>
      </w:r>
      <w:r w:rsidRPr="009B67E0">
        <w:fldChar w:fldCharType="separate"/>
      </w:r>
      <w:r w:rsidR="00302D39" w:rsidRPr="00147F02">
        <w:t>3</w:t>
      </w:r>
      <w:r w:rsidRPr="009B67E0">
        <w:fldChar w:fldCharType="end"/>
      </w:r>
      <w:r w:rsidRPr="009B67E0">
        <w:t xml:space="preserve"> of </w:t>
      </w:r>
      <w:r w:rsidRPr="003843A3">
        <w:rPr>
          <w:rStyle w:val="Hyperlink"/>
        </w:rPr>
        <w:fldChar w:fldCharType="begin"/>
      </w:r>
      <w:r w:rsidRPr="003843A3">
        <w:rPr>
          <w:rStyle w:val="Hyperlink"/>
        </w:rPr>
        <w:instrText xml:space="preserve"> REF Sch5PartA \h  \* MERGEFORMAT </w:instrText>
      </w:r>
      <w:r w:rsidRPr="003843A3">
        <w:rPr>
          <w:rStyle w:val="Hyperlink"/>
        </w:rPr>
      </w:r>
      <w:r w:rsidRPr="003843A3">
        <w:rPr>
          <w:rStyle w:val="Hyperlink"/>
        </w:rPr>
        <w:fldChar w:fldCharType="separate"/>
      </w:r>
      <w:r w:rsidR="00302D39" w:rsidRPr="00302D39">
        <w:rPr>
          <w:rStyle w:val="Hyperlink"/>
        </w:rPr>
        <w:t>Part A</w:t>
      </w:r>
      <w:r w:rsidRPr="003843A3">
        <w:rPr>
          <w:rStyle w:val="Hyperlink"/>
        </w:rPr>
        <w:fldChar w:fldCharType="end"/>
      </w:r>
      <w:r w:rsidRPr="009B67E0">
        <w:t xml:space="preserve"> and include:</w:t>
      </w:r>
      <w:bookmarkEnd w:id="627"/>
      <w:bookmarkEnd w:id="628"/>
    </w:p>
    <w:p w14:paraId="4F0C3262" w14:textId="77777777" w:rsidR="00F67E9E" w:rsidRPr="009B67E0" w:rsidRDefault="00F67E9E" w:rsidP="00F67E9E">
      <w:pPr>
        <w:pStyle w:val="Numbered111"/>
        <w:tabs>
          <w:tab w:val="clear" w:pos="1800"/>
          <w:tab w:val="num" w:pos="1440"/>
        </w:tabs>
        <w:ind w:left="1440" w:hanging="720"/>
      </w:pPr>
      <w:r w:rsidRPr="009B67E0">
        <w:t>the Accreditation Plan, which shall include:</w:t>
      </w:r>
    </w:p>
    <w:p w14:paraId="21F5C281" w14:textId="77777777" w:rsidR="00F67E9E" w:rsidRPr="009B67E0" w:rsidRDefault="00F67E9E" w:rsidP="00F67E9E">
      <w:pPr>
        <w:pStyle w:val="Numbered111a"/>
        <w:tabs>
          <w:tab w:val="clear" w:pos="2520"/>
          <w:tab w:val="num" w:pos="2160"/>
        </w:tabs>
        <w:ind w:left="2160"/>
      </w:pPr>
      <w:r w:rsidRPr="009B67E0">
        <w:t>the dates on which each subsequent iteration of the Security Management Plan will be delivered to the Authority for review and staged approval; and</w:t>
      </w:r>
    </w:p>
    <w:p w14:paraId="6C338DBA" w14:textId="6BD61F8D" w:rsidR="00F67E9E" w:rsidRPr="009B67E0" w:rsidRDefault="00F67E9E" w:rsidP="00F67E9E">
      <w:pPr>
        <w:pStyle w:val="Numbered111a"/>
        <w:tabs>
          <w:tab w:val="clear" w:pos="2520"/>
          <w:tab w:val="num" w:pos="2160"/>
        </w:tabs>
        <w:ind w:left="2160"/>
      </w:pPr>
      <w:r w:rsidRPr="009B67E0">
        <w:t xml:space="preserve">the date by which the Supplier is required to have received a Residual Risk Statement from the Authority together with details of each of the tasks which must be completed by the Supplier, Milestones which must be Achieved and the Authority Responsibilities which must be completed in order for the Supplier to receive a Residual Risk Statement pursuant to </w:t>
      </w:r>
      <w:bookmarkStart w:id="629" w:name="_9kMHG5YVtCIAELHIHDfgwmqk0IElS12sA54CUcX"/>
      <w:r w:rsidRPr="009B67E0">
        <w:t xml:space="preserve">Paragraph </w:t>
      </w:r>
      <w:r w:rsidRPr="009B67E0">
        <w:fldChar w:fldCharType="begin"/>
      </w:r>
      <w:r w:rsidRPr="009B67E0">
        <w:instrText xml:space="preserve"> REF _Ref_ContractCompanion_9kb9Ur8F9 \n \h \t \* MERGEFORMAT </w:instrText>
      </w:r>
      <w:r w:rsidRPr="009B67E0">
        <w:fldChar w:fldCharType="separate"/>
      </w:r>
      <w:r w:rsidR="00302D39">
        <w:t>6.11</w:t>
      </w:r>
      <w:r w:rsidRPr="009B67E0">
        <w:fldChar w:fldCharType="end"/>
      </w:r>
      <w:bookmarkEnd w:id="629"/>
      <w:r w:rsidRPr="009B67E0">
        <w:t>;</w:t>
      </w:r>
    </w:p>
    <w:p w14:paraId="10D1019F" w14:textId="77777777" w:rsidR="00F67E9E" w:rsidRPr="009B67E0" w:rsidRDefault="00F67E9E" w:rsidP="00F67E9E">
      <w:pPr>
        <w:pStyle w:val="Numbered111"/>
        <w:tabs>
          <w:tab w:val="clear" w:pos="1800"/>
          <w:tab w:val="num" w:pos="1440"/>
        </w:tabs>
        <w:ind w:left="1440" w:hanging="720"/>
      </w:pPr>
      <w:r w:rsidRPr="009B67E0">
        <w:t>a formal risk assessment of the Core Information Management System and a risk treatment plan for the Core Information Management System;</w:t>
      </w:r>
    </w:p>
    <w:p w14:paraId="3D37FDB7" w14:textId="77777777" w:rsidR="00F67E9E" w:rsidRPr="009B67E0" w:rsidRDefault="00F67E9E" w:rsidP="00F67E9E">
      <w:pPr>
        <w:pStyle w:val="Numbered111"/>
        <w:tabs>
          <w:tab w:val="clear" w:pos="1800"/>
          <w:tab w:val="num" w:pos="1440"/>
        </w:tabs>
        <w:ind w:left="1440" w:hanging="720"/>
      </w:pPr>
      <w:r w:rsidRPr="009B67E0">
        <w:t>a completed ISO/IEC 27001 (at least ISO/IEC 27001:2013) Statement of Applicability for the Core Information Management System; the process for managing any security risks from Sub-contractors and third parties authorised by the Authority with access to the Services, processes associated with the delivery of the Services, the Authority Premises, the Sites, the Supplier System, the Authority System (to extent that it is under the control of the Supplier) and any IT, Information and data (including the Confidential Information of the Authority and the Authority Data) and any system that could directly or indirectly have an impact on that Information, data and/or the Services;</w:t>
      </w:r>
    </w:p>
    <w:p w14:paraId="280D1DDD" w14:textId="77777777" w:rsidR="00F67E9E" w:rsidRPr="009B67E0" w:rsidRDefault="00F67E9E" w:rsidP="00F67E9E">
      <w:pPr>
        <w:pStyle w:val="Numbered111"/>
        <w:tabs>
          <w:tab w:val="clear" w:pos="1800"/>
          <w:tab w:val="num" w:pos="1440"/>
        </w:tabs>
        <w:ind w:left="1440" w:hanging="720"/>
      </w:pPr>
      <w:r w:rsidRPr="009B67E0">
        <w:t>unless such requirement is waived by the Authority, proposed controls that will be implemented in respect of all aspects of the Services and all processes associated with the delivery of the Services, including the Authority Premises, the Sites, the Supplier System, the Authority System (to the extent that it is under the control of the Supplier) and any IT, Information and data (including the Confidential Information of the Authority and the Authority Data) to the extent used by the Authority or the Supplier in connection with this Contract or in connection with any system that could directly or indirectly have an impact on that Information, data and/or the Services;</w:t>
      </w:r>
    </w:p>
    <w:p w14:paraId="1A3F6C99" w14:textId="77777777" w:rsidR="00F67E9E" w:rsidRPr="009B67E0" w:rsidRDefault="00F67E9E" w:rsidP="00F67E9E">
      <w:pPr>
        <w:pStyle w:val="Numbered111"/>
        <w:tabs>
          <w:tab w:val="clear" w:pos="1800"/>
          <w:tab w:val="num" w:pos="1440"/>
        </w:tabs>
        <w:ind w:left="1440" w:hanging="720"/>
      </w:pPr>
      <w:r w:rsidRPr="009B67E0">
        <w:t>the Required Changes Register;</w:t>
      </w:r>
    </w:p>
    <w:p w14:paraId="0E35DDBC" w14:textId="77777777" w:rsidR="00F67E9E" w:rsidRPr="009B67E0" w:rsidRDefault="00F67E9E" w:rsidP="00F67E9E">
      <w:pPr>
        <w:pStyle w:val="Numbered111"/>
        <w:tabs>
          <w:tab w:val="clear" w:pos="1800"/>
          <w:tab w:val="num" w:pos="1440"/>
        </w:tabs>
        <w:ind w:left="1440" w:hanging="720"/>
      </w:pPr>
      <w:r w:rsidRPr="009B67E0">
        <w:t>evidence that the Supplier and each applicable Sub-contractor is compliant with the Certification Requirements; and</w:t>
      </w:r>
    </w:p>
    <w:p w14:paraId="438838F5" w14:textId="248DD274" w:rsidR="00F67E9E" w:rsidRPr="001B1EB0" w:rsidRDefault="00F67E9E" w:rsidP="00F67E9E">
      <w:pPr>
        <w:pStyle w:val="Numbered111"/>
        <w:tabs>
          <w:tab w:val="clear" w:pos="1800"/>
          <w:tab w:val="num" w:pos="1440"/>
        </w:tabs>
        <w:ind w:left="1440" w:hanging="720"/>
      </w:pPr>
      <w:r w:rsidRPr="009B67E0">
        <w:t>the diagram documenti</w:t>
      </w:r>
      <w:r w:rsidRPr="001B1EB0">
        <w:t xml:space="preserve">ng the Core Information Management System, the Wider Information Management System and the boundary between them </w:t>
      </w:r>
      <w:r w:rsidRPr="00D47BE6">
        <w:rPr>
          <w:highlight w:val="yellow"/>
        </w:rPr>
        <w:t>[</w:t>
      </w:r>
      <w:r w:rsidRPr="003843A3">
        <w:rPr>
          <w:highlight w:val="yellow"/>
        </w:rPr>
        <w:t xml:space="preserve">created under </w:t>
      </w:r>
      <w:bookmarkStart w:id="630" w:name="_9kMJI5YVt4DDCEBaGpqgyts0GP"/>
      <w:r w:rsidRPr="003843A3">
        <w:rPr>
          <w:highlight w:val="yellow"/>
        </w:rPr>
        <w:t xml:space="preserve">Paragraph </w:t>
      </w:r>
      <w:r w:rsidRPr="003843A3">
        <w:rPr>
          <w:highlight w:val="yellow"/>
        </w:rPr>
        <w:fldChar w:fldCharType="begin"/>
      </w:r>
      <w:r w:rsidRPr="003843A3">
        <w:rPr>
          <w:highlight w:val="yellow"/>
        </w:rPr>
        <w:instrText xml:space="preserve"> REF _Ref_ContractCompanion_9kb9Ur683 \n \h \t \* MERGEFORMAT </w:instrText>
      </w:r>
      <w:r w:rsidRPr="003843A3">
        <w:rPr>
          <w:highlight w:val="yellow"/>
        </w:rPr>
      </w:r>
      <w:r w:rsidRPr="003843A3">
        <w:rPr>
          <w:highlight w:val="yellow"/>
        </w:rPr>
        <w:fldChar w:fldCharType="separate"/>
      </w:r>
      <w:r w:rsidR="00302D39">
        <w:rPr>
          <w:highlight w:val="yellow"/>
        </w:rPr>
        <w:t>4.2</w:t>
      </w:r>
      <w:r w:rsidRPr="003843A3">
        <w:rPr>
          <w:highlight w:val="yellow"/>
        </w:rPr>
        <w:fldChar w:fldCharType="end"/>
      </w:r>
      <w:bookmarkEnd w:id="630"/>
      <w:r w:rsidRPr="003843A3">
        <w:rPr>
          <w:highlight w:val="yellow"/>
        </w:rPr>
        <w:t xml:space="preserve"> OR contained in </w:t>
      </w:r>
      <w:r w:rsidRPr="003843A3">
        <w:rPr>
          <w:highlight w:val="yellow"/>
        </w:rPr>
        <w:fldChar w:fldCharType="begin"/>
      </w:r>
      <w:r w:rsidRPr="003843A3">
        <w:rPr>
          <w:highlight w:val="yellow"/>
        </w:rPr>
        <w:instrText xml:space="preserve"> REF _Ref_ContractCompanion_9kb9Ur8E9 \h  \* MERGEFORMAT </w:instrText>
      </w:r>
      <w:r w:rsidRPr="003843A3">
        <w:rPr>
          <w:highlight w:val="yellow"/>
        </w:rPr>
      </w:r>
      <w:r w:rsidRPr="003843A3">
        <w:rPr>
          <w:highlight w:val="yellow"/>
        </w:rPr>
        <w:fldChar w:fldCharType="separate"/>
      </w:r>
      <w:r w:rsidR="00302D39" w:rsidRPr="00302D39">
        <w:rPr>
          <w:highlight w:val="yellow"/>
        </w:rPr>
        <w:t>Annex 3</w:t>
      </w:r>
      <w:r w:rsidR="00302D39" w:rsidRPr="0077466E">
        <w:t>: In</w:t>
      </w:r>
      <w:r w:rsidR="00302D39" w:rsidRPr="005B59F3">
        <w:t>formation Management System</w:t>
      </w:r>
      <w:r w:rsidRPr="003843A3">
        <w:rPr>
          <w:highlight w:val="yellow"/>
        </w:rPr>
        <w:fldChar w:fldCharType="end"/>
      </w:r>
      <w:r w:rsidRPr="00D47BE6">
        <w:rPr>
          <w:highlight w:val="yellow"/>
        </w:rPr>
        <w:t>]</w:t>
      </w:r>
      <w:r w:rsidRPr="00AC3F91">
        <w:t>.</w:t>
      </w:r>
    </w:p>
    <w:p w14:paraId="5BFDE9AA" w14:textId="77777777" w:rsidR="00F67E9E" w:rsidRPr="001B1EB0" w:rsidRDefault="00F67E9E" w:rsidP="00F67E9E">
      <w:pPr>
        <w:pStyle w:val="Numbered11"/>
        <w:tabs>
          <w:tab w:val="clear" w:pos="720"/>
        </w:tabs>
      </w:pPr>
      <w:r w:rsidRPr="001B1EB0">
        <w:t>To facilitate Accreditation of the Core Information Management System, the Supplier shall provide the Authority and its authorised representatives with:</w:t>
      </w:r>
    </w:p>
    <w:p w14:paraId="36FA16B8" w14:textId="77777777" w:rsidR="00F67E9E" w:rsidRPr="001B1EB0" w:rsidRDefault="00F67E9E" w:rsidP="00F67E9E">
      <w:pPr>
        <w:pStyle w:val="Numbered111"/>
        <w:tabs>
          <w:tab w:val="clear" w:pos="1800"/>
          <w:tab w:val="num" w:pos="1440"/>
        </w:tabs>
        <w:ind w:left="1440" w:hanging="720"/>
      </w:pPr>
      <w:r w:rsidRPr="001B1EB0">
        <w:t>access to the Sites, ICT information assets and ICT systems within the Core Information Management System on request or in accordance with the Accreditation Plan; and</w:t>
      </w:r>
    </w:p>
    <w:p w14:paraId="33466344" w14:textId="77777777" w:rsidR="00F67E9E" w:rsidRPr="001B1EB0" w:rsidRDefault="00F67E9E" w:rsidP="00F67E9E">
      <w:pPr>
        <w:pStyle w:val="Numbered111"/>
        <w:tabs>
          <w:tab w:val="clear" w:pos="1800"/>
          <w:tab w:val="num" w:pos="1440"/>
        </w:tabs>
        <w:ind w:left="1440" w:hanging="720"/>
      </w:pPr>
      <w:r w:rsidRPr="001B1EB0">
        <w:t>such other information and/or documentation that the Authority or its authorised representatives may reasonably require, to enable the Authority to establish that the Core Information Management System is compliant with the Security Management Plan.</w:t>
      </w:r>
    </w:p>
    <w:p w14:paraId="2E5AFA0D" w14:textId="77777777" w:rsidR="00F67E9E" w:rsidRPr="001B1EB0" w:rsidRDefault="00F67E9E" w:rsidP="00F67E9E">
      <w:pPr>
        <w:pStyle w:val="Numbered11"/>
        <w:tabs>
          <w:tab w:val="clear" w:pos="720"/>
        </w:tabs>
      </w:pPr>
      <w:bookmarkStart w:id="631" w:name="_Ref_ContractCompanion_9kb9Ur8FF"/>
      <w:bookmarkStart w:id="632" w:name="_9kR3WTrAG8CJLMMkRjDOE2y947OO8rw8zDWG2DE"/>
      <w:r w:rsidRPr="001B1EB0">
        <w:t>The Authority shall, by the relevant date set out in the Accreditation Plan, review the Security Management Plan and issue to the Supplier either:</w:t>
      </w:r>
      <w:bookmarkEnd w:id="631"/>
      <w:bookmarkEnd w:id="632"/>
    </w:p>
    <w:p w14:paraId="73379019" w14:textId="77777777" w:rsidR="00F67E9E" w:rsidRPr="001B1EB0" w:rsidRDefault="00F67E9E" w:rsidP="00F67E9E">
      <w:pPr>
        <w:pStyle w:val="Numbered111"/>
        <w:tabs>
          <w:tab w:val="clear" w:pos="1800"/>
          <w:tab w:val="num" w:pos="1440"/>
        </w:tabs>
        <w:ind w:left="1440" w:hanging="720"/>
      </w:pPr>
      <w:r w:rsidRPr="001B1EB0">
        <w:t xml:space="preserve">a </w:t>
      </w:r>
      <w:r>
        <w:t xml:space="preserve">Residual </w:t>
      </w:r>
      <w:r w:rsidRPr="001B1EB0">
        <w:t>Risk Statement which will then form part of the Security Management Plan, confirming that the Authority is satisfied that the identified risks to the Core Information Management System have been adequately and appropriately addressed and that the residual risks are understood and accepted by the Authority; or</w:t>
      </w:r>
    </w:p>
    <w:p w14:paraId="35A004F2" w14:textId="77777777" w:rsidR="00F67E9E" w:rsidRPr="001B1EB0" w:rsidRDefault="00F67E9E" w:rsidP="00F67E9E">
      <w:pPr>
        <w:pStyle w:val="Numbered111"/>
        <w:tabs>
          <w:tab w:val="clear" w:pos="1800"/>
          <w:tab w:val="num" w:pos="1440"/>
        </w:tabs>
        <w:ind w:left="1440" w:hanging="720"/>
      </w:pPr>
      <w:bookmarkStart w:id="633" w:name="_Ref_ContractCompanion_9kb9Ur8A4"/>
      <w:bookmarkStart w:id="634" w:name="_9kR3WTrAG8CEAGMJmpunoiy51779GBvs9P89IDC"/>
      <w:bookmarkStart w:id="635" w:name="_9kR3WTrAH9CEBHMJmpunoiy51779GBvs9P89IDC"/>
      <w:r w:rsidRPr="001B1EB0">
        <w:t>a rejection notice stating that the Authority considers that the identified risks to the Core Information Management System have not been adequately or appropriately addressed, or the residual risks to the Core Information Management System have not been reduced to the level anticipated by the Statement of Information Risk Appetite, and the reasons why (</w:t>
      </w:r>
      <w:r>
        <w:t>“</w:t>
      </w:r>
      <w:r w:rsidRPr="004E08FC">
        <w:rPr>
          <w:b/>
        </w:rPr>
        <w:t>Risk</w:t>
      </w:r>
      <w:r w:rsidRPr="001B1EB0">
        <w:t xml:space="preserve"> </w:t>
      </w:r>
      <w:r w:rsidRPr="004E08FC">
        <w:rPr>
          <w:b/>
        </w:rPr>
        <w:t>Management Rejection Notice</w:t>
      </w:r>
      <w:r>
        <w:t>”</w:t>
      </w:r>
      <w:r w:rsidRPr="001B1EB0">
        <w:t>).</w:t>
      </w:r>
      <w:bookmarkEnd w:id="633"/>
      <w:bookmarkEnd w:id="634"/>
      <w:bookmarkEnd w:id="635"/>
    </w:p>
    <w:p w14:paraId="56EA871D" w14:textId="77777777" w:rsidR="00F67E9E" w:rsidRPr="001B1EB0" w:rsidRDefault="00F67E9E" w:rsidP="00F67E9E">
      <w:pPr>
        <w:pStyle w:val="Numbered11"/>
        <w:tabs>
          <w:tab w:val="clear" w:pos="720"/>
        </w:tabs>
      </w:pPr>
      <w:r w:rsidRPr="001B1EB0">
        <w:t>If the Authority issues a Risk Management Rejection Notice, the Supplier shall, within 20 Working Days of the date of the Risk Management Rejection Notice:</w:t>
      </w:r>
    </w:p>
    <w:p w14:paraId="7E4E3D25" w14:textId="77777777" w:rsidR="00F67E9E" w:rsidRPr="001B1EB0" w:rsidRDefault="00F67E9E" w:rsidP="00F67E9E">
      <w:pPr>
        <w:pStyle w:val="Numbered111"/>
        <w:tabs>
          <w:tab w:val="clear" w:pos="1800"/>
          <w:tab w:val="num" w:pos="1440"/>
        </w:tabs>
        <w:ind w:left="1440" w:hanging="720"/>
      </w:pPr>
      <w:r w:rsidRPr="001B1EB0">
        <w:t>address all of the issues raised by the Authority in such notice;</w:t>
      </w:r>
    </w:p>
    <w:p w14:paraId="1A8CBDF0" w14:textId="77777777" w:rsidR="00F67E9E" w:rsidRPr="001B1EB0" w:rsidRDefault="00F67E9E" w:rsidP="00F67E9E">
      <w:pPr>
        <w:pStyle w:val="Numbered111"/>
        <w:tabs>
          <w:tab w:val="clear" w:pos="1800"/>
          <w:tab w:val="num" w:pos="1440"/>
        </w:tabs>
        <w:ind w:left="1440" w:hanging="720"/>
      </w:pPr>
      <w:r w:rsidRPr="001B1EB0">
        <w:t xml:space="preserve">update the Security Management Plan, as appropriate, and </w:t>
      </w:r>
    </w:p>
    <w:p w14:paraId="245F5FA7" w14:textId="77777777" w:rsidR="00F67E9E" w:rsidRPr="001B1EB0" w:rsidRDefault="00F67E9E" w:rsidP="00F67E9E">
      <w:pPr>
        <w:pStyle w:val="Numbered111"/>
        <w:tabs>
          <w:tab w:val="clear" w:pos="1800"/>
          <w:tab w:val="num" w:pos="1440"/>
        </w:tabs>
        <w:ind w:left="1440" w:hanging="720"/>
      </w:pPr>
      <w:r w:rsidRPr="001B1EB0">
        <w:t>notify the Authority that the Core Information Management System is ready for an Accreditation Decision.</w:t>
      </w:r>
    </w:p>
    <w:p w14:paraId="79E55DBC" w14:textId="77777777" w:rsidR="00F67E9E" w:rsidRPr="00D47BE6" w:rsidRDefault="00F67E9E" w:rsidP="00F67E9E">
      <w:pPr>
        <w:pStyle w:val="Numbered11"/>
        <w:tabs>
          <w:tab w:val="clear" w:pos="720"/>
        </w:tabs>
      </w:pPr>
      <w:bookmarkStart w:id="636" w:name="_9kR3WTrAG8CJIJFASFx0mGRH51C7ARHCNQDC9BY"/>
      <w:bookmarkStart w:id="637" w:name="_Ref_ContractCompanion_9kb9Ur8FC"/>
      <w:r w:rsidRPr="00D47BE6">
        <w:t xml:space="preserve">If the Authority issues a two or more Risk Management Rejection Notices, the failure to receive a Residual Risk Statement shall constitute a material Default and the Authority may by terminate this Contract with immediate effect by issuing a </w:t>
      </w:r>
      <w:bookmarkStart w:id="638" w:name="_9kR3WTr2AC7CJhMr0sunu3z5fbE9tq"/>
      <w:r w:rsidRPr="00D47BE6">
        <w:t>Termination Notice</w:t>
      </w:r>
      <w:bookmarkEnd w:id="638"/>
      <w:r w:rsidRPr="00D47BE6">
        <w:t xml:space="preserve"> to the Supplier</w:t>
      </w:r>
      <w:bookmarkStart w:id="639" w:name="_9kR3WTr2CC59GQChrAv7KJs"/>
      <w:r w:rsidRPr="00D47BE6">
        <w:t xml:space="preserve"> in accordance with </w:t>
      </w:r>
      <w:bookmarkStart w:id="640" w:name="_9kR3WTr2CC59HRChrAv7KJs"/>
      <w:r w:rsidRPr="00D47BE6">
        <w:t>Clause 31.1(b)</w:t>
      </w:r>
      <w:bookmarkEnd w:id="639"/>
      <w:bookmarkEnd w:id="640"/>
      <w:r w:rsidRPr="00D47BE6">
        <w:t>.</w:t>
      </w:r>
      <w:bookmarkEnd w:id="636"/>
      <w:r>
        <w:t xml:space="preserve"> </w:t>
      </w:r>
      <w:bookmarkEnd w:id="637"/>
    </w:p>
    <w:p w14:paraId="6F49EDDB" w14:textId="2F825106" w:rsidR="00F67E9E" w:rsidRPr="00D47BE6" w:rsidRDefault="00F67E9E" w:rsidP="00F67E9E">
      <w:pPr>
        <w:pStyle w:val="Numbered11"/>
        <w:tabs>
          <w:tab w:val="clear" w:pos="720"/>
        </w:tabs>
      </w:pPr>
      <w:bookmarkStart w:id="641" w:name="_9kR3WTrAG8CJFGFBdeukoiyGCjQz0q832ASaVOJ"/>
      <w:bookmarkStart w:id="642" w:name="_Ref_ContractCompanion_9kb9Ur8F9"/>
      <w:r w:rsidRPr="00D47BE6">
        <w:t xml:space="preserve">Subject to </w:t>
      </w:r>
      <w:bookmarkStart w:id="643" w:name="_9kMHG5YVtCIAELKLHCUHz2oITJ73E9CTJEPSFEB"/>
      <w:r w:rsidRPr="00D47BE6">
        <w:t xml:space="preserve">Paragraph </w:t>
      </w:r>
      <w:r w:rsidRPr="00D47BE6">
        <w:fldChar w:fldCharType="begin"/>
      </w:r>
      <w:r w:rsidRPr="00D47BE6">
        <w:instrText xml:space="preserve"> REF _Ref_ContractCompanion_9kb9Ur8FC \n \h \t \* MERGEFORMAT </w:instrText>
      </w:r>
      <w:r w:rsidRPr="00D47BE6">
        <w:fldChar w:fldCharType="separate"/>
      </w:r>
      <w:r w:rsidR="00302D39">
        <w:t>6.10</w:t>
      </w:r>
      <w:r w:rsidRPr="00D47BE6">
        <w:fldChar w:fldCharType="end"/>
      </w:r>
      <w:bookmarkEnd w:id="643"/>
      <w:r w:rsidRPr="00D47BE6">
        <w:t xml:space="preserve">, the process set out in </w:t>
      </w:r>
      <w:bookmarkStart w:id="644" w:name="_9kMHG5YVtCIAELNOOmTlFQG40B69QQAtyA1FYI4"/>
      <w:r w:rsidRPr="00D47BE6">
        <w:t xml:space="preserve">Paragraphs </w:t>
      </w:r>
      <w:r w:rsidRPr="00D47BE6">
        <w:fldChar w:fldCharType="begin"/>
      </w:r>
      <w:r w:rsidRPr="00D47BE6">
        <w:instrText xml:space="preserve"> REF _Ref_ContractCompanion_9kb9Ur8FF \n \h \t \* MERGEFORMAT </w:instrText>
      </w:r>
      <w:r w:rsidRPr="00D47BE6">
        <w:fldChar w:fldCharType="separate"/>
      </w:r>
      <w:r w:rsidR="00302D39">
        <w:t>6.8</w:t>
      </w:r>
      <w:r w:rsidRPr="00D47BE6">
        <w:fldChar w:fldCharType="end"/>
      </w:r>
      <w:bookmarkEnd w:id="644"/>
      <w:r w:rsidRPr="00D47BE6">
        <w:t xml:space="preserve"> to </w:t>
      </w:r>
      <w:bookmarkStart w:id="645" w:name="_9kMIH5YVtCIAELKLHCUHz2oITJ73E9CTJEPSFEB"/>
      <w:r w:rsidRPr="00D47BE6">
        <w:fldChar w:fldCharType="begin"/>
      </w:r>
      <w:r w:rsidRPr="00D47BE6">
        <w:instrText xml:space="preserve"> REF _Ref_ContractCompanion_9kb9Ur8FC \n \h \t \* MERGEFORMAT </w:instrText>
      </w:r>
      <w:r w:rsidRPr="00D47BE6">
        <w:fldChar w:fldCharType="separate"/>
      </w:r>
      <w:r w:rsidR="00302D39">
        <w:t>6.10</w:t>
      </w:r>
      <w:r w:rsidRPr="00D47BE6">
        <w:fldChar w:fldCharType="end"/>
      </w:r>
      <w:bookmarkEnd w:id="645"/>
      <w:r w:rsidRPr="00D47BE6">
        <w:t xml:space="preserve"> shall be repeated until such time as the Authority issues a Residual Risk Statement to the Supplier or terminates this Contract.</w:t>
      </w:r>
      <w:bookmarkEnd w:id="641"/>
      <w:r>
        <w:t xml:space="preserve"> </w:t>
      </w:r>
      <w:bookmarkEnd w:id="642"/>
    </w:p>
    <w:p w14:paraId="0236CE71" w14:textId="77777777" w:rsidR="00F67E9E" w:rsidRPr="00D47BE6" w:rsidRDefault="00F67E9E" w:rsidP="00F67E9E">
      <w:pPr>
        <w:pStyle w:val="Numbered11"/>
        <w:tabs>
          <w:tab w:val="clear" w:pos="720"/>
        </w:tabs>
      </w:pPr>
      <w:r w:rsidRPr="00D47BE6">
        <w:t>The Supplier shall not use the Core Information Management System to Process Authority Data before receiving a Residual Risk Statement.</w:t>
      </w:r>
    </w:p>
    <w:p w14:paraId="0B9A7D7A" w14:textId="02829757" w:rsidR="00F67E9E" w:rsidRPr="00D47BE6" w:rsidRDefault="00F67E9E" w:rsidP="00F67E9E">
      <w:pPr>
        <w:pStyle w:val="Numbered11"/>
        <w:tabs>
          <w:tab w:val="clear" w:pos="720"/>
        </w:tabs>
      </w:pPr>
      <w:bookmarkStart w:id="646" w:name="_Ref_ContractCompanion_9kb9Us7A9"/>
      <w:bookmarkStart w:id="647" w:name="_9kR3WTrAG9BEFJFDgSkWhB74ys2H8rw882x9PI4"/>
      <w:r w:rsidRPr="00D47BE6">
        <w:t xml:space="preserve">The Supplier shall keep the Core Information Management System and Security Management Plan under review and shall update the Security Management Plan annually in accordance with this Paragraph and the Authority shall review the Accreditation Decision annually and following the occurrence of any of the events set out in </w:t>
      </w:r>
      <w:bookmarkStart w:id="648" w:name="_9kMHG5YVtCIAEMKKHHZHz2oalFB82w68sw8JSPF"/>
      <w:r w:rsidRPr="00D47BE6">
        <w:t xml:space="preserve">Paragraph </w:t>
      </w:r>
      <w:r w:rsidRPr="00D47BE6">
        <w:fldChar w:fldCharType="begin"/>
      </w:r>
      <w:r w:rsidRPr="00D47BE6">
        <w:instrText xml:space="preserve"> REF _Ref_ContractCompanion_9kb9Ur8GC \n \h \t \* MERGEFORMAT </w:instrText>
      </w:r>
      <w:r w:rsidRPr="00D47BE6">
        <w:fldChar w:fldCharType="separate"/>
      </w:r>
      <w:r w:rsidR="00302D39">
        <w:t>6.15</w:t>
      </w:r>
      <w:r w:rsidRPr="00D47BE6">
        <w:fldChar w:fldCharType="end"/>
      </w:r>
      <w:bookmarkEnd w:id="648"/>
      <w:r w:rsidRPr="00D47BE6">
        <w:t>.</w:t>
      </w:r>
      <w:bookmarkEnd w:id="646"/>
      <w:bookmarkEnd w:id="647"/>
    </w:p>
    <w:p w14:paraId="40CC5C2F" w14:textId="77777777" w:rsidR="00F67E9E" w:rsidRPr="001B1EB0" w:rsidRDefault="00F67E9E" w:rsidP="00F67E9E">
      <w:pPr>
        <w:pStyle w:val="Numbered11"/>
        <w:tabs>
          <w:tab w:val="clear" w:pos="720"/>
        </w:tabs>
      </w:pPr>
      <w:r w:rsidRPr="001B1EB0">
        <w:t xml:space="preserve">The Supplier shall notify the Authority within </w:t>
      </w:r>
      <w:r w:rsidRPr="003843A3">
        <w:rPr>
          <w:highlight w:val="yellow"/>
        </w:rPr>
        <w:t>[2</w:t>
      </w:r>
      <w:r w:rsidRPr="001B1EB0">
        <w:rPr>
          <w:highlight w:val="yellow"/>
        </w:rPr>
        <w:t>]</w:t>
      </w:r>
      <w:r w:rsidRPr="001B1EB0">
        <w:t xml:space="preserve"> Working Days after becoming aware of:</w:t>
      </w:r>
    </w:p>
    <w:p w14:paraId="7AF93DA5" w14:textId="77777777" w:rsidR="00F67E9E" w:rsidRPr="001B1EB0" w:rsidRDefault="00F67E9E" w:rsidP="00F67E9E">
      <w:pPr>
        <w:pStyle w:val="Numbered111"/>
        <w:tabs>
          <w:tab w:val="clear" w:pos="1800"/>
          <w:tab w:val="num" w:pos="1530"/>
        </w:tabs>
        <w:ind w:left="1530" w:hanging="810"/>
      </w:pPr>
      <w:r w:rsidRPr="001B1EB0">
        <w:t>a significant change, or a significant planned change, to the components or architecture of the Core Information Management System;</w:t>
      </w:r>
    </w:p>
    <w:p w14:paraId="46BED7E8" w14:textId="77777777" w:rsidR="00F67E9E" w:rsidRPr="001B1EB0" w:rsidRDefault="00F67E9E" w:rsidP="00F67E9E">
      <w:pPr>
        <w:pStyle w:val="Numbered111"/>
        <w:tabs>
          <w:tab w:val="clear" w:pos="1800"/>
          <w:tab w:val="num" w:pos="1530"/>
        </w:tabs>
        <w:ind w:left="1530" w:hanging="810"/>
      </w:pPr>
      <w:r w:rsidRPr="001B1EB0">
        <w:t>a new risk or vulnerability is identified to the components or architecture of the Core Information Management System;</w:t>
      </w:r>
    </w:p>
    <w:p w14:paraId="226DA797" w14:textId="77777777" w:rsidR="00F67E9E" w:rsidRPr="001B1EB0" w:rsidRDefault="00F67E9E" w:rsidP="00F67E9E">
      <w:pPr>
        <w:pStyle w:val="Numbered111"/>
        <w:tabs>
          <w:tab w:val="clear" w:pos="1800"/>
          <w:tab w:val="num" w:pos="1530"/>
        </w:tabs>
        <w:ind w:left="1530" w:hanging="810"/>
      </w:pPr>
      <w:r w:rsidRPr="001B1EB0">
        <w:t>a change in the threat profile;</w:t>
      </w:r>
    </w:p>
    <w:p w14:paraId="63C30A32" w14:textId="77777777" w:rsidR="00F67E9E" w:rsidRPr="00D47BE6" w:rsidRDefault="00F67E9E" w:rsidP="00F67E9E">
      <w:pPr>
        <w:pStyle w:val="Numbered111"/>
        <w:tabs>
          <w:tab w:val="clear" w:pos="1800"/>
          <w:tab w:val="num" w:pos="1530"/>
        </w:tabs>
        <w:ind w:left="1530" w:hanging="810"/>
      </w:pPr>
      <w:r w:rsidRPr="00D47BE6">
        <w:t>a Sub-contractor failure to comply with the Core Information Management System code of connection;</w:t>
      </w:r>
    </w:p>
    <w:p w14:paraId="4C6AFECC" w14:textId="77777777" w:rsidR="00F67E9E" w:rsidRPr="00D47BE6" w:rsidRDefault="00F67E9E" w:rsidP="00F67E9E">
      <w:pPr>
        <w:pStyle w:val="Numbered111"/>
        <w:tabs>
          <w:tab w:val="clear" w:pos="1800"/>
          <w:tab w:val="num" w:pos="1530"/>
        </w:tabs>
        <w:ind w:left="1530" w:hanging="810"/>
      </w:pPr>
      <w:r w:rsidRPr="00D47BE6">
        <w:t>a significant change to any risk component;</w:t>
      </w:r>
    </w:p>
    <w:p w14:paraId="3FBDC1C2" w14:textId="77777777" w:rsidR="00F67E9E" w:rsidRPr="00D47BE6" w:rsidRDefault="00F67E9E" w:rsidP="00F67E9E">
      <w:pPr>
        <w:pStyle w:val="Numbered111"/>
        <w:tabs>
          <w:tab w:val="clear" w:pos="1800"/>
          <w:tab w:val="num" w:pos="1530"/>
        </w:tabs>
        <w:ind w:left="1530" w:hanging="810"/>
      </w:pPr>
      <w:r w:rsidRPr="00D47BE6">
        <w:t>a significant change in the quantity of Personal Data held within the Core Information Management System;</w:t>
      </w:r>
    </w:p>
    <w:p w14:paraId="6DBF0DA9" w14:textId="77777777" w:rsidR="00F67E9E" w:rsidRPr="00D47BE6" w:rsidRDefault="00F67E9E" w:rsidP="00F67E9E">
      <w:pPr>
        <w:pStyle w:val="Numbered111"/>
        <w:tabs>
          <w:tab w:val="clear" w:pos="1800"/>
          <w:tab w:val="num" w:pos="1530"/>
        </w:tabs>
        <w:ind w:left="1530" w:hanging="810"/>
      </w:pPr>
      <w:r w:rsidRPr="00D47BE6">
        <w:t>where the Supplier has previously Processed Personal Data that does not include Special Category Personal Data, it starts to, or proposes to start to, Process Special Category Personal Data under this Contract;</w:t>
      </w:r>
    </w:p>
    <w:p w14:paraId="557BF299" w14:textId="77777777" w:rsidR="00F67E9E" w:rsidRPr="00D47BE6" w:rsidRDefault="00F67E9E" w:rsidP="00F67E9E">
      <w:pPr>
        <w:pStyle w:val="Numbered111"/>
        <w:tabs>
          <w:tab w:val="clear" w:pos="1800"/>
          <w:tab w:val="num" w:pos="1530"/>
        </w:tabs>
        <w:ind w:left="1530" w:hanging="810"/>
      </w:pPr>
      <w:r w:rsidRPr="00D47BE6">
        <w:t>a proposal to change any of the Sites from which any part of the Services are provided; and/or</w:t>
      </w:r>
    </w:p>
    <w:p w14:paraId="0F16A822" w14:textId="77777777" w:rsidR="00F67E9E" w:rsidRPr="001B1EB0" w:rsidRDefault="00F67E9E" w:rsidP="00F67E9E">
      <w:pPr>
        <w:pStyle w:val="Numbered111"/>
        <w:tabs>
          <w:tab w:val="clear" w:pos="1800"/>
          <w:tab w:val="num" w:pos="1530"/>
        </w:tabs>
        <w:ind w:left="1530" w:hanging="810"/>
      </w:pPr>
      <w:r w:rsidRPr="00D47BE6">
        <w:t>an ISO/IEC 27001 (at least ISO/IEC 27001:2013) audit report produced in connection with the Certification Requirements indicates signi</w:t>
      </w:r>
      <w:r w:rsidRPr="001B1EB0">
        <w:t xml:space="preserve">ficant concerns; and </w:t>
      </w:r>
    </w:p>
    <w:p w14:paraId="733CDDF1" w14:textId="77777777" w:rsidR="00F67E9E" w:rsidRPr="001B1EB0" w:rsidRDefault="00F67E9E" w:rsidP="00F67E9E">
      <w:pPr>
        <w:pStyle w:val="Numbered111"/>
        <w:tabs>
          <w:tab w:val="clear" w:pos="1800"/>
          <w:tab w:val="num" w:pos="1530"/>
        </w:tabs>
        <w:ind w:left="1530" w:hanging="810"/>
      </w:pPr>
      <w:r w:rsidRPr="001B1EB0">
        <w:t>update the Required Changes Register and provide the updated Required Changes Register to the Authority for review and approval within [</w:t>
      </w:r>
      <w:r w:rsidRPr="004E08FC">
        <w:t>10</w:t>
      </w:r>
      <w:r w:rsidRPr="001B1EB0">
        <w:t>] Working Days after the initial notification or such other timescale as may be agreed with the Authority.</w:t>
      </w:r>
      <w:r>
        <w:t xml:space="preserve"> </w:t>
      </w:r>
    </w:p>
    <w:p w14:paraId="011B4C3C" w14:textId="77777777" w:rsidR="00F67E9E" w:rsidRPr="001B1EB0" w:rsidRDefault="00F67E9E" w:rsidP="00F67E9E">
      <w:pPr>
        <w:pStyle w:val="Numbered11"/>
        <w:tabs>
          <w:tab w:val="clear" w:pos="720"/>
        </w:tabs>
      </w:pPr>
      <w:bookmarkStart w:id="649" w:name="_9kR3WTrAG8CKIIFFXFx0mYjD960u46qu6HQNDCK"/>
      <w:bookmarkStart w:id="650" w:name="_Ref_ContractCompanion_9kb9Ur8GC"/>
      <w:r w:rsidRPr="001B1EB0">
        <w:t>If the Supplier fails to implement a change set out in the Required Changes Register by the date agreed with the Authority, such failure shall constitute a material Default and the Supplier shall:</w:t>
      </w:r>
      <w:bookmarkEnd w:id="649"/>
      <w:r w:rsidRPr="001B1EB0">
        <w:t xml:space="preserve"> </w:t>
      </w:r>
      <w:bookmarkEnd w:id="650"/>
    </w:p>
    <w:p w14:paraId="0F4839A5" w14:textId="77777777" w:rsidR="00F67E9E" w:rsidRPr="001B1EB0" w:rsidRDefault="00F67E9E" w:rsidP="00F67E9E">
      <w:pPr>
        <w:pStyle w:val="Numbered111"/>
        <w:tabs>
          <w:tab w:val="clear" w:pos="1800"/>
          <w:tab w:val="num" w:pos="1530"/>
        </w:tabs>
        <w:ind w:left="1530" w:hanging="810"/>
      </w:pPr>
      <w:bookmarkStart w:id="651" w:name="_9kR3WTrAG8CE7DFFGutyrjomy3wH9qp49CRGCBI"/>
      <w:bookmarkStart w:id="652" w:name="_Ref_ContractCompanion_9kb9Ur89A"/>
      <w:r w:rsidRPr="001B1EB0">
        <w:t>immediately cease using the Core Information Management System to Process Authority Data until the Default is remedied, unless directed otherwise by the Authority in writing and then it may only continue to Process Authority Data in accordance with the Authority</w:t>
      </w:r>
      <w:r>
        <w:t>’</w:t>
      </w:r>
      <w:r w:rsidRPr="001B1EB0">
        <w:t>s written directions;</w:t>
      </w:r>
      <w:bookmarkEnd w:id="651"/>
      <w:r w:rsidRPr="001B1EB0">
        <w:t xml:space="preserve"> and</w:t>
      </w:r>
      <w:bookmarkEnd w:id="652"/>
    </w:p>
    <w:p w14:paraId="60D829FC" w14:textId="77777777" w:rsidR="00F67E9E" w:rsidRPr="00C549FA" w:rsidRDefault="00F67E9E" w:rsidP="00F67E9E">
      <w:pPr>
        <w:pStyle w:val="Numbered111"/>
        <w:tabs>
          <w:tab w:val="clear" w:pos="1800"/>
          <w:tab w:val="num" w:pos="1530"/>
        </w:tabs>
        <w:ind w:left="1530" w:hanging="810"/>
      </w:pPr>
      <w:r w:rsidRPr="001B1EB0">
        <w:t xml:space="preserve">where such Default is capable of remedy, the Supplier shall remedy such Default </w:t>
      </w:r>
      <w:r w:rsidRPr="00C549FA">
        <w:t xml:space="preserve">within the timescales set by the Authority and, should the </w:t>
      </w:r>
      <w:r w:rsidRPr="00D47BE6">
        <w:t xml:space="preserve">Supplier fail to remedy the Default within such timescales, the Authority may terminate this Contract with immediate effect by issuing a </w:t>
      </w:r>
      <w:bookmarkStart w:id="653" w:name="_9kMHG5YVt4CE9ELjOt2uwpw517hdGBvs"/>
      <w:r w:rsidRPr="00D47BE6">
        <w:t>Termination Notice</w:t>
      </w:r>
      <w:bookmarkEnd w:id="653"/>
      <w:r w:rsidRPr="00D47BE6">
        <w:t xml:space="preserve"> to the Supplier in accordance wi</w:t>
      </w:r>
      <w:bookmarkStart w:id="654" w:name="_9kMHG5YVt4EE7BISEjtCx9MLu"/>
      <w:r w:rsidRPr="00D47BE6">
        <w:t xml:space="preserve">th </w:t>
      </w:r>
      <w:bookmarkStart w:id="655" w:name="_9kR3WTr2CC59ISChrAv7KJs"/>
      <w:r w:rsidRPr="00D47BE6">
        <w:t xml:space="preserve">Clause </w:t>
      </w:r>
      <w:r>
        <w:t>31</w:t>
      </w:r>
      <w:r w:rsidRPr="00D47BE6">
        <w:t>.1(b)</w:t>
      </w:r>
      <w:bookmarkEnd w:id="654"/>
      <w:r w:rsidRPr="00D47BE6">
        <w:t>.</w:t>
      </w:r>
      <w:bookmarkEnd w:id="655"/>
    </w:p>
    <w:p w14:paraId="5FCF92FB" w14:textId="77777777" w:rsidR="00F67E9E" w:rsidRPr="001B1EB0" w:rsidRDefault="00F67E9E" w:rsidP="00F67E9E">
      <w:pPr>
        <w:pStyle w:val="Numbered11"/>
        <w:tabs>
          <w:tab w:val="clear" w:pos="720"/>
        </w:tabs>
      </w:pPr>
      <w:r w:rsidRPr="001B1EB0">
        <w:t>The Supplier shall review each Change Request against the Security Management Plan to establish whether the documentation would need to be amended should such Change Request be agreed and, where a Change Request would require an amendment to the Security Management Plan, the Supplier shall set out any proposed amendments to the documentation in the Impact Assessment associated with such Change Request for consideration and approval by the Authority.</w:t>
      </w:r>
      <w:r>
        <w:t xml:space="preserve"> </w:t>
      </w:r>
    </w:p>
    <w:p w14:paraId="39469507" w14:textId="77777777" w:rsidR="00F67E9E" w:rsidRPr="001B1EB0" w:rsidRDefault="00F67E9E" w:rsidP="00F67E9E">
      <w:pPr>
        <w:pStyle w:val="Numbered11"/>
        <w:tabs>
          <w:tab w:val="clear" w:pos="720"/>
        </w:tabs>
      </w:pPr>
      <w:r w:rsidRPr="001B1EB0">
        <w:t>The Supplier shall be solely responsible for the costs associated with developing and updating the Security Management Plan and carrying out any remedial action required by the Authority as part of the Accreditation process.</w:t>
      </w:r>
    </w:p>
    <w:p w14:paraId="63D01252" w14:textId="77777777" w:rsidR="00F67E9E" w:rsidRPr="001B1EB0" w:rsidRDefault="00F67E9E" w:rsidP="00F67E9E">
      <w:pPr>
        <w:pStyle w:val="Numbered1"/>
        <w:tabs>
          <w:tab w:val="clear" w:pos="720"/>
        </w:tabs>
      </w:pPr>
      <w:bookmarkStart w:id="656" w:name="_Ref_ContractCompanion_9kb9Ur698"/>
      <w:bookmarkStart w:id="657" w:name="_Ref_ContractCompanion_9kb9Ur8C7"/>
      <w:r w:rsidRPr="001B1EB0">
        <w:t>Certification Requirements</w:t>
      </w:r>
      <w:bookmarkEnd w:id="656"/>
      <w:bookmarkEnd w:id="657"/>
    </w:p>
    <w:p w14:paraId="405BB964" w14:textId="77777777" w:rsidR="00F67E9E" w:rsidRPr="001B1EB0" w:rsidRDefault="00F67E9E" w:rsidP="00F67E9E">
      <w:pPr>
        <w:pStyle w:val="Numbered11"/>
        <w:tabs>
          <w:tab w:val="clear" w:pos="720"/>
        </w:tabs>
      </w:pPr>
      <w:bookmarkStart w:id="658" w:name="_Ref_ContractCompanion_9kb9Ur7HD"/>
      <w:bookmarkStart w:id="659" w:name="_9kR3WTrAG8BLJIGdRjVgA63xr1G7qv714JRRCwC"/>
      <w:r w:rsidRPr="001B1EB0">
        <w:t>The Supplier shall ensure, at all times during the Term, that it is certified as compliant with:</w:t>
      </w:r>
      <w:bookmarkEnd w:id="658"/>
      <w:bookmarkEnd w:id="659"/>
    </w:p>
    <w:p w14:paraId="19E416DC" w14:textId="77777777" w:rsidR="00F67E9E" w:rsidRPr="001B1EB0" w:rsidRDefault="00F67E9E" w:rsidP="00F67E9E">
      <w:pPr>
        <w:pStyle w:val="Numbered111"/>
        <w:tabs>
          <w:tab w:val="clear" w:pos="1800"/>
          <w:tab w:val="num" w:pos="1530"/>
        </w:tabs>
        <w:ind w:left="1530" w:hanging="810"/>
      </w:pPr>
      <w:r w:rsidRPr="001B1EB0">
        <w:t>ISO/IEC 27001</w:t>
      </w:r>
      <w:r>
        <w:t xml:space="preserve"> (at least ISO/IEC 27001:2013)</w:t>
      </w:r>
      <w:r w:rsidRPr="001B1EB0">
        <w:t xml:space="preserve"> by a </w:t>
      </w:r>
      <w:r>
        <w:t>UK</w:t>
      </w:r>
      <w:r w:rsidRPr="001B1EB0">
        <w:t xml:space="preserve"> Accreditation Service (UKAS)-approved certification body or are included within the scope of an existing certification of compliance with ISO/IEC 27001</w:t>
      </w:r>
      <w:r>
        <w:t xml:space="preserve"> (at least ISO/IEC 27001:2013)</w:t>
      </w:r>
      <w:r w:rsidRPr="001B1EB0">
        <w:t xml:space="preserve">; and </w:t>
      </w:r>
    </w:p>
    <w:p w14:paraId="5E4DAE1E" w14:textId="77777777" w:rsidR="00F67E9E" w:rsidRPr="001B1EB0" w:rsidRDefault="00F67E9E" w:rsidP="00F67E9E">
      <w:pPr>
        <w:pStyle w:val="Numbered111"/>
        <w:tabs>
          <w:tab w:val="clear" w:pos="1800"/>
          <w:tab w:val="num" w:pos="1530"/>
        </w:tabs>
        <w:ind w:left="1530" w:hanging="810"/>
      </w:pPr>
      <w:r w:rsidRPr="001B1EB0">
        <w:t>Cyber Essentials Plus,</w:t>
      </w:r>
    </w:p>
    <w:p w14:paraId="651D9794" w14:textId="77777777" w:rsidR="00F67E9E" w:rsidRPr="001B1EB0" w:rsidRDefault="00F67E9E" w:rsidP="00F67E9E">
      <w:pPr>
        <w:pStyle w:val="StdBodyText2"/>
        <w:rPr>
          <w:rFonts w:cs="Arial"/>
        </w:rPr>
      </w:pPr>
      <w:r w:rsidRPr="001B1EB0">
        <w:rPr>
          <w:rFonts w:cs="Arial"/>
        </w:rPr>
        <w:t xml:space="preserve">and shall provide the Authority with a copy of each such certificate of compliance before the Supplier shall be permitted to use the Core Information Management System to receive or Process Authority Data. </w:t>
      </w:r>
    </w:p>
    <w:p w14:paraId="3B4CEB12" w14:textId="77777777" w:rsidR="00F67E9E" w:rsidRPr="00D47BE6" w:rsidRDefault="00F67E9E" w:rsidP="00F67E9E">
      <w:pPr>
        <w:pStyle w:val="Numbered11"/>
        <w:tabs>
          <w:tab w:val="clear" w:pos="720"/>
        </w:tabs>
      </w:pPr>
      <w:r w:rsidRPr="00D47BE6">
        <w:t>Notwithstanding anything else in this Contract, a CIMS Sub-contractor shall be treated for all purposes as a Key Sub-contractor.</w:t>
      </w:r>
    </w:p>
    <w:p w14:paraId="10E2F75F" w14:textId="77777777" w:rsidR="00F67E9E" w:rsidRPr="00D47BE6" w:rsidRDefault="00F67E9E" w:rsidP="00F67E9E">
      <w:pPr>
        <w:pStyle w:val="Numbered11"/>
        <w:tabs>
          <w:tab w:val="clear" w:pos="720"/>
        </w:tabs>
      </w:pPr>
      <w:r w:rsidRPr="00D47BE6">
        <w:t xml:space="preserve">In addition to the obligations contained in </w:t>
      </w:r>
      <w:bookmarkStart w:id="660" w:name="_9kR3WTr2CC5AAJChrAv5K"/>
      <w:r w:rsidRPr="00D47BE6">
        <w:t>Clause 15</w:t>
      </w:r>
      <w:bookmarkEnd w:id="660"/>
      <w:r w:rsidRPr="00D47BE6">
        <w:t>, the Supplier must ensure that the Key Subcontract with each CIMS Sub-contractor:</w:t>
      </w:r>
    </w:p>
    <w:p w14:paraId="6E38A537" w14:textId="28B159B0" w:rsidR="00F67E9E" w:rsidRPr="00505365" w:rsidRDefault="00F67E9E" w:rsidP="00F67E9E">
      <w:pPr>
        <w:pStyle w:val="Numbered111"/>
        <w:tabs>
          <w:tab w:val="clear" w:pos="1800"/>
          <w:tab w:val="num" w:pos="1530"/>
        </w:tabs>
        <w:ind w:left="1530" w:hanging="810"/>
      </w:pPr>
      <w:r w:rsidRPr="0077466E">
        <w:t xml:space="preserve">contains obligations no less onerous on the Key Sub-contractor than those imposed on the Supplier under this </w:t>
      </w:r>
      <w:r>
        <w:fldChar w:fldCharType="begin"/>
      </w:r>
      <w:r>
        <w:instrText xml:space="preserve"> REF Schedule5 \h </w:instrText>
      </w:r>
      <w:r>
        <w:fldChar w:fldCharType="separate"/>
      </w:r>
      <w:r w:rsidR="00302D39" w:rsidRPr="005D0525">
        <w:t>Schedule</w:t>
      </w:r>
      <w:r w:rsidR="00302D39">
        <w:t> </w:t>
      </w:r>
      <w:r w:rsidR="00302D39" w:rsidRPr="005D0525">
        <w:t>5</w:t>
      </w:r>
      <w:r>
        <w:fldChar w:fldCharType="end"/>
      </w:r>
      <w:r>
        <w:t xml:space="preserve"> (</w:t>
      </w:r>
      <w:r w:rsidRPr="00A22335">
        <w:rPr>
          <w:i/>
          <w:iCs/>
        </w:rPr>
        <w:fldChar w:fldCharType="begin"/>
      </w:r>
      <w:r w:rsidRPr="00A22335">
        <w:rPr>
          <w:i/>
          <w:iCs/>
        </w:rPr>
        <w:instrText xml:space="preserve"> REF Schedule5Heading \h </w:instrText>
      </w:r>
      <w:r>
        <w:rPr>
          <w:i/>
          <w:iCs/>
        </w:rPr>
        <w:instrText xml:space="preserve"> \* MERGEFORMAT </w:instrText>
      </w:r>
      <w:r w:rsidRPr="00A22335">
        <w:rPr>
          <w:i/>
          <w:iCs/>
        </w:rPr>
      </w:r>
      <w:r w:rsidRPr="00A22335">
        <w:rPr>
          <w:i/>
          <w:iCs/>
        </w:rPr>
        <w:fldChar w:fldCharType="separate"/>
      </w:r>
      <w:r w:rsidR="00302D39" w:rsidRPr="00302D39">
        <w:rPr>
          <w:i/>
          <w:iCs/>
        </w:rPr>
        <w:t>Security Management</w:t>
      </w:r>
      <w:r w:rsidRPr="00A22335">
        <w:rPr>
          <w:i/>
          <w:iCs/>
        </w:rPr>
        <w:fldChar w:fldCharType="end"/>
      </w:r>
      <w:r>
        <w:t>)</w:t>
      </w:r>
      <w:r w:rsidRPr="0077466E">
        <w:t>; b</w:t>
      </w:r>
      <w:r w:rsidRPr="00505365">
        <w:t>ut</w:t>
      </w:r>
    </w:p>
    <w:p w14:paraId="0E27278B" w14:textId="412F32ED" w:rsidR="00F67E9E" w:rsidRPr="0077466E" w:rsidRDefault="00F67E9E" w:rsidP="00F67E9E">
      <w:pPr>
        <w:pStyle w:val="Numbered111"/>
        <w:tabs>
          <w:tab w:val="clear" w:pos="1800"/>
          <w:tab w:val="num" w:pos="1530"/>
        </w:tabs>
        <w:ind w:left="1530" w:hanging="810"/>
      </w:pPr>
      <w:r w:rsidRPr="00505365">
        <w:t xml:space="preserve">provides for the Authority to perform Accreditation of any part of the Core </w:t>
      </w:r>
      <w:r w:rsidRPr="0077466E">
        <w:t xml:space="preserve">Information Management System that the CIMS Sub-contractor provides or operates which is not otherwise subject to Accreditation under this </w:t>
      </w:r>
      <w:r>
        <w:fldChar w:fldCharType="begin"/>
      </w:r>
      <w:r>
        <w:instrText xml:space="preserve"> REF Schedule5 \h </w:instrText>
      </w:r>
      <w:r>
        <w:fldChar w:fldCharType="separate"/>
      </w:r>
      <w:r w:rsidR="00302D39" w:rsidRPr="005D0525">
        <w:t>Schedule</w:t>
      </w:r>
      <w:r w:rsidR="00302D39">
        <w:t> </w:t>
      </w:r>
      <w:r w:rsidR="00302D39" w:rsidRPr="005D0525">
        <w:t>5</w:t>
      </w:r>
      <w:r>
        <w:fldChar w:fldCharType="end"/>
      </w:r>
      <w:r>
        <w:t xml:space="preserve"> (</w:t>
      </w:r>
      <w:r w:rsidRPr="00A22335">
        <w:rPr>
          <w:i/>
          <w:iCs/>
        </w:rPr>
        <w:fldChar w:fldCharType="begin"/>
      </w:r>
      <w:r w:rsidRPr="00A22335">
        <w:rPr>
          <w:i/>
          <w:iCs/>
        </w:rPr>
        <w:instrText xml:space="preserve"> REF Schedule5Heading \h </w:instrText>
      </w:r>
      <w:r>
        <w:rPr>
          <w:i/>
          <w:iCs/>
        </w:rPr>
        <w:instrText xml:space="preserve"> \* MERGEFORMAT </w:instrText>
      </w:r>
      <w:r w:rsidRPr="00A22335">
        <w:rPr>
          <w:i/>
          <w:iCs/>
        </w:rPr>
      </w:r>
      <w:r w:rsidRPr="00A22335">
        <w:rPr>
          <w:i/>
          <w:iCs/>
        </w:rPr>
        <w:fldChar w:fldCharType="separate"/>
      </w:r>
      <w:r w:rsidR="00302D39" w:rsidRPr="00302D39">
        <w:rPr>
          <w:i/>
          <w:iCs/>
        </w:rPr>
        <w:t>Security Management</w:t>
      </w:r>
      <w:r w:rsidRPr="00A22335">
        <w:rPr>
          <w:i/>
          <w:iCs/>
        </w:rPr>
        <w:fldChar w:fldCharType="end"/>
      </w:r>
      <w:r>
        <w:t>)</w:t>
      </w:r>
      <w:r w:rsidRPr="0077466E">
        <w:t>.</w:t>
      </w:r>
    </w:p>
    <w:p w14:paraId="0F24BD04" w14:textId="77777777" w:rsidR="00F67E9E" w:rsidRPr="0077466E" w:rsidRDefault="00F67E9E" w:rsidP="00F67E9E">
      <w:pPr>
        <w:pStyle w:val="Numbered11"/>
        <w:tabs>
          <w:tab w:val="clear" w:pos="720"/>
        </w:tabs>
      </w:pPr>
      <w:bookmarkStart w:id="661" w:name="_Ref45003242"/>
      <w:r w:rsidRPr="0077466E">
        <w:t>The Supplier shall ensure that each Higher Risk Sub-contractor is certified as compliant with either:</w:t>
      </w:r>
      <w:bookmarkEnd w:id="661"/>
    </w:p>
    <w:p w14:paraId="0F73FACD" w14:textId="77777777" w:rsidR="00F67E9E" w:rsidRPr="0077466E" w:rsidRDefault="00F67E9E" w:rsidP="00F67E9E">
      <w:pPr>
        <w:pStyle w:val="Numbered111"/>
        <w:tabs>
          <w:tab w:val="clear" w:pos="1800"/>
          <w:tab w:val="num" w:pos="1530"/>
        </w:tabs>
        <w:ind w:left="1530" w:hanging="810"/>
      </w:pPr>
      <w:r w:rsidRPr="0077466E">
        <w:t xml:space="preserve">ISO/IEC 27001 (at least ISO/IEC 27001:2013) by a UK Accreditation Service (UKAS)-approved certification body or is included within the scope of an existing certification of compliance with ISO/IEC 27001 (at least ISO/IEC 27001:2013); or </w:t>
      </w:r>
    </w:p>
    <w:p w14:paraId="6F6954B9" w14:textId="77777777" w:rsidR="00F67E9E" w:rsidRPr="00B753FD" w:rsidRDefault="00F67E9E" w:rsidP="00F67E9E">
      <w:pPr>
        <w:pStyle w:val="Numbered111"/>
        <w:tabs>
          <w:tab w:val="clear" w:pos="1800"/>
          <w:tab w:val="num" w:pos="1530"/>
        </w:tabs>
        <w:ind w:left="1530" w:hanging="810"/>
      </w:pPr>
      <w:r w:rsidRPr="00B753FD">
        <w:t xml:space="preserve">Cyber Essentials Plus, </w:t>
      </w:r>
    </w:p>
    <w:p w14:paraId="36E43DA3" w14:textId="77777777" w:rsidR="00F67E9E" w:rsidRPr="0077466E" w:rsidRDefault="00F67E9E" w:rsidP="00F67E9E">
      <w:pPr>
        <w:pStyle w:val="StdBodyText2"/>
        <w:rPr>
          <w:rFonts w:cs="Arial"/>
        </w:rPr>
      </w:pPr>
      <w:r w:rsidRPr="0077466E">
        <w:rPr>
          <w:rFonts w:cs="Arial"/>
        </w:rPr>
        <w:t>and shall provide the Authority with a copy of each such certificate of compliance before the Higher-Risk Sub-contractor shall be permitted to receive or Process Authority Data.</w:t>
      </w:r>
    </w:p>
    <w:p w14:paraId="6D1D5693" w14:textId="77777777" w:rsidR="00F67E9E" w:rsidRPr="0077466E" w:rsidRDefault="00F67E9E" w:rsidP="00F67E9E">
      <w:pPr>
        <w:pStyle w:val="Numbered11"/>
        <w:tabs>
          <w:tab w:val="clear" w:pos="720"/>
        </w:tabs>
      </w:pPr>
      <w:r w:rsidRPr="0077466E">
        <w:t>The Supplier shall ensure that each Medium Risk Sub-contractor is certified compliant with Cyber Essentials.</w:t>
      </w:r>
    </w:p>
    <w:p w14:paraId="198F46BB" w14:textId="77777777" w:rsidR="00F67E9E" w:rsidRPr="0077466E" w:rsidRDefault="00F67E9E" w:rsidP="00F67E9E">
      <w:pPr>
        <w:pStyle w:val="Numbered11"/>
        <w:tabs>
          <w:tab w:val="clear" w:pos="720"/>
        </w:tabs>
      </w:pPr>
      <w:bookmarkStart w:id="662" w:name="_Ref45003248"/>
      <w:r w:rsidRPr="0077466E">
        <w:t>The Supplier shall ensure that the Supplier and each Sub-contractor who is responsible for the secure destruction of Authority Data:</w:t>
      </w:r>
      <w:bookmarkEnd w:id="662"/>
    </w:p>
    <w:p w14:paraId="28993B31" w14:textId="77777777" w:rsidR="00F67E9E" w:rsidRPr="0077466E" w:rsidRDefault="00F67E9E" w:rsidP="00F67E9E">
      <w:pPr>
        <w:pStyle w:val="Numbered111"/>
        <w:tabs>
          <w:tab w:val="clear" w:pos="1800"/>
          <w:tab w:val="num" w:pos="1530"/>
        </w:tabs>
        <w:ind w:left="1530" w:hanging="810"/>
      </w:pPr>
      <w:r w:rsidRPr="0077466E">
        <w:t xml:space="preserve">securely destroys Authority Data only on Sites which are included within the scope of an existing certification of compliance with ISO/IEC 27001 (at least ISO/IEC 27001:2013); </w:t>
      </w:r>
    </w:p>
    <w:p w14:paraId="198096AD" w14:textId="77777777" w:rsidR="00F67E9E" w:rsidRPr="0077466E" w:rsidRDefault="00F67E9E" w:rsidP="00F67E9E">
      <w:pPr>
        <w:pStyle w:val="Numbered111"/>
        <w:tabs>
          <w:tab w:val="clear" w:pos="1800"/>
          <w:tab w:val="num" w:pos="1530"/>
        </w:tabs>
        <w:ind w:left="1530" w:hanging="810"/>
      </w:pPr>
      <w:r w:rsidRPr="0077466E">
        <w:t xml:space="preserve">should satisfy the Authority that their data destruction/deletion practices comply with UK GDPR requirements and follows all relevant NCSC guidance; and </w:t>
      </w:r>
    </w:p>
    <w:p w14:paraId="75213673" w14:textId="77777777" w:rsidR="00F67E9E" w:rsidRPr="0077466E" w:rsidRDefault="00F67E9E" w:rsidP="00F67E9E">
      <w:pPr>
        <w:pStyle w:val="Numbered111"/>
        <w:tabs>
          <w:tab w:val="clear" w:pos="1800"/>
          <w:tab w:val="num" w:pos="1530"/>
        </w:tabs>
        <w:ind w:left="1530" w:hanging="810"/>
      </w:pPr>
      <w:r w:rsidRPr="0077466E">
        <w:t>must maintain an asset register of all Authority supplied information, data and equipment to ensure Authority assets are returned and/or deleted.</w:t>
      </w:r>
    </w:p>
    <w:p w14:paraId="1632BE2F" w14:textId="77777777" w:rsidR="00F67E9E" w:rsidRPr="0077466E" w:rsidRDefault="00F67E9E" w:rsidP="00F67E9E">
      <w:pPr>
        <w:pStyle w:val="Numbered11"/>
        <w:tabs>
          <w:tab w:val="clear" w:pos="720"/>
        </w:tabs>
      </w:pPr>
      <w:r w:rsidRPr="0077466E">
        <w:t>The Supplier shall provide the Authority with evidence of its and its Sub-contractor</w:t>
      </w:r>
      <w:r>
        <w:t>’</w:t>
      </w:r>
      <w:r w:rsidRPr="0077466E">
        <w:t>s compliance with the requirements set out in this Paragraph before the Supplier or the relevant Sub-contractor (as applicable) shall be permitted to carry out the secure destruction of the Authority Data.</w:t>
      </w:r>
    </w:p>
    <w:p w14:paraId="33B6D3D6" w14:textId="77777777" w:rsidR="00F67E9E" w:rsidRPr="0077466E" w:rsidRDefault="00F67E9E" w:rsidP="00F67E9E">
      <w:pPr>
        <w:pStyle w:val="Numbered11"/>
        <w:tabs>
          <w:tab w:val="clear" w:pos="720"/>
        </w:tabs>
      </w:pPr>
      <w:bookmarkStart w:id="663" w:name="_9kR3WTrAG8BLMLMjRjVgA63xr1G7qv7AELG3KZJ"/>
      <w:bookmarkStart w:id="664" w:name="_Ref_ContractCompanion_9kb9Ur7HG"/>
      <w:r w:rsidRPr="0077466E">
        <w:t>The Supplier shall notify the Authority as soon as reasonably practicable and, in any event within 2 Working Days, if the Supplier or any Sub-contractor ceases to be compliant with the Certification Requirements and shall or shall procure that the relevant Sub-contractor shall:</w:t>
      </w:r>
      <w:bookmarkEnd w:id="663"/>
      <w:r w:rsidRPr="0077466E">
        <w:t xml:space="preserve"> </w:t>
      </w:r>
      <w:bookmarkEnd w:id="664"/>
    </w:p>
    <w:p w14:paraId="07E98C84" w14:textId="77777777" w:rsidR="00F67E9E" w:rsidRPr="0077466E" w:rsidRDefault="00F67E9E" w:rsidP="00F67E9E">
      <w:pPr>
        <w:pStyle w:val="Numbered111"/>
        <w:tabs>
          <w:tab w:val="clear" w:pos="1800"/>
          <w:tab w:val="num" w:pos="1530"/>
        </w:tabs>
        <w:ind w:left="1530" w:hanging="810"/>
      </w:pPr>
      <w:r w:rsidRPr="0077466E">
        <w:t>immediately ceases receiving or Processing Authority Data; and</w:t>
      </w:r>
    </w:p>
    <w:p w14:paraId="25C05A47" w14:textId="77777777" w:rsidR="00F67E9E" w:rsidRPr="0077466E" w:rsidRDefault="00F67E9E" w:rsidP="00F67E9E">
      <w:pPr>
        <w:pStyle w:val="Numbered111"/>
        <w:tabs>
          <w:tab w:val="clear" w:pos="1800"/>
          <w:tab w:val="num" w:pos="1530"/>
        </w:tabs>
        <w:ind w:left="1530" w:hanging="810"/>
      </w:pPr>
      <w:r w:rsidRPr="0077466E">
        <w:t xml:space="preserve">procure that the relevant Sub-contractor promptly returns, destroys and/or erases the Authority Data in accordance with Baseline Security Requirements. </w:t>
      </w:r>
    </w:p>
    <w:p w14:paraId="5F5423B8" w14:textId="77777777" w:rsidR="00F67E9E" w:rsidRPr="0077466E" w:rsidRDefault="00F67E9E" w:rsidP="00F67E9E">
      <w:pPr>
        <w:pStyle w:val="Numbered11"/>
        <w:tabs>
          <w:tab w:val="clear" w:pos="720"/>
        </w:tabs>
      </w:pPr>
      <w:r w:rsidRPr="0077466E">
        <w:t>The Authority may agree to exempt in whole or part the Supplier or any Sub-contractor from the Certification Requirements. Any exemption must be in writing to be effective. The Supplier must include the exemption in the Security Management Plan.</w:t>
      </w:r>
    </w:p>
    <w:p w14:paraId="39EB2016" w14:textId="77777777" w:rsidR="00F67E9E" w:rsidRPr="0077466E" w:rsidRDefault="00F67E9E" w:rsidP="00F67E9E">
      <w:pPr>
        <w:pStyle w:val="Numbered1"/>
        <w:tabs>
          <w:tab w:val="clear" w:pos="720"/>
        </w:tabs>
      </w:pPr>
      <w:bookmarkStart w:id="665" w:name="_Ref_ContractCompanion_9kb9Ur8CA"/>
      <w:bookmarkStart w:id="666" w:name="_Ref_ContractCompanion_9kb9Ur8HD"/>
      <w:bookmarkStart w:id="667" w:name="_9kR3WTrAG8CLJeJfifw5q8MMLkQzJeozduBRGJa"/>
      <w:r w:rsidRPr="0077466E">
        <w:t>Security Testing</w:t>
      </w:r>
      <w:bookmarkEnd w:id="665"/>
      <w:bookmarkEnd w:id="666"/>
      <w:bookmarkEnd w:id="667"/>
    </w:p>
    <w:p w14:paraId="0C3AC875" w14:textId="77777777" w:rsidR="00F67E9E" w:rsidRPr="0077466E" w:rsidRDefault="00F67E9E" w:rsidP="00F67E9E">
      <w:pPr>
        <w:pStyle w:val="Numbered11"/>
        <w:tabs>
          <w:tab w:val="clear" w:pos="720"/>
        </w:tabs>
      </w:pPr>
      <w:bookmarkStart w:id="668" w:name="_Ref_ContractCompanion_9kb9Ur7HJ"/>
      <w:bookmarkStart w:id="669" w:name="_Ref_ContractCompanion_9kb9Ur892"/>
      <w:r w:rsidRPr="0077466E">
        <w:t xml:space="preserve">The Supplier shall, at its own cost and expense: </w:t>
      </w:r>
      <w:bookmarkEnd w:id="668"/>
      <w:bookmarkEnd w:id="669"/>
    </w:p>
    <w:p w14:paraId="4628E986" w14:textId="77777777" w:rsidR="00F67E9E" w:rsidRPr="0077466E" w:rsidRDefault="00F67E9E" w:rsidP="00F67E9E">
      <w:pPr>
        <w:pStyle w:val="Numbered111"/>
        <w:tabs>
          <w:tab w:val="clear" w:pos="1800"/>
          <w:tab w:val="num" w:pos="1530"/>
        </w:tabs>
        <w:ind w:left="1530" w:hanging="810"/>
      </w:pPr>
      <w:bookmarkStart w:id="670" w:name="_9kR3WTrAG8CDDMHB044qxDy122I94355BE0WbNE"/>
      <w:bookmarkStart w:id="671" w:name="_Ref_ContractCompanion_9kb9Ur897"/>
      <w:r w:rsidRPr="0077466E">
        <w:t xml:space="preserve">procure testing of the Core Information Management System by a CHECK Service Provider or a CREST Service Provider (an </w:t>
      </w:r>
      <w:r>
        <w:t>“</w:t>
      </w:r>
      <w:r w:rsidRPr="0077466E">
        <w:rPr>
          <w:rStyle w:val="StdBodyTextBoldChar"/>
          <w:rFonts w:eastAsia="Arial" w:cs="Arial"/>
        </w:rPr>
        <w:t>IT</w:t>
      </w:r>
      <w:r w:rsidRPr="0077466E">
        <w:t xml:space="preserve"> </w:t>
      </w:r>
      <w:r w:rsidRPr="0077466E">
        <w:rPr>
          <w:rStyle w:val="StdBodyTextBoldChar"/>
          <w:rFonts w:eastAsia="Arial" w:cs="Arial"/>
        </w:rPr>
        <w:t>Health Check</w:t>
      </w:r>
      <w:r>
        <w:t>”</w:t>
      </w:r>
      <w:r w:rsidRPr="0077466E">
        <w:t>):</w:t>
      </w:r>
      <w:bookmarkEnd w:id="670"/>
      <w:r w:rsidRPr="0077466E">
        <w:t xml:space="preserve"> </w:t>
      </w:r>
      <w:bookmarkEnd w:id="671"/>
    </w:p>
    <w:p w14:paraId="2A939C49" w14:textId="77777777" w:rsidR="00F67E9E" w:rsidRPr="0077466E" w:rsidRDefault="00F67E9E" w:rsidP="00F67E9E">
      <w:pPr>
        <w:pStyle w:val="Numbered111a"/>
        <w:tabs>
          <w:tab w:val="clear" w:pos="2520"/>
          <w:tab w:val="num" w:pos="2160"/>
        </w:tabs>
        <w:ind w:left="2160"/>
      </w:pPr>
      <w:r w:rsidRPr="0077466E">
        <w:t xml:space="preserve">prior to it submitting the Security Management Plan to the Authority for an Accreditation Decision; </w:t>
      </w:r>
    </w:p>
    <w:p w14:paraId="7BDF77DB" w14:textId="77777777" w:rsidR="00F67E9E" w:rsidRPr="0077466E" w:rsidRDefault="00F67E9E" w:rsidP="00F67E9E">
      <w:pPr>
        <w:pStyle w:val="Numbered111a"/>
        <w:tabs>
          <w:tab w:val="clear" w:pos="2520"/>
          <w:tab w:val="num" w:pos="2160"/>
        </w:tabs>
        <w:ind w:left="2160"/>
      </w:pPr>
      <w:r w:rsidRPr="0077466E">
        <w:t>before the Supplier is given permission by the Authority to Process or manage any Authority Data;</w:t>
      </w:r>
    </w:p>
    <w:p w14:paraId="4705F682" w14:textId="77777777" w:rsidR="00F67E9E" w:rsidRPr="0077466E" w:rsidRDefault="00F67E9E" w:rsidP="00F67E9E">
      <w:pPr>
        <w:pStyle w:val="Numbered111a"/>
        <w:tabs>
          <w:tab w:val="clear" w:pos="2520"/>
          <w:tab w:val="num" w:pos="2160"/>
        </w:tabs>
        <w:ind w:left="2160"/>
      </w:pPr>
      <w:r w:rsidRPr="0077466E">
        <w:t xml:space="preserve">if directed to do so by the Authority; and </w:t>
      </w:r>
    </w:p>
    <w:p w14:paraId="4ACEAD12" w14:textId="77777777" w:rsidR="00F67E9E" w:rsidRPr="0077466E" w:rsidRDefault="00F67E9E" w:rsidP="00F67E9E">
      <w:pPr>
        <w:pStyle w:val="Numbered111a"/>
        <w:tabs>
          <w:tab w:val="clear" w:pos="2520"/>
          <w:tab w:val="num" w:pos="2160"/>
        </w:tabs>
        <w:ind w:left="2160"/>
      </w:pPr>
      <w:r w:rsidRPr="0077466E">
        <w:t>once every 12 months during the Term.</w:t>
      </w:r>
    </w:p>
    <w:p w14:paraId="75D26F31" w14:textId="77777777" w:rsidR="00F67E9E" w:rsidRPr="0077466E" w:rsidRDefault="00F67E9E" w:rsidP="00F67E9E">
      <w:pPr>
        <w:pStyle w:val="Numbered111"/>
        <w:tabs>
          <w:tab w:val="clear" w:pos="1800"/>
          <w:tab w:val="num" w:pos="1530"/>
        </w:tabs>
        <w:ind w:left="1530" w:hanging="810"/>
      </w:pPr>
      <w:r w:rsidRPr="0077466E">
        <w:t>conduct vulnerability scanning and assessments of the Core Information Management System monthly;</w:t>
      </w:r>
    </w:p>
    <w:p w14:paraId="25009AF8" w14:textId="77777777" w:rsidR="00F67E9E" w:rsidRPr="0077466E" w:rsidRDefault="00F67E9E" w:rsidP="00F67E9E">
      <w:pPr>
        <w:pStyle w:val="Numbered111"/>
        <w:tabs>
          <w:tab w:val="clear" w:pos="1800"/>
          <w:tab w:val="num" w:pos="1530"/>
        </w:tabs>
        <w:ind w:left="1530" w:hanging="810"/>
      </w:pPr>
      <w:r w:rsidRPr="0077466E">
        <w:t>conduct an assessment as soon as reasonably practicable following receipt by the Supplier or any of its Sub-contractors of a critical vulnerability alert from a supplier of any software or other component of the Core Information Management System to determine whether the vulnerability affects the Core Information Management System; and</w:t>
      </w:r>
    </w:p>
    <w:p w14:paraId="2345F2CA" w14:textId="77777777" w:rsidR="00F67E9E" w:rsidRPr="0077466E" w:rsidRDefault="00F67E9E" w:rsidP="00F67E9E">
      <w:pPr>
        <w:pStyle w:val="Numbered111"/>
        <w:tabs>
          <w:tab w:val="clear" w:pos="1800"/>
          <w:tab w:val="num" w:pos="1530"/>
        </w:tabs>
        <w:ind w:left="1530" w:hanging="810"/>
      </w:pPr>
      <w:r w:rsidRPr="0077466E">
        <w:t xml:space="preserve">conduct such other tests as are required by: </w:t>
      </w:r>
    </w:p>
    <w:p w14:paraId="4D7FE8ED" w14:textId="77777777" w:rsidR="00F67E9E" w:rsidRPr="0077466E" w:rsidRDefault="00F67E9E" w:rsidP="00F67E9E">
      <w:pPr>
        <w:pStyle w:val="Numbered111a"/>
        <w:tabs>
          <w:tab w:val="clear" w:pos="2520"/>
          <w:tab w:val="num" w:pos="2160"/>
        </w:tabs>
        <w:ind w:left="2160"/>
      </w:pPr>
      <w:r w:rsidRPr="0077466E">
        <w:t xml:space="preserve">any Remediation Action Plans; </w:t>
      </w:r>
    </w:p>
    <w:p w14:paraId="3F17B91E" w14:textId="77777777" w:rsidR="00F67E9E" w:rsidRPr="0077466E" w:rsidRDefault="00F67E9E" w:rsidP="00F67E9E">
      <w:pPr>
        <w:pStyle w:val="Numbered111a"/>
        <w:tabs>
          <w:tab w:val="clear" w:pos="2520"/>
          <w:tab w:val="num" w:pos="2160"/>
        </w:tabs>
        <w:ind w:left="2160"/>
      </w:pPr>
      <w:r w:rsidRPr="0077466E">
        <w:t>the ISO/IEC 27001 (at least ISO/IEC 27001:2013) certification requirements;</w:t>
      </w:r>
    </w:p>
    <w:p w14:paraId="0C2598C1" w14:textId="77777777" w:rsidR="00F67E9E" w:rsidRPr="0077466E" w:rsidRDefault="00F67E9E" w:rsidP="00F67E9E">
      <w:pPr>
        <w:pStyle w:val="Numbered111a"/>
        <w:tabs>
          <w:tab w:val="clear" w:pos="2520"/>
          <w:tab w:val="num" w:pos="2160"/>
        </w:tabs>
        <w:ind w:left="2160"/>
      </w:pPr>
      <w:r w:rsidRPr="0077466E">
        <w:t>the Security Management Plan; and</w:t>
      </w:r>
    </w:p>
    <w:p w14:paraId="1961EA53" w14:textId="77777777" w:rsidR="00F67E9E" w:rsidRPr="0077466E" w:rsidRDefault="00F67E9E" w:rsidP="00F67E9E">
      <w:pPr>
        <w:pStyle w:val="Numbered111a"/>
        <w:tabs>
          <w:tab w:val="clear" w:pos="2520"/>
          <w:tab w:val="num" w:pos="2160"/>
        </w:tabs>
        <w:ind w:left="2160"/>
      </w:pPr>
      <w:r w:rsidRPr="0077466E">
        <w:t>the Authority following a Breach of Security or a significant change to the components or architecture of the Core Information Management System,</w:t>
      </w:r>
    </w:p>
    <w:p w14:paraId="5C672D32" w14:textId="77777777" w:rsidR="00F67E9E" w:rsidRPr="001B1EB0" w:rsidRDefault="00F67E9E" w:rsidP="00F67E9E">
      <w:pPr>
        <w:pStyle w:val="StdBodyText4"/>
        <w:ind w:left="2160" w:hanging="720"/>
        <w:rPr>
          <w:rFonts w:cs="Arial"/>
        </w:rPr>
      </w:pPr>
      <w:r w:rsidRPr="0077466E">
        <w:rPr>
          <w:rFonts w:cs="Arial"/>
        </w:rPr>
        <w:t xml:space="preserve">(each a </w:t>
      </w:r>
      <w:r>
        <w:rPr>
          <w:rFonts w:cs="Arial"/>
        </w:rPr>
        <w:t>“</w:t>
      </w:r>
      <w:r w:rsidRPr="0077466E">
        <w:rPr>
          <w:rStyle w:val="StdBodyTextBoldChar"/>
          <w:rFonts w:cs="Arial"/>
        </w:rPr>
        <w:t>Security Test</w:t>
      </w:r>
      <w:r>
        <w:rPr>
          <w:rFonts w:cs="Arial"/>
        </w:rPr>
        <w:t>”</w:t>
      </w:r>
      <w:r w:rsidRPr="0077466E">
        <w:rPr>
          <w:rFonts w:cs="Arial"/>
        </w:rPr>
        <w:t>).</w:t>
      </w:r>
    </w:p>
    <w:p w14:paraId="7D3DB618" w14:textId="77777777" w:rsidR="00F67E9E" w:rsidRPr="001B1EB0" w:rsidRDefault="00F67E9E" w:rsidP="00F67E9E">
      <w:pPr>
        <w:pStyle w:val="Numbered11"/>
        <w:tabs>
          <w:tab w:val="clear" w:pos="720"/>
        </w:tabs>
      </w:pPr>
      <w:r w:rsidRPr="001B1EB0">
        <w:t xml:space="preserve">The Supplier shall provide the Authority with the results of such Security Tests (in a form approved by the Authority in advance) as soon as practicable, and in any case within 10 Working Days, after completion of each Security Test. </w:t>
      </w:r>
    </w:p>
    <w:p w14:paraId="437FBC3E" w14:textId="77777777" w:rsidR="00F67E9E" w:rsidRPr="001B1EB0" w:rsidRDefault="00F67E9E" w:rsidP="00F67E9E">
      <w:pPr>
        <w:pStyle w:val="Numbered11"/>
        <w:tabs>
          <w:tab w:val="clear" w:pos="720"/>
        </w:tabs>
      </w:pPr>
      <w:bookmarkStart w:id="672" w:name="_Ref_ContractCompanion_9kb9Ur8GG"/>
      <w:bookmarkStart w:id="673" w:name="_9kR3WTrAG8CKMOJUM2upmv406CE0nmubIIUu2MJ"/>
      <w:r w:rsidRPr="001B1EB0">
        <w:t>In relation to each IT Health Check, the Supplier shall:</w:t>
      </w:r>
      <w:bookmarkEnd w:id="672"/>
      <w:bookmarkEnd w:id="673"/>
    </w:p>
    <w:p w14:paraId="16656460" w14:textId="77777777" w:rsidR="00F67E9E" w:rsidRPr="001B1EB0" w:rsidRDefault="00F67E9E" w:rsidP="00F67E9E">
      <w:pPr>
        <w:pStyle w:val="Numbered111"/>
        <w:tabs>
          <w:tab w:val="clear" w:pos="1800"/>
          <w:tab w:val="num" w:pos="1530"/>
        </w:tabs>
        <w:ind w:left="1530" w:hanging="810"/>
      </w:pPr>
      <w:r w:rsidRPr="001B1EB0">
        <w:t>agree with the Authority the aim and scope of the IT Health Check;</w:t>
      </w:r>
    </w:p>
    <w:p w14:paraId="4AC88626" w14:textId="77777777" w:rsidR="00F67E9E" w:rsidRPr="001B1EB0" w:rsidRDefault="00F67E9E" w:rsidP="00F67E9E">
      <w:pPr>
        <w:pStyle w:val="Numbered111"/>
        <w:tabs>
          <w:tab w:val="clear" w:pos="1800"/>
          <w:tab w:val="num" w:pos="1530"/>
        </w:tabs>
        <w:ind w:left="1530" w:hanging="810"/>
      </w:pPr>
      <w:r w:rsidRPr="001B1EB0">
        <w:t>promptly, and in any case no later than [</w:t>
      </w:r>
      <w:r w:rsidRPr="003843A3">
        <w:rPr>
          <w:highlight w:val="yellow"/>
        </w:rPr>
        <w:t>10</w:t>
      </w:r>
      <w:r w:rsidRPr="001B1EB0">
        <w:t>] Working Days, following receipt of each IT Health Check report, provide the Authority with a copy of the IT Health Check report;</w:t>
      </w:r>
    </w:p>
    <w:p w14:paraId="09CF4064" w14:textId="77777777" w:rsidR="00F67E9E" w:rsidRPr="001B1EB0" w:rsidRDefault="00F67E9E" w:rsidP="00F67E9E">
      <w:pPr>
        <w:pStyle w:val="Numbered111"/>
        <w:tabs>
          <w:tab w:val="clear" w:pos="1800"/>
          <w:tab w:val="num" w:pos="1530"/>
        </w:tabs>
        <w:ind w:left="1530" w:hanging="810"/>
      </w:pPr>
      <w:bookmarkStart w:id="674" w:name="_9kR3WTrAG8CLGHJFvt50mk23wCJ8q3NCyaKKWw4"/>
      <w:bookmarkStart w:id="675" w:name="_Ref_ContractCompanion_9kb9Ur8HA"/>
      <w:r w:rsidRPr="001B1EB0">
        <w:t>in the event that the IT Health Check report identifies any vulnerabilities, the Supplier shall:</w:t>
      </w:r>
      <w:bookmarkEnd w:id="674"/>
      <w:r w:rsidRPr="001B1EB0">
        <w:t xml:space="preserve"> </w:t>
      </w:r>
      <w:bookmarkEnd w:id="675"/>
    </w:p>
    <w:p w14:paraId="6EE5F4F9" w14:textId="77777777" w:rsidR="00F67E9E" w:rsidRPr="001B1EB0" w:rsidRDefault="00F67E9E" w:rsidP="00F67E9E">
      <w:pPr>
        <w:pStyle w:val="Numbered111a"/>
        <w:tabs>
          <w:tab w:val="clear" w:pos="2520"/>
          <w:tab w:val="num" w:pos="2160"/>
        </w:tabs>
        <w:ind w:left="2160"/>
      </w:pPr>
      <w:bookmarkStart w:id="676" w:name="_9kR3WTrAH9CG9FJFnn5vuruzjx2yzrwuyEF14AC"/>
      <w:bookmarkStart w:id="677" w:name="_9kR3WTrAG8CGAGJFnn5vuruzjx2yzrwuyEF14AC"/>
      <w:bookmarkStart w:id="678" w:name="_Ref_ContractCompanion_9kb9Ur8BC"/>
      <w:r w:rsidRPr="001B1EB0">
        <w:t xml:space="preserve">prepare a remedial plan for approval by the Authority (each a </w:t>
      </w:r>
      <w:r>
        <w:t>“</w:t>
      </w:r>
      <w:r w:rsidRPr="00AB3957">
        <w:rPr>
          <w:rStyle w:val="StdBodyTextBoldChar"/>
          <w:rFonts w:eastAsiaTheme="minorHAnsi" w:cs="Arial"/>
        </w:rPr>
        <w:t>Remediation Action Plan</w:t>
      </w:r>
      <w:r>
        <w:t>”</w:t>
      </w:r>
      <w:r w:rsidRPr="001B1EB0">
        <w:t>) which sets out in respect of each vulnerability identified in the IT Health Check report:</w:t>
      </w:r>
      <w:bookmarkEnd w:id="676"/>
      <w:bookmarkEnd w:id="677"/>
      <w:r w:rsidRPr="001B1EB0">
        <w:t xml:space="preserve"> </w:t>
      </w:r>
      <w:bookmarkEnd w:id="678"/>
    </w:p>
    <w:p w14:paraId="06F3DA97" w14:textId="77777777" w:rsidR="00F67E9E" w:rsidRPr="001B1EB0" w:rsidRDefault="00F67E9E" w:rsidP="00F67E9E">
      <w:pPr>
        <w:pStyle w:val="Numbered111a"/>
        <w:tabs>
          <w:tab w:val="clear" w:pos="2520"/>
          <w:tab w:val="num" w:pos="2160"/>
        </w:tabs>
        <w:ind w:left="2160"/>
      </w:pPr>
      <w:r w:rsidRPr="001B1EB0">
        <w:t xml:space="preserve">how the vulnerability will be remedied; </w:t>
      </w:r>
    </w:p>
    <w:p w14:paraId="54157625" w14:textId="77777777" w:rsidR="00F67E9E" w:rsidRPr="001B1EB0" w:rsidRDefault="00F67E9E" w:rsidP="00F67E9E">
      <w:pPr>
        <w:pStyle w:val="Numbered111a"/>
        <w:tabs>
          <w:tab w:val="clear" w:pos="2520"/>
          <w:tab w:val="num" w:pos="2160"/>
        </w:tabs>
        <w:ind w:left="2160"/>
      </w:pPr>
      <w:r w:rsidRPr="001B1EB0">
        <w:t>unless otherwise agreed in writing between the Parties, the date by which the vulnerability will be remedied, which must be:</w:t>
      </w:r>
    </w:p>
    <w:p w14:paraId="5662587C" w14:textId="77777777" w:rsidR="00F67E9E" w:rsidRPr="001B1EB0" w:rsidRDefault="00F67E9E" w:rsidP="00F67E9E">
      <w:pPr>
        <w:pStyle w:val="Numbered111a"/>
        <w:tabs>
          <w:tab w:val="clear" w:pos="2520"/>
          <w:tab w:val="num" w:pos="2160"/>
        </w:tabs>
        <w:ind w:left="2160"/>
      </w:pPr>
      <w:r w:rsidRPr="001B1EB0">
        <w:t xml:space="preserve">within three months of the date the Supplier received the IT Health Check report in the case of any vulnerability categorised with a severity of </w:t>
      </w:r>
      <w:r>
        <w:t>“</w:t>
      </w:r>
      <w:r w:rsidRPr="001B1EB0">
        <w:t>medium</w:t>
      </w:r>
      <w:r>
        <w:t>”</w:t>
      </w:r>
      <w:r w:rsidRPr="001B1EB0">
        <w:t>;</w:t>
      </w:r>
    </w:p>
    <w:p w14:paraId="15E96E3B" w14:textId="77777777" w:rsidR="00F67E9E" w:rsidRPr="001B1EB0" w:rsidRDefault="00F67E9E" w:rsidP="00F67E9E">
      <w:pPr>
        <w:pStyle w:val="Numbered111a"/>
        <w:tabs>
          <w:tab w:val="clear" w:pos="2520"/>
          <w:tab w:val="num" w:pos="2160"/>
        </w:tabs>
        <w:ind w:left="2160"/>
      </w:pPr>
      <w:r w:rsidRPr="001B1EB0">
        <w:t xml:space="preserve">within one month of the date the Supplier received the IT Health Check report in the case of any vulnerability categorised with a severity of </w:t>
      </w:r>
      <w:r>
        <w:t>“</w:t>
      </w:r>
      <w:r w:rsidRPr="001B1EB0">
        <w:t>high</w:t>
      </w:r>
      <w:r>
        <w:t>”</w:t>
      </w:r>
      <w:r w:rsidRPr="001B1EB0">
        <w:t>; and</w:t>
      </w:r>
    </w:p>
    <w:p w14:paraId="37369777" w14:textId="77777777" w:rsidR="00F67E9E" w:rsidRPr="001B1EB0" w:rsidRDefault="00F67E9E" w:rsidP="00F67E9E">
      <w:pPr>
        <w:pStyle w:val="Numbered111a"/>
        <w:tabs>
          <w:tab w:val="clear" w:pos="2520"/>
          <w:tab w:val="num" w:pos="2160"/>
        </w:tabs>
        <w:ind w:left="2160"/>
      </w:pPr>
      <w:r w:rsidRPr="001B1EB0">
        <w:t xml:space="preserve">within </w:t>
      </w:r>
      <w:r>
        <w:t>7</w:t>
      </w:r>
      <w:r w:rsidRPr="001B1EB0">
        <w:t xml:space="preserve"> Working Days of the date the Supplier received the IT Health Check report in the case of any vulnerability categorised with a severity of </w:t>
      </w:r>
      <w:r>
        <w:t>“</w:t>
      </w:r>
      <w:r w:rsidRPr="001B1EB0">
        <w:t>critical</w:t>
      </w:r>
      <w:r>
        <w:t>”</w:t>
      </w:r>
      <w:r w:rsidRPr="001B1EB0">
        <w:t>;</w:t>
      </w:r>
    </w:p>
    <w:p w14:paraId="445D7564" w14:textId="77777777" w:rsidR="00F67E9E" w:rsidRPr="001B1EB0" w:rsidRDefault="00F67E9E" w:rsidP="00F67E9E">
      <w:pPr>
        <w:pStyle w:val="Numbered111a"/>
        <w:tabs>
          <w:tab w:val="clear" w:pos="2520"/>
          <w:tab w:val="num" w:pos="2160"/>
        </w:tabs>
        <w:ind w:left="2160"/>
      </w:pPr>
      <w:r w:rsidRPr="001B1EB0">
        <w:t>the tests which the Supplier shall perform or procure to be performed (which may, at the discretion of the Authority, include a further IT Health Check) to confirm that the vulnerability has been remedied;</w:t>
      </w:r>
    </w:p>
    <w:p w14:paraId="506D49E7" w14:textId="77777777" w:rsidR="00F67E9E" w:rsidRPr="001B1EB0" w:rsidRDefault="00F67E9E" w:rsidP="00F67E9E">
      <w:pPr>
        <w:pStyle w:val="Numbered111a"/>
        <w:tabs>
          <w:tab w:val="clear" w:pos="2520"/>
          <w:tab w:val="num" w:pos="2160"/>
        </w:tabs>
        <w:ind w:left="2160"/>
      </w:pPr>
      <w:r w:rsidRPr="001B1EB0">
        <w:t xml:space="preserve">comply with the </w:t>
      </w:r>
      <w:r>
        <w:t>Remediation Action</w:t>
      </w:r>
      <w:r w:rsidRPr="001B1EB0">
        <w:t xml:space="preserve"> Plan; and</w:t>
      </w:r>
    </w:p>
    <w:p w14:paraId="0BB91530" w14:textId="77777777" w:rsidR="00F67E9E" w:rsidRPr="001B1EB0" w:rsidRDefault="00F67E9E" w:rsidP="00F67E9E">
      <w:pPr>
        <w:pStyle w:val="Numbered111a"/>
        <w:tabs>
          <w:tab w:val="clear" w:pos="2520"/>
          <w:tab w:val="num" w:pos="2160"/>
        </w:tabs>
        <w:ind w:left="2160"/>
      </w:pPr>
      <w:bookmarkStart w:id="679" w:name="_Hlk88231924"/>
      <w:r w:rsidRPr="001B1EB0">
        <w:t xml:space="preserve">conduct such further Security Tests on the Core Information Management System </w:t>
      </w:r>
      <w:bookmarkEnd w:id="679"/>
      <w:r>
        <w:t>to provide independent evidence that the Supplier has complied with</w:t>
      </w:r>
      <w:r w:rsidRPr="001B1EB0">
        <w:t xml:space="preserve"> the </w:t>
      </w:r>
      <w:r>
        <w:t>Remediation Action</w:t>
      </w:r>
      <w:r w:rsidRPr="001B1EB0">
        <w:t xml:space="preserve"> Plan.</w:t>
      </w:r>
    </w:p>
    <w:p w14:paraId="566E85FD" w14:textId="7C2FE360" w:rsidR="00F67E9E" w:rsidRPr="0077466E" w:rsidRDefault="00F67E9E" w:rsidP="00F67E9E">
      <w:pPr>
        <w:pStyle w:val="Numbered11"/>
        <w:tabs>
          <w:tab w:val="clear" w:pos="720"/>
        </w:tabs>
      </w:pPr>
      <w:bookmarkStart w:id="680" w:name="_9kR3WTrAG8CKFHKgRjVQhyE36NyZ5LMMCv0C3x0"/>
      <w:bookmarkStart w:id="681" w:name="_9kR3WTrAG8CKJLKgRjVQhyE36NyZ5LMMCv0C3x0"/>
      <w:bookmarkStart w:id="682" w:name="_Ref_ContractCompanion_9kb9Ur8G9"/>
      <w:r w:rsidRPr="0077466E">
        <w:t>The Security Tests shall be designed and implemented by the Supplier so as to minimise the impact on the delivery of the Services and the date, timing, content and conduct of such Security Tests shall be agreed in advance with the Authority.</w:t>
      </w:r>
      <w:bookmarkEnd w:id="680"/>
      <w:bookmarkEnd w:id="681"/>
      <w:r w:rsidRPr="0077466E">
        <w:t xml:space="preserve"> Subject to the Supplier complying with this </w:t>
      </w:r>
      <w:bookmarkStart w:id="683" w:name="_9kMHG5YVtCIAEMHJMiTlXSj0G58P0b7NOOEx2E5"/>
      <w:bookmarkStart w:id="684" w:name="_9kMHG5YVtCIAEMLNMiTlXSj0G58P0b7NOOEx2E5"/>
      <w:r w:rsidRPr="0077466E">
        <w:t xml:space="preserve">Paragraph </w:t>
      </w:r>
      <w:r w:rsidRPr="0077466E">
        <w:fldChar w:fldCharType="begin"/>
      </w:r>
      <w:r w:rsidRPr="0077466E">
        <w:instrText xml:space="preserve"> REF _Ref_ContractCompanion_9kb9Ur8G9 \n \h \t \* MERGEFORMAT </w:instrText>
      </w:r>
      <w:r w:rsidRPr="0077466E">
        <w:fldChar w:fldCharType="separate"/>
      </w:r>
      <w:r w:rsidR="00302D39">
        <w:t>8.4</w:t>
      </w:r>
      <w:r w:rsidRPr="0077466E">
        <w:fldChar w:fldCharType="end"/>
      </w:r>
      <w:bookmarkEnd w:id="683"/>
      <w:bookmarkEnd w:id="684"/>
      <w:r w:rsidRPr="0077466E">
        <w:t>, if a Security Test causes a Performance Failure in a particular Measurement Period, the Supplier shall be granted relief in respect of such Performance Failure for that Measurement Period.</w:t>
      </w:r>
      <w:bookmarkEnd w:id="682"/>
    </w:p>
    <w:p w14:paraId="6917138C" w14:textId="3D32CB08" w:rsidR="00F67E9E" w:rsidRPr="0077466E" w:rsidRDefault="00F67E9E" w:rsidP="00F67E9E">
      <w:pPr>
        <w:pStyle w:val="Numbered11"/>
        <w:tabs>
          <w:tab w:val="clear" w:pos="720"/>
        </w:tabs>
      </w:pPr>
      <w:r w:rsidRPr="0077466E">
        <w:t>The Authority shall be entitled to send a representative to witness the conduct of the Security Tests.</w:t>
      </w:r>
      <w:r>
        <w:t xml:space="preserve"> </w:t>
      </w:r>
      <w:r w:rsidRPr="0077466E">
        <w:t>Without prejudice to the Supplier</w:t>
      </w:r>
      <w:r>
        <w:t>’</w:t>
      </w:r>
      <w:r w:rsidRPr="0077466E">
        <w:t xml:space="preserve">s obligations under </w:t>
      </w:r>
      <w:bookmarkStart w:id="685" w:name="_9kMHG5YVtCIAEMOQLWO4wrox628EG2powdKKWw4"/>
      <w:r w:rsidRPr="0077466E">
        <w:t xml:space="preserve">Paragraph </w:t>
      </w:r>
      <w:r w:rsidRPr="0077466E">
        <w:fldChar w:fldCharType="begin"/>
      </w:r>
      <w:r w:rsidRPr="0077466E">
        <w:instrText xml:space="preserve"> REF _Ref_ContractCompanion_9kb9Ur8GG \n \h \t \* MERGEFORMAT </w:instrText>
      </w:r>
      <w:r w:rsidRPr="0077466E">
        <w:fldChar w:fldCharType="separate"/>
      </w:r>
      <w:r w:rsidR="00302D39">
        <w:t>8.3</w:t>
      </w:r>
      <w:r w:rsidRPr="0077466E">
        <w:fldChar w:fldCharType="end"/>
      </w:r>
      <w:bookmarkEnd w:id="685"/>
      <w:r w:rsidRPr="0077466E">
        <w:t>, the Supplier shall provide the Authority with the results of such Security Tests (in a form approved by the Authority in advance) as soon as practicable, and in any case no later than 10 Working Days, after completion of each Security Test.</w:t>
      </w:r>
    </w:p>
    <w:p w14:paraId="3555DD7E" w14:textId="77777777" w:rsidR="00F67E9E" w:rsidRPr="001B1EB0" w:rsidRDefault="00F67E9E" w:rsidP="00F67E9E">
      <w:pPr>
        <w:pStyle w:val="Numbered11"/>
        <w:tabs>
          <w:tab w:val="clear" w:pos="720"/>
        </w:tabs>
      </w:pPr>
      <w:bookmarkStart w:id="686" w:name="_9kR3WTrAG8CHAFMiRjDOE2y947O6w02HCFQ8BVJ"/>
      <w:bookmarkStart w:id="687" w:name="_Ref_ContractCompanion_9kb9Ur8CD"/>
      <w:r w:rsidRPr="001B1EB0">
        <w:t>The Authority and/or its authorised representatives shall be entitled, at any time and without giving notice to the Supplier, to carry out such tests (including penetration tests) as it may deem necessary in relation to the Service, the Information Management System and/or the Supplier</w:t>
      </w:r>
      <w:r>
        <w:t>’</w:t>
      </w:r>
      <w:r w:rsidRPr="001B1EB0">
        <w:t>s compliance with the Security Management Plan (</w:t>
      </w:r>
      <w:r>
        <w:t>“</w:t>
      </w:r>
      <w:r w:rsidRPr="001B1EB0">
        <w:rPr>
          <w:rStyle w:val="StdBodyTextBoldChar"/>
          <w:rFonts w:eastAsia="Arial" w:cs="Arial"/>
        </w:rPr>
        <w:t>Authority Security Tests</w:t>
      </w:r>
      <w:r>
        <w:t>”</w:t>
      </w:r>
      <w:r w:rsidRPr="001B1EB0">
        <w:t>).</w:t>
      </w:r>
      <w:bookmarkEnd w:id="686"/>
      <w:r>
        <w:t xml:space="preserve"> </w:t>
      </w:r>
      <w:r w:rsidRPr="001B1EB0">
        <w:t xml:space="preserve">The Authority shall take reasonable steps to notify the Supplier prior to carrying out such Authority Security Test to the extent that it is reasonably practicable for it to do so taking into account the nature of the Authority Security Test. </w:t>
      </w:r>
      <w:bookmarkEnd w:id="687"/>
    </w:p>
    <w:p w14:paraId="3A1EF960" w14:textId="77777777" w:rsidR="00F67E9E" w:rsidRPr="001B1EB0" w:rsidRDefault="00F67E9E" w:rsidP="00F67E9E">
      <w:pPr>
        <w:pStyle w:val="Numbered11"/>
        <w:tabs>
          <w:tab w:val="clear" w:pos="720"/>
        </w:tabs>
      </w:pPr>
      <w:r w:rsidRPr="001B1EB0">
        <w:t>The Authority shall notify the Supplier of the results of such Authority Security Tests after completion of each Authority Security Test.</w:t>
      </w:r>
      <w:r>
        <w:t xml:space="preserve"> </w:t>
      </w:r>
    </w:p>
    <w:p w14:paraId="5151A01B" w14:textId="77777777" w:rsidR="00F67E9E" w:rsidRPr="001B1EB0" w:rsidRDefault="00F67E9E" w:rsidP="00F67E9E">
      <w:pPr>
        <w:pStyle w:val="Numbered11"/>
        <w:tabs>
          <w:tab w:val="clear" w:pos="720"/>
        </w:tabs>
      </w:pPr>
      <w:bookmarkStart w:id="688" w:name="_9kR3WTrAG8CLMNOkRjDOE2y947OyZq7NCFW7iEU"/>
      <w:bookmarkStart w:id="689" w:name="_Ref_ContractCompanion_9kb9Ur8HG"/>
      <w:r w:rsidRPr="001B1EB0">
        <w:t>The Authority Security Tests shall be designed and implemented so as to minimise their impact on the delivery of the Services.</w:t>
      </w:r>
      <w:bookmarkEnd w:id="688"/>
      <w:r w:rsidRPr="001B1EB0">
        <w:t xml:space="preserve"> If an Authority Security Test causes Supplier Non-Performance, the Authority Security Test shall be treated as an Authority Cause, except where the root cause of the Supplier Non-Performance was a weakness or vulnerability exposed by the Authority Security Test.</w:t>
      </w:r>
      <w:bookmarkEnd w:id="689"/>
    </w:p>
    <w:p w14:paraId="4378098B" w14:textId="740B2CB0" w:rsidR="00F67E9E" w:rsidRPr="0077466E" w:rsidRDefault="00F67E9E" w:rsidP="00F67E9E">
      <w:pPr>
        <w:pStyle w:val="Numbered11"/>
        <w:tabs>
          <w:tab w:val="clear" w:pos="720"/>
        </w:tabs>
      </w:pPr>
      <w:bookmarkStart w:id="690" w:name="_9kR3WTrAG8CMGGPoVzzv9FBA0tA5uur9KLF1AOO"/>
      <w:bookmarkStart w:id="691" w:name="_Ref_ContractCompanion_9kb9Ur8HJ"/>
      <w:r w:rsidRPr="0077466E">
        <w:t xml:space="preserve">Without prejudice to the provisions of </w:t>
      </w:r>
      <w:bookmarkStart w:id="692" w:name="_9kMHG5YVtCIAENIJLHxv72om45yELAs5PE0cMMY"/>
      <w:r w:rsidRPr="0077466E">
        <w:t xml:space="preserve">Paragraph </w:t>
      </w:r>
      <w:r w:rsidRPr="0077466E">
        <w:fldChar w:fldCharType="begin"/>
      </w:r>
      <w:r w:rsidRPr="0077466E">
        <w:instrText xml:space="preserve"> REF _Ref_ContractCompanion_9kb9Ur8HA \w \h \t \* MERGEFORMAT </w:instrText>
      </w:r>
      <w:r w:rsidRPr="0077466E">
        <w:fldChar w:fldCharType="separate"/>
      </w:r>
      <w:r w:rsidR="00302D39">
        <w:t>8.3.3</w:t>
      </w:r>
      <w:r w:rsidRPr="0077466E">
        <w:fldChar w:fldCharType="end"/>
      </w:r>
      <w:bookmarkEnd w:id="692"/>
      <w:r w:rsidRPr="0077466E">
        <w:t xml:space="preserve">, where any Security Test carried out pursuant to this </w:t>
      </w:r>
      <w:bookmarkStart w:id="693" w:name="_9kMHG5YVtCIAENLgLhkhy7sAOONmS1Lgq1fwDTI"/>
      <w:r w:rsidRPr="0077466E">
        <w:t xml:space="preserve">Paragraph </w:t>
      </w:r>
      <w:r w:rsidRPr="0077466E">
        <w:fldChar w:fldCharType="begin"/>
      </w:r>
      <w:r w:rsidRPr="0077466E">
        <w:instrText xml:space="preserve"> REF _Ref_ContractCompanion_9kb9Ur8HD \w \n \h \t \* MERGEFORMAT </w:instrText>
      </w:r>
      <w:r w:rsidRPr="0077466E">
        <w:fldChar w:fldCharType="separate"/>
      </w:r>
      <w:r w:rsidR="00302D39">
        <w:t>8</w:t>
      </w:r>
      <w:r w:rsidRPr="0077466E">
        <w:fldChar w:fldCharType="end"/>
      </w:r>
      <w:bookmarkEnd w:id="693"/>
      <w:r w:rsidRPr="0077466E">
        <w:t xml:space="preserve"> reveals any actual or potential Breach of Security or weaknesses (including un-patched vulnerabilities, poor configuration and/or incorrect system management), the Supplier shall promptly notify the Authority of any changes to the Core Information Management System and/or the Security Management Plan (and the implementation thereof) which the Supplier proposes to make in order to correct such failure or weakness.</w:t>
      </w:r>
      <w:bookmarkEnd w:id="690"/>
      <w:r>
        <w:t xml:space="preserve"> </w:t>
      </w:r>
      <w:r w:rsidRPr="0077466E">
        <w:t>Subject to the Authority</w:t>
      </w:r>
      <w:r>
        <w:t>’</w:t>
      </w:r>
      <w:r w:rsidRPr="0077466E">
        <w:t>s prior written approval, the Supplier shall implement such changes to the Core Information Management System and/or the Security Management Plan and repeat the relevant Security Tests in accordance with the timetable agreed with the Authority or, otherwise, as soon as reasonably possible.</w:t>
      </w:r>
      <w:r>
        <w:t xml:space="preserve"> </w:t>
      </w:r>
      <w:bookmarkEnd w:id="691"/>
    </w:p>
    <w:p w14:paraId="6F12FC40" w14:textId="7EB11BF7" w:rsidR="00F67E9E" w:rsidRPr="0077466E" w:rsidRDefault="00F67E9E" w:rsidP="00F67E9E">
      <w:pPr>
        <w:pStyle w:val="Numbered11"/>
        <w:tabs>
          <w:tab w:val="clear" w:pos="720"/>
        </w:tabs>
      </w:pPr>
      <w:r w:rsidRPr="0077466E">
        <w:t xml:space="preserve">If the Authority unreasonably withholds its approval to the implementation of any changes proposed by the Supplier to the Security Management Plan in accordance with </w:t>
      </w:r>
      <w:bookmarkStart w:id="694" w:name="_9kMHG5YVtCIAENOPQmTlFQG40B69Q0bs9PEHY9k"/>
      <w:r w:rsidRPr="0077466E">
        <w:t xml:space="preserve">Paragraph </w:t>
      </w:r>
      <w:r w:rsidRPr="0077466E">
        <w:fldChar w:fldCharType="begin"/>
      </w:r>
      <w:r w:rsidRPr="0077466E">
        <w:instrText xml:space="preserve"> REF _Ref_ContractCompanion_9kb9Ur8HG \n \h \t \* MERGEFORMAT </w:instrText>
      </w:r>
      <w:r w:rsidRPr="0077466E">
        <w:fldChar w:fldCharType="separate"/>
      </w:r>
      <w:r w:rsidR="00302D39">
        <w:t>8.8</w:t>
      </w:r>
      <w:r w:rsidRPr="0077466E">
        <w:fldChar w:fldCharType="end"/>
      </w:r>
      <w:bookmarkEnd w:id="694"/>
      <w:r w:rsidRPr="0077466E">
        <w:t xml:space="preserve"> above, the Supplier shall not be deemed to be in breach of this Contract to the extent it can be shown that such breach: </w:t>
      </w:r>
    </w:p>
    <w:p w14:paraId="46640C86" w14:textId="77777777" w:rsidR="00F67E9E" w:rsidRPr="0077466E" w:rsidRDefault="00F67E9E" w:rsidP="00F67E9E">
      <w:pPr>
        <w:pStyle w:val="Numbered111"/>
        <w:tabs>
          <w:tab w:val="clear" w:pos="1800"/>
          <w:tab w:val="num" w:pos="1530"/>
        </w:tabs>
        <w:ind w:left="1530" w:hanging="810"/>
      </w:pPr>
      <w:r w:rsidRPr="0077466E">
        <w:t xml:space="preserve">has arisen as a direct result of the Authority unreasonably withholding its approval to the implementation of such proposed changes; and </w:t>
      </w:r>
    </w:p>
    <w:p w14:paraId="07415277" w14:textId="77777777" w:rsidR="00F67E9E" w:rsidRPr="0077466E" w:rsidRDefault="00F67E9E" w:rsidP="00F67E9E">
      <w:pPr>
        <w:pStyle w:val="Numbered111"/>
        <w:tabs>
          <w:tab w:val="clear" w:pos="1800"/>
          <w:tab w:val="num" w:pos="1530"/>
        </w:tabs>
        <w:ind w:left="1530" w:hanging="810"/>
      </w:pPr>
      <w:r w:rsidRPr="0077466E">
        <w:t>would have been avoided had the Authority given its approval to the implementation of such proposed changes.</w:t>
      </w:r>
      <w:r>
        <w:t xml:space="preserve"> </w:t>
      </w:r>
    </w:p>
    <w:p w14:paraId="70055447" w14:textId="77777777" w:rsidR="00F67E9E" w:rsidRPr="0077466E" w:rsidRDefault="00F67E9E" w:rsidP="00F67E9E">
      <w:pPr>
        <w:pStyle w:val="Numbered11"/>
        <w:tabs>
          <w:tab w:val="clear" w:pos="720"/>
        </w:tabs>
      </w:pPr>
      <w:r w:rsidRPr="0077466E">
        <w:t>For the avoidance of doubt, where a change to the Core Information Management System and/or the Security Management Plan is required to remedy non-compliance with the Risk Management Documentation, the Baseline Security Requirements and/or any obligation in this Contract, the Supplier shall effect such change at its own cost and expense.</w:t>
      </w:r>
      <w:r>
        <w:t xml:space="preserve"> </w:t>
      </w:r>
    </w:p>
    <w:p w14:paraId="177F18B6" w14:textId="476EF0B6" w:rsidR="00F67E9E" w:rsidRPr="0077466E" w:rsidRDefault="00F67E9E" w:rsidP="00F67E9E">
      <w:pPr>
        <w:pStyle w:val="Numbered11"/>
        <w:tabs>
          <w:tab w:val="clear" w:pos="720"/>
        </w:tabs>
      </w:pPr>
      <w:r w:rsidRPr="0077466E">
        <w:t xml:space="preserve">If any repeat Security Test carried out pursuant to </w:t>
      </w:r>
      <w:bookmarkStart w:id="695" w:name="_9kMHG5YVtCIAEOIIRqX11xBHDC2vC7wwtBMNH3C"/>
      <w:r w:rsidRPr="0077466E">
        <w:t xml:space="preserve">Paragraph </w:t>
      </w:r>
      <w:r w:rsidRPr="0077466E">
        <w:fldChar w:fldCharType="begin"/>
      </w:r>
      <w:r w:rsidRPr="0077466E">
        <w:instrText xml:space="preserve"> REF _Ref_ContractCompanion_9kb9Ur8HJ \n \h \t \* MERGEFORMAT </w:instrText>
      </w:r>
      <w:r w:rsidRPr="0077466E">
        <w:fldChar w:fldCharType="separate"/>
      </w:r>
      <w:r w:rsidR="00302D39">
        <w:t>8.9</w:t>
      </w:r>
      <w:r w:rsidRPr="0077466E">
        <w:fldChar w:fldCharType="end"/>
      </w:r>
      <w:bookmarkEnd w:id="695"/>
      <w:r w:rsidRPr="0077466E">
        <w:t xml:space="preserve"> reveals an actual or potential Breach of Security or weakness exploiting the same root cause failure, such circumstance shall constitute a material Default and the Authority may by terminate this Contract with immediate effect by issuing a </w:t>
      </w:r>
      <w:bookmarkStart w:id="696" w:name="_9kMIH5YVt4CE9ELjOt2uwpw517hdGBvs"/>
      <w:r w:rsidRPr="0077466E">
        <w:t>Termination Notice</w:t>
      </w:r>
      <w:bookmarkEnd w:id="696"/>
      <w:r w:rsidRPr="0077466E">
        <w:t xml:space="preserve"> to the Supplier in accordance with </w:t>
      </w:r>
      <w:bookmarkStart w:id="697" w:name="_9kMHG5YVt4EE7BJTEjtCx9MLu"/>
      <w:bookmarkStart w:id="698" w:name="_9kR3WTr2CC5ABKChrAv7KJs"/>
      <w:r w:rsidRPr="0077466E">
        <w:t>Clause 31.1(b)</w:t>
      </w:r>
      <w:bookmarkEnd w:id="697"/>
      <w:bookmarkEnd w:id="698"/>
      <w:r w:rsidRPr="0077466E">
        <w:t>.</w:t>
      </w:r>
    </w:p>
    <w:p w14:paraId="01E3CDC5" w14:textId="77777777" w:rsidR="00F67E9E" w:rsidRPr="001B1EB0" w:rsidRDefault="00F67E9E" w:rsidP="00F67E9E">
      <w:pPr>
        <w:pStyle w:val="Numbered11"/>
        <w:tabs>
          <w:tab w:val="clear" w:pos="720"/>
        </w:tabs>
      </w:pPr>
      <w:r w:rsidRPr="001B1EB0">
        <w:t>The Supplier shall, by [</w:t>
      </w:r>
      <w:r w:rsidRPr="003843A3">
        <w:rPr>
          <w:highlight w:val="yellow"/>
        </w:rPr>
        <w:t>31 March</w:t>
      </w:r>
      <w:r w:rsidRPr="001B1EB0">
        <w:t>] of each year during the Term, provide to the Authority a letter from its chief executive officer (or equivalent officer) confirming that having made due and careful enquiry:</w:t>
      </w:r>
    </w:p>
    <w:p w14:paraId="1B59B544" w14:textId="77777777" w:rsidR="00F67E9E" w:rsidRPr="00C549FA" w:rsidRDefault="00F67E9E" w:rsidP="00F67E9E">
      <w:pPr>
        <w:pStyle w:val="Numbered111"/>
        <w:tabs>
          <w:tab w:val="clear" w:pos="1800"/>
          <w:tab w:val="num" w:pos="1530"/>
        </w:tabs>
        <w:ind w:left="1530" w:hanging="810"/>
      </w:pPr>
      <w:r w:rsidRPr="001B1EB0">
        <w:t xml:space="preserve">the </w:t>
      </w:r>
      <w:r w:rsidRPr="00C549FA">
        <w:t xml:space="preserve">Supplier has in the previous year carried out all tests and has in place all procedures required in relation to security matters under </w:t>
      </w:r>
      <w:r w:rsidRPr="0077466E">
        <w:t>this Contract; and</w:t>
      </w:r>
    </w:p>
    <w:p w14:paraId="5B8BBC1C" w14:textId="77777777" w:rsidR="00F67E9E" w:rsidRPr="001B1EB0" w:rsidRDefault="00F67E9E" w:rsidP="00F67E9E">
      <w:pPr>
        <w:pStyle w:val="Numbered111"/>
        <w:tabs>
          <w:tab w:val="clear" w:pos="1800"/>
          <w:tab w:val="num" w:pos="1530"/>
        </w:tabs>
        <w:ind w:left="1530" w:hanging="810"/>
      </w:pPr>
      <w:r w:rsidRPr="00C549FA">
        <w:t>the Supplier is confident</w:t>
      </w:r>
      <w:r w:rsidRPr="001B1EB0">
        <w:t xml:space="preserve"> that its security and risk mitigation procedures with respect to the Services remain effective.</w:t>
      </w:r>
    </w:p>
    <w:p w14:paraId="1ABC56D1" w14:textId="77777777" w:rsidR="00F67E9E" w:rsidRPr="001B1EB0" w:rsidRDefault="00F67E9E" w:rsidP="00F67E9E">
      <w:pPr>
        <w:pStyle w:val="Numbered1"/>
        <w:tabs>
          <w:tab w:val="clear" w:pos="720"/>
        </w:tabs>
      </w:pPr>
      <w:bookmarkStart w:id="699" w:name="_Ref_ContractCompanion_9kb9Ur8D7"/>
      <w:r w:rsidRPr="001B1EB0">
        <w:t>Vulnerabilities and Corrective Action</w:t>
      </w:r>
      <w:bookmarkEnd w:id="699"/>
    </w:p>
    <w:p w14:paraId="465B3ED5" w14:textId="77777777" w:rsidR="00F67E9E" w:rsidRPr="001B1EB0" w:rsidRDefault="00F67E9E" w:rsidP="00F67E9E">
      <w:pPr>
        <w:pStyle w:val="Numbered11"/>
        <w:tabs>
          <w:tab w:val="clear" w:pos="720"/>
        </w:tabs>
      </w:pPr>
      <w:r w:rsidRPr="001B1EB0">
        <w:t xml:space="preserve">The Authority and the Supplier acknowledge that from time to time vulnerabilities in the Information Management System will be discovered which unless mitigated will present an unacceptable risk to the Authority Data. </w:t>
      </w:r>
    </w:p>
    <w:p w14:paraId="35863FFB" w14:textId="77777777" w:rsidR="00F67E9E" w:rsidRPr="001B1EB0" w:rsidRDefault="00F67E9E" w:rsidP="00F67E9E">
      <w:pPr>
        <w:pStyle w:val="Numbered11"/>
        <w:tabs>
          <w:tab w:val="clear" w:pos="720"/>
        </w:tabs>
      </w:pPr>
      <w:r w:rsidRPr="001B1EB0">
        <w:t xml:space="preserve">The severity of vulnerabilities for Supplier COTS Software and Third Party COTS Software shall be categorised by the Supplier as </w:t>
      </w:r>
      <w:r>
        <w:t>‘</w:t>
      </w:r>
      <w:r w:rsidRPr="001B1EB0">
        <w:t>Critical</w:t>
      </w:r>
      <w:r>
        <w:t>’</w:t>
      </w:r>
      <w:r w:rsidRPr="001B1EB0">
        <w:t xml:space="preserve">, </w:t>
      </w:r>
      <w:r>
        <w:t>‘</w:t>
      </w:r>
      <w:r w:rsidRPr="001B1EB0">
        <w:t>Important</w:t>
      </w:r>
      <w:r>
        <w:t>’</w:t>
      </w:r>
      <w:r w:rsidRPr="001B1EB0">
        <w:t xml:space="preserve"> and </w:t>
      </w:r>
      <w:r>
        <w:t>‘</w:t>
      </w:r>
      <w:r w:rsidRPr="001B1EB0">
        <w:t>Other</w:t>
      </w:r>
      <w:r>
        <w:t>’</w:t>
      </w:r>
      <w:r w:rsidRPr="001B1EB0">
        <w:t xml:space="preserve"> by aligning these categories to the vulnerability scoring according to the agreed method in the Security Management Plan and using the appropriate vulnerability scoring systems including:</w:t>
      </w:r>
    </w:p>
    <w:p w14:paraId="7A514869" w14:textId="77777777" w:rsidR="00F67E9E" w:rsidRPr="001B1EB0" w:rsidRDefault="00F67E9E" w:rsidP="00F67E9E">
      <w:pPr>
        <w:pStyle w:val="Numbered111"/>
        <w:tabs>
          <w:tab w:val="clear" w:pos="1800"/>
          <w:tab w:val="num" w:pos="1530"/>
        </w:tabs>
        <w:ind w:left="1530" w:hanging="810"/>
      </w:pPr>
      <w:r w:rsidRPr="001B1EB0">
        <w:t xml:space="preserve">the </w:t>
      </w:r>
      <w:r>
        <w:t>‘</w:t>
      </w:r>
      <w:r w:rsidRPr="001B1EB0">
        <w:t>National Vulnerability Database</w:t>
      </w:r>
      <w:r>
        <w:t>’</w:t>
      </w:r>
      <w:r w:rsidRPr="001B1EB0">
        <w:t xml:space="preserve"> </w:t>
      </w:r>
      <w:r>
        <w:t>‘</w:t>
      </w:r>
      <w:r w:rsidRPr="001B1EB0">
        <w:t>Vulnerability Severity Ratings</w:t>
      </w:r>
      <w:r>
        <w:t>’</w:t>
      </w:r>
      <w:r w:rsidRPr="001B1EB0">
        <w:t xml:space="preserve">: </w:t>
      </w:r>
      <w:r>
        <w:t>‘</w:t>
      </w:r>
      <w:r w:rsidRPr="001B1EB0">
        <w:t>High</w:t>
      </w:r>
      <w:r>
        <w:t>’</w:t>
      </w:r>
      <w:r w:rsidRPr="001B1EB0">
        <w:t xml:space="preserve">, </w:t>
      </w:r>
      <w:r>
        <w:t>‘</w:t>
      </w:r>
      <w:r w:rsidRPr="001B1EB0">
        <w:t>Medium</w:t>
      </w:r>
      <w:r>
        <w:t>’</w:t>
      </w:r>
      <w:r w:rsidRPr="001B1EB0">
        <w:t xml:space="preserve"> and </w:t>
      </w:r>
      <w:r>
        <w:t>‘</w:t>
      </w:r>
      <w:r w:rsidRPr="001B1EB0">
        <w:t>Low</w:t>
      </w:r>
      <w:r>
        <w:t>’</w:t>
      </w:r>
      <w:r w:rsidRPr="001B1EB0">
        <w:t xml:space="preserve"> respectively (these in turn are aligned to CVSS scores as set out by NIST at </w:t>
      </w:r>
      <w:hyperlink r:id="rId54" w:history="1">
        <w:r w:rsidRPr="009611CF">
          <w:rPr>
            <w:rStyle w:val="Hyperlink"/>
          </w:rPr>
          <w:t>http://nvd.nist.gov/cvss.cfm</w:t>
        </w:r>
      </w:hyperlink>
      <w:r w:rsidRPr="001B1EB0">
        <w:t xml:space="preserve">); and </w:t>
      </w:r>
    </w:p>
    <w:p w14:paraId="1B53E83F" w14:textId="77777777" w:rsidR="00F67E9E" w:rsidRPr="001B1EB0" w:rsidRDefault="00F67E9E" w:rsidP="00F67E9E">
      <w:pPr>
        <w:pStyle w:val="Numbered111"/>
        <w:tabs>
          <w:tab w:val="clear" w:pos="1800"/>
          <w:tab w:val="num" w:pos="1530"/>
        </w:tabs>
        <w:ind w:left="1530" w:hanging="810"/>
      </w:pPr>
      <w:r w:rsidRPr="001B1EB0">
        <w:t>Microsoft</w:t>
      </w:r>
      <w:r>
        <w:t>’</w:t>
      </w:r>
      <w:r w:rsidRPr="001B1EB0">
        <w:t xml:space="preserve">s </w:t>
      </w:r>
      <w:r>
        <w:t>‘</w:t>
      </w:r>
      <w:r w:rsidRPr="001B1EB0">
        <w:t>Security Bulletin Severity Rating System</w:t>
      </w:r>
      <w:r>
        <w:t>’</w:t>
      </w:r>
      <w:r w:rsidRPr="001B1EB0">
        <w:t xml:space="preserve"> ratings </w:t>
      </w:r>
      <w:r>
        <w:t>‘</w:t>
      </w:r>
      <w:r w:rsidRPr="001B1EB0">
        <w:t>Critical</w:t>
      </w:r>
      <w:r>
        <w:t>’</w:t>
      </w:r>
      <w:r w:rsidRPr="001B1EB0">
        <w:t xml:space="preserve">, </w:t>
      </w:r>
      <w:r>
        <w:t>‘</w:t>
      </w:r>
      <w:r w:rsidRPr="001B1EB0">
        <w:t>Important</w:t>
      </w:r>
      <w:r>
        <w:t>’</w:t>
      </w:r>
      <w:r w:rsidRPr="001B1EB0">
        <w:t>, and the two remaining levels (</w:t>
      </w:r>
      <w:r>
        <w:t>‘</w:t>
      </w:r>
      <w:r w:rsidRPr="001B1EB0">
        <w:t>Moderate</w:t>
      </w:r>
      <w:r>
        <w:t>’</w:t>
      </w:r>
      <w:r w:rsidRPr="001B1EB0">
        <w:t xml:space="preserve"> and </w:t>
      </w:r>
      <w:r>
        <w:t>‘</w:t>
      </w:r>
      <w:r w:rsidRPr="001B1EB0">
        <w:t>Low</w:t>
      </w:r>
      <w:r>
        <w:t>’</w:t>
      </w:r>
      <w:r w:rsidRPr="001B1EB0">
        <w:t>) respectively.</w:t>
      </w:r>
    </w:p>
    <w:p w14:paraId="7D01755A" w14:textId="786A558A" w:rsidR="00F67E9E" w:rsidRPr="0077466E" w:rsidRDefault="00F67E9E" w:rsidP="00F67E9E">
      <w:pPr>
        <w:pStyle w:val="Numbered11"/>
        <w:tabs>
          <w:tab w:val="clear" w:pos="720"/>
        </w:tabs>
      </w:pPr>
      <w:bookmarkStart w:id="700" w:name="_9kR3WTrAG8CMMNKedtjnhxFBiPyzp7219UfQH3p"/>
      <w:bookmarkStart w:id="701" w:name="_Ref_ContractCompanion_9kb9Ur8IG"/>
      <w:r w:rsidRPr="0077466E">
        <w:t xml:space="preserve">Subject to </w:t>
      </w:r>
      <w:bookmarkStart w:id="702" w:name="_9kMHG5YVtCIAEOLMNiTly3xu10jty685I54KHRP"/>
      <w:r w:rsidRPr="0077466E">
        <w:t xml:space="preserve">Paragraph </w:t>
      </w:r>
      <w:r w:rsidRPr="0077466E">
        <w:fldChar w:fldCharType="begin"/>
      </w:r>
      <w:r w:rsidRPr="0077466E">
        <w:instrText xml:space="preserve"> REF _Ref_ContractCompanion_9kb9Ur8ID \n \h \t \* MERGEFORMAT </w:instrText>
      </w:r>
      <w:r w:rsidRPr="0077466E">
        <w:fldChar w:fldCharType="separate"/>
      </w:r>
      <w:r w:rsidR="00302D39">
        <w:t>9.4</w:t>
      </w:r>
      <w:r w:rsidRPr="0077466E">
        <w:fldChar w:fldCharType="end"/>
      </w:r>
      <w:bookmarkEnd w:id="702"/>
      <w:r w:rsidRPr="0077466E">
        <w:t>, the Supplier shall procure the application of security patches to vulnerabilities in the Core Information Management System within:</w:t>
      </w:r>
      <w:bookmarkEnd w:id="700"/>
      <w:r w:rsidRPr="0077466E">
        <w:t xml:space="preserve"> </w:t>
      </w:r>
      <w:bookmarkEnd w:id="701"/>
    </w:p>
    <w:p w14:paraId="3BFFEDF0" w14:textId="77777777" w:rsidR="00F67E9E" w:rsidRPr="0077466E" w:rsidRDefault="00F67E9E" w:rsidP="00F67E9E">
      <w:pPr>
        <w:pStyle w:val="Numbered111"/>
        <w:tabs>
          <w:tab w:val="clear" w:pos="1800"/>
          <w:tab w:val="num" w:pos="1530"/>
        </w:tabs>
        <w:ind w:left="1530" w:hanging="810"/>
      </w:pPr>
      <w:r w:rsidRPr="0077466E">
        <w:t xml:space="preserve">seven (7) days after the public release of patches for those vulnerabilities categorised as </w:t>
      </w:r>
      <w:r>
        <w:t>‘</w:t>
      </w:r>
      <w:r w:rsidRPr="0077466E">
        <w:t>Critical</w:t>
      </w:r>
      <w:r>
        <w:t>’</w:t>
      </w:r>
      <w:r w:rsidRPr="0077466E">
        <w:t xml:space="preserve">; </w:t>
      </w:r>
    </w:p>
    <w:p w14:paraId="6457EDEC" w14:textId="77777777" w:rsidR="00F67E9E" w:rsidRPr="0077466E" w:rsidRDefault="00F67E9E" w:rsidP="00F67E9E">
      <w:pPr>
        <w:pStyle w:val="Numbered111"/>
        <w:tabs>
          <w:tab w:val="clear" w:pos="1800"/>
          <w:tab w:val="num" w:pos="1530"/>
        </w:tabs>
        <w:ind w:left="1530" w:hanging="810"/>
      </w:pPr>
      <w:r w:rsidRPr="0077466E">
        <w:t xml:space="preserve">thirty (30) days after the public release of patches for those vulnerabilities categorised as </w:t>
      </w:r>
      <w:r>
        <w:t>‘</w:t>
      </w:r>
      <w:r w:rsidRPr="0077466E">
        <w:t>Important</w:t>
      </w:r>
      <w:r>
        <w:t>’</w:t>
      </w:r>
      <w:r w:rsidRPr="0077466E">
        <w:t xml:space="preserve">; and </w:t>
      </w:r>
    </w:p>
    <w:p w14:paraId="1C4F597E" w14:textId="77777777" w:rsidR="00F67E9E" w:rsidRPr="0077466E" w:rsidRDefault="00F67E9E" w:rsidP="00F67E9E">
      <w:pPr>
        <w:pStyle w:val="Numbered111"/>
        <w:tabs>
          <w:tab w:val="clear" w:pos="1800"/>
          <w:tab w:val="num" w:pos="1530"/>
        </w:tabs>
        <w:ind w:left="1530" w:hanging="810"/>
      </w:pPr>
      <w:r w:rsidRPr="0077466E">
        <w:t xml:space="preserve">sixty (60) days after the public release of patches for those vulnerabilities categorised as </w:t>
      </w:r>
      <w:r>
        <w:t>‘</w:t>
      </w:r>
      <w:r w:rsidRPr="0077466E">
        <w:t>Other</w:t>
      </w:r>
      <w:r>
        <w:t>’</w:t>
      </w:r>
      <w:r w:rsidRPr="0077466E">
        <w:t>.</w:t>
      </w:r>
    </w:p>
    <w:p w14:paraId="2B28F9B0" w14:textId="6A5F8AE8" w:rsidR="00F67E9E" w:rsidRPr="0077466E" w:rsidRDefault="00F67E9E" w:rsidP="00F67E9E">
      <w:pPr>
        <w:pStyle w:val="Numbered11"/>
        <w:tabs>
          <w:tab w:val="clear" w:pos="720"/>
        </w:tabs>
      </w:pPr>
      <w:bookmarkStart w:id="703" w:name="_Ref_ContractCompanion_9kb9Ur8ID"/>
      <w:bookmarkStart w:id="704" w:name="_9kR3WTrAG8CMJKLgRjw1vszyhrw463G32IFPNDC"/>
      <w:r w:rsidRPr="0077466E">
        <w:t xml:space="preserve">The timescales for applying patches to vulnerabilities in the Core Information Management System set out in </w:t>
      </w:r>
      <w:bookmarkStart w:id="705" w:name="_9kMHG5YVtCIAEOOPMgfvlpjzHDkR01r943BWhSJ"/>
      <w:r w:rsidRPr="0077466E">
        <w:t xml:space="preserve">Paragraph </w:t>
      </w:r>
      <w:r w:rsidRPr="0077466E">
        <w:fldChar w:fldCharType="begin"/>
      </w:r>
      <w:r w:rsidRPr="0077466E">
        <w:instrText xml:space="preserve"> REF _Ref_ContractCompanion_9kb9Ur8IG \n \h \t \* MERGEFORMAT </w:instrText>
      </w:r>
      <w:r w:rsidRPr="0077466E">
        <w:fldChar w:fldCharType="separate"/>
      </w:r>
      <w:r w:rsidR="00302D39">
        <w:t>9.3</w:t>
      </w:r>
      <w:r w:rsidRPr="0077466E">
        <w:fldChar w:fldCharType="end"/>
      </w:r>
      <w:bookmarkEnd w:id="705"/>
      <w:r w:rsidRPr="0077466E">
        <w:t xml:space="preserve"> shall be extended where:</w:t>
      </w:r>
      <w:bookmarkEnd w:id="703"/>
      <w:bookmarkEnd w:id="704"/>
    </w:p>
    <w:p w14:paraId="5DFF9047" w14:textId="11B70B6D" w:rsidR="00F67E9E" w:rsidRPr="0077466E" w:rsidRDefault="00F67E9E" w:rsidP="00F67E9E">
      <w:pPr>
        <w:pStyle w:val="Numbered111"/>
        <w:tabs>
          <w:tab w:val="clear" w:pos="1800"/>
          <w:tab w:val="num" w:pos="1530"/>
        </w:tabs>
        <w:ind w:left="1530" w:hanging="810"/>
      </w:pPr>
      <w:r w:rsidRPr="0077466E">
        <w:t xml:space="preserve">the Supplier can demonstrate that a vulnerability in the Core Information Management System is not exploitable within the context of the Services (e.g. because it resides in a Software component which is not involved in running in the Services) provided such vulnerabilities shall be remedied by the Supplier within the timescales set out in </w:t>
      </w:r>
      <w:bookmarkStart w:id="706" w:name="_9kMIH5YVtCIAEOOPMgfvlpjzHDkR01r943BWhSJ"/>
      <w:r w:rsidRPr="0077466E">
        <w:t xml:space="preserve">Paragraph </w:t>
      </w:r>
      <w:r w:rsidRPr="0077466E">
        <w:fldChar w:fldCharType="begin"/>
      </w:r>
      <w:r w:rsidRPr="0077466E">
        <w:instrText xml:space="preserve"> REF _Ref_ContractCompanion_9kb9Ur8IG \n \h \t \* MERGEFORMAT </w:instrText>
      </w:r>
      <w:r w:rsidRPr="0077466E">
        <w:fldChar w:fldCharType="separate"/>
      </w:r>
      <w:r w:rsidR="00302D39">
        <w:t>9.3</w:t>
      </w:r>
      <w:r w:rsidRPr="0077466E">
        <w:fldChar w:fldCharType="end"/>
      </w:r>
      <w:bookmarkEnd w:id="706"/>
      <w:r w:rsidRPr="0077466E">
        <w:t xml:space="preserve"> if the vulnerability becomes exploitable within the context of the Services;</w:t>
      </w:r>
    </w:p>
    <w:p w14:paraId="304EEE9A" w14:textId="77777777" w:rsidR="00F67E9E" w:rsidRPr="0077466E" w:rsidRDefault="00F67E9E" w:rsidP="00F67E9E">
      <w:pPr>
        <w:pStyle w:val="Numbered111"/>
        <w:tabs>
          <w:tab w:val="clear" w:pos="1800"/>
          <w:tab w:val="num" w:pos="1530"/>
        </w:tabs>
        <w:ind w:left="1530" w:hanging="810"/>
      </w:pPr>
      <w:r w:rsidRPr="0077466E">
        <w:t xml:space="preserve">the application of a </w:t>
      </w:r>
      <w:r>
        <w:t>‘</w:t>
      </w:r>
      <w:r w:rsidRPr="0077466E">
        <w:t>Critical</w:t>
      </w:r>
      <w:r>
        <w:t>’</w:t>
      </w:r>
      <w:r w:rsidRPr="0077466E">
        <w:t xml:space="preserve"> or </w:t>
      </w:r>
      <w:r>
        <w:t>‘</w:t>
      </w:r>
      <w:r w:rsidRPr="0077466E">
        <w:t>Important</w:t>
      </w:r>
      <w:r>
        <w:t>’</w:t>
      </w:r>
      <w:r w:rsidRPr="0077466E">
        <w:t xml:space="preserve"> security patch adversely affects the Supplier</w:t>
      </w:r>
      <w:r>
        <w:t>’</w:t>
      </w:r>
      <w:r w:rsidRPr="0077466E">
        <w:t>s ability to deliver the Services in which case the Supplier shall be granted an extension to such timescales of five (5) days, provided the Supplier had followed and continues to follow the security patch test plan agreed with the Authority; or</w:t>
      </w:r>
    </w:p>
    <w:p w14:paraId="5F24589E" w14:textId="77777777" w:rsidR="00F67E9E" w:rsidRPr="0077466E" w:rsidRDefault="00F67E9E" w:rsidP="00F67E9E">
      <w:pPr>
        <w:pStyle w:val="Numbered111"/>
        <w:tabs>
          <w:tab w:val="clear" w:pos="1800"/>
          <w:tab w:val="num" w:pos="1530"/>
        </w:tabs>
        <w:ind w:left="1530" w:hanging="810"/>
      </w:pPr>
      <w:r w:rsidRPr="0077466E">
        <w:t>the Authority agrees a different maximum period after a case-by-case consultation with the Supplier under the processes defined in the Security Management Plan.</w:t>
      </w:r>
    </w:p>
    <w:p w14:paraId="10689AF7" w14:textId="77777777" w:rsidR="00F67E9E" w:rsidRPr="0077466E" w:rsidRDefault="00F67E9E" w:rsidP="00F67E9E">
      <w:pPr>
        <w:pStyle w:val="Numbered11"/>
        <w:tabs>
          <w:tab w:val="clear" w:pos="720"/>
        </w:tabs>
      </w:pPr>
      <w:r w:rsidRPr="0077466E">
        <w:t>The Security Management Plan shall include provisions for major version upgrades of all Supplier COTS Software and Third Party COTS Software to be kept up to date such that all Supplier COTS Software and Third Party COTS Software are always with support throughout the Term unless otherwise agreed by the Authority in writing.</w:t>
      </w:r>
    </w:p>
    <w:p w14:paraId="180DA8FC" w14:textId="77777777" w:rsidR="00F67E9E" w:rsidRPr="0077466E" w:rsidRDefault="00F67E9E" w:rsidP="00F67E9E">
      <w:pPr>
        <w:pStyle w:val="Numbered11"/>
        <w:tabs>
          <w:tab w:val="clear" w:pos="720"/>
        </w:tabs>
      </w:pPr>
      <w:r w:rsidRPr="0077466E">
        <w:t>The Supplier shall:</w:t>
      </w:r>
    </w:p>
    <w:p w14:paraId="5F188850" w14:textId="77777777" w:rsidR="00F67E9E" w:rsidRPr="0077466E" w:rsidRDefault="00F67E9E" w:rsidP="00F67E9E">
      <w:pPr>
        <w:pStyle w:val="Numbered111"/>
        <w:tabs>
          <w:tab w:val="clear" w:pos="1800"/>
          <w:tab w:val="num" w:pos="1530"/>
        </w:tabs>
        <w:ind w:left="1530" w:hanging="810"/>
      </w:pPr>
      <w:r w:rsidRPr="0077466E">
        <w:t xml:space="preserve">implement a mechanism for receiving, analysing and acting upon threat information supplied by NCSC, or any other competent </w:t>
      </w:r>
      <w:r>
        <w:t>Crown Body</w:t>
      </w:r>
      <w:r w:rsidRPr="0077466E">
        <w:t>;</w:t>
      </w:r>
    </w:p>
    <w:p w14:paraId="4B324AD1" w14:textId="77777777" w:rsidR="00F67E9E" w:rsidRPr="0077466E" w:rsidRDefault="00F67E9E" w:rsidP="00F67E9E">
      <w:pPr>
        <w:pStyle w:val="Numbered111"/>
        <w:tabs>
          <w:tab w:val="clear" w:pos="1800"/>
          <w:tab w:val="num" w:pos="1530"/>
        </w:tabs>
        <w:ind w:left="1530" w:hanging="810"/>
      </w:pPr>
      <w:r w:rsidRPr="0077466E">
        <w:t xml:space="preserve">promptly notify NCSC of any actual or sustained attempted Breach of Security; </w:t>
      </w:r>
    </w:p>
    <w:p w14:paraId="636D0106" w14:textId="77777777" w:rsidR="00F67E9E" w:rsidRPr="0077466E" w:rsidRDefault="00F67E9E" w:rsidP="00F67E9E">
      <w:pPr>
        <w:pStyle w:val="Numbered111"/>
        <w:tabs>
          <w:tab w:val="clear" w:pos="1800"/>
          <w:tab w:val="num" w:pos="1530"/>
        </w:tabs>
        <w:ind w:left="1530" w:hanging="810"/>
      </w:pPr>
      <w:r w:rsidRPr="0077466E">
        <w:t>ensure that the Core Information Management System is monitored to facilitate the detection of anomalous behaviour that would be indicative of system compromise;</w:t>
      </w:r>
    </w:p>
    <w:p w14:paraId="67CD3FDC" w14:textId="77777777" w:rsidR="00F67E9E" w:rsidRPr="0077466E" w:rsidRDefault="00F67E9E" w:rsidP="00F67E9E">
      <w:pPr>
        <w:pStyle w:val="Numbered111"/>
        <w:tabs>
          <w:tab w:val="clear" w:pos="1800"/>
          <w:tab w:val="num" w:pos="1530"/>
        </w:tabs>
        <w:ind w:left="1530" w:hanging="810"/>
      </w:pPr>
      <w:r w:rsidRPr="0077466E">
        <w:t xml:space="preserve">ensure it is knowledgeable about the latest trends in threat, vulnerability and exploitation that are relevant to the Core Information Management System by actively monitoring the threat landscape during the Term; </w:t>
      </w:r>
    </w:p>
    <w:p w14:paraId="4817BE5A" w14:textId="77777777" w:rsidR="00F67E9E" w:rsidRPr="0077466E" w:rsidRDefault="00F67E9E" w:rsidP="00F67E9E">
      <w:pPr>
        <w:pStyle w:val="Numbered111"/>
        <w:tabs>
          <w:tab w:val="clear" w:pos="1800"/>
          <w:tab w:val="num" w:pos="1530"/>
        </w:tabs>
        <w:ind w:left="1530" w:hanging="810"/>
      </w:pPr>
      <w:r w:rsidRPr="0077466E">
        <w:t xml:space="preserve">pro-actively scan the Core Information Management System for vulnerable components and address discovered vulnerabilities through the processes described in the Security Management Plan; </w:t>
      </w:r>
    </w:p>
    <w:p w14:paraId="51EE5DF5" w14:textId="0740F620" w:rsidR="00F67E9E" w:rsidRPr="0077466E" w:rsidRDefault="00F67E9E" w:rsidP="00F67E9E">
      <w:pPr>
        <w:pStyle w:val="Numbered111"/>
        <w:tabs>
          <w:tab w:val="clear" w:pos="1800"/>
          <w:tab w:val="num" w:pos="1530"/>
        </w:tabs>
        <w:ind w:left="1530" w:hanging="810"/>
      </w:pPr>
      <w:r w:rsidRPr="0077466E">
        <w:t xml:space="preserve">from the date specified in the Accreditation Plan and within 5 Working Days of the end of each subsequent month during the Term, provide the Authority with a written report which details both patched and outstanding vulnerabilities in the Core Information Management System, the elapsed time between the public release date of patches and either time of application or for outstanding vulnerabilities the time of issue of such report and any failure to comply with the timescales set out in </w:t>
      </w:r>
      <w:bookmarkStart w:id="707" w:name="_9kMJI5YVtCIAEOOPMgfvlpjzHDkR01r943BWhSJ"/>
      <w:r w:rsidRPr="0077466E">
        <w:t xml:space="preserve">Paragraph </w:t>
      </w:r>
      <w:r w:rsidRPr="0077466E">
        <w:fldChar w:fldCharType="begin"/>
      </w:r>
      <w:r w:rsidRPr="0077466E">
        <w:instrText xml:space="preserve"> REF _Ref_ContractCompanion_9kb9Ur8IG \n \h \t \* MERGEFORMAT </w:instrText>
      </w:r>
      <w:r w:rsidRPr="0077466E">
        <w:fldChar w:fldCharType="separate"/>
      </w:r>
      <w:r w:rsidR="00302D39">
        <w:t>9.3</w:t>
      </w:r>
      <w:r w:rsidRPr="0077466E">
        <w:fldChar w:fldCharType="end"/>
      </w:r>
      <w:bookmarkEnd w:id="707"/>
      <w:r w:rsidRPr="0077466E">
        <w:t xml:space="preserve"> for applying patches to vulnerabilities in the Core Information Management System; </w:t>
      </w:r>
    </w:p>
    <w:p w14:paraId="409762FC" w14:textId="77777777" w:rsidR="00F67E9E" w:rsidRPr="0077466E" w:rsidRDefault="00F67E9E" w:rsidP="00F67E9E">
      <w:pPr>
        <w:pStyle w:val="Numbered111"/>
        <w:tabs>
          <w:tab w:val="clear" w:pos="1800"/>
          <w:tab w:val="num" w:pos="1530"/>
        </w:tabs>
        <w:ind w:left="1530" w:hanging="810"/>
      </w:pPr>
      <w:r w:rsidRPr="0077466E">
        <w:t>propose interim mitigation measures to vulnerabilities in the Core Information Management System known to be exploitable where a security patch is not immediately available;</w:t>
      </w:r>
    </w:p>
    <w:p w14:paraId="0ABD355E" w14:textId="77777777" w:rsidR="00F67E9E" w:rsidRPr="0077466E" w:rsidRDefault="00F67E9E" w:rsidP="00F67E9E">
      <w:pPr>
        <w:pStyle w:val="Numbered111"/>
        <w:tabs>
          <w:tab w:val="clear" w:pos="1800"/>
          <w:tab w:val="num" w:pos="1530"/>
        </w:tabs>
        <w:ind w:left="1530" w:hanging="810"/>
      </w:pPr>
      <w:r w:rsidRPr="0077466E">
        <w:t>remove or disable any extraneous interfaces, services or capabilities that are not needed for the provision of the Services (in order to reduce the attack surface of the Core Information Management System); and</w:t>
      </w:r>
    </w:p>
    <w:p w14:paraId="17B50622" w14:textId="77777777" w:rsidR="00F67E9E" w:rsidRPr="0077466E" w:rsidRDefault="00F67E9E" w:rsidP="00F67E9E">
      <w:pPr>
        <w:pStyle w:val="Numbered111"/>
        <w:tabs>
          <w:tab w:val="clear" w:pos="1800"/>
          <w:tab w:val="num" w:pos="1530"/>
        </w:tabs>
        <w:ind w:left="1530" w:hanging="810"/>
      </w:pPr>
      <w:r w:rsidRPr="0077466E">
        <w:t>inform the Authority when it becomes aware of any new threat, vulnerability or exploitation technique that has the potential to affect the security of the Core Information Management System and provide initial indications of possible mitigations.</w:t>
      </w:r>
    </w:p>
    <w:p w14:paraId="16B8F58F" w14:textId="3CF02895" w:rsidR="00F67E9E" w:rsidRPr="0077466E" w:rsidRDefault="00F67E9E" w:rsidP="00F67E9E">
      <w:pPr>
        <w:pStyle w:val="Numbered11"/>
      </w:pPr>
      <w:r w:rsidRPr="0077466E">
        <w:t xml:space="preserve">If the Supplier is unlikely to be able to mitigate the vulnerability within the timescales under </w:t>
      </w:r>
      <w:bookmarkStart w:id="708" w:name="_9kMHG5YVt4DDEJKgGpqgyts0DK"/>
      <w:r w:rsidRPr="0077466E">
        <w:t xml:space="preserve">Paragraph </w:t>
      </w:r>
      <w:r w:rsidRPr="0077466E">
        <w:fldChar w:fldCharType="begin"/>
      </w:r>
      <w:r w:rsidRPr="0077466E">
        <w:instrText xml:space="preserve"> REF _Ref_ContractCompanion_9kb9Ur8DC \w \n \h \t \* MERGEFORMAT </w:instrText>
      </w:r>
      <w:r w:rsidRPr="0077466E">
        <w:fldChar w:fldCharType="separate"/>
      </w:r>
      <w:r w:rsidR="00302D39">
        <w:t>10</w:t>
      </w:r>
      <w:r w:rsidRPr="0077466E">
        <w:fldChar w:fldCharType="end"/>
      </w:r>
      <w:bookmarkEnd w:id="708"/>
      <w:r w:rsidRPr="0077466E">
        <w:t>, the Supplier shall immediately notify the Authority.</w:t>
      </w:r>
    </w:p>
    <w:p w14:paraId="50B1330F" w14:textId="2A82E203" w:rsidR="00F67E9E" w:rsidRPr="0077466E" w:rsidRDefault="00F67E9E" w:rsidP="00F67E9E">
      <w:pPr>
        <w:pStyle w:val="Numbered11"/>
      </w:pPr>
      <w:r w:rsidRPr="0077466E">
        <w:t xml:space="preserve">If the Supplier fails to patch vulnerabilities in the Core Information Management System in accordance with </w:t>
      </w:r>
      <w:bookmarkStart w:id="709" w:name="_9kMKJ5YVtCIAEOOPMgfvlpjzHDkR01r943BWhSJ"/>
      <w:r w:rsidRPr="0077466E">
        <w:t xml:space="preserve">Paragraph </w:t>
      </w:r>
      <w:r w:rsidRPr="0077466E">
        <w:fldChar w:fldCharType="begin"/>
      </w:r>
      <w:r w:rsidRPr="0077466E">
        <w:instrText xml:space="preserve"> REF _Ref_ContractCompanion_9kb9Ur8IG \n \h \t \* MERGEFORMAT </w:instrText>
      </w:r>
      <w:r w:rsidRPr="0077466E">
        <w:fldChar w:fldCharType="separate"/>
      </w:r>
      <w:r w:rsidR="00302D39">
        <w:t>9.3</w:t>
      </w:r>
      <w:r w:rsidRPr="0077466E">
        <w:fldChar w:fldCharType="end"/>
      </w:r>
      <w:bookmarkEnd w:id="709"/>
      <w:r w:rsidRPr="0077466E">
        <w:t xml:space="preserve">, such failure shall constitute a material Default and the Authority may by terminate this Contract with immediate effect by issuing a </w:t>
      </w:r>
      <w:bookmarkStart w:id="710" w:name="_9kMJI5YVt4CE9ELjOt2uwpw517hdGBvs"/>
      <w:r w:rsidRPr="0077466E">
        <w:t>Termination Notice</w:t>
      </w:r>
      <w:bookmarkEnd w:id="710"/>
      <w:r w:rsidRPr="0077466E">
        <w:t xml:space="preserve"> to the Supplier</w:t>
      </w:r>
      <w:r>
        <w:t xml:space="preserve"> </w:t>
      </w:r>
      <w:r w:rsidRPr="00684DA1">
        <w:t>Supplier in accordance with Clause 31.1(b)</w:t>
      </w:r>
      <w:r w:rsidRPr="0077466E">
        <w:t>.</w:t>
      </w:r>
    </w:p>
    <w:p w14:paraId="3900A48F" w14:textId="77777777" w:rsidR="00F67E9E" w:rsidRPr="0077466E" w:rsidRDefault="00F67E9E" w:rsidP="00F67E9E">
      <w:pPr>
        <w:pStyle w:val="Numbered1"/>
      </w:pPr>
      <w:bookmarkStart w:id="711" w:name="_Ref_ContractCompanion_9kb9Ur8DA"/>
      <w:bookmarkStart w:id="712" w:name="_Ref_ContractCompanion_9kb9Ur8DC"/>
      <w:r w:rsidRPr="0077466E">
        <w:t>Malicious Software</w:t>
      </w:r>
      <w:bookmarkEnd w:id="711"/>
      <w:bookmarkEnd w:id="712"/>
    </w:p>
    <w:p w14:paraId="68B5E12E" w14:textId="77777777" w:rsidR="00F67E9E" w:rsidRPr="0077466E" w:rsidRDefault="00F67E9E" w:rsidP="00F67E9E">
      <w:pPr>
        <w:pStyle w:val="Numbered11"/>
      </w:pPr>
      <w:r w:rsidRPr="0077466E">
        <w:t>The Supplier shall install and maintain Anti-Malicious Software or procure that Anti-Malicious Software is installed and maintained on any part of the Information Management System which may Process Authority Data and ensure that such Anti-Malicious Software is configured to perform automatic software and definition updates as well as regular scans of the Information Management System to check for, prevent the introduction of Malicious Software or where Malicious Software has been introduced into the Information Management System, to identify, contain the spread of, and minimise the impact of Malicious Software.</w:t>
      </w:r>
    </w:p>
    <w:p w14:paraId="248C9CBF" w14:textId="77777777" w:rsidR="00F67E9E" w:rsidRPr="0077466E" w:rsidRDefault="00F67E9E" w:rsidP="00F67E9E">
      <w:pPr>
        <w:pStyle w:val="Numbered11"/>
      </w:pPr>
      <w:bookmarkStart w:id="713" w:name="_Ref_ContractCompanion_9kb9Ur8IJ"/>
      <w:bookmarkStart w:id="714" w:name="_9kR3WTrAG8DE689BUFQGmvno1EJsj39R95A2HFC"/>
      <w:r w:rsidRPr="0077466E">
        <w:t>If Malicious Software is found, the Parties shall cooperate to reduce the effect of the Malicious Software and, particularly if Malicious Software causes loss of operational efficiency or loss or corruption of Authority Data, assist each other to mitigate any Losses and to restore the Services to their desired operating efficiency.</w:t>
      </w:r>
      <w:bookmarkEnd w:id="713"/>
      <w:bookmarkEnd w:id="714"/>
    </w:p>
    <w:p w14:paraId="4166089A" w14:textId="077D4F0D" w:rsidR="00F67E9E" w:rsidRPr="0077466E" w:rsidRDefault="00F67E9E" w:rsidP="00F67E9E">
      <w:pPr>
        <w:pStyle w:val="Numbered11"/>
      </w:pPr>
      <w:r w:rsidRPr="0077466E">
        <w:t xml:space="preserve">any cost arising out of the actions of the Parties taken in compliance with the provisions of </w:t>
      </w:r>
      <w:bookmarkStart w:id="715" w:name="_9kMHG5YVtCIAFG8ABDWHSIoxpq3GLul5BTB7C4J"/>
      <w:r w:rsidRPr="0077466E">
        <w:t xml:space="preserve">Paragraph </w:t>
      </w:r>
      <w:r w:rsidRPr="0077466E">
        <w:fldChar w:fldCharType="begin"/>
      </w:r>
      <w:r w:rsidRPr="0077466E">
        <w:instrText xml:space="preserve"> REF _Ref_ContractCompanion_9kb9Ur8IJ \n \h \t \* MERGEFORMAT </w:instrText>
      </w:r>
      <w:r w:rsidRPr="0077466E">
        <w:fldChar w:fldCharType="separate"/>
      </w:r>
      <w:r w:rsidR="00302D39">
        <w:t>10.2</w:t>
      </w:r>
      <w:r w:rsidRPr="0077466E">
        <w:fldChar w:fldCharType="end"/>
      </w:r>
      <w:bookmarkEnd w:id="715"/>
      <w:r w:rsidRPr="0077466E">
        <w:t xml:space="preserve"> shall be borne by the Parties as follows:</w:t>
      </w:r>
    </w:p>
    <w:p w14:paraId="0264E526" w14:textId="77777777" w:rsidR="00F67E9E" w:rsidRPr="0077466E" w:rsidRDefault="00F67E9E" w:rsidP="00F67E9E">
      <w:pPr>
        <w:pStyle w:val="Numbered111"/>
        <w:tabs>
          <w:tab w:val="clear" w:pos="1800"/>
          <w:tab w:val="num" w:pos="1530"/>
        </w:tabs>
        <w:ind w:left="1530" w:hanging="810"/>
      </w:pPr>
      <w:r w:rsidRPr="0077466E">
        <w:t xml:space="preserve">by the Supplier where the Malicious Software originates from: </w:t>
      </w:r>
    </w:p>
    <w:p w14:paraId="73B7972D" w14:textId="77777777" w:rsidR="00F67E9E" w:rsidRPr="0077466E" w:rsidRDefault="00F67E9E" w:rsidP="00F67E9E">
      <w:pPr>
        <w:pStyle w:val="Numbered111a"/>
        <w:tabs>
          <w:tab w:val="clear" w:pos="2520"/>
          <w:tab w:val="num" w:pos="2160"/>
        </w:tabs>
        <w:ind w:left="2160"/>
      </w:pPr>
      <w:r w:rsidRPr="0077466E">
        <w:t xml:space="preserve">the Supplier Software; </w:t>
      </w:r>
    </w:p>
    <w:p w14:paraId="652F9847" w14:textId="77777777" w:rsidR="00F67E9E" w:rsidRPr="0077466E" w:rsidRDefault="00F67E9E" w:rsidP="00F67E9E">
      <w:pPr>
        <w:pStyle w:val="Numbered111a"/>
        <w:tabs>
          <w:tab w:val="clear" w:pos="2520"/>
          <w:tab w:val="num" w:pos="2160"/>
        </w:tabs>
        <w:ind w:left="2160"/>
      </w:pPr>
      <w:r w:rsidRPr="0077466E">
        <w:t xml:space="preserve">the Third-Party Software supplied by the Supplier; or </w:t>
      </w:r>
    </w:p>
    <w:p w14:paraId="6DF1C12B" w14:textId="77777777" w:rsidR="00F67E9E" w:rsidRPr="0077466E" w:rsidRDefault="00F67E9E" w:rsidP="00F67E9E">
      <w:pPr>
        <w:pStyle w:val="Numbered111a"/>
        <w:tabs>
          <w:tab w:val="clear" w:pos="2520"/>
          <w:tab w:val="num" w:pos="2160"/>
        </w:tabs>
        <w:ind w:left="2160"/>
      </w:pPr>
      <w:r w:rsidRPr="0077466E">
        <w:t xml:space="preserve">the Authority Data whilst the Authority Data is or was under the control of the Supplier, </w:t>
      </w:r>
    </w:p>
    <w:p w14:paraId="6E8C859B" w14:textId="77777777" w:rsidR="00F67E9E" w:rsidRPr="0077466E" w:rsidRDefault="00F67E9E" w:rsidP="00F67E9E">
      <w:pPr>
        <w:ind w:left="1440"/>
      </w:pPr>
      <w:r w:rsidRPr="0077466E">
        <w:t>unless, in the case of the Authority Data, the Supplier can demonstrate that such Malicious Software was present in the Authority Data and not quarantined or otherwise identified by the Authority when the Authority provided the Authority Data to the Supplier; and</w:t>
      </w:r>
    </w:p>
    <w:p w14:paraId="1FEE763C" w14:textId="77777777" w:rsidR="00F67E9E" w:rsidRPr="0077466E" w:rsidRDefault="00F67E9E" w:rsidP="00F67E9E">
      <w:pPr>
        <w:pStyle w:val="Numbered111"/>
        <w:tabs>
          <w:tab w:val="clear" w:pos="1800"/>
          <w:tab w:val="num" w:pos="1530"/>
        </w:tabs>
        <w:ind w:left="1530" w:hanging="810"/>
      </w:pPr>
      <w:r w:rsidRPr="0077466E">
        <w:t>otherwise by the Authority.</w:t>
      </w:r>
    </w:p>
    <w:p w14:paraId="1A3A9711" w14:textId="77777777" w:rsidR="00F67E9E" w:rsidRPr="0077466E" w:rsidRDefault="00F67E9E" w:rsidP="00F67E9E">
      <w:pPr>
        <w:pStyle w:val="Numbered1"/>
      </w:pPr>
      <w:bookmarkStart w:id="716" w:name="_Ref_ContractCompanion_9kb9Ur8DF"/>
      <w:bookmarkStart w:id="717" w:name="_Ref_ContractCompanion_9kb9Ur9A3"/>
      <w:bookmarkStart w:id="718" w:name="_9kR3WTrAG8DE9cJfifw5q8MMLkQzJehRcaAut1E"/>
      <w:r w:rsidRPr="0077466E">
        <w:t>Breach of Security</w:t>
      </w:r>
      <w:bookmarkEnd w:id="716"/>
      <w:bookmarkEnd w:id="717"/>
      <w:bookmarkEnd w:id="718"/>
    </w:p>
    <w:p w14:paraId="54C234A7" w14:textId="77777777" w:rsidR="00F67E9E" w:rsidRPr="0077466E" w:rsidRDefault="00F67E9E" w:rsidP="00F67E9E">
      <w:pPr>
        <w:pStyle w:val="Numbered11"/>
      </w:pPr>
      <w:r w:rsidRPr="0077466E">
        <w:t>If either Party becomes aware of a Breach of Security or an attempted Breach of Security it shall notify the other in accordance with the security incident management process as set out in the Security Management Plan.</w:t>
      </w:r>
    </w:p>
    <w:p w14:paraId="396ABD77" w14:textId="77777777" w:rsidR="00F67E9E" w:rsidRPr="0077466E" w:rsidRDefault="00F67E9E" w:rsidP="00F67E9E">
      <w:pPr>
        <w:pStyle w:val="Numbered11"/>
      </w:pPr>
      <w:r w:rsidRPr="0077466E">
        <w:t>The security incident management process set out in the Security Management Plan shall, as a minimum, require the Supplier upon becoming aware of a Breach of Security or an attempted Breach of Security to:</w:t>
      </w:r>
    </w:p>
    <w:p w14:paraId="4EF34D0E" w14:textId="77777777" w:rsidR="00F67E9E" w:rsidRPr="0077466E" w:rsidRDefault="00F67E9E" w:rsidP="00F67E9E">
      <w:pPr>
        <w:pStyle w:val="Numbered111"/>
        <w:tabs>
          <w:tab w:val="clear" w:pos="1800"/>
          <w:tab w:val="num" w:pos="1440"/>
        </w:tabs>
        <w:ind w:left="1440" w:hanging="720"/>
      </w:pPr>
      <w:r w:rsidRPr="0077466E">
        <w:t>immediately take all reasonable steps (which shall include any action or changes reasonably required by the Authority which shall be completed within such timescales as the Authority may reasonably require) necessary to:</w:t>
      </w:r>
    </w:p>
    <w:p w14:paraId="66DFEF38" w14:textId="77777777" w:rsidR="00F67E9E" w:rsidRPr="0077466E" w:rsidRDefault="00F67E9E" w:rsidP="00F67E9E">
      <w:pPr>
        <w:pStyle w:val="Numbered111a"/>
        <w:tabs>
          <w:tab w:val="clear" w:pos="2520"/>
          <w:tab w:val="num" w:pos="2160"/>
        </w:tabs>
        <w:ind w:left="2160"/>
      </w:pPr>
      <w:r w:rsidRPr="0077466E">
        <w:t>minimise the extent of actual or potential harm caused by such Breach of Security;</w:t>
      </w:r>
    </w:p>
    <w:p w14:paraId="37E92F14" w14:textId="77777777" w:rsidR="00F67E9E" w:rsidRPr="0077466E" w:rsidRDefault="00F67E9E" w:rsidP="00F67E9E">
      <w:pPr>
        <w:pStyle w:val="Numbered111a"/>
        <w:tabs>
          <w:tab w:val="clear" w:pos="2520"/>
          <w:tab w:val="num" w:pos="2160"/>
        </w:tabs>
        <w:ind w:left="2160"/>
      </w:pPr>
      <w:r w:rsidRPr="0077466E">
        <w:t xml:space="preserve">remedy such Breach of Security to the extent possible and protect the integrity of the Information Management System against any such potential or attempted Breach of Security; </w:t>
      </w:r>
    </w:p>
    <w:p w14:paraId="07BFF626" w14:textId="77777777" w:rsidR="00F67E9E" w:rsidRPr="0014593C" w:rsidRDefault="00F67E9E" w:rsidP="00F67E9E">
      <w:pPr>
        <w:pStyle w:val="Numbered111a"/>
        <w:tabs>
          <w:tab w:val="clear" w:pos="2520"/>
          <w:tab w:val="num" w:pos="2160"/>
        </w:tabs>
        <w:ind w:left="2160"/>
      </w:pPr>
      <w:r w:rsidRPr="00B753FD">
        <w:t xml:space="preserve">apply a tested mitigation against any such Breach of Security or potential or attempted Breach of Security and, provided that reasonable testing has </w:t>
      </w:r>
      <w:r w:rsidRPr="0014593C">
        <w:t>been undertaken by the Supplier, if the mitigation adversely affects the Supplier’s ability to deliver the Services so as to meet any Performance Indicator, the Supplier shall be granted relief against the failure to meet such affected Performance Indicator for such period as the Authority, acting reasonably, may specify by written notice to the Supplier; and</w:t>
      </w:r>
    </w:p>
    <w:p w14:paraId="6A52C826" w14:textId="77777777" w:rsidR="00F67E9E" w:rsidRPr="0077466E" w:rsidRDefault="00F67E9E" w:rsidP="00F67E9E">
      <w:pPr>
        <w:pStyle w:val="Numbered111a"/>
        <w:tabs>
          <w:tab w:val="clear" w:pos="2520"/>
          <w:tab w:val="num" w:pos="2160"/>
        </w:tabs>
        <w:ind w:left="2160"/>
      </w:pPr>
      <w:r w:rsidRPr="0077466E">
        <w:t>prevent a further Breach of Security or attempted Breach of Security in the future exploiting the same root cause failure;</w:t>
      </w:r>
    </w:p>
    <w:p w14:paraId="04D54A6D" w14:textId="77777777" w:rsidR="00F67E9E" w:rsidRPr="0077466E" w:rsidRDefault="00F67E9E" w:rsidP="00F67E9E">
      <w:pPr>
        <w:pStyle w:val="Numbered111"/>
        <w:tabs>
          <w:tab w:val="clear" w:pos="1800"/>
          <w:tab w:val="num" w:pos="1440"/>
        </w:tabs>
        <w:ind w:left="1440" w:hanging="720"/>
      </w:pPr>
      <w:r w:rsidRPr="0077466E">
        <w:t>as soon as reasonably practicable and, in any event, within 2 Working Days, following the Breach of Security or attempted Breach of Security, provide to the Authority full details of the Breach of Security or attempted Breach of Security, including a root cause analysis where required by the Authority.</w:t>
      </w:r>
    </w:p>
    <w:p w14:paraId="0594EB4D" w14:textId="77777777" w:rsidR="00F67E9E" w:rsidRPr="0077466E" w:rsidRDefault="00F67E9E" w:rsidP="00F67E9E">
      <w:pPr>
        <w:pStyle w:val="Numbered11"/>
      </w:pPr>
      <w:r w:rsidRPr="0077466E">
        <w:t>In the event that any action is taken in response to a Breach of Security or attempted Breach of Security which occurred as a result of non-compliance of the Information Management System and/or the Security Management Plan with the Baseline Security Requirements and/or this Contract, then such action and any required change to the Information Management System and/or Security Management Plan shall be completed by the Supplier at no cost to the Authority.</w:t>
      </w:r>
    </w:p>
    <w:p w14:paraId="3D13A930" w14:textId="7228468A" w:rsidR="00F67E9E" w:rsidRPr="0077466E" w:rsidRDefault="00F67E9E" w:rsidP="00F67E9E">
      <w:pPr>
        <w:pStyle w:val="Numbered11"/>
      </w:pPr>
      <w:r w:rsidRPr="0077466E">
        <w:t xml:space="preserve">If the Supplier fails to comply with its obligations set out in this </w:t>
      </w:r>
      <w:bookmarkStart w:id="719" w:name="_9kMHG5YVtCIAFGBeLhkhy7sAOONmS1LgjTecCwv"/>
      <w:r w:rsidRPr="0077466E">
        <w:t xml:space="preserve">Paragraph </w:t>
      </w:r>
      <w:r w:rsidRPr="0077466E">
        <w:fldChar w:fldCharType="begin"/>
      </w:r>
      <w:r w:rsidRPr="0077466E">
        <w:instrText xml:space="preserve"> REF _Ref_ContractCompanion_9kb9Ur9A3 \w \n \h \t \* MERGEFORMAT </w:instrText>
      </w:r>
      <w:r w:rsidRPr="0077466E">
        <w:fldChar w:fldCharType="separate"/>
      </w:r>
      <w:r w:rsidR="00302D39">
        <w:t>11</w:t>
      </w:r>
      <w:r w:rsidRPr="0077466E">
        <w:fldChar w:fldCharType="end"/>
      </w:r>
      <w:bookmarkEnd w:id="719"/>
      <w:r w:rsidRPr="0077466E">
        <w:t xml:space="preserve">, such failure shall constitute a material Default, which if not remedied to the satisfaction of the Authority, shall permit the Authority to terminate this Contract </w:t>
      </w:r>
      <w:r w:rsidRPr="0076173A">
        <w:t xml:space="preserve">in accordance with Clause 31.1(b) </w:t>
      </w:r>
      <w:r w:rsidRPr="0077466E">
        <w:t xml:space="preserve">with immediate effect by issuing a </w:t>
      </w:r>
      <w:bookmarkStart w:id="720" w:name="_9kMKJ5YVt4CE9ELjOt2uwpw517hdGBvs"/>
      <w:r w:rsidRPr="0077466E">
        <w:t>Termination Notice</w:t>
      </w:r>
      <w:bookmarkEnd w:id="720"/>
      <w:r w:rsidRPr="0077466E">
        <w:t xml:space="preserve"> to the Supplier.</w:t>
      </w:r>
    </w:p>
    <w:p w14:paraId="364E6377" w14:textId="77777777" w:rsidR="00F67E9E" w:rsidRPr="0077466E" w:rsidRDefault="00F67E9E" w:rsidP="00F67E9E">
      <w:pPr>
        <w:pStyle w:val="Numbered1"/>
      </w:pPr>
      <w:r w:rsidRPr="0077466E">
        <w:t>Data Processing, Storage, Management and Destruction</w:t>
      </w:r>
    </w:p>
    <w:p w14:paraId="784A9B94" w14:textId="77777777" w:rsidR="00F67E9E" w:rsidRPr="0077466E" w:rsidRDefault="00F67E9E" w:rsidP="00F67E9E">
      <w:pPr>
        <w:pStyle w:val="Numbered11"/>
      </w:pPr>
      <w:r w:rsidRPr="0077466E">
        <w:t xml:space="preserve">In addition to the obligations on the Supplier set out </w:t>
      </w:r>
      <w:bookmarkStart w:id="721" w:name="_9kMHG5YVt4EE7AFQEjtCx8L"/>
      <w:bookmarkStart w:id="722" w:name="_9kMHG5YVt4EE7AHSEjtCx8L"/>
      <w:r w:rsidRPr="0077466E">
        <w:t>Clause 2</w:t>
      </w:r>
      <w:bookmarkEnd w:id="721"/>
      <w:bookmarkEnd w:id="722"/>
      <w:r w:rsidRPr="0077466E">
        <w:t>1 in respect of Processing Personal Data and compliance with the Data Protection Legislation, the Supplier shall:</w:t>
      </w:r>
    </w:p>
    <w:p w14:paraId="613F6451" w14:textId="77777777" w:rsidR="00F67E9E" w:rsidRPr="001B1EB0" w:rsidRDefault="00F67E9E" w:rsidP="00F67E9E">
      <w:pPr>
        <w:pStyle w:val="Numbered111"/>
        <w:tabs>
          <w:tab w:val="clear" w:pos="1800"/>
          <w:tab w:val="num" w:pos="1530"/>
        </w:tabs>
        <w:ind w:left="1530" w:hanging="810"/>
      </w:pPr>
      <w:bookmarkStart w:id="723" w:name="_Ref_ContractCompanion_9kb9Ur673"/>
      <w:bookmarkStart w:id="724" w:name="_9kR3WTrAG8AB9BBCCbZ5rizEXUK84FADUpM9A6K"/>
      <w:r>
        <w:t>Pr</w:t>
      </w:r>
      <w:r w:rsidRPr="001B1EB0">
        <w:t xml:space="preserve">ocess Authority Data only in the </w:t>
      </w:r>
      <w:r>
        <w:t>[</w:t>
      </w:r>
      <w:r w:rsidRPr="003843A3">
        <w:rPr>
          <w:highlight w:val="yellow"/>
        </w:rPr>
        <w:t>UK</w:t>
      </w:r>
      <w:r>
        <w:t>]</w:t>
      </w:r>
      <w:r w:rsidRPr="001B1EB0">
        <w:t>, except where the Authority has given its consent in writing to a transfer of the Authority Data to such other country;</w:t>
      </w:r>
      <w:bookmarkEnd w:id="723"/>
      <w:bookmarkEnd w:id="724"/>
    </w:p>
    <w:p w14:paraId="57F85276" w14:textId="77777777" w:rsidR="00F67E9E" w:rsidRPr="001B1EB0" w:rsidRDefault="00F67E9E" w:rsidP="00F67E9E">
      <w:pPr>
        <w:pStyle w:val="Numbered111"/>
        <w:tabs>
          <w:tab w:val="clear" w:pos="1800"/>
          <w:tab w:val="num" w:pos="1530"/>
        </w:tabs>
        <w:ind w:left="1530" w:hanging="810"/>
      </w:pPr>
      <w:r w:rsidRPr="001B1EB0">
        <w:t>on demand, provide the Authority with all Authority Data in an agreed open format;</w:t>
      </w:r>
    </w:p>
    <w:p w14:paraId="6C806D4E" w14:textId="77777777" w:rsidR="00F67E9E" w:rsidRPr="001B1EB0" w:rsidRDefault="00F67E9E" w:rsidP="00F67E9E">
      <w:pPr>
        <w:pStyle w:val="Numbered111"/>
        <w:tabs>
          <w:tab w:val="clear" w:pos="1800"/>
          <w:tab w:val="num" w:pos="1530"/>
        </w:tabs>
        <w:ind w:left="1530" w:hanging="810"/>
      </w:pPr>
      <w:r w:rsidRPr="001B1EB0">
        <w:t>have documented processes to guarantee availability of Authority Data in the event of the Supplier ceasing to trade;</w:t>
      </w:r>
    </w:p>
    <w:p w14:paraId="15EE2D85" w14:textId="0910F7D3" w:rsidR="00F67E9E" w:rsidRPr="001B1EB0" w:rsidRDefault="00F67E9E" w:rsidP="00F67E9E">
      <w:pPr>
        <w:pStyle w:val="Numbered111"/>
        <w:tabs>
          <w:tab w:val="clear" w:pos="1800"/>
          <w:tab w:val="num" w:pos="1530"/>
        </w:tabs>
        <w:ind w:left="1530" w:hanging="810"/>
      </w:pPr>
      <w:r w:rsidRPr="001B1EB0">
        <w:t>securely erase any or all Authority Data held by the Supplier when requested to do so by the Authority</w:t>
      </w:r>
      <w:r w:rsidR="00A10006">
        <w:t xml:space="preserve"> </w:t>
      </w:r>
      <w:r w:rsidR="00A10006" w:rsidRPr="00BE3416">
        <w:rPr>
          <w:color w:val="000000"/>
        </w:rPr>
        <w:t xml:space="preserve">other than in relation to </w:t>
      </w:r>
      <w:r w:rsidR="00A10006">
        <w:rPr>
          <w:color w:val="000000"/>
        </w:rPr>
        <w:t>Authority</w:t>
      </w:r>
      <w:r w:rsidR="00A10006" w:rsidRPr="00BE3416">
        <w:rPr>
          <w:color w:val="000000"/>
        </w:rPr>
        <w:t xml:space="preserve"> Data which is owned or licenced by the Supplier or in respect of which the Parties are either Independent Controllers or Joint Controllers</w:t>
      </w:r>
      <w:r w:rsidRPr="001B1EB0">
        <w:t>; and</w:t>
      </w:r>
    </w:p>
    <w:p w14:paraId="6D54F53F" w14:textId="1C5E77AF" w:rsidR="00F67E9E" w:rsidRDefault="00F67E9E" w:rsidP="00F67E9E">
      <w:pPr>
        <w:pStyle w:val="Numbered111"/>
        <w:tabs>
          <w:tab w:val="clear" w:pos="1800"/>
          <w:tab w:val="num" w:pos="1530"/>
        </w:tabs>
        <w:ind w:left="1530" w:hanging="810"/>
      </w:pPr>
      <w:r w:rsidRPr="0077466E">
        <w:t>securely destroy all media that has held Authority Data at the end of life of that media in accordance with any specific requirements in this Contract and, in the absence of any such requirements, as directed by the Authority</w:t>
      </w:r>
      <w:r w:rsidR="00A10006">
        <w:t xml:space="preserve"> </w:t>
      </w:r>
      <w:r w:rsidR="00A10006" w:rsidRPr="00BE3416">
        <w:rPr>
          <w:color w:val="000000"/>
        </w:rPr>
        <w:t xml:space="preserve">other than in relation to </w:t>
      </w:r>
      <w:r w:rsidR="00A10006">
        <w:rPr>
          <w:color w:val="000000"/>
        </w:rPr>
        <w:t>Authority</w:t>
      </w:r>
      <w:r w:rsidR="00A10006" w:rsidRPr="00BE3416">
        <w:rPr>
          <w:color w:val="000000"/>
        </w:rPr>
        <w:t xml:space="preserve"> Data which is owned or licenced by the Supplier or in respect of which the Parties are either Independent Controllers or Joint Controllers</w:t>
      </w:r>
      <w:r w:rsidRPr="0077466E">
        <w:t>.</w:t>
      </w:r>
    </w:p>
    <w:p w14:paraId="6F5158FC" w14:textId="77777777" w:rsidR="00F67E9E" w:rsidRDefault="00F67E9E" w:rsidP="00F67E9E">
      <w:pPr>
        <w:pStyle w:val="Heading2"/>
        <w:pageBreakBefore/>
      </w:pPr>
      <w:bookmarkStart w:id="725" w:name="_Ref_ContractCompanion_9kb9Ur036"/>
      <w:bookmarkStart w:id="726" w:name="_Ref_ContractCompanion_9kb9Ur138"/>
      <w:bookmarkStart w:id="727" w:name="_Ref_ContractCompanion_9kb9Ur48E"/>
      <w:bookmarkStart w:id="728" w:name="_Toc141711914"/>
      <w:r w:rsidRPr="0077466E">
        <w:t xml:space="preserve">Annex </w:t>
      </w:r>
      <w:bookmarkStart w:id="729" w:name="ANNEX1_PARTB_SCHEDULE5"/>
      <w:r w:rsidRPr="0077466E">
        <w:t>1</w:t>
      </w:r>
      <w:bookmarkEnd w:id="729"/>
      <w:r w:rsidRPr="0077466E">
        <w:t>: Baseline Security Requirements</w:t>
      </w:r>
      <w:bookmarkEnd w:id="725"/>
      <w:bookmarkEnd w:id="726"/>
      <w:bookmarkEnd w:id="727"/>
      <w:bookmarkEnd w:id="728"/>
    </w:p>
    <w:p w14:paraId="1ECFB95B" w14:textId="77777777" w:rsidR="00F67E9E" w:rsidRPr="0077466E" w:rsidRDefault="00F67E9E" w:rsidP="00F67E9E">
      <w:pPr>
        <w:pStyle w:val="AppendixText1"/>
        <w:numPr>
          <w:ilvl w:val="0"/>
          <w:numId w:val="51"/>
        </w:numPr>
      </w:pPr>
      <w:r w:rsidRPr="0077466E">
        <w:t xml:space="preserve">Security Classification of Information </w:t>
      </w:r>
    </w:p>
    <w:p w14:paraId="22068AA3" w14:textId="77777777" w:rsidR="00F67E9E" w:rsidRPr="0077466E" w:rsidRDefault="00F67E9E" w:rsidP="00F67E9E">
      <w:pPr>
        <w:pStyle w:val="AppendixText2"/>
      </w:pPr>
      <w:r w:rsidRPr="0077466E">
        <w:t xml:space="preserve">If the provision of the Services requires the Supplier to Process Authority Data which is classified as: </w:t>
      </w:r>
    </w:p>
    <w:p w14:paraId="700159FE" w14:textId="77777777" w:rsidR="00F67E9E" w:rsidRPr="0077466E" w:rsidRDefault="00F67E9E" w:rsidP="00F67E9E">
      <w:pPr>
        <w:pStyle w:val="AppendixText3"/>
        <w:ind w:left="1440" w:hanging="720"/>
      </w:pPr>
      <w:r w:rsidRPr="0077466E">
        <w:t>OFFICIAL-SENSITIVE, the Supplier shall implement such additional measures as agreed with the Authority from time to time in order to ensure that such information is safeguarded in accordance with the applicable Standards; and/or</w:t>
      </w:r>
    </w:p>
    <w:p w14:paraId="7EE649C0" w14:textId="77777777" w:rsidR="00F67E9E" w:rsidRPr="0077466E" w:rsidRDefault="00F67E9E" w:rsidP="00F67E9E">
      <w:pPr>
        <w:pStyle w:val="AppendixText3"/>
        <w:ind w:left="1440" w:hanging="720"/>
      </w:pPr>
      <w:r w:rsidRPr="0077466E">
        <w:t>SECRET or TOP SECRET, the Supplier shall only do so where it has notified the Authority prior to receipt of such Authority Data and the Supplier shall implement additional measures as agreed with the Authority from time to time in order to ensure that such information is safeguarded in accordance with the applicable Standards.</w:t>
      </w:r>
    </w:p>
    <w:p w14:paraId="63A83AEA" w14:textId="77777777" w:rsidR="00F67E9E" w:rsidRPr="0077466E" w:rsidRDefault="00F67E9E" w:rsidP="00F67E9E">
      <w:pPr>
        <w:pStyle w:val="AppendixText1"/>
      </w:pPr>
      <w:r w:rsidRPr="0077466E">
        <w:t>End User Devices</w:t>
      </w:r>
    </w:p>
    <w:p w14:paraId="47E92010" w14:textId="77777777" w:rsidR="00F67E9E" w:rsidRPr="00752B31" w:rsidRDefault="00F67E9E" w:rsidP="00F67E9E">
      <w:pPr>
        <w:pStyle w:val="AppendixText2"/>
      </w:pPr>
      <w:r w:rsidRPr="0077466E">
        <w:t>The Supplier must manage, and must ensure that all Sub-contractors manage, all end-user devices used by the Supplier on which Authority Data is Processed in accordance the following requirements:</w:t>
      </w:r>
    </w:p>
    <w:p w14:paraId="557FE5B8" w14:textId="77777777" w:rsidR="00F67E9E" w:rsidRPr="00752B31" w:rsidRDefault="00F67E9E" w:rsidP="00F67E9E">
      <w:pPr>
        <w:pStyle w:val="AppendixText3"/>
        <w:ind w:left="1440" w:hanging="720"/>
      </w:pPr>
      <w:r w:rsidRPr="0077466E">
        <w:t>the operating system and any applications that Process or have access to Authority Data must be in current support by the vendor, or the relevant community in the case of Open Source operating systems or applications;</w:t>
      </w:r>
    </w:p>
    <w:p w14:paraId="269CB0DE" w14:textId="77777777" w:rsidR="00F67E9E" w:rsidRPr="00752B31" w:rsidRDefault="00F67E9E" w:rsidP="00F67E9E">
      <w:pPr>
        <w:pStyle w:val="AppendixText3"/>
        <w:ind w:left="1440" w:hanging="720"/>
      </w:pPr>
      <w:r w:rsidRPr="0077466E">
        <w:t>users must authenticate before gaining access;</w:t>
      </w:r>
    </w:p>
    <w:p w14:paraId="6439F323" w14:textId="77777777" w:rsidR="00F67E9E" w:rsidRPr="00752B31" w:rsidRDefault="00F67E9E" w:rsidP="00F67E9E">
      <w:pPr>
        <w:pStyle w:val="AppendixText3"/>
        <w:ind w:left="1440" w:hanging="720"/>
      </w:pPr>
      <w:r w:rsidRPr="0077466E">
        <w:t>all Authority Data must be encrypted using an encryption tool agreed to by the Authority;</w:t>
      </w:r>
    </w:p>
    <w:p w14:paraId="1E31724A" w14:textId="77777777" w:rsidR="00F67E9E" w:rsidRPr="00752B31" w:rsidRDefault="00F67E9E" w:rsidP="00F67E9E">
      <w:pPr>
        <w:pStyle w:val="AppendixText3"/>
        <w:ind w:left="1440" w:hanging="720"/>
      </w:pPr>
      <w:r w:rsidRPr="0077466E">
        <w:t>the end-user device must lock and require any user to re-authenticate after a period of time that is proportionate to the risk environment, during which the end-user device is inactive;</w:t>
      </w:r>
    </w:p>
    <w:p w14:paraId="69FA3BED" w14:textId="77777777" w:rsidR="00F67E9E" w:rsidRPr="00752B31" w:rsidRDefault="00F67E9E" w:rsidP="00F67E9E">
      <w:pPr>
        <w:pStyle w:val="AppendixText3"/>
        <w:ind w:left="1440" w:hanging="720"/>
      </w:pPr>
      <w:r w:rsidRPr="0077466E">
        <w:t>the end-user device must be managed in a way that allows for the application of technical policies and controls over applications that have access to Authority Data;</w:t>
      </w:r>
    </w:p>
    <w:p w14:paraId="3FD9D208" w14:textId="4C4733F9" w:rsidR="00F67E9E" w:rsidRPr="00752B31" w:rsidRDefault="00F67E9E" w:rsidP="00F67E9E">
      <w:pPr>
        <w:pStyle w:val="AppendixText3"/>
        <w:ind w:left="1440" w:hanging="720"/>
      </w:pPr>
      <w:r w:rsidRPr="0077466E">
        <w:t>the Suppl</w:t>
      </w:r>
      <w:r w:rsidR="00A10006">
        <w:t>i</w:t>
      </w:r>
      <w:r w:rsidRPr="0077466E">
        <w:t>er or Sub-contractor, as applicable, can, without physical access to the end-user device, remove or make inaccessible all Authority Data on the device and prevent any user or group of users from accessing the device;</w:t>
      </w:r>
    </w:p>
    <w:p w14:paraId="225B5C11" w14:textId="77777777" w:rsidR="00F67E9E" w:rsidRPr="00752B31" w:rsidRDefault="00F67E9E" w:rsidP="00F67E9E">
      <w:pPr>
        <w:pStyle w:val="AppendixText3"/>
        <w:ind w:left="1440" w:hanging="720"/>
      </w:pPr>
      <w:r w:rsidRPr="0077466E">
        <w:t xml:space="preserve">all end-user devices are within in the scope of any current Cyber Essentials Plus certificate held by the Supplier, or any ISO/IEC 27001 </w:t>
      </w:r>
      <w:r w:rsidRPr="00EE4885">
        <w:t>(at least ISO/IEC 27001:2013)</w:t>
      </w:r>
      <w:r w:rsidRPr="0077466E">
        <w:t xml:space="preserve"> certification issued by a UKAS-approved certification body, where the scope of that certification includes the Services.</w:t>
      </w:r>
    </w:p>
    <w:p w14:paraId="25E7C5E1" w14:textId="77777777" w:rsidR="00F67E9E" w:rsidRPr="00752B31" w:rsidRDefault="00F67E9E" w:rsidP="00F67E9E">
      <w:pPr>
        <w:pStyle w:val="AppendixText2"/>
      </w:pPr>
      <w:r w:rsidRPr="0077466E">
        <w:t>The Supplier must comply, and ensure that all Sub-contractors comply, with the recommendations in NCSC Device Guidance, as updated, amended or replaced from time to time, as if those recommendations were incorporated as specific obligations under this Agreement.</w:t>
      </w:r>
    </w:p>
    <w:p w14:paraId="479F0A13" w14:textId="44E405B2" w:rsidR="00F67E9E" w:rsidRPr="00E34031" w:rsidRDefault="00F67E9E" w:rsidP="00F67E9E">
      <w:pPr>
        <w:pStyle w:val="AppendixText2"/>
        <w:rPr>
          <w:rFonts w:cs="Arial"/>
        </w:rPr>
      </w:pPr>
      <w:r w:rsidRPr="0077466E">
        <w:t xml:space="preserve">Where there any conflict between the requirements of this </w:t>
      </w:r>
      <w:r>
        <w:rPr>
          <w:rFonts w:cs="Arial"/>
        </w:rPr>
        <w:fldChar w:fldCharType="begin"/>
      </w:r>
      <w:r>
        <w:rPr>
          <w:rFonts w:cs="Arial"/>
        </w:rPr>
        <w:instrText xml:space="preserve"> REF Schedule5 \h </w:instrText>
      </w:r>
      <w:r>
        <w:rPr>
          <w:rFonts w:cs="Arial"/>
        </w:rPr>
      </w:r>
      <w:r>
        <w:rPr>
          <w:rFonts w:cs="Arial"/>
        </w:rPr>
        <w:fldChar w:fldCharType="separate"/>
      </w:r>
      <w:r w:rsidR="00302D39" w:rsidRPr="005D0525">
        <w:t>Schedule</w:t>
      </w:r>
      <w:r w:rsidR="00302D39">
        <w:t> </w:t>
      </w:r>
      <w:r w:rsidR="00302D39" w:rsidRPr="005D0525">
        <w:t>5</w:t>
      </w:r>
      <w:r>
        <w:rPr>
          <w:rFonts w:cs="Arial"/>
        </w:rPr>
        <w:fldChar w:fldCharType="end"/>
      </w:r>
      <w:r>
        <w:rPr>
          <w:rFonts w:cs="Arial"/>
        </w:rPr>
        <w:t xml:space="preserve"> (</w:t>
      </w:r>
      <w:r w:rsidRPr="00A22335">
        <w:rPr>
          <w:rFonts w:cs="Arial"/>
          <w:i/>
          <w:iCs/>
        </w:rPr>
        <w:fldChar w:fldCharType="begin"/>
      </w:r>
      <w:r w:rsidRPr="00A22335">
        <w:rPr>
          <w:rFonts w:cs="Arial"/>
          <w:i/>
          <w:iCs/>
        </w:rPr>
        <w:instrText xml:space="preserve"> REF Schedule5Heading \h </w:instrText>
      </w:r>
      <w:r>
        <w:rPr>
          <w:rFonts w:cs="Arial"/>
          <w:i/>
          <w:iCs/>
        </w:rPr>
        <w:instrText xml:space="preserve"> \* MERGEFORMAT </w:instrText>
      </w:r>
      <w:r w:rsidRPr="00A22335">
        <w:rPr>
          <w:rFonts w:cs="Arial"/>
          <w:i/>
          <w:iCs/>
        </w:rPr>
      </w:r>
      <w:r w:rsidRPr="00A22335">
        <w:rPr>
          <w:rFonts w:cs="Arial"/>
          <w:i/>
          <w:iCs/>
        </w:rPr>
        <w:fldChar w:fldCharType="separate"/>
      </w:r>
      <w:r w:rsidR="00302D39" w:rsidRPr="00302D39">
        <w:rPr>
          <w:i/>
          <w:iCs/>
        </w:rPr>
        <w:t>Security Management</w:t>
      </w:r>
      <w:r w:rsidRPr="00A22335">
        <w:rPr>
          <w:rFonts w:cs="Arial"/>
          <w:i/>
          <w:iCs/>
        </w:rPr>
        <w:fldChar w:fldCharType="end"/>
      </w:r>
      <w:r>
        <w:rPr>
          <w:rFonts w:cs="Arial"/>
        </w:rPr>
        <w:t>)</w:t>
      </w:r>
      <w:r w:rsidRPr="0077466E">
        <w:t xml:space="preserve"> and the requirements of the NCSC Device Guidance, the requirements of this Schedule will take precedence.</w:t>
      </w:r>
    </w:p>
    <w:p w14:paraId="3B5263BA" w14:textId="77777777" w:rsidR="00F67E9E" w:rsidRPr="0077466E" w:rsidRDefault="00F67E9E" w:rsidP="00F67E9E">
      <w:pPr>
        <w:pStyle w:val="AppendixText1"/>
      </w:pPr>
      <w:r w:rsidRPr="0077466E">
        <w:t>Encryption</w:t>
      </w:r>
    </w:p>
    <w:p w14:paraId="62C8B4D4" w14:textId="77777777" w:rsidR="00F67E9E" w:rsidRPr="0077466E" w:rsidRDefault="00F67E9E" w:rsidP="00F67E9E">
      <w:pPr>
        <w:pStyle w:val="AppendixText2"/>
      </w:pPr>
      <w:r w:rsidRPr="0077466E">
        <w:t>The Supplier must ensure, and must ensure that all Sub-contractors ensure, that Authority Data is encrypted:</w:t>
      </w:r>
    </w:p>
    <w:p w14:paraId="48CE1630" w14:textId="77777777" w:rsidR="00F67E9E" w:rsidRPr="0077466E" w:rsidRDefault="00F67E9E" w:rsidP="00F67E9E">
      <w:pPr>
        <w:pStyle w:val="AppendixText3"/>
        <w:ind w:left="1440" w:hanging="720"/>
      </w:pPr>
      <w:r w:rsidRPr="0077466E">
        <w:t>when stored at any time when no operation is being performed on it; and</w:t>
      </w:r>
    </w:p>
    <w:p w14:paraId="2535FBDE" w14:textId="77777777" w:rsidR="00F67E9E" w:rsidRPr="0077466E" w:rsidRDefault="00F67E9E" w:rsidP="00F67E9E">
      <w:pPr>
        <w:pStyle w:val="AppendixText3"/>
        <w:ind w:left="1440" w:hanging="720"/>
      </w:pPr>
      <w:r w:rsidRPr="0077466E">
        <w:t>when transmitted.</w:t>
      </w:r>
    </w:p>
    <w:p w14:paraId="230C319E" w14:textId="77777777" w:rsidR="00F67E9E" w:rsidRPr="0077466E" w:rsidRDefault="00F67E9E" w:rsidP="00F67E9E">
      <w:pPr>
        <w:pStyle w:val="AppendixText2"/>
      </w:pPr>
      <w:r w:rsidRPr="0077466E">
        <w:t>Where the Supplier, or a Sub-contractor, cannot encrypt Authority Data the Supplier must:</w:t>
      </w:r>
    </w:p>
    <w:p w14:paraId="25D83631" w14:textId="77777777" w:rsidR="00F67E9E" w:rsidRPr="0077466E" w:rsidRDefault="00F67E9E" w:rsidP="00F67E9E">
      <w:pPr>
        <w:pStyle w:val="AppendixText3"/>
        <w:ind w:left="1440" w:hanging="720"/>
      </w:pPr>
      <w:r w:rsidRPr="0077466E">
        <w:t>immediately inform the Authority of the subset or subsets of Authority Data it cannot encrypt and the circumstances in which and the reasons why it cannot do so;</w:t>
      </w:r>
    </w:p>
    <w:p w14:paraId="72A3CDB0" w14:textId="77777777" w:rsidR="00F67E9E" w:rsidRPr="0077466E" w:rsidRDefault="00F67E9E" w:rsidP="00F67E9E">
      <w:pPr>
        <w:pStyle w:val="AppendixText3"/>
        <w:ind w:left="1440" w:hanging="720"/>
      </w:pPr>
      <w:r w:rsidRPr="0077466E">
        <w:t>provide details of the protective measures the Supplier or Sub-contractor (as applicable) proposes to take to provide equivalent protection to the Authority as encryption; and</w:t>
      </w:r>
    </w:p>
    <w:p w14:paraId="1116DB9E" w14:textId="77777777" w:rsidR="00F67E9E" w:rsidRPr="0077466E" w:rsidRDefault="00F67E9E" w:rsidP="00F67E9E">
      <w:pPr>
        <w:pStyle w:val="AppendixText3"/>
        <w:ind w:left="1440" w:hanging="720"/>
      </w:pPr>
      <w:r w:rsidRPr="0077466E">
        <w:t>provide the Authority with such information relating to the Authority Data concerned, the reasons why that Authority Data cannot be encrypted and the proposed protective measures as the Authority may require.</w:t>
      </w:r>
    </w:p>
    <w:p w14:paraId="34F3E77C" w14:textId="77777777" w:rsidR="00F67E9E" w:rsidRPr="0077466E" w:rsidRDefault="00F67E9E" w:rsidP="00F67E9E">
      <w:pPr>
        <w:pStyle w:val="AppendixText2"/>
      </w:pPr>
      <w:r w:rsidRPr="0077466E">
        <w:t>The Authority, the Supplier and, where the Authority requires, any relevant Sub-contractor shall meet to agree appropriate protective measures for the unencrypted Authority Data.</w:t>
      </w:r>
    </w:p>
    <w:p w14:paraId="0C044489" w14:textId="77777777" w:rsidR="00F67E9E" w:rsidRPr="0077466E" w:rsidRDefault="00F67E9E" w:rsidP="00F67E9E">
      <w:pPr>
        <w:pStyle w:val="AppendixText2"/>
      </w:pPr>
      <w:r w:rsidRPr="0077466E">
        <w:t>Where the Authority and Supplier reach agreement, the Supplier must update the Security Management Plan to include:</w:t>
      </w:r>
    </w:p>
    <w:p w14:paraId="1AC5EFFF" w14:textId="77777777" w:rsidR="00F67E9E" w:rsidRPr="0077466E" w:rsidRDefault="00F67E9E" w:rsidP="00F67E9E">
      <w:pPr>
        <w:pStyle w:val="AppendixText3"/>
        <w:ind w:left="1440" w:hanging="720"/>
      </w:pPr>
      <w:r w:rsidRPr="0077466E">
        <w:t>the subset or subsets of Authority Data not encrypted and the circumstances in which that will occur; and</w:t>
      </w:r>
    </w:p>
    <w:p w14:paraId="3694D444" w14:textId="77777777" w:rsidR="00F67E9E" w:rsidRPr="0077466E" w:rsidRDefault="00F67E9E" w:rsidP="00F67E9E">
      <w:pPr>
        <w:pStyle w:val="AppendixText3"/>
        <w:ind w:left="1440" w:hanging="720"/>
      </w:pPr>
      <w:r w:rsidRPr="0077466E">
        <w:t>the protective measure that the Supplier and/or Sub-contractor will put in please in respect of the unencrypted Authority Data.</w:t>
      </w:r>
    </w:p>
    <w:p w14:paraId="06A00B40" w14:textId="77777777" w:rsidR="00F67E9E" w:rsidRPr="002E7013" w:rsidRDefault="00F67E9E" w:rsidP="00F67E9E">
      <w:pPr>
        <w:pStyle w:val="AppendixText2"/>
        <w:rPr>
          <w:rFonts w:cs="Arial"/>
        </w:rPr>
      </w:pPr>
      <w:r w:rsidRPr="0077466E">
        <w:t>Where the Authority and Supplier do not reach agreement wit</w:t>
      </w:r>
      <w:r w:rsidRPr="001B3F59">
        <w:t xml:space="preserve">hin 40 Working Days of the date on which the Supplier first notified the </w:t>
      </w:r>
      <w:r>
        <w:t>Authority</w:t>
      </w:r>
      <w:r w:rsidRPr="001B3F59">
        <w:t xml:space="preserve"> that it could not encrypt certain </w:t>
      </w:r>
      <w:r>
        <w:t>Authority</w:t>
      </w:r>
      <w:r w:rsidRPr="001B3F59">
        <w:t xml:space="preserve"> Data, either party may refer the matter to </w:t>
      </w:r>
      <w:r w:rsidRPr="002E7013">
        <w:rPr>
          <w:highlight w:val="yellow"/>
        </w:rPr>
        <w:t>[</w:t>
      </w:r>
      <w:r w:rsidRPr="003843A3">
        <w:rPr>
          <w:highlight w:val="yellow"/>
        </w:rPr>
        <w:t>be determined in accordance with the Dispute Resolution Procedure</w:t>
      </w:r>
      <w:r w:rsidRPr="002E7013">
        <w:rPr>
          <w:highlight w:val="yellow"/>
        </w:rPr>
        <w:t>]</w:t>
      </w:r>
      <w:r w:rsidRPr="002E7013">
        <w:rPr>
          <w:rFonts w:cs="Arial"/>
        </w:rPr>
        <w:t>.</w:t>
      </w:r>
    </w:p>
    <w:p w14:paraId="44DC41DC" w14:textId="77777777" w:rsidR="00F67E9E" w:rsidRPr="001B1EB0" w:rsidRDefault="00F67E9E" w:rsidP="00F67E9E">
      <w:pPr>
        <w:pStyle w:val="AppendixText1"/>
      </w:pPr>
      <w:r w:rsidRPr="001B1EB0">
        <w:t>Personnel Security</w:t>
      </w:r>
    </w:p>
    <w:p w14:paraId="50D763D2" w14:textId="77777777" w:rsidR="00F67E9E" w:rsidRPr="001B1EB0" w:rsidRDefault="00F67E9E" w:rsidP="00F67E9E">
      <w:pPr>
        <w:pStyle w:val="AppendixText2"/>
      </w:pPr>
      <w:bookmarkStart w:id="730" w:name="_9kR3WTrAG8DECHDKCucgA63xr1qn2pv9Cv0C3xF"/>
      <w:bookmarkStart w:id="731" w:name="_Ref_ContractCompanion_9kb9Ur9A6"/>
      <w:r w:rsidRPr="001B1EB0">
        <w:t>All Supplier Staff shall be subject to a pre-employment check before they may participate in the provision and or management of the Services.</w:t>
      </w:r>
      <w:bookmarkEnd w:id="730"/>
      <w:r>
        <w:t xml:space="preserve"> </w:t>
      </w:r>
      <w:r w:rsidRPr="001B1EB0">
        <w:t>Such pre-employment checks must include all pre-employment checks which are required by the HMG Baseline Personnel Security Standard including: verification of the individual</w:t>
      </w:r>
      <w:r>
        <w:t>’</w:t>
      </w:r>
      <w:r w:rsidRPr="001B1EB0">
        <w:t>s identity; verification of the individual</w:t>
      </w:r>
      <w:r>
        <w:t>’</w:t>
      </w:r>
      <w:r w:rsidRPr="001B1EB0">
        <w:t>s nationality and immigration status; and, verification of the individual</w:t>
      </w:r>
      <w:r>
        <w:t>’</w:t>
      </w:r>
      <w:r w:rsidRPr="001B1EB0">
        <w:t>s employment history; verification of the individual</w:t>
      </w:r>
      <w:r>
        <w:t>’</w:t>
      </w:r>
      <w:r w:rsidRPr="001B1EB0">
        <w:t>s criminal record.</w:t>
      </w:r>
      <w:bookmarkEnd w:id="731"/>
    </w:p>
    <w:p w14:paraId="721D5364" w14:textId="77777777" w:rsidR="00F67E9E" w:rsidRPr="0077466E" w:rsidRDefault="00F67E9E" w:rsidP="00F67E9E">
      <w:pPr>
        <w:pStyle w:val="AppendixText2"/>
      </w:pPr>
      <w:bookmarkStart w:id="732" w:name="_9kR3WTrAG8DEFKEeRjDOE2y947O6w07CykvPLIC"/>
      <w:bookmarkStart w:id="733" w:name="_Ref_ContractCompanion_9kb9Ur9A9"/>
      <w:r w:rsidRPr="0077466E">
        <w:t>The Authority and the Supplier shall review the roles and responsibilities of the Supplier Staff who will be involved in the management and/or provision of the Services in order to enable the Authority to determine which roles require additional vetting and a specific national security vetting clearance (e.g. a Counter Terrorist Check;</w:t>
      </w:r>
      <w:bookmarkEnd w:id="732"/>
      <w:r w:rsidRPr="0077466E">
        <w:t xml:space="preserve"> a Security Check).</w:t>
      </w:r>
      <w:r>
        <w:t xml:space="preserve"> </w:t>
      </w:r>
      <w:r w:rsidRPr="0077466E">
        <w:t>Roles which are likely to require additional vetting and a specific national security vetting clearance include system administrators whose role would provide those individuals with privileged access to IT systems which Process Authority Data or data which, if it were Authority Data, would be classified as OFFICIAL-SENSITIVE.</w:t>
      </w:r>
      <w:bookmarkEnd w:id="733"/>
    </w:p>
    <w:p w14:paraId="6A1516F1" w14:textId="56DD7B09" w:rsidR="00F67E9E" w:rsidRPr="0077466E" w:rsidRDefault="00F67E9E" w:rsidP="00F67E9E">
      <w:pPr>
        <w:pStyle w:val="AppendixText2"/>
      </w:pPr>
      <w:r w:rsidRPr="0077466E">
        <w:t xml:space="preserve">The Supplier shall not permit Supplier Staff who fail the security checks required by </w:t>
      </w:r>
      <w:bookmarkStart w:id="734" w:name="_9kMHG5YVtCIAFGEJFMEweiC85zt3sp4rxBEx2E5"/>
      <w:r w:rsidRPr="0077466E">
        <w:t xml:space="preserve">Paragraphs </w:t>
      </w:r>
      <w:r w:rsidRPr="0077466E">
        <w:fldChar w:fldCharType="begin"/>
      </w:r>
      <w:r w:rsidRPr="0077466E">
        <w:instrText xml:space="preserve"> REF _Ref_ContractCompanion_9kb9Ur9A6 \n \h \t \* MERGEFORMAT </w:instrText>
      </w:r>
      <w:r w:rsidRPr="0077466E">
        <w:fldChar w:fldCharType="separate"/>
      </w:r>
      <w:r w:rsidR="00302D39">
        <w:t>4.1</w:t>
      </w:r>
      <w:r w:rsidRPr="0077466E">
        <w:fldChar w:fldCharType="end"/>
      </w:r>
      <w:bookmarkEnd w:id="734"/>
      <w:r w:rsidRPr="0077466E">
        <w:t xml:space="preserve"> and </w:t>
      </w:r>
      <w:bookmarkStart w:id="735" w:name="_9kMHG5YVtCIAFGHMGgTlFQG40B69Q8y29E0mxRN"/>
      <w:r w:rsidRPr="0077466E">
        <w:fldChar w:fldCharType="begin"/>
      </w:r>
      <w:r w:rsidRPr="0077466E">
        <w:instrText xml:space="preserve"> REF _Ref_ContractCompanion_9kb9Ur9A9 \n \h \t \* MERGEFORMAT </w:instrText>
      </w:r>
      <w:r w:rsidRPr="0077466E">
        <w:fldChar w:fldCharType="separate"/>
      </w:r>
      <w:r w:rsidR="00302D39">
        <w:t>4.2</w:t>
      </w:r>
      <w:r w:rsidRPr="0077466E">
        <w:fldChar w:fldCharType="end"/>
      </w:r>
      <w:bookmarkEnd w:id="735"/>
      <w:r w:rsidRPr="0077466E">
        <w:t xml:space="preserve"> to be involved in the management and/or provision of the Services except where the Authority has expressly agreed in writing to the involvement of the named individual in the management and/or provision of the Services.</w:t>
      </w:r>
    </w:p>
    <w:p w14:paraId="461DFFE1" w14:textId="77777777" w:rsidR="00F67E9E" w:rsidRPr="0077466E" w:rsidRDefault="00F67E9E" w:rsidP="00F67E9E">
      <w:pPr>
        <w:pStyle w:val="AppendixText2"/>
      </w:pPr>
      <w:r w:rsidRPr="0077466E">
        <w:t xml:space="preserve">The Supplier shall ensure that Supplier Staff are only granted such access to Authority Data as is necessary to enable the Supplier Staff to perform their role and to fulfil their responsibilities. </w:t>
      </w:r>
    </w:p>
    <w:p w14:paraId="07EE3CE6" w14:textId="77777777" w:rsidR="00F67E9E" w:rsidRPr="0077466E" w:rsidRDefault="00F67E9E" w:rsidP="00F67E9E">
      <w:pPr>
        <w:pStyle w:val="AppendixText2"/>
      </w:pPr>
      <w:r w:rsidRPr="0077466E">
        <w:t>The Supplier shall ensure that Supplier Staff who no longer require access to the Authority Data (e.g. they cease to be employed by the Supplier or any of its Sub-contractors), have their rights to access the Authority Data revoked within 1 Working Day.</w:t>
      </w:r>
    </w:p>
    <w:p w14:paraId="59A2F515" w14:textId="77777777" w:rsidR="00F67E9E" w:rsidRPr="0077466E" w:rsidRDefault="00F67E9E" w:rsidP="00F67E9E">
      <w:pPr>
        <w:pStyle w:val="AppendixText2"/>
      </w:pPr>
      <w:bookmarkStart w:id="736" w:name="_Ref_ContractCompanion_9kb9Ur9B3"/>
      <w:bookmarkStart w:id="737" w:name="_9kR3WTrAG8DF9DIiRjVgA63xr1G7qv714JRRCFJ"/>
      <w:r w:rsidRPr="0077466E">
        <w:t>The Supplier shall ensure that Supplier Staff that have access to the Sites, the IT Environment or the Authority Data receive regular training on security awareness that reflects the degree of access those individuals have to the Sites, the IT Environment or the Authority Data.</w:t>
      </w:r>
      <w:bookmarkEnd w:id="736"/>
      <w:bookmarkEnd w:id="737"/>
    </w:p>
    <w:p w14:paraId="5BA102F0" w14:textId="0AA219C4" w:rsidR="00F67E9E" w:rsidRPr="0077466E" w:rsidRDefault="00F67E9E" w:rsidP="00F67E9E">
      <w:pPr>
        <w:pStyle w:val="AppendixText2"/>
      </w:pPr>
      <w:r w:rsidRPr="0077466E">
        <w:t xml:space="preserve">The Supplier shall ensure that the training provided to Supplier Staff under </w:t>
      </w:r>
      <w:bookmarkStart w:id="738" w:name="_9kMHG5YVtCIAFHBFKkTlXiC85zt3I9sx936LTTE"/>
      <w:r w:rsidRPr="0077466E">
        <w:t xml:space="preserve">Paragraph </w:t>
      </w:r>
      <w:r w:rsidRPr="0077466E">
        <w:fldChar w:fldCharType="begin"/>
      </w:r>
      <w:r w:rsidRPr="0077466E">
        <w:instrText xml:space="preserve"> REF _Ref_ContractCompanion_9kb9Ur9B3 \n \h \t \* MERGEFORMAT </w:instrText>
      </w:r>
      <w:r w:rsidRPr="0077466E">
        <w:fldChar w:fldCharType="separate"/>
      </w:r>
      <w:r w:rsidR="00302D39">
        <w:t>4.6</w:t>
      </w:r>
      <w:r w:rsidRPr="0077466E">
        <w:fldChar w:fldCharType="end"/>
      </w:r>
      <w:bookmarkEnd w:id="738"/>
      <w:r w:rsidRPr="0077466E">
        <w:t xml:space="preserve"> includes training on the identification and reporting fraudulent communications intended to induce individuals to disclose Personal Data or any other information that could be used, including in combination with other Personal Data or information, or with other techniques, to facilitate unauthorised access to the Sites, the IT Environment or the Authority Data (</w:t>
      </w:r>
      <w:r>
        <w:t>“</w:t>
      </w:r>
      <w:r w:rsidRPr="0077466E">
        <w:t>phishing</w:t>
      </w:r>
      <w:r>
        <w:t>”</w:t>
      </w:r>
      <w:r w:rsidRPr="0077466E">
        <w:t>).</w:t>
      </w:r>
    </w:p>
    <w:p w14:paraId="4AFAA8FF" w14:textId="77777777" w:rsidR="00F67E9E" w:rsidRPr="0077466E" w:rsidRDefault="00F67E9E" w:rsidP="00F67E9E">
      <w:pPr>
        <w:pStyle w:val="AppendixText1"/>
      </w:pPr>
      <w:r w:rsidRPr="0077466E">
        <w:t>Identity, Authentication and Access Control</w:t>
      </w:r>
    </w:p>
    <w:p w14:paraId="0D32297D" w14:textId="77777777" w:rsidR="00F67E9E" w:rsidRPr="0077466E" w:rsidRDefault="00F67E9E" w:rsidP="00F67E9E">
      <w:pPr>
        <w:pStyle w:val="AppendixText2"/>
      </w:pPr>
      <w:r w:rsidRPr="0077466E">
        <w:t xml:space="preserve">The Supplier shall operate an access control regime to ensure: </w:t>
      </w:r>
    </w:p>
    <w:p w14:paraId="586E54A2" w14:textId="77777777" w:rsidR="00F67E9E" w:rsidRPr="0077466E" w:rsidRDefault="00F67E9E" w:rsidP="00F67E9E">
      <w:pPr>
        <w:pStyle w:val="AppendixText3"/>
        <w:ind w:left="1440" w:hanging="720"/>
      </w:pPr>
      <w:r w:rsidRPr="0077466E">
        <w:t>all users and administrators of the Supplier System are uniquely identified and authenticated when accessing or administering the Services; and</w:t>
      </w:r>
    </w:p>
    <w:p w14:paraId="1BB1BBD9" w14:textId="77777777" w:rsidR="00F67E9E" w:rsidRPr="0077466E" w:rsidRDefault="00F67E9E" w:rsidP="00F67E9E">
      <w:pPr>
        <w:pStyle w:val="AppendixText3"/>
        <w:ind w:left="1440" w:hanging="720"/>
      </w:pPr>
      <w:r w:rsidRPr="0077466E">
        <w:t>all persons who access the Sites are identified and authenticated before they are allowed access to the Sites.</w:t>
      </w:r>
    </w:p>
    <w:p w14:paraId="0C802404" w14:textId="77777777" w:rsidR="00F67E9E" w:rsidRPr="0077466E" w:rsidRDefault="00F67E9E" w:rsidP="00F67E9E">
      <w:pPr>
        <w:pStyle w:val="AppendixText2"/>
      </w:pPr>
      <w:r w:rsidRPr="0077466E">
        <w:t xml:space="preserve">The Supplier shall apply the </w:t>
      </w:r>
      <w:r>
        <w:t>‘</w:t>
      </w:r>
      <w:r w:rsidRPr="0077466E">
        <w:t>principle of least privilege</w:t>
      </w:r>
      <w:r>
        <w:t>’</w:t>
      </w:r>
      <w:r w:rsidRPr="0077466E">
        <w:t xml:space="preserve"> when allowing persons access to the Supplier System and Sites so that such persons are allowed access only to those parts of the Sites and the Supplier System they require. </w:t>
      </w:r>
    </w:p>
    <w:p w14:paraId="2AF25910" w14:textId="77777777" w:rsidR="00F67E9E" w:rsidRPr="0077466E" w:rsidRDefault="00F67E9E" w:rsidP="00F67E9E">
      <w:pPr>
        <w:pStyle w:val="AppendixText2"/>
      </w:pPr>
      <w:r w:rsidRPr="0077466E">
        <w:t>The Supplier shall retain records of access to the Sites and to the Supplier System and shall make such record available to the Authority on request.</w:t>
      </w:r>
      <w:r>
        <w:t xml:space="preserve"> </w:t>
      </w:r>
    </w:p>
    <w:p w14:paraId="2E4F89B7" w14:textId="77777777" w:rsidR="00F67E9E" w:rsidRPr="0077466E" w:rsidRDefault="00F67E9E" w:rsidP="00F67E9E">
      <w:pPr>
        <w:pStyle w:val="AppendixText1"/>
      </w:pPr>
      <w:r w:rsidRPr="0077466E">
        <w:t>Audit and Protective Monitoring</w:t>
      </w:r>
    </w:p>
    <w:p w14:paraId="3C62EF39" w14:textId="77777777" w:rsidR="00F67E9E" w:rsidRPr="0077466E" w:rsidRDefault="00F67E9E" w:rsidP="00F67E9E">
      <w:pPr>
        <w:pStyle w:val="AppendixText2"/>
      </w:pPr>
      <w:r w:rsidRPr="0077466E">
        <w:t>The Supplier shall collect audit records which relate to security events in Core Information Management System or that would support the analysis of potential and actual compromises. In order to facilitate effective monitoring and forensic readiness such Supplier audit records should (as a minimum) include regular reports and alerts setting out details of access by users of the Core Information Management System, to enable the identification of (without limitation) changing access trends, any unusual patterns of usage and/or accounts accessing higher than average amounts of Authority Data.</w:t>
      </w:r>
    </w:p>
    <w:p w14:paraId="3A802AF5" w14:textId="77777777" w:rsidR="00F67E9E" w:rsidRPr="0077466E" w:rsidRDefault="00F67E9E" w:rsidP="00F67E9E">
      <w:pPr>
        <w:pStyle w:val="AppendixText2"/>
      </w:pPr>
      <w:r w:rsidRPr="0077466E">
        <w:t xml:space="preserve">In addition to any requirement in </w:t>
      </w:r>
      <w:bookmarkStart w:id="739" w:name="_9kR3WTr2CC5ACLChrAv7QR"/>
      <w:r w:rsidRPr="0077466E">
        <w:t>Clause 37.3</w:t>
      </w:r>
      <w:bookmarkEnd w:id="739"/>
      <w:r w:rsidRPr="0077466E">
        <w:t>, the Supplier shall</w:t>
      </w:r>
    </w:p>
    <w:p w14:paraId="61FCDD42" w14:textId="77777777" w:rsidR="00F67E9E" w:rsidRPr="0077466E" w:rsidRDefault="00F67E9E" w:rsidP="00F67E9E">
      <w:pPr>
        <w:pStyle w:val="AppendixText3"/>
        <w:ind w:left="1440" w:hanging="720"/>
      </w:pPr>
      <w:bookmarkStart w:id="740" w:name="_Ref_ContractCompanion_9kb9Ur9B6"/>
      <w:bookmarkStart w:id="741" w:name="_9kR3WTrAG8DFCIGCTM00qstvBz15uB4z33FHCJQ"/>
      <w:r w:rsidRPr="0077466E">
        <w:t>Implement audit and monitoring of the Core Information Management System sufficient to comply with any applicable Relevant Requirements and to prevent or detect any Prohibited Act;</w:t>
      </w:r>
      <w:bookmarkEnd w:id="740"/>
      <w:bookmarkEnd w:id="741"/>
    </w:p>
    <w:p w14:paraId="3CC1082A" w14:textId="64EFEEB8" w:rsidR="00F67E9E" w:rsidRPr="0077466E" w:rsidRDefault="00F67E9E" w:rsidP="00F67E9E">
      <w:pPr>
        <w:pStyle w:val="AppendixText3"/>
        <w:ind w:left="1440" w:hanging="720"/>
      </w:pPr>
      <w:r w:rsidRPr="0077466E">
        <w:t xml:space="preserve">Keep sufficient records to demonstrate compliance with the requirements of </w:t>
      </w:r>
      <w:bookmarkStart w:id="742" w:name="_9kMHG5YVtCIAFHEKIEVO22suvxD137wD6155HJE"/>
      <w:r w:rsidRPr="0077466E">
        <w:t xml:space="preserve">Paragraph </w:t>
      </w:r>
      <w:r w:rsidRPr="0077466E">
        <w:fldChar w:fldCharType="begin"/>
      </w:r>
      <w:r w:rsidRPr="0077466E">
        <w:instrText xml:space="preserve"> REF _Ref_ContractCompanion_9kb9Ur9B6 \w \h \t \* MERGEFORMAT </w:instrText>
      </w:r>
      <w:r w:rsidRPr="0077466E">
        <w:fldChar w:fldCharType="separate"/>
      </w:r>
      <w:r w:rsidR="00302D39">
        <w:t>6.2.1</w:t>
      </w:r>
      <w:r w:rsidRPr="0077466E">
        <w:fldChar w:fldCharType="end"/>
      </w:r>
      <w:bookmarkEnd w:id="742"/>
      <w:r w:rsidRPr="0077466E">
        <w:t xml:space="preserve"> to the Authority; and</w:t>
      </w:r>
    </w:p>
    <w:p w14:paraId="54630F45" w14:textId="77777777" w:rsidR="00F67E9E" w:rsidRPr="0077466E" w:rsidRDefault="00F67E9E" w:rsidP="00F67E9E">
      <w:pPr>
        <w:pStyle w:val="AppendixText3"/>
        <w:ind w:left="1440" w:hanging="720"/>
      </w:pPr>
      <w:r w:rsidRPr="0077466E">
        <w:t>Make those records and any documents describing the audit and monitoring undertaken to the Authority on request.</w:t>
      </w:r>
    </w:p>
    <w:p w14:paraId="774DA600" w14:textId="77777777" w:rsidR="00F67E9E" w:rsidRPr="0077466E" w:rsidRDefault="00F67E9E" w:rsidP="00F67E9E">
      <w:pPr>
        <w:pStyle w:val="AppendixText2"/>
      </w:pPr>
      <w:r w:rsidRPr="0077466E">
        <w:t>The Supplier and the Authority shall work together to establish any additional audit and monitoring requirements for the Core Information Management System.</w:t>
      </w:r>
    </w:p>
    <w:p w14:paraId="78E64954" w14:textId="77777777" w:rsidR="00F67E9E" w:rsidRPr="0077466E" w:rsidRDefault="00F67E9E" w:rsidP="00F67E9E">
      <w:pPr>
        <w:pStyle w:val="AppendixText2"/>
      </w:pPr>
      <w:r w:rsidRPr="0077466E">
        <w:t>The retention periods for audit records and event logs must be agreed with the Authority and documented in the Security Management Plan.</w:t>
      </w:r>
    </w:p>
    <w:p w14:paraId="35981B1F" w14:textId="77777777" w:rsidR="00F67E9E" w:rsidRPr="0077466E" w:rsidRDefault="00F67E9E" w:rsidP="00F67E9E">
      <w:pPr>
        <w:pStyle w:val="AppendixText1"/>
      </w:pPr>
      <w:r w:rsidRPr="0077466E">
        <w:t>Secure Architecture</w:t>
      </w:r>
    </w:p>
    <w:p w14:paraId="275534A1" w14:textId="77777777" w:rsidR="00F67E9E" w:rsidRPr="0077466E" w:rsidRDefault="00F67E9E" w:rsidP="00F67E9E">
      <w:pPr>
        <w:pStyle w:val="AppendixText2"/>
      </w:pPr>
      <w:r w:rsidRPr="0077466E">
        <w:t xml:space="preserve">The Supplier shall design the Core Information Management System in accordance with: </w:t>
      </w:r>
    </w:p>
    <w:p w14:paraId="0AD0B917" w14:textId="77777777" w:rsidR="00F67E9E" w:rsidRPr="0077466E" w:rsidRDefault="00F67E9E" w:rsidP="00F67E9E">
      <w:pPr>
        <w:pStyle w:val="AppendixText3"/>
        <w:ind w:left="1440" w:hanging="720"/>
        <w:rPr>
          <w:rFonts w:cs="Arial"/>
        </w:rPr>
      </w:pPr>
      <w:r w:rsidRPr="0077466E">
        <w:rPr>
          <w:rFonts w:cs="Arial"/>
        </w:rPr>
        <w:t xml:space="preserve">the NCSC </w:t>
      </w:r>
      <w:r>
        <w:rPr>
          <w:rFonts w:cs="Arial"/>
        </w:rPr>
        <w:t>“</w:t>
      </w:r>
      <w:r w:rsidRPr="00EE4885">
        <w:t>Security</w:t>
      </w:r>
      <w:r w:rsidRPr="0077466E">
        <w:rPr>
          <w:rFonts w:cs="Arial"/>
        </w:rPr>
        <w:t xml:space="preserve"> Design Principles for Digital Services</w:t>
      </w:r>
      <w:r>
        <w:rPr>
          <w:rFonts w:cs="Arial"/>
        </w:rPr>
        <w:t>”</w:t>
      </w:r>
      <w:r w:rsidRPr="0077466E">
        <w:rPr>
          <w:rFonts w:cs="Arial"/>
        </w:rPr>
        <w:t xml:space="preserve">, a copy of which can be found at: </w:t>
      </w:r>
      <w:hyperlink r:id="rId55" w:history="1">
        <w:r w:rsidRPr="00C7229A">
          <w:rPr>
            <w:rStyle w:val="Hyperlink"/>
            <w:rFonts w:cs="Arial"/>
          </w:rPr>
          <w:t>https://www.ncsc.gov.uk/guidance/security-design-principles-digital-services-main</w:t>
        </w:r>
      </w:hyperlink>
      <w:r w:rsidRPr="0077466E">
        <w:rPr>
          <w:rFonts w:cs="Arial"/>
        </w:rPr>
        <w:t xml:space="preserve">; </w:t>
      </w:r>
    </w:p>
    <w:p w14:paraId="04596E77" w14:textId="77777777" w:rsidR="00F67E9E" w:rsidRPr="0077466E" w:rsidRDefault="00F67E9E" w:rsidP="00F67E9E">
      <w:pPr>
        <w:pStyle w:val="AppendixText3"/>
        <w:ind w:left="1440" w:hanging="720"/>
        <w:rPr>
          <w:rFonts w:cs="Arial"/>
        </w:rPr>
      </w:pPr>
      <w:r w:rsidRPr="0077466E">
        <w:rPr>
          <w:rFonts w:cs="Arial"/>
        </w:rPr>
        <w:t xml:space="preserve">the NCSC </w:t>
      </w:r>
      <w:r>
        <w:rPr>
          <w:rFonts w:cs="Arial"/>
        </w:rPr>
        <w:t>“</w:t>
      </w:r>
      <w:r w:rsidRPr="0077466E">
        <w:rPr>
          <w:rFonts w:cs="Arial"/>
        </w:rPr>
        <w:t xml:space="preserve">Bulk </w:t>
      </w:r>
      <w:r w:rsidRPr="00EE4885">
        <w:t>Data</w:t>
      </w:r>
      <w:r w:rsidRPr="0077466E">
        <w:rPr>
          <w:rFonts w:cs="Arial"/>
        </w:rPr>
        <w:t xml:space="preserve"> Principles</w:t>
      </w:r>
      <w:r>
        <w:rPr>
          <w:rFonts w:cs="Arial"/>
        </w:rPr>
        <w:t>”</w:t>
      </w:r>
      <w:r w:rsidRPr="0077466E">
        <w:rPr>
          <w:rFonts w:cs="Arial"/>
        </w:rPr>
        <w:t xml:space="preserve">, a copy of which can be found at: </w:t>
      </w:r>
      <w:hyperlink r:id="rId56" w:history="1">
        <w:r w:rsidRPr="009611CF">
          <w:rPr>
            <w:rStyle w:val="Hyperlink"/>
            <w:rFonts w:cs="Arial"/>
          </w:rPr>
          <w:t>https://www.ncsc.gov.uk/guidance/protecting-bulk-personal-data-main</w:t>
        </w:r>
      </w:hyperlink>
      <w:r w:rsidRPr="0077466E">
        <w:rPr>
          <w:rFonts w:cs="Arial"/>
        </w:rPr>
        <w:t>; and</w:t>
      </w:r>
    </w:p>
    <w:p w14:paraId="75EF8D2A" w14:textId="77777777" w:rsidR="00F67E9E" w:rsidRPr="0077466E" w:rsidRDefault="00F67E9E" w:rsidP="00F67E9E">
      <w:pPr>
        <w:pStyle w:val="AppendixText3"/>
        <w:ind w:left="1440" w:hanging="720"/>
        <w:rPr>
          <w:rFonts w:cs="Arial"/>
        </w:rPr>
      </w:pPr>
      <w:r w:rsidRPr="0077466E">
        <w:rPr>
          <w:rFonts w:cs="Arial"/>
        </w:rPr>
        <w:t xml:space="preserve">the NSCS </w:t>
      </w:r>
      <w:r>
        <w:rPr>
          <w:rFonts w:cs="Arial"/>
        </w:rPr>
        <w:t>“</w:t>
      </w:r>
      <w:r w:rsidRPr="0077466E">
        <w:rPr>
          <w:rFonts w:cs="Arial"/>
        </w:rPr>
        <w:t xml:space="preserve">Cloud Security </w:t>
      </w:r>
      <w:r w:rsidRPr="00EE4885">
        <w:t>Principles</w:t>
      </w:r>
      <w:r>
        <w:rPr>
          <w:rFonts w:cs="Arial"/>
        </w:rPr>
        <w:t>”</w:t>
      </w:r>
      <w:r w:rsidRPr="0077466E">
        <w:rPr>
          <w:rFonts w:cs="Arial"/>
        </w:rPr>
        <w:t xml:space="preserve">, a copy of which can be found at: </w:t>
      </w:r>
      <w:hyperlink r:id="rId57" w:history="1">
        <w:r w:rsidRPr="009611CF">
          <w:rPr>
            <w:rStyle w:val="Hyperlink"/>
            <w:rFonts w:cs="Arial"/>
          </w:rPr>
          <w:t>https://www.ncsc.gov.uk/guidance/implementing-cloud-security-principles</w:t>
        </w:r>
      </w:hyperlink>
      <w:r>
        <w:rPr>
          <w:rFonts w:cs="Arial"/>
        </w:rPr>
        <w:t xml:space="preserve"> </w:t>
      </w:r>
      <w:r w:rsidRPr="0077466E">
        <w:rPr>
          <w:rFonts w:cs="Arial"/>
        </w:rPr>
        <w:t>and which are summarised below:</w:t>
      </w:r>
    </w:p>
    <w:p w14:paraId="02077E78" w14:textId="77777777" w:rsidR="00F67E9E" w:rsidRPr="0077466E" w:rsidRDefault="00F67E9E" w:rsidP="00F67E9E">
      <w:pPr>
        <w:pStyle w:val="Numbered111a"/>
        <w:ind w:left="2160"/>
      </w:pPr>
      <w:r>
        <w:t>“</w:t>
      </w:r>
      <w:r w:rsidRPr="0077466E">
        <w:t>Cloud Security Principle 1: data in transit protection</w:t>
      </w:r>
      <w:r>
        <w:t>”</w:t>
      </w:r>
      <w:r w:rsidRPr="0077466E">
        <w:t xml:space="preserve"> which, amongst other matters, requires that user data transiting networks should be adequately protected against tampering and eavesdropping;</w:t>
      </w:r>
    </w:p>
    <w:p w14:paraId="748B7EF5" w14:textId="77777777" w:rsidR="00F67E9E" w:rsidRPr="0077466E" w:rsidRDefault="00F67E9E" w:rsidP="00F67E9E">
      <w:pPr>
        <w:pStyle w:val="Numbered111a"/>
        <w:ind w:left="2160"/>
      </w:pPr>
      <w:r>
        <w:t>“</w:t>
      </w:r>
      <w:r w:rsidRPr="0077466E">
        <w:t>Cloud Security Principle 2: asset protection and resilience</w:t>
      </w:r>
      <w:r>
        <w:t>”</w:t>
      </w:r>
      <w:r w:rsidRPr="0077466E">
        <w:t xml:space="preserve"> which, amongst other matters, requires that user data, and the assets storing or processing it, should be protected against physical tampering, loss, damage or seizure;</w:t>
      </w:r>
    </w:p>
    <w:p w14:paraId="26927425" w14:textId="77777777" w:rsidR="00F67E9E" w:rsidRPr="0077466E" w:rsidRDefault="00F67E9E" w:rsidP="00F67E9E">
      <w:pPr>
        <w:pStyle w:val="Numbered111a"/>
        <w:ind w:left="2160"/>
      </w:pPr>
      <w:r>
        <w:t>“</w:t>
      </w:r>
      <w:r w:rsidRPr="0077466E">
        <w:t>Cloud Security Principle 3: separation between users</w:t>
      </w:r>
      <w:r>
        <w:t>”</w:t>
      </w:r>
      <w:r w:rsidRPr="0077466E">
        <w:t xml:space="preserve"> which, amongst other matters, requires that a malicious or compromised user of the service should not be able to affect the service or data of another;</w:t>
      </w:r>
    </w:p>
    <w:p w14:paraId="5B7E72A7" w14:textId="77777777" w:rsidR="00F67E9E" w:rsidRPr="0077466E" w:rsidRDefault="00F67E9E" w:rsidP="00F67E9E">
      <w:pPr>
        <w:pStyle w:val="Numbered111a"/>
        <w:ind w:left="2160"/>
      </w:pPr>
      <w:r>
        <w:t>“</w:t>
      </w:r>
      <w:r w:rsidRPr="0077466E">
        <w:t>Cloud Security Principle 4: governance framework</w:t>
      </w:r>
      <w:r>
        <w:t>”</w:t>
      </w:r>
      <w:r w:rsidRPr="0077466E">
        <w:t xml:space="preserve"> which, amongst other matters, requires that the Supplier should have a security governance framework which coordinates and directs its management of the Services and information within it;</w:t>
      </w:r>
    </w:p>
    <w:p w14:paraId="1D0147E3" w14:textId="77777777" w:rsidR="00F67E9E" w:rsidRPr="0077466E" w:rsidRDefault="00F67E9E" w:rsidP="00F67E9E">
      <w:pPr>
        <w:pStyle w:val="Numbered111a"/>
        <w:ind w:left="2160"/>
      </w:pPr>
      <w:r>
        <w:t>“</w:t>
      </w:r>
      <w:r w:rsidRPr="0077466E">
        <w:t>Cloud Security Principle 5: operational security</w:t>
      </w:r>
      <w:r>
        <w:t>”</w:t>
      </w:r>
      <w:r w:rsidRPr="0077466E">
        <w:t xml:space="preserve"> which, amongst other matters, requires that the Services need to be operated and managed securely in order to impede, detect or prevent a Breach of Security;</w:t>
      </w:r>
    </w:p>
    <w:p w14:paraId="552F936D" w14:textId="77777777" w:rsidR="00F67E9E" w:rsidRPr="0077466E" w:rsidRDefault="00F67E9E" w:rsidP="00F67E9E">
      <w:pPr>
        <w:pStyle w:val="Numbered111a"/>
        <w:ind w:left="2160"/>
      </w:pPr>
      <w:r>
        <w:t>“</w:t>
      </w:r>
      <w:r w:rsidRPr="0077466E">
        <w:t>Cloud Security Principle 6: personnel security</w:t>
      </w:r>
      <w:r>
        <w:t>”</w:t>
      </w:r>
      <w:r w:rsidRPr="0077466E">
        <w:t xml:space="preserve"> which, amongst other matters, requires that where Supplier Staff have access to Authority Data and/or the Authority System that those personnel be subject to appropriate security screening and regular security training;</w:t>
      </w:r>
    </w:p>
    <w:p w14:paraId="1D378CC6" w14:textId="77777777" w:rsidR="00F67E9E" w:rsidRPr="0077466E" w:rsidRDefault="00F67E9E" w:rsidP="00F67E9E">
      <w:pPr>
        <w:pStyle w:val="Numbered111a"/>
        <w:ind w:left="2160"/>
      </w:pPr>
      <w:r>
        <w:t>“</w:t>
      </w:r>
      <w:r w:rsidRPr="0077466E">
        <w:t>Cloud Security Principle 7: secure development</w:t>
      </w:r>
      <w:r>
        <w:t>”</w:t>
      </w:r>
      <w:r w:rsidRPr="0077466E">
        <w:t xml:space="preserve"> which, amongst other matters, requires that the Services be designed and developed to identify and mitigate threats to their security;</w:t>
      </w:r>
    </w:p>
    <w:p w14:paraId="7720490A" w14:textId="77777777" w:rsidR="00F67E9E" w:rsidRPr="0077466E" w:rsidRDefault="00F67E9E" w:rsidP="00F67E9E">
      <w:pPr>
        <w:pStyle w:val="Numbered111a"/>
        <w:ind w:left="2160"/>
      </w:pPr>
      <w:r>
        <w:t>“</w:t>
      </w:r>
      <w:r w:rsidRPr="0077466E">
        <w:t>Cloud Security Principle 8: supply chain security</w:t>
      </w:r>
      <w:r>
        <w:t>”</w:t>
      </w:r>
      <w:r w:rsidRPr="0077466E">
        <w:t xml:space="preserve"> which, amongst other matters, requires the Supplier to ensure that appropriate security controls are in place with its Sub-contractors and other suppliers;</w:t>
      </w:r>
    </w:p>
    <w:p w14:paraId="2C9EFEEB" w14:textId="77777777" w:rsidR="00F67E9E" w:rsidRPr="0077466E" w:rsidRDefault="00F67E9E" w:rsidP="00F67E9E">
      <w:pPr>
        <w:pStyle w:val="Numbered111a"/>
        <w:ind w:left="2160"/>
      </w:pPr>
      <w:r>
        <w:t>“</w:t>
      </w:r>
      <w:r w:rsidRPr="0077466E">
        <w:t>Cloud Security Principle 9: secure user management</w:t>
      </w:r>
      <w:r>
        <w:t>”</w:t>
      </w:r>
      <w:r w:rsidRPr="0077466E">
        <w:t xml:space="preserve"> which, amongst other matters, requires the Supplier to make the tools available for the Authority to securely manage the Authority</w:t>
      </w:r>
      <w:r>
        <w:t>’</w:t>
      </w:r>
      <w:r w:rsidRPr="0077466E">
        <w:t>s use of the Service;</w:t>
      </w:r>
    </w:p>
    <w:p w14:paraId="6AA641A1" w14:textId="77777777" w:rsidR="00F67E9E" w:rsidRPr="0077466E" w:rsidRDefault="00F67E9E" w:rsidP="00F67E9E">
      <w:pPr>
        <w:pStyle w:val="Numbered111a"/>
        <w:ind w:left="2160"/>
      </w:pPr>
      <w:r>
        <w:t>“</w:t>
      </w:r>
      <w:r w:rsidRPr="0077466E">
        <w:t>Cloud Security Principle 10: identity and authentication</w:t>
      </w:r>
      <w:r>
        <w:t>”</w:t>
      </w:r>
      <w:r w:rsidRPr="0077466E">
        <w:t xml:space="preserve"> which, amongst other matters, requires the Supplier to implement appropriate controls in order to ensure that access to Service interfaces is constrained to authenticated and authorised individuals;</w:t>
      </w:r>
    </w:p>
    <w:p w14:paraId="0730A98A" w14:textId="77777777" w:rsidR="00F67E9E" w:rsidRPr="0077466E" w:rsidRDefault="00F67E9E" w:rsidP="00F67E9E">
      <w:pPr>
        <w:pStyle w:val="Numbered111a"/>
        <w:ind w:left="2160"/>
      </w:pPr>
      <w:r>
        <w:t>“</w:t>
      </w:r>
      <w:r w:rsidRPr="0077466E">
        <w:t>Cloud Security Principle 11: external interface protection</w:t>
      </w:r>
      <w:r>
        <w:t>”</w:t>
      </w:r>
      <w:r w:rsidRPr="0077466E">
        <w:t xml:space="preserve"> which, amongst other matters, requires that all external or less trusted interfaces with the Services should be identified and appropriately defended;</w:t>
      </w:r>
    </w:p>
    <w:p w14:paraId="70E4C3C2" w14:textId="77777777" w:rsidR="00F67E9E" w:rsidRPr="0077466E" w:rsidRDefault="00F67E9E" w:rsidP="00F67E9E">
      <w:pPr>
        <w:pStyle w:val="Numbered111a"/>
        <w:ind w:left="2160"/>
      </w:pPr>
      <w:r>
        <w:t>“</w:t>
      </w:r>
      <w:r w:rsidRPr="0077466E">
        <w:t>Cloud Security Principle 12: secure service administration</w:t>
      </w:r>
      <w:r>
        <w:t>”</w:t>
      </w:r>
      <w:r w:rsidRPr="0077466E">
        <w:t xml:space="preserve"> which, amongst other matters, requires that any IT system which is used for administration of a cloud service will have highly privileged access to that service;</w:t>
      </w:r>
    </w:p>
    <w:p w14:paraId="1336E543" w14:textId="77777777" w:rsidR="00F67E9E" w:rsidRPr="0077466E" w:rsidRDefault="00F67E9E" w:rsidP="00F67E9E">
      <w:pPr>
        <w:pStyle w:val="Numbered111a"/>
        <w:ind w:left="2160"/>
      </w:pPr>
      <w:r>
        <w:t>“</w:t>
      </w:r>
      <w:r w:rsidRPr="0077466E">
        <w:t>Cloud Security Principle 13: audit information for users</w:t>
      </w:r>
      <w:r>
        <w:t>”</w:t>
      </w:r>
      <w:r w:rsidRPr="0077466E">
        <w:t xml:space="preserve"> which, amongst other matters, requires the Supplier to be able to provide the Authority with the audit records it needs to monitor access to the Service and the Authority Data held by the Supplier and/or its Sub-contractors;</w:t>
      </w:r>
    </w:p>
    <w:p w14:paraId="3C05F183" w14:textId="77777777" w:rsidR="00F67E9E" w:rsidRDefault="00F67E9E" w:rsidP="00F67E9E">
      <w:pPr>
        <w:pStyle w:val="Numbered111a"/>
        <w:ind w:left="2160"/>
      </w:pPr>
      <w:r>
        <w:t>“</w:t>
      </w:r>
      <w:r w:rsidRPr="0077466E">
        <w:t>Cloud Security Principle 14: secure use of the service</w:t>
      </w:r>
      <w:r>
        <w:t>”</w:t>
      </w:r>
      <w:r w:rsidRPr="0077466E">
        <w:t xml:space="preserve"> which, amongst other matters, requires the Supplier to educate Supplier Staff on the safe and secure use of the Information Management System.</w:t>
      </w:r>
    </w:p>
    <w:p w14:paraId="4B0F14F1" w14:textId="77777777" w:rsidR="00F67E9E" w:rsidRDefault="00F67E9E" w:rsidP="00F67E9E">
      <w:pPr>
        <w:pStyle w:val="Heading2"/>
        <w:pageBreakBefore/>
      </w:pPr>
      <w:bookmarkStart w:id="743" w:name="_Ref_ContractCompanion_9kb9Ur3CA"/>
      <w:bookmarkStart w:id="744" w:name="_Ref_ContractCompanion_9kb9Ur3CC"/>
      <w:bookmarkStart w:id="745" w:name="_Ref_ContractCompanion_9kb9Us79B"/>
      <w:bookmarkStart w:id="746" w:name="_Toc141711915"/>
      <w:r w:rsidRPr="0077466E">
        <w:t xml:space="preserve">Annex </w:t>
      </w:r>
      <w:bookmarkStart w:id="747" w:name="ANNEX2_PARTB_SCHEDULE5"/>
      <w:r w:rsidRPr="0077466E">
        <w:t>2</w:t>
      </w:r>
      <w:bookmarkEnd w:id="747"/>
      <w:r w:rsidRPr="0077466E">
        <w:t xml:space="preserve">: Security Requirements </w:t>
      </w:r>
      <w:r>
        <w:t>f</w:t>
      </w:r>
      <w:r w:rsidRPr="0077466E">
        <w:t>or Sub-Contractors</w:t>
      </w:r>
      <w:bookmarkEnd w:id="743"/>
      <w:bookmarkEnd w:id="744"/>
      <w:bookmarkEnd w:id="745"/>
      <w:bookmarkEnd w:id="746"/>
    </w:p>
    <w:p w14:paraId="1CA3400A" w14:textId="1007D340" w:rsidR="00F67E9E" w:rsidRPr="0077466E" w:rsidRDefault="00F67E9E" w:rsidP="00F67E9E">
      <w:pPr>
        <w:pStyle w:val="AppendixText1"/>
        <w:numPr>
          <w:ilvl w:val="0"/>
          <w:numId w:val="52"/>
        </w:numPr>
      </w:pPr>
      <w:r w:rsidRPr="009A5275">
        <w:t>Application</w:t>
      </w:r>
      <w:r w:rsidRPr="0077466E">
        <w:t xml:space="preserve"> of Annex</w:t>
      </w:r>
      <w:r>
        <w:t xml:space="preserve"> </w:t>
      </w:r>
      <w:r>
        <w:fldChar w:fldCharType="begin"/>
      </w:r>
      <w:r>
        <w:instrText xml:space="preserve"> REF ANNEX2_PARTB_SCHEDULE5 \h </w:instrText>
      </w:r>
      <w:r>
        <w:fldChar w:fldCharType="separate"/>
      </w:r>
      <w:r w:rsidR="00302D39" w:rsidRPr="0077466E">
        <w:t>2</w:t>
      </w:r>
      <w:r>
        <w:fldChar w:fldCharType="end"/>
      </w:r>
    </w:p>
    <w:p w14:paraId="3DDC74FB" w14:textId="4FAC34EA" w:rsidR="00F67E9E" w:rsidRPr="009A5275" w:rsidRDefault="00F67E9E" w:rsidP="00F67E9E">
      <w:pPr>
        <w:pStyle w:val="AppendixText2"/>
      </w:pPr>
      <w:r w:rsidRPr="0077466E">
        <w:t>This Annex</w:t>
      </w:r>
      <w:r>
        <w:t> </w:t>
      </w:r>
      <w:r>
        <w:fldChar w:fldCharType="begin"/>
      </w:r>
      <w:r>
        <w:instrText xml:space="preserve"> REF ANNEX2_PARTB_SCHEDULE5 \h </w:instrText>
      </w:r>
      <w:r>
        <w:fldChar w:fldCharType="separate"/>
      </w:r>
      <w:r w:rsidR="00302D39" w:rsidRPr="0077466E">
        <w:t>2</w:t>
      </w:r>
      <w:r>
        <w:fldChar w:fldCharType="end"/>
      </w:r>
      <w:r w:rsidRPr="0077466E">
        <w:t xml:space="preserve"> </w:t>
      </w:r>
      <w:r w:rsidRPr="009A5275">
        <w:t>applies to all Sub-contractors that Process Authority Data.</w:t>
      </w:r>
    </w:p>
    <w:p w14:paraId="4D80A79C" w14:textId="77777777" w:rsidR="00F67E9E" w:rsidRPr="0077466E" w:rsidRDefault="00F67E9E" w:rsidP="00F67E9E">
      <w:pPr>
        <w:pStyle w:val="AppendixText2"/>
      </w:pPr>
      <w:r w:rsidRPr="009A5275">
        <w:t>The Supplier</w:t>
      </w:r>
      <w:r w:rsidRPr="0077466E">
        <w:t xml:space="preserve"> must:</w:t>
      </w:r>
    </w:p>
    <w:p w14:paraId="5BAAF120" w14:textId="2D4FE223" w:rsidR="00F67E9E" w:rsidRPr="009A5275" w:rsidRDefault="00F67E9E" w:rsidP="00F67E9E">
      <w:pPr>
        <w:pStyle w:val="AppendixText3"/>
      </w:pPr>
      <w:r w:rsidRPr="0077466E">
        <w:t xml:space="preserve">ensure </w:t>
      </w:r>
      <w:r w:rsidRPr="009A5275">
        <w:t>that those Sub-contractors comply with the provisions of this Annex</w:t>
      </w:r>
      <w:r>
        <w:t> </w:t>
      </w:r>
      <w:r>
        <w:fldChar w:fldCharType="begin"/>
      </w:r>
      <w:r>
        <w:instrText xml:space="preserve"> REF ANNEX2_PARTB_SCHEDULE5 \h </w:instrText>
      </w:r>
      <w:r>
        <w:fldChar w:fldCharType="separate"/>
      </w:r>
      <w:r w:rsidR="00302D39" w:rsidRPr="0077466E">
        <w:t>2</w:t>
      </w:r>
      <w:r>
        <w:fldChar w:fldCharType="end"/>
      </w:r>
      <w:r w:rsidRPr="009A5275">
        <w:t>;</w:t>
      </w:r>
    </w:p>
    <w:p w14:paraId="47F13037" w14:textId="77777777" w:rsidR="00F67E9E" w:rsidRPr="009A5275" w:rsidRDefault="00F67E9E" w:rsidP="00F67E9E">
      <w:pPr>
        <w:pStyle w:val="AppendixText3"/>
      </w:pPr>
      <w:r w:rsidRPr="009A5275">
        <w:t>keep sufficient records to demonstrate that compliance to the Authority; and</w:t>
      </w:r>
    </w:p>
    <w:p w14:paraId="0AD394C9" w14:textId="77777777" w:rsidR="00F67E9E" w:rsidRPr="0077466E" w:rsidRDefault="00F67E9E" w:rsidP="00F67E9E">
      <w:pPr>
        <w:pStyle w:val="AppendixText3"/>
      </w:pPr>
      <w:r w:rsidRPr="009A5275">
        <w:t>ensure that</w:t>
      </w:r>
      <w:r w:rsidRPr="0077466E">
        <w:t xml:space="preserve"> its Detailed Implementation Plan includes Deliverables, Milestones and Milestone Dates that relate to the design, implementation and management of any systems used by Sub-contractors to Process Authority Data.</w:t>
      </w:r>
    </w:p>
    <w:p w14:paraId="71FF9E96" w14:textId="77777777" w:rsidR="00F67E9E" w:rsidRPr="0077466E" w:rsidRDefault="00F67E9E" w:rsidP="00F67E9E">
      <w:pPr>
        <w:pStyle w:val="AppendixText1"/>
      </w:pPr>
      <w:r w:rsidRPr="0077466E">
        <w:t xml:space="preserve">Designing </w:t>
      </w:r>
      <w:r w:rsidRPr="009A5275">
        <w:t>and</w:t>
      </w:r>
      <w:r w:rsidRPr="0077466E">
        <w:t xml:space="preserve"> managing secure solutions</w:t>
      </w:r>
    </w:p>
    <w:p w14:paraId="7673C9D7" w14:textId="77777777" w:rsidR="00F67E9E" w:rsidRPr="009A5275" w:rsidRDefault="00F67E9E" w:rsidP="00F67E9E">
      <w:pPr>
        <w:pStyle w:val="AppendixText2"/>
      </w:pPr>
      <w:r w:rsidRPr="0077466E">
        <w:t xml:space="preserve">The Sub-contractor shall </w:t>
      </w:r>
      <w:r w:rsidRPr="009A5275">
        <w:t xml:space="preserve">implement their solution(s) to mitigate the security risks in accordance with the NCSC’s Cyber Security Design Principles </w:t>
      </w:r>
      <w:hyperlink r:id="rId58" w:history="1">
        <w:r w:rsidRPr="009A5275">
          <w:rPr>
            <w:rStyle w:val="Hyperlink"/>
            <w:color w:val="auto"/>
            <w:u w:val="none"/>
          </w:rPr>
          <w:t>https://www.ncsc.gov.uk/collection/cyber-security-design-principles</w:t>
        </w:r>
      </w:hyperlink>
      <w:r w:rsidRPr="009A5275">
        <w:t xml:space="preserve">. </w:t>
      </w:r>
    </w:p>
    <w:p w14:paraId="531325EE" w14:textId="77777777" w:rsidR="00F67E9E" w:rsidRPr="002E7013" w:rsidRDefault="00F67E9E" w:rsidP="00F67E9E">
      <w:pPr>
        <w:pStyle w:val="AppendixText2"/>
        <w:rPr>
          <w:rFonts w:cs="Arial"/>
        </w:rPr>
      </w:pPr>
      <w:r w:rsidRPr="009A5275">
        <w:t xml:space="preserve">The Sub-contractor must assess their systems against the NCSC Cloud Security Principles: </w:t>
      </w:r>
      <w:hyperlink r:id="rId59" w:history="1">
        <w:r w:rsidRPr="009A5275">
          <w:rPr>
            <w:rStyle w:val="Hyperlink"/>
            <w:color w:val="auto"/>
            <w:u w:val="none"/>
          </w:rPr>
          <w:t>https://www.ncsc.gov.uk/collection/cloud-security?curPage=/collection/cloud-security/implementing-the-cloud-security-principles</w:t>
        </w:r>
      </w:hyperlink>
      <w:r w:rsidRPr="009A5275">
        <w:t xml:space="preserve"> at their own cost and expense to demonstrate that the people, process, technical and physical controls have been delivered in an effective way. The Sub-contractor</w:t>
      </w:r>
      <w:r w:rsidRPr="002E7013">
        <w:rPr>
          <w:rFonts w:cs="Arial"/>
        </w:rPr>
        <w:t xml:space="preserve"> must document that assessment and make that documentation available to the Authority on the Authority’s request.</w:t>
      </w:r>
    </w:p>
    <w:p w14:paraId="20A2F9CC" w14:textId="77777777" w:rsidR="00F67E9E" w:rsidRPr="001B1EB0" w:rsidRDefault="00F67E9E" w:rsidP="00F67E9E">
      <w:pPr>
        <w:pStyle w:val="AppendixText1"/>
      </w:pPr>
      <w:r w:rsidRPr="0077466E">
        <w:t xml:space="preserve">Data Processing, </w:t>
      </w:r>
      <w:r w:rsidRPr="009A5275">
        <w:t>Storage</w:t>
      </w:r>
      <w:r w:rsidRPr="0077466E">
        <w:t>,</w:t>
      </w:r>
      <w:r w:rsidRPr="001B1EB0">
        <w:t xml:space="preserve"> Management and Destruction</w:t>
      </w:r>
    </w:p>
    <w:p w14:paraId="2755D4E3" w14:textId="77777777" w:rsidR="00F67E9E" w:rsidRPr="009A5275" w:rsidRDefault="00F67E9E" w:rsidP="00F67E9E">
      <w:pPr>
        <w:pStyle w:val="AppendixText2"/>
      </w:pPr>
      <w:r w:rsidRPr="001B1EB0">
        <w:t>The Sub</w:t>
      </w:r>
      <w:r w:rsidRPr="0077466E">
        <w:t>-contractor</w:t>
      </w:r>
      <w:r w:rsidRPr="001B1EB0">
        <w:t xml:space="preserve"> must not Process any Authority Data outside the </w:t>
      </w:r>
      <w:r>
        <w:t>[</w:t>
      </w:r>
      <w:r w:rsidRPr="003843A3">
        <w:rPr>
          <w:highlight w:val="yellow"/>
        </w:rPr>
        <w:t>UK</w:t>
      </w:r>
      <w:r>
        <w:t>]</w:t>
      </w:r>
      <w:r w:rsidRPr="001B1EB0">
        <w:t xml:space="preserve">. The Authority may permit the </w:t>
      </w:r>
      <w:r w:rsidRPr="0077466E">
        <w:t>Sub-</w:t>
      </w:r>
      <w:r w:rsidRPr="009A5275">
        <w:t>contractor to Process Authority Data outside the [</w:t>
      </w:r>
      <w:r w:rsidRPr="009A5275">
        <w:rPr>
          <w:highlight w:val="yellow"/>
        </w:rPr>
        <w:t>UK</w:t>
      </w:r>
      <w:r w:rsidRPr="009A5275">
        <w:t>] and may impose conditions on that permission, with which the Sub-contractor must comply. Any permission must be in writing to be effective.</w:t>
      </w:r>
    </w:p>
    <w:p w14:paraId="22D4D0C6" w14:textId="77777777" w:rsidR="00F67E9E" w:rsidRPr="0077466E" w:rsidRDefault="00F67E9E" w:rsidP="00F67E9E">
      <w:pPr>
        <w:pStyle w:val="AppendixText2"/>
      </w:pPr>
      <w:r w:rsidRPr="009A5275">
        <w:t>The Sub-contractor must when</w:t>
      </w:r>
      <w:r w:rsidRPr="0077466E">
        <w:t xml:space="preserve"> requested to do so by the Authority:</w:t>
      </w:r>
    </w:p>
    <w:p w14:paraId="5959FA45" w14:textId="77777777" w:rsidR="00F67E9E" w:rsidRPr="009A5275" w:rsidRDefault="00F67E9E" w:rsidP="00F67E9E">
      <w:pPr>
        <w:pStyle w:val="AppendixText3"/>
      </w:pPr>
      <w:r w:rsidRPr="0077466E">
        <w:t>securely destroy</w:t>
      </w:r>
      <w:r w:rsidRPr="00D57C09">
        <w:t xml:space="preserve"> Authority Data only on Sites which are included within the scope of an </w:t>
      </w:r>
      <w:r w:rsidRPr="009A5275">
        <w:t xml:space="preserve">existing certification of compliance with ISO/IEC 27001 (at least ISO/IEC 27001:2013); </w:t>
      </w:r>
    </w:p>
    <w:p w14:paraId="6BE307B3" w14:textId="77777777" w:rsidR="00F67E9E" w:rsidRPr="009A5275" w:rsidRDefault="00F67E9E" w:rsidP="00F67E9E">
      <w:pPr>
        <w:pStyle w:val="AppendixText3"/>
      </w:pPr>
      <w:r w:rsidRPr="009A5275">
        <w:t xml:space="preserve">satisfy the Authority that their data destruction/deletion practices comply with UK GDPR requirements and follows all relevant NCSC guidance; and </w:t>
      </w:r>
    </w:p>
    <w:p w14:paraId="7FAB47AC" w14:textId="77777777" w:rsidR="00F67E9E" w:rsidRPr="00D57C09" w:rsidRDefault="00F67E9E" w:rsidP="00F67E9E">
      <w:pPr>
        <w:pStyle w:val="AppendixText3"/>
      </w:pPr>
      <w:r w:rsidRPr="009A5275">
        <w:t>maintain</w:t>
      </w:r>
      <w:r w:rsidRPr="00D57C09">
        <w:t xml:space="preserve"> an asset register of all Authority supplied information, data and equipment to ensure Authority assets are returned and/or deleted.</w:t>
      </w:r>
    </w:p>
    <w:p w14:paraId="68E9962E" w14:textId="77777777" w:rsidR="00F67E9E" w:rsidRPr="001B1EB0" w:rsidRDefault="00F67E9E" w:rsidP="00F67E9E">
      <w:pPr>
        <w:pStyle w:val="AppendixText1"/>
      </w:pPr>
      <w:r w:rsidRPr="009A5275">
        <w:t>Personnel</w:t>
      </w:r>
      <w:r w:rsidRPr="001B1EB0">
        <w:t xml:space="preserve"> Security</w:t>
      </w:r>
    </w:p>
    <w:p w14:paraId="643356EC" w14:textId="77777777" w:rsidR="00F67E9E" w:rsidRPr="009A5275" w:rsidRDefault="00F67E9E" w:rsidP="00F67E9E">
      <w:pPr>
        <w:pStyle w:val="AppendixText2"/>
      </w:pPr>
      <w:r w:rsidRPr="0077466E">
        <w:t>The Sub-contractor must perform appropriate checks on their staff before they may participate in the provision and or management of the Services. Those checks must include all pre-</w:t>
      </w:r>
      <w:r w:rsidRPr="009A5275">
        <w:t xml:space="preserve">employment checks required by the HMG Baseline Personnel Security Standard including: verification of the individual’s identity; verification of the individual’s nationality and immigration status; verification of the individual’s employment history; and verification of the individual’s criminal record. The HMG Baseline Personnel Security Standard is at </w:t>
      </w:r>
      <w:hyperlink r:id="rId60" w:history="1">
        <w:r w:rsidRPr="009A5275">
          <w:rPr>
            <w:rStyle w:val="Hyperlink"/>
            <w:color w:val="auto"/>
            <w:u w:val="none"/>
          </w:rPr>
          <w:t>https://www.gov.uk/government/publications/government-baseline-personnel-security-standard</w:t>
        </w:r>
      </w:hyperlink>
      <w:r w:rsidRPr="009A5275">
        <w:t>.</w:t>
      </w:r>
    </w:p>
    <w:p w14:paraId="209A9160" w14:textId="77777777" w:rsidR="00F67E9E" w:rsidRPr="009A5275" w:rsidRDefault="00F67E9E" w:rsidP="00F67E9E">
      <w:pPr>
        <w:pStyle w:val="AppendixText2"/>
      </w:pPr>
      <w:r w:rsidRPr="009A5275">
        <w:t>The Sub-contractor must, if the Authority requires, at any time, ensure that one or more of the Sub-contractor’s staff obtains Security Check clearance in order to Process Authority Data containing Personal Data above certain volumes specified by the Authority, or containing Special Category Personal Data.</w:t>
      </w:r>
    </w:p>
    <w:p w14:paraId="64C7CA18" w14:textId="77777777" w:rsidR="00F67E9E" w:rsidRPr="0077466E" w:rsidRDefault="00F67E9E" w:rsidP="00F67E9E">
      <w:pPr>
        <w:pStyle w:val="AppendixText2"/>
      </w:pPr>
      <w:r w:rsidRPr="009A5275">
        <w:t>Any Sub-contractor staff who will, when performing the Services, have access to a person under the age</w:t>
      </w:r>
      <w:r w:rsidRPr="0077466E">
        <w:t xml:space="preserve"> of 18 years must undergo Disclosure and Barring Service checks.</w:t>
      </w:r>
    </w:p>
    <w:p w14:paraId="5FA0D9BA" w14:textId="77777777" w:rsidR="00F67E9E" w:rsidRPr="0077466E" w:rsidRDefault="00F67E9E" w:rsidP="00F67E9E">
      <w:pPr>
        <w:pStyle w:val="AppendixText1"/>
      </w:pPr>
      <w:r w:rsidRPr="0077466E">
        <w:t>End User Devices</w:t>
      </w:r>
    </w:p>
    <w:p w14:paraId="38CD9AB3" w14:textId="77777777" w:rsidR="00F67E9E" w:rsidRPr="00752B31" w:rsidRDefault="00F67E9E" w:rsidP="00F67E9E">
      <w:pPr>
        <w:pStyle w:val="AppendixText2"/>
      </w:pPr>
      <w:r w:rsidRPr="0077466E">
        <w:t xml:space="preserve">The Supplier must manage, and must ensure that all Sub-contractors manage, all end-user devices used by the Supplier on which Authority Data is Processed in accordance the following </w:t>
      </w:r>
      <w:r w:rsidRPr="009B0154">
        <w:t>requirements</w:t>
      </w:r>
      <w:r w:rsidRPr="0077466E">
        <w:t>:</w:t>
      </w:r>
    </w:p>
    <w:p w14:paraId="42B48E9B" w14:textId="77777777" w:rsidR="00F67E9E" w:rsidRPr="009B0154" w:rsidRDefault="00F67E9E" w:rsidP="00F67E9E">
      <w:pPr>
        <w:pStyle w:val="AppendixText3"/>
      </w:pPr>
      <w:r w:rsidRPr="0077466E">
        <w:t xml:space="preserve">the operating system and any applications that Process or have access to Authority Data must be in current support by the vendor, or the relevant </w:t>
      </w:r>
      <w:r w:rsidRPr="009B0154">
        <w:t>community in the case of Open Source operating systems or applications;</w:t>
      </w:r>
    </w:p>
    <w:p w14:paraId="23CFB863" w14:textId="77777777" w:rsidR="00F67E9E" w:rsidRPr="009B0154" w:rsidRDefault="00F67E9E" w:rsidP="00F67E9E">
      <w:pPr>
        <w:pStyle w:val="AppendixText3"/>
      </w:pPr>
      <w:r w:rsidRPr="009B0154">
        <w:t>users must authenticate before gaining access;</w:t>
      </w:r>
    </w:p>
    <w:p w14:paraId="72E16CE7" w14:textId="77777777" w:rsidR="00F67E9E" w:rsidRPr="009B0154" w:rsidRDefault="00F67E9E" w:rsidP="00F67E9E">
      <w:pPr>
        <w:pStyle w:val="AppendixText3"/>
      </w:pPr>
      <w:r w:rsidRPr="009B0154">
        <w:t>all Authority Data must be encrypted using an encryption tool agreed to by the Authority;</w:t>
      </w:r>
    </w:p>
    <w:p w14:paraId="4D1BC9EF" w14:textId="77777777" w:rsidR="00F67E9E" w:rsidRPr="009B0154" w:rsidRDefault="00F67E9E" w:rsidP="00F67E9E">
      <w:pPr>
        <w:pStyle w:val="AppendixText3"/>
      </w:pPr>
      <w:r w:rsidRPr="009B0154">
        <w:t>the end-user device must lock and require any user to re-authenticate after a period of time that is proportionate to the risk environment, during which the end-user device is inactive;</w:t>
      </w:r>
    </w:p>
    <w:p w14:paraId="3E1EC4F1" w14:textId="77777777" w:rsidR="00F67E9E" w:rsidRPr="009B0154" w:rsidRDefault="00F67E9E" w:rsidP="00F67E9E">
      <w:pPr>
        <w:pStyle w:val="AppendixText3"/>
      </w:pPr>
      <w:r w:rsidRPr="009B0154">
        <w:t>the end-user device must be managed in a way that allows for the application of technical policies and controls over applications that have access to Authority Data;</w:t>
      </w:r>
    </w:p>
    <w:p w14:paraId="3D7639B4" w14:textId="237B851C" w:rsidR="00F67E9E" w:rsidRPr="009B0154" w:rsidRDefault="00F67E9E" w:rsidP="00F67E9E">
      <w:pPr>
        <w:pStyle w:val="AppendixText3"/>
      </w:pPr>
      <w:r w:rsidRPr="009B0154">
        <w:t>the Suppl</w:t>
      </w:r>
      <w:r w:rsidR="00A10006">
        <w:t>i</w:t>
      </w:r>
      <w:r w:rsidRPr="009B0154">
        <w:t>er or Sub-contractor, as applicable, can, without physical access to the end-user device, remove or make inaccessible all Authority Data on the device and prevent any user or group of users from accessing the device;</w:t>
      </w:r>
    </w:p>
    <w:p w14:paraId="7B90744C" w14:textId="77777777" w:rsidR="00F67E9E" w:rsidRPr="00752B31" w:rsidRDefault="00F67E9E" w:rsidP="00F67E9E">
      <w:pPr>
        <w:pStyle w:val="AppendixText3"/>
      </w:pPr>
      <w:r w:rsidRPr="009B0154">
        <w:t>all end</w:t>
      </w:r>
      <w:r w:rsidRPr="0077466E">
        <w:t xml:space="preserve">-user devices are within in the scope of any current Cyber Essentials Plus certificate held by the Supplier, or any ISO/IEC 27001 </w:t>
      </w:r>
      <w:r w:rsidRPr="0077466E">
        <w:rPr>
          <w:rFonts w:cs="Arial"/>
        </w:rPr>
        <w:t>(at least ISO/IEC 27001:2013)</w:t>
      </w:r>
      <w:r w:rsidRPr="0077466E">
        <w:t xml:space="preserve"> certification issued by a UKAS-approved certification body, where the scope of that certification includes the Services.</w:t>
      </w:r>
    </w:p>
    <w:p w14:paraId="6FCA7381" w14:textId="77777777" w:rsidR="00F67E9E" w:rsidRPr="009B0154" w:rsidRDefault="00F67E9E" w:rsidP="00F67E9E">
      <w:pPr>
        <w:pStyle w:val="AppendixText2"/>
      </w:pPr>
      <w:r w:rsidRPr="0077466E">
        <w:t>The Supplier must comply, and ensure that all Sub-contractors comply, with the recommendations in NCSC Device Guidance, as updated, amended or replaced from time to time, as if those recommendations were incorporated as specific obligations under this Agreement</w:t>
      </w:r>
      <w:r w:rsidRPr="009B0154">
        <w:t>.</w:t>
      </w:r>
    </w:p>
    <w:p w14:paraId="44BE0B48" w14:textId="04BA9AB6" w:rsidR="00F67E9E" w:rsidRPr="00E34031" w:rsidRDefault="00F67E9E" w:rsidP="00F67E9E">
      <w:pPr>
        <w:pStyle w:val="AppendixText2"/>
        <w:rPr>
          <w:rFonts w:cs="Arial"/>
        </w:rPr>
      </w:pPr>
      <w:r w:rsidRPr="009B0154">
        <w:t xml:space="preserve">Where there any conflict between the requirements of this </w:t>
      </w:r>
      <w:r w:rsidRPr="009B0154">
        <w:fldChar w:fldCharType="begin"/>
      </w:r>
      <w:r w:rsidRPr="009B0154">
        <w:instrText xml:space="preserve"> REF Schedule5 \h </w:instrText>
      </w:r>
      <w:r>
        <w:instrText xml:space="preserve"> \* MERGEFORMAT </w:instrText>
      </w:r>
      <w:r w:rsidRPr="009B0154">
        <w:fldChar w:fldCharType="separate"/>
      </w:r>
      <w:r w:rsidR="00302D39" w:rsidRPr="005D0525">
        <w:t>Schedule</w:t>
      </w:r>
      <w:r w:rsidR="00302D39">
        <w:t> </w:t>
      </w:r>
      <w:r w:rsidR="00302D39" w:rsidRPr="005D0525">
        <w:t>5</w:t>
      </w:r>
      <w:r w:rsidRPr="009B0154">
        <w:fldChar w:fldCharType="end"/>
      </w:r>
      <w:r w:rsidRPr="009B0154">
        <w:t xml:space="preserve"> (</w:t>
      </w:r>
      <w:r w:rsidRPr="009B0154">
        <w:fldChar w:fldCharType="begin"/>
      </w:r>
      <w:r w:rsidRPr="009B0154">
        <w:instrText xml:space="preserve"> REF Schedule5Heading \h  \* MERGEFORMAT </w:instrText>
      </w:r>
      <w:r w:rsidRPr="009B0154">
        <w:fldChar w:fldCharType="separate"/>
      </w:r>
      <w:r w:rsidR="00302D39" w:rsidRPr="00F97284">
        <w:t>Security Management</w:t>
      </w:r>
      <w:r w:rsidRPr="009B0154">
        <w:fldChar w:fldCharType="end"/>
      </w:r>
      <w:r w:rsidRPr="009B0154">
        <w:t>) and</w:t>
      </w:r>
      <w:r w:rsidRPr="0077466E">
        <w:t xml:space="preserve"> the requirements of the NCSC Device Guidance, the requirements of this Schedule will take precedence.</w:t>
      </w:r>
    </w:p>
    <w:p w14:paraId="49C3A6E4" w14:textId="77777777" w:rsidR="00F67E9E" w:rsidRPr="0077466E" w:rsidRDefault="00F67E9E" w:rsidP="00F67E9E">
      <w:pPr>
        <w:pStyle w:val="AppendixText1"/>
      </w:pPr>
      <w:r w:rsidRPr="009B0154">
        <w:t>Encryption</w:t>
      </w:r>
    </w:p>
    <w:p w14:paraId="71E65B95" w14:textId="77777777" w:rsidR="00F67E9E" w:rsidRPr="0077466E" w:rsidRDefault="00F67E9E" w:rsidP="00F67E9E">
      <w:pPr>
        <w:pStyle w:val="AppendixText2"/>
      </w:pPr>
      <w:r w:rsidRPr="0077466E">
        <w:t>The Supplier must ensure, and must ensure that all Sub-contractors ensure, that Authority Data is encrypted:</w:t>
      </w:r>
    </w:p>
    <w:p w14:paraId="2D544C68" w14:textId="77777777" w:rsidR="00F67E9E" w:rsidRPr="0077466E" w:rsidRDefault="00F67E9E" w:rsidP="00F67E9E">
      <w:pPr>
        <w:pStyle w:val="AppendixText3"/>
        <w:tabs>
          <w:tab w:val="clear" w:pos="1800"/>
          <w:tab w:val="num" w:pos="2160"/>
        </w:tabs>
      </w:pPr>
      <w:r w:rsidRPr="0077466E">
        <w:t>when stored at any time when no operation is being performed on it; and</w:t>
      </w:r>
    </w:p>
    <w:p w14:paraId="1603ED34" w14:textId="77777777" w:rsidR="00F67E9E" w:rsidRPr="0077466E" w:rsidRDefault="00F67E9E" w:rsidP="00F67E9E">
      <w:pPr>
        <w:pStyle w:val="AppendixText3"/>
        <w:tabs>
          <w:tab w:val="clear" w:pos="1800"/>
          <w:tab w:val="num" w:pos="2160"/>
        </w:tabs>
      </w:pPr>
      <w:r w:rsidRPr="0077466E">
        <w:t>when transmitted.</w:t>
      </w:r>
    </w:p>
    <w:p w14:paraId="2FAF98F1" w14:textId="77777777" w:rsidR="00F67E9E" w:rsidRPr="0077466E" w:rsidRDefault="00F67E9E" w:rsidP="00F67E9E">
      <w:pPr>
        <w:pStyle w:val="AppendixText2"/>
      </w:pPr>
      <w:r w:rsidRPr="0077466E">
        <w:t>Where the Supplier, or a Sub-</w:t>
      </w:r>
      <w:r w:rsidRPr="009B0154">
        <w:t>contractor</w:t>
      </w:r>
      <w:r w:rsidRPr="0077466E">
        <w:t>, cannot encrypt Authority Data the Supplier must:</w:t>
      </w:r>
    </w:p>
    <w:p w14:paraId="7E8B201A" w14:textId="77777777" w:rsidR="00F67E9E" w:rsidRPr="0077466E" w:rsidRDefault="00F67E9E" w:rsidP="00F67E9E">
      <w:pPr>
        <w:pStyle w:val="AppendixText3"/>
        <w:tabs>
          <w:tab w:val="clear" w:pos="1800"/>
          <w:tab w:val="num" w:pos="2160"/>
        </w:tabs>
      </w:pPr>
      <w:r w:rsidRPr="0077466E">
        <w:t>immediately inform the Authority of the subset or subsets of Authority Data it cannot encrypt and the circumstances in which and the reasons why it cannot do so;</w:t>
      </w:r>
    </w:p>
    <w:p w14:paraId="3A5B7B62" w14:textId="77777777" w:rsidR="00F67E9E" w:rsidRPr="0077466E" w:rsidRDefault="00F67E9E" w:rsidP="00F67E9E">
      <w:pPr>
        <w:pStyle w:val="AppendixText3"/>
        <w:tabs>
          <w:tab w:val="clear" w:pos="1800"/>
          <w:tab w:val="num" w:pos="2160"/>
        </w:tabs>
      </w:pPr>
      <w:r w:rsidRPr="0077466E">
        <w:t>provide details of the protective measures the Supplier or Sub-contractor (as applicable) proposes to take to provide equivalent protection to the Authority as encryption; and</w:t>
      </w:r>
    </w:p>
    <w:p w14:paraId="629934D8" w14:textId="77777777" w:rsidR="00F67E9E" w:rsidRPr="0077466E" w:rsidRDefault="00F67E9E" w:rsidP="00F67E9E">
      <w:pPr>
        <w:pStyle w:val="AppendixText3"/>
        <w:tabs>
          <w:tab w:val="clear" w:pos="1800"/>
          <w:tab w:val="num" w:pos="2160"/>
        </w:tabs>
      </w:pPr>
      <w:r w:rsidRPr="0077466E">
        <w:t>provide the Authority with such information relating to the Authority Data concerned, the reasons why that Authority Data cannot be encrypted and the proposed protective measures as the Authority may require.</w:t>
      </w:r>
    </w:p>
    <w:p w14:paraId="2A8D1EEF" w14:textId="77777777" w:rsidR="00F67E9E" w:rsidRPr="0077466E" w:rsidRDefault="00F67E9E" w:rsidP="00F67E9E">
      <w:pPr>
        <w:pStyle w:val="AppendixText2"/>
      </w:pPr>
      <w:r w:rsidRPr="0077466E">
        <w:t>The Authority, the Supplier and, where the Authority requires, any relevant Sub-contractor shall meet to agree appropriate protective measures for the unencrypted Authority Data.</w:t>
      </w:r>
    </w:p>
    <w:p w14:paraId="02E86FD9" w14:textId="77777777" w:rsidR="00F67E9E" w:rsidRPr="0077466E" w:rsidRDefault="00F67E9E" w:rsidP="00F67E9E">
      <w:pPr>
        <w:pStyle w:val="AppendixText2"/>
      </w:pPr>
      <w:r w:rsidRPr="0077466E">
        <w:t>Where the Authority and Supplier reach agreement, the Supplier must update the Security Management Plan to include:</w:t>
      </w:r>
    </w:p>
    <w:p w14:paraId="2A179413" w14:textId="77777777" w:rsidR="00F67E9E" w:rsidRPr="0077466E" w:rsidRDefault="00F67E9E" w:rsidP="00F67E9E">
      <w:pPr>
        <w:pStyle w:val="AppendixText3"/>
        <w:tabs>
          <w:tab w:val="clear" w:pos="1800"/>
          <w:tab w:val="num" w:pos="2160"/>
        </w:tabs>
      </w:pPr>
      <w:r w:rsidRPr="0077466E">
        <w:t>the subset or subsets of Authority Data not encrypted and the circumstances in which that will occur; and</w:t>
      </w:r>
    </w:p>
    <w:p w14:paraId="6598783E" w14:textId="77777777" w:rsidR="00F67E9E" w:rsidRPr="0077466E" w:rsidRDefault="00F67E9E" w:rsidP="00F67E9E">
      <w:pPr>
        <w:pStyle w:val="AppendixText3"/>
        <w:tabs>
          <w:tab w:val="clear" w:pos="1800"/>
          <w:tab w:val="num" w:pos="2160"/>
        </w:tabs>
      </w:pPr>
      <w:r w:rsidRPr="0077466E">
        <w:t>the protective measure that the Supplier and/or Sub-contractor will put in please in respect of the unencrypted Authority Data.</w:t>
      </w:r>
    </w:p>
    <w:p w14:paraId="2549BD1D" w14:textId="77777777" w:rsidR="00F67E9E" w:rsidRPr="002E7013" w:rsidRDefault="00F67E9E" w:rsidP="00F67E9E">
      <w:pPr>
        <w:pStyle w:val="AppendixText2"/>
        <w:rPr>
          <w:rFonts w:cs="Arial"/>
        </w:rPr>
      </w:pPr>
      <w:r w:rsidRPr="0077466E">
        <w:t>Where the Authority and Supplier do not reach agreement within 40 Working Days of the date on which the Supplier first notified the Authority that it could not encrypt certain Authority Data, either party may refer</w:t>
      </w:r>
      <w:r w:rsidRPr="001B3F59">
        <w:t xml:space="preserve"> the matter to </w:t>
      </w:r>
      <w:r w:rsidRPr="002E7013">
        <w:rPr>
          <w:highlight w:val="yellow"/>
        </w:rPr>
        <w:t>[</w:t>
      </w:r>
      <w:r w:rsidRPr="003843A3">
        <w:rPr>
          <w:highlight w:val="yellow"/>
        </w:rPr>
        <w:t>be determined in accordance with the Dispute Resolution Procedure</w:t>
      </w:r>
      <w:r w:rsidRPr="002E7013">
        <w:rPr>
          <w:highlight w:val="yellow"/>
        </w:rPr>
        <w:t>]</w:t>
      </w:r>
      <w:r w:rsidRPr="002E7013">
        <w:rPr>
          <w:rFonts w:cs="Arial"/>
        </w:rPr>
        <w:t>.</w:t>
      </w:r>
    </w:p>
    <w:p w14:paraId="18E8CC2B" w14:textId="77777777" w:rsidR="00F67E9E" w:rsidRPr="002E7013" w:rsidRDefault="00F67E9E" w:rsidP="00F67E9E">
      <w:pPr>
        <w:pStyle w:val="AppendixText1"/>
        <w:tabs>
          <w:tab w:val="clear" w:pos="720"/>
          <w:tab w:val="num" w:pos="1080"/>
        </w:tabs>
        <w:rPr>
          <w:bCs/>
        </w:rPr>
      </w:pPr>
      <w:r w:rsidRPr="007D0D14">
        <w:t>Patching and Vulnerability Scanning</w:t>
      </w:r>
    </w:p>
    <w:p w14:paraId="35ED3DCD" w14:textId="77777777" w:rsidR="00F67E9E" w:rsidRPr="0077466E" w:rsidRDefault="00F67E9E" w:rsidP="00F67E9E">
      <w:pPr>
        <w:pStyle w:val="AppendixText2"/>
      </w:pPr>
      <w:r w:rsidRPr="0077466E">
        <w:t>The Sub-contractor must proactively monitor supplier vulnerability websites and ensure all necessary patches and upgrades are applied to maintain security, integrity and availability in accordance with the NCSC Cloud Security Principles.</w:t>
      </w:r>
    </w:p>
    <w:p w14:paraId="6968B371" w14:textId="77777777" w:rsidR="00F67E9E" w:rsidRPr="0077466E" w:rsidRDefault="00F67E9E" w:rsidP="00F67E9E">
      <w:pPr>
        <w:pStyle w:val="AppendixText1"/>
      </w:pPr>
      <w:r w:rsidRPr="0077466E">
        <w:t>Third Party Sub-contractors</w:t>
      </w:r>
    </w:p>
    <w:p w14:paraId="70B8EB50" w14:textId="77777777" w:rsidR="00F67E9E" w:rsidRPr="009B0154" w:rsidRDefault="00F67E9E" w:rsidP="00F67E9E">
      <w:pPr>
        <w:pStyle w:val="AppendixText2"/>
      </w:pPr>
      <w:r w:rsidRPr="0077466E">
        <w:t xml:space="preserve">The Sub-contractor must not transmit or disseminate the Authority Data to any other person unless specifically authorised by the Authority. Such authorisation must be in writing to be effective and may be </w:t>
      </w:r>
      <w:r w:rsidRPr="009B0154">
        <w:t>subject to conditions.</w:t>
      </w:r>
    </w:p>
    <w:p w14:paraId="0128402C" w14:textId="77777777" w:rsidR="00F67E9E" w:rsidRDefault="00F67E9E" w:rsidP="00F67E9E">
      <w:pPr>
        <w:pStyle w:val="AppendixText2"/>
      </w:pPr>
      <w:r w:rsidRPr="009B0154">
        <w:t>The Sub-contractor must</w:t>
      </w:r>
      <w:r w:rsidRPr="0077466E">
        <w:t xml:space="preserve"> not, when performing any part of the Services, use any software to Process Authority Data where the licence terms of that software purport to grant the licensor rights to Process the Authority Data greater than those rights strictly necessary for the use of the software.</w:t>
      </w:r>
    </w:p>
    <w:p w14:paraId="00327EE0" w14:textId="77777777" w:rsidR="00F67E9E" w:rsidRDefault="00F67E9E" w:rsidP="00F67E9E"/>
    <w:p w14:paraId="2C3A1545" w14:textId="77777777" w:rsidR="00F67E9E" w:rsidRDefault="00F67E9E" w:rsidP="00F67E9E">
      <w:pPr>
        <w:pStyle w:val="Heading2"/>
        <w:pageBreakBefore/>
      </w:pPr>
      <w:bookmarkStart w:id="748" w:name="_Ref_ContractCompanion_9kb9Ur8E9"/>
      <w:bookmarkStart w:id="749" w:name="_Toc141711916"/>
      <w:r w:rsidRPr="0077466E">
        <w:t xml:space="preserve">Annex </w:t>
      </w:r>
      <w:bookmarkStart w:id="750" w:name="ANNEX3_PARTB_SCHEDULE5"/>
      <w:r w:rsidRPr="0077466E">
        <w:t>3</w:t>
      </w:r>
      <w:bookmarkEnd w:id="750"/>
      <w:r w:rsidRPr="0077466E">
        <w:t>: In</w:t>
      </w:r>
      <w:r w:rsidRPr="005B59F3">
        <w:t>formation Management System</w:t>
      </w:r>
      <w:bookmarkEnd w:id="748"/>
      <w:bookmarkEnd w:id="749"/>
    </w:p>
    <w:p w14:paraId="4B4EB864" w14:textId="77777777" w:rsidR="00F67E9E" w:rsidRPr="00DC0238" w:rsidRDefault="00F67E9E" w:rsidP="00F67E9E">
      <w:pPr>
        <w:pStyle w:val="StdBodyText"/>
        <w:rPr>
          <w:rFonts w:cs="Arial"/>
          <w:bCs/>
          <w:i/>
        </w:rPr>
      </w:pPr>
      <w:r>
        <w:rPr>
          <w:rFonts w:cs="Arial"/>
          <w:b/>
          <w:i/>
          <w:highlight w:val="yellow"/>
        </w:rPr>
        <w:t>[Guidance note:</w:t>
      </w:r>
      <w:r w:rsidRPr="00DC0238">
        <w:rPr>
          <w:rFonts w:cs="Arial"/>
          <w:b/>
          <w:i/>
          <w:highlight w:val="yellow"/>
        </w:rPr>
        <w:t xml:space="preserve"> </w:t>
      </w:r>
      <w:r w:rsidRPr="00C20547">
        <w:rPr>
          <w:rFonts w:cs="Arial"/>
          <w:b/>
          <w:i/>
          <w:highlight w:val="yellow"/>
        </w:rPr>
        <w:t>If the Authority and Supplier have agreed the Information Management System and the boundary between the Core Information Management System and Wider Information Management System during the procurement process, then include diagram setting out the elements of the Information Management System, the linkages and data flows between those elements, and the boundary here.]</w:t>
      </w:r>
    </w:p>
    <w:p w14:paraId="2604AADF" w14:textId="77777777" w:rsidR="00F67E9E" w:rsidRDefault="00F67E9E" w:rsidP="00F67E9E"/>
    <w:p w14:paraId="1C1BFEFC" w14:textId="77777777" w:rsidR="00F67E9E" w:rsidRPr="00A71371" w:rsidRDefault="00F67E9E" w:rsidP="00F67E9E"/>
    <w:p w14:paraId="7911D871" w14:textId="77777777" w:rsidR="00F67E9E" w:rsidRDefault="00F67E9E" w:rsidP="00F67E9E">
      <w:pPr>
        <w:sectPr w:rsidR="00F67E9E" w:rsidSect="00240D26">
          <w:headerReference w:type="default" r:id="rId61"/>
          <w:footerReference w:type="default" r:id="rId62"/>
          <w:headerReference w:type="first" r:id="rId63"/>
          <w:footerReference w:type="first" r:id="rId64"/>
          <w:pgSz w:w="11900" w:h="16840" w:code="9"/>
          <w:pgMar w:top="1701" w:right="851" w:bottom="1134" w:left="851" w:header="567" w:footer="567" w:gutter="0"/>
          <w:cols w:space="720"/>
          <w:docGrid w:linePitch="360"/>
        </w:sectPr>
      </w:pPr>
    </w:p>
    <w:p w14:paraId="3CA97185" w14:textId="77777777" w:rsidR="00F67E9E" w:rsidRPr="007C55B2" w:rsidRDefault="00F67E9E" w:rsidP="00F67E9E">
      <w:pPr>
        <w:pStyle w:val="Dividername"/>
      </w:pPr>
      <w:r w:rsidRPr="007C55B2">
        <w:t>Schedule 6</w:t>
      </w:r>
    </w:p>
    <w:p w14:paraId="4B74C891" w14:textId="77777777" w:rsidR="00F67E9E" w:rsidRPr="007C55B2" w:rsidRDefault="00F67E9E" w:rsidP="00F67E9E">
      <w:pPr>
        <w:pStyle w:val="Dividername"/>
      </w:pPr>
      <w:r w:rsidRPr="007C55B2">
        <w:t>Insurance Requirements</w:t>
      </w:r>
    </w:p>
    <w:p w14:paraId="5A3F46EE" w14:textId="77777777" w:rsidR="00F67E9E" w:rsidRDefault="00F67E9E" w:rsidP="00F67E9E"/>
    <w:p w14:paraId="4890F3A6" w14:textId="77777777" w:rsidR="00F67E9E" w:rsidRPr="005D0525" w:rsidRDefault="00F67E9E" w:rsidP="00F67E9E">
      <w:pPr>
        <w:pStyle w:val="Heading1"/>
      </w:pPr>
      <w:bookmarkStart w:id="751" w:name="Schedule6"/>
      <w:bookmarkStart w:id="752" w:name="_Ref92199868"/>
      <w:bookmarkStart w:id="753" w:name="_Toc141711917"/>
      <w:r w:rsidRPr="005D0525">
        <w:t>Schedule</w:t>
      </w:r>
      <w:r>
        <w:t> </w:t>
      </w:r>
      <w:r w:rsidRPr="005D0525">
        <w:t>6</w:t>
      </w:r>
      <w:bookmarkEnd w:id="751"/>
      <w:r>
        <w:t xml:space="preserve">: </w:t>
      </w:r>
      <w:bookmarkStart w:id="754" w:name="Schedule6Heading"/>
      <w:r w:rsidRPr="00F97284">
        <w:t>Insurance Requirements</w:t>
      </w:r>
      <w:bookmarkEnd w:id="752"/>
      <w:bookmarkEnd w:id="753"/>
      <w:bookmarkEnd w:id="754"/>
    </w:p>
    <w:p w14:paraId="7BE00350" w14:textId="77777777" w:rsidR="00F67E9E" w:rsidRPr="00755CD1" w:rsidRDefault="00F67E9E" w:rsidP="00F67E9E">
      <w:pPr>
        <w:pStyle w:val="Numbered1"/>
        <w:numPr>
          <w:ilvl w:val="0"/>
          <w:numId w:val="163"/>
        </w:numPr>
        <w:tabs>
          <w:tab w:val="clear" w:pos="720"/>
          <w:tab w:val="num" w:pos="1080"/>
        </w:tabs>
      </w:pPr>
      <w:r w:rsidRPr="00755CD1">
        <w:t>Obligation to Maintain Insurances</w:t>
      </w:r>
    </w:p>
    <w:p w14:paraId="5BEC165D" w14:textId="6FE5A9DD" w:rsidR="00F67E9E" w:rsidRPr="0077466E" w:rsidRDefault="00F67E9E" w:rsidP="00F67E9E">
      <w:pPr>
        <w:pStyle w:val="Numbered11"/>
        <w:tabs>
          <w:tab w:val="clear" w:pos="720"/>
          <w:tab w:val="num" w:pos="1080"/>
        </w:tabs>
      </w:pPr>
      <w:r w:rsidRPr="0077466E">
        <w:t xml:space="preserve">Without prejudice to its obligations to the Authority under this Contract, including its indemnity and liability obligations, the Supplier shall for the periods specified in this Schedule take out and maintain, or procure the taking out and maintenance of the insurances as set out in Annex </w:t>
      </w:r>
      <w:r w:rsidRPr="0077466E">
        <w:fldChar w:fldCharType="begin"/>
      </w:r>
      <w:r w:rsidRPr="0077466E">
        <w:instrText xml:space="preserve"> REF ANNEX1_PARTA_SCHEDULE6 \h </w:instrText>
      </w:r>
      <w:r>
        <w:instrText xml:space="preserve"> \* MERGEFORMAT </w:instrText>
      </w:r>
      <w:r w:rsidRPr="0077466E">
        <w:fldChar w:fldCharType="separate"/>
      </w:r>
      <w:r w:rsidR="00302D39" w:rsidRPr="0077466E">
        <w:t>1</w:t>
      </w:r>
      <w:r w:rsidRPr="0077466E">
        <w:fldChar w:fldCharType="end"/>
      </w:r>
      <w:r w:rsidRPr="0077466E">
        <w:t xml:space="preserve"> and any other insurances as may be required by applicable Law (together the </w:t>
      </w:r>
      <w:r>
        <w:t>“</w:t>
      </w:r>
      <w:r w:rsidRPr="0077466E">
        <w:rPr>
          <w:rStyle w:val="StdBodyTextBoldChar"/>
          <w:rFonts w:eastAsia="Arial" w:cs="Arial"/>
        </w:rPr>
        <w:t>Insurances</w:t>
      </w:r>
      <w:r>
        <w:t>”</w:t>
      </w:r>
      <w:r w:rsidRPr="0077466E">
        <w:t>).</w:t>
      </w:r>
      <w:r>
        <w:t xml:space="preserve"> </w:t>
      </w:r>
      <w:r w:rsidRPr="0077466E">
        <w:t>The Supplier shall ensure that each of the Insurances is effective no later than the date on which the relevant risk commences.</w:t>
      </w:r>
    </w:p>
    <w:p w14:paraId="0B22C2D5" w14:textId="77777777" w:rsidR="00F67E9E" w:rsidRPr="0077466E" w:rsidRDefault="00F67E9E" w:rsidP="00F67E9E">
      <w:pPr>
        <w:pStyle w:val="Numbered11"/>
        <w:tabs>
          <w:tab w:val="clear" w:pos="720"/>
          <w:tab w:val="num" w:pos="1080"/>
        </w:tabs>
      </w:pPr>
      <w:r w:rsidRPr="0077466E">
        <w:t>The Insurances shall be maintained in accordance with Good Industry Practice and (so far as is reasonably practicable) on terms no less favourable than those generally available to a prudent contractor in respect of risks insured in the international insurance market from time to time.</w:t>
      </w:r>
    </w:p>
    <w:p w14:paraId="4F991F13" w14:textId="77777777" w:rsidR="00F67E9E" w:rsidRPr="0077466E" w:rsidRDefault="00F67E9E" w:rsidP="00F67E9E">
      <w:pPr>
        <w:pStyle w:val="Numbered11"/>
        <w:tabs>
          <w:tab w:val="clear" w:pos="720"/>
          <w:tab w:val="num" w:pos="1080"/>
        </w:tabs>
      </w:pPr>
      <w:r w:rsidRPr="0077466E">
        <w:t>The Insurances shall be taken out and maintained with insurers who are:</w:t>
      </w:r>
    </w:p>
    <w:p w14:paraId="4049F07F" w14:textId="77777777" w:rsidR="00F67E9E" w:rsidRPr="0077466E" w:rsidRDefault="00F67E9E" w:rsidP="00F67E9E">
      <w:pPr>
        <w:pStyle w:val="Numbered111"/>
        <w:tabs>
          <w:tab w:val="clear" w:pos="1800"/>
          <w:tab w:val="num" w:pos="2160"/>
        </w:tabs>
      </w:pPr>
      <w:r w:rsidRPr="0077466E">
        <w:t>of good financial standing;</w:t>
      </w:r>
    </w:p>
    <w:p w14:paraId="6F9C14BF" w14:textId="77777777" w:rsidR="00F67E9E" w:rsidRPr="0077466E" w:rsidRDefault="00F67E9E" w:rsidP="00F67E9E">
      <w:pPr>
        <w:pStyle w:val="Numbered111"/>
        <w:tabs>
          <w:tab w:val="clear" w:pos="1800"/>
          <w:tab w:val="num" w:pos="2160"/>
        </w:tabs>
      </w:pPr>
      <w:r w:rsidRPr="0077466E">
        <w:t>appropriately regulated;</w:t>
      </w:r>
    </w:p>
    <w:p w14:paraId="51D4D0B5" w14:textId="77777777" w:rsidR="00F67E9E" w:rsidRPr="0077466E" w:rsidRDefault="00F67E9E" w:rsidP="00F67E9E">
      <w:pPr>
        <w:pStyle w:val="Numbered111"/>
        <w:tabs>
          <w:tab w:val="clear" w:pos="1800"/>
          <w:tab w:val="num" w:pos="2160"/>
        </w:tabs>
      </w:pPr>
      <w:r w:rsidRPr="0077466E">
        <w:t>regulated by the applicable regulatory body and is in good standing with that regulator; and</w:t>
      </w:r>
    </w:p>
    <w:p w14:paraId="6C578A31" w14:textId="77777777" w:rsidR="00F67E9E" w:rsidRPr="0077466E" w:rsidRDefault="00F67E9E" w:rsidP="00F67E9E">
      <w:pPr>
        <w:pStyle w:val="Numbered111"/>
        <w:tabs>
          <w:tab w:val="clear" w:pos="1800"/>
          <w:tab w:val="num" w:pos="2160"/>
        </w:tabs>
      </w:pPr>
      <w:r w:rsidRPr="0077466E">
        <w:t>except in the case of any Insurances provided by an Affiliate of the Supplier, of good repute in the international insurance market.</w:t>
      </w:r>
    </w:p>
    <w:p w14:paraId="755D5CDA" w14:textId="77777777" w:rsidR="00F67E9E" w:rsidRPr="0077466E" w:rsidRDefault="00F67E9E" w:rsidP="00F67E9E">
      <w:pPr>
        <w:pStyle w:val="Numbered11"/>
      </w:pPr>
      <w:r w:rsidRPr="0077466E">
        <w:t xml:space="preserve">The Supplier shall ensure that the public and products liability policy shall contain an indemnity to principals clause under which the Authority shall be indemnified in respect of </w:t>
      </w:r>
      <w:r w:rsidRPr="009B0154">
        <w:t>claims</w:t>
      </w:r>
      <w:r w:rsidRPr="0077466E">
        <w:t xml:space="preserve"> made against the Authority in respect of death or bodily injury or third party property damage arising out of or in connection with the Contract and for which the Supplier is legally liable.</w:t>
      </w:r>
    </w:p>
    <w:p w14:paraId="19C01C7F" w14:textId="77777777" w:rsidR="00F67E9E" w:rsidRPr="0077466E" w:rsidRDefault="00F67E9E" w:rsidP="00F67E9E">
      <w:pPr>
        <w:pStyle w:val="Numbered1"/>
      </w:pPr>
      <w:r w:rsidRPr="009B0154">
        <w:t>General</w:t>
      </w:r>
      <w:r w:rsidRPr="0077466E">
        <w:t xml:space="preserve"> Obligations</w:t>
      </w:r>
    </w:p>
    <w:p w14:paraId="7A11ED01" w14:textId="77777777" w:rsidR="00F67E9E" w:rsidRPr="0077466E" w:rsidRDefault="00F67E9E" w:rsidP="00F67E9E">
      <w:pPr>
        <w:pStyle w:val="Numbered11"/>
      </w:pPr>
      <w:r w:rsidRPr="0077466E">
        <w:t xml:space="preserve">Without limiting the </w:t>
      </w:r>
      <w:r w:rsidRPr="009B0154">
        <w:t>other</w:t>
      </w:r>
      <w:r w:rsidRPr="0077466E">
        <w:t xml:space="preserve"> provisions of this Contract, the Supplier shall:</w:t>
      </w:r>
    </w:p>
    <w:p w14:paraId="1CBE3A66" w14:textId="77777777" w:rsidR="00F67E9E" w:rsidRPr="0077466E" w:rsidRDefault="00F67E9E" w:rsidP="00F67E9E">
      <w:pPr>
        <w:pStyle w:val="Numbered111"/>
        <w:tabs>
          <w:tab w:val="clear" w:pos="1800"/>
          <w:tab w:val="num" w:pos="2160"/>
        </w:tabs>
      </w:pPr>
      <w:r w:rsidRPr="0077466E">
        <w:t>take or procure the taking of all reasonable risk management and risk control measures in relation to the Services as it would be reasonable to expect of a prudent contractor acting in accordance with Good Industry Practice, including the investigation and reports of relevant claims to insurers;</w:t>
      </w:r>
    </w:p>
    <w:p w14:paraId="48D3186C" w14:textId="77777777" w:rsidR="00F67E9E" w:rsidRPr="0077466E" w:rsidRDefault="00F67E9E" w:rsidP="00F67E9E">
      <w:pPr>
        <w:pStyle w:val="Numbered111"/>
        <w:tabs>
          <w:tab w:val="clear" w:pos="1800"/>
          <w:tab w:val="num" w:pos="2160"/>
        </w:tabs>
      </w:pPr>
      <w:r w:rsidRPr="0077466E">
        <w:t>promptly notify the insurers in writing of any relevant material fact under any Insurances of which the Supplier is or becomes aware; and</w:t>
      </w:r>
    </w:p>
    <w:p w14:paraId="655CB801" w14:textId="77777777" w:rsidR="00F67E9E" w:rsidRPr="0077466E" w:rsidRDefault="00F67E9E" w:rsidP="00F67E9E">
      <w:pPr>
        <w:pStyle w:val="Numbered111"/>
        <w:tabs>
          <w:tab w:val="clear" w:pos="1800"/>
          <w:tab w:val="num" w:pos="2160"/>
        </w:tabs>
      </w:pPr>
      <w:r w:rsidRPr="0077466E">
        <w:t>hold all policies in respect of the Insurances and cause any insurance broker effecting the Insurances to hold any insurance slips and other evidence of placing cover representing any of the Insurances to which it is a party.</w:t>
      </w:r>
    </w:p>
    <w:p w14:paraId="310BF739" w14:textId="77777777" w:rsidR="00F67E9E" w:rsidRPr="0077466E" w:rsidRDefault="00F67E9E" w:rsidP="00F67E9E">
      <w:pPr>
        <w:pStyle w:val="Numbered1"/>
        <w:tabs>
          <w:tab w:val="clear" w:pos="720"/>
          <w:tab w:val="num" w:pos="1440"/>
        </w:tabs>
        <w:ind w:left="1080"/>
      </w:pPr>
      <w:r w:rsidRPr="0077466E">
        <w:t xml:space="preserve">Failure </w:t>
      </w:r>
      <w:r>
        <w:t>t</w:t>
      </w:r>
      <w:r w:rsidRPr="0077466E">
        <w:t>o Insure</w:t>
      </w:r>
    </w:p>
    <w:p w14:paraId="33181F06" w14:textId="77777777" w:rsidR="00F67E9E" w:rsidRPr="0077466E" w:rsidRDefault="00F67E9E" w:rsidP="00F67E9E">
      <w:pPr>
        <w:pStyle w:val="Numbered11"/>
        <w:tabs>
          <w:tab w:val="clear" w:pos="720"/>
          <w:tab w:val="num" w:pos="1440"/>
        </w:tabs>
        <w:ind w:left="1080"/>
      </w:pPr>
      <w:r w:rsidRPr="0077466E">
        <w:t>The Supplier shall not take any action or fail to take any action or (insofar as is reasonably within its power) permit anything to occur in relation to it which would entitle any insurer to refuse to pay any claim under any of the Insurances.</w:t>
      </w:r>
    </w:p>
    <w:p w14:paraId="3F6AF070" w14:textId="77777777" w:rsidR="00F67E9E" w:rsidRPr="0077466E" w:rsidRDefault="00F67E9E" w:rsidP="00F67E9E">
      <w:pPr>
        <w:pStyle w:val="Numbered11"/>
      </w:pPr>
      <w:r w:rsidRPr="0077466E">
        <w:t xml:space="preserve">Where the Supplier has failed to purchase any of the Insurances or maintain any of the Insurances in full force and effect, the Authority may elect (but shall not be obliged) following written notice to the Supplier to purchase the </w:t>
      </w:r>
      <w:r w:rsidRPr="009B0154">
        <w:t>relevant</w:t>
      </w:r>
      <w:r w:rsidRPr="0077466E">
        <w:t xml:space="preserve"> Insurances, and the Authority shall be entitled to recover the reasonable premium and other reasonable costs incurred in connection therewith as a debt due from the Supplier.</w:t>
      </w:r>
    </w:p>
    <w:p w14:paraId="0496C891" w14:textId="77777777" w:rsidR="00F67E9E" w:rsidRPr="0077466E" w:rsidRDefault="00F67E9E" w:rsidP="00F67E9E">
      <w:pPr>
        <w:pStyle w:val="Numbered1"/>
      </w:pPr>
      <w:bookmarkStart w:id="755" w:name="_Ref_ContractCompanion_9kb9Ur6FH"/>
      <w:bookmarkStart w:id="756" w:name="_Ref_ContractCompanion_9kb9Us794"/>
      <w:r w:rsidRPr="0077466E">
        <w:t xml:space="preserve">Evidence </w:t>
      </w:r>
      <w:r>
        <w:t>o</w:t>
      </w:r>
      <w:r w:rsidRPr="0077466E">
        <w:t>f Insurances</w:t>
      </w:r>
      <w:bookmarkEnd w:id="755"/>
      <w:bookmarkEnd w:id="756"/>
    </w:p>
    <w:p w14:paraId="279907EB" w14:textId="77777777" w:rsidR="00F67E9E" w:rsidRPr="0077466E" w:rsidRDefault="00F67E9E" w:rsidP="00F67E9E">
      <w:pPr>
        <w:pStyle w:val="Numbered11"/>
      </w:pPr>
      <w:r w:rsidRPr="0077466E">
        <w:t>The Supplier shall upon the Effective Date and within 15 Working Days after the renewal or replacement of each of the Insurances, provide evidence, in a form satisfactory to the Authority, that the Insurances are in force and effect and meet in full the requirements of this Schedule.</w:t>
      </w:r>
      <w:r>
        <w:t xml:space="preserve"> </w:t>
      </w:r>
      <w:r w:rsidRPr="0077466E">
        <w:t>Receipt of such evidence by the Authority shall not in itself constitute acceptance by the Authority or relieve the Supplier of any of its liabilities and obligations under this Contract.</w:t>
      </w:r>
    </w:p>
    <w:p w14:paraId="34D1806A" w14:textId="77777777" w:rsidR="00F67E9E" w:rsidRDefault="00F67E9E" w:rsidP="00F67E9E">
      <w:pPr>
        <w:pStyle w:val="Numbered1"/>
      </w:pPr>
      <w:r>
        <w:t>Insurance for the Required Amount</w:t>
      </w:r>
    </w:p>
    <w:p w14:paraId="64382544" w14:textId="77777777" w:rsidR="00F67E9E" w:rsidRDefault="00F67E9E" w:rsidP="00F67E9E">
      <w:pPr>
        <w:pStyle w:val="Numbered11"/>
      </w:pPr>
      <w:r>
        <w:t>The Supplier shall ensure that any Insurances which are stated to have a minimum limit "in the aggregate" are maintained for the minimum limit of indemnity for the periods specified in this Schedule.</w:t>
      </w:r>
    </w:p>
    <w:p w14:paraId="58FA9BD6" w14:textId="77777777" w:rsidR="00F67E9E" w:rsidRDefault="00F67E9E" w:rsidP="00F67E9E">
      <w:pPr>
        <w:pStyle w:val="Numbered11"/>
      </w:pPr>
      <w:r>
        <w:t>Where the Supplier intends to claim under any of the Insurances for an amount or amounts that are significant in the opinion of the Authority for any matters that are not related to the Services and/or the Contract, where such claim is likely to result in the level of cover available under any of the Insurances being reduced below the minimum limit of indemnity specified in this Schedule, the Supplier shall promptly notify the Authority and provide details of its proposed solution for maintaining the minimum limit of indemnity specified in this Schedule.</w:t>
      </w:r>
    </w:p>
    <w:p w14:paraId="21393D6E" w14:textId="77777777" w:rsidR="00F67E9E" w:rsidRPr="0077466E" w:rsidRDefault="00F67E9E" w:rsidP="00F67E9E">
      <w:pPr>
        <w:pStyle w:val="Numbered1"/>
        <w:tabs>
          <w:tab w:val="clear" w:pos="720"/>
          <w:tab w:val="num" w:pos="1080"/>
        </w:tabs>
      </w:pPr>
      <w:r w:rsidRPr="0077466E">
        <w:t>Cancellation</w:t>
      </w:r>
    </w:p>
    <w:p w14:paraId="2BF672E3" w14:textId="4ED37920" w:rsidR="00F67E9E" w:rsidRPr="0077466E" w:rsidRDefault="00F67E9E" w:rsidP="00F67E9E">
      <w:pPr>
        <w:pStyle w:val="Numbered11"/>
        <w:tabs>
          <w:tab w:val="clear" w:pos="720"/>
          <w:tab w:val="num" w:pos="1080"/>
        </w:tabs>
      </w:pPr>
      <w:r w:rsidRPr="0077466E">
        <w:t xml:space="preserve">Subject to </w:t>
      </w:r>
      <w:bookmarkStart w:id="757" w:name="_9kR3WTr2BBDFFeEnoewrqyGP"/>
      <w:r w:rsidRPr="0077466E">
        <w:t xml:space="preserve">Paragraph </w:t>
      </w:r>
      <w:r w:rsidRPr="0077466E">
        <w:fldChar w:fldCharType="begin"/>
      </w:r>
      <w:r w:rsidRPr="0077466E">
        <w:instrText xml:space="preserve"> REF _Ref_ContractCompanion_9kb9Ur9B9 \n \h \t \* MERGEFORMAT </w:instrText>
      </w:r>
      <w:r w:rsidRPr="0077466E">
        <w:fldChar w:fldCharType="separate"/>
      </w:r>
      <w:r w:rsidR="00302D39">
        <w:t>7.2</w:t>
      </w:r>
      <w:r w:rsidRPr="0077466E">
        <w:fldChar w:fldCharType="end"/>
      </w:r>
      <w:bookmarkEnd w:id="757"/>
      <w:r w:rsidRPr="0077466E">
        <w:t>, the Supplier shall notify the Authority in writing at least 5 Working Days prior to the cancellation, suspension, termination or non-renewal of any of the Insurances.</w:t>
      </w:r>
    </w:p>
    <w:p w14:paraId="28A244B6" w14:textId="110645BC" w:rsidR="00F67E9E" w:rsidRPr="0077466E" w:rsidRDefault="00F67E9E" w:rsidP="00F67E9E">
      <w:pPr>
        <w:pStyle w:val="Numbered11"/>
        <w:tabs>
          <w:tab w:val="clear" w:pos="720"/>
          <w:tab w:val="num" w:pos="1080"/>
        </w:tabs>
      </w:pPr>
      <w:r w:rsidRPr="0077466E">
        <w:t>Without prejudice to the Supplier</w:t>
      </w:r>
      <w:r>
        <w:t>’</w:t>
      </w:r>
      <w:r w:rsidRPr="0077466E">
        <w:t xml:space="preserve">s obligations under </w:t>
      </w:r>
      <w:bookmarkStart w:id="758" w:name="_9kMKJ5YVt4DDCMKbGpqgyts0G"/>
      <w:r w:rsidRPr="0077466E">
        <w:t xml:space="preserve">Paragraph </w:t>
      </w:r>
      <w:r w:rsidRPr="0077466E">
        <w:fldChar w:fldCharType="begin"/>
      </w:r>
      <w:r w:rsidRPr="0077466E">
        <w:instrText xml:space="preserve"> REF _Ref_ContractCompanion_9kb9Ur6FH \w \n \h \t \* MERGEFORMAT </w:instrText>
      </w:r>
      <w:r w:rsidRPr="0077466E">
        <w:fldChar w:fldCharType="separate"/>
      </w:r>
      <w:r w:rsidR="00302D39">
        <w:t>4</w:t>
      </w:r>
      <w:r w:rsidRPr="0077466E">
        <w:fldChar w:fldCharType="end"/>
      </w:r>
      <w:bookmarkEnd w:id="758"/>
      <w:r w:rsidRPr="0077466E">
        <w:t xml:space="preserve">, </w:t>
      </w:r>
      <w:bookmarkStart w:id="759" w:name="_9kR3WTr2BBDG9XEnoewrqyGO"/>
      <w:r w:rsidRPr="0077466E">
        <w:t xml:space="preserve">Paragraph </w:t>
      </w:r>
      <w:r w:rsidRPr="0077466E">
        <w:fldChar w:fldCharType="begin"/>
      </w:r>
      <w:r w:rsidRPr="0077466E">
        <w:instrText xml:space="preserve"> REF _Ref_ContractCompanion_9kb9Ur9BC \n \h \t \* MERGEFORMAT </w:instrText>
      </w:r>
      <w:r w:rsidRPr="0077466E">
        <w:fldChar w:fldCharType="separate"/>
      </w:r>
      <w:r w:rsidR="00302D39">
        <w:t>7.1</w:t>
      </w:r>
      <w:r w:rsidRPr="0077466E">
        <w:fldChar w:fldCharType="end"/>
      </w:r>
      <w:bookmarkEnd w:id="759"/>
      <w:r w:rsidRPr="0077466E">
        <w:t xml:space="preserve"> shall not apply where the termination of any Insurances occurs purely as a result of a change of insurer in respect of any of the Insurances required to be taken out and maintained in accordance with this Schedule.</w:t>
      </w:r>
    </w:p>
    <w:p w14:paraId="7432B036" w14:textId="77777777" w:rsidR="00F67E9E" w:rsidRPr="0077466E" w:rsidRDefault="00F67E9E" w:rsidP="00F67E9E">
      <w:pPr>
        <w:pStyle w:val="Numbered1"/>
        <w:tabs>
          <w:tab w:val="clear" w:pos="720"/>
          <w:tab w:val="num" w:pos="1080"/>
        </w:tabs>
      </w:pPr>
      <w:r w:rsidRPr="0077466E">
        <w:t xml:space="preserve">Insurance Claims, Premiums </w:t>
      </w:r>
      <w:r>
        <w:t>a</w:t>
      </w:r>
      <w:r w:rsidRPr="0077466E">
        <w:t>nd Deductibles</w:t>
      </w:r>
    </w:p>
    <w:p w14:paraId="579F0D5D" w14:textId="77777777" w:rsidR="00F67E9E" w:rsidRPr="0077466E" w:rsidRDefault="00F67E9E" w:rsidP="00F67E9E">
      <w:pPr>
        <w:pStyle w:val="Numbered11"/>
      </w:pPr>
      <w:bookmarkStart w:id="760" w:name="_Ref_ContractCompanion_9kb9Ur9BC"/>
      <w:r w:rsidRPr="0077466E">
        <w:t>The Supplier shall promptly notify to insurers any matter arising from, or in relation to, the Services and/or this Contract for which it may be entitled to claim under any of the Insurances.</w:t>
      </w:r>
      <w:r>
        <w:t xml:space="preserve"> </w:t>
      </w:r>
      <w:r w:rsidRPr="0077466E">
        <w:t>In the event that the Authority receives a claim relating to or arising out of the Services and/or this Contract, the Supplier shall co-operate with the Authority and assist it in dealing with such claims at its own expense including without limitation providing information and documentation in a timely manner.</w:t>
      </w:r>
      <w:bookmarkEnd w:id="760"/>
    </w:p>
    <w:p w14:paraId="0BD08B78" w14:textId="77777777" w:rsidR="00F67E9E" w:rsidRPr="0077466E" w:rsidRDefault="00F67E9E" w:rsidP="00F67E9E">
      <w:pPr>
        <w:pStyle w:val="Numbered11"/>
      </w:pPr>
      <w:bookmarkStart w:id="761" w:name="_Ref_ContractCompanion_9kb9Ur9B9"/>
      <w:r w:rsidRPr="0077466E">
        <w:t xml:space="preserve">The Supplier shall maintain a register of all claims under the Insurances in connection with this Contract and shall allow the Authority to review such register at any time. </w:t>
      </w:r>
      <w:bookmarkEnd w:id="761"/>
    </w:p>
    <w:p w14:paraId="5A833689" w14:textId="77777777" w:rsidR="00F67E9E" w:rsidRPr="0077466E" w:rsidRDefault="00F67E9E" w:rsidP="00F67E9E">
      <w:pPr>
        <w:pStyle w:val="Numbered11"/>
      </w:pPr>
      <w:r w:rsidRPr="0077466E">
        <w:t>Where any Insurance requires payment of a premium, the Supplier shall be liable for and shall promptly pay such premium.</w:t>
      </w:r>
    </w:p>
    <w:p w14:paraId="76D00B98" w14:textId="77777777" w:rsidR="00F67E9E" w:rsidRDefault="00F67E9E" w:rsidP="00F67E9E">
      <w:pPr>
        <w:pStyle w:val="Numbered11"/>
      </w:pPr>
      <w:r w:rsidRPr="0077466E">
        <w:t>Where any Insurance is subject to an excess or deductible below which the indemnity from insurers is excluded, the Supplier shall be liable for such excess or deductible.</w:t>
      </w:r>
      <w:r>
        <w:t xml:space="preserve"> </w:t>
      </w:r>
      <w:r w:rsidRPr="0077466E">
        <w:t>The Supplier shall not be entitled to recover from the Authority any sum paid by way of excess or deductible under the Insurances whether under the terms of this Contract or otherwise.</w:t>
      </w:r>
    </w:p>
    <w:p w14:paraId="2659C0A7" w14:textId="77777777" w:rsidR="00F67E9E" w:rsidRPr="00B80662" w:rsidRDefault="00F67E9E" w:rsidP="00F67E9E">
      <w:pPr>
        <w:pStyle w:val="Heading2"/>
        <w:pageBreakBefore/>
      </w:pPr>
      <w:bookmarkStart w:id="762" w:name="_Ref_ContractCompanion_9kb9Ur5EC"/>
      <w:bookmarkStart w:id="763" w:name="_Ref_ContractCompanion_9kb9Ur5EE"/>
      <w:bookmarkStart w:id="764" w:name="_Toc141711918"/>
      <w:r w:rsidRPr="0077466E">
        <w:t xml:space="preserve">Annex </w:t>
      </w:r>
      <w:bookmarkStart w:id="765" w:name="ANNEX1_PARTA_SCHEDULE6"/>
      <w:r w:rsidRPr="0077466E">
        <w:t>1</w:t>
      </w:r>
      <w:bookmarkEnd w:id="765"/>
      <w:r w:rsidRPr="0077466E">
        <w:t>: Required Insurances</w:t>
      </w:r>
      <w:bookmarkEnd w:id="762"/>
      <w:bookmarkEnd w:id="763"/>
      <w:bookmarkEnd w:id="764"/>
    </w:p>
    <w:p w14:paraId="5C409903" w14:textId="77777777" w:rsidR="00F67E9E" w:rsidRPr="000038E2" w:rsidRDefault="00F67E9E" w:rsidP="00F67E9E">
      <w:pPr>
        <w:pStyle w:val="Heading2"/>
      </w:pPr>
      <w:bookmarkStart w:id="766" w:name="Sch6PartA"/>
      <w:bookmarkStart w:id="767" w:name="_Ref92205550"/>
      <w:bookmarkStart w:id="768" w:name="_Toc141711919"/>
      <w:r w:rsidRPr="000038E2">
        <w:t>Part A</w:t>
      </w:r>
      <w:bookmarkEnd w:id="766"/>
      <w:r w:rsidRPr="000038E2">
        <w:t>: Insurance Claim Notification</w:t>
      </w:r>
      <w:bookmarkEnd w:id="767"/>
      <w:bookmarkEnd w:id="768"/>
    </w:p>
    <w:p w14:paraId="353AF9D5" w14:textId="77777777" w:rsidR="00F67E9E" w:rsidRPr="000C1DA3" w:rsidRDefault="00F67E9E" w:rsidP="00F67E9E">
      <w:pPr>
        <w:pStyle w:val="StdBodyText"/>
        <w:rPr>
          <w:rFonts w:cs="Arial"/>
        </w:rPr>
      </w:pPr>
      <w:r w:rsidRPr="0077466E">
        <w:rPr>
          <w:rFonts w:cs="Arial"/>
        </w:rPr>
        <w:t>Except where the Authority is the claimant party, the Supplier shall give the Authority notice within 20 Working Days after any insurance claim in excess</w:t>
      </w:r>
      <w:r w:rsidRPr="000C1DA3">
        <w:rPr>
          <w:rFonts w:cs="Arial"/>
        </w:rPr>
        <w:t xml:space="preserve"> of </w:t>
      </w:r>
      <w:r w:rsidRPr="003843A3">
        <w:rPr>
          <w:rStyle w:val="StdBodyTextBoldChar"/>
          <w:rFonts w:cs="Arial"/>
          <w:b w:val="0"/>
          <w:bCs/>
          <w:iCs/>
          <w:highlight w:val="yellow"/>
        </w:rPr>
        <w:t>[£100,000]</w:t>
      </w:r>
      <w:r w:rsidRPr="000C1DA3">
        <w:rPr>
          <w:rFonts w:cs="Arial"/>
        </w:rPr>
        <w:t xml:space="preserve"> relating to or arising out of the provision of the </w:t>
      </w:r>
      <w:r w:rsidRPr="0077466E">
        <w:rPr>
          <w:rFonts w:cs="Arial"/>
        </w:rPr>
        <w:t>Services or this Contract on</w:t>
      </w:r>
      <w:r w:rsidRPr="000C1DA3">
        <w:rPr>
          <w:rFonts w:cs="Arial"/>
        </w:rPr>
        <w:t xml:space="preserve"> any of the Insurances or which, but for the application of the applicable policy excess, would be made on any of the Insurances and (if required by the Authority) full details of the incident giving rise to the claim. </w:t>
      </w:r>
    </w:p>
    <w:p w14:paraId="328F2FE1" w14:textId="77777777" w:rsidR="00F67E9E" w:rsidRPr="00755CD1" w:rsidRDefault="00F67E9E" w:rsidP="00F67E9E">
      <w:pPr>
        <w:pStyle w:val="StdBodyText"/>
        <w:rPr>
          <w:rFonts w:cs="Arial"/>
          <w:bCs/>
          <w:i/>
        </w:rPr>
      </w:pPr>
      <w:r>
        <w:rPr>
          <w:rFonts w:cs="Arial"/>
          <w:b/>
          <w:i/>
          <w:highlight w:val="yellow"/>
        </w:rPr>
        <w:t>[Guidance note:</w:t>
      </w:r>
      <w:r w:rsidRPr="00755CD1">
        <w:rPr>
          <w:rFonts w:cs="Arial"/>
          <w:b/>
          <w:i/>
          <w:highlight w:val="yellow"/>
        </w:rPr>
        <w:t xml:space="preserve"> </w:t>
      </w:r>
      <w:r w:rsidRPr="00C20547">
        <w:rPr>
          <w:rFonts w:cs="Arial"/>
          <w:b/>
          <w:i/>
          <w:highlight w:val="yellow"/>
        </w:rPr>
        <w:t>The insurance claims notification threshold should normally represent a significant or material value claim in connection with the requirement or represent an amount that would provide comfort to the Authority that it has knowledge of claims that might impact on the Authority.]</w:t>
      </w:r>
      <w:r w:rsidRPr="00C20547">
        <w:rPr>
          <w:rFonts w:cs="Arial"/>
          <w:b/>
          <w:i/>
        </w:rPr>
        <w:t xml:space="preserve"> </w:t>
      </w:r>
    </w:p>
    <w:p w14:paraId="3A2C99DD" w14:textId="77777777" w:rsidR="00F67E9E" w:rsidRDefault="00F67E9E" w:rsidP="00F67E9E">
      <w:pPr>
        <w:pStyle w:val="StdBodyText"/>
        <w:rPr>
          <w:rStyle w:val="Heading3Char"/>
        </w:rPr>
      </w:pPr>
    </w:p>
    <w:p w14:paraId="5C1785EE" w14:textId="77777777" w:rsidR="00F67E9E" w:rsidRPr="004472FD" w:rsidRDefault="00F67E9E" w:rsidP="00F67E9E">
      <w:pPr>
        <w:pStyle w:val="Heading2"/>
        <w:pageBreakBefore/>
      </w:pPr>
      <w:bookmarkStart w:id="769" w:name="Sch6PartB"/>
      <w:bookmarkStart w:id="770" w:name="_Ref92205558"/>
      <w:bookmarkStart w:id="771" w:name="_Toc141711920"/>
      <w:r w:rsidRPr="004472FD">
        <w:t>Part B</w:t>
      </w:r>
      <w:bookmarkEnd w:id="769"/>
      <w:r w:rsidRPr="004472FD">
        <w:t xml:space="preserve">: Third Party Public </w:t>
      </w:r>
      <w:r>
        <w:t>a</w:t>
      </w:r>
      <w:r w:rsidRPr="004472FD">
        <w:t>nd Products Liability Insurance</w:t>
      </w:r>
      <w:bookmarkEnd w:id="770"/>
      <w:bookmarkEnd w:id="771"/>
    </w:p>
    <w:p w14:paraId="0D79E2B7" w14:textId="77777777" w:rsidR="00F67E9E" w:rsidRPr="000950FC" w:rsidRDefault="00F67E9E" w:rsidP="00F67E9E">
      <w:pPr>
        <w:pStyle w:val="Numbered1"/>
        <w:numPr>
          <w:ilvl w:val="0"/>
          <w:numId w:val="164"/>
        </w:numPr>
        <w:tabs>
          <w:tab w:val="clear" w:pos="720"/>
          <w:tab w:val="num" w:pos="1080"/>
        </w:tabs>
      </w:pPr>
      <w:r w:rsidRPr="000950FC">
        <w:t>Insured</w:t>
      </w:r>
    </w:p>
    <w:p w14:paraId="17FB457F" w14:textId="77777777" w:rsidR="00F67E9E" w:rsidRPr="000C1DA3" w:rsidRDefault="00F67E9E" w:rsidP="00F67E9E">
      <w:pPr>
        <w:pStyle w:val="Numbered11"/>
        <w:tabs>
          <w:tab w:val="clear" w:pos="720"/>
          <w:tab w:val="num" w:pos="1080"/>
        </w:tabs>
      </w:pPr>
      <w:r w:rsidRPr="000C1DA3">
        <w:t>The Supplier</w:t>
      </w:r>
    </w:p>
    <w:p w14:paraId="1DA5E9C3" w14:textId="77777777" w:rsidR="00F67E9E" w:rsidRPr="000C1DA3" w:rsidRDefault="00F67E9E" w:rsidP="00F67E9E">
      <w:pPr>
        <w:pStyle w:val="Numbered1"/>
        <w:tabs>
          <w:tab w:val="clear" w:pos="720"/>
          <w:tab w:val="num" w:pos="1080"/>
        </w:tabs>
      </w:pPr>
      <w:r w:rsidRPr="000C1DA3">
        <w:t>Interest</w:t>
      </w:r>
    </w:p>
    <w:p w14:paraId="0105A267" w14:textId="77777777" w:rsidR="00F67E9E" w:rsidRPr="000C1DA3" w:rsidRDefault="00F67E9E" w:rsidP="00F67E9E">
      <w:pPr>
        <w:pStyle w:val="Numbered11"/>
        <w:tabs>
          <w:tab w:val="clear" w:pos="720"/>
          <w:tab w:val="num" w:pos="1080"/>
        </w:tabs>
      </w:pPr>
      <w:r w:rsidRPr="000C1DA3">
        <w:t>To indemnify the Insured in respect of all sums which the Insured shall become legally liable to pay as damages, including claimant</w:t>
      </w:r>
      <w:r>
        <w:t>’</w:t>
      </w:r>
      <w:r w:rsidRPr="000C1DA3">
        <w:t>s costs and expenses, in respect of accidental:</w:t>
      </w:r>
    </w:p>
    <w:p w14:paraId="5034049C" w14:textId="77777777" w:rsidR="00F67E9E" w:rsidRPr="0077466E" w:rsidRDefault="00F67E9E" w:rsidP="00F67E9E">
      <w:pPr>
        <w:pStyle w:val="Numbered111"/>
        <w:tabs>
          <w:tab w:val="clear" w:pos="1800"/>
          <w:tab w:val="num" w:pos="2160"/>
        </w:tabs>
      </w:pPr>
      <w:r w:rsidRPr="0077466E">
        <w:t>death or bodily injury to or sickness, illness or disease contracted by any person; and</w:t>
      </w:r>
    </w:p>
    <w:p w14:paraId="76A1C18A" w14:textId="77777777" w:rsidR="00F67E9E" w:rsidRPr="0077466E" w:rsidRDefault="00F67E9E" w:rsidP="00F67E9E">
      <w:pPr>
        <w:pStyle w:val="Numbered111"/>
        <w:tabs>
          <w:tab w:val="clear" w:pos="1800"/>
          <w:tab w:val="num" w:pos="2160"/>
        </w:tabs>
      </w:pPr>
      <w:r w:rsidRPr="0077466E">
        <w:t>loss of or damage to physical property;</w:t>
      </w:r>
    </w:p>
    <w:p w14:paraId="368AD3E1" w14:textId="04C6C46C" w:rsidR="00F67E9E" w:rsidRPr="000C1DA3" w:rsidRDefault="00F67E9E" w:rsidP="00F67E9E">
      <w:pPr>
        <w:pStyle w:val="StdBodyText1"/>
        <w:rPr>
          <w:rFonts w:cs="Arial"/>
        </w:rPr>
      </w:pPr>
      <w:r w:rsidRPr="0077466E">
        <w:rPr>
          <w:rFonts w:cs="Arial"/>
        </w:rPr>
        <w:t xml:space="preserve">happening during the period of insurance (as specified in </w:t>
      </w:r>
      <w:bookmarkStart w:id="772" w:name="_9kMHG5YVtCIAFIENEyq1PfMvFahpW5A84583CNV"/>
      <w:r w:rsidRPr="0077466E">
        <w:rPr>
          <w:rFonts w:cs="Arial"/>
        </w:rPr>
        <w:t xml:space="preserve">Paragraph </w:t>
      </w:r>
      <w:r w:rsidRPr="0077466E">
        <w:rPr>
          <w:rFonts w:cs="Arial"/>
        </w:rPr>
        <w:fldChar w:fldCharType="begin"/>
      </w:r>
      <w:r w:rsidRPr="0077466E">
        <w:rPr>
          <w:rFonts w:cs="Arial"/>
        </w:rPr>
        <w:instrText xml:space="preserve"> REF _Ref_ContractCompanion_9kb9Ur9C6 \w \n \h \t \* MERGEFORMAT </w:instrText>
      </w:r>
      <w:r w:rsidRPr="0077466E">
        <w:rPr>
          <w:rFonts w:cs="Arial"/>
        </w:rPr>
      </w:r>
      <w:r w:rsidRPr="0077466E">
        <w:rPr>
          <w:rFonts w:cs="Arial"/>
        </w:rPr>
        <w:fldChar w:fldCharType="separate"/>
      </w:r>
      <w:r w:rsidR="00302D39">
        <w:rPr>
          <w:rFonts w:cs="Arial"/>
        </w:rPr>
        <w:t>5</w:t>
      </w:r>
      <w:r w:rsidRPr="0077466E">
        <w:rPr>
          <w:rFonts w:cs="Arial"/>
        </w:rPr>
        <w:fldChar w:fldCharType="end"/>
      </w:r>
      <w:bookmarkEnd w:id="772"/>
      <w:r w:rsidRPr="0077466E">
        <w:rPr>
          <w:rFonts w:cs="Arial"/>
        </w:rPr>
        <w:t>) and arising out of or in connection with the provision of the Services and in connection with this Contract.</w:t>
      </w:r>
    </w:p>
    <w:p w14:paraId="06EF2540" w14:textId="77777777" w:rsidR="00F67E9E" w:rsidRPr="000C1DA3" w:rsidRDefault="00F67E9E" w:rsidP="00F67E9E">
      <w:pPr>
        <w:pStyle w:val="Numbered1"/>
      </w:pPr>
      <w:r w:rsidRPr="000C1DA3">
        <w:t xml:space="preserve">Limit of </w:t>
      </w:r>
      <w:r w:rsidRPr="009B0154">
        <w:t>indemnity</w:t>
      </w:r>
    </w:p>
    <w:p w14:paraId="1F74B8CE" w14:textId="77777777" w:rsidR="00F67E9E" w:rsidRPr="000C1DA3" w:rsidRDefault="00F67E9E" w:rsidP="00F67E9E">
      <w:pPr>
        <w:pStyle w:val="Numbered11"/>
      </w:pPr>
      <w:r w:rsidRPr="000C1DA3">
        <w:t xml:space="preserve">Not less than </w:t>
      </w:r>
      <w:r w:rsidRPr="002E7013">
        <w:rPr>
          <w:rStyle w:val="StdBodyTextBoldChar"/>
          <w:rFonts w:eastAsia="Verdana" w:cs="Arial"/>
          <w:b w:val="0"/>
          <w:bCs/>
          <w:iCs/>
        </w:rPr>
        <w:t>£</w:t>
      </w:r>
      <w:r w:rsidRPr="00A32BBA">
        <w:rPr>
          <w:rStyle w:val="StdBodyTextBoldChar"/>
          <w:rFonts w:eastAsia="Verdana" w:cs="Arial"/>
          <w:b w:val="0"/>
          <w:bCs/>
          <w:iCs/>
          <w:highlight w:val="yellow"/>
        </w:rPr>
        <w:t>[to be determined by the Authority]</w:t>
      </w:r>
      <w:r w:rsidRPr="000C1DA3">
        <w:t xml:space="preserve"> in respect of any one occurrence, the number of occurrences being unlimited in any annual policy period, but </w:t>
      </w:r>
      <w:r w:rsidRPr="002E7013">
        <w:rPr>
          <w:rStyle w:val="StdBodyTextBoldChar"/>
          <w:rFonts w:eastAsia="Verdana" w:cs="Arial"/>
          <w:b w:val="0"/>
          <w:bCs/>
          <w:iCs/>
        </w:rPr>
        <w:t>£</w:t>
      </w:r>
      <w:r w:rsidRPr="00A32BBA">
        <w:rPr>
          <w:rStyle w:val="StdBodyTextBoldChar"/>
          <w:rFonts w:eastAsia="Verdana" w:cs="Arial"/>
          <w:b w:val="0"/>
          <w:bCs/>
          <w:iCs/>
          <w:highlight w:val="yellow"/>
        </w:rPr>
        <w:t>[to be determined by the Authority]</w:t>
      </w:r>
      <w:r w:rsidRPr="000C1DA3">
        <w:t xml:space="preserve"> in </w:t>
      </w:r>
      <w:r w:rsidRPr="009B0154">
        <w:t>the</w:t>
      </w:r>
      <w:r w:rsidRPr="000C1DA3">
        <w:t xml:space="preserve"> aggregate per annum in respect of products and pollution liability.</w:t>
      </w:r>
    </w:p>
    <w:p w14:paraId="5BE28549" w14:textId="77777777" w:rsidR="00F67E9E" w:rsidRPr="00C20547" w:rsidRDefault="00F67E9E" w:rsidP="00F67E9E">
      <w:pPr>
        <w:pStyle w:val="StdBodyText1"/>
        <w:rPr>
          <w:rFonts w:cs="Arial"/>
          <w:b/>
          <w:i/>
          <w:highlight w:val="yellow"/>
        </w:rPr>
      </w:pPr>
      <w:r>
        <w:rPr>
          <w:rStyle w:val="StdBodyTextBoldChar"/>
          <w:rFonts w:cs="Arial"/>
          <w:iCs/>
          <w:highlight w:val="yellow"/>
        </w:rPr>
        <w:t>[Guidance note:</w:t>
      </w:r>
      <w:r w:rsidRPr="00523735">
        <w:rPr>
          <w:rFonts w:cs="Arial"/>
          <w:b/>
          <w:i/>
          <w:highlight w:val="yellow"/>
        </w:rPr>
        <w:t xml:space="preserve"> </w:t>
      </w:r>
      <w:r w:rsidRPr="00C20547">
        <w:rPr>
          <w:rFonts w:cs="Arial"/>
          <w:b/>
          <w:i/>
          <w:highlight w:val="yellow"/>
        </w:rPr>
        <w:t>The Contracting Authority should set the Limit of Indemnity by way of an insurable risk review (see MSC Guidance document). The level specified in the limit of indemnity above should be predicated upon:</w:t>
      </w:r>
    </w:p>
    <w:p w14:paraId="1C20222E" w14:textId="77777777" w:rsidR="00F67E9E" w:rsidRPr="00C20547" w:rsidRDefault="00F67E9E" w:rsidP="00F67E9E">
      <w:pPr>
        <w:pStyle w:val="StdBodyText1"/>
        <w:rPr>
          <w:rFonts w:cs="Arial"/>
          <w:b/>
          <w:i/>
          <w:highlight w:val="yellow"/>
        </w:rPr>
      </w:pPr>
      <w:r w:rsidRPr="00C20547">
        <w:rPr>
          <w:rFonts w:cs="Arial"/>
          <w:b/>
          <w:i/>
          <w:highlight w:val="yellow"/>
        </w:rPr>
        <w:t>The risk profile represented by the Contracting Authority requirement in question</w:t>
      </w:r>
    </w:p>
    <w:p w14:paraId="17CBFE54" w14:textId="77777777" w:rsidR="00F67E9E" w:rsidRPr="00C20547" w:rsidRDefault="00F67E9E" w:rsidP="00F67E9E">
      <w:pPr>
        <w:pStyle w:val="StdBodyText1"/>
        <w:rPr>
          <w:rFonts w:cs="Arial"/>
          <w:b/>
          <w:i/>
          <w:highlight w:val="yellow"/>
        </w:rPr>
      </w:pPr>
      <w:r w:rsidRPr="00C20547">
        <w:rPr>
          <w:rFonts w:cs="Arial"/>
          <w:b/>
          <w:i/>
          <w:highlight w:val="yellow"/>
        </w:rPr>
        <w:t>Potential frequency and severity of claims and losses (not the value of the contract) relative to the risk exposure</w:t>
      </w:r>
    </w:p>
    <w:p w14:paraId="07E8982A" w14:textId="77777777" w:rsidR="00F67E9E" w:rsidRPr="00C20547" w:rsidRDefault="00F67E9E" w:rsidP="00F67E9E">
      <w:pPr>
        <w:pStyle w:val="StdBodyText1"/>
        <w:rPr>
          <w:rFonts w:cs="Arial"/>
          <w:b/>
          <w:i/>
          <w:highlight w:val="yellow"/>
        </w:rPr>
      </w:pPr>
      <w:r w:rsidRPr="00C20547">
        <w:rPr>
          <w:rFonts w:cs="Arial"/>
          <w:b/>
          <w:i/>
          <w:highlight w:val="yellow"/>
        </w:rPr>
        <w:t>Insurance market availability in prevailing insurance market conditions.</w:t>
      </w:r>
    </w:p>
    <w:p w14:paraId="012226DA" w14:textId="77777777" w:rsidR="00F67E9E" w:rsidRPr="00C20547" w:rsidRDefault="00F67E9E" w:rsidP="00F67E9E">
      <w:pPr>
        <w:pStyle w:val="StdBodyText1"/>
        <w:rPr>
          <w:rStyle w:val="StdBodyTextBoldChar"/>
          <w:rFonts w:cs="Arial"/>
          <w:iCs/>
          <w:highlight w:val="yellow"/>
        </w:rPr>
      </w:pPr>
      <w:r w:rsidRPr="00C20547">
        <w:rPr>
          <w:rStyle w:val="StdBodyTextBoldChar"/>
          <w:rFonts w:cs="Arial"/>
          <w:i/>
          <w:highlight w:val="yellow"/>
        </w:rPr>
        <w:t>The wording on the limit of indemnity for third party public and products liability reflects what is available in UK insurance market conditions for this type of insurance only. While insurance is available in the UK on this basis, it may not be available in other parts of the world, in which case Suppliers may need to seek an alternative UK insurance policy on this basis</w:t>
      </w:r>
      <w:r w:rsidRPr="00C20547">
        <w:rPr>
          <w:rStyle w:val="StdBodyTextBoldChar"/>
          <w:rFonts w:cs="Arial"/>
          <w:iCs/>
          <w:highlight w:val="yellow"/>
        </w:rPr>
        <w:t xml:space="preserve">.] </w:t>
      </w:r>
    </w:p>
    <w:p w14:paraId="16393764" w14:textId="77777777" w:rsidR="00F67E9E" w:rsidRPr="000C1DA3" w:rsidRDefault="00F67E9E" w:rsidP="00F67E9E">
      <w:pPr>
        <w:pStyle w:val="Numbered1"/>
      </w:pPr>
      <w:r w:rsidRPr="000C1DA3">
        <w:t>Territorial limits</w:t>
      </w:r>
    </w:p>
    <w:p w14:paraId="2C0EA1AA" w14:textId="77777777" w:rsidR="00F67E9E" w:rsidRPr="00F97284" w:rsidRDefault="00F67E9E" w:rsidP="00F67E9E">
      <w:pPr>
        <w:pStyle w:val="StdBodyText1"/>
        <w:rPr>
          <w:rFonts w:cs="Arial"/>
          <w:iCs/>
        </w:rPr>
      </w:pPr>
      <w:r w:rsidRPr="00F97284">
        <w:rPr>
          <w:rStyle w:val="StdBodyTextBoldChar"/>
          <w:rFonts w:cs="Arial"/>
          <w:iCs/>
          <w:highlight w:val="yellow"/>
        </w:rPr>
        <w:t>[United</w:t>
      </w:r>
      <w:r w:rsidRPr="00F97284">
        <w:rPr>
          <w:rFonts w:cs="Arial"/>
          <w:iCs/>
          <w:highlight w:val="yellow"/>
        </w:rPr>
        <w:t xml:space="preserve"> </w:t>
      </w:r>
      <w:r w:rsidRPr="00F97284">
        <w:rPr>
          <w:rStyle w:val="StdBodyTextBoldChar"/>
          <w:rFonts w:cs="Arial"/>
          <w:iCs/>
          <w:highlight w:val="yellow"/>
        </w:rPr>
        <w:t>Kingdom]</w:t>
      </w:r>
    </w:p>
    <w:p w14:paraId="485CCDC9" w14:textId="243BD9DA" w:rsidR="00F67E9E" w:rsidRPr="00F97284" w:rsidRDefault="00F67E9E" w:rsidP="00F67E9E">
      <w:pPr>
        <w:pStyle w:val="StdBodyText1"/>
        <w:rPr>
          <w:rFonts w:cs="Arial"/>
          <w:bCs/>
          <w:iCs/>
        </w:rPr>
      </w:pPr>
      <w:r>
        <w:rPr>
          <w:rStyle w:val="StdBodyTextBoldChar"/>
          <w:rFonts w:cs="Arial"/>
          <w:iCs/>
          <w:highlight w:val="yellow"/>
        </w:rPr>
        <w:t>[Guidance note:</w:t>
      </w:r>
      <w:r w:rsidRPr="00523735">
        <w:rPr>
          <w:rFonts w:cs="Arial"/>
          <w:bCs/>
          <w:i/>
          <w:highlight w:val="yellow"/>
        </w:rPr>
        <w:t xml:space="preserve"> </w:t>
      </w:r>
      <w:r w:rsidRPr="00C20547">
        <w:rPr>
          <w:rFonts w:cs="Arial"/>
          <w:b/>
          <w:i/>
          <w:highlight w:val="yellow"/>
        </w:rPr>
        <w:t xml:space="preserve">The Authority should populate any additional territories relative to the service delivery. Annex </w:t>
      </w:r>
      <w:r w:rsidRPr="00C20547">
        <w:rPr>
          <w:rFonts w:cs="Arial"/>
          <w:b/>
          <w:i/>
          <w:highlight w:val="yellow"/>
        </w:rPr>
        <w:fldChar w:fldCharType="begin"/>
      </w:r>
      <w:r w:rsidRPr="00C20547">
        <w:rPr>
          <w:rFonts w:cs="Arial"/>
          <w:b/>
          <w:i/>
          <w:highlight w:val="yellow"/>
        </w:rPr>
        <w:instrText xml:space="preserve"> REF ANNEX1_PARTA_SCHEDULE6 \h  \* MERGEFORMAT </w:instrText>
      </w:r>
      <w:r w:rsidRPr="00C20547">
        <w:rPr>
          <w:rFonts w:cs="Arial"/>
          <w:b/>
          <w:i/>
          <w:highlight w:val="yellow"/>
        </w:rPr>
      </w:r>
      <w:r w:rsidRPr="00C20547">
        <w:rPr>
          <w:rFonts w:cs="Arial"/>
          <w:b/>
          <w:i/>
          <w:highlight w:val="yellow"/>
        </w:rPr>
        <w:fldChar w:fldCharType="separate"/>
      </w:r>
      <w:r w:rsidR="00302D39" w:rsidRPr="00302D39">
        <w:rPr>
          <w:rFonts w:cs="Arial"/>
          <w:b/>
          <w:i/>
          <w:highlight w:val="yellow"/>
        </w:rPr>
        <w:t>1</w:t>
      </w:r>
      <w:r w:rsidRPr="00C20547">
        <w:rPr>
          <w:rFonts w:cs="Arial"/>
          <w:b/>
          <w:i/>
          <w:highlight w:val="yellow"/>
        </w:rPr>
        <w:fldChar w:fldCharType="end"/>
      </w:r>
      <w:r w:rsidRPr="00C20547">
        <w:rPr>
          <w:rFonts w:cs="Arial"/>
          <w:b/>
          <w:i/>
          <w:highlight w:val="yellow"/>
        </w:rPr>
        <w:t xml:space="preserve"> reflects United Kingdom insurance market conditions and availability only. Where there is an overseas insurance requirement consider obtaining professional insurance advice to set the appropriate requirement in Annex </w:t>
      </w:r>
      <w:r w:rsidRPr="00C20547">
        <w:rPr>
          <w:rFonts w:cs="Arial"/>
          <w:b/>
          <w:i/>
          <w:highlight w:val="yellow"/>
        </w:rPr>
        <w:fldChar w:fldCharType="begin"/>
      </w:r>
      <w:r w:rsidRPr="00C20547">
        <w:rPr>
          <w:rFonts w:cs="Arial"/>
          <w:b/>
          <w:i/>
          <w:highlight w:val="yellow"/>
        </w:rPr>
        <w:instrText xml:space="preserve"> REF ANNEX1_PARTA_SCHEDULE6 \h  \* MERGEFORMAT </w:instrText>
      </w:r>
      <w:r w:rsidRPr="00C20547">
        <w:rPr>
          <w:rFonts w:cs="Arial"/>
          <w:b/>
          <w:i/>
          <w:highlight w:val="yellow"/>
        </w:rPr>
      </w:r>
      <w:r w:rsidRPr="00C20547">
        <w:rPr>
          <w:rFonts w:cs="Arial"/>
          <w:b/>
          <w:i/>
          <w:highlight w:val="yellow"/>
        </w:rPr>
        <w:fldChar w:fldCharType="separate"/>
      </w:r>
      <w:r w:rsidR="00302D39" w:rsidRPr="00302D39">
        <w:rPr>
          <w:rFonts w:cs="Arial"/>
          <w:b/>
          <w:i/>
          <w:highlight w:val="yellow"/>
        </w:rPr>
        <w:t>1</w:t>
      </w:r>
      <w:r w:rsidRPr="00C20547">
        <w:rPr>
          <w:rFonts w:cs="Arial"/>
          <w:b/>
          <w:i/>
          <w:highlight w:val="yellow"/>
        </w:rPr>
        <w:fldChar w:fldCharType="end"/>
      </w:r>
      <w:r w:rsidRPr="00C20547">
        <w:rPr>
          <w:rFonts w:cs="Arial"/>
          <w:b/>
          <w:i/>
          <w:highlight w:val="yellow"/>
        </w:rPr>
        <w:t>.]</w:t>
      </w:r>
    </w:p>
    <w:p w14:paraId="2B4F841B" w14:textId="77777777" w:rsidR="00F67E9E" w:rsidRPr="000C1DA3" w:rsidRDefault="00F67E9E" w:rsidP="00F67E9E">
      <w:pPr>
        <w:pStyle w:val="Numbered1"/>
      </w:pPr>
      <w:bookmarkStart w:id="773" w:name="_Ref_ContractCompanion_9kb9Ur9C6"/>
      <w:bookmarkStart w:id="774" w:name="_9kR3WTrAG8DGCLCwozNdKtDYfnU3862361ALTTA"/>
      <w:r w:rsidRPr="000C1DA3">
        <w:t>Period of insurance</w:t>
      </w:r>
      <w:bookmarkEnd w:id="773"/>
      <w:bookmarkEnd w:id="774"/>
    </w:p>
    <w:p w14:paraId="248BC724" w14:textId="77777777" w:rsidR="00F67E9E" w:rsidRPr="000C1DA3" w:rsidRDefault="00F67E9E" w:rsidP="00F67E9E">
      <w:pPr>
        <w:pStyle w:val="Numbered11"/>
        <w:tabs>
          <w:tab w:val="clear" w:pos="720"/>
          <w:tab w:val="num" w:pos="1080"/>
        </w:tabs>
      </w:pPr>
      <w:r w:rsidRPr="000C1DA3">
        <w:t xml:space="preserve">From the </w:t>
      </w:r>
      <w:r w:rsidRPr="00560BA2">
        <w:t xml:space="preserve">date of this Contract for the Term and renewable on an annual basis unless agreed otherwise by the Authority </w:t>
      </w:r>
      <w:r w:rsidRPr="000C1DA3">
        <w:t>in writing.</w:t>
      </w:r>
    </w:p>
    <w:p w14:paraId="216386EC" w14:textId="77777777" w:rsidR="00F67E9E" w:rsidRPr="00F97284" w:rsidRDefault="00F67E9E" w:rsidP="00F67E9E">
      <w:pPr>
        <w:pStyle w:val="StdBodyText1"/>
        <w:rPr>
          <w:rFonts w:cs="Arial"/>
          <w:bCs/>
          <w:iCs/>
        </w:rPr>
      </w:pPr>
      <w:r>
        <w:rPr>
          <w:rStyle w:val="StdBodyTextBoldChar"/>
          <w:rFonts w:cs="Arial"/>
          <w:iCs/>
          <w:highlight w:val="yellow"/>
        </w:rPr>
        <w:t>[Guidance note:</w:t>
      </w:r>
      <w:r w:rsidRPr="00523735">
        <w:rPr>
          <w:rFonts w:cs="Arial"/>
          <w:bCs/>
          <w:i/>
          <w:highlight w:val="yellow"/>
        </w:rPr>
        <w:t xml:space="preserve"> </w:t>
      </w:r>
      <w:r w:rsidRPr="00C20547">
        <w:rPr>
          <w:rFonts w:cs="Arial"/>
          <w:b/>
          <w:i/>
          <w:highlight w:val="yellow"/>
        </w:rPr>
        <w:t>The Authority should populate the period of insurance relative to the requirement in question. The period of insurance should reflect the period that the relevant insurable risk can materialise and take into account any contract specific issues such as phasing.]</w:t>
      </w:r>
    </w:p>
    <w:p w14:paraId="023BD338" w14:textId="77777777" w:rsidR="00F67E9E" w:rsidRPr="000C1DA3" w:rsidRDefault="00F67E9E" w:rsidP="00F67E9E">
      <w:pPr>
        <w:pStyle w:val="Numbered1"/>
      </w:pPr>
      <w:r w:rsidRPr="000C1DA3">
        <w:t xml:space="preserve">Cover </w:t>
      </w:r>
      <w:r w:rsidRPr="009B0154">
        <w:t>features</w:t>
      </w:r>
      <w:r w:rsidRPr="000C1DA3">
        <w:t xml:space="preserve"> and extensions</w:t>
      </w:r>
    </w:p>
    <w:p w14:paraId="4C22C9C2" w14:textId="77777777" w:rsidR="00F67E9E" w:rsidRPr="009671B7" w:rsidRDefault="00F67E9E" w:rsidP="00F67E9E">
      <w:pPr>
        <w:pStyle w:val="Numbered11"/>
        <w:tabs>
          <w:tab w:val="clear" w:pos="720"/>
          <w:tab w:val="num" w:pos="1080"/>
        </w:tabs>
        <w:rPr>
          <w:bCs/>
        </w:rPr>
      </w:pPr>
      <w:r w:rsidRPr="00560BA2">
        <w:t xml:space="preserve">Indemnity to principals clause under which the Authority shall be indemnified in respect of claims made against the Authority in respect of death or bodily injury or third party property damage arising out of or in connection with the </w:t>
      </w:r>
      <w:r w:rsidRPr="002E7013">
        <w:rPr>
          <w:b/>
        </w:rPr>
        <w:t>Contract and for which the Supplier is legally liable</w:t>
      </w:r>
      <w:r w:rsidRPr="009671B7">
        <w:rPr>
          <w:bCs/>
        </w:rPr>
        <w:t>.</w:t>
      </w:r>
    </w:p>
    <w:p w14:paraId="6DA2FD14" w14:textId="77777777" w:rsidR="00F67E9E" w:rsidRPr="00F97284" w:rsidRDefault="00F67E9E" w:rsidP="00F67E9E">
      <w:pPr>
        <w:pStyle w:val="StdBodyText2"/>
        <w:rPr>
          <w:rFonts w:cs="Arial"/>
          <w:bCs/>
          <w:iCs/>
        </w:rPr>
      </w:pPr>
      <w:r>
        <w:rPr>
          <w:rStyle w:val="StdBodyTextBoldChar"/>
          <w:rFonts w:cs="Arial"/>
          <w:iCs/>
          <w:highlight w:val="yellow"/>
        </w:rPr>
        <w:t>[Guidance note:</w:t>
      </w:r>
      <w:r w:rsidRPr="00523735">
        <w:rPr>
          <w:rFonts w:cs="Arial"/>
          <w:bCs/>
          <w:i/>
          <w:highlight w:val="yellow"/>
        </w:rPr>
        <w:t xml:space="preserve"> </w:t>
      </w:r>
      <w:r w:rsidRPr="00C20547">
        <w:rPr>
          <w:rFonts w:cs="Arial"/>
          <w:b/>
          <w:i/>
          <w:highlight w:val="yellow"/>
        </w:rPr>
        <w:t>As part of the insurance review (see MSC Guidance document) the Authority should consider what additional cover features and extensions may be required to protect its interests (e.g. contractual liability extension and legal defence costs in addition to the limit of indemnity). The Authority may need to seek professional subject matter insurance advice in this regard.]</w:t>
      </w:r>
    </w:p>
    <w:p w14:paraId="20D3E4CC" w14:textId="77777777" w:rsidR="00F67E9E" w:rsidRPr="000C1DA3" w:rsidRDefault="00F67E9E" w:rsidP="00F67E9E">
      <w:pPr>
        <w:pStyle w:val="Numbered1"/>
      </w:pPr>
      <w:r w:rsidRPr="000C1DA3">
        <w:t>Principal exclusions</w:t>
      </w:r>
    </w:p>
    <w:p w14:paraId="7BFD3BC0" w14:textId="77777777" w:rsidR="00F67E9E" w:rsidRPr="000C1DA3" w:rsidRDefault="00F67E9E" w:rsidP="00F67E9E">
      <w:pPr>
        <w:pStyle w:val="Numbered11"/>
        <w:tabs>
          <w:tab w:val="clear" w:pos="720"/>
          <w:tab w:val="num" w:pos="1080"/>
        </w:tabs>
      </w:pPr>
      <w:r w:rsidRPr="000C1DA3">
        <w:t>War and related perils.</w:t>
      </w:r>
    </w:p>
    <w:p w14:paraId="3CEA2631" w14:textId="77777777" w:rsidR="00F67E9E" w:rsidRPr="000C1DA3" w:rsidRDefault="00F67E9E" w:rsidP="00F67E9E">
      <w:pPr>
        <w:pStyle w:val="Numbered11"/>
        <w:tabs>
          <w:tab w:val="clear" w:pos="720"/>
          <w:tab w:val="num" w:pos="1080"/>
        </w:tabs>
      </w:pPr>
      <w:r w:rsidRPr="000C1DA3">
        <w:t>Nuclear and radioactive risks.</w:t>
      </w:r>
    </w:p>
    <w:p w14:paraId="7DC7FFF0" w14:textId="77777777" w:rsidR="00F67E9E" w:rsidRPr="000C1DA3" w:rsidRDefault="00F67E9E" w:rsidP="00F67E9E">
      <w:pPr>
        <w:pStyle w:val="Numbered11"/>
        <w:tabs>
          <w:tab w:val="clear" w:pos="720"/>
          <w:tab w:val="num" w:pos="1080"/>
        </w:tabs>
      </w:pPr>
      <w:r w:rsidRPr="000C1DA3">
        <w:t>Liability for death, illness, disease or bodily injury sustained by employees of the Insured arising out of the course of their employment.</w:t>
      </w:r>
    </w:p>
    <w:p w14:paraId="7CB287BB" w14:textId="77777777" w:rsidR="00F67E9E" w:rsidRPr="000C1DA3" w:rsidRDefault="00F67E9E" w:rsidP="00F67E9E">
      <w:pPr>
        <w:pStyle w:val="Numbered11"/>
        <w:tabs>
          <w:tab w:val="clear" w:pos="720"/>
          <w:tab w:val="num" w:pos="1080"/>
        </w:tabs>
      </w:pPr>
      <w:r w:rsidRPr="000C1DA3">
        <w:t>Liability arising out of the use of mechanically propelled vehicles whilst required to be compulsorily insured by applicable Law in respect of such vehicles.</w:t>
      </w:r>
    </w:p>
    <w:p w14:paraId="680E005A" w14:textId="77777777" w:rsidR="00F67E9E" w:rsidRPr="000C1DA3" w:rsidRDefault="00F67E9E" w:rsidP="00F67E9E">
      <w:pPr>
        <w:pStyle w:val="Numbered11"/>
        <w:tabs>
          <w:tab w:val="clear" w:pos="720"/>
          <w:tab w:val="num" w:pos="1080"/>
        </w:tabs>
      </w:pPr>
      <w:r w:rsidRPr="00560BA2">
        <w:t>Liability in respect of predetermined penalties or liquidated damages imposed under any contract entered</w:t>
      </w:r>
      <w:r w:rsidRPr="000C1DA3">
        <w:t xml:space="preserve"> into by the Insured.</w:t>
      </w:r>
    </w:p>
    <w:p w14:paraId="7C305A6D" w14:textId="77777777" w:rsidR="00F67E9E" w:rsidRPr="000C1DA3" w:rsidRDefault="00F67E9E" w:rsidP="00F67E9E">
      <w:pPr>
        <w:pStyle w:val="Numbered11"/>
        <w:tabs>
          <w:tab w:val="clear" w:pos="720"/>
          <w:tab w:val="num" w:pos="1080"/>
        </w:tabs>
      </w:pPr>
      <w:r w:rsidRPr="000C1DA3">
        <w:t>Liability arising out of technical or professional advice other than in respect of death or bodily injury to persons or damage to third party property.</w:t>
      </w:r>
    </w:p>
    <w:p w14:paraId="660A10B7" w14:textId="77777777" w:rsidR="00F67E9E" w:rsidRPr="000C1DA3" w:rsidRDefault="00F67E9E" w:rsidP="00F67E9E">
      <w:pPr>
        <w:pStyle w:val="Numbered11"/>
        <w:tabs>
          <w:tab w:val="clear" w:pos="720"/>
          <w:tab w:val="num" w:pos="1080"/>
        </w:tabs>
      </w:pPr>
      <w:r w:rsidRPr="000C1DA3">
        <w:t>Liability arising from the ownership, possession or use of any aircraft or marine vessel.</w:t>
      </w:r>
    </w:p>
    <w:p w14:paraId="2B3025E8" w14:textId="77777777" w:rsidR="00F67E9E" w:rsidRPr="000C1DA3" w:rsidRDefault="00F67E9E" w:rsidP="00F67E9E">
      <w:pPr>
        <w:pStyle w:val="Numbered11"/>
        <w:tabs>
          <w:tab w:val="clear" w:pos="720"/>
          <w:tab w:val="num" w:pos="1080"/>
        </w:tabs>
      </w:pPr>
      <w:r w:rsidRPr="000C1DA3">
        <w:t>Liability arising from seepage and pollution unless caused by a sudden, unintended and unexpected occurrence.</w:t>
      </w:r>
    </w:p>
    <w:p w14:paraId="712AFE8F" w14:textId="20780CF3" w:rsidR="00F67E9E" w:rsidRPr="00F97284" w:rsidRDefault="00F67E9E" w:rsidP="00F67E9E">
      <w:pPr>
        <w:pStyle w:val="StdBodyText2"/>
        <w:rPr>
          <w:rFonts w:cs="Arial"/>
          <w:bCs/>
          <w:iCs/>
        </w:rPr>
      </w:pPr>
      <w:r>
        <w:rPr>
          <w:rFonts w:cs="Arial"/>
          <w:b/>
          <w:iCs/>
          <w:highlight w:val="yellow"/>
        </w:rPr>
        <w:t>[Guidance note:</w:t>
      </w:r>
      <w:r w:rsidRPr="00523735">
        <w:rPr>
          <w:rFonts w:cs="Arial"/>
          <w:bCs/>
          <w:i/>
          <w:highlight w:val="yellow"/>
        </w:rPr>
        <w:t xml:space="preserve"> </w:t>
      </w:r>
      <w:r w:rsidRPr="00C20547">
        <w:rPr>
          <w:rFonts w:cs="Arial"/>
          <w:b/>
          <w:i/>
          <w:highlight w:val="yellow"/>
        </w:rPr>
        <w:t>This list of exclusions represent insurance market wide exclusions for the third party public and products liability insurance. If something listed here is excluded and you wish it can be covered by an alternative insurance and include</w:t>
      </w:r>
      <w:r>
        <w:rPr>
          <w:rFonts w:cs="Arial"/>
          <w:b/>
          <w:i/>
          <w:highlight w:val="yellow"/>
        </w:rPr>
        <w:t xml:space="preserve">d in </w:t>
      </w:r>
      <w:r w:rsidRPr="006B2422">
        <w:rPr>
          <w:rFonts w:cs="Arial"/>
          <w:b/>
          <w:i/>
          <w:highlight w:val="yellow"/>
        </w:rPr>
        <w:fldChar w:fldCharType="begin"/>
      </w:r>
      <w:r w:rsidRPr="006B2422">
        <w:rPr>
          <w:rFonts w:cs="Arial"/>
          <w:b/>
          <w:i/>
          <w:highlight w:val="yellow"/>
        </w:rPr>
        <w:instrText xml:space="preserve"> REF Sch6PartD \h  \* MERGEFORMAT </w:instrText>
      </w:r>
      <w:r w:rsidRPr="006B2422">
        <w:rPr>
          <w:rFonts w:cs="Arial"/>
          <w:b/>
          <w:i/>
          <w:highlight w:val="yellow"/>
        </w:rPr>
      </w:r>
      <w:r w:rsidRPr="006B2422">
        <w:rPr>
          <w:rFonts w:cs="Arial"/>
          <w:b/>
          <w:i/>
          <w:highlight w:val="yellow"/>
        </w:rPr>
        <w:fldChar w:fldCharType="separate"/>
      </w:r>
      <w:r w:rsidR="00302D39" w:rsidRPr="00302D39">
        <w:rPr>
          <w:b/>
          <w:i/>
        </w:rPr>
        <w:t>Part D</w:t>
      </w:r>
      <w:r w:rsidRPr="006B2422">
        <w:rPr>
          <w:rFonts w:cs="Arial"/>
          <w:b/>
          <w:i/>
          <w:highlight w:val="yellow"/>
        </w:rPr>
        <w:fldChar w:fldCharType="end"/>
      </w:r>
      <w:r w:rsidRPr="00C20547">
        <w:rPr>
          <w:rFonts w:cs="Arial"/>
          <w:b/>
          <w:i/>
          <w:highlight w:val="yellow"/>
        </w:rPr>
        <w:t>.]</w:t>
      </w:r>
    </w:p>
    <w:p w14:paraId="1974A684" w14:textId="77777777" w:rsidR="00F67E9E" w:rsidRPr="000C1DA3" w:rsidRDefault="00F67E9E" w:rsidP="00F67E9E">
      <w:pPr>
        <w:pStyle w:val="Numbered1"/>
      </w:pPr>
      <w:r w:rsidRPr="000C1DA3">
        <w:t>Maximum deductible threshold</w:t>
      </w:r>
    </w:p>
    <w:p w14:paraId="2B24E574" w14:textId="77777777" w:rsidR="00F67E9E" w:rsidRPr="000C1DA3" w:rsidRDefault="00F67E9E" w:rsidP="00F67E9E">
      <w:pPr>
        <w:pStyle w:val="Numbered11"/>
        <w:tabs>
          <w:tab w:val="clear" w:pos="720"/>
          <w:tab w:val="num" w:pos="1080"/>
        </w:tabs>
      </w:pPr>
      <w:r w:rsidRPr="000C1DA3">
        <w:t xml:space="preserve">Not to exceed </w:t>
      </w:r>
      <w:r w:rsidRPr="002E7013">
        <w:rPr>
          <w:rStyle w:val="StdBodyTextBoldChar"/>
          <w:rFonts w:eastAsia="Verdana" w:cs="Arial"/>
          <w:b w:val="0"/>
          <w:bCs/>
        </w:rPr>
        <w:t>£</w:t>
      </w:r>
      <w:r w:rsidRPr="00B73DD6">
        <w:rPr>
          <w:rStyle w:val="StdBodyTextBoldChar"/>
          <w:rFonts w:eastAsia="Verdana" w:cs="Arial"/>
          <w:iCs/>
          <w:highlight w:val="yellow"/>
        </w:rPr>
        <w:t>[insert</w:t>
      </w:r>
      <w:r w:rsidRPr="002E7013">
        <w:rPr>
          <w:iCs/>
          <w:highlight w:val="yellow"/>
        </w:rPr>
        <w:t xml:space="preserve"> figure on contract award based on the Supplier’s acceptable response to the ITT]</w:t>
      </w:r>
      <w:r w:rsidRPr="000C1DA3">
        <w:t xml:space="preserve"> for each and every third party property damage claim (personal injury claims to be paid in full).</w:t>
      </w:r>
    </w:p>
    <w:p w14:paraId="41836244" w14:textId="77777777" w:rsidR="00F67E9E" w:rsidRPr="004472FD" w:rsidRDefault="00F67E9E" w:rsidP="00F67E9E">
      <w:pPr>
        <w:pStyle w:val="Heading2"/>
        <w:pageBreakBefore/>
      </w:pPr>
      <w:bookmarkStart w:id="775" w:name="Sch6PartC"/>
      <w:bookmarkStart w:id="776" w:name="_Ref92205567"/>
      <w:bookmarkStart w:id="777" w:name="_Toc141711921"/>
      <w:r w:rsidRPr="004472FD">
        <w:t>Part C</w:t>
      </w:r>
      <w:bookmarkEnd w:id="775"/>
      <w:r w:rsidRPr="004472FD">
        <w:t>: United Kingdom Compulsory Insurances</w:t>
      </w:r>
      <w:bookmarkEnd w:id="776"/>
      <w:bookmarkEnd w:id="777"/>
    </w:p>
    <w:p w14:paraId="685D9D59" w14:textId="77777777" w:rsidR="00F67E9E" w:rsidRDefault="00F67E9E" w:rsidP="00F67E9E">
      <w:pPr>
        <w:pStyle w:val="StdBodyText"/>
        <w:rPr>
          <w:rFonts w:cs="Arial"/>
        </w:rPr>
      </w:pPr>
      <w:r w:rsidRPr="000C1DA3">
        <w:rPr>
          <w:rFonts w:cs="Arial"/>
        </w:rPr>
        <w:t>The Supplier shall meet its insurance obligations under applicable Law in full, including, UK employers</w:t>
      </w:r>
      <w:r>
        <w:rPr>
          <w:rFonts w:cs="Arial"/>
        </w:rPr>
        <w:t>’</w:t>
      </w:r>
      <w:r w:rsidRPr="000C1DA3">
        <w:rPr>
          <w:rFonts w:cs="Arial"/>
        </w:rPr>
        <w:t xml:space="preserve"> liability insurance and motor t</w:t>
      </w:r>
      <w:r>
        <w:rPr>
          <w:rFonts w:cs="Arial"/>
        </w:rPr>
        <w:t>hird party liability insurance.</w:t>
      </w:r>
    </w:p>
    <w:p w14:paraId="6A6A4695" w14:textId="77777777" w:rsidR="00F67E9E" w:rsidRPr="00E9524D" w:rsidRDefault="00F67E9E" w:rsidP="00F67E9E"/>
    <w:p w14:paraId="0A22A783" w14:textId="77777777" w:rsidR="00F67E9E" w:rsidRPr="004472FD" w:rsidRDefault="00F67E9E" w:rsidP="00F67E9E">
      <w:pPr>
        <w:pStyle w:val="Heading2"/>
        <w:pageBreakBefore/>
      </w:pPr>
      <w:bookmarkStart w:id="778" w:name="Sch6PartD"/>
      <w:bookmarkStart w:id="779" w:name="_Ref_ContractCompanion_9kb9Ur49B"/>
      <w:bookmarkStart w:id="780" w:name="_Toc141711922"/>
      <w:r w:rsidRPr="004472FD">
        <w:t>Part D</w:t>
      </w:r>
      <w:bookmarkEnd w:id="778"/>
      <w:r w:rsidRPr="004472FD">
        <w:t>: Additional Insurances</w:t>
      </w:r>
      <w:bookmarkEnd w:id="779"/>
      <w:bookmarkEnd w:id="780"/>
    </w:p>
    <w:p w14:paraId="6E80F6D9" w14:textId="77777777" w:rsidR="00F67E9E" w:rsidRPr="00C20547" w:rsidRDefault="00F67E9E" w:rsidP="00F67E9E">
      <w:pPr>
        <w:pStyle w:val="StdBodyText"/>
        <w:rPr>
          <w:rFonts w:cs="Arial"/>
          <w:b/>
          <w:iCs/>
          <w:highlight w:val="yellow"/>
        </w:rPr>
      </w:pPr>
      <w:r>
        <w:rPr>
          <w:rFonts w:cs="Arial"/>
          <w:b/>
          <w:i/>
          <w:highlight w:val="yellow"/>
        </w:rPr>
        <w:t>[Guidance note:</w:t>
      </w:r>
      <w:r w:rsidRPr="00755CD1">
        <w:rPr>
          <w:rFonts w:cs="Arial"/>
          <w:bCs/>
          <w:i/>
          <w:highlight w:val="yellow"/>
        </w:rPr>
        <w:t xml:space="preserve"> </w:t>
      </w:r>
      <w:r w:rsidRPr="00C20547">
        <w:rPr>
          <w:rFonts w:cs="Arial"/>
          <w:b/>
          <w:i/>
          <w:highlight w:val="yellow"/>
        </w:rPr>
        <w:t>You may wish to consider including the following additional required insurances such as:</w:t>
      </w:r>
    </w:p>
    <w:tbl>
      <w:tblPr>
        <w:tblStyle w:val="TableGrid"/>
        <w:tblW w:w="10205" w:type="dxa"/>
        <w:tblCellMar>
          <w:top w:w="57" w:type="dxa"/>
          <w:left w:w="57" w:type="dxa"/>
          <w:bottom w:w="57" w:type="dxa"/>
          <w:right w:w="57" w:type="dxa"/>
        </w:tblCellMar>
        <w:tblLook w:val="04A0" w:firstRow="1" w:lastRow="0" w:firstColumn="1" w:lastColumn="0" w:noHBand="0" w:noVBand="1"/>
      </w:tblPr>
      <w:tblGrid>
        <w:gridCol w:w="3969"/>
        <w:gridCol w:w="6236"/>
      </w:tblGrid>
      <w:tr w:rsidR="00F67E9E" w:rsidRPr="00C20547" w14:paraId="0B1ADADE" w14:textId="77777777" w:rsidTr="007F74AA">
        <w:tc>
          <w:tcPr>
            <w:tcW w:w="3969" w:type="dxa"/>
          </w:tcPr>
          <w:p w14:paraId="648ACDC1" w14:textId="77777777" w:rsidR="00F67E9E" w:rsidRPr="00C20547" w:rsidRDefault="00F67E9E" w:rsidP="007F74AA">
            <w:pPr>
              <w:pStyle w:val="StdBodyText"/>
              <w:spacing w:before="0" w:after="0"/>
              <w:rPr>
                <w:rFonts w:cs="Arial"/>
                <w:b/>
                <w:i/>
                <w:iCs/>
                <w:sz w:val="24"/>
                <w:highlight w:val="yellow"/>
              </w:rPr>
            </w:pPr>
            <w:r w:rsidRPr="00C20547">
              <w:rPr>
                <w:rFonts w:cs="Arial"/>
                <w:b/>
                <w:i/>
                <w:iCs/>
                <w:sz w:val="24"/>
                <w:highlight w:val="yellow"/>
              </w:rPr>
              <w:t>Professional Indemnity Insurance</w:t>
            </w:r>
          </w:p>
        </w:tc>
        <w:tc>
          <w:tcPr>
            <w:tcW w:w="6236" w:type="dxa"/>
          </w:tcPr>
          <w:p w14:paraId="3C0446BF" w14:textId="77777777" w:rsidR="00F67E9E" w:rsidRPr="00C20547" w:rsidRDefault="00F67E9E" w:rsidP="007F74AA">
            <w:pPr>
              <w:pStyle w:val="StdBodyText"/>
              <w:spacing w:before="0" w:after="0"/>
              <w:rPr>
                <w:rFonts w:cs="Arial"/>
                <w:b/>
                <w:i/>
                <w:iCs/>
                <w:sz w:val="24"/>
                <w:highlight w:val="yellow"/>
              </w:rPr>
            </w:pPr>
            <w:r w:rsidRPr="00C20547">
              <w:rPr>
                <w:rFonts w:cs="Arial"/>
                <w:b/>
                <w:i/>
                <w:iCs/>
                <w:sz w:val="24"/>
                <w:highlight w:val="yellow"/>
              </w:rPr>
              <w:t>Where the Authority requirement includes a potential breach of professional duty by the Supplier in connection with professional advice and /or professional services.</w:t>
            </w:r>
          </w:p>
        </w:tc>
      </w:tr>
      <w:tr w:rsidR="00F67E9E" w:rsidRPr="00C20547" w14:paraId="3EF75E47" w14:textId="77777777" w:rsidTr="007F74AA">
        <w:tc>
          <w:tcPr>
            <w:tcW w:w="3969" w:type="dxa"/>
          </w:tcPr>
          <w:p w14:paraId="204B2315" w14:textId="77777777" w:rsidR="00F67E9E" w:rsidRPr="00C20547" w:rsidRDefault="00F67E9E" w:rsidP="007F74AA">
            <w:pPr>
              <w:pStyle w:val="StdBodyText"/>
              <w:spacing w:before="0" w:after="0"/>
              <w:rPr>
                <w:rFonts w:cs="Arial"/>
                <w:b/>
                <w:i/>
                <w:iCs/>
                <w:sz w:val="24"/>
                <w:highlight w:val="yellow"/>
              </w:rPr>
            </w:pPr>
            <w:r w:rsidRPr="00C20547">
              <w:rPr>
                <w:rFonts w:cs="Arial"/>
                <w:b/>
                <w:i/>
                <w:iCs/>
                <w:sz w:val="24"/>
                <w:highlight w:val="yellow"/>
              </w:rPr>
              <w:t>Property Damage Insurance / Goods in Transit Insurance</w:t>
            </w:r>
          </w:p>
        </w:tc>
        <w:tc>
          <w:tcPr>
            <w:tcW w:w="6236" w:type="dxa"/>
          </w:tcPr>
          <w:p w14:paraId="7D8DAB73" w14:textId="77777777" w:rsidR="00F67E9E" w:rsidRPr="00C20547" w:rsidRDefault="00F67E9E" w:rsidP="007F74AA">
            <w:pPr>
              <w:pStyle w:val="StdBodyText"/>
              <w:spacing w:before="0" w:after="0"/>
              <w:rPr>
                <w:rFonts w:cs="Arial"/>
                <w:b/>
                <w:i/>
                <w:iCs/>
                <w:sz w:val="24"/>
                <w:highlight w:val="yellow"/>
              </w:rPr>
            </w:pPr>
            <w:r w:rsidRPr="00C20547">
              <w:rPr>
                <w:rFonts w:cs="Arial"/>
                <w:b/>
                <w:i/>
                <w:iCs/>
                <w:sz w:val="24"/>
                <w:highlight w:val="yellow"/>
              </w:rPr>
              <w:t>Where the Authority requirement necessitates primary perils insurance for relevant physical property (e.g. Authority physical property in the care, custody and control of the Supplier in delivering the Service).</w:t>
            </w:r>
          </w:p>
        </w:tc>
      </w:tr>
      <w:tr w:rsidR="00F67E9E" w:rsidRPr="00C20547" w14:paraId="105B4D51" w14:textId="77777777" w:rsidTr="007F74AA">
        <w:tc>
          <w:tcPr>
            <w:tcW w:w="3969" w:type="dxa"/>
          </w:tcPr>
          <w:p w14:paraId="32E89B3E" w14:textId="77777777" w:rsidR="00F67E9E" w:rsidRPr="00C20547" w:rsidRDefault="00F67E9E" w:rsidP="007F74AA">
            <w:pPr>
              <w:pStyle w:val="StdBodyText"/>
              <w:spacing w:before="0" w:after="0"/>
              <w:rPr>
                <w:rFonts w:cs="Arial"/>
                <w:b/>
                <w:i/>
                <w:iCs/>
                <w:sz w:val="24"/>
                <w:highlight w:val="yellow"/>
              </w:rPr>
            </w:pPr>
            <w:r w:rsidRPr="00C20547">
              <w:rPr>
                <w:rFonts w:cs="Arial"/>
                <w:b/>
                <w:i/>
                <w:iCs/>
                <w:sz w:val="24"/>
                <w:highlight w:val="yellow"/>
              </w:rPr>
              <w:t>Cyber Liability Insurance</w:t>
            </w:r>
          </w:p>
        </w:tc>
        <w:tc>
          <w:tcPr>
            <w:tcW w:w="6236" w:type="dxa"/>
          </w:tcPr>
          <w:p w14:paraId="20985E03" w14:textId="77777777" w:rsidR="00F67E9E" w:rsidRPr="00C20547" w:rsidRDefault="00F67E9E" w:rsidP="007F74AA">
            <w:pPr>
              <w:pStyle w:val="StdBodyText"/>
              <w:spacing w:before="0" w:after="0"/>
              <w:rPr>
                <w:rFonts w:cs="Arial"/>
                <w:b/>
                <w:i/>
                <w:iCs/>
                <w:sz w:val="24"/>
                <w:highlight w:val="yellow"/>
              </w:rPr>
            </w:pPr>
            <w:r w:rsidRPr="00C20547">
              <w:rPr>
                <w:rFonts w:cs="Arial"/>
                <w:b/>
                <w:i/>
                <w:iCs/>
                <w:sz w:val="24"/>
                <w:highlight w:val="yellow"/>
              </w:rPr>
              <w:t>Where the Authority requirement includes specific cyber risk exposures.</w:t>
            </w:r>
          </w:p>
        </w:tc>
      </w:tr>
      <w:tr w:rsidR="00F67E9E" w:rsidRPr="00C20547" w14:paraId="04452477" w14:textId="77777777" w:rsidTr="007F74AA">
        <w:tc>
          <w:tcPr>
            <w:tcW w:w="3969" w:type="dxa"/>
          </w:tcPr>
          <w:p w14:paraId="19B1E70F" w14:textId="77777777" w:rsidR="00F67E9E" w:rsidRPr="00C20547" w:rsidRDefault="00F67E9E" w:rsidP="007F74AA">
            <w:pPr>
              <w:pStyle w:val="StdBodyText"/>
              <w:spacing w:before="0" w:after="0"/>
              <w:rPr>
                <w:rFonts w:cs="Arial"/>
                <w:b/>
                <w:i/>
                <w:iCs/>
                <w:sz w:val="24"/>
                <w:highlight w:val="yellow"/>
              </w:rPr>
            </w:pPr>
            <w:r w:rsidRPr="00C20547">
              <w:rPr>
                <w:rFonts w:cs="Arial"/>
                <w:b/>
                <w:i/>
                <w:iCs/>
                <w:sz w:val="24"/>
                <w:highlight w:val="yellow"/>
              </w:rPr>
              <w:t>Environmental Liability Insurance or Contractors Pollution Liability Insurance</w:t>
            </w:r>
          </w:p>
        </w:tc>
        <w:tc>
          <w:tcPr>
            <w:tcW w:w="6236" w:type="dxa"/>
          </w:tcPr>
          <w:p w14:paraId="58F9DAA0" w14:textId="77777777" w:rsidR="00F67E9E" w:rsidRPr="00C20547" w:rsidRDefault="00F67E9E" w:rsidP="007F74AA">
            <w:pPr>
              <w:pStyle w:val="StdBodyText"/>
              <w:spacing w:before="0" w:after="0"/>
              <w:rPr>
                <w:rFonts w:cs="Arial"/>
                <w:b/>
                <w:i/>
                <w:iCs/>
                <w:sz w:val="24"/>
                <w:highlight w:val="yellow"/>
              </w:rPr>
            </w:pPr>
            <w:r w:rsidRPr="00C20547">
              <w:rPr>
                <w:rFonts w:cs="Arial"/>
                <w:b/>
                <w:i/>
                <w:iCs/>
                <w:sz w:val="24"/>
                <w:highlight w:val="yellow"/>
              </w:rPr>
              <w:t>Where the Authority requirement includes exposure to significant pollution / contamination risks.</w:t>
            </w:r>
          </w:p>
        </w:tc>
      </w:tr>
      <w:tr w:rsidR="00F67E9E" w:rsidRPr="00C20547" w14:paraId="1517D3F4" w14:textId="77777777" w:rsidTr="007F74AA">
        <w:tc>
          <w:tcPr>
            <w:tcW w:w="3969" w:type="dxa"/>
          </w:tcPr>
          <w:p w14:paraId="6B9491C4" w14:textId="77777777" w:rsidR="00F67E9E" w:rsidRPr="00C20547" w:rsidRDefault="00F67E9E" w:rsidP="007F74AA">
            <w:pPr>
              <w:pStyle w:val="StdBodyText"/>
              <w:spacing w:before="0" w:after="0"/>
              <w:rPr>
                <w:rFonts w:cs="Arial"/>
                <w:b/>
                <w:i/>
                <w:iCs/>
                <w:sz w:val="24"/>
                <w:highlight w:val="yellow"/>
              </w:rPr>
            </w:pPr>
            <w:r w:rsidRPr="00C20547">
              <w:rPr>
                <w:rFonts w:cs="Arial"/>
                <w:b/>
                <w:i/>
                <w:iCs/>
                <w:sz w:val="24"/>
                <w:highlight w:val="yellow"/>
              </w:rPr>
              <w:t>Aviation Insurances</w:t>
            </w:r>
          </w:p>
        </w:tc>
        <w:tc>
          <w:tcPr>
            <w:tcW w:w="6236" w:type="dxa"/>
          </w:tcPr>
          <w:p w14:paraId="3DA8F04F" w14:textId="77777777" w:rsidR="00F67E9E" w:rsidRPr="00C20547" w:rsidRDefault="00F67E9E" w:rsidP="007F74AA">
            <w:pPr>
              <w:pStyle w:val="StdBodyText"/>
              <w:spacing w:before="0" w:after="0"/>
              <w:rPr>
                <w:rFonts w:cs="Arial"/>
                <w:b/>
                <w:i/>
                <w:iCs/>
                <w:sz w:val="24"/>
                <w:highlight w:val="yellow"/>
              </w:rPr>
            </w:pPr>
            <w:r w:rsidRPr="00C20547">
              <w:rPr>
                <w:rFonts w:cs="Arial"/>
                <w:b/>
                <w:i/>
                <w:iCs/>
                <w:sz w:val="24"/>
                <w:highlight w:val="yellow"/>
              </w:rPr>
              <w:t>Where the Authority requirement includes use of aircraft or activity airside.</w:t>
            </w:r>
          </w:p>
        </w:tc>
      </w:tr>
      <w:tr w:rsidR="00F67E9E" w:rsidRPr="00C20547" w14:paraId="46B9CC3B" w14:textId="77777777" w:rsidTr="007F74AA">
        <w:tc>
          <w:tcPr>
            <w:tcW w:w="3969" w:type="dxa"/>
          </w:tcPr>
          <w:p w14:paraId="4E2AF588" w14:textId="77777777" w:rsidR="00F67E9E" w:rsidRPr="00C20547" w:rsidRDefault="00F67E9E" w:rsidP="007F74AA">
            <w:pPr>
              <w:pStyle w:val="StdBodyText"/>
              <w:spacing w:before="0" w:after="0"/>
              <w:rPr>
                <w:rFonts w:cs="Arial"/>
                <w:b/>
                <w:i/>
                <w:iCs/>
                <w:sz w:val="24"/>
                <w:highlight w:val="yellow"/>
              </w:rPr>
            </w:pPr>
            <w:r w:rsidRPr="00C20547">
              <w:rPr>
                <w:rFonts w:cs="Arial"/>
                <w:b/>
                <w:i/>
                <w:iCs/>
                <w:sz w:val="24"/>
                <w:highlight w:val="yellow"/>
              </w:rPr>
              <w:t>Marine Insurances</w:t>
            </w:r>
          </w:p>
        </w:tc>
        <w:tc>
          <w:tcPr>
            <w:tcW w:w="6236" w:type="dxa"/>
          </w:tcPr>
          <w:p w14:paraId="611A3D98" w14:textId="77777777" w:rsidR="00F67E9E" w:rsidRPr="00C20547" w:rsidRDefault="00F67E9E" w:rsidP="007F74AA">
            <w:pPr>
              <w:pStyle w:val="StdBodyText"/>
              <w:spacing w:before="0" w:after="0"/>
              <w:rPr>
                <w:rFonts w:cs="Arial"/>
                <w:b/>
                <w:i/>
                <w:iCs/>
                <w:sz w:val="24"/>
                <w:highlight w:val="yellow"/>
              </w:rPr>
            </w:pPr>
            <w:r w:rsidRPr="00C20547">
              <w:rPr>
                <w:rFonts w:cs="Arial"/>
                <w:b/>
                <w:i/>
                <w:iCs/>
                <w:sz w:val="24"/>
                <w:highlight w:val="yellow"/>
              </w:rPr>
              <w:t>Where the Authority requirement includes use of vessels or activity on water / sea.</w:t>
            </w:r>
          </w:p>
        </w:tc>
      </w:tr>
      <w:tr w:rsidR="00F67E9E" w:rsidRPr="00C20547" w14:paraId="7BABFBC5" w14:textId="77777777" w:rsidTr="007F74AA">
        <w:tc>
          <w:tcPr>
            <w:tcW w:w="3969" w:type="dxa"/>
          </w:tcPr>
          <w:p w14:paraId="60DCCF5E" w14:textId="77777777" w:rsidR="00F67E9E" w:rsidRPr="00C20547" w:rsidRDefault="00F67E9E" w:rsidP="007F74AA">
            <w:pPr>
              <w:pStyle w:val="StdBodyText"/>
              <w:spacing w:before="0" w:after="0"/>
              <w:rPr>
                <w:rFonts w:cs="Arial"/>
                <w:b/>
                <w:i/>
                <w:iCs/>
                <w:sz w:val="24"/>
                <w:highlight w:val="yellow"/>
              </w:rPr>
            </w:pPr>
            <w:r w:rsidRPr="00C20547">
              <w:rPr>
                <w:rFonts w:cs="Arial"/>
                <w:b/>
                <w:i/>
                <w:iCs/>
                <w:sz w:val="24"/>
                <w:highlight w:val="yellow"/>
              </w:rPr>
              <w:t>Rail Insurances</w:t>
            </w:r>
          </w:p>
        </w:tc>
        <w:tc>
          <w:tcPr>
            <w:tcW w:w="6236" w:type="dxa"/>
          </w:tcPr>
          <w:p w14:paraId="120C447C" w14:textId="77777777" w:rsidR="00F67E9E" w:rsidRPr="00C20547" w:rsidRDefault="00F67E9E" w:rsidP="007F74AA">
            <w:pPr>
              <w:pStyle w:val="StdBodyText"/>
              <w:spacing w:before="0" w:after="0"/>
              <w:rPr>
                <w:rFonts w:cs="Arial"/>
                <w:b/>
                <w:i/>
                <w:iCs/>
                <w:sz w:val="24"/>
                <w:highlight w:val="yellow"/>
              </w:rPr>
            </w:pPr>
            <w:r w:rsidRPr="00C20547">
              <w:rPr>
                <w:rFonts w:cs="Arial"/>
                <w:b/>
                <w:i/>
                <w:iCs/>
                <w:sz w:val="24"/>
                <w:highlight w:val="yellow"/>
              </w:rPr>
              <w:t>Where the Authority requirement needs to adhere to the Office of Road and Rail insurance requirements.</w:t>
            </w:r>
          </w:p>
        </w:tc>
      </w:tr>
    </w:tbl>
    <w:p w14:paraId="0FE6B3A6" w14:textId="77777777" w:rsidR="00F67E9E" w:rsidRPr="00C20547" w:rsidRDefault="00F67E9E" w:rsidP="00F67E9E">
      <w:pPr>
        <w:pStyle w:val="StdBodyText"/>
        <w:rPr>
          <w:rFonts w:cs="Arial"/>
          <w:b/>
          <w:highlight w:val="yellow"/>
        </w:rPr>
      </w:pPr>
    </w:p>
    <w:p w14:paraId="20869D2E" w14:textId="77777777" w:rsidR="00F67E9E" w:rsidRPr="00C20547" w:rsidRDefault="00F67E9E" w:rsidP="00F67E9E">
      <w:pPr>
        <w:pStyle w:val="StdBodyText"/>
        <w:rPr>
          <w:rFonts w:cs="Arial"/>
          <w:b/>
          <w:i/>
        </w:rPr>
      </w:pPr>
      <w:r w:rsidRPr="00C20547">
        <w:rPr>
          <w:rFonts w:cs="Arial"/>
          <w:b/>
          <w:i/>
          <w:highlight w:val="yellow"/>
        </w:rPr>
        <w:t>The Authority should seek professional subject matter insurance advice to determine the scope, levels and drafting of any Additional Insurances.]</w:t>
      </w:r>
    </w:p>
    <w:p w14:paraId="6748B830" w14:textId="77777777" w:rsidR="00F67E9E" w:rsidRDefault="00F67E9E" w:rsidP="00F67E9E"/>
    <w:p w14:paraId="6BCEF867" w14:textId="77777777" w:rsidR="00F67E9E" w:rsidRPr="000C1DA3" w:rsidRDefault="00F67E9E" w:rsidP="00F67E9E"/>
    <w:p w14:paraId="7E1C87FE" w14:textId="77777777" w:rsidR="00F67E9E" w:rsidRDefault="00F67E9E" w:rsidP="00F67E9E">
      <w:pPr>
        <w:rPr>
          <w:szCs w:val="24"/>
        </w:rPr>
        <w:sectPr w:rsidR="00F67E9E" w:rsidSect="00240D26">
          <w:headerReference w:type="default" r:id="rId65"/>
          <w:footerReference w:type="default" r:id="rId66"/>
          <w:headerReference w:type="first" r:id="rId67"/>
          <w:footerReference w:type="first" r:id="rId68"/>
          <w:pgSz w:w="11900" w:h="16840" w:code="9"/>
          <w:pgMar w:top="1701" w:right="851" w:bottom="1134" w:left="851" w:header="567" w:footer="567" w:gutter="0"/>
          <w:cols w:space="720"/>
          <w:docGrid w:linePitch="360"/>
        </w:sectPr>
      </w:pPr>
    </w:p>
    <w:p w14:paraId="279A0FCA" w14:textId="77777777" w:rsidR="00F67E9E" w:rsidRPr="007C55B2" w:rsidRDefault="00F67E9E" w:rsidP="00F67E9E">
      <w:pPr>
        <w:pStyle w:val="Dividername"/>
      </w:pPr>
      <w:r w:rsidRPr="007C55B2">
        <w:t>Schedule 7</w:t>
      </w:r>
    </w:p>
    <w:p w14:paraId="5C5C7D3E" w14:textId="77777777" w:rsidR="00F67E9E" w:rsidRPr="007C55B2" w:rsidRDefault="00F67E9E" w:rsidP="00F67E9E">
      <w:pPr>
        <w:pStyle w:val="Dividername"/>
      </w:pPr>
      <w:r w:rsidRPr="007C55B2">
        <w:t>Authority Responsibilities</w:t>
      </w:r>
    </w:p>
    <w:p w14:paraId="633D8A97" w14:textId="77777777" w:rsidR="00F67E9E" w:rsidRDefault="00F67E9E" w:rsidP="00F67E9E"/>
    <w:p w14:paraId="4AFA9F3E" w14:textId="77777777" w:rsidR="00F67E9E" w:rsidRPr="005D0525" w:rsidRDefault="00F67E9E" w:rsidP="00F67E9E">
      <w:pPr>
        <w:pStyle w:val="Heading1"/>
      </w:pPr>
      <w:bookmarkStart w:id="781" w:name="Schedule7"/>
      <w:bookmarkStart w:id="782" w:name="_Ref92199878"/>
      <w:bookmarkStart w:id="783" w:name="_Toc141711923"/>
      <w:r w:rsidRPr="005D0525">
        <w:t>Schedule</w:t>
      </w:r>
      <w:r>
        <w:t> </w:t>
      </w:r>
      <w:r w:rsidRPr="005D0525">
        <w:t>7</w:t>
      </w:r>
      <w:bookmarkEnd w:id="781"/>
      <w:r>
        <w:t xml:space="preserve">: </w:t>
      </w:r>
      <w:bookmarkStart w:id="784" w:name="Schedule7Heading"/>
      <w:r w:rsidRPr="00F97284">
        <w:t>Authority Responsibilities</w:t>
      </w:r>
      <w:bookmarkEnd w:id="782"/>
      <w:bookmarkEnd w:id="783"/>
      <w:bookmarkEnd w:id="784"/>
    </w:p>
    <w:p w14:paraId="0BBBE5F1" w14:textId="77777777" w:rsidR="00F67E9E" w:rsidRPr="00560BA2" w:rsidRDefault="00F67E9E" w:rsidP="00F67E9E">
      <w:pPr>
        <w:pStyle w:val="Numbered1"/>
        <w:numPr>
          <w:ilvl w:val="0"/>
          <w:numId w:val="165"/>
        </w:numPr>
      </w:pPr>
      <w:r w:rsidRPr="009B0154">
        <w:t>Introduction</w:t>
      </w:r>
    </w:p>
    <w:p w14:paraId="42710EEA" w14:textId="33720EF2" w:rsidR="00F67E9E" w:rsidRPr="00560BA2" w:rsidRDefault="00F67E9E" w:rsidP="00F67E9E">
      <w:pPr>
        <w:pStyle w:val="Numbered11"/>
        <w:tabs>
          <w:tab w:val="clear" w:pos="720"/>
          <w:tab w:val="num" w:pos="1080"/>
        </w:tabs>
      </w:pPr>
      <w:r w:rsidRPr="00560BA2">
        <w:t>The responsibilities of the Authority set out in this Schedule shall constitute the Authority Responsibilities under this Contract.</w:t>
      </w:r>
      <w:r>
        <w:t xml:space="preserve"> </w:t>
      </w:r>
      <w:r w:rsidRPr="00560BA2">
        <w:t xml:space="preserve">Any obligations of the Authority in </w:t>
      </w:r>
      <w:r>
        <w:rPr>
          <w:rFonts w:cs="Arial"/>
        </w:rPr>
        <w:fldChar w:fldCharType="begin"/>
      </w:r>
      <w:r>
        <w:rPr>
          <w:rFonts w:cs="Arial"/>
        </w:rPr>
        <w:instrText xml:space="preserve"> REF Schedule2 \h </w:instrText>
      </w:r>
      <w:r>
        <w:rPr>
          <w:rFonts w:cs="Arial"/>
        </w:rPr>
      </w:r>
      <w:r>
        <w:rPr>
          <w:rFonts w:cs="Arial"/>
        </w:rPr>
        <w:fldChar w:fldCharType="separate"/>
      </w:r>
      <w:r w:rsidR="00302D39" w:rsidRPr="005D0525">
        <w:t>Schedule</w:t>
      </w:r>
      <w:r w:rsidR="00302D39">
        <w:t> </w:t>
      </w:r>
      <w:r w:rsidR="00302D39" w:rsidRPr="005D0525">
        <w:t>2</w:t>
      </w:r>
      <w:r>
        <w:rPr>
          <w:rFonts w:cs="Arial"/>
        </w:rPr>
        <w:fldChar w:fldCharType="end"/>
      </w:r>
      <w:r>
        <w:rPr>
          <w:rFonts w:cs="Arial"/>
        </w:rPr>
        <w:t xml:space="preserve"> (</w:t>
      </w:r>
      <w:r w:rsidRPr="00A22335">
        <w:rPr>
          <w:rFonts w:cs="Arial"/>
          <w:i/>
          <w:iCs/>
        </w:rPr>
        <w:fldChar w:fldCharType="begin"/>
      </w:r>
      <w:r w:rsidRPr="00A22335">
        <w:rPr>
          <w:rFonts w:cs="Arial"/>
          <w:i/>
          <w:iCs/>
        </w:rPr>
        <w:instrText xml:space="preserve"> REF Schedule2Heading \h </w:instrText>
      </w:r>
      <w:r>
        <w:rPr>
          <w:rFonts w:cs="Arial"/>
          <w:i/>
          <w:iCs/>
        </w:rPr>
        <w:instrText xml:space="preserve"> \* MERGEFORMAT </w:instrText>
      </w:r>
      <w:r w:rsidRPr="00A22335">
        <w:rPr>
          <w:rFonts w:cs="Arial"/>
          <w:i/>
          <w:iCs/>
        </w:rPr>
      </w:r>
      <w:r w:rsidRPr="00A22335">
        <w:rPr>
          <w:rFonts w:cs="Arial"/>
          <w:i/>
          <w:iCs/>
        </w:rPr>
        <w:fldChar w:fldCharType="separate"/>
      </w:r>
      <w:r w:rsidR="00302D39" w:rsidRPr="00302D39">
        <w:rPr>
          <w:i/>
          <w:iCs/>
        </w:rPr>
        <w:t>Services Description</w:t>
      </w:r>
      <w:r w:rsidRPr="00A22335">
        <w:rPr>
          <w:rFonts w:cs="Arial"/>
          <w:i/>
          <w:iCs/>
        </w:rPr>
        <w:fldChar w:fldCharType="end"/>
      </w:r>
      <w:r>
        <w:rPr>
          <w:rFonts w:cs="Arial"/>
        </w:rPr>
        <w:t>)</w:t>
      </w:r>
      <w:r w:rsidRPr="00560BA2">
        <w:t xml:space="preserve"> and </w:t>
      </w:r>
      <w:r>
        <w:rPr>
          <w:rFonts w:cs="Arial"/>
        </w:rPr>
        <w:fldChar w:fldCharType="begin"/>
      </w:r>
      <w:r>
        <w:rPr>
          <w:rFonts w:cs="Arial"/>
        </w:rPr>
        <w:instrText xml:space="preserve"> REF Schedule8 \h </w:instrText>
      </w:r>
      <w:r>
        <w:rPr>
          <w:rFonts w:cs="Arial"/>
        </w:rPr>
      </w:r>
      <w:r>
        <w:rPr>
          <w:rFonts w:cs="Arial"/>
        </w:rPr>
        <w:fldChar w:fldCharType="separate"/>
      </w:r>
      <w:r w:rsidR="00302D39" w:rsidRPr="005D0525">
        <w:t>Schedule</w:t>
      </w:r>
      <w:r w:rsidR="00302D39">
        <w:t> </w:t>
      </w:r>
      <w:r w:rsidR="00302D39" w:rsidRPr="005D0525">
        <w:t>8</w:t>
      </w:r>
      <w:r>
        <w:rPr>
          <w:rFonts w:cs="Arial"/>
        </w:rPr>
        <w:fldChar w:fldCharType="end"/>
      </w:r>
      <w:r>
        <w:rPr>
          <w:rFonts w:cs="Arial"/>
        </w:rPr>
        <w:t xml:space="preserve"> (</w:t>
      </w:r>
      <w:r w:rsidRPr="00910061">
        <w:rPr>
          <w:rFonts w:cs="Arial"/>
          <w:i/>
          <w:iCs/>
        </w:rPr>
        <w:fldChar w:fldCharType="begin"/>
      </w:r>
      <w:r w:rsidRPr="00910061">
        <w:rPr>
          <w:rFonts w:cs="Arial"/>
          <w:i/>
          <w:iCs/>
        </w:rPr>
        <w:instrText xml:space="preserve"> REF Schedule8Heading \h </w:instrText>
      </w:r>
      <w:r>
        <w:rPr>
          <w:rFonts w:cs="Arial"/>
          <w:i/>
          <w:iCs/>
        </w:rPr>
        <w:instrText xml:space="preserve"> \* MERGEFORMAT </w:instrText>
      </w:r>
      <w:r w:rsidRPr="00910061">
        <w:rPr>
          <w:rFonts w:cs="Arial"/>
          <w:i/>
          <w:iCs/>
        </w:rPr>
      </w:r>
      <w:r w:rsidRPr="00910061">
        <w:rPr>
          <w:rFonts w:cs="Arial"/>
          <w:i/>
          <w:iCs/>
        </w:rPr>
        <w:fldChar w:fldCharType="separate"/>
      </w:r>
      <w:r w:rsidR="00302D39" w:rsidRPr="00302D39">
        <w:rPr>
          <w:i/>
          <w:iCs/>
        </w:rPr>
        <w:t>Supplier Solution</w:t>
      </w:r>
      <w:r w:rsidRPr="00910061">
        <w:rPr>
          <w:rFonts w:cs="Arial"/>
          <w:i/>
          <w:iCs/>
        </w:rPr>
        <w:fldChar w:fldCharType="end"/>
      </w:r>
      <w:r>
        <w:rPr>
          <w:rFonts w:cs="Arial"/>
        </w:rPr>
        <w:t>)</w:t>
      </w:r>
      <w:r w:rsidRPr="00560BA2">
        <w:t xml:space="preserve"> shall not be Authority Responsibilities and the Authority shall have no obligation to perform any such obligations unless they are specifically stated to be </w:t>
      </w:r>
      <w:r>
        <w:t>“</w:t>
      </w:r>
      <w:r w:rsidRPr="00560BA2">
        <w:t>Authority Responsibilities</w:t>
      </w:r>
      <w:r>
        <w:t>”</w:t>
      </w:r>
      <w:r w:rsidRPr="00560BA2">
        <w:t xml:space="preserve"> and cross referenced in the table in </w:t>
      </w:r>
      <w:bookmarkStart w:id="785" w:name="_9kMHG5YVtCIAFJBbLhkhy7sBOoI5ty231886EA3"/>
      <w:r w:rsidRPr="00560BA2">
        <w:t xml:space="preserve">Paragraph </w:t>
      </w:r>
      <w:r w:rsidRPr="00560BA2">
        <w:fldChar w:fldCharType="begin"/>
      </w:r>
      <w:r w:rsidRPr="00560BA2">
        <w:instrText xml:space="preserve"> REF _Ref_ContractCompanion_9kb9Ur9CC \w \n \h \t \* MERGEFORMAT </w:instrText>
      </w:r>
      <w:r w:rsidRPr="00560BA2">
        <w:fldChar w:fldCharType="separate"/>
      </w:r>
      <w:r w:rsidR="00302D39">
        <w:t>3</w:t>
      </w:r>
      <w:r w:rsidRPr="00560BA2">
        <w:fldChar w:fldCharType="end"/>
      </w:r>
      <w:bookmarkEnd w:id="785"/>
      <w:r w:rsidRPr="00560BA2">
        <w:t>.</w:t>
      </w:r>
    </w:p>
    <w:p w14:paraId="065601F9" w14:textId="77777777" w:rsidR="00F67E9E" w:rsidRPr="00560BA2" w:rsidRDefault="00F67E9E" w:rsidP="00F67E9E">
      <w:pPr>
        <w:pStyle w:val="Numbered11"/>
        <w:tabs>
          <w:tab w:val="clear" w:pos="720"/>
          <w:tab w:val="num" w:pos="1080"/>
        </w:tabs>
      </w:pPr>
      <w:r w:rsidRPr="00560BA2">
        <w:t>The responsibilities specified within this Schedule shall be provided to the Supplier free of charge, unless otherwise agreed between the Parties.</w:t>
      </w:r>
    </w:p>
    <w:p w14:paraId="2C967491" w14:textId="77777777" w:rsidR="00F67E9E" w:rsidRPr="00560BA2" w:rsidRDefault="00F67E9E" w:rsidP="00F67E9E">
      <w:pPr>
        <w:pStyle w:val="Numbered1"/>
      </w:pPr>
      <w:r w:rsidRPr="00560BA2">
        <w:t>General Obligations</w:t>
      </w:r>
    </w:p>
    <w:p w14:paraId="2302A09D" w14:textId="77777777" w:rsidR="00F67E9E" w:rsidRPr="00560BA2" w:rsidRDefault="00F67E9E" w:rsidP="00F67E9E">
      <w:pPr>
        <w:pStyle w:val="Numbered11"/>
        <w:tabs>
          <w:tab w:val="clear" w:pos="720"/>
          <w:tab w:val="num" w:pos="1080"/>
        </w:tabs>
      </w:pPr>
      <w:r w:rsidRPr="00560BA2">
        <w:t>The Authority shall:</w:t>
      </w:r>
    </w:p>
    <w:p w14:paraId="36D87AE1" w14:textId="1C6BC1AC" w:rsidR="00F67E9E" w:rsidRPr="00560BA2" w:rsidRDefault="00F67E9E" w:rsidP="00F67E9E">
      <w:pPr>
        <w:pStyle w:val="Numbered111"/>
        <w:tabs>
          <w:tab w:val="clear" w:pos="1800"/>
          <w:tab w:val="num" w:pos="2160"/>
        </w:tabs>
      </w:pPr>
      <w:r w:rsidRPr="00560BA2">
        <w:t xml:space="preserve">perform those obligations of the Authority which are set out in the Clauses of this Contract and the Paragraphs of the Schedules (except </w:t>
      </w:r>
      <w:r>
        <w:fldChar w:fldCharType="begin"/>
      </w:r>
      <w:r>
        <w:instrText xml:space="preserve"> REF Schedule2 \h </w:instrText>
      </w:r>
      <w:r>
        <w:fldChar w:fldCharType="separate"/>
      </w:r>
      <w:r w:rsidR="00302D39" w:rsidRPr="005D0525">
        <w:t>Schedule</w:t>
      </w:r>
      <w:r w:rsidR="00302D39">
        <w:t> </w:t>
      </w:r>
      <w:r w:rsidR="00302D39" w:rsidRPr="005D0525">
        <w:t>2</w:t>
      </w:r>
      <w:r>
        <w:fldChar w:fldCharType="end"/>
      </w:r>
      <w:r>
        <w:t xml:space="preserve"> (</w:t>
      </w:r>
      <w:r w:rsidRPr="00A22335">
        <w:rPr>
          <w:i/>
          <w:iCs/>
        </w:rPr>
        <w:fldChar w:fldCharType="begin"/>
      </w:r>
      <w:r w:rsidRPr="00A22335">
        <w:rPr>
          <w:i/>
          <w:iCs/>
        </w:rPr>
        <w:instrText xml:space="preserve"> REF Schedule2Heading \h </w:instrText>
      </w:r>
      <w:r>
        <w:rPr>
          <w:i/>
          <w:iCs/>
        </w:rPr>
        <w:instrText xml:space="preserve"> \* MERGEFORMAT </w:instrText>
      </w:r>
      <w:r w:rsidRPr="00A22335">
        <w:rPr>
          <w:i/>
          <w:iCs/>
        </w:rPr>
      </w:r>
      <w:r w:rsidRPr="00A22335">
        <w:rPr>
          <w:i/>
          <w:iCs/>
        </w:rPr>
        <w:fldChar w:fldCharType="separate"/>
      </w:r>
      <w:r w:rsidR="00302D39" w:rsidRPr="00302D39">
        <w:rPr>
          <w:i/>
          <w:iCs/>
        </w:rPr>
        <w:t>Services Description</w:t>
      </w:r>
      <w:r w:rsidRPr="00A22335">
        <w:rPr>
          <w:i/>
          <w:iCs/>
        </w:rPr>
        <w:fldChar w:fldCharType="end"/>
      </w:r>
      <w:r>
        <w:t>)</w:t>
      </w:r>
      <w:r w:rsidRPr="00560BA2">
        <w:t xml:space="preserve"> and </w:t>
      </w:r>
      <w:r>
        <w:fldChar w:fldCharType="begin"/>
      </w:r>
      <w:r>
        <w:instrText xml:space="preserve"> REF Schedule8 \h </w:instrText>
      </w:r>
      <w:r>
        <w:fldChar w:fldCharType="separate"/>
      </w:r>
      <w:r w:rsidR="00302D39" w:rsidRPr="005D0525">
        <w:t>Schedule</w:t>
      </w:r>
      <w:r w:rsidR="00302D39">
        <w:t> </w:t>
      </w:r>
      <w:r w:rsidR="00302D39" w:rsidRPr="005D0525">
        <w:t>8</w:t>
      </w:r>
      <w:r>
        <w:fldChar w:fldCharType="end"/>
      </w:r>
      <w:r>
        <w:t xml:space="preserve"> (</w:t>
      </w:r>
      <w:r w:rsidRPr="00910061">
        <w:rPr>
          <w:i/>
          <w:iCs/>
        </w:rPr>
        <w:fldChar w:fldCharType="begin"/>
      </w:r>
      <w:r w:rsidRPr="00910061">
        <w:rPr>
          <w:i/>
          <w:iCs/>
        </w:rPr>
        <w:instrText xml:space="preserve"> REF Schedule8Heading \h </w:instrText>
      </w:r>
      <w:r>
        <w:rPr>
          <w:i/>
          <w:iCs/>
        </w:rPr>
        <w:instrText xml:space="preserve"> \* MERGEFORMAT </w:instrText>
      </w:r>
      <w:r w:rsidRPr="00910061">
        <w:rPr>
          <w:i/>
          <w:iCs/>
        </w:rPr>
      </w:r>
      <w:r w:rsidRPr="00910061">
        <w:rPr>
          <w:i/>
          <w:iCs/>
        </w:rPr>
        <w:fldChar w:fldCharType="separate"/>
      </w:r>
      <w:r w:rsidR="00302D39" w:rsidRPr="00302D39">
        <w:rPr>
          <w:i/>
          <w:iCs/>
        </w:rPr>
        <w:t>Supplier Solution</w:t>
      </w:r>
      <w:r w:rsidRPr="00910061">
        <w:rPr>
          <w:i/>
          <w:iCs/>
        </w:rPr>
        <w:fldChar w:fldCharType="end"/>
      </w:r>
      <w:r>
        <w:t>)</w:t>
      </w:r>
      <w:r w:rsidRPr="00560BA2">
        <w:t>);</w:t>
      </w:r>
    </w:p>
    <w:p w14:paraId="29EEED65" w14:textId="77777777" w:rsidR="00F67E9E" w:rsidRPr="00560BA2" w:rsidRDefault="00F67E9E" w:rsidP="00F67E9E">
      <w:pPr>
        <w:pStyle w:val="Numbered111"/>
        <w:tabs>
          <w:tab w:val="clear" w:pos="1800"/>
          <w:tab w:val="num" w:pos="2160"/>
        </w:tabs>
      </w:pPr>
      <w:r w:rsidRPr="00560BA2">
        <w:t>use its reasonable endeavours to provide the Supplier with access to appropriate members of the Authority</w:t>
      </w:r>
      <w:r>
        <w:t>’</w:t>
      </w:r>
      <w:r w:rsidRPr="00560BA2">
        <w:t>s staff, as such access is reasonably requested by the Supplier in order for the Supplier to discharge its obligations throughout the Term and the Termination Assistance Period;</w:t>
      </w:r>
    </w:p>
    <w:p w14:paraId="4E16057F" w14:textId="77777777" w:rsidR="00F67E9E" w:rsidRPr="00560BA2" w:rsidRDefault="00F67E9E" w:rsidP="00F67E9E">
      <w:pPr>
        <w:pStyle w:val="Numbered111"/>
        <w:tabs>
          <w:tab w:val="clear" w:pos="1800"/>
          <w:tab w:val="num" w:pos="2160"/>
        </w:tabs>
      </w:pPr>
      <w:r w:rsidRPr="00560BA2">
        <w:t>provide sufficient and suitably qualified staff to fulfil the Authority</w:t>
      </w:r>
      <w:r>
        <w:t>’</w:t>
      </w:r>
      <w:r w:rsidRPr="00560BA2">
        <w:t>s roles and duties under this Contract as defined in the Implementation Plan;</w:t>
      </w:r>
    </w:p>
    <w:p w14:paraId="3DDDAFC1" w14:textId="77777777" w:rsidR="00F67E9E" w:rsidRPr="00560BA2" w:rsidRDefault="00F67E9E" w:rsidP="00F67E9E">
      <w:pPr>
        <w:pStyle w:val="Numbered111"/>
        <w:tabs>
          <w:tab w:val="clear" w:pos="1800"/>
          <w:tab w:val="num" w:pos="2160"/>
        </w:tabs>
      </w:pPr>
      <w:r w:rsidRPr="00560BA2">
        <w:t>use its reasonable endeavours to provide such documentation, data and/or other information that the Supplier reasonably requests that is necessary to perform its obligations under the terms of this Contract provided that such documentation, data and/or information is available to the Authority and is authorised for release by the Authority; and</w:t>
      </w:r>
    </w:p>
    <w:p w14:paraId="7CAC580D" w14:textId="77777777" w:rsidR="00F67E9E" w:rsidRPr="00560BA2" w:rsidRDefault="00F67E9E" w:rsidP="00F67E9E">
      <w:pPr>
        <w:pStyle w:val="Numbered111"/>
        <w:tabs>
          <w:tab w:val="clear" w:pos="1800"/>
          <w:tab w:val="num" w:pos="2160"/>
        </w:tabs>
      </w:pPr>
      <w:r w:rsidRPr="00560BA2">
        <w:t>procure for the Supplier such agreed access and use of the Authority Premises (as a licensee only) and facilities (including relevant IT systems) as is reasonably required for the Supplier to comply with its obligations under this Contract, such access to be provided during the Authority</w:t>
      </w:r>
      <w:r>
        <w:t>’</w:t>
      </w:r>
      <w:r w:rsidRPr="00560BA2">
        <w:t>s normal working hours on each Working Day or as otherwise agreed by the Authority (such agreement not to be unreasonably withheld or delayed).</w:t>
      </w:r>
    </w:p>
    <w:p w14:paraId="7ABADBDC" w14:textId="77777777" w:rsidR="00F67E9E" w:rsidRPr="00560BA2" w:rsidRDefault="00F67E9E" w:rsidP="00F67E9E">
      <w:pPr>
        <w:pStyle w:val="Numbered1"/>
      </w:pPr>
      <w:bookmarkStart w:id="786" w:name="_Ref_ContractCompanion_9kb9Ur9CC"/>
      <w:bookmarkStart w:id="787" w:name="_9kR3WTrAG8DH9ZJfifw5q9MmG3rw01z664C81FO"/>
      <w:r w:rsidRPr="009B0154">
        <w:t>Specific</w:t>
      </w:r>
      <w:r w:rsidRPr="00560BA2">
        <w:t xml:space="preserve"> Obligations</w:t>
      </w:r>
      <w:bookmarkEnd w:id="786"/>
      <w:bookmarkEnd w:id="787"/>
    </w:p>
    <w:p w14:paraId="6D9191E9" w14:textId="77777777" w:rsidR="00F67E9E" w:rsidRPr="00560BA2" w:rsidRDefault="00F67E9E" w:rsidP="00F67E9E">
      <w:pPr>
        <w:pStyle w:val="Numbered11"/>
        <w:tabs>
          <w:tab w:val="clear" w:pos="720"/>
          <w:tab w:val="num" w:pos="1080"/>
        </w:tabs>
      </w:pPr>
      <w:r w:rsidRPr="00560BA2">
        <w:t>The Authority shall, in relation to this Contract perform the Authority</w:t>
      </w:r>
      <w:r>
        <w:t>’</w:t>
      </w:r>
      <w:r w:rsidRPr="00560BA2">
        <w:t>s responsibilities identified as such in this Contract the details of which are set out below:</w:t>
      </w:r>
    </w:p>
    <w:tbl>
      <w:tblPr>
        <w:tblStyle w:val="MSATable-header"/>
        <w:tblW w:w="10204" w:type="dxa"/>
        <w:tblLook w:val="04A0" w:firstRow="1" w:lastRow="0" w:firstColumn="1" w:lastColumn="0" w:noHBand="0" w:noVBand="1"/>
      </w:tblPr>
      <w:tblGrid>
        <w:gridCol w:w="5102"/>
        <w:gridCol w:w="5102"/>
      </w:tblGrid>
      <w:tr w:rsidR="00F67E9E" w:rsidRPr="004260AE" w14:paraId="542C462F" w14:textId="77777777" w:rsidTr="007F74AA">
        <w:trPr>
          <w:cnfStyle w:val="100000000000" w:firstRow="1" w:lastRow="0" w:firstColumn="0" w:lastColumn="0" w:oddVBand="0" w:evenVBand="0" w:oddHBand="0" w:evenHBand="0" w:firstRowFirstColumn="0" w:firstRowLastColumn="0" w:lastRowFirstColumn="0" w:lastRowLastColumn="0"/>
          <w:tblHeader/>
        </w:trPr>
        <w:tc>
          <w:tcPr>
            <w:tcW w:w="5102" w:type="dxa"/>
          </w:tcPr>
          <w:p w14:paraId="049795C1" w14:textId="77777777" w:rsidR="00F67E9E" w:rsidRPr="004260AE" w:rsidRDefault="00F67E9E" w:rsidP="007F74AA">
            <w:pPr>
              <w:pStyle w:val="StdBodyTextBold"/>
              <w:keepNext/>
              <w:spacing w:before="0" w:after="0"/>
              <w:rPr>
                <w:b/>
                <w:bCs/>
              </w:rPr>
            </w:pPr>
            <w:r w:rsidRPr="004260AE">
              <w:rPr>
                <w:b/>
                <w:bCs/>
              </w:rPr>
              <w:t>Document</w:t>
            </w:r>
          </w:p>
        </w:tc>
        <w:tc>
          <w:tcPr>
            <w:tcW w:w="5102" w:type="dxa"/>
          </w:tcPr>
          <w:p w14:paraId="4658B533" w14:textId="77777777" w:rsidR="00F67E9E" w:rsidRPr="004260AE" w:rsidRDefault="00F67E9E" w:rsidP="007F74AA">
            <w:pPr>
              <w:pStyle w:val="StdBodyTextBold"/>
              <w:keepNext/>
              <w:spacing w:before="0" w:after="0"/>
              <w:rPr>
                <w:b/>
                <w:bCs/>
              </w:rPr>
            </w:pPr>
            <w:r w:rsidRPr="004260AE">
              <w:rPr>
                <w:b/>
                <w:bCs/>
              </w:rPr>
              <w:t>Location (Paragraph)</w:t>
            </w:r>
          </w:p>
        </w:tc>
      </w:tr>
      <w:tr w:rsidR="00F67E9E" w:rsidRPr="00F97284" w14:paraId="5B266AE3" w14:textId="77777777" w:rsidTr="007F74AA">
        <w:tc>
          <w:tcPr>
            <w:tcW w:w="5102" w:type="dxa"/>
          </w:tcPr>
          <w:p w14:paraId="418D5F0D" w14:textId="77777777" w:rsidR="00F67E9E" w:rsidRPr="00A32BBA" w:rsidRDefault="00F67E9E" w:rsidP="007F74AA">
            <w:pPr>
              <w:pStyle w:val="StdBodyTextBold"/>
              <w:keepNext/>
              <w:spacing w:before="0" w:after="0"/>
              <w:rPr>
                <w:b w:val="0"/>
                <w:bCs/>
                <w:iCs/>
                <w:highlight w:val="yellow"/>
              </w:rPr>
            </w:pPr>
            <w:r w:rsidRPr="00B73DD6">
              <w:rPr>
                <w:iCs/>
                <w:highlight w:val="yellow"/>
              </w:rPr>
              <w:t>[insert</w:t>
            </w:r>
            <w:r w:rsidRPr="00A32BBA">
              <w:rPr>
                <w:b w:val="0"/>
                <w:bCs/>
                <w:iCs/>
                <w:highlight w:val="yellow"/>
              </w:rPr>
              <w:t xml:space="preserve"> Schedule details here]</w:t>
            </w:r>
          </w:p>
        </w:tc>
        <w:tc>
          <w:tcPr>
            <w:tcW w:w="5102" w:type="dxa"/>
          </w:tcPr>
          <w:p w14:paraId="678457BA" w14:textId="77777777" w:rsidR="00F67E9E" w:rsidRPr="00A32BBA" w:rsidRDefault="00F67E9E" w:rsidP="007F74AA">
            <w:pPr>
              <w:pStyle w:val="StdBodyTextBold"/>
              <w:keepNext/>
              <w:spacing w:before="0" w:after="0"/>
              <w:rPr>
                <w:b w:val="0"/>
                <w:bCs/>
                <w:iCs/>
              </w:rPr>
            </w:pPr>
            <w:r w:rsidRPr="00A32BBA">
              <w:rPr>
                <w:b w:val="0"/>
                <w:bCs/>
                <w:iCs/>
                <w:highlight w:val="yellow"/>
              </w:rPr>
              <w:t>[Refer to specific Paragraphs here]</w:t>
            </w:r>
          </w:p>
        </w:tc>
      </w:tr>
      <w:tr w:rsidR="00F67E9E" w:rsidRPr="003025CC" w14:paraId="6BD7E68E" w14:textId="77777777" w:rsidTr="007F74AA">
        <w:tc>
          <w:tcPr>
            <w:tcW w:w="5102" w:type="dxa"/>
          </w:tcPr>
          <w:p w14:paraId="6BDF6B04" w14:textId="77777777" w:rsidR="00F67E9E" w:rsidRPr="003025CC" w:rsidRDefault="00F67E9E" w:rsidP="007F74AA">
            <w:pPr>
              <w:pStyle w:val="StdBodyText1"/>
              <w:keepNext/>
              <w:spacing w:before="0" w:after="0"/>
              <w:ind w:left="0"/>
            </w:pPr>
          </w:p>
        </w:tc>
        <w:tc>
          <w:tcPr>
            <w:tcW w:w="5102" w:type="dxa"/>
          </w:tcPr>
          <w:p w14:paraId="75196F83" w14:textId="77777777" w:rsidR="00F67E9E" w:rsidRPr="003025CC" w:rsidRDefault="00F67E9E" w:rsidP="007F74AA">
            <w:pPr>
              <w:pStyle w:val="StdBodyText1"/>
              <w:keepNext/>
              <w:spacing w:before="0" w:after="0"/>
              <w:ind w:left="0"/>
            </w:pPr>
          </w:p>
        </w:tc>
      </w:tr>
      <w:tr w:rsidR="00F67E9E" w:rsidRPr="003025CC" w14:paraId="6B9A5ECC" w14:textId="77777777" w:rsidTr="007F74AA">
        <w:tc>
          <w:tcPr>
            <w:tcW w:w="5102" w:type="dxa"/>
          </w:tcPr>
          <w:p w14:paraId="54B4BA10" w14:textId="77777777" w:rsidR="00F67E9E" w:rsidRPr="003025CC" w:rsidRDefault="00F67E9E" w:rsidP="007F74AA">
            <w:pPr>
              <w:pStyle w:val="StdBodyText1"/>
              <w:spacing w:before="0" w:after="0"/>
              <w:ind w:left="0"/>
            </w:pPr>
          </w:p>
        </w:tc>
        <w:tc>
          <w:tcPr>
            <w:tcW w:w="5102" w:type="dxa"/>
          </w:tcPr>
          <w:p w14:paraId="3452E7FB" w14:textId="77777777" w:rsidR="00F67E9E" w:rsidRPr="003025CC" w:rsidRDefault="00F67E9E" w:rsidP="007F74AA">
            <w:pPr>
              <w:pStyle w:val="StdBodyText1"/>
              <w:spacing w:before="0" w:after="0"/>
              <w:ind w:left="0"/>
            </w:pPr>
          </w:p>
        </w:tc>
      </w:tr>
      <w:tr w:rsidR="00F67E9E" w:rsidRPr="003025CC" w14:paraId="11E93CDF" w14:textId="77777777" w:rsidTr="007F74AA">
        <w:tc>
          <w:tcPr>
            <w:tcW w:w="5102" w:type="dxa"/>
          </w:tcPr>
          <w:p w14:paraId="1C33B76A" w14:textId="77777777" w:rsidR="00F67E9E" w:rsidRPr="003025CC" w:rsidRDefault="00F67E9E" w:rsidP="007F74AA">
            <w:pPr>
              <w:pStyle w:val="StdBodyText1"/>
              <w:spacing w:before="0" w:after="0"/>
              <w:ind w:left="0"/>
            </w:pPr>
          </w:p>
        </w:tc>
        <w:tc>
          <w:tcPr>
            <w:tcW w:w="5102" w:type="dxa"/>
          </w:tcPr>
          <w:p w14:paraId="0710285D" w14:textId="77777777" w:rsidR="00F67E9E" w:rsidRPr="003025CC" w:rsidRDefault="00F67E9E" w:rsidP="007F74AA">
            <w:pPr>
              <w:pStyle w:val="StdBodyText1"/>
              <w:spacing w:before="0" w:after="0"/>
              <w:ind w:left="0"/>
            </w:pPr>
          </w:p>
        </w:tc>
      </w:tr>
      <w:tr w:rsidR="00F67E9E" w:rsidRPr="003025CC" w14:paraId="2CCE0B8F" w14:textId="77777777" w:rsidTr="007F74AA">
        <w:tc>
          <w:tcPr>
            <w:tcW w:w="5102" w:type="dxa"/>
          </w:tcPr>
          <w:p w14:paraId="3BD0FC9F" w14:textId="77777777" w:rsidR="00F67E9E" w:rsidRPr="003025CC" w:rsidRDefault="00F67E9E" w:rsidP="007F74AA">
            <w:pPr>
              <w:pStyle w:val="StdBodyText1"/>
              <w:spacing w:before="0" w:after="0"/>
              <w:ind w:left="0"/>
            </w:pPr>
          </w:p>
        </w:tc>
        <w:tc>
          <w:tcPr>
            <w:tcW w:w="5102" w:type="dxa"/>
          </w:tcPr>
          <w:p w14:paraId="5B782FC9" w14:textId="77777777" w:rsidR="00F67E9E" w:rsidRPr="003025CC" w:rsidRDefault="00F67E9E" w:rsidP="007F74AA">
            <w:pPr>
              <w:pStyle w:val="StdBodyText1"/>
              <w:spacing w:before="0" w:after="0"/>
              <w:ind w:left="0"/>
            </w:pPr>
          </w:p>
        </w:tc>
      </w:tr>
    </w:tbl>
    <w:p w14:paraId="779E491C" w14:textId="77777777" w:rsidR="00F67E9E" w:rsidRPr="003025CC" w:rsidRDefault="00F67E9E" w:rsidP="00F67E9E">
      <w:pPr>
        <w:rPr>
          <w:szCs w:val="24"/>
        </w:rPr>
      </w:pPr>
    </w:p>
    <w:p w14:paraId="0E67A10D" w14:textId="77777777" w:rsidR="00F67E9E" w:rsidRPr="008971A7" w:rsidRDefault="00F67E9E" w:rsidP="00F67E9E"/>
    <w:p w14:paraId="389A1629" w14:textId="77777777" w:rsidR="00F67E9E" w:rsidRDefault="00F67E9E" w:rsidP="00F67E9E"/>
    <w:p w14:paraId="0A5103B5" w14:textId="77777777" w:rsidR="00F67E9E" w:rsidRDefault="00F67E9E" w:rsidP="00F67E9E">
      <w:pPr>
        <w:sectPr w:rsidR="00F67E9E" w:rsidSect="00240D26">
          <w:headerReference w:type="default" r:id="rId69"/>
          <w:footerReference w:type="default" r:id="rId70"/>
          <w:pgSz w:w="11900" w:h="16840" w:code="9"/>
          <w:pgMar w:top="1701" w:right="851" w:bottom="1134" w:left="851" w:header="567" w:footer="567" w:gutter="0"/>
          <w:cols w:space="720"/>
          <w:docGrid w:linePitch="360"/>
        </w:sectPr>
      </w:pPr>
    </w:p>
    <w:p w14:paraId="6107DDF1" w14:textId="77777777" w:rsidR="00F67E9E" w:rsidRPr="007C55B2" w:rsidRDefault="00F67E9E" w:rsidP="00F67E9E">
      <w:pPr>
        <w:pStyle w:val="Dividername"/>
      </w:pPr>
      <w:r w:rsidRPr="007C55B2">
        <w:t>Schedule 8</w:t>
      </w:r>
    </w:p>
    <w:p w14:paraId="05DA4052" w14:textId="77777777" w:rsidR="00F67E9E" w:rsidRPr="007C55B2" w:rsidRDefault="00F67E9E" w:rsidP="00F67E9E">
      <w:pPr>
        <w:pStyle w:val="Dividername"/>
      </w:pPr>
      <w:r w:rsidRPr="007C55B2">
        <w:t>Supplier Solution</w:t>
      </w:r>
    </w:p>
    <w:p w14:paraId="20E22E22" w14:textId="77777777" w:rsidR="00F67E9E" w:rsidRPr="007C43AC" w:rsidRDefault="00F67E9E" w:rsidP="00F67E9E"/>
    <w:p w14:paraId="20108580" w14:textId="77777777" w:rsidR="00F67E9E" w:rsidRPr="005D0525" w:rsidRDefault="00F67E9E" w:rsidP="00F67E9E">
      <w:pPr>
        <w:pStyle w:val="Heading1"/>
      </w:pPr>
      <w:bookmarkStart w:id="788" w:name="Schedule8"/>
      <w:bookmarkStart w:id="789" w:name="_Ref92199898"/>
      <w:bookmarkStart w:id="790" w:name="_Toc141711924"/>
      <w:r w:rsidRPr="005D0525">
        <w:t>Schedule</w:t>
      </w:r>
      <w:r>
        <w:t> </w:t>
      </w:r>
      <w:r w:rsidRPr="005D0525">
        <w:t>8</w:t>
      </w:r>
      <w:bookmarkEnd w:id="788"/>
      <w:r>
        <w:t xml:space="preserve">: </w:t>
      </w:r>
      <w:bookmarkStart w:id="791" w:name="Schedule8Heading"/>
      <w:r w:rsidRPr="00F97284">
        <w:t>Supplier Solution</w:t>
      </w:r>
      <w:bookmarkEnd w:id="789"/>
      <w:bookmarkEnd w:id="790"/>
      <w:bookmarkEnd w:id="791"/>
    </w:p>
    <w:p w14:paraId="34DE4D5A" w14:textId="77777777" w:rsidR="00F67E9E" w:rsidRPr="00C20547" w:rsidRDefault="00F67E9E" w:rsidP="00F67E9E">
      <w:pPr>
        <w:pStyle w:val="StdBodyText"/>
        <w:rPr>
          <w:b/>
          <w:i/>
          <w:highlight w:val="yellow"/>
        </w:rPr>
      </w:pPr>
      <w:r>
        <w:rPr>
          <w:b/>
          <w:i/>
          <w:highlight w:val="yellow"/>
        </w:rPr>
        <w:t>[Guidance note:</w:t>
      </w:r>
      <w:r w:rsidRPr="00C20547">
        <w:rPr>
          <w:b/>
          <w:i/>
          <w:highlight w:val="yellow"/>
        </w:rPr>
        <w:t xml:space="preserve"> Insert Supplier Solution here]</w:t>
      </w:r>
    </w:p>
    <w:p w14:paraId="4F4A44F8" w14:textId="77777777" w:rsidR="00F67E9E" w:rsidRDefault="00F67E9E" w:rsidP="00F67E9E">
      <w:pPr>
        <w:rPr>
          <w:highlight w:val="yellow"/>
        </w:rPr>
      </w:pPr>
    </w:p>
    <w:p w14:paraId="6F44BEAC" w14:textId="77777777" w:rsidR="00F67E9E" w:rsidRDefault="00F67E9E" w:rsidP="00F67E9E">
      <w:pPr>
        <w:rPr>
          <w:highlight w:val="yellow"/>
        </w:rPr>
      </w:pPr>
    </w:p>
    <w:p w14:paraId="3B53D1DB" w14:textId="77777777" w:rsidR="00F67E9E" w:rsidRDefault="00F67E9E" w:rsidP="00F67E9E">
      <w:pPr>
        <w:sectPr w:rsidR="00F67E9E" w:rsidSect="00240D26">
          <w:headerReference w:type="default" r:id="rId71"/>
          <w:footerReference w:type="default" r:id="rId72"/>
          <w:pgSz w:w="11900" w:h="16840" w:code="9"/>
          <w:pgMar w:top="1701" w:right="851" w:bottom="1134" w:left="851" w:header="567" w:footer="567" w:gutter="0"/>
          <w:cols w:space="720"/>
          <w:docGrid w:linePitch="360"/>
        </w:sectPr>
      </w:pPr>
    </w:p>
    <w:p w14:paraId="19A6A4B0" w14:textId="77777777" w:rsidR="00F67E9E" w:rsidRPr="007C55B2" w:rsidRDefault="00F67E9E" w:rsidP="00F67E9E">
      <w:pPr>
        <w:pStyle w:val="Dividername"/>
      </w:pPr>
      <w:r w:rsidRPr="007C55B2">
        <w:t>Schedule 9</w:t>
      </w:r>
    </w:p>
    <w:p w14:paraId="2908BD85" w14:textId="77777777" w:rsidR="00F67E9E" w:rsidRPr="007C55B2" w:rsidRDefault="00F67E9E" w:rsidP="00F67E9E">
      <w:pPr>
        <w:pStyle w:val="Dividername"/>
      </w:pPr>
      <w:r w:rsidRPr="007C55B2">
        <w:t>Commercially Sensitive Information</w:t>
      </w:r>
    </w:p>
    <w:p w14:paraId="4F5B5907" w14:textId="77777777" w:rsidR="00F67E9E" w:rsidRDefault="00F67E9E" w:rsidP="00F67E9E"/>
    <w:p w14:paraId="7E7346D8" w14:textId="77777777" w:rsidR="00F67E9E" w:rsidRPr="005D0525" w:rsidRDefault="00F67E9E" w:rsidP="00F67E9E">
      <w:pPr>
        <w:pStyle w:val="Heading1"/>
      </w:pPr>
      <w:bookmarkStart w:id="792" w:name="Schedule9"/>
      <w:bookmarkStart w:id="793" w:name="_Ref92199904"/>
      <w:bookmarkStart w:id="794" w:name="_Toc141711925"/>
      <w:r w:rsidRPr="005D0525">
        <w:t>Schedule</w:t>
      </w:r>
      <w:r>
        <w:t> </w:t>
      </w:r>
      <w:r w:rsidRPr="005D0525">
        <w:t>9</w:t>
      </w:r>
      <w:bookmarkEnd w:id="792"/>
      <w:r>
        <w:t xml:space="preserve">: </w:t>
      </w:r>
      <w:bookmarkStart w:id="795" w:name="Schedule9Heading"/>
      <w:r w:rsidRPr="00F97284">
        <w:t>Commercially Sensitive Information</w:t>
      </w:r>
      <w:bookmarkEnd w:id="793"/>
      <w:bookmarkEnd w:id="794"/>
      <w:bookmarkEnd w:id="795"/>
    </w:p>
    <w:p w14:paraId="2771BC7D" w14:textId="77777777" w:rsidR="00F67E9E" w:rsidRPr="00FF73CF" w:rsidRDefault="00F67E9E" w:rsidP="00F67E9E">
      <w:pPr>
        <w:pStyle w:val="AppendixText1"/>
        <w:numPr>
          <w:ilvl w:val="0"/>
          <w:numId w:val="124"/>
        </w:numPr>
        <w:tabs>
          <w:tab w:val="clear" w:pos="720"/>
          <w:tab w:val="num" w:pos="1080"/>
        </w:tabs>
        <w:rPr>
          <w:b w:val="0"/>
          <w:bCs/>
        </w:rPr>
      </w:pPr>
      <w:r w:rsidRPr="00FF73CF">
        <w:rPr>
          <w:b w:val="0"/>
          <w:bCs/>
        </w:rPr>
        <w:t>In this Schedule the Parties have sought to identify the Supplier’s Confidential Information that is genuinely commercially sensitive and the disclosure of which would be the subject of an exemption under the FOIA and the EIRs.</w:t>
      </w:r>
    </w:p>
    <w:p w14:paraId="5158D02A" w14:textId="77777777" w:rsidR="00F67E9E" w:rsidRPr="00621420" w:rsidRDefault="00F67E9E" w:rsidP="00F67E9E">
      <w:pPr>
        <w:pStyle w:val="AppendixText1"/>
        <w:keepNext w:val="0"/>
        <w:numPr>
          <w:ilvl w:val="0"/>
          <w:numId w:val="124"/>
        </w:numPr>
        <w:rPr>
          <w:b w:val="0"/>
          <w:bCs/>
        </w:rPr>
      </w:pPr>
      <w:r w:rsidRPr="00FF73CF">
        <w:rPr>
          <w:b w:val="0"/>
          <w:bCs/>
        </w:rPr>
        <w:t>Where possible, the Parties have sought to identify when any relevant Information will cease to fall into the category of Information to which this Schedule applies in the table below (please see the column “Duration of Confidentiality”).</w:t>
      </w:r>
    </w:p>
    <w:p w14:paraId="5736C368" w14:textId="77777777" w:rsidR="00F67E9E" w:rsidRPr="00621420" w:rsidRDefault="00F67E9E" w:rsidP="00F67E9E">
      <w:pPr>
        <w:pStyle w:val="AppendixText1"/>
        <w:keepNext w:val="0"/>
        <w:numPr>
          <w:ilvl w:val="0"/>
          <w:numId w:val="124"/>
        </w:numPr>
        <w:rPr>
          <w:b w:val="0"/>
          <w:bCs/>
        </w:rPr>
      </w:pPr>
      <w:r w:rsidRPr="00FF73CF">
        <w:rPr>
          <w:b w:val="0"/>
          <w:bCs/>
        </w:rPr>
        <w:t>Without prejudice to the Authority’s obligation to disclose Information in accordance with FOIA or Clause 19 (</w:t>
      </w:r>
      <w:r w:rsidRPr="00686548">
        <w:rPr>
          <w:b w:val="0"/>
          <w:bCs/>
          <w:i/>
          <w:iCs/>
        </w:rPr>
        <w:t>Confidentiality</w:t>
      </w:r>
      <w:r w:rsidRPr="00FF73CF">
        <w:rPr>
          <w:b w:val="0"/>
          <w:bCs/>
        </w:rPr>
        <w:t>), the Authority will, in its sole discretion, acting reasonably, seek to apply the relevant exemption set out in the FOIA to the following Information:</w:t>
      </w:r>
    </w:p>
    <w:p w14:paraId="6AF3590D" w14:textId="77777777" w:rsidR="00F67E9E" w:rsidRPr="00560BA2" w:rsidRDefault="00F67E9E" w:rsidP="00F67E9E">
      <w:pPr>
        <w:pStyle w:val="BlankDocumentTitle"/>
        <w:keepNext/>
        <w:rPr>
          <w:rFonts w:cs="Arial"/>
        </w:rPr>
      </w:pPr>
      <w:r w:rsidRPr="00560BA2">
        <w:rPr>
          <w:rFonts w:cs="Arial"/>
        </w:rPr>
        <w:t>Commercially Sensitive Information</w:t>
      </w:r>
    </w:p>
    <w:tbl>
      <w:tblPr>
        <w:tblStyle w:val="MSATable-header"/>
        <w:tblW w:w="10205" w:type="dxa"/>
        <w:tblLook w:val="04A0" w:firstRow="1" w:lastRow="0" w:firstColumn="1" w:lastColumn="0" w:noHBand="0" w:noVBand="1"/>
      </w:tblPr>
      <w:tblGrid>
        <w:gridCol w:w="850"/>
        <w:gridCol w:w="1134"/>
        <w:gridCol w:w="5953"/>
        <w:gridCol w:w="2268"/>
      </w:tblGrid>
      <w:tr w:rsidR="00F67E9E" w:rsidRPr="004260AE" w14:paraId="79C7652F" w14:textId="77777777" w:rsidTr="007F74AA">
        <w:trPr>
          <w:cnfStyle w:val="100000000000" w:firstRow="1" w:lastRow="0" w:firstColumn="0" w:lastColumn="0" w:oddVBand="0" w:evenVBand="0" w:oddHBand="0" w:evenHBand="0" w:firstRowFirstColumn="0" w:firstRowLastColumn="0" w:lastRowFirstColumn="0" w:lastRowLastColumn="0"/>
          <w:tblHeader/>
        </w:trPr>
        <w:tc>
          <w:tcPr>
            <w:tcW w:w="850" w:type="dxa"/>
            <w:vAlign w:val="bottom"/>
          </w:tcPr>
          <w:p w14:paraId="14AC339F" w14:textId="77777777" w:rsidR="00F67E9E" w:rsidRPr="0086575E" w:rsidRDefault="00F67E9E" w:rsidP="007F74AA">
            <w:pPr>
              <w:pStyle w:val="TableText"/>
              <w:spacing w:before="0" w:after="0"/>
            </w:pPr>
            <w:r w:rsidRPr="0086575E">
              <w:t>No.</w:t>
            </w:r>
          </w:p>
        </w:tc>
        <w:tc>
          <w:tcPr>
            <w:tcW w:w="1134" w:type="dxa"/>
            <w:vAlign w:val="bottom"/>
          </w:tcPr>
          <w:p w14:paraId="2D4523D1" w14:textId="77777777" w:rsidR="00F67E9E" w:rsidRPr="0086575E" w:rsidRDefault="00F67E9E" w:rsidP="007F74AA">
            <w:pPr>
              <w:pStyle w:val="TableText"/>
              <w:spacing w:before="0" w:after="0"/>
            </w:pPr>
            <w:r w:rsidRPr="0086575E">
              <w:t>Date</w:t>
            </w:r>
          </w:p>
        </w:tc>
        <w:tc>
          <w:tcPr>
            <w:tcW w:w="5953" w:type="dxa"/>
            <w:vAlign w:val="bottom"/>
          </w:tcPr>
          <w:p w14:paraId="507BE696" w14:textId="77777777" w:rsidR="00F67E9E" w:rsidRPr="0086575E" w:rsidRDefault="00F67E9E" w:rsidP="007F74AA">
            <w:pPr>
              <w:pStyle w:val="TableText"/>
              <w:spacing w:before="0" w:after="0"/>
            </w:pPr>
            <w:r w:rsidRPr="0086575E">
              <w:t>Item(s)</w:t>
            </w:r>
          </w:p>
        </w:tc>
        <w:tc>
          <w:tcPr>
            <w:tcW w:w="2268" w:type="dxa"/>
            <w:vAlign w:val="bottom"/>
          </w:tcPr>
          <w:p w14:paraId="3C49E448" w14:textId="77777777" w:rsidR="00F67E9E" w:rsidRPr="0086575E" w:rsidRDefault="00F67E9E" w:rsidP="007F74AA">
            <w:pPr>
              <w:pStyle w:val="TableText"/>
              <w:spacing w:before="0" w:after="0"/>
            </w:pPr>
            <w:r w:rsidRPr="0086575E">
              <w:t>Duration of Confidentiality</w:t>
            </w:r>
          </w:p>
        </w:tc>
      </w:tr>
      <w:tr w:rsidR="00F67E9E" w:rsidRPr="001C37C6" w14:paraId="5AC670A8" w14:textId="77777777" w:rsidTr="007F74AA">
        <w:tc>
          <w:tcPr>
            <w:tcW w:w="850" w:type="dxa"/>
          </w:tcPr>
          <w:p w14:paraId="7181C3C4" w14:textId="77777777" w:rsidR="00F67E9E" w:rsidRPr="0086575E" w:rsidRDefault="00F67E9E" w:rsidP="007F74AA">
            <w:pPr>
              <w:pStyle w:val="ScheduleL1"/>
              <w:tabs>
                <w:tab w:val="num" w:pos="360"/>
              </w:tabs>
              <w:spacing w:before="60" w:after="60"/>
              <w:ind w:firstLine="0"/>
            </w:pPr>
          </w:p>
        </w:tc>
        <w:tc>
          <w:tcPr>
            <w:tcW w:w="1134" w:type="dxa"/>
          </w:tcPr>
          <w:p w14:paraId="1A40349C" w14:textId="77777777" w:rsidR="00F67E9E" w:rsidRPr="0086575E" w:rsidRDefault="00F67E9E" w:rsidP="007F74AA">
            <w:pPr>
              <w:pStyle w:val="TableText"/>
              <w:spacing w:before="60" w:after="60"/>
            </w:pPr>
          </w:p>
        </w:tc>
        <w:tc>
          <w:tcPr>
            <w:tcW w:w="5953" w:type="dxa"/>
          </w:tcPr>
          <w:p w14:paraId="2C2F08A2" w14:textId="77777777" w:rsidR="00F67E9E" w:rsidRPr="001C37C6" w:rsidRDefault="00F67E9E" w:rsidP="007F74AA">
            <w:pPr>
              <w:pStyle w:val="StdBodyText"/>
              <w:spacing w:before="60" w:after="60"/>
              <w:rPr>
                <w:rFonts w:cs="Arial"/>
              </w:rPr>
            </w:pPr>
          </w:p>
        </w:tc>
        <w:tc>
          <w:tcPr>
            <w:tcW w:w="2268" w:type="dxa"/>
          </w:tcPr>
          <w:p w14:paraId="236AFF07" w14:textId="77777777" w:rsidR="00F67E9E" w:rsidRPr="001C37C6" w:rsidRDefault="00F67E9E" w:rsidP="007F74AA">
            <w:pPr>
              <w:pStyle w:val="StdBodyText"/>
              <w:spacing w:before="60" w:after="60"/>
              <w:rPr>
                <w:rFonts w:cs="Arial"/>
              </w:rPr>
            </w:pPr>
          </w:p>
        </w:tc>
      </w:tr>
      <w:tr w:rsidR="00F67E9E" w:rsidRPr="001C37C6" w14:paraId="22DC9D59" w14:textId="77777777" w:rsidTr="007F74AA">
        <w:tc>
          <w:tcPr>
            <w:tcW w:w="850" w:type="dxa"/>
          </w:tcPr>
          <w:p w14:paraId="09DCB0F4" w14:textId="77777777" w:rsidR="00F67E9E" w:rsidRPr="0086575E" w:rsidRDefault="00F67E9E" w:rsidP="007F74AA">
            <w:pPr>
              <w:pStyle w:val="ScheduleL1"/>
              <w:tabs>
                <w:tab w:val="num" w:pos="360"/>
              </w:tabs>
              <w:spacing w:before="60" w:after="60"/>
              <w:ind w:firstLine="0"/>
            </w:pPr>
          </w:p>
        </w:tc>
        <w:tc>
          <w:tcPr>
            <w:tcW w:w="1134" w:type="dxa"/>
          </w:tcPr>
          <w:p w14:paraId="727D44E6" w14:textId="77777777" w:rsidR="00F67E9E" w:rsidRPr="001C37C6" w:rsidRDefault="00F67E9E" w:rsidP="007F74AA">
            <w:pPr>
              <w:pStyle w:val="TableText"/>
              <w:spacing w:before="60" w:after="60"/>
            </w:pPr>
          </w:p>
        </w:tc>
        <w:tc>
          <w:tcPr>
            <w:tcW w:w="5953" w:type="dxa"/>
          </w:tcPr>
          <w:p w14:paraId="4AC9179A" w14:textId="77777777" w:rsidR="00F67E9E" w:rsidRPr="001C37C6" w:rsidRDefault="00F67E9E" w:rsidP="007F74AA">
            <w:pPr>
              <w:pStyle w:val="TableText"/>
              <w:spacing w:before="60" w:after="60"/>
            </w:pPr>
          </w:p>
        </w:tc>
        <w:tc>
          <w:tcPr>
            <w:tcW w:w="2268" w:type="dxa"/>
          </w:tcPr>
          <w:p w14:paraId="1F9B4617" w14:textId="77777777" w:rsidR="00F67E9E" w:rsidRPr="001C37C6" w:rsidRDefault="00F67E9E" w:rsidP="007F74AA">
            <w:pPr>
              <w:pStyle w:val="TableText"/>
              <w:spacing w:before="60" w:after="60"/>
            </w:pPr>
          </w:p>
        </w:tc>
      </w:tr>
      <w:tr w:rsidR="00F67E9E" w:rsidRPr="001C37C6" w14:paraId="1AA26E51" w14:textId="77777777" w:rsidTr="007F74AA">
        <w:tc>
          <w:tcPr>
            <w:tcW w:w="850" w:type="dxa"/>
          </w:tcPr>
          <w:p w14:paraId="048D33A1" w14:textId="77777777" w:rsidR="00F67E9E" w:rsidRPr="0086575E" w:rsidRDefault="00F67E9E" w:rsidP="007F74AA">
            <w:pPr>
              <w:pStyle w:val="ScheduleL1"/>
              <w:tabs>
                <w:tab w:val="num" w:pos="360"/>
              </w:tabs>
              <w:spacing w:before="60" w:after="60"/>
              <w:ind w:firstLine="0"/>
            </w:pPr>
          </w:p>
        </w:tc>
        <w:tc>
          <w:tcPr>
            <w:tcW w:w="1134" w:type="dxa"/>
          </w:tcPr>
          <w:p w14:paraId="3802683A" w14:textId="77777777" w:rsidR="00F67E9E" w:rsidRPr="001C37C6" w:rsidRDefault="00F67E9E" w:rsidP="007F74AA">
            <w:pPr>
              <w:pStyle w:val="TableText"/>
              <w:spacing w:before="60" w:after="60"/>
            </w:pPr>
          </w:p>
        </w:tc>
        <w:tc>
          <w:tcPr>
            <w:tcW w:w="5953" w:type="dxa"/>
          </w:tcPr>
          <w:p w14:paraId="4F655083" w14:textId="77777777" w:rsidR="00F67E9E" w:rsidRPr="001C37C6" w:rsidRDefault="00F67E9E" w:rsidP="007F74AA">
            <w:pPr>
              <w:pStyle w:val="TableText"/>
              <w:spacing w:before="60" w:after="60"/>
            </w:pPr>
          </w:p>
        </w:tc>
        <w:tc>
          <w:tcPr>
            <w:tcW w:w="2268" w:type="dxa"/>
          </w:tcPr>
          <w:p w14:paraId="7CCE8A74" w14:textId="77777777" w:rsidR="00F67E9E" w:rsidRPr="001C37C6" w:rsidRDefault="00F67E9E" w:rsidP="007F74AA">
            <w:pPr>
              <w:pStyle w:val="TableText"/>
              <w:spacing w:before="60" w:after="60"/>
            </w:pPr>
          </w:p>
        </w:tc>
      </w:tr>
      <w:tr w:rsidR="00F67E9E" w:rsidRPr="001C37C6" w14:paraId="0C011B5A" w14:textId="77777777" w:rsidTr="007F74AA">
        <w:tc>
          <w:tcPr>
            <w:tcW w:w="850" w:type="dxa"/>
          </w:tcPr>
          <w:p w14:paraId="646EDBBC" w14:textId="77777777" w:rsidR="00F67E9E" w:rsidRPr="0086575E" w:rsidRDefault="00F67E9E" w:rsidP="007F74AA">
            <w:pPr>
              <w:pStyle w:val="ScheduleL1"/>
              <w:tabs>
                <w:tab w:val="num" w:pos="360"/>
              </w:tabs>
              <w:spacing w:before="60" w:after="60"/>
              <w:ind w:firstLine="0"/>
            </w:pPr>
          </w:p>
        </w:tc>
        <w:tc>
          <w:tcPr>
            <w:tcW w:w="1134" w:type="dxa"/>
          </w:tcPr>
          <w:p w14:paraId="0BF0B1FD" w14:textId="77777777" w:rsidR="00F67E9E" w:rsidRPr="001C37C6" w:rsidRDefault="00F67E9E" w:rsidP="007F74AA">
            <w:pPr>
              <w:pStyle w:val="TableText"/>
              <w:spacing w:before="60" w:after="60"/>
            </w:pPr>
          </w:p>
        </w:tc>
        <w:tc>
          <w:tcPr>
            <w:tcW w:w="5953" w:type="dxa"/>
          </w:tcPr>
          <w:p w14:paraId="2BE8DF99" w14:textId="77777777" w:rsidR="00F67E9E" w:rsidRPr="001C37C6" w:rsidRDefault="00F67E9E" w:rsidP="007F74AA">
            <w:pPr>
              <w:pStyle w:val="TableText"/>
              <w:spacing w:before="60" w:after="60"/>
            </w:pPr>
          </w:p>
        </w:tc>
        <w:tc>
          <w:tcPr>
            <w:tcW w:w="2268" w:type="dxa"/>
          </w:tcPr>
          <w:p w14:paraId="1FD6BC43" w14:textId="77777777" w:rsidR="00F67E9E" w:rsidRPr="001C37C6" w:rsidRDefault="00F67E9E" w:rsidP="007F74AA">
            <w:pPr>
              <w:pStyle w:val="TableText"/>
              <w:spacing w:before="60" w:after="60"/>
            </w:pPr>
          </w:p>
        </w:tc>
      </w:tr>
      <w:tr w:rsidR="00F67E9E" w:rsidRPr="001C37C6" w14:paraId="280EAF9A" w14:textId="77777777" w:rsidTr="007F74AA">
        <w:tc>
          <w:tcPr>
            <w:tcW w:w="850" w:type="dxa"/>
          </w:tcPr>
          <w:p w14:paraId="21830A56" w14:textId="77777777" w:rsidR="00F67E9E" w:rsidRPr="0086575E" w:rsidRDefault="00F67E9E" w:rsidP="007F74AA">
            <w:pPr>
              <w:pStyle w:val="ScheduleL1"/>
              <w:tabs>
                <w:tab w:val="num" w:pos="360"/>
              </w:tabs>
              <w:spacing w:before="60" w:after="60"/>
              <w:ind w:firstLine="0"/>
            </w:pPr>
          </w:p>
        </w:tc>
        <w:tc>
          <w:tcPr>
            <w:tcW w:w="1134" w:type="dxa"/>
          </w:tcPr>
          <w:p w14:paraId="3B305963" w14:textId="77777777" w:rsidR="00F67E9E" w:rsidRPr="001C37C6" w:rsidRDefault="00F67E9E" w:rsidP="007F74AA">
            <w:pPr>
              <w:pStyle w:val="TableText"/>
              <w:spacing w:before="60" w:after="60"/>
            </w:pPr>
          </w:p>
        </w:tc>
        <w:tc>
          <w:tcPr>
            <w:tcW w:w="5953" w:type="dxa"/>
          </w:tcPr>
          <w:p w14:paraId="48E20421" w14:textId="77777777" w:rsidR="00F67E9E" w:rsidRPr="001C37C6" w:rsidRDefault="00F67E9E" w:rsidP="007F74AA">
            <w:pPr>
              <w:pStyle w:val="TableText"/>
              <w:spacing w:before="60" w:after="60"/>
            </w:pPr>
          </w:p>
        </w:tc>
        <w:tc>
          <w:tcPr>
            <w:tcW w:w="2268" w:type="dxa"/>
          </w:tcPr>
          <w:p w14:paraId="21C545AD" w14:textId="77777777" w:rsidR="00F67E9E" w:rsidRPr="001C37C6" w:rsidRDefault="00F67E9E" w:rsidP="007F74AA">
            <w:pPr>
              <w:pStyle w:val="TableText"/>
              <w:spacing w:before="60" w:after="60"/>
            </w:pPr>
          </w:p>
        </w:tc>
      </w:tr>
      <w:tr w:rsidR="00F67E9E" w:rsidRPr="001C37C6" w14:paraId="55690FFF" w14:textId="77777777" w:rsidTr="007F74AA">
        <w:tc>
          <w:tcPr>
            <w:tcW w:w="850" w:type="dxa"/>
          </w:tcPr>
          <w:p w14:paraId="567371CC" w14:textId="77777777" w:rsidR="00F67E9E" w:rsidRPr="0086575E" w:rsidRDefault="00F67E9E" w:rsidP="007F74AA">
            <w:pPr>
              <w:pStyle w:val="ScheduleL1"/>
              <w:tabs>
                <w:tab w:val="num" w:pos="360"/>
              </w:tabs>
              <w:spacing w:before="60" w:after="60"/>
              <w:ind w:firstLine="0"/>
            </w:pPr>
          </w:p>
        </w:tc>
        <w:tc>
          <w:tcPr>
            <w:tcW w:w="1134" w:type="dxa"/>
          </w:tcPr>
          <w:p w14:paraId="25E18A8F" w14:textId="77777777" w:rsidR="00F67E9E" w:rsidRPr="001C37C6" w:rsidRDefault="00F67E9E" w:rsidP="007F74AA">
            <w:pPr>
              <w:pStyle w:val="TableText"/>
              <w:spacing w:before="60" w:after="60"/>
            </w:pPr>
          </w:p>
        </w:tc>
        <w:tc>
          <w:tcPr>
            <w:tcW w:w="5953" w:type="dxa"/>
          </w:tcPr>
          <w:p w14:paraId="588D558E" w14:textId="77777777" w:rsidR="00F67E9E" w:rsidRPr="001C37C6" w:rsidRDefault="00F67E9E" w:rsidP="007F74AA">
            <w:pPr>
              <w:pStyle w:val="TableText"/>
              <w:spacing w:before="60" w:after="60"/>
            </w:pPr>
          </w:p>
        </w:tc>
        <w:tc>
          <w:tcPr>
            <w:tcW w:w="2268" w:type="dxa"/>
          </w:tcPr>
          <w:p w14:paraId="41181EF9" w14:textId="77777777" w:rsidR="00F67E9E" w:rsidRPr="001C37C6" w:rsidRDefault="00F67E9E" w:rsidP="007F74AA">
            <w:pPr>
              <w:pStyle w:val="TableText"/>
              <w:spacing w:before="60" w:after="60"/>
            </w:pPr>
          </w:p>
        </w:tc>
      </w:tr>
      <w:tr w:rsidR="00F67E9E" w:rsidRPr="001C37C6" w14:paraId="55A6CFBD" w14:textId="77777777" w:rsidTr="007F74AA">
        <w:tc>
          <w:tcPr>
            <w:tcW w:w="850" w:type="dxa"/>
          </w:tcPr>
          <w:p w14:paraId="3A9785CD" w14:textId="77777777" w:rsidR="00F67E9E" w:rsidRPr="0086575E" w:rsidRDefault="00F67E9E" w:rsidP="007F74AA">
            <w:pPr>
              <w:pStyle w:val="ScheduleL1"/>
              <w:tabs>
                <w:tab w:val="num" w:pos="360"/>
              </w:tabs>
              <w:spacing w:before="60" w:after="60"/>
              <w:ind w:firstLine="0"/>
            </w:pPr>
          </w:p>
        </w:tc>
        <w:tc>
          <w:tcPr>
            <w:tcW w:w="1134" w:type="dxa"/>
          </w:tcPr>
          <w:p w14:paraId="61F4CCFB" w14:textId="77777777" w:rsidR="00F67E9E" w:rsidRPr="001C37C6" w:rsidRDefault="00F67E9E" w:rsidP="007F74AA">
            <w:pPr>
              <w:pStyle w:val="TableText"/>
              <w:spacing w:before="60" w:after="60"/>
            </w:pPr>
          </w:p>
        </w:tc>
        <w:tc>
          <w:tcPr>
            <w:tcW w:w="5953" w:type="dxa"/>
          </w:tcPr>
          <w:p w14:paraId="0768AC47" w14:textId="77777777" w:rsidR="00F67E9E" w:rsidRPr="001C37C6" w:rsidRDefault="00F67E9E" w:rsidP="007F74AA">
            <w:pPr>
              <w:pStyle w:val="TableText"/>
              <w:spacing w:before="60" w:after="60"/>
            </w:pPr>
          </w:p>
        </w:tc>
        <w:tc>
          <w:tcPr>
            <w:tcW w:w="2268" w:type="dxa"/>
          </w:tcPr>
          <w:p w14:paraId="55A5D345" w14:textId="77777777" w:rsidR="00F67E9E" w:rsidRPr="001C37C6" w:rsidRDefault="00F67E9E" w:rsidP="007F74AA">
            <w:pPr>
              <w:pStyle w:val="TableText"/>
              <w:spacing w:before="60" w:after="60"/>
            </w:pPr>
          </w:p>
        </w:tc>
      </w:tr>
      <w:tr w:rsidR="00F67E9E" w:rsidRPr="001C37C6" w14:paraId="038899DC" w14:textId="77777777" w:rsidTr="007F74AA">
        <w:tc>
          <w:tcPr>
            <w:tcW w:w="850" w:type="dxa"/>
          </w:tcPr>
          <w:p w14:paraId="7B7C5F0C" w14:textId="77777777" w:rsidR="00F67E9E" w:rsidRPr="0086575E" w:rsidRDefault="00F67E9E" w:rsidP="007F74AA">
            <w:pPr>
              <w:pStyle w:val="ScheduleL1"/>
              <w:tabs>
                <w:tab w:val="num" w:pos="360"/>
              </w:tabs>
              <w:spacing w:before="60" w:after="60"/>
              <w:ind w:firstLine="0"/>
            </w:pPr>
          </w:p>
        </w:tc>
        <w:tc>
          <w:tcPr>
            <w:tcW w:w="1134" w:type="dxa"/>
          </w:tcPr>
          <w:p w14:paraId="6D5743F2" w14:textId="77777777" w:rsidR="00F67E9E" w:rsidRPr="001C37C6" w:rsidRDefault="00F67E9E" w:rsidP="007F74AA">
            <w:pPr>
              <w:pStyle w:val="TableText"/>
              <w:spacing w:before="60" w:after="60"/>
            </w:pPr>
          </w:p>
        </w:tc>
        <w:tc>
          <w:tcPr>
            <w:tcW w:w="5953" w:type="dxa"/>
          </w:tcPr>
          <w:p w14:paraId="47D68D08" w14:textId="77777777" w:rsidR="00F67E9E" w:rsidRPr="001C37C6" w:rsidRDefault="00F67E9E" w:rsidP="007F74AA">
            <w:pPr>
              <w:pStyle w:val="TableText"/>
              <w:spacing w:before="60" w:after="60"/>
            </w:pPr>
          </w:p>
        </w:tc>
        <w:tc>
          <w:tcPr>
            <w:tcW w:w="2268" w:type="dxa"/>
          </w:tcPr>
          <w:p w14:paraId="0CED37F6" w14:textId="77777777" w:rsidR="00F67E9E" w:rsidRPr="001C37C6" w:rsidRDefault="00F67E9E" w:rsidP="007F74AA">
            <w:pPr>
              <w:pStyle w:val="TableText"/>
              <w:spacing w:before="60" w:after="60"/>
            </w:pPr>
          </w:p>
        </w:tc>
      </w:tr>
      <w:tr w:rsidR="00F67E9E" w:rsidRPr="001C37C6" w14:paraId="30FAEB7B" w14:textId="77777777" w:rsidTr="007F74AA">
        <w:tc>
          <w:tcPr>
            <w:tcW w:w="850" w:type="dxa"/>
          </w:tcPr>
          <w:p w14:paraId="2A8336F5" w14:textId="77777777" w:rsidR="00F67E9E" w:rsidRPr="0086575E" w:rsidRDefault="00F67E9E" w:rsidP="007F74AA">
            <w:pPr>
              <w:pStyle w:val="ScheduleL1"/>
              <w:tabs>
                <w:tab w:val="num" w:pos="360"/>
              </w:tabs>
              <w:spacing w:before="60" w:after="60"/>
              <w:ind w:firstLine="0"/>
            </w:pPr>
          </w:p>
        </w:tc>
        <w:tc>
          <w:tcPr>
            <w:tcW w:w="1134" w:type="dxa"/>
          </w:tcPr>
          <w:p w14:paraId="06E02B07" w14:textId="77777777" w:rsidR="00F67E9E" w:rsidRPr="001C37C6" w:rsidRDefault="00F67E9E" w:rsidP="007F74AA">
            <w:pPr>
              <w:pStyle w:val="TableText"/>
              <w:spacing w:before="60" w:after="60"/>
            </w:pPr>
          </w:p>
        </w:tc>
        <w:tc>
          <w:tcPr>
            <w:tcW w:w="5953" w:type="dxa"/>
          </w:tcPr>
          <w:p w14:paraId="60DF4CBC" w14:textId="77777777" w:rsidR="00F67E9E" w:rsidRPr="001C37C6" w:rsidRDefault="00F67E9E" w:rsidP="007F74AA">
            <w:pPr>
              <w:pStyle w:val="TableText"/>
              <w:spacing w:before="60" w:after="60"/>
            </w:pPr>
          </w:p>
        </w:tc>
        <w:tc>
          <w:tcPr>
            <w:tcW w:w="2268" w:type="dxa"/>
          </w:tcPr>
          <w:p w14:paraId="718FB40B" w14:textId="77777777" w:rsidR="00F67E9E" w:rsidRPr="001C37C6" w:rsidRDefault="00F67E9E" w:rsidP="007F74AA">
            <w:pPr>
              <w:pStyle w:val="TableText"/>
              <w:spacing w:before="60" w:after="60"/>
            </w:pPr>
          </w:p>
        </w:tc>
      </w:tr>
      <w:tr w:rsidR="00F67E9E" w:rsidRPr="001C37C6" w14:paraId="05C589F4" w14:textId="77777777" w:rsidTr="007F74AA">
        <w:tc>
          <w:tcPr>
            <w:tcW w:w="850" w:type="dxa"/>
          </w:tcPr>
          <w:p w14:paraId="25288D4D" w14:textId="77777777" w:rsidR="00F67E9E" w:rsidRPr="0086575E" w:rsidRDefault="00F67E9E" w:rsidP="007F74AA">
            <w:pPr>
              <w:pStyle w:val="ScheduleL1"/>
              <w:tabs>
                <w:tab w:val="num" w:pos="360"/>
              </w:tabs>
              <w:spacing w:before="60" w:after="60"/>
              <w:ind w:firstLine="0"/>
            </w:pPr>
          </w:p>
        </w:tc>
        <w:tc>
          <w:tcPr>
            <w:tcW w:w="1134" w:type="dxa"/>
          </w:tcPr>
          <w:p w14:paraId="1FC17E9E" w14:textId="77777777" w:rsidR="00F67E9E" w:rsidRPr="001C37C6" w:rsidRDefault="00F67E9E" w:rsidP="007F74AA">
            <w:pPr>
              <w:pStyle w:val="TableText"/>
              <w:spacing w:before="60" w:after="60"/>
            </w:pPr>
          </w:p>
        </w:tc>
        <w:tc>
          <w:tcPr>
            <w:tcW w:w="5953" w:type="dxa"/>
          </w:tcPr>
          <w:p w14:paraId="5D233D5A" w14:textId="77777777" w:rsidR="00F67E9E" w:rsidRPr="001C37C6" w:rsidRDefault="00F67E9E" w:rsidP="007F74AA">
            <w:pPr>
              <w:pStyle w:val="TableText"/>
              <w:spacing w:before="60" w:after="60"/>
            </w:pPr>
          </w:p>
        </w:tc>
        <w:tc>
          <w:tcPr>
            <w:tcW w:w="2268" w:type="dxa"/>
          </w:tcPr>
          <w:p w14:paraId="2BF58A40" w14:textId="77777777" w:rsidR="00F67E9E" w:rsidRPr="001C37C6" w:rsidRDefault="00F67E9E" w:rsidP="007F74AA">
            <w:pPr>
              <w:pStyle w:val="TableText"/>
              <w:spacing w:before="60" w:after="60"/>
            </w:pPr>
          </w:p>
        </w:tc>
      </w:tr>
      <w:tr w:rsidR="00F67E9E" w:rsidRPr="001C37C6" w14:paraId="1D3022B7" w14:textId="77777777" w:rsidTr="007F74AA">
        <w:tc>
          <w:tcPr>
            <w:tcW w:w="850" w:type="dxa"/>
          </w:tcPr>
          <w:p w14:paraId="0649FACF" w14:textId="77777777" w:rsidR="00F67E9E" w:rsidRPr="0086575E" w:rsidRDefault="00F67E9E" w:rsidP="007F74AA">
            <w:pPr>
              <w:pStyle w:val="ScheduleL1"/>
              <w:tabs>
                <w:tab w:val="num" w:pos="360"/>
              </w:tabs>
              <w:spacing w:before="60" w:after="60"/>
              <w:ind w:firstLine="0"/>
            </w:pPr>
          </w:p>
        </w:tc>
        <w:tc>
          <w:tcPr>
            <w:tcW w:w="1134" w:type="dxa"/>
          </w:tcPr>
          <w:p w14:paraId="5F278E45" w14:textId="77777777" w:rsidR="00F67E9E" w:rsidRPr="001C37C6" w:rsidRDefault="00F67E9E" w:rsidP="007F74AA">
            <w:pPr>
              <w:pStyle w:val="TableText"/>
              <w:spacing w:before="60" w:after="60"/>
            </w:pPr>
          </w:p>
        </w:tc>
        <w:tc>
          <w:tcPr>
            <w:tcW w:w="5953" w:type="dxa"/>
          </w:tcPr>
          <w:p w14:paraId="0B89DA51" w14:textId="77777777" w:rsidR="00F67E9E" w:rsidRPr="001C37C6" w:rsidRDefault="00F67E9E" w:rsidP="007F74AA">
            <w:pPr>
              <w:pStyle w:val="TableText"/>
              <w:spacing w:before="60" w:after="60"/>
            </w:pPr>
          </w:p>
        </w:tc>
        <w:tc>
          <w:tcPr>
            <w:tcW w:w="2268" w:type="dxa"/>
          </w:tcPr>
          <w:p w14:paraId="42890275" w14:textId="77777777" w:rsidR="00F67E9E" w:rsidRPr="001C37C6" w:rsidRDefault="00F67E9E" w:rsidP="007F74AA">
            <w:pPr>
              <w:pStyle w:val="TableText"/>
              <w:spacing w:before="60" w:after="60"/>
            </w:pPr>
          </w:p>
        </w:tc>
      </w:tr>
      <w:tr w:rsidR="00F67E9E" w:rsidRPr="001C37C6" w14:paraId="5D7B0985" w14:textId="77777777" w:rsidTr="007F74AA">
        <w:tc>
          <w:tcPr>
            <w:tcW w:w="850" w:type="dxa"/>
          </w:tcPr>
          <w:p w14:paraId="5AB082A6" w14:textId="77777777" w:rsidR="00F67E9E" w:rsidRPr="0086575E" w:rsidRDefault="00F67E9E" w:rsidP="007F74AA">
            <w:pPr>
              <w:pStyle w:val="ScheduleL1"/>
              <w:tabs>
                <w:tab w:val="num" w:pos="360"/>
              </w:tabs>
              <w:spacing w:before="60" w:after="60"/>
              <w:ind w:firstLine="0"/>
            </w:pPr>
          </w:p>
        </w:tc>
        <w:tc>
          <w:tcPr>
            <w:tcW w:w="1134" w:type="dxa"/>
          </w:tcPr>
          <w:p w14:paraId="4090EEAD" w14:textId="77777777" w:rsidR="00F67E9E" w:rsidRPr="001C37C6" w:rsidRDefault="00F67E9E" w:rsidP="007F74AA">
            <w:pPr>
              <w:pStyle w:val="TableText"/>
              <w:spacing w:before="60" w:after="60"/>
            </w:pPr>
          </w:p>
        </w:tc>
        <w:tc>
          <w:tcPr>
            <w:tcW w:w="5953" w:type="dxa"/>
          </w:tcPr>
          <w:p w14:paraId="13212A8F" w14:textId="77777777" w:rsidR="00F67E9E" w:rsidRPr="001C37C6" w:rsidRDefault="00F67E9E" w:rsidP="007F74AA">
            <w:pPr>
              <w:pStyle w:val="TableText"/>
              <w:spacing w:before="60" w:after="60"/>
            </w:pPr>
          </w:p>
        </w:tc>
        <w:tc>
          <w:tcPr>
            <w:tcW w:w="2268" w:type="dxa"/>
          </w:tcPr>
          <w:p w14:paraId="7A6A5CE7" w14:textId="77777777" w:rsidR="00F67E9E" w:rsidRPr="001C37C6" w:rsidRDefault="00F67E9E" w:rsidP="007F74AA">
            <w:pPr>
              <w:pStyle w:val="TableText"/>
              <w:spacing w:before="60" w:after="60"/>
            </w:pPr>
          </w:p>
        </w:tc>
      </w:tr>
      <w:tr w:rsidR="00F67E9E" w:rsidRPr="001C37C6" w14:paraId="4733D7D2" w14:textId="77777777" w:rsidTr="007F74AA">
        <w:tc>
          <w:tcPr>
            <w:tcW w:w="850" w:type="dxa"/>
          </w:tcPr>
          <w:p w14:paraId="54291A0B" w14:textId="77777777" w:rsidR="00F67E9E" w:rsidRPr="0086575E" w:rsidRDefault="00F67E9E" w:rsidP="007F74AA">
            <w:pPr>
              <w:pStyle w:val="ScheduleL1"/>
              <w:tabs>
                <w:tab w:val="num" w:pos="360"/>
              </w:tabs>
              <w:spacing w:before="60" w:after="60"/>
              <w:ind w:firstLine="0"/>
            </w:pPr>
          </w:p>
        </w:tc>
        <w:tc>
          <w:tcPr>
            <w:tcW w:w="1134" w:type="dxa"/>
          </w:tcPr>
          <w:p w14:paraId="47D8F2F5" w14:textId="77777777" w:rsidR="00F67E9E" w:rsidRPr="001C37C6" w:rsidRDefault="00F67E9E" w:rsidP="007F74AA">
            <w:pPr>
              <w:pStyle w:val="TableText"/>
              <w:spacing w:before="60" w:after="60"/>
            </w:pPr>
          </w:p>
        </w:tc>
        <w:tc>
          <w:tcPr>
            <w:tcW w:w="5953" w:type="dxa"/>
          </w:tcPr>
          <w:p w14:paraId="68ED8E79" w14:textId="77777777" w:rsidR="00F67E9E" w:rsidRPr="001C37C6" w:rsidRDefault="00F67E9E" w:rsidP="007F74AA">
            <w:pPr>
              <w:pStyle w:val="TableText"/>
              <w:spacing w:before="60" w:after="60"/>
            </w:pPr>
          </w:p>
        </w:tc>
        <w:tc>
          <w:tcPr>
            <w:tcW w:w="2268" w:type="dxa"/>
          </w:tcPr>
          <w:p w14:paraId="7C7FA041" w14:textId="77777777" w:rsidR="00F67E9E" w:rsidRPr="001C37C6" w:rsidRDefault="00F67E9E" w:rsidP="007F74AA">
            <w:pPr>
              <w:pStyle w:val="TableText"/>
              <w:spacing w:before="60" w:after="60"/>
            </w:pPr>
          </w:p>
        </w:tc>
      </w:tr>
      <w:tr w:rsidR="00F67E9E" w:rsidRPr="001C37C6" w14:paraId="1AFFBA59" w14:textId="77777777" w:rsidTr="007F74AA">
        <w:tc>
          <w:tcPr>
            <w:tcW w:w="850" w:type="dxa"/>
          </w:tcPr>
          <w:p w14:paraId="2AEB7705" w14:textId="77777777" w:rsidR="00F67E9E" w:rsidRPr="0086575E" w:rsidRDefault="00F67E9E" w:rsidP="007F74AA">
            <w:pPr>
              <w:pStyle w:val="ScheduleL1"/>
              <w:tabs>
                <w:tab w:val="num" w:pos="360"/>
              </w:tabs>
              <w:spacing w:before="60" w:after="60"/>
              <w:ind w:firstLine="0"/>
            </w:pPr>
          </w:p>
        </w:tc>
        <w:tc>
          <w:tcPr>
            <w:tcW w:w="1134" w:type="dxa"/>
          </w:tcPr>
          <w:p w14:paraId="2641CB97" w14:textId="77777777" w:rsidR="00F67E9E" w:rsidRPr="001C37C6" w:rsidRDefault="00F67E9E" w:rsidP="007F74AA">
            <w:pPr>
              <w:pStyle w:val="TableText"/>
              <w:spacing w:before="60" w:after="60"/>
            </w:pPr>
          </w:p>
        </w:tc>
        <w:tc>
          <w:tcPr>
            <w:tcW w:w="5953" w:type="dxa"/>
          </w:tcPr>
          <w:p w14:paraId="452C325A" w14:textId="77777777" w:rsidR="00F67E9E" w:rsidRPr="001C37C6" w:rsidRDefault="00F67E9E" w:rsidP="007F74AA">
            <w:pPr>
              <w:pStyle w:val="TableText"/>
              <w:spacing w:before="60" w:after="60"/>
            </w:pPr>
          </w:p>
        </w:tc>
        <w:tc>
          <w:tcPr>
            <w:tcW w:w="2268" w:type="dxa"/>
          </w:tcPr>
          <w:p w14:paraId="4B948002" w14:textId="77777777" w:rsidR="00F67E9E" w:rsidRPr="001C37C6" w:rsidRDefault="00F67E9E" w:rsidP="007F74AA">
            <w:pPr>
              <w:pStyle w:val="TableText"/>
              <w:spacing w:before="60" w:after="60"/>
            </w:pPr>
          </w:p>
        </w:tc>
      </w:tr>
      <w:tr w:rsidR="00F67E9E" w:rsidRPr="001C37C6" w14:paraId="4B5EA48B" w14:textId="77777777" w:rsidTr="007F74AA">
        <w:tc>
          <w:tcPr>
            <w:tcW w:w="850" w:type="dxa"/>
          </w:tcPr>
          <w:p w14:paraId="5F9CB834" w14:textId="77777777" w:rsidR="00F67E9E" w:rsidRPr="0086575E" w:rsidRDefault="00F67E9E" w:rsidP="007F74AA">
            <w:pPr>
              <w:pStyle w:val="ScheduleL1"/>
              <w:tabs>
                <w:tab w:val="num" w:pos="360"/>
              </w:tabs>
              <w:spacing w:before="60" w:after="60"/>
              <w:ind w:firstLine="0"/>
            </w:pPr>
          </w:p>
        </w:tc>
        <w:tc>
          <w:tcPr>
            <w:tcW w:w="1134" w:type="dxa"/>
          </w:tcPr>
          <w:p w14:paraId="1A5394DC" w14:textId="77777777" w:rsidR="00F67E9E" w:rsidRPr="001C37C6" w:rsidRDefault="00F67E9E" w:rsidP="007F74AA">
            <w:pPr>
              <w:pStyle w:val="TableText"/>
              <w:spacing w:before="60" w:after="60"/>
            </w:pPr>
          </w:p>
        </w:tc>
        <w:tc>
          <w:tcPr>
            <w:tcW w:w="5953" w:type="dxa"/>
          </w:tcPr>
          <w:p w14:paraId="138279F7" w14:textId="77777777" w:rsidR="00F67E9E" w:rsidRPr="001C37C6" w:rsidRDefault="00F67E9E" w:rsidP="007F74AA">
            <w:pPr>
              <w:pStyle w:val="TableText"/>
              <w:spacing w:before="60" w:after="60"/>
            </w:pPr>
          </w:p>
        </w:tc>
        <w:tc>
          <w:tcPr>
            <w:tcW w:w="2268" w:type="dxa"/>
          </w:tcPr>
          <w:p w14:paraId="0F8DBB7F" w14:textId="77777777" w:rsidR="00F67E9E" w:rsidRPr="001C37C6" w:rsidRDefault="00F67E9E" w:rsidP="007F74AA">
            <w:pPr>
              <w:pStyle w:val="TableText"/>
              <w:spacing w:before="60" w:after="60"/>
            </w:pPr>
          </w:p>
        </w:tc>
      </w:tr>
    </w:tbl>
    <w:p w14:paraId="08DB4530" w14:textId="77777777" w:rsidR="00F67E9E" w:rsidRDefault="00F67E9E" w:rsidP="00F67E9E"/>
    <w:p w14:paraId="5EF9EA00" w14:textId="77777777" w:rsidR="00F67E9E" w:rsidRPr="00DF635B" w:rsidRDefault="00F67E9E" w:rsidP="00F67E9E"/>
    <w:p w14:paraId="3492D83E" w14:textId="77777777" w:rsidR="00F67E9E" w:rsidRDefault="00F67E9E" w:rsidP="00F67E9E">
      <w:pPr>
        <w:sectPr w:rsidR="00F67E9E" w:rsidSect="00240D26">
          <w:headerReference w:type="default" r:id="rId73"/>
          <w:footerReference w:type="default" r:id="rId74"/>
          <w:pgSz w:w="11900" w:h="16840" w:code="9"/>
          <w:pgMar w:top="1701" w:right="851" w:bottom="1134" w:left="851" w:header="567" w:footer="567" w:gutter="0"/>
          <w:cols w:space="720"/>
          <w:docGrid w:linePitch="360"/>
        </w:sectPr>
      </w:pPr>
    </w:p>
    <w:p w14:paraId="007E9EFD" w14:textId="77777777" w:rsidR="00F67E9E" w:rsidRPr="007C55B2" w:rsidRDefault="00F67E9E" w:rsidP="00F67E9E">
      <w:pPr>
        <w:pStyle w:val="Dividername"/>
      </w:pPr>
      <w:r w:rsidRPr="007C55B2">
        <w:t>Schedule</w:t>
      </w:r>
      <w:r>
        <w:t> </w:t>
      </w:r>
      <w:r w:rsidRPr="007C55B2">
        <w:t>10</w:t>
      </w:r>
    </w:p>
    <w:p w14:paraId="14A608EF" w14:textId="77777777" w:rsidR="00F67E9E" w:rsidRPr="007C55B2" w:rsidRDefault="00F67E9E" w:rsidP="00F67E9E">
      <w:pPr>
        <w:pStyle w:val="Dividername"/>
      </w:pPr>
      <w:r w:rsidRPr="007C55B2">
        <w:t>Notified Key Sub-Contractors</w:t>
      </w:r>
    </w:p>
    <w:p w14:paraId="40B17511" w14:textId="77777777" w:rsidR="00F67E9E" w:rsidRDefault="00F67E9E" w:rsidP="00F67E9E"/>
    <w:p w14:paraId="72E4F403" w14:textId="77777777" w:rsidR="00F67E9E" w:rsidRPr="005D0525" w:rsidRDefault="00F67E9E" w:rsidP="00F67E9E">
      <w:pPr>
        <w:pStyle w:val="Heading1"/>
      </w:pPr>
      <w:bookmarkStart w:id="796" w:name="Schedule10"/>
      <w:bookmarkStart w:id="797" w:name="_Ref92199913"/>
      <w:bookmarkStart w:id="798" w:name="_Toc141711926"/>
      <w:r w:rsidRPr="005D0525">
        <w:t>Schedule</w:t>
      </w:r>
      <w:r>
        <w:t> </w:t>
      </w:r>
      <w:r w:rsidRPr="005D0525">
        <w:t>10</w:t>
      </w:r>
      <w:bookmarkEnd w:id="796"/>
      <w:r>
        <w:t xml:space="preserve">: </w:t>
      </w:r>
      <w:bookmarkStart w:id="799" w:name="Schedule10Heading"/>
      <w:r w:rsidRPr="00F97284">
        <w:t>Notified Key Sub-Contractors</w:t>
      </w:r>
      <w:bookmarkEnd w:id="797"/>
      <w:bookmarkEnd w:id="798"/>
      <w:bookmarkEnd w:id="799"/>
    </w:p>
    <w:p w14:paraId="54720FB9" w14:textId="77777777" w:rsidR="00F67E9E" w:rsidRPr="00923EB2" w:rsidRDefault="00F67E9E" w:rsidP="00F67E9E">
      <w:pPr>
        <w:pStyle w:val="AppendixText1"/>
        <w:numPr>
          <w:ilvl w:val="0"/>
          <w:numId w:val="125"/>
        </w:numPr>
        <w:tabs>
          <w:tab w:val="clear" w:pos="720"/>
          <w:tab w:val="num" w:pos="1080"/>
        </w:tabs>
        <w:rPr>
          <w:b w:val="0"/>
          <w:bCs/>
        </w:rPr>
      </w:pPr>
      <w:r w:rsidRPr="00923EB2">
        <w:rPr>
          <w:b w:val="0"/>
          <w:bCs/>
        </w:rPr>
        <w:t xml:space="preserve">In accordance with </w:t>
      </w:r>
      <w:bookmarkStart w:id="800" w:name="_9kR3WTr2CC5ADMChrAv5KR"/>
      <w:r w:rsidRPr="00923EB2">
        <w:rPr>
          <w:b w:val="0"/>
          <w:bCs/>
        </w:rPr>
        <w:t>Clause 15.11</w:t>
      </w:r>
      <w:bookmarkEnd w:id="800"/>
      <w:r w:rsidRPr="00923EB2">
        <w:rPr>
          <w:b w:val="0"/>
          <w:bCs/>
        </w:rPr>
        <w:t xml:space="preserve"> (</w:t>
      </w:r>
      <w:r w:rsidRPr="00686548">
        <w:rPr>
          <w:b w:val="0"/>
          <w:bCs/>
          <w:i/>
          <w:iCs/>
        </w:rPr>
        <w:t>Appointment of Key Sub-contractors</w:t>
      </w:r>
      <w:r w:rsidRPr="00923EB2">
        <w:rPr>
          <w:b w:val="0"/>
          <w:bCs/>
        </w:rPr>
        <w:t>), the Supplier is entitled to sub-contract its obligations under this Contract to the Key Sub-contractors listed in the table below.</w:t>
      </w:r>
    </w:p>
    <w:p w14:paraId="36D21721" w14:textId="77777777" w:rsidR="00F67E9E" w:rsidRPr="00621420" w:rsidRDefault="00F67E9E" w:rsidP="00F67E9E">
      <w:pPr>
        <w:pStyle w:val="AppendixText1"/>
        <w:keepNext w:val="0"/>
        <w:numPr>
          <w:ilvl w:val="0"/>
          <w:numId w:val="124"/>
        </w:numPr>
        <w:tabs>
          <w:tab w:val="clear" w:pos="720"/>
          <w:tab w:val="num" w:pos="1080"/>
        </w:tabs>
        <w:rPr>
          <w:b w:val="0"/>
          <w:bCs/>
        </w:rPr>
      </w:pPr>
      <w:r w:rsidRPr="00923EB2">
        <w:rPr>
          <w:b w:val="0"/>
          <w:bCs/>
        </w:rPr>
        <w:t>The Parties agree that they will update this Schedule periodically to record any Key Sub-contractors appointed by the Supplier with the consent of the Authority after the Effective Date for the purposes of the delivery of the Services.</w:t>
      </w:r>
    </w:p>
    <w:tbl>
      <w:tblPr>
        <w:tblStyle w:val="MSATable-header"/>
        <w:tblW w:w="0" w:type="auto"/>
        <w:tblLook w:val="04A0" w:firstRow="1" w:lastRow="0" w:firstColumn="1" w:lastColumn="0" w:noHBand="0" w:noVBand="1"/>
      </w:tblPr>
      <w:tblGrid>
        <w:gridCol w:w="1867"/>
        <w:gridCol w:w="1509"/>
        <w:gridCol w:w="1928"/>
        <w:gridCol w:w="1867"/>
        <w:gridCol w:w="1508"/>
        <w:gridCol w:w="1509"/>
      </w:tblGrid>
      <w:tr w:rsidR="00F67E9E" w:rsidRPr="00F13226" w14:paraId="6344CCE5" w14:textId="77777777" w:rsidTr="007F74AA">
        <w:trPr>
          <w:cnfStyle w:val="100000000000" w:firstRow="1" w:lastRow="0" w:firstColumn="0" w:lastColumn="0" w:oddVBand="0" w:evenVBand="0" w:oddHBand="0" w:evenHBand="0" w:firstRowFirstColumn="0" w:firstRowLastColumn="0" w:lastRowFirstColumn="0" w:lastRowLastColumn="0"/>
          <w:tblHeader/>
        </w:trPr>
        <w:tc>
          <w:tcPr>
            <w:tcW w:w="1871" w:type="dxa"/>
            <w:vAlign w:val="bottom"/>
          </w:tcPr>
          <w:p w14:paraId="34CE2E8C" w14:textId="77777777" w:rsidR="00F67E9E" w:rsidRPr="00560BA2" w:rsidRDefault="00F67E9E" w:rsidP="007F74AA">
            <w:pPr>
              <w:pStyle w:val="StdBodyText"/>
              <w:spacing w:before="0" w:after="0"/>
              <w:rPr>
                <w:rFonts w:cs="Arial"/>
              </w:rPr>
            </w:pPr>
            <w:r w:rsidRPr="00560BA2">
              <w:rPr>
                <w:rFonts w:cs="Arial"/>
              </w:rPr>
              <w:t>Key Sub-contractor name and address (if not the same as the registered office)</w:t>
            </w:r>
          </w:p>
        </w:tc>
        <w:tc>
          <w:tcPr>
            <w:tcW w:w="1510" w:type="dxa"/>
            <w:vAlign w:val="bottom"/>
          </w:tcPr>
          <w:p w14:paraId="64DC775D" w14:textId="77777777" w:rsidR="00F67E9E" w:rsidRPr="00560BA2" w:rsidRDefault="00F67E9E" w:rsidP="007F74AA">
            <w:pPr>
              <w:pStyle w:val="StdBodyText"/>
              <w:spacing w:before="0" w:after="0"/>
              <w:rPr>
                <w:rFonts w:cs="Arial"/>
              </w:rPr>
            </w:pPr>
            <w:r w:rsidRPr="00560BA2">
              <w:rPr>
                <w:rFonts w:cs="Arial"/>
              </w:rPr>
              <w:t>Registered office and company number</w:t>
            </w:r>
          </w:p>
        </w:tc>
        <w:tc>
          <w:tcPr>
            <w:tcW w:w="1884" w:type="dxa"/>
            <w:vAlign w:val="bottom"/>
          </w:tcPr>
          <w:p w14:paraId="78DC2810" w14:textId="77777777" w:rsidR="00F67E9E" w:rsidRPr="00560BA2" w:rsidRDefault="00F67E9E" w:rsidP="007F74AA">
            <w:pPr>
              <w:pStyle w:val="StdBodyText"/>
              <w:spacing w:before="0" w:after="0"/>
              <w:rPr>
                <w:rFonts w:cs="Arial"/>
              </w:rPr>
            </w:pPr>
            <w:r w:rsidRPr="00560BA2">
              <w:rPr>
                <w:rFonts w:cs="Arial"/>
              </w:rPr>
              <w:t>Related product/Service description</w:t>
            </w:r>
          </w:p>
        </w:tc>
        <w:tc>
          <w:tcPr>
            <w:tcW w:w="1871" w:type="dxa"/>
            <w:vAlign w:val="bottom"/>
          </w:tcPr>
          <w:p w14:paraId="30F9E2A1" w14:textId="77777777" w:rsidR="00F67E9E" w:rsidRPr="00560BA2" w:rsidRDefault="00F67E9E" w:rsidP="007F74AA">
            <w:pPr>
              <w:pStyle w:val="StdBodyText"/>
              <w:spacing w:before="0" w:after="0"/>
              <w:rPr>
                <w:rFonts w:cs="Arial"/>
              </w:rPr>
            </w:pPr>
            <w:r w:rsidRPr="00560BA2">
              <w:rPr>
                <w:rFonts w:cs="Arial"/>
              </w:rPr>
              <w:t>Key Sub-contract price expressed as a percentage of total projected Charges over the Term</w:t>
            </w:r>
          </w:p>
        </w:tc>
        <w:tc>
          <w:tcPr>
            <w:tcW w:w="1511" w:type="dxa"/>
            <w:vAlign w:val="bottom"/>
          </w:tcPr>
          <w:p w14:paraId="7D77F4DB" w14:textId="77777777" w:rsidR="00F67E9E" w:rsidRPr="00560BA2" w:rsidRDefault="00F67E9E" w:rsidP="007F74AA">
            <w:pPr>
              <w:pStyle w:val="StdBodyText"/>
              <w:spacing w:before="0" w:after="0"/>
              <w:rPr>
                <w:rFonts w:cs="Arial"/>
              </w:rPr>
            </w:pPr>
            <w:r w:rsidRPr="00560BA2">
              <w:rPr>
                <w:rFonts w:cs="Arial"/>
              </w:rPr>
              <w:t>Key role in delivery of the Services</w:t>
            </w:r>
          </w:p>
        </w:tc>
        <w:tc>
          <w:tcPr>
            <w:tcW w:w="1511" w:type="dxa"/>
            <w:vAlign w:val="bottom"/>
          </w:tcPr>
          <w:p w14:paraId="7DF96280" w14:textId="77777777" w:rsidR="00F67E9E" w:rsidRPr="00F13226" w:rsidRDefault="00F67E9E" w:rsidP="007F74AA">
            <w:pPr>
              <w:pStyle w:val="StdBodyText"/>
              <w:spacing w:before="0" w:after="0"/>
              <w:rPr>
                <w:rFonts w:cs="Arial"/>
              </w:rPr>
            </w:pPr>
            <w:r w:rsidRPr="00560BA2">
              <w:rPr>
                <w:rFonts w:cs="Arial"/>
              </w:rPr>
              <w:t>Credit Rating Threshold</w:t>
            </w:r>
          </w:p>
        </w:tc>
      </w:tr>
      <w:tr w:rsidR="00F67E9E" w:rsidRPr="00F13226" w14:paraId="50531439" w14:textId="77777777" w:rsidTr="007F74AA">
        <w:tc>
          <w:tcPr>
            <w:tcW w:w="1871" w:type="dxa"/>
          </w:tcPr>
          <w:p w14:paraId="61756BE5" w14:textId="77777777" w:rsidR="00F67E9E" w:rsidRPr="00F13226" w:rsidRDefault="00F67E9E" w:rsidP="007F74AA">
            <w:pPr>
              <w:pStyle w:val="StdBodyText"/>
              <w:spacing w:before="0" w:after="0"/>
              <w:rPr>
                <w:rFonts w:cs="Arial"/>
              </w:rPr>
            </w:pPr>
          </w:p>
        </w:tc>
        <w:tc>
          <w:tcPr>
            <w:tcW w:w="1510" w:type="dxa"/>
          </w:tcPr>
          <w:p w14:paraId="70B90FF2" w14:textId="77777777" w:rsidR="00F67E9E" w:rsidRPr="00F13226" w:rsidRDefault="00F67E9E" w:rsidP="007F74AA">
            <w:pPr>
              <w:pStyle w:val="StdBodyText"/>
              <w:spacing w:before="0" w:after="0"/>
              <w:rPr>
                <w:rFonts w:cs="Arial"/>
              </w:rPr>
            </w:pPr>
          </w:p>
        </w:tc>
        <w:tc>
          <w:tcPr>
            <w:tcW w:w="1884" w:type="dxa"/>
          </w:tcPr>
          <w:p w14:paraId="06A5BC5D" w14:textId="77777777" w:rsidR="00F67E9E" w:rsidRPr="00F13226" w:rsidRDefault="00F67E9E" w:rsidP="007F74AA">
            <w:pPr>
              <w:pStyle w:val="StdBodyText"/>
              <w:spacing w:before="0" w:after="0"/>
              <w:rPr>
                <w:rFonts w:cs="Arial"/>
              </w:rPr>
            </w:pPr>
          </w:p>
        </w:tc>
        <w:tc>
          <w:tcPr>
            <w:tcW w:w="1871" w:type="dxa"/>
          </w:tcPr>
          <w:p w14:paraId="1F380298" w14:textId="77777777" w:rsidR="00F67E9E" w:rsidRPr="00F13226" w:rsidRDefault="00F67E9E" w:rsidP="007F74AA">
            <w:pPr>
              <w:pStyle w:val="StdBodyText"/>
              <w:spacing w:before="0" w:after="0"/>
              <w:rPr>
                <w:rFonts w:cs="Arial"/>
              </w:rPr>
            </w:pPr>
          </w:p>
        </w:tc>
        <w:tc>
          <w:tcPr>
            <w:tcW w:w="1511" w:type="dxa"/>
            <w:shd w:val="clear" w:color="auto" w:fill="F0F0F0"/>
          </w:tcPr>
          <w:p w14:paraId="42C84DA5" w14:textId="77777777" w:rsidR="00F67E9E" w:rsidRPr="00F13226" w:rsidRDefault="00F67E9E" w:rsidP="007F74AA">
            <w:pPr>
              <w:pStyle w:val="StdBodyText"/>
              <w:spacing w:before="0" w:after="0"/>
              <w:rPr>
                <w:rFonts w:cs="Arial"/>
              </w:rPr>
            </w:pPr>
          </w:p>
        </w:tc>
        <w:tc>
          <w:tcPr>
            <w:tcW w:w="1511" w:type="dxa"/>
            <w:shd w:val="clear" w:color="auto" w:fill="F0F0F0"/>
          </w:tcPr>
          <w:p w14:paraId="19579746" w14:textId="77777777" w:rsidR="00F67E9E" w:rsidRPr="00F13226" w:rsidRDefault="00F67E9E" w:rsidP="007F74AA">
            <w:pPr>
              <w:pStyle w:val="StdBodyText"/>
              <w:spacing w:before="0" w:after="0"/>
              <w:rPr>
                <w:rFonts w:cs="Arial"/>
              </w:rPr>
            </w:pPr>
            <w:r w:rsidRPr="00F13226">
              <w:rPr>
                <w:rFonts w:cs="Arial"/>
                <w:highlight w:val="yellow"/>
              </w:rPr>
              <w:t>[Level 1]</w:t>
            </w:r>
          </w:p>
        </w:tc>
      </w:tr>
      <w:tr w:rsidR="00F67E9E" w:rsidRPr="00F13226" w14:paraId="3C850A1B" w14:textId="77777777" w:rsidTr="007F74AA">
        <w:tc>
          <w:tcPr>
            <w:tcW w:w="1871" w:type="dxa"/>
          </w:tcPr>
          <w:p w14:paraId="1E3BA69A" w14:textId="77777777" w:rsidR="00F67E9E" w:rsidRPr="00F13226" w:rsidRDefault="00F67E9E" w:rsidP="007F74AA">
            <w:pPr>
              <w:pStyle w:val="StdBodyText"/>
              <w:spacing w:before="0" w:after="0"/>
              <w:rPr>
                <w:rFonts w:cs="Arial"/>
              </w:rPr>
            </w:pPr>
          </w:p>
        </w:tc>
        <w:tc>
          <w:tcPr>
            <w:tcW w:w="1510" w:type="dxa"/>
          </w:tcPr>
          <w:p w14:paraId="717317E4" w14:textId="77777777" w:rsidR="00F67E9E" w:rsidRPr="00F13226" w:rsidRDefault="00F67E9E" w:rsidP="007F74AA">
            <w:pPr>
              <w:pStyle w:val="StdBodyText"/>
              <w:spacing w:before="0" w:after="0"/>
              <w:rPr>
                <w:rFonts w:cs="Arial"/>
              </w:rPr>
            </w:pPr>
          </w:p>
        </w:tc>
        <w:tc>
          <w:tcPr>
            <w:tcW w:w="1884" w:type="dxa"/>
          </w:tcPr>
          <w:p w14:paraId="67687DA3" w14:textId="77777777" w:rsidR="00F67E9E" w:rsidRPr="00F13226" w:rsidRDefault="00F67E9E" w:rsidP="007F74AA">
            <w:pPr>
              <w:pStyle w:val="StdBodyText"/>
              <w:spacing w:before="0" w:after="0"/>
              <w:rPr>
                <w:rFonts w:cs="Arial"/>
              </w:rPr>
            </w:pPr>
          </w:p>
        </w:tc>
        <w:tc>
          <w:tcPr>
            <w:tcW w:w="1871" w:type="dxa"/>
          </w:tcPr>
          <w:p w14:paraId="2EA8C124" w14:textId="77777777" w:rsidR="00F67E9E" w:rsidRPr="00F13226" w:rsidRDefault="00F67E9E" w:rsidP="007F74AA">
            <w:pPr>
              <w:pStyle w:val="StdBodyText"/>
              <w:spacing w:before="0" w:after="0"/>
              <w:rPr>
                <w:rFonts w:cs="Arial"/>
              </w:rPr>
            </w:pPr>
          </w:p>
        </w:tc>
        <w:tc>
          <w:tcPr>
            <w:tcW w:w="1511" w:type="dxa"/>
            <w:shd w:val="clear" w:color="auto" w:fill="F0F0F0"/>
          </w:tcPr>
          <w:p w14:paraId="1B063D46" w14:textId="77777777" w:rsidR="00F67E9E" w:rsidRPr="00F13226" w:rsidRDefault="00F67E9E" w:rsidP="007F74AA">
            <w:pPr>
              <w:pStyle w:val="StdBodyText"/>
              <w:spacing w:before="0" w:after="0"/>
              <w:rPr>
                <w:rFonts w:cs="Arial"/>
              </w:rPr>
            </w:pPr>
          </w:p>
        </w:tc>
        <w:tc>
          <w:tcPr>
            <w:tcW w:w="1511" w:type="dxa"/>
            <w:shd w:val="clear" w:color="auto" w:fill="F0F0F0"/>
          </w:tcPr>
          <w:p w14:paraId="59696CF0" w14:textId="77777777" w:rsidR="00F67E9E" w:rsidRPr="00F13226" w:rsidRDefault="00F67E9E" w:rsidP="007F74AA">
            <w:pPr>
              <w:pStyle w:val="StdBodyText"/>
              <w:spacing w:before="0" w:after="0"/>
              <w:rPr>
                <w:rFonts w:cs="Arial"/>
              </w:rPr>
            </w:pPr>
          </w:p>
        </w:tc>
      </w:tr>
      <w:tr w:rsidR="00F67E9E" w:rsidRPr="00F13226" w14:paraId="12FC0FFB" w14:textId="77777777" w:rsidTr="007F74AA">
        <w:tc>
          <w:tcPr>
            <w:tcW w:w="1871" w:type="dxa"/>
          </w:tcPr>
          <w:p w14:paraId="56E17C42" w14:textId="77777777" w:rsidR="00F67E9E" w:rsidRPr="00F13226" w:rsidRDefault="00F67E9E" w:rsidP="007F74AA">
            <w:pPr>
              <w:pStyle w:val="StdBodyText"/>
              <w:spacing w:before="0" w:after="0"/>
              <w:rPr>
                <w:rFonts w:cs="Arial"/>
              </w:rPr>
            </w:pPr>
          </w:p>
        </w:tc>
        <w:tc>
          <w:tcPr>
            <w:tcW w:w="1510" w:type="dxa"/>
          </w:tcPr>
          <w:p w14:paraId="2368D0A3" w14:textId="77777777" w:rsidR="00F67E9E" w:rsidRPr="00F13226" w:rsidRDefault="00F67E9E" w:rsidP="007F74AA">
            <w:pPr>
              <w:pStyle w:val="StdBodyText"/>
              <w:spacing w:before="0" w:after="0"/>
              <w:rPr>
                <w:rFonts w:cs="Arial"/>
              </w:rPr>
            </w:pPr>
          </w:p>
        </w:tc>
        <w:tc>
          <w:tcPr>
            <w:tcW w:w="1884" w:type="dxa"/>
          </w:tcPr>
          <w:p w14:paraId="0718BCD5" w14:textId="77777777" w:rsidR="00F67E9E" w:rsidRPr="00F13226" w:rsidRDefault="00F67E9E" w:rsidP="007F74AA">
            <w:pPr>
              <w:pStyle w:val="StdBodyText"/>
              <w:spacing w:before="0" w:after="0"/>
              <w:rPr>
                <w:rFonts w:cs="Arial"/>
              </w:rPr>
            </w:pPr>
          </w:p>
        </w:tc>
        <w:tc>
          <w:tcPr>
            <w:tcW w:w="1871" w:type="dxa"/>
          </w:tcPr>
          <w:p w14:paraId="5B10F305" w14:textId="77777777" w:rsidR="00F67E9E" w:rsidRPr="00F13226" w:rsidRDefault="00F67E9E" w:rsidP="007F74AA">
            <w:pPr>
              <w:pStyle w:val="StdBodyText"/>
              <w:spacing w:before="0" w:after="0"/>
              <w:rPr>
                <w:rFonts w:cs="Arial"/>
              </w:rPr>
            </w:pPr>
          </w:p>
        </w:tc>
        <w:tc>
          <w:tcPr>
            <w:tcW w:w="1511" w:type="dxa"/>
            <w:shd w:val="clear" w:color="auto" w:fill="F0F0F0"/>
          </w:tcPr>
          <w:p w14:paraId="3447F723" w14:textId="77777777" w:rsidR="00F67E9E" w:rsidRPr="00F13226" w:rsidRDefault="00F67E9E" w:rsidP="007F74AA">
            <w:pPr>
              <w:pStyle w:val="StdBodyText"/>
              <w:spacing w:before="0" w:after="0"/>
              <w:rPr>
                <w:rFonts w:cs="Arial"/>
              </w:rPr>
            </w:pPr>
          </w:p>
        </w:tc>
        <w:tc>
          <w:tcPr>
            <w:tcW w:w="1511" w:type="dxa"/>
            <w:shd w:val="clear" w:color="auto" w:fill="F0F0F0"/>
          </w:tcPr>
          <w:p w14:paraId="47E0B7E8" w14:textId="77777777" w:rsidR="00F67E9E" w:rsidRPr="00F13226" w:rsidRDefault="00F67E9E" w:rsidP="007F74AA">
            <w:pPr>
              <w:pStyle w:val="StdBodyText"/>
              <w:spacing w:before="0" w:after="0"/>
              <w:rPr>
                <w:rFonts w:cs="Arial"/>
              </w:rPr>
            </w:pPr>
          </w:p>
        </w:tc>
      </w:tr>
      <w:tr w:rsidR="00F67E9E" w:rsidRPr="00F13226" w14:paraId="7C07483C" w14:textId="77777777" w:rsidTr="007F74AA">
        <w:tc>
          <w:tcPr>
            <w:tcW w:w="1871" w:type="dxa"/>
          </w:tcPr>
          <w:p w14:paraId="6AFDDBB6" w14:textId="77777777" w:rsidR="00F67E9E" w:rsidRPr="00F13226" w:rsidRDefault="00F67E9E" w:rsidP="007F74AA">
            <w:pPr>
              <w:pStyle w:val="StdBodyText"/>
              <w:spacing w:before="0" w:after="0"/>
              <w:rPr>
                <w:rFonts w:cs="Arial"/>
              </w:rPr>
            </w:pPr>
          </w:p>
        </w:tc>
        <w:tc>
          <w:tcPr>
            <w:tcW w:w="1510" w:type="dxa"/>
          </w:tcPr>
          <w:p w14:paraId="27E2B28E" w14:textId="77777777" w:rsidR="00F67E9E" w:rsidRPr="00F13226" w:rsidRDefault="00F67E9E" w:rsidP="007F74AA">
            <w:pPr>
              <w:pStyle w:val="StdBodyText"/>
              <w:spacing w:before="0" w:after="0"/>
              <w:rPr>
                <w:rFonts w:cs="Arial"/>
              </w:rPr>
            </w:pPr>
          </w:p>
        </w:tc>
        <w:tc>
          <w:tcPr>
            <w:tcW w:w="1884" w:type="dxa"/>
          </w:tcPr>
          <w:p w14:paraId="3EE8B88B" w14:textId="77777777" w:rsidR="00F67E9E" w:rsidRPr="00F13226" w:rsidRDefault="00F67E9E" w:rsidP="007F74AA">
            <w:pPr>
              <w:pStyle w:val="StdBodyText"/>
              <w:spacing w:before="0" w:after="0"/>
              <w:rPr>
                <w:rFonts w:cs="Arial"/>
              </w:rPr>
            </w:pPr>
          </w:p>
        </w:tc>
        <w:tc>
          <w:tcPr>
            <w:tcW w:w="1871" w:type="dxa"/>
          </w:tcPr>
          <w:p w14:paraId="00FC86DD" w14:textId="77777777" w:rsidR="00F67E9E" w:rsidRPr="00F13226" w:rsidRDefault="00F67E9E" w:rsidP="007F74AA">
            <w:pPr>
              <w:pStyle w:val="StdBodyText"/>
              <w:spacing w:before="0" w:after="0"/>
              <w:rPr>
                <w:rFonts w:cs="Arial"/>
              </w:rPr>
            </w:pPr>
          </w:p>
        </w:tc>
        <w:tc>
          <w:tcPr>
            <w:tcW w:w="1511" w:type="dxa"/>
            <w:shd w:val="clear" w:color="auto" w:fill="F0F0F0"/>
          </w:tcPr>
          <w:p w14:paraId="72CE8202" w14:textId="77777777" w:rsidR="00F67E9E" w:rsidRPr="00F13226" w:rsidRDefault="00F67E9E" w:rsidP="007F74AA">
            <w:pPr>
              <w:pStyle w:val="StdBodyText"/>
              <w:spacing w:before="0" w:after="0"/>
              <w:rPr>
                <w:rFonts w:cs="Arial"/>
              </w:rPr>
            </w:pPr>
          </w:p>
        </w:tc>
        <w:tc>
          <w:tcPr>
            <w:tcW w:w="1511" w:type="dxa"/>
            <w:shd w:val="clear" w:color="auto" w:fill="F0F0F0"/>
          </w:tcPr>
          <w:p w14:paraId="775E69A1" w14:textId="77777777" w:rsidR="00F67E9E" w:rsidRPr="00F13226" w:rsidRDefault="00F67E9E" w:rsidP="007F74AA">
            <w:pPr>
              <w:pStyle w:val="StdBodyText"/>
              <w:spacing w:before="0" w:after="0"/>
              <w:rPr>
                <w:rFonts w:cs="Arial"/>
              </w:rPr>
            </w:pPr>
          </w:p>
        </w:tc>
      </w:tr>
      <w:tr w:rsidR="00F67E9E" w:rsidRPr="00F13226" w14:paraId="321A7E73" w14:textId="77777777" w:rsidTr="007F74AA">
        <w:tc>
          <w:tcPr>
            <w:tcW w:w="1871" w:type="dxa"/>
          </w:tcPr>
          <w:p w14:paraId="3E6B24A7" w14:textId="77777777" w:rsidR="00F67E9E" w:rsidRPr="00F13226" w:rsidRDefault="00F67E9E" w:rsidP="007F74AA">
            <w:pPr>
              <w:pStyle w:val="StdBodyText"/>
              <w:spacing w:before="0" w:after="0"/>
              <w:rPr>
                <w:rFonts w:cs="Arial"/>
              </w:rPr>
            </w:pPr>
          </w:p>
        </w:tc>
        <w:tc>
          <w:tcPr>
            <w:tcW w:w="1510" w:type="dxa"/>
          </w:tcPr>
          <w:p w14:paraId="2F69E213" w14:textId="77777777" w:rsidR="00F67E9E" w:rsidRPr="00F13226" w:rsidRDefault="00F67E9E" w:rsidP="007F74AA">
            <w:pPr>
              <w:pStyle w:val="StdBodyText"/>
              <w:spacing w:before="0" w:after="0"/>
              <w:rPr>
                <w:rFonts w:cs="Arial"/>
              </w:rPr>
            </w:pPr>
          </w:p>
        </w:tc>
        <w:tc>
          <w:tcPr>
            <w:tcW w:w="1884" w:type="dxa"/>
          </w:tcPr>
          <w:p w14:paraId="0C12D0B7" w14:textId="77777777" w:rsidR="00F67E9E" w:rsidRPr="00F13226" w:rsidRDefault="00F67E9E" w:rsidP="007F74AA">
            <w:pPr>
              <w:pStyle w:val="StdBodyText"/>
              <w:spacing w:before="0" w:after="0"/>
              <w:rPr>
                <w:rFonts w:cs="Arial"/>
              </w:rPr>
            </w:pPr>
          </w:p>
        </w:tc>
        <w:tc>
          <w:tcPr>
            <w:tcW w:w="1871" w:type="dxa"/>
          </w:tcPr>
          <w:p w14:paraId="48DDBFD7" w14:textId="77777777" w:rsidR="00F67E9E" w:rsidRPr="00F13226" w:rsidRDefault="00F67E9E" w:rsidP="007F74AA">
            <w:pPr>
              <w:pStyle w:val="StdBodyText"/>
              <w:spacing w:before="0" w:after="0"/>
              <w:rPr>
                <w:rFonts w:cs="Arial"/>
              </w:rPr>
            </w:pPr>
          </w:p>
        </w:tc>
        <w:tc>
          <w:tcPr>
            <w:tcW w:w="1511" w:type="dxa"/>
            <w:shd w:val="clear" w:color="auto" w:fill="F0F0F0"/>
          </w:tcPr>
          <w:p w14:paraId="7E158041" w14:textId="77777777" w:rsidR="00F67E9E" w:rsidRPr="00F13226" w:rsidRDefault="00F67E9E" w:rsidP="007F74AA">
            <w:pPr>
              <w:pStyle w:val="StdBodyText"/>
              <w:spacing w:before="0" w:after="0"/>
              <w:rPr>
                <w:rFonts w:cs="Arial"/>
              </w:rPr>
            </w:pPr>
          </w:p>
        </w:tc>
        <w:tc>
          <w:tcPr>
            <w:tcW w:w="1511" w:type="dxa"/>
            <w:shd w:val="clear" w:color="auto" w:fill="F0F0F0"/>
          </w:tcPr>
          <w:p w14:paraId="19E6460F" w14:textId="77777777" w:rsidR="00F67E9E" w:rsidRPr="00F13226" w:rsidRDefault="00F67E9E" w:rsidP="007F74AA">
            <w:pPr>
              <w:pStyle w:val="StdBodyText"/>
              <w:spacing w:before="0" w:after="0"/>
              <w:rPr>
                <w:rFonts w:cs="Arial"/>
              </w:rPr>
            </w:pPr>
          </w:p>
        </w:tc>
      </w:tr>
      <w:tr w:rsidR="00F67E9E" w:rsidRPr="00F13226" w14:paraId="79E9D170" w14:textId="77777777" w:rsidTr="007F74AA">
        <w:tc>
          <w:tcPr>
            <w:tcW w:w="1871" w:type="dxa"/>
          </w:tcPr>
          <w:p w14:paraId="3D71C2D1" w14:textId="77777777" w:rsidR="00F67E9E" w:rsidRPr="00F13226" w:rsidRDefault="00F67E9E" w:rsidP="007F74AA">
            <w:pPr>
              <w:pStyle w:val="StdBodyText"/>
              <w:spacing w:before="0" w:after="0"/>
              <w:rPr>
                <w:rFonts w:cs="Arial"/>
              </w:rPr>
            </w:pPr>
          </w:p>
        </w:tc>
        <w:tc>
          <w:tcPr>
            <w:tcW w:w="1510" w:type="dxa"/>
          </w:tcPr>
          <w:p w14:paraId="504B98E0" w14:textId="77777777" w:rsidR="00F67E9E" w:rsidRPr="00F13226" w:rsidRDefault="00F67E9E" w:rsidP="007F74AA">
            <w:pPr>
              <w:pStyle w:val="StdBodyText"/>
              <w:spacing w:before="0" w:after="0"/>
              <w:rPr>
                <w:rFonts w:cs="Arial"/>
              </w:rPr>
            </w:pPr>
          </w:p>
        </w:tc>
        <w:tc>
          <w:tcPr>
            <w:tcW w:w="1884" w:type="dxa"/>
          </w:tcPr>
          <w:p w14:paraId="7F34B81E" w14:textId="77777777" w:rsidR="00F67E9E" w:rsidRPr="00F13226" w:rsidRDefault="00F67E9E" w:rsidP="007F74AA">
            <w:pPr>
              <w:pStyle w:val="StdBodyText"/>
              <w:spacing w:before="0" w:after="0"/>
              <w:rPr>
                <w:rFonts w:cs="Arial"/>
              </w:rPr>
            </w:pPr>
          </w:p>
        </w:tc>
        <w:tc>
          <w:tcPr>
            <w:tcW w:w="1871" w:type="dxa"/>
          </w:tcPr>
          <w:p w14:paraId="24884293" w14:textId="77777777" w:rsidR="00F67E9E" w:rsidRPr="00F13226" w:rsidRDefault="00F67E9E" w:rsidP="007F74AA">
            <w:pPr>
              <w:pStyle w:val="StdBodyText"/>
              <w:spacing w:before="0" w:after="0"/>
              <w:rPr>
                <w:rFonts w:cs="Arial"/>
              </w:rPr>
            </w:pPr>
          </w:p>
        </w:tc>
        <w:tc>
          <w:tcPr>
            <w:tcW w:w="1511" w:type="dxa"/>
            <w:shd w:val="clear" w:color="auto" w:fill="F0F0F0"/>
          </w:tcPr>
          <w:p w14:paraId="1A6EB5A1" w14:textId="77777777" w:rsidR="00F67E9E" w:rsidRPr="00F13226" w:rsidRDefault="00F67E9E" w:rsidP="007F74AA">
            <w:pPr>
              <w:pStyle w:val="StdBodyText"/>
              <w:spacing w:before="0" w:after="0"/>
              <w:rPr>
                <w:rFonts w:cs="Arial"/>
              </w:rPr>
            </w:pPr>
          </w:p>
        </w:tc>
        <w:tc>
          <w:tcPr>
            <w:tcW w:w="1511" w:type="dxa"/>
            <w:shd w:val="clear" w:color="auto" w:fill="F0F0F0"/>
          </w:tcPr>
          <w:p w14:paraId="243AAC1E" w14:textId="77777777" w:rsidR="00F67E9E" w:rsidRPr="00F13226" w:rsidRDefault="00F67E9E" w:rsidP="007F74AA">
            <w:pPr>
              <w:pStyle w:val="StdBodyText"/>
              <w:spacing w:before="0" w:after="0"/>
              <w:rPr>
                <w:rFonts w:cs="Arial"/>
              </w:rPr>
            </w:pPr>
          </w:p>
        </w:tc>
      </w:tr>
    </w:tbl>
    <w:p w14:paraId="1A14AE06" w14:textId="77777777" w:rsidR="00F67E9E" w:rsidRDefault="00F67E9E" w:rsidP="00F67E9E"/>
    <w:p w14:paraId="2664EB3B" w14:textId="77777777" w:rsidR="00F67E9E" w:rsidRDefault="00F67E9E" w:rsidP="00F67E9E"/>
    <w:p w14:paraId="08A1021D" w14:textId="77777777" w:rsidR="00F67E9E" w:rsidRDefault="00F67E9E" w:rsidP="00F67E9E">
      <w:pPr>
        <w:sectPr w:rsidR="00F67E9E" w:rsidSect="00240D26">
          <w:headerReference w:type="default" r:id="rId75"/>
          <w:footerReference w:type="default" r:id="rId76"/>
          <w:pgSz w:w="11900" w:h="16840" w:code="9"/>
          <w:pgMar w:top="1701" w:right="851" w:bottom="1134" w:left="851" w:header="567" w:footer="567" w:gutter="0"/>
          <w:cols w:space="720"/>
          <w:docGrid w:linePitch="360"/>
        </w:sectPr>
      </w:pPr>
    </w:p>
    <w:p w14:paraId="23DAD78C" w14:textId="77777777" w:rsidR="00F67E9E" w:rsidRPr="007C55B2" w:rsidRDefault="00F67E9E" w:rsidP="00F67E9E">
      <w:pPr>
        <w:pStyle w:val="Dividername"/>
      </w:pPr>
      <w:r w:rsidRPr="007C55B2">
        <w:t>Schedule 11</w:t>
      </w:r>
    </w:p>
    <w:p w14:paraId="1D8BD480" w14:textId="77777777" w:rsidR="00F67E9E" w:rsidRPr="007C55B2" w:rsidRDefault="00F67E9E" w:rsidP="00F67E9E">
      <w:pPr>
        <w:pStyle w:val="Dividername"/>
      </w:pPr>
      <w:r w:rsidRPr="007C55B2">
        <w:t>Third Party Contracts</w:t>
      </w:r>
    </w:p>
    <w:p w14:paraId="186406A6" w14:textId="77777777" w:rsidR="00F67E9E" w:rsidRDefault="00F67E9E" w:rsidP="00F67E9E"/>
    <w:p w14:paraId="505FC11B" w14:textId="77777777" w:rsidR="00F67E9E" w:rsidRPr="005D0525" w:rsidRDefault="00F67E9E" w:rsidP="00F67E9E">
      <w:pPr>
        <w:pStyle w:val="Heading1"/>
      </w:pPr>
      <w:bookmarkStart w:id="801" w:name="Schedule11"/>
      <w:bookmarkStart w:id="802" w:name="_Ref92199924"/>
      <w:bookmarkStart w:id="803" w:name="_Toc141711927"/>
      <w:r w:rsidRPr="005D0525">
        <w:t>Schedule</w:t>
      </w:r>
      <w:r>
        <w:t> </w:t>
      </w:r>
      <w:bookmarkStart w:id="804" w:name="Sch11"/>
      <w:r w:rsidRPr="005D0525">
        <w:t>11</w:t>
      </w:r>
      <w:bookmarkEnd w:id="801"/>
      <w:bookmarkEnd w:id="804"/>
      <w:r>
        <w:t xml:space="preserve">: </w:t>
      </w:r>
      <w:bookmarkStart w:id="805" w:name="Schedule11Heading"/>
      <w:r w:rsidRPr="00F97284">
        <w:t>Third Party Contracts</w:t>
      </w:r>
      <w:bookmarkEnd w:id="802"/>
      <w:bookmarkEnd w:id="803"/>
      <w:bookmarkEnd w:id="805"/>
    </w:p>
    <w:p w14:paraId="0480087F" w14:textId="77777777" w:rsidR="00F67E9E" w:rsidRPr="00621420" w:rsidRDefault="00F67E9E" w:rsidP="00F67E9E">
      <w:pPr>
        <w:pStyle w:val="Numbered1"/>
        <w:numPr>
          <w:ilvl w:val="0"/>
          <w:numId w:val="53"/>
        </w:numPr>
        <w:tabs>
          <w:tab w:val="clear" w:pos="720"/>
          <w:tab w:val="num" w:pos="1080"/>
        </w:tabs>
        <w:rPr>
          <w:b w:val="0"/>
          <w:bCs w:val="0"/>
          <w:color w:val="auto"/>
        </w:rPr>
      </w:pPr>
      <w:bookmarkStart w:id="806" w:name="_Ref99010764"/>
      <w:r w:rsidRPr="00621420">
        <w:rPr>
          <w:b w:val="0"/>
          <w:bCs w:val="0"/>
          <w:color w:val="auto"/>
        </w:rPr>
        <w:t>The contracts listed in the table below constitute Third Party Contracts entered into exclusively for the purposes of delivering the Services.</w:t>
      </w:r>
      <w:bookmarkEnd w:id="806"/>
    </w:p>
    <w:p w14:paraId="3ED2A1E4" w14:textId="77777777" w:rsidR="00F67E9E" w:rsidRPr="00621420" w:rsidRDefault="00F67E9E" w:rsidP="00F67E9E">
      <w:pPr>
        <w:pStyle w:val="Numbered1"/>
        <w:numPr>
          <w:ilvl w:val="0"/>
          <w:numId w:val="53"/>
        </w:numPr>
        <w:tabs>
          <w:tab w:val="clear" w:pos="720"/>
          <w:tab w:val="num" w:pos="1080"/>
        </w:tabs>
        <w:rPr>
          <w:b w:val="0"/>
          <w:bCs w:val="0"/>
          <w:color w:val="auto"/>
        </w:rPr>
      </w:pPr>
      <w:r w:rsidRPr="00621420">
        <w:rPr>
          <w:b w:val="0"/>
          <w:bCs w:val="0"/>
          <w:color w:val="auto"/>
        </w:rPr>
        <w:t xml:space="preserve">The Supplier shall be entitled to update this Schedule in accordance with </w:t>
      </w:r>
      <w:bookmarkStart w:id="807" w:name="_9kMHG5YVtCIAFJCBGLkUmMXywxuEGFABL9EP7uu"/>
      <w:r w:rsidRPr="00621420">
        <w:rPr>
          <w:b w:val="0"/>
          <w:bCs w:val="0"/>
          <w:color w:val="auto"/>
        </w:rPr>
        <w:t>Clause 15.5</w:t>
      </w:r>
      <w:bookmarkEnd w:id="807"/>
      <w:r w:rsidRPr="00621420">
        <w:rPr>
          <w:b w:val="0"/>
          <w:bCs w:val="0"/>
          <w:color w:val="auto"/>
        </w:rPr>
        <w:t xml:space="preserve"> (</w:t>
      </w:r>
      <w:r w:rsidRPr="008F1C4B">
        <w:rPr>
          <w:b w:val="0"/>
          <w:bCs w:val="0"/>
          <w:i/>
          <w:color w:val="auto"/>
        </w:rPr>
        <w:t>Appointment of Sub-contractors</w:t>
      </w:r>
      <w:r w:rsidRPr="00621420">
        <w:rPr>
          <w:b w:val="0"/>
          <w:bCs w:val="0"/>
          <w:color w:val="auto"/>
        </w:rPr>
        <w:t>).</w:t>
      </w:r>
    </w:p>
    <w:tbl>
      <w:tblPr>
        <w:tblStyle w:val="MSATable-header"/>
        <w:tblW w:w="9638" w:type="dxa"/>
        <w:tblInd w:w="624" w:type="dxa"/>
        <w:tblLook w:val="04A0" w:firstRow="1" w:lastRow="0" w:firstColumn="1" w:lastColumn="0" w:noHBand="0" w:noVBand="1"/>
      </w:tblPr>
      <w:tblGrid>
        <w:gridCol w:w="3402"/>
        <w:gridCol w:w="3118"/>
        <w:gridCol w:w="3118"/>
      </w:tblGrid>
      <w:tr w:rsidR="00F67E9E" w:rsidRPr="005657AE" w14:paraId="0BCCB364" w14:textId="77777777" w:rsidTr="007F74AA">
        <w:trPr>
          <w:cnfStyle w:val="100000000000" w:firstRow="1" w:lastRow="0" w:firstColumn="0" w:lastColumn="0" w:oddVBand="0" w:evenVBand="0" w:oddHBand="0" w:evenHBand="0" w:firstRowFirstColumn="0" w:firstRowLastColumn="0" w:lastRowFirstColumn="0" w:lastRowLastColumn="0"/>
          <w:tblHeader/>
        </w:trPr>
        <w:tc>
          <w:tcPr>
            <w:tcW w:w="3402" w:type="dxa"/>
            <w:vAlign w:val="bottom"/>
          </w:tcPr>
          <w:p w14:paraId="319972AF" w14:textId="77777777" w:rsidR="00F67E9E" w:rsidRPr="005657AE" w:rsidRDefault="00F67E9E" w:rsidP="007F74AA">
            <w:pPr>
              <w:pStyle w:val="StdBodyText1"/>
              <w:spacing w:before="0" w:after="0"/>
              <w:ind w:left="0"/>
            </w:pPr>
            <w:r w:rsidRPr="005657AE">
              <w:t>Third party supplier name and address (if not the same as the registered office)</w:t>
            </w:r>
          </w:p>
        </w:tc>
        <w:tc>
          <w:tcPr>
            <w:tcW w:w="3118" w:type="dxa"/>
            <w:vAlign w:val="bottom"/>
          </w:tcPr>
          <w:p w14:paraId="66D168A8" w14:textId="77777777" w:rsidR="00F67E9E" w:rsidRPr="005657AE" w:rsidRDefault="00F67E9E" w:rsidP="007F74AA">
            <w:pPr>
              <w:pStyle w:val="StdBodyText1"/>
              <w:spacing w:before="0" w:after="0"/>
              <w:ind w:left="0"/>
            </w:pPr>
            <w:r w:rsidRPr="005657AE">
              <w:t>Registered office and company number</w:t>
            </w:r>
          </w:p>
        </w:tc>
        <w:tc>
          <w:tcPr>
            <w:tcW w:w="3118" w:type="dxa"/>
            <w:vAlign w:val="bottom"/>
          </w:tcPr>
          <w:p w14:paraId="0AA8E102" w14:textId="77777777" w:rsidR="00F67E9E" w:rsidRPr="005657AE" w:rsidRDefault="00F67E9E" w:rsidP="007F74AA">
            <w:pPr>
              <w:pStyle w:val="StdBodyText1"/>
              <w:spacing w:before="0" w:after="0"/>
              <w:ind w:left="0"/>
            </w:pPr>
            <w:r w:rsidRPr="005657AE">
              <w:t>Related product/service description</w:t>
            </w:r>
          </w:p>
        </w:tc>
      </w:tr>
      <w:tr w:rsidR="00F67E9E" w:rsidRPr="005657AE" w14:paraId="5ECC7CD0" w14:textId="77777777" w:rsidTr="007F74AA">
        <w:tc>
          <w:tcPr>
            <w:tcW w:w="3402" w:type="dxa"/>
          </w:tcPr>
          <w:p w14:paraId="470AB681" w14:textId="77777777" w:rsidR="00F67E9E" w:rsidRPr="005657AE" w:rsidRDefault="00F67E9E" w:rsidP="007F74AA">
            <w:pPr>
              <w:pStyle w:val="StdBodyText"/>
              <w:spacing w:before="0" w:after="0"/>
            </w:pPr>
          </w:p>
        </w:tc>
        <w:tc>
          <w:tcPr>
            <w:tcW w:w="3118" w:type="dxa"/>
          </w:tcPr>
          <w:p w14:paraId="01084F07" w14:textId="77777777" w:rsidR="00F67E9E" w:rsidRPr="005657AE" w:rsidRDefault="00F67E9E" w:rsidP="007F74AA">
            <w:pPr>
              <w:pStyle w:val="StdBodyText"/>
              <w:spacing w:before="0" w:after="0"/>
            </w:pPr>
          </w:p>
        </w:tc>
        <w:tc>
          <w:tcPr>
            <w:tcW w:w="3118" w:type="dxa"/>
          </w:tcPr>
          <w:p w14:paraId="36CC830E" w14:textId="77777777" w:rsidR="00F67E9E" w:rsidRPr="005657AE" w:rsidRDefault="00F67E9E" w:rsidP="007F74AA">
            <w:pPr>
              <w:pStyle w:val="StdBodyText"/>
              <w:spacing w:before="0" w:after="0"/>
            </w:pPr>
          </w:p>
        </w:tc>
      </w:tr>
      <w:tr w:rsidR="00F67E9E" w:rsidRPr="005657AE" w14:paraId="2D97F9C9" w14:textId="77777777" w:rsidTr="007F74AA">
        <w:tc>
          <w:tcPr>
            <w:tcW w:w="3402" w:type="dxa"/>
          </w:tcPr>
          <w:p w14:paraId="65DD1CDD" w14:textId="77777777" w:rsidR="00F67E9E" w:rsidRPr="005657AE" w:rsidRDefault="00F67E9E" w:rsidP="007F74AA">
            <w:pPr>
              <w:pStyle w:val="StdBodyText"/>
              <w:spacing w:before="0" w:after="0"/>
            </w:pPr>
          </w:p>
        </w:tc>
        <w:tc>
          <w:tcPr>
            <w:tcW w:w="3118" w:type="dxa"/>
          </w:tcPr>
          <w:p w14:paraId="6EA93A4D" w14:textId="77777777" w:rsidR="00F67E9E" w:rsidRPr="005657AE" w:rsidRDefault="00F67E9E" w:rsidP="007F74AA">
            <w:pPr>
              <w:pStyle w:val="StdBodyText"/>
              <w:spacing w:before="0" w:after="0"/>
            </w:pPr>
          </w:p>
        </w:tc>
        <w:tc>
          <w:tcPr>
            <w:tcW w:w="3118" w:type="dxa"/>
          </w:tcPr>
          <w:p w14:paraId="6D2E8B04" w14:textId="77777777" w:rsidR="00F67E9E" w:rsidRPr="005657AE" w:rsidRDefault="00F67E9E" w:rsidP="007F74AA">
            <w:pPr>
              <w:pStyle w:val="StdBodyText"/>
              <w:spacing w:before="0" w:after="0"/>
            </w:pPr>
          </w:p>
        </w:tc>
      </w:tr>
      <w:tr w:rsidR="00F67E9E" w:rsidRPr="005657AE" w14:paraId="0CDDBC09" w14:textId="77777777" w:rsidTr="007F74AA">
        <w:tc>
          <w:tcPr>
            <w:tcW w:w="3402" w:type="dxa"/>
          </w:tcPr>
          <w:p w14:paraId="3A566C10" w14:textId="77777777" w:rsidR="00F67E9E" w:rsidRPr="005657AE" w:rsidRDefault="00F67E9E" w:rsidP="007F74AA">
            <w:pPr>
              <w:pStyle w:val="StdBodyText"/>
              <w:spacing w:before="0" w:after="0"/>
            </w:pPr>
          </w:p>
        </w:tc>
        <w:tc>
          <w:tcPr>
            <w:tcW w:w="3118" w:type="dxa"/>
          </w:tcPr>
          <w:p w14:paraId="207C65B3" w14:textId="77777777" w:rsidR="00F67E9E" w:rsidRPr="005657AE" w:rsidRDefault="00F67E9E" w:rsidP="007F74AA">
            <w:pPr>
              <w:pStyle w:val="StdBodyText"/>
              <w:spacing w:before="0" w:after="0"/>
            </w:pPr>
          </w:p>
        </w:tc>
        <w:tc>
          <w:tcPr>
            <w:tcW w:w="3118" w:type="dxa"/>
          </w:tcPr>
          <w:p w14:paraId="5F564D3B" w14:textId="77777777" w:rsidR="00F67E9E" w:rsidRPr="005657AE" w:rsidRDefault="00F67E9E" w:rsidP="007F74AA">
            <w:pPr>
              <w:pStyle w:val="StdBodyText"/>
              <w:spacing w:before="0" w:after="0"/>
            </w:pPr>
          </w:p>
        </w:tc>
      </w:tr>
      <w:tr w:rsidR="00F67E9E" w:rsidRPr="005657AE" w14:paraId="6F75DE4C" w14:textId="77777777" w:rsidTr="007F74AA">
        <w:tc>
          <w:tcPr>
            <w:tcW w:w="3402" w:type="dxa"/>
          </w:tcPr>
          <w:p w14:paraId="31835274" w14:textId="77777777" w:rsidR="00F67E9E" w:rsidRPr="005657AE" w:rsidRDefault="00F67E9E" w:rsidP="007F74AA">
            <w:pPr>
              <w:pStyle w:val="StdBodyText"/>
              <w:spacing w:before="0" w:after="0"/>
            </w:pPr>
          </w:p>
        </w:tc>
        <w:tc>
          <w:tcPr>
            <w:tcW w:w="3118" w:type="dxa"/>
          </w:tcPr>
          <w:p w14:paraId="15FEF3ED" w14:textId="77777777" w:rsidR="00F67E9E" w:rsidRPr="005657AE" w:rsidRDefault="00F67E9E" w:rsidP="007F74AA">
            <w:pPr>
              <w:pStyle w:val="StdBodyText"/>
              <w:spacing w:before="0" w:after="0"/>
            </w:pPr>
          </w:p>
        </w:tc>
        <w:tc>
          <w:tcPr>
            <w:tcW w:w="3118" w:type="dxa"/>
          </w:tcPr>
          <w:p w14:paraId="70E07F05" w14:textId="77777777" w:rsidR="00F67E9E" w:rsidRPr="005657AE" w:rsidRDefault="00F67E9E" w:rsidP="007F74AA">
            <w:pPr>
              <w:pStyle w:val="StdBodyText"/>
              <w:spacing w:before="0" w:after="0"/>
            </w:pPr>
          </w:p>
        </w:tc>
      </w:tr>
      <w:tr w:rsidR="00F67E9E" w:rsidRPr="005657AE" w14:paraId="35BB126D" w14:textId="77777777" w:rsidTr="007F74AA">
        <w:tc>
          <w:tcPr>
            <w:tcW w:w="3402" w:type="dxa"/>
          </w:tcPr>
          <w:p w14:paraId="17DDF0A3" w14:textId="77777777" w:rsidR="00F67E9E" w:rsidRPr="005657AE" w:rsidRDefault="00F67E9E" w:rsidP="007F74AA">
            <w:pPr>
              <w:pStyle w:val="StdBodyText"/>
              <w:spacing w:before="0" w:after="0"/>
            </w:pPr>
          </w:p>
        </w:tc>
        <w:tc>
          <w:tcPr>
            <w:tcW w:w="3118" w:type="dxa"/>
          </w:tcPr>
          <w:p w14:paraId="38656DC3" w14:textId="77777777" w:rsidR="00F67E9E" w:rsidRPr="005657AE" w:rsidRDefault="00F67E9E" w:rsidP="007F74AA">
            <w:pPr>
              <w:pStyle w:val="StdBodyText"/>
              <w:spacing w:before="0" w:after="0"/>
            </w:pPr>
          </w:p>
        </w:tc>
        <w:tc>
          <w:tcPr>
            <w:tcW w:w="3118" w:type="dxa"/>
          </w:tcPr>
          <w:p w14:paraId="2630B5CC" w14:textId="77777777" w:rsidR="00F67E9E" w:rsidRPr="005657AE" w:rsidRDefault="00F67E9E" w:rsidP="007F74AA">
            <w:pPr>
              <w:pStyle w:val="StdBodyText"/>
              <w:spacing w:before="0" w:after="0"/>
            </w:pPr>
          </w:p>
        </w:tc>
      </w:tr>
      <w:tr w:rsidR="00F67E9E" w:rsidRPr="005657AE" w14:paraId="02AFF577" w14:textId="77777777" w:rsidTr="007F74AA">
        <w:tc>
          <w:tcPr>
            <w:tcW w:w="3402" w:type="dxa"/>
          </w:tcPr>
          <w:p w14:paraId="64BEA5BB" w14:textId="77777777" w:rsidR="00F67E9E" w:rsidRPr="005657AE" w:rsidRDefault="00F67E9E" w:rsidP="007F74AA">
            <w:pPr>
              <w:pStyle w:val="StdBodyText"/>
              <w:spacing w:before="0" w:after="0"/>
            </w:pPr>
          </w:p>
        </w:tc>
        <w:tc>
          <w:tcPr>
            <w:tcW w:w="3118" w:type="dxa"/>
          </w:tcPr>
          <w:p w14:paraId="00E8D160" w14:textId="77777777" w:rsidR="00F67E9E" w:rsidRPr="005657AE" w:rsidRDefault="00F67E9E" w:rsidP="007F74AA">
            <w:pPr>
              <w:pStyle w:val="StdBodyText"/>
              <w:spacing w:before="0" w:after="0"/>
            </w:pPr>
          </w:p>
        </w:tc>
        <w:tc>
          <w:tcPr>
            <w:tcW w:w="3118" w:type="dxa"/>
          </w:tcPr>
          <w:p w14:paraId="7EB50C90" w14:textId="77777777" w:rsidR="00F67E9E" w:rsidRPr="005657AE" w:rsidRDefault="00F67E9E" w:rsidP="007F74AA">
            <w:pPr>
              <w:pStyle w:val="StdBodyText"/>
              <w:spacing w:before="0" w:after="0"/>
            </w:pPr>
          </w:p>
        </w:tc>
      </w:tr>
      <w:tr w:rsidR="00F67E9E" w:rsidRPr="005657AE" w14:paraId="065B548C" w14:textId="77777777" w:rsidTr="007F74AA">
        <w:tc>
          <w:tcPr>
            <w:tcW w:w="3402" w:type="dxa"/>
          </w:tcPr>
          <w:p w14:paraId="33688CB4" w14:textId="77777777" w:rsidR="00F67E9E" w:rsidRPr="005657AE" w:rsidRDefault="00F67E9E" w:rsidP="007F74AA">
            <w:pPr>
              <w:pStyle w:val="StdBodyText"/>
              <w:spacing w:before="0" w:after="0"/>
            </w:pPr>
          </w:p>
        </w:tc>
        <w:tc>
          <w:tcPr>
            <w:tcW w:w="3118" w:type="dxa"/>
          </w:tcPr>
          <w:p w14:paraId="4CEAB141" w14:textId="77777777" w:rsidR="00F67E9E" w:rsidRPr="005657AE" w:rsidRDefault="00F67E9E" w:rsidP="007F74AA">
            <w:pPr>
              <w:pStyle w:val="StdBodyText"/>
              <w:spacing w:before="0" w:after="0"/>
            </w:pPr>
          </w:p>
        </w:tc>
        <w:tc>
          <w:tcPr>
            <w:tcW w:w="3118" w:type="dxa"/>
          </w:tcPr>
          <w:p w14:paraId="629EEF9D" w14:textId="77777777" w:rsidR="00F67E9E" w:rsidRPr="005657AE" w:rsidRDefault="00F67E9E" w:rsidP="007F74AA">
            <w:pPr>
              <w:pStyle w:val="StdBodyText"/>
              <w:spacing w:before="0" w:after="0"/>
            </w:pPr>
          </w:p>
        </w:tc>
      </w:tr>
    </w:tbl>
    <w:p w14:paraId="78C731A8" w14:textId="77777777" w:rsidR="00F67E9E" w:rsidRPr="005657AE" w:rsidRDefault="00F67E9E" w:rsidP="00F67E9E">
      <w:pPr>
        <w:rPr>
          <w:szCs w:val="24"/>
        </w:rPr>
      </w:pPr>
    </w:p>
    <w:p w14:paraId="0CC90015" w14:textId="77777777" w:rsidR="00F67E9E" w:rsidRDefault="00F67E9E" w:rsidP="00F67E9E"/>
    <w:p w14:paraId="1614D776" w14:textId="77777777" w:rsidR="00F67E9E" w:rsidRDefault="00F67E9E" w:rsidP="00F67E9E"/>
    <w:p w14:paraId="389A7554" w14:textId="77777777" w:rsidR="00F67E9E" w:rsidRDefault="00F67E9E" w:rsidP="00F67E9E">
      <w:pPr>
        <w:sectPr w:rsidR="00F67E9E" w:rsidSect="00240D26">
          <w:headerReference w:type="default" r:id="rId77"/>
          <w:footerReference w:type="default" r:id="rId78"/>
          <w:pgSz w:w="11900" w:h="16840" w:code="9"/>
          <w:pgMar w:top="1701" w:right="851" w:bottom="1134" w:left="851" w:header="567" w:footer="567" w:gutter="0"/>
          <w:cols w:space="720"/>
          <w:docGrid w:linePitch="360"/>
        </w:sectPr>
      </w:pPr>
    </w:p>
    <w:p w14:paraId="1893D87B" w14:textId="77777777" w:rsidR="00F67E9E" w:rsidRPr="00174F30" w:rsidRDefault="00F67E9E" w:rsidP="00F67E9E">
      <w:pPr>
        <w:pStyle w:val="Dividername"/>
      </w:pPr>
      <w:r w:rsidRPr="00174F30">
        <w:t>Schedule 12</w:t>
      </w:r>
    </w:p>
    <w:p w14:paraId="7AE4ACAA" w14:textId="77777777" w:rsidR="00F67E9E" w:rsidRPr="00174F30" w:rsidRDefault="00F67E9E" w:rsidP="00F67E9E">
      <w:pPr>
        <w:pStyle w:val="Dividername"/>
      </w:pPr>
      <w:r w:rsidRPr="00174F30">
        <w:t>Software</w:t>
      </w:r>
    </w:p>
    <w:p w14:paraId="31C0E8A0" w14:textId="77777777" w:rsidR="00F67E9E" w:rsidRDefault="00F67E9E" w:rsidP="00F67E9E"/>
    <w:p w14:paraId="50A90722" w14:textId="77777777" w:rsidR="00F67E9E" w:rsidRDefault="00F67E9E" w:rsidP="00F67E9E"/>
    <w:p w14:paraId="7F83885A" w14:textId="77777777" w:rsidR="00F67E9E" w:rsidRPr="00413E59" w:rsidRDefault="00F67E9E" w:rsidP="00F67E9E"/>
    <w:p w14:paraId="7412DF33" w14:textId="77777777" w:rsidR="00F67E9E" w:rsidRPr="00413E59" w:rsidRDefault="00F67E9E" w:rsidP="00F67E9E">
      <w:pPr>
        <w:sectPr w:rsidR="00F67E9E" w:rsidRPr="00413E59" w:rsidSect="00240D26">
          <w:headerReference w:type="default" r:id="rId79"/>
          <w:footerReference w:type="default" r:id="rId80"/>
          <w:pgSz w:w="11900" w:h="16840" w:code="9"/>
          <w:pgMar w:top="1701" w:right="851" w:bottom="1134" w:left="851" w:header="567" w:footer="567" w:gutter="0"/>
          <w:cols w:space="720"/>
          <w:docGrid w:linePitch="360"/>
        </w:sectPr>
      </w:pPr>
    </w:p>
    <w:p w14:paraId="1309A722" w14:textId="77777777" w:rsidR="00F67E9E" w:rsidRPr="005D0525" w:rsidRDefault="00F67E9E" w:rsidP="00F67E9E">
      <w:pPr>
        <w:pStyle w:val="Heading1"/>
      </w:pPr>
      <w:bookmarkStart w:id="808" w:name="Schedule12"/>
      <w:bookmarkStart w:id="809" w:name="_Ref92199932"/>
      <w:bookmarkStart w:id="810" w:name="_Toc141711928"/>
      <w:r w:rsidRPr="005D0525">
        <w:t>Schedule</w:t>
      </w:r>
      <w:r>
        <w:t> </w:t>
      </w:r>
      <w:r w:rsidRPr="005D0525">
        <w:t>12</w:t>
      </w:r>
      <w:bookmarkEnd w:id="808"/>
      <w:r>
        <w:t xml:space="preserve">: </w:t>
      </w:r>
      <w:bookmarkStart w:id="811" w:name="Schedule12Heading"/>
      <w:r w:rsidRPr="005F1047">
        <w:t>Software</w:t>
      </w:r>
      <w:bookmarkEnd w:id="809"/>
      <w:bookmarkEnd w:id="810"/>
      <w:bookmarkEnd w:id="811"/>
    </w:p>
    <w:p w14:paraId="745D83B6" w14:textId="77777777" w:rsidR="00F67E9E" w:rsidRPr="00560BA2" w:rsidRDefault="00F67E9E" w:rsidP="00F67E9E">
      <w:pPr>
        <w:pStyle w:val="Numbered1"/>
        <w:numPr>
          <w:ilvl w:val="0"/>
          <w:numId w:val="126"/>
        </w:numPr>
      </w:pPr>
      <w:r w:rsidRPr="00560BA2">
        <w:t xml:space="preserve">The </w:t>
      </w:r>
      <w:r w:rsidRPr="00820382">
        <w:t>Software</w:t>
      </w:r>
    </w:p>
    <w:p w14:paraId="4292DE72" w14:textId="7562B316" w:rsidR="00F67E9E" w:rsidRPr="00560BA2" w:rsidRDefault="00F67E9E" w:rsidP="00F67E9E">
      <w:pPr>
        <w:pStyle w:val="Numbered11"/>
        <w:tabs>
          <w:tab w:val="clear" w:pos="720"/>
          <w:tab w:val="num" w:pos="1080"/>
        </w:tabs>
      </w:pPr>
      <w:r w:rsidRPr="00560BA2">
        <w:t xml:space="preserve">The Software below is licensed to the Authority in accordance with </w:t>
      </w:r>
      <w:bookmarkStart w:id="812" w:name="_9kMIH5YVtCIA6EMQo2u5uINXK2vzz6H24KQPC74"/>
      <w:r w:rsidRPr="00560BA2">
        <w:t>Clause 16</w:t>
      </w:r>
      <w:bookmarkEnd w:id="812"/>
      <w:r w:rsidRPr="00560BA2">
        <w:t xml:space="preserve"> (</w:t>
      </w:r>
      <w:r w:rsidRPr="008F1C4B">
        <w:rPr>
          <w:i/>
        </w:rPr>
        <w:t>Intellectual Property Rights</w:t>
      </w:r>
      <w:r w:rsidRPr="00560BA2">
        <w:t xml:space="preserve">) and </w:t>
      </w:r>
      <w:r>
        <w:rPr>
          <w:rFonts w:cs="Arial"/>
        </w:rPr>
        <w:fldChar w:fldCharType="begin"/>
      </w:r>
      <w:r>
        <w:rPr>
          <w:rFonts w:cs="Arial"/>
        </w:rPr>
        <w:instrText xml:space="preserve"> REF Schedule32 \h </w:instrText>
      </w:r>
      <w:r>
        <w:rPr>
          <w:rFonts w:cs="Arial"/>
        </w:rPr>
      </w:r>
      <w:r>
        <w:rPr>
          <w:rFonts w:cs="Arial"/>
        </w:rPr>
        <w:fldChar w:fldCharType="separate"/>
      </w:r>
      <w:r w:rsidR="00302D39" w:rsidRPr="00477926">
        <w:t>Schedule</w:t>
      </w:r>
      <w:r w:rsidR="00302D39">
        <w:t> </w:t>
      </w:r>
      <w:r w:rsidR="00302D39" w:rsidRPr="00477926">
        <w:t>32</w:t>
      </w:r>
      <w:r>
        <w:rPr>
          <w:rFonts w:cs="Arial"/>
        </w:rPr>
        <w:fldChar w:fldCharType="end"/>
      </w:r>
      <w:r w:rsidRPr="008D6A63">
        <w:rPr>
          <w:rStyle w:val="StdBodyTextBoldChar"/>
          <w:rFonts w:eastAsiaTheme="majorEastAsia" w:cs="Arial"/>
          <w:b w:val="0"/>
          <w:bCs/>
          <w:lang w:eastAsia="en-US"/>
        </w:rPr>
        <w:t xml:space="preserve"> (</w:t>
      </w:r>
      <w:r w:rsidRPr="00DD03F1">
        <w:rPr>
          <w:rStyle w:val="StdBodyTextBoldChar"/>
          <w:rFonts w:eastAsiaTheme="majorEastAsia" w:cs="Arial"/>
          <w:b w:val="0"/>
          <w:bCs/>
          <w:i/>
          <w:iCs/>
          <w:lang w:eastAsia="en-US"/>
        </w:rPr>
        <w:fldChar w:fldCharType="begin"/>
      </w:r>
      <w:r w:rsidRPr="00DD03F1">
        <w:rPr>
          <w:rStyle w:val="StdBodyTextBoldChar"/>
          <w:rFonts w:eastAsiaTheme="majorEastAsia" w:cs="Arial"/>
          <w:b w:val="0"/>
          <w:bCs/>
          <w:i/>
          <w:iCs/>
          <w:lang w:eastAsia="en-US"/>
        </w:rPr>
        <w:instrText xml:space="preserve"> REF Schedule32Heading \h </w:instrText>
      </w:r>
      <w:r>
        <w:rPr>
          <w:rStyle w:val="StdBodyTextBoldChar"/>
          <w:rFonts w:eastAsiaTheme="majorEastAsia" w:cs="Arial"/>
          <w:b w:val="0"/>
          <w:bCs/>
          <w:i/>
          <w:iCs/>
          <w:lang w:eastAsia="en-US"/>
        </w:rPr>
        <w:instrText xml:space="preserve"> \* MERGEFORMAT </w:instrText>
      </w:r>
      <w:r w:rsidRPr="00DD03F1">
        <w:rPr>
          <w:rStyle w:val="StdBodyTextBoldChar"/>
          <w:rFonts w:eastAsiaTheme="majorEastAsia" w:cs="Arial"/>
          <w:b w:val="0"/>
          <w:bCs/>
          <w:i/>
          <w:iCs/>
          <w:lang w:eastAsia="en-US"/>
        </w:rPr>
      </w:r>
      <w:r w:rsidRPr="00DD03F1">
        <w:rPr>
          <w:rStyle w:val="StdBodyTextBoldChar"/>
          <w:rFonts w:eastAsiaTheme="majorEastAsia" w:cs="Arial"/>
          <w:b w:val="0"/>
          <w:bCs/>
          <w:i/>
          <w:iCs/>
          <w:lang w:eastAsia="en-US"/>
        </w:rPr>
        <w:fldChar w:fldCharType="separate"/>
      </w:r>
      <w:r w:rsidR="00302D39" w:rsidRPr="00302D39">
        <w:rPr>
          <w:i/>
          <w:iCs/>
        </w:rPr>
        <w:t>Intellectual Property Rights</w:t>
      </w:r>
      <w:r w:rsidRPr="00DD03F1">
        <w:rPr>
          <w:rStyle w:val="StdBodyTextBoldChar"/>
          <w:rFonts w:eastAsiaTheme="majorEastAsia" w:cs="Arial"/>
          <w:b w:val="0"/>
          <w:bCs/>
          <w:i/>
          <w:iCs/>
          <w:lang w:eastAsia="en-US"/>
        </w:rPr>
        <w:fldChar w:fldCharType="end"/>
      </w:r>
      <w:r w:rsidRPr="008D6A63">
        <w:rPr>
          <w:rStyle w:val="StdBodyTextBoldChar"/>
          <w:rFonts w:eastAsiaTheme="majorEastAsia" w:cs="Arial"/>
          <w:b w:val="0"/>
          <w:bCs/>
          <w:lang w:eastAsia="en-US"/>
        </w:rPr>
        <w:t>)</w:t>
      </w:r>
      <w:r w:rsidRPr="00752B31">
        <w:t>.</w:t>
      </w:r>
    </w:p>
    <w:p w14:paraId="176C82AC" w14:textId="77777777" w:rsidR="00F67E9E" w:rsidRPr="00560BA2" w:rsidRDefault="00F67E9E" w:rsidP="00F67E9E">
      <w:pPr>
        <w:pStyle w:val="Numbered11"/>
        <w:tabs>
          <w:tab w:val="clear" w:pos="720"/>
          <w:tab w:val="num" w:pos="1080"/>
        </w:tabs>
      </w:pPr>
      <w:r w:rsidRPr="00560BA2">
        <w:t>The Parties agree that they will update this Schedule regularly, and in any event no less than every 6 (six) Months from the Effective Date, to record any Supplier Software or Third Party Software subsequently licensed by the Supplier or third parties for the purposes of the delivery of the Services.</w:t>
      </w:r>
    </w:p>
    <w:p w14:paraId="38DDD05C" w14:textId="77777777" w:rsidR="00F67E9E" w:rsidRPr="00413E59" w:rsidRDefault="00F67E9E" w:rsidP="00F67E9E">
      <w:pPr>
        <w:pStyle w:val="Numbered1"/>
      </w:pPr>
      <w:r w:rsidRPr="00413E59">
        <w:t xml:space="preserve">Supplier </w:t>
      </w:r>
      <w:r w:rsidRPr="00820382">
        <w:t>Software</w:t>
      </w:r>
    </w:p>
    <w:p w14:paraId="308F2507" w14:textId="77777777" w:rsidR="00F67E9E" w:rsidRPr="00413E59" w:rsidRDefault="00F67E9E" w:rsidP="00F67E9E">
      <w:pPr>
        <w:pStyle w:val="Numbered11"/>
        <w:tabs>
          <w:tab w:val="clear" w:pos="720"/>
          <w:tab w:val="num" w:pos="1080"/>
        </w:tabs>
      </w:pPr>
      <w:r w:rsidRPr="00413E59">
        <w:t>The Supplier Software includes the following items:</w:t>
      </w:r>
    </w:p>
    <w:tbl>
      <w:tblPr>
        <w:tblStyle w:val="MSATable-header"/>
        <w:tblW w:w="15137" w:type="dxa"/>
        <w:tblLook w:val="04A0" w:firstRow="1" w:lastRow="0" w:firstColumn="1" w:lastColumn="0" w:noHBand="0" w:noVBand="1"/>
      </w:tblPr>
      <w:tblGrid>
        <w:gridCol w:w="1814"/>
        <w:gridCol w:w="2665"/>
        <w:gridCol w:w="1814"/>
        <w:gridCol w:w="1531"/>
        <w:gridCol w:w="1814"/>
        <w:gridCol w:w="1814"/>
        <w:gridCol w:w="1871"/>
        <w:gridCol w:w="1814"/>
      </w:tblGrid>
      <w:tr w:rsidR="00F67E9E" w:rsidRPr="004260AE" w14:paraId="59910216" w14:textId="77777777" w:rsidTr="007F74AA">
        <w:trPr>
          <w:cnfStyle w:val="100000000000" w:firstRow="1" w:lastRow="0" w:firstColumn="0" w:lastColumn="0" w:oddVBand="0" w:evenVBand="0" w:oddHBand="0" w:evenHBand="0" w:firstRowFirstColumn="0" w:firstRowLastColumn="0" w:lastRowFirstColumn="0" w:lastRowLastColumn="0"/>
          <w:tblHeader/>
        </w:trPr>
        <w:tc>
          <w:tcPr>
            <w:tcW w:w="1814" w:type="dxa"/>
            <w:vAlign w:val="bottom"/>
          </w:tcPr>
          <w:p w14:paraId="7E8C3B95" w14:textId="77777777" w:rsidR="00F67E9E" w:rsidRPr="004260AE" w:rsidRDefault="00F67E9E" w:rsidP="007F74AA">
            <w:pPr>
              <w:pStyle w:val="StdBodyTextBold"/>
              <w:spacing w:before="0" w:after="0"/>
              <w:rPr>
                <w:rFonts w:cs="Arial"/>
                <w:b/>
                <w:bCs/>
              </w:rPr>
            </w:pPr>
            <w:r w:rsidRPr="004260AE">
              <w:rPr>
                <w:rFonts w:cs="Arial"/>
                <w:b/>
                <w:bCs/>
              </w:rPr>
              <w:t>Software</w:t>
            </w:r>
          </w:p>
        </w:tc>
        <w:tc>
          <w:tcPr>
            <w:tcW w:w="2665" w:type="dxa"/>
            <w:vAlign w:val="bottom"/>
          </w:tcPr>
          <w:p w14:paraId="64D6AC40" w14:textId="77777777" w:rsidR="00F67E9E" w:rsidRPr="004260AE" w:rsidRDefault="00F67E9E" w:rsidP="007F74AA">
            <w:pPr>
              <w:pStyle w:val="StdBodyTextBold"/>
              <w:spacing w:before="0" w:after="0"/>
              <w:rPr>
                <w:rFonts w:cs="Arial"/>
                <w:b/>
                <w:bCs/>
              </w:rPr>
            </w:pPr>
            <w:r w:rsidRPr="004260AE">
              <w:rPr>
                <w:rFonts w:cs="Arial"/>
                <w:b/>
                <w:bCs/>
              </w:rPr>
              <w:t>Supplier (if an Affiliate of the Supplier)</w:t>
            </w:r>
          </w:p>
        </w:tc>
        <w:tc>
          <w:tcPr>
            <w:tcW w:w="1814" w:type="dxa"/>
            <w:vAlign w:val="bottom"/>
          </w:tcPr>
          <w:p w14:paraId="1A9B0D76" w14:textId="77777777" w:rsidR="00F67E9E" w:rsidRPr="004260AE" w:rsidRDefault="00F67E9E" w:rsidP="007F74AA">
            <w:pPr>
              <w:pStyle w:val="StdBodyTextBold"/>
              <w:spacing w:before="0" w:after="0"/>
              <w:rPr>
                <w:rFonts w:cs="Arial"/>
                <w:b/>
                <w:bCs/>
              </w:rPr>
            </w:pPr>
            <w:r w:rsidRPr="004260AE">
              <w:rPr>
                <w:rFonts w:cs="Arial"/>
                <w:b/>
                <w:bCs/>
              </w:rPr>
              <w:t>Purpose</w:t>
            </w:r>
          </w:p>
        </w:tc>
        <w:tc>
          <w:tcPr>
            <w:tcW w:w="1531" w:type="dxa"/>
            <w:vAlign w:val="bottom"/>
          </w:tcPr>
          <w:p w14:paraId="49602529" w14:textId="77777777" w:rsidR="00F67E9E" w:rsidRPr="004260AE" w:rsidRDefault="00F67E9E" w:rsidP="007F74AA">
            <w:pPr>
              <w:pStyle w:val="StdBodyTextBold"/>
              <w:spacing w:before="0" w:after="0"/>
              <w:rPr>
                <w:rFonts w:cs="Arial"/>
                <w:b/>
                <w:bCs/>
              </w:rPr>
            </w:pPr>
            <w:r w:rsidRPr="004260AE">
              <w:rPr>
                <w:rFonts w:cs="Arial"/>
                <w:b/>
                <w:bCs/>
              </w:rPr>
              <w:t>Number of Licences</w:t>
            </w:r>
          </w:p>
        </w:tc>
        <w:tc>
          <w:tcPr>
            <w:tcW w:w="1814" w:type="dxa"/>
            <w:vAlign w:val="bottom"/>
          </w:tcPr>
          <w:p w14:paraId="087E5FB4" w14:textId="77777777" w:rsidR="00F67E9E" w:rsidRPr="004260AE" w:rsidRDefault="00F67E9E" w:rsidP="007F74AA">
            <w:pPr>
              <w:pStyle w:val="StdBodyTextBold"/>
              <w:spacing w:before="0" w:after="0"/>
              <w:rPr>
                <w:rFonts w:cs="Arial"/>
                <w:b/>
                <w:bCs/>
              </w:rPr>
            </w:pPr>
            <w:r w:rsidRPr="004260AE">
              <w:rPr>
                <w:rFonts w:cs="Arial"/>
                <w:b/>
                <w:bCs/>
              </w:rPr>
              <w:t>Restrictions</w:t>
            </w:r>
          </w:p>
        </w:tc>
        <w:tc>
          <w:tcPr>
            <w:tcW w:w="1814" w:type="dxa"/>
            <w:vAlign w:val="bottom"/>
          </w:tcPr>
          <w:p w14:paraId="732A2CA4" w14:textId="77777777" w:rsidR="00F67E9E" w:rsidRPr="004260AE" w:rsidRDefault="00F67E9E" w:rsidP="007F74AA">
            <w:pPr>
              <w:pStyle w:val="StdBodyTextBold"/>
              <w:spacing w:before="0" w:after="0"/>
              <w:rPr>
                <w:rFonts w:cs="Arial"/>
                <w:b/>
                <w:bCs/>
              </w:rPr>
            </w:pPr>
            <w:r w:rsidRPr="004260AE">
              <w:rPr>
                <w:rFonts w:cs="Arial"/>
                <w:b/>
                <w:bCs/>
              </w:rPr>
              <w:t>Number of Copies</w:t>
            </w:r>
          </w:p>
        </w:tc>
        <w:tc>
          <w:tcPr>
            <w:tcW w:w="1871" w:type="dxa"/>
            <w:vAlign w:val="bottom"/>
          </w:tcPr>
          <w:p w14:paraId="33FF8EE2" w14:textId="77777777" w:rsidR="00F67E9E" w:rsidRPr="004260AE" w:rsidRDefault="00F67E9E" w:rsidP="007F74AA">
            <w:pPr>
              <w:pStyle w:val="StdBodyTextBold"/>
              <w:spacing w:before="0" w:after="0"/>
              <w:rPr>
                <w:rFonts w:cs="Arial"/>
                <w:b/>
                <w:bCs/>
              </w:rPr>
            </w:pPr>
            <w:r w:rsidRPr="004260AE">
              <w:rPr>
                <w:rFonts w:cs="Arial"/>
                <w:b/>
                <w:bCs/>
              </w:rPr>
              <w:t>Type (COTS or Non-COTS)</w:t>
            </w:r>
          </w:p>
        </w:tc>
        <w:tc>
          <w:tcPr>
            <w:tcW w:w="1814" w:type="dxa"/>
            <w:vAlign w:val="bottom"/>
          </w:tcPr>
          <w:p w14:paraId="6E193EF4" w14:textId="77777777" w:rsidR="00F67E9E" w:rsidRPr="004260AE" w:rsidRDefault="00F67E9E" w:rsidP="007F74AA">
            <w:pPr>
              <w:pStyle w:val="StdBodyTextBold"/>
              <w:spacing w:before="0" w:after="0"/>
              <w:rPr>
                <w:rFonts w:cs="Arial"/>
                <w:b/>
                <w:bCs/>
              </w:rPr>
            </w:pPr>
            <w:r w:rsidRPr="004260AE">
              <w:rPr>
                <w:rFonts w:cs="Arial"/>
                <w:b/>
                <w:bCs/>
              </w:rPr>
              <w:t>Term/Expiry</w:t>
            </w:r>
          </w:p>
        </w:tc>
      </w:tr>
      <w:tr w:rsidR="00F67E9E" w:rsidRPr="00413E59" w14:paraId="7F0FFB36" w14:textId="77777777" w:rsidTr="007F74AA">
        <w:tc>
          <w:tcPr>
            <w:tcW w:w="1814" w:type="dxa"/>
          </w:tcPr>
          <w:p w14:paraId="2B09F21E" w14:textId="77777777" w:rsidR="00F67E9E" w:rsidRPr="00413E59" w:rsidRDefault="00F67E9E" w:rsidP="007F74AA">
            <w:pPr>
              <w:pStyle w:val="StdBodyText"/>
              <w:spacing w:before="0" w:after="0"/>
              <w:rPr>
                <w:rFonts w:cs="Arial"/>
              </w:rPr>
            </w:pPr>
          </w:p>
        </w:tc>
        <w:tc>
          <w:tcPr>
            <w:tcW w:w="2665" w:type="dxa"/>
          </w:tcPr>
          <w:p w14:paraId="379A207F" w14:textId="77777777" w:rsidR="00F67E9E" w:rsidRPr="00413E59" w:rsidRDefault="00F67E9E" w:rsidP="007F74AA">
            <w:pPr>
              <w:pStyle w:val="StdBodyText"/>
              <w:spacing w:before="0" w:after="0"/>
              <w:rPr>
                <w:rFonts w:cs="Arial"/>
              </w:rPr>
            </w:pPr>
          </w:p>
        </w:tc>
        <w:tc>
          <w:tcPr>
            <w:tcW w:w="1814" w:type="dxa"/>
          </w:tcPr>
          <w:p w14:paraId="2EDD796F" w14:textId="77777777" w:rsidR="00F67E9E" w:rsidRPr="00413E59" w:rsidRDefault="00F67E9E" w:rsidP="007F74AA">
            <w:pPr>
              <w:pStyle w:val="StdBodyText"/>
              <w:spacing w:before="0" w:after="0"/>
              <w:rPr>
                <w:rFonts w:cs="Arial"/>
              </w:rPr>
            </w:pPr>
          </w:p>
        </w:tc>
        <w:tc>
          <w:tcPr>
            <w:tcW w:w="1531" w:type="dxa"/>
          </w:tcPr>
          <w:p w14:paraId="0188743D" w14:textId="77777777" w:rsidR="00F67E9E" w:rsidRPr="00413E59" w:rsidRDefault="00F67E9E" w:rsidP="007F74AA">
            <w:pPr>
              <w:pStyle w:val="StdBodyText"/>
              <w:spacing w:before="0" w:after="0"/>
              <w:rPr>
                <w:rFonts w:cs="Arial"/>
              </w:rPr>
            </w:pPr>
          </w:p>
        </w:tc>
        <w:tc>
          <w:tcPr>
            <w:tcW w:w="1814" w:type="dxa"/>
          </w:tcPr>
          <w:p w14:paraId="6AE004A0" w14:textId="77777777" w:rsidR="00F67E9E" w:rsidRPr="00413E59" w:rsidRDefault="00F67E9E" w:rsidP="007F74AA">
            <w:pPr>
              <w:pStyle w:val="StdBodyText"/>
              <w:spacing w:before="0" w:after="0"/>
              <w:rPr>
                <w:rFonts w:cs="Arial"/>
              </w:rPr>
            </w:pPr>
          </w:p>
        </w:tc>
        <w:tc>
          <w:tcPr>
            <w:tcW w:w="1814" w:type="dxa"/>
          </w:tcPr>
          <w:p w14:paraId="2F1E5E5F" w14:textId="77777777" w:rsidR="00F67E9E" w:rsidRPr="00413E59" w:rsidRDefault="00F67E9E" w:rsidP="007F74AA">
            <w:pPr>
              <w:pStyle w:val="StdBodyText"/>
              <w:spacing w:before="0" w:after="0"/>
              <w:rPr>
                <w:rFonts w:cs="Arial"/>
              </w:rPr>
            </w:pPr>
          </w:p>
        </w:tc>
        <w:tc>
          <w:tcPr>
            <w:tcW w:w="1871" w:type="dxa"/>
          </w:tcPr>
          <w:p w14:paraId="3B172546" w14:textId="77777777" w:rsidR="00F67E9E" w:rsidRPr="00413E59" w:rsidRDefault="00F67E9E" w:rsidP="007F74AA">
            <w:pPr>
              <w:pStyle w:val="StdBodyText"/>
              <w:spacing w:before="0" w:after="0"/>
              <w:rPr>
                <w:rFonts w:cs="Arial"/>
              </w:rPr>
            </w:pPr>
          </w:p>
        </w:tc>
        <w:tc>
          <w:tcPr>
            <w:tcW w:w="1814" w:type="dxa"/>
          </w:tcPr>
          <w:p w14:paraId="01FDC234" w14:textId="77777777" w:rsidR="00F67E9E" w:rsidRPr="00413E59" w:rsidRDefault="00F67E9E" w:rsidP="007F74AA">
            <w:pPr>
              <w:pStyle w:val="StdBodyText"/>
              <w:spacing w:before="0" w:after="0"/>
              <w:rPr>
                <w:rFonts w:cs="Arial"/>
              </w:rPr>
            </w:pPr>
          </w:p>
        </w:tc>
      </w:tr>
      <w:tr w:rsidR="00F67E9E" w:rsidRPr="00413E59" w14:paraId="3668D0F5" w14:textId="77777777" w:rsidTr="007F74AA">
        <w:tc>
          <w:tcPr>
            <w:tcW w:w="1814" w:type="dxa"/>
          </w:tcPr>
          <w:p w14:paraId="23253AE9" w14:textId="77777777" w:rsidR="00F67E9E" w:rsidRPr="00413E59" w:rsidRDefault="00F67E9E" w:rsidP="007F74AA">
            <w:pPr>
              <w:pStyle w:val="StdBodyText"/>
              <w:spacing w:before="0" w:after="0"/>
              <w:rPr>
                <w:rFonts w:cs="Arial"/>
              </w:rPr>
            </w:pPr>
          </w:p>
        </w:tc>
        <w:tc>
          <w:tcPr>
            <w:tcW w:w="2665" w:type="dxa"/>
          </w:tcPr>
          <w:p w14:paraId="6651C39A" w14:textId="77777777" w:rsidR="00F67E9E" w:rsidRPr="00413E59" w:rsidRDefault="00F67E9E" w:rsidP="007F74AA">
            <w:pPr>
              <w:pStyle w:val="StdBodyText"/>
              <w:spacing w:before="0" w:after="0"/>
              <w:rPr>
                <w:rFonts w:cs="Arial"/>
              </w:rPr>
            </w:pPr>
          </w:p>
        </w:tc>
        <w:tc>
          <w:tcPr>
            <w:tcW w:w="1814" w:type="dxa"/>
          </w:tcPr>
          <w:p w14:paraId="69C9C54E" w14:textId="77777777" w:rsidR="00F67E9E" w:rsidRPr="00413E59" w:rsidRDefault="00F67E9E" w:rsidP="007F74AA">
            <w:pPr>
              <w:pStyle w:val="StdBodyText"/>
              <w:spacing w:before="0" w:after="0"/>
              <w:rPr>
                <w:rFonts w:cs="Arial"/>
              </w:rPr>
            </w:pPr>
          </w:p>
        </w:tc>
        <w:tc>
          <w:tcPr>
            <w:tcW w:w="1531" w:type="dxa"/>
          </w:tcPr>
          <w:p w14:paraId="7CA343C8" w14:textId="77777777" w:rsidR="00F67E9E" w:rsidRPr="00413E59" w:rsidRDefault="00F67E9E" w:rsidP="007F74AA">
            <w:pPr>
              <w:pStyle w:val="StdBodyText"/>
              <w:spacing w:before="0" w:after="0"/>
              <w:rPr>
                <w:rFonts w:cs="Arial"/>
              </w:rPr>
            </w:pPr>
          </w:p>
        </w:tc>
        <w:tc>
          <w:tcPr>
            <w:tcW w:w="1814" w:type="dxa"/>
          </w:tcPr>
          <w:p w14:paraId="1E6C58ED" w14:textId="77777777" w:rsidR="00F67E9E" w:rsidRPr="00413E59" w:rsidRDefault="00F67E9E" w:rsidP="007F74AA">
            <w:pPr>
              <w:pStyle w:val="StdBodyText"/>
              <w:spacing w:before="0" w:after="0"/>
              <w:rPr>
                <w:rFonts w:cs="Arial"/>
              </w:rPr>
            </w:pPr>
          </w:p>
        </w:tc>
        <w:tc>
          <w:tcPr>
            <w:tcW w:w="1814" w:type="dxa"/>
          </w:tcPr>
          <w:p w14:paraId="3D9C4CF2" w14:textId="77777777" w:rsidR="00F67E9E" w:rsidRPr="00413E59" w:rsidRDefault="00F67E9E" w:rsidP="007F74AA">
            <w:pPr>
              <w:pStyle w:val="StdBodyText"/>
              <w:spacing w:before="0" w:after="0"/>
              <w:rPr>
                <w:rFonts w:cs="Arial"/>
              </w:rPr>
            </w:pPr>
          </w:p>
        </w:tc>
        <w:tc>
          <w:tcPr>
            <w:tcW w:w="1871" w:type="dxa"/>
          </w:tcPr>
          <w:p w14:paraId="3040B961" w14:textId="77777777" w:rsidR="00F67E9E" w:rsidRPr="00413E59" w:rsidRDefault="00F67E9E" w:rsidP="007F74AA">
            <w:pPr>
              <w:pStyle w:val="StdBodyText"/>
              <w:spacing w:before="0" w:after="0"/>
              <w:rPr>
                <w:rFonts w:cs="Arial"/>
              </w:rPr>
            </w:pPr>
          </w:p>
        </w:tc>
        <w:tc>
          <w:tcPr>
            <w:tcW w:w="1814" w:type="dxa"/>
          </w:tcPr>
          <w:p w14:paraId="3E14936F" w14:textId="77777777" w:rsidR="00F67E9E" w:rsidRPr="00413E59" w:rsidRDefault="00F67E9E" w:rsidP="007F74AA">
            <w:pPr>
              <w:pStyle w:val="StdBodyText"/>
              <w:spacing w:before="0" w:after="0"/>
              <w:rPr>
                <w:rFonts w:cs="Arial"/>
              </w:rPr>
            </w:pPr>
          </w:p>
        </w:tc>
      </w:tr>
      <w:tr w:rsidR="00F67E9E" w:rsidRPr="00413E59" w14:paraId="6F0A98F7" w14:textId="77777777" w:rsidTr="007F74AA">
        <w:tc>
          <w:tcPr>
            <w:tcW w:w="1814" w:type="dxa"/>
          </w:tcPr>
          <w:p w14:paraId="6E25135A" w14:textId="77777777" w:rsidR="00F67E9E" w:rsidRPr="00413E59" w:rsidRDefault="00F67E9E" w:rsidP="007F74AA">
            <w:pPr>
              <w:pStyle w:val="StdBodyText"/>
              <w:spacing w:before="0" w:after="0"/>
              <w:rPr>
                <w:rFonts w:cs="Arial"/>
              </w:rPr>
            </w:pPr>
          </w:p>
        </w:tc>
        <w:tc>
          <w:tcPr>
            <w:tcW w:w="2665" w:type="dxa"/>
          </w:tcPr>
          <w:p w14:paraId="1F64676C" w14:textId="77777777" w:rsidR="00F67E9E" w:rsidRPr="00413E59" w:rsidRDefault="00F67E9E" w:rsidP="007F74AA">
            <w:pPr>
              <w:pStyle w:val="StdBodyText"/>
              <w:spacing w:before="0" w:after="0"/>
              <w:rPr>
                <w:rFonts w:cs="Arial"/>
              </w:rPr>
            </w:pPr>
          </w:p>
        </w:tc>
        <w:tc>
          <w:tcPr>
            <w:tcW w:w="1814" w:type="dxa"/>
          </w:tcPr>
          <w:p w14:paraId="69E05A4C" w14:textId="77777777" w:rsidR="00F67E9E" w:rsidRPr="00413E59" w:rsidRDefault="00F67E9E" w:rsidP="007F74AA">
            <w:pPr>
              <w:pStyle w:val="StdBodyText"/>
              <w:spacing w:before="0" w:after="0"/>
              <w:rPr>
                <w:rFonts w:cs="Arial"/>
              </w:rPr>
            </w:pPr>
          </w:p>
        </w:tc>
        <w:tc>
          <w:tcPr>
            <w:tcW w:w="1531" w:type="dxa"/>
          </w:tcPr>
          <w:p w14:paraId="5EF4FB10" w14:textId="77777777" w:rsidR="00F67E9E" w:rsidRPr="00413E59" w:rsidRDefault="00F67E9E" w:rsidP="007F74AA">
            <w:pPr>
              <w:pStyle w:val="StdBodyText"/>
              <w:spacing w:before="0" w:after="0"/>
              <w:rPr>
                <w:rFonts w:cs="Arial"/>
              </w:rPr>
            </w:pPr>
          </w:p>
        </w:tc>
        <w:tc>
          <w:tcPr>
            <w:tcW w:w="1814" w:type="dxa"/>
          </w:tcPr>
          <w:p w14:paraId="77506C67" w14:textId="77777777" w:rsidR="00F67E9E" w:rsidRPr="00413E59" w:rsidRDefault="00F67E9E" w:rsidP="007F74AA">
            <w:pPr>
              <w:pStyle w:val="StdBodyText"/>
              <w:spacing w:before="0" w:after="0"/>
              <w:rPr>
                <w:rFonts w:cs="Arial"/>
              </w:rPr>
            </w:pPr>
          </w:p>
        </w:tc>
        <w:tc>
          <w:tcPr>
            <w:tcW w:w="1814" w:type="dxa"/>
          </w:tcPr>
          <w:p w14:paraId="635B9238" w14:textId="77777777" w:rsidR="00F67E9E" w:rsidRPr="00413E59" w:rsidRDefault="00F67E9E" w:rsidP="007F74AA">
            <w:pPr>
              <w:pStyle w:val="StdBodyText"/>
              <w:spacing w:before="0" w:after="0"/>
              <w:rPr>
                <w:rFonts w:cs="Arial"/>
              </w:rPr>
            </w:pPr>
          </w:p>
        </w:tc>
        <w:tc>
          <w:tcPr>
            <w:tcW w:w="1871" w:type="dxa"/>
          </w:tcPr>
          <w:p w14:paraId="4B055046" w14:textId="77777777" w:rsidR="00F67E9E" w:rsidRPr="00413E59" w:rsidRDefault="00F67E9E" w:rsidP="007F74AA">
            <w:pPr>
              <w:pStyle w:val="StdBodyText"/>
              <w:spacing w:before="0" w:after="0"/>
              <w:rPr>
                <w:rFonts w:cs="Arial"/>
              </w:rPr>
            </w:pPr>
          </w:p>
        </w:tc>
        <w:tc>
          <w:tcPr>
            <w:tcW w:w="1814" w:type="dxa"/>
          </w:tcPr>
          <w:p w14:paraId="25E576C8" w14:textId="77777777" w:rsidR="00F67E9E" w:rsidRPr="00413E59" w:rsidRDefault="00F67E9E" w:rsidP="007F74AA">
            <w:pPr>
              <w:pStyle w:val="StdBodyText"/>
              <w:spacing w:before="0" w:after="0"/>
              <w:rPr>
                <w:rFonts w:cs="Arial"/>
              </w:rPr>
            </w:pPr>
          </w:p>
        </w:tc>
      </w:tr>
      <w:tr w:rsidR="00F67E9E" w:rsidRPr="00413E59" w14:paraId="6D84874C" w14:textId="77777777" w:rsidTr="007F74AA">
        <w:tc>
          <w:tcPr>
            <w:tcW w:w="1814" w:type="dxa"/>
          </w:tcPr>
          <w:p w14:paraId="049B326C" w14:textId="77777777" w:rsidR="00F67E9E" w:rsidRPr="00413E59" w:rsidRDefault="00F67E9E" w:rsidP="007F74AA">
            <w:pPr>
              <w:pStyle w:val="StdBodyText"/>
              <w:spacing w:before="0" w:after="0"/>
              <w:rPr>
                <w:rFonts w:cs="Arial"/>
              </w:rPr>
            </w:pPr>
          </w:p>
        </w:tc>
        <w:tc>
          <w:tcPr>
            <w:tcW w:w="2665" w:type="dxa"/>
          </w:tcPr>
          <w:p w14:paraId="50EA01EB" w14:textId="77777777" w:rsidR="00F67E9E" w:rsidRPr="00413E59" w:rsidRDefault="00F67E9E" w:rsidP="007F74AA">
            <w:pPr>
              <w:pStyle w:val="StdBodyText"/>
              <w:spacing w:before="0" w:after="0"/>
              <w:rPr>
                <w:rFonts w:cs="Arial"/>
              </w:rPr>
            </w:pPr>
          </w:p>
        </w:tc>
        <w:tc>
          <w:tcPr>
            <w:tcW w:w="1814" w:type="dxa"/>
          </w:tcPr>
          <w:p w14:paraId="3C58866A" w14:textId="77777777" w:rsidR="00F67E9E" w:rsidRPr="00413E59" w:rsidRDefault="00F67E9E" w:rsidP="007F74AA">
            <w:pPr>
              <w:pStyle w:val="StdBodyText"/>
              <w:spacing w:before="0" w:after="0"/>
              <w:rPr>
                <w:rFonts w:cs="Arial"/>
              </w:rPr>
            </w:pPr>
          </w:p>
        </w:tc>
        <w:tc>
          <w:tcPr>
            <w:tcW w:w="1531" w:type="dxa"/>
          </w:tcPr>
          <w:p w14:paraId="2B295585" w14:textId="77777777" w:rsidR="00F67E9E" w:rsidRPr="00413E59" w:rsidRDefault="00F67E9E" w:rsidP="007F74AA">
            <w:pPr>
              <w:pStyle w:val="StdBodyText"/>
              <w:spacing w:before="0" w:after="0"/>
              <w:rPr>
                <w:rFonts w:cs="Arial"/>
              </w:rPr>
            </w:pPr>
          </w:p>
        </w:tc>
        <w:tc>
          <w:tcPr>
            <w:tcW w:w="1814" w:type="dxa"/>
          </w:tcPr>
          <w:p w14:paraId="6BC28DF4" w14:textId="77777777" w:rsidR="00F67E9E" w:rsidRPr="00413E59" w:rsidRDefault="00F67E9E" w:rsidP="007F74AA">
            <w:pPr>
              <w:pStyle w:val="StdBodyText"/>
              <w:spacing w:before="0" w:after="0"/>
              <w:rPr>
                <w:rFonts w:cs="Arial"/>
              </w:rPr>
            </w:pPr>
          </w:p>
        </w:tc>
        <w:tc>
          <w:tcPr>
            <w:tcW w:w="1814" w:type="dxa"/>
          </w:tcPr>
          <w:p w14:paraId="21CCC427" w14:textId="77777777" w:rsidR="00F67E9E" w:rsidRPr="00413E59" w:rsidRDefault="00F67E9E" w:rsidP="007F74AA">
            <w:pPr>
              <w:pStyle w:val="StdBodyText"/>
              <w:spacing w:before="0" w:after="0"/>
              <w:rPr>
                <w:rFonts w:cs="Arial"/>
              </w:rPr>
            </w:pPr>
          </w:p>
        </w:tc>
        <w:tc>
          <w:tcPr>
            <w:tcW w:w="1871" w:type="dxa"/>
          </w:tcPr>
          <w:p w14:paraId="478DBF0B" w14:textId="77777777" w:rsidR="00F67E9E" w:rsidRPr="00413E59" w:rsidRDefault="00F67E9E" w:rsidP="007F74AA">
            <w:pPr>
              <w:pStyle w:val="StdBodyText"/>
              <w:spacing w:before="0" w:after="0"/>
              <w:rPr>
                <w:rFonts w:cs="Arial"/>
              </w:rPr>
            </w:pPr>
          </w:p>
        </w:tc>
        <w:tc>
          <w:tcPr>
            <w:tcW w:w="1814" w:type="dxa"/>
          </w:tcPr>
          <w:p w14:paraId="23E6EFA6" w14:textId="77777777" w:rsidR="00F67E9E" w:rsidRPr="00413E59" w:rsidRDefault="00F67E9E" w:rsidP="007F74AA">
            <w:pPr>
              <w:pStyle w:val="StdBodyText"/>
              <w:spacing w:before="0" w:after="0"/>
              <w:rPr>
                <w:rFonts w:cs="Arial"/>
              </w:rPr>
            </w:pPr>
          </w:p>
        </w:tc>
      </w:tr>
      <w:tr w:rsidR="00F67E9E" w:rsidRPr="00413E59" w14:paraId="1803EAAA" w14:textId="77777777" w:rsidTr="007F74AA">
        <w:tc>
          <w:tcPr>
            <w:tcW w:w="1814" w:type="dxa"/>
          </w:tcPr>
          <w:p w14:paraId="10476034" w14:textId="77777777" w:rsidR="00F67E9E" w:rsidRPr="00413E59" w:rsidRDefault="00F67E9E" w:rsidP="007F74AA">
            <w:pPr>
              <w:pStyle w:val="StdBodyText"/>
              <w:spacing w:before="0" w:after="0"/>
              <w:rPr>
                <w:rFonts w:cs="Arial"/>
              </w:rPr>
            </w:pPr>
          </w:p>
        </w:tc>
        <w:tc>
          <w:tcPr>
            <w:tcW w:w="2665" w:type="dxa"/>
          </w:tcPr>
          <w:p w14:paraId="1D426C75" w14:textId="77777777" w:rsidR="00F67E9E" w:rsidRPr="00413E59" w:rsidRDefault="00F67E9E" w:rsidP="007F74AA">
            <w:pPr>
              <w:pStyle w:val="StdBodyText"/>
              <w:spacing w:before="0" w:after="0"/>
              <w:rPr>
                <w:rFonts w:cs="Arial"/>
              </w:rPr>
            </w:pPr>
          </w:p>
        </w:tc>
        <w:tc>
          <w:tcPr>
            <w:tcW w:w="1814" w:type="dxa"/>
          </w:tcPr>
          <w:p w14:paraId="18477582" w14:textId="77777777" w:rsidR="00F67E9E" w:rsidRPr="00413E59" w:rsidRDefault="00F67E9E" w:rsidP="007F74AA">
            <w:pPr>
              <w:pStyle w:val="StdBodyText"/>
              <w:spacing w:before="0" w:after="0"/>
              <w:rPr>
                <w:rFonts w:cs="Arial"/>
              </w:rPr>
            </w:pPr>
          </w:p>
        </w:tc>
        <w:tc>
          <w:tcPr>
            <w:tcW w:w="1531" w:type="dxa"/>
          </w:tcPr>
          <w:p w14:paraId="0873CE20" w14:textId="77777777" w:rsidR="00F67E9E" w:rsidRPr="00413E59" w:rsidRDefault="00F67E9E" w:rsidP="007F74AA">
            <w:pPr>
              <w:pStyle w:val="StdBodyText"/>
              <w:spacing w:before="0" w:after="0"/>
              <w:rPr>
                <w:rFonts w:cs="Arial"/>
              </w:rPr>
            </w:pPr>
          </w:p>
        </w:tc>
        <w:tc>
          <w:tcPr>
            <w:tcW w:w="1814" w:type="dxa"/>
          </w:tcPr>
          <w:p w14:paraId="5DB7698E" w14:textId="77777777" w:rsidR="00F67E9E" w:rsidRPr="00413E59" w:rsidRDefault="00F67E9E" w:rsidP="007F74AA">
            <w:pPr>
              <w:pStyle w:val="StdBodyText"/>
              <w:spacing w:before="0" w:after="0"/>
              <w:rPr>
                <w:rFonts w:cs="Arial"/>
              </w:rPr>
            </w:pPr>
          </w:p>
        </w:tc>
        <w:tc>
          <w:tcPr>
            <w:tcW w:w="1814" w:type="dxa"/>
          </w:tcPr>
          <w:p w14:paraId="605954CF" w14:textId="77777777" w:rsidR="00F67E9E" w:rsidRPr="00413E59" w:rsidRDefault="00F67E9E" w:rsidP="007F74AA">
            <w:pPr>
              <w:pStyle w:val="StdBodyText"/>
              <w:spacing w:before="0" w:after="0"/>
              <w:rPr>
                <w:rFonts w:cs="Arial"/>
              </w:rPr>
            </w:pPr>
          </w:p>
        </w:tc>
        <w:tc>
          <w:tcPr>
            <w:tcW w:w="1871" w:type="dxa"/>
          </w:tcPr>
          <w:p w14:paraId="5E177C70" w14:textId="77777777" w:rsidR="00F67E9E" w:rsidRPr="00413E59" w:rsidRDefault="00F67E9E" w:rsidP="007F74AA">
            <w:pPr>
              <w:pStyle w:val="StdBodyText"/>
              <w:spacing w:before="0" w:after="0"/>
              <w:rPr>
                <w:rFonts w:cs="Arial"/>
              </w:rPr>
            </w:pPr>
          </w:p>
        </w:tc>
        <w:tc>
          <w:tcPr>
            <w:tcW w:w="1814" w:type="dxa"/>
          </w:tcPr>
          <w:p w14:paraId="460DBC77" w14:textId="77777777" w:rsidR="00F67E9E" w:rsidRPr="00413E59" w:rsidRDefault="00F67E9E" w:rsidP="007F74AA">
            <w:pPr>
              <w:pStyle w:val="StdBodyText"/>
              <w:spacing w:before="0" w:after="0"/>
              <w:rPr>
                <w:rFonts w:cs="Arial"/>
              </w:rPr>
            </w:pPr>
          </w:p>
        </w:tc>
      </w:tr>
      <w:tr w:rsidR="00F67E9E" w:rsidRPr="00413E59" w14:paraId="79C6F341" w14:textId="77777777" w:rsidTr="007F74AA">
        <w:tc>
          <w:tcPr>
            <w:tcW w:w="1814" w:type="dxa"/>
          </w:tcPr>
          <w:p w14:paraId="694E2F88" w14:textId="77777777" w:rsidR="00F67E9E" w:rsidRPr="00413E59" w:rsidRDefault="00F67E9E" w:rsidP="007F74AA">
            <w:pPr>
              <w:pStyle w:val="StdBodyText"/>
              <w:spacing w:before="0" w:after="0"/>
              <w:rPr>
                <w:rFonts w:cs="Arial"/>
              </w:rPr>
            </w:pPr>
          </w:p>
        </w:tc>
        <w:tc>
          <w:tcPr>
            <w:tcW w:w="2665" w:type="dxa"/>
          </w:tcPr>
          <w:p w14:paraId="778261F3" w14:textId="77777777" w:rsidR="00F67E9E" w:rsidRPr="00413E59" w:rsidRDefault="00F67E9E" w:rsidP="007F74AA">
            <w:pPr>
              <w:pStyle w:val="StdBodyText"/>
              <w:spacing w:before="0" w:after="0"/>
              <w:rPr>
                <w:rFonts w:cs="Arial"/>
              </w:rPr>
            </w:pPr>
          </w:p>
        </w:tc>
        <w:tc>
          <w:tcPr>
            <w:tcW w:w="1814" w:type="dxa"/>
          </w:tcPr>
          <w:p w14:paraId="5FF4968B" w14:textId="77777777" w:rsidR="00F67E9E" w:rsidRPr="00413E59" w:rsidRDefault="00F67E9E" w:rsidP="007F74AA">
            <w:pPr>
              <w:pStyle w:val="StdBodyText"/>
              <w:spacing w:before="0" w:after="0"/>
              <w:rPr>
                <w:rFonts w:cs="Arial"/>
              </w:rPr>
            </w:pPr>
          </w:p>
        </w:tc>
        <w:tc>
          <w:tcPr>
            <w:tcW w:w="1531" w:type="dxa"/>
          </w:tcPr>
          <w:p w14:paraId="454048A8" w14:textId="77777777" w:rsidR="00F67E9E" w:rsidRPr="00413E59" w:rsidRDefault="00F67E9E" w:rsidP="007F74AA">
            <w:pPr>
              <w:pStyle w:val="StdBodyText"/>
              <w:spacing w:before="0" w:after="0"/>
              <w:rPr>
                <w:rFonts w:cs="Arial"/>
              </w:rPr>
            </w:pPr>
          </w:p>
        </w:tc>
        <w:tc>
          <w:tcPr>
            <w:tcW w:w="1814" w:type="dxa"/>
          </w:tcPr>
          <w:p w14:paraId="4E304007" w14:textId="77777777" w:rsidR="00F67E9E" w:rsidRPr="00413E59" w:rsidRDefault="00F67E9E" w:rsidP="007F74AA">
            <w:pPr>
              <w:pStyle w:val="StdBodyText"/>
              <w:spacing w:before="0" w:after="0"/>
              <w:rPr>
                <w:rFonts w:cs="Arial"/>
              </w:rPr>
            </w:pPr>
          </w:p>
        </w:tc>
        <w:tc>
          <w:tcPr>
            <w:tcW w:w="1814" w:type="dxa"/>
          </w:tcPr>
          <w:p w14:paraId="2C153512" w14:textId="77777777" w:rsidR="00F67E9E" w:rsidRPr="00413E59" w:rsidRDefault="00F67E9E" w:rsidP="007F74AA">
            <w:pPr>
              <w:pStyle w:val="StdBodyText"/>
              <w:spacing w:before="0" w:after="0"/>
              <w:rPr>
                <w:rFonts w:cs="Arial"/>
              </w:rPr>
            </w:pPr>
          </w:p>
        </w:tc>
        <w:tc>
          <w:tcPr>
            <w:tcW w:w="1871" w:type="dxa"/>
          </w:tcPr>
          <w:p w14:paraId="44A1B5ED" w14:textId="77777777" w:rsidR="00F67E9E" w:rsidRPr="00413E59" w:rsidRDefault="00F67E9E" w:rsidP="007F74AA">
            <w:pPr>
              <w:pStyle w:val="StdBodyText"/>
              <w:spacing w:before="0" w:after="0"/>
              <w:rPr>
                <w:rFonts w:cs="Arial"/>
              </w:rPr>
            </w:pPr>
          </w:p>
        </w:tc>
        <w:tc>
          <w:tcPr>
            <w:tcW w:w="1814" w:type="dxa"/>
          </w:tcPr>
          <w:p w14:paraId="0ACD1C65" w14:textId="77777777" w:rsidR="00F67E9E" w:rsidRPr="00413E59" w:rsidRDefault="00F67E9E" w:rsidP="007F74AA">
            <w:pPr>
              <w:pStyle w:val="StdBodyText"/>
              <w:spacing w:before="0" w:after="0"/>
              <w:rPr>
                <w:rFonts w:cs="Arial"/>
              </w:rPr>
            </w:pPr>
          </w:p>
        </w:tc>
      </w:tr>
      <w:tr w:rsidR="00F67E9E" w:rsidRPr="00413E59" w14:paraId="0A845D3B" w14:textId="77777777" w:rsidTr="007F74AA">
        <w:tc>
          <w:tcPr>
            <w:tcW w:w="1814" w:type="dxa"/>
          </w:tcPr>
          <w:p w14:paraId="606EF707" w14:textId="77777777" w:rsidR="00F67E9E" w:rsidRPr="00413E59" w:rsidRDefault="00F67E9E" w:rsidP="007F74AA">
            <w:pPr>
              <w:pStyle w:val="StdBodyText"/>
              <w:spacing w:before="0" w:after="0"/>
              <w:rPr>
                <w:rFonts w:cs="Arial"/>
              </w:rPr>
            </w:pPr>
          </w:p>
        </w:tc>
        <w:tc>
          <w:tcPr>
            <w:tcW w:w="2665" w:type="dxa"/>
          </w:tcPr>
          <w:p w14:paraId="1C07AF79" w14:textId="77777777" w:rsidR="00F67E9E" w:rsidRPr="00413E59" w:rsidRDefault="00F67E9E" w:rsidP="007F74AA">
            <w:pPr>
              <w:pStyle w:val="StdBodyText"/>
              <w:spacing w:before="0" w:after="0"/>
              <w:rPr>
                <w:rFonts w:cs="Arial"/>
              </w:rPr>
            </w:pPr>
          </w:p>
        </w:tc>
        <w:tc>
          <w:tcPr>
            <w:tcW w:w="1814" w:type="dxa"/>
          </w:tcPr>
          <w:p w14:paraId="6DE365F5" w14:textId="77777777" w:rsidR="00F67E9E" w:rsidRPr="00413E59" w:rsidRDefault="00F67E9E" w:rsidP="007F74AA">
            <w:pPr>
              <w:pStyle w:val="StdBodyText"/>
              <w:spacing w:before="0" w:after="0"/>
              <w:rPr>
                <w:rFonts w:cs="Arial"/>
              </w:rPr>
            </w:pPr>
          </w:p>
        </w:tc>
        <w:tc>
          <w:tcPr>
            <w:tcW w:w="1531" w:type="dxa"/>
          </w:tcPr>
          <w:p w14:paraId="47CB6043" w14:textId="77777777" w:rsidR="00F67E9E" w:rsidRPr="00413E59" w:rsidRDefault="00F67E9E" w:rsidP="007F74AA">
            <w:pPr>
              <w:pStyle w:val="StdBodyText"/>
              <w:spacing w:before="0" w:after="0"/>
              <w:rPr>
                <w:rFonts w:cs="Arial"/>
              </w:rPr>
            </w:pPr>
          </w:p>
        </w:tc>
        <w:tc>
          <w:tcPr>
            <w:tcW w:w="1814" w:type="dxa"/>
          </w:tcPr>
          <w:p w14:paraId="6038D8B5" w14:textId="77777777" w:rsidR="00F67E9E" w:rsidRPr="00413E59" w:rsidRDefault="00F67E9E" w:rsidP="007F74AA">
            <w:pPr>
              <w:pStyle w:val="StdBodyText"/>
              <w:spacing w:before="0" w:after="0"/>
              <w:rPr>
                <w:rFonts w:cs="Arial"/>
              </w:rPr>
            </w:pPr>
          </w:p>
        </w:tc>
        <w:tc>
          <w:tcPr>
            <w:tcW w:w="1814" w:type="dxa"/>
          </w:tcPr>
          <w:p w14:paraId="7FDE86F2" w14:textId="77777777" w:rsidR="00F67E9E" w:rsidRPr="00413E59" w:rsidRDefault="00F67E9E" w:rsidP="007F74AA">
            <w:pPr>
              <w:pStyle w:val="StdBodyText"/>
              <w:spacing w:before="0" w:after="0"/>
              <w:rPr>
                <w:rFonts w:cs="Arial"/>
              </w:rPr>
            </w:pPr>
          </w:p>
        </w:tc>
        <w:tc>
          <w:tcPr>
            <w:tcW w:w="1871" w:type="dxa"/>
          </w:tcPr>
          <w:p w14:paraId="16EBE109" w14:textId="77777777" w:rsidR="00F67E9E" w:rsidRPr="00413E59" w:rsidRDefault="00F67E9E" w:rsidP="007F74AA">
            <w:pPr>
              <w:pStyle w:val="StdBodyText"/>
              <w:spacing w:before="0" w:after="0"/>
              <w:rPr>
                <w:rFonts w:cs="Arial"/>
              </w:rPr>
            </w:pPr>
          </w:p>
        </w:tc>
        <w:tc>
          <w:tcPr>
            <w:tcW w:w="1814" w:type="dxa"/>
          </w:tcPr>
          <w:p w14:paraId="7224D821" w14:textId="77777777" w:rsidR="00F67E9E" w:rsidRPr="00413E59" w:rsidRDefault="00F67E9E" w:rsidP="007F74AA">
            <w:pPr>
              <w:pStyle w:val="StdBodyText"/>
              <w:spacing w:before="0" w:after="0"/>
              <w:rPr>
                <w:rFonts w:cs="Arial"/>
              </w:rPr>
            </w:pPr>
          </w:p>
        </w:tc>
      </w:tr>
      <w:tr w:rsidR="00F67E9E" w:rsidRPr="00413E59" w14:paraId="062B3428" w14:textId="77777777" w:rsidTr="007F74AA">
        <w:tc>
          <w:tcPr>
            <w:tcW w:w="1814" w:type="dxa"/>
          </w:tcPr>
          <w:p w14:paraId="12F96200" w14:textId="77777777" w:rsidR="00F67E9E" w:rsidRPr="00413E59" w:rsidRDefault="00F67E9E" w:rsidP="007F74AA">
            <w:pPr>
              <w:pStyle w:val="StdBodyText"/>
              <w:spacing w:before="0" w:after="0"/>
              <w:rPr>
                <w:rFonts w:cs="Arial"/>
              </w:rPr>
            </w:pPr>
          </w:p>
        </w:tc>
        <w:tc>
          <w:tcPr>
            <w:tcW w:w="2665" w:type="dxa"/>
          </w:tcPr>
          <w:p w14:paraId="04314B02" w14:textId="77777777" w:rsidR="00F67E9E" w:rsidRPr="00413E59" w:rsidRDefault="00F67E9E" w:rsidP="007F74AA">
            <w:pPr>
              <w:pStyle w:val="StdBodyText"/>
              <w:spacing w:before="0" w:after="0"/>
              <w:rPr>
                <w:rFonts w:cs="Arial"/>
              </w:rPr>
            </w:pPr>
          </w:p>
        </w:tc>
        <w:tc>
          <w:tcPr>
            <w:tcW w:w="1814" w:type="dxa"/>
          </w:tcPr>
          <w:p w14:paraId="72173742" w14:textId="77777777" w:rsidR="00F67E9E" w:rsidRPr="00413E59" w:rsidRDefault="00F67E9E" w:rsidP="007F74AA">
            <w:pPr>
              <w:pStyle w:val="StdBodyText"/>
              <w:spacing w:before="0" w:after="0"/>
              <w:rPr>
                <w:rFonts w:cs="Arial"/>
              </w:rPr>
            </w:pPr>
          </w:p>
        </w:tc>
        <w:tc>
          <w:tcPr>
            <w:tcW w:w="1531" w:type="dxa"/>
          </w:tcPr>
          <w:p w14:paraId="7FAFCD44" w14:textId="77777777" w:rsidR="00F67E9E" w:rsidRPr="00413E59" w:rsidRDefault="00F67E9E" w:rsidP="007F74AA">
            <w:pPr>
              <w:pStyle w:val="StdBodyText"/>
              <w:spacing w:before="0" w:after="0"/>
              <w:rPr>
                <w:rFonts w:cs="Arial"/>
              </w:rPr>
            </w:pPr>
          </w:p>
        </w:tc>
        <w:tc>
          <w:tcPr>
            <w:tcW w:w="1814" w:type="dxa"/>
          </w:tcPr>
          <w:p w14:paraId="1662B84B" w14:textId="77777777" w:rsidR="00F67E9E" w:rsidRPr="00413E59" w:rsidRDefault="00F67E9E" w:rsidP="007F74AA">
            <w:pPr>
              <w:pStyle w:val="StdBodyText"/>
              <w:spacing w:before="0" w:after="0"/>
              <w:rPr>
                <w:rFonts w:cs="Arial"/>
              </w:rPr>
            </w:pPr>
          </w:p>
        </w:tc>
        <w:tc>
          <w:tcPr>
            <w:tcW w:w="1814" w:type="dxa"/>
          </w:tcPr>
          <w:p w14:paraId="6444E232" w14:textId="77777777" w:rsidR="00F67E9E" w:rsidRPr="00413E59" w:rsidRDefault="00F67E9E" w:rsidP="007F74AA">
            <w:pPr>
              <w:pStyle w:val="StdBodyText"/>
              <w:spacing w:before="0" w:after="0"/>
              <w:rPr>
                <w:rFonts w:cs="Arial"/>
              </w:rPr>
            </w:pPr>
          </w:p>
        </w:tc>
        <w:tc>
          <w:tcPr>
            <w:tcW w:w="1871" w:type="dxa"/>
          </w:tcPr>
          <w:p w14:paraId="41A686E9" w14:textId="77777777" w:rsidR="00F67E9E" w:rsidRPr="00413E59" w:rsidRDefault="00F67E9E" w:rsidP="007F74AA">
            <w:pPr>
              <w:pStyle w:val="StdBodyText"/>
              <w:spacing w:before="0" w:after="0"/>
              <w:rPr>
                <w:rFonts w:cs="Arial"/>
              </w:rPr>
            </w:pPr>
          </w:p>
        </w:tc>
        <w:tc>
          <w:tcPr>
            <w:tcW w:w="1814" w:type="dxa"/>
          </w:tcPr>
          <w:p w14:paraId="2C925DF4" w14:textId="77777777" w:rsidR="00F67E9E" w:rsidRPr="00413E59" w:rsidRDefault="00F67E9E" w:rsidP="007F74AA">
            <w:pPr>
              <w:pStyle w:val="StdBodyText"/>
              <w:spacing w:before="0" w:after="0"/>
              <w:rPr>
                <w:rFonts w:cs="Arial"/>
              </w:rPr>
            </w:pPr>
          </w:p>
        </w:tc>
      </w:tr>
      <w:tr w:rsidR="00F67E9E" w:rsidRPr="00413E59" w14:paraId="535CBFF5" w14:textId="77777777" w:rsidTr="007F74AA">
        <w:tc>
          <w:tcPr>
            <w:tcW w:w="1814" w:type="dxa"/>
          </w:tcPr>
          <w:p w14:paraId="427CA631" w14:textId="77777777" w:rsidR="00F67E9E" w:rsidRPr="00413E59" w:rsidRDefault="00F67E9E" w:rsidP="007F74AA">
            <w:pPr>
              <w:pStyle w:val="StdBodyText"/>
              <w:spacing w:before="0" w:after="0"/>
              <w:rPr>
                <w:rFonts w:cs="Arial"/>
              </w:rPr>
            </w:pPr>
          </w:p>
        </w:tc>
        <w:tc>
          <w:tcPr>
            <w:tcW w:w="2665" w:type="dxa"/>
          </w:tcPr>
          <w:p w14:paraId="43008077" w14:textId="77777777" w:rsidR="00F67E9E" w:rsidRPr="00413E59" w:rsidRDefault="00F67E9E" w:rsidP="007F74AA">
            <w:pPr>
              <w:pStyle w:val="StdBodyText"/>
              <w:spacing w:before="0" w:after="0"/>
              <w:rPr>
                <w:rFonts w:cs="Arial"/>
              </w:rPr>
            </w:pPr>
          </w:p>
        </w:tc>
        <w:tc>
          <w:tcPr>
            <w:tcW w:w="1814" w:type="dxa"/>
          </w:tcPr>
          <w:p w14:paraId="054D26D5" w14:textId="77777777" w:rsidR="00F67E9E" w:rsidRPr="00413E59" w:rsidRDefault="00F67E9E" w:rsidP="007F74AA">
            <w:pPr>
              <w:pStyle w:val="StdBodyText"/>
              <w:spacing w:before="0" w:after="0"/>
              <w:rPr>
                <w:rFonts w:cs="Arial"/>
              </w:rPr>
            </w:pPr>
          </w:p>
        </w:tc>
        <w:tc>
          <w:tcPr>
            <w:tcW w:w="1531" w:type="dxa"/>
          </w:tcPr>
          <w:p w14:paraId="7BD7656F" w14:textId="77777777" w:rsidR="00F67E9E" w:rsidRPr="00413E59" w:rsidRDefault="00F67E9E" w:rsidP="007F74AA">
            <w:pPr>
              <w:pStyle w:val="StdBodyText"/>
              <w:spacing w:before="0" w:after="0"/>
              <w:rPr>
                <w:rFonts w:cs="Arial"/>
              </w:rPr>
            </w:pPr>
          </w:p>
        </w:tc>
        <w:tc>
          <w:tcPr>
            <w:tcW w:w="1814" w:type="dxa"/>
          </w:tcPr>
          <w:p w14:paraId="115B4C09" w14:textId="77777777" w:rsidR="00F67E9E" w:rsidRPr="00413E59" w:rsidRDefault="00F67E9E" w:rsidP="007F74AA">
            <w:pPr>
              <w:pStyle w:val="StdBodyText"/>
              <w:spacing w:before="0" w:after="0"/>
              <w:rPr>
                <w:rFonts w:cs="Arial"/>
              </w:rPr>
            </w:pPr>
          </w:p>
        </w:tc>
        <w:tc>
          <w:tcPr>
            <w:tcW w:w="1814" w:type="dxa"/>
          </w:tcPr>
          <w:p w14:paraId="7680C0B8" w14:textId="77777777" w:rsidR="00F67E9E" w:rsidRPr="00413E59" w:rsidRDefault="00F67E9E" w:rsidP="007F74AA">
            <w:pPr>
              <w:pStyle w:val="StdBodyText"/>
              <w:spacing w:before="0" w:after="0"/>
              <w:rPr>
                <w:rFonts w:cs="Arial"/>
              </w:rPr>
            </w:pPr>
          </w:p>
        </w:tc>
        <w:tc>
          <w:tcPr>
            <w:tcW w:w="1871" w:type="dxa"/>
          </w:tcPr>
          <w:p w14:paraId="446E4FAD" w14:textId="77777777" w:rsidR="00F67E9E" w:rsidRPr="00413E59" w:rsidRDefault="00F67E9E" w:rsidP="007F74AA">
            <w:pPr>
              <w:pStyle w:val="StdBodyText"/>
              <w:spacing w:before="0" w:after="0"/>
              <w:rPr>
                <w:rFonts w:cs="Arial"/>
              </w:rPr>
            </w:pPr>
          </w:p>
        </w:tc>
        <w:tc>
          <w:tcPr>
            <w:tcW w:w="1814" w:type="dxa"/>
          </w:tcPr>
          <w:p w14:paraId="56F36B00" w14:textId="77777777" w:rsidR="00F67E9E" w:rsidRPr="00413E59" w:rsidRDefault="00F67E9E" w:rsidP="007F74AA">
            <w:pPr>
              <w:pStyle w:val="StdBodyText"/>
              <w:spacing w:before="0" w:after="0"/>
              <w:rPr>
                <w:rFonts w:cs="Arial"/>
              </w:rPr>
            </w:pPr>
          </w:p>
        </w:tc>
      </w:tr>
    </w:tbl>
    <w:p w14:paraId="283CF57E" w14:textId="77777777" w:rsidR="00F67E9E" w:rsidRDefault="00F67E9E" w:rsidP="00F67E9E"/>
    <w:p w14:paraId="45A2B44C" w14:textId="77777777" w:rsidR="00F67E9E" w:rsidRPr="00413E59" w:rsidRDefault="00F67E9E" w:rsidP="00F67E9E">
      <w:pPr>
        <w:pStyle w:val="Numbered1"/>
      </w:pPr>
      <w:r w:rsidRPr="00413E59">
        <w:t xml:space="preserve">Third Party </w:t>
      </w:r>
      <w:r w:rsidRPr="00820382">
        <w:t>Software</w:t>
      </w:r>
    </w:p>
    <w:p w14:paraId="0DEB9311" w14:textId="77777777" w:rsidR="00F67E9E" w:rsidRPr="00413E59" w:rsidRDefault="00F67E9E" w:rsidP="00F67E9E">
      <w:pPr>
        <w:pStyle w:val="Numbered11"/>
        <w:tabs>
          <w:tab w:val="clear" w:pos="720"/>
          <w:tab w:val="num" w:pos="1080"/>
        </w:tabs>
      </w:pPr>
      <w:r w:rsidRPr="00413E59">
        <w:t>The Third Party Software shall include the following items:</w:t>
      </w:r>
    </w:p>
    <w:tbl>
      <w:tblPr>
        <w:tblStyle w:val="MSATable-header"/>
        <w:tblW w:w="15138" w:type="dxa"/>
        <w:tblLook w:val="04A0" w:firstRow="1" w:lastRow="0" w:firstColumn="1" w:lastColumn="0" w:noHBand="0" w:noVBand="1"/>
      </w:tblPr>
      <w:tblGrid>
        <w:gridCol w:w="2041"/>
        <w:gridCol w:w="1871"/>
        <w:gridCol w:w="1871"/>
        <w:gridCol w:w="1871"/>
        <w:gridCol w:w="1871"/>
        <w:gridCol w:w="1871"/>
        <w:gridCol w:w="1871"/>
        <w:gridCol w:w="1871"/>
      </w:tblGrid>
      <w:tr w:rsidR="00F67E9E" w:rsidRPr="004260AE" w14:paraId="5CD112FB" w14:textId="77777777" w:rsidTr="007F74AA">
        <w:trPr>
          <w:cnfStyle w:val="100000000000" w:firstRow="1" w:lastRow="0" w:firstColumn="0" w:lastColumn="0" w:oddVBand="0" w:evenVBand="0" w:oddHBand="0" w:evenHBand="0" w:firstRowFirstColumn="0" w:firstRowLastColumn="0" w:lastRowFirstColumn="0" w:lastRowLastColumn="0"/>
          <w:tblHeader/>
        </w:trPr>
        <w:tc>
          <w:tcPr>
            <w:tcW w:w="2041" w:type="dxa"/>
            <w:vAlign w:val="bottom"/>
          </w:tcPr>
          <w:p w14:paraId="2175A348" w14:textId="77777777" w:rsidR="00F67E9E" w:rsidRPr="004260AE" w:rsidRDefault="00F67E9E" w:rsidP="007F74AA">
            <w:pPr>
              <w:pStyle w:val="StdBodyTextBold"/>
              <w:spacing w:before="0" w:after="0"/>
              <w:rPr>
                <w:rFonts w:cs="Arial"/>
                <w:b/>
                <w:bCs/>
              </w:rPr>
            </w:pPr>
            <w:r w:rsidRPr="004260AE">
              <w:rPr>
                <w:rFonts w:cs="Arial"/>
                <w:b/>
                <w:bCs/>
              </w:rPr>
              <w:t>Third Party Software</w:t>
            </w:r>
          </w:p>
        </w:tc>
        <w:tc>
          <w:tcPr>
            <w:tcW w:w="1871" w:type="dxa"/>
            <w:vAlign w:val="bottom"/>
          </w:tcPr>
          <w:p w14:paraId="3905CC29" w14:textId="77777777" w:rsidR="00F67E9E" w:rsidRPr="004260AE" w:rsidRDefault="00F67E9E" w:rsidP="007F74AA">
            <w:pPr>
              <w:pStyle w:val="StdBodyTextBold"/>
              <w:spacing w:before="0" w:after="0"/>
              <w:rPr>
                <w:rFonts w:cs="Arial"/>
                <w:b/>
                <w:bCs/>
              </w:rPr>
            </w:pPr>
            <w:r w:rsidRPr="004260AE">
              <w:rPr>
                <w:rFonts w:cs="Arial"/>
                <w:b/>
                <w:bCs/>
              </w:rPr>
              <w:t>Supplier</w:t>
            </w:r>
          </w:p>
        </w:tc>
        <w:tc>
          <w:tcPr>
            <w:tcW w:w="1871" w:type="dxa"/>
            <w:vAlign w:val="bottom"/>
          </w:tcPr>
          <w:p w14:paraId="2E7613EB" w14:textId="77777777" w:rsidR="00F67E9E" w:rsidRPr="004260AE" w:rsidRDefault="00F67E9E" w:rsidP="007F74AA">
            <w:pPr>
              <w:pStyle w:val="StdBodyTextBold"/>
              <w:spacing w:before="0" w:after="0"/>
              <w:rPr>
                <w:rFonts w:cs="Arial"/>
                <w:b/>
                <w:bCs/>
              </w:rPr>
            </w:pPr>
            <w:r w:rsidRPr="004260AE">
              <w:rPr>
                <w:rFonts w:cs="Arial"/>
                <w:b/>
                <w:bCs/>
              </w:rPr>
              <w:t>Purpose</w:t>
            </w:r>
          </w:p>
        </w:tc>
        <w:tc>
          <w:tcPr>
            <w:tcW w:w="1871" w:type="dxa"/>
            <w:vAlign w:val="bottom"/>
          </w:tcPr>
          <w:p w14:paraId="02E6DBBE" w14:textId="77777777" w:rsidR="00F67E9E" w:rsidRPr="004260AE" w:rsidRDefault="00F67E9E" w:rsidP="007F74AA">
            <w:pPr>
              <w:pStyle w:val="StdBodyTextBold"/>
              <w:spacing w:before="0" w:after="0"/>
              <w:rPr>
                <w:rFonts w:cs="Arial"/>
                <w:b/>
                <w:bCs/>
              </w:rPr>
            </w:pPr>
            <w:r w:rsidRPr="004260AE">
              <w:rPr>
                <w:rFonts w:cs="Arial"/>
                <w:b/>
                <w:bCs/>
              </w:rPr>
              <w:t>Number of Licences</w:t>
            </w:r>
          </w:p>
        </w:tc>
        <w:tc>
          <w:tcPr>
            <w:tcW w:w="1871" w:type="dxa"/>
            <w:vAlign w:val="bottom"/>
          </w:tcPr>
          <w:p w14:paraId="6D88B26E" w14:textId="77777777" w:rsidR="00F67E9E" w:rsidRPr="004260AE" w:rsidRDefault="00F67E9E" w:rsidP="007F74AA">
            <w:pPr>
              <w:pStyle w:val="StdBodyTextBold"/>
              <w:spacing w:before="0" w:after="0"/>
              <w:rPr>
                <w:rFonts w:cs="Arial"/>
                <w:b/>
                <w:bCs/>
              </w:rPr>
            </w:pPr>
            <w:r w:rsidRPr="004260AE">
              <w:rPr>
                <w:rFonts w:cs="Arial"/>
                <w:b/>
                <w:bCs/>
              </w:rPr>
              <w:t>Restrictions</w:t>
            </w:r>
          </w:p>
        </w:tc>
        <w:tc>
          <w:tcPr>
            <w:tcW w:w="1871" w:type="dxa"/>
            <w:vAlign w:val="bottom"/>
          </w:tcPr>
          <w:p w14:paraId="30321ED3" w14:textId="77777777" w:rsidR="00F67E9E" w:rsidRPr="004260AE" w:rsidRDefault="00F67E9E" w:rsidP="007F74AA">
            <w:pPr>
              <w:pStyle w:val="StdBodyTextBold"/>
              <w:spacing w:before="0" w:after="0"/>
              <w:rPr>
                <w:rFonts w:cs="Arial"/>
                <w:b/>
                <w:bCs/>
              </w:rPr>
            </w:pPr>
            <w:r w:rsidRPr="004260AE">
              <w:rPr>
                <w:rFonts w:cs="Arial"/>
                <w:b/>
                <w:bCs/>
              </w:rPr>
              <w:t>Number of Copies</w:t>
            </w:r>
          </w:p>
        </w:tc>
        <w:tc>
          <w:tcPr>
            <w:tcW w:w="1871" w:type="dxa"/>
            <w:vAlign w:val="bottom"/>
          </w:tcPr>
          <w:p w14:paraId="0DD54E9C" w14:textId="77777777" w:rsidR="00F67E9E" w:rsidRPr="004260AE" w:rsidRDefault="00F67E9E" w:rsidP="007F74AA">
            <w:pPr>
              <w:pStyle w:val="StdBodyTextBold"/>
              <w:spacing w:before="0" w:after="0"/>
              <w:rPr>
                <w:rFonts w:cs="Arial"/>
                <w:b/>
                <w:bCs/>
              </w:rPr>
            </w:pPr>
            <w:r w:rsidRPr="004260AE">
              <w:rPr>
                <w:rFonts w:cs="Arial"/>
                <w:b/>
                <w:bCs/>
              </w:rPr>
              <w:t>Type (COTS or Non-COTS)</w:t>
            </w:r>
          </w:p>
        </w:tc>
        <w:tc>
          <w:tcPr>
            <w:tcW w:w="1871" w:type="dxa"/>
            <w:vAlign w:val="bottom"/>
          </w:tcPr>
          <w:p w14:paraId="4B3574DD" w14:textId="77777777" w:rsidR="00F67E9E" w:rsidRPr="004260AE" w:rsidRDefault="00F67E9E" w:rsidP="007F74AA">
            <w:pPr>
              <w:pStyle w:val="StdBodyTextBold"/>
              <w:spacing w:before="0" w:after="0"/>
              <w:rPr>
                <w:rFonts w:cs="Arial"/>
                <w:b/>
                <w:bCs/>
              </w:rPr>
            </w:pPr>
            <w:r w:rsidRPr="004260AE">
              <w:rPr>
                <w:rFonts w:cs="Arial"/>
                <w:b/>
                <w:bCs/>
              </w:rPr>
              <w:t>Term/Expiry</w:t>
            </w:r>
          </w:p>
        </w:tc>
      </w:tr>
      <w:tr w:rsidR="00F67E9E" w:rsidRPr="00413E59" w14:paraId="7F8C9E4C" w14:textId="77777777" w:rsidTr="007F74AA">
        <w:tc>
          <w:tcPr>
            <w:tcW w:w="2041" w:type="dxa"/>
          </w:tcPr>
          <w:p w14:paraId="5BD21913" w14:textId="77777777" w:rsidR="00F67E9E" w:rsidRPr="00413E59" w:rsidRDefault="00F67E9E" w:rsidP="007F74AA">
            <w:pPr>
              <w:pStyle w:val="StdBodyText"/>
              <w:spacing w:before="0" w:after="0"/>
              <w:rPr>
                <w:rFonts w:cs="Arial"/>
              </w:rPr>
            </w:pPr>
          </w:p>
        </w:tc>
        <w:tc>
          <w:tcPr>
            <w:tcW w:w="1871" w:type="dxa"/>
          </w:tcPr>
          <w:p w14:paraId="2618CB57" w14:textId="77777777" w:rsidR="00F67E9E" w:rsidRPr="00413E59" w:rsidRDefault="00F67E9E" w:rsidP="007F74AA">
            <w:pPr>
              <w:pStyle w:val="StdBodyText"/>
              <w:spacing w:before="0" w:after="0"/>
              <w:rPr>
                <w:rFonts w:cs="Arial"/>
              </w:rPr>
            </w:pPr>
          </w:p>
        </w:tc>
        <w:tc>
          <w:tcPr>
            <w:tcW w:w="1871" w:type="dxa"/>
          </w:tcPr>
          <w:p w14:paraId="203D8F7D" w14:textId="77777777" w:rsidR="00F67E9E" w:rsidRPr="00413E59" w:rsidRDefault="00F67E9E" w:rsidP="007F74AA">
            <w:pPr>
              <w:pStyle w:val="StdBodyText"/>
              <w:spacing w:before="0" w:after="0"/>
              <w:rPr>
                <w:rFonts w:cs="Arial"/>
              </w:rPr>
            </w:pPr>
          </w:p>
        </w:tc>
        <w:tc>
          <w:tcPr>
            <w:tcW w:w="1871" w:type="dxa"/>
          </w:tcPr>
          <w:p w14:paraId="74B681CD" w14:textId="77777777" w:rsidR="00F67E9E" w:rsidRPr="00413E59" w:rsidRDefault="00F67E9E" w:rsidP="007F74AA">
            <w:pPr>
              <w:pStyle w:val="StdBodyText"/>
              <w:spacing w:before="0" w:after="0"/>
              <w:rPr>
                <w:rFonts w:cs="Arial"/>
              </w:rPr>
            </w:pPr>
          </w:p>
        </w:tc>
        <w:tc>
          <w:tcPr>
            <w:tcW w:w="1871" w:type="dxa"/>
          </w:tcPr>
          <w:p w14:paraId="189E9C0C" w14:textId="77777777" w:rsidR="00F67E9E" w:rsidRPr="00413E59" w:rsidRDefault="00F67E9E" w:rsidP="007F74AA">
            <w:pPr>
              <w:pStyle w:val="StdBodyText"/>
              <w:spacing w:before="0" w:after="0"/>
              <w:rPr>
                <w:rFonts w:cs="Arial"/>
              </w:rPr>
            </w:pPr>
          </w:p>
        </w:tc>
        <w:tc>
          <w:tcPr>
            <w:tcW w:w="1871" w:type="dxa"/>
          </w:tcPr>
          <w:p w14:paraId="17D53488" w14:textId="77777777" w:rsidR="00F67E9E" w:rsidRPr="00413E59" w:rsidRDefault="00F67E9E" w:rsidP="007F74AA">
            <w:pPr>
              <w:pStyle w:val="StdBodyText"/>
              <w:spacing w:before="0" w:after="0"/>
              <w:rPr>
                <w:rFonts w:cs="Arial"/>
              </w:rPr>
            </w:pPr>
          </w:p>
        </w:tc>
        <w:tc>
          <w:tcPr>
            <w:tcW w:w="1871" w:type="dxa"/>
          </w:tcPr>
          <w:p w14:paraId="694CF369" w14:textId="77777777" w:rsidR="00F67E9E" w:rsidRPr="00413E59" w:rsidRDefault="00F67E9E" w:rsidP="007F74AA">
            <w:pPr>
              <w:pStyle w:val="StdBodyText"/>
              <w:spacing w:before="0" w:after="0"/>
              <w:rPr>
                <w:rFonts w:cs="Arial"/>
              </w:rPr>
            </w:pPr>
          </w:p>
        </w:tc>
        <w:tc>
          <w:tcPr>
            <w:tcW w:w="1871" w:type="dxa"/>
          </w:tcPr>
          <w:p w14:paraId="4822F137" w14:textId="77777777" w:rsidR="00F67E9E" w:rsidRPr="00413E59" w:rsidRDefault="00F67E9E" w:rsidP="007F74AA">
            <w:pPr>
              <w:pStyle w:val="StdBodyText"/>
              <w:spacing w:before="0" w:after="0"/>
              <w:rPr>
                <w:rFonts w:cs="Arial"/>
              </w:rPr>
            </w:pPr>
          </w:p>
        </w:tc>
      </w:tr>
      <w:tr w:rsidR="00F67E9E" w:rsidRPr="00413E59" w14:paraId="75D118AA" w14:textId="77777777" w:rsidTr="007F74AA">
        <w:tc>
          <w:tcPr>
            <w:tcW w:w="2041" w:type="dxa"/>
          </w:tcPr>
          <w:p w14:paraId="50A1C936" w14:textId="77777777" w:rsidR="00F67E9E" w:rsidRPr="00413E59" w:rsidRDefault="00F67E9E" w:rsidP="007F74AA">
            <w:pPr>
              <w:pStyle w:val="StdBodyText"/>
              <w:spacing w:before="0" w:after="0"/>
              <w:rPr>
                <w:rFonts w:cs="Arial"/>
              </w:rPr>
            </w:pPr>
          </w:p>
        </w:tc>
        <w:tc>
          <w:tcPr>
            <w:tcW w:w="1871" w:type="dxa"/>
          </w:tcPr>
          <w:p w14:paraId="69B10357" w14:textId="77777777" w:rsidR="00F67E9E" w:rsidRPr="00413E59" w:rsidRDefault="00F67E9E" w:rsidP="007F74AA">
            <w:pPr>
              <w:pStyle w:val="StdBodyText"/>
              <w:spacing w:before="0" w:after="0"/>
              <w:rPr>
                <w:rFonts w:cs="Arial"/>
              </w:rPr>
            </w:pPr>
          </w:p>
        </w:tc>
        <w:tc>
          <w:tcPr>
            <w:tcW w:w="1871" w:type="dxa"/>
          </w:tcPr>
          <w:p w14:paraId="46DA21EE" w14:textId="77777777" w:rsidR="00F67E9E" w:rsidRPr="00413E59" w:rsidRDefault="00F67E9E" w:rsidP="007F74AA">
            <w:pPr>
              <w:pStyle w:val="StdBodyText"/>
              <w:spacing w:before="0" w:after="0"/>
              <w:rPr>
                <w:rFonts w:cs="Arial"/>
              </w:rPr>
            </w:pPr>
          </w:p>
        </w:tc>
        <w:tc>
          <w:tcPr>
            <w:tcW w:w="1871" w:type="dxa"/>
          </w:tcPr>
          <w:p w14:paraId="395494EF" w14:textId="77777777" w:rsidR="00F67E9E" w:rsidRPr="00413E59" w:rsidRDefault="00F67E9E" w:rsidP="007F74AA">
            <w:pPr>
              <w:pStyle w:val="StdBodyText"/>
              <w:spacing w:before="0" w:after="0"/>
              <w:rPr>
                <w:rFonts w:cs="Arial"/>
              </w:rPr>
            </w:pPr>
          </w:p>
        </w:tc>
        <w:tc>
          <w:tcPr>
            <w:tcW w:w="1871" w:type="dxa"/>
          </w:tcPr>
          <w:p w14:paraId="7CE256C2" w14:textId="77777777" w:rsidR="00F67E9E" w:rsidRPr="00413E59" w:rsidRDefault="00F67E9E" w:rsidP="007F74AA">
            <w:pPr>
              <w:pStyle w:val="StdBodyText"/>
              <w:spacing w:before="0" w:after="0"/>
              <w:rPr>
                <w:rFonts w:cs="Arial"/>
              </w:rPr>
            </w:pPr>
          </w:p>
        </w:tc>
        <w:tc>
          <w:tcPr>
            <w:tcW w:w="1871" w:type="dxa"/>
          </w:tcPr>
          <w:p w14:paraId="12274AB0" w14:textId="77777777" w:rsidR="00F67E9E" w:rsidRPr="00413E59" w:rsidRDefault="00F67E9E" w:rsidP="007F74AA">
            <w:pPr>
              <w:pStyle w:val="StdBodyText"/>
              <w:spacing w:before="0" w:after="0"/>
              <w:rPr>
                <w:rFonts w:cs="Arial"/>
              </w:rPr>
            </w:pPr>
          </w:p>
        </w:tc>
        <w:tc>
          <w:tcPr>
            <w:tcW w:w="1871" w:type="dxa"/>
          </w:tcPr>
          <w:p w14:paraId="0868FF4F" w14:textId="77777777" w:rsidR="00F67E9E" w:rsidRPr="00413E59" w:rsidRDefault="00F67E9E" w:rsidP="007F74AA">
            <w:pPr>
              <w:pStyle w:val="StdBodyText"/>
              <w:spacing w:before="0" w:after="0"/>
              <w:rPr>
                <w:rFonts w:cs="Arial"/>
              </w:rPr>
            </w:pPr>
          </w:p>
        </w:tc>
        <w:tc>
          <w:tcPr>
            <w:tcW w:w="1871" w:type="dxa"/>
          </w:tcPr>
          <w:p w14:paraId="3F17241C" w14:textId="77777777" w:rsidR="00F67E9E" w:rsidRPr="00413E59" w:rsidRDefault="00F67E9E" w:rsidP="007F74AA">
            <w:pPr>
              <w:pStyle w:val="StdBodyText"/>
              <w:spacing w:before="0" w:after="0"/>
              <w:rPr>
                <w:rFonts w:cs="Arial"/>
              </w:rPr>
            </w:pPr>
          </w:p>
        </w:tc>
      </w:tr>
      <w:tr w:rsidR="00F67E9E" w:rsidRPr="00413E59" w14:paraId="76F47A9C" w14:textId="77777777" w:rsidTr="007F74AA">
        <w:tc>
          <w:tcPr>
            <w:tcW w:w="2041" w:type="dxa"/>
          </w:tcPr>
          <w:p w14:paraId="71AC316F" w14:textId="77777777" w:rsidR="00F67E9E" w:rsidRPr="00413E59" w:rsidRDefault="00F67E9E" w:rsidP="007F74AA">
            <w:pPr>
              <w:pStyle w:val="StdBodyText"/>
              <w:spacing w:before="0" w:after="0"/>
              <w:rPr>
                <w:rFonts w:cs="Arial"/>
              </w:rPr>
            </w:pPr>
          </w:p>
        </w:tc>
        <w:tc>
          <w:tcPr>
            <w:tcW w:w="1871" w:type="dxa"/>
          </w:tcPr>
          <w:p w14:paraId="75F15CF1" w14:textId="77777777" w:rsidR="00F67E9E" w:rsidRPr="00413E59" w:rsidRDefault="00F67E9E" w:rsidP="007F74AA">
            <w:pPr>
              <w:pStyle w:val="StdBodyText"/>
              <w:spacing w:before="0" w:after="0"/>
              <w:rPr>
                <w:rFonts w:cs="Arial"/>
              </w:rPr>
            </w:pPr>
          </w:p>
        </w:tc>
        <w:tc>
          <w:tcPr>
            <w:tcW w:w="1871" w:type="dxa"/>
          </w:tcPr>
          <w:p w14:paraId="47877FDD" w14:textId="77777777" w:rsidR="00F67E9E" w:rsidRPr="00413E59" w:rsidRDefault="00F67E9E" w:rsidP="007F74AA">
            <w:pPr>
              <w:pStyle w:val="StdBodyText"/>
              <w:spacing w:before="0" w:after="0"/>
              <w:rPr>
                <w:rFonts w:cs="Arial"/>
              </w:rPr>
            </w:pPr>
          </w:p>
        </w:tc>
        <w:tc>
          <w:tcPr>
            <w:tcW w:w="1871" w:type="dxa"/>
          </w:tcPr>
          <w:p w14:paraId="344113EF" w14:textId="77777777" w:rsidR="00F67E9E" w:rsidRPr="00413E59" w:rsidRDefault="00F67E9E" w:rsidP="007F74AA">
            <w:pPr>
              <w:pStyle w:val="StdBodyText"/>
              <w:spacing w:before="0" w:after="0"/>
              <w:rPr>
                <w:rFonts w:cs="Arial"/>
              </w:rPr>
            </w:pPr>
          </w:p>
        </w:tc>
        <w:tc>
          <w:tcPr>
            <w:tcW w:w="1871" w:type="dxa"/>
          </w:tcPr>
          <w:p w14:paraId="3FA678B6" w14:textId="77777777" w:rsidR="00F67E9E" w:rsidRPr="00413E59" w:rsidRDefault="00F67E9E" w:rsidP="007F74AA">
            <w:pPr>
              <w:pStyle w:val="StdBodyText"/>
              <w:spacing w:before="0" w:after="0"/>
              <w:rPr>
                <w:rFonts w:cs="Arial"/>
              </w:rPr>
            </w:pPr>
          </w:p>
        </w:tc>
        <w:tc>
          <w:tcPr>
            <w:tcW w:w="1871" w:type="dxa"/>
          </w:tcPr>
          <w:p w14:paraId="7071C37E" w14:textId="77777777" w:rsidR="00F67E9E" w:rsidRPr="00413E59" w:rsidRDefault="00F67E9E" w:rsidP="007F74AA">
            <w:pPr>
              <w:pStyle w:val="StdBodyText"/>
              <w:spacing w:before="0" w:after="0"/>
              <w:rPr>
                <w:rFonts w:cs="Arial"/>
              </w:rPr>
            </w:pPr>
          </w:p>
        </w:tc>
        <w:tc>
          <w:tcPr>
            <w:tcW w:w="1871" w:type="dxa"/>
          </w:tcPr>
          <w:p w14:paraId="5765AFC2" w14:textId="77777777" w:rsidR="00F67E9E" w:rsidRPr="00413E59" w:rsidRDefault="00F67E9E" w:rsidP="007F74AA">
            <w:pPr>
              <w:pStyle w:val="StdBodyText"/>
              <w:spacing w:before="0" w:after="0"/>
              <w:rPr>
                <w:rFonts w:cs="Arial"/>
              </w:rPr>
            </w:pPr>
          </w:p>
        </w:tc>
        <w:tc>
          <w:tcPr>
            <w:tcW w:w="1871" w:type="dxa"/>
          </w:tcPr>
          <w:p w14:paraId="73149065" w14:textId="77777777" w:rsidR="00F67E9E" w:rsidRPr="00413E59" w:rsidRDefault="00F67E9E" w:rsidP="007F74AA">
            <w:pPr>
              <w:pStyle w:val="StdBodyText"/>
              <w:spacing w:before="0" w:after="0"/>
              <w:rPr>
                <w:rFonts w:cs="Arial"/>
              </w:rPr>
            </w:pPr>
          </w:p>
        </w:tc>
      </w:tr>
      <w:tr w:rsidR="00F67E9E" w:rsidRPr="00413E59" w14:paraId="57C88DDE" w14:textId="77777777" w:rsidTr="007F74AA">
        <w:tc>
          <w:tcPr>
            <w:tcW w:w="2041" w:type="dxa"/>
          </w:tcPr>
          <w:p w14:paraId="1C109FB2" w14:textId="77777777" w:rsidR="00F67E9E" w:rsidRPr="00413E59" w:rsidRDefault="00F67E9E" w:rsidP="007F74AA">
            <w:pPr>
              <w:pStyle w:val="StdBodyText"/>
              <w:spacing w:before="0" w:after="0"/>
              <w:rPr>
                <w:rFonts w:cs="Arial"/>
              </w:rPr>
            </w:pPr>
          </w:p>
        </w:tc>
        <w:tc>
          <w:tcPr>
            <w:tcW w:w="1871" w:type="dxa"/>
          </w:tcPr>
          <w:p w14:paraId="44CB2E3B" w14:textId="77777777" w:rsidR="00F67E9E" w:rsidRPr="00413E59" w:rsidRDefault="00F67E9E" w:rsidP="007F74AA">
            <w:pPr>
              <w:pStyle w:val="StdBodyText"/>
              <w:spacing w:before="0" w:after="0"/>
              <w:rPr>
                <w:rFonts w:cs="Arial"/>
              </w:rPr>
            </w:pPr>
          </w:p>
        </w:tc>
        <w:tc>
          <w:tcPr>
            <w:tcW w:w="1871" w:type="dxa"/>
          </w:tcPr>
          <w:p w14:paraId="41B95A9C" w14:textId="77777777" w:rsidR="00F67E9E" w:rsidRPr="00413E59" w:rsidRDefault="00F67E9E" w:rsidP="007F74AA">
            <w:pPr>
              <w:pStyle w:val="StdBodyText"/>
              <w:spacing w:before="0" w:after="0"/>
              <w:rPr>
                <w:rFonts w:cs="Arial"/>
              </w:rPr>
            </w:pPr>
          </w:p>
        </w:tc>
        <w:tc>
          <w:tcPr>
            <w:tcW w:w="1871" w:type="dxa"/>
          </w:tcPr>
          <w:p w14:paraId="7ED5EFF4" w14:textId="77777777" w:rsidR="00F67E9E" w:rsidRPr="00413E59" w:rsidRDefault="00F67E9E" w:rsidP="007F74AA">
            <w:pPr>
              <w:pStyle w:val="StdBodyText"/>
              <w:spacing w:before="0" w:after="0"/>
              <w:rPr>
                <w:rFonts w:cs="Arial"/>
              </w:rPr>
            </w:pPr>
          </w:p>
        </w:tc>
        <w:tc>
          <w:tcPr>
            <w:tcW w:w="1871" w:type="dxa"/>
          </w:tcPr>
          <w:p w14:paraId="7063694F" w14:textId="77777777" w:rsidR="00F67E9E" w:rsidRPr="00413E59" w:rsidRDefault="00F67E9E" w:rsidP="007F74AA">
            <w:pPr>
              <w:pStyle w:val="StdBodyText"/>
              <w:spacing w:before="0" w:after="0"/>
              <w:rPr>
                <w:rFonts w:cs="Arial"/>
              </w:rPr>
            </w:pPr>
          </w:p>
        </w:tc>
        <w:tc>
          <w:tcPr>
            <w:tcW w:w="1871" w:type="dxa"/>
          </w:tcPr>
          <w:p w14:paraId="30CBFDB3" w14:textId="77777777" w:rsidR="00F67E9E" w:rsidRPr="00413E59" w:rsidRDefault="00F67E9E" w:rsidP="007F74AA">
            <w:pPr>
              <w:pStyle w:val="StdBodyText"/>
              <w:spacing w:before="0" w:after="0"/>
              <w:rPr>
                <w:rFonts w:cs="Arial"/>
              </w:rPr>
            </w:pPr>
          </w:p>
        </w:tc>
        <w:tc>
          <w:tcPr>
            <w:tcW w:w="1871" w:type="dxa"/>
          </w:tcPr>
          <w:p w14:paraId="1CD09B90" w14:textId="77777777" w:rsidR="00F67E9E" w:rsidRPr="00413E59" w:rsidRDefault="00F67E9E" w:rsidP="007F74AA">
            <w:pPr>
              <w:pStyle w:val="StdBodyText"/>
              <w:spacing w:before="0" w:after="0"/>
              <w:rPr>
                <w:rFonts w:cs="Arial"/>
              </w:rPr>
            </w:pPr>
          </w:p>
        </w:tc>
        <w:tc>
          <w:tcPr>
            <w:tcW w:w="1871" w:type="dxa"/>
          </w:tcPr>
          <w:p w14:paraId="09ECAD7F" w14:textId="77777777" w:rsidR="00F67E9E" w:rsidRPr="00413E59" w:rsidRDefault="00F67E9E" w:rsidP="007F74AA">
            <w:pPr>
              <w:pStyle w:val="StdBodyText"/>
              <w:spacing w:before="0" w:after="0"/>
              <w:rPr>
                <w:rFonts w:cs="Arial"/>
              </w:rPr>
            </w:pPr>
          </w:p>
        </w:tc>
      </w:tr>
      <w:tr w:rsidR="00F67E9E" w:rsidRPr="00413E59" w14:paraId="5C261211" w14:textId="77777777" w:rsidTr="007F74AA">
        <w:tc>
          <w:tcPr>
            <w:tcW w:w="2041" w:type="dxa"/>
          </w:tcPr>
          <w:p w14:paraId="43F76859" w14:textId="77777777" w:rsidR="00F67E9E" w:rsidRPr="00413E59" w:rsidRDefault="00F67E9E" w:rsidP="007F74AA">
            <w:pPr>
              <w:pStyle w:val="StdBodyText"/>
              <w:spacing w:before="0" w:after="0"/>
              <w:rPr>
                <w:rFonts w:cs="Arial"/>
              </w:rPr>
            </w:pPr>
          </w:p>
        </w:tc>
        <w:tc>
          <w:tcPr>
            <w:tcW w:w="1871" w:type="dxa"/>
          </w:tcPr>
          <w:p w14:paraId="056AEAFD" w14:textId="77777777" w:rsidR="00F67E9E" w:rsidRPr="00413E59" w:rsidRDefault="00F67E9E" w:rsidP="007F74AA">
            <w:pPr>
              <w:pStyle w:val="StdBodyText"/>
              <w:spacing w:before="0" w:after="0"/>
              <w:rPr>
                <w:rFonts w:cs="Arial"/>
              </w:rPr>
            </w:pPr>
          </w:p>
        </w:tc>
        <w:tc>
          <w:tcPr>
            <w:tcW w:w="1871" w:type="dxa"/>
          </w:tcPr>
          <w:p w14:paraId="71C5986A" w14:textId="77777777" w:rsidR="00F67E9E" w:rsidRPr="00413E59" w:rsidRDefault="00F67E9E" w:rsidP="007F74AA">
            <w:pPr>
              <w:pStyle w:val="StdBodyText"/>
              <w:spacing w:before="0" w:after="0"/>
              <w:rPr>
                <w:rFonts w:cs="Arial"/>
              </w:rPr>
            </w:pPr>
          </w:p>
        </w:tc>
        <w:tc>
          <w:tcPr>
            <w:tcW w:w="1871" w:type="dxa"/>
          </w:tcPr>
          <w:p w14:paraId="447516AA" w14:textId="77777777" w:rsidR="00F67E9E" w:rsidRPr="00413E59" w:rsidRDefault="00F67E9E" w:rsidP="007F74AA">
            <w:pPr>
              <w:pStyle w:val="StdBodyText"/>
              <w:spacing w:before="0" w:after="0"/>
              <w:rPr>
                <w:rFonts w:cs="Arial"/>
              </w:rPr>
            </w:pPr>
          </w:p>
        </w:tc>
        <w:tc>
          <w:tcPr>
            <w:tcW w:w="1871" w:type="dxa"/>
          </w:tcPr>
          <w:p w14:paraId="5AF350D9" w14:textId="77777777" w:rsidR="00F67E9E" w:rsidRPr="00413E59" w:rsidRDefault="00F67E9E" w:rsidP="007F74AA">
            <w:pPr>
              <w:pStyle w:val="StdBodyText"/>
              <w:spacing w:before="0" w:after="0"/>
              <w:rPr>
                <w:rFonts w:cs="Arial"/>
              </w:rPr>
            </w:pPr>
          </w:p>
        </w:tc>
        <w:tc>
          <w:tcPr>
            <w:tcW w:w="1871" w:type="dxa"/>
          </w:tcPr>
          <w:p w14:paraId="43716D8C" w14:textId="77777777" w:rsidR="00F67E9E" w:rsidRPr="00413E59" w:rsidRDefault="00F67E9E" w:rsidP="007F74AA">
            <w:pPr>
              <w:pStyle w:val="StdBodyText"/>
              <w:spacing w:before="0" w:after="0"/>
              <w:rPr>
                <w:rFonts w:cs="Arial"/>
              </w:rPr>
            </w:pPr>
          </w:p>
        </w:tc>
        <w:tc>
          <w:tcPr>
            <w:tcW w:w="1871" w:type="dxa"/>
          </w:tcPr>
          <w:p w14:paraId="71847018" w14:textId="77777777" w:rsidR="00F67E9E" w:rsidRPr="00413E59" w:rsidRDefault="00F67E9E" w:rsidP="007F74AA">
            <w:pPr>
              <w:pStyle w:val="StdBodyText"/>
              <w:spacing w:before="0" w:after="0"/>
              <w:rPr>
                <w:rFonts w:cs="Arial"/>
              </w:rPr>
            </w:pPr>
          </w:p>
        </w:tc>
        <w:tc>
          <w:tcPr>
            <w:tcW w:w="1871" w:type="dxa"/>
          </w:tcPr>
          <w:p w14:paraId="00CD3991" w14:textId="77777777" w:rsidR="00F67E9E" w:rsidRPr="00413E59" w:rsidRDefault="00F67E9E" w:rsidP="007F74AA">
            <w:pPr>
              <w:pStyle w:val="StdBodyText"/>
              <w:spacing w:before="0" w:after="0"/>
              <w:rPr>
                <w:rFonts w:cs="Arial"/>
              </w:rPr>
            </w:pPr>
          </w:p>
        </w:tc>
      </w:tr>
      <w:tr w:rsidR="00F67E9E" w:rsidRPr="00413E59" w14:paraId="29B2B77E" w14:textId="77777777" w:rsidTr="007F74AA">
        <w:tc>
          <w:tcPr>
            <w:tcW w:w="2041" w:type="dxa"/>
          </w:tcPr>
          <w:p w14:paraId="3B8FFE54" w14:textId="77777777" w:rsidR="00F67E9E" w:rsidRPr="00413E59" w:rsidRDefault="00F67E9E" w:rsidP="007F74AA">
            <w:pPr>
              <w:pStyle w:val="StdBodyText"/>
              <w:spacing w:before="0" w:after="0"/>
              <w:rPr>
                <w:rFonts w:cs="Arial"/>
              </w:rPr>
            </w:pPr>
          </w:p>
        </w:tc>
        <w:tc>
          <w:tcPr>
            <w:tcW w:w="1871" w:type="dxa"/>
          </w:tcPr>
          <w:p w14:paraId="1E1CADE4" w14:textId="77777777" w:rsidR="00F67E9E" w:rsidRPr="00413E59" w:rsidRDefault="00F67E9E" w:rsidP="007F74AA">
            <w:pPr>
              <w:pStyle w:val="StdBodyText"/>
              <w:spacing w:before="0" w:after="0"/>
              <w:rPr>
                <w:rFonts w:cs="Arial"/>
              </w:rPr>
            </w:pPr>
          </w:p>
        </w:tc>
        <w:tc>
          <w:tcPr>
            <w:tcW w:w="1871" w:type="dxa"/>
          </w:tcPr>
          <w:p w14:paraId="4D47C158" w14:textId="77777777" w:rsidR="00F67E9E" w:rsidRPr="00413E59" w:rsidRDefault="00F67E9E" w:rsidP="007F74AA">
            <w:pPr>
              <w:pStyle w:val="StdBodyText"/>
              <w:spacing w:before="0" w:after="0"/>
              <w:rPr>
                <w:rFonts w:cs="Arial"/>
              </w:rPr>
            </w:pPr>
          </w:p>
        </w:tc>
        <w:tc>
          <w:tcPr>
            <w:tcW w:w="1871" w:type="dxa"/>
          </w:tcPr>
          <w:p w14:paraId="54D12BAD" w14:textId="77777777" w:rsidR="00F67E9E" w:rsidRPr="00413E59" w:rsidRDefault="00F67E9E" w:rsidP="007F74AA">
            <w:pPr>
              <w:pStyle w:val="StdBodyText"/>
              <w:spacing w:before="0" w:after="0"/>
              <w:rPr>
                <w:rFonts w:cs="Arial"/>
              </w:rPr>
            </w:pPr>
          </w:p>
        </w:tc>
        <w:tc>
          <w:tcPr>
            <w:tcW w:w="1871" w:type="dxa"/>
          </w:tcPr>
          <w:p w14:paraId="77857C76" w14:textId="77777777" w:rsidR="00F67E9E" w:rsidRPr="00413E59" w:rsidRDefault="00F67E9E" w:rsidP="007F74AA">
            <w:pPr>
              <w:pStyle w:val="StdBodyText"/>
              <w:spacing w:before="0" w:after="0"/>
              <w:rPr>
                <w:rFonts w:cs="Arial"/>
              </w:rPr>
            </w:pPr>
          </w:p>
        </w:tc>
        <w:tc>
          <w:tcPr>
            <w:tcW w:w="1871" w:type="dxa"/>
          </w:tcPr>
          <w:p w14:paraId="5704BB4B" w14:textId="77777777" w:rsidR="00F67E9E" w:rsidRPr="00413E59" w:rsidRDefault="00F67E9E" w:rsidP="007F74AA">
            <w:pPr>
              <w:pStyle w:val="StdBodyText"/>
              <w:spacing w:before="0" w:after="0"/>
              <w:rPr>
                <w:rFonts w:cs="Arial"/>
              </w:rPr>
            </w:pPr>
          </w:p>
        </w:tc>
        <w:tc>
          <w:tcPr>
            <w:tcW w:w="1871" w:type="dxa"/>
          </w:tcPr>
          <w:p w14:paraId="6B9212F8" w14:textId="77777777" w:rsidR="00F67E9E" w:rsidRPr="00413E59" w:rsidRDefault="00F67E9E" w:rsidP="007F74AA">
            <w:pPr>
              <w:pStyle w:val="StdBodyText"/>
              <w:spacing w:before="0" w:after="0"/>
              <w:rPr>
                <w:rFonts w:cs="Arial"/>
              </w:rPr>
            </w:pPr>
          </w:p>
        </w:tc>
        <w:tc>
          <w:tcPr>
            <w:tcW w:w="1871" w:type="dxa"/>
          </w:tcPr>
          <w:p w14:paraId="5DEEB56B" w14:textId="77777777" w:rsidR="00F67E9E" w:rsidRPr="00413E59" w:rsidRDefault="00F67E9E" w:rsidP="007F74AA">
            <w:pPr>
              <w:pStyle w:val="StdBodyText"/>
              <w:spacing w:before="0" w:after="0"/>
              <w:rPr>
                <w:rFonts w:cs="Arial"/>
              </w:rPr>
            </w:pPr>
          </w:p>
        </w:tc>
      </w:tr>
    </w:tbl>
    <w:p w14:paraId="48362CA6" w14:textId="77777777" w:rsidR="00F67E9E" w:rsidRDefault="00F67E9E" w:rsidP="00F67E9E"/>
    <w:p w14:paraId="615BA7E8" w14:textId="77777777" w:rsidR="00F67E9E" w:rsidRDefault="00F67E9E" w:rsidP="00F67E9E"/>
    <w:p w14:paraId="144553B0" w14:textId="77777777" w:rsidR="00F67E9E" w:rsidRPr="00413E59" w:rsidRDefault="00F67E9E" w:rsidP="00F67E9E">
      <w:pPr>
        <w:sectPr w:rsidR="00F67E9E" w:rsidRPr="00413E59" w:rsidSect="00240D26">
          <w:footerReference w:type="default" r:id="rId81"/>
          <w:footerReference w:type="first" r:id="rId82"/>
          <w:pgSz w:w="16834" w:h="11909" w:orient="landscape" w:code="9"/>
          <w:pgMar w:top="1701" w:right="851" w:bottom="1134" w:left="851" w:header="567" w:footer="567" w:gutter="0"/>
          <w:cols w:space="720"/>
          <w:docGrid w:linePitch="326"/>
        </w:sectPr>
      </w:pPr>
    </w:p>
    <w:p w14:paraId="42A849B3" w14:textId="77777777" w:rsidR="00F67E9E" w:rsidRPr="00477926" w:rsidRDefault="00F67E9E" w:rsidP="00F67E9E">
      <w:pPr>
        <w:pStyle w:val="Heading2"/>
        <w:pageBreakBefore/>
      </w:pPr>
      <w:bookmarkStart w:id="813" w:name="Annex1toschedule12"/>
      <w:bookmarkStart w:id="814" w:name="_Ref92205977"/>
      <w:bookmarkStart w:id="815" w:name="_Toc141711929"/>
      <w:r w:rsidRPr="00477926">
        <w:t xml:space="preserve">Annex </w:t>
      </w:r>
      <w:r>
        <w:t>1</w:t>
      </w:r>
      <w:bookmarkEnd w:id="813"/>
      <w:r w:rsidRPr="00477926">
        <w:t>: Form Of Confidentiality Undertaking</w:t>
      </w:r>
      <w:bookmarkEnd w:id="814"/>
      <w:bookmarkEnd w:id="815"/>
    </w:p>
    <w:p w14:paraId="4D202BCC" w14:textId="77777777" w:rsidR="00F67E9E" w:rsidRPr="00560BA2" w:rsidRDefault="00F67E9E" w:rsidP="00F67E9E"/>
    <w:p w14:paraId="663D0DCB" w14:textId="77777777" w:rsidR="00F67E9E" w:rsidRPr="00560BA2" w:rsidRDefault="00F67E9E" w:rsidP="00F67E9E">
      <w:pPr>
        <w:pStyle w:val="BlankDocumentTitle"/>
        <w:rPr>
          <w:rFonts w:cs="Arial"/>
        </w:rPr>
      </w:pPr>
      <w:r w:rsidRPr="00560BA2">
        <w:rPr>
          <w:rFonts w:cs="Arial"/>
        </w:rPr>
        <w:t>CONFIDENTIALITY AGREEMENT</w:t>
      </w:r>
    </w:p>
    <w:p w14:paraId="4F471909" w14:textId="77777777" w:rsidR="00F67E9E" w:rsidRPr="00413E59" w:rsidRDefault="00F67E9E" w:rsidP="00F67E9E">
      <w:pPr>
        <w:pStyle w:val="StdBodyText"/>
        <w:rPr>
          <w:rFonts w:cs="Arial"/>
        </w:rPr>
      </w:pPr>
      <w:r w:rsidRPr="00560BA2">
        <w:rPr>
          <w:rStyle w:val="StdBodyTextBoldChar"/>
          <w:rFonts w:cs="Arial"/>
        </w:rPr>
        <w:t>THIS AGREEMENT</w:t>
      </w:r>
      <w:r w:rsidRPr="00413E59">
        <w:rPr>
          <w:rFonts w:cs="Arial"/>
        </w:rPr>
        <w:t xml:space="preserve"> is made on </w:t>
      </w:r>
      <w:r w:rsidRPr="00413E59">
        <w:rPr>
          <w:rFonts w:cs="Arial"/>
          <w:highlight w:val="yellow"/>
        </w:rPr>
        <w:t>[</w:t>
      </w:r>
      <w:r w:rsidRPr="00A32BBA">
        <w:rPr>
          <w:rStyle w:val="StdBodyTextBoldChar"/>
          <w:rFonts w:cs="Arial"/>
          <w:b w:val="0"/>
          <w:bCs/>
          <w:iCs/>
          <w:highlight w:val="yellow"/>
        </w:rPr>
        <w:t>date</w:t>
      </w:r>
      <w:r w:rsidRPr="00413E59">
        <w:rPr>
          <w:rFonts w:cs="Arial"/>
          <w:highlight w:val="yellow"/>
        </w:rPr>
        <w:t>]</w:t>
      </w:r>
    </w:p>
    <w:p w14:paraId="75984482" w14:textId="77777777" w:rsidR="00F67E9E" w:rsidRPr="00413E59" w:rsidRDefault="00F67E9E" w:rsidP="00F67E9E">
      <w:pPr>
        <w:pStyle w:val="StdBodyTextBold"/>
        <w:rPr>
          <w:rFonts w:cs="Arial"/>
        </w:rPr>
      </w:pPr>
      <w:r w:rsidRPr="00413E59">
        <w:rPr>
          <w:rFonts w:cs="Arial"/>
        </w:rPr>
        <w:t>BETWEEN:</w:t>
      </w:r>
    </w:p>
    <w:p w14:paraId="6D89320D" w14:textId="77777777" w:rsidR="00F67E9E" w:rsidRPr="005F1047" w:rsidRDefault="00F67E9E" w:rsidP="00F67E9E">
      <w:pPr>
        <w:pStyle w:val="PartiesBodyText"/>
        <w:tabs>
          <w:tab w:val="clear" w:pos="720"/>
          <w:tab w:val="num" w:pos="1080"/>
        </w:tabs>
      </w:pPr>
      <w:r w:rsidRPr="00B73DD6">
        <w:rPr>
          <w:rStyle w:val="StdBodyTextBoldChar"/>
          <w:rFonts w:cs="Arial"/>
          <w:highlight w:val="yellow"/>
        </w:rPr>
        <w:t>[insert</w:t>
      </w:r>
      <w:r w:rsidRPr="00A32BBA">
        <w:rPr>
          <w:rStyle w:val="StdBodyTextBoldChar"/>
          <w:rFonts w:cs="Arial"/>
          <w:b w:val="0"/>
          <w:bCs/>
          <w:highlight w:val="yellow"/>
        </w:rPr>
        <w:t xml:space="preserve"> name]</w:t>
      </w:r>
      <w:r w:rsidRPr="005F1047">
        <w:t xml:space="preserve"> of </w:t>
      </w:r>
      <w:r w:rsidRPr="00B73DD6">
        <w:rPr>
          <w:b/>
          <w:bCs/>
          <w:highlight w:val="yellow"/>
        </w:rPr>
        <w:t>[insert</w:t>
      </w:r>
      <w:r w:rsidRPr="005F1047">
        <w:rPr>
          <w:highlight w:val="yellow"/>
        </w:rPr>
        <w:t xml:space="preserve"> address]</w:t>
      </w:r>
      <w:r w:rsidRPr="005F1047">
        <w:t xml:space="preserve"> (the “</w:t>
      </w:r>
      <w:r w:rsidRPr="005F1047">
        <w:rPr>
          <w:rStyle w:val="StdBodyTextBoldChar"/>
          <w:rFonts w:cs="Arial"/>
        </w:rPr>
        <w:t>Sub-licensee</w:t>
      </w:r>
      <w:r w:rsidRPr="005F1047">
        <w:t>”); and</w:t>
      </w:r>
    </w:p>
    <w:p w14:paraId="4351FC42" w14:textId="77777777" w:rsidR="00F67E9E" w:rsidRPr="00413E59" w:rsidRDefault="00F67E9E" w:rsidP="00F67E9E">
      <w:pPr>
        <w:pStyle w:val="PartiesBodyText"/>
        <w:tabs>
          <w:tab w:val="clear" w:pos="720"/>
          <w:tab w:val="num" w:pos="1080"/>
        </w:tabs>
        <w:rPr>
          <w:rFonts w:cs="Arial"/>
        </w:rPr>
      </w:pPr>
      <w:r w:rsidRPr="00B73DD6">
        <w:rPr>
          <w:rStyle w:val="StdBodyTextBoldChar"/>
          <w:rFonts w:cs="Arial"/>
          <w:highlight w:val="yellow"/>
        </w:rPr>
        <w:t>[insert</w:t>
      </w:r>
      <w:r w:rsidRPr="00A32BBA">
        <w:rPr>
          <w:rStyle w:val="StdBodyTextBoldChar"/>
          <w:rFonts w:cs="Arial"/>
          <w:b w:val="0"/>
          <w:bCs/>
          <w:highlight w:val="yellow"/>
        </w:rPr>
        <w:t xml:space="preserve"> name]</w:t>
      </w:r>
      <w:r w:rsidRPr="00A32BBA">
        <w:rPr>
          <w:rFonts w:cs="Arial"/>
          <w:b/>
          <w:bCs/>
        </w:rPr>
        <w:t xml:space="preserve"> </w:t>
      </w:r>
      <w:r w:rsidRPr="005F1047">
        <w:rPr>
          <w:rFonts w:cs="Arial"/>
        </w:rPr>
        <w:t xml:space="preserve">of </w:t>
      </w:r>
      <w:r w:rsidRPr="00B73DD6">
        <w:rPr>
          <w:rFonts w:cs="Arial"/>
          <w:b/>
          <w:bCs/>
          <w:highlight w:val="yellow"/>
        </w:rPr>
        <w:t>[insert</w:t>
      </w:r>
      <w:r w:rsidRPr="005F1047">
        <w:rPr>
          <w:rFonts w:cs="Arial"/>
          <w:highlight w:val="yellow"/>
        </w:rPr>
        <w:t xml:space="preserve"> address]</w:t>
      </w:r>
      <w:r w:rsidRPr="005F1047">
        <w:rPr>
          <w:rFonts w:cs="Arial"/>
        </w:rPr>
        <w:t xml:space="preserve"> (the “</w:t>
      </w:r>
      <w:r w:rsidRPr="005F1047">
        <w:rPr>
          <w:rStyle w:val="StdBodyTextBoldChar"/>
          <w:rFonts w:cs="Arial"/>
        </w:rPr>
        <w:t>Supplier</w:t>
      </w:r>
      <w:r w:rsidRPr="005F1047">
        <w:rPr>
          <w:rFonts w:cs="Arial"/>
        </w:rPr>
        <w:t>” and together with the Supplier, the</w:t>
      </w:r>
      <w:r w:rsidRPr="00413E59">
        <w:rPr>
          <w:rFonts w:cs="Arial"/>
        </w:rPr>
        <w:t xml:space="preserve"> </w:t>
      </w:r>
      <w:r>
        <w:rPr>
          <w:rFonts w:cs="Arial"/>
        </w:rPr>
        <w:t>“</w:t>
      </w:r>
      <w:r w:rsidRPr="00413E59">
        <w:rPr>
          <w:rStyle w:val="StdBodyTextBoldChar"/>
          <w:rFonts w:cs="Arial"/>
        </w:rPr>
        <w:t>Parties</w:t>
      </w:r>
      <w:r>
        <w:rPr>
          <w:rFonts w:cs="Arial"/>
        </w:rPr>
        <w:t>”</w:t>
      </w:r>
      <w:r w:rsidRPr="00413E59">
        <w:rPr>
          <w:rFonts w:cs="Arial"/>
        </w:rPr>
        <w:t>).</w:t>
      </w:r>
    </w:p>
    <w:p w14:paraId="3B473A3B" w14:textId="77777777" w:rsidR="00F67E9E" w:rsidRPr="00413E59" w:rsidRDefault="00F67E9E" w:rsidP="00F67E9E">
      <w:pPr>
        <w:pStyle w:val="StdBodyTextBold"/>
        <w:rPr>
          <w:rFonts w:cs="Arial"/>
        </w:rPr>
      </w:pPr>
      <w:r w:rsidRPr="00413E59">
        <w:rPr>
          <w:rFonts w:cs="Arial"/>
        </w:rPr>
        <w:t>WHEREAS:</w:t>
      </w:r>
    </w:p>
    <w:p w14:paraId="3691C380" w14:textId="77777777" w:rsidR="00F67E9E" w:rsidRPr="005F1047" w:rsidRDefault="00F67E9E" w:rsidP="00F67E9E">
      <w:pPr>
        <w:spacing w:before="100" w:after="200"/>
        <w:ind w:left="720" w:hanging="720"/>
        <w:rPr>
          <w:rFonts w:cs="Arial"/>
        </w:rPr>
      </w:pPr>
      <w:r w:rsidRPr="00752B31">
        <w:rPr>
          <w:rFonts w:cs="Arial"/>
        </w:rPr>
        <w:t>(A)</w:t>
      </w:r>
      <w:r w:rsidRPr="00752B31">
        <w:rPr>
          <w:rFonts w:cs="Arial"/>
        </w:rPr>
        <w:tab/>
      </w:r>
      <w:r w:rsidRPr="00B73DD6">
        <w:rPr>
          <w:rFonts w:cs="Arial"/>
          <w:b/>
          <w:bCs/>
          <w:highlight w:val="yellow"/>
        </w:rPr>
        <w:t>[insert</w:t>
      </w:r>
      <w:r w:rsidRPr="005F1047">
        <w:rPr>
          <w:rFonts w:cs="Arial"/>
          <w:iCs/>
          <w:highlight w:val="yellow"/>
        </w:rPr>
        <w:t xml:space="preserve"> name of Authority</w:t>
      </w:r>
      <w:r w:rsidRPr="00413E59">
        <w:rPr>
          <w:rFonts w:cs="Arial"/>
          <w:highlight w:val="yellow"/>
        </w:rPr>
        <w:t>]</w:t>
      </w:r>
      <w:r w:rsidRPr="00413E59">
        <w:rPr>
          <w:rFonts w:cs="Arial"/>
        </w:rPr>
        <w:t xml:space="preserve"> (the </w:t>
      </w:r>
      <w:r>
        <w:rPr>
          <w:rFonts w:cs="Arial"/>
        </w:rPr>
        <w:t>“</w:t>
      </w:r>
      <w:r w:rsidRPr="00413E59">
        <w:rPr>
          <w:rStyle w:val="StdBodyTextBoldChar"/>
          <w:rFonts w:eastAsiaTheme="minorHAnsi" w:cs="Arial"/>
        </w:rPr>
        <w:t>Authority</w:t>
      </w:r>
      <w:r>
        <w:rPr>
          <w:rFonts w:cs="Arial"/>
        </w:rPr>
        <w:t>”</w:t>
      </w:r>
      <w:r w:rsidRPr="00413E59">
        <w:rPr>
          <w:rFonts w:cs="Arial"/>
        </w:rPr>
        <w:t xml:space="preserve">) and the Supplier are party to a </w:t>
      </w:r>
      <w:r w:rsidRPr="00560BA2">
        <w:rPr>
          <w:rFonts w:cs="Arial"/>
        </w:rPr>
        <w:t>contract</w:t>
      </w:r>
      <w:r w:rsidRPr="00413E59">
        <w:rPr>
          <w:rFonts w:cs="Arial"/>
        </w:rPr>
        <w:t xml:space="preserve"> dated </w:t>
      </w:r>
      <w:r w:rsidRPr="00B73DD6">
        <w:rPr>
          <w:rFonts w:cs="Arial"/>
          <w:b/>
          <w:bCs/>
          <w:highlight w:val="yellow"/>
        </w:rPr>
        <w:t>[insert</w:t>
      </w:r>
      <w:r w:rsidRPr="005F1047">
        <w:rPr>
          <w:rFonts w:cs="Arial"/>
          <w:highlight w:val="yellow"/>
        </w:rPr>
        <w:t xml:space="preserve"> date]</w:t>
      </w:r>
      <w:r w:rsidRPr="005F1047">
        <w:rPr>
          <w:rFonts w:cs="Arial"/>
        </w:rPr>
        <w:t xml:space="preserve"> (the “</w:t>
      </w:r>
      <w:r w:rsidRPr="005F1047">
        <w:rPr>
          <w:rStyle w:val="StdBodyTextBoldChar"/>
          <w:rFonts w:eastAsiaTheme="minorHAnsi" w:cs="Arial"/>
        </w:rPr>
        <w:t>Contract</w:t>
      </w:r>
      <w:r w:rsidRPr="005F1047">
        <w:rPr>
          <w:rFonts w:cs="Arial"/>
        </w:rPr>
        <w:t xml:space="preserve">”) for the provision by the Supplier of </w:t>
      </w:r>
      <w:r w:rsidRPr="00B73DD6">
        <w:rPr>
          <w:rFonts w:cs="Arial"/>
          <w:b/>
          <w:highlight w:val="yellow"/>
        </w:rPr>
        <w:t>[insert</w:t>
      </w:r>
      <w:r w:rsidRPr="005F1047">
        <w:rPr>
          <w:rFonts w:cs="Arial"/>
          <w:highlight w:val="yellow"/>
        </w:rPr>
        <w:t xml:space="preserve"> brief description of services]</w:t>
      </w:r>
      <w:r w:rsidRPr="005F1047">
        <w:rPr>
          <w:rFonts w:cs="Arial"/>
        </w:rPr>
        <w:t xml:space="preserve"> to the Authority.</w:t>
      </w:r>
    </w:p>
    <w:p w14:paraId="1105C5B7" w14:textId="77777777" w:rsidR="00F67E9E" w:rsidRPr="00560BA2" w:rsidRDefault="00F67E9E" w:rsidP="00F67E9E">
      <w:pPr>
        <w:spacing w:before="100" w:after="200"/>
        <w:ind w:left="720" w:hanging="720"/>
        <w:rPr>
          <w:rFonts w:cs="Arial"/>
        </w:rPr>
      </w:pPr>
      <w:bookmarkStart w:id="816" w:name="_Ref41994004"/>
      <w:r>
        <w:rPr>
          <w:rFonts w:cs="Arial"/>
        </w:rPr>
        <w:t>(B)</w:t>
      </w:r>
      <w:r>
        <w:rPr>
          <w:rFonts w:cs="Arial"/>
        </w:rPr>
        <w:tab/>
      </w:r>
      <w:r w:rsidRPr="00560BA2">
        <w:rPr>
          <w:rFonts w:cs="Arial"/>
        </w:rPr>
        <w:t xml:space="preserve">The Authority wishes to grant a sub-licence to the Sub-licensee in respect of certain software and intellectual property rights licensed to the Authority pursuant to the Contract (the </w:t>
      </w:r>
      <w:r>
        <w:rPr>
          <w:rFonts w:cs="Arial"/>
        </w:rPr>
        <w:t>“</w:t>
      </w:r>
      <w:r w:rsidRPr="00560BA2">
        <w:rPr>
          <w:rStyle w:val="StdBodyTextBoldChar"/>
          <w:rFonts w:eastAsiaTheme="minorHAnsi" w:cs="Arial"/>
        </w:rPr>
        <w:t>Sub-licence</w:t>
      </w:r>
      <w:r>
        <w:rPr>
          <w:rFonts w:cs="Arial"/>
        </w:rPr>
        <w:t>”</w:t>
      </w:r>
      <w:r w:rsidRPr="00560BA2">
        <w:rPr>
          <w:rFonts w:cs="Arial"/>
        </w:rPr>
        <w:t>).</w:t>
      </w:r>
      <w:bookmarkEnd w:id="816"/>
    </w:p>
    <w:p w14:paraId="257ECA82" w14:textId="77777777" w:rsidR="00F67E9E" w:rsidRPr="00560BA2" w:rsidRDefault="00F67E9E" w:rsidP="00F67E9E">
      <w:pPr>
        <w:spacing w:before="100" w:after="200"/>
        <w:ind w:left="720" w:hanging="720"/>
        <w:rPr>
          <w:rFonts w:cs="Arial"/>
        </w:rPr>
      </w:pPr>
      <w:r>
        <w:rPr>
          <w:rFonts w:cs="Arial"/>
        </w:rPr>
        <w:t>(C)</w:t>
      </w:r>
      <w:r>
        <w:rPr>
          <w:rFonts w:cs="Arial"/>
        </w:rPr>
        <w:tab/>
      </w:r>
      <w:r w:rsidRPr="00560BA2">
        <w:rPr>
          <w:rFonts w:cs="Arial"/>
        </w:rPr>
        <w:t>It is a requirement of the Contract that, before the Authority grants such sub-licence to the Sub-licensee, the Sub-licensee execute a confidentiality agreement in favour of the Supplier in or substantially in the form of this Agreement to protect the Confidential Information of the Supplier.</w:t>
      </w:r>
    </w:p>
    <w:p w14:paraId="0C2BAC94" w14:textId="77777777" w:rsidR="00F67E9E" w:rsidRPr="00560BA2" w:rsidRDefault="00F67E9E" w:rsidP="00F67E9E">
      <w:pPr>
        <w:pStyle w:val="StdBodyTextBold"/>
        <w:rPr>
          <w:rFonts w:cs="Arial"/>
        </w:rPr>
      </w:pPr>
      <w:r w:rsidRPr="00560BA2">
        <w:rPr>
          <w:rFonts w:cs="Arial"/>
        </w:rPr>
        <w:t>IT IS AGREED as follows:</w:t>
      </w:r>
    </w:p>
    <w:p w14:paraId="02886AF5" w14:textId="77777777" w:rsidR="00F67E9E" w:rsidRPr="00560BA2" w:rsidRDefault="00F67E9E" w:rsidP="00F67E9E">
      <w:pPr>
        <w:pStyle w:val="AppendixText1"/>
        <w:numPr>
          <w:ilvl w:val="0"/>
          <w:numId w:val="55"/>
        </w:numPr>
      </w:pPr>
      <w:r w:rsidRPr="00820382">
        <w:t>Interpretation</w:t>
      </w:r>
    </w:p>
    <w:p w14:paraId="467BED87" w14:textId="77777777" w:rsidR="00F67E9E" w:rsidRPr="00560BA2" w:rsidRDefault="00F67E9E" w:rsidP="00F67E9E">
      <w:pPr>
        <w:pStyle w:val="AppendixText2"/>
      </w:pPr>
      <w:r w:rsidRPr="00560BA2">
        <w:t>In this Agreement, unless the context otherwise requires:</w:t>
      </w:r>
    </w:p>
    <w:tbl>
      <w:tblPr>
        <w:tblStyle w:val="MSAdefinitions"/>
        <w:tblW w:w="9638" w:type="dxa"/>
        <w:tblLook w:val="04A0" w:firstRow="1" w:lastRow="0" w:firstColumn="1" w:lastColumn="0" w:noHBand="0" w:noVBand="1"/>
      </w:tblPr>
      <w:tblGrid>
        <w:gridCol w:w="2835"/>
        <w:gridCol w:w="6803"/>
      </w:tblGrid>
      <w:tr w:rsidR="00F67E9E" w:rsidRPr="00560BA2" w14:paraId="41995679" w14:textId="77777777" w:rsidTr="007F74AA">
        <w:tc>
          <w:tcPr>
            <w:tcW w:w="2835" w:type="dxa"/>
          </w:tcPr>
          <w:p w14:paraId="1B543A8D" w14:textId="77777777" w:rsidR="00F67E9E" w:rsidRPr="00560BA2" w:rsidRDefault="00F67E9E" w:rsidP="007F74AA">
            <w:pPr>
              <w:pStyle w:val="StdBodyTextBold"/>
              <w:rPr>
                <w:rFonts w:cs="Arial"/>
              </w:rPr>
            </w:pPr>
            <w:r>
              <w:rPr>
                <w:rFonts w:cs="Arial"/>
              </w:rPr>
              <w:t>“</w:t>
            </w:r>
            <w:r w:rsidRPr="00560BA2">
              <w:rPr>
                <w:rFonts w:cs="Arial"/>
              </w:rPr>
              <w:t>Confidential Information</w:t>
            </w:r>
            <w:r>
              <w:rPr>
                <w:rFonts w:cs="Arial"/>
              </w:rPr>
              <w:t>”</w:t>
            </w:r>
          </w:p>
        </w:tc>
        <w:tc>
          <w:tcPr>
            <w:tcW w:w="6803" w:type="dxa"/>
          </w:tcPr>
          <w:p w14:paraId="0956E9ED" w14:textId="77777777" w:rsidR="00F67E9E" w:rsidRPr="00560BA2" w:rsidRDefault="00F67E9E" w:rsidP="007F74AA">
            <w:pPr>
              <w:pStyle w:val="StdBodyText"/>
              <w:ind w:left="-60"/>
              <w:rPr>
                <w:rFonts w:cs="Arial"/>
              </w:rPr>
            </w:pPr>
            <w:r w:rsidRPr="00560BA2">
              <w:rPr>
                <w:rFonts w:cs="Arial"/>
              </w:rPr>
              <w:t>means:</w:t>
            </w:r>
          </w:p>
          <w:p w14:paraId="6658CD23" w14:textId="77777777" w:rsidR="00F67E9E" w:rsidRPr="00EE4885" w:rsidRDefault="00F67E9E" w:rsidP="007F74AA">
            <w:pPr>
              <w:pStyle w:val="DefinitionList"/>
              <w:numPr>
                <w:ilvl w:val="0"/>
                <w:numId w:val="281"/>
              </w:numPr>
              <w:rPr>
                <w:rFonts w:cs="Arial"/>
              </w:rPr>
            </w:pPr>
            <w:r w:rsidRPr="00EE4885">
              <w:rPr>
                <w:rFonts w:cs="Arial"/>
              </w:rPr>
              <w:t>Information, including all personal data within the meaning of the Data Protection Act 2018, and however it is conveyed, provided by the Authority to the Sub-licensee pursuant to or in connection with the Sub-licence that relates to:</w:t>
            </w:r>
          </w:p>
          <w:p w14:paraId="77C29FB6" w14:textId="77777777" w:rsidR="00F67E9E" w:rsidRPr="00560BA2" w:rsidRDefault="00F67E9E" w:rsidP="00F67E9E">
            <w:pPr>
              <w:pStyle w:val="DefinitionListLevel1"/>
              <w:numPr>
                <w:ilvl w:val="1"/>
                <w:numId w:val="108"/>
              </w:numPr>
              <w:ind w:left="1470" w:hanging="810"/>
              <w:rPr>
                <w:rFonts w:cs="Arial"/>
              </w:rPr>
            </w:pPr>
            <w:r w:rsidRPr="00560BA2">
              <w:rPr>
                <w:rFonts w:cs="Arial"/>
              </w:rPr>
              <w:t>the Supplier; or</w:t>
            </w:r>
          </w:p>
          <w:p w14:paraId="00760DD2" w14:textId="77777777" w:rsidR="00F67E9E" w:rsidRPr="00560BA2" w:rsidRDefault="00F67E9E" w:rsidP="00F67E9E">
            <w:pPr>
              <w:pStyle w:val="DefinitionListLevel1"/>
              <w:numPr>
                <w:ilvl w:val="1"/>
                <w:numId w:val="108"/>
              </w:numPr>
              <w:ind w:left="1470" w:hanging="810"/>
              <w:rPr>
                <w:rFonts w:cs="Arial"/>
              </w:rPr>
            </w:pPr>
            <w:r w:rsidRPr="00560BA2">
              <w:rPr>
                <w:rFonts w:cs="Arial"/>
              </w:rPr>
              <w:t>the operations, business, affairs, developments, intellectual property rights, trade secrets, know-how and/or personnel of the Supplier;</w:t>
            </w:r>
          </w:p>
          <w:p w14:paraId="4BFCD8C7" w14:textId="77777777" w:rsidR="00F67E9E" w:rsidRPr="00560BA2" w:rsidRDefault="00F67E9E" w:rsidP="007F74AA">
            <w:pPr>
              <w:pStyle w:val="DefinitionList"/>
              <w:numPr>
                <w:ilvl w:val="0"/>
                <w:numId w:val="281"/>
              </w:numPr>
              <w:rPr>
                <w:rFonts w:cs="Arial"/>
              </w:rPr>
            </w:pPr>
            <w:r w:rsidRPr="00560BA2">
              <w:rPr>
                <w:rFonts w:cs="Arial"/>
              </w:rPr>
              <w:t>the source code and the object code of the software sub-licensed to the Sub-licensee pursuant to the Sub-licence together with build information, relevant design and development information, technical specifications of all functionality including those not included in standard manuals (such as those that modify system performance and access levels), configuration details, test scripts, user manuals, operating manuals, process definitions and procedures, and all such other documentation supplied by the Supplier to the Authority pursuant to or in connection with the Sub-licence;</w:t>
            </w:r>
          </w:p>
          <w:p w14:paraId="3E151992" w14:textId="77777777" w:rsidR="00F67E9E" w:rsidRPr="00560BA2" w:rsidRDefault="00F67E9E" w:rsidP="007F74AA">
            <w:pPr>
              <w:pStyle w:val="DefinitionList"/>
              <w:numPr>
                <w:ilvl w:val="0"/>
                <w:numId w:val="281"/>
              </w:numPr>
              <w:rPr>
                <w:rFonts w:cs="Arial"/>
              </w:rPr>
            </w:pPr>
            <w:r w:rsidRPr="00560BA2">
              <w:rPr>
                <w:rFonts w:cs="Arial"/>
              </w:rPr>
              <w:t>other Information provided by the Authority pursuant to this Agreement to the Sub-licensee that is clearly designated as being confidential or equivalent or that ought reasonably to be considered to be confidential which comes (or has come) to the Sub-licensee</w:t>
            </w:r>
            <w:r>
              <w:rPr>
                <w:rFonts w:cs="Arial"/>
              </w:rPr>
              <w:t>’</w:t>
            </w:r>
            <w:r w:rsidRPr="00560BA2">
              <w:rPr>
                <w:rFonts w:cs="Arial"/>
              </w:rPr>
              <w:t>s attention or into the Sub-licensee</w:t>
            </w:r>
            <w:r>
              <w:rPr>
                <w:rFonts w:cs="Arial"/>
              </w:rPr>
              <w:t>’</w:t>
            </w:r>
            <w:r w:rsidRPr="00560BA2">
              <w:rPr>
                <w:rFonts w:cs="Arial"/>
              </w:rPr>
              <w:t>s possession in connection with the Sub-licence; and</w:t>
            </w:r>
          </w:p>
          <w:p w14:paraId="4A82BBB9" w14:textId="77777777" w:rsidR="00F67E9E" w:rsidRPr="00560BA2" w:rsidRDefault="00F67E9E" w:rsidP="007F74AA">
            <w:pPr>
              <w:pStyle w:val="DefinitionList"/>
              <w:numPr>
                <w:ilvl w:val="0"/>
                <w:numId w:val="281"/>
              </w:numPr>
              <w:rPr>
                <w:rFonts w:cs="Arial"/>
              </w:rPr>
            </w:pPr>
            <w:r w:rsidRPr="00560BA2">
              <w:rPr>
                <w:rFonts w:cs="Arial"/>
              </w:rPr>
              <w:t>Information derived from any of the above,</w:t>
            </w:r>
          </w:p>
          <w:p w14:paraId="14687F34" w14:textId="77777777" w:rsidR="00F67E9E" w:rsidRPr="00560BA2" w:rsidRDefault="00F67E9E" w:rsidP="007F74AA">
            <w:pPr>
              <w:pStyle w:val="StdBodyText"/>
              <w:ind w:left="660"/>
              <w:rPr>
                <w:rFonts w:cs="Arial"/>
              </w:rPr>
            </w:pPr>
            <w:r w:rsidRPr="00560BA2">
              <w:rPr>
                <w:rFonts w:cs="Arial"/>
              </w:rPr>
              <w:t>but not including any Information that:</w:t>
            </w:r>
          </w:p>
          <w:p w14:paraId="07E49CF3" w14:textId="77777777" w:rsidR="00F67E9E" w:rsidRPr="007216EA" w:rsidRDefault="00F67E9E" w:rsidP="007F74AA">
            <w:pPr>
              <w:pStyle w:val="DefinitionList"/>
              <w:numPr>
                <w:ilvl w:val="0"/>
                <w:numId w:val="281"/>
              </w:numPr>
              <w:rPr>
                <w:rFonts w:cs="Arial"/>
              </w:rPr>
            </w:pPr>
            <w:r w:rsidRPr="007216EA">
              <w:rPr>
                <w:rFonts w:cs="Arial"/>
              </w:rPr>
              <w:t xml:space="preserve">was in the possession of the Sub-licensee without obligation of confidentiality prior to its disclosure by the Authority; </w:t>
            </w:r>
          </w:p>
          <w:p w14:paraId="6865CC73" w14:textId="77777777" w:rsidR="00F67E9E" w:rsidRPr="00560BA2" w:rsidRDefault="00F67E9E" w:rsidP="007F74AA">
            <w:pPr>
              <w:pStyle w:val="DefinitionList"/>
              <w:numPr>
                <w:ilvl w:val="0"/>
                <w:numId w:val="281"/>
              </w:numPr>
              <w:rPr>
                <w:rFonts w:cs="Arial"/>
              </w:rPr>
            </w:pPr>
            <w:r w:rsidRPr="00560BA2">
              <w:rPr>
                <w:rFonts w:cs="Arial"/>
              </w:rPr>
              <w:t>was already generally available and in the public domain at the time of disclosure otherwise than by a breach of this Agreement or breach of a duty of confidentiality; or</w:t>
            </w:r>
          </w:p>
          <w:p w14:paraId="24613E22" w14:textId="77777777" w:rsidR="00F67E9E" w:rsidRPr="00560BA2" w:rsidRDefault="00F67E9E" w:rsidP="007F74AA">
            <w:pPr>
              <w:pStyle w:val="DefinitionList"/>
              <w:numPr>
                <w:ilvl w:val="0"/>
                <w:numId w:val="281"/>
              </w:numPr>
              <w:rPr>
                <w:rFonts w:cs="Arial"/>
              </w:rPr>
            </w:pPr>
            <w:r w:rsidRPr="00560BA2">
              <w:rPr>
                <w:rFonts w:cs="Arial"/>
              </w:rPr>
              <w:t>was independently developed without access to the Information;</w:t>
            </w:r>
          </w:p>
        </w:tc>
      </w:tr>
      <w:tr w:rsidR="00F67E9E" w:rsidRPr="00560BA2" w14:paraId="1450E151" w14:textId="77777777" w:rsidTr="007F74AA">
        <w:tc>
          <w:tcPr>
            <w:tcW w:w="2835" w:type="dxa"/>
          </w:tcPr>
          <w:p w14:paraId="32973BAC" w14:textId="77777777" w:rsidR="00F67E9E" w:rsidRPr="00560BA2" w:rsidRDefault="00F67E9E" w:rsidP="007F74AA">
            <w:pPr>
              <w:pStyle w:val="StdBodyTextBold"/>
              <w:rPr>
                <w:rFonts w:cs="Arial"/>
              </w:rPr>
            </w:pPr>
            <w:r>
              <w:rPr>
                <w:rFonts w:cs="Arial"/>
              </w:rPr>
              <w:t>“</w:t>
            </w:r>
            <w:r w:rsidRPr="00560BA2">
              <w:rPr>
                <w:rFonts w:cs="Arial"/>
              </w:rPr>
              <w:t>Information</w:t>
            </w:r>
            <w:r>
              <w:rPr>
                <w:rFonts w:cs="Arial"/>
              </w:rPr>
              <w:t>”</w:t>
            </w:r>
          </w:p>
        </w:tc>
        <w:tc>
          <w:tcPr>
            <w:tcW w:w="6803" w:type="dxa"/>
          </w:tcPr>
          <w:p w14:paraId="6ED8F58C" w14:textId="77777777" w:rsidR="00F67E9E" w:rsidRPr="00560BA2" w:rsidRDefault="00F67E9E" w:rsidP="007F74AA">
            <w:pPr>
              <w:pStyle w:val="StdBodyText"/>
              <w:rPr>
                <w:rFonts w:cs="Arial"/>
              </w:rPr>
            </w:pPr>
            <w:r w:rsidRPr="00560BA2">
              <w:rPr>
                <w:rFonts w:cs="Arial"/>
              </w:rPr>
              <w:t>means all information of whatever nature, however conveyed and in whatever form, including in writing, orally, by demonstration, electronically and in a tangible, visual or machine-readable medium (including CD-ROM, magnetic and digital form); and</w:t>
            </w:r>
          </w:p>
        </w:tc>
      </w:tr>
      <w:tr w:rsidR="00F67E9E" w:rsidRPr="00560BA2" w14:paraId="44FFA375" w14:textId="77777777" w:rsidTr="007F74AA">
        <w:tc>
          <w:tcPr>
            <w:tcW w:w="2835" w:type="dxa"/>
          </w:tcPr>
          <w:p w14:paraId="7DE091CD" w14:textId="77777777" w:rsidR="00F67E9E" w:rsidRPr="00560BA2" w:rsidRDefault="00F67E9E" w:rsidP="007F74AA">
            <w:pPr>
              <w:pStyle w:val="StdBodyTextBold"/>
              <w:rPr>
                <w:rFonts w:cs="Arial"/>
              </w:rPr>
            </w:pPr>
            <w:r>
              <w:rPr>
                <w:rFonts w:cs="Arial"/>
              </w:rPr>
              <w:t>“</w:t>
            </w:r>
            <w:r w:rsidRPr="00560BA2">
              <w:rPr>
                <w:rFonts w:cs="Arial"/>
              </w:rPr>
              <w:t>Sub-licence</w:t>
            </w:r>
            <w:r>
              <w:rPr>
                <w:rFonts w:cs="Arial"/>
              </w:rPr>
              <w:t>”</w:t>
            </w:r>
          </w:p>
        </w:tc>
        <w:tc>
          <w:tcPr>
            <w:tcW w:w="6803" w:type="dxa"/>
          </w:tcPr>
          <w:p w14:paraId="2B465A36" w14:textId="7257A69D" w:rsidR="00F67E9E" w:rsidRPr="00560BA2" w:rsidRDefault="00F67E9E" w:rsidP="007F74AA">
            <w:pPr>
              <w:pStyle w:val="StdBodyText"/>
              <w:rPr>
                <w:rFonts w:cs="Arial"/>
              </w:rPr>
            </w:pPr>
            <w:r w:rsidRPr="00560BA2">
              <w:rPr>
                <w:rFonts w:cs="Arial"/>
              </w:rPr>
              <w:t xml:space="preserve">has the meaning given to that expression in recital </w:t>
            </w:r>
            <w:r w:rsidRPr="00560BA2">
              <w:rPr>
                <w:rFonts w:cs="Arial"/>
              </w:rPr>
              <w:fldChar w:fldCharType="begin"/>
            </w:r>
            <w:r w:rsidRPr="00560BA2">
              <w:rPr>
                <w:rFonts w:cs="Arial"/>
              </w:rPr>
              <w:instrText xml:space="preserve"> REF _Ref41994004 \r \h  \* MERGEFORMAT </w:instrText>
            </w:r>
            <w:r w:rsidRPr="00560BA2">
              <w:rPr>
                <w:rFonts w:cs="Arial"/>
              </w:rPr>
            </w:r>
            <w:r w:rsidRPr="00560BA2">
              <w:rPr>
                <w:rFonts w:cs="Arial"/>
              </w:rPr>
              <w:fldChar w:fldCharType="separate"/>
            </w:r>
            <w:r w:rsidR="00302D39">
              <w:rPr>
                <w:rFonts w:cs="Arial"/>
              </w:rPr>
              <w:t>0</w:t>
            </w:r>
            <w:r w:rsidRPr="00560BA2">
              <w:rPr>
                <w:rFonts w:cs="Arial"/>
              </w:rPr>
              <w:fldChar w:fldCharType="end"/>
            </w:r>
            <w:r w:rsidRPr="00560BA2">
              <w:rPr>
                <w:rFonts w:cs="Arial"/>
              </w:rPr>
              <w:t xml:space="preserve"> to this Agreement.</w:t>
            </w:r>
          </w:p>
        </w:tc>
      </w:tr>
    </w:tbl>
    <w:p w14:paraId="1E2E912E" w14:textId="77777777" w:rsidR="00F67E9E" w:rsidRPr="00560BA2" w:rsidRDefault="00F67E9E" w:rsidP="00F67E9E">
      <w:pPr>
        <w:pStyle w:val="AppendixText2"/>
      </w:pPr>
      <w:r w:rsidRPr="00560BA2">
        <w:t>In this Agreement:</w:t>
      </w:r>
    </w:p>
    <w:p w14:paraId="7B8444BC" w14:textId="77777777" w:rsidR="00F67E9E" w:rsidRPr="00560BA2" w:rsidRDefault="00F67E9E" w:rsidP="00F67E9E">
      <w:pPr>
        <w:pStyle w:val="AppendixText3"/>
        <w:tabs>
          <w:tab w:val="clear" w:pos="1800"/>
          <w:tab w:val="num" w:pos="2160"/>
        </w:tabs>
      </w:pPr>
      <w:r w:rsidRPr="00560BA2">
        <w:t>a reference to any gender includes a reference to other genders;</w:t>
      </w:r>
    </w:p>
    <w:p w14:paraId="1C4DD4E3" w14:textId="77777777" w:rsidR="00F67E9E" w:rsidRPr="00560BA2" w:rsidRDefault="00F67E9E" w:rsidP="00F67E9E">
      <w:pPr>
        <w:pStyle w:val="AppendixText3"/>
        <w:tabs>
          <w:tab w:val="clear" w:pos="1800"/>
          <w:tab w:val="num" w:pos="2160"/>
        </w:tabs>
      </w:pPr>
      <w:r w:rsidRPr="00560BA2">
        <w:t>the singular includes the plural and vice versa;</w:t>
      </w:r>
    </w:p>
    <w:p w14:paraId="70ECD437" w14:textId="77777777" w:rsidR="00F67E9E" w:rsidRPr="00560BA2" w:rsidRDefault="00F67E9E" w:rsidP="00F67E9E">
      <w:pPr>
        <w:pStyle w:val="AppendixText3"/>
        <w:tabs>
          <w:tab w:val="clear" w:pos="1800"/>
          <w:tab w:val="num" w:pos="2160"/>
        </w:tabs>
      </w:pPr>
      <w:r w:rsidRPr="00560BA2">
        <w:t xml:space="preserve">the words </w:t>
      </w:r>
      <w:r>
        <w:t>“</w:t>
      </w:r>
      <w:r w:rsidRPr="00560BA2">
        <w:t>include</w:t>
      </w:r>
      <w:r>
        <w:t>”</w:t>
      </w:r>
      <w:r w:rsidRPr="00560BA2">
        <w:t xml:space="preserve"> and cognate expressions shall be construed as if they were immediately followed by the words </w:t>
      </w:r>
      <w:r>
        <w:t>“</w:t>
      </w:r>
      <w:r w:rsidRPr="00560BA2">
        <w:t>without limitation</w:t>
      </w:r>
      <w:r>
        <w:t>”</w:t>
      </w:r>
      <w:r w:rsidRPr="00560BA2">
        <w:t>;</w:t>
      </w:r>
    </w:p>
    <w:p w14:paraId="48963452" w14:textId="77777777" w:rsidR="00F67E9E" w:rsidRPr="00560BA2" w:rsidRDefault="00F67E9E" w:rsidP="00F67E9E">
      <w:pPr>
        <w:pStyle w:val="AppendixText3"/>
        <w:tabs>
          <w:tab w:val="clear" w:pos="1800"/>
          <w:tab w:val="num" w:pos="2160"/>
        </w:tabs>
      </w:pPr>
      <w:r w:rsidRPr="00560BA2">
        <w:t xml:space="preserve">references to any statutory provision include a reference to that provision as modified, replaced, amended and/or re-enacted from time to time (before or after the date of this Agreement) and any prior or subsequent subordinate legislation made under it; </w:t>
      </w:r>
    </w:p>
    <w:p w14:paraId="45620ED2" w14:textId="77777777" w:rsidR="00F67E9E" w:rsidRPr="00560BA2" w:rsidRDefault="00F67E9E" w:rsidP="00F67E9E">
      <w:pPr>
        <w:pStyle w:val="AppendixText3"/>
        <w:tabs>
          <w:tab w:val="clear" w:pos="1800"/>
          <w:tab w:val="num" w:pos="2160"/>
        </w:tabs>
      </w:pPr>
      <w:r w:rsidRPr="00560BA2">
        <w:t>headings are included for ease of reference only and shall not affect the interpretation or construction of this Agreement; and</w:t>
      </w:r>
    </w:p>
    <w:p w14:paraId="5DDF70BE" w14:textId="77777777" w:rsidR="00F67E9E" w:rsidRPr="00560BA2" w:rsidRDefault="00F67E9E" w:rsidP="00F67E9E">
      <w:pPr>
        <w:pStyle w:val="AppendixText3"/>
        <w:tabs>
          <w:tab w:val="clear" w:pos="1800"/>
          <w:tab w:val="num" w:pos="2160"/>
        </w:tabs>
      </w:pPr>
      <w:r w:rsidRPr="00560BA2">
        <w:t>references to Clauses are to clauses of this Agreement.</w:t>
      </w:r>
    </w:p>
    <w:p w14:paraId="5FF51CC9" w14:textId="77777777" w:rsidR="00F67E9E" w:rsidRPr="00560BA2" w:rsidRDefault="00F67E9E" w:rsidP="00F67E9E">
      <w:pPr>
        <w:pStyle w:val="AppendixText1"/>
      </w:pPr>
      <w:r w:rsidRPr="00560BA2">
        <w:t>Confidentiality Obligations</w:t>
      </w:r>
    </w:p>
    <w:p w14:paraId="595E3D36" w14:textId="77777777" w:rsidR="00F67E9E" w:rsidRPr="00560BA2" w:rsidRDefault="00F67E9E" w:rsidP="00F67E9E">
      <w:pPr>
        <w:pStyle w:val="AppendixText2"/>
      </w:pPr>
      <w:r w:rsidRPr="00560BA2">
        <w:t>In consideration of the Authority entering into the Sub-licence, the Sub-licensee shall:</w:t>
      </w:r>
    </w:p>
    <w:p w14:paraId="0F5F1391" w14:textId="77777777" w:rsidR="00F67E9E" w:rsidRPr="00560BA2" w:rsidRDefault="00F67E9E" w:rsidP="00F67E9E">
      <w:pPr>
        <w:pStyle w:val="AppendixText3"/>
        <w:tabs>
          <w:tab w:val="clear" w:pos="1800"/>
          <w:tab w:val="num" w:pos="2160"/>
        </w:tabs>
      </w:pPr>
      <w:r w:rsidRPr="00560BA2">
        <w:t>treat all Confidential Information as secret and confidential;</w:t>
      </w:r>
    </w:p>
    <w:p w14:paraId="4D7E5813" w14:textId="77777777" w:rsidR="00F67E9E" w:rsidRPr="00560BA2" w:rsidRDefault="00F67E9E" w:rsidP="00F67E9E">
      <w:pPr>
        <w:pStyle w:val="AppendixText3"/>
        <w:tabs>
          <w:tab w:val="clear" w:pos="1800"/>
          <w:tab w:val="num" w:pos="2160"/>
        </w:tabs>
      </w:pPr>
      <w:r w:rsidRPr="00560BA2">
        <w:t xml:space="preserve">have in place and maintain proper security measures and procedures to protect the confidentiality of the Confidential Information (having regard to its form and nature); </w:t>
      </w:r>
    </w:p>
    <w:p w14:paraId="0305A5CD" w14:textId="77777777" w:rsidR="00F67E9E" w:rsidRPr="00560BA2" w:rsidRDefault="00F67E9E" w:rsidP="00F67E9E">
      <w:pPr>
        <w:pStyle w:val="AppendixText3"/>
        <w:tabs>
          <w:tab w:val="clear" w:pos="1800"/>
          <w:tab w:val="num" w:pos="2160"/>
        </w:tabs>
      </w:pPr>
      <w:r w:rsidRPr="00560BA2">
        <w:t xml:space="preserve">not disclose or permit the disclosure of any of the Confidential Information to any other person without obtaining the prior written consent of the Supplier or except as expressly set out in this Agreement; </w:t>
      </w:r>
    </w:p>
    <w:p w14:paraId="0AB6553C" w14:textId="77777777" w:rsidR="00F67E9E" w:rsidRPr="00560BA2" w:rsidRDefault="00F67E9E" w:rsidP="00F67E9E">
      <w:pPr>
        <w:pStyle w:val="AppendixText3"/>
        <w:tabs>
          <w:tab w:val="clear" w:pos="1800"/>
          <w:tab w:val="num" w:pos="2160"/>
        </w:tabs>
      </w:pPr>
      <w:r w:rsidRPr="00560BA2">
        <w:t>not transfer any of the Confidential Information outside the United Kingdom;</w:t>
      </w:r>
    </w:p>
    <w:p w14:paraId="0FF09546" w14:textId="77777777" w:rsidR="00F67E9E" w:rsidRPr="00560BA2" w:rsidRDefault="00F67E9E" w:rsidP="00F67E9E">
      <w:pPr>
        <w:pStyle w:val="AppendixText3"/>
        <w:tabs>
          <w:tab w:val="clear" w:pos="1800"/>
          <w:tab w:val="num" w:pos="2160"/>
        </w:tabs>
      </w:pPr>
      <w:r w:rsidRPr="00560BA2">
        <w:t xml:space="preserve">not use or exploit any of the Confidential Information for any purpose whatsoever other than as permitted under the Sub-licence; </w:t>
      </w:r>
    </w:p>
    <w:p w14:paraId="1B9B6AED" w14:textId="77777777" w:rsidR="00F67E9E" w:rsidRPr="00560BA2" w:rsidRDefault="00F67E9E" w:rsidP="00F67E9E">
      <w:pPr>
        <w:pStyle w:val="AppendixText3"/>
        <w:tabs>
          <w:tab w:val="clear" w:pos="1800"/>
          <w:tab w:val="num" w:pos="2160"/>
        </w:tabs>
      </w:pPr>
      <w:r w:rsidRPr="00560BA2">
        <w:t>immediately notify the Supplier in writing if it suspects or becomes aware of any unauthorised access, copying, use or disclosure in any form of any of the Confidential Information; and</w:t>
      </w:r>
    </w:p>
    <w:p w14:paraId="3461BBC9" w14:textId="77777777" w:rsidR="00F67E9E" w:rsidRPr="00560BA2" w:rsidRDefault="00F67E9E" w:rsidP="00F67E9E">
      <w:pPr>
        <w:pStyle w:val="AppendixText3"/>
        <w:tabs>
          <w:tab w:val="clear" w:pos="1800"/>
          <w:tab w:val="num" w:pos="2160"/>
        </w:tabs>
      </w:pPr>
      <w:r w:rsidRPr="00560BA2">
        <w:t>upon the expiry or termination of the Sub-licence:</w:t>
      </w:r>
    </w:p>
    <w:p w14:paraId="246DDA43" w14:textId="77777777" w:rsidR="00F67E9E" w:rsidRPr="00560BA2" w:rsidRDefault="00F67E9E" w:rsidP="00F67E9E">
      <w:pPr>
        <w:pStyle w:val="Numbered111a"/>
        <w:tabs>
          <w:tab w:val="clear" w:pos="2520"/>
          <w:tab w:val="num" w:pos="2880"/>
        </w:tabs>
      </w:pPr>
      <w:r w:rsidRPr="00560BA2">
        <w:t>destroy or return to the Supplier all documents and other tangible materials that contain any of the Confidential Information;</w:t>
      </w:r>
    </w:p>
    <w:p w14:paraId="255AFC11" w14:textId="77777777" w:rsidR="00F67E9E" w:rsidRPr="00560BA2" w:rsidRDefault="00F67E9E" w:rsidP="00F67E9E">
      <w:pPr>
        <w:pStyle w:val="Numbered111a"/>
        <w:tabs>
          <w:tab w:val="clear" w:pos="2520"/>
          <w:tab w:val="num" w:pos="2880"/>
        </w:tabs>
      </w:pPr>
      <w:r w:rsidRPr="00560BA2">
        <w:t>ensure, so far as reasonably practicable, that all Confidential Information held in electronic, digital or other machine-readable form ceases to be readily accessible (other than by the information technology staff of the Sub-licensee) from any computer, word processor, voicemail system or any other device; and</w:t>
      </w:r>
    </w:p>
    <w:p w14:paraId="2E84F174" w14:textId="77777777" w:rsidR="00F67E9E" w:rsidRPr="00560BA2" w:rsidRDefault="00F67E9E" w:rsidP="00F67E9E">
      <w:pPr>
        <w:pStyle w:val="Numbered111a"/>
        <w:tabs>
          <w:tab w:val="clear" w:pos="2520"/>
          <w:tab w:val="num" w:pos="2880"/>
        </w:tabs>
      </w:pPr>
      <w:r w:rsidRPr="00560BA2">
        <w:t xml:space="preserve">make no further use of any Confidential Information. </w:t>
      </w:r>
    </w:p>
    <w:p w14:paraId="3D2FC618" w14:textId="77777777" w:rsidR="00F67E9E" w:rsidRPr="00560BA2" w:rsidRDefault="00F67E9E" w:rsidP="00F67E9E">
      <w:pPr>
        <w:pStyle w:val="AppendixText1"/>
      </w:pPr>
      <w:r w:rsidRPr="00560BA2">
        <w:t>Permitted Disclosures</w:t>
      </w:r>
    </w:p>
    <w:p w14:paraId="6CCF6BD5" w14:textId="77777777" w:rsidR="00F67E9E" w:rsidRPr="00560BA2" w:rsidRDefault="00F67E9E" w:rsidP="00F67E9E">
      <w:pPr>
        <w:pStyle w:val="AppendixText2"/>
      </w:pPr>
      <w:r w:rsidRPr="00560BA2">
        <w:t>The Sub-licensee may disclose Confidential Information to those of its directors, officers, employees, consultants and professional advisers who:</w:t>
      </w:r>
    </w:p>
    <w:p w14:paraId="6C68BC1E" w14:textId="77777777" w:rsidR="00F67E9E" w:rsidRPr="00560BA2" w:rsidRDefault="00F67E9E" w:rsidP="00F67E9E">
      <w:pPr>
        <w:pStyle w:val="AppendixText3"/>
        <w:tabs>
          <w:tab w:val="clear" w:pos="1800"/>
          <w:tab w:val="num" w:pos="2160"/>
        </w:tabs>
      </w:pPr>
      <w:r w:rsidRPr="00560BA2">
        <w:t>reasonably need to receive the Confidential Information in connection with the Sub-licence; and</w:t>
      </w:r>
    </w:p>
    <w:p w14:paraId="0905C0EA" w14:textId="77777777" w:rsidR="00F67E9E" w:rsidRPr="00560BA2" w:rsidRDefault="00F67E9E" w:rsidP="00F67E9E">
      <w:pPr>
        <w:pStyle w:val="AppendixText3"/>
        <w:tabs>
          <w:tab w:val="clear" w:pos="1800"/>
          <w:tab w:val="num" w:pos="2160"/>
        </w:tabs>
      </w:pPr>
      <w:r w:rsidRPr="00560BA2">
        <w:t>have been informed by the Sub-licensee of the confidential nature of the Confidential Information; and</w:t>
      </w:r>
    </w:p>
    <w:p w14:paraId="3CC687C8" w14:textId="77777777" w:rsidR="00F67E9E" w:rsidRPr="00560BA2" w:rsidRDefault="00F67E9E" w:rsidP="00F67E9E">
      <w:pPr>
        <w:pStyle w:val="AppendixText3"/>
        <w:tabs>
          <w:tab w:val="clear" w:pos="1800"/>
          <w:tab w:val="num" w:pos="2160"/>
        </w:tabs>
      </w:pPr>
      <w:r w:rsidRPr="00560BA2">
        <w:t>have agreed to terms similar to those in this Agreement.</w:t>
      </w:r>
    </w:p>
    <w:p w14:paraId="2753D508" w14:textId="77777777" w:rsidR="00F67E9E" w:rsidRPr="00820382" w:rsidRDefault="00F67E9E" w:rsidP="00F67E9E">
      <w:pPr>
        <w:pStyle w:val="AppendixText2"/>
      </w:pPr>
      <w:bookmarkStart w:id="817" w:name="_Ref_ContractCompanion_9kb9Ur9D7"/>
      <w:bookmarkStart w:id="818" w:name="_9kR3WTrAG8DHDEDeRjVgwowolxC4r6AtyA1vz9P"/>
      <w:r w:rsidRPr="00560BA2">
        <w:t xml:space="preserve">The Sub-licensee shall be entitled to disclose Confidential Information to the extent that it is required to do so by applicable law or by order of a court or other public body that has </w:t>
      </w:r>
      <w:r w:rsidRPr="00820382">
        <w:t>jurisdiction over the Sub-licensee.</w:t>
      </w:r>
      <w:bookmarkEnd w:id="817"/>
      <w:bookmarkEnd w:id="818"/>
    </w:p>
    <w:p w14:paraId="5620516C" w14:textId="04EE1565" w:rsidR="00F67E9E" w:rsidRPr="00560BA2" w:rsidRDefault="00F67E9E" w:rsidP="00F67E9E">
      <w:pPr>
        <w:pStyle w:val="AppendixText2"/>
      </w:pPr>
      <w:r w:rsidRPr="00820382">
        <w:t xml:space="preserve">Before making a disclosure pursuant to </w:t>
      </w:r>
      <w:bookmarkStart w:id="819" w:name="_9kMHG5YVtCIAFJFGFgTlXiyqyqnzE6t8Cv0C3x1"/>
      <w:r w:rsidRPr="00820382">
        <w:t xml:space="preserve">Clause </w:t>
      </w:r>
      <w:r w:rsidRPr="00820382">
        <w:fldChar w:fldCharType="begin"/>
      </w:r>
      <w:r w:rsidRPr="00820382">
        <w:instrText xml:space="preserve"> REF _Ref_ContractCompanion_9kb9Ur9D7 \n \h \t \* MERGEFORMAT </w:instrText>
      </w:r>
      <w:r w:rsidRPr="00820382">
        <w:fldChar w:fldCharType="separate"/>
      </w:r>
      <w:r w:rsidR="00B86A7D">
        <w:t>3.2</w:t>
      </w:r>
      <w:r w:rsidRPr="00820382">
        <w:fldChar w:fldCharType="end"/>
      </w:r>
      <w:bookmarkEnd w:id="819"/>
      <w:r w:rsidRPr="00820382">
        <w:t>, the Sub-licensee shall, if the circumstances</w:t>
      </w:r>
      <w:r w:rsidRPr="00560BA2">
        <w:t xml:space="preserve"> permit:</w:t>
      </w:r>
    </w:p>
    <w:p w14:paraId="30E07AF2" w14:textId="77777777" w:rsidR="00F67E9E" w:rsidRPr="00560BA2" w:rsidRDefault="00F67E9E" w:rsidP="00F67E9E">
      <w:pPr>
        <w:pStyle w:val="AppendixText3"/>
        <w:tabs>
          <w:tab w:val="clear" w:pos="1800"/>
          <w:tab w:val="num" w:pos="2160"/>
        </w:tabs>
      </w:pPr>
      <w:r w:rsidRPr="00560BA2">
        <w:t>notify the Supplier in writing of the proposed disclosure as soon as possible (and if possible before the court or other public body orders the disclosure of the Confidential Information); and</w:t>
      </w:r>
    </w:p>
    <w:p w14:paraId="2ED9602B" w14:textId="77777777" w:rsidR="00F67E9E" w:rsidRPr="00560BA2" w:rsidRDefault="00F67E9E" w:rsidP="00F67E9E">
      <w:pPr>
        <w:pStyle w:val="AppendixText3"/>
        <w:tabs>
          <w:tab w:val="clear" w:pos="1800"/>
          <w:tab w:val="num" w:pos="2160"/>
        </w:tabs>
      </w:pPr>
      <w:r w:rsidRPr="00560BA2">
        <w:t>ask the court or other public body to treat the Confidential Information as confidential.</w:t>
      </w:r>
    </w:p>
    <w:p w14:paraId="644B2BAF" w14:textId="77777777" w:rsidR="00F67E9E" w:rsidRPr="00560BA2" w:rsidRDefault="00F67E9E" w:rsidP="00F67E9E">
      <w:pPr>
        <w:pStyle w:val="AppendixText1"/>
      </w:pPr>
      <w:r w:rsidRPr="00820382">
        <w:t>General</w:t>
      </w:r>
    </w:p>
    <w:p w14:paraId="32D7BF27" w14:textId="77777777" w:rsidR="00F67E9E" w:rsidRPr="00820382" w:rsidRDefault="00F67E9E" w:rsidP="00F67E9E">
      <w:pPr>
        <w:pStyle w:val="AppendixText2"/>
      </w:pPr>
      <w:r w:rsidRPr="00560BA2">
        <w:t xml:space="preserve">The Sub-licensee acknowledges and agrees that all property, including intellectual property rights, in Confidential Information disclosed to it by the Supplier shall remain with and be vested in the </w:t>
      </w:r>
      <w:r w:rsidRPr="00820382">
        <w:t>Supplier.</w:t>
      </w:r>
    </w:p>
    <w:p w14:paraId="19CD0832" w14:textId="77777777" w:rsidR="00F67E9E" w:rsidRPr="00560BA2" w:rsidRDefault="00F67E9E" w:rsidP="00F67E9E">
      <w:pPr>
        <w:pStyle w:val="AppendixText2"/>
      </w:pPr>
      <w:r w:rsidRPr="00820382">
        <w:t>This Agreement does</w:t>
      </w:r>
      <w:r w:rsidRPr="00560BA2">
        <w:t xml:space="preserve"> not include, expressly or by implication, any representations, warranties or other obligations:</w:t>
      </w:r>
    </w:p>
    <w:p w14:paraId="69C03583" w14:textId="77777777" w:rsidR="00F67E9E" w:rsidRPr="00820382" w:rsidRDefault="00F67E9E" w:rsidP="00F67E9E">
      <w:pPr>
        <w:pStyle w:val="AppendixText3"/>
      </w:pPr>
      <w:r w:rsidRPr="00560BA2">
        <w:t xml:space="preserve">to grant </w:t>
      </w:r>
      <w:r w:rsidRPr="00820382">
        <w:t>the Sub-licensee any licence or rights other than as may be expressly stated in the Sub-licence;</w:t>
      </w:r>
    </w:p>
    <w:p w14:paraId="0DD1CA25" w14:textId="77777777" w:rsidR="00F67E9E" w:rsidRPr="00820382" w:rsidRDefault="00F67E9E" w:rsidP="00F67E9E">
      <w:pPr>
        <w:pStyle w:val="AppendixText3"/>
      </w:pPr>
      <w:r w:rsidRPr="00820382">
        <w:t>to require the Supplier to disclose, continue disclosing or update any Confidential Information; or</w:t>
      </w:r>
    </w:p>
    <w:p w14:paraId="4444A1F7" w14:textId="77777777" w:rsidR="00F67E9E" w:rsidRPr="00560BA2" w:rsidRDefault="00F67E9E" w:rsidP="00F67E9E">
      <w:pPr>
        <w:pStyle w:val="AppendixText3"/>
      </w:pPr>
      <w:r w:rsidRPr="00820382">
        <w:t>as to the accuracy, efficacy, completeness, capabilities, safety or any other qualities whatsoever of any Information or materials provided pursuant to or in anticipation</w:t>
      </w:r>
      <w:r w:rsidRPr="00560BA2">
        <w:t xml:space="preserve"> of the Sub-licence.</w:t>
      </w:r>
    </w:p>
    <w:p w14:paraId="1806673C" w14:textId="77777777" w:rsidR="00F67E9E" w:rsidRPr="00820382" w:rsidRDefault="00F67E9E" w:rsidP="00F67E9E">
      <w:pPr>
        <w:pStyle w:val="AppendixText2"/>
      </w:pPr>
      <w:r w:rsidRPr="00560BA2">
        <w:t>The rights, powers and remedies provided in this Agreement are cumulative and not exclusive of any rights, powers or remedies provided by law.</w:t>
      </w:r>
      <w:r>
        <w:t xml:space="preserve"> </w:t>
      </w:r>
      <w:r w:rsidRPr="00560BA2">
        <w:t xml:space="preserve">No failure or delay by either Party to </w:t>
      </w:r>
      <w:r w:rsidRPr="00820382">
        <w:t>exercise any right, power or remedy will operate as a waiver of it nor will any partial exercise preclude any further exercise of the same, or of some other right, power or remedy.</w:t>
      </w:r>
    </w:p>
    <w:p w14:paraId="48B32EDB" w14:textId="77777777" w:rsidR="00F67E9E" w:rsidRPr="00820382" w:rsidRDefault="00F67E9E" w:rsidP="00F67E9E">
      <w:pPr>
        <w:pStyle w:val="AppendixText2"/>
      </w:pPr>
      <w:r w:rsidRPr="00820382">
        <w:t>Without prejudice to any other rights or remedies that the Supplier may have, the Sub-licensee acknowledges and agrees that damages alone may not be an adequate remedy for any breach by the Sub-licensee of any of the provisions of this Agreement. Accordingly, the Sub-licensee acknowledges that the Supplier shall be entitled to the remedies of injunction and specific performance as well as any other equitable relief for any threatened or actual breach of this Agreement and/or breach of confidence and that no proof of special damages shall be necessary for the enforcement of such remedies.</w:t>
      </w:r>
    </w:p>
    <w:p w14:paraId="1D195B08" w14:textId="77777777" w:rsidR="00F67E9E" w:rsidRPr="00820382" w:rsidRDefault="00F67E9E" w:rsidP="00F67E9E">
      <w:pPr>
        <w:pStyle w:val="AppendixText2"/>
      </w:pPr>
      <w:r w:rsidRPr="00820382">
        <w:t>The maximum liability of the Sub-licensee to the Supplier for any breach of this Agreement shall be limited to ten million pounds (£10,000,000).</w:t>
      </w:r>
    </w:p>
    <w:p w14:paraId="70C602B7" w14:textId="77777777" w:rsidR="00F67E9E" w:rsidRPr="00820382" w:rsidRDefault="00F67E9E" w:rsidP="00F67E9E">
      <w:pPr>
        <w:pStyle w:val="AppendixText2"/>
      </w:pPr>
      <w:r w:rsidRPr="00820382">
        <w:t>For the purposes of the Contracts (Rights of Third Parties) Act 1999 no one other than the Parties has the right to enforce the terms of this Agreement.</w:t>
      </w:r>
    </w:p>
    <w:p w14:paraId="77632B40" w14:textId="77777777" w:rsidR="00F67E9E" w:rsidRPr="00820382" w:rsidRDefault="00F67E9E" w:rsidP="00F67E9E">
      <w:pPr>
        <w:pStyle w:val="AppendixText2"/>
      </w:pPr>
      <w:r w:rsidRPr="00820382">
        <w:t>Each Party shall be responsible for all costs incurred by it or on its behalf in connection with this Agreement.</w:t>
      </w:r>
    </w:p>
    <w:p w14:paraId="327F315C" w14:textId="77777777" w:rsidR="00F67E9E" w:rsidRPr="00560BA2" w:rsidRDefault="00F67E9E" w:rsidP="00F67E9E">
      <w:pPr>
        <w:pStyle w:val="AppendixText2"/>
      </w:pPr>
      <w:r w:rsidRPr="00820382">
        <w:t>This Agreement may</w:t>
      </w:r>
      <w:r w:rsidRPr="00560BA2">
        <w:t xml:space="preserve"> be executed in any number of counterparts and by the Parties on separate counterparts, but shall not be effective until each Party has executed at least one counterpart.</w:t>
      </w:r>
      <w:r>
        <w:t xml:space="preserve"> </w:t>
      </w:r>
      <w:r w:rsidRPr="00560BA2">
        <w:t>Each counterpart shall constitute an original of this Agreement, but all the counterparts shall together constitute but one and the same instrument.</w:t>
      </w:r>
    </w:p>
    <w:p w14:paraId="54955AAE" w14:textId="77777777" w:rsidR="00F67E9E" w:rsidRPr="00560BA2" w:rsidRDefault="00F67E9E" w:rsidP="00F67E9E">
      <w:pPr>
        <w:pStyle w:val="AppendixText1"/>
      </w:pPr>
      <w:r w:rsidRPr="00560BA2">
        <w:t>Notices</w:t>
      </w:r>
    </w:p>
    <w:p w14:paraId="00C4B143" w14:textId="2F6C77E0" w:rsidR="00F67E9E" w:rsidRPr="00820382" w:rsidRDefault="00F67E9E" w:rsidP="00F67E9E">
      <w:pPr>
        <w:pStyle w:val="AppendixText2"/>
      </w:pPr>
      <w:r w:rsidRPr="00560BA2">
        <w:t xml:space="preserve">Any notice to be given under this Agreement (each a </w:t>
      </w:r>
      <w:r>
        <w:t>“</w:t>
      </w:r>
      <w:r w:rsidRPr="002E7013">
        <w:rPr>
          <w:rStyle w:val="StdBodyTextBoldChar"/>
          <w:rFonts w:eastAsia="Verdana" w:cs="Arial"/>
        </w:rPr>
        <w:t>Notice</w:t>
      </w:r>
      <w:r>
        <w:t>”</w:t>
      </w:r>
      <w:r w:rsidRPr="00560BA2">
        <w:t xml:space="preserve">) shall be given in writing and shall be delivered by </w:t>
      </w:r>
      <w:r w:rsidRPr="00820382">
        <w:t xml:space="preserve">hand and shall be deemed to have been duly given at the time of delivery provided that such Notice is sent to the relevant physical address, and expressly marked for the attention of the relevant individual, set out in </w:t>
      </w:r>
      <w:bookmarkStart w:id="820" w:name="_9kMHG5YVtCIAFJILHNGBmXA5pm"/>
      <w:r w:rsidRPr="00820382">
        <w:t xml:space="preserve">Clause </w:t>
      </w:r>
      <w:r w:rsidRPr="00820382">
        <w:fldChar w:fldCharType="begin"/>
      </w:r>
      <w:r w:rsidRPr="00820382">
        <w:instrText xml:space="preserve"> REF _Ref_ContractCompanion_9kb9Ur9DA \n \h \t \* MERGEFORMAT </w:instrText>
      </w:r>
      <w:r w:rsidRPr="00820382">
        <w:fldChar w:fldCharType="separate"/>
      </w:r>
      <w:r w:rsidR="00302D39">
        <w:t>5.2</w:t>
      </w:r>
      <w:r w:rsidRPr="00820382">
        <w:fldChar w:fldCharType="end"/>
      </w:r>
      <w:bookmarkEnd w:id="820"/>
      <w:r w:rsidRPr="00820382">
        <w:t>.</w:t>
      </w:r>
    </w:p>
    <w:p w14:paraId="14D107F9" w14:textId="77777777" w:rsidR="00F67E9E" w:rsidRPr="00820382" w:rsidRDefault="00F67E9E" w:rsidP="00F67E9E">
      <w:pPr>
        <w:pStyle w:val="AppendixText2"/>
        <w:keepNext/>
      </w:pPr>
      <w:bookmarkStart w:id="821" w:name="_Ref_ContractCompanion_9kb9Ur9DA"/>
      <w:bookmarkStart w:id="822" w:name="_9kR3WTrAG8DHGJFLE9kV83nk"/>
      <w:r w:rsidRPr="00820382">
        <w:t>Any Notice:</w:t>
      </w:r>
      <w:bookmarkEnd w:id="821"/>
      <w:bookmarkEnd w:id="822"/>
    </w:p>
    <w:p w14:paraId="322B8A84" w14:textId="77777777" w:rsidR="00F67E9E" w:rsidRPr="00413E59" w:rsidRDefault="00F67E9E" w:rsidP="00F67E9E">
      <w:pPr>
        <w:pStyle w:val="AppendixText3"/>
        <w:keepNext/>
      </w:pPr>
      <w:r w:rsidRPr="00413E59">
        <w:t xml:space="preserve">if to be </w:t>
      </w:r>
      <w:r w:rsidRPr="00820382">
        <w:t>given</w:t>
      </w:r>
      <w:r w:rsidRPr="00413E59">
        <w:t xml:space="preserve"> to the Supplier shall be sent to:</w:t>
      </w:r>
    </w:p>
    <w:p w14:paraId="4B6DABA1" w14:textId="77777777" w:rsidR="00F67E9E" w:rsidRPr="00413E59" w:rsidRDefault="00F67E9E" w:rsidP="00F67E9E">
      <w:pPr>
        <w:pStyle w:val="StdBodyText2"/>
        <w:ind w:left="1800"/>
        <w:rPr>
          <w:rFonts w:cs="Arial"/>
          <w:highlight w:val="yellow"/>
        </w:rPr>
      </w:pPr>
      <w:r w:rsidRPr="00413E59">
        <w:rPr>
          <w:rFonts w:cs="Arial"/>
          <w:highlight w:val="yellow"/>
        </w:rPr>
        <w:t>[</w:t>
      </w:r>
      <w:r w:rsidRPr="005F1047">
        <w:rPr>
          <w:rFonts w:cs="Arial"/>
          <w:iCs/>
          <w:highlight w:val="yellow"/>
        </w:rPr>
        <w:t>Address</w:t>
      </w:r>
      <w:r w:rsidRPr="00413E59">
        <w:rPr>
          <w:rFonts w:cs="Arial"/>
          <w:highlight w:val="yellow"/>
        </w:rPr>
        <w:t>]</w:t>
      </w:r>
    </w:p>
    <w:p w14:paraId="495E0E20" w14:textId="77777777" w:rsidR="00F67E9E" w:rsidRPr="00413E59" w:rsidRDefault="00F67E9E" w:rsidP="00F67E9E">
      <w:pPr>
        <w:pStyle w:val="StdBodyText2"/>
        <w:ind w:left="1800"/>
        <w:rPr>
          <w:rFonts w:cs="Arial"/>
          <w:highlight w:val="yellow"/>
        </w:rPr>
      </w:pPr>
      <w:r w:rsidRPr="00413E59">
        <w:rPr>
          <w:rFonts w:cs="Arial"/>
        </w:rPr>
        <w:t>Attention:</w:t>
      </w:r>
      <w:r>
        <w:rPr>
          <w:rFonts w:cs="Arial"/>
        </w:rPr>
        <w:t xml:space="preserve"> </w:t>
      </w:r>
      <w:r w:rsidRPr="00413E59">
        <w:rPr>
          <w:rFonts w:cs="Arial"/>
          <w:highlight w:val="yellow"/>
        </w:rPr>
        <w:t>[</w:t>
      </w:r>
      <w:r w:rsidRPr="005F1047">
        <w:rPr>
          <w:rFonts w:cs="Arial"/>
          <w:iCs/>
          <w:highlight w:val="yellow"/>
        </w:rPr>
        <w:t>Contact name and/or position, e.g. “The Finance Director”</w:t>
      </w:r>
      <w:r w:rsidRPr="00413E59">
        <w:rPr>
          <w:rFonts w:cs="Arial"/>
          <w:highlight w:val="yellow"/>
        </w:rPr>
        <w:t>]</w:t>
      </w:r>
    </w:p>
    <w:p w14:paraId="3850C07C" w14:textId="77777777" w:rsidR="00F67E9E" w:rsidRPr="00413E59" w:rsidRDefault="00F67E9E" w:rsidP="00F67E9E">
      <w:pPr>
        <w:pStyle w:val="AppendixText3"/>
        <w:keepNext/>
      </w:pPr>
      <w:r w:rsidRPr="00413E59">
        <w:t>if to be given to the Sub-licensee shall be sent to:</w:t>
      </w:r>
    </w:p>
    <w:p w14:paraId="0CF52D3E" w14:textId="77777777" w:rsidR="00F67E9E" w:rsidRPr="00413E59" w:rsidRDefault="00F67E9E" w:rsidP="00F67E9E">
      <w:pPr>
        <w:pStyle w:val="StdBodyText2"/>
        <w:ind w:left="1800"/>
        <w:rPr>
          <w:rFonts w:cs="Arial"/>
          <w:highlight w:val="yellow"/>
        </w:rPr>
      </w:pPr>
      <w:r w:rsidRPr="00413E59">
        <w:rPr>
          <w:rFonts w:cs="Arial"/>
          <w:highlight w:val="yellow"/>
        </w:rPr>
        <w:t>[</w:t>
      </w:r>
      <w:r w:rsidRPr="005F1047">
        <w:rPr>
          <w:rFonts w:cs="Arial"/>
          <w:iCs/>
          <w:highlight w:val="yellow"/>
        </w:rPr>
        <w:t>Name of Organisation</w:t>
      </w:r>
      <w:r w:rsidRPr="00413E59">
        <w:rPr>
          <w:rFonts w:cs="Arial"/>
          <w:highlight w:val="yellow"/>
        </w:rPr>
        <w:t>]</w:t>
      </w:r>
      <w:r w:rsidRPr="00413E59">
        <w:rPr>
          <w:rFonts w:cs="Arial"/>
          <w:highlight w:val="yellow"/>
        </w:rPr>
        <w:br/>
        <w:t>[</w:t>
      </w:r>
      <w:r w:rsidRPr="005F1047">
        <w:rPr>
          <w:rFonts w:cs="Arial"/>
          <w:iCs/>
          <w:highlight w:val="yellow"/>
        </w:rPr>
        <w:t>Address</w:t>
      </w:r>
      <w:r w:rsidRPr="00413E59">
        <w:rPr>
          <w:rFonts w:cs="Arial"/>
          <w:highlight w:val="yellow"/>
        </w:rPr>
        <w:t>]</w:t>
      </w:r>
    </w:p>
    <w:p w14:paraId="34D54EFC" w14:textId="77777777" w:rsidR="00F67E9E" w:rsidRPr="00413E59" w:rsidRDefault="00F67E9E" w:rsidP="00F67E9E">
      <w:pPr>
        <w:pStyle w:val="StdBodyText2"/>
        <w:ind w:left="1800"/>
        <w:rPr>
          <w:rFonts w:cs="Arial"/>
        </w:rPr>
      </w:pPr>
      <w:r w:rsidRPr="00413E59">
        <w:rPr>
          <w:rFonts w:cs="Arial"/>
        </w:rPr>
        <w:t xml:space="preserve">Attention: </w:t>
      </w:r>
      <w:r w:rsidRPr="00413E59">
        <w:rPr>
          <w:rFonts w:cs="Arial"/>
          <w:highlight w:val="yellow"/>
        </w:rPr>
        <w:t>[             ]</w:t>
      </w:r>
    </w:p>
    <w:p w14:paraId="7643DA82" w14:textId="77777777" w:rsidR="00F67E9E" w:rsidRPr="00413E59" w:rsidRDefault="00F67E9E" w:rsidP="00F67E9E">
      <w:pPr>
        <w:pStyle w:val="AppendixText1"/>
      </w:pPr>
      <w:r w:rsidRPr="00820382">
        <w:t>Governing</w:t>
      </w:r>
      <w:r w:rsidRPr="00413E59">
        <w:t xml:space="preserve"> law</w:t>
      </w:r>
    </w:p>
    <w:p w14:paraId="24229993" w14:textId="77777777" w:rsidR="00F67E9E" w:rsidRPr="00820382" w:rsidRDefault="00F67E9E" w:rsidP="00F67E9E">
      <w:pPr>
        <w:pStyle w:val="AppendixText2"/>
      </w:pPr>
      <w:r w:rsidRPr="00560BA2">
        <w:t xml:space="preserve">This Agreement shall be governed by, and construed in accordance with, English law and </w:t>
      </w:r>
      <w:r w:rsidRPr="00820382">
        <w:t>any matter claim or dispute arising out of or in connection with this Agreement whether contractual or non-contractual, shall be governed by and determined in accordance with English law.</w:t>
      </w:r>
    </w:p>
    <w:p w14:paraId="5E6A690D" w14:textId="77777777" w:rsidR="00F67E9E" w:rsidRPr="00560BA2" w:rsidRDefault="00F67E9E" w:rsidP="00F67E9E">
      <w:pPr>
        <w:pStyle w:val="AppendixText2"/>
      </w:pPr>
      <w:r w:rsidRPr="00820382">
        <w:t>Each</w:t>
      </w:r>
      <w:r w:rsidRPr="00560BA2">
        <w:t xml:space="preserve"> Party hereby irrevocably submits to the exclusive jurisdiction of the English courts in respect of any claim or dispute arising out of or in connection with this Agreement.</w:t>
      </w:r>
    </w:p>
    <w:p w14:paraId="334D10F5" w14:textId="77777777" w:rsidR="00F67E9E" w:rsidRPr="00413E59" w:rsidRDefault="00F67E9E" w:rsidP="00F67E9E">
      <w:pPr>
        <w:pStyle w:val="StdBodyText"/>
        <w:rPr>
          <w:rFonts w:cs="Arial"/>
        </w:rPr>
      </w:pPr>
      <w:r w:rsidRPr="00560BA2">
        <w:rPr>
          <w:rStyle w:val="StdBodyTextBoldChar"/>
          <w:rFonts w:cs="Arial"/>
        </w:rPr>
        <w:t>IN WITNESS</w:t>
      </w:r>
      <w:r w:rsidRPr="00560BA2">
        <w:rPr>
          <w:rFonts w:cs="Arial"/>
        </w:rPr>
        <w:t xml:space="preserve"> of the above this Agreement has been</w:t>
      </w:r>
      <w:r w:rsidRPr="00413E59">
        <w:rPr>
          <w:rFonts w:cs="Arial"/>
        </w:rPr>
        <w:t xml:space="preserve"> signed by the duly authorised representatives of the Parties on the date which appears at the head of page </w:t>
      </w:r>
      <w:bookmarkStart w:id="823" w:name="_9kR3WTr2BBDHHG"/>
      <w:r w:rsidRPr="00413E59">
        <w:rPr>
          <w:rFonts w:cs="Arial"/>
        </w:rPr>
        <w:t>1</w:t>
      </w:r>
      <w:bookmarkEnd w:id="823"/>
      <w:r w:rsidRPr="00413E59">
        <w:rPr>
          <w:rFonts w:cs="Arial"/>
        </w:rPr>
        <w:t>.</w:t>
      </w:r>
    </w:p>
    <w:p w14:paraId="2E905CCC" w14:textId="77777777" w:rsidR="00F67E9E" w:rsidRPr="00413E59" w:rsidRDefault="00F67E9E" w:rsidP="00F67E9E">
      <w:pPr>
        <w:pStyle w:val="StdBodyTextBold"/>
        <w:rPr>
          <w:rFonts w:cs="Arial"/>
        </w:rPr>
      </w:pPr>
      <w:r w:rsidRPr="00413E59">
        <w:rPr>
          <w:rFonts w:cs="Arial"/>
        </w:rPr>
        <w:t xml:space="preserve">For and on behalf of </w:t>
      </w:r>
      <w:r w:rsidRPr="00413E59">
        <w:rPr>
          <w:rFonts w:cs="Arial"/>
          <w:highlight w:val="yellow"/>
        </w:rPr>
        <w:t>[</w:t>
      </w:r>
      <w:r w:rsidRPr="005F1047">
        <w:rPr>
          <w:rFonts w:cs="Arial"/>
          <w:iCs/>
          <w:highlight w:val="yellow"/>
        </w:rPr>
        <w:t>name of Supplier</w:t>
      </w:r>
      <w:r w:rsidRPr="00413E59">
        <w:rPr>
          <w:rFonts w:cs="Arial"/>
          <w:highlight w:val="yellow"/>
        </w:rPr>
        <w:t>]</w:t>
      </w:r>
    </w:p>
    <w:p w14:paraId="7344D71F" w14:textId="77777777" w:rsidR="00F67E9E" w:rsidRPr="00413E59" w:rsidRDefault="00F67E9E" w:rsidP="00F67E9E">
      <w:pPr>
        <w:pStyle w:val="StdBodyText"/>
        <w:rPr>
          <w:rFonts w:cs="Arial"/>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2"/>
      </w:tblGrid>
      <w:tr w:rsidR="00F67E9E" w:rsidRPr="00413E59" w14:paraId="1C3FB8FD" w14:textId="77777777" w:rsidTr="007F74AA">
        <w:tc>
          <w:tcPr>
            <w:tcW w:w="4531" w:type="dxa"/>
          </w:tcPr>
          <w:p w14:paraId="32FDB85F" w14:textId="77777777" w:rsidR="00F67E9E" w:rsidRPr="00413E59" w:rsidRDefault="00F67E9E" w:rsidP="007F74AA">
            <w:pPr>
              <w:pStyle w:val="StdBodyText"/>
              <w:rPr>
                <w:rFonts w:cs="Arial"/>
                <w:sz w:val="24"/>
              </w:rPr>
            </w:pPr>
            <w:r w:rsidRPr="00413E59">
              <w:rPr>
                <w:rFonts w:cs="Arial"/>
                <w:sz w:val="24"/>
              </w:rPr>
              <w:t>Signature: ______________________________</w:t>
            </w:r>
          </w:p>
        </w:tc>
        <w:tc>
          <w:tcPr>
            <w:tcW w:w="4532" w:type="dxa"/>
          </w:tcPr>
          <w:p w14:paraId="4A96F4F2" w14:textId="77777777" w:rsidR="00F67E9E" w:rsidRPr="00413E59" w:rsidRDefault="00F67E9E" w:rsidP="007F74AA">
            <w:pPr>
              <w:pStyle w:val="StdBodyText"/>
              <w:rPr>
                <w:rFonts w:cs="Arial"/>
                <w:sz w:val="24"/>
              </w:rPr>
            </w:pPr>
            <w:r w:rsidRPr="00413E59">
              <w:rPr>
                <w:rFonts w:cs="Arial"/>
                <w:sz w:val="24"/>
              </w:rPr>
              <w:t>Date:</w:t>
            </w:r>
          </w:p>
        </w:tc>
      </w:tr>
      <w:tr w:rsidR="00F67E9E" w:rsidRPr="00413E59" w14:paraId="6EFD24A5" w14:textId="77777777" w:rsidTr="007F74AA">
        <w:tc>
          <w:tcPr>
            <w:tcW w:w="4531" w:type="dxa"/>
          </w:tcPr>
          <w:p w14:paraId="53A889EA" w14:textId="77777777" w:rsidR="00F67E9E" w:rsidRPr="00413E59" w:rsidRDefault="00F67E9E" w:rsidP="007F74AA">
            <w:pPr>
              <w:pStyle w:val="StdBodyText"/>
              <w:rPr>
                <w:rFonts w:cs="Arial"/>
                <w:sz w:val="24"/>
              </w:rPr>
            </w:pPr>
            <w:r w:rsidRPr="00413E59">
              <w:rPr>
                <w:rFonts w:cs="Arial"/>
                <w:sz w:val="24"/>
              </w:rPr>
              <w:t>Name:</w:t>
            </w:r>
          </w:p>
        </w:tc>
        <w:tc>
          <w:tcPr>
            <w:tcW w:w="4532" w:type="dxa"/>
          </w:tcPr>
          <w:p w14:paraId="03BFC535" w14:textId="77777777" w:rsidR="00F67E9E" w:rsidRPr="00413E59" w:rsidRDefault="00F67E9E" w:rsidP="007F74AA">
            <w:pPr>
              <w:pStyle w:val="StdBodyText"/>
              <w:rPr>
                <w:rFonts w:cs="Arial"/>
                <w:sz w:val="24"/>
              </w:rPr>
            </w:pPr>
            <w:r w:rsidRPr="00413E59">
              <w:rPr>
                <w:rFonts w:cs="Arial"/>
                <w:sz w:val="24"/>
              </w:rPr>
              <w:t>Position:</w:t>
            </w:r>
          </w:p>
        </w:tc>
      </w:tr>
    </w:tbl>
    <w:p w14:paraId="0073B619" w14:textId="77777777" w:rsidR="00F67E9E" w:rsidRPr="00413E59" w:rsidRDefault="00F67E9E" w:rsidP="00F67E9E">
      <w:pPr>
        <w:pStyle w:val="StdBodyText"/>
        <w:rPr>
          <w:rFonts w:cs="Arial"/>
        </w:rPr>
      </w:pPr>
    </w:p>
    <w:p w14:paraId="721D7CC6" w14:textId="77777777" w:rsidR="00F67E9E" w:rsidRPr="00413E59" w:rsidRDefault="00F67E9E" w:rsidP="00F67E9E">
      <w:pPr>
        <w:pStyle w:val="StdBodyTextBold"/>
        <w:keepNext/>
        <w:rPr>
          <w:rFonts w:cs="Arial"/>
        </w:rPr>
      </w:pPr>
      <w:r w:rsidRPr="00413E59">
        <w:rPr>
          <w:rFonts w:cs="Arial"/>
        </w:rPr>
        <w:t xml:space="preserve">For and on behalf of </w:t>
      </w:r>
      <w:r w:rsidRPr="00413E59">
        <w:rPr>
          <w:rFonts w:cs="Arial"/>
          <w:highlight w:val="yellow"/>
        </w:rPr>
        <w:t>[</w:t>
      </w:r>
      <w:r w:rsidRPr="005F1047">
        <w:rPr>
          <w:rFonts w:cs="Arial"/>
          <w:iCs/>
          <w:highlight w:val="yellow"/>
        </w:rPr>
        <w:t>name of Sub-licensee</w:t>
      </w:r>
      <w:r w:rsidRPr="00413E59">
        <w:rPr>
          <w:rFonts w:cs="Arial"/>
          <w:highlight w:val="yellow"/>
        </w:rPr>
        <w:t>]</w:t>
      </w:r>
    </w:p>
    <w:p w14:paraId="7048B1C3" w14:textId="77777777" w:rsidR="00F67E9E" w:rsidRPr="00413E59" w:rsidRDefault="00F67E9E" w:rsidP="00F67E9E">
      <w:pPr>
        <w:pStyle w:val="StdBodyText"/>
        <w:rPr>
          <w:rFonts w:cs="Arial"/>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2"/>
      </w:tblGrid>
      <w:tr w:rsidR="00F67E9E" w:rsidRPr="00413E59" w14:paraId="7181560F" w14:textId="77777777" w:rsidTr="007F74AA">
        <w:tc>
          <w:tcPr>
            <w:tcW w:w="4531" w:type="dxa"/>
          </w:tcPr>
          <w:p w14:paraId="2FD8788E" w14:textId="77777777" w:rsidR="00F67E9E" w:rsidRPr="00413E59" w:rsidRDefault="00F67E9E" w:rsidP="007F74AA">
            <w:pPr>
              <w:pStyle w:val="StdBodyText"/>
              <w:rPr>
                <w:rFonts w:cs="Arial"/>
                <w:sz w:val="24"/>
              </w:rPr>
            </w:pPr>
            <w:r w:rsidRPr="00413E59">
              <w:rPr>
                <w:rFonts w:cs="Arial"/>
                <w:sz w:val="24"/>
              </w:rPr>
              <w:t>Signature: ______________________________</w:t>
            </w:r>
          </w:p>
        </w:tc>
        <w:tc>
          <w:tcPr>
            <w:tcW w:w="4532" w:type="dxa"/>
          </w:tcPr>
          <w:p w14:paraId="1E95BD06" w14:textId="77777777" w:rsidR="00F67E9E" w:rsidRPr="00413E59" w:rsidRDefault="00F67E9E" w:rsidP="007F74AA">
            <w:pPr>
              <w:pStyle w:val="StdBodyText"/>
              <w:rPr>
                <w:rFonts w:cs="Arial"/>
                <w:sz w:val="24"/>
              </w:rPr>
            </w:pPr>
            <w:r w:rsidRPr="00413E59">
              <w:rPr>
                <w:rFonts w:cs="Arial"/>
                <w:sz w:val="24"/>
              </w:rPr>
              <w:t>Date:</w:t>
            </w:r>
          </w:p>
        </w:tc>
      </w:tr>
      <w:tr w:rsidR="00F67E9E" w:rsidRPr="00413E59" w14:paraId="3076CD45" w14:textId="77777777" w:rsidTr="007F74AA">
        <w:tc>
          <w:tcPr>
            <w:tcW w:w="4531" w:type="dxa"/>
          </w:tcPr>
          <w:p w14:paraId="09CF7736" w14:textId="77777777" w:rsidR="00F67E9E" w:rsidRPr="00413E59" w:rsidRDefault="00F67E9E" w:rsidP="007F74AA">
            <w:pPr>
              <w:pStyle w:val="StdBodyText"/>
              <w:rPr>
                <w:rFonts w:cs="Arial"/>
                <w:sz w:val="24"/>
              </w:rPr>
            </w:pPr>
            <w:r w:rsidRPr="00413E59">
              <w:rPr>
                <w:rFonts w:cs="Arial"/>
                <w:sz w:val="24"/>
              </w:rPr>
              <w:t>Name:</w:t>
            </w:r>
          </w:p>
        </w:tc>
        <w:tc>
          <w:tcPr>
            <w:tcW w:w="4532" w:type="dxa"/>
          </w:tcPr>
          <w:p w14:paraId="771D0C89" w14:textId="77777777" w:rsidR="00F67E9E" w:rsidRPr="00413E59" w:rsidRDefault="00F67E9E" w:rsidP="007F74AA">
            <w:pPr>
              <w:pStyle w:val="StdBodyText"/>
              <w:rPr>
                <w:rFonts w:cs="Arial"/>
                <w:sz w:val="24"/>
              </w:rPr>
            </w:pPr>
            <w:r w:rsidRPr="00413E59">
              <w:rPr>
                <w:rFonts w:cs="Arial"/>
                <w:sz w:val="24"/>
              </w:rPr>
              <w:t>Position:</w:t>
            </w:r>
          </w:p>
        </w:tc>
      </w:tr>
    </w:tbl>
    <w:p w14:paraId="58ADA050" w14:textId="77777777" w:rsidR="00F67E9E" w:rsidRDefault="00F67E9E" w:rsidP="00F67E9E"/>
    <w:p w14:paraId="17EC0B82" w14:textId="77777777" w:rsidR="00F67E9E" w:rsidRDefault="00F67E9E" w:rsidP="00F67E9E"/>
    <w:p w14:paraId="55824A06" w14:textId="77777777" w:rsidR="00F67E9E" w:rsidRDefault="00F67E9E" w:rsidP="00F67E9E">
      <w:pPr>
        <w:sectPr w:rsidR="00F67E9E" w:rsidSect="00240D26">
          <w:footerReference w:type="default" r:id="rId83"/>
          <w:footerReference w:type="first" r:id="rId84"/>
          <w:pgSz w:w="11900" w:h="16840" w:code="9"/>
          <w:pgMar w:top="1701" w:right="851" w:bottom="1134" w:left="851" w:header="567" w:footer="567" w:gutter="0"/>
          <w:cols w:space="720"/>
          <w:docGrid w:linePitch="360"/>
        </w:sectPr>
      </w:pPr>
    </w:p>
    <w:p w14:paraId="025EB32E" w14:textId="77777777" w:rsidR="00F67E9E" w:rsidRPr="00174F30" w:rsidRDefault="00F67E9E" w:rsidP="00F67E9E">
      <w:pPr>
        <w:pStyle w:val="Dividername"/>
      </w:pPr>
      <w:r w:rsidRPr="00174F30">
        <w:t>Schedule 13</w:t>
      </w:r>
    </w:p>
    <w:p w14:paraId="060CADE0" w14:textId="77777777" w:rsidR="00F67E9E" w:rsidRPr="00174F30" w:rsidRDefault="00F67E9E" w:rsidP="00F67E9E">
      <w:pPr>
        <w:pStyle w:val="Dividername"/>
      </w:pPr>
      <w:r w:rsidRPr="00174F30">
        <w:t>Implementation Plan</w:t>
      </w:r>
    </w:p>
    <w:p w14:paraId="2F772CC4" w14:textId="77777777" w:rsidR="00F67E9E" w:rsidRPr="00560BA2" w:rsidRDefault="00F67E9E" w:rsidP="00F67E9E"/>
    <w:p w14:paraId="09FD2321" w14:textId="77777777" w:rsidR="00F67E9E" w:rsidRPr="005D0525" w:rsidRDefault="00F67E9E" w:rsidP="00F67E9E">
      <w:pPr>
        <w:pStyle w:val="Heading1"/>
      </w:pPr>
      <w:bookmarkStart w:id="824" w:name="Schedule13"/>
      <w:bookmarkStart w:id="825" w:name="_Ref92199942"/>
      <w:bookmarkStart w:id="826" w:name="_Toc141711930"/>
      <w:r w:rsidRPr="005D0525">
        <w:t>Schedule</w:t>
      </w:r>
      <w:r>
        <w:t> </w:t>
      </w:r>
      <w:r w:rsidRPr="005D0525">
        <w:t>13</w:t>
      </w:r>
      <w:bookmarkEnd w:id="824"/>
      <w:r>
        <w:t xml:space="preserve">: </w:t>
      </w:r>
      <w:bookmarkStart w:id="827" w:name="Schedule13Heading"/>
      <w:r w:rsidRPr="005F1047">
        <w:t>Implementation Plan</w:t>
      </w:r>
      <w:bookmarkEnd w:id="825"/>
      <w:bookmarkEnd w:id="826"/>
      <w:bookmarkEnd w:id="827"/>
    </w:p>
    <w:p w14:paraId="4F395B9A" w14:textId="77777777" w:rsidR="00F67E9E" w:rsidRPr="00560BA2" w:rsidRDefault="00F67E9E" w:rsidP="00F67E9E">
      <w:pPr>
        <w:pStyle w:val="Numbered1"/>
        <w:numPr>
          <w:ilvl w:val="0"/>
          <w:numId w:val="166"/>
        </w:numPr>
      </w:pPr>
      <w:r w:rsidRPr="00820382">
        <w:t>Introduction</w:t>
      </w:r>
    </w:p>
    <w:p w14:paraId="667C0463" w14:textId="77777777" w:rsidR="00F67E9E" w:rsidRPr="00560BA2" w:rsidRDefault="00F67E9E" w:rsidP="00F67E9E">
      <w:pPr>
        <w:pStyle w:val="Numbered11"/>
        <w:tabs>
          <w:tab w:val="clear" w:pos="720"/>
          <w:tab w:val="num" w:pos="1080"/>
        </w:tabs>
      </w:pPr>
      <w:r w:rsidRPr="00560BA2">
        <w:t>This Schedule:</w:t>
      </w:r>
    </w:p>
    <w:p w14:paraId="3EC13F9A" w14:textId="77777777" w:rsidR="00F67E9E" w:rsidRPr="00560BA2" w:rsidRDefault="00F67E9E" w:rsidP="00F67E9E">
      <w:pPr>
        <w:pStyle w:val="Numbered111"/>
        <w:tabs>
          <w:tab w:val="clear" w:pos="1800"/>
          <w:tab w:val="num" w:pos="2160"/>
        </w:tabs>
      </w:pPr>
      <w:r w:rsidRPr="00560BA2">
        <w:t>defines the process for the preparation and implementation of the Outline Implementation Plan and Detailed Implementation Plan; and</w:t>
      </w:r>
    </w:p>
    <w:p w14:paraId="16B1D788" w14:textId="77777777" w:rsidR="00F67E9E" w:rsidRPr="00560BA2" w:rsidRDefault="00F67E9E" w:rsidP="00F67E9E">
      <w:pPr>
        <w:pStyle w:val="Numbered111"/>
        <w:tabs>
          <w:tab w:val="clear" w:pos="1800"/>
          <w:tab w:val="num" w:pos="2160"/>
        </w:tabs>
      </w:pPr>
      <w:r w:rsidRPr="00560BA2">
        <w:t>identifies the Milestones (and associated Deliverables) including the Milestones which trigger payment to the Supplier of the applicable Milestone Payments following the issue of the applicable Milestone Achievement Certificate.</w:t>
      </w:r>
    </w:p>
    <w:p w14:paraId="3FA6350D" w14:textId="77777777" w:rsidR="00F67E9E" w:rsidRPr="00560BA2" w:rsidRDefault="00F67E9E" w:rsidP="00F67E9E">
      <w:pPr>
        <w:pStyle w:val="Numbered1"/>
      </w:pPr>
      <w:r w:rsidRPr="00560BA2">
        <w:t>Outline Implementation Plan</w:t>
      </w:r>
    </w:p>
    <w:p w14:paraId="664E19D9" w14:textId="7BEA0DBB" w:rsidR="00F67E9E" w:rsidRPr="00560BA2" w:rsidRDefault="00F67E9E" w:rsidP="00F67E9E">
      <w:pPr>
        <w:pStyle w:val="Numbered11"/>
        <w:tabs>
          <w:tab w:val="clear" w:pos="720"/>
          <w:tab w:val="num" w:pos="1080"/>
        </w:tabs>
      </w:pPr>
      <w:r w:rsidRPr="00560BA2">
        <w:t xml:space="preserve">The Outline Implementation Plan is set out in Annex </w:t>
      </w:r>
      <w:r w:rsidRPr="00560BA2">
        <w:fldChar w:fldCharType="begin"/>
      </w:r>
      <w:r w:rsidRPr="00560BA2">
        <w:instrText xml:space="preserve"> REF ANNEX1_SCHEDULE13 \h </w:instrText>
      </w:r>
      <w:r>
        <w:instrText xml:space="preserve"> \* MERGEFORMAT </w:instrText>
      </w:r>
      <w:r w:rsidRPr="00560BA2">
        <w:fldChar w:fldCharType="separate"/>
      </w:r>
      <w:r w:rsidR="00302D39">
        <w:t>A</w:t>
      </w:r>
      <w:r w:rsidRPr="00560BA2">
        <w:fldChar w:fldCharType="end"/>
      </w:r>
      <w:r w:rsidRPr="00560BA2">
        <w:t xml:space="preserve">. </w:t>
      </w:r>
    </w:p>
    <w:p w14:paraId="5D4289C6" w14:textId="77777777" w:rsidR="00F67E9E" w:rsidRPr="00560BA2" w:rsidRDefault="00F67E9E" w:rsidP="00F67E9E">
      <w:pPr>
        <w:pStyle w:val="Numbered11"/>
        <w:tabs>
          <w:tab w:val="clear" w:pos="720"/>
          <w:tab w:val="num" w:pos="1080"/>
        </w:tabs>
      </w:pPr>
      <w:r w:rsidRPr="00560BA2">
        <w:t xml:space="preserve">All changes to the Outline Implementation Plan shall be subject to the Change Control Procedure provided that the Supplier shall not attempt to postpone any of the Milestones using the Change Control Procedure or otherwise (except in accordance with </w:t>
      </w:r>
      <w:bookmarkStart w:id="828" w:name="_9kR3WTr2CC5AENChrAv7I"/>
      <w:r w:rsidRPr="00560BA2">
        <w:t>Clause 29</w:t>
      </w:r>
      <w:bookmarkEnd w:id="828"/>
      <w:r w:rsidRPr="00560BA2">
        <w:t xml:space="preserve"> (</w:t>
      </w:r>
      <w:r w:rsidRPr="00560BA2">
        <w:rPr>
          <w:i/>
        </w:rPr>
        <w:t>Authority Cause</w:t>
      </w:r>
      <w:r w:rsidRPr="00560BA2">
        <w:t>)).</w:t>
      </w:r>
    </w:p>
    <w:p w14:paraId="5CAC5901" w14:textId="77777777" w:rsidR="00F67E9E" w:rsidRPr="00A4516A" w:rsidRDefault="00F67E9E" w:rsidP="00F67E9E">
      <w:pPr>
        <w:pStyle w:val="Numbered1"/>
      </w:pPr>
      <w:bookmarkStart w:id="829" w:name="_Ref_ContractCompanion_9kb9Ur9FB"/>
      <w:bookmarkStart w:id="830" w:name="_9kR3WTrAG8DJHfJfifw5qCNLVzFIINA1GBHK634"/>
      <w:r w:rsidRPr="00820382">
        <w:t>Approval</w:t>
      </w:r>
      <w:r w:rsidRPr="00A4516A">
        <w:t xml:space="preserve"> </w:t>
      </w:r>
      <w:r>
        <w:t>o</w:t>
      </w:r>
      <w:r w:rsidRPr="00A4516A">
        <w:t xml:space="preserve">f </w:t>
      </w:r>
      <w:r>
        <w:t>t</w:t>
      </w:r>
      <w:r w:rsidRPr="00A4516A">
        <w:t>he Detailed Implementation Plan</w:t>
      </w:r>
      <w:bookmarkEnd w:id="829"/>
      <w:bookmarkEnd w:id="830"/>
    </w:p>
    <w:p w14:paraId="5ADF60AA" w14:textId="77777777" w:rsidR="00F67E9E" w:rsidRPr="00A4516A" w:rsidRDefault="00F67E9E" w:rsidP="00F67E9E">
      <w:pPr>
        <w:pStyle w:val="Numbered11"/>
        <w:tabs>
          <w:tab w:val="clear" w:pos="720"/>
          <w:tab w:val="num" w:pos="1080"/>
        </w:tabs>
      </w:pPr>
      <w:bookmarkStart w:id="831" w:name="_9kR3WTrAG8DIBBCdRjVgA63xr1G7qv7FP92AIBw"/>
      <w:bookmarkStart w:id="832" w:name="_Ref_ContractCompanion_9kb9Ur9DE"/>
      <w:r w:rsidRPr="00A4516A">
        <w:t>The Supplier shall submit a draft of the Detailed Implementation Plan to the Authority for approval within 20 Working Days of the Effective Date.</w:t>
      </w:r>
      <w:bookmarkEnd w:id="831"/>
      <w:r>
        <w:t xml:space="preserve"> </w:t>
      </w:r>
      <w:bookmarkEnd w:id="832"/>
    </w:p>
    <w:p w14:paraId="468C49C7" w14:textId="77777777" w:rsidR="00F67E9E" w:rsidRPr="00A4516A" w:rsidRDefault="00F67E9E" w:rsidP="00F67E9E">
      <w:pPr>
        <w:pStyle w:val="Numbered11"/>
        <w:tabs>
          <w:tab w:val="clear" w:pos="720"/>
          <w:tab w:val="num" w:pos="1080"/>
        </w:tabs>
      </w:pPr>
      <w:r w:rsidRPr="00A4516A">
        <w:t>The Supplier shall ensure that the draft Detailed Implementation Plan:</w:t>
      </w:r>
    </w:p>
    <w:p w14:paraId="0EF71FFA" w14:textId="77777777" w:rsidR="00F67E9E" w:rsidRPr="00A4516A" w:rsidRDefault="00F67E9E" w:rsidP="00F67E9E">
      <w:pPr>
        <w:pStyle w:val="Numbered111"/>
        <w:tabs>
          <w:tab w:val="clear" w:pos="1800"/>
          <w:tab w:val="num" w:pos="2160"/>
        </w:tabs>
      </w:pPr>
      <w:r w:rsidRPr="00A4516A">
        <w:t>incorporates all of the Milestones and Milestone Dates set out in the Outline Implementation Plan;</w:t>
      </w:r>
    </w:p>
    <w:p w14:paraId="399274A4" w14:textId="77777777" w:rsidR="00F67E9E" w:rsidRPr="00A4516A" w:rsidRDefault="00F67E9E" w:rsidP="00F67E9E">
      <w:pPr>
        <w:pStyle w:val="Numbered111"/>
        <w:tabs>
          <w:tab w:val="clear" w:pos="1800"/>
          <w:tab w:val="num" w:pos="2160"/>
        </w:tabs>
      </w:pPr>
      <w:r w:rsidRPr="00A4516A">
        <w:t>includes (as a minimum) the Supplier</w:t>
      </w:r>
      <w:r>
        <w:t>’</w:t>
      </w:r>
      <w:r w:rsidRPr="00A4516A">
        <w:t>s proposed timescales in respect of the following for each of the Milestones:</w:t>
      </w:r>
    </w:p>
    <w:p w14:paraId="4291819C" w14:textId="77777777" w:rsidR="00F67E9E" w:rsidRPr="00A4516A" w:rsidRDefault="00F67E9E" w:rsidP="00F67E9E">
      <w:pPr>
        <w:pStyle w:val="Numbered111a"/>
        <w:tabs>
          <w:tab w:val="clear" w:pos="2520"/>
          <w:tab w:val="num" w:pos="2880"/>
        </w:tabs>
      </w:pPr>
      <w:r w:rsidRPr="00A4516A">
        <w:t>the completion of each design document;</w:t>
      </w:r>
    </w:p>
    <w:p w14:paraId="632602D4" w14:textId="77777777" w:rsidR="00F67E9E" w:rsidRPr="00A4516A" w:rsidRDefault="00F67E9E" w:rsidP="00F67E9E">
      <w:pPr>
        <w:pStyle w:val="Numbered111a"/>
        <w:tabs>
          <w:tab w:val="clear" w:pos="2520"/>
          <w:tab w:val="num" w:pos="2880"/>
        </w:tabs>
      </w:pPr>
      <w:r w:rsidRPr="00A4516A">
        <w:t>the completion of the build phase;</w:t>
      </w:r>
    </w:p>
    <w:p w14:paraId="444771F5" w14:textId="2920C598" w:rsidR="00F67E9E" w:rsidRPr="00A4516A" w:rsidRDefault="00F67E9E" w:rsidP="00F67E9E">
      <w:pPr>
        <w:pStyle w:val="Numbered111a"/>
        <w:tabs>
          <w:tab w:val="clear" w:pos="2520"/>
          <w:tab w:val="num" w:pos="2880"/>
        </w:tabs>
      </w:pPr>
      <w:r w:rsidRPr="00A4516A">
        <w:t xml:space="preserve">the completion of any Testing to be undertaken in accordance with </w:t>
      </w:r>
      <w:r>
        <w:fldChar w:fldCharType="begin"/>
      </w:r>
      <w:r>
        <w:instrText xml:space="preserve"> REF Schedule14 \h </w:instrText>
      </w:r>
      <w:r>
        <w:fldChar w:fldCharType="separate"/>
      </w:r>
      <w:r w:rsidR="00302D39" w:rsidRPr="005D0525">
        <w:t>Schedule</w:t>
      </w:r>
      <w:r w:rsidR="00302D39">
        <w:t> </w:t>
      </w:r>
      <w:r w:rsidR="00302D39" w:rsidRPr="005D0525">
        <w:t>14</w:t>
      </w:r>
      <w:r>
        <w:fldChar w:fldCharType="end"/>
      </w:r>
      <w:r>
        <w:t xml:space="preserve"> (</w:t>
      </w:r>
      <w:r w:rsidRPr="00B91437">
        <w:rPr>
          <w:i/>
          <w:iCs/>
        </w:rPr>
        <w:fldChar w:fldCharType="begin"/>
      </w:r>
      <w:r w:rsidRPr="00B91437">
        <w:rPr>
          <w:i/>
          <w:iCs/>
        </w:rPr>
        <w:instrText xml:space="preserve"> REF Schedule14Heading \h </w:instrText>
      </w:r>
      <w:r>
        <w:rPr>
          <w:i/>
          <w:iCs/>
        </w:rPr>
        <w:instrText xml:space="preserve"> \* MERGEFORMAT </w:instrText>
      </w:r>
      <w:r w:rsidRPr="00B91437">
        <w:rPr>
          <w:i/>
          <w:iCs/>
        </w:rPr>
      </w:r>
      <w:r w:rsidRPr="00B91437">
        <w:rPr>
          <w:i/>
          <w:iCs/>
        </w:rPr>
        <w:fldChar w:fldCharType="separate"/>
      </w:r>
      <w:r w:rsidR="00302D39" w:rsidRPr="00302D39">
        <w:rPr>
          <w:i/>
          <w:iCs/>
        </w:rPr>
        <w:t>Testing Procedures</w:t>
      </w:r>
      <w:r w:rsidRPr="00B91437">
        <w:rPr>
          <w:i/>
          <w:iCs/>
        </w:rPr>
        <w:fldChar w:fldCharType="end"/>
      </w:r>
      <w:r>
        <w:t>)</w:t>
      </w:r>
      <w:r w:rsidRPr="00A4516A">
        <w:t>; and</w:t>
      </w:r>
    </w:p>
    <w:p w14:paraId="03EB8FE9" w14:textId="77777777" w:rsidR="00F67E9E" w:rsidRPr="00A4516A" w:rsidRDefault="00F67E9E" w:rsidP="00F67E9E">
      <w:pPr>
        <w:pStyle w:val="Numbered111a"/>
        <w:tabs>
          <w:tab w:val="clear" w:pos="2520"/>
          <w:tab w:val="num" w:pos="2880"/>
        </w:tabs>
      </w:pPr>
      <w:r w:rsidRPr="00A4516A">
        <w:t>training and roll-out activities;</w:t>
      </w:r>
    </w:p>
    <w:p w14:paraId="7EFC9131" w14:textId="77777777" w:rsidR="00F67E9E" w:rsidRPr="00A4516A" w:rsidRDefault="00F67E9E" w:rsidP="00F67E9E">
      <w:pPr>
        <w:pStyle w:val="Numbered111"/>
        <w:tabs>
          <w:tab w:val="clear" w:pos="1800"/>
          <w:tab w:val="num" w:pos="2160"/>
        </w:tabs>
      </w:pPr>
      <w:r w:rsidRPr="00A4516A">
        <w:t>clearly outlines all the steps required to implement the Milestones to be achieved in the next 15 months, together with a high level plan for the rest of the programme, in conformity with the Authority Requirements;</w:t>
      </w:r>
    </w:p>
    <w:p w14:paraId="3A5B03CE" w14:textId="77777777" w:rsidR="00F67E9E" w:rsidRPr="00A4516A" w:rsidRDefault="00F67E9E" w:rsidP="00F67E9E">
      <w:pPr>
        <w:pStyle w:val="Numbered111"/>
        <w:tabs>
          <w:tab w:val="clear" w:pos="1800"/>
          <w:tab w:val="num" w:pos="2160"/>
        </w:tabs>
      </w:pPr>
      <w:r w:rsidRPr="00A4516A">
        <w:t>clearly outlines the required roles and responsibilities of both Parties, including staffing requirements; and</w:t>
      </w:r>
    </w:p>
    <w:p w14:paraId="50ADCB2E" w14:textId="77777777" w:rsidR="00F67E9E" w:rsidRPr="00A4516A" w:rsidRDefault="00F67E9E" w:rsidP="00F67E9E">
      <w:pPr>
        <w:pStyle w:val="Numbered111"/>
        <w:tabs>
          <w:tab w:val="clear" w:pos="1800"/>
          <w:tab w:val="num" w:pos="2160"/>
        </w:tabs>
      </w:pPr>
      <w:r w:rsidRPr="00A4516A">
        <w:t xml:space="preserve">is produced using a software tool as specified, or agreed by the Authority. </w:t>
      </w:r>
    </w:p>
    <w:p w14:paraId="36587948" w14:textId="4848E280" w:rsidR="00F67E9E" w:rsidRPr="00A4516A" w:rsidRDefault="00F67E9E" w:rsidP="00F67E9E">
      <w:pPr>
        <w:pStyle w:val="Numbered11"/>
      </w:pPr>
      <w:r w:rsidRPr="00560BA2">
        <w:t xml:space="preserve">Prior to the submission of the draft Detailed Implementation Plan to the Authority in accordance </w:t>
      </w:r>
      <w:r w:rsidRPr="00820382">
        <w:t>with</w:t>
      </w:r>
      <w:r w:rsidRPr="00560BA2">
        <w:t xml:space="preserve"> </w:t>
      </w:r>
      <w:bookmarkStart w:id="833" w:name="_9kMHG5YVtCIAFKDDEfTlXiC85zt3I9sx9HRB4CK"/>
      <w:r w:rsidRPr="00560BA2">
        <w:t xml:space="preserve">Paragraph </w:t>
      </w:r>
      <w:bookmarkEnd w:id="833"/>
      <w:r w:rsidRPr="00560BA2">
        <w:fldChar w:fldCharType="begin"/>
      </w:r>
      <w:r w:rsidRPr="00560BA2">
        <w:instrText xml:space="preserve"> REF _9kR3WTrAG8DIBBCdRjVgA63xr1G7qv7FP92AIBw \r \h </w:instrText>
      </w:r>
      <w:r>
        <w:instrText xml:space="preserve"> \* MERGEFORMAT </w:instrText>
      </w:r>
      <w:r w:rsidRPr="00560BA2">
        <w:fldChar w:fldCharType="separate"/>
      </w:r>
      <w:r w:rsidR="00302D39">
        <w:t>3.1</w:t>
      </w:r>
      <w:r w:rsidRPr="00560BA2">
        <w:fldChar w:fldCharType="end"/>
      </w:r>
      <w:r w:rsidRPr="00560BA2">
        <w:t>, the</w:t>
      </w:r>
      <w:r w:rsidRPr="00A4516A">
        <w:t xml:space="preserve"> Authority shall have the right:</w:t>
      </w:r>
    </w:p>
    <w:p w14:paraId="7B318343" w14:textId="77777777" w:rsidR="00F67E9E" w:rsidRPr="00A4516A" w:rsidRDefault="00F67E9E" w:rsidP="00F67E9E">
      <w:pPr>
        <w:pStyle w:val="Numbered111"/>
        <w:tabs>
          <w:tab w:val="clear" w:pos="1800"/>
          <w:tab w:val="num" w:pos="2160"/>
        </w:tabs>
      </w:pPr>
      <w:r w:rsidRPr="00A4516A">
        <w:t>to review any documentation produced by the Supplier in relation to the development of the Detailed Implementation Plan, including:</w:t>
      </w:r>
    </w:p>
    <w:p w14:paraId="3585A5D0" w14:textId="77777777" w:rsidR="00F67E9E" w:rsidRPr="00A4516A" w:rsidRDefault="00F67E9E" w:rsidP="00F67E9E">
      <w:pPr>
        <w:pStyle w:val="Numbered111a"/>
        <w:tabs>
          <w:tab w:val="clear" w:pos="2520"/>
          <w:tab w:val="num" w:pos="2880"/>
        </w:tabs>
      </w:pPr>
      <w:r w:rsidRPr="00A4516A">
        <w:t>details of the Supplier</w:t>
      </w:r>
      <w:r>
        <w:t>’</w:t>
      </w:r>
      <w:r w:rsidRPr="00A4516A">
        <w:t>s intended approach to the Detailed Implementation Plan and its development;</w:t>
      </w:r>
    </w:p>
    <w:p w14:paraId="6336FBCB" w14:textId="77777777" w:rsidR="00F67E9E" w:rsidRPr="00A4516A" w:rsidRDefault="00F67E9E" w:rsidP="00F67E9E">
      <w:pPr>
        <w:pStyle w:val="Numbered111a"/>
        <w:tabs>
          <w:tab w:val="clear" w:pos="2520"/>
          <w:tab w:val="num" w:pos="2880"/>
        </w:tabs>
      </w:pPr>
      <w:r w:rsidRPr="00A4516A">
        <w:t>copies of any drafts of the Detailed Implementation Plan produced by the Supplier; and</w:t>
      </w:r>
    </w:p>
    <w:p w14:paraId="4F6695C7" w14:textId="77777777" w:rsidR="00F67E9E" w:rsidRPr="00A4516A" w:rsidRDefault="00F67E9E" w:rsidP="00F67E9E">
      <w:pPr>
        <w:pStyle w:val="Numbered111a"/>
        <w:tabs>
          <w:tab w:val="clear" w:pos="2520"/>
          <w:tab w:val="num" w:pos="2880"/>
        </w:tabs>
      </w:pPr>
      <w:r w:rsidRPr="00A4516A">
        <w:t xml:space="preserve">any other work in progress in relation to the Detailed Implementation Plan; and </w:t>
      </w:r>
    </w:p>
    <w:p w14:paraId="2D8CD6E0" w14:textId="77777777" w:rsidR="00F67E9E" w:rsidRPr="00A4516A" w:rsidRDefault="00F67E9E" w:rsidP="00F67E9E">
      <w:pPr>
        <w:pStyle w:val="Numbered111"/>
        <w:tabs>
          <w:tab w:val="clear" w:pos="1800"/>
          <w:tab w:val="num" w:pos="2160"/>
        </w:tabs>
      </w:pPr>
      <w:r w:rsidRPr="00A4516A">
        <w:t>to require the Supplier to include any reasonable changes or provisions in the Detailed Implementation Plan.</w:t>
      </w:r>
    </w:p>
    <w:p w14:paraId="0F1C1237" w14:textId="77777777" w:rsidR="00F67E9E" w:rsidRPr="00A4516A" w:rsidRDefault="00F67E9E" w:rsidP="00F67E9E">
      <w:pPr>
        <w:pStyle w:val="Numbered11"/>
      </w:pPr>
      <w:bookmarkStart w:id="834" w:name="_Ref_ContractCompanion_9kb9Ur9E8"/>
      <w:bookmarkStart w:id="835" w:name="_9kR3WTrAG8DIEEFSKxvzB6yx21nov7JJ6CF1yCA"/>
      <w:r w:rsidRPr="00A4516A">
        <w:t>Following receipt of the draft Detailed Implementation Plan from the Supplier, the Authority shall:</w:t>
      </w:r>
      <w:bookmarkEnd w:id="834"/>
      <w:bookmarkEnd w:id="835"/>
    </w:p>
    <w:p w14:paraId="42F37C5B" w14:textId="77777777" w:rsidR="00F67E9E" w:rsidRPr="00A4516A" w:rsidRDefault="00F67E9E" w:rsidP="00F67E9E">
      <w:pPr>
        <w:pStyle w:val="Numbered111"/>
        <w:tabs>
          <w:tab w:val="clear" w:pos="1800"/>
          <w:tab w:val="num" w:pos="2160"/>
        </w:tabs>
      </w:pPr>
      <w:r w:rsidRPr="00A4516A">
        <w:t>review and comment on the draft Detailed Implementation Plan as soon as reasonably practicable; and</w:t>
      </w:r>
    </w:p>
    <w:p w14:paraId="11F687A1" w14:textId="77777777" w:rsidR="00F67E9E" w:rsidRPr="00A4516A" w:rsidRDefault="00F67E9E" w:rsidP="00F67E9E">
      <w:pPr>
        <w:pStyle w:val="Numbered111"/>
        <w:tabs>
          <w:tab w:val="clear" w:pos="1800"/>
          <w:tab w:val="num" w:pos="2160"/>
        </w:tabs>
      </w:pPr>
      <w:r w:rsidRPr="00A4516A">
        <w:t xml:space="preserve">notify the Supplier in writing that it approves or rejects the draft Detailed Implementation Plan no later than 20 Working Days after the date on which the draft Detailed Implementation Plan is first delivered to the Authority. </w:t>
      </w:r>
    </w:p>
    <w:p w14:paraId="39BDD36D" w14:textId="77777777" w:rsidR="00F67E9E" w:rsidRPr="00A4516A" w:rsidRDefault="00F67E9E" w:rsidP="00F67E9E">
      <w:pPr>
        <w:pStyle w:val="Numbered11"/>
      </w:pPr>
      <w:bookmarkStart w:id="836" w:name="_Ref_ContractCompanion_9kb9Ur9EB"/>
      <w:bookmarkStart w:id="837" w:name="_9kR3WTrAG8DIHHGWEwzlFQG40B69QP6z0uARSI4"/>
      <w:r w:rsidRPr="00A4516A">
        <w:t xml:space="preserve">If the </w:t>
      </w:r>
      <w:r w:rsidRPr="00820382">
        <w:t>Authority</w:t>
      </w:r>
      <w:r w:rsidRPr="00A4516A">
        <w:t xml:space="preserve"> rejects the draft Detailed Implementation Plan:</w:t>
      </w:r>
      <w:bookmarkEnd w:id="836"/>
      <w:bookmarkEnd w:id="837"/>
    </w:p>
    <w:p w14:paraId="4264CF52" w14:textId="77777777" w:rsidR="00F67E9E" w:rsidRPr="00A4516A" w:rsidRDefault="00F67E9E" w:rsidP="00F67E9E">
      <w:pPr>
        <w:pStyle w:val="Numbered111"/>
        <w:tabs>
          <w:tab w:val="clear" w:pos="1800"/>
          <w:tab w:val="num" w:pos="2160"/>
        </w:tabs>
      </w:pPr>
      <w:r w:rsidRPr="00A4516A">
        <w:t>the Authority shall inform the Supplier in writing of its reasons for its rejection; and</w:t>
      </w:r>
    </w:p>
    <w:p w14:paraId="307244A6" w14:textId="4961FC7F" w:rsidR="00F67E9E" w:rsidRPr="00A4516A" w:rsidRDefault="00F67E9E" w:rsidP="00F67E9E">
      <w:pPr>
        <w:pStyle w:val="Numbered111"/>
        <w:tabs>
          <w:tab w:val="clear" w:pos="1800"/>
          <w:tab w:val="num" w:pos="2160"/>
        </w:tabs>
      </w:pPr>
      <w:r w:rsidRPr="00A4516A">
        <w:t>the Supplier shall then revise the draft Detailed Implementation Plan (taking reasonable account of the Authority</w:t>
      </w:r>
      <w:r>
        <w:t>’</w:t>
      </w:r>
      <w:r w:rsidRPr="00A4516A">
        <w:t>s comments) and shall re-submit a revised draft Detailed Implementation Plan to the Authority for the Authority</w:t>
      </w:r>
      <w:r>
        <w:t>’</w:t>
      </w:r>
      <w:r w:rsidRPr="00A4516A">
        <w:t xml:space="preserve">s approval within 20 Working Days of the date </w:t>
      </w:r>
      <w:r w:rsidRPr="00D5341B">
        <w:t>of the Authority</w:t>
      </w:r>
      <w:r>
        <w:t>’</w:t>
      </w:r>
      <w:r w:rsidRPr="00D5341B">
        <w:t xml:space="preserve">s notice of rejection. The provisions of </w:t>
      </w:r>
      <w:bookmarkStart w:id="838" w:name="_9kMHG5YVtCIAFKGGHUMzx1D80z43pqx9LL8EH30"/>
      <w:r w:rsidRPr="00D5341B">
        <w:t xml:space="preserve">Paragraph </w:t>
      </w:r>
      <w:bookmarkEnd w:id="838"/>
      <w:r w:rsidRPr="00D5341B">
        <w:fldChar w:fldCharType="begin"/>
      </w:r>
      <w:r w:rsidRPr="00D5341B">
        <w:instrText xml:space="preserve"> REF _Ref_ContractCompanion_9kb9Ur9E8 \r \h </w:instrText>
      </w:r>
      <w:r>
        <w:instrText xml:space="preserve"> \* MERGEFORMAT </w:instrText>
      </w:r>
      <w:r w:rsidRPr="00D5341B">
        <w:fldChar w:fldCharType="separate"/>
      </w:r>
      <w:r w:rsidR="00302D39">
        <w:t>3.4</w:t>
      </w:r>
      <w:r w:rsidRPr="00D5341B">
        <w:fldChar w:fldCharType="end"/>
      </w:r>
      <w:r w:rsidRPr="00D5341B">
        <w:t xml:space="preserve"> and this </w:t>
      </w:r>
      <w:bookmarkStart w:id="839" w:name="_9kMHG5YVtCIAFKJJIYGy1nHSI62D8BSR812wCTU"/>
      <w:r w:rsidRPr="00D5341B">
        <w:t xml:space="preserve">Paragraph </w:t>
      </w:r>
      <w:bookmarkEnd w:id="839"/>
      <w:r w:rsidRPr="00D5341B">
        <w:fldChar w:fldCharType="begin"/>
      </w:r>
      <w:r w:rsidRPr="00D5341B">
        <w:instrText xml:space="preserve"> REF _Ref_ContractCompanion_9kb9Ur9EB \r \h </w:instrText>
      </w:r>
      <w:r>
        <w:instrText xml:space="preserve"> \* MERGEFORMAT </w:instrText>
      </w:r>
      <w:r w:rsidRPr="00D5341B">
        <w:fldChar w:fldCharType="separate"/>
      </w:r>
      <w:r w:rsidR="00302D39">
        <w:t>3.5</w:t>
      </w:r>
      <w:r w:rsidRPr="00D5341B">
        <w:fldChar w:fldCharType="end"/>
      </w:r>
      <w:r w:rsidRPr="00D5341B">
        <w:t xml:space="preserve"> shall apply again to any resubmitted draft Detailed Implementation</w:t>
      </w:r>
      <w:r w:rsidRPr="00A4516A">
        <w:t xml:space="preserve"> Plan, provided that either Party may refer any disputed matters for resolution by the Dispute Resolution Procedure at any time.</w:t>
      </w:r>
    </w:p>
    <w:p w14:paraId="2AC04F33" w14:textId="77777777" w:rsidR="00F67E9E" w:rsidRPr="00A4516A" w:rsidRDefault="00F67E9E" w:rsidP="00F67E9E">
      <w:pPr>
        <w:pStyle w:val="Numbered11"/>
      </w:pPr>
      <w:r w:rsidRPr="00A4516A">
        <w:t xml:space="preserve">If the Authority approves the draft Detailed Implementation Plan, it shall replace the Outline </w:t>
      </w:r>
      <w:r w:rsidRPr="00820382">
        <w:t>Implementation</w:t>
      </w:r>
      <w:r w:rsidRPr="00A4516A">
        <w:t xml:space="preserve"> Plan from the date of the Authority</w:t>
      </w:r>
      <w:r>
        <w:t>’</w:t>
      </w:r>
      <w:r w:rsidRPr="00A4516A">
        <w:t>s notice of approval.</w:t>
      </w:r>
    </w:p>
    <w:p w14:paraId="2EAB2887" w14:textId="77777777" w:rsidR="00F67E9E" w:rsidRPr="00A4516A" w:rsidRDefault="00F67E9E" w:rsidP="00F67E9E">
      <w:pPr>
        <w:pStyle w:val="Numbered1"/>
      </w:pPr>
      <w:bookmarkStart w:id="840" w:name="_Ref44508311"/>
      <w:r w:rsidRPr="00A4516A">
        <w:t xml:space="preserve">Updates </w:t>
      </w:r>
      <w:r>
        <w:t>t</w:t>
      </w:r>
      <w:r w:rsidRPr="00A4516A">
        <w:t xml:space="preserve">o And </w:t>
      </w:r>
      <w:r w:rsidRPr="00820382">
        <w:t>Maintenance</w:t>
      </w:r>
      <w:r w:rsidRPr="00A4516A">
        <w:t xml:space="preserve"> </w:t>
      </w:r>
      <w:r>
        <w:t>o</w:t>
      </w:r>
      <w:r w:rsidRPr="00A4516A">
        <w:t xml:space="preserve">f </w:t>
      </w:r>
      <w:r>
        <w:t>t</w:t>
      </w:r>
      <w:r w:rsidRPr="00A4516A">
        <w:t>he Detailed Implementation Plan</w:t>
      </w:r>
      <w:bookmarkEnd w:id="840"/>
    </w:p>
    <w:p w14:paraId="773E8414" w14:textId="77777777" w:rsidR="00F67E9E" w:rsidRPr="00A4516A" w:rsidRDefault="00F67E9E" w:rsidP="00F67E9E">
      <w:pPr>
        <w:pStyle w:val="Numbered11"/>
        <w:tabs>
          <w:tab w:val="clear" w:pos="720"/>
          <w:tab w:val="num" w:pos="1080"/>
        </w:tabs>
      </w:pPr>
      <w:r w:rsidRPr="00A4516A">
        <w:t>Following the approval of the Detailed Implementation Plan by the Authority:</w:t>
      </w:r>
    </w:p>
    <w:p w14:paraId="345DE695" w14:textId="77777777" w:rsidR="00F67E9E" w:rsidRPr="00A4516A" w:rsidRDefault="00F67E9E" w:rsidP="00F67E9E">
      <w:pPr>
        <w:pStyle w:val="Numbered111"/>
        <w:tabs>
          <w:tab w:val="clear" w:pos="1800"/>
          <w:tab w:val="num" w:pos="2160"/>
        </w:tabs>
      </w:pPr>
      <w:bookmarkStart w:id="841" w:name="_9kR3WTrAG8DJBBDkqykWhB74ys2H8rw8GQA3BJC"/>
      <w:bookmarkStart w:id="842" w:name="_Ref_ContractCompanion_9kb9Ur9EE"/>
      <w:r w:rsidRPr="00A4516A">
        <w:t>the Supplier shall submit a revised Detailed Implementation Plan to the Authority every 3 months starting 3 months from the Effective Date;</w:t>
      </w:r>
      <w:bookmarkEnd w:id="841"/>
      <w:r w:rsidRPr="00A4516A">
        <w:t xml:space="preserve"> </w:t>
      </w:r>
      <w:bookmarkEnd w:id="842"/>
    </w:p>
    <w:p w14:paraId="1163AA96" w14:textId="4FFB1C78" w:rsidR="00F67E9E" w:rsidRPr="00D5341B" w:rsidRDefault="00F67E9E" w:rsidP="00F67E9E">
      <w:pPr>
        <w:pStyle w:val="Numbered111"/>
        <w:tabs>
          <w:tab w:val="clear" w:pos="1800"/>
          <w:tab w:val="num" w:pos="2160"/>
        </w:tabs>
      </w:pPr>
      <w:r w:rsidRPr="00D5341B">
        <w:t xml:space="preserve">without prejudice to </w:t>
      </w:r>
      <w:bookmarkStart w:id="843" w:name="_9kMHG5YVtCIAFLDDFms0mYjD960u4JAtyAISC5D"/>
      <w:r w:rsidRPr="00D5341B">
        <w:t xml:space="preserve">Paragraph </w:t>
      </w:r>
      <w:bookmarkEnd w:id="843"/>
      <w:r w:rsidRPr="00D5341B">
        <w:fldChar w:fldCharType="begin"/>
      </w:r>
      <w:r w:rsidRPr="00D5341B">
        <w:instrText xml:space="preserve"> REF _9kR3WTrAG8DJBBDkqykWhB74ys2H8rw8GQA3BJC \w \h </w:instrText>
      </w:r>
      <w:r>
        <w:instrText xml:space="preserve"> \* MERGEFORMAT </w:instrText>
      </w:r>
      <w:r w:rsidRPr="00D5341B">
        <w:fldChar w:fldCharType="separate"/>
      </w:r>
      <w:r w:rsidR="00302D39">
        <w:t>4.1.1</w:t>
      </w:r>
      <w:r w:rsidRPr="00D5341B">
        <w:fldChar w:fldCharType="end"/>
      </w:r>
      <w:r w:rsidRPr="00D5341B">
        <w:t xml:space="preserve">, the Authority shall be entitled to request a revised Detailed Implementation Plan at any time by giving written notice to the Supplier and the Supplier shall submit a draft revised Detailed Implementation Plan to the Authority within 20 Working Days of receiving such a request from the Authority (or such longer period as the Parties may agree provided that any failure to agree such longer period shall be referred to the Dispute Resolution Procedure); </w:t>
      </w:r>
    </w:p>
    <w:p w14:paraId="379408C5" w14:textId="098A4C5B" w:rsidR="00F67E9E" w:rsidRPr="00D5341B" w:rsidRDefault="00F67E9E" w:rsidP="00F67E9E">
      <w:pPr>
        <w:pStyle w:val="Numbered111"/>
        <w:tabs>
          <w:tab w:val="clear" w:pos="1800"/>
          <w:tab w:val="num" w:pos="2160"/>
        </w:tabs>
      </w:pPr>
      <w:r w:rsidRPr="00D5341B">
        <w:t xml:space="preserve">any revised Detailed Implementation Plan shall (subject to </w:t>
      </w:r>
      <w:bookmarkStart w:id="844" w:name="_9kMHG5YVtCIAFLGGGfLv0lw9wtI6v022246MSWM"/>
      <w:r w:rsidRPr="00D5341B">
        <w:t xml:space="preserve">Paragraph </w:t>
      </w:r>
      <w:r w:rsidRPr="00D5341B">
        <w:fldChar w:fldCharType="begin"/>
      </w:r>
      <w:r w:rsidRPr="00D5341B">
        <w:instrText xml:space="preserve"> REF _Ref_ContractCompanion_9kb9Ur9F8 \n \h \t \* MERGEFORMAT </w:instrText>
      </w:r>
      <w:r w:rsidRPr="00D5341B">
        <w:fldChar w:fldCharType="separate"/>
      </w:r>
      <w:r w:rsidR="00302D39">
        <w:t>4.2</w:t>
      </w:r>
      <w:r w:rsidRPr="00D5341B">
        <w:fldChar w:fldCharType="end"/>
      </w:r>
      <w:bookmarkEnd w:id="844"/>
      <w:r w:rsidRPr="00D5341B">
        <w:t xml:space="preserve">) be submitted by the Supplier for approval in accordance with the procedure set out in </w:t>
      </w:r>
      <w:bookmarkStart w:id="845" w:name="_9kMHG5YVtCIAFLJhLhkhy7sEPNX1HKKPC3IDJM8"/>
      <w:r w:rsidRPr="00D5341B">
        <w:t xml:space="preserve">Paragraph </w:t>
      </w:r>
      <w:r w:rsidRPr="00D5341B">
        <w:fldChar w:fldCharType="begin"/>
      </w:r>
      <w:r w:rsidRPr="00D5341B">
        <w:instrText xml:space="preserve"> REF _Ref_ContractCompanion_9kb9Ur9FB \w \n \h \t \* MERGEFORMAT </w:instrText>
      </w:r>
      <w:r w:rsidRPr="00D5341B">
        <w:fldChar w:fldCharType="separate"/>
      </w:r>
      <w:r w:rsidR="00302D39">
        <w:t>3</w:t>
      </w:r>
      <w:r w:rsidRPr="00D5341B">
        <w:fldChar w:fldCharType="end"/>
      </w:r>
      <w:bookmarkEnd w:id="845"/>
      <w:r w:rsidRPr="00D5341B">
        <w:t>; and</w:t>
      </w:r>
    </w:p>
    <w:p w14:paraId="452143F5" w14:textId="0A0EE245" w:rsidR="00F67E9E" w:rsidRPr="00A4516A" w:rsidRDefault="00F67E9E" w:rsidP="00F67E9E">
      <w:pPr>
        <w:pStyle w:val="Numbered111"/>
        <w:tabs>
          <w:tab w:val="clear" w:pos="1800"/>
          <w:tab w:val="num" w:pos="2160"/>
        </w:tabs>
      </w:pPr>
      <w:r w:rsidRPr="00D5341B">
        <w:t>the Supplier</w:t>
      </w:r>
      <w:r>
        <w:t>’</w:t>
      </w:r>
      <w:r w:rsidRPr="00D5341B">
        <w:t>s performance against the Implementation</w:t>
      </w:r>
      <w:r w:rsidRPr="00A4516A">
        <w:t xml:space="preserve"> Plan shall be monitored at meetings of the Service Management Board (as defined in </w:t>
      </w:r>
      <w:r>
        <w:fldChar w:fldCharType="begin"/>
      </w:r>
      <w:r>
        <w:instrText xml:space="preserve"> REF Schedule21 \h </w:instrText>
      </w:r>
      <w:r>
        <w:fldChar w:fldCharType="separate"/>
      </w:r>
      <w:r w:rsidR="00302D39" w:rsidRPr="005D0525">
        <w:t>Schedule</w:t>
      </w:r>
      <w:r w:rsidR="00302D39">
        <w:t> </w:t>
      </w:r>
      <w:r w:rsidR="00302D39" w:rsidRPr="005D0525">
        <w:t>21</w:t>
      </w:r>
      <w:r>
        <w:fldChar w:fldCharType="end"/>
      </w:r>
      <w:r>
        <w:t xml:space="preserve"> (</w:t>
      </w:r>
      <w:r w:rsidRPr="002F30DB">
        <w:rPr>
          <w:i/>
          <w:iCs/>
        </w:rPr>
        <w:fldChar w:fldCharType="begin"/>
      </w:r>
      <w:r w:rsidRPr="002F30DB">
        <w:rPr>
          <w:i/>
          <w:iCs/>
        </w:rPr>
        <w:instrText xml:space="preserve"> REF Schedule21Heading \h </w:instrText>
      </w:r>
      <w:r>
        <w:rPr>
          <w:i/>
          <w:iCs/>
        </w:rPr>
        <w:instrText xml:space="preserve"> \* MERGEFORMAT </w:instrText>
      </w:r>
      <w:r w:rsidRPr="002F30DB">
        <w:rPr>
          <w:i/>
          <w:iCs/>
        </w:rPr>
      </w:r>
      <w:r w:rsidRPr="002F30DB">
        <w:rPr>
          <w:i/>
          <w:iCs/>
        </w:rPr>
        <w:fldChar w:fldCharType="separate"/>
      </w:r>
      <w:r w:rsidR="00302D39" w:rsidRPr="00302D39">
        <w:rPr>
          <w:i/>
          <w:iCs/>
        </w:rPr>
        <w:t>Governance</w:t>
      </w:r>
      <w:r w:rsidRPr="002F30DB">
        <w:rPr>
          <w:i/>
          <w:iCs/>
        </w:rPr>
        <w:fldChar w:fldCharType="end"/>
      </w:r>
      <w:r>
        <w:t>)</w:t>
      </w:r>
      <w:r w:rsidRPr="00A4516A">
        <w:t>.</w:t>
      </w:r>
      <w:r>
        <w:t xml:space="preserve"> </w:t>
      </w:r>
      <w:r w:rsidRPr="00A4516A">
        <w:t>In preparation for such meetings, the current Detailed Implementation Plan shall be provided by the Supplier to the Authority not less than 5 Working Days in advance of each meeting of the Service Management Board.</w:t>
      </w:r>
    </w:p>
    <w:p w14:paraId="2838F867" w14:textId="77777777" w:rsidR="00F67E9E" w:rsidRPr="00A4516A" w:rsidRDefault="00F67E9E" w:rsidP="00F67E9E">
      <w:pPr>
        <w:pStyle w:val="Numbered11"/>
      </w:pPr>
      <w:bookmarkStart w:id="846" w:name="_Ref_ContractCompanion_9kb9Ur9F8"/>
      <w:bookmarkStart w:id="847" w:name="_9kR3WTrAG8DJEEEdJtyju7urG4ty00024KQUK73"/>
      <w:r w:rsidRPr="00A4516A">
        <w:t>Save for any amendments which are of a type identified and notified by the Authority (at the Authority</w:t>
      </w:r>
      <w:r>
        <w:t>’</w:t>
      </w:r>
      <w:r w:rsidRPr="00A4516A">
        <w:t xml:space="preserve">s discretion) to the Supplier in writing as not requiring approval, any material amendments to the Detailed Implementation Plan shall be subject to the Change Control </w:t>
      </w:r>
      <w:r w:rsidRPr="00820382">
        <w:t>Procedure</w:t>
      </w:r>
      <w:r w:rsidRPr="00A4516A">
        <w:t xml:space="preserve"> provided that:</w:t>
      </w:r>
      <w:bookmarkEnd w:id="846"/>
      <w:bookmarkEnd w:id="847"/>
    </w:p>
    <w:p w14:paraId="2C9E5E90" w14:textId="77777777" w:rsidR="00F67E9E" w:rsidRPr="00A4516A" w:rsidRDefault="00F67E9E" w:rsidP="00F67E9E">
      <w:pPr>
        <w:pStyle w:val="Numbered111"/>
        <w:tabs>
          <w:tab w:val="clear" w:pos="1800"/>
          <w:tab w:val="num" w:pos="2160"/>
        </w:tabs>
      </w:pPr>
      <w:r w:rsidRPr="00A4516A">
        <w:t>any amendments to elements of the Detailed Implementation Plan which are based on the contents of the Outline Implementation Plan shall be deemed to be material amendments; and</w:t>
      </w:r>
    </w:p>
    <w:p w14:paraId="529E774E" w14:textId="77777777" w:rsidR="00F67E9E" w:rsidRPr="00D5341B" w:rsidRDefault="00F67E9E" w:rsidP="00F67E9E">
      <w:pPr>
        <w:pStyle w:val="Numbered111"/>
        <w:tabs>
          <w:tab w:val="clear" w:pos="1800"/>
          <w:tab w:val="num" w:pos="2160"/>
        </w:tabs>
      </w:pPr>
      <w:r w:rsidRPr="00D5341B">
        <w:t xml:space="preserve">in no circumstances shall the Supplier be entitled to alter or request an alteration to any Milestone Date except in accordance with </w:t>
      </w:r>
      <w:bookmarkStart w:id="848" w:name="_9kMHG5YVt4EE7CGPEjtCx9K"/>
      <w:r w:rsidRPr="00D5341B">
        <w:t>Clause 29</w:t>
      </w:r>
      <w:bookmarkEnd w:id="848"/>
      <w:r w:rsidRPr="00D5341B">
        <w:t xml:space="preserve"> (</w:t>
      </w:r>
      <w:r w:rsidRPr="00D5341B">
        <w:rPr>
          <w:i/>
        </w:rPr>
        <w:t>Authority Cause</w:t>
      </w:r>
      <w:r w:rsidRPr="00D5341B">
        <w:t>).</w:t>
      </w:r>
    </w:p>
    <w:p w14:paraId="2453BFA2" w14:textId="77777777" w:rsidR="00F67E9E" w:rsidRPr="00D5341B" w:rsidRDefault="00F67E9E" w:rsidP="00F67E9E">
      <w:pPr>
        <w:pStyle w:val="Numbered11"/>
      </w:pPr>
      <w:r w:rsidRPr="00D5341B">
        <w:t xml:space="preserve">Any proposed </w:t>
      </w:r>
      <w:r w:rsidRPr="00820382">
        <w:t>amendments</w:t>
      </w:r>
      <w:r w:rsidRPr="00D5341B">
        <w:t xml:space="preserve"> to the Detailed Implementation Plan shall not come into force until they have been approved in writing by the Authority. </w:t>
      </w:r>
    </w:p>
    <w:p w14:paraId="3BEB6A97" w14:textId="77777777" w:rsidR="00F67E9E" w:rsidRPr="00D5341B" w:rsidRDefault="00F67E9E" w:rsidP="00F67E9E">
      <w:pPr>
        <w:pStyle w:val="Numbered1"/>
      </w:pPr>
      <w:r w:rsidRPr="00D5341B">
        <w:t>Government Reviews</w:t>
      </w:r>
    </w:p>
    <w:p w14:paraId="5164FA4C" w14:textId="77777777" w:rsidR="00F67E9E" w:rsidRDefault="00F67E9E" w:rsidP="00F67E9E">
      <w:pPr>
        <w:pStyle w:val="Numbered11"/>
      </w:pPr>
      <w:r w:rsidRPr="00D5341B">
        <w:t xml:space="preserve">The Supplier acknowledges that the Services may be subject to Government review at key stages of the project. The Supplier shall cooperate with any bodies undertaking such review and shall allow for such reasonable assistance as may be required for this </w:t>
      </w:r>
      <w:r w:rsidRPr="00820382">
        <w:t>purpose</w:t>
      </w:r>
      <w:r w:rsidRPr="00D5341B">
        <w:t xml:space="preserve"> within the Charges.</w:t>
      </w:r>
    </w:p>
    <w:p w14:paraId="29E30E7A" w14:textId="77777777" w:rsidR="00F67E9E" w:rsidRDefault="00F67E9E" w:rsidP="00F67E9E"/>
    <w:p w14:paraId="06AF2222" w14:textId="77777777" w:rsidR="00F67E9E" w:rsidRPr="00477926" w:rsidRDefault="00F67E9E" w:rsidP="00F67E9E">
      <w:pPr>
        <w:pStyle w:val="Heading2"/>
        <w:pageBreakBefore/>
      </w:pPr>
      <w:bookmarkStart w:id="849" w:name="_Ref_ContractCompanion_9kb9Ur4CC"/>
      <w:bookmarkStart w:id="850" w:name="_Toc141711931"/>
      <w:r w:rsidRPr="00477926">
        <w:t xml:space="preserve">Annex </w:t>
      </w:r>
      <w:bookmarkStart w:id="851" w:name="ANNEX1_SCHEDULE13"/>
      <w:r>
        <w:t>A</w:t>
      </w:r>
      <w:bookmarkEnd w:id="851"/>
      <w:r w:rsidRPr="00477926">
        <w:t>: Outline Implementation Plan</w:t>
      </w:r>
      <w:bookmarkEnd w:id="849"/>
      <w:bookmarkEnd w:id="850"/>
    </w:p>
    <w:tbl>
      <w:tblPr>
        <w:tblStyle w:val="MSATable-header"/>
        <w:tblW w:w="10206" w:type="dxa"/>
        <w:tblLayout w:type="fixed"/>
        <w:tblLook w:val="04A0" w:firstRow="1" w:lastRow="0" w:firstColumn="1" w:lastColumn="0" w:noHBand="0" w:noVBand="1"/>
      </w:tblPr>
      <w:tblGrid>
        <w:gridCol w:w="1361"/>
        <w:gridCol w:w="3005"/>
        <w:gridCol w:w="1247"/>
        <w:gridCol w:w="1304"/>
        <w:gridCol w:w="1985"/>
        <w:gridCol w:w="1304"/>
      </w:tblGrid>
      <w:tr w:rsidR="00F67E9E" w:rsidRPr="00A4516A" w14:paraId="523921A6" w14:textId="77777777" w:rsidTr="007F74AA">
        <w:trPr>
          <w:cnfStyle w:val="100000000000" w:firstRow="1" w:lastRow="0" w:firstColumn="0" w:lastColumn="0" w:oddVBand="0" w:evenVBand="0" w:oddHBand="0" w:evenHBand="0" w:firstRowFirstColumn="0" w:firstRowLastColumn="0" w:lastRowFirstColumn="0" w:lastRowLastColumn="0"/>
          <w:tblHeader/>
        </w:trPr>
        <w:tc>
          <w:tcPr>
            <w:tcW w:w="1361" w:type="dxa"/>
            <w:vAlign w:val="bottom"/>
          </w:tcPr>
          <w:p w14:paraId="07BD3498" w14:textId="77777777" w:rsidR="00F67E9E" w:rsidRPr="00A4516A" w:rsidRDefault="00F67E9E" w:rsidP="007F74AA">
            <w:pPr>
              <w:pStyle w:val="StdBodyText"/>
              <w:spacing w:before="0" w:after="0"/>
              <w:rPr>
                <w:rFonts w:cs="Arial"/>
              </w:rPr>
            </w:pPr>
            <w:r w:rsidRPr="00A4516A">
              <w:rPr>
                <w:rFonts w:cs="Arial"/>
              </w:rPr>
              <w:t>Milestone</w:t>
            </w:r>
          </w:p>
        </w:tc>
        <w:tc>
          <w:tcPr>
            <w:tcW w:w="3005" w:type="dxa"/>
            <w:vAlign w:val="bottom"/>
          </w:tcPr>
          <w:p w14:paraId="00974E37" w14:textId="77777777" w:rsidR="00F67E9E" w:rsidRPr="00A4516A" w:rsidRDefault="00F67E9E" w:rsidP="007F74AA">
            <w:pPr>
              <w:pStyle w:val="StdBodyText"/>
              <w:spacing w:before="0" w:after="0"/>
              <w:rPr>
                <w:rFonts w:cs="Arial"/>
              </w:rPr>
            </w:pPr>
            <w:r w:rsidRPr="00A4516A">
              <w:rPr>
                <w:rFonts w:cs="Arial"/>
              </w:rPr>
              <w:t>Deliverables</w:t>
            </w:r>
            <w:r w:rsidRPr="00A4516A">
              <w:rPr>
                <w:rFonts w:cs="Arial"/>
              </w:rPr>
              <w:br/>
            </w:r>
            <w:r w:rsidRPr="005F1047">
              <w:rPr>
                <w:rFonts w:cs="Arial"/>
                <w:iCs/>
              </w:rPr>
              <w:t>(bulleted list showing all Deliverables (and associated tasks) required for each Milestone)</w:t>
            </w:r>
          </w:p>
        </w:tc>
        <w:tc>
          <w:tcPr>
            <w:tcW w:w="1247" w:type="dxa"/>
            <w:vAlign w:val="bottom"/>
          </w:tcPr>
          <w:p w14:paraId="47A040CA" w14:textId="77777777" w:rsidR="00F67E9E" w:rsidRPr="00A4516A" w:rsidRDefault="00F67E9E" w:rsidP="007F74AA">
            <w:pPr>
              <w:pStyle w:val="StdBodyText"/>
              <w:spacing w:before="0" w:after="0"/>
              <w:rPr>
                <w:rFonts w:cs="Arial"/>
              </w:rPr>
            </w:pPr>
            <w:r w:rsidRPr="00A4516A">
              <w:rPr>
                <w:rFonts w:cs="Arial"/>
              </w:rPr>
              <w:t xml:space="preserve">Duration </w:t>
            </w:r>
            <w:r w:rsidRPr="005F1047">
              <w:rPr>
                <w:rFonts w:cs="Arial"/>
                <w:iCs/>
              </w:rPr>
              <w:t>(Working Days)</w:t>
            </w:r>
          </w:p>
        </w:tc>
        <w:tc>
          <w:tcPr>
            <w:tcW w:w="1304" w:type="dxa"/>
            <w:vAlign w:val="bottom"/>
          </w:tcPr>
          <w:p w14:paraId="69E250AF" w14:textId="77777777" w:rsidR="00F67E9E" w:rsidRPr="00A4516A" w:rsidRDefault="00F67E9E" w:rsidP="007F74AA">
            <w:pPr>
              <w:pStyle w:val="StdBodyText"/>
              <w:spacing w:before="0" w:after="0"/>
              <w:rPr>
                <w:rFonts w:cs="Arial"/>
              </w:rPr>
            </w:pPr>
            <w:r w:rsidRPr="00A4516A">
              <w:rPr>
                <w:rFonts w:cs="Arial"/>
              </w:rPr>
              <w:t>Milestone Date</w:t>
            </w:r>
          </w:p>
        </w:tc>
        <w:tc>
          <w:tcPr>
            <w:tcW w:w="1985" w:type="dxa"/>
            <w:vAlign w:val="bottom"/>
          </w:tcPr>
          <w:p w14:paraId="2A3E43EF" w14:textId="77777777" w:rsidR="00F67E9E" w:rsidRPr="00A4516A" w:rsidRDefault="00F67E9E" w:rsidP="007F74AA">
            <w:pPr>
              <w:pStyle w:val="StdBodyText"/>
              <w:spacing w:before="0" w:after="0"/>
              <w:rPr>
                <w:rFonts w:cs="Arial"/>
              </w:rPr>
            </w:pPr>
            <w:r w:rsidRPr="00A4516A">
              <w:rPr>
                <w:rFonts w:cs="Arial"/>
              </w:rPr>
              <w:t xml:space="preserve">Authority Responsibilities </w:t>
            </w:r>
            <w:r w:rsidRPr="005F1047">
              <w:rPr>
                <w:rFonts w:cs="Arial"/>
                <w:iCs/>
              </w:rPr>
              <w:t>(if applicable)</w:t>
            </w:r>
          </w:p>
        </w:tc>
        <w:tc>
          <w:tcPr>
            <w:tcW w:w="1304" w:type="dxa"/>
            <w:vAlign w:val="bottom"/>
          </w:tcPr>
          <w:p w14:paraId="31C0F30E" w14:textId="77777777" w:rsidR="00F67E9E" w:rsidRPr="00A4516A" w:rsidRDefault="00F67E9E" w:rsidP="007F74AA">
            <w:pPr>
              <w:pStyle w:val="StdBodyText"/>
              <w:spacing w:before="0" w:after="0"/>
              <w:rPr>
                <w:rFonts w:cs="Arial"/>
              </w:rPr>
            </w:pPr>
            <w:r w:rsidRPr="00A4516A">
              <w:rPr>
                <w:rFonts w:cs="Arial"/>
              </w:rPr>
              <w:t>Link to ATP/CPP</w:t>
            </w:r>
          </w:p>
        </w:tc>
      </w:tr>
      <w:tr w:rsidR="00F67E9E" w:rsidRPr="00A4516A" w14:paraId="37185D56" w14:textId="77777777" w:rsidTr="007F74AA">
        <w:tc>
          <w:tcPr>
            <w:tcW w:w="1361" w:type="dxa"/>
          </w:tcPr>
          <w:p w14:paraId="74CCB4AB" w14:textId="77777777" w:rsidR="00F67E9E" w:rsidRPr="00A4516A" w:rsidRDefault="00F67E9E" w:rsidP="007F74AA">
            <w:pPr>
              <w:pStyle w:val="StdBodyText"/>
              <w:spacing w:before="0" w:after="0"/>
              <w:rPr>
                <w:rFonts w:cs="Arial"/>
              </w:rPr>
            </w:pPr>
            <w:r w:rsidRPr="00A4516A">
              <w:rPr>
                <w:rFonts w:cs="Arial"/>
              </w:rPr>
              <w:t>Concept Design</w:t>
            </w:r>
          </w:p>
        </w:tc>
        <w:tc>
          <w:tcPr>
            <w:tcW w:w="3005" w:type="dxa"/>
          </w:tcPr>
          <w:p w14:paraId="6C3BFC61" w14:textId="77777777" w:rsidR="00F67E9E" w:rsidRPr="00D5341B" w:rsidRDefault="00F67E9E" w:rsidP="007F74AA">
            <w:pPr>
              <w:pStyle w:val="StdBodyText"/>
              <w:spacing w:before="0" w:after="0"/>
              <w:rPr>
                <w:rFonts w:cs="Arial"/>
              </w:rPr>
            </w:pPr>
            <w:r w:rsidRPr="00AA5727">
              <w:rPr>
                <w:rFonts w:cs="Arial"/>
                <w:highlight w:val="yellow"/>
              </w:rPr>
              <w:t>[Statement of Requirements</w:t>
            </w:r>
            <w:r w:rsidRPr="00AA5727">
              <w:rPr>
                <w:rFonts w:cs="Arial"/>
                <w:highlight w:val="yellow"/>
              </w:rPr>
              <w:br/>
              <w:t>System/Application Specifications</w:t>
            </w:r>
            <w:r w:rsidRPr="00AA5727">
              <w:rPr>
                <w:rFonts w:cs="Arial"/>
                <w:highlight w:val="yellow"/>
              </w:rPr>
              <w:br/>
              <w:t>Interface Specifications</w:t>
            </w:r>
            <w:r w:rsidRPr="00AA5727">
              <w:rPr>
                <w:rFonts w:cs="Arial"/>
                <w:highlight w:val="yellow"/>
              </w:rPr>
              <w:br/>
              <w:t>Systems Testing Strategy</w:t>
            </w:r>
            <w:r w:rsidRPr="00AA5727">
              <w:rPr>
                <w:rFonts w:cs="Arial"/>
                <w:highlight w:val="yellow"/>
              </w:rPr>
              <w:br/>
              <w:t>Implementation Strategy and Plan</w:t>
            </w:r>
            <w:r w:rsidRPr="00AA5727">
              <w:rPr>
                <w:rFonts w:cs="Arial"/>
                <w:highlight w:val="yellow"/>
              </w:rPr>
              <w:br/>
              <w:t>Risk and Issues Management Plan</w:t>
            </w:r>
            <w:r w:rsidRPr="00AA5727">
              <w:rPr>
                <w:rFonts w:cs="Arial"/>
                <w:highlight w:val="yellow"/>
              </w:rPr>
              <w:br/>
              <w:t>Outline Disaster Recovery Plan</w:t>
            </w:r>
            <w:r w:rsidRPr="00AA5727">
              <w:rPr>
                <w:rFonts w:cs="Arial"/>
                <w:highlight w:val="yellow"/>
              </w:rPr>
              <w:br/>
              <w:t>Project Schedule</w:t>
            </w:r>
            <w:r w:rsidRPr="00AA5727">
              <w:rPr>
                <w:rFonts w:cs="Arial"/>
                <w:highlight w:val="yellow"/>
              </w:rPr>
              <w:br/>
              <w:t>Service Management Plan]</w:t>
            </w:r>
          </w:p>
        </w:tc>
        <w:tc>
          <w:tcPr>
            <w:tcW w:w="1247" w:type="dxa"/>
          </w:tcPr>
          <w:p w14:paraId="544E039B" w14:textId="77777777" w:rsidR="00F67E9E" w:rsidRPr="00A4516A" w:rsidRDefault="00F67E9E" w:rsidP="007F74AA">
            <w:pPr>
              <w:pStyle w:val="StdBodyText"/>
              <w:spacing w:before="0" w:after="0"/>
              <w:rPr>
                <w:rFonts w:cs="Arial"/>
              </w:rPr>
            </w:pPr>
          </w:p>
        </w:tc>
        <w:tc>
          <w:tcPr>
            <w:tcW w:w="1304" w:type="dxa"/>
          </w:tcPr>
          <w:p w14:paraId="4FED4094" w14:textId="77777777" w:rsidR="00F67E9E" w:rsidRPr="00A4516A" w:rsidRDefault="00F67E9E" w:rsidP="007F74AA">
            <w:pPr>
              <w:pStyle w:val="StdBodyText"/>
              <w:spacing w:before="0" w:after="0"/>
              <w:rPr>
                <w:rFonts w:cs="Arial"/>
              </w:rPr>
            </w:pPr>
          </w:p>
        </w:tc>
        <w:tc>
          <w:tcPr>
            <w:tcW w:w="1985" w:type="dxa"/>
          </w:tcPr>
          <w:p w14:paraId="5BD33D7D" w14:textId="77777777" w:rsidR="00F67E9E" w:rsidRPr="00A4516A" w:rsidRDefault="00F67E9E" w:rsidP="007F74AA">
            <w:pPr>
              <w:pStyle w:val="StdBodyText"/>
              <w:spacing w:before="0" w:after="0"/>
              <w:rPr>
                <w:rFonts w:cs="Arial"/>
              </w:rPr>
            </w:pPr>
          </w:p>
        </w:tc>
        <w:tc>
          <w:tcPr>
            <w:tcW w:w="1304" w:type="dxa"/>
          </w:tcPr>
          <w:p w14:paraId="51EAC870" w14:textId="77777777" w:rsidR="00F67E9E" w:rsidRPr="00A4516A" w:rsidRDefault="00F67E9E" w:rsidP="007F74AA">
            <w:pPr>
              <w:pStyle w:val="StdBodyText"/>
              <w:spacing w:before="0" w:after="0"/>
              <w:rPr>
                <w:rFonts w:cs="Arial"/>
              </w:rPr>
            </w:pPr>
          </w:p>
        </w:tc>
      </w:tr>
      <w:tr w:rsidR="00F67E9E" w:rsidRPr="00A4516A" w14:paraId="58CC7F2E" w14:textId="77777777" w:rsidTr="007F74AA">
        <w:tc>
          <w:tcPr>
            <w:tcW w:w="1361" w:type="dxa"/>
          </w:tcPr>
          <w:p w14:paraId="3CC16E41" w14:textId="77777777" w:rsidR="00F67E9E" w:rsidRPr="00A4516A" w:rsidRDefault="00F67E9E" w:rsidP="007F74AA">
            <w:pPr>
              <w:pStyle w:val="StdBodyText"/>
              <w:spacing w:before="0" w:after="0"/>
              <w:rPr>
                <w:rFonts w:cs="Arial"/>
              </w:rPr>
            </w:pPr>
            <w:r w:rsidRPr="00A4516A">
              <w:rPr>
                <w:rFonts w:cs="Arial"/>
              </w:rPr>
              <w:t>Full Development</w:t>
            </w:r>
          </w:p>
        </w:tc>
        <w:tc>
          <w:tcPr>
            <w:tcW w:w="3005" w:type="dxa"/>
          </w:tcPr>
          <w:p w14:paraId="63AF8E6D" w14:textId="77777777" w:rsidR="00F67E9E" w:rsidRPr="00D5341B" w:rsidRDefault="00F67E9E" w:rsidP="007F74AA">
            <w:pPr>
              <w:pStyle w:val="StdBodyText"/>
              <w:spacing w:before="0" w:after="0"/>
              <w:rPr>
                <w:rFonts w:cs="Arial"/>
              </w:rPr>
            </w:pPr>
            <w:r w:rsidRPr="00D5341B">
              <w:rPr>
                <w:rFonts w:cs="Arial"/>
              </w:rPr>
              <w:t>[</w:t>
            </w:r>
            <w:r w:rsidRPr="00AA5727">
              <w:rPr>
                <w:rFonts w:cs="Arial"/>
                <w:highlight w:val="yellow"/>
              </w:rPr>
              <w:t>Design Verification Reports</w:t>
            </w:r>
            <w:r w:rsidRPr="00AA5727">
              <w:rPr>
                <w:rFonts w:cs="Arial"/>
                <w:highlight w:val="yellow"/>
              </w:rPr>
              <w:br/>
              <w:t>Design Validation Reports</w:t>
            </w:r>
            <w:r w:rsidRPr="00AA5727">
              <w:rPr>
                <w:rFonts w:cs="Arial"/>
                <w:highlight w:val="yellow"/>
              </w:rPr>
              <w:br/>
              <w:t>Change Management Plan</w:t>
            </w:r>
            <w:r w:rsidRPr="00AA5727">
              <w:rPr>
                <w:rFonts w:cs="Arial"/>
                <w:highlight w:val="yellow"/>
              </w:rPr>
              <w:br/>
              <w:t>System/Application Implementation Plan</w:t>
            </w:r>
            <w:r w:rsidRPr="00AA5727">
              <w:rPr>
                <w:rFonts w:cs="Arial"/>
                <w:highlight w:val="yellow"/>
              </w:rPr>
              <w:br/>
              <w:t>Risk and Issues Management</w:t>
            </w:r>
            <w:r w:rsidRPr="00AA5727">
              <w:rPr>
                <w:rFonts w:cs="Arial"/>
                <w:highlight w:val="yellow"/>
              </w:rPr>
              <w:br/>
              <w:t>Project Schedule</w:t>
            </w:r>
            <w:r w:rsidRPr="00AA5727">
              <w:rPr>
                <w:rFonts w:cs="Arial"/>
                <w:highlight w:val="yellow"/>
              </w:rPr>
              <w:br/>
              <w:t>Service Management Plan]</w:t>
            </w:r>
          </w:p>
        </w:tc>
        <w:tc>
          <w:tcPr>
            <w:tcW w:w="1247" w:type="dxa"/>
          </w:tcPr>
          <w:p w14:paraId="60F7CB21" w14:textId="77777777" w:rsidR="00F67E9E" w:rsidRPr="00A4516A" w:rsidRDefault="00F67E9E" w:rsidP="007F74AA">
            <w:pPr>
              <w:pStyle w:val="StdBodyText"/>
              <w:spacing w:before="0" w:after="0"/>
              <w:rPr>
                <w:rFonts w:cs="Arial"/>
              </w:rPr>
            </w:pPr>
          </w:p>
        </w:tc>
        <w:tc>
          <w:tcPr>
            <w:tcW w:w="1304" w:type="dxa"/>
          </w:tcPr>
          <w:p w14:paraId="1D38A188" w14:textId="77777777" w:rsidR="00F67E9E" w:rsidRPr="00A4516A" w:rsidRDefault="00F67E9E" w:rsidP="007F74AA">
            <w:pPr>
              <w:pStyle w:val="StdBodyText"/>
              <w:spacing w:before="0" w:after="0"/>
              <w:rPr>
                <w:rFonts w:cs="Arial"/>
              </w:rPr>
            </w:pPr>
          </w:p>
        </w:tc>
        <w:tc>
          <w:tcPr>
            <w:tcW w:w="1985" w:type="dxa"/>
          </w:tcPr>
          <w:p w14:paraId="2099B181" w14:textId="77777777" w:rsidR="00F67E9E" w:rsidRPr="00A4516A" w:rsidRDefault="00F67E9E" w:rsidP="007F74AA">
            <w:pPr>
              <w:pStyle w:val="StdBodyText"/>
              <w:spacing w:before="0" w:after="0"/>
              <w:rPr>
                <w:rFonts w:cs="Arial"/>
              </w:rPr>
            </w:pPr>
          </w:p>
        </w:tc>
        <w:tc>
          <w:tcPr>
            <w:tcW w:w="1304" w:type="dxa"/>
          </w:tcPr>
          <w:p w14:paraId="433B6633" w14:textId="77777777" w:rsidR="00F67E9E" w:rsidRPr="00A4516A" w:rsidRDefault="00F67E9E" w:rsidP="007F74AA">
            <w:pPr>
              <w:pStyle w:val="StdBodyText"/>
              <w:spacing w:before="0" w:after="0"/>
              <w:rPr>
                <w:rFonts w:cs="Arial"/>
              </w:rPr>
            </w:pPr>
          </w:p>
        </w:tc>
      </w:tr>
      <w:tr w:rsidR="00F67E9E" w:rsidRPr="00A4516A" w14:paraId="6441D0A6" w14:textId="77777777" w:rsidTr="007F74AA">
        <w:tc>
          <w:tcPr>
            <w:tcW w:w="1361" w:type="dxa"/>
          </w:tcPr>
          <w:p w14:paraId="3837DA95" w14:textId="77777777" w:rsidR="00F67E9E" w:rsidRPr="00A4516A" w:rsidRDefault="00F67E9E" w:rsidP="007F74AA">
            <w:pPr>
              <w:pStyle w:val="StdBodyText"/>
              <w:spacing w:before="0" w:after="0"/>
              <w:rPr>
                <w:rFonts w:cs="Arial"/>
              </w:rPr>
            </w:pPr>
            <w:r w:rsidRPr="00A4516A">
              <w:rPr>
                <w:rFonts w:cs="Arial"/>
              </w:rPr>
              <w:t>System User Testing</w:t>
            </w:r>
          </w:p>
        </w:tc>
        <w:tc>
          <w:tcPr>
            <w:tcW w:w="3005" w:type="dxa"/>
          </w:tcPr>
          <w:p w14:paraId="51C95BEC" w14:textId="77777777" w:rsidR="00F67E9E" w:rsidRPr="00D5341B" w:rsidRDefault="00F67E9E" w:rsidP="007F74AA">
            <w:pPr>
              <w:pStyle w:val="StdBodyText"/>
              <w:spacing w:before="0" w:after="0"/>
              <w:rPr>
                <w:rFonts w:cs="Arial"/>
              </w:rPr>
            </w:pPr>
            <w:bookmarkStart w:id="852" w:name="_9kR3WTr2AC7CLifC8vpfSyEoUzADJueCFy26cmT"/>
            <w:r w:rsidRPr="00D5341B">
              <w:rPr>
                <w:rFonts w:cs="Arial"/>
              </w:rPr>
              <w:t>System Test Report</w:t>
            </w:r>
            <w:r w:rsidRPr="00D5341B">
              <w:rPr>
                <w:rFonts w:cs="Arial"/>
              </w:rPr>
              <w:br/>
              <w:t>Risk and Issues Management Plan</w:t>
            </w:r>
            <w:r w:rsidRPr="00D5341B">
              <w:rPr>
                <w:rFonts w:cs="Arial"/>
              </w:rPr>
              <w:br/>
              <w:t xml:space="preserve">Project Schedule </w:t>
            </w:r>
            <w:r w:rsidRPr="00D5341B">
              <w:rPr>
                <w:rFonts w:cs="Arial"/>
              </w:rPr>
              <w:br/>
              <w:t>Service Management Plan</w:t>
            </w:r>
            <w:r w:rsidRPr="00D5341B">
              <w:rPr>
                <w:rFonts w:cs="Arial"/>
              </w:rPr>
              <w:br/>
              <w:t>Defects Log</w:t>
            </w:r>
            <w:r w:rsidRPr="00D5341B">
              <w:rPr>
                <w:rFonts w:cs="Arial"/>
              </w:rPr>
              <w:br/>
              <w:t>Final Inspection and Testing Report</w:t>
            </w:r>
            <w:bookmarkEnd w:id="852"/>
          </w:p>
        </w:tc>
        <w:tc>
          <w:tcPr>
            <w:tcW w:w="1247" w:type="dxa"/>
          </w:tcPr>
          <w:p w14:paraId="34D845C0" w14:textId="77777777" w:rsidR="00F67E9E" w:rsidRPr="00A4516A" w:rsidRDefault="00F67E9E" w:rsidP="007F74AA">
            <w:pPr>
              <w:pStyle w:val="StdBodyText"/>
              <w:spacing w:before="0" w:after="0"/>
              <w:rPr>
                <w:rFonts w:cs="Arial"/>
              </w:rPr>
            </w:pPr>
          </w:p>
        </w:tc>
        <w:tc>
          <w:tcPr>
            <w:tcW w:w="1304" w:type="dxa"/>
          </w:tcPr>
          <w:p w14:paraId="67F8A87F" w14:textId="77777777" w:rsidR="00F67E9E" w:rsidRPr="00A4516A" w:rsidRDefault="00F67E9E" w:rsidP="007F74AA">
            <w:pPr>
              <w:pStyle w:val="StdBodyText"/>
              <w:spacing w:before="0" w:after="0"/>
              <w:rPr>
                <w:rFonts w:cs="Arial"/>
              </w:rPr>
            </w:pPr>
          </w:p>
        </w:tc>
        <w:tc>
          <w:tcPr>
            <w:tcW w:w="1985" w:type="dxa"/>
          </w:tcPr>
          <w:p w14:paraId="4964F07F" w14:textId="77777777" w:rsidR="00F67E9E" w:rsidRPr="00A4516A" w:rsidRDefault="00F67E9E" w:rsidP="007F74AA">
            <w:pPr>
              <w:pStyle w:val="StdBodyText"/>
              <w:spacing w:before="0" w:after="0"/>
              <w:rPr>
                <w:rFonts w:cs="Arial"/>
              </w:rPr>
            </w:pPr>
          </w:p>
        </w:tc>
        <w:tc>
          <w:tcPr>
            <w:tcW w:w="1304" w:type="dxa"/>
          </w:tcPr>
          <w:p w14:paraId="406B023E" w14:textId="77777777" w:rsidR="00F67E9E" w:rsidRPr="00A4516A" w:rsidRDefault="00F67E9E" w:rsidP="007F74AA">
            <w:pPr>
              <w:pStyle w:val="StdBodyText"/>
              <w:spacing w:before="0" w:after="0"/>
              <w:rPr>
                <w:rFonts w:cs="Arial"/>
              </w:rPr>
            </w:pPr>
          </w:p>
        </w:tc>
      </w:tr>
      <w:tr w:rsidR="00F67E9E" w:rsidRPr="00A4516A" w14:paraId="524460FA" w14:textId="77777777" w:rsidTr="007F74AA">
        <w:tc>
          <w:tcPr>
            <w:tcW w:w="1361" w:type="dxa"/>
          </w:tcPr>
          <w:p w14:paraId="4BEE5F20" w14:textId="77777777" w:rsidR="00F67E9E" w:rsidRPr="00A4516A" w:rsidRDefault="00F67E9E" w:rsidP="007F74AA">
            <w:pPr>
              <w:pStyle w:val="StdBodyText"/>
              <w:spacing w:before="0" w:after="0"/>
              <w:rPr>
                <w:rFonts w:cs="Arial"/>
              </w:rPr>
            </w:pPr>
            <w:r w:rsidRPr="00A4516A">
              <w:rPr>
                <w:rFonts w:cs="Arial"/>
              </w:rPr>
              <w:t>User Readiness for Service</w:t>
            </w:r>
          </w:p>
        </w:tc>
        <w:tc>
          <w:tcPr>
            <w:tcW w:w="3005" w:type="dxa"/>
          </w:tcPr>
          <w:p w14:paraId="12C41AE8" w14:textId="77777777" w:rsidR="00F67E9E" w:rsidRPr="00D5341B" w:rsidRDefault="00F67E9E" w:rsidP="007F74AA">
            <w:pPr>
              <w:pStyle w:val="StdBodyText"/>
              <w:spacing w:before="0" w:after="0"/>
              <w:rPr>
                <w:rFonts w:cs="Arial"/>
              </w:rPr>
            </w:pPr>
            <w:r w:rsidRPr="00D5341B">
              <w:rPr>
                <w:rFonts w:cs="Arial"/>
              </w:rPr>
              <w:t>Training Plan</w:t>
            </w:r>
            <w:r w:rsidRPr="00D5341B">
              <w:rPr>
                <w:rFonts w:cs="Arial"/>
              </w:rPr>
              <w:br/>
              <w:t>Risk and Issues Log</w:t>
            </w:r>
            <w:r w:rsidRPr="00D5341B">
              <w:rPr>
                <w:rFonts w:cs="Arial"/>
              </w:rPr>
              <w:br/>
              <w:t>Implementation Plan</w:t>
            </w:r>
            <w:r w:rsidRPr="00D5341B">
              <w:rPr>
                <w:rFonts w:cs="Arial"/>
              </w:rPr>
              <w:br/>
              <w:t>Operations Plan</w:t>
            </w:r>
            <w:r w:rsidRPr="00D5341B">
              <w:rPr>
                <w:rFonts w:cs="Arial"/>
              </w:rPr>
              <w:br/>
              <w:t>Data Conversion &amp; Cutover Plan</w:t>
            </w:r>
            <w:r w:rsidRPr="00D5341B">
              <w:rPr>
                <w:rFonts w:cs="Arial"/>
              </w:rPr>
              <w:br/>
              <w:t>Project Schedule</w:t>
            </w:r>
            <w:r w:rsidRPr="00D5341B">
              <w:rPr>
                <w:rFonts w:cs="Arial"/>
              </w:rPr>
              <w:br/>
              <w:t>Service Management Plan</w:t>
            </w:r>
          </w:p>
        </w:tc>
        <w:tc>
          <w:tcPr>
            <w:tcW w:w="1247" w:type="dxa"/>
          </w:tcPr>
          <w:p w14:paraId="0848E650" w14:textId="77777777" w:rsidR="00F67E9E" w:rsidRPr="00A4516A" w:rsidRDefault="00F67E9E" w:rsidP="007F74AA">
            <w:pPr>
              <w:pStyle w:val="StdBodyText"/>
              <w:spacing w:before="0" w:after="0"/>
              <w:rPr>
                <w:rFonts w:cs="Arial"/>
              </w:rPr>
            </w:pPr>
          </w:p>
        </w:tc>
        <w:tc>
          <w:tcPr>
            <w:tcW w:w="1304" w:type="dxa"/>
          </w:tcPr>
          <w:p w14:paraId="6FB84F18" w14:textId="77777777" w:rsidR="00F67E9E" w:rsidRPr="00A4516A" w:rsidRDefault="00F67E9E" w:rsidP="007F74AA">
            <w:pPr>
              <w:pStyle w:val="StdBodyText"/>
              <w:spacing w:before="0" w:after="0"/>
              <w:rPr>
                <w:rFonts w:cs="Arial"/>
              </w:rPr>
            </w:pPr>
          </w:p>
        </w:tc>
        <w:tc>
          <w:tcPr>
            <w:tcW w:w="1985" w:type="dxa"/>
          </w:tcPr>
          <w:p w14:paraId="0CBF493A" w14:textId="77777777" w:rsidR="00F67E9E" w:rsidRPr="00A4516A" w:rsidRDefault="00F67E9E" w:rsidP="007F74AA">
            <w:pPr>
              <w:pStyle w:val="StdBodyText"/>
              <w:spacing w:before="0" w:after="0"/>
              <w:rPr>
                <w:rFonts w:cs="Arial"/>
              </w:rPr>
            </w:pPr>
          </w:p>
        </w:tc>
        <w:tc>
          <w:tcPr>
            <w:tcW w:w="1304" w:type="dxa"/>
          </w:tcPr>
          <w:p w14:paraId="2168F324" w14:textId="77777777" w:rsidR="00F67E9E" w:rsidRPr="00A4516A" w:rsidRDefault="00F67E9E" w:rsidP="007F74AA">
            <w:pPr>
              <w:pStyle w:val="StdBodyText"/>
              <w:spacing w:before="0" w:after="0"/>
              <w:rPr>
                <w:rFonts w:cs="Arial"/>
              </w:rPr>
            </w:pPr>
          </w:p>
        </w:tc>
      </w:tr>
      <w:tr w:rsidR="00F67E9E" w:rsidRPr="00A4516A" w14:paraId="4A32AB98" w14:textId="77777777" w:rsidTr="007F74AA">
        <w:tc>
          <w:tcPr>
            <w:tcW w:w="1361" w:type="dxa"/>
          </w:tcPr>
          <w:p w14:paraId="244939CD" w14:textId="77777777" w:rsidR="00F67E9E" w:rsidRPr="00A4516A" w:rsidRDefault="00F67E9E" w:rsidP="007F74AA">
            <w:pPr>
              <w:pStyle w:val="StdBodyText"/>
              <w:spacing w:before="0" w:after="0"/>
              <w:rPr>
                <w:rFonts w:cs="Arial"/>
              </w:rPr>
            </w:pPr>
            <w:r w:rsidRPr="00A4516A">
              <w:rPr>
                <w:rFonts w:cs="Arial"/>
              </w:rPr>
              <w:t>Implementation</w:t>
            </w:r>
          </w:p>
        </w:tc>
        <w:tc>
          <w:tcPr>
            <w:tcW w:w="3005" w:type="dxa"/>
          </w:tcPr>
          <w:p w14:paraId="283B454A" w14:textId="77777777" w:rsidR="00F67E9E" w:rsidRPr="00D5341B" w:rsidRDefault="00F67E9E" w:rsidP="007F74AA">
            <w:pPr>
              <w:pStyle w:val="StdBodyText"/>
              <w:spacing w:before="0" w:after="0"/>
              <w:rPr>
                <w:rFonts w:cs="Arial"/>
              </w:rPr>
            </w:pPr>
            <w:r w:rsidRPr="00D5341B">
              <w:rPr>
                <w:rFonts w:cs="Arial"/>
              </w:rPr>
              <w:t>Implementation Plan</w:t>
            </w:r>
            <w:r w:rsidRPr="00D5341B">
              <w:rPr>
                <w:rFonts w:cs="Arial"/>
              </w:rPr>
              <w:br/>
              <w:t>Training Scripts</w:t>
            </w:r>
          </w:p>
        </w:tc>
        <w:tc>
          <w:tcPr>
            <w:tcW w:w="1247" w:type="dxa"/>
          </w:tcPr>
          <w:p w14:paraId="04DDFD3B" w14:textId="77777777" w:rsidR="00F67E9E" w:rsidRPr="00A4516A" w:rsidRDefault="00F67E9E" w:rsidP="007F74AA">
            <w:pPr>
              <w:pStyle w:val="StdBodyText"/>
              <w:spacing w:before="0" w:after="0"/>
              <w:rPr>
                <w:rFonts w:cs="Arial"/>
              </w:rPr>
            </w:pPr>
          </w:p>
        </w:tc>
        <w:tc>
          <w:tcPr>
            <w:tcW w:w="1304" w:type="dxa"/>
          </w:tcPr>
          <w:p w14:paraId="53486FA3" w14:textId="77777777" w:rsidR="00F67E9E" w:rsidRPr="00A4516A" w:rsidRDefault="00F67E9E" w:rsidP="007F74AA">
            <w:pPr>
              <w:pStyle w:val="StdBodyText"/>
              <w:spacing w:before="0" w:after="0"/>
              <w:rPr>
                <w:rFonts w:cs="Arial"/>
              </w:rPr>
            </w:pPr>
          </w:p>
        </w:tc>
        <w:tc>
          <w:tcPr>
            <w:tcW w:w="1985" w:type="dxa"/>
          </w:tcPr>
          <w:p w14:paraId="1CEFAAB1" w14:textId="77777777" w:rsidR="00F67E9E" w:rsidRPr="00A4516A" w:rsidRDefault="00F67E9E" w:rsidP="007F74AA">
            <w:pPr>
              <w:pStyle w:val="StdBodyText"/>
              <w:spacing w:before="0" w:after="0"/>
              <w:rPr>
                <w:rFonts w:cs="Arial"/>
              </w:rPr>
            </w:pPr>
          </w:p>
        </w:tc>
        <w:tc>
          <w:tcPr>
            <w:tcW w:w="1304" w:type="dxa"/>
          </w:tcPr>
          <w:p w14:paraId="3174000C" w14:textId="77777777" w:rsidR="00F67E9E" w:rsidRPr="00A4516A" w:rsidRDefault="00F67E9E" w:rsidP="007F74AA">
            <w:pPr>
              <w:pStyle w:val="StdBodyText"/>
              <w:spacing w:before="0" w:after="0"/>
              <w:rPr>
                <w:rFonts w:cs="Arial"/>
              </w:rPr>
            </w:pPr>
          </w:p>
        </w:tc>
      </w:tr>
      <w:tr w:rsidR="00F67E9E" w:rsidRPr="00A4516A" w14:paraId="724A2F0D" w14:textId="77777777" w:rsidTr="007F74AA">
        <w:tc>
          <w:tcPr>
            <w:tcW w:w="1361" w:type="dxa"/>
          </w:tcPr>
          <w:p w14:paraId="14EDBAE4" w14:textId="77777777" w:rsidR="00F67E9E" w:rsidRPr="00A4516A" w:rsidRDefault="00F67E9E" w:rsidP="007F74AA">
            <w:pPr>
              <w:pStyle w:val="StdBodyText"/>
              <w:spacing w:before="0" w:after="0"/>
              <w:rPr>
                <w:rFonts w:cs="Arial"/>
              </w:rPr>
            </w:pPr>
            <w:r w:rsidRPr="00A4516A">
              <w:rPr>
                <w:rFonts w:cs="Arial"/>
              </w:rPr>
              <w:t>In Service Support</w:t>
            </w:r>
          </w:p>
        </w:tc>
        <w:tc>
          <w:tcPr>
            <w:tcW w:w="3005" w:type="dxa"/>
          </w:tcPr>
          <w:p w14:paraId="7F277A0A" w14:textId="77777777" w:rsidR="00F67E9E" w:rsidRPr="00D5341B" w:rsidRDefault="00F67E9E" w:rsidP="007F74AA">
            <w:pPr>
              <w:pStyle w:val="StdBodyText"/>
              <w:spacing w:before="0" w:after="0"/>
              <w:rPr>
                <w:rFonts w:cs="Arial"/>
              </w:rPr>
            </w:pPr>
            <w:r w:rsidRPr="00D5341B">
              <w:rPr>
                <w:rFonts w:cs="Arial"/>
              </w:rPr>
              <w:t>Post Implementation Report</w:t>
            </w:r>
            <w:r w:rsidRPr="00D5341B">
              <w:rPr>
                <w:rFonts w:cs="Arial"/>
              </w:rPr>
              <w:br/>
              <w:t>Data Conversion and Cut-Over Plan</w:t>
            </w:r>
            <w:r w:rsidRPr="00D5341B">
              <w:rPr>
                <w:rFonts w:cs="Arial"/>
              </w:rPr>
              <w:br/>
              <w:t>Service Delivery Reports</w:t>
            </w:r>
            <w:r w:rsidRPr="00D5341B">
              <w:rPr>
                <w:rFonts w:cs="Arial"/>
              </w:rPr>
              <w:br/>
              <w:t>Risk and Issues Log</w:t>
            </w:r>
            <w:r w:rsidRPr="00D5341B">
              <w:rPr>
                <w:rFonts w:cs="Arial"/>
              </w:rPr>
              <w:br/>
              <w:t>Service Management Plan</w:t>
            </w:r>
            <w:r w:rsidRPr="00D5341B">
              <w:rPr>
                <w:rFonts w:cs="Arial"/>
              </w:rPr>
              <w:br/>
              <w:t>Defects Log</w:t>
            </w:r>
          </w:p>
        </w:tc>
        <w:tc>
          <w:tcPr>
            <w:tcW w:w="1247" w:type="dxa"/>
          </w:tcPr>
          <w:p w14:paraId="2881E132" w14:textId="77777777" w:rsidR="00F67E9E" w:rsidRPr="00A4516A" w:rsidRDefault="00F67E9E" w:rsidP="007F74AA">
            <w:pPr>
              <w:pStyle w:val="StdBodyText"/>
              <w:spacing w:before="0" w:after="0"/>
              <w:rPr>
                <w:rFonts w:cs="Arial"/>
              </w:rPr>
            </w:pPr>
          </w:p>
        </w:tc>
        <w:tc>
          <w:tcPr>
            <w:tcW w:w="1304" w:type="dxa"/>
          </w:tcPr>
          <w:p w14:paraId="19A915E8" w14:textId="77777777" w:rsidR="00F67E9E" w:rsidRPr="00A4516A" w:rsidRDefault="00F67E9E" w:rsidP="007F74AA">
            <w:pPr>
              <w:pStyle w:val="StdBodyText"/>
              <w:spacing w:before="0" w:after="0"/>
              <w:rPr>
                <w:rFonts w:cs="Arial"/>
              </w:rPr>
            </w:pPr>
          </w:p>
        </w:tc>
        <w:tc>
          <w:tcPr>
            <w:tcW w:w="1985" w:type="dxa"/>
          </w:tcPr>
          <w:p w14:paraId="06BA177D" w14:textId="77777777" w:rsidR="00F67E9E" w:rsidRPr="00A4516A" w:rsidRDefault="00F67E9E" w:rsidP="007F74AA">
            <w:pPr>
              <w:pStyle w:val="StdBodyText"/>
              <w:spacing w:before="0" w:after="0"/>
              <w:rPr>
                <w:rFonts w:cs="Arial"/>
              </w:rPr>
            </w:pPr>
          </w:p>
        </w:tc>
        <w:tc>
          <w:tcPr>
            <w:tcW w:w="1304" w:type="dxa"/>
          </w:tcPr>
          <w:p w14:paraId="2C23BE59" w14:textId="77777777" w:rsidR="00F67E9E" w:rsidRPr="00A4516A" w:rsidRDefault="00F67E9E" w:rsidP="007F74AA">
            <w:pPr>
              <w:pStyle w:val="StdBodyText"/>
              <w:spacing w:before="0" w:after="0"/>
              <w:rPr>
                <w:rFonts w:cs="Arial"/>
              </w:rPr>
            </w:pPr>
          </w:p>
        </w:tc>
      </w:tr>
    </w:tbl>
    <w:p w14:paraId="22FBF3F2" w14:textId="77777777" w:rsidR="00F67E9E" w:rsidRDefault="00F67E9E" w:rsidP="00F67E9E"/>
    <w:p w14:paraId="36CA45E2" w14:textId="77777777" w:rsidR="00F67E9E" w:rsidRPr="00A4516A" w:rsidRDefault="00F67E9E" w:rsidP="00F67E9E"/>
    <w:p w14:paraId="08E7C712" w14:textId="77777777" w:rsidR="00F67E9E" w:rsidRDefault="00F67E9E" w:rsidP="00F67E9E">
      <w:pPr>
        <w:sectPr w:rsidR="00F67E9E" w:rsidSect="00240D26">
          <w:headerReference w:type="default" r:id="rId85"/>
          <w:footerReference w:type="default" r:id="rId86"/>
          <w:footerReference w:type="first" r:id="rId87"/>
          <w:pgSz w:w="11900" w:h="16840" w:code="9"/>
          <w:pgMar w:top="1701" w:right="851" w:bottom="1134" w:left="851" w:header="567" w:footer="567" w:gutter="0"/>
          <w:cols w:space="720"/>
          <w:docGrid w:linePitch="360"/>
        </w:sectPr>
      </w:pPr>
    </w:p>
    <w:p w14:paraId="3ECCBA75" w14:textId="77777777" w:rsidR="00F67E9E" w:rsidRPr="00FD59B8" w:rsidRDefault="00F67E9E" w:rsidP="00F67E9E">
      <w:pPr>
        <w:pStyle w:val="Dividername"/>
      </w:pPr>
      <w:r w:rsidRPr="00D5341B">
        <w:t>Schedule 14</w:t>
      </w:r>
    </w:p>
    <w:p w14:paraId="4F19E7D4" w14:textId="77777777" w:rsidR="00F67E9E" w:rsidRPr="00FD59B8" w:rsidRDefault="00F67E9E" w:rsidP="00F67E9E">
      <w:pPr>
        <w:pStyle w:val="Dividername"/>
      </w:pPr>
      <w:r w:rsidRPr="00FD59B8">
        <w:t>Testing Procedures</w:t>
      </w:r>
    </w:p>
    <w:p w14:paraId="2FDF9B3D" w14:textId="77777777" w:rsidR="00F67E9E" w:rsidRDefault="00F67E9E" w:rsidP="00F67E9E"/>
    <w:p w14:paraId="30534A3A" w14:textId="77777777" w:rsidR="00F67E9E" w:rsidRPr="00FD59B8" w:rsidRDefault="00F67E9E" w:rsidP="00F67E9E">
      <w:r w:rsidRPr="00FD59B8">
        <w:br w:type="page"/>
      </w:r>
    </w:p>
    <w:p w14:paraId="06536F76" w14:textId="77777777" w:rsidR="00F67E9E" w:rsidRPr="005D0525" w:rsidRDefault="00F67E9E" w:rsidP="00F67E9E">
      <w:pPr>
        <w:pStyle w:val="Heading1"/>
      </w:pPr>
      <w:bookmarkStart w:id="853" w:name="Schedule14"/>
      <w:bookmarkStart w:id="854" w:name="_Ref92199951"/>
      <w:bookmarkStart w:id="855" w:name="_Toc141711932"/>
      <w:r w:rsidRPr="005D0525">
        <w:t>Schedule</w:t>
      </w:r>
      <w:r>
        <w:t> </w:t>
      </w:r>
      <w:r w:rsidRPr="005D0525">
        <w:t>14</w:t>
      </w:r>
      <w:bookmarkEnd w:id="853"/>
      <w:r>
        <w:t xml:space="preserve">: </w:t>
      </w:r>
      <w:bookmarkStart w:id="856" w:name="Schedule14Heading"/>
      <w:r w:rsidRPr="005F1047">
        <w:t>Testing Procedures</w:t>
      </w:r>
      <w:bookmarkEnd w:id="854"/>
      <w:bookmarkEnd w:id="855"/>
      <w:bookmarkEnd w:id="856"/>
    </w:p>
    <w:p w14:paraId="49E7B3EB" w14:textId="77777777" w:rsidR="00F67E9E" w:rsidRPr="00D5341B" w:rsidRDefault="00F67E9E" w:rsidP="00F67E9E">
      <w:pPr>
        <w:pStyle w:val="Numbered1"/>
        <w:numPr>
          <w:ilvl w:val="0"/>
          <w:numId w:val="167"/>
        </w:numPr>
      </w:pPr>
      <w:r w:rsidRPr="00820382">
        <w:t>Definitions</w:t>
      </w:r>
    </w:p>
    <w:p w14:paraId="58EE2519" w14:textId="77777777" w:rsidR="00F67E9E" w:rsidRPr="00D5341B" w:rsidRDefault="00F67E9E" w:rsidP="00F67E9E">
      <w:pPr>
        <w:pStyle w:val="Numbered11"/>
      </w:pPr>
      <w:r w:rsidRPr="00D5341B">
        <w:t xml:space="preserve">In this Schedule, the following </w:t>
      </w:r>
      <w:r w:rsidRPr="00820382">
        <w:t>definitions</w:t>
      </w:r>
      <w:r w:rsidRPr="00D5341B">
        <w:t xml:space="preserve"> shall apply:</w:t>
      </w:r>
    </w:p>
    <w:tbl>
      <w:tblPr>
        <w:tblStyle w:val="MSAdefinitions"/>
        <w:tblW w:w="9638" w:type="dxa"/>
        <w:tblLook w:val="04A0" w:firstRow="1" w:lastRow="0" w:firstColumn="1" w:lastColumn="0" w:noHBand="0" w:noVBand="1"/>
      </w:tblPr>
      <w:tblGrid>
        <w:gridCol w:w="2835"/>
        <w:gridCol w:w="6803"/>
      </w:tblGrid>
      <w:tr w:rsidR="00F67E9E" w:rsidRPr="00D5341B" w14:paraId="4985C788" w14:textId="77777777" w:rsidTr="007F74AA">
        <w:tc>
          <w:tcPr>
            <w:tcW w:w="2835" w:type="dxa"/>
          </w:tcPr>
          <w:p w14:paraId="43120B0C" w14:textId="77777777" w:rsidR="00F67E9E" w:rsidRPr="00D5341B" w:rsidRDefault="00F67E9E" w:rsidP="007F74AA">
            <w:pPr>
              <w:pStyle w:val="StdBodyTextBold"/>
            </w:pPr>
            <w:r>
              <w:t>“</w:t>
            </w:r>
            <w:r w:rsidRPr="00D5341B">
              <w:t>Component</w:t>
            </w:r>
            <w:r>
              <w:t>”</w:t>
            </w:r>
          </w:p>
        </w:tc>
        <w:tc>
          <w:tcPr>
            <w:tcW w:w="6803" w:type="dxa"/>
          </w:tcPr>
          <w:p w14:paraId="263E9278" w14:textId="77777777" w:rsidR="00F67E9E" w:rsidRPr="00D5341B" w:rsidRDefault="00F67E9E" w:rsidP="007F74AA">
            <w:pPr>
              <w:pStyle w:val="StdBodyText"/>
            </w:pPr>
            <w:r w:rsidRPr="00D5341B">
              <w:t>any constituent parts of the infrastructure for a Service, hardware or Software;</w:t>
            </w:r>
          </w:p>
        </w:tc>
      </w:tr>
      <w:tr w:rsidR="00F67E9E" w:rsidRPr="00D5341B" w14:paraId="1CBE6017" w14:textId="77777777" w:rsidTr="007F74AA">
        <w:tc>
          <w:tcPr>
            <w:tcW w:w="2835" w:type="dxa"/>
          </w:tcPr>
          <w:p w14:paraId="2C448041" w14:textId="77777777" w:rsidR="00F67E9E" w:rsidRPr="00D5341B" w:rsidRDefault="00F67E9E" w:rsidP="007F74AA">
            <w:pPr>
              <w:pStyle w:val="StdBodyTextBold"/>
            </w:pPr>
            <w:r>
              <w:t>“</w:t>
            </w:r>
            <w:r w:rsidRPr="00D5341B">
              <w:t>Material Test Issue</w:t>
            </w:r>
            <w:r>
              <w:t>”</w:t>
            </w:r>
          </w:p>
        </w:tc>
        <w:tc>
          <w:tcPr>
            <w:tcW w:w="6803" w:type="dxa"/>
          </w:tcPr>
          <w:p w14:paraId="5AF8FAE7" w14:textId="77777777" w:rsidR="00F67E9E" w:rsidRPr="00D5341B" w:rsidRDefault="00F67E9E" w:rsidP="007F74AA">
            <w:pPr>
              <w:pStyle w:val="StdBodyText"/>
            </w:pPr>
            <w:r w:rsidRPr="00D5341B">
              <w:t>a Test Issue of Severity Level 1 or Severity Level 2;</w:t>
            </w:r>
          </w:p>
        </w:tc>
      </w:tr>
      <w:tr w:rsidR="00F67E9E" w:rsidRPr="00D5341B" w14:paraId="493F98D0" w14:textId="77777777" w:rsidTr="007F74AA">
        <w:tc>
          <w:tcPr>
            <w:tcW w:w="2835" w:type="dxa"/>
          </w:tcPr>
          <w:p w14:paraId="4E79029C" w14:textId="77777777" w:rsidR="00F67E9E" w:rsidRPr="00D5341B" w:rsidRDefault="00F67E9E" w:rsidP="007F74AA">
            <w:pPr>
              <w:pStyle w:val="StdBodyTextBold"/>
            </w:pPr>
            <w:r>
              <w:t>“</w:t>
            </w:r>
            <w:r w:rsidRPr="00D5341B">
              <w:t>Severity Level</w:t>
            </w:r>
            <w:r>
              <w:t>”</w:t>
            </w:r>
          </w:p>
        </w:tc>
        <w:tc>
          <w:tcPr>
            <w:tcW w:w="6803" w:type="dxa"/>
          </w:tcPr>
          <w:p w14:paraId="1365F39D" w14:textId="71E9A180" w:rsidR="00F67E9E" w:rsidRPr="00D5341B" w:rsidRDefault="00F67E9E" w:rsidP="007F74AA">
            <w:pPr>
              <w:pStyle w:val="StdBodyText"/>
            </w:pPr>
            <w:r w:rsidRPr="00D5341B">
              <w:t xml:space="preserve">the level of severity of a Test Issue, the criteria for which are described in Annex </w:t>
            </w:r>
            <w:r w:rsidRPr="00D5341B">
              <w:fldChar w:fldCharType="begin"/>
            </w:r>
            <w:r w:rsidRPr="00D5341B">
              <w:instrText xml:space="preserve"> REF ANNEX1_SCHEDULE14 \h </w:instrText>
            </w:r>
            <w:r>
              <w:instrText xml:space="preserve"> \* MERGEFORMAT </w:instrText>
            </w:r>
            <w:r w:rsidRPr="00D5341B">
              <w:fldChar w:fldCharType="separate"/>
            </w:r>
            <w:r w:rsidR="00302D39" w:rsidRPr="00302D39">
              <w:rPr>
                <w:rFonts w:cs="Arial"/>
              </w:rPr>
              <w:t>1</w:t>
            </w:r>
            <w:r w:rsidRPr="00D5341B">
              <w:fldChar w:fldCharType="end"/>
            </w:r>
            <w:r w:rsidRPr="00D5341B">
              <w:t>;</w:t>
            </w:r>
          </w:p>
        </w:tc>
      </w:tr>
      <w:tr w:rsidR="00F67E9E" w:rsidRPr="00D5341B" w14:paraId="46478A38" w14:textId="77777777" w:rsidTr="007F74AA">
        <w:tc>
          <w:tcPr>
            <w:tcW w:w="2835" w:type="dxa"/>
          </w:tcPr>
          <w:p w14:paraId="27D6480B" w14:textId="77777777" w:rsidR="00F67E9E" w:rsidRPr="00D5341B" w:rsidRDefault="00F67E9E" w:rsidP="007F74AA">
            <w:pPr>
              <w:pStyle w:val="StdBodyTextBold"/>
            </w:pPr>
            <w:r>
              <w:t>“</w:t>
            </w:r>
            <w:bookmarkStart w:id="857" w:name="_9kR3WTr2AC7CIgMs8T9vB3qrpi05"/>
            <w:r w:rsidRPr="00D5341B">
              <w:t>Test Certificate</w:t>
            </w:r>
            <w:bookmarkEnd w:id="857"/>
            <w:r>
              <w:t>”</w:t>
            </w:r>
          </w:p>
        </w:tc>
        <w:tc>
          <w:tcPr>
            <w:tcW w:w="6803" w:type="dxa"/>
          </w:tcPr>
          <w:p w14:paraId="629697B9" w14:textId="0674E8E5" w:rsidR="00F67E9E" w:rsidRPr="00D5341B" w:rsidRDefault="00F67E9E" w:rsidP="007F74AA">
            <w:pPr>
              <w:pStyle w:val="StdBodyText"/>
            </w:pPr>
            <w:r w:rsidRPr="00D5341B">
              <w:t xml:space="preserve">a certificate materially in the form of the document contained in Annex </w:t>
            </w:r>
            <w:r w:rsidRPr="00D5341B">
              <w:fldChar w:fldCharType="begin"/>
            </w:r>
            <w:r w:rsidRPr="00D5341B">
              <w:instrText xml:space="preserve"> REF ANNEX2_SCHEDULE14 \h </w:instrText>
            </w:r>
            <w:r>
              <w:instrText xml:space="preserve"> \* MERGEFORMAT </w:instrText>
            </w:r>
            <w:r w:rsidRPr="00D5341B">
              <w:fldChar w:fldCharType="separate"/>
            </w:r>
            <w:r w:rsidR="00302D39" w:rsidRPr="00302D39">
              <w:rPr>
                <w:rFonts w:cs="Arial"/>
              </w:rPr>
              <w:t>2</w:t>
            </w:r>
            <w:r w:rsidRPr="00D5341B">
              <w:fldChar w:fldCharType="end"/>
            </w:r>
            <w:r w:rsidRPr="00D5341B">
              <w:t xml:space="preserve"> issued by the Authority when a Deliverable has satisfied its relevant Test Success Criteria;</w:t>
            </w:r>
          </w:p>
        </w:tc>
      </w:tr>
      <w:tr w:rsidR="00F67E9E" w:rsidRPr="00D5341B" w14:paraId="1F858E14" w14:textId="77777777" w:rsidTr="007F74AA">
        <w:tc>
          <w:tcPr>
            <w:tcW w:w="2835" w:type="dxa"/>
          </w:tcPr>
          <w:p w14:paraId="418E6368" w14:textId="77777777" w:rsidR="00F67E9E" w:rsidRPr="00D5341B" w:rsidRDefault="00F67E9E" w:rsidP="007F74AA">
            <w:pPr>
              <w:pStyle w:val="StdBodyTextBold"/>
            </w:pPr>
            <w:r>
              <w:t>“</w:t>
            </w:r>
            <w:r w:rsidRPr="00D5341B">
              <w:t>Test Issue</w:t>
            </w:r>
            <w:r>
              <w:t>”</w:t>
            </w:r>
          </w:p>
        </w:tc>
        <w:tc>
          <w:tcPr>
            <w:tcW w:w="6803" w:type="dxa"/>
          </w:tcPr>
          <w:p w14:paraId="0E885730" w14:textId="77777777" w:rsidR="00F67E9E" w:rsidRPr="00D5341B" w:rsidRDefault="00F67E9E" w:rsidP="007F74AA">
            <w:pPr>
              <w:pStyle w:val="StdBodyText"/>
            </w:pPr>
            <w:r w:rsidRPr="00D5341B">
              <w:t>any variance or non-conformity of a Deliverable from its requirements (such requirements being set out in the relevant Test Success Criteria);</w:t>
            </w:r>
          </w:p>
        </w:tc>
      </w:tr>
      <w:tr w:rsidR="00F67E9E" w:rsidRPr="00D5341B" w14:paraId="14ECC17F" w14:textId="77777777" w:rsidTr="007F74AA">
        <w:tc>
          <w:tcPr>
            <w:tcW w:w="2835" w:type="dxa"/>
          </w:tcPr>
          <w:p w14:paraId="61A84D3C" w14:textId="77777777" w:rsidR="00F67E9E" w:rsidRPr="00D5341B" w:rsidRDefault="00F67E9E" w:rsidP="007F74AA">
            <w:pPr>
              <w:pStyle w:val="StdBodyTextBold"/>
            </w:pPr>
            <w:r>
              <w:t>“</w:t>
            </w:r>
            <w:r w:rsidRPr="00D5341B">
              <w:t>Test Issue Threshold</w:t>
            </w:r>
            <w:r>
              <w:t>”</w:t>
            </w:r>
          </w:p>
        </w:tc>
        <w:tc>
          <w:tcPr>
            <w:tcW w:w="6803" w:type="dxa"/>
          </w:tcPr>
          <w:p w14:paraId="10A7EAF0" w14:textId="77777777" w:rsidR="00F67E9E" w:rsidRPr="00D5341B" w:rsidRDefault="00F67E9E" w:rsidP="007F74AA">
            <w:pPr>
              <w:pStyle w:val="StdBodyText"/>
            </w:pPr>
            <w:r w:rsidRPr="00D5341B">
              <w:t>in relation to the Tests applicable to a Milestone, a maximum number of Severity Level 3, Severity Level 4 and Severity Level 5 Test Issues as set out in the relevant Test Plan;</w:t>
            </w:r>
          </w:p>
        </w:tc>
      </w:tr>
      <w:tr w:rsidR="00F67E9E" w:rsidRPr="00D5341B" w14:paraId="02AE834B" w14:textId="77777777" w:rsidTr="007F74AA">
        <w:tc>
          <w:tcPr>
            <w:tcW w:w="2835" w:type="dxa"/>
          </w:tcPr>
          <w:p w14:paraId="59C7E37A" w14:textId="77777777" w:rsidR="00F67E9E" w:rsidRPr="00D5341B" w:rsidRDefault="00F67E9E" w:rsidP="007F74AA">
            <w:pPr>
              <w:pStyle w:val="StdBodyTextBold"/>
            </w:pPr>
            <w:r>
              <w:t>“</w:t>
            </w:r>
            <w:r w:rsidRPr="00D5341B">
              <w:t>Test Issue Management Log</w:t>
            </w:r>
            <w:r>
              <w:t>”</w:t>
            </w:r>
          </w:p>
        </w:tc>
        <w:tc>
          <w:tcPr>
            <w:tcW w:w="6803" w:type="dxa"/>
          </w:tcPr>
          <w:p w14:paraId="646E9DF4" w14:textId="5A6DE351" w:rsidR="00F67E9E" w:rsidRPr="00D5341B" w:rsidRDefault="00F67E9E" w:rsidP="007F74AA">
            <w:pPr>
              <w:pStyle w:val="StdBodyText"/>
            </w:pPr>
            <w:r w:rsidRPr="00D5341B">
              <w:t xml:space="preserve">a log for the recording of Test Issues as described further in </w:t>
            </w:r>
            <w:bookmarkStart w:id="858" w:name="_9kR3WTr2CC5AIeEnoewrqyJR"/>
            <w:r w:rsidRPr="00D5341B">
              <w:t xml:space="preserve">Paragraph </w:t>
            </w:r>
            <w:bookmarkEnd w:id="858"/>
            <w:r w:rsidRPr="00D5341B">
              <w:fldChar w:fldCharType="begin"/>
            </w:r>
            <w:r w:rsidRPr="00D5341B">
              <w:instrText xml:space="preserve"> REF _Ref_ContractCompanion_9kb9Ur16C \w \h </w:instrText>
            </w:r>
            <w:r>
              <w:instrText xml:space="preserve"> \* MERGEFORMAT </w:instrText>
            </w:r>
            <w:r w:rsidRPr="00D5341B">
              <w:fldChar w:fldCharType="separate"/>
            </w:r>
            <w:r w:rsidR="00302D39">
              <w:t>9.1</w:t>
            </w:r>
            <w:r w:rsidRPr="00D5341B">
              <w:fldChar w:fldCharType="end"/>
            </w:r>
            <w:r w:rsidRPr="00D5341B">
              <w:rPr>
                <w:szCs w:val="20"/>
              </w:rPr>
              <w:t>;</w:t>
            </w:r>
          </w:p>
        </w:tc>
      </w:tr>
      <w:tr w:rsidR="00F67E9E" w:rsidRPr="00D5341B" w14:paraId="19821E4D" w14:textId="77777777" w:rsidTr="007F74AA">
        <w:tc>
          <w:tcPr>
            <w:tcW w:w="2835" w:type="dxa"/>
          </w:tcPr>
          <w:p w14:paraId="7BEF8C10" w14:textId="77777777" w:rsidR="00F67E9E" w:rsidRPr="00D5341B" w:rsidRDefault="00F67E9E" w:rsidP="007F74AA">
            <w:pPr>
              <w:pStyle w:val="StdBodyTextBold"/>
            </w:pPr>
            <w:r>
              <w:t>“</w:t>
            </w:r>
            <w:r w:rsidRPr="00D5341B">
              <w:t>Test Plan</w:t>
            </w:r>
            <w:r>
              <w:t>”</w:t>
            </w:r>
          </w:p>
        </w:tc>
        <w:tc>
          <w:tcPr>
            <w:tcW w:w="6803" w:type="dxa"/>
          </w:tcPr>
          <w:p w14:paraId="2FDD4E62" w14:textId="77777777" w:rsidR="00F67E9E" w:rsidRPr="00D5341B" w:rsidRDefault="00F67E9E" w:rsidP="007F74AA">
            <w:pPr>
              <w:pStyle w:val="StdBodyText"/>
            </w:pPr>
            <w:r w:rsidRPr="00D5341B">
              <w:t>a plan:</w:t>
            </w:r>
          </w:p>
          <w:p w14:paraId="5814C6DD" w14:textId="77777777" w:rsidR="00F67E9E" w:rsidRPr="00D5341B" w:rsidRDefault="00F67E9E" w:rsidP="007F74AA">
            <w:pPr>
              <w:pStyle w:val="DefinitionList"/>
              <w:numPr>
                <w:ilvl w:val="0"/>
                <w:numId w:val="127"/>
              </w:numPr>
            </w:pPr>
            <w:r w:rsidRPr="00D5341B">
              <w:t>for the Testing of Deliverables; and</w:t>
            </w:r>
          </w:p>
          <w:p w14:paraId="301DEE25" w14:textId="77777777" w:rsidR="00F67E9E" w:rsidRPr="00D5341B" w:rsidRDefault="00F67E9E" w:rsidP="00F67E9E">
            <w:pPr>
              <w:pStyle w:val="DefinitionList"/>
              <w:numPr>
                <w:ilvl w:val="0"/>
                <w:numId w:val="108"/>
              </w:numPr>
            </w:pPr>
            <w:r w:rsidRPr="00D5341B">
              <w:t>setting out other agreed criteria related to the achievement of Milestones,</w:t>
            </w:r>
          </w:p>
          <w:p w14:paraId="0745BD76" w14:textId="27ED36FD" w:rsidR="00F67E9E" w:rsidRPr="00D5341B" w:rsidRDefault="00F67E9E" w:rsidP="007F74AA">
            <w:pPr>
              <w:pStyle w:val="StdBodyText"/>
            </w:pPr>
            <w:r w:rsidRPr="00D5341B">
              <w:t xml:space="preserve">as described further in </w:t>
            </w:r>
            <w:bookmarkStart w:id="859" w:name="_9kMHG5YVtCIAFLMkLhkhy7sEQQs99PNG25O"/>
            <w:r w:rsidRPr="00D5341B">
              <w:t xml:space="preserve">Paragraph </w:t>
            </w:r>
            <w:bookmarkEnd w:id="859"/>
            <w:r w:rsidRPr="00D5341B">
              <w:fldChar w:fldCharType="begin"/>
            </w:r>
            <w:r w:rsidRPr="00D5341B">
              <w:instrText xml:space="preserve"> REF _Ref_ContractCompanion_9kb9Ur9FE \w \h </w:instrText>
            </w:r>
            <w:r>
              <w:instrText xml:space="preserve"> \* MERGEFORMAT </w:instrText>
            </w:r>
            <w:r w:rsidRPr="00D5341B">
              <w:fldChar w:fldCharType="separate"/>
            </w:r>
            <w:r w:rsidR="00302D39">
              <w:t>5</w:t>
            </w:r>
            <w:r w:rsidRPr="00D5341B">
              <w:fldChar w:fldCharType="end"/>
            </w:r>
            <w:r w:rsidRPr="00D5341B">
              <w:t>;</w:t>
            </w:r>
          </w:p>
        </w:tc>
      </w:tr>
      <w:tr w:rsidR="00F67E9E" w:rsidRPr="00D5341B" w14:paraId="2A87779F" w14:textId="77777777" w:rsidTr="007F74AA">
        <w:tc>
          <w:tcPr>
            <w:tcW w:w="2835" w:type="dxa"/>
          </w:tcPr>
          <w:p w14:paraId="2FD13FEC" w14:textId="77777777" w:rsidR="00F67E9E" w:rsidRPr="00D5341B" w:rsidRDefault="00F67E9E" w:rsidP="007F74AA">
            <w:pPr>
              <w:pStyle w:val="StdBodyTextBold"/>
            </w:pPr>
            <w:r>
              <w:t>“</w:t>
            </w:r>
            <w:r w:rsidRPr="00D5341B">
              <w:t>Test Reports</w:t>
            </w:r>
            <w:r>
              <w:t>”</w:t>
            </w:r>
          </w:p>
        </w:tc>
        <w:tc>
          <w:tcPr>
            <w:tcW w:w="6803" w:type="dxa"/>
          </w:tcPr>
          <w:p w14:paraId="098E134F" w14:textId="77777777" w:rsidR="00F67E9E" w:rsidRPr="00D5341B" w:rsidRDefault="00F67E9E" w:rsidP="007F74AA">
            <w:pPr>
              <w:pStyle w:val="StdBodyText"/>
            </w:pPr>
            <w:r w:rsidRPr="00D5341B">
              <w:t>the reports to be produced by the Supplier setting out the results of Tests;</w:t>
            </w:r>
          </w:p>
        </w:tc>
      </w:tr>
      <w:tr w:rsidR="00F67E9E" w:rsidRPr="00D5341B" w14:paraId="7AF78AEA" w14:textId="77777777" w:rsidTr="007F74AA">
        <w:tc>
          <w:tcPr>
            <w:tcW w:w="2835" w:type="dxa"/>
          </w:tcPr>
          <w:p w14:paraId="2A04D1E6" w14:textId="77777777" w:rsidR="00F67E9E" w:rsidRPr="00D5341B" w:rsidRDefault="00F67E9E" w:rsidP="007F74AA">
            <w:pPr>
              <w:pStyle w:val="StdBodyTextBold"/>
            </w:pPr>
            <w:r>
              <w:t>“</w:t>
            </w:r>
            <w:r w:rsidRPr="00D5341B">
              <w:t>Test Specification</w:t>
            </w:r>
            <w:r>
              <w:t>”</w:t>
            </w:r>
          </w:p>
        </w:tc>
        <w:tc>
          <w:tcPr>
            <w:tcW w:w="6803" w:type="dxa"/>
          </w:tcPr>
          <w:p w14:paraId="15F534CE" w14:textId="4517E90F" w:rsidR="00F67E9E" w:rsidRPr="00D5341B" w:rsidRDefault="00F67E9E" w:rsidP="007F74AA">
            <w:pPr>
              <w:pStyle w:val="StdBodyText"/>
            </w:pPr>
            <w:r w:rsidRPr="00D5341B">
              <w:t xml:space="preserve">the specification that sets out how Tests will demonstrate that the Test Success Criteria have been satisfied, as described in more detail in </w:t>
            </w:r>
            <w:bookmarkStart w:id="860" w:name="_9kMHG5YVtCIAFMGdLhkhy7sEQSu99PQNAy3786z"/>
            <w:r w:rsidRPr="00D5341B">
              <w:t xml:space="preserve">Paragraph </w:t>
            </w:r>
            <w:bookmarkEnd w:id="860"/>
            <w:r w:rsidRPr="00D5341B">
              <w:fldChar w:fldCharType="begin"/>
            </w:r>
            <w:r w:rsidRPr="00D5341B">
              <w:instrText xml:space="preserve"> REF _Ref_ContractCompanion_9kb9Ur9G8 \w \h </w:instrText>
            </w:r>
            <w:r>
              <w:instrText xml:space="preserve"> \* MERGEFORMAT </w:instrText>
            </w:r>
            <w:r w:rsidRPr="00D5341B">
              <w:fldChar w:fldCharType="separate"/>
            </w:r>
            <w:r w:rsidR="00302D39">
              <w:t>7</w:t>
            </w:r>
            <w:r w:rsidRPr="00D5341B">
              <w:fldChar w:fldCharType="end"/>
            </w:r>
            <w:r w:rsidRPr="00D5341B">
              <w:t>;</w:t>
            </w:r>
          </w:p>
        </w:tc>
      </w:tr>
      <w:tr w:rsidR="00F67E9E" w:rsidRPr="00D5341B" w14:paraId="605E12CB" w14:textId="77777777" w:rsidTr="007F74AA">
        <w:tc>
          <w:tcPr>
            <w:tcW w:w="2835" w:type="dxa"/>
          </w:tcPr>
          <w:p w14:paraId="0599292C" w14:textId="77777777" w:rsidR="00F67E9E" w:rsidRPr="00D5341B" w:rsidRDefault="00F67E9E" w:rsidP="007F74AA">
            <w:pPr>
              <w:pStyle w:val="StdBodyTextBold"/>
            </w:pPr>
            <w:r>
              <w:t>“</w:t>
            </w:r>
            <w:r w:rsidRPr="00D5341B">
              <w:t>Test Strategy</w:t>
            </w:r>
            <w:r>
              <w:t>”</w:t>
            </w:r>
          </w:p>
        </w:tc>
        <w:tc>
          <w:tcPr>
            <w:tcW w:w="6803" w:type="dxa"/>
          </w:tcPr>
          <w:p w14:paraId="5FCD41B1" w14:textId="6968A1D2" w:rsidR="00F67E9E" w:rsidRPr="00D5341B" w:rsidRDefault="00F67E9E" w:rsidP="007F74AA">
            <w:pPr>
              <w:pStyle w:val="StdBodyText"/>
            </w:pPr>
            <w:r w:rsidRPr="00D5341B">
              <w:t xml:space="preserve">a strategy for the conduct of Testing as described further in </w:t>
            </w:r>
            <w:bookmarkStart w:id="861" w:name="_9kMHG5YVtCIAFMJgLhkhy7sEQPr99PQRR9CH5Q"/>
            <w:r w:rsidRPr="00D5341B">
              <w:t xml:space="preserve">Paragraph </w:t>
            </w:r>
            <w:r w:rsidRPr="00D5341B">
              <w:fldChar w:fldCharType="begin"/>
            </w:r>
            <w:r w:rsidRPr="00D5341B">
              <w:instrText xml:space="preserve"> REF _Ref_ContractCompanion_9kb9Ur9GB \w \n \h \t \* MERGEFORMAT </w:instrText>
            </w:r>
            <w:r w:rsidRPr="00D5341B">
              <w:fldChar w:fldCharType="separate"/>
            </w:r>
            <w:r w:rsidR="00302D39">
              <w:t>4</w:t>
            </w:r>
            <w:r w:rsidRPr="00D5341B">
              <w:fldChar w:fldCharType="end"/>
            </w:r>
            <w:bookmarkEnd w:id="861"/>
            <w:r w:rsidRPr="00D5341B">
              <w:t>;</w:t>
            </w:r>
          </w:p>
        </w:tc>
      </w:tr>
      <w:tr w:rsidR="00F67E9E" w:rsidRPr="00D5341B" w14:paraId="3399D7E7" w14:textId="77777777" w:rsidTr="007F74AA">
        <w:tc>
          <w:tcPr>
            <w:tcW w:w="2835" w:type="dxa"/>
          </w:tcPr>
          <w:p w14:paraId="1403DA61" w14:textId="77777777" w:rsidR="00F67E9E" w:rsidRPr="00D5341B" w:rsidRDefault="00F67E9E" w:rsidP="007F74AA">
            <w:pPr>
              <w:pStyle w:val="StdBodyTextBold"/>
            </w:pPr>
            <w:r>
              <w:t>“</w:t>
            </w:r>
            <w:r w:rsidRPr="00D5341B">
              <w:t>Test Success Criteria</w:t>
            </w:r>
            <w:r>
              <w:t>”</w:t>
            </w:r>
          </w:p>
        </w:tc>
        <w:tc>
          <w:tcPr>
            <w:tcW w:w="6803" w:type="dxa"/>
          </w:tcPr>
          <w:p w14:paraId="72DD6C8A" w14:textId="351214D6" w:rsidR="00F67E9E" w:rsidRPr="00D5341B" w:rsidRDefault="00F67E9E" w:rsidP="007F74AA">
            <w:pPr>
              <w:pStyle w:val="StdBodyText"/>
            </w:pPr>
            <w:r w:rsidRPr="00D5341B">
              <w:t xml:space="preserve">in relation to a Test, the test success criteria for that Test as referred to in </w:t>
            </w:r>
            <w:bookmarkStart w:id="862" w:name="_9kMHG5YVtCIAFMMNjzzFGI3mp6L66DGDCH1"/>
            <w:r w:rsidRPr="00D5341B">
              <w:t xml:space="preserve">Paragraph </w:t>
            </w:r>
            <w:r w:rsidRPr="00D5341B">
              <w:fldChar w:fldCharType="begin"/>
            </w:r>
            <w:r w:rsidRPr="00D5341B">
              <w:instrText xml:space="preserve"> REF _Ref_ContractCompanion_9kb9Ur9GE \w \n \h \t \* MERGEFORMAT </w:instrText>
            </w:r>
            <w:r w:rsidRPr="00D5341B">
              <w:fldChar w:fldCharType="separate"/>
            </w:r>
            <w:r w:rsidR="00302D39">
              <w:t>6</w:t>
            </w:r>
            <w:r w:rsidRPr="00D5341B">
              <w:fldChar w:fldCharType="end"/>
            </w:r>
            <w:bookmarkEnd w:id="862"/>
            <w:r w:rsidRPr="00D5341B">
              <w:t>;</w:t>
            </w:r>
          </w:p>
        </w:tc>
      </w:tr>
      <w:tr w:rsidR="00F67E9E" w:rsidRPr="00D5341B" w14:paraId="0715574B" w14:textId="77777777" w:rsidTr="007F74AA">
        <w:tc>
          <w:tcPr>
            <w:tcW w:w="2835" w:type="dxa"/>
          </w:tcPr>
          <w:p w14:paraId="2FFC96CE" w14:textId="77777777" w:rsidR="00F67E9E" w:rsidRPr="00D5341B" w:rsidRDefault="00F67E9E" w:rsidP="007F74AA">
            <w:pPr>
              <w:pStyle w:val="StdBodyTextBold"/>
            </w:pPr>
            <w:r>
              <w:t>“</w:t>
            </w:r>
            <w:r w:rsidRPr="00D5341B">
              <w:t>Test Witness</w:t>
            </w:r>
            <w:r>
              <w:t>”</w:t>
            </w:r>
          </w:p>
        </w:tc>
        <w:tc>
          <w:tcPr>
            <w:tcW w:w="6803" w:type="dxa"/>
          </w:tcPr>
          <w:p w14:paraId="0832272B" w14:textId="11586654" w:rsidR="00F67E9E" w:rsidRPr="00D5341B" w:rsidRDefault="00F67E9E" w:rsidP="007F74AA">
            <w:pPr>
              <w:pStyle w:val="StdBodyText"/>
            </w:pPr>
            <w:r w:rsidRPr="00D5341B">
              <w:t xml:space="preserve">any person appointed by the Authority pursuant to </w:t>
            </w:r>
            <w:bookmarkStart w:id="863" w:name="_9kR3WTr2CC5BGbEnoewrqyBIJ"/>
            <w:r w:rsidRPr="00D5341B">
              <w:t xml:space="preserve">Paragraph </w:t>
            </w:r>
            <w:bookmarkEnd w:id="863"/>
            <w:r w:rsidRPr="00D5341B">
              <w:fldChar w:fldCharType="begin"/>
            </w:r>
            <w:r w:rsidRPr="00D5341B">
              <w:instrText xml:space="preserve"> REF _Ref_ContractCompanion_9kb9Ur16F \w \h </w:instrText>
            </w:r>
            <w:r>
              <w:instrText xml:space="preserve"> \* MERGEFORMAT </w:instrText>
            </w:r>
            <w:r w:rsidRPr="00D5341B">
              <w:fldChar w:fldCharType="separate"/>
            </w:r>
            <w:r w:rsidR="00302D39">
              <w:t>10.1</w:t>
            </w:r>
            <w:r w:rsidRPr="00D5341B">
              <w:fldChar w:fldCharType="end"/>
            </w:r>
            <w:r w:rsidRPr="00D5341B">
              <w:t>; and</w:t>
            </w:r>
          </w:p>
        </w:tc>
      </w:tr>
      <w:tr w:rsidR="00F67E9E" w:rsidRPr="00D5341B" w14:paraId="0D64678F" w14:textId="77777777" w:rsidTr="007F74AA">
        <w:tc>
          <w:tcPr>
            <w:tcW w:w="2835" w:type="dxa"/>
          </w:tcPr>
          <w:p w14:paraId="58C29456" w14:textId="77777777" w:rsidR="00F67E9E" w:rsidRPr="00D5341B" w:rsidRDefault="00F67E9E" w:rsidP="007F74AA">
            <w:pPr>
              <w:pStyle w:val="StdBodyTextBold"/>
            </w:pPr>
            <w:r>
              <w:t>“</w:t>
            </w:r>
            <w:r w:rsidRPr="00D5341B">
              <w:t>Testing Procedures</w:t>
            </w:r>
            <w:r>
              <w:t>”</w:t>
            </w:r>
          </w:p>
        </w:tc>
        <w:tc>
          <w:tcPr>
            <w:tcW w:w="6803" w:type="dxa"/>
          </w:tcPr>
          <w:p w14:paraId="3BC19B02" w14:textId="77777777" w:rsidR="00F67E9E" w:rsidRPr="00D5341B" w:rsidRDefault="00F67E9E" w:rsidP="007F74AA">
            <w:pPr>
              <w:pStyle w:val="StdBodyText"/>
            </w:pPr>
            <w:r w:rsidRPr="00D5341B">
              <w:t>the applicable testing procedures and Test Success Criteria set out in this Schedule.</w:t>
            </w:r>
          </w:p>
        </w:tc>
      </w:tr>
    </w:tbl>
    <w:p w14:paraId="5FE58588" w14:textId="77777777" w:rsidR="00F67E9E" w:rsidRPr="00D5341B" w:rsidRDefault="00F67E9E" w:rsidP="00F67E9E">
      <w:pPr>
        <w:pStyle w:val="Numbered1"/>
      </w:pPr>
      <w:bookmarkStart w:id="864" w:name="_Ref_ContractCompanion_9kb9Ur5FH"/>
      <w:r w:rsidRPr="00820382">
        <w:t>Risk</w:t>
      </w:r>
      <w:bookmarkEnd w:id="864"/>
    </w:p>
    <w:p w14:paraId="03408F2C" w14:textId="77777777" w:rsidR="00F67E9E" w:rsidRPr="00D5341B" w:rsidRDefault="00F67E9E" w:rsidP="00F67E9E">
      <w:pPr>
        <w:pStyle w:val="Numbered11"/>
      </w:pPr>
      <w:r w:rsidRPr="00D5341B">
        <w:t xml:space="preserve">The issue of a </w:t>
      </w:r>
      <w:bookmarkStart w:id="865" w:name="_9kMHG5YVt4CE9EKiOuAVBxD5strk27"/>
      <w:r w:rsidRPr="00D5341B">
        <w:t>Test Certificate</w:t>
      </w:r>
      <w:bookmarkEnd w:id="865"/>
      <w:r w:rsidRPr="00D5341B">
        <w:t>, a Milestone Achievement Certificate and/or a conditional Milestone Achievement Certificate shall not:</w:t>
      </w:r>
    </w:p>
    <w:p w14:paraId="5EC13983" w14:textId="77777777" w:rsidR="00F67E9E" w:rsidRPr="00D5341B" w:rsidRDefault="00F67E9E" w:rsidP="00F67E9E">
      <w:pPr>
        <w:pStyle w:val="Numbered111"/>
        <w:tabs>
          <w:tab w:val="clear" w:pos="1800"/>
          <w:tab w:val="num" w:pos="2160"/>
        </w:tabs>
      </w:pPr>
      <w:r w:rsidRPr="00D5341B">
        <w:t>operate to transfer any risk that the relevant Deliverable or Milestone is complete or will meet and/or satisfy the Authority</w:t>
      </w:r>
      <w:r>
        <w:t>’</w:t>
      </w:r>
      <w:r w:rsidRPr="00D5341B">
        <w:t>s requirements for that Deliverable or Milestone; or</w:t>
      </w:r>
    </w:p>
    <w:p w14:paraId="35C84F14" w14:textId="77777777" w:rsidR="00F67E9E" w:rsidRPr="00D5341B" w:rsidRDefault="00F67E9E" w:rsidP="00F67E9E">
      <w:pPr>
        <w:pStyle w:val="Numbered111"/>
        <w:tabs>
          <w:tab w:val="clear" w:pos="1800"/>
          <w:tab w:val="num" w:pos="2160"/>
        </w:tabs>
      </w:pPr>
      <w:r w:rsidRPr="00D5341B">
        <w:t>affect the Authority</w:t>
      </w:r>
      <w:r>
        <w:t>’</w:t>
      </w:r>
      <w:r w:rsidRPr="00D5341B">
        <w:t>s right subsequently to reject:</w:t>
      </w:r>
    </w:p>
    <w:p w14:paraId="608E7FBD" w14:textId="77777777" w:rsidR="00F67E9E" w:rsidRPr="00D5341B" w:rsidRDefault="00F67E9E" w:rsidP="00F67E9E">
      <w:pPr>
        <w:pStyle w:val="Numbered111a"/>
        <w:tabs>
          <w:tab w:val="clear" w:pos="2520"/>
          <w:tab w:val="num" w:pos="2880"/>
        </w:tabs>
      </w:pPr>
      <w:r w:rsidRPr="00D5341B">
        <w:t xml:space="preserve">all or any element of the Deliverables to which a </w:t>
      </w:r>
      <w:bookmarkStart w:id="866" w:name="_9kMIH5YVt4CE9EKiOuAVBxD5strk27"/>
      <w:r w:rsidRPr="00D5341B">
        <w:t>Test Certificate</w:t>
      </w:r>
      <w:bookmarkEnd w:id="866"/>
      <w:r w:rsidRPr="00D5341B">
        <w:t xml:space="preserve"> relates; or</w:t>
      </w:r>
    </w:p>
    <w:p w14:paraId="55C76ED1" w14:textId="77777777" w:rsidR="00F67E9E" w:rsidRPr="00D5341B" w:rsidRDefault="00F67E9E" w:rsidP="00F67E9E">
      <w:pPr>
        <w:pStyle w:val="Numbered111a"/>
        <w:tabs>
          <w:tab w:val="clear" w:pos="2520"/>
          <w:tab w:val="num" w:pos="2880"/>
        </w:tabs>
      </w:pPr>
      <w:r w:rsidRPr="00D5341B">
        <w:t xml:space="preserve">any Milestone to which the Milestone Achievement Certificate relates. </w:t>
      </w:r>
    </w:p>
    <w:p w14:paraId="5EF33D1D" w14:textId="77777777" w:rsidR="00F67E9E" w:rsidRPr="00D5341B" w:rsidRDefault="00F67E9E" w:rsidP="00F67E9E">
      <w:pPr>
        <w:pStyle w:val="Numbered11"/>
      </w:pPr>
      <w:r w:rsidRPr="00D5341B">
        <w:t>Notwithstanding the issuing of any Milestone Achievement Certificate (including the Milestone Achievement Certificate in respect of Authority to Proceed), the Supplier shall remain solely responsible for ensuring that:</w:t>
      </w:r>
    </w:p>
    <w:p w14:paraId="347C5EAC" w14:textId="77777777" w:rsidR="00F67E9E" w:rsidRPr="00D5341B" w:rsidRDefault="00F67E9E" w:rsidP="00F67E9E">
      <w:pPr>
        <w:pStyle w:val="Numbered111"/>
        <w:tabs>
          <w:tab w:val="clear" w:pos="1800"/>
          <w:tab w:val="num" w:pos="2160"/>
        </w:tabs>
      </w:pPr>
      <w:r w:rsidRPr="00D5341B">
        <w:t>the Supplier Solution as designed and developed is suitable for the delivery of the Services and meets the Authority Requirements;</w:t>
      </w:r>
    </w:p>
    <w:p w14:paraId="2248BDDC" w14:textId="77777777" w:rsidR="00F67E9E" w:rsidRPr="00D5341B" w:rsidRDefault="00F67E9E" w:rsidP="00F67E9E">
      <w:pPr>
        <w:pStyle w:val="Numbered111"/>
        <w:tabs>
          <w:tab w:val="clear" w:pos="1800"/>
          <w:tab w:val="num" w:pos="2160"/>
        </w:tabs>
      </w:pPr>
      <w:r w:rsidRPr="00D5341B">
        <w:t>the Services are implemented in accordance with this Contract; and</w:t>
      </w:r>
    </w:p>
    <w:p w14:paraId="5BA85E70" w14:textId="77777777" w:rsidR="00F67E9E" w:rsidRPr="00D5341B" w:rsidRDefault="00F67E9E" w:rsidP="00F67E9E">
      <w:pPr>
        <w:pStyle w:val="Numbered111"/>
        <w:tabs>
          <w:tab w:val="clear" w:pos="1800"/>
          <w:tab w:val="num" w:pos="2160"/>
        </w:tabs>
      </w:pPr>
      <w:r w:rsidRPr="00D5341B">
        <w:t xml:space="preserve">each Target Performance Level is met from the relevant Operational Service Commencement Date. </w:t>
      </w:r>
    </w:p>
    <w:p w14:paraId="653BCD65" w14:textId="77777777" w:rsidR="00F67E9E" w:rsidRPr="00D5341B" w:rsidRDefault="00F67E9E" w:rsidP="00F67E9E">
      <w:pPr>
        <w:pStyle w:val="Numbered1"/>
      </w:pPr>
      <w:r w:rsidRPr="00820382">
        <w:t>Testing</w:t>
      </w:r>
      <w:r w:rsidRPr="00D5341B">
        <w:t xml:space="preserve"> Overview</w:t>
      </w:r>
    </w:p>
    <w:p w14:paraId="42438C4F" w14:textId="77777777" w:rsidR="00F67E9E" w:rsidRPr="00D5341B" w:rsidRDefault="00F67E9E" w:rsidP="00F67E9E">
      <w:pPr>
        <w:pStyle w:val="Numbered11"/>
        <w:tabs>
          <w:tab w:val="clear" w:pos="720"/>
          <w:tab w:val="num" w:pos="1080"/>
        </w:tabs>
      </w:pPr>
      <w:r w:rsidRPr="00D5341B">
        <w:t>All Tests conducted by the Supplier shall be conducted in accordance with the Test Strategy, the Test Plans and the Test Specifications.</w:t>
      </w:r>
    </w:p>
    <w:p w14:paraId="346A8CC4" w14:textId="77777777" w:rsidR="00F67E9E" w:rsidRPr="00D5341B" w:rsidRDefault="00F67E9E" w:rsidP="00F67E9E">
      <w:pPr>
        <w:pStyle w:val="Numbered11"/>
        <w:tabs>
          <w:tab w:val="clear" w:pos="720"/>
          <w:tab w:val="num" w:pos="1080"/>
        </w:tabs>
      </w:pPr>
      <w:r w:rsidRPr="00D5341B">
        <w:t>The Supplier shall not submit any Deliverable for Testing:</w:t>
      </w:r>
    </w:p>
    <w:p w14:paraId="76A6FB6A" w14:textId="77777777" w:rsidR="00F67E9E" w:rsidRPr="00D5341B" w:rsidRDefault="00F67E9E" w:rsidP="00F67E9E">
      <w:pPr>
        <w:pStyle w:val="Numbered111"/>
        <w:tabs>
          <w:tab w:val="clear" w:pos="1800"/>
          <w:tab w:val="num" w:pos="2160"/>
        </w:tabs>
      </w:pPr>
      <w:r w:rsidRPr="00D5341B">
        <w:t>unless the Supplier is reasonably confident that it will satisfy the relevant Test Success Criteria;</w:t>
      </w:r>
    </w:p>
    <w:p w14:paraId="7F0804E5" w14:textId="77777777" w:rsidR="00F67E9E" w:rsidRPr="00D5341B" w:rsidRDefault="00F67E9E" w:rsidP="00F67E9E">
      <w:pPr>
        <w:pStyle w:val="Numbered111"/>
        <w:tabs>
          <w:tab w:val="clear" w:pos="1800"/>
          <w:tab w:val="num" w:pos="2160"/>
        </w:tabs>
      </w:pPr>
      <w:r w:rsidRPr="00D5341B">
        <w:t xml:space="preserve">until the Authority has issued a </w:t>
      </w:r>
      <w:bookmarkStart w:id="867" w:name="_9kMJI5YVt4CE9EKiOuAVBxD5strk27"/>
      <w:r w:rsidRPr="00D5341B">
        <w:t>Test Certificate</w:t>
      </w:r>
      <w:bookmarkEnd w:id="867"/>
      <w:r w:rsidRPr="00D5341B">
        <w:t xml:space="preserve"> in respect of any prior, </w:t>
      </w:r>
      <w:bookmarkStart w:id="868" w:name="_9kR3WTr5EB479lcpqppdo8"/>
      <w:r w:rsidRPr="00D5341B">
        <w:t>dependant</w:t>
      </w:r>
      <w:bookmarkEnd w:id="868"/>
      <w:r w:rsidRPr="00D5341B">
        <w:t xml:space="preserve"> Deliverable(s); and</w:t>
      </w:r>
    </w:p>
    <w:p w14:paraId="71B0BAE7" w14:textId="77777777" w:rsidR="00F67E9E" w:rsidRPr="00D5341B" w:rsidRDefault="00F67E9E" w:rsidP="00F67E9E">
      <w:pPr>
        <w:pStyle w:val="Numbered111"/>
        <w:tabs>
          <w:tab w:val="clear" w:pos="1800"/>
          <w:tab w:val="num" w:pos="2160"/>
        </w:tabs>
      </w:pPr>
      <w:r w:rsidRPr="00D5341B">
        <w:t>until the Parties have agreed the Test Plan and the Test Specification relating to the relevant Deliverable(s).</w:t>
      </w:r>
    </w:p>
    <w:p w14:paraId="23FF178C" w14:textId="77777777" w:rsidR="00F67E9E" w:rsidRPr="00D5341B" w:rsidRDefault="00F67E9E" w:rsidP="00F67E9E">
      <w:pPr>
        <w:pStyle w:val="Numbered11"/>
        <w:tabs>
          <w:tab w:val="clear" w:pos="720"/>
          <w:tab w:val="num" w:pos="1080"/>
        </w:tabs>
      </w:pPr>
      <w:r w:rsidRPr="00D5341B">
        <w:t>The Supplier shall use reasonable endeavours to submit each Deliverable for Testing or re-Testing by or before the date set out in the Implementation Plan for the commencement of Testing in respect of the relevant Deliverable.</w:t>
      </w:r>
    </w:p>
    <w:p w14:paraId="0C37116E" w14:textId="77777777" w:rsidR="00F67E9E" w:rsidRPr="00D5341B" w:rsidRDefault="00F67E9E" w:rsidP="00F67E9E">
      <w:pPr>
        <w:pStyle w:val="Numbered11"/>
        <w:tabs>
          <w:tab w:val="clear" w:pos="720"/>
          <w:tab w:val="num" w:pos="1080"/>
        </w:tabs>
      </w:pPr>
      <w:r w:rsidRPr="00D5341B">
        <w:t xml:space="preserve">Prior to the issue of a </w:t>
      </w:r>
      <w:bookmarkStart w:id="869" w:name="_9kMKJ5YVt4CE9EKiOuAVBxD5strk27"/>
      <w:r w:rsidRPr="00D5341B">
        <w:t>Test Certificate</w:t>
      </w:r>
      <w:bookmarkEnd w:id="869"/>
      <w:r w:rsidRPr="00D5341B">
        <w:t>, the Authority shall be entitled to review the relevant Test Reports and the Test Issue Management Log.</w:t>
      </w:r>
    </w:p>
    <w:p w14:paraId="37A46BF3" w14:textId="77777777" w:rsidR="00F67E9E" w:rsidRPr="00D5341B" w:rsidRDefault="00F67E9E" w:rsidP="00F67E9E">
      <w:pPr>
        <w:pStyle w:val="Numbered11"/>
        <w:tabs>
          <w:tab w:val="clear" w:pos="720"/>
          <w:tab w:val="num" w:pos="1080"/>
        </w:tabs>
      </w:pPr>
      <w:r w:rsidRPr="00D5341B">
        <w:t>Any Disputes between the Authority and the Supplier regarding Testing shall be referred to the Dispute Resolution Procedure using the Expedited Dispute Timetable.</w:t>
      </w:r>
    </w:p>
    <w:p w14:paraId="39CE0B97" w14:textId="77777777" w:rsidR="00F67E9E" w:rsidRPr="00D5341B" w:rsidRDefault="00F67E9E" w:rsidP="00F67E9E">
      <w:pPr>
        <w:pStyle w:val="Numbered1"/>
      </w:pPr>
      <w:bookmarkStart w:id="870" w:name="_Ref_ContractCompanion_9kb9Ur9GB"/>
      <w:bookmarkStart w:id="871" w:name="_9kR3WTrAG8DKHeJfifw5qCONp77NOPP7AF3O"/>
      <w:bookmarkStart w:id="872" w:name="_Ref_ContractCompanion_9kb9Us796"/>
      <w:r w:rsidRPr="00D5341B">
        <w:t>Test Strategy</w:t>
      </w:r>
      <w:bookmarkEnd w:id="870"/>
      <w:bookmarkEnd w:id="871"/>
      <w:bookmarkEnd w:id="872"/>
    </w:p>
    <w:p w14:paraId="309F702E" w14:textId="77777777" w:rsidR="00F67E9E" w:rsidRPr="00D5341B" w:rsidRDefault="00F67E9E" w:rsidP="00F67E9E">
      <w:pPr>
        <w:pStyle w:val="Numbered11"/>
        <w:tabs>
          <w:tab w:val="clear" w:pos="720"/>
          <w:tab w:val="num" w:pos="1080"/>
        </w:tabs>
      </w:pPr>
      <w:r w:rsidRPr="00D5341B">
        <w:t>The Supplier shall develop the final Test Strategy as soon as practicable after the Effective Date but in any case no later than 20 Working Days (or such other period as the Parties may agree in writing) after the Effective Date.</w:t>
      </w:r>
    </w:p>
    <w:p w14:paraId="6F9F63C2" w14:textId="77777777" w:rsidR="00F67E9E" w:rsidRPr="00D5341B" w:rsidRDefault="00F67E9E" w:rsidP="00F67E9E">
      <w:pPr>
        <w:pStyle w:val="Numbered11"/>
        <w:tabs>
          <w:tab w:val="clear" w:pos="720"/>
          <w:tab w:val="num" w:pos="1080"/>
        </w:tabs>
      </w:pPr>
      <w:r w:rsidRPr="00D5341B">
        <w:t>The final Test Strategy shall include:</w:t>
      </w:r>
    </w:p>
    <w:p w14:paraId="50C2FB84" w14:textId="77777777" w:rsidR="00F67E9E" w:rsidRPr="00820382" w:rsidRDefault="00F67E9E" w:rsidP="00F67E9E">
      <w:pPr>
        <w:pStyle w:val="Numbered111"/>
      </w:pPr>
      <w:r w:rsidRPr="00D5341B">
        <w:t xml:space="preserve">an overview of how Testing will be conducted in accordance with the </w:t>
      </w:r>
      <w:r w:rsidRPr="00820382">
        <w:t>Implementation Plan;</w:t>
      </w:r>
    </w:p>
    <w:p w14:paraId="6337E279" w14:textId="77777777" w:rsidR="00F67E9E" w:rsidRPr="00820382" w:rsidRDefault="00F67E9E" w:rsidP="00F67E9E">
      <w:pPr>
        <w:pStyle w:val="Numbered111"/>
      </w:pPr>
      <w:r w:rsidRPr="00820382">
        <w:t>the process to be used to capture and record Test results and the categorisation of Test Issues;</w:t>
      </w:r>
    </w:p>
    <w:p w14:paraId="71F82EE5" w14:textId="77777777" w:rsidR="00F67E9E" w:rsidRPr="00820382" w:rsidRDefault="00F67E9E" w:rsidP="00F67E9E">
      <w:pPr>
        <w:pStyle w:val="Numbered111"/>
      </w:pPr>
      <w:r w:rsidRPr="00820382">
        <w:t>the method for mapping the expected Test results to the Test Success Criteria;</w:t>
      </w:r>
    </w:p>
    <w:p w14:paraId="592BF975" w14:textId="77777777" w:rsidR="00F67E9E" w:rsidRPr="00820382" w:rsidRDefault="00F67E9E" w:rsidP="00F67E9E">
      <w:pPr>
        <w:pStyle w:val="Numbered111"/>
      </w:pPr>
      <w:r w:rsidRPr="00820382">
        <w:t>the procedure to be followed if a Deliverable fails to satisfy the Test Success Criteria or produces unexpected results, including a procedure for the resolution of Test Issues;</w:t>
      </w:r>
    </w:p>
    <w:p w14:paraId="070DD77F" w14:textId="77777777" w:rsidR="00F67E9E" w:rsidRPr="00820382" w:rsidRDefault="00F67E9E" w:rsidP="00F67E9E">
      <w:pPr>
        <w:pStyle w:val="Numbered111"/>
      </w:pPr>
      <w:r w:rsidRPr="00820382">
        <w:t>the procedure to be followed to sign off each Test;</w:t>
      </w:r>
    </w:p>
    <w:p w14:paraId="3910DC62" w14:textId="77777777" w:rsidR="00F67E9E" w:rsidRPr="00820382" w:rsidRDefault="00F67E9E" w:rsidP="00F67E9E">
      <w:pPr>
        <w:pStyle w:val="Numbered111"/>
      </w:pPr>
      <w:r w:rsidRPr="00820382">
        <w:t>the process for the production and maintenance of Test Reports and reporting, including templates for the Test Reports and the Test Issue Management Log, and a sample plan for the resolution of Test Issues;</w:t>
      </w:r>
    </w:p>
    <w:p w14:paraId="56E36CBF" w14:textId="77777777" w:rsidR="00F67E9E" w:rsidRPr="00820382" w:rsidRDefault="00F67E9E" w:rsidP="00F67E9E">
      <w:pPr>
        <w:pStyle w:val="Numbered111"/>
      </w:pPr>
      <w:r w:rsidRPr="00820382">
        <w:t>the names and contact details of the Authority’s and the Supplier’s Test representatives;</w:t>
      </w:r>
    </w:p>
    <w:p w14:paraId="6DCFD0B9" w14:textId="77777777" w:rsidR="00F67E9E" w:rsidRPr="00820382" w:rsidRDefault="00F67E9E" w:rsidP="00F67E9E">
      <w:pPr>
        <w:pStyle w:val="Numbered111"/>
      </w:pPr>
      <w:r w:rsidRPr="00820382">
        <w:t>a high level identification of the resources required for Testing, including facilities, infrastructure, personnel and Authority and/or third party involvement in the conduct of the Tests;</w:t>
      </w:r>
    </w:p>
    <w:p w14:paraId="58873447" w14:textId="77777777" w:rsidR="00F67E9E" w:rsidRPr="00820382" w:rsidRDefault="00F67E9E" w:rsidP="00F67E9E">
      <w:pPr>
        <w:pStyle w:val="Numbered111"/>
      </w:pPr>
      <w:r w:rsidRPr="00820382">
        <w:t>the technical environments required to support the Tests; and</w:t>
      </w:r>
    </w:p>
    <w:p w14:paraId="55ED775C" w14:textId="77777777" w:rsidR="00F67E9E" w:rsidRPr="00D5341B" w:rsidRDefault="00F67E9E" w:rsidP="00F67E9E">
      <w:pPr>
        <w:pStyle w:val="Numbered111"/>
      </w:pPr>
      <w:r w:rsidRPr="00820382">
        <w:t>the procedure</w:t>
      </w:r>
      <w:r w:rsidRPr="00D5341B">
        <w:t xml:space="preserve"> for managing the configuration of the Test environments.</w:t>
      </w:r>
    </w:p>
    <w:p w14:paraId="1208F006" w14:textId="77777777" w:rsidR="00F67E9E" w:rsidRPr="00D5341B" w:rsidRDefault="00F67E9E" w:rsidP="00F67E9E">
      <w:pPr>
        <w:pStyle w:val="Numbered1"/>
      </w:pPr>
      <w:bookmarkStart w:id="873" w:name="_Ref_ContractCompanion_9kb9Ur9FE"/>
      <w:bookmarkStart w:id="874" w:name="_9kR3WTrAG8DJKiJfifw5qCOOq77NLE03M"/>
      <w:bookmarkStart w:id="875" w:name="_Ref_ContractCompanion_9kb9Us778"/>
      <w:r w:rsidRPr="00D5341B">
        <w:t xml:space="preserve">Test </w:t>
      </w:r>
      <w:r w:rsidRPr="001B5832">
        <w:t>Plans</w:t>
      </w:r>
      <w:bookmarkEnd w:id="873"/>
      <w:bookmarkEnd w:id="874"/>
      <w:bookmarkEnd w:id="875"/>
    </w:p>
    <w:p w14:paraId="7BECC35C" w14:textId="77777777" w:rsidR="00F67E9E" w:rsidRPr="001B5832" w:rsidRDefault="00F67E9E" w:rsidP="00F67E9E">
      <w:pPr>
        <w:pStyle w:val="Numbered11"/>
      </w:pPr>
      <w:r w:rsidRPr="00D5341B">
        <w:t xml:space="preserve">The Supplier shall develop Test Plans and submit these for the approval of the Authority as soon as practicable but in any case no later than 20 Working Days (or such other period as the Parties may agree in the Test Strategy or otherwise agree in writing) prior to the start date for the </w:t>
      </w:r>
      <w:r w:rsidRPr="001B5832">
        <w:t>relevant Testing (as specified in the Implementation Plan).</w:t>
      </w:r>
    </w:p>
    <w:p w14:paraId="450F8E91" w14:textId="77777777" w:rsidR="00F67E9E" w:rsidRPr="00D5341B" w:rsidRDefault="00F67E9E" w:rsidP="00F67E9E">
      <w:pPr>
        <w:pStyle w:val="Numbered11"/>
        <w:keepNext/>
      </w:pPr>
      <w:r w:rsidRPr="001B5832">
        <w:t>Each Test Plan s</w:t>
      </w:r>
      <w:r w:rsidRPr="00D5341B">
        <w:t xml:space="preserve">hall include </w:t>
      </w:r>
      <w:r w:rsidRPr="001B5832">
        <w:t>as</w:t>
      </w:r>
      <w:r w:rsidRPr="00D5341B">
        <w:t xml:space="preserve"> a minimum:</w:t>
      </w:r>
    </w:p>
    <w:p w14:paraId="00DD2B1E" w14:textId="77777777" w:rsidR="00F67E9E" w:rsidRPr="00D5341B" w:rsidRDefault="00F67E9E" w:rsidP="00F67E9E">
      <w:pPr>
        <w:pStyle w:val="Numbered111"/>
        <w:tabs>
          <w:tab w:val="clear" w:pos="1800"/>
          <w:tab w:val="num" w:pos="2160"/>
        </w:tabs>
      </w:pPr>
      <w:r w:rsidRPr="00D5341B">
        <w:t>the relevant Test definition and the purpose of the Test, the Milestone to which it relates, the requirements being tested and, for each Test, the specific Test Success Criteria to be satisfied;</w:t>
      </w:r>
    </w:p>
    <w:p w14:paraId="3FCBDA97" w14:textId="77777777" w:rsidR="00F67E9E" w:rsidRPr="00D5341B" w:rsidRDefault="00F67E9E" w:rsidP="00F67E9E">
      <w:pPr>
        <w:pStyle w:val="Numbered111"/>
        <w:tabs>
          <w:tab w:val="clear" w:pos="1800"/>
          <w:tab w:val="num" w:pos="2160"/>
        </w:tabs>
      </w:pPr>
      <w:r w:rsidRPr="00D5341B">
        <w:t>a detailed procedure for the Tests to be carried out, including:</w:t>
      </w:r>
    </w:p>
    <w:p w14:paraId="0A8DB1A5" w14:textId="77777777" w:rsidR="00F67E9E" w:rsidRPr="00D5341B" w:rsidRDefault="00F67E9E" w:rsidP="00F67E9E">
      <w:pPr>
        <w:pStyle w:val="Numbered111a"/>
        <w:tabs>
          <w:tab w:val="clear" w:pos="2520"/>
          <w:tab w:val="num" w:pos="2880"/>
        </w:tabs>
      </w:pPr>
      <w:r w:rsidRPr="00D5341B">
        <w:t>the timetable for the Tests, including start and end dates;</w:t>
      </w:r>
    </w:p>
    <w:p w14:paraId="78E4BD43" w14:textId="77777777" w:rsidR="00F67E9E" w:rsidRPr="00D5341B" w:rsidRDefault="00F67E9E" w:rsidP="00F67E9E">
      <w:pPr>
        <w:pStyle w:val="Numbered111a"/>
        <w:tabs>
          <w:tab w:val="clear" w:pos="2520"/>
          <w:tab w:val="num" w:pos="2880"/>
        </w:tabs>
      </w:pPr>
      <w:r w:rsidRPr="00D5341B">
        <w:t>the Testing mechanism;</w:t>
      </w:r>
    </w:p>
    <w:p w14:paraId="7A3DA7A0" w14:textId="77777777" w:rsidR="00F67E9E" w:rsidRPr="00D5341B" w:rsidRDefault="00F67E9E" w:rsidP="00F67E9E">
      <w:pPr>
        <w:pStyle w:val="Numbered111a"/>
        <w:tabs>
          <w:tab w:val="clear" w:pos="2520"/>
          <w:tab w:val="num" w:pos="2880"/>
        </w:tabs>
      </w:pPr>
      <w:r w:rsidRPr="00D5341B">
        <w:t>dates and methods by which the Authority can inspect Test results or witness the Tests in order to establish that the Test Success Criteria have been met;</w:t>
      </w:r>
    </w:p>
    <w:p w14:paraId="2A54A1BB" w14:textId="77777777" w:rsidR="00F67E9E" w:rsidRPr="00D5341B" w:rsidRDefault="00F67E9E" w:rsidP="00F67E9E">
      <w:pPr>
        <w:pStyle w:val="Numbered111a"/>
        <w:tabs>
          <w:tab w:val="clear" w:pos="2520"/>
          <w:tab w:val="num" w:pos="2880"/>
        </w:tabs>
      </w:pPr>
      <w:r w:rsidRPr="00D5341B">
        <w:t>the mechanism for ensuring the quality, completeness and relevance of the Tests;</w:t>
      </w:r>
    </w:p>
    <w:p w14:paraId="0BCD5F79" w14:textId="77777777" w:rsidR="00F67E9E" w:rsidRPr="00D5341B" w:rsidRDefault="00F67E9E" w:rsidP="00F67E9E">
      <w:pPr>
        <w:pStyle w:val="Numbered111a"/>
        <w:tabs>
          <w:tab w:val="clear" w:pos="2520"/>
          <w:tab w:val="num" w:pos="2880"/>
        </w:tabs>
      </w:pPr>
      <w:r w:rsidRPr="00D5341B">
        <w:t>the format and an example of Test progress reports and the process with which the Authority accesses daily Test schedules;</w:t>
      </w:r>
    </w:p>
    <w:p w14:paraId="60D464F2" w14:textId="77777777" w:rsidR="00F67E9E" w:rsidRPr="00D5341B" w:rsidRDefault="00F67E9E" w:rsidP="00F67E9E">
      <w:pPr>
        <w:pStyle w:val="Numbered111a"/>
        <w:tabs>
          <w:tab w:val="clear" w:pos="2520"/>
          <w:tab w:val="num" w:pos="2880"/>
        </w:tabs>
      </w:pPr>
      <w:r w:rsidRPr="00D5341B">
        <w:t>the process which the Authority will use to review Test Issues and the Supplier</w:t>
      </w:r>
      <w:r>
        <w:t>’</w:t>
      </w:r>
      <w:r w:rsidRPr="00D5341B">
        <w:t>s progress in resolving these in a timely basis;</w:t>
      </w:r>
    </w:p>
    <w:p w14:paraId="4F317666" w14:textId="77777777" w:rsidR="00F67E9E" w:rsidRPr="00D5341B" w:rsidRDefault="00F67E9E" w:rsidP="00F67E9E">
      <w:pPr>
        <w:pStyle w:val="Numbered111a"/>
        <w:tabs>
          <w:tab w:val="clear" w:pos="2520"/>
          <w:tab w:val="num" w:pos="2880"/>
        </w:tabs>
      </w:pPr>
      <w:r w:rsidRPr="00D5341B">
        <w:t>the Test Schedule;</w:t>
      </w:r>
    </w:p>
    <w:p w14:paraId="379802C5" w14:textId="77777777" w:rsidR="00F67E9E" w:rsidRPr="00D5341B" w:rsidRDefault="00F67E9E" w:rsidP="00F67E9E">
      <w:pPr>
        <w:pStyle w:val="Numbered111a"/>
        <w:tabs>
          <w:tab w:val="clear" w:pos="2520"/>
          <w:tab w:val="num" w:pos="2880"/>
        </w:tabs>
      </w:pPr>
      <w:r w:rsidRPr="00D5341B">
        <w:t>the re-Test procedure, the timetable and the resources which would be required for re-Testing; and</w:t>
      </w:r>
    </w:p>
    <w:p w14:paraId="5DAEFFA1" w14:textId="77777777" w:rsidR="00F67E9E" w:rsidRPr="00D5341B" w:rsidRDefault="00F67E9E" w:rsidP="00F67E9E">
      <w:pPr>
        <w:pStyle w:val="Numbered111"/>
        <w:tabs>
          <w:tab w:val="clear" w:pos="1800"/>
          <w:tab w:val="num" w:pos="2160"/>
        </w:tabs>
      </w:pPr>
      <w:r w:rsidRPr="00D5341B">
        <w:t>the process for escalating Test Issues from a re-test situation to the taking of specific remedial action to resolve the Test Issue.</w:t>
      </w:r>
    </w:p>
    <w:p w14:paraId="1D91A8F2" w14:textId="77777777" w:rsidR="00F67E9E" w:rsidRPr="00D5341B" w:rsidRDefault="00F67E9E" w:rsidP="00F67E9E">
      <w:pPr>
        <w:pStyle w:val="Numbered11"/>
      </w:pPr>
      <w:r w:rsidRPr="00D5341B">
        <w:t xml:space="preserve">The </w:t>
      </w:r>
      <w:r w:rsidRPr="001B5832">
        <w:t>Authority</w:t>
      </w:r>
      <w:r w:rsidRPr="00D5341B">
        <w:t xml:space="preserve"> shall not unreasonably withhold or delay its approval of the Test Plans provided that the Supplier shall incorporate any reasonable requirements of the Authority in the Test Plans.</w:t>
      </w:r>
    </w:p>
    <w:p w14:paraId="780AFD24" w14:textId="77777777" w:rsidR="00F67E9E" w:rsidRPr="00D5341B" w:rsidRDefault="00F67E9E" w:rsidP="00F67E9E">
      <w:pPr>
        <w:pStyle w:val="Numbered1"/>
      </w:pPr>
      <w:bookmarkStart w:id="876" w:name="_Ref_ContractCompanion_9kb9Ur9GE"/>
      <w:bookmarkStart w:id="877" w:name="_9kR3WTrAG8DKKLhxxDEG1kn4J44BEBAFz"/>
      <w:r w:rsidRPr="00D5341B">
        <w:t xml:space="preserve">Test Success </w:t>
      </w:r>
      <w:r w:rsidRPr="001B5832">
        <w:t>Criteria</w:t>
      </w:r>
      <w:bookmarkEnd w:id="876"/>
      <w:bookmarkEnd w:id="877"/>
    </w:p>
    <w:p w14:paraId="589E34E1" w14:textId="77777777" w:rsidR="00F67E9E" w:rsidRPr="00D5341B" w:rsidRDefault="00F67E9E" w:rsidP="00F67E9E">
      <w:pPr>
        <w:pStyle w:val="Numbered11"/>
      </w:pPr>
      <w:r w:rsidRPr="00D5341B">
        <w:t xml:space="preserve">The Test </w:t>
      </w:r>
      <w:r w:rsidRPr="001B5832">
        <w:t>Success</w:t>
      </w:r>
      <w:r w:rsidRPr="00D5341B">
        <w:t xml:space="preserve"> Criteria for:</w:t>
      </w:r>
    </w:p>
    <w:p w14:paraId="485F7DAB" w14:textId="2DA16EE1" w:rsidR="00F67E9E" w:rsidRPr="001B5832" w:rsidRDefault="00F67E9E" w:rsidP="00F67E9E">
      <w:pPr>
        <w:pStyle w:val="Numbered111"/>
      </w:pPr>
      <w:r w:rsidRPr="00D5341B">
        <w:t xml:space="preserve">each Test that must be Achieved for the Supplier to Achieve either the ATP Milestone or a </w:t>
      </w:r>
      <w:r w:rsidRPr="001B5832">
        <w:t xml:space="preserve">CPP Milestone are set out in Annex </w:t>
      </w:r>
      <w:r w:rsidRPr="001B5832">
        <w:fldChar w:fldCharType="begin"/>
      </w:r>
      <w:r w:rsidRPr="001B5832">
        <w:instrText xml:space="preserve"> REF ANNEX4_SCHEDULE14 \h  \* MERGEFORMAT </w:instrText>
      </w:r>
      <w:r w:rsidRPr="001B5832">
        <w:fldChar w:fldCharType="separate"/>
      </w:r>
      <w:r w:rsidR="00302D39" w:rsidRPr="00D5341B">
        <w:t>4</w:t>
      </w:r>
      <w:r w:rsidRPr="001B5832">
        <w:fldChar w:fldCharType="end"/>
      </w:r>
      <w:r w:rsidRPr="001B5832">
        <w:t>; and</w:t>
      </w:r>
    </w:p>
    <w:p w14:paraId="1264F279" w14:textId="78890A6F" w:rsidR="00F67E9E" w:rsidRPr="00D5341B" w:rsidRDefault="00F67E9E" w:rsidP="00F67E9E">
      <w:pPr>
        <w:pStyle w:val="Numbered111"/>
      </w:pPr>
      <w:r w:rsidRPr="001B5832">
        <w:t>all other Tests shall</w:t>
      </w:r>
      <w:r w:rsidRPr="00D5341B">
        <w:t xml:space="preserve"> be agreed between the Parties as part of the relevant Test Plan pursuant to </w:t>
      </w:r>
      <w:bookmarkStart w:id="878" w:name="_9kMIH5YVtCIAFLMkLhkhy7sEQQs99PNG25O"/>
      <w:r w:rsidRPr="00D5341B">
        <w:t xml:space="preserve">Paragraph </w:t>
      </w:r>
      <w:r w:rsidRPr="00D5341B">
        <w:fldChar w:fldCharType="begin"/>
      </w:r>
      <w:r w:rsidRPr="00D5341B">
        <w:instrText xml:space="preserve"> REF _Ref_ContractCompanion_9kb9Ur9FE \w \n \h \t \* MERGEFORMAT </w:instrText>
      </w:r>
      <w:r w:rsidRPr="00D5341B">
        <w:fldChar w:fldCharType="separate"/>
      </w:r>
      <w:r w:rsidR="00302D39">
        <w:t>5</w:t>
      </w:r>
      <w:r w:rsidRPr="00D5341B">
        <w:fldChar w:fldCharType="end"/>
      </w:r>
      <w:bookmarkEnd w:id="878"/>
      <w:r w:rsidRPr="00D5341B">
        <w:t xml:space="preserve">. </w:t>
      </w:r>
    </w:p>
    <w:p w14:paraId="45B6CE45" w14:textId="77777777" w:rsidR="00F67E9E" w:rsidRPr="00D5341B" w:rsidRDefault="00F67E9E" w:rsidP="00F67E9E">
      <w:pPr>
        <w:pStyle w:val="Numbered1"/>
      </w:pPr>
      <w:bookmarkStart w:id="879" w:name="_Ref_ContractCompanion_9kb9Ur9G8"/>
      <w:bookmarkStart w:id="880" w:name="_9kR3WTrAG8DKEbJfifw5qCOQs77NOL8w1564xFO"/>
      <w:r w:rsidRPr="00D5341B">
        <w:t xml:space="preserve">Test </w:t>
      </w:r>
      <w:r w:rsidRPr="001B5832">
        <w:t>Specification</w:t>
      </w:r>
      <w:bookmarkEnd w:id="879"/>
      <w:bookmarkEnd w:id="880"/>
    </w:p>
    <w:p w14:paraId="1113FD65" w14:textId="77777777" w:rsidR="00F67E9E" w:rsidRPr="00D5341B" w:rsidRDefault="00F67E9E" w:rsidP="00F67E9E">
      <w:pPr>
        <w:pStyle w:val="Numbered11"/>
      </w:pPr>
      <w:bookmarkStart w:id="881" w:name="_9kR3WTr8E845BJG"/>
      <w:bookmarkEnd w:id="881"/>
      <w:r w:rsidRPr="00D5341B">
        <w:t>Following approval of a Test Plan, the Supplier shall develop the Test Specification for the relevant Deliverables as soon as reasonably practicable and in any event at least 10 Working Days (or such other period as the Parties may agree in the Test Strategy or otherwise agree in writing) prior to the start of the relevant Testing (as specified in the Implementation Plan).</w:t>
      </w:r>
    </w:p>
    <w:p w14:paraId="46ECB461" w14:textId="77777777" w:rsidR="00F67E9E" w:rsidRPr="00D5341B" w:rsidRDefault="00F67E9E" w:rsidP="00F67E9E">
      <w:pPr>
        <w:pStyle w:val="Numbered11"/>
      </w:pPr>
      <w:r w:rsidRPr="00D5341B">
        <w:t>Each Test Specification shall include as a minimum:</w:t>
      </w:r>
    </w:p>
    <w:p w14:paraId="01D0B8EC" w14:textId="77777777" w:rsidR="00F67E9E" w:rsidRPr="00D5341B" w:rsidRDefault="00F67E9E" w:rsidP="00F67E9E">
      <w:pPr>
        <w:pStyle w:val="Numbered111"/>
        <w:tabs>
          <w:tab w:val="clear" w:pos="1800"/>
          <w:tab w:val="num" w:pos="2160"/>
        </w:tabs>
      </w:pPr>
      <w:r w:rsidRPr="00D5341B">
        <w:t>the specification of the Test data, including its source, scope, volume and management, a request (if applicable) for relevant Test data to be provided by the Authority and the extent to which it is equivalent to live operational data;</w:t>
      </w:r>
    </w:p>
    <w:p w14:paraId="3F52D461" w14:textId="77777777" w:rsidR="00F67E9E" w:rsidRPr="00D5341B" w:rsidRDefault="00F67E9E" w:rsidP="00F67E9E">
      <w:pPr>
        <w:pStyle w:val="Numbered111"/>
        <w:tabs>
          <w:tab w:val="clear" w:pos="1800"/>
          <w:tab w:val="num" w:pos="2160"/>
        </w:tabs>
      </w:pPr>
      <w:r w:rsidRPr="00D5341B">
        <w:t>a plan to make the resources available for Testing;</w:t>
      </w:r>
    </w:p>
    <w:p w14:paraId="67AA723E" w14:textId="77777777" w:rsidR="00F67E9E" w:rsidRPr="00D5341B" w:rsidRDefault="00F67E9E" w:rsidP="00F67E9E">
      <w:pPr>
        <w:pStyle w:val="Numbered111"/>
        <w:tabs>
          <w:tab w:val="clear" w:pos="1800"/>
          <w:tab w:val="num" w:pos="2160"/>
        </w:tabs>
      </w:pPr>
      <w:r w:rsidRPr="00D5341B">
        <w:t>Test scripts;</w:t>
      </w:r>
    </w:p>
    <w:p w14:paraId="10ED9FAD" w14:textId="77777777" w:rsidR="00F67E9E" w:rsidRPr="00D5341B" w:rsidRDefault="00F67E9E" w:rsidP="00F67E9E">
      <w:pPr>
        <w:pStyle w:val="Numbered111"/>
        <w:tabs>
          <w:tab w:val="clear" w:pos="1800"/>
          <w:tab w:val="num" w:pos="2160"/>
        </w:tabs>
      </w:pPr>
      <w:r w:rsidRPr="00D5341B">
        <w:t>Test pre-requisites and the mechanism for measuring them; and</w:t>
      </w:r>
    </w:p>
    <w:p w14:paraId="07135996" w14:textId="77777777" w:rsidR="00F67E9E" w:rsidRPr="00D5341B" w:rsidRDefault="00F67E9E" w:rsidP="00F67E9E">
      <w:pPr>
        <w:pStyle w:val="Numbered111"/>
        <w:tabs>
          <w:tab w:val="clear" w:pos="1800"/>
          <w:tab w:val="num" w:pos="2160"/>
        </w:tabs>
      </w:pPr>
      <w:r w:rsidRPr="00D5341B">
        <w:t>expected Test results, including:</w:t>
      </w:r>
    </w:p>
    <w:p w14:paraId="0C6089A4" w14:textId="77777777" w:rsidR="00F67E9E" w:rsidRPr="00D5341B" w:rsidRDefault="00F67E9E" w:rsidP="00F67E9E">
      <w:pPr>
        <w:pStyle w:val="Numbered111a"/>
        <w:tabs>
          <w:tab w:val="clear" w:pos="2520"/>
          <w:tab w:val="num" w:pos="2880"/>
        </w:tabs>
      </w:pPr>
      <w:r w:rsidRPr="00D5341B">
        <w:t>a mechanism to be used to capture and record Test results; and</w:t>
      </w:r>
    </w:p>
    <w:p w14:paraId="6E8D0A41" w14:textId="77777777" w:rsidR="00F67E9E" w:rsidRPr="00D5341B" w:rsidRDefault="00F67E9E" w:rsidP="00F67E9E">
      <w:pPr>
        <w:pStyle w:val="Numbered111a"/>
        <w:tabs>
          <w:tab w:val="clear" w:pos="2520"/>
          <w:tab w:val="num" w:pos="2880"/>
        </w:tabs>
      </w:pPr>
      <w:r w:rsidRPr="00D5341B">
        <w:t>a method to process the Test results to establish their content.</w:t>
      </w:r>
    </w:p>
    <w:p w14:paraId="33CF49DD" w14:textId="77777777" w:rsidR="00F67E9E" w:rsidRPr="00D5341B" w:rsidRDefault="00F67E9E" w:rsidP="00F67E9E">
      <w:pPr>
        <w:pStyle w:val="Numbered1"/>
      </w:pPr>
      <w:bookmarkStart w:id="882" w:name="_9kR3WTr8E845CL"/>
      <w:bookmarkStart w:id="883" w:name="_Ref_ContractCompanion_9kb9Us786"/>
      <w:bookmarkEnd w:id="882"/>
      <w:r w:rsidRPr="00D5341B">
        <w:t>Testing</w:t>
      </w:r>
      <w:bookmarkEnd w:id="883"/>
    </w:p>
    <w:p w14:paraId="32516CA4" w14:textId="77777777" w:rsidR="00F67E9E" w:rsidRPr="001B5832" w:rsidRDefault="00F67E9E" w:rsidP="00F67E9E">
      <w:pPr>
        <w:pStyle w:val="Numbered11"/>
      </w:pPr>
      <w:r w:rsidRPr="00D5341B">
        <w:t xml:space="preserve">Before submitting any </w:t>
      </w:r>
      <w:r w:rsidRPr="001B5832">
        <w:t>Deliverables for Testing the Supplier shall subject the relevant Deliverables to its own internal quality control measures.</w:t>
      </w:r>
    </w:p>
    <w:p w14:paraId="78C1A2BF" w14:textId="20DA8191" w:rsidR="00F67E9E" w:rsidRPr="001B5832" w:rsidRDefault="00F67E9E" w:rsidP="00F67E9E">
      <w:pPr>
        <w:pStyle w:val="Numbered11"/>
      </w:pPr>
      <w:r w:rsidRPr="001B5832">
        <w:t xml:space="preserve">The Supplier shall manage the progress of Testing in accordance with the relevant Test Plan and shall carry out the Tests in accordance with the relevant Test Specification. Tests may be witnessed by the Test Witnesses in accordance with </w:t>
      </w:r>
      <w:bookmarkStart w:id="884" w:name="_9kR3WTr2BBDLEXEnoewrqyBI"/>
      <w:r w:rsidRPr="001B5832">
        <w:t xml:space="preserve">Paragraph </w:t>
      </w:r>
      <w:r w:rsidRPr="001B5832">
        <w:fldChar w:fldCharType="begin"/>
      </w:r>
      <w:r w:rsidRPr="001B5832">
        <w:instrText xml:space="preserve"> REF _Ref_ContractCompanion_9kb9Ur9GH \w \n \h \t \* MERGEFORMAT </w:instrText>
      </w:r>
      <w:r w:rsidRPr="001B5832">
        <w:fldChar w:fldCharType="separate"/>
      </w:r>
      <w:r w:rsidR="00302D39">
        <w:t>10</w:t>
      </w:r>
      <w:r w:rsidRPr="001B5832">
        <w:fldChar w:fldCharType="end"/>
      </w:r>
      <w:bookmarkEnd w:id="884"/>
      <w:r w:rsidRPr="001B5832">
        <w:t>.</w:t>
      </w:r>
    </w:p>
    <w:p w14:paraId="378D6B0E" w14:textId="77777777" w:rsidR="00F67E9E" w:rsidRPr="001B5832" w:rsidRDefault="00F67E9E" w:rsidP="00F67E9E">
      <w:pPr>
        <w:pStyle w:val="Numbered11"/>
      </w:pPr>
      <w:r w:rsidRPr="001B5832">
        <w:t>The Supplier shall notify the Authority at least 10 Working Days (or such other period as the Parties may agree in writing) in advance of the date, time and location of the relevant Tests and the Authority shall ensure that the Test Witnesses attend the Tests, except where the Authority has specified in writing that such attendance is not necessary.</w:t>
      </w:r>
    </w:p>
    <w:p w14:paraId="4750C0B1" w14:textId="77777777" w:rsidR="00F67E9E" w:rsidRPr="001B5832" w:rsidRDefault="00F67E9E" w:rsidP="00F67E9E">
      <w:pPr>
        <w:pStyle w:val="Numbered11"/>
      </w:pPr>
      <w:r w:rsidRPr="001B5832">
        <w:t>The Authority may raise and close Test Issues during the Test witnessing process.</w:t>
      </w:r>
    </w:p>
    <w:p w14:paraId="7FFD2083" w14:textId="77777777" w:rsidR="00F67E9E" w:rsidRPr="00D5341B" w:rsidRDefault="00F67E9E" w:rsidP="00F67E9E">
      <w:pPr>
        <w:pStyle w:val="Numbered11"/>
      </w:pPr>
      <w:r w:rsidRPr="001B5832">
        <w:t>The Supplier shall provide</w:t>
      </w:r>
      <w:r w:rsidRPr="00D5341B">
        <w:t xml:space="preserve"> to the Authority in relation to each Test:</w:t>
      </w:r>
    </w:p>
    <w:p w14:paraId="2CD5361B" w14:textId="77777777" w:rsidR="00F67E9E" w:rsidRPr="001B5832" w:rsidRDefault="00F67E9E" w:rsidP="00F67E9E">
      <w:pPr>
        <w:pStyle w:val="Numbered111"/>
      </w:pPr>
      <w:r w:rsidRPr="00D5341B">
        <w:t>a draft Test Report not less than 2 Working Days (or such other period as the Parties may agree in writing) prior to the date on which the Test is planned to end; and</w:t>
      </w:r>
    </w:p>
    <w:p w14:paraId="0A896EAC" w14:textId="77777777" w:rsidR="00F67E9E" w:rsidRPr="00D5341B" w:rsidRDefault="00F67E9E" w:rsidP="00F67E9E">
      <w:pPr>
        <w:pStyle w:val="Numbered111"/>
      </w:pPr>
      <w:r w:rsidRPr="001B5832">
        <w:t>the fina</w:t>
      </w:r>
      <w:r w:rsidRPr="00D5341B">
        <w:t>l Test Report within 5 Working Days (or such other period as the Parties may agree in writing) of completion of Testing.</w:t>
      </w:r>
    </w:p>
    <w:p w14:paraId="55676D30" w14:textId="77777777" w:rsidR="00F67E9E" w:rsidRPr="00D5341B" w:rsidRDefault="00F67E9E" w:rsidP="00F67E9E">
      <w:pPr>
        <w:pStyle w:val="Numbered11"/>
      </w:pPr>
      <w:r w:rsidRPr="00D5341B">
        <w:t>Each Test Report shall provide a full report on the Testing conducted in respect of the relevant Deliverables, including:</w:t>
      </w:r>
    </w:p>
    <w:p w14:paraId="7BD4A6D2" w14:textId="77777777" w:rsidR="00F67E9E" w:rsidRPr="00D5341B" w:rsidRDefault="00F67E9E" w:rsidP="00F67E9E">
      <w:pPr>
        <w:pStyle w:val="Numbered111"/>
        <w:tabs>
          <w:tab w:val="clear" w:pos="1800"/>
          <w:tab w:val="num" w:pos="2160"/>
        </w:tabs>
      </w:pPr>
      <w:r w:rsidRPr="00D5341B">
        <w:t>an overview of the Testing conducted;</w:t>
      </w:r>
    </w:p>
    <w:p w14:paraId="2810C512" w14:textId="77777777" w:rsidR="00F67E9E" w:rsidRPr="00D5341B" w:rsidRDefault="00F67E9E" w:rsidP="00F67E9E">
      <w:pPr>
        <w:pStyle w:val="Numbered111"/>
        <w:tabs>
          <w:tab w:val="clear" w:pos="1800"/>
          <w:tab w:val="num" w:pos="2160"/>
        </w:tabs>
      </w:pPr>
      <w:r w:rsidRPr="00D5341B">
        <w:t>identification of the relevant Test Success Criteria that have been satisfied;</w:t>
      </w:r>
    </w:p>
    <w:p w14:paraId="266503E8" w14:textId="77777777" w:rsidR="00F67E9E" w:rsidRPr="00D5341B" w:rsidRDefault="00F67E9E" w:rsidP="00F67E9E">
      <w:pPr>
        <w:pStyle w:val="Numbered111"/>
        <w:tabs>
          <w:tab w:val="clear" w:pos="1800"/>
          <w:tab w:val="num" w:pos="2160"/>
        </w:tabs>
      </w:pPr>
      <w:r w:rsidRPr="00D5341B">
        <w:t>identification of the relevant Test Success Criteria that have not been satisfied together with the Supplier</w:t>
      </w:r>
      <w:r>
        <w:t>’</w:t>
      </w:r>
      <w:r w:rsidRPr="00D5341B">
        <w:t>s explanation of why those criteria have not been met;</w:t>
      </w:r>
    </w:p>
    <w:p w14:paraId="0C538FE2" w14:textId="77777777" w:rsidR="00F67E9E" w:rsidRPr="00D5341B" w:rsidRDefault="00F67E9E" w:rsidP="00F67E9E">
      <w:pPr>
        <w:pStyle w:val="Numbered111"/>
        <w:tabs>
          <w:tab w:val="clear" w:pos="1800"/>
          <w:tab w:val="num" w:pos="2160"/>
        </w:tabs>
      </w:pPr>
      <w:r w:rsidRPr="00D5341B">
        <w:t>the Tests that were not completed together with the Supplier</w:t>
      </w:r>
      <w:r>
        <w:t>’</w:t>
      </w:r>
      <w:r w:rsidRPr="00D5341B">
        <w:t>s explanation of why those Tests were not completed;</w:t>
      </w:r>
    </w:p>
    <w:p w14:paraId="7CC39835" w14:textId="736392E8" w:rsidR="00F67E9E" w:rsidRPr="00D5341B" w:rsidRDefault="00F67E9E" w:rsidP="00F67E9E">
      <w:pPr>
        <w:pStyle w:val="Numbered111"/>
        <w:tabs>
          <w:tab w:val="clear" w:pos="1800"/>
          <w:tab w:val="num" w:pos="2160"/>
        </w:tabs>
      </w:pPr>
      <w:r w:rsidRPr="00D5341B">
        <w:t xml:space="preserve">the Test Success Criteria that were satisfied, not satisfied or which were not tested, and any other relevant categories, in each case grouped by Severity Level in accordance with </w:t>
      </w:r>
      <w:bookmarkStart w:id="885" w:name="_9kR3WTr2BBDLHaEnoewrqyJR"/>
      <w:r w:rsidRPr="00D5341B">
        <w:t xml:space="preserve">Paragraph </w:t>
      </w:r>
      <w:bookmarkEnd w:id="885"/>
      <w:r w:rsidRPr="00D5341B">
        <w:fldChar w:fldCharType="begin"/>
      </w:r>
      <w:r w:rsidRPr="00D5341B">
        <w:instrText xml:space="preserve"> REF _Ref_ContractCompanion_9kb9Ur16C \w \h </w:instrText>
      </w:r>
      <w:r>
        <w:instrText xml:space="preserve"> \* MERGEFORMAT </w:instrText>
      </w:r>
      <w:r w:rsidRPr="00D5341B">
        <w:fldChar w:fldCharType="separate"/>
      </w:r>
      <w:r w:rsidR="00302D39">
        <w:t>9.1</w:t>
      </w:r>
      <w:r w:rsidRPr="00D5341B">
        <w:fldChar w:fldCharType="end"/>
      </w:r>
      <w:r w:rsidRPr="00D5341B">
        <w:t>; and</w:t>
      </w:r>
    </w:p>
    <w:p w14:paraId="76B3118D" w14:textId="77777777" w:rsidR="00F67E9E" w:rsidRPr="00D5341B" w:rsidRDefault="00F67E9E" w:rsidP="00F67E9E">
      <w:pPr>
        <w:pStyle w:val="Numbered111"/>
        <w:tabs>
          <w:tab w:val="clear" w:pos="1800"/>
          <w:tab w:val="num" w:pos="2160"/>
        </w:tabs>
      </w:pPr>
      <w:r w:rsidRPr="00D5341B">
        <w:t>the specification for any hardware and software used throughout Testing and any changes that were applied to that hardware and/or software during Testing.</w:t>
      </w:r>
    </w:p>
    <w:p w14:paraId="4EB5486E" w14:textId="77777777" w:rsidR="00F67E9E" w:rsidRPr="00D5341B" w:rsidRDefault="00F67E9E" w:rsidP="00F67E9E">
      <w:pPr>
        <w:pStyle w:val="Numbered1"/>
      </w:pPr>
      <w:r w:rsidRPr="00D5341B">
        <w:t xml:space="preserve">Test </w:t>
      </w:r>
      <w:r w:rsidRPr="001B5832">
        <w:t>Issues</w:t>
      </w:r>
    </w:p>
    <w:p w14:paraId="1BA887B1" w14:textId="7ADD8E17" w:rsidR="00F67E9E" w:rsidRPr="001B5832" w:rsidRDefault="00F67E9E" w:rsidP="00F67E9E">
      <w:pPr>
        <w:pStyle w:val="Numbered11"/>
      </w:pPr>
      <w:bookmarkStart w:id="886" w:name="_Ref_ContractCompanion_9kb9Ur16C"/>
      <w:bookmarkStart w:id="887" w:name="_Ref_ContractCompanion_9kb9Ur9HB"/>
      <w:r w:rsidRPr="00D5341B">
        <w:t xml:space="preserve">Where a Test Report identifies a Test Issue, the Parties shall agree the classification of the Test Issue using the criteria specified in Annex </w:t>
      </w:r>
      <w:r w:rsidRPr="00D5341B">
        <w:fldChar w:fldCharType="begin"/>
      </w:r>
      <w:r w:rsidRPr="00D5341B">
        <w:instrText xml:space="preserve"> REF ANNEX1_SCHEDULE14 \h </w:instrText>
      </w:r>
      <w:r>
        <w:instrText xml:space="preserve"> \* MERGEFORMAT </w:instrText>
      </w:r>
      <w:r w:rsidRPr="00D5341B">
        <w:fldChar w:fldCharType="separate"/>
      </w:r>
      <w:r w:rsidR="00302D39" w:rsidRPr="00302D39">
        <w:rPr>
          <w:rFonts w:cs="Arial"/>
        </w:rPr>
        <w:t>1</w:t>
      </w:r>
      <w:r w:rsidRPr="00D5341B">
        <w:fldChar w:fldCharType="end"/>
      </w:r>
      <w:r w:rsidRPr="00D5341B">
        <w:t xml:space="preserve"> and the Test Issue Management Log maintained </w:t>
      </w:r>
      <w:r w:rsidRPr="001B5832">
        <w:t>by the Supplier shall log Test Issues reflecting the Severity Level allocated to each Test Issue.</w:t>
      </w:r>
      <w:bookmarkEnd w:id="886"/>
      <w:bookmarkEnd w:id="887"/>
    </w:p>
    <w:p w14:paraId="2B6A6213" w14:textId="77777777" w:rsidR="00F67E9E" w:rsidRPr="001B5832" w:rsidRDefault="00F67E9E" w:rsidP="00F67E9E">
      <w:pPr>
        <w:pStyle w:val="Numbered11"/>
      </w:pPr>
      <w:r w:rsidRPr="001B5832">
        <w:t>The Supplier shall be responsible for maintaining the Test Issue Management Log and for ensuring that its contents accurately represent the current status of each Test Issue at all relevant times. The Supplier shall make the Test Issue Management Log available to the Authority upon request.</w:t>
      </w:r>
    </w:p>
    <w:p w14:paraId="2B414566" w14:textId="77777777" w:rsidR="00F67E9E" w:rsidRPr="00D5341B" w:rsidRDefault="00F67E9E" w:rsidP="00F67E9E">
      <w:pPr>
        <w:pStyle w:val="Numbered11"/>
      </w:pPr>
      <w:r w:rsidRPr="001B5832">
        <w:t>The Authority shall confirm the classification of any Test Issue unresolved at the end of a Test in consultation with the Supplier. If the Parties are unable to agree the classification of any unresolved</w:t>
      </w:r>
      <w:r w:rsidRPr="00D5341B">
        <w:t xml:space="preserve"> Test Issue, the Dispute shall be dealt with in accordance with the Dispute Resolution Procedure using the Expedited Dispute Timetable.</w:t>
      </w:r>
    </w:p>
    <w:p w14:paraId="02103360" w14:textId="77777777" w:rsidR="00F67E9E" w:rsidRPr="00D5341B" w:rsidRDefault="00F67E9E" w:rsidP="00F67E9E">
      <w:pPr>
        <w:pStyle w:val="Numbered1"/>
      </w:pPr>
      <w:bookmarkStart w:id="888" w:name="_Ref_ContractCompanion_9kb9Ur9GH"/>
      <w:r w:rsidRPr="00D5341B">
        <w:t xml:space="preserve">Test </w:t>
      </w:r>
      <w:r w:rsidRPr="001B5832">
        <w:t>Witnessing</w:t>
      </w:r>
      <w:bookmarkEnd w:id="888"/>
    </w:p>
    <w:p w14:paraId="428F8AC5" w14:textId="77777777" w:rsidR="00F67E9E" w:rsidRPr="001B5832" w:rsidRDefault="00F67E9E" w:rsidP="00F67E9E">
      <w:pPr>
        <w:pStyle w:val="Numbered11"/>
      </w:pPr>
      <w:bookmarkStart w:id="889" w:name="_Ref_ContractCompanion_9kb9Ur16F"/>
      <w:r w:rsidRPr="00D5341B">
        <w:t xml:space="preserve">The Authority may, in its sole discretion, require the attendance at any Test of one or more Test Witnesses selected by the Authority, each of whom shall have appropriate skills to fulfil the role of </w:t>
      </w:r>
      <w:r w:rsidRPr="001B5832">
        <w:t>a Test Witness.</w:t>
      </w:r>
      <w:bookmarkEnd w:id="889"/>
    </w:p>
    <w:p w14:paraId="17CB7772" w14:textId="77777777" w:rsidR="00F67E9E" w:rsidRPr="001B5832" w:rsidRDefault="00F67E9E" w:rsidP="00F67E9E">
      <w:pPr>
        <w:pStyle w:val="Numbered11"/>
      </w:pPr>
      <w:r w:rsidRPr="001B5832">
        <w:t>The Supplier shall give the Test Witnesses access to any documentation and Testing environments reasonably necessary and requested by the Test Witnesses to perform their role as a Test Witness in respect of the relevant Tests.</w:t>
      </w:r>
    </w:p>
    <w:p w14:paraId="73B20CA7" w14:textId="77777777" w:rsidR="00F67E9E" w:rsidRPr="00D5341B" w:rsidRDefault="00F67E9E" w:rsidP="00F67E9E">
      <w:pPr>
        <w:pStyle w:val="Numbered11"/>
      </w:pPr>
      <w:r w:rsidRPr="001B5832">
        <w:t>The Test Witne</w:t>
      </w:r>
      <w:r w:rsidRPr="00D5341B">
        <w:t>sses:</w:t>
      </w:r>
    </w:p>
    <w:p w14:paraId="109C645F" w14:textId="77777777" w:rsidR="00F67E9E" w:rsidRPr="00D5341B" w:rsidRDefault="00F67E9E" w:rsidP="00F67E9E">
      <w:pPr>
        <w:pStyle w:val="Numbered111"/>
        <w:tabs>
          <w:tab w:val="clear" w:pos="1800"/>
          <w:tab w:val="num" w:pos="2160"/>
        </w:tabs>
      </w:pPr>
      <w:r w:rsidRPr="00D5341B">
        <w:t>shall actively review the Test documentation;</w:t>
      </w:r>
    </w:p>
    <w:p w14:paraId="5AC3542C" w14:textId="77777777" w:rsidR="00F67E9E" w:rsidRPr="00D5341B" w:rsidRDefault="00F67E9E" w:rsidP="00F67E9E">
      <w:pPr>
        <w:pStyle w:val="Numbered111"/>
        <w:tabs>
          <w:tab w:val="clear" w:pos="1800"/>
          <w:tab w:val="num" w:pos="2160"/>
        </w:tabs>
      </w:pPr>
      <w:r w:rsidRPr="00D5341B">
        <w:t>will attend and engage in the performance of the Tests on behalf of the Authority so as to enable the Authority to gain an informed view of whether a Test Issue may be closed or whether the relevant element of the Test should be re-Tested;</w:t>
      </w:r>
    </w:p>
    <w:p w14:paraId="1280F6A7" w14:textId="77777777" w:rsidR="00F67E9E" w:rsidRPr="00D5341B" w:rsidRDefault="00F67E9E" w:rsidP="00F67E9E">
      <w:pPr>
        <w:pStyle w:val="Numbered111"/>
        <w:tabs>
          <w:tab w:val="clear" w:pos="1800"/>
          <w:tab w:val="num" w:pos="2160"/>
        </w:tabs>
      </w:pPr>
      <w:r w:rsidRPr="00D5341B">
        <w:t>shall not be involved in the execution of any Test;</w:t>
      </w:r>
    </w:p>
    <w:p w14:paraId="78830FE6" w14:textId="77777777" w:rsidR="00F67E9E" w:rsidRPr="00D5341B" w:rsidRDefault="00F67E9E" w:rsidP="00F67E9E">
      <w:pPr>
        <w:pStyle w:val="Numbered111"/>
        <w:tabs>
          <w:tab w:val="clear" w:pos="1800"/>
          <w:tab w:val="num" w:pos="2160"/>
        </w:tabs>
      </w:pPr>
      <w:r w:rsidRPr="00D5341B">
        <w:t xml:space="preserve">shall be required to verify that the Supplier conducted the Tests in accordance with the Test Success Criteria and the relevant Test Plan and Test Specification; </w:t>
      </w:r>
    </w:p>
    <w:p w14:paraId="5705E357" w14:textId="77777777" w:rsidR="00F67E9E" w:rsidRPr="00D5341B" w:rsidRDefault="00F67E9E" w:rsidP="00F67E9E">
      <w:pPr>
        <w:pStyle w:val="Numbered111"/>
        <w:tabs>
          <w:tab w:val="clear" w:pos="1800"/>
          <w:tab w:val="num" w:pos="2160"/>
        </w:tabs>
      </w:pPr>
      <w:r w:rsidRPr="00D5341B">
        <w:t xml:space="preserve">may produce and deliver their own, independent reports on Testing, which may be used by the Authority to assess whether the Tests have been Achieved; </w:t>
      </w:r>
    </w:p>
    <w:p w14:paraId="17EF52F4" w14:textId="77777777" w:rsidR="00F67E9E" w:rsidRPr="00D5341B" w:rsidRDefault="00F67E9E" w:rsidP="00F67E9E">
      <w:pPr>
        <w:pStyle w:val="Numbered111"/>
        <w:tabs>
          <w:tab w:val="clear" w:pos="1800"/>
          <w:tab w:val="num" w:pos="2160"/>
        </w:tabs>
      </w:pPr>
      <w:r w:rsidRPr="00D5341B">
        <w:t>may raise Test Issues on the Test Issue Management Log in respect of any Testing; and</w:t>
      </w:r>
    </w:p>
    <w:p w14:paraId="534E2605" w14:textId="77777777" w:rsidR="00F67E9E" w:rsidRPr="00D5341B" w:rsidRDefault="00F67E9E" w:rsidP="00F67E9E">
      <w:pPr>
        <w:pStyle w:val="Numbered111"/>
        <w:tabs>
          <w:tab w:val="clear" w:pos="1800"/>
          <w:tab w:val="num" w:pos="2160"/>
        </w:tabs>
      </w:pPr>
      <w:r w:rsidRPr="00D5341B">
        <w:t>may require the Supplier to demonstrate the modifications made to any defective Deliverable before a Test Issue is closed.</w:t>
      </w:r>
    </w:p>
    <w:p w14:paraId="78155D50" w14:textId="77777777" w:rsidR="00F67E9E" w:rsidRPr="00D5341B" w:rsidRDefault="00F67E9E" w:rsidP="00F67E9E">
      <w:pPr>
        <w:pStyle w:val="Numbered1"/>
      </w:pPr>
      <w:r w:rsidRPr="00D5341B">
        <w:t xml:space="preserve">Test </w:t>
      </w:r>
      <w:r w:rsidRPr="001B5832">
        <w:t>Quality</w:t>
      </w:r>
      <w:r w:rsidRPr="00D5341B">
        <w:t xml:space="preserve"> Audit</w:t>
      </w:r>
    </w:p>
    <w:p w14:paraId="66A9BB8C" w14:textId="77777777" w:rsidR="00F67E9E" w:rsidRPr="001B5832" w:rsidRDefault="00F67E9E" w:rsidP="00F67E9E">
      <w:pPr>
        <w:pStyle w:val="Numbered11"/>
      </w:pPr>
      <w:r w:rsidRPr="00D5341B">
        <w:t xml:space="preserve">Without prejudice to its rights pursuant to </w:t>
      </w:r>
      <w:bookmarkStart w:id="890" w:name="_9kR3WTr2BBDLIOChrAv5HJt"/>
      <w:r w:rsidRPr="00D5341B">
        <w:t>Clause 12.2(b)</w:t>
      </w:r>
      <w:bookmarkEnd w:id="890"/>
      <w:r w:rsidRPr="00D5341B">
        <w:t xml:space="preserve"> (</w:t>
      </w:r>
      <w:r w:rsidRPr="008F1C4B">
        <w:rPr>
          <w:i/>
        </w:rPr>
        <w:t>Records, Reports, Audits &amp; Open Book Data</w:t>
      </w:r>
      <w:r w:rsidRPr="00D5341B">
        <w:t xml:space="preserve">), the Authority may perform on-going quality audits in respect of any part of the Testing (each a </w:t>
      </w:r>
      <w:r>
        <w:t>“</w:t>
      </w:r>
      <w:r w:rsidRPr="00D5341B">
        <w:rPr>
          <w:rStyle w:val="StdBodyTextBoldChar"/>
          <w:rFonts w:eastAsia="Arial"/>
        </w:rPr>
        <w:t>Testing Quality Audit</w:t>
      </w:r>
      <w:r>
        <w:t>”</w:t>
      </w:r>
      <w:r w:rsidRPr="00D5341B">
        <w:t xml:space="preserve">) subject to the provisions set out in the agreed </w:t>
      </w:r>
      <w:r w:rsidRPr="001B5832">
        <w:t>Quality Plan.</w:t>
      </w:r>
    </w:p>
    <w:p w14:paraId="188CE2DF" w14:textId="77777777" w:rsidR="00F67E9E" w:rsidRPr="00D5341B" w:rsidRDefault="00F67E9E" w:rsidP="00F67E9E">
      <w:pPr>
        <w:pStyle w:val="Numbered11"/>
      </w:pPr>
      <w:r w:rsidRPr="001B5832">
        <w:t>Th</w:t>
      </w:r>
      <w:r w:rsidRPr="00D5341B">
        <w:t>e focus of the Testing Quality Audits shall be on:</w:t>
      </w:r>
    </w:p>
    <w:p w14:paraId="6FE845E6" w14:textId="77777777" w:rsidR="00F67E9E" w:rsidRPr="00D5341B" w:rsidRDefault="00F67E9E" w:rsidP="00F67E9E">
      <w:pPr>
        <w:pStyle w:val="Numbered111"/>
        <w:tabs>
          <w:tab w:val="clear" w:pos="1800"/>
          <w:tab w:val="num" w:pos="2160"/>
        </w:tabs>
      </w:pPr>
      <w:r w:rsidRPr="00D5341B">
        <w:t>adherence to an agreed methodology;</w:t>
      </w:r>
    </w:p>
    <w:p w14:paraId="3CCE6DEF" w14:textId="77777777" w:rsidR="00F67E9E" w:rsidRPr="00D5341B" w:rsidRDefault="00F67E9E" w:rsidP="00F67E9E">
      <w:pPr>
        <w:pStyle w:val="Numbered111"/>
        <w:tabs>
          <w:tab w:val="clear" w:pos="1800"/>
          <w:tab w:val="num" w:pos="2160"/>
        </w:tabs>
      </w:pPr>
      <w:r w:rsidRPr="00D5341B">
        <w:t>adherence to the agreed Testing process;</w:t>
      </w:r>
    </w:p>
    <w:p w14:paraId="565C3A85" w14:textId="77777777" w:rsidR="00F67E9E" w:rsidRPr="00D5341B" w:rsidRDefault="00F67E9E" w:rsidP="00F67E9E">
      <w:pPr>
        <w:pStyle w:val="Numbered111"/>
        <w:tabs>
          <w:tab w:val="clear" w:pos="1800"/>
          <w:tab w:val="num" w:pos="2160"/>
        </w:tabs>
      </w:pPr>
      <w:r w:rsidRPr="00D5341B">
        <w:t>adherence to the Quality Plan;</w:t>
      </w:r>
    </w:p>
    <w:p w14:paraId="2B3DF236" w14:textId="77777777" w:rsidR="00F67E9E" w:rsidRPr="00D5341B" w:rsidRDefault="00F67E9E" w:rsidP="00F67E9E">
      <w:pPr>
        <w:pStyle w:val="Numbered111"/>
        <w:tabs>
          <w:tab w:val="clear" w:pos="1800"/>
          <w:tab w:val="num" w:pos="2160"/>
        </w:tabs>
      </w:pPr>
      <w:r w:rsidRPr="00D5341B">
        <w:t>review of status and key development issues; and</w:t>
      </w:r>
    </w:p>
    <w:p w14:paraId="0281B8B2" w14:textId="77777777" w:rsidR="00F67E9E" w:rsidRPr="00D5341B" w:rsidRDefault="00F67E9E" w:rsidP="00F67E9E">
      <w:pPr>
        <w:pStyle w:val="Numbered111"/>
        <w:tabs>
          <w:tab w:val="clear" w:pos="1800"/>
          <w:tab w:val="num" w:pos="2160"/>
        </w:tabs>
      </w:pPr>
      <w:r w:rsidRPr="00D5341B">
        <w:t>identification of key risk areas.</w:t>
      </w:r>
    </w:p>
    <w:p w14:paraId="4597252F" w14:textId="77777777" w:rsidR="00F67E9E" w:rsidRPr="001B5832" w:rsidRDefault="00F67E9E" w:rsidP="00F67E9E">
      <w:pPr>
        <w:pStyle w:val="Numbered11"/>
      </w:pPr>
      <w:r w:rsidRPr="00D5341B">
        <w:t xml:space="preserve">The Supplier shall allow sufficient time in the Test Plan to ensure that adequate responses to a </w:t>
      </w:r>
      <w:r w:rsidRPr="001B5832">
        <w:t>Testing Quality Audit can be provided.</w:t>
      </w:r>
    </w:p>
    <w:p w14:paraId="527A4F79" w14:textId="77777777" w:rsidR="00F67E9E" w:rsidRPr="001B5832" w:rsidRDefault="00F67E9E" w:rsidP="00F67E9E">
      <w:pPr>
        <w:pStyle w:val="Numbered11"/>
      </w:pPr>
      <w:r w:rsidRPr="001B5832">
        <w:t>The Authority will give the Supplier at least 5 Working Days’ written notice of the Authority’s intention to undertake a Testing Quality Audit and the Supplier may request, following receipt of that notice, that any Testing Quality Audit be delayed by a reasonable time period if in the Supplier’s reasonable opinion, the carrying out of a Testing Quality Audit at the time specified by the Authority will materially and adversely impact the Implementation Plan.</w:t>
      </w:r>
    </w:p>
    <w:p w14:paraId="3947A5CE" w14:textId="77777777" w:rsidR="00F67E9E" w:rsidRPr="001B5832" w:rsidRDefault="00F67E9E" w:rsidP="00F67E9E">
      <w:pPr>
        <w:pStyle w:val="Numbered11"/>
      </w:pPr>
      <w:r w:rsidRPr="001B5832">
        <w:t>A Testing Quality Audit may involve document reviews, interviews with the Supplier Personnel involved in or monitoring the activities being undertaken pursuant to this Schedule, the Authority witnessing Tests and demonstrations of the Deliverables to the Authority. Any Testing Quality Audit shall be limited in duration to a maximum time to be agreed between the Supplier and the Authority on a case by case basis (such agreement not to be unreasonably withheld or delayed). The Supplier shall provide all reasonable necessary assistance and access to all relevant documentation required by the Authority to enable it to carry out the Testing Quality Audit.</w:t>
      </w:r>
    </w:p>
    <w:p w14:paraId="0CB0A94E" w14:textId="77777777" w:rsidR="00F67E9E" w:rsidRPr="00D5341B" w:rsidRDefault="00F67E9E" w:rsidP="00F67E9E">
      <w:pPr>
        <w:pStyle w:val="Numbered11"/>
      </w:pPr>
      <w:r w:rsidRPr="001B5832">
        <w:t>If the Testing</w:t>
      </w:r>
      <w:r w:rsidRPr="00D5341B">
        <w:t xml:space="preserve"> Quality Audit gives the Authority concern in respect of the Testing Procedures or any Test, the Authority shall:</w:t>
      </w:r>
    </w:p>
    <w:p w14:paraId="705BC42A" w14:textId="77777777" w:rsidR="00F67E9E" w:rsidRPr="00D5341B" w:rsidRDefault="00F67E9E" w:rsidP="00F67E9E">
      <w:pPr>
        <w:pStyle w:val="Numbered111"/>
        <w:tabs>
          <w:tab w:val="clear" w:pos="1800"/>
          <w:tab w:val="num" w:pos="2160"/>
        </w:tabs>
      </w:pPr>
      <w:r w:rsidRPr="00D5341B">
        <w:t>discuss the outcome of the Testing Quality Audit with the Supplier, giving the Supplier the opportunity to provide feedback in relation to specific activities; and</w:t>
      </w:r>
    </w:p>
    <w:p w14:paraId="0B816D42" w14:textId="77777777" w:rsidR="00F67E9E" w:rsidRPr="00D5341B" w:rsidRDefault="00F67E9E" w:rsidP="00F67E9E">
      <w:pPr>
        <w:pStyle w:val="Numbered111"/>
        <w:tabs>
          <w:tab w:val="clear" w:pos="1800"/>
          <w:tab w:val="num" w:pos="2160"/>
        </w:tabs>
      </w:pPr>
      <w:r w:rsidRPr="00D5341B">
        <w:t>subsequently prepare a written report for the Supplier detailing its concerns,</w:t>
      </w:r>
    </w:p>
    <w:p w14:paraId="7F4922F6" w14:textId="77777777" w:rsidR="00F67E9E" w:rsidRPr="00D5341B" w:rsidRDefault="00F67E9E" w:rsidP="00F67E9E">
      <w:pPr>
        <w:pStyle w:val="StdBodyText2"/>
      </w:pPr>
      <w:r w:rsidRPr="00D5341B">
        <w:t>and the Supplier shall, within a reasonable timeframe, respond in writing to the Authority</w:t>
      </w:r>
      <w:r>
        <w:t>’</w:t>
      </w:r>
      <w:r w:rsidRPr="00D5341B">
        <w:t>s report.</w:t>
      </w:r>
    </w:p>
    <w:p w14:paraId="33CF3B18" w14:textId="77777777" w:rsidR="00F67E9E" w:rsidRPr="00D5341B" w:rsidRDefault="00F67E9E" w:rsidP="00F67E9E">
      <w:pPr>
        <w:pStyle w:val="Numbered11"/>
      </w:pPr>
      <w:r w:rsidRPr="00D5341B">
        <w:t>In the event of an inadequate response to the Authority</w:t>
      </w:r>
      <w:r>
        <w:t>’</w:t>
      </w:r>
      <w:r w:rsidRPr="00D5341B">
        <w:t xml:space="preserve">s report from the Supplier, the Authority (acting reasonably) may withhold a </w:t>
      </w:r>
      <w:bookmarkStart w:id="891" w:name="_9kMLK5YVt4CE9EKiOuAVBxD5strk27"/>
      <w:r w:rsidRPr="00D5341B">
        <w:t>Test Certificate</w:t>
      </w:r>
      <w:bookmarkEnd w:id="891"/>
      <w:r w:rsidRPr="00D5341B">
        <w:t xml:space="preserve"> (and consequently delay the grant of a Milestone Achievement Certificate) until the issues in the report have been addressed to </w:t>
      </w:r>
      <w:r w:rsidRPr="001B5832">
        <w:t>the</w:t>
      </w:r>
      <w:r w:rsidRPr="00D5341B">
        <w:t xml:space="preserve"> reasonable satisfaction of the Authority.</w:t>
      </w:r>
    </w:p>
    <w:p w14:paraId="301AC7C9" w14:textId="77777777" w:rsidR="00F67E9E" w:rsidRPr="00D5341B" w:rsidRDefault="00F67E9E" w:rsidP="00F67E9E">
      <w:pPr>
        <w:pStyle w:val="Numbered1"/>
      </w:pPr>
      <w:r w:rsidRPr="00D5341B">
        <w:t xml:space="preserve">Outcome </w:t>
      </w:r>
      <w:r>
        <w:t>o</w:t>
      </w:r>
      <w:r w:rsidRPr="00D5341B">
        <w:t>f Testing</w:t>
      </w:r>
    </w:p>
    <w:p w14:paraId="0E6F291D" w14:textId="77777777" w:rsidR="00F67E9E" w:rsidRPr="001B5832" w:rsidRDefault="00F67E9E" w:rsidP="00F67E9E">
      <w:pPr>
        <w:pStyle w:val="Numbered11"/>
      </w:pPr>
      <w:bookmarkStart w:id="892" w:name="_Ref_ContractCompanion_9kb9Ur17D"/>
      <w:r w:rsidRPr="00D5341B">
        <w:t xml:space="preserve">The Authority shall </w:t>
      </w:r>
      <w:r w:rsidRPr="001B5832">
        <w:t xml:space="preserve">issue a </w:t>
      </w:r>
      <w:bookmarkStart w:id="893" w:name="_9kMML5YVt4CE9EKiOuAVBxD5strk27"/>
      <w:r w:rsidRPr="001B5832">
        <w:t>Test Certificate</w:t>
      </w:r>
      <w:bookmarkEnd w:id="893"/>
      <w:r w:rsidRPr="001B5832">
        <w:t xml:space="preserve"> as soon as reasonably practicable when the Deliverables satisfy the Test Success Criteria in respect of that Test without any Test Issues.</w:t>
      </w:r>
      <w:bookmarkEnd w:id="892"/>
    </w:p>
    <w:p w14:paraId="5988EEC3" w14:textId="77777777" w:rsidR="00F67E9E" w:rsidRPr="00D5341B" w:rsidRDefault="00F67E9E" w:rsidP="00F67E9E">
      <w:pPr>
        <w:pStyle w:val="Numbered11"/>
      </w:pPr>
      <w:r w:rsidRPr="001B5832">
        <w:t>If the Deliverables (or an</w:t>
      </w:r>
      <w:r w:rsidRPr="00D5341B">
        <w:t>y relevant part) do not satisfy the Test Success Criteria then the Authority shall notify the Supplier and:</w:t>
      </w:r>
    </w:p>
    <w:p w14:paraId="753C95A3" w14:textId="77777777" w:rsidR="00F67E9E" w:rsidRPr="00D5341B" w:rsidRDefault="00F67E9E" w:rsidP="00F67E9E">
      <w:pPr>
        <w:pStyle w:val="Numbered111"/>
        <w:tabs>
          <w:tab w:val="clear" w:pos="1800"/>
          <w:tab w:val="num" w:pos="2160"/>
        </w:tabs>
      </w:pPr>
      <w:r w:rsidRPr="00D5341B">
        <w:t xml:space="preserve">the Authority may issue a </w:t>
      </w:r>
      <w:bookmarkStart w:id="894" w:name="_9kMNM5YVt4CE9EKiOuAVBxD5strk27"/>
      <w:r w:rsidRPr="00D5341B">
        <w:t>Test Certificate</w:t>
      </w:r>
      <w:bookmarkEnd w:id="894"/>
      <w:r w:rsidRPr="00D5341B">
        <w:t xml:space="preserve"> conditional upon the remediation of the Test Issues; </w:t>
      </w:r>
    </w:p>
    <w:p w14:paraId="30459683" w14:textId="77777777" w:rsidR="00F67E9E" w:rsidRPr="00D5341B" w:rsidRDefault="00F67E9E" w:rsidP="00F67E9E">
      <w:pPr>
        <w:pStyle w:val="Numbered111"/>
        <w:tabs>
          <w:tab w:val="clear" w:pos="1800"/>
          <w:tab w:val="num" w:pos="2160"/>
        </w:tabs>
      </w:pPr>
      <w:r w:rsidRPr="00D5341B">
        <w:t>where the Parties agree that there is sufficient time prior to the relevant Milestone Date, the Authority may extend the Test Plan by such reasonable period or periods as the Parties may reasonably agree and require the Supplier to rectify the cause of the Test Issue and re-submit the Deliverables (or the relevant part) to Testing; or</w:t>
      </w:r>
    </w:p>
    <w:p w14:paraId="78ABE2A6" w14:textId="77777777" w:rsidR="00F67E9E" w:rsidRPr="00D5341B" w:rsidRDefault="00F67E9E" w:rsidP="00F67E9E">
      <w:pPr>
        <w:pStyle w:val="Numbered111"/>
        <w:tabs>
          <w:tab w:val="clear" w:pos="1800"/>
          <w:tab w:val="num" w:pos="2160"/>
        </w:tabs>
      </w:pPr>
      <w:r w:rsidRPr="00D5341B">
        <w:t>where the failure to satisfy the Test Success Criteria results, or is likely to result, in the failure (in whole or in part) by the Supplier to meet a Milestone, then without prejudice to the Authority</w:t>
      </w:r>
      <w:r>
        <w:t>’</w:t>
      </w:r>
      <w:r w:rsidRPr="00D5341B">
        <w:t xml:space="preserve">s other rights and remedies, such failure shall constitute a Notifiable Default for the purposes of </w:t>
      </w:r>
      <w:bookmarkStart w:id="895" w:name="_9kR3WTr2CC5AFOChrAv6NN"/>
      <w:r w:rsidRPr="00D5341B">
        <w:t>Clause 25.1</w:t>
      </w:r>
      <w:bookmarkEnd w:id="895"/>
      <w:r w:rsidRPr="00D5341B">
        <w:t xml:space="preserve"> (</w:t>
      </w:r>
      <w:r w:rsidRPr="00D5341B">
        <w:rPr>
          <w:i/>
        </w:rPr>
        <w:t>Rectification Plan Process</w:t>
      </w:r>
      <w:r w:rsidRPr="00D5341B">
        <w:t xml:space="preserve">). </w:t>
      </w:r>
    </w:p>
    <w:p w14:paraId="7522E9F2" w14:textId="77777777" w:rsidR="00F67E9E" w:rsidRPr="00D5341B" w:rsidRDefault="00F67E9E" w:rsidP="00F67E9E">
      <w:pPr>
        <w:pStyle w:val="Numbered11"/>
      </w:pPr>
      <w:r w:rsidRPr="00D5341B">
        <w:t xml:space="preserve">The Authority </w:t>
      </w:r>
      <w:r w:rsidRPr="001B5832">
        <w:t>shall</w:t>
      </w:r>
      <w:r w:rsidRPr="00D5341B">
        <w:t xml:space="preserve"> be entitled, without prejudice to any other rights and remedies that it has under this Contract, to recover from the Supplier any reasonable additional costs it may incur as a direct result of further review or re-Testing which is required for the Test Success Criteria for that Deliverable to be satisfied.</w:t>
      </w:r>
    </w:p>
    <w:p w14:paraId="5775DBA1" w14:textId="77777777" w:rsidR="00F67E9E" w:rsidRPr="00D5341B" w:rsidRDefault="00F67E9E" w:rsidP="00F67E9E">
      <w:pPr>
        <w:pStyle w:val="Numbered1"/>
      </w:pPr>
      <w:r w:rsidRPr="00D5341B">
        <w:t xml:space="preserve">Issue </w:t>
      </w:r>
      <w:r>
        <w:t>o</w:t>
      </w:r>
      <w:r w:rsidRPr="00D5341B">
        <w:t xml:space="preserve">f </w:t>
      </w:r>
      <w:r w:rsidRPr="001B5832">
        <w:t>Milestone</w:t>
      </w:r>
      <w:r w:rsidRPr="00D5341B">
        <w:t xml:space="preserve"> Achievement Certificate</w:t>
      </w:r>
    </w:p>
    <w:p w14:paraId="5F778CEC" w14:textId="77777777" w:rsidR="00F67E9E" w:rsidRPr="00D5341B" w:rsidRDefault="00F67E9E" w:rsidP="00F67E9E">
      <w:pPr>
        <w:pStyle w:val="Numbered11"/>
      </w:pPr>
      <w:bookmarkStart w:id="896" w:name="_Ref_ContractCompanion_9kb9Ur17G"/>
      <w:r w:rsidRPr="00D5341B">
        <w:t>The Authority shall issue a Milestone Achievement Certificate in respect of a given Milestone as soon as is reasonably practicable following:</w:t>
      </w:r>
      <w:bookmarkEnd w:id="896"/>
    </w:p>
    <w:p w14:paraId="086626FC" w14:textId="77777777" w:rsidR="00F67E9E" w:rsidRPr="001B5832" w:rsidRDefault="00F67E9E" w:rsidP="00F67E9E">
      <w:pPr>
        <w:pStyle w:val="Numbered111"/>
      </w:pPr>
      <w:r w:rsidRPr="00D5341B">
        <w:t xml:space="preserve">the issuing by the Authority of </w:t>
      </w:r>
      <w:bookmarkStart w:id="897" w:name="_9kMON5YVt4CE9EKiOuAVBxD5strk27"/>
      <w:r w:rsidRPr="00D5341B">
        <w:t>Test Certificates</w:t>
      </w:r>
      <w:bookmarkEnd w:id="897"/>
      <w:r w:rsidRPr="00D5341B">
        <w:t xml:space="preserve"> and/or conditional </w:t>
      </w:r>
      <w:bookmarkStart w:id="898" w:name="_9kMPO5YVt4CE9EKiOuAVBxD5strk27"/>
      <w:r w:rsidRPr="00D5341B">
        <w:t>Test Certificates</w:t>
      </w:r>
      <w:bookmarkEnd w:id="898"/>
      <w:r w:rsidRPr="00D5341B">
        <w:t xml:space="preserve"> in respect of all Deliverables related to that Milestone which are due to be Tested; </w:t>
      </w:r>
      <w:r w:rsidRPr="001B5832">
        <w:t>and</w:t>
      </w:r>
    </w:p>
    <w:p w14:paraId="51F23E94" w14:textId="77777777" w:rsidR="00F67E9E" w:rsidRPr="00D5341B" w:rsidRDefault="00F67E9E" w:rsidP="00F67E9E">
      <w:pPr>
        <w:pStyle w:val="Numbered111"/>
      </w:pPr>
      <w:r w:rsidRPr="001B5832">
        <w:t>perfo</w:t>
      </w:r>
      <w:r w:rsidRPr="00D5341B">
        <w:t>rmance by the Supplier to the reasonable satisfaction of the Authority of any other tasks identified in the Implementation Plan as associated with that Milestone (which may include the submission of a Deliverable that is not due to be Tested, such as the production of Documentation).</w:t>
      </w:r>
    </w:p>
    <w:p w14:paraId="555793F9" w14:textId="13CCFE53" w:rsidR="00F67E9E" w:rsidRPr="001B5832" w:rsidRDefault="00F67E9E" w:rsidP="00F67E9E">
      <w:pPr>
        <w:pStyle w:val="Numbered11"/>
      </w:pPr>
      <w:r w:rsidRPr="00D5341B">
        <w:t xml:space="preserve">The grant of a Milestone Achievement Certificate shall entitle the Supplier to the receipt of a payment in respect of that Milestone in accordance with the provisions of </w:t>
      </w:r>
      <w:r>
        <w:rPr>
          <w:rFonts w:cs="Arial"/>
        </w:rPr>
        <w:fldChar w:fldCharType="begin"/>
      </w:r>
      <w:r>
        <w:rPr>
          <w:rFonts w:cs="Arial"/>
        </w:rPr>
        <w:instrText xml:space="preserve"> REF Schedule15 \h </w:instrText>
      </w:r>
      <w:r>
        <w:rPr>
          <w:rFonts w:cs="Arial"/>
        </w:rPr>
      </w:r>
      <w:r>
        <w:rPr>
          <w:rFonts w:cs="Arial"/>
        </w:rPr>
        <w:fldChar w:fldCharType="separate"/>
      </w:r>
      <w:r w:rsidR="00302D39" w:rsidRPr="005D0525">
        <w:t>Schedule</w:t>
      </w:r>
      <w:r w:rsidR="00302D39">
        <w:t> </w:t>
      </w:r>
      <w:r w:rsidR="00302D39" w:rsidRPr="005D0525">
        <w:t>15</w:t>
      </w:r>
      <w:r>
        <w:rPr>
          <w:rFonts w:cs="Arial"/>
        </w:rPr>
        <w:fldChar w:fldCharType="end"/>
      </w:r>
      <w:r>
        <w:rPr>
          <w:rFonts w:cs="Arial"/>
        </w:rPr>
        <w:t xml:space="preserve"> (</w:t>
      </w:r>
      <w:r w:rsidRPr="00B91437">
        <w:rPr>
          <w:rFonts w:cs="Arial"/>
          <w:i/>
          <w:iCs/>
        </w:rPr>
        <w:fldChar w:fldCharType="begin"/>
      </w:r>
      <w:r w:rsidRPr="00B91437">
        <w:rPr>
          <w:rFonts w:cs="Arial"/>
          <w:i/>
          <w:iCs/>
        </w:rPr>
        <w:instrText xml:space="preserve"> REF Schedule15Heading \h </w:instrText>
      </w:r>
      <w:r>
        <w:rPr>
          <w:rFonts w:cs="Arial"/>
          <w:i/>
          <w:iCs/>
        </w:rPr>
        <w:instrText xml:space="preserve"> \* MERGEFORMAT </w:instrText>
      </w:r>
      <w:r w:rsidRPr="00B91437">
        <w:rPr>
          <w:rFonts w:cs="Arial"/>
          <w:i/>
          <w:iCs/>
        </w:rPr>
      </w:r>
      <w:r w:rsidRPr="00B91437">
        <w:rPr>
          <w:rFonts w:cs="Arial"/>
          <w:i/>
          <w:iCs/>
        </w:rPr>
        <w:fldChar w:fldCharType="separate"/>
      </w:r>
      <w:r w:rsidR="00302D39" w:rsidRPr="00302D39">
        <w:rPr>
          <w:i/>
          <w:iCs/>
        </w:rPr>
        <w:t>Charges and Invoicing</w:t>
      </w:r>
      <w:r w:rsidRPr="00B91437">
        <w:rPr>
          <w:rFonts w:cs="Arial"/>
          <w:i/>
          <w:iCs/>
        </w:rPr>
        <w:fldChar w:fldCharType="end"/>
      </w:r>
      <w:r>
        <w:rPr>
          <w:rFonts w:cs="Arial"/>
        </w:rPr>
        <w:t>)</w:t>
      </w:r>
      <w:r w:rsidRPr="00D5341B">
        <w:t>.</w:t>
      </w:r>
    </w:p>
    <w:p w14:paraId="1BD499FE" w14:textId="77777777" w:rsidR="00F67E9E" w:rsidRPr="00D5341B" w:rsidRDefault="00F67E9E" w:rsidP="00F67E9E">
      <w:pPr>
        <w:pStyle w:val="Numbered11"/>
        <w:keepNext/>
      </w:pPr>
      <w:bookmarkStart w:id="899" w:name="_Ref_ContractCompanion_9kb9Ur9HI"/>
      <w:r w:rsidRPr="001B5832">
        <w:t>If a Milestone is not Achieved, the</w:t>
      </w:r>
      <w:r w:rsidRPr="00D5341B">
        <w:t xml:space="preserve"> Authority shall promptly issue a report to the Supplier setting out:</w:t>
      </w:r>
      <w:bookmarkEnd w:id="899"/>
    </w:p>
    <w:p w14:paraId="46245348" w14:textId="77777777" w:rsidR="00F67E9E" w:rsidRPr="001B5832" w:rsidRDefault="00F67E9E" w:rsidP="00F67E9E">
      <w:pPr>
        <w:pStyle w:val="Numbered111"/>
      </w:pPr>
      <w:r w:rsidRPr="00D5341B">
        <w:t xml:space="preserve">the applicable </w:t>
      </w:r>
      <w:r w:rsidRPr="001B5832">
        <w:t>Test Issues ; and</w:t>
      </w:r>
    </w:p>
    <w:p w14:paraId="7A9BB8DC" w14:textId="77777777" w:rsidR="00F67E9E" w:rsidRPr="00D5341B" w:rsidRDefault="00F67E9E" w:rsidP="00F67E9E">
      <w:pPr>
        <w:pStyle w:val="Numbered111"/>
      </w:pPr>
      <w:r w:rsidRPr="001B5832">
        <w:t>any other reason</w:t>
      </w:r>
      <w:r w:rsidRPr="00D5341B">
        <w:t>s for the relevant Milestone not being Achieved.</w:t>
      </w:r>
    </w:p>
    <w:p w14:paraId="430FC99B" w14:textId="77777777" w:rsidR="00F67E9E" w:rsidRPr="001B5832" w:rsidRDefault="00F67E9E" w:rsidP="00F67E9E">
      <w:pPr>
        <w:pStyle w:val="Numbered11"/>
      </w:pPr>
      <w:r w:rsidRPr="00D5341B">
        <w:t xml:space="preserve">If there are Test Issues but these do not exceed the Test Issues Threshold, then provided there are no Material Test Issues, the Authority shall issue a Milestone Achievement </w:t>
      </w:r>
      <w:r w:rsidRPr="001B5832">
        <w:t xml:space="preserve">Certificate. </w:t>
      </w:r>
    </w:p>
    <w:p w14:paraId="4FB6188C" w14:textId="77777777" w:rsidR="00F67E9E" w:rsidRPr="00D5341B" w:rsidRDefault="00F67E9E" w:rsidP="00F67E9E">
      <w:pPr>
        <w:pStyle w:val="Numbered11"/>
      </w:pPr>
      <w:r w:rsidRPr="001B5832">
        <w:t xml:space="preserve">Without prejudice to the Authority’s other remedies the following shall constitute a Notifiable Default for the purposes of </w:t>
      </w:r>
      <w:bookmarkStart w:id="900" w:name="_9kMHG5YVt4EE7CHQEjtCx8PP"/>
      <w:r w:rsidRPr="001B5832">
        <w:t>Clause 25.1</w:t>
      </w:r>
      <w:bookmarkEnd w:id="900"/>
      <w:r w:rsidRPr="001B5832">
        <w:t xml:space="preserve"> (</w:t>
      </w:r>
      <w:r w:rsidRPr="008F1C4B">
        <w:rPr>
          <w:i/>
          <w:iCs/>
        </w:rPr>
        <w:t>Rectification Plan Process</w:t>
      </w:r>
      <w:r w:rsidRPr="001B5832">
        <w:t>) and the Authority shall refuse</w:t>
      </w:r>
      <w:r w:rsidRPr="00D5341B">
        <w:t xml:space="preserve"> to issue a Milestone Achievement Certificate where:</w:t>
      </w:r>
    </w:p>
    <w:p w14:paraId="17D89984" w14:textId="77777777" w:rsidR="00F67E9E" w:rsidRPr="001B5832" w:rsidRDefault="00F67E9E" w:rsidP="00F67E9E">
      <w:pPr>
        <w:pStyle w:val="Numbered111"/>
      </w:pPr>
      <w:r w:rsidRPr="00D5341B">
        <w:t xml:space="preserve">there is one or </w:t>
      </w:r>
      <w:r w:rsidRPr="001B5832">
        <w:t>more Material Test Issue(s); or</w:t>
      </w:r>
    </w:p>
    <w:p w14:paraId="6B860A95" w14:textId="048F4FBE" w:rsidR="00F67E9E" w:rsidRPr="00D5341B" w:rsidRDefault="00F67E9E" w:rsidP="00F67E9E">
      <w:pPr>
        <w:pStyle w:val="Numbered111"/>
      </w:pPr>
      <w:r w:rsidRPr="001B5832">
        <w:t>the information re</w:t>
      </w:r>
      <w:r w:rsidRPr="00D5341B">
        <w:t xml:space="preserve">quired under </w:t>
      </w:r>
      <w:r>
        <w:fldChar w:fldCharType="begin"/>
      </w:r>
      <w:r>
        <w:instrText xml:space="preserve"> REF Schedule24 \h </w:instrText>
      </w:r>
      <w:r>
        <w:fldChar w:fldCharType="separate"/>
      </w:r>
      <w:r w:rsidR="00302D39" w:rsidRPr="005D0525">
        <w:t>Schedule</w:t>
      </w:r>
      <w:r w:rsidR="00302D39">
        <w:t> </w:t>
      </w:r>
      <w:r w:rsidR="00302D39" w:rsidRPr="005D0525">
        <w:t>24</w:t>
      </w:r>
      <w:r>
        <w:fldChar w:fldCharType="end"/>
      </w:r>
      <w:r>
        <w:t xml:space="preserve"> (</w:t>
      </w:r>
      <w:r w:rsidRPr="00A22335">
        <w:rPr>
          <w:i/>
          <w:iCs/>
        </w:rPr>
        <w:fldChar w:fldCharType="begin"/>
      </w:r>
      <w:r w:rsidRPr="00A22335">
        <w:rPr>
          <w:i/>
          <w:iCs/>
        </w:rPr>
        <w:instrText xml:space="preserve"> REF Schedule24Heading \h </w:instrText>
      </w:r>
      <w:r>
        <w:rPr>
          <w:i/>
          <w:iCs/>
        </w:rPr>
        <w:instrText xml:space="preserve"> \* MERGEFORMAT </w:instrText>
      </w:r>
      <w:r w:rsidRPr="00A22335">
        <w:rPr>
          <w:i/>
          <w:iCs/>
        </w:rPr>
      </w:r>
      <w:r w:rsidRPr="00A22335">
        <w:rPr>
          <w:i/>
          <w:iCs/>
        </w:rPr>
        <w:fldChar w:fldCharType="separate"/>
      </w:r>
      <w:r w:rsidR="00302D39" w:rsidRPr="00302D39">
        <w:rPr>
          <w:i/>
          <w:iCs/>
        </w:rPr>
        <w:t>Reports and Records Provisions</w:t>
      </w:r>
      <w:r w:rsidRPr="00A22335">
        <w:rPr>
          <w:i/>
          <w:iCs/>
        </w:rPr>
        <w:fldChar w:fldCharType="end"/>
      </w:r>
      <w:r>
        <w:t>)</w:t>
      </w:r>
      <w:r w:rsidRPr="00D5341B">
        <w:t xml:space="preserve"> (</w:t>
      </w:r>
      <w:r w:rsidRPr="00D5341B">
        <w:fldChar w:fldCharType="begin"/>
      </w:r>
      <w:r w:rsidRPr="00D5341B">
        <w:instrText xml:space="preserve"> REF  _Ref_ContractCompanion_9kb9Ur5BA \* Caps \h  \* MERGEFORMAT </w:instrText>
      </w:r>
      <w:r w:rsidRPr="00D5341B">
        <w:fldChar w:fldCharType="separate"/>
      </w:r>
      <w:r w:rsidR="00302D39" w:rsidRPr="00D00D9A">
        <w:t>Annex 3:</w:t>
      </w:r>
      <w:r w:rsidR="00302D39" w:rsidRPr="00F0375C">
        <w:t xml:space="preserve"> </w:t>
      </w:r>
      <w:r w:rsidR="00302D39" w:rsidRPr="00302D39">
        <w:rPr>
          <w:i/>
          <w:iCs/>
        </w:rPr>
        <w:t>Records To Upload To Virtual Library</w:t>
      </w:r>
      <w:r w:rsidRPr="00D5341B">
        <w:fldChar w:fldCharType="end"/>
      </w:r>
      <w:r w:rsidRPr="00D5341B">
        <w:t xml:space="preserve">) has not been uploaded to the Virtual Library in accordance with </w:t>
      </w:r>
      <w:bookmarkStart w:id="901" w:name="_9kR3WTr2BBDLLeEnoewrqyD"/>
      <w:r w:rsidRPr="00D5341B">
        <w:t xml:space="preserve">Paragraph </w:t>
      </w:r>
      <w:r w:rsidRPr="00D5341B">
        <w:fldChar w:fldCharType="begin"/>
      </w:r>
      <w:r w:rsidRPr="00D5341B">
        <w:instrText xml:space="preserve"> REF _Ref_ContractCompanion_9kb9Ur58B \w \h </w:instrText>
      </w:r>
      <w:r>
        <w:instrText xml:space="preserve"> \* MERGEFORMAT </w:instrText>
      </w:r>
      <w:r w:rsidRPr="00D5341B">
        <w:fldChar w:fldCharType="separate"/>
      </w:r>
      <w:r w:rsidR="00302D39">
        <w:t>3</w:t>
      </w:r>
      <w:r w:rsidRPr="00D5341B">
        <w:fldChar w:fldCharType="end"/>
      </w:r>
      <w:bookmarkEnd w:id="901"/>
      <w:r w:rsidRPr="00D5341B">
        <w:t xml:space="preserve"> of that Schedule.</w:t>
      </w:r>
    </w:p>
    <w:p w14:paraId="1050E7B9" w14:textId="77777777" w:rsidR="00F67E9E" w:rsidRPr="00D5341B" w:rsidRDefault="00F67E9E" w:rsidP="00F67E9E">
      <w:pPr>
        <w:pStyle w:val="Numbered11"/>
      </w:pPr>
      <w:r w:rsidRPr="00D5341B">
        <w:t xml:space="preserve">If there are Test Issues which exceed the Test Issues Threshold but there are no Material Test Issues, the Authority may at its discretion (without waiving any rights in relation to the other options) choose to issue a Milestone Achievement Certificate conditional on the remediation of the Test Issues in accordance with an agreed Rectification Plan provided that: </w:t>
      </w:r>
    </w:p>
    <w:p w14:paraId="0AD665C6" w14:textId="6A356EFF" w:rsidR="00F67E9E" w:rsidRPr="00D5341B" w:rsidRDefault="00F67E9E" w:rsidP="00F67E9E">
      <w:pPr>
        <w:pStyle w:val="Numbered111"/>
        <w:tabs>
          <w:tab w:val="clear" w:pos="1800"/>
          <w:tab w:val="num" w:pos="2160"/>
        </w:tabs>
      </w:pPr>
      <w:r w:rsidRPr="00D5341B">
        <w:t>any Rectification Plan shall be agreed before the issue of a conditional Milestone Achievement Certificate unless the Authority agrees otherwise (in which case the Supplier shall submit a Rectification Plan for approval by the Authority within 10 Working Days of receipt of the Authority</w:t>
      </w:r>
      <w:r>
        <w:t>’</w:t>
      </w:r>
      <w:r w:rsidRPr="00D5341B">
        <w:t xml:space="preserve">s report pursuant to </w:t>
      </w:r>
      <w:bookmarkStart w:id="902" w:name="_9kMHG5YVtCIAFOHBEHiUmYjD960u4JAtyAKSDDE"/>
      <w:r w:rsidRPr="00D5341B">
        <w:t xml:space="preserve">Paragraph </w:t>
      </w:r>
      <w:bookmarkEnd w:id="902"/>
      <w:r w:rsidRPr="00D5341B">
        <w:fldChar w:fldCharType="begin"/>
      </w:r>
      <w:r w:rsidRPr="00D5341B">
        <w:instrText xml:space="preserve"> REF _Ref_ContractCompanion_9kb9Ur9HI \w \h </w:instrText>
      </w:r>
      <w:r>
        <w:instrText xml:space="preserve"> \* MERGEFORMAT </w:instrText>
      </w:r>
      <w:r w:rsidRPr="00D5341B">
        <w:fldChar w:fldCharType="separate"/>
      </w:r>
      <w:r w:rsidR="00302D39">
        <w:t>13.3</w:t>
      </w:r>
      <w:r w:rsidRPr="00D5341B">
        <w:fldChar w:fldCharType="end"/>
      </w:r>
      <w:r w:rsidRPr="00D5341B">
        <w:t>); and</w:t>
      </w:r>
    </w:p>
    <w:p w14:paraId="5E0B0DEE" w14:textId="77777777" w:rsidR="00F67E9E" w:rsidRDefault="00F67E9E" w:rsidP="00F67E9E">
      <w:pPr>
        <w:pStyle w:val="Numbered111"/>
        <w:tabs>
          <w:tab w:val="clear" w:pos="1800"/>
          <w:tab w:val="num" w:pos="2160"/>
        </w:tabs>
      </w:pPr>
      <w:r w:rsidRPr="00D5341B">
        <w:t>where the Authority issues a conditional Milestone Achievement Certificate, it may (but shall not be obliged to) revise the failed Milestone Date and any subsequent Milestone Date.</w:t>
      </w:r>
    </w:p>
    <w:p w14:paraId="69225BB8" w14:textId="77777777" w:rsidR="00F67E9E" w:rsidRDefault="00F67E9E" w:rsidP="00F67E9E"/>
    <w:p w14:paraId="66259023" w14:textId="77777777" w:rsidR="00F67E9E" w:rsidRDefault="00F67E9E" w:rsidP="00F67E9E">
      <w:pPr>
        <w:pStyle w:val="Heading2"/>
        <w:pageBreakBefore/>
      </w:pPr>
      <w:bookmarkStart w:id="903" w:name="_Ref_ContractCompanion_9kb9Ur6C8"/>
      <w:bookmarkStart w:id="904" w:name="_Ref_ContractCompanion_9kb9Ur6CA"/>
      <w:bookmarkStart w:id="905" w:name="_Toc141711933"/>
      <w:r w:rsidRPr="00D5341B">
        <w:t xml:space="preserve">Annex </w:t>
      </w:r>
      <w:bookmarkStart w:id="906" w:name="ANNEX1_SCHEDULE14"/>
      <w:r w:rsidRPr="00D5341B">
        <w:t>1</w:t>
      </w:r>
      <w:bookmarkEnd w:id="906"/>
      <w:r w:rsidRPr="00D5341B">
        <w:t>: Test Issues – Severity Levels</w:t>
      </w:r>
      <w:bookmarkEnd w:id="903"/>
      <w:bookmarkEnd w:id="904"/>
      <w:bookmarkEnd w:id="905"/>
    </w:p>
    <w:p w14:paraId="4A1776F1" w14:textId="77777777" w:rsidR="00F67E9E" w:rsidRPr="00CB319E" w:rsidRDefault="00F67E9E" w:rsidP="00F67E9E">
      <w:pPr>
        <w:pStyle w:val="AppendixText1"/>
        <w:numPr>
          <w:ilvl w:val="0"/>
          <w:numId w:val="56"/>
        </w:numPr>
      </w:pPr>
      <w:r w:rsidRPr="00772237">
        <w:t>Severity</w:t>
      </w:r>
      <w:r w:rsidRPr="002404C6">
        <w:t xml:space="preserve"> Levels</w:t>
      </w:r>
    </w:p>
    <w:p w14:paraId="013AC86E" w14:textId="77777777" w:rsidR="00F67E9E" w:rsidRPr="00D5341B" w:rsidRDefault="00F67E9E" w:rsidP="00F67E9E">
      <w:pPr>
        <w:pStyle w:val="AppendixText2"/>
      </w:pPr>
      <w:r w:rsidRPr="002404C6">
        <w:rPr>
          <w:b/>
          <w:bCs/>
        </w:rPr>
        <w:t>Severity Level 1 Test Issue:</w:t>
      </w:r>
      <w:r w:rsidRPr="00D5341B">
        <w:t xml:space="preserve"> a Test Issue that causes non-recoverable conditions, e.g. it is not possible to continue using a Component, a Component crashes, there is database or file corruption, or data loss;</w:t>
      </w:r>
    </w:p>
    <w:p w14:paraId="4727E560" w14:textId="77777777" w:rsidR="00F67E9E" w:rsidRPr="00D5341B" w:rsidRDefault="00F67E9E" w:rsidP="00F67E9E">
      <w:pPr>
        <w:pStyle w:val="AppendixText2"/>
      </w:pPr>
      <w:r w:rsidRPr="002404C6">
        <w:rPr>
          <w:b/>
          <w:bCs/>
        </w:rPr>
        <w:t>Severity Level 2 Test Issue:</w:t>
      </w:r>
      <w:r w:rsidRPr="00D5341B">
        <w:t xml:space="preserve"> a Test Issue for which, as reasonably determined by the Authority, there is no practicable workaround available, and which:</w:t>
      </w:r>
    </w:p>
    <w:p w14:paraId="60975D4E" w14:textId="77777777" w:rsidR="00F67E9E" w:rsidRPr="00D5341B" w:rsidRDefault="00F67E9E" w:rsidP="00F67E9E">
      <w:pPr>
        <w:pStyle w:val="AppendixText3"/>
        <w:tabs>
          <w:tab w:val="clear" w:pos="1800"/>
          <w:tab w:val="num" w:pos="2160"/>
        </w:tabs>
      </w:pPr>
      <w:r w:rsidRPr="00D5341B">
        <w:t xml:space="preserve">causes a Component to become unusable; </w:t>
      </w:r>
    </w:p>
    <w:p w14:paraId="29E35EF1" w14:textId="77777777" w:rsidR="00F67E9E" w:rsidRPr="00D5341B" w:rsidRDefault="00F67E9E" w:rsidP="00F67E9E">
      <w:pPr>
        <w:pStyle w:val="AppendixText3"/>
        <w:tabs>
          <w:tab w:val="clear" w:pos="1800"/>
          <w:tab w:val="num" w:pos="2160"/>
        </w:tabs>
      </w:pPr>
      <w:r w:rsidRPr="00D5341B">
        <w:t xml:space="preserve">causes a lack of functionality, or unexpected functionality, that has an impact on the current Test; or </w:t>
      </w:r>
    </w:p>
    <w:p w14:paraId="12BE02B8" w14:textId="77777777" w:rsidR="00F67E9E" w:rsidRPr="00D5341B" w:rsidRDefault="00F67E9E" w:rsidP="00F67E9E">
      <w:pPr>
        <w:pStyle w:val="AppendixText3"/>
        <w:tabs>
          <w:tab w:val="clear" w:pos="1800"/>
          <w:tab w:val="num" w:pos="2160"/>
        </w:tabs>
      </w:pPr>
      <w:r w:rsidRPr="00D5341B">
        <w:t>has an adverse impact on any other Component(s) or any other area of the Services;</w:t>
      </w:r>
    </w:p>
    <w:p w14:paraId="1E7B050B" w14:textId="77777777" w:rsidR="00F67E9E" w:rsidRPr="00D5341B" w:rsidRDefault="00F67E9E" w:rsidP="00F67E9E">
      <w:pPr>
        <w:pStyle w:val="AppendixText2"/>
      </w:pPr>
      <w:r w:rsidRPr="00772237">
        <w:rPr>
          <w:b/>
          <w:bCs/>
        </w:rPr>
        <w:t>Severity Level 3 Test Issue:</w:t>
      </w:r>
      <w:r w:rsidRPr="00D5341B">
        <w:t xml:space="preserve"> a Test Issue which:</w:t>
      </w:r>
    </w:p>
    <w:p w14:paraId="707D3350" w14:textId="77777777" w:rsidR="00F67E9E" w:rsidRPr="00D5341B" w:rsidRDefault="00F67E9E" w:rsidP="00F67E9E">
      <w:pPr>
        <w:pStyle w:val="AppendixText3"/>
        <w:tabs>
          <w:tab w:val="clear" w:pos="1800"/>
          <w:tab w:val="num" w:pos="2160"/>
        </w:tabs>
      </w:pPr>
      <w:r w:rsidRPr="00D5341B">
        <w:t xml:space="preserve">causes a Component to become unusable; </w:t>
      </w:r>
    </w:p>
    <w:p w14:paraId="0E26665F" w14:textId="77777777" w:rsidR="00F67E9E" w:rsidRPr="00D5341B" w:rsidRDefault="00F67E9E" w:rsidP="00F67E9E">
      <w:pPr>
        <w:pStyle w:val="AppendixText3"/>
        <w:tabs>
          <w:tab w:val="clear" w:pos="1800"/>
          <w:tab w:val="num" w:pos="2160"/>
        </w:tabs>
      </w:pPr>
      <w:r w:rsidRPr="00D5341B">
        <w:t xml:space="preserve">causes a lack of functionality, or unexpected functionality, but which does not impact on the current Test; or </w:t>
      </w:r>
    </w:p>
    <w:p w14:paraId="723209F9" w14:textId="77777777" w:rsidR="00F67E9E" w:rsidRPr="00D5341B" w:rsidRDefault="00F67E9E" w:rsidP="00F67E9E">
      <w:pPr>
        <w:pStyle w:val="AppendixText3"/>
        <w:tabs>
          <w:tab w:val="clear" w:pos="1800"/>
          <w:tab w:val="num" w:pos="2160"/>
        </w:tabs>
      </w:pPr>
      <w:r w:rsidRPr="00D5341B">
        <w:t>has an impact on any other Component(s) or any other area of the Services;</w:t>
      </w:r>
    </w:p>
    <w:p w14:paraId="04B58FE5" w14:textId="77777777" w:rsidR="00F67E9E" w:rsidRPr="00D5341B" w:rsidRDefault="00F67E9E" w:rsidP="00F67E9E">
      <w:pPr>
        <w:pStyle w:val="StdBodyText1"/>
      </w:pPr>
      <w:r w:rsidRPr="00D5341B">
        <w:t>but for which, as reasonably determined by the Authority, there is a practicable workaround available;</w:t>
      </w:r>
    </w:p>
    <w:p w14:paraId="445DF02D" w14:textId="77777777" w:rsidR="00F67E9E" w:rsidRPr="00772237" w:rsidRDefault="00F67E9E" w:rsidP="00F67E9E">
      <w:pPr>
        <w:pStyle w:val="AppendixText2"/>
      </w:pPr>
      <w:r w:rsidRPr="002404C6">
        <w:rPr>
          <w:b/>
          <w:bCs/>
        </w:rPr>
        <w:t>Severity Level 4 Test Issue:</w:t>
      </w:r>
      <w:r w:rsidRPr="00D5341B">
        <w:t xml:space="preserve"> a Test Issue which causes incorrect functionality of a Component or process, but for which there is a simple, Component based, workaround, and which has no impact on the current Test, </w:t>
      </w:r>
      <w:r w:rsidRPr="00772237">
        <w:t>or other areas of the Services; and</w:t>
      </w:r>
    </w:p>
    <w:p w14:paraId="62D3B9B9" w14:textId="77777777" w:rsidR="00F67E9E" w:rsidRPr="002E7013" w:rsidRDefault="00F67E9E" w:rsidP="00F67E9E">
      <w:pPr>
        <w:pStyle w:val="AppendixText2"/>
        <w:rPr>
          <w:bCs/>
        </w:rPr>
      </w:pPr>
      <w:r w:rsidRPr="00772237">
        <w:rPr>
          <w:b/>
          <w:bCs/>
        </w:rPr>
        <w:t>Severity Level 5 Test Issue:</w:t>
      </w:r>
      <w:r w:rsidRPr="00772237">
        <w:t xml:space="preserve"> a Test Issue that</w:t>
      </w:r>
      <w:r w:rsidRPr="00D5341B">
        <w:t xml:space="preserve"> causes a minor problem, for which no workaround is required, and which has no impact on the current Test, or other areas of the Services</w:t>
      </w:r>
      <w:r>
        <w:t>.</w:t>
      </w:r>
    </w:p>
    <w:p w14:paraId="6F88E411" w14:textId="77777777" w:rsidR="00F67E9E" w:rsidRDefault="00F67E9E" w:rsidP="00F67E9E"/>
    <w:p w14:paraId="71A255A9" w14:textId="77777777" w:rsidR="00F67E9E" w:rsidRDefault="00F67E9E" w:rsidP="00F67E9E">
      <w:pPr>
        <w:pStyle w:val="Heading2"/>
        <w:pageBreakBefore/>
      </w:pPr>
      <w:bookmarkStart w:id="907" w:name="_Ref92443766"/>
      <w:bookmarkStart w:id="908" w:name="_Toc141711934"/>
      <w:r w:rsidRPr="00D5341B">
        <w:t xml:space="preserve">Annex </w:t>
      </w:r>
      <w:bookmarkStart w:id="909" w:name="ANNEX2_SCHEDULE14"/>
      <w:r w:rsidRPr="00D5341B">
        <w:t>2</w:t>
      </w:r>
      <w:bookmarkEnd w:id="909"/>
      <w:r w:rsidRPr="00D5341B">
        <w:t>: Test</w:t>
      </w:r>
      <w:r w:rsidRPr="00F11CD2">
        <w:t xml:space="preserve"> Certificate</w:t>
      </w:r>
      <w:bookmarkEnd w:id="907"/>
      <w:bookmarkEnd w:id="908"/>
    </w:p>
    <w:p w14:paraId="7BBD2D67" w14:textId="77777777" w:rsidR="00F67E9E" w:rsidRPr="003053E3" w:rsidRDefault="00F67E9E" w:rsidP="00F67E9E">
      <w:pPr>
        <w:pStyle w:val="StdBodyText"/>
      </w:pPr>
      <w:r w:rsidRPr="003053E3">
        <w:t>To:</w:t>
      </w:r>
      <w:r w:rsidRPr="003053E3">
        <w:tab/>
      </w:r>
      <w:r w:rsidRPr="003053E3">
        <w:tab/>
      </w:r>
      <w:r w:rsidRPr="003053E3">
        <w:rPr>
          <w:highlight w:val="yellow"/>
        </w:rPr>
        <w:t>[</w:t>
      </w:r>
      <w:r w:rsidRPr="003053E3">
        <w:rPr>
          <w:rStyle w:val="StdBodyTextBoldChar"/>
          <w:b w:val="0"/>
          <w:bCs/>
          <w:highlight w:val="yellow"/>
        </w:rPr>
        <w:t>Name of Supplier</w:t>
      </w:r>
      <w:r w:rsidRPr="003053E3">
        <w:rPr>
          <w:highlight w:val="yellow"/>
        </w:rPr>
        <w:t>]</w:t>
      </w:r>
    </w:p>
    <w:p w14:paraId="2383AFBF" w14:textId="77777777" w:rsidR="00F67E9E" w:rsidRPr="003053E3" w:rsidRDefault="00F67E9E" w:rsidP="00F67E9E">
      <w:pPr>
        <w:pStyle w:val="StdBodyText"/>
      </w:pPr>
      <w:r w:rsidRPr="003053E3">
        <w:t>From:</w:t>
      </w:r>
      <w:r w:rsidRPr="003053E3">
        <w:tab/>
      </w:r>
      <w:r w:rsidRPr="003053E3">
        <w:tab/>
      </w:r>
      <w:r w:rsidRPr="003053E3">
        <w:rPr>
          <w:highlight w:val="yellow"/>
        </w:rPr>
        <w:t>[</w:t>
      </w:r>
      <w:r w:rsidRPr="003053E3">
        <w:rPr>
          <w:rStyle w:val="StdBodyTextBoldChar"/>
          <w:b w:val="0"/>
          <w:bCs/>
          <w:highlight w:val="yellow"/>
        </w:rPr>
        <w:t>Name of Authority</w:t>
      </w:r>
      <w:r w:rsidRPr="003053E3">
        <w:rPr>
          <w:highlight w:val="yellow"/>
        </w:rPr>
        <w:t>]</w:t>
      </w:r>
    </w:p>
    <w:p w14:paraId="0DF9F873" w14:textId="77777777" w:rsidR="00F67E9E" w:rsidRPr="003053E3" w:rsidRDefault="00F67E9E" w:rsidP="00F67E9E">
      <w:pPr>
        <w:pStyle w:val="StdBodyText"/>
        <w:rPr>
          <w:highlight w:val="yellow"/>
        </w:rPr>
      </w:pPr>
      <w:r w:rsidRPr="003053E3">
        <w:rPr>
          <w:highlight w:val="yellow"/>
        </w:rPr>
        <w:t>[</w:t>
      </w:r>
      <w:r w:rsidRPr="003053E3">
        <w:rPr>
          <w:rStyle w:val="StdBodyTextBoldChar"/>
          <w:b w:val="0"/>
          <w:bCs/>
          <w:highlight w:val="yellow"/>
        </w:rPr>
        <w:t>Date</w:t>
      </w:r>
      <w:r w:rsidRPr="003053E3">
        <w:rPr>
          <w:highlight w:val="yellow"/>
        </w:rPr>
        <w:t>]</w:t>
      </w:r>
    </w:p>
    <w:p w14:paraId="49BD00E2" w14:textId="77777777" w:rsidR="00F67E9E" w:rsidRPr="005F1047" w:rsidRDefault="00F67E9E" w:rsidP="00F67E9E">
      <w:pPr>
        <w:pStyle w:val="StdBodyText"/>
      </w:pPr>
      <w:r w:rsidRPr="005F1047">
        <w:t>Dear Sirs,</w:t>
      </w:r>
    </w:p>
    <w:p w14:paraId="72D7C546" w14:textId="77777777" w:rsidR="00F67E9E" w:rsidRPr="005F1047" w:rsidRDefault="00F67E9E" w:rsidP="00F67E9E">
      <w:r w:rsidRPr="005F1047">
        <w:t>TEST CERTIFICATE</w:t>
      </w:r>
    </w:p>
    <w:p w14:paraId="5AB81334" w14:textId="77777777" w:rsidR="00F67E9E" w:rsidRPr="005F1047" w:rsidRDefault="00F67E9E" w:rsidP="00F67E9E">
      <w:pPr>
        <w:pStyle w:val="StdBodyText"/>
        <w:rPr>
          <w:highlight w:val="yellow"/>
        </w:rPr>
      </w:pPr>
      <w:r w:rsidRPr="005F1047">
        <w:t>Deliverables:</w:t>
      </w:r>
      <w:r w:rsidRPr="003053E3">
        <w:t xml:space="preserve"> </w:t>
      </w:r>
      <w:r w:rsidRPr="00B73DD6">
        <w:rPr>
          <w:b/>
          <w:highlight w:val="yellow"/>
        </w:rPr>
        <w:t>[insert</w:t>
      </w:r>
      <w:r w:rsidRPr="003053E3">
        <w:rPr>
          <w:rStyle w:val="StdBodyTextBoldChar"/>
          <w:b w:val="0"/>
          <w:bCs/>
          <w:highlight w:val="yellow"/>
        </w:rPr>
        <w:t xml:space="preserve"> description of Deliverables</w:t>
      </w:r>
      <w:r w:rsidRPr="003053E3">
        <w:rPr>
          <w:highlight w:val="yellow"/>
        </w:rPr>
        <w:t>]</w:t>
      </w:r>
    </w:p>
    <w:p w14:paraId="62C586A2" w14:textId="77777777" w:rsidR="00F67E9E" w:rsidRPr="005F1047" w:rsidRDefault="00F67E9E" w:rsidP="00F67E9E">
      <w:pPr>
        <w:pStyle w:val="StdBodyText"/>
      </w:pPr>
      <w:r w:rsidRPr="005F1047">
        <w:t>We refer to the agreement (the “</w:t>
      </w:r>
      <w:r w:rsidRPr="005F1047">
        <w:rPr>
          <w:rStyle w:val="StdBodyTextBoldChar"/>
        </w:rPr>
        <w:t>Contract</w:t>
      </w:r>
      <w:r w:rsidRPr="005F1047">
        <w:t xml:space="preserve">”) relating to the provision of the Services between the </w:t>
      </w:r>
      <w:r w:rsidRPr="003053E3">
        <w:rPr>
          <w:highlight w:val="yellow"/>
        </w:rPr>
        <w:t>[</w:t>
      </w:r>
      <w:r w:rsidRPr="003053E3">
        <w:rPr>
          <w:rStyle w:val="StdBodyTextBoldChar"/>
          <w:b w:val="0"/>
          <w:bCs/>
          <w:highlight w:val="yellow"/>
        </w:rPr>
        <w:t>name of Authority</w:t>
      </w:r>
      <w:r w:rsidRPr="003053E3">
        <w:rPr>
          <w:highlight w:val="yellow"/>
        </w:rPr>
        <w:t>]</w:t>
      </w:r>
      <w:r w:rsidRPr="005F1047">
        <w:t xml:space="preserve"> (the “</w:t>
      </w:r>
      <w:r w:rsidRPr="005F1047">
        <w:rPr>
          <w:rStyle w:val="StdBodyTextBoldChar"/>
        </w:rPr>
        <w:t>Authority</w:t>
      </w:r>
      <w:r w:rsidRPr="005F1047">
        <w:t xml:space="preserve">”) and </w:t>
      </w:r>
      <w:r w:rsidRPr="003053E3">
        <w:rPr>
          <w:highlight w:val="yellow"/>
        </w:rPr>
        <w:t>[</w:t>
      </w:r>
      <w:r w:rsidRPr="003053E3">
        <w:rPr>
          <w:rStyle w:val="StdBodyTextBoldChar"/>
          <w:b w:val="0"/>
          <w:bCs/>
          <w:highlight w:val="yellow"/>
        </w:rPr>
        <w:t>name of Supplier</w:t>
      </w:r>
      <w:r w:rsidRPr="003053E3">
        <w:rPr>
          <w:highlight w:val="yellow"/>
        </w:rPr>
        <w:t>]</w:t>
      </w:r>
      <w:r w:rsidRPr="005F1047">
        <w:t xml:space="preserve"> (the “</w:t>
      </w:r>
      <w:r w:rsidRPr="005F1047">
        <w:rPr>
          <w:rStyle w:val="StdBodyTextBoldChar"/>
        </w:rPr>
        <w:t>Supplier</w:t>
      </w:r>
      <w:r w:rsidRPr="005F1047">
        <w:t xml:space="preserve">”) dated </w:t>
      </w:r>
      <w:r w:rsidRPr="003053E3">
        <w:rPr>
          <w:highlight w:val="yellow"/>
        </w:rPr>
        <w:t>[</w:t>
      </w:r>
      <w:r w:rsidRPr="003053E3">
        <w:rPr>
          <w:rStyle w:val="StdBodyTextBoldChar"/>
          <w:b w:val="0"/>
          <w:bCs/>
          <w:highlight w:val="yellow"/>
        </w:rPr>
        <w:t>date</w:t>
      </w:r>
      <w:r w:rsidRPr="005F1047">
        <w:rPr>
          <w:highlight w:val="yellow"/>
        </w:rPr>
        <w:t>]</w:t>
      </w:r>
      <w:r w:rsidRPr="005F1047">
        <w:t>.</w:t>
      </w:r>
    </w:p>
    <w:p w14:paraId="4ECADF66" w14:textId="5D0D4513" w:rsidR="00F67E9E" w:rsidRDefault="00F67E9E" w:rsidP="00F67E9E">
      <w:pPr>
        <w:pStyle w:val="StdBodyText"/>
      </w:pPr>
      <w:r>
        <w:t xml:space="preserve">Capitalised terms used in this certificate have the meanings given to them in </w:t>
      </w:r>
      <w:r>
        <w:fldChar w:fldCharType="begin"/>
      </w:r>
      <w:r>
        <w:instrText xml:space="preserve"> REF Schedule1 \h </w:instrText>
      </w:r>
      <w:r>
        <w:fldChar w:fldCharType="separate"/>
      </w:r>
      <w:r w:rsidR="00302D39" w:rsidRPr="00724541">
        <w:t>Schedule</w:t>
      </w:r>
      <w:r w:rsidR="00302D39">
        <w:t> </w:t>
      </w:r>
      <w:r w:rsidR="00302D39" w:rsidRPr="00724541">
        <w:t>1</w:t>
      </w:r>
      <w:r>
        <w:fldChar w:fldCharType="end"/>
      </w:r>
      <w:r w:rsidRPr="00724541">
        <w:t xml:space="preserve"> (</w:t>
      </w:r>
      <w:r w:rsidRPr="0087475A">
        <w:rPr>
          <w:i/>
          <w:iCs/>
        </w:rPr>
        <w:fldChar w:fldCharType="begin"/>
      </w:r>
      <w:r w:rsidRPr="0087475A">
        <w:rPr>
          <w:i/>
          <w:iCs/>
        </w:rPr>
        <w:instrText xml:space="preserve"> REF Schedule1Heading \h  \* MERGEFORMAT </w:instrText>
      </w:r>
      <w:r w:rsidRPr="0087475A">
        <w:rPr>
          <w:i/>
          <w:iCs/>
        </w:rPr>
      </w:r>
      <w:r w:rsidRPr="0087475A">
        <w:rPr>
          <w:i/>
          <w:iCs/>
        </w:rPr>
        <w:fldChar w:fldCharType="separate"/>
      </w:r>
      <w:r w:rsidR="00302D39" w:rsidRPr="00302D39">
        <w:rPr>
          <w:i/>
          <w:iCs/>
        </w:rPr>
        <w:t>Definitions</w:t>
      </w:r>
      <w:r w:rsidRPr="0087475A">
        <w:rPr>
          <w:i/>
          <w:iCs/>
        </w:rPr>
        <w:fldChar w:fldCharType="end"/>
      </w:r>
      <w:r w:rsidRPr="00724541">
        <w:t>)</w:t>
      </w:r>
      <w:r>
        <w:t xml:space="preserve"> or </w:t>
      </w:r>
      <w:r>
        <w:rPr>
          <w:rFonts w:cs="Arial"/>
        </w:rPr>
        <w:fldChar w:fldCharType="begin"/>
      </w:r>
      <w:r>
        <w:rPr>
          <w:rFonts w:cs="Arial"/>
        </w:rPr>
        <w:instrText xml:space="preserve"> REF Schedule14 \h </w:instrText>
      </w:r>
      <w:r>
        <w:rPr>
          <w:rFonts w:cs="Arial"/>
        </w:rPr>
      </w:r>
      <w:r>
        <w:rPr>
          <w:rFonts w:cs="Arial"/>
        </w:rPr>
        <w:fldChar w:fldCharType="separate"/>
      </w:r>
      <w:r w:rsidR="00302D39" w:rsidRPr="005D0525">
        <w:t>Schedule</w:t>
      </w:r>
      <w:r w:rsidR="00302D39">
        <w:t> </w:t>
      </w:r>
      <w:r w:rsidR="00302D39" w:rsidRPr="005D0525">
        <w:t>14</w:t>
      </w:r>
      <w:r>
        <w:rPr>
          <w:rFonts w:cs="Arial"/>
        </w:rPr>
        <w:fldChar w:fldCharType="end"/>
      </w:r>
      <w:r>
        <w:rPr>
          <w:rFonts w:cs="Arial"/>
        </w:rPr>
        <w:t xml:space="preserve"> (</w:t>
      </w:r>
      <w:r w:rsidRPr="00B91437">
        <w:rPr>
          <w:rFonts w:cs="Arial"/>
          <w:i/>
          <w:iCs/>
        </w:rPr>
        <w:fldChar w:fldCharType="begin"/>
      </w:r>
      <w:r w:rsidRPr="00B91437">
        <w:rPr>
          <w:rFonts w:cs="Arial"/>
          <w:i/>
          <w:iCs/>
        </w:rPr>
        <w:instrText xml:space="preserve"> REF Schedule14Heading \h </w:instrText>
      </w:r>
      <w:r>
        <w:rPr>
          <w:rFonts w:cs="Arial"/>
          <w:i/>
          <w:iCs/>
        </w:rPr>
        <w:instrText xml:space="preserve"> \* MERGEFORMAT </w:instrText>
      </w:r>
      <w:r w:rsidRPr="00B91437">
        <w:rPr>
          <w:rFonts w:cs="Arial"/>
          <w:i/>
          <w:iCs/>
        </w:rPr>
      </w:r>
      <w:r w:rsidRPr="00B91437">
        <w:rPr>
          <w:rFonts w:cs="Arial"/>
          <w:i/>
          <w:iCs/>
        </w:rPr>
        <w:fldChar w:fldCharType="separate"/>
      </w:r>
      <w:r w:rsidR="00302D39" w:rsidRPr="00302D39">
        <w:rPr>
          <w:i/>
          <w:iCs/>
        </w:rPr>
        <w:t>Testing Procedures</w:t>
      </w:r>
      <w:r w:rsidRPr="00B91437">
        <w:rPr>
          <w:rFonts w:cs="Arial"/>
          <w:i/>
          <w:iCs/>
        </w:rPr>
        <w:fldChar w:fldCharType="end"/>
      </w:r>
      <w:r>
        <w:rPr>
          <w:rFonts w:cs="Arial"/>
        </w:rPr>
        <w:t>)</w:t>
      </w:r>
      <w:r>
        <w:t xml:space="preserve"> of </w:t>
      </w:r>
      <w:r w:rsidRPr="00D5341B">
        <w:t>the Contract.</w:t>
      </w:r>
    </w:p>
    <w:p w14:paraId="57E93122" w14:textId="77777777" w:rsidR="00F67E9E" w:rsidRDefault="00F67E9E" w:rsidP="00F67E9E">
      <w:pPr>
        <w:pStyle w:val="StdBodyText"/>
      </w:pPr>
      <w:r w:rsidRPr="002C07B6">
        <w:rPr>
          <w:highlight w:val="yellow"/>
        </w:rPr>
        <w:t>[We confirm that the Deliverables listed above have been tested successfully in accordance with the Test Plan relevant to those Deliverables.]</w:t>
      </w:r>
    </w:p>
    <w:p w14:paraId="280EC077" w14:textId="77777777" w:rsidR="00F67E9E" w:rsidRDefault="00F67E9E" w:rsidP="00F67E9E">
      <w:pPr>
        <w:pStyle w:val="StdBodyTextBold"/>
      </w:pPr>
      <w:r>
        <w:t>OR</w:t>
      </w:r>
    </w:p>
    <w:p w14:paraId="58FA6A46" w14:textId="6F0FA427" w:rsidR="00F67E9E" w:rsidRPr="002C07B6" w:rsidRDefault="00F67E9E" w:rsidP="00F67E9E">
      <w:pPr>
        <w:pStyle w:val="StdBodyText"/>
        <w:rPr>
          <w:highlight w:val="yellow"/>
        </w:rPr>
      </w:pPr>
      <w:r w:rsidRPr="00B91437">
        <w:rPr>
          <w:highlight w:val="yellow"/>
        </w:rPr>
        <w:t xml:space="preserve">[This </w:t>
      </w:r>
      <w:bookmarkStart w:id="910" w:name="_9kMHzG6ZWu5DFAFLjPvBWCyE6tusl38"/>
      <w:r w:rsidRPr="00B91437">
        <w:rPr>
          <w:highlight w:val="yellow"/>
        </w:rPr>
        <w:t>Test Certificate</w:t>
      </w:r>
      <w:bookmarkEnd w:id="910"/>
      <w:r w:rsidRPr="00B91437">
        <w:rPr>
          <w:highlight w:val="yellow"/>
        </w:rPr>
        <w:t xml:space="preserve"> is issued pursuant to </w:t>
      </w:r>
      <w:bookmarkStart w:id="911" w:name="_9kR3WTr2CC5BJeEnoewrqyBKL"/>
      <w:r w:rsidRPr="00B91437">
        <w:rPr>
          <w:highlight w:val="yellow"/>
        </w:rPr>
        <w:t xml:space="preserve">Paragraph </w:t>
      </w:r>
      <w:bookmarkEnd w:id="911"/>
      <w:r w:rsidRPr="00B91437">
        <w:rPr>
          <w:highlight w:val="yellow"/>
        </w:rPr>
        <w:fldChar w:fldCharType="begin"/>
      </w:r>
      <w:r w:rsidRPr="00B91437">
        <w:rPr>
          <w:highlight w:val="yellow"/>
        </w:rPr>
        <w:instrText xml:space="preserve"> REF _Ref_ContractCompanion_9kb9Ur17D \w \h  \* MERGEFORMAT </w:instrText>
      </w:r>
      <w:r w:rsidRPr="00B91437">
        <w:rPr>
          <w:highlight w:val="yellow"/>
        </w:rPr>
      </w:r>
      <w:r w:rsidRPr="00B91437">
        <w:rPr>
          <w:highlight w:val="yellow"/>
        </w:rPr>
        <w:fldChar w:fldCharType="separate"/>
      </w:r>
      <w:r w:rsidR="00302D39">
        <w:rPr>
          <w:highlight w:val="yellow"/>
        </w:rPr>
        <w:t>12.1</w:t>
      </w:r>
      <w:r w:rsidRPr="00B91437">
        <w:rPr>
          <w:highlight w:val="yellow"/>
        </w:rPr>
        <w:fldChar w:fldCharType="end"/>
      </w:r>
      <w:r w:rsidRPr="00B91437">
        <w:rPr>
          <w:highlight w:val="yellow"/>
        </w:rPr>
        <w:t xml:space="preserve"> of </w:t>
      </w:r>
      <w:r w:rsidRPr="00B91437">
        <w:rPr>
          <w:rFonts w:cs="Arial"/>
          <w:highlight w:val="yellow"/>
        </w:rPr>
        <w:fldChar w:fldCharType="begin"/>
      </w:r>
      <w:r w:rsidRPr="00B91437">
        <w:rPr>
          <w:rFonts w:cs="Arial"/>
          <w:highlight w:val="yellow"/>
        </w:rPr>
        <w:instrText xml:space="preserve"> REF Schedule14 \h </w:instrText>
      </w:r>
      <w:r>
        <w:rPr>
          <w:rFonts w:cs="Arial"/>
          <w:highlight w:val="yellow"/>
        </w:rPr>
        <w:instrText xml:space="preserve"> \* MERGEFORMAT </w:instrText>
      </w:r>
      <w:r w:rsidRPr="00B91437">
        <w:rPr>
          <w:rFonts w:cs="Arial"/>
          <w:highlight w:val="yellow"/>
        </w:rPr>
      </w:r>
      <w:r w:rsidRPr="00B91437">
        <w:rPr>
          <w:rFonts w:cs="Arial"/>
          <w:highlight w:val="yellow"/>
        </w:rPr>
        <w:fldChar w:fldCharType="separate"/>
      </w:r>
      <w:r w:rsidR="00302D39" w:rsidRPr="00302D39">
        <w:rPr>
          <w:highlight w:val="yellow"/>
        </w:rPr>
        <w:t>Schedule 14</w:t>
      </w:r>
      <w:r w:rsidRPr="00B91437">
        <w:rPr>
          <w:rFonts w:cs="Arial"/>
          <w:highlight w:val="yellow"/>
        </w:rPr>
        <w:fldChar w:fldCharType="end"/>
      </w:r>
      <w:r w:rsidRPr="00B91437">
        <w:rPr>
          <w:rFonts w:cs="Arial"/>
          <w:highlight w:val="yellow"/>
        </w:rPr>
        <w:t xml:space="preserve"> (</w:t>
      </w:r>
      <w:r w:rsidRPr="00B91437">
        <w:rPr>
          <w:rFonts w:cs="Arial"/>
          <w:i/>
          <w:iCs/>
          <w:highlight w:val="yellow"/>
        </w:rPr>
        <w:fldChar w:fldCharType="begin"/>
      </w:r>
      <w:r w:rsidRPr="00B91437">
        <w:rPr>
          <w:rFonts w:cs="Arial"/>
          <w:i/>
          <w:iCs/>
          <w:highlight w:val="yellow"/>
        </w:rPr>
        <w:instrText xml:space="preserve"> REF Schedule14Heading \h  \* MERGEFORMAT </w:instrText>
      </w:r>
      <w:r w:rsidRPr="00B91437">
        <w:rPr>
          <w:rFonts w:cs="Arial"/>
          <w:i/>
          <w:iCs/>
          <w:highlight w:val="yellow"/>
        </w:rPr>
      </w:r>
      <w:r w:rsidRPr="00B91437">
        <w:rPr>
          <w:rFonts w:cs="Arial"/>
          <w:i/>
          <w:iCs/>
          <w:highlight w:val="yellow"/>
        </w:rPr>
        <w:fldChar w:fldCharType="separate"/>
      </w:r>
      <w:r w:rsidR="00302D39" w:rsidRPr="00302D39">
        <w:rPr>
          <w:i/>
          <w:iCs/>
          <w:highlight w:val="yellow"/>
        </w:rPr>
        <w:t>Testing Procedures</w:t>
      </w:r>
      <w:r w:rsidRPr="00B91437">
        <w:rPr>
          <w:rFonts w:cs="Arial"/>
          <w:i/>
          <w:iCs/>
          <w:highlight w:val="yellow"/>
        </w:rPr>
        <w:fldChar w:fldCharType="end"/>
      </w:r>
      <w:r w:rsidRPr="00B91437">
        <w:rPr>
          <w:rFonts w:cs="Arial"/>
          <w:highlight w:val="yellow"/>
        </w:rPr>
        <w:t>)</w:t>
      </w:r>
      <w:r w:rsidRPr="005F1047">
        <w:rPr>
          <w:highlight w:val="yellow"/>
        </w:rPr>
        <w:t xml:space="preserve"> </w:t>
      </w:r>
      <w:r w:rsidRPr="002C07B6">
        <w:rPr>
          <w:highlight w:val="yellow"/>
        </w:rPr>
        <w:t xml:space="preserve">of the </w:t>
      </w:r>
      <w:r w:rsidRPr="00D5341B">
        <w:rPr>
          <w:highlight w:val="yellow"/>
        </w:rPr>
        <w:t xml:space="preserve">Contract on the condition that any Test Issues are remedied in accordance with the Rectification Plan </w:t>
      </w:r>
      <w:r w:rsidRPr="002C07B6">
        <w:rPr>
          <w:highlight w:val="yellow"/>
        </w:rPr>
        <w:t>attached to this certificate.]*</w:t>
      </w:r>
    </w:p>
    <w:p w14:paraId="19CBDF7E" w14:textId="77777777" w:rsidR="00F67E9E" w:rsidRPr="005F1047" w:rsidRDefault="00F67E9E" w:rsidP="00F67E9E">
      <w:pPr>
        <w:pStyle w:val="StdBodyText"/>
        <w:rPr>
          <w:iCs/>
        </w:rPr>
      </w:pPr>
      <w:r w:rsidRPr="00800E0D">
        <w:rPr>
          <w:i/>
        </w:rPr>
        <w:t>*delete as appropriate</w:t>
      </w:r>
    </w:p>
    <w:p w14:paraId="3D499301" w14:textId="77777777" w:rsidR="00F67E9E" w:rsidRDefault="00F67E9E" w:rsidP="00F67E9E">
      <w:pPr>
        <w:pStyle w:val="StdBodyText"/>
      </w:pPr>
      <w:r>
        <w:t>Yours faithfully</w:t>
      </w:r>
    </w:p>
    <w:p w14:paraId="4A9969F9" w14:textId="77777777" w:rsidR="00F67E9E" w:rsidRPr="003053E3" w:rsidRDefault="00F67E9E" w:rsidP="00F67E9E">
      <w:pPr>
        <w:pStyle w:val="StdBodyText"/>
        <w:rPr>
          <w:highlight w:val="yellow"/>
        </w:rPr>
      </w:pPr>
      <w:r w:rsidRPr="003053E3">
        <w:rPr>
          <w:highlight w:val="yellow"/>
        </w:rPr>
        <w:t>[</w:t>
      </w:r>
      <w:r w:rsidRPr="003053E3">
        <w:rPr>
          <w:rStyle w:val="StdBodyTextBoldChar"/>
          <w:b w:val="0"/>
          <w:bCs/>
          <w:iCs/>
          <w:highlight w:val="yellow"/>
        </w:rPr>
        <w:t>Name</w:t>
      </w:r>
      <w:r w:rsidRPr="003053E3">
        <w:rPr>
          <w:highlight w:val="yellow"/>
        </w:rPr>
        <w:t>]</w:t>
      </w:r>
    </w:p>
    <w:p w14:paraId="7A8362C6" w14:textId="77777777" w:rsidR="00F67E9E" w:rsidRPr="003053E3" w:rsidRDefault="00F67E9E" w:rsidP="00F67E9E">
      <w:pPr>
        <w:pStyle w:val="StdBodyText"/>
        <w:rPr>
          <w:highlight w:val="yellow"/>
        </w:rPr>
      </w:pPr>
      <w:r w:rsidRPr="003053E3">
        <w:rPr>
          <w:highlight w:val="yellow"/>
        </w:rPr>
        <w:t>[</w:t>
      </w:r>
      <w:r w:rsidRPr="003053E3">
        <w:rPr>
          <w:rStyle w:val="StdBodyTextBoldChar"/>
          <w:b w:val="0"/>
          <w:bCs/>
          <w:iCs/>
          <w:highlight w:val="yellow"/>
        </w:rPr>
        <w:t>Position</w:t>
      </w:r>
      <w:r w:rsidRPr="003053E3">
        <w:rPr>
          <w:highlight w:val="yellow"/>
        </w:rPr>
        <w:t>]</w:t>
      </w:r>
    </w:p>
    <w:p w14:paraId="1D7146A9" w14:textId="77777777" w:rsidR="00F67E9E" w:rsidRDefault="00F67E9E" w:rsidP="00F67E9E">
      <w:pPr>
        <w:pStyle w:val="StdBodyText"/>
        <w:rPr>
          <w:highlight w:val="yellow"/>
        </w:rPr>
      </w:pPr>
      <w:r>
        <w:t xml:space="preserve">acting on behalf of </w:t>
      </w:r>
      <w:r w:rsidRPr="002C07B6">
        <w:rPr>
          <w:highlight w:val="yellow"/>
        </w:rPr>
        <w:t>[</w:t>
      </w:r>
      <w:r w:rsidRPr="003053E3">
        <w:rPr>
          <w:rStyle w:val="StdBodyTextBoldChar"/>
          <w:b w:val="0"/>
          <w:bCs/>
          <w:iCs/>
          <w:highlight w:val="yellow"/>
        </w:rPr>
        <w:t>name of Authority</w:t>
      </w:r>
      <w:r w:rsidRPr="002C07B6">
        <w:rPr>
          <w:highlight w:val="yellow"/>
        </w:rPr>
        <w:t>]</w:t>
      </w:r>
    </w:p>
    <w:p w14:paraId="1DB07745" w14:textId="77777777" w:rsidR="00F67E9E" w:rsidRDefault="00F67E9E" w:rsidP="00F67E9E">
      <w:pPr>
        <w:rPr>
          <w:highlight w:val="yellow"/>
        </w:rPr>
      </w:pPr>
    </w:p>
    <w:p w14:paraId="15DC5C8C" w14:textId="77777777" w:rsidR="00F67E9E" w:rsidRDefault="00F67E9E" w:rsidP="00F67E9E">
      <w:pPr>
        <w:pStyle w:val="Heading2"/>
        <w:pageBreakBefore/>
      </w:pPr>
      <w:bookmarkStart w:id="912" w:name="_Ref44510021"/>
      <w:bookmarkStart w:id="913" w:name="_Toc141711935"/>
      <w:r w:rsidRPr="00D5341B">
        <w:t xml:space="preserve">Annex </w:t>
      </w:r>
      <w:bookmarkStart w:id="914" w:name="ANNEX3_SCHEDULE14"/>
      <w:r w:rsidRPr="00D5341B">
        <w:t>3</w:t>
      </w:r>
      <w:bookmarkEnd w:id="914"/>
      <w:r w:rsidRPr="00D5341B">
        <w:t>: Milestone</w:t>
      </w:r>
      <w:r w:rsidRPr="00F11CD2">
        <w:t xml:space="preserve"> Achievement Certificate</w:t>
      </w:r>
      <w:bookmarkEnd w:id="912"/>
      <w:bookmarkEnd w:id="913"/>
    </w:p>
    <w:p w14:paraId="41D72F77" w14:textId="77777777" w:rsidR="00F67E9E" w:rsidRDefault="00F67E9E" w:rsidP="00F67E9E">
      <w:pPr>
        <w:pStyle w:val="StdBodyText"/>
      </w:pPr>
      <w:r>
        <w:t>To:</w:t>
      </w:r>
      <w:r>
        <w:tab/>
      </w:r>
      <w:r>
        <w:tab/>
      </w:r>
      <w:r w:rsidRPr="002C07B6">
        <w:rPr>
          <w:highlight w:val="yellow"/>
        </w:rPr>
        <w:t>[</w:t>
      </w:r>
      <w:r w:rsidRPr="003053E3">
        <w:rPr>
          <w:rStyle w:val="StdBodyTextBoldChar"/>
          <w:b w:val="0"/>
          <w:bCs/>
          <w:iCs/>
          <w:highlight w:val="yellow"/>
        </w:rPr>
        <w:t>Name of Supplier</w:t>
      </w:r>
      <w:r w:rsidRPr="002C07B6">
        <w:rPr>
          <w:highlight w:val="yellow"/>
        </w:rPr>
        <w:t>]</w:t>
      </w:r>
    </w:p>
    <w:p w14:paraId="7744C271" w14:textId="77777777" w:rsidR="00F67E9E" w:rsidRDefault="00F67E9E" w:rsidP="00F67E9E">
      <w:pPr>
        <w:pStyle w:val="StdBodyText"/>
      </w:pPr>
      <w:r>
        <w:t>From:</w:t>
      </w:r>
      <w:r>
        <w:tab/>
      </w:r>
      <w:r>
        <w:tab/>
      </w:r>
      <w:r w:rsidRPr="002C07B6">
        <w:rPr>
          <w:highlight w:val="yellow"/>
        </w:rPr>
        <w:t>[</w:t>
      </w:r>
      <w:r w:rsidRPr="003053E3">
        <w:rPr>
          <w:rStyle w:val="StdBodyTextBoldChar"/>
          <w:b w:val="0"/>
          <w:bCs/>
          <w:iCs/>
          <w:highlight w:val="yellow"/>
        </w:rPr>
        <w:t>Name of Authority</w:t>
      </w:r>
      <w:r w:rsidRPr="002C07B6">
        <w:rPr>
          <w:highlight w:val="yellow"/>
        </w:rPr>
        <w:t>]</w:t>
      </w:r>
    </w:p>
    <w:p w14:paraId="23E45D91" w14:textId="77777777" w:rsidR="00F67E9E" w:rsidRPr="002C07B6" w:rsidRDefault="00F67E9E" w:rsidP="00F67E9E">
      <w:pPr>
        <w:pStyle w:val="StdBodyText"/>
        <w:rPr>
          <w:highlight w:val="yellow"/>
        </w:rPr>
      </w:pPr>
      <w:r w:rsidRPr="002C07B6">
        <w:rPr>
          <w:highlight w:val="yellow"/>
        </w:rPr>
        <w:t>[</w:t>
      </w:r>
      <w:r w:rsidRPr="003053E3">
        <w:rPr>
          <w:rStyle w:val="StdBodyTextBoldChar"/>
          <w:b w:val="0"/>
          <w:bCs/>
          <w:iCs/>
          <w:highlight w:val="yellow"/>
        </w:rPr>
        <w:t>Date</w:t>
      </w:r>
      <w:r w:rsidRPr="002C07B6">
        <w:rPr>
          <w:highlight w:val="yellow"/>
        </w:rPr>
        <w:t>]</w:t>
      </w:r>
    </w:p>
    <w:p w14:paraId="0AE6488A" w14:textId="77777777" w:rsidR="00F67E9E" w:rsidRDefault="00F67E9E" w:rsidP="00F67E9E">
      <w:pPr>
        <w:pStyle w:val="StdBodyText"/>
      </w:pPr>
      <w:r>
        <w:t>Dear Sirs,</w:t>
      </w:r>
    </w:p>
    <w:p w14:paraId="3F7986D6" w14:textId="77777777" w:rsidR="00F67E9E" w:rsidRDefault="00F67E9E" w:rsidP="00F67E9E">
      <w:r>
        <w:t>MILESTONE ACHIEVEMENT CERTIFICATE</w:t>
      </w:r>
    </w:p>
    <w:p w14:paraId="34369C21" w14:textId="77777777" w:rsidR="00F67E9E" w:rsidRPr="002C07B6" w:rsidRDefault="00F67E9E" w:rsidP="00F67E9E">
      <w:pPr>
        <w:pStyle w:val="StdBodyText"/>
        <w:rPr>
          <w:highlight w:val="yellow"/>
        </w:rPr>
      </w:pPr>
      <w:r>
        <w:t xml:space="preserve">Milestone: </w:t>
      </w:r>
      <w:r w:rsidRPr="00B73DD6">
        <w:rPr>
          <w:b/>
          <w:highlight w:val="yellow"/>
        </w:rPr>
        <w:t>[insert</w:t>
      </w:r>
      <w:r w:rsidRPr="003053E3">
        <w:rPr>
          <w:rStyle w:val="StdBodyTextBoldChar"/>
          <w:b w:val="0"/>
          <w:bCs/>
          <w:iCs/>
          <w:highlight w:val="yellow"/>
        </w:rPr>
        <w:t xml:space="preserve"> description of Milestone</w:t>
      </w:r>
      <w:r w:rsidRPr="002C07B6">
        <w:rPr>
          <w:highlight w:val="yellow"/>
        </w:rPr>
        <w:t>]</w:t>
      </w:r>
    </w:p>
    <w:p w14:paraId="2E107668" w14:textId="77777777" w:rsidR="00F67E9E" w:rsidRDefault="00F67E9E" w:rsidP="00F67E9E">
      <w:pPr>
        <w:pStyle w:val="StdBodyText"/>
      </w:pPr>
      <w:r>
        <w:t xml:space="preserve">We refer to </w:t>
      </w:r>
      <w:r w:rsidRPr="00D5341B">
        <w:t xml:space="preserve">the agreement (the </w:t>
      </w:r>
      <w:r>
        <w:t>“</w:t>
      </w:r>
      <w:r w:rsidRPr="00D5341B">
        <w:rPr>
          <w:rStyle w:val="StdBodyTextBoldChar"/>
        </w:rPr>
        <w:t>Contract</w:t>
      </w:r>
      <w:r>
        <w:t>”</w:t>
      </w:r>
      <w:r w:rsidRPr="00D5341B">
        <w:t>) relating</w:t>
      </w:r>
      <w:r>
        <w:t xml:space="preserve"> to the provision of the Services between the </w:t>
      </w:r>
      <w:r w:rsidRPr="002C07B6">
        <w:rPr>
          <w:highlight w:val="yellow"/>
        </w:rPr>
        <w:t>[</w:t>
      </w:r>
      <w:r w:rsidRPr="003053E3">
        <w:rPr>
          <w:rStyle w:val="StdBodyTextBoldChar"/>
          <w:b w:val="0"/>
          <w:bCs/>
          <w:iCs/>
          <w:highlight w:val="yellow"/>
        </w:rPr>
        <w:t>name of Authority</w:t>
      </w:r>
      <w:r w:rsidRPr="002C07B6">
        <w:rPr>
          <w:highlight w:val="yellow"/>
        </w:rPr>
        <w:t>]</w:t>
      </w:r>
      <w:r>
        <w:t xml:space="preserve"> (the “</w:t>
      </w:r>
      <w:r w:rsidRPr="00800E0D">
        <w:rPr>
          <w:rStyle w:val="StdBodyTextBoldChar"/>
        </w:rPr>
        <w:t>Authority</w:t>
      </w:r>
      <w:r>
        <w:t xml:space="preserve">”) and </w:t>
      </w:r>
      <w:r w:rsidRPr="002C07B6">
        <w:rPr>
          <w:highlight w:val="yellow"/>
        </w:rPr>
        <w:t>[</w:t>
      </w:r>
      <w:r w:rsidRPr="003053E3">
        <w:rPr>
          <w:rStyle w:val="StdBodyTextBoldChar"/>
          <w:b w:val="0"/>
          <w:bCs/>
          <w:iCs/>
          <w:highlight w:val="yellow"/>
        </w:rPr>
        <w:t>name of Supplier</w:t>
      </w:r>
      <w:r w:rsidRPr="002C07B6">
        <w:rPr>
          <w:highlight w:val="yellow"/>
        </w:rPr>
        <w:t>]</w:t>
      </w:r>
      <w:r>
        <w:t xml:space="preserve"> (the “</w:t>
      </w:r>
      <w:r w:rsidRPr="00800E0D">
        <w:rPr>
          <w:rStyle w:val="StdBodyTextBoldChar"/>
        </w:rPr>
        <w:t>Supplier</w:t>
      </w:r>
      <w:r>
        <w:t xml:space="preserve">”) dated </w:t>
      </w:r>
      <w:r w:rsidRPr="002C07B6">
        <w:rPr>
          <w:highlight w:val="yellow"/>
        </w:rPr>
        <w:t>[</w:t>
      </w:r>
      <w:r w:rsidRPr="003053E3">
        <w:rPr>
          <w:rStyle w:val="StdBodyTextBoldChar"/>
          <w:b w:val="0"/>
          <w:bCs/>
          <w:iCs/>
          <w:highlight w:val="yellow"/>
        </w:rPr>
        <w:t>date</w:t>
      </w:r>
      <w:r w:rsidRPr="002C07B6">
        <w:rPr>
          <w:highlight w:val="yellow"/>
        </w:rPr>
        <w:t>]</w:t>
      </w:r>
      <w:r>
        <w:t>.</w:t>
      </w:r>
    </w:p>
    <w:p w14:paraId="489B3425" w14:textId="1D618613" w:rsidR="00F67E9E" w:rsidRDefault="00F67E9E" w:rsidP="00F67E9E">
      <w:pPr>
        <w:pStyle w:val="StdBodyText"/>
      </w:pPr>
      <w:r>
        <w:t xml:space="preserve">Capitalised terms used in this certificate have the meanings given to them in </w:t>
      </w:r>
      <w:r>
        <w:fldChar w:fldCharType="begin"/>
      </w:r>
      <w:r>
        <w:instrText xml:space="preserve"> REF Schedule1 \h </w:instrText>
      </w:r>
      <w:r>
        <w:fldChar w:fldCharType="separate"/>
      </w:r>
      <w:r w:rsidR="00302D39" w:rsidRPr="00724541">
        <w:t>Schedule</w:t>
      </w:r>
      <w:r w:rsidR="00302D39">
        <w:t> </w:t>
      </w:r>
      <w:r w:rsidR="00302D39" w:rsidRPr="00724541">
        <w:t>1</w:t>
      </w:r>
      <w:r>
        <w:fldChar w:fldCharType="end"/>
      </w:r>
      <w:r w:rsidRPr="00724541">
        <w:t xml:space="preserve"> (</w:t>
      </w:r>
      <w:r w:rsidRPr="0087475A">
        <w:rPr>
          <w:i/>
          <w:iCs/>
        </w:rPr>
        <w:fldChar w:fldCharType="begin"/>
      </w:r>
      <w:r w:rsidRPr="0087475A">
        <w:rPr>
          <w:i/>
          <w:iCs/>
        </w:rPr>
        <w:instrText xml:space="preserve"> REF Schedule1Heading \h  \* MERGEFORMAT </w:instrText>
      </w:r>
      <w:r w:rsidRPr="0087475A">
        <w:rPr>
          <w:i/>
          <w:iCs/>
        </w:rPr>
      </w:r>
      <w:r w:rsidRPr="0087475A">
        <w:rPr>
          <w:i/>
          <w:iCs/>
        </w:rPr>
        <w:fldChar w:fldCharType="separate"/>
      </w:r>
      <w:r w:rsidR="00302D39" w:rsidRPr="00302D39">
        <w:rPr>
          <w:i/>
          <w:iCs/>
        </w:rPr>
        <w:t>Definitions</w:t>
      </w:r>
      <w:r w:rsidRPr="0087475A">
        <w:rPr>
          <w:i/>
          <w:iCs/>
        </w:rPr>
        <w:fldChar w:fldCharType="end"/>
      </w:r>
      <w:r w:rsidRPr="00724541">
        <w:t>)</w:t>
      </w:r>
      <w:r>
        <w:t xml:space="preserve"> or </w:t>
      </w:r>
      <w:r>
        <w:rPr>
          <w:rFonts w:cs="Arial"/>
        </w:rPr>
        <w:fldChar w:fldCharType="begin"/>
      </w:r>
      <w:r>
        <w:rPr>
          <w:rFonts w:cs="Arial"/>
        </w:rPr>
        <w:instrText xml:space="preserve"> REF Schedule14 \h </w:instrText>
      </w:r>
      <w:r>
        <w:rPr>
          <w:rFonts w:cs="Arial"/>
        </w:rPr>
      </w:r>
      <w:r>
        <w:rPr>
          <w:rFonts w:cs="Arial"/>
        </w:rPr>
        <w:fldChar w:fldCharType="separate"/>
      </w:r>
      <w:r w:rsidR="00302D39" w:rsidRPr="005D0525">
        <w:t>Schedule</w:t>
      </w:r>
      <w:r w:rsidR="00302D39">
        <w:t> </w:t>
      </w:r>
      <w:r w:rsidR="00302D39" w:rsidRPr="005D0525">
        <w:t>14</w:t>
      </w:r>
      <w:r>
        <w:rPr>
          <w:rFonts w:cs="Arial"/>
        </w:rPr>
        <w:fldChar w:fldCharType="end"/>
      </w:r>
      <w:r>
        <w:rPr>
          <w:rFonts w:cs="Arial"/>
        </w:rPr>
        <w:t xml:space="preserve"> (</w:t>
      </w:r>
      <w:r w:rsidRPr="00B91437">
        <w:rPr>
          <w:rFonts w:cs="Arial"/>
          <w:i/>
          <w:iCs/>
        </w:rPr>
        <w:fldChar w:fldCharType="begin"/>
      </w:r>
      <w:r w:rsidRPr="00B91437">
        <w:rPr>
          <w:rFonts w:cs="Arial"/>
          <w:i/>
          <w:iCs/>
        </w:rPr>
        <w:instrText xml:space="preserve"> REF Schedule14Heading \h </w:instrText>
      </w:r>
      <w:r>
        <w:rPr>
          <w:rFonts w:cs="Arial"/>
          <w:i/>
          <w:iCs/>
        </w:rPr>
        <w:instrText xml:space="preserve"> \* MERGEFORMAT </w:instrText>
      </w:r>
      <w:r w:rsidRPr="00B91437">
        <w:rPr>
          <w:rFonts w:cs="Arial"/>
          <w:i/>
          <w:iCs/>
        </w:rPr>
      </w:r>
      <w:r w:rsidRPr="00B91437">
        <w:rPr>
          <w:rFonts w:cs="Arial"/>
          <w:i/>
          <w:iCs/>
        </w:rPr>
        <w:fldChar w:fldCharType="separate"/>
      </w:r>
      <w:r w:rsidR="00302D39" w:rsidRPr="00302D39">
        <w:rPr>
          <w:i/>
          <w:iCs/>
        </w:rPr>
        <w:t>Testing Procedures</w:t>
      </w:r>
      <w:r w:rsidRPr="00B91437">
        <w:rPr>
          <w:rFonts w:cs="Arial"/>
          <w:i/>
          <w:iCs/>
        </w:rPr>
        <w:fldChar w:fldCharType="end"/>
      </w:r>
      <w:r>
        <w:rPr>
          <w:rFonts w:cs="Arial"/>
        </w:rPr>
        <w:t>)</w:t>
      </w:r>
      <w:r>
        <w:t xml:space="preserve"> </w:t>
      </w:r>
      <w:r w:rsidRPr="00D5341B">
        <w:t>of the Contract.</w:t>
      </w:r>
    </w:p>
    <w:p w14:paraId="052C4A69" w14:textId="77777777" w:rsidR="00F67E9E" w:rsidRPr="002C07B6" w:rsidRDefault="00F67E9E" w:rsidP="00F67E9E">
      <w:pPr>
        <w:pStyle w:val="StdBodyText"/>
        <w:rPr>
          <w:highlight w:val="yellow"/>
        </w:rPr>
      </w:pPr>
      <w:r w:rsidRPr="002C07B6">
        <w:rPr>
          <w:highlight w:val="yellow"/>
        </w:rPr>
        <w:t>[We confirm that all the Deliverables relating to Milestone [</w:t>
      </w:r>
      <w:r w:rsidRPr="00C26690">
        <w:rPr>
          <w:rStyle w:val="StdBodyTextBoldChar"/>
          <w:bCs/>
          <w:iCs/>
          <w:highlight w:val="yellow"/>
        </w:rPr>
        <w:t>number</w:t>
      </w:r>
      <w:r w:rsidRPr="002C07B6">
        <w:rPr>
          <w:highlight w:val="yellow"/>
        </w:rPr>
        <w:t xml:space="preserve">] have been tested successfully in accordance with the Test Plan relevant to this Milestone [or that a conditional </w:t>
      </w:r>
      <w:bookmarkStart w:id="915" w:name="_9kMH0H6ZWu5DFAFLjPvBWCyE6tusl38"/>
      <w:r w:rsidRPr="002C07B6">
        <w:rPr>
          <w:highlight w:val="yellow"/>
        </w:rPr>
        <w:t>Test Certificate</w:t>
      </w:r>
      <w:bookmarkEnd w:id="915"/>
      <w:r w:rsidRPr="002C07B6">
        <w:rPr>
          <w:highlight w:val="yellow"/>
        </w:rPr>
        <w:t xml:space="preserve"> has been issued in respect of those Deliverables that have not satisfied the relevant Test Success Criteria.]]*</w:t>
      </w:r>
    </w:p>
    <w:p w14:paraId="0F2F3EE4" w14:textId="77777777" w:rsidR="00F67E9E" w:rsidRDefault="00F67E9E" w:rsidP="00F67E9E">
      <w:pPr>
        <w:pStyle w:val="StdBodyTextBold"/>
      </w:pPr>
      <w:r>
        <w:t>OR</w:t>
      </w:r>
    </w:p>
    <w:p w14:paraId="228C72C4" w14:textId="28384CBC" w:rsidR="00F67E9E" w:rsidRPr="002C07B6" w:rsidRDefault="00F67E9E" w:rsidP="00F67E9E">
      <w:pPr>
        <w:pStyle w:val="StdBodyText"/>
        <w:rPr>
          <w:highlight w:val="yellow"/>
        </w:rPr>
      </w:pPr>
      <w:r w:rsidRPr="00B91437">
        <w:rPr>
          <w:highlight w:val="yellow"/>
        </w:rPr>
        <w:t xml:space="preserve">[This Milestone Achievement Certificate is granted pursuant to </w:t>
      </w:r>
      <w:bookmarkStart w:id="916" w:name="_9kR3WTr2CC5CDXEnoewrqyBLM"/>
      <w:r w:rsidRPr="00B91437">
        <w:rPr>
          <w:highlight w:val="yellow"/>
        </w:rPr>
        <w:t xml:space="preserve">Paragraph </w:t>
      </w:r>
      <w:bookmarkEnd w:id="916"/>
      <w:r w:rsidRPr="00B91437">
        <w:rPr>
          <w:highlight w:val="yellow"/>
        </w:rPr>
        <w:fldChar w:fldCharType="begin"/>
      </w:r>
      <w:r w:rsidRPr="00B91437">
        <w:rPr>
          <w:highlight w:val="yellow"/>
        </w:rPr>
        <w:instrText xml:space="preserve"> REF _Ref_ContractCompanion_9kb9Ur17G \w \h  \* MERGEFORMAT </w:instrText>
      </w:r>
      <w:r w:rsidRPr="00B91437">
        <w:rPr>
          <w:highlight w:val="yellow"/>
        </w:rPr>
      </w:r>
      <w:r w:rsidRPr="00B91437">
        <w:rPr>
          <w:highlight w:val="yellow"/>
        </w:rPr>
        <w:fldChar w:fldCharType="separate"/>
      </w:r>
      <w:r w:rsidR="00302D39">
        <w:rPr>
          <w:highlight w:val="yellow"/>
        </w:rPr>
        <w:t>13.1</w:t>
      </w:r>
      <w:r w:rsidRPr="00B91437">
        <w:rPr>
          <w:highlight w:val="yellow"/>
        </w:rPr>
        <w:fldChar w:fldCharType="end"/>
      </w:r>
      <w:r w:rsidRPr="00B91437">
        <w:rPr>
          <w:highlight w:val="yellow"/>
        </w:rPr>
        <w:t xml:space="preserve"> of </w:t>
      </w:r>
      <w:r w:rsidRPr="00B91437">
        <w:rPr>
          <w:rFonts w:cs="Arial"/>
          <w:highlight w:val="yellow"/>
        </w:rPr>
        <w:fldChar w:fldCharType="begin"/>
      </w:r>
      <w:r w:rsidRPr="00B91437">
        <w:rPr>
          <w:rFonts w:cs="Arial"/>
          <w:highlight w:val="yellow"/>
        </w:rPr>
        <w:instrText xml:space="preserve"> REF Schedule14 \h </w:instrText>
      </w:r>
      <w:r>
        <w:rPr>
          <w:rFonts w:cs="Arial"/>
          <w:highlight w:val="yellow"/>
        </w:rPr>
        <w:instrText xml:space="preserve"> \* MERGEFORMAT </w:instrText>
      </w:r>
      <w:r w:rsidRPr="00B91437">
        <w:rPr>
          <w:rFonts w:cs="Arial"/>
          <w:highlight w:val="yellow"/>
        </w:rPr>
      </w:r>
      <w:r w:rsidRPr="00B91437">
        <w:rPr>
          <w:rFonts w:cs="Arial"/>
          <w:highlight w:val="yellow"/>
        </w:rPr>
        <w:fldChar w:fldCharType="separate"/>
      </w:r>
      <w:r w:rsidR="00302D39" w:rsidRPr="00302D39">
        <w:rPr>
          <w:highlight w:val="yellow"/>
        </w:rPr>
        <w:t>Schedule 14</w:t>
      </w:r>
      <w:r w:rsidRPr="00B91437">
        <w:rPr>
          <w:rFonts w:cs="Arial"/>
          <w:highlight w:val="yellow"/>
        </w:rPr>
        <w:fldChar w:fldCharType="end"/>
      </w:r>
      <w:r w:rsidRPr="00B91437">
        <w:rPr>
          <w:rFonts w:cs="Arial"/>
          <w:highlight w:val="yellow"/>
        </w:rPr>
        <w:t xml:space="preserve"> (</w:t>
      </w:r>
      <w:r w:rsidRPr="00B91437">
        <w:rPr>
          <w:rFonts w:cs="Arial"/>
          <w:i/>
          <w:iCs/>
          <w:highlight w:val="yellow"/>
        </w:rPr>
        <w:fldChar w:fldCharType="begin"/>
      </w:r>
      <w:r w:rsidRPr="00B91437">
        <w:rPr>
          <w:rFonts w:cs="Arial"/>
          <w:i/>
          <w:iCs/>
          <w:highlight w:val="yellow"/>
        </w:rPr>
        <w:instrText xml:space="preserve"> REF Schedule14Heading \h  \* MERGEFORMAT </w:instrText>
      </w:r>
      <w:r w:rsidRPr="00B91437">
        <w:rPr>
          <w:rFonts w:cs="Arial"/>
          <w:i/>
          <w:iCs/>
          <w:highlight w:val="yellow"/>
        </w:rPr>
      </w:r>
      <w:r w:rsidRPr="00B91437">
        <w:rPr>
          <w:rFonts w:cs="Arial"/>
          <w:i/>
          <w:iCs/>
          <w:highlight w:val="yellow"/>
        </w:rPr>
        <w:fldChar w:fldCharType="separate"/>
      </w:r>
      <w:r w:rsidR="00302D39" w:rsidRPr="00302D39">
        <w:rPr>
          <w:i/>
          <w:iCs/>
          <w:highlight w:val="yellow"/>
        </w:rPr>
        <w:t>Testing Procedures</w:t>
      </w:r>
      <w:r w:rsidRPr="00B91437">
        <w:rPr>
          <w:rFonts w:cs="Arial"/>
          <w:i/>
          <w:iCs/>
          <w:highlight w:val="yellow"/>
        </w:rPr>
        <w:fldChar w:fldCharType="end"/>
      </w:r>
      <w:r w:rsidRPr="00B91437">
        <w:rPr>
          <w:rFonts w:cs="Arial"/>
          <w:highlight w:val="yellow"/>
        </w:rPr>
        <w:t>)</w:t>
      </w:r>
      <w:r w:rsidRPr="00D5341B">
        <w:rPr>
          <w:highlight w:val="yellow"/>
        </w:rPr>
        <w:t xml:space="preserve"> of the Contract on </w:t>
      </w:r>
      <w:r w:rsidRPr="002C07B6">
        <w:rPr>
          <w:highlight w:val="yellow"/>
        </w:rPr>
        <w:t>the condition that any Test Issues are remedied in accordance with the Rectification Plan attached to this certificate.]*</w:t>
      </w:r>
    </w:p>
    <w:p w14:paraId="011B9D0D" w14:textId="6E708615" w:rsidR="00F67E9E" w:rsidRPr="006E5ABC" w:rsidRDefault="00F67E9E" w:rsidP="00F67E9E">
      <w:pPr>
        <w:pStyle w:val="StdBodyText"/>
        <w:rPr>
          <w:highlight w:val="yellow"/>
        </w:rPr>
      </w:pPr>
      <w:r w:rsidRPr="00B91437">
        <w:rPr>
          <w:highlight w:val="yellow"/>
        </w:rPr>
        <w:t xml:space="preserve">[You may now issue an invoice in respect of the Milestone Payment associated with this Milestone in accordance with the provisions of </w:t>
      </w:r>
      <w:r w:rsidRPr="00B91437">
        <w:rPr>
          <w:rFonts w:cs="Arial"/>
          <w:highlight w:val="yellow"/>
        </w:rPr>
        <w:fldChar w:fldCharType="begin"/>
      </w:r>
      <w:r w:rsidRPr="00B91437">
        <w:rPr>
          <w:rFonts w:cs="Arial"/>
          <w:highlight w:val="yellow"/>
        </w:rPr>
        <w:instrText xml:space="preserve"> REF Schedule15 \h </w:instrText>
      </w:r>
      <w:r>
        <w:rPr>
          <w:rFonts w:cs="Arial"/>
          <w:highlight w:val="yellow"/>
        </w:rPr>
        <w:instrText xml:space="preserve"> \* MERGEFORMAT </w:instrText>
      </w:r>
      <w:r w:rsidRPr="00B91437">
        <w:rPr>
          <w:rFonts w:cs="Arial"/>
          <w:highlight w:val="yellow"/>
        </w:rPr>
      </w:r>
      <w:r w:rsidRPr="00B91437">
        <w:rPr>
          <w:rFonts w:cs="Arial"/>
          <w:highlight w:val="yellow"/>
        </w:rPr>
        <w:fldChar w:fldCharType="separate"/>
      </w:r>
      <w:r w:rsidR="00302D39" w:rsidRPr="00302D39">
        <w:rPr>
          <w:highlight w:val="yellow"/>
        </w:rPr>
        <w:t>Schedule 15</w:t>
      </w:r>
      <w:r w:rsidRPr="00B91437">
        <w:rPr>
          <w:rFonts w:cs="Arial"/>
          <w:highlight w:val="yellow"/>
        </w:rPr>
        <w:fldChar w:fldCharType="end"/>
      </w:r>
      <w:r w:rsidRPr="00B91437">
        <w:rPr>
          <w:rFonts w:cs="Arial"/>
          <w:highlight w:val="yellow"/>
        </w:rPr>
        <w:t xml:space="preserve"> (</w:t>
      </w:r>
      <w:r w:rsidRPr="00B91437">
        <w:rPr>
          <w:rFonts w:cs="Arial"/>
          <w:i/>
          <w:iCs/>
          <w:highlight w:val="yellow"/>
        </w:rPr>
        <w:fldChar w:fldCharType="begin"/>
      </w:r>
      <w:r w:rsidRPr="00B91437">
        <w:rPr>
          <w:rFonts w:cs="Arial"/>
          <w:i/>
          <w:iCs/>
          <w:highlight w:val="yellow"/>
        </w:rPr>
        <w:instrText xml:space="preserve"> REF Schedule15Heading \h  \* MERGEFORMAT </w:instrText>
      </w:r>
      <w:r w:rsidRPr="00B91437">
        <w:rPr>
          <w:rFonts w:cs="Arial"/>
          <w:i/>
          <w:iCs/>
          <w:highlight w:val="yellow"/>
        </w:rPr>
      </w:r>
      <w:r w:rsidRPr="00B91437">
        <w:rPr>
          <w:rFonts w:cs="Arial"/>
          <w:i/>
          <w:iCs/>
          <w:highlight w:val="yellow"/>
        </w:rPr>
        <w:fldChar w:fldCharType="separate"/>
      </w:r>
      <w:r w:rsidR="00302D39" w:rsidRPr="00302D39">
        <w:rPr>
          <w:i/>
          <w:iCs/>
          <w:highlight w:val="yellow"/>
        </w:rPr>
        <w:t>Charges and Invoicing</w:t>
      </w:r>
      <w:r w:rsidRPr="00B91437">
        <w:rPr>
          <w:rFonts w:cs="Arial"/>
          <w:i/>
          <w:iCs/>
          <w:highlight w:val="yellow"/>
        </w:rPr>
        <w:fldChar w:fldCharType="end"/>
      </w:r>
      <w:r w:rsidRPr="00B91437">
        <w:rPr>
          <w:rFonts w:cs="Arial"/>
          <w:highlight w:val="yellow"/>
        </w:rPr>
        <w:t>)</w:t>
      </w:r>
      <w:r w:rsidRPr="006E5ABC">
        <w:rPr>
          <w:highlight w:val="yellow"/>
        </w:rPr>
        <w:t>]*</w:t>
      </w:r>
    </w:p>
    <w:p w14:paraId="1B64B904" w14:textId="77777777" w:rsidR="00F67E9E" w:rsidRPr="00800E0D" w:rsidRDefault="00F67E9E" w:rsidP="00F67E9E">
      <w:pPr>
        <w:pStyle w:val="StdBodyText"/>
        <w:rPr>
          <w:i/>
        </w:rPr>
      </w:pPr>
      <w:r w:rsidRPr="00800E0D">
        <w:rPr>
          <w:i/>
        </w:rPr>
        <w:t>*delete as appropriate</w:t>
      </w:r>
    </w:p>
    <w:p w14:paraId="021A9843" w14:textId="77777777" w:rsidR="00F67E9E" w:rsidRDefault="00F67E9E" w:rsidP="00F67E9E">
      <w:pPr>
        <w:pStyle w:val="StdBodyText"/>
      </w:pPr>
      <w:r>
        <w:t>Yours faithfully</w:t>
      </w:r>
    </w:p>
    <w:p w14:paraId="514FFE18" w14:textId="77777777" w:rsidR="00F67E9E" w:rsidRPr="002C07B6" w:rsidRDefault="00F67E9E" w:rsidP="00F67E9E">
      <w:pPr>
        <w:pStyle w:val="StdBodyText"/>
        <w:rPr>
          <w:highlight w:val="yellow"/>
        </w:rPr>
      </w:pPr>
      <w:r w:rsidRPr="002C07B6">
        <w:rPr>
          <w:highlight w:val="yellow"/>
        </w:rPr>
        <w:t>[</w:t>
      </w:r>
      <w:r w:rsidRPr="003053E3">
        <w:rPr>
          <w:rStyle w:val="StdBodyTextBoldChar"/>
          <w:b w:val="0"/>
          <w:bCs/>
          <w:iCs/>
          <w:highlight w:val="yellow"/>
        </w:rPr>
        <w:t>Name</w:t>
      </w:r>
      <w:r w:rsidRPr="002C07B6">
        <w:rPr>
          <w:highlight w:val="yellow"/>
        </w:rPr>
        <w:t>]</w:t>
      </w:r>
    </w:p>
    <w:p w14:paraId="04D3C650" w14:textId="77777777" w:rsidR="00F67E9E" w:rsidRPr="002C07B6" w:rsidRDefault="00F67E9E" w:rsidP="00F67E9E">
      <w:pPr>
        <w:pStyle w:val="StdBodyText"/>
        <w:rPr>
          <w:highlight w:val="yellow"/>
        </w:rPr>
      </w:pPr>
      <w:r w:rsidRPr="002C07B6">
        <w:rPr>
          <w:highlight w:val="yellow"/>
        </w:rPr>
        <w:t>[</w:t>
      </w:r>
      <w:r w:rsidRPr="003053E3">
        <w:rPr>
          <w:rStyle w:val="StdBodyTextBoldChar"/>
          <w:b w:val="0"/>
          <w:bCs/>
          <w:iCs/>
          <w:highlight w:val="yellow"/>
        </w:rPr>
        <w:t>Position</w:t>
      </w:r>
      <w:r w:rsidRPr="002C07B6">
        <w:rPr>
          <w:highlight w:val="yellow"/>
        </w:rPr>
        <w:t>]</w:t>
      </w:r>
    </w:p>
    <w:p w14:paraId="4B6BA6DB" w14:textId="77777777" w:rsidR="00F67E9E" w:rsidRDefault="00F67E9E" w:rsidP="00F67E9E">
      <w:pPr>
        <w:pStyle w:val="StdBodyText"/>
      </w:pPr>
      <w:r>
        <w:t xml:space="preserve">acting on behalf of </w:t>
      </w:r>
      <w:r w:rsidRPr="002C07B6">
        <w:rPr>
          <w:highlight w:val="yellow"/>
        </w:rPr>
        <w:t>[</w:t>
      </w:r>
      <w:r w:rsidRPr="003053E3">
        <w:rPr>
          <w:rStyle w:val="StdBodyTextBoldChar"/>
          <w:b w:val="0"/>
          <w:bCs/>
          <w:iCs/>
          <w:highlight w:val="yellow"/>
        </w:rPr>
        <w:t>Authority</w:t>
      </w:r>
      <w:r w:rsidRPr="002C07B6">
        <w:rPr>
          <w:highlight w:val="yellow"/>
        </w:rPr>
        <w:t>]</w:t>
      </w:r>
    </w:p>
    <w:p w14:paraId="7BECF772" w14:textId="77777777" w:rsidR="00F67E9E" w:rsidRDefault="00F67E9E" w:rsidP="00F67E9E">
      <w:pPr>
        <w:rPr>
          <w:rFonts w:eastAsia="Times New Roman" w:cs="Times New Roman"/>
          <w:szCs w:val="24"/>
          <w:lang w:eastAsia="en-GB"/>
        </w:rPr>
      </w:pPr>
    </w:p>
    <w:p w14:paraId="4CDDD317" w14:textId="77777777" w:rsidR="00F67E9E" w:rsidRPr="00F11CD2" w:rsidRDefault="00F67E9E" w:rsidP="00F67E9E">
      <w:pPr>
        <w:pStyle w:val="Heading2"/>
        <w:pageBreakBefore/>
      </w:pPr>
      <w:bookmarkStart w:id="917" w:name="_Ref_ContractCompanion_9kb9Ur1AF"/>
      <w:bookmarkStart w:id="918" w:name="_Ref_ContractCompanion_9kb9Ur6AD"/>
      <w:bookmarkStart w:id="919" w:name="_Toc141711936"/>
      <w:r w:rsidRPr="00D5341B">
        <w:t xml:space="preserve">Annex </w:t>
      </w:r>
      <w:bookmarkStart w:id="920" w:name="ANNEX4_SCHEDULE14"/>
      <w:r w:rsidRPr="00D5341B">
        <w:t>4</w:t>
      </w:r>
      <w:bookmarkEnd w:id="920"/>
      <w:r w:rsidRPr="00D5341B">
        <w:t>: Test Success Criteria</w:t>
      </w:r>
      <w:bookmarkEnd w:id="917"/>
      <w:bookmarkEnd w:id="918"/>
      <w:bookmarkEnd w:id="919"/>
    </w:p>
    <w:p w14:paraId="74F7EACD" w14:textId="77777777" w:rsidR="00F67E9E" w:rsidRPr="002809EA" w:rsidRDefault="00F67E9E" w:rsidP="00F67E9E">
      <w:pPr>
        <w:pStyle w:val="AppendixText1"/>
        <w:numPr>
          <w:ilvl w:val="0"/>
          <w:numId w:val="57"/>
        </w:numPr>
      </w:pPr>
      <w:r w:rsidRPr="002809EA">
        <w:t xml:space="preserve">Tests to be Achieved in </w:t>
      </w:r>
      <w:r w:rsidRPr="00772237">
        <w:t>order</w:t>
      </w:r>
      <w:r w:rsidRPr="002809EA">
        <w:t xml:space="preserve"> to Achieve the ATP Milestone</w:t>
      </w:r>
    </w:p>
    <w:tbl>
      <w:tblPr>
        <w:tblStyle w:val="MSATable-header"/>
        <w:tblW w:w="10205" w:type="dxa"/>
        <w:tblLook w:val="04A0" w:firstRow="1" w:lastRow="0" w:firstColumn="1" w:lastColumn="0" w:noHBand="0" w:noVBand="1"/>
      </w:tblPr>
      <w:tblGrid>
        <w:gridCol w:w="3402"/>
        <w:gridCol w:w="2268"/>
        <w:gridCol w:w="4535"/>
      </w:tblGrid>
      <w:tr w:rsidR="00F67E9E" w:rsidRPr="0051062F" w14:paraId="070992FA" w14:textId="77777777" w:rsidTr="007F74AA">
        <w:trPr>
          <w:cnfStyle w:val="100000000000" w:firstRow="1" w:lastRow="0" w:firstColumn="0" w:lastColumn="0" w:oddVBand="0" w:evenVBand="0" w:oddHBand="0" w:evenHBand="0" w:firstRowFirstColumn="0" w:firstRowLastColumn="0" w:lastRowFirstColumn="0" w:lastRowLastColumn="0"/>
          <w:tblHeader/>
        </w:trPr>
        <w:tc>
          <w:tcPr>
            <w:tcW w:w="3402" w:type="dxa"/>
            <w:vAlign w:val="bottom"/>
          </w:tcPr>
          <w:p w14:paraId="65F7A552" w14:textId="77777777" w:rsidR="00F67E9E" w:rsidRPr="0051062F" w:rsidRDefault="00F67E9E" w:rsidP="007F74AA">
            <w:pPr>
              <w:pStyle w:val="StdBodyTextBold"/>
              <w:spacing w:before="0" w:after="0"/>
              <w:rPr>
                <w:b/>
                <w:bCs/>
              </w:rPr>
            </w:pPr>
            <w:r w:rsidRPr="0051062F">
              <w:rPr>
                <w:b/>
                <w:bCs/>
              </w:rPr>
              <w:t>Test</w:t>
            </w:r>
          </w:p>
        </w:tc>
        <w:tc>
          <w:tcPr>
            <w:tcW w:w="2268" w:type="dxa"/>
            <w:vAlign w:val="bottom"/>
          </w:tcPr>
          <w:p w14:paraId="688E1586" w14:textId="77777777" w:rsidR="00F67E9E" w:rsidRPr="0051062F" w:rsidRDefault="00F67E9E" w:rsidP="007F74AA">
            <w:pPr>
              <w:pStyle w:val="StdBodyTextBold"/>
              <w:spacing w:before="0" w:after="0"/>
              <w:rPr>
                <w:b/>
                <w:bCs/>
              </w:rPr>
            </w:pPr>
            <w:r w:rsidRPr="0051062F">
              <w:rPr>
                <w:b/>
                <w:bCs/>
              </w:rPr>
              <w:t>Pre-conditions*</w:t>
            </w:r>
          </w:p>
        </w:tc>
        <w:tc>
          <w:tcPr>
            <w:tcW w:w="4535" w:type="dxa"/>
            <w:vAlign w:val="bottom"/>
          </w:tcPr>
          <w:p w14:paraId="2DDCB49C" w14:textId="77777777" w:rsidR="00F67E9E" w:rsidRPr="0051062F" w:rsidRDefault="00F67E9E" w:rsidP="007F74AA">
            <w:pPr>
              <w:pStyle w:val="StdBodyTextBold"/>
              <w:spacing w:before="0" w:after="0"/>
              <w:rPr>
                <w:b/>
                <w:bCs/>
              </w:rPr>
            </w:pPr>
            <w:r w:rsidRPr="0051062F">
              <w:rPr>
                <w:b/>
                <w:bCs/>
              </w:rPr>
              <w:t>Test Success Criteria</w:t>
            </w:r>
          </w:p>
        </w:tc>
      </w:tr>
      <w:tr w:rsidR="00F67E9E" w:rsidRPr="008D4FDA" w14:paraId="1B13DDF9" w14:textId="77777777" w:rsidTr="007F74AA">
        <w:tc>
          <w:tcPr>
            <w:tcW w:w="3402" w:type="dxa"/>
          </w:tcPr>
          <w:p w14:paraId="15582D2E" w14:textId="77777777" w:rsidR="00F67E9E" w:rsidRPr="003053E3" w:rsidRDefault="00F67E9E" w:rsidP="007F74AA">
            <w:pPr>
              <w:pStyle w:val="StdBodyText"/>
              <w:spacing w:before="0" w:after="0"/>
              <w:rPr>
                <w:bCs/>
              </w:rPr>
            </w:pPr>
            <w:r w:rsidRPr="003053E3">
              <w:rPr>
                <w:bCs/>
                <w:highlight w:val="yellow"/>
              </w:rPr>
              <w:t>[</w:t>
            </w:r>
            <w:r w:rsidRPr="003053E3">
              <w:rPr>
                <w:bCs/>
                <w:iCs/>
                <w:highlight w:val="yellow"/>
              </w:rPr>
              <w:t>List all Tests relating to ATP Milestone</w:t>
            </w:r>
            <w:r w:rsidRPr="003053E3">
              <w:rPr>
                <w:bCs/>
                <w:highlight w:val="yellow"/>
              </w:rPr>
              <w:t>]</w:t>
            </w:r>
          </w:p>
        </w:tc>
        <w:tc>
          <w:tcPr>
            <w:tcW w:w="2268" w:type="dxa"/>
          </w:tcPr>
          <w:p w14:paraId="72CA0590" w14:textId="77777777" w:rsidR="00F67E9E" w:rsidRPr="008D4FDA" w:rsidRDefault="00F67E9E" w:rsidP="007F74AA">
            <w:pPr>
              <w:pStyle w:val="StdBodyText"/>
              <w:spacing w:before="0" w:after="0"/>
            </w:pPr>
          </w:p>
        </w:tc>
        <w:tc>
          <w:tcPr>
            <w:tcW w:w="4535" w:type="dxa"/>
          </w:tcPr>
          <w:p w14:paraId="4B446CEF" w14:textId="77777777" w:rsidR="00F67E9E" w:rsidRPr="008D4FDA" w:rsidRDefault="00F67E9E" w:rsidP="007F74AA">
            <w:pPr>
              <w:pStyle w:val="StdBodyText"/>
              <w:spacing w:before="0" w:after="0"/>
            </w:pPr>
          </w:p>
        </w:tc>
      </w:tr>
      <w:tr w:rsidR="00F67E9E" w:rsidRPr="008D4FDA" w14:paraId="56C06EAF" w14:textId="77777777" w:rsidTr="007F74AA">
        <w:tc>
          <w:tcPr>
            <w:tcW w:w="3402" w:type="dxa"/>
          </w:tcPr>
          <w:p w14:paraId="6437686E" w14:textId="77777777" w:rsidR="00F67E9E" w:rsidRPr="008D4FDA" w:rsidRDefault="00F67E9E" w:rsidP="007F74AA">
            <w:pPr>
              <w:pStyle w:val="StdBodyText"/>
              <w:spacing w:before="0" w:after="0"/>
            </w:pPr>
          </w:p>
        </w:tc>
        <w:tc>
          <w:tcPr>
            <w:tcW w:w="2268" w:type="dxa"/>
          </w:tcPr>
          <w:p w14:paraId="3CAE2F09" w14:textId="77777777" w:rsidR="00F67E9E" w:rsidRPr="008D4FDA" w:rsidRDefault="00F67E9E" w:rsidP="007F74AA">
            <w:pPr>
              <w:pStyle w:val="StdBodyText"/>
              <w:spacing w:before="0" w:after="0"/>
            </w:pPr>
          </w:p>
        </w:tc>
        <w:tc>
          <w:tcPr>
            <w:tcW w:w="4535" w:type="dxa"/>
          </w:tcPr>
          <w:p w14:paraId="014F3567" w14:textId="77777777" w:rsidR="00F67E9E" w:rsidRPr="008D4FDA" w:rsidRDefault="00F67E9E" w:rsidP="007F74AA">
            <w:pPr>
              <w:pStyle w:val="StdBodyText"/>
              <w:spacing w:before="0" w:after="0"/>
            </w:pPr>
          </w:p>
        </w:tc>
      </w:tr>
    </w:tbl>
    <w:p w14:paraId="2F63073E" w14:textId="77777777" w:rsidR="00F67E9E" w:rsidRPr="00CB319E" w:rsidRDefault="00F67E9E" w:rsidP="00F67E9E">
      <w:pPr>
        <w:pStyle w:val="StdBodyText"/>
        <w:spacing w:after="0"/>
      </w:pPr>
    </w:p>
    <w:p w14:paraId="0519A866" w14:textId="77777777" w:rsidR="00F67E9E" w:rsidRPr="003053E3" w:rsidRDefault="00F67E9E" w:rsidP="00F67E9E">
      <w:pPr>
        <w:pStyle w:val="StdBodyText"/>
        <w:ind w:left="1440" w:hanging="1440"/>
        <w:rPr>
          <w:bCs/>
          <w:iCs/>
        </w:rPr>
      </w:pPr>
      <w:r w:rsidRPr="003053E3">
        <w:rPr>
          <w:bCs/>
          <w:iCs/>
          <w:highlight w:val="yellow"/>
        </w:rPr>
        <w:t>* Note:</w:t>
      </w:r>
      <w:r>
        <w:rPr>
          <w:bCs/>
          <w:iCs/>
          <w:highlight w:val="yellow"/>
        </w:rPr>
        <w:t xml:space="preserve"> </w:t>
      </w:r>
      <w:r w:rsidRPr="003053E3">
        <w:rPr>
          <w:bCs/>
          <w:iCs/>
          <w:highlight w:val="yellow"/>
        </w:rPr>
        <w:t>The Pre-Conditions are that e.g. the Success Criteria for the previous Tests must be satisfied before the ATP Milestone tests are commenced</w:t>
      </w:r>
    </w:p>
    <w:p w14:paraId="445E007C" w14:textId="77777777" w:rsidR="00F67E9E" w:rsidRDefault="00F67E9E" w:rsidP="00F67E9E">
      <w:pPr>
        <w:pStyle w:val="StdBodyText"/>
        <w:spacing w:after="0"/>
      </w:pPr>
    </w:p>
    <w:p w14:paraId="65456E0F" w14:textId="77777777" w:rsidR="00F67E9E" w:rsidRPr="002809EA" w:rsidRDefault="00F67E9E" w:rsidP="00F67E9E">
      <w:pPr>
        <w:pStyle w:val="AppendixText1"/>
      </w:pPr>
      <w:r w:rsidRPr="002809EA">
        <w:t xml:space="preserve">Tests to be Achieved in </w:t>
      </w:r>
      <w:r w:rsidRPr="00772237">
        <w:t>order</w:t>
      </w:r>
      <w:r w:rsidRPr="002809EA">
        <w:t xml:space="preserve"> to Achieve a CPP Milestone</w:t>
      </w:r>
    </w:p>
    <w:tbl>
      <w:tblPr>
        <w:tblStyle w:val="MSATable-header"/>
        <w:tblW w:w="10205" w:type="dxa"/>
        <w:tblLook w:val="04A0" w:firstRow="1" w:lastRow="0" w:firstColumn="1" w:lastColumn="0" w:noHBand="0" w:noVBand="1"/>
      </w:tblPr>
      <w:tblGrid>
        <w:gridCol w:w="2268"/>
        <w:gridCol w:w="3402"/>
        <w:gridCol w:w="4535"/>
      </w:tblGrid>
      <w:tr w:rsidR="00F67E9E" w:rsidRPr="0051062F" w14:paraId="0A97E9F7" w14:textId="77777777" w:rsidTr="007F74AA">
        <w:trPr>
          <w:cnfStyle w:val="100000000000" w:firstRow="1" w:lastRow="0" w:firstColumn="0" w:lastColumn="0" w:oddVBand="0" w:evenVBand="0" w:oddHBand="0" w:evenHBand="0" w:firstRowFirstColumn="0" w:firstRowLastColumn="0" w:lastRowFirstColumn="0" w:lastRowLastColumn="0"/>
          <w:tblHeader/>
        </w:trPr>
        <w:tc>
          <w:tcPr>
            <w:tcW w:w="2268" w:type="dxa"/>
            <w:vAlign w:val="bottom"/>
          </w:tcPr>
          <w:p w14:paraId="339C2D8F" w14:textId="77777777" w:rsidR="00F67E9E" w:rsidRPr="0051062F" w:rsidRDefault="00F67E9E" w:rsidP="007F74AA">
            <w:pPr>
              <w:pStyle w:val="StdBodyTextBold"/>
              <w:spacing w:before="0" w:after="0"/>
              <w:rPr>
                <w:b/>
                <w:bCs/>
              </w:rPr>
            </w:pPr>
            <w:r w:rsidRPr="0051062F">
              <w:rPr>
                <w:b/>
                <w:bCs/>
              </w:rPr>
              <w:t>CPP Milestone Charge No.</w:t>
            </w:r>
          </w:p>
        </w:tc>
        <w:tc>
          <w:tcPr>
            <w:tcW w:w="3402" w:type="dxa"/>
            <w:vAlign w:val="bottom"/>
          </w:tcPr>
          <w:p w14:paraId="098CA750" w14:textId="77777777" w:rsidR="00F67E9E" w:rsidRPr="0051062F" w:rsidRDefault="00F67E9E" w:rsidP="007F74AA">
            <w:pPr>
              <w:pStyle w:val="StdBodyTextBold"/>
              <w:spacing w:before="0" w:after="0"/>
              <w:rPr>
                <w:b/>
                <w:bCs/>
              </w:rPr>
            </w:pPr>
            <w:r w:rsidRPr="0051062F">
              <w:rPr>
                <w:b/>
                <w:bCs/>
              </w:rPr>
              <w:t>Test</w:t>
            </w:r>
          </w:p>
        </w:tc>
        <w:tc>
          <w:tcPr>
            <w:tcW w:w="4535" w:type="dxa"/>
            <w:vAlign w:val="bottom"/>
          </w:tcPr>
          <w:p w14:paraId="73FB4BCD" w14:textId="77777777" w:rsidR="00F67E9E" w:rsidRPr="0051062F" w:rsidRDefault="00F67E9E" w:rsidP="007F74AA">
            <w:pPr>
              <w:pStyle w:val="StdBodyTextBold"/>
              <w:spacing w:before="0" w:after="0"/>
              <w:rPr>
                <w:b/>
                <w:bCs/>
              </w:rPr>
            </w:pPr>
            <w:r w:rsidRPr="0051062F">
              <w:rPr>
                <w:b/>
                <w:bCs/>
              </w:rPr>
              <w:t>Test Success Criteria</w:t>
            </w:r>
          </w:p>
        </w:tc>
      </w:tr>
      <w:tr w:rsidR="00F67E9E" w:rsidRPr="008D4FDA" w14:paraId="323234EA" w14:textId="77777777" w:rsidTr="007F74AA">
        <w:tc>
          <w:tcPr>
            <w:tcW w:w="2268" w:type="dxa"/>
          </w:tcPr>
          <w:p w14:paraId="00F77131" w14:textId="77777777" w:rsidR="00F67E9E" w:rsidRPr="008D4FDA" w:rsidRDefault="00F67E9E" w:rsidP="007F74AA">
            <w:pPr>
              <w:pStyle w:val="StdBodyText"/>
              <w:spacing w:before="0" w:after="0"/>
            </w:pPr>
          </w:p>
        </w:tc>
        <w:tc>
          <w:tcPr>
            <w:tcW w:w="3402" w:type="dxa"/>
          </w:tcPr>
          <w:p w14:paraId="2FBE0AB7" w14:textId="77777777" w:rsidR="00F67E9E" w:rsidRPr="003053E3" w:rsidRDefault="00F67E9E" w:rsidP="007F74AA">
            <w:pPr>
              <w:pStyle w:val="StdBodyText"/>
              <w:spacing w:before="0" w:after="0"/>
              <w:rPr>
                <w:bCs/>
                <w:iCs/>
              </w:rPr>
            </w:pPr>
            <w:r w:rsidRPr="003053E3">
              <w:rPr>
                <w:bCs/>
                <w:iCs/>
                <w:highlight w:val="yellow"/>
              </w:rPr>
              <w:t>[List all Tests relating to CPP Milestone Charge No.]</w:t>
            </w:r>
          </w:p>
        </w:tc>
        <w:tc>
          <w:tcPr>
            <w:tcW w:w="4535" w:type="dxa"/>
          </w:tcPr>
          <w:p w14:paraId="28ADE4E0" w14:textId="77777777" w:rsidR="00F67E9E" w:rsidRPr="008D4FDA" w:rsidRDefault="00F67E9E" w:rsidP="007F74AA">
            <w:pPr>
              <w:pStyle w:val="StdBodyText"/>
              <w:spacing w:before="0" w:after="0"/>
            </w:pPr>
          </w:p>
        </w:tc>
      </w:tr>
      <w:tr w:rsidR="00F67E9E" w:rsidRPr="008D4FDA" w14:paraId="6DC3EE6D" w14:textId="77777777" w:rsidTr="007F74AA">
        <w:tc>
          <w:tcPr>
            <w:tcW w:w="2268" w:type="dxa"/>
          </w:tcPr>
          <w:p w14:paraId="4B24B46F" w14:textId="77777777" w:rsidR="00F67E9E" w:rsidRPr="008D4FDA" w:rsidRDefault="00F67E9E" w:rsidP="007F74AA">
            <w:pPr>
              <w:pStyle w:val="StdBodyText"/>
              <w:spacing w:before="0" w:after="0"/>
            </w:pPr>
          </w:p>
        </w:tc>
        <w:tc>
          <w:tcPr>
            <w:tcW w:w="3402" w:type="dxa"/>
          </w:tcPr>
          <w:p w14:paraId="5A2AEA17" w14:textId="77777777" w:rsidR="00F67E9E" w:rsidRPr="008D4FDA" w:rsidRDefault="00F67E9E" w:rsidP="007F74AA">
            <w:pPr>
              <w:pStyle w:val="StdBodyText"/>
              <w:spacing w:before="0" w:after="0"/>
            </w:pPr>
          </w:p>
        </w:tc>
        <w:tc>
          <w:tcPr>
            <w:tcW w:w="4535" w:type="dxa"/>
          </w:tcPr>
          <w:p w14:paraId="3B635BC2" w14:textId="77777777" w:rsidR="00F67E9E" w:rsidRPr="008D4FDA" w:rsidRDefault="00F67E9E" w:rsidP="007F74AA">
            <w:pPr>
              <w:pStyle w:val="StdBodyText"/>
              <w:spacing w:before="0" w:after="0"/>
            </w:pPr>
          </w:p>
        </w:tc>
      </w:tr>
    </w:tbl>
    <w:p w14:paraId="109EBA58" w14:textId="77777777" w:rsidR="00F67E9E" w:rsidRDefault="00F67E9E" w:rsidP="00F67E9E"/>
    <w:p w14:paraId="345F876E" w14:textId="77777777" w:rsidR="00F67E9E" w:rsidRDefault="00F67E9E" w:rsidP="00F67E9E"/>
    <w:p w14:paraId="4FDB490C" w14:textId="77777777" w:rsidR="00F67E9E" w:rsidRDefault="00F67E9E" w:rsidP="00F67E9E">
      <w:pPr>
        <w:sectPr w:rsidR="00F67E9E" w:rsidSect="00240D26">
          <w:headerReference w:type="default" r:id="rId88"/>
          <w:footerReference w:type="default" r:id="rId89"/>
          <w:footerReference w:type="first" r:id="rId90"/>
          <w:pgSz w:w="11900" w:h="16840" w:code="9"/>
          <w:pgMar w:top="1701" w:right="851" w:bottom="1134" w:left="851" w:header="567" w:footer="567" w:gutter="0"/>
          <w:cols w:space="720"/>
          <w:docGrid w:linePitch="360"/>
        </w:sectPr>
      </w:pPr>
    </w:p>
    <w:p w14:paraId="2A8E3324" w14:textId="77777777" w:rsidR="00F67E9E" w:rsidRPr="00D5341B" w:rsidRDefault="00F67E9E" w:rsidP="00F67E9E">
      <w:pPr>
        <w:pStyle w:val="Dividername"/>
      </w:pPr>
      <w:r w:rsidRPr="00D5341B">
        <w:t>Schedule 15</w:t>
      </w:r>
    </w:p>
    <w:p w14:paraId="2C4CC77E" w14:textId="77777777" w:rsidR="00F67E9E" w:rsidRPr="0080013D" w:rsidRDefault="00F67E9E" w:rsidP="00F67E9E">
      <w:pPr>
        <w:pStyle w:val="Dividername"/>
      </w:pPr>
      <w:r w:rsidRPr="0080013D">
        <w:t xml:space="preserve">Charges </w:t>
      </w:r>
      <w:r>
        <w:t>a</w:t>
      </w:r>
      <w:r w:rsidRPr="0080013D">
        <w:t>nd Invoicing</w:t>
      </w:r>
    </w:p>
    <w:p w14:paraId="188DF754" w14:textId="77777777" w:rsidR="00F67E9E" w:rsidRPr="00D5341B" w:rsidRDefault="00F67E9E" w:rsidP="00F67E9E"/>
    <w:p w14:paraId="19562118" w14:textId="77777777" w:rsidR="00F67E9E" w:rsidRPr="00D5341B" w:rsidRDefault="00F67E9E" w:rsidP="00F67E9E"/>
    <w:p w14:paraId="18404573" w14:textId="77777777" w:rsidR="00F67E9E" w:rsidRPr="00D5341B" w:rsidRDefault="00F67E9E" w:rsidP="00F67E9E">
      <w:r w:rsidRPr="00D5341B">
        <w:br w:type="page"/>
      </w:r>
    </w:p>
    <w:p w14:paraId="74B51B4D" w14:textId="77777777" w:rsidR="00F67E9E" w:rsidRPr="005D0525" w:rsidRDefault="00F67E9E" w:rsidP="00F67E9E">
      <w:pPr>
        <w:pStyle w:val="Heading1"/>
      </w:pPr>
      <w:bookmarkStart w:id="921" w:name="Schedule15"/>
      <w:bookmarkStart w:id="922" w:name="_Ref92199959"/>
      <w:bookmarkStart w:id="923" w:name="_Toc141711937"/>
      <w:r w:rsidRPr="005D0525">
        <w:t>Schedule</w:t>
      </w:r>
      <w:r>
        <w:t> </w:t>
      </w:r>
      <w:r w:rsidRPr="005D0525">
        <w:t>15</w:t>
      </w:r>
      <w:bookmarkEnd w:id="921"/>
      <w:r>
        <w:t xml:space="preserve">: </w:t>
      </w:r>
      <w:bookmarkStart w:id="924" w:name="Schedule15Heading"/>
      <w:r w:rsidRPr="005F1047">
        <w:t>Charges and Invoicing</w:t>
      </w:r>
      <w:bookmarkEnd w:id="922"/>
      <w:bookmarkEnd w:id="923"/>
      <w:bookmarkEnd w:id="924"/>
    </w:p>
    <w:p w14:paraId="62E54099" w14:textId="77777777" w:rsidR="00F67E9E" w:rsidRPr="00D5341B" w:rsidRDefault="00F67E9E" w:rsidP="00F67E9E">
      <w:pPr>
        <w:pStyle w:val="Numbered1"/>
        <w:numPr>
          <w:ilvl w:val="0"/>
          <w:numId w:val="168"/>
        </w:numPr>
      </w:pPr>
      <w:r w:rsidRPr="00D5341B">
        <w:t>Definitions</w:t>
      </w:r>
    </w:p>
    <w:p w14:paraId="0FEC0F84" w14:textId="77777777" w:rsidR="00F67E9E" w:rsidRPr="00D5341B" w:rsidRDefault="00F67E9E" w:rsidP="00F67E9E">
      <w:pPr>
        <w:pStyle w:val="Numbered11"/>
      </w:pPr>
      <w:r w:rsidRPr="00D5341B">
        <w:t xml:space="preserve">In this Schedule, the following </w:t>
      </w:r>
      <w:r w:rsidRPr="00772237">
        <w:t>definitions</w:t>
      </w:r>
      <w:r w:rsidRPr="00D5341B">
        <w:t xml:space="preserve"> shall apply:</w:t>
      </w:r>
    </w:p>
    <w:tbl>
      <w:tblPr>
        <w:tblStyle w:val="MSAdefinitions"/>
        <w:tblW w:w="9638" w:type="dxa"/>
        <w:tblLook w:val="04A0" w:firstRow="1" w:lastRow="0" w:firstColumn="1" w:lastColumn="0" w:noHBand="0" w:noVBand="1"/>
      </w:tblPr>
      <w:tblGrid>
        <w:gridCol w:w="2835"/>
        <w:gridCol w:w="6803"/>
      </w:tblGrid>
      <w:tr w:rsidR="00F67E9E" w:rsidRPr="00D5341B" w14:paraId="1DCB96B0" w14:textId="77777777" w:rsidTr="007F74AA">
        <w:tc>
          <w:tcPr>
            <w:tcW w:w="2835" w:type="dxa"/>
          </w:tcPr>
          <w:p w14:paraId="6E1BFDF0" w14:textId="77777777" w:rsidR="00F67E9E" w:rsidRPr="00D5341B" w:rsidRDefault="00F67E9E" w:rsidP="007F74AA">
            <w:pPr>
              <w:pStyle w:val="StdBodyTextBold"/>
              <w:rPr>
                <w:rFonts w:cs="Arial"/>
              </w:rPr>
            </w:pPr>
            <w:r>
              <w:rPr>
                <w:rFonts w:cs="Arial"/>
              </w:rPr>
              <w:t>“</w:t>
            </w:r>
            <w:r w:rsidRPr="00D5341B">
              <w:rPr>
                <w:rFonts w:cs="Arial"/>
              </w:rPr>
              <w:t>Achieved Profit Margin</w:t>
            </w:r>
            <w:r>
              <w:rPr>
                <w:rFonts w:cs="Arial"/>
              </w:rPr>
              <w:t>”</w:t>
            </w:r>
          </w:p>
        </w:tc>
        <w:tc>
          <w:tcPr>
            <w:tcW w:w="6803" w:type="dxa"/>
          </w:tcPr>
          <w:p w14:paraId="42E9C8DD" w14:textId="4742F6C1" w:rsidR="00F67E9E" w:rsidRPr="00D5341B" w:rsidRDefault="00F67E9E" w:rsidP="007F74AA">
            <w:pPr>
              <w:pStyle w:val="StdBodyText"/>
              <w:rPr>
                <w:rFonts w:cs="Arial"/>
              </w:rPr>
            </w:pPr>
            <w:r w:rsidRPr="00D5341B">
              <w:rPr>
                <w:rFonts w:cs="Arial"/>
              </w:rPr>
              <w:t xml:space="preserve">the cumulative Supplier Profit Margin calculated from (and including) the Effective Date (or, if applicable, the date of the last adjustment to the Charges made pursuant to </w:t>
            </w:r>
            <w:bookmarkStart w:id="925" w:name="_9kR3WTr2CC5CEYEnoewrqyCL"/>
            <w:r w:rsidRPr="00D5341B">
              <w:rPr>
                <w:rFonts w:cs="Arial"/>
              </w:rPr>
              <w:t>Paragraph</w:t>
            </w:r>
            <w:bookmarkEnd w:id="925"/>
            <w:r>
              <w:rPr>
                <w:rFonts w:cs="Arial"/>
              </w:rPr>
              <w:t> </w:t>
            </w:r>
            <w:r w:rsidRPr="00D5341B">
              <w:rPr>
                <w:rFonts w:cs="Arial"/>
              </w:rPr>
              <w:fldChar w:fldCharType="begin"/>
            </w:r>
            <w:r w:rsidRPr="00D5341B">
              <w:rPr>
                <w:rFonts w:cs="Arial"/>
              </w:rPr>
              <w:instrText xml:space="preserve"> REF _Ref41640294 \w \h </w:instrText>
            </w:r>
            <w:r>
              <w:rPr>
                <w:rFonts w:cs="Arial"/>
              </w:rPr>
              <w:instrText xml:space="preserve"> \* MERGEFORMAT </w:instrText>
            </w:r>
            <w:r w:rsidRPr="00D5341B">
              <w:rPr>
                <w:rFonts w:cs="Arial"/>
              </w:rPr>
            </w:r>
            <w:r w:rsidRPr="00D5341B">
              <w:rPr>
                <w:rFonts w:cs="Arial"/>
              </w:rPr>
              <w:fldChar w:fldCharType="separate"/>
            </w:r>
            <w:r w:rsidR="00302D39">
              <w:rPr>
                <w:rFonts w:cs="Arial"/>
              </w:rPr>
              <w:t>2.2</w:t>
            </w:r>
            <w:r w:rsidRPr="00D5341B">
              <w:rPr>
                <w:rFonts w:cs="Arial"/>
              </w:rPr>
              <w:fldChar w:fldCharType="end"/>
            </w:r>
            <w:r w:rsidRPr="00D5341B">
              <w:rPr>
                <w:rFonts w:cs="Arial"/>
              </w:rPr>
              <w:t xml:space="preserve"> of </w:t>
            </w:r>
            <w:r w:rsidRPr="00D5341B">
              <w:rPr>
                <w:rFonts w:cs="Arial"/>
              </w:rPr>
              <w:fldChar w:fldCharType="begin"/>
            </w:r>
            <w:r w:rsidRPr="00D5341B">
              <w:rPr>
                <w:rFonts w:cs="Arial"/>
              </w:rPr>
              <w:instrText xml:space="preserve"> REF Sch15PartD \h  \* MERGEFORMAT </w:instrText>
            </w:r>
            <w:r w:rsidRPr="00D5341B">
              <w:rPr>
                <w:rFonts w:cs="Arial"/>
              </w:rPr>
            </w:r>
            <w:r w:rsidRPr="00D5341B">
              <w:rPr>
                <w:rFonts w:cs="Arial"/>
              </w:rPr>
              <w:fldChar w:fldCharType="separate"/>
            </w:r>
            <w:r w:rsidR="00302D39" w:rsidRPr="00302D39">
              <w:rPr>
                <w:rFonts w:cs="Arial"/>
              </w:rPr>
              <w:t>Part D</w:t>
            </w:r>
            <w:r w:rsidRPr="00D5341B">
              <w:rPr>
                <w:rFonts w:cs="Arial"/>
              </w:rPr>
              <w:fldChar w:fldCharType="end"/>
            </w:r>
            <w:r w:rsidRPr="00D5341B">
              <w:rPr>
                <w:rFonts w:cs="Arial"/>
              </w:rPr>
              <w:t>) to (and including) the last day of the previous Contract Year;</w:t>
            </w:r>
          </w:p>
        </w:tc>
      </w:tr>
      <w:tr w:rsidR="00F67E9E" w:rsidRPr="00277440" w14:paraId="5B10E2AD" w14:textId="77777777" w:rsidTr="007F74AA">
        <w:tc>
          <w:tcPr>
            <w:tcW w:w="2835" w:type="dxa"/>
          </w:tcPr>
          <w:p w14:paraId="26608D98" w14:textId="77777777" w:rsidR="00F67E9E" w:rsidRPr="00D5341B" w:rsidRDefault="00F67E9E" w:rsidP="007F74AA">
            <w:pPr>
              <w:pStyle w:val="StdBodyTextBold"/>
              <w:rPr>
                <w:rFonts w:cs="Arial"/>
              </w:rPr>
            </w:pPr>
            <w:r>
              <w:rPr>
                <w:rFonts w:cs="Arial"/>
              </w:rPr>
              <w:t>“</w:t>
            </w:r>
            <w:r w:rsidRPr="00D5341B">
              <w:rPr>
                <w:rFonts w:cs="Arial"/>
              </w:rPr>
              <w:t>Anticipated Contract Life Profit Margin</w:t>
            </w:r>
            <w:r>
              <w:rPr>
                <w:rFonts w:cs="Arial"/>
              </w:rPr>
              <w:t>”</w:t>
            </w:r>
          </w:p>
        </w:tc>
        <w:tc>
          <w:tcPr>
            <w:tcW w:w="6803" w:type="dxa"/>
          </w:tcPr>
          <w:p w14:paraId="6124C7C6" w14:textId="77777777" w:rsidR="00F67E9E" w:rsidRPr="00277440" w:rsidRDefault="00F67E9E" w:rsidP="007F74AA">
            <w:pPr>
              <w:pStyle w:val="StdBodyText"/>
              <w:rPr>
                <w:rFonts w:cs="Arial"/>
              </w:rPr>
            </w:pPr>
            <w:r w:rsidRPr="00D5341B">
              <w:rPr>
                <w:rFonts w:cs="Arial"/>
              </w:rPr>
              <w:t>the anticipated Supplier Profit Margin over the Term as reflected in the Financial Model;</w:t>
            </w:r>
          </w:p>
        </w:tc>
      </w:tr>
      <w:tr w:rsidR="00F67E9E" w:rsidRPr="00277440" w14:paraId="233917E9" w14:textId="77777777" w:rsidTr="007F74AA">
        <w:tc>
          <w:tcPr>
            <w:tcW w:w="2835" w:type="dxa"/>
          </w:tcPr>
          <w:p w14:paraId="31D4E855" w14:textId="77777777" w:rsidR="00F67E9E" w:rsidRPr="00277440" w:rsidRDefault="00F67E9E" w:rsidP="007F74AA">
            <w:pPr>
              <w:pStyle w:val="StdBodyTextBold"/>
              <w:rPr>
                <w:rFonts w:cs="Arial"/>
              </w:rPr>
            </w:pPr>
            <w:r>
              <w:rPr>
                <w:rFonts w:cs="Arial"/>
              </w:rPr>
              <w:t>“</w:t>
            </w:r>
            <w:r w:rsidRPr="00277440">
              <w:rPr>
                <w:rFonts w:cs="Arial"/>
              </w:rPr>
              <w:t>Capped ADR</w:t>
            </w:r>
            <w:r>
              <w:rPr>
                <w:rFonts w:cs="Arial"/>
              </w:rPr>
              <w:t>”</w:t>
            </w:r>
          </w:p>
        </w:tc>
        <w:tc>
          <w:tcPr>
            <w:tcW w:w="6803" w:type="dxa"/>
          </w:tcPr>
          <w:p w14:paraId="4FE1C46B" w14:textId="77777777" w:rsidR="00F67E9E" w:rsidRPr="00277440" w:rsidRDefault="00F67E9E" w:rsidP="007F74AA">
            <w:pPr>
              <w:pStyle w:val="StdBodyText"/>
              <w:rPr>
                <w:rFonts w:cs="Arial"/>
              </w:rPr>
            </w:pPr>
            <w:r w:rsidRPr="00277440">
              <w:rPr>
                <w:rFonts w:cs="Arial"/>
              </w:rPr>
              <w:t xml:space="preserve">in relation to a Milestone Payment or Service Charge means a capped average day rate calculated by reference to a Time and Materials pricing mechanism, </w:t>
            </w:r>
            <w:r w:rsidRPr="00AA5727">
              <w:rPr>
                <w:rFonts w:cs="Arial"/>
              </w:rPr>
              <w:t>£</w:t>
            </w:r>
            <w:r w:rsidRPr="00B73DD6">
              <w:rPr>
                <w:rFonts w:cs="Arial"/>
                <w:b/>
                <w:highlight w:val="yellow"/>
              </w:rPr>
              <w:t>[insert</w:t>
            </w:r>
            <w:r w:rsidRPr="003053E3">
              <w:rPr>
                <w:rStyle w:val="StdBodyTextBoldChar"/>
                <w:rFonts w:cs="Arial"/>
                <w:b w:val="0"/>
                <w:bCs/>
                <w:iCs/>
                <w:highlight w:val="yellow"/>
              </w:rPr>
              <w:t xml:space="preserve"> amount</w:t>
            </w:r>
            <w:r w:rsidRPr="00277440">
              <w:rPr>
                <w:rFonts w:cs="Arial"/>
                <w:highlight w:val="yellow"/>
              </w:rPr>
              <w:t>]</w:t>
            </w:r>
            <w:r w:rsidRPr="00277440">
              <w:rPr>
                <w:rFonts w:cs="Arial"/>
              </w:rPr>
              <w:t>;</w:t>
            </w:r>
          </w:p>
        </w:tc>
      </w:tr>
      <w:tr w:rsidR="00F67E9E" w:rsidRPr="00D5341B" w14:paraId="14CFE067" w14:textId="77777777" w:rsidTr="007F74AA">
        <w:tc>
          <w:tcPr>
            <w:tcW w:w="2835" w:type="dxa"/>
          </w:tcPr>
          <w:p w14:paraId="605713B8" w14:textId="77777777" w:rsidR="00F67E9E" w:rsidRPr="00D5341B" w:rsidRDefault="00F67E9E" w:rsidP="007F74AA">
            <w:pPr>
              <w:pStyle w:val="StdBodyTextBold"/>
              <w:rPr>
                <w:rFonts w:cs="Arial"/>
              </w:rPr>
            </w:pPr>
            <w:r>
              <w:rPr>
                <w:rFonts w:cs="Arial"/>
              </w:rPr>
              <w:t>“</w:t>
            </w:r>
            <w:r w:rsidRPr="00D5341B">
              <w:rPr>
                <w:rFonts w:cs="Arial"/>
              </w:rPr>
              <w:t>Certificate of Costs</w:t>
            </w:r>
            <w:r>
              <w:rPr>
                <w:rFonts w:cs="Arial"/>
              </w:rPr>
              <w:t>”</w:t>
            </w:r>
          </w:p>
        </w:tc>
        <w:tc>
          <w:tcPr>
            <w:tcW w:w="6803" w:type="dxa"/>
          </w:tcPr>
          <w:p w14:paraId="079C5E07" w14:textId="6A5F8737" w:rsidR="00F67E9E" w:rsidRPr="00D5341B" w:rsidRDefault="00F67E9E" w:rsidP="007F74AA">
            <w:pPr>
              <w:pStyle w:val="StdBodyText"/>
              <w:rPr>
                <w:rFonts w:cs="Arial"/>
              </w:rPr>
            </w:pPr>
            <w:r w:rsidRPr="00D5341B">
              <w:rPr>
                <w:rFonts w:cs="Arial"/>
              </w:rPr>
              <w:t>a certificate of costs signed by the Supplier</w:t>
            </w:r>
            <w:r>
              <w:rPr>
                <w:rFonts w:cs="Arial"/>
              </w:rPr>
              <w:t>’</w:t>
            </w:r>
            <w:r w:rsidRPr="00D5341B">
              <w:rPr>
                <w:rFonts w:cs="Arial"/>
              </w:rPr>
              <w:t xml:space="preserve">s Chief Financial Officer or Director of Finance (or equivalent as agreed in writing by the Authority in advance of issue of the relevant certificate) and substantially in the format set out in Annex </w:t>
            </w:r>
            <w:r w:rsidRPr="00D5341B">
              <w:rPr>
                <w:rFonts w:cs="Arial"/>
              </w:rPr>
              <w:fldChar w:fldCharType="begin"/>
            </w:r>
            <w:r w:rsidRPr="00D5341B">
              <w:rPr>
                <w:rFonts w:cs="Arial"/>
              </w:rPr>
              <w:instrText xml:space="preserve"> REF ANNEX3_SCHEDULE15 \h </w:instrText>
            </w:r>
            <w:r>
              <w:rPr>
                <w:rFonts w:cs="Arial"/>
              </w:rPr>
              <w:instrText xml:space="preserve"> \* MERGEFORMAT </w:instrText>
            </w:r>
            <w:r w:rsidRPr="00D5341B">
              <w:rPr>
                <w:rFonts w:cs="Arial"/>
              </w:rPr>
            </w:r>
            <w:r w:rsidRPr="00D5341B">
              <w:rPr>
                <w:rFonts w:cs="Arial"/>
              </w:rPr>
              <w:fldChar w:fldCharType="separate"/>
            </w:r>
            <w:r w:rsidR="00302D39" w:rsidRPr="00302D39">
              <w:rPr>
                <w:rFonts w:cs="Arial"/>
              </w:rPr>
              <w:t>3</w:t>
            </w:r>
            <w:r w:rsidRPr="00D5341B">
              <w:rPr>
                <w:rFonts w:cs="Arial"/>
              </w:rPr>
              <w:fldChar w:fldCharType="end"/>
            </w:r>
            <w:r w:rsidRPr="00D5341B">
              <w:rPr>
                <w:rFonts w:cs="Arial"/>
              </w:rPr>
              <w:t>;</w:t>
            </w:r>
          </w:p>
        </w:tc>
      </w:tr>
      <w:tr w:rsidR="00F67E9E" w:rsidRPr="00D5341B" w14:paraId="511D2898" w14:textId="77777777" w:rsidTr="007F74AA">
        <w:tc>
          <w:tcPr>
            <w:tcW w:w="2835" w:type="dxa"/>
          </w:tcPr>
          <w:p w14:paraId="05E08931" w14:textId="77777777" w:rsidR="00F67E9E" w:rsidRPr="00D5341B" w:rsidRDefault="00F67E9E" w:rsidP="007F74AA">
            <w:pPr>
              <w:pStyle w:val="StdBodyTextBold"/>
              <w:rPr>
                <w:rFonts w:cs="Arial"/>
              </w:rPr>
            </w:pPr>
            <w:r>
              <w:rPr>
                <w:rFonts w:cs="Arial"/>
              </w:rPr>
              <w:t>“</w:t>
            </w:r>
            <w:r w:rsidRPr="00D5341B">
              <w:rPr>
                <w:rFonts w:cs="Arial"/>
              </w:rPr>
              <w:t>Costs</w:t>
            </w:r>
            <w:r>
              <w:rPr>
                <w:rFonts w:cs="Arial"/>
              </w:rPr>
              <w:t>”</w:t>
            </w:r>
          </w:p>
        </w:tc>
        <w:tc>
          <w:tcPr>
            <w:tcW w:w="6803" w:type="dxa"/>
          </w:tcPr>
          <w:p w14:paraId="11FBD201" w14:textId="77777777" w:rsidR="00F67E9E" w:rsidRPr="00D5341B" w:rsidRDefault="00F67E9E" w:rsidP="007F74AA">
            <w:pPr>
              <w:pStyle w:val="StdBodyText"/>
              <w:rPr>
                <w:rFonts w:cs="Arial"/>
              </w:rPr>
            </w:pPr>
            <w:r w:rsidRPr="00D5341B">
              <w:rPr>
                <w:rFonts w:cs="Arial"/>
              </w:rPr>
              <w:t>the following costs (without double recovery) to the extent that they are reasonably and properly incurred by the Supplier in providing the Services:</w:t>
            </w:r>
          </w:p>
          <w:p w14:paraId="04B4227F" w14:textId="77777777" w:rsidR="00F67E9E" w:rsidRPr="00D5341B" w:rsidRDefault="00F67E9E" w:rsidP="007F74AA">
            <w:pPr>
              <w:pStyle w:val="DefinitionList"/>
              <w:numPr>
                <w:ilvl w:val="0"/>
                <w:numId w:val="128"/>
              </w:numPr>
            </w:pPr>
            <w:bookmarkStart w:id="926" w:name="_Ref_ContractCompanion_9kb9Ur9ID"/>
            <w:bookmarkStart w:id="927" w:name="_9kR3WTrAG8DMJeJfifw5qDOJVQDJK24Cyu5MSUQ"/>
            <w:r w:rsidRPr="00D5341B">
              <w:t>the cost to the Supplier or the Key Sub-contractor (as the context requires), calculated per Work Day, of engaging the Supplier Personnel, including:</w:t>
            </w:r>
            <w:bookmarkEnd w:id="926"/>
            <w:bookmarkEnd w:id="927"/>
          </w:p>
          <w:p w14:paraId="0D9C031C" w14:textId="77777777" w:rsidR="00F67E9E" w:rsidRPr="00D5341B" w:rsidRDefault="00F67E9E" w:rsidP="00F67E9E">
            <w:pPr>
              <w:pStyle w:val="DefinitionListLevel1"/>
              <w:numPr>
                <w:ilvl w:val="1"/>
                <w:numId w:val="108"/>
              </w:numPr>
              <w:rPr>
                <w:rFonts w:cs="Arial"/>
              </w:rPr>
            </w:pPr>
            <w:r w:rsidRPr="00D5341B">
              <w:rPr>
                <w:rFonts w:cs="Arial"/>
              </w:rPr>
              <w:t>base salary paid to the Supplier Personnel;</w:t>
            </w:r>
          </w:p>
          <w:p w14:paraId="352FF9A7" w14:textId="77777777" w:rsidR="00F67E9E" w:rsidRPr="00D5341B" w:rsidRDefault="00F67E9E" w:rsidP="00F67E9E">
            <w:pPr>
              <w:pStyle w:val="DefinitionListLevel1"/>
              <w:numPr>
                <w:ilvl w:val="1"/>
                <w:numId w:val="108"/>
              </w:numPr>
              <w:rPr>
                <w:rFonts w:cs="Arial"/>
              </w:rPr>
            </w:pPr>
            <w:r w:rsidRPr="00D5341B">
              <w:rPr>
                <w:rFonts w:cs="Arial"/>
              </w:rPr>
              <w:t>employer</w:t>
            </w:r>
            <w:r>
              <w:rPr>
                <w:rFonts w:cs="Arial"/>
              </w:rPr>
              <w:t>’</w:t>
            </w:r>
            <w:r w:rsidRPr="00D5341B">
              <w:rPr>
                <w:rFonts w:cs="Arial"/>
              </w:rPr>
              <w:t>s national insurance contributions;</w:t>
            </w:r>
          </w:p>
          <w:p w14:paraId="0C894327" w14:textId="77777777" w:rsidR="00F67E9E" w:rsidRPr="00D5341B" w:rsidRDefault="00F67E9E" w:rsidP="00F67E9E">
            <w:pPr>
              <w:pStyle w:val="DefinitionListLevel1"/>
              <w:numPr>
                <w:ilvl w:val="1"/>
                <w:numId w:val="108"/>
              </w:numPr>
              <w:rPr>
                <w:rFonts w:cs="Arial"/>
              </w:rPr>
            </w:pPr>
            <w:r w:rsidRPr="00D5341B">
              <w:rPr>
                <w:rFonts w:cs="Arial"/>
              </w:rPr>
              <w:t>Employer Pension Contributions;</w:t>
            </w:r>
          </w:p>
          <w:p w14:paraId="08E1ED96" w14:textId="77777777" w:rsidR="00F67E9E" w:rsidRPr="00D5341B" w:rsidRDefault="00F67E9E" w:rsidP="00F67E9E">
            <w:pPr>
              <w:pStyle w:val="DefinitionListLevel1"/>
              <w:numPr>
                <w:ilvl w:val="1"/>
                <w:numId w:val="108"/>
              </w:numPr>
              <w:rPr>
                <w:rFonts w:cs="Arial"/>
              </w:rPr>
            </w:pPr>
            <w:r w:rsidRPr="00D5341B">
              <w:rPr>
                <w:rFonts w:cs="Arial"/>
              </w:rPr>
              <w:t xml:space="preserve">car allowances; </w:t>
            </w:r>
          </w:p>
          <w:p w14:paraId="5E6452BB" w14:textId="77777777" w:rsidR="00F67E9E" w:rsidRPr="00D5341B" w:rsidRDefault="00F67E9E" w:rsidP="00F67E9E">
            <w:pPr>
              <w:pStyle w:val="DefinitionListLevel1"/>
              <w:numPr>
                <w:ilvl w:val="1"/>
                <w:numId w:val="108"/>
              </w:numPr>
              <w:rPr>
                <w:rFonts w:cs="Arial"/>
              </w:rPr>
            </w:pPr>
            <w:r w:rsidRPr="00D5341B">
              <w:rPr>
                <w:rFonts w:cs="Arial"/>
              </w:rPr>
              <w:t xml:space="preserve">any other contractual employment benefits; </w:t>
            </w:r>
          </w:p>
          <w:p w14:paraId="49C6B576" w14:textId="77777777" w:rsidR="00F67E9E" w:rsidRPr="00D5341B" w:rsidRDefault="00F67E9E" w:rsidP="00F67E9E">
            <w:pPr>
              <w:pStyle w:val="DefinitionListLevel1"/>
              <w:numPr>
                <w:ilvl w:val="1"/>
                <w:numId w:val="108"/>
              </w:numPr>
              <w:rPr>
                <w:rFonts w:cs="Arial"/>
              </w:rPr>
            </w:pPr>
            <w:r w:rsidRPr="00D5341B">
              <w:rPr>
                <w:rFonts w:cs="Arial"/>
              </w:rPr>
              <w:t>staff training;</w:t>
            </w:r>
          </w:p>
          <w:p w14:paraId="672C4E6D" w14:textId="77777777" w:rsidR="00F67E9E" w:rsidRPr="00D5341B" w:rsidRDefault="00F67E9E" w:rsidP="00F67E9E">
            <w:pPr>
              <w:pStyle w:val="DefinitionListLevel1"/>
              <w:numPr>
                <w:ilvl w:val="1"/>
                <w:numId w:val="108"/>
              </w:numPr>
              <w:rPr>
                <w:rFonts w:cs="Arial"/>
              </w:rPr>
            </w:pPr>
            <w:r w:rsidRPr="00D5341B">
              <w:rPr>
                <w:rFonts w:cs="Arial"/>
              </w:rPr>
              <w:t>work place accommodation;</w:t>
            </w:r>
          </w:p>
          <w:p w14:paraId="29C98E48" w14:textId="5C91AE6B" w:rsidR="00F67E9E" w:rsidRPr="00D5341B" w:rsidRDefault="00F67E9E" w:rsidP="00F67E9E">
            <w:pPr>
              <w:pStyle w:val="DefinitionListLevel1"/>
              <w:numPr>
                <w:ilvl w:val="1"/>
                <w:numId w:val="108"/>
              </w:numPr>
              <w:rPr>
                <w:rFonts w:cs="Arial"/>
              </w:rPr>
            </w:pPr>
            <w:r w:rsidRPr="00D5341B">
              <w:rPr>
                <w:rFonts w:cs="Arial"/>
              </w:rPr>
              <w:t xml:space="preserve">work place IT equipment and tools reasonably necessary to perform the Services (but not including items included within limb </w:t>
            </w:r>
            <w:r w:rsidRPr="00D5341B">
              <w:rPr>
                <w:rFonts w:cs="Arial"/>
              </w:rPr>
              <w:fldChar w:fldCharType="begin"/>
            </w:r>
            <w:r w:rsidRPr="00D5341B">
              <w:rPr>
                <w:rFonts w:cs="Arial"/>
              </w:rPr>
              <w:instrText xml:space="preserve"> REF _Ref_ContractCompanion_9kb9Ur9IG \r \h  \* MERGEFORMAT </w:instrText>
            </w:r>
            <w:r w:rsidRPr="00D5341B">
              <w:rPr>
                <w:rFonts w:cs="Arial"/>
              </w:rPr>
            </w:r>
            <w:r w:rsidRPr="00D5341B">
              <w:rPr>
                <w:rFonts w:cs="Arial"/>
              </w:rPr>
              <w:fldChar w:fldCharType="separate"/>
            </w:r>
            <w:r w:rsidR="00302D39">
              <w:rPr>
                <w:rFonts w:cs="Arial"/>
              </w:rPr>
              <w:t>(b)</w:t>
            </w:r>
            <w:r w:rsidRPr="00D5341B">
              <w:rPr>
                <w:rFonts w:cs="Arial"/>
              </w:rPr>
              <w:fldChar w:fldCharType="end"/>
            </w:r>
            <w:r w:rsidRPr="00D5341B">
              <w:rPr>
                <w:rFonts w:cs="Arial"/>
              </w:rPr>
              <w:t xml:space="preserve"> below); and</w:t>
            </w:r>
          </w:p>
          <w:p w14:paraId="34641C1A" w14:textId="77777777" w:rsidR="00F67E9E" w:rsidRPr="00D5341B" w:rsidRDefault="00F67E9E" w:rsidP="00F67E9E">
            <w:pPr>
              <w:pStyle w:val="DefinitionListLevel1"/>
              <w:numPr>
                <w:ilvl w:val="1"/>
                <w:numId w:val="108"/>
              </w:numPr>
              <w:rPr>
                <w:rFonts w:cs="Arial"/>
              </w:rPr>
            </w:pPr>
            <w:bookmarkStart w:id="928" w:name="_9kR3WTr8HB46Fx0"/>
            <w:bookmarkEnd w:id="928"/>
            <w:r w:rsidRPr="00D5341B">
              <w:rPr>
                <w:rFonts w:cs="Arial"/>
              </w:rPr>
              <w:t>reasonable recruitment costs, as agreed with the Authority;</w:t>
            </w:r>
          </w:p>
          <w:p w14:paraId="7F96D0E8" w14:textId="77777777" w:rsidR="00F67E9E" w:rsidRPr="00D5341B" w:rsidRDefault="00F67E9E" w:rsidP="007F74AA">
            <w:pPr>
              <w:pStyle w:val="DefinitionList"/>
              <w:numPr>
                <w:ilvl w:val="0"/>
                <w:numId w:val="128"/>
              </w:numPr>
              <w:rPr>
                <w:rFonts w:cs="Arial"/>
              </w:rPr>
            </w:pPr>
            <w:bookmarkStart w:id="929" w:name="_Ref_ContractCompanion_9kb9Ur9IG"/>
            <w:bookmarkStart w:id="930" w:name="_Ref_ContractCompanion_9kb9Us119"/>
            <w:r w:rsidRPr="00D5341B">
              <w:rPr>
                <w:rFonts w:cs="Arial"/>
              </w:rPr>
              <w:t xml:space="preserve">costs incurred in respect of those Assets which are detailed on the Registers and which would be treated as capital costs according to generally accepted accounting principles within the UK, which shall include the cost to be charged in respect of Assets by </w:t>
            </w:r>
            <w:r w:rsidRPr="00772237">
              <w:t>the</w:t>
            </w:r>
            <w:r w:rsidRPr="00D5341B">
              <w:rPr>
                <w:rFonts w:cs="Arial"/>
              </w:rPr>
              <w:t xml:space="preserve"> Supplier to the Authority or (to the extent that risk and title in any Asset is not held by the Supplier) any cost actually incurred by the Supplier in respect of those Assets;</w:t>
            </w:r>
            <w:bookmarkEnd w:id="929"/>
            <w:bookmarkEnd w:id="930"/>
          </w:p>
          <w:p w14:paraId="57D94EB7" w14:textId="29819CB0" w:rsidR="00F67E9E" w:rsidRPr="00D5341B" w:rsidRDefault="00F67E9E" w:rsidP="007F74AA">
            <w:pPr>
              <w:pStyle w:val="DefinitionList"/>
              <w:numPr>
                <w:ilvl w:val="0"/>
                <w:numId w:val="128"/>
              </w:numPr>
              <w:rPr>
                <w:rFonts w:cs="Arial"/>
              </w:rPr>
            </w:pPr>
            <w:bookmarkStart w:id="931" w:name="_Ref_ContractCompanion_9kb9Us123"/>
            <w:bookmarkStart w:id="932" w:name="_9kR3WTrAG9569bJfifw5qDOJVQDJK3o2G7A7AJF"/>
            <w:r w:rsidRPr="00D5341B">
              <w:rPr>
                <w:rFonts w:cs="Arial"/>
              </w:rPr>
              <w:t xml:space="preserve">operational costs which are not included within </w:t>
            </w:r>
            <w:bookmarkStart w:id="933" w:name="_9kMHG5YVtCIAFOLgLhkhy7sFQLXSFLM46E0w7OU"/>
            <w:r w:rsidRPr="00D5341B">
              <w:rPr>
                <w:rFonts w:cs="Arial"/>
              </w:rPr>
              <w:fldChar w:fldCharType="begin"/>
            </w:r>
            <w:r w:rsidRPr="00D5341B">
              <w:rPr>
                <w:rFonts w:cs="Arial"/>
              </w:rPr>
              <w:instrText xml:space="preserve"> REF _Ref_ContractCompanion_9kb9Ur9ID \w \n \h \t \* MERGEFORMAT </w:instrText>
            </w:r>
            <w:r w:rsidRPr="00D5341B">
              <w:rPr>
                <w:rFonts w:cs="Arial"/>
              </w:rPr>
            </w:r>
            <w:r w:rsidRPr="00D5341B">
              <w:rPr>
                <w:rFonts w:cs="Arial"/>
              </w:rPr>
              <w:fldChar w:fldCharType="separate"/>
            </w:r>
            <w:r w:rsidR="00302D39">
              <w:rPr>
                <w:rFonts w:cs="Arial"/>
              </w:rPr>
              <w:t>(a)</w:t>
            </w:r>
            <w:r w:rsidRPr="00D5341B">
              <w:rPr>
                <w:rFonts w:cs="Arial"/>
              </w:rPr>
              <w:fldChar w:fldCharType="end"/>
            </w:r>
            <w:bookmarkEnd w:id="933"/>
            <w:r w:rsidRPr="00D5341B">
              <w:rPr>
                <w:rFonts w:cs="Arial"/>
              </w:rPr>
              <w:t xml:space="preserve"> or </w:t>
            </w:r>
            <w:bookmarkStart w:id="934" w:name="_9kR3WTr2BBDMMq"/>
            <w:r w:rsidRPr="00D5341B">
              <w:rPr>
                <w:rFonts w:cs="Arial"/>
              </w:rPr>
              <w:fldChar w:fldCharType="begin"/>
            </w:r>
            <w:r w:rsidRPr="00D5341B">
              <w:rPr>
                <w:rFonts w:cs="Arial"/>
              </w:rPr>
              <w:instrText xml:space="preserve"> REF _Ref_ContractCompanion_9kb9Ur9IG \w \n \h \t \* MERGEFORMAT </w:instrText>
            </w:r>
            <w:r w:rsidRPr="00D5341B">
              <w:rPr>
                <w:rFonts w:cs="Arial"/>
              </w:rPr>
            </w:r>
            <w:r w:rsidRPr="00D5341B">
              <w:rPr>
                <w:rFonts w:cs="Arial"/>
              </w:rPr>
              <w:fldChar w:fldCharType="separate"/>
            </w:r>
            <w:r w:rsidR="00302D39">
              <w:rPr>
                <w:rFonts w:cs="Arial"/>
              </w:rPr>
              <w:t>(b)</w:t>
            </w:r>
            <w:r w:rsidRPr="00D5341B">
              <w:rPr>
                <w:rFonts w:cs="Arial"/>
              </w:rPr>
              <w:fldChar w:fldCharType="end"/>
            </w:r>
            <w:bookmarkEnd w:id="934"/>
            <w:r w:rsidRPr="00D5341B">
              <w:rPr>
                <w:rFonts w:cs="Arial"/>
              </w:rPr>
              <w:t xml:space="preserve"> above, to the extent that such costs are necessary and </w:t>
            </w:r>
            <w:r w:rsidRPr="00772237">
              <w:t>properly</w:t>
            </w:r>
            <w:r w:rsidRPr="00D5341B">
              <w:rPr>
                <w:rFonts w:cs="Arial"/>
              </w:rPr>
              <w:t xml:space="preserve"> incurred by the Supplier in the delivery of the Services;</w:t>
            </w:r>
            <w:bookmarkEnd w:id="931"/>
            <w:bookmarkEnd w:id="932"/>
          </w:p>
          <w:p w14:paraId="46AD94D4" w14:textId="77777777" w:rsidR="00F67E9E" w:rsidRPr="00D5341B" w:rsidRDefault="00F67E9E" w:rsidP="007F74AA">
            <w:pPr>
              <w:pStyle w:val="DefinitionList"/>
              <w:numPr>
                <w:ilvl w:val="0"/>
                <w:numId w:val="128"/>
              </w:numPr>
              <w:rPr>
                <w:rFonts w:cs="Arial"/>
              </w:rPr>
            </w:pPr>
            <w:r w:rsidRPr="00772237">
              <w:t>Forecast</w:t>
            </w:r>
            <w:r w:rsidRPr="00D5341B">
              <w:rPr>
                <w:rFonts w:cs="Arial"/>
              </w:rPr>
              <w:t xml:space="preserve"> Contingency Costs;</w:t>
            </w:r>
          </w:p>
          <w:p w14:paraId="0C335466" w14:textId="77777777" w:rsidR="00F67E9E" w:rsidRPr="00D5341B" w:rsidRDefault="00F67E9E" w:rsidP="007F74AA">
            <w:pPr>
              <w:pStyle w:val="DefinitionList"/>
              <w:numPr>
                <w:ilvl w:val="0"/>
                <w:numId w:val="128"/>
              </w:numPr>
              <w:rPr>
                <w:rFonts w:cs="Arial"/>
              </w:rPr>
            </w:pPr>
            <w:r w:rsidRPr="00D5341B">
              <w:rPr>
                <w:rFonts w:cs="Arial"/>
              </w:rPr>
              <w:t xml:space="preserve">Reimbursable Expenses to the extent these are </w:t>
            </w:r>
            <w:r w:rsidRPr="00772237">
              <w:t>incurred</w:t>
            </w:r>
            <w:r w:rsidRPr="00D5341B">
              <w:rPr>
                <w:rFonts w:cs="Arial"/>
              </w:rPr>
              <w:t xml:space="preserve"> in delivering any Services where the Charges for those Services are to be calculated on a Fixed Price or Firm Price pricing mechanism;</w:t>
            </w:r>
          </w:p>
          <w:p w14:paraId="28397631" w14:textId="77777777" w:rsidR="00F67E9E" w:rsidRPr="00D5341B" w:rsidRDefault="00F67E9E" w:rsidP="007F74AA">
            <w:pPr>
              <w:pStyle w:val="StdBodyText"/>
              <w:rPr>
                <w:rFonts w:cs="Arial"/>
              </w:rPr>
            </w:pPr>
            <w:r w:rsidRPr="00D5341B">
              <w:rPr>
                <w:rFonts w:cs="Arial"/>
              </w:rPr>
              <w:t>but excluding:</w:t>
            </w:r>
          </w:p>
          <w:p w14:paraId="3F7804ED" w14:textId="77777777" w:rsidR="00F67E9E" w:rsidRPr="00D5341B" w:rsidRDefault="00F67E9E" w:rsidP="00F67E9E">
            <w:pPr>
              <w:pStyle w:val="DefinitionListLevel1"/>
              <w:numPr>
                <w:ilvl w:val="1"/>
                <w:numId w:val="108"/>
              </w:numPr>
              <w:rPr>
                <w:rFonts w:cs="Arial"/>
              </w:rPr>
            </w:pPr>
            <w:bookmarkStart w:id="935" w:name="_Ref_ContractCompanion_9kb9Us126"/>
            <w:r w:rsidRPr="00D5341B">
              <w:rPr>
                <w:rFonts w:cs="Arial"/>
              </w:rPr>
              <w:t>Overhead;</w:t>
            </w:r>
            <w:bookmarkEnd w:id="935"/>
          </w:p>
          <w:p w14:paraId="7A61CABE" w14:textId="77777777" w:rsidR="00F67E9E" w:rsidRPr="00D5341B" w:rsidRDefault="00F67E9E" w:rsidP="00F67E9E">
            <w:pPr>
              <w:pStyle w:val="DefinitionListLevel1"/>
              <w:numPr>
                <w:ilvl w:val="1"/>
                <w:numId w:val="108"/>
              </w:numPr>
              <w:rPr>
                <w:rFonts w:cs="Arial"/>
              </w:rPr>
            </w:pPr>
            <w:r w:rsidRPr="00D5341B">
              <w:rPr>
                <w:rFonts w:cs="Arial"/>
              </w:rPr>
              <w:t>financing or similar costs;</w:t>
            </w:r>
          </w:p>
          <w:p w14:paraId="14ABC247" w14:textId="77777777" w:rsidR="00F67E9E" w:rsidRPr="00D5341B" w:rsidRDefault="00F67E9E" w:rsidP="00F67E9E">
            <w:pPr>
              <w:pStyle w:val="DefinitionListLevel1"/>
              <w:numPr>
                <w:ilvl w:val="1"/>
                <w:numId w:val="108"/>
              </w:numPr>
              <w:rPr>
                <w:rFonts w:cs="Arial"/>
              </w:rPr>
            </w:pPr>
            <w:r w:rsidRPr="00D5341B">
              <w:rPr>
                <w:rFonts w:cs="Arial"/>
              </w:rPr>
              <w:t xml:space="preserve">maintenance and support costs to the extent that these relate to maintenance and/or support services provided beyond the Term, whether in relation to Assets or otherwise; </w:t>
            </w:r>
          </w:p>
          <w:p w14:paraId="1C48DCF6" w14:textId="77777777" w:rsidR="00F67E9E" w:rsidRPr="00D5341B" w:rsidRDefault="00F67E9E" w:rsidP="00F67E9E">
            <w:pPr>
              <w:pStyle w:val="DefinitionListLevel1"/>
              <w:numPr>
                <w:ilvl w:val="1"/>
                <w:numId w:val="108"/>
              </w:numPr>
              <w:rPr>
                <w:rFonts w:cs="Arial"/>
              </w:rPr>
            </w:pPr>
            <w:r w:rsidRPr="00D5341B">
              <w:rPr>
                <w:rFonts w:cs="Arial"/>
              </w:rPr>
              <w:t>taxation;</w:t>
            </w:r>
          </w:p>
          <w:p w14:paraId="32518191" w14:textId="77777777" w:rsidR="00F67E9E" w:rsidRPr="00D5341B" w:rsidRDefault="00F67E9E" w:rsidP="00F67E9E">
            <w:pPr>
              <w:pStyle w:val="DefinitionListLevel1"/>
              <w:numPr>
                <w:ilvl w:val="1"/>
                <w:numId w:val="108"/>
              </w:numPr>
              <w:rPr>
                <w:rFonts w:cs="Arial"/>
              </w:rPr>
            </w:pPr>
            <w:r w:rsidRPr="00D5341B">
              <w:rPr>
                <w:rFonts w:cs="Arial"/>
              </w:rPr>
              <w:t>fines and penalties;</w:t>
            </w:r>
          </w:p>
          <w:p w14:paraId="7BE453FD" w14:textId="6C30C098" w:rsidR="00F67E9E" w:rsidRPr="00D5341B" w:rsidRDefault="00F67E9E" w:rsidP="00F67E9E">
            <w:pPr>
              <w:pStyle w:val="DefinitionListLevel1"/>
              <w:numPr>
                <w:ilvl w:val="1"/>
                <w:numId w:val="108"/>
              </w:numPr>
              <w:rPr>
                <w:rFonts w:cs="Arial"/>
              </w:rPr>
            </w:pPr>
            <w:r w:rsidRPr="00D5341B">
              <w:rPr>
                <w:rFonts w:cs="Arial"/>
              </w:rPr>
              <w:t xml:space="preserve">amounts payable under </w:t>
            </w:r>
            <w:r>
              <w:rPr>
                <w:rFonts w:cs="Arial"/>
              </w:rPr>
              <w:fldChar w:fldCharType="begin"/>
            </w:r>
            <w:r>
              <w:rPr>
                <w:rFonts w:cs="Arial"/>
              </w:rPr>
              <w:instrText xml:space="preserve"> REF Schedule17 \h </w:instrText>
            </w:r>
            <w:r>
              <w:rPr>
                <w:rFonts w:cs="Arial"/>
              </w:rPr>
            </w:r>
            <w:r>
              <w:rPr>
                <w:rFonts w:cs="Arial"/>
              </w:rPr>
              <w:fldChar w:fldCharType="separate"/>
            </w:r>
            <w:r w:rsidR="00302D39" w:rsidRPr="005D0525">
              <w:t>Schedule</w:t>
            </w:r>
            <w:r w:rsidR="00302D39">
              <w:t> </w:t>
            </w:r>
            <w:r w:rsidR="00302D39" w:rsidRPr="005D0525">
              <w:t>17</w:t>
            </w:r>
            <w:r>
              <w:rPr>
                <w:rFonts w:cs="Arial"/>
              </w:rPr>
              <w:fldChar w:fldCharType="end"/>
            </w:r>
            <w:r>
              <w:rPr>
                <w:rFonts w:cs="Arial"/>
              </w:rPr>
              <w:t xml:space="preserve"> (</w:t>
            </w:r>
            <w:r w:rsidRPr="00B91437">
              <w:rPr>
                <w:rFonts w:cs="Arial"/>
                <w:i/>
                <w:iCs/>
              </w:rPr>
              <w:fldChar w:fldCharType="begin"/>
            </w:r>
            <w:r w:rsidRPr="00B91437">
              <w:rPr>
                <w:rFonts w:cs="Arial"/>
                <w:i/>
                <w:iCs/>
              </w:rPr>
              <w:instrText xml:space="preserve"> REF Schedule17Heading \h </w:instrText>
            </w:r>
            <w:r>
              <w:rPr>
                <w:rFonts w:cs="Arial"/>
                <w:i/>
                <w:iCs/>
              </w:rPr>
              <w:instrText xml:space="preserve"> \* MERGEFORMAT </w:instrText>
            </w:r>
            <w:r w:rsidRPr="00B91437">
              <w:rPr>
                <w:rFonts w:cs="Arial"/>
                <w:i/>
                <w:iCs/>
              </w:rPr>
            </w:r>
            <w:r w:rsidRPr="00B91437">
              <w:rPr>
                <w:rFonts w:cs="Arial"/>
                <w:i/>
                <w:iCs/>
              </w:rPr>
              <w:fldChar w:fldCharType="separate"/>
            </w:r>
            <w:r w:rsidR="00302D39" w:rsidRPr="00302D39">
              <w:rPr>
                <w:i/>
                <w:iCs/>
              </w:rPr>
              <w:t>Benchmarking</w:t>
            </w:r>
            <w:r w:rsidRPr="00B91437">
              <w:rPr>
                <w:rFonts w:cs="Arial"/>
                <w:i/>
                <w:iCs/>
              </w:rPr>
              <w:fldChar w:fldCharType="end"/>
            </w:r>
            <w:r>
              <w:rPr>
                <w:rFonts w:cs="Arial"/>
              </w:rPr>
              <w:t>)</w:t>
            </w:r>
            <w:r w:rsidRPr="00D5341B">
              <w:rPr>
                <w:rFonts w:cs="Arial"/>
              </w:rPr>
              <w:t xml:space="preserve">; and </w:t>
            </w:r>
          </w:p>
          <w:p w14:paraId="01771995" w14:textId="77777777" w:rsidR="00F67E9E" w:rsidRPr="00D5341B" w:rsidRDefault="00F67E9E" w:rsidP="00F67E9E">
            <w:pPr>
              <w:pStyle w:val="DefinitionListLevel1"/>
              <w:numPr>
                <w:ilvl w:val="1"/>
                <w:numId w:val="108"/>
              </w:numPr>
              <w:rPr>
                <w:rFonts w:cs="Arial"/>
              </w:rPr>
            </w:pPr>
            <w:bookmarkStart w:id="936" w:name="_Ref_ContractCompanion_9kb9Us129"/>
            <w:r w:rsidRPr="00D5341B">
              <w:rPr>
                <w:rFonts w:cs="Arial"/>
              </w:rPr>
              <w:t>non-cash items (including depreciation, amortisation, impairments and movements in provisions);</w:t>
            </w:r>
            <w:bookmarkEnd w:id="936"/>
          </w:p>
        </w:tc>
      </w:tr>
      <w:tr w:rsidR="00F67E9E" w:rsidRPr="00D5341B" w14:paraId="1342CF49" w14:textId="77777777" w:rsidTr="007F74AA">
        <w:tc>
          <w:tcPr>
            <w:tcW w:w="2835" w:type="dxa"/>
          </w:tcPr>
          <w:p w14:paraId="66AB234A" w14:textId="77777777" w:rsidR="00F67E9E" w:rsidRPr="00D5341B" w:rsidRDefault="00F67E9E" w:rsidP="007F74AA">
            <w:pPr>
              <w:pStyle w:val="StdBodyTextBold"/>
              <w:rPr>
                <w:rFonts w:cs="Arial"/>
              </w:rPr>
            </w:pPr>
            <w:r>
              <w:rPr>
                <w:rFonts w:cs="Arial"/>
              </w:rPr>
              <w:t>“</w:t>
            </w:r>
            <w:r w:rsidRPr="00D5341B">
              <w:rPr>
                <w:rFonts w:cs="Arial"/>
              </w:rPr>
              <w:t>Delay Payment Rate</w:t>
            </w:r>
            <w:r>
              <w:rPr>
                <w:rFonts w:cs="Arial"/>
              </w:rPr>
              <w:t>”</w:t>
            </w:r>
          </w:p>
        </w:tc>
        <w:tc>
          <w:tcPr>
            <w:tcW w:w="6803" w:type="dxa"/>
          </w:tcPr>
          <w:p w14:paraId="4E75AB8B" w14:textId="74F05313" w:rsidR="00F67E9E" w:rsidRPr="00D5341B" w:rsidRDefault="00F67E9E" w:rsidP="007F74AA">
            <w:pPr>
              <w:pStyle w:val="StdBodyText"/>
              <w:rPr>
                <w:rFonts w:cs="Arial"/>
              </w:rPr>
            </w:pPr>
            <w:r w:rsidRPr="00D5341B">
              <w:rPr>
                <w:rFonts w:cs="Arial"/>
              </w:rPr>
              <w:t xml:space="preserve">has the meaning given in </w:t>
            </w:r>
            <w:bookmarkStart w:id="937" w:name="_9kMHG5YVt4EE6AHeGpqgyts0DLv"/>
            <w:r w:rsidRPr="00D5341B">
              <w:rPr>
                <w:rFonts w:cs="Arial"/>
              </w:rPr>
              <w:t xml:space="preserve">Paragraph </w:t>
            </w:r>
            <w:bookmarkEnd w:id="937"/>
            <w:r w:rsidRPr="00D5341B">
              <w:rPr>
                <w:rFonts w:cs="Arial"/>
              </w:rPr>
              <w:fldChar w:fldCharType="begin"/>
            </w:r>
            <w:r w:rsidRPr="00D5341B">
              <w:rPr>
                <w:rFonts w:cs="Arial"/>
              </w:rPr>
              <w:instrText xml:space="preserve"> REF _Ref_ContractCompanion_9kb9Ur049 \w \h </w:instrText>
            </w:r>
            <w:r>
              <w:rPr>
                <w:rFonts w:cs="Arial"/>
              </w:rPr>
              <w:instrText xml:space="preserve"> \* MERGEFORMAT </w:instrText>
            </w:r>
            <w:r w:rsidRPr="00D5341B">
              <w:rPr>
                <w:rFonts w:cs="Arial"/>
              </w:rPr>
            </w:r>
            <w:r w:rsidRPr="00D5341B">
              <w:rPr>
                <w:rFonts w:cs="Arial"/>
              </w:rPr>
              <w:fldChar w:fldCharType="separate"/>
            </w:r>
            <w:r w:rsidR="00302D39">
              <w:rPr>
                <w:rFonts w:cs="Arial"/>
              </w:rPr>
              <w:t>1.1.1</w:t>
            </w:r>
            <w:r w:rsidRPr="00D5341B">
              <w:rPr>
                <w:rFonts w:cs="Arial"/>
              </w:rPr>
              <w:fldChar w:fldCharType="end"/>
            </w:r>
            <w:r w:rsidRPr="00D5341B">
              <w:rPr>
                <w:rFonts w:cs="Arial"/>
              </w:rPr>
              <w:t xml:space="preserve"> of </w:t>
            </w:r>
            <w:r w:rsidRPr="00D5341B">
              <w:rPr>
                <w:rFonts w:cs="Arial"/>
              </w:rPr>
              <w:fldChar w:fldCharType="begin"/>
            </w:r>
            <w:r w:rsidRPr="00D5341B">
              <w:rPr>
                <w:rFonts w:cs="Arial"/>
              </w:rPr>
              <w:instrText xml:space="preserve"> REF Sch15PartC \h  \* MERGEFORMAT </w:instrText>
            </w:r>
            <w:r w:rsidRPr="00D5341B">
              <w:rPr>
                <w:rFonts w:cs="Arial"/>
              </w:rPr>
            </w:r>
            <w:r w:rsidRPr="00D5341B">
              <w:rPr>
                <w:rFonts w:cs="Arial"/>
              </w:rPr>
              <w:fldChar w:fldCharType="separate"/>
            </w:r>
            <w:r w:rsidR="00302D39" w:rsidRPr="00302D39">
              <w:rPr>
                <w:rFonts w:cs="Arial"/>
              </w:rPr>
              <w:t>Part C</w:t>
            </w:r>
            <w:r w:rsidRPr="00D5341B">
              <w:rPr>
                <w:rFonts w:cs="Arial"/>
              </w:rPr>
              <w:fldChar w:fldCharType="end"/>
            </w:r>
            <w:r w:rsidRPr="00D5341B">
              <w:rPr>
                <w:rFonts w:cs="Arial"/>
              </w:rPr>
              <w:t>;</w:t>
            </w:r>
          </w:p>
        </w:tc>
      </w:tr>
      <w:tr w:rsidR="00F67E9E" w:rsidRPr="00D5341B" w14:paraId="1FD297C3" w14:textId="77777777" w:rsidTr="007F74AA">
        <w:tc>
          <w:tcPr>
            <w:tcW w:w="2835" w:type="dxa"/>
          </w:tcPr>
          <w:p w14:paraId="0516EA8E" w14:textId="77777777" w:rsidR="00F67E9E" w:rsidRPr="00D5341B" w:rsidRDefault="00F67E9E" w:rsidP="007F74AA">
            <w:pPr>
              <w:pStyle w:val="StdBodyTextBold"/>
              <w:rPr>
                <w:rFonts w:cs="Arial"/>
              </w:rPr>
            </w:pPr>
            <w:r>
              <w:rPr>
                <w:rFonts w:cs="Arial"/>
              </w:rPr>
              <w:t>“</w:t>
            </w:r>
            <w:r w:rsidRPr="00D5341B">
              <w:rPr>
                <w:rFonts w:cs="Arial"/>
              </w:rPr>
              <w:t>The Employer Pension Contributions</w:t>
            </w:r>
            <w:r>
              <w:rPr>
                <w:rFonts w:cs="Arial"/>
              </w:rPr>
              <w:t>”</w:t>
            </w:r>
          </w:p>
        </w:tc>
        <w:tc>
          <w:tcPr>
            <w:tcW w:w="6803" w:type="dxa"/>
          </w:tcPr>
          <w:p w14:paraId="5B31048E" w14:textId="77777777" w:rsidR="00F67E9E" w:rsidRPr="00D5341B" w:rsidRDefault="00F67E9E" w:rsidP="007F74AA">
            <w:pPr>
              <w:pStyle w:val="StdBodyText"/>
              <w:rPr>
                <w:rFonts w:cs="Arial"/>
              </w:rPr>
            </w:pPr>
            <w:r w:rsidRPr="00D5341B">
              <w:rPr>
                <w:rFonts w:cs="Arial"/>
              </w:rPr>
              <w:t>means:</w:t>
            </w:r>
          </w:p>
          <w:p w14:paraId="0288938E" w14:textId="77777777" w:rsidR="00F67E9E" w:rsidRPr="00C53AE0" w:rsidRDefault="00F67E9E" w:rsidP="007F74AA">
            <w:pPr>
              <w:pStyle w:val="DefinitionList"/>
              <w:numPr>
                <w:ilvl w:val="0"/>
                <w:numId w:val="129"/>
              </w:numPr>
              <w:rPr>
                <w:rFonts w:cs="Arial"/>
              </w:rPr>
            </w:pPr>
            <w:r w:rsidRPr="00C53AE0">
              <w:rPr>
                <w:rFonts w:cs="Arial"/>
              </w:rPr>
              <w:t xml:space="preserve">in respect of CSPS Eligible Employees those sums set out at </w:t>
            </w:r>
            <w:bookmarkStart w:id="938" w:name="_9kR3WTr2BC55CPChrAvwQNI"/>
            <w:r w:rsidRPr="00C53AE0">
              <w:rPr>
                <w:rFonts w:cs="Arial"/>
              </w:rPr>
              <w:t>Clauses 7.1.1</w:t>
            </w:r>
            <w:bookmarkEnd w:id="938"/>
            <w:r w:rsidRPr="00C53AE0">
              <w:rPr>
                <w:rFonts w:cs="Arial"/>
              </w:rPr>
              <w:t xml:space="preserve"> (</w:t>
            </w:r>
            <w:r w:rsidRPr="008F1C4B">
              <w:rPr>
                <w:rFonts w:cs="Arial"/>
                <w:i/>
              </w:rPr>
              <w:t>annual administration charges covering core services</w:t>
            </w:r>
            <w:r w:rsidRPr="0032470C">
              <w:rPr>
                <w:rFonts w:cs="Arial"/>
                <w:iCs/>
              </w:rPr>
              <w:t>), 7.1.5 (</w:t>
            </w:r>
            <w:r w:rsidRPr="008F1C4B">
              <w:rPr>
                <w:rFonts w:cs="Arial"/>
                <w:i/>
              </w:rPr>
              <w:t>employer contributions</w:t>
            </w:r>
            <w:r w:rsidRPr="0032470C">
              <w:rPr>
                <w:rFonts w:cs="Arial"/>
                <w:iCs/>
              </w:rPr>
              <w:t>), 7.1.7 (</w:t>
            </w:r>
            <w:r w:rsidRPr="008F1C4B">
              <w:rPr>
                <w:rFonts w:cs="Arial"/>
                <w:i/>
              </w:rPr>
              <w:t>the ASLC</w:t>
            </w:r>
            <w:r w:rsidRPr="0032470C">
              <w:rPr>
                <w:rFonts w:cs="Arial"/>
                <w:iCs/>
              </w:rPr>
              <w:t>) and 7.1.8 (</w:t>
            </w:r>
            <w:r w:rsidRPr="008F1C4B">
              <w:rPr>
                <w:rFonts w:cs="Arial"/>
                <w:i/>
              </w:rPr>
              <w:t>flat charges applicable to the Partnership Pension Account</w:t>
            </w:r>
            <w:r w:rsidRPr="0032470C">
              <w:rPr>
                <w:rFonts w:cs="Arial"/>
                <w:iCs/>
              </w:rPr>
              <w:t>)</w:t>
            </w:r>
            <w:r w:rsidRPr="00C53AE0">
              <w:rPr>
                <w:rFonts w:cs="Arial"/>
              </w:rPr>
              <w:t xml:space="preserve"> of the Admission Agreement;</w:t>
            </w:r>
          </w:p>
          <w:p w14:paraId="4C916B81" w14:textId="77777777" w:rsidR="00F67E9E" w:rsidRPr="00D5341B" w:rsidRDefault="00F67E9E" w:rsidP="007F74AA">
            <w:pPr>
              <w:pStyle w:val="DefinitionList"/>
              <w:numPr>
                <w:ilvl w:val="0"/>
                <w:numId w:val="129"/>
              </w:numPr>
              <w:rPr>
                <w:rFonts w:cs="Arial"/>
              </w:rPr>
            </w:pPr>
            <w:r w:rsidRPr="00D5341B">
              <w:rPr>
                <w:rFonts w:cs="Arial"/>
              </w:rPr>
              <w:t>in respect of NHSPS Eligible Employees, the standard employer contribution rate applicable to NHS Pension Scheme employers during the Term and payable by the Supplier (but no other costs, contributions, charges or surcharges payable by the Supplier to or in respect of the NHS Pension Scheme or in respect of any NHS Premature Retirement Rights, unless otherwise agreed in writing by the Authority);</w:t>
            </w:r>
          </w:p>
          <w:p w14:paraId="01D60132" w14:textId="77777777" w:rsidR="00F67E9E" w:rsidRPr="00D5341B" w:rsidRDefault="00F67E9E" w:rsidP="007F74AA">
            <w:pPr>
              <w:pStyle w:val="DefinitionList"/>
              <w:numPr>
                <w:ilvl w:val="0"/>
                <w:numId w:val="129"/>
              </w:numPr>
              <w:rPr>
                <w:rFonts w:cs="Arial"/>
              </w:rPr>
            </w:pPr>
            <w:r w:rsidRPr="00D5341B">
              <w:rPr>
                <w:rFonts w:cs="Arial"/>
              </w:rPr>
              <w:t>in respect of LGPS Eligible Employees the standard employer contribution rate applicable to LGPS Eligible Employees during the Term and payable by the Supplier (but no other costs, contributions, charges or surcharges payable by the Supplier to or in respect of the LGPS or in respect of any Beckmann Liabilities, unless otherwise agreed in writing by the Authority); and</w:t>
            </w:r>
          </w:p>
          <w:p w14:paraId="09F890AB" w14:textId="77777777" w:rsidR="00F67E9E" w:rsidRPr="00D5341B" w:rsidRDefault="00F67E9E" w:rsidP="007F74AA">
            <w:pPr>
              <w:pStyle w:val="StdBodyText"/>
              <w:rPr>
                <w:rFonts w:cs="Arial"/>
              </w:rPr>
            </w:pPr>
            <w:r w:rsidRPr="00D5341B">
              <w:rPr>
                <w:rFonts w:cs="Arial"/>
              </w:rPr>
              <w:t xml:space="preserve">such other employer pension contributions, charges or costs incurred by the Supplier which have been expressly agreed by the Authority in writing to constitute </w:t>
            </w:r>
            <w:r>
              <w:rPr>
                <w:rFonts w:cs="Arial"/>
              </w:rPr>
              <w:t>‘</w:t>
            </w:r>
            <w:r w:rsidRPr="00D5341B">
              <w:rPr>
                <w:rFonts w:cs="Arial"/>
              </w:rPr>
              <w:t>Employer Pension Contributions</w:t>
            </w:r>
            <w:r>
              <w:rPr>
                <w:rFonts w:cs="Arial"/>
              </w:rPr>
              <w:t>’</w:t>
            </w:r>
            <w:r w:rsidRPr="00D5341B">
              <w:rPr>
                <w:rFonts w:cs="Arial"/>
              </w:rPr>
              <w:t xml:space="preserve">; </w:t>
            </w:r>
          </w:p>
        </w:tc>
      </w:tr>
      <w:tr w:rsidR="00F67E9E" w:rsidRPr="00D5341B" w14:paraId="2FC400D9" w14:textId="77777777" w:rsidTr="007F74AA">
        <w:tc>
          <w:tcPr>
            <w:tcW w:w="2835" w:type="dxa"/>
          </w:tcPr>
          <w:p w14:paraId="6D14E1AE" w14:textId="77777777" w:rsidR="00F67E9E" w:rsidRPr="00D5341B" w:rsidRDefault="00F67E9E" w:rsidP="007F74AA">
            <w:pPr>
              <w:pStyle w:val="StdBodyTextBold"/>
              <w:rPr>
                <w:rFonts w:cs="Arial"/>
              </w:rPr>
            </w:pPr>
            <w:r>
              <w:rPr>
                <w:rFonts w:cs="Arial"/>
              </w:rPr>
              <w:t>“</w:t>
            </w:r>
            <w:r w:rsidRPr="00D5341B">
              <w:rPr>
                <w:rFonts w:cs="Arial"/>
              </w:rPr>
              <w:t>European Standard</w:t>
            </w:r>
            <w:r>
              <w:rPr>
                <w:rFonts w:cs="Arial"/>
              </w:rPr>
              <w:t>”</w:t>
            </w:r>
          </w:p>
        </w:tc>
        <w:tc>
          <w:tcPr>
            <w:tcW w:w="6803" w:type="dxa"/>
          </w:tcPr>
          <w:p w14:paraId="5522B699" w14:textId="77777777" w:rsidR="00F67E9E" w:rsidRPr="00D5341B" w:rsidRDefault="00F67E9E" w:rsidP="007F74AA">
            <w:pPr>
              <w:pStyle w:val="StdBodyText"/>
              <w:rPr>
                <w:rFonts w:cs="Arial"/>
              </w:rPr>
            </w:pPr>
            <w:r w:rsidRPr="00D5341B">
              <w:rPr>
                <w:rFonts w:cs="Arial"/>
              </w:rPr>
              <w:t>in relation to an electronic invoice means the European standard and any of the syntaxes published in Commission Implementing Decision (EU) 2017/1870.</w:t>
            </w:r>
          </w:p>
        </w:tc>
      </w:tr>
      <w:tr w:rsidR="00F67E9E" w:rsidRPr="00D5341B" w14:paraId="2F5BC0EC" w14:textId="77777777" w:rsidTr="007F74AA">
        <w:tc>
          <w:tcPr>
            <w:tcW w:w="2835" w:type="dxa"/>
          </w:tcPr>
          <w:p w14:paraId="0D614294" w14:textId="77777777" w:rsidR="00F67E9E" w:rsidRPr="00D5341B" w:rsidRDefault="00F67E9E" w:rsidP="007F74AA">
            <w:pPr>
              <w:pStyle w:val="StdBodyTextBold"/>
              <w:rPr>
                <w:rFonts w:cs="Arial"/>
              </w:rPr>
            </w:pPr>
            <w:r>
              <w:rPr>
                <w:rFonts w:cs="Arial"/>
              </w:rPr>
              <w:t>“</w:t>
            </w:r>
            <w:r w:rsidRPr="00D5341B">
              <w:rPr>
                <w:rFonts w:cs="Arial"/>
              </w:rPr>
              <w:t>Forecast Contingency Costs</w:t>
            </w:r>
            <w:r>
              <w:rPr>
                <w:rFonts w:cs="Arial"/>
              </w:rPr>
              <w:t>”</w:t>
            </w:r>
          </w:p>
        </w:tc>
        <w:tc>
          <w:tcPr>
            <w:tcW w:w="6803" w:type="dxa"/>
          </w:tcPr>
          <w:p w14:paraId="6743CEA7" w14:textId="77777777" w:rsidR="00F67E9E" w:rsidRPr="00D5341B" w:rsidRDefault="00F67E9E" w:rsidP="007F74AA">
            <w:pPr>
              <w:pStyle w:val="StdBodyText"/>
              <w:rPr>
                <w:rFonts w:cs="Arial"/>
              </w:rPr>
            </w:pPr>
            <w:r w:rsidRPr="00D5341B">
              <w:rPr>
                <w:rFonts w:cs="Arial"/>
              </w:rPr>
              <w:t xml:space="preserve">the costs which the Supplier forecasts may be incurred in relation to the risks and contingencies that are identified in the Risk Register, such costs being those set out in the column headed </w:t>
            </w:r>
            <w:r>
              <w:rPr>
                <w:rFonts w:cs="Arial"/>
              </w:rPr>
              <w:t>‘</w:t>
            </w:r>
            <w:r w:rsidRPr="00D5341B">
              <w:rPr>
                <w:rFonts w:cs="Arial"/>
              </w:rPr>
              <w:t>Forecast Contingency Costs</w:t>
            </w:r>
            <w:r>
              <w:rPr>
                <w:rFonts w:cs="Arial"/>
              </w:rPr>
              <w:t>’</w:t>
            </w:r>
            <w:r w:rsidRPr="00D5341B">
              <w:rPr>
                <w:rFonts w:cs="Arial"/>
              </w:rPr>
              <w:t xml:space="preserve"> in the Risk Register (as such costs are updated from time to time);</w:t>
            </w:r>
          </w:p>
        </w:tc>
      </w:tr>
      <w:tr w:rsidR="00F67E9E" w:rsidRPr="00D5341B" w14:paraId="3922E853" w14:textId="77777777" w:rsidTr="007F74AA">
        <w:tc>
          <w:tcPr>
            <w:tcW w:w="2835" w:type="dxa"/>
          </w:tcPr>
          <w:p w14:paraId="6E04F8EB" w14:textId="77777777" w:rsidR="00F67E9E" w:rsidRPr="00D5341B" w:rsidRDefault="00F67E9E" w:rsidP="007F74AA">
            <w:pPr>
              <w:pStyle w:val="StdBodyTextBold"/>
              <w:rPr>
                <w:rFonts w:cs="Arial"/>
              </w:rPr>
            </w:pPr>
            <w:r>
              <w:rPr>
                <w:rFonts w:cs="Arial"/>
              </w:rPr>
              <w:t>“</w:t>
            </w:r>
            <w:r w:rsidRPr="00D5341B">
              <w:rPr>
                <w:rFonts w:cs="Arial"/>
              </w:rPr>
              <w:t>Guaranteed Maximum Price</w:t>
            </w:r>
            <w:r>
              <w:rPr>
                <w:rFonts w:cs="Arial"/>
              </w:rPr>
              <w:t>”</w:t>
            </w:r>
          </w:p>
        </w:tc>
        <w:tc>
          <w:tcPr>
            <w:tcW w:w="6803" w:type="dxa"/>
          </w:tcPr>
          <w:p w14:paraId="4FCE51BF" w14:textId="77777777" w:rsidR="00F67E9E" w:rsidRPr="00D5341B" w:rsidRDefault="00F67E9E" w:rsidP="007F74AA">
            <w:pPr>
              <w:pStyle w:val="StdBodyText"/>
              <w:rPr>
                <w:rFonts w:cs="Arial"/>
              </w:rPr>
            </w:pPr>
            <w:r w:rsidRPr="00D5341B">
              <w:rPr>
                <w:rFonts w:cs="Arial"/>
              </w:rPr>
              <w:t>in relation to a Milestone, 110% of the Target Price for the relevant Milestone;</w:t>
            </w:r>
          </w:p>
        </w:tc>
      </w:tr>
      <w:tr w:rsidR="00F67E9E" w:rsidRPr="00D5341B" w14:paraId="04590216" w14:textId="77777777" w:rsidTr="007F74AA">
        <w:tc>
          <w:tcPr>
            <w:tcW w:w="2835" w:type="dxa"/>
          </w:tcPr>
          <w:p w14:paraId="0B378D20" w14:textId="77777777" w:rsidR="00F67E9E" w:rsidRPr="00D5341B" w:rsidRDefault="00F67E9E" w:rsidP="007F74AA">
            <w:pPr>
              <w:pStyle w:val="StdBodyTextBold"/>
              <w:rPr>
                <w:rFonts w:cs="Arial"/>
              </w:rPr>
            </w:pPr>
            <w:r>
              <w:rPr>
                <w:rFonts w:cs="Arial"/>
              </w:rPr>
              <w:t>“</w:t>
            </w:r>
            <w:r w:rsidRPr="00D5341B">
              <w:rPr>
                <w:rFonts w:cs="Arial"/>
              </w:rPr>
              <w:t>Incurred Costs</w:t>
            </w:r>
            <w:r>
              <w:rPr>
                <w:rFonts w:cs="Arial"/>
              </w:rPr>
              <w:t>”</w:t>
            </w:r>
          </w:p>
        </w:tc>
        <w:tc>
          <w:tcPr>
            <w:tcW w:w="6803" w:type="dxa"/>
          </w:tcPr>
          <w:p w14:paraId="6D2DB759" w14:textId="77777777" w:rsidR="00F67E9E" w:rsidRPr="00D5341B" w:rsidRDefault="00F67E9E" w:rsidP="007F74AA">
            <w:pPr>
              <w:pStyle w:val="StdBodyText"/>
              <w:rPr>
                <w:rFonts w:cs="Arial"/>
              </w:rPr>
            </w:pPr>
            <w:r w:rsidRPr="00D5341B">
              <w:rPr>
                <w:rFonts w:cs="Arial"/>
              </w:rPr>
              <w:t>in relation to a Milestone, the sum of:</w:t>
            </w:r>
          </w:p>
          <w:p w14:paraId="0DDFD06A" w14:textId="71842FD9" w:rsidR="00F67E9E" w:rsidRPr="00C53AE0" w:rsidRDefault="00F67E9E" w:rsidP="007F74AA">
            <w:pPr>
              <w:pStyle w:val="DefinitionList"/>
              <w:numPr>
                <w:ilvl w:val="0"/>
                <w:numId w:val="130"/>
              </w:numPr>
              <w:rPr>
                <w:rFonts w:cs="Arial"/>
              </w:rPr>
            </w:pPr>
            <w:r w:rsidRPr="00C53AE0">
              <w:rPr>
                <w:rFonts w:cs="Arial"/>
              </w:rPr>
              <w:t xml:space="preserve">the fixed day costs set out in </w:t>
            </w:r>
            <w:bookmarkStart w:id="939" w:name="_9kR3WTr2CC5CFdIXjn6"/>
            <w:r w:rsidRPr="00C53AE0">
              <w:rPr>
                <w:rFonts w:cs="Arial"/>
              </w:rPr>
              <w:t>Table 3</w:t>
            </w:r>
            <w:bookmarkEnd w:id="939"/>
            <w:r w:rsidRPr="00C53AE0">
              <w:rPr>
                <w:rFonts w:cs="Arial"/>
              </w:rPr>
              <w:t xml:space="preserve"> of Annex </w:t>
            </w:r>
            <w:r w:rsidRPr="00C53AE0">
              <w:rPr>
                <w:rFonts w:cs="Arial"/>
              </w:rPr>
              <w:fldChar w:fldCharType="begin"/>
            </w:r>
            <w:r w:rsidRPr="00C53AE0">
              <w:rPr>
                <w:rFonts w:cs="Arial"/>
              </w:rPr>
              <w:instrText xml:space="preserve"> REF ANNEX1_SCHEDULE15 \h  \* MERGEFORMAT </w:instrText>
            </w:r>
            <w:r w:rsidRPr="00C53AE0">
              <w:rPr>
                <w:rFonts w:cs="Arial"/>
              </w:rPr>
            </w:r>
            <w:r w:rsidRPr="00C53AE0">
              <w:rPr>
                <w:rFonts w:cs="Arial"/>
              </w:rPr>
              <w:fldChar w:fldCharType="separate"/>
            </w:r>
            <w:r w:rsidR="00302D39" w:rsidRPr="00302D39">
              <w:rPr>
                <w:rFonts w:cs="Arial"/>
              </w:rPr>
              <w:t>1</w:t>
            </w:r>
            <w:r w:rsidRPr="00C53AE0">
              <w:rPr>
                <w:rFonts w:cs="Arial"/>
              </w:rPr>
              <w:fldChar w:fldCharType="end"/>
            </w:r>
            <w:r w:rsidRPr="00C53AE0">
              <w:rPr>
                <w:rFonts w:cs="Arial"/>
              </w:rPr>
              <w:t xml:space="preserve"> multiplied by the number of Work Days that have been expended by the Supplier Personnel in Achieving the relevant Milestone; and</w:t>
            </w:r>
          </w:p>
          <w:p w14:paraId="5E4B2861" w14:textId="19E6F4AC" w:rsidR="00F67E9E" w:rsidRPr="00D5341B" w:rsidRDefault="00F67E9E" w:rsidP="007F74AA">
            <w:pPr>
              <w:pStyle w:val="DefinitionList"/>
              <w:numPr>
                <w:ilvl w:val="0"/>
                <w:numId w:val="130"/>
              </w:numPr>
              <w:rPr>
                <w:rFonts w:cs="Arial"/>
              </w:rPr>
            </w:pPr>
            <w:bookmarkStart w:id="940" w:name="_9kR3WTrAG955FiJfifw5qDOJbVw4KI6tSYLRSBu"/>
            <w:r w:rsidRPr="00D5341B">
              <w:rPr>
                <w:rFonts w:cs="Arial"/>
              </w:rPr>
              <w:t>any amount that would fall within limbs</w:t>
            </w:r>
            <w:bookmarkEnd w:id="940"/>
            <w:r w:rsidRPr="00D5341B">
              <w:rPr>
                <w:rFonts w:cs="Arial"/>
              </w:rPr>
              <w:t xml:space="preserve"> </w:t>
            </w:r>
            <w:bookmarkStart w:id="941" w:name="_9kMHG5YVtCIB77HkLhkhy7sFQLdXy6MK8vUaNTU"/>
            <w:r w:rsidRPr="00D5341B">
              <w:rPr>
                <w:rFonts w:cs="Arial"/>
              </w:rPr>
              <w:fldChar w:fldCharType="begin"/>
            </w:r>
            <w:r w:rsidRPr="00D5341B">
              <w:rPr>
                <w:rFonts w:cs="Arial"/>
              </w:rPr>
              <w:instrText xml:space="preserve"> REF _Ref_ContractCompanion_9kb9Us119 \w \n \h \t \* MERGEFORMAT </w:instrText>
            </w:r>
            <w:r w:rsidRPr="00D5341B">
              <w:rPr>
                <w:rFonts w:cs="Arial"/>
              </w:rPr>
            </w:r>
            <w:r w:rsidRPr="00D5341B">
              <w:rPr>
                <w:rFonts w:cs="Arial"/>
              </w:rPr>
              <w:fldChar w:fldCharType="separate"/>
            </w:r>
            <w:r w:rsidR="00302D39">
              <w:rPr>
                <w:rFonts w:cs="Arial"/>
              </w:rPr>
              <w:t>(b)</w:t>
            </w:r>
            <w:r w:rsidRPr="00D5341B">
              <w:rPr>
                <w:rFonts w:cs="Arial"/>
              </w:rPr>
              <w:fldChar w:fldCharType="end"/>
            </w:r>
            <w:bookmarkEnd w:id="941"/>
            <w:r w:rsidRPr="00D5341B">
              <w:rPr>
                <w:rFonts w:cs="Arial"/>
              </w:rPr>
              <w:t xml:space="preserve"> or </w:t>
            </w:r>
            <w:bookmarkStart w:id="942" w:name="_9kMHG5YVtCIB78BdLhkhy7sFQLXSFLM5q4I9C9C"/>
            <w:r w:rsidRPr="00D5341B">
              <w:rPr>
                <w:rFonts w:cs="Arial"/>
              </w:rPr>
              <w:fldChar w:fldCharType="begin"/>
            </w:r>
            <w:r w:rsidRPr="00D5341B">
              <w:rPr>
                <w:rFonts w:cs="Arial"/>
              </w:rPr>
              <w:instrText xml:space="preserve"> REF _Ref_ContractCompanion_9kb9Us123 \w \n \h \t \* MERGEFORMAT </w:instrText>
            </w:r>
            <w:r w:rsidRPr="00D5341B">
              <w:rPr>
                <w:rFonts w:cs="Arial"/>
              </w:rPr>
            </w:r>
            <w:r w:rsidRPr="00D5341B">
              <w:rPr>
                <w:rFonts w:cs="Arial"/>
              </w:rPr>
              <w:fldChar w:fldCharType="separate"/>
            </w:r>
            <w:r w:rsidR="00302D39">
              <w:rPr>
                <w:rFonts w:cs="Arial"/>
              </w:rPr>
              <w:t>(c)</w:t>
            </w:r>
            <w:r w:rsidRPr="00D5341B">
              <w:rPr>
                <w:rFonts w:cs="Arial"/>
              </w:rPr>
              <w:fldChar w:fldCharType="end"/>
            </w:r>
            <w:bookmarkEnd w:id="942"/>
            <w:r w:rsidRPr="00D5341B">
              <w:rPr>
                <w:rFonts w:cs="Arial"/>
              </w:rPr>
              <w:t xml:space="preserve"> of the definition of </w:t>
            </w:r>
            <w:r>
              <w:rPr>
                <w:rFonts w:cs="Arial"/>
              </w:rPr>
              <w:t>“</w:t>
            </w:r>
            <w:r w:rsidRPr="00D5341B">
              <w:rPr>
                <w:rFonts w:cs="Arial"/>
              </w:rPr>
              <w:t>Costs</w:t>
            </w:r>
            <w:r>
              <w:rPr>
                <w:rFonts w:cs="Arial"/>
              </w:rPr>
              <w:t>”</w:t>
            </w:r>
            <w:r w:rsidRPr="00D5341B">
              <w:rPr>
                <w:rFonts w:cs="Arial"/>
              </w:rPr>
              <w:t xml:space="preserve"> (but subject to exceptions </w:t>
            </w:r>
            <w:bookmarkStart w:id="943" w:name="_9kR3WTr2BC56Cu"/>
            <w:r w:rsidRPr="00D5341B">
              <w:rPr>
                <w:rFonts w:cs="Arial"/>
              </w:rPr>
              <w:fldChar w:fldCharType="begin"/>
            </w:r>
            <w:r w:rsidRPr="00D5341B">
              <w:rPr>
                <w:rFonts w:cs="Arial"/>
              </w:rPr>
              <w:instrText xml:space="preserve"> REF _Ref_ContractCompanion_9kb9Us126 \w \n \h \t \* MERGEFORMAT </w:instrText>
            </w:r>
            <w:r w:rsidRPr="00D5341B">
              <w:rPr>
                <w:rFonts w:cs="Arial"/>
              </w:rPr>
            </w:r>
            <w:r w:rsidRPr="00D5341B">
              <w:rPr>
                <w:rFonts w:cs="Arial"/>
              </w:rPr>
              <w:fldChar w:fldCharType="separate"/>
            </w:r>
            <w:r w:rsidR="00302D39">
              <w:rPr>
                <w:rFonts w:cs="Arial"/>
              </w:rPr>
              <w:t>(i)</w:t>
            </w:r>
            <w:r w:rsidRPr="00D5341B">
              <w:rPr>
                <w:rFonts w:cs="Arial"/>
              </w:rPr>
              <w:fldChar w:fldCharType="end"/>
            </w:r>
            <w:bookmarkEnd w:id="943"/>
            <w:r w:rsidRPr="00D5341B">
              <w:rPr>
                <w:rFonts w:cs="Arial"/>
              </w:rPr>
              <w:t xml:space="preserve"> to </w:t>
            </w:r>
            <w:bookmarkStart w:id="944" w:name="_9kR3WTr2BC56FAym"/>
            <w:r w:rsidRPr="00D5341B">
              <w:rPr>
                <w:rFonts w:cs="Arial"/>
              </w:rPr>
              <w:fldChar w:fldCharType="begin"/>
            </w:r>
            <w:r w:rsidRPr="00D5341B">
              <w:rPr>
                <w:rFonts w:cs="Arial"/>
              </w:rPr>
              <w:instrText xml:space="preserve"> REF _Ref_ContractCompanion_9kb9Us129 \w \n \h \t \* MERGEFORMAT </w:instrText>
            </w:r>
            <w:r w:rsidRPr="00D5341B">
              <w:rPr>
                <w:rFonts w:cs="Arial"/>
              </w:rPr>
            </w:r>
            <w:r w:rsidRPr="00D5341B">
              <w:rPr>
                <w:rFonts w:cs="Arial"/>
              </w:rPr>
              <w:fldChar w:fldCharType="separate"/>
            </w:r>
            <w:r w:rsidR="00302D39">
              <w:rPr>
                <w:rFonts w:cs="Arial"/>
              </w:rPr>
              <w:t>(vii)</w:t>
            </w:r>
            <w:r w:rsidRPr="00D5341B">
              <w:rPr>
                <w:rFonts w:cs="Arial"/>
              </w:rPr>
              <w:fldChar w:fldCharType="end"/>
            </w:r>
            <w:bookmarkEnd w:id="944"/>
            <w:r w:rsidRPr="00D5341B">
              <w:rPr>
                <w:rFonts w:cs="Arial"/>
              </w:rPr>
              <w:t xml:space="preserve"> in that definition), to the extent that such amount has been incurred in Achieving the relevant Milestone;</w:t>
            </w:r>
          </w:p>
        </w:tc>
      </w:tr>
      <w:tr w:rsidR="00F67E9E" w:rsidRPr="00D5341B" w14:paraId="0991A13E" w14:textId="77777777" w:rsidTr="007F74AA">
        <w:tc>
          <w:tcPr>
            <w:tcW w:w="2835" w:type="dxa"/>
          </w:tcPr>
          <w:p w14:paraId="65B1A83C" w14:textId="77777777" w:rsidR="00F67E9E" w:rsidRPr="00D5341B" w:rsidRDefault="00F67E9E" w:rsidP="007F74AA">
            <w:pPr>
              <w:pStyle w:val="StdBodyTextBold"/>
              <w:rPr>
                <w:rFonts w:cs="Arial"/>
              </w:rPr>
            </w:pPr>
            <w:r>
              <w:rPr>
                <w:rFonts w:cs="Arial"/>
              </w:rPr>
              <w:t>“</w:t>
            </w:r>
            <w:r w:rsidRPr="00D5341B">
              <w:rPr>
                <w:rFonts w:cs="Arial"/>
              </w:rPr>
              <w:t>Indexation</w:t>
            </w:r>
            <w:r>
              <w:rPr>
                <w:rFonts w:cs="Arial"/>
              </w:rPr>
              <w:t>”</w:t>
            </w:r>
            <w:r w:rsidRPr="00D5341B">
              <w:rPr>
                <w:rFonts w:cs="Arial"/>
              </w:rPr>
              <w:t xml:space="preserve"> and </w:t>
            </w:r>
            <w:r>
              <w:rPr>
                <w:rFonts w:cs="Arial"/>
              </w:rPr>
              <w:t>“</w:t>
            </w:r>
            <w:r w:rsidRPr="00D5341B">
              <w:rPr>
                <w:rFonts w:cs="Arial"/>
              </w:rPr>
              <w:t>Index</w:t>
            </w:r>
            <w:r>
              <w:rPr>
                <w:rFonts w:cs="Arial"/>
              </w:rPr>
              <w:t>”</w:t>
            </w:r>
          </w:p>
        </w:tc>
        <w:tc>
          <w:tcPr>
            <w:tcW w:w="6803" w:type="dxa"/>
          </w:tcPr>
          <w:p w14:paraId="6B8FE002" w14:textId="6C11CD56" w:rsidR="00F67E9E" w:rsidRPr="00D5341B" w:rsidRDefault="00F67E9E" w:rsidP="007F74AA">
            <w:pPr>
              <w:pStyle w:val="StdBodyText"/>
              <w:rPr>
                <w:rFonts w:cs="Arial"/>
              </w:rPr>
            </w:pPr>
            <w:r w:rsidRPr="00D5341B">
              <w:rPr>
                <w:rFonts w:cs="Arial"/>
              </w:rPr>
              <w:t xml:space="preserve">the adjustment of an amount or sum in accordance with </w:t>
            </w:r>
            <w:bookmarkStart w:id="945" w:name="_9kR3WTr2CC5CJdEnoewrqyF"/>
            <w:r w:rsidRPr="00D5341B">
              <w:rPr>
                <w:rFonts w:cs="Arial"/>
              </w:rPr>
              <w:t xml:space="preserve">Paragraph </w:t>
            </w:r>
            <w:bookmarkEnd w:id="945"/>
            <w:r w:rsidRPr="00D5341B">
              <w:rPr>
                <w:rFonts w:cs="Arial"/>
              </w:rPr>
              <w:fldChar w:fldCharType="begin"/>
            </w:r>
            <w:r w:rsidRPr="00D5341B">
              <w:rPr>
                <w:rFonts w:cs="Arial"/>
              </w:rPr>
              <w:instrText xml:space="preserve"> REF _Ref_ContractCompanion_9kb9Ur18D \w \h </w:instrText>
            </w:r>
            <w:r>
              <w:rPr>
                <w:rFonts w:cs="Arial"/>
              </w:rPr>
              <w:instrText xml:space="preserve"> \* MERGEFORMAT </w:instrText>
            </w:r>
            <w:r w:rsidRPr="00D5341B">
              <w:rPr>
                <w:rFonts w:cs="Arial"/>
              </w:rPr>
            </w:r>
            <w:r w:rsidRPr="00D5341B">
              <w:rPr>
                <w:rFonts w:cs="Arial"/>
              </w:rPr>
              <w:fldChar w:fldCharType="separate"/>
            </w:r>
            <w:r w:rsidR="00302D39">
              <w:rPr>
                <w:rFonts w:cs="Arial"/>
              </w:rPr>
              <w:t>5</w:t>
            </w:r>
            <w:r w:rsidRPr="00D5341B">
              <w:rPr>
                <w:rFonts w:cs="Arial"/>
              </w:rPr>
              <w:fldChar w:fldCharType="end"/>
            </w:r>
            <w:r w:rsidRPr="00D5341B">
              <w:rPr>
                <w:rFonts w:cs="Arial"/>
              </w:rPr>
              <w:t xml:space="preserve"> of </w:t>
            </w:r>
            <w:r w:rsidRPr="00D5341B">
              <w:rPr>
                <w:rFonts w:cs="Arial"/>
              </w:rPr>
              <w:fldChar w:fldCharType="begin"/>
            </w:r>
            <w:r w:rsidRPr="00D5341B">
              <w:rPr>
                <w:rFonts w:cs="Arial"/>
              </w:rPr>
              <w:instrText xml:space="preserve"> REF Sch15PartC \h  \* MERGEFORMAT </w:instrText>
            </w:r>
            <w:r w:rsidRPr="00D5341B">
              <w:rPr>
                <w:rFonts w:cs="Arial"/>
              </w:rPr>
            </w:r>
            <w:r w:rsidRPr="00D5341B">
              <w:rPr>
                <w:rFonts w:cs="Arial"/>
              </w:rPr>
              <w:fldChar w:fldCharType="separate"/>
            </w:r>
            <w:r w:rsidR="00302D39" w:rsidRPr="00302D39">
              <w:rPr>
                <w:rFonts w:cs="Arial"/>
              </w:rPr>
              <w:t>Part C</w:t>
            </w:r>
            <w:r w:rsidRPr="00D5341B">
              <w:rPr>
                <w:rFonts w:cs="Arial"/>
              </w:rPr>
              <w:fldChar w:fldCharType="end"/>
            </w:r>
            <w:r w:rsidRPr="00D5341B">
              <w:rPr>
                <w:rFonts w:cs="Arial"/>
              </w:rPr>
              <w:t>;</w:t>
            </w:r>
          </w:p>
        </w:tc>
      </w:tr>
      <w:tr w:rsidR="00F67E9E" w:rsidRPr="00D5341B" w14:paraId="710F1681" w14:textId="77777777" w:rsidTr="007F74AA">
        <w:tc>
          <w:tcPr>
            <w:tcW w:w="2835" w:type="dxa"/>
          </w:tcPr>
          <w:p w14:paraId="32E38C62" w14:textId="77777777" w:rsidR="00F67E9E" w:rsidRPr="00D5341B" w:rsidRDefault="00F67E9E" w:rsidP="007F74AA">
            <w:pPr>
              <w:pStyle w:val="StdBodyTextBold"/>
              <w:rPr>
                <w:rFonts w:cs="Arial"/>
              </w:rPr>
            </w:pPr>
            <w:r>
              <w:rPr>
                <w:rFonts w:cs="Arial"/>
              </w:rPr>
              <w:t>“</w:t>
            </w:r>
            <w:r w:rsidRPr="00D5341B">
              <w:rPr>
                <w:rFonts w:cs="Arial"/>
              </w:rPr>
              <w:t>Maximum Permitted Profit Margin</w:t>
            </w:r>
            <w:r>
              <w:rPr>
                <w:rFonts w:cs="Arial"/>
              </w:rPr>
              <w:t>”</w:t>
            </w:r>
          </w:p>
        </w:tc>
        <w:tc>
          <w:tcPr>
            <w:tcW w:w="6803" w:type="dxa"/>
          </w:tcPr>
          <w:p w14:paraId="5E8D62AB" w14:textId="77777777" w:rsidR="00F67E9E" w:rsidRPr="00D5341B" w:rsidRDefault="00F67E9E" w:rsidP="007F74AA">
            <w:pPr>
              <w:pStyle w:val="StdBodyText"/>
              <w:rPr>
                <w:rFonts w:cs="Arial"/>
              </w:rPr>
            </w:pPr>
            <w:r w:rsidRPr="00D5341B">
              <w:rPr>
                <w:rFonts w:cs="Arial"/>
              </w:rPr>
              <w:t>the Anticipated Contract Life Profit Margin plus 5%;</w:t>
            </w:r>
          </w:p>
        </w:tc>
      </w:tr>
      <w:tr w:rsidR="00F67E9E" w:rsidRPr="00D5341B" w14:paraId="3EF57660" w14:textId="77777777" w:rsidTr="007F74AA">
        <w:tc>
          <w:tcPr>
            <w:tcW w:w="2835" w:type="dxa"/>
          </w:tcPr>
          <w:p w14:paraId="6ADF51A4" w14:textId="77777777" w:rsidR="00F67E9E" w:rsidRPr="00D5341B" w:rsidRDefault="00F67E9E" w:rsidP="007F74AA">
            <w:pPr>
              <w:pStyle w:val="StdBodyTextBold"/>
              <w:rPr>
                <w:rFonts w:cs="Arial"/>
              </w:rPr>
            </w:pPr>
            <w:r>
              <w:rPr>
                <w:rFonts w:cs="Arial"/>
              </w:rPr>
              <w:t>“</w:t>
            </w:r>
            <w:r w:rsidRPr="00D5341B">
              <w:rPr>
                <w:rFonts w:cs="Arial"/>
              </w:rPr>
              <w:t>Milestone Group</w:t>
            </w:r>
            <w:r>
              <w:rPr>
                <w:rFonts w:cs="Arial"/>
              </w:rPr>
              <w:t>”</w:t>
            </w:r>
          </w:p>
        </w:tc>
        <w:tc>
          <w:tcPr>
            <w:tcW w:w="6803" w:type="dxa"/>
          </w:tcPr>
          <w:p w14:paraId="144BE74F" w14:textId="2A959367" w:rsidR="00F67E9E" w:rsidRPr="00D5341B" w:rsidRDefault="00F67E9E" w:rsidP="007F74AA">
            <w:pPr>
              <w:pStyle w:val="StdBodyText"/>
              <w:rPr>
                <w:rFonts w:cs="Arial"/>
              </w:rPr>
            </w:pPr>
            <w:r w:rsidRPr="00D5341B">
              <w:rPr>
                <w:rFonts w:cs="Arial"/>
              </w:rPr>
              <w:t xml:space="preserve">has the meaning given in </w:t>
            </w:r>
            <w:bookmarkStart w:id="946" w:name="_9kMHG5YVt4EE6BDZGpqgyts0DP"/>
            <w:r w:rsidRPr="00D5341B">
              <w:rPr>
                <w:rFonts w:cs="Arial"/>
              </w:rPr>
              <w:t xml:space="preserve">Paragraph </w:t>
            </w:r>
            <w:r w:rsidRPr="00D5341B">
              <w:rPr>
                <w:rFonts w:cs="Arial"/>
              </w:rPr>
              <w:fldChar w:fldCharType="begin"/>
            </w:r>
            <w:r w:rsidRPr="00D5341B">
              <w:rPr>
                <w:rFonts w:cs="Arial"/>
              </w:rPr>
              <w:instrText xml:space="preserve"> REF _Ref_ContractCompanion_9kb9Ur04E \n \h \t \* MERGEFORMAT </w:instrText>
            </w:r>
            <w:r w:rsidRPr="00D5341B">
              <w:rPr>
                <w:rFonts w:cs="Arial"/>
              </w:rPr>
            </w:r>
            <w:r w:rsidRPr="00D5341B">
              <w:rPr>
                <w:rFonts w:cs="Arial"/>
              </w:rPr>
              <w:fldChar w:fldCharType="separate"/>
            </w:r>
            <w:r w:rsidR="00302D39">
              <w:rPr>
                <w:rFonts w:cs="Arial"/>
              </w:rPr>
              <w:t>1.4.3</w:t>
            </w:r>
            <w:r w:rsidRPr="00D5341B">
              <w:rPr>
                <w:rFonts w:cs="Arial"/>
              </w:rPr>
              <w:fldChar w:fldCharType="end"/>
            </w:r>
            <w:bookmarkEnd w:id="946"/>
            <w:r w:rsidRPr="00D5341B">
              <w:rPr>
                <w:rFonts w:cs="Arial"/>
              </w:rPr>
              <w:t xml:space="preserve"> of </w:t>
            </w:r>
            <w:r w:rsidRPr="00D5341B">
              <w:rPr>
                <w:rFonts w:cs="Arial"/>
              </w:rPr>
              <w:fldChar w:fldCharType="begin"/>
            </w:r>
            <w:r w:rsidRPr="00D5341B">
              <w:rPr>
                <w:rFonts w:cs="Arial"/>
              </w:rPr>
              <w:instrText xml:space="preserve"> REF Sch15PartB \h  \* MERGEFORMAT </w:instrText>
            </w:r>
            <w:r w:rsidRPr="00D5341B">
              <w:rPr>
                <w:rFonts w:cs="Arial"/>
              </w:rPr>
            </w:r>
            <w:r w:rsidRPr="00D5341B">
              <w:rPr>
                <w:rFonts w:cs="Arial"/>
              </w:rPr>
              <w:fldChar w:fldCharType="separate"/>
            </w:r>
            <w:r w:rsidR="00302D39" w:rsidRPr="00302D39">
              <w:rPr>
                <w:rFonts w:cs="Arial"/>
              </w:rPr>
              <w:t>Part B</w:t>
            </w:r>
            <w:r w:rsidRPr="00D5341B">
              <w:rPr>
                <w:rFonts w:cs="Arial"/>
              </w:rPr>
              <w:fldChar w:fldCharType="end"/>
            </w:r>
            <w:r w:rsidRPr="00D5341B">
              <w:rPr>
                <w:rFonts w:cs="Arial"/>
              </w:rPr>
              <w:t>;</w:t>
            </w:r>
          </w:p>
        </w:tc>
      </w:tr>
      <w:tr w:rsidR="00F67E9E" w:rsidRPr="00D5341B" w14:paraId="395FB0B9" w14:textId="77777777" w:rsidTr="007F74AA">
        <w:tc>
          <w:tcPr>
            <w:tcW w:w="2835" w:type="dxa"/>
          </w:tcPr>
          <w:p w14:paraId="69CB0EF3" w14:textId="77777777" w:rsidR="00F67E9E" w:rsidRPr="00D5341B" w:rsidRDefault="00F67E9E" w:rsidP="007F74AA">
            <w:pPr>
              <w:pStyle w:val="StdBodyTextBold"/>
              <w:rPr>
                <w:rFonts w:cs="Arial"/>
              </w:rPr>
            </w:pPr>
            <w:r>
              <w:rPr>
                <w:rFonts w:cs="Arial"/>
              </w:rPr>
              <w:t>“</w:t>
            </w:r>
            <w:r w:rsidRPr="00D5341B">
              <w:rPr>
                <w:rFonts w:cs="Arial"/>
              </w:rPr>
              <w:t>Milestone Retention</w:t>
            </w:r>
            <w:r>
              <w:rPr>
                <w:rFonts w:cs="Arial"/>
              </w:rPr>
              <w:t>”</w:t>
            </w:r>
          </w:p>
        </w:tc>
        <w:tc>
          <w:tcPr>
            <w:tcW w:w="6803" w:type="dxa"/>
          </w:tcPr>
          <w:p w14:paraId="2E096475" w14:textId="3C4EDA66" w:rsidR="00F67E9E" w:rsidRPr="00D5341B" w:rsidRDefault="00F67E9E" w:rsidP="007F74AA">
            <w:pPr>
              <w:pStyle w:val="StdBodyText"/>
              <w:rPr>
                <w:rFonts w:cs="Arial"/>
              </w:rPr>
            </w:pPr>
            <w:r w:rsidRPr="00D5341B">
              <w:rPr>
                <w:rFonts w:cs="Arial"/>
              </w:rPr>
              <w:t xml:space="preserve">has the meaning given in </w:t>
            </w:r>
            <w:bookmarkStart w:id="947" w:name="_9kR3WTr2CC5DHaEnoewrqyBL"/>
            <w:r w:rsidRPr="00D5341B">
              <w:rPr>
                <w:rFonts w:cs="Arial"/>
              </w:rPr>
              <w:t xml:space="preserve">Paragraph </w:t>
            </w:r>
            <w:bookmarkEnd w:id="947"/>
            <w:r w:rsidRPr="00D5341B">
              <w:rPr>
                <w:rFonts w:cs="Arial"/>
              </w:rPr>
              <w:fldChar w:fldCharType="begin"/>
            </w:r>
            <w:r w:rsidRPr="00D5341B">
              <w:rPr>
                <w:rFonts w:cs="Arial"/>
              </w:rPr>
              <w:instrText xml:space="preserve"> REF _Ref_ContractCompanion_9kb9Ur18G \w \h </w:instrText>
            </w:r>
            <w:r>
              <w:rPr>
                <w:rFonts w:cs="Arial"/>
              </w:rPr>
              <w:instrText xml:space="preserve"> \* MERGEFORMAT </w:instrText>
            </w:r>
            <w:r w:rsidRPr="00D5341B">
              <w:rPr>
                <w:rFonts w:cs="Arial"/>
              </w:rPr>
            </w:r>
            <w:r w:rsidRPr="00D5341B">
              <w:rPr>
                <w:rFonts w:cs="Arial"/>
              </w:rPr>
              <w:fldChar w:fldCharType="separate"/>
            </w:r>
            <w:r w:rsidR="00302D39">
              <w:rPr>
                <w:rFonts w:cs="Arial"/>
              </w:rPr>
              <w:t>1.3</w:t>
            </w:r>
            <w:r w:rsidRPr="00D5341B">
              <w:rPr>
                <w:rFonts w:cs="Arial"/>
              </w:rPr>
              <w:fldChar w:fldCharType="end"/>
            </w:r>
            <w:r w:rsidRPr="00D5341B">
              <w:rPr>
                <w:rFonts w:cs="Arial"/>
              </w:rPr>
              <w:t xml:space="preserve"> of </w:t>
            </w:r>
            <w:r w:rsidRPr="00D5341B">
              <w:rPr>
                <w:rFonts w:cs="Arial"/>
              </w:rPr>
              <w:fldChar w:fldCharType="begin"/>
            </w:r>
            <w:r w:rsidRPr="00D5341B">
              <w:rPr>
                <w:rFonts w:cs="Arial"/>
              </w:rPr>
              <w:instrText xml:space="preserve"> REF Sch15PartB \h  \* MERGEFORMAT </w:instrText>
            </w:r>
            <w:r w:rsidRPr="00D5341B">
              <w:rPr>
                <w:rFonts w:cs="Arial"/>
              </w:rPr>
            </w:r>
            <w:r w:rsidRPr="00D5341B">
              <w:rPr>
                <w:rFonts w:cs="Arial"/>
              </w:rPr>
              <w:fldChar w:fldCharType="separate"/>
            </w:r>
            <w:r w:rsidR="00302D39" w:rsidRPr="00302D39">
              <w:rPr>
                <w:rFonts w:cs="Arial"/>
              </w:rPr>
              <w:t>Part B</w:t>
            </w:r>
            <w:r w:rsidRPr="00D5341B">
              <w:rPr>
                <w:rFonts w:cs="Arial"/>
              </w:rPr>
              <w:fldChar w:fldCharType="end"/>
            </w:r>
            <w:r w:rsidRPr="00D5341B">
              <w:rPr>
                <w:rFonts w:cs="Arial"/>
              </w:rPr>
              <w:t>;</w:t>
            </w:r>
          </w:p>
        </w:tc>
      </w:tr>
      <w:tr w:rsidR="00F67E9E" w:rsidRPr="00D5341B" w14:paraId="2EAD0C1D" w14:textId="77777777" w:rsidTr="007F74AA">
        <w:tc>
          <w:tcPr>
            <w:tcW w:w="2835" w:type="dxa"/>
          </w:tcPr>
          <w:p w14:paraId="270B8958" w14:textId="77777777" w:rsidR="00F67E9E" w:rsidRPr="00D5341B" w:rsidRDefault="00F67E9E" w:rsidP="007F74AA">
            <w:pPr>
              <w:pStyle w:val="StdBodyTextBold"/>
              <w:rPr>
                <w:rFonts w:cs="Arial"/>
              </w:rPr>
            </w:pPr>
            <w:r>
              <w:rPr>
                <w:rFonts w:cs="Arial"/>
              </w:rPr>
              <w:t>“</w:t>
            </w:r>
            <w:r w:rsidRPr="00D5341B">
              <w:rPr>
                <w:rFonts w:cs="Arial"/>
              </w:rPr>
              <w:t>Overhead</w:t>
            </w:r>
            <w:r>
              <w:rPr>
                <w:rFonts w:cs="Arial"/>
              </w:rPr>
              <w:t>”</w:t>
            </w:r>
          </w:p>
        </w:tc>
        <w:tc>
          <w:tcPr>
            <w:tcW w:w="6803" w:type="dxa"/>
          </w:tcPr>
          <w:p w14:paraId="00A0AA2C" w14:textId="0D28B8FF" w:rsidR="00F67E9E" w:rsidRPr="00D5341B" w:rsidRDefault="00F67E9E" w:rsidP="007F74AA">
            <w:pPr>
              <w:pStyle w:val="StdBodyText"/>
              <w:rPr>
                <w:rFonts w:cs="Arial"/>
              </w:rPr>
            </w:pPr>
            <w:r w:rsidRPr="00D5341B">
              <w:rPr>
                <w:rFonts w:cs="Arial"/>
              </w:rPr>
              <w:t>those amounts which are intended to recover a proportion of the Supplier</w:t>
            </w:r>
            <w:r>
              <w:rPr>
                <w:rFonts w:cs="Arial"/>
              </w:rPr>
              <w:t>’</w:t>
            </w:r>
            <w:r w:rsidRPr="00D5341B">
              <w:rPr>
                <w:rFonts w:cs="Arial"/>
              </w:rPr>
              <w:t>s or the Key Sub-contractor</w:t>
            </w:r>
            <w:r>
              <w:rPr>
                <w:rFonts w:cs="Arial"/>
              </w:rPr>
              <w:t>’</w:t>
            </w:r>
            <w:r w:rsidRPr="00D5341B">
              <w:rPr>
                <w:rFonts w:cs="Arial"/>
              </w:rPr>
              <w:t xml:space="preserve">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w:t>
            </w:r>
            <w:r w:rsidRPr="00D5341B">
              <w:rPr>
                <w:rFonts w:cs="Arial"/>
              </w:rPr>
              <w:fldChar w:fldCharType="begin"/>
            </w:r>
            <w:r w:rsidRPr="00D5341B">
              <w:rPr>
                <w:rFonts w:cs="Arial"/>
              </w:rPr>
              <w:instrText xml:space="preserve"> REF _Ref_ContractCompanion_9kb9Ur9ID \r \h  \* MERGEFORMAT </w:instrText>
            </w:r>
            <w:r w:rsidRPr="00D5341B">
              <w:rPr>
                <w:rFonts w:cs="Arial"/>
              </w:rPr>
            </w:r>
            <w:r w:rsidRPr="00D5341B">
              <w:rPr>
                <w:rFonts w:cs="Arial"/>
              </w:rPr>
              <w:fldChar w:fldCharType="separate"/>
            </w:r>
            <w:r w:rsidR="00302D39">
              <w:rPr>
                <w:rFonts w:cs="Arial"/>
              </w:rPr>
              <w:t>(a)</w:t>
            </w:r>
            <w:r w:rsidRPr="00D5341B">
              <w:rPr>
                <w:rFonts w:cs="Arial"/>
              </w:rPr>
              <w:fldChar w:fldCharType="end"/>
            </w:r>
            <w:r w:rsidRPr="00D5341B">
              <w:rPr>
                <w:rFonts w:cs="Arial"/>
              </w:rPr>
              <w:t xml:space="preserve"> of the definition of </w:t>
            </w:r>
            <w:r>
              <w:rPr>
                <w:rFonts w:cs="Arial"/>
              </w:rPr>
              <w:t>“</w:t>
            </w:r>
            <w:r w:rsidRPr="00D5341B">
              <w:rPr>
                <w:rFonts w:cs="Arial"/>
              </w:rPr>
              <w:t>Costs</w:t>
            </w:r>
            <w:r>
              <w:rPr>
                <w:rFonts w:cs="Arial"/>
              </w:rPr>
              <w:t>”</w:t>
            </w:r>
            <w:r w:rsidRPr="00D5341B">
              <w:rPr>
                <w:rFonts w:cs="Arial"/>
              </w:rPr>
              <w:t xml:space="preserve"> or the day cost set out in </w:t>
            </w:r>
            <w:bookmarkStart w:id="948" w:name="_9kMHG5YVt4EE7EHfKZlp8"/>
            <w:r w:rsidRPr="00D5341B">
              <w:rPr>
                <w:rFonts w:cs="Arial"/>
              </w:rPr>
              <w:t>Table 3</w:t>
            </w:r>
            <w:bookmarkEnd w:id="948"/>
            <w:r w:rsidRPr="00D5341B">
              <w:rPr>
                <w:rFonts w:cs="Arial"/>
              </w:rPr>
              <w:t xml:space="preserve"> of Annex </w:t>
            </w:r>
            <w:r w:rsidRPr="00D5341B">
              <w:rPr>
                <w:rFonts w:cs="Arial"/>
              </w:rPr>
              <w:fldChar w:fldCharType="begin"/>
            </w:r>
            <w:r w:rsidRPr="00D5341B">
              <w:rPr>
                <w:rFonts w:cs="Arial"/>
              </w:rPr>
              <w:instrText xml:space="preserve"> REF ANNEX1_SCHEDULE15 \h </w:instrText>
            </w:r>
            <w:r>
              <w:rPr>
                <w:rFonts w:cs="Arial"/>
              </w:rPr>
              <w:instrText xml:space="preserve"> \* MERGEFORMAT </w:instrText>
            </w:r>
            <w:r w:rsidRPr="00D5341B">
              <w:rPr>
                <w:rFonts w:cs="Arial"/>
              </w:rPr>
            </w:r>
            <w:r w:rsidRPr="00D5341B">
              <w:rPr>
                <w:rFonts w:cs="Arial"/>
              </w:rPr>
              <w:fldChar w:fldCharType="separate"/>
            </w:r>
            <w:r w:rsidR="00302D39" w:rsidRPr="00302D39">
              <w:rPr>
                <w:rFonts w:cs="Arial"/>
              </w:rPr>
              <w:t>1</w:t>
            </w:r>
            <w:r w:rsidRPr="00D5341B">
              <w:rPr>
                <w:rFonts w:cs="Arial"/>
              </w:rPr>
              <w:fldChar w:fldCharType="end"/>
            </w:r>
            <w:r w:rsidRPr="00D5341B">
              <w:rPr>
                <w:rFonts w:cs="Arial"/>
              </w:rPr>
              <w:t>;</w:t>
            </w:r>
          </w:p>
        </w:tc>
      </w:tr>
      <w:tr w:rsidR="00F67E9E" w:rsidRPr="00D5341B" w14:paraId="1FDCAB01" w14:textId="77777777" w:rsidTr="007F74AA">
        <w:tc>
          <w:tcPr>
            <w:tcW w:w="2835" w:type="dxa"/>
          </w:tcPr>
          <w:p w14:paraId="3FB67BDE" w14:textId="77777777" w:rsidR="00F67E9E" w:rsidRPr="00D5341B" w:rsidRDefault="00F67E9E" w:rsidP="007F74AA">
            <w:pPr>
              <w:pStyle w:val="StdBodyTextBold"/>
              <w:rPr>
                <w:rFonts w:cs="Arial"/>
              </w:rPr>
            </w:pPr>
            <w:r>
              <w:rPr>
                <w:rFonts w:cs="Arial"/>
              </w:rPr>
              <w:t>“</w:t>
            </w:r>
            <w:r w:rsidRPr="00D5341B">
              <w:rPr>
                <w:rFonts w:cs="Arial"/>
              </w:rPr>
              <w:t>Reimbursable Expenses</w:t>
            </w:r>
            <w:r>
              <w:rPr>
                <w:rFonts w:cs="Arial"/>
              </w:rPr>
              <w:t>”</w:t>
            </w:r>
          </w:p>
        </w:tc>
        <w:tc>
          <w:tcPr>
            <w:tcW w:w="6803" w:type="dxa"/>
          </w:tcPr>
          <w:p w14:paraId="56BAD5FE" w14:textId="77777777" w:rsidR="00F67E9E" w:rsidRPr="00D5341B" w:rsidRDefault="00F67E9E" w:rsidP="007F74AA">
            <w:pPr>
              <w:pStyle w:val="StdBodyText"/>
              <w:rPr>
                <w:rFonts w:cs="Arial"/>
              </w:rPr>
            </w:pPr>
            <w:r w:rsidRPr="00D5341B">
              <w:rPr>
                <w:rFonts w:cs="Arial"/>
              </w:rPr>
              <w:t>reasonable out of pocket travel and subsistence (for example, hotel and food) expenses, properly and necessarily incurred in the performance of the Services, calculated at the rates and in accordance with the Authority</w:t>
            </w:r>
            <w:r>
              <w:rPr>
                <w:rFonts w:cs="Arial"/>
              </w:rPr>
              <w:t>’</w:t>
            </w:r>
            <w:r w:rsidRPr="00D5341B">
              <w:rPr>
                <w:rFonts w:cs="Arial"/>
              </w:rPr>
              <w:t>s expenses policy current from time to time, but not including:</w:t>
            </w:r>
          </w:p>
          <w:p w14:paraId="58B04771" w14:textId="77777777" w:rsidR="00F67E9E" w:rsidRPr="00C53AE0" w:rsidRDefault="00F67E9E" w:rsidP="007F74AA">
            <w:pPr>
              <w:pStyle w:val="DefinitionList"/>
              <w:numPr>
                <w:ilvl w:val="0"/>
                <w:numId w:val="131"/>
              </w:numPr>
              <w:rPr>
                <w:rFonts w:cs="Arial"/>
              </w:rPr>
            </w:pPr>
            <w:r w:rsidRPr="00C53AE0">
              <w:rPr>
                <w:rFonts w:cs="Arial"/>
              </w:rPr>
              <w:t>travel expenses incurred as a result of Supplier Personnel travelling to and from their usual place of work, or to and from the premises at which the Services are principally to be performed, unless the Authority otherwise agrees in advance in writing; and</w:t>
            </w:r>
          </w:p>
          <w:p w14:paraId="7DB18F8A" w14:textId="77777777" w:rsidR="00F67E9E" w:rsidRPr="00D5341B" w:rsidRDefault="00F67E9E" w:rsidP="007F74AA">
            <w:pPr>
              <w:pStyle w:val="DefinitionList"/>
              <w:numPr>
                <w:ilvl w:val="0"/>
                <w:numId w:val="131"/>
              </w:numPr>
              <w:rPr>
                <w:rFonts w:cs="Arial"/>
              </w:rPr>
            </w:pPr>
            <w:r w:rsidRPr="00D5341B">
              <w:rPr>
                <w:rFonts w:cs="Arial"/>
              </w:rPr>
              <w:t>subsistence expenses incurred by Supplier Personnel whilst performing the Services at their usual place of work, or to and from the premises at which the Services are principally to be performed;</w:t>
            </w:r>
          </w:p>
        </w:tc>
      </w:tr>
      <w:tr w:rsidR="00F67E9E" w:rsidRPr="00D5341B" w14:paraId="7EDDFC95" w14:textId="77777777" w:rsidTr="007F74AA">
        <w:tc>
          <w:tcPr>
            <w:tcW w:w="2835" w:type="dxa"/>
          </w:tcPr>
          <w:p w14:paraId="6F99013A" w14:textId="77777777" w:rsidR="00F67E9E" w:rsidRPr="00D5341B" w:rsidRDefault="00F67E9E" w:rsidP="007F74AA">
            <w:pPr>
              <w:pStyle w:val="StdBodyTextBold"/>
              <w:rPr>
                <w:rFonts w:cs="Arial"/>
              </w:rPr>
            </w:pPr>
            <w:r>
              <w:rPr>
                <w:rFonts w:cs="Arial"/>
              </w:rPr>
              <w:t>“</w:t>
            </w:r>
            <w:r w:rsidRPr="00D5341B">
              <w:rPr>
                <w:rFonts w:cs="Arial"/>
              </w:rPr>
              <w:t>Supplier Profit</w:t>
            </w:r>
            <w:r>
              <w:rPr>
                <w:rFonts w:cs="Arial"/>
              </w:rPr>
              <w:t>”</w:t>
            </w:r>
          </w:p>
        </w:tc>
        <w:tc>
          <w:tcPr>
            <w:tcW w:w="6803" w:type="dxa"/>
          </w:tcPr>
          <w:p w14:paraId="5BD1134B" w14:textId="77777777" w:rsidR="00F67E9E" w:rsidRPr="00D5341B" w:rsidRDefault="00F67E9E" w:rsidP="007F74AA">
            <w:pPr>
              <w:pStyle w:val="StdBodyText"/>
              <w:rPr>
                <w:rFonts w:cs="Arial"/>
              </w:rPr>
            </w:pPr>
            <w:r w:rsidRPr="00D5341B">
              <w:rPr>
                <w:rFonts w:cs="Arial"/>
              </w:rPr>
              <w:t>in relation to a period or a Milestone (as the context requires), the difference between the total Charges (in nominal cash flow terms but excluding any Deductions) and total Costs (in nominal cash flow terms) for the relevant period or in relation to the relevant Milestone;</w:t>
            </w:r>
          </w:p>
        </w:tc>
      </w:tr>
      <w:tr w:rsidR="00F67E9E" w:rsidRPr="00D5341B" w14:paraId="7135DDB7" w14:textId="77777777" w:rsidTr="007F74AA">
        <w:tc>
          <w:tcPr>
            <w:tcW w:w="2835" w:type="dxa"/>
          </w:tcPr>
          <w:p w14:paraId="252FE641" w14:textId="77777777" w:rsidR="00F67E9E" w:rsidRPr="00D5341B" w:rsidRDefault="00F67E9E" w:rsidP="007F74AA">
            <w:pPr>
              <w:pStyle w:val="StdBodyTextBold"/>
              <w:rPr>
                <w:rFonts w:cs="Arial"/>
              </w:rPr>
            </w:pPr>
            <w:r>
              <w:rPr>
                <w:rFonts w:cs="Arial"/>
              </w:rPr>
              <w:t>“</w:t>
            </w:r>
            <w:r w:rsidRPr="00D5341B">
              <w:rPr>
                <w:rFonts w:cs="Arial"/>
              </w:rPr>
              <w:t>Supplier Profit Margin</w:t>
            </w:r>
            <w:r>
              <w:rPr>
                <w:rFonts w:cs="Arial"/>
              </w:rPr>
              <w:t>”</w:t>
            </w:r>
          </w:p>
        </w:tc>
        <w:tc>
          <w:tcPr>
            <w:tcW w:w="6803" w:type="dxa"/>
          </w:tcPr>
          <w:p w14:paraId="39A1047C" w14:textId="77777777" w:rsidR="00F67E9E" w:rsidRPr="00D5341B" w:rsidRDefault="00F67E9E" w:rsidP="007F74AA">
            <w:pPr>
              <w:pStyle w:val="StdBodyText"/>
              <w:rPr>
                <w:rFonts w:cs="Arial"/>
              </w:rPr>
            </w:pPr>
            <w:r w:rsidRPr="00D5341B">
              <w:rPr>
                <w:rFonts w:cs="Arial"/>
              </w:rPr>
              <w:t>in relation to a period or a Milestone (as the context requires), the Supplier Profit for the relevant period or in relation to the relevant Milestone divided by the total Charges over the same period or in relation to the relevant Milestone and expressed as a percentage;</w:t>
            </w:r>
          </w:p>
        </w:tc>
      </w:tr>
      <w:tr w:rsidR="00F67E9E" w:rsidRPr="00D5341B" w14:paraId="670643E9" w14:textId="77777777" w:rsidTr="007F74AA">
        <w:tc>
          <w:tcPr>
            <w:tcW w:w="2835" w:type="dxa"/>
          </w:tcPr>
          <w:p w14:paraId="3A879910" w14:textId="77777777" w:rsidR="00F67E9E" w:rsidRPr="00D5341B" w:rsidRDefault="00F67E9E" w:rsidP="007F74AA">
            <w:pPr>
              <w:pStyle w:val="StdBodyTextBold"/>
              <w:rPr>
                <w:rFonts w:cs="Arial"/>
              </w:rPr>
            </w:pPr>
            <w:r>
              <w:rPr>
                <w:rFonts w:cs="Arial"/>
              </w:rPr>
              <w:t>“</w:t>
            </w:r>
            <w:bookmarkStart w:id="949" w:name="_9kR3WTr2AC7DDZb5114A2xwNQw3Ez1H56FBH"/>
            <w:r w:rsidRPr="00D5341B">
              <w:rPr>
                <w:rFonts w:cs="Arial"/>
              </w:rPr>
              <w:t>Supporting Documentation</w:t>
            </w:r>
            <w:bookmarkEnd w:id="949"/>
            <w:r>
              <w:rPr>
                <w:rFonts w:cs="Arial"/>
              </w:rPr>
              <w:t>”</w:t>
            </w:r>
          </w:p>
        </w:tc>
        <w:tc>
          <w:tcPr>
            <w:tcW w:w="6803" w:type="dxa"/>
          </w:tcPr>
          <w:p w14:paraId="7F07BDB8" w14:textId="77777777" w:rsidR="00F67E9E" w:rsidRPr="00D5341B" w:rsidRDefault="00F67E9E" w:rsidP="007F74AA">
            <w:pPr>
              <w:pStyle w:val="StdBodyText"/>
              <w:rPr>
                <w:rFonts w:cs="Arial"/>
              </w:rPr>
            </w:pPr>
            <w:r w:rsidRPr="00D5341B">
              <w:rPr>
                <w:rFonts w:cs="Arial"/>
              </w:rPr>
              <w:t>sufficient information in writing to enable the Authority reasonably to assess whether the Charges, Reimbursable Expenses and other sums due from the Authority detailed in the information are properly payable, including copies of any applicable Milestone Achievement Certificates or receipts;</w:t>
            </w:r>
          </w:p>
        </w:tc>
      </w:tr>
      <w:tr w:rsidR="00F67E9E" w:rsidRPr="00D5341B" w14:paraId="2066AD47" w14:textId="77777777" w:rsidTr="007F74AA">
        <w:tc>
          <w:tcPr>
            <w:tcW w:w="2835" w:type="dxa"/>
          </w:tcPr>
          <w:p w14:paraId="76683C73" w14:textId="77777777" w:rsidR="00F67E9E" w:rsidRPr="00D5341B" w:rsidRDefault="00F67E9E" w:rsidP="007F74AA">
            <w:pPr>
              <w:pStyle w:val="StdBodyTextBold"/>
              <w:rPr>
                <w:rFonts w:cs="Arial"/>
              </w:rPr>
            </w:pPr>
            <w:r>
              <w:rPr>
                <w:rFonts w:cs="Arial"/>
              </w:rPr>
              <w:t>“</w:t>
            </w:r>
            <w:r w:rsidRPr="00D5341B">
              <w:rPr>
                <w:rFonts w:cs="Arial"/>
              </w:rPr>
              <w:t>Target Cost</w:t>
            </w:r>
            <w:r>
              <w:rPr>
                <w:rFonts w:cs="Arial"/>
              </w:rPr>
              <w:t>”</w:t>
            </w:r>
          </w:p>
        </w:tc>
        <w:tc>
          <w:tcPr>
            <w:tcW w:w="6803" w:type="dxa"/>
          </w:tcPr>
          <w:p w14:paraId="17E3FCD1" w14:textId="4B5D373C" w:rsidR="00F67E9E" w:rsidRPr="00D5341B" w:rsidRDefault="00F67E9E" w:rsidP="007F74AA">
            <w:pPr>
              <w:pStyle w:val="StdBodyText"/>
              <w:rPr>
                <w:rFonts w:cs="Arial"/>
              </w:rPr>
            </w:pPr>
            <w:r w:rsidRPr="00D5341B">
              <w:rPr>
                <w:rFonts w:cs="Arial"/>
              </w:rPr>
              <w:t xml:space="preserve">has the meaning given in </w:t>
            </w:r>
            <w:bookmarkStart w:id="950" w:name="_9kMHG5YVt4EE6BKgGpqgyts0FN"/>
            <w:r w:rsidRPr="00D5341B">
              <w:rPr>
                <w:rFonts w:cs="Arial"/>
              </w:rPr>
              <w:t xml:space="preserve">Paragraph </w:t>
            </w:r>
            <w:r w:rsidRPr="00D5341B">
              <w:rPr>
                <w:rFonts w:cs="Arial"/>
              </w:rPr>
              <w:fldChar w:fldCharType="begin"/>
            </w:r>
            <w:r w:rsidRPr="00D5341B">
              <w:rPr>
                <w:rFonts w:cs="Arial"/>
              </w:rPr>
              <w:instrText xml:space="preserve"> REF _Ref_ContractCompanion_9kb9Ur05A \n \h \t \* MERGEFORMAT </w:instrText>
            </w:r>
            <w:r w:rsidRPr="00D5341B">
              <w:rPr>
                <w:rFonts w:cs="Arial"/>
              </w:rPr>
            </w:r>
            <w:r w:rsidRPr="00D5341B">
              <w:rPr>
                <w:rFonts w:cs="Arial"/>
              </w:rPr>
              <w:fldChar w:fldCharType="separate"/>
            </w:r>
            <w:r w:rsidR="00302D39">
              <w:rPr>
                <w:rFonts w:cs="Arial"/>
              </w:rPr>
              <w:t>3.1</w:t>
            </w:r>
            <w:r w:rsidRPr="00D5341B">
              <w:rPr>
                <w:rFonts w:cs="Arial"/>
              </w:rPr>
              <w:fldChar w:fldCharType="end"/>
            </w:r>
            <w:bookmarkEnd w:id="950"/>
            <w:r w:rsidRPr="00D5341B">
              <w:rPr>
                <w:rFonts w:cs="Arial"/>
              </w:rPr>
              <w:t xml:space="preserve"> of </w:t>
            </w:r>
            <w:r w:rsidRPr="00D5341B">
              <w:rPr>
                <w:rFonts w:cs="Arial"/>
              </w:rPr>
              <w:fldChar w:fldCharType="begin"/>
            </w:r>
            <w:r w:rsidRPr="00D5341B">
              <w:rPr>
                <w:rFonts w:cs="Arial"/>
              </w:rPr>
              <w:instrText xml:space="preserve"> REF Sch15PartA \h  \* MERGEFORMAT </w:instrText>
            </w:r>
            <w:r w:rsidRPr="00D5341B">
              <w:rPr>
                <w:rFonts w:cs="Arial"/>
              </w:rPr>
            </w:r>
            <w:r w:rsidRPr="00D5341B">
              <w:rPr>
                <w:rFonts w:cs="Arial"/>
              </w:rPr>
              <w:fldChar w:fldCharType="separate"/>
            </w:r>
            <w:r w:rsidR="00302D39" w:rsidRPr="00302D39">
              <w:rPr>
                <w:rFonts w:cs="Arial"/>
              </w:rPr>
              <w:t>Part A</w:t>
            </w:r>
            <w:r w:rsidRPr="00D5341B">
              <w:rPr>
                <w:rFonts w:cs="Arial"/>
              </w:rPr>
              <w:fldChar w:fldCharType="end"/>
            </w:r>
            <w:r w:rsidRPr="00D5341B">
              <w:rPr>
                <w:rFonts w:cs="Arial"/>
              </w:rPr>
              <w:t>;</w:t>
            </w:r>
          </w:p>
        </w:tc>
      </w:tr>
      <w:tr w:rsidR="00F67E9E" w:rsidRPr="00D5341B" w14:paraId="1090160B" w14:textId="77777777" w:rsidTr="007F74AA">
        <w:tc>
          <w:tcPr>
            <w:tcW w:w="2835" w:type="dxa"/>
          </w:tcPr>
          <w:p w14:paraId="1E123DFC" w14:textId="77777777" w:rsidR="00F67E9E" w:rsidRPr="00D5341B" w:rsidRDefault="00F67E9E" w:rsidP="007F74AA">
            <w:pPr>
              <w:pStyle w:val="StdBodyTextBold"/>
              <w:rPr>
                <w:rFonts w:cs="Arial"/>
              </w:rPr>
            </w:pPr>
            <w:r>
              <w:rPr>
                <w:rFonts w:cs="Arial"/>
              </w:rPr>
              <w:t>“</w:t>
            </w:r>
            <w:r w:rsidRPr="00D5341B">
              <w:rPr>
                <w:rFonts w:cs="Arial"/>
              </w:rPr>
              <w:t>Target Price</w:t>
            </w:r>
            <w:r>
              <w:rPr>
                <w:rFonts w:cs="Arial"/>
              </w:rPr>
              <w:t>”</w:t>
            </w:r>
          </w:p>
        </w:tc>
        <w:tc>
          <w:tcPr>
            <w:tcW w:w="6803" w:type="dxa"/>
          </w:tcPr>
          <w:p w14:paraId="3CE0A112" w14:textId="0F607004" w:rsidR="00F67E9E" w:rsidRPr="00D5341B" w:rsidRDefault="00F67E9E" w:rsidP="007F74AA">
            <w:pPr>
              <w:pStyle w:val="StdBodyText"/>
              <w:rPr>
                <w:rFonts w:cs="Arial"/>
              </w:rPr>
            </w:pPr>
            <w:r w:rsidRPr="00D5341B">
              <w:rPr>
                <w:rFonts w:cs="Arial"/>
              </w:rPr>
              <w:t xml:space="preserve">has the meaning given in </w:t>
            </w:r>
            <w:bookmarkStart w:id="951" w:name="_9kMIH5YVt4EE6BKgGpqgyts0FN"/>
            <w:r w:rsidRPr="00D5341B">
              <w:rPr>
                <w:rFonts w:cs="Arial"/>
              </w:rPr>
              <w:t xml:space="preserve">Paragraph </w:t>
            </w:r>
            <w:bookmarkEnd w:id="951"/>
            <w:r w:rsidRPr="00D5341B">
              <w:rPr>
                <w:rFonts w:cs="Arial"/>
              </w:rPr>
              <w:fldChar w:fldCharType="begin"/>
            </w:r>
            <w:r w:rsidRPr="00D5341B">
              <w:rPr>
                <w:rFonts w:cs="Arial"/>
              </w:rPr>
              <w:instrText xml:space="preserve"> REF _Ref_ContractCompanion_9kb9Ur05A \n \h \t \* MERGEFORMAT </w:instrText>
            </w:r>
            <w:r w:rsidRPr="00D5341B">
              <w:rPr>
                <w:rFonts w:cs="Arial"/>
              </w:rPr>
            </w:r>
            <w:r w:rsidRPr="00D5341B">
              <w:rPr>
                <w:rFonts w:cs="Arial"/>
              </w:rPr>
              <w:fldChar w:fldCharType="separate"/>
            </w:r>
            <w:r w:rsidR="00302D39">
              <w:rPr>
                <w:rFonts w:cs="Arial"/>
              </w:rPr>
              <w:t>3.1</w:t>
            </w:r>
            <w:r w:rsidRPr="00D5341B">
              <w:rPr>
                <w:rFonts w:cs="Arial"/>
              </w:rPr>
              <w:fldChar w:fldCharType="end"/>
            </w:r>
            <w:r w:rsidRPr="00D5341B">
              <w:rPr>
                <w:rFonts w:cs="Arial"/>
              </w:rPr>
              <w:t xml:space="preserve"> of </w:t>
            </w:r>
            <w:r w:rsidRPr="00D5341B">
              <w:rPr>
                <w:rFonts w:cs="Arial"/>
              </w:rPr>
              <w:fldChar w:fldCharType="begin"/>
            </w:r>
            <w:r w:rsidRPr="00D5341B">
              <w:rPr>
                <w:rFonts w:cs="Arial"/>
              </w:rPr>
              <w:instrText xml:space="preserve"> REF Sch15PartA \h  \* MERGEFORMAT </w:instrText>
            </w:r>
            <w:r w:rsidRPr="00D5341B">
              <w:rPr>
                <w:rFonts w:cs="Arial"/>
              </w:rPr>
            </w:r>
            <w:r w:rsidRPr="00D5341B">
              <w:rPr>
                <w:rFonts w:cs="Arial"/>
              </w:rPr>
              <w:fldChar w:fldCharType="separate"/>
            </w:r>
            <w:r w:rsidR="00302D39" w:rsidRPr="00302D39">
              <w:rPr>
                <w:rFonts w:cs="Arial"/>
              </w:rPr>
              <w:t>Part A</w:t>
            </w:r>
            <w:r w:rsidRPr="00D5341B">
              <w:rPr>
                <w:rFonts w:cs="Arial"/>
              </w:rPr>
              <w:fldChar w:fldCharType="end"/>
            </w:r>
            <w:r w:rsidRPr="00D5341B">
              <w:rPr>
                <w:rFonts w:cs="Arial"/>
              </w:rPr>
              <w:t>;</w:t>
            </w:r>
          </w:p>
        </w:tc>
      </w:tr>
      <w:tr w:rsidR="00F67E9E" w:rsidRPr="00D5341B" w14:paraId="24A524C4" w14:textId="77777777" w:rsidTr="007F74AA">
        <w:tc>
          <w:tcPr>
            <w:tcW w:w="2835" w:type="dxa"/>
          </w:tcPr>
          <w:p w14:paraId="02AA6A0F" w14:textId="77777777" w:rsidR="00F67E9E" w:rsidRPr="00D5341B" w:rsidRDefault="00F67E9E" w:rsidP="007F74AA">
            <w:pPr>
              <w:pStyle w:val="StdBodyTextBold"/>
              <w:rPr>
                <w:rFonts w:cs="Arial"/>
              </w:rPr>
            </w:pPr>
            <w:r>
              <w:rPr>
                <w:rFonts w:cs="Arial"/>
              </w:rPr>
              <w:t>“</w:t>
            </w:r>
            <w:r w:rsidRPr="00D5341B">
              <w:rPr>
                <w:rFonts w:cs="Arial"/>
              </w:rPr>
              <w:t>Verification Period</w:t>
            </w:r>
            <w:r>
              <w:rPr>
                <w:rFonts w:cs="Arial"/>
              </w:rPr>
              <w:t>”</w:t>
            </w:r>
          </w:p>
        </w:tc>
        <w:tc>
          <w:tcPr>
            <w:tcW w:w="6803" w:type="dxa"/>
          </w:tcPr>
          <w:p w14:paraId="5EB36E8E" w14:textId="14C8C9ED" w:rsidR="00F67E9E" w:rsidRPr="00D5341B" w:rsidRDefault="00F67E9E" w:rsidP="007F74AA">
            <w:pPr>
              <w:pStyle w:val="StdBodyText"/>
              <w:rPr>
                <w:rFonts w:cs="Arial"/>
              </w:rPr>
            </w:pPr>
            <w:r w:rsidRPr="00D5341B">
              <w:rPr>
                <w:rFonts w:cs="Arial"/>
              </w:rPr>
              <w:t xml:space="preserve">in relation to an Allowable Assumption, the period from (and including) the Effective Date to (and including) the date at which the relevant Allowable Assumption expires, as set out against the relevant Allowable Assumption in column 11 in the table in </w:t>
            </w:r>
            <w:bookmarkStart w:id="952" w:name="_9kMHG5YVtCIB79BKEyq1TUs48K7nz3t8RUPLTNJ"/>
            <w:r w:rsidRPr="00D5341B">
              <w:rPr>
                <w:rFonts w:cs="Arial"/>
              </w:rPr>
              <w:t xml:space="preserve">Annex </w:t>
            </w:r>
            <w:bookmarkEnd w:id="952"/>
            <w:r w:rsidRPr="00D5341B">
              <w:rPr>
                <w:rFonts w:cs="Arial"/>
              </w:rPr>
              <w:fldChar w:fldCharType="begin"/>
            </w:r>
            <w:r w:rsidRPr="00D5341B">
              <w:rPr>
                <w:rFonts w:cs="Arial"/>
              </w:rPr>
              <w:instrText xml:space="preserve"> REF ANNEX5_SCHEDULE15 \h </w:instrText>
            </w:r>
            <w:r>
              <w:rPr>
                <w:rFonts w:cs="Arial"/>
              </w:rPr>
              <w:instrText xml:space="preserve"> \* MERGEFORMAT </w:instrText>
            </w:r>
            <w:r w:rsidRPr="00D5341B">
              <w:rPr>
                <w:rFonts w:cs="Arial"/>
              </w:rPr>
            </w:r>
            <w:r w:rsidRPr="00D5341B">
              <w:rPr>
                <w:rFonts w:cs="Arial"/>
              </w:rPr>
              <w:fldChar w:fldCharType="separate"/>
            </w:r>
            <w:r w:rsidR="00302D39" w:rsidRPr="00302D39">
              <w:rPr>
                <w:rFonts w:cs="Arial"/>
              </w:rPr>
              <w:t>5</w:t>
            </w:r>
            <w:r w:rsidRPr="00D5341B">
              <w:rPr>
                <w:rFonts w:cs="Arial"/>
              </w:rPr>
              <w:fldChar w:fldCharType="end"/>
            </w:r>
            <w:r w:rsidRPr="00D5341B">
              <w:rPr>
                <w:rFonts w:cs="Arial"/>
              </w:rPr>
              <w:t>;</w:t>
            </w:r>
          </w:p>
        </w:tc>
      </w:tr>
      <w:tr w:rsidR="00F67E9E" w:rsidRPr="00D5341B" w14:paraId="7C0B9967" w14:textId="77777777" w:rsidTr="007F74AA">
        <w:tc>
          <w:tcPr>
            <w:tcW w:w="2835" w:type="dxa"/>
          </w:tcPr>
          <w:p w14:paraId="6E804240" w14:textId="77777777" w:rsidR="00F67E9E" w:rsidRPr="00D5341B" w:rsidRDefault="00F67E9E" w:rsidP="007F74AA">
            <w:pPr>
              <w:pStyle w:val="StdBodyTextBold"/>
              <w:rPr>
                <w:rFonts w:cs="Arial"/>
              </w:rPr>
            </w:pPr>
            <w:r>
              <w:rPr>
                <w:rFonts w:cs="Arial"/>
              </w:rPr>
              <w:t>“</w:t>
            </w:r>
            <w:r w:rsidRPr="00D5341B">
              <w:rPr>
                <w:rFonts w:cs="Arial"/>
              </w:rPr>
              <w:t>Work Day</w:t>
            </w:r>
            <w:r>
              <w:rPr>
                <w:rFonts w:cs="Arial"/>
              </w:rPr>
              <w:t>”</w:t>
            </w:r>
          </w:p>
        </w:tc>
        <w:tc>
          <w:tcPr>
            <w:tcW w:w="6803" w:type="dxa"/>
          </w:tcPr>
          <w:p w14:paraId="497A834A" w14:textId="77777777" w:rsidR="00F67E9E" w:rsidRPr="00D5341B" w:rsidRDefault="00F67E9E" w:rsidP="007F74AA">
            <w:pPr>
              <w:pStyle w:val="StdBodyText"/>
              <w:rPr>
                <w:rFonts w:cs="Arial"/>
              </w:rPr>
            </w:pPr>
            <w:r w:rsidRPr="00D5341B">
              <w:rPr>
                <w:rFonts w:cs="Arial"/>
              </w:rPr>
              <w:t>7.5 Work Hours, whether or not such hours are worked consecutively and whether or not they are worked on the same day;</w:t>
            </w:r>
            <w:r>
              <w:rPr>
                <w:rFonts w:cs="Arial"/>
              </w:rPr>
              <w:t xml:space="preserve"> and</w:t>
            </w:r>
          </w:p>
        </w:tc>
      </w:tr>
      <w:tr w:rsidR="00F67E9E" w:rsidRPr="00D5341B" w14:paraId="584A19CE" w14:textId="77777777" w:rsidTr="007F74AA">
        <w:tc>
          <w:tcPr>
            <w:tcW w:w="2835" w:type="dxa"/>
          </w:tcPr>
          <w:p w14:paraId="6408F75B" w14:textId="77777777" w:rsidR="00F67E9E" w:rsidRPr="00D5341B" w:rsidRDefault="00F67E9E" w:rsidP="007F74AA">
            <w:pPr>
              <w:pStyle w:val="StdBodyTextBold"/>
              <w:rPr>
                <w:rFonts w:cs="Arial"/>
              </w:rPr>
            </w:pPr>
            <w:r>
              <w:rPr>
                <w:rFonts w:cs="Arial"/>
              </w:rPr>
              <w:t>“</w:t>
            </w:r>
            <w:r w:rsidRPr="00D5341B">
              <w:rPr>
                <w:rFonts w:cs="Arial"/>
              </w:rPr>
              <w:t>Work Hours</w:t>
            </w:r>
            <w:r>
              <w:rPr>
                <w:rFonts w:cs="Arial"/>
              </w:rPr>
              <w:t>”</w:t>
            </w:r>
          </w:p>
        </w:tc>
        <w:tc>
          <w:tcPr>
            <w:tcW w:w="6803" w:type="dxa"/>
          </w:tcPr>
          <w:p w14:paraId="47065079" w14:textId="77777777" w:rsidR="00F67E9E" w:rsidRPr="00D5341B" w:rsidRDefault="00F67E9E" w:rsidP="007F74AA">
            <w:pPr>
              <w:pStyle w:val="StdBodyText"/>
              <w:rPr>
                <w:rFonts w:cs="Arial"/>
              </w:rPr>
            </w:pPr>
            <w:r w:rsidRPr="00D5341B">
              <w:rPr>
                <w:rFonts w:cs="Arial"/>
              </w:rPr>
              <w:t>the hours spent by the Supplier Personnel properly working on the Services including time spent travelling (other than to and from the Supplier</w:t>
            </w:r>
            <w:r>
              <w:rPr>
                <w:rFonts w:cs="Arial"/>
              </w:rPr>
              <w:t>’</w:t>
            </w:r>
            <w:r w:rsidRPr="00D5341B">
              <w:rPr>
                <w:rFonts w:cs="Arial"/>
              </w:rPr>
              <w:t>s offices, or to and from the Sites) but excluding lunch breaks</w:t>
            </w:r>
            <w:r>
              <w:rPr>
                <w:rFonts w:cs="Arial"/>
              </w:rPr>
              <w:t>.</w:t>
            </w:r>
          </w:p>
        </w:tc>
      </w:tr>
    </w:tbl>
    <w:p w14:paraId="2DCCEA99" w14:textId="77777777" w:rsidR="00F67E9E" w:rsidRDefault="00F67E9E" w:rsidP="00F67E9E">
      <w:pPr>
        <w:rPr>
          <w:lang w:eastAsia="en-GB"/>
        </w:rPr>
      </w:pPr>
    </w:p>
    <w:p w14:paraId="2950C59A" w14:textId="77777777" w:rsidR="00F67E9E" w:rsidRDefault="00F67E9E" w:rsidP="00F67E9E">
      <w:pPr>
        <w:pStyle w:val="Heading2"/>
        <w:pageBreakBefore/>
      </w:pPr>
      <w:bookmarkStart w:id="953" w:name="Sch15PartA"/>
      <w:bookmarkStart w:id="954" w:name="_Ref_ContractCompanion_9kb9Ur46A"/>
      <w:bookmarkStart w:id="955" w:name="_Toc141711938"/>
      <w:r w:rsidRPr="000038E2">
        <w:t>Part</w:t>
      </w:r>
      <w:r w:rsidRPr="00D5341B">
        <w:t xml:space="preserve"> A</w:t>
      </w:r>
      <w:bookmarkEnd w:id="953"/>
      <w:r w:rsidRPr="00D5341B">
        <w:t>: Pricing</w:t>
      </w:r>
      <w:bookmarkEnd w:id="954"/>
      <w:bookmarkEnd w:id="955"/>
    </w:p>
    <w:p w14:paraId="1AB96C81" w14:textId="77777777" w:rsidR="00F67E9E" w:rsidRPr="00D5341B" w:rsidRDefault="00F67E9E" w:rsidP="00F67E9E">
      <w:pPr>
        <w:pStyle w:val="Numbered1"/>
        <w:numPr>
          <w:ilvl w:val="0"/>
          <w:numId w:val="169"/>
        </w:numPr>
      </w:pPr>
      <w:r w:rsidRPr="00772237">
        <w:t>Applicable</w:t>
      </w:r>
      <w:r w:rsidRPr="00D5341B">
        <w:t xml:space="preserve"> Pricing Mechanism </w:t>
      </w:r>
    </w:p>
    <w:p w14:paraId="5684563F" w14:textId="6238E5FE" w:rsidR="00F67E9E" w:rsidRPr="00772237" w:rsidRDefault="00F67E9E" w:rsidP="00F67E9E">
      <w:pPr>
        <w:pStyle w:val="Numbered11"/>
      </w:pPr>
      <w:r w:rsidRPr="00D5341B">
        <w:t xml:space="preserve">Milestone Payments and Service Charges shall be calculated using the pricing mechanism specified in Annex </w:t>
      </w:r>
      <w:r w:rsidRPr="00D5341B">
        <w:fldChar w:fldCharType="begin"/>
      </w:r>
      <w:r w:rsidRPr="00D5341B">
        <w:instrText xml:space="preserve"> REF ANNEX2_SCHEDULE15 \h </w:instrText>
      </w:r>
      <w:r>
        <w:instrText xml:space="preserve"> \* MERGEFORMAT </w:instrText>
      </w:r>
      <w:r w:rsidRPr="00D5341B">
        <w:fldChar w:fldCharType="separate"/>
      </w:r>
      <w:r w:rsidR="00302D39" w:rsidRPr="00BA56A1">
        <w:t>2</w:t>
      </w:r>
      <w:r w:rsidRPr="00D5341B">
        <w:fldChar w:fldCharType="end"/>
      </w:r>
      <w:r w:rsidRPr="00D5341B">
        <w:t xml:space="preserve"> and on the basis of the rates and prices specified in Annex </w:t>
      </w:r>
      <w:r w:rsidRPr="00D5341B">
        <w:fldChar w:fldCharType="begin"/>
      </w:r>
      <w:r w:rsidRPr="00D5341B">
        <w:instrText xml:space="preserve"> REF ANNEX1_SCHEDULE15 \h </w:instrText>
      </w:r>
      <w:r>
        <w:instrText xml:space="preserve"> \* MERGEFORMAT </w:instrText>
      </w:r>
      <w:r w:rsidRPr="00D5341B">
        <w:fldChar w:fldCharType="separate"/>
      </w:r>
      <w:r w:rsidR="00302D39" w:rsidRPr="00BA56A1">
        <w:t>1</w:t>
      </w:r>
      <w:r w:rsidRPr="00D5341B">
        <w:fldChar w:fldCharType="end"/>
      </w:r>
      <w:r w:rsidRPr="00D5341B">
        <w:t xml:space="preserve"> as more </w:t>
      </w:r>
      <w:r w:rsidRPr="00772237">
        <w:t>particularly set out in this Schedule.</w:t>
      </w:r>
    </w:p>
    <w:p w14:paraId="2DED905F" w14:textId="445B0BA5" w:rsidR="00F67E9E" w:rsidRPr="00D5341B" w:rsidRDefault="00F67E9E" w:rsidP="00F67E9E">
      <w:pPr>
        <w:pStyle w:val="Numbered11"/>
      </w:pPr>
      <w:bookmarkStart w:id="956" w:name="_9kR3WTr2CC5DIfIXjn4"/>
      <w:r w:rsidRPr="00772237">
        <w:t>Table 1</w:t>
      </w:r>
      <w:bookmarkEnd w:id="956"/>
      <w:r w:rsidRPr="00772237">
        <w:t xml:space="preserve"> o</w:t>
      </w:r>
      <w:r w:rsidRPr="00D5341B">
        <w:t xml:space="preserve">f Annex </w:t>
      </w:r>
      <w:r w:rsidRPr="00D5341B">
        <w:fldChar w:fldCharType="begin"/>
      </w:r>
      <w:r w:rsidRPr="00D5341B">
        <w:instrText xml:space="preserve"> REF ANNEX2_SCHEDULE15 \h </w:instrText>
      </w:r>
      <w:r>
        <w:instrText xml:space="preserve"> \* MERGEFORMAT </w:instrText>
      </w:r>
      <w:r w:rsidRPr="00D5341B">
        <w:fldChar w:fldCharType="separate"/>
      </w:r>
      <w:r w:rsidR="00302D39" w:rsidRPr="00BA56A1">
        <w:t>2</w:t>
      </w:r>
      <w:r w:rsidRPr="00D5341B">
        <w:fldChar w:fldCharType="end"/>
      </w:r>
      <w:r w:rsidRPr="00D5341B">
        <w:t xml:space="preserve"> sets out which pricing mechanism shall be used to calculate each Milestone Payment, which shall be one or more of the following:</w:t>
      </w:r>
    </w:p>
    <w:p w14:paraId="0DC84C0E" w14:textId="25C7771A" w:rsidR="00F67E9E" w:rsidRPr="00D5341B" w:rsidRDefault="00F67E9E" w:rsidP="00F67E9E">
      <w:pPr>
        <w:pStyle w:val="Numbered111"/>
        <w:tabs>
          <w:tab w:val="clear" w:pos="1800"/>
          <w:tab w:val="num" w:pos="2160"/>
        </w:tabs>
      </w:pPr>
      <w:r>
        <w:t>“</w:t>
      </w:r>
      <w:r w:rsidRPr="00D5341B">
        <w:rPr>
          <w:rStyle w:val="StdBodyTextBoldChar"/>
          <w:rFonts w:eastAsia="Arial" w:cs="Arial"/>
        </w:rPr>
        <w:t>Time and Materials</w:t>
      </w:r>
      <w:r>
        <w:t>”</w:t>
      </w:r>
      <w:r w:rsidRPr="00D5341B">
        <w:t xml:space="preserve">, in which case the provisions of </w:t>
      </w:r>
      <w:bookmarkStart w:id="957" w:name="_9kMHG5YVtCIB79GhLhkhy7sFQLkR0KeivJDAz9D"/>
      <w:r w:rsidRPr="00D5341B">
        <w:t xml:space="preserve">Paragraph </w:t>
      </w:r>
      <w:bookmarkEnd w:id="957"/>
      <w:r w:rsidRPr="00D5341B">
        <w:fldChar w:fldCharType="begin"/>
      </w:r>
      <w:r w:rsidRPr="00D5341B">
        <w:instrText xml:space="preserve"> REF _Ref_ContractCompanion_9kb9Us138 \w \h </w:instrText>
      </w:r>
      <w:r>
        <w:instrText xml:space="preserve"> \* MERGEFORMAT </w:instrText>
      </w:r>
      <w:r w:rsidRPr="00D5341B">
        <w:fldChar w:fldCharType="separate"/>
      </w:r>
      <w:r w:rsidR="00302D39">
        <w:t>2</w:t>
      </w:r>
      <w:r w:rsidRPr="00D5341B">
        <w:fldChar w:fldCharType="end"/>
      </w:r>
      <w:r w:rsidRPr="00D5341B">
        <w:t xml:space="preserve"> shall apply;</w:t>
      </w:r>
    </w:p>
    <w:p w14:paraId="581A69C2" w14:textId="20552755" w:rsidR="00F67E9E" w:rsidRPr="00D5341B" w:rsidRDefault="00F67E9E" w:rsidP="00F67E9E">
      <w:pPr>
        <w:pStyle w:val="Numbered111"/>
        <w:tabs>
          <w:tab w:val="clear" w:pos="1800"/>
          <w:tab w:val="num" w:pos="2160"/>
        </w:tabs>
      </w:pPr>
      <w:r>
        <w:t>“</w:t>
      </w:r>
      <w:r w:rsidRPr="00D5341B">
        <w:rPr>
          <w:rStyle w:val="StdBodyTextBoldChar"/>
          <w:rFonts w:eastAsia="Arial" w:cs="Arial"/>
        </w:rPr>
        <w:t>Guaranteed Maximum Price with Target Cost</w:t>
      </w:r>
      <w:r>
        <w:t>”</w:t>
      </w:r>
      <w:r w:rsidRPr="00D5341B">
        <w:t xml:space="preserve">, in which case the provisions of </w:t>
      </w:r>
      <w:bookmarkStart w:id="958" w:name="_9kMHG5YVtCIB79JkLhkhy7sFQLkR0KejjIDBC9T"/>
      <w:r w:rsidRPr="00D5341B">
        <w:t xml:space="preserve">Paragraph </w:t>
      </w:r>
      <w:bookmarkEnd w:id="958"/>
      <w:r w:rsidRPr="00D5341B">
        <w:fldChar w:fldCharType="begin"/>
      </w:r>
      <w:r w:rsidRPr="00D5341B">
        <w:instrText xml:space="preserve"> REF _Ref_ContractCompanion_9kb9Us13B \w \h </w:instrText>
      </w:r>
      <w:r>
        <w:instrText xml:space="preserve"> \* MERGEFORMAT </w:instrText>
      </w:r>
      <w:r w:rsidRPr="00D5341B">
        <w:fldChar w:fldCharType="separate"/>
      </w:r>
      <w:r w:rsidR="00302D39">
        <w:t>3</w:t>
      </w:r>
      <w:r w:rsidRPr="00D5341B">
        <w:fldChar w:fldCharType="end"/>
      </w:r>
      <w:r w:rsidRPr="00D5341B">
        <w:t xml:space="preserve"> shall apply;</w:t>
      </w:r>
    </w:p>
    <w:p w14:paraId="08582BEB" w14:textId="18BD88C3" w:rsidR="00F67E9E" w:rsidRPr="00D5341B" w:rsidRDefault="00F67E9E" w:rsidP="00F67E9E">
      <w:pPr>
        <w:pStyle w:val="Numbered111"/>
        <w:tabs>
          <w:tab w:val="clear" w:pos="1800"/>
          <w:tab w:val="num" w:pos="2160"/>
        </w:tabs>
      </w:pPr>
      <w:r>
        <w:t>“</w:t>
      </w:r>
      <w:r w:rsidRPr="00D5341B">
        <w:rPr>
          <w:rStyle w:val="StdBodyTextBoldChar"/>
          <w:rFonts w:eastAsia="Arial" w:cs="Arial"/>
        </w:rPr>
        <w:t>Fixed Price</w:t>
      </w:r>
      <w:r>
        <w:t>”</w:t>
      </w:r>
      <w:r w:rsidRPr="00D5341B">
        <w:t xml:space="preserve">, in which case the provisions of </w:t>
      </w:r>
      <w:bookmarkStart w:id="959" w:name="_9kMHG5YVtCIB7ADdLhkhy7sFQLkR0Kekj5OL2ET"/>
      <w:r w:rsidRPr="00D5341B">
        <w:t xml:space="preserve">Paragraph </w:t>
      </w:r>
      <w:r w:rsidRPr="00D5341B">
        <w:fldChar w:fldCharType="begin"/>
      </w:r>
      <w:r w:rsidRPr="00D5341B">
        <w:instrText xml:space="preserve"> REF _Ref_ContractCompanion_9kb9Us145 \w \n \h \t \* MERGEFORMAT </w:instrText>
      </w:r>
      <w:r w:rsidRPr="00D5341B">
        <w:fldChar w:fldCharType="separate"/>
      </w:r>
      <w:r w:rsidR="00302D39">
        <w:t>4</w:t>
      </w:r>
      <w:r w:rsidRPr="00D5341B">
        <w:fldChar w:fldCharType="end"/>
      </w:r>
      <w:bookmarkEnd w:id="959"/>
      <w:r w:rsidRPr="00D5341B">
        <w:t xml:space="preserve"> shall apply; or </w:t>
      </w:r>
    </w:p>
    <w:p w14:paraId="39999430" w14:textId="049EF896" w:rsidR="00F67E9E" w:rsidRPr="00D5341B" w:rsidRDefault="00F67E9E" w:rsidP="00F67E9E">
      <w:pPr>
        <w:pStyle w:val="Numbered111"/>
        <w:tabs>
          <w:tab w:val="clear" w:pos="1800"/>
          <w:tab w:val="num" w:pos="2160"/>
        </w:tabs>
      </w:pPr>
      <w:r>
        <w:t>“</w:t>
      </w:r>
      <w:r w:rsidRPr="00D5341B">
        <w:rPr>
          <w:rStyle w:val="StdBodyTextBoldChar"/>
          <w:rFonts w:eastAsia="Arial" w:cs="Arial"/>
        </w:rPr>
        <w:t>Firm Price</w:t>
      </w:r>
      <w:r>
        <w:t>”</w:t>
      </w:r>
      <w:r w:rsidRPr="00D5341B">
        <w:t xml:space="preserve">, in which case the provisions of </w:t>
      </w:r>
      <w:bookmarkStart w:id="960" w:name="_9kMHG5YVtCIB7AGgLhkhy7sFQLkR0Kelk5INMSM"/>
      <w:r w:rsidRPr="00D5341B">
        <w:t xml:space="preserve">Paragraph </w:t>
      </w:r>
      <w:r w:rsidRPr="00D5341B">
        <w:fldChar w:fldCharType="begin"/>
      </w:r>
      <w:r w:rsidRPr="00D5341B">
        <w:instrText xml:space="preserve"> REF _Ref_ContractCompanion_9kb9Us148 \w \n \h \t \* MERGEFORMAT </w:instrText>
      </w:r>
      <w:r w:rsidRPr="00D5341B">
        <w:fldChar w:fldCharType="separate"/>
      </w:r>
      <w:r w:rsidR="00302D39">
        <w:t>5</w:t>
      </w:r>
      <w:r w:rsidRPr="00D5341B">
        <w:fldChar w:fldCharType="end"/>
      </w:r>
      <w:bookmarkEnd w:id="960"/>
      <w:r w:rsidRPr="00D5341B">
        <w:t xml:space="preserve"> shall apply.</w:t>
      </w:r>
    </w:p>
    <w:p w14:paraId="53D6C9A8" w14:textId="2F608B9F" w:rsidR="00F67E9E" w:rsidRPr="00D5341B" w:rsidRDefault="00F67E9E" w:rsidP="00F67E9E">
      <w:pPr>
        <w:pStyle w:val="Numbered11"/>
      </w:pPr>
      <w:bookmarkStart w:id="961" w:name="_9kR3WTr2CC5DJgIXjn5"/>
      <w:r w:rsidRPr="00D5341B">
        <w:t>Table 2</w:t>
      </w:r>
      <w:bookmarkEnd w:id="961"/>
      <w:r w:rsidRPr="00D5341B">
        <w:t xml:space="preserve"> of Annex </w:t>
      </w:r>
      <w:r w:rsidRPr="00D5341B">
        <w:fldChar w:fldCharType="begin"/>
      </w:r>
      <w:r w:rsidRPr="00D5341B">
        <w:instrText xml:space="preserve"> REF ANNEX2_SCHEDULE15 \h </w:instrText>
      </w:r>
      <w:r>
        <w:instrText xml:space="preserve"> \* MERGEFORMAT </w:instrText>
      </w:r>
      <w:r w:rsidRPr="00D5341B">
        <w:fldChar w:fldCharType="separate"/>
      </w:r>
      <w:r w:rsidR="00302D39" w:rsidRPr="00BA56A1">
        <w:t>2</w:t>
      </w:r>
      <w:r w:rsidRPr="00D5341B">
        <w:fldChar w:fldCharType="end"/>
      </w:r>
      <w:r w:rsidRPr="00D5341B">
        <w:t xml:space="preserve"> sets out which pricing mechanism shall be used to calculate each Service </w:t>
      </w:r>
      <w:r w:rsidRPr="00772237">
        <w:t>Charge</w:t>
      </w:r>
      <w:r w:rsidRPr="00D5341B">
        <w:t>, which shall be one or more of the following:</w:t>
      </w:r>
    </w:p>
    <w:p w14:paraId="72031229" w14:textId="13FECABF" w:rsidR="00F67E9E" w:rsidRPr="00D5341B" w:rsidRDefault="00F67E9E" w:rsidP="00F67E9E">
      <w:pPr>
        <w:pStyle w:val="Numbered111"/>
        <w:tabs>
          <w:tab w:val="clear" w:pos="1800"/>
          <w:tab w:val="num" w:pos="2160"/>
        </w:tabs>
      </w:pPr>
      <w:r>
        <w:t>“</w:t>
      </w:r>
      <w:r w:rsidRPr="00D5341B">
        <w:rPr>
          <w:rStyle w:val="StdBodyTextBoldChar"/>
          <w:rFonts w:eastAsia="Arial" w:cs="Arial"/>
        </w:rPr>
        <w:t>Time and Materials</w:t>
      </w:r>
      <w:r>
        <w:t>”</w:t>
      </w:r>
      <w:r w:rsidRPr="00D5341B">
        <w:t xml:space="preserve">, in which case the provisions of </w:t>
      </w:r>
      <w:bookmarkStart w:id="962" w:name="_9kMIH5YVtCIB79GhLhkhy7sFQLkR0KeivJDAz9D"/>
      <w:r w:rsidRPr="00D5341B">
        <w:t xml:space="preserve">Paragraph </w:t>
      </w:r>
      <w:r w:rsidRPr="00D5341B">
        <w:fldChar w:fldCharType="begin"/>
      </w:r>
      <w:r w:rsidRPr="00D5341B">
        <w:instrText xml:space="preserve"> REF _Ref_ContractCompanion_9kb9Us138 \w \n \h \t \* MERGEFORMAT </w:instrText>
      </w:r>
      <w:r w:rsidRPr="00D5341B">
        <w:fldChar w:fldCharType="separate"/>
      </w:r>
      <w:r w:rsidR="00302D39">
        <w:t>2</w:t>
      </w:r>
      <w:r w:rsidRPr="00D5341B">
        <w:fldChar w:fldCharType="end"/>
      </w:r>
      <w:bookmarkEnd w:id="962"/>
      <w:r w:rsidRPr="00D5341B">
        <w:t xml:space="preserve"> shall apply;</w:t>
      </w:r>
    </w:p>
    <w:p w14:paraId="7ADCB0D1" w14:textId="2065CA21" w:rsidR="00F67E9E" w:rsidRPr="00D5341B" w:rsidRDefault="00F67E9E" w:rsidP="00F67E9E">
      <w:pPr>
        <w:pStyle w:val="Numbered111"/>
        <w:tabs>
          <w:tab w:val="clear" w:pos="1800"/>
          <w:tab w:val="num" w:pos="2160"/>
        </w:tabs>
      </w:pPr>
      <w:r>
        <w:t>“</w:t>
      </w:r>
      <w:r w:rsidRPr="00D5341B">
        <w:rPr>
          <w:rStyle w:val="StdBodyTextBoldChar"/>
          <w:rFonts w:eastAsia="Arial" w:cs="Arial"/>
        </w:rPr>
        <w:t>Volume Based</w:t>
      </w:r>
      <w:r>
        <w:t>”</w:t>
      </w:r>
      <w:r w:rsidRPr="00D5341B">
        <w:t xml:space="preserve"> pricing, in which case the provisions of </w:t>
      </w:r>
      <w:bookmarkStart w:id="963" w:name="_9kMHG5YVtCIB7AJjLhkhy7sFQLkR0Kem1RIPRC2"/>
      <w:r w:rsidRPr="00D5341B">
        <w:t>Paragraph</w:t>
      </w:r>
      <w:bookmarkEnd w:id="963"/>
      <w:r w:rsidRPr="00D5341B">
        <w:t> </w:t>
      </w:r>
      <w:r w:rsidRPr="00D5341B">
        <w:fldChar w:fldCharType="begin"/>
      </w:r>
      <w:r w:rsidRPr="00D5341B">
        <w:instrText xml:space="preserve"> REF _Ref_ContractCompanion_9kb9Us14B \w \h </w:instrText>
      </w:r>
      <w:r>
        <w:instrText xml:space="preserve"> \* MERGEFORMAT </w:instrText>
      </w:r>
      <w:r w:rsidRPr="00D5341B">
        <w:fldChar w:fldCharType="separate"/>
      </w:r>
      <w:r w:rsidR="00302D39">
        <w:t>6</w:t>
      </w:r>
      <w:r w:rsidRPr="00D5341B">
        <w:fldChar w:fldCharType="end"/>
      </w:r>
      <w:r w:rsidRPr="00D5341B">
        <w:t xml:space="preserve"> shall apply; or</w:t>
      </w:r>
    </w:p>
    <w:p w14:paraId="7F7840ED" w14:textId="5FD03B53" w:rsidR="00F67E9E" w:rsidRPr="00D5341B" w:rsidRDefault="00F67E9E" w:rsidP="00F67E9E">
      <w:pPr>
        <w:pStyle w:val="Numbered111"/>
        <w:tabs>
          <w:tab w:val="clear" w:pos="1800"/>
          <w:tab w:val="num" w:pos="2160"/>
        </w:tabs>
      </w:pPr>
      <w:r>
        <w:t>“</w:t>
      </w:r>
      <w:r w:rsidRPr="00D5341B">
        <w:rPr>
          <w:rStyle w:val="StdBodyTextBoldChar"/>
          <w:rFonts w:eastAsia="Arial" w:cs="Arial"/>
        </w:rPr>
        <w:t>Fixed Price</w:t>
      </w:r>
      <w:r>
        <w:t>”</w:t>
      </w:r>
      <w:r w:rsidRPr="00D5341B">
        <w:t xml:space="preserve"> in which case the provisions of </w:t>
      </w:r>
      <w:bookmarkStart w:id="964" w:name="_9kMIH5YVtCIB7ADdLhkhy7sFQLkR0Kekj5OL2ET"/>
      <w:r w:rsidRPr="00D5341B">
        <w:t xml:space="preserve">Paragraph </w:t>
      </w:r>
      <w:bookmarkEnd w:id="964"/>
      <w:r w:rsidRPr="00D5341B">
        <w:fldChar w:fldCharType="begin"/>
      </w:r>
      <w:r w:rsidRPr="00D5341B">
        <w:instrText xml:space="preserve"> REF _Ref_ContractCompanion_9kb9Us145 \w \h </w:instrText>
      </w:r>
      <w:r>
        <w:instrText xml:space="preserve"> \* MERGEFORMAT </w:instrText>
      </w:r>
      <w:r w:rsidRPr="00D5341B">
        <w:fldChar w:fldCharType="separate"/>
      </w:r>
      <w:r w:rsidR="00302D39">
        <w:t>4</w:t>
      </w:r>
      <w:r w:rsidRPr="00D5341B">
        <w:fldChar w:fldCharType="end"/>
      </w:r>
      <w:r w:rsidRPr="00D5341B">
        <w:t xml:space="preserve"> shall apply.</w:t>
      </w:r>
    </w:p>
    <w:p w14:paraId="435FBFCE" w14:textId="77777777" w:rsidR="00F67E9E" w:rsidRDefault="00F67E9E" w:rsidP="00F67E9E">
      <w:pPr>
        <w:pStyle w:val="Numbered1"/>
      </w:pPr>
      <w:bookmarkStart w:id="965" w:name="_Ref_ContractCompanion_9kb9Us138"/>
      <w:bookmarkStart w:id="966" w:name="_9kR3WTrAG957EfJfifw5qDOJiPyIcgtHB8x7BB9"/>
      <w:r w:rsidRPr="00D5341B">
        <w:t xml:space="preserve">Time </w:t>
      </w:r>
      <w:r>
        <w:t>a</w:t>
      </w:r>
      <w:r w:rsidRPr="00D5341B">
        <w:t xml:space="preserve">nd Materials </w:t>
      </w:r>
      <w:r w:rsidRPr="00772237">
        <w:t>Milestone</w:t>
      </w:r>
      <w:r w:rsidRPr="00D5341B">
        <w:t xml:space="preserve"> Payments </w:t>
      </w:r>
      <w:r>
        <w:t>o</w:t>
      </w:r>
      <w:r w:rsidRPr="00D5341B">
        <w:t>r Service Charges</w:t>
      </w:r>
      <w:bookmarkEnd w:id="965"/>
      <w:bookmarkEnd w:id="966"/>
    </w:p>
    <w:p w14:paraId="4B4E177B" w14:textId="38BA8CB1" w:rsidR="00F67E9E" w:rsidRPr="00D5341B" w:rsidRDefault="00F67E9E" w:rsidP="00F67E9E">
      <w:pPr>
        <w:pStyle w:val="Numbered11"/>
      </w:pPr>
      <w:r w:rsidRPr="00D5341B">
        <w:t xml:space="preserve">Where </w:t>
      </w:r>
      <w:bookmarkStart w:id="967" w:name="_9kMHG5YVt4EE7FKhKZlp6"/>
      <w:r w:rsidRPr="00D5341B">
        <w:t>Table 1</w:t>
      </w:r>
      <w:bookmarkEnd w:id="967"/>
      <w:r w:rsidRPr="00D5341B">
        <w:t xml:space="preserve"> or </w:t>
      </w:r>
      <w:bookmarkStart w:id="968" w:name="_9kMHG5YVt4EE7FLiKZlp7"/>
      <w:r w:rsidRPr="00D5341B">
        <w:t>Table 2</w:t>
      </w:r>
      <w:bookmarkEnd w:id="968"/>
      <w:r w:rsidRPr="00D5341B">
        <w:t xml:space="preserve"> of Annex </w:t>
      </w:r>
      <w:r w:rsidRPr="00D5341B">
        <w:fldChar w:fldCharType="begin"/>
      </w:r>
      <w:r w:rsidRPr="00D5341B">
        <w:instrText xml:space="preserve"> REF ANNEX2_SCHEDULE15 \h </w:instrText>
      </w:r>
      <w:r>
        <w:instrText xml:space="preserve"> \* MERGEFORMAT </w:instrText>
      </w:r>
      <w:r w:rsidRPr="00D5341B">
        <w:fldChar w:fldCharType="separate"/>
      </w:r>
      <w:r w:rsidR="00302D39" w:rsidRPr="00BA56A1">
        <w:t>2</w:t>
      </w:r>
      <w:r w:rsidRPr="00D5341B">
        <w:fldChar w:fldCharType="end"/>
      </w:r>
      <w:r w:rsidRPr="00D5341B">
        <w:t xml:space="preserve"> indicates that a Milestone Payment or Service Charge (as applicable) is to be calculated by reference to a Time and Materials pricing mechanism:</w:t>
      </w:r>
    </w:p>
    <w:p w14:paraId="0DE794C4" w14:textId="0928B268" w:rsidR="00F67E9E" w:rsidRPr="00D5341B" w:rsidRDefault="00F67E9E" w:rsidP="00F67E9E">
      <w:pPr>
        <w:pStyle w:val="Numbered111"/>
        <w:tabs>
          <w:tab w:val="clear" w:pos="1800"/>
          <w:tab w:val="num" w:pos="2160"/>
        </w:tabs>
      </w:pPr>
      <w:r w:rsidRPr="00D5341B">
        <w:t xml:space="preserve">the day rates set out in </w:t>
      </w:r>
      <w:bookmarkStart w:id="969" w:name="_9kMIH5YVt4EE7FKhKZlp6"/>
      <w:r w:rsidRPr="00D5341B">
        <w:t>Table 1</w:t>
      </w:r>
      <w:bookmarkEnd w:id="969"/>
      <w:r w:rsidRPr="00D5341B">
        <w:t xml:space="preserve"> of Annex </w:t>
      </w:r>
      <w:r w:rsidRPr="00D5341B">
        <w:fldChar w:fldCharType="begin"/>
      </w:r>
      <w:r w:rsidRPr="00D5341B">
        <w:instrText xml:space="preserve"> REF ANNEX1_SCHEDULE15 \h </w:instrText>
      </w:r>
      <w:r>
        <w:instrText xml:space="preserve"> \* MERGEFORMAT </w:instrText>
      </w:r>
      <w:r w:rsidRPr="00D5341B">
        <w:fldChar w:fldCharType="separate"/>
      </w:r>
      <w:r w:rsidR="00302D39" w:rsidRPr="00BA56A1">
        <w:t>1</w:t>
      </w:r>
      <w:r w:rsidRPr="00D5341B">
        <w:fldChar w:fldCharType="end"/>
      </w:r>
      <w:r w:rsidRPr="00D5341B">
        <w:t xml:space="preserve"> shall be used to calculate the relevant Charges, provided that the Supplier (or its Sub-contractor) shall:</w:t>
      </w:r>
    </w:p>
    <w:p w14:paraId="0842D6D5" w14:textId="77777777" w:rsidR="00F67E9E" w:rsidRPr="00D5341B" w:rsidRDefault="00F67E9E" w:rsidP="00F67E9E">
      <w:pPr>
        <w:pStyle w:val="Numbered111a"/>
        <w:tabs>
          <w:tab w:val="clear" w:pos="2520"/>
          <w:tab w:val="num" w:pos="2880"/>
        </w:tabs>
      </w:pPr>
      <w:r w:rsidRPr="00D5341B">
        <w:t>not be entitled to include any uplift for risks or contingencies within its day rates;</w:t>
      </w:r>
    </w:p>
    <w:p w14:paraId="073862A1" w14:textId="25B10468" w:rsidR="00F67E9E" w:rsidRPr="00D5341B" w:rsidRDefault="00F67E9E" w:rsidP="00F67E9E">
      <w:pPr>
        <w:pStyle w:val="Numbered111a"/>
        <w:tabs>
          <w:tab w:val="clear" w:pos="2520"/>
          <w:tab w:val="num" w:pos="2880"/>
        </w:tabs>
      </w:pPr>
      <w:r w:rsidRPr="00D5341B">
        <w:t xml:space="preserve">not be paid any Charges to the extent that they would otherwise exceed the cap specified against the relevant Charge in </w:t>
      </w:r>
      <w:bookmarkStart w:id="970" w:name="_9kMIH5YVt4EE7FLiKZlp7"/>
      <w:r w:rsidRPr="00D5341B">
        <w:t>Table 2</w:t>
      </w:r>
      <w:bookmarkEnd w:id="970"/>
      <w:r w:rsidRPr="00D5341B">
        <w:t xml:space="preserve"> of Annex </w:t>
      </w:r>
      <w:r w:rsidRPr="00D5341B">
        <w:fldChar w:fldCharType="begin"/>
      </w:r>
      <w:r w:rsidRPr="00D5341B">
        <w:instrText xml:space="preserve"> REF ANNEX1_SCHEDULE15 \h </w:instrText>
      </w:r>
      <w:r>
        <w:instrText xml:space="preserve"> \* MERGEFORMAT </w:instrText>
      </w:r>
      <w:r w:rsidRPr="00D5341B">
        <w:fldChar w:fldCharType="separate"/>
      </w:r>
      <w:r w:rsidR="00302D39" w:rsidRPr="00BA56A1">
        <w:t>1</w:t>
      </w:r>
      <w:r w:rsidRPr="00D5341B">
        <w:fldChar w:fldCharType="end"/>
      </w:r>
      <w:r w:rsidRPr="00D5341B">
        <w:t xml:space="preserve"> unless the Supplier has obtained the Authority</w:t>
      </w:r>
      <w:r>
        <w:t>’</w:t>
      </w:r>
      <w:r w:rsidRPr="00D5341B">
        <w:t>s prior written consent. The Supplier shall monitor the amount of each Charge incurred in relation to the relevant cap and notify the Authority immediately in the event of any risk that the cap may be exceeded and the Authority shall instruct the Supplier on how to proceed;</w:t>
      </w:r>
    </w:p>
    <w:p w14:paraId="192C6546" w14:textId="77777777" w:rsidR="00F67E9E" w:rsidRPr="00D5341B" w:rsidRDefault="00F67E9E" w:rsidP="00F67E9E">
      <w:pPr>
        <w:pStyle w:val="Numbered111a"/>
        <w:keepNext/>
        <w:tabs>
          <w:tab w:val="clear" w:pos="2520"/>
          <w:tab w:val="num" w:pos="2880"/>
        </w:tabs>
      </w:pPr>
      <w:r w:rsidRPr="00D5341B">
        <w:t>unless otherwise agreed by the Authority in relation to the relevant Milestone Payment or Service Charge (as the case may be), not be paid any Charges to the extent that they would otherwise exceed the amount calculated by multiplying:</w:t>
      </w:r>
    </w:p>
    <w:p w14:paraId="5735FD67" w14:textId="77777777" w:rsidR="00F67E9E" w:rsidRPr="00D5341B" w:rsidRDefault="00F67E9E" w:rsidP="00F67E9E">
      <w:pPr>
        <w:pStyle w:val="Numbered111ai"/>
        <w:tabs>
          <w:tab w:val="clear" w:pos="3240"/>
          <w:tab w:val="num" w:pos="3600"/>
        </w:tabs>
      </w:pPr>
      <w:r w:rsidRPr="00D5341B">
        <w:t>the total number of days expended by the Supplier in relation to the relevant Milestone; or</w:t>
      </w:r>
    </w:p>
    <w:p w14:paraId="4D47437D" w14:textId="77777777" w:rsidR="00F67E9E" w:rsidRPr="00D5341B" w:rsidRDefault="00F67E9E" w:rsidP="00F67E9E">
      <w:pPr>
        <w:pStyle w:val="Numbered111ai"/>
        <w:tabs>
          <w:tab w:val="clear" w:pos="3240"/>
          <w:tab w:val="num" w:pos="3600"/>
        </w:tabs>
      </w:pPr>
      <w:r w:rsidRPr="00D5341B">
        <w:t>the total number of days expended by the Supplier during the relevant Service Period in relation to the relevant Service,</w:t>
      </w:r>
    </w:p>
    <w:p w14:paraId="41F501E7" w14:textId="77777777" w:rsidR="00F67E9E" w:rsidRPr="00D5341B" w:rsidRDefault="00F67E9E" w:rsidP="00F67E9E">
      <w:pPr>
        <w:pStyle w:val="StdBodyText5"/>
        <w:ind w:left="2520"/>
        <w:rPr>
          <w:rFonts w:cs="Arial"/>
        </w:rPr>
      </w:pPr>
      <w:r w:rsidRPr="00D5341B">
        <w:rPr>
          <w:rFonts w:cs="Arial"/>
        </w:rPr>
        <w:t>by the Capped ADR; and</w:t>
      </w:r>
    </w:p>
    <w:p w14:paraId="6F56DF8B" w14:textId="77777777" w:rsidR="00F67E9E" w:rsidRPr="00D5341B" w:rsidRDefault="00F67E9E" w:rsidP="00F67E9E">
      <w:pPr>
        <w:pStyle w:val="Numbered111a"/>
      </w:pPr>
      <w:r w:rsidRPr="00D5341B">
        <w:t xml:space="preserve">only be entitled to be paid Charges that have been properly and reasonably </w:t>
      </w:r>
      <w:r w:rsidRPr="00772237">
        <w:t>incurred</w:t>
      </w:r>
      <w:r w:rsidRPr="00D5341B">
        <w:t>, taking into account the Supplier</w:t>
      </w:r>
      <w:r>
        <w:t>’</w:t>
      </w:r>
      <w:r w:rsidRPr="00D5341B">
        <w:t>s obligation to deliver the Services in a proportionate and efficient manner; and</w:t>
      </w:r>
    </w:p>
    <w:p w14:paraId="72CAD586" w14:textId="77777777" w:rsidR="00F67E9E" w:rsidRPr="00D5341B" w:rsidRDefault="00F67E9E" w:rsidP="00F67E9E">
      <w:pPr>
        <w:pStyle w:val="Numbered111"/>
      </w:pPr>
      <w:r w:rsidRPr="00D5341B">
        <w:t>the Supplier shall keep records of hours properly worked by Supplier Personnel (in the form of timesheets) and expenses incurred and submit a summary of the relevant records with each invoice. If the Authority requests copies of such records, the Supplier shall make them available to the Authority within 10 Working Days of the Authority</w:t>
      </w:r>
      <w:r>
        <w:t>’</w:t>
      </w:r>
      <w:r w:rsidRPr="00D5341B">
        <w:t>s request.</w:t>
      </w:r>
    </w:p>
    <w:p w14:paraId="6A6E6399" w14:textId="3D3D015C" w:rsidR="00F67E9E" w:rsidRPr="00D5341B" w:rsidRDefault="00F67E9E" w:rsidP="00F67E9E">
      <w:pPr>
        <w:pStyle w:val="Numbered11"/>
      </w:pPr>
      <w:r w:rsidRPr="00D5341B">
        <w:t xml:space="preserve">The Supplier shall be entitled to Index the rates set out in </w:t>
      </w:r>
      <w:bookmarkStart w:id="971" w:name="_9kMJI5YVt4EE7FKhKZlp6"/>
      <w:r w:rsidRPr="00D5341B">
        <w:t>Table 1</w:t>
      </w:r>
      <w:bookmarkEnd w:id="971"/>
      <w:r w:rsidRPr="00D5341B">
        <w:t xml:space="preserve"> of Annex </w:t>
      </w:r>
      <w:r w:rsidRPr="00D5341B">
        <w:fldChar w:fldCharType="begin"/>
      </w:r>
      <w:r w:rsidRPr="00D5341B">
        <w:instrText xml:space="preserve"> REF ANNEX1_SCHEDULE15 \h </w:instrText>
      </w:r>
      <w:r>
        <w:instrText xml:space="preserve"> \* MERGEFORMAT </w:instrText>
      </w:r>
      <w:r w:rsidRPr="00D5341B">
        <w:fldChar w:fldCharType="separate"/>
      </w:r>
      <w:r w:rsidR="00302D39" w:rsidRPr="00BA56A1">
        <w:t>1</w:t>
      </w:r>
      <w:r w:rsidRPr="00D5341B">
        <w:fldChar w:fldCharType="end"/>
      </w:r>
      <w:r w:rsidRPr="00D5341B">
        <w:t xml:space="preserve"> and the Capped ADR in accordance with </w:t>
      </w:r>
      <w:bookmarkStart w:id="972" w:name="_9kMHG5YVt4EE7ELfGpqgyts0H"/>
      <w:r w:rsidRPr="00D5341B">
        <w:t xml:space="preserve">Paragraph </w:t>
      </w:r>
      <w:bookmarkEnd w:id="972"/>
      <w:r w:rsidRPr="00D5341B">
        <w:fldChar w:fldCharType="begin"/>
      </w:r>
      <w:r w:rsidRPr="00D5341B">
        <w:instrText xml:space="preserve"> REF _Ref_ContractCompanion_9kb9Ur18D \w \h </w:instrText>
      </w:r>
      <w:r>
        <w:instrText xml:space="preserve"> \* MERGEFORMAT </w:instrText>
      </w:r>
      <w:r w:rsidRPr="00D5341B">
        <w:fldChar w:fldCharType="separate"/>
      </w:r>
      <w:r w:rsidR="00302D39">
        <w:t>5</w:t>
      </w:r>
      <w:r w:rsidRPr="00D5341B">
        <w:fldChar w:fldCharType="end"/>
      </w:r>
      <w:r w:rsidRPr="00D5341B">
        <w:t xml:space="preserve"> of </w:t>
      </w:r>
      <w:r w:rsidRPr="00D5341B">
        <w:fldChar w:fldCharType="begin"/>
      </w:r>
      <w:r w:rsidRPr="00D5341B">
        <w:instrText xml:space="preserve"> REF Sch15PartC \h  \* MERGEFORMAT </w:instrText>
      </w:r>
      <w:r w:rsidRPr="00D5341B">
        <w:fldChar w:fldCharType="separate"/>
      </w:r>
      <w:r w:rsidR="00302D39" w:rsidRPr="000038E2">
        <w:t>Part </w:t>
      </w:r>
      <w:r w:rsidR="00302D39" w:rsidRPr="00D5341B">
        <w:t>C</w:t>
      </w:r>
      <w:r w:rsidRPr="00D5341B">
        <w:fldChar w:fldCharType="end"/>
      </w:r>
      <w:r w:rsidRPr="00D5341B">
        <w:t xml:space="preserve">, but any caps set out in </w:t>
      </w:r>
      <w:bookmarkStart w:id="973" w:name="_9kMJI5YVt4EE7FLiKZlp7"/>
      <w:r w:rsidRPr="00D5341B">
        <w:t>Table 2</w:t>
      </w:r>
      <w:bookmarkEnd w:id="973"/>
      <w:r w:rsidRPr="00D5341B">
        <w:t xml:space="preserve"> of Annex </w:t>
      </w:r>
      <w:r w:rsidRPr="00D5341B">
        <w:fldChar w:fldCharType="begin"/>
      </w:r>
      <w:r w:rsidRPr="00D5341B">
        <w:instrText xml:space="preserve"> REF ANNEX1_SCHEDULE15 \h </w:instrText>
      </w:r>
      <w:r>
        <w:instrText xml:space="preserve"> \* MERGEFORMAT </w:instrText>
      </w:r>
      <w:r w:rsidRPr="00D5341B">
        <w:fldChar w:fldCharType="separate"/>
      </w:r>
      <w:r w:rsidR="00302D39" w:rsidRPr="00BA56A1">
        <w:t>1</w:t>
      </w:r>
      <w:r w:rsidRPr="00D5341B">
        <w:fldChar w:fldCharType="end"/>
      </w:r>
      <w:r w:rsidRPr="00D5341B">
        <w:t xml:space="preserve"> shall not be </w:t>
      </w:r>
      <w:r w:rsidRPr="00772237">
        <w:t>subject</w:t>
      </w:r>
      <w:r w:rsidRPr="00D5341B">
        <w:t xml:space="preserve"> to Indexation. </w:t>
      </w:r>
    </w:p>
    <w:p w14:paraId="27EFD068" w14:textId="77777777" w:rsidR="00F67E9E" w:rsidRPr="00D5341B" w:rsidRDefault="00F67E9E" w:rsidP="00F67E9E">
      <w:pPr>
        <w:pStyle w:val="Numbered1"/>
      </w:pPr>
      <w:bookmarkStart w:id="974" w:name="_Ref_ContractCompanion_9kb9Us13B"/>
      <w:bookmarkStart w:id="975" w:name="_9kR3WTrAG957HiJfifw5qDOJiPyIchhGB9A7RJ5"/>
      <w:r w:rsidRPr="00D5341B">
        <w:t xml:space="preserve">Guaranteed Maximum Price </w:t>
      </w:r>
      <w:r>
        <w:t>w</w:t>
      </w:r>
      <w:r w:rsidRPr="00D5341B">
        <w:t>ith Target Cost Incentive Milestone Payments</w:t>
      </w:r>
      <w:bookmarkEnd w:id="974"/>
      <w:bookmarkEnd w:id="975"/>
    </w:p>
    <w:p w14:paraId="361AE7DE" w14:textId="60432677" w:rsidR="00F67E9E" w:rsidRPr="00772237" w:rsidRDefault="00F67E9E" w:rsidP="00F67E9E">
      <w:pPr>
        <w:pStyle w:val="Numbered11"/>
      </w:pPr>
      <w:bookmarkStart w:id="976" w:name="_Ref_ContractCompanion_9kb9Ur05A"/>
      <w:bookmarkStart w:id="977" w:name="_Ref_ContractCompanion_9kb9Ur05C"/>
      <w:r w:rsidRPr="00D5341B">
        <w:t xml:space="preserve">Where </w:t>
      </w:r>
      <w:bookmarkStart w:id="978" w:name="_9kMKJ5YVt4EE7FKhKZlp6"/>
      <w:r w:rsidRPr="00D5341B">
        <w:t>Table 1</w:t>
      </w:r>
      <w:bookmarkEnd w:id="978"/>
      <w:r w:rsidRPr="00D5341B">
        <w:t xml:space="preserve"> of Annex </w:t>
      </w:r>
      <w:r w:rsidRPr="00D5341B">
        <w:fldChar w:fldCharType="begin"/>
      </w:r>
      <w:r w:rsidRPr="00D5341B">
        <w:instrText xml:space="preserve"> REF ANNEX2_SCHEDULE15 \h </w:instrText>
      </w:r>
      <w:r>
        <w:instrText xml:space="preserve"> \* MERGEFORMAT </w:instrText>
      </w:r>
      <w:r w:rsidRPr="00D5341B">
        <w:fldChar w:fldCharType="separate"/>
      </w:r>
      <w:r w:rsidR="00302D39" w:rsidRPr="00BA56A1">
        <w:t>2</w:t>
      </w:r>
      <w:r w:rsidRPr="00D5341B">
        <w:fldChar w:fldCharType="end"/>
      </w:r>
      <w:r w:rsidRPr="00D5341B">
        <w:t xml:space="preserve"> indicates that a Milestone Payment is to be calculated by reference to the Guaranteed Maximum Price with Target Cost pricing mechanism, the target Costs (the </w:t>
      </w:r>
      <w:r>
        <w:t>“</w:t>
      </w:r>
      <w:r w:rsidRPr="00D5341B">
        <w:rPr>
          <w:rStyle w:val="StdBodyTextBoldChar"/>
          <w:rFonts w:eastAsia="Arial" w:cs="Arial"/>
        </w:rPr>
        <w:t>Target Cost</w:t>
      </w:r>
      <w:r>
        <w:t>”</w:t>
      </w:r>
      <w:r w:rsidRPr="00D5341B">
        <w:t xml:space="preserve">) and the target Charge (the </w:t>
      </w:r>
      <w:r>
        <w:t>“</w:t>
      </w:r>
      <w:r w:rsidRPr="00D5341B">
        <w:rPr>
          <w:rStyle w:val="StdBodyTextBoldChar"/>
          <w:rFonts w:eastAsia="Arial" w:cs="Arial"/>
        </w:rPr>
        <w:t>Target Price</w:t>
      </w:r>
      <w:r>
        <w:t>”</w:t>
      </w:r>
      <w:r w:rsidRPr="00D5341B">
        <w:t xml:space="preserve">) for the relevant Milestone shall </w:t>
      </w:r>
      <w:r w:rsidRPr="00772237">
        <w:t xml:space="preserve">be as set out in </w:t>
      </w:r>
      <w:bookmarkStart w:id="979" w:name="_9kR3WTr2CC5DKhIXjn7"/>
      <w:r w:rsidRPr="00772237">
        <w:t>Table 4</w:t>
      </w:r>
      <w:bookmarkEnd w:id="979"/>
      <w:r w:rsidRPr="00772237">
        <w:t xml:space="preserve"> of Annex </w:t>
      </w:r>
      <w:r w:rsidRPr="00772237">
        <w:fldChar w:fldCharType="begin"/>
      </w:r>
      <w:r w:rsidRPr="00772237">
        <w:instrText xml:space="preserve"> REF ANNEX1_SCHEDULE15 \h  \* MERGEFORMAT </w:instrText>
      </w:r>
      <w:r w:rsidRPr="00772237">
        <w:fldChar w:fldCharType="separate"/>
      </w:r>
      <w:r w:rsidR="00302D39" w:rsidRPr="00BA56A1">
        <w:t>1</w:t>
      </w:r>
      <w:r w:rsidRPr="00772237">
        <w:fldChar w:fldCharType="end"/>
      </w:r>
      <w:r w:rsidRPr="00772237">
        <w:t>.</w:t>
      </w:r>
      <w:bookmarkEnd w:id="976"/>
      <w:bookmarkEnd w:id="977"/>
    </w:p>
    <w:p w14:paraId="413E116E" w14:textId="77777777" w:rsidR="00F67E9E" w:rsidRPr="00D5341B" w:rsidRDefault="00F67E9E" w:rsidP="00F67E9E">
      <w:pPr>
        <w:pStyle w:val="Numbered11"/>
      </w:pPr>
      <w:r w:rsidRPr="00772237">
        <w:t>If the Incurred C</w:t>
      </w:r>
      <w:r w:rsidRPr="00D5341B">
        <w:t>osts relating to a Milestone are lower than the Target Cost for that Milestone, the difference between the Incurred Costs and the Target Cost shall be shared equally between the Authority and the Supplier (resulting in the Supplier receiving a higher Supplier Profit Margin in relation to that Milestone), and the Milestone Payment shall be calculated as follows:</w:t>
      </w:r>
    </w:p>
    <w:p w14:paraId="052F8461" w14:textId="77777777" w:rsidR="00F67E9E" w:rsidRPr="00D5341B" w:rsidRDefault="00F67E9E" w:rsidP="00F67E9E">
      <w:pPr>
        <w:pStyle w:val="StdBodyText2"/>
        <w:rPr>
          <w:rFonts w:cs="Arial"/>
        </w:rPr>
      </w:pPr>
      <w:r w:rsidRPr="00D5341B">
        <w:rPr>
          <w:rFonts w:cs="Arial"/>
        </w:rPr>
        <w:t xml:space="preserve">Milestone Payment = TP – ((TC – </w:t>
      </w:r>
      <w:bookmarkStart w:id="980" w:name="_9kR3WTr2CC5DLXj"/>
      <w:r w:rsidRPr="00D5341B">
        <w:rPr>
          <w:rFonts w:cs="Arial"/>
        </w:rPr>
        <w:t>IC</w:t>
      </w:r>
      <w:bookmarkEnd w:id="980"/>
      <w:r w:rsidRPr="00D5341B">
        <w:rPr>
          <w:rFonts w:cs="Arial"/>
        </w:rPr>
        <w:t>)/2)</w:t>
      </w:r>
    </w:p>
    <w:p w14:paraId="0AF6216F" w14:textId="77777777" w:rsidR="00F67E9E" w:rsidRPr="00D5341B" w:rsidRDefault="00F67E9E" w:rsidP="00F67E9E">
      <w:pPr>
        <w:pStyle w:val="StdBodyText2"/>
        <w:rPr>
          <w:rFonts w:cs="Arial"/>
        </w:rPr>
      </w:pPr>
      <w:r w:rsidRPr="00D5341B">
        <w:rPr>
          <w:rFonts w:cs="Arial"/>
        </w:rPr>
        <w:t>where:</w:t>
      </w:r>
    </w:p>
    <w:tbl>
      <w:tblPr>
        <w:tblStyle w:val="MSAdefinitions"/>
        <w:tblW w:w="9638" w:type="dxa"/>
        <w:tblLook w:val="04A0" w:firstRow="1" w:lastRow="0" w:firstColumn="1" w:lastColumn="0" w:noHBand="0" w:noVBand="1"/>
      </w:tblPr>
      <w:tblGrid>
        <w:gridCol w:w="1134"/>
        <w:gridCol w:w="8504"/>
      </w:tblGrid>
      <w:tr w:rsidR="00F67E9E" w:rsidRPr="00D5341B" w14:paraId="7D103DCE" w14:textId="77777777" w:rsidTr="007F74AA">
        <w:tc>
          <w:tcPr>
            <w:tcW w:w="1134" w:type="dxa"/>
          </w:tcPr>
          <w:p w14:paraId="1F6D4889" w14:textId="77777777" w:rsidR="00F67E9E" w:rsidRPr="00D5341B" w:rsidRDefault="00F67E9E" w:rsidP="007F74AA">
            <w:pPr>
              <w:pStyle w:val="StdBodyText2"/>
              <w:ind w:left="0"/>
              <w:rPr>
                <w:rFonts w:cs="Arial"/>
              </w:rPr>
            </w:pPr>
            <w:r w:rsidRPr="00D5341B">
              <w:rPr>
                <w:rFonts w:cs="Arial"/>
              </w:rPr>
              <w:t>TP</w:t>
            </w:r>
          </w:p>
        </w:tc>
        <w:tc>
          <w:tcPr>
            <w:tcW w:w="8504" w:type="dxa"/>
          </w:tcPr>
          <w:p w14:paraId="3E8485DD" w14:textId="77777777" w:rsidR="00F67E9E" w:rsidRPr="00D5341B" w:rsidRDefault="00F67E9E" w:rsidP="007F74AA">
            <w:pPr>
              <w:pStyle w:val="StdBodyText2"/>
              <w:ind w:left="0"/>
              <w:rPr>
                <w:rFonts w:cs="Arial"/>
              </w:rPr>
            </w:pPr>
            <w:r w:rsidRPr="00D5341B">
              <w:rPr>
                <w:rFonts w:cs="Arial"/>
              </w:rPr>
              <w:t>is the Target Price for the relevant Milestone;</w:t>
            </w:r>
          </w:p>
        </w:tc>
      </w:tr>
      <w:tr w:rsidR="00F67E9E" w:rsidRPr="00D5341B" w14:paraId="53FF3A8D" w14:textId="77777777" w:rsidTr="007F74AA">
        <w:tc>
          <w:tcPr>
            <w:tcW w:w="1134" w:type="dxa"/>
          </w:tcPr>
          <w:p w14:paraId="732015D2" w14:textId="77777777" w:rsidR="00F67E9E" w:rsidRPr="00D5341B" w:rsidRDefault="00F67E9E" w:rsidP="007F74AA">
            <w:pPr>
              <w:pStyle w:val="StdBodyText2"/>
              <w:ind w:left="0"/>
              <w:rPr>
                <w:rFonts w:cs="Arial"/>
              </w:rPr>
            </w:pPr>
            <w:r w:rsidRPr="00D5341B">
              <w:rPr>
                <w:rFonts w:cs="Arial"/>
              </w:rPr>
              <w:t>TC</w:t>
            </w:r>
          </w:p>
        </w:tc>
        <w:tc>
          <w:tcPr>
            <w:tcW w:w="8504" w:type="dxa"/>
          </w:tcPr>
          <w:p w14:paraId="30F22196" w14:textId="77777777" w:rsidR="00F67E9E" w:rsidRPr="00D5341B" w:rsidRDefault="00F67E9E" w:rsidP="007F74AA">
            <w:pPr>
              <w:pStyle w:val="StdBodyText2"/>
              <w:ind w:left="0"/>
              <w:rPr>
                <w:rFonts w:cs="Arial"/>
              </w:rPr>
            </w:pPr>
            <w:r w:rsidRPr="00D5341B">
              <w:rPr>
                <w:rFonts w:cs="Arial"/>
              </w:rPr>
              <w:t>is the Target Cost for the relevant Milestone; and</w:t>
            </w:r>
          </w:p>
        </w:tc>
      </w:tr>
      <w:tr w:rsidR="00F67E9E" w:rsidRPr="00D5341B" w14:paraId="0C23FCA0" w14:textId="77777777" w:rsidTr="007F74AA">
        <w:tc>
          <w:tcPr>
            <w:tcW w:w="1134" w:type="dxa"/>
          </w:tcPr>
          <w:p w14:paraId="017622DF" w14:textId="77777777" w:rsidR="00F67E9E" w:rsidRPr="00D5341B" w:rsidRDefault="00F67E9E" w:rsidP="007F74AA">
            <w:pPr>
              <w:pStyle w:val="StdBodyText2"/>
              <w:ind w:left="0"/>
              <w:rPr>
                <w:rFonts w:cs="Arial"/>
              </w:rPr>
            </w:pPr>
            <w:r w:rsidRPr="00D5341B">
              <w:rPr>
                <w:rFonts w:cs="Arial"/>
              </w:rPr>
              <w:t>IC</w:t>
            </w:r>
          </w:p>
        </w:tc>
        <w:tc>
          <w:tcPr>
            <w:tcW w:w="8504" w:type="dxa"/>
          </w:tcPr>
          <w:p w14:paraId="2C246ADA" w14:textId="77777777" w:rsidR="00F67E9E" w:rsidRPr="00D5341B" w:rsidRDefault="00F67E9E" w:rsidP="007F74AA">
            <w:pPr>
              <w:pStyle w:val="StdBodyText2"/>
              <w:ind w:left="0"/>
              <w:rPr>
                <w:rFonts w:cs="Arial"/>
              </w:rPr>
            </w:pPr>
            <w:r w:rsidRPr="00D5341B">
              <w:rPr>
                <w:rFonts w:cs="Arial"/>
              </w:rPr>
              <w:t>is the Incurred Costs relating to the relevant Milestone.</w:t>
            </w:r>
          </w:p>
        </w:tc>
      </w:tr>
    </w:tbl>
    <w:p w14:paraId="5B9F336B" w14:textId="5D803212" w:rsidR="00F67E9E" w:rsidRPr="00D5341B" w:rsidRDefault="00F67E9E" w:rsidP="00F67E9E">
      <w:pPr>
        <w:pStyle w:val="Numbered11"/>
      </w:pPr>
      <w:r w:rsidRPr="00D5341B">
        <w:t xml:space="preserve">If the Incurred Costs relating to a Milestone are greater than the Target Cost for that Milestone, the difference between the Incurred Costs and the Target Cost shall be borne equally between the Authority and the Supplier (resulting in the Supplier receiving a lower Supplier Profit Margin in relation to </w:t>
      </w:r>
      <w:r w:rsidRPr="00772237">
        <w:t>that</w:t>
      </w:r>
      <w:r w:rsidRPr="00D5341B">
        <w:t xml:space="preserve"> Milestone), provided that the maximum Milestone Payment payable by the Authority for the relevant Milestone shall not exceed an amount equal to the guaranteed maximum price for that Milestone as set out in </w:t>
      </w:r>
      <w:bookmarkStart w:id="981" w:name="_9kMHG5YVt4EE7FMjKZlp9"/>
      <w:r w:rsidRPr="00D5341B">
        <w:t>Table 4</w:t>
      </w:r>
      <w:bookmarkEnd w:id="981"/>
      <w:r w:rsidRPr="00D5341B">
        <w:t xml:space="preserve"> of Annex</w:t>
      </w:r>
      <w:r>
        <w:t> </w:t>
      </w:r>
      <w:r w:rsidRPr="00D5341B">
        <w:fldChar w:fldCharType="begin"/>
      </w:r>
      <w:r w:rsidRPr="00D5341B">
        <w:instrText xml:space="preserve"> REF ANNEX1_SCHEDULE15 \h </w:instrText>
      </w:r>
      <w:r>
        <w:instrText xml:space="preserve"> \* MERGEFORMAT </w:instrText>
      </w:r>
      <w:r w:rsidRPr="00D5341B">
        <w:fldChar w:fldCharType="separate"/>
      </w:r>
      <w:r w:rsidR="00302D39" w:rsidRPr="00BA56A1">
        <w:t>1</w:t>
      </w:r>
      <w:r w:rsidRPr="00D5341B">
        <w:fldChar w:fldCharType="end"/>
      </w:r>
      <w:r w:rsidRPr="00D5341B">
        <w:t xml:space="preserve"> (the </w:t>
      </w:r>
      <w:r>
        <w:t>“</w:t>
      </w:r>
      <w:r w:rsidRPr="00D5341B">
        <w:rPr>
          <w:rStyle w:val="StdBodyTextBoldChar"/>
          <w:rFonts w:eastAsia="Arial" w:cs="Arial"/>
        </w:rPr>
        <w:t>Guaranteed Maximum Price</w:t>
      </w:r>
      <w:r>
        <w:t>”</w:t>
      </w:r>
      <w:r w:rsidRPr="00D5341B">
        <w:t>)</w:t>
      </w:r>
      <w:r>
        <w:t xml:space="preserve"> </w:t>
      </w:r>
      <w:r w:rsidRPr="00D5341B">
        <w:t>Represented numerically:</w:t>
      </w:r>
    </w:p>
    <w:p w14:paraId="0584754A" w14:textId="77777777" w:rsidR="00F67E9E" w:rsidRPr="00D5341B" w:rsidRDefault="00F67E9E" w:rsidP="00F67E9E">
      <w:pPr>
        <w:pStyle w:val="Numbered111"/>
      </w:pPr>
      <w:r w:rsidRPr="00D5341B">
        <w:t>if:</w:t>
      </w:r>
    </w:p>
    <w:p w14:paraId="459458C5" w14:textId="77777777" w:rsidR="00F67E9E" w:rsidRPr="00D5341B" w:rsidRDefault="00F67E9E" w:rsidP="00F67E9E">
      <w:pPr>
        <w:pStyle w:val="Numbered111a"/>
        <w:tabs>
          <w:tab w:val="clear" w:pos="2520"/>
          <w:tab w:val="num" w:pos="2880"/>
        </w:tabs>
      </w:pPr>
      <w:r w:rsidRPr="00D5341B">
        <w:t>IC &gt; TC; and</w:t>
      </w:r>
    </w:p>
    <w:p w14:paraId="671E62F1" w14:textId="77777777" w:rsidR="00F67E9E" w:rsidRPr="00D5341B" w:rsidRDefault="00F67E9E" w:rsidP="00F67E9E">
      <w:pPr>
        <w:pStyle w:val="Numbered111a"/>
        <w:tabs>
          <w:tab w:val="clear" w:pos="2520"/>
          <w:tab w:val="num" w:pos="2880"/>
        </w:tabs>
      </w:pPr>
      <w:r w:rsidRPr="00D5341B">
        <w:t>TP + ((IC - TC)/2) &lt; GMP,</w:t>
      </w:r>
    </w:p>
    <w:p w14:paraId="13C6AE8A" w14:textId="77777777" w:rsidR="00F67E9E" w:rsidRPr="00D5341B" w:rsidRDefault="00F67E9E" w:rsidP="00F67E9E">
      <w:pPr>
        <w:pStyle w:val="StdBodyText4"/>
        <w:ind w:left="1800"/>
        <w:rPr>
          <w:rFonts w:cs="Arial"/>
        </w:rPr>
      </w:pPr>
      <w:r w:rsidRPr="00D5341B">
        <w:rPr>
          <w:rFonts w:cs="Arial"/>
        </w:rPr>
        <w:t>then Milestone Payment = TP + ((IC - TC)/2); or</w:t>
      </w:r>
    </w:p>
    <w:p w14:paraId="4822A8B1" w14:textId="77777777" w:rsidR="00F67E9E" w:rsidRPr="00D5341B" w:rsidRDefault="00F67E9E" w:rsidP="00F67E9E">
      <w:pPr>
        <w:pStyle w:val="Numbered111"/>
        <w:tabs>
          <w:tab w:val="clear" w:pos="1800"/>
          <w:tab w:val="num" w:pos="2160"/>
        </w:tabs>
      </w:pPr>
      <w:r w:rsidRPr="00D5341B">
        <w:t>if:</w:t>
      </w:r>
    </w:p>
    <w:p w14:paraId="74AE6FDB" w14:textId="77777777" w:rsidR="00F67E9E" w:rsidRPr="00D5341B" w:rsidRDefault="00F67E9E" w:rsidP="00F67E9E">
      <w:pPr>
        <w:pStyle w:val="Numbered111a"/>
        <w:tabs>
          <w:tab w:val="clear" w:pos="2520"/>
          <w:tab w:val="num" w:pos="2880"/>
        </w:tabs>
      </w:pPr>
      <w:r w:rsidRPr="00D5341B">
        <w:t>IC &gt; TC; and</w:t>
      </w:r>
    </w:p>
    <w:p w14:paraId="6306116D" w14:textId="77777777" w:rsidR="00F67E9E" w:rsidRPr="00D5341B" w:rsidRDefault="00F67E9E" w:rsidP="00F67E9E">
      <w:pPr>
        <w:pStyle w:val="Numbered111a"/>
        <w:tabs>
          <w:tab w:val="clear" w:pos="2520"/>
          <w:tab w:val="num" w:pos="2880"/>
        </w:tabs>
      </w:pPr>
      <w:r w:rsidRPr="00D5341B">
        <w:t xml:space="preserve">TP + ((IC - TC)/2) ≥ GMP, </w:t>
      </w:r>
    </w:p>
    <w:p w14:paraId="7AD77FF3" w14:textId="77777777" w:rsidR="00F67E9E" w:rsidRPr="00D5341B" w:rsidRDefault="00F67E9E" w:rsidP="00F67E9E">
      <w:pPr>
        <w:pStyle w:val="StdBodyText4"/>
        <w:ind w:left="1800"/>
        <w:rPr>
          <w:rFonts w:cs="Arial"/>
        </w:rPr>
      </w:pPr>
      <w:r w:rsidRPr="00D5341B">
        <w:rPr>
          <w:rFonts w:cs="Arial"/>
        </w:rPr>
        <w:t>then Milestone Payment = GMP</w:t>
      </w:r>
    </w:p>
    <w:p w14:paraId="3854890F" w14:textId="77777777" w:rsidR="00F67E9E" w:rsidRPr="00D5341B" w:rsidRDefault="00F67E9E" w:rsidP="00F67E9E">
      <w:pPr>
        <w:pStyle w:val="StdBodyText2"/>
        <w:rPr>
          <w:rFonts w:cs="Arial"/>
        </w:rPr>
      </w:pPr>
      <w:r w:rsidRPr="00D5341B">
        <w:rPr>
          <w:rFonts w:cs="Arial"/>
        </w:rPr>
        <w:t>where:</w:t>
      </w:r>
    </w:p>
    <w:tbl>
      <w:tblPr>
        <w:tblStyle w:val="MSAdefinitions"/>
        <w:tblW w:w="9638" w:type="dxa"/>
        <w:tblLook w:val="04A0" w:firstRow="1" w:lastRow="0" w:firstColumn="1" w:lastColumn="0" w:noHBand="0" w:noVBand="1"/>
      </w:tblPr>
      <w:tblGrid>
        <w:gridCol w:w="1134"/>
        <w:gridCol w:w="8504"/>
      </w:tblGrid>
      <w:tr w:rsidR="00F67E9E" w:rsidRPr="00D5341B" w14:paraId="1C269B0B" w14:textId="77777777" w:rsidTr="007F74AA">
        <w:tc>
          <w:tcPr>
            <w:tcW w:w="1134" w:type="dxa"/>
          </w:tcPr>
          <w:p w14:paraId="1E1AE0FD" w14:textId="77777777" w:rsidR="00F67E9E" w:rsidRPr="00D5341B" w:rsidRDefault="00F67E9E" w:rsidP="007F74AA">
            <w:pPr>
              <w:pStyle w:val="StdBodyText2"/>
              <w:ind w:left="0"/>
              <w:rPr>
                <w:rFonts w:cs="Arial"/>
              </w:rPr>
            </w:pPr>
            <w:r w:rsidRPr="00D5341B">
              <w:rPr>
                <w:rFonts w:cs="Arial"/>
              </w:rPr>
              <w:t>IC</w:t>
            </w:r>
          </w:p>
        </w:tc>
        <w:tc>
          <w:tcPr>
            <w:tcW w:w="8504" w:type="dxa"/>
          </w:tcPr>
          <w:p w14:paraId="083609E7" w14:textId="77777777" w:rsidR="00F67E9E" w:rsidRPr="00D5341B" w:rsidRDefault="00F67E9E" w:rsidP="007F74AA">
            <w:pPr>
              <w:pStyle w:val="StdBodyText2"/>
              <w:ind w:left="0"/>
              <w:rPr>
                <w:rFonts w:cs="Arial"/>
              </w:rPr>
            </w:pPr>
            <w:r w:rsidRPr="00D5341B">
              <w:rPr>
                <w:rFonts w:cs="Arial"/>
              </w:rPr>
              <w:t>is the Incurred Costs relating to the relevant Milestone;</w:t>
            </w:r>
          </w:p>
        </w:tc>
      </w:tr>
      <w:tr w:rsidR="00F67E9E" w:rsidRPr="00D5341B" w14:paraId="06278026" w14:textId="77777777" w:rsidTr="007F74AA">
        <w:tc>
          <w:tcPr>
            <w:tcW w:w="1134" w:type="dxa"/>
          </w:tcPr>
          <w:p w14:paraId="1016AA59" w14:textId="77777777" w:rsidR="00F67E9E" w:rsidRPr="00D5341B" w:rsidRDefault="00F67E9E" w:rsidP="007F74AA">
            <w:pPr>
              <w:pStyle w:val="StdBodyText2"/>
              <w:ind w:left="0"/>
              <w:rPr>
                <w:rFonts w:cs="Arial"/>
              </w:rPr>
            </w:pPr>
            <w:r w:rsidRPr="00D5341B">
              <w:rPr>
                <w:rFonts w:cs="Arial"/>
              </w:rPr>
              <w:t>TC</w:t>
            </w:r>
          </w:p>
        </w:tc>
        <w:tc>
          <w:tcPr>
            <w:tcW w:w="8504" w:type="dxa"/>
          </w:tcPr>
          <w:p w14:paraId="5091D865" w14:textId="77777777" w:rsidR="00F67E9E" w:rsidRPr="00D5341B" w:rsidRDefault="00F67E9E" w:rsidP="007F74AA">
            <w:pPr>
              <w:pStyle w:val="StdBodyText2"/>
              <w:ind w:left="0"/>
              <w:rPr>
                <w:rFonts w:cs="Arial"/>
              </w:rPr>
            </w:pPr>
            <w:r w:rsidRPr="00D5341B">
              <w:rPr>
                <w:rFonts w:cs="Arial"/>
              </w:rPr>
              <w:t>is the Target Cost for the relevant Milestone;</w:t>
            </w:r>
          </w:p>
        </w:tc>
      </w:tr>
      <w:tr w:rsidR="00F67E9E" w:rsidRPr="00D5341B" w14:paraId="334951B0" w14:textId="77777777" w:rsidTr="007F74AA">
        <w:tc>
          <w:tcPr>
            <w:tcW w:w="1134" w:type="dxa"/>
          </w:tcPr>
          <w:p w14:paraId="346BE309" w14:textId="77777777" w:rsidR="00F67E9E" w:rsidRPr="00D5341B" w:rsidRDefault="00F67E9E" w:rsidP="007F74AA">
            <w:pPr>
              <w:pStyle w:val="StdBodyText2"/>
              <w:ind w:left="0"/>
              <w:rPr>
                <w:rFonts w:cs="Arial"/>
              </w:rPr>
            </w:pPr>
            <w:r w:rsidRPr="00D5341B">
              <w:rPr>
                <w:rFonts w:cs="Arial"/>
              </w:rPr>
              <w:t>TP</w:t>
            </w:r>
          </w:p>
        </w:tc>
        <w:tc>
          <w:tcPr>
            <w:tcW w:w="8504" w:type="dxa"/>
          </w:tcPr>
          <w:p w14:paraId="29F190B6" w14:textId="77777777" w:rsidR="00F67E9E" w:rsidRPr="00D5341B" w:rsidRDefault="00F67E9E" w:rsidP="007F74AA">
            <w:pPr>
              <w:pStyle w:val="StdBodyText2"/>
              <w:ind w:left="0"/>
              <w:rPr>
                <w:rFonts w:cs="Arial"/>
              </w:rPr>
            </w:pPr>
            <w:r w:rsidRPr="00D5341B">
              <w:rPr>
                <w:rFonts w:cs="Arial"/>
              </w:rPr>
              <w:t>is the Target Price for the relevant Milestone; and</w:t>
            </w:r>
          </w:p>
        </w:tc>
      </w:tr>
      <w:tr w:rsidR="00F67E9E" w:rsidRPr="00D5341B" w14:paraId="44944178" w14:textId="77777777" w:rsidTr="007F74AA">
        <w:tc>
          <w:tcPr>
            <w:tcW w:w="1134" w:type="dxa"/>
          </w:tcPr>
          <w:p w14:paraId="1ECF8FED" w14:textId="77777777" w:rsidR="00F67E9E" w:rsidRPr="00D5341B" w:rsidRDefault="00F67E9E" w:rsidP="007F74AA">
            <w:pPr>
              <w:pStyle w:val="StdBodyText2"/>
              <w:ind w:left="0"/>
              <w:rPr>
                <w:rFonts w:cs="Arial"/>
              </w:rPr>
            </w:pPr>
            <w:r w:rsidRPr="00D5341B">
              <w:rPr>
                <w:rFonts w:cs="Arial"/>
              </w:rPr>
              <w:t>GMP</w:t>
            </w:r>
          </w:p>
        </w:tc>
        <w:tc>
          <w:tcPr>
            <w:tcW w:w="8504" w:type="dxa"/>
          </w:tcPr>
          <w:p w14:paraId="1BD13969" w14:textId="77777777" w:rsidR="00F67E9E" w:rsidRPr="00D5341B" w:rsidRDefault="00F67E9E" w:rsidP="007F74AA">
            <w:pPr>
              <w:pStyle w:val="StdBodyText2"/>
              <w:ind w:left="0"/>
              <w:rPr>
                <w:rFonts w:cs="Arial"/>
              </w:rPr>
            </w:pPr>
            <w:r w:rsidRPr="00D5341B">
              <w:rPr>
                <w:rFonts w:cs="Arial"/>
              </w:rPr>
              <w:t>is TP * 1.1, being the Guaranteed Maximum Price for the relevant Milestone.</w:t>
            </w:r>
          </w:p>
        </w:tc>
      </w:tr>
    </w:tbl>
    <w:p w14:paraId="06A067A6" w14:textId="625B6AFA" w:rsidR="00F67E9E" w:rsidRPr="00D5341B" w:rsidRDefault="00F67E9E" w:rsidP="00F67E9E">
      <w:pPr>
        <w:pStyle w:val="Numbered11"/>
      </w:pPr>
      <w:r w:rsidRPr="00D5341B">
        <w:t xml:space="preserve">The Supplier shall be entitled to Index the day costs set out in </w:t>
      </w:r>
      <w:bookmarkStart w:id="982" w:name="_9kMIH5YVt4EE7EHfKZlp8"/>
      <w:r w:rsidRPr="00D5341B">
        <w:t>Table 3</w:t>
      </w:r>
      <w:bookmarkEnd w:id="982"/>
      <w:r w:rsidRPr="00D5341B">
        <w:t xml:space="preserve"> of Annex </w:t>
      </w:r>
      <w:r w:rsidRPr="00D5341B">
        <w:fldChar w:fldCharType="begin"/>
      </w:r>
      <w:r w:rsidRPr="00D5341B">
        <w:instrText xml:space="preserve"> REF ANNEX1_SCHEDULE15 \h </w:instrText>
      </w:r>
      <w:r>
        <w:instrText xml:space="preserve"> \* MERGEFORMAT </w:instrText>
      </w:r>
      <w:r w:rsidRPr="00D5341B">
        <w:fldChar w:fldCharType="separate"/>
      </w:r>
      <w:r w:rsidR="00302D39" w:rsidRPr="00BA56A1">
        <w:t>1</w:t>
      </w:r>
      <w:r w:rsidRPr="00D5341B">
        <w:fldChar w:fldCharType="end"/>
      </w:r>
      <w:r w:rsidRPr="00D5341B">
        <w:t xml:space="preserve"> annually, but the Target Cost, Target Price and Guaranteed Maximum Price shall not be subject to Indexation. </w:t>
      </w:r>
    </w:p>
    <w:p w14:paraId="52B4F09E" w14:textId="77777777" w:rsidR="00F67E9E" w:rsidRPr="00D5341B" w:rsidRDefault="00F67E9E" w:rsidP="00F67E9E">
      <w:pPr>
        <w:pStyle w:val="Numbered1"/>
      </w:pPr>
      <w:bookmarkStart w:id="983" w:name="_Ref_ContractCompanion_9kb9Us145"/>
      <w:bookmarkStart w:id="984" w:name="_9kR3WTrAG958BbJfifw5qDOJiPyIcih3MJ0CRL7"/>
      <w:r w:rsidRPr="00D5341B">
        <w:t xml:space="preserve">Fixed </w:t>
      </w:r>
      <w:r w:rsidRPr="00772237">
        <w:t>Price</w:t>
      </w:r>
      <w:r w:rsidRPr="00D5341B">
        <w:t xml:space="preserve"> Milestone Payments </w:t>
      </w:r>
      <w:r>
        <w:t>o</w:t>
      </w:r>
      <w:r w:rsidRPr="00D5341B">
        <w:t>r Service Charges</w:t>
      </w:r>
      <w:bookmarkEnd w:id="983"/>
      <w:bookmarkEnd w:id="984"/>
    </w:p>
    <w:p w14:paraId="027FC8C6" w14:textId="25B17B0C" w:rsidR="00F67E9E" w:rsidRPr="00772237" w:rsidRDefault="00F67E9E" w:rsidP="00F67E9E">
      <w:pPr>
        <w:pStyle w:val="Numbered11"/>
      </w:pPr>
      <w:r w:rsidRPr="00D5341B">
        <w:t xml:space="preserve">Where </w:t>
      </w:r>
      <w:bookmarkStart w:id="985" w:name="_9kMLK5YVt4EE7FKhKZlp6"/>
      <w:r w:rsidRPr="00D5341B">
        <w:t>Table 1</w:t>
      </w:r>
      <w:bookmarkEnd w:id="985"/>
      <w:r w:rsidRPr="00D5341B">
        <w:t xml:space="preserve"> or </w:t>
      </w:r>
      <w:bookmarkStart w:id="986" w:name="_9kMKJ5YVt4EE7FLiKZlp7"/>
      <w:r w:rsidRPr="00D5341B">
        <w:t>Table 2</w:t>
      </w:r>
      <w:bookmarkEnd w:id="986"/>
      <w:r w:rsidRPr="00D5341B">
        <w:t xml:space="preserve"> of Annex </w:t>
      </w:r>
      <w:r w:rsidRPr="00D5341B">
        <w:fldChar w:fldCharType="begin"/>
      </w:r>
      <w:r w:rsidRPr="00D5341B">
        <w:instrText xml:space="preserve"> REF ANNEX2_SCHEDULE15 \h </w:instrText>
      </w:r>
      <w:r>
        <w:instrText xml:space="preserve"> \* MERGEFORMAT </w:instrText>
      </w:r>
      <w:r w:rsidRPr="00D5341B">
        <w:fldChar w:fldCharType="separate"/>
      </w:r>
      <w:r w:rsidR="00302D39" w:rsidRPr="00BA56A1">
        <w:t>2</w:t>
      </w:r>
      <w:r w:rsidRPr="00D5341B">
        <w:fldChar w:fldCharType="end"/>
      </w:r>
      <w:r w:rsidRPr="00D5341B">
        <w:t xml:space="preserve"> indicates that a Milestone Payment or Service Charge is to be calculated by reference to a Fixed Price pricing mechanism, the relevant Charge shall be the amount set out </w:t>
      </w:r>
      <w:r w:rsidRPr="00772237">
        <w:t xml:space="preserve">against that Charge in </w:t>
      </w:r>
      <w:bookmarkStart w:id="987" w:name="_9kR3WTr2CC5DMjIXjn8"/>
      <w:r w:rsidRPr="00772237">
        <w:t>Table 5</w:t>
      </w:r>
      <w:bookmarkEnd w:id="987"/>
      <w:r w:rsidRPr="00772237">
        <w:t xml:space="preserve"> of Annex </w:t>
      </w:r>
      <w:r w:rsidRPr="00772237">
        <w:fldChar w:fldCharType="begin"/>
      </w:r>
      <w:r w:rsidRPr="00772237">
        <w:instrText xml:space="preserve"> REF ANNEX1_SCHEDULE15 \h  \* MERGEFORMAT </w:instrText>
      </w:r>
      <w:r w:rsidRPr="00772237">
        <w:fldChar w:fldCharType="separate"/>
      </w:r>
      <w:r w:rsidR="00302D39" w:rsidRPr="00BA56A1">
        <w:t>1</w:t>
      </w:r>
      <w:r w:rsidRPr="00772237">
        <w:fldChar w:fldCharType="end"/>
      </w:r>
      <w:r w:rsidRPr="00772237">
        <w:t xml:space="preserve">. </w:t>
      </w:r>
    </w:p>
    <w:p w14:paraId="7B461291" w14:textId="77777777" w:rsidR="00F67E9E" w:rsidRPr="00772237" w:rsidRDefault="00F67E9E" w:rsidP="00F67E9E">
      <w:pPr>
        <w:pStyle w:val="Numbered11"/>
      </w:pPr>
      <w:r w:rsidRPr="00772237">
        <w:t xml:space="preserve">Charges calculated by reference to a Fixed Price pricing mechanism shall be subject to </w:t>
      </w:r>
      <w:r>
        <w:t>adjustment</w:t>
      </w:r>
      <w:r w:rsidRPr="00772237">
        <w:t xml:space="preserve"> by way of Indexation.</w:t>
      </w:r>
    </w:p>
    <w:p w14:paraId="4A433F30" w14:textId="77777777" w:rsidR="00F67E9E" w:rsidRPr="00D5341B" w:rsidRDefault="00F67E9E" w:rsidP="00F67E9E">
      <w:pPr>
        <w:pStyle w:val="Numbered1"/>
      </w:pPr>
      <w:bookmarkStart w:id="988" w:name="_Ref_ContractCompanion_9kb9Us148"/>
      <w:bookmarkStart w:id="989" w:name="_9kR3WTrAG958EeJfifw5qDOJiPyIcji3GLKQK63"/>
      <w:r w:rsidRPr="00D5341B">
        <w:t xml:space="preserve">Firm </w:t>
      </w:r>
      <w:r w:rsidRPr="00772237">
        <w:t>Price</w:t>
      </w:r>
      <w:r w:rsidRPr="00D5341B">
        <w:t xml:space="preserve"> Milestone Payments</w:t>
      </w:r>
      <w:bookmarkEnd w:id="988"/>
      <w:bookmarkEnd w:id="989"/>
    </w:p>
    <w:p w14:paraId="10DBDE3F" w14:textId="7CF4006B" w:rsidR="00F67E9E" w:rsidRPr="00772237" w:rsidRDefault="00F67E9E" w:rsidP="00F67E9E">
      <w:pPr>
        <w:pStyle w:val="Numbered11"/>
      </w:pPr>
      <w:r w:rsidRPr="00D5341B">
        <w:t xml:space="preserve">Where </w:t>
      </w:r>
      <w:bookmarkStart w:id="990" w:name="_9kMML5YVt4EE7FKhKZlp6"/>
      <w:r w:rsidRPr="00D5341B">
        <w:t>Table 1</w:t>
      </w:r>
      <w:bookmarkEnd w:id="990"/>
      <w:r w:rsidRPr="00D5341B">
        <w:t xml:space="preserve"> of Annex </w:t>
      </w:r>
      <w:r w:rsidRPr="00D5341B">
        <w:fldChar w:fldCharType="begin"/>
      </w:r>
      <w:r w:rsidRPr="00D5341B">
        <w:instrText xml:space="preserve"> REF ANNEX2_SCHEDULE15 \h </w:instrText>
      </w:r>
      <w:r>
        <w:instrText xml:space="preserve"> \* MERGEFORMAT </w:instrText>
      </w:r>
      <w:r w:rsidRPr="00D5341B">
        <w:fldChar w:fldCharType="separate"/>
      </w:r>
      <w:r w:rsidR="00302D39" w:rsidRPr="00BA56A1">
        <w:t>2</w:t>
      </w:r>
      <w:r w:rsidRPr="00D5341B">
        <w:fldChar w:fldCharType="end"/>
      </w:r>
      <w:r w:rsidRPr="00D5341B">
        <w:t xml:space="preserve"> indicates that a Milestone Payment is to be calculated by reference to a Firm Price pricing mechanism, the relevant Charge shall be the amount set out against that </w:t>
      </w:r>
      <w:r w:rsidRPr="00772237">
        <w:t xml:space="preserve">Charge in </w:t>
      </w:r>
      <w:bookmarkStart w:id="991" w:name="_9kR3WTr2CC5EEaIXjn9"/>
      <w:r w:rsidRPr="00772237">
        <w:t>Table 6</w:t>
      </w:r>
      <w:bookmarkEnd w:id="991"/>
      <w:r w:rsidRPr="00772237">
        <w:t xml:space="preserve"> of Annex </w:t>
      </w:r>
      <w:r w:rsidRPr="00772237">
        <w:fldChar w:fldCharType="begin"/>
      </w:r>
      <w:r w:rsidRPr="00772237">
        <w:instrText xml:space="preserve"> REF ANNEX1_SCHEDULE15 \h  \* MERGEFORMAT </w:instrText>
      </w:r>
      <w:r w:rsidRPr="00772237">
        <w:fldChar w:fldCharType="separate"/>
      </w:r>
      <w:r w:rsidR="00302D39" w:rsidRPr="00BA56A1">
        <w:t>1</w:t>
      </w:r>
      <w:r w:rsidRPr="00772237">
        <w:fldChar w:fldCharType="end"/>
      </w:r>
      <w:r w:rsidRPr="00772237">
        <w:t>.</w:t>
      </w:r>
    </w:p>
    <w:p w14:paraId="5DE9C724" w14:textId="77777777" w:rsidR="00F67E9E" w:rsidRPr="00D5341B" w:rsidRDefault="00F67E9E" w:rsidP="00F67E9E">
      <w:pPr>
        <w:pStyle w:val="Numbered11"/>
      </w:pPr>
      <w:r w:rsidRPr="00772237">
        <w:t>Charges calculated</w:t>
      </w:r>
      <w:r w:rsidRPr="00D5341B">
        <w:t xml:space="preserve"> by reference to a Firm Price pricing mechanism shall not be subject to </w:t>
      </w:r>
      <w:r>
        <w:t>adjustment</w:t>
      </w:r>
      <w:r w:rsidRPr="00D5341B">
        <w:t xml:space="preserve"> by way of Indexation.</w:t>
      </w:r>
    </w:p>
    <w:p w14:paraId="6C898904" w14:textId="77777777" w:rsidR="00F67E9E" w:rsidRPr="00D5341B" w:rsidRDefault="00F67E9E" w:rsidP="00F67E9E">
      <w:pPr>
        <w:pStyle w:val="Numbered1"/>
      </w:pPr>
      <w:bookmarkStart w:id="992" w:name="_Ref_ContractCompanion_9kb9Us14B"/>
      <w:bookmarkStart w:id="993" w:name="_9kR3WTrAG958HhJfifw5qDOJiPyIckzPGNPA0xF"/>
      <w:r w:rsidRPr="00D5341B">
        <w:t xml:space="preserve">Volume Based Service </w:t>
      </w:r>
      <w:r w:rsidRPr="00772237">
        <w:t>Charges</w:t>
      </w:r>
      <w:bookmarkEnd w:id="992"/>
      <w:bookmarkEnd w:id="993"/>
    </w:p>
    <w:p w14:paraId="735A4F98" w14:textId="1281C89A" w:rsidR="00F67E9E" w:rsidRPr="00772237" w:rsidRDefault="00F67E9E" w:rsidP="00F67E9E">
      <w:pPr>
        <w:pStyle w:val="Numbered11"/>
      </w:pPr>
      <w:r w:rsidRPr="00D5341B">
        <w:t xml:space="preserve">Where </w:t>
      </w:r>
      <w:bookmarkStart w:id="994" w:name="_9kMLK5YVt4EE7FLiKZlp7"/>
      <w:r w:rsidRPr="00D5341B">
        <w:t>Table 2</w:t>
      </w:r>
      <w:bookmarkEnd w:id="994"/>
      <w:r w:rsidRPr="00D5341B">
        <w:t xml:space="preserve"> of Annex </w:t>
      </w:r>
      <w:r w:rsidRPr="00D5341B">
        <w:fldChar w:fldCharType="begin"/>
      </w:r>
      <w:r w:rsidRPr="00D5341B">
        <w:instrText xml:space="preserve"> REF ANNEX2_SCHEDULE15 \h </w:instrText>
      </w:r>
      <w:r>
        <w:instrText xml:space="preserve"> \* MERGEFORMAT </w:instrText>
      </w:r>
      <w:r w:rsidRPr="00D5341B">
        <w:fldChar w:fldCharType="separate"/>
      </w:r>
      <w:r w:rsidR="00302D39" w:rsidRPr="00BA56A1">
        <w:t>2</w:t>
      </w:r>
      <w:r w:rsidRPr="00D5341B">
        <w:fldChar w:fldCharType="end"/>
      </w:r>
      <w:r w:rsidRPr="00D5341B">
        <w:t xml:space="preserve"> indicates that a Service Charge is to be calculated by reference to a Volume </w:t>
      </w:r>
      <w:r w:rsidRPr="00772237">
        <w:t xml:space="preserve">Based pricing mechanism, the relevant Charges shall be calculated on the basis of the unit costs set out against that Service Charge in </w:t>
      </w:r>
      <w:bookmarkStart w:id="995" w:name="_9kR3WTr2CC5EFbIXjnA"/>
      <w:r w:rsidRPr="00772237">
        <w:t>Table 7</w:t>
      </w:r>
      <w:bookmarkEnd w:id="995"/>
      <w:r w:rsidRPr="00772237">
        <w:t xml:space="preserve"> of Annex </w:t>
      </w:r>
      <w:r w:rsidRPr="00772237">
        <w:fldChar w:fldCharType="begin"/>
      </w:r>
      <w:r w:rsidRPr="00772237">
        <w:instrText xml:space="preserve"> REF ANNEX1_SCHEDULE15 \h  \* MERGEFORMAT </w:instrText>
      </w:r>
      <w:r w:rsidRPr="00772237">
        <w:fldChar w:fldCharType="separate"/>
      </w:r>
      <w:r w:rsidR="00302D39" w:rsidRPr="00BA56A1">
        <w:t>1</w:t>
      </w:r>
      <w:r w:rsidRPr="00772237">
        <w:fldChar w:fldCharType="end"/>
      </w:r>
      <w:r w:rsidRPr="00772237">
        <w:t xml:space="preserve">. </w:t>
      </w:r>
    </w:p>
    <w:p w14:paraId="6AAC5ED8" w14:textId="5D538C15" w:rsidR="00F67E9E" w:rsidRPr="00772237" w:rsidRDefault="00F67E9E" w:rsidP="00F67E9E">
      <w:pPr>
        <w:pStyle w:val="Numbered11"/>
      </w:pPr>
      <w:r w:rsidRPr="00772237">
        <w:t xml:space="preserve">In the event that the volume of any Services that are to be calculated by reference to a Volume Based pricing mechanism fall outside the relevant volume bands set out against that Service Charge in </w:t>
      </w:r>
      <w:bookmarkStart w:id="996" w:name="_9kMHG5YVt4EE7GHdKZlpC"/>
      <w:r w:rsidRPr="00772237">
        <w:t>Table 7</w:t>
      </w:r>
      <w:bookmarkEnd w:id="996"/>
      <w:r w:rsidRPr="00772237">
        <w:t xml:space="preserve"> of Annex </w:t>
      </w:r>
      <w:r w:rsidRPr="00772237">
        <w:fldChar w:fldCharType="begin"/>
      </w:r>
      <w:r w:rsidRPr="00772237">
        <w:instrText xml:space="preserve"> REF ANNEX1_SCHEDULE15 \h  \* MERGEFORMAT </w:instrText>
      </w:r>
      <w:r w:rsidRPr="00772237">
        <w:fldChar w:fldCharType="separate"/>
      </w:r>
      <w:r w:rsidR="00302D39" w:rsidRPr="00BA56A1">
        <w:t>1</w:t>
      </w:r>
      <w:r w:rsidRPr="00772237">
        <w:fldChar w:fldCharType="end"/>
      </w:r>
      <w:r w:rsidRPr="00772237">
        <w:t xml:space="preserve">, the relevant Service Charges shall be calculated in accordance with the Change Control Procedure and </w:t>
      </w:r>
      <w:bookmarkStart w:id="997" w:name="_9kR3WTr2CC5EIaEnoewrqyE"/>
      <w:r w:rsidRPr="00772237">
        <w:t xml:space="preserve">Paragraph </w:t>
      </w:r>
      <w:bookmarkEnd w:id="997"/>
      <w:r w:rsidRPr="00772237">
        <w:fldChar w:fldCharType="begin"/>
      </w:r>
      <w:r w:rsidRPr="00772237">
        <w:instrText xml:space="preserve"> REF _Ref99025606 \w \h  \* MERGEFORMAT </w:instrText>
      </w:r>
      <w:r w:rsidRPr="00772237">
        <w:fldChar w:fldCharType="separate"/>
      </w:r>
      <w:r w:rsidR="00302D39">
        <w:t>4</w:t>
      </w:r>
      <w:r w:rsidRPr="00772237">
        <w:fldChar w:fldCharType="end"/>
      </w:r>
      <w:r w:rsidRPr="00772237">
        <w:t xml:space="preserve"> of </w:t>
      </w:r>
      <w:bookmarkStart w:id="998" w:name="_9kR3WTr2BC58IfEn7T"/>
      <w:bookmarkEnd w:id="998"/>
      <w:r w:rsidRPr="00772237">
        <w:fldChar w:fldCharType="begin"/>
      </w:r>
      <w:r w:rsidRPr="00772237">
        <w:instrText xml:space="preserve"> REF Sch15PartC \h  \* MERGEFORMAT </w:instrText>
      </w:r>
      <w:r w:rsidRPr="00772237">
        <w:fldChar w:fldCharType="separate"/>
      </w:r>
      <w:r w:rsidR="00302D39" w:rsidRPr="000038E2">
        <w:t>Part </w:t>
      </w:r>
      <w:r w:rsidR="00302D39" w:rsidRPr="00D5341B">
        <w:t>C</w:t>
      </w:r>
      <w:r w:rsidRPr="00772237">
        <w:fldChar w:fldCharType="end"/>
      </w:r>
      <w:r w:rsidRPr="00772237">
        <w:t xml:space="preserve">. </w:t>
      </w:r>
    </w:p>
    <w:p w14:paraId="71BF8292" w14:textId="3E75AB07" w:rsidR="00F67E9E" w:rsidRPr="00D5341B" w:rsidRDefault="00F67E9E" w:rsidP="00F67E9E">
      <w:pPr>
        <w:pStyle w:val="Numbered11"/>
      </w:pPr>
      <w:r w:rsidRPr="00772237">
        <w:t>The Charge</w:t>
      </w:r>
      <w:r w:rsidRPr="00D5341B">
        <w:t xml:space="preserve"> per unit set out in </w:t>
      </w:r>
      <w:bookmarkStart w:id="999" w:name="_9kMIH5YVt4EE7GHdKZlpC"/>
      <w:r w:rsidRPr="00D5341B">
        <w:t>Table 7</w:t>
      </w:r>
      <w:bookmarkEnd w:id="999"/>
      <w:r w:rsidRPr="00D5341B">
        <w:t xml:space="preserve"> of Annex </w:t>
      </w:r>
      <w:r w:rsidRPr="00D5341B">
        <w:fldChar w:fldCharType="begin"/>
      </w:r>
      <w:r w:rsidRPr="00D5341B">
        <w:instrText xml:space="preserve"> REF ANNEX1_SCHEDULE15 \h </w:instrText>
      </w:r>
      <w:r>
        <w:instrText xml:space="preserve"> \* MERGEFORMAT </w:instrText>
      </w:r>
      <w:r w:rsidRPr="00D5341B">
        <w:fldChar w:fldCharType="separate"/>
      </w:r>
      <w:r w:rsidR="00302D39" w:rsidRPr="00BA56A1">
        <w:t>1</w:t>
      </w:r>
      <w:r w:rsidRPr="00D5341B">
        <w:fldChar w:fldCharType="end"/>
      </w:r>
      <w:r w:rsidRPr="00D5341B">
        <w:t xml:space="preserve"> shall be subject to annual Indexation.</w:t>
      </w:r>
    </w:p>
    <w:p w14:paraId="5B010FC7" w14:textId="77777777" w:rsidR="00F67E9E" w:rsidRPr="00D5341B" w:rsidRDefault="00F67E9E" w:rsidP="00F67E9E">
      <w:pPr>
        <w:pStyle w:val="Numbered1"/>
      </w:pPr>
      <w:r w:rsidRPr="00D5341B">
        <w:t>Reimbursable Expenses</w:t>
      </w:r>
    </w:p>
    <w:p w14:paraId="52C71F22" w14:textId="77777777" w:rsidR="00F67E9E" w:rsidRPr="00D5341B" w:rsidRDefault="00F67E9E" w:rsidP="00F67E9E">
      <w:pPr>
        <w:pStyle w:val="Numbered11"/>
        <w:keepNext/>
      </w:pPr>
      <w:bookmarkStart w:id="1000" w:name="_Ref_ContractCompanion_9kb9Us156"/>
      <w:bookmarkStart w:id="1001" w:name="_9kR3WTrAG959CGGgUjuv"/>
      <w:bookmarkStart w:id="1002" w:name="_9kR3WTrAG959GKGgUjuv"/>
      <w:r w:rsidRPr="00772237">
        <w:t>Where</w:t>
      </w:r>
      <w:r w:rsidRPr="00D5341B">
        <w:t>:</w:t>
      </w:r>
      <w:bookmarkEnd w:id="1000"/>
      <w:bookmarkEnd w:id="1001"/>
      <w:bookmarkEnd w:id="1002"/>
    </w:p>
    <w:p w14:paraId="3C022D06" w14:textId="77777777" w:rsidR="00F67E9E" w:rsidRPr="00772237" w:rsidRDefault="00F67E9E" w:rsidP="00F67E9E">
      <w:pPr>
        <w:pStyle w:val="Numbered111"/>
      </w:pPr>
      <w:r w:rsidRPr="00D5341B">
        <w:t xml:space="preserve">Services are to be charged using the Time and Materials or Guaranteed Maximum Price with </w:t>
      </w:r>
      <w:r w:rsidRPr="00772237">
        <w:t>Target Cost pricing mechanism; and</w:t>
      </w:r>
    </w:p>
    <w:p w14:paraId="3A861892" w14:textId="77777777" w:rsidR="00F67E9E" w:rsidRPr="00D5341B" w:rsidRDefault="00F67E9E" w:rsidP="00F67E9E">
      <w:pPr>
        <w:pStyle w:val="Numbered111"/>
      </w:pPr>
      <w:r w:rsidRPr="00772237">
        <w:t>the Authority s</w:t>
      </w:r>
      <w:r w:rsidRPr="00D5341B">
        <w:t>o agrees in writing,</w:t>
      </w:r>
    </w:p>
    <w:p w14:paraId="45696744" w14:textId="77777777" w:rsidR="00F67E9E" w:rsidRPr="00D5341B" w:rsidRDefault="00F67E9E" w:rsidP="00F67E9E">
      <w:pPr>
        <w:pStyle w:val="StdBodyText2"/>
        <w:rPr>
          <w:rFonts w:cs="Arial"/>
        </w:rPr>
      </w:pPr>
      <w:r w:rsidRPr="00D5341B">
        <w:rPr>
          <w:rFonts w:cs="Arial"/>
        </w:rPr>
        <w:t xml:space="preserve">the Supplier shall be entitled to be reimbursed by the Authority for Reimbursable Expenses (in addition to being paid the relevant Charges), provided that such Reimbursable Expenses are supported by </w:t>
      </w:r>
      <w:bookmarkStart w:id="1003" w:name="_9kMHG5YVt4CE9FFbd7336C4zyPSy5G13J78HDJ"/>
      <w:r w:rsidRPr="00D5341B">
        <w:rPr>
          <w:rFonts w:cs="Arial"/>
        </w:rPr>
        <w:t>Supporting Documentation</w:t>
      </w:r>
      <w:bookmarkEnd w:id="1003"/>
      <w:r w:rsidRPr="00D5341B">
        <w:rPr>
          <w:rFonts w:cs="Arial"/>
        </w:rPr>
        <w:t>.</w:t>
      </w:r>
    </w:p>
    <w:p w14:paraId="77AB6774" w14:textId="77777777" w:rsidR="00F67E9E" w:rsidRPr="00772237" w:rsidRDefault="00F67E9E" w:rsidP="00F67E9E">
      <w:pPr>
        <w:pStyle w:val="Numbered11"/>
      </w:pPr>
      <w:r w:rsidRPr="00D5341B">
        <w:t>The Authority shall provide a copy of its current expenses policy to the Supplier upon request.</w:t>
      </w:r>
    </w:p>
    <w:p w14:paraId="05ACBF7C" w14:textId="7D3C1A4A" w:rsidR="00F67E9E" w:rsidRPr="00D5341B" w:rsidRDefault="00F67E9E" w:rsidP="00F67E9E">
      <w:pPr>
        <w:pStyle w:val="Numbered11"/>
      </w:pPr>
      <w:r w:rsidRPr="00772237">
        <w:t xml:space="preserve">Except as expressly set out in </w:t>
      </w:r>
      <w:bookmarkStart w:id="1004" w:name="_9kMHG5YVtCIB7BEIIiWlwx"/>
      <w:bookmarkStart w:id="1005" w:name="_9kMHG5YVtCIB7BIMIiWlwx"/>
      <w:r w:rsidRPr="00772237">
        <w:t xml:space="preserve">Paragraph </w:t>
      </w:r>
      <w:bookmarkEnd w:id="1004"/>
      <w:bookmarkEnd w:id="1005"/>
      <w:r w:rsidRPr="00772237">
        <w:fldChar w:fldCharType="begin"/>
      </w:r>
      <w:r w:rsidRPr="00772237">
        <w:instrText xml:space="preserve"> REF _Ref_ContractCompanion_9kb9Us156 \w \h  \* MERGEFORMAT </w:instrText>
      </w:r>
      <w:r w:rsidRPr="00772237">
        <w:fldChar w:fldCharType="separate"/>
      </w:r>
      <w:r w:rsidR="00302D39">
        <w:t>7.1</w:t>
      </w:r>
      <w:r w:rsidRPr="00772237">
        <w:fldChar w:fldCharType="end"/>
      </w:r>
      <w:r w:rsidRPr="00772237">
        <w:t>, the Charges shall include all costs and expenses relating to</w:t>
      </w:r>
      <w:r w:rsidRPr="00D5341B">
        <w:t xml:space="preserve"> the Deliverables, the Services and/or the Supplier</w:t>
      </w:r>
      <w:r>
        <w:t>’</w:t>
      </w:r>
      <w:r w:rsidRPr="00D5341B">
        <w:t>s performance of its obligations under this Contract and no further amounts shall be payable by the Authority to the Supplier in respect of such performance, including in respect of matters such as:</w:t>
      </w:r>
    </w:p>
    <w:p w14:paraId="4F3AB2B7" w14:textId="77777777" w:rsidR="00F67E9E" w:rsidRPr="00D5341B" w:rsidRDefault="00F67E9E" w:rsidP="00F67E9E">
      <w:pPr>
        <w:pStyle w:val="Numbered111"/>
        <w:tabs>
          <w:tab w:val="clear" w:pos="1800"/>
          <w:tab w:val="num" w:pos="2160"/>
        </w:tabs>
      </w:pPr>
      <w:r w:rsidRPr="00D5341B">
        <w:t>any incidental expenses that the Supplier incurs, including travel, subsistence and lodging, document and report reproduction, shipping, desktop and office equipment costs required by the Supplier Personnel, including network or data interchange costs or other telecommunications charges; or</w:t>
      </w:r>
    </w:p>
    <w:p w14:paraId="19E6F8F0" w14:textId="77777777" w:rsidR="00F67E9E" w:rsidRDefault="00F67E9E" w:rsidP="00F67E9E">
      <w:pPr>
        <w:pStyle w:val="Numbered111"/>
        <w:tabs>
          <w:tab w:val="clear" w:pos="1800"/>
          <w:tab w:val="num" w:pos="2160"/>
        </w:tabs>
      </w:pPr>
      <w:r w:rsidRPr="00D5341B">
        <w:t>any amount for any services provided or costs incurred by the Supplier prior to the Effective Date.</w:t>
      </w:r>
    </w:p>
    <w:p w14:paraId="4CE8DC97" w14:textId="77777777" w:rsidR="00F67E9E" w:rsidRDefault="00F67E9E" w:rsidP="00F67E9E"/>
    <w:p w14:paraId="1C6358AF" w14:textId="77777777" w:rsidR="00F67E9E" w:rsidRDefault="00F67E9E" w:rsidP="00F67E9E">
      <w:pPr>
        <w:pStyle w:val="Heading2"/>
        <w:pageBreakBefore/>
      </w:pPr>
      <w:bookmarkStart w:id="1006" w:name="Sch15PartB"/>
      <w:bookmarkStart w:id="1007" w:name="_Ref_ContractCompanion_9kb9Ur4BH"/>
      <w:bookmarkStart w:id="1008" w:name="_Ref_ContractCompanion_9kb9Ur4DE"/>
      <w:bookmarkStart w:id="1009" w:name="_Ref_ContractCompanion_9kb9Ur4DG"/>
      <w:bookmarkStart w:id="1010" w:name="_Toc141711939"/>
      <w:r w:rsidRPr="000038E2">
        <w:t xml:space="preserve">Part </w:t>
      </w:r>
      <w:r w:rsidRPr="00D5341B">
        <w:t>B</w:t>
      </w:r>
      <w:bookmarkEnd w:id="1006"/>
      <w:r w:rsidRPr="00D5341B">
        <w:t>: Charging Mechanisms</w:t>
      </w:r>
      <w:bookmarkEnd w:id="1007"/>
      <w:bookmarkEnd w:id="1008"/>
      <w:bookmarkEnd w:id="1009"/>
      <w:bookmarkEnd w:id="1010"/>
    </w:p>
    <w:p w14:paraId="2A4E0486" w14:textId="77777777" w:rsidR="00F67E9E" w:rsidRPr="00D5341B" w:rsidRDefault="00F67E9E" w:rsidP="00F67E9E">
      <w:pPr>
        <w:pStyle w:val="Numbered1"/>
        <w:numPr>
          <w:ilvl w:val="0"/>
          <w:numId w:val="132"/>
        </w:numPr>
      </w:pPr>
      <w:bookmarkStart w:id="1011" w:name="_9kR3WTrAG969EeJfifw5qDOJiPyIdglAA7FVSNE"/>
      <w:r w:rsidRPr="00D5341B">
        <w:t xml:space="preserve">Milestone </w:t>
      </w:r>
      <w:r w:rsidRPr="00772237">
        <w:t>Payments</w:t>
      </w:r>
      <w:bookmarkEnd w:id="1011"/>
    </w:p>
    <w:p w14:paraId="0E103F15" w14:textId="2307CF75" w:rsidR="00F67E9E" w:rsidRPr="00772237" w:rsidRDefault="00F67E9E" w:rsidP="00F67E9E">
      <w:pPr>
        <w:pStyle w:val="Numbered11"/>
      </w:pPr>
      <w:r w:rsidRPr="00D5341B">
        <w:t xml:space="preserve">Subject to the provisions of </w:t>
      </w:r>
      <w:bookmarkStart w:id="1012" w:name="_9kMHG5YVt4EE7FJcGpqgyts0DN"/>
      <w:r w:rsidRPr="00D5341B">
        <w:t xml:space="preserve">Paragraph </w:t>
      </w:r>
      <w:bookmarkEnd w:id="1012"/>
      <w:r w:rsidRPr="00D5341B">
        <w:fldChar w:fldCharType="begin"/>
      </w:r>
      <w:r w:rsidRPr="00D5341B">
        <w:instrText xml:space="preserve"> REF _Ref_ContractCompanion_9kb9Ur199 \w \h </w:instrText>
      </w:r>
      <w:r>
        <w:instrText xml:space="preserve"> \* MERGEFORMAT </w:instrText>
      </w:r>
      <w:r w:rsidRPr="00D5341B">
        <w:fldChar w:fldCharType="separate"/>
      </w:r>
      <w:r w:rsidR="00302D39">
        <w:t>1.3</w:t>
      </w:r>
      <w:r w:rsidRPr="00D5341B">
        <w:fldChar w:fldCharType="end"/>
      </w:r>
      <w:r w:rsidRPr="00D5341B">
        <w:t xml:space="preserve"> of </w:t>
      </w:r>
      <w:r w:rsidRPr="00D5341B">
        <w:fldChar w:fldCharType="begin"/>
      </w:r>
      <w:r w:rsidRPr="00D5341B">
        <w:instrText xml:space="preserve"> REF Sch15PartC \h  \* MERGEFORMAT </w:instrText>
      </w:r>
      <w:r w:rsidRPr="00D5341B">
        <w:fldChar w:fldCharType="separate"/>
      </w:r>
      <w:r w:rsidR="00302D39" w:rsidRPr="000038E2">
        <w:t>Part </w:t>
      </w:r>
      <w:r w:rsidR="00302D39" w:rsidRPr="00D5341B">
        <w:t>C</w:t>
      </w:r>
      <w:r w:rsidRPr="00D5341B">
        <w:fldChar w:fldCharType="end"/>
      </w:r>
      <w:r w:rsidRPr="00D5341B">
        <w:t xml:space="preserve"> in relation to the deduction of Delay Payments, on the Achievement of a Milestone the Supplier shall be entitled to invoice the Authority for the Milestone Payment associated with that Milestone less the applicable Milestone Retention in </w:t>
      </w:r>
      <w:r w:rsidRPr="00772237">
        <w:t xml:space="preserve">accordance with this </w:t>
      </w:r>
      <w:r w:rsidRPr="00772237">
        <w:fldChar w:fldCharType="begin"/>
      </w:r>
      <w:r w:rsidRPr="00772237">
        <w:instrText xml:space="preserve"> REF Sch15PartB \h  \* MERGEFORMAT </w:instrText>
      </w:r>
      <w:r w:rsidRPr="00772237">
        <w:fldChar w:fldCharType="separate"/>
      </w:r>
      <w:r w:rsidR="00302D39" w:rsidRPr="000038E2">
        <w:t xml:space="preserve">Part </w:t>
      </w:r>
      <w:r w:rsidR="00302D39" w:rsidRPr="00D5341B">
        <w:t>B</w:t>
      </w:r>
      <w:r w:rsidRPr="00772237">
        <w:fldChar w:fldCharType="end"/>
      </w:r>
      <w:r w:rsidRPr="00772237">
        <w:t xml:space="preserve">. </w:t>
      </w:r>
    </w:p>
    <w:p w14:paraId="2050B729" w14:textId="77777777" w:rsidR="00F67E9E" w:rsidRPr="00D5341B" w:rsidRDefault="00F67E9E" w:rsidP="00F67E9E">
      <w:pPr>
        <w:pStyle w:val="Numbered11"/>
      </w:pPr>
      <w:bookmarkStart w:id="1013" w:name="_Ref_ContractCompanion_9kb9Us16B"/>
      <w:bookmarkStart w:id="1014" w:name="_9kR3WTrAG95AHEBP5aipwAC0pm23yv4D87EN5eh"/>
      <w:r w:rsidRPr="00772237">
        <w:t>Each invoice relating to</w:t>
      </w:r>
      <w:r w:rsidRPr="00D5341B">
        <w:t xml:space="preserve"> a Milestone Payment shall be supported by:</w:t>
      </w:r>
      <w:bookmarkEnd w:id="1013"/>
      <w:bookmarkEnd w:id="1014"/>
    </w:p>
    <w:p w14:paraId="538F7204" w14:textId="77777777" w:rsidR="00F67E9E" w:rsidRPr="00772237" w:rsidRDefault="00F67E9E" w:rsidP="00F67E9E">
      <w:pPr>
        <w:pStyle w:val="Numbered111"/>
      </w:pPr>
      <w:r w:rsidRPr="00D5341B">
        <w:t xml:space="preserve">a Milestone Achievement </w:t>
      </w:r>
      <w:r w:rsidRPr="00772237">
        <w:t>Certificate; and</w:t>
      </w:r>
    </w:p>
    <w:p w14:paraId="4115E04A" w14:textId="77777777" w:rsidR="00F67E9E" w:rsidRPr="00D5341B" w:rsidRDefault="00F67E9E" w:rsidP="00F67E9E">
      <w:pPr>
        <w:pStyle w:val="Numbered111"/>
      </w:pPr>
      <w:r w:rsidRPr="00772237">
        <w:t>where the Milestone Payme</w:t>
      </w:r>
      <w:r w:rsidRPr="00D5341B">
        <w:t xml:space="preserve">nt is to be calculated by reference to a Guaranteed Maximum Price with Target Cost or Time and Materials pricing mechanism, a Certificate of Costs with </w:t>
      </w:r>
      <w:bookmarkStart w:id="1015" w:name="_9kMIH5YVt4CE9FFbd7336C4zyPSy5G13J78HDJ"/>
      <w:r w:rsidRPr="00D5341B">
        <w:t>Supporting Documentation</w:t>
      </w:r>
      <w:bookmarkEnd w:id="1015"/>
      <w:r w:rsidRPr="00D5341B">
        <w:t>.</w:t>
      </w:r>
    </w:p>
    <w:p w14:paraId="7F4A52BE" w14:textId="77777777" w:rsidR="00F67E9E" w:rsidRPr="00D5341B" w:rsidRDefault="00F67E9E" w:rsidP="00F67E9E">
      <w:pPr>
        <w:pStyle w:val="Numbered11"/>
      </w:pPr>
      <w:bookmarkStart w:id="1016" w:name="_Ref_ContractCompanion_9kb9Ur18G"/>
      <w:r w:rsidRPr="00D5341B">
        <w:t xml:space="preserve">The </w:t>
      </w:r>
      <w:r>
        <w:t>“</w:t>
      </w:r>
      <w:r w:rsidRPr="00D5341B">
        <w:rPr>
          <w:rStyle w:val="StdBodyTextBoldChar"/>
          <w:rFonts w:eastAsia="Arial" w:cs="Arial"/>
        </w:rPr>
        <w:t>Milestone Retention</w:t>
      </w:r>
      <w:r>
        <w:t>”</w:t>
      </w:r>
      <w:r w:rsidRPr="00D5341B">
        <w:t xml:space="preserve"> for </w:t>
      </w:r>
      <w:r w:rsidRPr="00772237">
        <w:t>each</w:t>
      </w:r>
      <w:r w:rsidRPr="00D5341B">
        <w:t xml:space="preserve"> Milestone shall be calculated as follows:</w:t>
      </w:r>
      <w:bookmarkEnd w:id="1016"/>
    </w:p>
    <w:p w14:paraId="61553763" w14:textId="77777777" w:rsidR="00F67E9E" w:rsidRPr="00D5341B" w:rsidRDefault="00F67E9E" w:rsidP="00F67E9E">
      <w:pPr>
        <w:pStyle w:val="Numbered111"/>
        <w:tabs>
          <w:tab w:val="clear" w:pos="1800"/>
          <w:tab w:val="num" w:pos="2160"/>
        </w:tabs>
      </w:pPr>
      <w:bookmarkStart w:id="1017" w:name="_Ref_ContractCompanion_9kb9Us159"/>
      <w:bookmarkStart w:id="1018" w:name="_9kR3WTrAG959FDCmt1kvwz3pVU0x5LID4hYER8A"/>
      <w:bookmarkStart w:id="1019" w:name="_9kR3WTrAG959HFCmt1kvwz3pVU0x5LID4hYER8A"/>
      <w:r w:rsidRPr="00D5341B">
        <w:t>where the Milestone Payment for the relevant Milestone is determined by reference to a Guaranteed Maximum Price with Target Cost pricing mechanism, 10% of the Target Price for the Milestone;</w:t>
      </w:r>
      <w:bookmarkEnd w:id="1017"/>
      <w:bookmarkEnd w:id="1018"/>
      <w:bookmarkEnd w:id="1019"/>
    </w:p>
    <w:p w14:paraId="1D3AAE41" w14:textId="77777777" w:rsidR="00F67E9E" w:rsidRPr="00D5341B" w:rsidRDefault="00F67E9E" w:rsidP="00F67E9E">
      <w:pPr>
        <w:pStyle w:val="Numbered111"/>
        <w:tabs>
          <w:tab w:val="clear" w:pos="1800"/>
          <w:tab w:val="num" w:pos="2160"/>
        </w:tabs>
      </w:pPr>
      <w:r w:rsidRPr="00D5341B">
        <w:t>where the Milestone Payment for the relevant Milestone is determined by reference to a Time and Materials, Fixed Price or Firm Price pricing mechanism, 10% of the Charges for that Milestone,</w:t>
      </w:r>
    </w:p>
    <w:p w14:paraId="6F3BAC8E" w14:textId="57C3AC58" w:rsidR="00F67E9E" w:rsidRPr="00D5341B" w:rsidRDefault="00F67E9E" w:rsidP="00F67E9E">
      <w:pPr>
        <w:pStyle w:val="StdBodyText2"/>
        <w:rPr>
          <w:rFonts w:cs="Arial"/>
        </w:rPr>
      </w:pPr>
      <w:r w:rsidRPr="00D5341B">
        <w:rPr>
          <w:rFonts w:cs="Arial"/>
        </w:rPr>
        <w:t xml:space="preserve">and, in the case of a Key Milestone, prior to deduction from the Milestone Payment of any Delay Payment attributable to that Key Milestone and without taking account of any amount payable by the Supplier pursuant to </w:t>
      </w:r>
      <w:bookmarkStart w:id="1020" w:name="_9kMIH5YVt4EE7FJcGpqgyts0DN"/>
      <w:r w:rsidRPr="00D5341B">
        <w:rPr>
          <w:rFonts w:cs="Arial"/>
        </w:rPr>
        <w:t>Paragraph </w:t>
      </w:r>
      <w:r w:rsidRPr="00D5341B">
        <w:rPr>
          <w:rFonts w:cs="Arial"/>
        </w:rPr>
        <w:fldChar w:fldCharType="begin"/>
      </w:r>
      <w:r w:rsidRPr="00D5341B">
        <w:rPr>
          <w:rFonts w:cs="Arial"/>
        </w:rPr>
        <w:instrText xml:space="preserve"> REF _Ref_ContractCompanion_9kb9Ur19B \n \h \t \* MERGEFORMAT </w:instrText>
      </w:r>
      <w:r w:rsidRPr="00D5341B">
        <w:rPr>
          <w:rFonts w:cs="Arial"/>
        </w:rPr>
      </w:r>
      <w:r w:rsidRPr="00D5341B">
        <w:rPr>
          <w:rFonts w:cs="Arial"/>
        </w:rPr>
        <w:fldChar w:fldCharType="separate"/>
      </w:r>
      <w:r w:rsidR="00302D39">
        <w:rPr>
          <w:rFonts w:cs="Arial"/>
        </w:rPr>
        <w:t>1.3</w:t>
      </w:r>
      <w:r w:rsidRPr="00D5341B">
        <w:rPr>
          <w:rFonts w:cs="Arial"/>
        </w:rPr>
        <w:fldChar w:fldCharType="end"/>
      </w:r>
      <w:bookmarkEnd w:id="1020"/>
      <w:r w:rsidRPr="00D5341B">
        <w:rPr>
          <w:rFonts w:cs="Arial"/>
        </w:rPr>
        <w:t xml:space="preserve"> of </w:t>
      </w:r>
      <w:bookmarkStart w:id="1021" w:name="_9kMHG5YVt4DE7AKhGp9V"/>
      <w:bookmarkEnd w:id="1021"/>
      <w:r w:rsidRPr="00D5341B">
        <w:rPr>
          <w:rFonts w:cs="Arial"/>
        </w:rPr>
        <w:fldChar w:fldCharType="begin"/>
      </w:r>
      <w:r w:rsidRPr="00D5341B">
        <w:rPr>
          <w:rFonts w:cs="Arial"/>
        </w:rPr>
        <w:instrText xml:space="preserve"> REF Sch15PartC \h  \* MERGEFORMAT </w:instrText>
      </w:r>
      <w:r w:rsidRPr="00D5341B">
        <w:rPr>
          <w:rFonts w:cs="Arial"/>
        </w:rPr>
      </w:r>
      <w:r w:rsidRPr="00D5341B">
        <w:rPr>
          <w:rFonts w:cs="Arial"/>
        </w:rPr>
        <w:fldChar w:fldCharType="separate"/>
      </w:r>
      <w:r w:rsidR="00302D39" w:rsidRPr="00302D39">
        <w:rPr>
          <w:rFonts w:cs="Arial"/>
        </w:rPr>
        <w:t>Part C</w:t>
      </w:r>
      <w:r w:rsidRPr="00D5341B">
        <w:rPr>
          <w:rFonts w:cs="Arial"/>
        </w:rPr>
        <w:fldChar w:fldCharType="end"/>
      </w:r>
      <w:r w:rsidRPr="00D5341B">
        <w:rPr>
          <w:rFonts w:cs="Arial"/>
        </w:rPr>
        <w:t>.</w:t>
      </w:r>
    </w:p>
    <w:p w14:paraId="5F57C596" w14:textId="77777777" w:rsidR="00F67E9E" w:rsidRPr="00D5341B" w:rsidRDefault="00F67E9E" w:rsidP="00F67E9E">
      <w:pPr>
        <w:pStyle w:val="StdBodyText1"/>
        <w:rPr>
          <w:rFonts w:cs="Arial"/>
        </w:rPr>
      </w:pPr>
      <w:r w:rsidRPr="00D5341B">
        <w:rPr>
          <w:rStyle w:val="StdBodyTextBoldChar"/>
          <w:rFonts w:cs="Arial"/>
        </w:rPr>
        <w:t>Guaranteed Maximum Price with Target Cost pricing</w:t>
      </w:r>
      <w:r w:rsidRPr="00D5341B">
        <w:rPr>
          <w:rFonts w:cs="Arial"/>
        </w:rPr>
        <w:t xml:space="preserve"> </w:t>
      </w:r>
      <w:r w:rsidRPr="00D5341B">
        <w:rPr>
          <w:rStyle w:val="StdBodyTextBoldChar"/>
          <w:rFonts w:cs="Arial"/>
        </w:rPr>
        <w:t>mechanism</w:t>
      </w:r>
    </w:p>
    <w:p w14:paraId="4543EB07" w14:textId="77777777" w:rsidR="00F67E9E" w:rsidRPr="00D5341B" w:rsidRDefault="00F67E9E" w:rsidP="00F67E9E">
      <w:pPr>
        <w:pStyle w:val="Numbered11"/>
      </w:pPr>
      <w:r w:rsidRPr="00D5341B">
        <w:t xml:space="preserve">Where a Milestone Payment relating to a single Milestone is to be calculated by reference to a Guaranteed Maximum Price with Target Cost pricing mechanism, then the following payment </w:t>
      </w:r>
      <w:r w:rsidRPr="00772237">
        <w:t>process</w:t>
      </w:r>
      <w:r w:rsidRPr="00D5341B">
        <w:t xml:space="preserve"> shall apply:</w:t>
      </w:r>
    </w:p>
    <w:p w14:paraId="599C35B9" w14:textId="77777777" w:rsidR="00F67E9E" w:rsidRPr="00D5341B" w:rsidRDefault="00F67E9E" w:rsidP="00F67E9E">
      <w:pPr>
        <w:pStyle w:val="Numbered111"/>
        <w:tabs>
          <w:tab w:val="clear" w:pos="1800"/>
          <w:tab w:val="num" w:pos="2160"/>
        </w:tabs>
      </w:pPr>
      <w:r w:rsidRPr="00D5341B">
        <w:t>upon the issue of a Milestone Achievement Certificate for the Milestone, the Supplier may invoice the Authority for the Target Price for the relevant Milestone, less the Milestone Retention calculated using such Target Price; and</w:t>
      </w:r>
    </w:p>
    <w:p w14:paraId="58C5CD4D" w14:textId="0469DE4E" w:rsidR="00F67E9E" w:rsidRPr="00D5341B" w:rsidRDefault="00F67E9E" w:rsidP="00F67E9E">
      <w:pPr>
        <w:pStyle w:val="Numbered111"/>
        <w:tabs>
          <w:tab w:val="clear" w:pos="1800"/>
          <w:tab w:val="num" w:pos="2160"/>
        </w:tabs>
      </w:pPr>
      <w:r w:rsidRPr="00D5341B">
        <w:t xml:space="preserve">no later than 60 Working Days after the invoice referred to in </w:t>
      </w:r>
      <w:bookmarkStart w:id="1022" w:name="_9kMHG5YVtCIB7BHFEov3mxy15rXW2z7NKF6jaGT"/>
      <w:bookmarkStart w:id="1023" w:name="_9kMHG5YVtCIB7BJHEov3mxy15rXW2z7NKF6jaGT"/>
      <w:r w:rsidRPr="00D5341B">
        <w:t xml:space="preserve">Paragraph </w:t>
      </w:r>
      <w:r w:rsidRPr="00D5341B">
        <w:fldChar w:fldCharType="begin"/>
      </w:r>
      <w:r w:rsidRPr="00D5341B">
        <w:instrText xml:space="preserve"> REF _Ref_ContractCompanion_9kb9Us159 \w \h \t \* MERGEFORMAT </w:instrText>
      </w:r>
      <w:r w:rsidRPr="00D5341B">
        <w:fldChar w:fldCharType="separate"/>
      </w:r>
      <w:r w:rsidR="00302D39">
        <w:t>1.3.1</w:t>
      </w:r>
      <w:r w:rsidRPr="00D5341B">
        <w:fldChar w:fldCharType="end"/>
      </w:r>
      <w:bookmarkEnd w:id="1022"/>
      <w:bookmarkEnd w:id="1023"/>
      <w:r w:rsidRPr="00D5341B">
        <w:t xml:space="preserve"> has been issued, the Supplier shall:</w:t>
      </w:r>
    </w:p>
    <w:p w14:paraId="3761EDAC" w14:textId="77777777" w:rsidR="00F67E9E" w:rsidRPr="00D5341B" w:rsidRDefault="00F67E9E" w:rsidP="00F67E9E">
      <w:pPr>
        <w:pStyle w:val="Numbered111a"/>
        <w:tabs>
          <w:tab w:val="clear" w:pos="2520"/>
          <w:tab w:val="num" w:pos="2880"/>
        </w:tabs>
      </w:pPr>
      <w:r w:rsidRPr="00D5341B">
        <w:t>submit to the Authority a report setting out the Incurred Costs and actual Milestone Payment for the Milestone;</w:t>
      </w:r>
    </w:p>
    <w:p w14:paraId="42E7AC23" w14:textId="77777777" w:rsidR="00F67E9E" w:rsidRPr="00D5341B" w:rsidRDefault="00F67E9E" w:rsidP="00F67E9E">
      <w:pPr>
        <w:pStyle w:val="Numbered111a"/>
      </w:pPr>
      <w:bookmarkStart w:id="1024" w:name="_Ref_ContractCompanion_9kb9Us15E"/>
      <w:bookmarkStart w:id="1025" w:name="_9kR3WTrAG95AB8Dogop0BE11CD7tNYOC8JEHYG6"/>
      <w:r w:rsidRPr="00D5341B">
        <w:t>issue to the Authority an invoice or credit note for the difference between the actual Milestone Payment payable and the Target Price invoiced for the Milestone (in each case, after deducting the applicable Milestone Retention);</w:t>
      </w:r>
      <w:bookmarkEnd w:id="1024"/>
      <w:bookmarkEnd w:id="1025"/>
    </w:p>
    <w:p w14:paraId="4CC38D96" w14:textId="53F8BFA6" w:rsidR="00F67E9E" w:rsidRPr="00D5341B" w:rsidRDefault="00F67E9E" w:rsidP="00F67E9E">
      <w:pPr>
        <w:pStyle w:val="Numbered111a"/>
      </w:pPr>
      <w:bookmarkStart w:id="1026" w:name="_9kR3WTrAG95AKHDogop44nyzji03qvCIELC2HTQ"/>
      <w:bookmarkStart w:id="1027" w:name="_Ref_ContractCompanion_9kb9Us16E"/>
      <w:r w:rsidRPr="00D5341B">
        <w:t xml:space="preserve">where a credit note is to be issued to the Authority pursuant to </w:t>
      </w:r>
      <w:bookmarkStart w:id="1028" w:name="_9kMHG5YVtCIB7CDAFqiqr2DG33EF9vPaQEALGJa"/>
      <w:r w:rsidRPr="00D5341B">
        <w:t xml:space="preserve">Paragraph </w:t>
      </w:r>
      <w:r w:rsidRPr="00D5341B">
        <w:fldChar w:fldCharType="begin"/>
      </w:r>
      <w:r w:rsidRPr="00D5341B">
        <w:instrText xml:space="preserve"> REF _Ref_ContractCompanion_9kb9Us15E \w \h \t \* MERGEFORMAT </w:instrText>
      </w:r>
      <w:r w:rsidRPr="00D5341B">
        <w:fldChar w:fldCharType="separate"/>
      </w:r>
      <w:r w:rsidR="00302D39">
        <w:t>1.4.2(b)</w:t>
      </w:r>
      <w:r w:rsidRPr="00D5341B">
        <w:fldChar w:fldCharType="end"/>
      </w:r>
      <w:bookmarkEnd w:id="1028"/>
      <w:r w:rsidRPr="00D5341B">
        <w:t>, repay to the Authority a sum equal to such difference as a debt within 10 Working Days of issue of the credit note;</w:t>
      </w:r>
      <w:bookmarkEnd w:id="1026"/>
      <w:r w:rsidRPr="00D5341B">
        <w:t xml:space="preserve"> and</w:t>
      </w:r>
      <w:bookmarkEnd w:id="1027"/>
    </w:p>
    <w:p w14:paraId="051B894A" w14:textId="77777777" w:rsidR="00F67E9E" w:rsidRPr="00D5341B" w:rsidRDefault="00F67E9E" w:rsidP="00F67E9E">
      <w:pPr>
        <w:pStyle w:val="Numbered111a"/>
        <w:tabs>
          <w:tab w:val="clear" w:pos="2520"/>
          <w:tab w:val="num" w:pos="2880"/>
        </w:tabs>
      </w:pPr>
      <w:r w:rsidRPr="00D5341B">
        <w:t xml:space="preserve">issue a Certificate of Costs with </w:t>
      </w:r>
      <w:bookmarkStart w:id="1029" w:name="_9kMJI5YVt4CE9FFbd7336C4zyPSy5G13J78HDJ"/>
      <w:r w:rsidRPr="00D5341B">
        <w:t>Supporting Documentation</w:t>
      </w:r>
      <w:bookmarkEnd w:id="1029"/>
      <w:r w:rsidRPr="00D5341B">
        <w:t>, which shall exclude any accruals, prepayments and provisions.</w:t>
      </w:r>
    </w:p>
    <w:p w14:paraId="0C6E8E8A" w14:textId="295E00BB" w:rsidR="00F67E9E" w:rsidRPr="00D5341B" w:rsidRDefault="00F67E9E" w:rsidP="00F67E9E">
      <w:pPr>
        <w:pStyle w:val="Numbered111"/>
        <w:tabs>
          <w:tab w:val="clear" w:pos="1800"/>
          <w:tab w:val="num" w:pos="2160"/>
        </w:tabs>
      </w:pPr>
      <w:bookmarkStart w:id="1030" w:name="_Ref_ContractCompanion_9kb9Ur04E"/>
      <w:r w:rsidRPr="00D5341B">
        <w:t xml:space="preserve">Where Milestones are stated in </w:t>
      </w:r>
      <w:bookmarkStart w:id="1031" w:name="_9kMIH5YVt4EE7FMjKZlp9"/>
      <w:r w:rsidRPr="00D5341B">
        <w:t>Table 4</w:t>
      </w:r>
      <w:bookmarkEnd w:id="1031"/>
      <w:r w:rsidRPr="00D5341B">
        <w:t xml:space="preserve"> of Annex </w:t>
      </w:r>
      <w:r w:rsidRPr="00D5341B">
        <w:fldChar w:fldCharType="begin"/>
      </w:r>
      <w:r w:rsidRPr="00D5341B">
        <w:instrText xml:space="preserve"> REF ANNEX1_SCHEDULE15 \h </w:instrText>
      </w:r>
      <w:r>
        <w:instrText xml:space="preserve"> \* MERGEFORMAT </w:instrText>
      </w:r>
      <w:r w:rsidRPr="00D5341B">
        <w:fldChar w:fldCharType="separate"/>
      </w:r>
      <w:r w:rsidR="00302D39" w:rsidRPr="00BA56A1">
        <w:t>1</w:t>
      </w:r>
      <w:r w:rsidRPr="00D5341B">
        <w:fldChar w:fldCharType="end"/>
      </w:r>
      <w:r w:rsidRPr="00D5341B">
        <w:t xml:space="preserve"> to constitute a group of Milestones (a </w:t>
      </w:r>
      <w:r>
        <w:t>“</w:t>
      </w:r>
      <w:r w:rsidRPr="00D5341B">
        <w:rPr>
          <w:rStyle w:val="StdBodyTextBoldChar"/>
          <w:rFonts w:eastAsia="Arial" w:cs="Arial"/>
        </w:rPr>
        <w:t>Milestone Group</w:t>
      </w:r>
      <w:r>
        <w:t>”</w:t>
      </w:r>
      <w:r w:rsidRPr="00D5341B">
        <w:t>) and the Milestone Payments relating to the Milestones in that Milestone Group are each to be calculated by reference to a Guaranteed Maximum Price with Target Cost pricing mechanism, then the following payment process shall apply:</w:t>
      </w:r>
      <w:bookmarkEnd w:id="1030"/>
    </w:p>
    <w:p w14:paraId="085EEF85" w14:textId="77777777" w:rsidR="00F67E9E" w:rsidRPr="00D5341B" w:rsidRDefault="00F67E9E" w:rsidP="00F67E9E">
      <w:pPr>
        <w:pStyle w:val="Numbered111"/>
        <w:tabs>
          <w:tab w:val="clear" w:pos="1800"/>
          <w:tab w:val="num" w:pos="2160"/>
        </w:tabs>
      </w:pPr>
      <w:r w:rsidRPr="00D5341B">
        <w:t>in respect of each Milestone within the Milestone Group, the Supplier may invoice the Authority for the Target Price for the relevant Milestone, less the Milestone Retention calculated using such Target Price, upon the issue of the associated Milestone Achievement Certificate; and</w:t>
      </w:r>
    </w:p>
    <w:p w14:paraId="3D177B50" w14:textId="77777777" w:rsidR="00F67E9E" w:rsidRPr="00D5341B" w:rsidRDefault="00F67E9E" w:rsidP="00F67E9E">
      <w:pPr>
        <w:pStyle w:val="Numbered111"/>
        <w:tabs>
          <w:tab w:val="clear" w:pos="1800"/>
          <w:tab w:val="num" w:pos="2160"/>
        </w:tabs>
      </w:pPr>
      <w:r w:rsidRPr="00D5341B">
        <w:t>no later than 60 Working Days after the issue of the invoice for the final Milestone Payment relating to the Milestone Group, the Supplier shall:</w:t>
      </w:r>
    </w:p>
    <w:p w14:paraId="48E2762B" w14:textId="77777777" w:rsidR="00F67E9E" w:rsidRPr="00D5341B" w:rsidRDefault="00F67E9E" w:rsidP="00F67E9E">
      <w:pPr>
        <w:pStyle w:val="Numbered111a"/>
        <w:tabs>
          <w:tab w:val="clear" w:pos="2520"/>
          <w:tab w:val="num" w:pos="2880"/>
        </w:tabs>
      </w:pPr>
      <w:r w:rsidRPr="00D5341B">
        <w:t>submit to the Authority a report setting out the Incurred Costs and actual Milestone Payments for the Milestone Group;</w:t>
      </w:r>
    </w:p>
    <w:p w14:paraId="32DC1BC0" w14:textId="77777777" w:rsidR="00F67E9E" w:rsidRPr="00D5341B" w:rsidRDefault="00F67E9E" w:rsidP="00F67E9E">
      <w:pPr>
        <w:pStyle w:val="Numbered111a"/>
      </w:pPr>
      <w:bookmarkStart w:id="1032" w:name="_Ref_ContractCompanion_9kb9Us168"/>
      <w:bookmarkStart w:id="1033" w:name="_9kR3WTrAG95AEBEpgop0BE11CD7tNYOC8JEHYG6"/>
      <w:r w:rsidRPr="00D5341B">
        <w:t>issue to the Authority an invoice or credit note for the difference between the aggregate of the actual Milestone Payments payable and Target Prices invoiced for Milestones in the Milestone Group (in each case, after deducting all Milestone Retentions relating to that Milestone Group);</w:t>
      </w:r>
      <w:bookmarkEnd w:id="1032"/>
      <w:bookmarkEnd w:id="1033"/>
    </w:p>
    <w:p w14:paraId="41215D35" w14:textId="24CDF076" w:rsidR="00F67E9E" w:rsidRPr="00D5341B" w:rsidRDefault="00F67E9E" w:rsidP="00F67E9E">
      <w:pPr>
        <w:pStyle w:val="Numbered111a"/>
      </w:pPr>
      <w:bookmarkStart w:id="1034" w:name="_9kR3WTrAG95BEAEpgop44nyzji03qvCIELC2HTQ"/>
      <w:bookmarkStart w:id="1035" w:name="_Ref_ContractCompanion_9kb9Us178"/>
      <w:r w:rsidRPr="00D5341B">
        <w:t xml:space="preserve">where a credit note is to be issued to the Authority pursuant to </w:t>
      </w:r>
      <w:bookmarkStart w:id="1036" w:name="_9kMHG5YVtCIB7CGDGriqr2DG33EF9vPaQEALGJa"/>
      <w:r w:rsidRPr="00D5341B">
        <w:t xml:space="preserve">Paragraph </w:t>
      </w:r>
      <w:r w:rsidRPr="00D5341B">
        <w:fldChar w:fldCharType="begin"/>
      </w:r>
      <w:r w:rsidRPr="00D5341B">
        <w:instrText xml:space="preserve"> REF _Ref_ContractCompanion_9kb9Us168 \w \h \t \* MERGEFORMAT </w:instrText>
      </w:r>
      <w:r w:rsidRPr="00D5341B">
        <w:fldChar w:fldCharType="separate"/>
      </w:r>
      <w:r w:rsidR="00302D39">
        <w:t>1.4.5(b)</w:t>
      </w:r>
      <w:r w:rsidRPr="00D5341B">
        <w:fldChar w:fldCharType="end"/>
      </w:r>
      <w:bookmarkEnd w:id="1036"/>
      <w:r w:rsidRPr="00D5341B">
        <w:t>, repay to the Authority a sum equal to such difference as a debt within 10 Working Days of issue of the credit note;</w:t>
      </w:r>
      <w:bookmarkEnd w:id="1034"/>
      <w:r w:rsidRPr="00D5341B">
        <w:t xml:space="preserve"> and</w:t>
      </w:r>
      <w:bookmarkEnd w:id="1035"/>
    </w:p>
    <w:p w14:paraId="38018688" w14:textId="77777777" w:rsidR="00F67E9E" w:rsidRPr="00D5341B" w:rsidRDefault="00F67E9E" w:rsidP="00F67E9E">
      <w:pPr>
        <w:pStyle w:val="Numbered111a"/>
      </w:pPr>
      <w:r w:rsidRPr="00D5341B">
        <w:t xml:space="preserve">issue a Certificate of Costs with </w:t>
      </w:r>
      <w:bookmarkStart w:id="1037" w:name="_9kMKJ5YVt4CE9FFbd7336C4zyPSy5G13J78HDJ"/>
      <w:r w:rsidRPr="00D5341B">
        <w:t>Supporting Documentation</w:t>
      </w:r>
      <w:bookmarkEnd w:id="1037"/>
      <w:r w:rsidRPr="00D5341B">
        <w:t>, which shall exclude any accruals, prepayments and provisions.</w:t>
      </w:r>
    </w:p>
    <w:p w14:paraId="2D92E5CD" w14:textId="07A833D2" w:rsidR="00F67E9E" w:rsidRPr="00772237" w:rsidRDefault="00F67E9E" w:rsidP="00F67E9E">
      <w:pPr>
        <w:pStyle w:val="Numbered11"/>
      </w:pPr>
      <w:r w:rsidRPr="00D5341B">
        <w:t xml:space="preserve">If the Supplier does not repay any such sum as is referred to in </w:t>
      </w:r>
      <w:bookmarkStart w:id="1038" w:name="_9kMIH5YVtCIB7CDAFqiqr2DG33EF9vPaQEALGJa"/>
      <w:r w:rsidRPr="00D5341B">
        <w:t xml:space="preserve">Paragraph </w:t>
      </w:r>
      <w:r w:rsidRPr="00D5341B">
        <w:fldChar w:fldCharType="begin"/>
      </w:r>
      <w:r w:rsidRPr="00D5341B">
        <w:instrText xml:space="preserve"> REF _Ref_ContractCompanion_9kb9Us15E \w \h \t \* MERGEFORMAT </w:instrText>
      </w:r>
      <w:r w:rsidRPr="00D5341B">
        <w:fldChar w:fldCharType="separate"/>
      </w:r>
      <w:r w:rsidR="00302D39">
        <w:t>1.4.2(b)</w:t>
      </w:r>
      <w:r w:rsidRPr="00D5341B">
        <w:fldChar w:fldCharType="end"/>
      </w:r>
      <w:bookmarkEnd w:id="1038"/>
      <w:r w:rsidRPr="00D5341B">
        <w:t xml:space="preserve"> or </w:t>
      </w:r>
      <w:bookmarkStart w:id="1039" w:name="_9kMIH5YVtCIB7CGDGriqr2DG33EF9vPaQEALGJa"/>
      <w:r w:rsidRPr="00D5341B">
        <w:fldChar w:fldCharType="begin"/>
      </w:r>
      <w:r w:rsidRPr="00D5341B">
        <w:instrText xml:space="preserve"> REF _Ref_ContractCompanion_9kb9Us168 \w \h \t \* MERGEFORMAT </w:instrText>
      </w:r>
      <w:r w:rsidRPr="00D5341B">
        <w:fldChar w:fldCharType="separate"/>
      </w:r>
      <w:r w:rsidR="00302D39">
        <w:t>1.4.5(b)</w:t>
      </w:r>
      <w:r w:rsidRPr="00D5341B">
        <w:fldChar w:fldCharType="end"/>
      </w:r>
      <w:bookmarkEnd w:id="1039"/>
      <w:r w:rsidRPr="00D5341B">
        <w:t xml:space="preserve"> within 10 Working Days of issue of the relevant credit note, it shall repay such sum together with interest </w:t>
      </w:r>
      <w:r w:rsidRPr="00772237">
        <w:t>on such sum at the applicable rate under the Late Payment of Commercial Debts (Interest) Act 1998, accruing on a daily basis from (and including) the due date up to (but excluding) the date of actual payment, whether before or after judgment.</w:t>
      </w:r>
    </w:p>
    <w:p w14:paraId="7786AD81" w14:textId="34D02751" w:rsidR="00F67E9E" w:rsidRPr="00D5341B" w:rsidRDefault="00F67E9E" w:rsidP="00F67E9E">
      <w:pPr>
        <w:pStyle w:val="Numbered11"/>
      </w:pPr>
      <w:r w:rsidRPr="00772237">
        <w:t xml:space="preserve">Following the issue of a Certificate of Costs in accordance with </w:t>
      </w:r>
      <w:bookmarkStart w:id="1040" w:name="_9kMHG5YVtCIB7CJGDR7ckryCE2ro450x6FA9GP7"/>
      <w:r w:rsidRPr="00772237">
        <w:t xml:space="preserve">Paragraph </w:t>
      </w:r>
      <w:r w:rsidRPr="00772237">
        <w:fldChar w:fldCharType="begin"/>
      </w:r>
      <w:r w:rsidRPr="00772237">
        <w:instrText xml:space="preserve"> REF _Ref_ContractCompanion_9kb9Us16B \n \h \t \* MERGEFORMAT </w:instrText>
      </w:r>
      <w:r w:rsidRPr="00772237">
        <w:fldChar w:fldCharType="separate"/>
      </w:r>
      <w:r w:rsidR="00302D39">
        <w:t>1.2</w:t>
      </w:r>
      <w:r w:rsidRPr="00772237">
        <w:fldChar w:fldCharType="end"/>
      </w:r>
      <w:bookmarkEnd w:id="1040"/>
      <w:r w:rsidRPr="00772237">
        <w:t xml:space="preserve">, </w:t>
      </w:r>
      <w:bookmarkStart w:id="1041" w:name="_9kMHG5YVtCIB7CMJFqiqr66p01lk25sxEKGNE4J"/>
      <w:r w:rsidRPr="00772237">
        <w:fldChar w:fldCharType="begin"/>
      </w:r>
      <w:r w:rsidRPr="00772237">
        <w:instrText xml:space="preserve"> REF _Ref_ContractCompanion_9kb9Us16E \w \h \t \* MERGEFORMAT </w:instrText>
      </w:r>
      <w:r w:rsidRPr="00772237">
        <w:fldChar w:fldCharType="separate"/>
      </w:r>
      <w:r w:rsidR="00302D39">
        <w:t>1.4.2(c)</w:t>
      </w:r>
      <w:r w:rsidRPr="00772237">
        <w:fldChar w:fldCharType="end"/>
      </w:r>
      <w:bookmarkEnd w:id="1041"/>
      <w:r w:rsidRPr="00772237">
        <w:t xml:space="preserve"> or </w:t>
      </w:r>
      <w:bookmarkStart w:id="1042" w:name="_9kMHG5YVtCIB7DGCGriqr66p01lk25sxEKGNE4J"/>
      <w:r w:rsidRPr="00772237">
        <w:fldChar w:fldCharType="begin"/>
      </w:r>
      <w:r w:rsidRPr="00772237">
        <w:instrText xml:space="preserve"> REF _Ref_ContractCompanion_9kb9Us178 \w \h \t \* MERGEFORMAT </w:instrText>
      </w:r>
      <w:r w:rsidRPr="00772237">
        <w:fldChar w:fldCharType="separate"/>
      </w:r>
      <w:r w:rsidR="00302D39">
        <w:t>1.4.5(c)</w:t>
      </w:r>
      <w:r w:rsidRPr="00772237">
        <w:fldChar w:fldCharType="end"/>
      </w:r>
      <w:bookmarkEnd w:id="1042"/>
      <w:r w:rsidRPr="00772237">
        <w:t>, the Supplier shall not be entitled to invoice the Authority for any additional Charges relating to the Milestone or</w:t>
      </w:r>
      <w:r w:rsidRPr="00D5341B">
        <w:t xml:space="preserve"> Milestone Group (as applicable) save as provided in </w:t>
      </w:r>
      <w:bookmarkStart w:id="1043" w:name="_9kMHG5YVtCIB7DJFJhUN7lsq45xy0GI5sQAOMgC"/>
      <w:r w:rsidRPr="00D5341B">
        <w:t xml:space="preserve">Paragraph </w:t>
      </w:r>
      <w:r w:rsidRPr="00D5341B">
        <w:fldChar w:fldCharType="begin"/>
      </w:r>
      <w:r w:rsidRPr="00D5341B">
        <w:instrText xml:space="preserve"> REF _Ref_ContractCompanion_9kb9Us17B \n \h \t \* MERGEFORMAT </w:instrText>
      </w:r>
      <w:r w:rsidRPr="00D5341B">
        <w:fldChar w:fldCharType="separate"/>
      </w:r>
      <w:r w:rsidR="00302D39">
        <w:t>1.7</w:t>
      </w:r>
      <w:r w:rsidRPr="00D5341B">
        <w:fldChar w:fldCharType="end"/>
      </w:r>
      <w:bookmarkEnd w:id="1043"/>
      <w:r w:rsidRPr="00D5341B">
        <w:t>.</w:t>
      </w:r>
    </w:p>
    <w:p w14:paraId="04BB2B5F" w14:textId="77777777" w:rsidR="00F67E9E" w:rsidRPr="00D5341B" w:rsidRDefault="00F67E9E" w:rsidP="00F67E9E">
      <w:pPr>
        <w:pStyle w:val="StdBodyText1"/>
        <w:rPr>
          <w:rFonts w:cs="Arial"/>
        </w:rPr>
      </w:pPr>
      <w:r w:rsidRPr="00D5341B">
        <w:rPr>
          <w:rStyle w:val="StdBodyTextBoldChar"/>
          <w:rFonts w:cs="Arial"/>
        </w:rPr>
        <w:t>Release of Milestone</w:t>
      </w:r>
      <w:r w:rsidRPr="00D5341B">
        <w:rPr>
          <w:rFonts w:cs="Arial"/>
        </w:rPr>
        <w:t xml:space="preserve"> </w:t>
      </w:r>
      <w:r w:rsidRPr="00D5341B">
        <w:rPr>
          <w:rStyle w:val="StdBodyTextBoldChar"/>
          <w:rFonts w:cs="Arial"/>
        </w:rPr>
        <w:t>Retentions</w:t>
      </w:r>
    </w:p>
    <w:p w14:paraId="1B7B9895" w14:textId="65FE4330" w:rsidR="00F67E9E" w:rsidRPr="00D5341B" w:rsidRDefault="00F67E9E" w:rsidP="00F67E9E">
      <w:pPr>
        <w:pStyle w:val="Numbered11"/>
      </w:pPr>
      <w:bookmarkStart w:id="1044" w:name="_Ref_ContractCompanion_9kb9Us17B"/>
      <w:bookmarkStart w:id="1045" w:name="_9kR3WTrAG95BHDHfSL5jqo23vwyEG3qO8MKeA7F"/>
      <w:r w:rsidRPr="00D5341B">
        <w:t xml:space="preserve">On Achievement of a CPP Milestone relating to the Supplier Solution or one or more Services (as the case may be), the Supplier shall be entitled to invoice the Authority for an amount equal to all Milestone Retentions that relate to Milestones identified in the </w:t>
      </w:r>
      <w:r>
        <w:rPr>
          <w:i/>
        </w:rPr>
        <w:t>“</w:t>
      </w:r>
      <w:r w:rsidRPr="00D5341B">
        <w:rPr>
          <w:i/>
        </w:rPr>
        <w:t>CPP Milestone Charge Number</w:t>
      </w:r>
      <w:r>
        <w:rPr>
          <w:i/>
        </w:rPr>
        <w:t>”</w:t>
      </w:r>
      <w:r w:rsidRPr="00D5341B">
        <w:t xml:space="preserve"> column of </w:t>
      </w:r>
      <w:bookmarkStart w:id="1046" w:name="_9kMNM5YVt4EE7FKhKZlp6"/>
      <w:r w:rsidRPr="00D5341B">
        <w:t>Table 1</w:t>
      </w:r>
      <w:bookmarkEnd w:id="1046"/>
      <w:r w:rsidRPr="00D5341B">
        <w:t xml:space="preserve"> (or, in relation to Milestone Retentions in respect of Optional Services, </w:t>
      </w:r>
      <w:bookmarkStart w:id="1047" w:name="_9kMJI5YVt4EE7FMjKZlp9"/>
      <w:r w:rsidRPr="00D5341B">
        <w:t>Table 4</w:t>
      </w:r>
      <w:bookmarkEnd w:id="1047"/>
      <w:r w:rsidRPr="00D5341B">
        <w:t xml:space="preserve">) of Annex </w:t>
      </w:r>
      <w:r w:rsidRPr="00D5341B">
        <w:fldChar w:fldCharType="begin"/>
      </w:r>
      <w:r w:rsidRPr="00D5341B">
        <w:instrText xml:space="preserve"> REF ANNEX2_SCHEDULE15 \h </w:instrText>
      </w:r>
      <w:r>
        <w:instrText xml:space="preserve"> \* MERGEFORMAT </w:instrText>
      </w:r>
      <w:r w:rsidRPr="00D5341B">
        <w:fldChar w:fldCharType="separate"/>
      </w:r>
      <w:r w:rsidR="00302D39" w:rsidRPr="00BA56A1">
        <w:t>2</w:t>
      </w:r>
      <w:r w:rsidRPr="00D5341B">
        <w:fldChar w:fldCharType="end"/>
      </w:r>
      <w:r w:rsidRPr="00D5341B">
        <w:t xml:space="preserve"> and corresponding CPP Milestone Charge Number identified in </w:t>
      </w:r>
      <w:bookmarkStart w:id="1048" w:name="_9kMML5YVt4EE7FLiKZlp7"/>
      <w:r w:rsidRPr="00D5341B">
        <w:t>Table 2</w:t>
      </w:r>
      <w:bookmarkEnd w:id="1048"/>
      <w:r w:rsidRPr="00D5341B">
        <w:t xml:space="preserve"> of </w:t>
      </w:r>
      <w:bookmarkStart w:id="1049" w:name="_9kR3WTr2CC5ELOCwozQ"/>
      <w:r w:rsidRPr="00D5341B">
        <w:t xml:space="preserve">Annex </w:t>
      </w:r>
      <w:r w:rsidRPr="00D5341B">
        <w:fldChar w:fldCharType="begin"/>
      </w:r>
      <w:r w:rsidRPr="00D5341B">
        <w:instrText xml:space="preserve"> REF ANNEX4_SCHEDULE14 \h </w:instrText>
      </w:r>
      <w:r>
        <w:instrText xml:space="preserve"> \* MERGEFORMAT </w:instrText>
      </w:r>
      <w:r w:rsidRPr="00D5341B">
        <w:fldChar w:fldCharType="separate"/>
      </w:r>
      <w:r w:rsidR="00302D39" w:rsidRPr="00D5341B">
        <w:t>4</w:t>
      </w:r>
      <w:r w:rsidRPr="00D5341B">
        <w:fldChar w:fldCharType="end"/>
      </w:r>
      <w:bookmarkEnd w:id="1049"/>
      <w:r w:rsidRPr="00D5341B">
        <w:t xml:space="preserve"> of </w:t>
      </w:r>
      <w:r>
        <w:rPr>
          <w:rFonts w:cs="Arial"/>
        </w:rPr>
        <w:fldChar w:fldCharType="begin"/>
      </w:r>
      <w:r>
        <w:rPr>
          <w:rFonts w:cs="Arial"/>
        </w:rPr>
        <w:instrText xml:space="preserve"> REF Schedule14 \h </w:instrText>
      </w:r>
      <w:r>
        <w:rPr>
          <w:rFonts w:cs="Arial"/>
        </w:rPr>
      </w:r>
      <w:r>
        <w:rPr>
          <w:rFonts w:cs="Arial"/>
        </w:rPr>
        <w:fldChar w:fldCharType="separate"/>
      </w:r>
      <w:r w:rsidR="00302D39" w:rsidRPr="005D0525">
        <w:t>Schedule</w:t>
      </w:r>
      <w:r w:rsidR="00302D39">
        <w:t> </w:t>
      </w:r>
      <w:r w:rsidR="00302D39" w:rsidRPr="005D0525">
        <w:t>14</w:t>
      </w:r>
      <w:r>
        <w:rPr>
          <w:rFonts w:cs="Arial"/>
        </w:rPr>
        <w:fldChar w:fldCharType="end"/>
      </w:r>
      <w:r>
        <w:rPr>
          <w:rFonts w:cs="Arial"/>
        </w:rPr>
        <w:t xml:space="preserve"> (</w:t>
      </w:r>
      <w:r w:rsidRPr="00B91437">
        <w:rPr>
          <w:rFonts w:cs="Arial"/>
          <w:i/>
          <w:iCs/>
        </w:rPr>
        <w:fldChar w:fldCharType="begin"/>
      </w:r>
      <w:r w:rsidRPr="00B91437">
        <w:rPr>
          <w:rFonts w:cs="Arial"/>
          <w:i/>
          <w:iCs/>
        </w:rPr>
        <w:instrText xml:space="preserve"> REF Schedule14Heading \h </w:instrText>
      </w:r>
      <w:r>
        <w:rPr>
          <w:rFonts w:cs="Arial"/>
          <w:i/>
          <w:iCs/>
        </w:rPr>
        <w:instrText xml:space="preserve"> \* MERGEFORMAT </w:instrText>
      </w:r>
      <w:r w:rsidRPr="00B91437">
        <w:rPr>
          <w:rFonts w:cs="Arial"/>
          <w:i/>
          <w:iCs/>
        </w:rPr>
      </w:r>
      <w:r w:rsidRPr="00B91437">
        <w:rPr>
          <w:rFonts w:cs="Arial"/>
          <w:i/>
          <w:iCs/>
        </w:rPr>
        <w:fldChar w:fldCharType="separate"/>
      </w:r>
      <w:r w:rsidR="00302D39" w:rsidRPr="00302D39">
        <w:rPr>
          <w:i/>
          <w:iCs/>
        </w:rPr>
        <w:t>Testing Procedures</w:t>
      </w:r>
      <w:r w:rsidRPr="00B91437">
        <w:rPr>
          <w:rFonts w:cs="Arial"/>
          <w:i/>
          <w:iCs/>
        </w:rPr>
        <w:fldChar w:fldCharType="end"/>
      </w:r>
      <w:r>
        <w:rPr>
          <w:rFonts w:cs="Arial"/>
        </w:rPr>
        <w:t>)</w:t>
      </w:r>
      <w:r w:rsidRPr="00D5341B">
        <w:t xml:space="preserve"> as being payable in respect of that CPP Milestone and have not been paid before such CPP Milestone.</w:t>
      </w:r>
      <w:bookmarkEnd w:id="1044"/>
      <w:bookmarkEnd w:id="1045"/>
    </w:p>
    <w:p w14:paraId="6F994107" w14:textId="77777777" w:rsidR="00F67E9E" w:rsidRPr="00D5341B" w:rsidRDefault="00F67E9E" w:rsidP="00F67E9E">
      <w:pPr>
        <w:pStyle w:val="Numbered1"/>
      </w:pPr>
      <w:bookmarkStart w:id="1050" w:name="_9kR3WTrAG969FfJfifw5qDOJiPyIdhsCCUM4126"/>
      <w:r w:rsidRPr="00D5341B">
        <w:t>Service Charges</w:t>
      </w:r>
      <w:bookmarkEnd w:id="1050"/>
    </w:p>
    <w:p w14:paraId="65608C85" w14:textId="04E38BD8" w:rsidR="00F67E9E" w:rsidRPr="00772237" w:rsidRDefault="00F67E9E" w:rsidP="00F67E9E">
      <w:pPr>
        <w:pStyle w:val="Numbered11"/>
      </w:pPr>
      <w:r w:rsidRPr="00D5341B">
        <w:t xml:space="preserve">Each Service to which a Service Charge relates shall commence on the Achievement of the Milestone set out against that Service in the </w:t>
      </w:r>
      <w:r>
        <w:t>“</w:t>
      </w:r>
      <w:r w:rsidRPr="00D5341B">
        <w:rPr>
          <w:i/>
        </w:rPr>
        <w:t>Service</w:t>
      </w:r>
      <w:r w:rsidRPr="00D5341B">
        <w:t xml:space="preserve"> </w:t>
      </w:r>
      <w:r w:rsidRPr="00D5341B">
        <w:rPr>
          <w:i/>
        </w:rPr>
        <w:t>Charge Trigger Event</w:t>
      </w:r>
      <w:r>
        <w:t>”</w:t>
      </w:r>
      <w:r w:rsidRPr="00D5341B">
        <w:t xml:space="preserve"> column of </w:t>
      </w:r>
      <w:bookmarkStart w:id="1051" w:name="_9kMNM5YVt4EE7FLiKZlp7"/>
      <w:r w:rsidRPr="00D5341B">
        <w:t>Table 2</w:t>
      </w:r>
      <w:bookmarkEnd w:id="1051"/>
      <w:r w:rsidRPr="00D5341B">
        <w:t xml:space="preserve"> of </w:t>
      </w:r>
      <w:r w:rsidRPr="00772237">
        <w:t xml:space="preserve">Annex </w:t>
      </w:r>
      <w:r w:rsidRPr="00772237">
        <w:fldChar w:fldCharType="begin"/>
      </w:r>
      <w:r w:rsidRPr="00772237">
        <w:instrText xml:space="preserve"> REF ANNEX2_SCHEDULE15 \h  \* MERGEFORMAT </w:instrText>
      </w:r>
      <w:r w:rsidRPr="00772237">
        <w:fldChar w:fldCharType="separate"/>
      </w:r>
      <w:r w:rsidR="00302D39" w:rsidRPr="00BA56A1">
        <w:t>2</w:t>
      </w:r>
      <w:r w:rsidRPr="00772237">
        <w:fldChar w:fldCharType="end"/>
      </w:r>
      <w:r w:rsidRPr="00772237">
        <w:t>.</w:t>
      </w:r>
    </w:p>
    <w:p w14:paraId="43FBC892" w14:textId="57E0CB4B" w:rsidR="00F67E9E" w:rsidRPr="00772237" w:rsidRDefault="00F67E9E" w:rsidP="00F67E9E">
      <w:pPr>
        <w:pStyle w:val="Numbered11"/>
      </w:pPr>
      <w:r w:rsidRPr="00772237">
        <w:t xml:space="preserve">Service Charges shall be invoiced by the Supplier for each Service Period in arrear in accordance with the requirements of </w:t>
      </w:r>
      <w:r w:rsidRPr="00772237">
        <w:fldChar w:fldCharType="begin"/>
      </w:r>
      <w:r w:rsidRPr="00772237">
        <w:instrText xml:space="preserve"> REF Sch15PartE \h  \* MERGEFORMAT </w:instrText>
      </w:r>
      <w:r w:rsidRPr="00772237">
        <w:fldChar w:fldCharType="separate"/>
      </w:r>
      <w:r w:rsidR="00302D39" w:rsidRPr="00D5341B">
        <w:t>P</w:t>
      </w:r>
      <w:r w:rsidR="00302D39">
        <w:t>art</w:t>
      </w:r>
      <w:r w:rsidR="00302D39" w:rsidRPr="00D5341B">
        <w:t xml:space="preserve"> E</w:t>
      </w:r>
      <w:r w:rsidRPr="00772237">
        <w:fldChar w:fldCharType="end"/>
      </w:r>
      <w:r w:rsidRPr="00772237">
        <w:t>.</w:t>
      </w:r>
    </w:p>
    <w:p w14:paraId="2D4A655A" w14:textId="77777777" w:rsidR="00F67E9E" w:rsidRPr="00D5341B" w:rsidRDefault="00F67E9E" w:rsidP="00F67E9E">
      <w:pPr>
        <w:pStyle w:val="Numbered11"/>
      </w:pPr>
      <w:r w:rsidRPr="00772237">
        <w:t>If a Service Charge is to be calculated by reference to a Fixed Price pricing mechanism and the relevant</w:t>
      </w:r>
      <w:r w:rsidRPr="00D5341B">
        <w:t xml:space="preserve"> Service:</w:t>
      </w:r>
    </w:p>
    <w:p w14:paraId="1A1EFF25" w14:textId="77777777" w:rsidR="00F67E9E" w:rsidRPr="00D5341B" w:rsidRDefault="00F67E9E" w:rsidP="00F67E9E">
      <w:pPr>
        <w:pStyle w:val="Numbered111"/>
        <w:tabs>
          <w:tab w:val="clear" w:pos="1800"/>
          <w:tab w:val="num" w:pos="2160"/>
        </w:tabs>
      </w:pPr>
      <w:r w:rsidRPr="00D5341B">
        <w:t>commences on a day other than the first day of a month; and/or</w:t>
      </w:r>
    </w:p>
    <w:p w14:paraId="322EF2ED" w14:textId="77777777" w:rsidR="00F67E9E" w:rsidRPr="00D5341B" w:rsidRDefault="00F67E9E" w:rsidP="00F67E9E">
      <w:pPr>
        <w:pStyle w:val="Numbered111"/>
        <w:tabs>
          <w:tab w:val="clear" w:pos="1800"/>
          <w:tab w:val="num" w:pos="2160"/>
        </w:tabs>
      </w:pPr>
      <w:r w:rsidRPr="00D5341B">
        <w:t xml:space="preserve">ends on a day other than the last day of a month, </w:t>
      </w:r>
    </w:p>
    <w:p w14:paraId="4E2A48AF" w14:textId="77777777" w:rsidR="00F67E9E" w:rsidRPr="00D5341B" w:rsidRDefault="00F67E9E" w:rsidP="00F67E9E">
      <w:pPr>
        <w:pStyle w:val="StdBodyText2"/>
        <w:rPr>
          <w:rFonts w:cs="Arial"/>
        </w:rPr>
      </w:pPr>
      <w:r w:rsidRPr="00D5341B">
        <w:rPr>
          <w:rFonts w:cs="Arial"/>
        </w:rPr>
        <w:t xml:space="preserve">the Service Charge for the relevant Service Period shall be pro-rated based on the proportion which the number of days in the month for which the Service is provided bears to the total number of days in that month. </w:t>
      </w:r>
    </w:p>
    <w:p w14:paraId="47335291" w14:textId="77777777" w:rsidR="00F67E9E" w:rsidRPr="00D5341B" w:rsidRDefault="00F67E9E" w:rsidP="00F67E9E">
      <w:pPr>
        <w:pStyle w:val="Numbered11"/>
      </w:pPr>
      <w:r w:rsidRPr="00D5341B">
        <w:t>Any Service Credits that accrue during a Service Period shall be deducted from the Service Charges payable for the next following Service Period.</w:t>
      </w:r>
      <w:r>
        <w:t xml:space="preserve"> </w:t>
      </w:r>
      <w:r w:rsidRPr="00D5341B">
        <w:t xml:space="preserve">An invoice for a Service Charge shall not be </w:t>
      </w:r>
      <w:r w:rsidRPr="00772237">
        <w:t>payable</w:t>
      </w:r>
      <w:r w:rsidRPr="00D5341B">
        <w:t xml:space="preserve"> by the Authority unless all adjustments (including Service Credits) relating to the Service Charges for the immediately preceding Service Period have been agreed.</w:t>
      </w:r>
    </w:p>
    <w:p w14:paraId="16F35B39" w14:textId="77777777" w:rsidR="00F67E9E" w:rsidRPr="00D5341B" w:rsidRDefault="00F67E9E" w:rsidP="00F67E9E">
      <w:pPr>
        <w:pStyle w:val="Numbered1"/>
      </w:pPr>
      <w:bookmarkStart w:id="1052" w:name="_9kR3WTrAG969GgJfifw5qDOJiPyIdipJPJFL87Q"/>
      <w:r w:rsidRPr="00772237">
        <w:t>Optional</w:t>
      </w:r>
      <w:r w:rsidRPr="00D5341B">
        <w:t xml:space="preserve"> Services</w:t>
      </w:r>
      <w:bookmarkEnd w:id="1052"/>
    </w:p>
    <w:p w14:paraId="10FF4552" w14:textId="77777777" w:rsidR="00F67E9E" w:rsidRPr="00D5341B" w:rsidRDefault="00F67E9E" w:rsidP="00F67E9E">
      <w:pPr>
        <w:pStyle w:val="Numbered11"/>
      </w:pPr>
      <w:r w:rsidRPr="00D5341B">
        <w:t xml:space="preserve">If the Authority gives notice pursuant to </w:t>
      </w:r>
      <w:bookmarkStart w:id="1053" w:name="_9kMHG5YVtCIB7EIHGCMHCeY3l2HaPAJJJLKlmNK"/>
      <w:r w:rsidRPr="00772237">
        <w:t>Clause</w:t>
      </w:r>
      <w:r w:rsidRPr="00D5341B">
        <w:t xml:space="preserve"> 5.10</w:t>
      </w:r>
      <w:bookmarkEnd w:id="1053"/>
      <w:r w:rsidRPr="00D5341B">
        <w:t xml:space="preserve"> (</w:t>
      </w:r>
      <w:r w:rsidRPr="00D5341B">
        <w:rPr>
          <w:i/>
        </w:rPr>
        <w:t>Optional Services</w:t>
      </w:r>
      <w:r w:rsidRPr="00D5341B">
        <w:t>) that it requires the Supplier to provide any or all of the Optional Services:</w:t>
      </w:r>
    </w:p>
    <w:p w14:paraId="2C130354" w14:textId="1AB3962F" w:rsidR="00F67E9E" w:rsidRPr="00772237" w:rsidRDefault="00F67E9E" w:rsidP="00F67E9E">
      <w:pPr>
        <w:pStyle w:val="Numbered111"/>
      </w:pPr>
      <w:r w:rsidRPr="00D5341B">
        <w:t xml:space="preserve">the Milestone Payments (if any) for the relevant Optional Services shall be calculated by reference to the pricing mechanism for those Optional Services set out in </w:t>
      </w:r>
      <w:bookmarkStart w:id="1054" w:name="_9kMJI5YVt4EE7EHfKZlp8"/>
      <w:r w:rsidRPr="00D5341B">
        <w:t>Table 3</w:t>
      </w:r>
      <w:bookmarkEnd w:id="1054"/>
      <w:r w:rsidRPr="00D5341B">
        <w:t xml:space="preserve"> </w:t>
      </w:r>
      <w:r w:rsidRPr="00772237">
        <w:t xml:space="preserve">of Annex </w:t>
      </w:r>
      <w:r w:rsidRPr="00772237">
        <w:fldChar w:fldCharType="begin"/>
      </w:r>
      <w:r w:rsidRPr="00772237">
        <w:instrText xml:space="preserve"> REF ANNEX2_SCHEDULE15 \h  \* MERGEFORMAT </w:instrText>
      </w:r>
      <w:r w:rsidRPr="00772237">
        <w:fldChar w:fldCharType="separate"/>
      </w:r>
      <w:r w:rsidR="00302D39" w:rsidRPr="00BA56A1">
        <w:t>2</w:t>
      </w:r>
      <w:r w:rsidRPr="00772237">
        <w:fldChar w:fldCharType="end"/>
      </w:r>
      <w:r w:rsidRPr="00772237">
        <w:t>; and</w:t>
      </w:r>
    </w:p>
    <w:p w14:paraId="70736B41" w14:textId="433FAA22" w:rsidR="00F67E9E" w:rsidRPr="00D5341B" w:rsidRDefault="00F67E9E" w:rsidP="00F67E9E">
      <w:pPr>
        <w:pStyle w:val="Numbered111"/>
      </w:pPr>
      <w:r w:rsidRPr="00772237">
        <w:t>the Service Char</w:t>
      </w:r>
      <w:r w:rsidRPr="00D5341B">
        <w:t xml:space="preserve">ges for the relevant Optional Services shall be calculated by reference to the pricing mechanism for those Optional Services set out in </w:t>
      </w:r>
      <w:bookmarkStart w:id="1055" w:name="_9kMKJ5YVt4EE7FMjKZlp9"/>
      <w:r w:rsidRPr="00D5341B">
        <w:t>Table 4</w:t>
      </w:r>
      <w:bookmarkEnd w:id="1055"/>
      <w:r w:rsidRPr="00D5341B">
        <w:t xml:space="preserve"> of Annex </w:t>
      </w:r>
      <w:r w:rsidRPr="00D5341B">
        <w:fldChar w:fldCharType="begin"/>
      </w:r>
      <w:r w:rsidRPr="00D5341B">
        <w:instrText xml:space="preserve"> REF ANNEX2_SCHEDULE15 \h </w:instrText>
      </w:r>
      <w:r>
        <w:instrText xml:space="preserve"> \* MERGEFORMAT </w:instrText>
      </w:r>
      <w:r w:rsidRPr="00D5341B">
        <w:fldChar w:fldCharType="separate"/>
      </w:r>
      <w:r w:rsidR="00302D39" w:rsidRPr="00BA56A1">
        <w:t>2</w:t>
      </w:r>
      <w:r w:rsidRPr="00D5341B">
        <w:fldChar w:fldCharType="end"/>
      </w:r>
      <w:r w:rsidRPr="00D5341B">
        <w:t>,</w:t>
      </w:r>
    </w:p>
    <w:p w14:paraId="16E6903B" w14:textId="352D029F" w:rsidR="00F67E9E" w:rsidRDefault="00F67E9E" w:rsidP="00F67E9E">
      <w:pPr>
        <w:pStyle w:val="StdBodyText1"/>
        <w:rPr>
          <w:rFonts w:cs="Arial"/>
        </w:rPr>
      </w:pPr>
      <w:r w:rsidRPr="00D5341B">
        <w:rPr>
          <w:rFonts w:cs="Arial"/>
        </w:rPr>
        <w:t xml:space="preserve">in both cases using the relevant rates and prices specified in Annex </w:t>
      </w:r>
      <w:r w:rsidRPr="00D5341B">
        <w:rPr>
          <w:rFonts w:cs="Arial"/>
        </w:rPr>
        <w:fldChar w:fldCharType="begin"/>
      </w:r>
      <w:r w:rsidRPr="00D5341B">
        <w:rPr>
          <w:rFonts w:cs="Arial"/>
        </w:rPr>
        <w:instrText xml:space="preserve"> REF ANNEX1_SCHEDULE15 \h </w:instrText>
      </w:r>
      <w:r>
        <w:rPr>
          <w:rFonts w:cs="Arial"/>
        </w:rPr>
        <w:instrText xml:space="preserve"> \* MERGEFORMAT </w:instrText>
      </w:r>
      <w:r w:rsidRPr="00D5341B">
        <w:rPr>
          <w:rFonts w:cs="Arial"/>
        </w:rPr>
      </w:r>
      <w:r w:rsidRPr="00D5341B">
        <w:rPr>
          <w:rFonts w:cs="Arial"/>
        </w:rPr>
        <w:fldChar w:fldCharType="separate"/>
      </w:r>
      <w:r w:rsidR="00302D39" w:rsidRPr="00302D39">
        <w:rPr>
          <w:rFonts w:cs="Arial"/>
        </w:rPr>
        <w:t>1</w:t>
      </w:r>
      <w:r w:rsidRPr="00D5341B">
        <w:rPr>
          <w:rFonts w:cs="Arial"/>
        </w:rPr>
        <w:fldChar w:fldCharType="end"/>
      </w:r>
      <w:r w:rsidRPr="00D5341B">
        <w:rPr>
          <w:rFonts w:cs="Arial"/>
        </w:rPr>
        <w:t>.</w:t>
      </w:r>
    </w:p>
    <w:p w14:paraId="2637E567" w14:textId="77777777" w:rsidR="00F67E9E" w:rsidRDefault="00F67E9E" w:rsidP="00F67E9E"/>
    <w:p w14:paraId="49685C36" w14:textId="77777777" w:rsidR="00F67E9E" w:rsidRDefault="00F67E9E" w:rsidP="00F67E9E">
      <w:pPr>
        <w:pStyle w:val="Heading2"/>
        <w:pageBreakBefore/>
      </w:pPr>
      <w:bookmarkStart w:id="1056" w:name="Sch15PartC"/>
      <w:bookmarkStart w:id="1057" w:name="_Ref_ContractCompanion_9kb9Ur9JC"/>
      <w:bookmarkStart w:id="1058" w:name="_Ref_ContractCompanion_9kb9Ur9JE"/>
      <w:bookmarkStart w:id="1059" w:name="_Ref_ContractCompanion_9kb9Ur9JG"/>
      <w:bookmarkStart w:id="1060" w:name="_Ref_ContractCompanion_9kb9Ur9JI"/>
      <w:bookmarkStart w:id="1061" w:name="_Toc141711940"/>
      <w:r w:rsidRPr="000038E2">
        <w:t>Part </w:t>
      </w:r>
      <w:r w:rsidRPr="00D5341B">
        <w:t>C</w:t>
      </w:r>
      <w:bookmarkEnd w:id="1056"/>
      <w:r w:rsidRPr="00D5341B">
        <w:t>: Adjustments To The Charges And Risk Register</w:t>
      </w:r>
      <w:bookmarkEnd w:id="1057"/>
      <w:bookmarkEnd w:id="1058"/>
      <w:bookmarkEnd w:id="1059"/>
      <w:bookmarkEnd w:id="1060"/>
      <w:bookmarkEnd w:id="1061"/>
    </w:p>
    <w:p w14:paraId="43A65B82" w14:textId="77777777" w:rsidR="00F67E9E" w:rsidRPr="00D5341B" w:rsidRDefault="00F67E9E" w:rsidP="00F67E9E">
      <w:pPr>
        <w:pStyle w:val="Numbered1"/>
        <w:numPr>
          <w:ilvl w:val="0"/>
          <w:numId w:val="170"/>
        </w:numPr>
      </w:pPr>
      <w:bookmarkStart w:id="1062" w:name="_Ref44509569"/>
      <w:r w:rsidRPr="00FD31FC">
        <w:t>Delay</w:t>
      </w:r>
      <w:r w:rsidRPr="00D5341B">
        <w:t xml:space="preserve"> Payments</w:t>
      </w:r>
      <w:bookmarkEnd w:id="1062"/>
    </w:p>
    <w:p w14:paraId="60116689" w14:textId="77777777" w:rsidR="00F67E9E" w:rsidRPr="00D5341B" w:rsidRDefault="00F67E9E" w:rsidP="00F67E9E">
      <w:pPr>
        <w:pStyle w:val="Numbered11"/>
      </w:pPr>
      <w:r w:rsidRPr="00D5341B">
        <w:t>If a Key Milestone has not been Achieved on or before the relevant Milestone Date, the Supplier shall pay a Delay Payment to the Authority in respect of that Key Milestone. Delay Payments shall accrue:</w:t>
      </w:r>
    </w:p>
    <w:p w14:paraId="16978D95" w14:textId="745FC691" w:rsidR="00F67E9E" w:rsidRPr="00D5341B" w:rsidRDefault="00F67E9E" w:rsidP="00F67E9E">
      <w:pPr>
        <w:pStyle w:val="Numbered111"/>
        <w:tabs>
          <w:tab w:val="clear" w:pos="1800"/>
          <w:tab w:val="num" w:pos="2160"/>
        </w:tabs>
      </w:pPr>
      <w:bookmarkStart w:id="1063" w:name="_Ref_ContractCompanion_9kb9Ur049"/>
      <w:r w:rsidRPr="00D5341B">
        <w:t xml:space="preserve">at the daily rate (the </w:t>
      </w:r>
      <w:r>
        <w:t>“</w:t>
      </w:r>
      <w:r w:rsidRPr="00D5341B">
        <w:rPr>
          <w:rStyle w:val="StdBodyTextBoldChar"/>
          <w:rFonts w:eastAsia="Arial" w:cs="Arial"/>
        </w:rPr>
        <w:t>Delay Payment Rate</w:t>
      </w:r>
      <w:r>
        <w:t>”</w:t>
      </w:r>
      <w:r w:rsidRPr="00D5341B">
        <w:t xml:space="preserve">) determined in accordance with </w:t>
      </w:r>
      <w:bookmarkStart w:id="1064" w:name="_9kMHG5YVtCIB7ENIDjWlwxhHGvs6wT9M35LHHP8"/>
      <w:r w:rsidRPr="00D5341B">
        <w:t xml:space="preserve">Paragraph </w:t>
      </w:r>
      <w:r w:rsidRPr="00D5341B">
        <w:fldChar w:fldCharType="begin"/>
      </w:r>
      <w:r w:rsidRPr="00D5341B">
        <w:instrText xml:space="preserve"> REF _Ref_ContractCompanion_9kb9Us18F \n \h \t \* MERGEFORMAT </w:instrText>
      </w:r>
      <w:r w:rsidRPr="00D5341B">
        <w:fldChar w:fldCharType="separate"/>
      </w:r>
      <w:r w:rsidR="00302D39">
        <w:t>1.2</w:t>
      </w:r>
      <w:r w:rsidRPr="00D5341B">
        <w:fldChar w:fldCharType="end"/>
      </w:r>
      <w:bookmarkEnd w:id="1064"/>
      <w:r w:rsidRPr="00D5341B">
        <w:t>;</w:t>
      </w:r>
      <w:bookmarkEnd w:id="1063"/>
    </w:p>
    <w:p w14:paraId="4F1F519D" w14:textId="77777777" w:rsidR="00F67E9E" w:rsidRPr="00D5341B" w:rsidRDefault="00F67E9E" w:rsidP="00F67E9E">
      <w:pPr>
        <w:pStyle w:val="Numbered111"/>
        <w:tabs>
          <w:tab w:val="clear" w:pos="1800"/>
          <w:tab w:val="num" w:pos="2160"/>
        </w:tabs>
      </w:pPr>
      <w:r w:rsidRPr="00D5341B">
        <w:t>from (but excluding) the relevant Milestone Date to (and including) the later of:</w:t>
      </w:r>
    </w:p>
    <w:p w14:paraId="7F8ACE9F" w14:textId="77777777" w:rsidR="00F67E9E" w:rsidRPr="00D5341B" w:rsidRDefault="00F67E9E" w:rsidP="00F67E9E">
      <w:pPr>
        <w:pStyle w:val="Numbered111a"/>
        <w:tabs>
          <w:tab w:val="clear" w:pos="2520"/>
          <w:tab w:val="num" w:pos="2880"/>
        </w:tabs>
      </w:pPr>
      <w:r w:rsidRPr="00D5341B">
        <w:t xml:space="preserve">the date on which the Key Milestone is Achieved; and </w:t>
      </w:r>
    </w:p>
    <w:p w14:paraId="0B259AC2" w14:textId="77777777" w:rsidR="00F67E9E" w:rsidRPr="00D5341B" w:rsidRDefault="00F67E9E" w:rsidP="00F67E9E">
      <w:pPr>
        <w:pStyle w:val="Numbered111a"/>
        <w:tabs>
          <w:tab w:val="clear" w:pos="2520"/>
          <w:tab w:val="num" w:pos="2880"/>
        </w:tabs>
      </w:pPr>
      <w:r w:rsidRPr="00D5341B">
        <w:t>the expiry of the Delay Deduction Period; and</w:t>
      </w:r>
    </w:p>
    <w:p w14:paraId="3CAEB4A8" w14:textId="77777777" w:rsidR="00F67E9E" w:rsidRPr="00D5341B" w:rsidRDefault="00F67E9E" w:rsidP="00F67E9E">
      <w:pPr>
        <w:pStyle w:val="Numbered111"/>
        <w:tabs>
          <w:tab w:val="clear" w:pos="1800"/>
          <w:tab w:val="num" w:pos="2160"/>
        </w:tabs>
      </w:pPr>
      <w:r w:rsidRPr="00D5341B">
        <w:t>on a daily basis, with any part day</w:t>
      </w:r>
      <w:r>
        <w:t>’</w:t>
      </w:r>
      <w:r w:rsidRPr="00D5341B">
        <w:t>s Delay counting as a day.</w:t>
      </w:r>
    </w:p>
    <w:p w14:paraId="15556301" w14:textId="77777777" w:rsidR="00F67E9E" w:rsidRPr="00D5341B" w:rsidRDefault="00F67E9E" w:rsidP="00F67E9E">
      <w:pPr>
        <w:pStyle w:val="Numbered11"/>
      </w:pPr>
      <w:bookmarkStart w:id="1065" w:name="_Ref_ContractCompanion_9kb9Us18F"/>
      <w:bookmarkStart w:id="1066" w:name="_9kR3WTrAG95CLGBhUjuvfFEtq4uR7K13JFFN6GH"/>
      <w:r w:rsidRPr="00D5341B">
        <w:t>Where a Delay Payment is payable in respect of a Key Milestone, the Delay Payment Rate shall be:</w:t>
      </w:r>
      <w:bookmarkEnd w:id="1065"/>
      <w:bookmarkEnd w:id="1066"/>
    </w:p>
    <w:p w14:paraId="07C3EC44" w14:textId="0535B065" w:rsidR="00F67E9E" w:rsidRPr="00FD31FC" w:rsidRDefault="00F67E9E" w:rsidP="00F67E9E">
      <w:pPr>
        <w:pStyle w:val="Numbered111"/>
      </w:pPr>
      <w:r w:rsidRPr="00D5341B">
        <w:t>where the Supplier has given the Authority less than 3 months</w:t>
      </w:r>
      <w:r>
        <w:t>’</w:t>
      </w:r>
      <w:r w:rsidRPr="00D5341B">
        <w:t xml:space="preserve"> prior notice of the Delay</w:t>
      </w:r>
      <w:r w:rsidRPr="00FD31FC">
        <w:t xml:space="preserve">, the amount set out in column 4 of </w:t>
      </w:r>
      <w:bookmarkStart w:id="1067" w:name="_9kMON5YVt4EE7FKhKZlp6"/>
      <w:r w:rsidRPr="00FD31FC">
        <w:t>Table 1</w:t>
      </w:r>
      <w:bookmarkEnd w:id="1067"/>
      <w:r w:rsidRPr="00FD31FC">
        <w:t xml:space="preserve"> of Annex </w:t>
      </w:r>
      <w:r w:rsidRPr="00FD31FC">
        <w:fldChar w:fldCharType="begin"/>
      </w:r>
      <w:r w:rsidRPr="00FD31FC">
        <w:instrText xml:space="preserve"> REF ANNEX2_SCHEDULE15 \h  \* MERGEFORMAT </w:instrText>
      </w:r>
      <w:r w:rsidRPr="00FD31FC">
        <w:fldChar w:fldCharType="separate"/>
      </w:r>
      <w:r w:rsidR="00302D39" w:rsidRPr="00BA56A1">
        <w:t>2</w:t>
      </w:r>
      <w:r w:rsidRPr="00FD31FC">
        <w:fldChar w:fldCharType="end"/>
      </w:r>
      <w:r w:rsidRPr="00FD31FC">
        <w:t xml:space="preserve"> for the Key Milestone;</w:t>
      </w:r>
    </w:p>
    <w:p w14:paraId="024BAA73" w14:textId="07F61E6D" w:rsidR="00F67E9E" w:rsidRPr="00FD31FC" w:rsidRDefault="00F67E9E" w:rsidP="00F67E9E">
      <w:pPr>
        <w:pStyle w:val="Numbered111"/>
      </w:pPr>
      <w:bookmarkStart w:id="1068" w:name="_9kR3WTrAG95DHBBmu1kvwz3pbmGC93x7Bv7E5LI"/>
      <w:bookmarkStart w:id="1069" w:name="_Ref_ContractCompanion_9kb9Us18I"/>
      <w:bookmarkStart w:id="1070" w:name="_Ref_ContractCompanion_9kb9Us19B"/>
      <w:r w:rsidRPr="00FD31FC">
        <w:t xml:space="preserve">where the Supplier has given the Authority between three (3) months’ and six (6) months’ prior notice of the Delay, the amount set out in column 5 of </w:t>
      </w:r>
      <w:bookmarkStart w:id="1071" w:name="_9kMPO5YVt4EE7FKhKZlp6"/>
      <w:r w:rsidRPr="00FD31FC">
        <w:t>Table 1</w:t>
      </w:r>
      <w:bookmarkEnd w:id="1071"/>
      <w:r w:rsidRPr="00FD31FC">
        <w:t xml:space="preserve"> of Annex </w:t>
      </w:r>
      <w:r w:rsidRPr="00FD31FC">
        <w:fldChar w:fldCharType="begin"/>
      </w:r>
      <w:r w:rsidRPr="00FD31FC">
        <w:instrText xml:space="preserve"> REF ANNEX2_SCHEDULE15 \h  \* MERGEFORMAT </w:instrText>
      </w:r>
      <w:r w:rsidRPr="00FD31FC">
        <w:fldChar w:fldCharType="separate"/>
      </w:r>
      <w:r w:rsidR="00302D39" w:rsidRPr="00BA56A1">
        <w:t>2</w:t>
      </w:r>
      <w:r w:rsidRPr="00FD31FC">
        <w:fldChar w:fldCharType="end"/>
      </w:r>
      <w:r w:rsidRPr="00FD31FC">
        <w:t xml:space="preserve"> for the Key Milestone;</w:t>
      </w:r>
      <w:bookmarkEnd w:id="1068"/>
      <w:r w:rsidRPr="00FD31FC">
        <w:t xml:space="preserve"> or</w:t>
      </w:r>
      <w:bookmarkEnd w:id="1069"/>
      <w:bookmarkEnd w:id="1070"/>
    </w:p>
    <w:p w14:paraId="2BD6A4AB" w14:textId="27315484" w:rsidR="00F67E9E" w:rsidRPr="00D5341B" w:rsidRDefault="00F67E9E" w:rsidP="00F67E9E">
      <w:pPr>
        <w:pStyle w:val="Numbered111"/>
      </w:pPr>
      <w:bookmarkStart w:id="1072" w:name="_Ref_ContractCompanion_9kb9Us19E"/>
      <w:bookmarkStart w:id="1073" w:name="_9kR3WTrAG95DKEBnv1kvwz3pbmGC93x7Bv7E5LI"/>
      <w:r w:rsidRPr="00FD31FC">
        <w:t>where the Supplier has given the Authority more than 6 months’ prior notice of the Delay</w:t>
      </w:r>
      <w:r w:rsidRPr="00D5341B">
        <w:t xml:space="preserve">, the amount set out in column 6 of </w:t>
      </w:r>
      <w:bookmarkStart w:id="1074" w:name="_9kMHzG6ZWu5FF8GLiLamq7"/>
      <w:r w:rsidRPr="00D5341B">
        <w:t>Table 1</w:t>
      </w:r>
      <w:bookmarkEnd w:id="1074"/>
      <w:r w:rsidRPr="00D5341B">
        <w:t xml:space="preserve"> of Annex </w:t>
      </w:r>
      <w:r w:rsidRPr="00D5341B">
        <w:fldChar w:fldCharType="begin"/>
      </w:r>
      <w:r w:rsidRPr="00D5341B">
        <w:instrText xml:space="preserve"> REF ANNEX2_SCHEDULE15 \h </w:instrText>
      </w:r>
      <w:r>
        <w:instrText xml:space="preserve"> \* MERGEFORMAT </w:instrText>
      </w:r>
      <w:r w:rsidRPr="00D5341B">
        <w:fldChar w:fldCharType="separate"/>
      </w:r>
      <w:r w:rsidR="00302D39" w:rsidRPr="00BA56A1">
        <w:t>2</w:t>
      </w:r>
      <w:r w:rsidRPr="00D5341B">
        <w:fldChar w:fldCharType="end"/>
      </w:r>
      <w:r w:rsidRPr="00D5341B">
        <w:t xml:space="preserve"> for the Key Milestone.</w:t>
      </w:r>
      <w:bookmarkEnd w:id="1072"/>
      <w:bookmarkEnd w:id="1073"/>
    </w:p>
    <w:p w14:paraId="6477F203" w14:textId="263861A2" w:rsidR="00F67E9E" w:rsidRPr="00D5341B" w:rsidRDefault="00F67E9E" w:rsidP="00F67E9E">
      <w:pPr>
        <w:pStyle w:val="Numbered11"/>
      </w:pPr>
      <w:bookmarkStart w:id="1075" w:name="_Ref_ContractCompanion_9kb9Ur199"/>
      <w:bookmarkStart w:id="1076" w:name="_Ref_ContractCompanion_9kb9Ur19B"/>
      <w:bookmarkStart w:id="1077" w:name="_Ref_ContractCompanion_9kb9Us1AB"/>
      <w:bookmarkStart w:id="1078" w:name="_9kR3WTrAG95EHACiUjuvy2oalFB82w6L99RFDA6"/>
      <w:r w:rsidRPr="00D5341B">
        <w:t xml:space="preserve">Where the Supplier serves a notice pursuant to </w:t>
      </w:r>
      <w:bookmarkStart w:id="1079" w:name="_9kMHG5YVtCIB7FJDDow3mxy15rdoIEB5z9Dx9G7"/>
      <w:r w:rsidRPr="00D5341B">
        <w:t xml:space="preserve">Paragraph </w:t>
      </w:r>
      <w:r w:rsidRPr="00D5341B">
        <w:fldChar w:fldCharType="begin"/>
      </w:r>
      <w:r w:rsidRPr="00D5341B">
        <w:instrText xml:space="preserve"> REF _Ref_ContractCompanion_9kb9Us18I \w \h \t \* MERGEFORMAT </w:instrText>
      </w:r>
      <w:r w:rsidRPr="00D5341B">
        <w:fldChar w:fldCharType="separate"/>
      </w:r>
      <w:r w:rsidR="00302D39">
        <w:t>1.2.2</w:t>
      </w:r>
      <w:r w:rsidRPr="00D5341B">
        <w:fldChar w:fldCharType="end"/>
      </w:r>
      <w:bookmarkEnd w:id="1079"/>
      <w:r w:rsidRPr="00D5341B">
        <w:t xml:space="preserve"> or </w:t>
      </w:r>
      <w:bookmarkStart w:id="1080" w:name="_9kMHG5YVtCIB7FMGDpx3mxy15rdoIEB5z9Dx9G7"/>
      <w:r w:rsidRPr="00D5341B">
        <w:fldChar w:fldCharType="begin"/>
      </w:r>
      <w:r w:rsidRPr="00D5341B">
        <w:instrText xml:space="preserve"> REF _Ref_ContractCompanion_9kb9Us19E \w \h \t \* MERGEFORMAT </w:instrText>
      </w:r>
      <w:r w:rsidRPr="00D5341B">
        <w:fldChar w:fldCharType="separate"/>
      </w:r>
      <w:r w:rsidR="00302D39">
        <w:t>1.2.3</w:t>
      </w:r>
      <w:r w:rsidRPr="00D5341B">
        <w:fldChar w:fldCharType="end"/>
      </w:r>
      <w:bookmarkEnd w:id="1080"/>
      <w:r w:rsidRPr="00D5341B">
        <w:t xml:space="preserve">, the Supplier shall, within 5 Working </w:t>
      </w:r>
      <w:r w:rsidRPr="00FD31FC">
        <w:t>Days</w:t>
      </w:r>
      <w:r w:rsidRPr="00D5341B">
        <w:t xml:space="preserve"> of the date the notice is served:</w:t>
      </w:r>
      <w:bookmarkEnd w:id="1075"/>
      <w:bookmarkEnd w:id="1076"/>
      <w:bookmarkEnd w:id="1077"/>
      <w:bookmarkEnd w:id="1078"/>
    </w:p>
    <w:p w14:paraId="688C4F47" w14:textId="37252580" w:rsidR="00F67E9E" w:rsidRPr="00D5341B" w:rsidRDefault="00F67E9E" w:rsidP="00F67E9E">
      <w:pPr>
        <w:pStyle w:val="Numbered111"/>
        <w:tabs>
          <w:tab w:val="clear" w:pos="1800"/>
          <w:tab w:val="num" w:pos="2160"/>
        </w:tabs>
      </w:pPr>
      <w:bookmarkStart w:id="1081" w:name="_Ref_ContractCompanion_9kb9Us1AE"/>
      <w:bookmarkStart w:id="1082" w:name="_9kR3WTrAG95EKDCmmnxH893pJUK84FADUKA547x"/>
      <w:r w:rsidRPr="00D5341B">
        <w:t xml:space="preserve">pay to the Authority in cleared funds on account of the relevant Delay Payment (but subject always to </w:t>
      </w:r>
      <w:bookmarkStart w:id="1083" w:name="_9kMHG5YVtCIB7FPJFPGBzo3CCCIFysw8KLF1VgW"/>
      <w:r w:rsidRPr="00D5341B">
        <w:t xml:space="preserve">Paragraph </w:t>
      </w:r>
      <w:bookmarkEnd w:id="1083"/>
      <w:r w:rsidRPr="00D5341B">
        <w:fldChar w:fldCharType="begin"/>
      </w:r>
      <w:r w:rsidRPr="00D5341B">
        <w:instrText xml:space="preserve"> REF _Ref_ContractCompanion_9kb9Us19H \w \h </w:instrText>
      </w:r>
      <w:r>
        <w:instrText xml:space="preserve"> \* MERGEFORMAT </w:instrText>
      </w:r>
      <w:r w:rsidRPr="00D5341B">
        <w:fldChar w:fldCharType="separate"/>
      </w:r>
      <w:r w:rsidR="00302D39">
        <w:t>1.5</w:t>
      </w:r>
      <w:r w:rsidRPr="00D5341B">
        <w:fldChar w:fldCharType="end"/>
      </w:r>
      <w:r w:rsidRPr="00D5341B">
        <w:t>) an amount equal to:</w:t>
      </w:r>
      <w:bookmarkEnd w:id="1081"/>
      <w:bookmarkEnd w:id="1082"/>
    </w:p>
    <w:p w14:paraId="69CA501A" w14:textId="0A6D9006" w:rsidR="00F67E9E" w:rsidRPr="00D5341B" w:rsidRDefault="00F67E9E" w:rsidP="00F67E9E">
      <w:pPr>
        <w:pStyle w:val="Numbered111a"/>
        <w:tabs>
          <w:tab w:val="clear" w:pos="2520"/>
          <w:tab w:val="num" w:pos="2880"/>
        </w:tabs>
      </w:pPr>
      <w:r w:rsidRPr="00D5341B">
        <w:t xml:space="preserve">in the case of a notice served pursuant to </w:t>
      </w:r>
      <w:bookmarkStart w:id="1084" w:name="_9kMIH5YVtCIB7FJDDow3mxy15rdoIEB5z9Dx9G7"/>
      <w:r w:rsidRPr="00D5341B">
        <w:t xml:space="preserve">Paragraph </w:t>
      </w:r>
      <w:r w:rsidRPr="00D5341B">
        <w:fldChar w:fldCharType="begin"/>
      </w:r>
      <w:r w:rsidRPr="00D5341B">
        <w:instrText xml:space="preserve"> REF _Ref_ContractCompanion_9kb9Us19B \w \h \t \* MERGEFORMAT </w:instrText>
      </w:r>
      <w:r w:rsidRPr="00D5341B">
        <w:fldChar w:fldCharType="separate"/>
      </w:r>
      <w:r w:rsidR="00302D39">
        <w:t>1.2.2</w:t>
      </w:r>
      <w:r w:rsidRPr="00D5341B">
        <w:fldChar w:fldCharType="end"/>
      </w:r>
      <w:bookmarkEnd w:id="1084"/>
      <w:r w:rsidRPr="00D5341B">
        <w:t xml:space="preserve">, five (5) </w:t>
      </w:r>
      <w:r w:rsidRPr="007F2FC9">
        <w:t>days</w:t>
      </w:r>
      <w:r w:rsidRPr="00D5341B">
        <w:t xml:space="preserve"> of Delay Payments; or </w:t>
      </w:r>
    </w:p>
    <w:p w14:paraId="116FD236" w14:textId="1CC2B470" w:rsidR="00F67E9E" w:rsidRPr="00D5341B" w:rsidRDefault="00F67E9E" w:rsidP="00F67E9E">
      <w:pPr>
        <w:pStyle w:val="Numbered111a"/>
        <w:tabs>
          <w:tab w:val="clear" w:pos="2520"/>
          <w:tab w:val="num" w:pos="2880"/>
        </w:tabs>
      </w:pPr>
      <w:r w:rsidRPr="00D5341B">
        <w:t xml:space="preserve">in the case of a notice served pursuant to </w:t>
      </w:r>
      <w:bookmarkStart w:id="1085" w:name="_9kMIH5YVtCIB7FMGDpx3mxy15rdoIEB5z9Dx9G7"/>
      <w:r w:rsidRPr="00D5341B">
        <w:t xml:space="preserve">Paragraph </w:t>
      </w:r>
      <w:bookmarkEnd w:id="1085"/>
      <w:r w:rsidRPr="00D5341B">
        <w:fldChar w:fldCharType="begin"/>
      </w:r>
      <w:r w:rsidRPr="00D5341B">
        <w:instrText xml:space="preserve"> REF _Ref_ContractCompanion_9kb9Us19E \w \h </w:instrText>
      </w:r>
      <w:r>
        <w:instrText xml:space="preserve"> \* MERGEFORMAT </w:instrText>
      </w:r>
      <w:r w:rsidRPr="00D5341B">
        <w:fldChar w:fldCharType="separate"/>
      </w:r>
      <w:r w:rsidR="00302D39">
        <w:t>1.2.3</w:t>
      </w:r>
      <w:r w:rsidRPr="00D5341B">
        <w:fldChar w:fldCharType="end"/>
      </w:r>
      <w:r w:rsidRPr="00D5341B">
        <w:t xml:space="preserve">, ten (10) days of Delay Payments in accordance with </w:t>
      </w:r>
      <w:bookmarkStart w:id="1086" w:name="_9kMIH5YVtCIB7FPJFPGBzo3CCCIFysw8KLF1VgW"/>
      <w:r w:rsidRPr="00D5341B">
        <w:t xml:space="preserve">Paragraph </w:t>
      </w:r>
      <w:r w:rsidRPr="00D5341B">
        <w:fldChar w:fldCharType="begin"/>
      </w:r>
      <w:r w:rsidRPr="00D5341B">
        <w:instrText xml:space="preserve"> REF _Ref_ContractCompanion_9kb9Us19H \n \h \t \* MERGEFORMAT </w:instrText>
      </w:r>
      <w:r w:rsidRPr="00D5341B">
        <w:fldChar w:fldCharType="separate"/>
      </w:r>
      <w:r w:rsidR="00302D39">
        <w:t>1.5</w:t>
      </w:r>
      <w:r w:rsidRPr="00D5341B">
        <w:fldChar w:fldCharType="end"/>
      </w:r>
      <w:bookmarkEnd w:id="1086"/>
      <w:r w:rsidRPr="00D5341B">
        <w:t>,</w:t>
      </w:r>
    </w:p>
    <w:p w14:paraId="09E01027" w14:textId="77777777" w:rsidR="00F67E9E" w:rsidRPr="00D5341B" w:rsidRDefault="00F67E9E" w:rsidP="00F67E9E">
      <w:pPr>
        <w:pStyle w:val="StdBodyText3"/>
        <w:ind w:left="1800"/>
        <w:rPr>
          <w:rFonts w:cs="Arial"/>
        </w:rPr>
      </w:pPr>
      <w:r w:rsidRPr="00D5341B">
        <w:rPr>
          <w:rFonts w:cs="Arial"/>
        </w:rPr>
        <w:t>in each case calculated at the applicable Delay Payment Rate; and</w:t>
      </w:r>
    </w:p>
    <w:p w14:paraId="73D853EC" w14:textId="77777777" w:rsidR="00F67E9E" w:rsidRPr="00D5341B" w:rsidRDefault="00F67E9E" w:rsidP="00F67E9E">
      <w:pPr>
        <w:pStyle w:val="Numbered111"/>
        <w:tabs>
          <w:tab w:val="clear" w:pos="1800"/>
          <w:tab w:val="num" w:pos="2160"/>
        </w:tabs>
      </w:pPr>
      <w:bookmarkStart w:id="1087" w:name="_Ref_ContractCompanion_9kb9Us1AH"/>
      <w:bookmarkStart w:id="1088" w:name="_9kR3WTrAG95ENGCngy9Czgfx0ns9FBI9ALMG2Wh"/>
      <w:r w:rsidRPr="00D5341B">
        <w:t>issue a credit note to the Authority in respect of the relevant amount.</w:t>
      </w:r>
      <w:bookmarkEnd w:id="1087"/>
      <w:bookmarkEnd w:id="1088"/>
    </w:p>
    <w:p w14:paraId="4D1887EF" w14:textId="77777777" w:rsidR="00F67E9E" w:rsidRPr="00FD31FC" w:rsidRDefault="00F67E9E" w:rsidP="00F67E9E">
      <w:pPr>
        <w:pStyle w:val="Numbered11"/>
      </w:pPr>
      <w:r w:rsidRPr="00FD31FC">
        <w:t>Failure to make payment within 10 Working Days of the Supplier’s notice shall invalidate the notice.</w:t>
      </w:r>
    </w:p>
    <w:p w14:paraId="4123B7C3" w14:textId="21196523" w:rsidR="00F67E9E" w:rsidRPr="00D5341B" w:rsidRDefault="00F67E9E" w:rsidP="00F67E9E">
      <w:pPr>
        <w:pStyle w:val="Numbered11"/>
      </w:pPr>
      <w:bookmarkStart w:id="1089" w:name="_Ref_ContractCompanion_9kb9Us19H"/>
      <w:bookmarkStart w:id="1090" w:name="_9kR3WTrAG95DNHDNE9xm1AAAGDwqu6IJDzTeUIE"/>
      <w:r w:rsidRPr="00FD31FC">
        <w:t xml:space="preserve">Any amounts paid to the Authority pursuant to </w:t>
      </w:r>
      <w:bookmarkStart w:id="1091" w:name="_9kMHG5YVtCIB7GJCEkWlwx04qcnHDA4y8NBBTHF"/>
      <w:r w:rsidRPr="00FD31FC">
        <w:t xml:space="preserve">Paragraph </w:t>
      </w:r>
      <w:bookmarkEnd w:id="1091"/>
      <w:r w:rsidRPr="00FD31FC">
        <w:fldChar w:fldCharType="begin"/>
      </w:r>
      <w:r w:rsidRPr="00FD31FC">
        <w:instrText xml:space="preserve"> REF _Ref_ContractCompanion_9kb9Ur199 \w \h  \* MERGEFORMAT </w:instrText>
      </w:r>
      <w:r w:rsidRPr="00FD31FC">
        <w:fldChar w:fldCharType="separate"/>
      </w:r>
      <w:r w:rsidR="00302D39">
        <w:t>1.3</w:t>
      </w:r>
      <w:r w:rsidRPr="00FD31FC">
        <w:fldChar w:fldCharType="end"/>
      </w:r>
      <w:r w:rsidRPr="00FD31FC">
        <w:t xml:space="preserve"> shall not be refundable to the Supplier</w:t>
      </w:r>
      <w:r w:rsidRPr="00D5341B">
        <w:t xml:space="preserve"> in any circumstances, including where a Delay as referred to in the Supplier</w:t>
      </w:r>
      <w:r>
        <w:t>’</w:t>
      </w:r>
      <w:r w:rsidRPr="00D5341B">
        <w:t>s notice:</w:t>
      </w:r>
      <w:bookmarkEnd w:id="1089"/>
      <w:bookmarkEnd w:id="1090"/>
    </w:p>
    <w:p w14:paraId="124D88D0" w14:textId="77777777" w:rsidR="00F67E9E" w:rsidRPr="00D5341B" w:rsidRDefault="00F67E9E" w:rsidP="00F67E9E">
      <w:pPr>
        <w:pStyle w:val="Numbered111"/>
        <w:tabs>
          <w:tab w:val="clear" w:pos="1800"/>
          <w:tab w:val="num" w:pos="2160"/>
        </w:tabs>
      </w:pPr>
      <w:r w:rsidRPr="00D5341B">
        <w:t>does not occur; or</w:t>
      </w:r>
    </w:p>
    <w:p w14:paraId="4386464A" w14:textId="14698C6D" w:rsidR="00F67E9E" w:rsidRPr="00D5341B" w:rsidRDefault="00F67E9E" w:rsidP="00F67E9E">
      <w:pPr>
        <w:pStyle w:val="Numbered111"/>
        <w:tabs>
          <w:tab w:val="clear" w:pos="1800"/>
          <w:tab w:val="num" w:pos="2160"/>
        </w:tabs>
      </w:pPr>
      <w:r w:rsidRPr="00D5341B">
        <w:t xml:space="preserve">does occur but continues for fewer days during the relevant Delay Deduction Period than the number of days referred to in </w:t>
      </w:r>
      <w:bookmarkStart w:id="1092" w:name="_9kMHG5YVtCIB7GMFEoopzJAB5rLWMA6HCFWMC76"/>
      <w:r w:rsidRPr="00D5341B">
        <w:t>Paragraph </w:t>
      </w:r>
      <w:r w:rsidRPr="00D5341B">
        <w:fldChar w:fldCharType="begin"/>
      </w:r>
      <w:r w:rsidRPr="00D5341B">
        <w:instrText xml:space="preserve"> REF _Ref_ContractCompanion_9kb9Us1AE \w \h \t \* MERGEFORMAT </w:instrText>
      </w:r>
      <w:r w:rsidRPr="00D5341B">
        <w:fldChar w:fldCharType="separate"/>
      </w:r>
      <w:r w:rsidR="00302D39">
        <w:t>1.3.1</w:t>
      </w:r>
      <w:r w:rsidRPr="00D5341B">
        <w:fldChar w:fldCharType="end"/>
      </w:r>
      <w:bookmarkEnd w:id="1092"/>
      <w:r w:rsidRPr="00D5341B">
        <w:t xml:space="preserve"> or </w:t>
      </w:r>
      <w:bookmarkStart w:id="1093" w:name="_9kMHG5YVtCIB7GPIEpi0BE1ihz2puBHDKBCNOI4"/>
      <w:r w:rsidRPr="00D5341B">
        <w:fldChar w:fldCharType="begin"/>
      </w:r>
      <w:r w:rsidRPr="00D5341B">
        <w:instrText xml:space="preserve"> REF _Ref_ContractCompanion_9kb9Us1AH \w \h \t \* MERGEFORMAT </w:instrText>
      </w:r>
      <w:r w:rsidRPr="00D5341B">
        <w:fldChar w:fldCharType="separate"/>
      </w:r>
      <w:r w:rsidR="00302D39">
        <w:t>1.3.2</w:t>
      </w:r>
      <w:r w:rsidRPr="00D5341B">
        <w:fldChar w:fldCharType="end"/>
      </w:r>
      <w:bookmarkEnd w:id="1093"/>
      <w:r w:rsidRPr="00D5341B">
        <w:t xml:space="preserve"> as the case may be.</w:t>
      </w:r>
    </w:p>
    <w:p w14:paraId="11435D9A" w14:textId="77777777" w:rsidR="00F67E9E" w:rsidRPr="00FD31FC" w:rsidRDefault="00F67E9E" w:rsidP="00F67E9E">
      <w:pPr>
        <w:pStyle w:val="Numbered11"/>
      </w:pPr>
      <w:r w:rsidRPr="00D5341B">
        <w:t xml:space="preserve">The Parties agree that Delay Payments calculated in accordance with the applicable Delay </w:t>
      </w:r>
      <w:r w:rsidRPr="00FD31FC">
        <w:t>Payment Rates are in each case a genuine pre-estimate of the Losses which the Authority will incur as a result of any failure by the Supplier to Achieve the relevant Key Milestone by the Milestone Date. Delay Payment Rates are stated exclusive of VAT.</w:t>
      </w:r>
    </w:p>
    <w:p w14:paraId="606A92D1" w14:textId="2AE7DEAE" w:rsidR="00F67E9E" w:rsidRPr="00D5341B" w:rsidRDefault="00F67E9E" w:rsidP="00F67E9E">
      <w:pPr>
        <w:pStyle w:val="Numbered11"/>
      </w:pPr>
      <w:r w:rsidRPr="00FD31FC">
        <w:t xml:space="preserve">The Delay Payment in respect of a Key Milestone (net of any payment made in respect of that Key Milestone pursuant to </w:t>
      </w:r>
      <w:bookmarkStart w:id="1094" w:name="_9kMIH5YVtCIB7GJCEkWlwx04qcnHDA4y8NBBTHF"/>
      <w:r w:rsidRPr="00FD31FC">
        <w:t xml:space="preserve">Paragraph </w:t>
      </w:r>
      <w:r w:rsidRPr="00FD31FC">
        <w:fldChar w:fldCharType="begin"/>
      </w:r>
      <w:r w:rsidRPr="00FD31FC">
        <w:instrText xml:space="preserve"> REF _Ref_ContractCompanion_9kb9Us1AB \n \h \t \* MERGEFORMAT </w:instrText>
      </w:r>
      <w:r w:rsidRPr="00FD31FC">
        <w:fldChar w:fldCharType="separate"/>
      </w:r>
      <w:r w:rsidR="00302D39">
        <w:t>1.3</w:t>
      </w:r>
      <w:r w:rsidRPr="00FD31FC">
        <w:fldChar w:fldCharType="end"/>
      </w:r>
      <w:bookmarkEnd w:id="1094"/>
      <w:r w:rsidRPr="00FD31FC">
        <w:t>) shall be shown as a deduction from the amount due from the Authority to the Supplier in the next invoice due to be issued by the Supplier after the date on which the relevant Key Milestone is Achieved or the expiry of the Delay Deduction Period (as the case may be). If the relevant Key Milestone is not Achieved by the expiry of the Delay Deduction Period and no invoice is due to be issued by the Supplier within 10 Working Days of expiry of the Delay Deduction Period, then the Supplier shall withi</w:t>
      </w:r>
      <w:r w:rsidRPr="00D5341B">
        <w:t>n 10 Working Days of expiry of the Delay Deduction Period:</w:t>
      </w:r>
    </w:p>
    <w:p w14:paraId="738F4CC4" w14:textId="3DD6081B" w:rsidR="00F67E9E" w:rsidRPr="00FD31FC" w:rsidRDefault="00F67E9E" w:rsidP="00F67E9E">
      <w:pPr>
        <w:pStyle w:val="Numbered111"/>
      </w:pPr>
      <w:r w:rsidRPr="00D5341B">
        <w:t xml:space="preserve">issue a credit note to the Authority in respect of the total amount of the Delay Payment in respect of </w:t>
      </w:r>
      <w:r w:rsidRPr="00FD31FC">
        <w:t xml:space="preserve">the Key Milestone (net of any payment made in respect of the Key Milestone pursuant to </w:t>
      </w:r>
      <w:bookmarkStart w:id="1095" w:name="_9kMJI5YVtCIB7GJCEkWlwx04qcnHDA4y8NBBTHF"/>
      <w:r w:rsidRPr="00FD31FC">
        <w:t xml:space="preserve">Paragraph </w:t>
      </w:r>
      <w:bookmarkEnd w:id="1095"/>
      <w:r w:rsidRPr="00FD31FC">
        <w:fldChar w:fldCharType="begin"/>
      </w:r>
      <w:r w:rsidRPr="00FD31FC">
        <w:instrText xml:space="preserve"> REF _Ref_ContractCompanion_9kb9Us1AB \n \h \t \* MERGEFORMAT </w:instrText>
      </w:r>
      <w:r w:rsidRPr="00FD31FC">
        <w:fldChar w:fldCharType="separate"/>
      </w:r>
      <w:r w:rsidR="00302D39">
        <w:t>1.3</w:t>
      </w:r>
      <w:r w:rsidRPr="00FD31FC">
        <w:fldChar w:fldCharType="end"/>
      </w:r>
      <w:r w:rsidRPr="00FD31FC">
        <w:t>); and</w:t>
      </w:r>
    </w:p>
    <w:p w14:paraId="5B80EA2C" w14:textId="77777777" w:rsidR="00F67E9E" w:rsidRPr="00D5341B" w:rsidRDefault="00F67E9E" w:rsidP="00F67E9E">
      <w:pPr>
        <w:pStyle w:val="Numbered111"/>
      </w:pPr>
      <w:r w:rsidRPr="00FD31FC">
        <w:t>pay to the Authority as a debt a sum equal to the total amount of the Delay Payment in respect of the Key Milestone together with interest on such amount at the applicable</w:t>
      </w:r>
      <w:r w:rsidRPr="00D5341B">
        <w:t xml:space="preserve"> rate under the Late Payment of Commercial Debts (Interest) Act 1998, accruing on a daily basis from (and including) the due date up to (but excluding) the date of actual payment, whether before or after judgment.</w:t>
      </w:r>
    </w:p>
    <w:p w14:paraId="7BA47445" w14:textId="77777777" w:rsidR="00F67E9E" w:rsidRPr="00D5341B" w:rsidRDefault="00F67E9E" w:rsidP="00F67E9E">
      <w:pPr>
        <w:pStyle w:val="Numbered1"/>
      </w:pPr>
      <w:bookmarkStart w:id="1096" w:name="_Ref_ContractCompanion_9kb9Us224"/>
      <w:bookmarkStart w:id="1097" w:name="_9kR3WTrAG966AdJfifw5qDOJiPyIeip5FS9BRXK"/>
      <w:r w:rsidRPr="00D5341B">
        <w:t xml:space="preserve">Payments </w:t>
      </w:r>
      <w:r>
        <w:t>f</w:t>
      </w:r>
      <w:r w:rsidRPr="00D5341B">
        <w:t xml:space="preserve">or Delays </w:t>
      </w:r>
      <w:r>
        <w:t>d</w:t>
      </w:r>
      <w:r w:rsidRPr="00D5341B">
        <w:t xml:space="preserve">ue </w:t>
      </w:r>
      <w:r>
        <w:t>t</w:t>
      </w:r>
      <w:r w:rsidRPr="00D5341B">
        <w:t>o Authority Cause</w:t>
      </w:r>
      <w:bookmarkEnd w:id="1096"/>
      <w:bookmarkEnd w:id="1097"/>
    </w:p>
    <w:p w14:paraId="6F0D768C" w14:textId="77777777" w:rsidR="00F67E9E" w:rsidRPr="00D5341B" w:rsidRDefault="00F67E9E" w:rsidP="00F67E9E">
      <w:pPr>
        <w:pStyle w:val="Numbered11"/>
      </w:pPr>
      <w:r w:rsidRPr="00D5341B">
        <w:t xml:space="preserve">If the Supplier is entitled in accordance with </w:t>
      </w:r>
      <w:bookmarkStart w:id="1098" w:name="_9kR3WTr2CC5EMRChrAv7IHzuvR"/>
      <w:r w:rsidRPr="00D5341B">
        <w:t>Clause 29.1(iii)(D)</w:t>
      </w:r>
      <w:bookmarkEnd w:id="1098"/>
      <w:r w:rsidRPr="00D5341B">
        <w:t xml:space="preserve"> (</w:t>
      </w:r>
      <w:r w:rsidRPr="00D5341B">
        <w:rPr>
          <w:i/>
        </w:rPr>
        <w:t>Authority</w:t>
      </w:r>
      <w:r w:rsidRPr="00D5341B">
        <w:t xml:space="preserve"> </w:t>
      </w:r>
      <w:r w:rsidRPr="00D5341B">
        <w:rPr>
          <w:i/>
        </w:rPr>
        <w:t>Cause</w:t>
      </w:r>
      <w:r w:rsidRPr="00D5341B">
        <w:t xml:space="preserve">) to compensation for failure to Achieve a Milestone by its Milestone Date, then, subject always to </w:t>
      </w:r>
      <w:bookmarkStart w:id="1099" w:name="_9kR3WTr2CC5ENSChrAv6L"/>
      <w:r w:rsidRPr="00FD31FC">
        <w:t>Clause</w:t>
      </w:r>
      <w:r w:rsidRPr="00D5341B">
        <w:t xml:space="preserve"> 23</w:t>
      </w:r>
      <w:bookmarkEnd w:id="1099"/>
      <w:r w:rsidRPr="00D5341B">
        <w:t xml:space="preserve"> (</w:t>
      </w:r>
      <w:r w:rsidRPr="00D5341B">
        <w:rPr>
          <w:i/>
        </w:rPr>
        <w:t>Limitations on Liability</w:t>
      </w:r>
      <w:r w:rsidRPr="00D5341B">
        <w:t>), such compensation shall be determined in accordance with the following principles:</w:t>
      </w:r>
    </w:p>
    <w:p w14:paraId="7289BFE2" w14:textId="77777777" w:rsidR="00F67E9E" w:rsidRPr="00D5341B" w:rsidRDefault="00F67E9E" w:rsidP="00F67E9E">
      <w:pPr>
        <w:pStyle w:val="Numbered111"/>
      </w:pPr>
      <w:r w:rsidRPr="00D5341B">
        <w:t>the compensation shall reimburse the Supplier for additional Costs incurred by the Supplier that the Supplier:</w:t>
      </w:r>
    </w:p>
    <w:p w14:paraId="29933804" w14:textId="77777777" w:rsidR="00F67E9E" w:rsidRPr="00FD31FC" w:rsidRDefault="00F67E9E" w:rsidP="00F67E9E">
      <w:pPr>
        <w:pStyle w:val="Numbered111a"/>
      </w:pPr>
      <w:r w:rsidRPr="00D5341B">
        <w:t xml:space="preserve">can demonstrate it has incurred solely and directly as a result of the </w:t>
      </w:r>
      <w:r w:rsidRPr="00FD31FC">
        <w:t xml:space="preserve">Authority Cause; and </w:t>
      </w:r>
    </w:p>
    <w:p w14:paraId="0FD8AF1F" w14:textId="77777777" w:rsidR="00F67E9E" w:rsidRPr="00D5341B" w:rsidRDefault="00F67E9E" w:rsidP="00F67E9E">
      <w:pPr>
        <w:pStyle w:val="Numbered111a"/>
      </w:pPr>
      <w:r w:rsidRPr="00FD31FC">
        <w:t>is, has been, or will be unable to mitigate, having complied with its obligations</w:t>
      </w:r>
      <w:r w:rsidRPr="00D5341B">
        <w:t xml:space="preserve"> under </w:t>
      </w:r>
      <w:bookmarkStart w:id="1100" w:name="_9kR3WTr2CC5FFJChrAv7IH"/>
      <w:r w:rsidRPr="00D5341B">
        <w:t>Clause 29.1</w:t>
      </w:r>
      <w:bookmarkEnd w:id="1100"/>
      <w:r w:rsidRPr="00D5341B">
        <w:t xml:space="preserve"> (</w:t>
      </w:r>
      <w:r w:rsidRPr="00D5341B">
        <w:rPr>
          <w:i/>
        </w:rPr>
        <w:t>Authority Cause</w:t>
      </w:r>
      <w:r w:rsidRPr="00D5341B">
        <w:t>)</w:t>
      </w:r>
    </w:p>
    <w:p w14:paraId="06C2FE8C" w14:textId="77777777" w:rsidR="00F67E9E" w:rsidRPr="00D5341B" w:rsidRDefault="00F67E9E" w:rsidP="00F67E9E">
      <w:pPr>
        <w:pStyle w:val="StdBodyText3"/>
        <w:ind w:left="1800"/>
        <w:rPr>
          <w:rFonts w:cs="Arial"/>
        </w:rPr>
      </w:pPr>
      <w:r w:rsidRPr="00D5341B">
        <w:rPr>
          <w:rFonts w:cs="Arial"/>
        </w:rPr>
        <w:t>together with an amount equal to the Anticipated Contract Life Profit Margin thereon;</w:t>
      </w:r>
    </w:p>
    <w:p w14:paraId="01AC02E0" w14:textId="77777777" w:rsidR="00F67E9E" w:rsidRPr="00D5341B" w:rsidRDefault="00F67E9E" w:rsidP="00F67E9E">
      <w:pPr>
        <w:pStyle w:val="Numbered111"/>
      </w:pPr>
      <w:r w:rsidRPr="00D5341B">
        <w:t xml:space="preserve">the compensation shall not operate so as to put the Supplier in a better position than it would </w:t>
      </w:r>
      <w:r w:rsidRPr="00FD31FC">
        <w:t>have</w:t>
      </w:r>
      <w:r w:rsidRPr="00D5341B">
        <w:t xml:space="preserve"> been in but for the occurrence of the Authority Cause;</w:t>
      </w:r>
    </w:p>
    <w:p w14:paraId="3EF6FFD3" w14:textId="77777777" w:rsidR="00F67E9E" w:rsidRPr="00D5341B" w:rsidRDefault="00F67E9E" w:rsidP="00F67E9E">
      <w:pPr>
        <w:pStyle w:val="Numbered111"/>
      </w:pPr>
      <w:r w:rsidRPr="00D5341B">
        <w:t xml:space="preserve">where the Milestone Payment for the relevant Milestone is to be calculated by </w:t>
      </w:r>
      <w:r w:rsidRPr="00FD31FC">
        <w:t>reference</w:t>
      </w:r>
      <w:r w:rsidRPr="00D5341B">
        <w:t xml:space="preserve"> to the Guaranteed Maximum Price with Target Cost pricing mechanism, then: </w:t>
      </w:r>
    </w:p>
    <w:p w14:paraId="24C12131" w14:textId="77777777" w:rsidR="00F67E9E" w:rsidRPr="00D5341B" w:rsidRDefault="00F67E9E" w:rsidP="00F67E9E">
      <w:pPr>
        <w:pStyle w:val="Numbered111a"/>
      </w:pPr>
      <w:bookmarkStart w:id="1101" w:name="_Ref_ContractCompanion_9kb9Us1AK"/>
      <w:bookmarkStart w:id="1102" w:name="_9kR3WTrAG9667ABmhzzlYPu1p3pi8urv6JPG2ih"/>
      <w:r w:rsidRPr="00D5341B">
        <w:t xml:space="preserve">the Target </w:t>
      </w:r>
      <w:r w:rsidRPr="00FD31FC">
        <w:t>Price</w:t>
      </w:r>
      <w:r w:rsidRPr="00D5341B">
        <w:t xml:space="preserve"> for the Milestone shall be increased in accordance with the following formula:</w:t>
      </w:r>
      <w:bookmarkEnd w:id="1101"/>
      <w:bookmarkEnd w:id="1102"/>
    </w:p>
    <w:p w14:paraId="20230F9F" w14:textId="77777777" w:rsidR="00F67E9E" w:rsidRPr="0048716D" w:rsidRDefault="00F67E9E" w:rsidP="00F67E9E">
      <w:pPr>
        <w:pStyle w:val="StdBodyText"/>
        <w:ind w:left="2520"/>
        <w:rPr>
          <w:rFonts w:cs="Arial"/>
        </w:rPr>
      </w:pPr>
      <m:oMathPara>
        <m:oMathParaPr>
          <m:jc m:val="left"/>
        </m:oMathParaPr>
        <m:oMath>
          <m:r>
            <w:rPr>
              <w:rFonts w:ascii="Cambria Math" w:hAnsi="Cambria Math" w:cs="Arial"/>
            </w:rPr>
            <m:t>NTP</m:t>
          </m:r>
          <m:r>
            <m:rPr>
              <m:sty m:val="p"/>
            </m:rPr>
            <w:rPr>
              <w:rFonts w:ascii="Cambria Math" w:hAnsi="Cambria Math" w:cs="Arial"/>
            </w:rPr>
            <m:t>=</m:t>
          </m:r>
          <m:r>
            <w:rPr>
              <w:rFonts w:ascii="Cambria Math" w:hAnsi="Cambria Math" w:cs="Arial"/>
            </w:rPr>
            <m:t>TP</m:t>
          </m:r>
          <m:r>
            <m:rPr>
              <m:sty m:val="p"/>
            </m:rPr>
            <w:rPr>
              <w:rFonts w:ascii="Cambria Math" w:hAnsi="Cambria Math" w:cs="Arial"/>
            </w:rPr>
            <m:t>+(</m:t>
          </m:r>
          <m:r>
            <w:rPr>
              <w:rFonts w:ascii="Cambria Math" w:hAnsi="Cambria Math" w:cs="Arial"/>
            </w:rPr>
            <m:t>AC</m:t>
          </m:r>
          <m:r>
            <m:rPr>
              <m:sty m:val="p"/>
            </m:rPr>
            <w:rPr>
              <w:rFonts w:ascii="Cambria Math" w:hAnsi="Cambria Math" w:cs="Arial"/>
            </w:rPr>
            <m:t>×1.</m:t>
          </m:r>
          <m:r>
            <w:rPr>
              <w:rFonts w:ascii="Cambria Math" w:hAnsi="Cambria Math" w:cs="Arial"/>
            </w:rPr>
            <m:t>x</m:t>
          </m:r>
          <m:r>
            <m:rPr>
              <m:sty m:val="p"/>
            </m:rPr>
            <w:rPr>
              <w:rFonts w:ascii="Cambria Math" w:hAnsi="Cambria Math" w:cs="Arial"/>
            </w:rPr>
            <m:t>)</m:t>
          </m:r>
        </m:oMath>
      </m:oMathPara>
    </w:p>
    <w:p w14:paraId="7C1B10CA" w14:textId="77777777" w:rsidR="00F67E9E" w:rsidRPr="00D5341B" w:rsidRDefault="00F67E9E" w:rsidP="00F67E9E">
      <w:pPr>
        <w:pStyle w:val="StdBodyText5"/>
        <w:ind w:left="2520"/>
        <w:rPr>
          <w:rFonts w:cs="Arial"/>
        </w:rPr>
      </w:pPr>
      <w:r w:rsidRPr="00D5341B">
        <w:rPr>
          <w:rFonts w:cs="Arial"/>
        </w:rPr>
        <w:t>where:</w:t>
      </w:r>
    </w:p>
    <w:tbl>
      <w:tblPr>
        <w:tblStyle w:val="MSAdefinitions"/>
        <w:tblW w:w="0" w:type="auto"/>
        <w:tblInd w:w="2438" w:type="dxa"/>
        <w:tblLook w:val="04A0" w:firstRow="1" w:lastRow="0" w:firstColumn="1" w:lastColumn="0" w:noHBand="0" w:noVBand="1"/>
      </w:tblPr>
      <w:tblGrid>
        <w:gridCol w:w="850"/>
        <w:gridCol w:w="6803"/>
      </w:tblGrid>
      <w:tr w:rsidR="00F67E9E" w:rsidRPr="00D5341B" w14:paraId="5337F3B2" w14:textId="77777777" w:rsidTr="007F74AA">
        <w:tc>
          <w:tcPr>
            <w:tcW w:w="850" w:type="dxa"/>
          </w:tcPr>
          <w:p w14:paraId="356000E8" w14:textId="77777777" w:rsidR="00F67E9E" w:rsidRPr="00D5341B" w:rsidRDefault="00F67E9E" w:rsidP="007F74AA">
            <w:pPr>
              <w:pStyle w:val="StdBodyText5"/>
              <w:ind w:left="0"/>
              <w:rPr>
                <w:rFonts w:cs="Arial"/>
              </w:rPr>
            </w:pPr>
            <w:r w:rsidRPr="00D5341B">
              <w:rPr>
                <w:rFonts w:cs="Arial"/>
              </w:rPr>
              <w:t>NTP</w:t>
            </w:r>
          </w:p>
        </w:tc>
        <w:tc>
          <w:tcPr>
            <w:tcW w:w="6803" w:type="dxa"/>
          </w:tcPr>
          <w:p w14:paraId="3F0F90EF" w14:textId="77777777" w:rsidR="00F67E9E" w:rsidRPr="00D5341B" w:rsidRDefault="00F67E9E" w:rsidP="007F74AA">
            <w:pPr>
              <w:pStyle w:val="StdBodyText5"/>
              <w:ind w:left="0"/>
              <w:rPr>
                <w:rFonts w:cs="Arial"/>
              </w:rPr>
            </w:pPr>
            <w:r w:rsidRPr="00D5341B">
              <w:rPr>
                <w:rFonts w:cs="Arial"/>
              </w:rPr>
              <w:t>is the revised Target Price for the relevant Milestone;</w:t>
            </w:r>
          </w:p>
        </w:tc>
      </w:tr>
      <w:tr w:rsidR="00F67E9E" w:rsidRPr="00D5341B" w14:paraId="117ECE11" w14:textId="77777777" w:rsidTr="007F74AA">
        <w:tc>
          <w:tcPr>
            <w:tcW w:w="850" w:type="dxa"/>
          </w:tcPr>
          <w:p w14:paraId="248CC975" w14:textId="77777777" w:rsidR="00F67E9E" w:rsidRPr="00D5341B" w:rsidRDefault="00F67E9E" w:rsidP="007F74AA">
            <w:pPr>
              <w:pStyle w:val="StdBodyText5"/>
              <w:ind w:left="0"/>
              <w:rPr>
                <w:rFonts w:cs="Arial"/>
              </w:rPr>
            </w:pPr>
            <w:r w:rsidRPr="00D5341B">
              <w:rPr>
                <w:rFonts w:cs="Arial"/>
              </w:rPr>
              <w:t>TP</w:t>
            </w:r>
          </w:p>
        </w:tc>
        <w:tc>
          <w:tcPr>
            <w:tcW w:w="6803" w:type="dxa"/>
          </w:tcPr>
          <w:p w14:paraId="48196685" w14:textId="77777777" w:rsidR="00F67E9E" w:rsidRPr="00D5341B" w:rsidRDefault="00F67E9E" w:rsidP="007F74AA">
            <w:pPr>
              <w:pStyle w:val="StdBodyText5"/>
              <w:ind w:left="0"/>
              <w:rPr>
                <w:rFonts w:cs="Arial"/>
              </w:rPr>
            </w:pPr>
            <w:r w:rsidRPr="00D5341B">
              <w:rPr>
                <w:rFonts w:cs="Arial"/>
              </w:rPr>
              <w:t>is the original Target Price for the relevant Milestone;</w:t>
            </w:r>
          </w:p>
        </w:tc>
      </w:tr>
      <w:tr w:rsidR="00F67E9E" w:rsidRPr="00D5341B" w14:paraId="43BCD47C" w14:textId="77777777" w:rsidTr="007F74AA">
        <w:tc>
          <w:tcPr>
            <w:tcW w:w="850" w:type="dxa"/>
          </w:tcPr>
          <w:p w14:paraId="48B41C2C" w14:textId="77777777" w:rsidR="00F67E9E" w:rsidRPr="00D5341B" w:rsidRDefault="00F67E9E" w:rsidP="007F74AA">
            <w:pPr>
              <w:pStyle w:val="StdBodyText5"/>
              <w:ind w:left="0"/>
              <w:rPr>
                <w:rFonts w:cs="Arial"/>
              </w:rPr>
            </w:pPr>
            <w:r w:rsidRPr="00D5341B">
              <w:rPr>
                <w:rFonts w:cs="Arial"/>
              </w:rPr>
              <w:t>AC</w:t>
            </w:r>
          </w:p>
        </w:tc>
        <w:tc>
          <w:tcPr>
            <w:tcW w:w="6803" w:type="dxa"/>
          </w:tcPr>
          <w:p w14:paraId="40A98E17" w14:textId="77777777" w:rsidR="00F67E9E" w:rsidRPr="00D5341B" w:rsidRDefault="00F67E9E" w:rsidP="007F74AA">
            <w:pPr>
              <w:pStyle w:val="StdBodyText5"/>
              <w:ind w:left="0"/>
              <w:rPr>
                <w:rFonts w:cs="Arial"/>
              </w:rPr>
            </w:pPr>
            <w:r w:rsidRPr="00D5341B">
              <w:rPr>
                <w:rFonts w:cs="Arial"/>
              </w:rPr>
              <w:t>is an amount equal to any additional Costs incurred by the Supplier in Achieving the Milestone to the extent that the Supplier can demonstrate that such additional Costs were caused by the Authority Cause; and</w:t>
            </w:r>
          </w:p>
        </w:tc>
      </w:tr>
      <w:tr w:rsidR="00F67E9E" w:rsidRPr="00D5341B" w14:paraId="253D6179" w14:textId="77777777" w:rsidTr="007F74AA">
        <w:tc>
          <w:tcPr>
            <w:tcW w:w="850" w:type="dxa"/>
          </w:tcPr>
          <w:p w14:paraId="3E306181" w14:textId="77777777" w:rsidR="00F67E9E" w:rsidRPr="00D5341B" w:rsidRDefault="00F67E9E" w:rsidP="007F74AA">
            <w:pPr>
              <w:pStyle w:val="StdBodyText5"/>
              <w:ind w:left="0"/>
              <w:rPr>
                <w:rFonts w:cs="Arial"/>
              </w:rPr>
            </w:pPr>
            <w:r w:rsidRPr="00D5341B">
              <w:rPr>
                <w:rFonts w:cs="Arial"/>
              </w:rPr>
              <w:t>x</w:t>
            </w:r>
          </w:p>
        </w:tc>
        <w:tc>
          <w:tcPr>
            <w:tcW w:w="6803" w:type="dxa"/>
          </w:tcPr>
          <w:p w14:paraId="61195E23" w14:textId="24A79EE3" w:rsidR="00F67E9E" w:rsidRPr="00D5341B" w:rsidRDefault="00F67E9E" w:rsidP="007F74AA">
            <w:pPr>
              <w:pStyle w:val="StdBodyText5"/>
              <w:ind w:left="0"/>
              <w:rPr>
                <w:rFonts w:cs="Arial"/>
              </w:rPr>
            </w:pPr>
            <w:r w:rsidRPr="00D5341B">
              <w:rPr>
                <w:rFonts w:cs="Arial"/>
              </w:rPr>
              <w:t xml:space="preserve">is the Supplier Profit Margin that the Supplier would have received in respect of the relevant Milestone on the basis of the unadjusted Target Cost and unadjusted Target Price for that Milestone, as set out in </w:t>
            </w:r>
            <w:bookmarkStart w:id="1103" w:name="_9kMLK5YVt4EE7FMjKZlp9"/>
            <w:r w:rsidRPr="00D5341B">
              <w:rPr>
                <w:rFonts w:cs="Arial"/>
              </w:rPr>
              <w:t>Table 4</w:t>
            </w:r>
            <w:bookmarkEnd w:id="1103"/>
            <w:r w:rsidRPr="00D5341B">
              <w:rPr>
                <w:rFonts w:cs="Arial"/>
              </w:rPr>
              <w:t xml:space="preserve"> of Annex </w:t>
            </w:r>
            <w:r w:rsidRPr="00D5341B">
              <w:rPr>
                <w:rFonts w:cs="Arial"/>
              </w:rPr>
              <w:fldChar w:fldCharType="begin"/>
            </w:r>
            <w:r w:rsidRPr="00D5341B">
              <w:rPr>
                <w:rFonts w:cs="Arial"/>
              </w:rPr>
              <w:instrText xml:space="preserve"> REF ANNEX1_SCHEDULE15 \h </w:instrText>
            </w:r>
            <w:r>
              <w:rPr>
                <w:rFonts w:cs="Arial"/>
              </w:rPr>
              <w:instrText xml:space="preserve"> \* MERGEFORMAT </w:instrText>
            </w:r>
            <w:r w:rsidRPr="00D5341B">
              <w:rPr>
                <w:rFonts w:cs="Arial"/>
              </w:rPr>
            </w:r>
            <w:r w:rsidRPr="00D5341B">
              <w:rPr>
                <w:rFonts w:cs="Arial"/>
              </w:rPr>
              <w:fldChar w:fldCharType="separate"/>
            </w:r>
            <w:r w:rsidR="00302D39" w:rsidRPr="00302D39">
              <w:rPr>
                <w:rFonts w:cs="Arial"/>
              </w:rPr>
              <w:t>1</w:t>
            </w:r>
            <w:r w:rsidRPr="00D5341B">
              <w:rPr>
                <w:rFonts w:cs="Arial"/>
              </w:rPr>
              <w:fldChar w:fldCharType="end"/>
            </w:r>
            <w:r w:rsidRPr="00D5341B">
              <w:rPr>
                <w:rFonts w:cs="Arial"/>
              </w:rPr>
              <w:t>, expressed as a decimal; and</w:t>
            </w:r>
          </w:p>
        </w:tc>
      </w:tr>
    </w:tbl>
    <w:p w14:paraId="3ED122FE" w14:textId="569C954E" w:rsidR="00F67E9E" w:rsidRPr="00D5341B" w:rsidRDefault="00F67E9E" w:rsidP="00F67E9E">
      <w:pPr>
        <w:pStyle w:val="Numbered111a"/>
      </w:pPr>
      <w:r w:rsidRPr="00D5341B">
        <w:t xml:space="preserve">the </w:t>
      </w:r>
      <w:r w:rsidRPr="00FD31FC">
        <w:t>Guaranteed</w:t>
      </w:r>
      <w:r w:rsidRPr="00D5341B">
        <w:t xml:space="preserve"> Maximum Price shall be increased to an amount equal to 110% of the Target Price as adjusted pursuant to </w:t>
      </w:r>
      <w:bookmarkStart w:id="1104" w:name="_9kMHG5YVtCIB889CDoj11naRw3r5rkAwtx8LRI4"/>
      <w:r w:rsidRPr="00D5341B">
        <w:t xml:space="preserve">Paragraph </w:t>
      </w:r>
      <w:bookmarkEnd w:id="1104"/>
      <w:r w:rsidRPr="00D5341B">
        <w:fldChar w:fldCharType="begin"/>
      </w:r>
      <w:r w:rsidRPr="00D5341B">
        <w:instrText xml:space="preserve"> REF _Ref_ContractCompanion_9kb9Us1AK \w \h </w:instrText>
      </w:r>
      <w:r>
        <w:instrText xml:space="preserve"> \* MERGEFORMAT </w:instrText>
      </w:r>
      <w:r w:rsidRPr="00D5341B">
        <w:fldChar w:fldCharType="separate"/>
      </w:r>
      <w:r w:rsidR="00302D39">
        <w:t>2.1.3(a)</w:t>
      </w:r>
      <w:r w:rsidRPr="00D5341B">
        <w:fldChar w:fldCharType="end"/>
      </w:r>
      <w:r w:rsidRPr="00D5341B">
        <w:t>;</w:t>
      </w:r>
    </w:p>
    <w:p w14:paraId="78384169" w14:textId="441839DB" w:rsidR="00F67E9E" w:rsidRPr="00FD31FC" w:rsidRDefault="00F67E9E" w:rsidP="00F67E9E">
      <w:pPr>
        <w:pStyle w:val="Numbered111"/>
      </w:pPr>
      <w:r w:rsidRPr="00D5341B">
        <w:t xml:space="preserve">where the relevant Milestone Payment is to be calculated based upon a Fixed Price or a Firm Price pricing mechanism, the compensation shall include such amount as is appropriate to maintain the Supplier Profit Margin set out in respect of the </w:t>
      </w:r>
      <w:r w:rsidRPr="00FD31FC">
        <w:t xml:space="preserve">relevant Milestone in </w:t>
      </w:r>
      <w:bookmarkStart w:id="1105" w:name="_9kMHG5YVt4EE7FOlKZlpA"/>
      <w:r w:rsidRPr="00FD31FC">
        <w:t>Table 5</w:t>
      </w:r>
      <w:bookmarkEnd w:id="1105"/>
      <w:r w:rsidRPr="00FD31FC">
        <w:t xml:space="preserve"> or </w:t>
      </w:r>
      <w:bookmarkStart w:id="1106" w:name="_9kMHG5YVt4EE7GGcKZlpB"/>
      <w:r w:rsidRPr="00FD31FC">
        <w:t>Table 6</w:t>
      </w:r>
      <w:bookmarkEnd w:id="1106"/>
      <w:r w:rsidRPr="00FD31FC">
        <w:t xml:space="preserve"> of Annex </w:t>
      </w:r>
      <w:r w:rsidRPr="00FD31FC">
        <w:fldChar w:fldCharType="begin"/>
      </w:r>
      <w:r w:rsidRPr="00FD31FC">
        <w:instrText xml:space="preserve"> REF ANNEX1_SCHEDULE15 \h  \* MERGEFORMAT </w:instrText>
      </w:r>
      <w:r w:rsidRPr="00FD31FC">
        <w:fldChar w:fldCharType="separate"/>
      </w:r>
      <w:r w:rsidR="00302D39" w:rsidRPr="00BA56A1">
        <w:t>1</w:t>
      </w:r>
      <w:r w:rsidRPr="00FD31FC">
        <w:fldChar w:fldCharType="end"/>
      </w:r>
      <w:r w:rsidRPr="00FD31FC">
        <w:t xml:space="preserve">; and </w:t>
      </w:r>
    </w:p>
    <w:p w14:paraId="213262DD" w14:textId="244B626A" w:rsidR="00F67E9E" w:rsidRPr="00D5341B" w:rsidRDefault="00F67E9E" w:rsidP="00F67E9E">
      <w:pPr>
        <w:pStyle w:val="Numbered111"/>
      </w:pPr>
      <w:r w:rsidRPr="00FD31FC">
        <w:t xml:space="preserve">where the Milestone Payment includes any Charges which are capped, then to the extent that the compensation agreed pursuant to this </w:t>
      </w:r>
      <w:bookmarkStart w:id="1107" w:name="_9kMHG5YVtCIB88CfLhkhy7sFQLkR0Kgkr7HUBDT"/>
      <w:r w:rsidRPr="00FD31FC">
        <w:t xml:space="preserve">Paragraph </w:t>
      </w:r>
      <w:r w:rsidRPr="00FD31FC">
        <w:fldChar w:fldCharType="begin"/>
      </w:r>
      <w:r w:rsidRPr="00FD31FC">
        <w:instrText xml:space="preserve"> REF _Ref_ContractCompanion_9kb9Us224 \w \n \h \t \* MERGEFORMAT </w:instrText>
      </w:r>
      <w:r w:rsidRPr="00FD31FC">
        <w:fldChar w:fldCharType="separate"/>
      </w:r>
      <w:r w:rsidR="00302D39">
        <w:t>2</w:t>
      </w:r>
      <w:r w:rsidRPr="00FD31FC">
        <w:fldChar w:fldCharType="end"/>
      </w:r>
      <w:bookmarkEnd w:id="1107"/>
      <w:r w:rsidRPr="00FD31FC">
        <w:t xml:space="preserve"> results in the Authority paying</w:t>
      </w:r>
      <w:r w:rsidRPr="00D5341B">
        <w:t xml:space="preserve"> additional Time and Materials Charges for resources or effort which the Supplier demonstrates are required as a result of the Authority Cause, such additional Time and Materials Charges shall be disregarded for the purposes of calculating the relevant cap.</w:t>
      </w:r>
    </w:p>
    <w:p w14:paraId="25078CBB" w14:textId="77777777" w:rsidR="00F67E9E" w:rsidRPr="00D5341B" w:rsidRDefault="00F67E9E" w:rsidP="00F67E9E">
      <w:pPr>
        <w:pStyle w:val="Numbered11"/>
      </w:pPr>
      <w:r w:rsidRPr="00D5341B">
        <w:t xml:space="preserve">The Supplier shall provide the Authority with any information the Authority may require in </w:t>
      </w:r>
      <w:r w:rsidRPr="00FD31FC">
        <w:t>order</w:t>
      </w:r>
      <w:r w:rsidRPr="00D5341B">
        <w:t xml:space="preserve"> to assess the validity of the Supplier</w:t>
      </w:r>
      <w:r>
        <w:t>’</w:t>
      </w:r>
      <w:r w:rsidRPr="00D5341B">
        <w:t>s claim to compensation.</w:t>
      </w:r>
    </w:p>
    <w:p w14:paraId="2DAEB09C" w14:textId="77777777" w:rsidR="00F67E9E" w:rsidRPr="00D5341B" w:rsidRDefault="00F67E9E" w:rsidP="00F67E9E">
      <w:pPr>
        <w:pStyle w:val="Numbered1"/>
      </w:pPr>
      <w:bookmarkStart w:id="1108" w:name="_Ref44570785"/>
      <w:r w:rsidRPr="00FD31FC">
        <w:t>Service</w:t>
      </w:r>
      <w:r w:rsidRPr="00D5341B">
        <w:t xml:space="preserve"> Credits</w:t>
      </w:r>
      <w:bookmarkEnd w:id="1108"/>
    </w:p>
    <w:p w14:paraId="21BA1FE0" w14:textId="7812D6E2" w:rsidR="00F67E9E" w:rsidRPr="00FD31FC" w:rsidRDefault="00F67E9E" w:rsidP="00F67E9E">
      <w:pPr>
        <w:pStyle w:val="Numbered11"/>
      </w:pPr>
      <w:r w:rsidRPr="00FD31FC">
        <w:t xml:space="preserve">Service Credits shall be calculated by reference to the number of Service Points accrued in any one Service Period pursuant to the provisions of </w:t>
      </w:r>
      <w:r w:rsidRPr="00FD31FC">
        <w:fldChar w:fldCharType="begin"/>
      </w:r>
      <w:r w:rsidRPr="00FD31FC">
        <w:instrText xml:space="preserve"> REF Schedule3 \h </w:instrText>
      </w:r>
      <w:r>
        <w:instrText xml:space="preserve"> \* MERGEFORMAT </w:instrText>
      </w:r>
      <w:r w:rsidRPr="00FD31FC">
        <w:fldChar w:fldCharType="separate"/>
      </w:r>
      <w:r w:rsidR="00302D39" w:rsidRPr="005D0525">
        <w:t>Schedule</w:t>
      </w:r>
      <w:r w:rsidR="00302D39">
        <w:t> </w:t>
      </w:r>
      <w:r w:rsidR="00302D39" w:rsidRPr="005D0525">
        <w:t>3</w:t>
      </w:r>
      <w:r w:rsidRPr="00FD31FC">
        <w:fldChar w:fldCharType="end"/>
      </w:r>
      <w:r w:rsidRPr="00FD31FC">
        <w:t xml:space="preserve"> (</w:t>
      </w:r>
      <w:r w:rsidRPr="00FD31FC">
        <w:fldChar w:fldCharType="begin"/>
      </w:r>
      <w:r w:rsidRPr="00FD31FC">
        <w:instrText xml:space="preserve"> REF Schedule3Heading \h  \* MERGEFORMAT </w:instrText>
      </w:r>
      <w:r w:rsidRPr="00FD31FC">
        <w:fldChar w:fldCharType="separate"/>
      </w:r>
      <w:r w:rsidR="00302D39" w:rsidRPr="00F97284">
        <w:t>Performance Levels</w:t>
      </w:r>
      <w:r w:rsidRPr="00FD31FC">
        <w:fldChar w:fldCharType="end"/>
      </w:r>
      <w:r w:rsidRPr="00FD31FC">
        <w:t>).</w:t>
      </w:r>
    </w:p>
    <w:p w14:paraId="7C65879F" w14:textId="77777777" w:rsidR="00F67E9E" w:rsidRPr="00D5341B" w:rsidRDefault="00F67E9E" w:rsidP="00F67E9E">
      <w:pPr>
        <w:pStyle w:val="Numbered11"/>
      </w:pPr>
      <w:r w:rsidRPr="00FD31FC">
        <w:t>For eac</w:t>
      </w:r>
      <w:r w:rsidRPr="00D5341B">
        <w:t>h Service Period:</w:t>
      </w:r>
    </w:p>
    <w:p w14:paraId="5E10E841" w14:textId="77777777" w:rsidR="00F67E9E" w:rsidRPr="00FD31FC" w:rsidRDefault="00F67E9E" w:rsidP="00F67E9E">
      <w:pPr>
        <w:pStyle w:val="Numbered111"/>
      </w:pPr>
      <w:r w:rsidRPr="00D5341B">
        <w:t xml:space="preserve">the Service </w:t>
      </w:r>
      <w:r w:rsidRPr="00FD31FC">
        <w:t xml:space="preserve">Points accrued shall be converted to a percentage deduction from the Service Charges for the relevant Service Period on the basis of one point equating to a </w:t>
      </w:r>
      <w:r w:rsidRPr="00B73DD6">
        <w:rPr>
          <w:b/>
          <w:highlight w:val="yellow"/>
        </w:rPr>
        <w:t>[insert</w:t>
      </w:r>
      <w:r w:rsidRPr="00FD31FC">
        <w:rPr>
          <w:rStyle w:val="StdBodyTextBoldChar"/>
          <w:rFonts w:eastAsia="Arial" w:cs="Arial"/>
          <w:b w:val="0"/>
          <w:highlight w:val="yellow"/>
          <w:lang w:eastAsia="en-US"/>
        </w:rPr>
        <w:t xml:space="preserve"> percentage</w:t>
      </w:r>
      <w:r w:rsidRPr="00FD31FC">
        <w:rPr>
          <w:highlight w:val="yellow"/>
        </w:rPr>
        <w:t>]</w:t>
      </w:r>
      <w:r w:rsidRPr="00FD31FC">
        <w:t>% deduction in the Service Charges; and</w:t>
      </w:r>
    </w:p>
    <w:p w14:paraId="49AAEB71" w14:textId="77777777" w:rsidR="00F67E9E" w:rsidRPr="00277440" w:rsidRDefault="00F67E9E" w:rsidP="00F67E9E">
      <w:pPr>
        <w:pStyle w:val="Numbered111"/>
      </w:pPr>
      <w:r w:rsidRPr="00FD31FC">
        <w:t>the total Service Credits applicable for the Service Period shall be calculated in accordance with the following</w:t>
      </w:r>
      <w:r w:rsidRPr="00277440">
        <w:t xml:space="preserve"> formula:</w:t>
      </w:r>
    </w:p>
    <w:p w14:paraId="3D17221F" w14:textId="77777777" w:rsidR="00F67E9E" w:rsidRPr="0048716D" w:rsidRDefault="00F67E9E" w:rsidP="00F67E9E">
      <w:pPr>
        <w:pStyle w:val="StdBodyText"/>
        <w:ind w:left="1800"/>
        <w:rPr>
          <w:rFonts w:cs="Arial"/>
        </w:rPr>
      </w:pPr>
      <m:oMathPara>
        <m:oMathParaPr>
          <m:jc m:val="left"/>
        </m:oMathParaPr>
        <m:oMath>
          <m:r>
            <w:rPr>
              <w:rFonts w:ascii="Cambria Math" w:hAnsi="Cambria Math" w:cs="Arial"/>
            </w:rPr>
            <m:t>SC</m:t>
          </m:r>
          <m:r>
            <m:rPr>
              <m:sty m:val="p"/>
            </m:rPr>
            <w:rPr>
              <w:rFonts w:ascii="Cambria Math" w:hAnsi="Cambria Math" w:cs="Arial"/>
            </w:rPr>
            <m:t>=</m:t>
          </m:r>
          <m:r>
            <w:rPr>
              <w:rFonts w:ascii="Cambria Math" w:hAnsi="Cambria Math" w:cs="Arial"/>
            </w:rPr>
            <m:t>TSP</m:t>
          </m:r>
          <m:r>
            <m:rPr>
              <m:sty m:val="p"/>
            </m:rPr>
            <w:rPr>
              <w:rFonts w:ascii="Cambria Math" w:hAnsi="Cambria Math" w:cs="Arial"/>
            </w:rPr>
            <m:t>×</m:t>
          </m:r>
          <m:r>
            <w:rPr>
              <w:rFonts w:ascii="Cambria Math" w:hAnsi="Cambria Math" w:cs="Arial"/>
            </w:rPr>
            <m:t>x</m:t>
          </m:r>
          <m:r>
            <m:rPr>
              <m:sty m:val="p"/>
            </m:rPr>
            <w:rPr>
              <w:rFonts w:ascii="Cambria Math" w:hAnsi="Cambria Math" w:cs="Arial"/>
            </w:rPr>
            <m:t>×</m:t>
          </m:r>
          <m:r>
            <w:rPr>
              <w:rFonts w:ascii="Cambria Math" w:hAnsi="Cambria Math" w:cs="Arial"/>
            </w:rPr>
            <m:t>AC</m:t>
          </m:r>
        </m:oMath>
      </m:oMathPara>
    </w:p>
    <w:p w14:paraId="3B84D175" w14:textId="77777777" w:rsidR="00F67E9E" w:rsidRPr="00277440" w:rsidRDefault="00F67E9E" w:rsidP="00F67E9E">
      <w:pPr>
        <w:pStyle w:val="StdBodyText4"/>
        <w:ind w:left="1800"/>
        <w:rPr>
          <w:rFonts w:cs="Arial"/>
        </w:rPr>
      </w:pPr>
      <w:r w:rsidRPr="00277440">
        <w:rPr>
          <w:rFonts w:cs="Arial"/>
        </w:rPr>
        <w:t>where:</w:t>
      </w:r>
    </w:p>
    <w:tbl>
      <w:tblPr>
        <w:tblStyle w:val="TableGrid"/>
        <w:tblW w:w="0" w:type="auto"/>
        <w:tblInd w:w="16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7654"/>
      </w:tblGrid>
      <w:tr w:rsidR="00F67E9E" w:rsidRPr="00277440" w14:paraId="2167D481" w14:textId="77777777" w:rsidTr="007F74AA">
        <w:tc>
          <w:tcPr>
            <w:tcW w:w="850" w:type="dxa"/>
          </w:tcPr>
          <w:p w14:paraId="7164594E" w14:textId="77777777" w:rsidR="00F67E9E" w:rsidRPr="00277440" w:rsidRDefault="00F67E9E" w:rsidP="007F74AA">
            <w:pPr>
              <w:pStyle w:val="StdBodyText4"/>
              <w:ind w:left="0"/>
              <w:rPr>
                <w:rFonts w:cs="Arial"/>
                <w:sz w:val="24"/>
              </w:rPr>
            </w:pPr>
            <w:r w:rsidRPr="00277440">
              <w:rPr>
                <w:rFonts w:cs="Arial"/>
                <w:sz w:val="24"/>
              </w:rPr>
              <w:t>SC</w:t>
            </w:r>
          </w:p>
        </w:tc>
        <w:tc>
          <w:tcPr>
            <w:tcW w:w="7654" w:type="dxa"/>
          </w:tcPr>
          <w:p w14:paraId="31C30371" w14:textId="77777777" w:rsidR="00F67E9E" w:rsidRPr="00277440" w:rsidRDefault="00F67E9E" w:rsidP="007F74AA">
            <w:pPr>
              <w:pStyle w:val="StdBodyText4"/>
              <w:ind w:left="0"/>
              <w:rPr>
                <w:rFonts w:cs="Arial"/>
                <w:sz w:val="24"/>
              </w:rPr>
            </w:pPr>
            <w:r w:rsidRPr="00277440">
              <w:rPr>
                <w:rFonts w:cs="Arial"/>
                <w:sz w:val="24"/>
              </w:rPr>
              <w:t>is the total Service Credits for the relevant Service Period;</w:t>
            </w:r>
          </w:p>
        </w:tc>
      </w:tr>
      <w:tr w:rsidR="00F67E9E" w:rsidRPr="00277440" w14:paraId="67BB1C3B" w14:textId="77777777" w:rsidTr="007F74AA">
        <w:tc>
          <w:tcPr>
            <w:tcW w:w="850" w:type="dxa"/>
          </w:tcPr>
          <w:p w14:paraId="27501329" w14:textId="77777777" w:rsidR="00F67E9E" w:rsidRPr="00277440" w:rsidRDefault="00F67E9E" w:rsidP="007F74AA">
            <w:pPr>
              <w:pStyle w:val="StdBodyText4"/>
              <w:ind w:left="0"/>
              <w:rPr>
                <w:rFonts w:cs="Arial"/>
                <w:sz w:val="24"/>
              </w:rPr>
            </w:pPr>
            <w:r w:rsidRPr="00277440">
              <w:rPr>
                <w:rFonts w:cs="Arial"/>
                <w:sz w:val="24"/>
              </w:rPr>
              <w:t>TSP</w:t>
            </w:r>
          </w:p>
        </w:tc>
        <w:tc>
          <w:tcPr>
            <w:tcW w:w="7654" w:type="dxa"/>
          </w:tcPr>
          <w:p w14:paraId="45FBCB82" w14:textId="77777777" w:rsidR="00F67E9E" w:rsidRPr="00277440" w:rsidRDefault="00F67E9E" w:rsidP="007F74AA">
            <w:pPr>
              <w:pStyle w:val="StdBodyText4"/>
              <w:ind w:left="0"/>
              <w:rPr>
                <w:rFonts w:cs="Arial"/>
                <w:sz w:val="24"/>
              </w:rPr>
            </w:pPr>
            <w:r w:rsidRPr="00277440">
              <w:rPr>
                <w:rFonts w:cs="Arial"/>
                <w:sz w:val="24"/>
              </w:rPr>
              <w:t>is the total Service Points that have accrued for the relevant Service Period;</w:t>
            </w:r>
          </w:p>
        </w:tc>
      </w:tr>
      <w:tr w:rsidR="00F67E9E" w:rsidRPr="00277440" w14:paraId="42030E09" w14:textId="77777777" w:rsidTr="007F74AA">
        <w:tc>
          <w:tcPr>
            <w:tcW w:w="850" w:type="dxa"/>
          </w:tcPr>
          <w:p w14:paraId="1036F3C1" w14:textId="77777777" w:rsidR="00F67E9E" w:rsidRPr="00277440" w:rsidRDefault="00F67E9E" w:rsidP="007F74AA">
            <w:pPr>
              <w:pStyle w:val="StdBodyText4"/>
              <w:ind w:left="0"/>
              <w:rPr>
                <w:rFonts w:cs="Arial"/>
                <w:sz w:val="24"/>
              </w:rPr>
            </w:pPr>
            <w:r w:rsidRPr="00277440">
              <w:rPr>
                <w:rFonts w:cs="Arial"/>
                <w:sz w:val="24"/>
              </w:rPr>
              <w:t>X</w:t>
            </w:r>
          </w:p>
        </w:tc>
        <w:tc>
          <w:tcPr>
            <w:tcW w:w="7654" w:type="dxa"/>
          </w:tcPr>
          <w:p w14:paraId="2731F14E" w14:textId="77777777" w:rsidR="00F67E9E" w:rsidRPr="00277440" w:rsidRDefault="00F67E9E" w:rsidP="007F74AA">
            <w:pPr>
              <w:pStyle w:val="StdBodyText4"/>
              <w:ind w:left="0"/>
              <w:rPr>
                <w:rFonts w:cs="Arial"/>
                <w:sz w:val="24"/>
              </w:rPr>
            </w:pPr>
            <w:r w:rsidRPr="00277440">
              <w:rPr>
                <w:rFonts w:cs="Arial"/>
                <w:sz w:val="24"/>
              </w:rPr>
              <w:t xml:space="preserve">is </w:t>
            </w:r>
            <w:r w:rsidRPr="00B73DD6">
              <w:rPr>
                <w:rFonts w:cs="Arial"/>
                <w:b/>
                <w:sz w:val="24"/>
                <w:highlight w:val="yellow"/>
              </w:rPr>
              <w:t>[insert</w:t>
            </w:r>
            <w:r w:rsidRPr="00277440">
              <w:rPr>
                <w:rFonts w:cs="Arial"/>
                <w:sz w:val="24"/>
                <w:highlight w:val="yellow"/>
              </w:rPr>
              <w:t xml:space="preserve"> percentage deduction per Service Point]</w:t>
            </w:r>
            <w:r w:rsidRPr="00AA5727">
              <w:rPr>
                <w:rFonts w:cs="Arial"/>
                <w:sz w:val="24"/>
              </w:rPr>
              <w:t>%;</w:t>
            </w:r>
            <w:r w:rsidRPr="00277440">
              <w:rPr>
                <w:rFonts w:cs="Arial"/>
                <w:sz w:val="24"/>
              </w:rPr>
              <w:t xml:space="preserve"> and</w:t>
            </w:r>
          </w:p>
        </w:tc>
      </w:tr>
      <w:tr w:rsidR="00F67E9E" w:rsidRPr="00277440" w14:paraId="2E109EBE" w14:textId="77777777" w:rsidTr="007F74AA">
        <w:tc>
          <w:tcPr>
            <w:tcW w:w="850" w:type="dxa"/>
          </w:tcPr>
          <w:p w14:paraId="0A3E3ACD" w14:textId="77777777" w:rsidR="00F67E9E" w:rsidRPr="00277440" w:rsidRDefault="00F67E9E" w:rsidP="007F74AA">
            <w:pPr>
              <w:pStyle w:val="StdBodyText4"/>
              <w:ind w:left="0"/>
              <w:rPr>
                <w:rFonts w:cs="Arial"/>
                <w:sz w:val="24"/>
              </w:rPr>
            </w:pPr>
            <w:r w:rsidRPr="00277440">
              <w:rPr>
                <w:rFonts w:cs="Arial"/>
                <w:sz w:val="24"/>
              </w:rPr>
              <w:t>AC</w:t>
            </w:r>
          </w:p>
        </w:tc>
        <w:tc>
          <w:tcPr>
            <w:tcW w:w="7654" w:type="dxa"/>
          </w:tcPr>
          <w:p w14:paraId="1062818C" w14:textId="77777777" w:rsidR="00F67E9E" w:rsidRPr="00277440" w:rsidRDefault="00F67E9E" w:rsidP="007F74AA">
            <w:pPr>
              <w:pStyle w:val="StdBodyText4"/>
              <w:ind w:left="0"/>
              <w:rPr>
                <w:rFonts w:cs="Arial"/>
                <w:sz w:val="24"/>
              </w:rPr>
            </w:pPr>
            <w:r w:rsidRPr="00277440">
              <w:rPr>
                <w:rFonts w:cs="Arial"/>
                <w:sz w:val="24"/>
              </w:rPr>
              <w:t>is the total Services Charges payable for the relevant Service Period (prior to deduction of applicable Service Credits).</w:t>
            </w:r>
          </w:p>
        </w:tc>
      </w:tr>
    </w:tbl>
    <w:p w14:paraId="4EA6B26B" w14:textId="220E6F09" w:rsidR="00F67E9E" w:rsidRPr="00FD31FC" w:rsidRDefault="00F67E9E" w:rsidP="00F67E9E">
      <w:pPr>
        <w:pStyle w:val="Numbered11"/>
      </w:pPr>
      <w:r w:rsidRPr="00D5341B">
        <w:t xml:space="preserve">The liability of the Supplier in respect of Service Credits shall be subject to </w:t>
      </w:r>
      <w:bookmarkStart w:id="1109" w:name="_9kR3WTr2CC5FGKChrAv6LOw"/>
      <w:r w:rsidRPr="00D5341B">
        <w:t>Clause 23.4(c)</w:t>
      </w:r>
      <w:bookmarkEnd w:id="1109"/>
      <w:r w:rsidRPr="00D5341B">
        <w:t xml:space="preserve"> (</w:t>
      </w:r>
      <w:r w:rsidRPr="00D5341B">
        <w:rPr>
          <w:i/>
        </w:rPr>
        <w:t>Financial and other Limits</w:t>
      </w:r>
      <w:r w:rsidRPr="00D5341B">
        <w:t xml:space="preserve">) provided that, for the avoidance of doubt, the operation of the Service Credit Cap shall not affect the continued accrual of Service Points in excess of such </w:t>
      </w:r>
      <w:r w:rsidRPr="00FD31FC">
        <w:t xml:space="preserve">financial limit in accordance with the provisions of </w:t>
      </w:r>
      <w:r w:rsidRPr="00FD31FC">
        <w:fldChar w:fldCharType="begin"/>
      </w:r>
      <w:r w:rsidRPr="00FD31FC">
        <w:instrText xml:space="preserve"> REF Schedule3 \h </w:instrText>
      </w:r>
      <w:r>
        <w:instrText xml:space="preserve"> \* MERGEFORMAT </w:instrText>
      </w:r>
      <w:r w:rsidRPr="00FD31FC">
        <w:fldChar w:fldCharType="separate"/>
      </w:r>
      <w:r w:rsidR="00302D39" w:rsidRPr="005D0525">
        <w:t>Schedule</w:t>
      </w:r>
      <w:r w:rsidR="00302D39">
        <w:t> </w:t>
      </w:r>
      <w:r w:rsidR="00302D39" w:rsidRPr="005D0525">
        <w:t>3</w:t>
      </w:r>
      <w:r w:rsidRPr="00FD31FC">
        <w:fldChar w:fldCharType="end"/>
      </w:r>
      <w:r w:rsidRPr="00FD31FC">
        <w:t xml:space="preserve"> (</w:t>
      </w:r>
      <w:r w:rsidRPr="00FD31FC">
        <w:rPr>
          <w:i/>
          <w:iCs/>
        </w:rPr>
        <w:fldChar w:fldCharType="begin"/>
      </w:r>
      <w:r w:rsidRPr="00FD31FC">
        <w:rPr>
          <w:i/>
          <w:iCs/>
        </w:rPr>
        <w:instrText xml:space="preserve"> REF Schedule3Heading \h  \* MERGEFORMAT </w:instrText>
      </w:r>
      <w:r w:rsidRPr="00FD31FC">
        <w:rPr>
          <w:i/>
          <w:iCs/>
        </w:rPr>
      </w:r>
      <w:r w:rsidRPr="00FD31FC">
        <w:rPr>
          <w:i/>
          <w:iCs/>
        </w:rPr>
        <w:fldChar w:fldCharType="separate"/>
      </w:r>
      <w:r w:rsidR="00302D39" w:rsidRPr="00302D39">
        <w:rPr>
          <w:i/>
          <w:iCs/>
        </w:rPr>
        <w:t>Performance Levels</w:t>
      </w:r>
      <w:r w:rsidRPr="00FD31FC">
        <w:rPr>
          <w:i/>
          <w:iCs/>
        </w:rPr>
        <w:fldChar w:fldCharType="end"/>
      </w:r>
      <w:r w:rsidRPr="00FD31FC">
        <w:t>).</w:t>
      </w:r>
    </w:p>
    <w:p w14:paraId="6C179314" w14:textId="77777777" w:rsidR="00F67E9E" w:rsidRPr="00FD31FC" w:rsidRDefault="00F67E9E" w:rsidP="00F67E9E">
      <w:pPr>
        <w:pStyle w:val="Numbered11"/>
      </w:pPr>
      <w:r w:rsidRPr="00FD31FC">
        <w:t>Service Credits are a reduction of the Service Charges payable in respect of the relevant Services to reflect the reduced value of the Services actually received and are stated exclusive of VAT.</w:t>
      </w:r>
    </w:p>
    <w:p w14:paraId="5F7248CB" w14:textId="77777777" w:rsidR="00F67E9E" w:rsidRPr="00D5341B" w:rsidRDefault="00F67E9E" w:rsidP="00F67E9E">
      <w:pPr>
        <w:pStyle w:val="Numbered11"/>
      </w:pPr>
      <w:r w:rsidRPr="00FD31FC">
        <w:t>Service Credits shall be shown as a deduction from the amount due from the Authority to the Supplier in the invoice for the Service Period immediately succeeding the Service Period to which they</w:t>
      </w:r>
      <w:r w:rsidRPr="00D5341B">
        <w:t xml:space="preserve"> relate.</w:t>
      </w:r>
    </w:p>
    <w:p w14:paraId="3E5F8E8E" w14:textId="77777777" w:rsidR="00F67E9E" w:rsidRPr="00D5341B" w:rsidRDefault="00F67E9E" w:rsidP="00F67E9E">
      <w:pPr>
        <w:pStyle w:val="Numbered1"/>
      </w:pPr>
      <w:bookmarkStart w:id="1110" w:name="_Ref99025606"/>
      <w:bookmarkStart w:id="1111" w:name="_Ref_ContractCompanion_9kb9Ur1AC"/>
      <w:r w:rsidRPr="00FD31FC">
        <w:t>Changes</w:t>
      </w:r>
      <w:r w:rsidRPr="00D5341B">
        <w:t xml:space="preserve"> </w:t>
      </w:r>
      <w:r>
        <w:t>t</w:t>
      </w:r>
      <w:r w:rsidRPr="00D5341B">
        <w:t>o Charges</w:t>
      </w:r>
      <w:bookmarkEnd w:id="1110"/>
      <w:bookmarkEnd w:id="1111"/>
    </w:p>
    <w:p w14:paraId="72ECAC42" w14:textId="560E2600" w:rsidR="00F67E9E" w:rsidRPr="00D5341B" w:rsidRDefault="00F67E9E" w:rsidP="00F67E9E">
      <w:pPr>
        <w:pStyle w:val="Numbered11"/>
      </w:pPr>
      <w:r w:rsidRPr="00D5341B">
        <w:t xml:space="preserve">Any Changes to the Charges shall be developed and agreed by the Parties in accordance with </w:t>
      </w:r>
      <w:r>
        <w:rPr>
          <w:rFonts w:cs="Arial"/>
        </w:rPr>
        <w:fldChar w:fldCharType="begin"/>
      </w:r>
      <w:r>
        <w:rPr>
          <w:rFonts w:cs="Arial"/>
        </w:rPr>
        <w:instrText xml:space="preserve"> REF Schedule22 \h </w:instrText>
      </w:r>
      <w:r>
        <w:rPr>
          <w:rFonts w:cs="Arial"/>
        </w:rPr>
      </w:r>
      <w:r>
        <w:rPr>
          <w:rFonts w:cs="Arial"/>
        </w:rPr>
        <w:fldChar w:fldCharType="separate"/>
      </w:r>
      <w:r w:rsidR="00302D39" w:rsidRPr="005D0525">
        <w:t>Schedule</w:t>
      </w:r>
      <w:r w:rsidR="00302D39">
        <w:t> </w:t>
      </w:r>
      <w:r w:rsidR="00302D39" w:rsidRPr="005D0525">
        <w:t>22</w:t>
      </w:r>
      <w:r>
        <w:rPr>
          <w:rFonts w:cs="Arial"/>
        </w:rPr>
        <w:fldChar w:fldCharType="end"/>
      </w:r>
      <w:r>
        <w:rPr>
          <w:rFonts w:cs="Arial"/>
        </w:rPr>
        <w:t xml:space="preserve"> (</w:t>
      </w:r>
      <w:r w:rsidRPr="002F30DB">
        <w:rPr>
          <w:rFonts w:cs="Arial"/>
          <w:i/>
          <w:iCs/>
        </w:rPr>
        <w:fldChar w:fldCharType="begin"/>
      </w:r>
      <w:r w:rsidRPr="002F30DB">
        <w:rPr>
          <w:rFonts w:cs="Arial"/>
          <w:i/>
          <w:iCs/>
        </w:rPr>
        <w:instrText xml:space="preserve"> REF Schedule22Heading \h </w:instrText>
      </w:r>
      <w:r>
        <w:rPr>
          <w:rFonts w:cs="Arial"/>
          <w:i/>
          <w:iCs/>
        </w:rPr>
        <w:instrText xml:space="preserve"> \* MERGEFORMAT </w:instrText>
      </w:r>
      <w:r w:rsidRPr="002F30DB">
        <w:rPr>
          <w:rFonts w:cs="Arial"/>
          <w:i/>
          <w:iCs/>
        </w:rPr>
      </w:r>
      <w:r w:rsidRPr="002F30DB">
        <w:rPr>
          <w:rFonts w:cs="Arial"/>
          <w:i/>
          <w:iCs/>
        </w:rPr>
        <w:fldChar w:fldCharType="separate"/>
      </w:r>
      <w:r w:rsidR="00302D39" w:rsidRPr="00302D39">
        <w:rPr>
          <w:i/>
          <w:iCs/>
        </w:rPr>
        <w:t>Change Control Procedure</w:t>
      </w:r>
      <w:r w:rsidRPr="002F30DB">
        <w:rPr>
          <w:rFonts w:cs="Arial"/>
          <w:i/>
          <w:iCs/>
        </w:rPr>
        <w:fldChar w:fldCharType="end"/>
      </w:r>
      <w:r>
        <w:rPr>
          <w:rFonts w:cs="Arial"/>
        </w:rPr>
        <w:t>)</w:t>
      </w:r>
      <w:r w:rsidRPr="00D5341B">
        <w:t xml:space="preserve"> and on the basis that the Supplier Profit </w:t>
      </w:r>
      <w:r w:rsidRPr="00FD31FC">
        <w:t>Margin</w:t>
      </w:r>
      <w:r w:rsidRPr="00D5341B">
        <w:t xml:space="preserve"> on such Charges shall:</w:t>
      </w:r>
    </w:p>
    <w:p w14:paraId="7C995589" w14:textId="77777777" w:rsidR="00F67E9E" w:rsidRPr="00D5341B" w:rsidRDefault="00F67E9E" w:rsidP="00F67E9E">
      <w:pPr>
        <w:pStyle w:val="Numbered111"/>
        <w:tabs>
          <w:tab w:val="clear" w:pos="1800"/>
          <w:tab w:val="num" w:pos="2160"/>
        </w:tabs>
      </w:pPr>
      <w:r w:rsidRPr="00D5341B">
        <w:t>be no greater than that applying to Charges using the same pricing mechanism as at the Effective Date (as set out in the Contract Inception Report); and</w:t>
      </w:r>
    </w:p>
    <w:p w14:paraId="217368D3" w14:textId="77777777" w:rsidR="00F67E9E" w:rsidRPr="00D5341B" w:rsidRDefault="00F67E9E" w:rsidP="00F67E9E">
      <w:pPr>
        <w:pStyle w:val="Numbered111"/>
        <w:tabs>
          <w:tab w:val="clear" w:pos="1800"/>
          <w:tab w:val="num" w:pos="2160"/>
        </w:tabs>
      </w:pPr>
      <w:r w:rsidRPr="00D5341B">
        <w:t xml:space="preserve">in no event exceed the Maximum Permitted Profit Margin. </w:t>
      </w:r>
    </w:p>
    <w:p w14:paraId="63892A76" w14:textId="77777777" w:rsidR="00F67E9E" w:rsidRPr="00D5341B" w:rsidRDefault="00F67E9E" w:rsidP="00F67E9E">
      <w:pPr>
        <w:pStyle w:val="Numbered11"/>
      </w:pPr>
      <w:r w:rsidRPr="00D5341B">
        <w:t xml:space="preserve">The Authority may request that any Impact Assessment presents Charges without Indexation for the </w:t>
      </w:r>
      <w:r w:rsidRPr="00FD31FC">
        <w:t>purposes</w:t>
      </w:r>
      <w:r w:rsidRPr="00D5341B">
        <w:t xml:space="preserve"> of comparison. </w:t>
      </w:r>
    </w:p>
    <w:p w14:paraId="202ED978" w14:textId="77777777" w:rsidR="00F67E9E" w:rsidRDefault="00F67E9E" w:rsidP="00F67E9E">
      <w:pPr>
        <w:pStyle w:val="Numbered1"/>
      </w:pPr>
      <w:bookmarkStart w:id="1112" w:name="_Ref_ContractCompanion_9kb9Ur18D"/>
      <w:bookmarkStart w:id="1113" w:name="_Ref_ContractCompanion_9kb9Us22A"/>
      <w:bookmarkStart w:id="1114" w:name="_9kR3WTrAG9677ZJfifw5qDOJiPyIellB7zKHENJ"/>
      <w:r w:rsidRPr="00D5341B">
        <w:t>Indexation</w:t>
      </w:r>
      <w:bookmarkEnd w:id="1112"/>
      <w:bookmarkEnd w:id="1113"/>
      <w:bookmarkEnd w:id="1114"/>
    </w:p>
    <w:p w14:paraId="405999F3" w14:textId="77777777" w:rsidR="00F67E9E" w:rsidRPr="00F9146E" w:rsidRDefault="00F67E9E" w:rsidP="00F67E9E">
      <w:pPr>
        <w:pStyle w:val="Numbered1"/>
        <w:numPr>
          <w:ilvl w:val="0"/>
          <w:numId w:val="0"/>
        </w:numPr>
        <w:rPr>
          <w:i/>
          <w:iCs/>
          <w:color w:val="auto"/>
        </w:rPr>
      </w:pPr>
      <w:r w:rsidRPr="00F9146E">
        <w:rPr>
          <w:i/>
          <w:iCs/>
          <w:color w:val="auto"/>
          <w:highlight w:val="yellow"/>
        </w:rPr>
        <w:t xml:space="preserve">[Guidance: see </w:t>
      </w:r>
      <w:r>
        <w:rPr>
          <w:i/>
          <w:iCs/>
          <w:color w:val="auto"/>
          <w:highlight w:val="yellow"/>
        </w:rPr>
        <w:t>P</w:t>
      </w:r>
      <w:r w:rsidRPr="00F9146E">
        <w:rPr>
          <w:i/>
          <w:iCs/>
          <w:color w:val="auto"/>
          <w:highlight w:val="yellow"/>
        </w:rPr>
        <w:t>aragraph 4.4 of the MSC Guidance document for further guidance regarding indexation.]</w:t>
      </w:r>
    </w:p>
    <w:p w14:paraId="4873D273" w14:textId="37BB6C4D" w:rsidR="00F67E9E" w:rsidRPr="00D5341B" w:rsidRDefault="00F67E9E" w:rsidP="00F67E9E">
      <w:pPr>
        <w:pStyle w:val="Numbered11"/>
      </w:pPr>
      <w:r w:rsidRPr="00D5341B">
        <w:t xml:space="preserve">Any amounts or sums in this Contract which are expressed to be </w:t>
      </w:r>
      <w:r>
        <w:t>“</w:t>
      </w:r>
      <w:r w:rsidRPr="00D5341B">
        <w:t>subject to Indexation</w:t>
      </w:r>
      <w:r>
        <w:t>”</w:t>
      </w:r>
      <w:r w:rsidRPr="00D5341B">
        <w:t xml:space="preserve"> shall be adjusted in accordance with the provisions of this </w:t>
      </w:r>
      <w:bookmarkStart w:id="1115" w:name="_9kMHG5YVtCIB899bLhkhy7sFQLkR0KgnnD91MJG"/>
      <w:r w:rsidRPr="00D5341B">
        <w:t>Paragraph</w:t>
      </w:r>
      <w:r>
        <w:t> </w:t>
      </w:r>
      <w:r w:rsidRPr="00D5341B">
        <w:fldChar w:fldCharType="begin"/>
      </w:r>
      <w:r w:rsidRPr="00D5341B">
        <w:instrText xml:space="preserve"> REF _Ref_ContractCompanion_9kb9Us22A \w \n \h \t \* MERGEFORMAT </w:instrText>
      </w:r>
      <w:r w:rsidRPr="00D5341B">
        <w:fldChar w:fldCharType="separate"/>
      </w:r>
      <w:r w:rsidR="00302D39">
        <w:t>5</w:t>
      </w:r>
      <w:r w:rsidRPr="00D5341B">
        <w:fldChar w:fldCharType="end"/>
      </w:r>
      <w:bookmarkEnd w:id="1115"/>
      <w:r w:rsidRPr="00D5341B">
        <w:t xml:space="preserve"> to reflect the effects of inflation.</w:t>
      </w:r>
    </w:p>
    <w:p w14:paraId="1E5D5115" w14:textId="2BF358F8" w:rsidR="00F67E9E" w:rsidRDefault="00F67E9E" w:rsidP="00F67E9E">
      <w:pPr>
        <w:pStyle w:val="Numbered11"/>
      </w:pPr>
      <w:r>
        <w:t>The following costs, expenses, fees or charges included in the Charges shall not be subject to adjustment under this Paragraph </w:t>
      </w:r>
      <w:r w:rsidRPr="00D5341B">
        <w:fldChar w:fldCharType="begin"/>
      </w:r>
      <w:r w:rsidRPr="00D5341B">
        <w:instrText xml:space="preserve"> REF _Ref_ContractCompanion_9kb9Us22A \w \n \h \t \* MERGEFORMAT </w:instrText>
      </w:r>
      <w:r w:rsidRPr="00D5341B">
        <w:fldChar w:fldCharType="separate"/>
      </w:r>
      <w:r w:rsidR="00302D39">
        <w:t>5</w:t>
      </w:r>
      <w:r w:rsidRPr="00D5341B">
        <w:fldChar w:fldCharType="end"/>
      </w:r>
      <w:r>
        <w:t xml:space="preserve"> and shall not be included in the relevant amount or sum for the purposes of Paragraph </w:t>
      </w:r>
      <w:r>
        <w:fldChar w:fldCharType="begin"/>
      </w:r>
      <w:r>
        <w:instrText xml:space="preserve"> REF _Ref141297066 \w \h </w:instrText>
      </w:r>
      <w:r>
        <w:fldChar w:fldCharType="separate"/>
      </w:r>
      <w:r w:rsidR="00302D39">
        <w:t>5.3</w:t>
      </w:r>
      <w:r>
        <w:fldChar w:fldCharType="end"/>
      </w:r>
      <w:r>
        <w:t>:</w:t>
      </w:r>
    </w:p>
    <w:p w14:paraId="7CFC5B28" w14:textId="77777777" w:rsidR="00F67E9E" w:rsidRDefault="00F67E9E" w:rsidP="00F67E9E">
      <w:pPr>
        <w:pStyle w:val="Numbered111"/>
      </w:pPr>
      <w:r>
        <w:t>Any costs charged by the Supplier to the Authority in respect of Assets or Authority Assets (including capital costs and installation, maintenance and support costs) which are incurred by the Supplier prior to the relevant adjustment date but which remain to be recovered through the Charges.</w:t>
      </w:r>
    </w:p>
    <w:p w14:paraId="78420723" w14:textId="77777777" w:rsidR="00F67E9E" w:rsidRDefault="00F67E9E" w:rsidP="00F67E9E">
      <w:pPr>
        <w:pStyle w:val="Numbered11"/>
      </w:pPr>
      <w:bookmarkStart w:id="1116" w:name="_Ref141297066"/>
      <w:r>
        <w:t>Notwithstanding any other provisions of this Schedule, amounts or sums in this Contract shall not be subject to Indexation during the first [</w:t>
      </w:r>
      <w:r w:rsidRPr="000350F6">
        <w:rPr>
          <w:b/>
          <w:bCs/>
          <w:highlight w:val="yellow"/>
        </w:rPr>
        <w:t>Insert</w:t>
      </w:r>
      <w:r w:rsidRPr="000350F6">
        <w:rPr>
          <w:highlight w:val="yellow"/>
        </w:rPr>
        <w:t>: number</w:t>
      </w:r>
      <w:r>
        <w:t>] years following the Operational Service Commencement Date (the “</w:t>
      </w:r>
      <w:r w:rsidRPr="000350F6">
        <w:rPr>
          <w:b/>
          <w:bCs/>
        </w:rPr>
        <w:t>Non-Indexation Period</w:t>
      </w:r>
      <w:r>
        <w:t>”).</w:t>
      </w:r>
      <w:bookmarkEnd w:id="1116"/>
    </w:p>
    <w:p w14:paraId="1818C26D" w14:textId="77777777" w:rsidR="00F67E9E" w:rsidRDefault="00F67E9E" w:rsidP="00F67E9E">
      <w:pPr>
        <w:pStyle w:val="Numbered11"/>
      </w:pPr>
      <w:bookmarkStart w:id="1117" w:name="_Ref141297141"/>
      <w:r>
        <w:t>Where any amount or sum in this Contract is stated to be “subject to Indexation” then it will be indexed on the date which is one year after the end of the Non-Indexation Period to reflect the percentage change in the [</w:t>
      </w:r>
      <w:r w:rsidRPr="000350F6">
        <w:rPr>
          <w:b/>
          <w:bCs/>
          <w:highlight w:val="yellow"/>
        </w:rPr>
        <w:t>Insert:</w:t>
      </w:r>
      <w:r w:rsidRPr="000350F6">
        <w:rPr>
          <w:highlight w:val="yellow"/>
        </w:rPr>
        <w:t xml:space="preserve"> name of appropriate price index (or indices) published by the Office of National Statistics or other reputable source</w:t>
      </w:r>
      <w:r>
        <w:t>] during that one year period immediately following the end of the Non-Indexation Period.  Subsequent adjustments shall take place on each following yearly anniversary to reflect the percentage change in the price index since the previous change.</w:t>
      </w:r>
      <w:bookmarkEnd w:id="1117"/>
    </w:p>
    <w:p w14:paraId="08E79B0E" w14:textId="373DFAE2" w:rsidR="00F67E9E" w:rsidRDefault="00F67E9E" w:rsidP="00F67E9E">
      <w:pPr>
        <w:pStyle w:val="Numbered11"/>
      </w:pPr>
      <w:r w:rsidRPr="00D5341B">
        <w:t xml:space="preserve">Except as set out in this </w:t>
      </w:r>
      <w:bookmarkStart w:id="1118" w:name="_9kMIH5YVtCIB899bLhkhy7sFQLkR0KgnnD91MJG"/>
      <w:r w:rsidRPr="00D5341B">
        <w:t>Paragraph</w:t>
      </w:r>
      <w:r>
        <w:t> </w:t>
      </w:r>
      <w:r w:rsidRPr="00D5341B">
        <w:fldChar w:fldCharType="begin"/>
      </w:r>
      <w:r w:rsidRPr="00D5341B">
        <w:instrText xml:space="preserve"> REF _Ref_ContractCompanion_9kb9Us22A \w \n \h \t \* MERGEFORMAT </w:instrText>
      </w:r>
      <w:r w:rsidRPr="00D5341B">
        <w:fldChar w:fldCharType="separate"/>
      </w:r>
      <w:r w:rsidR="00302D39">
        <w:t>5</w:t>
      </w:r>
      <w:r w:rsidRPr="00D5341B">
        <w:fldChar w:fldCharType="end"/>
      </w:r>
      <w:bookmarkEnd w:id="1118"/>
      <w:r w:rsidRPr="00D5341B">
        <w:t xml:space="preserve">, neither the Charges nor any other costs, expenses, fees or charges shall be adjusted to take account of any inflation, change to exchange rate, change to </w:t>
      </w:r>
      <w:r w:rsidRPr="00FD31FC">
        <w:t>interest</w:t>
      </w:r>
      <w:r w:rsidRPr="00D5341B">
        <w:t xml:space="preserve"> rate or any other factor or element which might otherwise increase the cost to the Supplier or Sub-contractors of the performance of their obligations.</w:t>
      </w:r>
    </w:p>
    <w:p w14:paraId="38341831" w14:textId="0DE59E63" w:rsidR="00F67E9E" w:rsidRDefault="00F67E9E" w:rsidP="00F67E9E">
      <w:pPr>
        <w:pStyle w:val="Numbered11"/>
      </w:pPr>
      <w:r>
        <w:t>Where the price index referred to in Paragraph </w:t>
      </w:r>
      <w:r>
        <w:fldChar w:fldCharType="begin"/>
      </w:r>
      <w:r>
        <w:instrText xml:space="preserve"> REF _Ref141297141 \w \h </w:instrText>
      </w:r>
      <w:r>
        <w:fldChar w:fldCharType="separate"/>
      </w:r>
      <w:r w:rsidR="00302D39">
        <w:t>5.4</w:t>
      </w:r>
      <w:r>
        <w:fldChar w:fldCharType="end"/>
      </w:r>
      <w:r>
        <w:t>:</w:t>
      </w:r>
    </w:p>
    <w:p w14:paraId="4190DACE" w14:textId="77777777" w:rsidR="00F67E9E" w:rsidRDefault="00F67E9E" w:rsidP="00F67E9E">
      <w:pPr>
        <w:pStyle w:val="Numbered111"/>
      </w:pPr>
      <w:r>
        <w:t>used to carry out an indexation calculation is updated (for example due to it being provisional) then the indexation calculation shall also be updated unless the Buyer and the Supplier agree otherwise; or</w:t>
      </w:r>
    </w:p>
    <w:p w14:paraId="6D26E3DB" w14:textId="77777777" w:rsidR="00F67E9E" w:rsidRDefault="00F67E9E" w:rsidP="00F67E9E">
      <w:pPr>
        <w:pStyle w:val="Numbered111"/>
      </w:pPr>
      <w:r>
        <w:t>is no longer published, the Buyer and the Supplier shall agree an appropriate replacement index which shall cover to the maximum extent possible the same economic activities as the original index.</w:t>
      </w:r>
    </w:p>
    <w:p w14:paraId="08002C4B" w14:textId="77777777" w:rsidR="00F67E9E" w:rsidRPr="00D5341B" w:rsidRDefault="00F67E9E" w:rsidP="00F67E9E">
      <w:pPr>
        <w:pStyle w:val="Numbered1"/>
      </w:pPr>
      <w:r w:rsidRPr="00D5341B">
        <w:t xml:space="preserve">Allowable </w:t>
      </w:r>
      <w:r w:rsidRPr="00FD31FC">
        <w:t>Assumptions</w:t>
      </w:r>
    </w:p>
    <w:p w14:paraId="09AFE3BC" w14:textId="77777777" w:rsidR="00F67E9E" w:rsidRPr="00FD31FC" w:rsidRDefault="00F67E9E" w:rsidP="00F67E9E">
      <w:pPr>
        <w:pStyle w:val="Numbered11"/>
      </w:pPr>
      <w:r w:rsidRPr="00D5341B">
        <w:t xml:space="preserve">The Supplier shall determine whether each Allowable Assumption is accurate within its Verification </w:t>
      </w:r>
      <w:r w:rsidRPr="00FD31FC">
        <w:t xml:space="preserve">Period. </w:t>
      </w:r>
    </w:p>
    <w:p w14:paraId="3BC05666" w14:textId="77777777" w:rsidR="00F67E9E" w:rsidRPr="00FD31FC" w:rsidRDefault="00F67E9E" w:rsidP="00F67E9E">
      <w:pPr>
        <w:pStyle w:val="Numbered11"/>
      </w:pPr>
      <w:r w:rsidRPr="00FD31FC">
        <w:t>During each Verification Period, the Authority shall provide the Supplier with reasonable assistance and access to information within its possession or reasonable control and which the Authority deems is relevant to the Allowable Assumption being verified.</w:t>
      </w:r>
    </w:p>
    <w:p w14:paraId="5CBF5C3F" w14:textId="77777777" w:rsidR="00F67E9E" w:rsidRPr="00FD31FC" w:rsidRDefault="00F67E9E" w:rsidP="00F67E9E">
      <w:pPr>
        <w:pStyle w:val="Numbered11"/>
      </w:pPr>
      <w:r w:rsidRPr="00FD31FC">
        <w:t>Within 10 Working Days of the end of each Verification Period, the Supplier shall provide the Authority with a written report setting out the results of the Supplier’s verification activity for the relevant Allowable Assumption, including whether the Allowable Assumption is accurate or whether the Implementation Plan and/or the Contract Inception Report require adjustment.</w:t>
      </w:r>
    </w:p>
    <w:p w14:paraId="3442CAE2" w14:textId="77777777" w:rsidR="00F67E9E" w:rsidRPr="00D5341B" w:rsidRDefault="00F67E9E" w:rsidP="00F67E9E">
      <w:pPr>
        <w:pStyle w:val="Numbered11"/>
      </w:pPr>
      <w:r w:rsidRPr="00FD31FC">
        <w:t>Each Allowable Assumption shall be deemed accurate unless adjusting for the relevant Allowable</w:t>
      </w:r>
      <w:r w:rsidRPr="00D5341B">
        <w:t xml:space="preserve"> Assumption has an impact:</w:t>
      </w:r>
    </w:p>
    <w:p w14:paraId="016E0C75" w14:textId="7D73719D" w:rsidR="00F67E9E" w:rsidRPr="00D5341B" w:rsidRDefault="00F67E9E" w:rsidP="00F67E9E">
      <w:pPr>
        <w:pStyle w:val="Numbered111"/>
        <w:tabs>
          <w:tab w:val="clear" w:pos="1800"/>
          <w:tab w:val="num" w:pos="2160"/>
        </w:tabs>
      </w:pPr>
      <w:r w:rsidRPr="00D5341B">
        <w:t xml:space="preserve">on the Financial Model greater than the associated trigger for invocation, as set out in column 9 of the table in </w:t>
      </w:r>
      <w:bookmarkStart w:id="1119" w:name="_9kMIH5YVtCIB79BKEyq1TUs48K7nz3t8RUPLTNJ"/>
      <w:r w:rsidRPr="00D5341B">
        <w:t xml:space="preserve">Annex </w:t>
      </w:r>
      <w:r w:rsidRPr="00D5341B">
        <w:fldChar w:fldCharType="begin"/>
      </w:r>
      <w:r w:rsidRPr="00D5341B">
        <w:instrText xml:space="preserve"> REF ANNEX5_SCHEDULE15 \h </w:instrText>
      </w:r>
      <w:r>
        <w:instrText xml:space="preserve"> \* MERGEFORMAT </w:instrText>
      </w:r>
      <w:r w:rsidRPr="00D5341B">
        <w:fldChar w:fldCharType="separate"/>
      </w:r>
      <w:r w:rsidR="00302D39" w:rsidRPr="00BA56A1">
        <w:t>5</w:t>
      </w:r>
      <w:r w:rsidRPr="00D5341B">
        <w:fldChar w:fldCharType="end"/>
      </w:r>
      <w:bookmarkEnd w:id="1119"/>
      <w:r w:rsidRPr="00D5341B">
        <w:t xml:space="preserve">; or </w:t>
      </w:r>
    </w:p>
    <w:p w14:paraId="75E09B80" w14:textId="6759CE68" w:rsidR="00F67E9E" w:rsidRPr="00D5341B" w:rsidRDefault="00F67E9E" w:rsidP="00F67E9E">
      <w:pPr>
        <w:pStyle w:val="Numbered111"/>
        <w:tabs>
          <w:tab w:val="clear" w:pos="1800"/>
          <w:tab w:val="num" w:pos="2160"/>
        </w:tabs>
      </w:pPr>
      <w:r w:rsidRPr="00D5341B">
        <w:t xml:space="preserve">on the Implementation Plan which would require adjustment under the Change Control Procedure, as identified in column 3 of the table in </w:t>
      </w:r>
      <w:bookmarkStart w:id="1120" w:name="_9kMJI5YVtCIB79BKEyq1TUs48K7nz3t8RUPLTNJ"/>
      <w:r w:rsidRPr="00D5341B">
        <w:t xml:space="preserve">Annex </w:t>
      </w:r>
      <w:r w:rsidRPr="00D5341B">
        <w:fldChar w:fldCharType="begin"/>
      </w:r>
      <w:r w:rsidRPr="00D5341B">
        <w:instrText xml:space="preserve"> REF ANNEX5_SCHEDULE15 \h </w:instrText>
      </w:r>
      <w:r>
        <w:instrText xml:space="preserve"> \* MERGEFORMAT </w:instrText>
      </w:r>
      <w:r w:rsidRPr="00D5341B">
        <w:fldChar w:fldCharType="separate"/>
      </w:r>
      <w:r w:rsidR="00302D39" w:rsidRPr="00BA56A1">
        <w:t>5</w:t>
      </w:r>
      <w:r w:rsidRPr="00D5341B">
        <w:fldChar w:fldCharType="end"/>
      </w:r>
      <w:bookmarkEnd w:id="1120"/>
      <w:r w:rsidRPr="00D5341B">
        <w:t xml:space="preserve">, </w:t>
      </w:r>
    </w:p>
    <w:p w14:paraId="44BA63C7" w14:textId="548B33E7" w:rsidR="00F67E9E" w:rsidRPr="00D5341B" w:rsidRDefault="00F67E9E" w:rsidP="00F67E9E">
      <w:pPr>
        <w:pStyle w:val="StdBodyText2"/>
        <w:rPr>
          <w:rFonts w:cs="Arial"/>
        </w:rPr>
      </w:pPr>
      <w:r w:rsidRPr="00D5341B">
        <w:rPr>
          <w:rFonts w:cs="Arial"/>
        </w:rPr>
        <w:t xml:space="preserve">in which case </w:t>
      </w:r>
      <w:bookmarkStart w:id="1121" w:name="_9kMHG5YVtCIB89CILmWlwx04qZQzJBx85uCBzFJ"/>
      <w:r w:rsidRPr="00D5341B">
        <w:rPr>
          <w:rFonts w:cs="Arial"/>
        </w:rPr>
        <w:t xml:space="preserve">Paragraph </w:t>
      </w:r>
      <w:r w:rsidRPr="00D5341B">
        <w:rPr>
          <w:rFonts w:cs="Arial"/>
        </w:rPr>
        <w:fldChar w:fldCharType="begin"/>
      </w:r>
      <w:r w:rsidRPr="00D5341B">
        <w:rPr>
          <w:rFonts w:cs="Arial"/>
        </w:rPr>
        <w:instrText xml:space="preserve"> REF _Ref_ContractCompanion_9kb9Us234 \n \h \t \* MERGEFORMAT </w:instrText>
      </w:r>
      <w:r w:rsidRPr="00D5341B">
        <w:rPr>
          <w:rFonts w:cs="Arial"/>
        </w:rPr>
      </w:r>
      <w:r w:rsidRPr="00D5341B">
        <w:rPr>
          <w:rFonts w:cs="Arial"/>
        </w:rPr>
        <w:fldChar w:fldCharType="separate"/>
      </w:r>
      <w:r w:rsidR="00302D39">
        <w:rPr>
          <w:rFonts w:cs="Arial"/>
        </w:rPr>
        <w:t>6.5</w:t>
      </w:r>
      <w:r w:rsidRPr="00D5341B">
        <w:rPr>
          <w:rFonts w:cs="Arial"/>
        </w:rPr>
        <w:fldChar w:fldCharType="end"/>
      </w:r>
      <w:bookmarkEnd w:id="1121"/>
      <w:r w:rsidRPr="00D5341B">
        <w:rPr>
          <w:rFonts w:cs="Arial"/>
        </w:rPr>
        <w:t xml:space="preserve"> shall apply.</w:t>
      </w:r>
    </w:p>
    <w:p w14:paraId="3D92AC6C" w14:textId="77777777" w:rsidR="00F67E9E" w:rsidRPr="00D5341B" w:rsidRDefault="00F67E9E" w:rsidP="00F67E9E">
      <w:pPr>
        <w:pStyle w:val="Numbered11"/>
      </w:pPr>
      <w:bookmarkStart w:id="1122" w:name="_Ref_ContractCompanion_9kb9Us234"/>
      <w:bookmarkStart w:id="1123" w:name="_9kR3WTrAG967AGJkUjuvy2oXOxH9v63sA9xDHzC"/>
      <w:r w:rsidRPr="00D5341B">
        <w:t>Where the Parties agree that an Allowable Assumption is not accurate and the Financial Model and/or Implementation Plan require adjusting:</w:t>
      </w:r>
      <w:bookmarkEnd w:id="1122"/>
      <w:bookmarkEnd w:id="1123"/>
    </w:p>
    <w:p w14:paraId="3EED90FD" w14:textId="77777777" w:rsidR="00F67E9E" w:rsidRPr="00FD31FC" w:rsidRDefault="00F67E9E" w:rsidP="00F67E9E">
      <w:pPr>
        <w:pStyle w:val="Numbered111"/>
      </w:pPr>
      <w:r w:rsidRPr="00D5341B">
        <w:t xml:space="preserve">the Supplier shall take all reasonable steps to mitigate the impact of the Allowable </w:t>
      </w:r>
      <w:r w:rsidRPr="00FD31FC">
        <w:t xml:space="preserve">Assumption on the Financial Model and/or the Implementation Plan; </w:t>
      </w:r>
    </w:p>
    <w:p w14:paraId="3AE00703" w14:textId="3BCA55B7" w:rsidR="00F67E9E" w:rsidRPr="00D5341B" w:rsidRDefault="00F67E9E" w:rsidP="00F67E9E">
      <w:pPr>
        <w:pStyle w:val="Numbered111"/>
      </w:pPr>
      <w:bookmarkStart w:id="1124" w:name="_9kR3WTrAG967GMJprykWhB74ys2Bv8RO8y2wCUQ"/>
      <w:bookmarkStart w:id="1125" w:name="_Ref_ContractCompanion_9kb9Us23A"/>
      <w:r w:rsidRPr="00FD31FC">
        <w:t>the Supplier</w:t>
      </w:r>
      <w:r w:rsidRPr="00D5341B">
        <w:t xml:space="preserve"> may (subject to </w:t>
      </w:r>
      <w:bookmarkStart w:id="1126" w:name="_9kMHG5YVtCIB89FLLsx3mxy15rdoIEB5z9LMMLM"/>
      <w:r w:rsidRPr="00D5341B">
        <w:t xml:space="preserve">Paragraph </w:t>
      </w:r>
      <w:r w:rsidRPr="00D5341B">
        <w:fldChar w:fldCharType="begin"/>
      </w:r>
      <w:r w:rsidRPr="00D5341B">
        <w:instrText xml:space="preserve"> REF _Ref_ContractCompanion_9kb9Us237 \w \h \t \* MERGEFORMAT </w:instrText>
      </w:r>
      <w:r w:rsidRPr="00D5341B">
        <w:fldChar w:fldCharType="separate"/>
      </w:r>
      <w:r w:rsidR="00302D39">
        <w:t>6.5.3</w:t>
      </w:r>
      <w:r w:rsidRPr="00D5341B">
        <w:fldChar w:fldCharType="end"/>
      </w:r>
      <w:bookmarkEnd w:id="1126"/>
      <w:r w:rsidRPr="00D5341B">
        <w:t>) propose a Change to take account of the impact of the adjustment of the Allowable Assumption and such Change Request shall be considered in accordance with the Change Control Procedure;</w:t>
      </w:r>
      <w:bookmarkEnd w:id="1124"/>
      <w:r w:rsidRPr="00D5341B">
        <w:t xml:space="preserve"> and</w:t>
      </w:r>
      <w:bookmarkEnd w:id="1125"/>
    </w:p>
    <w:p w14:paraId="3F79D468" w14:textId="0B199B86" w:rsidR="00F67E9E" w:rsidRPr="00D5341B" w:rsidRDefault="00F67E9E" w:rsidP="00F67E9E">
      <w:pPr>
        <w:pStyle w:val="Numbered111"/>
      </w:pPr>
      <w:bookmarkStart w:id="1127" w:name="_9kR3WTrAG967DJJqv1kvwz3pbmGC93x7JKKJKOF"/>
      <w:bookmarkStart w:id="1128" w:name="_Ref_ContractCompanion_9kb9Us237"/>
      <w:r w:rsidRPr="00D5341B">
        <w:t xml:space="preserve">where the </w:t>
      </w:r>
      <w:r w:rsidRPr="00FD31FC">
        <w:t>Supplier</w:t>
      </w:r>
      <w:r w:rsidRPr="00D5341B">
        <w:t xml:space="preserve"> proposes a Change to the Charges under </w:t>
      </w:r>
      <w:bookmarkStart w:id="1129" w:name="_9kMHG5YVtCIB89IOLrt0mYjD960u4DxATQA04yE"/>
      <w:r w:rsidRPr="00D5341B">
        <w:t xml:space="preserve">Paragraph </w:t>
      </w:r>
      <w:r w:rsidRPr="00D5341B">
        <w:fldChar w:fldCharType="begin"/>
      </w:r>
      <w:r w:rsidRPr="00D5341B">
        <w:instrText xml:space="preserve"> REF _Ref_ContractCompanion_9kb9Us23A \w \h \t \* MERGEFORMAT </w:instrText>
      </w:r>
      <w:r w:rsidRPr="00D5341B">
        <w:fldChar w:fldCharType="separate"/>
      </w:r>
      <w:r w:rsidR="00302D39">
        <w:t>6.5.2</w:t>
      </w:r>
      <w:r w:rsidRPr="00D5341B">
        <w:fldChar w:fldCharType="end"/>
      </w:r>
      <w:bookmarkEnd w:id="1129"/>
      <w:r w:rsidRPr="00D5341B">
        <w:t xml:space="preserve">, the Change Request shall reflect the requirements of the table in </w:t>
      </w:r>
      <w:bookmarkStart w:id="1130" w:name="_9kMKJ5YVtCIB79BKEyq1TUs48K7nz3t8RUPLTNJ"/>
      <w:r w:rsidRPr="00D5341B">
        <w:t xml:space="preserve">Annex </w:t>
      </w:r>
      <w:r w:rsidRPr="00D5341B">
        <w:fldChar w:fldCharType="begin"/>
      </w:r>
      <w:r w:rsidRPr="00D5341B">
        <w:instrText xml:space="preserve"> REF ANNEX5_SCHEDULE15 \h </w:instrText>
      </w:r>
      <w:r>
        <w:instrText xml:space="preserve"> \* MERGEFORMAT </w:instrText>
      </w:r>
      <w:r w:rsidRPr="00D5341B">
        <w:fldChar w:fldCharType="separate"/>
      </w:r>
      <w:r w:rsidR="00302D39" w:rsidRPr="00BA56A1">
        <w:t>5</w:t>
      </w:r>
      <w:r w:rsidRPr="00D5341B">
        <w:fldChar w:fldCharType="end"/>
      </w:r>
      <w:bookmarkEnd w:id="1130"/>
      <w:r w:rsidRPr="00D5341B">
        <w:t xml:space="preserve">, including the requirement that any proposed adjustment to the Charges shall not exceed the maximum impact on the relevant Charges as specified in column 7 of the table in </w:t>
      </w:r>
      <w:bookmarkStart w:id="1131" w:name="_9kMLK5YVtCIB79BKEyq1TUs48K7nz3t8RUPLTNJ"/>
      <w:r w:rsidRPr="00D5341B">
        <w:t xml:space="preserve">Annex </w:t>
      </w:r>
      <w:r w:rsidRPr="00D5341B">
        <w:fldChar w:fldCharType="begin"/>
      </w:r>
      <w:r w:rsidRPr="00D5341B">
        <w:instrText xml:space="preserve"> REF ANNEX5_SCHEDULE15 \h </w:instrText>
      </w:r>
      <w:r>
        <w:instrText xml:space="preserve"> \* MERGEFORMAT </w:instrText>
      </w:r>
      <w:r w:rsidRPr="00D5341B">
        <w:fldChar w:fldCharType="separate"/>
      </w:r>
      <w:r w:rsidR="00302D39" w:rsidRPr="00BA56A1">
        <w:t>5</w:t>
      </w:r>
      <w:r w:rsidRPr="00D5341B">
        <w:fldChar w:fldCharType="end"/>
      </w:r>
      <w:bookmarkEnd w:id="1131"/>
      <w:r w:rsidRPr="00D5341B">
        <w:t>.</w:t>
      </w:r>
      <w:bookmarkEnd w:id="1127"/>
      <w:r w:rsidRPr="00D5341B">
        <w:t xml:space="preserve"> </w:t>
      </w:r>
      <w:bookmarkEnd w:id="1128"/>
    </w:p>
    <w:p w14:paraId="3FD67D36" w14:textId="77777777" w:rsidR="00F67E9E" w:rsidRPr="00D5341B" w:rsidRDefault="00F67E9E" w:rsidP="00F67E9E">
      <w:pPr>
        <w:pStyle w:val="Numbered1"/>
      </w:pPr>
      <w:r w:rsidRPr="00FD31FC">
        <w:t>Risk</w:t>
      </w:r>
      <w:r w:rsidRPr="00D5341B">
        <w:t xml:space="preserve"> Register</w:t>
      </w:r>
    </w:p>
    <w:p w14:paraId="228E5BE2" w14:textId="143E5464" w:rsidR="00F67E9E" w:rsidRDefault="00F67E9E" w:rsidP="00F67E9E">
      <w:pPr>
        <w:pStyle w:val="Numbered11"/>
      </w:pPr>
      <w:r w:rsidRPr="00D5341B">
        <w:t xml:space="preserve">The Parties shall review the Risk Register set out in Annex </w:t>
      </w:r>
      <w:r w:rsidRPr="00D5341B">
        <w:fldChar w:fldCharType="begin"/>
      </w:r>
      <w:r w:rsidRPr="00D5341B">
        <w:instrText xml:space="preserve"> REF ANNEX4_SCHEDULE15 \h </w:instrText>
      </w:r>
      <w:r>
        <w:instrText xml:space="preserve"> \* MERGEFORMAT </w:instrText>
      </w:r>
      <w:r w:rsidRPr="00D5341B">
        <w:fldChar w:fldCharType="separate"/>
      </w:r>
      <w:r w:rsidR="00302D39" w:rsidRPr="00BA56A1">
        <w:t>4</w:t>
      </w:r>
      <w:r w:rsidRPr="00D5341B">
        <w:fldChar w:fldCharType="end"/>
      </w:r>
      <w:r w:rsidRPr="00D5341B">
        <w:t xml:space="preserve"> from time to time and as </w:t>
      </w:r>
      <w:r w:rsidRPr="00FD31FC">
        <w:t>otherwise</w:t>
      </w:r>
      <w:r w:rsidRPr="00D5341B">
        <w:t xml:space="preserve"> required for the purposes of </w:t>
      </w:r>
      <w:r>
        <w:rPr>
          <w:rFonts w:cs="Arial"/>
        </w:rPr>
        <w:fldChar w:fldCharType="begin"/>
      </w:r>
      <w:r>
        <w:rPr>
          <w:rFonts w:cs="Arial"/>
        </w:rPr>
        <w:instrText xml:space="preserve"> REF Schedule21 \h </w:instrText>
      </w:r>
      <w:r>
        <w:rPr>
          <w:rFonts w:cs="Arial"/>
        </w:rPr>
      </w:r>
      <w:r>
        <w:rPr>
          <w:rFonts w:cs="Arial"/>
        </w:rPr>
        <w:fldChar w:fldCharType="separate"/>
      </w:r>
      <w:r w:rsidR="00302D39" w:rsidRPr="005D0525">
        <w:t>Schedule</w:t>
      </w:r>
      <w:r w:rsidR="00302D39">
        <w:t> </w:t>
      </w:r>
      <w:r w:rsidR="00302D39" w:rsidRPr="005D0525">
        <w:t>21</w:t>
      </w:r>
      <w:r>
        <w:rPr>
          <w:rFonts w:cs="Arial"/>
        </w:rPr>
        <w:fldChar w:fldCharType="end"/>
      </w:r>
      <w:r>
        <w:rPr>
          <w:rFonts w:cs="Arial"/>
        </w:rPr>
        <w:t xml:space="preserve"> (</w:t>
      </w:r>
      <w:r w:rsidRPr="002F30DB">
        <w:rPr>
          <w:rFonts w:cs="Arial"/>
          <w:i/>
          <w:iCs/>
        </w:rPr>
        <w:fldChar w:fldCharType="begin"/>
      </w:r>
      <w:r w:rsidRPr="002F30DB">
        <w:rPr>
          <w:rFonts w:cs="Arial"/>
          <w:i/>
          <w:iCs/>
        </w:rPr>
        <w:instrText xml:space="preserve"> REF Schedule21Heading \h </w:instrText>
      </w:r>
      <w:r>
        <w:rPr>
          <w:rFonts w:cs="Arial"/>
          <w:i/>
          <w:iCs/>
        </w:rPr>
        <w:instrText xml:space="preserve"> \* MERGEFORMAT </w:instrText>
      </w:r>
      <w:r w:rsidRPr="002F30DB">
        <w:rPr>
          <w:rFonts w:cs="Arial"/>
          <w:i/>
          <w:iCs/>
        </w:rPr>
      </w:r>
      <w:r w:rsidRPr="002F30DB">
        <w:rPr>
          <w:rFonts w:cs="Arial"/>
          <w:i/>
          <w:iCs/>
        </w:rPr>
        <w:fldChar w:fldCharType="separate"/>
      </w:r>
      <w:r w:rsidR="00302D39" w:rsidRPr="00302D39">
        <w:rPr>
          <w:i/>
          <w:iCs/>
        </w:rPr>
        <w:t>Governance</w:t>
      </w:r>
      <w:r w:rsidRPr="002F30DB">
        <w:rPr>
          <w:rFonts w:cs="Arial"/>
          <w:i/>
          <w:iCs/>
        </w:rPr>
        <w:fldChar w:fldCharType="end"/>
      </w:r>
      <w:r>
        <w:rPr>
          <w:rFonts w:cs="Arial"/>
        </w:rPr>
        <w:t>)</w:t>
      </w:r>
      <w:r w:rsidRPr="00D5341B">
        <w:t xml:space="preserve">. </w:t>
      </w:r>
    </w:p>
    <w:p w14:paraId="4A67A9B8" w14:textId="77777777" w:rsidR="00F67E9E" w:rsidRDefault="00F67E9E" w:rsidP="00F67E9E"/>
    <w:p w14:paraId="05E6CFAA" w14:textId="77777777" w:rsidR="00F67E9E" w:rsidRDefault="00F67E9E" w:rsidP="00F67E9E">
      <w:pPr>
        <w:pStyle w:val="Heading2"/>
        <w:pageBreakBefore/>
      </w:pPr>
      <w:bookmarkStart w:id="1132" w:name="Sch15PartD"/>
      <w:bookmarkStart w:id="1133" w:name="_Ref_ContractCompanion_9kb9Ur49D"/>
      <w:bookmarkStart w:id="1134" w:name="_Ref_ContractCompanion_9kb9Ur49F"/>
      <w:bookmarkStart w:id="1135" w:name="_Ref_ContractCompanion_9kb9Us27F"/>
      <w:bookmarkStart w:id="1136" w:name="_9kR3WTrAG96CCZJfifw5qDOJiPyIfvGFxETKOLJ"/>
      <w:bookmarkStart w:id="1137" w:name="_Toc141711941"/>
      <w:r w:rsidRPr="000038E2">
        <w:t>Part</w:t>
      </w:r>
      <w:r w:rsidRPr="00D5341B">
        <w:t> D</w:t>
      </w:r>
      <w:bookmarkEnd w:id="1132"/>
      <w:r w:rsidRPr="00D5341B">
        <w:t>: Excessive Supplier Profit Margin</w:t>
      </w:r>
      <w:bookmarkEnd w:id="1133"/>
      <w:bookmarkEnd w:id="1134"/>
      <w:bookmarkEnd w:id="1135"/>
      <w:bookmarkEnd w:id="1136"/>
      <w:bookmarkEnd w:id="1137"/>
    </w:p>
    <w:p w14:paraId="02B95BBE" w14:textId="77777777" w:rsidR="00F67E9E" w:rsidRPr="00D5341B" w:rsidRDefault="00F67E9E" w:rsidP="00F67E9E">
      <w:pPr>
        <w:pStyle w:val="Numbered1"/>
        <w:numPr>
          <w:ilvl w:val="0"/>
          <w:numId w:val="172"/>
        </w:numPr>
      </w:pPr>
      <w:r w:rsidRPr="00D5341B">
        <w:t xml:space="preserve">Limit </w:t>
      </w:r>
      <w:r w:rsidRPr="00FD31FC">
        <w:t>on</w:t>
      </w:r>
      <w:r w:rsidRPr="00D5341B">
        <w:t xml:space="preserve"> Supplier Profit Margin</w:t>
      </w:r>
    </w:p>
    <w:p w14:paraId="1C01373B" w14:textId="77777777" w:rsidR="00F67E9E" w:rsidRPr="00FD31FC" w:rsidRDefault="00F67E9E" w:rsidP="00F67E9E">
      <w:pPr>
        <w:pStyle w:val="Numbered11"/>
      </w:pPr>
      <w:r w:rsidRPr="00D5341B">
        <w:t xml:space="preserve">The Supplier acknowledges that the Achieved Profit Margin applicable over the Term shall not exceed the </w:t>
      </w:r>
      <w:r w:rsidRPr="00FD31FC">
        <w:t xml:space="preserve">Maximum Permitted Profit Margin. </w:t>
      </w:r>
    </w:p>
    <w:p w14:paraId="75B0968B" w14:textId="2A187D35" w:rsidR="00F67E9E" w:rsidRPr="00D5341B" w:rsidRDefault="00F67E9E" w:rsidP="00F67E9E">
      <w:pPr>
        <w:pStyle w:val="Numbered11"/>
      </w:pPr>
      <w:r w:rsidRPr="00FD31FC">
        <w:t>The Supplier shall include in each Annual Contract Report the Achieved Profit Margin as at the end of the Contract</w:t>
      </w:r>
      <w:r w:rsidRPr="00D5341B">
        <w:t xml:space="preserve"> Year to which the Annual Contract Report is made up and the provisions of </w:t>
      </w:r>
      <w:bookmarkStart w:id="1138" w:name="_9kR3WTr2CC5FIZEnoewrqyC"/>
      <w:r w:rsidRPr="00D5341B">
        <w:t xml:space="preserve">Paragraph </w:t>
      </w:r>
      <w:bookmarkEnd w:id="1138"/>
      <w:r w:rsidRPr="00D5341B">
        <w:fldChar w:fldCharType="begin"/>
      </w:r>
      <w:r w:rsidRPr="00D5341B">
        <w:instrText xml:space="preserve"> REF _Ref41641505 \r \h  \* MERGEFORMAT </w:instrText>
      </w:r>
      <w:r w:rsidRPr="00D5341B">
        <w:fldChar w:fldCharType="separate"/>
      </w:r>
      <w:r w:rsidR="00302D39">
        <w:t>2</w:t>
      </w:r>
      <w:r w:rsidRPr="00D5341B">
        <w:fldChar w:fldCharType="end"/>
      </w:r>
      <w:r w:rsidRPr="00D5341B">
        <w:t xml:space="preserve"> of </w:t>
      </w:r>
      <w:r w:rsidRPr="00D5341B">
        <w:fldChar w:fldCharType="begin"/>
      </w:r>
      <w:r w:rsidRPr="00D5341B">
        <w:instrText xml:space="preserve"> REF Sch19PartB \h  \* MERGEFORMAT </w:instrText>
      </w:r>
      <w:r w:rsidRPr="00D5341B">
        <w:fldChar w:fldCharType="separate"/>
      </w:r>
      <w:r w:rsidR="00302D39" w:rsidRPr="000038E2">
        <w:t>Part</w:t>
      </w:r>
      <w:r w:rsidR="00302D39">
        <w:t> </w:t>
      </w:r>
      <w:r w:rsidR="00302D39" w:rsidRPr="00D00D9A">
        <w:t>B</w:t>
      </w:r>
      <w:r w:rsidRPr="00D5341B">
        <w:fldChar w:fldCharType="end"/>
      </w:r>
      <w:r w:rsidRPr="00D5341B">
        <w:t xml:space="preserve"> of </w:t>
      </w:r>
      <w:r>
        <w:rPr>
          <w:rFonts w:cs="Arial"/>
        </w:rPr>
        <w:fldChar w:fldCharType="begin"/>
      </w:r>
      <w:r>
        <w:rPr>
          <w:rFonts w:cs="Arial"/>
        </w:rPr>
        <w:instrText xml:space="preserve"> REF Schedule19 \h </w:instrText>
      </w:r>
      <w:r>
        <w:rPr>
          <w:rFonts w:cs="Arial"/>
        </w:rPr>
      </w:r>
      <w:r>
        <w:rPr>
          <w:rFonts w:cs="Arial"/>
        </w:rPr>
        <w:fldChar w:fldCharType="separate"/>
      </w:r>
      <w:r w:rsidR="00302D39" w:rsidRPr="005D0525">
        <w:t>Schedule</w:t>
      </w:r>
      <w:r w:rsidR="00302D39">
        <w:t> </w:t>
      </w:r>
      <w:r w:rsidR="00302D39" w:rsidRPr="005D0525">
        <w:t>19</w:t>
      </w:r>
      <w:r>
        <w:rPr>
          <w:rFonts w:cs="Arial"/>
        </w:rPr>
        <w:fldChar w:fldCharType="end"/>
      </w:r>
      <w:r>
        <w:rPr>
          <w:rFonts w:cs="Arial"/>
        </w:rPr>
        <w:t xml:space="preserve"> (</w:t>
      </w:r>
      <w:r w:rsidRPr="002F30DB">
        <w:rPr>
          <w:rFonts w:cs="Arial"/>
          <w:i/>
          <w:iCs/>
        </w:rPr>
        <w:fldChar w:fldCharType="begin"/>
      </w:r>
      <w:r w:rsidRPr="002F30DB">
        <w:rPr>
          <w:rFonts w:cs="Arial"/>
          <w:i/>
          <w:iCs/>
        </w:rPr>
        <w:instrText xml:space="preserve"> REF Schedule19Heading \h </w:instrText>
      </w:r>
      <w:r>
        <w:rPr>
          <w:rFonts w:cs="Arial"/>
          <w:i/>
          <w:iCs/>
        </w:rPr>
        <w:instrText xml:space="preserve"> \* MERGEFORMAT </w:instrText>
      </w:r>
      <w:r w:rsidRPr="002F30DB">
        <w:rPr>
          <w:rFonts w:cs="Arial"/>
          <w:i/>
          <w:iCs/>
        </w:rPr>
      </w:r>
      <w:r w:rsidRPr="002F30DB">
        <w:rPr>
          <w:rFonts w:cs="Arial"/>
          <w:i/>
          <w:iCs/>
        </w:rPr>
        <w:fldChar w:fldCharType="separate"/>
      </w:r>
      <w:r w:rsidR="00302D39" w:rsidRPr="00302D39">
        <w:rPr>
          <w:i/>
          <w:iCs/>
        </w:rPr>
        <w:t>Financial Reports and Audit Rights</w:t>
      </w:r>
      <w:r w:rsidRPr="002F30DB">
        <w:rPr>
          <w:rFonts w:cs="Arial"/>
          <w:i/>
          <w:iCs/>
        </w:rPr>
        <w:fldChar w:fldCharType="end"/>
      </w:r>
      <w:r>
        <w:rPr>
          <w:rFonts w:cs="Arial"/>
        </w:rPr>
        <w:t>)</w:t>
      </w:r>
      <w:r w:rsidRPr="00D5341B">
        <w:t xml:space="preserve"> shall apply to the approval of the Annual Contract Report.</w:t>
      </w:r>
    </w:p>
    <w:p w14:paraId="128C479D" w14:textId="77777777" w:rsidR="00F67E9E" w:rsidRPr="00D5341B" w:rsidRDefault="00F67E9E" w:rsidP="00F67E9E">
      <w:pPr>
        <w:pStyle w:val="Numbered1"/>
      </w:pPr>
      <w:r w:rsidRPr="00FD31FC">
        <w:t>Adjustment</w:t>
      </w:r>
      <w:r w:rsidRPr="00D5341B">
        <w:t xml:space="preserve"> </w:t>
      </w:r>
      <w:r>
        <w:t>t</w:t>
      </w:r>
      <w:r w:rsidRPr="00D5341B">
        <w:t xml:space="preserve">o </w:t>
      </w:r>
      <w:r>
        <w:t>t</w:t>
      </w:r>
      <w:r w:rsidRPr="00D5341B">
        <w:t xml:space="preserve">he Charges </w:t>
      </w:r>
      <w:r>
        <w:t>i</w:t>
      </w:r>
      <w:r w:rsidRPr="00D5341B">
        <w:t xml:space="preserve">n </w:t>
      </w:r>
      <w:r>
        <w:t>t</w:t>
      </w:r>
      <w:r w:rsidRPr="00D5341B">
        <w:t xml:space="preserve">he Event </w:t>
      </w:r>
      <w:r>
        <w:t>o</w:t>
      </w:r>
      <w:r w:rsidRPr="00D5341B">
        <w:t>f Excess Supplier Profit</w:t>
      </w:r>
    </w:p>
    <w:p w14:paraId="2AA401EA" w14:textId="5889C7C8" w:rsidR="00F67E9E" w:rsidRPr="00D5341B" w:rsidRDefault="00F67E9E" w:rsidP="00F67E9E">
      <w:pPr>
        <w:pStyle w:val="Numbered11"/>
      </w:pPr>
      <w:bookmarkStart w:id="1139" w:name="_Ref_ContractCompanion_9kb9Us244"/>
      <w:bookmarkStart w:id="1140" w:name="_9kR3WTrAG968ABBSEdmNI2AyqTR9FK2o8ye9KNT"/>
      <w:r w:rsidRPr="00D5341B">
        <w:t xml:space="preserve">If an Annual Contract Report demonstrates (or it is otherwise determined pursuant to </w:t>
      </w:r>
      <w:bookmarkStart w:id="1141" w:name="_9kMHG5YVt4EE7HKbGpqgyts0E"/>
      <w:r w:rsidRPr="00D5341B">
        <w:t xml:space="preserve">Paragraph </w:t>
      </w:r>
      <w:bookmarkEnd w:id="1141"/>
      <w:r w:rsidRPr="00D5341B">
        <w:fldChar w:fldCharType="begin"/>
      </w:r>
      <w:r w:rsidRPr="00D5341B">
        <w:instrText xml:space="preserve"> REF _Ref41641505 \r \h  \* MERGEFORMAT </w:instrText>
      </w:r>
      <w:r w:rsidRPr="00D5341B">
        <w:fldChar w:fldCharType="separate"/>
      </w:r>
      <w:r w:rsidR="00302D39">
        <w:t>2</w:t>
      </w:r>
      <w:r w:rsidRPr="00D5341B">
        <w:fldChar w:fldCharType="end"/>
      </w:r>
      <w:r w:rsidRPr="00D5341B">
        <w:t xml:space="preserve"> of </w:t>
      </w:r>
      <w:r w:rsidRPr="00D5341B">
        <w:fldChar w:fldCharType="begin"/>
      </w:r>
      <w:r w:rsidRPr="00D5341B">
        <w:instrText xml:space="preserve"> REF Sch19PartB \h  \* MERGEFORMAT </w:instrText>
      </w:r>
      <w:r w:rsidRPr="00D5341B">
        <w:fldChar w:fldCharType="separate"/>
      </w:r>
      <w:r w:rsidR="00302D39" w:rsidRPr="000038E2">
        <w:t>Part</w:t>
      </w:r>
      <w:r w:rsidR="00302D39">
        <w:t> </w:t>
      </w:r>
      <w:r w:rsidR="00302D39" w:rsidRPr="00D00D9A">
        <w:t>B</w:t>
      </w:r>
      <w:r w:rsidRPr="00D5341B">
        <w:fldChar w:fldCharType="end"/>
      </w:r>
      <w:r w:rsidRPr="00D5341B">
        <w:t xml:space="preserve"> of </w:t>
      </w:r>
      <w:r>
        <w:rPr>
          <w:rFonts w:cs="Arial"/>
        </w:rPr>
        <w:fldChar w:fldCharType="begin"/>
      </w:r>
      <w:r>
        <w:rPr>
          <w:rFonts w:cs="Arial"/>
        </w:rPr>
        <w:instrText xml:space="preserve"> REF Schedule19 \h </w:instrText>
      </w:r>
      <w:r>
        <w:rPr>
          <w:rFonts w:cs="Arial"/>
        </w:rPr>
      </w:r>
      <w:r>
        <w:rPr>
          <w:rFonts w:cs="Arial"/>
        </w:rPr>
        <w:fldChar w:fldCharType="separate"/>
      </w:r>
      <w:r w:rsidR="00302D39" w:rsidRPr="005D0525">
        <w:t>Schedule</w:t>
      </w:r>
      <w:r w:rsidR="00302D39">
        <w:t> </w:t>
      </w:r>
      <w:r w:rsidR="00302D39" w:rsidRPr="005D0525">
        <w:t>19</w:t>
      </w:r>
      <w:r>
        <w:rPr>
          <w:rFonts w:cs="Arial"/>
        </w:rPr>
        <w:fldChar w:fldCharType="end"/>
      </w:r>
      <w:r>
        <w:rPr>
          <w:rFonts w:cs="Arial"/>
        </w:rPr>
        <w:t xml:space="preserve"> (</w:t>
      </w:r>
      <w:r w:rsidRPr="002F30DB">
        <w:rPr>
          <w:rFonts w:cs="Arial"/>
          <w:i/>
          <w:iCs/>
        </w:rPr>
        <w:fldChar w:fldCharType="begin"/>
      </w:r>
      <w:r w:rsidRPr="002F30DB">
        <w:rPr>
          <w:rFonts w:cs="Arial"/>
          <w:i/>
          <w:iCs/>
        </w:rPr>
        <w:instrText xml:space="preserve"> REF Schedule19Heading \h </w:instrText>
      </w:r>
      <w:r>
        <w:rPr>
          <w:rFonts w:cs="Arial"/>
          <w:i/>
          <w:iCs/>
        </w:rPr>
        <w:instrText xml:space="preserve"> \* MERGEFORMAT </w:instrText>
      </w:r>
      <w:r w:rsidRPr="002F30DB">
        <w:rPr>
          <w:rFonts w:cs="Arial"/>
          <w:i/>
          <w:iCs/>
        </w:rPr>
      </w:r>
      <w:r w:rsidRPr="002F30DB">
        <w:rPr>
          <w:rFonts w:cs="Arial"/>
          <w:i/>
          <w:iCs/>
        </w:rPr>
        <w:fldChar w:fldCharType="separate"/>
      </w:r>
      <w:r w:rsidR="00302D39" w:rsidRPr="00302D39">
        <w:rPr>
          <w:i/>
          <w:iCs/>
        </w:rPr>
        <w:t>Financial Reports and Audit Rights</w:t>
      </w:r>
      <w:r w:rsidRPr="002F30DB">
        <w:rPr>
          <w:rFonts w:cs="Arial"/>
          <w:i/>
          <w:iCs/>
        </w:rPr>
        <w:fldChar w:fldCharType="end"/>
      </w:r>
      <w:r>
        <w:rPr>
          <w:rFonts w:cs="Arial"/>
        </w:rPr>
        <w:t>)</w:t>
      </w:r>
      <w:r w:rsidRPr="00D5341B">
        <w:t xml:space="preserve">) that the </w:t>
      </w:r>
      <w:r w:rsidRPr="00FD31FC">
        <w:t>Achieved</w:t>
      </w:r>
      <w:r w:rsidRPr="00D5341B">
        <w:t xml:space="preserve"> Profit Margin as at the end of the Contract Year to which the Annual Contract Report is made up exceeds the Maximum Permitted Profit Margin:</w:t>
      </w:r>
      <w:bookmarkEnd w:id="1139"/>
      <w:bookmarkEnd w:id="1140"/>
    </w:p>
    <w:p w14:paraId="70EA4A77" w14:textId="77777777" w:rsidR="00F67E9E" w:rsidRPr="00D5341B" w:rsidRDefault="00F67E9E" w:rsidP="00F67E9E">
      <w:pPr>
        <w:pStyle w:val="Numbered111"/>
        <w:tabs>
          <w:tab w:val="clear" w:pos="1800"/>
          <w:tab w:val="num" w:pos="2160"/>
        </w:tabs>
      </w:pPr>
      <w:bookmarkStart w:id="1142" w:name="_Ref99026459"/>
      <w:bookmarkStart w:id="1143" w:name="_Ref_ContractCompanion_9kb9Ur23A"/>
      <w:r w:rsidRPr="00D5341B">
        <w:t>the Supplier shall, within 5 Working Days of delivery to the Authority of the Annual Contract Report, propose such adjustments to the Charges as will ensure that the Achieved Profit Margin both over the Contract Year to which the next Annual Contract Report will relate and over the Term will not exceed the Maximum Permitted Profit Margin;</w:t>
      </w:r>
      <w:bookmarkEnd w:id="1142"/>
      <w:r w:rsidRPr="00D5341B">
        <w:t xml:space="preserve"> </w:t>
      </w:r>
      <w:bookmarkEnd w:id="1143"/>
    </w:p>
    <w:p w14:paraId="6737BCFA" w14:textId="77777777" w:rsidR="00F67E9E" w:rsidRPr="00D5341B" w:rsidRDefault="00F67E9E" w:rsidP="00F67E9E">
      <w:pPr>
        <w:pStyle w:val="Numbered111"/>
        <w:tabs>
          <w:tab w:val="clear" w:pos="1800"/>
          <w:tab w:val="num" w:pos="2160"/>
        </w:tabs>
      </w:pPr>
      <w:r w:rsidRPr="00D5341B">
        <w:t>the Authority (acting reasonably) may agree or reject the proposed adjustments;</w:t>
      </w:r>
    </w:p>
    <w:p w14:paraId="6059A580" w14:textId="77777777" w:rsidR="00F67E9E" w:rsidRPr="00D5341B" w:rsidRDefault="00F67E9E" w:rsidP="00F67E9E">
      <w:pPr>
        <w:pStyle w:val="Numbered111"/>
        <w:tabs>
          <w:tab w:val="clear" w:pos="1800"/>
          <w:tab w:val="num" w:pos="2160"/>
        </w:tabs>
      </w:pPr>
      <w:r w:rsidRPr="00D5341B">
        <w:t>if the Authority rejects the proposed adjustments it shall give reasons and the Supplier shall propose revised adjustments within 10 Working Days of receiving those reasons; and</w:t>
      </w:r>
    </w:p>
    <w:p w14:paraId="6A2F01CE" w14:textId="77777777" w:rsidR="00F67E9E" w:rsidRPr="00D5341B" w:rsidRDefault="00F67E9E" w:rsidP="00F67E9E">
      <w:pPr>
        <w:pStyle w:val="Numbered111"/>
        <w:tabs>
          <w:tab w:val="clear" w:pos="1800"/>
          <w:tab w:val="num" w:pos="2160"/>
        </w:tabs>
      </w:pPr>
      <w:r w:rsidRPr="00D5341B">
        <w:t xml:space="preserve">if the Parties cannot agree such revised adjustments and the Authority terminates this Contract by issuing a </w:t>
      </w:r>
      <w:bookmarkStart w:id="1144" w:name="_9kMLK5YVt4CE9ELjOt2uwpw517hdGBvs"/>
      <w:r w:rsidRPr="00D5341B">
        <w:t>Termination Notice</w:t>
      </w:r>
      <w:bookmarkEnd w:id="1144"/>
      <w:r w:rsidRPr="00D5341B">
        <w:t xml:space="preserve"> to the Supplier pursuant to </w:t>
      </w:r>
      <w:bookmarkStart w:id="1145" w:name="_9kR3WTr2CC5FHLChrAv7KJr"/>
      <w:r w:rsidRPr="00D5341B">
        <w:t>Clause 31.1(a)</w:t>
      </w:r>
      <w:bookmarkEnd w:id="1145"/>
      <w:r w:rsidRPr="00D5341B">
        <w:t xml:space="preserve"> (</w:t>
      </w:r>
      <w:r w:rsidRPr="00D5341B">
        <w:rPr>
          <w:i/>
        </w:rPr>
        <w:t>Termination by the</w:t>
      </w:r>
      <w:r w:rsidRPr="00D5341B">
        <w:t xml:space="preserve"> </w:t>
      </w:r>
      <w:r w:rsidRPr="00D5341B">
        <w:rPr>
          <w:i/>
        </w:rPr>
        <w:t>Authority</w:t>
      </w:r>
      <w:r w:rsidRPr="00D5341B">
        <w:t xml:space="preserve">), then for the purpose of calculating any Compensation Payment due to the Supplier, the </w:t>
      </w:r>
      <w:bookmarkStart w:id="1146" w:name="_9kMML5YVt4CE9ELjOt2uwpw517hdGBvs"/>
      <w:r w:rsidRPr="00D5341B">
        <w:t>Termination Notice</w:t>
      </w:r>
      <w:bookmarkEnd w:id="1146"/>
      <w:r w:rsidRPr="00D5341B">
        <w:t xml:space="preserve"> shall be deemed to have been served as at the date of receipt by the Authority of the relevant Annual Contract Report. </w:t>
      </w:r>
    </w:p>
    <w:p w14:paraId="286521AA" w14:textId="0C4B27C8" w:rsidR="00F67E9E" w:rsidRDefault="00F67E9E" w:rsidP="00F67E9E">
      <w:pPr>
        <w:pStyle w:val="Numbered11"/>
      </w:pPr>
      <w:bookmarkStart w:id="1147" w:name="_9kR3WTr3435CGaInnjuthi0znwxzFH4r2KKJKOF"/>
      <w:bookmarkStart w:id="1148" w:name="_Ref41640294"/>
      <w:r w:rsidRPr="00D5341B">
        <w:t>Pending agreement of a proposed adjustment to the Charges</w:t>
      </w:r>
      <w:bookmarkEnd w:id="1147"/>
      <w:r w:rsidRPr="00D5341B">
        <w:t xml:space="preserve"> pursuant to this </w:t>
      </w:r>
      <w:r w:rsidRPr="00D5341B">
        <w:fldChar w:fldCharType="begin"/>
      </w:r>
      <w:r w:rsidRPr="00D5341B">
        <w:instrText xml:space="preserve"> REF Sch15PartD \h  \* MERGEFORMAT </w:instrText>
      </w:r>
      <w:r w:rsidRPr="00D5341B">
        <w:fldChar w:fldCharType="separate"/>
      </w:r>
      <w:r w:rsidR="00302D39" w:rsidRPr="000038E2">
        <w:t>Part</w:t>
      </w:r>
      <w:r w:rsidR="00302D39" w:rsidRPr="00D5341B">
        <w:t> D</w:t>
      </w:r>
      <w:r w:rsidRPr="00D5341B">
        <w:fldChar w:fldCharType="end"/>
      </w:r>
      <w:r w:rsidRPr="00D5341B">
        <w:t xml:space="preserve">, the Charges then in force shall continue to apply. Once the adjustments to the Charges are agreed in accordance with </w:t>
      </w:r>
      <w:bookmarkStart w:id="1149" w:name="_9kMHG5YVtCIB8ACDDUGfoPK4C0sVTBHM4qA0gBM"/>
      <w:r w:rsidRPr="00D5341B">
        <w:t xml:space="preserve">Paragraph </w:t>
      </w:r>
      <w:r w:rsidRPr="00D5341B">
        <w:fldChar w:fldCharType="begin"/>
      </w:r>
      <w:r w:rsidRPr="00D5341B">
        <w:instrText xml:space="preserve"> REF _Ref_ContractCompanion_9kb9Us244 \n \h \t \* MERGEFORMAT </w:instrText>
      </w:r>
      <w:r w:rsidRPr="00D5341B">
        <w:fldChar w:fldCharType="separate"/>
      </w:r>
      <w:r w:rsidR="00302D39">
        <w:t>2.1</w:t>
      </w:r>
      <w:r w:rsidRPr="00D5341B">
        <w:fldChar w:fldCharType="end"/>
      </w:r>
      <w:bookmarkEnd w:id="1149"/>
      <w:r w:rsidRPr="00D5341B">
        <w:t xml:space="preserve">, the Parties shall document the adjustment in a Change </w:t>
      </w:r>
      <w:r w:rsidRPr="00FD31FC">
        <w:t>Authorisation</w:t>
      </w:r>
      <w:r w:rsidRPr="00D5341B">
        <w:t xml:space="preserve"> Note and the adjusted Charges shall apply with effect from the first day of the Service Period that immediately follows the Service Period in which the Change Authorisation Note is executed or such other date as is specified in the Change Authorisation Note.</w:t>
      </w:r>
      <w:bookmarkEnd w:id="1148"/>
    </w:p>
    <w:p w14:paraId="4AC94AD4" w14:textId="77777777" w:rsidR="00F67E9E" w:rsidRDefault="00F67E9E" w:rsidP="00F67E9E"/>
    <w:p w14:paraId="27487937" w14:textId="77777777" w:rsidR="00F67E9E" w:rsidRDefault="00F67E9E" w:rsidP="00F67E9E">
      <w:pPr>
        <w:pStyle w:val="Heading2"/>
        <w:pageBreakBefore/>
      </w:pPr>
      <w:bookmarkStart w:id="1150" w:name="Sch15PartE"/>
      <w:bookmarkStart w:id="1151" w:name="_Ref_ContractCompanion_9kb9Ur3CI"/>
      <w:bookmarkStart w:id="1152" w:name="_Ref_ContractCompanion_9kb9Ur3DB"/>
      <w:bookmarkStart w:id="1153" w:name="_Ref_ContractCompanion_9kb9Ur3DD"/>
      <w:bookmarkStart w:id="1154" w:name="_Ref_ContractCompanion_9kb9Us17E"/>
      <w:bookmarkStart w:id="1155" w:name="_Toc141711942"/>
      <w:r w:rsidRPr="00D5341B">
        <w:t>P</w:t>
      </w:r>
      <w:r>
        <w:t>art</w:t>
      </w:r>
      <w:r w:rsidRPr="00D5341B">
        <w:t xml:space="preserve"> E</w:t>
      </w:r>
      <w:bookmarkEnd w:id="1150"/>
      <w:r w:rsidRPr="00D5341B">
        <w:t xml:space="preserve">: Invoicing </w:t>
      </w:r>
      <w:r>
        <w:t>a</w:t>
      </w:r>
      <w:r w:rsidRPr="00D5341B">
        <w:t>nd Payment Terms</w:t>
      </w:r>
      <w:bookmarkEnd w:id="1151"/>
      <w:bookmarkEnd w:id="1152"/>
      <w:bookmarkEnd w:id="1153"/>
      <w:bookmarkEnd w:id="1154"/>
      <w:bookmarkEnd w:id="1155"/>
    </w:p>
    <w:p w14:paraId="225EF06C" w14:textId="77777777" w:rsidR="00F67E9E" w:rsidRPr="00D5341B" w:rsidRDefault="00F67E9E" w:rsidP="00F67E9E">
      <w:pPr>
        <w:pStyle w:val="Numbered1"/>
        <w:numPr>
          <w:ilvl w:val="0"/>
          <w:numId w:val="173"/>
        </w:numPr>
      </w:pPr>
      <w:r w:rsidRPr="00FD31FC">
        <w:t>Supplier</w:t>
      </w:r>
      <w:r w:rsidRPr="00D5341B">
        <w:t xml:space="preserve"> Invoices</w:t>
      </w:r>
    </w:p>
    <w:p w14:paraId="2F3A36FA" w14:textId="77777777" w:rsidR="00F67E9E" w:rsidRPr="00FD31FC" w:rsidRDefault="00F67E9E" w:rsidP="00F67E9E">
      <w:pPr>
        <w:pStyle w:val="Numbered11"/>
      </w:pPr>
      <w:bookmarkStart w:id="1156" w:name="_9kR3WTr29B88ABAdRjDOE2y947OO8rw8yqtwAQH"/>
      <w:bookmarkStart w:id="1157" w:name="_Ref_ContractCompanion_9kb9Us7BB"/>
      <w:r w:rsidRPr="00D5341B">
        <w:t>The Authority shall accept for processing any electronic invoice that complies with the European Standard</w:t>
      </w:r>
      <w:r w:rsidRPr="00FD31FC">
        <w:t>, provided that it is valid and undisputed.</w:t>
      </w:r>
      <w:bookmarkEnd w:id="1156"/>
      <w:r w:rsidRPr="00FD31FC">
        <w:t xml:space="preserve"> </w:t>
      </w:r>
      <w:bookmarkEnd w:id="1157"/>
    </w:p>
    <w:p w14:paraId="675BE331" w14:textId="77777777" w:rsidR="00F67E9E" w:rsidRPr="00D5341B" w:rsidRDefault="00F67E9E" w:rsidP="00F67E9E">
      <w:pPr>
        <w:pStyle w:val="Numbered11"/>
      </w:pPr>
      <w:r w:rsidRPr="00FD31FC">
        <w:t>If the Supplier proposes to submit for payment an invoice that does not comply with the European standard t</w:t>
      </w:r>
      <w:r w:rsidRPr="00D5341B">
        <w:t>he Supplier shall:</w:t>
      </w:r>
    </w:p>
    <w:p w14:paraId="4B27CEDA" w14:textId="77777777" w:rsidR="00F67E9E" w:rsidRPr="00D5341B" w:rsidRDefault="00F67E9E" w:rsidP="00F67E9E">
      <w:pPr>
        <w:pStyle w:val="Numbered111"/>
        <w:tabs>
          <w:tab w:val="clear" w:pos="1800"/>
          <w:tab w:val="num" w:pos="2160"/>
        </w:tabs>
      </w:pPr>
      <w:r w:rsidRPr="00D5341B">
        <w:t>comply with the requirements of the Authority</w:t>
      </w:r>
      <w:r>
        <w:t>’</w:t>
      </w:r>
      <w:r w:rsidRPr="00D5341B">
        <w:t xml:space="preserve">s e-invoicing system; </w:t>
      </w:r>
    </w:p>
    <w:p w14:paraId="51376B4B" w14:textId="6C406E84" w:rsidR="00F67E9E" w:rsidRPr="00D5341B" w:rsidRDefault="00F67E9E" w:rsidP="00F67E9E">
      <w:pPr>
        <w:pStyle w:val="Numbered111"/>
      </w:pPr>
      <w:bookmarkStart w:id="1158" w:name="_Ref99026157"/>
      <w:r w:rsidRPr="00D5341B">
        <w:t xml:space="preserve">prepare and provide to the Authority for approval of the format a template invoice within 10 Working Days of the Effective Date which shall include, as a minimum the details set out in </w:t>
      </w:r>
      <w:bookmarkStart w:id="1159" w:name="_9kMHG5YVtCIB8AFFEhTlXiC85zt3I9sx936LTTE"/>
      <w:r w:rsidRPr="00D5341B">
        <w:t xml:space="preserve">Paragraph </w:t>
      </w:r>
      <w:r w:rsidRPr="00D5341B">
        <w:fldChar w:fldCharType="begin"/>
      </w:r>
      <w:r w:rsidRPr="00D5341B">
        <w:instrText xml:space="preserve"> REF _Ref_ContractCompanion_9kb9Us247 \n \h \t \* MERGEFORMAT </w:instrText>
      </w:r>
      <w:r w:rsidRPr="00D5341B">
        <w:fldChar w:fldCharType="separate"/>
      </w:r>
      <w:r w:rsidR="00302D39">
        <w:t>1.3</w:t>
      </w:r>
      <w:r w:rsidRPr="00D5341B">
        <w:fldChar w:fldCharType="end"/>
      </w:r>
      <w:bookmarkEnd w:id="1159"/>
      <w:r w:rsidRPr="00D5341B">
        <w:t xml:space="preserve"> together with such other information as the Authority may reasonably require to assess whether the Charges that will be detailed therein are properly payable; and</w:t>
      </w:r>
      <w:bookmarkEnd w:id="1158"/>
      <w:r w:rsidRPr="00D5341B">
        <w:t xml:space="preserve"> </w:t>
      </w:r>
    </w:p>
    <w:p w14:paraId="561BFDE0" w14:textId="7604AFDD" w:rsidR="00F67E9E" w:rsidRPr="00D5341B" w:rsidRDefault="00F67E9E" w:rsidP="00F67E9E">
      <w:pPr>
        <w:pStyle w:val="Numbered111"/>
      </w:pPr>
      <w:r w:rsidRPr="00D5341B">
        <w:t xml:space="preserve">make such amendments as may be reasonably required by the Authority if the template invoice outlined in </w:t>
      </w:r>
      <w:r w:rsidRPr="00D5341B">
        <w:fldChar w:fldCharType="begin"/>
      </w:r>
      <w:r w:rsidRPr="00D5341B">
        <w:instrText xml:space="preserve"> REF _Ref99026157 \n \h </w:instrText>
      </w:r>
      <w:r>
        <w:instrText xml:space="preserve"> \* MERGEFORMAT </w:instrText>
      </w:r>
      <w:r w:rsidRPr="00D5341B">
        <w:fldChar w:fldCharType="separate"/>
      </w:r>
      <w:r w:rsidR="00302D39">
        <w:t>1.2.2</w:t>
      </w:r>
      <w:r w:rsidRPr="00D5341B">
        <w:fldChar w:fldCharType="end"/>
      </w:r>
      <w:r w:rsidRPr="00D5341B">
        <w:t xml:space="preserve"> is not approved by the Authority.</w:t>
      </w:r>
    </w:p>
    <w:p w14:paraId="0AE76E38" w14:textId="77777777" w:rsidR="00F67E9E" w:rsidRPr="00D5341B" w:rsidRDefault="00F67E9E" w:rsidP="00F67E9E">
      <w:pPr>
        <w:pStyle w:val="Numbered11"/>
      </w:pPr>
      <w:bookmarkStart w:id="1160" w:name="_Ref_ContractCompanion_9kb9Us247"/>
      <w:bookmarkStart w:id="1161" w:name="_9kR3WTrAG968DDCfRjVgA63xr1G7qv714JRRCFJ"/>
      <w:r w:rsidRPr="00D5341B">
        <w:t xml:space="preserve">The </w:t>
      </w:r>
      <w:r w:rsidRPr="00FD31FC">
        <w:t>Supplier</w:t>
      </w:r>
      <w:r w:rsidRPr="00D5341B">
        <w:t xml:space="preserve"> shall ensure that each invoice is submitted in the correct format for the Authority</w:t>
      </w:r>
      <w:r>
        <w:t>’</w:t>
      </w:r>
      <w:r w:rsidRPr="00D5341B">
        <w:t>s e-invoicing system, or that it contains the following information:</w:t>
      </w:r>
      <w:bookmarkEnd w:id="1160"/>
      <w:bookmarkEnd w:id="1161"/>
    </w:p>
    <w:p w14:paraId="6B7C06C6" w14:textId="77777777" w:rsidR="00F67E9E" w:rsidRPr="00D5341B" w:rsidRDefault="00F67E9E" w:rsidP="00F67E9E">
      <w:pPr>
        <w:pStyle w:val="Numbered111"/>
        <w:tabs>
          <w:tab w:val="clear" w:pos="1800"/>
          <w:tab w:val="num" w:pos="2160"/>
        </w:tabs>
      </w:pPr>
      <w:bookmarkStart w:id="1162" w:name="_Ref_ContractCompanion_9kb9Ur1BF"/>
      <w:r w:rsidRPr="00D5341B">
        <w:t>the date of the invoice;</w:t>
      </w:r>
      <w:bookmarkEnd w:id="1162"/>
    </w:p>
    <w:p w14:paraId="101CCF1F" w14:textId="77777777" w:rsidR="00F67E9E" w:rsidRPr="00D5341B" w:rsidRDefault="00F67E9E" w:rsidP="00F67E9E">
      <w:pPr>
        <w:pStyle w:val="Numbered111"/>
      </w:pPr>
      <w:r w:rsidRPr="00D5341B">
        <w:t>a unique invoice number;</w:t>
      </w:r>
    </w:p>
    <w:p w14:paraId="3C428F09" w14:textId="77777777" w:rsidR="00F67E9E" w:rsidRPr="00D5341B" w:rsidRDefault="00F67E9E" w:rsidP="00F67E9E">
      <w:pPr>
        <w:pStyle w:val="Numbered111"/>
      </w:pPr>
      <w:r w:rsidRPr="00D5341B">
        <w:t>the Service Period or other period(s) to which the relevant Charge(s) relate;</w:t>
      </w:r>
    </w:p>
    <w:p w14:paraId="60761DA4" w14:textId="77777777" w:rsidR="00F67E9E" w:rsidRPr="00D5341B" w:rsidRDefault="00F67E9E" w:rsidP="00F67E9E">
      <w:pPr>
        <w:pStyle w:val="Numbered111"/>
      </w:pPr>
      <w:r w:rsidRPr="00D5341B">
        <w:t>the correct reference for this Contract;</w:t>
      </w:r>
    </w:p>
    <w:p w14:paraId="2E5C0075" w14:textId="77777777" w:rsidR="00F67E9E" w:rsidRPr="00D5341B" w:rsidRDefault="00F67E9E" w:rsidP="00F67E9E">
      <w:pPr>
        <w:pStyle w:val="Numbered111"/>
      </w:pPr>
      <w:r w:rsidRPr="00D5341B">
        <w:t>the reference number of the purchase order to which it relates (if any);</w:t>
      </w:r>
    </w:p>
    <w:p w14:paraId="1A8A6737" w14:textId="77777777" w:rsidR="00F67E9E" w:rsidRPr="00D5341B" w:rsidRDefault="00F67E9E" w:rsidP="00F67E9E">
      <w:pPr>
        <w:pStyle w:val="Numbered111"/>
      </w:pPr>
      <w:r w:rsidRPr="00D5341B">
        <w:t>the dates between which the Services subject of each of the Charges detailed on the invoice were performed;</w:t>
      </w:r>
    </w:p>
    <w:p w14:paraId="4AA6733C" w14:textId="77777777" w:rsidR="00F67E9E" w:rsidRPr="00D5341B" w:rsidRDefault="00F67E9E" w:rsidP="00F67E9E">
      <w:pPr>
        <w:pStyle w:val="Numbered111"/>
      </w:pPr>
      <w:r w:rsidRPr="00D5341B">
        <w:t>a description of the Services;</w:t>
      </w:r>
    </w:p>
    <w:p w14:paraId="6E9F9EDC" w14:textId="77777777" w:rsidR="00F67E9E" w:rsidRPr="00D5341B" w:rsidRDefault="00F67E9E" w:rsidP="00F67E9E">
      <w:pPr>
        <w:pStyle w:val="Numbered111"/>
      </w:pPr>
      <w:r w:rsidRPr="00D5341B">
        <w:t>the pricing mechanism used to calculate the Charges (such as Guaranteed Maximum Price with Target Cost, Fixed Price, Time and Materials);</w:t>
      </w:r>
    </w:p>
    <w:p w14:paraId="7C9E447F" w14:textId="77777777" w:rsidR="00F67E9E" w:rsidRPr="00D5341B" w:rsidRDefault="00F67E9E" w:rsidP="00F67E9E">
      <w:pPr>
        <w:pStyle w:val="Numbered111"/>
      </w:pPr>
      <w:r w:rsidRPr="00D5341B">
        <w:t>any payments due in respect of Achievement of a Milestone, including the Milestone Achievement Certificate number for each relevant Milestone;</w:t>
      </w:r>
    </w:p>
    <w:p w14:paraId="5EB6AF9A" w14:textId="77777777" w:rsidR="00F67E9E" w:rsidRPr="00D5341B" w:rsidRDefault="00F67E9E" w:rsidP="00F67E9E">
      <w:pPr>
        <w:pStyle w:val="Numbered111"/>
      </w:pPr>
      <w:r w:rsidRPr="00D5341B">
        <w:t>the total Charges gross and net of any applicable deductions and, separately, the amount of any Reimbursable Expenses properly chargeable to the Authority under the terms of this Contract, and, separately, any VAT or other sales tax payable in respect of each of the same;</w:t>
      </w:r>
    </w:p>
    <w:p w14:paraId="217B7D57" w14:textId="77777777" w:rsidR="00F67E9E" w:rsidRPr="00D5341B" w:rsidRDefault="00F67E9E" w:rsidP="00F67E9E">
      <w:pPr>
        <w:pStyle w:val="Numbered111"/>
      </w:pPr>
      <w:r w:rsidRPr="00D5341B">
        <w:t xml:space="preserve">details of any Service Credits or Delay Payments or similar deductions that shall apply to the Charges detailed on the invoice; </w:t>
      </w:r>
    </w:p>
    <w:p w14:paraId="198436A5" w14:textId="77777777" w:rsidR="00F67E9E" w:rsidRPr="00D5341B" w:rsidRDefault="00F67E9E" w:rsidP="00F67E9E">
      <w:pPr>
        <w:pStyle w:val="Numbered111"/>
      </w:pPr>
      <w:r w:rsidRPr="00D5341B">
        <w:t>reference to any reports required by the Authority in respect of the Services to which the Charges detailed on the invoice relate (or in the case of reports issued by the Supplier for validation by the Authority, then to any such reports as are validated by the Authority in respect of the Services);</w:t>
      </w:r>
    </w:p>
    <w:p w14:paraId="003108B9" w14:textId="77777777" w:rsidR="00F67E9E" w:rsidRPr="00D5341B" w:rsidRDefault="00F67E9E" w:rsidP="00F67E9E">
      <w:pPr>
        <w:pStyle w:val="Numbered111"/>
      </w:pPr>
      <w:r w:rsidRPr="00D5341B">
        <w:t>a contact name and telephone number of a responsible person in the Supplier</w:t>
      </w:r>
      <w:r>
        <w:t>’</w:t>
      </w:r>
      <w:r w:rsidRPr="00D5341B">
        <w:t>s finance department in the event of administrative queries;</w:t>
      </w:r>
    </w:p>
    <w:p w14:paraId="74285E32" w14:textId="77777777" w:rsidR="00F67E9E" w:rsidRPr="00D5341B" w:rsidRDefault="00F67E9E" w:rsidP="00F67E9E">
      <w:pPr>
        <w:pStyle w:val="Numbered111"/>
      </w:pPr>
      <w:bookmarkStart w:id="1163" w:name="_Ref_ContractCompanion_9kb9Ur1BH"/>
      <w:r w:rsidRPr="00D5341B">
        <w:t>the banking details for payment to the Supplier via electronic transfer of funds (i.e. name and address of bank, sort code, account name and number); and</w:t>
      </w:r>
      <w:bookmarkEnd w:id="1163"/>
    </w:p>
    <w:p w14:paraId="4BB29ED3" w14:textId="0B791E69" w:rsidR="00F67E9E" w:rsidRPr="00D5341B" w:rsidRDefault="00F67E9E" w:rsidP="00F67E9E">
      <w:pPr>
        <w:pStyle w:val="Numbered111"/>
      </w:pPr>
      <w:r w:rsidRPr="00D5341B">
        <w:t xml:space="preserve">where the Services have been structured into separate Service lines, the information at </w:t>
      </w:r>
      <w:r w:rsidRPr="00D5341B">
        <w:fldChar w:fldCharType="begin"/>
      </w:r>
      <w:r w:rsidRPr="00D5341B">
        <w:instrText xml:space="preserve"> REF _Ref_ContractCompanion_9kb9Ur1BF \w \n \h \t \* MERGEFORMAT </w:instrText>
      </w:r>
      <w:r w:rsidRPr="00D5341B">
        <w:fldChar w:fldCharType="separate"/>
      </w:r>
      <w:r w:rsidR="00302D39">
        <w:t>1.3.1</w:t>
      </w:r>
      <w:r w:rsidRPr="00D5341B">
        <w:fldChar w:fldCharType="end"/>
      </w:r>
      <w:r w:rsidRPr="00D5341B">
        <w:t xml:space="preserve"> to </w:t>
      </w:r>
      <w:bookmarkStart w:id="1164" w:name="_9kR3WTr2CC5FN2"/>
      <w:r w:rsidRPr="00D5341B">
        <w:fldChar w:fldCharType="begin"/>
      </w:r>
      <w:r w:rsidRPr="00D5341B">
        <w:instrText xml:space="preserve"> REF _Ref_ContractCompanion_9kb9Ur1BH \w \n \h \t \* MERGEFORMAT </w:instrText>
      </w:r>
      <w:r w:rsidRPr="00D5341B">
        <w:fldChar w:fldCharType="separate"/>
      </w:r>
      <w:r w:rsidR="00302D39">
        <w:t>1.3.14</w:t>
      </w:r>
      <w:r w:rsidRPr="00D5341B">
        <w:fldChar w:fldCharType="end"/>
      </w:r>
      <w:bookmarkEnd w:id="1164"/>
      <w:r w:rsidRPr="00D5341B">
        <w:t xml:space="preserve"> of this </w:t>
      </w:r>
      <w:bookmarkStart w:id="1165" w:name="_9kMIH5YVtCIB8AFFEhTlXiC85zt3I9sx936LTTE"/>
      <w:r w:rsidRPr="00D5341B">
        <w:t xml:space="preserve">Paragraph </w:t>
      </w:r>
      <w:r w:rsidRPr="00D5341B">
        <w:fldChar w:fldCharType="begin"/>
      </w:r>
      <w:r w:rsidRPr="00D5341B">
        <w:instrText xml:space="preserve"> REF _Ref_ContractCompanion_9kb9Us247 \n \h \t \* MERGEFORMAT </w:instrText>
      </w:r>
      <w:r w:rsidRPr="00D5341B">
        <w:fldChar w:fldCharType="separate"/>
      </w:r>
      <w:r w:rsidR="00302D39">
        <w:t>1.3</w:t>
      </w:r>
      <w:r w:rsidRPr="00D5341B">
        <w:fldChar w:fldCharType="end"/>
      </w:r>
      <w:bookmarkEnd w:id="1165"/>
      <w:r w:rsidRPr="00D5341B">
        <w:t xml:space="preserve"> shall be broken down in each invoice per Service line.</w:t>
      </w:r>
    </w:p>
    <w:p w14:paraId="1E83D3DB" w14:textId="5B2C46B6" w:rsidR="00F67E9E" w:rsidRPr="00277440" w:rsidRDefault="00F67E9E" w:rsidP="00F67E9E">
      <w:pPr>
        <w:pStyle w:val="Numbered11"/>
      </w:pPr>
      <w:bookmarkStart w:id="1166" w:name="_9kR3WTrAG968GGDgRjVgA63xr1G7qv758MOC1yG"/>
      <w:bookmarkStart w:id="1167" w:name="_Ref_ContractCompanion_9kb9Us24A"/>
      <w:r w:rsidRPr="00D5341B">
        <w:t>The Supplier shall invoice the Authority in respect</w:t>
      </w:r>
      <w:r w:rsidRPr="00277440">
        <w:t xml:space="preserve"> of Services in accordance with the requirements of </w:t>
      </w:r>
      <w:r w:rsidRPr="00FE1CB1">
        <w:fldChar w:fldCharType="begin"/>
      </w:r>
      <w:r w:rsidRPr="00FE1CB1">
        <w:instrText xml:space="preserve"> REF Sch15PartB \h  \* MERGEFORMAT </w:instrText>
      </w:r>
      <w:r w:rsidRPr="00FE1CB1">
        <w:fldChar w:fldCharType="separate"/>
      </w:r>
      <w:r w:rsidR="00302D39" w:rsidRPr="000038E2">
        <w:t xml:space="preserve">Part </w:t>
      </w:r>
      <w:r w:rsidR="00302D39" w:rsidRPr="00D5341B">
        <w:t>B</w:t>
      </w:r>
      <w:r w:rsidRPr="00FE1CB1">
        <w:fldChar w:fldCharType="end"/>
      </w:r>
      <w:r w:rsidRPr="00277440">
        <w:t>.</w:t>
      </w:r>
      <w:bookmarkEnd w:id="1166"/>
      <w:r w:rsidRPr="00277440">
        <w:t xml:space="preserve"> The Supplier shall first submit to the Authority a draft invoice setting out the Charges payable. The Parties shall endeavour to agree the draft invoice within 5 Working Days of its receipt by the Authority, following which the Supplier shall be entitled to submit its invoice. </w:t>
      </w:r>
      <w:bookmarkEnd w:id="1167"/>
    </w:p>
    <w:p w14:paraId="42632BCF" w14:textId="77777777" w:rsidR="00F67E9E" w:rsidRPr="00277440" w:rsidRDefault="00F67E9E" w:rsidP="00F67E9E">
      <w:pPr>
        <w:pStyle w:val="Numbered11"/>
      </w:pPr>
      <w:r w:rsidRPr="00277440">
        <w:t xml:space="preserve">Each invoice shall at all times be accompanied by </w:t>
      </w:r>
      <w:bookmarkStart w:id="1168" w:name="_9kMLK5YVt4CE9FFbd7336C4zyPSy5G13J78HDJ"/>
      <w:r w:rsidRPr="00277440">
        <w:t>Supporting Documentation</w:t>
      </w:r>
      <w:bookmarkEnd w:id="1168"/>
      <w:r w:rsidRPr="00277440">
        <w:t xml:space="preserve">. Any assessment by the Authority as to what constitutes </w:t>
      </w:r>
      <w:bookmarkStart w:id="1169" w:name="_9kMML5YVt4CE9FFbd7336C4zyPSy5G13J78HDJ"/>
      <w:r w:rsidRPr="00277440">
        <w:t>Supporting Documentation</w:t>
      </w:r>
      <w:bookmarkEnd w:id="1169"/>
      <w:r w:rsidRPr="00277440">
        <w:t xml:space="preserve"> shall not be conclusive and the Supplier undertakes to provide to the Authority any other documentation reasonably required by the Authority from time to time to substantiate an</w:t>
      </w:r>
      <w:r>
        <w:t> </w:t>
      </w:r>
      <w:r w:rsidRPr="00277440">
        <w:t>invoice.</w:t>
      </w:r>
    </w:p>
    <w:p w14:paraId="71948754" w14:textId="77777777" w:rsidR="00F67E9E" w:rsidRPr="00277440" w:rsidRDefault="00F67E9E" w:rsidP="00F67E9E">
      <w:pPr>
        <w:pStyle w:val="Numbered11"/>
      </w:pPr>
      <w:r w:rsidRPr="00277440">
        <w:t xml:space="preserve">The Supplier shall submit all invoices and </w:t>
      </w:r>
      <w:bookmarkStart w:id="1170" w:name="_9kMNM5YVt4CE9FFbd7336C4zyPSy5G13J78HDJ"/>
      <w:r w:rsidRPr="00277440">
        <w:t>Supporting Documentation</w:t>
      </w:r>
      <w:bookmarkEnd w:id="1170"/>
      <w:r w:rsidRPr="00277440">
        <w:t xml:space="preserve"> through the Authority</w:t>
      </w:r>
      <w:r>
        <w:t>’</w:t>
      </w:r>
      <w:r w:rsidRPr="00277440">
        <w:t xml:space="preserve">s electronic system </w:t>
      </w:r>
      <w:r w:rsidRPr="00277440">
        <w:rPr>
          <w:highlight w:val="yellow"/>
        </w:rPr>
        <w:t>[</w:t>
      </w:r>
      <w:r w:rsidRPr="003053E3">
        <w:rPr>
          <w:highlight w:val="yellow"/>
        </w:rPr>
        <w:t>name</w:t>
      </w:r>
      <w:r w:rsidRPr="00277440">
        <w:rPr>
          <w:highlight w:val="yellow"/>
        </w:rPr>
        <w:t>]</w:t>
      </w:r>
      <w:r w:rsidRPr="00AA5727">
        <w:t xml:space="preserve"> </w:t>
      </w:r>
      <w:r w:rsidRPr="00277440">
        <w:t>or if that is not possible to:</w:t>
      </w:r>
    </w:p>
    <w:p w14:paraId="6A188744" w14:textId="77777777" w:rsidR="00F67E9E" w:rsidRPr="003053E3" w:rsidRDefault="00F67E9E" w:rsidP="00F67E9E">
      <w:pPr>
        <w:pStyle w:val="Numbered11"/>
        <w:rPr>
          <w:rFonts w:cs="Arial"/>
          <w:b/>
          <w:bCs/>
          <w:iCs/>
          <w:highlight w:val="yellow"/>
        </w:rPr>
      </w:pPr>
      <w:r w:rsidRPr="00B73DD6">
        <w:rPr>
          <w:rStyle w:val="StdBodyTextBoldChar"/>
          <w:rFonts w:eastAsia="Arial" w:cs="Arial"/>
          <w:bCs/>
          <w:iCs/>
          <w:highlight w:val="yellow"/>
        </w:rPr>
        <w:t>[insert</w:t>
      </w:r>
      <w:r w:rsidRPr="003053E3">
        <w:rPr>
          <w:rStyle w:val="StdBodyTextBoldChar"/>
          <w:rFonts w:eastAsia="Arial" w:cs="Arial"/>
          <w:b w:val="0"/>
          <w:bCs/>
          <w:iCs/>
          <w:highlight w:val="yellow"/>
        </w:rPr>
        <w:t xml:space="preserve"> address or email address]</w:t>
      </w:r>
    </w:p>
    <w:p w14:paraId="4A0A2F51" w14:textId="77777777" w:rsidR="00F67E9E" w:rsidRPr="00277440" w:rsidRDefault="00F67E9E" w:rsidP="00F67E9E">
      <w:pPr>
        <w:pStyle w:val="Numbered11"/>
        <w:rPr>
          <w:rFonts w:cs="Arial"/>
        </w:rPr>
      </w:pPr>
      <w:r w:rsidRPr="00277440">
        <w:rPr>
          <w:rFonts w:cs="Arial"/>
        </w:rPr>
        <w:t xml:space="preserve">with a copy (again including any </w:t>
      </w:r>
      <w:bookmarkStart w:id="1171" w:name="_9kMON5YVt4CE9FFbd7336C4zyPSy5G13J78HDJ"/>
      <w:r w:rsidRPr="00277440">
        <w:rPr>
          <w:rFonts w:cs="Arial"/>
        </w:rPr>
        <w:t>Supporting Documentation</w:t>
      </w:r>
      <w:bookmarkEnd w:id="1171"/>
      <w:r w:rsidRPr="00277440">
        <w:rPr>
          <w:rFonts w:cs="Arial"/>
        </w:rPr>
        <w:t>) to such other person and at such place as the Authority may notify to the Supplier from time to time.</w:t>
      </w:r>
      <w:r>
        <w:rPr>
          <w:rFonts w:cs="Arial"/>
        </w:rPr>
        <w:t xml:space="preserve"> </w:t>
      </w:r>
    </w:p>
    <w:p w14:paraId="03C61AAF" w14:textId="77777777" w:rsidR="00F67E9E" w:rsidRPr="00277440" w:rsidRDefault="00F67E9E" w:rsidP="00F67E9E">
      <w:pPr>
        <w:pStyle w:val="Numbered11"/>
      </w:pPr>
      <w:r w:rsidRPr="00277440">
        <w:t>All Supplier invoices shall be expressed in sterling or such other currency as shall be permitted by the Authority in writing.</w:t>
      </w:r>
    </w:p>
    <w:p w14:paraId="61FA6066" w14:textId="33B1A1C9" w:rsidR="00F67E9E" w:rsidRPr="00277440" w:rsidRDefault="00F67E9E" w:rsidP="00F67E9E">
      <w:pPr>
        <w:pStyle w:val="Numbered11"/>
      </w:pPr>
      <w:bookmarkStart w:id="1172" w:name="_9kR3WTrAG969A9HkRjDOE2y947OO8rw8F9zw8Cw"/>
      <w:bookmarkStart w:id="1173" w:name="_Ref_ContractCompanion_9kb9Us24D"/>
      <w:r w:rsidRPr="00277440">
        <w:t xml:space="preserve">The Authority shall regard an invoice as valid only if it complies with the provisions of this </w:t>
      </w:r>
      <w:r w:rsidRPr="00892D64">
        <w:fldChar w:fldCharType="begin"/>
      </w:r>
      <w:r w:rsidRPr="00892D64">
        <w:instrText xml:space="preserve"> REF Sch15PartE \h  \* MERGEFORMAT </w:instrText>
      </w:r>
      <w:r w:rsidRPr="00892D64">
        <w:fldChar w:fldCharType="separate"/>
      </w:r>
      <w:r w:rsidR="00302D39" w:rsidRPr="00D5341B">
        <w:t>P</w:t>
      </w:r>
      <w:r w:rsidR="00302D39">
        <w:t>art</w:t>
      </w:r>
      <w:r w:rsidR="00302D39" w:rsidRPr="00D5341B">
        <w:t xml:space="preserve"> E</w:t>
      </w:r>
      <w:r w:rsidRPr="00892D64">
        <w:fldChar w:fldCharType="end"/>
      </w:r>
      <w:r w:rsidRPr="00277440">
        <w:t>.</w:t>
      </w:r>
      <w:bookmarkEnd w:id="1172"/>
      <w:r>
        <w:t xml:space="preserve"> </w:t>
      </w:r>
      <w:r w:rsidRPr="00277440">
        <w:t>Where any invoice does not conform to the Authority</w:t>
      </w:r>
      <w:r>
        <w:t>’</w:t>
      </w:r>
      <w:r w:rsidRPr="00277440">
        <w:t xml:space="preserve">s requirements set out in this </w:t>
      </w:r>
      <w:r w:rsidRPr="00892D64">
        <w:fldChar w:fldCharType="begin"/>
      </w:r>
      <w:r w:rsidRPr="00892D64">
        <w:instrText xml:space="preserve"> REF Sch15PartE \h  \* MERGEFORMAT </w:instrText>
      </w:r>
      <w:r w:rsidRPr="00892D64">
        <w:fldChar w:fldCharType="separate"/>
      </w:r>
      <w:r w:rsidR="00302D39" w:rsidRPr="00D5341B">
        <w:t>P</w:t>
      </w:r>
      <w:r w:rsidR="00302D39">
        <w:t>art</w:t>
      </w:r>
      <w:r w:rsidR="00302D39" w:rsidRPr="00D5341B">
        <w:t xml:space="preserve"> E</w:t>
      </w:r>
      <w:r w:rsidRPr="00892D64">
        <w:fldChar w:fldCharType="end"/>
      </w:r>
      <w:r w:rsidRPr="00277440">
        <w:t>, the Authority shall promptly return the disputed invoice to the Supplier and the Supplier shall promptly issue a replacement invoice which shall comply with such requirements.</w:t>
      </w:r>
      <w:bookmarkEnd w:id="1173"/>
    </w:p>
    <w:p w14:paraId="5D510511" w14:textId="652D8254" w:rsidR="00F67E9E" w:rsidRPr="00277440" w:rsidRDefault="00F67E9E" w:rsidP="00F67E9E">
      <w:pPr>
        <w:pStyle w:val="Numbered11"/>
      </w:pPr>
      <w:r w:rsidRPr="00277440">
        <w:t xml:space="preserve">If </w:t>
      </w:r>
      <w:r w:rsidRPr="00BA56A1">
        <w:t xml:space="preserve">the Authority fails to consider and verify an invoice in accordance with </w:t>
      </w:r>
      <w:bookmarkStart w:id="1174" w:name="_9kMHG5YVtCIB8AIIFiTlXiC85zt3I9sx97AOQE3"/>
      <w:r w:rsidRPr="00BA56A1">
        <w:t xml:space="preserve">Paragraphs </w:t>
      </w:r>
      <w:r w:rsidRPr="00BA56A1">
        <w:fldChar w:fldCharType="begin"/>
      </w:r>
      <w:r w:rsidRPr="00BA56A1">
        <w:instrText xml:space="preserve"> REF _Ref_ContractCompanion_9kb9Us24A \n \h \t \* MERGEFORMAT </w:instrText>
      </w:r>
      <w:r w:rsidRPr="00BA56A1">
        <w:fldChar w:fldCharType="separate"/>
      </w:r>
      <w:r w:rsidR="00302D39">
        <w:t>1.4</w:t>
      </w:r>
      <w:r w:rsidRPr="00BA56A1">
        <w:fldChar w:fldCharType="end"/>
      </w:r>
      <w:bookmarkEnd w:id="1174"/>
      <w:r w:rsidRPr="00BA56A1">
        <w:t xml:space="preserve"> and </w:t>
      </w:r>
      <w:bookmarkStart w:id="1175" w:name="_9kMHG5YVtCIB8BCBJmTlFQG40B69QQAtyAHB1yA"/>
      <w:r w:rsidRPr="00BA56A1">
        <w:fldChar w:fldCharType="begin"/>
      </w:r>
      <w:r w:rsidRPr="00BA56A1">
        <w:instrText xml:space="preserve"> REF _Ref_ContractCompanion_9kb9Us24D \n \h \t \* MERGEFORMAT </w:instrText>
      </w:r>
      <w:r w:rsidRPr="00BA56A1">
        <w:fldChar w:fldCharType="separate"/>
      </w:r>
      <w:r w:rsidR="00302D39">
        <w:t>1.10</w:t>
      </w:r>
      <w:r w:rsidRPr="00BA56A1">
        <w:fldChar w:fldCharType="end"/>
      </w:r>
      <w:bookmarkEnd w:id="1175"/>
      <w:r w:rsidRPr="00BA56A1">
        <w:t xml:space="preserve">, the invoice shall be regarded as valid and undisputed for the purpose of </w:t>
      </w:r>
      <w:bookmarkStart w:id="1176" w:name="_9kMHG5YVtCIB8BFFDefvlpjzHDE8u5612DA3NQP"/>
      <w:r w:rsidRPr="00BA56A1">
        <w:t>Paragraph</w:t>
      </w:r>
      <w:r w:rsidRPr="00277440">
        <w:t xml:space="preserve"> </w:t>
      </w:r>
      <w:r w:rsidRPr="00277440">
        <w:fldChar w:fldCharType="begin"/>
      </w:r>
      <w:r w:rsidRPr="00277440">
        <w:instrText xml:space="preserve"> REF _Ref_ContractCompanion_9kb9Us257 \n \h \t \* MERGEFORMAT </w:instrText>
      </w:r>
      <w:r w:rsidRPr="00277440">
        <w:fldChar w:fldCharType="separate"/>
      </w:r>
      <w:r w:rsidR="00302D39">
        <w:t>2.1</w:t>
      </w:r>
      <w:r w:rsidRPr="00277440">
        <w:fldChar w:fldCharType="end"/>
      </w:r>
      <w:bookmarkEnd w:id="1176"/>
      <w:r w:rsidRPr="00277440">
        <w:t xml:space="preserve"> </w:t>
      </w:r>
      <w:r w:rsidRPr="00277440">
        <w:rPr>
          <w:highlight w:val="yellow"/>
        </w:rPr>
        <w:t>[</w:t>
      </w:r>
      <w:r w:rsidRPr="003053E3">
        <w:rPr>
          <w:highlight w:val="yellow"/>
        </w:rPr>
        <w:t>Payment in 30 days</w:t>
      </w:r>
      <w:r w:rsidRPr="00277440">
        <w:rPr>
          <w:highlight w:val="yellow"/>
        </w:rPr>
        <w:t>]</w:t>
      </w:r>
      <w:r w:rsidRPr="00277440">
        <w:t xml:space="preserve"> after a reasonable time has passed.</w:t>
      </w:r>
    </w:p>
    <w:p w14:paraId="083C391E" w14:textId="77777777" w:rsidR="00F67E9E" w:rsidRPr="00277440" w:rsidRDefault="00F67E9E" w:rsidP="00F67E9E">
      <w:pPr>
        <w:pStyle w:val="Numbered1"/>
      </w:pPr>
      <w:r w:rsidRPr="00FD31FC">
        <w:t>Payment</w:t>
      </w:r>
      <w:r w:rsidRPr="00277440">
        <w:t xml:space="preserve"> Terms</w:t>
      </w:r>
    </w:p>
    <w:p w14:paraId="0967E282" w14:textId="77777777" w:rsidR="00F67E9E" w:rsidRPr="00FD31FC" w:rsidRDefault="00F67E9E" w:rsidP="00F67E9E">
      <w:pPr>
        <w:pStyle w:val="Numbered11"/>
      </w:pPr>
      <w:bookmarkStart w:id="1177" w:name="_9kR3WTrAG969DDBcdtjnhxFBC6s34z0B81LONNS"/>
      <w:bookmarkStart w:id="1178" w:name="_Ref_ContractCompanion_9kb9Us257"/>
      <w:r w:rsidRPr="00277440">
        <w:t xml:space="preserve">Subject to the relevant provisions </w:t>
      </w:r>
      <w:r w:rsidRPr="00BA56A1">
        <w:t>of this Schedule, the Authority shall make payment to the Supplier within thirty (30</w:t>
      </w:r>
      <w:r w:rsidRPr="00FD31FC">
        <w:t>) days of verifying that the invoice is valid and undisputed.</w:t>
      </w:r>
      <w:bookmarkEnd w:id="1177"/>
      <w:r w:rsidRPr="00FD31FC">
        <w:t xml:space="preserve"> </w:t>
      </w:r>
      <w:bookmarkEnd w:id="1178"/>
    </w:p>
    <w:p w14:paraId="716947F3" w14:textId="77777777" w:rsidR="00F67E9E" w:rsidRDefault="00F67E9E" w:rsidP="00F67E9E">
      <w:pPr>
        <w:pStyle w:val="Numbered11"/>
      </w:pPr>
      <w:r w:rsidRPr="00FD31FC">
        <w:t>Unless the Parties agree otherwise in writing, all Supplier invoices shall be paid in sterling by electronic transfer of funds to</w:t>
      </w:r>
      <w:r w:rsidRPr="0051062F">
        <w:t xml:space="preserve"> the bank account that the Supplier has specified on its invoice.</w:t>
      </w:r>
    </w:p>
    <w:p w14:paraId="6EFA345A" w14:textId="77777777" w:rsidR="00F67E9E" w:rsidRDefault="00F67E9E" w:rsidP="00F67E9E">
      <w:pPr>
        <w:pStyle w:val="Heading2"/>
        <w:pageBreakBefore/>
      </w:pPr>
      <w:bookmarkStart w:id="1179" w:name="_Ref_ContractCompanion_9kb9Ur4CE"/>
      <w:bookmarkStart w:id="1180" w:name="_Ref_ContractCompanion_9kb9Ur4CG"/>
      <w:bookmarkStart w:id="1181" w:name="_Ref_ContractCompanion_9kb9Ur4CI"/>
      <w:bookmarkStart w:id="1182" w:name="_Ref_ContractCompanion_9kb9Ur6A7"/>
      <w:bookmarkStart w:id="1183" w:name="_Ref_ContractCompanion_9kb9Ur6A9"/>
      <w:bookmarkStart w:id="1184" w:name="_Ref_ContractCompanion_9kb9Ur6CC"/>
      <w:bookmarkStart w:id="1185" w:name="_Ref_ContractCompanion_9kb9Ur6CE"/>
      <w:bookmarkStart w:id="1186" w:name="_Ref_ContractCompanion_9kb9Ur6CG"/>
      <w:bookmarkStart w:id="1187" w:name="_Ref_ContractCompanion_9kb9Ur6D9"/>
      <w:bookmarkStart w:id="1188" w:name="_Ref_ContractCompanion_9kb9Ur6DB"/>
      <w:bookmarkStart w:id="1189" w:name="_Ref_ContractCompanion_9kb9Ur6DD"/>
      <w:bookmarkStart w:id="1190" w:name="_Ref_ContractCompanion_9kb9Ur6DF"/>
      <w:bookmarkStart w:id="1191" w:name="_Ref_ContractCompanion_9kb9Ur6DH"/>
      <w:bookmarkStart w:id="1192" w:name="_Ref_ContractCompanion_9kb9Ur7A4"/>
      <w:bookmarkStart w:id="1193" w:name="_Ref_ContractCompanion_9kb9Ur7A6"/>
      <w:bookmarkStart w:id="1194" w:name="_Ref_ContractCompanion_9kb9Ur7A8"/>
      <w:bookmarkStart w:id="1195" w:name="_Ref_ContractCompanion_9kb9Ur7AA"/>
      <w:bookmarkStart w:id="1196" w:name="_Ref_ContractCompanion_9kb9Ur7AC"/>
      <w:bookmarkStart w:id="1197" w:name="_Ref_ContractCompanion_9kb9Ur7B5"/>
      <w:bookmarkStart w:id="1198" w:name="_Toc141711943"/>
      <w:r w:rsidRPr="00BA56A1">
        <w:t xml:space="preserve">Annex </w:t>
      </w:r>
      <w:bookmarkStart w:id="1199" w:name="ANNEX1_SCHEDULE15"/>
      <w:r w:rsidRPr="00BA56A1">
        <w:t>1</w:t>
      </w:r>
      <w:bookmarkEnd w:id="1199"/>
      <w:r w:rsidRPr="00BA56A1">
        <w:t>: Pricing Mechanism</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p>
    <w:p w14:paraId="0FB7634C" w14:textId="77777777" w:rsidR="00F67E9E" w:rsidRPr="00BA56A1" w:rsidRDefault="00F67E9E" w:rsidP="00F67E9E">
      <w:pPr>
        <w:pStyle w:val="AppendixText1"/>
        <w:numPr>
          <w:ilvl w:val="0"/>
          <w:numId w:val="58"/>
        </w:numPr>
      </w:pPr>
      <w:bookmarkStart w:id="1200" w:name="_9kR3WTr2CC5FOjsbnrY"/>
      <w:r w:rsidRPr="00BA56A1">
        <w:t>Table 1</w:t>
      </w:r>
      <w:bookmarkEnd w:id="1200"/>
      <w:r w:rsidRPr="00BA56A1">
        <w:t xml:space="preserve">: Supplier </w:t>
      </w:r>
      <w:r w:rsidRPr="00FD31FC">
        <w:t>Personnel</w:t>
      </w:r>
      <w:r w:rsidRPr="00BA56A1">
        <w:t xml:space="preserve"> Rate Card </w:t>
      </w:r>
      <w:r>
        <w:t>f</w:t>
      </w:r>
      <w:r w:rsidRPr="00BA56A1">
        <w:t xml:space="preserve">or Calculation </w:t>
      </w:r>
      <w:r>
        <w:t>o</w:t>
      </w:r>
      <w:r w:rsidRPr="00BA56A1">
        <w:t xml:space="preserve">f Time </w:t>
      </w:r>
      <w:r>
        <w:t>a</w:t>
      </w:r>
      <w:r w:rsidRPr="00BA56A1">
        <w:t>nd Materials Charges</w:t>
      </w:r>
    </w:p>
    <w:tbl>
      <w:tblPr>
        <w:tblStyle w:val="MSATable-header"/>
        <w:tblW w:w="0" w:type="auto"/>
        <w:tblInd w:w="680" w:type="dxa"/>
        <w:tblLook w:val="04A0" w:firstRow="1" w:lastRow="0" w:firstColumn="1" w:lastColumn="0" w:noHBand="0" w:noVBand="1"/>
      </w:tblPr>
      <w:tblGrid>
        <w:gridCol w:w="4535"/>
        <w:gridCol w:w="4535"/>
      </w:tblGrid>
      <w:tr w:rsidR="00F67E9E" w:rsidRPr="000035DE" w14:paraId="65D84078" w14:textId="77777777" w:rsidTr="007F74AA">
        <w:trPr>
          <w:cnfStyle w:val="100000000000" w:firstRow="1" w:lastRow="0" w:firstColumn="0" w:lastColumn="0" w:oddVBand="0" w:evenVBand="0" w:oddHBand="0" w:evenHBand="0" w:firstRowFirstColumn="0" w:firstRowLastColumn="0" w:lastRowFirstColumn="0" w:lastRowLastColumn="0"/>
          <w:trHeight w:val="57"/>
          <w:tblHeader/>
        </w:trPr>
        <w:tc>
          <w:tcPr>
            <w:tcW w:w="4535" w:type="dxa"/>
            <w:vAlign w:val="bottom"/>
          </w:tcPr>
          <w:p w14:paraId="0969252B" w14:textId="77777777" w:rsidR="00F67E9E" w:rsidRPr="000035DE" w:rsidRDefault="00F67E9E" w:rsidP="007F74AA">
            <w:pPr>
              <w:pStyle w:val="StdBodyTextBold"/>
              <w:spacing w:before="0" w:after="0"/>
              <w:rPr>
                <w:rFonts w:cs="Arial"/>
                <w:b/>
                <w:bCs/>
              </w:rPr>
            </w:pPr>
            <w:r w:rsidRPr="000035DE">
              <w:rPr>
                <w:rFonts w:cs="Arial"/>
                <w:b/>
                <w:bCs/>
              </w:rPr>
              <w:t>Staff Grade</w:t>
            </w:r>
          </w:p>
        </w:tc>
        <w:tc>
          <w:tcPr>
            <w:tcW w:w="4535" w:type="dxa"/>
            <w:vAlign w:val="bottom"/>
          </w:tcPr>
          <w:p w14:paraId="21C38BD5" w14:textId="77777777" w:rsidR="00F67E9E" w:rsidRPr="000035DE" w:rsidRDefault="00F67E9E" w:rsidP="007F74AA">
            <w:pPr>
              <w:pStyle w:val="StdBodyTextBold"/>
              <w:spacing w:before="0" w:after="0"/>
              <w:rPr>
                <w:rFonts w:cs="Arial"/>
                <w:b/>
                <w:bCs/>
              </w:rPr>
            </w:pPr>
            <w:r w:rsidRPr="000035DE">
              <w:rPr>
                <w:rFonts w:cs="Arial"/>
                <w:b/>
                <w:bCs/>
              </w:rPr>
              <w:t>Day Rate (£)</w:t>
            </w:r>
          </w:p>
        </w:tc>
      </w:tr>
      <w:tr w:rsidR="00F67E9E" w:rsidRPr="00277440" w14:paraId="7DF2A68D" w14:textId="77777777" w:rsidTr="007F74AA">
        <w:trPr>
          <w:trHeight w:val="57"/>
        </w:trPr>
        <w:tc>
          <w:tcPr>
            <w:tcW w:w="4535" w:type="dxa"/>
          </w:tcPr>
          <w:p w14:paraId="342E307C" w14:textId="77777777" w:rsidR="00F67E9E" w:rsidRPr="00277440" w:rsidRDefault="00F67E9E" w:rsidP="007F74AA">
            <w:pPr>
              <w:pStyle w:val="StdBodyText1"/>
              <w:spacing w:before="0" w:after="0"/>
              <w:ind w:left="0"/>
              <w:rPr>
                <w:rFonts w:cs="Arial"/>
              </w:rPr>
            </w:pPr>
          </w:p>
        </w:tc>
        <w:tc>
          <w:tcPr>
            <w:tcW w:w="4535" w:type="dxa"/>
          </w:tcPr>
          <w:p w14:paraId="6B06C64F" w14:textId="77777777" w:rsidR="00F67E9E" w:rsidRPr="00277440" w:rsidRDefault="00F67E9E" w:rsidP="007F74AA">
            <w:pPr>
              <w:pStyle w:val="StdBodyText1"/>
              <w:spacing w:before="0" w:after="0"/>
              <w:ind w:left="0"/>
              <w:rPr>
                <w:rFonts w:cs="Arial"/>
              </w:rPr>
            </w:pPr>
          </w:p>
        </w:tc>
      </w:tr>
      <w:tr w:rsidR="00F67E9E" w:rsidRPr="00277440" w14:paraId="38F95DA5" w14:textId="77777777" w:rsidTr="007F74AA">
        <w:trPr>
          <w:trHeight w:val="57"/>
        </w:trPr>
        <w:tc>
          <w:tcPr>
            <w:tcW w:w="4535" w:type="dxa"/>
          </w:tcPr>
          <w:p w14:paraId="60EC781D" w14:textId="77777777" w:rsidR="00F67E9E" w:rsidRPr="00277440" w:rsidRDefault="00F67E9E" w:rsidP="007F74AA">
            <w:pPr>
              <w:pStyle w:val="StdBodyText1"/>
              <w:spacing w:before="0" w:after="0"/>
              <w:ind w:left="0"/>
              <w:rPr>
                <w:rFonts w:cs="Arial"/>
              </w:rPr>
            </w:pPr>
          </w:p>
        </w:tc>
        <w:tc>
          <w:tcPr>
            <w:tcW w:w="4535" w:type="dxa"/>
          </w:tcPr>
          <w:p w14:paraId="6AC8EB57" w14:textId="77777777" w:rsidR="00F67E9E" w:rsidRPr="00277440" w:rsidRDefault="00F67E9E" w:rsidP="007F74AA">
            <w:pPr>
              <w:pStyle w:val="StdBodyText1"/>
              <w:spacing w:before="0" w:after="0"/>
              <w:ind w:left="0"/>
              <w:rPr>
                <w:rFonts w:cs="Arial"/>
              </w:rPr>
            </w:pPr>
          </w:p>
        </w:tc>
      </w:tr>
    </w:tbl>
    <w:p w14:paraId="518A524A" w14:textId="77777777" w:rsidR="00F67E9E" w:rsidRPr="00277440" w:rsidRDefault="00F67E9E" w:rsidP="00F67E9E">
      <w:pPr>
        <w:pStyle w:val="AppendixText1"/>
      </w:pPr>
      <w:bookmarkStart w:id="1201" w:name="_9kR3WTr2CC676asbnrZ"/>
      <w:r w:rsidRPr="00277440">
        <w:t>Table 2</w:t>
      </w:r>
      <w:bookmarkEnd w:id="1201"/>
      <w:r w:rsidRPr="00277440">
        <w:t xml:space="preserve">: </w:t>
      </w:r>
      <w:r w:rsidRPr="00FD31FC">
        <w:t>Maximum</w:t>
      </w:r>
      <w:r w:rsidRPr="00277440">
        <w:t xml:space="preserve"> Time </w:t>
      </w:r>
      <w:r>
        <w:t>a</w:t>
      </w:r>
      <w:r w:rsidRPr="00277440">
        <w:t>nd Materials Charges</w:t>
      </w:r>
    </w:p>
    <w:tbl>
      <w:tblPr>
        <w:tblStyle w:val="MSATable-header"/>
        <w:tblW w:w="0" w:type="auto"/>
        <w:tblInd w:w="680" w:type="dxa"/>
        <w:tblLook w:val="04A0" w:firstRow="1" w:lastRow="0" w:firstColumn="1" w:lastColumn="0" w:noHBand="0" w:noVBand="1"/>
      </w:tblPr>
      <w:tblGrid>
        <w:gridCol w:w="2268"/>
        <w:gridCol w:w="6803"/>
      </w:tblGrid>
      <w:tr w:rsidR="00F67E9E" w:rsidRPr="000035DE" w14:paraId="11796F1F" w14:textId="77777777" w:rsidTr="007F74AA">
        <w:trPr>
          <w:cnfStyle w:val="100000000000" w:firstRow="1" w:lastRow="0" w:firstColumn="0" w:lastColumn="0" w:oddVBand="0" w:evenVBand="0" w:oddHBand="0" w:evenHBand="0" w:firstRowFirstColumn="0" w:firstRowLastColumn="0" w:lastRowFirstColumn="0" w:lastRowLastColumn="0"/>
          <w:trHeight w:val="57"/>
          <w:tblHeader/>
        </w:trPr>
        <w:tc>
          <w:tcPr>
            <w:tcW w:w="2268" w:type="dxa"/>
          </w:tcPr>
          <w:p w14:paraId="4283C86F" w14:textId="77777777" w:rsidR="00F67E9E" w:rsidRPr="000035DE" w:rsidRDefault="00F67E9E" w:rsidP="007F74AA">
            <w:pPr>
              <w:pStyle w:val="StdBodyTextBold"/>
              <w:spacing w:before="0" w:after="0"/>
              <w:rPr>
                <w:rFonts w:cs="Arial"/>
                <w:b/>
                <w:bCs/>
              </w:rPr>
            </w:pPr>
            <w:r w:rsidRPr="000035DE">
              <w:rPr>
                <w:rFonts w:cs="Arial"/>
                <w:b/>
                <w:bCs/>
              </w:rPr>
              <w:t>Charge Number</w:t>
            </w:r>
          </w:p>
        </w:tc>
        <w:tc>
          <w:tcPr>
            <w:tcW w:w="6803" w:type="dxa"/>
          </w:tcPr>
          <w:p w14:paraId="54AD2536" w14:textId="77777777" w:rsidR="00F67E9E" w:rsidRPr="000035DE" w:rsidRDefault="00F67E9E" w:rsidP="007F74AA">
            <w:pPr>
              <w:pStyle w:val="StdBodyTextBold"/>
              <w:spacing w:before="0" w:after="0"/>
              <w:rPr>
                <w:rFonts w:cs="Arial"/>
                <w:b/>
                <w:bCs/>
              </w:rPr>
            </w:pPr>
            <w:r w:rsidRPr="000035DE">
              <w:rPr>
                <w:rFonts w:cs="Arial"/>
                <w:b/>
                <w:bCs/>
              </w:rPr>
              <w:t>Maximum Time and Materials Charges (the cap) (£)</w:t>
            </w:r>
          </w:p>
        </w:tc>
      </w:tr>
      <w:tr w:rsidR="00F67E9E" w:rsidRPr="00277440" w14:paraId="369A2343" w14:textId="77777777" w:rsidTr="007F74AA">
        <w:trPr>
          <w:trHeight w:val="57"/>
        </w:trPr>
        <w:tc>
          <w:tcPr>
            <w:tcW w:w="9071" w:type="dxa"/>
            <w:gridSpan w:val="2"/>
            <w:shd w:val="clear" w:color="auto" w:fill="F0F0F0"/>
          </w:tcPr>
          <w:p w14:paraId="7AA8BE51" w14:textId="77777777" w:rsidR="00F67E9E" w:rsidRPr="00277440" w:rsidRDefault="00F67E9E" w:rsidP="007F74AA">
            <w:pPr>
              <w:pStyle w:val="StdBodyTextBold"/>
              <w:spacing w:before="0" w:after="0"/>
              <w:rPr>
                <w:rFonts w:cs="Arial"/>
                <w:highlight w:val="yellow"/>
              </w:rPr>
            </w:pPr>
            <w:r w:rsidRPr="00277440">
              <w:rPr>
                <w:rFonts w:cs="Arial"/>
                <w:highlight w:val="yellow"/>
              </w:rPr>
              <w:t>[Service Line 1]</w:t>
            </w:r>
          </w:p>
        </w:tc>
      </w:tr>
      <w:tr w:rsidR="00F67E9E" w:rsidRPr="00277440" w14:paraId="779F064A" w14:textId="77777777" w:rsidTr="007F74AA">
        <w:trPr>
          <w:trHeight w:val="57"/>
        </w:trPr>
        <w:tc>
          <w:tcPr>
            <w:tcW w:w="2268" w:type="dxa"/>
          </w:tcPr>
          <w:p w14:paraId="5247824D" w14:textId="77777777" w:rsidR="00F67E9E" w:rsidRPr="00277440" w:rsidRDefault="00F67E9E" w:rsidP="007F74AA">
            <w:pPr>
              <w:pStyle w:val="StdBodyText1"/>
              <w:spacing w:before="0" w:after="0"/>
              <w:ind w:left="0"/>
              <w:rPr>
                <w:rFonts w:cs="Arial"/>
              </w:rPr>
            </w:pPr>
            <w:r w:rsidRPr="00277440">
              <w:rPr>
                <w:rFonts w:cs="Arial"/>
                <w:highlight w:val="yellow"/>
              </w:rPr>
              <w:t>[e.g. S1M1]</w:t>
            </w:r>
          </w:p>
        </w:tc>
        <w:tc>
          <w:tcPr>
            <w:tcW w:w="6803" w:type="dxa"/>
          </w:tcPr>
          <w:p w14:paraId="1C5EB052" w14:textId="77777777" w:rsidR="00F67E9E" w:rsidRPr="00277440" w:rsidRDefault="00F67E9E" w:rsidP="007F74AA">
            <w:pPr>
              <w:pStyle w:val="StdBodyText1"/>
              <w:spacing w:before="0" w:after="0"/>
              <w:ind w:left="0"/>
              <w:rPr>
                <w:rFonts w:cs="Arial"/>
              </w:rPr>
            </w:pPr>
          </w:p>
        </w:tc>
      </w:tr>
      <w:tr w:rsidR="00F67E9E" w:rsidRPr="00277440" w14:paraId="6241A1A7" w14:textId="77777777" w:rsidTr="007F74AA">
        <w:trPr>
          <w:trHeight w:val="57"/>
        </w:trPr>
        <w:tc>
          <w:tcPr>
            <w:tcW w:w="2268" w:type="dxa"/>
            <w:tcBorders>
              <w:bottom w:val="single" w:sz="4" w:space="0" w:color="auto"/>
            </w:tcBorders>
          </w:tcPr>
          <w:p w14:paraId="2AC1302F" w14:textId="77777777" w:rsidR="00F67E9E" w:rsidRPr="00277440" w:rsidRDefault="00F67E9E" w:rsidP="007F74AA">
            <w:pPr>
              <w:pStyle w:val="StdBodyText1"/>
              <w:spacing w:before="0" w:after="0"/>
              <w:ind w:left="0"/>
              <w:rPr>
                <w:rFonts w:cs="Arial"/>
              </w:rPr>
            </w:pPr>
            <w:r w:rsidRPr="00277440">
              <w:rPr>
                <w:rFonts w:cs="Arial"/>
                <w:highlight w:val="yellow"/>
              </w:rPr>
              <w:t>[e.g. S2M2]</w:t>
            </w:r>
          </w:p>
        </w:tc>
        <w:tc>
          <w:tcPr>
            <w:tcW w:w="6803" w:type="dxa"/>
            <w:tcBorders>
              <w:bottom w:val="single" w:sz="4" w:space="0" w:color="auto"/>
            </w:tcBorders>
          </w:tcPr>
          <w:p w14:paraId="506232BF" w14:textId="77777777" w:rsidR="00F67E9E" w:rsidRPr="00277440" w:rsidRDefault="00F67E9E" w:rsidP="007F74AA">
            <w:pPr>
              <w:pStyle w:val="StdBodyText1"/>
              <w:spacing w:before="0" w:after="0"/>
              <w:ind w:left="0"/>
              <w:rPr>
                <w:rFonts w:cs="Arial"/>
              </w:rPr>
            </w:pPr>
          </w:p>
        </w:tc>
      </w:tr>
      <w:tr w:rsidR="00F67E9E" w:rsidRPr="00277440" w14:paraId="4F5ED7B5" w14:textId="77777777" w:rsidTr="007F74AA">
        <w:trPr>
          <w:trHeight w:val="57"/>
        </w:trPr>
        <w:tc>
          <w:tcPr>
            <w:tcW w:w="9071" w:type="dxa"/>
            <w:gridSpan w:val="2"/>
            <w:shd w:val="clear" w:color="auto" w:fill="F0F0F0"/>
          </w:tcPr>
          <w:p w14:paraId="0AE35C76" w14:textId="77777777" w:rsidR="00F67E9E" w:rsidRPr="00277440" w:rsidRDefault="00F67E9E" w:rsidP="007F74AA">
            <w:pPr>
              <w:pStyle w:val="StdBodyTextBold"/>
              <w:spacing w:before="0" w:after="0"/>
              <w:rPr>
                <w:rFonts w:cs="Arial"/>
                <w:highlight w:val="yellow"/>
              </w:rPr>
            </w:pPr>
            <w:r w:rsidRPr="00277440">
              <w:rPr>
                <w:rFonts w:cs="Arial"/>
                <w:highlight w:val="yellow"/>
              </w:rPr>
              <w:t>[Service Line 2]</w:t>
            </w:r>
          </w:p>
        </w:tc>
      </w:tr>
      <w:tr w:rsidR="00F67E9E" w:rsidRPr="00277440" w14:paraId="43072CAA" w14:textId="77777777" w:rsidTr="007F74AA">
        <w:trPr>
          <w:trHeight w:val="57"/>
        </w:trPr>
        <w:tc>
          <w:tcPr>
            <w:tcW w:w="2268" w:type="dxa"/>
          </w:tcPr>
          <w:p w14:paraId="0486277B" w14:textId="77777777" w:rsidR="00F67E9E" w:rsidRPr="00277440" w:rsidRDefault="00F67E9E" w:rsidP="007F74AA">
            <w:pPr>
              <w:pStyle w:val="StdBodyText1"/>
              <w:spacing w:before="0" w:after="0"/>
              <w:ind w:left="0"/>
              <w:rPr>
                <w:rFonts w:cs="Arial"/>
              </w:rPr>
            </w:pPr>
            <w:r w:rsidRPr="00277440">
              <w:rPr>
                <w:rFonts w:cs="Arial"/>
                <w:highlight w:val="yellow"/>
              </w:rPr>
              <w:t>[e.g. S2M1]</w:t>
            </w:r>
          </w:p>
        </w:tc>
        <w:tc>
          <w:tcPr>
            <w:tcW w:w="6803" w:type="dxa"/>
          </w:tcPr>
          <w:p w14:paraId="29A53C4D" w14:textId="77777777" w:rsidR="00F67E9E" w:rsidRPr="00277440" w:rsidRDefault="00F67E9E" w:rsidP="007F74AA">
            <w:pPr>
              <w:pStyle w:val="StdBodyText1"/>
              <w:spacing w:before="0" w:after="0"/>
              <w:ind w:left="0"/>
              <w:rPr>
                <w:rFonts w:cs="Arial"/>
              </w:rPr>
            </w:pPr>
          </w:p>
        </w:tc>
      </w:tr>
      <w:tr w:rsidR="00F67E9E" w:rsidRPr="00277440" w14:paraId="60968225" w14:textId="77777777" w:rsidTr="007F74AA">
        <w:trPr>
          <w:trHeight w:val="57"/>
        </w:trPr>
        <w:tc>
          <w:tcPr>
            <w:tcW w:w="2268" w:type="dxa"/>
            <w:tcBorders>
              <w:bottom w:val="single" w:sz="4" w:space="0" w:color="auto"/>
            </w:tcBorders>
          </w:tcPr>
          <w:p w14:paraId="054955AC" w14:textId="77777777" w:rsidR="00F67E9E" w:rsidRPr="00277440" w:rsidRDefault="00F67E9E" w:rsidP="007F74AA">
            <w:pPr>
              <w:pStyle w:val="StdBodyText1"/>
              <w:spacing w:before="0" w:after="0"/>
              <w:ind w:left="0"/>
              <w:rPr>
                <w:rFonts w:cs="Arial"/>
              </w:rPr>
            </w:pPr>
            <w:r w:rsidRPr="00277440">
              <w:rPr>
                <w:rFonts w:cs="Arial"/>
                <w:highlight w:val="yellow"/>
              </w:rPr>
              <w:t>[e.g. S2M2]</w:t>
            </w:r>
          </w:p>
        </w:tc>
        <w:tc>
          <w:tcPr>
            <w:tcW w:w="6803" w:type="dxa"/>
            <w:tcBorders>
              <w:bottom w:val="single" w:sz="4" w:space="0" w:color="auto"/>
            </w:tcBorders>
          </w:tcPr>
          <w:p w14:paraId="696847C7" w14:textId="77777777" w:rsidR="00F67E9E" w:rsidRPr="00277440" w:rsidRDefault="00F67E9E" w:rsidP="007F74AA">
            <w:pPr>
              <w:pStyle w:val="StdBodyText1"/>
              <w:spacing w:before="0" w:after="0"/>
              <w:ind w:left="0"/>
              <w:rPr>
                <w:rFonts w:cs="Arial"/>
              </w:rPr>
            </w:pPr>
          </w:p>
        </w:tc>
      </w:tr>
      <w:tr w:rsidR="00F67E9E" w:rsidRPr="00277440" w14:paraId="20B8FE80" w14:textId="77777777" w:rsidTr="007F74AA">
        <w:trPr>
          <w:trHeight w:val="57"/>
        </w:trPr>
        <w:tc>
          <w:tcPr>
            <w:tcW w:w="9071" w:type="dxa"/>
            <w:gridSpan w:val="2"/>
            <w:shd w:val="clear" w:color="auto" w:fill="F0F0F0"/>
          </w:tcPr>
          <w:p w14:paraId="090BB204" w14:textId="77777777" w:rsidR="00F67E9E" w:rsidRPr="00277440" w:rsidRDefault="00F67E9E" w:rsidP="007F74AA">
            <w:pPr>
              <w:pStyle w:val="StdBodyTextBold"/>
              <w:spacing w:before="0" w:after="0"/>
              <w:rPr>
                <w:rFonts w:cs="Arial"/>
                <w:highlight w:val="yellow"/>
              </w:rPr>
            </w:pPr>
            <w:r w:rsidRPr="00277440">
              <w:rPr>
                <w:rFonts w:cs="Arial"/>
                <w:highlight w:val="yellow"/>
              </w:rPr>
              <w:t>[Service Line [X] - insert further rows as necessary]</w:t>
            </w:r>
          </w:p>
        </w:tc>
      </w:tr>
      <w:tr w:rsidR="00F67E9E" w:rsidRPr="00277440" w14:paraId="75F9A2E0" w14:textId="77777777" w:rsidTr="007F74AA">
        <w:trPr>
          <w:trHeight w:val="57"/>
        </w:trPr>
        <w:tc>
          <w:tcPr>
            <w:tcW w:w="2268" w:type="dxa"/>
          </w:tcPr>
          <w:p w14:paraId="74082D11" w14:textId="77777777" w:rsidR="00F67E9E" w:rsidRPr="00277440" w:rsidRDefault="00F67E9E" w:rsidP="007F74AA">
            <w:pPr>
              <w:pStyle w:val="StdBodyText1"/>
              <w:spacing w:before="0" w:after="0"/>
              <w:ind w:left="0"/>
              <w:rPr>
                <w:rFonts w:cs="Arial"/>
              </w:rPr>
            </w:pPr>
            <w:r w:rsidRPr="00277440">
              <w:rPr>
                <w:rFonts w:cs="Arial"/>
                <w:highlight w:val="yellow"/>
              </w:rPr>
              <w:t>[etc.]</w:t>
            </w:r>
          </w:p>
        </w:tc>
        <w:tc>
          <w:tcPr>
            <w:tcW w:w="6803" w:type="dxa"/>
          </w:tcPr>
          <w:p w14:paraId="78B5EAB2" w14:textId="77777777" w:rsidR="00F67E9E" w:rsidRPr="00277440" w:rsidRDefault="00F67E9E" w:rsidP="007F74AA">
            <w:pPr>
              <w:pStyle w:val="StdBodyText1"/>
              <w:spacing w:before="0" w:after="0"/>
              <w:ind w:left="0"/>
              <w:rPr>
                <w:rFonts w:cs="Arial"/>
              </w:rPr>
            </w:pPr>
          </w:p>
        </w:tc>
      </w:tr>
    </w:tbl>
    <w:p w14:paraId="04EA6117" w14:textId="77777777" w:rsidR="00F67E9E" w:rsidRPr="00277440" w:rsidRDefault="00F67E9E" w:rsidP="00F67E9E">
      <w:pPr>
        <w:pStyle w:val="AppendixText1"/>
      </w:pPr>
      <w:bookmarkStart w:id="1202" w:name="_9kR3WTr2CC677bsbnra"/>
      <w:r w:rsidRPr="00277440">
        <w:t>Table 3</w:t>
      </w:r>
      <w:bookmarkEnd w:id="1202"/>
      <w:r w:rsidRPr="00277440">
        <w:t xml:space="preserve">: Day Cost </w:t>
      </w:r>
      <w:r>
        <w:t>f</w:t>
      </w:r>
      <w:r w:rsidRPr="00277440">
        <w:t xml:space="preserve">or Calculation </w:t>
      </w:r>
      <w:r>
        <w:t>o</w:t>
      </w:r>
      <w:r w:rsidRPr="00277440">
        <w:t xml:space="preserve">f Guaranteed Maximum Price </w:t>
      </w:r>
      <w:r>
        <w:t>w</w:t>
      </w:r>
      <w:r w:rsidRPr="00277440">
        <w:t>ith Target Cost Charges</w:t>
      </w:r>
    </w:p>
    <w:tbl>
      <w:tblPr>
        <w:tblStyle w:val="MSATable-header"/>
        <w:tblW w:w="0" w:type="auto"/>
        <w:tblInd w:w="680" w:type="dxa"/>
        <w:tblLook w:val="04A0" w:firstRow="1" w:lastRow="0" w:firstColumn="1" w:lastColumn="0" w:noHBand="0" w:noVBand="1"/>
      </w:tblPr>
      <w:tblGrid>
        <w:gridCol w:w="4535"/>
        <w:gridCol w:w="4535"/>
      </w:tblGrid>
      <w:tr w:rsidR="00F67E9E" w:rsidRPr="000035DE" w14:paraId="4E5382FE" w14:textId="77777777" w:rsidTr="007F74AA">
        <w:trPr>
          <w:cnfStyle w:val="100000000000" w:firstRow="1" w:lastRow="0" w:firstColumn="0" w:lastColumn="0" w:oddVBand="0" w:evenVBand="0" w:oddHBand="0" w:evenHBand="0" w:firstRowFirstColumn="0" w:firstRowLastColumn="0" w:lastRowFirstColumn="0" w:lastRowLastColumn="0"/>
          <w:trHeight w:val="57"/>
          <w:tblHeader/>
        </w:trPr>
        <w:tc>
          <w:tcPr>
            <w:tcW w:w="4535" w:type="dxa"/>
            <w:vAlign w:val="bottom"/>
          </w:tcPr>
          <w:p w14:paraId="2E9B709F" w14:textId="77777777" w:rsidR="00F67E9E" w:rsidRPr="000035DE" w:rsidRDefault="00F67E9E" w:rsidP="007F74AA">
            <w:pPr>
              <w:pStyle w:val="StdBodyTextBold"/>
              <w:spacing w:before="0" w:after="0"/>
              <w:rPr>
                <w:rFonts w:cs="Arial"/>
                <w:b/>
                <w:bCs/>
              </w:rPr>
            </w:pPr>
            <w:r w:rsidRPr="000035DE">
              <w:rPr>
                <w:rFonts w:cs="Arial"/>
                <w:b/>
                <w:bCs/>
              </w:rPr>
              <w:t>Supplier Personnel Grade</w:t>
            </w:r>
          </w:p>
        </w:tc>
        <w:tc>
          <w:tcPr>
            <w:tcW w:w="4535" w:type="dxa"/>
            <w:vAlign w:val="bottom"/>
          </w:tcPr>
          <w:p w14:paraId="1C3C3F42" w14:textId="77777777" w:rsidR="00F67E9E" w:rsidRPr="000035DE" w:rsidRDefault="00F67E9E" w:rsidP="007F74AA">
            <w:pPr>
              <w:pStyle w:val="StdBodyTextBold"/>
              <w:spacing w:before="0" w:after="0"/>
              <w:rPr>
                <w:rFonts w:cs="Arial"/>
                <w:b/>
                <w:bCs/>
              </w:rPr>
            </w:pPr>
            <w:r w:rsidRPr="000035DE">
              <w:rPr>
                <w:rFonts w:cs="Arial"/>
                <w:b/>
                <w:bCs/>
              </w:rPr>
              <w:t>Day Cost (£)</w:t>
            </w:r>
          </w:p>
        </w:tc>
      </w:tr>
      <w:tr w:rsidR="00F67E9E" w:rsidRPr="00277440" w14:paraId="6B10F70E" w14:textId="77777777" w:rsidTr="007F74AA">
        <w:trPr>
          <w:trHeight w:val="57"/>
        </w:trPr>
        <w:tc>
          <w:tcPr>
            <w:tcW w:w="4535" w:type="dxa"/>
          </w:tcPr>
          <w:p w14:paraId="74D53711" w14:textId="77777777" w:rsidR="00F67E9E" w:rsidRPr="00277440" w:rsidRDefault="00F67E9E" w:rsidP="007F74AA">
            <w:pPr>
              <w:pStyle w:val="StdBodyText"/>
              <w:spacing w:before="0" w:after="0"/>
            </w:pPr>
          </w:p>
        </w:tc>
        <w:tc>
          <w:tcPr>
            <w:tcW w:w="4535" w:type="dxa"/>
          </w:tcPr>
          <w:p w14:paraId="32AE7D7D" w14:textId="77777777" w:rsidR="00F67E9E" w:rsidRPr="00277440" w:rsidRDefault="00F67E9E" w:rsidP="007F74AA">
            <w:pPr>
              <w:pStyle w:val="StdBodyText"/>
              <w:spacing w:before="0" w:after="0"/>
            </w:pPr>
          </w:p>
        </w:tc>
      </w:tr>
      <w:tr w:rsidR="00F67E9E" w:rsidRPr="00277440" w14:paraId="064BDF21" w14:textId="77777777" w:rsidTr="007F74AA">
        <w:trPr>
          <w:trHeight w:val="57"/>
        </w:trPr>
        <w:tc>
          <w:tcPr>
            <w:tcW w:w="4535" w:type="dxa"/>
          </w:tcPr>
          <w:p w14:paraId="04E2BB57" w14:textId="77777777" w:rsidR="00F67E9E" w:rsidRPr="00277440" w:rsidRDefault="00F67E9E" w:rsidP="007F74AA">
            <w:pPr>
              <w:pStyle w:val="StdBodyText"/>
              <w:spacing w:before="0" w:after="0"/>
            </w:pPr>
          </w:p>
        </w:tc>
        <w:tc>
          <w:tcPr>
            <w:tcW w:w="4535" w:type="dxa"/>
          </w:tcPr>
          <w:p w14:paraId="0939B7C6" w14:textId="77777777" w:rsidR="00F67E9E" w:rsidRPr="00277440" w:rsidRDefault="00F67E9E" w:rsidP="007F74AA">
            <w:pPr>
              <w:pStyle w:val="StdBodyText"/>
              <w:spacing w:before="0" w:after="0"/>
            </w:pPr>
          </w:p>
        </w:tc>
      </w:tr>
    </w:tbl>
    <w:p w14:paraId="27BBB14F" w14:textId="77777777" w:rsidR="00F67E9E" w:rsidRPr="00277440" w:rsidRDefault="00F67E9E" w:rsidP="00F67E9E">
      <w:pPr>
        <w:pStyle w:val="AppendixText1"/>
      </w:pPr>
      <w:bookmarkStart w:id="1203" w:name="_9kMML5YVt4EE7FMjKZlp9"/>
      <w:r w:rsidRPr="00277440">
        <w:t>Table 4</w:t>
      </w:r>
      <w:bookmarkEnd w:id="1203"/>
      <w:r w:rsidRPr="00277440">
        <w:t xml:space="preserve">: Guaranteed Maximum Price </w:t>
      </w:r>
      <w:r w:rsidRPr="00FD31FC">
        <w:t>with</w:t>
      </w:r>
      <w:r w:rsidRPr="00277440">
        <w:t xml:space="preserve"> Target Costs Charges</w:t>
      </w:r>
    </w:p>
    <w:tbl>
      <w:tblPr>
        <w:tblStyle w:val="MSATable-header"/>
        <w:tblW w:w="0" w:type="auto"/>
        <w:tblInd w:w="680" w:type="dxa"/>
        <w:tblLook w:val="04A0" w:firstRow="1" w:lastRow="0" w:firstColumn="1" w:lastColumn="0" w:noHBand="0" w:noVBand="1"/>
      </w:tblPr>
      <w:tblGrid>
        <w:gridCol w:w="1871"/>
        <w:gridCol w:w="1871"/>
        <w:gridCol w:w="1871"/>
        <w:gridCol w:w="1871"/>
        <w:gridCol w:w="1984"/>
      </w:tblGrid>
      <w:tr w:rsidR="00F67E9E" w:rsidRPr="00972C2D" w14:paraId="77F791DF" w14:textId="77777777" w:rsidTr="007F74AA">
        <w:trPr>
          <w:cnfStyle w:val="100000000000" w:firstRow="1" w:lastRow="0" w:firstColumn="0" w:lastColumn="0" w:oddVBand="0" w:evenVBand="0" w:oddHBand="0" w:evenHBand="0" w:firstRowFirstColumn="0" w:firstRowLastColumn="0" w:lastRowFirstColumn="0" w:lastRowLastColumn="0"/>
          <w:tblHeader/>
        </w:trPr>
        <w:tc>
          <w:tcPr>
            <w:tcW w:w="1871" w:type="dxa"/>
            <w:vAlign w:val="bottom"/>
          </w:tcPr>
          <w:p w14:paraId="668DDFA4" w14:textId="77777777" w:rsidR="00F67E9E" w:rsidRPr="00972C2D" w:rsidRDefault="00F67E9E" w:rsidP="007F74AA">
            <w:pPr>
              <w:pStyle w:val="StdBodyTextBold"/>
              <w:spacing w:before="0" w:after="0"/>
              <w:rPr>
                <w:rFonts w:cs="Arial"/>
                <w:b/>
                <w:bCs/>
              </w:rPr>
            </w:pPr>
            <w:r w:rsidRPr="00972C2D">
              <w:rPr>
                <w:rFonts w:cs="Arial"/>
                <w:b/>
                <w:bCs/>
              </w:rPr>
              <w:t>Charge Number</w:t>
            </w:r>
          </w:p>
        </w:tc>
        <w:tc>
          <w:tcPr>
            <w:tcW w:w="1871" w:type="dxa"/>
            <w:vAlign w:val="bottom"/>
          </w:tcPr>
          <w:p w14:paraId="6BC97C67" w14:textId="77777777" w:rsidR="00F67E9E" w:rsidRPr="00972C2D" w:rsidRDefault="00F67E9E" w:rsidP="007F74AA">
            <w:pPr>
              <w:pStyle w:val="StdBodyTextBold"/>
              <w:spacing w:before="0" w:after="0"/>
              <w:rPr>
                <w:rFonts w:cs="Arial"/>
                <w:b/>
                <w:bCs/>
              </w:rPr>
            </w:pPr>
            <w:r w:rsidRPr="00972C2D">
              <w:rPr>
                <w:rFonts w:cs="Arial"/>
                <w:b/>
                <w:bCs/>
              </w:rPr>
              <w:t>Milestone Group (if applicable)</w:t>
            </w:r>
          </w:p>
        </w:tc>
        <w:tc>
          <w:tcPr>
            <w:tcW w:w="1871" w:type="dxa"/>
            <w:vAlign w:val="bottom"/>
          </w:tcPr>
          <w:p w14:paraId="2BB675DA" w14:textId="77777777" w:rsidR="00F67E9E" w:rsidRPr="00972C2D" w:rsidRDefault="00F67E9E" w:rsidP="007F74AA">
            <w:pPr>
              <w:pStyle w:val="StdBodyTextBold"/>
              <w:spacing w:before="0" w:after="0"/>
              <w:rPr>
                <w:rFonts w:cs="Arial"/>
                <w:b/>
                <w:bCs/>
              </w:rPr>
            </w:pPr>
            <w:r w:rsidRPr="00972C2D">
              <w:rPr>
                <w:rFonts w:cs="Arial"/>
                <w:b/>
                <w:bCs/>
              </w:rPr>
              <w:t>Target Cost (£)</w:t>
            </w:r>
          </w:p>
        </w:tc>
        <w:tc>
          <w:tcPr>
            <w:tcW w:w="1871" w:type="dxa"/>
            <w:vAlign w:val="bottom"/>
          </w:tcPr>
          <w:p w14:paraId="11D3FE8B" w14:textId="77777777" w:rsidR="00F67E9E" w:rsidRPr="00972C2D" w:rsidRDefault="00F67E9E" w:rsidP="007F74AA">
            <w:pPr>
              <w:pStyle w:val="StdBodyTextBold"/>
              <w:spacing w:before="0" w:after="0"/>
              <w:rPr>
                <w:rFonts w:cs="Arial"/>
                <w:b/>
                <w:bCs/>
              </w:rPr>
            </w:pPr>
            <w:r w:rsidRPr="00972C2D">
              <w:rPr>
                <w:rFonts w:cs="Arial"/>
                <w:b/>
                <w:bCs/>
              </w:rPr>
              <w:t>Target Price (£)</w:t>
            </w:r>
          </w:p>
        </w:tc>
        <w:tc>
          <w:tcPr>
            <w:tcW w:w="1984" w:type="dxa"/>
            <w:vAlign w:val="bottom"/>
          </w:tcPr>
          <w:p w14:paraId="0CD8E5E1" w14:textId="77777777" w:rsidR="00F67E9E" w:rsidRPr="00972C2D" w:rsidRDefault="00F67E9E" w:rsidP="007F74AA">
            <w:pPr>
              <w:pStyle w:val="StdBodyTextBold"/>
              <w:spacing w:before="0" w:after="0"/>
              <w:rPr>
                <w:rFonts w:cs="Arial"/>
                <w:b/>
                <w:bCs/>
              </w:rPr>
            </w:pPr>
            <w:r w:rsidRPr="00972C2D">
              <w:rPr>
                <w:rFonts w:cs="Arial"/>
                <w:b/>
                <w:bCs/>
              </w:rPr>
              <w:t>Guaranteed Maximum Price (110% of Target Price) (£)</w:t>
            </w:r>
          </w:p>
        </w:tc>
      </w:tr>
      <w:tr w:rsidR="00F67E9E" w:rsidRPr="00277440" w14:paraId="03A6BA26" w14:textId="77777777" w:rsidTr="007F74AA">
        <w:tc>
          <w:tcPr>
            <w:tcW w:w="9468" w:type="dxa"/>
            <w:gridSpan w:val="5"/>
          </w:tcPr>
          <w:p w14:paraId="6FA40D7F" w14:textId="77777777" w:rsidR="00F67E9E" w:rsidRPr="00277440" w:rsidRDefault="00F67E9E" w:rsidP="007F74AA">
            <w:pPr>
              <w:pStyle w:val="StdBodyTextBold"/>
              <w:spacing w:before="0" w:after="0"/>
              <w:rPr>
                <w:rFonts w:cs="Arial"/>
                <w:highlight w:val="yellow"/>
              </w:rPr>
            </w:pPr>
            <w:r w:rsidRPr="00277440">
              <w:rPr>
                <w:rFonts w:cs="Arial"/>
                <w:highlight w:val="yellow"/>
              </w:rPr>
              <w:t>[Service Line 1]</w:t>
            </w:r>
          </w:p>
        </w:tc>
      </w:tr>
      <w:tr w:rsidR="00F67E9E" w:rsidRPr="00277440" w14:paraId="6B03CDD1" w14:textId="77777777" w:rsidTr="007F74AA">
        <w:tc>
          <w:tcPr>
            <w:tcW w:w="1871" w:type="dxa"/>
          </w:tcPr>
          <w:p w14:paraId="2E4004C5" w14:textId="77777777" w:rsidR="00F67E9E" w:rsidRPr="00277440" w:rsidRDefault="00F67E9E" w:rsidP="007F74AA">
            <w:pPr>
              <w:pStyle w:val="StdBodyText1"/>
              <w:spacing w:before="0" w:after="0"/>
              <w:ind w:left="0"/>
              <w:rPr>
                <w:rFonts w:cs="Arial"/>
                <w:highlight w:val="yellow"/>
              </w:rPr>
            </w:pPr>
            <w:r w:rsidRPr="00277440">
              <w:rPr>
                <w:rFonts w:cs="Arial"/>
                <w:highlight w:val="yellow"/>
              </w:rPr>
              <w:t>[e.g. SL1M1]</w:t>
            </w:r>
          </w:p>
        </w:tc>
        <w:tc>
          <w:tcPr>
            <w:tcW w:w="1871" w:type="dxa"/>
          </w:tcPr>
          <w:p w14:paraId="6903BF8C" w14:textId="77777777" w:rsidR="00F67E9E" w:rsidRPr="00277440" w:rsidRDefault="00F67E9E" w:rsidP="007F74AA">
            <w:pPr>
              <w:pStyle w:val="StdBodyText1"/>
              <w:spacing w:before="0" w:after="0"/>
              <w:ind w:left="0"/>
              <w:rPr>
                <w:rFonts w:cs="Arial"/>
                <w:highlight w:val="yellow"/>
              </w:rPr>
            </w:pPr>
            <w:r w:rsidRPr="00277440">
              <w:rPr>
                <w:rFonts w:cs="Arial"/>
                <w:highlight w:val="yellow"/>
              </w:rPr>
              <w:t>[e.g. S1MG1]</w:t>
            </w:r>
          </w:p>
        </w:tc>
        <w:tc>
          <w:tcPr>
            <w:tcW w:w="1871" w:type="dxa"/>
          </w:tcPr>
          <w:p w14:paraId="4FD850B9" w14:textId="77777777" w:rsidR="00F67E9E" w:rsidRPr="00277440" w:rsidRDefault="00F67E9E" w:rsidP="007F74AA">
            <w:pPr>
              <w:pStyle w:val="StdBodyText1"/>
              <w:spacing w:before="0" w:after="0"/>
              <w:ind w:left="0"/>
              <w:rPr>
                <w:rFonts w:cs="Arial"/>
              </w:rPr>
            </w:pPr>
          </w:p>
        </w:tc>
        <w:tc>
          <w:tcPr>
            <w:tcW w:w="1871" w:type="dxa"/>
          </w:tcPr>
          <w:p w14:paraId="389DB481" w14:textId="77777777" w:rsidR="00F67E9E" w:rsidRPr="00277440" w:rsidRDefault="00F67E9E" w:rsidP="007F74AA">
            <w:pPr>
              <w:pStyle w:val="StdBodyText1"/>
              <w:spacing w:before="0" w:after="0"/>
              <w:ind w:left="0"/>
              <w:rPr>
                <w:rFonts w:cs="Arial"/>
              </w:rPr>
            </w:pPr>
          </w:p>
        </w:tc>
        <w:tc>
          <w:tcPr>
            <w:tcW w:w="1984" w:type="dxa"/>
          </w:tcPr>
          <w:p w14:paraId="152296E7" w14:textId="77777777" w:rsidR="00F67E9E" w:rsidRPr="00277440" w:rsidRDefault="00F67E9E" w:rsidP="007F74AA">
            <w:pPr>
              <w:pStyle w:val="StdBodyText1"/>
              <w:spacing w:before="0" w:after="0"/>
              <w:ind w:left="0"/>
              <w:rPr>
                <w:rFonts w:cs="Arial"/>
              </w:rPr>
            </w:pPr>
          </w:p>
        </w:tc>
      </w:tr>
      <w:tr w:rsidR="00F67E9E" w:rsidRPr="00277440" w14:paraId="611A6D3C" w14:textId="77777777" w:rsidTr="007F74AA">
        <w:tc>
          <w:tcPr>
            <w:tcW w:w="1871" w:type="dxa"/>
          </w:tcPr>
          <w:p w14:paraId="0BFBCA15" w14:textId="77777777" w:rsidR="00F67E9E" w:rsidRPr="00277440" w:rsidRDefault="00F67E9E" w:rsidP="007F74AA">
            <w:pPr>
              <w:pStyle w:val="StdBodyText1"/>
              <w:spacing w:before="0" w:after="0"/>
              <w:ind w:left="0"/>
              <w:rPr>
                <w:rFonts w:cs="Arial"/>
                <w:highlight w:val="yellow"/>
              </w:rPr>
            </w:pPr>
            <w:r w:rsidRPr="00277440">
              <w:rPr>
                <w:rFonts w:cs="Arial"/>
                <w:highlight w:val="yellow"/>
              </w:rPr>
              <w:t>[e.g. SL2M2]</w:t>
            </w:r>
          </w:p>
        </w:tc>
        <w:tc>
          <w:tcPr>
            <w:tcW w:w="1871" w:type="dxa"/>
          </w:tcPr>
          <w:p w14:paraId="5584448B" w14:textId="77777777" w:rsidR="00F67E9E" w:rsidRPr="00277440" w:rsidRDefault="00F67E9E" w:rsidP="007F74AA">
            <w:pPr>
              <w:pStyle w:val="StdBodyText1"/>
              <w:spacing w:before="0" w:after="0"/>
              <w:ind w:left="0"/>
              <w:rPr>
                <w:rFonts w:cs="Arial"/>
                <w:highlight w:val="yellow"/>
              </w:rPr>
            </w:pPr>
            <w:r w:rsidRPr="00277440">
              <w:rPr>
                <w:rFonts w:cs="Arial"/>
                <w:highlight w:val="yellow"/>
              </w:rPr>
              <w:t>[e.g. S1MG2]</w:t>
            </w:r>
          </w:p>
        </w:tc>
        <w:tc>
          <w:tcPr>
            <w:tcW w:w="1871" w:type="dxa"/>
          </w:tcPr>
          <w:p w14:paraId="4E467C2F" w14:textId="77777777" w:rsidR="00F67E9E" w:rsidRPr="00277440" w:rsidRDefault="00F67E9E" w:rsidP="007F74AA">
            <w:pPr>
              <w:pStyle w:val="StdBodyText1"/>
              <w:spacing w:before="0" w:after="0"/>
              <w:ind w:left="0"/>
              <w:rPr>
                <w:rFonts w:cs="Arial"/>
              </w:rPr>
            </w:pPr>
          </w:p>
        </w:tc>
        <w:tc>
          <w:tcPr>
            <w:tcW w:w="1871" w:type="dxa"/>
          </w:tcPr>
          <w:p w14:paraId="0117024D" w14:textId="77777777" w:rsidR="00F67E9E" w:rsidRPr="00277440" w:rsidRDefault="00F67E9E" w:rsidP="007F74AA">
            <w:pPr>
              <w:pStyle w:val="StdBodyText1"/>
              <w:spacing w:before="0" w:after="0"/>
              <w:ind w:left="0"/>
              <w:rPr>
                <w:rFonts w:cs="Arial"/>
              </w:rPr>
            </w:pPr>
          </w:p>
        </w:tc>
        <w:tc>
          <w:tcPr>
            <w:tcW w:w="1984" w:type="dxa"/>
          </w:tcPr>
          <w:p w14:paraId="6ABFF4AC" w14:textId="77777777" w:rsidR="00F67E9E" w:rsidRPr="00277440" w:rsidRDefault="00F67E9E" w:rsidP="007F74AA">
            <w:pPr>
              <w:pStyle w:val="StdBodyText1"/>
              <w:spacing w:before="0" w:after="0"/>
              <w:ind w:left="0"/>
              <w:rPr>
                <w:rFonts w:cs="Arial"/>
              </w:rPr>
            </w:pPr>
          </w:p>
        </w:tc>
      </w:tr>
      <w:tr w:rsidR="00F67E9E" w:rsidRPr="00277440" w14:paraId="44B81D8F" w14:textId="77777777" w:rsidTr="007F74AA">
        <w:tc>
          <w:tcPr>
            <w:tcW w:w="9468" w:type="dxa"/>
            <w:gridSpan w:val="5"/>
          </w:tcPr>
          <w:p w14:paraId="4DDD7AAD" w14:textId="77777777" w:rsidR="00F67E9E" w:rsidRPr="00277440" w:rsidRDefault="00F67E9E" w:rsidP="007F74AA">
            <w:pPr>
              <w:pStyle w:val="StdBodyTextBold"/>
              <w:spacing w:before="0" w:after="0"/>
              <w:rPr>
                <w:rFonts w:cs="Arial"/>
                <w:highlight w:val="yellow"/>
              </w:rPr>
            </w:pPr>
            <w:r w:rsidRPr="00277440">
              <w:rPr>
                <w:rFonts w:cs="Arial"/>
                <w:highlight w:val="yellow"/>
              </w:rPr>
              <w:t>[Service Line 2]</w:t>
            </w:r>
          </w:p>
        </w:tc>
      </w:tr>
      <w:tr w:rsidR="00F67E9E" w:rsidRPr="00277440" w14:paraId="49913B79" w14:textId="77777777" w:rsidTr="007F74AA">
        <w:tc>
          <w:tcPr>
            <w:tcW w:w="1871" w:type="dxa"/>
          </w:tcPr>
          <w:p w14:paraId="6652C133" w14:textId="77777777" w:rsidR="00F67E9E" w:rsidRPr="00277440" w:rsidRDefault="00F67E9E" w:rsidP="007F74AA">
            <w:pPr>
              <w:pStyle w:val="StdBodyText1"/>
              <w:spacing w:before="0" w:after="0"/>
              <w:ind w:left="0"/>
              <w:rPr>
                <w:rFonts w:cs="Arial"/>
                <w:highlight w:val="yellow"/>
              </w:rPr>
            </w:pPr>
            <w:r w:rsidRPr="00277440">
              <w:rPr>
                <w:rFonts w:cs="Arial"/>
                <w:highlight w:val="yellow"/>
              </w:rPr>
              <w:t>[e.g. SL2M3]</w:t>
            </w:r>
          </w:p>
        </w:tc>
        <w:tc>
          <w:tcPr>
            <w:tcW w:w="1871" w:type="dxa"/>
          </w:tcPr>
          <w:p w14:paraId="0FCAC1F5" w14:textId="77777777" w:rsidR="00F67E9E" w:rsidRPr="00277440" w:rsidRDefault="00F67E9E" w:rsidP="007F74AA">
            <w:pPr>
              <w:pStyle w:val="StdBodyText1"/>
              <w:spacing w:before="0" w:after="0"/>
              <w:ind w:left="0"/>
              <w:rPr>
                <w:rFonts w:cs="Arial"/>
                <w:highlight w:val="yellow"/>
              </w:rPr>
            </w:pPr>
            <w:r w:rsidRPr="00277440">
              <w:rPr>
                <w:rFonts w:cs="Arial"/>
                <w:highlight w:val="yellow"/>
              </w:rPr>
              <w:t>[e.g. S2MG1]</w:t>
            </w:r>
          </w:p>
        </w:tc>
        <w:tc>
          <w:tcPr>
            <w:tcW w:w="1871" w:type="dxa"/>
          </w:tcPr>
          <w:p w14:paraId="707F9437" w14:textId="77777777" w:rsidR="00F67E9E" w:rsidRPr="00277440" w:rsidRDefault="00F67E9E" w:rsidP="007F74AA">
            <w:pPr>
              <w:pStyle w:val="StdBodyText1"/>
              <w:spacing w:before="0" w:after="0"/>
              <w:ind w:left="0"/>
              <w:rPr>
                <w:rFonts w:cs="Arial"/>
              </w:rPr>
            </w:pPr>
          </w:p>
        </w:tc>
        <w:tc>
          <w:tcPr>
            <w:tcW w:w="1871" w:type="dxa"/>
          </w:tcPr>
          <w:p w14:paraId="6965F55E" w14:textId="77777777" w:rsidR="00F67E9E" w:rsidRPr="00277440" w:rsidRDefault="00F67E9E" w:rsidP="007F74AA">
            <w:pPr>
              <w:pStyle w:val="StdBodyText1"/>
              <w:spacing w:before="0" w:after="0"/>
              <w:ind w:left="0"/>
              <w:rPr>
                <w:rFonts w:cs="Arial"/>
              </w:rPr>
            </w:pPr>
          </w:p>
        </w:tc>
        <w:tc>
          <w:tcPr>
            <w:tcW w:w="1984" w:type="dxa"/>
          </w:tcPr>
          <w:p w14:paraId="07830CDD" w14:textId="77777777" w:rsidR="00F67E9E" w:rsidRPr="00277440" w:rsidRDefault="00F67E9E" w:rsidP="007F74AA">
            <w:pPr>
              <w:pStyle w:val="StdBodyText1"/>
              <w:spacing w:before="0" w:after="0"/>
              <w:ind w:left="0"/>
              <w:rPr>
                <w:rFonts w:cs="Arial"/>
              </w:rPr>
            </w:pPr>
          </w:p>
        </w:tc>
      </w:tr>
      <w:tr w:rsidR="00F67E9E" w:rsidRPr="00277440" w14:paraId="76534C8D" w14:textId="77777777" w:rsidTr="007F74AA">
        <w:tc>
          <w:tcPr>
            <w:tcW w:w="1871" w:type="dxa"/>
          </w:tcPr>
          <w:p w14:paraId="63A36BD8" w14:textId="77777777" w:rsidR="00F67E9E" w:rsidRPr="00277440" w:rsidRDefault="00F67E9E" w:rsidP="007F74AA">
            <w:pPr>
              <w:pStyle w:val="StdBodyText1"/>
              <w:spacing w:before="0" w:after="0"/>
              <w:ind w:left="0"/>
              <w:rPr>
                <w:rFonts w:cs="Arial"/>
                <w:highlight w:val="yellow"/>
              </w:rPr>
            </w:pPr>
            <w:r w:rsidRPr="00277440">
              <w:rPr>
                <w:rFonts w:cs="Arial"/>
                <w:highlight w:val="yellow"/>
              </w:rPr>
              <w:t>[e.g. SL2M4]</w:t>
            </w:r>
          </w:p>
        </w:tc>
        <w:tc>
          <w:tcPr>
            <w:tcW w:w="1871" w:type="dxa"/>
          </w:tcPr>
          <w:p w14:paraId="0F6D23F9" w14:textId="77777777" w:rsidR="00F67E9E" w:rsidRPr="00277440" w:rsidRDefault="00F67E9E" w:rsidP="007F74AA">
            <w:pPr>
              <w:pStyle w:val="StdBodyText1"/>
              <w:spacing w:before="0" w:after="0"/>
              <w:ind w:left="0"/>
              <w:rPr>
                <w:rFonts w:cs="Arial"/>
                <w:highlight w:val="yellow"/>
              </w:rPr>
            </w:pPr>
            <w:r w:rsidRPr="00277440">
              <w:rPr>
                <w:rFonts w:cs="Arial"/>
                <w:highlight w:val="yellow"/>
              </w:rPr>
              <w:t>[e.g. S2MG2]</w:t>
            </w:r>
          </w:p>
        </w:tc>
        <w:tc>
          <w:tcPr>
            <w:tcW w:w="1871" w:type="dxa"/>
          </w:tcPr>
          <w:p w14:paraId="6909CD83" w14:textId="77777777" w:rsidR="00F67E9E" w:rsidRPr="00277440" w:rsidRDefault="00F67E9E" w:rsidP="007F74AA">
            <w:pPr>
              <w:pStyle w:val="StdBodyText1"/>
              <w:spacing w:before="0" w:after="0"/>
              <w:ind w:left="0"/>
              <w:rPr>
                <w:rFonts w:cs="Arial"/>
              </w:rPr>
            </w:pPr>
          </w:p>
        </w:tc>
        <w:tc>
          <w:tcPr>
            <w:tcW w:w="1871" w:type="dxa"/>
          </w:tcPr>
          <w:p w14:paraId="381E146D" w14:textId="77777777" w:rsidR="00F67E9E" w:rsidRPr="00277440" w:rsidRDefault="00F67E9E" w:rsidP="007F74AA">
            <w:pPr>
              <w:pStyle w:val="StdBodyText1"/>
              <w:spacing w:before="0" w:after="0"/>
              <w:ind w:left="0"/>
              <w:rPr>
                <w:rFonts w:cs="Arial"/>
              </w:rPr>
            </w:pPr>
          </w:p>
        </w:tc>
        <w:tc>
          <w:tcPr>
            <w:tcW w:w="1984" w:type="dxa"/>
          </w:tcPr>
          <w:p w14:paraId="75025A68" w14:textId="77777777" w:rsidR="00F67E9E" w:rsidRPr="00277440" w:rsidRDefault="00F67E9E" w:rsidP="007F74AA">
            <w:pPr>
              <w:pStyle w:val="StdBodyText1"/>
              <w:spacing w:before="0" w:after="0"/>
              <w:ind w:left="0"/>
              <w:rPr>
                <w:rFonts w:cs="Arial"/>
              </w:rPr>
            </w:pPr>
          </w:p>
        </w:tc>
      </w:tr>
      <w:tr w:rsidR="00F67E9E" w:rsidRPr="00277440" w14:paraId="21285924" w14:textId="77777777" w:rsidTr="007F74AA">
        <w:tc>
          <w:tcPr>
            <w:tcW w:w="9468" w:type="dxa"/>
            <w:gridSpan w:val="5"/>
          </w:tcPr>
          <w:p w14:paraId="74ACB854" w14:textId="77777777" w:rsidR="00F67E9E" w:rsidRPr="00277440" w:rsidRDefault="00F67E9E" w:rsidP="007F74AA">
            <w:pPr>
              <w:pStyle w:val="StdBodyTextBold"/>
              <w:spacing w:before="0" w:after="0"/>
              <w:rPr>
                <w:rFonts w:cs="Arial"/>
                <w:highlight w:val="yellow"/>
              </w:rPr>
            </w:pPr>
            <w:r w:rsidRPr="00277440">
              <w:rPr>
                <w:rFonts w:cs="Arial"/>
                <w:highlight w:val="yellow"/>
              </w:rPr>
              <w:t>[Service Line [X] – insert further rows as necessary]</w:t>
            </w:r>
          </w:p>
        </w:tc>
      </w:tr>
      <w:tr w:rsidR="00F67E9E" w:rsidRPr="00277440" w14:paraId="39616EB6" w14:textId="77777777" w:rsidTr="007F74AA">
        <w:tc>
          <w:tcPr>
            <w:tcW w:w="1871" w:type="dxa"/>
          </w:tcPr>
          <w:p w14:paraId="23F07FD7" w14:textId="77777777" w:rsidR="00F67E9E" w:rsidRPr="00277440" w:rsidRDefault="00F67E9E" w:rsidP="007F74AA">
            <w:pPr>
              <w:pStyle w:val="StdBodyText1"/>
              <w:spacing w:before="0" w:after="0"/>
              <w:ind w:left="0"/>
              <w:rPr>
                <w:rFonts w:cs="Arial"/>
              </w:rPr>
            </w:pPr>
            <w:r w:rsidRPr="00277440">
              <w:rPr>
                <w:rFonts w:cs="Arial"/>
                <w:highlight w:val="yellow"/>
              </w:rPr>
              <w:t>[etc.]</w:t>
            </w:r>
          </w:p>
        </w:tc>
        <w:tc>
          <w:tcPr>
            <w:tcW w:w="1871" w:type="dxa"/>
          </w:tcPr>
          <w:p w14:paraId="5C6512B3" w14:textId="77777777" w:rsidR="00F67E9E" w:rsidRPr="00277440" w:rsidRDefault="00F67E9E" w:rsidP="007F74AA">
            <w:pPr>
              <w:pStyle w:val="StdBodyText1"/>
              <w:spacing w:before="0" w:after="0"/>
              <w:ind w:left="0"/>
              <w:rPr>
                <w:rFonts w:cs="Arial"/>
              </w:rPr>
            </w:pPr>
            <w:r w:rsidRPr="00277440">
              <w:rPr>
                <w:rFonts w:cs="Arial"/>
              </w:rPr>
              <w:t>…</w:t>
            </w:r>
          </w:p>
        </w:tc>
        <w:tc>
          <w:tcPr>
            <w:tcW w:w="1871" w:type="dxa"/>
          </w:tcPr>
          <w:p w14:paraId="2C8B54B0" w14:textId="77777777" w:rsidR="00F67E9E" w:rsidRPr="00277440" w:rsidRDefault="00F67E9E" w:rsidP="007F74AA">
            <w:pPr>
              <w:pStyle w:val="StdBodyText1"/>
              <w:spacing w:before="0" w:after="0"/>
              <w:ind w:left="0"/>
              <w:rPr>
                <w:rFonts w:cs="Arial"/>
              </w:rPr>
            </w:pPr>
          </w:p>
        </w:tc>
        <w:tc>
          <w:tcPr>
            <w:tcW w:w="1871" w:type="dxa"/>
          </w:tcPr>
          <w:p w14:paraId="783CC0D8" w14:textId="77777777" w:rsidR="00F67E9E" w:rsidRPr="00277440" w:rsidRDefault="00F67E9E" w:rsidP="007F74AA">
            <w:pPr>
              <w:pStyle w:val="StdBodyText1"/>
              <w:spacing w:before="0" w:after="0"/>
              <w:ind w:left="0"/>
              <w:rPr>
                <w:rFonts w:cs="Arial"/>
              </w:rPr>
            </w:pPr>
          </w:p>
        </w:tc>
        <w:tc>
          <w:tcPr>
            <w:tcW w:w="1984" w:type="dxa"/>
          </w:tcPr>
          <w:p w14:paraId="4DBF27A9" w14:textId="77777777" w:rsidR="00F67E9E" w:rsidRPr="00277440" w:rsidRDefault="00F67E9E" w:rsidP="007F74AA">
            <w:pPr>
              <w:pStyle w:val="StdBodyText1"/>
              <w:spacing w:before="0" w:after="0"/>
              <w:ind w:left="0"/>
              <w:rPr>
                <w:rFonts w:cs="Arial"/>
              </w:rPr>
            </w:pPr>
          </w:p>
        </w:tc>
      </w:tr>
      <w:tr w:rsidR="00F67E9E" w:rsidRPr="00277440" w14:paraId="41829471" w14:textId="77777777" w:rsidTr="007F74AA">
        <w:tc>
          <w:tcPr>
            <w:tcW w:w="1871" w:type="dxa"/>
          </w:tcPr>
          <w:p w14:paraId="69E120AB" w14:textId="77777777" w:rsidR="00F67E9E" w:rsidRPr="00277440" w:rsidRDefault="00F67E9E" w:rsidP="007F74AA">
            <w:pPr>
              <w:pStyle w:val="StdBodyText1"/>
              <w:spacing w:before="0" w:after="0"/>
              <w:ind w:left="0"/>
              <w:rPr>
                <w:rFonts w:cs="Arial"/>
              </w:rPr>
            </w:pPr>
          </w:p>
        </w:tc>
        <w:tc>
          <w:tcPr>
            <w:tcW w:w="1871" w:type="dxa"/>
          </w:tcPr>
          <w:p w14:paraId="7CAF372E" w14:textId="77777777" w:rsidR="00F67E9E" w:rsidRPr="00277440" w:rsidRDefault="00F67E9E" w:rsidP="007F74AA">
            <w:pPr>
              <w:pStyle w:val="StdBodyText1"/>
              <w:spacing w:before="0" w:after="0"/>
              <w:ind w:left="0"/>
              <w:rPr>
                <w:rFonts w:cs="Arial"/>
              </w:rPr>
            </w:pPr>
          </w:p>
        </w:tc>
        <w:tc>
          <w:tcPr>
            <w:tcW w:w="1871" w:type="dxa"/>
          </w:tcPr>
          <w:p w14:paraId="68E4D19A" w14:textId="77777777" w:rsidR="00F67E9E" w:rsidRPr="00277440" w:rsidRDefault="00F67E9E" w:rsidP="007F74AA">
            <w:pPr>
              <w:pStyle w:val="StdBodyText1"/>
              <w:spacing w:before="0" w:after="0"/>
              <w:ind w:left="0"/>
              <w:rPr>
                <w:rFonts w:cs="Arial"/>
              </w:rPr>
            </w:pPr>
          </w:p>
        </w:tc>
        <w:tc>
          <w:tcPr>
            <w:tcW w:w="1871" w:type="dxa"/>
          </w:tcPr>
          <w:p w14:paraId="2D49DE62" w14:textId="77777777" w:rsidR="00F67E9E" w:rsidRPr="00277440" w:rsidRDefault="00F67E9E" w:rsidP="007F74AA">
            <w:pPr>
              <w:pStyle w:val="StdBodyText1"/>
              <w:spacing w:before="0" w:after="0"/>
              <w:ind w:left="0"/>
              <w:rPr>
                <w:rFonts w:cs="Arial"/>
              </w:rPr>
            </w:pPr>
          </w:p>
        </w:tc>
        <w:tc>
          <w:tcPr>
            <w:tcW w:w="1984" w:type="dxa"/>
          </w:tcPr>
          <w:p w14:paraId="05E51C7D" w14:textId="77777777" w:rsidR="00F67E9E" w:rsidRPr="00277440" w:rsidRDefault="00F67E9E" w:rsidP="007F74AA">
            <w:pPr>
              <w:pStyle w:val="StdBodyText1"/>
              <w:spacing w:before="0" w:after="0"/>
              <w:ind w:left="0"/>
              <w:rPr>
                <w:rFonts w:cs="Arial"/>
              </w:rPr>
            </w:pPr>
          </w:p>
        </w:tc>
      </w:tr>
    </w:tbl>
    <w:p w14:paraId="49859342" w14:textId="77777777" w:rsidR="00F67E9E" w:rsidRPr="00277440" w:rsidRDefault="00F67E9E" w:rsidP="00F67E9E">
      <w:pPr>
        <w:pStyle w:val="AppendixText1"/>
      </w:pPr>
      <w:bookmarkStart w:id="1204" w:name="_9kR3WTr2CC678csbnrc"/>
      <w:r w:rsidRPr="00277440">
        <w:t>Table 5</w:t>
      </w:r>
      <w:bookmarkEnd w:id="1204"/>
      <w:r w:rsidRPr="00277440">
        <w:t>: Fixed Prices</w:t>
      </w:r>
    </w:p>
    <w:tbl>
      <w:tblPr>
        <w:tblStyle w:val="MSATable-header"/>
        <w:tblW w:w="9468" w:type="dxa"/>
        <w:tblInd w:w="680" w:type="dxa"/>
        <w:tblLook w:val="04A0" w:firstRow="1" w:lastRow="0" w:firstColumn="1" w:lastColumn="0" w:noHBand="0" w:noVBand="1"/>
      </w:tblPr>
      <w:tblGrid>
        <w:gridCol w:w="2835"/>
        <w:gridCol w:w="6633"/>
      </w:tblGrid>
      <w:tr w:rsidR="00F67E9E" w:rsidRPr="00972C2D" w14:paraId="03F39335" w14:textId="77777777" w:rsidTr="007F74AA">
        <w:trPr>
          <w:cnfStyle w:val="100000000000" w:firstRow="1" w:lastRow="0" w:firstColumn="0" w:lastColumn="0" w:oddVBand="0" w:evenVBand="0" w:oddHBand="0" w:evenHBand="0" w:firstRowFirstColumn="0" w:firstRowLastColumn="0" w:lastRowFirstColumn="0" w:lastRowLastColumn="0"/>
          <w:tblHeader/>
        </w:trPr>
        <w:tc>
          <w:tcPr>
            <w:tcW w:w="2835" w:type="dxa"/>
            <w:vAlign w:val="bottom"/>
          </w:tcPr>
          <w:p w14:paraId="246F2D82" w14:textId="77777777" w:rsidR="00F67E9E" w:rsidRPr="00972C2D" w:rsidRDefault="00F67E9E" w:rsidP="007F74AA">
            <w:pPr>
              <w:pStyle w:val="StdBodyTextBold"/>
              <w:spacing w:before="0" w:after="0"/>
              <w:rPr>
                <w:rFonts w:cs="Arial"/>
                <w:b/>
                <w:bCs/>
              </w:rPr>
            </w:pPr>
            <w:r w:rsidRPr="00972C2D">
              <w:rPr>
                <w:rFonts w:cs="Arial"/>
                <w:b/>
                <w:bCs/>
              </w:rPr>
              <w:t>Charge</w:t>
            </w:r>
          </w:p>
        </w:tc>
        <w:tc>
          <w:tcPr>
            <w:tcW w:w="6633" w:type="dxa"/>
            <w:vAlign w:val="bottom"/>
          </w:tcPr>
          <w:p w14:paraId="5831A898" w14:textId="77777777" w:rsidR="00F67E9E" w:rsidRPr="00972C2D" w:rsidRDefault="00F67E9E" w:rsidP="007F74AA">
            <w:pPr>
              <w:pStyle w:val="StdBodyTextBold"/>
              <w:spacing w:before="0" w:after="0"/>
              <w:rPr>
                <w:rFonts w:cs="Arial"/>
                <w:b/>
                <w:bCs/>
              </w:rPr>
            </w:pPr>
            <w:r w:rsidRPr="00972C2D">
              <w:rPr>
                <w:rFonts w:cs="Arial"/>
                <w:b/>
                <w:bCs/>
              </w:rPr>
              <w:t>Fixed Charge (£)</w:t>
            </w:r>
          </w:p>
          <w:p w14:paraId="041DBD4B" w14:textId="77777777" w:rsidR="00F67E9E" w:rsidRPr="00972C2D" w:rsidRDefault="00F67E9E" w:rsidP="007F74AA">
            <w:pPr>
              <w:pStyle w:val="StdBodyTextBold"/>
              <w:spacing w:before="0" w:after="0"/>
              <w:rPr>
                <w:rFonts w:cs="Arial"/>
                <w:b/>
                <w:bCs/>
              </w:rPr>
            </w:pPr>
            <w:r w:rsidRPr="00972C2D">
              <w:rPr>
                <w:rFonts w:cs="Arial"/>
                <w:b/>
                <w:bCs/>
                <w:highlight w:val="yellow"/>
              </w:rPr>
              <w:t>[                  ]</w:t>
            </w:r>
          </w:p>
        </w:tc>
      </w:tr>
      <w:tr w:rsidR="00F67E9E" w:rsidRPr="00277440" w14:paraId="1CAED7A4" w14:textId="77777777" w:rsidTr="007F74AA">
        <w:tc>
          <w:tcPr>
            <w:tcW w:w="9468" w:type="dxa"/>
            <w:gridSpan w:val="2"/>
            <w:shd w:val="clear" w:color="auto" w:fill="F0F0F0"/>
          </w:tcPr>
          <w:p w14:paraId="32630B22" w14:textId="77777777" w:rsidR="00F67E9E" w:rsidRPr="00277440" w:rsidRDefault="00F67E9E" w:rsidP="007F74AA">
            <w:pPr>
              <w:pStyle w:val="StdBodyTextBold"/>
              <w:spacing w:before="0" w:after="0"/>
              <w:rPr>
                <w:rFonts w:cs="Arial"/>
                <w:highlight w:val="yellow"/>
              </w:rPr>
            </w:pPr>
            <w:r w:rsidRPr="00277440">
              <w:rPr>
                <w:rFonts w:cs="Arial"/>
                <w:highlight w:val="yellow"/>
              </w:rPr>
              <w:t>[Service Line 1]</w:t>
            </w:r>
          </w:p>
        </w:tc>
      </w:tr>
      <w:tr w:rsidR="00F67E9E" w:rsidRPr="00277440" w14:paraId="44C2646A" w14:textId="77777777" w:rsidTr="007F74AA">
        <w:tc>
          <w:tcPr>
            <w:tcW w:w="2835" w:type="dxa"/>
          </w:tcPr>
          <w:p w14:paraId="7A938292" w14:textId="77777777" w:rsidR="00F67E9E" w:rsidRPr="00277440" w:rsidRDefault="00F67E9E" w:rsidP="007F74AA">
            <w:pPr>
              <w:pStyle w:val="StdBodyText1"/>
              <w:spacing w:before="0" w:after="0"/>
              <w:ind w:left="0"/>
              <w:rPr>
                <w:rFonts w:cs="Arial"/>
              </w:rPr>
            </w:pPr>
            <w:r w:rsidRPr="00277440">
              <w:rPr>
                <w:rFonts w:cs="Arial"/>
                <w:highlight w:val="yellow"/>
              </w:rPr>
              <w:t>[e.g. SL1M3]</w:t>
            </w:r>
          </w:p>
        </w:tc>
        <w:tc>
          <w:tcPr>
            <w:tcW w:w="6633" w:type="dxa"/>
          </w:tcPr>
          <w:p w14:paraId="08050CA2" w14:textId="77777777" w:rsidR="00F67E9E" w:rsidRPr="00277440" w:rsidRDefault="00F67E9E" w:rsidP="007F74AA">
            <w:pPr>
              <w:pStyle w:val="StdBodyText1"/>
              <w:spacing w:before="0" w:after="0"/>
              <w:ind w:left="0"/>
              <w:rPr>
                <w:rFonts w:cs="Arial"/>
              </w:rPr>
            </w:pPr>
          </w:p>
        </w:tc>
      </w:tr>
      <w:tr w:rsidR="00F67E9E" w:rsidRPr="00277440" w14:paraId="04B17171" w14:textId="77777777" w:rsidTr="007F74AA">
        <w:tc>
          <w:tcPr>
            <w:tcW w:w="2835" w:type="dxa"/>
          </w:tcPr>
          <w:p w14:paraId="70930DDF" w14:textId="77777777" w:rsidR="00F67E9E" w:rsidRPr="00277440" w:rsidRDefault="00F67E9E" w:rsidP="007F74AA">
            <w:pPr>
              <w:pStyle w:val="StdBodyText1"/>
              <w:spacing w:before="0" w:after="0"/>
              <w:ind w:left="0"/>
              <w:rPr>
                <w:rFonts w:cs="Arial"/>
              </w:rPr>
            </w:pPr>
            <w:r w:rsidRPr="00277440">
              <w:rPr>
                <w:rFonts w:cs="Arial"/>
                <w:highlight w:val="yellow"/>
              </w:rPr>
              <w:t>[e.g. SL1SC1]</w:t>
            </w:r>
          </w:p>
        </w:tc>
        <w:tc>
          <w:tcPr>
            <w:tcW w:w="6633" w:type="dxa"/>
          </w:tcPr>
          <w:p w14:paraId="54881C45" w14:textId="77777777" w:rsidR="00F67E9E" w:rsidRPr="00277440" w:rsidRDefault="00F67E9E" w:rsidP="007F74AA">
            <w:pPr>
              <w:pStyle w:val="StdBodyText1"/>
              <w:spacing w:before="0" w:after="0"/>
              <w:ind w:left="0"/>
              <w:rPr>
                <w:rFonts w:cs="Arial"/>
              </w:rPr>
            </w:pPr>
          </w:p>
        </w:tc>
      </w:tr>
      <w:tr w:rsidR="00F67E9E" w:rsidRPr="00277440" w14:paraId="791F23B0" w14:textId="77777777" w:rsidTr="007F74AA">
        <w:tc>
          <w:tcPr>
            <w:tcW w:w="2835" w:type="dxa"/>
            <w:tcBorders>
              <w:bottom w:val="single" w:sz="4" w:space="0" w:color="auto"/>
            </w:tcBorders>
          </w:tcPr>
          <w:p w14:paraId="26599E85" w14:textId="77777777" w:rsidR="00F67E9E" w:rsidRPr="00277440" w:rsidRDefault="00F67E9E" w:rsidP="007F74AA">
            <w:pPr>
              <w:pStyle w:val="StdBodyText1"/>
              <w:spacing w:before="0" w:after="0"/>
              <w:ind w:left="0"/>
              <w:rPr>
                <w:rFonts w:cs="Arial"/>
              </w:rPr>
            </w:pPr>
            <w:r w:rsidRPr="00277440">
              <w:rPr>
                <w:rFonts w:cs="Arial"/>
                <w:highlight w:val="yellow"/>
              </w:rPr>
              <w:t>[e.g. SL1SC3]</w:t>
            </w:r>
          </w:p>
        </w:tc>
        <w:tc>
          <w:tcPr>
            <w:tcW w:w="6633" w:type="dxa"/>
            <w:tcBorders>
              <w:bottom w:val="single" w:sz="4" w:space="0" w:color="auto"/>
            </w:tcBorders>
          </w:tcPr>
          <w:p w14:paraId="57231D12" w14:textId="77777777" w:rsidR="00F67E9E" w:rsidRPr="00277440" w:rsidRDefault="00F67E9E" w:rsidP="007F74AA">
            <w:pPr>
              <w:pStyle w:val="StdBodyText1"/>
              <w:spacing w:before="0" w:after="0"/>
              <w:ind w:left="0"/>
              <w:rPr>
                <w:rFonts w:cs="Arial"/>
              </w:rPr>
            </w:pPr>
          </w:p>
        </w:tc>
      </w:tr>
      <w:tr w:rsidR="00F67E9E" w:rsidRPr="00277440" w14:paraId="00ECF43B" w14:textId="77777777" w:rsidTr="007F74AA">
        <w:tc>
          <w:tcPr>
            <w:tcW w:w="9468" w:type="dxa"/>
            <w:gridSpan w:val="2"/>
            <w:shd w:val="clear" w:color="auto" w:fill="F0F0F0"/>
          </w:tcPr>
          <w:p w14:paraId="3AA90336" w14:textId="77777777" w:rsidR="00F67E9E" w:rsidRPr="00277440" w:rsidRDefault="00F67E9E" w:rsidP="007F74AA">
            <w:pPr>
              <w:pStyle w:val="StdBodyTextBold"/>
              <w:keepNext/>
              <w:keepLines/>
              <w:spacing w:before="0" w:after="0"/>
              <w:rPr>
                <w:rFonts w:cs="Arial"/>
              </w:rPr>
            </w:pPr>
            <w:r w:rsidRPr="00277440">
              <w:rPr>
                <w:rFonts w:cs="Arial"/>
                <w:highlight w:val="yellow"/>
              </w:rPr>
              <w:t>[Service Line 2]</w:t>
            </w:r>
          </w:p>
        </w:tc>
      </w:tr>
      <w:tr w:rsidR="00F67E9E" w:rsidRPr="00277440" w14:paraId="035C42A5" w14:textId="77777777" w:rsidTr="007F74AA">
        <w:tc>
          <w:tcPr>
            <w:tcW w:w="2835" w:type="dxa"/>
          </w:tcPr>
          <w:p w14:paraId="1D622519" w14:textId="77777777" w:rsidR="00F67E9E" w:rsidRPr="00277440" w:rsidRDefault="00F67E9E" w:rsidP="007F74AA">
            <w:pPr>
              <w:pStyle w:val="StdBodyText1"/>
              <w:spacing w:before="0" w:after="0"/>
              <w:ind w:left="0"/>
              <w:rPr>
                <w:rFonts w:cs="Arial"/>
              </w:rPr>
            </w:pPr>
            <w:r w:rsidRPr="00277440">
              <w:rPr>
                <w:rFonts w:cs="Arial"/>
                <w:highlight w:val="yellow"/>
              </w:rPr>
              <w:t>[e.g. SL2M3]</w:t>
            </w:r>
          </w:p>
        </w:tc>
        <w:tc>
          <w:tcPr>
            <w:tcW w:w="6633" w:type="dxa"/>
          </w:tcPr>
          <w:p w14:paraId="5935E342" w14:textId="77777777" w:rsidR="00F67E9E" w:rsidRPr="00277440" w:rsidRDefault="00F67E9E" w:rsidP="007F74AA">
            <w:pPr>
              <w:pStyle w:val="StdBodyText1"/>
              <w:spacing w:before="0" w:after="0"/>
              <w:ind w:left="0"/>
              <w:rPr>
                <w:rFonts w:cs="Arial"/>
              </w:rPr>
            </w:pPr>
          </w:p>
        </w:tc>
      </w:tr>
      <w:tr w:rsidR="00F67E9E" w:rsidRPr="00277440" w14:paraId="2DDD2426" w14:textId="77777777" w:rsidTr="007F74AA">
        <w:tc>
          <w:tcPr>
            <w:tcW w:w="2835" w:type="dxa"/>
          </w:tcPr>
          <w:p w14:paraId="05755FB4" w14:textId="77777777" w:rsidR="00F67E9E" w:rsidRPr="00277440" w:rsidRDefault="00F67E9E" w:rsidP="007F74AA">
            <w:pPr>
              <w:pStyle w:val="StdBodyText1"/>
              <w:spacing w:before="0" w:after="0"/>
              <w:ind w:left="0"/>
              <w:rPr>
                <w:rFonts w:cs="Arial"/>
              </w:rPr>
            </w:pPr>
            <w:r w:rsidRPr="00277440">
              <w:rPr>
                <w:rFonts w:cs="Arial"/>
                <w:highlight w:val="yellow"/>
              </w:rPr>
              <w:t>[e.g. SL2SC1]</w:t>
            </w:r>
          </w:p>
        </w:tc>
        <w:tc>
          <w:tcPr>
            <w:tcW w:w="6633" w:type="dxa"/>
          </w:tcPr>
          <w:p w14:paraId="02E532DE" w14:textId="77777777" w:rsidR="00F67E9E" w:rsidRPr="00277440" w:rsidRDefault="00F67E9E" w:rsidP="007F74AA">
            <w:pPr>
              <w:pStyle w:val="StdBodyText1"/>
              <w:spacing w:before="0" w:after="0"/>
              <w:ind w:left="0"/>
              <w:rPr>
                <w:rFonts w:cs="Arial"/>
              </w:rPr>
            </w:pPr>
          </w:p>
        </w:tc>
      </w:tr>
      <w:tr w:rsidR="00F67E9E" w:rsidRPr="00277440" w14:paraId="7B06D3FE" w14:textId="77777777" w:rsidTr="007F74AA">
        <w:tc>
          <w:tcPr>
            <w:tcW w:w="2835" w:type="dxa"/>
            <w:tcBorders>
              <w:bottom w:val="single" w:sz="4" w:space="0" w:color="auto"/>
            </w:tcBorders>
          </w:tcPr>
          <w:p w14:paraId="17C093CF" w14:textId="77777777" w:rsidR="00F67E9E" w:rsidRPr="00277440" w:rsidRDefault="00F67E9E" w:rsidP="007F74AA">
            <w:pPr>
              <w:pStyle w:val="StdBodyText1"/>
              <w:spacing w:before="0" w:after="0"/>
              <w:ind w:left="0"/>
              <w:rPr>
                <w:rFonts w:cs="Arial"/>
              </w:rPr>
            </w:pPr>
            <w:r w:rsidRPr="00277440">
              <w:rPr>
                <w:rFonts w:cs="Arial"/>
                <w:highlight w:val="yellow"/>
              </w:rPr>
              <w:t>[e.g. SL2SC3]</w:t>
            </w:r>
          </w:p>
        </w:tc>
        <w:tc>
          <w:tcPr>
            <w:tcW w:w="6633" w:type="dxa"/>
            <w:tcBorders>
              <w:bottom w:val="single" w:sz="4" w:space="0" w:color="auto"/>
            </w:tcBorders>
          </w:tcPr>
          <w:p w14:paraId="51F33A0D" w14:textId="77777777" w:rsidR="00F67E9E" w:rsidRPr="00277440" w:rsidRDefault="00F67E9E" w:rsidP="007F74AA">
            <w:pPr>
              <w:pStyle w:val="StdBodyText1"/>
              <w:spacing w:before="0" w:after="0"/>
              <w:ind w:left="0"/>
              <w:rPr>
                <w:rFonts w:cs="Arial"/>
              </w:rPr>
            </w:pPr>
          </w:p>
        </w:tc>
      </w:tr>
      <w:tr w:rsidR="00F67E9E" w:rsidRPr="00277440" w14:paraId="2131496E" w14:textId="77777777" w:rsidTr="007F74AA">
        <w:tc>
          <w:tcPr>
            <w:tcW w:w="9468" w:type="dxa"/>
            <w:gridSpan w:val="2"/>
            <w:shd w:val="clear" w:color="auto" w:fill="F0F0F0"/>
          </w:tcPr>
          <w:p w14:paraId="4FFFBE38" w14:textId="77777777" w:rsidR="00F67E9E" w:rsidRPr="00277440" w:rsidRDefault="00F67E9E" w:rsidP="007F74AA">
            <w:pPr>
              <w:pStyle w:val="StdBodyTextBold"/>
              <w:spacing w:before="0" w:after="0"/>
              <w:rPr>
                <w:rFonts w:cs="Arial"/>
                <w:highlight w:val="yellow"/>
              </w:rPr>
            </w:pPr>
            <w:r w:rsidRPr="00277440">
              <w:rPr>
                <w:rFonts w:cs="Arial"/>
                <w:highlight w:val="yellow"/>
              </w:rPr>
              <w:t xml:space="preserve">[Service Line [X] – </w:t>
            </w:r>
            <w:r w:rsidRPr="005F1047">
              <w:rPr>
                <w:rFonts w:cs="Arial"/>
                <w:iCs/>
                <w:highlight w:val="yellow"/>
              </w:rPr>
              <w:t>insert further rows as necessary</w:t>
            </w:r>
            <w:r w:rsidRPr="00277440">
              <w:rPr>
                <w:rFonts w:cs="Arial"/>
                <w:highlight w:val="yellow"/>
              </w:rPr>
              <w:t>]</w:t>
            </w:r>
          </w:p>
        </w:tc>
      </w:tr>
      <w:tr w:rsidR="00F67E9E" w:rsidRPr="00277440" w14:paraId="470336C9" w14:textId="77777777" w:rsidTr="007F74AA">
        <w:tc>
          <w:tcPr>
            <w:tcW w:w="2835" w:type="dxa"/>
          </w:tcPr>
          <w:p w14:paraId="7ADAC7B1" w14:textId="77777777" w:rsidR="00F67E9E" w:rsidRPr="00277440" w:rsidRDefault="00F67E9E" w:rsidP="007F74AA">
            <w:pPr>
              <w:pStyle w:val="StdBodyText1"/>
              <w:spacing w:before="0" w:after="0"/>
              <w:ind w:left="0"/>
              <w:rPr>
                <w:rFonts w:cs="Arial"/>
              </w:rPr>
            </w:pPr>
            <w:r w:rsidRPr="00277440">
              <w:rPr>
                <w:rFonts w:cs="Arial"/>
                <w:highlight w:val="yellow"/>
              </w:rPr>
              <w:t>[etc.]</w:t>
            </w:r>
          </w:p>
        </w:tc>
        <w:tc>
          <w:tcPr>
            <w:tcW w:w="6633" w:type="dxa"/>
          </w:tcPr>
          <w:p w14:paraId="362BBD20" w14:textId="77777777" w:rsidR="00F67E9E" w:rsidRPr="00277440" w:rsidRDefault="00F67E9E" w:rsidP="007F74AA">
            <w:pPr>
              <w:pStyle w:val="StdBodyText1"/>
              <w:spacing w:before="0" w:after="0"/>
              <w:ind w:left="0"/>
              <w:rPr>
                <w:rFonts w:cs="Arial"/>
              </w:rPr>
            </w:pPr>
          </w:p>
        </w:tc>
      </w:tr>
      <w:tr w:rsidR="00F67E9E" w:rsidRPr="00277440" w14:paraId="7C6CBBD9" w14:textId="77777777" w:rsidTr="007F74AA">
        <w:tc>
          <w:tcPr>
            <w:tcW w:w="2835" w:type="dxa"/>
          </w:tcPr>
          <w:p w14:paraId="6159A5C4" w14:textId="77777777" w:rsidR="00F67E9E" w:rsidRPr="00277440" w:rsidRDefault="00F67E9E" w:rsidP="007F74AA">
            <w:pPr>
              <w:pStyle w:val="StdBodyText1"/>
              <w:spacing w:before="0" w:after="0"/>
              <w:ind w:left="0"/>
              <w:rPr>
                <w:rFonts w:cs="Arial"/>
              </w:rPr>
            </w:pPr>
          </w:p>
        </w:tc>
        <w:tc>
          <w:tcPr>
            <w:tcW w:w="6633" w:type="dxa"/>
          </w:tcPr>
          <w:p w14:paraId="47394DDC" w14:textId="77777777" w:rsidR="00F67E9E" w:rsidRPr="00277440" w:rsidRDefault="00F67E9E" w:rsidP="007F74AA">
            <w:pPr>
              <w:pStyle w:val="StdBodyText1"/>
              <w:spacing w:before="0" w:after="0"/>
              <w:ind w:left="0"/>
              <w:rPr>
                <w:rFonts w:cs="Arial"/>
              </w:rPr>
            </w:pPr>
          </w:p>
        </w:tc>
      </w:tr>
    </w:tbl>
    <w:p w14:paraId="726F663F" w14:textId="77777777" w:rsidR="00F67E9E" w:rsidRPr="00277440" w:rsidRDefault="00F67E9E" w:rsidP="00F67E9E">
      <w:pPr>
        <w:pStyle w:val="AppendixText1"/>
      </w:pPr>
      <w:bookmarkStart w:id="1205" w:name="_9kR3WTr2CC679dsbnrd"/>
      <w:r w:rsidRPr="00277440">
        <w:t>Table 6</w:t>
      </w:r>
      <w:bookmarkEnd w:id="1205"/>
      <w:r w:rsidRPr="00277440">
        <w:t>: Firm Prices</w:t>
      </w:r>
    </w:p>
    <w:tbl>
      <w:tblPr>
        <w:tblStyle w:val="MSATable-header"/>
        <w:tblW w:w="0" w:type="auto"/>
        <w:tblInd w:w="680" w:type="dxa"/>
        <w:tblLook w:val="04A0" w:firstRow="1" w:lastRow="0" w:firstColumn="1" w:lastColumn="0" w:noHBand="0" w:noVBand="1"/>
      </w:tblPr>
      <w:tblGrid>
        <w:gridCol w:w="2835"/>
        <w:gridCol w:w="6633"/>
      </w:tblGrid>
      <w:tr w:rsidR="00F67E9E" w:rsidRPr="00D83757" w14:paraId="43DC2C3A" w14:textId="77777777" w:rsidTr="007F74AA">
        <w:trPr>
          <w:cnfStyle w:val="100000000000" w:firstRow="1" w:lastRow="0" w:firstColumn="0" w:lastColumn="0" w:oddVBand="0" w:evenVBand="0" w:oddHBand="0" w:evenHBand="0" w:firstRowFirstColumn="0" w:firstRowLastColumn="0" w:lastRowFirstColumn="0" w:lastRowLastColumn="0"/>
          <w:tblHeader/>
        </w:trPr>
        <w:tc>
          <w:tcPr>
            <w:tcW w:w="2835" w:type="dxa"/>
          </w:tcPr>
          <w:p w14:paraId="36B266D0" w14:textId="77777777" w:rsidR="00F67E9E" w:rsidRPr="00D83757" w:rsidRDefault="00F67E9E" w:rsidP="007F74AA">
            <w:pPr>
              <w:pStyle w:val="StdBodyTextBold"/>
              <w:spacing w:before="0" w:after="0"/>
              <w:rPr>
                <w:rFonts w:cs="Arial"/>
                <w:b/>
                <w:bCs/>
              </w:rPr>
            </w:pPr>
            <w:r w:rsidRPr="00D83757">
              <w:rPr>
                <w:rFonts w:cs="Arial"/>
                <w:b/>
                <w:bCs/>
              </w:rPr>
              <w:t>Charge</w:t>
            </w:r>
          </w:p>
        </w:tc>
        <w:tc>
          <w:tcPr>
            <w:tcW w:w="6633" w:type="dxa"/>
          </w:tcPr>
          <w:p w14:paraId="751F1100" w14:textId="77777777" w:rsidR="00F67E9E" w:rsidRPr="00D83757" w:rsidRDefault="00F67E9E" w:rsidP="007F74AA">
            <w:pPr>
              <w:pStyle w:val="StdBodyTextBold"/>
              <w:spacing w:before="0" w:after="0"/>
              <w:rPr>
                <w:rFonts w:cs="Arial"/>
                <w:b/>
                <w:bCs/>
              </w:rPr>
            </w:pPr>
            <w:r w:rsidRPr="00D83757">
              <w:rPr>
                <w:rFonts w:cs="Arial"/>
                <w:b/>
                <w:bCs/>
              </w:rPr>
              <w:t>Firm Charge (£)</w:t>
            </w:r>
          </w:p>
        </w:tc>
      </w:tr>
      <w:tr w:rsidR="00F67E9E" w:rsidRPr="00277440" w14:paraId="4F51CDDD" w14:textId="77777777" w:rsidTr="007F74AA">
        <w:tc>
          <w:tcPr>
            <w:tcW w:w="9468" w:type="dxa"/>
            <w:gridSpan w:val="2"/>
            <w:shd w:val="clear" w:color="auto" w:fill="F0F0F0"/>
          </w:tcPr>
          <w:p w14:paraId="70999764" w14:textId="77777777" w:rsidR="00F67E9E" w:rsidRPr="00277440" w:rsidRDefault="00F67E9E" w:rsidP="007F74AA">
            <w:pPr>
              <w:pStyle w:val="StdBodyTextBold"/>
              <w:spacing w:before="0" w:after="0"/>
              <w:rPr>
                <w:rFonts w:cs="Arial"/>
                <w:highlight w:val="yellow"/>
              </w:rPr>
            </w:pPr>
            <w:r w:rsidRPr="00277440">
              <w:rPr>
                <w:rFonts w:cs="Arial"/>
                <w:highlight w:val="yellow"/>
              </w:rPr>
              <w:t>[Service Line 1]</w:t>
            </w:r>
          </w:p>
        </w:tc>
      </w:tr>
      <w:tr w:rsidR="00F67E9E" w:rsidRPr="00277440" w14:paraId="0B591AE2" w14:textId="77777777" w:rsidTr="007F74AA">
        <w:tc>
          <w:tcPr>
            <w:tcW w:w="2835" w:type="dxa"/>
          </w:tcPr>
          <w:p w14:paraId="10537EEA" w14:textId="77777777" w:rsidR="00F67E9E" w:rsidRPr="00277440" w:rsidRDefault="00F67E9E" w:rsidP="007F74AA">
            <w:pPr>
              <w:pStyle w:val="StdBodyText1"/>
              <w:spacing w:before="0" w:after="0"/>
              <w:ind w:left="0"/>
              <w:rPr>
                <w:rFonts w:cs="Arial"/>
              </w:rPr>
            </w:pPr>
            <w:r w:rsidRPr="00277440">
              <w:rPr>
                <w:rFonts w:cs="Arial"/>
                <w:highlight w:val="yellow"/>
              </w:rPr>
              <w:t>[e.g. SL1M4]</w:t>
            </w:r>
          </w:p>
        </w:tc>
        <w:tc>
          <w:tcPr>
            <w:tcW w:w="6633" w:type="dxa"/>
          </w:tcPr>
          <w:p w14:paraId="6E389280" w14:textId="77777777" w:rsidR="00F67E9E" w:rsidRPr="00277440" w:rsidRDefault="00F67E9E" w:rsidP="007F74AA">
            <w:pPr>
              <w:pStyle w:val="StdBodyText1"/>
              <w:spacing w:before="0" w:after="0"/>
              <w:ind w:left="0"/>
              <w:rPr>
                <w:rFonts w:cs="Arial"/>
              </w:rPr>
            </w:pPr>
          </w:p>
        </w:tc>
      </w:tr>
      <w:tr w:rsidR="00F67E9E" w:rsidRPr="00277440" w14:paraId="3D35B04E" w14:textId="77777777" w:rsidTr="007F74AA">
        <w:tc>
          <w:tcPr>
            <w:tcW w:w="2835" w:type="dxa"/>
            <w:tcBorders>
              <w:bottom w:val="single" w:sz="4" w:space="0" w:color="auto"/>
            </w:tcBorders>
          </w:tcPr>
          <w:p w14:paraId="7469169B" w14:textId="77777777" w:rsidR="00F67E9E" w:rsidRPr="00277440" w:rsidRDefault="00F67E9E" w:rsidP="007F74AA">
            <w:pPr>
              <w:pStyle w:val="StdBodyText1"/>
              <w:spacing w:before="0" w:after="0"/>
              <w:ind w:left="0"/>
              <w:rPr>
                <w:rFonts w:cs="Arial"/>
              </w:rPr>
            </w:pPr>
            <w:r w:rsidRPr="00277440">
              <w:rPr>
                <w:rFonts w:cs="Arial"/>
                <w:highlight w:val="yellow"/>
              </w:rPr>
              <w:t>[e.g. SL1MS3]</w:t>
            </w:r>
          </w:p>
        </w:tc>
        <w:tc>
          <w:tcPr>
            <w:tcW w:w="6633" w:type="dxa"/>
            <w:tcBorders>
              <w:bottom w:val="single" w:sz="4" w:space="0" w:color="auto"/>
            </w:tcBorders>
          </w:tcPr>
          <w:p w14:paraId="7E953596" w14:textId="77777777" w:rsidR="00F67E9E" w:rsidRPr="00277440" w:rsidRDefault="00F67E9E" w:rsidP="007F74AA">
            <w:pPr>
              <w:pStyle w:val="StdBodyText1"/>
              <w:spacing w:before="0" w:after="0"/>
              <w:ind w:left="0"/>
              <w:rPr>
                <w:rFonts w:cs="Arial"/>
              </w:rPr>
            </w:pPr>
          </w:p>
        </w:tc>
      </w:tr>
      <w:tr w:rsidR="00F67E9E" w:rsidRPr="00277440" w14:paraId="1A995620" w14:textId="77777777" w:rsidTr="007F74AA">
        <w:tc>
          <w:tcPr>
            <w:tcW w:w="9468" w:type="dxa"/>
            <w:gridSpan w:val="2"/>
            <w:shd w:val="clear" w:color="auto" w:fill="F0F0F0"/>
          </w:tcPr>
          <w:p w14:paraId="4FB98111" w14:textId="77777777" w:rsidR="00F67E9E" w:rsidRPr="00277440" w:rsidRDefault="00F67E9E" w:rsidP="007F74AA">
            <w:pPr>
              <w:pStyle w:val="StdBodyTextBold"/>
              <w:spacing w:before="0" w:after="0"/>
              <w:rPr>
                <w:rFonts w:cs="Arial"/>
                <w:highlight w:val="yellow"/>
              </w:rPr>
            </w:pPr>
            <w:r w:rsidRPr="00277440">
              <w:rPr>
                <w:rFonts w:cs="Arial"/>
                <w:highlight w:val="yellow"/>
              </w:rPr>
              <w:t>[Service Line 2]</w:t>
            </w:r>
          </w:p>
        </w:tc>
      </w:tr>
      <w:tr w:rsidR="00F67E9E" w:rsidRPr="00277440" w14:paraId="4CD68E62" w14:textId="77777777" w:rsidTr="007F74AA">
        <w:tc>
          <w:tcPr>
            <w:tcW w:w="2835" w:type="dxa"/>
          </w:tcPr>
          <w:p w14:paraId="0789C127" w14:textId="77777777" w:rsidR="00F67E9E" w:rsidRPr="00277440" w:rsidRDefault="00F67E9E" w:rsidP="007F74AA">
            <w:pPr>
              <w:pStyle w:val="StdBodyText1"/>
              <w:spacing w:before="0" w:after="0"/>
              <w:ind w:left="0"/>
              <w:rPr>
                <w:rFonts w:cs="Arial"/>
              </w:rPr>
            </w:pPr>
            <w:r w:rsidRPr="00277440">
              <w:rPr>
                <w:rFonts w:cs="Arial"/>
                <w:highlight w:val="yellow"/>
              </w:rPr>
              <w:t>[e.g. SL2M4]</w:t>
            </w:r>
          </w:p>
        </w:tc>
        <w:tc>
          <w:tcPr>
            <w:tcW w:w="6633" w:type="dxa"/>
          </w:tcPr>
          <w:p w14:paraId="4AC39922" w14:textId="77777777" w:rsidR="00F67E9E" w:rsidRPr="00277440" w:rsidRDefault="00F67E9E" w:rsidP="007F74AA">
            <w:pPr>
              <w:pStyle w:val="StdBodyText1"/>
              <w:spacing w:before="0" w:after="0"/>
              <w:ind w:left="0"/>
              <w:rPr>
                <w:rFonts w:cs="Arial"/>
              </w:rPr>
            </w:pPr>
          </w:p>
        </w:tc>
      </w:tr>
      <w:tr w:rsidR="00F67E9E" w:rsidRPr="00277440" w14:paraId="65FD3B05" w14:textId="77777777" w:rsidTr="007F74AA">
        <w:tc>
          <w:tcPr>
            <w:tcW w:w="2835" w:type="dxa"/>
            <w:tcBorders>
              <w:bottom w:val="single" w:sz="4" w:space="0" w:color="auto"/>
            </w:tcBorders>
          </w:tcPr>
          <w:p w14:paraId="5E21280E" w14:textId="77777777" w:rsidR="00F67E9E" w:rsidRPr="00277440" w:rsidRDefault="00F67E9E" w:rsidP="007F74AA">
            <w:pPr>
              <w:pStyle w:val="StdBodyText1"/>
              <w:spacing w:before="0" w:after="0"/>
              <w:ind w:left="0"/>
              <w:rPr>
                <w:rFonts w:cs="Arial"/>
              </w:rPr>
            </w:pPr>
            <w:r w:rsidRPr="00277440">
              <w:rPr>
                <w:rFonts w:cs="Arial"/>
                <w:highlight w:val="yellow"/>
              </w:rPr>
              <w:t>[e.g. SL2MS3]</w:t>
            </w:r>
          </w:p>
        </w:tc>
        <w:tc>
          <w:tcPr>
            <w:tcW w:w="6633" w:type="dxa"/>
            <w:tcBorders>
              <w:bottom w:val="single" w:sz="4" w:space="0" w:color="auto"/>
            </w:tcBorders>
          </w:tcPr>
          <w:p w14:paraId="390A94DA" w14:textId="77777777" w:rsidR="00F67E9E" w:rsidRPr="00277440" w:rsidRDefault="00F67E9E" w:rsidP="007F74AA">
            <w:pPr>
              <w:pStyle w:val="StdBodyText1"/>
              <w:spacing w:before="0" w:after="0"/>
              <w:ind w:left="0"/>
              <w:rPr>
                <w:rFonts w:cs="Arial"/>
              </w:rPr>
            </w:pPr>
          </w:p>
        </w:tc>
      </w:tr>
      <w:tr w:rsidR="00F67E9E" w:rsidRPr="00277440" w14:paraId="05E63064" w14:textId="77777777" w:rsidTr="007F74AA">
        <w:tc>
          <w:tcPr>
            <w:tcW w:w="9468" w:type="dxa"/>
            <w:gridSpan w:val="2"/>
            <w:shd w:val="clear" w:color="auto" w:fill="F0F0F0"/>
          </w:tcPr>
          <w:p w14:paraId="3ECE2820" w14:textId="77777777" w:rsidR="00F67E9E" w:rsidRPr="00277440" w:rsidRDefault="00F67E9E" w:rsidP="007F74AA">
            <w:pPr>
              <w:pStyle w:val="StdBodyTextBold"/>
              <w:spacing w:before="0" w:after="0"/>
              <w:rPr>
                <w:rFonts w:cs="Arial"/>
                <w:highlight w:val="yellow"/>
              </w:rPr>
            </w:pPr>
            <w:r w:rsidRPr="00277440">
              <w:rPr>
                <w:rFonts w:cs="Arial"/>
                <w:highlight w:val="yellow"/>
              </w:rPr>
              <w:t>[Service Line [X] – insert further rows as necessary]</w:t>
            </w:r>
          </w:p>
        </w:tc>
      </w:tr>
      <w:tr w:rsidR="00F67E9E" w:rsidRPr="00277440" w14:paraId="54E64ED5" w14:textId="77777777" w:rsidTr="007F74AA">
        <w:tc>
          <w:tcPr>
            <w:tcW w:w="2835" w:type="dxa"/>
          </w:tcPr>
          <w:p w14:paraId="6ADB1ADB" w14:textId="77777777" w:rsidR="00F67E9E" w:rsidRPr="00277440" w:rsidRDefault="00F67E9E" w:rsidP="007F74AA">
            <w:pPr>
              <w:pStyle w:val="StdBodyText1"/>
              <w:spacing w:before="0" w:after="0"/>
              <w:ind w:left="0"/>
              <w:rPr>
                <w:rFonts w:cs="Arial"/>
              </w:rPr>
            </w:pPr>
            <w:r w:rsidRPr="00277440">
              <w:rPr>
                <w:rFonts w:cs="Arial"/>
                <w:highlight w:val="yellow"/>
              </w:rPr>
              <w:t>[etc.]</w:t>
            </w:r>
          </w:p>
        </w:tc>
        <w:tc>
          <w:tcPr>
            <w:tcW w:w="6633" w:type="dxa"/>
          </w:tcPr>
          <w:p w14:paraId="72A23C0A" w14:textId="77777777" w:rsidR="00F67E9E" w:rsidRPr="00277440" w:rsidRDefault="00F67E9E" w:rsidP="007F74AA">
            <w:pPr>
              <w:pStyle w:val="StdBodyText1"/>
              <w:spacing w:before="0" w:after="0"/>
              <w:ind w:left="0"/>
              <w:rPr>
                <w:rFonts w:cs="Arial"/>
              </w:rPr>
            </w:pPr>
            <w:r w:rsidRPr="00277440">
              <w:rPr>
                <w:rFonts w:cs="Arial"/>
              </w:rPr>
              <w:t>…</w:t>
            </w:r>
          </w:p>
        </w:tc>
      </w:tr>
    </w:tbl>
    <w:p w14:paraId="226B1D51" w14:textId="77777777" w:rsidR="00F67E9E" w:rsidRPr="00277440" w:rsidRDefault="00F67E9E" w:rsidP="00F67E9E">
      <w:pPr>
        <w:pStyle w:val="AppendixText1"/>
      </w:pPr>
      <w:bookmarkStart w:id="1206" w:name="_9kR3WTr2CC67Aesbnre"/>
      <w:r w:rsidRPr="00277440">
        <w:t>Table 7</w:t>
      </w:r>
      <w:bookmarkEnd w:id="1206"/>
      <w:r w:rsidRPr="00277440">
        <w:t>: Volume Charges</w:t>
      </w:r>
    </w:p>
    <w:tbl>
      <w:tblPr>
        <w:tblStyle w:val="MSATable-header"/>
        <w:tblW w:w="9469" w:type="dxa"/>
        <w:tblInd w:w="680" w:type="dxa"/>
        <w:tblLook w:val="04A0" w:firstRow="1" w:lastRow="0" w:firstColumn="1" w:lastColumn="0" w:noHBand="0" w:noVBand="1"/>
      </w:tblPr>
      <w:tblGrid>
        <w:gridCol w:w="2154"/>
        <w:gridCol w:w="2268"/>
        <w:gridCol w:w="2778"/>
        <w:gridCol w:w="2269"/>
      </w:tblGrid>
      <w:tr w:rsidR="00F67E9E" w:rsidRPr="00F11637" w14:paraId="09331188" w14:textId="77777777" w:rsidTr="007F74AA">
        <w:trPr>
          <w:cnfStyle w:val="100000000000" w:firstRow="1" w:lastRow="0" w:firstColumn="0" w:lastColumn="0" w:oddVBand="0" w:evenVBand="0" w:oddHBand="0" w:evenHBand="0" w:firstRowFirstColumn="0" w:firstRowLastColumn="0" w:lastRowFirstColumn="0" w:lastRowLastColumn="0"/>
          <w:tblHeader/>
        </w:trPr>
        <w:tc>
          <w:tcPr>
            <w:tcW w:w="2154" w:type="dxa"/>
            <w:vAlign w:val="bottom"/>
          </w:tcPr>
          <w:p w14:paraId="02508166" w14:textId="77777777" w:rsidR="00F67E9E" w:rsidRPr="00F11637" w:rsidRDefault="00F67E9E" w:rsidP="007F74AA">
            <w:pPr>
              <w:pStyle w:val="StdBodyTextBold"/>
              <w:spacing w:before="0" w:after="0"/>
              <w:rPr>
                <w:rFonts w:cs="Arial"/>
                <w:b/>
                <w:bCs/>
              </w:rPr>
            </w:pPr>
            <w:r w:rsidRPr="00F11637">
              <w:rPr>
                <w:rFonts w:cs="Arial"/>
                <w:b/>
                <w:bCs/>
              </w:rPr>
              <w:t>Charge Number</w:t>
            </w:r>
          </w:p>
        </w:tc>
        <w:tc>
          <w:tcPr>
            <w:tcW w:w="2268" w:type="dxa"/>
            <w:vAlign w:val="bottom"/>
          </w:tcPr>
          <w:p w14:paraId="6580D8C7" w14:textId="77777777" w:rsidR="00F67E9E" w:rsidRPr="00F11637" w:rsidRDefault="00F67E9E" w:rsidP="007F74AA">
            <w:pPr>
              <w:pStyle w:val="StdBodyTextBold"/>
              <w:spacing w:before="0" w:after="0"/>
              <w:rPr>
                <w:rFonts w:cs="Arial"/>
                <w:b/>
                <w:bCs/>
              </w:rPr>
            </w:pPr>
            <w:r w:rsidRPr="00F11637">
              <w:rPr>
                <w:rFonts w:cs="Arial"/>
                <w:b/>
                <w:bCs/>
              </w:rPr>
              <w:t>Unit</w:t>
            </w:r>
          </w:p>
        </w:tc>
        <w:tc>
          <w:tcPr>
            <w:tcW w:w="2778" w:type="dxa"/>
            <w:vAlign w:val="bottom"/>
          </w:tcPr>
          <w:p w14:paraId="1B094960" w14:textId="77777777" w:rsidR="00F67E9E" w:rsidRPr="00F11637" w:rsidRDefault="00F67E9E" w:rsidP="007F74AA">
            <w:pPr>
              <w:pStyle w:val="StdBodyTextBold"/>
              <w:spacing w:before="0" w:after="0"/>
              <w:rPr>
                <w:rFonts w:cs="Arial"/>
                <w:b/>
                <w:bCs/>
              </w:rPr>
            </w:pPr>
            <w:r w:rsidRPr="00F11637">
              <w:rPr>
                <w:rFonts w:cs="Arial"/>
                <w:b/>
                <w:bCs/>
              </w:rPr>
              <w:t>Number of units per Service Period</w:t>
            </w:r>
          </w:p>
        </w:tc>
        <w:tc>
          <w:tcPr>
            <w:tcW w:w="2269" w:type="dxa"/>
            <w:vAlign w:val="bottom"/>
          </w:tcPr>
          <w:p w14:paraId="4E50B4C0" w14:textId="77777777" w:rsidR="00F67E9E" w:rsidRPr="00F11637" w:rsidRDefault="00F67E9E" w:rsidP="007F74AA">
            <w:pPr>
              <w:pStyle w:val="StdBodyTextBold"/>
              <w:spacing w:before="0" w:after="0"/>
              <w:rPr>
                <w:rFonts w:cs="Arial"/>
                <w:b/>
                <w:bCs/>
              </w:rPr>
            </w:pPr>
            <w:r w:rsidRPr="00F11637">
              <w:rPr>
                <w:rFonts w:cs="Arial"/>
                <w:b/>
                <w:bCs/>
              </w:rPr>
              <w:t>Charge per unit (£)</w:t>
            </w:r>
          </w:p>
        </w:tc>
      </w:tr>
      <w:tr w:rsidR="00F67E9E" w:rsidRPr="00277440" w14:paraId="785AC918" w14:textId="77777777" w:rsidTr="007F74AA">
        <w:tc>
          <w:tcPr>
            <w:tcW w:w="9469" w:type="dxa"/>
            <w:gridSpan w:val="4"/>
            <w:shd w:val="clear" w:color="auto" w:fill="F0F0F0"/>
          </w:tcPr>
          <w:p w14:paraId="0734317A" w14:textId="77777777" w:rsidR="00F67E9E" w:rsidRPr="00277440" w:rsidRDefault="00F67E9E" w:rsidP="007F74AA">
            <w:pPr>
              <w:pStyle w:val="StdBodyTextBold"/>
              <w:spacing w:before="0" w:after="0"/>
              <w:rPr>
                <w:rFonts w:cs="Arial"/>
                <w:highlight w:val="yellow"/>
              </w:rPr>
            </w:pPr>
            <w:r w:rsidRPr="00277440">
              <w:rPr>
                <w:rFonts w:cs="Arial"/>
                <w:highlight w:val="yellow"/>
              </w:rPr>
              <w:t>[Service Line 1]</w:t>
            </w:r>
          </w:p>
        </w:tc>
      </w:tr>
      <w:tr w:rsidR="00F67E9E" w:rsidRPr="00277440" w14:paraId="63B755E5" w14:textId="77777777" w:rsidTr="007F74AA">
        <w:tc>
          <w:tcPr>
            <w:tcW w:w="2154" w:type="dxa"/>
            <w:vMerge w:val="restart"/>
          </w:tcPr>
          <w:p w14:paraId="4DE18B43" w14:textId="77777777" w:rsidR="00F67E9E" w:rsidRPr="00277440" w:rsidRDefault="00F67E9E" w:rsidP="007F74AA">
            <w:pPr>
              <w:pStyle w:val="StdBodyText1"/>
              <w:spacing w:before="0" w:after="0"/>
              <w:ind w:left="0"/>
              <w:rPr>
                <w:rFonts w:cs="Arial"/>
              </w:rPr>
            </w:pPr>
            <w:r w:rsidRPr="00277440">
              <w:rPr>
                <w:rFonts w:cs="Arial"/>
                <w:highlight w:val="yellow"/>
              </w:rPr>
              <w:t>[e.g. SL1VC1]</w:t>
            </w:r>
          </w:p>
        </w:tc>
        <w:tc>
          <w:tcPr>
            <w:tcW w:w="2268" w:type="dxa"/>
            <w:vMerge w:val="restart"/>
          </w:tcPr>
          <w:p w14:paraId="60A878C2" w14:textId="77777777" w:rsidR="00F67E9E" w:rsidRPr="00277440" w:rsidRDefault="00F67E9E" w:rsidP="007F74AA">
            <w:pPr>
              <w:pStyle w:val="StdBodyText1"/>
              <w:spacing w:before="0" w:after="0"/>
              <w:ind w:left="0"/>
              <w:rPr>
                <w:rFonts w:cs="Arial"/>
              </w:rPr>
            </w:pPr>
          </w:p>
        </w:tc>
        <w:tc>
          <w:tcPr>
            <w:tcW w:w="2778" w:type="dxa"/>
          </w:tcPr>
          <w:p w14:paraId="3A2D8823" w14:textId="77777777" w:rsidR="00F67E9E" w:rsidRPr="00277440" w:rsidRDefault="00F67E9E" w:rsidP="007F74AA">
            <w:pPr>
              <w:pStyle w:val="StdBodyText1"/>
              <w:spacing w:before="0" w:after="0"/>
              <w:ind w:left="0"/>
              <w:rPr>
                <w:rFonts w:cs="Arial"/>
                <w:highlight w:val="yellow"/>
              </w:rPr>
            </w:pPr>
            <w:r w:rsidRPr="00277440">
              <w:rPr>
                <w:rFonts w:cs="Arial"/>
                <w:highlight w:val="yellow"/>
              </w:rPr>
              <w:t>[        ] - [         ]</w:t>
            </w:r>
          </w:p>
        </w:tc>
        <w:tc>
          <w:tcPr>
            <w:tcW w:w="2269" w:type="dxa"/>
          </w:tcPr>
          <w:p w14:paraId="7FCC8280" w14:textId="77777777" w:rsidR="00F67E9E" w:rsidRPr="00277440" w:rsidRDefault="00F67E9E" w:rsidP="007F74AA">
            <w:pPr>
              <w:pStyle w:val="StdBodyText1"/>
              <w:spacing w:before="0" w:after="0"/>
              <w:ind w:left="0"/>
              <w:rPr>
                <w:rFonts w:cs="Arial"/>
                <w:highlight w:val="yellow"/>
              </w:rPr>
            </w:pPr>
            <w:r w:rsidRPr="00277440">
              <w:rPr>
                <w:rFonts w:cs="Arial"/>
                <w:highlight w:val="yellow"/>
              </w:rPr>
              <w:t>[                  ]</w:t>
            </w:r>
          </w:p>
        </w:tc>
      </w:tr>
      <w:tr w:rsidR="00F67E9E" w:rsidRPr="00277440" w14:paraId="41207A21" w14:textId="77777777" w:rsidTr="007F74AA">
        <w:tc>
          <w:tcPr>
            <w:tcW w:w="2154" w:type="dxa"/>
            <w:vMerge/>
          </w:tcPr>
          <w:p w14:paraId="0B671387" w14:textId="77777777" w:rsidR="00F67E9E" w:rsidRPr="00277440" w:rsidRDefault="00F67E9E" w:rsidP="007F74AA">
            <w:pPr>
              <w:pStyle w:val="StdBodyText1"/>
              <w:spacing w:before="0" w:after="0"/>
              <w:ind w:left="0"/>
              <w:rPr>
                <w:rFonts w:cs="Arial"/>
              </w:rPr>
            </w:pPr>
          </w:p>
        </w:tc>
        <w:tc>
          <w:tcPr>
            <w:tcW w:w="2268" w:type="dxa"/>
            <w:vMerge/>
          </w:tcPr>
          <w:p w14:paraId="0C64D3A6" w14:textId="77777777" w:rsidR="00F67E9E" w:rsidRPr="00277440" w:rsidRDefault="00F67E9E" w:rsidP="007F74AA">
            <w:pPr>
              <w:pStyle w:val="StdBodyText1"/>
              <w:spacing w:before="0" w:after="0"/>
              <w:ind w:left="0"/>
              <w:rPr>
                <w:rFonts w:cs="Arial"/>
              </w:rPr>
            </w:pPr>
          </w:p>
        </w:tc>
        <w:tc>
          <w:tcPr>
            <w:tcW w:w="2778" w:type="dxa"/>
          </w:tcPr>
          <w:p w14:paraId="13184439" w14:textId="77777777" w:rsidR="00F67E9E" w:rsidRPr="00277440" w:rsidRDefault="00F67E9E" w:rsidP="007F74AA">
            <w:pPr>
              <w:pStyle w:val="StdBodyText1"/>
              <w:spacing w:before="0" w:after="0"/>
              <w:ind w:left="0"/>
              <w:rPr>
                <w:rFonts w:cs="Arial"/>
                <w:highlight w:val="yellow"/>
              </w:rPr>
            </w:pPr>
            <w:r w:rsidRPr="00277440">
              <w:rPr>
                <w:rFonts w:cs="Arial"/>
                <w:highlight w:val="yellow"/>
              </w:rPr>
              <w:t>[        ] - [         ]</w:t>
            </w:r>
          </w:p>
        </w:tc>
        <w:tc>
          <w:tcPr>
            <w:tcW w:w="2269" w:type="dxa"/>
          </w:tcPr>
          <w:p w14:paraId="24FE0C09" w14:textId="77777777" w:rsidR="00F67E9E" w:rsidRPr="00277440" w:rsidRDefault="00F67E9E" w:rsidP="007F74AA">
            <w:pPr>
              <w:pStyle w:val="StdBodyText1"/>
              <w:spacing w:before="0" w:after="0"/>
              <w:ind w:left="0"/>
              <w:rPr>
                <w:rFonts w:cs="Arial"/>
                <w:highlight w:val="yellow"/>
              </w:rPr>
            </w:pPr>
            <w:r w:rsidRPr="00277440">
              <w:rPr>
                <w:rFonts w:cs="Arial"/>
                <w:highlight w:val="yellow"/>
              </w:rPr>
              <w:t>[                  ]</w:t>
            </w:r>
          </w:p>
        </w:tc>
      </w:tr>
      <w:tr w:rsidR="00F67E9E" w:rsidRPr="00277440" w14:paraId="42C7D420" w14:textId="77777777" w:rsidTr="007F74AA">
        <w:tc>
          <w:tcPr>
            <w:tcW w:w="2154" w:type="dxa"/>
            <w:vMerge/>
          </w:tcPr>
          <w:p w14:paraId="15FA1B0F" w14:textId="77777777" w:rsidR="00F67E9E" w:rsidRPr="00277440" w:rsidRDefault="00F67E9E" w:rsidP="007F74AA">
            <w:pPr>
              <w:pStyle w:val="StdBodyText1"/>
              <w:spacing w:before="0" w:after="0"/>
              <w:ind w:left="0"/>
              <w:rPr>
                <w:rFonts w:cs="Arial"/>
              </w:rPr>
            </w:pPr>
          </w:p>
        </w:tc>
        <w:tc>
          <w:tcPr>
            <w:tcW w:w="2268" w:type="dxa"/>
            <w:vMerge/>
          </w:tcPr>
          <w:p w14:paraId="36ECC479" w14:textId="77777777" w:rsidR="00F67E9E" w:rsidRPr="00277440" w:rsidRDefault="00F67E9E" w:rsidP="007F74AA">
            <w:pPr>
              <w:pStyle w:val="StdBodyText1"/>
              <w:spacing w:before="0" w:after="0"/>
              <w:ind w:left="0"/>
              <w:rPr>
                <w:rFonts w:cs="Arial"/>
              </w:rPr>
            </w:pPr>
          </w:p>
        </w:tc>
        <w:tc>
          <w:tcPr>
            <w:tcW w:w="2778" w:type="dxa"/>
          </w:tcPr>
          <w:p w14:paraId="343A2E60" w14:textId="77777777" w:rsidR="00F67E9E" w:rsidRPr="00277440" w:rsidRDefault="00F67E9E" w:rsidP="007F74AA">
            <w:pPr>
              <w:pStyle w:val="StdBodyText1"/>
              <w:spacing w:before="0" w:after="0"/>
              <w:ind w:left="0"/>
              <w:rPr>
                <w:rFonts w:cs="Arial"/>
                <w:highlight w:val="yellow"/>
              </w:rPr>
            </w:pPr>
            <w:r w:rsidRPr="00277440">
              <w:rPr>
                <w:rFonts w:cs="Arial"/>
                <w:highlight w:val="yellow"/>
              </w:rPr>
              <w:t>[        ] - [         ]</w:t>
            </w:r>
          </w:p>
        </w:tc>
        <w:tc>
          <w:tcPr>
            <w:tcW w:w="2269" w:type="dxa"/>
          </w:tcPr>
          <w:p w14:paraId="3711D93D" w14:textId="77777777" w:rsidR="00F67E9E" w:rsidRPr="00277440" w:rsidRDefault="00F67E9E" w:rsidP="007F74AA">
            <w:pPr>
              <w:pStyle w:val="StdBodyText1"/>
              <w:spacing w:before="0" w:after="0"/>
              <w:ind w:left="0"/>
              <w:rPr>
                <w:rFonts w:cs="Arial"/>
                <w:highlight w:val="yellow"/>
              </w:rPr>
            </w:pPr>
            <w:r w:rsidRPr="00277440">
              <w:rPr>
                <w:rFonts w:cs="Arial"/>
                <w:highlight w:val="yellow"/>
              </w:rPr>
              <w:t>[                  ]</w:t>
            </w:r>
          </w:p>
        </w:tc>
      </w:tr>
      <w:tr w:rsidR="00F67E9E" w:rsidRPr="00277440" w14:paraId="174C379B" w14:textId="77777777" w:rsidTr="007F74AA">
        <w:tc>
          <w:tcPr>
            <w:tcW w:w="2154" w:type="dxa"/>
            <w:vMerge w:val="restart"/>
          </w:tcPr>
          <w:p w14:paraId="072196BC" w14:textId="77777777" w:rsidR="00F67E9E" w:rsidRPr="00277440" w:rsidRDefault="00F67E9E" w:rsidP="007F74AA">
            <w:pPr>
              <w:pStyle w:val="StdBodyText1"/>
              <w:spacing w:before="0" w:after="0"/>
              <w:ind w:left="0"/>
              <w:rPr>
                <w:rFonts w:cs="Arial"/>
              </w:rPr>
            </w:pPr>
            <w:r w:rsidRPr="00277440">
              <w:rPr>
                <w:rFonts w:cs="Arial"/>
                <w:highlight w:val="yellow"/>
              </w:rPr>
              <w:t>[e.g. SL1VC2]</w:t>
            </w:r>
          </w:p>
        </w:tc>
        <w:tc>
          <w:tcPr>
            <w:tcW w:w="2268" w:type="dxa"/>
            <w:vMerge w:val="restart"/>
          </w:tcPr>
          <w:p w14:paraId="2EA06C3C" w14:textId="77777777" w:rsidR="00F67E9E" w:rsidRPr="00277440" w:rsidRDefault="00F67E9E" w:rsidP="007F74AA">
            <w:pPr>
              <w:pStyle w:val="StdBodyText1"/>
              <w:spacing w:before="0" w:after="0"/>
              <w:ind w:left="0"/>
              <w:rPr>
                <w:rFonts w:cs="Arial"/>
              </w:rPr>
            </w:pPr>
          </w:p>
        </w:tc>
        <w:tc>
          <w:tcPr>
            <w:tcW w:w="2778" w:type="dxa"/>
          </w:tcPr>
          <w:p w14:paraId="5B650DA4" w14:textId="77777777" w:rsidR="00F67E9E" w:rsidRPr="00277440" w:rsidRDefault="00F67E9E" w:rsidP="007F74AA">
            <w:pPr>
              <w:pStyle w:val="StdBodyText1"/>
              <w:spacing w:before="0" w:after="0"/>
              <w:ind w:left="0"/>
              <w:rPr>
                <w:rFonts w:cs="Arial"/>
                <w:highlight w:val="yellow"/>
              </w:rPr>
            </w:pPr>
            <w:r w:rsidRPr="00277440">
              <w:rPr>
                <w:rFonts w:cs="Arial"/>
                <w:highlight w:val="yellow"/>
              </w:rPr>
              <w:t>[        ] - [         ]</w:t>
            </w:r>
          </w:p>
        </w:tc>
        <w:tc>
          <w:tcPr>
            <w:tcW w:w="2269" w:type="dxa"/>
          </w:tcPr>
          <w:p w14:paraId="4EC9303B" w14:textId="77777777" w:rsidR="00F67E9E" w:rsidRPr="00277440" w:rsidRDefault="00F67E9E" w:rsidP="007F74AA">
            <w:pPr>
              <w:pStyle w:val="StdBodyText1"/>
              <w:spacing w:before="0" w:after="0"/>
              <w:ind w:left="0"/>
              <w:rPr>
                <w:rFonts w:cs="Arial"/>
                <w:highlight w:val="yellow"/>
              </w:rPr>
            </w:pPr>
            <w:r w:rsidRPr="00277440">
              <w:rPr>
                <w:rFonts w:cs="Arial"/>
                <w:highlight w:val="yellow"/>
              </w:rPr>
              <w:t>[                  ]</w:t>
            </w:r>
          </w:p>
        </w:tc>
      </w:tr>
      <w:tr w:rsidR="00F67E9E" w:rsidRPr="00277440" w14:paraId="01E40CEF" w14:textId="77777777" w:rsidTr="007F74AA">
        <w:tc>
          <w:tcPr>
            <w:tcW w:w="2154" w:type="dxa"/>
            <w:vMerge/>
          </w:tcPr>
          <w:p w14:paraId="61FDE590" w14:textId="77777777" w:rsidR="00F67E9E" w:rsidRPr="00277440" w:rsidRDefault="00F67E9E" w:rsidP="007F74AA">
            <w:pPr>
              <w:pStyle w:val="StdBodyText1"/>
              <w:spacing w:before="0" w:after="0"/>
              <w:ind w:left="0"/>
              <w:rPr>
                <w:rFonts w:cs="Arial"/>
              </w:rPr>
            </w:pPr>
          </w:p>
        </w:tc>
        <w:tc>
          <w:tcPr>
            <w:tcW w:w="2268" w:type="dxa"/>
            <w:vMerge/>
          </w:tcPr>
          <w:p w14:paraId="645C9E40" w14:textId="77777777" w:rsidR="00F67E9E" w:rsidRPr="00277440" w:rsidRDefault="00F67E9E" w:rsidP="007F74AA">
            <w:pPr>
              <w:pStyle w:val="StdBodyText1"/>
              <w:spacing w:before="0" w:after="0"/>
              <w:ind w:left="0"/>
              <w:rPr>
                <w:rFonts w:cs="Arial"/>
              </w:rPr>
            </w:pPr>
          </w:p>
        </w:tc>
        <w:tc>
          <w:tcPr>
            <w:tcW w:w="2778" w:type="dxa"/>
          </w:tcPr>
          <w:p w14:paraId="502FEE64" w14:textId="77777777" w:rsidR="00F67E9E" w:rsidRPr="00277440" w:rsidRDefault="00F67E9E" w:rsidP="007F74AA">
            <w:pPr>
              <w:pStyle w:val="StdBodyText1"/>
              <w:spacing w:before="0" w:after="0"/>
              <w:ind w:left="0"/>
              <w:rPr>
                <w:rFonts w:cs="Arial"/>
                <w:highlight w:val="yellow"/>
              </w:rPr>
            </w:pPr>
            <w:r w:rsidRPr="00277440">
              <w:rPr>
                <w:rFonts w:cs="Arial"/>
                <w:highlight w:val="yellow"/>
              </w:rPr>
              <w:t>[        ] - [         ]</w:t>
            </w:r>
          </w:p>
        </w:tc>
        <w:tc>
          <w:tcPr>
            <w:tcW w:w="2269" w:type="dxa"/>
          </w:tcPr>
          <w:p w14:paraId="59D956CE" w14:textId="77777777" w:rsidR="00F67E9E" w:rsidRPr="00277440" w:rsidRDefault="00F67E9E" w:rsidP="007F74AA">
            <w:pPr>
              <w:pStyle w:val="StdBodyText1"/>
              <w:spacing w:before="0" w:after="0"/>
              <w:ind w:left="0"/>
              <w:rPr>
                <w:rFonts w:cs="Arial"/>
                <w:highlight w:val="yellow"/>
              </w:rPr>
            </w:pPr>
            <w:r w:rsidRPr="00277440">
              <w:rPr>
                <w:rFonts w:cs="Arial"/>
                <w:highlight w:val="yellow"/>
              </w:rPr>
              <w:t>[                  ]</w:t>
            </w:r>
          </w:p>
        </w:tc>
      </w:tr>
      <w:tr w:rsidR="00F67E9E" w:rsidRPr="00277440" w14:paraId="5A38FACF" w14:textId="77777777" w:rsidTr="007F74AA">
        <w:tc>
          <w:tcPr>
            <w:tcW w:w="2154" w:type="dxa"/>
            <w:vMerge/>
          </w:tcPr>
          <w:p w14:paraId="24D0D61D" w14:textId="77777777" w:rsidR="00F67E9E" w:rsidRPr="00277440" w:rsidRDefault="00F67E9E" w:rsidP="007F74AA">
            <w:pPr>
              <w:pStyle w:val="StdBodyText1"/>
              <w:spacing w:before="0" w:after="0"/>
              <w:ind w:left="0"/>
              <w:rPr>
                <w:rFonts w:cs="Arial"/>
              </w:rPr>
            </w:pPr>
          </w:p>
        </w:tc>
        <w:tc>
          <w:tcPr>
            <w:tcW w:w="2268" w:type="dxa"/>
            <w:vMerge/>
          </w:tcPr>
          <w:p w14:paraId="7AB2CD3B" w14:textId="77777777" w:rsidR="00F67E9E" w:rsidRPr="00277440" w:rsidRDefault="00F67E9E" w:rsidP="007F74AA">
            <w:pPr>
              <w:pStyle w:val="StdBodyText1"/>
              <w:spacing w:before="0" w:after="0"/>
              <w:ind w:left="0"/>
              <w:rPr>
                <w:rFonts w:cs="Arial"/>
              </w:rPr>
            </w:pPr>
          </w:p>
        </w:tc>
        <w:tc>
          <w:tcPr>
            <w:tcW w:w="2778" w:type="dxa"/>
          </w:tcPr>
          <w:p w14:paraId="38785834" w14:textId="77777777" w:rsidR="00F67E9E" w:rsidRPr="00277440" w:rsidRDefault="00F67E9E" w:rsidP="007F74AA">
            <w:pPr>
              <w:pStyle w:val="StdBodyText1"/>
              <w:spacing w:before="0" w:after="0"/>
              <w:ind w:left="0"/>
              <w:rPr>
                <w:rFonts w:cs="Arial"/>
                <w:highlight w:val="yellow"/>
              </w:rPr>
            </w:pPr>
            <w:r w:rsidRPr="00277440">
              <w:rPr>
                <w:rFonts w:cs="Arial"/>
                <w:highlight w:val="yellow"/>
              </w:rPr>
              <w:t>[        ] - [         ]</w:t>
            </w:r>
          </w:p>
        </w:tc>
        <w:tc>
          <w:tcPr>
            <w:tcW w:w="2269" w:type="dxa"/>
          </w:tcPr>
          <w:p w14:paraId="7BDCA1D2" w14:textId="77777777" w:rsidR="00F67E9E" w:rsidRPr="00277440" w:rsidRDefault="00F67E9E" w:rsidP="007F74AA">
            <w:pPr>
              <w:pStyle w:val="StdBodyText1"/>
              <w:spacing w:before="0" w:after="0"/>
              <w:ind w:left="0"/>
              <w:rPr>
                <w:rFonts w:cs="Arial"/>
                <w:highlight w:val="yellow"/>
              </w:rPr>
            </w:pPr>
            <w:r w:rsidRPr="00277440">
              <w:rPr>
                <w:rFonts w:cs="Arial"/>
                <w:highlight w:val="yellow"/>
              </w:rPr>
              <w:t>[                  ]</w:t>
            </w:r>
          </w:p>
        </w:tc>
      </w:tr>
      <w:tr w:rsidR="00F67E9E" w:rsidRPr="00277440" w14:paraId="33A4DF9F" w14:textId="77777777" w:rsidTr="007F74AA">
        <w:tc>
          <w:tcPr>
            <w:tcW w:w="2154" w:type="dxa"/>
            <w:vMerge w:val="restart"/>
          </w:tcPr>
          <w:p w14:paraId="56FACB69" w14:textId="77777777" w:rsidR="00F67E9E" w:rsidRPr="00277440" w:rsidRDefault="00F67E9E" w:rsidP="007F74AA">
            <w:pPr>
              <w:pStyle w:val="StdBodyText1"/>
              <w:spacing w:before="0" w:after="0"/>
              <w:ind w:left="0"/>
              <w:rPr>
                <w:rFonts w:cs="Arial"/>
              </w:rPr>
            </w:pPr>
            <w:r w:rsidRPr="00277440">
              <w:rPr>
                <w:rFonts w:cs="Arial"/>
                <w:highlight w:val="yellow"/>
              </w:rPr>
              <w:t>[e.g. SL1VC3]</w:t>
            </w:r>
          </w:p>
        </w:tc>
        <w:tc>
          <w:tcPr>
            <w:tcW w:w="2268" w:type="dxa"/>
          </w:tcPr>
          <w:p w14:paraId="6E5A70C8" w14:textId="77777777" w:rsidR="00F67E9E" w:rsidRPr="00277440" w:rsidRDefault="00F67E9E" w:rsidP="007F74AA">
            <w:pPr>
              <w:pStyle w:val="StdBodyText1"/>
              <w:spacing w:before="0" w:after="0"/>
              <w:ind w:left="0"/>
              <w:rPr>
                <w:rFonts w:cs="Arial"/>
              </w:rPr>
            </w:pPr>
          </w:p>
        </w:tc>
        <w:tc>
          <w:tcPr>
            <w:tcW w:w="2778" w:type="dxa"/>
          </w:tcPr>
          <w:p w14:paraId="1EA5893E" w14:textId="77777777" w:rsidR="00F67E9E" w:rsidRPr="00277440" w:rsidRDefault="00F67E9E" w:rsidP="007F74AA">
            <w:pPr>
              <w:pStyle w:val="StdBodyText1"/>
              <w:spacing w:before="0" w:after="0"/>
              <w:ind w:left="0"/>
              <w:rPr>
                <w:rFonts w:cs="Arial"/>
                <w:highlight w:val="yellow"/>
              </w:rPr>
            </w:pPr>
            <w:r w:rsidRPr="00277440">
              <w:rPr>
                <w:rFonts w:cs="Arial"/>
                <w:highlight w:val="yellow"/>
              </w:rPr>
              <w:t>[        ] - [         ]</w:t>
            </w:r>
          </w:p>
        </w:tc>
        <w:tc>
          <w:tcPr>
            <w:tcW w:w="2269" w:type="dxa"/>
          </w:tcPr>
          <w:p w14:paraId="4F8EC83E" w14:textId="77777777" w:rsidR="00F67E9E" w:rsidRPr="00277440" w:rsidRDefault="00F67E9E" w:rsidP="007F74AA">
            <w:pPr>
              <w:pStyle w:val="StdBodyText1"/>
              <w:spacing w:before="0" w:after="0"/>
              <w:ind w:left="0"/>
              <w:rPr>
                <w:rFonts w:cs="Arial"/>
                <w:highlight w:val="yellow"/>
              </w:rPr>
            </w:pPr>
            <w:r w:rsidRPr="00277440">
              <w:rPr>
                <w:rFonts w:cs="Arial"/>
                <w:highlight w:val="yellow"/>
              </w:rPr>
              <w:t>[        ] - [         ]</w:t>
            </w:r>
          </w:p>
        </w:tc>
      </w:tr>
      <w:tr w:rsidR="00F67E9E" w:rsidRPr="00277440" w14:paraId="65E09E0E" w14:textId="77777777" w:rsidTr="007F74AA">
        <w:tc>
          <w:tcPr>
            <w:tcW w:w="2154" w:type="dxa"/>
            <w:vMerge/>
          </w:tcPr>
          <w:p w14:paraId="57239C38" w14:textId="77777777" w:rsidR="00F67E9E" w:rsidRPr="00277440" w:rsidRDefault="00F67E9E" w:rsidP="007F74AA">
            <w:pPr>
              <w:pStyle w:val="StdBodyText1"/>
              <w:spacing w:before="0" w:after="0"/>
              <w:ind w:left="0"/>
              <w:rPr>
                <w:rFonts w:cs="Arial"/>
              </w:rPr>
            </w:pPr>
          </w:p>
        </w:tc>
        <w:tc>
          <w:tcPr>
            <w:tcW w:w="2268" w:type="dxa"/>
          </w:tcPr>
          <w:p w14:paraId="0C2CF8CC" w14:textId="77777777" w:rsidR="00F67E9E" w:rsidRPr="00277440" w:rsidRDefault="00F67E9E" w:rsidP="007F74AA">
            <w:pPr>
              <w:pStyle w:val="StdBodyText1"/>
              <w:spacing w:before="0" w:after="0"/>
              <w:ind w:left="0"/>
              <w:rPr>
                <w:rFonts w:cs="Arial"/>
              </w:rPr>
            </w:pPr>
          </w:p>
        </w:tc>
        <w:tc>
          <w:tcPr>
            <w:tcW w:w="2778" w:type="dxa"/>
          </w:tcPr>
          <w:p w14:paraId="34516587" w14:textId="77777777" w:rsidR="00F67E9E" w:rsidRPr="00277440" w:rsidRDefault="00F67E9E" w:rsidP="007F74AA">
            <w:pPr>
              <w:pStyle w:val="StdBodyText1"/>
              <w:spacing w:before="0" w:after="0"/>
              <w:ind w:left="0"/>
              <w:rPr>
                <w:rFonts w:cs="Arial"/>
                <w:highlight w:val="yellow"/>
              </w:rPr>
            </w:pPr>
            <w:r w:rsidRPr="00277440">
              <w:rPr>
                <w:rFonts w:cs="Arial"/>
                <w:highlight w:val="yellow"/>
              </w:rPr>
              <w:t>[        ] - [         ]</w:t>
            </w:r>
          </w:p>
        </w:tc>
        <w:tc>
          <w:tcPr>
            <w:tcW w:w="2269" w:type="dxa"/>
          </w:tcPr>
          <w:p w14:paraId="31B0C775" w14:textId="77777777" w:rsidR="00F67E9E" w:rsidRPr="00277440" w:rsidRDefault="00F67E9E" w:rsidP="007F74AA">
            <w:pPr>
              <w:pStyle w:val="StdBodyText1"/>
              <w:spacing w:before="0" w:after="0"/>
              <w:ind w:left="0"/>
              <w:rPr>
                <w:rFonts w:cs="Arial"/>
                <w:highlight w:val="yellow"/>
              </w:rPr>
            </w:pPr>
            <w:r w:rsidRPr="00277440">
              <w:rPr>
                <w:rFonts w:cs="Arial"/>
                <w:highlight w:val="yellow"/>
              </w:rPr>
              <w:t>[        ] - [         ]</w:t>
            </w:r>
          </w:p>
        </w:tc>
      </w:tr>
      <w:tr w:rsidR="00F67E9E" w:rsidRPr="00277440" w14:paraId="14422874" w14:textId="77777777" w:rsidTr="007F74AA">
        <w:tc>
          <w:tcPr>
            <w:tcW w:w="2154" w:type="dxa"/>
            <w:vMerge/>
            <w:tcBorders>
              <w:bottom w:val="single" w:sz="4" w:space="0" w:color="auto"/>
            </w:tcBorders>
          </w:tcPr>
          <w:p w14:paraId="751C7505" w14:textId="77777777" w:rsidR="00F67E9E" w:rsidRPr="00277440" w:rsidRDefault="00F67E9E" w:rsidP="007F74AA">
            <w:pPr>
              <w:pStyle w:val="StdBodyText1"/>
              <w:spacing w:before="0" w:after="0"/>
              <w:ind w:left="0"/>
              <w:rPr>
                <w:rFonts w:cs="Arial"/>
              </w:rPr>
            </w:pPr>
          </w:p>
        </w:tc>
        <w:tc>
          <w:tcPr>
            <w:tcW w:w="2268" w:type="dxa"/>
            <w:tcBorders>
              <w:bottom w:val="single" w:sz="4" w:space="0" w:color="auto"/>
            </w:tcBorders>
          </w:tcPr>
          <w:p w14:paraId="5FC23D45" w14:textId="77777777" w:rsidR="00F67E9E" w:rsidRPr="00277440" w:rsidRDefault="00F67E9E" w:rsidP="007F74AA">
            <w:pPr>
              <w:pStyle w:val="StdBodyText1"/>
              <w:spacing w:before="0" w:after="0"/>
              <w:ind w:left="0"/>
              <w:rPr>
                <w:rFonts w:cs="Arial"/>
              </w:rPr>
            </w:pPr>
          </w:p>
        </w:tc>
        <w:tc>
          <w:tcPr>
            <w:tcW w:w="2778" w:type="dxa"/>
            <w:tcBorders>
              <w:bottom w:val="single" w:sz="4" w:space="0" w:color="auto"/>
            </w:tcBorders>
          </w:tcPr>
          <w:p w14:paraId="39B57508" w14:textId="77777777" w:rsidR="00F67E9E" w:rsidRPr="00277440" w:rsidRDefault="00F67E9E" w:rsidP="007F74AA">
            <w:pPr>
              <w:pStyle w:val="StdBodyText1"/>
              <w:spacing w:before="0" w:after="0"/>
              <w:ind w:left="0"/>
              <w:rPr>
                <w:rFonts w:cs="Arial"/>
                <w:highlight w:val="yellow"/>
              </w:rPr>
            </w:pPr>
            <w:r w:rsidRPr="00277440">
              <w:rPr>
                <w:rFonts w:cs="Arial"/>
                <w:highlight w:val="yellow"/>
              </w:rPr>
              <w:t>[        ] - [         ]</w:t>
            </w:r>
          </w:p>
        </w:tc>
        <w:tc>
          <w:tcPr>
            <w:tcW w:w="2269" w:type="dxa"/>
            <w:tcBorders>
              <w:bottom w:val="single" w:sz="4" w:space="0" w:color="auto"/>
            </w:tcBorders>
          </w:tcPr>
          <w:p w14:paraId="01577C24" w14:textId="77777777" w:rsidR="00F67E9E" w:rsidRPr="00277440" w:rsidRDefault="00F67E9E" w:rsidP="007F74AA">
            <w:pPr>
              <w:pStyle w:val="StdBodyText1"/>
              <w:spacing w:before="0" w:after="0"/>
              <w:ind w:left="0"/>
              <w:rPr>
                <w:rFonts w:cs="Arial"/>
                <w:highlight w:val="yellow"/>
              </w:rPr>
            </w:pPr>
            <w:r w:rsidRPr="00277440">
              <w:rPr>
                <w:rFonts w:cs="Arial"/>
                <w:highlight w:val="yellow"/>
              </w:rPr>
              <w:t>[        ] - [         ]</w:t>
            </w:r>
          </w:p>
        </w:tc>
      </w:tr>
      <w:tr w:rsidR="00F67E9E" w:rsidRPr="00277440" w14:paraId="04FFA430" w14:textId="77777777" w:rsidTr="007F74AA">
        <w:tc>
          <w:tcPr>
            <w:tcW w:w="9469" w:type="dxa"/>
            <w:gridSpan w:val="4"/>
            <w:shd w:val="clear" w:color="auto" w:fill="F0F0F0"/>
          </w:tcPr>
          <w:p w14:paraId="4916A689" w14:textId="77777777" w:rsidR="00F67E9E" w:rsidRPr="00277440" w:rsidRDefault="00F67E9E" w:rsidP="007F74AA">
            <w:pPr>
              <w:pStyle w:val="StdBodyTextBold"/>
              <w:spacing w:before="0" w:after="0"/>
              <w:rPr>
                <w:rFonts w:cs="Arial"/>
                <w:highlight w:val="yellow"/>
              </w:rPr>
            </w:pPr>
            <w:r w:rsidRPr="00277440">
              <w:rPr>
                <w:rFonts w:cs="Arial"/>
                <w:highlight w:val="yellow"/>
              </w:rPr>
              <w:t>[Service Line 2]</w:t>
            </w:r>
          </w:p>
        </w:tc>
      </w:tr>
      <w:tr w:rsidR="00F67E9E" w:rsidRPr="00277440" w14:paraId="1D75A8E2" w14:textId="77777777" w:rsidTr="007F74AA">
        <w:tc>
          <w:tcPr>
            <w:tcW w:w="2154" w:type="dxa"/>
            <w:vMerge w:val="restart"/>
          </w:tcPr>
          <w:p w14:paraId="5E4A691A" w14:textId="77777777" w:rsidR="00F67E9E" w:rsidRPr="00277440" w:rsidRDefault="00F67E9E" w:rsidP="007F74AA">
            <w:pPr>
              <w:pStyle w:val="StdBodyText1"/>
              <w:spacing w:before="0" w:after="0"/>
              <w:ind w:left="0"/>
              <w:rPr>
                <w:rFonts w:cs="Arial"/>
              </w:rPr>
            </w:pPr>
            <w:r w:rsidRPr="00277440">
              <w:rPr>
                <w:rFonts w:cs="Arial"/>
                <w:highlight w:val="yellow"/>
              </w:rPr>
              <w:t>[e.g. SL2VC1]</w:t>
            </w:r>
          </w:p>
        </w:tc>
        <w:tc>
          <w:tcPr>
            <w:tcW w:w="2268" w:type="dxa"/>
            <w:vMerge w:val="restart"/>
          </w:tcPr>
          <w:p w14:paraId="67AEF5F7" w14:textId="77777777" w:rsidR="00F67E9E" w:rsidRPr="00277440" w:rsidRDefault="00F67E9E" w:rsidP="007F74AA">
            <w:pPr>
              <w:pStyle w:val="StdBodyText1"/>
              <w:spacing w:before="0" w:after="0"/>
              <w:ind w:left="0"/>
              <w:rPr>
                <w:rFonts w:cs="Arial"/>
              </w:rPr>
            </w:pPr>
          </w:p>
        </w:tc>
        <w:tc>
          <w:tcPr>
            <w:tcW w:w="2778" w:type="dxa"/>
          </w:tcPr>
          <w:p w14:paraId="3E1EF7AC" w14:textId="77777777" w:rsidR="00F67E9E" w:rsidRPr="00277440" w:rsidRDefault="00F67E9E" w:rsidP="007F74AA">
            <w:pPr>
              <w:pStyle w:val="StdBodyText1"/>
              <w:spacing w:before="0" w:after="0"/>
              <w:ind w:left="0"/>
              <w:rPr>
                <w:rFonts w:cs="Arial"/>
                <w:highlight w:val="yellow"/>
              </w:rPr>
            </w:pPr>
            <w:r w:rsidRPr="00277440">
              <w:rPr>
                <w:rFonts w:cs="Arial"/>
                <w:highlight w:val="yellow"/>
              </w:rPr>
              <w:t>[        ] - [         ]</w:t>
            </w:r>
          </w:p>
        </w:tc>
        <w:tc>
          <w:tcPr>
            <w:tcW w:w="2268" w:type="dxa"/>
          </w:tcPr>
          <w:p w14:paraId="45104D63" w14:textId="77777777" w:rsidR="00F67E9E" w:rsidRPr="00277440" w:rsidRDefault="00F67E9E" w:rsidP="007F74AA">
            <w:pPr>
              <w:pStyle w:val="StdBodyText1"/>
              <w:spacing w:before="0" w:after="0"/>
              <w:ind w:left="0"/>
              <w:rPr>
                <w:rFonts w:cs="Arial"/>
                <w:highlight w:val="yellow"/>
              </w:rPr>
            </w:pPr>
            <w:r w:rsidRPr="00277440">
              <w:rPr>
                <w:rFonts w:cs="Arial"/>
                <w:highlight w:val="yellow"/>
              </w:rPr>
              <w:t>[                  ]</w:t>
            </w:r>
          </w:p>
        </w:tc>
      </w:tr>
      <w:tr w:rsidR="00F67E9E" w:rsidRPr="00277440" w14:paraId="5DAAC69F" w14:textId="77777777" w:rsidTr="007F74AA">
        <w:tc>
          <w:tcPr>
            <w:tcW w:w="2154" w:type="dxa"/>
            <w:vMerge/>
          </w:tcPr>
          <w:p w14:paraId="45DC9861" w14:textId="77777777" w:rsidR="00F67E9E" w:rsidRPr="00277440" w:rsidRDefault="00F67E9E" w:rsidP="007F74AA">
            <w:pPr>
              <w:pStyle w:val="StdBodyText1"/>
              <w:spacing w:before="0" w:after="0"/>
              <w:ind w:left="0"/>
              <w:rPr>
                <w:rFonts w:cs="Arial"/>
              </w:rPr>
            </w:pPr>
          </w:p>
        </w:tc>
        <w:tc>
          <w:tcPr>
            <w:tcW w:w="2268" w:type="dxa"/>
            <w:vMerge/>
          </w:tcPr>
          <w:p w14:paraId="3ACE9682" w14:textId="77777777" w:rsidR="00F67E9E" w:rsidRPr="00277440" w:rsidRDefault="00F67E9E" w:rsidP="007F74AA">
            <w:pPr>
              <w:pStyle w:val="StdBodyText1"/>
              <w:spacing w:before="0" w:after="0"/>
              <w:ind w:left="0"/>
              <w:rPr>
                <w:rFonts w:cs="Arial"/>
              </w:rPr>
            </w:pPr>
          </w:p>
        </w:tc>
        <w:tc>
          <w:tcPr>
            <w:tcW w:w="2778" w:type="dxa"/>
          </w:tcPr>
          <w:p w14:paraId="2270C7D4" w14:textId="77777777" w:rsidR="00F67E9E" w:rsidRPr="00277440" w:rsidRDefault="00F67E9E" w:rsidP="007F74AA">
            <w:pPr>
              <w:pStyle w:val="StdBodyText1"/>
              <w:spacing w:before="0" w:after="0"/>
              <w:ind w:left="0"/>
              <w:rPr>
                <w:rFonts w:cs="Arial"/>
                <w:highlight w:val="yellow"/>
              </w:rPr>
            </w:pPr>
            <w:r w:rsidRPr="00277440">
              <w:rPr>
                <w:rFonts w:cs="Arial"/>
                <w:highlight w:val="yellow"/>
              </w:rPr>
              <w:t>[        ] - [         ]</w:t>
            </w:r>
          </w:p>
        </w:tc>
        <w:tc>
          <w:tcPr>
            <w:tcW w:w="2269" w:type="dxa"/>
          </w:tcPr>
          <w:p w14:paraId="5BAED83F" w14:textId="77777777" w:rsidR="00F67E9E" w:rsidRPr="00277440" w:rsidRDefault="00F67E9E" w:rsidP="007F74AA">
            <w:pPr>
              <w:pStyle w:val="StdBodyText1"/>
              <w:spacing w:before="0" w:after="0"/>
              <w:ind w:left="0"/>
              <w:rPr>
                <w:rFonts w:cs="Arial"/>
                <w:highlight w:val="yellow"/>
              </w:rPr>
            </w:pPr>
            <w:r w:rsidRPr="00277440">
              <w:rPr>
                <w:rFonts w:cs="Arial"/>
                <w:highlight w:val="yellow"/>
              </w:rPr>
              <w:t>[                  ]</w:t>
            </w:r>
          </w:p>
        </w:tc>
      </w:tr>
      <w:tr w:rsidR="00F67E9E" w:rsidRPr="00277440" w14:paraId="32EAD43A" w14:textId="77777777" w:rsidTr="007F74AA">
        <w:tc>
          <w:tcPr>
            <w:tcW w:w="2154" w:type="dxa"/>
            <w:vMerge/>
          </w:tcPr>
          <w:p w14:paraId="7B92A484" w14:textId="77777777" w:rsidR="00F67E9E" w:rsidRPr="00277440" w:rsidRDefault="00F67E9E" w:rsidP="007F74AA">
            <w:pPr>
              <w:pStyle w:val="StdBodyText1"/>
              <w:spacing w:before="0" w:after="0"/>
              <w:ind w:left="0"/>
              <w:rPr>
                <w:rFonts w:cs="Arial"/>
              </w:rPr>
            </w:pPr>
          </w:p>
        </w:tc>
        <w:tc>
          <w:tcPr>
            <w:tcW w:w="2268" w:type="dxa"/>
            <w:vMerge/>
          </w:tcPr>
          <w:p w14:paraId="43BE453A" w14:textId="77777777" w:rsidR="00F67E9E" w:rsidRPr="00277440" w:rsidRDefault="00F67E9E" w:rsidP="007F74AA">
            <w:pPr>
              <w:pStyle w:val="StdBodyText1"/>
              <w:spacing w:before="0" w:after="0"/>
              <w:ind w:left="0"/>
              <w:rPr>
                <w:rFonts w:cs="Arial"/>
              </w:rPr>
            </w:pPr>
          </w:p>
        </w:tc>
        <w:tc>
          <w:tcPr>
            <w:tcW w:w="2778" w:type="dxa"/>
          </w:tcPr>
          <w:p w14:paraId="7572A3D9" w14:textId="77777777" w:rsidR="00F67E9E" w:rsidRPr="00277440" w:rsidRDefault="00F67E9E" w:rsidP="007F74AA">
            <w:pPr>
              <w:pStyle w:val="StdBodyText1"/>
              <w:spacing w:before="0" w:after="0"/>
              <w:ind w:left="0"/>
              <w:rPr>
                <w:rFonts w:cs="Arial"/>
                <w:highlight w:val="yellow"/>
              </w:rPr>
            </w:pPr>
            <w:r w:rsidRPr="00277440">
              <w:rPr>
                <w:rFonts w:cs="Arial"/>
                <w:highlight w:val="yellow"/>
              </w:rPr>
              <w:t>[        ] - [         ]</w:t>
            </w:r>
          </w:p>
        </w:tc>
        <w:tc>
          <w:tcPr>
            <w:tcW w:w="2269" w:type="dxa"/>
          </w:tcPr>
          <w:p w14:paraId="4A04BD9C" w14:textId="77777777" w:rsidR="00F67E9E" w:rsidRPr="00277440" w:rsidRDefault="00F67E9E" w:rsidP="007F74AA">
            <w:pPr>
              <w:pStyle w:val="StdBodyText1"/>
              <w:spacing w:before="0" w:after="0"/>
              <w:ind w:left="0"/>
              <w:rPr>
                <w:rFonts w:cs="Arial"/>
                <w:highlight w:val="yellow"/>
              </w:rPr>
            </w:pPr>
            <w:r w:rsidRPr="00277440">
              <w:rPr>
                <w:rFonts w:cs="Arial"/>
                <w:highlight w:val="yellow"/>
              </w:rPr>
              <w:t>[                  ]</w:t>
            </w:r>
          </w:p>
        </w:tc>
      </w:tr>
      <w:tr w:rsidR="00F67E9E" w:rsidRPr="00277440" w14:paraId="22B7E243" w14:textId="77777777" w:rsidTr="007F74AA">
        <w:tc>
          <w:tcPr>
            <w:tcW w:w="2154" w:type="dxa"/>
            <w:vMerge w:val="restart"/>
          </w:tcPr>
          <w:p w14:paraId="75DC84A4" w14:textId="77777777" w:rsidR="00F67E9E" w:rsidRPr="00277440" w:rsidRDefault="00F67E9E" w:rsidP="007F74AA">
            <w:pPr>
              <w:pStyle w:val="StdBodyText1"/>
              <w:spacing w:before="0" w:after="0"/>
              <w:ind w:left="0"/>
              <w:rPr>
                <w:rFonts w:cs="Arial"/>
              </w:rPr>
            </w:pPr>
            <w:r w:rsidRPr="00277440">
              <w:rPr>
                <w:rFonts w:cs="Arial"/>
                <w:highlight w:val="yellow"/>
              </w:rPr>
              <w:t>[e.g. SL2VC2]</w:t>
            </w:r>
          </w:p>
        </w:tc>
        <w:tc>
          <w:tcPr>
            <w:tcW w:w="2268" w:type="dxa"/>
            <w:vMerge w:val="restart"/>
          </w:tcPr>
          <w:p w14:paraId="27D98409" w14:textId="77777777" w:rsidR="00F67E9E" w:rsidRPr="00277440" w:rsidRDefault="00F67E9E" w:rsidP="007F74AA">
            <w:pPr>
              <w:pStyle w:val="StdBodyText1"/>
              <w:spacing w:before="0" w:after="0"/>
              <w:ind w:left="0"/>
              <w:rPr>
                <w:rFonts w:cs="Arial"/>
              </w:rPr>
            </w:pPr>
          </w:p>
        </w:tc>
        <w:tc>
          <w:tcPr>
            <w:tcW w:w="2778" w:type="dxa"/>
          </w:tcPr>
          <w:p w14:paraId="5EAB1BDE" w14:textId="77777777" w:rsidR="00F67E9E" w:rsidRPr="00277440" w:rsidRDefault="00F67E9E" w:rsidP="007F74AA">
            <w:pPr>
              <w:pStyle w:val="StdBodyText1"/>
              <w:spacing w:before="0" w:after="0"/>
              <w:ind w:left="0"/>
              <w:rPr>
                <w:rFonts w:cs="Arial"/>
                <w:highlight w:val="yellow"/>
              </w:rPr>
            </w:pPr>
            <w:r w:rsidRPr="00277440">
              <w:rPr>
                <w:rFonts w:cs="Arial"/>
                <w:highlight w:val="yellow"/>
              </w:rPr>
              <w:t>[        ] - [         ]</w:t>
            </w:r>
          </w:p>
        </w:tc>
        <w:tc>
          <w:tcPr>
            <w:tcW w:w="2269" w:type="dxa"/>
          </w:tcPr>
          <w:p w14:paraId="6559023E" w14:textId="77777777" w:rsidR="00F67E9E" w:rsidRPr="00277440" w:rsidRDefault="00F67E9E" w:rsidP="007F74AA">
            <w:pPr>
              <w:pStyle w:val="StdBodyText1"/>
              <w:spacing w:before="0" w:after="0"/>
              <w:ind w:left="0"/>
              <w:rPr>
                <w:rFonts w:cs="Arial"/>
                <w:highlight w:val="yellow"/>
              </w:rPr>
            </w:pPr>
            <w:r w:rsidRPr="00277440">
              <w:rPr>
                <w:rFonts w:cs="Arial"/>
                <w:highlight w:val="yellow"/>
              </w:rPr>
              <w:t>[                  ]</w:t>
            </w:r>
          </w:p>
        </w:tc>
      </w:tr>
      <w:tr w:rsidR="00F67E9E" w:rsidRPr="00277440" w14:paraId="7DDCB44F" w14:textId="77777777" w:rsidTr="007F74AA">
        <w:tc>
          <w:tcPr>
            <w:tcW w:w="2154" w:type="dxa"/>
            <w:vMerge/>
          </w:tcPr>
          <w:p w14:paraId="036FE0BC" w14:textId="77777777" w:rsidR="00F67E9E" w:rsidRPr="00277440" w:rsidRDefault="00F67E9E" w:rsidP="007F74AA">
            <w:pPr>
              <w:pStyle w:val="StdBodyText1"/>
              <w:spacing w:before="0" w:after="0"/>
              <w:ind w:left="0"/>
              <w:rPr>
                <w:rFonts w:cs="Arial"/>
              </w:rPr>
            </w:pPr>
          </w:p>
        </w:tc>
        <w:tc>
          <w:tcPr>
            <w:tcW w:w="2268" w:type="dxa"/>
            <w:vMerge/>
          </w:tcPr>
          <w:p w14:paraId="760D4F34" w14:textId="77777777" w:rsidR="00F67E9E" w:rsidRPr="00277440" w:rsidRDefault="00F67E9E" w:rsidP="007F74AA">
            <w:pPr>
              <w:pStyle w:val="StdBodyText1"/>
              <w:spacing w:before="0" w:after="0"/>
              <w:ind w:left="0"/>
              <w:rPr>
                <w:rFonts w:cs="Arial"/>
              </w:rPr>
            </w:pPr>
          </w:p>
        </w:tc>
        <w:tc>
          <w:tcPr>
            <w:tcW w:w="2778" w:type="dxa"/>
          </w:tcPr>
          <w:p w14:paraId="77A485F5" w14:textId="77777777" w:rsidR="00F67E9E" w:rsidRPr="00277440" w:rsidRDefault="00F67E9E" w:rsidP="007F74AA">
            <w:pPr>
              <w:pStyle w:val="StdBodyText1"/>
              <w:spacing w:before="0" w:after="0"/>
              <w:ind w:left="0"/>
              <w:rPr>
                <w:rFonts w:cs="Arial"/>
                <w:highlight w:val="yellow"/>
              </w:rPr>
            </w:pPr>
            <w:r w:rsidRPr="00277440">
              <w:rPr>
                <w:rFonts w:cs="Arial"/>
                <w:highlight w:val="yellow"/>
              </w:rPr>
              <w:t>[        ] - [         ]</w:t>
            </w:r>
          </w:p>
        </w:tc>
        <w:tc>
          <w:tcPr>
            <w:tcW w:w="2269" w:type="dxa"/>
          </w:tcPr>
          <w:p w14:paraId="7DB402CF" w14:textId="77777777" w:rsidR="00F67E9E" w:rsidRPr="00277440" w:rsidRDefault="00F67E9E" w:rsidP="007F74AA">
            <w:pPr>
              <w:pStyle w:val="StdBodyText1"/>
              <w:spacing w:before="0" w:after="0"/>
              <w:ind w:left="0"/>
              <w:rPr>
                <w:rFonts w:cs="Arial"/>
                <w:highlight w:val="yellow"/>
              </w:rPr>
            </w:pPr>
            <w:r w:rsidRPr="00277440">
              <w:rPr>
                <w:rFonts w:cs="Arial"/>
                <w:highlight w:val="yellow"/>
              </w:rPr>
              <w:t>[                  ]</w:t>
            </w:r>
          </w:p>
        </w:tc>
      </w:tr>
      <w:tr w:rsidR="00F67E9E" w:rsidRPr="00277440" w14:paraId="6D1944C7" w14:textId="77777777" w:rsidTr="007F74AA">
        <w:tc>
          <w:tcPr>
            <w:tcW w:w="2154" w:type="dxa"/>
            <w:vMerge/>
          </w:tcPr>
          <w:p w14:paraId="16FE374F" w14:textId="77777777" w:rsidR="00F67E9E" w:rsidRPr="00277440" w:rsidRDefault="00F67E9E" w:rsidP="007F74AA">
            <w:pPr>
              <w:pStyle w:val="StdBodyText1"/>
              <w:spacing w:before="0" w:after="0"/>
              <w:ind w:left="0"/>
              <w:rPr>
                <w:rFonts w:cs="Arial"/>
              </w:rPr>
            </w:pPr>
          </w:p>
        </w:tc>
        <w:tc>
          <w:tcPr>
            <w:tcW w:w="2268" w:type="dxa"/>
            <w:vMerge/>
          </w:tcPr>
          <w:p w14:paraId="319C87E0" w14:textId="77777777" w:rsidR="00F67E9E" w:rsidRPr="00277440" w:rsidRDefault="00F67E9E" w:rsidP="007F74AA">
            <w:pPr>
              <w:pStyle w:val="StdBodyText1"/>
              <w:spacing w:before="0" w:after="0"/>
              <w:ind w:left="0"/>
              <w:rPr>
                <w:rFonts w:cs="Arial"/>
              </w:rPr>
            </w:pPr>
          </w:p>
        </w:tc>
        <w:tc>
          <w:tcPr>
            <w:tcW w:w="2778" w:type="dxa"/>
          </w:tcPr>
          <w:p w14:paraId="5D155C5D" w14:textId="77777777" w:rsidR="00F67E9E" w:rsidRPr="00277440" w:rsidRDefault="00F67E9E" w:rsidP="007F74AA">
            <w:pPr>
              <w:pStyle w:val="StdBodyText1"/>
              <w:spacing w:before="0" w:after="0"/>
              <w:ind w:left="0"/>
              <w:rPr>
                <w:rFonts w:cs="Arial"/>
                <w:highlight w:val="yellow"/>
              </w:rPr>
            </w:pPr>
            <w:r w:rsidRPr="00277440">
              <w:rPr>
                <w:rFonts w:cs="Arial"/>
                <w:highlight w:val="yellow"/>
              </w:rPr>
              <w:t>[        ] - [         ]</w:t>
            </w:r>
          </w:p>
        </w:tc>
        <w:tc>
          <w:tcPr>
            <w:tcW w:w="2269" w:type="dxa"/>
          </w:tcPr>
          <w:p w14:paraId="17853A46" w14:textId="77777777" w:rsidR="00F67E9E" w:rsidRPr="00277440" w:rsidRDefault="00F67E9E" w:rsidP="007F74AA">
            <w:pPr>
              <w:pStyle w:val="StdBodyText1"/>
              <w:spacing w:before="0" w:after="0"/>
              <w:ind w:left="0"/>
              <w:rPr>
                <w:rFonts w:cs="Arial"/>
                <w:highlight w:val="yellow"/>
              </w:rPr>
            </w:pPr>
            <w:r w:rsidRPr="00277440">
              <w:rPr>
                <w:rFonts w:cs="Arial"/>
                <w:highlight w:val="yellow"/>
              </w:rPr>
              <w:t>[                  ]</w:t>
            </w:r>
          </w:p>
        </w:tc>
      </w:tr>
      <w:tr w:rsidR="00F67E9E" w:rsidRPr="00277440" w14:paraId="5020888A" w14:textId="77777777" w:rsidTr="007F74AA">
        <w:tc>
          <w:tcPr>
            <w:tcW w:w="2154" w:type="dxa"/>
            <w:vMerge w:val="restart"/>
          </w:tcPr>
          <w:p w14:paraId="7D706CB7" w14:textId="77777777" w:rsidR="00F67E9E" w:rsidRPr="00277440" w:rsidRDefault="00F67E9E" w:rsidP="007F74AA">
            <w:pPr>
              <w:pStyle w:val="StdBodyText1"/>
              <w:spacing w:before="0" w:after="0"/>
              <w:ind w:left="0"/>
              <w:rPr>
                <w:rFonts w:cs="Arial"/>
              </w:rPr>
            </w:pPr>
            <w:r w:rsidRPr="00277440">
              <w:rPr>
                <w:rFonts w:cs="Arial"/>
                <w:highlight w:val="yellow"/>
              </w:rPr>
              <w:t>[e.g. SL2VC3]</w:t>
            </w:r>
          </w:p>
        </w:tc>
        <w:tc>
          <w:tcPr>
            <w:tcW w:w="2268" w:type="dxa"/>
          </w:tcPr>
          <w:p w14:paraId="5D07B45F" w14:textId="77777777" w:rsidR="00F67E9E" w:rsidRPr="00277440" w:rsidRDefault="00F67E9E" w:rsidP="007F74AA">
            <w:pPr>
              <w:pStyle w:val="StdBodyText1"/>
              <w:spacing w:before="0" w:after="0"/>
              <w:ind w:left="0"/>
              <w:rPr>
                <w:rFonts w:cs="Arial"/>
              </w:rPr>
            </w:pPr>
          </w:p>
        </w:tc>
        <w:tc>
          <w:tcPr>
            <w:tcW w:w="2778" w:type="dxa"/>
          </w:tcPr>
          <w:p w14:paraId="0B9F7F26" w14:textId="77777777" w:rsidR="00F67E9E" w:rsidRPr="00277440" w:rsidRDefault="00F67E9E" w:rsidP="007F74AA">
            <w:pPr>
              <w:pStyle w:val="StdBodyText1"/>
              <w:spacing w:before="0" w:after="0"/>
              <w:ind w:left="0"/>
              <w:rPr>
                <w:rFonts w:cs="Arial"/>
                <w:highlight w:val="yellow"/>
              </w:rPr>
            </w:pPr>
            <w:r w:rsidRPr="00277440">
              <w:rPr>
                <w:rFonts w:cs="Arial"/>
                <w:highlight w:val="yellow"/>
              </w:rPr>
              <w:t>[        ] - [         ]</w:t>
            </w:r>
          </w:p>
        </w:tc>
        <w:tc>
          <w:tcPr>
            <w:tcW w:w="2269" w:type="dxa"/>
          </w:tcPr>
          <w:p w14:paraId="00DD9818" w14:textId="77777777" w:rsidR="00F67E9E" w:rsidRPr="00277440" w:rsidRDefault="00F67E9E" w:rsidP="007F74AA">
            <w:pPr>
              <w:pStyle w:val="StdBodyText1"/>
              <w:spacing w:before="0" w:after="0"/>
              <w:ind w:left="0"/>
              <w:rPr>
                <w:rFonts w:cs="Arial"/>
                <w:highlight w:val="yellow"/>
              </w:rPr>
            </w:pPr>
            <w:r w:rsidRPr="00277440">
              <w:rPr>
                <w:rFonts w:cs="Arial"/>
                <w:highlight w:val="yellow"/>
              </w:rPr>
              <w:t>[        ] - [         ]</w:t>
            </w:r>
          </w:p>
        </w:tc>
      </w:tr>
      <w:tr w:rsidR="00F67E9E" w:rsidRPr="00277440" w14:paraId="584E26E4" w14:textId="77777777" w:rsidTr="007F74AA">
        <w:tc>
          <w:tcPr>
            <w:tcW w:w="2154" w:type="dxa"/>
            <w:vMerge/>
          </w:tcPr>
          <w:p w14:paraId="0B22FC57" w14:textId="77777777" w:rsidR="00F67E9E" w:rsidRPr="00277440" w:rsidRDefault="00F67E9E" w:rsidP="007F74AA">
            <w:pPr>
              <w:pStyle w:val="StdBodyText1"/>
              <w:spacing w:before="0" w:after="0"/>
              <w:ind w:left="0"/>
              <w:rPr>
                <w:rFonts w:cs="Arial"/>
              </w:rPr>
            </w:pPr>
          </w:p>
        </w:tc>
        <w:tc>
          <w:tcPr>
            <w:tcW w:w="2268" w:type="dxa"/>
          </w:tcPr>
          <w:p w14:paraId="58374B41" w14:textId="77777777" w:rsidR="00F67E9E" w:rsidRPr="00277440" w:rsidRDefault="00F67E9E" w:rsidP="007F74AA">
            <w:pPr>
              <w:pStyle w:val="StdBodyText1"/>
              <w:spacing w:before="0" w:after="0"/>
              <w:ind w:left="0"/>
              <w:rPr>
                <w:rFonts w:cs="Arial"/>
              </w:rPr>
            </w:pPr>
          </w:p>
        </w:tc>
        <w:tc>
          <w:tcPr>
            <w:tcW w:w="2778" w:type="dxa"/>
          </w:tcPr>
          <w:p w14:paraId="5C4ED88D" w14:textId="77777777" w:rsidR="00F67E9E" w:rsidRPr="00277440" w:rsidRDefault="00F67E9E" w:rsidP="007F74AA">
            <w:pPr>
              <w:pStyle w:val="StdBodyText1"/>
              <w:spacing w:before="0" w:after="0"/>
              <w:ind w:left="0"/>
              <w:rPr>
                <w:rFonts w:cs="Arial"/>
                <w:highlight w:val="yellow"/>
              </w:rPr>
            </w:pPr>
            <w:r w:rsidRPr="00277440">
              <w:rPr>
                <w:rFonts w:cs="Arial"/>
                <w:highlight w:val="yellow"/>
              </w:rPr>
              <w:t>[        ] - [         ]</w:t>
            </w:r>
          </w:p>
        </w:tc>
        <w:tc>
          <w:tcPr>
            <w:tcW w:w="2269" w:type="dxa"/>
          </w:tcPr>
          <w:p w14:paraId="57D66E31" w14:textId="77777777" w:rsidR="00F67E9E" w:rsidRPr="00277440" w:rsidRDefault="00F67E9E" w:rsidP="007F74AA">
            <w:pPr>
              <w:pStyle w:val="StdBodyText1"/>
              <w:spacing w:before="0" w:after="0"/>
              <w:ind w:left="0"/>
              <w:rPr>
                <w:rFonts w:cs="Arial"/>
                <w:highlight w:val="yellow"/>
              </w:rPr>
            </w:pPr>
            <w:r w:rsidRPr="00277440">
              <w:rPr>
                <w:rFonts w:cs="Arial"/>
                <w:highlight w:val="yellow"/>
              </w:rPr>
              <w:t>[        ] - [         ]</w:t>
            </w:r>
          </w:p>
        </w:tc>
      </w:tr>
      <w:tr w:rsidR="00F67E9E" w:rsidRPr="00277440" w14:paraId="444C7AC5" w14:textId="77777777" w:rsidTr="007F74AA">
        <w:tc>
          <w:tcPr>
            <w:tcW w:w="2154" w:type="dxa"/>
            <w:vMerge/>
            <w:tcBorders>
              <w:bottom w:val="single" w:sz="4" w:space="0" w:color="auto"/>
            </w:tcBorders>
          </w:tcPr>
          <w:p w14:paraId="4936D18B" w14:textId="77777777" w:rsidR="00F67E9E" w:rsidRPr="00277440" w:rsidRDefault="00F67E9E" w:rsidP="007F74AA">
            <w:pPr>
              <w:pStyle w:val="StdBodyText1"/>
              <w:spacing w:before="0" w:after="0"/>
              <w:ind w:left="0"/>
              <w:rPr>
                <w:rFonts w:cs="Arial"/>
              </w:rPr>
            </w:pPr>
          </w:p>
        </w:tc>
        <w:tc>
          <w:tcPr>
            <w:tcW w:w="2268" w:type="dxa"/>
            <w:tcBorders>
              <w:bottom w:val="single" w:sz="4" w:space="0" w:color="auto"/>
            </w:tcBorders>
          </w:tcPr>
          <w:p w14:paraId="57119DBB" w14:textId="77777777" w:rsidR="00F67E9E" w:rsidRPr="00277440" w:rsidRDefault="00F67E9E" w:rsidP="007F74AA">
            <w:pPr>
              <w:pStyle w:val="StdBodyText1"/>
              <w:spacing w:before="0" w:after="0"/>
              <w:ind w:left="0"/>
              <w:rPr>
                <w:rFonts w:cs="Arial"/>
              </w:rPr>
            </w:pPr>
          </w:p>
        </w:tc>
        <w:tc>
          <w:tcPr>
            <w:tcW w:w="2778" w:type="dxa"/>
            <w:tcBorders>
              <w:bottom w:val="single" w:sz="4" w:space="0" w:color="auto"/>
            </w:tcBorders>
          </w:tcPr>
          <w:p w14:paraId="59DCFFC6" w14:textId="77777777" w:rsidR="00F67E9E" w:rsidRPr="00277440" w:rsidRDefault="00F67E9E" w:rsidP="007F74AA">
            <w:pPr>
              <w:pStyle w:val="StdBodyText1"/>
              <w:spacing w:before="0" w:after="0"/>
              <w:ind w:left="0"/>
              <w:rPr>
                <w:rFonts w:cs="Arial"/>
                <w:highlight w:val="yellow"/>
              </w:rPr>
            </w:pPr>
            <w:r w:rsidRPr="00277440">
              <w:rPr>
                <w:rFonts w:cs="Arial"/>
                <w:highlight w:val="yellow"/>
              </w:rPr>
              <w:t>[        ] - [         ]</w:t>
            </w:r>
          </w:p>
        </w:tc>
        <w:tc>
          <w:tcPr>
            <w:tcW w:w="2269" w:type="dxa"/>
            <w:tcBorders>
              <w:bottom w:val="single" w:sz="4" w:space="0" w:color="auto"/>
            </w:tcBorders>
          </w:tcPr>
          <w:p w14:paraId="0E4D3DE7" w14:textId="77777777" w:rsidR="00F67E9E" w:rsidRPr="00277440" w:rsidRDefault="00F67E9E" w:rsidP="007F74AA">
            <w:pPr>
              <w:pStyle w:val="StdBodyText1"/>
              <w:spacing w:before="0" w:after="0"/>
              <w:ind w:left="0"/>
              <w:rPr>
                <w:rFonts w:cs="Arial"/>
                <w:highlight w:val="yellow"/>
              </w:rPr>
            </w:pPr>
            <w:r w:rsidRPr="00277440">
              <w:rPr>
                <w:rFonts w:cs="Arial"/>
                <w:highlight w:val="yellow"/>
              </w:rPr>
              <w:t>[        ] - [         ]</w:t>
            </w:r>
          </w:p>
        </w:tc>
      </w:tr>
      <w:tr w:rsidR="00F67E9E" w:rsidRPr="00277440" w14:paraId="5DF848A0" w14:textId="77777777" w:rsidTr="007F74AA">
        <w:tc>
          <w:tcPr>
            <w:tcW w:w="9469" w:type="dxa"/>
            <w:gridSpan w:val="4"/>
            <w:shd w:val="clear" w:color="auto" w:fill="F0F0F0"/>
          </w:tcPr>
          <w:p w14:paraId="450EA5B7" w14:textId="77777777" w:rsidR="00F67E9E" w:rsidRPr="00277440" w:rsidRDefault="00F67E9E" w:rsidP="007F74AA">
            <w:pPr>
              <w:pStyle w:val="StdBodyTextBold"/>
              <w:spacing w:before="0" w:after="0"/>
              <w:rPr>
                <w:rFonts w:cs="Arial"/>
                <w:highlight w:val="yellow"/>
              </w:rPr>
            </w:pPr>
            <w:r w:rsidRPr="00277440">
              <w:rPr>
                <w:rFonts w:cs="Arial"/>
                <w:highlight w:val="yellow"/>
              </w:rPr>
              <w:t>[Service Line [X] – insert further rows as necessary]</w:t>
            </w:r>
          </w:p>
        </w:tc>
      </w:tr>
      <w:tr w:rsidR="00F67E9E" w:rsidRPr="00277440" w14:paraId="64C9C34F" w14:textId="77777777" w:rsidTr="007F74AA">
        <w:tc>
          <w:tcPr>
            <w:tcW w:w="2154" w:type="dxa"/>
            <w:vMerge w:val="restart"/>
          </w:tcPr>
          <w:p w14:paraId="19071897" w14:textId="77777777" w:rsidR="00F67E9E" w:rsidRPr="00277440" w:rsidRDefault="00F67E9E" w:rsidP="007F74AA">
            <w:pPr>
              <w:pStyle w:val="StdBodyText1"/>
              <w:spacing w:before="0" w:after="0"/>
              <w:ind w:left="0"/>
              <w:rPr>
                <w:rFonts w:cs="Arial"/>
                <w:highlight w:val="yellow"/>
              </w:rPr>
            </w:pPr>
            <w:r w:rsidRPr="00277440">
              <w:rPr>
                <w:rFonts w:cs="Arial"/>
                <w:highlight w:val="yellow"/>
              </w:rPr>
              <w:t>[etc.]</w:t>
            </w:r>
          </w:p>
        </w:tc>
        <w:tc>
          <w:tcPr>
            <w:tcW w:w="2268" w:type="dxa"/>
          </w:tcPr>
          <w:p w14:paraId="40471300" w14:textId="77777777" w:rsidR="00F67E9E" w:rsidRPr="00277440" w:rsidRDefault="00F67E9E" w:rsidP="007F74AA">
            <w:pPr>
              <w:pStyle w:val="StdBodyText1"/>
              <w:spacing w:before="0" w:after="0"/>
              <w:ind w:left="0"/>
              <w:rPr>
                <w:rFonts w:cs="Arial"/>
              </w:rPr>
            </w:pPr>
            <w:r w:rsidRPr="00277440">
              <w:rPr>
                <w:rFonts w:cs="Arial"/>
              </w:rPr>
              <w:t>….</w:t>
            </w:r>
          </w:p>
        </w:tc>
        <w:tc>
          <w:tcPr>
            <w:tcW w:w="2778" w:type="dxa"/>
          </w:tcPr>
          <w:p w14:paraId="01B0BF0B" w14:textId="77777777" w:rsidR="00F67E9E" w:rsidRPr="00277440" w:rsidRDefault="00F67E9E" w:rsidP="007F74AA">
            <w:pPr>
              <w:pStyle w:val="StdBodyText1"/>
              <w:spacing w:before="0" w:after="0"/>
              <w:ind w:left="0"/>
              <w:rPr>
                <w:rFonts w:cs="Arial"/>
                <w:highlight w:val="yellow"/>
              </w:rPr>
            </w:pPr>
            <w:r w:rsidRPr="00277440">
              <w:rPr>
                <w:rFonts w:cs="Arial"/>
                <w:highlight w:val="yellow"/>
              </w:rPr>
              <w:t>[        ] - [         ]</w:t>
            </w:r>
          </w:p>
        </w:tc>
        <w:tc>
          <w:tcPr>
            <w:tcW w:w="2269" w:type="dxa"/>
          </w:tcPr>
          <w:p w14:paraId="749DCCE1" w14:textId="77777777" w:rsidR="00F67E9E" w:rsidRPr="00277440" w:rsidRDefault="00F67E9E" w:rsidP="007F74AA">
            <w:pPr>
              <w:pStyle w:val="StdBodyText1"/>
              <w:spacing w:before="0" w:after="0"/>
              <w:ind w:left="0"/>
              <w:rPr>
                <w:rFonts w:cs="Arial"/>
                <w:highlight w:val="yellow"/>
              </w:rPr>
            </w:pPr>
            <w:r w:rsidRPr="00277440">
              <w:rPr>
                <w:rFonts w:cs="Arial"/>
                <w:highlight w:val="yellow"/>
              </w:rPr>
              <w:t>[                  ]</w:t>
            </w:r>
          </w:p>
        </w:tc>
      </w:tr>
      <w:tr w:rsidR="00F67E9E" w:rsidRPr="00277440" w14:paraId="4CDC682B" w14:textId="77777777" w:rsidTr="007F74AA">
        <w:tc>
          <w:tcPr>
            <w:tcW w:w="2154" w:type="dxa"/>
            <w:vMerge/>
          </w:tcPr>
          <w:p w14:paraId="2B5689F0" w14:textId="77777777" w:rsidR="00F67E9E" w:rsidRPr="00277440" w:rsidRDefault="00F67E9E" w:rsidP="007F74AA">
            <w:pPr>
              <w:pStyle w:val="StdBodyText1"/>
              <w:spacing w:before="0" w:after="0"/>
              <w:ind w:left="0"/>
              <w:rPr>
                <w:rFonts w:cs="Arial"/>
              </w:rPr>
            </w:pPr>
          </w:p>
        </w:tc>
        <w:tc>
          <w:tcPr>
            <w:tcW w:w="2268" w:type="dxa"/>
          </w:tcPr>
          <w:p w14:paraId="31F686AB" w14:textId="77777777" w:rsidR="00F67E9E" w:rsidRPr="00277440" w:rsidRDefault="00F67E9E" w:rsidP="007F74AA">
            <w:pPr>
              <w:pStyle w:val="StdBodyText1"/>
              <w:spacing w:before="0" w:after="0"/>
              <w:ind w:left="0"/>
              <w:rPr>
                <w:rFonts w:cs="Arial"/>
              </w:rPr>
            </w:pPr>
          </w:p>
        </w:tc>
        <w:tc>
          <w:tcPr>
            <w:tcW w:w="2778" w:type="dxa"/>
          </w:tcPr>
          <w:p w14:paraId="599916BA" w14:textId="77777777" w:rsidR="00F67E9E" w:rsidRPr="00277440" w:rsidRDefault="00F67E9E" w:rsidP="007F74AA">
            <w:pPr>
              <w:pStyle w:val="StdBodyText1"/>
              <w:spacing w:before="0" w:after="0"/>
              <w:ind w:left="0"/>
              <w:rPr>
                <w:rFonts w:cs="Arial"/>
                <w:highlight w:val="yellow"/>
              </w:rPr>
            </w:pPr>
            <w:r w:rsidRPr="00277440">
              <w:rPr>
                <w:rFonts w:cs="Arial"/>
                <w:highlight w:val="yellow"/>
              </w:rPr>
              <w:t>[        ] - [         ]</w:t>
            </w:r>
          </w:p>
        </w:tc>
        <w:tc>
          <w:tcPr>
            <w:tcW w:w="2269" w:type="dxa"/>
          </w:tcPr>
          <w:p w14:paraId="6109B7C8" w14:textId="77777777" w:rsidR="00F67E9E" w:rsidRPr="00277440" w:rsidRDefault="00F67E9E" w:rsidP="007F74AA">
            <w:pPr>
              <w:pStyle w:val="StdBodyText1"/>
              <w:spacing w:before="0" w:after="0"/>
              <w:ind w:left="0"/>
              <w:rPr>
                <w:rFonts w:cs="Arial"/>
                <w:highlight w:val="yellow"/>
              </w:rPr>
            </w:pPr>
            <w:r w:rsidRPr="00277440">
              <w:rPr>
                <w:rFonts w:cs="Arial"/>
                <w:highlight w:val="yellow"/>
              </w:rPr>
              <w:t>[                  ]</w:t>
            </w:r>
          </w:p>
        </w:tc>
      </w:tr>
      <w:tr w:rsidR="00F67E9E" w:rsidRPr="00277440" w14:paraId="67C00245" w14:textId="77777777" w:rsidTr="007F74AA">
        <w:tc>
          <w:tcPr>
            <w:tcW w:w="2154" w:type="dxa"/>
            <w:vMerge/>
          </w:tcPr>
          <w:p w14:paraId="3E9524C5" w14:textId="77777777" w:rsidR="00F67E9E" w:rsidRPr="00277440" w:rsidRDefault="00F67E9E" w:rsidP="007F74AA">
            <w:pPr>
              <w:pStyle w:val="StdBodyText1"/>
              <w:spacing w:before="0" w:after="0"/>
              <w:ind w:left="0"/>
              <w:rPr>
                <w:rFonts w:cs="Arial"/>
              </w:rPr>
            </w:pPr>
          </w:p>
        </w:tc>
        <w:tc>
          <w:tcPr>
            <w:tcW w:w="2268" w:type="dxa"/>
          </w:tcPr>
          <w:p w14:paraId="7AB069A9" w14:textId="77777777" w:rsidR="00F67E9E" w:rsidRPr="00277440" w:rsidRDefault="00F67E9E" w:rsidP="007F74AA">
            <w:pPr>
              <w:pStyle w:val="StdBodyText1"/>
              <w:spacing w:before="0" w:after="0"/>
              <w:ind w:left="0"/>
              <w:rPr>
                <w:rFonts w:cs="Arial"/>
              </w:rPr>
            </w:pPr>
          </w:p>
        </w:tc>
        <w:tc>
          <w:tcPr>
            <w:tcW w:w="2778" w:type="dxa"/>
          </w:tcPr>
          <w:p w14:paraId="5CD27F44" w14:textId="77777777" w:rsidR="00F67E9E" w:rsidRPr="00277440" w:rsidRDefault="00F67E9E" w:rsidP="007F74AA">
            <w:pPr>
              <w:pStyle w:val="StdBodyText1"/>
              <w:spacing w:before="0" w:after="0"/>
              <w:ind w:left="0"/>
              <w:rPr>
                <w:rFonts w:cs="Arial"/>
                <w:highlight w:val="yellow"/>
              </w:rPr>
            </w:pPr>
            <w:r w:rsidRPr="00277440">
              <w:rPr>
                <w:rFonts w:cs="Arial"/>
                <w:highlight w:val="yellow"/>
              </w:rPr>
              <w:t>[        ] - [         ]</w:t>
            </w:r>
          </w:p>
        </w:tc>
        <w:tc>
          <w:tcPr>
            <w:tcW w:w="2269" w:type="dxa"/>
          </w:tcPr>
          <w:p w14:paraId="12692BBF" w14:textId="77777777" w:rsidR="00F67E9E" w:rsidRPr="00277440" w:rsidRDefault="00F67E9E" w:rsidP="007F74AA">
            <w:pPr>
              <w:pStyle w:val="StdBodyText1"/>
              <w:spacing w:before="0" w:after="0"/>
              <w:ind w:left="0"/>
              <w:rPr>
                <w:rFonts w:cs="Arial"/>
                <w:highlight w:val="yellow"/>
              </w:rPr>
            </w:pPr>
            <w:r w:rsidRPr="00277440">
              <w:rPr>
                <w:rFonts w:cs="Arial"/>
                <w:highlight w:val="yellow"/>
              </w:rPr>
              <w:t>[                  ]</w:t>
            </w:r>
          </w:p>
        </w:tc>
      </w:tr>
    </w:tbl>
    <w:p w14:paraId="4C2400A2" w14:textId="77777777" w:rsidR="00F67E9E" w:rsidRDefault="00F67E9E" w:rsidP="00F67E9E">
      <w:pPr>
        <w:rPr>
          <w:lang w:eastAsia="en-GB"/>
        </w:rPr>
      </w:pPr>
    </w:p>
    <w:p w14:paraId="1C393273" w14:textId="77777777" w:rsidR="00F67E9E" w:rsidRDefault="00F67E9E" w:rsidP="00F67E9E">
      <w:pPr>
        <w:pStyle w:val="Heading2"/>
        <w:pageBreakBefore/>
      </w:pPr>
      <w:bookmarkStart w:id="1207" w:name="_Ref_ContractCompanion_9kb9Ur3CE"/>
      <w:bookmarkStart w:id="1208" w:name="_Ref_ContractCompanion_9kb9Us136"/>
      <w:bookmarkStart w:id="1209" w:name="_Ref_ContractCompanion_9kb9Us18D"/>
      <w:bookmarkStart w:id="1210" w:name="_Toc141711944"/>
      <w:r w:rsidRPr="00BA56A1">
        <w:t xml:space="preserve">Annex </w:t>
      </w:r>
      <w:bookmarkStart w:id="1211" w:name="ANNEX2_SCHEDULE15"/>
      <w:r w:rsidRPr="00BA56A1">
        <w:t>2</w:t>
      </w:r>
      <w:bookmarkEnd w:id="1211"/>
      <w:r w:rsidRPr="00BA56A1">
        <w:t>: Charging</w:t>
      </w:r>
      <w:r w:rsidRPr="00F11CD2">
        <w:t xml:space="preserve"> Mechanism </w:t>
      </w:r>
      <w:r>
        <w:t>a</w:t>
      </w:r>
      <w:r w:rsidRPr="00F11CD2">
        <w:t>nd Adjustments</w:t>
      </w:r>
      <w:bookmarkEnd w:id="1207"/>
      <w:bookmarkEnd w:id="1208"/>
      <w:bookmarkEnd w:id="1209"/>
      <w:bookmarkEnd w:id="1210"/>
    </w:p>
    <w:p w14:paraId="59513952" w14:textId="77777777" w:rsidR="00F67E9E" w:rsidRPr="0073455F" w:rsidRDefault="00F67E9E" w:rsidP="00F67E9E">
      <w:pPr>
        <w:pStyle w:val="AppendixText1"/>
        <w:numPr>
          <w:ilvl w:val="0"/>
          <w:numId w:val="59"/>
        </w:numPr>
      </w:pPr>
      <w:bookmarkStart w:id="1212" w:name="_9kMHG5YVtCIB8BGgLhkhy7sFQLkR0KfinCC9HXU"/>
      <w:r w:rsidRPr="0073455F">
        <w:t>Table 1</w:t>
      </w:r>
      <w:bookmarkEnd w:id="1212"/>
      <w:r w:rsidRPr="0073455F">
        <w:t xml:space="preserve">: Milestone Payments </w:t>
      </w:r>
      <w:r>
        <w:t>a</w:t>
      </w:r>
      <w:r w:rsidRPr="0073455F">
        <w:t xml:space="preserve">nd </w:t>
      </w:r>
      <w:r w:rsidRPr="00FD31FC">
        <w:t>Delay</w:t>
      </w:r>
      <w:r w:rsidRPr="0073455F">
        <w:t xml:space="preserve"> Payments</w:t>
      </w:r>
    </w:p>
    <w:tbl>
      <w:tblPr>
        <w:tblStyle w:val="MSATable-header"/>
        <w:tblW w:w="0" w:type="auto"/>
        <w:tblInd w:w="680" w:type="dxa"/>
        <w:tblLook w:val="04A0" w:firstRow="1" w:lastRow="0" w:firstColumn="1" w:lastColumn="0" w:noHBand="0" w:noVBand="1"/>
      </w:tblPr>
      <w:tblGrid>
        <w:gridCol w:w="1814"/>
        <w:gridCol w:w="1701"/>
        <w:gridCol w:w="1701"/>
        <w:gridCol w:w="1417"/>
        <w:gridCol w:w="1417"/>
        <w:gridCol w:w="1418"/>
      </w:tblGrid>
      <w:tr w:rsidR="00F67E9E" w:rsidRPr="006F3285" w14:paraId="5221EE23" w14:textId="77777777" w:rsidTr="007F74AA">
        <w:trPr>
          <w:cnfStyle w:val="100000000000" w:firstRow="1" w:lastRow="0" w:firstColumn="0" w:lastColumn="0" w:oddVBand="0" w:evenVBand="0" w:oddHBand="0" w:evenHBand="0" w:firstRowFirstColumn="0" w:firstRowLastColumn="0" w:lastRowFirstColumn="0" w:lastRowLastColumn="0"/>
          <w:tblHeader/>
        </w:trPr>
        <w:tc>
          <w:tcPr>
            <w:tcW w:w="1814" w:type="dxa"/>
            <w:vMerge w:val="restart"/>
            <w:vAlign w:val="bottom"/>
          </w:tcPr>
          <w:p w14:paraId="1C10ECF0" w14:textId="77777777" w:rsidR="00F67E9E" w:rsidRPr="006F3285" w:rsidRDefault="00F67E9E" w:rsidP="007F74AA">
            <w:pPr>
              <w:pStyle w:val="StdBodyTextBold"/>
              <w:spacing w:before="0" w:after="0"/>
              <w:rPr>
                <w:rFonts w:cs="Arial"/>
                <w:b/>
                <w:bCs/>
              </w:rPr>
            </w:pPr>
            <w:r w:rsidRPr="006F3285">
              <w:rPr>
                <w:rFonts w:cs="Arial"/>
                <w:b/>
                <w:bCs/>
              </w:rPr>
              <w:t>Charge Number</w:t>
            </w:r>
          </w:p>
        </w:tc>
        <w:tc>
          <w:tcPr>
            <w:tcW w:w="1701" w:type="dxa"/>
            <w:vMerge w:val="restart"/>
            <w:vAlign w:val="bottom"/>
          </w:tcPr>
          <w:p w14:paraId="505E671D" w14:textId="77777777" w:rsidR="00F67E9E" w:rsidRPr="006F3285" w:rsidRDefault="00F67E9E" w:rsidP="007F74AA">
            <w:pPr>
              <w:pStyle w:val="StdBodyTextBold"/>
              <w:spacing w:before="0" w:after="0"/>
              <w:rPr>
                <w:rFonts w:cs="Arial"/>
                <w:b/>
                <w:bCs/>
              </w:rPr>
            </w:pPr>
            <w:r w:rsidRPr="006F3285">
              <w:rPr>
                <w:rFonts w:cs="Arial"/>
                <w:b/>
                <w:bCs/>
              </w:rPr>
              <w:t>Pricing Mechanism (FIX / FIRM / GMPTC / T&amp;M)</w:t>
            </w:r>
          </w:p>
        </w:tc>
        <w:tc>
          <w:tcPr>
            <w:tcW w:w="1701" w:type="dxa"/>
            <w:vMerge w:val="restart"/>
            <w:vAlign w:val="bottom"/>
          </w:tcPr>
          <w:p w14:paraId="50A698A7" w14:textId="77777777" w:rsidR="00F67E9E" w:rsidRPr="006F3285" w:rsidRDefault="00F67E9E" w:rsidP="007F74AA">
            <w:pPr>
              <w:pStyle w:val="StdBodyTextBold"/>
              <w:spacing w:before="0" w:after="0"/>
              <w:rPr>
                <w:rFonts w:cs="Arial"/>
                <w:b/>
                <w:bCs/>
              </w:rPr>
            </w:pPr>
            <w:r w:rsidRPr="006F3285">
              <w:rPr>
                <w:rFonts w:cs="Arial"/>
                <w:b/>
                <w:bCs/>
              </w:rPr>
              <w:t>CPP Milestone Charge Number</w:t>
            </w:r>
          </w:p>
        </w:tc>
        <w:tc>
          <w:tcPr>
            <w:tcW w:w="4252" w:type="dxa"/>
            <w:gridSpan w:val="3"/>
            <w:vAlign w:val="bottom"/>
          </w:tcPr>
          <w:p w14:paraId="223B25B2" w14:textId="77777777" w:rsidR="00F67E9E" w:rsidRPr="006F3285" w:rsidRDefault="00F67E9E" w:rsidP="007F74AA">
            <w:pPr>
              <w:pStyle w:val="StdBodyTextBold"/>
              <w:spacing w:before="0" w:after="0"/>
              <w:jc w:val="center"/>
              <w:rPr>
                <w:rFonts w:cs="Arial"/>
                <w:b/>
                <w:bCs/>
              </w:rPr>
            </w:pPr>
            <w:r w:rsidRPr="006F3285">
              <w:rPr>
                <w:rFonts w:cs="Arial"/>
                <w:b/>
                <w:bCs/>
              </w:rPr>
              <w:t>Delay Payments (if Key Milestone) (£ per day)</w:t>
            </w:r>
          </w:p>
        </w:tc>
      </w:tr>
      <w:tr w:rsidR="00F67E9E" w:rsidRPr="006F3285" w14:paraId="54F2DA99" w14:textId="77777777" w:rsidTr="007F74AA">
        <w:trPr>
          <w:cnfStyle w:val="100000000000" w:firstRow="1" w:lastRow="0" w:firstColumn="0" w:lastColumn="0" w:oddVBand="0" w:evenVBand="0" w:oddHBand="0" w:evenHBand="0" w:firstRowFirstColumn="0" w:firstRowLastColumn="0" w:lastRowFirstColumn="0" w:lastRowLastColumn="0"/>
          <w:tblHeader/>
        </w:trPr>
        <w:tc>
          <w:tcPr>
            <w:tcW w:w="1814" w:type="dxa"/>
            <w:vMerge/>
            <w:vAlign w:val="bottom"/>
          </w:tcPr>
          <w:p w14:paraId="7AB991B3" w14:textId="77777777" w:rsidR="00F67E9E" w:rsidRPr="006F3285" w:rsidRDefault="00F67E9E" w:rsidP="007F74AA">
            <w:pPr>
              <w:pStyle w:val="StdBodyTextBold"/>
              <w:spacing w:before="0" w:after="0"/>
              <w:rPr>
                <w:rFonts w:cs="Arial"/>
                <w:b/>
                <w:bCs/>
              </w:rPr>
            </w:pPr>
          </w:p>
        </w:tc>
        <w:tc>
          <w:tcPr>
            <w:tcW w:w="1701" w:type="dxa"/>
            <w:vMerge/>
            <w:vAlign w:val="bottom"/>
          </w:tcPr>
          <w:p w14:paraId="3C1769D4" w14:textId="77777777" w:rsidR="00F67E9E" w:rsidRPr="006F3285" w:rsidRDefault="00F67E9E" w:rsidP="007F74AA">
            <w:pPr>
              <w:pStyle w:val="StdBodyTextBold"/>
              <w:spacing w:before="0" w:after="0"/>
              <w:rPr>
                <w:rFonts w:cs="Arial"/>
                <w:b/>
                <w:bCs/>
              </w:rPr>
            </w:pPr>
          </w:p>
        </w:tc>
        <w:tc>
          <w:tcPr>
            <w:tcW w:w="1701" w:type="dxa"/>
            <w:vMerge/>
            <w:vAlign w:val="bottom"/>
          </w:tcPr>
          <w:p w14:paraId="6943AFC6" w14:textId="77777777" w:rsidR="00F67E9E" w:rsidRPr="006F3285" w:rsidRDefault="00F67E9E" w:rsidP="007F74AA">
            <w:pPr>
              <w:pStyle w:val="StdBodyTextBold"/>
              <w:spacing w:before="0" w:after="0"/>
              <w:rPr>
                <w:rFonts w:cs="Arial"/>
                <w:b/>
                <w:bCs/>
              </w:rPr>
            </w:pPr>
          </w:p>
        </w:tc>
        <w:tc>
          <w:tcPr>
            <w:tcW w:w="1417" w:type="dxa"/>
            <w:vAlign w:val="bottom"/>
          </w:tcPr>
          <w:p w14:paraId="64BB1CE3" w14:textId="77777777" w:rsidR="00F67E9E" w:rsidRPr="006F3285" w:rsidRDefault="00F67E9E" w:rsidP="007F74AA">
            <w:pPr>
              <w:pStyle w:val="StdBodyTextBold"/>
              <w:spacing w:before="0" w:after="0"/>
              <w:rPr>
                <w:rFonts w:cs="Arial"/>
                <w:b/>
                <w:bCs/>
              </w:rPr>
            </w:pPr>
            <w:r w:rsidRPr="006F3285">
              <w:rPr>
                <w:rFonts w:cs="Arial"/>
                <w:b/>
                <w:bCs/>
              </w:rPr>
              <w:t>&lt;3 months</w:t>
            </w:r>
            <w:r>
              <w:rPr>
                <w:rFonts w:cs="Arial"/>
                <w:b/>
                <w:bCs/>
              </w:rPr>
              <w:t>’</w:t>
            </w:r>
            <w:r w:rsidRPr="006F3285">
              <w:rPr>
                <w:rFonts w:cs="Arial"/>
                <w:b/>
                <w:bCs/>
              </w:rPr>
              <w:t xml:space="preserve"> notice</w:t>
            </w:r>
          </w:p>
        </w:tc>
        <w:tc>
          <w:tcPr>
            <w:tcW w:w="1417" w:type="dxa"/>
            <w:vAlign w:val="bottom"/>
          </w:tcPr>
          <w:p w14:paraId="7950281F" w14:textId="77777777" w:rsidR="00F67E9E" w:rsidRPr="006F3285" w:rsidRDefault="00F67E9E" w:rsidP="007F74AA">
            <w:pPr>
              <w:pStyle w:val="StdBodyTextBold"/>
              <w:spacing w:before="0" w:after="0"/>
              <w:rPr>
                <w:rFonts w:cs="Arial"/>
                <w:b/>
                <w:bCs/>
              </w:rPr>
            </w:pPr>
            <w:r w:rsidRPr="006F3285">
              <w:rPr>
                <w:rFonts w:cs="Arial"/>
                <w:b/>
                <w:bCs/>
              </w:rPr>
              <w:t>3-6 months</w:t>
            </w:r>
            <w:r>
              <w:rPr>
                <w:rFonts w:cs="Arial"/>
                <w:b/>
                <w:bCs/>
              </w:rPr>
              <w:t>’</w:t>
            </w:r>
            <w:r w:rsidRPr="006F3285">
              <w:rPr>
                <w:rFonts w:cs="Arial"/>
                <w:b/>
                <w:bCs/>
              </w:rPr>
              <w:t xml:space="preserve"> notice</w:t>
            </w:r>
          </w:p>
        </w:tc>
        <w:tc>
          <w:tcPr>
            <w:tcW w:w="1418" w:type="dxa"/>
            <w:vAlign w:val="bottom"/>
          </w:tcPr>
          <w:p w14:paraId="1320308A" w14:textId="77777777" w:rsidR="00F67E9E" w:rsidRPr="006F3285" w:rsidRDefault="00F67E9E" w:rsidP="007F74AA">
            <w:pPr>
              <w:pStyle w:val="StdBodyTextBold"/>
              <w:spacing w:before="0" w:after="0"/>
              <w:rPr>
                <w:rFonts w:cs="Arial"/>
                <w:b/>
                <w:bCs/>
              </w:rPr>
            </w:pPr>
            <w:r w:rsidRPr="006F3285">
              <w:rPr>
                <w:rFonts w:cs="Arial"/>
                <w:b/>
                <w:bCs/>
              </w:rPr>
              <w:t>&gt;6 months</w:t>
            </w:r>
            <w:r>
              <w:rPr>
                <w:rFonts w:cs="Arial"/>
                <w:b/>
                <w:bCs/>
              </w:rPr>
              <w:t>’</w:t>
            </w:r>
            <w:r w:rsidRPr="006F3285">
              <w:rPr>
                <w:rFonts w:cs="Arial"/>
                <w:b/>
                <w:bCs/>
              </w:rPr>
              <w:t xml:space="preserve"> notice</w:t>
            </w:r>
          </w:p>
        </w:tc>
      </w:tr>
      <w:tr w:rsidR="00F67E9E" w:rsidRPr="00277440" w14:paraId="6DA0EF3C" w14:textId="77777777" w:rsidTr="007F74AA">
        <w:tc>
          <w:tcPr>
            <w:tcW w:w="9468" w:type="dxa"/>
            <w:gridSpan w:val="6"/>
            <w:shd w:val="clear" w:color="auto" w:fill="F0F0F0"/>
          </w:tcPr>
          <w:p w14:paraId="03B90FD4" w14:textId="77777777" w:rsidR="00F67E9E" w:rsidRPr="00277440" w:rsidRDefault="00F67E9E" w:rsidP="007F74AA">
            <w:pPr>
              <w:pStyle w:val="StdBodyTextBold"/>
              <w:spacing w:before="0" w:after="0"/>
              <w:rPr>
                <w:rFonts w:cs="Arial"/>
              </w:rPr>
            </w:pPr>
            <w:r w:rsidRPr="00277440">
              <w:rPr>
                <w:rFonts w:cs="Arial"/>
                <w:highlight w:val="yellow"/>
              </w:rPr>
              <w:t>[Service Line 1]</w:t>
            </w:r>
          </w:p>
        </w:tc>
      </w:tr>
      <w:tr w:rsidR="00F67E9E" w:rsidRPr="00277440" w14:paraId="16DF26E6" w14:textId="77777777" w:rsidTr="007F74AA">
        <w:tc>
          <w:tcPr>
            <w:tcW w:w="1814" w:type="dxa"/>
          </w:tcPr>
          <w:p w14:paraId="5206CBFA" w14:textId="77777777" w:rsidR="00F67E9E" w:rsidRPr="00277440" w:rsidRDefault="00F67E9E" w:rsidP="007F74AA">
            <w:pPr>
              <w:pStyle w:val="StdBodyText1"/>
              <w:spacing w:before="0" w:after="0"/>
              <w:ind w:left="0"/>
              <w:rPr>
                <w:rFonts w:cs="Arial"/>
                <w:highlight w:val="yellow"/>
              </w:rPr>
            </w:pPr>
            <w:r w:rsidRPr="00277440">
              <w:rPr>
                <w:rFonts w:cs="Arial"/>
                <w:highlight w:val="yellow"/>
              </w:rPr>
              <w:t>[e.g. SL1M1]</w:t>
            </w:r>
          </w:p>
        </w:tc>
        <w:tc>
          <w:tcPr>
            <w:tcW w:w="1701" w:type="dxa"/>
          </w:tcPr>
          <w:p w14:paraId="69CC2756" w14:textId="77777777" w:rsidR="00F67E9E" w:rsidRPr="00277440" w:rsidRDefault="00F67E9E" w:rsidP="007F74AA">
            <w:pPr>
              <w:pStyle w:val="StdBodyText1"/>
              <w:spacing w:before="0" w:after="0"/>
              <w:ind w:left="0"/>
              <w:rPr>
                <w:rFonts w:cs="Arial"/>
                <w:highlight w:val="yellow"/>
              </w:rPr>
            </w:pPr>
            <w:r w:rsidRPr="00277440">
              <w:rPr>
                <w:rFonts w:cs="Arial"/>
                <w:highlight w:val="yellow"/>
              </w:rPr>
              <w:t>[FIRM]</w:t>
            </w:r>
          </w:p>
        </w:tc>
        <w:tc>
          <w:tcPr>
            <w:tcW w:w="1701" w:type="dxa"/>
          </w:tcPr>
          <w:p w14:paraId="580DEF33" w14:textId="77777777" w:rsidR="00F67E9E" w:rsidRPr="00277440" w:rsidRDefault="00F67E9E" w:rsidP="007F74AA">
            <w:pPr>
              <w:pStyle w:val="StdBodyText1"/>
              <w:spacing w:before="0" w:after="0"/>
              <w:ind w:left="0"/>
              <w:rPr>
                <w:rFonts w:cs="Arial"/>
                <w:highlight w:val="yellow"/>
              </w:rPr>
            </w:pPr>
            <w:r w:rsidRPr="00277440">
              <w:rPr>
                <w:rFonts w:cs="Arial"/>
                <w:highlight w:val="yellow"/>
              </w:rPr>
              <w:t>[e.g. S2M2]</w:t>
            </w:r>
          </w:p>
        </w:tc>
        <w:tc>
          <w:tcPr>
            <w:tcW w:w="1417" w:type="dxa"/>
          </w:tcPr>
          <w:p w14:paraId="299E5304" w14:textId="77777777" w:rsidR="00F67E9E" w:rsidRPr="00277440" w:rsidRDefault="00F67E9E" w:rsidP="007F74AA">
            <w:pPr>
              <w:pStyle w:val="StdBodyText1"/>
              <w:spacing w:before="0" w:after="0"/>
              <w:ind w:left="0"/>
              <w:rPr>
                <w:rFonts w:cs="Arial"/>
              </w:rPr>
            </w:pPr>
          </w:p>
        </w:tc>
        <w:tc>
          <w:tcPr>
            <w:tcW w:w="1417" w:type="dxa"/>
          </w:tcPr>
          <w:p w14:paraId="39E391FA" w14:textId="77777777" w:rsidR="00F67E9E" w:rsidRPr="00277440" w:rsidRDefault="00F67E9E" w:rsidP="007F74AA">
            <w:pPr>
              <w:pStyle w:val="StdBodyText1"/>
              <w:spacing w:before="0" w:after="0"/>
              <w:ind w:left="0"/>
              <w:rPr>
                <w:rFonts w:cs="Arial"/>
              </w:rPr>
            </w:pPr>
          </w:p>
        </w:tc>
        <w:tc>
          <w:tcPr>
            <w:tcW w:w="1418" w:type="dxa"/>
          </w:tcPr>
          <w:p w14:paraId="6A63EF45" w14:textId="77777777" w:rsidR="00F67E9E" w:rsidRPr="00277440" w:rsidRDefault="00F67E9E" w:rsidP="007F74AA">
            <w:pPr>
              <w:pStyle w:val="StdBodyText1"/>
              <w:spacing w:before="0" w:after="0"/>
              <w:ind w:left="0"/>
              <w:rPr>
                <w:rFonts w:cs="Arial"/>
              </w:rPr>
            </w:pPr>
          </w:p>
        </w:tc>
      </w:tr>
      <w:tr w:rsidR="00F67E9E" w:rsidRPr="00277440" w14:paraId="16088A87" w14:textId="77777777" w:rsidTr="007F74AA">
        <w:tc>
          <w:tcPr>
            <w:tcW w:w="1814" w:type="dxa"/>
            <w:tcBorders>
              <w:bottom w:val="single" w:sz="4" w:space="0" w:color="auto"/>
            </w:tcBorders>
          </w:tcPr>
          <w:p w14:paraId="09E41090" w14:textId="77777777" w:rsidR="00F67E9E" w:rsidRPr="00277440" w:rsidRDefault="00F67E9E" w:rsidP="007F74AA">
            <w:pPr>
              <w:pStyle w:val="StdBodyText1"/>
              <w:spacing w:before="0" w:after="0"/>
              <w:ind w:left="0"/>
              <w:rPr>
                <w:rFonts w:cs="Arial"/>
                <w:highlight w:val="yellow"/>
              </w:rPr>
            </w:pPr>
            <w:r w:rsidRPr="00277440">
              <w:rPr>
                <w:rFonts w:cs="Arial"/>
                <w:highlight w:val="yellow"/>
              </w:rPr>
              <w:t>[e.g. SL1M2]</w:t>
            </w:r>
          </w:p>
        </w:tc>
        <w:tc>
          <w:tcPr>
            <w:tcW w:w="1701" w:type="dxa"/>
            <w:tcBorders>
              <w:bottom w:val="single" w:sz="4" w:space="0" w:color="auto"/>
            </w:tcBorders>
          </w:tcPr>
          <w:p w14:paraId="0D5C10F9" w14:textId="77777777" w:rsidR="00F67E9E" w:rsidRPr="00277440" w:rsidRDefault="00F67E9E" w:rsidP="007F74AA">
            <w:pPr>
              <w:pStyle w:val="StdBodyText1"/>
              <w:spacing w:before="0" w:after="0"/>
              <w:ind w:left="0"/>
              <w:rPr>
                <w:rFonts w:cs="Arial"/>
                <w:highlight w:val="yellow"/>
              </w:rPr>
            </w:pPr>
            <w:r w:rsidRPr="00277440">
              <w:rPr>
                <w:rFonts w:cs="Arial"/>
                <w:highlight w:val="yellow"/>
              </w:rPr>
              <w:t>[FIRM]</w:t>
            </w:r>
          </w:p>
        </w:tc>
        <w:tc>
          <w:tcPr>
            <w:tcW w:w="1701" w:type="dxa"/>
            <w:tcBorders>
              <w:bottom w:val="single" w:sz="4" w:space="0" w:color="auto"/>
            </w:tcBorders>
          </w:tcPr>
          <w:p w14:paraId="2003DDD3" w14:textId="77777777" w:rsidR="00F67E9E" w:rsidRPr="00277440" w:rsidRDefault="00F67E9E" w:rsidP="007F74AA">
            <w:pPr>
              <w:pStyle w:val="StdBodyText1"/>
              <w:spacing w:before="0" w:after="0"/>
              <w:ind w:left="0"/>
              <w:rPr>
                <w:rFonts w:cs="Arial"/>
                <w:highlight w:val="yellow"/>
              </w:rPr>
            </w:pPr>
            <w:r w:rsidRPr="00277440">
              <w:rPr>
                <w:rFonts w:cs="Arial"/>
                <w:highlight w:val="yellow"/>
              </w:rPr>
              <w:t>[e.g. S2M2]</w:t>
            </w:r>
          </w:p>
        </w:tc>
        <w:tc>
          <w:tcPr>
            <w:tcW w:w="1417" w:type="dxa"/>
            <w:tcBorders>
              <w:bottom w:val="single" w:sz="4" w:space="0" w:color="auto"/>
            </w:tcBorders>
          </w:tcPr>
          <w:p w14:paraId="4F61B86D" w14:textId="77777777" w:rsidR="00F67E9E" w:rsidRPr="00277440" w:rsidRDefault="00F67E9E" w:rsidP="007F74AA">
            <w:pPr>
              <w:pStyle w:val="StdBodyText1"/>
              <w:spacing w:before="0" w:after="0"/>
              <w:ind w:left="0"/>
              <w:rPr>
                <w:rFonts w:cs="Arial"/>
              </w:rPr>
            </w:pPr>
          </w:p>
        </w:tc>
        <w:tc>
          <w:tcPr>
            <w:tcW w:w="1417" w:type="dxa"/>
            <w:tcBorders>
              <w:bottom w:val="single" w:sz="4" w:space="0" w:color="auto"/>
            </w:tcBorders>
          </w:tcPr>
          <w:p w14:paraId="72ED0017" w14:textId="77777777" w:rsidR="00F67E9E" w:rsidRPr="00277440" w:rsidRDefault="00F67E9E" w:rsidP="007F74AA">
            <w:pPr>
              <w:pStyle w:val="StdBodyText1"/>
              <w:spacing w:before="0" w:after="0"/>
              <w:ind w:left="0"/>
              <w:rPr>
                <w:rFonts w:cs="Arial"/>
              </w:rPr>
            </w:pPr>
          </w:p>
        </w:tc>
        <w:tc>
          <w:tcPr>
            <w:tcW w:w="1418" w:type="dxa"/>
            <w:tcBorders>
              <w:bottom w:val="single" w:sz="4" w:space="0" w:color="auto"/>
            </w:tcBorders>
          </w:tcPr>
          <w:p w14:paraId="09297209" w14:textId="77777777" w:rsidR="00F67E9E" w:rsidRPr="00277440" w:rsidRDefault="00F67E9E" w:rsidP="007F74AA">
            <w:pPr>
              <w:pStyle w:val="StdBodyText1"/>
              <w:spacing w:before="0" w:after="0"/>
              <w:ind w:left="0"/>
              <w:rPr>
                <w:rFonts w:cs="Arial"/>
              </w:rPr>
            </w:pPr>
          </w:p>
        </w:tc>
      </w:tr>
      <w:tr w:rsidR="00F67E9E" w:rsidRPr="00277440" w14:paraId="6E42FEF9" w14:textId="77777777" w:rsidTr="007F74AA">
        <w:tc>
          <w:tcPr>
            <w:tcW w:w="9468" w:type="dxa"/>
            <w:gridSpan w:val="6"/>
            <w:shd w:val="clear" w:color="auto" w:fill="F0F0F0"/>
          </w:tcPr>
          <w:p w14:paraId="60B72CEA" w14:textId="77777777" w:rsidR="00F67E9E" w:rsidRPr="00277440" w:rsidRDefault="00F67E9E" w:rsidP="007F74AA">
            <w:pPr>
              <w:pStyle w:val="StdBodyTextBold"/>
              <w:spacing w:before="0" w:after="0"/>
              <w:rPr>
                <w:rFonts w:cs="Arial"/>
              </w:rPr>
            </w:pPr>
            <w:r w:rsidRPr="00277440">
              <w:rPr>
                <w:rFonts w:cs="Arial"/>
                <w:highlight w:val="yellow"/>
              </w:rPr>
              <w:t>[Service Line 2]</w:t>
            </w:r>
          </w:p>
        </w:tc>
      </w:tr>
      <w:tr w:rsidR="00F67E9E" w:rsidRPr="00277440" w14:paraId="287A35DA" w14:textId="77777777" w:rsidTr="007F74AA">
        <w:tc>
          <w:tcPr>
            <w:tcW w:w="1814" w:type="dxa"/>
          </w:tcPr>
          <w:p w14:paraId="1B3C7ADD" w14:textId="77777777" w:rsidR="00F67E9E" w:rsidRPr="00277440" w:rsidRDefault="00F67E9E" w:rsidP="007F74AA">
            <w:pPr>
              <w:pStyle w:val="StdBodyText1"/>
              <w:spacing w:before="0" w:after="0"/>
              <w:ind w:left="0"/>
              <w:rPr>
                <w:rFonts w:cs="Arial"/>
                <w:highlight w:val="yellow"/>
              </w:rPr>
            </w:pPr>
            <w:r w:rsidRPr="00277440">
              <w:rPr>
                <w:rFonts w:cs="Arial"/>
                <w:highlight w:val="yellow"/>
              </w:rPr>
              <w:t>[e.g. SL2M1]</w:t>
            </w:r>
          </w:p>
        </w:tc>
        <w:tc>
          <w:tcPr>
            <w:tcW w:w="1701" w:type="dxa"/>
          </w:tcPr>
          <w:p w14:paraId="7A42330B" w14:textId="77777777" w:rsidR="00F67E9E" w:rsidRPr="00277440" w:rsidRDefault="00F67E9E" w:rsidP="007F74AA">
            <w:pPr>
              <w:pStyle w:val="StdBodyText1"/>
              <w:spacing w:before="0" w:after="0"/>
              <w:ind w:left="0"/>
              <w:rPr>
                <w:rFonts w:cs="Arial"/>
                <w:highlight w:val="yellow"/>
              </w:rPr>
            </w:pPr>
            <w:r w:rsidRPr="00277440">
              <w:rPr>
                <w:rFonts w:cs="Arial"/>
                <w:highlight w:val="yellow"/>
              </w:rPr>
              <w:t>[FIRM]</w:t>
            </w:r>
          </w:p>
        </w:tc>
        <w:tc>
          <w:tcPr>
            <w:tcW w:w="1701" w:type="dxa"/>
          </w:tcPr>
          <w:p w14:paraId="58AD2721" w14:textId="77777777" w:rsidR="00F67E9E" w:rsidRPr="00277440" w:rsidRDefault="00F67E9E" w:rsidP="007F74AA">
            <w:pPr>
              <w:pStyle w:val="StdBodyText1"/>
              <w:spacing w:before="0" w:after="0"/>
              <w:ind w:left="0"/>
              <w:rPr>
                <w:rFonts w:cs="Arial"/>
                <w:highlight w:val="yellow"/>
              </w:rPr>
            </w:pPr>
            <w:r w:rsidRPr="00277440">
              <w:rPr>
                <w:rFonts w:cs="Arial"/>
                <w:highlight w:val="yellow"/>
              </w:rPr>
              <w:t>[e.g. S2M2]</w:t>
            </w:r>
          </w:p>
        </w:tc>
        <w:tc>
          <w:tcPr>
            <w:tcW w:w="1417" w:type="dxa"/>
          </w:tcPr>
          <w:p w14:paraId="05C2F9D4" w14:textId="77777777" w:rsidR="00F67E9E" w:rsidRPr="00277440" w:rsidRDefault="00F67E9E" w:rsidP="007F74AA">
            <w:pPr>
              <w:pStyle w:val="StdBodyText1"/>
              <w:spacing w:before="0" w:after="0"/>
              <w:ind w:left="0"/>
              <w:rPr>
                <w:rFonts w:cs="Arial"/>
              </w:rPr>
            </w:pPr>
          </w:p>
        </w:tc>
        <w:tc>
          <w:tcPr>
            <w:tcW w:w="1417" w:type="dxa"/>
          </w:tcPr>
          <w:p w14:paraId="23F6EF84" w14:textId="77777777" w:rsidR="00F67E9E" w:rsidRPr="00277440" w:rsidRDefault="00F67E9E" w:rsidP="007F74AA">
            <w:pPr>
              <w:pStyle w:val="StdBodyText1"/>
              <w:spacing w:before="0" w:after="0"/>
              <w:ind w:left="0"/>
              <w:rPr>
                <w:rFonts w:cs="Arial"/>
              </w:rPr>
            </w:pPr>
          </w:p>
        </w:tc>
        <w:tc>
          <w:tcPr>
            <w:tcW w:w="1418" w:type="dxa"/>
          </w:tcPr>
          <w:p w14:paraId="534F68F4" w14:textId="77777777" w:rsidR="00F67E9E" w:rsidRPr="00277440" w:rsidRDefault="00F67E9E" w:rsidP="007F74AA">
            <w:pPr>
              <w:pStyle w:val="StdBodyText1"/>
              <w:spacing w:before="0" w:after="0"/>
              <w:ind w:left="0"/>
              <w:rPr>
                <w:rFonts w:cs="Arial"/>
              </w:rPr>
            </w:pPr>
          </w:p>
        </w:tc>
      </w:tr>
      <w:tr w:rsidR="00F67E9E" w:rsidRPr="00277440" w14:paraId="110D5AC7" w14:textId="77777777" w:rsidTr="007F74AA">
        <w:tc>
          <w:tcPr>
            <w:tcW w:w="1814" w:type="dxa"/>
            <w:tcBorders>
              <w:bottom w:val="single" w:sz="4" w:space="0" w:color="auto"/>
            </w:tcBorders>
          </w:tcPr>
          <w:p w14:paraId="7370C488" w14:textId="77777777" w:rsidR="00F67E9E" w:rsidRPr="00277440" w:rsidRDefault="00F67E9E" w:rsidP="007F74AA">
            <w:pPr>
              <w:pStyle w:val="StdBodyText1"/>
              <w:spacing w:before="0" w:after="0"/>
              <w:ind w:left="0"/>
              <w:rPr>
                <w:rFonts w:cs="Arial"/>
                <w:highlight w:val="yellow"/>
              </w:rPr>
            </w:pPr>
            <w:r w:rsidRPr="00277440">
              <w:rPr>
                <w:rFonts w:cs="Arial"/>
                <w:highlight w:val="yellow"/>
              </w:rPr>
              <w:t>[e.g. SL2M2]</w:t>
            </w:r>
          </w:p>
        </w:tc>
        <w:tc>
          <w:tcPr>
            <w:tcW w:w="1701" w:type="dxa"/>
            <w:tcBorders>
              <w:bottom w:val="single" w:sz="4" w:space="0" w:color="auto"/>
            </w:tcBorders>
          </w:tcPr>
          <w:p w14:paraId="48309B87" w14:textId="77777777" w:rsidR="00F67E9E" w:rsidRPr="00277440" w:rsidRDefault="00F67E9E" w:rsidP="007F74AA">
            <w:pPr>
              <w:pStyle w:val="StdBodyText1"/>
              <w:spacing w:before="0" w:after="0"/>
              <w:ind w:left="0"/>
              <w:rPr>
                <w:rFonts w:cs="Arial"/>
                <w:highlight w:val="yellow"/>
              </w:rPr>
            </w:pPr>
            <w:r w:rsidRPr="00277440">
              <w:rPr>
                <w:rFonts w:cs="Arial"/>
                <w:highlight w:val="yellow"/>
              </w:rPr>
              <w:t>[FIRM]</w:t>
            </w:r>
          </w:p>
        </w:tc>
        <w:tc>
          <w:tcPr>
            <w:tcW w:w="1701" w:type="dxa"/>
            <w:tcBorders>
              <w:bottom w:val="single" w:sz="4" w:space="0" w:color="auto"/>
            </w:tcBorders>
          </w:tcPr>
          <w:p w14:paraId="0BCB6948" w14:textId="77777777" w:rsidR="00F67E9E" w:rsidRPr="00277440" w:rsidRDefault="00F67E9E" w:rsidP="007F74AA">
            <w:pPr>
              <w:pStyle w:val="StdBodyText1"/>
              <w:spacing w:before="0" w:after="0"/>
              <w:ind w:left="0"/>
              <w:rPr>
                <w:rFonts w:cs="Arial"/>
                <w:highlight w:val="yellow"/>
              </w:rPr>
            </w:pPr>
            <w:r w:rsidRPr="00277440">
              <w:rPr>
                <w:rFonts w:cs="Arial"/>
                <w:highlight w:val="yellow"/>
              </w:rPr>
              <w:t>[e.g. S2M2]</w:t>
            </w:r>
          </w:p>
        </w:tc>
        <w:tc>
          <w:tcPr>
            <w:tcW w:w="1417" w:type="dxa"/>
            <w:tcBorders>
              <w:bottom w:val="single" w:sz="4" w:space="0" w:color="auto"/>
            </w:tcBorders>
          </w:tcPr>
          <w:p w14:paraId="15929D77" w14:textId="77777777" w:rsidR="00F67E9E" w:rsidRPr="00277440" w:rsidRDefault="00F67E9E" w:rsidP="007F74AA">
            <w:pPr>
              <w:pStyle w:val="StdBodyText1"/>
              <w:spacing w:before="0" w:after="0"/>
              <w:ind w:left="0"/>
              <w:rPr>
                <w:rFonts w:cs="Arial"/>
              </w:rPr>
            </w:pPr>
          </w:p>
        </w:tc>
        <w:tc>
          <w:tcPr>
            <w:tcW w:w="1417" w:type="dxa"/>
            <w:tcBorders>
              <w:bottom w:val="single" w:sz="4" w:space="0" w:color="auto"/>
            </w:tcBorders>
          </w:tcPr>
          <w:p w14:paraId="34AF9B73" w14:textId="77777777" w:rsidR="00F67E9E" w:rsidRPr="00277440" w:rsidRDefault="00F67E9E" w:rsidP="007F74AA">
            <w:pPr>
              <w:pStyle w:val="StdBodyText1"/>
              <w:spacing w:before="0" w:after="0"/>
              <w:ind w:left="0"/>
              <w:rPr>
                <w:rFonts w:cs="Arial"/>
              </w:rPr>
            </w:pPr>
          </w:p>
        </w:tc>
        <w:tc>
          <w:tcPr>
            <w:tcW w:w="1418" w:type="dxa"/>
            <w:tcBorders>
              <w:bottom w:val="single" w:sz="4" w:space="0" w:color="auto"/>
            </w:tcBorders>
          </w:tcPr>
          <w:p w14:paraId="4FEB4D9D" w14:textId="77777777" w:rsidR="00F67E9E" w:rsidRPr="00277440" w:rsidRDefault="00F67E9E" w:rsidP="007F74AA">
            <w:pPr>
              <w:pStyle w:val="StdBodyText1"/>
              <w:spacing w:before="0" w:after="0"/>
              <w:ind w:left="0"/>
              <w:rPr>
                <w:rFonts w:cs="Arial"/>
              </w:rPr>
            </w:pPr>
          </w:p>
        </w:tc>
      </w:tr>
      <w:tr w:rsidR="00F67E9E" w:rsidRPr="00277440" w14:paraId="2E177470" w14:textId="77777777" w:rsidTr="007F74AA">
        <w:tc>
          <w:tcPr>
            <w:tcW w:w="9468" w:type="dxa"/>
            <w:gridSpan w:val="6"/>
            <w:shd w:val="clear" w:color="auto" w:fill="F0F0F0"/>
          </w:tcPr>
          <w:p w14:paraId="4860367F" w14:textId="77777777" w:rsidR="00F67E9E" w:rsidRPr="00277440" w:rsidRDefault="00F67E9E" w:rsidP="007F74AA">
            <w:pPr>
              <w:pStyle w:val="StdBodyTextBold"/>
              <w:spacing w:before="0" w:after="0"/>
              <w:rPr>
                <w:rFonts w:cs="Arial"/>
                <w:highlight w:val="yellow"/>
              </w:rPr>
            </w:pPr>
            <w:r w:rsidRPr="00277440">
              <w:rPr>
                <w:rFonts w:cs="Arial"/>
                <w:highlight w:val="yellow"/>
              </w:rPr>
              <w:t>[Service Line [X] – insert further rows as necessary]</w:t>
            </w:r>
          </w:p>
        </w:tc>
      </w:tr>
      <w:tr w:rsidR="00F67E9E" w:rsidRPr="00277440" w14:paraId="41EDCCC2" w14:textId="77777777" w:rsidTr="007F74AA">
        <w:tc>
          <w:tcPr>
            <w:tcW w:w="1814" w:type="dxa"/>
          </w:tcPr>
          <w:p w14:paraId="54DABF68" w14:textId="77777777" w:rsidR="00F67E9E" w:rsidRPr="00277440" w:rsidRDefault="00F67E9E" w:rsidP="007F74AA">
            <w:pPr>
              <w:pStyle w:val="StdBodyText1"/>
              <w:spacing w:before="0" w:after="0"/>
              <w:ind w:left="0"/>
              <w:rPr>
                <w:rFonts w:cs="Arial"/>
              </w:rPr>
            </w:pPr>
            <w:r w:rsidRPr="00277440">
              <w:rPr>
                <w:rFonts w:cs="Arial"/>
                <w:highlight w:val="yellow"/>
              </w:rPr>
              <w:t>[etc.]</w:t>
            </w:r>
          </w:p>
        </w:tc>
        <w:tc>
          <w:tcPr>
            <w:tcW w:w="1701" w:type="dxa"/>
          </w:tcPr>
          <w:p w14:paraId="66EDE700" w14:textId="77777777" w:rsidR="00F67E9E" w:rsidRPr="00277440" w:rsidRDefault="00F67E9E" w:rsidP="007F74AA">
            <w:pPr>
              <w:pStyle w:val="StdBodyText1"/>
              <w:spacing w:before="0" w:after="0"/>
              <w:ind w:left="0"/>
              <w:rPr>
                <w:rFonts w:cs="Arial"/>
              </w:rPr>
            </w:pPr>
          </w:p>
        </w:tc>
        <w:tc>
          <w:tcPr>
            <w:tcW w:w="1701" w:type="dxa"/>
          </w:tcPr>
          <w:p w14:paraId="4FC3CC42" w14:textId="77777777" w:rsidR="00F67E9E" w:rsidRPr="00277440" w:rsidRDefault="00F67E9E" w:rsidP="007F74AA">
            <w:pPr>
              <w:pStyle w:val="StdBodyText1"/>
              <w:spacing w:before="0" w:after="0"/>
              <w:ind w:left="0"/>
              <w:rPr>
                <w:rFonts w:cs="Arial"/>
              </w:rPr>
            </w:pPr>
          </w:p>
        </w:tc>
        <w:tc>
          <w:tcPr>
            <w:tcW w:w="1417" w:type="dxa"/>
          </w:tcPr>
          <w:p w14:paraId="257FD0FA" w14:textId="77777777" w:rsidR="00F67E9E" w:rsidRPr="00277440" w:rsidRDefault="00F67E9E" w:rsidP="007F74AA">
            <w:pPr>
              <w:pStyle w:val="StdBodyText1"/>
              <w:spacing w:before="0" w:after="0"/>
              <w:ind w:left="0"/>
              <w:rPr>
                <w:rFonts w:cs="Arial"/>
              </w:rPr>
            </w:pPr>
          </w:p>
        </w:tc>
        <w:tc>
          <w:tcPr>
            <w:tcW w:w="1417" w:type="dxa"/>
          </w:tcPr>
          <w:p w14:paraId="3380C7DC" w14:textId="77777777" w:rsidR="00F67E9E" w:rsidRPr="00277440" w:rsidRDefault="00F67E9E" w:rsidP="007F74AA">
            <w:pPr>
              <w:pStyle w:val="StdBodyText1"/>
              <w:spacing w:before="0" w:after="0"/>
              <w:ind w:left="0"/>
              <w:rPr>
                <w:rFonts w:cs="Arial"/>
              </w:rPr>
            </w:pPr>
          </w:p>
        </w:tc>
        <w:tc>
          <w:tcPr>
            <w:tcW w:w="1418" w:type="dxa"/>
          </w:tcPr>
          <w:p w14:paraId="6E800FDF" w14:textId="77777777" w:rsidR="00F67E9E" w:rsidRPr="00277440" w:rsidRDefault="00F67E9E" w:rsidP="007F74AA">
            <w:pPr>
              <w:pStyle w:val="StdBodyText1"/>
              <w:spacing w:before="0" w:after="0"/>
              <w:ind w:left="0"/>
              <w:rPr>
                <w:rFonts w:cs="Arial"/>
              </w:rPr>
            </w:pPr>
          </w:p>
        </w:tc>
      </w:tr>
      <w:tr w:rsidR="00F67E9E" w:rsidRPr="00277440" w14:paraId="396B7E25" w14:textId="77777777" w:rsidTr="007F74AA">
        <w:tc>
          <w:tcPr>
            <w:tcW w:w="1814" w:type="dxa"/>
          </w:tcPr>
          <w:p w14:paraId="5AD4F3EF" w14:textId="77777777" w:rsidR="00F67E9E" w:rsidRPr="00277440" w:rsidRDefault="00F67E9E" w:rsidP="007F74AA">
            <w:pPr>
              <w:pStyle w:val="StdBodyText1"/>
              <w:spacing w:before="0" w:after="0"/>
              <w:ind w:left="0"/>
              <w:rPr>
                <w:rFonts w:cs="Arial"/>
              </w:rPr>
            </w:pPr>
          </w:p>
        </w:tc>
        <w:tc>
          <w:tcPr>
            <w:tcW w:w="1701" w:type="dxa"/>
          </w:tcPr>
          <w:p w14:paraId="369F0046" w14:textId="77777777" w:rsidR="00F67E9E" w:rsidRPr="00277440" w:rsidRDefault="00F67E9E" w:rsidP="007F74AA">
            <w:pPr>
              <w:pStyle w:val="StdBodyText1"/>
              <w:spacing w:before="0" w:after="0"/>
              <w:ind w:left="0"/>
              <w:rPr>
                <w:rFonts w:cs="Arial"/>
              </w:rPr>
            </w:pPr>
          </w:p>
        </w:tc>
        <w:tc>
          <w:tcPr>
            <w:tcW w:w="1701" w:type="dxa"/>
          </w:tcPr>
          <w:p w14:paraId="0CDA5F37" w14:textId="77777777" w:rsidR="00F67E9E" w:rsidRPr="00277440" w:rsidRDefault="00F67E9E" w:rsidP="007F74AA">
            <w:pPr>
              <w:pStyle w:val="StdBodyText1"/>
              <w:spacing w:before="0" w:after="0"/>
              <w:ind w:left="0"/>
              <w:rPr>
                <w:rFonts w:cs="Arial"/>
              </w:rPr>
            </w:pPr>
          </w:p>
        </w:tc>
        <w:tc>
          <w:tcPr>
            <w:tcW w:w="1417" w:type="dxa"/>
          </w:tcPr>
          <w:p w14:paraId="30837608" w14:textId="77777777" w:rsidR="00F67E9E" w:rsidRPr="00277440" w:rsidRDefault="00F67E9E" w:rsidP="007F74AA">
            <w:pPr>
              <w:pStyle w:val="StdBodyText1"/>
              <w:spacing w:before="0" w:after="0"/>
              <w:ind w:left="0"/>
              <w:rPr>
                <w:rFonts w:cs="Arial"/>
              </w:rPr>
            </w:pPr>
          </w:p>
        </w:tc>
        <w:tc>
          <w:tcPr>
            <w:tcW w:w="1417" w:type="dxa"/>
          </w:tcPr>
          <w:p w14:paraId="3E53DB76" w14:textId="77777777" w:rsidR="00F67E9E" w:rsidRPr="00277440" w:rsidRDefault="00F67E9E" w:rsidP="007F74AA">
            <w:pPr>
              <w:pStyle w:val="StdBodyText1"/>
              <w:spacing w:before="0" w:after="0"/>
              <w:ind w:left="0"/>
              <w:rPr>
                <w:rFonts w:cs="Arial"/>
              </w:rPr>
            </w:pPr>
          </w:p>
        </w:tc>
        <w:tc>
          <w:tcPr>
            <w:tcW w:w="1418" w:type="dxa"/>
          </w:tcPr>
          <w:p w14:paraId="32170D71" w14:textId="77777777" w:rsidR="00F67E9E" w:rsidRPr="00277440" w:rsidRDefault="00F67E9E" w:rsidP="007F74AA">
            <w:pPr>
              <w:pStyle w:val="StdBodyText1"/>
              <w:spacing w:before="0" w:after="0"/>
              <w:ind w:left="0"/>
              <w:rPr>
                <w:rFonts w:cs="Arial"/>
              </w:rPr>
            </w:pPr>
          </w:p>
        </w:tc>
      </w:tr>
    </w:tbl>
    <w:p w14:paraId="6BD31FF7" w14:textId="77777777" w:rsidR="00F67E9E" w:rsidRPr="00277440" w:rsidRDefault="00F67E9E" w:rsidP="00F67E9E">
      <w:pPr>
        <w:pStyle w:val="AppendixText1"/>
      </w:pPr>
      <w:bookmarkStart w:id="1213" w:name="_9kMHG5YVtCIB8BHhLhkhy7sFQLkR0KfjuEEWO63"/>
      <w:r w:rsidRPr="00277440">
        <w:t>Table 2</w:t>
      </w:r>
      <w:bookmarkEnd w:id="1213"/>
      <w:r w:rsidRPr="00277440">
        <w:t xml:space="preserve">: Service Charges </w:t>
      </w:r>
    </w:p>
    <w:tbl>
      <w:tblPr>
        <w:tblStyle w:val="MSATable-header"/>
        <w:tblW w:w="9468" w:type="dxa"/>
        <w:tblInd w:w="680" w:type="dxa"/>
        <w:tblLook w:val="04A0" w:firstRow="1" w:lastRow="0" w:firstColumn="1" w:lastColumn="0" w:noHBand="0" w:noVBand="1"/>
      </w:tblPr>
      <w:tblGrid>
        <w:gridCol w:w="2324"/>
        <w:gridCol w:w="2381"/>
        <w:gridCol w:w="2381"/>
        <w:gridCol w:w="2382"/>
      </w:tblGrid>
      <w:tr w:rsidR="00F67E9E" w:rsidRPr="00D17B7E" w14:paraId="458EBFFE" w14:textId="77777777" w:rsidTr="007F74AA">
        <w:trPr>
          <w:cnfStyle w:val="100000000000" w:firstRow="1" w:lastRow="0" w:firstColumn="0" w:lastColumn="0" w:oddVBand="0" w:evenVBand="0" w:oddHBand="0" w:evenHBand="0" w:firstRowFirstColumn="0" w:firstRowLastColumn="0" w:lastRowFirstColumn="0" w:lastRowLastColumn="0"/>
          <w:tblHeader/>
        </w:trPr>
        <w:tc>
          <w:tcPr>
            <w:tcW w:w="2324" w:type="dxa"/>
            <w:vAlign w:val="bottom"/>
          </w:tcPr>
          <w:p w14:paraId="1D7E2E5C" w14:textId="77777777" w:rsidR="00F67E9E" w:rsidRPr="00D17B7E" w:rsidRDefault="00F67E9E" w:rsidP="007F74AA">
            <w:pPr>
              <w:pStyle w:val="StdBodyTextBold"/>
              <w:spacing w:before="0" w:after="0"/>
              <w:rPr>
                <w:rFonts w:cs="Arial"/>
                <w:b/>
                <w:bCs/>
              </w:rPr>
            </w:pPr>
            <w:r w:rsidRPr="00D17B7E">
              <w:rPr>
                <w:rFonts w:cs="Arial"/>
                <w:b/>
                <w:bCs/>
              </w:rPr>
              <w:t>Charge Number</w:t>
            </w:r>
          </w:p>
        </w:tc>
        <w:tc>
          <w:tcPr>
            <w:tcW w:w="2381" w:type="dxa"/>
            <w:vAlign w:val="bottom"/>
          </w:tcPr>
          <w:p w14:paraId="0CC53AFE" w14:textId="77777777" w:rsidR="00F67E9E" w:rsidRPr="00D17B7E" w:rsidRDefault="00F67E9E" w:rsidP="007F74AA">
            <w:pPr>
              <w:pStyle w:val="StdBodyTextBold"/>
              <w:spacing w:before="0" w:after="0"/>
              <w:rPr>
                <w:rFonts w:cs="Arial"/>
                <w:b/>
                <w:bCs/>
              </w:rPr>
            </w:pPr>
            <w:r w:rsidRPr="00D17B7E">
              <w:rPr>
                <w:rFonts w:cs="Arial"/>
                <w:b/>
                <w:bCs/>
              </w:rPr>
              <w:t>Pricing Mechanism (VOL / FIX / T&amp;M)</w:t>
            </w:r>
          </w:p>
        </w:tc>
        <w:tc>
          <w:tcPr>
            <w:tcW w:w="2381" w:type="dxa"/>
            <w:vAlign w:val="bottom"/>
          </w:tcPr>
          <w:p w14:paraId="0574E543" w14:textId="77777777" w:rsidR="00F67E9E" w:rsidRPr="00D17B7E" w:rsidRDefault="00F67E9E" w:rsidP="007F74AA">
            <w:pPr>
              <w:pStyle w:val="StdBodyTextBold"/>
              <w:spacing w:before="0" w:after="0"/>
              <w:rPr>
                <w:rFonts w:cs="Arial"/>
                <w:b/>
                <w:bCs/>
              </w:rPr>
            </w:pPr>
            <w:r w:rsidRPr="00D17B7E">
              <w:rPr>
                <w:rFonts w:cs="Arial"/>
                <w:b/>
                <w:bCs/>
              </w:rPr>
              <w:t>Service Charge Trigger Event</w:t>
            </w:r>
          </w:p>
        </w:tc>
        <w:tc>
          <w:tcPr>
            <w:tcW w:w="2382" w:type="dxa"/>
            <w:vAlign w:val="bottom"/>
          </w:tcPr>
          <w:p w14:paraId="708BFDA6" w14:textId="77777777" w:rsidR="00F67E9E" w:rsidRPr="00D17B7E" w:rsidRDefault="00F67E9E" w:rsidP="007F74AA">
            <w:pPr>
              <w:pStyle w:val="StdBodyTextBold"/>
              <w:spacing w:before="0" w:after="0"/>
              <w:rPr>
                <w:rFonts w:cs="Arial"/>
                <w:b/>
                <w:bCs/>
              </w:rPr>
            </w:pPr>
            <w:r w:rsidRPr="00D17B7E">
              <w:rPr>
                <w:rFonts w:cs="Arial"/>
                <w:b/>
                <w:bCs/>
              </w:rPr>
              <w:t>Service Charge Expiration Trigger Event</w:t>
            </w:r>
          </w:p>
        </w:tc>
      </w:tr>
      <w:tr w:rsidR="00F67E9E" w:rsidRPr="00277440" w14:paraId="0AC535D5" w14:textId="77777777" w:rsidTr="007F74AA">
        <w:tc>
          <w:tcPr>
            <w:tcW w:w="9468" w:type="dxa"/>
            <w:gridSpan w:val="4"/>
            <w:shd w:val="clear" w:color="auto" w:fill="F0F0F0"/>
          </w:tcPr>
          <w:p w14:paraId="10684253" w14:textId="77777777" w:rsidR="00F67E9E" w:rsidRPr="00277440" w:rsidRDefault="00F67E9E" w:rsidP="007F74AA">
            <w:pPr>
              <w:pStyle w:val="StdBodyTextBold"/>
              <w:spacing w:before="0" w:after="0"/>
              <w:rPr>
                <w:rFonts w:cs="Arial"/>
              </w:rPr>
            </w:pPr>
            <w:r w:rsidRPr="00277440">
              <w:rPr>
                <w:rFonts w:cs="Arial"/>
                <w:highlight w:val="yellow"/>
              </w:rPr>
              <w:t>[Service Line 1]</w:t>
            </w:r>
          </w:p>
        </w:tc>
      </w:tr>
      <w:tr w:rsidR="00F67E9E" w:rsidRPr="00277440" w14:paraId="750F09D5" w14:textId="77777777" w:rsidTr="007F74AA">
        <w:tc>
          <w:tcPr>
            <w:tcW w:w="2324" w:type="dxa"/>
          </w:tcPr>
          <w:p w14:paraId="4AAEF163" w14:textId="77777777" w:rsidR="00F67E9E" w:rsidRPr="00277440" w:rsidRDefault="00F67E9E" w:rsidP="007F74AA">
            <w:pPr>
              <w:pStyle w:val="StdBodyText1"/>
              <w:spacing w:before="0" w:after="0"/>
              <w:ind w:left="0"/>
              <w:rPr>
                <w:rFonts w:cs="Arial"/>
                <w:highlight w:val="yellow"/>
              </w:rPr>
            </w:pPr>
            <w:r w:rsidRPr="00277440">
              <w:rPr>
                <w:rFonts w:cs="Arial"/>
                <w:highlight w:val="yellow"/>
              </w:rPr>
              <w:t>[e.g. SL1C1]</w:t>
            </w:r>
          </w:p>
        </w:tc>
        <w:tc>
          <w:tcPr>
            <w:tcW w:w="2381" w:type="dxa"/>
          </w:tcPr>
          <w:p w14:paraId="346F47F8" w14:textId="77777777" w:rsidR="00F67E9E" w:rsidRPr="00277440" w:rsidRDefault="00F67E9E" w:rsidP="007F74AA">
            <w:pPr>
              <w:pStyle w:val="StdBodyText1"/>
              <w:spacing w:before="0" w:after="0"/>
              <w:ind w:left="0"/>
              <w:rPr>
                <w:rFonts w:cs="Arial"/>
                <w:highlight w:val="yellow"/>
              </w:rPr>
            </w:pPr>
            <w:r w:rsidRPr="00277440">
              <w:rPr>
                <w:rFonts w:cs="Arial"/>
                <w:highlight w:val="yellow"/>
              </w:rPr>
              <w:t>[VOL]</w:t>
            </w:r>
          </w:p>
        </w:tc>
        <w:tc>
          <w:tcPr>
            <w:tcW w:w="2381" w:type="dxa"/>
          </w:tcPr>
          <w:p w14:paraId="2C28C93D" w14:textId="77777777" w:rsidR="00F67E9E" w:rsidRPr="00277440" w:rsidRDefault="00F67E9E" w:rsidP="007F74AA">
            <w:pPr>
              <w:pStyle w:val="StdBodyText1"/>
              <w:spacing w:before="0" w:after="0"/>
              <w:ind w:left="0"/>
              <w:rPr>
                <w:rFonts w:cs="Arial"/>
                <w:highlight w:val="yellow"/>
              </w:rPr>
            </w:pPr>
            <w:r w:rsidRPr="00277440">
              <w:rPr>
                <w:rFonts w:cs="Arial"/>
                <w:highlight w:val="yellow"/>
              </w:rPr>
              <w:t>[e.g. Achievement of Milestone 4]</w:t>
            </w:r>
          </w:p>
        </w:tc>
        <w:tc>
          <w:tcPr>
            <w:tcW w:w="2382" w:type="dxa"/>
          </w:tcPr>
          <w:p w14:paraId="33BD0253" w14:textId="77777777" w:rsidR="00F67E9E" w:rsidRPr="00277440" w:rsidRDefault="00F67E9E" w:rsidP="007F74AA">
            <w:pPr>
              <w:pStyle w:val="StdBodyText1"/>
              <w:spacing w:before="0" w:after="0"/>
              <w:ind w:left="0"/>
              <w:rPr>
                <w:rFonts w:cs="Arial"/>
              </w:rPr>
            </w:pPr>
          </w:p>
        </w:tc>
      </w:tr>
      <w:tr w:rsidR="00F67E9E" w:rsidRPr="00277440" w14:paraId="06FD91DC" w14:textId="77777777" w:rsidTr="007F74AA">
        <w:tc>
          <w:tcPr>
            <w:tcW w:w="2324" w:type="dxa"/>
            <w:tcBorders>
              <w:bottom w:val="single" w:sz="4" w:space="0" w:color="auto"/>
            </w:tcBorders>
          </w:tcPr>
          <w:p w14:paraId="5CF92EDB" w14:textId="77777777" w:rsidR="00F67E9E" w:rsidRPr="00277440" w:rsidRDefault="00F67E9E" w:rsidP="007F74AA">
            <w:pPr>
              <w:pStyle w:val="StdBodyText1"/>
              <w:spacing w:before="0" w:after="0"/>
              <w:ind w:left="0"/>
              <w:rPr>
                <w:rFonts w:cs="Arial"/>
                <w:highlight w:val="yellow"/>
              </w:rPr>
            </w:pPr>
            <w:r w:rsidRPr="00277440">
              <w:rPr>
                <w:rFonts w:cs="Arial"/>
                <w:highlight w:val="yellow"/>
              </w:rPr>
              <w:t>[e.g. SL1C2]</w:t>
            </w:r>
          </w:p>
        </w:tc>
        <w:tc>
          <w:tcPr>
            <w:tcW w:w="2381" w:type="dxa"/>
            <w:tcBorders>
              <w:bottom w:val="single" w:sz="4" w:space="0" w:color="auto"/>
            </w:tcBorders>
          </w:tcPr>
          <w:p w14:paraId="5E8778C6" w14:textId="77777777" w:rsidR="00F67E9E" w:rsidRPr="00277440" w:rsidRDefault="00F67E9E" w:rsidP="007F74AA">
            <w:pPr>
              <w:pStyle w:val="StdBodyText1"/>
              <w:spacing w:before="0" w:after="0"/>
              <w:ind w:left="0"/>
              <w:rPr>
                <w:rFonts w:cs="Arial"/>
                <w:highlight w:val="yellow"/>
              </w:rPr>
            </w:pPr>
            <w:r w:rsidRPr="00277440">
              <w:rPr>
                <w:rFonts w:cs="Arial"/>
                <w:highlight w:val="yellow"/>
              </w:rPr>
              <w:t>[FIX]</w:t>
            </w:r>
          </w:p>
        </w:tc>
        <w:tc>
          <w:tcPr>
            <w:tcW w:w="2381" w:type="dxa"/>
            <w:tcBorders>
              <w:bottom w:val="single" w:sz="4" w:space="0" w:color="auto"/>
            </w:tcBorders>
          </w:tcPr>
          <w:p w14:paraId="0E312F61" w14:textId="77777777" w:rsidR="00F67E9E" w:rsidRPr="00277440" w:rsidRDefault="00F67E9E" w:rsidP="007F74AA">
            <w:pPr>
              <w:pStyle w:val="StdBodyText1"/>
              <w:spacing w:before="0" w:after="0"/>
              <w:ind w:left="0"/>
              <w:rPr>
                <w:rFonts w:cs="Arial"/>
              </w:rPr>
            </w:pPr>
          </w:p>
        </w:tc>
        <w:tc>
          <w:tcPr>
            <w:tcW w:w="2382" w:type="dxa"/>
            <w:tcBorders>
              <w:bottom w:val="single" w:sz="4" w:space="0" w:color="auto"/>
            </w:tcBorders>
          </w:tcPr>
          <w:p w14:paraId="0FF361DA" w14:textId="77777777" w:rsidR="00F67E9E" w:rsidRPr="00277440" w:rsidRDefault="00F67E9E" w:rsidP="007F74AA">
            <w:pPr>
              <w:pStyle w:val="StdBodyText1"/>
              <w:spacing w:before="0" w:after="0"/>
              <w:ind w:left="0"/>
              <w:rPr>
                <w:rFonts w:cs="Arial"/>
              </w:rPr>
            </w:pPr>
          </w:p>
        </w:tc>
      </w:tr>
      <w:tr w:rsidR="00F67E9E" w:rsidRPr="00277440" w14:paraId="222D933F" w14:textId="77777777" w:rsidTr="007F74AA">
        <w:tc>
          <w:tcPr>
            <w:tcW w:w="9468" w:type="dxa"/>
            <w:gridSpan w:val="4"/>
            <w:shd w:val="clear" w:color="auto" w:fill="F0F0F0"/>
          </w:tcPr>
          <w:p w14:paraId="48D15819" w14:textId="77777777" w:rsidR="00F67E9E" w:rsidRPr="00277440" w:rsidRDefault="00F67E9E" w:rsidP="007F74AA">
            <w:pPr>
              <w:pStyle w:val="StdBodyTextBold"/>
              <w:spacing w:before="0" w:after="0"/>
              <w:rPr>
                <w:rFonts w:cs="Arial"/>
              </w:rPr>
            </w:pPr>
            <w:r w:rsidRPr="00277440">
              <w:rPr>
                <w:rFonts w:cs="Arial"/>
                <w:highlight w:val="yellow"/>
              </w:rPr>
              <w:t>[Service Line 2]</w:t>
            </w:r>
          </w:p>
        </w:tc>
      </w:tr>
      <w:tr w:rsidR="00F67E9E" w:rsidRPr="00277440" w14:paraId="28C28998" w14:textId="77777777" w:rsidTr="007F74AA">
        <w:tc>
          <w:tcPr>
            <w:tcW w:w="2324" w:type="dxa"/>
          </w:tcPr>
          <w:p w14:paraId="49769B66" w14:textId="77777777" w:rsidR="00F67E9E" w:rsidRPr="00277440" w:rsidRDefault="00F67E9E" w:rsidP="007F74AA">
            <w:pPr>
              <w:pStyle w:val="StdBodyText1"/>
              <w:spacing w:before="0" w:after="0"/>
              <w:ind w:left="0"/>
              <w:rPr>
                <w:rFonts w:cs="Arial"/>
                <w:highlight w:val="yellow"/>
              </w:rPr>
            </w:pPr>
            <w:r w:rsidRPr="00277440">
              <w:rPr>
                <w:rFonts w:cs="Arial"/>
                <w:highlight w:val="yellow"/>
              </w:rPr>
              <w:t>[e.g. SL2C1]</w:t>
            </w:r>
          </w:p>
        </w:tc>
        <w:tc>
          <w:tcPr>
            <w:tcW w:w="2381" w:type="dxa"/>
          </w:tcPr>
          <w:p w14:paraId="663464C7" w14:textId="77777777" w:rsidR="00F67E9E" w:rsidRPr="00277440" w:rsidRDefault="00F67E9E" w:rsidP="007F74AA">
            <w:pPr>
              <w:pStyle w:val="StdBodyText1"/>
              <w:spacing w:before="0" w:after="0"/>
              <w:ind w:left="0"/>
              <w:rPr>
                <w:rFonts w:cs="Arial"/>
                <w:highlight w:val="yellow"/>
              </w:rPr>
            </w:pPr>
            <w:r w:rsidRPr="00277440">
              <w:rPr>
                <w:rFonts w:cs="Arial"/>
                <w:highlight w:val="yellow"/>
              </w:rPr>
              <w:t>[VOL]</w:t>
            </w:r>
          </w:p>
        </w:tc>
        <w:tc>
          <w:tcPr>
            <w:tcW w:w="2381" w:type="dxa"/>
          </w:tcPr>
          <w:p w14:paraId="030B2680" w14:textId="77777777" w:rsidR="00F67E9E" w:rsidRPr="00277440" w:rsidRDefault="00F67E9E" w:rsidP="007F74AA">
            <w:pPr>
              <w:pStyle w:val="StdBodyText1"/>
              <w:spacing w:before="0" w:after="0"/>
              <w:ind w:left="0"/>
              <w:rPr>
                <w:rFonts w:cs="Arial"/>
                <w:highlight w:val="yellow"/>
              </w:rPr>
            </w:pPr>
            <w:r w:rsidRPr="00277440">
              <w:rPr>
                <w:rFonts w:cs="Arial"/>
                <w:highlight w:val="yellow"/>
              </w:rPr>
              <w:t>[e.g. Achievement of Milestone 4]</w:t>
            </w:r>
          </w:p>
        </w:tc>
        <w:tc>
          <w:tcPr>
            <w:tcW w:w="2382" w:type="dxa"/>
          </w:tcPr>
          <w:p w14:paraId="5DD0A7CF" w14:textId="77777777" w:rsidR="00F67E9E" w:rsidRPr="00277440" w:rsidRDefault="00F67E9E" w:rsidP="007F74AA">
            <w:pPr>
              <w:pStyle w:val="StdBodyText1"/>
              <w:spacing w:before="0" w:after="0"/>
              <w:ind w:left="0"/>
              <w:rPr>
                <w:rFonts w:cs="Arial"/>
              </w:rPr>
            </w:pPr>
          </w:p>
        </w:tc>
      </w:tr>
      <w:tr w:rsidR="00F67E9E" w:rsidRPr="00277440" w14:paraId="141DCD1C" w14:textId="77777777" w:rsidTr="007F74AA">
        <w:tc>
          <w:tcPr>
            <w:tcW w:w="2324" w:type="dxa"/>
            <w:tcBorders>
              <w:bottom w:val="single" w:sz="4" w:space="0" w:color="auto"/>
            </w:tcBorders>
          </w:tcPr>
          <w:p w14:paraId="4A254B15" w14:textId="77777777" w:rsidR="00F67E9E" w:rsidRPr="00277440" w:rsidRDefault="00F67E9E" w:rsidP="007F74AA">
            <w:pPr>
              <w:pStyle w:val="StdBodyText1"/>
              <w:spacing w:before="0" w:after="0"/>
              <w:ind w:left="0"/>
              <w:rPr>
                <w:rFonts w:cs="Arial"/>
                <w:highlight w:val="yellow"/>
              </w:rPr>
            </w:pPr>
            <w:r w:rsidRPr="00277440">
              <w:rPr>
                <w:rFonts w:cs="Arial"/>
                <w:highlight w:val="yellow"/>
              </w:rPr>
              <w:t>[e.g. SL2C2]</w:t>
            </w:r>
          </w:p>
        </w:tc>
        <w:tc>
          <w:tcPr>
            <w:tcW w:w="2381" w:type="dxa"/>
            <w:tcBorders>
              <w:bottom w:val="single" w:sz="4" w:space="0" w:color="auto"/>
            </w:tcBorders>
          </w:tcPr>
          <w:p w14:paraId="13BE4DAE" w14:textId="77777777" w:rsidR="00F67E9E" w:rsidRPr="00277440" w:rsidRDefault="00F67E9E" w:rsidP="007F74AA">
            <w:pPr>
              <w:pStyle w:val="StdBodyText1"/>
              <w:spacing w:before="0" w:after="0"/>
              <w:ind w:left="0"/>
              <w:rPr>
                <w:rFonts w:cs="Arial"/>
                <w:highlight w:val="yellow"/>
              </w:rPr>
            </w:pPr>
            <w:r w:rsidRPr="00277440">
              <w:rPr>
                <w:rFonts w:cs="Arial"/>
                <w:highlight w:val="yellow"/>
              </w:rPr>
              <w:t>[FIX]</w:t>
            </w:r>
          </w:p>
        </w:tc>
        <w:tc>
          <w:tcPr>
            <w:tcW w:w="2381" w:type="dxa"/>
            <w:tcBorders>
              <w:bottom w:val="single" w:sz="4" w:space="0" w:color="auto"/>
            </w:tcBorders>
          </w:tcPr>
          <w:p w14:paraId="06B6D904" w14:textId="77777777" w:rsidR="00F67E9E" w:rsidRPr="00277440" w:rsidRDefault="00F67E9E" w:rsidP="007F74AA">
            <w:pPr>
              <w:pStyle w:val="StdBodyText1"/>
              <w:spacing w:before="0" w:after="0"/>
              <w:ind w:left="0"/>
              <w:rPr>
                <w:rFonts w:cs="Arial"/>
              </w:rPr>
            </w:pPr>
          </w:p>
        </w:tc>
        <w:tc>
          <w:tcPr>
            <w:tcW w:w="2382" w:type="dxa"/>
            <w:tcBorders>
              <w:bottom w:val="single" w:sz="4" w:space="0" w:color="auto"/>
            </w:tcBorders>
          </w:tcPr>
          <w:p w14:paraId="2FB028E6" w14:textId="77777777" w:rsidR="00F67E9E" w:rsidRPr="00277440" w:rsidRDefault="00F67E9E" w:rsidP="007F74AA">
            <w:pPr>
              <w:pStyle w:val="StdBodyText1"/>
              <w:spacing w:before="0" w:after="0"/>
              <w:ind w:left="0"/>
              <w:rPr>
                <w:rFonts w:cs="Arial"/>
              </w:rPr>
            </w:pPr>
          </w:p>
        </w:tc>
      </w:tr>
      <w:tr w:rsidR="00F67E9E" w:rsidRPr="00277440" w14:paraId="3102F81B" w14:textId="77777777" w:rsidTr="007F74AA">
        <w:tc>
          <w:tcPr>
            <w:tcW w:w="9468" w:type="dxa"/>
            <w:gridSpan w:val="4"/>
            <w:shd w:val="clear" w:color="auto" w:fill="F0F0F0"/>
          </w:tcPr>
          <w:p w14:paraId="56525E92" w14:textId="77777777" w:rsidR="00F67E9E" w:rsidRPr="00277440" w:rsidRDefault="00F67E9E" w:rsidP="007F74AA">
            <w:pPr>
              <w:pStyle w:val="StdBodyTextBold"/>
              <w:spacing w:before="0" w:after="0"/>
              <w:rPr>
                <w:rFonts w:cs="Arial"/>
              </w:rPr>
            </w:pPr>
            <w:r w:rsidRPr="00277440">
              <w:rPr>
                <w:rFonts w:cs="Arial"/>
                <w:highlight w:val="yellow"/>
              </w:rPr>
              <w:t>[Service Line [X] - insert further rows as necessary]</w:t>
            </w:r>
          </w:p>
        </w:tc>
      </w:tr>
      <w:tr w:rsidR="00F67E9E" w:rsidRPr="00277440" w14:paraId="7FEE6660" w14:textId="77777777" w:rsidTr="007F74AA">
        <w:tc>
          <w:tcPr>
            <w:tcW w:w="2324" w:type="dxa"/>
          </w:tcPr>
          <w:p w14:paraId="59F50151" w14:textId="77777777" w:rsidR="00F67E9E" w:rsidRPr="00277440" w:rsidRDefault="00F67E9E" w:rsidP="007F74AA">
            <w:pPr>
              <w:pStyle w:val="StdBodyText1"/>
              <w:spacing w:before="0" w:after="0"/>
              <w:ind w:left="0"/>
              <w:rPr>
                <w:rFonts w:cs="Arial"/>
                <w:highlight w:val="yellow"/>
              </w:rPr>
            </w:pPr>
            <w:r w:rsidRPr="00277440">
              <w:rPr>
                <w:rFonts w:cs="Arial"/>
                <w:highlight w:val="yellow"/>
              </w:rPr>
              <w:t>[e.g. SLXC1]</w:t>
            </w:r>
          </w:p>
        </w:tc>
        <w:tc>
          <w:tcPr>
            <w:tcW w:w="2381" w:type="dxa"/>
          </w:tcPr>
          <w:p w14:paraId="274074A4" w14:textId="77777777" w:rsidR="00F67E9E" w:rsidRPr="00277440" w:rsidRDefault="00F67E9E" w:rsidP="007F74AA">
            <w:pPr>
              <w:pStyle w:val="StdBodyText1"/>
              <w:spacing w:before="0" w:after="0"/>
              <w:ind w:left="0"/>
              <w:rPr>
                <w:rFonts w:cs="Arial"/>
                <w:highlight w:val="yellow"/>
              </w:rPr>
            </w:pPr>
            <w:r w:rsidRPr="00277440">
              <w:rPr>
                <w:rFonts w:cs="Arial"/>
                <w:highlight w:val="yellow"/>
              </w:rPr>
              <w:t>[VOL]</w:t>
            </w:r>
          </w:p>
        </w:tc>
        <w:tc>
          <w:tcPr>
            <w:tcW w:w="2381" w:type="dxa"/>
          </w:tcPr>
          <w:p w14:paraId="6EC786DA" w14:textId="77777777" w:rsidR="00F67E9E" w:rsidRPr="00277440" w:rsidRDefault="00F67E9E" w:rsidP="007F74AA">
            <w:pPr>
              <w:pStyle w:val="StdBodyText1"/>
              <w:spacing w:before="0" w:after="0"/>
              <w:ind w:left="0"/>
              <w:rPr>
                <w:rFonts w:cs="Arial"/>
                <w:highlight w:val="yellow"/>
              </w:rPr>
            </w:pPr>
            <w:r w:rsidRPr="00277440">
              <w:rPr>
                <w:rFonts w:cs="Arial"/>
                <w:highlight w:val="yellow"/>
              </w:rPr>
              <w:t>[e.g. Achievement of Milestone 4]</w:t>
            </w:r>
          </w:p>
        </w:tc>
        <w:tc>
          <w:tcPr>
            <w:tcW w:w="2381" w:type="dxa"/>
          </w:tcPr>
          <w:p w14:paraId="778D39C6" w14:textId="77777777" w:rsidR="00F67E9E" w:rsidRPr="00277440" w:rsidRDefault="00F67E9E" w:rsidP="007F74AA">
            <w:pPr>
              <w:pStyle w:val="StdBodyText1"/>
              <w:spacing w:before="0" w:after="0"/>
              <w:ind w:left="0"/>
              <w:rPr>
                <w:rFonts w:cs="Arial"/>
              </w:rPr>
            </w:pPr>
          </w:p>
        </w:tc>
      </w:tr>
      <w:tr w:rsidR="00F67E9E" w:rsidRPr="00277440" w14:paraId="47A6B665" w14:textId="77777777" w:rsidTr="007F74AA">
        <w:tc>
          <w:tcPr>
            <w:tcW w:w="2324" w:type="dxa"/>
          </w:tcPr>
          <w:p w14:paraId="77DA5E0B" w14:textId="77777777" w:rsidR="00F67E9E" w:rsidRPr="00277440" w:rsidRDefault="00F67E9E" w:rsidP="007F74AA">
            <w:pPr>
              <w:pStyle w:val="StdBodyText1"/>
              <w:spacing w:before="0" w:after="0"/>
              <w:ind w:left="0"/>
              <w:rPr>
                <w:rFonts w:cs="Arial"/>
                <w:highlight w:val="yellow"/>
              </w:rPr>
            </w:pPr>
            <w:r w:rsidRPr="00277440">
              <w:rPr>
                <w:rFonts w:cs="Arial"/>
                <w:highlight w:val="yellow"/>
              </w:rPr>
              <w:t>[e.g. SLXC2]</w:t>
            </w:r>
          </w:p>
        </w:tc>
        <w:tc>
          <w:tcPr>
            <w:tcW w:w="2381" w:type="dxa"/>
          </w:tcPr>
          <w:p w14:paraId="0F56BEDD" w14:textId="77777777" w:rsidR="00F67E9E" w:rsidRPr="00277440" w:rsidRDefault="00F67E9E" w:rsidP="007F74AA">
            <w:pPr>
              <w:pStyle w:val="StdBodyText1"/>
              <w:spacing w:before="0" w:after="0"/>
              <w:ind w:left="0"/>
              <w:rPr>
                <w:rFonts w:cs="Arial"/>
                <w:highlight w:val="yellow"/>
              </w:rPr>
            </w:pPr>
            <w:r w:rsidRPr="00277440">
              <w:rPr>
                <w:rFonts w:cs="Arial"/>
                <w:highlight w:val="yellow"/>
              </w:rPr>
              <w:t>[FIX]</w:t>
            </w:r>
          </w:p>
        </w:tc>
        <w:tc>
          <w:tcPr>
            <w:tcW w:w="2381" w:type="dxa"/>
          </w:tcPr>
          <w:p w14:paraId="0DE4E94C" w14:textId="77777777" w:rsidR="00F67E9E" w:rsidRPr="00277440" w:rsidRDefault="00F67E9E" w:rsidP="007F74AA">
            <w:pPr>
              <w:pStyle w:val="StdBodyText1"/>
              <w:spacing w:before="0" w:after="0"/>
              <w:ind w:left="0"/>
              <w:rPr>
                <w:rFonts w:cs="Arial"/>
              </w:rPr>
            </w:pPr>
          </w:p>
        </w:tc>
        <w:tc>
          <w:tcPr>
            <w:tcW w:w="2381" w:type="dxa"/>
          </w:tcPr>
          <w:p w14:paraId="21D6C740" w14:textId="77777777" w:rsidR="00F67E9E" w:rsidRPr="00277440" w:rsidRDefault="00F67E9E" w:rsidP="007F74AA">
            <w:pPr>
              <w:pStyle w:val="StdBodyText1"/>
              <w:spacing w:before="0" w:after="0"/>
              <w:ind w:left="0"/>
              <w:rPr>
                <w:rFonts w:cs="Arial"/>
              </w:rPr>
            </w:pPr>
          </w:p>
        </w:tc>
      </w:tr>
    </w:tbl>
    <w:p w14:paraId="61B019DB" w14:textId="77777777" w:rsidR="00F67E9E" w:rsidRPr="00277440" w:rsidRDefault="00F67E9E" w:rsidP="00F67E9E"/>
    <w:p w14:paraId="3BDCC63E" w14:textId="77777777" w:rsidR="00F67E9E" w:rsidRPr="00277440" w:rsidRDefault="00F67E9E" w:rsidP="00F67E9E">
      <w:pPr>
        <w:pStyle w:val="AppendixText1"/>
      </w:pPr>
      <w:bookmarkStart w:id="1214" w:name="_9kMHG5YVtCIB8BIiLhkhy7sFQLkR0KfkrLRLHNA"/>
      <w:r w:rsidRPr="00277440">
        <w:t>Table 3</w:t>
      </w:r>
      <w:bookmarkEnd w:id="1214"/>
      <w:r w:rsidRPr="00277440">
        <w:t xml:space="preserve">: </w:t>
      </w:r>
      <w:r w:rsidRPr="000A7B06">
        <w:t>Optional</w:t>
      </w:r>
      <w:r w:rsidRPr="00277440">
        <w:t xml:space="preserve"> Services Milestone Payments </w:t>
      </w:r>
    </w:p>
    <w:tbl>
      <w:tblPr>
        <w:tblStyle w:val="MSATable-header"/>
        <w:tblW w:w="0" w:type="auto"/>
        <w:tblInd w:w="680" w:type="dxa"/>
        <w:tblLook w:val="04A0" w:firstRow="1" w:lastRow="0" w:firstColumn="1" w:lastColumn="0" w:noHBand="0" w:noVBand="1"/>
      </w:tblPr>
      <w:tblGrid>
        <w:gridCol w:w="2324"/>
        <w:gridCol w:w="2381"/>
        <w:gridCol w:w="2381"/>
        <w:gridCol w:w="2381"/>
      </w:tblGrid>
      <w:tr w:rsidR="00F67E9E" w:rsidRPr="00D17B7E" w14:paraId="20871DE1" w14:textId="77777777" w:rsidTr="007F74AA">
        <w:trPr>
          <w:cnfStyle w:val="100000000000" w:firstRow="1" w:lastRow="0" w:firstColumn="0" w:lastColumn="0" w:oddVBand="0" w:evenVBand="0" w:oddHBand="0" w:evenHBand="0" w:firstRowFirstColumn="0" w:firstRowLastColumn="0" w:lastRowFirstColumn="0" w:lastRowLastColumn="0"/>
          <w:tblHeader/>
        </w:trPr>
        <w:tc>
          <w:tcPr>
            <w:tcW w:w="2324" w:type="dxa"/>
            <w:vAlign w:val="bottom"/>
          </w:tcPr>
          <w:p w14:paraId="1FAE10A4" w14:textId="77777777" w:rsidR="00F67E9E" w:rsidRPr="00D17B7E" w:rsidRDefault="00F67E9E" w:rsidP="007F74AA">
            <w:pPr>
              <w:pStyle w:val="StdBodyTextBold"/>
              <w:spacing w:before="0" w:after="0"/>
              <w:rPr>
                <w:rFonts w:cs="Arial"/>
                <w:b/>
                <w:bCs/>
              </w:rPr>
            </w:pPr>
            <w:r w:rsidRPr="00D17B7E">
              <w:rPr>
                <w:rFonts w:cs="Arial"/>
                <w:b/>
                <w:bCs/>
              </w:rPr>
              <w:t>Charge Number</w:t>
            </w:r>
          </w:p>
        </w:tc>
        <w:tc>
          <w:tcPr>
            <w:tcW w:w="2381" w:type="dxa"/>
            <w:vAlign w:val="bottom"/>
          </w:tcPr>
          <w:p w14:paraId="73C12E6E" w14:textId="77777777" w:rsidR="00F67E9E" w:rsidRPr="00D17B7E" w:rsidRDefault="00F67E9E" w:rsidP="007F74AA">
            <w:pPr>
              <w:pStyle w:val="StdBodyTextBold"/>
              <w:spacing w:before="0" w:after="0"/>
              <w:rPr>
                <w:rFonts w:cs="Arial"/>
                <w:b/>
                <w:bCs/>
              </w:rPr>
            </w:pPr>
            <w:r w:rsidRPr="00D17B7E">
              <w:rPr>
                <w:rFonts w:cs="Arial"/>
                <w:b/>
                <w:bCs/>
              </w:rPr>
              <w:t>Pricing Mechanism (FIX / FIRM / GMPTC / T&amp;M)</w:t>
            </w:r>
          </w:p>
        </w:tc>
        <w:tc>
          <w:tcPr>
            <w:tcW w:w="2381" w:type="dxa"/>
            <w:vAlign w:val="bottom"/>
          </w:tcPr>
          <w:p w14:paraId="551F1D68" w14:textId="77777777" w:rsidR="00F67E9E" w:rsidRPr="00D17B7E" w:rsidRDefault="00F67E9E" w:rsidP="007F74AA">
            <w:pPr>
              <w:pStyle w:val="StdBodyTextBold"/>
              <w:spacing w:before="0" w:after="0"/>
              <w:rPr>
                <w:rFonts w:cs="Arial"/>
                <w:b/>
                <w:bCs/>
              </w:rPr>
            </w:pPr>
            <w:r w:rsidRPr="00D17B7E">
              <w:rPr>
                <w:rFonts w:cs="Arial"/>
                <w:b/>
                <w:bCs/>
              </w:rPr>
              <w:t>CPP Milestone Charge Number</w:t>
            </w:r>
          </w:p>
        </w:tc>
        <w:tc>
          <w:tcPr>
            <w:tcW w:w="2381" w:type="dxa"/>
            <w:vAlign w:val="bottom"/>
          </w:tcPr>
          <w:p w14:paraId="25B80AE8" w14:textId="77777777" w:rsidR="00F67E9E" w:rsidRPr="00D17B7E" w:rsidRDefault="00F67E9E" w:rsidP="007F74AA">
            <w:pPr>
              <w:pStyle w:val="StdBodyTextBold"/>
              <w:spacing w:before="0" w:after="0"/>
              <w:rPr>
                <w:rFonts w:cs="Arial"/>
                <w:b/>
                <w:bCs/>
              </w:rPr>
            </w:pPr>
            <w:r w:rsidRPr="00D17B7E">
              <w:rPr>
                <w:rFonts w:cs="Arial"/>
                <w:b/>
                <w:bCs/>
              </w:rPr>
              <w:t>Delay Payments (if Key Milestone) (£ per day)</w:t>
            </w:r>
          </w:p>
        </w:tc>
      </w:tr>
      <w:tr w:rsidR="00F67E9E" w:rsidRPr="00277440" w14:paraId="032DA577" w14:textId="77777777" w:rsidTr="007F74AA">
        <w:tc>
          <w:tcPr>
            <w:tcW w:w="2324" w:type="dxa"/>
          </w:tcPr>
          <w:p w14:paraId="7A921208" w14:textId="77777777" w:rsidR="00F67E9E" w:rsidRPr="00277440" w:rsidRDefault="00F67E9E" w:rsidP="007F74AA">
            <w:pPr>
              <w:pStyle w:val="StdBodyText1"/>
              <w:spacing w:before="0" w:after="0"/>
              <w:ind w:left="0"/>
              <w:rPr>
                <w:rFonts w:cs="Arial"/>
                <w:highlight w:val="yellow"/>
              </w:rPr>
            </w:pPr>
            <w:r w:rsidRPr="00277440">
              <w:rPr>
                <w:rFonts w:cs="Arial"/>
                <w:highlight w:val="yellow"/>
              </w:rPr>
              <w:t>[e.g. OMS1]</w:t>
            </w:r>
          </w:p>
        </w:tc>
        <w:tc>
          <w:tcPr>
            <w:tcW w:w="2381" w:type="dxa"/>
          </w:tcPr>
          <w:p w14:paraId="50CAC02E" w14:textId="77777777" w:rsidR="00F67E9E" w:rsidRPr="00277440" w:rsidRDefault="00F67E9E" w:rsidP="007F74AA">
            <w:pPr>
              <w:pStyle w:val="StdBodyText1"/>
              <w:spacing w:before="0" w:after="0"/>
              <w:ind w:left="0"/>
              <w:rPr>
                <w:rFonts w:cs="Arial"/>
                <w:highlight w:val="yellow"/>
              </w:rPr>
            </w:pPr>
            <w:r w:rsidRPr="00277440">
              <w:rPr>
                <w:rFonts w:cs="Arial"/>
                <w:highlight w:val="yellow"/>
              </w:rPr>
              <w:t>[FIRM]</w:t>
            </w:r>
          </w:p>
        </w:tc>
        <w:tc>
          <w:tcPr>
            <w:tcW w:w="2381" w:type="dxa"/>
          </w:tcPr>
          <w:p w14:paraId="0D3B878B" w14:textId="77777777" w:rsidR="00F67E9E" w:rsidRPr="00277440" w:rsidRDefault="00F67E9E" w:rsidP="007F74AA">
            <w:pPr>
              <w:pStyle w:val="StdBodyText1"/>
              <w:spacing w:before="0" w:after="0"/>
              <w:ind w:left="0"/>
              <w:rPr>
                <w:rFonts w:cs="Arial"/>
                <w:highlight w:val="yellow"/>
              </w:rPr>
            </w:pPr>
            <w:r w:rsidRPr="00277440">
              <w:rPr>
                <w:rFonts w:cs="Arial"/>
                <w:highlight w:val="yellow"/>
              </w:rPr>
              <w:t>[e.g. OMS2]</w:t>
            </w:r>
          </w:p>
        </w:tc>
        <w:tc>
          <w:tcPr>
            <w:tcW w:w="2381" w:type="dxa"/>
          </w:tcPr>
          <w:p w14:paraId="3FCBA960" w14:textId="77777777" w:rsidR="00F67E9E" w:rsidRPr="00277440" w:rsidRDefault="00F67E9E" w:rsidP="007F74AA">
            <w:pPr>
              <w:pStyle w:val="StdBodyText1"/>
              <w:spacing w:before="0" w:after="0"/>
              <w:ind w:left="0"/>
              <w:rPr>
                <w:rFonts w:cs="Arial"/>
              </w:rPr>
            </w:pPr>
          </w:p>
        </w:tc>
      </w:tr>
      <w:tr w:rsidR="00F67E9E" w:rsidRPr="00277440" w14:paraId="075F3BFF" w14:textId="77777777" w:rsidTr="007F74AA">
        <w:tc>
          <w:tcPr>
            <w:tcW w:w="2324" w:type="dxa"/>
          </w:tcPr>
          <w:p w14:paraId="093174B1" w14:textId="77777777" w:rsidR="00F67E9E" w:rsidRPr="00277440" w:rsidRDefault="00F67E9E" w:rsidP="007F74AA">
            <w:pPr>
              <w:pStyle w:val="StdBodyText1"/>
              <w:spacing w:before="0" w:after="0"/>
              <w:ind w:left="0"/>
              <w:rPr>
                <w:rFonts w:cs="Arial"/>
                <w:highlight w:val="yellow"/>
              </w:rPr>
            </w:pPr>
            <w:r w:rsidRPr="00277440">
              <w:rPr>
                <w:rFonts w:cs="Arial"/>
                <w:highlight w:val="yellow"/>
              </w:rPr>
              <w:t>[e.g. OMS2]</w:t>
            </w:r>
          </w:p>
        </w:tc>
        <w:tc>
          <w:tcPr>
            <w:tcW w:w="2381" w:type="dxa"/>
          </w:tcPr>
          <w:p w14:paraId="49564F18" w14:textId="77777777" w:rsidR="00F67E9E" w:rsidRPr="00277440" w:rsidRDefault="00F67E9E" w:rsidP="007F74AA">
            <w:pPr>
              <w:pStyle w:val="StdBodyText1"/>
              <w:spacing w:before="0" w:after="0"/>
              <w:ind w:left="0"/>
              <w:rPr>
                <w:rFonts w:cs="Arial"/>
                <w:highlight w:val="yellow"/>
              </w:rPr>
            </w:pPr>
            <w:r w:rsidRPr="00277440">
              <w:rPr>
                <w:rFonts w:cs="Arial"/>
                <w:highlight w:val="yellow"/>
              </w:rPr>
              <w:t>[FIRM]</w:t>
            </w:r>
          </w:p>
        </w:tc>
        <w:tc>
          <w:tcPr>
            <w:tcW w:w="2381" w:type="dxa"/>
          </w:tcPr>
          <w:p w14:paraId="0F251D4F" w14:textId="77777777" w:rsidR="00F67E9E" w:rsidRPr="00277440" w:rsidRDefault="00F67E9E" w:rsidP="007F74AA">
            <w:pPr>
              <w:pStyle w:val="StdBodyText1"/>
              <w:spacing w:before="0" w:after="0"/>
              <w:ind w:left="0"/>
              <w:rPr>
                <w:rFonts w:cs="Arial"/>
                <w:highlight w:val="yellow"/>
              </w:rPr>
            </w:pPr>
            <w:r w:rsidRPr="00277440">
              <w:rPr>
                <w:rFonts w:cs="Arial"/>
                <w:highlight w:val="yellow"/>
              </w:rPr>
              <w:t>[e.g. OMS2]</w:t>
            </w:r>
          </w:p>
        </w:tc>
        <w:tc>
          <w:tcPr>
            <w:tcW w:w="2381" w:type="dxa"/>
          </w:tcPr>
          <w:p w14:paraId="1DE222D6" w14:textId="77777777" w:rsidR="00F67E9E" w:rsidRPr="00277440" w:rsidRDefault="00F67E9E" w:rsidP="007F74AA">
            <w:pPr>
              <w:pStyle w:val="StdBodyText1"/>
              <w:spacing w:before="0" w:after="0"/>
              <w:ind w:left="0"/>
              <w:rPr>
                <w:rFonts w:cs="Arial"/>
              </w:rPr>
            </w:pPr>
          </w:p>
        </w:tc>
      </w:tr>
    </w:tbl>
    <w:p w14:paraId="6B8D475A" w14:textId="77777777" w:rsidR="00F67E9E" w:rsidRPr="00277440" w:rsidRDefault="00F67E9E" w:rsidP="00F67E9E">
      <w:pPr>
        <w:pStyle w:val="AppendixText1"/>
      </w:pPr>
      <w:bookmarkStart w:id="1215" w:name="_9kR3WTr2CC67Bfsbnrb"/>
      <w:r w:rsidRPr="00277440">
        <w:t>Table 4</w:t>
      </w:r>
      <w:bookmarkEnd w:id="1215"/>
      <w:r w:rsidRPr="00277440">
        <w:t xml:space="preserve">: </w:t>
      </w:r>
      <w:r w:rsidRPr="000A7B06">
        <w:t>Optional</w:t>
      </w:r>
      <w:r w:rsidRPr="00277440">
        <w:t xml:space="preserve"> Services Service Charges </w:t>
      </w:r>
    </w:p>
    <w:tbl>
      <w:tblPr>
        <w:tblStyle w:val="MSATable-header"/>
        <w:tblW w:w="0" w:type="auto"/>
        <w:tblInd w:w="624" w:type="dxa"/>
        <w:tblLook w:val="04A0" w:firstRow="1" w:lastRow="0" w:firstColumn="1" w:lastColumn="0" w:noHBand="0" w:noVBand="1"/>
      </w:tblPr>
      <w:tblGrid>
        <w:gridCol w:w="2324"/>
        <w:gridCol w:w="2381"/>
        <w:gridCol w:w="2381"/>
        <w:gridCol w:w="2381"/>
      </w:tblGrid>
      <w:tr w:rsidR="00F67E9E" w:rsidRPr="00D17B7E" w14:paraId="27FF203B" w14:textId="77777777" w:rsidTr="007F74AA">
        <w:trPr>
          <w:cnfStyle w:val="100000000000" w:firstRow="1" w:lastRow="0" w:firstColumn="0" w:lastColumn="0" w:oddVBand="0" w:evenVBand="0" w:oddHBand="0" w:evenHBand="0" w:firstRowFirstColumn="0" w:firstRowLastColumn="0" w:lastRowFirstColumn="0" w:lastRowLastColumn="0"/>
          <w:tblHeader/>
        </w:trPr>
        <w:tc>
          <w:tcPr>
            <w:tcW w:w="2324" w:type="dxa"/>
            <w:vAlign w:val="bottom"/>
          </w:tcPr>
          <w:p w14:paraId="25F73DDC" w14:textId="77777777" w:rsidR="00F67E9E" w:rsidRPr="00D17B7E" w:rsidRDefault="00F67E9E" w:rsidP="007F74AA">
            <w:pPr>
              <w:pStyle w:val="StdBodyTextBold"/>
              <w:spacing w:before="0" w:after="0"/>
              <w:rPr>
                <w:rFonts w:cs="Arial"/>
                <w:b/>
                <w:bCs/>
              </w:rPr>
            </w:pPr>
            <w:r w:rsidRPr="00D17B7E">
              <w:rPr>
                <w:rFonts w:cs="Arial"/>
                <w:b/>
                <w:bCs/>
              </w:rPr>
              <w:t>Charge Number</w:t>
            </w:r>
          </w:p>
        </w:tc>
        <w:tc>
          <w:tcPr>
            <w:tcW w:w="2381" w:type="dxa"/>
            <w:vAlign w:val="bottom"/>
          </w:tcPr>
          <w:p w14:paraId="190CE5A2" w14:textId="77777777" w:rsidR="00F67E9E" w:rsidRPr="00D17B7E" w:rsidRDefault="00F67E9E" w:rsidP="007F74AA">
            <w:pPr>
              <w:pStyle w:val="StdBodyTextBold"/>
              <w:spacing w:before="0" w:after="0"/>
              <w:rPr>
                <w:rFonts w:cs="Arial"/>
                <w:b/>
                <w:bCs/>
              </w:rPr>
            </w:pPr>
            <w:r w:rsidRPr="00D17B7E">
              <w:rPr>
                <w:rFonts w:cs="Arial"/>
                <w:b/>
                <w:bCs/>
              </w:rPr>
              <w:t>Pricing Mechanism (VOL / FIX / T&amp;M)</w:t>
            </w:r>
          </w:p>
        </w:tc>
        <w:tc>
          <w:tcPr>
            <w:tcW w:w="2381" w:type="dxa"/>
            <w:vAlign w:val="bottom"/>
          </w:tcPr>
          <w:p w14:paraId="1ED240FC" w14:textId="77777777" w:rsidR="00F67E9E" w:rsidRPr="00D17B7E" w:rsidRDefault="00F67E9E" w:rsidP="007F74AA">
            <w:pPr>
              <w:pStyle w:val="StdBodyTextBold"/>
              <w:spacing w:before="0" w:after="0"/>
              <w:rPr>
                <w:rFonts w:cs="Arial"/>
                <w:b/>
                <w:bCs/>
              </w:rPr>
            </w:pPr>
            <w:r w:rsidRPr="00D17B7E">
              <w:rPr>
                <w:rFonts w:cs="Arial"/>
                <w:b/>
                <w:bCs/>
              </w:rPr>
              <w:t>Service Charge Trigger Event</w:t>
            </w:r>
          </w:p>
        </w:tc>
        <w:tc>
          <w:tcPr>
            <w:tcW w:w="2381" w:type="dxa"/>
            <w:vAlign w:val="bottom"/>
          </w:tcPr>
          <w:p w14:paraId="0313C1D1" w14:textId="77777777" w:rsidR="00F67E9E" w:rsidRPr="00D17B7E" w:rsidRDefault="00F67E9E" w:rsidP="007F74AA">
            <w:pPr>
              <w:pStyle w:val="StdBodyTextBold"/>
              <w:spacing w:before="0" w:after="0"/>
              <w:rPr>
                <w:rFonts w:cs="Arial"/>
                <w:b/>
                <w:bCs/>
              </w:rPr>
            </w:pPr>
            <w:r w:rsidRPr="00D17B7E">
              <w:rPr>
                <w:rFonts w:cs="Arial"/>
                <w:b/>
                <w:bCs/>
              </w:rPr>
              <w:t>Service Charge Expiration Trigger Event</w:t>
            </w:r>
          </w:p>
        </w:tc>
      </w:tr>
      <w:tr w:rsidR="00F67E9E" w:rsidRPr="00277440" w14:paraId="0D7AD88A" w14:textId="77777777" w:rsidTr="007F74AA">
        <w:tc>
          <w:tcPr>
            <w:tcW w:w="2324" w:type="dxa"/>
          </w:tcPr>
          <w:p w14:paraId="01843ED9" w14:textId="77777777" w:rsidR="00F67E9E" w:rsidRPr="00277440" w:rsidRDefault="00F67E9E" w:rsidP="007F74AA">
            <w:pPr>
              <w:pStyle w:val="StdBodyText1"/>
              <w:spacing w:before="0" w:after="0"/>
              <w:ind w:left="0"/>
              <w:rPr>
                <w:rFonts w:cs="Arial"/>
                <w:highlight w:val="yellow"/>
              </w:rPr>
            </w:pPr>
            <w:r w:rsidRPr="00277440">
              <w:rPr>
                <w:rFonts w:cs="Arial"/>
                <w:highlight w:val="yellow"/>
              </w:rPr>
              <w:t>[e.g. OSC1]</w:t>
            </w:r>
          </w:p>
        </w:tc>
        <w:tc>
          <w:tcPr>
            <w:tcW w:w="2381" w:type="dxa"/>
          </w:tcPr>
          <w:p w14:paraId="496BB2EB" w14:textId="77777777" w:rsidR="00F67E9E" w:rsidRPr="00277440" w:rsidRDefault="00F67E9E" w:rsidP="007F74AA">
            <w:pPr>
              <w:pStyle w:val="StdBodyText1"/>
              <w:spacing w:before="0" w:after="0"/>
              <w:ind w:left="0"/>
              <w:rPr>
                <w:rFonts w:cs="Arial"/>
                <w:highlight w:val="yellow"/>
              </w:rPr>
            </w:pPr>
            <w:r w:rsidRPr="00277440">
              <w:rPr>
                <w:rFonts w:cs="Arial"/>
                <w:highlight w:val="yellow"/>
              </w:rPr>
              <w:t>[VOL]</w:t>
            </w:r>
          </w:p>
        </w:tc>
        <w:tc>
          <w:tcPr>
            <w:tcW w:w="2381" w:type="dxa"/>
          </w:tcPr>
          <w:p w14:paraId="43BBC208" w14:textId="77777777" w:rsidR="00F67E9E" w:rsidRPr="00277440" w:rsidRDefault="00F67E9E" w:rsidP="007F74AA">
            <w:pPr>
              <w:pStyle w:val="StdBodyText1"/>
              <w:spacing w:before="0" w:after="0"/>
              <w:ind w:left="0"/>
              <w:rPr>
                <w:rFonts w:cs="Arial"/>
                <w:highlight w:val="yellow"/>
              </w:rPr>
            </w:pPr>
            <w:r w:rsidRPr="00277440">
              <w:rPr>
                <w:rFonts w:cs="Arial"/>
                <w:highlight w:val="yellow"/>
              </w:rPr>
              <w:t>[e.g. Achievement of Milestone 6]</w:t>
            </w:r>
          </w:p>
        </w:tc>
        <w:tc>
          <w:tcPr>
            <w:tcW w:w="2381" w:type="dxa"/>
          </w:tcPr>
          <w:p w14:paraId="150F77FD" w14:textId="77777777" w:rsidR="00F67E9E" w:rsidRPr="00277440" w:rsidRDefault="00F67E9E" w:rsidP="007F74AA">
            <w:pPr>
              <w:pStyle w:val="StdBodyText1"/>
              <w:spacing w:before="0" w:after="0"/>
              <w:ind w:left="0"/>
              <w:rPr>
                <w:rFonts w:cs="Arial"/>
              </w:rPr>
            </w:pPr>
          </w:p>
        </w:tc>
      </w:tr>
      <w:tr w:rsidR="00F67E9E" w:rsidRPr="00277440" w14:paraId="56158278" w14:textId="77777777" w:rsidTr="007F74AA">
        <w:tc>
          <w:tcPr>
            <w:tcW w:w="2324" w:type="dxa"/>
          </w:tcPr>
          <w:p w14:paraId="3CD1DF61" w14:textId="77777777" w:rsidR="00F67E9E" w:rsidRPr="00277440" w:rsidRDefault="00F67E9E" w:rsidP="007F74AA">
            <w:pPr>
              <w:pStyle w:val="StdBodyText1"/>
              <w:spacing w:before="0" w:after="0"/>
              <w:ind w:left="0"/>
              <w:rPr>
                <w:rFonts w:cs="Arial"/>
                <w:highlight w:val="yellow"/>
              </w:rPr>
            </w:pPr>
            <w:r w:rsidRPr="00277440">
              <w:rPr>
                <w:rFonts w:cs="Arial"/>
                <w:highlight w:val="yellow"/>
              </w:rPr>
              <w:t>[e.g. OSC2]</w:t>
            </w:r>
          </w:p>
        </w:tc>
        <w:tc>
          <w:tcPr>
            <w:tcW w:w="2381" w:type="dxa"/>
          </w:tcPr>
          <w:p w14:paraId="5A735D62" w14:textId="77777777" w:rsidR="00F67E9E" w:rsidRPr="00277440" w:rsidRDefault="00F67E9E" w:rsidP="007F74AA">
            <w:pPr>
              <w:pStyle w:val="StdBodyText1"/>
              <w:spacing w:before="0" w:after="0"/>
              <w:ind w:left="0"/>
              <w:rPr>
                <w:rFonts w:cs="Arial"/>
                <w:highlight w:val="yellow"/>
              </w:rPr>
            </w:pPr>
            <w:r w:rsidRPr="00277440">
              <w:rPr>
                <w:rFonts w:cs="Arial"/>
                <w:highlight w:val="yellow"/>
              </w:rPr>
              <w:t>[FIX]</w:t>
            </w:r>
          </w:p>
        </w:tc>
        <w:tc>
          <w:tcPr>
            <w:tcW w:w="2381" w:type="dxa"/>
          </w:tcPr>
          <w:p w14:paraId="16D26DF1" w14:textId="77777777" w:rsidR="00F67E9E" w:rsidRPr="00277440" w:rsidRDefault="00F67E9E" w:rsidP="007F74AA">
            <w:pPr>
              <w:pStyle w:val="StdBodyText1"/>
              <w:spacing w:before="0" w:after="0"/>
              <w:ind w:left="0"/>
              <w:rPr>
                <w:rFonts w:cs="Arial"/>
              </w:rPr>
            </w:pPr>
          </w:p>
        </w:tc>
        <w:tc>
          <w:tcPr>
            <w:tcW w:w="2381" w:type="dxa"/>
          </w:tcPr>
          <w:p w14:paraId="21D07B43" w14:textId="77777777" w:rsidR="00F67E9E" w:rsidRPr="00277440" w:rsidRDefault="00F67E9E" w:rsidP="007F74AA">
            <w:pPr>
              <w:pStyle w:val="StdBodyText1"/>
              <w:spacing w:before="0" w:after="0"/>
              <w:ind w:left="0"/>
              <w:rPr>
                <w:rFonts w:cs="Arial"/>
              </w:rPr>
            </w:pPr>
          </w:p>
        </w:tc>
      </w:tr>
    </w:tbl>
    <w:p w14:paraId="123B1A3A" w14:textId="77777777" w:rsidR="00F67E9E" w:rsidRDefault="00F67E9E" w:rsidP="00F67E9E"/>
    <w:p w14:paraId="0069D461" w14:textId="77777777" w:rsidR="00F67E9E" w:rsidRPr="005679CD" w:rsidRDefault="00F67E9E" w:rsidP="00F67E9E">
      <w:pPr>
        <w:pStyle w:val="Heading2"/>
        <w:pageBreakBefore/>
      </w:pPr>
      <w:bookmarkStart w:id="1216" w:name="_Ref_ContractCompanion_9kb9Ur788"/>
      <w:bookmarkStart w:id="1217" w:name="_Toc141711945"/>
      <w:r w:rsidRPr="00BA56A1">
        <w:t xml:space="preserve">Annex </w:t>
      </w:r>
      <w:bookmarkStart w:id="1218" w:name="ANNEX3_SCHEDULE15"/>
      <w:r w:rsidRPr="00BA56A1">
        <w:t>3</w:t>
      </w:r>
      <w:bookmarkEnd w:id="1218"/>
      <w:r w:rsidRPr="00BA56A1">
        <w:t>: Pro</w:t>
      </w:r>
      <w:r w:rsidRPr="00F11CD2">
        <w:t>-</w:t>
      </w:r>
      <w:r>
        <w:t>f</w:t>
      </w:r>
      <w:r w:rsidRPr="00F11CD2">
        <w:t xml:space="preserve">orma Certificate </w:t>
      </w:r>
      <w:r>
        <w:t>o</w:t>
      </w:r>
      <w:r w:rsidRPr="00F11CD2">
        <w:t>f Costs</w:t>
      </w:r>
      <w:bookmarkEnd w:id="1216"/>
      <w:bookmarkEnd w:id="1217"/>
    </w:p>
    <w:p w14:paraId="77052E47" w14:textId="77777777" w:rsidR="00F67E9E" w:rsidRPr="00277440" w:rsidRDefault="00F67E9E" w:rsidP="00F67E9E">
      <w:pPr>
        <w:pStyle w:val="StdBodyText"/>
        <w:rPr>
          <w:rFonts w:cs="Arial"/>
        </w:rPr>
      </w:pPr>
      <w:r w:rsidRPr="00277440">
        <w:rPr>
          <w:rFonts w:cs="Arial"/>
        </w:rPr>
        <w:t xml:space="preserve">I </w:t>
      </w:r>
      <w:r w:rsidRPr="00277440">
        <w:rPr>
          <w:rFonts w:cs="Arial"/>
          <w:highlight w:val="yellow"/>
        </w:rPr>
        <w:t>[</w:t>
      </w:r>
      <w:r w:rsidRPr="003053E3">
        <w:rPr>
          <w:rStyle w:val="StdBodyTextBoldChar"/>
          <w:rFonts w:cs="Arial"/>
          <w:b w:val="0"/>
          <w:bCs/>
          <w:iCs/>
          <w:highlight w:val="yellow"/>
        </w:rPr>
        <w:t>name of CFO or Director of Finance or equivalent as agreed in advance in writing with the Authority</w:t>
      </w:r>
      <w:r w:rsidRPr="00277440">
        <w:rPr>
          <w:rFonts w:cs="Arial"/>
          <w:highlight w:val="yellow"/>
        </w:rPr>
        <w:t>]</w:t>
      </w:r>
      <w:r w:rsidRPr="00277440">
        <w:rPr>
          <w:rFonts w:cs="Arial"/>
        </w:rPr>
        <w:t xml:space="preserve"> of </w:t>
      </w:r>
      <w:r w:rsidRPr="00B73DD6">
        <w:rPr>
          <w:rFonts w:cs="Arial"/>
          <w:b/>
          <w:highlight w:val="yellow"/>
        </w:rPr>
        <w:t>[insert</w:t>
      </w:r>
      <w:r w:rsidRPr="003053E3">
        <w:rPr>
          <w:rStyle w:val="StdBodyTextBoldChar"/>
          <w:rFonts w:cs="Arial"/>
          <w:b w:val="0"/>
          <w:bCs/>
          <w:iCs/>
          <w:highlight w:val="yellow"/>
        </w:rPr>
        <w:t xml:space="preserve"> name of Supplier</w:t>
      </w:r>
      <w:r w:rsidRPr="00277440">
        <w:rPr>
          <w:rFonts w:cs="Arial"/>
          <w:highlight w:val="yellow"/>
        </w:rPr>
        <w:t>]</w:t>
      </w:r>
      <w:r w:rsidRPr="00277440">
        <w:rPr>
          <w:rFonts w:cs="Arial"/>
        </w:rPr>
        <w:t xml:space="preserve">, certify that the financial information provided as part of this Certificate of Costs, incurred in relation to the </w:t>
      </w:r>
      <w:r w:rsidRPr="00B73DD6">
        <w:rPr>
          <w:rFonts w:cs="Arial"/>
          <w:b/>
          <w:highlight w:val="yellow"/>
        </w:rPr>
        <w:t>[insert</w:t>
      </w:r>
      <w:r w:rsidRPr="003053E3">
        <w:rPr>
          <w:rStyle w:val="StdBodyTextBoldChar"/>
          <w:rFonts w:cs="Arial"/>
          <w:b w:val="0"/>
          <w:bCs/>
          <w:iCs/>
          <w:highlight w:val="yellow"/>
        </w:rPr>
        <w:t xml:space="preserve"> name/reference for the Contract</w:t>
      </w:r>
      <w:r w:rsidRPr="00BA56A1">
        <w:rPr>
          <w:rFonts w:cs="Arial"/>
          <w:highlight w:val="yellow"/>
        </w:rPr>
        <w:t>]</w:t>
      </w:r>
      <w:r w:rsidRPr="00277440">
        <w:rPr>
          <w:rFonts w:cs="Arial"/>
        </w:rPr>
        <w:t xml:space="preserve"> (the </w:t>
      </w:r>
      <w:r>
        <w:rPr>
          <w:rFonts w:cs="Arial"/>
        </w:rPr>
        <w:t>“</w:t>
      </w:r>
      <w:r w:rsidRPr="00BA56A1">
        <w:rPr>
          <w:rStyle w:val="StdBodyTextBoldChar"/>
          <w:rFonts w:cs="Arial"/>
        </w:rPr>
        <w:t>Contract</w:t>
      </w:r>
      <w:r>
        <w:rPr>
          <w:rFonts w:cs="Arial"/>
        </w:rPr>
        <w:t>”</w:t>
      </w:r>
      <w:r w:rsidRPr="00BA56A1">
        <w:rPr>
          <w:rFonts w:cs="Arial"/>
        </w:rPr>
        <w:t>) in relation</w:t>
      </w:r>
      <w:r w:rsidRPr="00277440">
        <w:rPr>
          <w:rFonts w:cs="Arial"/>
        </w:rPr>
        <w:t xml:space="preserve"> to the following </w:t>
      </w:r>
      <w:r w:rsidRPr="00277440">
        <w:rPr>
          <w:rFonts w:cs="Arial"/>
          <w:highlight w:val="yellow"/>
        </w:rPr>
        <w:t>[</w:t>
      </w:r>
      <w:r w:rsidRPr="003053E3">
        <w:rPr>
          <w:rFonts w:cs="Arial"/>
          <w:highlight w:val="yellow"/>
        </w:rPr>
        <w:t>Milestone/Milestone Group</w:t>
      </w:r>
      <w:r w:rsidRPr="00277440">
        <w:rPr>
          <w:rFonts w:cs="Arial"/>
          <w:highlight w:val="yellow"/>
        </w:rPr>
        <w:t>]</w:t>
      </w:r>
      <w:r w:rsidRPr="00277440">
        <w:rPr>
          <w:rFonts w:cs="Arial"/>
        </w:rPr>
        <w:t>:</w:t>
      </w:r>
    </w:p>
    <w:p w14:paraId="1CCD5DF8" w14:textId="77777777" w:rsidR="00F67E9E" w:rsidRPr="00277440" w:rsidRDefault="00F67E9E" w:rsidP="00F67E9E">
      <w:pPr>
        <w:pStyle w:val="StdBodyText"/>
        <w:rPr>
          <w:rFonts w:cs="Arial"/>
          <w:highlight w:val="yellow"/>
        </w:rPr>
      </w:pPr>
      <w:r w:rsidRPr="00B73DD6">
        <w:rPr>
          <w:rFonts w:cs="Arial"/>
          <w:b/>
          <w:highlight w:val="yellow"/>
        </w:rPr>
        <w:t>[insert</w:t>
      </w:r>
      <w:r w:rsidRPr="003053E3">
        <w:rPr>
          <w:rStyle w:val="StdBodyTextBoldChar"/>
          <w:rFonts w:cs="Arial"/>
          <w:b w:val="0"/>
          <w:bCs/>
          <w:iCs/>
          <w:highlight w:val="yellow"/>
        </w:rPr>
        <w:t xml:space="preserve"> details of Milestone/Milestone Group</w:t>
      </w:r>
      <w:r w:rsidRPr="00277440">
        <w:rPr>
          <w:rFonts w:cs="Arial"/>
          <w:highlight w:val="yellow"/>
        </w:rPr>
        <w:t>]</w:t>
      </w:r>
    </w:p>
    <w:p w14:paraId="0D9AC4D8" w14:textId="77777777" w:rsidR="00F67E9E" w:rsidRPr="00264138" w:rsidRDefault="00F67E9E" w:rsidP="00F67E9E">
      <w:pPr>
        <w:pStyle w:val="AppendixText1"/>
        <w:numPr>
          <w:ilvl w:val="0"/>
          <w:numId w:val="60"/>
        </w:numPr>
        <w:tabs>
          <w:tab w:val="clear" w:pos="720"/>
          <w:tab w:val="num" w:pos="1080"/>
        </w:tabs>
        <w:rPr>
          <w:b w:val="0"/>
          <w:bCs/>
        </w:rPr>
      </w:pPr>
      <w:r w:rsidRPr="00264138">
        <w:rPr>
          <w:b w:val="0"/>
          <w:bCs/>
        </w:rPr>
        <w:t xml:space="preserve">has been reasonably and properly incurred in accordance with </w:t>
      </w:r>
      <w:r w:rsidRPr="00264138">
        <w:rPr>
          <w:b w:val="0"/>
          <w:bCs/>
          <w:highlight w:val="yellow"/>
        </w:rPr>
        <w:t>[</w:t>
      </w:r>
      <w:r w:rsidRPr="00264138">
        <w:rPr>
          <w:b w:val="0"/>
          <w:bCs/>
          <w:iCs/>
          <w:highlight w:val="yellow"/>
        </w:rPr>
        <w:t>name of Supplier</w:t>
      </w:r>
      <w:r w:rsidRPr="00264138">
        <w:rPr>
          <w:b w:val="0"/>
          <w:bCs/>
          <w:highlight w:val="yellow"/>
        </w:rPr>
        <w:t>]</w:t>
      </w:r>
      <w:r w:rsidRPr="00264138">
        <w:rPr>
          <w:b w:val="0"/>
          <w:bCs/>
        </w:rPr>
        <w:t>’s books, accounts, other documents and records;</w:t>
      </w:r>
    </w:p>
    <w:p w14:paraId="057E4C78" w14:textId="77777777" w:rsidR="00F67E9E" w:rsidRPr="00264138" w:rsidRDefault="00F67E9E" w:rsidP="00F67E9E">
      <w:pPr>
        <w:pStyle w:val="AppendixText1"/>
        <w:keepNext w:val="0"/>
        <w:tabs>
          <w:tab w:val="clear" w:pos="720"/>
          <w:tab w:val="num" w:pos="1080"/>
        </w:tabs>
        <w:rPr>
          <w:b w:val="0"/>
          <w:bCs/>
        </w:rPr>
      </w:pPr>
      <w:r w:rsidRPr="00264138">
        <w:rPr>
          <w:b w:val="0"/>
          <w:bCs/>
        </w:rPr>
        <w:t>is accurate and not misleading in all key respects; and</w:t>
      </w:r>
    </w:p>
    <w:p w14:paraId="59483B55" w14:textId="77777777" w:rsidR="00F67E9E" w:rsidRPr="00264138" w:rsidRDefault="00F67E9E" w:rsidP="00F67E9E">
      <w:pPr>
        <w:pStyle w:val="AppendixText1"/>
        <w:keepNext w:val="0"/>
        <w:tabs>
          <w:tab w:val="clear" w:pos="720"/>
          <w:tab w:val="num" w:pos="1080"/>
        </w:tabs>
        <w:rPr>
          <w:b w:val="0"/>
          <w:bCs/>
        </w:rPr>
      </w:pPr>
      <w:r w:rsidRPr="00264138">
        <w:rPr>
          <w:b w:val="0"/>
          <w:bCs/>
        </w:rPr>
        <w:t>is in conformity with the Contract and with all generally accepted accounting principles within the United Kingdom.</w:t>
      </w:r>
    </w:p>
    <w:p w14:paraId="43191E5F" w14:textId="77777777" w:rsidR="00F67E9E" w:rsidRPr="00277440" w:rsidRDefault="00F67E9E" w:rsidP="00F67E9E">
      <w:pPr>
        <w:pStyle w:val="StdBodyText"/>
        <w:rPr>
          <w:rFonts w:cs="Arial"/>
          <w:highlight w:val="yellow"/>
        </w:rPr>
      </w:pPr>
      <w:r w:rsidRPr="00277440">
        <w:rPr>
          <w:rFonts w:cs="Arial"/>
        </w:rPr>
        <w:t xml:space="preserve">Signed </w:t>
      </w:r>
      <w:r w:rsidRPr="00277440">
        <w:rPr>
          <w:rFonts w:cs="Arial"/>
          <w:highlight w:val="yellow"/>
        </w:rPr>
        <w:t>[</w:t>
      </w:r>
      <w:r w:rsidRPr="003053E3">
        <w:rPr>
          <w:rStyle w:val="StdBodyTextBoldChar"/>
          <w:rFonts w:cs="Arial"/>
          <w:b w:val="0"/>
          <w:bCs/>
          <w:iCs/>
          <w:highlight w:val="yellow"/>
        </w:rPr>
        <w:t>Director of Finance or equivalent</w:t>
      </w:r>
      <w:r w:rsidRPr="00277440">
        <w:rPr>
          <w:rFonts w:cs="Arial"/>
          <w:highlight w:val="yellow"/>
        </w:rPr>
        <w:t>]</w:t>
      </w:r>
    </w:p>
    <w:p w14:paraId="35AEEAF8" w14:textId="77777777" w:rsidR="00F67E9E" w:rsidRPr="00277440" w:rsidRDefault="00F67E9E" w:rsidP="00F67E9E">
      <w:pPr>
        <w:pStyle w:val="StdBodyText"/>
        <w:rPr>
          <w:rFonts w:cs="Arial"/>
        </w:rPr>
      </w:pPr>
    </w:p>
    <w:p w14:paraId="1278F860" w14:textId="77777777" w:rsidR="00F67E9E" w:rsidRPr="003053E3" w:rsidRDefault="00F67E9E" w:rsidP="00F67E9E">
      <w:pPr>
        <w:pStyle w:val="StdBodyText"/>
        <w:rPr>
          <w:rFonts w:cs="Arial"/>
          <w:highlight w:val="yellow"/>
        </w:rPr>
      </w:pPr>
      <w:r w:rsidRPr="003053E3">
        <w:rPr>
          <w:rFonts w:cs="Arial"/>
          <w:highlight w:val="yellow"/>
        </w:rPr>
        <w:t>[</w:t>
      </w:r>
      <w:r w:rsidRPr="003053E3">
        <w:rPr>
          <w:rStyle w:val="StdBodyTextBoldChar"/>
          <w:rFonts w:cs="Arial"/>
          <w:b w:val="0"/>
          <w:bCs/>
          <w:iCs/>
          <w:highlight w:val="yellow"/>
        </w:rPr>
        <w:t>Name of Supplier</w:t>
      </w:r>
      <w:r w:rsidRPr="003053E3">
        <w:rPr>
          <w:rFonts w:cs="Arial"/>
          <w:highlight w:val="yellow"/>
        </w:rPr>
        <w:t>]</w:t>
      </w:r>
    </w:p>
    <w:p w14:paraId="45DD2AE7" w14:textId="77777777" w:rsidR="00F67E9E" w:rsidRDefault="00F67E9E" w:rsidP="00F67E9E">
      <w:pPr>
        <w:rPr>
          <w:highlight w:val="yellow"/>
        </w:rPr>
      </w:pPr>
    </w:p>
    <w:p w14:paraId="50C3CA51" w14:textId="77777777" w:rsidR="00F67E9E" w:rsidRPr="00277440" w:rsidRDefault="00F67E9E" w:rsidP="00F67E9E">
      <w:pPr>
        <w:rPr>
          <w:highlight w:val="yellow"/>
        </w:rPr>
      </w:pPr>
    </w:p>
    <w:p w14:paraId="02355C92" w14:textId="77777777" w:rsidR="00F67E9E" w:rsidRPr="00277440" w:rsidRDefault="00F67E9E" w:rsidP="00F67E9E">
      <w:pPr>
        <w:rPr>
          <w:highlight w:val="yellow"/>
        </w:rPr>
        <w:sectPr w:rsidR="00F67E9E" w:rsidRPr="00277440" w:rsidSect="00240D26">
          <w:headerReference w:type="default" r:id="rId91"/>
          <w:footerReference w:type="default" r:id="rId92"/>
          <w:pgSz w:w="11909" w:h="16834" w:code="9"/>
          <w:pgMar w:top="1701" w:right="851" w:bottom="1134" w:left="851" w:header="567" w:footer="567" w:gutter="0"/>
          <w:cols w:space="720"/>
          <w:docGrid w:linePitch="326"/>
        </w:sectPr>
      </w:pPr>
    </w:p>
    <w:p w14:paraId="542D0A08" w14:textId="77777777" w:rsidR="00F67E9E" w:rsidRPr="00F11CD2" w:rsidRDefault="00F67E9E" w:rsidP="00F67E9E">
      <w:pPr>
        <w:pStyle w:val="Heading2"/>
      </w:pPr>
      <w:bookmarkStart w:id="1219" w:name="_Ref_ContractCompanion_9kb9Ur6B6"/>
      <w:bookmarkStart w:id="1220" w:name="_Ref_ContractCompanion_9kb9Ur6BC"/>
      <w:bookmarkStart w:id="1221" w:name="_Toc141711946"/>
      <w:r w:rsidRPr="00BA56A1">
        <w:t xml:space="preserve">Annex </w:t>
      </w:r>
      <w:bookmarkStart w:id="1222" w:name="ANNEX4_SCHEDULE15"/>
      <w:r w:rsidRPr="00BA56A1">
        <w:t>4</w:t>
      </w:r>
      <w:bookmarkEnd w:id="1222"/>
      <w:r w:rsidRPr="00BA56A1">
        <w:t>: Risk</w:t>
      </w:r>
      <w:r w:rsidRPr="00F11CD2">
        <w:t xml:space="preserve"> Register</w:t>
      </w:r>
      <w:bookmarkEnd w:id="1219"/>
      <w:bookmarkEnd w:id="1220"/>
      <w:bookmarkEnd w:id="1221"/>
    </w:p>
    <w:tbl>
      <w:tblPr>
        <w:tblStyle w:val="MSATable-header"/>
        <w:tblW w:w="0" w:type="auto"/>
        <w:tblLook w:val="04A0" w:firstRow="1" w:lastRow="0" w:firstColumn="1" w:lastColumn="0" w:noHBand="0" w:noVBand="1"/>
      </w:tblPr>
      <w:tblGrid>
        <w:gridCol w:w="1021"/>
        <w:gridCol w:w="1008"/>
        <w:gridCol w:w="1435"/>
        <w:gridCol w:w="1008"/>
        <w:gridCol w:w="1314"/>
        <w:gridCol w:w="1008"/>
        <w:gridCol w:w="1568"/>
        <w:gridCol w:w="1568"/>
        <w:gridCol w:w="1261"/>
        <w:gridCol w:w="1289"/>
        <w:gridCol w:w="1616"/>
        <w:gridCol w:w="1032"/>
      </w:tblGrid>
      <w:tr w:rsidR="00F67E9E" w:rsidRPr="003B034F" w14:paraId="68BE0D4E" w14:textId="77777777" w:rsidTr="007F74AA">
        <w:trPr>
          <w:cnfStyle w:val="100000000000" w:firstRow="1" w:lastRow="0" w:firstColumn="0" w:lastColumn="0" w:oddVBand="0" w:evenVBand="0" w:oddHBand="0" w:evenHBand="0" w:firstRowFirstColumn="0" w:firstRowLastColumn="0" w:lastRowFirstColumn="0" w:lastRowLastColumn="0"/>
          <w:tblHeader/>
        </w:trPr>
        <w:tc>
          <w:tcPr>
            <w:tcW w:w="1021" w:type="dxa"/>
          </w:tcPr>
          <w:p w14:paraId="5EE6A934" w14:textId="77777777" w:rsidR="00F67E9E" w:rsidRPr="003B034F" w:rsidRDefault="00F67E9E" w:rsidP="007F74AA">
            <w:pPr>
              <w:pStyle w:val="StdBodyText"/>
              <w:spacing w:before="0" w:after="0"/>
              <w:rPr>
                <w:rFonts w:cs="Arial"/>
                <w:szCs w:val="20"/>
              </w:rPr>
            </w:pPr>
            <w:r w:rsidRPr="003B034F">
              <w:rPr>
                <w:rFonts w:cs="Arial"/>
                <w:szCs w:val="20"/>
              </w:rPr>
              <w:t>Column 1</w:t>
            </w:r>
          </w:p>
        </w:tc>
        <w:tc>
          <w:tcPr>
            <w:tcW w:w="1008" w:type="dxa"/>
          </w:tcPr>
          <w:p w14:paraId="51F607A2" w14:textId="77777777" w:rsidR="00F67E9E" w:rsidRPr="003B034F" w:rsidRDefault="00F67E9E" w:rsidP="007F74AA">
            <w:pPr>
              <w:pStyle w:val="StdBodyText"/>
              <w:spacing w:before="0" w:after="0"/>
              <w:rPr>
                <w:rFonts w:cs="Arial"/>
                <w:szCs w:val="20"/>
              </w:rPr>
            </w:pPr>
            <w:r w:rsidRPr="003B034F">
              <w:rPr>
                <w:rFonts w:cs="Arial"/>
                <w:szCs w:val="20"/>
              </w:rPr>
              <w:t>Column 2</w:t>
            </w:r>
          </w:p>
        </w:tc>
        <w:tc>
          <w:tcPr>
            <w:tcW w:w="1435" w:type="dxa"/>
          </w:tcPr>
          <w:p w14:paraId="668FA039" w14:textId="77777777" w:rsidR="00F67E9E" w:rsidRPr="003B034F" w:rsidRDefault="00F67E9E" w:rsidP="007F74AA">
            <w:pPr>
              <w:pStyle w:val="StdBodyText"/>
              <w:spacing w:before="0" w:after="0"/>
              <w:rPr>
                <w:rFonts w:cs="Arial"/>
                <w:szCs w:val="20"/>
              </w:rPr>
            </w:pPr>
            <w:r w:rsidRPr="003B034F">
              <w:rPr>
                <w:rFonts w:cs="Arial"/>
                <w:szCs w:val="20"/>
              </w:rPr>
              <w:t>Column 3</w:t>
            </w:r>
          </w:p>
        </w:tc>
        <w:tc>
          <w:tcPr>
            <w:tcW w:w="1008" w:type="dxa"/>
          </w:tcPr>
          <w:p w14:paraId="2F02AAC3" w14:textId="77777777" w:rsidR="00F67E9E" w:rsidRPr="003B034F" w:rsidRDefault="00F67E9E" w:rsidP="007F74AA">
            <w:pPr>
              <w:pStyle w:val="StdBodyText"/>
              <w:spacing w:before="0" w:after="0"/>
              <w:rPr>
                <w:rFonts w:cs="Arial"/>
                <w:szCs w:val="20"/>
              </w:rPr>
            </w:pPr>
            <w:r w:rsidRPr="003B034F">
              <w:rPr>
                <w:rFonts w:cs="Arial"/>
                <w:szCs w:val="20"/>
              </w:rPr>
              <w:t>Column 4</w:t>
            </w:r>
          </w:p>
        </w:tc>
        <w:tc>
          <w:tcPr>
            <w:tcW w:w="1314" w:type="dxa"/>
          </w:tcPr>
          <w:p w14:paraId="145DBE94" w14:textId="77777777" w:rsidR="00F67E9E" w:rsidRPr="003B034F" w:rsidRDefault="00F67E9E" w:rsidP="007F74AA">
            <w:pPr>
              <w:pStyle w:val="StdBodyText"/>
              <w:spacing w:before="0" w:after="0"/>
              <w:rPr>
                <w:rFonts w:cs="Arial"/>
                <w:szCs w:val="20"/>
              </w:rPr>
            </w:pPr>
            <w:r w:rsidRPr="003B034F">
              <w:rPr>
                <w:rFonts w:cs="Arial"/>
                <w:szCs w:val="20"/>
              </w:rPr>
              <w:t>Column 5</w:t>
            </w:r>
          </w:p>
        </w:tc>
        <w:tc>
          <w:tcPr>
            <w:tcW w:w="1008" w:type="dxa"/>
          </w:tcPr>
          <w:p w14:paraId="6B64EF08" w14:textId="77777777" w:rsidR="00F67E9E" w:rsidRPr="003B034F" w:rsidRDefault="00F67E9E" w:rsidP="007F74AA">
            <w:pPr>
              <w:pStyle w:val="StdBodyText"/>
              <w:spacing w:before="0" w:after="0"/>
              <w:rPr>
                <w:rFonts w:cs="Arial"/>
                <w:szCs w:val="20"/>
              </w:rPr>
            </w:pPr>
            <w:r w:rsidRPr="003B034F">
              <w:rPr>
                <w:rFonts w:cs="Arial"/>
                <w:szCs w:val="20"/>
              </w:rPr>
              <w:t>Column 6</w:t>
            </w:r>
          </w:p>
        </w:tc>
        <w:tc>
          <w:tcPr>
            <w:tcW w:w="1568" w:type="dxa"/>
          </w:tcPr>
          <w:p w14:paraId="1A32F9BF" w14:textId="77777777" w:rsidR="00F67E9E" w:rsidRPr="003B034F" w:rsidRDefault="00F67E9E" w:rsidP="007F74AA">
            <w:pPr>
              <w:pStyle w:val="StdBodyText"/>
              <w:spacing w:before="0" w:after="0"/>
              <w:rPr>
                <w:rFonts w:cs="Arial"/>
                <w:szCs w:val="20"/>
              </w:rPr>
            </w:pPr>
            <w:r w:rsidRPr="003B034F">
              <w:rPr>
                <w:rFonts w:cs="Arial"/>
                <w:szCs w:val="20"/>
              </w:rPr>
              <w:t>Column 7</w:t>
            </w:r>
          </w:p>
        </w:tc>
        <w:tc>
          <w:tcPr>
            <w:tcW w:w="1568" w:type="dxa"/>
          </w:tcPr>
          <w:p w14:paraId="30A3E755" w14:textId="77777777" w:rsidR="00F67E9E" w:rsidRPr="003B034F" w:rsidRDefault="00F67E9E" w:rsidP="007F74AA">
            <w:pPr>
              <w:pStyle w:val="StdBodyText"/>
              <w:spacing w:before="0" w:after="0"/>
              <w:rPr>
                <w:rFonts w:cs="Arial"/>
                <w:szCs w:val="20"/>
              </w:rPr>
            </w:pPr>
            <w:r w:rsidRPr="003B034F">
              <w:rPr>
                <w:rFonts w:cs="Arial"/>
                <w:szCs w:val="20"/>
              </w:rPr>
              <w:t>Column 8</w:t>
            </w:r>
          </w:p>
        </w:tc>
        <w:tc>
          <w:tcPr>
            <w:tcW w:w="1261" w:type="dxa"/>
          </w:tcPr>
          <w:p w14:paraId="1AEE84A5" w14:textId="77777777" w:rsidR="00F67E9E" w:rsidRPr="003B034F" w:rsidRDefault="00F67E9E" w:rsidP="007F74AA">
            <w:pPr>
              <w:pStyle w:val="StdBodyText"/>
              <w:spacing w:before="0" w:after="0"/>
              <w:rPr>
                <w:rFonts w:cs="Arial"/>
                <w:szCs w:val="20"/>
              </w:rPr>
            </w:pPr>
            <w:r w:rsidRPr="003B034F">
              <w:rPr>
                <w:rFonts w:cs="Arial"/>
                <w:szCs w:val="20"/>
              </w:rPr>
              <w:t>Column 9</w:t>
            </w:r>
          </w:p>
        </w:tc>
        <w:tc>
          <w:tcPr>
            <w:tcW w:w="1289" w:type="dxa"/>
          </w:tcPr>
          <w:p w14:paraId="4B635C79" w14:textId="77777777" w:rsidR="00F67E9E" w:rsidRPr="003B034F" w:rsidRDefault="00F67E9E" w:rsidP="007F74AA">
            <w:pPr>
              <w:pStyle w:val="StdBodyText"/>
              <w:spacing w:before="0" w:after="0"/>
              <w:rPr>
                <w:rFonts w:cs="Arial"/>
                <w:szCs w:val="20"/>
              </w:rPr>
            </w:pPr>
            <w:r w:rsidRPr="003B034F">
              <w:rPr>
                <w:rFonts w:cs="Arial"/>
                <w:szCs w:val="20"/>
              </w:rPr>
              <w:t>Column 10</w:t>
            </w:r>
          </w:p>
        </w:tc>
        <w:tc>
          <w:tcPr>
            <w:tcW w:w="1616" w:type="dxa"/>
          </w:tcPr>
          <w:p w14:paraId="3DDF6014" w14:textId="77777777" w:rsidR="00F67E9E" w:rsidRPr="003B034F" w:rsidRDefault="00F67E9E" w:rsidP="007F74AA">
            <w:pPr>
              <w:pStyle w:val="StdBodyText"/>
              <w:spacing w:before="0" w:after="0"/>
              <w:rPr>
                <w:rFonts w:cs="Arial"/>
                <w:szCs w:val="20"/>
              </w:rPr>
            </w:pPr>
            <w:r w:rsidRPr="003B034F">
              <w:rPr>
                <w:rFonts w:cs="Arial"/>
                <w:szCs w:val="20"/>
              </w:rPr>
              <w:t>Column 11</w:t>
            </w:r>
          </w:p>
        </w:tc>
        <w:tc>
          <w:tcPr>
            <w:tcW w:w="1032" w:type="dxa"/>
          </w:tcPr>
          <w:p w14:paraId="3D75BC1A" w14:textId="77777777" w:rsidR="00F67E9E" w:rsidRPr="003B034F" w:rsidRDefault="00F67E9E" w:rsidP="007F74AA">
            <w:pPr>
              <w:pStyle w:val="StdBodyText"/>
              <w:spacing w:before="0" w:after="0"/>
              <w:rPr>
                <w:rFonts w:cs="Arial"/>
                <w:szCs w:val="20"/>
              </w:rPr>
            </w:pPr>
            <w:r w:rsidRPr="003B034F">
              <w:rPr>
                <w:rFonts w:cs="Arial"/>
                <w:szCs w:val="20"/>
              </w:rPr>
              <w:t>Column 12</w:t>
            </w:r>
          </w:p>
        </w:tc>
      </w:tr>
      <w:tr w:rsidR="00F67E9E" w:rsidRPr="003B034F" w14:paraId="283AC9BF" w14:textId="77777777" w:rsidTr="007F74AA">
        <w:trPr>
          <w:cnfStyle w:val="100000000000" w:firstRow="1" w:lastRow="0" w:firstColumn="0" w:lastColumn="0" w:oddVBand="0" w:evenVBand="0" w:oddHBand="0" w:evenHBand="0" w:firstRowFirstColumn="0" w:firstRowLastColumn="0" w:lastRowFirstColumn="0" w:lastRowLastColumn="0"/>
          <w:tblHeader/>
        </w:trPr>
        <w:tc>
          <w:tcPr>
            <w:tcW w:w="1021" w:type="dxa"/>
          </w:tcPr>
          <w:p w14:paraId="5E115DB3" w14:textId="77777777" w:rsidR="00F67E9E" w:rsidRPr="003B034F" w:rsidRDefault="00F67E9E" w:rsidP="007F74AA">
            <w:pPr>
              <w:pStyle w:val="StdBodyText"/>
              <w:spacing w:before="0" w:after="0"/>
              <w:rPr>
                <w:rFonts w:cs="Arial"/>
                <w:szCs w:val="20"/>
              </w:rPr>
            </w:pPr>
            <w:r w:rsidRPr="003B034F">
              <w:rPr>
                <w:rFonts w:cs="Arial"/>
                <w:szCs w:val="20"/>
              </w:rPr>
              <w:t>Risk Number</w:t>
            </w:r>
          </w:p>
        </w:tc>
        <w:tc>
          <w:tcPr>
            <w:tcW w:w="1008" w:type="dxa"/>
          </w:tcPr>
          <w:p w14:paraId="5B44793D" w14:textId="77777777" w:rsidR="00F67E9E" w:rsidRPr="003B034F" w:rsidRDefault="00F67E9E" w:rsidP="007F74AA">
            <w:pPr>
              <w:pStyle w:val="StdBodyText"/>
              <w:spacing w:before="0" w:after="0"/>
              <w:rPr>
                <w:rFonts w:cs="Arial"/>
                <w:szCs w:val="20"/>
              </w:rPr>
            </w:pPr>
            <w:r w:rsidRPr="003B034F">
              <w:rPr>
                <w:rFonts w:cs="Arial"/>
                <w:szCs w:val="20"/>
              </w:rPr>
              <w:t>Risk Name</w:t>
            </w:r>
          </w:p>
        </w:tc>
        <w:tc>
          <w:tcPr>
            <w:tcW w:w="1435" w:type="dxa"/>
          </w:tcPr>
          <w:p w14:paraId="6CEBF180" w14:textId="77777777" w:rsidR="00F67E9E" w:rsidRPr="003B034F" w:rsidRDefault="00F67E9E" w:rsidP="007F74AA">
            <w:pPr>
              <w:pStyle w:val="StdBodyText"/>
              <w:spacing w:before="0" w:after="0"/>
              <w:rPr>
                <w:rFonts w:cs="Arial"/>
                <w:szCs w:val="20"/>
              </w:rPr>
            </w:pPr>
            <w:r w:rsidRPr="003B034F">
              <w:rPr>
                <w:rFonts w:cs="Arial"/>
                <w:szCs w:val="20"/>
              </w:rPr>
              <w:t>Description of risk</w:t>
            </w:r>
          </w:p>
        </w:tc>
        <w:tc>
          <w:tcPr>
            <w:tcW w:w="1008" w:type="dxa"/>
          </w:tcPr>
          <w:p w14:paraId="329C9B42" w14:textId="77777777" w:rsidR="00F67E9E" w:rsidRPr="003B034F" w:rsidRDefault="00F67E9E" w:rsidP="007F74AA">
            <w:pPr>
              <w:pStyle w:val="StdBodyText"/>
              <w:spacing w:before="0" w:after="0"/>
              <w:rPr>
                <w:rFonts w:cs="Arial"/>
                <w:szCs w:val="20"/>
              </w:rPr>
            </w:pPr>
            <w:r w:rsidRPr="003B034F">
              <w:rPr>
                <w:rFonts w:cs="Arial"/>
                <w:szCs w:val="20"/>
              </w:rPr>
              <w:t>Timing</w:t>
            </w:r>
          </w:p>
        </w:tc>
        <w:tc>
          <w:tcPr>
            <w:tcW w:w="1314" w:type="dxa"/>
          </w:tcPr>
          <w:p w14:paraId="3CFD1236" w14:textId="77777777" w:rsidR="00F67E9E" w:rsidRPr="003B034F" w:rsidRDefault="00F67E9E" w:rsidP="007F74AA">
            <w:pPr>
              <w:pStyle w:val="StdBodyText"/>
              <w:spacing w:before="0" w:after="0"/>
              <w:rPr>
                <w:rFonts w:cs="Arial"/>
                <w:szCs w:val="20"/>
              </w:rPr>
            </w:pPr>
            <w:r w:rsidRPr="003B034F">
              <w:rPr>
                <w:rFonts w:cs="Arial"/>
                <w:szCs w:val="20"/>
              </w:rPr>
              <w:t>Likelihood</w:t>
            </w:r>
          </w:p>
        </w:tc>
        <w:tc>
          <w:tcPr>
            <w:tcW w:w="1008" w:type="dxa"/>
          </w:tcPr>
          <w:p w14:paraId="53B07649" w14:textId="77777777" w:rsidR="00F67E9E" w:rsidRPr="003B034F" w:rsidRDefault="00F67E9E" w:rsidP="007F74AA">
            <w:pPr>
              <w:pStyle w:val="StdBodyText"/>
              <w:spacing w:before="0" w:after="0"/>
              <w:rPr>
                <w:rFonts w:cs="Arial"/>
                <w:szCs w:val="20"/>
              </w:rPr>
            </w:pPr>
            <w:r w:rsidRPr="003B034F">
              <w:rPr>
                <w:rFonts w:cs="Arial"/>
                <w:szCs w:val="20"/>
              </w:rPr>
              <w:t>Impact (£)</w:t>
            </w:r>
          </w:p>
        </w:tc>
        <w:tc>
          <w:tcPr>
            <w:tcW w:w="1568" w:type="dxa"/>
          </w:tcPr>
          <w:p w14:paraId="33B6B21A" w14:textId="77777777" w:rsidR="00F67E9E" w:rsidRPr="003B034F" w:rsidRDefault="00F67E9E" w:rsidP="007F74AA">
            <w:pPr>
              <w:pStyle w:val="StdBodyText"/>
              <w:spacing w:before="0" w:after="0"/>
              <w:rPr>
                <w:rFonts w:cs="Arial"/>
                <w:szCs w:val="20"/>
              </w:rPr>
            </w:pPr>
            <w:r w:rsidRPr="003B034F">
              <w:rPr>
                <w:rFonts w:cs="Arial"/>
                <w:szCs w:val="20"/>
              </w:rPr>
              <w:t>Impact (description)</w:t>
            </w:r>
          </w:p>
        </w:tc>
        <w:tc>
          <w:tcPr>
            <w:tcW w:w="1568" w:type="dxa"/>
          </w:tcPr>
          <w:p w14:paraId="02DB5249" w14:textId="77777777" w:rsidR="00F67E9E" w:rsidRPr="003B034F" w:rsidRDefault="00F67E9E" w:rsidP="007F74AA">
            <w:pPr>
              <w:pStyle w:val="StdBodyText"/>
              <w:spacing w:before="0" w:after="0"/>
              <w:rPr>
                <w:rFonts w:cs="Arial"/>
                <w:szCs w:val="20"/>
              </w:rPr>
            </w:pPr>
            <w:r w:rsidRPr="003B034F">
              <w:rPr>
                <w:rFonts w:cs="Arial"/>
                <w:szCs w:val="20"/>
              </w:rPr>
              <w:t>Mitigation (description)</w:t>
            </w:r>
          </w:p>
        </w:tc>
        <w:tc>
          <w:tcPr>
            <w:tcW w:w="1261" w:type="dxa"/>
          </w:tcPr>
          <w:p w14:paraId="32F06EE5" w14:textId="77777777" w:rsidR="00F67E9E" w:rsidRPr="003B034F" w:rsidRDefault="00F67E9E" w:rsidP="007F74AA">
            <w:pPr>
              <w:pStyle w:val="StdBodyText"/>
              <w:spacing w:before="0" w:after="0"/>
              <w:rPr>
                <w:rFonts w:cs="Arial"/>
                <w:szCs w:val="20"/>
              </w:rPr>
            </w:pPr>
            <w:r w:rsidRPr="003B034F">
              <w:rPr>
                <w:rFonts w:cs="Arial"/>
                <w:szCs w:val="20"/>
              </w:rPr>
              <w:t>Cost of mitigation</w:t>
            </w:r>
          </w:p>
        </w:tc>
        <w:tc>
          <w:tcPr>
            <w:tcW w:w="1289" w:type="dxa"/>
          </w:tcPr>
          <w:p w14:paraId="4CDB1FC2" w14:textId="77777777" w:rsidR="00F67E9E" w:rsidRPr="003B034F" w:rsidRDefault="00F67E9E" w:rsidP="007F74AA">
            <w:pPr>
              <w:pStyle w:val="StdBodyText"/>
              <w:spacing w:before="0" w:after="0"/>
              <w:rPr>
                <w:rFonts w:cs="Arial"/>
                <w:szCs w:val="20"/>
              </w:rPr>
            </w:pPr>
            <w:r w:rsidRPr="003B034F">
              <w:rPr>
                <w:rFonts w:cs="Arial"/>
                <w:szCs w:val="20"/>
              </w:rPr>
              <w:t>Post-mitigation impact (£)</w:t>
            </w:r>
          </w:p>
        </w:tc>
        <w:tc>
          <w:tcPr>
            <w:tcW w:w="1616" w:type="dxa"/>
          </w:tcPr>
          <w:p w14:paraId="0D5E3AC8" w14:textId="77777777" w:rsidR="00F67E9E" w:rsidRPr="003B034F" w:rsidRDefault="00F67E9E" w:rsidP="007F74AA">
            <w:pPr>
              <w:pStyle w:val="StdBodyText"/>
              <w:spacing w:before="0" w:after="0"/>
              <w:rPr>
                <w:rFonts w:cs="Arial"/>
                <w:szCs w:val="20"/>
              </w:rPr>
            </w:pPr>
            <w:r w:rsidRPr="003B034F">
              <w:rPr>
                <w:rFonts w:cs="Arial"/>
                <w:szCs w:val="20"/>
              </w:rPr>
              <w:t>Forecast Contingency Costs</w:t>
            </w:r>
          </w:p>
        </w:tc>
        <w:tc>
          <w:tcPr>
            <w:tcW w:w="1032" w:type="dxa"/>
          </w:tcPr>
          <w:p w14:paraId="7301D44F" w14:textId="77777777" w:rsidR="00F67E9E" w:rsidRPr="003B034F" w:rsidRDefault="00F67E9E" w:rsidP="007F74AA">
            <w:pPr>
              <w:pStyle w:val="StdBodyText"/>
              <w:spacing w:before="0" w:after="0"/>
              <w:rPr>
                <w:rFonts w:cs="Arial"/>
                <w:szCs w:val="20"/>
              </w:rPr>
            </w:pPr>
            <w:r w:rsidRPr="003B034F">
              <w:rPr>
                <w:rFonts w:cs="Arial"/>
                <w:szCs w:val="20"/>
              </w:rPr>
              <w:t>Owner</w:t>
            </w:r>
          </w:p>
        </w:tc>
      </w:tr>
      <w:tr w:rsidR="00F67E9E" w:rsidRPr="003B034F" w14:paraId="3A7702AD" w14:textId="77777777" w:rsidTr="007F74AA">
        <w:tc>
          <w:tcPr>
            <w:tcW w:w="1021" w:type="dxa"/>
          </w:tcPr>
          <w:p w14:paraId="725A5F5A" w14:textId="77777777" w:rsidR="00F67E9E" w:rsidRPr="003B034F" w:rsidRDefault="00F67E9E" w:rsidP="007F74AA">
            <w:pPr>
              <w:pStyle w:val="StdBodyText"/>
              <w:spacing w:before="0" w:after="0"/>
              <w:rPr>
                <w:rFonts w:cs="Arial"/>
                <w:szCs w:val="20"/>
              </w:rPr>
            </w:pPr>
          </w:p>
        </w:tc>
        <w:tc>
          <w:tcPr>
            <w:tcW w:w="1008" w:type="dxa"/>
          </w:tcPr>
          <w:p w14:paraId="1008FE07" w14:textId="77777777" w:rsidR="00F67E9E" w:rsidRPr="003B034F" w:rsidRDefault="00F67E9E" w:rsidP="007F74AA">
            <w:pPr>
              <w:pStyle w:val="StdBodyText"/>
              <w:spacing w:before="0" w:after="0"/>
              <w:rPr>
                <w:rFonts w:cs="Arial"/>
                <w:szCs w:val="20"/>
              </w:rPr>
            </w:pPr>
          </w:p>
        </w:tc>
        <w:tc>
          <w:tcPr>
            <w:tcW w:w="1435" w:type="dxa"/>
          </w:tcPr>
          <w:p w14:paraId="44060F9C" w14:textId="77777777" w:rsidR="00F67E9E" w:rsidRPr="003B034F" w:rsidRDefault="00F67E9E" w:rsidP="007F74AA">
            <w:pPr>
              <w:pStyle w:val="StdBodyText"/>
              <w:spacing w:before="0" w:after="0"/>
              <w:rPr>
                <w:rFonts w:cs="Arial"/>
                <w:szCs w:val="20"/>
              </w:rPr>
            </w:pPr>
          </w:p>
        </w:tc>
        <w:tc>
          <w:tcPr>
            <w:tcW w:w="1008" w:type="dxa"/>
          </w:tcPr>
          <w:p w14:paraId="3791AEEF" w14:textId="77777777" w:rsidR="00F67E9E" w:rsidRPr="003B034F" w:rsidRDefault="00F67E9E" w:rsidP="007F74AA">
            <w:pPr>
              <w:pStyle w:val="StdBodyText"/>
              <w:spacing w:before="0" w:after="0"/>
              <w:rPr>
                <w:rFonts w:cs="Arial"/>
                <w:szCs w:val="20"/>
              </w:rPr>
            </w:pPr>
          </w:p>
        </w:tc>
        <w:tc>
          <w:tcPr>
            <w:tcW w:w="1314" w:type="dxa"/>
          </w:tcPr>
          <w:p w14:paraId="6AF0E9CD" w14:textId="77777777" w:rsidR="00F67E9E" w:rsidRPr="003B034F" w:rsidRDefault="00F67E9E" w:rsidP="007F74AA">
            <w:pPr>
              <w:pStyle w:val="StdBodyText"/>
              <w:spacing w:before="0" w:after="0"/>
              <w:rPr>
                <w:rFonts w:cs="Arial"/>
                <w:szCs w:val="20"/>
              </w:rPr>
            </w:pPr>
          </w:p>
        </w:tc>
        <w:tc>
          <w:tcPr>
            <w:tcW w:w="1008" w:type="dxa"/>
          </w:tcPr>
          <w:p w14:paraId="37465BA7" w14:textId="77777777" w:rsidR="00F67E9E" w:rsidRPr="003B034F" w:rsidRDefault="00F67E9E" w:rsidP="007F74AA">
            <w:pPr>
              <w:pStyle w:val="StdBodyText"/>
              <w:spacing w:before="0" w:after="0"/>
              <w:rPr>
                <w:rFonts w:cs="Arial"/>
                <w:szCs w:val="20"/>
              </w:rPr>
            </w:pPr>
          </w:p>
        </w:tc>
        <w:tc>
          <w:tcPr>
            <w:tcW w:w="1568" w:type="dxa"/>
          </w:tcPr>
          <w:p w14:paraId="2136EB03" w14:textId="77777777" w:rsidR="00F67E9E" w:rsidRPr="003B034F" w:rsidRDefault="00F67E9E" w:rsidP="007F74AA">
            <w:pPr>
              <w:pStyle w:val="StdBodyText"/>
              <w:spacing w:before="0" w:after="0"/>
              <w:rPr>
                <w:rFonts w:cs="Arial"/>
                <w:szCs w:val="20"/>
              </w:rPr>
            </w:pPr>
          </w:p>
        </w:tc>
        <w:tc>
          <w:tcPr>
            <w:tcW w:w="1568" w:type="dxa"/>
          </w:tcPr>
          <w:p w14:paraId="52E2A7A8" w14:textId="77777777" w:rsidR="00F67E9E" w:rsidRPr="003B034F" w:rsidRDefault="00F67E9E" w:rsidP="007F74AA">
            <w:pPr>
              <w:pStyle w:val="StdBodyText"/>
              <w:spacing w:before="0" w:after="0"/>
              <w:rPr>
                <w:rFonts w:cs="Arial"/>
                <w:szCs w:val="20"/>
              </w:rPr>
            </w:pPr>
          </w:p>
        </w:tc>
        <w:tc>
          <w:tcPr>
            <w:tcW w:w="1261" w:type="dxa"/>
          </w:tcPr>
          <w:p w14:paraId="5C46C281" w14:textId="77777777" w:rsidR="00F67E9E" w:rsidRPr="003B034F" w:rsidRDefault="00F67E9E" w:rsidP="007F74AA">
            <w:pPr>
              <w:pStyle w:val="StdBodyText"/>
              <w:spacing w:before="0" w:after="0"/>
              <w:rPr>
                <w:rFonts w:cs="Arial"/>
                <w:szCs w:val="20"/>
              </w:rPr>
            </w:pPr>
          </w:p>
        </w:tc>
        <w:tc>
          <w:tcPr>
            <w:tcW w:w="1289" w:type="dxa"/>
          </w:tcPr>
          <w:p w14:paraId="21A0ACFA" w14:textId="77777777" w:rsidR="00F67E9E" w:rsidRPr="003B034F" w:rsidRDefault="00F67E9E" w:rsidP="007F74AA">
            <w:pPr>
              <w:pStyle w:val="StdBodyText"/>
              <w:spacing w:before="0" w:after="0"/>
              <w:rPr>
                <w:rFonts w:cs="Arial"/>
                <w:szCs w:val="20"/>
              </w:rPr>
            </w:pPr>
          </w:p>
        </w:tc>
        <w:tc>
          <w:tcPr>
            <w:tcW w:w="1616" w:type="dxa"/>
          </w:tcPr>
          <w:p w14:paraId="2C18ABB1" w14:textId="77777777" w:rsidR="00F67E9E" w:rsidRPr="003B034F" w:rsidRDefault="00F67E9E" w:rsidP="007F74AA">
            <w:pPr>
              <w:pStyle w:val="StdBodyText"/>
              <w:spacing w:before="0" w:after="0"/>
              <w:rPr>
                <w:rFonts w:cs="Arial"/>
                <w:szCs w:val="20"/>
              </w:rPr>
            </w:pPr>
          </w:p>
        </w:tc>
        <w:tc>
          <w:tcPr>
            <w:tcW w:w="1032" w:type="dxa"/>
          </w:tcPr>
          <w:p w14:paraId="497F79F8" w14:textId="77777777" w:rsidR="00F67E9E" w:rsidRPr="003B034F" w:rsidRDefault="00F67E9E" w:rsidP="007F74AA">
            <w:pPr>
              <w:pStyle w:val="StdBodyText"/>
              <w:spacing w:before="0" w:after="0"/>
              <w:rPr>
                <w:rFonts w:cs="Arial"/>
                <w:szCs w:val="20"/>
              </w:rPr>
            </w:pPr>
          </w:p>
        </w:tc>
      </w:tr>
      <w:tr w:rsidR="00F67E9E" w:rsidRPr="003B034F" w14:paraId="72128C25" w14:textId="77777777" w:rsidTr="007F74AA">
        <w:tc>
          <w:tcPr>
            <w:tcW w:w="1021" w:type="dxa"/>
          </w:tcPr>
          <w:p w14:paraId="02AE69B0" w14:textId="77777777" w:rsidR="00F67E9E" w:rsidRPr="003B034F" w:rsidRDefault="00F67E9E" w:rsidP="007F74AA">
            <w:pPr>
              <w:pStyle w:val="StdBodyText"/>
              <w:spacing w:before="0" w:after="0"/>
              <w:rPr>
                <w:rFonts w:cs="Arial"/>
                <w:szCs w:val="20"/>
              </w:rPr>
            </w:pPr>
          </w:p>
        </w:tc>
        <w:tc>
          <w:tcPr>
            <w:tcW w:w="1008" w:type="dxa"/>
          </w:tcPr>
          <w:p w14:paraId="7819394F" w14:textId="77777777" w:rsidR="00F67E9E" w:rsidRPr="003B034F" w:rsidRDefault="00F67E9E" w:rsidP="007F74AA">
            <w:pPr>
              <w:pStyle w:val="StdBodyText"/>
              <w:spacing w:before="0" w:after="0"/>
              <w:rPr>
                <w:rFonts w:cs="Arial"/>
                <w:szCs w:val="20"/>
              </w:rPr>
            </w:pPr>
          </w:p>
        </w:tc>
        <w:tc>
          <w:tcPr>
            <w:tcW w:w="1435" w:type="dxa"/>
          </w:tcPr>
          <w:p w14:paraId="7AB88AA0" w14:textId="77777777" w:rsidR="00F67E9E" w:rsidRPr="003B034F" w:rsidRDefault="00F67E9E" w:rsidP="007F74AA">
            <w:pPr>
              <w:pStyle w:val="StdBodyText"/>
              <w:spacing w:before="0" w:after="0"/>
              <w:rPr>
                <w:rFonts w:cs="Arial"/>
                <w:szCs w:val="20"/>
              </w:rPr>
            </w:pPr>
          </w:p>
        </w:tc>
        <w:tc>
          <w:tcPr>
            <w:tcW w:w="1008" w:type="dxa"/>
          </w:tcPr>
          <w:p w14:paraId="14AB27DF" w14:textId="77777777" w:rsidR="00F67E9E" w:rsidRPr="003B034F" w:rsidRDefault="00F67E9E" w:rsidP="007F74AA">
            <w:pPr>
              <w:pStyle w:val="StdBodyText"/>
              <w:spacing w:before="0" w:after="0"/>
              <w:rPr>
                <w:rFonts w:cs="Arial"/>
                <w:szCs w:val="20"/>
              </w:rPr>
            </w:pPr>
          </w:p>
        </w:tc>
        <w:tc>
          <w:tcPr>
            <w:tcW w:w="1314" w:type="dxa"/>
          </w:tcPr>
          <w:p w14:paraId="0525405A" w14:textId="77777777" w:rsidR="00F67E9E" w:rsidRPr="003B034F" w:rsidRDefault="00F67E9E" w:rsidP="007F74AA">
            <w:pPr>
              <w:pStyle w:val="StdBodyText"/>
              <w:spacing w:before="0" w:after="0"/>
              <w:rPr>
                <w:rFonts w:cs="Arial"/>
                <w:szCs w:val="20"/>
              </w:rPr>
            </w:pPr>
          </w:p>
        </w:tc>
        <w:tc>
          <w:tcPr>
            <w:tcW w:w="1008" w:type="dxa"/>
          </w:tcPr>
          <w:p w14:paraId="012261DD" w14:textId="77777777" w:rsidR="00F67E9E" w:rsidRPr="003B034F" w:rsidRDefault="00F67E9E" w:rsidP="007F74AA">
            <w:pPr>
              <w:pStyle w:val="StdBodyText"/>
              <w:spacing w:before="0" w:after="0"/>
              <w:rPr>
                <w:rFonts w:cs="Arial"/>
                <w:szCs w:val="20"/>
              </w:rPr>
            </w:pPr>
          </w:p>
        </w:tc>
        <w:tc>
          <w:tcPr>
            <w:tcW w:w="1568" w:type="dxa"/>
          </w:tcPr>
          <w:p w14:paraId="1F11125C" w14:textId="77777777" w:rsidR="00F67E9E" w:rsidRPr="003B034F" w:rsidRDefault="00F67E9E" w:rsidP="007F74AA">
            <w:pPr>
              <w:pStyle w:val="StdBodyText"/>
              <w:spacing w:before="0" w:after="0"/>
              <w:rPr>
                <w:rFonts w:cs="Arial"/>
                <w:szCs w:val="20"/>
              </w:rPr>
            </w:pPr>
          </w:p>
        </w:tc>
        <w:tc>
          <w:tcPr>
            <w:tcW w:w="1568" w:type="dxa"/>
          </w:tcPr>
          <w:p w14:paraId="6CFA1A4E" w14:textId="77777777" w:rsidR="00F67E9E" w:rsidRPr="003B034F" w:rsidRDefault="00F67E9E" w:rsidP="007F74AA">
            <w:pPr>
              <w:pStyle w:val="StdBodyText"/>
              <w:spacing w:before="0" w:after="0"/>
              <w:rPr>
                <w:rFonts w:cs="Arial"/>
                <w:szCs w:val="20"/>
              </w:rPr>
            </w:pPr>
          </w:p>
        </w:tc>
        <w:tc>
          <w:tcPr>
            <w:tcW w:w="1261" w:type="dxa"/>
          </w:tcPr>
          <w:p w14:paraId="51D0013B" w14:textId="77777777" w:rsidR="00F67E9E" w:rsidRPr="003B034F" w:rsidRDefault="00F67E9E" w:rsidP="007F74AA">
            <w:pPr>
              <w:pStyle w:val="StdBodyText"/>
              <w:spacing w:before="0" w:after="0"/>
              <w:rPr>
                <w:rFonts w:cs="Arial"/>
                <w:szCs w:val="20"/>
              </w:rPr>
            </w:pPr>
          </w:p>
        </w:tc>
        <w:tc>
          <w:tcPr>
            <w:tcW w:w="1289" w:type="dxa"/>
          </w:tcPr>
          <w:p w14:paraId="33CC2367" w14:textId="77777777" w:rsidR="00F67E9E" w:rsidRPr="003B034F" w:rsidRDefault="00F67E9E" w:rsidP="007F74AA">
            <w:pPr>
              <w:pStyle w:val="StdBodyText"/>
              <w:spacing w:before="0" w:after="0"/>
              <w:rPr>
                <w:rFonts w:cs="Arial"/>
                <w:szCs w:val="20"/>
              </w:rPr>
            </w:pPr>
          </w:p>
        </w:tc>
        <w:tc>
          <w:tcPr>
            <w:tcW w:w="1616" w:type="dxa"/>
          </w:tcPr>
          <w:p w14:paraId="397700A2" w14:textId="77777777" w:rsidR="00F67E9E" w:rsidRPr="003B034F" w:rsidRDefault="00F67E9E" w:rsidP="007F74AA">
            <w:pPr>
              <w:pStyle w:val="StdBodyText"/>
              <w:spacing w:before="0" w:after="0"/>
              <w:rPr>
                <w:rFonts w:cs="Arial"/>
                <w:szCs w:val="20"/>
              </w:rPr>
            </w:pPr>
          </w:p>
        </w:tc>
        <w:tc>
          <w:tcPr>
            <w:tcW w:w="1032" w:type="dxa"/>
          </w:tcPr>
          <w:p w14:paraId="25601501" w14:textId="77777777" w:rsidR="00F67E9E" w:rsidRPr="003B034F" w:rsidRDefault="00F67E9E" w:rsidP="007F74AA">
            <w:pPr>
              <w:pStyle w:val="StdBodyText"/>
              <w:spacing w:before="0" w:after="0"/>
              <w:rPr>
                <w:rFonts w:cs="Arial"/>
                <w:szCs w:val="20"/>
              </w:rPr>
            </w:pPr>
          </w:p>
        </w:tc>
      </w:tr>
      <w:tr w:rsidR="00F67E9E" w:rsidRPr="003B034F" w14:paraId="22929C4E" w14:textId="77777777" w:rsidTr="007F74AA">
        <w:tc>
          <w:tcPr>
            <w:tcW w:w="1021" w:type="dxa"/>
          </w:tcPr>
          <w:p w14:paraId="4C975DE7" w14:textId="77777777" w:rsidR="00F67E9E" w:rsidRPr="003B034F" w:rsidRDefault="00F67E9E" w:rsidP="007F74AA">
            <w:pPr>
              <w:pStyle w:val="StdBodyText"/>
              <w:spacing w:before="0" w:after="0"/>
              <w:rPr>
                <w:rFonts w:cs="Arial"/>
                <w:szCs w:val="20"/>
              </w:rPr>
            </w:pPr>
          </w:p>
        </w:tc>
        <w:tc>
          <w:tcPr>
            <w:tcW w:w="1008" w:type="dxa"/>
          </w:tcPr>
          <w:p w14:paraId="65FA4780" w14:textId="77777777" w:rsidR="00F67E9E" w:rsidRPr="003B034F" w:rsidRDefault="00F67E9E" w:rsidP="007F74AA">
            <w:pPr>
              <w:pStyle w:val="StdBodyText"/>
              <w:spacing w:before="0" w:after="0"/>
              <w:rPr>
                <w:rFonts w:cs="Arial"/>
                <w:szCs w:val="20"/>
              </w:rPr>
            </w:pPr>
          </w:p>
        </w:tc>
        <w:tc>
          <w:tcPr>
            <w:tcW w:w="1435" w:type="dxa"/>
          </w:tcPr>
          <w:p w14:paraId="4D95D882" w14:textId="77777777" w:rsidR="00F67E9E" w:rsidRPr="003B034F" w:rsidRDefault="00F67E9E" w:rsidP="007F74AA">
            <w:pPr>
              <w:pStyle w:val="StdBodyText"/>
              <w:spacing w:before="0" w:after="0"/>
              <w:rPr>
                <w:rFonts w:cs="Arial"/>
                <w:szCs w:val="20"/>
              </w:rPr>
            </w:pPr>
          </w:p>
        </w:tc>
        <w:tc>
          <w:tcPr>
            <w:tcW w:w="1008" w:type="dxa"/>
          </w:tcPr>
          <w:p w14:paraId="089FD95C" w14:textId="77777777" w:rsidR="00F67E9E" w:rsidRPr="003B034F" w:rsidRDefault="00F67E9E" w:rsidP="007F74AA">
            <w:pPr>
              <w:pStyle w:val="StdBodyText"/>
              <w:spacing w:before="0" w:after="0"/>
              <w:rPr>
                <w:rFonts w:cs="Arial"/>
                <w:szCs w:val="20"/>
              </w:rPr>
            </w:pPr>
          </w:p>
        </w:tc>
        <w:tc>
          <w:tcPr>
            <w:tcW w:w="1314" w:type="dxa"/>
          </w:tcPr>
          <w:p w14:paraId="776241A3" w14:textId="77777777" w:rsidR="00F67E9E" w:rsidRPr="003B034F" w:rsidRDefault="00F67E9E" w:rsidP="007F74AA">
            <w:pPr>
              <w:pStyle w:val="StdBodyText"/>
              <w:spacing w:before="0" w:after="0"/>
              <w:rPr>
                <w:rFonts w:cs="Arial"/>
                <w:szCs w:val="20"/>
              </w:rPr>
            </w:pPr>
          </w:p>
        </w:tc>
        <w:tc>
          <w:tcPr>
            <w:tcW w:w="1008" w:type="dxa"/>
          </w:tcPr>
          <w:p w14:paraId="0F7CF24B" w14:textId="77777777" w:rsidR="00F67E9E" w:rsidRPr="003B034F" w:rsidRDefault="00F67E9E" w:rsidP="007F74AA">
            <w:pPr>
              <w:pStyle w:val="StdBodyText"/>
              <w:spacing w:before="0" w:after="0"/>
              <w:rPr>
                <w:rFonts w:cs="Arial"/>
                <w:szCs w:val="20"/>
              </w:rPr>
            </w:pPr>
          </w:p>
        </w:tc>
        <w:tc>
          <w:tcPr>
            <w:tcW w:w="1568" w:type="dxa"/>
          </w:tcPr>
          <w:p w14:paraId="4767E643" w14:textId="77777777" w:rsidR="00F67E9E" w:rsidRPr="003B034F" w:rsidRDefault="00F67E9E" w:rsidP="007F74AA">
            <w:pPr>
              <w:pStyle w:val="StdBodyText"/>
              <w:spacing w:before="0" w:after="0"/>
              <w:rPr>
                <w:rFonts w:cs="Arial"/>
                <w:szCs w:val="20"/>
              </w:rPr>
            </w:pPr>
          </w:p>
        </w:tc>
        <w:tc>
          <w:tcPr>
            <w:tcW w:w="1568" w:type="dxa"/>
          </w:tcPr>
          <w:p w14:paraId="77F968F6" w14:textId="77777777" w:rsidR="00F67E9E" w:rsidRPr="003B034F" w:rsidRDefault="00F67E9E" w:rsidP="007F74AA">
            <w:pPr>
              <w:pStyle w:val="StdBodyText"/>
              <w:spacing w:before="0" w:after="0"/>
              <w:rPr>
                <w:rFonts w:cs="Arial"/>
                <w:szCs w:val="20"/>
              </w:rPr>
            </w:pPr>
          </w:p>
        </w:tc>
        <w:tc>
          <w:tcPr>
            <w:tcW w:w="1261" w:type="dxa"/>
          </w:tcPr>
          <w:p w14:paraId="363C904A" w14:textId="77777777" w:rsidR="00F67E9E" w:rsidRPr="003B034F" w:rsidRDefault="00F67E9E" w:rsidP="007F74AA">
            <w:pPr>
              <w:pStyle w:val="StdBodyText"/>
              <w:spacing w:before="0" w:after="0"/>
              <w:rPr>
                <w:rFonts w:cs="Arial"/>
                <w:szCs w:val="20"/>
              </w:rPr>
            </w:pPr>
          </w:p>
        </w:tc>
        <w:tc>
          <w:tcPr>
            <w:tcW w:w="1289" w:type="dxa"/>
          </w:tcPr>
          <w:p w14:paraId="4C784884" w14:textId="77777777" w:rsidR="00F67E9E" w:rsidRPr="003B034F" w:rsidRDefault="00F67E9E" w:rsidP="007F74AA">
            <w:pPr>
              <w:pStyle w:val="StdBodyText"/>
              <w:spacing w:before="0" w:after="0"/>
              <w:rPr>
                <w:rFonts w:cs="Arial"/>
                <w:szCs w:val="20"/>
              </w:rPr>
            </w:pPr>
          </w:p>
        </w:tc>
        <w:tc>
          <w:tcPr>
            <w:tcW w:w="1616" w:type="dxa"/>
          </w:tcPr>
          <w:p w14:paraId="3D82BD6E" w14:textId="77777777" w:rsidR="00F67E9E" w:rsidRPr="003B034F" w:rsidRDefault="00F67E9E" w:rsidP="007F74AA">
            <w:pPr>
              <w:pStyle w:val="StdBodyText"/>
              <w:spacing w:before="0" w:after="0"/>
              <w:rPr>
                <w:rFonts w:cs="Arial"/>
                <w:szCs w:val="20"/>
              </w:rPr>
            </w:pPr>
          </w:p>
        </w:tc>
        <w:tc>
          <w:tcPr>
            <w:tcW w:w="1032" w:type="dxa"/>
          </w:tcPr>
          <w:p w14:paraId="5BA9F7C1" w14:textId="77777777" w:rsidR="00F67E9E" w:rsidRPr="003B034F" w:rsidRDefault="00F67E9E" w:rsidP="007F74AA">
            <w:pPr>
              <w:pStyle w:val="StdBodyText"/>
              <w:spacing w:before="0" w:after="0"/>
              <w:rPr>
                <w:rFonts w:cs="Arial"/>
                <w:szCs w:val="20"/>
              </w:rPr>
            </w:pPr>
          </w:p>
        </w:tc>
      </w:tr>
      <w:tr w:rsidR="00F67E9E" w:rsidRPr="003B034F" w14:paraId="4AF2D926" w14:textId="77777777" w:rsidTr="007F74AA">
        <w:tc>
          <w:tcPr>
            <w:tcW w:w="1021" w:type="dxa"/>
          </w:tcPr>
          <w:p w14:paraId="6D83131B" w14:textId="77777777" w:rsidR="00F67E9E" w:rsidRPr="003B034F" w:rsidRDefault="00F67E9E" w:rsidP="007F74AA">
            <w:pPr>
              <w:pStyle w:val="StdBodyText"/>
              <w:spacing w:before="0" w:after="0"/>
              <w:rPr>
                <w:rFonts w:cs="Arial"/>
                <w:szCs w:val="20"/>
              </w:rPr>
            </w:pPr>
          </w:p>
        </w:tc>
        <w:tc>
          <w:tcPr>
            <w:tcW w:w="1008" w:type="dxa"/>
          </w:tcPr>
          <w:p w14:paraId="5880EA8B" w14:textId="77777777" w:rsidR="00F67E9E" w:rsidRPr="003B034F" w:rsidRDefault="00F67E9E" w:rsidP="007F74AA">
            <w:pPr>
              <w:pStyle w:val="StdBodyText"/>
              <w:spacing w:before="0" w:after="0"/>
              <w:rPr>
                <w:rFonts w:cs="Arial"/>
                <w:szCs w:val="20"/>
              </w:rPr>
            </w:pPr>
          </w:p>
        </w:tc>
        <w:tc>
          <w:tcPr>
            <w:tcW w:w="1435" w:type="dxa"/>
          </w:tcPr>
          <w:p w14:paraId="64B2BA86" w14:textId="77777777" w:rsidR="00F67E9E" w:rsidRPr="003B034F" w:rsidRDefault="00F67E9E" w:rsidP="007F74AA">
            <w:pPr>
              <w:pStyle w:val="StdBodyText"/>
              <w:spacing w:before="0" w:after="0"/>
              <w:rPr>
                <w:rFonts w:cs="Arial"/>
                <w:szCs w:val="20"/>
              </w:rPr>
            </w:pPr>
          </w:p>
        </w:tc>
        <w:tc>
          <w:tcPr>
            <w:tcW w:w="1008" w:type="dxa"/>
          </w:tcPr>
          <w:p w14:paraId="37AA9354" w14:textId="77777777" w:rsidR="00F67E9E" w:rsidRPr="003B034F" w:rsidRDefault="00F67E9E" w:rsidP="007F74AA">
            <w:pPr>
              <w:pStyle w:val="StdBodyText"/>
              <w:spacing w:before="0" w:after="0"/>
              <w:rPr>
                <w:rFonts w:cs="Arial"/>
                <w:szCs w:val="20"/>
              </w:rPr>
            </w:pPr>
          </w:p>
        </w:tc>
        <w:tc>
          <w:tcPr>
            <w:tcW w:w="1314" w:type="dxa"/>
          </w:tcPr>
          <w:p w14:paraId="25E2BF88" w14:textId="77777777" w:rsidR="00F67E9E" w:rsidRPr="003B034F" w:rsidRDefault="00F67E9E" w:rsidP="007F74AA">
            <w:pPr>
              <w:pStyle w:val="StdBodyText"/>
              <w:spacing w:before="0" w:after="0"/>
              <w:rPr>
                <w:rFonts w:cs="Arial"/>
                <w:szCs w:val="20"/>
              </w:rPr>
            </w:pPr>
          </w:p>
        </w:tc>
        <w:tc>
          <w:tcPr>
            <w:tcW w:w="1008" w:type="dxa"/>
          </w:tcPr>
          <w:p w14:paraId="06DA78DC" w14:textId="77777777" w:rsidR="00F67E9E" w:rsidRPr="003B034F" w:rsidRDefault="00F67E9E" w:rsidP="007F74AA">
            <w:pPr>
              <w:pStyle w:val="StdBodyText"/>
              <w:spacing w:before="0" w:after="0"/>
              <w:rPr>
                <w:rFonts w:cs="Arial"/>
                <w:szCs w:val="20"/>
              </w:rPr>
            </w:pPr>
          </w:p>
        </w:tc>
        <w:tc>
          <w:tcPr>
            <w:tcW w:w="1568" w:type="dxa"/>
          </w:tcPr>
          <w:p w14:paraId="065B4919" w14:textId="77777777" w:rsidR="00F67E9E" w:rsidRPr="003B034F" w:rsidRDefault="00F67E9E" w:rsidP="007F74AA">
            <w:pPr>
              <w:pStyle w:val="StdBodyText"/>
              <w:spacing w:before="0" w:after="0"/>
              <w:rPr>
                <w:rFonts w:cs="Arial"/>
                <w:szCs w:val="20"/>
              </w:rPr>
            </w:pPr>
          </w:p>
        </w:tc>
        <w:tc>
          <w:tcPr>
            <w:tcW w:w="1568" w:type="dxa"/>
          </w:tcPr>
          <w:p w14:paraId="770FE7E5" w14:textId="77777777" w:rsidR="00F67E9E" w:rsidRPr="003B034F" w:rsidRDefault="00F67E9E" w:rsidP="007F74AA">
            <w:pPr>
              <w:pStyle w:val="StdBodyText"/>
              <w:spacing w:before="0" w:after="0"/>
              <w:rPr>
                <w:rFonts w:cs="Arial"/>
                <w:szCs w:val="20"/>
              </w:rPr>
            </w:pPr>
          </w:p>
        </w:tc>
        <w:tc>
          <w:tcPr>
            <w:tcW w:w="1261" w:type="dxa"/>
          </w:tcPr>
          <w:p w14:paraId="384035A7" w14:textId="77777777" w:rsidR="00F67E9E" w:rsidRPr="003B034F" w:rsidRDefault="00F67E9E" w:rsidP="007F74AA">
            <w:pPr>
              <w:pStyle w:val="StdBodyText"/>
              <w:spacing w:before="0" w:after="0"/>
              <w:rPr>
                <w:rFonts w:cs="Arial"/>
                <w:szCs w:val="20"/>
              </w:rPr>
            </w:pPr>
          </w:p>
        </w:tc>
        <w:tc>
          <w:tcPr>
            <w:tcW w:w="1289" w:type="dxa"/>
          </w:tcPr>
          <w:p w14:paraId="12570C15" w14:textId="77777777" w:rsidR="00F67E9E" w:rsidRPr="003B034F" w:rsidRDefault="00F67E9E" w:rsidP="007F74AA">
            <w:pPr>
              <w:pStyle w:val="StdBodyText"/>
              <w:spacing w:before="0" w:after="0"/>
              <w:rPr>
                <w:rFonts w:cs="Arial"/>
                <w:szCs w:val="20"/>
              </w:rPr>
            </w:pPr>
          </w:p>
        </w:tc>
        <w:tc>
          <w:tcPr>
            <w:tcW w:w="1616" w:type="dxa"/>
          </w:tcPr>
          <w:p w14:paraId="30772EE3" w14:textId="77777777" w:rsidR="00F67E9E" w:rsidRPr="003B034F" w:rsidRDefault="00F67E9E" w:rsidP="007F74AA">
            <w:pPr>
              <w:pStyle w:val="StdBodyText"/>
              <w:spacing w:before="0" w:after="0"/>
              <w:rPr>
                <w:rFonts w:cs="Arial"/>
                <w:szCs w:val="20"/>
              </w:rPr>
            </w:pPr>
          </w:p>
        </w:tc>
        <w:tc>
          <w:tcPr>
            <w:tcW w:w="1032" w:type="dxa"/>
          </w:tcPr>
          <w:p w14:paraId="674E8936" w14:textId="77777777" w:rsidR="00F67E9E" w:rsidRPr="003B034F" w:rsidRDefault="00F67E9E" w:rsidP="007F74AA">
            <w:pPr>
              <w:pStyle w:val="StdBodyText"/>
              <w:spacing w:before="0" w:after="0"/>
              <w:rPr>
                <w:rFonts w:cs="Arial"/>
                <w:szCs w:val="20"/>
              </w:rPr>
            </w:pPr>
          </w:p>
        </w:tc>
      </w:tr>
    </w:tbl>
    <w:p w14:paraId="61815C4C" w14:textId="77777777" w:rsidR="00F67E9E" w:rsidRDefault="00F67E9E" w:rsidP="00F67E9E"/>
    <w:p w14:paraId="3ABEB31D" w14:textId="77777777" w:rsidR="00F67E9E" w:rsidRDefault="00F67E9E" w:rsidP="00F67E9E">
      <w:r>
        <w:br w:type="page"/>
      </w:r>
    </w:p>
    <w:p w14:paraId="40EA41C4" w14:textId="77777777" w:rsidR="00F67E9E" w:rsidRDefault="00F67E9E" w:rsidP="00F67E9E">
      <w:pPr>
        <w:pStyle w:val="Heading2"/>
      </w:pPr>
      <w:bookmarkStart w:id="1223" w:name="_Ref_ContractCompanion_9kb9Us12C"/>
      <w:bookmarkStart w:id="1224" w:name="_9kR3WTrAG9579ICwozRSq26I5lx1r6PSNJRLHNS"/>
      <w:bookmarkStart w:id="1225" w:name="_Toc141711947"/>
      <w:r w:rsidRPr="00BA56A1">
        <w:t xml:space="preserve">Annex </w:t>
      </w:r>
      <w:bookmarkStart w:id="1226" w:name="ANNEX5_SCHEDULE15"/>
      <w:r w:rsidRPr="00BA56A1">
        <w:t>5</w:t>
      </w:r>
      <w:bookmarkEnd w:id="1226"/>
      <w:r w:rsidRPr="00F11CD2">
        <w:t>: Allowable Assumptions</w:t>
      </w:r>
      <w:bookmarkEnd w:id="1223"/>
      <w:bookmarkEnd w:id="1224"/>
      <w:bookmarkEnd w:id="1225"/>
    </w:p>
    <w:tbl>
      <w:tblPr>
        <w:tblStyle w:val="MSATable-header"/>
        <w:tblW w:w="15162" w:type="dxa"/>
        <w:tblLook w:val="04A0" w:firstRow="1" w:lastRow="0" w:firstColumn="1" w:lastColumn="0" w:noHBand="0" w:noVBand="1"/>
      </w:tblPr>
      <w:tblGrid>
        <w:gridCol w:w="1077"/>
        <w:gridCol w:w="1328"/>
        <w:gridCol w:w="1666"/>
        <w:gridCol w:w="1396"/>
        <w:gridCol w:w="1246"/>
        <w:gridCol w:w="1176"/>
        <w:gridCol w:w="1440"/>
        <w:gridCol w:w="1398"/>
        <w:gridCol w:w="1814"/>
        <w:gridCol w:w="1293"/>
        <w:gridCol w:w="1328"/>
      </w:tblGrid>
      <w:tr w:rsidR="00F67E9E" w:rsidRPr="003C4C9C" w14:paraId="06B515DC" w14:textId="77777777" w:rsidTr="007F74AA">
        <w:trPr>
          <w:cnfStyle w:val="100000000000" w:firstRow="1" w:lastRow="0" w:firstColumn="0" w:lastColumn="0" w:oddVBand="0" w:evenVBand="0" w:oddHBand="0" w:evenHBand="0" w:firstRowFirstColumn="0" w:firstRowLastColumn="0" w:lastRowFirstColumn="0" w:lastRowLastColumn="0"/>
          <w:tblHeader/>
        </w:trPr>
        <w:tc>
          <w:tcPr>
            <w:tcW w:w="1077" w:type="dxa"/>
            <w:vAlign w:val="bottom"/>
          </w:tcPr>
          <w:p w14:paraId="75E9DB0F" w14:textId="77777777" w:rsidR="00F67E9E" w:rsidRPr="003C4C9C" w:rsidRDefault="00F67E9E" w:rsidP="007F74AA">
            <w:pPr>
              <w:pStyle w:val="StdBodyText"/>
              <w:spacing w:before="0" w:after="0"/>
              <w:rPr>
                <w:rFonts w:cs="Arial"/>
                <w:sz w:val="21"/>
                <w:szCs w:val="21"/>
              </w:rPr>
            </w:pPr>
            <w:r w:rsidRPr="003C4C9C">
              <w:rPr>
                <w:rFonts w:cs="Arial"/>
                <w:sz w:val="21"/>
                <w:szCs w:val="21"/>
              </w:rPr>
              <w:t>Column 1</w:t>
            </w:r>
          </w:p>
        </w:tc>
        <w:tc>
          <w:tcPr>
            <w:tcW w:w="1328" w:type="dxa"/>
            <w:vAlign w:val="bottom"/>
          </w:tcPr>
          <w:p w14:paraId="2785CD01" w14:textId="77777777" w:rsidR="00F67E9E" w:rsidRPr="003C4C9C" w:rsidRDefault="00F67E9E" w:rsidP="007F74AA">
            <w:pPr>
              <w:pStyle w:val="StdBodyText"/>
              <w:spacing w:before="0" w:after="0"/>
              <w:rPr>
                <w:rFonts w:cs="Arial"/>
                <w:sz w:val="21"/>
                <w:szCs w:val="21"/>
              </w:rPr>
            </w:pPr>
            <w:r w:rsidRPr="003C4C9C">
              <w:rPr>
                <w:rFonts w:cs="Arial"/>
                <w:sz w:val="21"/>
                <w:szCs w:val="21"/>
              </w:rPr>
              <w:t>Column 2</w:t>
            </w:r>
          </w:p>
        </w:tc>
        <w:tc>
          <w:tcPr>
            <w:tcW w:w="1666" w:type="dxa"/>
            <w:vAlign w:val="bottom"/>
          </w:tcPr>
          <w:p w14:paraId="53167142" w14:textId="77777777" w:rsidR="00F67E9E" w:rsidRPr="003C4C9C" w:rsidRDefault="00F67E9E" w:rsidP="007F74AA">
            <w:pPr>
              <w:pStyle w:val="StdBodyText"/>
              <w:spacing w:before="0" w:after="0"/>
              <w:rPr>
                <w:rFonts w:cs="Arial"/>
                <w:sz w:val="21"/>
                <w:szCs w:val="21"/>
              </w:rPr>
            </w:pPr>
            <w:r w:rsidRPr="003C4C9C">
              <w:rPr>
                <w:rFonts w:cs="Arial"/>
                <w:sz w:val="21"/>
                <w:szCs w:val="21"/>
              </w:rPr>
              <w:t>Column 3</w:t>
            </w:r>
          </w:p>
        </w:tc>
        <w:tc>
          <w:tcPr>
            <w:tcW w:w="1396" w:type="dxa"/>
            <w:vAlign w:val="bottom"/>
          </w:tcPr>
          <w:p w14:paraId="1F03DF46" w14:textId="77777777" w:rsidR="00F67E9E" w:rsidRPr="003C4C9C" w:rsidRDefault="00F67E9E" w:rsidP="007F74AA">
            <w:pPr>
              <w:pStyle w:val="StdBodyText"/>
              <w:spacing w:before="0" w:after="0"/>
              <w:rPr>
                <w:rFonts w:cs="Arial"/>
                <w:sz w:val="21"/>
                <w:szCs w:val="21"/>
              </w:rPr>
            </w:pPr>
            <w:r w:rsidRPr="003C4C9C">
              <w:rPr>
                <w:rFonts w:cs="Arial"/>
                <w:sz w:val="21"/>
                <w:szCs w:val="21"/>
              </w:rPr>
              <w:t>Column 4</w:t>
            </w:r>
          </w:p>
        </w:tc>
        <w:tc>
          <w:tcPr>
            <w:tcW w:w="1246" w:type="dxa"/>
            <w:vAlign w:val="bottom"/>
          </w:tcPr>
          <w:p w14:paraId="7299424A" w14:textId="77777777" w:rsidR="00F67E9E" w:rsidRPr="003C4C9C" w:rsidRDefault="00F67E9E" w:rsidP="007F74AA">
            <w:pPr>
              <w:pStyle w:val="StdBodyText"/>
              <w:spacing w:before="0" w:after="0"/>
              <w:rPr>
                <w:rFonts w:cs="Arial"/>
                <w:sz w:val="21"/>
                <w:szCs w:val="21"/>
              </w:rPr>
            </w:pPr>
            <w:r w:rsidRPr="003C4C9C">
              <w:rPr>
                <w:rFonts w:cs="Arial"/>
                <w:sz w:val="21"/>
                <w:szCs w:val="21"/>
              </w:rPr>
              <w:t>Column 5</w:t>
            </w:r>
          </w:p>
        </w:tc>
        <w:tc>
          <w:tcPr>
            <w:tcW w:w="1176" w:type="dxa"/>
            <w:vAlign w:val="bottom"/>
          </w:tcPr>
          <w:p w14:paraId="7C91041F" w14:textId="77777777" w:rsidR="00F67E9E" w:rsidRPr="003C4C9C" w:rsidRDefault="00F67E9E" w:rsidP="007F74AA">
            <w:pPr>
              <w:pStyle w:val="StdBodyText"/>
              <w:spacing w:before="0" w:after="0"/>
              <w:rPr>
                <w:rFonts w:cs="Arial"/>
                <w:sz w:val="21"/>
                <w:szCs w:val="21"/>
              </w:rPr>
            </w:pPr>
            <w:r w:rsidRPr="003C4C9C">
              <w:rPr>
                <w:rFonts w:cs="Arial"/>
                <w:sz w:val="21"/>
                <w:szCs w:val="21"/>
              </w:rPr>
              <w:t>Column 6</w:t>
            </w:r>
          </w:p>
        </w:tc>
        <w:tc>
          <w:tcPr>
            <w:tcW w:w="1440" w:type="dxa"/>
            <w:vAlign w:val="bottom"/>
          </w:tcPr>
          <w:p w14:paraId="6258012F" w14:textId="77777777" w:rsidR="00F67E9E" w:rsidRPr="003C4C9C" w:rsidRDefault="00F67E9E" w:rsidP="007F74AA">
            <w:pPr>
              <w:pStyle w:val="StdBodyText"/>
              <w:spacing w:before="0" w:after="0"/>
              <w:rPr>
                <w:rFonts w:cs="Arial"/>
                <w:sz w:val="21"/>
                <w:szCs w:val="21"/>
              </w:rPr>
            </w:pPr>
            <w:r w:rsidRPr="003C4C9C">
              <w:rPr>
                <w:rFonts w:cs="Arial"/>
                <w:sz w:val="21"/>
                <w:szCs w:val="21"/>
              </w:rPr>
              <w:t>Column 7</w:t>
            </w:r>
          </w:p>
        </w:tc>
        <w:tc>
          <w:tcPr>
            <w:tcW w:w="1398" w:type="dxa"/>
            <w:vAlign w:val="bottom"/>
          </w:tcPr>
          <w:p w14:paraId="653265E0" w14:textId="77777777" w:rsidR="00F67E9E" w:rsidRPr="003C4C9C" w:rsidRDefault="00F67E9E" w:rsidP="007F74AA">
            <w:pPr>
              <w:pStyle w:val="StdBodyText"/>
              <w:spacing w:before="0" w:after="0"/>
              <w:rPr>
                <w:rFonts w:cs="Arial"/>
                <w:sz w:val="21"/>
                <w:szCs w:val="21"/>
              </w:rPr>
            </w:pPr>
            <w:r w:rsidRPr="003C4C9C">
              <w:rPr>
                <w:rFonts w:cs="Arial"/>
                <w:sz w:val="21"/>
                <w:szCs w:val="21"/>
              </w:rPr>
              <w:t>Column 8</w:t>
            </w:r>
          </w:p>
        </w:tc>
        <w:tc>
          <w:tcPr>
            <w:tcW w:w="1814" w:type="dxa"/>
            <w:vAlign w:val="bottom"/>
          </w:tcPr>
          <w:p w14:paraId="597B419A" w14:textId="77777777" w:rsidR="00F67E9E" w:rsidRPr="003C4C9C" w:rsidRDefault="00F67E9E" w:rsidP="007F74AA">
            <w:pPr>
              <w:pStyle w:val="StdBodyText"/>
              <w:spacing w:before="0" w:after="0"/>
              <w:rPr>
                <w:rFonts w:cs="Arial"/>
                <w:sz w:val="21"/>
                <w:szCs w:val="21"/>
              </w:rPr>
            </w:pPr>
            <w:r w:rsidRPr="003C4C9C">
              <w:rPr>
                <w:rFonts w:cs="Arial"/>
                <w:sz w:val="21"/>
                <w:szCs w:val="21"/>
              </w:rPr>
              <w:t>Column 9</w:t>
            </w:r>
          </w:p>
        </w:tc>
        <w:tc>
          <w:tcPr>
            <w:tcW w:w="1293" w:type="dxa"/>
            <w:vAlign w:val="bottom"/>
          </w:tcPr>
          <w:p w14:paraId="68909B1E" w14:textId="77777777" w:rsidR="00F67E9E" w:rsidRPr="003C4C9C" w:rsidRDefault="00F67E9E" w:rsidP="007F74AA">
            <w:pPr>
              <w:pStyle w:val="StdBodyText"/>
              <w:spacing w:before="0" w:after="0"/>
              <w:rPr>
                <w:rFonts w:cs="Arial"/>
                <w:sz w:val="21"/>
                <w:szCs w:val="21"/>
              </w:rPr>
            </w:pPr>
            <w:r w:rsidRPr="003C4C9C">
              <w:rPr>
                <w:rFonts w:cs="Arial"/>
                <w:sz w:val="21"/>
                <w:szCs w:val="21"/>
              </w:rPr>
              <w:t>Column 10</w:t>
            </w:r>
          </w:p>
        </w:tc>
        <w:tc>
          <w:tcPr>
            <w:tcW w:w="1328" w:type="dxa"/>
            <w:vAlign w:val="bottom"/>
          </w:tcPr>
          <w:p w14:paraId="0E9BB680" w14:textId="77777777" w:rsidR="00F67E9E" w:rsidRPr="003C4C9C" w:rsidRDefault="00F67E9E" w:rsidP="007F74AA">
            <w:pPr>
              <w:pStyle w:val="StdBodyText"/>
              <w:spacing w:before="0" w:after="0"/>
              <w:rPr>
                <w:rFonts w:cs="Arial"/>
                <w:sz w:val="21"/>
                <w:szCs w:val="21"/>
              </w:rPr>
            </w:pPr>
            <w:r w:rsidRPr="003C4C9C">
              <w:rPr>
                <w:rFonts w:cs="Arial"/>
                <w:sz w:val="21"/>
                <w:szCs w:val="21"/>
              </w:rPr>
              <w:t>Column 11</w:t>
            </w:r>
          </w:p>
        </w:tc>
      </w:tr>
      <w:tr w:rsidR="00F67E9E" w:rsidRPr="003C4C9C" w14:paraId="13C904B8" w14:textId="77777777" w:rsidTr="007F74AA">
        <w:trPr>
          <w:cnfStyle w:val="100000000000" w:firstRow="1" w:lastRow="0" w:firstColumn="0" w:lastColumn="0" w:oddVBand="0" w:evenVBand="0" w:oddHBand="0" w:evenHBand="0" w:firstRowFirstColumn="0" w:firstRowLastColumn="0" w:lastRowFirstColumn="0" w:lastRowLastColumn="0"/>
          <w:tblHeader/>
        </w:trPr>
        <w:tc>
          <w:tcPr>
            <w:tcW w:w="1077" w:type="dxa"/>
            <w:vAlign w:val="bottom"/>
          </w:tcPr>
          <w:p w14:paraId="6C1445BA" w14:textId="77777777" w:rsidR="00F67E9E" w:rsidRPr="003C4C9C" w:rsidRDefault="00F67E9E" w:rsidP="007F74AA">
            <w:pPr>
              <w:pStyle w:val="StdBodyText"/>
              <w:spacing w:before="0" w:after="0"/>
              <w:rPr>
                <w:rFonts w:cs="Arial"/>
                <w:sz w:val="21"/>
                <w:szCs w:val="21"/>
              </w:rPr>
            </w:pPr>
            <w:r w:rsidRPr="003C4C9C">
              <w:rPr>
                <w:rFonts w:cs="Arial"/>
                <w:sz w:val="21"/>
                <w:szCs w:val="21"/>
              </w:rPr>
              <w:t>Ref</w:t>
            </w:r>
          </w:p>
        </w:tc>
        <w:tc>
          <w:tcPr>
            <w:tcW w:w="1328" w:type="dxa"/>
            <w:vAlign w:val="bottom"/>
          </w:tcPr>
          <w:p w14:paraId="60C3E23C" w14:textId="77777777" w:rsidR="00F67E9E" w:rsidRPr="003C4C9C" w:rsidRDefault="00F67E9E" w:rsidP="007F74AA">
            <w:pPr>
              <w:pStyle w:val="StdBodyText"/>
              <w:spacing w:before="0" w:after="0"/>
              <w:rPr>
                <w:rFonts w:cs="Arial"/>
                <w:sz w:val="21"/>
                <w:szCs w:val="21"/>
              </w:rPr>
            </w:pPr>
            <w:r w:rsidRPr="003C4C9C">
              <w:rPr>
                <w:rFonts w:cs="Arial"/>
                <w:sz w:val="21"/>
                <w:szCs w:val="21"/>
              </w:rPr>
              <w:t>Description of proposed Allowable Assumption</w:t>
            </w:r>
          </w:p>
        </w:tc>
        <w:tc>
          <w:tcPr>
            <w:tcW w:w="1666" w:type="dxa"/>
            <w:vAlign w:val="bottom"/>
          </w:tcPr>
          <w:p w14:paraId="55CB06C4" w14:textId="77777777" w:rsidR="00F67E9E" w:rsidRPr="003C4C9C" w:rsidRDefault="00F67E9E" w:rsidP="007F74AA">
            <w:pPr>
              <w:pStyle w:val="StdBodyText"/>
              <w:spacing w:before="0" w:after="0"/>
              <w:rPr>
                <w:rFonts w:cs="Arial"/>
                <w:sz w:val="21"/>
                <w:szCs w:val="21"/>
              </w:rPr>
            </w:pPr>
            <w:r w:rsidRPr="003C4C9C">
              <w:rPr>
                <w:rFonts w:cs="Arial"/>
                <w:sz w:val="21"/>
                <w:szCs w:val="21"/>
              </w:rPr>
              <w:t xml:space="preserve">Impact on the Implementation Plan if the Allowable Assumption is not accurate </w:t>
            </w:r>
          </w:p>
        </w:tc>
        <w:tc>
          <w:tcPr>
            <w:tcW w:w="1396" w:type="dxa"/>
            <w:vAlign w:val="bottom"/>
          </w:tcPr>
          <w:p w14:paraId="68CF676A" w14:textId="77777777" w:rsidR="00F67E9E" w:rsidRPr="003C4C9C" w:rsidRDefault="00F67E9E" w:rsidP="007F74AA">
            <w:pPr>
              <w:pStyle w:val="StdBodyText"/>
              <w:spacing w:before="0" w:after="0"/>
              <w:rPr>
                <w:rFonts w:cs="Arial"/>
                <w:sz w:val="21"/>
                <w:szCs w:val="21"/>
              </w:rPr>
            </w:pPr>
            <w:r w:rsidRPr="003C4C9C">
              <w:rPr>
                <w:rFonts w:cs="Arial"/>
                <w:sz w:val="21"/>
                <w:szCs w:val="21"/>
              </w:rPr>
              <w:t>Cost Impact (maximum, minimum and most likely values if the Allowable Assumption is not accurate)</w:t>
            </w:r>
          </w:p>
        </w:tc>
        <w:tc>
          <w:tcPr>
            <w:tcW w:w="1246" w:type="dxa"/>
            <w:vAlign w:val="bottom"/>
          </w:tcPr>
          <w:p w14:paraId="77BF4205" w14:textId="77777777" w:rsidR="00F67E9E" w:rsidRPr="003C4C9C" w:rsidRDefault="00F67E9E" w:rsidP="007F74AA">
            <w:pPr>
              <w:pStyle w:val="StdBodyText"/>
              <w:spacing w:before="0" w:after="0"/>
              <w:rPr>
                <w:rFonts w:cs="Arial"/>
                <w:sz w:val="21"/>
                <w:szCs w:val="21"/>
              </w:rPr>
            </w:pPr>
            <w:r w:rsidRPr="003C4C9C">
              <w:rPr>
                <w:rFonts w:cs="Arial"/>
                <w:sz w:val="21"/>
                <w:szCs w:val="21"/>
              </w:rPr>
              <w:t>Basis of Calculation of Cost Impact</w:t>
            </w:r>
          </w:p>
        </w:tc>
        <w:tc>
          <w:tcPr>
            <w:tcW w:w="1176" w:type="dxa"/>
            <w:vAlign w:val="bottom"/>
          </w:tcPr>
          <w:p w14:paraId="7F54A4F6" w14:textId="77777777" w:rsidR="00F67E9E" w:rsidRPr="003C4C9C" w:rsidRDefault="00F67E9E" w:rsidP="007F74AA">
            <w:pPr>
              <w:pStyle w:val="StdBodyText"/>
              <w:spacing w:before="0" w:after="0"/>
              <w:rPr>
                <w:rFonts w:cs="Arial"/>
                <w:sz w:val="21"/>
                <w:szCs w:val="21"/>
              </w:rPr>
            </w:pPr>
            <w:r w:rsidRPr="003C4C9C">
              <w:rPr>
                <w:rFonts w:cs="Arial"/>
                <w:sz w:val="21"/>
                <w:szCs w:val="21"/>
              </w:rPr>
              <w:t xml:space="preserve">Applicable Profit Margin </w:t>
            </w:r>
          </w:p>
        </w:tc>
        <w:tc>
          <w:tcPr>
            <w:tcW w:w="1440" w:type="dxa"/>
            <w:vAlign w:val="bottom"/>
          </w:tcPr>
          <w:p w14:paraId="6D4967FA" w14:textId="77777777" w:rsidR="00F67E9E" w:rsidRPr="003C4C9C" w:rsidRDefault="00F67E9E" w:rsidP="007F74AA">
            <w:pPr>
              <w:pStyle w:val="StdBodyText"/>
              <w:spacing w:before="0" w:after="0"/>
              <w:rPr>
                <w:rFonts w:cs="Arial"/>
                <w:sz w:val="21"/>
                <w:szCs w:val="21"/>
              </w:rPr>
            </w:pPr>
            <w:r w:rsidRPr="003C4C9C">
              <w:rPr>
                <w:rFonts w:cs="Arial"/>
                <w:sz w:val="21"/>
                <w:szCs w:val="21"/>
              </w:rPr>
              <w:t>Charge Impact (maximum, minimum and most likely values if the Allowable Assumption is not accurate)</w:t>
            </w:r>
          </w:p>
        </w:tc>
        <w:tc>
          <w:tcPr>
            <w:tcW w:w="1398" w:type="dxa"/>
            <w:vAlign w:val="bottom"/>
          </w:tcPr>
          <w:p w14:paraId="3426D057" w14:textId="77777777" w:rsidR="00F67E9E" w:rsidRPr="003C4C9C" w:rsidRDefault="00F67E9E" w:rsidP="007F74AA">
            <w:pPr>
              <w:pStyle w:val="StdBodyText"/>
              <w:spacing w:before="0" w:after="0"/>
              <w:rPr>
                <w:rFonts w:cs="Arial"/>
                <w:sz w:val="21"/>
                <w:szCs w:val="21"/>
              </w:rPr>
            </w:pPr>
            <w:r w:rsidRPr="003C4C9C">
              <w:rPr>
                <w:rFonts w:cs="Arial"/>
                <w:sz w:val="21"/>
                <w:szCs w:val="21"/>
              </w:rPr>
              <w:t>Verification Method (how the Supplier will verify the Allowable Assumption)</w:t>
            </w:r>
          </w:p>
        </w:tc>
        <w:tc>
          <w:tcPr>
            <w:tcW w:w="1814" w:type="dxa"/>
            <w:vAlign w:val="bottom"/>
          </w:tcPr>
          <w:p w14:paraId="50137072" w14:textId="77777777" w:rsidR="00F67E9E" w:rsidRPr="003C4C9C" w:rsidRDefault="00F67E9E" w:rsidP="007F74AA">
            <w:pPr>
              <w:pStyle w:val="StdBodyText"/>
              <w:spacing w:before="0" w:after="0"/>
              <w:rPr>
                <w:rFonts w:cs="Arial"/>
                <w:sz w:val="21"/>
                <w:szCs w:val="21"/>
              </w:rPr>
            </w:pPr>
            <w:r w:rsidRPr="003C4C9C">
              <w:rPr>
                <w:rFonts w:cs="Arial"/>
                <w:sz w:val="21"/>
                <w:szCs w:val="21"/>
              </w:rPr>
              <w:t>Trigger for Invocation (what will determine that the Implementation Plan and/or Financial Model may require adjustment for the Allowable Assumption)</w:t>
            </w:r>
          </w:p>
        </w:tc>
        <w:tc>
          <w:tcPr>
            <w:tcW w:w="1293" w:type="dxa"/>
            <w:vAlign w:val="bottom"/>
          </w:tcPr>
          <w:p w14:paraId="14CDB343" w14:textId="77777777" w:rsidR="00F67E9E" w:rsidRPr="003C4C9C" w:rsidRDefault="00F67E9E" w:rsidP="007F74AA">
            <w:pPr>
              <w:pStyle w:val="StdBodyText"/>
              <w:spacing w:before="0" w:after="0"/>
              <w:rPr>
                <w:rFonts w:cs="Arial"/>
                <w:sz w:val="21"/>
                <w:szCs w:val="21"/>
              </w:rPr>
            </w:pPr>
            <w:r w:rsidRPr="003C4C9C">
              <w:rPr>
                <w:rFonts w:cs="Arial"/>
                <w:sz w:val="21"/>
                <w:szCs w:val="21"/>
              </w:rPr>
              <w:t>Period of Impact (period that the updated assumption will have an impact)</w:t>
            </w:r>
          </w:p>
        </w:tc>
        <w:tc>
          <w:tcPr>
            <w:tcW w:w="1328" w:type="dxa"/>
            <w:vAlign w:val="bottom"/>
          </w:tcPr>
          <w:p w14:paraId="3262CFC2" w14:textId="77777777" w:rsidR="00F67E9E" w:rsidRPr="003C4C9C" w:rsidRDefault="00F67E9E" w:rsidP="007F74AA">
            <w:pPr>
              <w:pStyle w:val="StdBodyText"/>
              <w:spacing w:before="0" w:after="0"/>
              <w:rPr>
                <w:rFonts w:cs="Arial"/>
                <w:sz w:val="21"/>
                <w:szCs w:val="21"/>
              </w:rPr>
            </w:pPr>
            <w:r w:rsidRPr="003C4C9C">
              <w:rPr>
                <w:rFonts w:cs="Arial"/>
                <w:sz w:val="21"/>
                <w:szCs w:val="21"/>
              </w:rPr>
              <w:t>Expiry Date (Date at which the Allowable Assumption expires)</w:t>
            </w:r>
          </w:p>
        </w:tc>
      </w:tr>
      <w:tr w:rsidR="00F67E9E" w:rsidRPr="003C4C9C" w14:paraId="73B1AE95" w14:textId="77777777" w:rsidTr="007F74AA">
        <w:tc>
          <w:tcPr>
            <w:tcW w:w="1077" w:type="dxa"/>
          </w:tcPr>
          <w:p w14:paraId="21C6C603" w14:textId="77777777" w:rsidR="00F67E9E" w:rsidRPr="003C4C9C" w:rsidRDefault="00F67E9E" w:rsidP="007F74AA">
            <w:pPr>
              <w:pStyle w:val="StdBodyText"/>
              <w:spacing w:before="0" w:after="0"/>
              <w:rPr>
                <w:rFonts w:cs="Arial"/>
                <w:sz w:val="21"/>
                <w:szCs w:val="21"/>
              </w:rPr>
            </w:pPr>
          </w:p>
        </w:tc>
        <w:tc>
          <w:tcPr>
            <w:tcW w:w="1328" w:type="dxa"/>
          </w:tcPr>
          <w:p w14:paraId="61A71949" w14:textId="77777777" w:rsidR="00F67E9E" w:rsidRPr="003C4C9C" w:rsidRDefault="00F67E9E" w:rsidP="007F74AA">
            <w:pPr>
              <w:pStyle w:val="StdBodyText"/>
              <w:spacing w:before="0" w:after="0"/>
              <w:rPr>
                <w:rFonts w:cs="Arial"/>
                <w:sz w:val="21"/>
                <w:szCs w:val="21"/>
              </w:rPr>
            </w:pPr>
          </w:p>
        </w:tc>
        <w:tc>
          <w:tcPr>
            <w:tcW w:w="1666" w:type="dxa"/>
          </w:tcPr>
          <w:p w14:paraId="6281E833" w14:textId="77777777" w:rsidR="00F67E9E" w:rsidRPr="003C4C9C" w:rsidRDefault="00F67E9E" w:rsidP="007F74AA">
            <w:pPr>
              <w:pStyle w:val="StdBodyText"/>
              <w:spacing w:before="0" w:after="0"/>
              <w:rPr>
                <w:rFonts w:cs="Arial"/>
                <w:sz w:val="21"/>
                <w:szCs w:val="21"/>
              </w:rPr>
            </w:pPr>
          </w:p>
        </w:tc>
        <w:tc>
          <w:tcPr>
            <w:tcW w:w="1396" w:type="dxa"/>
          </w:tcPr>
          <w:p w14:paraId="2CB5CED6" w14:textId="77777777" w:rsidR="00F67E9E" w:rsidRPr="003C4C9C" w:rsidRDefault="00F67E9E" w:rsidP="007F74AA">
            <w:pPr>
              <w:pStyle w:val="StdBodyText"/>
              <w:spacing w:before="0" w:after="0"/>
              <w:rPr>
                <w:rFonts w:cs="Arial"/>
                <w:sz w:val="21"/>
                <w:szCs w:val="21"/>
              </w:rPr>
            </w:pPr>
          </w:p>
        </w:tc>
        <w:tc>
          <w:tcPr>
            <w:tcW w:w="1246" w:type="dxa"/>
          </w:tcPr>
          <w:p w14:paraId="55CCA735" w14:textId="77777777" w:rsidR="00F67E9E" w:rsidRPr="003C4C9C" w:rsidRDefault="00F67E9E" w:rsidP="007F74AA">
            <w:pPr>
              <w:pStyle w:val="StdBodyText"/>
              <w:spacing w:before="0" w:after="0"/>
              <w:rPr>
                <w:rFonts w:cs="Arial"/>
                <w:sz w:val="21"/>
                <w:szCs w:val="21"/>
              </w:rPr>
            </w:pPr>
          </w:p>
        </w:tc>
        <w:tc>
          <w:tcPr>
            <w:tcW w:w="1176" w:type="dxa"/>
          </w:tcPr>
          <w:p w14:paraId="27377053" w14:textId="77777777" w:rsidR="00F67E9E" w:rsidRPr="003C4C9C" w:rsidRDefault="00F67E9E" w:rsidP="007F74AA">
            <w:pPr>
              <w:pStyle w:val="StdBodyText"/>
              <w:spacing w:before="0" w:after="0"/>
              <w:rPr>
                <w:rFonts w:cs="Arial"/>
                <w:sz w:val="21"/>
                <w:szCs w:val="21"/>
              </w:rPr>
            </w:pPr>
          </w:p>
        </w:tc>
        <w:tc>
          <w:tcPr>
            <w:tcW w:w="1440" w:type="dxa"/>
          </w:tcPr>
          <w:p w14:paraId="14DCF25A" w14:textId="77777777" w:rsidR="00F67E9E" w:rsidRPr="003C4C9C" w:rsidRDefault="00F67E9E" w:rsidP="007F74AA">
            <w:pPr>
              <w:pStyle w:val="StdBodyText"/>
              <w:spacing w:before="0" w:after="0"/>
              <w:rPr>
                <w:rFonts w:cs="Arial"/>
                <w:sz w:val="21"/>
                <w:szCs w:val="21"/>
              </w:rPr>
            </w:pPr>
          </w:p>
        </w:tc>
        <w:tc>
          <w:tcPr>
            <w:tcW w:w="1398" w:type="dxa"/>
          </w:tcPr>
          <w:p w14:paraId="7B4A2422" w14:textId="77777777" w:rsidR="00F67E9E" w:rsidRPr="003C4C9C" w:rsidRDefault="00F67E9E" w:rsidP="007F74AA">
            <w:pPr>
              <w:pStyle w:val="StdBodyText"/>
              <w:spacing w:before="0" w:after="0"/>
              <w:rPr>
                <w:rFonts w:cs="Arial"/>
                <w:sz w:val="21"/>
                <w:szCs w:val="21"/>
              </w:rPr>
            </w:pPr>
          </w:p>
        </w:tc>
        <w:tc>
          <w:tcPr>
            <w:tcW w:w="1814" w:type="dxa"/>
          </w:tcPr>
          <w:p w14:paraId="66592A74" w14:textId="77777777" w:rsidR="00F67E9E" w:rsidRPr="003C4C9C" w:rsidRDefault="00F67E9E" w:rsidP="007F74AA">
            <w:pPr>
              <w:pStyle w:val="StdBodyText"/>
              <w:spacing w:before="0" w:after="0"/>
              <w:rPr>
                <w:rFonts w:cs="Arial"/>
                <w:sz w:val="21"/>
                <w:szCs w:val="21"/>
              </w:rPr>
            </w:pPr>
          </w:p>
        </w:tc>
        <w:tc>
          <w:tcPr>
            <w:tcW w:w="1293" w:type="dxa"/>
          </w:tcPr>
          <w:p w14:paraId="05BE98F5" w14:textId="77777777" w:rsidR="00F67E9E" w:rsidRPr="003C4C9C" w:rsidRDefault="00F67E9E" w:rsidP="007F74AA">
            <w:pPr>
              <w:pStyle w:val="StdBodyText"/>
              <w:spacing w:before="0" w:after="0"/>
              <w:rPr>
                <w:rFonts w:cs="Arial"/>
                <w:sz w:val="21"/>
                <w:szCs w:val="21"/>
              </w:rPr>
            </w:pPr>
          </w:p>
        </w:tc>
        <w:tc>
          <w:tcPr>
            <w:tcW w:w="1328" w:type="dxa"/>
          </w:tcPr>
          <w:p w14:paraId="7BFEA94B" w14:textId="77777777" w:rsidR="00F67E9E" w:rsidRPr="003C4C9C" w:rsidRDefault="00F67E9E" w:rsidP="007F74AA">
            <w:pPr>
              <w:pStyle w:val="StdBodyText"/>
              <w:spacing w:before="0" w:after="0"/>
              <w:rPr>
                <w:rFonts w:cs="Arial"/>
                <w:sz w:val="21"/>
                <w:szCs w:val="21"/>
              </w:rPr>
            </w:pPr>
          </w:p>
        </w:tc>
      </w:tr>
      <w:tr w:rsidR="00F67E9E" w:rsidRPr="003C4C9C" w14:paraId="4DE9C750" w14:textId="77777777" w:rsidTr="007F74AA">
        <w:tc>
          <w:tcPr>
            <w:tcW w:w="1077" w:type="dxa"/>
          </w:tcPr>
          <w:p w14:paraId="02839294" w14:textId="77777777" w:rsidR="00F67E9E" w:rsidRPr="003C4C9C" w:rsidRDefault="00F67E9E" w:rsidP="007F74AA">
            <w:pPr>
              <w:pStyle w:val="StdBodyText"/>
              <w:spacing w:before="0" w:after="0"/>
              <w:rPr>
                <w:rFonts w:cs="Arial"/>
                <w:sz w:val="21"/>
                <w:szCs w:val="21"/>
              </w:rPr>
            </w:pPr>
          </w:p>
        </w:tc>
        <w:tc>
          <w:tcPr>
            <w:tcW w:w="1328" w:type="dxa"/>
          </w:tcPr>
          <w:p w14:paraId="0C9AE267" w14:textId="77777777" w:rsidR="00F67E9E" w:rsidRPr="003C4C9C" w:rsidRDefault="00F67E9E" w:rsidP="007F74AA">
            <w:pPr>
              <w:pStyle w:val="StdBodyText"/>
              <w:spacing w:before="0" w:after="0"/>
              <w:rPr>
                <w:rFonts w:cs="Arial"/>
                <w:sz w:val="21"/>
                <w:szCs w:val="21"/>
              </w:rPr>
            </w:pPr>
          </w:p>
        </w:tc>
        <w:tc>
          <w:tcPr>
            <w:tcW w:w="1666" w:type="dxa"/>
          </w:tcPr>
          <w:p w14:paraId="2CEC4A76" w14:textId="77777777" w:rsidR="00F67E9E" w:rsidRPr="003C4C9C" w:rsidRDefault="00F67E9E" w:rsidP="007F74AA">
            <w:pPr>
              <w:pStyle w:val="StdBodyText"/>
              <w:spacing w:before="0" w:after="0"/>
              <w:rPr>
                <w:rFonts w:cs="Arial"/>
                <w:sz w:val="21"/>
                <w:szCs w:val="21"/>
              </w:rPr>
            </w:pPr>
          </w:p>
        </w:tc>
        <w:tc>
          <w:tcPr>
            <w:tcW w:w="1396" w:type="dxa"/>
          </w:tcPr>
          <w:p w14:paraId="7FF14E72" w14:textId="77777777" w:rsidR="00F67E9E" w:rsidRPr="003C4C9C" w:rsidRDefault="00F67E9E" w:rsidP="007F74AA">
            <w:pPr>
              <w:pStyle w:val="StdBodyText"/>
              <w:spacing w:before="0" w:after="0"/>
              <w:rPr>
                <w:rFonts w:cs="Arial"/>
                <w:sz w:val="21"/>
                <w:szCs w:val="21"/>
              </w:rPr>
            </w:pPr>
          </w:p>
        </w:tc>
        <w:tc>
          <w:tcPr>
            <w:tcW w:w="1246" w:type="dxa"/>
          </w:tcPr>
          <w:p w14:paraId="675B6834" w14:textId="77777777" w:rsidR="00F67E9E" w:rsidRPr="003C4C9C" w:rsidRDefault="00F67E9E" w:rsidP="007F74AA">
            <w:pPr>
              <w:pStyle w:val="StdBodyText"/>
              <w:spacing w:before="0" w:after="0"/>
              <w:rPr>
                <w:rFonts w:cs="Arial"/>
                <w:sz w:val="21"/>
                <w:szCs w:val="21"/>
              </w:rPr>
            </w:pPr>
          </w:p>
        </w:tc>
        <w:tc>
          <w:tcPr>
            <w:tcW w:w="1176" w:type="dxa"/>
          </w:tcPr>
          <w:p w14:paraId="38B993FE" w14:textId="77777777" w:rsidR="00F67E9E" w:rsidRPr="003C4C9C" w:rsidRDefault="00F67E9E" w:rsidP="007F74AA">
            <w:pPr>
              <w:pStyle w:val="StdBodyText"/>
              <w:spacing w:before="0" w:after="0"/>
              <w:rPr>
                <w:rFonts w:cs="Arial"/>
                <w:sz w:val="21"/>
                <w:szCs w:val="21"/>
              </w:rPr>
            </w:pPr>
          </w:p>
        </w:tc>
        <w:tc>
          <w:tcPr>
            <w:tcW w:w="1440" w:type="dxa"/>
          </w:tcPr>
          <w:p w14:paraId="426F4FD7" w14:textId="77777777" w:rsidR="00F67E9E" w:rsidRPr="003C4C9C" w:rsidRDefault="00F67E9E" w:rsidP="007F74AA">
            <w:pPr>
              <w:pStyle w:val="StdBodyText"/>
              <w:spacing w:before="0" w:after="0"/>
              <w:rPr>
                <w:rFonts w:cs="Arial"/>
                <w:sz w:val="21"/>
                <w:szCs w:val="21"/>
              </w:rPr>
            </w:pPr>
          </w:p>
        </w:tc>
        <w:tc>
          <w:tcPr>
            <w:tcW w:w="1398" w:type="dxa"/>
          </w:tcPr>
          <w:p w14:paraId="4356B968" w14:textId="77777777" w:rsidR="00F67E9E" w:rsidRPr="003C4C9C" w:rsidRDefault="00F67E9E" w:rsidP="007F74AA">
            <w:pPr>
              <w:pStyle w:val="StdBodyText"/>
              <w:spacing w:before="0" w:after="0"/>
              <w:rPr>
                <w:rFonts w:cs="Arial"/>
                <w:sz w:val="21"/>
                <w:szCs w:val="21"/>
              </w:rPr>
            </w:pPr>
          </w:p>
        </w:tc>
        <w:tc>
          <w:tcPr>
            <w:tcW w:w="1814" w:type="dxa"/>
          </w:tcPr>
          <w:p w14:paraId="71139D80" w14:textId="77777777" w:rsidR="00F67E9E" w:rsidRPr="003C4C9C" w:rsidRDefault="00F67E9E" w:rsidP="007F74AA">
            <w:pPr>
              <w:pStyle w:val="StdBodyText"/>
              <w:spacing w:before="0" w:after="0"/>
              <w:rPr>
                <w:rFonts w:cs="Arial"/>
                <w:sz w:val="21"/>
                <w:szCs w:val="21"/>
              </w:rPr>
            </w:pPr>
          </w:p>
        </w:tc>
        <w:tc>
          <w:tcPr>
            <w:tcW w:w="1293" w:type="dxa"/>
          </w:tcPr>
          <w:p w14:paraId="188E25B9" w14:textId="77777777" w:rsidR="00F67E9E" w:rsidRPr="003C4C9C" w:rsidRDefault="00F67E9E" w:rsidP="007F74AA">
            <w:pPr>
              <w:pStyle w:val="StdBodyText"/>
              <w:spacing w:before="0" w:after="0"/>
              <w:rPr>
                <w:rFonts w:cs="Arial"/>
                <w:sz w:val="21"/>
                <w:szCs w:val="21"/>
              </w:rPr>
            </w:pPr>
          </w:p>
        </w:tc>
        <w:tc>
          <w:tcPr>
            <w:tcW w:w="1328" w:type="dxa"/>
          </w:tcPr>
          <w:p w14:paraId="2049E52E" w14:textId="77777777" w:rsidR="00F67E9E" w:rsidRPr="003C4C9C" w:rsidRDefault="00F67E9E" w:rsidP="007F74AA">
            <w:pPr>
              <w:pStyle w:val="StdBodyText"/>
              <w:spacing w:before="0" w:after="0"/>
              <w:rPr>
                <w:rFonts w:cs="Arial"/>
                <w:sz w:val="21"/>
                <w:szCs w:val="21"/>
              </w:rPr>
            </w:pPr>
          </w:p>
        </w:tc>
      </w:tr>
      <w:tr w:rsidR="00F67E9E" w:rsidRPr="003C4C9C" w14:paraId="2901CC15" w14:textId="77777777" w:rsidTr="007F74AA">
        <w:tc>
          <w:tcPr>
            <w:tcW w:w="1077" w:type="dxa"/>
          </w:tcPr>
          <w:p w14:paraId="1C902B58" w14:textId="77777777" w:rsidR="00F67E9E" w:rsidRPr="003C4C9C" w:rsidRDefault="00F67E9E" w:rsidP="007F74AA">
            <w:pPr>
              <w:pStyle w:val="StdBodyText"/>
              <w:spacing w:before="0" w:after="0"/>
              <w:rPr>
                <w:rFonts w:cs="Arial"/>
                <w:sz w:val="21"/>
                <w:szCs w:val="21"/>
              </w:rPr>
            </w:pPr>
          </w:p>
        </w:tc>
        <w:tc>
          <w:tcPr>
            <w:tcW w:w="1328" w:type="dxa"/>
          </w:tcPr>
          <w:p w14:paraId="61DB9C4B" w14:textId="77777777" w:rsidR="00F67E9E" w:rsidRPr="003C4C9C" w:rsidRDefault="00F67E9E" w:rsidP="007F74AA">
            <w:pPr>
              <w:pStyle w:val="StdBodyText"/>
              <w:spacing w:before="0" w:after="0"/>
              <w:rPr>
                <w:rFonts w:cs="Arial"/>
                <w:sz w:val="21"/>
                <w:szCs w:val="21"/>
              </w:rPr>
            </w:pPr>
          </w:p>
        </w:tc>
        <w:tc>
          <w:tcPr>
            <w:tcW w:w="1666" w:type="dxa"/>
          </w:tcPr>
          <w:p w14:paraId="4107D478" w14:textId="77777777" w:rsidR="00F67E9E" w:rsidRPr="003C4C9C" w:rsidRDefault="00F67E9E" w:rsidP="007F74AA">
            <w:pPr>
              <w:pStyle w:val="StdBodyText"/>
              <w:spacing w:before="0" w:after="0"/>
              <w:rPr>
                <w:rFonts w:cs="Arial"/>
                <w:sz w:val="21"/>
                <w:szCs w:val="21"/>
              </w:rPr>
            </w:pPr>
          </w:p>
        </w:tc>
        <w:tc>
          <w:tcPr>
            <w:tcW w:w="1396" w:type="dxa"/>
          </w:tcPr>
          <w:p w14:paraId="646ED6A9" w14:textId="77777777" w:rsidR="00F67E9E" w:rsidRPr="003C4C9C" w:rsidRDefault="00F67E9E" w:rsidP="007F74AA">
            <w:pPr>
              <w:pStyle w:val="StdBodyText"/>
              <w:spacing w:before="0" w:after="0"/>
              <w:rPr>
                <w:rFonts w:cs="Arial"/>
                <w:sz w:val="21"/>
                <w:szCs w:val="21"/>
              </w:rPr>
            </w:pPr>
          </w:p>
        </w:tc>
        <w:tc>
          <w:tcPr>
            <w:tcW w:w="1246" w:type="dxa"/>
          </w:tcPr>
          <w:p w14:paraId="0B2DEDC9" w14:textId="77777777" w:rsidR="00F67E9E" w:rsidRPr="003C4C9C" w:rsidRDefault="00F67E9E" w:rsidP="007F74AA">
            <w:pPr>
              <w:pStyle w:val="StdBodyText"/>
              <w:spacing w:before="0" w:after="0"/>
              <w:rPr>
                <w:rFonts w:cs="Arial"/>
                <w:sz w:val="21"/>
                <w:szCs w:val="21"/>
              </w:rPr>
            </w:pPr>
          </w:p>
        </w:tc>
        <w:tc>
          <w:tcPr>
            <w:tcW w:w="1176" w:type="dxa"/>
          </w:tcPr>
          <w:p w14:paraId="7C07EA11" w14:textId="77777777" w:rsidR="00F67E9E" w:rsidRPr="003C4C9C" w:rsidRDefault="00F67E9E" w:rsidP="007F74AA">
            <w:pPr>
              <w:pStyle w:val="StdBodyText"/>
              <w:spacing w:before="0" w:after="0"/>
              <w:rPr>
                <w:rFonts w:cs="Arial"/>
                <w:sz w:val="21"/>
                <w:szCs w:val="21"/>
              </w:rPr>
            </w:pPr>
          </w:p>
        </w:tc>
        <w:tc>
          <w:tcPr>
            <w:tcW w:w="1440" w:type="dxa"/>
          </w:tcPr>
          <w:p w14:paraId="56AB9B44" w14:textId="77777777" w:rsidR="00F67E9E" w:rsidRPr="003C4C9C" w:rsidRDefault="00F67E9E" w:rsidP="007F74AA">
            <w:pPr>
              <w:pStyle w:val="StdBodyText"/>
              <w:spacing w:before="0" w:after="0"/>
              <w:rPr>
                <w:rFonts w:cs="Arial"/>
                <w:sz w:val="21"/>
                <w:szCs w:val="21"/>
              </w:rPr>
            </w:pPr>
          </w:p>
        </w:tc>
        <w:tc>
          <w:tcPr>
            <w:tcW w:w="1398" w:type="dxa"/>
          </w:tcPr>
          <w:p w14:paraId="10705ABF" w14:textId="77777777" w:rsidR="00F67E9E" w:rsidRPr="003C4C9C" w:rsidRDefault="00F67E9E" w:rsidP="007F74AA">
            <w:pPr>
              <w:pStyle w:val="StdBodyText"/>
              <w:spacing w:before="0" w:after="0"/>
              <w:rPr>
                <w:rFonts w:cs="Arial"/>
                <w:sz w:val="21"/>
                <w:szCs w:val="21"/>
              </w:rPr>
            </w:pPr>
          </w:p>
        </w:tc>
        <w:tc>
          <w:tcPr>
            <w:tcW w:w="1814" w:type="dxa"/>
          </w:tcPr>
          <w:p w14:paraId="4155F919" w14:textId="77777777" w:rsidR="00F67E9E" w:rsidRPr="003C4C9C" w:rsidRDefault="00F67E9E" w:rsidP="007F74AA">
            <w:pPr>
              <w:pStyle w:val="StdBodyText"/>
              <w:spacing w:before="0" w:after="0"/>
              <w:rPr>
                <w:rFonts w:cs="Arial"/>
                <w:sz w:val="21"/>
                <w:szCs w:val="21"/>
              </w:rPr>
            </w:pPr>
          </w:p>
        </w:tc>
        <w:tc>
          <w:tcPr>
            <w:tcW w:w="1293" w:type="dxa"/>
          </w:tcPr>
          <w:p w14:paraId="1A421844" w14:textId="77777777" w:rsidR="00F67E9E" w:rsidRPr="003C4C9C" w:rsidRDefault="00F67E9E" w:rsidP="007F74AA">
            <w:pPr>
              <w:pStyle w:val="StdBodyText"/>
              <w:spacing w:before="0" w:after="0"/>
              <w:rPr>
                <w:rFonts w:cs="Arial"/>
                <w:sz w:val="21"/>
                <w:szCs w:val="21"/>
              </w:rPr>
            </w:pPr>
          </w:p>
        </w:tc>
        <w:tc>
          <w:tcPr>
            <w:tcW w:w="1328" w:type="dxa"/>
          </w:tcPr>
          <w:p w14:paraId="74A9968E" w14:textId="77777777" w:rsidR="00F67E9E" w:rsidRPr="003C4C9C" w:rsidRDefault="00F67E9E" w:rsidP="007F74AA">
            <w:pPr>
              <w:pStyle w:val="StdBodyText"/>
              <w:spacing w:before="0" w:after="0"/>
              <w:rPr>
                <w:rFonts w:cs="Arial"/>
                <w:sz w:val="21"/>
                <w:szCs w:val="21"/>
              </w:rPr>
            </w:pPr>
          </w:p>
        </w:tc>
      </w:tr>
    </w:tbl>
    <w:p w14:paraId="44FF1D44" w14:textId="77777777" w:rsidR="00F67E9E" w:rsidRPr="00277440" w:rsidRDefault="00F67E9E" w:rsidP="00F67E9E">
      <w:pPr>
        <w:rPr>
          <w:rFonts w:cs="Arial"/>
          <w:szCs w:val="24"/>
        </w:rPr>
      </w:pPr>
    </w:p>
    <w:p w14:paraId="0A12992A" w14:textId="77777777" w:rsidR="00F67E9E" w:rsidRDefault="00F67E9E" w:rsidP="00F67E9E"/>
    <w:p w14:paraId="068AA379" w14:textId="77777777" w:rsidR="00F67E9E" w:rsidRDefault="00F67E9E" w:rsidP="00F67E9E"/>
    <w:p w14:paraId="0FAE09D0" w14:textId="77777777" w:rsidR="00F67E9E" w:rsidRDefault="00F67E9E" w:rsidP="00F67E9E">
      <w:pPr>
        <w:sectPr w:rsidR="00F67E9E" w:rsidSect="00240D26">
          <w:footerReference w:type="default" r:id="rId93"/>
          <w:pgSz w:w="16840" w:h="11900" w:orient="landscape" w:code="9"/>
          <w:pgMar w:top="1701" w:right="851" w:bottom="1134" w:left="851" w:header="567" w:footer="567" w:gutter="0"/>
          <w:cols w:space="720"/>
          <w:docGrid w:linePitch="360"/>
        </w:sectPr>
      </w:pPr>
    </w:p>
    <w:p w14:paraId="22BB3486" w14:textId="77777777" w:rsidR="00F67E9E" w:rsidRPr="00174F30" w:rsidRDefault="00F67E9E" w:rsidP="00F67E9E">
      <w:pPr>
        <w:pStyle w:val="Dividername"/>
      </w:pPr>
      <w:r w:rsidRPr="00174F30">
        <w:t>Schedule 16</w:t>
      </w:r>
    </w:p>
    <w:p w14:paraId="02DAC8DB" w14:textId="77777777" w:rsidR="00F67E9E" w:rsidRPr="00174F30" w:rsidRDefault="00F67E9E" w:rsidP="00F67E9E">
      <w:pPr>
        <w:pStyle w:val="Dividername"/>
      </w:pPr>
      <w:r w:rsidRPr="00174F30">
        <w:t xml:space="preserve">Payments </w:t>
      </w:r>
      <w:r>
        <w:t>o</w:t>
      </w:r>
      <w:r w:rsidRPr="00174F30">
        <w:t>n Termination</w:t>
      </w:r>
    </w:p>
    <w:p w14:paraId="1E583AAC" w14:textId="77777777" w:rsidR="00F67E9E" w:rsidRDefault="00F67E9E" w:rsidP="00F67E9E"/>
    <w:p w14:paraId="39CFAC68" w14:textId="77777777" w:rsidR="00F67E9E" w:rsidRDefault="00F67E9E" w:rsidP="00F67E9E">
      <w:r>
        <w:br w:type="page"/>
      </w:r>
    </w:p>
    <w:p w14:paraId="6F15ED0B" w14:textId="77777777" w:rsidR="00F67E9E" w:rsidRPr="005D0525" w:rsidRDefault="00F67E9E" w:rsidP="00F67E9E">
      <w:pPr>
        <w:pStyle w:val="Heading1"/>
      </w:pPr>
      <w:bookmarkStart w:id="1227" w:name="Schedule16"/>
      <w:bookmarkStart w:id="1228" w:name="_Ref92199967"/>
      <w:bookmarkStart w:id="1229" w:name="_Toc141711948"/>
      <w:r w:rsidRPr="005D0525">
        <w:t>Schedule</w:t>
      </w:r>
      <w:r>
        <w:t> </w:t>
      </w:r>
      <w:r w:rsidRPr="005D0525">
        <w:t>16</w:t>
      </w:r>
      <w:bookmarkEnd w:id="1227"/>
      <w:r>
        <w:t xml:space="preserve">: </w:t>
      </w:r>
      <w:bookmarkStart w:id="1230" w:name="Schedule16Heading"/>
      <w:r w:rsidRPr="005F1047">
        <w:t>Payments on Termination</w:t>
      </w:r>
      <w:bookmarkEnd w:id="1228"/>
      <w:bookmarkEnd w:id="1229"/>
      <w:bookmarkEnd w:id="1230"/>
    </w:p>
    <w:p w14:paraId="3733A1FA" w14:textId="77777777" w:rsidR="00F67E9E" w:rsidRPr="00BA56A1" w:rsidRDefault="00F67E9E" w:rsidP="00F67E9E">
      <w:pPr>
        <w:pStyle w:val="Numbered1"/>
        <w:numPr>
          <w:ilvl w:val="0"/>
          <w:numId w:val="174"/>
        </w:numPr>
      </w:pPr>
      <w:r w:rsidRPr="000A7B06">
        <w:t>Definitions</w:t>
      </w:r>
    </w:p>
    <w:p w14:paraId="52D9CBB6" w14:textId="77777777" w:rsidR="00F67E9E" w:rsidRPr="00BA56A1" w:rsidRDefault="00F67E9E" w:rsidP="00F67E9E">
      <w:pPr>
        <w:pStyle w:val="Numbered11"/>
      </w:pPr>
      <w:r w:rsidRPr="00BA56A1">
        <w:t>In this Schedule, the following definitions shall apply:</w:t>
      </w:r>
    </w:p>
    <w:tbl>
      <w:tblPr>
        <w:tblStyle w:val="MSAdefinitions"/>
        <w:tblW w:w="9638" w:type="dxa"/>
        <w:tblLook w:val="04A0" w:firstRow="1" w:lastRow="0" w:firstColumn="1" w:lastColumn="0" w:noHBand="0" w:noVBand="1"/>
      </w:tblPr>
      <w:tblGrid>
        <w:gridCol w:w="2835"/>
        <w:gridCol w:w="6803"/>
      </w:tblGrid>
      <w:tr w:rsidR="00F67E9E" w:rsidRPr="00BA56A1" w14:paraId="2180168F" w14:textId="77777777" w:rsidTr="007F74AA">
        <w:tc>
          <w:tcPr>
            <w:tcW w:w="2835" w:type="dxa"/>
          </w:tcPr>
          <w:p w14:paraId="0868E16F" w14:textId="77777777" w:rsidR="00F67E9E" w:rsidRPr="00BA56A1" w:rsidRDefault="00F67E9E" w:rsidP="007F74AA">
            <w:pPr>
              <w:pStyle w:val="StdBodyTextBold"/>
              <w:rPr>
                <w:rFonts w:cs="Arial"/>
              </w:rPr>
            </w:pPr>
            <w:r>
              <w:rPr>
                <w:rFonts w:cs="Arial"/>
              </w:rPr>
              <w:t>“</w:t>
            </w:r>
            <w:r w:rsidRPr="00BA56A1">
              <w:rPr>
                <w:rFonts w:cs="Arial"/>
              </w:rPr>
              <w:t>Applicable Supplier Personnel</w:t>
            </w:r>
            <w:r>
              <w:rPr>
                <w:rFonts w:cs="Arial"/>
              </w:rPr>
              <w:t>”</w:t>
            </w:r>
          </w:p>
        </w:tc>
        <w:tc>
          <w:tcPr>
            <w:tcW w:w="6803" w:type="dxa"/>
          </w:tcPr>
          <w:p w14:paraId="3A9D0A69" w14:textId="77777777" w:rsidR="00F67E9E" w:rsidRPr="00BA56A1" w:rsidRDefault="00F67E9E" w:rsidP="007F74AA">
            <w:pPr>
              <w:pStyle w:val="StdBodyText"/>
              <w:rPr>
                <w:rFonts w:cs="Arial"/>
              </w:rPr>
            </w:pPr>
            <w:r w:rsidRPr="00BA56A1">
              <w:rPr>
                <w:rFonts w:cs="Arial"/>
              </w:rPr>
              <w:t>any Supplier Personnel who:</w:t>
            </w:r>
          </w:p>
          <w:p w14:paraId="35A522A1" w14:textId="77777777" w:rsidR="00F67E9E" w:rsidRPr="0007705F" w:rsidRDefault="00F67E9E" w:rsidP="007F74AA">
            <w:pPr>
              <w:pStyle w:val="DefinitionList"/>
              <w:numPr>
                <w:ilvl w:val="0"/>
                <w:numId w:val="175"/>
              </w:numPr>
              <w:rPr>
                <w:rFonts w:cs="Arial"/>
              </w:rPr>
            </w:pPr>
            <w:r w:rsidRPr="0007705F">
              <w:rPr>
                <w:rFonts w:cs="Arial"/>
              </w:rPr>
              <w:t>at the Termination Date:</w:t>
            </w:r>
          </w:p>
          <w:p w14:paraId="1B2E5514" w14:textId="77777777" w:rsidR="00F67E9E" w:rsidRPr="00BA56A1" w:rsidRDefault="00F67E9E" w:rsidP="00F67E9E">
            <w:pPr>
              <w:pStyle w:val="DefinitionListLevel1"/>
              <w:numPr>
                <w:ilvl w:val="1"/>
                <w:numId w:val="108"/>
              </w:numPr>
            </w:pPr>
            <w:r w:rsidRPr="00BA56A1">
              <w:t xml:space="preserve">are employees of the Supplier; </w:t>
            </w:r>
          </w:p>
          <w:p w14:paraId="5B82AAE5" w14:textId="77777777" w:rsidR="00F67E9E" w:rsidRPr="00BA56A1" w:rsidRDefault="00F67E9E" w:rsidP="00F67E9E">
            <w:pPr>
              <w:pStyle w:val="DefinitionListLevel1"/>
              <w:numPr>
                <w:ilvl w:val="1"/>
                <w:numId w:val="108"/>
              </w:numPr>
              <w:rPr>
                <w:rFonts w:cs="Arial"/>
              </w:rPr>
            </w:pPr>
            <w:r w:rsidRPr="00BA56A1">
              <w:rPr>
                <w:rFonts w:cs="Arial"/>
              </w:rPr>
              <w:t xml:space="preserve">are Dedicated Supplier Personnel; </w:t>
            </w:r>
          </w:p>
          <w:p w14:paraId="3EE2E9BC" w14:textId="77777777" w:rsidR="00F67E9E" w:rsidRPr="00BA56A1" w:rsidRDefault="00F67E9E" w:rsidP="00F67E9E">
            <w:pPr>
              <w:pStyle w:val="DefinitionListLevel1"/>
              <w:numPr>
                <w:ilvl w:val="1"/>
                <w:numId w:val="108"/>
              </w:numPr>
              <w:rPr>
                <w:rFonts w:cs="Arial"/>
              </w:rPr>
            </w:pPr>
            <w:r w:rsidRPr="00BA56A1">
              <w:rPr>
                <w:rFonts w:cs="Arial"/>
              </w:rPr>
              <w:t>have not transferred (and are not in scope to transfer at a later date) to the Authority or the Replacement Supplier by virtue of the Employment Regulations; and</w:t>
            </w:r>
          </w:p>
          <w:p w14:paraId="222DA345" w14:textId="77777777" w:rsidR="00F67E9E" w:rsidRPr="00BA56A1" w:rsidRDefault="00F67E9E" w:rsidP="007F74AA">
            <w:pPr>
              <w:pStyle w:val="DefinitionList"/>
              <w:numPr>
                <w:ilvl w:val="0"/>
                <w:numId w:val="175"/>
              </w:numPr>
              <w:rPr>
                <w:rFonts w:cs="Arial"/>
              </w:rPr>
            </w:pPr>
            <w:r w:rsidRPr="00BA56A1">
              <w:rPr>
                <w:rFonts w:cs="Arial"/>
              </w:rPr>
              <w:t>are dismissed or given notice of dismissal by the Supplier within:</w:t>
            </w:r>
          </w:p>
          <w:p w14:paraId="4BDD5CF7" w14:textId="77777777" w:rsidR="00F67E9E" w:rsidRPr="00BA56A1" w:rsidRDefault="00F67E9E" w:rsidP="00F67E9E">
            <w:pPr>
              <w:pStyle w:val="DefinitionListLevel1"/>
              <w:numPr>
                <w:ilvl w:val="1"/>
                <w:numId w:val="108"/>
              </w:numPr>
              <w:rPr>
                <w:rFonts w:cs="Arial"/>
              </w:rPr>
            </w:pPr>
            <w:r w:rsidRPr="00BA56A1">
              <w:rPr>
                <w:rFonts w:cs="Arial"/>
              </w:rPr>
              <w:t xml:space="preserve">40 Working Days of the Termination Date; or </w:t>
            </w:r>
          </w:p>
          <w:p w14:paraId="064453D7" w14:textId="77777777" w:rsidR="00F67E9E" w:rsidRPr="00BA56A1" w:rsidRDefault="00F67E9E" w:rsidP="00F67E9E">
            <w:pPr>
              <w:pStyle w:val="DefinitionListLevel1"/>
              <w:numPr>
                <w:ilvl w:val="1"/>
                <w:numId w:val="108"/>
              </w:numPr>
              <w:rPr>
                <w:rFonts w:cs="Arial"/>
              </w:rPr>
            </w:pPr>
            <w:r w:rsidRPr="00BA56A1">
              <w:rPr>
                <w:rFonts w:cs="Arial"/>
              </w:rPr>
              <w:t>such longer period required by Law, their employment contract (as at the Termination Date) or an applicable collective agreement; and</w:t>
            </w:r>
          </w:p>
          <w:p w14:paraId="065105FF" w14:textId="77777777" w:rsidR="00F67E9E" w:rsidRPr="00BA56A1" w:rsidRDefault="00F67E9E" w:rsidP="007F74AA">
            <w:pPr>
              <w:pStyle w:val="DefinitionList"/>
              <w:numPr>
                <w:ilvl w:val="0"/>
                <w:numId w:val="175"/>
              </w:numPr>
              <w:rPr>
                <w:rFonts w:cs="Arial"/>
              </w:rPr>
            </w:pPr>
            <w:r w:rsidRPr="00BA56A1">
              <w:rPr>
                <w:rFonts w:cs="Arial"/>
              </w:rPr>
              <w:t>have not resigned or given notice of resignation prior to the date of their dismissal by the Supplier; and</w:t>
            </w:r>
          </w:p>
          <w:p w14:paraId="6D5FC586" w14:textId="77777777" w:rsidR="00F67E9E" w:rsidRPr="00BA56A1" w:rsidRDefault="00F67E9E" w:rsidP="007F74AA">
            <w:pPr>
              <w:pStyle w:val="DefinitionList"/>
              <w:numPr>
                <w:ilvl w:val="0"/>
                <w:numId w:val="175"/>
              </w:numPr>
              <w:rPr>
                <w:rFonts w:cs="Arial"/>
              </w:rPr>
            </w:pPr>
            <w:r w:rsidRPr="00BA56A1">
              <w:rPr>
                <w:rFonts w:cs="Arial"/>
              </w:rPr>
              <w:t>the Supplier can demonstrate to the satisfaction of the Authority:</w:t>
            </w:r>
          </w:p>
          <w:p w14:paraId="0E29A73C" w14:textId="77777777" w:rsidR="00F67E9E" w:rsidRPr="00BA56A1" w:rsidRDefault="00F67E9E" w:rsidP="00F67E9E">
            <w:pPr>
              <w:pStyle w:val="DefinitionListLevel1"/>
              <w:numPr>
                <w:ilvl w:val="1"/>
                <w:numId w:val="108"/>
              </w:numPr>
              <w:rPr>
                <w:rFonts w:cs="Arial"/>
              </w:rPr>
            </w:pPr>
            <w:r w:rsidRPr="00BA56A1">
              <w:rPr>
                <w:rFonts w:cs="Arial"/>
              </w:rPr>
              <w:t>are surplus to the Supplier</w:t>
            </w:r>
            <w:r>
              <w:rPr>
                <w:rFonts w:cs="Arial"/>
              </w:rPr>
              <w:t>’</w:t>
            </w:r>
            <w:r w:rsidRPr="00BA56A1">
              <w:rPr>
                <w:rFonts w:cs="Arial"/>
              </w:rPr>
              <w:t>s requirements after the Termination Date notwithstanding its obligation to provide services to its other customers;</w:t>
            </w:r>
          </w:p>
          <w:p w14:paraId="6F015E85" w14:textId="77777777" w:rsidR="00F67E9E" w:rsidRPr="00BA56A1" w:rsidRDefault="00F67E9E" w:rsidP="00F67E9E">
            <w:pPr>
              <w:pStyle w:val="DefinitionListLevel1"/>
              <w:numPr>
                <w:ilvl w:val="1"/>
                <w:numId w:val="108"/>
              </w:numPr>
              <w:rPr>
                <w:rFonts w:cs="Arial"/>
              </w:rPr>
            </w:pPr>
            <w:r w:rsidRPr="00BA56A1">
              <w:rPr>
                <w:rFonts w:cs="Arial"/>
              </w:rPr>
              <w:t>are genuinely being dismissed for reasons of redundancy; and</w:t>
            </w:r>
          </w:p>
          <w:p w14:paraId="2293F739" w14:textId="77777777" w:rsidR="00F67E9E" w:rsidRPr="00BA56A1" w:rsidRDefault="00F67E9E" w:rsidP="00F67E9E">
            <w:pPr>
              <w:pStyle w:val="DefinitionListLevel1"/>
              <w:numPr>
                <w:ilvl w:val="1"/>
                <w:numId w:val="108"/>
              </w:numPr>
              <w:rPr>
                <w:rFonts w:cs="Arial"/>
              </w:rPr>
            </w:pPr>
            <w:r w:rsidRPr="00BA56A1">
              <w:rPr>
                <w:rFonts w:cs="Arial"/>
              </w:rPr>
              <w:t>have been selected for redundancy by the Supplier on objective grounds other than the fact that the Supplier is entitled to reimbursement under this provision in respect of such employees;</w:t>
            </w:r>
          </w:p>
        </w:tc>
      </w:tr>
      <w:tr w:rsidR="00F67E9E" w:rsidRPr="00BA56A1" w14:paraId="1AF1A101" w14:textId="77777777" w:rsidTr="007F74AA">
        <w:tc>
          <w:tcPr>
            <w:tcW w:w="2835" w:type="dxa"/>
          </w:tcPr>
          <w:p w14:paraId="49EE1F0D" w14:textId="77777777" w:rsidR="00F67E9E" w:rsidRPr="00BA56A1" w:rsidRDefault="00F67E9E" w:rsidP="007F74AA">
            <w:pPr>
              <w:pStyle w:val="StdBodyTextBold"/>
              <w:rPr>
                <w:rFonts w:cs="Arial"/>
              </w:rPr>
            </w:pPr>
            <w:r>
              <w:rPr>
                <w:rFonts w:cs="Arial"/>
              </w:rPr>
              <w:t>“</w:t>
            </w:r>
            <w:r w:rsidRPr="00BA56A1">
              <w:rPr>
                <w:rFonts w:cs="Arial"/>
              </w:rPr>
              <w:t>Breakage Costs Payment</w:t>
            </w:r>
            <w:r>
              <w:rPr>
                <w:rFonts w:cs="Arial"/>
              </w:rPr>
              <w:t>”</w:t>
            </w:r>
          </w:p>
        </w:tc>
        <w:tc>
          <w:tcPr>
            <w:tcW w:w="6803" w:type="dxa"/>
          </w:tcPr>
          <w:p w14:paraId="4F2A0AEA" w14:textId="46E2FAB9" w:rsidR="00F67E9E" w:rsidRPr="00BA56A1" w:rsidRDefault="00F67E9E" w:rsidP="007F74AA">
            <w:pPr>
              <w:pStyle w:val="StdBodyText"/>
              <w:rPr>
                <w:rFonts w:cs="Arial"/>
              </w:rPr>
            </w:pPr>
            <w:r w:rsidRPr="00BA56A1">
              <w:rPr>
                <w:rFonts w:cs="Arial"/>
              </w:rPr>
              <w:t xml:space="preserve">an amount equal to the Redundancy Costs and the Contract Breakage Costs as at the Termination Date as determined in accordance with </w:t>
            </w:r>
            <w:bookmarkStart w:id="1231" w:name="_9kMHG5YVtCIB8CCbLhkhy7sFROY48sz0x2zARXY"/>
            <w:r w:rsidRPr="00BA56A1">
              <w:rPr>
                <w:rFonts w:cs="Arial"/>
              </w:rPr>
              <w:t xml:space="preserve">Paragraph </w:t>
            </w:r>
            <w:bookmarkEnd w:id="1231"/>
            <w:r w:rsidRPr="00BA56A1">
              <w:rPr>
                <w:rFonts w:cs="Arial"/>
              </w:rPr>
              <w:fldChar w:fldCharType="begin"/>
            </w:r>
            <w:r w:rsidRPr="00BA56A1">
              <w:rPr>
                <w:rFonts w:cs="Arial"/>
              </w:rPr>
              <w:instrText xml:space="preserve"> REF _Ref_ContractCompanion_9kb9Us25D \n \h </w:instrText>
            </w:r>
            <w:r>
              <w:rPr>
                <w:rFonts w:cs="Arial"/>
              </w:rPr>
              <w:instrText xml:space="preserve"> \* MERGEFORMAT </w:instrText>
            </w:r>
            <w:r w:rsidRPr="00BA56A1">
              <w:rPr>
                <w:rFonts w:cs="Arial"/>
              </w:rPr>
            </w:r>
            <w:r w:rsidRPr="00BA56A1">
              <w:rPr>
                <w:rFonts w:cs="Arial"/>
              </w:rPr>
              <w:fldChar w:fldCharType="separate"/>
            </w:r>
            <w:r w:rsidR="00302D39">
              <w:rPr>
                <w:rFonts w:cs="Arial"/>
              </w:rPr>
              <w:t>3</w:t>
            </w:r>
            <w:r w:rsidRPr="00BA56A1">
              <w:rPr>
                <w:rFonts w:cs="Arial"/>
              </w:rPr>
              <w:fldChar w:fldCharType="end"/>
            </w:r>
            <w:r w:rsidRPr="00BA56A1">
              <w:rPr>
                <w:rFonts w:cs="Arial"/>
              </w:rPr>
              <w:t>;</w:t>
            </w:r>
          </w:p>
        </w:tc>
      </w:tr>
      <w:tr w:rsidR="00F67E9E" w:rsidRPr="00BA56A1" w14:paraId="4CF9CA62" w14:textId="77777777" w:rsidTr="007F74AA">
        <w:tc>
          <w:tcPr>
            <w:tcW w:w="2835" w:type="dxa"/>
          </w:tcPr>
          <w:p w14:paraId="42BA6FB7" w14:textId="77777777" w:rsidR="00F67E9E" w:rsidRPr="00BA56A1" w:rsidRDefault="00F67E9E" w:rsidP="007F74AA">
            <w:pPr>
              <w:pStyle w:val="StdBodyTextBold"/>
              <w:rPr>
                <w:rFonts w:cs="Arial"/>
              </w:rPr>
            </w:pPr>
            <w:r>
              <w:rPr>
                <w:rFonts w:cs="Arial"/>
              </w:rPr>
              <w:t>“</w:t>
            </w:r>
            <w:r w:rsidRPr="00BA56A1">
              <w:rPr>
                <w:rFonts w:cs="Arial"/>
              </w:rPr>
              <w:t>Compensation Payment</w:t>
            </w:r>
            <w:r>
              <w:rPr>
                <w:rFonts w:cs="Arial"/>
              </w:rPr>
              <w:t>”</w:t>
            </w:r>
          </w:p>
        </w:tc>
        <w:tc>
          <w:tcPr>
            <w:tcW w:w="6803" w:type="dxa"/>
          </w:tcPr>
          <w:p w14:paraId="055C9CD8" w14:textId="403B0576" w:rsidR="00F67E9E" w:rsidRPr="00BA56A1" w:rsidRDefault="00F67E9E" w:rsidP="007F74AA">
            <w:pPr>
              <w:pStyle w:val="StdBodyText"/>
              <w:rPr>
                <w:rFonts w:cs="Arial"/>
              </w:rPr>
            </w:pPr>
            <w:r w:rsidRPr="00BA56A1">
              <w:rPr>
                <w:rFonts w:cs="Arial"/>
              </w:rPr>
              <w:t xml:space="preserve">the payment calculated in accordance with </w:t>
            </w:r>
            <w:bookmarkStart w:id="1232" w:name="_9kMHG5YVtCIB8CFeLhkhy7sFRRc2DF87MACLHNP"/>
            <w:r w:rsidRPr="00BA56A1">
              <w:rPr>
                <w:rFonts w:cs="Arial"/>
              </w:rPr>
              <w:t xml:space="preserve">Paragraph </w:t>
            </w:r>
            <w:r w:rsidRPr="00BA56A1">
              <w:rPr>
                <w:rFonts w:cs="Arial"/>
              </w:rPr>
              <w:fldChar w:fldCharType="begin"/>
            </w:r>
            <w:r w:rsidRPr="00BA56A1">
              <w:rPr>
                <w:rFonts w:cs="Arial"/>
              </w:rPr>
              <w:instrText xml:space="preserve"> REF _Ref_ContractCompanion_9kb9Us267 \w \n \h \t \* MERGEFORMAT </w:instrText>
            </w:r>
            <w:r w:rsidRPr="00BA56A1">
              <w:rPr>
                <w:rFonts w:cs="Arial"/>
              </w:rPr>
            </w:r>
            <w:r w:rsidRPr="00BA56A1">
              <w:rPr>
                <w:rFonts w:cs="Arial"/>
              </w:rPr>
              <w:fldChar w:fldCharType="separate"/>
            </w:r>
            <w:r w:rsidR="00302D39">
              <w:rPr>
                <w:rFonts w:cs="Arial"/>
              </w:rPr>
              <w:t>9</w:t>
            </w:r>
            <w:r w:rsidRPr="00BA56A1">
              <w:rPr>
                <w:rFonts w:cs="Arial"/>
              </w:rPr>
              <w:fldChar w:fldCharType="end"/>
            </w:r>
            <w:bookmarkEnd w:id="1232"/>
            <w:r w:rsidRPr="00BA56A1">
              <w:rPr>
                <w:rFonts w:cs="Arial"/>
              </w:rPr>
              <w:t>;</w:t>
            </w:r>
          </w:p>
        </w:tc>
      </w:tr>
      <w:tr w:rsidR="00F67E9E" w:rsidRPr="00BA56A1" w14:paraId="7D6502FC" w14:textId="77777777" w:rsidTr="007F74AA">
        <w:tc>
          <w:tcPr>
            <w:tcW w:w="2835" w:type="dxa"/>
          </w:tcPr>
          <w:p w14:paraId="25D5E91F" w14:textId="77777777" w:rsidR="00F67E9E" w:rsidRPr="00BA56A1" w:rsidRDefault="00F67E9E" w:rsidP="007F74AA">
            <w:pPr>
              <w:pStyle w:val="StdBodyTextBold"/>
              <w:rPr>
                <w:rFonts w:cs="Arial"/>
              </w:rPr>
            </w:pPr>
            <w:r>
              <w:rPr>
                <w:rFonts w:cs="Arial"/>
              </w:rPr>
              <w:t>“</w:t>
            </w:r>
            <w:r w:rsidRPr="00BA56A1">
              <w:rPr>
                <w:rFonts w:cs="Arial"/>
              </w:rPr>
              <w:t>Contract Breakage Costs</w:t>
            </w:r>
            <w:r>
              <w:rPr>
                <w:rFonts w:cs="Arial"/>
              </w:rPr>
              <w:t>”</w:t>
            </w:r>
          </w:p>
        </w:tc>
        <w:tc>
          <w:tcPr>
            <w:tcW w:w="6803" w:type="dxa"/>
          </w:tcPr>
          <w:p w14:paraId="1A5D03BC" w14:textId="77777777" w:rsidR="00F67E9E" w:rsidRPr="00BA56A1" w:rsidRDefault="00F67E9E" w:rsidP="007F74AA">
            <w:pPr>
              <w:pStyle w:val="StdBodyText"/>
              <w:rPr>
                <w:rFonts w:cs="Arial"/>
              </w:rPr>
            </w:pPr>
            <w:r w:rsidRPr="00BA56A1">
              <w:rPr>
                <w:rFonts w:cs="Arial"/>
              </w:rPr>
              <w:t>the amounts payable by the Supplier to its Key Sub-contractors or other third parties (as applicable) for terminating all relevant Key Sub-contracts or Third Party Contracts as a direct result of the early termination of this Contract;</w:t>
            </w:r>
          </w:p>
        </w:tc>
      </w:tr>
      <w:tr w:rsidR="00F67E9E" w:rsidRPr="00BA56A1" w14:paraId="70BCAE63" w14:textId="77777777" w:rsidTr="007F74AA">
        <w:tc>
          <w:tcPr>
            <w:tcW w:w="2835" w:type="dxa"/>
          </w:tcPr>
          <w:p w14:paraId="27306686" w14:textId="77777777" w:rsidR="00F67E9E" w:rsidRPr="00BA56A1" w:rsidRDefault="00F67E9E" w:rsidP="007F74AA">
            <w:pPr>
              <w:pStyle w:val="StdBodyTextBold"/>
              <w:rPr>
                <w:rFonts w:cs="Arial"/>
              </w:rPr>
            </w:pPr>
            <w:r>
              <w:rPr>
                <w:rFonts w:cs="Arial"/>
              </w:rPr>
              <w:t>“</w:t>
            </w:r>
            <w:r w:rsidRPr="00BA56A1">
              <w:rPr>
                <w:rFonts w:cs="Arial"/>
              </w:rPr>
              <w:t>Dedicated Supplier Personnel</w:t>
            </w:r>
            <w:r>
              <w:rPr>
                <w:rFonts w:cs="Arial"/>
              </w:rPr>
              <w:t>”</w:t>
            </w:r>
          </w:p>
        </w:tc>
        <w:tc>
          <w:tcPr>
            <w:tcW w:w="6803" w:type="dxa"/>
          </w:tcPr>
          <w:p w14:paraId="06D9E897" w14:textId="77777777" w:rsidR="00F67E9E" w:rsidRPr="00BA56A1" w:rsidRDefault="00F67E9E" w:rsidP="007F74AA">
            <w:pPr>
              <w:pStyle w:val="StdBodyText"/>
              <w:rPr>
                <w:rFonts w:cs="Arial"/>
              </w:rPr>
            </w:pPr>
            <w:r w:rsidRPr="00BA56A1">
              <w:rPr>
                <w:rFonts w:cs="Arial"/>
              </w:rPr>
              <w:t>all Supplier Personnel then assigned to the Services or any part of the Services. If the Supplier is unsure as to whether Supplier Personnel are or should be regarded as so assigned, it shall consult with the Authority whose view shall be determinative provided that the employee has been materially involved in the provision of the Services or any part of the Services;</w:t>
            </w:r>
          </w:p>
        </w:tc>
      </w:tr>
      <w:tr w:rsidR="00F67E9E" w:rsidRPr="00BA56A1" w14:paraId="54E811FF" w14:textId="77777777" w:rsidTr="007F74AA">
        <w:tc>
          <w:tcPr>
            <w:tcW w:w="2835" w:type="dxa"/>
          </w:tcPr>
          <w:p w14:paraId="117AFB63" w14:textId="77777777" w:rsidR="00F67E9E" w:rsidRPr="00BA56A1" w:rsidRDefault="00F67E9E" w:rsidP="007F74AA">
            <w:pPr>
              <w:pStyle w:val="StdBodyTextBold"/>
              <w:rPr>
                <w:rFonts w:cs="Arial"/>
              </w:rPr>
            </w:pPr>
            <w:r>
              <w:rPr>
                <w:rFonts w:cs="Arial"/>
              </w:rPr>
              <w:t>“</w:t>
            </w:r>
            <w:r w:rsidRPr="00BA56A1">
              <w:rPr>
                <w:rFonts w:cs="Arial"/>
              </w:rPr>
              <w:t>Profit Already Paid</w:t>
            </w:r>
            <w:r>
              <w:rPr>
                <w:rFonts w:cs="Arial"/>
              </w:rPr>
              <w:t>”</w:t>
            </w:r>
          </w:p>
        </w:tc>
        <w:tc>
          <w:tcPr>
            <w:tcW w:w="6803" w:type="dxa"/>
          </w:tcPr>
          <w:p w14:paraId="360ABC56" w14:textId="77777777" w:rsidR="00F67E9E" w:rsidRPr="00BA56A1" w:rsidRDefault="00F67E9E" w:rsidP="007F74AA">
            <w:pPr>
              <w:pStyle w:val="StdBodyText"/>
              <w:rPr>
                <w:rFonts w:cs="Arial"/>
              </w:rPr>
            </w:pPr>
            <w:r w:rsidRPr="00BA56A1">
              <w:rPr>
                <w:rFonts w:cs="Arial"/>
              </w:rPr>
              <w:t>the Supplier Profit paid or payable to the Supplier under this Contract for the period from the Effective Date up to (and including) the Termination Date;</w:t>
            </w:r>
          </w:p>
        </w:tc>
      </w:tr>
      <w:tr w:rsidR="00F67E9E" w:rsidRPr="00BA56A1" w14:paraId="07A6E351" w14:textId="77777777" w:rsidTr="007F74AA">
        <w:tc>
          <w:tcPr>
            <w:tcW w:w="2835" w:type="dxa"/>
          </w:tcPr>
          <w:p w14:paraId="66074CE9" w14:textId="77777777" w:rsidR="00F67E9E" w:rsidRPr="00BA56A1" w:rsidRDefault="00F67E9E" w:rsidP="007F74AA">
            <w:pPr>
              <w:pStyle w:val="StdBodyTextBold"/>
              <w:rPr>
                <w:rFonts w:cs="Arial"/>
              </w:rPr>
            </w:pPr>
            <w:r>
              <w:rPr>
                <w:rFonts w:cs="Arial"/>
              </w:rPr>
              <w:t>“</w:t>
            </w:r>
            <w:r w:rsidRPr="00BA56A1">
              <w:rPr>
                <w:rFonts w:cs="Arial"/>
              </w:rPr>
              <w:t>Redundancy Costs</w:t>
            </w:r>
            <w:r>
              <w:rPr>
                <w:rFonts w:cs="Arial"/>
              </w:rPr>
              <w:t>”</w:t>
            </w:r>
          </w:p>
        </w:tc>
        <w:tc>
          <w:tcPr>
            <w:tcW w:w="6803" w:type="dxa"/>
          </w:tcPr>
          <w:p w14:paraId="411E685A" w14:textId="77777777" w:rsidR="00F67E9E" w:rsidRPr="00BA56A1" w:rsidRDefault="00F67E9E" w:rsidP="007F74AA">
            <w:pPr>
              <w:pStyle w:val="StdBodyText"/>
              <w:rPr>
                <w:rFonts w:cs="Arial"/>
              </w:rPr>
            </w:pPr>
            <w:r w:rsidRPr="00BA56A1">
              <w:rPr>
                <w:rFonts w:cs="Arial"/>
              </w:rPr>
              <w:t>the total sum of any of the following sums paid to Applicable Supplier Personnel, each amount apportioned between the Supplier and the Authority based on the time spent by such employee on the Services as a proportion of the total Service duration:</w:t>
            </w:r>
          </w:p>
          <w:p w14:paraId="46961924" w14:textId="77777777" w:rsidR="00F67E9E" w:rsidRPr="00E5161E" w:rsidRDefault="00F67E9E" w:rsidP="007F74AA">
            <w:pPr>
              <w:pStyle w:val="DefinitionList"/>
              <w:numPr>
                <w:ilvl w:val="0"/>
                <w:numId w:val="176"/>
              </w:numPr>
            </w:pPr>
            <w:r w:rsidRPr="00E5161E">
              <w:t xml:space="preserve">any statutory redundancy payment; and </w:t>
            </w:r>
          </w:p>
          <w:p w14:paraId="074F48C2" w14:textId="77777777" w:rsidR="00F67E9E" w:rsidRPr="00BA56A1" w:rsidRDefault="00F67E9E" w:rsidP="00F67E9E">
            <w:pPr>
              <w:pStyle w:val="DefinitionList"/>
              <w:numPr>
                <w:ilvl w:val="0"/>
                <w:numId w:val="108"/>
              </w:numPr>
            </w:pPr>
            <w:r w:rsidRPr="00BA56A1">
              <w:t>in respect of an employee who was a Transferring Former Supplier Employee or a Transferring Authority Employee, any contractual redundancy payment (or where such a contractual benefit on redundancy is a benefit payable from a pension scheme, the increase in cost to the Supplier as a net present value compared to the benefit payable on termination of employment without redundancy), provided that such employee was entitled to such contractual redundancy payment immediately prior to his or her transfer to the Supplier under the Employment Regulations;</w:t>
            </w:r>
          </w:p>
        </w:tc>
      </w:tr>
      <w:tr w:rsidR="00F67E9E" w:rsidRPr="00BA56A1" w14:paraId="221E0493" w14:textId="77777777" w:rsidTr="007F74AA">
        <w:tc>
          <w:tcPr>
            <w:tcW w:w="2835" w:type="dxa"/>
          </w:tcPr>
          <w:p w14:paraId="286B4DAE" w14:textId="77777777" w:rsidR="00F67E9E" w:rsidRPr="00BA56A1" w:rsidRDefault="00F67E9E" w:rsidP="007F74AA">
            <w:pPr>
              <w:pStyle w:val="StdBodyTextBold"/>
              <w:rPr>
                <w:rFonts w:cs="Arial"/>
              </w:rPr>
            </w:pPr>
            <w:r>
              <w:rPr>
                <w:rFonts w:cs="Arial"/>
              </w:rPr>
              <w:t>“</w:t>
            </w:r>
            <w:r w:rsidRPr="00BA56A1">
              <w:rPr>
                <w:rFonts w:cs="Arial"/>
              </w:rPr>
              <w:t>Request for Estimate</w:t>
            </w:r>
            <w:r>
              <w:rPr>
                <w:rFonts w:cs="Arial"/>
              </w:rPr>
              <w:t>”</w:t>
            </w:r>
          </w:p>
        </w:tc>
        <w:tc>
          <w:tcPr>
            <w:tcW w:w="6803" w:type="dxa"/>
          </w:tcPr>
          <w:p w14:paraId="378FC8FB" w14:textId="77777777" w:rsidR="00F67E9E" w:rsidRPr="00BA56A1" w:rsidRDefault="00F67E9E" w:rsidP="007F74AA">
            <w:pPr>
              <w:pStyle w:val="StdBodyText"/>
              <w:rPr>
                <w:rFonts w:cs="Arial"/>
              </w:rPr>
            </w:pPr>
            <w:r w:rsidRPr="00BA56A1">
              <w:rPr>
                <w:rFonts w:cs="Arial"/>
              </w:rPr>
              <w:t xml:space="preserve">a written request sent by the Authority to the Supplier, requiring that the Supplier provide it with an accurate estimate of the Termination Payment and Compensation Payment that would be payable if the Authority exercised its right under </w:t>
            </w:r>
            <w:bookmarkStart w:id="1233" w:name="_9kMHG5YVt4EE7HJNEjtCx9MLt"/>
            <w:r w:rsidRPr="00BA56A1">
              <w:rPr>
                <w:rFonts w:cs="Arial"/>
              </w:rPr>
              <w:t>Clause 31.1(a)</w:t>
            </w:r>
            <w:bookmarkEnd w:id="1233"/>
            <w:r w:rsidRPr="00BA56A1">
              <w:rPr>
                <w:rFonts w:cs="Arial"/>
              </w:rPr>
              <w:t xml:space="preserve"> (</w:t>
            </w:r>
            <w:r w:rsidRPr="00BA56A1">
              <w:rPr>
                <w:rFonts w:cs="Arial"/>
                <w:i/>
              </w:rPr>
              <w:t>Termination by the Authority</w:t>
            </w:r>
            <w:r w:rsidRPr="00BA56A1">
              <w:rPr>
                <w:rFonts w:cs="Arial"/>
              </w:rPr>
              <w:t>) to terminate this Contract for convenience on a specified Termination Date;</w:t>
            </w:r>
          </w:p>
        </w:tc>
      </w:tr>
      <w:tr w:rsidR="00F67E9E" w:rsidRPr="00BA56A1" w14:paraId="56B7EF24" w14:textId="77777777" w:rsidTr="007F74AA">
        <w:tc>
          <w:tcPr>
            <w:tcW w:w="2835" w:type="dxa"/>
          </w:tcPr>
          <w:p w14:paraId="74A24880" w14:textId="77777777" w:rsidR="00F67E9E" w:rsidRPr="00BA56A1" w:rsidRDefault="00F67E9E" w:rsidP="007F74AA">
            <w:pPr>
              <w:pStyle w:val="StdBodyTextBold"/>
              <w:rPr>
                <w:rFonts w:cs="Arial"/>
              </w:rPr>
            </w:pPr>
            <w:r>
              <w:rPr>
                <w:rFonts w:cs="Arial"/>
              </w:rPr>
              <w:t>“</w:t>
            </w:r>
            <w:r w:rsidRPr="00BA56A1">
              <w:rPr>
                <w:rFonts w:cs="Arial"/>
              </w:rPr>
              <w:t>Shortfall Period</w:t>
            </w:r>
            <w:r>
              <w:rPr>
                <w:rFonts w:cs="Arial"/>
              </w:rPr>
              <w:t>”</w:t>
            </w:r>
          </w:p>
        </w:tc>
        <w:tc>
          <w:tcPr>
            <w:tcW w:w="6803" w:type="dxa"/>
          </w:tcPr>
          <w:p w14:paraId="10C4532F" w14:textId="72EAA830" w:rsidR="00F67E9E" w:rsidRPr="00BA56A1" w:rsidRDefault="00F67E9E" w:rsidP="007F74AA">
            <w:pPr>
              <w:pStyle w:val="StdBodyText"/>
              <w:rPr>
                <w:rFonts w:cs="Arial"/>
              </w:rPr>
            </w:pPr>
            <w:r w:rsidRPr="00BA56A1">
              <w:rPr>
                <w:rFonts w:cs="Arial"/>
              </w:rPr>
              <w:t xml:space="preserve">has the meaning given in </w:t>
            </w:r>
            <w:bookmarkStart w:id="1234" w:name="_9kMHG5YVtCIB8CILISM5B2oxEHDBF67I6iY78yG"/>
            <w:bookmarkStart w:id="1235" w:name="_9kMHG5YVtCJC8CJMISM5B2oxEHDBF67I6iY78yG"/>
            <w:r w:rsidRPr="00BA56A1">
              <w:rPr>
                <w:rFonts w:cs="Arial"/>
              </w:rPr>
              <w:t xml:space="preserve">Paragraph </w:t>
            </w:r>
            <w:r w:rsidRPr="00BA56A1">
              <w:rPr>
                <w:rFonts w:cs="Arial"/>
              </w:rPr>
              <w:fldChar w:fldCharType="begin"/>
            </w:r>
            <w:r w:rsidRPr="00BA56A1">
              <w:rPr>
                <w:rFonts w:cs="Arial"/>
              </w:rPr>
              <w:instrText xml:space="preserve"> REF _Ref_ContractCompanion_9kb9Us26A \n \h \t \* MERGEFORMAT </w:instrText>
            </w:r>
            <w:r w:rsidRPr="00BA56A1">
              <w:rPr>
                <w:rFonts w:cs="Arial"/>
              </w:rPr>
            </w:r>
            <w:r w:rsidRPr="00BA56A1">
              <w:rPr>
                <w:rFonts w:cs="Arial"/>
              </w:rPr>
              <w:fldChar w:fldCharType="separate"/>
            </w:r>
            <w:r w:rsidR="00302D39">
              <w:rPr>
                <w:rFonts w:cs="Arial"/>
              </w:rPr>
              <w:t>9.2</w:t>
            </w:r>
            <w:r w:rsidRPr="00BA56A1">
              <w:rPr>
                <w:rFonts w:cs="Arial"/>
              </w:rPr>
              <w:fldChar w:fldCharType="end"/>
            </w:r>
            <w:bookmarkEnd w:id="1234"/>
            <w:bookmarkEnd w:id="1235"/>
            <w:r w:rsidRPr="00BA56A1">
              <w:rPr>
                <w:rFonts w:cs="Arial"/>
              </w:rPr>
              <w:t>;</w:t>
            </w:r>
          </w:p>
        </w:tc>
      </w:tr>
      <w:tr w:rsidR="00F67E9E" w:rsidRPr="00BA56A1" w14:paraId="2879F94F" w14:textId="77777777" w:rsidTr="007F74AA">
        <w:tc>
          <w:tcPr>
            <w:tcW w:w="2835" w:type="dxa"/>
          </w:tcPr>
          <w:p w14:paraId="695E1357" w14:textId="77777777" w:rsidR="00F67E9E" w:rsidRPr="00BA56A1" w:rsidRDefault="00F67E9E" w:rsidP="007F74AA">
            <w:pPr>
              <w:pStyle w:val="StdBodyTextBold"/>
              <w:rPr>
                <w:rFonts w:cs="Arial"/>
              </w:rPr>
            </w:pPr>
            <w:r>
              <w:rPr>
                <w:rFonts w:cs="Arial"/>
              </w:rPr>
              <w:t>“</w:t>
            </w:r>
            <w:r w:rsidRPr="00BA56A1">
              <w:rPr>
                <w:rFonts w:cs="Arial"/>
              </w:rPr>
              <w:t>Termination Estimate</w:t>
            </w:r>
            <w:r>
              <w:rPr>
                <w:rFonts w:cs="Arial"/>
              </w:rPr>
              <w:t>”</w:t>
            </w:r>
          </w:p>
        </w:tc>
        <w:tc>
          <w:tcPr>
            <w:tcW w:w="6803" w:type="dxa"/>
          </w:tcPr>
          <w:p w14:paraId="5918D396" w14:textId="3FDC27C6" w:rsidR="00F67E9E" w:rsidRPr="00BA56A1" w:rsidRDefault="00F67E9E" w:rsidP="007F74AA">
            <w:pPr>
              <w:pStyle w:val="StdBodyText"/>
              <w:rPr>
                <w:rFonts w:cs="Arial"/>
              </w:rPr>
            </w:pPr>
            <w:r w:rsidRPr="00BA56A1">
              <w:rPr>
                <w:rFonts w:cs="Arial"/>
              </w:rPr>
              <w:t xml:space="preserve">has the meaning given in </w:t>
            </w:r>
            <w:bookmarkStart w:id="1236" w:name="_9kMHG5YVtCIB8DDACEhUmYjD960u4JAtyAMKII8"/>
            <w:bookmarkStart w:id="1237" w:name="_9kMHG5YVtCJC8DEBCEhUmYjD960u4JAtyAMKII8"/>
            <w:r w:rsidRPr="00BA56A1">
              <w:rPr>
                <w:rFonts w:cs="Arial"/>
              </w:rPr>
              <w:t xml:space="preserve">Paragraph </w:t>
            </w:r>
            <w:bookmarkEnd w:id="1236"/>
            <w:bookmarkEnd w:id="1237"/>
            <w:r w:rsidRPr="00BA56A1">
              <w:rPr>
                <w:rFonts w:cs="Arial"/>
              </w:rPr>
              <w:fldChar w:fldCharType="begin"/>
            </w:r>
            <w:r w:rsidRPr="00BA56A1">
              <w:rPr>
                <w:rFonts w:cs="Arial"/>
              </w:rPr>
              <w:instrText xml:space="preserve"> REF _Ref_ContractCompanion_9kb9Us26E \n \h </w:instrText>
            </w:r>
            <w:r>
              <w:rPr>
                <w:rFonts w:cs="Arial"/>
              </w:rPr>
              <w:instrText xml:space="preserve"> \* MERGEFORMAT </w:instrText>
            </w:r>
            <w:r w:rsidRPr="00BA56A1">
              <w:rPr>
                <w:rFonts w:cs="Arial"/>
              </w:rPr>
            </w:r>
            <w:r w:rsidRPr="00BA56A1">
              <w:rPr>
                <w:rFonts w:cs="Arial"/>
              </w:rPr>
              <w:fldChar w:fldCharType="separate"/>
            </w:r>
            <w:r w:rsidR="00302D39">
              <w:rPr>
                <w:rFonts w:cs="Arial"/>
              </w:rPr>
              <w:t>14.2</w:t>
            </w:r>
            <w:r w:rsidRPr="00BA56A1">
              <w:rPr>
                <w:rFonts w:cs="Arial"/>
              </w:rPr>
              <w:fldChar w:fldCharType="end"/>
            </w:r>
            <w:r w:rsidRPr="00BA56A1">
              <w:rPr>
                <w:rFonts w:cs="Arial"/>
              </w:rPr>
              <w:t>;</w:t>
            </w:r>
          </w:p>
        </w:tc>
      </w:tr>
      <w:tr w:rsidR="00F67E9E" w:rsidRPr="00BA56A1" w14:paraId="36EC16C9" w14:textId="77777777" w:rsidTr="007F74AA">
        <w:tc>
          <w:tcPr>
            <w:tcW w:w="2835" w:type="dxa"/>
          </w:tcPr>
          <w:p w14:paraId="6A5E210A" w14:textId="77777777" w:rsidR="00F67E9E" w:rsidRPr="00BA56A1" w:rsidRDefault="00F67E9E" w:rsidP="007F74AA">
            <w:pPr>
              <w:pStyle w:val="StdBodyTextBold"/>
              <w:rPr>
                <w:rFonts w:cs="Arial"/>
              </w:rPr>
            </w:pPr>
            <w:r>
              <w:rPr>
                <w:rFonts w:cs="Arial"/>
              </w:rPr>
              <w:t>“</w:t>
            </w:r>
            <w:r w:rsidRPr="00BA56A1">
              <w:rPr>
                <w:rFonts w:cs="Arial"/>
              </w:rPr>
              <w:t>Third Party Contract</w:t>
            </w:r>
            <w:r>
              <w:rPr>
                <w:rFonts w:cs="Arial"/>
              </w:rPr>
              <w:t>”</w:t>
            </w:r>
          </w:p>
        </w:tc>
        <w:tc>
          <w:tcPr>
            <w:tcW w:w="6803" w:type="dxa"/>
          </w:tcPr>
          <w:p w14:paraId="38267891" w14:textId="22F55AE9" w:rsidR="00F67E9E" w:rsidRPr="00BA56A1" w:rsidRDefault="00F67E9E" w:rsidP="007F74AA">
            <w:pPr>
              <w:pStyle w:val="StdBodyText"/>
              <w:rPr>
                <w:rFonts w:cs="Arial"/>
              </w:rPr>
            </w:pPr>
            <w:r w:rsidRPr="00BA56A1">
              <w:rPr>
                <w:rFonts w:cs="Arial"/>
              </w:rPr>
              <w:t xml:space="preserve">a contract with a third party entered into by the Supplier exclusively for the purpose of delivering the Services, as listed in </w:t>
            </w:r>
            <w:r>
              <w:rPr>
                <w:rFonts w:cs="Arial"/>
              </w:rPr>
              <w:fldChar w:fldCharType="begin"/>
            </w:r>
            <w:r>
              <w:rPr>
                <w:rFonts w:cs="Arial"/>
              </w:rPr>
              <w:instrText xml:space="preserve"> REF Schedule11 \h </w:instrText>
            </w:r>
            <w:r>
              <w:rPr>
                <w:rFonts w:cs="Arial"/>
              </w:rPr>
            </w:r>
            <w:r>
              <w:rPr>
                <w:rFonts w:cs="Arial"/>
              </w:rPr>
              <w:fldChar w:fldCharType="separate"/>
            </w:r>
            <w:r w:rsidR="00302D39" w:rsidRPr="005D0525">
              <w:t>Schedule</w:t>
            </w:r>
            <w:r w:rsidR="00302D39">
              <w:t> </w:t>
            </w:r>
            <w:r w:rsidR="00302D39" w:rsidRPr="005D0525">
              <w:t>11</w:t>
            </w:r>
            <w:r>
              <w:rPr>
                <w:rFonts w:cs="Arial"/>
              </w:rPr>
              <w:fldChar w:fldCharType="end"/>
            </w:r>
            <w:r>
              <w:rPr>
                <w:rFonts w:cs="Arial"/>
              </w:rPr>
              <w:t xml:space="preserve"> (</w:t>
            </w:r>
            <w:r w:rsidRPr="00B91437">
              <w:rPr>
                <w:rFonts w:cs="Arial"/>
                <w:i/>
                <w:iCs/>
              </w:rPr>
              <w:fldChar w:fldCharType="begin"/>
            </w:r>
            <w:r w:rsidRPr="00B91437">
              <w:rPr>
                <w:rFonts w:cs="Arial"/>
                <w:i/>
                <w:iCs/>
              </w:rPr>
              <w:instrText xml:space="preserve"> REF Schedule11Heading \h </w:instrText>
            </w:r>
            <w:r>
              <w:rPr>
                <w:rFonts w:cs="Arial"/>
                <w:i/>
                <w:iCs/>
              </w:rPr>
              <w:instrText xml:space="preserve"> \* MERGEFORMAT </w:instrText>
            </w:r>
            <w:r w:rsidRPr="00B91437">
              <w:rPr>
                <w:rFonts w:cs="Arial"/>
                <w:i/>
                <w:iCs/>
              </w:rPr>
            </w:r>
            <w:r w:rsidRPr="00B91437">
              <w:rPr>
                <w:rFonts w:cs="Arial"/>
                <w:i/>
                <w:iCs/>
              </w:rPr>
              <w:fldChar w:fldCharType="separate"/>
            </w:r>
            <w:r w:rsidR="00302D39" w:rsidRPr="00302D39">
              <w:rPr>
                <w:i/>
                <w:iCs/>
              </w:rPr>
              <w:t>Third Party Contracts</w:t>
            </w:r>
            <w:r w:rsidRPr="00B91437">
              <w:rPr>
                <w:rFonts w:cs="Arial"/>
                <w:i/>
                <w:iCs/>
              </w:rPr>
              <w:fldChar w:fldCharType="end"/>
            </w:r>
            <w:r>
              <w:rPr>
                <w:rFonts w:cs="Arial"/>
              </w:rPr>
              <w:t>)</w:t>
            </w:r>
            <w:r w:rsidRPr="00BA56A1">
              <w:rPr>
                <w:rFonts w:cs="Arial"/>
              </w:rPr>
              <w:t>;</w:t>
            </w:r>
          </w:p>
        </w:tc>
      </w:tr>
      <w:tr w:rsidR="00F67E9E" w:rsidRPr="00BA56A1" w14:paraId="0FEA5F61" w14:textId="77777777" w:rsidTr="007F74AA">
        <w:tc>
          <w:tcPr>
            <w:tcW w:w="2835" w:type="dxa"/>
          </w:tcPr>
          <w:p w14:paraId="1A32FB22" w14:textId="77777777" w:rsidR="00F67E9E" w:rsidRPr="00BA56A1" w:rsidRDefault="00F67E9E" w:rsidP="007F74AA">
            <w:pPr>
              <w:pStyle w:val="StdBodyTextBold"/>
              <w:rPr>
                <w:rFonts w:cs="Arial"/>
              </w:rPr>
            </w:pPr>
            <w:r>
              <w:rPr>
                <w:rFonts w:cs="Arial"/>
              </w:rPr>
              <w:t>“</w:t>
            </w:r>
            <w:r w:rsidRPr="00BA56A1">
              <w:rPr>
                <w:rFonts w:cs="Arial"/>
              </w:rPr>
              <w:t>Total Costs Incurred</w:t>
            </w:r>
            <w:r>
              <w:rPr>
                <w:rFonts w:cs="Arial"/>
              </w:rPr>
              <w:t>”</w:t>
            </w:r>
          </w:p>
        </w:tc>
        <w:tc>
          <w:tcPr>
            <w:tcW w:w="6803" w:type="dxa"/>
          </w:tcPr>
          <w:p w14:paraId="30D90039" w14:textId="77777777" w:rsidR="00F67E9E" w:rsidRPr="00BA56A1" w:rsidRDefault="00F67E9E" w:rsidP="007F74AA">
            <w:pPr>
              <w:pStyle w:val="StdBodyText"/>
              <w:rPr>
                <w:rFonts w:cs="Arial"/>
              </w:rPr>
            </w:pPr>
            <w:r w:rsidRPr="00BA56A1">
              <w:rPr>
                <w:rFonts w:cs="Arial"/>
              </w:rPr>
              <w:t>the Costs incurred by the Supplier up to the Termination Date in the performance of this Contract and detailed in the Financial Model (but excluding Contract Breakage Costs, Redundancy Costs and any costs the Supplier would not otherwise be able to recover through the Charges) less any Deductions up to (and including) the Termination Date;</w:t>
            </w:r>
          </w:p>
        </w:tc>
      </w:tr>
      <w:tr w:rsidR="00F67E9E" w:rsidRPr="00BA56A1" w14:paraId="5020F458" w14:textId="77777777" w:rsidTr="007F74AA">
        <w:tc>
          <w:tcPr>
            <w:tcW w:w="2835" w:type="dxa"/>
          </w:tcPr>
          <w:p w14:paraId="2D59C975" w14:textId="77777777" w:rsidR="00F67E9E" w:rsidRPr="00BA56A1" w:rsidRDefault="00F67E9E" w:rsidP="007F74AA">
            <w:pPr>
              <w:pStyle w:val="StdBodyTextBold"/>
              <w:rPr>
                <w:rFonts w:cs="Arial"/>
              </w:rPr>
            </w:pPr>
            <w:r>
              <w:rPr>
                <w:rFonts w:cs="Arial"/>
              </w:rPr>
              <w:t>“</w:t>
            </w:r>
            <w:r w:rsidRPr="00BA56A1">
              <w:rPr>
                <w:rFonts w:cs="Arial"/>
              </w:rPr>
              <w:t>Unrecovered Costs</w:t>
            </w:r>
            <w:r>
              <w:rPr>
                <w:rFonts w:cs="Arial"/>
              </w:rPr>
              <w:t>”</w:t>
            </w:r>
          </w:p>
        </w:tc>
        <w:tc>
          <w:tcPr>
            <w:tcW w:w="6803" w:type="dxa"/>
          </w:tcPr>
          <w:p w14:paraId="68925056" w14:textId="5DB4E2CB" w:rsidR="00F67E9E" w:rsidRPr="00BA56A1" w:rsidRDefault="00F67E9E" w:rsidP="007F74AA">
            <w:pPr>
              <w:pStyle w:val="StdBodyText"/>
              <w:rPr>
                <w:rFonts w:cs="Arial"/>
              </w:rPr>
            </w:pPr>
            <w:r w:rsidRPr="00BA56A1">
              <w:rPr>
                <w:rFonts w:cs="Arial"/>
              </w:rPr>
              <w:t xml:space="preserve">the Costs incurred by the Supplier in the performance of this Contract (as summarised in the Financial Model) to the extent that the same remain at the Termination Date to be recovered through Charges that but for the termination of this Contract would have been payable by the Authority after the Termination Date in accordance with </w:t>
            </w:r>
            <w:r>
              <w:rPr>
                <w:rFonts w:cs="Arial"/>
              </w:rPr>
              <w:fldChar w:fldCharType="begin"/>
            </w:r>
            <w:r>
              <w:rPr>
                <w:rFonts w:cs="Arial"/>
              </w:rPr>
              <w:instrText xml:space="preserve"> REF Schedule15 \h </w:instrText>
            </w:r>
            <w:r>
              <w:rPr>
                <w:rFonts w:cs="Arial"/>
              </w:rPr>
            </w:r>
            <w:r>
              <w:rPr>
                <w:rFonts w:cs="Arial"/>
              </w:rPr>
              <w:fldChar w:fldCharType="separate"/>
            </w:r>
            <w:r w:rsidR="00302D39" w:rsidRPr="005D0525">
              <w:t>Schedule</w:t>
            </w:r>
            <w:r w:rsidR="00302D39">
              <w:t> </w:t>
            </w:r>
            <w:r w:rsidR="00302D39" w:rsidRPr="005D0525">
              <w:t>15</w:t>
            </w:r>
            <w:r>
              <w:rPr>
                <w:rFonts w:cs="Arial"/>
              </w:rPr>
              <w:fldChar w:fldCharType="end"/>
            </w:r>
            <w:r>
              <w:rPr>
                <w:rFonts w:cs="Arial"/>
              </w:rPr>
              <w:t xml:space="preserve"> (</w:t>
            </w:r>
            <w:r w:rsidRPr="00B91437">
              <w:rPr>
                <w:rFonts w:cs="Arial"/>
                <w:i/>
                <w:iCs/>
              </w:rPr>
              <w:fldChar w:fldCharType="begin"/>
            </w:r>
            <w:r w:rsidRPr="00B91437">
              <w:rPr>
                <w:rFonts w:cs="Arial"/>
                <w:i/>
                <w:iCs/>
              </w:rPr>
              <w:instrText xml:space="preserve"> REF Schedule15Heading \h </w:instrText>
            </w:r>
            <w:r>
              <w:rPr>
                <w:rFonts w:cs="Arial"/>
                <w:i/>
                <w:iCs/>
              </w:rPr>
              <w:instrText xml:space="preserve"> \* MERGEFORMAT </w:instrText>
            </w:r>
            <w:r w:rsidRPr="00B91437">
              <w:rPr>
                <w:rFonts w:cs="Arial"/>
                <w:i/>
                <w:iCs/>
              </w:rPr>
            </w:r>
            <w:r w:rsidRPr="00B91437">
              <w:rPr>
                <w:rFonts w:cs="Arial"/>
                <w:i/>
                <w:iCs/>
              </w:rPr>
              <w:fldChar w:fldCharType="separate"/>
            </w:r>
            <w:r w:rsidR="00302D39" w:rsidRPr="00302D39">
              <w:rPr>
                <w:i/>
                <w:iCs/>
              </w:rPr>
              <w:t>Charges and Invoicing</w:t>
            </w:r>
            <w:r w:rsidRPr="00B91437">
              <w:rPr>
                <w:rFonts w:cs="Arial"/>
                <w:i/>
                <w:iCs/>
              </w:rPr>
              <w:fldChar w:fldCharType="end"/>
            </w:r>
            <w:r>
              <w:rPr>
                <w:rFonts w:cs="Arial"/>
              </w:rPr>
              <w:t>)</w:t>
            </w:r>
            <w:r w:rsidRPr="00BA56A1">
              <w:rPr>
                <w:rFonts w:cs="Arial"/>
              </w:rPr>
              <w:t xml:space="preserve"> as such Costs and Charges are forecast in the Financial Model;</w:t>
            </w:r>
          </w:p>
        </w:tc>
      </w:tr>
      <w:tr w:rsidR="00F67E9E" w:rsidRPr="00BA56A1" w14:paraId="0CEC306D" w14:textId="77777777" w:rsidTr="007F74AA">
        <w:tc>
          <w:tcPr>
            <w:tcW w:w="2835" w:type="dxa"/>
          </w:tcPr>
          <w:p w14:paraId="1B4AAC89" w14:textId="77777777" w:rsidR="00F67E9E" w:rsidRPr="00BA56A1" w:rsidRDefault="00F67E9E" w:rsidP="007F74AA">
            <w:pPr>
              <w:pStyle w:val="StdBodyTextBold"/>
              <w:rPr>
                <w:rFonts w:cs="Arial"/>
              </w:rPr>
            </w:pPr>
            <w:r>
              <w:rPr>
                <w:rFonts w:cs="Arial"/>
              </w:rPr>
              <w:t>“</w:t>
            </w:r>
            <w:r w:rsidRPr="00BA56A1">
              <w:rPr>
                <w:rFonts w:cs="Arial"/>
              </w:rPr>
              <w:t>Unrecovered Payment</w:t>
            </w:r>
            <w:r>
              <w:rPr>
                <w:rFonts w:cs="Arial"/>
              </w:rPr>
              <w:t>”</w:t>
            </w:r>
          </w:p>
        </w:tc>
        <w:tc>
          <w:tcPr>
            <w:tcW w:w="6803" w:type="dxa"/>
          </w:tcPr>
          <w:p w14:paraId="1AC9D212" w14:textId="77777777" w:rsidR="00F67E9E" w:rsidRPr="00BA56A1" w:rsidRDefault="00F67E9E" w:rsidP="007F74AA">
            <w:pPr>
              <w:pStyle w:val="StdBodyText"/>
              <w:rPr>
                <w:rFonts w:cs="Arial"/>
              </w:rPr>
            </w:pPr>
            <w:r w:rsidRPr="00BA56A1">
              <w:rPr>
                <w:rFonts w:cs="Arial"/>
              </w:rPr>
              <w:t>an amount equal to the lower of:</w:t>
            </w:r>
          </w:p>
          <w:p w14:paraId="4B8CCF42" w14:textId="77777777" w:rsidR="00F67E9E" w:rsidRPr="0007705F" w:rsidRDefault="00F67E9E" w:rsidP="007F74AA">
            <w:pPr>
              <w:pStyle w:val="DefinitionList"/>
              <w:numPr>
                <w:ilvl w:val="0"/>
                <w:numId w:val="177"/>
              </w:numPr>
              <w:rPr>
                <w:rFonts w:cs="Arial"/>
              </w:rPr>
            </w:pPr>
            <w:r w:rsidRPr="0007705F">
              <w:rPr>
                <w:rFonts w:cs="Arial"/>
              </w:rPr>
              <w:t>the sum of the Unrecovered Costs and the Unrecovered Profit; and</w:t>
            </w:r>
          </w:p>
          <w:p w14:paraId="73F80531" w14:textId="24741296" w:rsidR="00F67E9E" w:rsidRPr="00BA56A1" w:rsidRDefault="00F67E9E" w:rsidP="00F67E9E">
            <w:pPr>
              <w:pStyle w:val="DefinitionList"/>
              <w:numPr>
                <w:ilvl w:val="0"/>
                <w:numId w:val="108"/>
              </w:numPr>
              <w:rPr>
                <w:rFonts w:cs="Arial"/>
              </w:rPr>
            </w:pPr>
            <w:r w:rsidRPr="00BA56A1">
              <w:rPr>
                <w:rFonts w:cs="Arial"/>
              </w:rPr>
              <w:t xml:space="preserve">the amount specified in </w:t>
            </w:r>
            <w:bookmarkStart w:id="1238" w:name="_9kMLK5YVt4DDCMKbGpqgyts0G"/>
            <w:r w:rsidRPr="00BA56A1">
              <w:rPr>
                <w:rFonts w:cs="Arial"/>
              </w:rPr>
              <w:t xml:space="preserve">Paragraph </w:t>
            </w:r>
            <w:r w:rsidRPr="00BA56A1">
              <w:rPr>
                <w:rFonts w:cs="Arial"/>
              </w:rPr>
              <w:fldChar w:fldCharType="begin"/>
            </w:r>
            <w:r w:rsidRPr="00BA56A1">
              <w:rPr>
                <w:rFonts w:cs="Arial"/>
              </w:rPr>
              <w:instrText xml:space="preserve"> REF _Ref_ContractCompanion_9kb9Ur6FJ \w \n \h \t \* MERGEFORMAT </w:instrText>
            </w:r>
            <w:r w:rsidRPr="00BA56A1">
              <w:rPr>
                <w:rFonts w:cs="Arial"/>
              </w:rPr>
            </w:r>
            <w:r w:rsidRPr="00BA56A1">
              <w:rPr>
                <w:rFonts w:cs="Arial"/>
              </w:rPr>
              <w:fldChar w:fldCharType="separate"/>
            </w:r>
            <w:r w:rsidR="00302D39">
              <w:rPr>
                <w:rFonts w:cs="Arial"/>
              </w:rPr>
              <w:t>7</w:t>
            </w:r>
            <w:r w:rsidRPr="00BA56A1">
              <w:rPr>
                <w:rFonts w:cs="Arial"/>
              </w:rPr>
              <w:fldChar w:fldCharType="end"/>
            </w:r>
            <w:bookmarkEnd w:id="1238"/>
            <w:r w:rsidRPr="00BA56A1">
              <w:rPr>
                <w:rFonts w:cs="Arial"/>
              </w:rPr>
              <w:t>; and</w:t>
            </w:r>
          </w:p>
        </w:tc>
      </w:tr>
      <w:tr w:rsidR="00F67E9E" w:rsidRPr="00BA56A1" w14:paraId="11B5A87A" w14:textId="77777777" w:rsidTr="007F74AA">
        <w:tc>
          <w:tcPr>
            <w:tcW w:w="2835" w:type="dxa"/>
          </w:tcPr>
          <w:p w14:paraId="5C0A7061" w14:textId="77777777" w:rsidR="00F67E9E" w:rsidRPr="00BA56A1" w:rsidRDefault="00F67E9E" w:rsidP="007F74AA">
            <w:pPr>
              <w:pStyle w:val="StdBodyTextBold"/>
              <w:rPr>
                <w:rFonts w:cs="Arial"/>
              </w:rPr>
            </w:pPr>
            <w:r>
              <w:rPr>
                <w:rFonts w:cs="Arial"/>
              </w:rPr>
              <w:t>“</w:t>
            </w:r>
            <w:r w:rsidRPr="00BA56A1">
              <w:rPr>
                <w:rFonts w:cs="Arial"/>
              </w:rPr>
              <w:t>Unrecovered Profit</w:t>
            </w:r>
            <w:r>
              <w:rPr>
                <w:rFonts w:cs="Arial"/>
              </w:rPr>
              <w:t>”</w:t>
            </w:r>
          </w:p>
        </w:tc>
        <w:tc>
          <w:tcPr>
            <w:tcW w:w="6803" w:type="dxa"/>
          </w:tcPr>
          <w:p w14:paraId="17862E94" w14:textId="77777777" w:rsidR="00F67E9E" w:rsidRPr="00BA56A1" w:rsidRDefault="00F67E9E" w:rsidP="007F74AA">
            <w:pPr>
              <w:pStyle w:val="StdBodyText"/>
              <w:rPr>
                <w:rFonts w:cs="Arial"/>
              </w:rPr>
            </w:pPr>
            <w:r w:rsidRPr="00BA56A1">
              <w:rPr>
                <w:rFonts w:cs="Arial"/>
              </w:rPr>
              <w:t>(Total Costs Incurred x Anticipated Contract Life Profit Margin) - Profit Already Paid + Milestone Retentions remaining unpaid at the Termination Date.</w:t>
            </w:r>
          </w:p>
        </w:tc>
      </w:tr>
    </w:tbl>
    <w:p w14:paraId="010D1974" w14:textId="77777777" w:rsidR="00F67E9E" w:rsidRPr="00BA56A1" w:rsidRDefault="00F67E9E" w:rsidP="00F67E9E">
      <w:pPr>
        <w:pStyle w:val="Numbered1"/>
      </w:pPr>
      <w:r w:rsidRPr="00BA56A1">
        <w:t>Termination Payment</w:t>
      </w:r>
    </w:p>
    <w:p w14:paraId="6E963567" w14:textId="77777777" w:rsidR="00F67E9E" w:rsidRPr="00BA56A1" w:rsidRDefault="00F67E9E" w:rsidP="00F67E9E">
      <w:pPr>
        <w:pStyle w:val="Numbered11"/>
      </w:pPr>
      <w:r w:rsidRPr="00BA56A1">
        <w:t xml:space="preserve">The Termination Payment </w:t>
      </w:r>
      <w:r w:rsidRPr="000A7B06">
        <w:t>payable</w:t>
      </w:r>
      <w:r w:rsidRPr="00BA56A1">
        <w:t xml:space="preserve"> pursuant to </w:t>
      </w:r>
      <w:bookmarkStart w:id="1239" w:name="_9kR3WTr2CC67CPChrAv7LMt"/>
      <w:r w:rsidRPr="00BA56A1">
        <w:t>Clause 32.3(a)</w:t>
      </w:r>
      <w:bookmarkEnd w:id="1239"/>
      <w:r w:rsidRPr="00BA56A1">
        <w:t xml:space="preserve"> (</w:t>
      </w:r>
      <w:r w:rsidRPr="00BA56A1">
        <w:rPr>
          <w:i/>
        </w:rPr>
        <w:t>Payments by</w:t>
      </w:r>
      <w:r w:rsidRPr="00BA56A1">
        <w:t xml:space="preserve"> </w:t>
      </w:r>
      <w:r w:rsidRPr="00BA56A1">
        <w:rPr>
          <w:i/>
        </w:rPr>
        <w:t>the Authority</w:t>
      </w:r>
      <w:r w:rsidRPr="00BA56A1">
        <w:t xml:space="preserve">) shall be an amount equal to the aggregate of the Breakage Costs Payment and the Unrecovered Payment. </w:t>
      </w:r>
    </w:p>
    <w:p w14:paraId="138BAE74" w14:textId="77777777" w:rsidR="00F67E9E" w:rsidRPr="00BA56A1" w:rsidRDefault="00F67E9E" w:rsidP="00F67E9E">
      <w:pPr>
        <w:pStyle w:val="Numbered1"/>
      </w:pPr>
      <w:bookmarkStart w:id="1240" w:name="_Ref_ContractCompanion_9kb9Us25D"/>
      <w:bookmarkStart w:id="1241" w:name="_9kR3WTrAG96AAZJfifw5qDPMW26qxyv0x8PVWTC"/>
      <w:r w:rsidRPr="00BA56A1">
        <w:t>Breakage Costs Payment</w:t>
      </w:r>
      <w:bookmarkEnd w:id="1240"/>
      <w:bookmarkEnd w:id="1241"/>
    </w:p>
    <w:p w14:paraId="70B044B8" w14:textId="77777777" w:rsidR="00F67E9E" w:rsidRPr="00BA56A1" w:rsidRDefault="00F67E9E" w:rsidP="00F67E9E">
      <w:pPr>
        <w:pStyle w:val="Numbered11"/>
      </w:pPr>
      <w:r w:rsidRPr="00BA56A1">
        <w:t xml:space="preserve">The Supplier may recover </w:t>
      </w:r>
      <w:r w:rsidRPr="000A7B06">
        <w:t>through</w:t>
      </w:r>
      <w:r w:rsidRPr="00BA56A1">
        <w:t xml:space="preserve"> the Breakage Costs Payment only those costs incurred by the Supplier directly as a result of the termination of this Contract which:</w:t>
      </w:r>
    </w:p>
    <w:p w14:paraId="354949F8" w14:textId="77777777" w:rsidR="00F67E9E" w:rsidRPr="00BA56A1" w:rsidRDefault="00F67E9E" w:rsidP="00F67E9E">
      <w:pPr>
        <w:pStyle w:val="Numbered111"/>
        <w:tabs>
          <w:tab w:val="clear" w:pos="1800"/>
          <w:tab w:val="num" w:pos="2160"/>
        </w:tabs>
      </w:pPr>
      <w:r w:rsidRPr="00BA56A1">
        <w:t xml:space="preserve">would not have been incurred had this Contract continued until expiry of the Initial Term, or in the event that the Term has been extended, the expiry of the Extension Period; </w:t>
      </w:r>
    </w:p>
    <w:p w14:paraId="57A78423" w14:textId="77777777" w:rsidR="00F67E9E" w:rsidRPr="00BA56A1" w:rsidRDefault="00F67E9E" w:rsidP="00F67E9E">
      <w:pPr>
        <w:pStyle w:val="Numbered111"/>
        <w:tabs>
          <w:tab w:val="clear" w:pos="1800"/>
          <w:tab w:val="num" w:pos="2160"/>
        </w:tabs>
      </w:pPr>
      <w:r w:rsidRPr="00BA56A1">
        <w:t>are unavoidable, proven, reasonable, and not capable of recovery;</w:t>
      </w:r>
    </w:p>
    <w:p w14:paraId="508512C6" w14:textId="77777777" w:rsidR="00F67E9E" w:rsidRPr="00BA56A1" w:rsidRDefault="00F67E9E" w:rsidP="00F67E9E">
      <w:pPr>
        <w:pStyle w:val="Numbered111"/>
        <w:tabs>
          <w:tab w:val="clear" w:pos="1800"/>
          <w:tab w:val="num" w:pos="2160"/>
        </w:tabs>
      </w:pPr>
      <w:r w:rsidRPr="00BA56A1">
        <w:t>are incurred under arrangements or agreements that are directly associated with this Contract;</w:t>
      </w:r>
    </w:p>
    <w:p w14:paraId="1C2E0A87" w14:textId="77777777" w:rsidR="00F67E9E" w:rsidRPr="00BA56A1" w:rsidRDefault="00F67E9E" w:rsidP="00F67E9E">
      <w:pPr>
        <w:pStyle w:val="Numbered111"/>
        <w:tabs>
          <w:tab w:val="clear" w:pos="1800"/>
          <w:tab w:val="num" w:pos="2160"/>
        </w:tabs>
      </w:pPr>
      <w:r w:rsidRPr="00BA56A1">
        <w:t>are not Contract Breakage Costs relating to contracts or Sub-contracts with Affiliates of the Supplier; and</w:t>
      </w:r>
    </w:p>
    <w:p w14:paraId="2D56934B" w14:textId="77777777" w:rsidR="00F67E9E" w:rsidRPr="00BA56A1" w:rsidRDefault="00F67E9E" w:rsidP="00F67E9E">
      <w:pPr>
        <w:pStyle w:val="Numbered111"/>
        <w:tabs>
          <w:tab w:val="clear" w:pos="1800"/>
          <w:tab w:val="num" w:pos="2160"/>
        </w:tabs>
      </w:pPr>
      <w:r w:rsidRPr="00BA56A1">
        <w:t xml:space="preserve">relate directly to the termination of the Services. </w:t>
      </w:r>
    </w:p>
    <w:p w14:paraId="6D5D6B33" w14:textId="77777777" w:rsidR="00F67E9E" w:rsidRPr="00BA56A1" w:rsidRDefault="00F67E9E" w:rsidP="00F67E9E">
      <w:pPr>
        <w:pStyle w:val="Numbered1"/>
      </w:pPr>
      <w:r w:rsidRPr="00BA56A1">
        <w:t xml:space="preserve">Limitation </w:t>
      </w:r>
      <w:r w:rsidRPr="000A7B06">
        <w:t>on</w:t>
      </w:r>
      <w:r w:rsidRPr="00BA56A1">
        <w:t xml:space="preserve"> Breakage Costs Payment</w:t>
      </w:r>
    </w:p>
    <w:p w14:paraId="33E68441" w14:textId="77777777" w:rsidR="00F67E9E" w:rsidRPr="00BA56A1" w:rsidRDefault="00F67E9E" w:rsidP="00F67E9E">
      <w:pPr>
        <w:pStyle w:val="Numbered11"/>
      </w:pPr>
      <w:r w:rsidRPr="00BA56A1">
        <w:t xml:space="preserve">The Breakage Costs </w:t>
      </w:r>
      <w:r w:rsidRPr="000A7B06">
        <w:t>Payment</w:t>
      </w:r>
      <w:r w:rsidRPr="00BA56A1">
        <w:t xml:space="preserve"> shall not exceed the lower of:</w:t>
      </w:r>
    </w:p>
    <w:p w14:paraId="2D6C8DDA" w14:textId="3957AD79" w:rsidR="00F67E9E" w:rsidRPr="00BA56A1" w:rsidRDefault="00F67E9E" w:rsidP="00F67E9E">
      <w:pPr>
        <w:pStyle w:val="Numbered111"/>
        <w:tabs>
          <w:tab w:val="clear" w:pos="1800"/>
          <w:tab w:val="num" w:pos="2160"/>
        </w:tabs>
      </w:pPr>
      <w:r w:rsidRPr="00BA56A1">
        <w:t xml:space="preserve">the relevant limit set out in Annex </w:t>
      </w:r>
      <w:r w:rsidRPr="00BA56A1">
        <w:fldChar w:fldCharType="begin"/>
      </w:r>
      <w:r w:rsidRPr="00BA56A1">
        <w:instrText xml:space="preserve"> REF ANNEX1_SCHEDULE16 \h </w:instrText>
      </w:r>
      <w:r>
        <w:instrText xml:space="preserve"> \* MERGEFORMAT </w:instrText>
      </w:r>
      <w:r w:rsidRPr="00BA56A1">
        <w:fldChar w:fldCharType="separate"/>
      </w:r>
      <w:r w:rsidR="00302D39" w:rsidRPr="00BA56A1">
        <w:t>1</w:t>
      </w:r>
      <w:r w:rsidRPr="00BA56A1">
        <w:fldChar w:fldCharType="end"/>
      </w:r>
      <w:r w:rsidRPr="00BA56A1">
        <w:t>; and</w:t>
      </w:r>
    </w:p>
    <w:p w14:paraId="388AAEAD" w14:textId="77777777" w:rsidR="00F67E9E" w:rsidRPr="00BA56A1" w:rsidRDefault="00F67E9E" w:rsidP="00F67E9E">
      <w:pPr>
        <w:pStyle w:val="Numbered111"/>
        <w:tabs>
          <w:tab w:val="clear" w:pos="1800"/>
          <w:tab w:val="num" w:pos="2160"/>
        </w:tabs>
      </w:pPr>
      <w:r w:rsidRPr="00BA56A1">
        <w:t>120% of the estimate for the Breakage Costs Payment set out in any relevant Termination Estimate.</w:t>
      </w:r>
    </w:p>
    <w:p w14:paraId="3B5BEB74" w14:textId="77777777" w:rsidR="00F67E9E" w:rsidRPr="00BA56A1" w:rsidRDefault="00F67E9E" w:rsidP="00F67E9E">
      <w:pPr>
        <w:pStyle w:val="Numbered1"/>
      </w:pPr>
      <w:r w:rsidRPr="000A7B06">
        <w:t>Redundancy</w:t>
      </w:r>
      <w:r w:rsidRPr="00BA56A1">
        <w:t xml:space="preserve"> Costs</w:t>
      </w:r>
    </w:p>
    <w:p w14:paraId="50649B5B" w14:textId="77777777" w:rsidR="00F67E9E" w:rsidRPr="000A7B06" w:rsidRDefault="00F67E9E" w:rsidP="00F67E9E">
      <w:pPr>
        <w:pStyle w:val="Numbered11"/>
      </w:pPr>
      <w:r w:rsidRPr="00BA56A1">
        <w:t xml:space="preserve">The Authority shall not be liable under this Schedule for any costs associated with Supplier Personnel (whether relating to redundancy, redeployment or otherwise) other than the Redundancy </w:t>
      </w:r>
      <w:r w:rsidRPr="000A7B06">
        <w:t>Costs.</w:t>
      </w:r>
    </w:p>
    <w:p w14:paraId="3EA8C036" w14:textId="77777777" w:rsidR="00F67E9E" w:rsidRPr="00BA56A1" w:rsidRDefault="00F67E9E" w:rsidP="00F67E9E">
      <w:pPr>
        <w:pStyle w:val="Numbered11"/>
      </w:pPr>
      <w:r w:rsidRPr="000A7B06">
        <w:t>Where the Supplier can demonstrate that a member of Supplier Personnel will be made redundant following termination of this Contract, but redeployment of such person is possible and would offer va</w:t>
      </w:r>
      <w:r w:rsidRPr="00BA56A1">
        <w:t xml:space="preserve">lue for money to the Authority when compared with redundancy, then the Authority shall pay the Supplier the actual direct costs incurred by the Supplier or its Sub-contractor arising out of the redeployment of such person (including retraining and relocation costs) subject to a maximum amount of £30,000 per relevant member of the Supplier Personnel. </w:t>
      </w:r>
    </w:p>
    <w:p w14:paraId="6AE29C66" w14:textId="77777777" w:rsidR="00F67E9E" w:rsidRPr="00BA56A1" w:rsidRDefault="00F67E9E" w:rsidP="00F67E9E">
      <w:pPr>
        <w:pStyle w:val="Numbered1"/>
      </w:pPr>
      <w:r w:rsidRPr="00BA56A1">
        <w:t xml:space="preserve">Contract Breakage </w:t>
      </w:r>
      <w:r w:rsidRPr="000A7B06">
        <w:t>Costs</w:t>
      </w:r>
    </w:p>
    <w:p w14:paraId="1296EB85" w14:textId="77777777" w:rsidR="00F67E9E" w:rsidRPr="00BA56A1" w:rsidRDefault="00F67E9E" w:rsidP="00F67E9E">
      <w:pPr>
        <w:pStyle w:val="Numbered11"/>
      </w:pPr>
      <w:r w:rsidRPr="00BA56A1">
        <w:t xml:space="preserve">The Supplier shall be entitled to Contract Breakage Costs only in respect of </w:t>
      </w:r>
      <w:bookmarkStart w:id="1242" w:name="_9kR3WTr2AC7CHfPlwsRJsCKeP7DI0m6NJJywC"/>
      <w:r w:rsidRPr="00BA56A1">
        <w:t>Third Party Contracts or Sub</w:t>
      </w:r>
      <w:bookmarkEnd w:id="1242"/>
      <w:r w:rsidRPr="00BA56A1">
        <w:t>-</w:t>
      </w:r>
      <w:r w:rsidRPr="000A7B06">
        <w:t>contracts</w:t>
      </w:r>
      <w:r w:rsidRPr="00BA56A1">
        <w:t xml:space="preserve"> which:</w:t>
      </w:r>
    </w:p>
    <w:p w14:paraId="42D60789" w14:textId="59B62382" w:rsidR="00F67E9E" w:rsidRPr="00BA56A1" w:rsidRDefault="00F67E9E" w:rsidP="00F67E9E">
      <w:pPr>
        <w:pStyle w:val="Numbered111"/>
        <w:tabs>
          <w:tab w:val="clear" w:pos="1800"/>
          <w:tab w:val="num" w:pos="2160"/>
        </w:tabs>
      </w:pPr>
      <w:r w:rsidRPr="00BA56A1">
        <w:t xml:space="preserve">are not assigned or novated to a Replacement Supplier at the request of the Authority in accordance with </w:t>
      </w:r>
      <w:r>
        <w:fldChar w:fldCharType="begin"/>
      </w:r>
      <w:r>
        <w:instrText xml:space="preserve"> REF Schedule25 \h </w:instrText>
      </w:r>
      <w:r>
        <w:fldChar w:fldCharType="separate"/>
      </w:r>
      <w:r w:rsidR="00302D39" w:rsidRPr="005D0525">
        <w:t>Schedule 25</w:t>
      </w:r>
      <w:r>
        <w:fldChar w:fldCharType="end"/>
      </w:r>
      <w:r>
        <w:t xml:space="preserve"> (</w:t>
      </w:r>
      <w:r w:rsidRPr="00A22335">
        <w:rPr>
          <w:i/>
          <w:iCs/>
        </w:rPr>
        <w:fldChar w:fldCharType="begin"/>
      </w:r>
      <w:r w:rsidRPr="00A22335">
        <w:rPr>
          <w:i/>
          <w:iCs/>
        </w:rPr>
        <w:instrText xml:space="preserve"> REF Schedule25Heading \h </w:instrText>
      </w:r>
      <w:r>
        <w:rPr>
          <w:i/>
          <w:iCs/>
        </w:rPr>
        <w:instrText xml:space="preserve"> \* MERGEFORMAT </w:instrText>
      </w:r>
      <w:r w:rsidRPr="00A22335">
        <w:rPr>
          <w:i/>
          <w:iCs/>
        </w:rPr>
      </w:r>
      <w:r w:rsidRPr="00A22335">
        <w:rPr>
          <w:i/>
          <w:iCs/>
        </w:rPr>
        <w:fldChar w:fldCharType="separate"/>
      </w:r>
      <w:r w:rsidR="00302D39" w:rsidRPr="00302D39">
        <w:rPr>
          <w:i/>
          <w:iCs/>
        </w:rPr>
        <w:t>Exit Management</w:t>
      </w:r>
      <w:r w:rsidRPr="00A22335">
        <w:rPr>
          <w:i/>
          <w:iCs/>
        </w:rPr>
        <w:fldChar w:fldCharType="end"/>
      </w:r>
      <w:r>
        <w:t>)</w:t>
      </w:r>
      <w:r w:rsidRPr="00BA56A1">
        <w:t>; and</w:t>
      </w:r>
    </w:p>
    <w:p w14:paraId="27EBF1C8" w14:textId="77777777" w:rsidR="00F67E9E" w:rsidRPr="00BA56A1" w:rsidRDefault="00F67E9E" w:rsidP="00F67E9E">
      <w:pPr>
        <w:pStyle w:val="Numbered111"/>
        <w:tabs>
          <w:tab w:val="clear" w:pos="1800"/>
          <w:tab w:val="num" w:pos="2160"/>
        </w:tabs>
      </w:pPr>
      <w:r w:rsidRPr="00BA56A1">
        <w:t>the Supplier can demonstrate:</w:t>
      </w:r>
    </w:p>
    <w:p w14:paraId="21A7456C" w14:textId="77777777" w:rsidR="00F67E9E" w:rsidRPr="000A7B06" w:rsidRDefault="00F67E9E" w:rsidP="00F67E9E">
      <w:pPr>
        <w:pStyle w:val="Numbered111a"/>
      </w:pPr>
      <w:r w:rsidRPr="00BA56A1">
        <w:t>are surplus to the Supplier</w:t>
      </w:r>
      <w:r>
        <w:t>’</w:t>
      </w:r>
      <w:r w:rsidRPr="00BA56A1">
        <w:t xml:space="preserve">s requirements after the Termination Date, whether in relation to use internally within its business or in providing </w:t>
      </w:r>
      <w:r w:rsidRPr="000A7B06">
        <w:t>services to any of its other customers; and</w:t>
      </w:r>
    </w:p>
    <w:p w14:paraId="291F09D1" w14:textId="77777777" w:rsidR="00F67E9E" w:rsidRPr="00BA56A1" w:rsidRDefault="00F67E9E" w:rsidP="00F67E9E">
      <w:pPr>
        <w:pStyle w:val="Numbered111a"/>
      </w:pPr>
      <w:r w:rsidRPr="000A7B06">
        <w:t>have bee</w:t>
      </w:r>
      <w:r w:rsidRPr="00BA56A1">
        <w:t xml:space="preserve">n entered into by it in the ordinary course of business. </w:t>
      </w:r>
    </w:p>
    <w:p w14:paraId="26C858A4" w14:textId="77777777" w:rsidR="00F67E9E" w:rsidRPr="000A7B06" w:rsidRDefault="00F67E9E" w:rsidP="00F67E9E">
      <w:pPr>
        <w:pStyle w:val="Numbered11"/>
      </w:pPr>
      <w:r w:rsidRPr="00BA56A1">
        <w:t xml:space="preserve">The Supplier shall seek to negotiate termination of any </w:t>
      </w:r>
      <w:bookmarkStart w:id="1243" w:name="_9kMHG5YVt4CE9EJhRnyuTLuEMgR9FK2o8PLL0yE"/>
      <w:r w:rsidRPr="00BA56A1">
        <w:t>Third Party Contracts or Sub</w:t>
      </w:r>
      <w:bookmarkEnd w:id="1243"/>
      <w:r w:rsidRPr="00BA56A1">
        <w:t xml:space="preserve">-contracts with the relevant third party or Sub-contractor (as the case may be) using all </w:t>
      </w:r>
      <w:r w:rsidRPr="000A7B06">
        <w:t>reasonable endeavours to minimise the cancellation or termination charges.</w:t>
      </w:r>
    </w:p>
    <w:p w14:paraId="6EFD4A84" w14:textId="77777777" w:rsidR="00F67E9E" w:rsidRPr="00BA56A1" w:rsidRDefault="00F67E9E" w:rsidP="00F67E9E">
      <w:pPr>
        <w:pStyle w:val="Numbered11"/>
      </w:pPr>
      <w:r w:rsidRPr="000A7B06">
        <w:t>Except with the prior written agreement of the Authority, the Authority shall not be liable for any costs</w:t>
      </w:r>
      <w:r w:rsidRPr="00BA56A1">
        <w:t xml:space="preserve"> (including cancellation or termination charges) that the Supplier is obliged to pay in respect of:</w:t>
      </w:r>
    </w:p>
    <w:p w14:paraId="062099FA" w14:textId="77777777" w:rsidR="00F67E9E" w:rsidRPr="00BA56A1" w:rsidRDefault="00F67E9E" w:rsidP="00F67E9E">
      <w:pPr>
        <w:pStyle w:val="Numbered111"/>
        <w:tabs>
          <w:tab w:val="clear" w:pos="1800"/>
          <w:tab w:val="num" w:pos="2160"/>
        </w:tabs>
      </w:pPr>
      <w:r w:rsidRPr="00BA56A1">
        <w:t>the termination of any contractual arrangements for occupation of, support of and/or services provided for Supplier premises which may arise as a consequence of the termination of this Contract; and/or</w:t>
      </w:r>
    </w:p>
    <w:p w14:paraId="2BBFAE37" w14:textId="77777777" w:rsidR="00F67E9E" w:rsidRPr="00BA56A1" w:rsidRDefault="00F67E9E" w:rsidP="00F67E9E">
      <w:pPr>
        <w:pStyle w:val="Numbered111"/>
        <w:tabs>
          <w:tab w:val="clear" w:pos="1800"/>
          <w:tab w:val="num" w:pos="2160"/>
        </w:tabs>
      </w:pPr>
      <w:r w:rsidRPr="00BA56A1">
        <w:t>Assets not yet installed at the Termination Date.</w:t>
      </w:r>
    </w:p>
    <w:p w14:paraId="738B35C4" w14:textId="77777777" w:rsidR="00F67E9E" w:rsidRPr="00BA56A1" w:rsidRDefault="00F67E9E" w:rsidP="00F67E9E">
      <w:pPr>
        <w:pStyle w:val="Numbered1"/>
      </w:pPr>
      <w:bookmarkStart w:id="1244" w:name="_Ref_ContractCompanion_9kb9Ur6FJ"/>
      <w:r w:rsidRPr="00BA56A1">
        <w:t>Unrecovered Payment</w:t>
      </w:r>
      <w:bookmarkEnd w:id="1244"/>
    </w:p>
    <w:p w14:paraId="3E9A8C7A" w14:textId="77777777" w:rsidR="00F67E9E" w:rsidRPr="00BA56A1" w:rsidRDefault="00F67E9E" w:rsidP="00F67E9E">
      <w:pPr>
        <w:pStyle w:val="Numbered11"/>
      </w:pPr>
      <w:r w:rsidRPr="00BA56A1">
        <w:t>The Unrecovered Payment shall not exceed the lowest of:</w:t>
      </w:r>
    </w:p>
    <w:p w14:paraId="4A0BE9EE" w14:textId="055980C9" w:rsidR="00F67E9E" w:rsidRPr="00BA56A1" w:rsidRDefault="00F67E9E" w:rsidP="00F67E9E">
      <w:pPr>
        <w:pStyle w:val="Numbered111"/>
        <w:tabs>
          <w:tab w:val="clear" w:pos="1800"/>
          <w:tab w:val="num" w:pos="2160"/>
        </w:tabs>
      </w:pPr>
      <w:r w:rsidRPr="00BA56A1">
        <w:t xml:space="preserve">the relevant limit set out in Annex </w:t>
      </w:r>
      <w:r w:rsidRPr="00BA56A1">
        <w:fldChar w:fldCharType="begin"/>
      </w:r>
      <w:r w:rsidRPr="00BA56A1">
        <w:instrText xml:space="preserve"> REF ANNEX1_SCHEDULE16 \h </w:instrText>
      </w:r>
      <w:r>
        <w:instrText xml:space="preserve"> \* MERGEFORMAT </w:instrText>
      </w:r>
      <w:r w:rsidRPr="00BA56A1">
        <w:fldChar w:fldCharType="separate"/>
      </w:r>
      <w:r w:rsidR="00302D39" w:rsidRPr="00BA56A1">
        <w:t>1</w:t>
      </w:r>
      <w:r w:rsidRPr="00BA56A1">
        <w:fldChar w:fldCharType="end"/>
      </w:r>
      <w:r w:rsidRPr="00BA56A1">
        <w:t xml:space="preserve">; </w:t>
      </w:r>
    </w:p>
    <w:p w14:paraId="461A1F7C" w14:textId="77777777" w:rsidR="00F67E9E" w:rsidRPr="00BA56A1" w:rsidRDefault="00F67E9E" w:rsidP="00F67E9E">
      <w:pPr>
        <w:pStyle w:val="Numbered111"/>
        <w:tabs>
          <w:tab w:val="clear" w:pos="1800"/>
          <w:tab w:val="num" w:pos="2160"/>
        </w:tabs>
      </w:pPr>
      <w:r w:rsidRPr="00BA56A1">
        <w:t>120% of the estimate for the Unrecovered Payment set out in any relevant Termination Estimate; and</w:t>
      </w:r>
    </w:p>
    <w:p w14:paraId="7336B195" w14:textId="13D9140E" w:rsidR="00F67E9E" w:rsidRPr="00BA56A1" w:rsidRDefault="00F67E9E" w:rsidP="00F67E9E">
      <w:pPr>
        <w:pStyle w:val="Numbered111"/>
        <w:tabs>
          <w:tab w:val="clear" w:pos="1800"/>
          <w:tab w:val="num" w:pos="2160"/>
        </w:tabs>
      </w:pPr>
      <w:r w:rsidRPr="00BA56A1">
        <w:t xml:space="preserve">the Charges that but for the termination of this Contract would have been payable by the Authority after the Termination Date in accordance with </w:t>
      </w:r>
      <w:r>
        <w:fldChar w:fldCharType="begin"/>
      </w:r>
      <w:r>
        <w:instrText xml:space="preserve"> REF Schedule15 \h </w:instrText>
      </w:r>
      <w:r>
        <w:fldChar w:fldCharType="separate"/>
      </w:r>
      <w:r w:rsidR="00302D39" w:rsidRPr="005D0525">
        <w:t>Schedule</w:t>
      </w:r>
      <w:r w:rsidR="00302D39">
        <w:t> </w:t>
      </w:r>
      <w:r w:rsidR="00302D39" w:rsidRPr="005D0525">
        <w:t>15</w:t>
      </w:r>
      <w:r>
        <w:fldChar w:fldCharType="end"/>
      </w:r>
      <w:r>
        <w:t xml:space="preserve"> (</w:t>
      </w:r>
      <w:r w:rsidRPr="00B91437">
        <w:rPr>
          <w:i/>
          <w:iCs/>
        </w:rPr>
        <w:fldChar w:fldCharType="begin"/>
      </w:r>
      <w:r w:rsidRPr="00B91437">
        <w:rPr>
          <w:i/>
          <w:iCs/>
        </w:rPr>
        <w:instrText xml:space="preserve"> REF Schedule15Heading \h </w:instrText>
      </w:r>
      <w:r>
        <w:rPr>
          <w:i/>
          <w:iCs/>
        </w:rPr>
        <w:instrText xml:space="preserve"> \* MERGEFORMAT </w:instrText>
      </w:r>
      <w:r w:rsidRPr="00B91437">
        <w:rPr>
          <w:i/>
          <w:iCs/>
        </w:rPr>
      </w:r>
      <w:r w:rsidRPr="00B91437">
        <w:rPr>
          <w:i/>
          <w:iCs/>
        </w:rPr>
        <w:fldChar w:fldCharType="separate"/>
      </w:r>
      <w:r w:rsidR="00302D39" w:rsidRPr="00302D39">
        <w:rPr>
          <w:i/>
          <w:iCs/>
        </w:rPr>
        <w:t>Charges and Invoicing</w:t>
      </w:r>
      <w:r w:rsidRPr="00B91437">
        <w:rPr>
          <w:i/>
          <w:iCs/>
        </w:rPr>
        <w:fldChar w:fldCharType="end"/>
      </w:r>
      <w:r>
        <w:t>)</w:t>
      </w:r>
      <w:r w:rsidRPr="00BA56A1">
        <w:t xml:space="preserve"> as forecast in the Financial Model.</w:t>
      </w:r>
    </w:p>
    <w:p w14:paraId="1447A3A8" w14:textId="77777777" w:rsidR="00F67E9E" w:rsidRPr="00BA56A1" w:rsidRDefault="00F67E9E" w:rsidP="00F67E9E">
      <w:pPr>
        <w:pStyle w:val="Numbered1"/>
      </w:pPr>
      <w:bookmarkStart w:id="1245" w:name="_Ref_ContractCompanion_9kb9Us77A"/>
      <w:r w:rsidRPr="000A7B06">
        <w:t>Mitigation</w:t>
      </w:r>
      <w:r w:rsidRPr="00BA56A1">
        <w:t xml:space="preserve"> </w:t>
      </w:r>
      <w:r>
        <w:t>o</w:t>
      </w:r>
      <w:r w:rsidRPr="00BA56A1">
        <w:t xml:space="preserve">f Contract Breakage Costs, Redundancy Costs </w:t>
      </w:r>
      <w:r>
        <w:t>a</w:t>
      </w:r>
      <w:r w:rsidRPr="00BA56A1">
        <w:t>nd Unrecovered Costs</w:t>
      </w:r>
      <w:bookmarkEnd w:id="1245"/>
    </w:p>
    <w:p w14:paraId="1B5E27B2" w14:textId="77777777" w:rsidR="00F67E9E" w:rsidRPr="00BA56A1" w:rsidRDefault="00F67E9E" w:rsidP="00F67E9E">
      <w:pPr>
        <w:pStyle w:val="Numbered11"/>
      </w:pPr>
      <w:r w:rsidRPr="00BA56A1">
        <w:t xml:space="preserve">The Supplier agrees to use all reasonable endeavours to minimise and mitigate Contract Breakage </w:t>
      </w:r>
      <w:r w:rsidRPr="000A7B06">
        <w:t>Costs</w:t>
      </w:r>
      <w:r w:rsidRPr="00BA56A1">
        <w:t>, Redundancy Costs and Unrecovered Costs by:</w:t>
      </w:r>
    </w:p>
    <w:p w14:paraId="06258BF8" w14:textId="77777777" w:rsidR="00F67E9E" w:rsidRPr="00BA56A1" w:rsidRDefault="00F67E9E" w:rsidP="00F67E9E">
      <w:pPr>
        <w:pStyle w:val="Numbered111"/>
        <w:tabs>
          <w:tab w:val="clear" w:pos="1800"/>
          <w:tab w:val="num" w:pos="2160"/>
        </w:tabs>
      </w:pPr>
      <w:r w:rsidRPr="00BA56A1">
        <w:t xml:space="preserve">the appropriation of Assets, employees and resources for other purposes; </w:t>
      </w:r>
    </w:p>
    <w:p w14:paraId="69775453" w14:textId="77777777" w:rsidR="00F67E9E" w:rsidRPr="00BA56A1" w:rsidRDefault="00F67E9E" w:rsidP="00F67E9E">
      <w:pPr>
        <w:pStyle w:val="Numbered111"/>
        <w:tabs>
          <w:tab w:val="clear" w:pos="1800"/>
          <w:tab w:val="num" w:pos="2160"/>
        </w:tabs>
      </w:pPr>
      <w:r w:rsidRPr="00BA56A1">
        <w:t>at the Authority</w:t>
      </w:r>
      <w:r>
        <w:t>’</w:t>
      </w:r>
      <w:r w:rsidRPr="00BA56A1">
        <w:t>s request, assigning any Third Party Contracts and Sub-contracts to the Authority or a third party acting on behalf of the Authority; and</w:t>
      </w:r>
    </w:p>
    <w:p w14:paraId="21EAECF0" w14:textId="77777777" w:rsidR="00F67E9E" w:rsidRPr="00BA56A1" w:rsidRDefault="00F67E9E" w:rsidP="00F67E9E">
      <w:pPr>
        <w:pStyle w:val="Numbered111"/>
        <w:tabs>
          <w:tab w:val="clear" w:pos="1800"/>
          <w:tab w:val="num" w:pos="2160"/>
        </w:tabs>
      </w:pPr>
      <w:r w:rsidRPr="00BA56A1">
        <w:t>in relation Third Party Contracts and Sub-contract that are not to be assigned to the Authority or to another third party, terminating those contracts at the earliest possible date without breach or where contractually permitted.</w:t>
      </w:r>
    </w:p>
    <w:p w14:paraId="4C908589" w14:textId="0898C2D0" w:rsidR="00F67E9E" w:rsidRPr="00BA56A1" w:rsidRDefault="00F67E9E" w:rsidP="00F67E9E">
      <w:pPr>
        <w:pStyle w:val="Numbered11"/>
      </w:pPr>
      <w:r w:rsidRPr="00BA56A1">
        <w:t>If Assets, employees and resources can be used by the Supplier for other purposes, then there shall be an equitable reduction in the Contract Breakage Costs, Redundancy Costs and Unrecovered Costs payable by the Authority or a third party to the Supplier.</w:t>
      </w:r>
      <w:r>
        <w:t xml:space="preserve"> </w:t>
      </w:r>
      <w:r w:rsidRPr="00BA56A1">
        <w:t xml:space="preserve">In the event of any Dispute </w:t>
      </w:r>
      <w:r w:rsidRPr="000A7B06">
        <w:t>arising</w:t>
      </w:r>
      <w:r w:rsidRPr="00BA56A1">
        <w:t xml:space="preserve"> over whether the Supplier can use any Assets, employees and/or resources for other purposes and/or over the amount of the relevant equitable reduction, the Dispute shall be referred to an Expert for determination in accordance with the procedure detailed in </w:t>
      </w:r>
      <w:r>
        <w:rPr>
          <w:rFonts w:cs="Arial"/>
        </w:rPr>
        <w:fldChar w:fldCharType="begin"/>
      </w:r>
      <w:r>
        <w:rPr>
          <w:rFonts w:cs="Arial"/>
        </w:rPr>
        <w:instrText xml:space="preserve"> REF Schedule23 \h </w:instrText>
      </w:r>
      <w:r>
        <w:rPr>
          <w:rFonts w:cs="Arial"/>
        </w:rPr>
      </w:r>
      <w:r>
        <w:rPr>
          <w:rFonts w:cs="Arial"/>
        </w:rPr>
        <w:fldChar w:fldCharType="separate"/>
      </w:r>
      <w:r w:rsidR="00302D39" w:rsidRPr="005D0525">
        <w:t>Schedule</w:t>
      </w:r>
      <w:r w:rsidR="00302D39">
        <w:t> </w:t>
      </w:r>
      <w:r w:rsidR="00302D39" w:rsidRPr="005D0525">
        <w:t>23</w:t>
      </w:r>
      <w:r>
        <w:rPr>
          <w:rFonts w:cs="Arial"/>
        </w:rPr>
        <w:fldChar w:fldCharType="end"/>
      </w:r>
      <w:r>
        <w:rPr>
          <w:rFonts w:cs="Arial"/>
        </w:rPr>
        <w:t xml:space="preserve"> (</w:t>
      </w:r>
      <w:r w:rsidRPr="002F30DB">
        <w:rPr>
          <w:rFonts w:cs="Arial"/>
          <w:i/>
          <w:iCs/>
        </w:rPr>
        <w:fldChar w:fldCharType="begin"/>
      </w:r>
      <w:r w:rsidRPr="002F30DB">
        <w:rPr>
          <w:rFonts w:cs="Arial"/>
          <w:i/>
          <w:iCs/>
        </w:rPr>
        <w:instrText xml:space="preserve"> REF Schedule23Heading \h </w:instrText>
      </w:r>
      <w:r>
        <w:rPr>
          <w:rFonts w:cs="Arial"/>
          <w:i/>
          <w:iCs/>
        </w:rPr>
        <w:instrText xml:space="preserve"> \* MERGEFORMAT </w:instrText>
      </w:r>
      <w:r w:rsidRPr="002F30DB">
        <w:rPr>
          <w:rFonts w:cs="Arial"/>
          <w:i/>
          <w:iCs/>
        </w:rPr>
      </w:r>
      <w:r w:rsidRPr="002F30DB">
        <w:rPr>
          <w:rFonts w:cs="Arial"/>
          <w:i/>
          <w:iCs/>
        </w:rPr>
        <w:fldChar w:fldCharType="separate"/>
      </w:r>
      <w:r w:rsidR="00302D39" w:rsidRPr="00302D39">
        <w:rPr>
          <w:i/>
          <w:iCs/>
        </w:rPr>
        <w:t>Dispute Resolution Procedure</w:t>
      </w:r>
      <w:r w:rsidRPr="002F30DB">
        <w:rPr>
          <w:rFonts w:cs="Arial"/>
          <w:i/>
          <w:iCs/>
        </w:rPr>
        <w:fldChar w:fldCharType="end"/>
      </w:r>
      <w:r>
        <w:rPr>
          <w:rFonts w:cs="Arial"/>
        </w:rPr>
        <w:t>)</w:t>
      </w:r>
      <w:r w:rsidRPr="00BA56A1">
        <w:t>.</w:t>
      </w:r>
    </w:p>
    <w:p w14:paraId="5F5FA425" w14:textId="77777777" w:rsidR="00F67E9E" w:rsidRPr="00BA56A1" w:rsidRDefault="00F67E9E" w:rsidP="00F67E9E">
      <w:pPr>
        <w:pStyle w:val="Numbered1"/>
      </w:pPr>
      <w:bookmarkStart w:id="1246" w:name="_Ref_ContractCompanion_9kb9Us267"/>
      <w:bookmarkStart w:id="1247" w:name="_9kR3WTrAG96ADcJfifw5qDPPa0BD65K8AJFLNBL"/>
      <w:r w:rsidRPr="00BA56A1">
        <w:t xml:space="preserve">Compensation </w:t>
      </w:r>
      <w:r w:rsidRPr="000A7B06">
        <w:t>Payment</w:t>
      </w:r>
      <w:bookmarkEnd w:id="1246"/>
      <w:bookmarkEnd w:id="1247"/>
    </w:p>
    <w:p w14:paraId="7329154D" w14:textId="77777777" w:rsidR="00F67E9E" w:rsidRPr="000A7B06" w:rsidRDefault="00F67E9E" w:rsidP="00F67E9E">
      <w:pPr>
        <w:pStyle w:val="Numbered11"/>
      </w:pPr>
      <w:bookmarkStart w:id="1248" w:name="_Ref_ContractCompanion_9kb9Us27C"/>
      <w:bookmarkStart w:id="1249" w:name="_9kR3WTrAG96BIKFdRjFK13wvAy095BnVBO57NQ8"/>
      <w:r w:rsidRPr="00BA56A1">
        <w:t xml:space="preserve">The Compensation Payment payable pursuant to </w:t>
      </w:r>
      <w:bookmarkStart w:id="1250" w:name="_9kR3WTr2CC67DQChrAv7LMu"/>
      <w:r w:rsidRPr="00BA56A1">
        <w:t>Clause 32.3(b)</w:t>
      </w:r>
      <w:bookmarkEnd w:id="1250"/>
      <w:r w:rsidRPr="00BA56A1">
        <w:t xml:space="preserve"> (</w:t>
      </w:r>
      <w:r w:rsidRPr="00BA56A1">
        <w:rPr>
          <w:i/>
        </w:rPr>
        <w:t>Payments</w:t>
      </w:r>
      <w:r w:rsidRPr="00BA56A1">
        <w:t xml:space="preserve"> </w:t>
      </w:r>
      <w:r w:rsidRPr="00BA56A1">
        <w:rPr>
          <w:i/>
        </w:rPr>
        <w:t>by the Authority</w:t>
      </w:r>
      <w:r w:rsidRPr="00BA56A1">
        <w:t xml:space="preserve">) shall be an amount equal to the total forecast Charges over the Shortfall Period (as stated in the </w:t>
      </w:r>
      <w:r w:rsidRPr="000A7B06">
        <w:t>Financial Model) multiplied by the Anticipated Contract Life Profit Margin.</w:t>
      </w:r>
      <w:bookmarkEnd w:id="1248"/>
      <w:bookmarkEnd w:id="1249"/>
    </w:p>
    <w:p w14:paraId="0A232077" w14:textId="39B0C3D7" w:rsidR="00F67E9E" w:rsidRPr="00BA56A1" w:rsidRDefault="00F67E9E" w:rsidP="00F67E9E">
      <w:pPr>
        <w:pStyle w:val="Numbered11"/>
      </w:pPr>
      <w:bookmarkStart w:id="1251" w:name="_Ref_ContractCompanion_9kb9Us26A"/>
      <w:bookmarkStart w:id="1252" w:name="_9kR3WTrAG96AGJGQK390mvCFB9D45G4gW56wE98"/>
      <w:bookmarkStart w:id="1253" w:name="_9kR3WTrAHA6AHKGQK390mvCFB9D45G4gW56wE98"/>
      <w:r w:rsidRPr="000A7B06">
        <w:t>For the purposes of</w:t>
      </w:r>
      <w:r w:rsidRPr="00BA56A1">
        <w:t xml:space="preserve"> </w:t>
      </w:r>
      <w:bookmarkStart w:id="1254" w:name="_9kMHG5YVtCIB8DKMHfTlHM35yxC02B7DpXDQ79P"/>
      <w:r w:rsidRPr="00BA56A1">
        <w:t xml:space="preserve">Paragraph </w:t>
      </w:r>
      <w:r w:rsidRPr="00BA56A1">
        <w:fldChar w:fldCharType="begin"/>
      </w:r>
      <w:r w:rsidRPr="00BA56A1">
        <w:instrText xml:space="preserve"> REF _Ref_ContractCompanion_9kb9Us27C \n \h \t \* MERGEFORMAT </w:instrText>
      </w:r>
      <w:r w:rsidRPr="00BA56A1">
        <w:fldChar w:fldCharType="separate"/>
      </w:r>
      <w:r w:rsidR="00302D39">
        <w:t>9.1</w:t>
      </w:r>
      <w:r w:rsidRPr="00BA56A1">
        <w:fldChar w:fldCharType="end"/>
      </w:r>
      <w:bookmarkEnd w:id="1254"/>
      <w:r w:rsidRPr="00BA56A1">
        <w:t xml:space="preserve">, the </w:t>
      </w:r>
      <w:r>
        <w:t>“</w:t>
      </w:r>
      <w:r w:rsidRPr="00BA56A1">
        <w:rPr>
          <w:rStyle w:val="StdBodyTextBoldChar"/>
          <w:rFonts w:eastAsiaTheme="majorEastAsia" w:cs="Arial"/>
        </w:rPr>
        <w:t>Shortfall Period</w:t>
      </w:r>
      <w:r>
        <w:t>”</w:t>
      </w:r>
      <w:r w:rsidRPr="00BA56A1">
        <w:t xml:space="preserve"> means:</w:t>
      </w:r>
      <w:bookmarkEnd w:id="1251"/>
      <w:bookmarkEnd w:id="1252"/>
      <w:bookmarkEnd w:id="1253"/>
    </w:p>
    <w:p w14:paraId="00A12184" w14:textId="043D2650" w:rsidR="00F67E9E" w:rsidRPr="00BA56A1" w:rsidRDefault="00F67E9E" w:rsidP="00F67E9E">
      <w:pPr>
        <w:pStyle w:val="Numbered111"/>
        <w:tabs>
          <w:tab w:val="clear" w:pos="1800"/>
          <w:tab w:val="num" w:pos="2160"/>
        </w:tabs>
      </w:pPr>
      <w:r w:rsidRPr="00BA56A1">
        <w:t xml:space="preserve">where the Authority terminates this Contract pursuant to </w:t>
      </w:r>
      <w:bookmarkStart w:id="1255" w:name="_9kMIH5YVt4EE7HJNEjtCx9MLt"/>
      <w:r w:rsidRPr="00BA56A1">
        <w:t>Clause 31.1(a)</w:t>
      </w:r>
      <w:bookmarkEnd w:id="1255"/>
      <w:r w:rsidRPr="00BA56A1">
        <w:t xml:space="preserve"> (</w:t>
      </w:r>
      <w:r w:rsidRPr="00BA56A1">
        <w:rPr>
          <w:i/>
        </w:rPr>
        <w:t>Termination by the Authority</w:t>
      </w:r>
      <w:r w:rsidRPr="00BA56A1">
        <w:t xml:space="preserve">), a number of days equal to the number of days by which the notice given (or deemed given pursuant to </w:t>
      </w:r>
      <w:bookmarkStart w:id="1256" w:name="_9kR3WTr2CC687WEnoewrqyCKt"/>
      <w:r w:rsidRPr="00BA56A1">
        <w:t xml:space="preserve">Paragraph </w:t>
      </w:r>
      <w:bookmarkEnd w:id="1256"/>
      <w:r w:rsidRPr="00BA56A1">
        <w:fldChar w:fldCharType="begin"/>
      </w:r>
      <w:r w:rsidRPr="00BA56A1">
        <w:instrText xml:space="preserve"> REF _Ref99026459 \w \h </w:instrText>
      </w:r>
      <w:r>
        <w:instrText xml:space="preserve"> \* MERGEFORMAT </w:instrText>
      </w:r>
      <w:r w:rsidRPr="00BA56A1">
        <w:fldChar w:fldCharType="separate"/>
      </w:r>
      <w:r w:rsidR="00302D39">
        <w:t>2.1.1</w:t>
      </w:r>
      <w:r w:rsidRPr="00BA56A1">
        <w:fldChar w:fldCharType="end"/>
      </w:r>
      <w:r w:rsidRPr="00BA56A1">
        <w:t xml:space="preserve"> of </w:t>
      </w:r>
      <w:r w:rsidRPr="00BA56A1">
        <w:fldChar w:fldCharType="begin"/>
      </w:r>
      <w:r w:rsidRPr="00BA56A1">
        <w:instrText xml:space="preserve"> REF Sch15PartD \h  \* MERGEFORMAT </w:instrText>
      </w:r>
      <w:r w:rsidRPr="00BA56A1">
        <w:fldChar w:fldCharType="separate"/>
      </w:r>
      <w:r w:rsidR="00302D39" w:rsidRPr="000038E2">
        <w:t>Part</w:t>
      </w:r>
      <w:r w:rsidR="00302D39" w:rsidRPr="00D5341B">
        <w:t> D</w:t>
      </w:r>
      <w:r w:rsidRPr="00BA56A1">
        <w:fldChar w:fldCharType="end"/>
      </w:r>
      <w:r w:rsidRPr="00BA56A1">
        <w:t xml:space="preserve"> of </w:t>
      </w:r>
      <w:r>
        <w:fldChar w:fldCharType="begin"/>
      </w:r>
      <w:r>
        <w:instrText xml:space="preserve"> REF Schedule15 \h </w:instrText>
      </w:r>
      <w:r>
        <w:fldChar w:fldCharType="separate"/>
      </w:r>
      <w:r w:rsidR="00302D39" w:rsidRPr="005D0525">
        <w:t>Schedule</w:t>
      </w:r>
      <w:r w:rsidR="00302D39">
        <w:t> </w:t>
      </w:r>
      <w:r w:rsidR="00302D39" w:rsidRPr="005D0525">
        <w:t>15</w:t>
      </w:r>
      <w:r>
        <w:fldChar w:fldCharType="end"/>
      </w:r>
      <w:r>
        <w:t xml:space="preserve"> (</w:t>
      </w:r>
      <w:r w:rsidRPr="00B91437">
        <w:rPr>
          <w:i/>
          <w:iCs/>
        </w:rPr>
        <w:fldChar w:fldCharType="begin"/>
      </w:r>
      <w:r w:rsidRPr="00B91437">
        <w:rPr>
          <w:i/>
          <w:iCs/>
        </w:rPr>
        <w:instrText xml:space="preserve"> REF Schedule15Heading \h </w:instrText>
      </w:r>
      <w:r>
        <w:rPr>
          <w:i/>
          <w:iCs/>
        </w:rPr>
        <w:instrText xml:space="preserve"> \* MERGEFORMAT </w:instrText>
      </w:r>
      <w:r w:rsidRPr="00B91437">
        <w:rPr>
          <w:i/>
          <w:iCs/>
        </w:rPr>
      </w:r>
      <w:r w:rsidRPr="00B91437">
        <w:rPr>
          <w:i/>
          <w:iCs/>
        </w:rPr>
        <w:fldChar w:fldCharType="separate"/>
      </w:r>
      <w:r w:rsidR="00302D39" w:rsidRPr="00302D39">
        <w:rPr>
          <w:i/>
          <w:iCs/>
        </w:rPr>
        <w:t>Charges and Invoicing</w:t>
      </w:r>
      <w:r w:rsidRPr="00B91437">
        <w:rPr>
          <w:i/>
          <w:iCs/>
        </w:rPr>
        <w:fldChar w:fldCharType="end"/>
      </w:r>
      <w:r>
        <w:t>)</w:t>
      </w:r>
      <w:r w:rsidRPr="00BA56A1">
        <w:t>) falls short of three hundred and sixty-five (365) days; or</w:t>
      </w:r>
    </w:p>
    <w:p w14:paraId="408F85D7" w14:textId="77777777" w:rsidR="00F67E9E" w:rsidRPr="00BA56A1" w:rsidRDefault="00F67E9E" w:rsidP="00F67E9E">
      <w:pPr>
        <w:pStyle w:val="Numbered111"/>
        <w:tabs>
          <w:tab w:val="clear" w:pos="1800"/>
          <w:tab w:val="num" w:pos="2160"/>
        </w:tabs>
      </w:pPr>
      <w:r w:rsidRPr="00BA56A1">
        <w:t xml:space="preserve">where the Supplier terminates this Contract pursuant to </w:t>
      </w:r>
      <w:bookmarkStart w:id="1257" w:name="_9kR3WTr2CC688KChrAv7KLt"/>
      <w:r w:rsidRPr="00BA56A1">
        <w:t>Clause 31.3(a)</w:t>
      </w:r>
      <w:bookmarkEnd w:id="1257"/>
      <w:r w:rsidRPr="00BA56A1">
        <w:t xml:space="preserve"> (</w:t>
      </w:r>
      <w:r w:rsidRPr="00BA56A1">
        <w:rPr>
          <w:i/>
        </w:rPr>
        <w:t>Termination by the Supplier</w:t>
      </w:r>
      <w:r w:rsidRPr="00BA56A1">
        <w:t>), a number of days equal to the number of days by which the period from (and including) the date of the non-payment by the Authority to (and including) the Termination Date falls short of 365 days,</w:t>
      </w:r>
    </w:p>
    <w:p w14:paraId="5D0E6E7C" w14:textId="70D9FF56" w:rsidR="00F67E9E" w:rsidRPr="00BA56A1" w:rsidRDefault="00F67E9E" w:rsidP="00F67E9E">
      <w:pPr>
        <w:pStyle w:val="StdBodyText2"/>
        <w:rPr>
          <w:rFonts w:cs="Arial"/>
        </w:rPr>
      </w:pPr>
      <w:r w:rsidRPr="00BA56A1">
        <w:rPr>
          <w:rFonts w:cs="Arial"/>
        </w:rPr>
        <w:t xml:space="preserve">but in each case subject to the limit set out in </w:t>
      </w:r>
      <w:bookmarkStart w:id="1258" w:name="_9kMHG5YVtCIB8EHIJhTlHM35yxC02B7DpXDQ79P"/>
      <w:r w:rsidRPr="00BA56A1">
        <w:rPr>
          <w:rFonts w:cs="Arial"/>
        </w:rPr>
        <w:t xml:space="preserve">Paragraph </w:t>
      </w:r>
      <w:r w:rsidRPr="00BA56A1">
        <w:rPr>
          <w:rFonts w:cs="Arial"/>
        </w:rPr>
        <w:fldChar w:fldCharType="begin"/>
      </w:r>
      <w:r w:rsidRPr="00BA56A1">
        <w:rPr>
          <w:rFonts w:cs="Arial"/>
        </w:rPr>
        <w:instrText xml:space="preserve"> REF _Ref_ContractCompanion_9kb9Us289 \n \h \t \* MERGEFORMAT </w:instrText>
      </w:r>
      <w:r w:rsidRPr="00BA56A1">
        <w:rPr>
          <w:rFonts w:cs="Arial"/>
        </w:rPr>
      </w:r>
      <w:r w:rsidRPr="00BA56A1">
        <w:rPr>
          <w:rFonts w:cs="Arial"/>
        </w:rPr>
        <w:fldChar w:fldCharType="separate"/>
      </w:r>
      <w:r w:rsidR="00302D39">
        <w:rPr>
          <w:rFonts w:cs="Arial"/>
        </w:rPr>
        <w:t>9.3</w:t>
      </w:r>
      <w:r w:rsidRPr="00BA56A1">
        <w:rPr>
          <w:rFonts w:cs="Arial"/>
        </w:rPr>
        <w:fldChar w:fldCharType="end"/>
      </w:r>
      <w:bookmarkEnd w:id="1258"/>
      <w:r w:rsidRPr="00BA56A1">
        <w:rPr>
          <w:rFonts w:cs="Arial"/>
        </w:rPr>
        <w:t xml:space="preserve">. </w:t>
      </w:r>
    </w:p>
    <w:p w14:paraId="0DB16723" w14:textId="77777777" w:rsidR="00F67E9E" w:rsidRPr="00BA56A1" w:rsidRDefault="00F67E9E" w:rsidP="00F67E9E">
      <w:pPr>
        <w:pStyle w:val="Numbered11"/>
      </w:pPr>
      <w:bookmarkStart w:id="1259" w:name="_Ref_ContractCompanion_9kb9Us289"/>
      <w:bookmarkStart w:id="1260" w:name="_9kR3WTrAG96CFGHfRjFK13wvAy095BnVBO57NTI"/>
      <w:r w:rsidRPr="00BA56A1">
        <w:t xml:space="preserve">The </w:t>
      </w:r>
      <w:r w:rsidRPr="000A7B06">
        <w:t>Compensation</w:t>
      </w:r>
      <w:r w:rsidRPr="00BA56A1">
        <w:t xml:space="preserve"> Payment shall be no greater than the lower of:</w:t>
      </w:r>
      <w:bookmarkEnd w:id="1259"/>
      <w:bookmarkEnd w:id="1260"/>
    </w:p>
    <w:p w14:paraId="69CE6641" w14:textId="05C3CDDA" w:rsidR="00F67E9E" w:rsidRPr="00BA56A1" w:rsidRDefault="00F67E9E" w:rsidP="00F67E9E">
      <w:pPr>
        <w:pStyle w:val="Numbered111"/>
        <w:tabs>
          <w:tab w:val="clear" w:pos="1800"/>
          <w:tab w:val="num" w:pos="2160"/>
        </w:tabs>
      </w:pPr>
      <w:r w:rsidRPr="00BA56A1">
        <w:t xml:space="preserve">the relevant limit set out in Annex </w:t>
      </w:r>
      <w:r w:rsidRPr="00BA56A1">
        <w:fldChar w:fldCharType="begin"/>
      </w:r>
      <w:r w:rsidRPr="00BA56A1">
        <w:instrText xml:space="preserve"> REF ANNEX1_SCHEDULE16 \h </w:instrText>
      </w:r>
      <w:r>
        <w:instrText xml:space="preserve"> \* MERGEFORMAT </w:instrText>
      </w:r>
      <w:r w:rsidRPr="00BA56A1">
        <w:fldChar w:fldCharType="separate"/>
      </w:r>
      <w:r w:rsidR="00302D39" w:rsidRPr="00BA56A1">
        <w:t>1</w:t>
      </w:r>
      <w:r w:rsidRPr="00BA56A1">
        <w:fldChar w:fldCharType="end"/>
      </w:r>
      <w:r w:rsidRPr="00BA56A1">
        <w:t>; and</w:t>
      </w:r>
    </w:p>
    <w:p w14:paraId="2E35C2D3" w14:textId="77777777" w:rsidR="00F67E9E" w:rsidRPr="00BA56A1" w:rsidRDefault="00F67E9E" w:rsidP="00F67E9E">
      <w:pPr>
        <w:pStyle w:val="Numbered111"/>
        <w:tabs>
          <w:tab w:val="clear" w:pos="1800"/>
          <w:tab w:val="num" w:pos="2160"/>
        </w:tabs>
      </w:pPr>
      <w:r w:rsidRPr="00BA56A1">
        <w:t>120% of the estimate for the Compensation Payment set out in the relevant Termination Estimate.</w:t>
      </w:r>
    </w:p>
    <w:p w14:paraId="5F7FF21D" w14:textId="77777777" w:rsidR="00F67E9E" w:rsidRPr="00BA56A1" w:rsidRDefault="00F67E9E" w:rsidP="00F67E9E">
      <w:pPr>
        <w:pStyle w:val="Numbered1"/>
      </w:pPr>
      <w:r w:rsidRPr="00BA56A1">
        <w:t xml:space="preserve">Full </w:t>
      </w:r>
      <w:r>
        <w:t>a</w:t>
      </w:r>
      <w:r w:rsidRPr="00BA56A1">
        <w:t xml:space="preserve">nd </w:t>
      </w:r>
      <w:r w:rsidRPr="000A7B06">
        <w:t>Final</w:t>
      </w:r>
      <w:r w:rsidRPr="00BA56A1">
        <w:t xml:space="preserve"> Settlement</w:t>
      </w:r>
    </w:p>
    <w:p w14:paraId="4A783E17" w14:textId="77777777" w:rsidR="00F67E9E" w:rsidRPr="00BA56A1" w:rsidRDefault="00F67E9E" w:rsidP="00F67E9E">
      <w:pPr>
        <w:pStyle w:val="Numbered11"/>
      </w:pPr>
      <w:r w:rsidRPr="00BA56A1">
        <w:t xml:space="preserve">Any Termination Payment and/or Compensation Payment paid under this Schedule shall be in full and final settlement of any claim, demand and/or proceedings of the </w:t>
      </w:r>
      <w:r w:rsidRPr="000A7B06">
        <w:t>Supplier</w:t>
      </w:r>
      <w:r w:rsidRPr="00BA56A1">
        <w:t xml:space="preserve"> in relation to any termination by the Authority pursuant to </w:t>
      </w:r>
      <w:bookmarkStart w:id="1261" w:name="_9kMJI5YVt4EE7HJNEjtCx9MLt"/>
      <w:r w:rsidRPr="00BA56A1">
        <w:t>Clause 31.1(a)</w:t>
      </w:r>
      <w:bookmarkEnd w:id="1261"/>
      <w:r w:rsidRPr="00BA56A1">
        <w:t xml:space="preserve"> (</w:t>
      </w:r>
      <w:r w:rsidRPr="00BA56A1">
        <w:rPr>
          <w:i/>
        </w:rPr>
        <w:t>Termination by the Authority</w:t>
      </w:r>
      <w:r w:rsidRPr="00BA56A1">
        <w:t xml:space="preserve">) or termination by the Supplier pursuant to </w:t>
      </w:r>
      <w:bookmarkStart w:id="1262" w:name="_9kMHG5YVt4EE8AAMEjtCx9MNv"/>
      <w:r w:rsidRPr="00BA56A1">
        <w:t>Clause 31.3(a)</w:t>
      </w:r>
      <w:bookmarkEnd w:id="1262"/>
      <w:r w:rsidRPr="00BA56A1">
        <w:t xml:space="preserve"> (</w:t>
      </w:r>
      <w:r w:rsidRPr="00BA56A1">
        <w:rPr>
          <w:i/>
        </w:rPr>
        <w:t>Termination by the Supplier</w:t>
      </w:r>
      <w:r w:rsidRPr="00BA56A1">
        <w:t>) (as applicable), and the Supplier shall be excluded from all other rights and remedies it would otherwise have been entitled to in respect of any such termination.</w:t>
      </w:r>
    </w:p>
    <w:p w14:paraId="01F2E65B" w14:textId="77777777" w:rsidR="00F67E9E" w:rsidRPr="00BA56A1" w:rsidRDefault="00F67E9E" w:rsidP="00F67E9E">
      <w:pPr>
        <w:pStyle w:val="Numbered1"/>
      </w:pPr>
      <w:bookmarkStart w:id="1263" w:name="_9kR3WTrAG9799aJfifw5qDPRi5JL9yzBA3CPVM8"/>
      <w:r w:rsidRPr="00BA56A1">
        <w:t xml:space="preserve">Invoicing </w:t>
      </w:r>
      <w:r>
        <w:t>f</w:t>
      </w:r>
      <w:r w:rsidRPr="00BA56A1">
        <w:t xml:space="preserve">or </w:t>
      </w:r>
      <w:r>
        <w:t>t</w:t>
      </w:r>
      <w:r w:rsidRPr="00BA56A1">
        <w:t xml:space="preserve">he </w:t>
      </w:r>
      <w:r w:rsidRPr="000A7B06">
        <w:t>Payments</w:t>
      </w:r>
      <w:r w:rsidRPr="00BA56A1">
        <w:t xml:space="preserve"> </w:t>
      </w:r>
      <w:r>
        <w:t>o</w:t>
      </w:r>
      <w:r w:rsidRPr="00BA56A1">
        <w:t>n Termination</w:t>
      </w:r>
      <w:bookmarkEnd w:id="1263"/>
    </w:p>
    <w:p w14:paraId="5E7BD70C" w14:textId="22C31B88" w:rsidR="00F67E9E" w:rsidRPr="00BA56A1" w:rsidRDefault="00F67E9E" w:rsidP="00F67E9E">
      <w:pPr>
        <w:pStyle w:val="Numbered11"/>
      </w:pPr>
      <w:r w:rsidRPr="00BA56A1">
        <w:t xml:space="preserve">All sums due under this Schedule shall be payable by the Authority to the Supplier in accordance with the payment terms set out in </w:t>
      </w:r>
      <w:r>
        <w:rPr>
          <w:rFonts w:cs="Arial"/>
        </w:rPr>
        <w:fldChar w:fldCharType="begin"/>
      </w:r>
      <w:r>
        <w:rPr>
          <w:rFonts w:cs="Arial"/>
        </w:rPr>
        <w:instrText xml:space="preserve"> REF Schedule15 \h </w:instrText>
      </w:r>
      <w:r>
        <w:rPr>
          <w:rFonts w:cs="Arial"/>
        </w:rPr>
      </w:r>
      <w:r>
        <w:rPr>
          <w:rFonts w:cs="Arial"/>
        </w:rPr>
        <w:fldChar w:fldCharType="separate"/>
      </w:r>
      <w:r w:rsidR="00302D39" w:rsidRPr="005D0525">
        <w:t>Schedule</w:t>
      </w:r>
      <w:r w:rsidR="00302D39">
        <w:t> </w:t>
      </w:r>
      <w:r w:rsidR="00302D39" w:rsidRPr="005D0525">
        <w:t>15</w:t>
      </w:r>
      <w:r>
        <w:rPr>
          <w:rFonts w:cs="Arial"/>
        </w:rPr>
        <w:fldChar w:fldCharType="end"/>
      </w:r>
      <w:r>
        <w:rPr>
          <w:rFonts w:cs="Arial"/>
        </w:rPr>
        <w:t xml:space="preserve"> (</w:t>
      </w:r>
      <w:r w:rsidRPr="00B91437">
        <w:rPr>
          <w:rFonts w:cs="Arial"/>
          <w:i/>
          <w:iCs/>
        </w:rPr>
        <w:fldChar w:fldCharType="begin"/>
      </w:r>
      <w:r w:rsidRPr="00B91437">
        <w:rPr>
          <w:rFonts w:cs="Arial"/>
          <w:i/>
          <w:iCs/>
        </w:rPr>
        <w:instrText xml:space="preserve"> REF Schedule15Heading \h </w:instrText>
      </w:r>
      <w:r>
        <w:rPr>
          <w:rFonts w:cs="Arial"/>
          <w:i/>
          <w:iCs/>
        </w:rPr>
        <w:instrText xml:space="preserve"> \* MERGEFORMAT </w:instrText>
      </w:r>
      <w:r w:rsidRPr="00B91437">
        <w:rPr>
          <w:rFonts w:cs="Arial"/>
          <w:i/>
          <w:iCs/>
        </w:rPr>
      </w:r>
      <w:r w:rsidRPr="00B91437">
        <w:rPr>
          <w:rFonts w:cs="Arial"/>
          <w:i/>
          <w:iCs/>
        </w:rPr>
        <w:fldChar w:fldCharType="separate"/>
      </w:r>
      <w:r w:rsidR="00302D39" w:rsidRPr="00302D39">
        <w:rPr>
          <w:i/>
          <w:iCs/>
        </w:rPr>
        <w:t>Charges and Invoicing</w:t>
      </w:r>
      <w:r w:rsidRPr="00B91437">
        <w:rPr>
          <w:rFonts w:cs="Arial"/>
          <w:i/>
          <w:iCs/>
        </w:rPr>
        <w:fldChar w:fldCharType="end"/>
      </w:r>
      <w:r>
        <w:rPr>
          <w:rFonts w:cs="Arial"/>
        </w:rPr>
        <w:t>)</w:t>
      </w:r>
      <w:r w:rsidRPr="00BA56A1">
        <w:t>.</w:t>
      </w:r>
    </w:p>
    <w:p w14:paraId="4FF5C4B9" w14:textId="77777777" w:rsidR="00F67E9E" w:rsidRPr="00BA56A1" w:rsidRDefault="00F67E9E" w:rsidP="00F67E9E">
      <w:pPr>
        <w:pStyle w:val="Numbered1"/>
      </w:pPr>
      <w:r w:rsidRPr="00BA56A1">
        <w:t>Set Off</w:t>
      </w:r>
    </w:p>
    <w:p w14:paraId="2288C420" w14:textId="77777777" w:rsidR="00F67E9E" w:rsidRPr="00BA56A1" w:rsidRDefault="00F67E9E" w:rsidP="00F67E9E">
      <w:pPr>
        <w:pStyle w:val="Numbered11"/>
      </w:pPr>
      <w:r w:rsidRPr="00BA56A1">
        <w:t>The Authority shall be entitled to set off any outstanding liabilities of the Supplier against any amounts that are payable by it pursuant to this Schedule.</w:t>
      </w:r>
    </w:p>
    <w:p w14:paraId="73D8CE12" w14:textId="77777777" w:rsidR="00F67E9E" w:rsidRPr="00BA56A1" w:rsidRDefault="00F67E9E" w:rsidP="00F67E9E">
      <w:pPr>
        <w:pStyle w:val="Numbered1"/>
      </w:pPr>
      <w:r w:rsidRPr="00BA56A1">
        <w:t>No Double Recovery</w:t>
      </w:r>
    </w:p>
    <w:p w14:paraId="5F668F8F" w14:textId="45AF5CF4" w:rsidR="00F67E9E" w:rsidRPr="00BA56A1" w:rsidRDefault="00F67E9E" w:rsidP="00F67E9E">
      <w:pPr>
        <w:pStyle w:val="Numbered11"/>
      </w:pPr>
      <w:r w:rsidRPr="00BA56A1">
        <w:t xml:space="preserve">If any amount payable under this Schedule (in whole or in part) relates to or arises from any Transferring Assets then, to the extent that the Authority makes any payments pursuant to </w:t>
      </w:r>
      <w:r>
        <w:rPr>
          <w:rFonts w:cs="Arial"/>
        </w:rPr>
        <w:fldChar w:fldCharType="begin"/>
      </w:r>
      <w:r>
        <w:rPr>
          <w:rFonts w:cs="Arial"/>
        </w:rPr>
        <w:instrText xml:space="preserve"> REF Schedule25 \h </w:instrText>
      </w:r>
      <w:r>
        <w:rPr>
          <w:rFonts w:cs="Arial"/>
        </w:rPr>
      </w:r>
      <w:r>
        <w:rPr>
          <w:rFonts w:cs="Arial"/>
        </w:rPr>
        <w:fldChar w:fldCharType="separate"/>
      </w:r>
      <w:r w:rsidR="00302D39" w:rsidRPr="005D0525">
        <w:t>Schedule 25</w:t>
      </w:r>
      <w:r>
        <w:rPr>
          <w:rFonts w:cs="Arial"/>
        </w:rPr>
        <w:fldChar w:fldCharType="end"/>
      </w:r>
      <w:r>
        <w:rPr>
          <w:rFonts w:cs="Arial"/>
        </w:rPr>
        <w:t xml:space="preserve"> (</w:t>
      </w:r>
      <w:r w:rsidRPr="00A22335">
        <w:rPr>
          <w:rFonts w:cs="Arial"/>
          <w:i/>
          <w:iCs/>
        </w:rPr>
        <w:fldChar w:fldCharType="begin"/>
      </w:r>
      <w:r w:rsidRPr="00A22335">
        <w:rPr>
          <w:rFonts w:cs="Arial"/>
          <w:i/>
          <w:iCs/>
        </w:rPr>
        <w:instrText xml:space="preserve"> REF Schedule25Heading \h </w:instrText>
      </w:r>
      <w:r>
        <w:rPr>
          <w:rFonts w:cs="Arial"/>
          <w:i/>
          <w:iCs/>
        </w:rPr>
        <w:instrText xml:space="preserve"> \* MERGEFORMAT </w:instrText>
      </w:r>
      <w:r w:rsidRPr="00A22335">
        <w:rPr>
          <w:rFonts w:cs="Arial"/>
          <w:i/>
          <w:iCs/>
        </w:rPr>
      </w:r>
      <w:r w:rsidRPr="00A22335">
        <w:rPr>
          <w:rFonts w:cs="Arial"/>
          <w:i/>
          <w:iCs/>
        </w:rPr>
        <w:fldChar w:fldCharType="separate"/>
      </w:r>
      <w:r w:rsidR="00302D39" w:rsidRPr="00302D39">
        <w:rPr>
          <w:i/>
          <w:iCs/>
        </w:rPr>
        <w:t>Exit Management</w:t>
      </w:r>
      <w:r w:rsidRPr="00A22335">
        <w:rPr>
          <w:rFonts w:cs="Arial"/>
          <w:i/>
          <w:iCs/>
        </w:rPr>
        <w:fldChar w:fldCharType="end"/>
      </w:r>
      <w:r>
        <w:rPr>
          <w:rFonts w:cs="Arial"/>
        </w:rPr>
        <w:t>)</w:t>
      </w:r>
      <w:r w:rsidRPr="00BA56A1">
        <w:t xml:space="preserve"> in respect of such Transferring Assets, such payments shall be deducted from the amount payable pursuant to this Schedule.</w:t>
      </w:r>
    </w:p>
    <w:p w14:paraId="7C9E4713" w14:textId="77777777" w:rsidR="00F67E9E" w:rsidRPr="00BA56A1" w:rsidRDefault="00F67E9E" w:rsidP="00F67E9E">
      <w:pPr>
        <w:pStyle w:val="Numbered11"/>
      </w:pPr>
      <w:r w:rsidRPr="00BA56A1">
        <w:t>The value of the Termination Payment and/or the Compensation Payment shall be reduced or extinguished to the extent that the Supplier has already received the Charges or the financial benefit of any other rights or remedy given under this Contract so that there is no double counting in calculating the relevant payment.</w:t>
      </w:r>
    </w:p>
    <w:p w14:paraId="5F1993D8" w14:textId="77777777" w:rsidR="00F67E9E" w:rsidRPr="00BA56A1" w:rsidRDefault="00F67E9E" w:rsidP="00F67E9E">
      <w:pPr>
        <w:pStyle w:val="Numbered11"/>
      </w:pPr>
      <w:r w:rsidRPr="00BA56A1">
        <w:t>Any payments that are due in respect of the Transferring Assets shall be calculated in accordance with the provisions of the Exit Plan.</w:t>
      </w:r>
    </w:p>
    <w:p w14:paraId="7349ADB1" w14:textId="77777777" w:rsidR="00F67E9E" w:rsidRPr="00BA56A1" w:rsidRDefault="00F67E9E" w:rsidP="00F67E9E">
      <w:pPr>
        <w:pStyle w:val="Numbered1"/>
      </w:pPr>
      <w:r w:rsidRPr="00BA56A1">
        <w:t xml:space="preserve">Estimate </w:t>
      </w:r>
      <w:r>
        <w:t>o</w:t>
      </w:r>
      <w:r w:rsidRPr="00BA56A1">
        <w:t xml:space="preserve">f </w:t>
      </w:r>
      <w:r w:rsidRPr="000A7B06">
        <w:t>Termination</w:t>
      </w:r>
      <w:r w:rsidRPr="00BA56A1">
        <w:t xml:space="preserve"> Payment </w:t>
      </w:r>
      <w:r>
        <w:t>a</w:t>
      </w:r>
      <w:r w:rsidRPr="00BA56A1">
        <w:t>nd Compensation Payment</w:t>
      </w:r>
    </w:p>
    <w:p w14:paraId="6C99528A" w14:textId="77777777" w:rsidR="00F67E9E" w:rsidRPr="000A7B06" w:rsidRDefault="00F67E9E" w:rsidP="00F67E9E">
      <w:pPr>
        <w:pStyle w:val="Numbered11"/>
      </w:pPr>
      <w:r w:rsidRPr="00BA56A1">
        <w:t xml:space="preserve">The Authority may issue a Request for Estimate at any time during the Term provided that no more than 2 </w:t>
      </w:r>
      <w:r w:rsidRPr="000A7B06">
        <w:t>Requests for Estimate may be issued in any 6 month period.</w:t>
      </w:r>
    </w:p>
    <w:p w14:paraId="5100600F" w14:textId="77777777" w:rsidR="00F67E9E" w:rsidRPr="00BA56A1" w:rsidRDefault="00F67E9E" w:rsidP="00F67E9E">
      <w:pPr>
        <w:pStyle w:val="Numbered11"/>
      </w:pPr>
      <w:bookmarkStart w:id="1264" w:name="_9kR3WTrAG96BB8ACfSkWhB74ys2H8rw8KIGG6DY"/>
      <w:bookmarkStart w:id="1265" w:name="_9kR3WTrAHA6BC9ACfSkWhB74ys2H8rw8KIGG6DY"/>
      <w:bookmarkStart w:id="1266" w:name="_Ref_ContractCompanion_9kb9Us26E"/>
      <w:r w:rsidRPr="000A7B06">
        <w:t>The Supplier shall within 20 Working Days of receiving the Request for Estimate (or such other timescale ag</w:t>
      </w:r>
      <w:r w:rsidRPr="00BA56A1">
        <w:t xml:space="preserve">reed between the Parties), provide an accurate written estimate of the Termination Payment and the Compensation Payment that would be payable by the Authority based on a postulated Termination Date specified in the Request for Estimate (such estimate being the </w:t>
      </w:r>
      <w:r>
        <w:t>“</w:t>
      </w:r>
      <w:r w:rsidRPr="00BA56A1">
        <w:rPr>
          <w:rStyle w:val="StdBodyTextBoldChar"/>
          <w:rFonts w:eastAsiaTheme="majorEastAsia" w:cs="Arial"/>
        </w:rPr>
        <w:t>Termination Estimate</w:t>
      </w:r>
      <w:r>
        <w:t>”</w:t>
      </w:r>
      <w:r w:rsidRPr="00BA56A1">
        <w:t>).</w:t>
      </w:r>
      <w:bookmarkEnd w:id="1264"/>
      <w:bookmarkEnd w:id="1265"/>
      <w:r w:rsidRPr="00BA56A1">
        <w:t xml:space="preserve"> The Termination Estimate shall:</w:t>
      </w:r>
      <w:bookmarkEnd w:id="1266"/>
    </w:p>
    <w:p w14:paraId="1671F6E5" w14:textId="77777777" w:rsidR="00F67E9E" w:rsidRPr="00BA56A1" w:rsidRDefault="00F67E9E" w:rsidP="00F67E9E">
      <w:pPr>
        <w:pStyle w:val="Numbered111"/>
        <w:tabs>
          <w:tab w:val="clear" w:pos="1800"/>
          <w:tab w:val="num" w:pos="2160"/>
        </w:tabs>
      </w:pPr>
      <w:r w:rsidRPr="00BA56A1">
        <w:t xml:space="preserve">be based on the relevant amounts set out in the Financial Model; </w:t>
      </w:r>
    </w:p>
    <w:p w14:paraId="2D1961B2" w14:textId="77777777" w:rsidR="00F67E9E" w:rsidRPr="00BA56A1" w:rsidRDefault="00F67E9E" w:rsidP="00F67E9E">
      <w:pPr>
        <w:pStyle w:val="Numbered111"/>
        <w:tabs>
          <w:tab w:val="clear" w:pos="1800"/>
          <w:tab w:val="num" w:pos="2160"/>
        </w:tabs>
      </w:pPr>
      <w:r w:rsidRPr="00BA56A1">
        <w:t>include:</w:t>
      </w:r>
    </w:p>
    <w:p w14:paraId="41C5AD79" w14:textId="77777777" w:rsidR="00F67E9E" w:rsidRPr="00BA56A1" w:rsidRDefault="00F67E9E" w:rsidP="00F67E9E">
      <w:pPr>
        <w:pStyle w:val="Numbered111a"/>
        <w:tabs>
          <w:tab w:val="clear" w:pos="2520"/>
          <w:tab w:val="num" w:pos="2880"/>
        </w:tabs>
      </w:pPr>
      <w:r w:rsidRPr="00BA56A1">
        <w:t>details of the mechanism by which the Termination Payment is calculated;</w:t>
      </w:r>
    </w:p>
    <w:p w14:paraId="579CE38E" w14:textId="77777777" w:rsidR="00F67E9E" w:rsidRPr="00BA56A1" w:rsidRDefault="00F67E9E" w:rsidP="00F67E9E">
      <w:pPr>
        <w:pStyle w:val="Numbered111a"/>
        <w:tabs>
          <w:tab w:val="clear" w:pos="2520"/>
          <w:tab w:val="num" w:pos="2880"/>
        </w:tabs>
      </w:pPr>
      <w:r w:rsidRPr="00BA56A1">
        <w:t>full particulars of the estimated Contract Breakage Costs in respect of each Sub-contract or Third Party Contract and appropriate supporting documentation; and</w:t>
      </w:r>
    </w:p>
    <w:p w14:paraId="38D2AE4E" w14:textId="77777777" w:rsidR="00F67E9E" w:rsidRPr="00BA56A1" w:rsidRDefault="00F67E9E" w:rsidP="00F67E9E">
      <w:pPr>
        <w:pStyle w:val="Numbered111a"/>
        <w:tabs>
          <w:tab w:val="clear" w:pos="2520"/>
          <w:tab w:val="num" w:pos="2880"/>
        </w:tabs>
      </w:pPr>
      <w:r w:rsidRPr="00BA56A1">
        <w:t>such information as the Authority may reasonably require; and</w:t>
      </w:r>
    </w:p>
    <w:p w14:paraId="0575B983" w14:textId="77777777" w:rsidR="00F67E9E" w:rsidRPr="00BA56A1" w:rsidRDefault="00F67E9E" w:rsidP="00F67E9E">
      <w:pPr>
        <w:pStyle w:val="Numbered111"/>
        <w:tabs>
          <w:tab w:val="clear" w:pos="1800"/>
          <w:tab w:val="num" w:pos="2160"/>
        </w:tabs>
      </w:pPr>
      <w:r w:rsidRPr="00BA56A1">
        <w:t>state the period for which that Termination Estimate remains valid, which shall be not less than 20 Working Days.</w:t>
      </w:r>
    </w:p>
    <w:p w14:paraId="105A7B88" w14:textId="77777777" w:rsidR="00F67E9E" w:rsidRPr="000A7B06" w:rsidRDefault="00F67E9E" w:rsidP="00F67E9E">
      <w:pPr>
        <w:pStyle w:val="Numbered11"/>
      </w:pPr>
      <w:r w:rsidRPr="00BA56A1">
        <w:t xml:space="preserve">The Supplier acknowledges that issue of a Request for Estimate shall not be construed in any way as to represent an intention by the Authority to </w:t>
      </w:r>
      <w:r w:rsidRPr="000A7B06">
        <w:t>terminate this Contract.</w:t>
      </w:r>
    </w:p>
    <w:p w14:paraId="7A41D8EF" w14:textId="77777777" w:rsidR="00F67E9E" w:rsidRDefault="00F67E9E" w:rsidP="00F67E9E">
      <w:pPr>
        <w:pStyle w:val="Numbered11"/>
      </w:pPr>
      <w:r w:rsidRPr="000A7B06">
        <w:t xml:space="preserve">If the Authority issues a </w:t>
      </w:r>
      <w:bookmarkStart w:id="1267" w:name="_9kMNM5YVt4CE9ELjOt2uwpw517hdGBvs"/>
      <w:r w:rsidRPr="000A7B06">
        <w:t>Termination Notice</w:t>
      </w:r>
      <w:bookmarkEnd w:id="1267"/>
      <w:r w:rsidRPr="000A7B06">
        <w:t xml:space="preserve"> to the Supplier within the stated period for which a Termination Estimate remains valid, the Supplier shall use the same mechanism to calculate the Termination Payment as was detailed in the Termi</w:t>
      </w:r>
      <w:r w:rsidRPr="00BA56A1">
        <w:t>nation Estimate unless otherwise agreed in writing between the Supplier and the Authority.</w:t>
      </w:r>
    </w:p>
    <w:p w14:paraId="4B2C426F" w14:textId="77777777" w:rsidR="00F67E9E" w:rsidRDefault="00F67E9E" w:rsidP="00F67E9E"/>
    <w:p w14:paraId="7BFD6EAB" w14:textId="77777777" w:rsidR="00F67E9E" w:rsidRDefault="00F67E9E" w:rsidP="00F67E9E">
      <w:pPr>
        <w:pStyle w:val="Heading2"/>
        <w:pageBreakBefore/>
      </w:pPr>
      <w:bookmarkStart w:id="1268" w:name="_Ref_ContractCompanion_9kb9Ur7B7"/>
      <w:bookmarkStart w:id="1269" w:name="_Ref_ContractCompanion_9kb9Ur7B9"/>
      <w:bookmarkStart w:id="1270" w:name="_Ref_ContractCompanion_9kb9Ur7BB"/>
      <w:bookmarkStart w:id="1271" w:name="_Toc141711949"/>
      <w:r w:rsidRPr="00BA56A1">
        <w:t xml:space="preserve">Annex </w:t>
      </w:r>
      <w:bookmarkStart w:id="1272" w:name="ANNEX1_SCHEDULE16"/>
      <w:r w:rsidRPr="00BA56A1">
        <w:t>1</w:t>
      </w:r>
      <w:bookmarkEnd w:id="1272"/>
      <w:r w:rsidRPr="00BA56A1">
        <w:t xml:space="preserve">: Maximum Payments </w:t>
      </w:r>
      <w:r>
        <w:t>o</w:t>
      </w:r>
      <w:r w:rsidRPr="00BA56A1">
        <w:t>n Termination</w:t>
      </w:r>
      <w:bookmarkEnd w:id="1268"/>
      <w:bookmarkEnd w:id="1269"/>
      <w:bookmarkEnd w:id="1270"/>
      <w:bookmarkEnd w:id="1271"/>
    </w:p>
    <w:p w14:paraId="448B87DD" w14:textId="77777777" w:rsidR="00F67E9E" w:rsidRPr="00BA56A1" w:rsidRDefault="00F67E9E" w:rsidP="00F67E9E">
      <w:pPr>
        <w:pStyle w:val="StdBodyText"/>
        <w:rPr>
          <w:rFonts w:cs="Arial"/>
        </w:rPr>
      </w:pPr>
      <w:r w:rsidRPr="00BA56A1">
        <w:rPr>
          <w:rFonts w:cs="Arial"/>
        </w:rPr>
        <w:t>The table below sets out, by Contract Year, the maximum amount of the Unrecovered Payment, Breakage Costs Payment and Compensation Payment that the Authority shall be liable to pay to the Supplier pursuant to this Contract:</w:t>
      </w:r>
    </w:p>
    <w:tbl>
      <w:tblPr>
        <w:tblStyle w:val="MSATable-header"/>
        <w:tblW w:w="10200" w:type="dxa"/>
        <w:tblLook w:val="04A0" w:firstRow="1" w:lastRow="0" w:firstColumn="1" w:lastColumn="0" w:noHBand="0" w:noVBand="1"/>
      </w:tblPr>
      <w:tblGrid>
        <w:gridCol w:w="3402"/>
        <w:gridCol w:w="2266"/>
        <w:gridCol w:w="2266"/>
        <w:gridCol w:w="2266"/>
      </w:tblGrid>
      <w:tr w:rsidR="00F67E9E" w:rsidRPr="00BA56A1" w14:paraId="0C8E51A5" w14:textId="77777777" w:rsidTr="007F74AA">
        <w:trPr>
          <w:cnfStyle w:val="100000000000" w:firstRow="1" w:lastRow="0" w:firstColumn="0" w:lastColumn="0" w:oddVBand="0" w:evenVBand="0" w:oddHBand="0" w:evenHBand="0" w:firstRowFirstColumn="0" w:firstRowLastColumn="0" w:lastRowFirstColumn="0" w:lastRowLastColumn="0"/>
          <w:tblHeader/>
        </w:trPr>
        <w:tc>
          <w:tcPr>
            <w:tcW w:w="3402" w:type="dxa"/>
            <w:vAlign w:val="bottom"/>
          </w:tcPr>
          <w:p w14:paraId="37E7F8EF" w14:textId="77777777" w:rsidR="00F67E9E" w:rsidRPr="00BA56A1" w:rsidRDefault="00F67E9E" w:rsidP="007F74AA">
            <w:pPr>
              <w:pStyle w:val="StdBodyText"/>
              <w:spacing w:before="0" w:after="0"/>
              <w:rPr>
                <w:rFonts w:cs="Arial"/>
              </w:rPr>
            </w:pPr>
            <w:r w:rsidRPr="00BA56A1">
              <w:rPr>
                <w:rFonts w:cs="Arial"/>
              </w:rPr>
              <w:t>Termination Date</w:t>
            </w:r>
          </w:p>
        </w:tc>
        <w:tc>
          <w:tcPr>
            <w:tcW w:w="2266" w:type="dxa"/>
            <w:vAlign w:val="bottom"/>
          </w:tcPr>
          <w:p w14:paraId="5945C5E2" w14:textId="77777777" w:rsidR="00F67E9E" w:rsidRPr="00BA56A1" w:rsidRDefault="00F67E9E" w:rsidP="007F74AA">
            <w:pPr>
              <w:pStyle w:val="StdBodyText"/>
              <w:spacing w:before="0" w:after="0"/>
              <w:rPr>
                <w:rFonts w:cs="Arial"/>
              </w:rPr>
            </w:pPr>
            <w:r w:rsidRPr="00BA56A1">
              <w:rPr>
                <w:rFonts w:cs="Arial"/>
              </w:rPr>
              <w:t xml:space="preserve">Maximum Unrecovered Payment </w:t>
            </w:r>
          </w:p>
        </w:tc>
        <w:tc>
          <w:tcPr>
            <w:tcW w:w="2266" w:type="dxa"/>
            <w:vAlign w:val="bottom"/>
          </w:tcPr>
          <w:p w14:paraId="64C55FDE" w14:textId="77777777" w:rsidR="00F67E9E" w:rsidRPr="00BA56A1" w:rsidRDefault="00F67E9E" w:rsidP="007F74AA">
            <w:pPr>
              <w:pStyle w:val="StdBodyText"/>
              <w:spacing w:before="0" w:after="0"/>
              <w:rPr>
                <w:rFonts w:cs="Arial"/>
              </w:rPr>
            </w:pPr>
            <w:r w:rsidRPr="00BA56A1">
              <w:rPr>
                <w:rFonts w:cs="Arial"/>
              </w:rPr>
              <w:t>Maximum Breakage Costs Payment</w:t>
            </w:r>
          </w:p>
        </w:tc>
        <w:tc>
          <w:tcPr>
            <w:tcW w:w="2266" w:type="dxa"/>
            <w:vAlign w:val="bottom"/>
          </w:tcPr>
          <w:p w14:paraId="02FBAFA7" w14:textId="77777777" w:rsidR="00F67E9E" w:rsidRPr="00BA56A1" w:rsidRDefault="00F67E9E" w:rsidP="007F74AA">
            <w:pPr>
              <w:pStyle w:val="StdBodyText"/>
              <w:spacing w:before="0" w:after="0"/>
              <w:rPr>
                <w:rFonts w:cs="Arial"/>
              </w:rPr>
            </w:pPr>
            <w:r w:rsidRPr="00BA56A1">
              <w:rPr>
                <w:rFonts w:cs="Arial"/>
              </w:rPr>
              <w:t>Maximum Compensation Payment</w:t>
            </w:r>
          </w:p>
        </w:tc>
      </w:tr>
      <w:tr w:rsidR="00F67E9E" w:rsidRPr="00BA56A1" w14:paraId="449E7729" w14:textId="77777777" w:rsidTr="007F74AA">
        <w:tc>
          <w:tcPr>
            <w:tcW w:w="3402" w:type="dxa"/>
          </w:tcPr>
          <w:p w14:paraId="4ADECE5B" w14:textId="77777777" w:rsidR="00F67E9E" w:rsidRPr="00BA56A1" w:rsidRDefault="00F67E9E" w:rsidP="007F74AA">
            <w:pPr>
              <w:pStyle w:val="StdBodyText"/>
              <w:spacing w:before="0" w:after="0"/>
              <w:rPr>
                <w:rFonts w:cs="Arial"/>
              </w:rPr>
            </w:pPr>
            <w:r w:rsidRPr="00BA56A1">
              <w:rPr>
                <w:rFonts w:cs="Arial"/>
              </w:rPr>
              <w:t>Anytime in the first Contract Year</w:t>
            </w:r>
          </w:p>
        </w:tc>
        <w:tc>
          <w:tcPr>
            <w:tcW w:w="2266" w:type="dxa"/>
          </w:tcPr>
          <w:p w14:paraId="609F585B" w14:textId="77777777" w:rsidR="00F67E9E" w:rsidRPr="00BA56A1" w:rsidRDefault="00F67E9E" w:rsidP="007F74AA">
            <w:pPr>
              <w:pStyle w:val="StdBodyText"/>
              <w:spacing w:before="0" w:after="0"/>
              <w:rPr>
                <w:rFonts w:cs="Arial"/>
              </w:rPr>
            </w:pPr>
          </w:p>
        </w:tc>
        <w:tc>
          <w:tcPr>
            <w:tcW w:w="2266" w:type="dxa"/>
          </w:tcPr>
          <w:p w14:paraId="5C0D8DC6" w14:textId="77777777" w:rsidR="00F67E9E" w:rsidRPr="00BA56A1" w:rsidRDefault="00F67E9E" w:rsidP="007F74AA">
            <w:pPr>
              <w:pStyle w:val="StdBodyText"/>
              <w:spacing w:before="0" w:after="0"/>
              <w:rPr>
                <w:rFonts w:cs="Arial"/>
              </w:rPr>
            </w:pPr>
          </w:p>
        </w:tc>
        <w:tc>
          <w:tcPr>
            <w:tcW w:w="2266" w:type="dxa"/>
          </w:tcPr>
          <w:p w14:paraId="0F04C24B" w14:textId="77777777" w:rsidR="00F67E9E" w:rsidRPr="00BA56A1" w:rsidRDefault="00F67E9E" w:rsidP="007F74AA">
            <w:pPr>
              <w:pStyle w:val="StdBodyText"/>
              <w:spacing w:before="0" w:after="0"/>
              <w:rPr>
                <w:rFonts w:cs="Arial"/>
              </w:rPr>
            </w:pPr>
          </w:p>
        </w:tc>
      </w:tr>
      <w:tr w:rsidR="00F67E9E" w:rsidRPr="00BA56A1" w14:paraId="2F7200BF" w14:textId="77777777" w:rsidTr="007F74AA">
        <w:tc>
          <w:tcPr>
            <w:tcW w:w="3402" w:type="dxa"/>
          </w:tcPr>
          <w:p w14:paraId="0E4E376A" w14:textId="77777777" w:rsidR="00F67E9E" w:rsidRPr="00BA56A1" w:rsidRDefault="00F67E9E" w:rsidP="007F74AA">
            <w:pPr>
              <w:pStyle w:val="StdBodyText"/>
              <w:spacing w:before="0" w:after="0"/>
              <w:rPr>
                <w:rFonts w:cs="Arial"/>
              </w:rPr>
            </w:pPr>
            <w:r w:rsidRPr="00BA56A1">
              <w:rPr>
                <w:rFonts w:cs="Arial"/>
              </w:rPr>
              <w:t>Anytime in the second Contract Year</w:t>
            </w:r>
          </w:p>
        </w:tc>
        <w:tc>
          <w:tcPr>
            <w:tcW w:w="2266" w:type="dxa"/>
          </w:tcPr>
          <w:p w14:paraId="69B096FA" w14:textId="77777777" w:rsidR="00F67E9E" w:rsidRPr="00BA56A1" w:rsidRDefault="00F67E9E" w:rsidP="007F74AA">
            <w:pPr>
              <w:pStyle w:val="StdBodyText"/>
              <w:spacing w:before="0" w:after="0"/>
              <w:rPr>
                <w:rFonts w:cs="Arial"/>
              </w:rPr>
            </w:pPr>
          </w:p>
        </w:tc>
        <w:tc>
          <w:tcPr>
            <w:tcW w:w="2266" w:type="dxa"/>
          </w:tcPr>
          <w:p w14:paraId="369CDAE0" w14:textId="77777777" w:rsidR="00F67E9E" w:rsidRPr="00BA56A1" w:rsidRDefault="00F67E9E" w:rsidP="007F74AA">
            <w:pPr>
              <w:pStyle w:val="StdBodyText"/>
              <w:spacing w:before="0" w:after="0"/>
              <w:rPr>
                <w:rFonts w:cs="Arial"/>
              </w:rPr>
            </w:pPr>
          </w:p>
        </w:tc>
        <w:tc>
          <w:tcPr>
            <w:tcW w:w="2266" w:type="dxa"/>
          </w:tcPr>
          <w:p w14:paraId="3A8585FD" w14:textId="77777777" w:rsidR="00F67E9E" w:rsidRPr="00BA56A1" w:rsidRDefault="00F67E9E" w:rsidP="007F74AA">
            <w:pPr>
              <w:pStyle w:val="StdBodyText"/>
              <w:spacing w:before="0" w:after="0"/>
              <w:rPr>
                <w:rFonts w:cs="Arial"/>
              </w:rPr>
            </w:pPr>
          </w:p>
        </w:tc>
      </w:tr>
      <w:tr w:rsidR="00F67E9E" w:rsidRPr="00BA56A1" w14:paraId="690E62BC" w14:textId="77777777" w:rsidTr="007F74AA">
        <w:tc>
          <w:tcPr>
            <w:tcW w:w="3402" w:type="dxa"/>
          </w:tcPr>
          <w:p w14:paraId="43935DF4" w14:textId="77777777" w:rsidR="00F67E9E" w:rsidRPr="00BA56A1" w:rsidRDefault="00F67E9E" w:rsidP="007F74AA">
            <w:pPr>
              <w:pStyle w:val="StdBodyText"/>
              <w:spacing w:before="0" w:after="0"/>
              <w:rPr>
                <w:rFonts w:cs="Arial"/>
              </w:rPr>
            </w:pPr>
            <w:r w:rsidRPr="00BA56A1">
              <w:rPr>
                <w:rFonts w:cs="Arial"/>
              </w:rPr>
              <w:t xml:space="preserve">Anytime in Contract Years 3 – </w:t>
            </w:r>
            <w:r w:rsidRPr="008758E7">
              <w:rPr>
                <w:rFonts w:cs="Arial"/>
                <w:iCs/>
                <w:highlight w:val="yellow"/>
              </w:rPr>
              <w:t>[x]</w:t>
            </w:r>
          </w:p>
        </w:tc>
        <w:tc>
          <w:tcPr>
            <w:tcW w:w="2266" w:type="dxa"/>
          </w:tcPr>
          <w:p w14:paraId="078826D2" w14:textId="77777777" w:rsidR="00F67E9E" w:rsidRPr="00BA56A1" w:rsidRDefault="00F67E9E" w:rsidP="007F74AA">
            <w:pPr>
              <w:pStyle w:val="StdBodyText"/>
              <w:spacing w:before="0" w:after="0"/>
              <w:rPr>
                <w:rFonts w:cs="Arial"/>
              </w:rPr>
            </w:pPr>
          </w:p>
        </w:tc>
        <w:tc>
          <w:tcPr>
            <w:tcW w:w="2266" w:type="dxa"/>
          </w:tcPr>
          <w:p w14:paraId="0D45FD37" w14:textId="77777777" w:rsidR="00F67E9E" w:rsidRPr="00BA56A1" w:rsidRDefault="00F67E9E" w:rsidP="007F74AA">
            <w:pPr>
              <w:pStyle w:val="StdBodyText"/>
              <w:spacing w:before="0" w:after="0"/>
              <w:rPr>
                <w:rFonts w:cs="Arial"/>
              </w:rPr>
            </w:pPr>
          </w:p>
        </w:tc>
        <w:tc>
          <w:tcPr>
            <w:tcW w:w="2266" w:type="dxa"/>
          </w:tcPr>
          <w:p w14:paraId="510FDFED" w14:textId="77777777" w:rsidR="00F67E9E" w:rsidRPr="00BA56A1" w:rsidRDefault="00F67E9E" w:rsidP="007F74AA">
            <w:pPr>
              <w:pStyle w:val="StdBodyText"/>
              <w:spacing w:before="0" w:after="0"/>
              <w:rPr>
                <w:rFonts w:cs="Arial"/>
              </w:rPr>
            </w:pPr>
          </w:p>
        </w:tc>
      </w:tr>
    </w:tbl>
    <w:p w14:paraId="67EEA5C1" w14:textId="77777777" w:rsidR="00F67E9E" w:rsidRPr="00BA56A1" w:rsidRDefault="00F67E9E" w:rsidP="00F67E9E">
      <w:pPr>
        <w:rPr>
          <w:rFonts w:cs="Arial"/>
          <w:szCs w:val="24"/>
        </w:rPr>
      </w:pPr>
    </w:p>
    <w:p w14:paraId="4959C6B0" w14:textId="77777777" w:rsidR="00F67E9E" w:rsidRPr="00BA56A1" w:rsidRDefault="00F67E9E" w:rsidP="00F67E9E"/>
    <w:p w14:paraId="14282528" w14:textId="77777777" w:rsidR="00F67E9E" w:rsidRPr="00BA56A1" w:rsidRDefault="00F67E9E" w:rsidP="00F67E9E">
      <w:pPr>
        <w:sectPr w:rsidR="00F67E9E" w:rsidRPr="00BA56A1" w:rsidSect="00240D26">
          <w:headerReference w:type="default" r:id="rId94"/>
          <w:footerReference w:type="default" r:id="rId95"/>
          <w:footerReference w:type="first" r:id="rId96"/>
          <w:pgSz w:w="11900" w:h="16840" w:code="9"/>
          <w:pgMar w:top="1701" w:right="851" w:bottom="1134" w:left="851" w:header="567" w:footer="567" w:gutter="0"/>
          <w:cols w:space="720"/>
          <w:docGrid w:linePitch="360"/>
        </w:sectPr>
      </w:pPr>
    </w:p>
    <w:p w14:paraId="6326337D" w14:textId="77777777" w:rsidR="00F67E9E" w:rsidRPr="00EE4F10" w:rsidRDefault="00F67E9E" w:rsidP="00F67E9E">
      <w:pPr>
        <w:pStyle w:val="Dividername"/>
      </w:pPr>
      <w:r w:rsidRPr="00EE4F10">
        <w:t>Schedule 17</w:t>
      </w:r>
    </w:p>
    <w:p w14:paraId="4B9238F2" w14:textId="77777777" w:rsidR="00F67E9E" w:rsidRPr="00EE4F10" w:rsidRDefault="00F67E9E" w:rsidP="00F67E9E">
      <w:pPr>
        <w:pStyle w:val="Dividername"/>
      </w:pPr>
      <w:r w:rsidRPr="00EE4F10">
        <w:t>Benchmarking</w:t>
      </w:r>
    </w:p>
    <w:p w14:paraId="439F8364" w14:textId="77777777" w:rsidR="00F67E9E" w:rsidRDefault="00F67E9E" w:rsidP="00F67E9E"/>
    <w:p w14:paraId="5980673F" w14:textId="77777777" w:rsidR="00F67E9E" w:rsidRPr="00BA56A1" w:rsidRDefault="00F67E9E" w:rsidP="00F67E9E">
      <w:r w:rsidRPr="00BA56A1">
        <w:br w:type="page"/>
      </w:r>
    </w:p>
    <w:p w14:paraId="2E05C683" w14:textId="77777777" w:rsidR="00F67E9E" w:rsidRPr="005D0525" w:rsidRDefault="00F67E9E" w:rsidP="00F67E9E">
      <w:pPr>
        <w:pStyle w:val="Heading1"/>
      </w:pPr>
      <w:bookmarkStart w:id="1273" w:name="Schedule17"/>
      <w:bookmarkStart w:id="1274" w:name="_Ref92199974"/>
      <w:bookmarkStart w:id="1275" w:name="_Toc141711950"/>
      <w:r w:rsidRPr="005D0525">
        <w:t>Schedule</w:t>
      </w:r>
      <w:r>
        <w:t> </w:t>
      </w:r>
      <w:r w:rsidRPr="005D0525">
        <w:t>17</w:t>
      </w:r>
      <w:bookmarkEnd w:id="1273"/>
      <w:r>
        <w:t xml:space="preserve">: </w:t>
      </w:r>
      <w:bookmarkStart w:id="1276" w:name="Schedule17Heading"/>
      <w:r w:rsidRPr="005F1047">
        <w:t>Benchmarking</w:t>
      </w:r>
      <w:bookmarkEnd w:id="1274"/>
      <w:bookmarkEnd w:id="1275"/>
      <w:bookmarkEnd w:id="1276"/>
    </w:p>
    <w:p w14:paraId="2E9D5546" w14:textId="77777777" w:rsidR="00F67E9E" w:rsidRPr="00BA56A1" w:rsidRDefault="00F67E9E" w:rsidP="00F67E9E">
      <w:pPr>
        <w:pStyle w:val="Numbered1"/>
        <w:numPr>
          <w:ilvl w:val="0"/>
          <w:numId w:val="135"/>
        </w:numPr>
      </w:pPr>
      <w:r w:rsidRPr="000A7B06">
        <w:t>Definitions</w:t>
      </w:r>
    </w:p>
    <w:p w14:paraId="64DD356B" w14:textId="77777777" w:rsidR="00F67E9E" w:rsidRPr="00BA56A1" w:rsidRDefault="00F67E9E" w:rsidP="00F67E9E">
      <w:pPr>
        <w:pStyle w:val="Numbered11"/>
      </w:pPr>
      <w:r w:rsidRPr="00BA56A1">
        <w:t xml:space="preserve">In </w:t>
      </w:r>
      <w:r w:rsidRPr="000A7B06">
        <w:t>this</w:t>
      </w:r>
      <w:r w:rsidRPr="00BA56A1">
        <w:t xml:space="preserve"> Schedule, the following definitions shall apply:</w:t>
      </w:r>
    </w:p>
    <w:tbl>
      <w:tblPr>
        <w:tblStyle w:val="MSAdefinitions"/>
        <w:tblW w:w="9638" w:type="dxa"/>
        <w:tblLook w:val="04A0" w:firstRow="1" w:lastRow="0" w:firstColumn="1" w:lastColumn="0" w:noHBand="0" w:noVBand="1"/>
      </w:tblPr>
      <w:tblGrid>
        <w:gridCol w:w="2835"/>
        <w:gridCol w:w="6803"/>
      </w:tblGrid>
      <w:tr w:rsidR="00F67E9E" w:rsidRPr="00BA56A1" w14:paraId="4200553E" w14:textId="77777777" w:rsidTr="007F74AA">
        <w:tc>
          <w:tcPr>
            <w:tcW w:w="2835" w:type="dxa"/>
          </w:tcPr>
          <w:p w14:paraId="155745A8" w14:textId="77777777" w:rsidR="00F67E9E" w:rsidRPr="00BA56A1" w:rsidRDefault="00F67E9E" w:rsidP="007F74AA">
            <w:pPr>
              <w:pStyle w:val="StdBodyTextBold"/>
              <w:rPr>
                <w:rFonts w:cs="Arial"/>
              </w:rPr>
            </w:pPr>
            <w:r>
              <w:rPr>
                <w:rFonts w:cs="Arial"/>
              </w:rPr>
              <w:t>“</w:t>
            </w:r>
            <w:r w:rsidRPr="00BA56A1">
              <w:rPr>
                <w:rFonts w:cs="Arial"/>
              </w:rPr>
              <w:t>Benchmarked Service</w:t>
            </w:r>
            <w:r>
              <w:rPr>
                <w:rFonts w:cs="Arial"/>
              </w:rPr>
              <w:t>”</w:t>
            </w:r>
          </w:p>
        </w:tc>
        <w:tc>
          <w:tcPr>
            <w:tcW w:w="6803" w:type="dxa"/>
          </w:tcPr>
          <w:p w14:paraId="5017F434" w14:textId="72E943BE" w:rsidR="00F67E9E" w:rsidRPr="00BA56A1" w:rsidRDefault="00F67E9E" w:rsidP="007F74AA">
            <w:pPr>
              <w:pStyle w:val="StdBodyText"/>
              <w:rPr>
                <w:rFonts w:cs="Arial"/>
              </w:rPr>
            </w:pPr>
            <w:r w:rsidRPr="00BA56A1">
              <w:rPr>
                <w:rFonts w:cs="Arial"/>
              </w:rPr>
              <w:t xml:space="preserve">a Service that the Authority elects to include in a Benchmark Review under </w:t>
            </w:r>
            <w:bookmarkStart w:id="1277" w:name="_9kMHG5YVtCIB8EKHFhTlXSyG8qn4KAs565ADO7y"/>
            <w:r w:rsidRPr="00BA56A1">
              <w:rPr>
                <w:rFonts w:cs="Arial"/>
              </w:rPr>
              <w:t xml:space="preserve">Paragraph </w:t>
            </w:r>
            <w:r w:rsidRPr="00BA56A1">
              <w:rPr>
                <w:rFonts w:cs="Arial"/>
              </w:rPr>
              <w:fldChar w:fldCharType="begin"/>
            </w:r>
            <w:r w:rsidRPr="00BA56A1">
              <w:rPr>
                <w:rFonts w:cs="Arial"/>
              </w:rPr>
              <w:instrText xml:space="preserve"> REF _Ref_ContractCompanion_9kb9Us28C \n \h \t \* MERGEFORMAT </w:instrText>
            </w:r>
            <w:r w:rsidRPr="00BA56A1">
              <w:rPr>
                <w:rFonts w:cs="Arial"/>
              </w:rPr>
            </w:r>
            <w:r w:rsidRPr="00BA56A1">
              <w:rPr>
                <w:rFonts w:cs="Arial"/>
              </w:rPr>
              <w:fldChar w:fldCharType="separate"/>
            </w:r>
            <w:r w:rsidR="00302D39">
              <w:rPr>
                <w:rFonts w:cs="Arial"/>
              </w:rPr>
              <w:t>2.3</w:t>
            </w:r>
            <w:r w:rsidRPr="00BA56A1">
              <w:rPr>
                <w:rFonts w:cs="Arial"/>
              </w:rPr>
              <w:fldChar w:fldCharType="end"/>
            </w:r>
            <w:bookmarkEnd w:id="1277"/>
            <w:r w:rsidRPr="00BA56A1">
              <w:rPr>
                <w:rFonts w:cs="Arial"/>
              </w:rPr>
              <w:t>;</w:t>
            </w:r>
          </w:p>
        </w:tc>
      </w:tr>
      <w:tr w:rsidR="00F67E9E" w:rsidRPr="00BA56A1" w14:paraId="35EA111E" w14:textId="77777777" w:rsidTr="007F74AA">
        <w:tc>
          <w:tcPr>
            <w:tcW w:w="2835" w:type="dxa"/>
          </w:tcPr>
          <w:p w14:paraId="21D30A03" w14:textId="77777777" w:rsidR="00F67E9E" w:rsidRPr="00BA56A1" w:rsidRDefault="00F67E9E" w:rsidP="007F74AA">
            <w:pPr>
              <w:pStyle w:val="StdBodyTextBold"/>
              <w:rPr>
                <w:rFonts w:cs="Arial"/>
              </w:rPr>
            </w:pPr>
            <w:r>
              <w:rPr>
                <w:rFonts w:cs="Arial"/>
              </w:rPr>
              <w:t>“</w:t>
            </w:r>
            <w:r w:rsidRPr="00BA56A1">
              <w:rPr>
                <w:rFonts w:cs="Arial"/>
              </w:rPr>
              <w:t>Benchmarker</w:t>
            </w:r>
            <w:r>
              <w:rPr>
                <w:rFonts w:cs="Arial"/>
              </w:rPr>
              <w:t>”</w:t>
            </w:r>
          </w:p>
        </w:tc>
        <w:tc>
          <w:tcPr>
            <w:tcW w:w="6803" w:type="dxa"/>
          </w:tcPr>
          <w:p w14:paraId="3833CA71" w14:textId="684E9826" w:rsidR="00F67E9E" w:rsidRPr="00BA56A1" w:rsidRDefault="00F67E9E" w:rsidP="007F74AA">
            <w:pPr>
              <w:pStyle w:val="StdBodyText"/>
              <w:rPr>
                <w:rFonts w:cs="Arial"/>
              </w:rPr>
            </w:pPr>
            <w:r w:rsidRPr="00BA56A1">
              <w:rPr>
                <w:rFonts w:cs="Arial"/>
              </w:rPr>
              <w:t xml:space="preserve">the independent third party appointed under </w:t>
            </w:r>
            <w:bookmarkStart w:id="1278" w:name="_9kR3WTr2BC6CLfEnoewrqyDL"/>
            <w:r w:rsidRPr="00BA56A1">
              <w:rPr>
                <w:rFonts w:cs="Arial"/>
              </w:rPr>
              <w:t xml:space="preserve">Paragraph </w:t>
            </w:r>
            <w:r w:rsidRPr="00BA56A1">
              <w:rPr>
                <w:rFonts w:cs="Arial"/>
              </w:rPr>
              <w:fldChar w:fldCharType="begin"/>
            </w:r>
            <w:r w:rsidRPr="00BA56A1">
              <w:rPr>
                <w:rFonts w:cs="Arial"/>
              </w:rPr>
              <w:instrText xml:space="preserve"> REF _Ref_ContractCompanion_9kb9Us28F \n \h \t \* MERGEFORMAT </w:instrText>
            </w:r>
            <w:r w:rsidRPr="00BA56A1">
              <w:rPr>
                <w:rFonts w:cs="Arial"/>
              </w:rPr>
            </w:r>
            <w:r w:rsidRPr="00BA56A1">
              <w:rPr>
                <w:rFonts w:cs="Arial"/>
              </w:rPr>
              <w:fldChar w:fldCharType="separate"/>
            </w:r>
            <w:r w:rsidR="00302D39">
              <w:rPr>
                <w:rFonts w:cs="Arial"/>
              </w:rPr>
              <w:t>3.1</w:t>
            </w:r>
            <w:r w:rsidRPr="00BA56A1">
              <w:rPr>
                <w:rFonts w:cs="Arial"/>
              </w:rPr>
              <w:fldChar w:fldCharType="end"/>
            </w:r>
            <w:bookmarkEnd w:id="1278"/>
            <w:r w:rsidRPr="00BA56A1">
              <w:rPr>
                <w:rFonts w:cs="Arial"/>
              </w:rPr>
              <w:t>;</w:t>
            </w:r>
          </w:p>
        </w:tc>
      </w:tr>
      <w:tr w:rsidR="00F67E9E" w:rsidRPr="00BA56A1" w14:paraId="70A26C60" w14:textId="77777777" w:rsidTr="007F74AA">
        <w:tc>
          <w:tcPr>
            <w:tcW w:w="2835" w:type="dxa"/>
          </w:tcPr>
          <w:p w14:paraId="6F9F6AFC" w14:textId="77777777" w:rsidR="00F67E9E" w:rsidRPr="00BA56A1" w:rsidRDefault="00F67E9E" w:rsidP="007F74AA">
            <w:pPr>
              <w:pStyle w:val="StdBodyTextBold"/>
              <w:rPr>
                <w:rFonts w:cs="Arial"/>
              </w:rPr>
            </w:pPr>
            <w:r>
              <w:rPr>
                <w:rFonts w:cs="Arial"/>
              </w:rPr>
              <w:t>“</w:t>
            </w:r>
            <w:r w:rsidRPr="00BA56A1">
              <w:rPr>
                <w:rFonts w:cs="Arial"/>
              </w:rPr>
              <w:t>Benchmark Report</w:t>
            </w:r>
            <w:r>
              <w:rPr>
                <w:rFonts w:cs="Arial"/>
              </w:rPr>
              <w:t>”</w:t>
            </w:r>
          </w:p>
        </w:tc>
        <w:tc>
          <w:tcPr>
            <w:tcW w:w="6803" w:type="dxa"/>
          </w:tcPr>
          <w:p w14:paraId="51D84380" w14:textId="0B36E025" w:rsidR="00F67E9E" w:rsidRPr="00BA56A1" w:rsidRDefault="00F67E9E" w:rsidP="007F74AA">
            <w:pPr>
              <w:pStyle w:val="StdBodyText"/>
              <w:rPr>
                <w:rFonts w:cs="Arial"/>
              </w:rPr>
            </w:pPr>
            <w:r w:rsidRPr="00BA56A1">
              <w:rPr>
                <w:rFonts w:cs="Arial"/>
              </w:rPr>
              <w:t xml:space="preserve">the report produced by the Benchmarker following the Benchmark Review as further described in </w:t>
            </w:r>
            <w:bookmarkStart w:id="1279" w:name="_9kMHG5YVt4DDDLFYGpqgyts0H"/>
            <w:r w:rsidRPr="00BA56A1">
              <w:rPr>
                <w:rFonts w:cs="Arial"/>
              </w:rPr>
              <w:t xml:space="preserve">Paragraph </w:t>
            </w:r>
            <w:r w:rsidRPr="00BA56A1">
              <w:rPr>
                <w:rFonts w:cs="Arial"/>
              </w:rPr>
              <w:fldChar w:fldCharType="begin"/>
            </w:r>
            <w:r w:rsidRPr="00BA56A1">
              <w:rPr>
                <w:rFonts w:cs="Arial"/>
              </w:rPr>
              <w:instrText xml:space="preserve"> REF _Ref_ContractCompanion_9kb9Ur7EE \w \n \h \t \* MERGEFORMAT </w:instrText>
            </w:r>
            <w:r w:rsidRPr="00BA56A1">
              <w:rPr>
                <w:rFonts w:cs="Arial"/>
              </w:rPr>
            </w:r>
            <w:r w:rsidRPr="00BA56A1">
              <w:rPr>
                <w:rFonts w:cs="Arial"/>
              </w:rPr>
              <w:fldChar w:fldCharType="separate"/>
            </w:r>
            <w:r w:rsidR="00302D39">
              <w:rPr>
                <w:rFonts w:cs="Arial"/>
              </w:rPr>
              <w:t>5</w:t>
            </w:r>
            <w:r w:rsidRPr="00BA56A1">
              <w:rPr>
                <w:rFonts w:cs="Arial"/>
              </w:rPr>
              <w:fldChar w:fldCharType="end"/>
            </w:r>
            <w:bookmarkEnd w:id="1279"/>
            <w:r w:rsidRPr="00BA56A1">
              <w:rPr>
                <w:rFonts w:cs="Arial"/>
              </w:rPr>
              <w:t>;</w:t>
            </w:r>
          </w:p>
        </w:tc>
      </w:tr>
      <w:tr w:rsidR="00F67E9E" w:rsidRPr="00BA56A1" w14:paraId="4A689395" w14:textId="77777777" w:rsidTr="007F74AA">
        <w:tc>
          <w:tcPr>
            <w:tcW w:w="2835" w:type="dxa"/>
          </w:tcPr>
          <w:p w14:paraId="222487C7" w14:textId="77777777" w:rsidR="00F67E9E" w:rsidRPr="00BA56A1" w:rsidRDefault="00F67E9E" w:rsidP="007F74AA">
            <w:pPr>
              <w:pStyle w:val="StdBodyTextBold"/>
              <w:rPr>
                <w:rFonts w:cs="Arial"/>
              </w:rPr>
            </w:pPr>
            <w:r>
              <w:rPr>
                <w:rFonts w:cs="Arial"/>
              </w:rPr>
              <w:t>“</w:t>
            </w:r>
            <w:r w:rsidRPr="00BA56A1">
              <w:rPr>
                <w:rFonts w:cs="Arial"/>
              </w:rPr>
              <w:t>Benchmark Review</w:t>
            </w:r>
            <w:r>
              <w:rPr>
                <w:rFonts w:cs="Arial"/>
              </w:rPr>
              <w:t>”</w:t>
            </w:r>
          </w:p>
        </w:tc>
        <w:tc>
          <w:tcPr>
            <w:tcW w:w="6803" w:type="dxa"/>
          </w:tcPr>
          <w:p w14:paraId="6E799C28" w14:textId="162CFE0C" w:rsidR="00F67E9E" w:rsidRPr="00BA56A1" w:rsidRDefault="00F67E9E" w:rsidP="007F74AA">
            <w:pPr>
              <w:pStyle w:val="StdBodyText"/>
              <w:rPr>
                <w:rFonts w:cs="Arial"/>
              </w:rPr>
            </w:pPr>
            <w:r w:rsidRPr="00BA56A1">
              <w:rPr>
                <w:rFonts w:cs="Arial"/>
              </w:rPr>
              <w:t xml:space="preserve">a review of one or more of the Services carried out in accordance with </w:t>
            </w:r>
            <w:bookmarkStart w:id="1280" w:name="_9kMML5YVt4DDCMKbGpqgyts0G"/>
            <w:r w:rsidRPr="00BA56A1">
              <w:rPr>
                <w:rFonts w:cs="Arial"/>
              </w:rPr>
              <w:t xml:space="preserve">Paragraph </w:t>
            </w:r>
            <w:bookmarkEnd w:id="1280"/>
            <w:r w:rsidRPr="00BA56A1">
              <w:rPr>
                <w:rFonts w:cs="Arial"/>
              </w:rPr>
              <w:fldChar w:fldCharType="begin"/>
            </w:r>
            <w:r w:rsidRPr="00BA56A1">
              <w:rPr>
                <w:rFonts w:cs="Arial"/>
              </w:rPr>
              <w:instrText xml:space="preserve"> REF _Ref_ContractCompanion_9kb9Ur6GC \w \h </w:instrText>
            </w:r>
            <w:r>
              <w:rPr>
                <w:rFonts w:cs="Arial"/>
              </w:rPr>
              <w:instrText xml:space="preserve"> \* MERGEFORMAT </w:instrText>
            </w:r>
            <w:r w:rsidRPr="00BA56A1">
              <w:rPr>
                <w:rFonts w:cs="Arial"/>
              </w:rPr>
            </w:r>
            <w:r w:rsidRPr="00BA56A1">
              <w:rPr>
                <w:rFonts w:cs="Arial"/>
              </w:rPr>
              <w:fldChar w:fldCharType="separate"/>
            </w:r>
            <w:r w:rsidR="00302D39">
              <w:rPr>
                <w:rFonts w:cs="Arial"/>
              </w:rPr>
              <w:t>4</w:t>
            </w:r>
            <w:r w:rsidRPr="00BA56A1">
              <w:rPr>
                <w:rFonts w:cs="Arial"/>
              </w:rPr>
              <w:fldChar w:fldCharType="end"/>
            </w:r>
            <w:r w:rsidRPr="00BA56A1">
              <w:rPr>
                <w:rFonts w:cs="Arial"/>
              </w:rPr>
              <w:t xml:space="preserve"> to determine whether those Services represent Good Value;</w:t>
            </w:r>
          </w:p>
        </w:tc>
      </w:tr>
      <w:tr w:rsidR="00F67E9E" w:rsidRPr="00BA56A1" w14:paraId="79FF7665" w14:textId="77777777" w:rsidTr="007F74AA">
        <w:tc>
          <w:tcPr>
            <w:tcW w:w="2835" w:type="dxa"/>
          </w:tcPr>
          <w:p w14:paraId="28F28815" w14:textId="77777777" w:rsidR="00F67E9E" w:rsidRPr="00BA56A1" w:rsidRDefault="00F67E9E" w:rsidP="007F74AA">
            <w:pPr>
              <w:pStyle w:val="StdBodyTextBold"/>
              <w:rPr>
                <w:rFonts w:cs="Arial"/>
              </w:rPr>
            </w:pPr>
            <w:r>
              <w:rPr>
                <w:rFonts w:cs="Arial"/>
              </w:rPr>
              <w:t>“</w:t>
            </w:r>
            <w:r w:rsidRPr="00BA56A1">
              <w:rPr>
                <w:rFonts w:cs="Arial"/>
              </w:rPr>
              <w:t>Comparable Service</w:t>
            </w:r>
            <w:r>
              <w:rPr>
                <w:rFonts w:cs="Arial"/>
              </w:rPr>
              <w:t>”</w:t>
            </w:r>
          </w:p>
        </w:tc>
        <w:tc>
          <w:tcPr>
            <w:tcW w:w="6803" w:type="dxa"/>
          </w:tcPr>
          <w:p w14:paraId="7B5B5602" w14:textId="77777777" w:rsidR="00F67E9E" w:rsidRPr="00BA56A1" w:rsidRDefault="00F67E9E" w:rsidP="007F74AA">
            <w:pPr>
              <w:pStyle w:val="StdBodyText"/>
              <w:rPr>
                <w:rFonts w:cs="Arial"/>
              </w:rPr>
            </w:pPr>
            <w:r w:rsidRPr="00BA56A1">
              <w:rPr>
                <w:rFonts w:cs="Arial"/>
              </w:rPr>
              <w:t>in relation to a Benchmarked Service, a service that is identical or materially similar to the Benchmarked Service (including in terms of scope, specification, volume and quality of performance);</w:t>
            </w:r>
          </w:p>
        </w:tc>
      </w:tr>
      <w:tr w:rsidR="00F67E9E" w:rsidRPr="00BA56A1" w14:paraId="6D7A5473" w14:textId="77777777" w:rsidTr="007F74AA">
        <w:tc>
          <w:tcPr>
            <w:tcW w:w="2835" w:type="dxa"/>
          </w:tcPr>
          <w:p w14:paraId="586E01A4" w14:textId="77777777" w:rsidR="00F67E9E" w:rsidRPr="00BA56A1" w:rsidRDefault="00F67E9E" w:rsidP="007F74AA">
            <w:pPr>
              <w:pStyle w:val="StdBodyTextBold"/>
              <w:rPr>
                <w:rFonts w:cs="Arial"/>
              </w:rPr>
            </w:pPr>
            <w:r>
              <w:rPr>
                <w:rFonts w:cs="Arial"/>
              </w:rPr>
              <w:t>“</w:t>
            </w:r>
            <w:r w:rsidRPr="00BA56A1">
              <w:rPr>
                <w:rFonts w:cs="Arial"/>
              </w:rPr>
              <w:t>Comparison Group</w:t>
            </w:r>
            <w:r>
              <w:rPr>
                <w:rFonts w:cs="Arial"/>
              </w:rPr>
              <w:t>”</w:t>
            </w:r>
          </w:p>
        </w:tc>
        <w:tc>
          <w:tcPr>
            <w:tcW w:w="6803" w:type="dxa"/>
          </w:tcPr>
          <w:p w14:paraId="0F41E1A6" w14:textId="3BB996AB" w:rsidR="00F67E9E" w:rsidRPr="00BA56A1" w:rsidRDefault="00F67E9E" w:rsidP="007F74AA">
            <w:pPr>
              <w:pStyle w:val="StdBodyText"/>
              <w:rPr>
                <w:rFonts w:cs="Arial"/>
              </w:rPr>
            </w:pPr>
            <w:r w:rsidRPr="00BA56A1">
              <w:rPr>
                <w:rFonts w:cs="Arial"/>
              </w:rPr>
              <w:t xml:space="preserve">in relation to a Comparable Service, a sample group of organisations providing the Comparable Service identified by the Benchmarker under </w:t>
            </w:r>
            <w:bookmarkStart w:id="1281" w:name="_9kR3WTr2BC6DFYEnoewrqyET"/>
            <w:r w:rsidRPr="00BA56A1">
              <w:rPr>
                <w:rFonts w:cs="Arial"/>
              </w:rPr>
              <w:t xml:space="preserve">Paragraph </w:t>
            </w:r>
            <w:bookmarkEnd w:id="1281"/>
            <w:r w:rsidRPr="00BA56A1">
              <w:rPr>
                <w:rFonts w:cs="Arial"/>
              </w:rPr>
              <w:fldChar w:fldCharType="begin"/>
            </w:r>
            <w:r w:rsidRPr="00BA56A1">
              <w:rPr>
                <w:rFonts w:cs="Arial"/>
              </w:rPr>
              <w:instrText xml:space="preserve"> REF _Ref_ContractCompanion_9kb9Us299 \w \h </w:instrText>
            </w:r>
            <w:r>
              <w:rPr>
                <w:rFonts w:cs="Arial"/>
              </w:rPr>
              <w:instrText xml:space="preserve"> \* MERGEFORMAT </w:instrText>
            </w:r>
            <w:r w:rsidRPr="00BA56A1">
              <w:rPr>
                <w:rFonts w:cs="Arial"/>
              </w:rPr>
            </w:r>
            <w:r w:rsidRPr="00BA56A1">
              <w:rPr>
                <w:rFonts w:cs="Arial"/>
              </w:rPr>
              <w:fldChar w:fldCharType="separate"/>
            </w:r>
            <w:r w:rsidR="00302D39">
              <w:rPr>
                <w:rFonts w:cs="Arial"/>
              </w:rPr>
              <w:t>4.8</w:t>
            </w:r>
            <w:r w:rsidRPr="00BA56A1">
              <w:rPr>
                <w:rFonts w:cs="Arial"/>
              </w:rPr>
              <w:fldChar w:fldCharType="end"/>
            </w:r>
            <w:r w:rsidRPr="00BA56A1">
              <w:rPr>
                <w:rFonts w:cs="Arial"/>
              </w:rPr>
              <w:t xml:space="preserve"> which consists of organisations which are either of similar size to the Supplier or which are similarly structured in terms of their business and their service offering so as to be (in the Benchmarker</w:t>
            </w:r>
            <w:r>
              <w:rPr>
                <w:rFonts w:cs="Arial"/>
              </w:rPr>
              <w:t>’</w:t>
            </w:r>
            <w:r w:rsidRPr="00BA56A1">
              <w:rPr>
                <w:rFonts w:cs="Arial"/>
              </w:rPr>
              <w:t>s professional opinion) fair comparators with the Supplier or which, in the professional opinion of the Benchmarker, are best practice organisations and, where there are a reasonable number of such organisations, referencing only those organisations that are carrying on at least a significant part of their business within the United Kingdom;</w:t>
            </w:r>
          </w:p>
        </w:tc>
      </w:tr>
      <w:tr w:rsidR="00F67E9E" w:rsidRPr="00BA56A1" w14:paraId="1F234951" w14:textId="77777777" w:rsidTr="007F74AA">
        <w:tc>
          <w:tcPr>
            <w:tcW w:w="2835" w:type="dxa"/>
          </w:tcPr>
          <w:p w14:paraId="0906B3FF" w14:textId="77777777" w:rsidR="00F67E9E" w:rsidRPr="00BA56A1" w:rsidRDefault="00F67E9E" w:rsidP="007F74AA">
            <w:pPr>
              <w:pStyle w:val="StdBodyTextBold"/>
              <w:rPr>
                <w:rFonts w:cs="Arial"/>
              </w:rPr>
            </w:pPr>
            <w:r>
              <w:rPr>
                <w:rFonts w:cs="Arial"/>
              </w:rPr>
              <w:t>“</w:t>
            </w:r>
            <w:r w:rsidRPr="00BA56A1">
              <w:rPr>
                <w:rFonts w:cs="Arial"/>
              </w:rPr>
              <w:t>Equivalent Services Data</w:t>
            </w:r>
            <w:r>
              <w:rPr>
                <w:rFonts w:cs="Arial"/>
              </w:rPr>
              <w:t>”</w:t>
            </w:r>
          </w:p>
        </w:tc>
        <w:tc>
          <w:tcPr>
            <w:tcW w:w="6803" w:type="dxa"/>
          </w:tcPr>
          <w:p w14:paraId="6133E69F" w14:textId="03C2609C" w:rsidR="00F67E9E" w:rsidRPr="00BA56A1" w:rsidRDefault="00F67E9E" w:rsidP="007F74AA">
            <w:pPr>
              <w:pStyle w:val="StdBodyText"/>
              <w:rPr>
                <w:rFonts w:cs="Arial"/>
              </w:rPr>
            </w:pPr>
            <w:r w:rsidRPr="00BA56A1">
              <w:rPr>
                <w:rFonts w:cs="Arial"/>
              </w:rPr>
              <w:t xml:space="preserve">in relation to a Comparable Service, data derived from an analysis of the Comparable Service provided by the Comparison Group as adjusted in accordance with </w:t>
            </w:r>
            <w:bookmarkStart w:id="1282" w:name="_9kR3WTr2BC6DIbEnoewrqy2QU1"/>
            <w:r w:rsidRPr="00BA56A1">
              <w:rPr>
                <w:rFonts w:cs="Arial"/>
              </w:rPr>
              <w:t xml:space="preserve">Paragraphs </w:t>
            </w:r>
            <w:bookmarkEnd w:id="1282"/>
            <w:r w:rsidRPr="00BA56A1">
              <w:rPr>
                <w:rFonts w:cs="Arial"/>
              </w:rPr>
              <w:fldChar w:fldCharType="begin"/>
            </w:r>
            <w:r w:rsidRPr="00BA56A1">
              <w:rPr>
                <w:rFonts w:cs="Arial"/>
              </w:rPr>
              <w:instrText xml:space="preserve"> REF _Ref_ContractCompanion_9kb9Us29C \w \h </w:instrText>
            </w:r>
            <w:r>
              <w:rPr>
                <w:rFonts w:cs="Arial"/>
              </w:rPr>
              <w:instrText xml:space="preserve"> \* MERGEFORMAT </w:instrText>
            </w:r>
            <w:r w:rsidRPr="00BA56A1">
              <w:rPr>
                <w:rFonts w:cs="Arial"/>
              </w:rPr>
            </w:r>
            <w:r w:rsidRPr="00BA56A1">
              <w:rPr>
                <w:rFonts w:cs="Arial"/>
              </w:rPr>
              <w:fldChar w:fldCharType="separate"/>
            </w:r>
            <w:r w:rsidR="00302D39">
              <w:rPr>
                <w:rFonts w:cs="Arial"/>
              </w:rPr>
              <w:t>4.8.1</w:t>
            </w:r>
            <w:r w:rsidRPr="00BA56A1">
              <w:rPr>
                <w:rFonts w:cs="Arial"/>
              </w:rPr>
              <w:fldChar w:fldCharType="end"/>
            </w:r>
            <w:r w:rsidRPr="00BA56A1">
              <w:rPr>
                <w:rFonts w:cs="Arial"/>
              </w:rPr>
              <w:t xml:space="preserve"> and </w:t>
            </w:r>
            <w:bookmarkStart w:id="1283" w:name="_9kMHG5YVtCIB8FNLNnTlGButoztzAy6LCv0C9zE"/>
            <w:r w:rsidRPr="00BA56A1">
              <w:rPr>
                <w:rFonts w:cs="Arial"/>
              </w:rPr>
              <w:fldChar w:fldCharType="begin"/>
            </w:r>
            <w:r w:rsidRPr="00BA56A1">
              <w:rPr>
                <w:rFonts w:cs="Arial"/>
              </w:rPr>
              <w:instrText xml:space="preserve"> REF _Ref_ContractCompanion_9kb9Us29F \n \h \t \* MERGEFORMAT </w:instrText>
            </w:r>
            <w:r w:rsidRPr="00BA56A1">
              <w:rPr>
                <w:rFonts w:cs="Arial"/>
              </w:rPr>
            </w:r>
            <w:r w:rsidRPr="00BA56A1">
              <w:rPr>
                <w:rFonts w:cs="Arial"/>
              </w:rPr>
              <w:fldChar w:fldCharType="separate"/>
            </w:r>
            <w:r w:rsidR="00302D39">
              <w:rPr>
                <w:rFonts w:cs="Arial"/>
              </w:rPr>
              <w:t>4.9</w:t>
            </w:r>
            <w:r w:rsidRPr="00BA56A1">
              <w:rPr>
                <w:rFonts w:cs="Arial"/>
              </w:rPr>
              <w:fldChar w:fldCharType="end"/>
            </w:r>
            <w:bookmarkEnd w:id="1283"/>
            <w:r w:rsidRPr="00BA56A1">
              <w:rPr>
                <w:rFonts w:cs="Arial"/>
              </w:rPr>
              <w:t xml:space="preserve"> provided that the Benchmarker shall not use any such data that relates to a period which ended more than 36 months prior to the date of the appointment of the Benchmarker;</w:t>
            </w:r>
          </w:p>
        </w:tc>
      </w:tr>
      <w:tr w:rsidR="00F67E9E" w:rsidRPr="00BA56A1" w14:paraId="6E850E73" w14:textId="77777777" w:rsidTr="007F74AA">
        <w:tc>
          <w:tcPr>
            <w:tcW w:w="2835" w:type="dxa"/>
          </w:tcPr>
          <w:p w14:paraId="27C05CF4" w14:textId="77777777" w:rsidR="00F67E9E" w:rsidRPr="00BA56A1" w:rsidRDefault="00F67E9E" w:rsidP="007F74AA">
            <w:pPr>
              <w:pStyle w:val="StdBodyTextBold"/>
              <w:rPr>
                <w:rFonts w:cs="Arial"/>
              </w:rPr>
            </w:pPr>
            <w:r>
              <w:rPr>
                <w:rFonts w:cs="Arial"/>
              </w:rPr>
              <w:t>“</w:t>
            </w:r>
            <w:r w:rsidRPr="00BA56A1">
              <w:rPr>
                <w:rFonts w:cs="Arial"/>
              </w:rPr>
              <w:t>Good Value</w:t>
            </w:r>
            <w:r>
              <w:rPr>
                <w:rFonts w:cs="Arial"/>
              </w:rPr>
              <w:t>”</w:t>
            </w:r>
          </w:p>
        </w:tc>
        <w:tc>
          <w:tcPr>
            <w:tcW w:w="6803" w:type="dxa"/>
          </w:tcPr>
          <w:p w14:paraId="19BABCC8" w14:textId="77777777" w:rsidR="00F67E9E" w:rsidRPr="00BA56A1" w:rsidRDefault="00F67E9E" w:rsidP="007F74AA">
            <w:pPr>
              <w:pStyle w:val="StdBodyText"/>
              <w:rPr>
                <w:rFonts w:cs="Arial"/>
              </w:rPr>
            </w:pPr>
            <w:r w:rsidRPr="00BA56A1">
              <w:rPr>
                <w:rFonts w:cs="Arial"/>
              </w:rPr>
              <w:t>in relation to a Benchmarked Service, that:</w:t>
            </w:r>
          </w:p>
          <w:p w14:paraId="2BE90AB7" w14:textId="77777777" w:rsidR="00F67E9E" w:rsidRPr="0056014F" w:rsidRDefault="00F67E9E" w:rsidP="007F74AA">
            <w:pPr>
              <w:pStyle w:val="DefinitionList"/>
              <w:numPr>
                <w:ilvl w:val="0"/>
                <w:numId w:val="295"/>
              </w:numPr>
              <w:rPr>
                <w:rFonts w:cs="Arial"/>
              </w:rPr>
            </w:pPr>
            <w:r w:rsidRPr="0056014F">
              <w:rPr>
                <w:rFonts w:cs="Arial"/>
              </w:rPr>
              <w:t xml:space="preserve">having taken into account the Performance Indicators and Target </w:t>
            </w:r>
            <w:r w:rsidRPr="006324A1">
              <w:rPr>
                <w:rFonts w:cs="Arial"/>
              </w:rPr>
              <w:t>Performance</w:t>
            </w:r>
            <w:r w:rsidRPr="0056014F">
              <w:rPr>
                <w:rFonts w:cs="Arial"/>
              </w:rPr>
              <w:t xml:space="preserve"> Levels, the value for money of the Charges attributable to that Benchmarked Service is at least as good as the value for money of the Upper Quartile; and</w:t>
            </w:r>
          </w:p>
          <w:p w14:paraId="264CE1F4" w14:textId="77777777" w:rsidR="00F67E9E" w:rsidRPr="00BA56A1" w:rsidRDefault="00F67E9E" w:rsidP="00F67E9E">
            <w:pPr>
              <w:pStyle w:val="DefinitionList"/>
              <w:numPr>
                <w:ilvl w:val="0"/>
                <w:numId w:val="108"/>
              </w:numPr>
              <w:rPr>
                <w:rFonts w:cs="Arial"/>
              </w:rPr>
            </w:pPr>
            <w:r w:rsidRPr="00BA56A1">
              <w:rPr>
                <w:rFonts w:cs="Arial"/>
              </w:rPr>
              <w:t xml:space="preserve">any Performance Indicators and Target </w:t>
            </w:r>
            <w:r w:rsidRPr="006324A1">
              <w:rPr>
                <w:rFonts w:cs="Arial"/>
              </w:rPr>
              <w:t>Performance</w:t>
            </w:r>
            <w:r w:rsidRPr="00BA56A1">
              <w:rPr>
                <w:rFonts w:cs="Arial"/>
              </w:rPr>
              <w:t xml:space="preserve"> Levels applicable to that Benchmarked Service are, having taken into account the Charges, equal to or better than the median service levels for the Comparable Service using Equivalent Services Data; and</w:t>
            </w:r>
          </w:p>
        </w:tc>
      </w:tr>
      <w:tr w:rsidR="00F67E9E" w:rsidRPr="00BA56A1" w14:paraId="066F7549" w14:textId="77777777" w:rsidTr="007F74AA">
        <w:tc>
          <w:tcPr>
            <w:tcW w:w="2835" w:type="dxa"/>
          </w:tcPr>
          <w:p w14:paraId="0188568E" w14:textId="77777777" w:rsidR="00F67E9E" w:rsidRPr="00BA56A1" w:rsidRDefault="00F67E9E" w:rsidP="007F74AA">
            <w:pPr>
              <w:pStyle w:val="StdBodyTextBold"/>
              <w:rPr>
                <w:rFonts w:cs="Arial"/>
              </w:rPr>
            </w:pPr>
            <w:r>
              <w:rPr>
                <w:rFonts w:cs="Arial"/>
              </w:rPr>
              <w:t>“</w:t>
            </w:r>
            <w:r w:rsidRPr="00BA56A1">
              <w:rPr>
                <w:rFonts w:cs="Arial"/>
              </w:rPr>
              <w:t>Upper Quartile</w:t>
            </w:r>
            <w:r>
              <w:rPr>
                <w:rFonts w:cs="Arial"/>
              </w:rPr>
              <w:t>”</w:t>
            </w:r>
          </w:p>
        </w:tc>
        <w:tc>
          <w:tcPr>
            <w:tcW w:w="6803" w:type="dxa"/>
          </w:tcPr>
          <w:p w14:paraId="666D33F7" w14:textId="77777777" w:rsidR="00F67E9E" w:rsidRPr="00BA56A1" w:rsidRDefault="00F67E9E" w:rsidP="007F74AA">
            <w:pPr>
              <w:pStyle w:val="StdBodyText"/>
              <w:rPr>
                <w:rFonts w:cs="Arial"/>
              </w:rPr>
            </w:pPr>
            <w:r w:rsidRPr="00BA56A1">
              <w:rPr>
                <w:rFonts w:cs="Arial"/>
              </w:rPr>
              <w:t>the top 25% of instances of provision of a Comparable Service by members of the Comparison Group ranked by best value for money to the recipients of that Comparable Service.</w:t>
            </w:r>
          </w:p>
        </w:tc>
      </w:tr>
    </w:tbl>
    <w:p w14:paraId="7CF31555" w14:textId="77777777" w:rsidR="00F67E9E" w:rsidRPr="00BA56A1" w:rsidRDefault="00F67E9E" w:rsidP="00F67E9E">
      <w:pPr>
        <w:pStyle w:val="Numbered1"/>
      </w:pPr>
      <w:r w:rsidRPr="00BA56A1">
        <w:t xml:space="preserve">Frequency, Purpose </w:t>
      </w:r>
      <w:r>
        <w:t>a</w:t>
      </w:r>
      <w:r w:rsidRPr="00BA56A1">
        <w:t xml:space="preserve">nd Scope </w:t>
      </w:r>
      <w:r>
        <w:t>o</w:t>
      </w:r>
      <w:r w:rsidRPr="00BA56A1">
        <w:t>f Benchmark Review</w:t>
      </w:r>
    </w:p>
    <w:p w14:paraId="14865757" w14:textId="77777777" w:rsidR="00F67E9E" w:rsidRPr="00BA56A1" w:rsidRDefault="00F67E9E" w:rsidP="00F67E9E">
      <w:pPr>
        <w:pStyle w:val="Numbered11"/>
      </w:pPr>
      <w:bookmarkStart w:id="1284" w:name="_Ref_ContractCompanion_9kb9Us29I"/>
      <w:bookmarkStart w:id="1285" w:name="_9kR3WTrAG96EFABdRjDOE2y947OIv8ABXREHTFA"/>
      <w:bookmarkStart w:id="1286" w:name="_Ref_ContractCompanion_9kb9Us2AF"/>
      <w:r w:rsidRPr="00BA56A1">
        <w:t>The Authority may, by written notice to the Supplier, require a Benchmark Review of any or all of the Services in order to establish whether a Benchmarked Service is, and/or the Benchmarked Services as a whole are, Good Value.</w:t>
      </w:r>
      <w:bookmarkEnd w:id="1284"/>
      <w:bookmarkEnd w:id="1285"/>
      <w:bookmarkEnd w:id="1286"/>
    </w:p>
    <w:p w14:paraId="00D16905" w14:textId="77777777" w:rsidR="00F67E9E" w:rsidRPr="00BA56A1" w:rsidRDefault="00F67E9E" w:rsidP="00F67E9E">
      <w:pPr>
        <w:pStyle w:val="Numbered11"/>
      </w:pPr>
      <w:r w:rsidRPr="00BA56A1">
        <w:t>The Authority shall not be entitled to carry out a Benchmark Review of any Services during the 12 month period from the Operational Service Commencement Date for those Services, nor at intervals of less than 12 months after any previous Benchmark Review relating to the same Services.</w:t>
      </w:r>
    </w:p>
    <w:p w14:paraId="7CB69212" w14:textId="2369FE5C" w:rsidR="00F67E9E" w:rsidRPr="00BA56A1" w:rsidRDefault="00F67E9E" w:rsidP="00F67E9E">
      <w:pPr>
        <w:pStyle w:val="Numbered11"/>
      </w:pPr>
      <w:bookmarkStart w:id="1287" w:name="_Ref_ContractCompanion_9kb9Us28C"/>
      <w:bookmarkStart w:id="1288" w:name="_9kR3WTrAG96CIFDfRjVQwE6ol2I8q3438BM5wFJ"/>
      <w:r w:rsidRPr="00BA56A1">
        <w:t xml:space="preserve">The Services that are to be the Benchmarked Services shall be identified by the Authority in the notice given under </w:t>
      </w:r>
      <w:bookmarkStart w:id="1289" w:name="_9kMHG5YVtCIB8GHCDfTlFQG40B69QKxACDZTGJV"/>
      <w:r w:rsidRPr="00BA56A1">
        <w:t xml:space="preserve">Paragraph </w:t>
      </w:r>
      <w:r w:rsidRPr="00BA56A1">
        <w:fldChar w:fldCharType="begin"/>
      </w:r>
      <w:r w:rsidRPr="00BA56A1">
        <w:instrText xml:space="preserve"> REF _Ref_ContractCompanion_9kb9Us29I \n \h \t \* MERGEFORMAT </w:instrText>
      </w:r>
      <w:r w:rsidRPr="00BA56A1">
        <w:fldChar w:fldCharType="separate"/>
      </w:r>
      <w:r w:rsidR="00302D39">
        <w:t>2.1</w:t>
      </w:r>
      <w:r w:rsidRPr="00BA56A1">
        <w:fldChar w:fldCharType="end"/>
      </w:r>
      <w:bookmarkEnd w:id="1289"/>
      <w:r w:rsidRPr="00BA56A1">
        <w:t>.</w:t>
      </w:r>
      <w:bookmarkEnd w:id="1287"/>
      <w:bookmarkEnd w:id="1288"/>
    </w:p>
    <w:p w14:paraId="030EB1A8" w14:textId="77777777" w:rsidR="00F67E9E" w:rsidRPr="00BA56A1" w:rsidRDefault="00F67E9E" w:rsidP="00F67E9E">
      <w:pPr>
        <w:pStyle w:val="Numbered1"/>
      </w:pPr>
      <w:r w:rsidRPr="00BA56A1">
        <w:t xml:space="preserve">Appointment </w:t>
      </w:r>
      <w:r>
        <w:t>o</w:t>
      </w:r>
      <w:r w:rsidRPr="00BA56A1">
        <w:t>f Benchmarker</w:t>
      </w:r>
    </w:p>
    <w:p w14:paraId="65C23573" w14:textId="09588A13" w:rsidR="00F67E9E" w:rsidRPr="00BA56A1" w:rsidRDefault="00F67E9E" w:rsidP="00F67E9E">
      <w:pPr>
        <w:pStyle w:val="Numbered11"/>
      </w:pPr>
      <w:bookmarkStart w:id="1290" w:name="_Ref_ContractCompanion_9kb9Us28F"/>
      <w:r w:rsidRPr="00BA56A1">
        <w:t xml:space="preserve">The Authority shall appoint as the Benchmarker to carry out the Benchmark Review either an organisation on the list of organisations set out in Annex </w:t>
      </w:r>
      <w:r w:rsidRPr="00BA56A1">
        <w:fldChar w:fldCharType="begin"/>
      </w:r>
      <w:r w:rsidRPr="00BA56A1">
        <w:instrText xml:space="preserve"> REF ANNEX1_SCHEDULE17 \h </w:instrText>
      </w:r>
      <w:r>
        <w:instrText xml:space="preserve"> \* MERGEFORMAT </w:instrText>
      </w:r>
      <w:r w:rsidRPr="00BA56A1">
        <w:fldChar w:fldCharType="separate"/>
      </w:r>
      <w:r w:rsidR="00302D39" w:rsidRPr="00BA56A1">
        <w:t>1</w:t>
      </w:r>
      <w:r w:rsidRPr="00BA56A1">
        <w:fldChar w:fldCharType="end"/>
      </w:r>
      <w:r>
        <w:t xml:space="preserve"> </w:t>
      </w:r>
      <w:r w:rsidRPr="00BA56A1">
        <w:t>or such other organisation as may be agreed in writing between the Parties.</w:t>
      </w:r>
      <w:bookmarkEnd w:id="1290"/>
    </w:p>
    <w:p w14:paraId="66895831" w14:textId="4E57E1C3" w:rsidR="00F67E9E" w:rsidRPr="00BA56A1" w:rsidRDefault="00F67E9E" w:rsidP="00F67E9E">
      <w:pPr>
        <w:pStyle w:val="Numbered11"/>
      </w:pPr>
      <w:r w:rsidRPr="00BA56A1">
        <w:t xml:space="preserve">The Authority shall, at the written request of the Supplier, require the Benchmarker to enter into a confidentiality agreement with the Supplier in, or substantially in, the form set out in </w:t>
      </w:r>
      <w:bookmarkStart w:id="1291" w:name="_9kR3WTr2BC6EILCwozO"/>
      <w:r w:rsidRPr="00BA56A1">
        <w:t xml:space="preserve">Annex </w:t>
      </w:r>
      <w:r w:rsidRPr="00BA56A1">
        <w:fldChar w:fldCharType="begin"/>
      </w:r>
      <w:r w:rsidRPr="00BA56A1">
        <w:instrText xml:space="preserve"> REF ANNEX2_SCHEDULE17 \h </w:instrText>
      </w:r>
      <w:r>
        <w:instrText xml:space="preserve"> \* MERGEFORMAT </w:instrText>
      </w:r>
      <w:r w:rsidRPr="00BA56A1">
        <w:fldChar w:fldCharType="separate"/>
      </w:r>
      <w:r w:rsidR="00302D39" w:rsidRPr="00BA56A1">
        <w:t>2</w:t>
      </w:r>
      <w:r w:rsidRPr="00BA56A1">
        <w:fldChar w:fldCharType="end"/>
      </w:r>
      <w:bookmarkEnd w:id="1291"/>
      <w:r w:rsidRPr="00BA56A1">
        <w:t>.</w:t>
      </w:r>
    </w:p>
    <w:p w14:paraId="3E09315C" w14:textId="77777777" w:rsidR="00F67E9E" w:rsidRPr="00BA56A1" w:rsidRDefault="00F67E9E" w:rsidP="00F67E9E">
      <w:pPr>
        <w:pStyle w:val="Numbered11"/>
      </w:pPr>
      <w:r w:rsidRPr="00BA56A1">
        <w:t>The costs and expenses of the Benchmarker and the Benchmark Review shall be shared equally between both Parties provided that each Party shall bear its own internal costs of the Benchmark Review. The Benchmarker shall not be compensated on a contingency fee or incentive basis.</w:t>
      </w:r>
    </w:p>
    <w:p w14:paraId="01B75CEF" w14:textId="77777777" w:rsidR="00F67E9E" w:rsidRPr="00BA56A1" w:rsidRDefault="00F67E9E" w:rsidP="00F67E9E">
      <w:pPr>
        <w:pStyle w:val="Numbered11"/>
      </w:pPr>
      <w:r w:rsidRPr="00BA56A1">
        <w:t>The Authority shall be entitled to pay the Benchmarker</w:t>
      </w:r>
      <w:r>
        <w:t>’</w:t>
      </w:r>
      <w:r w:rsidRPr="00BA56A1">
        <w:t>s costs and expenses in full and to recover the Supplier</w:t>
      </w:r>
      <w:r>
        <w:t>’</w:t>
      </w:r>
      <w:r w:rsidRPr="00BA56A1">
        <w:t>s share from the Supplier.</w:t>
      </w:r>
    </w:p>
    <w:p w14:paraId="7274ED60" w14:textId="77777777" w:rsidR="00F67E9E" w:rsidRPr="00BA56A1" w:rsidRDefault="00F67E9E" w:rsidP="00F67E9E">
      <w:pPr>
        <w:pStyle w:val="Numbered1"/>
      </w:pPr>
      <w:bookmarkStart w:id="1292" w:name="_Ref_ContractCompanion_9kb9Ur6GC"/>
      <w:bookmarkStart w:id="1293" w:name="_Ref_ContractCompanion_9kb9Us2BF"/>
      <w:r w:rsidRPr="00BA56A1">
        <w:t>Benchmark Review</w:t>
      </w:r>
      <w:bookmarkEnd w:id="1292"/>
      <w:bookmarkEnd w:id="1293"/>
    </w:p>
    <w:p w14:paraId="0AC370B2" w14:textId="77777777" w:rsidR="00F67E9E" w:rsidRPr="00BA56A1" w:rsidRDefault="00F67E9E" w:rsidP="00F67E9E">
      <w:pPr>
        <w:pStyle w:val="Numbered11"/>
      </w:pPr>
      <w:bookmarkStart w:id="1294" w:name="_9kR3WTrAG96FIEDdRjDOE2y947OO8rw8F99QJHE"/>
      <w:bookmarkStart w:id="1295" w:name="_Ref_ContractCompanion_9kb9Us2BC"/>
      <w:r w:rsidRPr="00BA56A1">
        <w:t>The Authority shall require the Benchmarker to produce, and to send to each Party for approval, a draft plan for the Benchmark Review within 10 Working Days after the date of the appointment of the Benchmarker, or such longer period as the Benchmarker shall reasonably request in all the circumstances.</w:t>
      </w:r>
      <w:bookmarkEnd w:id="1294"/>
      <w:r>
        <w:t xml:space="preserve"> </w:t>
      </w:r>
      <w:r w:rsidRPr="00BA56A1">
        <w:t>The plan must include:</w:t>
      </w:r>
      <w:bookmarkEnd w:id="1295"/>
    </w:p>
    <w:p w14:paraId="06C7079A" w14:textId="77777777" w:rsidR="00F67E9E" w:rsidRPr="000A7B06" w:rsidRDefault="00F67E9E" w:rsidP="00F67E9E">
      <w:pPr>
        <w:pStyle w:val="Numbered111"/>
      </w:pPr>
      <w:r w:rsidRPr="00BA56A1">
        <w:t xml:space="preserve">a </w:t>
      </w:r>
      <w:r w:rsidRPr="000A7B06">
        <w:t>proposed timetable for the Benchmark Review;</w:t>
      </w:r>
    </w:p>
    <w:p w14:paraId="1C7B557F" w14:textId="77777777" w:rsidR="00F67E9E" w:rsidRPr="000A7B06" w:rsidRDefault="00F67E9E" w:rsidP="00F67E9E">
      <w:pPr>
        <w:pStyle w:val="Numbered111"/>
      </w:pPr>
      <w:r w:rsidRPr="000A7B06">
        <w:t>a description of the information that the Benchmarker requires each Party to provide;</w:t>
      </w:r>
    </w:p>
    <w:p w14:paraId="428BA59B" w14:textId="77777777" w:rsidR="00F67E9E" w:rsidRPr="000A7B06" w:rsidRDefault="00F67E9E" w:rsidP="00F67E9E">
      <w:pPr>
        <w:pStyle w:val="Numbered111"/>
      </w:pPr>
      <w:r w:rsidRPr="000A7B06">
        <w:t xml:space="preserve">a description of the benchmarking methodology to be used; </w:t>
      </w:r>
    </w:p>
    <w:p w14:paraId="025CF531" w14:textId="7B29B887" w:rsidR="00F67E9E" w:rsidRPr="000A7B06" w:rsidRDefault="00F67E9E" w:rsidP="00F67E9E">
      <w:pPr>
        <w:pStyle w:val="Numbered111"/>
      </w:pPr>
      <w:r w:rsidRPr="000A7B06">
        <w:t xml:space="preserve">a description that clearly illustrates that the benchmarking methodology to be used is capable of fulfilling the benchmarking objectives under </w:t>
      </w:r>
      <w:bookmarkStart w:id="1296" w:name="_9kR3WTr2BC6ELdEnoewrqyCK"/>
      <w:r w:rsidRPr="000A7B06">
        <w:t xml:space="preserve">Paragraph </w:t>
      </w:r>
      <w:r w:rsidRPr="000A7B06">
        <w:fldChar w:fldCharType="begin"/>
      </w:r>
      <w:r w:rsidRPr="000A7B06">
        <w:instrText xml:space="preserve"> REF _Ref_ContractCompanion_9kb9Us2AF \n \h \t \* MERGEFORMAT </w:instrText>
      </w:r>
      <w:r w:rsidRPr="000A7B06">
        <w:fldChar w:fldCharType="separate"/>
      </w:r>
      <w:r w:rsidR="00302D39">
        <w:t>2.1</w:t>
      </w:r>
      <w:r w:rsidRPr="000A7B06">
        <w:fldChar w:fldCharType="end"/>
      </w:r>
      <w:bookmarkEnd w:id="1296"/>
      <w:r w:rsidRPr="000A7B06">
        <w:t>;</w:t>
      </w:r>
    </w:p>
    <w:p w14:paraId="43371006" w14:textId="77777777" w:rsidR="00F67E9E" w:rsidRPr="000A7B06" w:rsidRDefault="00F67E9E" w:rsidP="00F67E9E">
      <w:pPr>
        <w:pStyle w:val="Numbered111"/>
      </w:pPr>
      <w:r w:rsidRPr="000A7B06">
        <w:t xml:space="preserve">an estimate of the resources required from each Party to underpin the delivery of the plan; </w:t>
      </w:r>
    </w:p>
    <w:p w14:paraId="326E8B01" w14:textId="77777777" w:rsidR="00F67E9E" w:rsidRPr="000A7B06" w:rsidRDefault="00F67E9E" w:rsidP="00F67E9E">
      <w:pPr>
        <w:pStyle w:val="Numbered111"/>
      </w:pPr>
      <w:r w:rsidRPr="000A7B06">
        <w:t xml:space="preserve">a description of how the Benchmarker will scope and identify the Comparison Group; </w:t>
      </w:r>
    </w:p>
    <w:p w14:paraId="55D76128" w14:textId="77777777" w:rsidR="00F67E9E" w:rsidRPr="000A7B06" w:rsidRDefault="00F67E9E" w:rsidP="00F67E9E">
      <w:pPr>
        <w:pStyle w:val="Numbered111"/>
      </w:pPr>
      <w:r w:rsidRPr="000A7B06">
        <w:t>details of any entities which the Benchmarker proposes to include within the Comparison Group; and</w:t>
      </w:r>
    </w:p>
    <w:p w14:paraId="42B7136C" w14:textId="2AC9A8FD" w:rsidR="00F67E9E" w:rsidRPr="00BA56A1" w:rsidRDefault="00F67E9E" w:rsidP="00F67E9E">
      <w:pPr>
        <w:pStyle w:val="Numbered111"/>
      </w:pPr>
      <w:r w:rsidRPr="000A7B06">
        <w:t xml:space="preserve">if in the Benchmarker’s professional opinion there are no Comparable Services or the number of entities carrying out Comparable Services is insufficient to create a Comparison Group, a detailed approach for meeting the relevant benchmarking objective(s) under </w:t>
      </w:r>
      <w:bookmarkStart w:id="1297" w:name="_9kMHG5YVt4DE8GNfGpqgyts0EM"/>
      <w:r w:rsidRPr="000A7B06">
        <w:t xml:space="preserve">Paragraph </w:t>
      </w:r>
      <w:r w:rsidRPr="000A7B06">
        <w:fldChar w:fldCharType="begin"/>
      </w:r>
      <w:r w:rsidRPr="000A7B06">
        <w:instrText xml:space="preserve"> REF _Ref_ContractCompanion_9kb9Us2AF \n \h \t \* MERGEFORMAT </w:instrText>
      </w:r>
      <w:r w:rsidRPr="000A7B06">
        <w:fldChar w:fldCharType="separate"/>
      </w:r>
      <w:r w:rsidR="00302D39">
        <w:t>2.1</w:t>
      </w:r>
      <w:r w:rsidRPr="000A7B06">
        <w:fldChar w:fldCharType="end"/>
      </w:r>
      <w:bookmarkEnd w:id="1297"/>
      <w:r w:rsidRPr="000A7B06">
        <w:t xml:space="preserve"> using a proxy for the Comparison Services and/</w:t>
      </w:r>
      <w:r w:rsidRPr="00BA56A1">
        <w:t>or Comparison Group as applicable.</w:t>
      </w:r>
    </w:p>
    <w:p w14:paraId="0470F28D" w14:textId="77777777" w:rsidR="00F67E9E" w:rsidRPr="00BA56A1" w:rsidRDefault="00F67E9E" w:rsidP="00F67E9E">
      <w:pPr>
        <w:pStyle w:val="Numbered11"/>
      </w:pPr>
      <w:r w:rsidRPr="00BA56A1">
        <w:t>The Parties acknowledge that the selection and or use of proxies for the Comparison Group (both in terms of number and identity of entities) and Comparable Services shall be a matter for the Benchmarker</w:t>
      </w:r>
      <w:r>
        <w:t>’</w:t>
      </w:r>
      <w:r w:rsidRPr="00BA56A1">
        <w:t>s professional judgment.</w:t>
      </w:r>
    </w:p>
    <w:p w14:paraId="7C15B64E" w14:textId="6C0E2556" w:rsidR="00F67E9E" w:rsidRPr="00BA56A1" w:rsidRDefault="00F67E9E" w:rsidP="00F67E9E">
      <w:pPr>
        <w:pStyle w:val="Numbered11"/>
      </w:pPr>
      <w:bookmarkStart w:id="1298" w:name="_9kR3WTrAG96FFBFQ5aiWKtDLL5ot51zFC5GNI2z"/>
      <w:bookmarkStart w:id="1299" w:name="_Ref_ContractCompanion_9kb9Us2AI"/>
      <w:r w:rsidRPr="00BA56A1">
        <w:t>Each Party shall give notice in writing to the Benchmarker and to the other Party within 10 Working Days after receiving the draft plan either approving the draft plan or suggesting amendments to that plan which must be reasonable Where a Party suggests amendments to the draft plan pursuant to this</w:t>
      </w:r>
      <w:bookmarkEnd w:id="1298"/>
      <w:r w:rsidRPr="00BA56A1">
        <w:t xml:space="preserve"> </w:t>
      </w:r>
      <w:bookmarkStart w:id="1300" w:name="_9kMHG5YVtCIB8HHDHS7ckYMvFNN7qv731HE7IPK"/>
      <w:r w:rsidRPr="00BA56A1">
        <w:t xml:space="preserve">Paragraph </w:t>
      </w:r>
      <w:r w:rsidRPr="00BA56A1">
        <w:fldChar w:fldCharType="begin"/>
      </w:r>
      <w:r w:rsidRPr="00BA56A1">
        <w:instrText xml:space="preserve"> REF _Ref_ContractCompanion_9kb9Us2AI \n \h \t \* MERGEFORMAT </w:instrText>
      </w:r>
      <w:r w:rsidRPr="00BA56A1">
        <w:fldChar w:fldCharType="separate"/>
      </w:r>
      <w:r w:rsidR="00302D39">
        <w:t>4.3</w:t>
      </w:r>
      <w:r w:rsidRPr="00BA56A1">
        <w:fldChar w:fldCharType="end"/>
      </w:r>
      <w:bookmarkEnd w:id="1300"/>
      <w:r w:rsidRPr="00BA56A1">
        <w:t>, the Benchmarker shall, if it believes the amendments are reasonable, produce an amended draft plan.</w:t>
      </w:r>
      <w:r>
        <w:t xml:space="preserve"> </w:t>
      </w:r>
      <w:bookmarkStart w:id="1301" w:name="_9kMHG5YVtCIB8HKGFfTlFQG40B69QQAtyAHBBSL"/>
      <w:r w:rsidRPr="00BA56A1">
        <w:t>Paragraph</w:t>
      </w:r>
      <w:r>
        <w:t> </w:t>
      </w:r>
      <w:r w:rsidRPr="00BA56A1">
        <w:fldChar w:fldCharType="begin"/>
      </w:r>
      <w:r w:rsidRPr="00BA56A1">
        <w:instrText xml:space="preserve"> REF _Ref_ContractCompanion_9kb9Us2BC \n \h \t \* MERGEFORMAT </w:instrText>
      </w:r>
      <w:r w:rsidRPr="00BA56A1">
        <w:fldChar w:fldCharType="separate"/>
      </w:r>
      <w:r w:rsidR="00302D39">
        <w:t>4.1</w:t>
      </w:r>
      <w:r w:rsidRPr="00BA56A1">
        <w:fldChar w:fldCharType="end"/>
      </w:r>
      <w:bookmarkEnd w:id="1301"/>
      <w:r w:rsidRPr="00BA56A1">
        <w:t xml:space="preserve"> and this </w:t>
      </w:r>
      <w:bookmarkStart w:id="1302" w:name="_9kMIH5YVtCIB8HHDHS7ckYMvFNN7qv731HE7IPK"/>
      <w:r w:rsidRPr="00BA56A1">
        <w:t xml:space="preserve">Paragraph </w:t>
      </w:r>
      <w:r w:rsidRPr="00BA56A1">
        <w:fldChar w:fldCharType="begin"/>
      </w:r>
      <w:r w:rsidRPr="00BA56A1">
        <w:instrText xml:space="preserve"> REF _Ref_ContractCompanion_9kb9Us2AI \n \h \t \* MERGEFORMAT </w:instrText>
      </w:r>
      <w:r w:rsidRPr="00BA56A1">
        <w:fldChar w:fldCharType="separate"/>
      </w:r>
      <w:r w:rsidR="00302D39">
        <w:t>4.3</w:t>
      </w:r>
      <w:r w:rsidRPr="00BA56A1">
        <w:fldChar w:fldCharType="end"/>
      </w:r>
      <w:bookmarkEnd w:id="1302"/>
      <w:r w:rsidRPr="00BA56A1">
        <w:t xml:space="preserve"> shall apply to any amended draft plan.</w:t>
      </w:r>
      <w:bookmarkEnd w:id="1299"/>
    </w:p>
    <w:p w14:paraId="67FFB92E" w14:textId="136A1FFA" w:rsidR="00F67E9E" w:rsidRPr="00BA56A1" w:rsidRDefault="00F67E9E" w:rsidP="00F67E9E">
      <w:pPr>
        <w:pStyle w:val="Numbered11"/>
      </w:pPr>
      <w:r w:rsidRPr="00BA56A1">
        <w:t xml:space="preserve">Failure by a Party to give notice under </w:t>
      </w:r>
      <w:bookmarkStart w:id="1303" w:name="_9kMJI5YVtCIB8HHDHS7ckYMvFNN7qv731HE7IPK"/>
      <w:r w:rsidRPr="00BA56A1">
        <w:t xml:space="preserve">Paragraph </w:t>
      </w:r>
      <w:r w:rsidRPr="00BA56A1">
        <w:fldChar w:fldCharType="begin"/>
      </w:r>
      <w:r w:rsidRPr="00BA56A1">
        <w:instrText xml:space="preserve"> REF _Ref_ContractCompanion_9kb9Us2AI \n \h \t \* MERGEFORMAT </w:instrText>
      </w:r>
      <w:r w:rsidRPr="00BA56A1">
        <w:fldChar w:fldCharType="separate"/>
      </w:r>
      <w:r w:rsidR="00302D39">
        <w:t>4.3</w:t>
      </w:r>
      <w:r w:rsidRPr="00BA56A1">
        <w:fldChar w:fldCharType="end"/>
      </w:r>
      <w:bookmarkEnd w:id="1303"/>
      <w:r w:rsidRPr="00BA56A1">
        <w:t xml:space="preserve"> shall be treated as approval of the draft plan by that Party.</w:t>
      </w:r>
      <w:r>
        <w:t xml:space="preserve"> </w:t>
      </w:r>
      <w:r w:rsidRPr="00BA56A1">
        <w:t xml:space="preserve">If the Parties fail to approve the draft plan within 30 Working Days of its first being sent to them pursuant to </w:t>
      </w:r>
      <w:bookmarkStart w:id="1304" w:name="_9kMIH5YVtCIB8HKGFfTlFQG40B69QQAtyAHBBSL"/>
      <w:r w:rsidRPr="00BA56A1">
        <w:t xml:space="preserve">Paragraph </w:t>
      </w:r>
      <w:r w:rsidRPr="00BA56A1">
        <w:fldChar w:fldCharType="begin"/>
      </w:r>
      <w:r w:rsidRPr="00BA56A1">
        <w:instrText xml:space="preserve"> REF _Ref_ContractCompanion_9kb9Us2BC \n \h \t \* MERGEFORMAT </w:instrText>
      </w:r>
      <w:r w:rsidRPr="00BA56A1">
        <w:fldChar w:fldCharType="separate"/>
      </w:r>
      <w:r w:rsidR="00302D39">
        <w:t>4.1</w:t>
      </w:r>
      <w:r w:rsidRPr="00BA56A1">
        <w:fldChar w:fldCharType="end"/>
      </w:r>
      <w:bookmarkEnd w:id="1304"/>
      <w:r w:rsidRPr="00BA56A1">
        <w:t xml:space="preserve"> then the Benchmarker shall prescribe the plan.</w:t>
      </w:r>
    </w:p>
    <w:p w14:paraId="58701AD0" w14:textId="77777777" w:rsidR="00F67E9E" w:rsidRPr="00BA56A1" w:rsidRDefault="00F67E9E" w:rsidP="00F67E9E">
      <w:pPr>
        <w:pStyle w:val="Numbered11"/>
      </w:pPr>
      <w:r w:rsidRPr="00BA56A1">
        <w:t>Once the plan is approved by both Parties or prescribed by the Benchmarker, the Benchmarker shall carry out the Benchmark Review in accordance with the plan.</w:t>
      </w:r>
      <w:r>
        <w:t xml:space="preserve"> </w:t>
      </w:r>
      <w:r w:rsidRPr="00BA56A1">
        <w:t>Each Party shall procure that all the information described in the plan, together with any additional information reasonably required by the Benchmarker is provided to the Benchmarker without undue delay.</w:t>
      </w:r>
      <w:r>
        <w:t xml:space="preserve"> </w:t>
      </w:r>
      <w:r w:rsidRPr="00BA56A1">
        <w:t xml:space="preserve">If the Supplier fails to provide any information requested from it by the Benchmarker and described in the plan, such failure shall constitute a material Default for the purposes of </w:t>
      </w:r>
      <w:bookmarkStart w:id="1305" w:name="_9kR3WTr2CC689LChrAv6NNt"/>
      <w:r w:rsidRPr="00BA56A1">
        <w:t>Clause 25.1(c)</w:t>
      </w:r>
      <w:bookmarkEnd w:id="1305"/>
      <w:r w:rsidRPr="00BA56A1">
        <w:t xml:space="preserve"> (</w:t>
      </w:r>
      <w:r w:rsidRPr="00BA56A1">
        <w:rPr>
          <w:i/>
        </w:rPr>
        <w:t>Rectification Plan Process</w:t>
      </w:r>
      <w:r w:rsidRPr="00BA56A1">
        <w:t>).</w:t>
      </w:r>
    </w:p>
    <w:p w14:paraId="5FC17620" w14:textId="77777777" w:rsidR="00F67E9E" w:rsidRPr="00BA56A1" w:rsidRDefault="00F67E9E" w:rsidP="00F67E9E">
      <w:pPr>
        <w:pStyle w:val="Numbered11"/>
      </w:pPr>
      <w:r w:rsidRPr="00BA56A1">
        <w:t>Each Party shall co-operate fully with the Benchmarker, including by providing access to records, technical documentation, premises, equipment, systems and personnel at times reasonably requested by the Benchmarker, provided that the Benchmarker shall be instructed to minimise any disruption to the Services.</w:t>
      </w:r>
    </w:p>
    <w:p w14:paraId="1BDD9E4A" w14:textId="77777777" w:rsidR="00F67E9E" w:rsidRPr="00BA56A1" w:rsidRDefault="00F67E9E" w:rsidP="00F67E9E">
      <w:pPr>
        <w:pStyle w:val="Numbered11"/>
      </w:pPr>
      <w:r w:rsidRPr="00BA56A1">
        <w:t>Either Party may provide additional material to the Benchmarker to assist the Benchmarker in conducting the Benchmark Review.</w:t>
      </w:r>
    </w:p>
    <w:p w14:paraId="200E4F9B" w14:textId="77777777" w:rsidR="00F67E9E" w:rsidRPr="00BA56A1" w:rsidRDefault="00F67E9E" w:rsidP="00F67E9E">
      <w:pPr>
        <w:pStyle w:val="Numbered11"/>
      </w:pPr>
      <w:bookmarkStart w:id="1306" w:name="_Ref_ContractCompanion_9kb9Us299"/>
      <w:r w:rsidRPr="00BA56A1">
        <w:t>Once it has received the information it requires, the Benchmarker shall:</w:t>
      </w:r>
      <w:bookmarkEnd w:id="1306"/>
    </w:p>
    <w:p w14:paraId="6010B52A" w14:textId="77777777" w:rsidR="00F67E9E" w:rsidRPr="00BA56A1" w:rsidRDefault="00F67E9E" w:rsidP="00F67E9E">
      <w:pPr>
        <w:pStyle w:val="Numbered111"/>
      </w:pPr>
      <w:bookmarkStart w:id="1307" w:name="_Ref_ContractCompanion_9kb9Us29C"/>
      <w:r w:rsidRPr="00BA56A1">
        <w:t>finalise the sample of entities constituting the Comparison Group and collect data relating to Comparable Services.</w:t>
      </w:r>
      <w:r>
        <w:t xml:space="preserve"> </w:t>
      </w:r>
      <w:r w:rsidRPr="00BA56A1">
        <w:t>The final selection of the Comparison Group (both in terms of number and identity of entities) and of the Comparable Services shall be a matter for the Benchmarker</w:t>
      </w:r>
      <w:r>
        <w:t>’</w:t>
      </w:r>
      <w:r w:rsidRPr="00BA56A1">
        <w:t>s professional judgment;</w:t>
      </w:r>
      <w:bookmarkEnd w:id="1307"/>
    </w:p>
    <w:p w14:paraId="7C02ED83" w14:textId="29C52BA0" w:rsidR="00F67E9E" w:rsidRPr="00BA56A1" w:rsidRDefault="00F67E9E" w:rsidP="00F67E9E">
      <w:pPr>
        <w:pStyle w:val="Numbered111"/>
      </w:pPr>
      <w:r w:rsidRPr="00BA56A1">
        <w:t xml:space="preserve">derive the Equivalent Services Data by applying the adjustment factors listed in </w:t>
      </w:r>
      <w:bookmarkStart w:id="1308" w:name="_9kMIH5YVtCIB8FNLNnTlGButoztzAy6LCv0C9zE"/>
      <w:r w:rsidRPr="00BA56A1">
        <w:t xml:space="preserve">Paragraph </w:t>
      </w:r>
      <w:r w:rsidRPr="00BA56A1">
        <w:fldChar w:fldCharType="begin"/>
      </w:r>
      <w:r w:rsidRPr="00BA56A1">
        <w:instrText xml:space="preserve"> REF _Ref_ContractCompanion_9kb9Us29F \n \h \t \* MERGEFORMAT </w:instrText>
      </w:r>
      <w:r w:rsidRPr="00BA56A1">
        <w:fldChar w:fldCharType="separate"/>
      </w:r>
      <w:r w:rsidR="00302D39">
        <w:t>4.9</w:t>
      </w:r>
      <w:r w:rsidRPr="00BA56A1">
        <w:fldChar w:fldCharType="end"/>
      </w:r>
      <w:bookmarkEnd w:id="1308"/>
      <w:r w:rsidRPr="00BA56A1">
        <w:t xml:space="preserve"> and from an analysis of the Comparable Services;</w:t>
      </w:r>
    </w:p>
    <w:p w14:paraId="175EB1F4" w14:textId="77777777" w:rsidR="00F67E9E" w:rsidRPr="00BA56A1" w:rsidRDefault="00F67E9E" w:rsidP="00F67E9E">
      <w:pPr>
        <w:pStyle w:val="Numbered111"/>
      </w:pPr>
      <w:r w:rsidRPr="00BA56A1">
        <w:t>derive the relative value for money of the charges payable for the Comparable Services using the Equivalent Services Data and from that derive the Upper Quartile;</w:t>
      </w:r>
    </w:p>
    <w:p w14:paraId="26DD9EC1" w14:textId="77777777" w:rsidR="00F67E9E" w:rsidRPr="00BA56A1" w:rsidRDefault="00F67E9E" w:rsidP="00F67E9E">
      <w:pPr>
        <w:pStyle w:val="Numbered111"/>
      </w:pPr>
      <w:r w:rsidRPr="00BA56A1">
        <w:t>derive the median service levels relating to the Comparable Services using the Equivalent Services Data;</w:t>
      </w:r>
    </w:p>
    <w:p w14:paraId="1F202609" w14:textId="77777777" w:rsidR="00F67E9E" w:rsidRPr="00BA56A1" w:rsidRDefault="00F67E9E" w:rsidP="00F67E9E">
      <w:pPr>
        <w:pStyle w:val="Numbered111"/>
      </w:pPr>
      <w:r w:rsidRPr="00BA56A1">
        <w:t xml:space="preserve">compare the value for money of the Charges attributable to the Benchmarked Services (having regard in particular to the applicable Performance Indicators and Target </w:t>
      </w:r>
      <w:r w:rsidRPr="00323A2D">
        <w:t>Performance</w:t>
      </w:r>
      <w:r w:rsidRPr="00BA56A1">
        <w:t xml:space="preserve"> Levels) to the value for money of the Upper Quartile;</w:t>
      </w:r>
    </w:p>
    <w:p w14:paraId="2F5FEB88" w14:textId="77777777" w:rsidR="00F67E9E" w:rsidRPr="00BA56A1" w:rsidRDefault="00F67E9E" w:rsidP="00F67E9E">
      <w:pPr>
        <w:pStyle w:val="Numbered111"/>
      </w:pPr>
      <w:r w:rsidRPr="00BA56A1">
        <w:t xml:space="preserve">compare the Performance Indicators and Target </w:t>
      </w:r>
      <w:r w:rsidRPr="00323A2D">
        <w:t>Performance</w:t>
      </w:r>
      <w:r w:rsidRPr="00BA56A1">
        <w:t xml:space="preserve"> Levels attributable to the Benchmarked Services (having regard to the Charges and Service Credits) with the median service levels using the Equivalent Services Data; and</w:t>
      </w:r>
    </w:p>
    <w:p w14:paraId="0DDB8618" w14:textId="77777777" w:rsidR="00F67E9E" w:rsidRPr="00BA56A1" w:rsidRDefault="00F67E9E" w:rsidP="00F67E9E">
      <w:pPr>
        <w:pStyle w:val="Numbered111"/>
      </w:pPr>
      <w:r w:rsidRPr="00BA56A1">
        <w:t>determine whether or not each Benchmarked Service is and/or the Benchmarked Services as a whole are, Good Value.</w:t>
      </w:r>
    </w:p>
    <w:p w14:paraId="39B3F759" w14:textId="77777777" w:rsidR="00F67E9E" w:rsidRPr="00BA56A1" w:rsidRDefault="00F67E9E" w:rsidP="00F67E9E">
      <w:pPr>
        <w:pStyle w:val="Numbered11"/>
      </w:pPr>
      <w:bookmarkStart w:id="1309" w:name="_Ref_ContractCompanion_9kb9Us29F"/>
      <w:bookmarkStart w:id="1310" w:name="_9kR3WTrAG96DLJLlRjE9srmxrx8w4JAtyA7xCHE"/>
      <w:r w:rsidRPr="00BA56A1">
        <w:t>The Benchmarker shall have regard to the following matters when performing a comparative assessment of a Benchmarked Service and a Comparable Service in order to derive Equivalent Services Data:</w:t>
      </w:r>
      <w:bookmarkEnd w:id="1309"/>
      <w:bookmarkEnd w:id="1310"/>
    </w:p>
    <w:p w14:paraId="4824E6C0" w14:textId="77777777" w:rsidR="00F67E9E" w:rsidRPr="00BA56A1" w:rsidRDefault="00F67E9E" w:rsidP="00F67E9E">
      <w:pPr>
        <w:pStyle w:val="Numbered111"/>
      </w:pPr>
      <w:r w:rsidRPr="00BA56A1">
        <w:t>the contractual and business environment under which the Services are being provided (including the scope, scale, complexity and geographical spread of the Services);</w:t>
      </w:r>
    </w:p>
    <w:p w14:paraId="4AB53049" w14:textId="77777777" w:rsidR="00F67E9E" w:rsidRPr="00BA56A1" w:rsidRDefault="00F67E9E" w:rsidP="00F67E9E">
      <w:pPr>
        <w:pStyle w:val="Numbered111"/>
      </w:pPr>
      <w:r w:rsidRPr="00BA56A1">
        <w:t>any front-end investment and development costs of the Supplier;</w:t>
      </w:r>
    </w:p>
    <w:p w14:paraId="240A46E0" w14:textId="77777777" w:rsidR="00F67E9E" w:rsidRPr="00BA56A1" w:rsidRDefault="00F67E9E" w:rsidP="00F67E9E">
      <w:pPr>
        <w:pStyle w:val="Numbered111"/>
      </w:pPr>
      <w:r w:rsidRPr="00BA56A1">
        <w:t>the Supplier</w:t>
      </w:r>
      <w:r>
        <w:t>’</w:t>
      </w:r>
      <w:r w:rsidRPr="00BA56A1">
        <w:t>s risk profile including the financial, performance or liability risks associated with the provision of the Services as a whole;</w:t>
      </w:r>
    </w:p>
    <w:p w14:paraId="394DB77F" w14:textId="77777777" w:rsidR="00F67E9E" w:rsidRPr="00BA56A1" w:rsidRDefault="00F67E9E" w:rsidP="00F67E9E">
      <w:pPr>
        <w:pStyle w:val="Numbered111"/>
      </w:pPr>
      <w:r w:rsidRPr="00BA56A1">
        <w:t>the extent of the Supplier</w:t>
      </w:r>
      <w:r>
        <w:t>’</w:t>
      </w:r>
      <w:r w:rsidRPr="00BA56A1">
        <w:t xml:space="preserve">s management and contract governance responsibilities; </w:t>
      </w:r>
    </w:p>
    <w:p w14:paraId="75855ED9" w14:textId="77777777" w:rsidR="00F67E9E" w:rsidRPr="00BA56A1" w:rsidRDefault="00F67E9E" w:rsidP="00F67E9E">
      <w:pPr>
        <w:pStyle w:val="Numbered111"/>
      </w:pPr>
      <w:r w:rsidRPr="00BA56A1">
        <w:t>any other reasonable factors demonstrated by the Supplier, which, if not taken into consideration, could unfairly cause the Supplier</w:t>
      </w:r>
      <w:r>
        <w:t>’</w:t>
      </w:r>
      <w:r w:rsidRPr="00BA56A1">
        <w:t>s pricing to appear non-competitive (such as erroneous costing, non-sustainable behaviour including excessive consumption of energy or over-aggressive pricing).</w:t>
      </w:r>
    </w:p>
    <w:p w14:paraId="18949143" w14:textId="77777777" w:rsidR="00F67E9E" w:rsidRPr="00BA56A1" w:rsidRDefault="00F67E9E" w:rsidP="00F67E9E">
      <w:pPr>
        <w:pStyle w:val="Numbered1"/>
      </w:pPr>
      <w:bookmarkStart w:id="1311" w:name="_Ref_ContractCompanion_9kb9Ur7EE"/>
      <w:r w:rsidRPr="00BA56A1">
        <w:t>Benchmark Report</w:t>
      </w:r>
      <w:bookmarkEnd w:id="1311"/>
    </w:p>
    <w:p w14:paraId="16957682" w14:textId="5BD7B46D" w:rsidR="00F67E9E" w:rsidRPr="00BA56A1" w:rsidRDefault="00F67E9E" w:rsidP="00F67E9E">
      <w:pPr>
        <w:pStyle w:val="Numbered11"/>
      </w:pPr>
      <w:r w:rsidRPr="00BA56A1">
        <w:t xml:space="preserve">The Benchmarker shall be required to prepare a Benchmark Report and deliver it simultaneously to both Parties, at the time specified in the plan approved under </w:t>
      </w:r>
      <w:bookmarkStart w:id="1312" w:name="_9kMHG5YVtCIB8HNPEyq1QScbJxy30v"/>
      <w:r w:rsidRPr="00BA56A1">
        <w:t xml:space="preserve">Paragraph </w:t>
      </w:r>
      <w:r w:rsidRPr="00BA56A1">
        <w:fldChar w:fldCharType="begin"/>
      </w:r>
      <w:r w:rsidRPr="00BA56A1">
        <w:instrText xml:space="preserve"> REF _Ref_ContractCompanion_9kb9Us2BF \w \n \h \t \* MERGEFORMAT </w:instrText>
      </w:r>
      <w:r w:rsidRPr="00BA56A1">
        <w:fldChar w:fldCharType="separate"/>
      </w:r>
      <w:r w:rsidR="00302D39">
        <w:t>4</w:t>
      </w:r>
      <w:r w:rsidRPr="00BA56A1">
        <w:fldChar w:fldCharType="end"/>
      </w:r>
      <w:bookmarkEnd w:id="1312"/>
      <w:r w:rsidRPr="00BA56A1">
        <w:t>, setting out its findings.</w:t>
      </w:r>
      <w:r>
        <w:t xml:space="preserve"> </w:t>
      </w:r>
      <w:r w:rsidRPr="00BA56A1">
        <w:t>The Benchmark Report shall:</w:t>
      </w:r>
    </w:p>
    <w:p w14:paraId="7EF0116B" w14:textId="77777777" w:rsidR="00F67E9E" w:rsidRPr="000A7B06" w:rsidRDefault="00F67E9E" w:rsidP="00F67E9E">
      <w:pPr>
        <w:pStyle w:val="Numbered111"/>
      </w:pPr>
      <w:r w:rsidRPr="00BA56A1">
        <w:t xml:space="preserve">include a finding as to whether or not each Benchmarked Service is and/or </w:t>
      </w:r>
      <w:r w:rsidRPr="000A7B06">
        <w:t>whether the Benchmarked Services as a whole are, Good Value;</w:t>
      </w:r>
    </w:p>
    <w:p w14:paraId="5AD93EEA" w14:textId="77777777" w:rsidR="00F67E9E" w:rsidRPr="000A7B06" w:rsidRDefault="00F67E9E" w:rsidP="00F67E9E">
      <w:pPr>
        <w:pStyle w:val="Numbered111"/>
      </w:pPr>
      <w:r w:rsidRPr="000A7B06">
        <w:t xml:space="preserve">include other findings (if any) regarding the quality and competitiveness or otherwise of those Services; </w:t>
      </w:r>
    </w:p>
    <w:p w14:paraId="5B4F7963" w14:textId="77777777" w:rsidR="00F67E9E" w:rsidRPr="000A7B06" w:rsidRDefault="00F67E9E" w:rsidP="00F67E9E">
      <w:pPr>
        <w:pStyle w:val="Numbered111"/>
      </w:pPr>
      <w:r w:rsidRPr="000A7B06">
        <w:t>if any Benchmarked Service is not Good Value, or the Benchmarked Services as a whole are not Good Value, specify the changes that would be required to the Charges, Performance Indicators and/or Target Performance Levels, that would be required to make that Benchmarked Service or those Benchmarked Services as a whole Good Value; and</w:t>
      </w:r>
    </w:p>
    <w:p w14:paraId="12F0B7C4" w14:textId="77777777" w:rsidR="00F67E9E" w:rsidRPr="00BA56A1" w:rsidRDefault="00F67E9E" w:rsidP="00F67E9E">
      <w:pPr>
        <w:pStyle w:val="Numbered111"/>
      </w:pPr>
      <w:r w:rsidRPr="000A7B06">
        <w:t>illustrate</w:t>
      </w:r>
      <w:r w:rsidRPr="00BA56A1">
        <w:t xml:space="preserve"> the method used for any normalisation of the Equivalent Services Data</w:t>
      </w:r>
    </w:p>
    <w:p w14:paraId="37C683CA" w14:textId="77777777" w:rsidR="00F67E9E" w:rsidRPr="00BA56A1" w:rsidRDefault="00F67E9E" w:rsidP="00F67E9E">
      <w:pPr>
        <w:pStyle w:val="Numbered11"/>
      </w:pPr>
      <w:r w:rsidRPr="00BA56A1">
        <w:t>The Benchmarker shall act as an expert and not as an arbitrator.</w:t>
      </w:r>
    </w:p>
    <w:p w14:paraId="55BAAEF4" w14:textId="1B3BF84B" w:rsidR="00F67E9E" w:rsidRPr="00BA56A1" w:rsidRDefault="00F67E9E" w:rsidP="00F67E9E">
      <w:pPr>
        <w:pStyle w:val="Numbered11"/>
      </w:pPr>
      <w:bookmarkStart w:id="1313" w:name="_9kR3WTrAG977BHGUEwzlGButoztzAla5GJPRSBC"/>
      <w:bookmarkStart w:id="1314" w:name="_Ref_ContractCompanion_9kb9Us335"/>
      <w:r w:rsidRPr="00BA56A1">
        <w:t xml:space="preserve">If the Benchmark Report states that any Benchmarked Service is not Good Value or that the Benchmarked Services as a whole are not Good Value, then the Supplier shall (subject to </w:t>
      </w:r>
      <w:bookmarkStart w:id="1315" w:name="_9kMHG5YVtCIB8HQNKjTlXiC85zt3I9sx90uy8OK"/>
      <w:r w:rsidRPr="00BA56A1">
        <w:t xml:space="preserve">Paragraphs </w:t>
      </w:r>
      <w:r w:rsidRPr="00BA56A1">
        <w:fldChar w:fldCharType="begin"/>
      </w:r>
      <w:r w:rsidRPr="00BA56A1">
        <w:instrText xml:space="preserve"> REF _Ref_ContractCompanion_9kb9Us2BI \n \h \t \* MERGEFORMAT </w:instrText>
      </w:r>
      <w:r w:rsidRPr="00BA56A1">
        <w:fldChar w:fldCharType="separate"/>
      </w:r>
      <w:r w:rsidR="00302D39">
        <w:t>5.5</w:t>
      </w:r>
      <w:r w:rsidRPr="00BA56A1">
        <w:fldChar w:fldCharType="end"/>
      </w:r>
      <w:bookmarkEnd w:id="1315"/>
      <w:r w:rsidRPr="00BA56A1">
        <w:t xml:space="preserve"> and </w:t>
      </w:r>
      <w:bookmarkStart w:id="1316" w:name="_9kMHG5YVtCIB99AGLkTlXiC85zt3I9sx9CGNBxB"/>
      <w:r w:rsidRPr="00BA56A1">
        <w:fldChar w:fldCharType="begin"/>
      </w:r>
      <w:r w:rsidRPr="00BA56A1">
        <w:instrText xml:space="preserve"> REF _Ref_ContractCompanion_9kb9Us332 \n \h \t \* MERGEFORMAT </w:instrText>
      </w:r>
      <w:r w:rsidRPr="00BA56A1">
        <w:fldChar w:fldCharType="separate"/>
      </w:r>
      <w:r w:rsidR="00302D39">
        <w:t>5.6</w:t>
      </w:r>
      <w:r w:rsidRPr="00BA56A1">
        <w:fldChar w:fldCharType="end"/>
      </w:r>
      <w:bookmarkEnd w:id="1316"/>
      <w:r w:rsidRPr="00BA56A1">
        <w:t>) implement the changes set out in the Benchmark Report as soon as reasonably practicable within timescales agreed with the Authority but in any event within no more than 3 months.</w:t>
      </w:r>
      <w:bookmarkEnd w:id="1313"/>
      <w:r w:rsidRPr="00BA56A1">
        <w:t xml:space="preserve"> Any associated changes to the Charges shall take effect only from the same date and shall not be retrospective.</w:t>
      </w:r>
      <w:bookmarkEnd w:id="1314"/>
    </w:p>
    <w:p w14:paraId="75D6A6EC" w14:textId="77777777" w:rsidR="00F67E9E" w:rsidRPr="00BA56A1" w:rsidRDefault="00F67E9E" w:rsidP="00F67E9E">
      <w:pPr>
        <w:pStyle w:val="Numbered11"/>
      </w:pPr>
      <w:r w:rsidRPr="00BA56A1">
        <w:t>The Supplier acknowledges and agrees that Benchmark Reviews shall not result in any increase to the Charges, disapplication of the Performance Indicators or any reduction in the Target Performance Levels.</w:t>
      </w:r>
    </w:p>
    <w:p w14:paraId="46CE953C" w14:textId="77777777" w:rsidR="00F67E9E" w:rsidRPr="00BA56A1" w:rsidRDefault="00F67E9E" w:rsidP="00F67E9E">
      <w:pPr>
        <w:pStyle w:val="Numbered11"/>
      </w:pPr>
      <w:bookmarkStart w:id="1317" w:name="_Ref_ContractCompanion_9kb9Us2BI"/>
      <w:bookmarkStart w:id="1318" w:name="_9kR3WTrAG96FOLIhRjVgA63xr1G7qv7ysw6MIJN"/>
      <w:r w:rsidRPr="00BA56A1">
        <w:t>The Supplier shall be entitled to reject any Benchmark Report if the Supplier reasonably considers that the Benchmarker has not followed the procedure for the related Benchmark Review as set out in this Schedule in any material respect.</w:t>
      </w:r>
      <w:bookmarkEnd w:id="1317"/>
      <w:bookmarkEnd w:id="1318"/>
    </w:p>
    <w:p w14:paraId="7E3FEF0B" w14:textId="77777777" w:rsidR="00F67E9E" w:rsidRPr="00BA56A1" w:rsidRDefault="00F67E9E" w:rsidP="00F67E9E">
      <w:pPr>
        <w:pStyle w:val="Numbered11"/>
      </w:pPr>
      <w:bookmarkStart w:id="1319" w:name="_9kR3WTrAG9778EJiRjVgA63xr1G7qv7AEL9v975"/>
      <w:bookmarkStart w:id="1320" w:name="_Ref_ContractCompanion_9kb9Us332"/>
      <w:r w:rsidRPr="00BA56A1">
        <w:t>The Supplier shall not be obliged to implement any Benchmark Report to the extent this would cause the Supplier to provide the Services at a loss (as determined, by reference to the Financial Model), or to the extent the Supplier cannot technically implement the recommended changes.</w:t>
      </w:r>
      <w:bookmarkEnd w:id="1319"/>
      <w:r w:rsidRPr="00BA56A1">
        <w:t xml:space="preserve"> </w:t>
      </w:r>
      <w:bookmarkEnd w:id="1320"/>
    </w:p>
    <w:p w14:paraId="75C26770" w14:textId="2B3CC295" w:rsidR="00F67E9E" w:rsidRPr="00BA56A1" w:rsidRDefault="00F67E9E" w:rsidP="00F67E9E">
      <w:pPr>
        <w:pStyle w:val="Numbered11"/>
      </w:pPr>
      <w:bookmarkStart w:id="1321" w:name="_9kR3WTrAG977EKKYM4zlj12vBD0nwLmRDLOTEwA"/>
      <w:bookmarkStart w:id="1322" w:name="_Ref_ContractCompanion_9kb9Us338"/>
      <w:r w:rsidRPr="00BA56A1">
        <w:t xml:space="preserve">In the event of any Dispute arising over whether the Benchmarker has followed the procedure for the related Benchmark Review under </w:t>
      </w:r>
      <w:bookmarkStart w:id="1323" w:name="_9kMIH5YVtCIB8HQNKjTlXiC85zt3I9sx90uy8OK"/>
      <w:r w:rsidRPr="00BA56A1">
        <w:t xml:space="preserve">Paragraph </w:t>
      </w:r>
      <w:r w:rsidRPr="00BA56A1">
        <w:fldChar w:fldCharType="begin"/>
      </w:r>
      <w:r w:rsidRPr="00BA56A1">
        <w:instrText xml:space="preserve"> REF _Ref_ContractCompanion_9kb9Us2BI \n \h \t \* MERGEFORMAT </w:instrText>
      </w:r>
      <w:r w:rsidRPr="00BA56A1">
        <w:fldChar w:fldCharType="separate"/>
      </w:r>
      <w:r w:rsidR="00302D39">
        <w:t>5.5</w:t>
      </w:r>
      <w:r w:rsidRPr="00BA56A1">
        <w:fldChar w:fldCharType="end"/>
      </w:r>
      <w:bookmarkEnd w:id="1323"/>
      <w:r w:rsidRPr="00BA56A1">
        <w:t xml:space="preserve"> and/or any matter referred to in </w:t>
      </w:r>
      <w:bookmarkStart w:id="1324" w:name="_9kMIH5YVtCIB99AGLkTlXiC85zt3I9sx9CGNBxB"/>
      <w:r w:rsidRPr="00BA56A1">
        <w:t xml:space="preserve">Paragraph </w:t>
      </w:r>
      <w:bookmarkEnd w:id="1324"/>
      <w:r w:rsidRPr="00BA56A1">
        <w:fldChar w:fldCharType="begin"/>
      </w:r>
      <w:r w:rsidRPr="00BA56A1">
        <w:instrText xml:space="preserve"> REF _9kR3WTrAG9778EJiRjVgA63xr1G7qv7AEL9v975 \w \h </w:instrText>
      </w:r>
      <w:r>
        <w:instrText xml:space="preserve"> \* MERGEFORMAT </w:instrText>
      </w:r>
      <w:r w:rsidRPr="00BA56A1">
        <w:fldChar w:fldCharType="separate"/>
      </w:r>
      <w:r w:rsidR="00302D39">
        <w:t>5.6</w:t>
      </w:r>
      <w:r w:rsidRPr="00BA56A1">
        <w:fldChar w:fldCharType="end"/>
      </w:r>
      <w:r w:rsidRPr="00BA56A1">
        <w:t>, the Dispute shall be referred to Expert Determination.</w:t>
      </w:r>
      <w:bookmarkEnd w:id="1321"/>
      <w:r w:rsidRPr="00BA56A1">
        <w:t xml:space="preserve"> For the avoidance of doubt in the event of a Dispute between the Parties, the Authority shall continue to pay the Charges to the Supplier in accordance with the terms of this Contract and the Performance Indicators and Target Performance Levels shall remain unchanged pending the conclusion of the Expert Determination.</w:t>
      </w:r>
      <w:bookmarkEnd w:id="1322"/>
    </w:p>
    <w:p w14:paraId="3E072A00" w14:textId="77777777" w:rsidR="00F67E9E" w:rsidRPr="00BA56A1" w:rsidRDefault="00F67E9E" w:rsidP="00F67E9E">
      <w:pPr>
        <w:pStyle w:val="Numbered11"/>
      </w:pPr>
      <w:bookmarkStart w:id="1325" w:name="_Ref_ContractCompanion_9kb9Us33B"/>
      <w:bookmarkStart w:id="1326" w:name="_9kR3WTrAG9788DLfSnp1qp8G528928BxVjR9CSp"/>
      <w:r w:rsidRPr="00BA56A1">
        <w:t>On conclusion of the Expert Determination:</w:t>
      </w:r>
      <w:bookmarkEnd w:id="1325"/>
      <w:bookmarkEnd w:id="1326"/>
    </w:p>
    <w:p w14:paraId="33E314A6" w14:textId="721FFF4A" w:rsidR="00F67E9E" w:rsidRPr="00BA56A1" w:rsidRDefault="00F67E9E" w:rsidP="00F67E9E">
      <w:pPr>
        <w:pStyle w:val="Numbered111"/>
      </w:pPr>
      <w:r w:rsidRPr="00BA56A1">
        <w:t>if the Expert determines that all or any part of the Benchmark Report recommendations regarding any reduction in the Charges shall be implemented by the Supplier, the Supplier shall immediately repay to the Authority the difference between the Charges paid by the Authority up to and including the date of the Expert</w:t>
      </w:r>
      <w:r>
        <w:t>’</w:t>
      </w:r>
      <w:r w:rsidRPr="00BA56A1">
        <w:t xml:space="preserve">s determination and the date upon which the recommended reduction in Charges should have originally taken effect pursuant to </w:t>
      </w:r>
      <w:bookmarkStart w:id="1327" w:name="_9kMHG5YVtCIB99DJIWGy1nIDwvq1v1Cnc7ILRTU"/>
      <w:r w:rsidRPr="00BA56A1">
        <w:t xml:space="preserve">Paragraph </w:t>
      </w:r>
      <w:bookmarkEnd w:id="1327"/>
      <w:r w:rsidRPr="00BA56A1">
        <w:fldChar w:fldCharType="begin"/>
      </w:r>
      <w:r w:rsidRPr="00BA56A1">
        <w:instrText xml:space="preserve"> REF _Ref_ContractCompanion_9kb9Us335 \w \h </w:instrText>
      </w:r>
      <w:r>
        <w:instrText xml:space="preserve"> \* MERGEFORMAT </w:instrText>
      </w:r>
      <w:r w:rsidRPr="00BA56A1">
        <w:fldChar w:fldCharType="separate"/>
      </w:r>
      <w:r w:rsidR="00302D39">
        <w:t>5.3</w:t>
      </w:r>
      <w:r w:rsidRPr="00BA56A1">
        <w:fldChar w:fldCharType="end"/>
      </w:r>
      <w:r w:rsidRPr="00BA56A1">
        <w:t xml:space="preserve"> together with interest thereon at the applicable rate under the Late Payment Of Commercial Debts (Interest) Act 1998; and</w:t>
      </w:r>
    </w:p>
    <w:p w14:paraId="299BE532" w14:textId="77777777" w:rsidR="00F67E9E" w:rsidRPr="00BA56A1" w:rsidRDefault="00F67E9E" w:rsidP="00F67E9E">
      <w:pPr>
        <w:pStyle w:val="Numbered111"/>
      </w:pPr>
      <w:r w:rsidRPr="00BA56A1">
        <w:t>if the Expert determines that all or any part of the Benchmark Report recommendations regarding any changes to the Performance Indicators and/or Target Performance Levels shall be implemented by the Supplier:</w:t>
      </w:r>
    </w:p>
    <w:p w14:paraId="5CB46E2D" w14:textId="77777777" w:rsidR="00F67E9E" w:rsidRPr="000A7B06" w:rsidRDefault="00F67E9E" w:rsidP="00F67E9E">
      <w:pPr>
        <w:pStyle w:val="Numbered111a"/>
      </w:pPr>
      <w:r w:rsidRPr="00BA56A1">
        <w:t xml:space="preserve">the </w:t>
      </w:r>
      <w:r w:rsidRPr="000A7B06">
        <w:t>Supplier shall immediately implement the relevant changes;</w:t>
      </w:r>
    </w:p>
    <w:p w14:paraId="10F3AB56" w14:textId="7D6F5FD8" w:rsidR="00F67E9E" w:rsidRPr="000A7B06" w:rsidRDefault="00F67E9E" w:rsidP="00F67E9E">
      <w:pPr>
        <w:pStyle w:val="Numbered111a"/>
      </w:pPr>
      <w:r w:rsidRPr="000A7B06">
        <w:t xml:space="preserve">the Supplier shall immediately pay an amount equal to any Service Credits which would have accrued up to and including the date of the Expert’s determination if the relevant changes had taken effect on the date determined pursuant to </w:t>
      </w:r>
      <w:bookmarkStart w:id="1328" w:name="_9kMIH5YVtCIB99DJIWGy1nIDwvq1v1Cnc7ILRTU"/>
      <w:r w:rsidRPr="000A7B06">
        <w:t xml:space="preserve">Paragraph </w:t>
      </w:r>
      <w:r w:rsidRPr="000A7B06">
        <w:fldChar w:fldCharType="begin"/>
      </w:r>
      <w:r w:rsidRPr="000A7B06">
        <w:instrText xml:space="preserve"> REF _Ref_ContractCompanion_9kb9Us335 \n \h \t \* MERGEFORMAT </w:instrText>
      </w:r>
      <w:r w:rsidRPr="000A7B06">
        <w:fldChar w:fldCharType="separate"/>
      </w:r>
      <w:r w:rsidR="00302D39">
        <w:t>5.3</w:t>
      </w:r>
      <w:r w:rsidRPr="000A7B06">
        <w:fldChar w:fldCharType="end"/>
      </w:r>
      <w:bookmarkEnd w:id="1328"/>
      <w:r w:rsidRPr="000A7B06">
        <w:t xml:space="preserve"> together with interest thereon at the applicable rate under the Late Payment Of Commercial Debts (Interest) Act 1998; and</w:t>
      </w:r>
    </w:p>
    <w:p w14:paraId="6F00C6CD" w14:textId="77777777" w:rsidR="00F67E9E" w:rsidRPr="00BA56A1" w:rsidRDefault="00F67E9E" w:rsidP="00F67E9E">
      <w:pPr>
        <w:pStyle w:val="Numbered111a"/>
      </w:pPr>
      <w:r w:rsidRPr="000A7B06">
        <w:t>the relevant changes shall thereafter be subject to the Change Control Procedure</w:t>
      </w:r>
      <w:r w:rsidRPr="00BA56A1">
        <w:t xml:space="preserve"> for the purposes of formalising and documenting the relevant change or amendment for the purposes of this Contract.</w:t>
      </w:r>
    </w:p>
    <w:p w14:paraId="0BD78808" w14:textId="3056F8E7" w:rsidR="00F67E9E" w:rsidRDefault="00F67E9E" w:rsidP="00F67E9E">
      <w:pPr>
        <w:pStyle w:val="Numbered11"/>
      </w:pPr>
      <w:bookmarkStart w:id="1329" w:name="_Ref44571810"/>
      <w:r w:rsidRPr="00BA56A1">
        <w:t xml:space="preserve">Any failure by the Supplier to implement the changes as set out in the Benchmark Report in accordance with the relevant timescales determined in accordance with </w:t>
      </w:r>
      <w:bookmarkStart w:id="1330" w:name="_9kMJI5YVtCIB99DJIWGy1nIDwvq1v1Cnc7ILRTU"/>
      <w:r w:rsidRPr="00BA56A1">
        <w:t xml:space="preserve">Paragraph </w:t>
      </w:r>
      <w:bookmarkEnd w:id="1330"/>
      <w:r w:rsidRPr="00BA56A1">
        <w:fldChar w:fldCharType="begin"/>
      </w:r>
      <w:r w:rsidRPr="00BA56A1">
        <w:instrText xml:space="preserve"> REF _Ref_ContractCompanion_9kb9Us335 \n \h \t \* MERGEFORMAT </w:instrText>
      </w:r>
      <w:r w:rsidRPr="00BA56A1">
        <w:fldChar w:fldCharType="separate"/>
      </w:r>
      <w:r w:rsidR="00302D39">
        <w:t>5.3</w:t>
      </w:r>
      <w:r w:rsidRPr="00BA56A1">
        <w:fldChar w:fldCharType="end"/>
      </w:r>
      <w:r w:rsidRPr="00BA56A1">
        <w:t xml:space="preserve"> (unless the provisions of </w:t>
      </w:r>
      <w:bookmarkStart w:id="1331" w:name="_9kMJI5YVtCIB99AGLkTlXiC85zt3I9sx9CGNBxB"/>
      <w:r w:rsidRPr="00BA56A1">
        <w:t xml:space="preserve">Paragraph </w:t>
      </w:r>
      <w:r w:rsidRPr="00BA56A1">
        <w:fldChar w:fldCharType="begin"/>
      </w:r>
      <w:r w:rsidRPr="00BA56A1">
        <w:instrText xml:space="preserve"> REF _Ref_ContractCompanion_9kb9Us332 \n \h \t \* MERGEFORMAT </w:instrText>
      </w:r>
      <w:r w:rsidRPr="00BA56A1">
        <w:fldChar w:fldCharType="separate"/>
      </w:r>
      <w:r w:rsidR="00302D39">
        <w:t>5.6</w:t>
      </w:r>
      <w:r w:rsidRPr="00BA56A1">
        <w:fldChar w:fldCharType="end"/>
      </w:r>
      <w:bookmarkEnd w:id="1331"/>
      <w:r w:rsidRPr="00BA56A1">
        <w:t xml:space="preserve"> and/or </w:t>
      </w:r>
      <w:bookmarkStart w:id="1332" w:name="_9kMHG5YVtCIB99GMMaO61nl34xDF2pyNoTFNQVG"/>
      <w:r w:rsidRPr="00BA56A1">
        <w:t xml:space="preserve">Paragraph </w:t>
      </w:r>
      <w:r w:rsidRPr="00BA56A1">
        <w:fldChar w:fldCharType="begin"/>
      </w:r>
      <w:r w:rsidRPr="00BA56A1">
        <w:instrText xml:space="preserve"> REF _Ref_ContractCompanion_9kb9Us338 \n \h \t \* MERGEFORMAT </w:instrText>
      </w:r>
      <w:r w:rsidRPr="00BA56A1">
        <w:fldChar w:fldCharType="separate"/>
      </w:r>
      <w:r w:rsidR="00302D39">
        <w:t>5.7</w:t>
      </w:r>
      <w:r w:rsidRPr="00BA56A1">
        <w:fldChar w:fldCharType="end"/>
      </w:r>
      <w:bookmarkEnd w:id="1332"/>
      <w:r w:rsidRPr="00BA56A1">
        <w:t xml:space="preserve"> apply) or in accordance with </w:t>
      </w:r>
      <w:bookmarkStart w:id="1333" w:name="_9kMHG5YVtCIB9AAFNhUpr3srAI74AB4ADzXlTBE"/>
      <w:r w:rsidRPr="00BA56A1">
        <w:t xml:space="preserve">Paragraph </w:t>
      </w:r>
      <w:bookmarkEnd w:id="1333"/>
      <w:r w:rsidRPr="00BA56A1">
        <w:fldChar w:fldCharType="begin"/>
      </w:r>
      <w:r w:rsidRPr="00BA56A1">
        <w:instrText xml:space="preserve"> REF _Ref_ContractCompanion_9kb9Us33B \w \h </w:instrText>
      </w:r>
      <w:r>
        <w:instrText xml:space="preserve"> \* MERGEFORMAT </w:instrText>
      </w:r>
      <w:r w:rsidRPr="00BA56A1">
        <w:fldChar w:fldCharType="separate"/>
      </w:r>
      <w:r w:rsidR="00302D39">
        <w:t>5.8</w:t>
      </w:r>
      <w:r w:rsidRPr="00BA56A1">
        <w:fldChar w:fldCharType="end"/>
      </w:r>
      <w:r w:rsidRPr="00BA56A1">
        <w:t xml:space="preserve"> shall, without </w:t>
      </w:r>
      <w:r w:rsidRPr="000A7B06">
        <w:t>prejudice</w:t>
      </w:r>
      <w:r w:rsidRPr="00BA56A1">
        <w:t xml:space="preserve"> to any other rights or remedies of the Authority, constitute a Supplier Termination Event.</w:t>
      </w:r>
      <w:bookmarkEnd w:id="1329"/>
    </w:p>
    <w:p w14:paraId="668A6190" w14:textId="77777777" w:rsidR="00F67E9E" w:rsidRDefault="00F67E9E" w:rsidP="00F67E9E"/>
    <w:p w14:paraId="65CDB62A" w14:textId="77777777" w:rsidR="00F67E9E" w:rsidRPr="005679CD" w:rsidRDefault="00F67E9E" w:rsidP="00F67E9E">
      <w:pPr>
        <w:pStyle w:val="Heading2"/>
        <w:pageBreakBefore/>
      </w:pPr>
      <w:bookmarkStart w:id="1334" w:name="_Ref_ContractCompanion_9kb9Ur7BD"/>
      <w:bookmarkStart w:id="1335" w:name="_Toc141711951"/>
      <w:r w:rsidRPr="00BA56A1">
        <w:t xml:space="preserve">Annex </w:t>
      </w:r>
      <w:bookmarkStart w:id="1336" w:name="ANNEX1_SCHEDULE17"/>
      <w:r w:rsidRPr="00BA56A1">
        <w:t>1</w:t>
      </w:r>
      <w:bookmarkEnd w:id="1336"/>
      <w:r w:rsidRPr="00BA56A1">
        <w:t>: Approved Benchmarkers</w:t>
      </w:r>
      <w:bookmarkEnd w:id="1334"/>
      <w:bookmarkEnd w:id="1335"/>
    </w:p>
    <w:p w14:paraId="1FD255D5" w14:textId="77777777" w:rsidR="00F67E9E" w:rsidRDefault="00F67E9E" w:rsidP="00F67E9E">
      <w:pPr>
        <w:rPr>
          <w:rFonts w:eastAsia="Times New Roman" w:cs="Arial"/>
          <w:szCs w:val="24"/>
          <w:lang w:eastAsia="en-GB"/>
        </w:rPr>
      </w:pPr>
    </w:p>
    <w:p w14:paraId="6333876C" w14:textId="77777777" w:rsidR="00F67E9E" w:rsidRDefault="00F67E9E" w:rsidP="00F67E9E">
      <w:pPr>
        <w:rPr>
          <w:rFonts w:eastAsia="Times New Roman" w:cs="Arial"/>
          <w:szCs w:val="24"/>
          <w:lang w:eastAsia="en-GB"/>
        </w:rPr>
      </w:pPr>
    </w:p>
    <w:p w14:paraId="4ADF192B" w14:textId="77777777" w:rsidR="00F67E9E" w:rsidRPr="005679CD" w:rsidRDefault="00F67E9E" w:rsidP="00F67E9E">
      <w:pPr>
        <w:pStyle w:val="Heading2"/>
        <w:pageBreakBefore/>
      </w:pPr>
      <w:bookmarkStart w:id="1337" w:name="_Ref41633301"/>
      <w:bookmarkStart w:id="1338" w:name="_Ref_ContractCompanion_9kb9Ur3BH"/>
      <w:bookmarkStart w:id="1339" w:name="_Ref_ContractCompanion_9kb9Us2AC"/>
      <w:bookmarkStart w:id="1340" w:name="_Toc141711952"/>
      <w:r w:rsidRPr="00BA56A1">
        <w:t xml:space="preserve">Annex </w:t>
      </w:r>
      <w:bookmarkStart w:id="1341" w:name="ANNEX2_SCHEDULE17"/>
      <w:r w:rsidRPr="00BA56A1">
        <w:t>2</w:t>
      </w:r>
      <w:bookmarkEnd w:id="1341"/>
      <w:r w:rsidRPr="00BA56A1">
        <w:t>: Confidentiality Agreement</w:t>
      </w:r>
      <w:bookmarkEnd w:id="1337"/>
      <w:bookmarkEnd w:id="1338"/>
      <w:bookmarkEnd w:id="1339"/>
      <w:bookmarkEnd w:id="1340"/>
    </w:p>
    <w:p w14:paraId="6BD565C7" w14:textId="77777777" w:rsidR="00F67E9E" w:rsidRPr="00BA56A1" w:rsidRDefault="00F67E9E" w:rsidP="00F67E9E"/>
    <w:p w14:paraId="74AE775B" w14:textId="77777777" w:rsidR="00F67E9E" w:rsidRPr="00064390" w:rsidRDefault="00F67E9E" w:rsidP="00F67E9E">
      <w:pPr>
        <w:pStyle w:val="BlankDocumentTitle"/>
        <w:rPr>
          <w:rFonts w:cs="Arial"/>
        </w:rPr>
      </w:pPr>
      <w:r w:rsidRPr="00BA56A1">
        <w:rPr>
          <w:rFonts w:cs="Arial"/>
        </w:rPr>
        <w:t>CONFIDENTIALITY AGREEMENT</w:t>
      </w:r>
    </w:p>
    <w:p w14:paraId="6425C5D5" w14:textId="77777777" w:rsidR="00F67E9E" w:rsidRPr="00064390" w:rsidRDefault="00F67E9E" w:rsidP="00F67E9E">
      <w:pPr>
        <w:pStyle w:val="StdBodyText"/>
        <w:rPr>
          <w:rFonts w:cs="Arial"/>
        </w:rPr>
      </w:pPr>
      <w:r w:rsidRPr="00BA56A1">
        <w:rPr>
          <w:rStyle w:val="StdBodyTextBoldChar"/>
          <w:rFonts w:cs="Arial"/>
        </w:rPr>
        <w:t>THIS AGREEMENT</w:t>
      </w:r>
      <w:r w:rsidRPr="00BA56A1">
        <w:rPr>
          <w:rFonts w:cs="Arial"/>
        </w:rPr>
        <w:t xml:space="preserve"> is</w:t>
      </w:r>
      <w:r w:rsidRPr="00064390">
        <w:rPr>
          <w:rFonts w:cs="Arial"/>
        </w:rPr>
        <w:t xml:space="preserve"> made on </w:t>
      </w:r>
      <w:r w:rsidRPr="00064390">
        <w:rPr>
          <w:rFonts w:cs="Arial"/>
          <w:highlight w:val="yellow"/>
        </w:rPr>
        <w:t>[</w:t>
      </w:r>
      <w:r w:rsidRPr="00AA5727">
        <w:rPr>
          <w:rFonts w:cs="Arial"/>
          <w:highlight w:val="yellow"/>
        </w:rPr>
        <w:t>date</w:t>
      </w:r>
      <w:r w:rsidRPr="00064390">
        <w:rPr>
          <w:rFonts w:cs="Arial"/>
          <w:highlight w:val="yellow"/>
        </w:rPr>
        <w:t>]</w:t>
      </w:r>
    </w:p>
    <w:p w14:paraId="18236C40" w14:textId="77777777" w:rsidR="00F67E9E" w:rsidRPr="00064390" w:rsidRDefault="00F67E9E" w:rsidP="00F67E9E">
      <w:pPr>
        <w:pStyle w:val="StdBodyTextBold"/>
        <w:rPr>
          <w:rFonts w:cs="Arial"/>
        </w:rPr>
      </w:pPr>
      <w:r w:rsidRPr="00064390">
        <w:rPr>
          <w:rFonts w:cs="Arial"/>
        </w:rPr>
        <w:t>BETWEEN:</w:t>
      </w:r>
    </w:p>
    <w:p w14:paraId="21FC8DFF" w14:textId="77777777" w:rsidR="00F67E9E" w:rsidRPr="00064390" w:rsidRDefault="00F67E9E" w:rsidP="00F67E9E">
      <w:pPr>
        <w:pStyle w:val="PartiesBodyText"/>
        <w:numPr>
          <w:ilvl w:val="0"/>
          <w:numId w:val="136"/>
        </w:numPr>
        <w:tabs>
          <w:tab w:val="clear" w:pos="720"/>
          <w:tab w:val="num" w:pos="1080"/>
        </w:tabs>
      </w:pPr>
      <w:r w:rsidRPr="00B73DD6">
        <w:rPr>
          <w:rStyle w:val="StdBodyTextBoldChar"/>
          <w:rFonts w:cs="Arial"/>
          <w:bCs/>
          <w:highlight w:val="yellow"/>
        </w:rPr>
        <w:t>[insert</w:t>
      </w:r>
      <w:r w:rsidRPr="00E5161E">
        <w:rPr>
          <w:rStyle w:val="StdBodyTextBoldChar"/>
          <w:rFonts w:cs="Arial"/>
          <w:b w:val="0"/>
          <w:bCs/>
          <w:iCs/>
          <w:highlight w:val="yellow"/>
        </w:rPr>
        <w:t xml:space="preserve"> name</w:t>
      </w:r>
      <w:r w:rsidRPr="00E5161E">
        <w:rPr>
          <w:rStyle w:val="StdBodyTextBoldChar"/>
          <w:rFonts w:cs="Arial"/>
          <w:b w:val="0"/>
          <w:bCs/>
          <w:highlight w:val="yellow"/>
        </w:rPr>
        <w:t>]</w:t>
      </w:r>
      <w:r w:rsidRPr="00064390">
        <w:t xml:space="preserve"> of </w:t>
      </w:r>
      <w:r w:rsidRPr="00B73DD6">
        <w:rPr>
          <w:b/>
          <w:highlight w:val="yellow"/>
        </w:rPr>
        <w:t>[insert</w:t>
      </w:r>
      <w:r w:rsidRPr="00E5161E">
        <w:rPr>
          <w:rStyle w:val="StdBodyTextBoldChar"/>
          <w:rFonts w:cs="Arial"/>
          <w:b w:val="0"/>
          <w:bCs/>
          <w:iCs/>
          <w:highlight w:val="yellow"/>
        </w:rPr>
        <w:t xml:space="preserve"> address</w:t>
      </w:r>
      <w:r w:rsidRPr="00E5161E">
        <w:rPr>
          <w:highlight w:val="yellow"/>
        </w:rPr>
        <w:t>]</w:t>
      </w:r>
      <w:r w:rsidRPr="00064390">
        <w:t xml:space="preserve"> (the </w:t>
      </w:r>
      <w:r>
        <w:t>“</w:t>
      </w:r>
      <w:r w:rsidRPr="00E5161E">
        <w:rPr>
          <w:rStyle w:val="StdBodyTextBoldChar"/>
          <w:rFonts w:cs="Arial"/>
        </w:rPr>
        <w:t>Supplier</w:t>
      </w:r>
      <w:r>
        <w:t>”</w:t>
      </w:r>
      <w:r w:rsidRPr="00064390">
        <w:t>); and</w:t>
      </w:r>
    </w:p>
    <w:p w14:paraId="70E032B2" w14:textId="77777777" w:rsidR="00F67E9E" w:rsidRPr="00064390" w:rsidRDefault="00F67E9E" w:rsidP="00F67E9E">
      <w:pPr>
        <w:pStyle w:val="PartiesBodyText"/>
        <w:numPr>
          <w:ilvl w:val="0"/>
          <w:numId w:val="136"/>
        </w:numPr>
        <w:tabs>
          <w:tab w:val="clear" w:pos="720"/>
          <w:tab w:val="num" w:pos="1080"/>
        </w:tabs>
        <w:rPr>
          <w:rFonts w:cs="Arial"/>
        </w:rPr>
      </w:pPr>
      <w:r w:rsidRPr="00B73DD6">
        <w:rPr>
          <w:rStyle w:val="StdBodyTextBoldChar"/>
          <w:rFonts w:cs="Arial"/>
          <w:bCs/>
          <w:highlight w:val="yellow"/>
        </w:rPr>
        <w:t>[insert</w:t>
      </w:r>
      <w:r w:rsidRPr="008758E7">
        <w:rPr>
          <w:rStyle w:val="StdBodyTextBoldChar"/>
          <w:rFonts w:cs="Arial"/>
          <w:b w:val="0"/>
          <w:bCs/>
          <w:iCs/>
          <w:highlight w:val="yellow"/>
        </w:rPr>
        <w:t xml:space="preserve"> name</w:t>
      </w:r>
      <w:r w:rsidRPr="008758E7">
        <w:rPr>
          <w:rStyle w:val="StdBodyTextBoldChar"/>
          <w:rFonts w:cs="Arial"/>
          <w:b w:val="0"/>
          <w:bCs/>
          <w:highlight w:val="yellow"/>
        </w:rPr>
        <w:t>]</w:t>
      </w:r>
      <w:r w:rsidRPr="00064390">
        <w:rPr>
          <w:rFonts w:cs="Arial"/>
        </w:rPr>
        <w:t xml:space="preserve"> of </w:t>
      </w:r>
      <w:r w:rsidRPr="00B73DD6">
        <w:rPr>
          <w:rFonts w:cs="Arial"/>
          <w:b/>
          <w:highlight w:val="yellow"/>
        </w:rPr>
        <w:t>[insert</w:t>
      </w:r>
      <w:r w:rsidRPr="00AA5727">
        <w:rPr>
          <w:rStyle w:val="StdBodyTextBoldChar"/>
          <w:rFonts w:cs="Arial"/>
          <w:b w:val="0"/>
          <w:bCs/>
          <w:iCs/>
          <w:highlight w:val="yellow"/>
        </w:rPr>
        <w:t xml:space="preserve"> address</w:t>
      </w:r>
      <w:r w:rsidRPr="00064390">
        <w:rPr>
          <w:rFonts w:cs="Arial"/>
          <w:highlight w:val="yellow"/>
        </w:rPr>
        <w:t>]</w:t>
      </w:r>
      <w:r w:rsidRPr="00064390">
        <w:rPr>
          <w:rFonts w:cs="Arial"/>
        </w:rPr>
        <w:t xml:space="preserve"> (the </w:t>
      </w:r>
      <w:r>
        <w:rPr>
          <w:rFonts w:cs="Arial"/>
        </w:rPr>
        <w:t>“</w:t>
      </w:r>
      <w:r w:rsidRPr="00064390">
        <w:rPr>
          <w:rStyle w:val="StdBodyTextBoldChar"/>
          <w:rFonts w:cs="Arial"/>
        </w:rPr>
        <w:t>Benchmarker</w:t>
      </w:r>
      <w:r>
        <w:rPr>
          <w:rFonts w:cs="Arial"/>
        </w:rPr>
        <w:t>”</w:t>
      </w:r>
      <w:r w:rsidRPr="00064390">
        <w:rPr>
          <w:rFonts w:cs="Arial"/>
        </w:rPr>
        <w:t xml:space="preserve"> and together with the Supplier, the </w:t>
      </w:r>
      <w:r>
        <w:rPr>
          <w:rFonts w:cs="Arial"/>
        </w:rPr>
        <w:t>“</w:t>
      </w:r>
      <w:r w:rsidRPr="00064390">
        <w:rPr>
          <w:rStyle w:val="StdBodyTextBoldChar"/>
          <w:rFonts w:cs="Arial"/>
        </w:rPr>
        <w:t>Parties</w:t>
      </w:r>
      <w:r>
        <w:rPr>
          <w:rFonts w:cs="Arial"/>
        </w:rPr>
        <w:t>”</w:t>
      </w:r>
      <w:r w:rsidRPr="00064390">
        <w:rPr>
          <w:rFonts w:cs="Arial"/>
        </w:rPr>
        <w:t>).</w:t>
      </w:r>
    </w:p>
    <w:p w14:paraId="6405C64E" w14:textId="77777777" w:rsidR="00F67E9E" w:rsidRPr="00064390" w:rsidRDefault="00F67E9E" w:rsidP="00F67E9E">
      <w:pPr>
        <w:pStyle w:val="StdBodyTextBold"/>
        <w:rPr>
          <w:rFonts w:cs="Arial"/>
        </w:rPr>
      </w:pPr>
      <w:r w:rsidRPr="00064390">
        <w:rPr>
          <w:rFonts w:cs="Arial"/>
        </w:rPr>
        <w:t>WHEREAS:</w:t>
      </w:r>
    </w:p>
    <w:p w14:paraId="4C95910D" w14:textId="77777777" w:rsidR="00F67E9E" w:rsidRPr="00064390" w:rsidRDefault="00F67E9E" w:rsidP="00F67E9E">
      <w:pPr>
        <w:spacing w:before="100" w:after="200"/>
        <w:ind w:left="720" w:hanging="720"/>
        <w:rPr>
          <w:rFonts w:cs="Arial"/>
        </w:rPr>
      </w:pPr>
      <w:r w:rsidRPr="008E5BE2">
        <w:rPr>
          <w:rFonts w:cs="Arial"/>
        </w:rPr>
        <w:t>(A)</w:t>
      </w:r>
      <w:r w:rsidRPr="008E5BE2">
        <w:rPr>
          <w:rFonts w:cs="Arial"/>
        </w:rPr>
        <w:tab/>
      </w:r>
      <w:r w:rsidRPr="00B73DD6">
        <w:rPr>
          <w:rFonts w:cs="Arial"/>
          <w:b/>
          <w:highlight w:val="yellow"/>
        </w:rPr>
        <w:t>[insert</w:t>
      </w:r>
      <w:r w:rsidRPr="00064390">
        <w:rPr>
          <w:rFonts w:cs="Arial"/>
          <w:highlight w:val="yellow"/>
        </w:rPr>
        <w:t xml:space="preserve"> name of Authority]</w:t>
      </w:r>
      <w:r w:rsidRPr="00064390">
        <w:rPr>
          <w:rFonts w:cs="Arial"/>
        </w:rPr>
        <w:t xml:space="preserve"> (the </w:t>
      </w:r>
      <w:r>
        <w:rPr>
          <w:rFonts w:cs="Arial"/>
        </w:rPr>
        <w:t>“</w:t>
      </w:r>
      <w:r w:rsidRPr="00064390">
        <w:rPr>
          <w:rStyle w:val="StdBodyTextBoldChar"/>
          <w:rFonts w:eastAsiaTheme="minorHAnsi" w:cs="Arial"/>
        </w:rPr>
        <w:t>Authority</w:t>
      </w:r>
      <w:r>
        <w:rPr>
          <w:rFonts w:cs="Arial"/>
        </w:rPr>
        <w:t>”</w:t>
      </w:r>
      <w:r w:rsidRPr="00064390">
        <w:rPr>
          <w:rFonts w:cs="Arial"/>
        </w:rPr>
        <w:t xml:space="preserve">) and the Supplier are party to a </w:t>
      </w:r>
      <w:r w:rsidRPr="00BA56A1">
        <w:rPr>
          <w:rFonts w:cs="Arial"/>
        </w:rPr>
        <w:t>contract dated</w:t>
      </w:r>
      <w:r w:rsidRPr="00064390">
        <w:rPr>
          <w:rFonts w:cs="Arial"/>
        </w:rPr>
        <w:t xml:space="preserve"> </w:t>
      </w:r>
      <w:r w:rsidRPr="00B73DD6">
        <w:rPr>
          <w:rFonts w:cs="Arial"/>
          <w:b/>
          <w:highlight w:val="yellow"/>
        </w:rPr>
        <w:t>[insert</w:t>
      </w:r>
      <w:r w:rsidRPr="00064390">
        <w:rPr>
          <w:rFonts w:cs="Arial"/>
          <w:highlight w:val="yellow"/>
        </w:rPr>
        <w:t xml:space="preserve"> date]</w:t>
      </w:r>
      <w:r w:rsidRPr="00064390">
        <w:rPr>
          <w:rFonts w:cs="Arial"/>
        </w:rPr>
        <w:t xml:space="preserve"> (</w:t>
      </w:r>
      <w:r w:rsidRPr="00BA56A1">
        <w:rPr>
          <w:rFonts w:cs="Arial"/>
        </w:rPr>
        <w:t xml:space="preserve">the </w:t>
      </w:r>
      <w:r>
        <w:rPr>
          <w:rFonts w:cs="Arial"/>
        </w:rPr>
        <w:t>“</w:t>
      </w:r>
      <w:r w:rsidRPr="00BA56A1">
        <w:rPr>
          <w:rStyle w:val="StdBodyTextBoldChar"/>
          <w:rFonts w:eastAsiaTheme="minorHAnsi" w:cs="Arial"/>
        </w:rPr>
        <w:t>Contract</w:t>
      </w:r>
      <w:r>
        <w:rPr>
          <w:rFonts w:cs="Arial"/>
        </w:rPr>
        <w:t>”</w:t>
      </w:r>
      <w:r w:rsidRPr="00BA56A1">
        <w:rPr>
          <w:rFonts w:cs="Arial"/>
        </w:rPr>
        <w:t>) for the</w:t>
      </w:r>
      <w:r w:rsidRPr="00064390">
        <w:rPr>
          <w:rFonts w:cs="Arial"/>
        </w:rPr>
        <w:t xml:space="preserve"> provision by the Supplier of </w:t>
      </w:r>
      <w:r w:rsidRPr="00B73DD6">
        <w:rPr>
          <w:rFonts w:cs="Arial"/>
          <w:b/>
          <w:highlight w:val="yellow"/>
        </w:rPr>
        <w:t>[insert</w:t>
      </w:r>
      <w:r w:rsidRPr="00064390">
        <w:rPr>
          <w:rFonts w:cs="Arial"/>
          <w:highlight w:val="yellow"/>
        </w:rPr>
        <w:t xml:space="preserve"> brief description of services]</w:t>
      </w:r>
      <w:r w:rsidRPr="00064390">
        <w:rPr>
          <w:rFonts w:cs="Arial"/>
        </w:rPr>
        <w:t xml:space="preserve"> to the Authority.</w:t>
      </w:r>
    </w:p>
    <w:p w14:paraId="20EA7D16" w14:textId="77777777" w:rsidR="00F67E9E" w:rsidRPr="00BA56A1" w:rsidRDefault="00F67E9E" w:rsidP="00F67E9E">
      <w:pPr>
        <w:spacing w:before="100" w:after="200"/>
        <w:ind w:left="720" w:hanging="720"/>
        <w:rPr>
          <w:rFonts w:cs="Arial"/>
        </w:rPr>
      </w:pPr>
      <w:bookmarkStart w:id="1342" w:name="Schedule17RecitalB"/>
      <w:bookmarkStart w:id="1343" w:name="_Ref41994841"/>
      <w:r>
        <w:rPr>
          <w:rFonts w:cs="Arial"/>
        </w:rPr>
        <w:t>(B)</w:t>
      </w:r>
      <w:bookmarkEnd w:id="1342"/>
      <w:r>
        <w:rPr>
          <w:rFonts w:cs="Arial"/>
        </w:rPr>
        <w:tab/>
      </w:r>
      <w:r w:rsidRPr="00BA56A1">
        <w:rPr>
          <w:rFonts w:cs="Arial"/>
        </w:rPr>
        <w:t xml:space="preserve">The Benchmarker is to receive Confidential Information from the Supplier for the purpose of carrying out a benchmarking review for the Authority of one or more of such services pursuant to the terms of the Contract (the </w:t>
      </w:r>
      <w:r>
        <w:rPr>
          <w:rFonts w:cs="Arial"/>
        </w:rPr>
        <w:t>“</w:t>
      </w:r>
      <w:r w:rsidRPr="00BA56A1">
        <w:rPr>
          <w:rStyle w:val="StdBodyTextBoldChar"/>
          <w:rFonts w:eastAsiaTheme="minorHAnsi" w:cs="Arial"/>
        </w:rPr>
        <w:t>Permitted</w:t>
      </w:r>
      <w:r w:rsidRPr="00BA56A1">
        <w:rPr>
          <w:rFonts w:cs="Arial"/>
        </w:rPr>
        <w:t xml:space="preserve"> </w:t>
      </w:r>
      <w:r w:rsidRPr="00BA56A1">
        <w:rPr>
          <w:rStyle w:val="StdBodyTextBoldChar"/>
          <w:rFonts w:eastAsiaTheme="minorHAnsi" w:cs="Arial"/>
        </w:rPr>
        <w:t>Purpose</w:t>
      </w:r>
      <w:r>
        <w:rPr>
          <w:rFonts w:cs="Arial"/>
        </w:rPr>
        <w:t>”</w:t>
      </w:r>
      <w:r w:rsidRPr="00BA56A1">
        <w:rPr>
          <w:rFonts w:cs="Arial"/>
        </w:rPr>
        <w:t>).</w:t>
      </w:r>
      <w:bookmarkEnd w:id="1343"/>
    </w:p>
    <w:p w14:paraId="5ECD74E8" w14:textId="77777777" w:rsidR="00F67E9E" w:rsidRPr="00BA56A1" w:rsidRDefault="00F67E9E" w:rsidP="00F67E9E">
      <w:pPr>
        <w:pStyle w:val="StdBodyTextBold"/>
        <w:rPr>
          <w:rFonts w:cs="Arial"/>
        </w:rPr>
      </w:pPr>
      <w:r w:rsidRPr="00BA56A1">
        <w:rPr>
          <w:rFonts w:cs="Arial"/>
        </w:rPr>
        <w:t>IT IS AGREED as follows:</w:t>
      </w:r>
    </w:p>
    <w:p w14:paraId="0B0ABFCD" w14:textId="77777777" w:rsidR="00F67E9E" w:rsidRPr="00BA56A1" w:rsidRDefault="00F67E9E" w:rsidP="00F67E9E">
      <w:pPr>
        <w:pStyle w:val="AppendixText1"/>
        <w:numPr>
          <w:ilvl w:val="0"/>
          <w:numId w:val="61"/>
        </w:numPr>
      </w:pPr>
      <w:bookmarkStart w:id="1344" w:name="_9kR3WTrAG978FPCwozOQXYSA21DE4745EAG"/>
      <w:r w:rsidRPr="00BA56A1">
        <w:t>Interpretation</w:t>
      </w:r>
      <w:bookmarkEnd w:id="1344"/>
    </w:p>
    <w:p w14:paraId="366CD4F2" w14:textId="77777777" w:rsidR="00F67E9E" w:rsidRPr="00BA56A1" w:rsidRDefault="00F67E9E" w:rsidP="00F67E9E">
      <w:pPr>
        <w:pStyle w:val="AppendixText2"/>
      </w:pPr>
      <w:r w:rsidRPr="00BA56A1">
        <w:t xml:space="preserve">In this </w:t>
      </w:r>
      <w:r w:rsidRPr="00980373">
        <w:t>Agreement</w:t>
      </w:r>
      <w:r w:rsidRPr="00BA56A1">
        <w:t xml:space="preserve">, unless the context otherwise requires: </w:t>
      </w:r>
    </w:p>
    <w:tbl>
      <w:tblPr>
        <w:tblStyle w:val="MSAdefinitions"/>
        <w:tblW w:w="9638" w:type="dxa"/>
        <w:tblLook w:val="04A0" w:firstRow="1" w:lastRow="0" w:firstColumn="1" w:lastColumn="0" w:noHBand="0" w:noVBand="1"/>
      </w:tblPr>
      <w:tblGrid>
        <w:gridCol w:w="2835"/>
        <w:gridCol w:w="6803"/>
      </w:tblGrid>
      <w:tr w:rsidR="00F67E9E" w:rsidRPr="00BA56A1" w14:paraId="2BFF57A7" w14:textId="77777777" w:rsidTr="007F74AA">
        <w:tc>
          <w:tcPr>
            <w:tcW w:w="2835" w:type="dxa"/>
          </w:tcPr>
          <w:p w14:paraId="0832079B" w14:textId="77777777" w:rsidR="00F67E9E" w:rsidRPr="00BA56A1" w:rsidRDefault="00F67E9E" w:rsidP="007F74AA">
            <w:pPr>
              <w:pStyle w:val="StdBodyTextBold"/>
              <w:rPr>
                <w:rFonts w:cs="Arial"/>
              </w:rPr>
            </w:pPr>
            <w:r>
              <w:rPr>
                <w:rFonts w:cs="Arial"/>
              </w:rPr>
              <w:t>“</w:t>
            </w:r>
            <w:r w:rsidRPr="00BA56A1">
              <w:rPr>
                <w:rFonts w:cs="Arial"/>
              </w:rPr>
              <w:t>Confidential Information</w:t>
            </w:r>
            <w:r>
              <w:rPr>
                <w:rFonts w:cs="Arial"/>
              </w:rPr>
              <w:t>”</w:t>
            </w:r>
          </w:p>
        </w:tc>
        <w:tc>
          <w:tcPr>
            <w:tcW w:w="6803" w:type="dxa"/>
          </w:tcPr>
          <w:p w14:paraId="025A87ED" w14:textId="77777777" w:rsidR="00F67E9E" w:rsidRPr="00BA56A1" w:rsidRDefault="00F67E9E" w:rsidP="007F74AA">
            <w:pPr>
              <w:pStyle w:val="StdBodyText"/>
              <w:rPr>
                <w:rFonts w:cs="Arial"/>
              </w:rPr>
            </w:pPr>
            <w:r w:rsidRPr="00BA56A1">
              <w:rPr>
                <w:rFonts w:cs="Arial"/>
              </w:rPr>
              <w:t>means:</w:t>
            </w:r>
          </w:p>
          <w:p w14:paraId="661D2E91" w14:textId="77777777" w:rsidR="00F67E9E" w:rsidRPr="00E5161E" w:rsidRDefault="00F67E9E" w:rsidP="007F74AA">
            <w:pPr>
              <w:pStyle w:val="DefinitionList"/>
              <w:numPr>
                <w:ilvl w:val="0"/>
                <w:numId w:val="137"/>
              </w:numPr>
              <w:rPr>
                <w:rFonts w:cs="Arial"/>
              </w:rPr>
            </w:pPr>
            <w:r w:rsidRPr="00E5161E">
              <w:rPr>
                <w:rFonts w:cs="Arial"/>
              </w:rPr>
              <w:t>Information, including all personal data within the meaning of the Data Protection Act 2018, and however it is conveyed, provided by the Supplier to the Benchmarker pursuant to this Agreement that relates to:</w:t>
            </w:r>
          </w:p>
          <w:p w14:paraId="0890559C" w14:textId="77777777" w:rsidR="00F67E9E" w:rsidRPr="00BA56A1" w:rsidRDefault="00F67E9E" w:rsidP="00F67E9E">
            <w:pPr>
              <w:pStyle w:val="DefinitionListLevel1"/>
              <w:numPr>
                <w:ilvl w:val="1"/>
                <w:numId w:val="108"/>
              </w:numPr>
              <w:ind w:left="1080"/>
              <w:rPr>
                <w:rFonts w:cs="Arial"/>
              </w:rPr>
            </w:pPr>
            <w:r w:rsidRPr="00BA56A1">
              <w:rPr>
                <w:rFonts w:cs="Arial"/>
              </w:rPr>
              <w:t>the Supplier; or</w:t>
            </w:r>
          </w:p>
          <w:p w14:paraId="2430FF7D" w14:textId="77777777" w:rsidR="00F67E9E" w:rsidRPr="00BA56A1" w:rsidRDefault="00F67E9E" w:rsidP="00F67E9E">
            <w:pPr>
              <w:pStyle w:val="DefinitionListLevel1"/>
              <w:numPr>
                <w:ilvl w:val="1"/>
                <w:numId w:val="108"/>
              </w:numPr>
              <w:ind w:left="1080"/>
              <w:rPr>
                <w:rFonts w:cs="Arial"/>
              </w:rPr>
            </w:pPr>
            <w:r w:rsidRPr="00BA56A1">
              <w:rPr>
                <w:rFonts w:cs="Arial"/>
              </w:rPr>
              <w:t>the operations, business, affairs, developments, intellectual property rights, trade secrets, know-how and/or personnel of the Supplier;</w:t>
            </w:r>
          </w:p>
          <w:p w14:paraId="06C632A2" w14:textId="77777777" w:rsidR="00F67E9E" w:rsidRPr="00BA56A1" w:rsidRDefault="00F67E9E" w:rsidP="007F74AA">
            <w:pPr>
              <w:pStyle w:val="DefinitionList"/>
              <w:numPr>
                <w:ilvl w:val="0"/>
                <w:numId w:val="137"/>
              </w:numPr>
              <w:rPr>
                <w:rFonts w:cs="Arial"/>
              </w:rPr>
            </w:pPr>
            <w:r w:rsidRPr="00BA56A1">
              <w:rPr>
                <w:rFonts w:cs="Arial"/>
              </w:rPr>
              <w:t>other Information provided by the Supplier pursuant to this Agreement to the Benchmarker that is clearly designated as being confidential or equivalent or that ought reasonably to be considered to be confidential which comes (or has come) to the Benchmarker</w:t>
            </w:r>
            <w:r>
              <w:rPr>
                <w:rFonts w:cs="Arial"/>
              </w:rPr>
              <w:t>’</w:t>
            </w:r>
            <w:r w:rsidRPr="00BA56A1">
              <w:rPr>
                <w:rFonts w:cs="Arial"/>
              </w:rPr>
              <w:t>s attention or into the Benchmarker</w:t>
            </w:r>
            <w:r>
              <w:rPr>
                <w:rFonts w:cs="Arial"/>
              </w:rPr>
              <w:t>’</w:t>
            </w:r>
            <w:r w:rsidRPr="00BA56A1">
              <w:rPr>
                <w:rFonts w:cs="Arial"/>
              </w:rPr>
              <w:t xml:space="preserve">s possession in connection with the Permitted Purpose; </w:t>
            </w:r>
          </w:p>
          <w:p w14:paraId="7C912A9E" w14:textId="77777777" w:rsidR="00F67E9E" w:rsidRPr="00BA56A1" w:rsidRDefault="00F67E9E" w:rsidP="007F74AA">
            <w:pPr>
              <w:pStyle w:val="DefinitionList"/>
              <w:numPr>
                <w:ilvl w:val="0"/>
                <w:numId w:val="137"/>
              </w:numPr>
              <w:rPr>
                <w:rFonts w:cs="Arial"/>
              </w:rPr>
            </w:pPr>
            <w:r w:rsidRPr="00BA56A1">
              <w:rPr>
                <w:rFonts w:cs="Arial"/>
              </w:rPr>
              <w:t>discussions, negotiations, and correspondence between the Supplier or any of its directors, officers, employees, consultants or professional advisers and the Benchmarker or any of its directors, officers, employees, consultants and professional advisers in connection with the Permitted Purpose and all matters arising therefrom; and</w:t>
            </w:r>
          </w:p>
          <w:p w14:paraId="681CF152" w14:textId="77777777" w:rsidR="00F67E9E" w:rsidRPr="00BA56A1" w:rsidRDefault="00F67E9E" w:rsidP="007F74AA">
            <w:pPr>
              <w:pStyle w:val="DefinitionList"/>
              <w:numPr>
                <w:ilvl w:val="0"/>
                <w:numId w:val="137"/>
              </w:numPr>
              <w:rPr>
                <w:rFonts w:cs="Arial"/>
              </w:rPr>
            </w:pPr>
            <w:r w:rsidRPr="00BA56A1">
              <w:rPr>
                <w:rFonts w:cs="Arial"/>
              </w:rPr>
              <w:t>Information derived from any of the above,</w:t>
            </w:r>
          </w:p>
          <w:p w14:paraId="3962D5CB" w14:textId="77777777" w:rsidR="00F67E9E" w:rsidRPr="00BA56A1" w:rsidRDefault="00F67E9E" w:rsidP="007F74AA">
            <w:pPr>
              <w:pStyle w:val="StdBodyText"/>
              <w:rPr>
                <w:rFonts w:cs="Arial"/>
              </w:rPr>
            </w:pPr>
            <w:r w:rsidRPr="00BA56A1">
              <w:rPr>
                <w:rFonts w:cs="Arial"/>
              </w:rPr>
              <w:t>but not including any Information that:</w:t>
            </w:r>
          </w:p>
          <w:p w14:paraId="1FB0A204" w14:textId="77777777" w:rsidR="00F67E9E" w:rsidRPr="00BA56A1" w:rsidRDefault="00F67E9E" w:rsidP="007F74AA">
            <w:pPr>
              <w:pStyle w:val="DefinitionList"/>
              <w:numPr>
                <w:ilvl w:val="0"/>
                <w:numId w:val="137"/>
              </w:numPr>
              <w:rPr>
                <w:rFonts w:cs="Arial"/>
              </w:rPr>
            </w:pPr>
            <w:r w:rsidRPr="00BA56A1">
              <w:rPr>
                <w:rFonts w:cs="Arial"/>
              </w:rPr>
              <w:t xml:space="preserve">was in the possession of the Benchmarker without obligation of confidentiality prior to its disclosure by the Supplier; </w:t>
            </w:r>
          </w:p>
          <w:p w14:paraId="5644420D" w14:textId="77777777" w:rsidR="00F67E9E" w:rsidRPr="00BA56A1" w:rsidRDefault="00F67E9E" w:rsidP="007F74AA">
            <w:pPr>
              <w:pStyle w:val="DefinitionList"/>
              <w:numPr>
                <w:ilvl w:val="0"/>
                <w:numId w:val="137"/>
              </w:numPr>
              <w:rPr>
                <w:rFonts w:cs="Arial"/>
              </w:rPr>
            </w:pPr>
            <w:r w:rsidRPr="00BA56A1">
              <w:rPr>
                <w:rFonts w:cs="Arial"/>
              </w:rPr>
              <w:t>the Benchmarker obtained on a non-confidential basis from a third party who is not, to the Benchmarker</w:t>
            </w:r>
            <w:r>
              <w:rPr>
                <w:rFonts w:cs="Arial"/>
              </w:rPr>
              <w:t>’</w:t>
            </w:r>
            <w:r w:rsidRPr="00BA56A1">
              <w:rPr>
                <w:rFonts w:cs="Arial"/>
              </w:rPr>
              <w:t>s knowledge or belief, bound by a confidentiality agreement with the Supplier or otherwise prohibited from disclosing the information to the Benchmarker;</w:t>
            </w:r>
          </w:p>
          <w:p w14:paraId="13A6DB52" w14:textId="77777777" w:rsidR="00F67E9E" w:rsidRPr="00BA56A1" w:rsidRDefault="00F67E9E" w:rsidP="007F74AA">
            <w:pPr>
              <w:pStyle w:val="DefinitionList"/>
              <w:numPr>
                <w:ilvl w:val="0"/>
                <w:numId w:val="137"/>
              </w:numPr>
              <w:rPr>
                <w:rFonts w:cs="Arial"/>
              </w:rPr>
            </w:pPr>
            <w:r w:rsidRPr="00BA56A1">
              <w:rPr>
                <w:rFonts w:cs="Arial"/>
              </w:rPr>
              <w:t>was already generally available and in the public domain at the time of disclosure otherwise than by a breach of this Agreement or breach of a duty of confidentiality; or</w:t>
            </w:r>
          </w:p>
          <w:p w14:paraId="0338902A" w14:textId="77777777" w:rsidR="00F67E9E" w:rsidRPr="00BA56A1" w:rsidRDefault="00F67E9E" w:rsidP="007F74AA">
            <w:pPr>
              <w:pStyle w:val="DefinitionList"/>
              <w:numPr>
                <w:ilvl w:val="0"/>
                <w:numId w:val="137"/>
              </w:numPr>
              <w:rPr>
                <w:rFonts w:cs="Arial"/>
              </w:rPr>
            </w:pPr>
            <w:r w:rsidRPr="00BA56A1">
              <w:rPr>
                <w:rFonts w:cs="Arial"/>
              </w:rPr>
              <w:t>was independently developed without access to the Confidential Information;</w:t>
            </w:r>
          </w:p>
        </w:tc>
      </w:tr>
      <w:tr w:rsidR="00F67E9E" w:rsidRPr="00BA56A1" w14:paraId="688C65C5" w14:textId="77777777" w:rsidTr="007F74AA">
        <w:tc>
          <w:tcPr>
            <w:tcW w:w="2835" w:type="dxa"/>
          </w:tcPr>
          <w:p w14:paraId="7DD26494" w14:textId="77777777" w:rsidR="00F67E9E" w:rsidRPr="00BA56A1" w:rsidRDefault="00F67E9E" w:rsidP="007F74AA">
            <w:pPr>
              <w:pStyle w:val="StdBodyTextBold"/>
              <w:rPr>
                <w:rFonts w:cs="Arial"/>
              </w:rPr>
            </w:pPr>
            <w:r>
              <w:rPr>
                <w:rFonts w:cs="Arial"/>
              </w:rPr>
              <w:t>“</w:t>
            </w:r>
            <w:r w:rsidRPr="00BA56A1">
              <w:rPr>
                <w:rFonts w:cs="Arial"/>
              </w:rPr>
              <w:t>Information</w:t>
            </w:r>
            <w:r>
              <w:rPr>
                <w:rFonts w:cs="Arial"/>
              </w:rPr>
              <w:t>”</w:t>
            </w:r>
          </w:p>
        </w:tc>
        <w:tc>
          <w:tcPr>
            <w:tcW w:w="6803" w:type="dxa"/>
          </w:tcPr>
          <w:p w14:paraId="0B697A7B" w14:textId="77777777" w:rsidR="00F67E9E" w:rsidRPr="00BA56A1" w:rsidRDefault="00F67E9E" w:rsidP="007F74AA">
            <w:pPr>
              <w:pStyle w:val="StdBodyText"/>
              <w:rPr>
                <w:rFonts w:cs="Arial"/>
              </w:rPr>
            </w:pPr>
            <w:r w:rsidRPr="00BA56A1">
              <w:rPr>
                <w:rFonts w:cs="Arial"/>
              </w:rPr>
              <w:t>means all information of whatever nature, however conveyed and in whatever form, including in writing, orally, by demonstration, electronically and in a tangible, visual or machine-readable medium (including CD-ROM, magnetic and digital form); and</w:t>
            </w:r>
          </w:p>
        </w:tc>
      </w:tr>
      <w:tr w:rsidR="00F67E9E" w:rsidRPr="00BA56A1" w14:paraId="4C3A618B" w14:textId="77777777" w:rsidTr="007F74AA">
        <w:tc>
          <w:tcPr>
            <w:tcW w:w="2835" w:type="dxa"/>
          </w:tcPr>
          <w:p w14:paraId="6D293365" w14:textId="77777777" w:rsidR="00F67E9E" w:rsidRPr="00BA56A1" w:rsidRDefault="00F67E9E" w:rsidP="007F74AA">
            <w:pPr>
              <w:pStyle w:val="StdBodyTextBold"/>
              <w:rPr>
                <w:rFonts w:cs="Arial"/>
              </w:rPr>
            </w:pPr>
            <w:r>
              <w:rPr>
                <w:rFonts w:cs="Arial"/>
              </w:rPr>
              <w:t>“</w:t>
            </w:r>
            <w:r w:rsidRPr="00BA56A1">
              <w:rPr>
                <w:rFonts w:cs="Arial"/>
              </w:rPr>
              <w:t>Permitted Purpose</w:t>
            </w:r>
            <w:r>
              <w:rPr>
                <w:rFonts w:cs="Arial"/>
              </w:rPr>
              <w:t>”</w:t>
            </w:r>
          </w:p>
        </w:tc>
        <w:tc>
          <w:tcPr>
            <w:tcW w:w="6803" w:type="dxa"/>
          </w:tcPr>
          <w:p w14:paraId="60A59B0E" w14:textId="3875D554" w:rsidR="00F67E9E" w:rsidRPr="00BA56A1" w:rsidRDefault="00F67E9E" w:rsidP="007F74AA">
            <w:pPr>
              <w:pStyle w:val="StdBodyText"/>
              <w:rPr>
                <w:rFonts w:cs="Arial"/>
              </w:rPr>
            </w:pPr>
            <w:r w:rsidRPr="00BA56A1">
              <w:rPr>
                <w:rFonts w:cs="Arial"/>
              </w:rPr>
              <w:t>has the meaning given to that expression in recital</w:t>
            </w:r>
            <w:r>
              <w:rPr>
                <w:rFonts w:cs="Arial"/>
              </w:rPr>
              <w:t> </w:t>
            </w:r>
            <w:r>
              <w:rPr>
                <w:rFonts w:cs="Arial"/>
              </w:rPr>
              <w:fldChar w:fldCharType="begin"/>
            </w:r>
            <w:r>
              <w:rPr>
                <w:rFonts w:cs="Arial"/>
              </w:rPr>
              <w:instrText xml:space="preserve"> REF Schedule17RecitalB \h </w:instrText>
            </w:r>
            <w:r>
              <w:rPr>
                <w:rFonts w:cs="Arial"/>
              </w:rPr>
            </w:r>
            <w:r>
              <w:rPr>
                <w:rFonts w:cs="Arial"/>
              </w:rPr>
              <w:fldChar w:fldCharType="separate"/>
            </w:r>
            <w:r w:rsidR="00302D39">
              <w:rPr>
                <w:rFonts w:cs="Arial"/>
              </w:rPr>
              <w:t>(B)</w:t>
            </w:r>
            <w:r>
              <w:rPr>
                <w:rFonts w:cs="Arial"/>
              </w:rPr>
              <w:fldChar w:fldCharType="end"/>
            </w:r>
            <w:r w:rsidRPr="00BA56A1">
              <w:rPr>
                <w:rFonts w:cs="Arial"/>
              </w:rPr>
              <w:t xml:space="preserve"> to this Agreement.</w:t>
            </w:r>
          </w:p>
        </w:tc>
      </w:tr>
    </w:tbl>
    <w:p w14:paraId="76BCFC31" w14:textId="77777777" w:rsidR="00F67E9E" w:rsidRPr="00BA56A1" w:rsidRDefault="00F67E9E" w:rsidP="00F67E9E">
      <w:pPr>
        <w:pStyle w:val="AppendixText2"/>
      </w:pPr>
      <w:r w:rsidRPr="00BA56A1">
        <w:t xml:space="preserve">In this </w:t>
      </w:r>
      <w:r w:rsidRPr="00980373">
        <w:t>Agreement</w:t>
      </w:r>
      <w:r w:rsidRPr="00BA56A1">
        <w:t>:</w:t>
      </w:r>
    </w:p>
    <w:p w14:paraId="4B23D6D1" w14:textId="77777777" w:rsidR="00F67E9E" w:rsidRPr="00980373" w:rsidRDefault="00F67E9E" w:rsidP="00F67E9E">
      <w:pPr>
        <w:pStyle w:val="AppendixText3"/>
      </w:pPr>
      <w:r w:rsidRPr="00BA56A1">
        <w:t xml:space="preserve">a reference to </w:t>
      </w:r>
      <w:r w:rsidRPr="00980373">
        <w:t>any gender includes a reference to other genders;</w:t>
      </w:r>
    </w:p>
    <w:p w14:paraId="38F4E2DF" w14:textId="77777777" w:rsidR="00F67E9E" w:rsidRPr="00980373" w:rsidRDefault="00F67E9E" w:rsidP="00F67E9E">
      <w:pPr>
        <w:pStyle w:val="AppendixText3"/>
      </w:pPr>
      <w:r w:rsidRPr="00980373">
        <w:t>the singular includes the plural and vice versa;</w:t>
      </w:r>
    </w:p>
    <w:p w14:paraId="25B061C6" w14:textId="77777777" w:rsidR="00F67E9E" w:rsidRPr="00980373" w:rsidRDefault="00F67E9E" w:rsidP="00F67E9E">
      <w:pPr>
        <w:pStyle w:val="AppendixText3"/>
      </w:pPr>
      <w:r w:rsidRPr="00980373">
        <w:t>the words “include” and cognate expressions shall be construed as if they were immediately followed by the words “without limitation”;</w:t>
      </w:r>
    </w:p>
    <w:p w14:paraId="7AA3BDD2" w14:textId="77777777" w:rsidR="00F67E9E" w:rsidRPr="00980373" w:rsidRDefault="00F67E9E" w:rsidP="00F67E9E">
      <w:pPr>
        <w:pStyle w:val="AppendixText3"/>
      </w:pPr>
      <w:r w:rsidRPr="00980373">
        <w:t xml:space="preserve">references to any statutory provision include a reference to that provision as modified, replaced, amended and/or re-enacted from time to time (before or after the date of this Agreement) and any prior or subsequent subordinate legislation made under it; </w:t>
      </w:r>
    </w:p>
    <w:p w14:paraId="76B619C5" w14:textId="77777777" w:rsidR="00F67E9E" w:rsidRPr="00980373" w:rsidRDefault="00F67E9E" w:rsidP="00F67E9E">
      <w:pPr>
        <w:pStyle w:val="AppendixText3"/>
      </w:pPr>
      <w:r w:rsidRPr="00980373">
        <w:t>headings are included for ease of reference only and shall not affect the interpretation or construction of this Agreement; and</w:t>
      </w:r>
    </w:p>
    <w:p w14:paraId="43079DC4" w14:textId="77777777" w:rsidR="00F67E9E" w:rsidRPr="00BA56A1" w:rsidRDefault="00F67E9E" w:rsidP="00F67E9E">
      <w:pPr>
        <w:pStyle w:val="AppendixText3"/>
      </w:pPr>
      <w:r w:rsidRPr="00980373">
        <w:t>references to</w:t>
      </w:r>
      <w:r w:rsidRPr="00BA56A1">
        <w:t xml:space="preserve"> Clauses are to clauses of this Agreement.</w:t>
      </w:r>
    </w:p>
    <w:p w14:paraId="163C4425" w14:textId="77777777" w:rsidR="00F67E9E" w:rsidRPr="00BA56A1" w:rsidRDefault="00F67E9E" w:rsidP="00F67E9E">
      <w:pPr>
        <w:pStyle w:val="AppendixText1"/>
      </w:pPr>
      <w:r w:rsidRPr="00980373">
        <w:t>Confidentiality</w:t>
      </w:r>
      <w:r w:rsidRPr="00BA56A1">
        <w:t xml:space="preserve"> Obligations</w:t>
      </w:r>
    </w:p>
    <w:p w14:paraId="210EEE0D" w14:textId="77777777" w:rsidR="00F67E9E" w:rsidRPr="00BA56A1" w:rsidRDefault="00F67E9E" w:rsidP="00F67E9E">
      <w:pPr>
        <w:pStyle w:val="AppendixText2"/>
      </w:pPr>
      <w:r w:rsidRPr="00BA56A1">
        <w:t xml:space="preserve">In </w:t>
      </w:r>
      <w:r w:rsidRPr="00980373">
        <w:t>consideration</w:t>
      </w:r>
      <w:r w:rsidRPr="00BA56A1">
        <w:t xml:space="preserve"> of the Supplier providing Confidential Information to the Benchmarker, the Benchmarker shall:</w:t>
      </w:r>
    </w:p>
    <w:p w14:paraId="54CF1B73" w14:textId="77777777" w:rsidR="00F67E9E" w:rsidRPr="00BA56A1" w:rsidRDefault="00F67E9E" w:rsidP="00F67E9E">
      <w:pPr>
        <w:pStyle w:val="AppendixText3"/>
        <w:tabs>
          <w:tab w:val="clear" w:pos="1800"/>
          <w:tab w:val="num" w:pos="2160"/>
        </w:tabs>
      </w:pPr>
      <w:r w:rsidRPr="00BA56A1">
        <w:t>treat all Confidential Information as secret and confidential;</w:t>
      </w:r>
    </w:p>
    <w:p w14:paraId="285CE37F" w14:textId="77777777" w:rsidR="00F67E9E" w:rsidRPr="00BA56A1" w:rsidRDefault="00F67E9E" w:rsidP="00F67E9E">
      <w:pPr>
        <w:pStyle w:val="AppendixText3"/>
        <w:tabs>
          <w:tab w:val="clear" w:pos="1800"/>
          <w:tab w:val="num" w:pos="2160"/>
        </w:tabs>
      </w:pPr>
      <w:r w:rsidRPr="00BA56A1">
        <w:t xml:space="preserve">have in place and maintain proper security measures and procedures to protect the confidentiality of the Confidential Information (having regard to its form and nature); </w:t>
      </w:r>
    </w:p>
    <w:p w14:paraId="0E903503" w14:textId="77777777" w:rsidR="00F67E9E" w:rsidRPr="00BA56A1" w:rsidRDefault="00F67E9E" w:rsidP="00F67E9E">
      <w:pPr>
        <w:pStyle w:val="AppendixText3"/>
        <w:tabs>
          <w:tab w:val="clear" w:pos="1800"/>
          <w:tab w:val="num" w:pos="2160"/>
        </w:tabs>
      </w:pPr>
      <w:r w:rsidRPr="00BA56A1">
        <w:t xml:space="preserve">not disclose or permit the disclosure of any of the Confidential Information to any other person without obtaining the prior written consent of the Supplier or, if relevant, other owner or except as expressly set out in this Agreement; </w:t>
      </w:r>
    </w:p>
    <w:p w14:paraId="4D4E7E91" w14:textId="77777777" w:rsidR="00F67E9E" w:rsidRPr="00BA56A1" w:rsidRDefault="00F67E9E" w:rsidP="00F67E9E">
      <w:pPr>
        <w:pStyle w:val="AppendixText3"/>
        <w:tabs>
          <w:tab w:val="clear" w:pos="1800"/>
          <w:tab w:val="num" w:pos="2160"/>
        </w:tabs>
      </w:pPr>
      <w:r w:rsidRPr="00BA56A1">
        <w:t>not transfer any of the Confidential Information outside the United Kingdom;</w:t>
      </w:r>
    </w:p>
    <w:p w14:paraId="575A6FA5" w14:textId="77777777" w:rsidR="00F67E9E" w:rsidRPr="00BA56A1" w:rsidRDefault="00F67E9E" w:rsidP="00F67E9E">
      <w:pPr>
        <w:pStyle w:val="AppendixText3"/>
        <w:tabs>
          <w:tab w:val="clear" w:pos="1800"/>
          <w:tab w:val="num" w:pos="2160"/>
        </w:tabs>
      </w:pPr>
      <w:r w:rsidRPr="00BA56A1">
        <w:t xml:space="preserve">not use or exploit any of the Confidential Information for any purpose whatsoever other than the Permitted Purpose; </w:t>
      </w:r>
    </w:p>
    <w:p w14:paraId="4379E728" w14:textId="77777777" w:rsidR="00F67E9E" w:rsidRPr="00BA56A1" w:rsidRDefault="00F67E9E" w:rsidP="00F67E9E">
      <w:pPr>
        <w:pStyle w:val="AppendixText3"/>
        <w:tabs>
          <w:tab w:val="clear" w:pos="1800"/>
          <w:tab w:val="num" w:pos="2160"/>
        </w:tabs>
      </w:pPr>
      <w:r w:rsidRPr="00BA56A1">
        <w:t>immediately notify the Supplier in writing if it suspects or becomes aware of any unauthorised access, copying, use or disclosure in any form of any of the Confidential Information; and</w:t>
      </w:r>
    </w:p>
    <w:p w14:paraId="36A5B7AF" w14:textId="77777777" w:rsidR="00F67E9E" w:rsidRPr="00BA56A1" w:rsidRDefault="00F67E9E" w:rsidP="00F67E9E">
      <w:pPr>
        <w:pStyle w:val="AppendixText3"/>
        <w:tabs>
          <w:tab w:val="clear" w:pos="1800"/>
          <w:tab w:val="num" w:pos="2160"/>
        </w:tabs>
      </w:pPr>
      <w:r w:rsidRPr="00BA56A1">
        <w:t>once the Permitted Purpose has been fulfilled:</w:t>
      </w:r>
    </w:p>
    <w:p w14:paraId="0E84795D" w14:textId="77777777" w:rsidR="00F67E9E" w:rsidRPr="00BA56A1" w:rsidRDefault="00F67E9E" w:rsidP="00F67E9E">
      <w:pPr>
        <w:pStyle w:val="Numbered111a"/>
        <w:tabs>
          <w:tab w:val="clear" w:pos="2520"/>
          <w:tab w:val="num" w:pos="2880"/>
        </w:tabs>
      </w:pPr>
      <w:r w:rsidRPr="00BA56A1">
        <w:t>destroy or return to the Supplier all documents and other tangible materials that contain any of the Confidential Information;</w:t>
      </w:r>
    </w:p>
    <w:p w14:paraId="0B308E86" w14:textId="77777777" w:rsidR="00F67E9E" w:rsidRPr="00BA56A1" w:rsidRDefault="00F67E9E" w:rsidP="00F67E9E">
      <w:pPr>
        <w:pStyle w:val="Numbered111a"/>
        <w:tabs>
          <w:tab w:val="clear" w:pos="2520"/>
          <w:tab w:val="num" w:pos="2880"/>
        </w:tabs>
      </w:pPr>
      <w:r w:rsidRPr="00BA56A1">
        <w:t>ensure, so far as reasonably practicable, that all Confidential Information held in electronic, digital or other machine-readable form ceases to be readily accessible (other than by the information technology staff of the Benchmarker) from any computer, word processor, voicemail system or any other device; and</w:t>
      </w:r>
    </w:p>
    <w:p w14:paraId="60D864D3" w14:textId="77777777" w:rsidR="00F67E9E" w:rsidRPr="00BA56A1" w:rsidRDefault="00F67E9E" w:rsidP="00F67E9E">
      <w:pPr>
        <w:pStyle w:val="Numbered111a"/>
        <w:tabs>
          <w:tab w:val="clear" w:pos="2520"/>
          <w:tab w:val="num" w:pos="2880"/>
        </w:tabs>
      </w:pPr>
      <w:r w:rsidRPr="00BA56A1">
        <w:t xml:space="preserve">make no further use of any Confidential Information. </w:t>
      </w:r>
    </w:p>
    <w:p w14:paraId="68A0CAB1" w14:textId="77777777" w:rsidR="00F67E9E" w:rsidRPr="00BA56A1" w:rsidRDefault="00F67E9E" w:rsidP="00F67E9E">
      <w:pPr>
        <w:pStyle w:val="AppendixText1"/>
      </w:pPr>
      <w:r w:rsidRPr="00BA56A1">
        <w:t xml:space="preserve">Permitted </w:t>
      </w:r>
      <w:r w:rsidRPr="00980373">
        <w:t>Disclosures</w:t>
      </w:r>
    </w:p>
    <w:p w14:paraId="7B8CD28C" w14:textId="77777777" w:rsidR="00F67E9E" w:rsidRPr="00BA56A1" w:rsidRDefault="00F67E9E" w:rsidP="00F67E9E">
      <w:pPr>
        <w:pStyle w:val="AppendixText2"/>
      </w:pPr>
      <w:r w:rsidRPr="00BA56A1">
        <w:t xml:space="preserve">The Benchmarker may disclose Confidential Information to those of its directors, officers, </w:t>
      </w:r>
      <w:r w:rsidRPr="00980373">
        <w:t>employees</w:t>
      </w:r>
      <w:r w:rsidRPr="00BA56A1">
        <w:t>, consultants and professional advisers who:</w:t>
      </w:r>
    </w:p>
    <w:p w14:paraId="6476346D" w14:textId="77777777" w:rsidR="00F67E9E" w:rsidRPr="00980373" w:rsidRDefault="00F67E9E" w:rsidP="00F67E9E">
      <w:pPr>
        <w:pStyle w:val="AppendixText3"/>
      </w:pPr>
      <w:r w:rsidRPr="00BA56A1">
        <w:t xml:space="preserve">reasonably need to receive the Confidential Information in connection with the </w:t>
      </w:r>
      <w:r w:rsidRPr="00980373">
        <w:t>Permitted Purpose; and</w:t>
      </w:r>
    </w:p>
    <w:p w14:paraId="25C62546" w14:textId="77777777" w:rsidR="00F67E9E" w:rsidRPr="00980373" w:rsidRDefault="00F67E9E" w:rsidP="00F67E9E">
      <w:pPr>
        <w:pStyle w:val="AppendixText3"/>
      </w:pPr>
      <w:r w:rsidRPr="00980373">
        <w:t>have been informed by the Benchmarker of the confidential nature of the Confidential Information; and</w:t>
      </w:r>
    </w:p>
    <w:p w14:paraId="3D90A295" w14:textId="77777777" w:rsidR="00F67E9E" w:rsidRPr="00BA56A1" w:rsidRDefault="00F67E9E" w:rsidP="00F67E9E">
      <w:pPr>
        <w:pStyle w:val="AppendixText3"/>
      </w:pPr>
      <w:r w:rsidRPr="00980373">
        <w:t>have agreed</w:t>
      </w:r>
      <w:r w:rsidRPr="00BA56A1">
        <w:t xml:space="preserve"> to terms similar to those in this Agreement.</w:t>
      </w:r>
    </w:p>
    <w:p w14:paraId="70B9F1C9" w14:textId="246717EE" w:rsidR="00F67E9E" w:rsidRPr="00BA56A1" w:rsidRDefault="00F67E9E" w:rsidP="00F67E9E">
      <w:pPr>
        <w:pStyle w:val="AppendixText2"/>
      </w:pPr>
      <w:r w:rsidRPr="00BA56A1">
        <w:t xml:space="preserve">The Benchmarker shall be entitled to disclose Confidential Information to the Authority for the </w:t>
      </w:r>
      <w:r w:rsidRPr="00980373">
        <w:t>Permitted</w:t>
      </w:r>
      <w:r w:rsidRPr="00BA56A1">
        <w:t xml:space="preserve"> Purpose and to any Expert appointed in relation to a Dispute as referred to in </w:t>
      </w:r>
      <w:bookmarkStart w:id="1345" w:name="_9kMIH5YVtCIB99GMMaO61nl34xDF2pyNoTFNQVG"/>
      <w:r w:rsidRPr="00BA56A1">
        <w:t xml:space="preserve">Paragraph </w:t>
      </w:r>
      <w:r w:rsidRPr="00BA56A1">
        <w:fldChar w:fldCharType="begin"/>
      </w:r>
      <w:r w:rsidRPr="00BA56A1">
        <w:instrText xml:space="preserve"> REF _Ref_ContractCompanion_9kb9Us338 \n \h \t \* MERGEFORMAT </w:instrText>
      </w:r>
      <w:r w:rsidRPr="00BA56A1">
        <w:fldChar w:fldCharType="separate"/>
      </w:r>
      <w:r w:rsidR="00302D39">
        <w:t>5.7</w:t>
      </w:r>
      <w:r w:rsidRPr="00BA56A1">
        <w:fldChar w:fldCharType="end"/>
      </w:r>
      <w:bookmarkEnd w:id="1345"/>
      <w:r w:rsidRPr="00BA56A1">
        <w:t xml:space="preserve"> of </w:t>
      </w:r>
      <w:bookmarkStart w:id="1346" w:name="_9kMIH5YVtCIAFPHbLhkhy7sFSXq32x828JBFE"/>
      <w:r w:rsidRPr="00BA56A1">
        <w:t xml:space="preserve">this </w:t>
      </w:r>
      <w:bookmarkEnd w:id="1346"/>
      <w:r>
        <w:rPr>
          <w:rFonts w:cs="Arial"/>
        </w:rPr>
        <w:fldChar w:fldCharType="begin"/>
      </w:r>
      <w:r>
        <w:rPr>
          <w:rFonts w:cs="Arial"/>
        </w:rPr>
        <w:instrText xml:space="preserve"> REF Schedule17 \h </w:instrText>
      </w:r>
      <w:r>
        <w:rPr>
          <w:rFonts w:cs="Arial"/>
        </w:rPr>
      </w:r>
      <w:r>
        <w:rPr>
          <w:rFonts w:cs="Arial"/>
        </w:rPr>
        <w:fldChar w:fldCharType="separate"/>
      </w:r>
      <w:r w:rsidR="00302D39" w:rsidRPr="005D0525">
        <w:t>Schedule</w:t>
      </w:r>
      <w:r w:rsidR="00302D39">
        <w:t> </w:t>
      </w:r>
      <w:r w:rsidR="00302D39" w:rsidRPr="005D0525">
        <w:t>17</w:t>
      </w:r>
      <w:r>
        <w:rPr>
          <w:rFonts w:cs="Arial"/>
        </w:rPr>
        <w:fldChar w:fldCharType="end"/>
      </w:r>
      <w:r>
        <w:rPr>
          <w:rFonts w:cs="Arial"/>
        </w:rPr>
        <w:t xml:space="preserve"> (</w:t>
      </w:r>
      <w:r w:rsidRPr="00B91437">
        <w:rPr>
          <w:rFonts w:cs="Arial"/>
          <w:i/>
          <w:iCs/>
        </w:rPr>
        <w:fldChar w:fldCharType="begin"/>
      </w:r>
      <w:r w:rsidRPr="00B91437">
        <w:rPr>
          <w:rFonts w:cs="Arial"/>
          <w:i/>
          <w:iCs/>
        </w:rPr>
        <w:instrText xml:space="preserve"> REF Schedule17Heading \h </w:instrText>
      </w:r>
      <w:r>
        <w:rPr>
          <w:rFonts w:cs="Arial"/>
          <w:i/>
          <w:iCs/>
        </w:rPr>
        <w:instrText xml:space="preserve"> \* MERGEFORMAT </w:instrText>
      </w:r>
      <w:r w:rsidRPr="00B91437">
        <w:rPr>
          <w:rFonts w:cs="Arial"/>
          <w:i/>
          <w:iCs/>
        </w:rPr>
      </w:r>
      <w:r w:rsidRPr="00B91437">
        <w:rPr>
          <w:rFonts w:cs="Arial"/>
          <w:i/>
          <w:iCs/>
        </w:rPr>
        <w:fldChar w:fldCharType="separate"/>
      </w:r>
      <w:r w:rsidR="00302D39" w:rsidRPr="00302D39">
        <w:rPr>
          <w:i/>
          <w:iCs/>
        </w:rPr>
        <w:t>Benchmarking</w:t>
      </w:r>
      <w:r w:rsidRPr="00B91437">
        <w:rPr>
          <w:rFonts w:cs="Arial"/>
          <w:i/>
          <w:iCs/>
        </w:rPr>
        <w:fldChar w:fldCharType="end"/>
      </w:r>
      <w:r>
        <w:rPr>
          <w:rFonts w:cs="Arial"/>
        </w:rPr>
        <w:t>)</w:t>
      </w:r>
      <w:r w:rsidRPr="00BA56A1">
        <w:t xml:space="preserve"> to the Contract.</w:t>
      </w:r>
    </w:p>
    <w:p w14:paraId="287DAD0C" w14:textId="77777777" w:rsidR="00F67E9E" w:rsidRPr="00980373" w:rsidRDefault="00F67E9E" w:rsidP="00F67E9E">
      <w:pPr>
        <w:pStyle w:val="AppendixText2"/>
      </w:pPr>
      <w:bookmarkStart w:id="1347" w:name="_Ref_ContractCompanion_9kb9Us345"/>
      <w:bookmarkStart w:id="1348" w:name="_9kR3WTrAG978BEEfRjE9srmxrx8w4JAtyA1vz9P"/>
      <w:r w:rsidRPr="00BA56A1">
        <w:t xml:space="preserve">The Benchmarker shall be entitled to disclose Confidential Information to the extent that it is required </w:t>
      </w:r>
      <w:r w:rsidRPr="00980373">
        <w:t>to do so by applicable law or by order of a court or other public body that has jurisdiction over the Benchmarker.</w:t>
      </w:r>
      <w:bookmarkEnd w:id="1347"/>
      <w:bookmarkEnd w:id="1348"/>
    </w:p>
    <w:p w14:paraId="7864771A" w14:textId="078F2B89" w:rsidR="00F67E9E" w:rsidRPr="00BA56A1" w:rsidRDefault="00F67E9E" w:rsidP="00F67E9E">
      <w:pPr>
        <w:pStyle w:val="AppendixText2"/>
      </w:pPr>
      <w:r w:rsidRPr="00980373">
        <w:t xml:space="preserve">Before making a disclosure pursuant to </w:t>
      </w:r>
      <w:bookmarkStart w:id="1349" w:name="_9kMHG5YVtCIB9ADGGhTlGButoztzAy6LCv0C3x1"/>
      <w:r w:rsidRPr="00980373">
        <w:t xml:space="preserve">Clause </w:t>
      </w:r>
      <w:r w:rsidRPr="00980373">
        <w:fldChar w:fldCharType="begin"/>
      </w:r>
      <w:r w:rsidRPr="00980373">
        <w:instrText xml:space="preserve"> REF _Ref_ContractCompanion_9kb9Us345 \n \h \t \* MERGEFORMAT </w:instrText>
      </w:r>
      <w:r w:rsidRPr="00980373">
        <w:fldChar w:fldCharType="separate"/>
      </w:r>
      <w:r w:rsidR="0037353F">
        <w:t>3.3</w:t>
      </w:r>
      <w:r w:rsidRPr="00980373">
        <w:fldChar w:fldCharType="end"/>
      </w:r>
      <w:bookmarkEnd w:id="1349"/>
      <w:r w:rsidRPr="00980373">
        <w:t>, the Benchmarker shall, if the circumstances</w:t>
      </w:r>
      <w:r w:rsidRPr="00BA56A1">
        <w:t xml:space="preserve"> permit:</w:t>
      </w:r>
    </w:p>
    <w:p w14:paraId="413A272B" w14:textId="77777777" w:rsidR="00F67E9E" w:rsidRPr="00980373" w:rsidRDefault="00F67E9E" w:rsidP="00F67E9E">
      <w:pPr>
        <w:pStyle w:val="AppendixText3"/>
      </w:pPr>
      <w:r w:rsidRPr="00BA56A1">
        <w:t xml:space="preserve">notify the Supplier in writing of the proposed disclosure as soon as possible (and if possible before the court or other public body orders the disclosure of the </w:t>
      </w:r>
      <w:r w:rsidRPr="00980373">
        <w:t>Confidential Information); and</w:t>
      </w:r>
    </w:p>
    <w:p w14:paraId="6EFD66DF" w14:textId="77777777" w:rsidR="00F67E9E" w:rsidRPr="00BA56A1" w:rsidRDefault="00F67E9E" w:rsidP="00F67E9E">
      <w:pPr>
        <w:pStyle w:val="AppendixText3"/>
      </w:pPr>
      <w:r w:rsidRPr="00980373">
        <w:t>ask the cou</w:t>
      </w:r>
      <w:r w:rsidRPr="00BA56A1">
        <w:t>rt or other public body to treat the Confidential Information as confidential.</w:t>
      </w:r>
    </w:p>
    <w:p w14:paraId="0A607971" w14:textId="77777777" w:rsidR="00F67E9E" w:rsidRPr="00BA56A1" w:rsidRDefault="00F67E9E" w:rsidP="00F67E9E">
      <w:pPr>
        <w:pStyle w:val="AppendixText1"/>
      </w:pPr>
      <w:bookmarkStart w:id="1350" w:name="_9kR3WTrAG96FLNCwozOQaZHvw1yt"/>
      <w:r w:rsidRPr="00BA56A1">
        <w:t>General</w:t>
      </w:r>
      <w:bookmarkEnd w:id="1350"/>
    </w:p>
    <w:p w14:paraId="321FA46A" w14:textId="77777777" w:rsidR="00F67E9E" w:rsidRPr="00980373" w:rsidRDefault="00F67E9E" w:rsidP="00F67E9E">
      <w:pPr>
        <w:pStyle w:val="AppendixText2"/>
      </w:pPr>
      <w:r w:rsidRPr="00BA56A1">
        <w:t xml:space="preserve">The Benchmarker acknowledges and agrees that all property, including intellectual property rights, in Confidential Information disclosed to it by the Supplier shall remain with and be </w:t>
      </w:r>
      <w:r w:rsidRPr="00980373">
        <w:t>vested in the Supplier.</w:t>
      </w:r>
    </w:p>
    <w:p w14:paraId="02F3517A" w14:textId="77777777" w:rsidR="00F67E9E" w:rsidRPr="00BA56A1" w:rsidRDefault="00F67E9E" w:rsidP="00F67E9E">
      <w:pPr>
        <w:pStyle w:val="AppendixText2"/>
      </w:pPr>
      <w:r w:rsidRPr="00980373">
        <w:t>This Agreement does not include, expressly or by implication, any representations, warra</w:t>
      </w:r>
      <w:r w:rsidRPr="00BA56A1">
        <w:t>nties or other obligations:</w:t>
      </w:r>
    </w:p>
    <w:p w14:paraId="4B895610" w14:textId="77777777" w:rsidR="00F67E9E" w:rsidRPr="00BA56A1" w:rsidRDefault="00F67E9E" w:rsidP="00F67E9E">
      <w:pPr>
        <w:pStyle w:val="AppendixText3"/>
        <w:tabs>
          <w:tab w:val="clear" w:pos="1800"/>
          <w:tab w:val="num" w:pos="2160"/>
        </w:tabs>
      </w:pPr>
      <w:r w:rsidRPr="00BA56A1">
        <w:t>to grant the Benchmarker any licence or rights other than as may be expressly stated in this Agreement;</w:t>
      </w:r>
    </w:p>
    <w:p w14:paraId="6EB78C1D" w14:textId="77777777" w:rsidR="00F67E9E" w:rsidRPr="00BA56A1" w:rsidRDefault="00F67E9E" w:rsidP="00F67E9E">
      <w:pPr>
        <w:pStyle w:val="AppendixText3"/>
        <w:tabs>
          <w:tab w:val="clear" w:pos="1800"/>
          <w:tab w:val="num" w:pos="2160"/>
        </w:tabs>
      </w:pPr>
      <w:r w:rsidRPr="00BA56A1">
        <w:t>to require the Supplier to disclose, continue disclosing or update any Confidential Information; or</w:t>
      </w:r>
    </w:p>
    <w:p w14:paraId="12871F63" w14:textId="77777777" w:rsidR="00F67E9E" w:rsidRPr="00BA56A1" w:rsidRDefault="00F67E9E" w:rsidP="00F67E9E">
      <w:pPr>
        <w:pStyle w:val="AppendixText3"/>
        <w:tabs>
          <w:tab w:val="clear" w:pos="1800"/>
          <w:tab w:val="num" w:pos="2160"/>
        </w:tabs>
      </w:pPr>
      <w:r w:rsidRPr="00BA56A1">
        <w:t>as to the accuracy, efficacy, completeness, capabilities, safety or any other qualities whatsoever of any Information or materials provided pursuant to or in anticipation of this Agreement.</w:t>
      </w:r>
    </w:p>
    <w:p w14:paraId="64CBCD56" w14:textId="77777777" w:rsidR="00F67E9E" w:rsidRPr="00980373" w:rsidRDefault="00F67E9E" w:rsidP="00F67E9E">
      <w:pPr>
        <w:pStyle w:val="AppendixText2"/>
      </w:pPr>
      <w:r w:rsidRPr="00BA56A1">
        <w:t>The rights, powers and remedies provided in this Agreement are cumulative and not exclusive of any rights, powers or remedies provided by law.</w:t>
      </w:r>
      <w:r>
        <w:t xml:space="preserve"> </w:t>
      </w:r>
      <w:r w:rsidRPr="00BA56A1">
        <w:t xml:space="preserve">No failure or delay by either Party to exercise any right, power or remedy will operate as a waiver of it nor will any partial </w:t>
      </w:r>
      <w:r w:rsidRPr="00980373">
        <w:t>exercise preclude any further exercise of the same, or of some other right, power or remedy.</w:t>
      </w:r>
    </w:p>
    <w:p w14:paraId="79915B2B" w14:textId="77777777" w:rsidR="00F67E9E" w:rsidRPr="00980373" w:rsidRDefault="00F67E9E" w:rsidP="00F67E9E">
      <w:pPr>
        <w:pStyle w:val="AppendixText2"/>
      </w:pPr>
      <w:r w:rsidRPr="00980373">
        <w:t>Without prejudice to any other rights or remedies that the Supplier may have, the Benchmarker acknowledges and agrees that damages alone may not be an adequate remedy for any breach by the Benchmarker of any of the provisions of this Agreement. Accordingly, the Benchmarker acknowledges that the Supplier shall be entitled to the remedies of injunction and specific performance as well as any other equitable relief for any threatened or actual breach of this Agreement and/or breach of confidence and that no proof of special damages shall be necessary for the enforcement of such remedies.</w:t>
      </w:r>
    </w:p>
    <w:p w14:paraId="58637549" w14:textId="77777777" w:rsidR="00F67E9E" w:rsidRPr="00980373" w:rsidRDefault="00F67E9E" w:rsidP="00F67E9E">
      <w:pPr>
        <w:pStyle w:val="AppendixText2"/>
      </w:pPr>
      <w:r w:rsidRPr="00980373">
        <w:t>The maximum liability of the Benchmarker to the Supplier for any breach of this Agreement shall be limited to ten million pounds (£10,000,000).</w:t>
      </w:r>
    </w:p>
    <w:p w14:paraId="7A974450" w14:textId="77777777" w:rsidR="00F67E9E" w:rsidRPr="00980373" w:rsidRDefault="00F67E9E" w:rsidP="00F67E9E">
      <w:pPr>
        <w:pStyle w:val="AppendixText2"/>
      </w:pPr>
      <w:r w:rsidRPr="00980373">
        <w:t>For the purposes of the Contracts (Rights of Third Parties) Act 1999 no one other than the Parties has the right to enforce the terms of this Agreement.</w:t>
      </w:r>
    </w:p>
    <w:p w14:paraId="1824A641" w14:textId="77777777" w:rsidR="00F67E9E" w:rsidRPr="00980373" w:rsidRDefault="00F67E9E" w:rsidP="00F67E9E">
      <w:pPr>
        <w:pStyle w:val="AppendixText2"/>
      </w:pPr>
      <w:r w:rsidRPr="00980373">
        <w:t>Each Party shall be responsible for all costs incurred by it or on its behalf in connection with this Agreement.</w:t>
      </w:r>
    </w:p>
    <w:p w14:paraId="510AC263" w14:textId="77777777" w:rsidR="00F67E9E" w:rsidRPr="00BA56A1" w:rsidRDefault="00F67E9E" w:rsidP="00F67E9E">
      <w:pPr>
        <w:pStyle w:val="AppendixText2"/>
      </w:pPr>
      <w:r w:rsidRPr="00980373">
        <w:t>This Agreement may be executed in any number of counterparts and by the Parties on separate counterparts</w:t>
      </w:r>
      <w:r w:rsidRPr="00BA56A1">
        <w:t>, but shall not be effective until each Party has executed at least one counterpart.</w:t>
      </w:r>
      <w:r>
        <w:t xml:space="preserve"> </w:t>
      </w:r>
      <w:r w:rsidRPr="00BA56A1">
        <w:t>Each counterpart shall constitute an original of this Agreement, but all the counterparts shall together constitute but one and the same instrument.</w:t>
      </w:r>
    </w:p>
    <w:p w14:paraId="24D02157" w14:textId="77777777" w:rsidR="00F67E9E" w:rsidRPr="00BA56A1" w:rsidRDefault="00F67E9E" w:rsidP="00F67E9E">
      <w:pPr>
        <w:pStyle w:val="AppendixText1"/>
      </w:pPr>
      <w:r w:rsidRPr="00980373">
        <w:t>Notices</w:t>
      </w:r>
    </w:p>
    <w:p w14:paraId="5F9BC41F" w14:textId="54D41ECB" w:rsidR="00F67E9E" w:rsidRPr="00980373" w:rsidRDefault="00F67E9E" w:rsidP="00F67E9E">
      <w:pPr>
        <w:pStyle w:val="AppendixText2"/>
      </w:pPr>
      <w:r w:rsidRPr="00BA56A1">
        <w:t xml:space="preserve">Any notice to be given under this Agreement (each a </w:t>
      </w:r>
      <w:r>
        <w:t>“</w:t>
      </w:r>
      <w:r w:rsidRPr="002E7013">
        <w:rPr>
          <w:rStyle w:val="StdBodyTextBoldChar"/>
          <w:rFonts w:eastAsia="Verdana" w:cs="Arial"/>
        </w:rPr>
        <w:t>Notice</w:t>
      </w:r>
      <w:r>
        <w:t>”</w:t>
      </w:r>
      <w:r w:rsidRPr="00BA56A1">
        <w:t xml:space="preserve">) shall be given in writing and shall be delivered by hand and shall be deemed to have been duly given at the time of delivery provided that such Notice is sent to the relevant physical address, and expressly marked </w:t>
      </w:r>
      <w:r w:rsidRPr="00980373">
        <w:t xml:space="preserve">for the attention of the relevant individual, set out in </w:t>
      </w:r>
      <w:bookmarkStart w:id="1351" w:name="_9kMHG5YVtCIB9AGLHNGBmXA5pm"/>
      <w:r w:rsidRPr="00980373">
        <w:t xml:space="preserve">Clause </w:t>
      </w:r>
      <w:r w:rsidRPr="00980373">
        <w:fldChar w:fldCharType="begin"/>
      </w:r>
      <w:r w:rsidRPr="00980373">
        <w:instrText xml:space="preserve"> REF _Ref_ContractCompanion_9kb9Us348 \n \h \t \* MERGEFORMAT </w:instrText>
      </w:r>
      <w:r w:rsidRPr="00980373">
        <w:fldChar w:fldCharType="separate"/>
      </w:r>
      <w:r w:rsidR="00302D39">
        <w:t>5.2</w:t>
      </w:r>
      <w:r w:rsidRPr="00980373">
        <w:fldChar w:fldCharType="end"/>
      </w:r>
      <w:bookmarkEnd w:id="1351"/>
      <w:r w:rsidRPr="00980373">
        <w:t>.</w:t>
      </w:r>
    </w:p>
    <w:p w14:paraId="75BFB7F8" w14:textId="77777777" w:rsidR="00F67E9E" w:rsidRPr="00064390" w:rsidRDefault="00F67E9E" w:rsidP="00F67E9E">
      <w:pPr>
        <w:pStyle w:val="AppendixText2"/>
      </w:pPr>
      <w:bookmarkStart w:id="1352" w:name="_Ref_ContractCompanion_9kb9Us348"/>
      <w:bookmarkStart w:id="1353" w:name="_9kR3WTrAG978EJFLE9kV83nk"/>
      <w:r w:rsidRPr="00980373">
        <w:t>Any Notic</w:t>
      </w:r>
      <w:r w:rsidRPr="00064390">
        <w:t>e:</w:t>
      </w:r>
      <w:bookmarkEnd w:id="1352"/>
      <w:bookmarkEnd w:id="1353"/>
    </w:p>
    <w:p w14:paraId="570195B6" w14:textId="77777777" w:rsidR="00F67E9E" w:rsidRPr="00064390" w:rsidRDefault="00F67E9E" w:rsidP="00F67E9E">
      <w:pPr>
        <w:pStyle w:val="AppendixText3"/>
        <w:tabs>
          <w:tab w:val="clear" w:pos="1800"/>
          <w:tab w:val="num" w:pos="2160"/>
        </w:tabs>
      </w:pPr>
      <w:r w:rsidRPr="00064390">
        <w:t>if to be given to the Supplier shall be sent to:</w:t>
      </w:r>
    </w:p>
    <w:p w14:paraId="72D94141" w14:textId="77777777" w:rsidR="00F67E9E" w:rsidRPr="00AA5727" w:rsidRDefault="00F67E9E" w:rsidP="00F67E9E">
      <w:pPr>
        <w:pStyle w:val="StdBodyText4"/>
        <w:rPr>
          <w:rFonts w:cs="Arial"/>
          <w:highlight w:val="yellow"/>
        </w:rPr>
      </w:pPr>
      <w:r w:rsidRPr="00AA5727">
        <w:rPr>
          <w:rFonts w:cs="Arial"/>
          <w:highlight w:val="yellow"/>
        </w:rPr>
        <w:t>[</w:t>
      </w:r>
      <w:r w:rsidRPr="00AA5727">
        <w:rPr>
          <w:rFonts w:cs="Arial"/>
          <w:iCs/>
          <w:highlight w:val="yellow"/>
        </w:rPr>
        <w:t>Address</w:t>
      </w:r>
      <w:r w:rsidRPr="00AA5727">
        <w:rPr>
          <w:rFonts w:cs="Arial"/>
          <w:highlight w:val="yellow"/>
        </w:rPr>
        <w:t>]</w:t>
      </w:r>
    </w:p>
    <w:p w14:paraId="13A94829" w14:textId="77777777" w:rsidR="00F67E9E" w:rsidRPr="00AA5727" w:rsidRDefault="00F67E9E" w:rsidP="00F67E9E">
      <w:pPr>
        <w:pStyle w:val="StdBodyText4"/>
        <w:rPr>
          <w:rFonts w:cs="Arial"/>
          <w:highlight w:val="yellow"/>
        </w:rPr>
      </w:pPr>
      <w:r w:rsidRPr="00AA5727">
        <w:rPr>
          <w:rFonts w:cs="Arial"/>
        </w:rPr>
        <w:t xml:space="preserve">Attention: </w:t>
      </w:r>
      <w:r w:rsidRPr="00AA5727">
        <w:rPr>
          <w:rFonts w:cs="Arial"/>
          <w:highlight w:val="yellow"/>
        </w:rPr>
        <w:t>[</w:t>
      </w:r>
      <w:r w:rsidRPr="00AA5727">
        <w:rPr>
          <w:rFonts w:cs="Arial"/>
          <w:iCs/>
          <w:highlight w:val="yellow"/>
        </w:rPr>
        <w:t>Contact name and/or position, e.g. “The Finance Director”</w:t>
      </w:r>
      <w:r w:rsidRPr="00AA5727">
        <w:rPr>
          <w:rFonts w:cs="Arial"/>
          <w:highlight w:val="yellow"/>
        </w:rPr>
        <w:t>]</w:t>
      </w:r>
    </w:p>
    <w:p w14:paraId="604215F3" w14:textId="77777777" w:rsidR="00F67E9E" w:rsidRPr="00AA5727" w:rsidRDefault="00F67E9E" w:rsidP="00F67E9E">
      <w:pPr>
        <w:pStyle w:val="AppendixText3"/>
        <w:tabs>
          <w:tab w:val="clear" w:pos="1800"/>
          <w:tab w:val="num" w:pos="2160"/>
        </w:tabs>
      </w:pPr>
      <w:r w:rsidRPr="00AA5727">
        <w:t>if to be given to the Benchmarker shall be sent to:</w:t>
      </w:r>
    </w:p>
    <w:p w14:paraId="6250E8F0" w14:textId="77777777" w:rsidR="00F67E9E" w:rsidRPr="00AA5727" w:rsidRDefault="00F67E9E" w:rsidP="00F67E9E">
      <w:pPr>
        <w:pStyle w:val="StdBodyText4"/>
        <w:rPr>
          <w:rFonts w:cs="Arial"/>
          <w:highlight w:val="yellow"/>
        </w:rPr>
      </w:pPr>
      <w:r w:rsidRPr="00AA5727">
        <w:rPr>
          <w:rFonts w:cs="Arial"/>
          <w:highlight w:val="yellow"/>
        </w:rPr>
        <w:t>[</w:t>
      </w:r>
      <w:r w:rsidRPr="00AA5727">
        <w:rPr>
          <w:rFonts w:cs="Arial"/>
          <w:iCs/>
          <w:highlight w:val="yellow"/>
        </w:rPr>
        <w:t>Name of Organisation</w:t>
      </w:r>
      <w:r w:rsidRPr="00AA5727">
        <w:rPr>
          <w:rFonts w:cs="Arial"/>
          <w:highlight w:val="yellow"/>
        </w:rPr>
        <w:t>]</w:t>
      </w:r>
    </w:p>
    <w:p w14:paraId="55051AF9" w14:textId="77777777" w:rsidR="00F67E9E" w:rsidRPr="00AA5727" w:rsidRDefault="00F67E9E" w:rsidP="00F67E9E">
      <w:pPr>
        <w:pStyle w:val="StdBodyText4"/>
        <w:rPr>
          <w:rFonts w:cs="Arial"/>
          <w:highlight w:val="yellow"/>
        </w:rPr>
      </w:pPr>
      <w:r w:rsidRPr="00AA5727">
        <w:rPr>
          <w:rFonts w:cs="Arial"/>
          <w:highlight w:val="yellow"/>
        </w:rPr>
        <w:t>[</w:t>
      </w:r>
      <w:r w:rsidRPr="00AA5727">
        <w:rPr>
          <w:rFonts w:cs="Arial"/>
          <w:iCs/>
          <w:highlight w:val="yellow"/>
        </w:rPr>
        <w:t>Address</w:t>
      </w:r>
      <w:r w:rsidRPr="00AA5727">
        <w:rPr>
          <w:rFonts w:cs="Arial"/>
          <w:highlight w:val="yellow"/>
        </w:rPr>
        <w:t>]</w:t>
      </w:r>
    </w:p>
    <w:p w14:paraId="3FE8AFDA" w14:textId="77777777" w:rsidR="00F67E9E" w:rsidRPr="00064390" w:rsidRDefault="00F67E9E" w:rsidP="00F67E9E">
      <w:pPr>
        <w:pStyle w:val="StdBodyText4"/>
        <w:rPr>
          <w:rFonts w:cs="Arial"/>
          <w:highlight w:val="yellow"/>
        </w:rPr>
      </w:pPr>
      <w:r w:rsidRPr="00064390">
        <w:rPr>
          <w:rFonts w:cs="Arial"/>
        </w:rPr>
        <w:t xml:space="preserve">Attention: </w:t>
      </w:r>
      <w:r w:rsidRPr="00064390">
        <w:rPr>
          <w:rFonts w:cs="Arial"/>
          <w:highlight w:val="yellow"/>
        </w:rPr>
        <w:t>[             ]</w:t>
      </w:r>
    </w:p>
    <w:p w14:paraId="5CAF1F87" w14:textId="77777777" w:rsidR="00F67E9E" w:rsidRPr="00064390" w:rsidRDefault="00F67E9E" w:rsidP="00F67E9E">
      <w:pPr>
        <w:pStyle w:val="AppendixText1"/>
      </w:pPr>
      <w:r w:rsidRPr="00980373">
        <w:t>Governing</w:t>
      </w:r>
      <w:r w:rsidRPr="00064390">
        <w:t xml:space="preserve"> law</w:t>
      </w:r>
    </w:p>
    <w:p w14:paraId="45595602" w14:textId="77777777" w:rsidR="00F67E9E" w:rsidRPr="00980373" w:rsidRDefault="00F67E9E" w:rsidP="00F67E9E">
      <w:pPr>
        <w:pStyle w:val="AppendixText2"/>
      </w:pPr>
      <w:bookmarkStart w:id="1354" w:name="_9kR3WTr8E845ELF"/>
      <w:bookmarkEnd w:id="1354"/>
      <w:r w:rsidRPr="00BA56A1">
        <w:t xml:space="preserve">This Agreement shall be governed by, and construed in accordance with, English law and any matter claim or dispute arising out of or in connection with this Agreement whether contractual or non-contractual, shall be governed by and determined in accordance with </w:t>
      </w:r>
      <w:r w:rsidRPr="00980373">
        <w:t xml:space="preserve">English law. </w:t>
      </w:r>
    </w:p>
    <w:p w14:paraId="0F456E03" w14:textId="77777777" w:rsidR="00F67E9E" w:rsidRPr="00BA56A1" w:rsidRDefault="00F67E9E" w:rsidP="00F67E9E">
      <w:pPr>
        <w:pStyle w:val="AppendixText2"/>
      </w:pPr>
      <w:r w:rsidRPr="00980373">
        <w:t>Each Pa</w:t>
      </w:r>
      <w:r w:rsidRPr="00BA56A1">
        <w:t>rty hereby irrevocably submits to the exclusive jurisdiction of the English courts in respect of any claim or dispute arising out of or in connection with this Agreement.</w:t>
      </w:r>
      <w:r>
        <w:t xml:space="preserve"> </w:t>
      </w:r>
    </w:p>
    <w:p w14:paraId="759A100D" w14:textId="77777777" w:rsidR="00F67E9E" w:rsidRPr="00064390" w:rsidRDefault="00F67E9E" w:rsidP="00F67E9E">
      <w:pPr>
        <w:pStyle w:val="StdBodyText"/>
        <w:rPr>
          <w:rFonts w:cs="Arial"/>
        </w:rPr>
      </w:pPr>
    </w:p>
    <w:p w14:paraId="3266ADF2" w14:textId="77777777" w:rsidR="00F67E9E" w:rsidRPr="00064390" w:rsidRDefault="00F67E9E" w:rsidP="00F67E9E">
      <w:pPr>
        <w:pStyle w:val="StdBodyText"/>
        <w:rPr>
          <w:rFonts w:cs="Arial"/>
        </w:rPr>
      </w:pPr>
      <w:r w:rsidRPr="00BA56A1">
        <w:rPr>
          <w:rStyle w:val="StdBodyTextBoldChar"/>
          <w:rFonts w:cs="Arial"/>
        </w:rPr>
        <w:t>IN WITNESS</w:t>
      </w:r>
      <w:r w:rsidRPr="00BA56A1">
        <w:rPr>
          <w:rFonts w:cs="Arial"/>
        </w:rPr>
        <w:t xml:space="preserve"> of the above this Agreement has</w:t>
      </w:r>
      <w:r w:rsidRPr="00064390">
        <w:rPr>
          <w:rFonts w:cs="Arial"/>
        </w:rPr>
        <w:t xml:space="preserve"> been signed by the duly authorised representatives of the Parties on the date which appears at the head of page </w:t>
      </w:r>
      <w:bookmarkStart w:id="1355" w:name="_9kMHG5YVtCIB9AHREyq1QSZaUC43FG6967GCI"/>
      <w:r w:rsidRPr="00064390">
        <w:rPr>
          <w:rFonts w:cs="Arial"/>
        </w:rPr>
        <w:t>1</w:t>
      </w:r>
      <w:bookmarkEnd w:id="1355"/>
      <w:r w:rsidRPr="00064390">
        <w:rPr>
          <w:rFonts w:cs="Arial"/>
        </w:rPr>
        <w:t>.</w:t>
      </w:r>
    </w:p>
    <w:p w14:paraId="282BF40F" w14:textId="77777777" w:rsidR="00F67E9E" w:rsidRPr="00064390" w:rsidRDefault="00F67E9E" w:rsidP="00F67E9E">
      <w:pPr>
        <w:pStyle w:val="StdBodyTextBold"/>
        <w:rPr>
          <w:rFonts w:cs="Arial"/>
          <w:highlight w:val="yellow"/>
        </w:rPr>
      </w:pPr>
      <w:r w:rsidRPr="00064390">
        <w:rPr>
          <w:rFonts w:cs="Arial"/>
        </w:rPr>
        <w:t xml:space="preserve">For and on behalf of </w:t>
      </w:r>
      <w:r w:rsidRPr="00064390">
        <w:rPr>
          <w:rFonts w:cs="Arial"/>
          <w:highlight w:val="yellow"/>
        </w:rPr>
        <w:t>[</w:t>
      </w:r>
      <w:r w:rsidRPr="005F1047">
        <w:rPr>
          <w:rFonts w:cs="Arial"/>
          <w:iCs/>
          <w:highlight w:val="yellow"/>
        </w:rPr>
        <w:t>name of Supplier</w:t>
      </w:r>
      <w:r w:rsidRPr="00064390">
        <w:rPr>
          <w:rFonts w:cs="Arial"/>
          <w:highlight w:val="yellow"/>
        </w:rPr>
        <w:t>]</w:t>
      </w:r>
    </w:p>
    <w:p w14:paraId="393EA071" w14:textId="77777777" w:rsidR="00F67E9E" w:rsidRPr="00064390" w:rsidRDefault="00F67E9E" w:rsidP="00F67E9E">
      <w:pPr>
        <w:pStyle w:val="StdBodyText"/>
        <w:rPr>
          <w:rFonts w:cs="Arial"/>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9"/>
        <w:gridCol w:w="4535"/>
      </w:tblGrid>
      <w:tr w:rsidR="00F67E9E" w:rsidRPr="00064390" w14:paraId="6111B91F" w14:textId="77777777" w:rsidTr="007F74AA">
        <w:tc>
          <w:tcPr>
            <w:tcW w:w="5669" w:type="dxa"/>
          </w:tcPr>
          <w:p w14:paraId="329DE359" w14:textId="77777777" w:rsidR="00F67E9E" w:rsidRPr="00064390" w:rsidRDefault="00F67E9E" w:rsidP="007F74AA">
            <w:pPr>
              <w:pStyle w:val="StdBodyText"/>
              <w:rPr>
                <w:rFonts w:cs="Arial"/>
                <w:sz w:val="24"/>
              </w:rPr>
            </w:pPr>
            <w:r w:rsidRPr="00064390">
              <w:rPr>
                <w:rFonts w:cs="Arial"/>
                <w:sz w:val="24"/>
              </w:rPr>
              <w:t>Signature: ___________________________</w:t>
            </w:r>
          </w:p>
          <w:p w14:paraId="6E278E11" w14:textId="77777777" w:rsidR="00F67E9E" w:rsidRPr="00064390" w:rsidRDefault="00F67E9E" w:rsidP="007F74AA">
            <w:pPr>
              <w:pStyle w:val="StdBodyText"/>
              <w:rPr>
                <w:rFonts w:cs="Arial"/>
                <w:sz w:val="24"/>
              </w:rPr>
            </w:pPr>
          </w:p>
        </w:tc>
        <w:tc>
          <w:tcPr>
            <w:tcW w:w="4535" w:type="dxa"/>
          </w:tcPr>
          <w:p w14:paraId="7E821FFA" w14:textId="77777777" w:rsidR="00F67E9E" w:rsidRPr="00064390" w:rsidRDefault="00F67E9E" w:rsidP="007F74AA">
            <w:pPr>
              <w:pStyle w:val="StdBodyText"/>
              <w:rPr>
                <w:rFonts w:cs="Arial"/>
                <w:sz w:val="24"/>
              </w:rPr>
            </w:pPr>
            <w:r w:rsidRPr="00064390">
              <w:rPr>
                <w:rFonts w:cs="Arial"/>
                <w:sz w:val="24"/>
              </w:rPr>
              <w:t>Date:</w:t>
            </w:r>
          </w:p>
        </w:tc>
      </w:tr>
      <w:tr w:rsidR="00F67E9E" w:rsidRPr="00064390" w14:paraId="767F3552" w14:textId="77777777" w:rsidTr="007F74AA">
        <w:tc>
          <w:tcPr>
            <w:tcW w:w="5669" w:type="dxa"/>
          </w:tcPr>
          <w:p w14:paraId="7FF7CB7A" w14:textId="77777777" w:rsidR="00F67E9E" w:rsidRPr="00064390" w:rsidRDefault="00F67E9E" w:rsidP="007F74AA">
            <w:pPr>
              <w:pStyle w:val="StdBodyText"/>
              <w:rPr>
                <w:rFonts w:cs="Arial"/>
                <w:sz w:val="24"/>
              </w:rPr>
            </w:pPr>
            <w:r w:rsidRPr="00064390">
              <w:rPr>
                <w:rFonts w:cs="Arial"/>
                <w:sz w:val="24"/>
              </w:rPr>
              <w:t>Name:</w:t>
            </w:r>
            <w:r w:rsidRPr="00064390">
              <w:rPr>
                <w:rFonts w:cs="Arial"/>
                <w:sz w:val="24"/>
              </w:rPr>
              <w:tab/>
            </w:r>
          </w:p>
        </w:tc>
        <w:tc>
          <w:tcPr>
            <w:tcW w:w="4535" w:type="dxa"/>
          </w:tcPr>
          <w:p w14:paraId="6045F2C4" w14:textId="77777777" w:rsidR="00F67E9E" w:rsidRPr="00064390" w:rsidRDefault="00F67E9E" w:rsidP="007F74AA">
            <w:pPr>
              <w:pStyle w:val="StdBodyText"/>
              <w:rPr>
                <w:rFonts w:cs="Arial"/>
                <w:sz w:val="24"/>
              </w:rPr>
            </w:pPr>
            <w:r w:rsidRPr="00064390">
              <w:rPr>
                <w:rFonts w:cs="Arial"/>
                <w:sz w:val="24"/>
              </w:rPr>
              <w:t>Position:</w:t>
            </w:r>
          </w:p>
        </w:tc>
      </w:tr>
    </w:tbl>
    <w:p w14:paraId="092D8F1E" w14:textId="77777777" w:rsidR="00F67E9E" w:rsidRPr="00064390" w:rsidRDefault="00F67E9E" w:rsidP="00F67E9E">
      <w:pPr>
        <w:pStyle w:val="StdBodyTextBold"/>
        <w:rPr>
          <w:rFonts w:cs="Arial"/>
          <w:highlight w:val="yellow"/>
        </w:rPr>
      </w:pPr>
      <w:r w:rsidRPr="00064390">
        <w:rPr>
          <w:rFonts w:cs="Arial"/>
        </w:rPr>
        <w:t xml:space="preserve">For and on behalf of </w:t>
      </w:r>
      <w:r w:rsidRPr="00064390">
        <w:rPr>
          <w:rFonts w:cs="Arial"/>
          <w:highlight w:val="yellow"/>
        </w:rPr>
        <w:t>[</w:t>
      </w:r>
      <w:r w:rsidRPr="005F1047">
        <w:rPr>
          <w:rFonts w:cs="Arial"/>
          <w:iCs/>
          <w:highlight w:val="yellow"/>
        </w:rPr>
        <w:t>name of Benchmarker</w:t>
      </w:r>
      <w:r w:rsidRPr="00064390">
        <w:rPr>
          <w:rFonts w:cs="Arial"/>
          <w:highlight w:val="yellow"/>
        </w:rPr>
        <w:t>]</w:t>
      </w:r>
    </w:p>
    <w:p w14:paraId="33D81CFC" w14:textId="77777777" w:rsidR="00F67E9E" w:rsidRPr="00064390" w:rsidRDefault="00F67E9E" w:rsidP="00F67E9E">
      <w:pPr>
        <w:pStyle w:val="StdBodyText"/>
        <w:rPr>
          <w:rFonts w:cs="Arial"/>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9"/>
        <w:gridCol w:w="4535"/>
      </w:tblGrid>
      <w:tr w:rsidR="00F67E9E" w:rsidRPr="00064390" w14:paraId="607638BE" w14:textId="77777777" w:rsidTr="007F74AA">
        <w:tc>
          <w:tcPr>
            <w:tcW w:w="5669" w:type="dxa"/>
          </w:tcPr>
          <w:p w14:paraId="04DCB409" w14:textId="77777777" w:rsidR="00F67E9E" w:rsidRPr="00064390" w:rsidRDefault="00F67E9E" w:rsidP="007F74AA">
            <w:pPr>
              <w:pStyle w:val="StdBodyText"/>
              <w:rPr>
                <w:rFonts w:cs="Arial"/>
                <w:sz w:val="24"/>
              </w:rPr>
            </w:pPr>
            <w:r w:rsidRPr="00064390">
              <w:rPr>
                <w:rFonts w:cs="Arial"/>
                <w:sz w:val="24"/>
              </w:rPr>
              <w:t>Signature: ___________________________</w:t>
            </w:r>
          </w:p>
          <w:p w14:paraId="21F3717F" w14:textId="77777777" w:rsidR="00F67E9E" w:rsidRPr="00064390" w:rsidRDefault="00F67E9E" w:rsidP="007F74AA">
            <w:pPr>
              <w:pStyle w:val="StdBodyText"/>
              <w:rPr>
                <w:rFonts w:cs="Arial"/>
                <w:sz w:val="24"/>
              </w:rPr>
            </w:pPr>
          </w:p>
        </w:tc>
        <w:tc>
          <w:tcPr>
            <w:tcW w:w="4535" w:type="dxa"/>
          </w:tcPr>
          <w:p w14:paraId="1355DFC5" w14:textId="77777777" w:rsidR="00F67E9E" w:rsidRPr="00064390" w:rsidRDefault="00F67E9E" w:rsidP="007F74AA">
            <w:pPr>
              <w:pStyle w:val="StdBodyText"/>
              <w:rPr>
                <w:rFonts w:cs="Arial"/>
                <w:sz w:val="24"/>
              </w:rPr>
            </w:pPr>
            <w:r w:rsidRPr="00064390">
              <w:rPr>
                <w:rFonts w:cs="Arial"/>
                <w:sz w:val="24"/>
              </w:rPr>
              <w:t>Date:</w:t>
            </w:r>
          </w:p>
        </w:tc>
      </w:tr>
      <w:tr w:rsidR="00F67E9E" w:rsidRPr="00064390" w14:paraId="075836E6" w14:textId="77777777" w:rsidTr="007F74AA">
        <w:tc>
          <w:tcPr>
            <w:tcW w:w="5669" w:type="dxa"/>
          </w:tcPr>
          <w:p w14:paraId="326BC95C" w14:textId="77777777" w:rsidR="00F67E9E" w:rsidRPr="00064390" w:rsidRDefault="00F67E9E" w:rsidP="007F74AA">
            <w:pPr>
              <w:pStyle w:val="StdBodyText"/>
              <w:rPr>
                <w:rFonts w:cs="Arial"/>
                <w:sz w:val="24"/>
              </w:rPr>
            </w:pPr>
            <w:r w:rsidRPr="00064390">
              <w:rPr>
                <w:rFonts w:cs="Arial"/>
                <w:sz w:val="24"/>
              </w:rPr>
              <w:t>Name:</w:t>
            </w:r>
            <w:r w:rsidRPr="00064390">
              <w:rPr>
                <w:rFonts w:cs="Arial"/>
                <w:sz w:val="24"/>
              </w:rPr>
              <w:tab/>
            </w:r>
          </w:p>
        </w:tc>
        <w:tc>
          <w:tcPr>
            <w:tcW w:w="4535" w:type="dxa"/>
          </w:tcPr>
          <w:p w14:paraId="6C189D52" w14:textId="77777777" w:rsidR="00F67E9E" w:rsidRPr="00064390" w:rsidRDefault="00F67E9E" w:rsidP="007F74AA">
            <w:pPr>
              <w:pStyle w:val="StdBodyText"/>
              <w:rPr>
                <w:rFonts w:cs="Arial"/>
                <w:sz w:val="24"/>
              </w:rPr>
            </w:pPr>
            <w:r w:rsidRPr="00064390">
              <w:rPr>
                <w:rFonts w:cs="Arial"/>
                <w:sz w:val="24"/>
              </w:rPr>
              <w:t>Position:</w:t>
            </w:r>
          </w:p>
        </w:tc>
      </w:tr>
    </w:tbl>
    <w:p w14:paraId="5E3EBC71" w14:textId="77777777" w:rsidR="00F67E9E" w:rsidRDefault="00F67E9E" w:rsidP="00F67E9E"/>
    <w:p w14:paraId="27D01F4E" w14:textId="77777777" w:rsidR="00F67E9E" w:rsidRDefault="00F67E9E" w:rsidP="00F67E9E"/>
    <w:p w14:paraId="764DCE85" w14:textId="77777777" w:rsidR="00F67E9E" w:rsidRDefault="00F67E9E" w:rsidP="00F67E9E">
      <w:pPr>
        <w:sectPr w:rsidR="00F67E9E" w:rsidSect="00240D26">
          <w:headerReference w:type="default" r:id="rId97"/>
          <w:footerReference w:type="default" r:id="rId98"/>
          <w:footerReference w:type="first" r:id="rId99"/>
          <w:pgSz w:w="11900" w:h="16840"/>
          <w:pgMar w:top="1701" w:right="851" w:bottom="1134" w:left="851" w:header="567" w:footer="567" w:gutter="0"/>
          <w:cols w:space="720"/>
          <w:docGrid w:linePitch="360"/>
        </w:sectPr>
      </w:pPr>
    </w:p>
    <w:p w14:paraId="21F8C6B2" w14:textId="77777777" w:rsidR="00F67E9E" w:rsidRPr="00EE4F10" w:rsidRDefault="00F67E9E" w:rsidP="00F67E9E">
      <w:pPr>
        <w:pStyle w:val="Dividername"/>
      </w:pPr>
      <w:r w:rsidRPr="00EE4F10">
        <w:t>Schedule 18</w:t>
      </w:r>
    </w:p>
    <w:p w14:paraId="5FEB503C" w14:textId="77777777" w:rsidR="00F67E9E" w:rsidRPr="00EE4F10" w:rsidRDefault="00F67E9E" w:rsidP="00F67E9E">
      <w:pPr>
        <w:pStyle w:val="Dividername"/>
      </w:pPr>
      <w:r w:rsidRPr="00EE4F10">
        <w:t>Financial Distress</w:t>
      </w:r>
    </w:p>
    <w:p w14:paraId="61720921" w14:textId="77777777" w:rsidR="00F67E9E" w:rsidRDefault="00F67E9E" w:rsidP="00F67E9E"/>
    <w:p w14:paraId="6ED51013" w14:textId="77777777" w:rsidR="00F67E9E" w:rsidRPr="00BA56A1" w:rsidRDefault="00F67E9E" w:rsidP="00F67E9E">
      <w:pPr>
        <w:rPr>
          <w:szCs w:val="24"/>
        </w:rPr>
      </w:pPr>
      <w:r w:rsidRPr="00BA56A1">
        <w:rPr>
          <w:szCs w:val="24"/>
        </w:rPr>
        <w:br w:type="page"/>
      </w:r>
    </w:p>
    <w:p w14:paraId="7ED6A7FA" w14:textId="77777777" w:rsidR="00F67E9E" w:rsidRPr="005D0525" w:rsidRDefault="00F67E9E" w:rsidP="00F67E9E">
      <w:pPr>
        <w:pStyle w:val="Heading1"/>
      </w:pPr>
      <w:bookmarkStart w:id="1356" w:name="Schedule18"/>
      <w:bookmarkStart w:id="1357" w:name="_Ref92199989"/>
      <w:bookmarkStart w:id="1358" w:name="_Toc141711953"/>
      <w:r w:rsidRPr="005D0525">
        <w:t>Schedule</w:t>
      </w:r>
      <w:r>
        <w:t> </w:t>
      </w:r>
      <w:r w:rsidRPr="005D0525">
        <w:t>18</w:t>
      </w:r>
      <w:bookmarkEnd w:id="1356"/>
      <w:r>
        <w:t xml:space="preserve">: </w:t>
      </w:r>
      <w:bookmarkStart w:id="1359" w:name="Schedule18Heading"/>
      <w:r w:rsidRPr="005F1047">
        <w:t>Financial Distress</w:t>
      </w:r>
      <w:bookmarkEnd w:id="1357"/>
      <w:bookmarkEnd w:id="1358"/>
      <w:bookmarkEnd w:id="1359"/>
    </w:p>
    <w:p w14:paraId="0BF7246D" w14:textId="77777777" w:rsidR="00F67E9E" w:rsidRPr="00EF5BA5" w:rsidRDefault="00F67E9E" w:rsidP="00F67E9E">
      <w:pPr>
        <w:pStyle w:val="StdBodyTextBold"/>
        <w:rPr>
          <w:rFonts w:cs="Arial"/>
          <w:i/>
        </w:rPr>
      </w:pPr>
      <w:r>
        <w:rPr>
          <w:rFonts w:cs="Arial"/>
          <w:i/>
          <w:highlight w:val="yellow"/>
        </w:rPr>
        <w:t>[Guidance note:</w:t>
      </w:r>
      <w:r w:rsidRPr="00EF5BA5">
        <w:rPr>
          <w:rFonts w:cs="Arial"/>
          <w:i/>
          <w:highlight w:val="yellow"/>
        </w:rPr>
        <w:t xml:space="preserve"> This template Schedule provides the user with the option of using Credit Ratings and/or Financial Indicators for the purposes of the Financial Distress Provisions. Users may use any combination of these indicators to suit their own requirements and may delete or amend as required. Users should ensure that the drafting of any Financial Indicators aligns with the financial standing criteria used during the selection stage of the procurement.]</w:t>
      </w:r>
    </w:p>
    <w:p w14:paraId="233D0DCA" w14:textId="77777777" w:rsidR="00F67E9E" w:rsidRPr="001229F7" w:rsidRDefault="00F67E9E" w:rsidP="00F67E9E">
      <w:pPr>
        <w:pStyle w:val="Numbered1"/>
        <w:numPr>
          <w:ilvl w:val="0"/>
          <w:numId w:val="178"/>
        </w:numPr>
      </w:pPr>
      <w:r w:rsidRPr="00980373">
        <w:t>Definitions</w:t>
      </w:r>
    </w:p>
    <w:p w14:paraId="7846CDF4" w14:textId="77777777" w:rsidR="00F67E9E" w:rsidRPr="00BA56A1" w:rsidRDefault="00F67E9E" w:rsidP="00F67E9E">
      <w:pPr>
        <w:pStyle w:val="Numbered11"/>
      </w:pPr>
      <w:r w:rsidRPr="00BA56A1">
        <w:t xml:space="preserve">In this Schedule, the following definitions </w:t>
      </w:r>
      <w:r w:rsidRPr="00980373">
        <w:t>shall</w:t>
      </w:r>
      <w:r w:rsidRPr="00BA56A1">
        <w:t xml:space="preserve"> apply:</w:t>
      </w:r>
    </w:p>
    <w:tbl>
      <w:tblPr>
        <w:tblStyle w:val="MSAdefinitions"/>
        <w:tblW w:w="9638" w:type="dxa"/>
        <w:tblLook w:val="04A0" w:firstRow="1" w:lastRow="0" w:firstColumn="1" w:lastColumn="0" w:noHBand="0" w:noVBand="1"/>
      </w:tblPr>
      <w:tblGrid>
        <w:gridCol w:w="2835"/>
        <w:gridCol w:w="6803"/>
      </w:tblGrid>
      <w:tr w:rsidR="00F67E9E" w:rsidRPr="00BA56A1" w14:paraId="27A2F0CF" w14:textId="77777777" w:rsidTr="007F74AA">
        <w:tc>
          <w:tcPr>
            <w:tcW w:w="2835" w:type="dxa"/>
          </w:tcPr>
          <w:p w14:paraId="4F580619" w14:textId="77777777" w:rsidR="00F67E9E" w:rsidRPr="00BA56A1" w:rsidRDefault="00F67E9E" w:rsidP="007F74AA">
            <w:pPr>
              <w:pStyle w:val="StdBodyTextBold"/>
              <w:rPr>
                <w:rFonts w:cs="Arial"/>
              </w:rPr>
            </w:pPr>
            <w:r>
              <w:rPr>
                <w:rFonts w:cs="Arial"/>
              </w:rPr>
              <w:t>“</w:t>
            </w:r>
            <w:r w:rsidRPr="00BA56A1">
              <w:rPr>
                <w:rFonts w:cs="Arial"/>
              </w:rPr>
              <w:t>Applicable Financial Indicators</w:t>
            </w:r>
            <w:r>
              <w:rPr>
                <w:rFonts w:cs="Arial"/>
              </w:rPr>
              <w:t>”</w:t>
            </w:r>
          </w:p>
        </w:tc>
        <w:tc>
          <w:tcPr>
            <w:tcW w:w="6803" w:type="dxa"/>
          </w:tcPr>
          <w:p w14:paraId="7EEEBBAE" w14:textId="0F936042" w:rsidR="00F67E9E" w:rsidRPr="00BA56A1" w:rsidRDefault="00F67E9E" w:rsidP="007F74AA">
            <w:pPr>
              <w:pStyle w:val="StdBodyText"/>
              <w:rPr>
                <w:rFonts w:cs="Arial"/>
              </w:rPr>
            </w:pPr>
            <w:r w:rsidRPr="00BA56A1">
              <w:rPr>
                <w:rFonts w:cs="Arial"/>
              </w:rPr>
              <w:t xml:space="preserve">means the financial indicators from </w:t>
            </w:r>
            <w:bookmarkStart w:id="1360" w:name="_9kMHG5YVt4DDEHHfGpqgyts0HP"/>
            <w:r w:rsidRPr="00BA56A1">
              <w:rPr>
                <w:rFonts w:cs="Arial"/>
              </w:rPr>
              <w:t xml:space="preserve">Paragraph </w:t>
            </w:r>
            <w:r w:rsidRPr="00BA56A1">
              <w:rPr>
                <w:rFonts w:cs="Arial"/>
              </w:rPr>
              <w:fldChar w:fldCharType="begin"/>
            </w:r>
            <w:r w:rsidRPr="00BA56A1">
              <w:rPr>
                <w:rFonts w:cs="Arial"/>
              </w:rPr>
              <w:instrText xml:space="preserve"> REF _Ref_ContractCompanion_9kb9Ur8B5 \n \h \t \* MERGEFORMAT </w:instrText>
            </w:r>
            <w:r w:rsidRPr="00BA56A1">
              <w:rPr>
                <w:rFonts w:cs="Arial"/>
              </w:rPr>
            </w:r>
            <w:r w:rsidRPr="00BA56A1">
              <w:rPr>
                <w:rFonts w:cs="Arial"/>
              </w:rPr>
              <w:fldChar w:fldCharType="separate"/>
            </w:r>
            <w:r w:rsidR="00302D39">
              <w:rPr>
                <w:rFonts w:cs="Arial"/>
              </w:rPr>
              <w:t>5.1</w:t>
            </w:r>
            <w:r w:rsidRPr="00BA56A1">
              <w:rPr>
                <w:rFonts w:cs="Arial"/>
              </w:rPr>
              <w:fldChar w:fldCharType="end"/>
            </w:r>
            <w:bookmarkEnd w:id="1360"/>
            <w:r w:rsidRPr="00BA56A1">
              <w:rPr>
                <w:rFonts w:cs="Arial"/>
              </w:rPr>
              <w:t xml:space="preserve"> of this Schedule which are to apply to the Monitored Suppliers as set out in </w:t>
            </w:r>
            <w:bookmarkStart w:id="1361" w:name="_9kMHG5YVt4DDCMPgGpqgyts0HQ"/>
            <w:r w:rsidRPr="00BA56A1">
              <w:rPr>
                <w:rFonts w:cs="Arial"/>
              </w:rPr>
              <w:t xml:space="preserve">Paragraph </w:t>
            </w:r>
            <w:r w:rsidRPr="00BA56A1">
              <w:rPr>
                <w:rFonts w:cs="Arial"/>
              </w:rPr>
              <w:fldChar w:fldCharType="begin"/>
            </w:r>
            <w:r w:rsidRPr="00BA56A1">
              <w:rPr>
                <w:rFonts w:cs="Arial"/>
              </w:rPr>
              <w:instrText xml:space="preserve"> REF _Ref_ContractCompanion_9kb9Ur6GH \n \h \t \* MERGEFORMAT </w:instrText>
            </w:r>
            <w:r w:rsidRPr="00BA56A1">
              <w:rPr>
                <w:rFonts w:cs="Arial"/>
              </w:rPr>
            </w:r>
            <w:r w:rsidRPr="00BA56A1">
              <w:rPr>
                <w:rFonts w:cs="Arial"/>
              </w:rPr>
              <w:fldChar w:fldCharType="separate"/>
            </w:r>
            <w:r w:rsidR="00302D39">
              <w:rPr>
                <w:rFonts w:cs="Arial"/>
              </w:rPr>
              <w:t>5.2</w:t>
            </w:r>
            <w:r w:rsidRPr="00BA56A1">
              <w:rPr>
                <w:rFonts w:cs="Arial"/>
              </w:rPr>
              <w:fldChar w:fldCharType="end"/>
            </w:r>
            <w:bookmarkEnd w:id="1361"/>
            <w:r w:rsidRPr="00BA56A1">
              <w:rPr>
                <w:rFonts w:cs="Arial"/>
              </w:rPr>
              <w:t xml:space="preserve"> of this Schedule;</w:t>
            </w:r>
          </w:p>
        </w:tc>
      </w:tr>
      <w:tr w:rsidR="00F67E9E" w:rsidRPr="00BA56A1" w14:paraId="648F7805" w14:textId="77777777" w:rsidTr="007F74AA">
        <w:tc>
          <w:tcPr>
            <w:tcW w:w="2835" w:type="dxa"/>
          </w:tcPr>
          <w:p w14:paraId="30FCEC93" w14:textId="77777777" w:rsidR="00F67E9E" w:rsidRPr="00BA56A1" w:rsidRDefault="00F67E9E" w:rsidP="007F74AA">
            <w:pPr>
              <w:pStyle w:val="StdBodyTextBold"/>
              <w:rPr>
                <w:rFonts w:cs="Arial"/>
              </w:rPr>
            </w:pPr>
            <w:r>
              <w:rPr>
                <w:rFonts w:cs="Arial"/>
              </w:rPr>
              <w:t>“</w:t>
            </w:r>
            <w:r w:rsidRPr="00BA56A1">
              <w:rPr>
                <w:rFonts w:cs="Arial"/>
              </w:rPr>
              <w:t>Board</w:t>
            </w:r>
            <w:r>
              <w:rPr>
                <w:rFonts w:cs="Arial"/>
              </w:rPr>
              <w:t>”</w:t>
            </w:r>
          </w:p>
        </w:tc>
        <w:tc>
          <w:tcPr>
            <w:tcW w:w="6803" w:type="dxa"/>
          </w:tcPr>
          <w:p w14:paraId="720C7FCB" w14:textId="77777777" w:rsidR="00F67E9E" w:rsidRPr="00BA56A1" w:rsidRDefault="00F67E9E" w:rsidP="007F74AA">
            <w:pPr>
              <w:pStyle w:val="StdBodyText"/>
              <w:rPr>
                <w:rFonts w:cs="Arial"/>
              </w:rPr>
            </w:pPr>
            <w:r w:rsidRPr="00BA56A1">
              <w:rPr>
                <w:rFonts w:cs="Arial"/>
              </w:rPr>
              <w:t>means the Supplier</w:t>
            </w:r>
            <w:r>
              <w:rPr>
                <w:rFonts w:cs="Arial"/>
              </w:rPr>
              <w:t>’</w:t>
            </w:r>
            <w:r w:rsidRPr="00BA56A1">
              <w:rPr>
                <w:rFonts w:cs="Arial"/>
              </w:rPr>
              <w:t>s board of directors;</w:t>
            </w:r>
          </w:p>
        </w:tc>
      </w:tr>
      <w:tr w:rsidR="00F67E9E" w:rsidRPr="00BA56A1" w14:paraId="28006A31" w14:textId="77777777" w:rsidTr="007F74AA">
        <w:tc>
          <w:tcPr>
            <w:tcW w:w="2835" w:type="dxa"/>
          </w:tcPr>
          <w:p w14:paraId="6EFC3998" w14:textId="77777777" w:rsidR="00F67E9E" w:rsidRPr="00BA56A1" w:rsidRDefault="00F67E9E" w:rsidP="007F74AA">
            <w:pPr>
              <w:pStyle w:val="StdBodyTextBold"/>
              <w:rPr>
                <w:rFonts w:cs="Arial"/>
              </w:rPr>
            </w:pPr>
            <w:r>
              <w:rPr>
                <w:rFonts w:cs="Arial"/>
              </w:rPr>
              <w:t>“</w:t>
            </w:r>
            <w:r w:rsidRPr="00BA56A1">
              <w:rPr>
                <w:rFonts w:cs="Arial"/>
              </w:rPr>
              <w:t>Board Confirmation</w:t>
            </w:r>
            <w:r>
              <w:rPr>
                <w:rFonts w:cs="Arial"/>
              </w:rPr>
              <w:t>”</w:t>
            </w:r>
          </w:p>
        </w:tc>
        <w:tc>
          <w:tcPr>
            <w:tcW w:w="6803" w:type="dxa"/>
          </w:tcPr>
          <w:p w14:paraId="5D3A7DFE" w14:textId="76E2FCD5" w:rsidR="00F67E9E" w:rsidRPr="00BA56A1" w:rsidRDefault="00F67E9E" w:rsidP="007F74AA">
            <w:pPr>
              <w:pStyle w:val="StdBodyText"/>
              <w:rPr>
                <w:rFonts w:cs="Arial"/>
              </w:rPr>
            </w:pPr>
            <w:r w:rsidRPr="00BA56A1">
              <w:rPr>
                <w:rFonts w:cs="Arial"/>
              </w:rPr>
              <w:t xml:space="preserve">means written confirmation from the Board in accordance with </w:t>
            </w:r>
            <w:bookmarkStart w:id="1362" w:name="_9kMHG5YVtCIB9BBcLhkhy7sFRTk7LNB01DC5ERX"/>
            <w:r w:rsidRPr="00BA56A1">
              <w:rPr>
                <w:rFonts w:cs="Arial"/>
              </w:rPr>
              <w:t xml:space="preserve">Paragraph </w:t>
            </w:r>
            <w:r w:rsidRPr="00BA56A1">
              <w:rPr>
                <w:rFonts w:cs="Arial"/>
              </w:rPr>
              <w:fldChar w:fldCharType="begin"/>
            </w:r>
            <w:r w:rsidRPr="00BA56A1">
              <w:rPr>
                <w:rFonts w:cs="Arial"/>
              </w:rPr>
              <w:instrText xml:space="preserve"> REF _Ref_ContractCompanion_9kb9Us34C \w \n \h \t \* MERGEFORMAT </w:instrText>
            </w:r>
            <w:r w:rsidRPr="00BA56A1">
              <w:rPr>
                <w:rFonts w:cs="Arial"/>
              </w:rPr>
            </w:r>
            <w:r w:rsidRPr="00BA56A1">
              <w:rPr>
                <w:rFonts w:cs="Arial"/>
              </w:rPr>
              <w:fldChar w:fldCharType="separate"/>
            </w:r>
            <w:r w:rsidR="00302D39">
              <w:rPr>
                <w:rFonts w:cs="Arial"/>
              </w:rPr>
              <w:t>8</w:t>
            </w:r>
            <w:r w:rsidRPr="00BA56A1">
              <w:rPr>
                <w:rFonts w:cs="Arial"/>
              </w:rPr>
              <w:fldChar w:fldCharType="end"/>
            </w:r>
            <w:bookmarkEnd w:id="1362"/>
            <w:r w:rsidRPr="00BA56A1">
              <w:rPr>
                <w:rFonts w:cs="Arial"/>
              </w:rPr>
              <w:t xml:space="preserve"> of this Schedule;</w:t>
            </w:r>
          </w:p>
        </w:tc>
      </w:tr>
      <w:tr w:rsidR="00F67E9E" w:rsidRPr="00BA56A1" w14:paraId="33D5019F" w14:textId="77777777" w:rsidTr="007F74AA">
        <w:tc>
          <w:tcPr>
            <w:tcW w:w="2835" w:type="dxa"/>
          </w:tcPr>
          <w:p w14:paraId="32F6A960" w14:textId="77777777" w:rsidR="00F67E9E" w:rsidRPr="00BA56A1" w:rsidRDefault="00F67E9E" w:rsidP="007F74AA">
            <w:pPr>
              <w:pStyle w:val="StdBodyTextBold"/>
              <w:rPr>
                <w:rFonts w:cs="Arial"/>
              </w:rPr>
            </w:pPr>
            <w:r>
              <w:rPr>
                <w:rFonts w:cs="Arial"/>
              </w:rPr>
              <w:t>“</w:t>
            </w:r>
            <w:r w:rsidRPr="00BA56A1">
              <w:rPr>
                <w:rFonts w:cs="Arial"/>
              </w:rPr>
              <w:t>Credit Rating Level</w:t>
            </w:r>
            <w:r>
              <w:rPr>
                <w:rFonts w:cs="Arial"/>
              </w:rPr>
              <w:t>”</w:t>
            </w:r>
          </w:p>
        </w:tc>
        <w:tc>
          <w:tcPr>
            <w:tcW w:w="6803" w:type="dxa"/>
          </w:tcPr>
          <w:p w14:paraId="3BCC9DF8" w14:textId="6044EF42" w:rsidR="00F67E9E" w:rsidRPr="00BA56A1" w:rsidRDefault="00F67E9E" w:rsidP="007F74AA">
            <w:pPr>
              <w:pStyle w:val="StdBodyText"/>
              <w:rPr>
                <w:rFonts w:cs="Arial"/>
              </w:rPr>
            </w:pPr>
            <w:r w:rsidRPr="00BA56A1">
              <w:rPr>
                <w:rFonts w:cs="Arial"/>
              </w:rPr>
              <w:t xml:space="preserve">a credit rating level as specified in Annex </w:t>
            </w:r>
            <w:r w:rsidRPr="00BA56A1">
              <w:rPr>
                <w:rFonts w:cs="Arial"/>
              </w:rPr>
              <w:fldChar w:fldCharType="begin"/>
            </w:r>
            <w:r w:rsidRPr="00BA56A1">
              <w:rPr>
                <w:rFonts w:cs="Arial"/>
              </w:rPr>
              <w:instrText xml:space="preserve"> REF ANNEX1_SCHEDULE18 \h </w:instrText>
            </w:r>
            <w:r>
              <w:rPr>
                <w:rFonts w:cs="Arial"/>
              </w:rPr>
              <w:instrText xml:space="preserve"> \* MERGEFORMAT </w:instrText>
            </w:r>
            <w:r w:rsidRPr="00BA56A1">
              <w:rPr>
                <w:rFonts w:cs="Arial"/>
              </w:rPr>
            </w:r>
            <w:r w:rsidRPr="00BA56A1">
              <w:rPr>
                <w:rFonts w:cs="Arial"/>
              </w:rPr>
              <w:fldChar w:fldCharType="separate"/>
            </w:r>
            <w:r w:rsidR="00302D39" w:rsidRPr="00302D39">
              <w:rPr>
                <w:rFonts w:cs="Arial"/>
              </w:rPr>
              <w:t>1</w:t>
            </w:r>
            <w:r w:rsidRPr="00BA56A1">
              <w:rPr>
                <w:rFonts w:cs="Arial"/>
              </w:rPr>
              <w:fldChar w:fldCharType="end"/>
            </w:r>
            <w:r w:rsidRPr="00BA56A1">
              <w:rPr>
                <w:rFonts w:cs="Arial"/>
              </w:rPr>
              <w:t xml:space="preserve"> of this Schedule;</w:t>
            </w:r>
          </w:p>
        </w:tc>
      </w:tr>
      <w:tr w:rsidR="00F67E9E" w:rsidRPr="00753B68" w14:paraId="366AE5A7" w14:textId="77777777" w:rsidTr="007F74AA">
        <w:tc>
          <w:tcPr>
            <w:tcW w:w="2835" w:type="dxa"/>
          </w:tcPr>
          <w:p w14:paraId="0DABF207" w14:textId="77777777" w:rsidR="00F67E9E" w:rsidRPr="00BA56A1" w:rsidRDefault="00F67E9E" w:rsidP="007F74AA">
            <w:pPr>
              <w:pStyle w:val="StdBodyTextBold"/>
              <w:rPr>
                <w:rFonts w:cs="Arial"/>
              </w:rPr>
            </w:pPr>
            <w:r>
              <w:rPr>
                <w:rFonts w:cs="Arial"/>
              </w:rPr>
              <w:t>“</w:t>
            </w:r>
            <w:r w:rsidRPr="00BA56A1">
              <w:rPr>
                <w:rFonts w:cs="Arial"/>
              </w:rPr>
              <w:t>Credit Rating Threshold</w:t>
            </w:r>
            <w:r>
              <w:rPr>
                <w:rFonts w:cs="Arial"/>
              </w:rPr>
              <w:t>”</w:t>
            </w:r>
          </w:p>
        </w:tc>
        <w:tc>
          <w:tcPr>
            <w:tcW w:w="6803" w:type="dxa"/>
          </w:tcPr>
          <w:p w14:paraId="1870B20A" w14:textId="475FD14E" w:rsidR="00F67E9E" w:rsidRPr="00753B68" w:rsidRDefault="00F67E9E" w:rsidP="007F74AA">
            <w:pPr>
              <w:pStyle w:val="StdBodyText"/>
              <w:rPr>
                <w:rFonts w:cs="Arial"/>
              </w:rPr>
            </w:pPr>
            <w:r w:rsidRPr="00BA56A1">
              <w:rPr>
                <w:rFonts w:cs="Arial"/>
              </w:rPr>
              <w:t xml:space="preserve">the minimum Credit Rating Level for each entity in the FDE Group as set out in Annex </w:t>
            </w:r>
            <w:r w:rsidRPr="00BA56A1">
              <w:rPr>
                <w:rFonts w:cs="Arial"/>
              </w:rPr>
              <w:fldChar w:fldCharType="begin"/>
            </w:r>
            <w:r w:rsidRPr="00BA56A1">
              <w:rPr>
                <w:rFonts w:cs="Arial"/>
              </w:rPr>
              <w:instrText xml:space="preserve"> REF ANNEX2_SCHEDULE18 \h </w:instrText>
            </w:r>
            <w:r>
              <w:rPr>
                <w:rFonts w:cs="Arial"/>
              </w:rPr>
              <w:instrText xml:space="preserve"> \* MERGEFORMAT </w:instrText>
            </w:r>
            <w:r w:rsidRPr="00BA56A1">
              <w:rPr>
                <w:rFonts w:cs="Arial"/>
              </w:rPr>
            </w:r>
            <w:r w:rsidRPr="00BA56A1">
              <w:rPr>
                <w:rFonts w:cs="Arial"/>
              </w:rPr>
              <w:fldChar w:fldCharType="separate"/>
            </w:r>
            <w:r w:rsidR="00302D39" w:rsidRPr="00302D39">
              <w:rPr>
                <w:rFonts w:cs="Arial"/>
              </w:rPr>
              <w:t>2</w:t>
            </w:r>
            <w:r w:rsidRPr="00BA56A1">
              <w:rPr>
                <w:rFonts w:cs="Arial"/>
              </w:rPr>
              <w:fldChar w:fldCharType="end"/>
            </w:r>
            <w:r w:rsidRPr="00BA56A1">
              <w:rPr>
                <w:rFonts w:cs="Arial"/>
              </w:rPr>
              <w:t xml:space="preserve"> of this Schedule;</w:t>
            </w:r>
          </w:p>
        </w:tc>
      </w:tr>
      <w:tr w:rsidR="00F67E9E" w:rsidRPr="00753B68" w14:paraId="69112443" w14:textId="77777777" w:rsidTr="007F74AA">
        <w:tc>
          <w:tcPr>
            <w:tcW w:w="2835" w:type="dxa"/>
          </w:tcPr>
          <w:p w14:paraId="3DF8FE1A" w14:textId="77777777" w:rsidR="00F67E9E" w:rsidRPr="00753B68" w:rsidRDefault="00F67E9E" w:rsidP="007F74AA">
            <w:pPr>
              <w:pStyle w:val="StdBodyTextBold"/>
              <w:rPr>
                <w:rFonts w:cs="Arial"/>
              </w:rPr>
            </w:pPr>
            <w:r>
              <w:rPr>
                <w:rFonts w:cs="Arial"/>
              </w:rPr>
              <w:t>“</w:t>
            </w:r>
            <w:r w:rsidRPr="00753B68">
              <w:rPr>
                <w:rFonts w:cs="Arial"/>
              </w:rPr>
              <w:t>FDE Group</w:t>
            </w:r>
            <w:r>
              <w:rPr>
                <w:rFonts w:cs="Arial"/>
              </w:rPr>
              <w:t>”</w:t>
            </w:r>
          </w:p>
        </w:tc>
        <w:tc>
          <w:tcPr>
            <w:tcW w:w="6803" w:type="dxa"/>
          </w:tcPr>
          <w:p w14:paraId="1438FB66" w14:textId="77777777" w:rsidR="00F67E9E" w:rsidRPr="00753B68" w:rsidRDefault="00F67E9E" w:rsidP="007F74AA">
            <w:pPr>
              <w:pStyle w:val="StdBodyText"/>
              <w:rPr>
                <w:rFonts w:cs="Arial"/>
              </w:rPr>
            </w:pPr>
            <w:r w:rsidRPr="00753B68">
              <w:rPr>
                <w:rFonts w:cs="Arial"/>
              </w:rPr>
              <w:t xml:space="preserve">means the </w:t>
            </w:r>
            <w:r w:rsidRPr="008758E7">
              <w:rPr>
                <w:rFonts w:cs="Arial"/>
                <w:highlight w:val="yellow"/>
              </w:rPr>
              <w:t>[Supplier, Key Sub-contractors, [the Guarantor] and the [Monitored Suppliers]]</w:t>
            </w:r>
            <w:r w:rsidRPr="00753B68">
              <w:rPr>
                <w:rFonts w:cs="Arial"/>
              </w:rPr>
              <w:t>;</w:t>
            </w:r>
          </w:p>
        </w:tc>
      </w:tr>
      <w:tr w:rsidR="00F67E9E" w:rsidRPr="00BA56A1" w14:paraId="4EB2F196" w14:textId="77777777" w:rsidTr="007F74AA">
        <w:tc>
          <w:tcPr>
            <w:tcW w:w="2835" w:type="dxa"/>
          </w:tcPr>
          <w:p w14:paraId="51A8FE9F" w14:textId="77777777" w:rsidR="00F67E9E" w:rsidRPr="00BA56A1" w:rsidRDefault="00F67E9E" w:rsidP="007F74AA">
            <w:pPr>
              <w:pStyle w:val="StdBodyTextBold"/>
              <w:rPr>
                <w:rFonts w:cs="Arial"/>
              </w:rPr>
            </w:pPr>
            <w:r>
              <w:rPr>
                <w:rFonts w:cs="Arial"/>
              </w:rPr>
              <w:t>“</w:t>
            </w:r>
            <w:r w:rsidRPr="00BA56A1">
              <w:rPr>
                <w:rFonts w:cs="Arial"/>
              </w:rPr>
              <w:t>Financial Indicators</w:t>
            </w:r>
            <w:r>
              <w:rPr>
                <w:rFonts w:cs="Arial"/>
              </w:rPr>
              <w:t>”</w:t>
            </w:r>
          </w:p>
        </w:tc>
        <w:tc>
          <w:tcPr>
            <w:tcW w:w="6803" w:type="dxa"/>
          </w:tcPr>
          <w:p w14:paraId="5B3D0342" w14:textId="4E580724" w:rsidR="00F67E9E" w:rsidRPr="00BA56A1" w:rsidRDefault="00F67E9E" w:rsidP="007F74AA">
            <w:pPr>
              <w:pStyle w:val="StdBodyText"/>
              <w:rPr>
                <w:rFonts w:cs="Arial"/>
              </w:rPr>
            </w:pPr>
            <w:r w:rsidRPr="00BA56A1">
              <w:rPr>
                <w:rFonts w:cs="Arial"/>
              </w:rPr>
              <w:t xml:space="preserve">in respect of the Supplier, Key Sub-contractors and the Guarantor, means each of the financial indicators set out at </w:t>
            </w:r>
            <w:bookmarkStart w:id="1363" w:name="_9kR3WTr2BC79E2knoewrqyFN"/>
            <w:r w:rsidRPr="00BA56A1">
              <w:rPr>
                <w:rFonts w:cs="Arial"/>
              </w:rPr>
              <w:t xml:space="preserve">Paragraph </w:t>
            </w:r>
            <w:r w:rsidRPr="00BA56A1">
              <w:rPr>
                <w:rFonts w:cs="Arial"/>
              </w:rPr>
              <w:fldChar w:fldCharType="begin"/>
            </w:r>
            <w:r w:rsidRPr="00BA56A1">
              <w:rPr>
                <w:rFonts w:cs="Arial"/>
              </w:rPr>
              <w:instrText xml:space="preserve"> REF _Ref_ContractCompanion_9kb9Us358 \n \h \t \* MERGEFORMAT </w:instrText>
            </w:r>
            <w:r w:rsidRPr="00BA56A1">
              <w:rPr>
                <w:rFonts w:cs="Arial"/>
              </w:rPr>
            </w:r>
            <w:r w:rsidRPr="00BA56A1">
              <w:rPr>
                <w:rFonts w:cs="Arial"/>
              </w:rPr>
              <w:fldChar w:fldCharType="separate"/>
            </w:r>
            <w:r w:rsidR="00302D39">
              <w:rPr>
                <w:rFonts w:cs="Arial"/>
              </w:rPr>
              <w:t>5.1</w:t>
            </w:r>
            <w:r w:rsidRPr="00BA56A1">
              <w:rPr>
                <w:rFonts w:cs="Arial"/>
              </w:rPr>
              <w:fldChar w:fldCharType="end"/>
            </w:r>
            <w:bookmarkEnd w:id="1363"/>
            <w:r w:rsidRPr="00BA56A1">
              <w:rPr>
                <w:rFonts w:cs="Arial"/>
              </w:rPr>
              <w:t xml:space="preserve"> of this Schedule; and in respect of each Monitored Supplier, means those Applicable Financial Indicators;</w:t>
            </w:r>
          </w:p>
        </w:tc>
      </w:tr>
      <w:tr w:rsidR="00F67E9E" w:rsidRPr="00BA56A1" w14:paraId="3CA9F98C" w14:textId="77777777" w:rsidTr="007F74AA">
        <w:tc>
          <w:tcPr>
            <w:tcW w:w="2835" w:type="dxa"/>
          </w:tcPr>
          <w:p w14:paraId="41EAF5F0" w14:textId="77777777" w:rsidR="00F67E9E" w:rsidRPr="00BA56A1" w:rsidRDefault="00F67E9E" w:rsidP="007F74AA">
            <w:pPr>
              <w:pStyle w:val="StdBodyTextBold"/>
              <w:rPr>
                <w:rFonts w:cs="Arial"/>
              </w:rPr>
            </w:pPr>
            <w:r>
              <w:rPr>
                <w:rFonts w:cs="Arial"/>
              </w:rPr>
              <w:t>“</w:t>
            </w:r>
            <w:r w:rsidRPr="00BA56A1">
              <w:rPr>
                <w:rFonts w:cs="Arial"/>
              </w:rPr>
              <w:t>Financial Target Thresholds</w:t>
            </w:r>
            <w:r>
              <w:rPr>
                <w:rFonts w:cs="Arial"/>
              </w:rPr>
              <w:t>”</w:t>
            </w:r>
          </w:p>
        </w:tc>
        <w:tc>
          <w:tcPr>
            <w:tcW w:w="6803" w:type="dxa"/>
          </w:tcPr>
          <w:p w14:paraId="6DE9C7FC" w14:textId="5DF41D8F" w:rsidR="00F67E9E" w:rsidRPr="00BA56A1" w:rsidRDefault="00F67E9E" w:rsidP="007F74AA">
            <w:pPr>
              <w:pStyle w:val="StdBodyText"/>
              <w:rPr>
                <w:rFonts w:cs="Arial"/>
              </w:rPr>
            </w:pPr>
            <w:r w:rsidRPr="00BA56A1">
              <w:rPr>
                <w:rFonts w:cs="Arial"/>
              </w:rPr>
              <w:t xml:space="preserve">means the target thresholds for each of the Financial Indicators set out at </w:t>
            </w:r>
            <w:bookmarkStart w:id="1364" w:name="_9kMHG5YVt4DE9BG4mpqgyts0HP"/>
            <w:r w:rsidRPr="00BA56A1">
              <w:rPr>
                <w:rFonts w:cs="Arial"/>
              </w:rPr>
              <w:t xml:space="preserve">Paragraph </w:t>
            </w:r>
            <w:r w:rsidRPr="00BA56A1">
              <w:rPr>
                <w:rFonts w:cs="Arial"/>
              </w:rPr>
              <w:fldChar w:fldCharType="begin"/>
            </w:r>
            <w:r w:rsidRPr="00BA56A1">
              <w:rPr>
                <w:rFonts w:cs="Arial"/>
              </w:rPr>
              <w:instrText xml:space="preserve"> REF _Ref_ContractCompanion_9kb9Us358 \n \h \t \* MERGEFORMAT </w:instrText>
            </w:r>
            <w:r w:rsidRPr="00BA56A1">
              <w:rPr>
                <w:rFonts w:cs="Arial"/>
              </w:rPr>
            </w:r>
            <w:r w:rsidRPr="00BA56A1">
              <w:rPr>
                <w:rFonts w:cs="Arial"/>
              </w:rPr>
              <w:fldChar w:fldCharType="separate"/>
            </w:r>
            <w:r w:rsidR="00302D39">
              <w:rPr>
                <w:rFonts w:cs="Arial"/>
              </w:rPr>
              <w:t>5.1</w:t>
            </w:r>
            <w:r w:rsidRPr="00BA56A1">
              <w:rPr>
                <w:rFonts w:cs="Arial"/>
              </w:rPr>
              <w:fldChar w:fldCharType="end"/>
            </w:r>
            <w:bookmarkEnd w:id="1364"/>
            <w:r w:rsidRPr="00BA56A1">
              <w:rPr>
                <w:rFonts w:cs="Arial"/>
              </w:rPr>
              <w:t xml:space="preserve"> of this Schedule;</w:t>
            </w:r>
          </w:p>
        </w:tc>
      </w:tr>
      <w:tr w:rsidR="00F67E9E" w:rsidRPr="00BA56A1" w14:paraId="63E8DBF7" w14:textId="77777777" w:rsidTr="007F74AA">
        <w:tc>
          <w:tcPr>
            <w:tcW w:w="2835" w:type="dxa"/>
          </w:tcPr>
          <w:p w14:paraId="5FD73205" w14:textId="77777777" w:rsidR="00F67E9E" w:rsidRPr="00BA56A1" w:rsidRDefault="00F67E9E" w:rsidP="007F74AA">
            <w:pPr>
              <w:pStyle w:val="StdBodyTextBold"/>
              <w:rPr>
                <w:rFonts w:cs="Arial"/>
              </w:rPr>
            </w:pPr>
            <w:r>
              <w:rPr>
                <w:rFonts w:cs="Arial"/>
              </w:rPr>
              <w:t>“</w:t>
            </w:r>
            <w:r w:rsidRPr="00BA56A1">
              <w:rPr>
                <w:rFonts w:cs="Arial"/>
              </w:rPr>
              <w:t>Monitored Suppliers</w:t>
            </w:r>
            <w:r>
              <w:rPr>
                <w:rFonts w:cs="Arial"/>
              </w:rPr>
              <w:t>”</w:t>
            </w:r>
          </w:p>
        </w:tc>
        <w:tc>
          <w:tcPr>
            <w:tcW w:w="6803" w:type="dxa"/>
          </w:tcPr>
          <w:p w14:paraId="5DA6D291" w14:textId="334A2CDC" w:rsidR="00F67E9E" w:rsidRPr="00BA56A1" w:rsidRDefault="00F67E9E" w:rsidP="007F74AA">
            <w:pPr>
              <w:pStyle w:val="StdBodyText"/>
              <w:rPr>
                <w:rFonts w:cs="Arial"/>
              </w:rPr>
            </w:pPr>
            <w:r w:rsidRPr="00BA56A1">
              <w:rPr>
                <w:rFonts w:cs="Arial"/>
              </w:rPr>
              <w:t xml:space="preserve">means those entities specified at </w:t>
            </w:r>
            <w:bookmarkStart w:id="1365" w:name="_9kR3WTr2BC79H5knoewrqyFO"/>
            <w:r w:rsidRPr="00BA56A1">
              <w:rPr>
                <w:rFonts w:cs="Arial"/>
              </w:rPr>
              <w:t xml:space="preserve">Paragraph </w:t>
            </w:r>
            <w:r w:rsidRPr="00BA56A1">
              <w:rPr>
                <w:rFonts w:cs="Arial"/>
              </w:rPr>
              <w:fldChar w:fldCharType="begin"/>
            </w:r>
            <w:r w:rsidRPr="00BA56A1">
              <w:rPr>
                <w:rFonts w:cs="Arial"/>
              </w:rPr>
              <w:instrText xml:space="preserve"> REF _Ref_ContractCompanion_9kb9Us35B \n \h \t \* MERGEFORMAT </w:instrText>
            </w:r>
            <w:r w:rsidRPr="00BA56A1">
              <w:rPr>
                <w:rFonts w:cs="Arial"/>
              </w:rPr>
            </w:r>
            <w:r w:rsidRPr="00BA56A1">
              <w:rPr>
                <w:rFonts w:cs="Arial"/>
              </w:rPr>
              <w:fldChar w:fldCharType="separate"/>
            </w:r>
            <w:r w:rsidR="00302D39">
              <w:rPr>
                <w:rFonts w:cs="Arial"/>
              </w:rPr>
              <w:t>5.2</w:t>
            </w:r>
            <w:r w:rsidRPr="00BA56A1">
              <w:rPr>
                <w:rFonts w:cs="Arial"/>
              </w:rPr>
              <w:fldChar w:fldCharType="end"/>
            </w:r>
            <w:bookmarkEnd w:id="1365"/>
            <w:r w:rsidRPr="00BA56A1">
              <w:rPr>
                <w:rFonts w:cs="Arial"/>
              </w:rPr>
              <w:t xml:space="preserve"> of this Schedule;</w:t>
            </w:r>
            <w:r>
              <w:rPr>
                <w:rFonts w:cs="Arial"/>
              </w:rPr>
              <w:t xml:space="preserve"> and</w:t>
            </w:r>
          </w:p>
        </w:tc>
      </w:tr>
      <w:tr w:rsidR="00F67E9E" w:rsidRPr="00BA56A1" w14:paraId="5E3A0D5C" w14:textId="77777777" w:rsidTr="007F74AA">
        <w:tc>
          <w:tcPr>
            <w:tcW w:w="2835" w:type="dxa"/>
          </w:tcPr>
          <w:p w14:paraId="774B8405" w14:textId="77777777" w:rsidR="00F67E9E" w:rsidRPr="00BA56A1" w:rsidRDefault="00F67E9E" w:rsidP="007F74AA">
            <w:pPr>
              <w:pStyle w:val="StdBodyTextBold"/>
              <w:rPr>
                <w:rFonts w:cs="Arial"/>
              </w:rPr>
            </w:pPr>
            <w:r>
              <w:rPr>
                <w:rFonts w:cs="Arial"/>
              </w:rPr>
              <w:t>“</w:t>
            </w:r>
            <w:r w:rsidRPr="00BA56A1">
              <w:rPr>
                <w:rFonts w:cs="Arial"/>
              </w:rPr>
              <w:t>Rating Agencies</w:t>
            </w:r>
            <w:r>
              <w:rPr>
                <w:rFonts w:cs="Arial"/>
              </w:rPr>
              <w:t>”</w:t>
            </w:r>
          </w:p>
        </w:tc>
        <w:tc>
          <w:tcPr>
            <w:tcW w:w="6803" w:type="dxa"/>
          </w:tcPr>
          <w:p w14:paraId="2714A63C" w14:textId="174533EA" w:rsidR="00F67E9E" w:rsidRPr="00BA56A1" w:rsidRDefault="00F67E9E" w:rsidP="007F74AA">
            <w:pPr>
              <w:pStyle w:val="StdBodyText"/>
              <w:rPr>
                <w:rFonts w:cs="Arial"/>
              </w:rPr>
            </w:pPr>
            <w:r w:rsidRPr="00BA56A1">
              <w:rPr>
                <w:rFonts w:cs="Arial"/>
              </w:rPr>
              <w:t xml:space="preserve">the rating agencies listed in Annex </w:t>
            </w:r>
            <w:r w:rsidRPr="00BA56A1">
              <w:rPr>
                <w:rFonts w:cs="Arial"/>
              </w:rPr>
              <w:fldChar w:fldCharType="begin"/>
            </w:r>
            <w:r w:rsidRPr="00BA56A1">
              <w:rPr>
                <w:rFonts w:cs="Arial"/>
              </w:rPr>
              <w:instrText xml:space="preserve"> REF ANNEX1_SCHEDULE18 \h </w:instrText>
            </w:r>
            <w:r>
              <w:rPr>
                <w:rFonts w:cs="Arial"/>
              </w:rPr>
              <w:instrText xml:space="preserve"> \* MERGEFORMAT </w:instrText>
            </w:r>
            <w:r w:rsidRPr="00BA56A1">
              <w:rPr>
                <w:rFonts w:cs="Arial"/>
              </w:rPr>
            </w:r>
            <w:r w:rsidRPr="00BA56A1">
              <w:rPr>
                <w:rFonts w:cs="Arial"/>
              </w:rPr>
              <w:fldChar w:fldCharType="separate"/>
            </w:r>
            <w:r w:rsidR="00302D39" w:rsidRPr="00302D39">
              <w:rPr>
                <w:rFonts w:cs="Arial"/>
              </w:rPr>
              <w:t>1</w:t>
            </w:r>
            <w:r w:rsidRPr="00BA56A1">
              <w:rPr>
                <w:rFonts w:cs="Arial"/>
              </w:rPr>
              <w:fldChar w:fldCharType="end"/>
            </w:r>
            <w:r w:rsidRPr="00BA56A1">
              <w:rPr>
                <w:rFonts w:cs="Arial"/>
              </w:rPr>
              <w:t xml:space="preserve"> of this Schedule.</w:t>
            </w:r>
          </w:p>
        </w:tc>
      </w:tr>
    </w:tbl>
    <w:p w14:paraId="741F59C9" w14:textId="77777777" w:rsidR="00F67E9E" w:rsidRPr="00BA56A1" w:rsidRDefault="00F67E9E" w:rsidP="00F67E9E">
      <w:pPr>
        <w:pStyle w:val="Numbered1"/>
      </w:pPr>
      <w:bookmarkStart w:id="1366" w:name="_9kMHG5YVtAGA67AD"/>
      <w:bookmarkStart w:id="1367" w:name="_Ref_ContractCompanion_9kb9Us3BE"/>
      <w:bookmarkEnd w:id="1366"/>
      <w:r w:rsidRPr="00980373">
        <w:t>Warranties</w:t>
      </w:r>
      <w:r w:rsidRPr="00BA56A1">
        <w:t xml:space="preserve"> </w:t>
      </w:r>
      <w:r>
        <w:t>a</w:t>
      </w:r>
      <w:r w:rsidRPr="00BA56A1">
        <w:t xml:space="preserve">nd Duty </w:t>
      </w:r>
      <w:r>
        <w:t>t</w:t>
      </w:r>
      <w:r w:rsidRPr="00BA56A1">
        <w:t>o Notify</w:t>
      </w:r>
      <w:bookmarkEnd w:id="1367"/>
    </w:p>
    <w:p w14:paraId="71C46C47" w14:textId="77777777" w:rsidR="00F67E9E" w:rsidRPr="00BA56A1" w:rsidRDefault="00F67E9E" w:rsidP="00F67E9E">
      <w:pPr>
        <w:pStyle w:val="Numbered11"/>
        <w:keepNext/>
      </w:pPr>
      <w:r w:rsidRPr="00BA56A1">
        <w:t xml:space="preserve">The Supplier warrants and represents to the Authority for the benefit of the Authority that as at the </w:t>
      </w:r>
      <w:r w:rsidRPr="00980373">
        <w:t>Effective</w:t>
      </w:r>
      <w:r w:rsidRPr="00BA56A1">
        <w:t xml:space="preserve"> Date:</w:t>
      </w:r>
    </w:p>
    <w:p w14:paraId="177ACE2A" w14:textId="30ADA552" w:rsidR="00F67E9E" w:rsidRPr="00980373" w:rsidRDefault="00F67E9E" w:rsidP="00F67E9E">
      <w:pPr>
        <w:pStyle w:val="Numbered111"/>
      </w:pPr>
      <w:r w:rsidRPr="00BA56A1">
        <w:t xml:space="preserve">the long term credit ratings issued for each entity in the FDE Group by each of the Rating </w:t>
      </w:r>
      <w:r w:rsidRPr="00980373">
        <w:t xml:space="preserve">Agencies are as set out in Annex </w:t>
      </w:r>
      <w:r w:rsidRPr="00980373">
        <w:fldChar w:fldCharType="begin"/>
      </w:r>
      <w:r w:rsidRPr="00980373">
        <w:instrText xml:space="preserve"> REF ANNEX2_SCHEDULE18 \h  \* MERGEFORMAT </w:instrText>
      </w:r>
      <w:r w:rsidRPr="00980373">
        <w:fldChar w:fldCharType="separate"/>
      </w:r>
      <w:r w:rsidR="00302D39" w:rsidRPr="00D00D9A">
        <w:t>2</w:t>
      </w:r>
      <w:r w:rsidRPr="00980373">
        <w:fldChar w:fldCharType="end"/>
      </w:r>
      <w:r w:rsidRPr="00980373">
        <w:t xml:space="preserve"> of this Schedule; and</w:t>
      </w:r>
    </w:p>
    <w:p w14:paraId="5D43EA29" w14:textId="77777777" w:rsidR="00F67E9E" w:rsidRPr="00BA56A1" w:rsidRDefault="00F67E9E" w:rsidP="00F67E9E">
      <w:pPr>
        <w:pStyle w:val="Numbered111"/>
      </w:pPr>
      <w:r w:rsidRPr="00980373">
        <w:t>the financial position or, as appropriate, the financial performance of each of the Supplier, Guarantor</w:t>
      </w:r>
      <w:r w:rsidRPr="00BA56A1">
        <w:t xml:space="preserve"> and Key Sub-contractors satisfies the Financial Target Thresholds.</w:t>
      </w:r>
    </w:p>
    <w:p w14:paraId="117B1CFC" w14:textId="77777777" w:rsidR="00F67E9E" w:rsidRPr="00190AA9" w:rsidRDefault="00F67E9E" w:rsidP="00F67E9E">
      <w:pPr>
        <w:pStyle w:val="Numbered11"/>
      </w:pPr>
      <w:r w:rsidRPr="00BA56A1">
        <w:t xml:space="preserve">The Supplier shall promptly notify (or shall procure that its auditors promptly notify) the Authority in writing if there is any downgrade in the credit rating issued by any Rating Agency for any entity in the FDE Group (and in any event within 5 Working Days of the occurrence </w:t>
      </w:r>
      <w:r w:rsidRPr="00190AA9">
        <w:t>of the downgrade).</w:t>
      </w:r>
    </w:p>
    <w:p w14:paraId="3B13AD37" w14:textId="77777777" w:rsidR="00F67E9E" w:rsidRPr="00BA56A1" w:rsidRDefault="00F67E9E" w:rsidP="00F67E9E">
      <w:pPr>
        <w:pStyle w:val="Numbered11"/>
      </w:pPr>
      <w:r w:rsidRPr="00190AA9">
        <w:t>The Supplier sh</w:t>
      </w:r>
      <w:r w:rsidRPr="00BA56A1">
        <w:t xml:space="preserve">all: </w:t>
      </w:r>
    </w:p>
    <w:p w14:paraId="7CE8DD43" w14:textId="77777777" w:rsidR="00F67E9E" w:rsidRPr="00190AA9" w:rsidRDefault="00F67E9E" w:rsidP="00F67E9E">
      <w:pPr>
        <w:pStyle w:val="Numbered111"/>
      </w:pPr>
      <w:r w:rsidRPr="00190AA9">
        <w:t>regularly monitor the credit ratings of each entity in the FDE Group with the Rating Agencies;</w:t>
      </w:r>
    </w:p>
    <w:p w14:paraId="0C7D3BB8" w14:textId="31981914" w:rsidR="00F67E9E" w:rsidRPr="00190AA9" w:rsidRDefault="00F67E9E" w:rsidP="00F67E9E">
      <w:pPr>
        <w:pStyle w:val="Numbered111"/>
      </w:pPr>
      <w:bookmarkStart w:id="1368" w:name="_9kR3WTrAG97AEEDnky0v298vsw132DGMKFLG2ba"/>
      <w:bookmarkStart w:id="1369" w:name="_Ref_ContractCompanion_9kb9Ur27C"/>
      <w:bookmarkStart w:id="1370" w:name="_Ref_ContractCompanion_9kb9Us368"/>
      <w:bookmarkStart w:id="1371" w:name="_Ref_ContractCompanion_9kb9Us39E"/>
      <w:r w:rsidRPr="00190AA9">
        <w:t xml:space="preserve">monitor and report on the Financial Indicators for each entity in the FDE Group against the Financial Target Thresholds at least at the frequency set out for each at </w:t>
      </w:r>
      <w:bookmarkStart w:id="1372" w:name="_9kMIH5YVt4DDEHHfGpqgyts0HP"/>
      <w:r w:rsidRPr="00190AA9">
        <w:t xml:space="preserve">Paragraph </w:t>
      </w:r>
      <w:r w:rsidRPr="00190AA9">
        <w:fldChar w:fldCharType="begin"/>
      </w:r>
      <w:r w:rsidRPr="00190AA9">
        <w:instrText xml:space="preserve"> REF _Ref_ContractCompanion_9kb9Ur8B7 \n \h \t \* MERGEFORMAT </w:instrText>
      </w:r>
      <w:r w:rsidRPr="00190AA9">
        <w:fldChar w:fldCharType="separate"/>
      </w:r>
      <w:r w:rsidR="00302D39">
        <w:t>5.1</w:t>
      </w:r>
      <w:r w:rsidRPr="00190AA9">
        <w:fldChar w:fldCharType="end"/>
      </w:r>
      <w:bookmarkEnd w:id="1372"/>
      <w:r w:rsidRPr="00190AA9">
        <w:t xml:space="preserve"> (where specified) and in any event, on a regular basis and no less than once a year within 120 days after the Accounting Reference Date;</w:t>
      </w:r>
      <w:bookmarkEnd w:id="1368"/>
      <w:r w:rsidRPr="00190AA9">
        <w:t xml:space="preserve"> and</w:t>
      </w:r>
      <w:bookmarkEnd w:id="1369"/>
      <w:bookmarkEnd w:id="1370"/>
      <w:bookmarkEnd w:id="1371"/>
    </w:p>
    <w:p w14:paraId="3B68B65E" w14:textId="77777777" w:rsidR="00F67E9E" w:rsidRPr="00BA56A1" w:rsidRDefault="00F67E9E" w:rsidP="00F67E9E">
      <w:pPr>
        <w:pStyle w:val="Numbered111"/>
      </w:pPr>
      <w:bookmarkStart w:id="1373" w:name="_Ref_ContractCompanion_9kb9Us3AB"/>
      <w:r w:rsidRPr="00190AA9">
        <w:t>promptly notify (or shall procure that its auditors promptly notify) the Authority in writing</w:t>
      </w:r>
      <w:r w:rsidRPr="00BA56A1">
        <w:t xml:space="preserve"> following the occurrence of a Financial Distress Event or any fact, circumstance or matter which could cause a Financial Distress Event (and in any event, ensure that such notification is made within 10 Working Days of the date on which the Supplier first becomes aware of the Financial Distress Event or the fact, circumstance or matter which could cause a Financial Distress Event).</w:t>
      </w:r>
      <w:bookmarkEnd w:id="1373"/>
    </w:p>
    <w:p w14:paraId="3B291AA7" w14:textId="41CC0AC0" w:rsidR="00F67E9E" w:rsidRPr="00BA56A1" w:rsidRDefault="00F67E9E" w:rsidP="00F67E9E">
      <w:pPr>
        <w:pStyle w:val="Numbered11"/>
      </w:pPr>
      <w:r w:rsidRPr="00BA56A1">
        <w:t xml:space="preserve">For the purposes of determining whether a Financial Distress Event has occurred pursuant to the provision of </w:t>
      </w:r>
      <w:bookmarkStart w:id="1374" w:name="_9kR3WTr2BC7ABYEnoewrqy2PMu"/>
      <w:r w:rsidRPr="00BA56A1">
        <w:t xml:space="preserve">Paragraph </w:t>
      </w:r>
      <w:r w:rsidRPr="00BA56A1">
        <w:fldChar w:fldCharType="begin"/>
      </w:r>
      <w:r w:rsidRPr="00BA56A1">
        <w:instrText xml:space="preserve"> REF _Ref_ContractCompanion_9kb9Us365 \w \h \t \* MERGEFORMAT </w:instrText>
      </w:r>
      <w:r w:rsidRPr="00BA56A1">
        <w:fldChar w:fldCharType="separate"/>
      </w:r>
      <w:r w:rsidR="00302D39">
        <w:t>3.1.1</w:t>
      </w:r>
      <w:r w:rsidRPr="00BA56A1">
        <w:fldChar w:fldCharType="end"/>
      </w:r>
      <w:bookmarkEnd w:id="1374"/>
      <w:r w:rsidRPr="00BA56A1">
        <w:t xml:space="preserve">, and for the purposes of determining relief under </w:t>
      </w:r>
      <w:bookmarkStart w:id="1375" w:name="_9kMJI5YVt4DDCKOhGpqgyts0JR"/>
      <w:r w:rsidRPr="00BA56A1">
        <w:t xml:space="preserve">Paragraph </w:t>
      </w:r>
      <w:r w:rsidRPr="00BA56A1">
        <w:fldChar w:fldCharType="begin"/>
      </w:r>
      <w:r w:rsidRPr="00BA56A1">
        <w:instrText xml:space="preserve"> REF _Ref_ContractCompanion_9kb9Ur6EG \n \h \t \* MERGEFORMAT </w:instrText>
      </w:r>
      <w:r w:rsidRPr="00BA56A1">
        <w:fldChar w:fldCharType="separate"/>
      </w:r>
      <w:r w:rsidR="00302D39">
        <w:t>7.1</w:t>
      </w:r>
      <w:r w:rsidRPr="00BA56A1">
        <w:fldChar w:fldCharType="end"/>
      </w:r>
      <w:bookmarkEnd w:id="1375"/>
      <w:r w:rsidRPr="00BA56A1">
        <w:t>, the credit rating of an FDE Group entity shall be deemed to have dropped below the applicable Credit Rating Threshold if:</w:t>
      </w:r>
    </w:p>
    <w:p w14:paraId="32F03EBA" w14:textId="77777777" w:rsidR="00F67E9E" w:rsidRPr="00190AA9" w:rsidRDefault="00F67E9E" w:rsidP="00F67E9E">
      <w:pPr>
        <w:pStyle w:val="Numbered111"/>
      </w:pPr>
      <w:r w:rsidRPr="00BA56A1">
        <w:t>any of the Rating Agencies have given a Credit Rating Level for that entity which is b</w:t>
      </w:r>
      <w:r w:rsidRPr="00190AA9">
        <w:t>elow the applicable Credit Rating Threshold; or</w:t>
      </w:r>
    </w:p>
    <w:p w14:paraId="45A3390A" w14:textId="03C9AA8F" w:rsidR="00F67E9E" w:rsidRPr="00BA56A1" w:rsidRDefault="00F67E9E" w:rsidP="00F67E9E">
      <w:pPr>
        <w:pStyle w:val="Numbered111"/>
      </w:pPr>
      <w:r w:rsidRPr="00190AA9">
        <w:t>a Rating</w:t>
      </w:r>
      <w:r w:rsidRPr="00BA56A1">
        <w:t xml:space="preserve"> Agency that is specified as holding a Credit Rating for an entity as set out at Annex </w:t>
      </w:r>
      <w:r w:rsidRPr="00BA56A1">
        <w:fldChar w:fldCharType="begin"/>
      </w:r>
      <w:r w:rsidRPr="00BA56A1">
        <w:instrText xml:space="preserve"> REF ANNEX2_SCHEDULE18 \h </w:instrText>
      </w:r>
      <w:r>
        <w:instrText xml:space="preserve"> \* MERGEFORMAT </w:instrText>
      </w:r>
      <w:r w:rsidRPr="00BA56A1">
        <w:fldChar w:fldCharType="separate"/>
      </w:r>
      <w:r w:rsidR="00302D39" w:rsidRPr="00D00D9A">
        <w:t>2</w:t>
      </w:r>
      <w:r w:rsidRPr="00BA56A1">
        <w:fldChar w:fldCharType="end"/>
      </w:r>
      <w:r w:rsidRPr="00BA56A1">
        <w:t xml:space="preserve"> of this Schedule ceases to hold a Credit Rating for that entity.</w:t>
      </w:r>
    </w:p>
    <w:p w14:paraId="21D01BD0" w14:textId="3855E8E0" w:rsidR="00F67E9E" w:rsidRPr="00BA56A1" w:rsidRDefault="00F67E9E" w:rsidP="00F67E9E">
      <w:pPr>
        <w:pStyle w:val="Numbered11"/>
      </w:pPr>
      <w:bookmarkStart w:id="1376" w:name="_Ref_ContractCompanion_9kb9Us7CA"/>
      <w:r w:rsidRPr="00BA56A1">
        <w:t xml:space="preserve">Each </w:t>
      </w:r>
      <w:r w:rsidRPr="00190AA9">
        <w:t>report</w:t>
      </w:r>
      <w:r w:rsidRPr="00BA56A1">
        <w:t xml:space="preserve"> submitted by the Supplier pursuant to </w:t>
      </w:r>
      <w:bookmarkStart w:id="1377" w:name="_9kMHG5YVtCIB9CGGFpm02x4BAxuy354FIOMHNI4"/>
      <w:r w:rsidRPr="00BA56A1">
        <w:t xml:space="preserve">Paragraph </w:t>
      </w:r>
      <w:r w:rsidRPr="00BA56A1">
        <w:fldChar w:fldCharType="begin"/>
      </w:r>
      <w:r w:rsidRPr="00BA56A1">
        <w:instrText xml:space="preserve"> REF _Ref_ContractCompanion_9kb9Us368 \w \h \t \* MERGEFORMAT </w:instrText>
      </w:r>
      <w:r w:rsidRPr="00BA56A1">
        <w:fldChar w:fldCharType="separate"/>
      </w:r>
      <w:r w:rsidR="00302D39">
        <w:t>2.3.2</w:t>
      </w:r>
      <w:r w:rsidRPr="00BA56A1">
        <w:fldChar w:fldCharType="end"/>
      </w:r>
      <w:bookmarkEnd w:id="1377"/>
      <w:r w:rsidRPr="00BA56A1">
        <w:t xml:space="preserve"> shall:</w:t>
      </w:r>
      <w:bookmarkEnd w:id="1376"/>
    </w:p>
    <w:p w14:paraId="47C7B29C" w14:textId="77777777" w:rsidR="00F67E9E" w:rsidRPr="00190AA9" w:rsidRDefault="00F67E9E" w:rsidP="00F67E9E">
      <w:pPr>
        <w:pStyle w:val="Numbered111"/>
      </w:pPr>
      <w:r w:rsidRPr="00BA56A1">
        <w:t xml:space="preserve">be a </w:t>
      </w:r>
      <w:r w:rsidRPr="00190AA9">
        <w:t>single report with separate sections for each of the FDE Group entities;</w:t>
      </w:r>
    </w:p>
    <w:p w14:paraId="531BDF6A" w14:textId="77777777" w:rsidR="00F67E9E" w:rsidRPr="00190AA9" w:rsidRDefault="00F67E9E" w:rsidP="00F67E9E">
      <w:pPr>
        <w:pStyle w:val="Numbered111"/>
      </w:pPr>
      <w:r w:rsidRPr="00190AA9">
        <w:t>contain a sufficient level of information to enable the Authority to verify the calculations that have been made in respect of the Financial Indicators;</w:t>
      </w:r>
    </w:p>
    <w:p w14:paraId="6F56D00E" w14:textId="77777777" w:rsidR="00F67E9E" w:rsidRPr="00190AA9" w:rsidRDefault="00F67E9E" w:rsidP="00F67E9E">
      <w:pPr>
        <w:pStyle w:val="Numbered111"/>
      </w:pPr>
      <w:r w:rsidRPr="00190AA9">
        <w:t>include key financial and other supporting information (including any accounts data that has been relied on) as separate annexes;</w:t>
      </w:r>
    </w:p>
    <w:p w14:paraId="70788E29" w14:textId="77777777" w:rsidR="00F67E9E" w:rsidRPr="00190AA9" w:rsidRDefault="00F67E9E" w:rsidP="00F67E9E">
      <w:pPr>
        <w:pStyle w:val="Numbered111"/>
      </w:pPr>
      <w:r w:rsidRPr="00190AA9">
        <w:t>be based on the audited accounts for the date or period on which the Financial Indicator is based or, where the Financial Indicator is not linked to an accounting period or an accounting reference date, on unaudited management accounts prepared in accordance with their normal timetable; and</w:t>
      </w:r>
    </w:p>
    <w:p w14:paraId="5BF2BC72" w14:textId="77777777" w:rsidR="00F67E9E" w:rsidRPr="00BA56A1" w:rsidRDefault="00F67E9E" w:rsidP="00F67E9E">
      <w:pPr>
        <w:pStyle w:val="Numbered111"/>
      </w:pPr>
      <w:r w:rsidRPr="00190AA9">
        <w:t>include a history of the Financial Indicators reported by the Supplier in graph form to enable the Authority to easily analyse and assess the trends in financial performance</w:t>
      </w:r>
      <w:r w:rsidRPr="00BA56A1">
        <w:t>.</w:t>
      </w:r>
    </w:p>
    <w:p w14:paraId="0A343D81" w14:textId="77777777" w:rsidR="00F67E9E" w:rsidRPr="00BA56A1" w:rsidRDefault="00F67E9E" w:rsidP="00F67E9E">
      <w:pPr>
        <w:pStyle w:val="Numbered1"/>
      </w:pPr>
      <w:r w:rsidRPr="00BA56A1">
        <w:t xml:space="preserve">Financial </w:t>
      </w:r>
      <w:r w:rsidRPr="00190AA9">
        <w:t>Distress</w:t>
      </w:r>
      <w:r w:rsidRPr="00BA56A1">
        <w:t xml:space="preserve"> Events</w:t>
      </w:r>
    </w:p>
    <w:p w14:paraId="11283A69" w14:textId="77777777" w:rsidR="00F67E9E" w:rsidRPr="00BA56A1" w:rsidRDefault="00F67E9E" w:rsidP="00F67E9E">
      <w:pPr>
        <w:pStyle w:val="Numbered11"/>
      </w:pPr>
      <w:bookmarkStart w:id="1378" w:name="_Ref44508774"/>
      <w:r w:rsidRPr="00BA56A1">
        <w:t xml:space="preserve">The following shall be </w:t>
      </w:r>
      <w:r w:rsidRPr="00190AA9">
        <w:t>Financial</w:t>
      </w:r>
      <w:r w:rsidRPr="00BA56A1">
        <w:t xml:space="preserve"> Distress Events:</w:t>
      </w:r>
      <w:bookmarkEnd w:id="1378"/>
    </w:p>
    <w:p w14:paraId="4F5578A1" w14:textId="77777777" w:rsidR="00F67E9E" w:rsidRPr="00190AA9" w:rsidRDefault="00F67E9E" w:rsidP="00F67E9E">
      <w:pPr>
        <w:pStyle w:val="Numbered111"/>
      </w:pPr>
      <w:bookmarkStart w:id="1379" w:name="_Ref_ContractCompanion_9kb9Us365"/>
      <w:r w:rsidRPr="00BA56A1">
        <w:t xml:space="preserve">the </w:t>
      </w:r>
      <w:r w:rsidRPr="00190AA9">
        <w:t>credit rating of an FDE Group entity dropping below the applicable Credit Rating Threshold;</w:t>
      </w:r>
      <w:bookmarkEnd w:id="1379"/>
    </w:p>
    <w:p w14:paraId="1D0191F5" w14:textId="77777777" w:rsidR="00F67E9E" w:rsidRPr="00190AA9" w:rsidRDefault="00F67E9E" w:rsidP="00F67E9E">
      <w:pPr>
        <w:pStyle w:val="Numbered111"/>
      </w:pPr>
      <w:bookmarkStart w:id="1380" w:name="_Ref_ContractCompanion_9kb9Us3BH"/>
      <w:r w:rsidRPr="00190AA9">
        <w:t>an FDE Group entity issuing a profits warning to a stock exchange or making any other public announcement, in each case about a material deterioration in its financial position or prospects;</w:t>
      </w:r>
      <w:bookmarkEnd w:id="1380"/>
    </w:p>
    <w:p w14:paraId="604912D5" w14:textId="77777777" w:rsidR="00F67E9E" w:rsidRPr="00190AA9" w:rsidRDefault="00F67E9E" w:rsidP="00F67E9E">
      <w:pPr>
        <w:pStyle w:val="Numbered111"/>
      </w:pPr>
      <w:r w:rsidRPr="00190AA9">
        <w:t xml:space="preserve">there being a public investigation into improper financial accounting and reporting, suspected fraud or any other impropriety of an FDE Group entity; </w:t>
      </w:r>
    </w:p>
    <w:p w14:paraId="6E64635F" w14:textId="77777777" w:rsidR="00F67E9E" w:rsidRPr="00190AA9" w:rsidRDefault="00F67E9E" w:rsidP="00F67E9E">
      <w:pPr>
        <w:pStyle w:val="Numbered111"/>
      </w:pPr>
      <w:r w:rsidRPr="00190AA9">
        <w:t xml:space="preserve">an FDE Group entity committing a material breach of covenant to its lenders; </w:t>
      </w:r>
    </w:p>
    <w:p w14:paraId="1C45263B" w14:textId="77777777" w:rsidR="00F67E9E" w:rsidRPr="00190AA9" w:rsidRDefault="00F67E9E" w:rsidP="00F67E9E">
      <w:pPr>
        <w:pStyle w:val="Numbered111"/>
      </w:pPr>
      <w:bookmarkStart w:id="1381" w:name="_Ref_ContractCompanion_9kb9Us378"/>
      <w:r w:rsidRPr="00190AA9">
        <w:t xml:space="preserve">a Key Sub-contractor notifying the Authority that the Supplier has not satisfied any material sums properly due under a specified invoice and not subject to a genuine dispute; </w:t>
      </w:r>
      <w:bookmarkEnd w:id="1381"/>
    </w:p>
    <w:p w14:paraId="23D85C82" w14:textId="77777777" w:rsidR="00F67E9E" w:rsidRPr="00190AA9" w:rsidRDefault="00F67E9E" w:rsidP="00F67E9E">
      <w:pPr>
        <w:pStyle w:val="Numbered111"/>
      </w:pPr>
      <w:r w:rsidRPr="00190AA9">
        <w:t>any FDE Group entity extends the filing period for filing its accounts with the Registrar of Companies so that the filing period ends more than 9 months after its accounting reference date without an explanation to the Authority which the Authority (acting reasonably) considers to be adequate;</w:t>
      </w:r>
    </w:p>
    <w:p w14:paraId="3E61AE1C" w14:textId="77777777" w:rsidR="00F67E9E" w:rsidRPr="00190AA9" w:rsidRDefault="00F67E9E" w:rsidP="00F67E9E">
      <w:pPr>
        <w:pStyle w:val="Numbered111"/>
      </w:pPr>
      <w:r w:rsidRPr="00190AA9">
        <w:t>any FDE Group entity is late to file its annual accounts without a public notification or an explanation to the Authority which the Authority, acting reasonably, considers to be adequate;</w:t>
      </w:r>
    </w:p>
    <w:p w14:paraId="44613B91" w14:textId="77777777" w:rsidR="00F67E9E" w:rsidRPr="00190AA9" w:rsidRDefault="00F67E9E" w:rsidP="00F67E9E">
      <w:pPr>
        <w:pStyle w:val="Numbered111"/>
      </w:pPr>
      <w:r w:rsidRPr="00190AA9">
        <w:t>the directors and/or external auditors of any FDE Group entity conclude that a material uncertainty exists in relation to that FDE Group entity’s going concern in the annual report including in a reasonable but plausible downside scenario. This includes, but is not limited to, commentary about liquidity and trading prospects in the reports from directors or external auditors;</w:t>
      </w:r>
    </w:p>
    <w:p w14:paraId="613709E2" w14:textId="77777777" w:rsidR="00F67E9E" w:rsidRPr="00BA56A1" w:rsidRDefault="00F67E9E" w:rsidP="00F67E9E">
      <w:pPr>
        <w:pStyle w:val="Numbered111"/>
      </w:pPr>
      <w:r w:rsidRPr="00190AA9">
        <w:t>any of the foll</w:t>
      </w:r>
      <w:r w:rsidRPr="00BA56A1">
        <w:t>owing:</w:t>
      </w:r>
    </w:p>
    <w:p w14:paraId="178305A3" w14:textId="77777777" w:rsidR="00F67E9E" w:rsidRPr="00190AA9" w:rsidRDefault="00F67E9E" w:rsidP="00F67E9E">
      <w:pPr>
        <w:pStyle w:val="Numbered111a"/>
      </w:pPr>
      <w:r w:rsidRPr="00BA56A1">
        <w:t>any FDE Group entity makes a public announcement which contains adverse commentary with regards to that FDE Group entity</w:t>
      </w:r>
      <w:r>
        <w:t>’</w:t>
      </w:r>
      <w:r w:rsidRPr="00BA56A1">
        <w:t xml:space="preserve">s liquidity and trading and trading prospects, such as but not limited to, a profit warning or ability </w:t>
      </w:r>
      <w:r w:rsidRPr="00190AA9">
        <w:t>to trade as a going concern;</w:t>
      </w:r>
    </w:p>
    <w:p w14:paraId="187BEC39" w14:textId="77777777" w:rsidR="00F67E9E" w:rsidRPr="00190AA9" w:rsidRDefault="00F67E9E" w:rsidP="00F67E9E">
      <w:pPr>
        <w:pStyle w:val="Numbered111a"/>
      </w:pPr>
      <w:r w:rsidRPr="00190AA9">
        <w:t xml:space="preserve">commencement of any litigation against an FDE Group entity with respect to financial indebtedness greater than £5m or obligations under a service contract with a total contract value greater than £5m; </w:t>
      </w:r>
    </w:p>
    <w:p w14:paraId="65220E69" w14:textId="77777777" w:rsidR="00F67E9E" w:rsidRPr="00190AA9" w:rsidRDefault="00F67E9E" w:rsidP="00F67E9E">
      <w:pPr>
        <w:pStyle w:val="Numbered111a"/>
      </w:pPr>
      <w:r w:rsidRPr="00190AA9">
        <w:t>non-payment by an FDE Group entity of any financial indebtedness;</w:t>
      </w:r>
    </w:p>
    <w:p w14:paraId="668FCBD3" w14:textId="77777777" w:rsidR="00F67E9E" w:rsidRPr="00190AA9" w:rsidRDefault="00F67E9E" w:rsidP="00F67E9E">
      <w:pPr>
        <w:pStyle w:val="Numbered111a"/>
      </w:pPr>
      <w:r w:rsidRPr="00190AA9">
        <w:t>any financial indebtedness of an FDE Group entity becoming due as a result of an event of default;</w:t>
      </w:r>
    </w:p>
    <w:p w14:paraId="358B5D42" w14:textId="77777777" w:rsidR="00F67E9E" w:rsidRPr="00190AA9" w:rsidRDefault="00F67E9E" w:rsidP="00F67E9E">
      <w:pPr>
        <w:pStyle w:val="Numbered111a"/>
      </w:pPr>
      <w:r w:rsidRPr="00190AA9">
        <w:t>the cancellation or suspension of any financial indebtedness in respect of an FDE Group entity; or</w:t>
      </w:r>
    </w:p>
    <w:p w14:paraId="3E856D44" w14:textId="77777777" w:rsidR="00F67E9E" w:rsidRPr="00BA56A1" w:rsidRDefault="00F67E9E" w:rsidP="00F67E9E">
      <w:pPr>
        <w:pStyle w:val="Numbered111a"/>
      </w:pPr>
      <w:r w:rsidRPr="00190AA9">
        <w:t>the external auditor of an FDE Group entity expressing a qualified opinion on, or including an emphasis of matter in, its opinion on the statutory accounts of that FD</w:t>
      </w:r>
      <w:r w:rsidRPr="00BA56A1">
        <w:t>E entity;</w:t>
      </w:r>
    </w:p>
    <w:p w14:paraId="1FBD9DB3" w14:textId="77777777" w:rsidR="00F67E9E" w:rsidRPr="00753B68" w:rsidRDefault="00F67E9E" w:rsidP="00F67E9E">
      <w:pPr>
        <w:pStyle w:val="StdBodyText4"/>
        <w:ind w:left="1800"/>
        <w:rPr>
          <w:rFonts w:cs="Arial"/>
        </w:rPr>
      </w:pPr>
      <w:r w:rsidRPr="00BA56A1">
        <w:rPr>
          <w:rFonts w:cs="Arial"/>
        </w:rPr>
        <w:t>in each case which the Authority reasonably believes (or would be likely reasonably to believe) could directly impact on the continued performance and delivery of the Services in accordance with this Contract; and</w:t>
      </w:r>
    </w:p>
    <w:p w14:paraId="4857A741" w14:textId="613D56ED" w:rsidR="00F67E9E" w:rsidRPr="00753B68" w:rsidRDefault="00F67E9E" w:rsidP="00F67E9E">
      <w:pPr>
        <w:pStyle w:val="Numbered111"/>
      </w:pPr>
      <w:bookmarkStart w:id="1382" w:name="_Ref_ContractCompanion_9kb9Us3CB"/>
      <w:r w:rsidRPr="00753B68">
        <w:t xml:space="preserve">any </w:t>
      </w:r>
      <w:r w:rsidRPr="00753B68">
        <w:rPr>
          <w:highlight w:val="yellow"/>
        </w:rPr>
        <w:t>[</w:t>
      </w:r>
      <w:r w:rsidRPr="008758E7">
        <w:rPr>
          <w:highlight w:val="yellow"/>
        </w:rPr>
        <w:t>one</w:t>
      </w:r>
      <w:r w:rsidRPr="00753B68">
        <w:rPr>
          <w:highlight w:val="yellow"/>
        </w:rPr>
        <w:t>]</w:t>
      </w:r>
      <w:r w:rsidRPr="00753B68">
        <w:t xml:space="preserve"> of the </w:t>
      </w:r>
      <w:r w:rsidRPr="00190AA9">
        <w:t>Financial</w:t>
      </w:r>
      <w:r w:rsidRPr="00753B68">
        <w:t xml:space="preserve"> Indicators set </w:t>
      </w:r>
      <w:r w:rsidRPr="00BA56A1">
        <w:t xml:space="preserve">out at </w:t>
      </w:r>
      <w:bookmarkStart w:id="1383" w:name="_9kMIH5YVt4DDDLFYGpqgyts0H"/>
      <w:r w:rsidRPr="00BA56A1">
        <w:t xml:space="preserve">Paragraph </w:t>
      </w:r>
      <w:r w:rsidRPr="00BA56A1">
        <w:fldChar w:fldCharType="begin"/>
      </w:r>
      <w:r w:rsidRPr="00BA56A1">
        <w:instrText xml:space="preserve"> REF _Ref_ContractCompanion_9kb9Ur7EG \w \n \h \t \* MERGEFORMAT </w:instrText>
      </w:r>
      <w:r w:rsidRPr="00BA56A1">
        <w:fldChar w:fldCharType="separate"/>
      </w:r>
      <w:r w:rsidR="00302D39">
        <w:t>5</w:t>
      </w:r>
      <w:r w:rsidRPr="00BA56A1">
        <w:fldChar w:fldCharType="end"/>
      </w:r>
      <w:bookmarkEnd w:id="1383"/>
      <w:r w:rsidRPr="00753B68">
        <w:t xml:space="preserve"> for any of the FDE Group entities failing to meet the required Financial Target Threshold.</w:t>
      </w:r>
      <w:bookmarkEnd w:id="1382"/>
    </w:p>
    <w:p w14:paraId="65B85089" w14:textId="77777777" w:rsidR="00F67E9E" w:rsidRPr="00753B68" w:rsidRDefault="00F67E9E" w:rsidP="00F67E9E">
      <w:pPr>
        <w:pStyle w:val="Numbered1"/>
      </w:pPr>
      <w:r w:rsidRPr="00753B68">
        <w:t xml:space="preserve">Consequences </w:t>
      </w:r>
      <w:r>
        <w:t>o</w:t>
      </w:r>
      <w:r w:rsidRPr="00753B68">
        <w:t xml:space="preserve">f </w:t>
      </w:r>
      <w:r w:rsidRPr="00190AA9">
        <w:t>Financial</w:t>
      </w:r>
      <w:r w:rsidRPr="00753B68">
        <w:t xml:space="preserve"> Distress Events</w:t>
      </w:r>
    </w:p>
    <w:p w14:paraId="6AF6957F" w14:textId="4BA71E96" w:rsidR="00F67E9E" w:rsidRPr="00190AA9" w:rsidRDefault="00F67E9E" w:rsidP="00F67E9E">
      <w:pPr>
        <w:pStyle w:val="Numbered11"/>
      </w:pPr>
      <w:bookmarkStart w:id="1384" w:name="_Ref_ContractCompanion_9kb9Us398"/>
      <w:bookmarkStart w:id="1385" w:name="_9kR3WTrAG97DEDDSLwphmkw1uFPHCBBDKF231uC"/>
      <w:r w:rsidRPr="00753B68">
        <w:t xml:space="preserve">Immediately upon notification by the Supplier of a Financial Distress Event (or if the Authority becomes aware of a Financial Distress Event without notification and brings the event to the attention of the Supplier), the Supplier </w:t>
      </w:r>
      <w:r w:rsidRPr="00BA56A1">
        <w:t xml:space="preserve">shall have the obligations and the </w:t>
      </w:r>
      <w:r w:rsidRPr="00190AA9">
        <w:t xml:space="preserve">Authority shall have the rights and remedies as set out in </w:t>
      </w:r>
      <w:bookmarkStart w:id="1386" w:name="_9kMHG5YVtCIB9CJLHhTlXiC85zt3I9sx9z26CH0"/>
      <w:r w:rsidRPr="00190AA9">
        <w:t xml:space="preserve">Paragraphs </w:t>
      </w:r>
      <w:r w:rsidRPr="00190AA9">
        <w:fldChar w:fldCharType="begin"/>
      </w:r>
      <w:r w:rsidRPr="00190AA9">
        <w:instrText xml:space="preserve"> REF _Ref_ContractCompanion_9kb9Us36B \n \h \t \* MERGEFORMAT </w:instrText>
      </w:r>
      <w:r w:rsidRPr="00190AA9">
        <w:fldChar w:fldCharType="separate"/>
      </w:r>
      <w:r w:rsidR="00302D39">
        <w:t>4.3</w:t>
      </w:r>
      <w:r w:rsidRPr="00190AA9">
        <w:fldChar w:fldCharType="end"/>
      </w:r>
      <w:bookmarkEnd w:id="1386"/>
      <w:r w:rsidRPr="00190AA9">
        <w:t xml:space="preserve"> to </w:t>
      </w:r>
      <w:bookmarkStart w:id="1387" w:name="_9kMHG5YVtCIB9DDEKWMzx1D80znxDGGL8zE9FI4"/>
      <w:r w:rsidRPr="00190AA9">
        <w:fldChar w:fldCharType="begin"/>
      </w:r>
      <w:r w:rsidRPr="00190AA9">
        <w:instrText xml:space="preserve"> REF _Ref_ContractCompanion_9kb9Us36E \n \h \t \* MERGEFORMAT </w:instrText>
      </w:r>
      <w:r w:rsidRPr="00190AA9">
        <w:fldChar w:fldCharType="separate"/>
      </w:r>
      <w:r w:rsidR="00302D39">
        <w:t>4.5</w:t>
      </w:r>
      <w:r w:rsidRPr="00190AA9">
        <w:fldChar w:fldCharType="end"/>
      </w:r>
      <w:bookmarkEnd w:id="1387"/>
      <w:r w:rsidRPr="00190AA9">
        <w:t>.</w:t>
      </w:r>
      <w:bookmarkEnd w:id="1384"/>
      <w:bookmarkEnd w:id="1385"/>
    </w:p>
    <w:p w14:paraId="10D22166" w14:textId="65BD99EA" w:rsidR="00F67E9E" w:rsidRPr="00BA56A1" w:rsidRDefault="00F67E9E" w:rsidP="00F67E9E">
      <w:pPr>
        <w:pStyle w:val="Numbered11"/>
      </w:pPr>
      <w:r w:rsidRPr="00190AA9">
        <w:t xml:space="preserve">In the event of a late or non-payment of a Key Sub-contractor pursuant to </w:t>
      </w:r>
      <w:bookmarkStart w:id="1388" w:name="_9kR3WTr2BC7BEaEnoewrqyDLx"/>
      <w:r w:rsidRPr="00190AA9">
        <w:t>Paragraph </w:t>
      </w:r>
      <w:r w:rsidRPr="00190AA9">
        <w:fldChar w:fldCharType="begin"/>
      </w:r>
      <w:r w:rsidRPr="00190AA9">
        <w:instrText xml:space="preserve"> REF _Ref_ContractCompanion_9kb9Us378 \w \h \t \* MERGEFORMAT </w:instrText>
      </w:r>
      <w:r w:rsidRPr="00190AA9">
        <w:fldChar w:fldCharType="separate"/>
      </w:r>
      <w:r w:rsidR="00302D39">
        <w:t>3.1.5</w:t>
      </w:r>
      <w:r w:rsidRPr="00190AA9">
        <w:fldChar w:fldCharType="end"/>
      </w:r>
      <w:bookmarkEnd w:id="1388"/>
      <w:r w:rsidRPr="00190AA9">
        <w:t xml:space="preserve">, the Authority shall not exercise any of its rights or remedies under </w:t>
      </w:r>
      <w:bookmarkStart w:id="1389" w:name="_9kMIH5YVtCIB9CJLHhTlXiC85zt3I9sx9z26CH0"/>
      <w:r w:rsidRPr="00190AA9">
        <w:t xml:space="preserve">Paragraph </w:t>
      </w:r>
      <w:r w:rsidRPr="00190AA9">
        <w:fldChar w:fldCharType="begin"/>
      </w:r>
      <w:r w:rsidRPr="00190AA9">
        <w:instrText xml:space="preserve"> REF _Ref_ContractCompanion_9kb9Us36B \n \h \t \* MERGEFORMAT </w:instrText>
      </w:r>
      <w:r w:rsidRPr="00190AA9">
        <w:fldChar w:fldCharType="separate"/>
      </w:r>
      <w:r w:rsidR="00302D39">
        <w:t>4.3</w:t>
      </w:r>
      <w:r w:rsidRPr="00190AA9">
        <w:fldChar w:fldCharType="end"/>
      </w:r>
      <w:bookmarkEnd w:id="1389"/>
      <w:r w:rsidRPr="00190AA9">
        <w:t xml:space="preserve"> without first givin</w:t>
      </w:r>
      <w:r w:rsidRPr="00BA56A1">
        <w:t>g the Supplier 10 Working Days to:</w:t>
      </w:r>
    </w:p>
    <w:p w14:paraId="68580E0F" w14:textId="77777777" w:rsidR="00F67E9E" w:rsidRPr="00190AA9" w:rsidRDefault="00F67E9E" w:rsidP="00F67E9E">
      <w:pPr>
        <w:pStyle w:val="Numbered111"/>
      </w:pPr>
      <w:r w:rsidRPr="00BA56A1">
        <w:t xml:space="preserve">rectify such late </w:t>
      </w:r>
      <w:r w:rsidRPr="00190AA9">
        <w:t xml:space="preserve">or non-payment; or </w:t>
      </w:r>
    </w:p>
    <w:p w14:paraId="152044A5" w14:textId="77777777" w:rsidR="00F67E9E" w:rsidRPr="00BA56A1" w:rsidRDefault="00F67E9E" w:rsidP="00F67E9E">
      <w:pPr>
        <w:pStyle w:val="Numbered111"/>
      </w:pPr>
      <w:r w:rsidRPr="00190AA9">
        <w:t>demonstrate to the</w:t>
      </w:r>
      <w:r w:rsidRPr="00BA56A1">
        <w:t xml:space="preserve"> Authority</w:t>
      </w:r>
      <w:r>
        <w:t>’</w:t>
      </w:r>
      <w:r w:rsidRPr="00BA56A1">
        <w:t>s reasonable satisfaction that there is a valid reason for late or non-payment.</w:t>
      </w:r>
    </w:p>
    <w:p w14:paraId="11F636B3" w14:textId="77777777" w:rsidR="00F67E9E" w:rsidRPr="00BA56A1" w:rsidRDefault="00F67E9E" w:rsidP="00F67E9E">
      <w:pPr>
        <w:pStyle w:val="Numbered11"/>
      </w:pPr>
      <w:bookmarkStart w:id="1390" w:name="_Ref_ContractCompanion_9kb9Us36B"/>
      <w:bookmarkStart w:id="1391" w:name="_9kR3WTrAG97AHJFfRjVgA63xr1G7qv7x04AFy3F"/>
      <w:bookmarkStart w:id="1392" w:name="_Ref_ContractCompanion_9kb9Us3AE"/>
      <w:r w:rsidRPr="00BA56A1">
        <w:t>The Supplier shall (</w:t>
      </w:r>
      <w:r w:rsidRPr="00190AA9">
        <w:t>and</w:t>
      </w:r>
      <w:r w:rsidRPr="00BA56A1">
        <w:t xml:space="preserve"> shall procure that any Monitored Supplier, the Guarantor and/or any relevant Key Sub-contractor shall):</w:t>
      </w:r>
      <w:bookmarkEnd w:id="1390"/>
      <w:bookmarkEnd w:id="1391"/>
      <w:bookmarkEnd w:id="1392"/>
    </w:p>
    <w:p w14:paraId="2D9D32D1" w14:textId="77777777" w:rsidR="00F67E9E" w:rsidRPr="00190AA9" w:rsidRDefault="00F67E9E" w:rsidP="00F67E9E">
      <w:pPr>
        <w:pStyle w:val="Numbered111"/>
      </w:pPr>
      <w:bookmarkStart w:id="1393" w:name="_9kR3WTrAG97BHIFmXrB0mxyyF43JG39CySdTHDO"/>
      <w:bookmarkStart w:id="1394" w:name="_Ref_ContractCompanion_9kb9Us37B"/>
      <w:r w:rsidRPr="00BA56A1">
        <w:t xml:space="preserve">at the request of the Authority, meet the Authority as soon as reasonably practicable (and in any event within 3 Working Days of the initial notification (or awareness) of the Financial Distress Event or such other period as the Authority may permit and notify to the Supplier in writing) to review the effect of the Financial Distress Event on the continued performance and delivery of the Services </w:t>
      </w:r>
      <w:r w:rsidRPr="00190AA9">
        <w:t>in accordance with this Contract;</w:t>
      </w:r>
      <w:bookmarkEnd w:id="1393"/>
      <w:r w:rsidRPr="00190AA9">
        <w:t xml:space="preserve"> and</w:t>
      </w:r>
      <w:bookmarkEnd w:id="1394"/>
    </w:p>
    <w:p w14:paraId="02B341D7" w14:textId="1C376D17" w:rsidR="00F67E9E" w:rsidRPr="00BA56A1" w:rsidRDefault="00F67E9E" w:rsidP="00F67E9E">
      <w:pPr>
        <w:pStyle w:val="Numbered111"/>
      </w:pPr>
      <w:bookmarkStart w:id="1395" w:name="_Ref_ContractCompanion_9kb9Ur27F"/>
      <w:r w:rsidRPr="00190AA9">
        <w:t>where the A</w:t>
      </w:r>
      <w:r w:rsidRPr="00BA56A1">
        <w:t xml:space="preserve">uthority reasonably believes (taking into account the discussions and any representations made under </w:t>
      </w:r>
      <w:bookmarkStart w:id="1396" w:name="_9kMHG5YVtCIB9DJKHoZtD2oz00H65LI5BE0UfVJ"/>
      <w:r w:rsidRPr="00BA56A1">
        <w:t xml:space="preserve">Paragraph </w:t>
      </w:r>
      <w:r w:rsidRPr="00BA56A1">
        <w:fldChar w:fldCharType="begin"/>
      </w:r>
      <w:r w:rsidRPr="00BA56A1">
        <w:instrText xml:space="preserve"> REF _Ref_ContractCompanion_9kb9Us37B \w \h \t \* MERGEFORMAT </w:instrText>
      </w:r>
      <w:r w:rsidRPr="00BA56A1">
        <w:fldChar w:fldCharType="separate"/>
      </w:r>
      <w:r w:rsidR="00302D39">
        <w:t>4.3.1</w:t>
      </w:r>
      <w:r w:rsidRPr="00BA56A1">
        <w:fldChar w:fldCharType="end"/>
      </w:r>
      <w:bookmarkEnd w:id="1396"/>
      <w:r w:rsidRPr="00BA56A1">
        <w:t xml:space="preserve"> that the Financial Distress Event could impact on the continued performance and delivery of the Services in accordance with this Contract: </w:t>
      </w:r>
      <w:bookmarkEnd w:id="1395"/>
    </w:p>
    <w:p w14:paraId="31F17447" w14:textId="77777777" w:rsidR="00F67E9E" w:rsidRPr="00190AA9" w:rsidRDefault="00F67E9E" w:rsidP="00F67E9E">
      <w:pPr>
        <w:pStyle w:val="Numbered111a"/>
      </w:pPr>
      <w:r w:rsidRPr="00BA56A1">
        <w:t xml:space="preserve">submit to the Authority for its approval, a draft Financial Distress Remediation Plan as soon as reasonably practicable (and in any event, within 10 Working Days of the initial notification (or awareness) of the Financial </w:t>
      </w:r>
      <w:r w:rsidRPr="00190AA9">
        <w:t>Distress Event or such other period as the Authority may permit and notify to the Supplier in writing); and</w:t>
      </w:r>
    </w:p>
    <w:p w14:paraId="170690DA" w14:textId="3F68564E" w:rsidR="00F67E9E" w:rsidRPr="00BA56A1" w:rsidRDefault="00F67E9E" w:rsidP="00F67E9E">
      <w:pPr>
        <w:pStyle w:val="Numbered111a"/>
      </w:pPr>
      <w:bookmarkStart w:id="1397" w:name="_Ref_ContractCompanion_9kb9Us39B"/>
      <w:bookmarkStart w:id="1398" w:name="_9kR3WTrAG97DHGFngo0782om6M4zFMBt6FGHHL8"/>
      <w:r w:rsidRPr="00190AA9">
        <w:t xml:space="preserve">to the extent that it is legally permitted to do so and subject to </w:t>
      </w:r>
      <w:bookmarkStart w:id="1399" w:name="_9kMHG5YVtCIB9EDDMmTlXiC85zt3I9sx9JRCCDx"/>
      <w:r w:rsidRPr="00190AA9">
        <w:t xml:space="preserve">Paragraph </w:t>
      </w:r>
      <w:r w:rsidRPr="00190AA9">
        <w:fldChar w:fldCharType="begin"/>
      </w:r>
      <w:r w:rsidRPr="00190AA9">
        <w:instrText xml:space="preserve"> REF _Ref_ContractCompanion_9kb9Us37E \n \h \t \* MERGEFORMAT </w:instrText>
      </w:r>
      <w:r w:rsidRPr="00190AA9">
        <w:fldChar w:fldCharType="separate"/>
      </w:r>
      <w:r w:rsidR="00302D39">
        <w:t>4.7</w:t>
      </w:r>
      <w:r w:rsidRPr="00190AA9">
        <w:fldChar w:fldCharType="end"/>
      </w:r>
      <w:bookmarkEnd w:id="1399"/>
      <w:r w:rsidRPr="00190AA9">
        <w:t>, provide such</w:t>
      </w:r>
      <w:r w:rsidRPr="00BA56A1">
        <w:t xml:space="preserve"> information relating to the Supplier, any Monitored Supplier, Key Sub-contractors and/or the Guarantor as the Authority may reasonably require in order to understand the risk to the Services, which may include forecasts in relation to cash flow, orders and profits and details of financial measures being considered to mitigate the impact of the Financial Distress Event.</w:t>
      </w:r>
      <w:bookmarkEnd w:id="1397"/>
      <w:bookmarkEnd w:id="1398"/>
    </w:p>
    <w:p w14:paraId="71EFC97E" w14:textId="77777777" w:rsidR="00F67E9E" w:rsidRPr="00BA56A1" w:rsidRDefault="00F67E9E" w:rsidP="00F67E9E">
      <w:pPr>
        <w:pStyle w:val="Numbered11"/>
      </w:pPr>
      <w:bookmarkStart w:id="1400" w:name="_9kR3WTrAG97CKKGgRjDOE2y947OO8rw8BFMVLJJ"/>
      <w:bookmarkStart w:id="1401" w:name="_Ref88648491"/>
      <w:bookmarkStart w:id="1402" w:name="_Ref_ContractCompanion_9kb9Us38E"/>
      <w:r w:rsidRPr="00BA56A1">
        <w:t>The Authority shall not withhold its approval of a draft Financial Distress Remediation Plan unreasonably.</w:t>
      </w:r>
      <w:bookmarkEnd w:id="1400"/>
      <w:r w:rsidRPr="00BA56A1">
        <w:t xml:space="preserve"> If the Authority does not approve the draft Financial Distress Remediation Plan, it shall inform the Supplier of its reasons and the Supplier shall take those reasons into account in the </w:t>
      </w:r>
      <w:r w:rsidRPr="00190AA9">
        <w:t>preparation</w:t>
      </w:r>
      <w:r w:rsidRPr="00BA56A1">
        <w:t xml:space="preserve"> of a further draft Financial Distress Remediation Plan, which shall be resubmitted to the Authority within 5 Working Days of the rejection of the first draft. This process shall be repeated until the Financial Distress Remediation Plan is either:</w:t>
      </w:r>
      <w:bookmarkEnd w:id="1401"/>
    </w:p>
    <w:p w14:paraId="1711DFDC" w14:textId="77777777" w:rsidR="00F67E9E" w:rsidRPr="00190AA9" w:rsidRDefault="00F67E9E" w:rsidP="00F67E9E">
      <w:pPr>
        <w:pStyle w:val="Numbered111"/>
      </w:pPr>
      <w:r w:rsidRPr="00190AA9">
        <w:t>approved by the Authority;</w:t>
      </w:r>
    </w:p>
    <w:p w14:paraId="23C5C2C8" w14:textId="77777777" w:rsidR="00F67E9E" w:rsidRPr="00190AA9" w:rsidRDefault="00F67E9E" w:rsidP="00F67E9E">
      <w:pPr>
        <w:pStyle w:val="Numbered111"/>
      </w:pPr>
      <w:r w:rsidRPr="00190AA9">
        <w:t>referred, by notice sent by either Party to the other Party explaining why it thinks the Financial Distress Remediation Plan has not been approved, to commercial negotiation led by senior representatives who have authority to agree the Financial Distress Remediation Plan to be held within 28 days of the date of the notice; or</w:t>
      </w:r>
    </w:p>
    <w:p w14:paraId="74CE2D8C" w14:textId="77777777" w:rsidR="00F67E9E" w:rsidRPr="00BA56A1" w:rsidRDefault="00F67E9E" w:rsidP="00F67E9E">
      <w:pPr>
        <w:pStyle w:val="Numbered111"/>
      </w:pPr>
      <w:r w:rsidRPr="00190AA9">
        <w:t>finally rejected</w:t>
      </w:r>
      <w:r w:rsidRPr="00BA56A1">
        <w:t xml:space="preserve"> by the Authority.</w:t>
      </w:r>
      <w:bookmarkEnd w:id="1402"/>
    </w:p>
    <w:p w14:paraId="24B64B39" w14:textId="77777777" w:rsidR="00F67E9E" w:rsidRPr="00BA56A1" w:rsidRDefault="00F67E9E" w:rsidP="00F67E9E">
      <w:pPr>
        <w:pStyle w:val="Numbered11"/>
      </w:pPr>
      <w:bookmarkStart w:id="1403" w:name="_Ref_ContractCompanion_9kb9Us36E"/>
      <w:bookmarkStart w:id="1404" w:name="_9kR3WTrAG97BBCIUKxvzB6yxlvBEEJ6xC7DG2ba"/>
      <w:bookmarkStart w:id="1405" w:name="_Ref_ContractCompanion_9kb9Us3CE"/>
      <w:r w:rsidRPr="00BA56A1">
        <w:t>Following approval of the Financial Distress Remediation Plan by the Authority, the Supplier shall:</w:t>
      </w:r>
      <w:bookmarkEnd w:id="1403"/>
      <w:bookmarkEnd w:id="1404"/>
      <w:bookmarkEnd w:id="1405"/>
    </w:p>
    <w:p w14:paraId="00708AD3" w14:textId="77777777" w:rsidR="00F67E9E" w:rsidRPr="00BA56A1" w:rsidRDefault="00F67E9E" w:rsidP="00F67E9E">
      <w:pPr>
        <w:pStyle w:val="Numbered111"/>
      </w:pPr>
      <w:bookmarkStart w:id="1406" w:name="_Ref_ContractCompanion_9kb9Us38B"/>
      <w:bookmarkStart w:id="1407" w:name="_9kR3WTrAG97CHHIplzmrwm39qxzj1ABQG3zzGH0"/>
      <w:r w:rsidRPr="00BA56A1">
        <w:t>on a regular basis (which shall not be less than fortnightly):</w:t>
      </w:r>
      <w:bookmarkEnd w:id="1406"/>
      <w:bookmarkEnd w:id="1407"/>
    </w:p>
    <w:p w14:paraId="788A6E35" w14:textId="77777777" w:rsidR="00F67E9E" w:rsidRPr="00190AA9" w:rsidRDefault="00F67E9E" w:rsidP="00F67E9E">
      <w:pPr>
        <w:pStyle w:val="Numbered111a"/>
      </w:pPr>
      <w:r w:rsidRPr="00BA56A1">
        <w:t xml:space="preserve">review and make any updates to the Financial Distress Remediation Plan as the Supplier may deem reasonably necessary and/or as may be reasonably requested by the Authority, so that the plan remains adequate, up to date and ensures the continued performance and delivery of the Services in </w:t>
      </w:r>
      <w:r w:rsidRPr="00190AA9">
        <w:t>accordance with this Contract; and</w:t>
      </w:r>
    </w:p>
    <w:p w14:paraId="71B2D1E0" w14:textId="77777777" w:rsidR="00F67E9E" w:rsidRPr="00BA56A1" w:rsidRDefault="00F67E9E" w:rsidP="00F67E9E">
      <w:pPr>
        <w:pStyle w:val="Numbered111a"/>
      </w:pPr>
      <w:r w:rsidRPr="00190AA9">
        <w:t>provide a written r</w:t>
      </w:r>
      <w:r w:rsidRPr="00BA56A1">
        <w:t>eport to the Authority setting out its progress against the Financial Distress Remediation Plan, the reasons for any changes made to the Financial Distress Remediation Plan by the Supplier and/or the reasons why the Supplier may have decided not to make any changes;</w:t>
      </w:r>
    </w:p>
    <w:p w14:paraId="742A7608" w14:textId="70734745" w:rsidR="00F67E9E" w:rsidRPr="00190AA9" w:rsidRDefault="00F67E9E" w:rsidP="00F67E9E">
      <w:pPr>
        <w:pStyle w:val="Numbered111"/>
      </w:pPr>
      <w:r w:rsidRPr="00BA56A1">
        <w:t xml:space="preserve">where updates are made to the Financial Distress Remediation Plan in accordance with </w:t>
      </w:r>
      <w:bookmarkStart w:id="1408" w:name="_9kMHG5YVtCIB9EJJKrn1otyo5Bsz1l3CDSI511I"/>
      <w:r w:rsidRPr="00BA56A1">
        <w:t xml:space="preserve">Paragraph </w:t>
      </w:r>
      <w:r w:rsidRPr="00BA56A1">
        <w:fldChar w:fldCharType="begin"/>
      </w:r>
      <w:r w:rsidRPr="00BA56A1">
        <w:instrText xml:space="preserve"> REF _Ref_ContractCompanion_9kb9Us38B \w \h \t \* MERGEFORMAT </w:instrText>
      </w:r>
      <w:r w:rsidRPr="00BA56A1">
        <w:fldChar w:fldCharType="separate"/>
      </w:r>
      <w:r w:rsidR="00302D39">
        <w:t>4.5.1</w:t>
      </w:r>
      <w:r w:rsidRPr="00BA56A1">
        <w:fldChar w:fldCharType="end"/>
      </w:r>
      <w:bookmarkEnd w:id="1408"/>
      <w:r w:rsidRPr="00BA56A1">
        <w:t xml:space="preserve">, submit an updated Financial Distress Remediation Plan to the Authority for its approval, and the provisions of </w:t>
      </w:r>
      <w:bookmarkStart w:id="1409" w:name="_9kMHG5YVtCIB9EMMIiTlFQG40B69QQAtyADHOXN"/>
      <w:r w:rsidRPr="00BA56A1">
        <w:t xml:space="preserve">Paragraphs </w:t>
      </w:r>
      <w:r w:rsidRPr="00BA56A1">
        <w:fldChar w:fldCharType="begin"/>
      </w:r>
      <w:r w:rsidRPr="00BA56A1">
        <w:instrText xml:space="preserve"> REF _Ref_ContractCompanion_9kb9Us38E \n \h \t \* MERGEFORMAT </w:instrText>
      </w:r>
      <w:r w:rsidRPr="00BA56A1">
        <w:fldChar w:fldCharType="separate"/>
      </w:r>
      <w:r w:rsidR="00302D39">
        <w:t>4.4</w:t>
      </w:r>
      <w:r w:rsidRPr="00BA56A1">
        <w:fldChar w:fldCharType="end"/>
      </w:r>
      <w:bookmarkEnd w:id="1409"/>
      <w:r w:rsidRPr="00BA56A1">
        <w:t xml:space="preserve"> and </w:t>
      </w:r>
      <w:bookmarkStart w:id="1410" w:name="_9kMIH5YVtCIB9EGGJYGy1nHSI62D8BSC3FKG2zE"/>
      <w:r w:rsidRPr="00BA56A1">
        <w:fldChar w:fldCharType="begin"/>
      </w:r>
      <w:r w:rsidRPr="00BA56A1">
        <w:instrText xml:space="preserve"> REF _Ref_ContractCompanion_9kb9Us38B \w \h \t \* MERGEFORMAT </w:instrText>
      </w:r>
      <w:r w:rsidRPr="00BA56A1">
        <w:fldChar w:fldCharType="separate"/>
      </w:r>
      <w:r w:rsidR="00302D39">
        <w:t>4.5.1</w:t>
      </w:r>
      <w:r w:rsidRPr="00BA56A1">
        <w:fldChar w:fldCharType="end"/>
      </w:r>
      <w:bookmarkEnd w:id="1410"/>
      <w:r w:rsidRPr="00BA56A1">
        <w:t xml:space="preserve"> shall apply to the review and approval process for the </w:t>
      </w:r>
      <w:r w:rsidRPr="00190AA9">
        <w:t xml:space="preserve">updated Financial Distress Remediation Plan; and </w:t>
      </w:r>
    </w:p>
    <w:p w14:paraId="1BFF1442" w14:textId="77777777" w:rsidR="00F67E9E" w:rsidRPr="00BA56A1" w:rsidRDefault="00F67E9E" w:rsidP="00F67E9E">
      <w:pPr>
        <w:pStyle w:val="Numbered111"/>
      </w:pPr>
      <w:bookmarkStart w:id="1411" w:name="_Ref_ContractCompanion_9kb9Us3BB"/>
      <w:r w:rsidRPr="00190AA9">
        <w:t>comply with the Financial Distress Remediation Plan (including any updated F</w:t>
      </w:r>
      <w:r w:rsidRPr="00BA56A1">
        <w:t>inancial Distress Remediation Plan) and ensure that it achieves the financial and performance requirements set out in the Financial Distress Remediation Plan.</w:t>
      </w:r>
      <w:bookmarkEnd w:id="1411"/>
    </w:p>
    <w:p w14:paraId="23B8EB7D" w14:textId="3889B8CD" w:rsidR="00F67E9E" w:rsidRPr="00190AA9" w:rsidRDefault="00F67E9E" w:rsidP="00F67E9E">
      <w:pPr>
        <w:pStyle w:val="Numbered11"/>
      </w:pPr>
      <w:r w:rsidRPr="00BA56A1">
        <w:t xml:space="preserve">Where the Supplier reasonably believes that the relevant Financial Distress Event under </w:t>
      </w:r>
      <w:bookmarkStart w:id="1412" w:name="_9kMHG5YVtCIB9FGFFUNyrjomy3wHRJEDDFMH453"/>
      <w:r w:rsidRPr="00BA56A1">
        <w:t xml:space="preserve">Paragraph </w:t>
      </w:r>
      <w:bookmarkEnd w:id="1412"/>
      <w:r w:rsidRPr="00BA56A1">
        <w:fldChar w:fldCharType="begin"/>
      </w:r>
      <w:r w:rsidRPr="00BA56A1">
        <w:instrText xml:space="preserve"> REF _Ref_ContractCompanion_9kb9Us398 \w \h </w:instrText>
      </w:r>
      <w:r>
        <w:instrText xml:space="preserve"> \* MERGEFORMAT </w:instrText>
      </w:r>
      <w:r w:rsidRPr="00BA56A1">
        <w:fldChar w:fldCharType="separate"/>
      </w:r>
      <w:r w:rsidR="00302D39">
        <w:t>4.1</w:t>
      </w:r>
      <w:r w:rsidRPr="00BA56A1">
        <w:fldChar w:fldCharType="end"/>
      </w:r>
      <w:r w:rsidRPr="00BA56A1">
        <w:t xml:space="preserve"> (or the circumstance or matter which has caused or otherwise led to it) no longer exists, it shall notify the Authority and the Parties may agree that the Supplier shall be </w:t>
      </w:r>
      <w:r w:rsidRPr="00190AA9">
        <w:t xml:space="preserve">relieved of its obligations under </w:t>
      </w:r>
      <w:bookmarkStart w:id="1413" w:name="_9kMIH5YVtCIB9DDEKWMzx1D80znxDGGL8zE9FI4"/>
      <w:r w:rsidRPr="00190AA9">
        <w:t xml:space="preserve">Paragraph </w:t>
      </w:r>
      <w:r w:rsidRPr="00190AA9">
        <w:fldChar w:fldCharType="begin"/>
      </w:r>
      <w:r w:rsidRPr="00190AA9">
        <w:instrText xml:space="preserve"> REF _Ref_ContractCompanion_9kb9Us36E \n \h \t \* MERGEFORMAT </w:instrText>
      </w:r>
      <w:r w:rsidRPr="00190AA9">
        <w:fldChar w:fldCharType="separate"/>
      </w:r>
      <w:r w:rsidR="00302D39">
        <w:t>4.5</w:t>
      </w:r>
      <w:r w:rsidRPr="00190AA9">
        <w:fldChar w:fldCharType="end"/>
      </w:r>
      <w:bookmarkEnd w:id="1413"/>
      <w:r w:rsidRPr="00190AA9">
        <w:t xml:space="preserve">. </w:t>
      </w:r>
    </w:p>
    <w:p w14:paraId="082EE724" w14:textId="4B69E709" w:rsidR="00F67E9E" w:rsidRPr="00BA56A1" w:rsidRDefault="00F67E9E" w:rsidP="00F67E9E">
      <w:pPr>
        <w:pStyle w:val="Numbered11"/>
      </w:pPr>
      <w:bookmarkStart w:id="1414" w:name="_9kR3WTrAG97CBBKkRjVgA63xr1G7qv7HPAABvAP"/>
      <w:bookmarkStart w:id="1415" w:name="_Ref_ContractCompanion_9kb9Us37E"/>
      <w:r w:rsidRPr="00190AA9">
        <w:t>The S</w:t>
      </w:r>
      <w:r w:rsidRPr="00BA56A1">
        <w:t xml:space="preserve">upplier shall use reasonable endeavours to put in place the necessary measures to ensure that the information specified at </w:t>
      </w:r>
      <w:bookmarkStart w:id="1416" w:name="_9kMHG5YVtCIB9FJIHpiq29A4qo8O61HODv8HIJJ"/>
      <w:r w:rsidRPr="00BA56A1">
        <w:t xml:space="preserve">Paragraph </w:t>
      </w:r>
      <w:r w:rsidRPr="00BA56A1">
        <w:fldChar w:fldCharType="begin"/>
      </w:r>
      <w:r w:rsidRPr="00BA56A1">
        <w:instrText xml:space="preserve"> REF _Ref_ContractCompanion_9kb9Us39B \w \h \t \* MERGEFORMAT </w:instrText>
      </w:r>
      <w:r w:rsidRPr="00BA56A1">
        <w:fldChar w:fldCharType="separate"/>
      </w:r>
      <w:r w:rsidR="00302D39">
        <w:t>4.3.2(b)</w:t>
      </w:r>
      <w:r w:rsidRPr="00BA56A1">
        <w:fldChar w:fldCharType="end"/>
      </w:r>
      <w:bookmarkEnd w:id="1416"/>
      <w:r w:rsidRPr="00BA56A1">
        <w:t xml:space="preserve"> is available when required and on request from the Authority and within reasonable timescales.</w:t>
      </w:r>
      <w:bookmarkEnd w:id="1414"/>
      <w:r w:rsidRPr="00BA56A1">
        <w:t xml:space="preserve"> Such measures may include:</w:t>
      </w:r>
      <w:bookmarkEnd w:id="1415"/>
    </w:p>
    <w:p w14:paraId="0A66038F" w14:textId="77777777" w:rsidR="00F67E9E" w:rsidRPr="00190AA9" w:rsidRDefault="00F67E9E" w:rsidP="00F67E9E">
      <w:pPr>
        <w:pStyle w:val="Numbered111"/>
      </w:pPr>
      <w:r w:rsidRPr="00BA56A1">
        <w:t xml:space="preserve">obtaining in advance written authority from Key Sub-contractors, the Guarantor and/or Monitored Suppliers authorising the disclosure of the information to the </w:t>
      </w:r>
      <w:r w:rsidRPr="00190AA9">
        <w:t>Authority and/or entering into confidentiality agreements which permit disclosure;</w:t>
      </w:r>
    </w:p>
    <w:p w14:paraId="06A33043" w14:textId="77777777" w:rsidR="00F67E9E" w:rsidRPr="00190AA9" w:rsidRDefault="00F67E9E" w:rsidP="00F67E9E">
      <w:pPr>
        <w:pStyle w:val="Numbered111"/>
      </w:pPr>
      <w:r w:rsidRPr="00190AA9">
        <w:t>agreeing in advance with the Authority, Key Sub-contractors, the Guarantor and/or Monitored Suppliers a form of confidentiality agreement to be entered by the relevant parties to enable the disclosure of the information to the Authority;</w:t>
      </w:r>
    </w:p>
    <w:p w14:paraId="3D7F2D5E" w14:textId="77777777" w:rsidR="00F67E9E" w:rsidRPr="00190AA9" w:rsidRDefault="00F67E9E" w:rsidP="00F67E9E">
      <w:pPr>
        <w:pStyle w:val="Numbered111"/>
      </w:pPr>
      <w:r w:rsidRPr="00190AA9">
        <w:t>putting in place any other reasonable arrangements to enable the information to be lawfully disclosed to the Authority (which may include making price sensitive information available to Authority nominated personnel through confidential arrangements, subject to their consent); and</w:t>
      </w:r>
    </w:p>
    <w:p w14:paraId="52FC3D5F" w14:textId="77777777" w:rsidR="00F67E9E" w:rsidRPr="00753B68" w:rsidRDefault="00F67E9E" w:rsidP="00F67E9E">
      <w:pPr>
        <w:pStyle w:val="Numbered111"/>
      </w:pPr>
      <w:r w:rsidRPr="00190AA9">
        <w:t>disclosing</w:t>
      </w:r>
      <w:r w:rsidRPr="00BA56A1">
        <w:t xml:space="preserve"> the information to the fullest</w:t>
      </w:r>
      <w:r w:rsidRPr="00753B68">
        <w:t xml:space="preserve"> extent that it is lawfully entitled to do so, including through the use of redaction, anonymisation and any other techniques to permit disclosure of the information without breaching a duty of confidentiality.</w:t>
      </w:r>
    </w:p>
    <w:p w14:paraId="31CB57A1" w14:textId="77777777" w:rsidR="00F67E9E" w:rsidRPr="00753B68" w:rsidRDefault="00F67E9E" w:rsidP="00F67E9E">
      <w:pPr>
        <w:pStyle w:val="Numbered1"/>
      </w:pPr>
      <w:bookmarkStart w:id="1417" w:name="_Ref_ContractCompanion_9kb9Ur7EG"/>
      <w:r w:rsidRPr="00753B68">
        <w:t>Financial Indicators</w:t>
      </w:r>
      <w:bookmarkEnd w:id="1417"/>
    </w:p>
    <w:p w14:paraId="60ED8777" w14:textId="49184E5F" w:rsidR="00F67E9E" w:rsidRPr="0076274E" w:rsidRDefault="00F67E9E" w:rsidP="00F67E9E">
      <w:pPr>
        <w:pStyle w:val="StdBodyText1"/>
        <w:rPr>
          <w:rFonts w:cs="Arial"/>
          <w:b/>
          <w:bCs/>
          <w:i/>
        </w:rPr>
      </w:pPr>
      <w:r>
        <w:rPr>
          <w:rStyle w:val="StdBodyTextBoldChar"/>
          <w:rFonts w:cs="Arial"/>
          <w:i/>
          <w:highlight w:val="yellow"/>
        </w:rPr>
        <w:t>[Guidance note:</w:t>
      </w:r>
      <w:r w:rsidRPr="0076274E">
        <w:rPr>
          <w:rStyle w:val="StdBodyTextBoldChar"/>
          <w:rFonts w:cs="Arial"/>
          <w:i/>
          <w:highlight w:val="yellow"/>
        </w:rPr>
        <w:t xml:space="preserve"> The Financial Indicators set out in the table at </w:t>
      </w:r>
      <w:bookmarkStart w:id="1418" w:name="_9kMIH5YVt4DE9BG4mpqgyts0HP"/>
      <w:r w:rsidRPr="0076274E">
        <w:rPr>
          <w:rStyle w:val="StdBodyTextBoldChar"/>
          <w:rFonts w:cs="Arial"/>
          <w:i/>
          <w:highlight w:val="yellow"/>
        </w:rPr>
        <w:t xml:space="preserve">paragraph </w:t>
      </w:r>
      <w:r w:rsidRPr="0076274E">
        <w:rPr>
          <w:rStyle w:val="StdBodyTextBoldChar"/>
          <w:rFonts w:cs="Arial"/>
          <w:i/>
          <w:highlight w:val="yellow"/>
        </w:rPr>
        <w:fldChar w:fldCharType="begin"/>
      </w:r>
      <w:r w:rsidRPr="0076274E">
        <w:rPr>
          <w:rStyle w:val="StdBodyTextBoldChar"/>
          <w:rFonts w:cs="Arial"/>
          <w:i/>
          <w:highlight w:val="yellow"/>
        </w:rPr>
        <w:instrText xml:space="preserve"> REF _Ref_ContractCompanion_9kb9Us358 \n \h \t \* MERGEFORMAT </w:instrText>
      </w:r>
      <w:r w:rsidRPr="0076274E">
        <w:rPr>
          <w:rStyle w:val="StdBodyTextBoldChar"/>
          <w:rFonts w:cs="Arial"/>
          <w:i/>
          <w:highlight w:val="yellow"/>
        </w:rPr>
      </w:r>
      <w:r w:rsidRPr="0076274E">
        <w:rPr>
          <w:rStyle w:val="StdBodyTextBoldChar"/>
          <w:rFonts w:cs="Arial"/>
          <w:i/>
          <w:highlight w:val="yellow"/>
        </w:rPr>
        <w:fldChar w:fldCharType="separate"/>
      </w:r>
      <w:r w:rsidR="00302D39">
        <w:rPr>
          <w:rStyle w:val="StdBodyTextBoldChar"/>
          <w:rFonts w:cs="Arial"/>
          <w:i/>
          <w:highlight w:val="yellow"/>
        </w:rPr>
        <w:t>5.1</w:t>
      </w:r>
      <w:r w:rsidRPr="0076274E">
        <w:rPr>
          <w:rStyle w:val="StdBodyTextBoldChar"/>
          <w:rFonts w:cs="Arial"/>
          <w:i/>
          <w:highlight w:val="yellow"/>
        </w:rPr>
        <w:fldChar w:fldCharType="end"/>
      </w:r>
      <w:bookmarkEnd w:id="1418"/>
      <w:r w:rsidRPr="0076274E">
        <w:rPr>
          <w:rStyle w:val="StdBodyTextBoldChar"/>
          <w:rFonts w:cs="Arial"/>
          <w:i/>
          <w:highlight w:val="yellow"/>
        </w:rPr>
        <w:t xml:space="preserve"> are examples of the types of Financial Indicators that you may wish to use in respect of the Supplier’s financial standing. These should be aligned with any financial standing criteria used at the selection stage of the procurement and you may wish to delete or insert different indicators as appropriate. Financial Indicators may be restricted to specific key indicators rather than including all of the criteria used at the selection stage</w:t>
      </w:r>
      <w:r>
        <w:rPr>
          <w:rStyle w:val="StdBodyTextBoldChar"/>
          <w:rFonts w:cs="Arial"/>
          <w:i/>
          <w:highlight w:val="yellow"/>
        </w:rPr>
        <w:t>.</w:t>
      </w:r>
      <w:r w:rsidRPr="0076274E">
        <w:rPr>
          <w:rStyle w:val="StdBodyTextBoldChar"/>
          <w:rFonts w:cs="Arial"/>
          <w:i/>
          <w:highlight w:val="yellow"/>
        </w:rPr>
        <w:t>]</w:t>
      </w:r>
    </w:p>
    <w:p w14:paraId="1372C11E" w14:textId="54EE638F" w:rsidR="00F67E9E" w:rsidRPr="00753B68" w:rsidRDefault="00F67E9E" w:rsidP="00F67E9E">
      <w:pPr>
        <w:pStyle w:val="Numbered11"/>
      </w:pPr>
      <w:bookmarkStart w:id="1419" w:name="_Ref_ContractCompanion_9kb9Ur8B5"/>
      <w:bookmarkStart w:id="1420" w:name="_Ref_ContractCompanion_9kb9Ur8B7"/>
      <w:bookmarkStart w:id="1421" w:name="_Ref_ContractCompanion_9kb9Ur8B9"/>
      <w:bookmarkStart w:id="1422" w:name="_Ref_ContractCompanion_9kb9Us358"/>
      <w:bookmarkStart w:id="1423" w:name="_Ref_ContractCompanion_9kb9Us39H"/>
      <w:bookmarkStart w:id="1424" w:name="_9kR3WTrAG97EEDEcdtjnhxFBC6solvy8Iz8HDJI"/>
      <w:r w:rsidRPr="00753B68">
        <w:t xml:space="preserve">Subject to the calculation </w:t>
      </w:r>
      <w:r w:rsidRPr="00D00D9A">
        <w:t xml:space="preserve">methodology set out at Annex </w:t>
      </w:r>
      <w:r w:rsidRPr="00D00D9A">
        <w:fldChar w:fldCharType="begin"/>
      </w:r>
      <w:r w:rsidRPr="00D00D9A">
        <w:instrText xml:space="preserve"> REF ANNEX3_SCHEDULE18 \h  \* MERGEFORMAT </w:instrText>
      </w:r>
      <w:r w:rsidRPr="00D00D9A">
        <w:fldChar w:fldCharType="separate"/>
      </w:r>
      <w:r w:rsidR="00302D39" w:rsidRPr="000B6F69">
        <w:t>3</w:t>
      </w:r>
      <w:r w:rsidRPr="00D00D9A">
        <w:fldChar w:fldCharType="end"/>
      </w:r>
      <w:r w:rsidRPr="00D00D9A">
        <w:t xml:space="preserve"> of this Schedule,</w:t>
      </w:r>
      <w:r w:rsidRPr="00753B68">
        <w:t xml:space="preserve"> the Financial Indicators and the corresponding calculations and thresholds used to determine whether a Financial Distress Event has occurred in respect of those Financial Indicators, shall be as follows:</w:t>
      </w:r>
      <w:bookmarkEnd w:id="1419"/>
      <w:bookmarkEnd w:id="1420"/>
      <w:bookmarkEnd w:id="1421"/>
      <w:bookmarkEnd w:id="1422"/>
      <w:bookmarkEnd w:id="1423"/>
      <w:bookmarkEnd w:id="1424"/>
    </w:p>
    <w:tbl>
      <w:tblPr>
        <w:tblStyle w:val="MSATable-header"/>
        <w:tblW w:w="10205" w:type="dxa"/>
        <w:tblLook w:val="04A0" w:firstRow="1" w:lastRow="0" w:firstColumn="1" w:lastColumn="0" w:noHBand="0" w:noVBand="1"/>
      </w:tblPr>
      <w:tblGrid>
        <w:gridCol w:w="3402"/>
        <w:gridCol w:w="1984"/>
        <w:gridCol w:w="1417"/>
        <w:gridCol w:w="3402"/>
      </w:tblGrid>
      <w:tr w:rsidR="00F67E9E" w:rsidRPr="00CB211D" w14:paraId="3F05C09E" w14:textId="77777777" w:rsidTr="007F74AA">
        <w:trPr>
          <w:cnfStyle w:val="100000000000" w:firstRow="1" w:lastRow="0" w:firstColumn="0" w:lastColumn="0" w:oddVBand="0" w:evenVBand="0" w:oddHBand="0" w:evenHBand="0" w:firstRowFirstColumn="0" w:firstRowLastColumn="0" w:lastRowFirstColumn="0" w:lastRowLastColumn="0"/>
          <w:tblHeader/>
        </w:trPr>
        <w:tc>
          <w:tcPr>
            <w:tcW w:w="3402" w:type="dxa"/>
            <w:vAlign w:val="bottom"/>
          </w:tcPr>
          <w:p w14:paraId="34674A0E" w14:textId="77777777" w:rsidR="00F67E9E" w:rsidRPr="00CB211D" w:rsidRDefault="00F67E9E" w:rsidP="007F74AA">
            <w:pPr>
              <w:pStyle w:val="StdBodyTextBold"/>
              <w:spacing w:before="0" w:after="0"/>
              <w:rPr>
                <w:rFonts w:cs="Arial"/>
                <w:b/>
                <w:bCs/>
              </w:rPr>
            </w:pPr>
            <w:r w:rsidRPr="00CB211D">
              <w:rPr>
                <w:rFonts w:cs="Arial"/>
                <w:b/>
                <w:bCs/>
              </w:rPr>
              <w:t>Financial Indicator</w:t>
            </w:r>
          </w:p>
        </w:tc>
        <w:tc>
          <w:tcPr>
            <w:tcW w:w="1984" w:type="dxa"/>
            <w:vAlign w:val="bottom"/>
          </w:tcPr>
          <w:p w14:paraId="7990D0BA" w14:textId="77777777" w:rsidR="00F67E9E" w:rsidRPr="00CB211D" w:rsidRDefault="00F67E9E" w:rsidP="007F74AA">
            <w:pPr>
              <w:pStyle w:val="StdBodyTextBold"/>
              <w:spacing w:before="0" w:after="0"/>
              <w:rPr>
                <w:rFonts w:cs="Arial"/>
                <w:b/>
                <w:bCs/>
              </w:rPr>
            </w:pPr>
            <w:r w:rsidRPr="00CB211D">
              <w:rPr>
                <w:rFonts w:cs="Arial"/>
                <w:b/>
                <w:bCs/>
              </w:rPr>
              <w:t>Calculation</w:t>
            </w:r>
            <w:r w:rsidRPr="00CB211D">
              <w:rPr>
                <w:rFonts w:cs="Arial"/>
                <w:b/>
                <w:bCs/>
                <w:vertAlign w:val="superscript"/>
              </w:rPr>
              <w:t>1</w:t>
            </w:r>
          </w:p>
        </w:tc>
        <w:tc>
          <w:tcPr>
            <w:tcW w:w="1417" w:type="dxa"/>
            <w:vAlign w:val="bottom"/>
          </w:tcPr>
          <w:p w14:paraId="43A46103" w14:textId="77777777" w:rsidR="00F67E9E" w:rsidRPr="00CB211D" w:rsidRDefault="00F67E9E" w:rsidP="007F74AA">
            <w:pPr>
              <w:pStyle w:val="StdBodyTextBold"/>
              <w:spacing w:before="0" w:after="0"/>
              <w:rPr>
                <w:rFonts w:cs="Arial"/>
                <w:b/>
                <w:bCs/>
              </w:rPr>
            </w:pPr>
            <w:r w:rsidRPr="00CB211D">
              <w:rPr>
                <w:rFonts w:cs="Arial"/>
                <w:b/>
                <w:bCs/>
              </w:rPr>
              <w:t>Financial Target Threshold:</w:t>
            </w:r>
          </w:p>
        </w:tc>
        <w:tc>
          <w:tcPr>
            <w:tcW w:w="3402" w:type="dxa"/>
            <w:vAlign w:val="bottom"/>
          </w:tcPr>
          <w:p w14:paraId="142A8A3B" w14:textId="7F6DBB0C" w:rsidR="00F67E9E" w:rsidRPr="00CB211D" w:rsidRDefault="00F67E9E" w:rsidP="007F74AA">
            <w:pPr>
              <w:pStyle w:val="StdBodyTextBold"/>
              <w:spacing w:before="0" w:after="0"/>
              <w:rPr>
                <w:rFonts w:cs="Arial"/>
                <w:b/>
                <w:bCs/>
              </w:rPr>
            </w:pPr>
            <w:r w:rsidRPr="00CB211D">
              <w:rPr>
                <w:rFonts w:cs="Arial"/>
                <w:b/>
                <w:bCs/>
              </w:rPr>
              <w:t xml:space="preserve">Monitoring and Reporting Frequency </w:t>
            </w:r>
            <w:r w:rsidRPr="00AA5727">
              <w:rPr>
                <w:rFonts w:cs="Arial"/>
                <w:iCs/>
                <w:highlight w:val="yellow"/>
              </w:rPr>
              <w:t xml:space="preserve">[if different from the default position set out in </w:t>
            </w:r>
            <w:bookmarkStart w:id="1425" w:name="_9kR3WTr2BC7DKeEnoewrqyCMw"/>
            <w:r w:rsidRPr="00AA5727">
              <w:rPr>
                <w:rFonts w:cs="Arial"/>
                <w:iCs/>
                <w:highlight w:val="yellow"/>
              </w:rPr>
              <w:t xml:space="preserve">Paragraph </w:t>
            </w:r>
            <w:r w:rsidRPr="00AA5727">
              <w:rPr>
                <w:rFonts w:cs="Arial"/>
                <w:iCs/>
                <w:highlight w:val="yellow"/>
              </w:rPr>
              <w:fldChar w:fldCharType="begin"/>
            </w:r>
            <w:r w:rsidRPr="00AA5727">
              <w:rPr>
                <w:rFonts w:cs="Arial"/>
                <w:iCs/>
                <w:highlight w:val="yellow"/>
              </w:rPr>
              <w:instrText xml:space="preserve"> REF _Ref_ContractCompanion_9kb9Us39E \w \h \t \* MERGEFORMAT </w:instrText>
            </w:r>
            <w:r w:rsidRPr="00AA5727">
              <w:rPr>
                <w:rFonts w:cs="Arial"/>
                <w:iCs/>
                <w:highlight w:val="yellow"/>
              </w:rPr>
            </w:r>
            <w:r w:rsidRPr="00AA5727">
              <w:rPr>
                <w:rFonts w:cs="Arial"/>
                <w:iCs/>
                <w:highlight w:val="yellow"/>
              </w:rPr>
              <w:fldChar w:fldCharType="separate"/>
            </w:r>
            <w:r w:rsidR="00302D39">
              <w:rPr>
                <w:rFonts w:cs="Arial"/>
                <w:iCs/>
                <w:highlight w:val="yellow"/>
              </w:rPr>
              <w:t>2.3.2</w:t>
            </w:r>
            <w:r w:rsidRPr="00AA5727">
              <w:rPr>
                <w:rFonts w:cs="Arial"/>
                <w:iCs/>
                <w:highlight w:val="yellow"/>
              </w:rPr>
              <w:fldChar w:fldCharType="end"/>
            </w:r>
            <w:bookmarkEnd w:id="1425"/>
            <w:r w:rsidRPr="00AA5727">
              <w:rPr>
                <w:rFonts w:cs="Arial"/>
                <w:iCs/>
                <w:highlight w:val="yellow"/>
              </w:rPr>
              <w:t>]</w:t>
            </w:r>
          </w:p>
        </w:tc>
      </w:tr>
      <w:tr w:rsidR="00F67E9E" w:rsidRPr="00753B68" w14:paraId="35F22FCA" w14:textId="77777777" w:rsidTr="007F74AA">
        <w:tc>
          <w:tcPr>
            <w:tcW w:w="3402" w:type="dxa"/>
          </w:tcPr>
          <w:p w14:paraId="5ABB364D" w14:textId="77777777" w:rsidR="00F67E9E" w:rsidRPr="00753B68" w:rsidRDefault="00F67E9E" w:rsidP="007F74AA">
            <w:pPr>
              <w:pStyle w:val="StdBodyTextBold"/>
              <w:spacing w:before="0" w:after="0"/>
              <w:rPr>
                <w:rFonts w:cs="Arial"/>
              </w:rPr>
            </w:pPr>
            <w:r w:rsidRPr="00753B68">
              <w:rPr>
                <w:rFonts w:cs="Arial"/>
              </w:rPr>
              <w:t>1</w:t>
            </w:r>
          </w:p>
          <w:p w14:paraId="5B1F1E0F" w14:textId="77777777" w:rsidR="00F67E9E" w:rsidRPr="00753B68" w:rsidRDefault="00F67E9E" w:rsidP="007F74AA">
            <w:pPr>
              <w:pStyle w:val="StdBodyTextBold"/>
              <w:spacing w:before="0" w:after="0"/>
              <w:rPr>
                <w:rFonts w:cs="Arial"/>
                <w:highlight w:val="yellow"/>
              </w:rPr>
            </w:pPr>
            <w:r w:rsidRPr="00753B68">
              <w:rPr>
                <w:rFonts w:cs="Arial"/>
                <w:highlight w:val="yellow"/>
              </w:rPr>
              <w:t>[Operating Margin]</w:t>
            </w:r>
          </w:p>
          <w:p w14:paraId="53D1097A" w14:textId="77777777" w:rsidR="00F67E9E" w:rsidRPr="00753B68" w:rsidRDefault="00F67E9E" w:rsidP="007F74AA">
            <w:pPr>
              <w:pStyle w:val="StdBodyTextBold"/>
              <w:spacing w:before="0" w:after="0"/>
              <w:rPr>
                <w:rFonts w:cs="Arial"/>
              </w:rPr>
            </w:pPr>
            <w:r w:rsidRPr="00753B68">
              <w:rPr>
                <w:rFonts w:cs="Arial"/>
              </w:rPr>
              <w:t>OR</w:t>
            </w:r>
          </w:p>
          <w:p w14:paraId="156579F8" w14:textId="77777777" w:rsidR="00F67E9E" w:rsidRPr="00753B68" w:rsidRDefault="00F67E9E" w:rsidP="007F74AA">
            <w:pPr>
              <w:pStyle w:val="StdBodyTextBold"/>
              <w:spacing w:before="0" w:after="0"/>
              <w:rPr>
                <w:rFonts w:cs="Arial"/>
              </w:rPr>
            </w:pPr>
            <w:r w:rsidRPr="00753B68">
              <w:rPr>
                <w:rFonts w:cs="Arial"/>
                <w:highlight w:val="yellow"/>
              </w:rPr>
              <w:t>[The higher of (a) the Operating Margin for the most recent 12 month period and (b) the average Operating Margin for the last two 12 month periods]</w:t>
            </w:r>
          </w:p>
        </w:tc>
        <w:tc>
          <w:tcPr>
            <w:tcW w:w="1984" w:type="dxa"/>
          </w:tcPr>
          <w:p w14:paraId="7104E11A" w14:textId="77777777" w:rsidR="00F67E9E" w:rsidRPr="005F1047" w:rsidRDefault="00F67E9E" w:rsidP="007F74AA">
            <w:pPr>
              <w:pStyle w:val="StdBodyText"/>
              <w:spacing w:before="0" w:after="0"/>
              <w:rPr>
                <w:rFonts w:cs="Arial"/>
                <w:iCs/>
              </w:rPr>
            </w:pPr>
            <w:r w:rsidRPr="005F1047">
              <w:rPr>
                <w:rFonts w:cs="Arial"/>
                <w:iCs/>
                <w:highlight w:val="yellow"/>
              </w:rPr>
              <w:t>[Operating Margin = Operating Profit / Revenue]</w:t>
            </w:r>
          </w:p>
        </w:tc>
        <w:tc>
          <w:tcPr>
            <w:tcW w:w="1417" w:type="dxa"/>
          </w:tcPr>
          <w:p w14:paraId="633CA39F" w14:textId="77777777" w:rsidR="00F67E9E" w:rsidRPr="005F1047" w:rsidRDefault="00F67E9E" w:rsidP="007F74AA">
            <w:pPr>
              <w:pStyle w:val="StdBodyText"/>
              <w:spacing w:before="0" w:after="0"/>
              <w:rPr>
                <w:rFonts w:cs="Arial"/>
                <w:iCs/>
                <w:highlight w:val="yellow"/>
              </w:rPr>
            </w:pPr>
            <w:r w:rsidRPr="005F1047">
              <w:rPr>
                <w:rFonts w:cs="Arial"/>
                <w:iCs/>
                <w:highlight w:val="yellow"/>
              </w:rPr>
              <w:t>[&gt; [X%]]</w:t>
            </w:r>
          </w:p>
        </w:tc>
        <w:tc>
          <w:tcPr>
            <w:tcW w:w="3402" w:type="dxa"/>
          </w:tcPr>
          <w:p w14:paraId="285DEA4C" w14:textId="77777777" w:rsidR="00F67E9E" w:rsidRPr="005F1047" w:rsidRDefault="00F67E9E" w:rsidP="007F74AA">
            <w:pPr>
              <w:pStyle w:val="StdBodyText"/>
              <w:spacing w:before="0" w:after="0"/>
              <w:rPr>
                <w:rFonts w:cs="Arial"/>
                <w:iCs/>
              </w:rPr>
            </w:pPr>
            <w:r w:rsidRPr="005F1047">
              <w:rPr>
                <w:rFonts w:cs="Arial"/>
                <w:iCs/>
              </w:rPr>
              <w:t xml:space="preserve">Tested and reported </w:t>
            </w:r>
            <w:r w:rsidRPr="005F1047">
              <w:rPr>
                <w:rFonts w:cs="Arial"/>
                <w:iCs/>
                <w:highlight w:val="yellow"/>
              </w:rPr>
              <w:t>[yearly / half yearly]</w:t>
            </w:r>
            <w:r w:rsidRPr="005F1047">
              <w:rPr>
                <w:rFonts w:cs="Arial"/>
                <w:iCs/>
              </w:rPr>
              <w:t xml:space="preserve"> in arrears within </w:t>
            </w:r>
            <w:r w:rsidRPr="005F1047">
              <w:rPr>
                <w:rFonts w:cs="Arial"/>
                <w:iCs/>
                <w:highlight w:val="yellow"/>
              </w:rPr>
              <w:t>[120 / 90]</w:t>
            </w:r>
            <w:r w:rsidRPr="005F1047">
              <w:rPr>
                <w:rFonts w:cs="Arial"/>
                <w:iCs/>
              </w:rPr>
              <w:t xml:space="preserve"> days of each </w:t>
            </w:r>
            <w:r w:rsidRPr="005F1047">
              <w:rPr>
                <w:rFonts w:cs="Arial"/>
                <w:iCs/>
                <w:highlight w:val="yellow"/>
              </w:rPr>
              <w:t>[accounting reference date / half year end]</w:t>
            </w:r>
            <w:r w:rsidRPr="005F1047">
              <w:rPr>
                <w:rFonts w:cs="Arial"/>
                <w:iCs/>
              </w:rPr>
              <w:t xml:space="preserve"> based upon figures for the 12 months ending on the relevant </w:t>
            </w:r>
            <w:r w:rsidRPr="005F1047">
              <w:rPr>
                <w:rFonts w:cs="Arial"/>
                <w:iCs/>
                <w:highlight w:val="yellow"/>
              </w:rPr>
              <w:t>[accounting reference date / half year end]</w:t>
            </w:r>
          </w:p>
        </w:tc>
      </w:tr>
      <w:tr w:rsidR="00F67E9E" w:rsidRPr="00753B68" w14:paraId="0375AA0A" w14:textId="77777777" w:rsidTr="007F74AA">
        <w:tc>
          <w:tcPr>
            <w:tcW w:w="3402" w:type="dxa"/>
          </w:tcPr>
          <w:p w14:paraId="27202B7B" w14:textId="77777777" w:rsidR="00F67E9E" w:rsidRPr="00753B68" w:rsidRDefault="00F67E9E" w:rsidP="007F74AA">
            <w:pPr>
              <w:pStyle w:val="StdBodyTextBold"/>
              <w:spacing w:before="0" w:after="0"/>
              <w:rPr>
                <w:rFonts w:cs="Arial"/>
              </w:rPr>
            </w:pPr>
            <w:r w:rsidRPr="00753B68">
              <w:rPr>
                <w:rFonts w:cs="Arial"/>
              </w:rPr>
              <w:t>2</w:t>
            </w:r>
          </w:p>
          <w:p w14:paraId="1830D205" w14:textId="77777777" w:rsidR="00F67E9E" w:rsidRPr="00753B68" w:rsidRDefault="00F67E9E" w:rsidP="007F74AA">
            <w:pPr>
              <w:pStyle w:val="StdBodyTextBold"/>
              <w:spacing w:before="0" w:after="0"/>
              <w:rPr>
                <w:rFonts w:cs="Arial"/>
                <w:highlight w:val="yellow"/>
              </w:rPr>
            </w:pPr>
            <w:r w:rsidRPr="00753B68">
              <w:rPr>
                <w:rFonts w:cs="Arial"/>
                <w:highlight w:val="yellow"/>
              </w:rPr>
              <w:t>[Free Cash Flow to Net Debt Ratio]</w:t>
            </w:r>
          </w:p>
          <w:p w14:paraId="23F5D678" w14:textId="77777777" w:rsidR="00F67E9E" w:rsidRPr="00753B68" w:rsidRDefault="00F67E9E" w:rsidP="007F74AA">
            <w:pPr>
              <w:pStyle w:val="StdBodyTextBold"/>
              <w:spacing w:before="0" w:after="0"/>
              <w:rPr>
                <w:rFonts w:cs="Arial"/>
              </w:rPr>
            </w:pPr>
            <w:r w:rsidRPr="00753B68">
              <w:rPr>
                <w:rFonts w:cs="Arial"/>
              </w:rPr>
              <w:t>OR</w:t>
            </w:r>
          </w:p>
          <w:p w14:paraId="29318C77" w14:textId="77777777" w:rsidR="00F67E9E" w:rsidRPr="00753B68" w:rsidRDefault="00F67E9E" w:rsidP="007F74AA">
            <w:pPr>
              <w:pStyle w:val="StdBodyTextBold"/>
              <w:spacing w:before="0" w:after="0"/>
              <w:rPr>
                <w:rFonts w:cs="Arial"/>
              </w:rPr>
            </w:pPr>
            <w:r w:rsidRPr="00753B68">
              <w:rPr>
                <w:rFonts w:cs="Arial"/>
                <w:highlight w:val="yellow"/>
              </w:rPr>
              <w:t>[Net Debt to EBITDA Ratio]</w:t>
            </w:r>
          </w:p>
        </w:tc>
        <w:tc>
          <w:tcPr>
            <w:tcW w:w="1984" w:type="dxa"/>
          </w:tcPr>
          <w:p w14:paraId="6CE68705" w14:textId="77777777" w:rsidR="00F67E9E" w:rsidRPr="005F1047" w:rsidRDefault="00F67E9E" w:rsidP="007F74AA">
            <w:pPr>
              <w:pStyle w:val="StdBodyText"/>
              <w:spacing w:before="0" w:after="0"/>
              <w:rPr>
                <w:rFonts w:cs="Arial"/>
                <w:iCs/>
                <w:highlight w:val="yellow"/>
              </w:rPr>
            </w:pPr>
            <w:r w:rsidRPr="005F1047">
              <w:rPr>
                <w:rFonts w:cs="Arial"/>
                <w:iCs/>
                <w:highlight w:val="yellow"/>
              </w:rPr>
              <w:t>[Free Cash Flow to Net Debt Ratio = Free Cash Flow / Net Debt]</w:t>
            </w:r>
          </w:p>
          <w:p w14:paraId="62D6CA31" w14:textId="77777777" w:rsidR="00F67E9E" w:rsidRPr="005F1047" w:rsidRDefault="00F67E9E" w:rsidP="007F74AA">
            <w:pPr>
              <w:pStyle w:val="StdBodyText"/>
              <w:spacing w:before="0" w:after="0"/>
              <w:rPr>
                <w:rFonts w:cs="Arial"/>
                <w:iCs/>
              </w:rPr>
            </w:pPr>
            <w:r w:rsidRPr="005F1047">
              <w:rPr>
                <w:rFonts w:cs="Arial"/>
                <w:iCs/>
              </w:rPr>
              <w:t>OR</w:t>
            </w:r>
          </w:p>
          <w:p w14:paraId="6517B1E9" w14:textId="77777777" w:rsidR="00F67E9E" w:rsidRPr="005F1047" w:rsidRDefault="00F67E9E" w:rsidP="007F74AA">
            <w:pPr>
              <w:pStyle w:val="StdBodyText"/>
              <w:spacing w:before="0" w:after="0"/>
              <w:rPr>
                <w:rFonts w:cs="Arial"/>
                <w:iCs/>
              </w:rPr>
            </w:pPr>
            <w:r w:rsidRPr="005F1047">
              <w:rPr>
                <w:rFonts w:cs="Arial"/>
                <w:iCs/>
                <w:highlight w:val="yellow"/>
              </w:rPr>
              <w:t>[Net Debt to EBITDA ratio = Net Debt / EBITDA]</w:t>
            </w:r>
          </w:p>
        </w:tc>
        <w:tc>
          <w:tcPr>
            <w:tcW w:w="1417" w:type="dxa"/>
          </w:tcPr>
          <w:p w14:paraId="59111800" w14:textId="77777777" w:rsidR="00F67E9E" w:rsidRPr="005F1047" w:rsidRDefault="00F67E9E" w:rsidP="007F74AA">
            <w:pPr>
              <w:pStyle w:val="StdBodyText"/>
              <w:spacing w:before="0" w:after="0"/>
              <w:rPr>
                <w:rFonts w:cs="Arial"/>
                <w:iCs/>
                <w:highlight w:val="yellow"/>
              </w:rPr>
            </w:pPr>
            <w:r w:rsidRPr="005F1047">
              <w:rPr>
                <w:rFonts w:cs="Arial"/>
                <w:iCs/>
                <w:highlight w:val="yellow"/>
              </w:rPr>
              <w:t>[&gt; [X%]]</w:t>
            </w:r>
          </w:p>
          <w:p w14:paraId="7FD2A877" w14:textId="77777777" w:rsidR="00F67E9E" w:rsidRPr="005F1047" w:rsidRDefault="00F67E9E" w:rsidP="007F74AA">
            <w:pPr>
              <w:pStyle w:val="StdBodyText"/>
              <w:spacing w:before="0" w:after="0"/>
              <w:rPr>
                <w:rFonts w:cs="Arial"/>
                <w:iCs/>
              </w:rPr>
            </w:pPr>
            <w:r w:rsidRPr="005F1047">
              <w:rPr>
                <w:rFonts w:cs="Arial"/>
                <w:iCs/>
              </w:rPr>
              <w:t>OR</w:t>
            </w:r>
          </w:p>
          <w:p w14:paraId="4F95CFB8" w14:textId="77777777" w:rsidR="00F67E9E" w:rsidRPr="005F1047" w:rsidRDefault="00F67E9E" w:rsidP="007F74AA">
            <w:pPr>
              <w:pStyle w:val="StdBodyText"/>
              <w:spacing w:before="0" w:after="0"/>
              <w:rPr>
                <w:rFonts w:cs="Arial"/>
                <w:iCs/>
              </w:rPr>
            </w:pPr>
            <w:r w:rsidRPr="005F1047">
              <w:rPr>
                <w:rFonts w:cs="Arial"/>
                <w:iCs/>
                <w:highlight w:val="yellow"/>
              </w:rPr>
              <w:t>[&lt; [X]]</w:t>
            </w:r>
            <w:r w:rsidRPr="005F1047">
              <w:rPr>
                <w:rFonts w:cs="Arial"/>
                <w:iCs/>
              </w:rPr>
              <w:t xml:space="preserve"> times</w:t>
            </w:r>
          </w:p>
        </w:tc>
        <w:tc>
          <w:tcPr>
            <w:tcW w:w="3402" w:type="dxa"/>
          </w:tcPr>
          <w:p w14:paraId="414EB4AA" w14:textId="77777777" w:rsidR="00F67E9E" w:rsidRPr="005F1047" w:rsidRDefault="00F67E9E" w:rsidP="007F74AA">
            <w:pPr>
              <w:pStyle w:val="StdBodyText"/>
              <w:spacing w:before="0" w:after="0"/>
              <w:rPr>
                <w:rFonts w:cs="Arial"/>
                <w:iCs/>
              </w:rPr>
            </w:pPr>
            <w:r w:rsidRPr="005F1047">
              <w:rPr>
                <w:rFonts w:cs="Arial"/>
                <w:iCs/>
              </w:rPr>
              <w:t xml:space="preserve">Tested and reported </w:t>
            </w:r>
            <w:r w:rsidRPr="005F1047">
              <w:rPr>
                <w:rFonts w:cs="Arial"/>
                <w:iCs/>
                <w:highlight w:val="yellow"/>
              </w:rPr>
              <w:t>[yearly / half yearly]</w:t>
            </w:r>
            <w:r w:rsidRPr="005F1047">
              <w:rPr>
                <w:rFonts w:cs="Arial"/>
                <w:iCs/>
              </w:rPr>
              <w:t xml:space="preserve"> in arrears within </w:t>
            </w:r>
            <w:r w:rsidRPr="005F1047">
              <w:rPr>
                <w:rFonts w:cs="Arial"/>
                <w:iCs/>
                <w:highlight w:val="yellow"/>
              </w:rPr>
              <w:t>[120 / 90]</w:t>
            </w:r>
            <w:r w:rsidRPr="005F1047">
              <w:rPr>
                <w:rFonts w:cs="Arial"/>
                <w:iCs/>
              </w:rPr>
              <w:t xml:space="preserve"> days of each </w:t>
            </w:r>
            <w:r w:rsidRPr="005F1047">
              <w:rPr>
                <w:rFonts w:cs="Arial"/>
                <w:iCs/>
                <w:highlight w:val="yellow"/>
              </w:rPr>
              <w:t>[accounting reference date / half year end]</w:t>
            </w:r>
            <w:r w:rsidRPr="005F1047">
              <w:rPr>
                <w:rFonts w:cs="Arial"/>
                <w:iCs/>
              </w:rPr>
              <w:t xml:space="preserve"> based upon </w:t>
            </w:r>
            <w:r w:rsidRPr="005F1047">
              <w:rPr>
                <w:rFonts w:cs="Arial"/>
                <w:iCs/>
                <w:highlight w:val="yellow"/>
              </w:rPr>
              <w:t>[Free Cash Flow / EBITDA]</w:t>
            </w:r>
            <w:r w:rsidRPr="005F1047">
              <w:rPr>
                <w:rFonts w:cs="Arial"/>
                <w:iCs/>
              </w:rPr>
              <w:t xml:space="preserve"> for the 12 months ending on, and Net Debt at, the relevant </w:t>
            </w:r>
            <w:r w:rsidRPr="005F1047">
              <w:rPr>
                <w:rFonts w:cs="Arial"/>
                <w:iCs/>
                <w:highlight w:val="yellow"/>
              </w:rPr>
              <w:t>[accounting reference date / half year end]</w:t>
            </w:r>
          </w:p>
        </w:tc>
      </w:tr>
      <w:tr w:rsidR="00F67E9E" w:rsidRPr="00753B68" w14:paraId="5E95D41F" w14:textId="77777777" w:rsidTr="007F74AA">
        <w:tc>
          <w:tcPr>
            <w:tcW w:w="3402" w:type="dxa"/>
          </w:tcPr>
          <w:p w14:paraId="5408F1A9" w14:textId="77777777" w:rsidR="00F67E9E" w:rsidRPr="00753B68" w:rsidRDefault="00F67E9E" w:rsidP="007F74AA">
            <w:pPr>
              <w:pStyle w:val="StdBodyTextBold"/>
              <w:spacing w:before="0" w:after="0"/>
              <w:rPr>
                <w:rFonts w:cs="Arial"/>
              </w:rPr>
            </w:pPr>
            <w:r w:rsidRPr="00753B68">
              <w:rPr>
                <w:rFonts w:cs="Arial"/>
              </w:rPr>
              <w:t>3</w:t>
            </w:r>
          </w:p>
          <w:p w14:paraId="762BCACA" w14:textId="77777777" w:rsidR="00F67E9E" w:rsidRPr="00753B68" w:rsidRDefault="00F67E9E" w:rsidP="007F74AA">
            <w:pPr>
              <w:pStyle w:val="StdBodyTextBold"/>
              <w:spacing w:before="0" w:after="0"/>
              <w:rPr>
                <w:rFonts w:cs="Arial"/>
              </w:rPr>
            </w:pPr>
            <w:r w:rsidRPr="00753B68">
              <w:rPr>
                <w:rFonts w:cs="Arial"/>
                <w:highlight w:val="yellow"/>
              </w:rPr>
              <w:t>[Net Debt + Net Pension Deficit to EBITDA ratio]</w:t>
            </w:r>
          </w:p>
        </w:tc>
        <w:tc>
          <w:tcPr>
            <w:tcW w:w="1984" w:type="dxa"/>
          </w:tcPr>
          <w:p w14:paraId="090FA4E4" w14:textId="77777777" w:rsidR="00F67E9E" w:rsidRPr="00B419B7" w:rsidRDefault="00F67E9E" w:rsidP="007F74AA">
            <w:pPr>
              <w:pStyle w:val="StdBodyText"/>
              <w:spacing w:before="0" w:after="0"/>
              <w:rPr>
                <w:rFonts w:cs="Arial"/>
                <w:iCs/>
                <w:lang w:val="nl-NL"/>
              </w:rPr>
            </w:pPr>
            <w:r w:rsidRPr="00B419B7">
              <w:rPr>
                <w:rFonts w:cs="Arial"/>
                <w:iCs/>
                <w:highlight w:val="yellow"/>
                <w:lang w:val="nl-NL"/>
              </w:rPr>
              <w:t>[Net Debt + Net Pension Deficit to EBITDA Ratio = (Net Debt + Net Pension Deficit) / EBITDA]</w:t>
            </w:r>
          </w:p>
        </w:tc>
        <w:tc>
          <w:tcPr>
            <w:tcW w:w="1417" w:type="dxa"/>
          </w:tcPr>
          <w:p w14:paraId="38357BE5" w14:textId="77777777" w:rsidR="00F67E9E" w:rsidRPr="005F1047" w:rsidRDefault="00F67E9E" w:rsidP="007F74AA">
            <w:pPr>
              <w:pStyle w:val="StdBodyText"/>
              <w:spacing w:before="0" w:after="0"/>
              <w:rPr>
                <w:rFonts w:cs="Arial"/>
                <w:iCs/>
              </w:rPr>
            </w:pPr>
            <w:r w:rsidRPr="005F1047">
              <w:rPr>
                <w:rFonts w:cs="Arial"/>
                <w:iCs/>
                <w:highlight w:val="yellow"/>
              </w:rPr>
              <w:t>[&lt; [X]]</w:t>
            </w:r>
            <w:r w:rsidRPr="005F1047">
              <w:rPr>
                <w:rFonts w:cs="Arial"/>
                <w:iCs/>
              </w:rPr>
              <w:t xml:space="preserve"> times</w:t>
            </w:r>
          </w:p>
        </w:tc>
        <w:tc>
          <w:tcPr>
            <w:tcW w:w="3402" w:type="dxa"/>
          </w:tcPr>
          <w:p w14:paraId="76DEDB73" w14:textId="77777777" w:rsidR="00F67E9E" w:rsidRPr="005F1047" w:rsidRDefault="00F67E9E" w:rsidP="007F74AA">
            <w:pPr>
              <w:pStyle w:val="StdBodyText"/>
              <w:spacing w:before="0" w:after="0"/>
              <w:rPr>
                <w:rFonts w:cs="Arial"/>
                <w:iCs/>
              </w:rPr>
            </w:pPr>
            <w:r w:rsidRPr="005F1047">
              <w:rPr>
                <w:rFonts w:cs="Arial"/>
                <w:iCs/>
              </w:rPr>
              <w:t>Tested and reported yearly in arrears within 120 days of each accounting reference date based upon EBITDA for the 12 months ending on, and the Net Debt and Net Pension Deficit at, the relevant accounting reference date</w:t>
            </w:r>
          </w:p>
        </w:tc>
      </w:tr>
      <w:tr w:rsidR="00F67E9E" w:rsidRPr="00753B68" w14:paraId="0610A083" w14:textId="77777777" w:rsidTr="007F74AA">
        <w:tc>
          <w:tcPr>
            <w:tcW w:w="3402" w:type="dxa"/>
          </w:tcPr>
          <w:p w14:paraId="34F78127" w14:textId="77777777" w:rsidR="00F67E9E" w:rsidRPr="00753B68" w:rsidRDefault="00F67E9E" w:rsidP="007F74AA">
            <w:pPr>
              <w:pStyle w:val="StdBodyTextBold"/>
              <w:keepNext/>
              <w:spacing w:before="0" w:after="0"/>
              <w:rPr>
                <w:rFonts w:cs="Arial"/>
              </w:rPr>
            </w:pPr>
            <w:r w:rsidRPr="00753B68">
              <w:rPr>
                <w:rFonts w:cs="Arial"/>
              </w:rPr>
              <w:t>4</w:t>
            </w:r>
          </w:p>
          <w:p w14:paraId="1622917C" w14:textId="77777777" w:rsidR="00F67E9E" w:rsidRPr="00753B68" w:rsidRDefault="00F67E9E" w:rsidP="007F74AA">
            <w:pPr>
              <w:pStyle w:val="StdBodyTextBold"/>
              <w:spacing w:before="0" w:after="0"/>
              <w:rPr>
                <w:rFonts w:cs="Arial"/>
              </w:rPr>
            </w:pPr>
            <w:r w:rsidRPr="00753B68">
              <w:rPr>
                <w:rFonts w:cs="Arial"/>
                <w:highlight w:val="yellow"/>
              </w:rPr>
              <w:t>[Net Interest Paid Cover]</w:t>
            </w:r>
          </w:p>
        </w:tc>
        <w:tc>
          <w:tcPr>
            <w:tcW w:w="1984" w:type="dxa"/>
          </w:tcPr>
          <w:p w14:paraId="4733ED21" w14:textId="77777777" w:rsidR="00F67E9E" w:rsidRPr="005F1047" w:rsidRDefault="00F67E9E" w:rsidP="007F74AA">
            <w:pPr>
              <w:pStyle w:val="StdBodyText"/>
              <w:spacing w:before="0" w:after="0"/>
              <w:rPr>
                <w:rFonts w:cs="Arial"/>
                <w:iCs/>
              </w:rPr>
            </w:pPr>
            <w:r w:rsidRPr="005F1047">
              <w:rPr>
                <w:rFonts w:cs="Arial"/>
                <w:iCs/>
              </w:rPr>
              <w:t>[Net Interest Paid Cover = Earnings Before Interest and Tax / Net Interest Paid]</w:t>
            </w:r>
          </w:p>
        </w:tc>
        <w:tc>
          <w:tcPr>
            <w:tcW w:w="1417" w:type="dxa"/>
          </w:tcPr>
          <w:p w14:paraId="2E1CF5D6" w14:textId="77777777" w:rsidR="00F67E9E" w:rsidRPr="005F1047" w:rsidRDefault="00F67E9E" w:rsidP="007F74AA">
            <w:pPr>
              <w:pStyle w:val="StdBodyText"/>
              <w:spacing w:before="0" w:after="0"/>
              <w:rPr>
                <w:rFonts w:cs="Arial"/>
                <w:iCs/>
              </w:rPr>
            </w:pPr>
            <w:r w:rsidRPr="005F1047">
              <w:rPr>
                <w:rFonts w:cs="Arial"/>
                <w:iCs/>
                <w:highlight w:val="yellow"/>
              </w:rPr>
              <w:t>[&gt; [X]]</w:t>
            </w:r>
            <w:r w:rsidRPr="005F1047">
              <w:rPr>
                <w:rFonts w:cs="Arial"/>
                <w:iCs/>
              </w:rPr>
              <w:t xml:space="preserve"> times</w:t>
            </w:r>
          </w:p>
        </w:tc>
        <w:tc>
          <w:tcPr>
            <w:tcW w:w="3402" w:type="dxa"/>
          </w:tcPr>
          <w:p w14:paraId="280FED55" w14:textId="77777777" w:rsidR="00F67E9E" w:rsidRPr="005F1047" w:rsidRDefault="00F67E9E" w:rsidP="007F74AA">
            <w:pPr>
              <w:pStyle w:val="StdBodyText"/>
              <w:spacing w:before="0" w:after="0"/>
              <w:rPr>
                <w:rFonts w:cs="Arial"/>
                <w:iCs/>
              </w:rPr>
            </w:pPr>
            <w:r w:rsidRPr="005F1047">
              <w:rPr>
                <w:rFonts w:cs="Arial"/>
                <w:iCs/>
              </w:rPr>
              <w:t xml:space="preserve">Tested and reported </w:t>
            </w:r>
            <w:r w:rsidRPr="005F1047">
              <w:rPr>
                <w:rFonts w:cs="Arial"/>
                <w:iCs/>
                <w:highlight w:val="yellow"/>
              </w:rPr>
              <w:t>[yearly / half yearly]</w:t>
            </w:r>
            <w:r w:rsidRPr="005F1047">
              <w:rPr>
                <w:rFonts w:cs="Arial"/>
                <w:iCs/>
              </w:rPr>
              <w:t xml:space="preserve"> in arrears within </w:t>
            </w:r>
            <w:r w:rsidRPr="005F1047">
              <w:rPr>
                <w:rFonts w:cs="Arial"/>
                <w:iCs/>
                <w:highlight w:val="yellow"/>
              </w:rPr>
              <w:t>[120 / 90]</w:t>
            </w:r>
            <w:r w:rsidRPr="005F1047">
              <w:rPr>
                <w:rFonts w:cs="Arial"/>
                <w:iCs/>
              </w:rPr>
              <w:t xml:space="preserve"> days of each </w:t>
            </w:r>
            <w:r w:rsidRPr="005F1047">
              <w:rPr>
                <w:rFonts w:cs="Arial"/>
                <w:iCs/>
                <w:highlight w:val="yellow"/>
              </w:rPr>
              <w:t>[accounting reference date / half year end]</w:t>
            </w:r>
            <w:r w:rsidRPr="005F1047">
              <w:rPr>
                <w:rFonts w:cs="Arial"/>
                <w:iCs/>
              </w:rPr>
              <w:t xml:space="preserve"> based upon figures for the 12 months ending on the relevant </w:t>
            </w:r>
            <w:r w:rsidRPr="005F1047">
              <w:rPr>
                <w:rFonts w:cs="Arial"/>
                <w:iCs/>
                <w:highlight w:val="yellow"/>
              </w:rPr>
              <w:t>[accounting reference date / half year end]</w:t>
            </w:r>
          </w:p>
        </w:tc>
      </w:tr>
      <w:tr w:rsidR="00F67E9E" w:rsidRPr="00753B68" w14:paraId="235D51DD" w14:textId="77777777" w:rsidTr="007F74AA">
        <w:tc>
          <w:tcPr>
            <w:tcW w:w="3402" w:type="dxa"/>
          </w:tcPr>
          <w:p w14:paraId="46EA71C5" w14:textId="77777777" w:rsidR="00F67E9E" w:rsidRPr="00753B68" w:rsidRDefault="00F67E9E" w:rsidP="007F74AA">
            <w:pPr>
              <w:pStyle w:val="StdBodyTextBold"/>
              <w:spacing w:before="0" w:after="0"/>
              <w:rPr>
                <w:rFonts w:cs="Arial"/>
              </w:rPr>
            </w:pPr>
            <w:r w:rsidRPr="00753B68">
              <w:rPr>
                <w:rFonts w:cs="Arial"/>
              </w:rPr>
              <w:t>5</w:t>
            </w:r>
          </w:p>
          <w:p w14:paraId="2B1B648A" w14:textId="77777777" w:rsidR="00F67E9E" w:rsidRPr="00753B68" w:rsidRDefault="00F67E9E" w:rsidP="007F74AA">
            <w:pPr>
              <w:pStyle w:val="StdBodyTextBold"/>
              <w:spacing w:before="0" w:after="0"/>
              <w:rPr>
                <w:rFonts w:cs="Arial"/>
              </w:rPr>
            </w:pPr>
            <w:r w:rsidRPr="00753B68">
              <w:rPr>
                <w:rFonts w:cs="Arial"/>
                <w:highlight w:val="yellow"/>
              </w:rPr>
              <w:t>[Acid Ratio]</w:t>
            </w:r>
          </w:p>
        </w:tc>
        <w:tc>
          <w:tcPr>
            <w:tcW w:w="1984" w:type="dxa"/>
          </w:tcPr>
          <w:p w14:paraId="54ECD108" w14:textId="77777777" w:rsidR="00F67E9E" w:rsidRPr="005F1047" w:rsidRDefault="00F67E9E" w:rsidP="007F74AA">
            <w:pPr>
              <w:pStyle w:val="StdBodyText"/>
              <w:spacing w:before="0" w:after="0"/>
              <w:rPr>
                <w:rFonts w:cs="Arial"/>
                <w:iCs/>
                <w:lang w:val="fr-FR"/>
              </w:rPr>
            </w:pPr>
            <w:r w:rsidRPr="005F1047">
              <w:rPr>
                <w:rFonts w:cs="Arial"/>
                <w:iCs/>
                <w:highlight w:val="yellow"/>
                <w:lang w:val="fr-FR"/>
              </w:rPr>
              <w:t>[Acid Ratio = (Current Assets – Inventories) / Current Liabilities]</w:t>
            </w:r>
          </w:p>
        </w:tc>
        <w:tc>
          <w:tcPr>
            <w:tcW w:w="1417" w:type="dxa"/>
          </w:tcPr>
          <w:p w14:paraId="1C1C0403" w14:textId="77777777" w:rsidR="00F67E9E" w:rsidRPr="005F1047" w:rsidRDefault="00F67E9E" w:rsidP="007F74AA">
            <w:pPr>
              <w:pStyle w:val="StdBodyText"/>
              <w:spacing w:before="0" w:after="0"/>
              <w:rPr>
                <w:rFonts w:cs="Arial"/>
                <w:iCs/>
              </w:rPr>
            </w:pPr>
            <w:r w:rsidRPr="005F1047">
              <w:rPr>
                <w:rFonts w:cs="Arial"/>
                <w:iCs/>
                <w:highlight w:val="yellow"/>
              </w:rPr>
              <w:t xml:space="preserve">[&gt; [X]] </w:t>
            </w:r>
            <w:r w:rsidRPr="005F1047">
              <w:rPr>
                <w:rFonts w:cs="Arial"/>
                <w:iCs/>
              </w:rPr>
              <w:t>times</w:t>
            </w:r>
          </w:p>
        </w:tc>
        <w:tc>
          <w:tcPr>
            <w:tcW w:w="3402" w:type="dxa"/>
          </w:tcPr>
          <w:p w14:paraId="79D2B456" w14:textId="77777777" w:rsidR="00F67E9E" w:rsidRPr="005F1047" w:rsidRDefault="00F67E9E" w:rsidP="007F74AA">
            <w:pPr>
              <w:pStyle w:val="StdBodyText"/>
              <w:spacing w:before="0" w:after="0"/>
              <w:rPr>
                <w:rFonts w:cs="Arial"/>
                <w:iCs/>
              </w:rPr>
            </w:pPr>
            <w:r w:rsidRPr="005F1047">
              <w:rPr>
                <w:rFonts w:cs="Arial"/>
                <w:iCs/>
              </w:rPr>
              <w:t xml:space="preserve">Tested and reported </w:t>
            </w:r>
            <w:r w:rsidRPr="005F1047">
              <w:rPr>
                <w:rFonts w:cs="Arial"/>
                <w:iCs/>
                <w:highlight w:val="yellow"/>
              </w:rPr>
              <w:t xml:space="preserve">[yearly / half yearly] </w:t>
            </w:r>
            <w:r w:rsidRPr="005F1047">
              <w:rPr>
                <w:rFonts w:cs="Arial"/>
                <w:iCs/>
              </w:rPr>
              <w:t xml:space="preserve">in arrears within </w:t>
            </w:r>
            <w:r w:rsidRPr="005F1047">
              <w:rPr>
                <w:rFonts w:cs="Arial"/>
                <w:iCs/>
                <w:highlight w:val="yellow"/>
              </w:rPr>
              <w:t xml:space="preserve">[120 /90] </w:t>
            </w:r>
            <w:r w:rsidRPr="005F1047">
              <w:rPr>
                <w:rFonts w:cs="Arial"/>
                <w:iCs/>
              </w:rPr>
              <w:t xml:space="preserve">days of each </w:t>
            </w:r>
            <w:r w:rsidRPr="005F1047">
              <w:rPr>
                <w:rFonts w:cs="Arial"/>
                <w:iCs/>
                <w:highlight w:val="yellow"/>
              </w:rPr>
              <w:t xml:space="preserve">[accounting reference date / half year end] </w:t>
            </w:r>
            <w:r w:rsidRPr="005F1047">
              <w:rPr>
                <w:rFonts w:cs="Arial"/>
                <w:iCs/>
              </w:rPr>
              <w:t xml:space="preserve">based upon figures at the relevant </w:t>
            </w:r>
            <w:r w:rsidRPr="005F1047">
              <w:rPr>
                <w:rFonts w:cs="Arial"/>
                <w:iCs/>
                <w:highlight w:val="yellow"/>
              </w:rPr>
              <w:t>[accounting reference date / half year end]</w:t>
            </w:r>
          </w:p>
        </w:tc>
      </w:tr>
      <w:tr w:rsidR="00F67E9E" w:rsidRPr="00753B68" w14:paraId="45467DBC" w14:textId="77777777" w:rsidTr="007F74AA">
        <w:tc>
          <w:tcPr>
            <w:tcW w:w="3402" w:type="dxa"/>
          </w:tcPr>
          <w:p w14:paraId="4E1A4042" w14:textId="77777777" w:rsidR="00F67E9E" w:rsidRPr="00753B68" w:rsidRDefault="00F67E9E" w:rsidP="007F74AA">
            <w:pPr>
              <w:pStyle w:val="StdBodyTextBold"/>
              <w:spacing w:before="0" w:after="0"/>
              <w:rPr>
                <w:rFonts w:cs="Arial"/>
              </w:rPr>
            </w:pPr>
            <w:r w:rsidRPr="00753B68">
              <w:rPr>
                <w:rFonts w:cs="Arial"/>
              </w:rPr>
              <w:t>6</w:t>
            </w:r>
          </w:p>
          <w:p w14:paraId="60200DEC" w14:textId="77777777" w:rsidR="00F67E9E" w:rsidRPr="00753B68" w:rsidRDefault="00F67E9E" w:rsidP="007F74AA">
            <w:pPr>
              <w:pStyle w:val="StdBodyTextBold"/>
              <w:spacing w:before="0" w:after="0"/>
              <w:rPr>
                <w:rFonts w:cs="Arial"/>
              </w:rPr>
            </w:pPr>
            <w:r w:rsidRPr="00753B68">
              <w:rPr>
                <w:rFonts w:cs="Arial"/>
                <w:highlight w:val="yellow"/>
              </w:rPr>
              <w:t>[Net Asset value]</w:t>
            </w:r>
          </w:p>
        </w:tc>
        <w:tc>
          <w:tcPr>
            <w:tcW w:w="1984" w:type="dxa"/>
          </w:tcPr>
          <w:p w14:paraId="48C310CB" w14:textId="77777777" w:rsidR="00F67E9E" w:rsidRPr="005F1047" w:rsidRDefault="00F67E9E" w:rsidP="007F74AA">
            <w:pPr>
              <w:pStyle w:val="StdBodyText"/>
              <w:spacing w:before="0" w:after="0"/>
              <w:rPr>
                <w:rFonts w:cs="Arial"/>
                <w:iCs/>
                <w:lang w:val="nl-NL"/>
              </w:rPr>
            </w:pPr>
            <w:r w:rsidRPr="005F1047">
              <w:rPr>
                <w:rFonts w:cs="Arial"/>
                <w:iCs/>
                <w:highlight w:val="yellow"/>
                <w:lang w:val="nl-NL"/>
              </w:rPr>
              <w:t>[Net Asset Value = Net Assets]</w:t>
            </w:r>
          </w:p>
        </w:tc>
        <w:tc>
          <w:tcPr>
            <w:tcW w:w="1417" w:type="dxa"/>
          </w:tcPr>
          <w:p w14:paraId="7E681176" w14:textId="77777777" w:rsidR="00F67E9E" w:rsidRPr="005F1047" w:rsidRDefault="00F67E9E" w:rsidP="007F74AA">
            <w:pPr>
              <w:pStyle w:val="StdBodyText"/>
              <w:spacing w:before="0" w:after="0"/>
              <w:rPr>
                <w:rFonts w:cs="Arial"/>
                <w:iCs/>
              </w:rPr>
            </w:pPr>
            <w:r w:rsidRPr="005F1047">
              <w:rPr>
                <w:rFonts w:cs="Arial"/>
                <w:iCs/>
                <w:highlight w:val="yellow"/>
              </w:rPr>
              <w:t>[&gt; £0]</w:t>
            </w:r>
          </w:p>
        </w:tc>
        <w:tc>
          <w:tcPr>
            <w:tcW w:w="3402" w:type="dxa"/>
          </w:tcPr>
          <w:p w14:paraId="7972D446" w14:textId="77777777" w:rsidR="00F67E9E" w:rsidRPr="005F1047" w:rsidRDefault="00F67E9E" w:rsidP="007F74AA">
            <w:pPr>
              <w:pStyle w:val="StdBodyText"/>
              <w:spacing w:before="0" w:after="0"/>
              <w:rPr>
                <w:rFonts w:cs="Arial"/>
                <w:iCs/>
              </w:rPr>
            </w:pPr>
            <w:r w:rsidRPr="005F1047">
              <w:rPr>
                <w:rFonts w:cs="Arial"/>
                <w:iCs/>
              </w:rPr>
              <w:t xml:space="preserve">Tested and reported </w:t>
            </w:r>
            <w:r w:rsidRPr="005F1047">
              <w:rPr>
                <w:rFonts w:cs="Arial"/>
                <w:iCs/>
                <w:highlight w:val="yellow"/>
              </w:rPr>
              <w:t xml:space="preserve">[yearly / half yearly] </w:t>
            </w:r>
            <w:r w:rsidRPr="005F1047">
              <w:rPr>
                <w:rFonts w:cs="Arial"/>
                <w:iCs/>
              </w:rPr>
              <w:t xml:space="preserve">in arrears within </w:t>
            </w:r>
            <w:r w:rsidRPr="005F1047">
              <w:rPr>
                <w:rFonts w:cs="Arial"/>
                <w:iCs/>
                <w:highlight w:val="yellow"/>
              </w:rPr>
              <w:t xml:space="preserve">[120 /90] </w:t>
            </w:r>
            <w:r w:rsidRPr="005F1047">
              <w:rPr>
                <w:rFonts w:cs="Arial"/>
                <w:iCs/>
              </w:rPr>
              <w:t xml:space="preserve">days of each </w:t>
            </w:r>
            <w:r w:rsidRPr="005F1047">
              <w:rPr>
                <w:rFonts w:cs="Arial"/>
                <w:iCs/>
                <w:highlight w:val="yellow"/>
              </w:rPr>
              <w:t xml:space="preserve">[accounting reference date / half year end] </w:t>
            </w:r>
            <w:r w:rsidRPr="005F1047">
              <w:rPr>
                <w:rFonts w:cs="Arial"/>
                <w:iCs/>
              </w:rPr>
              <w:t xml:space="preserve">based upon figures at the relevant </w:t>
            </w:r>
            <w:r w:rsidRPr="005F1047">
              <w:rPr>
                <w:rFonts w:cs="Arial"/>
                <w:iCs/>
                <w:highlight w:val="yellow"/>
              </w:rPr>
              <w:t>[accounting reference date / half year end]</w:t>
            </w:r>
          </w:p>
        </w:tc>
      </w:tr>
      <w:tr w:rsidR="00F67E9E" w:rsidRPr="00753B68" w14:paraId="72628C03" w14:textId="77777777" w:rsidTr="007F74AA">
        <w:tc>
          <w:tcPr>
            <w:tcW w:w="3402" w:type="dxa"/>
          </w:tcPr>
          <w:p w14:paraId="3C527C53" w14:textId="77777777" w:rsidR="00F67E9E" w:rsidRPr="00753B68" w:rsidRDefault="00F67E9E" w:rsidP="007F74AA">
            <w:pPr>
              <w:pStyle w:val="StdBodyTextBold"/>
              <w:spacing w:before="0" w:after="0"/>
              <w:rPr>
                <w:rFonts w:cs="Arial"/>
              </w:rPr>
            </w:pPr>
            <w:r w:rsidRPr="00753B68">
              <w:rPr>
                <w:rFonts w:cs="Arial"/>
              </w:rPr>
              <w:t>7</w:t>
            </w:r>
          </w:p>
          <w:p w14:paraId="43784CA0" w14:textId="77777777" w:rsidR="00F67E9E" w:rsidRPr="00753B68" w:rsidRDefault="00F67E9E" w:rsidP="007F74AA">
            <w:pPr>
              <w:pStyle w:val="StdBodyTextBold"/>
              <w:spacing w:before="0" w:after="0"/>
              <w:rPr>
                <w:rFonts w:cs="Arial"/>
              </w:rPr>
            </w:pPr>
            <w:r w:rsidRPr="00753B68">
              <w:rPr>
                <w:rFonts w:cs="Arial"/>
                <w:highlight w:val="yellow"/>
              </w:rPr>
              <w:t>[Group Exposure Ratio]</w:t>
            </w:r>
          </w:p>
        </w:tc>
        <w:tc>
          <w:tcPr>
            <w:tcW w:w="1984" w:type="dxa"/>
          </w:tcPr>
          <w:p w14:paraId="7920731C" w14:textId="77777777" w:rsidR="00F67E9E" w:rsidRPr="005F1047" w:rsidRDefault="00F67E9E" w:rsidP="007F74AA">
            <w:pPr>
              <w:pStyle w:val="StdBodyText"/>
              <w:spacing w:before="0" w:after="0"/>
              <w:rPr>
                <w:rFonts w:cs="Arial"/>
                <w:iCs/>
              </w:rPr>
            </w:pPr>
            <w:r w:rsidRPr="005F1047">
              <w:rPr>
                <w:rFonts w:cs="Arial"/>
                <w:iCs/>
                <w:highlight w:val="yellow"/>
              </w:rPr>
              <w:t>[Group Exposure / Gross Assets]</w:t>
            </w:r>
          </w:p>
        </w:tc>
        <w:tc>
          <w:tcPr>
            <w:tcW w:w="1417" w:type="dxa"/>
          </w:tcPr>
          <w:p w14:paraId="6CECE2F8" w14:textId="77777777" w:rsidR="00F67E9E" w:rsidRPr="005F1047" w:rsidRDefault="00F67E9E" w:rsidP="007F74AA">
            <w:pPr>
              <w:pStyle w:val="StdBodyText"/>
              <w:spacing w:before="0" w:after="0"/>
              <w:rPr>
                <w:rFonts w:cs="Arial"/>
                <w:iCs/>
              </w:rPr>
            </w:pPr>
            <w:r w:rsidRPr="005F1047">
              <w:rPr>
                <w:rFonts w:cs="Arial"/>
                <w:iCs/>
                <w:highlight w:val="yellow"/>
              </w:rPr>
              <w:t>[&lt; [X]]%</w:t>
            </w:r>
          </w:p>
        </w:tc>
        <w:tc>
          <w:tcPr>
            <w:tcW w:w="3402" w:type="dxa"/>
          </w:tcPr>
          <w:p w14:paraId="56CC3037" w14:textId="77777777" w:rsidR="00F67E9E" w:rsidRPr="005F1047" w:rsidRDefault="00F67E9E" w:rsidP="007F74AA">
            <w:pPr>
              <w:pStyle w:val="StdBodyText"/>
              <w:spacing w:before="0" w:after="0"/>
              <w:rPr>
                <w:rFonts w:cs="Arial"/>
                <w:iCs/>
              </w:rPr>
            </w:pPr>
            <w:r w:rsidRPr="005F1047">
              <w:rPr>
                <w:rFonts w:cs="Arial"/>
                <w:iCs/>
              </w:rPr>
              <w:t>Tested and reported yearly in arrears within 120 days of each accounting reference date based upon figures at the relevant accounting reference date</w:t>
            </w:r>
          </w:p>
        </w:tc>
      </w:tr>
      <w:tr w:rsidR="00F67E9E" w:rsidRPr="00753B68" w14:paraId="243F76ED" w14:textId="77777777" w:rsidTr="007F74AA">
        <w:tc>
          <w:tcPr>
            <w:tcW w:w="3402" w:type="dxa"/>
          </w:tcPr>
          <w:p w14:paraId="49A24DB8" w14:textId="77777777" w:rsidR="00F67E9E" w:rsidRPr="00753B68" w:rsidRDefault="00F67E9E" w:rsidP="007F74AA">
            <w:pPr>
              <w:pStyle w:val="StdBodyTextBold"/>
              <w:spacing w:before="0" w:after="0"/>
              <w:rPr>
                <w:rFonts w:cs="Arial"/>
              </w:rPr>
            </w:pPr>
            <w:r w:rsidRPr="00753B68">
              <w:rPr>
                <w:rFonts w:cs="Arial"/>
              </w:rPr>
              <w:t>Financial Target 8</w:t>
            </w:r>
          </w:p>
          <w:p w14:paraId="728C64C8" w14:textId="77777777" w:rsidR="00F67E9E" w:rsidRPr="00753B68" w:rsidRDefault="00F67E9E" w:rsidP="007F74AA">
            <w:pPr>
              <w:pStyle w:val="StdBodyTextBold"/>
              <w:spacing w:before="0" w:after="0"/>
              <w:rPr>
                <w:rFonts w:cs="Arial"/>
              </w:rPr>
            </w:pPr>
            <w:r w:rsidRPr="00753B68">
              <w:rPr>
                <w:rFonts w:cs="Arial"/>
                <w:highlight w:val="yellow"/>
              </w:rPr>
              <w:t>[etc.]</w:t>
            </w:r>
          </w:p>
        </w:tc>
        <w:tc>
          <w:tcPr>
            <w:tcW w:w="1984" w:type="dxa"/>
          </w:tcPr>
          <w:p w14:paraId="0F033DCD" w14:textId="77777777" w:rsidR="00F67E9E" w:rsidRPr="005F1047" w:rsidRDefault="00F67E9E" w:rsidP="007F74AA">
            <w:pPr>
              <w:pStyle w:val="StdBodyText"/>
              <w:spacing w:before="0" w:after="0"/>
              <w:rPr>
                <w:rFonts w:cs="Arial"/>
                <w:iCs/>
              </w:rPr>
            </w:pPr>
            <w:r w:rsidRPr="005F1047">
              <w:rPr>
                <w:rFonts w:cs="Arial"/>
                <w:iCs/>
                <w:highlight w:val="yellow"/>
              </w:rPr>
              <w:t>[etc.]</w:t>
            </w:r>
          </w:p>
        </w:tc>
        <w:tc>
          <w:tcPr>
            <w:tcW w:w="1417" w:type="dxa"/>
          </w:tcPr>
          <w:p w14:paraId="0A669FBE" w14:textId="77777777" w:rsidR="00F67E9E" w:rsidRPr="005F1047" w:rsidRDefault="00F67E9E" w:rsidP="007F74AA">
            <w:pPr>
              <w:pStyle w:val="StdBodyText"/>
              <w:spacing w:before="0" w:after="0"/>
              <w:rPr>
                <w:rFonts w:cs="Arial"/>
                <w:iCs/>
              </w:rPr>
            </w:pPr>
            <w:r w:rsidRPr="005F1047">
              <w:rPr>
                <w:rFonts w:cs="Arial"/>
                <w:iCs/>
                <w:highlight w:val="yellow"/>
              </w:rPr>
              <w:t>[etc.]</w:t>
            </w:r>
          </w:p>
        </w:tc>
        <w:tc>
          <w:tcPr>
            <w:tcW w:w="3402" w:type="dxa"/>
          </w:tcPr>
          <w:p w14:paraId="1E0AED54" w14:textId="77777777" w:rsidR="00F67E9E" w:rsidRPr="005F1047" w:rsidRDefault="00F67E9E" w:rsidP="007F74AA">
            <w:pPr>
              <w:pStyle w:val="StdBodyText"/>
              <w:spacing w:before="0" w:after="0"/>
              <w:rPr>
                <w:rFonts w:cs="Arial"/>
                <w:iCs/>
              </w:rPr>
            </w:pPr>
            <w:r w:rsidRPr="005F1047">
              <w:rPr>
                <w:rFonts w:cs="Arial"/>
                <w:iCs/>
                <w:highlight w:val="yellow"/>
              </w:rPr>
              <w:t>[etc.]</w:t>
            </w:r>
          </w:p>
        </w:tc>
      </w:tr>
    </w:tbl>
    <w:p w14:paraId="31C2198C" w14:textId="523DA565" w:rsidR="00F67E9E" w:rsidRPr="00753B68" w:rsidRDefault="00F67E9E" w:rsidP="00F67E9E">
      <w:pPr>
        <w:pStyle w:val="StdBodyText"/>
        <w:rPr>
          <w:rFonts w:cs="Arial"/>
        </w:rPr>
      </w:pPr>
      <w:r w:rsidRPr="00753B68">
        <w:rPr>
          <w:rFonts w:cs="Arial"/>
        </w:rPr>
        <w:t>Key:</w:t>
      </w:r>
      <w:r w:rsidRPr="00753B68">
        <w:rPr>
          <w:rFonts w:cs="Arial"/>
          <w:vertAlign w:val="superscript"/>
        </w:rPr>
        <w:t>1</w:t>
      </w:r>
      <w:r w:rsidRPr="00753B68">
        <w:rPr>
          <w:rFonts w:cs="Arial"/>
        </w:rPr>
        <w:t xml:space="preserve"> – </w:t>
      </w:r>
      <w:r w:rsidRPr="00D00D9A">
        <w:rPr>
          <w:rFonts w:cs="Arial"/>
        </w:rPr>
        <w:t xml:space="preserve">See Annex </w:t>
      </w:r>
      <w:r w:rsidRPr="00D00D9A">
        <w:rPr>
          <w:rFonts w:cs="Arial"/>
        </w:rPr>
        <w:fldChar w:fldCharType="begin"/>
      </w:r>
      <w:r w:rsidRPr="00D00D9A">
        <w:rPr>
          <w:rFonts w:cs="Arial"/>
        </w:rPr>
        <w:instrText xml:space="preserve"> REF ANNEX3_SCHEDULE18 \h </w:instrText>
      </w:r>
      <w:r>
        <w:rPr>
          <w:rFonts w:cs="Arial"/>
        </w:rPr>
        <w:instrText xml:space="preserve"> \* MERGEFORMAT </w:instrText>
      </w:r>
      <w:r w:rsidRPr="00D00D9A">
        <w:rPr>
          <w:rFonts w:cs="Arial"/>
        </w:rPr>
      </w:r>
      <w:r w:rsidRPr="00D00D9A">
        <w:rPr>
          <w:rFonts w:cs="Arial"/>
        </w:rPr>
        <w:fldChar w:fldCharType="separate"/>
      </w:r>
      <w:r w:rsidR="00302D39" w:rsidRPr="00302D39">
        <w:rPr>
          <w:rFonts w:cs="Arial"/>
        </w:rPr>
        <w:t>3</w:t>
      </w:r>
      <w:r w:rsidRPr="00D00D9A">
        <w:rPr>
          <w:rFonts w:cs="Arial"/>
        </w:rPr>
        <w:fldChar w:fldCharType="end"/>
      </w:r>
      <w:r w:rsidRPr="00D00D9A">
        <w:rPr>
          <w:rFonts w:cs="Arial"/>
        </w:rPr>
        <w:t xml:space="preserve"> of this Schedule which sets out the calculation methodology to be used in the calculation of each Financial Indicator</w:t>
      </w:r>
      <w:r w:rsidRPr="00753B68">
        <w:rPr>
          <w:rFonts w:cs="Arial"/>
        </w:rPr>
        <w:t>.</w:t>
      </w:r>
    </w:p>
    <w:p w14:paraId="7E5AD337" w14:textId="77777777" w:rsidR="00F67E9E" w:rsidRPr="00753B68" w:rsidRDefault="00F67E9E" w:rsidP="00F67E9E">
      <w:pPr>
        <w:pStyle w:val="Numbered11"/>
      </w:pPr>
      <w:bookmarkStart w:id="1426" w:name="_Ref_ContractCompanion_9kb9Ur6GH"/>
      <w:bookmarkStart w:id="1427" w:name="_Ref_ContractCompanion_9kb9Us35B"/>
      <w:r w:rsidRPr="00190AA9">
        <w:t>Monitored</w:t>
      </w:r>
      <w:r w:rsidRPr="00753B68">
        <w:t xml:space="preserve"> Suppliers</w:t>
      </w:r>
      <w:bookmarkEnd w:id="1426"/>
      <w:bookmarkEnd w:id="1427"/>
    </w:p>
    <w:p w14:paraId="7D65F07E" w14:textId="77777777" w:rsidR="00F67E9E" w:rsidRPr="005F1047" w:rsidRDefault="00F67E9E" w:rsidP="00F67E9E">
      <w:pPr>
        <w:pStyle w:val="StdBodyText2"/>
        <w:rPr>
          <w:rFonts w:cs="Arial"/>
          <w:b/>
          <w:bCs/>
        </w:rPr>
      </w:pPr>
      <w:r>
        <w:rPr>
          <w:rStyle w:val="StdBodyTextBoldChar"/>
          <w:rFonts w:cs="Arial"/>
          <w:iCs/>
          <w:highlight w:val="yellow"/>
        </w:rPr>
        <w:t>[Guidance note:</w:t>
      </w:r>
      <w:r w:rsidRPr="00266335">
        <w:rPr>
          <w:rStyle w:val="StdBodyTextBoldChar"/>
          <w:rFonts w:cs="Arial"/>
          <w:i/>
          <w:highlight w:val="yellow"/>
        </w:rPr>
        <w:t xml:space="preserve"> Insert details of any other entities which the Supplier is required to monitor against the Financial Indicators. These are in addition to the Supplier’s monitoring of itself, the Guarantor and the Key Sub-contractors. Not all the Financial Indicators may be applicable to a Monitored Supplier, so indicate which of those are to apply in the table below.]</w:t>
      </w:r>
    </w:p>
    <w:tbl>
      <w:tblPr>
        <w:tblStyle w:val="MSATable-header"/>
        <w:tblW w:w="9467" w:type="dxa"/>
        <w:tblInd w:w="680" w:type="dxa"/>
        <w:tblLook w:val="0620" w:firstRow="1" w:lastRow="0" w:firstColumn="0" w:lastColumn="0" w:noHBand="1" w:noVBand="1"/>
      </w:tblPr>
      <w:tblGrid>
        <w:gridCol w:w="4365"/>
        <w:gridCol w:w="5102"/>
      </w:tblGrid>
      <w:tr w:rsidR="00F67E9E" w:rsidRPr="00CB211D" w14:paraId="02D8663D" w14:textId="77777777" w:rsidTr="007F74AA">
        <w:trPr>
          <w:cnfStyle w:val="100000000000" w:firstRow="1" w:lastRow="0" w:firstColumn="0" w:lastColumn="0" w:oddVBand="0" w:evenVBand="0" w:oddHBand="0" w:evenHBand="0" w:firstRowFirstColumn="0" w:firstRowLastColumn="0" w:lastRowFirstColumn="0" w:lastRowLastColumn="0"/>
          <w:tblHeader/>
        </w:trPr>
        <w:tc>
          <w:tcPr>
            <w:tcW w:w="4365" w:type="dxa"/>
            <w:vAlign w:val="bottom"/>
          </w:tcPr>
          <w:p w14:paraId="4AC81A5E" w14:textId="77777777" w:rsidR="00F67E9E" w:rsidRPr="00CB211D" w:rsidRDefault="00F67E9E" w:rsidP="007F74AA">
            <w:pPr>
              <w:pStyle w:val="StdBodyTextBold"/>
              <w:spacing w:before="0" w:after="0"/>
              <w:rPr>
                <w:rFonts w:cs="Arial"/>
                <w:b/>
                <w:bCs/>
              </w:rPr>
            </w:pPr>
            <w:r w:rsidRPr="00CB211D">
              <w:rPr>
                <w:rFonts w:cs="Arial"/>
                <w:b/>
                <w:bCs/>
              </w:rPr>
              <w:t>Monitored Supplier</w:t>
            </w:r>
          </w:p>
        </w:tc>
        <w:tc>
          <w:tcPr>
            <w:tcW w:w="5102" w:type="dxa"/>
            <w:vAlign w:val="bottom"/>
          </w:tcPr>
          <w:p w14:paraId="79A86714" w14:textId="77777777" w:rsidR="00F67E9E" w:rsidRPr="00CB211D" w:rsidRDefault="00F67E9E" w:rsidP="007F74AA">
            <w:pPr>
              <w:pStyle w:val="StdBodyText1"/>
              <w:spacing w:before="0" w:after="0"/>
              <w:ind w:left="0"/>
              <w:rPr>
                <w:rFonts w:cs="Arial"/>
                <w:bCs/>
              </w:rPr>
            </w:pPr>
            <w:r w:rsidRPr="00CB211D">
              <w:rPr>
                <w:rFonts w:cs="Arial"/>
                <w:bCs/>
              </w:rPr>
              <w:t>Applicable Financial Indicators</w:t>
            </w:r>
          </w:p>
          <w:p w14:paraId="4C876FCA" w14:textId="4B41B3B5" w:rsidR="00F67E9E" w:rsidRPr="00CB211D" w:rsidRDefault="00F67E9E" w:rsidP="007F74AA">
            <w:pPr>
              <w:pStyle w:val="StdBodyText1"/>
              <w:spacing w:before="0" w:after="0"/>
              <w:ind w:left="0"/>
              <w:rPr>
                <w:rFonts w:cs="Arial"/>
                <w:b w:val="0"/>
              </w:rPr>
            </w:pPr>
            <w:r w:rsidRPr="00477926">
              <w:rPr>
                <w:b w:val="0"/>
                <w:bCs/>
              </w:rPr>
              <w:t xml:space="preserve">(these are the Financial Indicators from the table in </w:t>
            </w:r>
            <w:bookmarkStart w:id="1428" w:name="_9kMHG5YVtCIB9GGFGefvlpjzHDE8uqnx0AK1AJF"/>
            <w:r w:rsidRPr="00477926">
              <w:rPr>
                <w:b w:val="0"/>
                <w:bCs/>
              </w:rPr>
              <w:t xml:space="preserve">Paragraph </w:t>
            </w:r>
            <w:r w:rsidRPr="00CB211D">
              <w:rPr>
                <w:rFonts w:cs="Arial"/>
              </w:rPr>
              <w:fldChar w:fldCharType="begin"/>
            </w:r>
            <w:r w:rsidRPr="00CB211D">
              <w:rPr>
                <w:rFonts w:cs="Arial"/>
                <w:b w:val="0"/>
              </w:rPr>
              <w:instrText xml:space="preserve"> REF _Ref_ContractCompanion_9kb9Us39H \n \h \t \* MERGEFORMAT </w:instrText>
            </w:r>
            <w:r w:rsidRPr="00CB211D">
              <w:rPr>
                <w:rFonts w:cs="Arial"/>
              </w:rPr>
            </w:r>
            <w:r w:rsidRPr="00CB211D">
              <w:rPr>
                <w:rFonts w:cs="Arial"/>
              </w:rPr>
              <w:fldChar w:fldCharType="separate"/>
            </w:r>
            <w:r w:rsidR="00302D39">
              <w:rPr>
                <w:rFonts w:cs="Arial"/>
                <w:b w:val="0"/>
              </w:rPr>
              <w:t>5.1</w:t>
            </w:r>
            <w:r w:rsidRPr="00CB211D">
              <w:rPr>
                <w:rFonts w:cs="Arial"/>
              </w:rPr>
              <w:fldChar w:fldCharType="end"/>
            </w:r>
            <w:bookmarkEnd w:id="1428"/>
            <w:r w:rsidRPr="00477926">
              <w:rPr>
                <w:b w:val="0"/>
                <w:bCs/>
              </w:rPr>
              <w:t xml:space="preserve"> which are to apply to the Monitored Suppliers)</w:t>
            </w:r>
          </w:p>
        </w:tc>
      </w:tr>
      <w:tr w:rsidR="00F67E9E" w:rsidRPr="00753B68" w14:paraId="0DE4BB2E" w14:textId="77777777" w:rsidTr="007F74AA">
        <w:tc>
          <w:tcPr>
            <w:tcW w:w="4365" w:type="dxa"/>
          </w:tcPr>
          <w:p w14:paraId="42D6DB12" w14:textId="77777777" w:rsidR="00F67E9E" w:rsidRPr="00D00D9A" w:rsidRDefault="00F67E9E" w:rsidP="007F74AA">
            <w:pPr>
              <w:pStyle w:val="StdBodyText1"/>
              <w:spacing w:before="0" w:after="0"/>
              <w:ind w:left="0"/>
              <w:rPr>
                <w:rFonts w:cs="Arial"/>
                <w:highlight w:val="yellow"/>
              </w:rPr>
            </w:pPr>
            <w:r w:rsidRPr="00D00D9A">
              <w:rPr>
                <w:rFonts w:cs="Arial"/>
                <w:highlight w:val="yellow"/>
              </w:rPr>
              <w:t xml:space="preserve">[Entity 1 e.g. Group Member, Sub-contractor, Relevant Parent Company etc.] </w:t>
            </w:r>
          </w:p>
        </w:tc>
        <w:tc>
          <w:tcPr>
            <w:tcW w:w="5102" w:type="dxa"/>
          </w:tcPr>
          <w:p w14:paraId="479F2220" w14:textId="77777777" w:rsidR="00F67E9E" w:rsidRPr="00753B68" w:rsidRDefault="00F67E9E" w:rsidP="007F74AA">
            <w:pPr>
              <w:pStyle w:val="StdBodyText1"/>
              <w:spacing w:before="0" w:after="0"/>
              <w:ind w:left="0"/>
              <w:rPr>
                <w:rFonts w:cs="Arial"/>
                <w:highlight w:val="yellow"/>
              </w:rPr>
            </w:pPr>
            <w:r w:rsidRPr="00753B68">
              <w:rPr>
                <w:rFonts w:cs="Arial"/>
                <w:highlight w:val="yellow"/>
              </w:rPr>
              <w:t>[1 – Operating Margin]</w:t>
            </w:r>
          </w:p>
          <w:p w14:paraId="3EECF546" w14:textId="77777777" w:rsidR="00F67E9E" w:rsidRPr="00753B68" w:rsidRDefault="00F67E9E" w:rsidP="007F74AA">
            <w:pPr>
              <w:pStyle w:val="StdBodyText1"/>
              <w:spacing w:before="0" w:after="0"/>
              <w:ind w:left="0"/>
              <w:rPr>
                <w:rFonts w:cs="Arial"/>
                <w:highlight w:val="yellow"/>
              </w:rPr>
            </w:pPr>
            <w:r w:rsidRPr="00753B68">
              <w:rPr>
                <w:rFonts w:cs="Arial"/>
                <w:highlight w:val="yellow"/>
              </w:rPr>
              <w:t>[2 – etc..]</w:t>
            </w:r>
          </w:p>
          <w:p w14:paraId="238A5B7E" w14:textId="77777777" w:rsidR="00F67E9E" w:rsidRPr="00753B68" w:rsidRDefault="00F67E9E" w:rsidP="007F74AA">
            <w:pPr>
              <w:pStyle w:val="StdBodyText1"/>
              <w:spacing w:before="0" w:after="0"/>
              <w:ind w:left="0"/>
              <w:rPr>
                <w:rFonts w:cs="Arial"/>
              </w:rPr>
            </w:pPr>
            <w:r w:rsidRPr="00753B68">
              <w:rPr>
                <w:rFonts w:cs="Arial"/>
                <w:highlight w:val="yellow"/>
              </w:rPr>
              <w:t>[3][4][5][6][7][8][etc..]</w:t>
            </w:r>
          </w:p>
        </w:tc>
      </w:tr>
      <w:tr w:rsidR="00F67E9E" w:rsidRPr="00753B68" w14:paraId="1062FDA1" w14:textId="77777777" w:rsidTr="007F74AA">
        <w:tc>
          <w:tcPr>
            <w:tcW w:w="4365" w:type="dxa"/>
          </w:tcPr>
          <w:p w14:paraId="1AED955A" w14:textId="77777777" w:rsidR="00F67E9E" w:rsidRPr="00D00D9A" w:rsidRDefault="00F67E9E" w:rsidP="007F74AA">
            <w:pPr>
              <w:pStyle w:val="StdBodyText1"/>
              <w:spacing w:before="0" w:after="0"/>
              <w:ind w:left="0"/>
              <w:rPr>
                <w:rFonts w:cs="Arial"/>
                <w:highlight w:val="yellow"/>
              </w:rPr>
            </w:pPr>
            <w:r w:rsidRPr="00D00D9A">
              <w:rPr>
                <w:rFonts w:cs="Arial"/>
                <w:highlight w:val="yellow"/>
              </w:rPr>
              <w:t>[Entity 2 e.g. Group Member, Sub-contractor, Relevant Parent Company etc.]</w:t>
            </w:r>
          </w:p>
        </w:tc>
        <w:tc>
          <w:tcPr>
            <w:tcW w:w="5102" w:type="dxa"/>
          </w:tcPr>
          <w:p w14:paraId="278755AB" w14:textId="77777777" w:rsidR="00F67E9E" w:rsidRPr="00753B68" w:rsidRDefault="00F67E9E" w:rsidP="007F74AA">
            <w:pPr>
              <w:pStyle w:val="StdBodyText1"/>
              <w:spacing w:before="0" w:after="0"/>
              <w:ind w:left="0"/>
              <w:rPr>
                <w:rFonts w:cs="Arial"/>
                <w:highlight w:val="yellow"/>
              </w:rPr>
            </w:pPr>
            <w:r w:rsidRPr="00753B68">
              <w:rPr>
                <w:rFonts w:cs="Arial"/>
                <w:highlight w:val="yellow"/>
              </w:rPr>
              <w:t>[1 – Operating Margin]</w:t>
            </w:r>
          </w:p>
          <w:p w14:paraId="0DEE4EE6" w14:textId="77777777" w:rsidR="00F67E9E" w:rsidRPr="00753B68" w:rsidRDefault="00F67E9E" w:rsidP="007F74AA">
            <w:pPr>
              <w:pStyle w:val="StdBodyText1"/>
              <w:spacing w:before="0" w:after="0"/>
              <w:ind w:left="0"/>
              <w:rPr>
                <w:rFonts w:cs="Arial"/>
                <w:highlight w:val="yellow"/>
              </w:rPr>
            </w:pPr>
            <w:r w:rsidRPr="00753B68">
              <w:rPr>
                <w:rFonts w:cs="Arial"/>
                <w:highlight w:val="yellow"/>
              </w:rPr>
              <w:t>[2 – etc.]</w:t>
            </w:r>
          </w:p>
          <w:p w14:paraId="0A5595DD" w14:textId="77777777" w:rsidR="00F67E9E" w:rsidRPr="00753B68" w:rsidRDefault="00F67E9E" w:rsidP="007F74AA">
            <w:pPr>
              <w:pStyle w:val="StdBodyText1"/>
              <w:spacing w:before="0" w:after="0"/>
              <w:ind w:left="0"/>
              <w:rPr>
                <w:rFonts w:cs="Arial"/>
                <w:highlight w:val="yellow"/>
              </w:rPr>
            </w:pPr>
            <w:r w:rsidRPr="00753B68">
              <w:rPr>
                <w:rFonts w:cs="Arial"/>
                <w:highlight w:val="yellow"/>
              </w:rPr>
              <w:t>[3][4][5][6][7][8][etc..]</w:t>
            </w:r>
          </w:p>
        </w:tc>
      </w:tr>
      <w:tr w:rsidR="00F67E9E" w:rsidRPr="00753B68" w14:paraId="0EB6BED0" w14:textId="77777777" w:rsidTr="007F74AA">
        <w:tc>
          <w:tcPr>
            <w:tcW w:w="4365" w:type="dxa"/>
          </w:tcPr>
          <w:p w14:paraId="40A8C1C2" w14:textId="77777777" w:rsidR="00F67E9E" w:rsidRPr="00753B68" w:rsidRDefault="00F67E9E" w:rsidP="007F74AA">
            <w:pPr>
              <w:pStyle w:val="StdBodyText1"/>
              <w:spacing w:before="0" w:after="0"/>
              <w:ind w:left="0"/>
              <w:rPr>
                <w:rFonts w:cs="Arial"/>
                <w:highlight w:val="yellow"/>
              </w:rPr>
            </w:pPr>
            <w:r w:rsidRPr="00753B68">
              <w:rPr>
                <w:rFonts w:cs="Arial"/>
                <w:highlight w:val="yellow"/>
              </w:rPr>
              <w:t>[etc.]</w:t>
            </w:r>
          </w:p>
        </w:tc>
        <w:tc>
          <w:tcPr>
            <w:tcW w:w="5102" w:type="dxa"/>
          </w:tcPr>
          <w:p w14:paraId="251E1921" w14:textId="77777777" w:rsidR="00F67E9E" w:rsidRPr="00753B68" w:rsidRDefault="00F67E9E" w:rsidP="007F74AA">
            <w:pPr>
              <w:pStyle w:val="StdBodyText1"/>
              <w:spacing w:before="0" w:after="0"/>
              <w:ind w:left="0"/>
              <w:rPr>
                <w:rFonts w:cs="Arial"/>
                <w:highlight w:val="yellow"/>
              </w:rPr>
            </w:pPr>
            <w:r w:rsidRPr="00753B68">
              <w:rPr>
                <w:rFonts w:cs="Arial"/>
                <w:highlight w:val="yellow"/>
              </w:rPr>
              <w:t>[etc.]</w:t>
            </w:r>
          </w:p>
        </w:tc>
      </w:tr>
    </w:tbl>
    <w:p w14:paraId="13C2F168" w14:textId="77777777" w:rsidR="00F67E9E" w:rsidRPr="00753B68" w:rsidRDefault="00F67E9E" w:rsidP="00F67E9E">
      <w:pPr>
        <w:pStyle w:val="StdBodyText"/>
        <w:spacing w:before="0" w:after="0"/>
        <w:rPr>
          <w:rFonts w:cs="Arial"/>
        </w:rPr>
      </w:pPr>
    </w:p>
    <w:p w14:paraId="38B3CCF7" w14:textId="77777777" w:rsidR="00F67E9E" w:rsidRPr="00753B68" w:rsidRDefault="00F67E9E" w:rsidP="00F67E9E">
      <w:pPr>
        <w:pStyle w:val="Numbered1"/>
      </w:pPr>
      <w:bookmarkStart w:id="1429" w:name="_Ref44571523"/>
      <w:r w:rsidRPr="00190AA9">
        <w:t>Termination</w:t>
      </w:r>
      <w:r w:rsidRPr="00753B68">
        <w:t xml:space="preserve"> Rights</w:t>
      </w:r>
      <w:bookmarkEnd w:id="1429"/>
    </w:p>
    <w:p w14:paraId="64CB03AF" w14:textId="77777777" w:rsidR="00F67E9E" w:rsidRPr="00D00D9A" w:rsidRDefault="00F67E9E" w:rsidP="00F67E9E">
      <w:pPr>
        <w:pStyle w:val="Numbered11"/>
        <w:keepNext/>
      </w:pPr>
      <w:r w:rsidRPr="00D00D9A">
        <w:t xml:space="preserve">The Authority shall be entitled to terminate this Contract under </w:t>
      </w:r>
      <w:bookmarkStart w:id="1430" w:name="_9kMIH5YVt4EE7BJTEjtCx9MLu"/>
      <w:bookmarkStart w:id="1431" w:name="_9kMHG5YVt4EE7CDMEjtCx9MLu"/>
      <w:r w:rsidRPr="00D00D9A">
        <w:t>Clause 31.1(b)</w:t>
      </w:r>
      <w:bookmarkEnd w:id="1430"/>
      <w:bookmarkEnd w:id="1431"/>
      <w:r>
        <w:t xml:space="preserve"> </w:t>
      </w:r>
      <w:r w:rsidRPr="00D00D9A">
        <w:t>(</w:t>
      </w:r>
      <w:r w:rsidRPr="00D00D9A">
        <w:rPr>
          <w:i/>
        </w:rPr>
        <w:t>Termination by the Authority</w:t>
      </w:r>
      <w:r w:rsidRPr="00D00D9A">
        <w:t>) if:</w:t>
      </w:r>
    </w:p>
    <w:p w14:paraId="5B593640" w14:textId="0E3BA34C" w:rsidR="00F67E9E" w:rsidRPr="00190AA9" w:rsidRDefault="00F67E9E" w:rsidP="00F67E9E">
      <w:pPr>
        <w:pStyle w:val="Numbered111"/>
      </w:pPr>
      <w:r w:rsidRPr="00D00D9A">
        <w:t xml:space="preserve">the </w:t>
      </w:r>
      <w:r w:rsidRPr="00190AA9">
        <w:t xml:space="preserve">Supplier fails to notify the Authority of a Financial Distress Event in accordance with </w:t>
      </w:r>
      <w:bookmarkStart w:id="1432" w:name="_9kR3WTr2BC7EHaEnoewrqyCMx"/>
      <w:r w:rsidRPr="00190AA9">
        <w:t xml:space="preserve">Paragraph </w:t>
      </w:r>
      <w:r w:rsidRPr="00190AA9">
        <w:fldChar w:fldCharType="begin"/>
      </w:r>
      <w:r w:rsidRPr="00190AA9">
        <w:instrText xml:space="preserve"> REF _Ref_ContractCompanion_9kb9Us3AB \w \h \t \* MERGEFORMAT </w:instrText>
      </w:r>
      <w:r w:rsidRPr="00190AA9">
        <w:fldChar w:fldCharType="separate"/>
      </w:r>
      <w:r w:rsidR="00302D39">
        <w:t>2.3.3</w:t>
      </w:r>
      <w:r w:rsidRPr="00190AA9">
        <w:fldChar w:fldCharType="end"/>
      </w:r>
      <w:bookmarkEnd w:id="1432"/>
      <w:r w:rsidRPr="00190AA9">
        <w:t>;</w:t>
      </w:r>
    </w:p>
    <w:p w14:paraId="088321C0" w14:textId="57AC506E" w:rsidR="00F67E9E" w:rsidRPr="00190AA9" w:rsidRDefault="00F67E9E" w:rsidP="00F67E9E">
      <w:pPr>
        <w:pStyle w:val="Numbered111"/>
      </w:pPr>
      <w:r w:rsidRPr="00190AA9">
        <w:t xml:space="preserve">the Supplier fails to comply with any part of Paragraph </w:t>
      </w:r>
      <w:r w:rsidRPr="00190AA9">
        <w:fldChar w:fldCharType="begin"/>
      </w:r>
      <w:r w:rsidRPr="00190AA9">
        <w:instrText xml:space="preserve"> REF _Ref_ContractCompanion_9kb9Us36B \r \h  \* MERGEFORMAT </w:instrText>
      </w:r>
      <w:r w:rsidRPr="00190AA9">
        <w:fldChar w:fldCharType="separate"/>
      </w:r>
      <w:r w:rsidR="00302D39">
        <w:t>4.3</w:t>
      </w:r>
      <w:r w:rsidRPr="00190AA9">
        <w:fldChar w:fldCharType="end"/>
      </w:r>
      <w:r w:rsidRPr="00190AA9">
        <w:t>;</w:t>
      </w:r>
    </w:p>
    <w:p w14:paraId="29B276D4" w14:textId="03D0F009" w:rsidR="00F67E9E" w:rsidRPr="00190AA9" w:rsidRDefault="00F67E9E" w:rsidP="00F67E9E">
      <w:pPr>
        <w:pStyle w:val="Numbered111"/>
      </w:pPr>
      <w:r w:rsidRPr="00190AA9">
        <w:t xml:space="preserve">the Authority finally rejects a Financial Distress Remediation Plan (or any updated Financial Distress Remediation Plan) in accordance with </w:t>
      </w:r>
      <w:bookmarkStart w:id="1433" w:name="_9kR3WTr2BC7EKdEnoewrqy2QP"/>
      <w:r w:rsidRPr="00190AA9">
        <w:t xml:space="preserve">Paragraphs </w:t>
      </w:r>
      <w:r w:rsidRPr="00190AA9">
        <w:fldChar w:fldCharType="begin"/>
      </w:r>
      <w:r w:rsidRPr="00190AA9">
        <w:instrText xml:space="preserve"> REF _Ref88648491 \r \h  \* MERGEFORMAT </w:instrText>
      </w:r>
      <w:r w:rsidRPr="00190AA9">
        <w:fldChar w:fldCharType="separate"/>
      </w:r>
      <w:r w:rsidR="00302D39">
        <w:t>4.4</w:t>
      </w:r>
      <w:r w:rsidRPr="00190AA9">
        <w:fldChar w:fldCharType="end"/>
      </w:r>
      <w:bookmarkEnd w:id="1433"/>
      <w:r w:rsidRPr="00190AA9">
        <w:t xml:space="preserve"> to </w:t>
      </w:r>
      <w:bookmarkStart w:id="1434" w:name="_9kR3WTr2BC7FEBH"/>
      <w:r w:rsidRPr="00190AA9">
        <w:fldChar w:fldCharType="begin"/>
      </w:r>
      <w:r w:rsidRPr="00190AA9">
        <w:instrText xml:space="preserve"> REF _Ref_ContractCompanion_9kb9Us38B \w \h \t \* MERGEFORMAT </w:instrText>
      </w:r>
      <w:r w:rsidRPr="00190AA9">
        <w:fldChar w:fldCharType="separate"/>
      </w:r>
      <w:r w:rsidR="00302D39">
        <w:t>4.5.1</w:t>
      </w:r>
      <w:r w:rsidRPr="00190AA9">
        <w:fldChar w:fldCharType="end"/>
      </w:r>
      <w:bookmarkEnd w:id="1434"/>
      <w:r w:rsidRPr="00190AA9">
        <w:t>; and/or</w:t>
      </w:r>
    </w:p>
    <w:p w14:paraId="3E855FB5" w14:textId="579B4249" w:rsidR="00F67E9E" w:rsidRPr="00D00D9A" w:rsidRDefault="00F67E9E" w:rsidP="00F67E9E">
      <w:pPr>
        <w:pStyle w:val="Numbered111"/>
      </w:pPr>
      <w:r w:rsidRPr="00190AA9">
        <w:t>the Supplier fails to comply with the terms of the Financial Distress Remediation Plan (or any</w:t>
      </w:r>
      <w:r w:rsidRPr="00D00D9A">
        <w:t xml:space="preserve"> updated Financial Distress Remediation Plan) in accordance with </w:t>
      </w:r>
      <w:bookmarkStart w:id="1435" w:name="_9kR3WTr2BC7FHZEnoewrqyER0"/>
      <w:r w:rsidRPr="00D00D9A">
        <w:t xml:space="preserve">Paragraph </w:t>
      </w:r>
      <w:r w:rsidRPr="00D00D9A">
        <w:fldChar w:fldCharType="begin"/>
      </w:r>
      <w:r w:rsidRPr="00D00D9A">
        <w:instrText xml:space="preserve"> REF _Ref_ContractCompanion_9kb9Us3BB \w \h \t \* MERGEFORMAT </w:instrText>
      </w:r>
      <w:r w:rsidRPr="00D00D9A">
        <w:fldChar w:fldCharType="separate"/>
      </w:r>
      <w:r w:rsidR="00302D39">
        <w:t>4.5.3</w:t>
      </w:r>
      <w:r w:rsidRPr="00D00D9A">
        <w:fldChar w:fldCharType="end"/>
      </w:r>
      <w:bookmarkEnd w:id="1435"/>
      <w:r w:rsidRPr="00D00D9A">
        <w:t>.</w:t>
      </w:r>
    </w:p>
    <w:p w14:paraId="1DB5818A" w14:textId="77777777" w:rsidR="00F67E9E" w:rsidRPr="00D00D9A" w:rsidRDefault="00F67E9E" w:rsidP="00F67E9E">
      <w:pPr>
        <w:pStyle w:val="Numbered1"/>
      </w:pPr>
      <w:r w:rsidRPr="00D00D9A">
        <w:t xml:space="preserve">Primacy </w:t>
      </w:r>
      <w:r>
        <w:t>o</w:t>
      </w:r>
      <w:r w:rsidRPr="00D00D9A">
        <w:t>f Credit Ratings</w:t>
      </w:r>
    </w:p>
    <w:p w14:paraId="57375C5B" w14:textId="69D289A3" w:rsidR="00F67E9E" w:rsidRPr="00D00D9A" w:rsidRDefault="00F67E9E" w:rsidP="00F67E9E">
      <w:pPr>
        <w:pStyle w:val="Numbered11"/>
      </w:pPr>
      <w:bookmarkStart w:id="1436" w:name="_Ref_ContractCompanion_9kb9Ur34B"/>
      <w:bookmarkStart w:id="1437" w:name="_Ref_ContractCompanion_9kb9Ur354"/>
      <w:bookmarkStart w:id="1438" w:name="_Ref_ContractCompanion_9kb9Ur6EG"/>
      <w:r w:rsidRPr="00D00D9A">
        <w:t>Without prejudice to the Supplier</w:t>
      </w:r>
      <w:r>
        <w:t>’</w:t>
      </w:r>
      <w:r w:rsidRPr="00D00D9A">
        <w:t>s obligations and the Authority</w:t>
      </w:r>
      <w:r>
        <w:t>’</w:t>
      </w:r>
      <w:r w:rsidRPr="00D00D9A">
        <w:t xml:space="preserve">s rights and remedies under </w:t>
      </w:r>
      <w:bookmarkStart w:id="1439" w:name="_9kR3WTr2BC7FKcEnoewrqyC"/>
      <w:r w:rsidRPr="00D00D9A">
        <w:t xml:space="preserve">Paragraph </w:t>
      </w:r>
      <w:r w:rsidRPr="00D00D9A">
        <w:fldChar w:fldCharType="begin"/>
      </w:r>
      <w:r w:rsidRPr="00D00D9A">
        <w:instrText xml:space="preserve"> REF _Ref_ContractCompanion_9kb9Us3BE \w \n \h \t \* MERGEFORMAT </w:instrText>
      </w:r>
      <w:r w:rsidRPr="00D00D9A">
        <w:fldChar w:fldCharType="separate"/>
      </w:r>
      <w:r w:rsidR="00302D39">
        <w:t>2</w:t>
      </w:r>
      <w:r w:rsidRPr="00D00D9A">
        <w:fldChar w:fldCharType="end"/>
      </w:r>
      <w:bookmarkEnd w:id="1439"/>
      <w:r w:rsidRPr="00D00D9A">
        <w:t xml:space="preserve">, if, following the occurrence of a Financial Distress Event pursuant to any of </w:t>
      </w:r>
      <w:bookmarkStart w:id="1440" w:name="_9kR3WTr2BC7FNfEnoewrqy2PMv"/>
      <w:r w:rsidRPr="00D00D9A">
        <w:t xml:space="preserve">Paragraphs </w:t>
      </w:r>
      <w:r w:rsidRPr="00D00D9A">
        <w:fldChar w:fldCharType="begin"/>
      </w:r>
      <w:r w:rsidRPr="00D00D9A">
        <w:instrText xml:space="preserve"> REF _Ref_ContractCompanion_9kb9Us3BH \w \h \t \* MERGEFORMAT </w:instrText>
      </w:r>
      <w:r w:rsidRPr="00D00D9A">
        <w:fldChar w:fldCharType="separate"/>
      </w:r>
      <w:r w:rsidR="00302D39">
        <w:t>3.1.2</w:t>
      </w:r>
      <w:r w:rsidRPr="00D00D9A">
        <w:fldChar w:fldCharType="end"/>
      </w:r>
      <w:bookmarkEnd w:id="1440"/>
      <w:r w:rsidRPr="00D00D9A">
        <w:t xml:space="preserve"> to </w:t>
      </w:r>
      <w:bookmarkStart w:id="1441" w:name="_9kR3WTr2BC7GHCCq"/>
      <w:r w:rsidRPr="00D00D9A">
        <w:fldChar w:fldCharType="begin"/>
      </w:r>
      <w:r w:rsidRPr="00D00D9A">
        <w:instrText xml:space="preserve"> REF _Ref_ContractCompanion_9kb9Us3CB \w \h \t \* MERGEFORMAT </w:instrText>
      </w:r>
      <w:r w:rsidRPr="00D00D9A">
        <w:fldChar w:fldCharType="separate"/>
      </w:r>
      <w:r w:rsidR="00302D39">
        <w:t>3.1.10</w:t>
      </w:r>
      <w:r w:rsidRPr="00D00D9A">
        <w:fldChar w:fldCharType="end"/>
      </w:r>
      <w:bookmarkEnd w:id="1441"/>
      <w:r w:rsidRPr="00D00D9A">
        <w:t xml:space="preserve">, the Rating Agencies </w:t>
      </w:r>
      <w:r w:rsidRPr="00190AA9">
        <w:t>review</w:t>
      </w:r>
      <w:r w:rsidRPr="00D00D9A">
        <w:t xml:space="preserve"> and report subsequently that the credit ratings for the FDE Group entities do not drop below the relevant Credit Rating Thresholds specified for those entities in Annex </w:t>
      </w:r>
      <w:r w:rsidRPr="00D00D9A">
        <w:fldChar w:fldCharType="begin"/>
      </w:r>
      <w:r w:rsidRPr="00D00D9A">
        <w:instrText xml:space="preserve"> REF ANNEX2_SCHEDULE18 \h </w:instrText>
      </w:r>
      <w:r>
        <w:instrText xml:space="preserve"> \* MERGEFORMAT </w:instrText>
      </w:r>
      <w:r w:rsidRPr="00D00D9A">
        <w:fldChar w:fldCharType="separate"/>
      </w:r>
      <w:r w:rsidR="00302D39" w:rsidRPr="00D00D9A">
        <w:t>2</w:t>
      </w:r>
      <w:r w:rsidRPr="00D00D9A">
        <w:fldChar w:fldCharType="end"/>
      </w:r>
      <w:r w:rsidRPr="00D00D9A">
        <w:t xml:space="preserve"> of this Schedule, then:</w:t>
      </w:r>
      <w:bookmarkEnd w:id="1436"/>
      <w:bookmarkEnd w:id="1437"/>
      <w:bookmarkEnd w:id="1438"/>
    </w:p>
    <w:p w14:paraId="01DEE501" w14:textId="28B8D8BC" w:rsidR="00F67E9E" w:rsidRPr="00190AA9" w:rsidRDefault="00F67E9E" w:rsidP="00F67E9E">
      <w:pPr>
        <w:pStyle w:val="Numbered111"/>
      </w:pPr>
      <w:r w:rsidRPr="00D00D9A">
        <w:t xml:space="preserve">the Supplier shall be relieved automatically of its obligations under </w:t>
      </w:r>
      <w:bookmarkStart w:id="1442" w:name="_9kMHG5YVt4DE9GMfGpqgyts04SR"/>
      <w:r w:rsidRPr="00D00D9A">
        <w:t xml:space="preserve">Paragraphs </w:t>
      </w:r>
      <w:r w:rsidRPr="00D00D9A">
        <w:fldChar w:fldCharType="begin"/>
      </w:r>
      <w:r w:rsidRPr="00D00D9A">
        <w:instrText xml:space="preserve"> REF _Ref_ContractCompanion_9kb9Us3AE \n \h \t \* MERGEFORMAT </w:instrText>
      </w:r>
      <w:r w:rsidRPr="00D00D9A">
        <w:fldChar w:fldCharType="separate"/>
      </w:r>
      <w:r w:rsidR="00302D39">
        <w:t>4.3</w:t>
      </w:r>
      <w:r w:rsidRPr="00D00D9A">
        <w:fldChar w:fldCharType="end"/>
      </w:r>
      <w:bookmarkEnd w:id="1442"/>
      <w:r w:rsidRPr="00D00D9A">
        <w:t xml:space="preserve"> to </w:t>
      </w:r>
      <w:bookmarkStart w:id="1443" w:name="_9kR3WTr2BC7GKGI"/>
      <w:r w:rsidRPr="00D00D9A">
        <w:fldChar w:fldCharType="begin"/>
      </w:r>
      <w:r w:rsidRPr="00D00D9A">
        <w:instrText xml:space="preserve"> REF _Ref_ContractCompanion_9kb9Us3CE \n \h \t \* MERGEFORMAT </w:instrText>
      </w:r>
      <w:r w:rsidRPr="00D00D9A">
        <w:fldChar w:fldCharType="separate"/>
      </w:r>
      <w:r w:rsidR="00302D39">
        <w:t>4.5</w:t>
      </w:r>
      <w:r w:rsidRPr="00D00D9A">
        <w:fldChar w:fldCharType="end"/>
      </w:r>
      <w:bookmarkEnd w:id="1443"/>
      <w:r w:rsidRPr="00D00D9A">
        <w:t>; and</w:t>
      </w:r>
    </w:p>
    <w:p w14:paraId="5F0417F3" w14:textId="273AA49D" w:rsidR="00F67E9E" w:rsidRPr="00D00D9A" w:rsidRDefault="00F67E9E" w:rsidP="00F67E9E">
      <w:pPr>
        <w:pStyle w:val="Numbered111"/>
      </w:pPr>
      <w:r w:rsidRPr="00190AA9">
        <w:t>the Authority shall not be entitled to require the Supplier to provide financial information in</w:t>
      </w:r>
      <w:r w:rsidRPr="00D00D9A">
        <w:t xml:space="preserve"> accordance with </w:t>
      </w:r>
      <w:bookmarkStart w:id="1444" w:name="_9kMIH5YVtCIB9FJIHpiq29A4qo8O61HODv8HIJJ"/>
      <w:r w:rsidRPr="00D00D9A">
        <w:t xml:space="preserve">Paragraph </w:t>
      </w:r>
      <w:r w:rsidRPr="00D00D9A">
        <w:fldChar w:fldCharType="begin"/>
      </w:r>
      <w:r w:rsidRPr="00D00D9A">
        <w:instrText xml:space="preserve"> REF _Ref_ContractCompanion_9kb9Us39B \w \h \t \* MERGEFORMAT </w:instrText>
      </w:r>
      <w:r w:rsidRPr="00D00D9A">
        <w:fldChar w:fldCharType="separate"/>
      </w:r>
      <w:r w:rsidR="00302D39">
        <w:t>4.3.2(b)</w:t>
      </w:r>
      <w:r w:rsidRPr="00D00D9A">
        <w:fldChar w:fldCharType="end"/>
      </w:r>
      <w:bookmarkEnd w:id="1444"/>
      <w:r w:rsidRPr="00D00D9A">
        <w:t xml:space="preserve">. </w:t>
      </w:r>
    </w:p>
    <w:p w14:paraId="3B17B526" w14:textId="77777777" w:rsidR="00F67E9E" w:rsidRPr="00D00D9A" w:rsidRDefault="00F67E9E" w:rsidP="00F67E9E">
      <w:pPr>
        <w:pStyle w:val="Numbered1"/>
      </w:pPr>
      <w:bookmarkStart w:id="1445" w:name="_Ref_ContractCompanion_9kb9Ur246"/>
      <w:bookmarkStart w:id="1446" w:name="_Ref_ContractCompanion_9kb9Us34C"/>
      <w:bookmarkStart w:id="1447" w:name="_Ref_ContractCompanion_9kb9Us8A7"/>
      <w:r w:rsidRPr="00D00D9A">
        <w:t xml:space="preserve">Board </w:t>
      </w:r>
      <w:r w:rsidRPr="00190AA9">
        <w:t>Confirmation</w:t>
      </w:r>
      <w:bookmarkEnd w:id="1445"/>
      <w:bookmarkEnd w:id="1446"/>
      <w:bookmarkEnd w:id="1447"/>
    </w:p>
    <w:p w14:paraId="178D448E" w14:textId="03E21420" w:rsidR="00F67E9E" w:rsidRPr="00D00D9A" w:rsidRDefault="00F67E9E" w:rsidP="00F67E9E">
      <w:pPr>
        <w:pStyle w:val="Numbered11"/>
      </w:pPr>
      <w:bookmarkStart w:id="1448" w:name="_Ref_ContractCompanion_9kb9Ur894"/>
      <w:bookmarkStart w:id="1449" w:name="_Ref_ContractCompanion_9kb9Us3CK"/>
      <w:r w:rsidRPr="00D00D9A">
        <w:t xml:space="preserve">If this Contract has been specified as a Critical Service Contract under </w:t>
      </w:r>
      <w:bookmarkStart w:id="1450" w:name="_9kMHG5YVt4EE7DIdGpqgyts0DKL"/>
      <w:r w:rsidRPr="00D00D9A">
        <w:t xml:space="preserve">Paragraph </w:t>
      </w:r>
      <w:r w:rsidRPr="00D00D9A">
        <w:fldChar w:fldCharType="begin"/>
      </w:r>
      <w:r w:rsidRPr="00D00D9A">
        <w:instrText xml:space="preserve"> REF _Ref_ContractCompanion_9kb9Ur178 \n \h \t \* MERGEFORMAT </w:instrText>
      </w:r>
      <w:r w:rsidRPr="00D00D9A">
        <w:fldChar w:fldCharType="separate"/>
      </w:r>
      <w:r w:rsidR="00302D39">
        <w:t>1.1</w:t>
      </w:r>
      <w:r w:rsidRPr="00D00D9A">
        <w:fldChar w:fldCharType="end"/>
      </w:r>
      <w:bookmarkEnd w:id="1450"/>
      <w:r w:rsidRPr="00D00D9A">
        <w:t xml:space="preserve"> of </w:t>
      </w:r>
      <w:r w:rsidRPr="00D00D9A">
        <w:fldChar w:fldCharType="begin"/>
      </w:r>
      <w:r w:rsidRPr="00D00D9A">
        <w:instrText xml:space="preserve"> REF Sch26PartB \h  \* MERGEFORMAT </w:instrText>
      </w:r>
      <w:r w:rsidRPr="00D00D9A">
        <w:fldChar w:fldCharType="separate"/>
      </w:r>
      <w:r w:rsidR="00302D39" w:rsidRPr="00025910">
        <w:t>Part B</w:t>
      </w:r>
      <w:r w:rsidRPr="00D00D9A">
        <w:fldChar w:fldCharType="end"/>
      </w:r>
      <w:r w:rsidRPr="00D00D9A">
        <w:t xml:space="preserve"> to </w:t>
      </w:r>
      <w:r>
        <w:fldChar w:fldCharType="begin"/>
      </w:r>
      <w:r>
        <w:instrText xml:space="preserve"> REF Schedule26 \h </w:instrText>
      </w:r>
      <w:r>
        <w:fldChar w:fldCharType="separate"/>
      </w:r>
      <w:r w:rsidR="00302D39" w:rsidRPr="005D0525">
        <w:t>Schedule</w:t>
      </w:r>
      <w:r w:rsidR="00302D39">
        <w:t> </w:t>
      </w:r>
      <w:r w:rsidR="00302D39" w:rsidRPr="005D0525">
        <w:t>26</w:t>
      </w:r>
      <w:r>
        <w:fldChar w:fldCharType="end"/>
      </w:r>
      <w:r>
        <w:t xml:space="preserve"> (</w:t>
      </w:r>
      <w:r w:rsidRPr="00A22335">
        <w:rPr>
          <w:i/>
          <w:iCs/>
        </w:rPr>
        <w:fldChar w:fldCharType="begin"/>
      </w:r>
      <w:r w:rsidRPr="00A22335">
        <w:rPr>
          <w:i/>
          <w:iCs/>
        </w:rPr>
        <w:instrText xml:space="preserve"> REF Schedule26Heading \h </w:instrText>
      </w:r>
      <w:r>
        <w:rPr>
          <w:i/>
          <w:iCs/>
        </w:rPr>
        <w:instrText xml:space="preserve"> \* MERGEFORMAT </w:instrText>
      </w:r>
      <w:r w:rsidRPr="00A22335">
        <w:rPr>
          <w:i/>
          <w:iCs/>
        </w:rPr>
      </w:r>
      <w:r w:rsidRPr="00A22335">
        <w:rPr>
          <w:i/>
          <w:iCs/>
        </w:rPr>
        <w:fldChar w:fldCharType="separate"/>
      </w:r>
      <w:r w:rsidR="00302D39" w:rsidRPr="00302D39">
        <w:rPr>
          <w:i/>
          <w:iCs/>
        </w:rPr>
        <w:t>Service Continuity Plan and Corporate Resolution Planning</w:t>
      </w:r>
      <w:r w:rsidRPr="00A22335">
        <w:rPr>
          <w:i/>
          <w:iCs/>
        </w:rPr>
        <w:fldChar w:fldCharType="end"/>
      </w:r>
      <w:r>
        <w:t>)</w:t>
      </w:r>
      <w:r w:rsidRPr="00D00D9A">
        <w:t xml:space="preserve"> then, subject to </w:t>
      </w:r>
      <w:bookmarkStart w:id="1451" w:name="_9kR3WTr2BC7GNeEnoewrqyIT"/>
      <w:r w:rsidRPr="00D00D9A">
        <w:t xml:space="preserve">Paragraph </w:t>
      </w:r>
      <w:r w:rsidRPr="00D00D9A">
        <w:fldChar w:fldCharType="begin"/>
      </w:r>
      <w:r w:rsidRPr="00D00D9A">
        <w:instrText xml:space="preserve"> REF _Ref_ContractCompanion_9kb9Us3CH \n \h \t \* MERGEFORMAT </w:instrText>
      </w:r>
      <w:r w:rsidRPr="00D00D9A">
        <w:fldChar w:fldCharType="separate"/>
      </w:r>
      <w:r w:rsidR="00302D39">
        <w:t>8.4</w:t>
      </w:r>
      <w:r w:rsidRPr="00D00D9A">
        <w:fldChar w:fldCharType="end"/>
      </w:r>
      <w:bookmarkEnd w:id="1451"/>
      <w:r w:rsidRPr="00D00D9A">
        <w:t xml:space="preserve"> of this Schedule, the Supplier shall within 120 days after each Accounting Reference Date or within 15 months of the previous Board Confirmation (whichever is the earlier) provide a Board Confirmation to the Authority in the form set out at Annex </w:t>
      </w:r>
      <w:r w:rsidRPr="00D00D9A">
        <w:fldChar w:fldCharType="begin"/>
      </w:r>
      <w:r w:rsidRPr="00D00D9A">
        <w:instrText xml:space="preserve"> REF ANNEX4_SCHEDULE18 \h </w:instrText>
      </w:r>
      <w:r>
        <w:instrText xml:space="preserve"> \* MERGEFORMAT </w:instrText>
      </w:r>
      <w:r w:rsidRPr="00D00D9A">
        <w:fldChar w:fldCharType="separate"/>
      </w:r>
      <w:r w:rsidR="00302D39" w:rsidRPr="00D00D9A">
        <w:t>4</w:t>
      </w:r>
      <w:r w:rsidRPr="00D00D9A">
        <w:fldChar w:fldCharType="end"/>
      </w:r>
      <w:r w:rsidRPr="00D00D9A">
        <w:t xml:space="preserve"> of this Schedule, confirming that to the best of the Board</w:t>
      </w:r>
      <w:r>
        <w:t>’</w:t>
      </w:r>
      <w:r w:rsidRPr="00D00D9A">
        <w:t>s knowledge and belief, it is not aware of and has no knowledge:</w:t>
      </w:r>
      <w:bookmarkEnd w:id="1448"/>
      <w:bookmarkEnd w:id="1449"/>
    </w:p>
    <w:p w14:paraId="218BB595" w14:textId="77777777" w:rsidR="00F67E9E" w:rsidRPr="00190AA9" w:rsidRDefault="00F67E9E" w:rsidP="00F67E9E">
      <w:pPr>
        <w:pStyle w:val="Numbered111"/>
      </w:pPr>
      <w:r w:rsidRPr="00D00D9A">
        <w:t xml:space="preserve">that a Financial </w:t>
      </w:r>
      <w:r w:rsidRPr="00190AA9">
        <w:t>Distress Event has occurred since the later of the Effective Date or the previous Board Confirmation or is subsisting; or</w:t>
      </w:r>
    </w:p>
    <w:p w14:paraId="07C1DF3D" w14:textId="77777777" w:rsidR="00F67E9E" w:rsidRPr="00D00D9A" w:rsidRDefault="00F67E9E" w:rsidP="00F67E9E">
      <w:pPr>
        <w:pStyle w:val="Numbered111"/>
      </w:pPr>
      <w:r w:rsidRPr="00190AA9">
        <w:t>of any matters which have occurred or are subsisting that could reasonably be expected to cause a</w:t>
      </w:r>
      <w:r w:rsidRPr="00D00D9A">
        <w:t xml:space="preserve"> Financial Distress Event.</w:t>
      </w:r>
    </w:p>
    <w:p w14:paraId="339DCCED" w14:textId="77777777" w:rsidR="00F67E9E" w:rsidRPr="00190AA9" w:rsidRDefault="00F67E9E" w:rsidP="00F67E9E">
      <w:pPr>
        <w:pStyle w:val="Numbered11"/>
      </w:pPr>
      <w:r w:rsidRPr="00D00D9A">
        <w:t xml:space="preserve">The Supplier shall ensure that in its preparation of the Board Confirmation it exercises due care and diligence and has made reasonable enquiry of all relevant Supplier Personnel and other </w:t>
      </w:r>
      <w:r w:rsidRPr="00190AA9">
        <w:t>persons as is reasonably necessary to understand and confirm the position.</w:t>
      </w:r>
    </w:p>
    <w:p w14:paraId="47CB688E" w14:textId="6CDBB379" w:rsidR="00F67E9E" w:rsidRPr="00190AA9" w:rsidRDefault="00F67E9E" w:rsidP="00F67E9E">
      <w:pPr>
        <w:pStyle w:val="Numbered11"/>
      </w:pPr>
      <w:bookmarkStart w:id="1452" w:name="_Ref_ContractCompanion_9kb9Us444"/>
      <w:r w:rsidRPr="00190AA9">
        <w:t xml:space="preserve">In respect of the first Board Confirmation to be provided under this Contract, the Supplier shall provide the Board Confirmation within 15 months of the Effective Date if earlier than the timescale for submission set out in </w:t>
      </w:r>
      <w:bookmarkStart w:id="1453" w:name="_9kMIH5YVt4DDEFCcGpqgyts0KS"/>
      <w:r w:rsidRPr="00190AA9">
        <w:t xml:space="preserve">Paragraph </w:t>
      </w:r>
      <w:r w:rsidRPr="00190AA9">
        <w:fldChar w:fldCharType="begin"/>
      </w:r>
      <w:r w:rsidRPr="00190AA9">
        <w:instrText xml:space="preserve"> REF _Ref_ContractCompanion_9kb9Ur894 \n \h \t \* MERGEFORMAT </w:instrText>
      </w:r>
      <w:r w:rsidRPr="00190AA9">
        <w:fldChar w:fldCharType="separate"/>
      </w:r>
      <w:r w:rsidR="00302D39">
        <w:t>8.1</w:t>
      </w:r>
      <w:r w:rsidRPr="00190AA9">
        <w:fldChar w:fldCharType="end"/>
      </w:r>
      <w:bookmarkEnd w:id="1453"/>
      <w:r w:rsidRPr="00190AA9">
        <w:t xml:space="preserve"> of this Schedule.</w:t>
      </w:r>
      <w:bookmarkEnd w:id="1452"/>
    </w:p>
    <w:p w14:paraId="6176DBDC" w14:textId="6975ECB1" w:rsidR="00F67E9E" w:rsidRDefault="00F67E9E" w:rsidP="00F67E9E">
      <w:pPr>
        <w:pStyle w:val="Numbered11"/>
      </w:pPr>
      <w:bookmarkStart w:id="1454" w:name="_Ref_ContractCompanion_9kb9Us3CH"/>
      <w:r w:rsidRPr="00190AA9">
        <w:t>Where th</w:t>
      </w:r>
      <w:r w:rsidRPr="00D00D9A">
        <w:t xml:space="preserve">e Supplier is unable to provide a Board Confirmation in accordance with </w:t>
      </w:r>
      <w:bookmarkStart w:id="1455" w:name="_9kR3WTr2BC887XEnoewrqy2UR"/>
      <w:r w:rsidRPr="00D00D9A">
        <w:t xml:space="preserve">Paragraphs </w:t>
      </w:r>
      <w:r w:rsidRPr="00D00D9A">
        <w:fldChar w:fldCharType="begin"/>
      </w:r>
      <w:r w:rsidRPr="00D00D9A">
        <w:instrText xml:space="preserve"> REF _Ref_ContractCompanion_9kb9Us3CK \n \h \t \* MERGEFORMAT </w:instrText>
      </w:r>
      <w:r w:rsidRPr="00D00D9A">
        <w:fldChar w:fldCharType="separate"/>
      </w:r>
      <w:r w:rsidR="00302D39">
        <w:t>8.1</w:t>
      </w:r>
      <w:r w:rsidRPr="00D00D9A">
        <w:fldChar w:fldCharType="end"/>
      </w:r>
      <w:bookmarkEnd w:id="1455"/>
      <w:r w:rsidRPr="00D00D9A">
        <w:t xml:space="preserve"> to </w:t>
      </w:r>
      <w:bookmarkStart w:id="1456" w:name="_9kR3WTr2BC88AJJ"/>
      <w:r w:rsidRPr="00D00D9A">
        <w:fldChar w:fldCharType="begin"/>
      </w:r>
      <w:r w:rsidRPr="00D00D9A">
        <w:instrText xml:space="preserve"> REF _Ref_ContractCompanion_9kb9Us444 \n \h \t \* MERGEFORMAT </w:instrText>
      </w:r>
      <w:r w:rsidRPr="00D00D9A">
        <w:fldChar w:fldCharType="separate"/>
      </w:r>
      <w:r w:rsidR="00302D39">
        <w:t>8.3</w:t>
      </w:r>
      <w:r w:rsidRPr="00D00D9A">
        <w:fldChar w:fldCharType="end"/>
      </w:r>
      <w:bookmarkEnd w:id="1456"/>
      <w:r w:rsidRPr="00D00D9A">
        <w:t xml:space="preserve"> of this Schedule due to the occurrence of a Financial Distress Event or knowledge of subsisting matters which could reasonably be expected to cause a Financial Distress Event, it will be sufficient for the Supplier to submit in place of the Board Confirmation, a statement from the Board of Directors to the Authority (and where the Supplier is a Strategic Supplier, the Supplier shall send a copy of the statement to the Cabinet Office Markets and Suppliers Team) setting out full details of any Financial Distress Events that have occurred and/or the matters which could reasonably be expected to cause a Financial Distress Event.</w:t>
      </w:r>
      <w:bookmarkEnd w:id="1454"/>
    </w:p>
    <w:p w14:paraId="27DD83AE" w14:textId="77777777" w:rsidR="00F67E9E" w:rsidRDefault="00F67E9E" w:rsidP="00F67E9E"/>
    <w:p w14:paraId="78116E3E" w14:textId="77777777" w:rsidR="00F67E9E" w:rsidRDefault="00F67E9E" w:rsidP="00F67E9E">
      <w:pPr>
        <w:pStyle w:val="Heading2"/>
        <w:pageBreakBefore/>
      </w:pPr>
      <w:bookmarkStart w:id="1457" w:name="_Ref_ContractCompanion_9kb9Ur7C6"/>
      <w:bookmarkStart w:id="1458" w:name="_Ref_ContractCompanion_9kb9Ur7C8"/>
      <w:bookmarkStart w:id="1459" w:name="_Toc141711954"/>
      <w:r w:rsidRPr="00D00D9A">
        <w:t xml:space="preserve">Annex </w:t>
      </w:r>
      <w:bookmarkStart w:id="1460" w:name="ANNEX1_SCHEDULE18"/>
      <w:r w:rsidRPr="00D00D9A">
        <w:t>1</w:t>
      </w:r>
      <w:bookmarkEnd w:id="1460"/>
      <w:r w:rsidRPr="00D00D9A">
        <w:t>: Rating Agenc</w:t>
      </w:r>
      <w:r w:rsidRPr="00D24F50">
        <w:t xml:space="preserve">ies </w:t>
      </w:r>
      <w:r>
        <w:t>a</w:t>
      </w:r>
      <w:r w:rsidRPr="00D24F50">
        <w:t xml:space="preserve">nd </w:t>
      </w:r>
      <w:r>
        <w:t>t</w:t>
      </w:r>
      <w:r w:rsidRPr="00D24F50">
        <w:t>heir Standard Rating System</w:t>
      </w:r>
      <w:bookmarkEnd w:id="1457"/>
      <w:bookmarkEnd w:id="1458"/>
      <w:bookmarkEnd w:id="1459"/>
    </w:p>
    <w:p w14:paraId="4FBF3E07" w14:textId="1104B5C2" w:rsidR="00F67E9E" w:rsidRPr="00266335" w:rsidRDefault="00F67E9E" w:rsidP="00F67E9E">
      <w:pPr>
        <w:pStyle w:val="StdBodyText"/>
        <w:rPr>
          <w:rFonts w:cs="Arial"/>
          <w:b/>
          <w:i/>
          <w:highlight w:val="yellow"/>
        </w:rPr>
      </w:pPr>
      <w:r>
        <w:rPr>
          <w:rFonts w:cs="Arial"/>
          <w:b/>
          <w:i/>
          <w:highlight w:val="yellow"/>
        </w:rPr>
        <w:t>[Guidance note:</w:t>
      </w:r>
      <w:r w:rsidRPr="00266335">
        <w:rPr>
          <w:rFonts w:cs="Arial"/>
          <w:b/>
          <w:i/>
          <w:highlight w:val="yellow"/>
        </w:rPr>
        <w:t xml:space="preserve"> This Annex</w:t>
      </w:r>
      <w:r>
        <w:rPr>
          <w:rFonts w:cs="Arial"/>
          <w:b/>
          <w:i/>
          <w:highlight w:val="yellow"/>
        </w:rPr>
        <w:t> </w:t>
      </w:r>
      <w:r w:rsidRPr="00D713DE">
        <w:rPr>
          <w:rFonts w:cs="Arial"/>
          <w:b/>
          <w:i/>
          <w:highlight w:val="yellow"/>
        </w:rPr>
        <w:fldChar w:fldCharType="begin"/>
      </w:r>
      <w:r w:rsidRPr="00D713DE">
        <w:rPr>
          <w:rFonts w:cs="Arial"/>
          <w:b/>
          <w:i/>
          <w:highlight w:val="yellow"/>
        </w:rPr>
        <w:instrText xml:space="preserve"> REF ANNEX1_SCHEDULE18 \h </w:instrText>
      </w:r>
      <w:r w:rsidRPr="009C0668">
        <w:rPr>
          <w:rFonts w:cs="Arial"/>
          <w:b/>
          <w:i/>
          <w:highlight w:val="yellow"/>
        </w:rPr>
        <w:instrText xml:space="preserve"> \* MERGEFORMAT </w:instrText>
      </w:r>
      <w:r w:rsidRPr="00D713DE">
        <w:rPr>
          <w:rFonts w:cs="Arial"/>
          <w:b/>
          <w:i/>
          <w:highlight w:val="yellow"/>
        </w:rPr>
      </w:r>
      <w:r w:rsidRPr="00D713DE">
        <w:rPr>
          <w:rFonts w:cs="Arial"/>
          <w:b/>
          <w:i/>
          <w:highlight w:val="yellow"/>
        </w:rPr>
        <w:fldChar w:fldCharType="separate"/>
      </w:r>
      <w:r w:rsidR="00302D39" w:rsidRPr="00302D39">
        <w:rPr>
          <w:b/>
          <w:i/>
        </w:rPr>
        <w:t>1</w:t>
      </w:r>
      <w:r w:rsidRPr="00D713DE">
        <w:rPr>
          <w:rFonts w:cs="Arial"/>
          <w:b/>
          <w:i/>
          <w:highlight w:val="yellow"/>
        </w:rPr>
        <w:fldChar w:fldCharType="end"/>
      </w:r>
      <w:r w:rsidRPr="00266335">
        <w:rPr>
          <w:rFonts w:cs="Arial"/>
          <w:b/>
          <w:i/>
          <w:highlight w:val="yellow"/>
        </w:rPr>
        <w:t xml:space="preserve"> sets out the standard rating scales for each of the Rating Agencies selected. The Credit Rating </w:t>
      </w:r>
      <w:r w:rsidRPr="00266335">
        <w:rPr>
          <w:rStyle w:val="StdBodyTextBoldChar"/>
          <w:rFonts w:cs="Arial"/>
          <w:i/>
          <w:highlight w:val="yellow"/>
        </w:rPr>
        <w:t xml:space="preserve">Threshold can be referred to in </w:t>
      </w:r>
      <w:bookmarkStart w:id="1461" w:name="_9kMHG5YVtCIBAAFQEyq1RYX6qjuxpbgJAKkhMQS"/>
      <w:r w:rsidRPr="00266335">
        <w:rPr>
          <w:rStyle w:val="StdBodyTextBoldChar"/>
          <w:rFonts w:cs="Arial"/>
          <w:i/>
          <w:highlight w:val="yellow"/>
        </w:rPr>
        <w:t xml:space="preserve">Annex </w:t>
      </w:r>
      <w:r w:rsidRPr="00266335">
        <w:rPr>
          <w:rStyle w:val="StdBodyTextBoldChar"/>
          <w:rFonts w:cs="Arial"/>
          <w:i/>
          <w:highlight w:val="yellow"/>
        </w:rPr>
        <w:fldChar w:fldCharType="begin"/>
      </w:r>
      <w:r w:rsidRPr="00266335">
        <w:rPr>
          <w:rStyle w:val="StdBodyTextBoldChar"/>
          <w:rFonts w:cs="Arial"/>
          <w:i/>
          <w:highlight w:val="yellow"/>
        </w:rPr>
        <w:instrText xml:space="preserve"> REF ANNEX2_SCHEDULE18 \h  \* MERGEFORMAT </w:instrText>
      </w:r>
      <w:r w:rsidRPr="00266335">
        <w:rPr>
          <w:rStyle w:val="StdBodyTextBoldChar"/>
          <w:rFonts w:cs="Arial"/>
          <w:i/>
          <w:highlight w:val="yellow"/>
        </w:rPr>
      </w:r>
      <w:r w:rsidRPr="00266335">
        <w:rPr>
          <w:rStyle w:val="StdBodyTextBoldChar"/>
          <w:rFonts w:cs="Arial"/>
          <w:i/>
          <w:highlight w:val="yellow"/>
        </w:rPr>
        <w:fldChar w:fldCharType="separate"/>
      </w:r>
      <w:r w:rsidR="00302D39" w:rsidRPr="00302D39">
        <w:rPr>
          <w:rFonts w:cs="Arial"/>
          <w:b/>
          <w:i/>
          <w:highlight w:val="yellow"/>
        </w:rPr>
        <w:t>2</w:t>
      </w:r>
      <w:r w:rsidRPr="00266335">
        <w:rPr>
          <w:rStyle w:val="StdBodyTextBoldChar"/>
          <w:rFonts w:cs="Arial"/>
          <w:i/>
          <w:highlight w:val="yellow"/>
        </w:rPr>
        <w:fldChar w:fldCharType="end"/>
      </w:r>
      <w:bookmarkEnd w:id="1461"/>
      <w:r w:rsidRPr="00266335">
        <w:rPr>
          <w:rStyle w:val="StdBodyTextBoldChar"/>
          <w:rFonts w:cs="Arial"/>
          <w:i/>
          <w:highlight w:val="yellow"/>
        </w:rPr>
        <w:t xml:space="preserve"> either by using “Credit Rating Level 1”, “Credit Rating Level 2” etc. or by reference to the Rating Agencies’ ratings “AAA”, “AA+” etc, or both.</w:t>
      </w:r>
    </w:p>
    <w:p w14:paraId="76BB75F8" w14:textId="77777777" w:rsidR="00F67E9E" w:rsidRPr="00266335" w:rsidRDefault="00F67E9E" w:rsidP="00F67E9E">
      <w:pPr>
        <w:pStyle w:val="StdBodyTextBold"/>
        <w:rPr>
          <w:rFonts w:cs="Arial"/>
          <w:i/>
        </w:rPr>
      </w:pPr>
      <w:r w:rsidRPr="00266335">
        <w:rPr>
          <w:rFonts w:cs="Arial"/>
          <w:i/>
          <w:highlight w:val="yellow"/>
        </w:rPr>
        <w:t>Note that this Schedule is based on long-term credit ratings issued by credit ratings agencies such as Standard and Poors, Moodys, etc. These are different to and should not be substituted for credit scores issued by credit scoring agencies such as Dun and Bradstreet, Company Watch, etc).]</w:t>
      </w:r>
      <w:r w:rsidRPr="00266335">
        <w:rPr>
          <w:rFonts w:cs="Arial"/>
          <w:i/>
        </w:rPr>
        <w:t xml:space="preserve"> </w:t>
      </w:r>
    </w:p>
    <w:p w14:paraId="10A9ACB9" w14:textId="77777777" w:rsidR="00F67E9E" w:rsidRPr="00753B68" w:rsidRDefault="00F67E9E" w:rsidP="00F67E9E">
      <w:pPr>
        <w:pStyle w:val="StdBodyText"/>
        <w:rPr>
          <w:rFonts w:cs="Arial"/>
          <w:highlight w:val="yellow"/>
        </w:rPr>
      </w:pPr>
      <w:r w:rsidRPr="00753B68">
        <w:rPr>
          <w:rFonts w:cs="Arial"/>
          <w:highlight w:val="yellow"/>
        </w:rPr>
        <w:t>[Rating Agency 1 (e.g. Standard and Poors)]</w:t>
      </w:r>
    </w:p>
    <w:p w14:paraId="5853F1F9" w14:textId="77777777" w:rsidR="00F67E9E" w:rsidRPr="00753B68" w:rsidRDefault="00F67E9E" w:rsidP="00F67E9E">
      <w:pPr>
        <w:pStyle w:val="StdBodyText1"/>
        <w:ind w:left="1080"/>
        <w:rPr>
          <w:rFonts w:cs="Arial"/>
        </w:rPr>
      </w:pPr>
      <w:r w:rsidRPr="00753B68">
        <w:rPr>
          <w:rFonts w:cs="Arial"/>
        </w:rPr>
        <w:t xml:space="preserve">Credit Rating Level 1 = </w:t>
      </w:r>
      <w:r w:rsidRPr="00753B68">
        <w:rPr>
          <w:rFonts w:cs="Arial"/>
          <w:highlight w:val="yellow"/>
        </w:rPr>
        <w:t>[AAA]</w:t>
      </w:r>
    </w:p>
    <w:p w14:paraId="2776C336" w14:textId="77777777" w:rsidR="00F67E9E" w:rsidRPr="00753B68" w:rsidRDefault="00F67E9E" w:rsidP="00F67E9E">
      <w:pPr>
        <w:pStyle w:val="StdBodyText1"/>
        <w:ind w:left="1080"/>
        <w:rPr>
          <w:rFonts w:cs="Arial"/>
        </w:rPr>
      </w:pPr>
      <w:r w:rsidRPr="00753B68">
        <w:rPr>
          <w:rFonts w:cs="Arial"/>
        </w:rPr>
        <w:t xml:space="preserve">Credit Rating Level 2 = </w:t>
      </w:r>
      <w:r w:rsidRPr="00753B68">
        <w:rPr>
          <w:rFonts w:cs="Arial"/>
          <w:highlight w:val="yellow"/>
        </w:rPr>
        <w:t>[AA+]</w:t>
      </w:r>
    </w:p>
    <w:p w14:paraId="122BBBB9" w14:textId="77777777" w:rsidR="00F67E9E" w:rsidRPr="00753B68" w:rsidRDefault="00F67E9E" w:rsidP="00F67E9E">
      <w:pPr>
        <w:pStyle w:val="StdBodyText1"/>
        <w:ind w:left="1080"/>
        <w:rPr>
          <w:rFonts w:cs="Arial"/>
        </w:rPr>
      </w:pPr>
      <w:r w:rsidRPr="00753B68">
        <w:rPr>
          <w:rFonts w:cs="Arial"/>
        </w:rPr>
        <w:t xml:space="preserve">Credit Rating Level 3 = </w:t>
      </w:r>
      <w:r w:rsidRPr="00753B68">
        <w:rPr>
          <w:rFonts w:cs="Arial"/>
          <w:highlight w:val="yellow"/>
        </w:rPr>
        <w:t>[AA]</w:t>
      </w:r>
    </w:p>
    <w:p w14:paraId="32CD582A" w14:textId="77777777" w:rsidR="00F67E9E" w:rsidRPr="00753B68" w:rsidRDefault="00F67E9E" w:rsidP="00F67E9E">
      <w:pPr>
        <w:pStyle w:val="StdBodyText1"/>
        <w:ind w:left="1080"/>
        <w:rPr>
          <w:rFonts w:cs="Arial"/>
        </w:rPr>
      </w:pPr>
      <w:r w:rsidRPr="00753B68">
        <w:rPr>
          <w:rFonts w:cs="Arial"/>
        </w:rPr>
        <w:t xml:space="preserve">Credit Rating Level 4 = </w:t>
      </w:r>
      <w:r w:rsidRPr="00753B68">
        <w:rPr>
          <w:rFonts w:cs="Arial"/>
          <w:highlight w:val="yellow"/>
        </w:rPr>
        <w:t>[AA-]</w:t>
      </w:r>
    </w:p>
    <w:p w14:paraId="0ABC0054" w14:textId="77777777" w:rsidR="00F67E9E" w:rsidRPr="00753B68" w:rsidRDefault="00F67E9E" w:rsidP="00F67E9E">
      <w:pPr>
        <w:pStyle w:val="StdBodyText1"/>
        <w:ind w:left="1080"/>
        <w:rPr>
          <w:rFonts w:cs="Arial"/>
        </w:rPr>
      </w:pPr>
      <w:r w:rsidRPr="00753B68">
        <w:rPr>
          <w:rFonts w:cs="Arial"/>
        </w:rPr>
        <w:t xml:space="preserve">Credit Rating Level 5 = </w:t>
      </w:r>
      <w:r w:rsidRPr="00753B68">
        <w:rPr>
          <w:rFonts w:cs="Arial"/>
          <w:highlight w:val="yellow"/>
        </w:rPr>
        <w:t>[A+]</w:t>
      </w:r>
    </w:p>
    <w:p w14:paraId="69654B6A" w14:textId="77777777" w:rsidR="00F67E9E" w:rsidRPr="00753B68" w:rsidRDefault="00F67E9E" w:rsidP="00F67E9E">
      <w:pPr>
        <w:pStyle w:val="StdBodyText1"/>
        <w:ind w:left="1080"/>
        <w:rPr>
          <w:rFonts w:cs="Arial"/>
        </w:rPr>
      </w:pPr>
      <w:r w:rsidRPr="00753B68">
        <w:rPr>
          <w:rFonts w:cs="Arial"/>
        </w:rPr>
        <w:t xml:space="preserve">Credit Rating Level 6 = </w:t>
      </w:r>
      <w:r w:rsidRPr="00753B68">
        <w:rPr>
          <w:rFonts w:cs="Arial"/>
          <w:highlight w:val="yellow"/>
        </w:rPr>
        <w:t>[A]</w:t>
      </w:r>
    </w:p>
    <w:p w14:paraId="6E0B047C" w14:textId="77777777" w:rsidR="00F67E9E" w:rsidRPr="00753B68" w:rsidRDefault="00F67E9E" w:rsidP="00F67E9E">
      <w:pPr>
        <w:pStyle w:val="StdBodyText1"/>
        <w:ind w:left="1080"/>
        <w:rPr>
          <w:rFonts w:cs="Arial"/>
        </w:rPr>
      </w:pPr>
      <w:r w:rsidRPr="00753B68">
        <w:rPr>
          <w:rFonts w:cs="Arial"/>
        </w:rPr>
        <w:t xml:space="preserve">Credit Rating Level 7 = </w:t>
      </w:r>
      <w:r w:rsidRPr="00753B68">
        <w:rPr>
          <w:rFonts w:cs="Arial"/>
          <w:highlight w:val="yellow"/>
        </w:rPr>
        <w:t>[A-]</w:t>
      </w:r>
    </w:p>
    <w:p w14:paraId="37B8073A" w14:textId="77777777" w:rsidR="00F67E9E" w:rsidRPr="00753B68" w:rsidRDefault="00F67E9E" w:rsidP="00F67E9E">
      <w:pPr>
        <w:pStyle w:val="StdBodyText1"/>
        <w:ind w:left="1080"/>
        <w:rPr>
          <w:rFonts w:cs="Arial"/>
        </w:rPr>
      </w:pPr>
      <w:r w:rsidRPr="00753B68">
        <w:rPr>
          <w:rFonts w:cs="Arial"/>
        </w:rPr>
        <w:t xml:space="preserve">Credit Rating Level 8 = </w:t>
      </w:r>
      <w:r w:rsidRPr="00753B68">
        <w:rPr>
          <w:rFonts w:cs="Arial"/>
          <w:highlight w:val="yellow"/>
        </w:rPr>
        <w:t>[BBB+]</w:t>
      </w:r>
    </w:p>
    <w:p w14:paraId="29FA116A" w14:textId="77777777" w:rsidR="00F67E9E" w:rsidRPr="00753B68" w:rsidRDefault="00F67E9E" w:rsidP="00F67E9E">
      <w:pPr>
        <w:pStyle w:val="StdBodyText1"/>
        <w:ind w:left="1080"/>
        <w:rPr>
          <w:rFonts w:cs="Arial"/>
        </w:rPr>
      </w:pPr>
      <w:r w:rsidRPr="00753B68">
        <w:rPr>
          <w:rFonts w:cs="Arial"/>
        </w:rPr>
        <w:t xml:space="preserve">Credit Rating Level 9 = </w:t>
      </w:r>
      <w:r w:rsidRPr="00753B68">
        <w:rPr>
          <w:rFonts w:cs="Arial"/>
          <w:highlight w:val="yellow"/>
        </w:rPr>
        <w:t>[BBB]</w:t>
      </w:r>
    </w:p>
    <w:p w14:paraId="797AE513" w14:textId="77777777" w:rsidR="00F67E9E" w:rsidRPr="00753B68" w:rsidRDefault="00F67E9E" w:rsidP="00F67E9E">
      <w:pPr>
        <w:pStyle w:val="StdBodyText1"/>
        <w:ind w:left="1080"/>
        <w:rPr>
          <w:rFonts w:cs="Arial"/>
        </w:rPr>
      </w:pPr>
      <w:r w:rsidRPr="00753B68">
        <w:rPr>
          <w:rFonts w:cs="Arial"/>
        </w:rPr>
        <w:t xml:space="preserve">Credit Rating Level 10 = </w:t>
      </w:r>
      <w:r w:rsidRPr="00753B68">
        <w:rPr>
          <w:rFonts w:cs="Arial"/>
          <w:highlight w:val="yellow"/>
        </w:rPr>
        <w:t>[BBB-]</w:t>
      </w:r>
    </w:p>
    <w:p w14:paraId="7AB2F45F" w14:textId="77777777" w:rsidR="00F67E9E" w:rsidRPr="00753B68" w:rsidRDefault="00F67E9E" w:rsidP="00F67E9E">
      <w:pPr>
        <w:pStyle w:val="StdBodyText1"/>
        <w:ind w:left="1080"/>
        <w:rPr>
          <w:rFonts w:cs="Arial"/>
        </w:rPr>
      </w:pPr>
      <w:r w:rsidRPr="00753B68">
        <w:rPr>
          <w:rFonts w:cs="Arial"/>
        </w:rPr>
        <w:t>Etc.</w:t>
      </w:r>
    </w:p>
    <w:p w14:paraId="3E55E50F" w14:textId="77777777" w:rsidR="00F67E9E" w:rsidRPr="00753B68" w:rsidRDefault="00F67E9E" w:rsidP="00F67E9E">
      <w:pPr>
        <w:pStyle w:val="StdBodyText"/>
        <w:rPr>
          <w:rFonts w:cs="Arial"/>
          <w:highlight w:val="yellow"/>
        </w:rPr>
      </w:pPr>
      <w:r w:rsidRPr="00753B68">
        <w:rPr>
          <w:rFonts w:cs="Arial"/>
          <w:highlight w:val="yellow"/>
        </w:rPr>
        <w:t>[Rating Agency 2 (e.g. Moodys) ]</w:t>
      </w:r>
    </w:p>
    <w:p w14:paraId="004156BB" w14:textId="77777777" w:rsidR="00F67E9E" w:rsidRPr="00753B68" w:rsidRDefault="00F67E9E" w:rsidP="00F67E9E">
      <w:pPr>
        <w:pStyle w:val="StdBodyText1"/>
        <w:ind w:left="1080"/>
        <w:rPr>
          <w:rFonts w:cs="Arial"/>
        </w:rPr>
      </w:pPr>
      <w:r w:rsidRPr="00753B68">
        <w:rPr>
          <w:rFonts w:cs="Arial"/>
        </w:rPr>
        <w:t xml:space="preserve">Credit Rating Level 1 = </w:t>
      </w:r>
      <w:r w:rsidRPr="00753B68">
        <w:rPr>
          <w:rFonts w:cs="Arial"/>
          <w:highlight w:val="yellow"/>
        </w:rPr>
        <w:t>[Aaa]</w:t>
      </w:r>
    </w:p>
    <w:p w14:paraId="65A8F516" w14:textId="77777777" w:rsidR="00F67E9E" w:rsidRPr="00753B68" w:rsidRDefault="00F67E9E" w:rsidP="00F67E9E">
      <w:pPr>
        <w:pStyle w:val="StdBodyText1"/>
        <w:ind w:left="1080"/>
        <w:rPr>
          <w:rFonts w:cs="Arial"/>
        </w:rPr>
      </w:pPr>
      <w:r w:rsidRPr="00753B68">
        <w:rPr>
          <w:rFonts w:cs="Arial"/>
        </w:rPr>
        <w:t xml:space="preserve">Credit Rating Level 2 = </w:t>
      </w:r>
      <w:r w:rsidRPr="00753B68">
        <w:rPr>
          <w:rFonts w:cs="Arial"/>
          <w:highlight w:val="yellow"/>
        </w:rPr>
        <w:t>[Aa1]</w:t>
      </w:r>
    </w:p>
    <w:p w14:paraId="1DCF2CD4" w14:textId="77777777" w:rsidR="00F67E9E" w:rsidRPr="00753B68" w:rsidRDefault="00F67E9E" w:rsidP="00F67E9E">
      <w:pPr>
        <w:pStyle w:val="StdBodyText1"/>
        <w:ind w:left="1080"/>
        <w:rPr>
          <w:rFonts w:cs="Arial"/>
        </w:rPr>
      </w:pPr>
      <w:r w:rsidRPr="00753B68">
        <w:rPr>
          <w:rFonts w:cs="Arial"/>
        </w:rPr>
        <w:t xml:space="preserve">Credit Rating Level 3 = </w:t>
      </w:r>
      <w:r w:rsidRPr="00753B68">
        <w:rPr>
          <w:rFonts w:cs="Arial"/>
          <w:highlight w:val="yellow"/>
        </w:rPr>
        <w:t>[Aa2]</w:t>
      </w:r>
    </w:p>
    <w:p w14:paraId="2FF78F18" w14:textId="77777777" w:rsidR="00F67E9E" w:rsidRPr="00753B68" w:rsidRDefault="00F67E9E" w:rsidP="00F67E9E">
      <w:pPr>
        <w:pStyle w:val="StdBodyText1"/>
        <w:ind w:left="1080"/>
        <w:rPr>
          <w:rFonts w:cs="Arial"/>
        </w:rPr>
      </w:pPr>
      <w:r w:rsidRPr="00753B68">
        <w:rPr>
          <w:rFonts w:cs="Arial"/>
        </w:rPr>
        <w:t xml:space="preserve">Credit Rating Level 4 = </w:t>
      </w:r>
      <w:r w:rsidRPr="00753B68">
        <w:rPr>
          <w:rFonts w:cs="Arial"/>
          <w:highlight w:val="yellow"/>
        </w:rPr>
        <w:t>[Aa3]</w:t>
      </w:r>
    </w:p>
    <w:p w14:paraId="47394989" w14:textId="77777777" w:rsidR="00F67E9E" w:rsidRPr="00753B68" w:rsidRDefault="00F67E9E" w:rsidP="00F67E9E">
      <w:pPr>
        <w:pStyle w:val="StdBodyText1"/>
        <w:ind w:left="1080"/>
        <w:rPr>
          <w:rFonts w:cs="Arial"/>
        </w:rPr>
      </w:pPr>
      <w:r w:rsidRPr="00753B68">
        <w:rPr>
          <w:rFonts w:cs="Arial"/>
        </w:rPr>
        <w:t xml:space="preserve">Credit Rating Level 5 = </w:t>
      </w:r>
      <w:r w:rsidRPr="00753B68">
        <w:rPr>
          <w:rFonts w:cs="Arial"/>
          <w:highlight w:val="yellow"/>
        </w:rPr>
        <w:t>[A1]</w:t>
      </w:r>
    </w:p>
    <w:p w14:paraId="7BC6E0FC" w14:textId="77777777" w:rsidR="00F67E9E" w:rsidRPr="00753B68" w:rsidRDefault="00F67E9E" w:rsidP="00F67E9E">
      <w:pPr>
        <w:pStyle w:val="StdBodyText1"/>
        <w:ind w:left="1080"/>
        <w:rPr>
          <w:rFonts w:cs="Arial"/>
        </w:rPr>
      </w:pPr>
      <w:r w:rsidRPr="00753B68">
        <w:rPr>
          <w:rFonts w:cs="Arial"/>
        </w:rPr>
        <w:t xml:space="preserve">Credit Rating Level 6 = </w:t>
      </w:r>
      <w:r w:rsidRPr="00753B68">
        <w:rPr>
          <w:rFonts w:cs="Arial"/>
          <w:highlight w:val="yellow"/>
        </w:rPr>
        <w:t>[A2]</w:t>
      </w:r>
    </w:p>
    <w:p w14:paraId="17B22A0C" w14:textId="77777777" w:rsidR="00F67E9E" w:rsidRPr="00753B68" w:rsidRDefault="00F67E9E" w:rsidP="00F67E9E">
      <w:pPr>
        <w:pStyle w:val="StdBodyText1"/>
        <w:ind w:left="1080"/>
        <w:rPr>
          <w:rFonts w:cs="Arial"/>
        </w:rPr>
      </w:pPr>
      <w:r w:rsidRPr="00753B68">
        <w:rPr>
          <w:rFonts w:cs="Arial"/>
        </w:rPr>
        <w:t xml:space="preserve">Credit Rating Level 7 = </w:t>
      </w:r>
      <w:r w:rsidRPr="00753B68">
        <w:rPr>
          <w:rFonts w:cs="Arial"/>
          <w:highlight w:val="yellow"/>
        </w:rPr>
        <w:t>[A3]</w:t>
      </w:r>
    </w:p>
    <w:p w14:paraId="2903C3A3" w14:textId="77777777" w:rsidR="00F67E9E" w:rsidRPr="00753B68" w:rsidRDefault="00F67E9E" w:rsidP="00F67E9E">
      <w:pPr>
        <w:pStyle w:val="StdBodyText1"/>
        <w:ind w:left="1080"/>
        <w:rPr>
          <w:rFonts w:cs="Arial"/>
        </w:rPr>
      </w:pPr>
      <w:r w:rsidRPr="00753B68">
        <w:rPr>
          <w:rFonts w:cs="Arial"/>
        </w:rPr>
        <w:t xml:space="preserve">Credit Rating Level 8 = </w:t>
      </w:r>
      <w:r w:rsidRPr="00753B68">
        <w:rPr>
          <w:rFonts w:cs="Arial"/>
          <w:highlight w:val="yellow"/>
        </w:rPr>
        <w:t>[Baa1]</w:t>
      </w:r>
    </w:p>
    <w:p w14:paraId="1074FD50" w14:textId="77777777" w:rsidR="00F67E9E" w:rsidRPr="00753B68" w:rsidRDefault="00F67E9E" w:rsidP="00F67E9E">
      <w:pPr>
        <w:pStyle w:val="StdBodyText1"/>
        <w:ind w:left="1080"/>
        <w:rPr>
          <w:rFonts w:cs="Arial"/>
        </w:rPr>
      </w:pPr>
      <w:r w:rsidRPr="00753B68">
        <w:rPr>
          <w:rFonts w:cs="Arial"/>
        </w:rPr>
        <w:t xml:space="preserve">Credit Rating Level 9 = </w:t>
      </w:r>
      <w:r w:rsidRPr="00753B68">
        <w:rPr>
          <w:rFonts w:cs="Arial"/>
          <w:highlight w:val="yellow"/>
        </w:rPr>
        <w:t>[Baa2]</w:t>
      </w:r>
    </w:p>
    <w:p w14:paraId="7326A945" w14:textId="77777777" w:rsidR="00F67E9E" w:rsidRPr="00753B68" w:rsidRDefault="00F67E9E" w:rsidP="00F67E9E">
      <w:pPr>
        <w:pStyle w:val="StdBodyText1"/>
        <w:ind w:left="1080"/>
        <w:rPr>
          <w:rFonts w:cs="Arial"/>
        </w:rPr>
      </w:pPr>
      <w:r w:rsidRPr="00753B68">
        <w:rPr>
          <w:rFonts w:cs="Arial"/>
        </w:rPr>
        <w:t xml:space="preserve">Credit Rating Level 10 = </w:t>
      </w:r>
      <w:r w:rsidRPr="00753B68">
        <w:rPr>
          <w:rFonts w:cs="Arial"/>
          <w:highlight w:val="yellow"/>
        </w:rPr>
        <w:t>[Baa3]</w:t>
      </w:r>
    </w:p>
    <w:p w14:paraId="2D38B9A6" w14:textId="77777777" w:rsidR="00F67E9E" w:rsidRPr="00753B68" w:rsidRDefault="00F67E9E" w:rsidP="00F67E9E">
      <w:pPr>
        <w:pStyle w:val="StdBodyText1"/>
        <w:ind w:left="1080"/>
        <w:rPr>
          <w:rFonts w:cs="Arial"/>
        </w:rPr>
      </w:pPr>
      <w:r w:rsidRPr="00753B68">
        <w:rPr>
          <w:rFonts w:cs="Arial"/>
        </w:rPr>
        <w:t>Etc.</w:t>
      </w:r>
    </w:p>
    <w:p w14:paraId="7436D943" w14:textId="77777777" w:rsidR="00F67E9E" w:rsidRPr="00753B68" w:rsidRDefault="00F67E9E" w:rsidP="00F67E9E">
      <w:pPr>
        <w:pStyle w:val="StdBodyText"/>
        <w:rPr>
          <w:rFonts w:cs="Arial"/>
          <w:highlight w:val="yellow"/>
        </w:rPr>
      </w:pPr>
      <w:r w:rsidRPr="00753B68">
        <w:rPr>
          <w:rFonts w:cs="Arial"/>
          <w:highlight w:val="yellow"/>
        </w:rPr>
        <w:t>[Rating Agency 3 (etc.) ]</w:t>
      </w:r>
    </w:p>
    <w:p w14:paraId="7739D5E0" w14:textId="77777777" w:rsidR="00F67E9E" w:rsidRPr="00753B68" w:rsidRDefault="00F67E9E" w:rsidP="00F67E9E">
      <w:pPr>
        <w:pStyle w:val="StdBodyText1"/>
        <w:ind w:left="1080"/>
        <w:rPr>
          <w:rFonts w:cs="Arial"/>
        </w:rPr>
      </w:pPr>
      <w:r w:rsidRPr="00753B68">
        <w:rPr>
          <w:rFonts w:cs="Arial"/>
        </w:rPr>
        <w:t xml:space="preserve">Credit Rating Level 1 = </w:t>
      </w:r>
      <w:r w:rsidRPr="00753B68">
        <w:rPr>
          <w:rFonts w:cs="Arial"/>
          <w:highlight w:val="yellow"/>
        </w:rPr>
        <w:t>[XXX]</w:t>
      </w:r>
    </w:p>
    <w:p w14:paraId="00CEDA01" w14:textId="77777777" w:rsidR="00F67E9E" w:rsidRDefault="00F67E9E" w:rsidP="00F67E9E">
      <w:pPr>
        <w:pStyle w:val="StdBodyText1"/>
        <w:ind w:left="1080"/>
        <w:rPr>
          <w:rFonts w:cs="Arial"/>
        </w:rPr>
      </w:pPr>
      <w:r w:rsidRPr="00753B68">
        <w:rPr>
          <w:rFonts w:cs="Arial"/>
        </w:rPr>
        <w:t>Etc.</w:t>
      </w:r>
    </w:p>
    <w:p w14:paraId="1A8E13EF" w14:textId="77777777" w:rsidR="00F67E9E" w:rsidRDefault="00F67E9E" w:rsidP="00F67E9E"/>
    <w:p w14:paraId="579F7ACF" w14:textId="77777777" w:rsidR="00F67E9E" w:rsidRDefault="00F67E9E" w:rsidP="00F67E9E">
      <w:pPr>
        <w:pStyle w:val="Heading2"/>
        <w:pageBreakBefore/>
      </w:pPr>
      <w:bookmarkStart w:id="1462" w:name="_Ref_ContractCompanion_9kb9Us356"/>
      <w:bookmarkStart w:id="1463" w:name="_Ref_ContractCompanion_9kb9Us447"/>
      <w:bookmarkStart w:id="1464" w:name="_Toc141711955"/>
      <w:r w:rsidRPr="00D00D9A">
        <w:t xml:space="preserve">Annex </w:t>
      </w:r>
      <w:bookmarkStart w:id="1465" w:name="ANNEX2_SCHEDULE18"/>
      <w:r w:rsidRPr="00D00D9A">
        <w:t>2</w:t>
      </w:r>
      <w:bookmarkEnd w:id="1465"/>
      <w:r w:rsidRPr="00D00D9A">
        <w:t>: Credit</w:t>
      </w:r>
      <w:r w:rsidRPr="00D24F50">
        <w:t xml:space="preserve"> Ratings </w:t>
      </w:r>
      <w:r>
        <w:t>a</w:t>
      </w:r>
      <w:r w:rsidRPr="00D24F50">
        <w:t>nd Credit Rating Thresholds</w:t>
      </w:r>
      <w:bookmarkEnd w:id="1462"/>
      <w:bookmarkEnd w:id="1463"/>
      <w:bookmarkEnd w:id="1464"/>
    </w:p>
    <w:p w14:paraId="1C374B61" w14:textId="042F99C4" w:rsidR="00F67E9E" w:rsidRPr="00910061" w:rsidRDefault="00F67E9E" w:rsidP="00F67E9E">
      <w:pPr>
        <w:pStyle w:val="StdBodyTextBold"/>
        <w:rPr>
          <w:rFonts w:cs="Arial"/>
          <w:b w:val="0"/>
          <w:bCs/>
          <w:i/>
        </w:rPr>
      </w:pPr>
      <w:r>
        <w:rPr>
          <w:rFonts w:cs="Arial"/>
          <w:i/>
          <w:highlight w:val="yellow"/>
        </w:rPr>
        <w:t>[Guidance note:</w:t>
      </w:r>
      <w:r w:rsidRPr="00910061">
        <w:rPr>
          <w:rFonts w:cs="Arial"/>
          <w:i/>
          <w:highlight w:val="yellow"/>
        </w:rPr>
        <w:t xml:space="preserve"> The Key Sub-contractors listed in </w:t>
      </w:r>
      <w:bookmarkStart w:id="1466" w:name="_9kMHG5YVtCIBAB9bLhkhy7sCPjCJE122y57MbYI"/>
      <w:r w:rsidRPr="00910061">
        <w:rPr>
          <w:rFonts w:cs="Arial"/>
          <w:i/>
          <w:highlight w:val="yellow"/>
        </w:rPr>
        <w:fldChar w:fldCharType="begin"/>
      </w:r>
      <w:r w:rsidRPr="00910061">
        <w:rPr>
          <w:rFonts w:cs="Arial"/>
          <w:i/>
          <w:highlight w:val="yellow"/>
        </w:rPr>
        <w:instrText xml:space="preserve"> REF Schedule10 \h  \* MERGEFORMAT </w:instrText>
      </w:r>
      <w:r w:rsidRPr="00910061">
        <w:rPr>
          <w:rFonts w:cs="Arial"/>
          <w:i/>
          <w:highlight w:val="yellow"/>
        </w:rPr>
      </w:r>
      <w:r w:rsidRPr="00910061">
        <w:rPr>
          <w:rFonts w:cs="Arial"/>
          <w:i/>
          <w:highlight w:val="yellow"/>
        </w:rPr>
        <w:fldChar w:fldCharType="separate"/>
      </w:r>
      <w:r w:rsidR="00302D39" w:rsidRPr="00302D39">
        <w:rPr>
          <w:i/>
          <w:highlight w:val="yellow"/>
        </w:rPr>
        <w:t>Schedule 10</w:t>
      </w:r>
      <w:r w:rsidRPr="00910061">
        <w:rPr>
          <w:rFonts w:cs="Arial"/>
          <w:i/>
          <w:highlight w:val="yellow"/>
        </w:rPr>
        <w:fldChar w:fldCharType="end"/>
      </w:r>
      <w:r w:rsidRPr="00910061">
        <w:rPr>
          <w:rFonts w:cs="Arial"/>
          <w:i/>
          <w:highlight w:val="yellow"/>
        </w:rPr>
        <w:t xml:space="preserve"> (</w:t>
      </w:r>
      <w:r w:rsidRPr="00910061">
        <w:rPr>
          <w:rFonts w:cs="Arial"/>
          <w:i/>
          <w:highlight w:val="yellow"/>
        </w:rPr>
        <w:fldChar w:fldCharType="begin"/>
      </w:r>
      <w:r w:rsidRPr="00910061">
        <w:rPr>
          <w:rFonts w:cs="Arial"/>
          <w:i/>
          <w:highlight w:val="yellow"/>
        </w:rPr>
        <w:instrText xml:space="preserve"> REF Schedule10Heading \h  \* MERGEFORMAT </w:instrText>
      </w:r>
      <w:r w:rsidRPr="00910061">
        <w:rPr>
          <w:rFonts w:cs="Arial"/>
          <w:i/>
          <w:highlight w:val="yellow"/>
        </w:rPr>
      </w:r>
      <w:r w:rsidRPr="00910061">
        <w:rPr>
          <w:rFonts w:cs="Arial"/>
          <w:i/>
          <w:highlight w:val="yellow"/>
        </w:rPr>
        <w:fldChar w:fldCharType="separate"/>
      </w:r>
      <w:r w:rsidR="00302D39" w:rsidRPr="00302D39">
        <w:rPr>
          <w:i/>
          <w:highlight w:val="yellow"/>
        </w:rPr>
        <w:t>Notified Key Sub-Contractors</w:t>
      </w:r>
      <w:r w:rsidRPr="00910061">
        <w:rPr>
          <w:rFonts w:cs="Arial"/>
          <w:i/>
          <w:highlight w:val="yellow"/>
        </w:rPr>
        <w:fldChar w:fldCharType="end"/>
      </w:r>
      <w:r w:rsidRPr="00910061">
        <w:rPr>
          <w:rFonts w:cs="Arial"/>
          <w:i/>
          <w:highlight w:val="yellow"/>
        </w:rPr>
        <w:t xml:space="preserve">) </w:t>
      </w:r>
      <w:bookmarkEnd w:id="1466"/>
      <w:r w:rsidRPr="00910061">
        <w:rPr>
          <w:rFonts w:cs="Arial"/>
          <w:i/>
          <w:highlight w:val="yellow"/>
        </w:rPr>
        <w:t>should be included in this table</w:t>
      </w:r>
      <w:r>
        <w:rPr>
          <w:rFonts w:cs="Arial"/>
          <w:i/>
          <w:highlight w:val="yellow"/>
        </w:rPr>
        <w:t>.</w:t>
      </w:r>
      <w:r w:rsidRPr="00910061">
        <w:rPr>
          <w:rFonts w:cs="Arial"/>
          <w:i/>
          <w:highlight w:val="yellow"/>
        </w:rPr>
        <w:t>]</w:t>
      </w:r>
    </w:p>
    <w:tbl>
      <w:tblPr>
        <w:tblStyle w:val="MSATable-header"/>
        <w:tblW w:w="10204" w:type="dxa"/>
        <w:tblLook w:val="04A0" w:firstRow="1" w:lastRow="0" w:firstColumn="1" w:lastColumn="0" w:noHBand="0" w:noVBand="1"/>
      </w:tblPr>
      <w:tblGrid>
        <w:gridCol w:w="2891"/>
        <w:gridCol w:w="3515"/>
        <w:gridCol w:w="3798"/>
      </w:tblGrid>
      <w:tr w:rsidR="00F67E9E" w:rsidRPr="00CB211D" w14:paraId="36FEBDC0" w14:textId="77777777" w:rsidTr="007F74AA">
        <w:trPr>
          <w:cnfStyle w:val="100000000000" w:firstRow="1" w:lastRow="0" w:firstColumn="0" w:lastColumn="0" w:oddVBand="0" w:evenVBand="0" w:oddHBand="0" w:evenHBand="0" w:firstRowFirstColumn="0" w:firstRowLastColumn="0" w:lastRowFirstColumn="0" w:lastRowLastColumn="0"/>
          <w:tblHeader/>
        </w:trPr>
        <w:tc>
          <w:tcPr>
            <w:tcW w:w="2891" w:type="dxa"/>
            <w:vAlign w:val="bottom"/>
          </w:tcPr>
          <w:p w14:paraId="105380E3" w14:textId="77777777" w:rsidR="00F67E9E" w:rsidRPr="00CB211D" w:rsidRDefault="00F67E9E" w:rsidP="007F74AA">
            <w:pPr>
              <w:pStyle w:val="StdBodyTextBold"/>
              <w:spacing w:before="0" w:after="0"/>
              <w:rPr>
                <w:rFonts w:cs="Arial"/>
                <w:b/>
                <w:bCs/>
              </w:rPr>
            </w:pPr>
            <w:r w:rsidRPr="00CB211D">
              <w:rPr>
                <w:rFonts w:cs="Arial"/>
                <w:b/>
                <w:bCs/>
              </w:rPr>
              <w:t>Entity</w:t>
            </w:r>
          </w:p>
        </w:tc>
        <w:tc>
          <w:tcPr>
            <w:tcW w:w="3515" w:type="dxa"/>
            <w:vAlign w:val="bottom"/>
          </w:tcPr>
          <w:p w14:paraId="6E84443A" w14:textId="77777777" w:rsidR="00F67E9E" w:rsidRPr="00CB211D" w:rsidRDefault="00F67E9E" w:rsidP="007F74AA">
            <w:pPr>
              <w:pStyle w:val="StdBodyTextBold"/>
              <w:spacing w:before="0" w:after="0"/>
              <w:rPr>
                <w:rFonts w:cs="Arial"/>
                <w:b/>
                <w:bCs/>
              </w:rPr>
            </w:pPr>
            <w:r w:rsidRPr="00CB211D">
              <w:rPr>
                <w:rFonts w:cs="Arial"/>
                <w:b/>
                <w:bCs/>
              </w:rPr>
              <w:t>Credit Rating (long term)</w:t>
            </w:r>
          </w:p>
          <w:p w14:paraId="633A5503" w14:textId="77777777" w:rsidR="00F67E9E" w:rsidRPr="00CB211D" w:rsidRDefault="00F67E9E" w:rsidP="007F74AA">
            <w:pPr>
              <w:pStyle w:val="StdBodyText"/>
              <w:spacing w:before="0" w:after="0"/>
              <w:rPr>
                <w:rFonts w:cs="Arial"/>
                <w:b w:val="0"/>
              </w:rPr>
            </w:pPr>
            <w:r w:rsidRPr="00CB211D">
              <w:rPr>
                <w:rFonts w:cs="Arial"/>
                <w:b w:val="0"/>
              </w:rPr>
              <w:t>(insert credit rating issued for the entity at the Effective Date)</w:t>
            </w:r>
          </w:p>
        </w:tc>
        <w:tc>
          <w:tcPr>
            <w:tcW w:w="3798" w:type="dxa"/>
            <w:vAlign w:val="bottom"/>
          </w:tcPr>
          <w:p w14:paraId="4FDC3C51" w14:textId="77777777" w:rsidR="00F67E9E" w:rsidRPr="00DD4CC2" w:rsidRDefault="00F67E9E" w:rsidP="007F74AA">
            <w:pPr>
              <w:pStyle w:val="StdBodyTextBold"/>
              <w:spacing w:before="0" w:after="0"/>
              <w:rPr>
                <w:rFonts w:cs="Arial"/>
                <w:b/>
                <w:bCs/>
              </w:rPr>
            </w:pPr>
            <w:r w:rsidRPr="00DD4CC2">
              <w:rPr>
                <w:rFonts w:cs="Arial"/>
                <w:b/>
                <w:bCs/>
              </w:rPr>
              <w:t>Credit Rating Threshold</w:t>
            </w:r>
          </w:p>
          <w:p w14:paraId="4F02BC4D" w14:textId="77777777" w:rsidR="00F67E9E" w:rsidRPr="00DD4CC2" w:rsidRDefault="00F67E9E" w:rsidP="007F74AA">
            <w:pPr>
              <w:pStyle w:val="StdBodyText"/>
              <w:spacing w:before="0" w:after="0"/>
              <w:rPr>
                <w:rFonts w:cs="Arial"/>
                <w:b w:val="0"/>
              </w:rPr>
            </w:pPr>
            <w:r w:rsidRPr="00DD4CC2">
              <w:rPr>
                <w:rFonts w:cs="Arial"/>
                <w:b w:val="0"/>
              </w:rPr>
              <w:t>(insert the actual rating (e.g. AA-) or the Credit Rating Level (e.g. Credit Rating Level 3)</w:t>
            </w:r>
          </w:p>
        </w:tc>
      </w:tr>
      <w:tr w:rsidR="00F67E9E" w:rsidRPr="00753B68" w14:paraId="31DB0225" w14:textId="77777777" w:rsidTr="007F74AA">
        <w:tc>
          <w:tcPr>
            <w:tcW w:w="2891" w:type="dxa"/>
            <w:tcBorders>
              <w:bottom w:val="nil"/>
            </w:tcBorders>
          </w:tcPr>
          <w:p w14:paraId="65C2382E" w14:textId="77777777" w:rsidR="00F67E9E" w:rsidRPr="00DD4CC2" w:rsidRDefault="00F67E9E" w:rsidP="007F74AA">
            <w:pPr>
              <w:pStyle w:val="StdBodyTextBold"/>
              <w:spacing w:before="0" w:after="0"/>
              <w:rPr>
                <w:rFonts w:cs="Arial"/>
                <w:iCs/>
              </w:rPr>
            </w:pPr>
            <w:r w:rsidRPr="00DD4CC2">
              <w:rPr>
                <w:rFonts w:cs="Arial"/>
                <w:iCs/>
              </w:rPr>
              <w:t>Supplier</w:t>
            </w:r>
          </w:p>
        </w:tc>
        <w:tc>
          <w:tcPr>
            <w:tcW w:w="3515" w:type="dxa"/>
          </w:tcPr>
          <w:p w14:paraId="66F216D9" w14:textId="77777777" w:rsidR="00F67E9E" w:rsidRPr="00753B68" w:rsidRDefault="00F67E9E" w:rsidP="007F74AA">
            <w:pPr>
              <w:pStyle w:val="StdBodyText"/>
              <w:spacing w:before="0" w:after="0"/>
              <w:rPr>
                <w:rFonts w:cs="Arial"/>
              </w:rPr>
            </w:pPr>
            <w:r w:rsidRPr="00753B68">
              <w:rPr>
                <w:rFonts w:cs="Arial"/>
                <w:highlight w:val="yellow"/>
              </w:rPr>
              <w:t>[Rating Agency 1]</w:t>
            </w:r>
            <w:r w:rsidRPr="00753B68">
              <w:rPr>
                <w:rFonts w:cs="Arial"/>
              </w:rPr>
              <w:t xml:space="preserve"> – </w:t>
            </w:r>
            <w:r w:rsidRPr="00B73DD6">
              <w:rPr>
                <w:rFonts w:cs="Arial"/>
                <w:b/>
                <w:highlight w:val="yellow"/>
              </w:rPr>
              <w:t>[insert</w:t>
            </w:r>
            <w:r w:rsidRPr="00753B68">
              <w:rPr>
                <w:rFonts w:cs="Arial"/>
                <w:highlight w:val="yellow"/>
              </w:rPr>
              <w:t xml:space="preserve"> rating for Rating Agency 1]</w:t>
            </w:r>
          </w:p>
        </w:tc>
        <w:tc>
          <w:tcPr>
            <w:tcW w:w="3798" w:type="dxa"/>
          </w:tcPr>
          <w:p w14:paraId="70637060" w14:textId="77777777" w:rsidR="00F67E9E" w:rsidRPr="00753B68" w:rsidRDefault="00F67E9E" w:rsidP="007F74AA">
            <w:pPr>
              <w:pStyle w:val="StdBodyText"/>
              <w:spacing w:before="0" w:after="0"/>
              <w:rPr>
                <w:rFonts w:cs="Arial"/>
              </w:rPr>
            </w:pPr>
            <w:r w:rsidRPr="00753B68">
              <w:rPr>
                <w:rFonts w:cs="Arial"/>
                <w:highlight w:val="yellow"/>
              </w:rPr>
              <w:t>[Rating Agency 1]</w:t>
            </w:r>
            <w:r w:rsidRPr="00753B68">
              <w:rPr>
                <w:rFonts w:cs="Arial"/>
              </w:rPr>
              <w:t xml:space="preserve"> – </w:t>
            </w:r>
            <w:r w:rsidRPr="00B73DD6">
              <w:rPr>
                <w:rFonts w:cs="Arial"/>
                <w:b/>
                <w:highlight w:val="yellow"/>
              </w:rPr>
              <w:t>[insert</w:t>
            </w:r>
            <w:r w:rsidRPr="00753B68">
              <w:rPr>
                <w:rFonts w:cs="Arial"/>
                <w:highlight w:val="yellow"/>
              </w:rPr>
              <w:t xml:space="preserve"> threshold for Rating Agency 1]</w:t>
            </w:r>
          </w:p>
        </w:tc>
      </w:tr>
      <w:tr w:rsidR="00F67E9E" w:rsidRPr="00753B68" w14:paraId="6EAA1CE8" w14:textId="77777777" w:rsidTr="007F74AA">
        <w:tc>
          <w:tcPr>
            <w:tcW w:w="2891" w:type="dxa"/>
            <w:tcBorders>
              <w:top w:val="nil"/>
              <w:bottom w:val="nil"/>
            </w:tcBorders>
          </w:tcPr>
          <w:p w14:paraId="39EE153E" w14:textId="77777777" w:rsidR="00F67E9E" w:rsidRPr="00753B68" w:rsidRDefault="00F67E9E" w:rsidP="007F74AA">
            <w:pPr>
              <w:pStyle w:val="StdBodyText"/>
              <w:spacing w:before="0" w:after="0"/>
              <w:rPr>
                <w:rFonts w:cs="Arial"/>
              </w:rPr>
            </w:pPr>
          </w:p>
        </w:tc>
        <w:tc>
          <w:tcPr>
            <w:tcW w:w="3515" w:type="dxa"/>
          </w:tcPr>
          <w:p w14:paraId="7DB1B028" w14:textId="77777777" w:rsidR="00F67E9E" w:rsidRPr="00753B68" w:rsidRDefault="00F67E9E" w:rsidP="007F74AA">
            <w:pPr>
              <w:pStyle w:val="StdBodyText"/>
              <w:spacing w:before="0" w:after="0"/>
              <w:rPr>
                <w:rFonts w:cs="Arial"/>
              </w:rPr>
            </w:pPr>
            <w:r w:rsidRPr="00753B68">
              <w:rPr>
                <w:rFonts w:cs="Arial"/>
                <w:highlight w:val="yellow"/>
              </w:rPr>
              <w:t>[Rating Agency 2]</w:t>
            </w:r>
            <w:r w:rsidRPr="00753B68">
              <w:rPr>
                <w:rFonts w:cs="Arial"/>
              </w:rPr>
              <w:t xml:space="preserve"> – </w:t>
            </w:r>
            <w:r w:rsidRPr="00B73DD6">
              <w:rPr>
                <w:rFonts w:cs="Arial"/>
                <w:b/>
                <w:highlight w:val="yellow"/>
              </w:rPr>
              <w:t>[insert</w:t>
            </w:r>
            <w:r w:rsidRPr="00753B68">
              <w:rPr>
                <w:rFonts w:cs="Arial"/>
                <w:highlight w:val="yellow"/>
              </w:rPr>
              <w:t xml:space="preserve"> rating for Rating Agency 2]</w:t>
            </w:r>
          </w:p>
        </w:tc>
        <w:tc>
          <w:tcPr>
            <w:tcW w:w="3798" w:type="dxa"/>
          </w:tcPr>
          <w:p w14:paraId="24BFD70F" w14:textId="77777777" w:rsidR="00F67E9E" w:rsidRPr="00753B68" w:rsidRDefault="00F67E9E" w:rsidP="007F74AA">
            <w:pPr>
              <w:pStyle w:val="StdBodyText"/>
              <w:spacing w:before="0" w:after="0"/>
              <w:rPr>
                <w:rFonts w:cs="Arial"/>
              </w:rPr>
            </w:pPr>
            <w:r w:rsidRPr="00753B68">
              <w:rPr>
                <w:rFonts w:cs="Arial"/>
                <w:highlight w:val="yellow"/>
              </w:rPr>
              <w:t>[Rating Agency 2]</w:t>
            </w:r>
            <w:r w:rsidRPr="00753B68">
              <w:rPr>
                <w:rFonts w:cs="Arial"/>
              </w:rPr>
              <w:t xml:space="preserve"> – </w:t>
            </w:r>
            <w:r w:rsidRPr="00B73DD6">
              <w:rPr>
                <w:rFonts w:cs="Arial"/>
                <w:b/>
                <w:highlight w:val="yellow"/>
              </w:rPr>
              <w:t>[insert</w:t>
            </w:r>
            <w:r w:rsidRPr="00753B68">
              <w:rPr>
                <w:rFonts w:cs="Arial"/>
                <w:highlight w:val="yellow"/>
              </w:rPr>
              <w:t xml:space="preserve"> threshold for Rating Agency 2]</w:t>
            </w:r>
          </w:p>
        </w:tc>
      </w:tr>
      <w:tr w:rsidR="00F67E9E" w:rsidRPr="00753B68" w14:paraId="5B191DEA" w14:textId="77777777" w:rsidTr="007F74AA">
        <w:tc>
          <w:tcPr>
            <w:tcW w:w="2891" w:type="dxa"/>
            <w:tcBorders>
              <w:top w:val="nil"/>
              <w:bottom w:val="single" w:sz="4" w:space="0" w:color="auto"/>
            </w:tcBorders>
          </w:tcPr>
          <w:p w14:paraId="0F23F4E8" w14:textId="77777777" w:rsidR="00F67E9E" w:rsidRPr="00753B68" w:rsidRDefault="00F67E9E" w:rsidP="007F74AA">
            <w:pPr>
              <w:pStyle w:val="StdBodyText"/>
              <w:spacing w:before="0" w:after="0"/>
              <w:rPr>
                <w:rFonts w:cs="Arial"/>
              </w:rPr>
            </w:pPr>
          </w:p>
        </w:tc>
        <w:tc>
          <w:tcPr>
            <w:tcW w:w="3515" w:type="dxa"/>
          </w:tcPr>
          <w:p w14:paraId="71772F3C" w14:textId="77777777" w:rsidR="00F67E9E" w:rsidRPr="00753B68" w:rsidRDefault="00F67E9E" w:rsidP="007F74AA">
            <w:pPr>
              <w:pStyle w:val="StdBodyText"/>
              <w:spacing w:before="0" w:after="0"/>
              <w:rPr>
                <w:rFonts w:cs="Arial"/>
                <w:highlight w:val="yellow"/>
              </w:rPr>
            </w:pPr>
            <w:r w:rsidRPr="00753B68">
              <w:rPr>
                <w:rFonts w:cs="Arial"/>
                <w:highlight w:val="yellow"/>
              </w:rPr>
              <w:t>[etc.]</w:t>
            </w:r>
          </w:p>
        </w:tc>
        <w:tc>
          <w:tcPr>
            <w:tcW w:w="3798" w:type="dxa"/>
          </w:tcPr>
          <w:p w14:paraId="045C1187" w14:textId="77777777" w:rsidR="00F67E9E" w:rsidRPr="00753B68" w:rsidRDefault="00F67E9E" w:rsidP="007F74AA">
            <w:pPr>
              <w:pStyle w:val="StdBodyText"/>
              <w:spacing w:before="0" w:after="0"/>
              <w:rPr>
                <w:rFonts w:cs="Arial"/>
                <w:highlight w:val="yellow"/>
              </w:rPr>
            </w:pPr>
            <w:r w:rsidRPr="00753B68">
              <w:rPr>
                <w:rFonts w:cs="Arial"/>
                <w:highlight w:val="yellow"/>
              </w:rPr>
              <w:t>[etc.]</w:t>
            </w:r>
          </w:p>
        </w:tc>
      </w:tr>
      <w:tr w:rsidR="00F67E9E" w:rsidRPr="00753B68" w14:paraId="192414F6" w14:textId="77777777" w:rsidTr="007F74AA">
        <w:tc>
          <w:tcPr>
            <w:tcW w:w="2891" w:type="dxa"/>
            <w:tcBorders>
              <w:bottom w:val="nil"/>
            </w:tcBorders>
          </w:tcPr>
          <w:p w14:paraId="6D9D8AD9" w14:textId="77777777" w:rsidR="00F67E9E" w:rsidRPr="00DD4CC2" w:rsidRDefault="00F67E9E" w:rsidP="007F74AA">
            <w:pPr>
              <w:pStyle w:val="StdBodyTextBold"/>
              <w:spacing w:before="0" w:after="0"/>
              <w:rPr>
                <w:rFonts w:cs="Arial"/>
                <w:iCs/>
              </w:rPr>
            </w:pPr>
            <w:r w:rsidRPr="00DD4CC2">
              <w:rPr>
                <w:rFonts w:cs="Arial"/>
                <w:iCs/>
                <w:highlight w:val="yellow"/>
              </w:rPr>
              <w:t>[Guarantor]</w:t>
            </w:r>
          </w:p>
        </w:tc>
        <w:tc>
          <w:tcPr>
            <w:tcW w:w="3515" w:type="dxa"/>
          </w:tcPr>
          <w:p w14:paraId="4FE495CD" w14:textId="77777777" w:rsidR="00F67E9E" w:rsidRPr="00753B68" w:rsidRDefault="00F67E9E" w:rsidP="007F74AA">
            <w:pPr>
              <w:pStyle w:val="StdBodyText"/>
              <w:spacing w:before="0" w:after="0"/>
              <w:rPr>
                <w:rFonts w:cs="Arial"/>
              </w:rPr>
            </w:pPr>
            <w:r w:rsidRPr="00753B68">
              <w:rPr>
                <w:rFonts w:cs="Arial"/>
                <w:highlight w:val="yellow"/>
              </w:rPr>
              <w:t>[Rating Agency 1]</w:t>
            </w:r>
            <w:r w:rsidRPr="00753B68">
              <w:rPr>
                <w:rFonts w:cs="Arial"/>
              </w:rPr>
              <w:t xml:space="preserve"> – </w:t>
            </w:r>
            <w:r w:rsidRPr="00B73DD6">
              <w:rPr>
                <w:rFonts w:cs="Arial"/>
                <w:b/>
                <w:highlight w:val="yellow"/>
              </w:rPr>
              <w:t>[insert</w:t>
            </w:r>
            <w:r w:rsidRPr="00753B68">
              <w:rPr>
                <w:rFonts w:cs="Arial"/>
                <w:highlight w:val="yellow"/>
              </w:rPr>
              <w:t xml:space="preserve"> rating for Rating Agency 1]</w:t>
            </w:r>
          </w:p>
        </w:tc>
        <w:tc>
          <w:tcPr>
            <w:tcW w:w="3798" w:type="dxa"/>
          </w:tcPr>
          <w:p w14:paraId="0F53B3C4" w14:textId="77777777" w:rsidR="00F67E9E" w:rsidRPr="00753B68" w:rsidRDefault="00F67E9E" w:rsidP="007F74AA">
            <w:pPr>
              <w:pStyle w:val="StdBodyText"/>
              <w:spacing w:before="0" w:after="0"/>
              <w:rPr>
                <w:rFonts w:cs="Arial"/>
              </w:rPr>
            </w:pPr>
            <w:r w:rsidRPr="00753B68">
              <w:rPr>
                <w:rFonts w:cs="Arial"/>
                <w:highlight w:val="yellow"/>
              </w:rPr>
              <w:t>[Rating Agency 1]</w:t>
            </w:r>
            <w:r w:rsidRPr="00753B68">
              <w:rPr>
                <w:rFonts w:cs="Arial"/>
              </w:rPr>
              <w:t xml:space="preserve"> – </w:t>
            </w:r>
            <w:r w:rsidRPr="00B73DD6">
              <w:rPr>
                <w:rFonts w:cs="Arial"/>
                <w:b/>
                <w:highlight w:val="yellow"/>
              </w:rPr>
              <w:t>[insert</w:t>
            </w:r>
            <w:r w:rsidRPr="00753B68">
              <w:rPr>
                <w:rFonts w:cs="Arial"/>
                <w:highlight w:val="yellow"/>
              </w:rPr>
              <w:t xml:space="preserve"> threshold for Rating Agency 1]</w:t>
            </w:r>
          </w:p>
        </w:tc>
      </w:tr>
      <w:tr w:rsidR="00F67E9E" w:rsidRPr="00753B68" w14:paraId="684D4781" w14:textId="77777777" w:rsidTr="007F74AA">
        <w:tc>
          <w:tcPr>
            <w:tcW w:w="2891" w:type="dxa"/>
            <w:tcBorders>
              <w:top w:val="nil"/>
              <w:bottom w:val="nil"/>
            </w:tcBorders>
          </w:tcPr>
          <w:p w14:paraId="1844E208" w14:textId="77777777" w:rsidR="00F67E9E" w:rsidRPr="00DD4CC2" w:rsidRDefault="00F67E9E" w:rsidP="007F74AA">
            <w:pPr>
              <w:pStyle w:val="StdBodyText"/>
              <w:spacing w:before="0" w:after="0"/>
              <w:rPr>
                <w:rFonts w:cs="Arial"/>
                <w:iCs/>
              </w:rPr>
            </w:pPr>
          </w:p>
        </w:tc>
        <w:tc>
          <w:tcPr>
            <w:tcW w:w="3515" w:type="dxa"/>
          </w:tcPr>
          <w:p w14:paraId="25A01D62" w14:textId="77777777" w:rsidR="00F67E9E" w:rsidRPr="00753B68" w:rsidRDefault="00F67E9E" w:rsidP="007F74AA">
            <w:pPr>
              <w:pStyle w:val="StdBodyText"/>
              <w:spacing w:before="0" w:after="0"/>
              <w:rPr>
                <w:rFonts w:cs="Arial"/>
              </w:rPr>
            </w:pPr>
            <w:r w:rsidRPr="00753B68">
              <w:rPr>
                <w:rFonts w:cs="Arial"/>
                <w:highlight w:val="yellow"/>
              </w:rPr>
              <w:t>[Rating Agency 2]</w:t>
            </w:r>
            <w:r w:rsidRPr="00753B68">
              <w:rPr>
                <w:rFonts w:cs="Arial"/>
              </w:rPr>
              <w:t xml:space="preserve"> – </w:t>
            </w:r>
            <w:r w:rsidRPr="00B73DD6">
              <w:rPr>
                <w:rFonts w:cs="Arial"/>
                <w:b/>
                <w:highlight w:val="yellow"/>
              </w:rPr>
              <w:t>[insert</w:t>
            </w:r>
            <w:r w:rsidRPr="00753B68">
              <w:rPr>
                <w:rFonts w:cs="Arial"/>
                <w:highlight w:val="yellow"/>
              </w:rPr>
              <w:t xml:space="preserve"> rating for Rating Agency 2]</w:t>
            </w:r>
          </w:p>
        </w:tc>
        <w:tc>
          <w:tcPr>
            <w:tcW w:w="3798" w:type="dxa"/>
          </w:tcPr>
          <w:p w14:paraId="0A93EF3A" w14:textId="77777777" w:rsidR="00F67E9E" w:rsidRPr="00753B68" w:rsidRDefault="00F67E9E" w:rsidP="007F74AA">
            <w:pPr>
              <w:pStyle w:val="StdBodyText"/>
              <w:spacing w:before="0" w:after="0"/>
              <w:rPr>
                <w:rFonts w:cs="Arial"/>
              </w:rPr>
            </w:pPr>
            <w:r w:rsidRPr="00753B68">
              <w:rPr>
                <w:rFonts w:cs="Arial"/>
                <w:highlight w:val="yellow"/>
              </w:rPr>
              <w:t>[Rating Agency 2]</w:t>
            </w:r>
            <w:r w:rsidRPr="00753B68">
              <w:rPr>
                <w:rFonts w:cs="Arial"/>
              </w:rPr>
              <w:t xml:space="preserve"> – </w:t>
            </w:r>
            <w:r w:rsidRPr="00B73DD6">
              <w:rPr>
                <w:rFonts w:cs="Arial"/>
                <w:b/>
                <w:highlight w:val="yellow"/>
              </w:rPr>
              <w:t>[insert</w:t>
            </w:r>
            <w:r w:rsidRPr="00753B68">
              <w:rPr>
                <w:rFonts w:cs="Arial"/>
                <w:highlight w:val="yellow"/>
              </w:rPr>
              <w:t xml:space="preserve"> threshold for Rating Agency 2]</w:t>
            </w:r>
          </w:p>
        </w:tc>
      </w:tr>
      <w:tr w:rsidR="00F67E9E" w:rsidRPr="00753B68" w14:paraId="3410ED55" w14:textId="77777777" w:rsidTr="007F74AA">
        <w:tc>
          <w:tcPr>
            <w:tcW w:w="2891" w:type="dxa"/>
            <w:tcBorders>
              <w:top w:val="nil"/>
            </w:tcBorders>
          </w:tcPr>
          <w:p w14:paraId="77BD0BFB" w14:textId="77777777" w:rsidR="00F67E9E" w:rsidRPr="00DD4CC2" w:rsidRDefault="00F67E9E" w:rsidP="007F74AA">
            <w:pPr>
              <w:pStyle w:val="StdBodyText"/>
              <w:spacing w:before="0" w:after="0"/>
              <w:rPr>
                <w:rFonts w:cs="Arial"/>
                <w:iCs/>
              </w:rPr>
            </w:pPr>
          </w:p>
        </w:tc>
        <w:tc>
          <w:tcPr>
            <w:tcW w:w="3515" w:type="dxa"/>
          </w:tcPr>
          <w:p w14:paraId="2A81A082" w14:textId="77777777" w:rsidR="00F67E9E" w:rsidRPr="00753B68" w:rsidRDefault="00F67E9E" w:rsidP="007F74AA">
            <w:pPr>
              <w:pStyle w:val="StdBodyText"/>
              <w:spacing w:before="0" w:after="0"/>
              <w:rPr>
                <w:rFonts w:cs="Arial"/>
                <w:highlight w:val="yellow"/>
              </w:rPr>
            </w:pPr>
            <w:r w:rsidRPr="00753B68">
              <w:rPr>
                <w:rFonts w:cs="Arial"/>
                <w:highlight w:val="yellow"/>
              </w:rPr>
              <w:t>[etc.]</w:t>
            </w:r>
          </w:p>
        </w:tc>
        <w:tc>
          <w:tcPr>
            <w:tcW w:w="3798" w:type="dxa"/>
          </w:tcPr>
          <w:p w14:paraId="49F76CAC" w14:textId="77777777" w:rsidR="00F67E9E" w:rsidRPr="00753B68" w:rsidRDefault="00F67E9E" w:rsidP="007F74AA">
            <w:pPr>
              <w:pStyle w:val="StdBodyText"/>
              <w:spacing w:before="0" w:after="0"/>
              <w:rPr>
                <w:rFonts w:cs="Arial"/>
                <w:highlight w:val="yellow"/>
              </w:rPr>
            </w:pPr>
            <w:r w:rsidRPr="00753B68">
              <w:rPr>
                <w:rFonts w:cs="Arial"/>
                <w:highlight w:val="yellow"/>
              </w:rPr>
              <w:t>[etc.]</w:t>
            </w:r>
          </w:p>
        </w:tc>
      </w:tr>
      <w:tr w:rsidR="00F67E9E" w:rsidRPr="00753B68" w14:paraId="473C8C4C" w14:textId="77777777" w:rsidTr="007F74AA">
        <w:tc>
          <w:tcPr>
            <w:tcW w:w="2891" w:type="dxa"/>
          </w:tcPr>
          <w:p w14:paraId="086DB079" w14:textId="77777777" w:rsidR="00F67E9E" w:rsidRPr="00DD4CC2" w:rsidRDefault="00F67E9E" w:rsidP="007F74AA">
            <w:pPr>
              <w:pStyle w:val="StdBodyTextBold"/>
              <w:spacing w:before="0" w:after="0"/>
              <w:rPr>
                <w:rFonts w:cs="Arial"/>
                <w:iCs/>
                <w:highlight w:val="yellow"/>
              </w:rPr>
            </w:pPr>
            <w:r w:rsidRPr="00DD4CC2">
              <w:rPr>
                <w:rFonts w:cs="Arial"/>
                <w:iCs/>
                <w:highlight w:val="yellow"/>
              </w:rPr>
              <w:t>[Key Sub-contractor 1]</w:t>
            </w:r>
          </w:p>
        </w:tc>
        <w:tc>
          <w:tcPr>
            <w:tcW w:w="3515" w:type="dxa"/>
          </w:tcPr>
          <w:p w14:paraId="7317B638" w14:textId="77777777" w:rsidR="00F67E9E" w:rsidRPr="00753B68" w:rsidRDefault="00F67E9E" w:rsidP="007F74AA">
            <w:pPr>
              <w:pStyle w:val="StdBodyText"/>
              <w:spacing w:before="0" w:after="0"/>
              <w:rPr>
                <w:rFonts w:cs="Arial"/>
                <w:highlight w:val="yellow"/>
              </w:rPr>
            </w:pPr>
            <w:r w:rsidRPr="00753B68">
              <w:rPr>
                <w:rFonts w:cs="Arial"/>
                <w:highlight w:val="yellow"/>
              </w:rPr>
              <w:t>[etc.]</w:t>
            </w:r>
          </w:p>
        </w:tc>
        <w:tc>
          <w:tcPr>
            <w:tcW w:w="3798" w:type="dxa"/>
          </w:tcPr>
          <w:p w14:paraId="6FB67F3F" w14:textId="77777777" w:rsidR="00F67E9E" w:rsidRPr="00753B68" w:rsidRDefault="00F67E9E" w:rsidP="007F74AA">
            <w:pPr>
              <w:pStyle w:val="StdBodyText"/>
              <w:spacing w:before="0" w:after="0"/>
              <w:rPr>
                <w:rFonts w:cs="Arial"/>
                <w:highlight w:val="yellow"/>
              </w:rPr>
            </w:pPr>
            <w:r w:rsidRPr="00753B68">
              <w:rPr>
                <w:rFonts w:cs="Arial"/>
                <w:highlight w:val="yellow"/>
              </w:rPr>
              <w:t>[etc.]</w:t>
            </w:r>
          </w:p>
        </w:tc>
      </w:tr>
      <w:tr w:rsidR="00F67E9E" w:rsidRPr="00753B68" w14:paraId="30B9080C" w14:textId="77777777" w:rsidTr="007F74AA">
        <w:tc>
          <w:tcPr>
            <w:tcW w:w="2891" w:type="dxa"/>
          </w:tcPr>
          <w:p w14:paraId="78DF158D" w14:textId="77777777" w:rsidR="00F67E9E" w:rsidRPr="00DD4CC2" w:rsidRDefault="00F67E9E" w:rsidP="007F74AA">
            <w:pPr>
              <w:pStyle w:val="StdBodyTextBold"/>
              <w:spacing w:before="0" w:after="0"/>
              <w:rPr>
                <w:rFonts w:cs="Arial"/>
                <w:iCs/>
                <w:highlight w:val="yellow"/>
              </w:rPr>
            </w:pPr>
            <w:r w:rsidRPr="00DD4CC2">
              <w:rPr>
                <w:rFonts w:cs="Arial"/>
                <w:iCs/>
                <w:highlight w:val="yellow"/>
              </w:rPr>
              <w:t>[Key Sub-contractor 2]</w:t>
            </w:r>
          </w:p>
        </w:tc>
        <w:tc>
          <w:tcPr>
            <w:tcW w:w="3515" w:type="dxa"/>
          </w:tcPr>
          <w:p w14:paraId="214AA92D" w14:textId="77777777" w:rsidR="00F67E9E" w:rsidRPr="00753B68" w:rsidRDefault="00F67E9E" w:rsidP="007F74AA">
            <w:pPr>
              <w:pStyle w:val="StdBodyText"/>
              <w:spacing w:before="0" w:after="0"/>
              <w:rPr>
                <w:rFonts w:cs="Arial"/>
                <w:highlight w:val="yellow"/>
              </w:rPr>
            </w:pPr>
            <w:r w:rsidRPr="00753B68">
              <w:rPr>
                <w:rFonts w:cs="Arial"/>
                <w:highlight w:val="yellow"/>
              </w:rPr>
              <w:t>[etc.]</w:t>
            </w:r>
          </w:p>
        </w:tc>
        <w:tc>
          <w:tcPr>
            <w:tcW w:w="3798" w:type="dxa"/>
          </w:tcPr>
          <w:p w14:paraId="4848ED01" w14:textId="77777777" w:rsidR="00F67E9E" w:rsidRPr="00753B68" w:rsidRDefault="00F67E9E" w:rsidP="007F74AA">
            <w:pPr>
              <w:pStyle w:val="StdBodyText"/>
              <w:spacing w:before="0" w:after="0"/>
              <w:rPr>
                <w:rFonts w:cs="Arial"/>
                <w:highlight w:val="yellow"/>
              </w:rPr>
            </w:pPr>
            <w:r w:rsidRPr="00753B68">
              <w:rPr>
                <w:rFonts w:cs="Arial"/>
                <w:highlight w:val="yellow"/>
              </w:rPr>
              <w:t>[etc.]</w:t>
            </w:r>
          </w:p>
        </w:tc>
      </w:tr>
      <w:tr w:rsidR="00F67E9E" w:rsidRPr="00753B68" w14:paraId="133526BB" w14:textId="77777777" w:rsidTr="007F74AA">
        <w:tc>
          <w:tcPr>
            <w:tcW w:w="2891" w:type="dxa"/>
          </w:tcPr>
          <w:p w14:paraId="45766F2E" w14:textId="77777777" w:rsidR="00F67E9E" w:rsidRPr="00DD4CC2" w:rsidRDefault="00F67E9E" w:rsidP="007F74AA">
            <w:pPr>
              <w:pStyle w:val="StdBodyText"/>
              <w:spacing w:before="0" w:after="0"/>
              <w:rPr>
                <w:rFonts w:cs="Arial"/>
                <w:iCs/>
                <w:highlight w:val="yellow"/>
              </w:rPr>
            </w:pPr>
            <w:r w:rsidRPr="00DD4CC2">
              <w:rPr>
                <w:rFonts w:cs="Arial"/>
                <w:iCs/>
                <w:highlight w:val="yellow"/>
              </w:rPr>
              <w:t>[etc…]</w:t>
            </w:r>
          </w:p>
        </w:tc>
        <w:tc>
          <w:tcPr>
            <w:tcW w:w="3515" w:type="dxa"/>
          </w:tcPr>
          <w:p w14:paraId="6B9401BD" w14:textId="77777777" w:rsidR="00F67E9E" w:rsidRPr="00753B68" w:rsidRDefault="00F67E9E" w:rsidP="007F74AA">
            <w:pPr>
              <w:pStyle w:val="StdBodyText"/>
              <w:spacing w:before="0" w:after="0"/>
              <w:rPr>
                <w:rFonts w:cs="Arial"/>
                <w:highlight w:val="yellow"/>
              </w:rPr>
            </w:pPr>
            <w:r w:rsidRPr="00753B68">
              <w:rPr>
                <w:rFonts w:cs="Arial"/>
                <w:highlight w:val="yellow"/>
              </w:rPr>
              <w:t>[etc.]</w:t>
            </w:r>
          </w:p>
        </w:tc>
        <w:tc>
          <w:tcPr>
            <w:tcW w:w="3798" w:type="dxa"/>
          </w:tcPr>
          <w:p w14:paraId="28139B2F" w14:textId="77777777" w:rsidR="00F67E9E" w:rsidRPr="00753B68" w:rsidRDefault="00F67E9E" w:rsidP="007F74AA">
            <w:pPr>
              <w:pStyle w:val="StdBodyText"/>
              <w:spacing w:before="0" w:after="0"/>
              <w:rPr>
                <w:rFonts w:cs="Arial"/>
                <w:highlight w:val="yellow"/>
              </w:rPr>
            </w:pPr>
            <w:r w:rsidRPr="00753B68">
              <w:rPr>
                <w:rFonts w:cs="Arial"/>
                <w:highlight w:val="yellow"/>
              </w:rPr>
              <w:t>[etc.]</w:t>
            </w:r>
          </w:p>
        </w:tc>
      </w:tr>
      <w:tr w:rsidR="00F67E9E" w:rsidRPr="00753B68" w14:paraId="0A55A5AB" w14:textId="77777777" w:rsidTr="007F74AA">
        <w:tc>
          <w:tcPr>
            <w:tcW w:w="2891" w:type="dxa"/>
          </w:tcPr>
          <w:p w14:paraId="791B8070" w14:textId="77777777" w:rsidR="00F67E9E" w:rsidRPr="00DD4CC2" w:rsidRDefault="00F67E9E" w:rsidP="007F74AA">
            <w:pPr>
              <w:pStyle w:val="StdBodyTextBold"/>
              <w:spacing w:before="0" w:after="0"/>
              <w:rPr>
                <w:rFonts w:cs="Arial"/>
                <w:iCs/>
                <w:highlight w:val="yellow"/>
              </w:rPr>
            </w:pPr>
            <w:r w:rsidRPr="00DD4CC2">
              <w:rPr>
                <w:rFonts w:cs="Arial"/>
                <w:iCs/>
                <w:highlight w:val="yellow"/>
              </w:rPr>
              <w:t>[Monitored Supplier 1]</w:t>
            </w:r>
          </w:p>
        </w:tc>
        <w:tc>
          <w:tcPr>
            <w:tcW w:w="3515" w:type="dxa"/>
          </w:tcPr>
          <w:p w14:paraId="2F1B44D8" w14:textId="77777777" w:rsidR="00F67E9E" w:rsidRPr="00753B68" w:rsidRDefault="00F67E9E" w:rsidP="007F74AA">
            <w:pPr>
              <w:pStyle w:val="StdBodyText"/>
              <w:spacing w:before="0" w:after="0"/>
              <w:rPr>
                <w:rFonts w:cs="Arial"/>
                <w:highlight w:val="yellow"/>
              </w:rPr>
            </w:pPr>
            <w:r w:rsidRPr="00753B68">
              <w:rPr>
                <w:rFonts w:cs="Arial"/>
                <w:highlight w:val="yellow"/>
              </w:rPr>
              <w:t>[etc.]</w:t>
            </w:r>
          </w:p>
        </w:tc>
        <w:tc>
          <w:tcPr>
            <w:tcW w:w="3798" w:type="dxa"/>
          </w:tcPr>
          <w:p w14:paraId="442CEB8F" w14:textId="77777777" w:rsidR="00F67E9E" w:rsidRPr="00753B68" w:rsidRDefault="00F67E9E" w:rsidP="007F74AA">
            <w:pPr>
              <w:pStyle w:val="StdBodyText"/>
              <w:spacing w:before="0" w:after="0"/>
              <w:rPr>
                <w:rFonts w:cs="Arial"/>
                <w:highlight w:val="yellow"/>
              </w:rPr>
            </w:pPr>
            <w:r w:rsidRPr="00753B68">
              <w:rPr>
                <w:rFonts w:cs="Arial"/>
                <w:highlight w:val="yellow"/>
              </w:rPr>
              <w:t>[etc.]</w:t>
            </w:r>
          </w:p>
        </w:tc>
      </w:tr>
      <w:tr w:rsidR="00F67E9E" w:rsidRPr="00753B68" w14:paraId="51302114" w14:textId="77777777" w:rsidTr="007F74AA">
        <w:tc>
          <w:tcPr>
            <w:tcW w:w="2891" w:type="dxa"/>
          </w:tcPr>
          <w:p w14:paraId="12C146FF" w14:textId="77777777" w:rsidR="00F67E9E" w:rsidRPr="00DD4CC2" w:rsidRDefault="00F67E9E" w:rsidP="007F74AA">
            <w:pPr>
              <w:pStyle w:val="StdBodyTextBold"/>
              <w:spacing w:before="0" w:after="0"/>
              <w:rPr>
                <w:rFonts w:cs="Arial"/>
                <w:iCs/>
                <w:highlight w:val="yellow"/>
              </w:rPr>
            </w:pPr>
            <w:r w:rsidRPr="00DD4CC2">
              <w:rPr>
                <w:rFonts w:cs="Arial"/>
                <w:iCs/>
                <w:highlight w:val="yellow"/>
              </w:rPr>
              <w:t>[Monitored Supplier 2]</w:t>
            </w:r>
          </w:p>
        </w:tc>
        <w:tc>
          <w:tcPr>
            <w:tcW w:w="3515" w:type="dxa"/>
          </w:tcPr>
          <w:p w14:paraId="1BCD6F1E" w14:textId="77777777" w:rsidR="00F67E9E" w:rsidRPr="00753B68" w:rsidRDefault="00F67E9E" w:rsidP="007F74AA">
            <w:pPr>
              <w:pStyle w:val="StdBodyText"/>
              <w:spacing w:before="0" w:after="0"/>
              <w:rPr>
                <w:rFonts w:cs="Arial"/>
                <w:highlight w:val="yellow"/>
              </w:rPr>
            </w:pPr>
            <w:r w:rsidRPr="00753B68">
              <w:rPr>
                <w:rFonts w:cs="Arial"/>
                <w:highlight w:val="yellow"/>
              </w:rPr>
              <w:t>[etc.]</w:t>
            </w:r>
          </w:p>
        </w:tc>
        <w:tc>
          <w:tcPr>
            <w:tcW w:w="3798" w:type="dxa"/>
          </w:tcPr>
          <w:p w14:paraId="332C9A81" w14:textId="77777777" w:rsidR="00F67E9E" w:rsidRPr="00753B68" w:rsidRDefault="00F67E9E" w:rsidP="007F74AA">
            <w:pPr>
              <w:pStyle w:val="StdBodyText"/>
              <w:spacing w:before="0" w:after="0"/>
              <w:rPr>
                <w:rFonts w:cs="Arial"/>
                <w:highlight w:val="yellow"/>
              </w:rPr>
            </w:pPr>
            <w:r w:rsidRPr="00753B68">
              <w:rPr>
                <w:rFonts w:cs="Arial"/>
                <w:highlight w:val="yellow"/>
              </w:rPr>
              <w:t>[etc.]</w:t>
            </w:r>
          </w:p>
        </w:tc>
      </w:tr>
      <w:tr w:rsidR="00F67E9E" w:rsidRPr="00753B68" w14:paraId="376BA27F" w14:textId="77777777" w:rsidTr="007F74AA">
        <w:tc>
          <w:tcPr>
            <w:tcW w:w="2891" w:type="dxa"/>
          </w:tcPr>
          <w:p w14:paraId="3E71CA6B" w14:textId="77777777" w:rsidR="00F67E9E" w:rsidRPr="00DD4CC2" w:rsidRDefault="00F67E9E" w:rsidP="007F74AA">
            <w:pPr>
              <w:pStyle w:val="StdBodyText"/>
              <w:spacing w:before="0" w:after="0"/>
              <w:rPr>
                <w:rFonts w:cs="Arial"/>
                <w:iCs/>
                <w:highlight w:val="yellow"/>
              </w:rPr>
            </w:pPr>
            <w:r w:rsidRPr="00DD4CC2">
              <w:rPr>
                <w:rFonts w:cs="Arial"/>
                <w:iCs/>
                <w:highlight w:val="yellow"/>
              </w:rPr>
              <w:t>[etc…]</w:t>
            </w:r>
          </w:p>
        </w:tc>
        <w:tc>
          <w:tcPr>
            <w:tcW w:w="3515" w:type="dxa"/>
          </w:tcPr>
          <w:p w14:paraId="2E6F2FA8" w14:textId="77777777" w:rsidR="00F67E9E" w:rsidRPr="00753B68" w:rsidRDefault="00F67E9E" w:rsidP="007F74AA">
            <w:pPr>
              <w:pStyle w:val="StdBodyText"/>
              <w:spacing w:before="0" w:after="0"/>
              <w:rPr>
                <w:rFonts w:cs="Arial"/>
                <w:highlight w:val="yellow"/>
              </w:rPr>
            </w:pPr>
            <w:r w:rsidRPr="00753B68">
              <w:rPr>
                <w:rFonts w:cs="Arial"/>
                <w:highlight w:val="yellow"/>
              </w:rPr>
              <w:t>[etc.]</w:t>
            </w:r>
          </w:p>
        </w:tc>
        <w:tc>
          <w:tcPr>
            <w:tcW w:w="3798" w:type="dxa"/>
          </w:tcPr>
          <w:p w14:paraId="7A841020" w14:textId="77777777" w:rsidR="00F67E9E" w:rsidRPr="00753B68" w:rsidRDefault="00F67E9E" w:rsidP="007F74AA">
            <w:pPr>
              <w:pStyle w:val="StdBodyText"/>
              <w:spacing w:before="0" w:after="0"/>
              <w:rPr>
                <w:rFonts w:cs="Arial"/>
                <w:highlight w:val="yellow"/>
              </w:rPr>
            </w:pPr>
            <w:r w:rsidRPr="00753B68">
              <w:rPr>
                <w:rFonts w:cs="Arial"/>
                <w:highlight w:val="yellow"/>
              </w:rPr>
              <w:t>[etc.]</w:t>
            </w:r>
          </w:p>
        </w:tc>
      </w:tr>
    </w:tbl>
    <w:p w14:paraId="3745BA2E" w14:textId="77777777" w:rsidR="00F67E9E" w:rsidRDefault="00F67E9E" w:rsidP="00F67E9E"/>
    <w:p w14:paraId="09043A9A" w14:textId="77777777" w:rsidR="00F67E9E" w:rsidRDefault="00F67E9E" w:rsidP="00F67E9E">
      <w:pPr>
        <w:pStyle w:val="Heading2"/>
        <w:pageBreakBefore/>
      </w:pPr>
      <w:bookmarkStart w:id="1467" w:name="_Ref_ContractCompanion_9kb9Ur78A"/>
      <w:bookmarkStart w:id="1468" w:name="_Ref_ContractCompanion_9kb9Ur793"/>
      <w:bookmarkStart w:id="1469" w:name="_Toc141711956"/>
      <w:r w:rsidRPr="000B6F69">
        <w:t xml:space="preserve">Annex </w:t>
      </w:r>
      <w:bookmarkStart w:id="1470" w:name="ANNEX3_SCHEDULE18"/>
      <w:r w:rsidRPr="000B6F69">
        <w:t>3</w:t>
      </w:r>
      <w:bookmarkEnd w:id="1470"/>
      <w:r w:rsidRPr="000B6F69">
        <w:t xml:space="preserve">: Calculation Methodology </w:t>
      </w:r>
      <w:r>
        <w:t>f</w:t>
      </w:r>
      <w:r w:rsidRPr="000B6F69">
        <w:t>or Financial Indicators</w:t>
      </w:r>
      <w:bookmarkEnd w:id="1467"/>
      <w:bookmarkEnd w:id="1468"/>
      <w:bookmarkEnd w:id="1469"/>
    </w:p>
    <w:p w14:paraId="0248C8CB" w14:textId="4DD9BF96" w:rsidR="00F67E9E" w:rsidRPr="0076274E" w:rsidRDefault="00F67E9E" w:rsidP="00F67E9E">
      <w:pPr>
        <w:pStyle w:val="StdBodyTextBold"/>
        <w:rPr>
          <w:rFonts w:cs="Arial"/>
          <w:i/>
        </w:rPr>
      </w:pPr>
      <w:r>
        <w:rPr>
          <w:rFonts w:cs="Arial"/>
          <w:i/>
          <w:highlight w:val="yellow"/>
        </w:rPr>
        <w:t>[Guidance note:</w:t>
      </w:r>
      <w:r w:rsidRPr="0076274E">
        <w:rPr>
          <w:rFonts w:cs="Arial"/>
          <w:i/>
          <w:highlight w:val="yellow"/>
        </w:rPr>
        <w:t xml:space="preserve"> Amend this section as appropriate to reflect the calculation methodology for those Financial Indicators that are selected for inclusion in </w:t>
      </w:r>
      <w:bookmarkStart w:id="1471" w:name="_9kMJI5YVt4DDEHHfGpqgyts0HP"/>
      <w:r w:rsidRPr="0076274E">
        <w:rPr>
          <w:rFonts w:cs="Arial"/>
          <w:i/>
          <w:highlight w:val="yellow"/>
        </w:rPr>
        <w:t xml:space="preserve">Paragraph </w:t>
      </w:r>
      <w:r w:rsidRPr="0076274E">
        <w:rPr>
          <w:rFonts w:cs="Arial"/>
          <w:i/>
          <w:highlight w:val="yellow"/>
        </w:rPr>
        <w:fldChar w:fldCharType="begin"/>
      </w:r>
      <w:r w:rsidRPr="0076274E">
        <w:rPr>
          <w:rFonts w:cs="Arial"/>
          <w:i/>
          <w:highlight w:val="yellow"/>
        </w:rPr>
        <w:instrText xml:space="preserve"> REF _Ref_ContractCompanion_9kb9Ur8B9 \n \h \t \* MERGEFORMAT </w:instrText>
      </w:r>
      <w:r w:rsidRPr="0076274E">
        <w:rPr>
          <w:rFonts w:cs="Arial"/>
          <w:i/>
          <w:highlight w:val="yellow"/>
        </w:rPr>
      </w:r>
      <w:r w:rsidRPr="0076274E">
        <w:rPr>
          <w:rFonts w:cs="Arial"/>
          <w:i/>
          <w:highlight w:val="yellow"/>
        </w:rPr>
        <w:fldChar w:fldCharType="separate"/>
      </w:r>
      <w:r w:rsidR="00302D39">
        <w:rPr>
          <w:rFonts w:cs="Arial"/>
          <w:i/>
          <w:highlight w:val="yellow"/>
        </w:rPr>
        <w:t>5.1</w:t>
      </w:r>
      <w:r w:rsidRPr="0076274E">
        <w:rPr>
          <w:rFonts w:cs="Arial"/>
          <w:i/>
          <w:highlight w:val="yellow"/>
        </w:rPr>
        <w:fldChar w:fldCharType="end"/>
      </w:r>
      <w:bookmarkEnd w:id="1471"/>
      <w:r w:rsidRPr="0076274E">
        <w:rPr>
          <w:rFonts w:cs="Arial"/>
          <w:i/>
          <w:highlight w:val="yellow"/>
        </w:rPr>
        <w:t xml:space="preserve"> of this Schedule</w:t>
      </w:r>
      <w:r>
        <w:rPr>
          <w:rFonts w:cs="Arial"/>
          <w:i/>
          <w:highlight w:val="yellow"/>
        </w:rPr>
        <w:t>.</w:t>
      </w:r>
      <w:r w:rsidRPr="0076274E">
        <w:rPr>
          <w:rFonts w:cs="Arial"/>
          <w:i/>
          <w:highlight w:val="yellow"/>
        </w:rPr>
        <w:t>]</w:t>
      </w:r>
    </w:p>
    <w:p w14:paraId="3D4BB29E" w14:textId="77777777" w:rsidR="00F67E9E" w:rsidRPr="00753B68" w:rsidRDefault="00F67E9E" w:rsidP="00F67E9E">
      <w:pPr>
        <w:pStyle w:val="StdBodyText"/>
        <w:rPr>
          <w:rFonts w:cs="Arial"/>
        </w:rPr>
      </w:pPr>
      <w:r w:rsidRPr="00753B68">
        <w:rPr>
          <w:rFonts w:cs="Arial"/>
        </w:rPr>
        <w:t>The Supplier shall ensure that it uses the following general and specific methodologies for calculating the Financial Indicators against the Financial Target Thresholds:</w:t>
      </w:r>
    </w:p>
    <w:p w14:paraId="1C102AF3" w14:textId="77777777" w:rsidR="00F67E9E" w:rsidRPr="00AC4462" w:rsidRDefault="00F67E9E" w:rsidP="00F67E9E">
      <w:pPr>
        <w:pStyle w:val="StdBodyTextBold"/>
        <w:rPr>
          <w:rFonts w:cs="Arial"/>
        </w:rPr>
      </w:pPr>
      <w:r w:rsidRPr="00AC4462">
        <w:rPr>
          <w:rFonts w:cs="Arial"/>
        </w:rPr>
        <w:t>General methodology</w:t>
      </w:r>
    </w:p>
    <w:p w14:paraId="334C64B3" w14:textId="7D95E74C" w:rsidR="00F67E9E" w:rsidRPr="00AC4462" w:rsidRDefault="00F67E9E" w:rsidP="00F67E9E">
      <w:pPr>
        <w:pStyle w:val="AppendixText1"/>
        <w:numPr>
          <w:ilvl w:val="0"/>
          <w:numId w:val="62"/>
        </w:numPr>
        <w:tabs>
          <w:tab w:val="clear" w:pos="720"/>
          <w:tab w:val="num" w:pos="1080"/>
        </w:tabs>
        <w:rPr>
          <w:b w:val="0"/>
          <w:bCs/>
        </w:rPr>
      </w:pPr>
      <w:r w:rsidRPr="00AC4462">
        <w:rPr>
          <w:rStyle w:val="StdBodyTextBoldChar"/>
          <w:rFonts w:eastAsia="Verdana" w:cs="Arial"/>
          <w:b/>
          <w:bCs/>
          <w:iCs/>
        </w:rPr>
        <w:t>Terminology</w:t>
      </w:r>
      <w:r w:rsidRPr="00AC4462">
        <w:rPr>
          <w:b w:val="0"/>
          <w:bCs/>
        </w:rPr>
        <w:t>: The terms referred to in this Annex</w:t>
      </w:r>
      <w:r>
        <w:rPr>
          <w:b w:val="0"/>
          <w:bCs/>
        </w:rPr>
        <w:t> </w:t>
      </w:r>
      <w:r w:rsidRPr="00D713DE">
        <w:rPr>
          <w:b w:val="0"/>
          <w:bCs/>
        </w:rPr>
        <w:fldChar w:fldCharType="begin"/>
      </w:r>
      <w:r w:rsidRPr="00D713DE">
        <w:rPr>
          <w:b w:val="0"/>
          <w:bCs/>
        </w:rPr>
        <w:instrText xml:space="preserve"> REF ANNEX3_SCHEDULE18 \h </w:instrText>
      </w:r>
      <w:r w:rsidRPr="009C0668">
        <w:rPr>
          <w:b w:val="0"/>
          <w:bCs/>
        </w:rPr>
        <w:instrText xml:space="preserve"> \* MERGEFORMAT </w:instrText>
      </w:r>
      <w:r w:rsidRPr="00D713DE">
        <w:rPr>
          <w:b w:val="0"/>
          <w:bCs/>
        </w:rPr>
      </w:r>
      <w:r w:rsidRPr="00D713DE">
        <w:rPr>
          <w:b w:val="0"/>
          <w:bCs/>
        </w:rPr>
        <w:fldChar w:fldCharType="separate"/>
      </w:r>
      <w:r w:rsidR="00302D39" w:rsidRPr="00302D39">
        <w:rPr>
          <w:b w:val="0"/>
          <w:bCs/>
        </w:rPr>
        <w:t>3</w:t>
      </w:r>
      <w:r w:rsidRPr="00D713DE">
        <w:rPr>
          <w:b w:val="0"/>
          <w:bCs/>
        </w:rPr>
        <w:fldChar w:fldCharType="end"/>
      </w:r>
      <w:r w:rsidRPr="00AC4462">
        <w:rPr>
          <w:b w:val="0"/>
          <w:bCs/>
        </w:rPr>
        <w:t xml:space="preserve"> are those used by UK companies in their financial statements. Where the entity is not a UK company, the corresponding items should be used even if the terminology is slightly different (for example a charity would refer to a surplus or deficit rather than a profit or loss).</w:t>
      </w:r>
    </w:p>
    <w:p w14:paraId="14BFF841" w14:textId="77777777" w:rsidR="00F67E9E" w:rsidRPr="00AC4462" w:rsidRDefault="00F67E9E" w:rsidP="00F67E9E">
      <w:pPr>
        <w:pStyle w:val="AppendixText1"/>
        <w:keepNext w:val="0"/>
        <w:rPr>
          <w:b w:val="0"/>
          <w:bCs/>
        </w:rPr>
      </w:pPr>
      <w:bookmarkStart w:id="1472" w:name="_9kR3WTrAG988DOCwozPWV4ohsvnZeH8IifKOQP"/>
      <w:r w:rsidRPr="00AC4462">
        <w:rPr>
          <w:rStyle w:val="StdBodyTextBoldChar"/>
          <w:rFonts w:eastAsia="Verdana" w:cs="Arial"/>
          <w:b/>
          <w:bCs/>
          <w:iCs/>
        </w:rPr>
        <w:t>Groups</w:t>
      </w:r>
      <w:bookmarkEnd w:id="1472"/>
      <w:r w:rsidRPr="00AC4462">
        <w:rPr>
          <w:b w:val="0"/>
          <w:bCs/>
        </w:rPr>
        <w:t>: Where the entity is the holding company of a group and prepares consolidated financial statements, the consolidated figures should be used.</w:t>
      </w:r>
    </w:p>
    <w:p w14:paraId="23A38532" w14:textId="77777777" w:rsidR="00F67E9E" w:rsidRPr="00AC4462" w:rsidRDefault="00F67E9E" w:rsidP="00F67E9E">
      <w:pPr>
        <w:pStyle w:val="AppendixText1"/>
        <w:keepNext w:val="0"/>
        <w:rPr>
          <w:b w:val="0"/>
          <w:bCs/>
        </w:rPr>
      </w:pPr>
      <w:r w:rsidRPr="00AC4462">
        <w:rPr>
          <w:rStyle w:val="StdBodyTextBoldChar"/>
          <w:rFonts w:eastAsia="Verdana" w:cs="Arial"/>
          <w:b/>
          <w:bCs/>
          <w:iCs/>
        </w:rPr>
        <w:t>Foreign currency conversion</w:t>
      </w:r>
      <w:r w:rsidRPr="00AC4462">
        <w:rPr>
          <w:b w:val="0"/>
          <w:bCs/>
        </w:rPr>
        <w:t>: Figures denominated in foreign currencies should be converted at the exchange rate in force at the relevant date for which the Financial Indicator is being calculated.</w:t>
      </w:r>
    </w:p>
    <w:p w14:paraId="53398FC0" w14:textId="77777777" w:rsidR="00F67E9E" w:rsidRPr="00AC4462" w:rsidRDefault="00F67E9E" w:rsidP="00F67E9E">
      <w:pPr>
        <w:pStyle w:val="AppendixText1"/>
        <w:keepNext w:val="0"/>
        <w:rPr>
          <w:b w:val="0"/>
          <w:bCs/>
        </w:rPr>
      </w:pPr>
      <w:r w:rsidRPr="00AC4462">
        <w:rPr>
          <w:rStyle w:val="StdBodyTextBoldChar"/>
          <w:rFonts w:eastAsia="Verdana" w:cs="Arial"/>
          <w:b/>
          <w:bCs/>
          <w:iCs/>
        </w:rPr>
        <w:t>Treatment of non-underlying items</w:t>
      </w:r>
      <w:r w:rsidRPr="00AC4462">
        <w:rPr>
          <w:b w:val="0"/>
          <w:bCs/>
        </w:rPr>
        <w:t>: Financial Indicators should be based on the figures in the financial statements before adjusting for non-underlying items.</w:t>
      </w:r>
    </w:p>
    <w:p w14:paraId="624CA89E" w14:textId="77777777" w:rsidR="00F67E9E" w:rsidRPr="00AC4462" w:rsidRDefault="00F67E9E" w:rsidP="00F67E9E">
      <w:pPr>
        <w:pStyle w:val="StdBodyTextBold"/>
        <w:rPr>
          <w:rFonts w:cs="Arial"/>
        </w:rPr>
      </w:pPr>
      <w:r w:rsidRPr="00AC4462">
        <w:rPr>
          <w:rFonts w:cs="Arial"/>
        </w:rPr>
        <w:t>Specific Methodology</w:t>
      </w:r>
    </w:p>
    <w:tbl>
      <w:tblPr>
        <w:tblStyle w:val="MSATable-header"/>
        <w:tblW w:w="10205" w:type="dxa"/>
        <w:tblLook w:val="04A0" w:firstRow="1" w:lastRow="0" w:firstColumn="1" w:lastColumn="0" w:noHBand="0" w:noVBand="1"/>
      </w:tblPr>
      <w:tblGrid>
        <w:gridCol w:w="2268"/>
        <w:gridCol w:w="7937"/>
      </w:tblGrid>
      <w:tr w:rsidR="00F67E9E" w:rsidRPr="00996FED" w14:paraId="444B2C2A" w14:textId="77777777" w:rsidTr="007F74AA">
        <w:trPr>
          <w:cnfStyle w:val="100000000000" w:firstRow="1" w:lastRow="0" w:firstColumn="0" w:lastColumn="0" w:oddVBand="0" w:evenVBand="0" w:oddHBand="0" w:evenHBand="0" w:firstRowFirstColumn="0" w:firstRowLastColumn="0" w:lastRowFirstColumn="0" w:lastRowLastColumn="0"/>
          <w:tblHeader/>
        </w:trPr>
        <w:tc>
          <w:tcPr>
            <w:tcW w:w="2268" w:type="dxa"/>
            <w:vAlign w:val="bottom"/>
          </w:tcPr>
          <w:p w14:paraId="31ED9682" w14:textId="77777777" w:rsidR="00F67E9E" w:rsidRPr="00996FED" w:rsidRDefault="00F67E9E" w:rsidP="007F74AA">
            <w:pPr>
              <w:pStyle w:val="StdBodyTextBold"/>
              <w:spacing w:before="0" w:after="0"/>
              <w:rPr>
                <w:rFonts w:cs="Arial"/>
                <w:b/>
                <w:bCs/>
              </w:rPr>
            </w:pPr>
            <w:r w:rsidRPr="00996FED">
              <w:rPr>
                <w:rFonts w:cs="Arial"/>
                <w:b/>
                <w:bCs/>
              </w:rPr>
              <w:t>Financial Indicator</w:t>
            </w:r>
          </w:p>
        </w:tc>
        <w:tc>
          <w:tcPr>
            <w:tcW w:w="7937" w:type="dxa"/>
            <w:vAlign w:val="bottom"/>
          </w:tcPr>
          <w:p w14:paraId="02B3BC4B" w14:textId="77777777" w:rsidR="00F67E9E" w:rsidRPr="00996FED" w:rsidRDefault="00F67E9E" w:rsidP="007F74AA">
            <w:pPr>
              <w:pStyle w:val="StdBodyText"/>
              <w:spacing w:before="0" w:after="0"/>
              <w:rPr>
                <w:rFonts w:cs="Arial"/>
                <w:bCs/>
              </w:rPr>
            </w:pPr>
            <w:r w:rsidRPr="00996FED">
              <w:rPr>
                <w:rFonts w:cs="Arial"/>
                <w:bCs/>
              </w:rPr>
              <w:t>Specific Methodology</w:t>
            </w:r>
          </w:p>
        </w:tc>
      </w:tr>
      <w:tr w:rsidR="00F67E9E" w:rsidRPr="00753B68" w14:paraId="2297AA76" w14:textId="77777777" w:rsidTr="007F74AA">
        <w:tc>
          <w:tcPr>
            <w:tcW w:w="2268" w:type="dxa"/>
          </w:tcPr>
          <w:p w14:paraId="12EA1377" w14:textId="77777777" w:rsidR="00F67E9E" w:rsidRPr="00753B68" w:rsidRDefault="00F67E9E" w:rsidP="007F74AA">
            <w:pPr>
              <w:pStyle w:val="StdBodyTextBold"/>
              <w:spacing w:before="0" w:after="0"/>
              <w:rPr>
                <w:rFonts w:cs="Arial"/>
              </w:rPr>
            </w:pPr>
            <w:r w:rsidRPr="00753B68">
              <w:rPr>
                <w:rFonts w:cs="Arial"/>
              </w:rPr>
              <w:t>1</w:t>
            </w:r>
          </w:p>
          <w:p w14:paraId="38F97C4B" w14:textId="77777777" w:rsidR="00F67E9E" w:rsidRPr="00753B68" w:rsidRDefault="00F67E9E" w:rsidP="007F74AA">
            <w:pPr>
              <w:pStyle w:val="StdBodyTextBold"/>
              <w:spacing w:before="0" w:after="0"/>
              <w:rPr>
                <w:rFonts w:cs="Arial"/>
              </w:rPr>
            </w:pPr>
            <w:r w:rsidRPr="00753B68">
              <w:rPr>
                <w:rFonts w:cs="Arial"/>
                <w:highlight w:val="yellow"/>
              </w:rPr>
              <w:t>[Operating Margin]</w:t>
            </w:r>
          </w:p>
        </w:tc>
        <w:tc>
          <w:tcPr>
            <w:tcW w:w="7937" w:type="dxa"/>
          </w:tcPr>
          <w:p w14:paraId="56222EB3" w14:textId="77777777" w:rsidR="00F67E9E" w:rsidRPr="00753B68" w:rsidRDefault="00F67E9E" w:rsidP="007F74AA">
            <w:pPr>
              <w:pStyle w:val="StdBodyText"/>
              <w:spacing w:before="0" w:after="0"/>
              <w:rPr>
                <w:rFonts w:cs="Arial"/>
                <w:highlight w:val="yellow"/>
              </w:rPr>
            </w:pPr>
            <w:r w:rsidRPr="00753B68">
              <w:rPr>
                <w:rFonts w:cs="Arial"/>
                <w:highlight w:val="yellow"/>
              </w:rPr>
              <w:t>[The elements used to calculate the Operating Margin should be shown on the face of the Income Statement in a standard set of financial statements.</w:t>
            </w:r>
          </w:p>
          <w:p w14:paraId="7866609E" w14:textId="77777777" w:rsidR="00F67E9E" w:rsidRPr="00753B68" w:rsidRDefault="00F67E9E" w:rsidP="007F74AA">
            <w:pPr>
              <w:pStyle w:val="StdBodyText"/>
              <w:spacing w:before="0" w:after="0"/>
              <w:rPr>
                <w:rFonts w:cs="Arial"/>
                <w:highlight w:val="yellow"/>
              </w:rPr>
            </w:pPr>
            <w:r w:rsidRPr="00753B68">
              <w:rPr>
                <w:rFonts w:cs="Arial"/>
                <w:highlight w:val="yellow"/>
              </w:rPr>
              <w:t>Figures for Operating Profit and Revenue should exclude the entity</w:t>
            </w:r>
            <w:r>
              <w:rPr>
                <w:rFonts w:cs="Arial"/>
                <w:highlight w:val="yellow"/>
              </w:rPr>
              <w:t>’</w:t>
            </w:r>
            <w:r w:rsidRPr="00753B68">
              <w:rPr>
                <w:rFonts w:cs="Arial"/>
                <w:highlight w:val="yellow"/>
              </w:rPr>
              <w:t>s share of the results of any joint ventures or Associates.</w:t>
            </w:r>
          </w:p>
          <w:p w14:paraId="0A957434" w14:textId="77777777" w:rsidR="00F67E9E" w:rsidRPr="00753B68" w:rsidRDefault="00F67E9E" w:rsidP="007F74AA">
            <w:pPr>
              <w:pStyle w:val="StdBodyText"/>
              <w:spacing w:before="0" w:after="0"/>
              <w:rPr>
                <w:rFonts w:cs="Arial"/>
              </w:rPr>
            </w:pPr>
            <w:r w:rsidRPr="00753B68">
              <w:rPr>
                <w:rFonts w:cs="Arial"/>
                <w:highlight w:val="yellow"/>
              </w:rPr>
              <w:t>Where an entity has an operating loss (i.e. where the operating profit is negative), Operating Profit should be taken to be zero.]</w:t>
            </w:r>
          </w:p>
        </w:tc>
      </w:tr>
      <w:tr w:rsidR="00F67E9E" w:rsidRPr="00753B68" w14:paraId="12905A06" w14:textId="77777777" w:rsidTr="007F74AA">
        <w:tc>
          <w:tcPr>
            <w:tcW w:w="2268" w:type="dxa"/>
          </w:tcPr>
          <w:p w14:paraId="2F7333DB" w14:textId="77777777" w:rsidR="00F67E9E" w:rsidRPr="00753B68" w:rsidRDefault="00F67E9E" w:rsidP="007F74AA">
            <w:pPr>
              <w:pStyle w:val="StdBodyTextBold"/>
              <w:spacing w:before="0" w:after="0"/>
              <w:rPr>
                <w:rFonts w:cs="Arial"/>
              </w:rPr>
            </w:pPr>
            <w:r w:rsidRPr="00753B68">
              <w:rPr>
                <w:rFonts w:cs="Arial"/>
              </w:rPr>
              <w:t>2</w:t>
            </w:r>
          </w:p>
          <w:p w14:paraId="71991ADE" w14:textId="77777777" w:rsidR="00F67E9E" w:rsidRPr="00465FBB" w:rsidRDefault="00F67E9E" w:rsidP="007F74AA">
            <w:pPr>
              <w:pStyle w:val="StdBodyTextBold"/>
              <w:spacing w:before="0" w:after="0"/>
              <w:rPr>
                <w:rFonts w:cs="Arial"/>
                <w:highlight w:val="yellow"/>
              </w:rPr>
            </w:pPr>
            <w:r w:rsidRPr="00753B68">
              <w:rPr>
                <w:rFonts w:cs="Arial"/>
                <w:highlight w:val="yellow"/>
              </w:rPr>
              <w:t>[Free Cash Flow to Net Debt Ratio]</w:t>
            </w:r>
          </w:p>
        </w:tc>
        <w:tc>
          <w:tcPr>
            <w:tcW w:w="7937" w:type="dxa"/>
          </w:tcPr>
          <w:p w14:paraId="19A8AD56" w14:textId="77777777" w:rsidR="00F67E9E" w:rsidRPr="00DD4CC2" w:rsidRDefault="00F67E9E" w:rsidP="007F74AA">
            <w:pPr>
              <w:pStyle w:val="StdBodyText"/>
              <w:spacing w:before="0" w:after="0"/>
              <w:rPr>
                <w:rFonts w:cs="Arial"/>
                <w:iCs/>
                <w:highlight w:val="yellow"/>
              </w:rPr>
            </w:pPr>
            <w:r w:rsidRPr="00DD4CC2">
              <w:rPr>
                <w:rFonts w:cs="Arial"/>
                <w:iCs/>
                <w:highlight w:val="yellow"/>
              </w:rPr>
              <w:t>[“</w:t>
            </w:r>
            <w:r w:rsidRPr="00DD4CC2">
              <w:rPr>
                <w:rStyle w:val="StdBodyTextBoldChar"/>
                <w:rFonts w:cs="Arial"/>
                <w:iCs/>
                <w:highlight w:val="yellow"/>
              </w:rPr>
              <w:t>Free Cash Flow</w:t>
            </w:r>
            <w:r w:rsidRPr="00DD4CC2">
              <w:rPr>
                <w:rFonts w:cs="Arial"/>
                <w:iCs/>
                <w:highlight w:val="yellow"/>
              </w:rPr>
              <w:t>” = Net Cash Flow from Operating Activities – Capital Expenditure</w:t>
            </w:r>
          </w:p>
          <w:p w14:paraId="770E8B4A" w14:textId="77777777" w:rsidR="00F67E9E" w:rsidRPr="00DD4CC2" w:rsidRDefault="00F67E9E" w:rsidP="007F74AA">
            <w:pPr>
              <w:pStyle w:val="StdBodyText"/>
              <w:spacing w:before="0" w:after="0"/>
              <w:rPr>
                <w:rFonts w:cs="Arial"/>
                <w:iCs/>
                <w:highlight w:val="yellow"/>
              </w:rPr>
            </w:pPr>
            <w:r w:rsidRPr="00DD4CC2">
              <w:rPr>
                <w:rFonts w:cs="Arial"/>
                <w:iCs/>
                <w:highlight w:val="yellow"/>
              </w:rPr>
              <w:t>“</w:t>
            </w:r>
            <w:r w:rsidRPr="00DD4CC2">
              <w:rPr>
                <w:rStyle w:val="StdBodyTextBoldChar"/>
                <w:rFonts w:cs="Arial"/>
                <w:iCs/>
                <w:highlight w:val="yellow"/>
              </w:rPr>
              <w:t>Capital Expenditure</w:t>
            </w:r>
            <w:r w:rsidRPr="00DD4CC2">
              <w:rPr>
                <w:rFonts w:cs="Arial"/>
                <w:iCs/>
                <w:highlight w:val="yellow"/>
              </w:rPr>
              <w:t>” = Purchase of property, plant &amp; equipment + purchase of intangible assets</w:t>
            </w:r>
          </w:p>
          <w:p w14:paraId="040287ED" w14:textId="77777777" w:rsidR="00F67E9E" w:rsidRPr="00DD4CC2" w:rsidRDefault="00F67E9E" w:rsidP="007F74AA">
            <w:pPr>
              <w:pStyle w:val="StdBodyText"/>
              <w:spacing w:before="0" w:after="0"/>
              <w:rPr>
                <w:rFonts w:cs="Arial"/>
                <w:iCs/>
                <w:highlight w:val="yellow"/>
              </w:rPr>
            </w:pPr>
            <w:r w:rsidRPr="00DD4CC2">
              <w:rPr>
                <w:rFonts w:cs="Arial"/>
                <w:iCs/>
                <w:highlight w:val="yellow"/>
              </w:rPr>
              <w:t>“</w:t>
            </w:r>
            <w:r w:rsidRPr="00DD4CC2">
              <w:rPr>
                <w:rStyle w:val="StdBodyTextBoldChar"/>
                <w:rFonts w:cs="Arial"/>
                <w:iCs/>
                <w:highlight w:val="yellow"/>
              </w:rPr>
              <w:t>Net Debt</w:t>
            </w:r>
            <w:r w:rsidRPr="00DD4CC2">
              <w:rPr>
                <w:rFonts w:cs="Arial"/>
                <w:iCs/>
                <w:highlight w:val="yellow"/>
              </w:rPr>
              <w:t>” = Bank overdrafts + Loans and borrowings + Finance Leases + Deferred consideration payable – Cash and cash equivalents</w:t>
            </w:r>
          </w:p>
          <w:p w14:paraId="70255441" w14:textId="77777777" w:rsidR="00F67E9E" w:rsidRPr="00753B68" w:rsidRDefault="00F67E9E" w:rsidP="007F74AA">
            <w:pPr>
              <w:pStyle w:val="StdBodyText"/>
              <w:spacing w:before="0" w:after="0"/>
              <w:rPr>
                <w:rFonts w:cs="Arial"/>
                <w:highlight w:val="yellow"/>
              </w:rPr>
            </w:pPr>
            <w:r w:rsidRPr="00753B68">
              <w:rPr>
                <w:rFonts w:cs="Arial"/>
                <w:highlight w:val="yellow"/>
              </w:rPr>
              <w:t>The majority of the elements used to calculate the Free Cash Flow to Net Debt Ratio should be shown on the face of the Statement of Cash Flows and the Balance Sheet in a standard set of financial statements.</w:t>
            </w:r>
          </w:p>
          <w:p w14:paraId="631E348D" w14:textId="77777777" w:rsidR="00F67E9E" w:rsidRPr="00DD4CC2" w:rsidRDefault="00F67E9E" w:rsidP="007F74AA">
            <w:pPr>
              <w:pStyle w:val="StdBodyText"/>
              <w:spacing w:before="0" w:after="0"/>
              <w:rPr>
                <w:rFonts w:cs="Arial"/>
                <w:highlight w:val="yellow"/>
              </w:rPr>
            </w:pPr>
            <w:r w:rsidRPr="00DD4CC2">
              <w:rPr>
                <w:rFonts w:cs="Arial"/>
                <w:b/>
                <w:bCs/>
                <w:iCs/>
                <w:highlight w:val="yellow"/>
              </w:rPr>
              <w:t>Net Cash Flow from Operating Activities</w:t>
            </w:r>
            <w:r w:rsidRPr="00DD4CC2">
              <w:rPr>
                <w:rFonts w:cs="Arial"/>
                <w:highlight w:val="yellow"/>
              </w:rPr>
              <w:t>: This should be stated after deduction of interest and tax paid.</w:t>
            </w:r>
          </w:p>
          <w:p w14:paraId="18D2F7A4" w14:textId="77777777" w:rsidR="00F67E9E" w:rsidRPr="00DD4CC2" w:rsidRDefault="00F67E9E" w:rsidP="007F74AA">
            <w:pPr>
              <w:pStyle w:val="StdBodyText"/>
              <w:spacing w:before="0" w:after="0"/>
              <w:rPr>
                <w:rFonts w:cs="Arial"/>
                <w:highlight w:val="yellow"/>
              </w:rPr>
            </w:pPr>
            <w:r w:rsidRPr="00DD4CC2">
              <w:rPr>
                <w:rFonts w:cs="Arial"/>
                <w:b/>
                <w:bCs/>
                <w:iCs/>
                <w:highlight w:val="yellow"/>
              </w:rPr>
              <w:t>Capital expenditure</w:t>
            </w:r>
            <w:r w:rsidRPr="00DD4CC2">
              <w:rPr>
                <w:rFonts w:cs="Arial"/>
                <w:highlight w:val="yellow"/>
              </w:rPr>
              <w:t>: The elements of capital expenditure may be described slightly differently but will be found under ‘Cash flows from investing activities’ in the Statement of Cash Flows; they should be limited to the purchase of fixed assets (including intangible assets) for the business and exclude acquisitions. The figure should be shown gross without any deduction for any proceeds of sale of fixed assets.</w:t>
            </w:r>
          </w:p>
          <w:p w14:paraId="70731010" w14:textId="77777777" w:rsidR="00F67E9E" w:rsidRPr="00753B68" w:rsidRDefault="00F67E9E" w:rsidP="007F74AA">
            <w:pPr>
              <w:pStyle w:val="StdBodyText"/>
              <w:spacing w:before="0" w:after="0"/>
              <w:rPr>
                <w:rFonts w:cs="Arial"/>
                <w:highlight w:val="yellow"/>
              </w:rPr>
            </w:pPr>
            <w:r w:rsidRPr="00DD4CC2">
              <w:rPr>
                <w:rFonts w:cs="Arial"/>
                <w:b/>
                <w:bCs/>
                <w:iCs/>
                <w:highlight w:val="yellow"/>
              </w:rPr>
              <w:t>Net Debt</w:t>
            </w:r>
            <w:r w:rsidRPr="00DD4CC2">
              <w:rPr>
                <w:rFonts w:cs="Arial"/>
                <w:highlight w:val="yellow"/>
              </w:rPr>
              <w:t>: T</w:t>
            </w:r>
            <w:r w:rsidRPr="00753B68">
              <w:rPr>
                <w:rFonts w:cs="Arial"/>
                <w:highlight w:val="yellow"/>
              </w:rPr>
              <w:t>he elements of Net Debt may also be described slightly differently and should be found either on the face of the Balance Sheet or in the relevant note to the financial statements. All interest bearing liabilities (other than retirement benefit obligations) should be treated as borrowings as should, where disclosed, any liabilities (less any assets) in respect</w:t>
            </w:r>
            <w:r>
              <w:rPr>
                <w:rFonts w:cs="Arial"/>
                <w:highlight w:val="yellow"/>
              </w:rPr>
              <w:t xml:space="preserve"> </w:t>
            </w:r>
            <w:r w:rsidRPr="00753B68">
              <w:rPr>
                <w:rFonts w:cs="Arial"/>
                <w:highlight w:val="yellow"/>
              </w:rPr>
              <w:t>of any hedges designated as linked to borrowings (but not non-designated hedges). Borrowings should also include balances owed to other group members.</w:t>
            </w:r>
          </w:p>
          <w:p w14:paraId="093C2C94" w14:textId="77777777" w:rsidR="00F67E9E" w:rsidRPr="00753B68" w:rsidRDefault="00F67E9E" w:rsidP="007F74AA">
            <w:pPr>
              <w:pStyle w:val="StdBodyText"/>
              <w:spacing w:before="0" w:after="0"/>
              <w:rPr>
                <w:rFonts w:cs="Arial"/>
                <w:highlight w:val="yellow"/>
              </w:rPr>
            </w:pPr>
            <w:r w:rsidRPr="00753B68">
              <w:rPr>
                <w:rFonts w:cs="Arial"/>
                <w:highlight w:val="yellow"/>
              </w:rPr>
              <w:t>Deferred consideration payable should be included in Net Debt despite typically being non-interest bearing.</w:t>
            </w:r>
          </w:p>
          <w:p w14:paraId="6486D97E" w14:textId="77777777" w:rsidR="00F67E9E" w:rsidRPr="00753B68" w:rsidRDefault="00F67E9E" w:rsidP="007F74AA">
            <w:pPr>
              <w:pStyle w:val="StdBodyText"/>
              <w:spacing w:before="0" w:after="0"/>
              <w:rPr>
                <w:rFonts w:cs="Arial"/>
                <w:highlight w:val="yellow"/>
              </w:rPr>
            </w:pPr>
            <w:r w:rsidRPr="00753B68">
              <w:rPr>
                <w:rFonts w:cs="Arial"/>
                <w:highlight w:val="yellow"/>
              </w:rPr>
              <w:t>Cash and cash equivalents should include short-term financial investments shown in current assets.</w:t>
            </w:r>
          </w:p>
          <w:p w14:paraId="2452ABAA" w14:textId="77777777" w:rsidR="00F67E9E" w:rsidRPr="00465FBB" w:rsidRDefault="00F67E9E" w:rsidP="007F74AA">
            <w:pPr>
              <w:pStyle w:val="StdBodyText"/>
              <w:spacing w:before="0" w:after="0"/>
              <w:rPr>
                <w:rFonts w:cs="Arial"/>
              </w:rPr>
            </w:pPr>
            <w:r w:rsidRPr="00753B68">
              <w:rPr>
                <w:rFonts w:cs="Arial"/>
                <w:highlight w:val="yellow"/>
              </w:rPr>
              <w:t>Where Net debt is negative (i.e. an entity has net cash), the relevant Financial Target Threshold should be treated as having been met.]</w:t>
            </w:r>
          </w:p>
        </w:tc>
      </w:tr>
      <w:tr w:rsidR="00F67E9E" w:rsidRPr="00753B68" w14:paraId="30D720F0" w14:textId="77777777" w:rsidTr="007F74AA">
        <w:tc>
          <w:tcPr>
            <w:tcW w:w="2268" w:type="dxa"/>
          </w:tcPr>
          <w:p w14:paraId="46DA53AC" w14:textId="77777777" w:rsidR="00F67E9E" w:rsidRPr="00753B68" w:rsidRDefault="00F67E9E" w:rsidP="007F74AA">
            <w:pPr>
              <w:pStyle w:val="StdBodyTextBold"/>
              <w:spacing w:before="0" w:after="0"/>
              <w:rPr>
                <w:rFonts w:cs="Arial"/>
              </w:rPr>
            </w:pPr>
            <w:r w:rsidRPr="00753B68">
              <w:rPr>
                <w:rFonts w:cs="Arial"/>
              </w:rPr>
              <w:t>OR</w:t>
            </w:r>
          </w:p>
          <w:p w14:paraId="40C8CFDE" w14:textId="77777777" w:rsidR="00F67E9E" w:rsidRPr="00753B68" w:rsidRDefault="00F67E9E" w:rsidP="007F74AA">
            <w:pPr>
              <w:pStyle w:val="StdBodyTextBold"/>
              <w:spacing w:before="0" w:after="0"/>
              <w:rPr>
                <w:rFonts w:cs="Arial"/>
              </w:rPr>
            </w:pPr>
            <w:r w:rsidRPr="00753B68">
              <w:rPr>
                <w:rFonts w:cs="Arial"/>
                <w:highlight w:val="yellow"/>
              </w:rPr>
              <w:t>[Net Debt to EBITDA Ratio]</w:t>
            </w:r>
          </w:p>
        </w:tc>
        <w:tc>
          <w:tcPr>
            <w:tcW w:w="7937" w:type="dxa"/>
          </w:tcPr>
          <w:p w14:paraId="72DB3E14" w14:textId="77777777" w:rsidR="00F67E9E" w:rsidRPr="00753B68" w:rsidRDefault="00F67E9E" w:rsidP="007F74AA">
            <w:pPr>
              <w:pStyle w:val="StdBodyText"/>
              <w:spacing w:before="0" w:after="0"/>
              <w:rPr>
                <w:rFonts w:cs="Arial"/>
              </w:rPr>
            </w:pPr>
            <w:r w:rsidRPr="00753B68">
              <w:rPr>
                <w:rFonts w:cs="Arial"/>
              </w:rPr>
              <w:t>OR</w:t>
            </w:r>
          </w:p>
          <w:p w14:paraId="5FE97B93" w14:textId="77777777" w:rsidR="00F67E9E" w:rsidRPr="00DD4CC2" w:rsidRDefault="00F67E9E" w:rsidP="007F74AA">
            <w:pPr>
              <w:pStyle w:val="StdBodyText"/>
              <w:spacing w:before="0" w:after="0"/>
              <w:rPr>
                <w:rFonts w:cs="Arial"/>
                <w:iCs/>
                <w:highlight w:val="yellow"/>
              </w:rPr>
            </w:pPr>
            <w:r w:rsidRPr="00DD4CC2">
              <w:rPr>
                <w:rFonts w:cs="Arial"/>
                <w:iCs/>
                <w:highlight w:val="yellow"/>
              </w:rPr>
              <w:t>[“</w:t>
            </w:r>
            <w:r w:rsidRPr="00DD4CC2">
              <w:rPr>
                <w:rStyle w:val="StdBodyTextBoldChar"/>
                <w:rFonts w:cs="Arial"/>
                <w:iCs/>
                <w:highlight w:val="yellow"/>
              </w:rPr>
              <w:t>Net Debt</w:t>
            </w:r>
            <w:r w:rsidRPr="00DD4CC2">
              <w:rPr>
                <w:rFonts w:cs="Arial"/>
                <w:iCs/>
                <w:highlight w:val="yellow"/>
              </w:rPr>
              <w:t>” = Bank overdrafts + Loans and borrowings + Finance leases + Deferred consideration payable – Cash and cash equivalents</w:t>
            </w:r>
          </w:p>
          <w:p w14:paraId="1B36AF6A" w14:textId="77777777" w:rsidR="00F67E9E" w:rsidRPr="00DD4CC2" w:rsidRDefault="00F67E9E" w:rsidP="007F74AA">
            <w:pPr>
              <w:pStyle w:val="StdBodyText"/>
              <w:spacing w:before="0" w:after="0"/>
              <w:rPr>
                <w:rFonts w:cs="Arial"/>
                <w:iCs/>
                <w:highlight w:val="yellow"/>
              </w:rPr>
            </w:pPr>
            <w:r w:rsidRPr="00DD4CC2">
              <w:rPr>
                <w:rFonts w:cs="Arial"/>
                <w:iCs/>
                <w:highlight w:val="yellow"/>
              </w:rPr>
              <w:t>“</w:t>
            </w:r>
            <w:r w:rsidRPr="00DD4CC2">
              <w:rPr>
                <w:rStyle w:val="StdBodyTextBoldChar"/>
                <w:rFonts w:cs="Arial"/>
                <w:iCs/>
                <w:highlight w:val="yellow"/>
              </w:rPr>
              <w:t>EBITDA</w:t>
            </w:r>
            <w:r w:rsidRPr="00DD4CC2">
              <w:rPr>
                <w:rFonts w:cs="Arial"/>
                <w:iCs/>
                <w:highlight w:val="yellow"/>
              </w:rPr>
              <w:t>” = Operating profit + Depreciation charge + Amortisation charge</w:t>
            </w:r>
          </w:p>
          <w:p w14:paraId="1BF43666" w14:textId="77777777" w:rsidR="00F67E9E" w:rsidRPr="00753B68" w:rsidRDefault="00F67E9E" w:rsidP="007F74AA">
            <w:pPr>
              <w:pStyle w:val="StdBodyText"/>
              <w:spacing w:before="0" w:after="0"/>
              <w:rPr>
                <w:rFonts w:cs="Arial"/>
                <w:highlight w:val="yellow"/>
              </w:rPr>
            </w:pPr>
            <w:r w:rsidRPr="00753B68">
              <w:rPr>
                <w:rFonts w:cs="Arial"/>
                <w:highlight w:val="yellow"/>
              </w:rPr>
              <w:t>The majority of the elements used to calculate the Net Debt to EBITDA Ratio should be shown on the face of the Balance sheet, Income statement and Statement of Cash Flows in a standard set of financial statements but will otherwise be found in the notes to the financial statements.</w:t>
            </w:r>
          </w:p>
          <w:p w14:paraId="02D7A613" w14:textId="77777777" w:rsidR="00F67E9E" w:rsidRPr="00753B68" w:rsidRDefault="00F67E9E" w:rsidP="007F74AA">
            <w:pPr>
              <w:pStyle w:val="StdBodyText"/>
              <w:spacing w:before="0" w:after="0"/>
              <w:rPr>
                <w:rFonts w:cs="Arial"/>
                <w:highlight w:val="yellow"/>
              </w:rPr>
            </w:pPr>
            <w:r w:rsidRPr="00DD4CC2">
              <w:rPr>
                <w:rFonts w:cs="Arial"/>
                <w:b/>
                <w:bCs/>
                <w:iCs/>
                <w:highlight w:val="yellow"/>
              </w:rPr>
              <w:t>Net Debt</w:t>
            </w:r>
            <w:r w:rsidRPr="00753B68">
              <w:rPr>
                <w:rFonts w:cs="Arial"/>
                <w:highlight w:val="yellow"/>
              </w:rPr>
              <w:t>: The elements of Net Debt may be described slightly differently and should be found either on the face of the Balance Sheet or in the relevant note to the financial statements. All interest bearing liabilities (other than retirement benefit obligations) should be included as borrowings as should, where disclosed, any liabilities (less any assets) in respect of any hedges designated as linked to borrowings (but not non-designated hedges). Borrowings should also include balances owed to other group members.</w:t>
            </w:r>
          </w:p>
          <w:p w14:paraId="260AD12A" w14:textId="77777777" w:rsidR="00F67E9E" w:rsidRPr="00753B68" w:rsidRDefault="00F67E9E" w:rsidP="007F74AA">
            <w:pPr>
              <w:pStyle w:val="StdBodyText"/>
              <w:spacing w:before="0" w:after="0"/>
              <w:rPr>
                <w:rFonts w:cs="Arial"/>
                <w:highlight w:val="yellow"/>
              </w:rPr>
            </w:pPr>
            <w:r w:rsidRPr="00753B68">
              <w:rPr>
                <w:rFonts w:cs="Arial"/>
                <w:highlight w:val="yellow"/>
              </w:rPr>
              <w:t>Deferred consideration payable should be included in Net Debt despite typically being non-interest bearing.</w:t>
            </w:r>
          </w:p>
          <w:p w14:paraId="0806FCD3" w14:textId="77777777" w:rsidR="00F67E9E" w:rsidRPr="00753B68" w:rsidRDefault="00F67E9E" w:rsidP="007F74AA">
            <w:pPr>
              <w:pStyle w:val="StdBodyText"/>
              <w:spacing w:before="0" w:after="0"/>
              <w:rPr>
                <w:rFonts w:cs="Arial"/>
                <w:highlight w:val="yellow"/>
              </w:rPr>
            </w:pPr>
            <w:r w:rsidRPr="00753B68">
              <w:rPr>
                <w:rFonts w:cs="Arial"/>
                <w:highlight w:val="yellow"/>
              </w:rPr>
              <w:t>Cash and cash equivalents should include short-term financial investments shown in current assets.</w:t>
            </w:r>
          </w:p>
          <w:p w14:paraId="0F1DD67D" w14:textId="77777777" w:rsidR="00F67E9E" w:rsidRPr="00753B68" w:rsidRDefault="00F67E9E" w:rsidP="007F74AA">
            <w:pPr>
              <w:pStyle w:val="StdBodyText"/>
              <w:spacing w:before="0" w:after="0"/>
              <w:rPr>
                <w:rFonts w:cs="Arial"/>
                <w:highlight w:val="yellow"/>
              </w:rPr>
            </w:pPr>
            <w:r w:rsidRPr="00753B68">
              <w:rPr>
                <w:rFonts w:cs="Arial"/>
                <w:highlight w:val="yellow"/>
              </w:rPr>
              <w:t xml:space="preserve">Where Net debt is negative (i.e. an entity has net cash), the relevant Financial Target Threshold should be treated as having been met. </w:t>
            </w:r>
          </w:p>
          <w:p w14:paraId="06BA36DB" w14:textId="77777777" w:rsidR="00F67E9E" w:rsidRPr="00753B68" w:rsidRDefault="00F67E9E" w:rsidP="007F74AA">
            <w:pPr>
              <w:pStyle w:val="StdBodyText"/>
              <w:spacing w:before="0" w:after="0"/>
              <w:rPr>
                <w:rFonts w:cs="Arial"/>
                <w:i/>
                <w:highlight w:val="yellow"/>
              </w:rPr>
            </w:pPr>
            <w:r w:rsidRPr="00DD4CC2">
              <w:rPr>
                <w:rFonts w:cs="Arial"/>
                <w:b/>
                <w:bCs/>
                <w:iCs/>
                <w:highlight w:val="yellow"/>
              </w:rPr>
              <w:t>EBITDA</w:t>
            </w:r>
            <w:r w:rsidRPr="00753B68">
              <w:rPr>
                <w:rFonts w:cs="Arial"/>
                <w:highlight w:val="yellow"/>
              </w:rPr>
              <w:t>: Operating profit should be shown on the face of the Income Statement and, for the purposes of calculating this Financial Indicator, should include the entity</w:t>
            </w:r>
            <w:r>
              <w:rPr>
                <w:rFonts w:cs="Arial"/>
                <w:highlight w:val="yellow"/>
              </w:rPr>
              <w:t>’</w:t>
            </w:r>
            <w:r w:rsidRPr="00753B68">
              <w:rPr>
                <w:rFonts w:cs="Arial"/>
                <w:highlight w:val="yellow"/>
              </w:rPr>
              <w:t xml:space="preserve">s share of the results of any joint ventures or Associates. </w:t>
            </w:r>
            <w:r w:rsidRPr="00DD4CC2">
              <w:rPr>
                <w:rFonts w:cs="Arial"/>
                <w:iCs/>
                <w:highlight w:val="yellow"/>
              </w:rPr>
              <w:t xml:space="preserve">The depreciation and amortisation charges for the period may be found on the face of the </w:t>
            </w:r>
            <w:bookmarkStart w:id="1473" w:name="_9kR3WTr2AC7DFbapqvpqs8AxMCz7VUAMRKKFC5g"/>
            <w:r w:rsidRPr="00DD4CC2">
              <w:rPr>
                <w:rFonts w:cs="Arial"/>
                <w:iCs/>
                <w:highlight w:val="yellow"/>
              </w:rPr>
              <w:t>Statement of Cash Flows or in a Note to the Accounts</w:t>
            </w:r>
            <w:bookmarkEnd w:id="1473"/>
            <w:r w:rsidRPr="00DD4CC2">
              <w:rPr>
                <w:rFonts w:cs="Arial"/>
                <w:iCs/>
                <w:highlight w:val="yellow"/>
              </w:rPr>
              <w:t>. Where EBITDA is negative, the relevant Financial Target Threshold should be treated as not having been met (unless Net Debt is also negative, in which case the relevant Financial Target Threshold should be treated as having been met).]</w:t>
            </w:r>
          </w:p>
        </w:tc>
      </w:tr>
      <w:tr w:rsidR="00F67E9E" w:rsidRPr="00753B68" w14:paraId="001B579D" w14:textId="77777777" w:rsidTr="007F74AA">
        <w:tc>
          <w:tcPr>
            <w:tcW w:w="2268" w:type="dxa"/>
          </w:tcPr>
          <w:p w14:paraId="48176590" w14:textId="77777777" w:rsidR="00F67E9E" w:rsidRPr="00753B68" w:rsidRDefault="00F67E9E" w:rsidP="007F74AA">
            <w:pPr>
              <w:pStyle w:val="StdBodyTextBold"/>
              <w:spacing w:before="0" w:after="0"/>
              <w:rPr>
                <w:rFonts w:cs="Arial"/>
              </w:rPr>
            </w:pPr>
            <w:r w:rsidRPr="00753B68">
              <w:rPr>
                <w:rFonts w:cs="Arial"/>
              </w:rPr>
              <w:t>3</w:t>
            </w:r>
          </w:p>
          <w:p w14:paraId="44A01F00" w14:textId="77777777" w:rsidR="00F67E9E" w:rsidRPr="00753B68" w:rsidRDefault="00F67E9E" w:rsidP="007F74AA">
            <w:pPr>
              <w:pStyle w:val="StdBodyTextBold"/>
              <w:spacing w:before="0" w:after="0"/>
              <w:rPr>
                <w:rFonts w:cs="Arial"/>
              </w:rPr>
            </w:pPr>
            <w:r w:rsidRPr="00753B68">
              <w:rPr>
                <w:rFonts w:cs="Arial"/>
                <w:highlight w:val="yellow"/>
              </w:rPr>
              <w:t>[Net Debt + Net</w:t>
            </w:r>
            <w:r>
              <w:rPr>
                <w:rFonts w:cs="Arial"/>
                <w:highlight w:val="yellow"/>
              </w:rPr>
              <w:t xml:space="preserve"> </w:t>
            </w:r>
            <w:r w:rsidRPr="00753B68">
              <w:rPr>
                <w:rFonts w:cs="Arial"/>
                <w:highlight w:val="yellow"/>
              </w:rPr>
              <w:t>Pension Deficit to EBITDA ratio]</w:t>
            </w:r>
          </w:p>
        </w:tc>
        <w:tc>
          <w:tcPr>
            <w:tcW w:w="7937" w:type="dxa"/>
          </w:tcPr>
          <w:p w14:paraId="4DD22D19" w14:textId="77777777" w:rsidR="00F67E9E" w:rsidRPr="00DD4CC2" w:rsidRDefault="00F67E9E" w:rsidP="007F74AA">
            <w:pPr>
              <w:pStyle w:val="StdBodyText"/>
              <w:spacing w:before="0" w:after="0"/>
              <w:rPr>
                <w:rFonts w:cs="Arial"/>
                <w:iCs/>
                <w:highlight w:val="yellow"/>
              </w:rPr>
            </w:pPr>
            <w:r w:rsidRPr="00DD4CC2">
              <w:rPr>
                <w:rFonts w:cs="Arial"/>
                <w:iCs/>
                <w:highlight w:val="yellow"/>
              </w:rPr>
              <w:t>[“</w:t>
            </w:r>
            <w:r w:rsidRPr="00DD4CC2">
              <w:rPr>
                <w:rStyle w:val="StdBodyTextBoldChar"/>
                <w:rFonts w:cs="Arial"/>
                <w:iCs/>
                <w:highlight w:val="yellow"/>
              </w:rPr>
              <w:t>Net Debt</w:t>
            </w:r>
            <w:r w:rsidRPr="00DD4CC2">
              <w:rPr>
                <w:rFonts w:cs="Arial"/>
                <w:iCs/>
                <w:highlight w:val="yellow"/>
              </w:rPr>
              <w:t>” = Bank overdrafts + Loans and borrowings + Finance leases + Deferred consideration payable – Cash and cash equivalents</w:t>
            </w:r>
          </w:p>
          <w:p w14:paraId="1318F9B7" w14:textId="77777777" w:rsidR="00F67E9E" w:rsidRPr="00DD4CC2" w:rsidRDefault="00F67E9E" w:rsidP="007F74AA">
            <w:pPr>
              <w:pStyle w:val="StdBodyText"/>
              <w:spacing w:before="0" w:after="0"/>
              <w:rPr>
                <w:rFonts w:cs="Arial"/>
                <w:iCs/>
                <w:highlight w:val="yellow"/>
              </w:rPr>
            </w:pPr>
            <w:r w:rsidRPr="00DD4CC2">
              <w:rPr>
                <w:rFonts w:cs="Arial"/>
                <w:iCs/>
                <w:highlight w:val="yellow"/>
              </w:rPr>
              <w:t>“</w:t>
            </w:r>
            <w:r w:rsidRPr="00DD4CC2">
              <w:rPr>
                <w:rStyle w:val="StdBodyTextBoldChar"/>
                <w:rFonts w:cs="Arial"/>
                <w:iCs/>
                <w:highlight w:val="yellow"/>
              </w:rPr>
              <w:t>Net Pension Deficit</w:t>
            </w:r>
            <w:r w:rsidRPr="00DD4CC2">
              <w:rPr>
                <w:rFonts w:cs="Arial"/>
                <w:iCs/>
                <w:highlight w:val="yellow"/>
              </w:rPr>
              <w:t>” = Retirement Benefit Obligations – Retirement Benefit Assets</w:t>
            </w:r>
          </w:p>
          <w:p w14:paraId="4030AEF5" w14:textId="77777777" w:rsidR="00F67E9E" w:rsidRPr="00DD4CC2" w:rsidRDefault="00F67E9E" w:rsidP="007F74AA">
            <w:pPr>
              <w:pStyle w:val="StdBodyText"/>
              <w:spacing w:before="0" w:after="0"/>
              <w:rPr>
                <w:rFonts w:cs="Arial"/>
                <w:iCs/>
                <w:highlight w:val="yellow"/>
              </w:rPr>
            </w:pPr>
            <w:r w:rsidRPr="00DD4CC2">
              <w:rPr>
                <w:rFonts w:cs="Arial"/>
                <w:iCs/>
                <w:highlight w:val="yellow"/>
              </w:rPr>
              <w:t>“</w:t>
            </w:r>
            <w:r w:rsidRPr="00DD4CC2">
              <w:rPr>
                <w:rStyle w:val="StdBodyTextBoldChar"/>
                <w:rFonts w:cs="Arial"/>
                <w:iCs/>
                <w:highlight w:val="yellow"/>
              </w:rPr>
              <w:t>EBITDA</w:t>
            </w:r>
            <w:r w:rsidRPr="00DD4CC2">
              <w:rPr>
                <w:rFonts w:cs="Arial"/>
                <w:iCs/>
                <w:highlight w:val="yellow"/>
              </w:rPr>
              <w:t>” = Operating profit + Depreciation charge + Amortisation charge</w:t>
            </w:r>
          </w:p>
          <w:p w14:paraId="26B4BFCD" w14:textId="77777777" w:rsidR="00F67E9E" w:rsidRPr="00753B68" w:rsidRDefault="00F67E9E" w:rsidP="007F74AA">
            <w:pPr>
              <w:pStyle w:val="StdBodyText"/>
              <w:spacing w:before="0" w:after="0"/>
              <w:rPr>
                <w:rFonts w:cs="Arial"/>
                <w:highlight w:val="yellow"/>
              </w:rPr>
            </w:pPr>
            <w:r w:rsidRPr="00753B68">
              <w:rPr>
                <w:rFonts w:cs="Arial"/>
                <w:highlight w:val="yellow"/>
              </w:rPr>
              <w:t>The majority of the elements used to calculate the Net Debt + Net Pension Deficit to EBITDA Ratio should be shown on the face of the Balance sheet, Income statement and Statement of Cash Flows in a standard set of financial statements but will otherwise be found in the notes to the financial statements.</w:t>
            </w:r>
          </w:p>
          <w:p w14:paraId="7F2EEA4B" w14:textId="77777777" w:rsidR="00F67E9E" w:rsidRPr="00753B68" w:rsidRDefault="00F67E9E" w:rsidP="007F74AA">
            <w:pPr>
              <w:pStyle w:val="StdBodyText"/>
              <w:spacing w:before="0" w:after="0"/>
              <w:rPr>
                <w:rFonts w:cs="Arial"/>
                <w:highlight w:val="yellow"/>
              </w:rPr>
            </w:pPr>
            <w:r w:rsidRPr="00DD4CC2">
              <w:rPr>
                <w:rFonts w:cs="Arial"/>
                <w:b/>
                <w:bCs/>
                <w:iCs/>
                <w:highlight w:val="yellow"/>
              </w:rPr>
              <w:t>Net Debt</w:t>
            </w:r>
            <w:r w:rsidRPr="00753B68">
              <w:rPr>
                <w:rFonts w:cs="Arial"/>
                <w:highlight w:val="yellow"/>
              </w:rPr>
              <w:t xml:space="preserve">: The elements of Net Debt may be described slightly differently and should be found either on the face of the Balance Sheet or in the relevant note to the financial statements. All interest bearing liabilities (other than retirement benefit obligations) should be included as borrowings as should, where disclosed, any liabilities (less any assets) in respect of any hedges designated as linked to borrowings (but </w:t>
            </w:r>
            <w:r w:rsidRPr="00DD4CC2">
              <w:rPr>
                <w:rFonts w:cs="Arial"/>
                <w:b/>
                <w:bCs/>
                <w:iCs/>
                <w:highlight w:val="yellow"/>
              </w:rPr>
              <w:t>not</w:t>
            </w:r>
            <w:r w:rsidRPr="00753B68">
              <w:rPr>
                <w:rFonts w:cs="Arial"/>
                <w:highlight w:val="yellow"/>
              </w:rPr>
              <w:t xml:space="preserve"> non-designated hedges). Borrowings should also include balances owed to other group members.</w:t>
            </w:r>
          </w:p>
          <w:p w14:paraId="45DF42BF" w14:textId="77777777" w:rsidR="00F67E9E" w:rsidRPr="00753B68" w:rsidRDefault="00F67E9E" w:rsidP="007F74AA">
            <w:pPr>
              <w:pStyle w:val="StdBodyText"/>
              <w:spacing w:before="0" w:after="0"/>
              <w:rPr>
                <w:rFonts w:cs="Arial"/>
                <w:highlight w:val="yellow"/>
              </w:rPr>
            </w:pPr>
            <w:r w:rsidRPr="00753B68">
              <w:rPr>
                <w:rFonts w:cs="Arial"/>
                <w:highlight w:val="yellow"/>
              </w:rPr>
              <w:t>Deferred consideration payable should be included in Net Debt despite typically being non-interest bearing.</w:t>
            </w:r>
          </w:p>
          <w:p w14:paraId="21106AD6" w14:textId="77777777" w:rsidR="00F67E9E" w:rsidRPr="00753B68" w:rsidRDefault="00F67E9E" w:rsidP="007F74AA">
            <w:pPr>
              <w:pStyle w:val="StdBodyText"/>
              <w:spacing w:before="0" w:after="0"/>
              <w:rPr>
                <w:rFonts w:cs="Arial"/>
                <w:highlight w:val="yellow"/>
              </w:rPr>
            </w:pPr>
            <w:r w:rsidRPr="00753B68">
              <w:rPr>
                <w:rFonts w:cs="Arial"/>
                <w:highlight w:val="yellow"/>
              </w:rPr>
              <w:t>Cash and cash equivalents should include short-term financial investments shown in current assets.</w:t>
            </w:r>
          </w:p>
          <w:p w14:paraId="0DDF583B" w14:textId="77777777" w:rsidR="00F67E9E" w:rsidRPr="00753B68" w:rsidRDefault="00F67E9E" w:rsidP="007F74AA">
            <w:pPr>
              <w:pStyle w:val="StdBodyText"/>
              <w:spacing w:before="0" w:after="0"/>
              <w:rPr>
                <w:rFonts w:cs="Arial"/>
                <w:highlight w:val="yellow"/>
              </w:rPr>
            </w:pPr>
            <w:r w:rsidRPr="00DD4CC2">
              <w:rPr>
                <w:rFonts w:cs="Arial"/>
                <w:b/>
                <w:bCs/>
                <w:iCs/>
                <w:highlight w:val="yellow"/>
              </w:rPr>
              <w:t>Net Pension Deficit</w:t>
            </w:r>
            <w:r w:rsidRPr="00753B68">
              <w:rPr>
                <w:rFonts w:cs="Arial"/>
                <w:highlight w:val="yellow"/>
              </w:rPr>
              <w:t xml:space="preserve">: Retirement Benefit Obligations and Retirement Benefit Assets may be shown on the face of the Balance Sheet or in the notes to the financial statements. They may also be described as pension benefits / obligations, post-employment obligations or other similar terms. </w:t>
            </w:r>
          </w:p>
          <w:p w14:paraId="4C4883A8" w14:textId="77777777" w:rsidR="00F67E9E" w:rsidRPr="00753B68" w:rsidRDefault="00F67E9E" w:rsidP="007F74AA">
            <w:pPr>
              <w:pStyle w:val="StdBodyText"/>
              <w:spacing w:before="0" w:after="0"/>
              <w:rPr>
                <w:rFonts w:cs="Arial"/>
                <w:highlight w:val="yellow"/>
              </w:rPr>
            </w:pPr>
            <w:r w:rsidRPr="00753B68">
              <w:rPr>
                <w:rFonts w:cs="Arial"/>
                <w:highlight w:val="yellow"/>
              </w:rPr>
              <w:t xml:space="preserve">Where </w:t>
            </w:r>
            <w:r>
              <w:rPr>
                <w:rFonts w:cs="Arial"/>
                <w:highlight w:val="yellow"/>
              </w:rPr>
              <w:t>‘</w:t>
            </w:r>
            <w:r w:rsidRPr="00753B68">
              <w:rPr>
                <w:rFonts w:cs="Arial"/>
                <w:highlight w:val="yellow"/>
              </w:rPr>
              <w:t>Net Debt + Net Pension Deficit</w:t>
            </w:r>
            <w:r>
              <w:rPr>
                <w:rFonts w:cs="Arial"/>
                <w:highlight w:val="yellow"/>
              </w:rPr>
              <w:t>’</w:t>
            </w:r>
            <w:r w:rsidRPr="00753B68">
              <w:rPr>
                <w:rFonts w:cs="Arial"/>
                <w:highlight w:val="yellow"/>
              </w:rPr>
              <w:t xml:space="preserve"> is negative, the relevant Financial Target Threshold should be treated as having been met.</w:t>
            </w:r>
          </w:p>
          <w:p w14:paraId="14EFB507" w14:textId="77777777" w:rsidR="00F67E9E" w:rsidRPr="00753B68" w:rsidRDefault="00F67E9E" w:rsidP="007F74AA">
            <w:pPr>
              <w:pStyle w:val="StdBodyText"/>
              <w:spacing w:before="0" w:after="0"/>
              <w:rPr>
                <w:rFonts w:cs="Arial"/>
                <w:highlight w:val="yellow"/>
              </w:rPr>
            </w:pPr>
            <w:r w:rsidRPr="00DD4CC2">
              <w:rPr>
                <w:rFonts w:cs="Arial"/>
                <w:b/>
                <w:bCs/>
                <w:iCs/>
                <w:highlight w:val="yellow"/>
              </w:rPr>
              <w:t>EBITDA</w:t>
            </w:r>
            <w:r w:rsidRPr="00753B68">
              <w:rPr>
                <w:rFonts w:cs="Arial"/>
                <w:highlight w:val="yellow"/>
              </w:rPr>
              <w:t>: Operating profit should be shown on the face of the Income Statement and, for the purposes of calculating this Financial Indicator, should include the entity</w:t>
            </w:r>
            <w:r>
              <w:rPr>
                <w:rFonts w:cs="Arial"/>
                <w:highlight w:val="yellow"/>
              </w:rPr>
              <w:t>’</w:t>
            </w:r>
            <w:r w:rsidRPr="00753B68">
              <w:rPr>
                <w:rFonts w:cs="Arial"/>
                <w:highlight w:val="yellow"/>
              </w:rPr>
              <w:t>s share of the results of any joint ventures or Associates.</w:t>
            </w:r>
          </w:p>
          <w:p w14:paraId="4B007DB9" w14:textId="77777777" w:rsidR="00F67E9E" w:rsidRPr="00753B68" w:rsidRDefault="00F67E9E" w:rsidP="007F74AA">
            <w:pPr>
              <w:pStyle w:val="StdBodyText"/>
              <w:spacing w:before="0" w:after="0"/>
              <w:rPr>
                <w:rFonts w:cs="Arial"/>
                <w:highlight w:val="yellow"/>
              </w:rPr>
            </w:pPr>
            <w:r w:rsidRPr="00753B68">
              <w:rPr>
                <w:rFonts w:cs="Arial"/>
                <w:highlight w:val="yellow"/>
              </w:rPr>
              <w:t xml:space="preserve">The depreciation and amortisation charges for the period may be found on the face of the </w:t>
            </w:r>
            <w:bookmarkStart w:id="1474" w:name="_9kMHG5YVt4CE9FHdcrsxrsuACzOE19XWCOTMMHE"/>
            <w:r w:rsidRPr="00753B68">
              <w:rPr>
                <w:rFonts w:cs="Arial"/>
                <w:highlight w:val="yellow"/>
              </w:rPr>
              <w:t>Statement of Cash Flows or in a Note to the Accounts</w:t>
            </w:r>
            <w:bookmarkEnd w:id="1474"/>
            <w:r w:rsidRPr="00753B68">
              <w:rPr>
                <w:rFonts w:cs="Arial"/>
                <w:highlight w:val="yellow"/>
              </w:rPr>
              <w:t xml:space="preserve">. </w:t>
            </w:r>
          </w:p>
          <w:p w14:paraId="6CE3F42D" w14:textId="77777777" w:rsidR="00F67E9E" w:rsidRPr="00753B68" w:rsidRDefault="00F67E9E" w:rsidP="007F74AA">
            <w:pPr>
              <w:pStyle w:val="StdBodyText"/>
              <w:spacing w:before="0" w:after="0"/>
              <w:rPr>
                <w:rFonts w:cs="Arial"/>
                <w:highlight w:val="yellow"/>
              </w:rPr>
            </w:pPr>
            <w:r w:rsidRPr="00753B68">
              <w:rPr>
                <w:rFonts w:cs="Arial"/>
                <w:highlight w:val="yellow"/>
              </w:rPr>
              <w:t xml:space="preserve">Where EBITDA is negative, the relevant Financial Target Threshold should be treated as not having been met (unless </w:t>
            </w:r>
            <w:r>
              <w:rPr>
                <w:rFonts w:cs="Arial"/>
                <w:highlight w:val="yellow"/>
              </w:rPr>
              <w:t>‘</w:t>
            </w:r>
            <w:r w:rsidRPr="00753B68">
              <w:rPr>
                <w:rFonts w:cs="Arial"/>
                <w:highlight w:val="yellow"/>
              </w:rPr>
              <w:t>Net Debt + Net Pension Deficit</w:t>
            </w:r>
            <w:r>
              <w:rPr>
                <w:rFonts w:cs="Arial"/>
                <w:highlight w:val="yellow"/>
              </w:rPr>
              <w:t>’</w:t>
            </w:r>
            <w:r w:rsidRPr="00753B68">
              <w:rPr>
                <w:rFonts w:cs="Arial"/>
                <w:highlight w:val="yellow"/>
              </w:rPr>
              <w:t xml:space="preserve"> is also negative, in which case the relevant Financial Target Threshold should be regarded as having been met).]</w:t>
            </w:r>
          </w:p>
        </w:tc>
      </w:tr>
      <w:tr w:rsidR="00F67E9E" w:rsidRPr="00753B68" w14:paraId="23368394" w14:textId="77777777" w:rsidTr="007F74AA">
        <w:tc>
          <w:tcPr>
            <w:tcW w:w="2268" w:type="dxa"/>
          </w:tcPr>
          <w:p w14:paraId="33FCDFDA" w14:textId="77777777" w:rsidR="00F67E9E" w:rsidRPr="00753B68" w:rsidRDefault="00F67E9E" w:rsidP="007F74AA">
            <w:pPr>
              <w:pStyle w:val="StdBodyTextBold"/>
              <w:keepNext/>
              <w:spacing w:before="0" w:after="0"/>
              <w:rPr>
                <w:rFonts w:cs="Arial"/>
              </w:rPr>
            </w:pPr>
            <w:r w:rsidRPr="00753B68">
              <w:rPr>
                <w:rFonts w:cs="Arial"/>
              </w:rPr>
              <w:t>4</w:t>
            </w:r>
          </w:p>
          <w:p w14:paraId="0724826C" w14:textId="77777777" w:rsidR="00F67E9E" w:rsidRPr="00753B68" w:rsidRDefault="00F67E9E" w:rsidP="007F74AA">
            <w:pPr>
              <w:pStyle w:val="StdBodyTextBold"/>
              <w:spacing w:before="0" w:after="0"/>
              <w:rPr>
                <w:rFonts w:cs="Arial"/>
              </w:rPr>
            </w:pPr>
            <w:r w:rsidRPr="00753B68">
              <w:rPr>
                <w:rFonts w:cs="Arial"/>
                <w:highlight w:val="yellow"/>
              </w:rPr>
              <w:t>[Net Interest Paid Cover]</w:t>
            </w:r>
          </w:p>
        </w:tc>
        <w:tc>
          <w:tcPr>
            <w:tcW w:w="7937" w:type="dxa"/>
          </w:tcPr>
          <w:p w14:paraId="1EAC0B08" w14:textId="77777777" w:rsidR="00F67E9E" w:rsidRPr="00DD4CC2" w:rsidRDefault="00F67E9E" w:rsidP="007F74AA">
            <w:pPr>
              <w:pStyle w:val="StdBodyText"/>
              <w:spacing w:before="0" w:after="0"/>
              <w:rPr>
                <w:rFonts w:cs="Arial"/>
                <w:iCs/>
                <w:highlight w:val="yellow"/>
              </w:rPr>
            </w:pPr>
            <w:r w:rsidRPr="00DD4CC2">
              <w:rPr>
                <w:rFonts w:cs="Arial"/>
                <w:iCs/>
                <w:highlight w:val="yellow"/>
              </w:rPr>
              <w:t>[“</w:t>
            </w:r>
            <w:r w:rsidRPr="00DD4CC2">
              <w:rPr>
                <w:rStyle w:val="StdBodyTextBoldChar"/>
                <w:rFonts w:cs="Arial"/>
                <w:iCs/>
                <w:highlight w:val="yellow"/>
              </w:rPr>
              <w:t>Earnings Before Interest and Tax</w:t>
            </w:r>
            <w:r w:rsidRPr="00DD4CC2">
              <w:rPr>
                <w:rFonts w:cs="Arial"/>
                <w:iCs/>
                <w:highlight w:val="yellow"/>
              </w:rPr>
              <w:t>” = Operating profit</w:t>
            </w:r>
          </w:p>
          <w:p w14:paraId="492FE24F" w14:textId="77777777" w:rsidR="00F67E9E" w:rsidRPr="00DD4CC2" w:rsidRDefault="00F67E9E" w:rsidP="007F74AA">
            <w:pPr>
              <w:pStyle w:val="StdBodyText"/>
              <w:spacing w:before="0" w:after="0"/>
              <w:rPr>
                <w:rFonts w:cs="Arial"/>
                <w:iCs/>
                <w:highlight w:val="yellow"/>
              </w:rPr>
            </w:pPr>
            <w:r w:rsidRPr="00DD4CC2">
              <w:rPr>
                <w:rFonts w:cs="Arial"/>
                <w:iCs/>
                <w:highlight w:val="yellow"/>
              </w:rPr>
              <w:t>“</w:t>
            </w:r>
            <w:r w:rsidRPr="00DD4CC2">
              <w:rPr>
                <w:rStyle w:val="StdBodyTextBoldChar"/>
                <w:rFonts w:cs="Arial"/>
                <w:iCs/>
                <w:highlight w:val="yellow"/>
              </w:rPr>
              <w:t>Net Interest Paid</w:t>
            </w:r>
            <w:r w:rsidRPr="00DD4CC2">
              <w:rPr>
                <w:rFonts w:cs="Arial"/>
                <w:iCs/>
                <w:highlight w:val="yellow"/>
              </w:rPr>
              <w:t>” = Interest paid – Interest received</w:t>
            </w:r>
          </w:p>
          <w:p w14:paraId="4D09D793" w14:textId="77777777" w:rsidR="00F67E9E" w:rsidRPr="00753B68" w:rsidRDefault="00F67E9E" w:rsidP="007F74AA">
            <w:pPr>
              <w:pStyle w:val="StdBodyText"/>
              <w:spacing w:before="0" w:after="0"/>
              <w:rPr>
                <w:rFonts w:cs="Arial"/>
                <w:highlight w:val="yellow"/>
              </w:rPr>
            </w:pPr>
            <w:r w:rsidRPr="00753B68">
              <w:rPr>
                <w:rFonts w:cs="Arial"/>
                <w:highlight w:val="yellow"/>
              </w:rPr>
              <w:t>Operating profit should be shown on the face of the Income Statement in a standard set of financial statements and, for the purposes of calculating this Financial Indicator, should include the entity</w:t>
            </w:r>
            <w:r>
              <w:rPr>
                <w:rFonts w:cs="Arial"/>
                <w:highlight w:val="yellow"/>
              </w:rPr>
              <w:t>’</w:t>
            </w:r>
            <w:r w:rsidRPr="00753B68">
              <w:rPr>
                <w:rFonts w:cs="Arial"/>
                <w:highlight w:val="yellow"/>
              </w:rPr>
              <w:t>s share of the results of any joint ventures or Associates.</w:t>
            </w:r>
          </w:p>
          <w:p w14:paraId="0DA00B4E" w14:textId="77777777" w:rsidR="00F67E9E" w:rsidRPr="00753B68" w:rsidRDefault="00F67E9E" w:rsidP="007F74AA">
            <w:pPr>
              <w:pStyle w:val="StdBodyText"/>
              <w:spacing w:before="0" w:after="0"/>
              <w:rPr>
                <w:rFonts w:cs="Arial"/>
                <w:highlight w:val="yellow"/>
              </w:rPr>
            </w:pPr>
            <w:r w:rsidRPr="00753B68">
              <w:rPr>
                <w:rFonts w:cs="Arial"/>
                <w:highlight w:val="yellow"/>
              </w:rPr>
              <w:t>Interest received and interest paid should be shown on the face of the Cash Flow statement.</w:t>
            </w:r>
          </w:p>
          <w:p w14:paraId="4FDE6E33" w14:textId="77777777" w:rsidR="00F67E9E" w:rsidRPr="00753B68" w:rsidRDefault="00F67E9E" w:rsidP="007F74AA">
            <w:pPr>
              <w:pStyle w:val="StdBodyText"/>
              <w:spacing w:before="0" w:after="0"/>
              <w:rPr>
                <w:rFonts w:cs="Arial"/>
                <w:highlight w:val="yellow"/>
              </w:rPr>
            </w:pPr>
            <w:r w:rsidRPr="00753B68">
              <w:rPr>
                <w:rFonts w:cs="Arial"/>
                <w:highlight w:val="yellow"/>
              </w:rPr>
              <w:t>Where Net interest paid is negative (i.e. the entity has net interest received), the relevant Financial Target Threshold should be treated as having been met.]</w:t>
            </w:r>
          </w:p>
        </w:tc>
      </w:tr>
      <w:tr w:rsidR="00F67E9E" w:rsidRPr="00753B68" w14:paraId="14E5E959" w14:textId="77777777" w:rsidTr="007F74AA">
        <w:tc>
          <w:tcPr>
            <w:tcW w:w="2268" w:type="dxa"/>
          </w:tcPr>
          <w:p w14:paraId="7D629190" w14:textId="77777777" w:rsidR="00F67E9E" w:rsidRPr="00753B68" w:rsidRDefault="00F67E9E" w:rsidP="007F74AA">
            <w:pPr>
              <w:pStyle w:val="StdBodyTextBold"/>
              <w:spacing w:before="0" w:after="0"/>
              <w:rPr>
                <w:rFonts w:cs="Arial"/>
              </w:rPr>
            </w:pPr>
            <w:r w:rsidRPr="00753B68">
              <w:rPr>
                <w:rFonts w:cs="Arial"/>
              </w:rPr>
              <w:t>5</w:t>
            </w:r>
          </w:p>
          <w:p w14:paraId="4977487C" w14:textId="77777777" w:rsidR="00F67E9E" w:rsidRPr="00753B68" w:rsidRDefault="00F67E9E" w:rsidP="007F74AA">
            <w:pPr>
              <w:pStyle w:val="StdBodyTextBold"/>
              <w:spacing w:before="0" w:after="0"/>
              <w:rPr>
                <w:rFonts w:cs="Arial"/>
              </w:rPr>
            </w:pPr>
            <w:r w:rsidRPr="00753B68">
              <w:rPr>
                <w:rFonts w:cs="Arial"/>
                <w:highlight w:val="yellow"/>
              </w:rPr>
              <w:t>[Acid Ratio]</w:t>
            </w:r>
          </w:p>
        </w:tc>
        <w:tc>
          <w:tcPr>
            <w:tcW w:w="7937" w:type="dxa"/>
          </w:tcPr>
          <w:p w14:paraId="00248A9A" w14:textId="77777777" w:rsidR="00F67E9E" w:rsidRPr="00753B68" w:rsidRDefault="00F67E9E" w:rsidP="007F74AA">
            <w:pPr>
              <w:pStyle w:val="StdBodyText"/>
              <w:spacing w:before="0" w:after="0"/>
              <w:rPr>
                <w:rFonts w:cs="Arial"/>
              </w:rPr>
            </w:pPr>
            <w:r w:rsidRPr="00753B68">
              <w:rPr>
                <w:rFonts w:cs="Arial"/>
                <w:highlight w:val="yellow"/>
              </w:rPr>
              <w:t>[All elements that are used to calculate the Acid Ratio are available on the face of the Balance Sheet in a standard set of financial statements.]</w:t>
            </w:r>
          </w:p>
        </w:tc>
      </w:tr>
      <w:tr w:rsidR="00F67E9E" w:rsidRPr="00753B68" w14:paraId="47100501" w14:textId="77777777" w:rsidTr="007F74AA">
        <w:tc>
          <w:tcPr>
            <w:tcW w:w="2268" w:type="dxa"/>
          </w:tcPr>
          <w:p w14:paraId="5335C609" w14:textId="77777777" w:rsidR="00F67E9E" w:rsidRPr="00753B68" w:rsidRDefault="00F67E9E" w:rsidP="007F74AA">
            <w:pPr>
              <w:pStyle w:val="StdBodyTextBold"/>
              <w:keepNext/>
              <w:keepLines/>
              <w:spacing w:before="0" w:after="0"/>
              <w:rPr>
                <w:rFonts w:cs="Arial"/>
              </w:rPr>
            </w:pPr>
            <w:r w:rsidRPr="00753B68">
              <w:rPr>
                <w:rFonts w:cs="Arial"/>
              </w:rPr>
              <w:t>6</w:t>
            </w:r>
          </w:p>
          <w:p w14:paraId="50FB3326" w14:textId="77777777" w:rsidR="00F67E9E" w:rsidRPr="00753B68" w:rsidRDefault="00F67E9E" w:rsidP="007F74AA">
            <w:pPr>
              <w:pStyle w:val="StdBodyTextBold"/>
              <w:spacing w:before="0" w:after="0"/>
              <w:rPr>
                <w:rFonts w:cs="Arial"/>
              </w:rPr>
            </w:pPr>
            <w:r w:rsidRPr="00753B68">
              <w:rPr>
                <w:rFonts w:cs="Arial"/>
                <w:highlight w:val="yellow"/>
              </w:rPr>
              <w:t>[Net Asset value]</w:t>
            </w:r>
          </w:p>
        </w:tc>
        <w:tc>
          <w:tcPr>
            <w:tcW w:w="7937" w:type="dxa"/>
          </w:tcPr>
          <w:p w14:paraId="4FE609BA" w14:textId="77777777" w:rsidR="00F67E9E" w:rsidRPr="00753B68" w:rsidRDefault="00F67E9E" w:rsidP="007F74AA">
            <w:pPr>
              <w:pStyle w:val="StdBodyText"/>
              <w:spacing w:before="0" w:after="0"/>
              <w:rPr>
                <w:rFonts w:cs="Arial"/>
                <w:highlight w:val="yellow"/>
              </w:rPr>
            </w:pPr>
            <w:r w:rsidRPr="00753B68">
              <w:rPr>
                <w:rFonts w:cs="Arial"/>
                <w:highlight w:val="yellow"/>
              </w:rPr>
              <w:t xml:space="preserve">[Net Assets are shown (but sometimes not labelled) on the face of the Balance Sheet of a standard set of financial statements. Net Assets are sometimes called net worth or </w:t>
            </w:r>
            <w:r>
              <w:rPr>
                <w:rFonts w:cs="Arial"/>
                <w:highlight w:val="yellow"/>
              </w:rPr>
              <w:t>‘</w:t>
            </w:r>
            <w:r w:rsidRPr="00753B68">
              <w:rPr>
                <w:rFonts w:cs="Arial"/>
                <w:highlight w:val="yellow"/>
              </w:rPr>
              <w:t>Shareholders</w:t>
            </w:r>
            <w:r>
              <w:rPr>
                <w:rFonts w:cs="Arial"/>
                <w:highlight w:val="yellow"/>
              </w:rPr>
              <w:t>’</w:t>
            </w:r>
            <w:r w:rsidRPr="00753B68">
              <w:rPr>
                <w:rFonts w:cs="Arial"/>
                <w:highlight w:val="yellow"/>
              </w:rPr>
              <w:t xml:space="preserve"> Funds</w:t>
            </w:r>
            <w:r>
              <w:rPr>
                <w:rFonts w:cs="Arial"/>
                <w:highlight w:val="yellow"/>
              </w:rPr>
              <w:t>’</w:t>
            </w:r>
            <w:r w:rsidRPr="00753B68">
              <w:rPr>
                <w:rFonts w:cs="Arial"/>
                <w:highlight w:val="yellow"/>
              </w:rPr>
              <w:t>. They represent the net assets available to the shareholders. Where an entity has a majority interest in another entity in which there are also minority or non-controlling interests (i.e. where it has a subsidiary partially owned by outside investors), Net Assets should be taken inclusive of minority or non-controlling interests (as if the entity owned 100% of such entity).]</w:t>
            </w:r>
          </w:p>
        </w:tc>
      </w:tr>
      <w:tr w:rsidR="00F67E9E" w:rsidRPr="00753B68" w14:paraId="586E0726" w14:textId="77777777" w:rsidTr="007F74AA">
        <w:tc>
          <w:tcPr>
            <w:tcW w:w="2268" w:type="dxa"/>
          </w:tcPr>
          <w:p w14:paraId="4C9CC86F" w14:textId="77777777" w:rsidR="00F67E9E" w:rsidRPr="00753B68" w:rsidRDefault="00F67E9E" w:rsidP="007F74AA">
            <w:pPr>
              <w:pStyle w:val="StdBodyTextBold"/>
              <w:spacing w:before="0" w:after="0"/>
              <w:rPr>
                <w:rFonts w:cs="Arial"/>
              </w:rPr>
            </w:pPr>
            <w:r w:rsidRPr="00753B68">
              <w:rPr>
                <w:rFonts w:cs="Arial"/>
              </w:rPr>
              <w:t>7</w:t>
            </w:r>
          </w:p>
          <w:p w14:paraId="35C238B2" w14:textId="77777777" w:rsidR="00F67E9E" w:rsidRPr="00753B68" w:rsidRDefault="00F67E9E" w:rsidP="007F74AA">
            <w:pPr>
              <w:pStyle w:val="StdBodyTextBold"/>
              <w:spacing w:before="0" w:after="0"/>
              <w:rPr>
                <w:rFonts w:cs="Arial"/>
              </w:rPr>
            </w:pPr>
            <w:r w:rsidRPr="00753B68">
              <w:rPr>
                <w:rFonts w:cs="Arial"/>
                <w:highlight w:val="yellow"/>
              </w:rPr>
              <w:t>[Group Exposure Ratio]</w:t>
            </w:r>
          </w:p>
        </w:tc>
        <w:tc>
          <w:tcPr>
            <w:tcW w:w="7937" w:type="dxa"/>
          </w:tcPr>
          <w:p w14:paraId="7705CD7E" w14:textId="77777777" w:rsidR="00F67E9E" w:rsidRPr="00DD4CC2" w:rsidRDefault="00F67E9E" w:rsidP="007F74AA">
            <w:pPr>
              <w:pStyle w:val="StdBodyText"/>
              <w:spacing w:before="0" w:after="0"/>
              <w:rPr>
                <w:rFonts w:cs="Arial"/>
                <w:iCs/>
                <w:highlight w:val="yellow"/>
              </w:rPr>
            </w:pPr>
            <w:r w:rsidRPr="00DD4CC2">
              <w:rPr>
                <w:rFonts w:cs="Arial"/>
                <w:iCs/>
                <w:highlight w:val="yellow"/>
              </w:rPr>
              <w:t>[“</w:t>
            </w:r>
            <w:r w:rsidRPr="00DD4CC2">
              <w:rPr>
                <w:rStyle w:val="StdBodyTextBoldChar"/>
                <w:rFonts w:cs="Arial"/>
                <w:iCs/>
                <w:highlight w:val="yellow"/>
              </w:rPr>
              <w:t>Group Exposure</w:t>
            </w:r>
            <w:r w:rsidRPr="00DD4CC2">
              <w:rPr>
                <w:rFonts w:cs="Arial"/>
                <w:iCs/>
                <w:highlight w:val="yellow"/>
              </w:rPr>
              <w:t>” = Balances owed by Group Undertakings + Contingent liabilities assumed in support of Group Undertakings</w:t>
            </w:r>
          </w:p>
          <w:p w14:paraId="34A949E5" w14:textId="77777777" w:rsidR="00F67E9E" w:rsidRPr="00DD4CC2" w:rsidRDefault="00F67E9E" w:rsidP="007F74AA">
            <w:pPr>
              <w:pStyle w:val="StdBodyText"/>
              <w:spacing w:before="0" w:after="0"/>
              <w:rPr>
                <w:rFonts w:cs="Arial"/>
                <w:iCs/>
                <w:highlight w:val="yellow"/>
              </w:rPr>
            </w:pPr>
            <w:r w:rsidRPr="00DD4CC2">
              <w:rPr>
                <w:rFonts w:cs="Arial"/>
                <w:iCs/>
                <w:highlight w:val="yellow"/>
              </w:rPr>
              <w:t>“</w:t>
            </w:r>
            <w:r w:rsidRPr="00DD4CC2">
              <w:rPr>
                <w:rStyle w:val="StdBodyTextBoldChar"/>
                <w:rFonts w:cs="Arial"/>
                <w:iCs/>
                <w:highlight w:val="yellow"/>
              </w:rPr>
              <w:t>Gross Assets</w:t>
            </w:r>
            <w:r w:rsidRPr="00DD4CC2">
              <w:rPr>
                <w:rFonts w:cs="Arial"/>
                <w:iCs/>
                <w:highlight w:val="yellow"/>
              </w:rPr>
              <w:t>” = Fixed Assets + Current Assets</w:t>
            </w:r>
          </w:p>
          <w:p w14:paraId="5D84980D" w14:textId="77777777" w:rsidR="00F67E9E" w:rsidRPr="00753B68" w:rsidRDefault="00F67E9E" w:rsidP="007F74AA">
            <w:pPr>
              <w:pStyle w:val="StdBodyText"/>
              <w:spacing w:before="0" w:after="0"/>
              <w:rPr>
                <w:rFonts w:cs="Arial"/>
                <w:highlight w:val="yellow"/>
              </w:rPr>
            </w:pPr>
            <w:r w:rsidRPr="00DD4CC2">
              <w:rPr>
                <w:rFonts w:cs="Arial"/>
                <w:b/>
                <w:bCs/>
                <w:iCs/>
                <w:highlight w:val="yellow"/>
              </w:rPr>
              <w:t>Group Exposure</w:t>
            </w:r>
            <w:r w:rsidRPr="00753B68">
              <w:rPr>
                <w:rFonts w:cs="Arial"/>
                <w:highlight w:val="yellow"/>
              </w:rPr>
              <w:t>:</w:t>
            </w:r>
            <w:r>
              <w:rPr>
                <w:rFonts w:cs="Arial"/>
                <w:highlight w:val="yellow"/>
              </w:rPr>
              <w:t xml:space="preserve"> </w:t>
            </w:r>
            <w:r w:rsidRPr="00753B68">
              <w:rPr>
                <w:rFonts w:cs="Arial"/>
                <w:highlight w:val="yellow"/>
              </w:rPr>
              <w:t>Balances owed by (i.e. receivable from) Group Undertakings are shown within Fixed assets or Current assets either on the face of the Balance Sheet or in the relevant notes to the financial statements. In many cases there may be no such balances, in particular where an entity is not a member of a group or is itself the ultimate holding company of the group.</w:t>
            </w:r>
          </w:p>
          <w:p w14:paraId="42CA1DF6" w14:textId="77777777" w:rsidR="00F67E9E" w:rsidRPr="00753B68" w:rsidRDefault="00F67E9E" w:rsidP="007F74AA">
            <w:pPr>
              <w:pStyle w:val="StdBodyText"/>
              <w:spacing w:before="0" w:after="0"/>
              <w:rPr>
                <w:rFonts w:cs="Arial"/>
                <w:highlight w:val="yellow"/>
              </w:rPr>
            </w:pPr>
            <w:r w:rsidRPr="00753B68">
              <w:rPr>
                <w:rFonts w:cs="Arial"/>
                <w:highlight w:val="yellow"/>
              </w:rPr>
              <w:t>Contingent liabilities assumed in support of Group Undertakings are shown in the Contingent Liabilities note in a standard set of financial statements. They include guarantees and security given in support of the borrowings of other group companies, often as part of group borrowing arrangements. Where the contingent liabilities are capped, the capped figure should be taken as their value. Where no cap or maximum is specified, the relevant Financial Target Threshold should automatically be regarded as not having been met.</w:t>
            </w:r>
          </w:p>
          <w:p w14:paraId="5EEC4E24" w14:textId="77777777" w:rsidR="00F67E9E" w:rsidRPr="00753B68" w:rsidRDefault="00F67E9E" w:rsidP="007F74AA">
            <w:pPr>
              <w:pStyle w:val="StdBodyText"/>
              <w:spacing w:before="0" w:after="0"/>
              <w:rPr>
                <w:rFonts w:cs="Arial"/>
                <w:highlight w:val="yellow"/>
              </w:rPr>
            </w:pPr>
            <w:r w:rsidRPr="00753B68">
              <w:rPr>
                <w:rFonts w:cs="Arial"/>
                <w:highlight w:val="yellow"/>
              </w:rPr>
              <w:t>In many cases an entity may not have assumed any contingent liabilities in support of Group Undertakings, in particular where an entity is not a member of a group or is itself the ultimate holding company of the group.</w:t>
            </w:r>
          </w:p>
          <w:p w14:paraId="2A7EAADF" w14:textId="77777777" w:rsidR="00F67E9E" w:rsidRPr="00753B68" w:rsidRDefault="00F67E9E" w:rsidP="007F74AA">
            <w:pPr>
              <w:pStyle w:val="StdBodyText"/>
              <w:spacing w:before="0" w:after="0"/>
              <w:rPr>
                <w:rFonts w:cs="Arial"/>
                <w:highlight w:val="yellow"/>
              </w:rPr>
            </w:pPr>
            <w:r w:rsidRPr="00DD4CC2">
              <w:rPr>
                <w:rFonts w:cs="Arial"/>
                <w:b/>
                <w:bCs/>
                <w:iCs/>
                <w:highlight w:val="yellow"/>
              </w:rPr>
              <w:t>Gross Assets</w:t>
            </w:r>
            <w:r w:rsidRPr="00753B68">
              <w:rPr>
                <w:rFonts w:cs="Arial"/>
                <w:highlight w:val="yellow"/>
              </w:rPr>
              <w:t>: Both Fixed assets and Current assets are shown on the face of the Balance Sheet]</w:t>
            </w:r>
          </w:p>
        </w:tc>
      </w:tr>
      <w:tr w:rsidR="00F67E9E" w:rsidRPr="00753B68" w14:paraId="69ACFA26" w14:textId="77777777" w:rsidTr="007F74AA">
        <w:tc>
          <w:tcPr>
            <w:tcW w:w="2268" w:type="dxa"/>
          </w:tcPr>
          <w:p w14:paraId="10152A5A" w14:textId="77777777" w:rsidR="00F67E9E" w:rsidRPr="00753B68" w:rsidRDefault="00F67E9E" w:rsidP="007F74AA">
            <w:pPr>
              <w:pStyle w:val="StdBodyTextBold"/>
              <w:spacing w:before="0" w:after="0"/>
              <w:rPr>
                <w:rFonts w:cs="Arial"/>
              </w:rPr>
            </w:pPr>
            <w:r w:rsidRPr="00753B68">
              <w:rPr>
                <w:rFonts w:cs="Arial"/>
              </w:rPr>
              <w:t>8</w:t>
            </w:r>
          </w:p>
          <w:p w14:paraId="1706879A" w14:textId="77777777" w:rsidR="00F67E9E" w:rsidRPr="00753B68" w:rsidRDefault="00F67E9E" w:rsidP="007F74AA">
            <w:pPr>
              <w:pStyle w:val="StdBodyTextBold"/>
              <w:spacing w:before="0" w:after="0"/>
              <w:rPr>
                <w:rFonts w:cs="Arial"/>
              </w:rPr>
            </w:pPr>
            <w:r w:rsidRPr="00B73DD6">
              <w:rPr>
                <w:rFonts w:cs="Arial"/>
                <w:highlight w:val="yellow"/>
              </w:rPr>
              <w:t>[insert</w:t>
            </w:r>
            <w:r w:rsidRPr="00753B68">
              <w:rPr>
                <w:rFonts w:cs="Arial"/>
                <w:highlight w:val="yellow"/>
              </w:rPr>
              <w:t xml:space="preserve"> additional Financial Indicators as necessary]</w:t>
            </w:r>
          </w:p>
        </w:tc>
        <w:tc>
          <w:tcPr>
            <w:tcW w:w="7937" w:type="dxa"/>
          </w:tcPr>
          <w:p w14:paraId="708CEEAB" w14:textId="77777777" w:rsidR="00F67E9E" w:rsidRPr="008758E7" w:rsidRDefault="00F67E9E" w:rsidP="007F74AA">
            <w:pPr>
              <w:pStyle w:val="StdBodyText"/>
              <w:spacing w:before="0" w:after="0"/>
              <w:rPr>
                <w:rFonts w:cs="Arial"/>
                <w:iCs/>
                <w:highlight w:val="yellow"/>
              </w:rPr>
            </w:pPr>
            <w:r w:rsidRPr="008758E7">
              <w:rPr>
                <w:rFonts w:cs="Arial"/>
                <w:iCs/>
                <w:highlight w:val="yellow"/>
              </w:rPr>
              <w:t>[Etc..]</w:t>
            </w:r>
          </w:p>
        </w:tc>
      </w:tr>
    </w:tbl>
    <w:p w14:paraId="2C057087" w14:textId="77777777" w:rsidR="00F67E9E" w:rsidRDefault="00F67E9E" w:rsidP="00F67E9E"/>
    <w:p w14:paraId="67BAB405" w14:textId="77777777" w:rsidR="00F67E9E" w:rsidRDefault="00F67E9E" w:rsidP="00F67E9E">
      <w:pPr>
        <w:pStyle w:val="Heading2"/>
        <w:pageBreakBefore/>
      </w:pPr>
      <w:bookmarkStart w:id="1475" w:name="_Ref_ContractCompanion_9kb9Ur6B8"/>
      <w:bookmarkStart w:id="1476" w:name="_Toc141711957"/>
      <w:r w:rsidRPr="00D00D9A">
        <w:t xml:space="preserve">Annex </w:t>
      </w:r>
      <w:bookmarkStart w:id="1477" w:name="ANNEX4_SCHEDULE18"/>
      <w:r w:rsidRPr="00D00D9A">
        <w:t>4</w:t>
      </w:r>
      <w:bookmarkEnd w:id="1477"/>
      <w:r w:rsidRPr="00D00D9A">
        <w:t>: Board Confirmation</w:t>
      </w:r>
      <w:bookmarkEnd w:id="1475"/>
      <w:bookmarkEnd w:id="1476"/>
    </w:p>
    <w:p w14:paraId="009920E0" w14:textId="77777777" w:rsidR="00F67E9E" w:rsidRPr="00D00D9A" w:rsidRDefault="00F67E9E" w:rsidP="00F67E9E">
      <w:pPr>
        <w:pStyle w:val="StdBodyTextBold"/>
        <w:rPr>
          <w:rFonts w:cs="Arial"/>
        </w:rPr>
      </w:pPr>
      <w:r w:rsidRPr="00D00D9A">
        <w:rPr>
          <w:rFonts w:cs="Arial"/>
        </w:rPr>
        <w:t>Supplier Name:</w:t>
      </w:r>
    </w:p>
    <w:p w14:paraId="0D8EEAEC" w14:textId="77777777" w:rsidR="00F67E9E" w:rsidRPr="00D00D9A" w:rsidRDefault="00F67E9E" w:rsidP="00F67E9E">
      <w:pPr>
        <w:pStyle w:val="StdBodyTextBold"/>
        <w:rPr>
          <w:rFonts w:cs="Arial"/>
        </w:rPr>
      </w:pPr>
      <w:r w:rsidRPr="00D00D9A">
        <w:rPr>
          <w:rFonts w:cs="Arial"/>
        </w:rPr>
        <w:t>Contract Reference Number:</w:t>
      </w:r>
    </w:p>
    <w:p w14:paraId="3ED72665" w14:textId="4A1544BB" w:rsidR="00F67E9E" w:rsidRPr="00D00D9A" w:rsidRDefault="00F67E9E" w:rsidP="00F67E9E">
      <w:pPr>
        <w:pStyle w:val="StdBodyText1"/>
        <w:ind w:left="360"/>
        <w:rPr>
          <w:rFonts w:cs="Arial"/>
        </w:rPr>
      </w:pPr>
      <w:r w:rsidRPr="00D00D9A">
        <w:rPr>
          <w:rFonts w:cs="Arial"/>
        </w:rPr>
        <w:t xml:space="preserve">The Board of Directors acknowledge the requirements set out at </w:t>
      </w:r>
      <w:bookmarkStart w:id="1478" w:name="_9kR3WTr2CC68C1knoewrqyI"/>
      <w:r w:rsidRPr="00D00D9A">
        <w:rPr>
          <w:rFonts w:cs="Arial"/>
        </w:rPr>
        <w:t xml:space="preserve">paragraph </w:t>
      </w:r>
      <w:r w:rsidRPr="00D00D9A">
        <w:rPr>
          <w:rFonts w:cs="Arial"/>
        </w:rPr>
        <w:fldChar w:fldCharType="begin"/>
      </w:r>
      <w:r w:rsidRPr="00D00D9A">
        <w:rPr>
          <w:rFonts w:cs="Arial"/>
        </w:rPr>
        <w:instrText xml:space="preserve"> REF _Ref_ContractCompanion_9kb9Ur246 \w \n \h \t \* MERGEFORMAT </w:instrText>
      </w:r>
      <w:r w:rsidRPr="00D00D9A">
        <w:rPr>
          <w:rFonts w:cs="Arial"/>
        </w:rPr>
      </w:r>
      <w:r w:rsidRPr="00D00D9A">
        <w:rPr>
          <w:rFonts w:cs="Arial"/>
        </w:rPr>
        <w:fldChar w:fldCharType="separate"/>
      </w:r>
      <w:r w:rsidR="00302D39">
        <w:rPr>
          <w:rFonts w:cs="Arial"/>
        </w:rPr>
        <w:t>8</w:t>
      </w:r>
      <w:r w:rsidRPr="00D00D9A">
        <w:rPr>
          <w:rFonts w:cs="Arial"/>
        </w:rPr>
        <w:fldChar w:fldCharType="end"/>
      </w:r>
      <w:bookmarkEnd w:id="1478"/>
      <w:r w:rsidRPr="00D00D9A">
        <w:rPr>
          <w:rFonts w:cs="Arial"/>
        </w:rPr>
        <w:t xml:space="preserve"> of </w:t>
      </w:r>
      <w:r>
        <w:rPr>
          <w:rFonts w:cs="Arial"/>
        </w:rPr>
        <w:fldChar w:fldCharType="begin"/>
      </w:r>
      <w:r>
        <w:rPr>
          <w:rFonts w:cs="Arial"/>
        </w:rPr>
        <w:instrText xml:space="preserve"> REF Schedule18 \h </w:instrText>
      </w:r>
      <w:r>
        <w:rPr>
          <w:rFonts w:cs="Arial"/>
        </w:rPr>
      </w:r>
      <w:r>
        <w:rPr>
          <w:rFonts w:cs="Arial"/>
        </w:rPr>
        <w:fldChar w:fldCharType="separate"/>
      </w:r>
      <w:r w:rsidR="00302D39" w:rsidRPr="005D0525">
        <w:t>Schedule</w:t>
      </w:r>
      <w:r w:rsidR="00302D39">
        <w:t> </w:t>
      </w:r>
      <w:r w:rsidR="00302D39" w:rsidRPr="005D0525">
        <w:t>18</w:t>
      </w:r>
      <w:r>
        <w:rPr>
          <w:rFonts w:cs="Arial"/>
        </w:rPr>
        <w:fldChar w:fldCharType="end"/>
      </w:r>
      <w:r>
        <w:rPr>
          <w:rFonts w:cs="Arial"/>
        </w:rPr>
        <w:t xml:space="preserve"> (</w:t>
      </w:r>
      <w:r w:rsidRPr="002F30DB">
        <w:rPr>
          <w:rFonts w:cs="Arial"/>
          <w:i/>
          <w:iCs/>
        </w:rPr>
        <w:fldChar w:fldCharType="begin"/>
      </w:r>
      <w:r w:rsidRPr="002F30DB">
        <w:rPr>
          <w:rFonts w:cs="Arial"/>
          <w:i/>
          <w:iCs/>
        </w:rPr>
        <w:instrText xml:space="preserve"> REF Schedule18Heading \h </w:instrText>
      </w:r>
      <w:r>
        <w:rPr>
          <w:rFonts w:cs="Arial"/>
          <w:i/>
          <w:iCs/>
        </w:rPr>
        <w:instrText xml:space="preserve"> \* MERGEFORMAT </w:instrText>
      </w:r>
      <w:r w:rsidRPr="002F30DB">
        <w:rPr>
          <w:rFonts w:cs="Arial"/>
          <w:i/>
          <w:iCs/>
        </w:rPr>
      </w:r>
      <w:r w:rsidRPr="002F30DB">
        <w:rPr>
          <w:rFonts w:cs="Arial"/>
          <w:i/>
          <w:iCs/>
        </w:rPr>
        <w:fldChar w:fldCharType="separate"/>
      </w:r>
      <w:r w:rsidR="00302D39" w:rsidRPr="00302D39">
        <w:rPr>
          <w:i/>
          <w:iCs/>
        </w:rPr>
        <w:t>Financial Distress</w:t>
      </w:r>
      <w:r w:rsidRPr="002F30DB">
        <w:rPr>
          <w:rFonts w:cs="Arial"/>
          <w:i/>
          <w:iCs/>
        </w:rPr>
        <w:fldChar w:fldCharType="end"/>
      </w:r>
      <w:r>
        <w:rPr>
          <w:rFonts w:cs="Arial"/>
        </w:rPr>
        <w:t>)</w:t>
      </w:r>
      <w:r w:rsidRPr="00D00D9A">
        <w:rPr>
          <w:rFonts w:cs="Arial"/>
        </w:rPr>
        <w:t xml:space="preserve"> and confirm that the Supplier has exercised due care and diligence and made reasonable enquiry of all relevant Supplier Personnel and other persons as is reasonably necessary to enable the Board to prepare this statement.</w:t>
      </w:r>
    </w:p>
    <w:p w14:paraId="5EE8BAAE" w14:textId="77777777" w:rsidR="00F67E9E" w:rsidRPr="00D00D9A" w:rsidRDefault="00F67E9E" w:rsidP="00F67E9E">
      <w:pPr>
        <w:pStyle w:val="StdBodyText1"/>
        <w:ind w:left="360"/>
        <w:rPr>
          <w:rFonts w:cs="Arial"/>
        </w:rPr>
      </w:pPr>
      <w:r w:rsidRPr="00D00D9A">
        <w:rPr>
          <w:rFonts w:cs="Arial"/>
        </w:rPr>
        <w:t>The Board of Directors confirms, to the best of its knowledge and belief, that as at the date of this Board Confirmation it is not aware of and has no knowledge:</w:t>
      </w:r>
    </w:p>
    <w:p w14:paraId="214EA065" w14:textId="77777777" w:rsidR="00F67E9E" w:rsidRPr="00AC4462" w:rsidRDefault="00F67E9E" w:rsidP="00F67E9E">
      <w:pPr>
        <w:pStyle w:val="AppendixText4"/>
        <w:numPr>
          <w:ilvl w:val="3"/>
          <w:numId w:val="63"/>
        </w:numPr>
        <w:tabs>
          <w:tab w:val="clear" w:pos="2520"/>
          <w:tab w:val="num" w:pos="1440"/>
        </w:tabs>
        <w:ind w:left="1080"/>
        <w:rPr>
          <w:rFonts w:cs="Arial"/>
        </w:rPr>
      </w:pPr>
      <w:r w:rsidRPr="00AC4462">
        <w:rPr>
          <w:rFonts w:cs="Arial"/>
        </w:rPr>
        <w:t>that a Financial Distress Event has occurred since the later of the previous Board Confirmation and the Effective Date or is subsisting; or</w:t>
      </w:r>
    </w:p>
    <w:p w14:paraId="606C0DD8" w14:textId="77777777" w:rsidR="00F67E9E" w:rsidRPr="00D00D9A" w:rsidRDefault="00F67E9E" w:rsidP="00F67E9E">
      <w:pPr>
        <w:pStyle w:val="AppendixText4"/>
        <w:tabs>
          <w:tab w:val="clear" w:pos="2520"/>
          <w:tab w:val="num" w:pos="1440"/>
        </w:tabs>
        <w:ind w:left="1080"/>
        <w:rPr>
          <w:rFonts w:cs="Arial"/>
        </w:rPr>
      </w:pPr>
      <w:r w:rsidRPr="00D00D9A">
        <w:rPr>
          <w:rFonts w:cs="Arial"/>
        </w:rPr>
        <w:t>of any matters which have occurred or are subsisting that could reasonably be expected to cause a Financial Distress Event</w:t>
      </w:r>
    </w:p>
    <w:p w14:paraId="2C5BF86D" w14:textId="77777777" w:rsidR="00F67E9E" w:rsidRPr="00D00D9A" w:rsidRDefault="00F67E9E" w:rsidP="00F67E9E">
      <w:pPr>
        <w:pStyle w:val="StdBodyText"/>
        <w:rPr>
          <w:rFonts w:cs="Arial"/>
        </w:rPr>
      </w:pPr>
    </w:p>
    <w:p w14:paraId="5F564915" w14:textId="77777777" w:rsidR="00F67E9E" w:rsidRPr="00D00D9A" w:rsidRDefault="00F67E9E" w:rsidP="00F67E9E">
      <w:pPr>
        <w:pStyle w:val="StdBodyText1"/>
        <w:ind w:left="360"/>
        <w:rPr>
          <w:rFonts w:cs="Arial"/>
        </w:rPr>
      </w:pPr>
      <w:r w:rsidRPr="00D00D9A">
        <w:rPr>
          <w:rFonts w:cs="Arial"/>
        </w:rPr>
        <w:t>On behalf of the Board of Directors:</w:t>
      </w:r>
    </w:p>
    <w:p w14:paraId="0C3EA285" w14:textId="77777777" w:rsidR="00F67E9E" w:rsidRPr="00D00D9A" w:rsidRDefault="00F67E9E" w:rsidP="00F67E9E">
      <w:pPr>
        <w:pStyle w:val="StdBodyText"/>
        <w:rPr>
          <w:rFonts w:cs="Arial"/>
        </w:rPr>
      </w:pPr>
    </w:p>
    <w:p w14:paraId="59ED6D68" w14:textId="77777777" w:rsidR="00F67E9E" w:rsidRPr="00D00D9A" w:rsidRDefault="00F67E9E" w:rsidP="00F67E9E">
      <w:pPr>
        <w:pStyle w:val="StdBodyText4"/>
        <w:ind w:left="1443"/>
        <w:rPr>
          <w:rFonts w:cs="Arial"/>
        </w:rPr>
      </w:pPr>
      <w:r w:rsidRPr="00D00D9A">
        <w:rPr>
          <w:rFonts w:cs="Arial"/>
        </w:rPr>
        <w:t>Chair</w:t>
      </w:r>
      <w:r w:rsidRPr="00D00D9A">
        <w:rPr>
          <w:rFonts w:cs="Arial"/>
        </w:rPr>
        <w:tab/>
      </w:r>
      <w:r w:rsidRPr="00D00D9A">
        <w:rPr>
          <w:rFonts w:cs="Arial"/>
        </w:rPr>
        <w:tab/>
        <w:t>…………………………………</w:t>
      </w:r>
    </w:p>
    <w:p w14:paraId="048B0541" w14:textId="77777777" w:rsidR="00F67E9E" w:rsidRPr="00D00D9A" w:rsidRDefault="00F67E9E" w:rsidP="00F67E9E">
      <w:pPr>
        <w:pStyle w:val="StdBodyText4"/>
        <w:ind w:left="1443"/>
        <w:rPr>
          <w:rFonts w:cs="Arial"/>
        </w:rPr>
      </w:pPr>
      <w:r w:rsidRPr="00D00D9A">
        <w:rPr>
          <w:rFonts w:cs="Arial"/>
        </w:rPr>
        <w:t>Signed</w:t>
      </w:r>
      <w:r w:rsidRPr="00D00D9A">
        <w:rPr>
          <w:rFonts w:cs="Arial"/>
        </w:rPr>
        <w:tab/>
        <w:t>…………………………………</w:t>
      </w:r>
    </w:p>
    <w:p w14:paraId="64553340" w14:textId="77777777" w:rsidR="00F67E9E" w:rsidRPr="00D00D9A" w:rsidRDefault="00F67E9E" w:rsidP="00F67E9E">
      <w:pPr>
        <w:pStyle w:val="StdBodyText4"/>
        <w:ind w:left="1443"/>
        <w:rPr>
          <w:rFonts w:cs="Arial"/>
        </w:rPr>
      </w:pPr>
      <w:r w:rsidRPr="00D00D9A">
        <w:rPr>
          <w:rFonts w:cs="Arial"/>
        </w:rPr>
        <w:t>Date</w:t>
      </w:r>
      <w:r w:rsidRPr="00D00D9A">
        <w:rPr>
          <w:rFonts w:cs="Arial"/>
        </w:rPr>
        <w:tab/>
      </w:r>
      <w:r w:rsidRPr="00D00D9A">
        <w:rPr>
          <w:rFonts w:cs="Arial"/>
        </w:rPr>
        <w:tab/>
        <w:t>…………………………………</w:t>
      </w:r>
    </w:p>
    <w:p w14:paraId="339C17A3" w14:textId="77777777" w:rsidR="00F67E9E" w:rsidRPr="00D00D9A" w:rsidRDefault="00F67E9E" w:rsidP="00F67E9E">
      <w:pPr>
        <w:pStyle w:val="StdBodyText"/>
        <w:rPr>
          <w:rFonts w:cs="Arial"/>
        </w:rPr>
      </w:pPr>
    </w:p>
    <w:p w14:paraId="06438596" w14:textId="77777777" w:rsidR="00F67E9E" w:rsidRPr="00D00D9A" w:rsidRDefault="00F67E9E" w:rsidP="00F67E9E">
      <w:pPr>
        <w:pStyle w:val="StdBodyText4"/>
        <w:ind w:left="1443"/>
        <w:rPr>
          <w:rFonts w:cs="Arial"/>
        </w:rPr>
      </w:pPr>
      <w:r w:rsidRPr="00D00D9A">
        <w:rPr>
          <w:rFonts w:cs="Arial"/>
        </w:rPr>
        <w:t>Director</w:t>
      </w:r>
      <w:r w:rsidRPr="00D00D9A">
        <w:rPr>
          <w:rFonts w:cs="Arial"/>
        </w:rPr>
        <w:tab/>
        <w:t>…………………………………</w:t>
      </w:r>
    </w:p>
    <w:p w14:paraId="676875E6" w14:textId="77777777" w:rsidR="00F67E9E" w:rsidRPr="00D00D9A" w:rsidRDefault="00F67E9E" w:rsidP="00F67E9E">
      <w:pPr>
        <w:pStyle w:val="StdBodyText4"/>
        <w:ind w:left="1443"/>
        <w:rPr>
          <w:rFonts w:cs="Arial"/>
        </w:rPr>
      </w:pPr>
      <w:r w:rsidRPr="00D00D9A">
        <w:rPr>
          <w:rFonts w:cs="Arial"/>
        </w:rPr>
        <w:t>Signed</w:t>
      </w:r>
      <w:r w:rsidRPr="00D00D9A">
        <w:rPr>
          <w:rFonts w:cs="Arial"/>
        </w:rPr>
        <w:tab/>
        <w:t>…………………………………</w:t>
      </w:r>
    </w:p>
    <w:p w14:paraId="2D7FF16A" w14:textId="77777777" w:rsidR="00F67E9E" w:rsidRPr="00D00D9A" w:rsidRDefault="00F67E9E" w:rsidP="00F67E9E">
      <w:pPr>
        <w:pStyle w:val="StdBodyText4"/>
        <w:ind w:left="1443"/>
        <w:rPr>
          <w:rFonts w:cs="Arial"/>
        </w:rPr>
      </w:pPr>
      <w:r w:rsidRPr="00D00D9A">
        <w:rPr>
          <w:rFonts w:cs="Arial"/>
        </w:rPr>
        <w:t>Date</w:t>
      </w:r>
      <w:r w:rsidRPr="00D00D9A">
        <w:rPr>
          <w:rFonts w:cs="Arial"/>
        </w:rPr>
        <w:tab/>
      </w:r>
      <w:r w:rsidRPr="00D00D9A">
        <w:rPr>
          <w:rFonts w:cs="Arial"/>
        </w:rPr>
        <w:tab/>
        <w:t>…………………………………</w:t>
      </w:r>
    </w:p>
    <w:p w14:paraId="205D48D3" w14:textId="77777777" w:rsidR="00F67E9E" w:rsidRDefault="00F67E9E" w:rsidP="00F67E9E"/>
    <w:p w14:paraId="35BF8DE9" w14:textId="77777777" w:rsidR="00F67E9E" w:rsidRDefault="00F67E9E" w:rsidP="00F67E9E"/>
    <w:p w14:paraId="10B3F385" w14:textId="77777777" w:rsidR="00F67E9E" w:rsidRPr="00D00D9A" w:rsidRDefault="00F67E9E" w:rsidP="00F67E9E">
      <w:pPr>
        <w:sectPr w:rsidR="00F67E9E" w:rsidRPr="00D00D9A" w:rsidSect="00240D26">
          <w:headerReference w:type="default" r:id="rId100"/>
          <w:footerReference w:type="default" r:id="rId101"/>
          <w:headerReference w:type="first" r:id="rId102"/>
          <w:footerReference w:type="first" r:id="rId103"/>
          <w:pgSz w:w="11900" w:h="16840"/>
          <w:pgMar w:top="1701" w:right="851" w:bottom="1134" w:left="851" w:header="567" w:footer="567" w:gutter="0"/>
          <w:cols w:space="720"/>
          <w:docGrid w:linePitch="360"/>
        </w:sectPr>
      </w:pPr>
    </w:p>
    <w:p w14:paraId="629200EB" w14:textId="77777777" w:rsidR="00F67E9E" w:rsidRPr="00EE4F10" w:rsidRDefault="00F67E9E" w:rsidP="00F67E9E">
      <w:pPr>
        <w:pStyle w:val="Dividername"/>
      </w:pPr>
      <w:r w:rsidRPr="00EE4F10">
        <w:t>Schedule 19</w:t>
      </w:r>
    </w:p>
    <w:p w14:paraId="163A1BC7" w14:textId="77777777" w:rsidR="00F67E9E" w:rsidRPr="00EE4F10" w:rsidRDefault="00F67E9E" w:rsidP="00F67E9E">
      <w:pPr>
        <w:pStyle w:val="Dividername"/>
      </w:pPr>
      <w:r w:rsidRPr="00EE4F10">
        <w:t xml:space="preserve">Financial Reports </w:t>
      </w:r>
      <w:r>
        <w:t>a</w:t>
      </w:r>
      <w:r w:rsidRPr="00EE4F10">
        <w:t>nd Audit Rights</w:t>
      </w:r>
    </w:p>
    <w:p w14:paraId="4E48640E" w14:textId="77777777" w:rsidR="00F67E9E" w:rsidRDefault="00F67E9E" w:rsidP="00F67E9E"/>
    <w:p w14:paraId="4A3340DB" w14:textId="77777777" w:rsidR="00F67E9E" w:rsidRPr="0065054C" w:rsidRDefault="00F67E9E" w:rsidP="00F67E9E">
      <w:r w:rsidRPr="0065054C">
        <w:br w:type="page"/>
      </w:r>
    </w:p>
    <w:p w14:paraId="2B4BEE3F" w14:textId="77777777" w:rsidR="00F67E9E" w:rsidRPr="005D0525" w:rsidRDefault="00F67E9E" w:rsidP="00F67E9E">
      <w:pPr>
        <w:pStyle w:val="Heading1"/>
      </w:pPr>
      <w:bookmarkStart w:id="1479" w:name="Schedule19"/>
      <w:bookmarkStart w:id="1480" w:name="_Ref92200001"/>
      <w:bookmarkStart w:id="1481" w:name="_Toc141711958"/>
      <w:r w:rsidRPr="005D0525">
        <w:t>Schedule</w:t>
      </w:r>
      <w:r>
        <w:t> </w:t>
      </w:r>
      <w:r w:rsidRPr="005D0525">
        <w:t>19</w:t>
      </w:r>
      <w:bookmarkEnd w:id="1479"/>
      <w:r>
        <w:t xml:space="preserve">: </w:t>
      </w:r>
      <w:bookmarkStart w:id="1482" w:name="Schedule19Heading"/>
      <w:r w:rsidRPr="00DD4CC2">
        <w:t>Financial Reports and Audit Rights</w:t>
      </w:r>
      <w:bookmarkEnd w:id="1480"/>
      <w:bookmarkEnd w:id="1481"/>
      <w:bookmarkEnd w:id="1482"/>
    </w:p>
    <w:p w14:paraId="1AFFB4D1" w14:textId="77777777" w:rsidR="00F67E9E" w:rsidRPr="00D00D9A" w:rsidRDefault="00F67E9E" w:rsidP="00F67E9E">
      <w:pPr>
        <w:pStyle w:val="Numbered1"/>
        <w:numPr>
          <w:ilvl w:val="0"/>
          <w:numId w:val="179"/>
        </w:numPr>
        <w:ind w:left="360"/>
      </w:pPr>
      <w:r w:rsidRPr="00D00D9A">
        <w:t>Definitions</w:t>
      </w:r>
    </w:p>
    <w:p w14:paraId="5EC865CE" w14:textId="77777777" w:rsidR="00F67E9E" w:rsidRPr="00D00D9A" w:rsidRDefault="00F67E9E" w:rsidP="00F67E9E">
      <w:pPr>
        <w:pStyle w:val="Numbered11"/>
        <w:ind w:left="360"/>
      </w:pPr>
      <w:bookmarkStart w:id="1483" w:name="_Ref45003832"/>
      <w:r w:rsidRPr="00D00D9A">
        <w:t>In this Schedule, the following definitions shall apply:</w:t>
      </w:r>
      <w:bookmarkEnd w:id="1483"/>
    </w:p>
    <w:tbl>
      <w:tblPr>
        <w:tblStyle w:val="MSAdefinitions"/>
        <w:tblW w:w="9638" w:type="dxa"/>
        <w:tblLook w:val="04A0" w:firstRow="1" w:lastRow="0" w:firstColumn="1" w:lastColumn="0" w:noHBand="0" w:noVBand="1"/>
      </w:tblPr>
      <w:tblGrid>
        <w:gridCol w:w="2835"/>
        <w:gridCol w:w="6803"/>
      </w:tblGrid>
      <w:tr w:rsidR="00F67E9E" w:rsidRPr="00D00D9A" w14:paraId="5805B8E1" w14:textId="77777777" w:rsidTr="007F74AA">
        <w:tc>
          <w:tcPr>
            <w:tcW w:w="2835" w:type="dxa"/>
          </w:tcPr>
          <w:p w14:paraId="48F66C4C" w14:textId="77777777" w:rsidR="00F67E9E" w:rsidRPr="00D00D9A" w:rsidRDefault="00F67E9E" w:rsidP="007F74AA">
            <w:pPr>
              <w:pStyle w:val="StdBodyTextBold"/>
              <w:rPr>
                <w:rFonts w:cs="Arial"/>
              </w:rPr>
            </w:pPr>
            <w:r>
              <w:rPr>
                <w:rFonts w:cs="Arial"/>
              </w:rPr>
              <w:t>“</w:t>
            </w:r>
            <w:r w:rsidRPr="00D00D9A">
              <w:rPr>
                <w:rFonts w:cs="Arial"/>
              </w:rPr>
              <w:t>Annual Contract Report</w:t>
            </w:r>
            <w:r>
              <w:rPr>
                <w:rFonts w:cs="Arial"/>
              </w:rPr>
              <w:t>”</w:t>
            </w:r>
          </w:p>
        </w:tc>
        <w:tc>
          <w:tcPr>
            <w:tcW w:w="6803" w:type="dxa"/>
          </w:tcPr>
          <w:p w14:paraId="30A57EFF" w14:textId="7AE2373D" w:rsidR="00F67E9E" w:rsidRPr="00D00D9A" w:rsidRDefault="00F67E9E" w:rsidP="007F74AA">
            <w:pPr>
              <w:pStyle w:val="StdBodyText"/>
              <w:rPr>
                <w:rFonts w:cs="Arial"/>
              </w:rPr>
            </w:pPr>
            <w:r w:rsidRPr="00D00D9A">
              <w:rPr>
                <w:rFonts w:cs="Arial"/>
              </w:rPr>
              <w:t xml:space="preserve">the annual contract report to be provided by the Supplier to the Authority pursuant to Paragraph </w:t>
            </w:r>
            <w:r w:rsidRPr="00D00D9A">
              <w:rPr>
                <w:rFonts w:cs="Arial"/>
              </w:rPr>
              <w:fldChar w:fldCharType="begin"/>
            </w:r>
            <w:r w:rsidRPr="00D00D9A">
              <w:rPr>
                <w:rFonts w:cs="Arial"/>
              </w:rPr>
              <w:instrText xml:space="preserve"> REF _Ref_ContractCompanion_9kb9Ur249 \w \n \h \t \* MERGEFORMAT </w:instrText>
            </w:r>
            <w:r w:rsidRPr="00D00D9A">
              <w:rPr>
                <w:rFonts w:cs="Arial"/>
              </w:rPr>
            </w:r>
            <w:r w:rsidRPr="00D00D9A">
              <w:rPr>
                <w:rFonts w:cs="Arial"/>
              </w:rPr>
              <w:fldChar w:fldCharType="separate"/>
            </w:r>
            <w:r w:rsidR="00302D39">
              <w:rPr>
                <w:rFonts w:cs="Arial"/>
              </w:rPr>
              <w:t>1</w:t>
            </w:r>
            <w:r w:rsidRPr="00D00D9A">
              <w:rPr>
                <w:rFonts w:cs="Arial"/>
              </w:rPr>
              <w:fldChar w:fldCharType="end"/>
            </w:r>
            <w:r w:rsidRPr="00D00D9A">
              <w:rPr>
                <w:rFonts w:cs="Arial"/>
              </w:rPr>
              <w:t xml:space="preserve"> of </w:t>
            </w:r>
            <w:r w:rsidRPr="00D00D9A">
              <w:rPr>
                <w:rFonts w:cs="Arial"/>
              </w:rPr>
              <w:fldChar w:fldCharType="begin"/>
            </w:r>
            <w:r w:rsidRPr="00D00D9A">
              <w:rPr>
                <w:rFonts w:cs="Arial"/>
              </w:rPr>
              <w:instrText xml:space="preserve"> REF Sch19PartB \h  \* MERGEFORMAT </w:instrText>
            </w:r>
            <w:r w:rsidRPr="00D00D9A">
              <w:rPr>
                <w:rFonts w:cs="Arial"/>
              </w:rPr>
            </w:r>
            <w:r w:rsidRPr="00D00D9A">
              <w:rPr>
                <w:rFonts w:cs="Arial"/>
              </w:rPr>
              <w:fldChar w:fldCharType="separate"/>
            </w:r>
            <w:r w:rsidR="00302D39" w:rsidRPr="00302D39">
              <w:rPr>
                <w:rFonts w:cs="Arial"/>
              </w:rPr>
              <w:t>Part B</w:t>
            </w:r>
            <w:r w:rsidRPr="00D00D9A">
              <w:rPr>
                <w:rFonts w:cs="Arial"/>
              </w:rPr>
              <w:fldChar w:fldCharType="end"/>
            </w:r>
            <w:r w:rsidRPr="00D00D9A">
              <w:rPr>
                <w:rFonts w:cs="Arial"/>
              </w:rPr>
              <w:t>;</w:t>
            </w:r>
          </w:p>
        </w:tc>
      </w:tr>
      <w:tr w:rsidR="00F67E9E" w:rsidRPr="00D00D9A" w14:paraId="3870FC52" w14:textId="77777777" w:rsidTr="007F74AA">
        <w:tc>
          <w:tcPr>
            <w:tcW w:w="2835" w:type="dxa"/>
          </w:tcPr>
          <w:p w14:paraId="6E926B13" w14:textId="77777777" w:rsidR="00F67E9E" w:rsidRPr="00D00D9A" w:rsidRDefault="00F67E9E" w:rsidP="007F74AA">
            <w:pPr>
              <w:pStyle w:val="StdBodyTextBold"/>
              <w:rPr>
                <w:rFonts w:cs="Arial"/>
              </w:rPr>
            </w:pPr>
            <w:r>
              <w:rPr>
                <w:rFonts w:cs="Arial"/>
              </w:rPr>
              <w:t>“</w:t>
            </w:r>
            <w:r w:rsidRPr="00D00D9A">
              <w:rPr>
                <w:rFonts w:cs="Arial"/>
              </w:rPr>
              <w:t>Audit Agents</w:t>
            </w:r>
            <w:r>
              <w:rPr>
                <w:rFonts w:cs="Arial"/>
              </w:rPr>
              <w:t>”</w:t>
            </w:r>
          </w:p>
        </w:tc>
        <w:tc>
          <w:tcPr>
            <w:tcW w:w="6803" w:type="dxa"/>
          </w:tcPr>
          <w:p w14:paraId="0222A1DB" w14:textId="77777777" w:rsidR="00F67E9E" w:rsidRPr="00190AA9" w:rsidRDefault="00F67E9E" w:rsidP="007F74AA">
            <w:pPr>
              <w:pStyle w:val="DefinitionList"/>
              <w:numPr>
                <w:ilvl w:val="0"/>
                <w:numId w:val="138"/>
              </w:numPr>
            </w:pPr>
            <w:r w:rsidRPr="00190AA9">
              <w:t>the Authority’s internal and external auditors;</w:t>
            </w:r>
          </w:p>
          <w:p w14:paraId="05A7FC0B" w14:textId="77777777" w:rsidR="00F67E9E" w:rsidRPr="00190AA9" w:rsidRDefault="00F67E9E" w:rsidP="00F67E9E">
            <w:pPr>
              <w:pStyle w:val="DefinitionList"/>
              <w:numPr>
                <w:ilvl w:val="0"/>
                <w:numId w:val="108"/>
              </w:numPr>
            </w:pPr>
            <w:r w:rsidRPr="00190AA9">
              <w:t xml:space="preserve">the Authority’s statutory or regulatory auditors; </w:t>
            </w:r>
          </w:p>
          <w:p w14:paraId="187CEF4B" w14:textId="77777777" w:rsidR="00F67E9E" w:rsidRPr="00190AA9" w:rsidRDefault="00F67E9E" w:rsidP="00F67E9E">
            <w:pPr>
              <w:pStyle w:val="DefinitionList"/>
              <w:numPr>
                <w:ilvl w:val="0"/>
                <w:numId w:val="108"/>
              </w:numPr>
            </w:pPr>
            <w:r w:rsidRPr="00190AA9">
              <w:t xml:space="preserve">the Comptroller and Auditor General, their staff and/or any appointed representatives of the National Audit Office; </w:t>
            </w:r>
          </w:p>
          <w:p w14:paraId="0BF4CAAF" w14:textId="77777777" w:rsidR="00F67E9E" w:rsidRPr="00190AA9" w:rsidRDefault="00F67E9E" w:rsidP="00F67E9E">
            <w:pPr>
              <w:pStyle w:val="DefinitionList"/>
              <w:numPr>
                <w:ilvl w:val="0"/>
                <w:numId w:val="108"/>
              </w:numPr>
            </w:pPr>
            <w:r w:rsidRPr="00190AA9">
              <w:t>HM Treasury or the Cabinet Office;</w:t>
            </w:r>
          </w:p>
          <w:p w14:paraId="491059E0" w14:textId="77777777" w:rsidR="00F67E9E" w:rsidRPr="00190AA9" w:rsidRDefault="00F67E9E" w:rsidP="00F67E9E">
            <w:pPr>
              <w:pStyle w:val="DefinitionList"/>
              <w:numPr>
                <w:ilvl w:val="0"/>
                <w:numId w:val="108"/>
              </w:numPr>
            </w:pPr>
            <w:r w:rsidRPr="00190AA9">
              <w:t>any party formally appointed by the Authority to carry out audit or similar review functions; and</w:t>
            </w:r>
          </w:p>
          <w:p w14:paraId="1354D4B6" w14:textId="77777777" w:rsidR="00F67E9E" w:rsidRPr="00D00D9A" w:rsidRDefault="00F67E9E" w:rsidP="00F67E9E">
            <w:pPr>
              <w:pStyle w:val="DefinitionList"/>
              <w:numPr>
                <w:ilvl w:val="0"/>
                <w:numId w:val="108"/>
              </w:numPr>
            </w:pPr>
            <w:r w:rsidRPr="00190AA9">
              <w:t>successor</w:t>
            </w:r>
            <w:r w:rsidRPr="00D00D9A">
              <w:t xml:space="preserve">s or assigns of any of the above; </w:t>
            </w:r>
          </w:p>
        </w:tc>
      </w:tr>
      <w:tr w:rsidR="00F67E9E" w:rsidRPr="00D00D9A" w14:paraId="22B79C20" w14:textId="77777777" w:rsidTr="007F74AA">
        <w:tc>
          <w:tcPr>
            <w:tcW w:w="2835" w:type="dxa"/>
          </w:tcPr>
          <w:p w14:paraId="618CA416" w14:textId="77777777" w:rsidR="00F67E9E" w:rsidRPr="00D00D9A" w:rsidRDefault="00F67E9E" w:rsidP="007F74AA">
            <w:pPr>
              <w:pStyle w:val="StdBodyTextBold"/>
              <w:rPr>
                <w:rFonts w:cs="Arial"/>
              </w:rPr>
            </w:pPr>
            <w:r>
              <w:rPr>
                <w:rFonts w:cs="Arial"/>
              </w:rPr>
              <w:t>“</w:t>
            </w:r>
            <w:r w:rsidRPr="00D00D9A">
              <w:rPr>
                <w:rFonts w:cs="Arial"/>
              </w:rPr>
              <w:t>Contract Amendment Report</w:t>
            </w:r>
            <w:r>
              <w:rPr>
                <w:rFonts w:cs="Arial"/>
              </w:rPr>
              <w:t>”</w:t>
            </w:r>
          </w:p>
        </w:tc>
        <w:tc>
          <w:tcPr>
            <w:tcW w:w="6803" w:type="dxa"/>
          </w:tcPr>
          <w:p w14:paraId="6B7FD913" w14:textId="22BC5837" w:rsidR="00F67E9E" w:rsidRPr="00D00D9A" w:rsidRDefault="00F67E9E" w:rsidP="007F74AA">
            <w:pPr>
              <w:pStyle w:val="StdBodyText"/>
              <w:rPr>
                <w:rFonts w:cs="Arial"/>
              </w:rPr>
            </w:pPr>
            <w:r w:rsidRPr="00D00D9A">
              <w:rPr>
                <w:rFonts w:cs="Arial"/>
              </w:rPr>
              <w:t xml:space="preserve">the contract amendment report to be provided by the Supplier to the Authority pursuant to Paragraph </w:t>
            </w:r>
            <w:r w:rsidRPr="00D00D9A">
              <w:rPr>
                <w:rFonts w:cs="Arial"/>
              </w:rPr>
              <w:fldChar w:fldCharType="begin"/>
            </w:r>
            <w:r w:rsidRPr="00D00D9A">
              <w:rPr>
                <w:rFonts w:cs="Arial"/>
              </w:rPr>
              <w:instrText xml:space="preserve"> REF _Ref_ContractCompanion_9kb9Ur249 \w \n \h \t \* MERGEFORMAT </w:instrText>
            </w:r>
            <w:r w:rsidRPr="00D00D9A">
              <w:rPr>
                <w:rFonts w:cs="Arial"/>
              </w:rPr>
            </w:r>
            <w:r w:rsidRPr="00D00D9A">
              <w:rPr>
                <w:rFonts w:cs="Arial"/>
              </w:rPr>
              <w:fldChar w:fldCharType="separate"/>
            </w:r>
            <w:r w:rsidR="00302D39">
              <w:rPr>
                <w:rFonts w:cs="Arial"/>
              </w:rPr>
              <w:t>1</w:t>
            </w:r>
            <w:r w:rsidRPr="00D00D9A">
              <w:rPr>
                <w:rFonts w:cs="Arial"/>
              </w:rPr>
              <w:fldChar w:fldCharType="end"/>
            </w:r>
            <w:r w:rsidRPr="00D00D9A">
              <w:rPr>
                <w:rFonts w:cs="Arial"/>
              </w:rPr>
              <w:t xml:space="preserve"> of </w:t>
            </w:r>
            <w:r w:rsidRPr="00D00D9A">
              <w:rPr>
                <w:rFonts w:cs="Arial"/>
              </w:rPr>
              <w:fldChar w:fldCharType="begin"/>
            </w:r>
            <w:r w:rsidRPr="00D00D9A">
              <w:rPr>
                <w:rFonts w:cs="Arial"/>
              </w:rPr>
              <w:instrText xml:space="preserve"> REF Sch19PartB \h  \* MERGEFORMAT </w:instrText>
            </w:r>
            <w:r w:rsidRPr="00D00D9A">
              <w:rPr>
                <w:rFonts w:cs="Arial"/>
              </w:rPr>
            </w:r>
            <w:r w:rsidRPr="00D00D9A">
              <w:rPr>
                <w:rFonts w:cs="Arial"/>
              </w:rPr>
              <w:fldChar w:fldCharType="separate"/>
            </w:r>
            <w:r w:rsidR="00302D39" w:rsidRPr="00302D39">
              <w:rPr>
                <w:rFonts w:cs="Arial"/>
              </w:rPr>
              <w:t>Part B</w:t>
            </w:r>
            <w:r w:rsidRPr="00D00D9A">
              <w:rPr>
                <w:rFonts w:cs="Arial"/>
              </w:rPr>
              <w:fldChar w:fldCharType="end"/>
            </w:r>
            <w:r w:rsidRPr="00D00D9A">
              <w:rPr>
                <w:rFonts w:cs="Arial"/>
              </w:rPr>
              <w:t>;</w:t>
            </w:r>
          </w:p>
        </w:tc>
      </w:tr>
      <w:tr w:rsidR="00F67E9E" w:rsidRPr="00D00D9A" w14:paraId="1EC4F382" w14:textId="77777777" w:rsidTr="007F74AA">
        <w:tc>
          <w:tcPr>
            <w:tcW w:w="2835" w:type="dxa"/>
          </w:tcPr>
          <w:p w14:paraId="78ED3297" w14:textId="77777777" w:rsidR="00F67E9E" w:rsidRPr="00D00D9A" w:rsidRDefault="00F67E9E" w:rsidP="007F74AA">
            <w:pPr>
              <w:pStyle w:val="StdBodyTextBold"/>
              <w:rPr>
                <w:rFonts w:cs="Arial"/>
              </w:rPr>
            </w:pPr>
            <w:r>
              <w:rPr>
                <w:rFonts w:cs="Arial"/>
              </w:rPr>
              <w:t>“</w:t>
            </w:r>
            <w:r w:rsidRPr="00D00D9A">
              <w:rPr>
                <w:rFonts w:cs="Arial"/>
              </w:rPr>
              <w:t>Final Reconciliation Report</w:t>
            </w:r>
            <w:r>
              <w:rPr>
                <w:rFonts w:cs="Arial"/>
              </w:rPr>
              <w:t>”</w:t>
            </w:r>
          </w:p>
        </w:tc>
        <w:tc>
          <w:tcPr>
            <w:tcW w:w="6803" w:type="dxa"/>
          </w:tcPr>
          <w:p w14:paraId="3EBAC92F" w14:textId="168E3622" w:rsidR="00F67E9E" w:rsidRPr="00D00D9A" w:rsidRDefault="00F67E9E" w:rsidP="007F74AA">
            <w:pPr>
              <w:pStyle w:val="StdBodyText"/>
              <w:rPr>
                <w:rFonts w:cs="Arial"/>
              </w:rPr>
            </w:pPr>
            <w:r w:rsidRPr="00D00D9A">
              <w:rPr>
                <w:rFonts w:cs="Arial"/>
              </w:rPr>
              <w:t xml:space="preserve">the final reconciliation report to be provided by the Supplier to the Authority pursuant to Paragraph </w:t>
            </w:r>
            <w:r w:rsidRPr="00D00D9A">
              <w:rPr>
                <w:rFonts w:cs="Arial"/>
              </w:rPr>
              <w:fldChar w:fldCharType="begin"/>
            </w:r>
            <w:r w:rsidRPr="00D00D9A">
              <w:rPr>
                <w:rFonts w:cs="Arial"/>
              </w:rPr>
              <w:instrText xml:space="preserve"> REF _Ref_ContractCompanion_9kb9Ur249 \w \n \h \t \* MERGEFORMAT </w:instrText>
            </w:r>
            <w:r w:rsidRPr="00D00D9A">
              <w:rPr>
                <w:rFonts w:cs="Arial"/>
              </w:rPr>
            </w:r>
            <w:r w:rsidRPr="00D00D9A">
              <w:rPr>
                <w:rFonts w:cs="Arial"/>
              </w:rPr>
              <w:fldChar w:fldCharType="separate"/>
            </w:r>
            <w:r w:rsidR="00302D39">
              <w:rPr>
                <w:rFonts w:cs="Arial"/>
              </w:rPr>
              <w:t>1</w:t>
            </w:r>
            <w:r w:rsidRPr="00D00D9A">
              <w:rPr>
                <w:rFonts w:cs="Arial"/>
              </w:rPr>
              <w:fldChar w:fldCharType="end"/>
            </w:r>
            <w:r w:rsidRPr="00D00D9A">
              <w:rPr>
                <w:rFonts w:cs="Arial"/>
              </w:rPr>
              <w:t xml:space="preserve"> of </w:t>
            </w:r>
            <w:r w:rsidRPr="00D00D9A">
              <w:rPr>
                <w:rFonts w:cs="Arial"/>
              </w:rPr>
              <w:fldChar w:fldCharType="begin"/>
            </w:r>
            <w:r w:rsidRPr="00D00D9A">
              <w:rPr>
                <w:rFonts w:cs="Arial"/>
              </w:rPr>
              <w:instrText xml:space="preserve"> REF Sch19PartB \h  \* MERGEFORMAT </w:instrText>
            </w:r>
            <w:r w:rsidRPr="00D00D9A">
              <w:rPr>
                <w:rFonts w:cs="Arial"/>
              </w:rPr>
            </w:r>
            <w:r w:rsidRPr="00D00D9A">
              <w:rPr>
                <w:rFonts w:cs="Arial"/>
              </w:rPr>
              <w:fldChar w:fldCharType="separate"/>
            </w:r>
            <w:r w:rsidR="00302D39" w:rsidRPr="00302D39">
              <w:rPr>
                <w:rFonts w:cs="Arial"/>
              </w:rPr>
              <w:t>Part B</w:t>
            </w:r>
            <w:r w:rsidRPr="00D00D9A">
              <w:rPr>
                <w:rFonts w:cs="Arial"/>
              </w:rPr>
              <w:fldChar w:fldCharType="end"/>
            </w:r>
            <w:r w:rsidRPr="00D00D9A">
              <w:rPr>
                <w:rFonts w:cs="Arial"/>
              </w:rPr>
              <w:t>;</w:t>
            </w:r>
          </w:p>
        </w:tc>
      </w:tr>
      <w:tr w:rsidR="00F67E9E" w:rsidRPr="00D00D9A" w14:paraId="30CAB720" w14:textId="77777777" w:rsidTr="007F74AA">
        <w:tc>
          <w:tcPr>
            <w:tcW w:w="2835" w:type="dxa"/>
          </w:tcPr>
          <w:p w14:paraId="04BE7721" w14:textId="77777777" w:rsidR="00F67E9E" w:rsidRPr="00D00D9A" w:rsidRDefault="00F67E9E" w:rsidP="007F74AA">
            <w:pPr>
              <w:pStyle w:val="StdBodyTextBold"/>
              <w:rPr>
                <w:rFonts w:cs="Arial"/>
              </w:rPr>
            </w:pPr>
            <w:r>
              <w:rPr>
                <w:rFonts w:cs="Arial"/>
              </w:rPr>
              <w:t>“</w:t>
            </w:r>
            <w:r w:rsidRPr="00D00D9A">
              <w:rPr>
                <w:rFonts w:cs="Arial"/>
              </w:rPr>
              <w:t>Financial Model</w:t>
            </w:r>
            <w:r>
              <w:rPr>
                <w:rFonts w:cs="Arial"/>
              </w:rPr>
              <w:t>”</w:t>
            </w:r>
          </w:p>
        </w:tc>
        <w:tc>
          <w:tcPr>
            <w:tcW w:w="6803" w:type="dxa"/>
          </w:tcPr>
          <w:p w14:paraId="19ECE99C" w14:textId="77FB0CD5" w:rsidR="00F67E9E" w:rsidRPr="00D00D9A" w:rsidRDefault="00F67E9E" w:rsidP="007F74AA">
            <w:pPr>
              <w:pStyle w:val="StdBodyText"/>
              <w:rPr>
                <w:rFonts w:cs="Arial"/>
              </w:rPr>
            </w:pPr>
            <w:r w:rsidRPr="00D00D9A">
              <w:rPr>
                <w:rFonts w:cs="Arial"/>
              </w:rPr>
              <w:t>the Contract Inception Report, the latest Annual Contract Report or the latest Contract Amendment</w:t>
            </w:r>
            <w:r>
              <w:rPr>
                <w:rFonts w:cs="Arial"/>
              </w:rPr>
              <w:t xml:space="preserve"> </w:t>
            </w:r>
            <w:r w:rsidRPr="00D00D9A">
              <w:rPr>
                <w:rFonts w:cs="Arial"/>
              </w:rPr>
              <w:t xml:space="preserve">Report, whichever has been most recently approved by the Authority in accordance with </w:t>
            </w:r>
            <w:bookmarkStart w:id="1484" w:name="_9kMIH5YVt4EE7HKbGpqgyts0E"/>
            <w:bookmarkEnd w:id="1484"/>
            <w:r w:rsidRPr="00D00D9A">
              <w:rPr>
                <w:rFonts w:cs="Arial"/>
              </w:rPr>
              <w:t xml:space="preserve">Paragraph </w:t>
            </w:r>
            <w:r w:rsidRPr="00D00D9A">
              <w:rPr>
                <w:rFonts w:cs="Arial"/>
              </w:rPr>
              <w:fldChar w:fldCharType="begin"/>
            </w:r>
            <w:r w:rsidRPr="00D00D9A">
              <w:rPr>
                <w:rFonts w:cs="Arial"/>
              </w:rPr>
              <w:instrText xml:space="preserve"> REF _Ref41641505 \r \h  \* MERGEFORMAT </w:instrText>
            </w:r>
            <w:r w:rsidRPr="00D00D9A">
              <w:rPr>
                <w:rFonts w:cs="Arial"/>
              </w:rPr>
            </w:r>
            <w:r w:rsidRPr="00D00D9A">
              <w:rPr>
                <w:rFonts w:cs="Arial"/>
              </w:rPr>
              <w:fldChar w:fldCharType="separate"/>
            </w:r>
            <w:r w:rsidR="00302D39">
              <w:rPr>
                <w:rFonts w:cs="Arial"/>
              </w:rPr>
              <w:t>2</w:t>
            </w:r>
            <w:r w:rsidRPr="00D00D9A">
              <w:rPr>
                <w:rFonts w:cs="Arial"/>
              </w:rPr>
              <w:fldChar w:fldCharType="end"/>
            </w:r>
            <w:r w:rsidRPr="00D00D9A">
              <w:rPr>
                <w:rFonts w:cs="Arial"/>
              </w:rPr>
              <w:t xml:space="preserve"> of </w:t>
            </w:r>
            <w:r w:rsidRPr="00D00D9A">
              <w:rPr>
                <w:rFonts w:cs="Arial"/>
              </w:rPr>
              <w:fldChar w:fldCharType="begin"/>
            </w:r>
            <w:r w:rsidRPr="00D00D9A">
              <w:rPr>
                <w:rFonts w:cs="Arial"/>
              </w:rPr>
              <w:instrText xml:space="preserve"> REF Sch19PartB \h  \* MERGEFORMAT </w:instrText>
            </w:r>
            <w:r w:rsidRPr="00D00D9A">
              <w:rPr>
                <w:rFonts w:cs="Arial"/>
              </w:rPr>
            </w:r>
            <w:r w:rsidRPr="00D00D9A">
              <w:rPr>
                <w:rFonts w:cs="Arial"/>
              </w:rPr>
              <w:fldChar w:fldCharType="separate"/>
            </w:r>
            <w:r w:rsidR="00302D39" w:rsidRPr="00302D39">
              <w:rPr>
                <w:rFonts w:cs="Arial"/>
              </w:rPr>
              <w:t>Part B</w:t>
            </w:r>
            <w:r w:rsidRPr="00D00D9A">
              <w:rPr>
                <w:rFonts w:cs="Arial"/>
              </w:rPr>
              <w:fldChar w:fldCharType="end"/>
            </w:r>
            <w:r w:rsidRPr="00D00D9A">
              <w:rPr>
                <w:rFonts w:cs="Arial"/>
              </w:rPr>
              <w:t>;</w:t>
            </w:r>
          </w:p>
        </w:tc>
      </w:tr>
      <w:tr w:rsidR="00F67E9E" w:rsidRPr="00D00D9A" w14:paraId="340E1405" w14:textId="77777777" w:rsidTr="007F74AA">
        <w:tc>
          <w:tcPr>
            <w:tcW w:w="2835" w:type="dxa"/>
          </w:tcPr>
          <w:p w14:paraId="6BE01BF7" w14:textId="77777777" w:rsidR="00F67E9E" w:rsidRPr="00D00D9A" w:rsidRDefault="00F67E9E" w:rsidP="007F74AA">
            <w:pPr>
              <w:pStyle w:val="StdBodyTextBold"/>
              <w:rPr>
                <w:rFonts w:cs="Arial"/>
              </w:rPr>
            </w:pPr>
            <w:r>
              <w:rPr>
                <w:rFonts w:cs="Arial"/>
              </w:rPr>
              <w:t>“</w:t>
            </w:r>
            <w:r w:rsidRPr="00D00D9A">
              <w:rPr>
                <w:rFonts w:cs="Arial"/>
              </w:rPr>
              <w:t>Financial Reports</w:t>
            </w:r>
            <w:r>
              <w:rPr>
                <w:rFonts w:cs="Arial"/>
              </w:rPr>
              <w:t>”</w:t>
            </w:r>
          </w:p>
        </w:tc>
        <w:tc>
          <w:tcPr>
            <w:tcW w:w="6803" w:type="dxa"/>
          </w:tcPr>
          <w:p w14:paraId="0F9DCEAA" w14:textId="5940552E" w:rsidR="00F67E9E" w:rsidRPr="00D00D9A" w:rsidRDefault="00F67E9E" w:rsidP="007F74AA">
            <w:pPr>
              <w:pStyle w:val="StdBodyText"/>
              <w:rPr>
                <w:rFonts w:cs="Arial"/>
              </w:rPr>
            </w:pPr>
            <w:r w:rsidRPr="00D00D9A">
              <w:rPr>
                <w:rFonts w:cs="Arial"/>
              </w:rPr>
              <w:t xml:space="preserve">the Contract Inception Report and the reports listed in the table in </w:t>
            </w:r>
            <w:bookmarkStart w:id="1485" w:name="_9kR3WTr2CC69AYEnoewrqyBJ"/>
            <w:r w:rsidRPr="00D00D9A">
              <w:rPr>
                <w:rFonts w:cs="Arial"/>
              </w:rPr>
              <w:t xml:space="preserve">Paragraph </w:t>
            </w:r>
            <w:r w:rsidRPr="00D00D9A">
              <w:rPr>
                <w:rFonts w:cs="Arial"/>
              </w:rPr>
              <w:fldChar w:fldCharType="begin"/>
            </w:r>
            <w:r w:rsidRPr="00D00D9A">
              <w:rPr>
                <w:rFonts w:cs="Arial"/>
              </w:rPr>
              <w:instrText xml:space="preserve"> REF _Ref_ContractCompanion_9kb9Ur24B \n \h \t \* MERGEFORMAT </w:instrText>
            </w:r>
            <w:r w:rsidRPr="00D00D9A">
              <w:rPr>
                <w:rFonts w:cs="Arial"/>
              </w:rPr>
            </w:r>
            <w:r w:rsidRPr="00D00D9A">
              <w:rPr>
                <w:rFonts w:cs="Arial"/>
              </w:rPr>
              <w:fldChar w:fldCharType="separate"/>
            </w:r>
            <w:r w:rsidR="00302D39">
              <w:rPr>
                <w:rFonts w:cs="Arial"/>
              </w:rPr>
              <w:t>1.1</w:t>
            </w:r>
            <w:r w:rsidRPr="00D00D9A">
              <w:rPr>
                <w:rFonts w:cs="Arial"/>
              </w:rPr>
              <w:fldChar w:fldCharType="end"/>
            </w:r>
            <w:bookmarkEnd w:id="1485"/>
            <w:r w:rsidRPr="00D00D9A">
              <w:rPr>
                <w:rFonts w:cs="Arial"/>
              </w:rPr>
              <w:t xml:space="preserve"> of </w:t>
            </w:r>
            <w:r w:rsidRPr="00D00D9A">
              <w:rPr>
                <w:rFonts w:cs="Arial"/>
              </w:rPr>
              <w:fldChar w:fldCharType="begin"/>
            </w:r>
            <w:r w:rsidRPr="00D00D9A">
              <w:rPr>
                <w:rFonts w:cs="Arial"/>
              </w:rPr>
              <w:instrText xml:space="preserve"> REF Sch19PartB \h  \* MERGEFORMAT </w:instrText>
            </w:r>
            <w:r w:rsidRPr="00D00D9A">
              <w:rPr>
                <w:rFonts w:cs="Arial"/>
              </w:rPr>
            </w:r>
            <w:r w:rsidRPr="00D00D9A">
              <w:rPr>
                <w:rFonts w:cs="Arial"/>
              </w:rPr>
              <w:fldChar w:fldCharType="separate"/>
            </w:r>
            <w:r w:rsidR="00302D39" w:rsidRPr="00302D39">
              <w:rPr>
                <w:rFonts w:cs="Arial"/>
              </w:rPr>
              <w:t>Part B</w:t>
            </w:r>
            <w:r w:rsidRPr="00D00D9A">
              <w:rPr>
                <w:rFonts w:cs="Arial"/>
              </w:rPr>
              <w:fldChar w:fldCharType="end"/>
            </w:r>
            <w:r w:rsidRPr="00D00D9A">
              <w:rPr>
                <w:rFonts w:cs="Arial"/>
              </w:rPr>
              <w:t>;</w:t>
            </w:r>
          </w:p>
        </w:tc>
      </w:tr>
      <w:tr w:rsidR="00F67E9E" w:rsidRPr="00D00D9A" w14:paraId="2A345931" w14:textId="77777777" w:rsidTr="007F74AA">
        <w:tc>
          <w:tcPr>
            <w:tcW w:w="2835" w:type="dxa"/>
          </w:tcPr>
          <w:p w14:paraId="1B22C981" w14:textId="77777777" w:rsidR="00F67E9E" w:rsidRPr="00D00D9A" w:rsidRDefault="00F67E9E" w:rsidP="007F74AA">
            <w:pPr>
              <w:pStyle w:val="StdBodyTextBold"/>
              <w:rPr>
                <w:rFonts w:cs="Arial"/>
              </w:rPr>
            </w:pPr>
            <w:r>
              <w:rPr>
                <w:rFonts w:cs="Arial"/>
              </w:rPr>
              <w:t>“</w:t>
            </w:r>
            <w:r w:rsidRPr="00D00D9A">
              <w:rPr>
                <w:rFonts w:cs="Arial"/>
              </w:rPr>
              <w:t>Financial Representative</w:t>
            </w:r>
            <w:r>
              <w:rPr>
                <w:rFonts w:cs="Arial"/>
              </w:rPr>
              <w:t>”</w:t>
            </w:r>
          </w:p>
        </w:tc>
        <w:tc>
          <w:tcPr>
            <w:tcW w:w="6803" w:type="dxa"/>
          </w:tcPr>
          <w:p w14:paraId="20990A7E" w14:textId="77777777" w:rsidR="00F67E9E" w:rsidRPr="00D00D9A" w:rsidRDefault="00F67E9E" w:rsidP="007F74AA">
            <w:pPr>
              <w:pStyle w:val="StdBodyText"/>
              <w:rPr>
                <w:rFonts w:cs="Arial"/>
              </w:rPr>
            </w:pPr>
            <w:r w:rsidRPr="00D00D9A">
              <w:rPr>
                <w:rFonts w:cs="Arial"/>
              </w:rPr>
              <w:t>a reasonably skilled and experienced member of the Supplier</w:t>
            </w:r>
            <w:r>
              <w:rPr>
                <w:rFonts w:cs="Arial"/>
              </w:rPr>
              <w:t>’</w:t>
            </w:r>
            <w:r w:rsidRPr="00D00D9A">
              <w:rPr>
                <w:rFonts w:cs="Arial"/>
              </w:rPr>
              <w:t>s staff who has specific responsibility for preparing, maintaining, facilitating access to, discussing and explaining the Open Book Data and Financial Reports;</w:t>
            </w:r>
          </w:p>
        </w:tc>
      </w:tr>
      <w:tr w:rsidR="00F67E9E" w:rsidRPr="00D00D9A" w14:paraId="54263BB4" w14:textId="77777777" w:rsidTr="007F74AA">
        <w:tc>
          <w:tcPr>
            <w:tcW w:w="2835" w:type="dxa"/>
          </w:tcPr>
          <w:p w14:paraId="354E8957" w14:textId="77777777" w:rsidR="00F67E9E" w:rsidRPr="00D00D9A" w:rsidRDefault="00F67E9E" w:rsidP="007F74AA">
            <w:pPr>
              <w:pStyle w:val="StdBodyTextBold"/>
              <w:rPr>
                <w:rFonts w:cs="Arial"/>
              </w:rPr>
            </w:pPr>
            <w:r>
              <w:rPr>
                <w:rFonts w:cs="Arial"/>
              </w:rPr>
              <w:t>“</w:t>
            </w:r>
            <w:r w:rsidRPr="00D00D9A">
              <w:rPr>
                <w:rFonts w:cs="Arial"/>
              </w:rPr>
              <w:t>Financial Transparency Objectives</w:t>
            </w:r>
            <w:r>
              <w:rPr>
                <w:rFonts w:cs="Arial"/>
              </w:rPr>
              <w:t>”</w:t>
            </w:r>
          </w:p>
        </w:tc>
        <w:tc>
          <w:tcPr>
            <w:tcW w:w="6803" w:type="dxa"/>
          </w:tcPr>
          <w:p w14:paraId="20F78E99" w14:textId="44CC4E06" w:rsidR="00F67E9E" w:rsidRPr="00D00D9A" w:rsidRDefault="00F67E9E" w:rsidP="007F74AA">
            <w:pPr>
              <w:pStyle w:val="StdBodyText"/>
              <w:rPr>
                <w:rFonts w:cs="Arial"/>
              </w:rPr>
            </w:pPr>
            <w:r w:rsidRPr="00D00D9A">
              <w:rPr>
                <w:rFonts w:cs="Arial"/>
              </w:rPr>
              <w:t xml:space="preserve">has the meaning given in </w:t>
            </w:r>
            <w:bookmarkStart w:id="1486" w:name="_9kR3WTr2CC69DbEnoewrqyB"/>
            <w:r w:rsidRPr="00D00D9A">
              <w:rPr>
                <w:rFonts w:cs="Arial"/>
              </w:rPr>
              <w:t xml:space="preserve">Paragraph </w:t>
            </w:r>
            <w:r w:rsidRPr="00D00D9A">
              <w:rPr>
                <w:rFonts w:cs="Arial"/>
              </w:rPr>
              <w:fldChar w:fldCharType="begin"/>
            </w:r>
            <w:r w:rsidRPr="00D00D9A">
              <w:rPr>
                <w:rFonts w:cs="Arial"/>
              </w:rPr>
              <w:instrText xml:space="preserve"> REF _Ref_ContractCompanion_9kb9Ur257 \w \n \h \t \* MERGEFORMAT </w:instrText>
            </w:r>
            <w:r w:rsidRPr="00D00D9A">
              <w:rPr>
                <w:rFonts w:cs="Arial"/>
              </w:rPr>
            </w:r>
            <w:r w:rsidRPr="00D00D9A">
              <w:rPr>
                <w:rFonts w:cs="Arial"/>
              </w:rPr>
              <w:fldChar w:fldCharType="separate"/>
            </w:r>
            <w:r w:rsidR="00302D39">
              <w:rPr>
                <w:rFonts w:cs="Arial"/>
              </w:rPr>
              <w:t>1</w:t>
            </w:r>
            <w:r w:rsidRPr="00D00D9A">
              <w:rPr>
                <w:rFonts w:cs="Arial"/>
              </w:rPr>
              <w:fldChar w:fldCharType="end"/>
            </w:r>
            <w:bookmarkEnd w:id="1486"/>
            <w:r w:rsidRPr="00D00D9A">
              <w:rPr>
                <w:rFonts w:cs="Arial"/>
              </w:rPr>
              <w:t xml:space="preserve"> of </w:t>
            </w:r>
            <w:r w:rsidRPr="00D00D9A">
              <w:rPr>
                <w:rFonts w:cs="Arial"/>
              </w:rPr>
              <w:fldChar w:fldCharType="begin"/>
            </w:r>
            <w:r w:rsidRPr="00D00D9A">
              <w:rPr>
                <w:rFonts w:cs="Arial"/>
              </w:rPr>
              <w:instrText xml:space="preserve"> REF Sch19PartA \h  \* MERGEFORMAT </w:instrText>
            </w:r>
            <w:r w:rsidRPr="00D00D9A">
              <w:rPr>
                <w:rFonts w:cs="Arial"/>
              </w:rPr>
            </w:r>
            <w:r w:rsidRPr="00D00D9A">
              <w:rPr>
                <w:rFonts w:cs="Arial"/>
              </w:rPr>
              <w:fldChar w:fldCharType="separate"/>
            </w:r>
            <w:r w:rsidR="00302D39" w:rsidRPr="00302D39">
              <w:rPr>
                <w:rFonts w:cs="Arial"/>
              </w:rPr>
              <w:t>Part A</w:t>
            </w:r>
            <w:r w:rsidRPr="00D00D9A">
              <w:rPr>
                <w:rFonts w:cs="Arial"/>
              </w:rPr>
              <w:fldChar w:fldCharType="end"/>
            </w:r>
            <w:r w:rsidRPr="00D00D9A">
              <w:rPr>
                <w:rFonts w:cs="Arial"/>
              </w:rPr>
              <w:t>;</w:t>
            </w:r>
          </w:p>
        </w:tc>
      </w:tr>
      <w:tr w:rsidR="00F67E9E" w:rsidRPr="00D00D9A" w14:paraId="285C33DF" w14:textId="77777777" w:rsidTr="007F74AA">
        <w:tc>
          <w:tcPr>
            <w:tcW w:w="2835" w:type="dxa"/>
          </w:tcPr>
          <w:p w14:paraId="59CD441A" w14:textId="77777777" w:rsidR="00F67E9E" w:rsidRPr="00D00D9A" w:rsidRDefault="00F67E9E" w:rsidP="007F74AA">
            <w:pPr>
              <w:pStyle w:val="StdBodyTextBold"/>
              <w:rPr>
                <w:rFonts w:cs="Arial"/>
              </w:rPr>
            </w:pPr>
            <w:r>
              <w:rPr>
                <w:rFonts w:cs="Arial"/>
              </w:rPr>
              <w:t>“</w:t>
            </w:r>
            <w:r w:rsidRPr="00D00D9A">
              <w:rPr>
                <w:rFonts w:cs="Arial"/>
              </w:rPr>
              <w:t>Material Change</w:t>
            </w:r>
            <w:r>
              <w:rPr>
                <w:rFonts w:cs="Arial"/>
              </w:rPr>
              <w:t>”</w:t>
            </w:r>
          </w:p>
        </w:tc>
        <w:tc>
          <w:tcPr>
            <w:tcW w:w="6803" w:type="dxa"/>
          </w:tcPr>
          <w:p w14:paraId="32BA7FE0" w14:textId="77777777" w:rsidR="00F67E9E" w:rsidRPr="00D00D9A" w:rsidRDefault="00F67E9E" w:rsidP="007F74AA">
            <w:pPr>
              <w:pStyle w:val="StdBodyText"/>
              <w:rPr>
                <w:rFonts w:cs="Arial"/>
              </w:rPr>
            </w:pPr>
            <w:r w:rsidRPr="00D00D9A">
              <w:rPr>
                <w:rFonts w:cs="Arial"/>
              </w:rPr>
              <w:t>a Change which:</w:t>
            </w:r>
          </w:p>
          <w:p w14:paraId="37C87377" w14:textId="77777777" w:rsidR="00F67E9E" w:rsidRPr="00190AA9" w:rsidRDefault="00F67E9E" w:rsidP="007F74AA">
            <w:pPr>
              <w:pStyle w:val="DefinitionList"/>
              <w:numPr>
                <w:ilvl w:val="0"/>
                <w:numId w:val="139"/>
              </w:numPr>
            </w:pPr>
            <w:r w:rsidRPr="00190AA9">
              <w:t>materially changes the profile of the Charges; or</w:t>
            </w:r>
          </w:p>
          <w:p w14:paraId="200273D3" w14:textId="77777777" w:rsidR="00F67E9E" w:rsidRPr="00D00D9A" w:rsidRDefault="00F67E9E" w:rsidP="00F67E9E">
            <w:pPr>
              <w:pStyle w:val="DefinitionList"/>
              <w:numPr>
                <w:ilvl w:val="0"/>
                <w:numId w:val="108"/>
              </w:numPr>
            </w:pPr>
            <w:r w:rsidRPr="00190AA9">
              <w:t>varies the total Charges payable during the Term (as forecast in the</w:t>
            </w:r>
            <w:r w:rsidRPr="00D00D9A">
              <w:t xml:space="preserve"> latest Financial Model) by:</w:t>
            </w:r>
          </w:p>
          <w:p w14:paraId="19222618" w14:textId="77777777" w:rsidR="00F67E9E" w:rsidRPr="00D00D9A" w:rsidRDefault="00F67E9E" w:rsidP="00F67E9E">
            <w:pPr>
              <w:pStyle w:val="DefinitionListLevel1"/>
              <w:numPr>
                <w:ilvl w:val="1"/>
                <w:numId w:val="108"/>
              </w:numPr>
              <w:ind w:left="1080"/>
              <w:rPr>
                <w:rFonts w:cs="Arial"/>
              </w:rPr>
            </w:pPr>
            <w:r w:rsidRPr="00D00D9A">
              <w:rPr>
                <w:rFonts w:cs="Arial"/>
              </w:rPr>
              <w:t>5% or more; or</w:t>
            </w:r>
          </w:p>
          <w:p w14:paraId="4E1C2249" w14:textId="77777777" w:rsidR="00F67E9E" w:rsidRPr="00D00D9A" w:rsidRDefault="00F67E9E" w:rsidP="00F67E9E">
            <w:pPr>
              <w:pStyle w:val="DefinitionListLevel1"/>
              <w:numPr>
                <w:ilvl w:val="1"/>
                <w:numId w:val="108"/>
              </w:numPr>
              <w:ind w:left="1080"/>
              <w:rPr>
                <w:rFonts w:cs="Arial"/>
              </w:rPr>
            </w:pPr>
            <w:r w:rsidRPr="00D00D9A">
              <w:rPr>
                <w:rFonts w:cs="Arial"/>
              </w:rPr>
              <w:t>£1m or more;</w:t>
            </w:r>
          </w:p>
        </w:tc>
      </w:tr>
      <w:tr w:rsidR="00F67E9E" w:rsidRPr="00D00D9A" w14:paraId="0EEAAB5F" w14:textId="77777777" w:rsidTr="007F74AA">
        <w:tc>
          <w:tcPr>
            <w:tcW w:w="2835" w:type="dxa"/>
          </w:tcPr>
          <w:p w14:paraId="743EB452" w14:textId="77777777" w:rsidR="00F67E9E" w:rsidRPr="00D00D9A" w:rsidRDefault="00F67E9E" w:rsidP="007F74AA">
            <w:pPr>
              <w:pStyle w:val="StdBodyTextBold"/>
              <w:rPr>
                <w:rFonts w:cs="Arial"/>
              </w:rPr>
            </w:pPr>
            <w:r>
              <w:rPr>
                <w:rFonts w:cs="Arial"/>
              </w:rPr>
              <w:t>“</w:t>
            </w:r>
            <w:r w:rsidRPr="00D00D9A">
              <w:rPr>
                <w:rFonts w:cs="Arial"/>
              </w:rPr>
              <w:t>Onerous Contract</w:t>
            </w:r>
            <w:r>
              <w:rPr>
                <w:rFonts w:cs="Arial"/>
              </w:rPr>
              <w:t>”</w:t>
            </w:r>
          </w:p>
        </w:tc>
        <w:tc>
          <w:tcPr>
            <w:tcW w:w="6803" w:type="dxa"/>
          </w:tcPr>
          <w:p w14:paraId="2498A47A" w14:textId="77777777" w:rsidR="00F67E9E" w:rsidRPr="00D00D9A" w:rsidRDefault="00F67E9E" w:rsidP="007F74AA">
            <w:pPr>
              <w:pStyle w:val="StdBodyText"/>
              <w:rPr>
                <w:rFonts w:cs="Arial"/>
              </w:rPr>
            </w:pPr>
            <w:r w:rsidRPr="00D00D9A">
              <w:rPr>
                <w:rFonts w:cs="Arial"/>
              </w:rPr>
              <w:t>a contract in which the unavoidable costs of meeting the obligations under the contract exceed the economic benefits expected to be received under it, as defined under International Accounting Standard 37;</w:t>
            </w:r>
          </w:p>
        </w:tc>
      </w:tr>
      <w:tr w:rsidR="00F67E9E" w:rsidRPr="00D00D9A" w14:paraId="33F0B534" w14:textId="77777777" w:rsidTr="007F74AA">
        <w:tc>
          <w:tcPr>
            <w:tcW w:w="2835" w:type="dxa"/>
          </w:tcPr>
          <w:p w14:paraId="5BBD2730" w14:textId="77777777" w:rsidR="00F67E9E" w:rsidRPr="00D00D9A" w:rsidRDefault="00F67E9E" w:rsidP="007F74AA">
            <w:pPr>
              <w:pStyle w:val="StdBodyTextBold"/>
              <w:rPr>
                <w:rFonts w:cs="Arial"/>
              </w:rPr>
            </w:pPr>
            <w:r>
              <w:rPr>
                <w:rFonts w:cs="Arial"/>
              </w:rPr>
              <w:t>“</w:t>
            </w:r>
            <w:r w:rsidRPr="00D00D9A">
              <w:rPr>
                <w:rFonts w:cs="Arial"/>
              </w:rPr>
              <w:t>Onerous Contract Report</w:t>
            </w:r>
            <w:r>
              <w:rPr>
                <w:rFonts w:cs="Arial"/>
              </w:rPr>
              <w:t>”</w:t>
            </w:r>
          </w:p>
        </w:tc>
        <w:tc>
          <w:tcPr>
            <w:tcW w:w="6803" w:type="dxa"/>
          </w:tcPr>
          <w:p w14:paraId="029547D0" w14:textId="308D2BDA" w:rsidR="00F67E9E" w:rsidRPr="00D00D9A" w:rsidRDefault="00F67E9E" w:rsidP="007F74AA">
            <w:pPr>
              <w:pStyle w:val="StdBodyText"/>
              <w:rPr>
                <w:rFonts w:cs="Arial"/>
              </w:rPr>
            </w:pPr>
            <w:r w:rsidRPr="00D00D9A">
              <w:rPr>
                <w:rFonts w:cs="Arial"/>
              </w:rPr>
              <w:t xml:space="preserve">means a report provided by the Supplier pursuant to </w:t>
            </w:r>
            <w:bookmarkStart w:id="1487" w:name="_9kR3WTr2CC69GeEnoewrqyD"/>
            <w:r w:rsidRPr="00D00D9A">
              <w:rPr>
                <w:rFonts w:cs="Arial"/>
              </w:rPr>
              <w:t xml:space="preserve">Paragraph </w:t>
            </w:r>
            <w:r w:rsidRPr="00D00D9A">
              <w:rPr>
                <w:rFonts w:cs="Arial"/>
              </w:rPr>
              <w:fldChar w:fldCharType="begin"/>
            </w:r>
            <w:r w:rsidRPr="00D00D9A">
              <w:rPr>
                <w:rFonts w:cs="Arial"/>
              </w:rPr>
              <w:instrText xml:space="preserve"> REF _Ref_ContractCompanion_9kb9Ur25A \w \n \h \t \* MERGEFORMAT </w:instrText>
            </w:r>
            <w:r w:rsidRPr="00D00D9A">
              <w:rPr>
                <w:rFonts w:cs="Arial"/>
              </w:rPr>
            </w:r>
            <w:r w:rsidRPr="00D00D9A">
              <w:rPr>
                <w:rFonts w:cs="Arial"/>
              </w:rPr>
              <w:fldChar w:fldCharType="separate"/>
            </w:r>
            <w:r w:rsidR="00302D39">
              <w:rPr>
                <w:rFonts w:cs="Arial"/>
              </w:rPr>
              <w:t>3</w:t>
            </w:r>
            <w:r w:rsidRPr="00D00D9A">
              <w:rPr>
                <w:rFonts w:cs="Arial"/>
              </w:rPr>
              <w:fldChar w:fldCharType="end"/>
            </w:r>
            <w:bookmarkEnd w:id="1487"/>
            <w:r w:rsidRPr="00D00D9A">
              <w:rPr>
                <w:rFonts w:cs="Arial"/>
              </w:rPr>
              <w:t xml:space="preserve"> of </w:t>
            </w:r>
            <w:r w:rsidRPr="00D00D9A">
              <w:rPr>
                <w:rFonts w:cs="Arial"/>
              </w:rPr>
              <w:fldChar w:fldCharType="begin"/>
            </w:r>
            <w:r w:rsidRPr="00D00D9A">
              <w:rPr>
                <w:rFonts w:cs="Arial"/>
              </w:rPr>
              <w:instrText xml:space="preserve"> REF Sch19PartA \h  \* MERGEFORMAT </w:instrText>
            </w:r>
            <w:r w:rsidRPr="00D00D9A">
              <w:rPr>
                <w:rFonts w:cs="Arial"/>
              </w:rPr>
            </w:r>
            <w:r w:rsidRPr="00D00D9A">
              <w:rPr>
                <w:rFonts w:cs="Arial"/>
              </w:rPr>
              <w:fldChar w:fldCharType="separate"/>
            </w:r>
            <w:r w:rsidR="00302D39" w:rsidRPr="00302D39">
              <w:rPr>
                <w:rFonts w:cs="Arial"/>
              </w:rPr>
              <w:t>Part A</w:t>
            </w:r>
            <w:r w:rsidRPr="00D00D9A">
              <w:rPr>
                <w:rFonts w:cs="Arial"/>
              </w:rPr>
              <w:fldChar w:fldCharType="end"/>
            </w:r>
            <w:r w:rsidRPr="00D00D9A">
              <w:rPr>
                <w:rFonts w:cs="Arial"/>
              </w:rPr>
              <w:t xml:space="preserve"> to this Schedule;</w:t>
            </w:r>
          </w:p>
        </w:tc>
      </w:tr>
      <w:tr w:rsidR="00F67E9E" w:rsidRPr="00D00D9A" w14:paraId="7BA5200D" w14:textId="77777777" w:rsidTr="007F74AA">
        <w:tc>
          <w:tcPr>
            <w:tcW w:w="2835" w:type="dxa"/>
          </w:tcPr>
          <w:p w14:paraId="3464600A" w14:textId="77777777" w:rsidR="00F67E9E" w:rsidRPr="00D00D9A" w:rsidRDefault="00F67E9E" w:rsidP="007F74AA">
            <w:pPr>
              <w:pStyle w:val="StdBodyTextBold"/>
              <w:rPr>
                <w:rFonts w:cs="Arial"/>
              </w:rPr>
            </w:pPr>
            <w:r>
              <w:rPr>
                <w:rFonts w:cs="Arial"/>
              </w:rPr>
              <w:t>“</w:t>
            </w:r>
            <w:r w:rsidRPr="00D00D9A">
              <w:rPr>
                <w:rFonts w:cs="Arial"/>
              </w:rPr>
              <w:t>Open Book Data</w:t>
            </w:r>
            <w:r>
              <w:rPr>
                <w:rFonts w:cs="Arial"/>
              </w:rPr>
              <w:t>”</w:t>
            </w:r>
          </w:p>
        </w:tc>
        <w:tc>
          <w:tcPr>
            <w:tcW w:w="6803" w:type="dxa"/>
          </w:tcPr>
          <w:p w14:paraId="09C52971" w14:textId="77777777" w:rsidR="00F67E9E" w:rsidRPr="00D00D9A" w:rsidRDefault="00F67E9E" w:rsidP="007F74AA">
            <w:pPr>
              <w:pStyle w:val="StdBodyText"/>
              <w:rPr>
                <w:rFonts w:cs="Arial"/>
              </w:rPr>
            </w:pPr>
            <w:r w:rsidRPr="00D00D9A">
              <w:rPr>
                <w:rFonts w:cs="Arial"/>
              </w:rPr>
              <w:t>complete and accurate financial and non-financial information which is sufficient to enable the Authority to verify the Charges already paid or payable and Charges forecast to be paid during the remainder of the Term, including details and all assumptions relating to:</w:t>
            </w:r>
          </w:p>
          <w:p w14:paraId="6BD3844D" w14:textId="77777777" w:rsidR="00F67E9E" w:rsidRPr="00190AA9" w:rsidRDefault="00F67E9E" w:rsidP="007F74AA">
            <w:pPr>
              <w:pStyle w:val="DefinitionList"/>
              <w:numPr>
                <w:ilvl w:val="0"/>
                <w:numId w:val="140"/>
              </w:numPr>
            </w:pPr>
            <w:r w:rsidRPr="00190AA9">
              <w:t xml:space="preserve">the Supplier’s Costs broken down against each Service and/or Deliverable, including actual capital expenditure (including capital replacement costs) and the unit cost and total actual costs of all hardware and software; </w:t>
            </w:r>
          </w:p>
          <w:p w14:paraId="2C877D47" w14:textId="77777777" w:rsidR="00F67E9E" w:rsidRPr="00D00D9A" w:rsidRDefault="00F67E9E" w:rsidP="00F67E9E">
            <w:pPr>
              <w:pStyle w:val="DefinitionList"/>
              <w:numPr>
                <w:ilvl w:val="0"/>
                <w:numId w:val="108"/>
              </w:numPr>
            </w:pPr>
            <w:r w:rsidRPr="00190AA9">
              <w:t>operating expenditure</w:t>
            </w:r>
            <w:r w:rsidRPr="00D00D9A">
              <w:t xml:space="preserve"> relating to the provision of the Services including an analysis showing:</w:t>
            </w:r>
          </w:p>
          <w:p w14:paraId="64DDD7A5" w14:textId="77777777" w:rsidR="00F67E9E" w:rsidRPr="00D00D9A" w:rsidRDefault="00F67E9E" w:rsidP="00F67E9E">
            <w:pPr>
              <w:pStyle w:val="DefinitionListLevel1"/>
              <w:numPr>
                <w:ilvl w:val="1"/>
                <w:numId w:val="108"/>
              </w:numPr>
              <w:ind w:left="1080"/>
              <w:rPr>
                <w:rFonts w:cs="Arial"/>
              </w:rPr>
            </w:pPr>
            <w:r w:rsidRPr="00D00D9A">
              <w:rPr>
                <w:rFonts w:cs="Arial"/>
              </w:rPr>
              <w:t xml:space="preserve">the unit costs and quantity of consumables and bought-in services; </w:t>
            </w:r>
          </w:p>
          <w:p w14:paraId="2DA6C064" w14:textId="77777777" w:rsidR="00F67E9E" w:rsidRPr="00D00D9A" w:rsidRDefault="00F67E9E" w:rsidP="00F67E9E">
            <w:pPr>
              <w:pStyle w:val="DefinitionListLevel1"/>
              <w:numPr>
                <w:ilvl w:val="1"/>
                <w:numId w:val="108"/>
              </w:numPr>
              <w:ind w:left="1080"/>
              <w:rPr>
                <w:rFonts w:cs="Arial"/>
              </w:rPr>
            </w:pPr>
            <w:r w:rsidRPr="00D00D9A">
              <w:rPr>
                <w:rFonts w:cs="Arial"/>
              </w:rPr>
              <w:t xml:space="preserve">manpower resources broken down into the number and grade/role of all Supplier Personnel (free of any contingency) together with a list of agreed rates against each manpower grade; </w:t>
            </w:r>
          </w:p>
          <w:p w14:paraId="712F81EF" w14:textId="77777777" w:rsidR="00F67E9E" w:rsidRPr="00D00D9A" w:rsidRDefault="00F67E9E" w:rsidP="00F67E9E">
            <w:pPr>
              <w:pStyle w:val="DefinitionListLevel1"/>
              <w:numPr>
                <w:ilvl w:val="1"/>
                <w:numId w:val="108"/>
              </w:numPr>
              <w:ind w:left="1080"/>
              <w:rPr>
                <w:rFonts w:cs="Arial"/>
              </w:rPr>
            </w:pPr>
            <w:r w:rsidRPr="00D00D9A">
              <w:rPr>
                <w:rFonts w:cs="Arial"/>
              </w:rPr>
              <w:t>a list of Costs underpinning those rates for each manpower grade, being the agreed rate less the Supplier</w:t>
            </w:r>
            <w:r>
              <w:rPr>
                <w:rFonts w:cs="Arial"/>
              </w:rPr>
              <w:t>’</w:t>
            </w:r>
            <w:r w:rsidRPr="00D00D9A">
              <w:rPr>
                <w:rFonts w:cs="Arial"/>
              </w:rPr>
              <w:t>s Profit Margin; and</w:t>
            </w:r>
          </w:p>
          <w:p w14:paraId="4698A436" w14:textId="77777777" w:rsidR="00F67E9E" w:rsidRPr="00D00D9A" w:rsidRDefault="00F67E9E" w:rsidP="00F67E9E">
            <w:pPr>
              <w:pStyle w:val="DefinitionListLevel1"/>
              <w:numPr>
                <w:ilvl w:val="1"/>
                <w:numId w:val="108"/>
              </w:numPr>
              <w:ind w:left="1080"/>
              <w:rPr>
                <w:rFonts w:cs="Arial"/>
              </w:rPr>
            </w:pPr>
            <w:r w:rsidRPr="00D00D9A">
              <w:rPr>
                <w:rFonts w:cs="Arial"/>
              </w:rPr>
              <w:t>Reimbursable Expenses;</w:t>
            </w:r>
          </w:p>
          <w:p w14:paraId="68E08528" w14:textId="77777777" w:rsidR="00F67E9E" w:rsidRPr="00190AA9" w:rsidRDefault="00F67E9E" w:rsidP="00F67E9E">
            <w:pPr>
              <w:pStyle w:val="DefinitionList"/>
              <w:numPr>
                <w:ilvl w:val="0"/>
                <w:numId w:val="108"/>
              </w:numPr>
            </w:pPr>
            <w:r w:rsidRPr="00190AA9">
              <w:t>Overheads;</w:t>
            </w:r>
          </w:p>
          <w:p w14:paraId="08612BB2" w14:textId="77777777" w:rsidR="00F67E9E" w:rsidRPr="00190AA9" w:rsidRDefault="00F67E9E" w:rsidP="00F67E9E">
            <w:pPr>
              <w:pStyle w:val="DefinitionList"/>
              <w:numPr>
                <w:ilvl w:val="0"/>
                <w:numId w:val="108"/>
              </w:numPr>
            </w:pPr>
            <w:r w:rsidRPr="00190AA9">
              <w:t>all interest, expenses and any other third party financing costs incurred in relation to the provision of the Services;</w:t>
            </w:r>
          </w:p>
          <w:p w14:paraId="12D60F2D" w14:textId="77777777" w:rsidR="00F67E9E" w:rsidRPr="00D00D9A" w:rsidRDefault="00F67E9E" w:rsidP="00F67E9E">
            <w:pPr>
              <w:pStyle w:val="DefinitionList"/>
              <w:numPr>
                <w:ilvl w:val="0"/>
                <w:numId w:val="108"/>
              </w:numPr>
              <w:rPr>
                <w:rFonts w:cs="Arial"/>
              </w:rPr>
            </w:pPr>
            <w:r w:rsidRPr="00190AA9">
              <w:t>the Supplier</w:t>
            </w:r>
            <w:r w:rsidRPr="00D00D9A">
              <w:rPr>
                <w:rFonts w:cs="Arial"/>
              </w:rPr>
              <w:t xml:space="preserve"> Profit achieved over the Term and on an annual basis;</w:t>
            </w:r>
          </w:p>
          <w:p w14:paraId="3910FE13" w14:textId="77777777" w:rsidR="00F67E9E" w:rsidRPr="00190AA9" w:rsidRDefault="00F67E9E" w:rsidP="00F67E9E">
            <w:pPr>
              <w:pStyle w:val="DefinitionList"/>
              <w:numPr>
                <w:ilvl w:val="0"/>
                <w:numId w:val="108"/>
              </w:numPr>
            </w:pPr>
            <w:r w:rsidRPr="00D00D9A">
              <w:t xml:space="preserve">confirmation that all methods of Cost apportionment and Overhead allocation are consistent with and not more </w:t>
            </w:r>
            <w:r w:rsidRPr="00190AA9">
              <w:t>onerous than such methods applied generally by the Supplier;</w:t>
            </w:r>
          </w:p>
          <w:p w14:paraId="5BEFF8BD" w14:textId="77777777" w:rsidR="00F67E9E" w:rsidRPr="00190AA9" w:rsidRDefault="00F67E9E" w:rsidP="00F67E9E">
            <w:pPr>
              <w:pStyle w:val="DefinitionList"/>
              <w:numPr>
                <w:ilvl w:val="0"/>
                <w:numId w:val="108"/>
              </w:numPr>
            </w:pPr>
            <w:r w:rsidRPr="00190AA9">
              <w:t xml:space="preserve">an explanation of the type and value of risk and contingencies associated with the provision of the Services, including the amount of money attributed to each risk and/or contingency; and </w:t>
            </w:r>
          </w:p>
          <w:p w14:paraId="202662B3" w14:textId="77777777" w:rsidR="00F67E9E" w:rsidRPr="00D00D9A" w:rsidRDefault="00F67E9E" w:rsidP="00F67E9E">
            <w:pPr>
              <w:pStyle w:val="DefinitionList"/>
              <w:numPr>
                <w:ilvl w:val="0"/>
                <w:numId w:val="108"/>
              </w:numPr>
            </w:pPr>
            <w:r w:rsidRPr="00190AA9">
              <w:t>the actual</w:t>
            </w:r>
            <w:r w:rsidRPr="00D00D9A">
              <w:t xml:space="preserve"> Costs profile for each Service Period. </w:t>
            </w:r>
          </w:p>
        </w:tc>
      </w:tr>
    </w:tbl>
    <w:p w14:paraId="08CB8751" w14:textId="77777777" w:rsidR="00F67E9E" w:rsidRDefault="00F67E9E" w:rsidP="00F67E9E"/>
    <w:p w14:paraId="0312D3D2" w14:textId="77777777" w:rsidR="00F67E9E" w:rsidRDefault="00F67E9E" w:rsidP="00F67E9E">
      <w:pPr>
        <w:pStyle w:val="Heading2"/>
        <w:pageBreakBefore/>
      </w:pPr>
      <w:bookmarkStart w:id="1488" w:name="Sch19PartA"/>
      <w:bookmarkStart w:id="1489" w:name="_Ref_ContractCompanion_9kb9Us456"/>
      <w:bookmarkStart w:id="1490" w:name="_Toc141711959"/>
      <w:r w:rsidRPr="000038E2">
        <w:t>Part</w:t>
      </w:r>
      <w:r>
        <w:t> </w:t>
      </w:r>
      <w:r w:rsidRPr="00D00D9A">
        <w:t>A</w:t>
      </w:r>
      <w:bookmarkEnd w:id="1488"/>
      <w:r w:rsidRPr="00D00D9A">
        <w:t xml:space="preserve">: Financial Transparency Objectives </w:t>
      </w:r>
      <w:r>
        <w:t>a</w:t>
      </w:r>
      <w:r w:rsidRPr="00D00D9A">
        <w:t>nd Open Book Data</w:t>
      </w:r>
      <w:bookmarkEnd w:id="1489"/>
      <w:bookmarkEnd w:id="1490"/>
    </w:p>
    <w:p w14:paraId="0454C4E8" w14:textId="77777777" w:rsidR="00F67E9E" w:rsidRPr="00D00D9A" w:rsidRDefault="00F67E9E" w:rsidP="00F67E9E">
      <w:pPr>
        <w:pStyle w:val="Numbered1"/>
        <w:numPr>
          <w:ilvl w:val="0"/>
          <w:numId w:val="141"/>
        </w:numPr>
      </w:pPr>
      <w:bookmarkStart w:id="1491" w:name="_Ref_ContractCompanion_9kb9Ur257"/>
      <w:r w:rsidRPr="00190AA9">
        <w:t>Financial</w:t>
      </w:r>
      <w:r w:rsidRPr="00D00D9A">
        <w:t xml:space="preserve"> Transparency Objectives</w:t>
      </w:r>
      <w:bookmarkEnd w:id="1491"/>
    </w:p>
    <w:p w14:paraId="4312B2CD" w14:textId="77777777" w:rsidR="00F67E9E" w:rsidRPr="00D00D9A" w:rsidRDefault="00F67E9E" w:rsidP="00F67E9E">
      <w:pPr>
        <w:pStyle w:val="Numbered11"/>
      </w:pPr>
      <w:r w:rsidRPr="00D00D9A">
        <w:t xml:space="preserve">The Supplier acknowledges that the provisions of this Schedule are designed (inter alia) to facilitate, </w:t>
      </w:r>
      <w:r w:rsidRPr="00190AA9">
        <w:t>and</w:t>
      </w:r>
      <w:r w:rsidRPr="00D00D9A">
        <w:t xml:space="preserve"> the Supplier shall co-operate with the Authority in order to achieve, the following objectives: </w:t>
      </w:r>
    </w:p>
    <w:p w14:paraId="3F624DFC" w14:textId="77777777" w:rsidR="00F67E9E" w:rsidRPr="00D00D9A" w:rsidRDefault="00F67E9E" w:rsidP="00F67E9E">
      <w:pPr>
        <w:pStyle w:val="Numbered111"/>
        <w:tabs>
          <w:tab w:val="clear" w:pos="1800"/>
          <w:tab w:val="num" w:pos="2160"/>
        </w:tabs>
      </w:pPr>
      <w:r w:rsidRPr="00D00D9A">
        <w:rPr>
          <w:rStyle w:val="StdBodyTextBoldChar"/>
          <w:rFonts w:eastAsiaTheme="majorEastAsia" w:cs="Arial"/>
        </w:rPr>
        <w:t>Understanding the</w:t>
      </w:r>
      <w:r w:rsidRPr="00D00D9A">
        <w:t xml:space="preserve"> </w:t>
      </w:r>
      <w:r w:rsidRPr="00D00D9A">
        <w:rPr>
          <w:rStyle w:val="StdBodyTextBoldChar"/>
          <w:rFonts w:eastAsiaTheme="majorEastAsia" w:cs="Arial"/>
        </w:rPr>
        <w:t>Charges</w:t>
      </w:r>
    </w:p>
    <w:p w14:paraId="3956A034" w14:textId="77777777" w:rsidR="00F67E9E" w:rsidRPr="00190AA9" w:rsidRDefault="00F67E9E" w:rsidP="00F67E9E">
      <w:pPr>
        <w:pStyle w:val="Numbered111a"/>
      </w:pPr>
      <w:r w:rsidRPr="00D00D9A">
        <w:t xml:space="preserve">for the Authority to understand any payment sought from it by the Supplier including an analysis of the Costs, Overhead recoveries (where relevant), time spent by Supplier Personnel in providing the Services and the Supplier Profit </w:t>
      </w:r>
      <w:r w:rsidRPr="00190AA9">
        <w:t xml:space="preserve">Margin; </w:t>
      </w:r>
    </w:p>
    <w:p w14:paraId="4B4CB4B2" w14:textId="77777777" w:rsidR="00F67E9E" w:rsidRPr="00190AA9" w:rsidRDefault="00F67E9E" w:rsidP="00F67E9E">
      <w:pPr>
        <w:pStyle w:val="Numbered111a"/>
      </w:pPr>
      <w:r w:rsidRPr="00190AA9">
        <w:t xml:space="preserve">for both Parties to be able to understand the Financial Model and Cost forecasts and to have confidence that these are based on justifiable numbers and appropriate forecasting techniques; </w:t>
      </w:r>
    </w:p>
    <w:p w14:paraId="58BCE748" w14:textId="776EFE43" w:rsidR="00F67E9E" w:rsidRPr="00D00D9A" w:rsidRDefault="00F67E9E" w:rsidP="00F67E9E">
      <w:pPr>
        <w:pStyle w:val="Numbered111a"/>
      </w:pPr>
      <w:r w:rsidRPr="00190AA9">
        <w:t>to facilitate the</w:t>
      </w:r>
      <w:r w:rsidRPr="00D00D9A">
        <w:t xml:space="preserve"> use of Guaranteed Maximum Price with Target Cost pricing mechanisms (where relevant as referred to in </w:t>
      </w:r>
      <w:r>
        <w:fldChar w:fldCharType="begin"/>
      </w:r>
      <w:r>
        <w:instrText xml:space="preserve"> REF Schedule15 \h </w:instrText>
      </w:r>
      <w:r>
        <w:fldChar w:fldCharType="separate"/>
      </w:r>
      <w:r w:rsidR="00302D39" w:rsidRPr="005D0525">
        <w:t>Schedule</w:t>
      </w:r>
      <w:r w:rsidR="00302D39">
        <w:t> </w:t>
      </w:r>
      <w:r w:rsidR="00302D39" w:rsidRPr="005D0525">
        <w:t>15</w:t>
      </w:r>
      <w:r>
        <w:fldChar w:fldCharType="end"/>
      </w:r>
      <w:r>
        <w:t xml:space="preserve"> (</w:t>
      </w:r>
      <w:r w:rsidRPr="00B91437">
        <w:rPr>
          <w:i/>
          <w:iCs/>
        </w:rPr>
        <w:fldChar w:fldCharType="begin"/>
      </w:r>
      <w:r w:rsidRPr="00B91437">
        <w:rPr>
          <w:i/>
          <w:iCs/>
        </w:rPr>
        <w:instrText xml:space="preserve"> REF Schedule15Heading \h </w:instrText>
      </w:r>
      <w:r>
        <w:rPr>
          <w:i/>
          <w:iCs/>
        </w:rPr>
        <w:instrText xml:space="preserve"> \* MERGEFORMAT </w:instrText>
      </w:r>
      <w:r w:rsidRPr="00B91437">
        <w:rPr>
          <w:i/>
          <w:iCs/>
        </w:rPr>
      </w:r>
      <w:r w:rsidRPr="00B91437">
        <w:rPr>
          <w:i/>
          <w:iCs/>
        </w:rPr>
        <w:fldChar w:fldCharType="separate"/>
      </w:r>
      <w:r w:rsidR="00302D39" w:rsidRPr="00302D39">
        <w:rPr>
          <w:i/>
          <w:iCs/>
        </w:rPr>
        <w:t>Charges and Invoicing</w:t>
      </w:r>
      <w:r w:rsidRPr="00B91437">
        <w:rPr>
          <w:i/>
          <w:iCs/>
        </w:rPr>
        <w:fldChar w:fldCharType="end"/>
      </w:r>
      <w:r>
        <w:t>)</w:t>
      </w:r>
      <w:r w:rsidRPr="00D00D9A">
        <w:t>;</w:t>
      </w:r>
    </w:p>
    <w:p w14:paraId="62018E18" w14:textId="77777777" w:rsidR="00F67E9E" w:rsidRPr="00D00D9A" w:rsidRDefault="00F67E9E" w:rsidP="00F67E9E">
      <w:pPr>
        <w:pStyle w:val="Numbered111"/>
        <w:tabs>
          <w:tab w:val="clear" w:pos="1800"/>
          <w:tab w:val="num" w:pos="2160"/>
        </w:tabs>
      </w:pPr>
      <w:r w:rsidRPr="00D00D9A">
        <w:rPr>
          <w:rStyle w:val="StdBodyTextBoldChar"/>
          <w:rFonts w:eastAsiaTheme="majorEastAsia" w:cs="Arial"/>
        </w:rPr>
        <w:t>Agreeing the impact of</w:t>
      </w:r>
      <w:r w:rsidRPr="00D00D9A">
        <w:t xml:space="preserve"> </w:t>
      </w:r>
      <w:r w:rsidRPr="00D00D9A">
        <w:rPr>
          <w:rStyle w:val="StdBodyTextBoldChar"/>
          <w:rFonts w:eastAsiaTheme="majorEastAsia" w:cs="Arial"/>
        </w:rPr>
        <w:t>Change</w:t>
      </w:r>
    </w:p>
    <w:p w14:paraId="70B51FDC" w14:textId="77777777" w:rsidR="00F67E9E" w:rsidRPr="00190AA9" w:rsidRDefault="00F67E9E" w:rsidP="00F67E9E">
      <w:pPr>
        <w:pStyle w:val="Numbered111a"/>
      </w:pPr>
      <w:r w:rsidRPr="00D00D9A">
        <w:t xml:space="preserve">for both Parties to agree the quantitative impact of any Changes that affect ongoing costs and to identify how these could be mitigated and/or reflected in the </w:t>
      </w:r>
      <w:r w:rsidRPr="00190AA9">
        <w:t>Supplier’s Charges;</w:t>
      </w:r>
    </w:p>
    <w:p w14:paraId="6F941F66" w14:textId="77777777" w:rsidR="00F67E9E" w:rsidRPr="00D00D9A" w:rsidRDefault="00F67E9E" w:rsidP="00F67E9E">
      <w:pPr>
        <w:pStyle w:val="Numbered111a"/>
      </w:pPr>
      <w:r w:rsidRPr="00190AA9">
        <w:t>for both Parties to be able to review, address issues with and re</w:t>
      </w:r>
      <w:r w:rsidRPr="00190AA9">
        <w:noBreakHyphen/>
        <w:t>forecast progress</w:t>
      </w:r>
      <w:r w:rsidRPr="00D00D9A">
        <w:t xml:space="preserve"> in relation to the provision of the Services; </w:t>
      </w:r>
    </w:p>
    <w:p w14:paraId="20857C39" w14:textId="77777777" w:rsidR="00F67E9E" w:rsidRPr="00D00D9A" w:rsidRDefault="00F67E9E" w:rsidP="00F67E9E">
      <w:pPr>
        <w:pStyle w:val="Numbered111"/>
        <w:tabs>
          <w:tab w:val="clear" w:pos="1800"/>
          <w:tab w:val="num" w:pos="2160"/>
        </w:tabs>
      </w:pPr>
      <w:r w:rsidRPr="00D00D9A">
        <w:rPr>
          <w:rStyle w:val="StdBodyTextBoldChar"/>
          <w:rFonts w:eastAsiaTheme="majorEastAsia" w:cs="Arial"/>
        </w:rPr>
        <w:t>Continuous</w:t>
      </w:r>
      <w:r w:rsidRPr="00D00D9A">
        <w:t xml:space="preserve"> </w:t>
      </w:r>
      <w:r w:rsidRPr="00D00D9A">
        <w:rPr>
          <w:rStyle w:val="StdBodyTextBoldChar"/>
          <w:rFonts w:eastAsiaTheme="majorEastAsia" w:cs="Arial"/>
        </w:rPr>
        <w:t>improvement</w:t>
      </w:r>
    </w:p>
    <w:p w14:paraId="3BFB6D66" w14:textId="77777777" w:rsidR="00F67E9E" w:rsidRPr="00190AA9" w:rsidRDefault="00F67E9E" w:rsidP="00F67E9E">
      <w:pPr>
        <w:pStyle w:val="Numbered111a"/>
      </w:pPr>
      <w:r w:rsidRPr="00D00D9A">
        <w:t>for the Parties to challenge each other with ideas for efficiency and improvements</w:t>
      </w:r>
      <w:r w:rsidRPr="00190AA9">
        <w:t>; and</w:t>
      </w:r>
    </w:p>
    <w:p w14:paraId="37A0C1F7" w14:textId="77777777" w:rsidR="00F67E9E" w:rsidRPr="00D00D9A" w:rsidRDefault="00F67E9E" w:rsidP="00F67E9E">
      <w:pPr>
        <w:pStyle w:val="Numbered111a"/>
      </w:pPr>
      <w:r w:rsidRPr="00190AA9">
        <w:t>to enable the Authority to demonstrate that it is achieving value for money for the tax payer</w:t>
      </w:r>
      <w:r w:rsidRPr="00D00D9A">
        <w:t xml:space="preserve"> relative to current market prices,</w:t>
      </w:r>
    </w:p>
    <w:p w14:paraId="2D3DE764" w14:textId="77777777" w:rsidR="00F67E9E" w:rsidRPr="00D00D9A" w:rsidRDefault="00F67E9E" w:rsidP="00F67E9E">
      <w:pPr>
        <w:pStyle w:val="StdBodyText1"/>
        <w:rPr>
          <w:rFonts w:cs="Arial"/>
        </w:rPr>
      </w:pPr>
      <w:r w:rsidRPr="00D00D9A">
        <w:rPr>
          <w:rFonts w:cs="Arial"/>
        </w:rPr>
        <w:t xml:space="preserve">(together the </w:t>
      </w:r>
      <w:r>
        <w:rPr>
          <w:rFonts w:cs="Arial"/>
        </w:rPr>
        <w:t>“</w:t>
      </w:r>
      <w:r w:rsidRPr="00D00D9A">
        <w:rPr>
          <w:rStyle w:val="StdBodyTextBoldChar"/>
          <w:rFonts w:eastAsiaTheme="majorEastAsia" w:cs="Arial"/>
        </w:rPr>
        <w:t>Financial Transparency Objectives</w:t>
      </w:r>
      <w:r>
        <w:rPr>
          <w:rFonts w:cs="Arial"/>
        </w:rPr>
        <w:t>”</w:t>
      </w:r>
      <w:r w:rsidRPr="00D00D9A">
        <w:rPr>
          <w:rFonts w:cs="Arial"/>
        </w:rPr>
        <w:t>).</w:t>
      </w:r>
    </w:p>
    <w:p w14:paraId="3AE2A5D2" w14:textId="77777777" w:rsidR="00F67E9E" w:rsidRPr="00D00D9A" w:rsidRDefault="00F67E9E" w:rsidP="00F67E9E">
      <w:pPr>
        <w:pStyle w:val="Numbered1"/>
      </w:pPr>
      <w:r w:rsidRPr="00D00D9A">
        <w:t>Open Book Data</w:t>
      </w:r>
    </w:p>
    <w:p w14:paraId="24002F80" w14:textId="77777777" w:rsidR="00F67E9E" w:rsidRPr="00190AA9" w:rsidRDefault="00F67E9E" w:rsidP="00F67E9E">
      <w:pPr>
        <w:pStyle w:val="Numbered11"/>
      </w:pPr>
      <w:r w:rsidRPr="00D00D9A">
        <w:t xml:space="preserve">The Supplier acknowledges the importance to the Authority of the Financial Transparency Objectives </w:t>
      </w:r>
      <w:r w:rsidRPr="00190AA9">
        <w:t>and the Authority’s need for complete transparency in the way in which the Charges are calculated.</w:t>
      </w:r>
    </w:p>
    <w:p w14:paraId="362AFC8B" w14:textId="77777777" w:rsidR="00F67E9E" w:rsidRPr="00D00D9A" w:rsidRDefault="00F67E9E" w:rsidP="00F67E9E">
      <w:pPr>
        <w:pStyle w:val="Numbered11"/>
      </w:pPr>
      <w:r w:rsidRPr="00190AA9">
        <w:t>During the Term</w:t>
      </w:r>
      <w:r w:rsidRPr="00D00D9A">
        <w:t>, and for a period of 7 years following the end of the Term, the Supplier shall:</w:t>
      </w:r>
    </w:p>
    <w:p w14:paraId="2A273F6F" w14:textId="77777777" w:rsidR="00F67E9E" w:rsidRPr="00190AA9" w:rsidRDefault="00F67E9E" w:rsidP="00F67E9E">
      <w:pPr>
        <w:pStyle w:val="Numbered111"/>
      </w:pPr>
      <w:r w:rsidRPr="00D00D9A">
        <w:t xml:space="preserve">maintain </w:t>
      </w:r>
      <w:r w:rsidRPr="00190AA9">
        <w:t>and retain the Open Book Data; and</w:t>
      </w:r>
    </w:p>
    <w:p w14:paraId="3EB93E1F" w14:textId="77777777" w:rsidR="00F67E9E" w:rsidRPr="00D00D9A" w:rsidRDefault="00F67E9E" w:rsidP="00F67E9E">
      <w:pPr>
        <w:pStyle w:val="Numbered111"/>
      </w:pPr>
      <w:r w:rsidRPr="00190AA9">
        <w:t>disclose a</w:t>
      </w:r>
      <w:r w:rsidRPr="00D00D9A">
        <w:t>nd allow the Authority and/or the Audit Agents access to the Open Book Data.</w:t>
      </w:r>
    </w:p>
    <w:p w14:paraId="6390F8F6" w14:textId="77777777" w:rsidR="00F67E9E" w:rsidRPr="00D00D9A" w:rsidRDefault="00F67E9E" w:rsidP="00F67E9E">
      <w:pPr>
        <w:pStyle w:val="Numbered1"/>
      </w:pPr>
      <w:bookmarkStart w:id="1492" w:name="_Ref_ContractCompanion_9kb9Ur25A"/>
      <w:r w:rsidRPr="00D00D9A">
        <w:t xml:space="preserve">Onerous </w:t>
      </w:r>
      <w:r w:rsidRPr="00A64242">
        <w:t>Contracts</w:t>
      </w:r>
      <w:bookmarkEnd w:id="1492"/>
    </w:p>
    <w:p w14:paraId="4BABDD11" w14:textId="77777777" w:rsidR="00F67E9E" w:rsidRPr="00D00D9A" w:rsidRDefault="00F67E9E" w:rsidP="00F67E9E">
      <w:pPr>
        <w:pStyle w:val="Numbered11"/>
      </w:pPr>
      <w:r w:rsidRPr="00D00D9A">
        <w:t xml:space="preserve">If the Supplier publicly designates the Contract as an Onerous Contract (including where the Supplier has identified the Contract as such in any published accounts or public reports and announcements), the Supplier shall promptly notify the Authority of the designation and shall prepare and deliver to the Authority within the timescales agreed by the Parties (an in any event, no later than 2 months following the publication of the designation) a draft Onerous Contract Report which includes </w:t>
      </w:r>
      <w:r w:rsidRPr="00A64242">
        <w:t>the</w:t>
      </w:r>
      <w:r w:rsidRPr="00D00D9A">
        <w:t xml:space="preserve"> following:</w:t>
      </w:r>
    </w:p>
    <w:p w14:paraId="1B4CBE01" w14:textId="77777777" w:rsidR="00F67E9E" w:rsidRPr="00A64242" w:rsidRDefault="00F67E9E" w:rsidP="00F67E9E">
      <w:pPr>
        <w:pStyle w:val="Numbered111"/>
      </w:pPr>
      <w:r w:rsidRPr="00D00D9A">
        <w:t xml:space="preserve">An initial root cause analysis of the issues and circumstances which may have contributed to the </w:t>
      </w:r>
      <w:r w:rsidRPr="00A64242">
        <w:t>Contract being designated as an Onerous Contract;</w:t>
      </w:r>
    </w:p>
    <w:p w14:paraId="6A21E442" w14:textId="77777777" w:rsidR="00F67E9E" w:rsidRPr="00A64242" w:rsidRDefault="00F67E9E" w:rsidP="00F67E9E">
      <w:pPr>
        <w:pStyle w:val="Numbered111"/>
      </w:pPr>
      <w:r w:rsidRPr="00A64242">
        <w:t>An initial risk analysis and impact assessment on the provision of the Services as a result of the Supplier’s designation of the Contract as an Onerous Contract;</w:t>
      </w:r>
    </w:p>
    <w:p w14:paraId="313EA526" w14:textId="77777777" w:rsidR="00F67E9E" w:rsidRPr="00A64242" w:rsidRDefault="00F67E9E" w:rsidP="00F67E9E">
      <w:pPr>
        <w:pStyle w:val="Numbered111"/>
      </w:pPr>
      <w:r w:rsidRPr="00A64242">
        <w:t>the measures which the Supplier intends to put in place to minimise and mitigate any adverse impact on the provision on the Services;</w:t>
      </w:r>
    </w:p>
    <w:p w14:paraId="4B526F3B" w14:textId="77777777" w:rsidR="00F67E9E" w:rsidRPr="00D00D9A" w:rsidRDefault="00F67E9E" w:rsidP="00F67E9E">
      <w:pPr>
        <w:pStyle w:val="Numbered111"/>
      </w:pPr>
      <w:r w:rsidRPr="00A64242">
        <w:t>details of any other options which could be put in place to remove the designation of the Contract as an Onerous</w:t>
      </w:r>
      <w:r w:rsidRPr="00D00D9A">
        <w:t xml:space="preserve"> Contract and/or which could minimise and mitigate any adverse impact on the provision of the Services.</w:t>
      </w:r>
    </w:p>
    <w:p w14:paraId="34820EC3" w14:textId="77777777" w:rsidR="00F67E9E" w:rsidRPr="00A64242" w:rsidRDefault="00F67E9E" w:rsidP="00F67E9E">
      <w:pPr>
        <w:pStyle w:val="Numbered11"/>
      </w:pPr>
      <w:r w:rsidRPr="00D00D9A">
        <w:t xml:space="preserve">Following receipt of the Onerous Contract Report, the Authority shall review and comment on </w:t>
      </w:r>
      <w:r w:rsidRPr="00A64242">
        <w:t xml:space="preserve">the report as soon as reasonably practicable and the Parties shall cooperate in good faith to agree the final form of the report, which shall be submitted to the Programme Board, such final form report to be agreed no later than 1 month following the Authority’s receipt of the draft Onerous Contract Report. </w:t>
      </w:r>
    </w:p>
    <w:p w14:paraId="7C7D30FE" w14:textId="77777777" w:rsidR="00F67E9E" w:rsidRPr="00A64242" w:rsidRDefault="00F67E9E" w:rsidP="00F67E9E">
      <w:pPr>
        <w:pStyle w:val="Numbered11"/>
      </w:pPr>
      <w:r w:rsidRPr="00A64242">
        <w:t xml:space="preserve">The Programme Board shall meet within 14 </w:t>
      </w:r>
      <w:bookmarkStart w:id="1493" w:name="_9kR3WTr2AC7CCdZ1yqutK91KBz58uty70zol8DO"/>
      <w:r w:rsidRPr="00A64242">
        <w:t>Working Days of the final Onerous Contract Report</w:t>
      </w:r>
      <w:bookmarkEnd w:id="1493"/>
      <w:r w:rsidRPr="00A64242">
        <w:t xml:space="preserve"> being agreed by the Parties to discuss the contents of the report; and the Parties shall procure the attendance at the meeting of any key participants where reasonably required (including the Cabinet Office Markets and Suppliers team where the Supplier is a Strategic Supplier; representatives from any Key Sub-contractors/Monitored Suppliers; and the project’s senior responsible officers (or equivalent) for each Party).</w:t>
      </w:r>
    </w:p>
    <w:p w14:paraId="69CD7E86" w14:textId="77777777" w:rsidR="00F67E9E" w:rsidRDefault="00F67E9E" w:rsidP="00F67E9E">
      <w:pPr>
        <w:pStyle w:val="Numbered11"/>
      </w:pPr>
      <w:r w:rsidRPr="00A64242">
        <w:t>The Supplier</w:t>
      </w:r>
      <w:r w:rsidRPr="00D00D9A">
        <w:t xml:space="preserve"> acknowledges and agrees that the report is submitted to the Authority and Programme Board on an information only basis and the Authority and Programme Board</w:t>
      </w:r>
      <w:r>
        <w:t>’</w:t>
      </w:r>
      <w:r w:rsidRPr="00D00D9A">
        <w:t>s receipt of and comments in relation to the report shall not be deemed to be an acceptance or rejection of the report nor shall it relieve the Supplier of any liability under this Contract.</w:t>
      </w:r>
      <w:r>
        <w:t xml:space="preserve"> </w:t>
      </w:r>
      <w:r w:rsidRPr="00D00D9A">
        <w:t>Any Changes to be agreed by the Parties pursuant to the report shall be subject to the Change Control Procedure.</w:t>
      </w:r>
    </w:p>
    <w:p w14:paraId="0B7BDD6F" w14:textId="77777777" w:rsidR="00F67E9E" w:rsidRDefault="00F67E9E" w:rsidP="00F67E9E"/>
    <w:p w14:paraId="29EA9D61" w14:textId="77777777" w:rsidR="00F67E9E" w:rsidRDefault="00F67E9E" w:rsidP="00F67E9E">
      <w:pPr>
        <w:pStyle w:val="Heading2"/>
        <w:pageBreakBefore/>
      </w:pPr>
      <w:bookmarkStart w:id="1494" w:name="Sch19PartB"/>
      <w:bookmarkStart w:id="1495" w:name="_Ref41641519"/>
      <w:bookmarkStart w:id="1496" w:name="_Ref_ContractCompanion_9kb9Us454"/>
      <w:bookmarkStart w:id="1497" w:name="_Ref_ContractCompanion_9kb9Us7CD"/>
      <w:bookmarkStart w:id="1498" w:name="_Toc141711960"/>
      <w:r w:rsidRPr="000038E2">
        <w:t>Part</w:t>
      </w:r>
      <w:r>
        <w:t> </w:t>
      </w:r>
      <w:r w:rsidRPr="00D00D9A">
        <w:t>B</w:t>
      </w:r>
      <w:bookmarkEnd w:id="1494"/>
      <w:r w:rsidRPr="00D00D9A">
        <w:t>: Financial Reports</w:t>
      </w:r>
      <w:bookmarkEnd w:id="1495"/>
      <w:bookmarkEnd w:id="1496"/>
      <w:bookmarkEnd w:id="1497"/>
      <w:bookmarkEnd w:id="1498"/>
    </w:p>
    <w:p w14:paraId="28A4529A" w14:textId="77777777" w:rsidR="00F67E9E" w:rsidRPr="00D00D9A" w:rsidRDefault="00F67E9E" w:rsidP="00F67E9E">
      <w:pPr>
        <w:pStyle w:val="Numbered1"/>
        <w:numPr>
          <w:ilvl w:val="0"/>
          <w:numId w:val="282"/>
        </w:numPr>
      </w:pPr>
      <w:bookmarkStart w:id="1499" w:name="_Ref_ContractCompanion_9kb9Ur249"/>
      <w:r w:rsidRPr="00D00D9A">
        <w:t xml:space="preserve">Provision </w:t>
      </w:r>
      <w:r>
        <w:t>o</w:t>
      </w:r>
      <w:r w:rsidRPr="00D00D9A">
        <w:t xml:space="preserve">f </w:t>
      </w:r>
      <w:r>
        <w:t>t</w:t>
      </w:r>
      <w:r w:rsidRPr="00D00D9A">
        <w:t>he Financial Reports</w:t>
      </w:r>
      <w:bookmarkEnd w:id="1499"/>
    </w:p>
    <w:p w14:paraId="4301B8E9" w14:textId="77777777" w:rsidR="00F67E9E" w:rsidRPr="00D00D9A" w:rsidRDefault="00F67E9E" w:rsidP="00F67E9E">
      <w:pPr>
        <w:pStyle w:val="Numbered11"/>
      </w:pPr>
      <w:bookmarkStart w:id="1500" w:name="_Ref_ContractCompanion_9kb9Ur24B"/>
      <w:r w:rsidRPr="00D00D9A">
        <w:t xml:space="preserve">The Supplier </w:t>
      </w:r>
      <w:r w:rsidRPr="00A64242">
        <w:t>shall</w:t>
      </w:r>
      <w:r w:rsidRPr="00D00D9A">
        <w:t xml:space="preserve"> provide</w:t>
      </w:r>
      <w:bookmarkEnd w:id="1500"/>
    </w:p>
    <w:p w14:paraId="341F89C1" w14:textId="77777777" w:rsidR="00F67E9E" w:rsidRPr="00A64242" w:rsidRDefault="00F67E9E" w:rsidP="00F67E9E">
      <w:pPr>
        <w:pStyle w:val="Numbered111"/>
      </w:pPr>
      <w:r w:rsidRPr="00D00D9A">
        <w:t xml:space="preserve">the </w:t>
      </w:r>
      <w:r w:rsidRPr="00A64242">
        <w:t>Contract Inception Report on or before the Effective Date; and</w:t>
      </w:r>
    </w:p>
    <w:p w14:paraId="38F4730D" w14:textId="77777777" w:rsidR="00F67E9E" w:rsidRPr="00D00D9A" w:rsidRDefault="00F67E9E" w:rsidP="00F67E9E">
      <w:pPr>
        <w:pStyle w:val="Numbered111"/>
      </w:pPr>
      <w:r w:rsidRPr="00A64242">
        <w:t>during the Term the following financial reports to the Authority, in the frequency specifie</w:t>
      </w:r>
      <w:r w:rsidRPr="00D00D9A">
        <w:t>d below:</w:t>
      </w:r>
    </w:p>
    <w:tbl>
      <w:tblPr>
        <w:tblStyle w:val="MSATable-header"/>
        <w:tblW w:w="0" w:type="auto"/>
        <w:tblInd w:w="680" w:type="dxa"/>
        <w:tblLook w:val="04A0" w:firstRow="1" w:lastRow="0" w:firstColumn="1" w:lastColumn="0" w:noHBand="0" w:noVBand="1"/>
      </w:tblPr>
      <w:tblGrid>
        <w:gridCol w:w="3685"/>
        <w:gridCol w:w="5669"/>
      </w:tblGrid>
      <w:tr w:rsidR="00F67E9E" w:rsidRPr="00996FED" w14:paraId="5A86A1AF" w14:textId="77777777" w:rsidTr="007F74AA">
        <w:trPr>
          <w:cnfStyle w:val="100000000000" w:firstRow="1" w:lastRow="0" w:firstColumn="0" w:lastColumn="0" w:oddVBand="0" w:evenVBand="0" w:oddHBand="0" w:evenHBand="0" w:firstRowFirstColumn="0" w:firstRowLastColumn="0" w:lastRowFirstColumn="0" w:lastRowLastColumn="0"/>
          <w:tblHeader/>
        </w:trPr>
        <w:tc>
          <w:tcPr>
            <w:tcW w:w="3685" w:type="dxa"/>
            <w:vAlign w:val="bottom"/>
          </w:tcPr>
          <w:p w14:paraId="14EE8D92" w14:textId="77777777" w:rsidR="00F67E9E" w:rsidRPr="00996FED" w:rsidRDefault="00F67E9E" w:rsidP="007F74AA">
            <w:pPr>
              <w:pStyle w:val="StdBodyTextBold"/>
              <w:spacing w:before="0" w:after="0"/>
              <w:rPr>
                <w:rFonts w:cs="Arial"/>
                <w:b/>
                <w:bCs/>
              </w:rPr>
            </w:pPr>
            <w:r w:rsidRPr="00996FED">
              <w:rPr>
                <w:rFonts w:cs="Arial"/>
                <w:b/>
                <w:bCs/>
              </w:rPr>
              <w:t xml:space="preserve">Financial Report </w:t>
            </w:r>
          </w:p>
        </w:tc>
        <w:tc>
          <w:tcPr>
            <w:tcW w:w="5669" w:type="dxa"/>
            <w:vAlign w:val="bottom"/>
          </w:tcPr>
          <w:p w14:paraId="1EB9D755" w14:textId="77777777" w:rsidR="00F67E9E" w:rsidRPr="00996FED" w:rsidRDefault="00F67E9E" w:rsidP="007F74AA">
            <w:pPr>
              <w:pStyle w:val="StdBodyTextBold"/>
              <w:spacing w:before="0" w:after="0"/>
              <w:rPr>
                <w:rFonts w:cs="Arial"/>
                <w:b/>
                <w:bCs/>
              </w:rPr>
            </w:pPr>
            <w:r w:rsidRPr="00996FED">
              <w:rPr>
                <w:rFonts w:cs="Arial"/>
                <w:b/>
                <w:bCs/>
              </w:rPr>
              <w:t>When to be provided</w:t>
            </w:r>
          </w:p>
        </w:tc>
      </w:tr>
      <w:tr w:rsidR="00F67E9E" w:rsidRPr="00D00D9A" w14:paraId="2E8368E1" w14:textId="77777777" w:rsidTr="007F74AA">
        <w:tc>
          <w:tcPr>
            <w:tcW w:w="3685" w:type="dxa"/>
          </w:tcPr>
          <w:p w14:paraId="79F58D30" w14:textId="77777777" w:rsidR="00F67E9E" w:rsidRPr="00F445CA" w:rsidRDefault="00F67E9E" w:rsidP="007F74AA">
            <w:pPr>
              <w:pStyle w:val="StdBodyTextBold"/>
              <w:spacing w:before="0" w:after="0"/>
              <w:rPr>
                <w:rFonts w:cs="Arial"/>
                <w:b w:val="0"/>
                <w:bCs/>
              </w:rPr>
            </w:pPr>
            <w:r w:rsidRPr="00F445CA">
              <w:rPr>
                <w:rFonts w:cs="Arial"/>
                <w:b w:val="0"/>
                <w:bCs/>
              </w:rPr>
              <w:t xml:space="preserve">Contract Amendment Report </w:t>
            </w:r>
          </w:p>
        </w:tc>
        <w:tc>
          <w:tcPr>
            <w:tcW w:w="5669" w:type="dxa"/>
          </w:tcPr>
          <w:p w14:paraId="5C3669BD" w14:textId="77777777" w:rsidR="00F67E9E" w:rsidRPr="00D00D9A" w:rsidRDefault="00F67E9E" w:rsidP="007F74AA">
            <w:pPr>
              <w:pStyle w:val="StdBodyText2"/>
              <w:spacing w:before="0" w:after="0"/>
              <w:ind w:left="0"/>
              <w:rPr>
                <w:rFonts w:cs="Arial"/>
              </w:rPr>
            </w:pPr>
            <w:r w:rsidRPr="00D00D9A">
              <w:rPr>
                <w:rFonts w:cs="Arial"/>
              </w:rPr>
              <w:t xml:space="preserve">Within 1 month of a Material Change being agreed between the Supplier and the Authority </w:t>
            </w:r>
          </w:p>
        </w:tc>
      </w:tr>
      <w:tr w:rsidR="00F67E9E" w:rsidRPr="00D00D9A" w14:paraId="07EB925F" w14:textId="77777777" w:rsidTr="007F74AA">
        <w:tc>
          <w:tcPr>
            <w:tcW w:w="3685" w:type="dxa"/>
          </w:tcPr>
          <w:p w14:paraId="025B44D4" w14:textId="77777777" w:rsidR="00F67E9E" w:rsidRPr="00F445CA" w:rsidRDefault="00F67E9E" w:rsidP="007F74AA">
            <w:pPr>
              <w:pStyle w:val="StdBodyTextBold"/>
              <w:spacing w:before="0" w:after="0"/>
              <w:rPr>
                <w:rFonts w:cs="Arial"/>
                <w:b w:val="0"/>
                <w:bCs/>
              </w:rPr>
            </w:pPr>
            <w:r w:rsidRPr="00F445CA">
              <w:rPr>
                <w:rFonts w:cs="Arial"/>
                <w:b w:val="0"/>
                <w:bCs/>
              </w:rPr>
              <w:t xml:space="preserve">Quarterly Contract Report </w:t>
            </w:r>
          </w:p>
        </w:tc>
        <w:tc>
          <w:tcPr>
            <w:tcW w:w="5669" w:type="dxa"/>
          </w:tcPr>
          <w:p w14:paraId="026C1844" w14:textId="77777777" w:rsidR="00F67E9E" w:rsidRPr="00D00D9A" w:rsidRDefault="00F67E9E" w:rsidP="007F74AA">
            <w:pPr>
              <w:pStyle w:val="StdBodyText2"/>
              <w:spacing w:before="0" w:after="0"/>
              <w:ind w:left="0"/>
              <w:rPr>
                <w:rFonts w:cs="Arial"/>
              </w:rPr>
            </w:pPr>
            <w:r w:rsidRPr="00D00D9A">
              <w:rPr>
                <w:rFonts w:cs="Arial"/>
              </w:rPr>
              <w:t xml:space="preserve">Within 1 month of the end of each Quarter </w:t>
            </w:r>
          </w:p>
        </w:tc>
      </w:tr>
      <w:tr w:rsidR="00F67E9E" w:rsidRPr="00D00D9A" w14:paraId="7934F1DF" w14:textId="77777777" w:rsidTr="007F74AA">
        <w:tc>
          <w:tcPr>
            <w:tcW w:w="3685" w:type="dxa"/>
          </w:tcPr>
          <w:p w14:paraId="735AEA52" w14:textId="77777777" w:rsidR="00F67E9E" w:rsidRPr="00F445CA" w:rsidRDefault="00F67E9E" w:rsidP="007F74AA">
            <w:pPr>
              <w:pStyle w:val="StdBodyTextBold"/>
              <w:spacing w:before="0" w:after="0"/>
              <w:rPr>
                <w:rFonts w:cs="Arial"/>
                <w:b w:val="0"/>
                <w:bCs/>
              </w:rPr>
            </w:pPr>
            <w:r w:rsidRPr="00F445CA">
              <w:rPr>
                <w:rFonts w:cs="Arial"/>
                <w:b w:val="0"/>
                <w:bCs/>
              </w:rPr>
              <w:t>Annual Contract Report</w:t>
            </w:r>
          </w:p>
        </w:tc>
        <w:tc>
          <w:tcPr>
            <w:tcW w:w="5669" w:type="dxa"/>
          </w:tcPr>
          <w:p w14:paraId="01DC3DA1" w14:textId="77777777" w:rsidR="00F67E9E" w:rsidRPr="00D00D9A" w:rsidRDefault="00F67E9E" w:rsidP="007F74AA">
            <w:pPr>
              <w:pStyle w:val="StdBodyText2"/>
              <w:spacing w:before="0" w:after="0"/>
              <w:ind w:left="0"/>
              <w:rPr>
                <w:rFonts w:cs="Arial"/>
              </w:rPr>
            </w:pPr>
            <w:r w:rsidRPr="00D00D9A">
              <w:rPr>
                <w:rFonts w:cs="Arial"/>
              </w:rPr>
              <w:t>Within 1 month of the end of the Contract Year to which that report relates</w:t>
            </w:r>
          </w:p>
        </w:tc>
      </w:tr>
      <w:tr w:rsidR="00F67E9E" w:rsidRPr="00D00D9A" w14:paraId="48C31EA8" w14:textId="77777777" w:rsidTr="007F74AA">
        <w:tc>
          <w:tcPr>
            <w:tcW w:w="3685" w:type="dxa"/>
          </w:tcPr>
          <w:p w14:paraId="7F2FF48B" w14:textId="77777777" w:rsidR="00F67E9E" w:rsidRPr="00F445CA" w:rsidRDefault="00F67E9E" w:rsidP="007F74AA">
            <w:pPr>
              <w:pStyle w:val="StdBodyTextBold"/>
              <w:spacing w:before="0" w:after="0"/>
              <w:rPr>
                <w:rFonts w:cs="Arial"/>
                <w:b w:val="0"/>
                <w:bCs/>
              </w:rPr>
            </w:pPr>
            <w:r w:rsidRPr="00F445CA">
              <w:rPr>
                <w:rFonts w:cs="Arial"/>
                <w:b w:val="0"/>
                <w:bCs/>
              </w:rPr>
              <w:t>Final Reconciliation Report</w:t>
            </w:r>
          </w:p>
        </w:tc>
        <w:tc>
          <w:tcPr>
            <w:tcW w:w="5669" w:type="dxa"/>
          </w:tcPr>
          <w:p w14:paraId="6DC56511" w14:textId="77777777" w:rsidR="00F67E9E" w:rsidRPr="00D00D9A" w:rsidRDefault="00F67E9E" w:rsidP="007F74AA">
            <w:pPr>
              <w:pStyle w:val="StdBodyText2"/>
              <w:spacing w:before="0" w:after="0"/>
              <w:ind w:left="0"/>
              <w:rPr>
                <w:rFonts w:cs="Arial"/>
              </w:rPr>
            </w:pPr>
            <w:r w:rsidRPr="00D00D9A">
              <w:rPr>
                <w:rFonts w:cs="Arial"/>
              </w:rPr>
              <w:t>Within 6 months after the end of the Term</w:t>
            </w:r>
          </w:p>
        </w:tc>
      </w:tr>
    </w:tbl>
    <w:p w14:paraId="007BF903" w14:textId="77777777" w:rsidR="00F67E9E" w:rsidRPr="00F445CA" w:rsidRDefault="00F67E9E" w:rsidP="00F67E9E">
      <w:pPr>
        <w:pStyle w:val="Table-followingparagraph"/>
      </w:pPr>
      <w:bookmarkStart w:id="1501" w:name="_Ref_ContractCompanion_9kb9Us6DH"/>
    </w:p>
    <w:p w14:paraId="2F0CA3BC" w14:textId="77777777" w:rsidR="00F67E9E" w:rsidRPr="00A64242" w:rsidRDefault="00F67E9E" w:rsidP="00F67E9E">
      <w:pPr>
        <w:pStyle w:val="Numbered11"/>
      </w:pPr>
      <w:bookmarkStart w:id="1502" w:name="_Ref141357827"/>
      <w:r w:rsidRPr="00D00D9A">
        <w:t xml:space="preserve">The Supplier shall provide to the Authority the Financial Reports in the same software </w:t>
      </w:r>
      <w:r w:rsidRPr="00A64242">
        <w:t>package (Microsoft Excel or Microsoft Word), layout and format as the blank templates which have been issued by the Authority to the Supplier on or before the Effective Date for the purposes of this Contract. The Authority shall be entitled to modify the template for any Financial Report by giving written notice to the Supplier, including a copy of the updated template.</w:t>
      </w:r>
      <w:bookmarkEnd w:id="1501"/>
      <w:bookmarkEnd w:id="1502"/>
    </w:p>
    <w:p w14:paraId="12F22D41" w14:textId="77777777" w:rsidR="00F67E9E" w:rsidRPr="00A64242" w:rsidRDefault="00F67E9E" w:rsidP="00F67E9E">
      <w:pPr>
        <w:pStyle w:val="Numbered11"/>
      </w:pPr>
      <w:r w:rsidRPr="00A64242">
        <w:t xml:space="preserve">A copy of each Financial Report shall be held by both the Authority and the Supplier. If there is a Dispute regarding a Financial Report, the Authority’s copy of the relevant Financial Report shall be authoritative. </w:t>
      </w:r>
    </w:p>
    <w:p w14:paraId="6FBEE04D" w14:textId="77777777" w:rsidR="00F67E9E" w:rsidRPr="00D00D9A" w:rsidRDefault="00F67E9E" w:rsidP="00F67E9E">
      <w:pPr>
        <w:pStyle w:val="Numbered11"/>
      </w:pPr>
      <w:r w:rsidRPr="00A64242">
        <w:t>Each Fin</w:t>
      </w:r>
      <w:r w:rsidRPr="00D00D9A">
        <w:t xml:space="preserve">ancial Report shall: </w:t>
      </w:r>
    </w:p>
    <w:p w14:paraId="08AFEFB0" w14:textId="77777777" w:rsidR="00F67E9E" w:rsidRPr="00A64242" w:rsidRDefault="00F67E9E" w:rsidP="00F67E9E">
      <w:pPr>
        <w:pStyle w:val="Numbered111"/>
      </w:pPr>
      <w:r w:rsidRPr="00D00D9A">
        <w:t xml:space="preserve">be </w:t>
      </w:r>
      <w:r w:rsidRPr="00A64242">
        <w:t>completed by the Supplier using reasonable skill and care;</w:t>
      </w:r>
    </w:p>
    <w:p w14:paraId="608AD8A0" w14:textId="77777777" w:rsidR="00F67E9E" w:rsidRPr="00A64242" w:rsidRDefault="00F67E9E" w:rsidP="00F67E9E">
      <w:pPr>
        <w:pStyle w:val="Numbered111"/>
      </w:pPr>
      <w:r w:rsidRPr="00A64242">
        <w:t>incorporate and use the same defined terms as are used in this Contract;</w:t>
      </w:r>
    </w:p>
    <w:p w14:paraId="49A559FA" w14:textId="77777777" w:rsidR="00F67E9E" w:rsidRPr="00A64242" w:rsidRDefault="00F67E9E" w:rsidP="00F67E9E">
      <w:pPr>
        <w:pStyle w:val="Numbered111"/>
      </w:pPr>
      <w:r w:rsidRPr="00A64242">
        <w:t>quote all monetary values in pounds sterling;</w:t>
      </w:r>
    </w:p>
    <w:p w14:paraId="67799C37" w14:textId="77777777" w:rsidR="00F67E9E" w:rsidRPr="00A64242" w:rsidRDefault="00F67E9E" w:rsidP="00F67E9E">
      <w:pPr>
        <w:pStyle w:val="Numbered111"/>
      </w:pPr>
      <w:r w:rsidRPr="00A64242">
        <w:t>quote all Costs as exclusive of any VAT; and</w:t>
      </w:r>
    </w:p>
    <w:p w14:paraId="3F6AE65D" w14:textId="77777777" w:rsidR="00F67E9E" w:rsidRPr="00D00D9A" w:rsidRDefault="00F67E9E" w:rsidP="00F67E9E">
      <w:pPr>
        <w:pStyle w:val="Numbered111"/>
      </w:pPr>
      <w:r w:rsidRPr="00A64242">
        <w:t>quote</w:t>
      </w:r>
      <w:r w:rsidRPr="00D00D9A">
        <w:t xml:space="preserve"> all Costs and Charges based on current prices.</w:t>
      </w:r>
    </w:p>
    <w:p w14:paraId="03144559" w14:textId="77777777" w:rsidR="00F67E9E" w:rsidRPr="00D00D9A" w:rsidRDefault="00F67E9E" w:rsidP="00F67E9E">
      <w:pPr>
        <w:pStyle w:val="Numbered11"/>
      </w:pPr>
      <w:r w:rsidRPr="00D00D9A">
        <w:t>Each Annual Contract Report and the Final Reconciliation Report shall be certified by the Supplier</w:t>
      </w:r>
      <w:r>
        <w:t>’</w:t>
      </w:r>
      <w:r w:rsidRPr="00D00D9A">
        <w:t>s Chief Financial Officer or Director of Finance (or equivalent as agreed in writing by the Authority in advance of issue of the relevant Financial Report), acting with express authority, as:</w:t>
      </w:r>
    </w:p>
    <w:p w14:paraId="3BB5065A" w14:textId="77777777" w:rsidR="00F67E9E" w:rsidRPr="00A64242" w:rsidRDefault="00F67E9E" w:rsidP="00F67E9E">
      <w:pPr>
        <w:pStyle w:val="Numbered111"/>
      </w:pPr>
      <w:r w:rsidRPr="00D00D9A">
        <w:t xml:space="preserve">being </w:t>
      </w:r>
      <w:r w:rsidRPr="00A64242">
        <w:t xml:space="preserve">accurate and not misleading; </w:t>
      </w:r>
    </w:p>
    <w:p w14:paraId="2AC18C2E" w14:textId="77777777" w:rsidR="00F67E9E" w:rsidRPr="00A64242" w:rsidRDefault="00F67E9E" w:rsidP="00F67E9E">
      <w:pPr>
        <w:pStyle w:val="Numbered111"/>
      </w:pPr>
      <w:r w:rsidRPr="00A64242">
        <w:t xml:space="preserve">having been prepared in conformity with generally accepted accounting principles within the United Kingdom; </w:t>
      </w:r>
    </w:p>
    <w:p w14:paraId="5E2B9740" w14:textId="77777777" w:rsidR="00F67E9E" w:rsidRPr="00A64242" w:rsidRDefault="00F67E9E" w:rsidP="00F67E9E">
      <w:pPr>
        <w:pStyle w:val="Numbered111"/>
      </w:pPr>
      <w:r w:rsidRPr="00A64242">
        <w:t>being a true and fair reflection of the information included within the Supplier’s management and statutory accounts; and</w:t>
      </w:r>
    </w:p>
    <w:p w14:paraId="49566A96" w14:textId="1942C3D4" w:rsidR="00F67E9E" w:rsidRPr="00D00D9A" w:rsidRDefault="00F67E9E" w:rsidP="00F67E9E">
      <w:pPr>
        <w:pStyle w:val="Numbered111"/>
      </w:pPr>
      <w:r w:rsidRPr="00A64242">
        <w:t>compliant with</w:t>
      </w:r>
      <w:r w:rsidRPr="00D00D9A">
        <w:t xml:space="preserve"> the requirements of </w:t>
      </w:r>
      <w:bookmarkStart w:id="1503" w:name="_9kMHG5YVtCIBBFDBHkTlXiC85zt3I9sx9"/>
      <w:r w:rsidRPr="00D00D9A">
        <w:t xml:space="preserve">Paragraph </w:t>
      </w:r>
      <w:r w:rsidRPr="00D00D9A">
        <w:fldChar w:fldCharType="begin"/>
      </w:r>
      <w:r w:rsidRPr="00D00D9A">
        <w:instrText xml:space="preserve"> REF _Ref_ContractCompanion_9kb9Us58E \n \h \t \* MERGEFORMAT </w:instrText>
      </w:r>
      <w:r w:rsidRPr="00D00D9A">
        <w:fldChar w:fldCharType="separate"/>
      </w:r>
      <w:r w:rsidR="00302D39">
        <w:t>1.6</w:t>
      </w:r>
      <w:r w:rsidRPr="00D00D9A">
        <w:fldChar w:fldCharType="end"/>
      </w:r>
      <w:bookmarkEnd w:id="1503"/>
      <w:r w:rsidRPr="00D00D9A">
        <w:t>.</w:t>
      </w:r>
    </w:p>
    <w:p w14:paraId="1343CB65" w14:textId="77777777" w:rsidR="00F67E9E" w:rsidRPr="00D00D9A" w:rsidRDefault="00F67E9E" w:rsidP="00F67E9E">
      <w:pPr>
        <w:pStyle w:val="Numbered11"/>
      </w:pPr>
      <w:bookmarkStart w:id="1504" w:name="_Ref_ContractCompanion_9kb9Us58E"/>
      <w:bookmarkStart w:id="1505" w:name="_9kR3WTrAG99DB9FiRjVgA63xr1G7qv7"/>
      <w:r w:rsidRPr="00D00D9A">
        <w:t>The Supplier shall:</w:t>
      </w:r>
      <w:bookmarkEnd w:id="1504"/>
      <w:bookmarkEnd w:id="1505"/>
    </w:p>
    <w:p w14:paraId="2ADE9F6F" w14:textId="77777777" w:rsidR="00F67E9E" w:rsidRPr="00A64242" w:rsidRDefault="00F67E9E" w:rsidP="00F67E9E">
      <w:pPr>
        <w:pStyle w:val="Numbered111"/>
      </w:pPr>
      <w:r w:rsidRPr="00D00D9A">
        <w:t xml:space="preserve">prepare each Financial Report using the same methodology as that used for the </w:t>
      </w:r>
      <w:r w:rsidRPr="00A64242">
        <w:t>Contract Inception Report;</w:t>
      </w:r>
    </w:p>
    <w:p w14:paraId="39973293" w14:textId="77777777" w:rsidR="00F67E9E" w:rsidRPr="00A64242" w:rsidRDefault="00F67E9E" w:rsidP="00F67E9E">
      <w:pPr>
        <w:pStyle w:val="Numbered111"/>
      </w:pPr>
      <w:r w:rsidRPr="00A64242">
        <w:t>to the extent permitted by Law, ensure that each Annual Contract Report and each Contract Amendment Report (if any) is a true and fair reflection of the Costs and Supplier Profit Margin forecast by the Supplier;</w:t>
      </w:r>
    </w:p>
    <w:p w14:paraId="787C15A7" w14:textId="77777777" w:rsidR="00F67E9E" w:rsidRPr="00A64242" w:rsidRDefault="00F67E9E" w:rsidP="00F67E9E">
      <w:pPr>
        <w:pStyle w:val="Numbered111"/>
      </w:pPr>
      <w:r w:rsidRPr="00A64242">
        <w:t>to the extent permitted by Law, ensure that the Final Reconciliation Report is a true and fair reflection of the Costs; and</w:t>
      </w:r>
    </w:p>
    <w:p w14:paraId="4B57A938" w14:textId="77777777" w:rsidR="00F67E9E" w:rsidRPr="00D00D9A" w:rsidRDefault="00F67E9E" w:rsidP="00F67E9E">
      <w:pPr>
        <w:pStyle w:val="Numbered111"/>
      </w:pPr>
      <w:r w:rsidRPr="00A64242">
        <w:t>not have any other internal financial model in relation to the Services inconsistent with the Financial</w:t>
      </w:r>
      <w:r w:rsidRPr="00D00D9A">
        <w:t xml:space="preserve"> Model.</w:t>
      </w:r>
    </w:p>
    <w:p w14:paraId="7D03A56D" w14:textId="77777777" w:rsidR="00F67E9E" w:rsidRPr="00A64242" w:rsidRDefault="00F67E9E" w:rsidP="00F67E9E">
      <w:pPr>
        <w:pStyle w:val="Numbered11"/>
      </w:pPr>
      <w:r w:rsidRPr="00D00D9A">
        <w:t xml:space="preserve">During the Term, and for a period of 18 months following the end of the Term, the Supplier shall make available the Financial Representative at reasonable times and on reasonable notice </w:t>
      </w:r>
      <w:r w:rsidRPr="00A64242">
        <w:t xml:space="preserve">to answer any queries that the Authority may have on any of the Financial Reports and/or Open Book Data. </w:t>
      </w:r>
    </w:p>
    <w:p w14:paraId="0FEE4FDF" w14:textId="77777777" w:rsidR="00F67E9E" w:rsidRPr="00D00D9A" w:rsidRDefault="00F67E9E" w:rsidP="00F67E9E">
      <w:pPr>
        <w:pStyle w:val="Numbered11"/>
      </w:pPr>
      <w:bookmarkStart w:id="1506" w:name="_Ref_ContractCompanion_9kb9Us598"/>
      <w:bookmarkStart w:id="1507" w:name="_9kR3WTrAG99DECHZEwzlXiC85zt31pr2D4B8DEA"/>
      <w:r w:rsidRPr="00A64242">
        <w:t>If the S</w:t>
      </w:r>
      <w:r w:rsidRPr="00D00D9A">
        <w:t>upplier becomes aware of the occurrence, or the likelihood of the future occurrence, of an event which will or may have a material effect on the following:</w:t>
      </w:r>
      <w:bookmarkEnd w:id="1506"/>
      <w:bookmarkEnd w:id="1507"/>
    </w:p>
    <w:p w14:paraId="447AC87F" w14:textId="77777777" w:rsidR="00F67E9E" w:rsidRPr="00A64242" w:rsidRDefault="00F67E9E" w:rsidP="00F67E9E">
      <w:pPr>
        <w:pStyle w:val="Numbered111"/>
      </w:pPr>
      <w:r w:rsidRPr="00D00D9A">
        <w:t xml:space="preserve">the Costs incurred (or those forecast to </w:t>
      </w:r>
      <w:r w:rsidRPr="00A64242">
        <w:t>be incurred) by the Supplier; and/or</w:t>
      </w:r>
    </w:p>
    <w:p w14:paraId="356A899A" w14:textId="77777777" w:rsidR="00F67E9E" w:rsidRPr="00D00D9A" w:rsidRDefault="00F67E9E" w:rsidP="00F67E9E">
      <w:pPr>
        <w:pStyle w:val="Numbered111"/>
      </w:pPr>
      <w:r w:rsidRPr="00A64242">
        <w:t>the forecast Charges for the remainder of the</w:t>
      </w:r>
      <w:r w:rsidRPr="00D00D9A">
        <w:t xml:space="preserve"> Term, </w:t>
      </w:r>
    </w:p>
    <w:p w14:paraId="532DAE23" w14:textId="306DE6F7" w:rsidR="00F67E9E" w:rsidRPr="00D00D9A" w:rsidRDefault="00F67E9E" w:rsidP="00F67E9E">
      <w:pPr>
        <w:pStyle w:val="StdBodyText2"/>
        <w:rPr>
          <w:rFonts w:cs="Arial"/>
        </w:rPr>
      </w:pPr>
      <w:r w:rsidRPr="00D00D9A">
        <w:rPr>
          <w:rFonts w:cs="Arial"/>
        </w:rPr>
        <w:t xml:space="preserve">the Supplier shall, as soon as practicable, notify the Authority in writing of the event in question detailing the actual or anticipated effect. For the avoidance of doubt, notifications provided in accordance with this </w:t>
      </w:r>
      <w:bookmarkStart w:id="1508" w:name="_9kMHG5YVtCIBBFGEJbGy1nZkEA71v53rt4F6DAF"/>
      <w:r w:rsidRPr="00D00D9A">
        <w:rPr>
          <w:rFonts w:cs="Arial"/>
        </w:rPr>
        <w:t xml:space="preserve">Paragraph </w:t>
      </w:r>
      <w:r w:rsidRPr="00D00D9A">
        <w:rPr>
          <w:rFonts w:cs="Arial"/>
        </w:rPr>
        <w:fldChar w:fldCharType="begin"/>
      </w:r>
      <w:r w:rsidRPr="00D00D9A">
        <w:rPr>
          <w:rFonts w:cs="Arial"/>
        </w:rPr>
        <w:instrText xml:space="preserve"> REF _Ref_ContractCompanion_9kb9Us598 \n \h \t \* MERGEFORMAT </w:instrText>
      </w:r>
      <w:r w:rsidRPr="00D00D9A">
        <w:rPr>
          <w:rFonts w:cs="Arial"/>
        </w:rPr>
      </w:r>
      <w:r w:rsidRPr="00D00D9A">
        <w:rPr>
          <w:rFonts w:cs="Arial"/>
        </w:rPr>
        <w:fldChar w:fldCharType="separate"/>
      </w:r>
      <w:r w:rsidR="00302D39">
        <w:rPr>
          <w:rFonts w:cs="Arial"/>
        </w:rPr>
        <w:t>1.8</w:t>
      </w:r>
      <w:r w:rsidRPr="00D00D9A">
        <w:rPr>
          <w:rFonts w:cs="Arial"/>
        </w:rPr>
        <w:fldChar w:fldCharType="end"/>
      </w:r>
      <w:bookmarkEnd w:id="1508"/>
      <w:r w:rsidRPr="00D00D9A">
        <w:rPr>
          <w:rFonts w:cs="Arial"/>
        </w:rPr>
        <w:t xml:space="preserve"> shall not have the effect of amending any provisions of this Contract.</w:t>
      </w:r>
    </w:p>
    <w:p w14:paraId="1A7E62B6" w14:textId="77777777" w:rsidR="00F67E9E" w:rsidRPr="00D00D9A" w:rsidRDefault="00F67E9E" w:rsidP="00F67E9E">
      <w:pPr>
        <w:pStyle w:val="Numbered1"/>
      </w:pPr>
      <w:bookmarkStart w:id="1509" w:name="_Ref41641505"/>
      <w:r w:rsidRPr="00D00D9A">
        <w:t>Financial Model</w:t>
      </w:r>
      <w:bookmarkEnd w:id="1509"/>
    </w:p>
    <w:p w14:paraId="7D9DAC77" w14:textId="77777777" w:rsidR="00F67E9E" w:rsidRPr="00D00D9A" w:rsidRDefault="00F67E9E" w:rsidP="00F67E9E">
      <w:pPr>
        <w:pStyle w:val="Numbered11"/>
      </w:pPr>
      <w:r w:rsidRPr="00D00D9A">
        <w:t>Following the delivery by the Supplier of each Annual Contract Report and any Contract Amendment Report:</w:t>
      </w:r>
    </w:p>
    <w:p w14:paraId="24EE54F5" w14:textId="77777777" w:rsidR="00F67E9E" w:rsidRPr="00D00D9A" w:rsidRDefault="00F67E9E" w:rsidP="00F67E9E">
      <w:pPr>
        <w:pStyle w:val="Numbered111"/>
      </w:pPr>
      <w:bookmarkStart w:id="1510" w:name="_9kR3WTrAG99DHGBkqykTKtD5r2H7qv793wCSO94"/>
      <w:bookmarkStart w:id="1511" w:name="_Ref_ContractCompanion_9kb9Us59B"/>
      <w:r w:rsidRPr="00D00D9A">
        <w:t>the Parties shall meet to discuss its contents within 10 Working Days of receipt (or such other period as the Parties shall agree).</w:t>
      </w:r>
      <w:bookmarkEnd w:id="1510"/>
      <w:r w:rsidRPr="00D00D9A">
        <w:t xml:space="preserve"> The Financial Representative shall attend the meeting; </w:t>
      </w:r>
      <w:bookmarkEnd w:id="1511"/>
    </w:p>
    <w:p w14:paraId="663DFB11" w14:textId="77777777" w:rsidR="00F67E9E" w:rsidRPr="00D00D9A" w:rsidRDefault="00F67E9E" w:rsidP="00F67E9E">
      <w:pPr>
        <w:pStyle w:val="Numbered111"/>
      </w:pPr>
      <w:r w:rsidRPr="00D00D9A">
        <w:t xml:space="preserve">the Supplier shall make appropriate Supplier Personnel and advisers available to discuss any variations between the relevant Financial Report and the Contract Inception Report or immediately preceding Annual Contract Report or Contract Amendment Report (as the case may be) and to explain such variations (with reference to supporting evidence) to the satisfaction of the Authority; and </w:t>
      </w:r>
    </w:p>
    <w:p w14:paraId="72D5A0A0" w14:textId="22CCF841" w:rsidR="00F67E9E" w:rsidRPr="00D00D9A" w:rsidRDefault="00F67E9E" w:rsidP="00F67E9E">
      <w:pPr>
        <w:pStyle w:val="Numbered111"/>
      </w:pPr>
      <w:bookmarkStart w:id="1512" w:name="_Ref_ContractCompanion_9kb9Us59E"/>
      <w:bookmarkStart w:id="1513" w:name="_9kR3WTrAG99EB9BmsykEPF3zA58PP9sx931HH3E"/>
      <w:r w:rsidRPr="00D00D9A">
        <w:t xml:space="preserve">the Authority shall either within 10 Working Days of the meeting referred to in </w:t>
      </w:r>
      <w:bookmarkStart w:id="1514" w:name="_9kMHG5YVtCIBBFJIDms0mVMvF7t4J9sx9B5yEUQ"/>
      <w:r w:rsidRPr="00D00D9A">
        <w:t xml:space="preserve">Paragraph </w:t>
      </w:r>
      <w:r w:rsidRPr="00D00D9A">
        <w:fldChar w:fldCharType="begin"/>
      </w:r>
      <w:r w:rsidRPr="00D00D9A">
        <w:instrText xml:space="preserve"> REF _Ref_ContractCompanion_9kb9Us59B \w \h \t \* MERGEFORMAT </w:instrText>
      </w:r>
      <w:r w:rsidRPr="00D00D9A">
        <w:fldChar w:fldCharType="separate"/>
      </w:r>
      <w:r w:rsidR="00302D39">
        <w:t>2.1.1</w:t>
      </w:r>
      <w:r w:rsidRPr="00D00D9A">
        <w:fldChar w:fldCharType="end"/>
      </w:r>
      <w:bookmarkEnd w:id="1514"/>
      <w:r w:rsidRPr="00D00D9A">
        <w:t xml:space="preserve"> notify the Supplier that:</w:t>
      </w:r>
      <w:bookmarkEnd w:id="1512"/>
      <w:bookmarkEnd w:id="1513"/>
    </w:p>
    <w:p w14:paraId="08801815" w14:textId="77777777" w:rsidR="00F67E9E" w:rsidRPr="00D00D9A" w:rsidRDefault="00F67E9E" w:rsidP="00F67E9E">
      <w:pPr>
        <w:pStyle w:val="Numbered111a"/>
      </w:pPr>
      <w:r w:rsidRPr="00D00D9A">
        <w:t>the relevant Financial Report contains errors or omissions or that further explanations or supporting information is required, in which event the Supplier shall make any necessary modifications to the Financial Report and/or supply the Authority with such supporting evidence as is required to address the Authority</w:t>
      </w:r>
      <w:r>
        <w:t>’</w:t>
      </w:r>
      <w:r w:rsidRPr="00D00D9A">
        <w:t>s concerns within 10 Working Days of such notification and the Authority shall following receipt of such amended Financial Report and/or supporting information, approve or reject such Financial Report; or</w:t>
      </w:r>
    </w:p>
    <w:p w14:paraId="35289E25" w14:textId="77777777" w:rsidR="00F67E9E" w:rsidRPr="00D00D9A" w:rsidRDefault="00F67E9E" w:rsidP="00F67E9E">
      <w:pPr>
        <w:pStyle w:val="Numbered111a"/>
      </w:pPr>
      <w:r w:rsidRPr="00D00D9A">
        <w:t>the Authority has approved the relevant Financial Report.</w:t>
      </w:r>
    </w:p>
    <w:p w14:paraId="7247B3FA" w14:textId="75042007" w:rsidR="00F67E9E" w:rsidRPr="00A64242" w:rsidRDefault="00F67E9E" w:rsidP="00F67E9E">
      <w:pPr>
        <w:pStyle w:val="Numbered11"/>
      </w:pPr>
      <w:r w:rsidRPr="00D00D9A">
        <w:t xml:space="preserve">Following approval by the Authority of the relevant Financial Report in accordance with </w:t>
      </w:r>
      <w:bookmarkStart w:id="1515" w:name="_9kMHG5YVtCIBBGDBDou0mGRH51C7ARRBuzB53JJ"/>
      <w:r w:rsidRPr="00D00D9A">
        <w:t xml:space="preserve">Paragraph </w:t>
      </w:r>
      <w:r w:rsidRPr="00D00D9A">
        <w:fldChar w:fldCharType="begin"/>
      </w:r>
      <w:r w:rsidRPr="00D00D9A">
        <w:instrText xml:space="preserve"> REF _Ref_ContractCompanion_9kb9Us59E \w \h \t \* MERGEFORMAT </w:instrText>
      </w:r>
      <w:r w:rsidRPr="00D00D9A">
        <w:fldChar w:fldCharType="separate"/>
      </w:r>
      <w:r w:rsidR="00302D39">
        <w:t>2.1.3</w:t>
      </w:r>
      <w:r w:rsidRPr="00D00D9A">
        <w:fldChar w:fldCharType="end"/>
      </w:r>
      <w:bookmarkEnd w:id="1515"/>
      <w:r w:rsidRPr="00D00D9A">
        <w:t xml:space="preserve">, that version shall become, with effect from the date of such approval, the current approved version of the Financial Model for the purposes of this Contract, a version of which shall be held by both the Authority and the Supplier. If there is a Dispute regarding a </w:t>
      </w:r>
      <w:r w:rsidRPr="00A64242">
        <w:t>Financial Report, the Authority’s copy of the relevant Financial Report shall be authoritative.</w:t>
      </w:r>
    </w:p>
    <w:p w14:paraId="43D0630C" w14:textId="545780D7" w:rsidR="00F67E9E" w:rsidRPr="00D00D9A" w:rsidRDefault="00F67E9E" w:rsidP="00F67E9E">
      <w:pPr>
        <w:pStyle w:val="Numbered11"/>
      </w:pPr>
      <w:r w:rsidRPr="00A64242">
        <w:t>If the Parties are unable to reach agreement on any Financial Report within 30 Working Days</w:t>
      </w:r>
      <w:r w:rsidRPr="00D00D9A">
        <w:t xml:space="preserve"> of its receipt by the Authority, the matter shall be referred for determination in accordance with </w:t>
      </w:r>
      <w:r>
        <w:rPr>
          <w:rFonts w:cs="Arial"/>
        </w:rPr>
        <w:fldChar w:fldCharType="begin"/>
      </w:r>
      <w:r>
        <w:rPr>
          <w:rFonts w:cs="Arial"/>
        </w:rPr>
        <w:instrText xml:space="preserve"> REF Schedule23 \h </w:instrText>
      </w:r>
      <w:r>
        <w:rPr>
          <w:rFonts w:cs="Arial"/>
        </w:rPr>
      </w:r>
      <w:r>
        <w:rPr>
          <w:rFonts w:cs="Arial"/>
        </w:rPr>
        <w:fldChar w:fldCharType="separate"/>
      </w:r>
      <w:r w:rsidR="00302D39" w:rsidRPr="005D0525">
        <w:t>Schedule</w:t>
      </w:r>
      <w:r w:rsidR="00302D39">
        <w:t> </w:t>
      </w:r>
      <w:r w:rsidR="00302D39" w:rsidRPr="005D0525">
        <w:t>23</w:t>
      </w:r>
      <w:r>
        <w:rPr>
          <w:rFonts w:cs="Arial"/>
        </w:rPr>
        <w:fldChar w:fldCharType="end"/>
      </w:r>
      <w:r>
        <w:rPr>
          <w:rFonts w:cs="Arial"/>
        </w:rPr>
        <w:t xml:space="preserve"> (</w:t>
      </w:r>
      <w:r w:rsidRPr="002F30DB">
        <w:rPr>
          <w:rFonts w:cs="Arial"/>
          <w:i/>
          <w:iCs/>
        </w:rPr>
        <w:fldChar w:fldCharType="begin"/>
      </w:r>
      <w:r w:rsidRPr="002F30DB">
        <w:rPr>
          <w:rFonts w:cs="Arial"/>
          <w:i/>
          <w:iCs/>
        </w:rPr>
        <w:instrText xml:space="preserve"> REF Schedule23Heading \h </w:instrText>
      </w:r>
      <w:r>
        <w:rPr>
          <w:rFonts w:cs="Arial"/>
          <w:i/>
          <w:iCs/>
        </w:rPr>
        <w:instrText xml:space="preserve"> \* MERGEFORMAT </w:instrText>
      </w:r>
      <w:r w:rsidRPr="002F30DB">
        <w:rPr>
          <w:rFonts w:cs="Arial"/>
          <w:i/>
          <w:iCs/>
        </w:rPr>
      </w:r>
      <w:r w:rsidRPr="002F30DB">
        <w:rPr>
          <w:rFonts w:cs="Arial"/>
          <w:i/>
          <w:iCs/>
        </w:rPr>
        <w:fldChar w:fldCharType="separate"/>
      </w:r>
      <w:r w:rsidR="00302D39" w:rsidRPr="00302D39">
        <w:rPr>
          <w:i/>
          <w:iCs/>
        </w:rPr>
        <w:t>Dispute Resolution Procedure</w:t>
      </w:r>
      <w:r w:rsidRPr="002F30DB">
        <w:rPr>
          <w:rFonts w:cs="Arial"/>
          <w:i/>
          <w:iCs/>
        </w:rPr>
        <w:fldChar w:fldCharType="end"/>
      </w:r>
      <w:r>
        <w:rPr>
          <w:rFonts w:cs="Arial"/>
        </w:rPr>
        <w:t>)</w:t>
      </w:r>
      <w:r w:rsidRPr="00D00D9A">
        <w:t>.</w:t>
      </w:r>
    </w:p>
    <w:p w14:paraId="2C74AC7C" w14:textId="77777777" w:rsidR="00F67E9E" w:rsidRPr="00D00D9A" w:rsidRDefault="00F67E9E" w:rsidP="00F67E9E">
      <w:pPr>
        <w:pStyle w:val="Numbered1"/>
      </w:pPr>
      <w:r w:rsidRPr="00D00D9A">
        <w:t xml:space="preserve">Discussion </w:t>
      </w:r>
      <w:r>
        <w:t>o</w:t>
      </w:r>
      <w:r w:rsidRPr="00D00D9A">
        <w:t xml:space="preserve">f Quarterly Contract Reports </w:t>
      </w:r>
      <w:r>
        <w:t>a</w:t>
      </w:r>
      <w:r w:rsidRPr="00D00D9A">
        <w:t>nd Final Reconciliation Report</w:t>
      </w:r>
    </w:p>
    <w:p w14:paraId="1309E4D2" w14:textId="77777777" w:rsidR="00F67E9E" w:rsidRPr="00A64242" w:rsidRDefault="00F67E9E" w:rsidP="00F67E9E">
      <w:pPr>
        <w:pStyle w:val="Numbered11"/>
      </w:pPr>
      <w:r w:rsidRPr="00D00D9A">
        <w:t xml:space="preserve">Following the delivery by the Supplier of each Quarterly Contract Report, the Parties shall meet to discuss its contents within 10 Working Days of receipt (or such other period as the Parties </w:t>
      </w:r>
      <w:r w:rsidRPr="00A64242">
        <w:t>shall agree). The Financial Representative shall attend the meeting.</w:t>
      </w:r>
    </w:p>
    <w:p w14:paraId="7D9C029C" w14:textId="77777777" w:rsidR="00F67E9E" w:rsidRPr="00D00D9A" w:rsidRDefault="00F67E9E" w:rsidP="00F67E9E">
      <w:pPr>
        <w:pStyle w:val="Numbered11"/>
      </w:pPr>
      <w:r w:rsidRPr="00A64242">
        <w:t>Following the delivery by the Supplier of the Final Reconciliation Report, the Parties shall meet to di</w:t>
      </w:r>
      <w:r w:rsidRPr="00D00D9A">
        <w:t>scuss its contents within 10 Working Days of receipt (or such other period as the Parties shall agree). The Financial Representative shall attend the meeting.</w:t>
      </w:r>
    </w:p>
    <w:p w14:paraId="651D0EF5" w14:textId="77777777" w:rsidR="00F67E9E" w:rsidRPr="00D00D9A" w:rsidRDefault="00F67E9E" w:rsidP="00F67E9E">
      <w:pPr>
        <w:pStyle w:val="Numbered1"/>
      </w:pPr>
      <w:r w:rsidRPr="00D00D9A">
        <w:t>Key Sub</w:t>
      </w:r>
      <w:r>
        <w:t>-c</w:t>
      </w:r>
      <w:r w:rsidRPr="00D00D9A">
        <w:t>ontractors</w:t>
      </w:r>
    </w:p>
    <w:p w14:paraId="26D3C99D" w14:textId="77777777" w:rsidR="00F67E9E" w:rsidRPr="00D00D9A" w:rsidRDefault="00F67E9E" w:rsidP="00F67E9E">
      <w:pPr>
        <w:pStyle w:val="Numbered11"/>
      </w:pPr>
      <w:r w:rsidRPr="00D00D9A">
        <w:t xml:space="preserve">The Supplier shall, if requested by the Authority, provide (or procure the provision of) a report or reports including the level of information set out in the Financial Reports in relation to the costs and expenses to be incurred by any of its Key Sub-contractors. </w:t>
      </w:r>
    </w:p>
    <w:p w14:paraId="25EA4223" w14:textId="73A79B20" w:rsidR="00F67E9E" w:rsidRPr="00D00D9A" w:rsidRDefault="00F67E9E" w:rsidP="00F67E9E">
      <w:pPr>
        <w:pStyle w:val="Numbered11"/>
      </w:pPr>
      <w:r w:rsidRPr="00D00D9A">
        <w:t xml:space="preserve">Without prejudice to </w:t>
      </w:r>
      <w:bookmarkStart w:id="1516" w:name="_9kMHG5YVt4EE8BCaGpqgyts0DL"/>
      <w:r w:rsidRPr="00D00D9A">
        <w:t xml:space="preserve">Paragraph </w:t>
      </w:r>
      <w:r w:rsidRPr="00D00D9A">
        <w:fldChar w:fldCharType="begin"/>
      </w:r>
      <w:r w:rsidRPr="00D00D9A">
        <w:instrText xml:space="preserve"> REF _Ref_ContractCompanion_9kb9Ur254 \n \h \t \* MERGEFORMAT </w:instrText>
      </w:r>
      <w:r w:rsidRPr="00D00D9A">
        <w:fldChar w:fldCharType="separate"/>
      </w:r>
      <w:bookmarkStart w:id="1517" w:name="_9kMHG5YVt4BDAADECfTlFQG40B69Q8n7E98xGOK"/>
      <w:r w:rsidR="00302D39">
        <w:t>1.1</w:t>
      </w:r>
      <w:bookmarkEnd w:id="1517"/>
      <w:r w:rsidRPr="00D00D9A">
        <w:fldChar w:fldCharType="end"/>
      </w:r>
      <w:bookmarkEnd w:id="1516"/>
      <w:r w:rsidRPr="00D00D9A">
        <w:t xml:space="preserve"> of </w:t>
      </w:r>
      <w:r w:rsidRPr="00D00D9A">
        <w:fldChar w:fldCharType="begin"/>
      </w:r>
      <w:r w:rsidRPr="00D00D9A">
        <w:instrText xml:space="preserve"> REF Sch19PartC \h  \* MERGEFORMAT </w:instrText>
      </w:r>
      <w:r w:rsidRPr="00D00D9A">
        <w:fldChar w:fldCharType="separate"/>
      </w:r>
      <w:r w:rsidR="00302D39" w:rsidRPr="000038E2">
        <w:t>Part</w:t>
      </w:r>
      <w:r w:rsidR="00302D39">
        <w:t> </w:t>
      </w:r>
      <w:r w:rsidR="00302D39" w:rsidRPr="00D00D9A">
        <w:t>C</w:t>
      </w:r>
      <w:r w:rsidRPr="00D00D9A">
        <w:fldChar w:fldCharType="end"/>
      </w:r>
      <w:r w:rsidRPr="00D00D9A">
        <w:t>, the Supplier shall:</w:t>
      </w:r>
    </w:p>
    <w:p w14:paraId="26F7F1BD" w14:textId="77777777" w:rsidR="00F67E9E" w:rsidRPr="00A64242" w:rsidRDefault="00F67E9E" w:rsidP="00F67E9E">
      <w:pPr>
        <w:pStyle w:val="Numbered111"/>
      </w:pPr>
      <w:r w:rsidRPr="00D00D9A">
        <w:t>be responsible for auditing the financial models/reports of its Key Sub-contractors and for any associated costs and expenses incurred or forecast to be incurred; and</w:t>
      </w:r>
    </w:p>
    <w:p w14:paraId="11019BE8" w14:textId="77777777" w:rsidR="00F67E9E" w:rsidRPr="00D00D9A" w:rsidRDefault="00F67E9E" w:rsidP="00F67E9E">
      <w:pPr>
        <w:pStyle w:val="Numbered111"/>
      </w:pPr>
      <w:r w:rsidRPr="00A64242">
        <w:t>on</w:t>
      </w:r>
      <w:r w:rsidRPr="00D00D9A">
        <w:t xml:space="preserve"> written request by the Authority, provide the Authority or procure that the Authority is provided with:</w:t>
      </w:r>
    </w:p>
    <w:p w14:paraId="05C6C842" w14:textId="77777777" w:rsidR="00F67E9E" w:rsidRPr="00A64242" w:rsidRDefault="00F67E9E" w:rsidP="00F67E9E">
      <w:pPr>
        <w:pStyle w:val="Numbered111a"/>
      </w:pPr>
      <w:r w:rsidRPr="00D00D9A">
        <w:t xml:space="preserve">full copies of audit reports for the Key Sub-contractors. The Authority shall be </w:t>
      </w:r>
      <w:r w:rsidRPr="00A64242">
        <w:t>entitled to rely on such audit reports; and</w:t>
      </w:r>
    </w:p>
    <w:p w14:paraId="35FD4F90" w14:textId="77777777" w:rsidR="00F67E9E" w:rsidRDefault="00F67E9E" w:rsidP="00F67E9E">
      <w:pPr>
        <w:pStyle w:val="Numbered111a"/>
      </w:pPr>
      <w:r w:rsidRPr="00A64242">
        <w:t>further explanation of, and supporting information in relation to, any audit repo</w:t>
      </w:r>
      <w:r w:rsidRPr="00D00D9A">
        <w:t>rts provided.</w:t>
      </w:r>
    </w:p>
    <w:p w14:paraId="51E21B02" w14:textId="77777777" w:rsidR="00F67E9E" w:rsidRDefault="00F67E9E" w:rsidP="00F67E9E">
      <w:pPr>
        <w:pStyle w:val="Heading2"/>
        <w:pageBreakBefore/>
      </w:pPr>
      <w:bookmarkStart w:id="1518" w:name="_9kR3WTr8HB46EdorBx"/>
      <w:bookmarkStart w:id="1519" w:name="Sch19PartC"/>
      <w:bookmarkStart w:id="1520" w:name="_Ref_ContractCompanion_9kb9Ur9JK"/>
      <w:bookmarkStart w:id="1521" w:name="_Toc141711961"/>
      <w:bookmarkEnd w:id="1518"/>
      <w:r w:rsidRPr="000038E2">
        <w:t>Part</w:t>
      </w:r>
      <w:r>
        <w:t> </w:t>
      </w:r>
      <w:r w:rsidRPr="00D00D9A">
        <w:t>C</w:t>
      </w:r>
      <w:bookmarkEnd w:id="1519"/>
      <w:r w:rsidRPr="00D00D9A">
        <w:t>: Audit Rights</w:t>
      </w:r>
      <w:bookmarkEnd w:id="1520"/>
      <w:bookmarkEnd w:id="1521"/>
    </w:p>
    <w:p w14:paraId="6A32F171" w14:textId="77777777" w:rsidR="00F67E9E" w:rsidRPr="00A64242" w:rsidRDefault="00F67E9E" w:rsidP="00F67E9E">
      <w:pPr>
        <w:pStyle w:val="Numbered1"/>
        <w:numPr>
          <w:ilvl w:val="0"/>
          <w:numId w:val="283"/>
        </w:numPr>
      </w:pPr>
      <w:bookmarkStart w:id="1522" w:name="_Ref_ContractCompanion_9kb9Us5B8"/>
      <w:bookmarkStart w:id="1523" w:name="_9kR3WTrAG99FEDEaGp9VYQ15uBLB11FR"/>
      <w:r w:rsidRPr="00A64242">
        <w:t>Audit Rights</w:t>
      </w:r>
      <w:bookmarkEnd w:id="1522"/>
      <w:bookmarkEnd w:id="1523"/>
    </w:p>
    <w:p w14:paraId="3F657476" w14:textId="77777777" w:rsidR="00F67E9E" w:rsidRPr="00D00D9A" w:rsidRDefault="00F67E9E" w:rsidP="00F67E9E">
      <w:pPr>
        <w:pStyle w:val="Numbered11"/>
      </w:pPr>
      <w:bookmarkStart w:id="1524" w:name="_9kR3WTrAG99EHEAdRjDOE2y947O6l5C76vEMITF"/>
      <w:bookmarkStart w:id="1525" w:name="_9kR3WTr29B88BCAdRjDOE2y947O6l5C76vEMITF"/>
      <w:bookmarkStart w:id="1526" w:name="_Ref_ContractCompanion_9kb9Ur254"/>
      <w:bookmarkStart w:id="1527" w:name="_Ref_ContractCompanion_9kb9Us5AB"/>
      <w:r w:rsidRPr="00D00D9A">
        <w:t xml:space="preserve">The Authority, acting by itself or through its Audit Agents, shall have the right during the Term and </w:t>
      </w:r>
      <w:r w:rsidRPr="00A64242">
        <w:t>for</w:t>
      </w:r>
      <w:r w:rsidRPr="00D00D9A">
        <w:t xml:space="preserve"> a period of 18 months thereafter, to assess compliance by the Supplier and/or its Key Sub-contractors of the Supplier</w:t>
      </w:r>
      <w:r>
        <w:t>’</w:t>
      </w:r>
      <w:r w:rsidRPr="00D00D9A">
        <w:t>s obligations under this Contract, including for the following purposes:</w:t>
      </w:r>
      <w:bookmarkEnd w:id="1524"/>
      <w:bookmarkEnd w:id="1525"/>
      <w:r w:rsidRPr="00D00D9A">
        <w:t xml:space="preserve"> </w:t>
      </w:r>
      <w:bookmarkEnd w:id="1526"/>
      <w:bookmarkEnd w:id="1527"/>
    </w:p>
    <w:p w14:paraId="3231A8BC" w14:textId="77777777" w:rsidR="00F67E9E" w:rsidRPr="00A64242" w:rsidRDefault="00F67E9E" w:rsidP="00F67E9E">
      <w:pPr>
        <w:pStyle w:val="Numbered111"/>
      </w:pPr>
      <w:r w:rsidRPr="00D00D9A">
        <w:t xml:space="preserve">to </w:t>
      </w:r>
      <w:r w:rsidRPr="00A64242">
        <w:t>verify the integrity and content of any Financial Report;</w:t>
      </w:r>
    </w:p>
    <w:p w14:paraId="36231448" w14:textId="77777777" w:rsidR="00F67E9E" w:rsidRPr="00A64242" w:rsidRDefault="00F67E9E" w:rsidP="00F67E9E">
      <w:pPr>
        <w:pStyle w:val="Numbered111"/>
      </w:pPr>
      <w:r w:rsidRPr="00A64242">
        <w:t>to verify the accuracy of the Charges and any other amounts payable by the Authority under this Contract (and proposed or actual variations to such Charges and payments);</w:t>
      </w:r>
    </w:p>
    <w:p w14:paraId="7ACDDBC7" w14:textId="77777777" w:rsidR="00F67E9E" w:rsidRPr="00A64242" w:rsidRDefault="00F67E9E" w:rsidP="00F67E9E">
      <w:pPr>
        <w:pStyle w:val="Numbered111"/>
      </w:pPr>
      <w:r w:rsidRPr="00A64242">
        <w:t>to verify the Costs (including the amounts paid to all Sub-contractors and any third party suppliers);</w:t>
      </w:r>
    </w:p>
    <w:p w14:paraId="46756863" w14:textId="77777777" w:rsidR="00F67E9E" w:rsidRPr="00A64242" w:rsidRDefault="00F67E9E" w:rsidP="00F67E9E">
      <w:pPr>
        <w:pStyle w:val="Numbered111"/>
      </w:pPr>
      <w:r w:rsidRPr="00A64242">
        <w:t xml:space="preserve">to verify the Certificate of Costs and/or the Open Book Data; </w:t>
      </w:r>
    </w:p>
    <w:p w14:paraId="21328AFD" w14:textId="77777777" w:rsidR="00F67E9E" w:rsidRPr="00A64242" w:rsidRDefault="00F67E9E" w:rsidP="00F67E9E">
      <w:pPr>
        <w:pStyle w:val="Numbered111"/>
      </w:pPr>
      <w:r w:rsidRPr="00A64242">
        <w:t xml:space="preserve">to verify the Supplier’s and each Key Sub-contractor’s compliance with this Contract and applicable Law; </w:t>
      </w:r>
    </w:p>
    <w:p w14:paraId="2B0ACA67" w14:textId="77777777" w:rsidR="00F67E9E" w:rsidRPr="00A64242" w:rsidRDefault="00F67E9E" w:rsidP="00F67E9E">
      <w:pPr>
        <w:pStyle w:val="Numbered111"/>
      </w:pPr>
      <w:r w:rsidRPr="00A64242">
        <w:t xml:space="preserve">to identify or investigate actual or suspected fraud, impropriety or accounting mistakes or any breach or threatened breach of security and in these circumstances the Authority shall have no obligation to inform the Supplier of the purpose or objective of its investigations; </w:t>
      </w:r>
    </w:p>
    <w:p w14:paraId="580397A0" w14:textId="77777777" w:rsidR="00F67E9E" w:rsidRPr="00A64242" w:rsidRDefault="00F67E9E" w:rsidP="00F67E9E">
      <w:pPr>
        <w:pStyle w:val="Numbered111"/>
      </w:pPr>
      <w:r w:rsidRPr="00A64242">
        <w:t xml:space="preserve">to identify or investigate any circumstances which may impact upon the financial stability of the Supplier, the Guarantor and/or any Key Sub-contractors or their ability to perform the Services; </w:t>
      </w:r>
    </w:p>
    <w:p w14:paraId="1CDCB689" w14:textId="77777777" w:rsidR="00F67E9E" w:rsidRPr="00A64242" w:rsidRDefault="00F67E9E" w:rsidP="00F67E9E">
      <w:pPr>
        <w:pStyle w:val="Numbered111"/>
      </w:pPr>
      <w:r w:rsidRPr="00A64242">
        <w:t xml:space="preserve">to obtain such information as is necessary to fulfil the Authority’s obligations to supply information for parliamentary, ministerial, judicial or administrative purposes including the supply of information to the Comptroller and Auditor General; </w:t>
      </w:r>
    </w:p>
    <w:p w14:paraId="5A535E57" w14:textId="77777777" w:rsidR="00F67E9E" w:rsidRPr="00A64242" w:rsidRDefault="00F67E9E" w:rsidP="00F67E9E">
      <w:pPr>
        <w:pStyle w:val="Numbered111"/>
      </w:pPr>
      <w:r w:rsidRPr="00A64242">
        <w:t>to review any books of account and the internal contract management accounts kept by the Supplier in connection with this Contract;</w:t>
      </w:r>
    </w:p>
    <w:p w14:paraId="4B570EC4" w14:textId="77777777" w:rsidR="00F67E9E" w:rsidRPr="00A64242" w:rsidRDefault="00F67E9E" w:rsidP="00F67E9E">
      <w:pPr>
        <w:pStyle w:val="Numbered111"/>
      </w:pPr>
      <w:r w:rsidRPr="00A64242">
        <w:t>to carry out the Authority’s internal and statutory audits and to prepare, examine and/or certify the Authority’s annual and interim reports and accounts;</w:t>
      </w:r>
    </w:p>
    <w:p w14:paraId="65DE42E7" w14:textId="77777777" w:rsidR="00F67E9E" w:rsidRPr="00A64242" w:rsidRDefault="00F67E9E" w:rsidP="00F67E9E">
      <w:pPr>
        <w:pStyle w:val="Numbered111"/>
      </w:pPr>
      <w:r w:rsidRPr="00A64242">
        <w:t xml:space="preserve">to enable the National Audit Office to carry out an examination pursuant to </w:t>
      </w:r>
      <w:bookmarkStart w:id="1528" w:name="_9kR3WTr2797EHcLcszv1KM5x36sZQ3C8E10bfF4"/>
      <w:r w:rsidRPr="00A64242">
        <w:t>Section 6(1) of the National Audit Act 1983</w:t>
      </w:r>
      <w:bookmarkEnd w:id="1528"/>
      <w:r w:rsidRPr="00A64242">
        <w:t xml:space="preserve"> of the economy, efficiency and effectiveness with which the Authority has used its resources;</w:t>
      </w:r>
    </w:p>
    <w:p w14:paraId="1AB97F9F" w14:textId="77777777" w:rsidR="00F67E9E" w:rsidRPr="00A64242" w:rsidRDefault="00F67E9E" w:rsidP="00F67E9E">
      <w:pPr>
        <w:pStyle w:val="Numbered111"/>
      </w:pPr>
      <w:r w:rsidRPr="00A64242">
        <w:t xml:space="preserve">to verify the accuracy and completeness of any Management Information delivered or required by this Contract; </w:t>
      </w:r>
    </w:p>
    <w:p w14:paraId="5961B939" w14:textId="77777777" w:rsidR="00F67E9E" w:rsidRPr="00A64242" w:rsidRDefault="00F67E9E" w:rsidP="00F67E9E">
      <w:pPr>
        <w:pStyle w:val="Numbered111"/>
      </w:pPr>
      <w:r w:rsidRPr="00A64242">
        <w:t xml:space="preserve">to review any Performance Monitoring Reports and/or other records relating to the Supplier’s performance of the Services and to verify that these reflect the Supplier’s own internal reports and records; </w:t>
      </w:r>
    </w:p>
    <w:p w14:paraId="150B9DF8" w14:textId="77777777" w:rsidR="00F67E9E" w:rsidRPr="00A64242" w:rsidRDefault="00F67E9E" w:rsidP="00F67E9E">
      <w:pPr>
        <w:pStyle w:val="Numbered111"/>
      </w:pPr>
      <w:r w:rsidRPr="00A64242">
        <w:t xml:space="preserve">to inspect the IT Environment (or any part of it) and the wider service delivery environment (or any part of it); </w:t>
      </w:r>
    </w:p>
    <w:p w14:paraId="79B7F9E6" w14:textId="77777777" w:rsidR="00F67E9E" w:rsidRPr="00A64242" w:rsidRDefault="00F67E9E" w:rsidP="00F67E9E">
      <w:pPr>
        <w:pStyle w:val="Numbered111"/>
      </w:pPr>
      <w:r w:rsidRPr="00A64242">
        <w:t>to review the accuracy and completeness of the Registers;</w:t>
      </w:r>
    </w:p>
    <w:p w14:paraId="21FADF59" w14:textId="77777777" w:rsidR="00F67E9E" w:rsidRPr="00A64242" w:rsidRDefault="00F67E9E" w:rsidP="00F67E9E">
      <w:pPr>
        <w:pStyle w:val="Numbered111"/>
      </w:pPr>
      <w:r w:rsidRPr="00A64242">
        <w:t xml:space="preserve">to review any records created during the design and development of the Supplier System and pre-operational environment such as information relating to Testing; </w:t>
      </w:r>
    </w:p>
    <w:p w14:paraId="3057174D" w14:textId="77777777" w:rsidR="00F67E9E" w:rsidRPr="00A64242" w:rsidRDefault="00F67E9E" w:rsidP="00F67E9E">
      <w:pPr>
        <w:pStyle w:val="Numbered111"/>
      </w:pPr>
      <w:r w:rsidRPr="00A64242">
        <w:t>to review the Supplier’s quality management systems (including all relevant Quality Plans and any quality manuals and procedures);</w:t>
      </w:r>
    </w:p>
    <w:p w14:paraId="1825A0C5" w14:textId="77777777" w:rsidR="00F67E9E" w:rsidRPr="00A64242" w:rsidRDefault="00F67E9E" w:rsidP="00F67E9E">
      <w:pPr>
        <w:pStyle w:val="Numbered111"/>
      </w:pPr>
      <w:r w:rsidRPr="00A64242">
        <w:t xml:space="preserve">to review the Supplier’s compliance with the Standards; </w:t>
      </w:r>
    </w:p>
    <w:p w14:paraId="76955717" w14:textId="77777777" w:rsidR="00F67E9E" w:rsidRPr="00A64242" w:rsidRDefault="00F67E9E" w:rsidP="00F67E9E">
      <w:pPr>
        <w:pStyle w:val="Numbered111"/>
      </w:pPr>
      <w:r w:rsidRPr="00A64242">
        <w:t>to inspect the Authority Assets, including the Authority’s IPRs, equipment and facilities, for the purposes of ensuring that the Authority Assets are secure and that any register of assets is up to date; and/or</w:t>
      </w:r>
    </w:p>
    <w:p w14:paraId="5A3B1007" w14:textId="77777777" w:rsidR="00F67E9E" w:rsidRPr="00D00D9A" w:rsidRDefault="00F67E9E" w:rsidP="00F67E9E">
      <w:pPr>
        <w:pStyle w:val="Numbered111"/>
      </w:pPr>
      <w:r w:rsidRPr="00A64242">
        <w:t>to review the</w:t>
      </w:r>
      <w:r w:rsidRPr="00D00D9A">
        <w:t xml:space="preserve"> integrity, confidentiality and security of the Authority Data.</w:t>
      </w:r>
    </w:p>
    <w:p w14:paraId="26E2D45B" w14:textId="77777777" w:rsidR="00F67E9E" w:rsidRPr="00A64242" w:rsidRDefault="00F67E9E" w:rsidP="00F67E9E">
      <w:pPr>
        <w:pStyle w:val="Numbered11"/>
      </w:pPr>
      <w:r w:rsidRPr="00D00D9A">
        <w:t xml:space="preserve">Except where an audit is imposed on the Authority by a regulatory body or where the Authority has reasonable grounds for believing that the Supplier has not complied with its obligations under this Contract, the Authority may not conduct an audit of the Supplier or of the same </w:t>
      </w:r>
      <w:r w:rsidRPr="00A64242">
        <w:t>Key Sub-contractor more than twice in any Contract Year.</w:t>
      </w:r>
    </w:p>
    <w:p w14:paraId="66F96B8A" w14:textId="77777777" w:rsidR="00F67E9E" w:rsidRPr="00D00D9A" w:rsidRDefault="00F67E9E" w:rsidP="00F67E9E">
      <w:pPr>
        <w:pStyle w:val="Numbered11"/>
      </w:pPr>
      <w:r w:rsidRPr="00A64242">
        <w:t>Nothing in this Contract shall prevent or restrict the rights of the Comptroller and/or Auditor General and/or their representatives from carrying out an audit, examination or investigation of the Suppli</w:t>
      </w:r>
      <w:r w:rsidRPr="00D00D9A">
        <w:t xml:space="preserve">er and/or any of the Key Sub-contractors for the purposes of and pursuant to applicable Law. </w:t>
      </w:r>
    </w:p>
    <w:p w14:paraId="099F8E17" w14:textId="77777777" w:rsidR="00F67E9E" w:rsidRPr="00D00D9A" w:rsidRDefault="00F67E9E" w:rsidP="00F67E9E">
      <w:pPr>
        <w:pStyle w:val="Numbered1"/>
      </w:pPr>
      <w:bookmarkStart w:id="1529" w:name="_Ref_ContractCompanion_9kb9Us5A8"/>
      <w:bookmarkStart w:id="1530" w:name="_9kR3WTrAG99EEEEaGp9VZTx9z777K7uAE3KV"/>
      <w:r w:rsidRPr="00D00D9A">
        <w:t xml:space="preserve">Conduct </w:t>
      </w:r>
      <w:r>
        <w:t>o</w:t>
      </w:r>
      <w:r w:rsidRPr="00D00D9A">
        <w:t xml:space="preserve">f </w:t>
      </w:r>
      <w:r w:rsidRPr="00A64242">
        <w:t>Audits</w:t>
      </w:r>
      <w:bookmarkEnd w:id="1529"/>
      <w:bookmarkEnd w:id="1530"/>
    </w:p>
    <w:p w14:paraId="491AAC9F" w14:textId="77777777" w:rsidR="00F67E9E" w:rsidRPr="00A64242" w:rsidRDefault="00F67E9E" w:rsidP="00F67E9E">
      <w:pPr>
        <w:pStyle w:val="Numbered11"/>
      </w:pPr>
      <w:r w:rsidRPr="00D00D9A">
        <w:t xml:space="preserve">The Authority shall during each audit comply with those security, sites, systems and facilities operating procedures of the Supplier that the Authority deems reasonable and use its reasonable endeavours to ensure that the conduct of each audit does not unreasonably disrupt the </w:t>
      </w:r>
      <w:r w:rsidRPr="00A64242">
        <w:t>Supplier or delay the provision of the Services.</w:t>
      </w:r>
    </w:p>
    <w:p w14:paraId="1F5D264E" w14:textId="77777777" w:rsidR="00F67E9E" w:rsidRPr="00A64242" w:rsidRDefault="00F67E9E" w:rsidP="00F67E9E">
      <w:pPr>
        <w:pStyle w:val="Numbered11"/>
      </w:pPr>
      <w:r w:rsidRPr="00A64242">
        <w:t>Subject to the Authority’s obligations of confidentiality, the Supplier shall on demand provide the Authority and the Audit Agents with all reasonable co-operation and assistance (and shall procure such co-operation and assistance from its Sub-contractors) in relation to each audit, including:</w:t>
      </w:r>
    </w:p>
    <w:p w14:paraId="5393504E" w14:textId="77777777" w:rsidR="00F67E9E" w:rsidRPr="00A64242" w:rsidRDefault="00F67E9E" w:rsidP="00F67E9E">
      <w:pPr>
        <w:pStyle w:val="Numbered111"/>
      </w:pPr>
      <w:r w:rsidRPr="00D00D9A">
        <w:t xml:space="preserve">all information </w:t>
      </w:r>
      <w:r w:rsidRPr="00A64242">
        <w:t>requested by the Authority within the permitted scope of the audit;</w:t>
      </w:r>
    </w:p>
    <w:p w14:paraId="557CB599" w14:textId="77777777" w:rsidR="00F67E9E" w:rsidRPr="00A64242" w:rsidRDefault="00F67E9E" w:rsidP="00F67E9E">
      <w:pPr>
        <w:pStyle w:val="Numbered111"/>
      </w:pPr>
      <w:r w:rsidRPr="00A64242">
        <w:t xml:space="preserve">reasonable access to any Sites and to any equipment used (whether exclusively or non-exclusively) in the performance of the Services; </w:t>
      </w:r>
    </w:p>
    <w:p w14:paraId="2C4F92B0" w14:textId="77777777" w:rsidR="00F67E9E" w:rsidRPr="00A64242" w:rsidRDefault="00F67E9E" w:rsidP="00F67E9E">
      <w:pPr>
        <w:pStyle w:val="Numbered111"/>
      </w:pPr>
      <w:r w:rsidRPr="00A64242">
        <w:t xml:space="preserve">access to the Supplier System; and </w:t>
      </w:r>
    </w:p>
    <w:p w14:paraId="03BB3731" w14:textId="77777777" w:rsidR="00F67E9E" w:rsidRPr="00D00D9A" w:rsidRDefault="00F67E9E" w:rsidP="00F67E9E">
      <w:pPr>
        <w:pStyle w:val="Numbered111"/>
      </w:pPr>
      <w:r w:rsidRPr="00A64242">
        <w:t>access to Supplier</w:t>
      </w:r>
      <w:r w:rsidRPr="00D00D9A">
        <w:t xml:space="preserve"> Personnel.</w:t>
      </w:r>
    </w:p>
    <w:p w14:paraId="404110B1" w14:textId="77777777" w:rsidR="00F67E9E" w:rsidRPr="00D00D9A" w:rsidRDefault="00F67E9E" w:rsidP="00F67E9E">
      <w:pPr>
        <w:pStyle w:val="Numbered11"/>
      </w:pPr>
      <w:r w:rsidRPr="00D00D9A">
        <w:t>The Supplier shall implement all measurement and monitoring tools and procedures necessary to measure and report on the Supplier</w:t>
      </w:r>
      <w:r>
        <w:t>’</w:t>
      </w:r>
      <w:r w:rsidRPr="00D00D9A">
        <w:t>s performance of the Services against the applicable Performance Indicators at a level of detail sufficient to verify compliance with the Performance Indicators.</w:t>
      </w:r>
      <w:r>
        <w:t xml:space="preserve"> </w:t>
      </w:r>
    </w:p>
    <w:p w14:paraId="1B2A317E" w14:textId="77777777" w:rsidR="00F67E9E" w:rsidRPr="00D00D9A" w:rsidRDefault="00F67E9E" w:rsidP="00F67E9E">
      <w:pPr>
        <w:pStyle w:val="Numbered11"/>
      </w:pPr>
      <w:r w:rsidRPr="00D00D9A">
        <w:t>The Authority shall endeavour to (but is not obliged to) provide at least 15 Working Days</w:t>
      </w:r>
      <w:r>
        <w:t>’</w:t>
      </w:r>
      <w:r w:rsidRPr="00D00D9A">
        <w:t xml:space="preserve"> notice of its intention to conduct an audit. </w:t>
      </w:r>
    </w:p>
    <w:p w14:paraId="3CB9646C" w14:textId="4299CDB2" w:rsidR="00F67E9E" w:rsidRPr="00D00D9A" w:rsidRDefault="00F67E9E" w:rsidP="00F67E9E">
      <w:pPr>
        <w:pStyle w:val="Numbered11"/>
      </w:pPr>
      <w:r w:rsidRPr="00D00D9A">
        <w:t xml:space="preserve">The Parties agree that they shall bear their own respective costs and expenses incurred in respect of compliance with their obligations under this </w:t>
      </w:r>
      <w:bookmarkStart w:id="1531" w:name="_9kMHG5YVtCIBBGGGGcIrBXbVzB1999M9wCG5MX"/>
      <w:r w:rsidRPr="00D00D9A">
        <w:t xml:space="preserve">Paragraph </w:t>
      </w:r>
      <w:r w:rsidRPr="00D00D9A">
        <w:fldChar w:fldCharType="begin"/>
      </w:r>
      <w:r w:rsidRPr="00D00D9A">
        <w:instrText xml:space="preserve"> REF _Ref_ContractCompanion_9kb9Us5A8 \w \n \h \t \* MERGEFORMAT </w:instrText>
      </w:r>
      <w:r w:rsidRPr="00D00D9A">
        <w:fldChar w:fldCharType="separate"/>
      </w:r>
      <w:r w:rsidR="00302D39">
        <w:t>2</w:t>
      </w:r>
      <w:r w:rsidRPr="00D00D9A">
        <w:fldChar w:fldCharType="end"/>
      </w:r>
      <w:bookmarkEnd w:id="1531"/>
      <w:r w:rsidRPr="00D00D9A">
        <w:t>, unless the audit identifies a material Default by the Supplier in which case the Supplier shall reimburse the Authority for all the Authority</w:t>
      </w:r>
      <w:r>
        <w:t>’</w:t>
      </w:r>
      <w:r w:rsidRPr="00D00D9A">
        <w:t>s reasonable costs incurred in connection with the audit.</w:t>
      </w:r>
    </w:p>
    <w:p w14:paraId="2F4E5F2C" w14:textId="77777777" w:rsidR="00F67E9E" w:rsidRPr="00D00D9A" w:rsidRDefault="00F67E9E" w:rsidP="00F67E9E">
      <w:pPr>
        <w:pStyle w:val="Numbered1"/>
      </w:pPr>
      <w:bookmarkStart w:id="1532" w:name="_Ref_ContractCompanion_9kb9Us5BB"/>
      <w:bookmarkStart w:id="1533" w:name="_9kR3WTrAG99FHGEaGp9VamJ4138OMIF93DSKGSK"/>
      <w:r w:rsidRPr="00D00D9A">
        <w:t xml:space="preserve">Use </w:t>
      </w:r>
      <w:r>
        <w:t>o</w:t>
      </w:r>
      <w:r w:rsidRPr="00D00D9A">
        <w:t>f Supplier</w:t>
      </w:r>
      <w:r>
        <w:t>’</w:t>
      </w:r>
      <w:r w:rsidRPr="00D00D9A">
        <w:t>s Internal Audit Team</w:t>
      </w:r>
      <w:bookmarkEnd w:id="1532"/>
      <w:bookmarkEnd w:id="1533"/>
    </w:p>
    <w:p w14:paraId="6CA5EFF3" w14:textId="53A0FDE0" w:rsidR="00F67E9E" w:rsidRPr="00D00D9A" w:rsidRDefault="00F67E9E" w:rsidP="00F67E9E">
      <w:pPr>
        <w:pStyle w:val="Numbered11"/>
      </w:pPr>
      <w:bookmarkStart w:id="1534" w:name="_9kR3WTrAG99EKJCKJqmnm60z9t09C98JKE0UfVJ"/>
      <w:bookmarkStart w:id="1535" w:name="_Ref_ContractCompanion_9kb9Us5AE"/>
      <w:r w:rsidRPr="00D00D9A">
        <w:t>As an alternative to the Authority</w:t>
      </w:r>
      <w:r>
        <w:t>’</w:t>
      </w:r>
      <w:r w:rsidRPr="00D00D9A">
        <w:t xml:space="preserve">s right pursuant to </w:t>
      </w:r>
      <w:bookmarkStart w:id="1536" w:name="_9kMHG5YVtCIBBGJGCfTlFQG40B69Q8n7E98xGOK"/>
      <w:r w:rsidRPr="00D00D9A">
        <w:t xml:space="preserve">Paragraph </w:t>
      </w:r>
      <w:r w:rsidRPr="00D00D9A">
        <w:fldChar w:fldCharType="begin"/>
      </w:r>
      <w:r w:rsidRPr="00D00D9A">
        <w:instrText xml:space="preserve"> REF _Ref_ContractCompanion_9kb9Us5AB \n \h \t \* MERGEFORMAT </w:instrText>
      </w:r>
      <w:r w:rsidRPr="00D00D9A">
        <w:fldChar w:fldCharType="separate"/>
      </w:r>
      <w:bookmarkStart w:id="1537" w:name="_9kMIH5YVt4BDAADECfTlFQG40B69Q8n7E98xGOK"/>
      <w:r w:rsidR="00302D39">
        <w:t>1.1</w:t>
      </w:r>
      <w:bookmarkEnd w:id="1537"/>
      <w:r w:rsidRPr="00D00D9A">
        <w:fldChar w:fldCharType="end"/>
      </w:r>
      <w:bookmarkEnd w:id="1536"/>
      <w:r w:rsidRPr="00D00D9A">
        <w:t xml:space="preserve"> to exercise an audit either itself or through its Audit Agents, the Authority may require in writing that an audit is undertaken by the Supplier</w:t>
      </w:r>
      <w:r>
        <w:t>’</w:t>
      </w:r>
      <w:r w:rsidRPr="00D00D9A">
        <w:t xml:space="preserve">s own internal audit function for any of the purposes set out in </w:t>
      </w:r>
      <w:bookmarkStart w:id="1538" w:name="_9kMIH5YVtCIBBGJGCfTlFQG40B69Q8n7E98xGOK"/>
      <w:r w:rsidRPr="00D00D9A">
        <w:t xml:space="preserve">Paragraph </w:t>
      </w:r>
      <w:r w:rsidRPr="00D00D9A">
        <w:fldChar w:fldCharType="begin"/>
      </w:r>
      <w:r w:rsidRPr="00D00D9A">
        <w:instrText xml:space="preserve"> REF _Ref_ContractCompanion_9kb9Us5AB \n \h \t \* MERGEFORMAT </w:instrText>
      </w:r>
      <w:r w:rsidRPr="00D00D9A">
        <w:fldChar w:fldCharType="separate"/>
      </w:r>
      <w:bookmarkStart w:id="1539" w:name="_9kMJI5YVt4BDAADECfTlFQG40B69Q8n7E98xGOK"/>
      <w:r w:rsidR="00302D39">
        <w:t>1.1</w:t>
      </w:r>
      <w:bookmarkEnd w:id="1539"/>
      <w:r w:rsidRPr="00D00D9A">
        <w:fldChar w:fldCharType="end"/>
      </w:r>
      <w:bookmarkEnd w:id="1538"/>
      <w:r w:rsidRPr="00D00D9A">
        <w:t>.</w:t>
      </w:r>
      <w:bookmarkEnd w:id="1534"/>
      <w:r w:rsidRPr="00D00D9A">
        <w:t xml:space="preserve"> </w:t>
      </w:r>
      <w:bookmarkEnd w:id="1535"/>
    </w:p>
    <w:p w14:paraId="34F33CBB" w14:textId="26990CEE" w:rsidR="00F67E9E" w:rsidRPr="00D00D9A" w:rsidRDefault="00F67E9E" w:rsidP="00F67E9E">
      <w:pPr>
        <w:pStyle w:val="Numbered11"/>
      </w:pPr>
      <w:r w:rsidRPr="00D00D9A">
        <w:t xml:space="preserve">Following the receipt of a request from the Authority under </w:t>
      </w:r>
      <w:bookmarkStart w:id="1540" w:name="_9kMHG5YVtCIBBGMLEMLsopo821Bv2BEBALMG2Wh"/>
      <w:r w:rsidRPr="00D00D9A">
        <w:t xml:space="preserve">Paragraph </w:t>
      </w:r>
      <w:r w:rsidRPr="00D00D9A">
        <w:fldChar w:fldCharType="begin"/>
      </w:r>
      <w:r w:rsidRPr="00D00D9A">
        <w:instrText xml:space="preserve"> REF _Ref_ContractCompanion_9kb9Us5AE \n \h \t \* MERGEFORMAT </w:instrText>
      </w:r>
      <w:r w:rsidRPr="00D00D9A">
        <w:fldChar w:fldCharType="separate"/>
      </w:r>
      <w:r w:rsidR="00302D39">
        <w:t>3.1</w:t>
      </w:r>
      <w:r w:rsidRPr="00D00D9A">
        <w:fldChar w:fldCharType="end"/>
      </w:r>
      <w:bookmarkEnd w:id="1540"/>
      <w:r w:rsidRPr="00D00D9A">
        <w:t xml:space="preserve"> above, the Supplier shall procure that the relevant audit is undertaken as soon as reasonably practicable and that the Authority has unfettered access to:</w:t>
      </w:r>
    </w:p>
    <w:p w14:paraId="726DAAB9" w14:textId="77777777" w:rsidR="00F67E9E" w:rsidRPr="00D00D9A" w:rsidRDefault="00F67E9E" w:rsidP="00F67E9E">
      <w:pPr>
        <w:pStyle w:val="Numbered111"/>
      </w:pPr>
      <w:r w:rsidRPr="00D00D9A">
        <w:t xml:space="preserve">the resultant audit reports; and </w:t>
      </w:r>
    </w:p>
    <w:p w14:paraId="743B5E69" w14:textId="77777777" w:rsidR="00F67E9E" w:rsidRPr="00D00D9A" w:rsidRDefault="00F67E9E" w:rsidP="00F67E9E">
      <w:pPr>
        <w:pStyle w:val="Numbered111"/>
      </w:pPr>
      <w:r w:rsidRPr="00D00D9A">
        <w:t>all relevant members of the Supplier</w:t>
      </w:r>
      <w:r>
        <w:t>’</w:t>
      </w:r>
      <w:r w:rsidRPr="00D00D9A">
        <w:t>s internal audit team for the purpose of understanding such audit reports.</w:t>
      </w:r>
    </w:p>
    <w:p w14:paraId="24A1CEDE" w14:textId="77777777" w:rsidR="00F67E9E" w:rsidRPr="00D00D9A" w:rsidRDefault="00F67E9E" w:rsidP="00F67E9E">
      <w:pPr>
        <w:pStyle w:val="Numbered1"/>
      </w:pPr>
      <w:r w:rsidRPr="00D00D9A">
        <w:t xml:space="preserve">Response </w:t>
      </w:r>
      <w:r>
        <w:t>t</w:t>
      </w:r>
      <w:r w:rsidRPr="00D00D9A">
        <w:t>o Audits</w:t>
      </w:r>
    </w:p>
    <w:p w14:paraId="6E89E3B3" w14:textId="1281E723" w:rsidR="00F67E9E" w:rsidRPr="00D00D9A" w:rsidRDefault="00F67E9E" w:rsidP="00F67E9E">
      <w:pPr>
        <w:pStyle w:val="Numbered11"/>
      </w:pPr>
      <w:r w:rsidRPr="00D00D9A">
        <w:t xml:space="preserve">If an audit undertaken pursuant to </w:t>
      </w:r>
      <w:bookmarkStart w:id="1541" w:name="_9kMHG5YVtCIBBHGFGcIrBXaS37wDND33HT"/>
      <w:r w:rsidRPr="00D00D9A">
        <w:t xml:space="preserve">Paragraphs </w:t>
      </w:r>
      <w:r w:rsidRPr="00D00D9A">
        <w:fldChar w:fldCharType="begin"/>
      </w:r>
      <w:r w:rsidRPr="00D00D9A">
        <w:instrText xml:space="preserve"> REF _Ref_ContractCompanion_9kb9Us5B8 \w \n \h \t \* MERGEFORMAT </w:instrText>
      </w:r>
      <w:r w:rsidRPr="00D00D9A">
        <w:fldChar w:fldCharType="separate"/>
      </w:r>
      <w:r w:rsidR="00302D39">
        <w:t>1</w:t>
      </w:r>
      <w:r w:rsidRPr="00D00D9A">
        <w:fldChar w:fldCharType="end"/>
      </w:r>
      <w:bookmarkEnd w:id="1541"/>
      <w:r w:rsidRPr="00D00D9A">
        <w:t xml:space="preserve"> or </w:t>
      </w:r>
      <w:bookmarkStart w:id="1542" w:name="_9kMHG5YVtCIBBHJIGcIrBXcoL635AQOKHB5FUMI"/>
      <w:r w:rsidRPr="00D00D9A">
        <w:fldChar w:fldCharType="begin"/>
      </w:r>
      <w:r w:rsidRPr="00D00D9A">
        <w:instrText xml:space="preserve"> REF _Ref_ContractCompanion_9kb9Us5BB \w \n \h \t \* MERGEFORMAT </w:instrText>
      </w:r>
      <w:r w:rsidRPr="00D00D9A">
        <w:fldChar w:fldCharType="separate"/>
      </w:r>
      <w:r w:rsidR="00302D39">
        <w:t>3</w:t>
      </w:r>
      <w:r w:rsidRPr="00D00D9A">
        <w:fldChar w:fldCharType="end"/>
      </w:r>
      <w:bookmarkEnd w:id="1542"/>
      <w:r w:rsidRPr="00D00D9A">
        <w:t xml:space="preserve"> identifies that: </w:t>
      </w:r>
    </w:p>
    <w:p w14:paraId="3AF14E0D" w14:textId="77777777" w:rsidR="00F67E9E" w:rsidRPr="00D00D9A" w:rsidRDefault="00F67E9E" w:rsidP="00F67E9E">
      <w:pPr>
        <w:pStyle w:val="Numbered111"/>
      </w:pPr>
      <w:r w:rsidRPr="00D00D9A">
        <w:t>the Supplier has committed a Default, the Authority may (without prejudice to any rights and remedies the Authority may have) require the Supplier to correct such Default as soon as reasonably practicable and, if such Default constitutes a Notifiable Default, to comply with the Rectification Plan Process;</w:t>
      </w:r>
    </w:p>
    <w:p w14:paraId="564C24A9" w14:textId="77777777" w:rsidR="00F67E9E" w:rsidRPr="00D00D9A" w:rsidRDefault="00F67E9E" w:rsidP="00F67E9E">
      <w:pPr>
        <w:pStyle w:val="Numbered111"/>
      </w:pPr>
      <w:r w:rsidRPr="00D00D9A">
        <w:t>there is an error in a Financial Report, the Supplier shall promptly rectify the error;</w:t>
      </w:r>
    </w:p>
    <w:p w14:paraId="42273C5D" w14:textId="77777777" w:rsidR="00F67E9E" w:rsidRPr="00D00D9A" w:rsidRDefault="00F67E9E" w:rsidP="00F67E9E">
      <w:pPr>
        <w:pStyle w:val="Numbered111"/>
      </w:pPr>
      <w:r w:rsidRPr="00D00D9A">
        <w:t>the Authority has overpaid any Charges, the Supplier shall pay to the Authority:</w:t>
      </w:r>
    </w:p>
    <w:p w14:paraId="764394DF" w14:textId="77777777" w:rsidR="00F67E9E" w:rsidRPr="00D00D9A" w:rsidRDefault="00F67E9E" w:rsidP="00F67E9E">
      <w:pPr>
        <w:pStyle w:val="Numbered111a"/>
      </w:pPr>
      <w:r w:rsidRPr="00D00D9A">
        <w:t>the amount overpaid;</w:t>
      </w:r>
    </w:p>
    <w:p w14:paraId="19B32E18" w14:textId="77777777" w:rsidR="00F67E9E" w:rsidRPr="00D00D9A" w:rsidRDefault="00F67E9E" w:rsidP="00F67E9E">
      <w:pPr>
        <w:pStyle w:val="Numbered111a"/>
      </w:pPr>
      <w:r w:rsidRPr="00D00D9A">
        <w:t xml:space="preserve">interest on the amount overpaid at the applicable rate under the </w:t>
      </w:r>
      <w:r w:rsidRPr="00043A03">
        <w:rPr>
          <w:i/>
          <w:iCs/>
        </w:rPr>
        <w:t>Late Payment of Commercial Debts (Interest) Act 1998</w:t>
      </w:r>
      <w:r w:rsidRPr="00D00D9A">
        <w:t>, accruing on a daily basis from the date of overpayment by the Authority up to the date of repayment by the Supplier; and</w:t>
      </w:r>
    </w:p>
    <w:p w14:paraId="09FC0499" w14:textId="77777777" w:rsidR="00F67E9E" w:rsidRPr="00D00D9A" w:rsidRDefault="00F67E9E" w:rsidP="00F67E9E">
      <w:pPr>
        <w:pStyle w:val="Numbered111a"/>
      </w:pPr>
      <w:r w:rsidRPr="00D00D9A">
        <w:t xml:space="preserve">the reasonable costs incurred by the Authority in </w:t>
      </w:r>
      <w:r w:rsidRPr="00A64242">
        <w:t>undertaking</w:t>
      </w:r>
      <w:r w:rsidRPr="00D00D9A">
        <w:t xml:space="preserve"> the audit,</w:t>
      </w:r>
    </w:p>
    <w:p w14:paraId="244905B3" w14:textId="77777777" w:rsidR="00F67E9E" w:rsidRPr="00D00D9A" w:rsidRDefault="00F67E9E" w:rsidP="00F67E9E">
      <w:pPr>
        <w:pStyle w:val="StdBodyText4"/>
        <w:ind w:left="1800"/>
        <w:rPr>
          <w:rFonts w:cs="Arial"/>
        </w:rPr>
      </w:pPr>
      <w:r w:rsidRPr="00D00D9A">
        <w:rPr>
          <w:rFonts w:cs="Arial"/>
        </w:rPr>
        <w:t>the Authority may exercise its right to deduct such amount from the Charges if it prefers; and</w:t>
      </w:r>
    </w:p>
    <w:p w14:paraId="206C6CA3" w14:textId="77777777" w:rsidR="00F67E9E" w:rsidRPr="00D00D9A" w:rsidRDefault="00F67E9E" w:rsidP="00F67E9E">
      <w:pPr>
        <w:pStyle w:val="Numbered111"/>
      </w:pPr>
      <w:r w:rsidRPr="00996FED">
        <w:t>the Authority has underpaid any Charges, the Supplier shall not be entitled to increase the Charges paid or payable by the Authority.</w:t>
      </w:r>
    </w:p>
    <w:p w14:paraId="7A905D10" w14:textId="77777777" w:rsidR="00F67E9E" w:rsidRPr="00D00D9A" w:rsidRDefault="00F67E9E" w:rsidP="00F67E9E">
      <w:pPr>
        <w:sectPr w:rsidR="00F67E9E" w:rsidRPr="00D00D9A" w:rsidSect="00240D26">
          <w:headerReference w:type="default" r:id="rId104"/>
          <w:footerReference w:type="default" r:id="rId105"/>
          <w:headerReference w:type="first" r:id="rId106"/>
          <w:footerReference w:type="first" r:id="rId107"/>
          <w:pgSz w:w="11900" w:h="16840"/>
          <w:pgMar w:top="1701" w:right="851" w:bottom="1134" w:left="851" w:header="567" w:footer="567" w:gutter="0"/>
          <w:cols w:space="720"/>
          <w:docGrid w:linePitch="360"/>
        </w:sectPr>
      </w:pPr>
    </w:p>
    <w:p w14:paraId="0F4F2354" w14:textId="77777777" w:rsidR="00F67E9E" w:rsidRPr="00EE4F10" w:rsidRDefault="00F67E9E" w:rsidP="00F67E9E">
      <w:pPr>
        <w:pStyle w:val="Dividername"/>
      </w:pPr>
      <w:r w:rsidRPr="00EE4F10">
        <w:t>Schedule 20</w:t>
      </w:r>
    </w:p>
    <w:p w14:paraId="6A0B125F" w14:textId="77777777" w:rsidR="00F67E9E" w:rsidRPr="00EE4F10" w:rsidRDefault="00F67E9E" w:rsidP="00F67E9E">
      <w:pPr>
        <w:pStyle w:val="Dividername"/>
      </w:pPr>
      <w:r w:rsidRPr="00EE4F10">
        <w:t>Anticipated Savings</w:t>
      </w:r>
    </w:p>
    <w:p w14:paraId="45CCC3F1" w14:textId="77777777" w:rsidR="00F67E9E" w:rsidRDefault="00F67E9E" w:rsidP="00F67E9E"/>
    <w:p w14:paraId="5B85D0F0" w14:textId="77777777" w:rsidR="00F67E9E" w:rsidRPr="00D00D9A" w:rsidRDefault="00F67E9E" w:rsidP="00F67E9E">
      <w:r w:rsidRPr="00D00D9A">
        <w:br w:type="page"/>
      </w:r>
    </w:p>
    <w:p w14:paraId="37AD5F9B" w14:textId="77777777" w:rsidR="00F67E9E" w:rsidRPr="005D0525" w:rsidRDefault="00F67E9E" w:rsidP="00F67E9E">
      <w:pPr>
        <w:pStyle w:val="Heading1"/>
      </w:pPr>
      <w:bookmarkStart w:id="1543" w:name="Schedule20"/>
      <w:bookmarkStart w:id="1544" w:name="_Ref92200008"/>
      <w:bookmarkStart w:id="1545" w:name="_Toc141711962"/>
      <w:r w:rsidRPr="005D0525">
        <w:t>Schedule</w:t>
      </w:r>
      <w:r>
        <w:t> </w:t>
      </w:r>
      <w:r w:rsidRPr="005D0525">
        <w:t>20</w:t>
      </w:r>
      <w:bookmarkEnd w:id="1543"/>
      <w:r>
        <w:t xml:space="preserve">: </w:t>
      </w:r>
      <w:bookmarkStart w:id="1546" w:name="Schedule20Heading"/>
      <w:r w:rsidRPr="00DD4CC2">
        <w:t>Anticipated Savings</w:t>
      </w:r>
      <w:bookmarkEnd w:id="1544"/>
      <w:bookmarkEnd w:id="1545"/>
      <w:bookmarkEnd w:id="1546"/>
    </w:p>
    <w:p w14:paraId="11397DAD" w14:textId="77777777" w:rsidR="00F67E9E" w:rsidRDefault="00F67E9E" w:rsidP="00F67E9E">
      <w:pPr>
        <w:pStyle w:val="StdBodyText"/>
      </w:pPr>
      <w:r w:rsidRPr="00D00D9A">
        <w:t>This Schedule defines the key benefit cate</w:t>
      </w:r>
      <w:r>
        <w:t>gories in which savings are anticipated.</w:t>
      </w:r>
    </w:p>
    <w:tbl>
      <w:tblPr>
        <w:tblStyle w:val="MSATable-header"/>
        <w:tblW w:w="10205" w:type="dxa"/>
        <w:tblLook w:val="04A0" w:firstRow="1" w:lastRow="0" w:firstColumn="1" w:lastColumn="0" w:noHBand="0" w:noVBand="1"/>
      </w:tblPr>
      <w:tblGrid>
        <w:gridCol w:w="737"/>
        <w:gridCol w:w="4932"/>
        <w:gridCol w:w="1701"/>
        <w:gridCol w:w="2835"/>
      </w:tblGrid>
      <w:tr w:rsidR="00F67E9E" w:rsidRPr="00996FED" w14:paraId="54AFEEFE" w14:textId="77777777" w:rsidTr="007F74AA">
        <w:trPr>
          <w:cnfStyle w:val="100000000000" w:firstRow="1" w:lastRow="0" w:firstColumn="0" w:lastColumn="0" w:oddVBand="0" w:evenVBand="0" w:oddHBand="0" w:evenHBand="0" w:firstRowFirstColumn="0" w:firstRowLastColumn="0" w:lastRowFirstColumn="0" w:lastRowLastColumn="0"/>
          <w:tblHeader/>
        </w:trPr>
        <w:tc>
          <w:tcPr>
            <w:tcW w:w="737" w:type="dxa"/>
            <w:vAlign w:val="bottom"/>
          </w:tcPr>
          <w:p w14:paraId="65970A72" w14:textId="77777777" w:rsidR="00F67E9E" w:rsidRPr="00996FED" w:rsidRDefault="00F67E9E" w:rsidP="007F74AA">
            <w:pPr>
              <w:pStyle w:val="StdBodyText"/>
              <w:spacing w:before="0" w:after="0"/>
            </w:pPr>
            <w:r w:rsidRPr="00996FED">
              <w:t>Ref.</w:t>
            </w:r>
          </w:p>
        </w:tc>
        <w:tc>
          <w:tcPr>
            <w:tcW w:w="4932" w:type="dxa"/>
            <w:vAlign w:val="bottom"/>
          </w:tcPr>
          <w:p w14:paraId="6E78A4E2" w14:textId="77777777" w:rsidR="00F67E9E" w:rsidRPr="00996FED" w:rsidRDefault="00F67E9E" w:rsidP="007F74AA">
            <w:pPr>
              <w:pStyle w:val="StdBodyText"/>
              <w:spacing w:before="0" w:after="0"/>
            </w:pPr>
            <w:r w:rsidRPr="00996FED">
              <w:t>Benefit Category</w:t>
            </w:r>
          </w:p>
        </w:tc>
        <w:tc>
          <w:tcPr>
            <w:tcW w:w="1701" w:type="dxa"/>
            <w:vAlign w:val="bottom"/>
          </w:tcPr>
          <w:p w14:paraId="255A5A67" w14:textId="77777777" w:rsidR="00F67E9E" w:rsidRPr="00996FED" w:rsidRDefault="00F67E9E" w:rsidP="007F74AA">
            <w:pPr>
              <w:pStyle w:val="StdBodyText"/>
              <w:spacing w:before="0" w:after="0"/>
            </w:pPr>
            <w:r w:rsidRPr="00996FED">
              <w:t>Indicative amount (£k)</w:t>
            </w:r>
          </w:p>
        </w:tc>
        <w:tc>
          <w:tcPr>
            <w:tcW w:w="2835" w:type="dxa"/>
            <w:vAlign w:val="bottom"/>
          </w:tcPr>
          <w:p w14:paraId="164AF544" w14:textId="77777777" w:rsidR="00F67E9E" w:rsidRPr="00996FED" w:rsidRDefault="00F67E9E" w:rsidP="007F74AA">
            <w:pPr>
              <w:pStyle w:val="StdBodyText"/>
              <w:spacing w:before="0" w:after="0"/>
            </w:pPr>
            <w:r w:rsidRPr="00996FED">
              <w:t>Timescale</w:t>
            </w:r>
          </w:p>
        </w:tc>
      </w:tr>
      <w:tr w:rsidR="00F67E9E" w:rsidRPr="00C74BA3" w14:paraId="11735A3C" w14:textId="77777777" w:rsidTr="007F74AA">
        <w:tc>
          <w:tcPr>
            <w:tcW w:w="737" w:type="dxa"/>
          </w:tcPr>
          <w:p w14:paraId="7C707670" w14:textId="77777777" w:rsidR="00F67E9E" w:rsidRPr="00C74BA3" w:rsidRDefault="00F67E9E" w:rsidP="007F74AA">
            <w:pPr>
              <w:pStyle w:val="StdBodyText"/>
              <w:spacing w:before="0" w:after="0"/>
            </w:pPr>
            <w:r w:rsidRPr="00C74BA3">
              <w:t>1</w:t>
            </w:r>
          </w:p>
        </w:tc>
        <w:tc>
          <w:tcPr>
            <w:tcW w:w="4932" w:type="dxa"/>
          </w:tcPr>
          <w:p w14:paraId="017CA3AC" w14:textId="77777777" w:rsidR="00F67E9E" w:rsidRPr="00401120" w:rsidRDefault="00F67E9E" w:rsidP="007F74AA">
            <w:pPr>
              <w:pStyle w:val="StdBodyText"/>
              <w:spacing w:before="0" w:after="0"/>
              <w:rPr>
                <w:bCs/>
                <w:iCs/>
                <w:highlight w:val="yellow"/>
              </w:rPr>
            </w:pPr>
            <w:r w:rsidRPr="00401120">
              <w:rPr>
                <w:bCs/>
                <w:iCs/>
                <w:highlight w:val="yellow"/>
              </w:rPr>
              <w:t>[E.g. - Reduction in Service Charges as Service delivery becomes more efficient and effective.</w:t>
            </w:r>
          </w:p>
          <w:p w14:paraId="259FB010" w14:textId="77777777" w:rsidR="00F67E9E" w:rsidRPr="00401120" w:rsidRDefault="00F67E9E" w:rsidP="007F74AA">
            <w:pPr>
              <w:pStyle w:val="StdBodyText"/>
              <w:spacing w:before="0" w:after="0"/>
              <w:rPr>
                <w:bCs/>
                <w:iCs/>
              </w:rPr>
            </w:pPr>
            <w:r w:rsidRPr="00401120">
              <w:rPr>
                <w:bCs/>
                <w:iCs/>
                <w:highlight w:val="yellow"/>
              </w:rPr>
              <w:t>Benefit realisation is measured against [a</w:t>
            </w:r>
            <w:r>
              <w:rPr>
                <w:bCs/>
                <w:iCs/>
                <w:highlight w:val="yellow"/>
              </w:rPr>
              <w:t> </w:t>
            </w:r>
            <w:r w:rsidRPr="00401120">
              <w:rPr>
                <w:bCs/>
                <w:iCs/>
                <w:highlight w:val="yellow"/>
              </w:rPr>
              <w:t>2020/21 baseline.]</w:t>
            </w:r>
          </w:p>
        </w:tc>
        <w:tc>
          <w:tcPr>
            <w:tcW w:w="1701" w:type="dxa"/>
          </w:tcPr>
          <w:p w14:paraId="7A322097" w14:textId="77777777" w:rsidR="00F67E9E" w:rsidRPr="00C74BA3" w:rsidRDefault="00F67E9E" w:rsidP="007F74AA">
            <w:pPr>
              <w:pStyle w:val="StdBodyText"/>
              <w:spacing w:before="0" w:after="0"/>
            </w:pPr>
            <w:r w:rsidRPr="00401120">
              <w:t>£</w:t>
            </w:r>
            <w:r w:rsidRPr="00C74BA3">
              <w:rPr>
                <w:highlight w:val="yellow"/>
              </w:rPr>
              <w:t>[</w:t>
            </w:r>
            <w:r w:rsidRPr="008758E7">
              <w:rPr>
                <w:highlight w:val="yellow"/>
              </w:rPr>
              <w:t>amount</w:t>
            </w:r>
            <w:r w:rsidRPr="00C74BA3">
              <w:rPr>
                <w:highlight w:val="yellow"/>
              </w:rPr>
              <w:t>]</w:t>
            </w:r>
            <w:r w:rsidRPr="00C74BA3">
              <w:t xml:space="preserve"> per annum </w:t>
            </w:r>
          </w:p>
        </w:tc>
        <w:tc>
          <w:tcPr>
            <w:tcW w:w="2835" w:type="dxa"/>
          </w:tcPr>
          <w:p w14:paraId="701930D5" w14:textId="77777777" w:rsidR="00F67E9E" w:rsidRPr="00C74BA3" w:rsidRDefault="00F67E9E" w:rsidP="007F74AA">
            <w:pPr>
              <w:pStyle w:val="StdBodyText"/>
              <w:spacing w:before="0" w:after="0"/>
            </w:pPr>
            <w:r w:rsidRPr="00D00D9A">
              <w:t>Contract</w:t>
            </w:r>
            <w:r w:rsidRPr="00C74BA3">
              <w:t xml:space="preserve"> Years </w:t>
            </w:r>
            <w:r w:rsidRPr="00C74BA3">
              <w:rPr>
                <w:highlight w:val="yellow"/>
              </w:rPr>
              <w:t>[</w:t>
            </w:r>
            <w:r w:rsidRPr="008758E7">
              <w:rPr>
                <w:highlight w:val="yellow"/>
              </w:rPr>
              <w:t>x</w:t>
            </w:r>
            <w:r w:rsidRPr="00C74BA3">
              <w:rPr>
                <w:highlight w:val="yellow"/>
              </w:rPr>
              <w:t>]</w:t>
            </w:r>
            <w:r w:rsidRPr="00C74BA3">
              <w:t xml:space="preserve"> to </w:t>
            </w:r>
            <w:r w:rsidRPr="00C74BA3">
              <w:rPr>
                <w:highlight w:val="yellow"/>
              </w:rPr>
              <w:t>[</w:t>
            </w:r>
            <w:r w:rsidRPr="008758E7">
              <w:rPr>
                <w:highlight w:val="yellow"/>
              </w:rPr>
              <w:t>y</w:t>
            </w:r>
            <w:r w:rsidRPr="00C74BA3">
              <w:rPr>
                <w:highlight w:val="yellow"/>
              </w:rPr>
              <w:t>]</w:t>
            </w:r>
          </w:p>
        </w:tc>
      </w:tr>
      <w:tr w:rsidR="00F67E9E" w:rsidRPr="00C74BA3" w14:paraId="0BDF89AB" w14:textId="77777777" w:rsidTr="007F74AA">
        <w:tc>
          <w:tcPr>
            <w:tcW w:w="737" w:type="dxa"/>
          </w:tcPr>
          <w:p w14:paraId="11597735" w14:textId="77777777" w:rsidR="00F67E9E" w:rsidRPr="00C74BA3" w:rsidRDefault="00F67E9E" w:rsidP="007F74AA">
            <w:pPr>
              <w:pStyle w:val="StdBodyText"/>
              <w:spacing w:before="0" w:after="0"/>
            </w:pPr>
            <w:r w:rsidRPr="00C74BA3">
              <w:t>2</w:t>
            </w:r>
          </w:p>
        </w:tc>
        <w:tc>
          <w:tcPr>
            <w:tcW w:w="4932" w:type="dxa"/>
          </w:tcPr>
          <w:p w14:paraId="303EE3B4" w14:textId="77777777" w:rsidR="00F67E9E" w:rsidRPr="00401120" w:rsidRDefault="00F67E9E" w:rsidP="007F74AA">
            <w:pPr>
              <w:pStyle w:val="StdBodyText"/>
              <w:spacing w:before="0" w:after="0"/>
              <w:rPr>
                <w:bCs/>
                <w:iCs/>
                <w:highlight w:val="yellow"/>
              </w:rPr>
            </w:pPr>
            <w:r w:rsidRPr="00401120">
              <w:rPr>
                <w:bCs/>
                <w:iCs/>
                <w:highlight w:val="yellow"/>
              </w:rPr>
              <w:t>[E.g. - Improvements in Authority staff productivity from using more flexible and agile services that match the needs of the business.</w:t>
            </w:r>
          </w:p>
          <w:p w14:paraId="77B233C0" w14:textId="77777777" w:rsidR="00F67E9E" w:rsidRPr="00401120" w:rsidRDefault="00F67E9E" w:rsidP="007F74AA">
            <w:pPr>
              <w:pStyle w:val="StdBodyText"/>
              <w:spacing w:before="0" w:after="0"/>
              <w:rPr>
                <w:bCs/>
                <w:iCs/>
                <w:highlight w:val="yellow"/>
              </w:rPr>
            </w:pPr>
            <w:r w:rsidRPr="00401120">
              <w:rPr>
                <w:bCs/>
                <w:iCs/>
                <w:highlight w:val="yellow"/>
              </w:rPr>
              <w:t>Benefits realisation is measured against a baseline of 4,000 directly employed staff in 2021/22.]</w:t>
            </w:r>
          </w:p>
        </w:tc>
        <w:tc>
          <w:tcPr>
            <w:tcW w:w="1701" w:type="dxa"/>
          </w:tcPr>
          <w:p w14:paraId="0A7831E8" w14:textId="77777777" w:rsidR="00F67E9E" w:rsidRPr="00C74BA3" w:rsidRDefault="00F67E9E" w:rsidP="007F74AA">
            <w:pPr>
              <w:pStyle w:val="StdBodyText"/>
              <w:spacing w:before="0" w:after="0"/>
            </w:pPr>
            <w:r w:rsidRPr="00401120">
              <w:t>£</w:t>
            </w:r>
            <w:r w:rsidRPr="00C74BA3">
              <w:rPr>
                <w:highlight w:val="yellow"/>
              </w:rPr>
              <w:t>[</w:t>
            </w:r>
            <w:r w:rsidRPr="008758E7">
              <w:rPr>
                <w:highlight w:val="yellow"/>
              </w:rPr>
              <w:t>amount</w:t>
            </w:r>
            <w:r w:rsidRPr="00C74BA3">
              <w:rPr>
                <w:highlight w:val="yellow"/>
              </w:rPr>
              <w:t>]</w:t>
            </w:r>
            <w:r w:rsidRPr="00C74BA3">
              <w:t xml:space="preserve"> year on year improvement (</w:t>
            </w:r>
            <w:r w:rsidRPr="00C74BA3">
              <w:rPr>
                <w:highlight w:val="yellow"/>
              </w:rPr>
              <w:t>[</w:t>
            </w:r>
            <w:r w:rsidRPr="008758E7">
              <w:rPr>
                <w:highlight w:val="yellow"/>
              </w:rPr>
              <w:t>x</w:t>
            </w:r>
            <w:r w:rsidRPr="00C74BA3">
              <w:rPr>
                <w:highlight w:val="yellow"/>
              </w:rPr>
              <w:t>]</w:t>
            </w:r>
            <w:r w:rsidRPr="00401120">
              <w:t xml:space="preserve">% </w:t>
            </w:r>
            <w:r w:rsidRPr="00C74BA3">
              <w:t>productivity increase)</w:t>
            </w:r>
          </w:p>
        </w:tc>
        <w:tc>
          <w:tcPr>
            <w:tcW w:w="2835" w:type="dxa"/>
          </w:tcPr>
          <w:p w14:paraId="401F4D26" w14:textId="77777777" w:rsidR="00F67E9E" w:rsidRPr="00C74BA3" w:rsidRDefault="00F67E9E" w:rsidP="007F74AA">
            <w:pPr>
              <w:pStyle w:val="StdBodyText"/>
              <w:spacing w:before="0" w:after="0"/>
            </w:pPr>
            <w:r w:rsidRPr="00D00D9A">
              <w:t>Contract Years</w:t>
            </w:r>
            <w:r w:rsidRPr="00C74BA3">
              <w:t xml:space="preserve"> </w:t>
            </w:r>
            <w:r w:rsidRPr="00C74BA3">
              <w:rPr>
                <w:highlight w:val="yellow"/>
              </w:rPr>
              <w:t>[</w:t>
            </w:r>
            <w:r w:rsidRPr="008758E7">
              <w:rPr>
                <w:highlight w:val="yellow"/>
              </w:rPr>
              <w:t>x</w:t>
            </w:r>
            <w:r w:rsidRPr="00C74BA3">
              <w:rPr>
                <w:highlight w:val="yellow"/>
              </w:rPr>
              <w:t>]</w:t>
            </w:r>
            <w:r w:rsidRPr="00C74BA3">
              <w:t xml:space="preserve"> to </w:t>
            </w:r>
            <w:r w:rsidRPr="00C74BA3">
              <w:rPr>
                <w:highlight w:val="yellow"/>
              </w:rPr>
              <w:t>[</w:t>
            </w:r>
            <w:r w:rsidRPr="008758E7">
              <w:rPr>
                <w:highlight w:val="yellow"/>
              </w:rPr>
              <w:t>y</w:t>
            </w:r>
            <w:r w:rsidRPr="00C74BA3">
              <w:rPr>
                <w:highlight w:val="yellow"/>
              </w:rPr>
              <w:t>]</w:t>
            </w:r>
          </w:p>
        </w:tc>
      </w:tr>
      <w:tr w:rsidR="00F67E9E" w:rsidRPr="00C74BA3" w14:paraId="0C9456B6" w14:textId="77777777" w:rsidTr="007F74AA">
        <w:tc>
          <w:tcPr>
            <w:tcW w:w="737" w:type="dxa"/>
          </w:tcPr>
          <w:p w14:paraId="19B116F3" w14:textId="77777777" w:rsidR="00F67E9E" w:rsidRPr="00C74BA3" w:rsidRDefault="00F67E9E" w:rsidP="007F74AA">
            <w:pPr>
              <w:pStyle w:val="StdBodyText"/>
              <w:spacing w:before="0" w:after="0"/>
            </w:pPr>
            <w:r w:rsidRPr="00C74BA3">
              <w:t>3</w:t>
            </w:r>
          </w:p>
        </w:tc>
        <w:tc>
          <w:tcPr>
            <w:tcW w:w="4932" w:type="dxa"/>
          </w:tcPr>
          <w:p w14:paraId="39CA3A1A" w14:textId="77777777" w:rsidR="00F67E9E" w:rsidRPr="00401120" w:rsidRDefault="00F67E9E" w:rsidP="007F74AA">
            <w:pPr>
              <w:pStyle w:val="StdBodyText"/>
              <w:spacing w:before="0" w:after="0"/>
              <w:rPr>
                <w:bCs/>
                <w:iCs/>
                <w:highlight w:val="yellow"/>
              </w:rPr>
            </w:pPr>
            <w:r w:rsidRPr="00401120">
              <w:rPr>
                <w:bCs/>
                <w:iCs/>
                <w:highlight w:val="yellow"/>
              </w:rPr>
              <w:t>[E.g. - Reduced electrical power consumption arising from adoption of new low energy technology.</w:t>
            </w:r>
          </w:p>
          <w:p w14:paraId="1E23B869" w14:textId="77777777" w:rsidR="00F67E9E" w:rsidRPr="00401120" w:rsidRDefault="00F67E9E" w:rsidP="007F74AA">
            <w:pPr>
              <w:pStyle w:val="StdBodyText"/>
              <w:spacing w:before="0" w:after="0"/>
              <w:rPr>
                <w:bCs/>
                <w:iCs/>
                <w:highlight w:val="yellow"/>
              </w:rPr>
            </w:pPr>
            <w:r w:rsidRPr="00401120">
              <w:rPr>
                <w:bCs/>
                <w:iCs/>
                <w:highlight w:val="yellow"/>
              </w:rPr>
              <w:t>Benefit realisation is measured against a 2020/21 baseline.]</w:t>
            </w:r>
          </w:p>
        </w:tc>
        <w:tc>
          <w:tcPr>
            <w:tcW w:w="1701" w:type="dxa"/>
          </w:tcPr>
          <w:p w14:paraId="5B665A20" w14:textId="77777777" w:rsidR="00F67E9E" w:rsidRPr="00C74BA3" w:rsidRDefault="00F67E9E" w:rsidP="007F74AA">
            <w:pPr>
              <w:pStyle w:val="StdBodyText"/>
              <w:spacing w:before="0" w:after="0"/>
            </w:pPr>
            <w:r w:rsidRPr="00401120">
              <w:t>£</w:t>
            </w:r>
            <w:r w:rsidRPr="00C74BA3">
              <w:rPr>
                <w:highlight w:val="yellow"/>
              </w:rPr>
              <w:t>[</w:t>
            </w:r>
            <w:r w:rsidRPr="008758E7">
              <w:rPr>
                <w:highlight w:val="yellow"/>
              </w:rPr>
              <w:t>amount</w:t>
            </w:r>
            <w:r w:rsidRPr="00C74BA3">
              <w:rPr>
                <w:highlight w:val="yellow"/>
              </w:rPr>
              <w:t>]</w:t>
            </w:r>
            <w:r w:rsidRPr="00C74BA3">
              <w:t xml:space="preserve"> per annum</w:t>
            </w:r>
          </w:p>
        </w:tc>
        <w:tc>
          <w:tcPr>
            <w:tcW w:w="2835" w:type="dxa"/>
          </w:tcPr>
          <w:p w14:paraId="009C707F" w14:textId="77777777" w:rsidR="00F67E9E" w:rsidRPr="00C74BA3" w:rsidRDefault="00F67E9E" w:rsidP="007F74AA">
            <w:pPr>
              <w:pStyle w:val="StdBodyText"/>
              <w:spacing w:before="0" w:after="0"/>
            </w:pPr>
            <w:r w:rsidRPr="00D00D9A">
              <w:t>Contract Years</w:t>
            </w:r>
            <w:r w:rsidRPr="00C74BA3">
              <w:t xml:space="preserve"> </w:t>
            </w:r>
            <w:r w:rsidRPr="00C74BA3">
              <w:rPr>
                <w:highlight w:val="yellow"/>
              </w:rPr>
              <w:t>[</w:t>
            </w:r>
            <w:r w:rsidRPr="008758E7">
              <w:rPr>
                <w:highlight w:val="yellow"/>
              </w:rPr>
              <w:t>x</w:t>
            </w:r>
            <w:r w:rsidRPr="00C74BA3">
              <w:rPr>
                <w:highlight w:val="yellow"/>
              </w:rPr>
              <w:t>]</w:t>
            </w:r>
            <w:r w:rsidRPr="00C74BA3">
              <w:t xml:space="preserve"> to </w:t>
            </w:r>
            <w:r w:rsidRPr="00C74BA3">
              <w:rPr>
                <w:highlight w:val="yellow"/>
              </w:rPr>
              <w:t>[</w:t>
            </w:r>
            <w:r w:rsidRPr="008758E7">
              <w:rPr>
                <w:highlight w:val="yellow"/>
              </w:rPr>
              <w:t>y</w:t>
            </w:r>
            <w:r w:rsidRPr="00C74BA3">
              <w:rPr>
                <w:highlight w:val="yellow"/>
              </w:rPr>
              <w:t>]</w:t>
            </w:r>
          </w:p>
        </w:tc>
      </w:tr>
    </w:tbl>
    <w:p w14:paraId="31CF3BCB" w14:textId="77777777" w:rsidR="00F67E9E" w:rsidRDefault="00F67E9E" w:rsidP="00F67E9E"/>
    <w:p w14:paraId="76359826" w14:textId="77777777" w:rsidR="00F67E9E" w:rsidRDefault="00F67E9E" w:rsidP="00F67E9E"/>
    <w:p w14:paraId="011AD13F" w14:textId="77777777" w:rsidR="00F67E9E" w:rsidRDefault="00F67E9E" w:rsidP="00F67E9E"/>
    <w:p w14:paraId="7CDA1B40" w14:textId="77777777" w:rsidR="00F67E9E" w:rsidRDefault="00F67E9E" w:rsidP="00F67E9E">
      <w:pPr>
        <w:sectPr w:rsidR="00F67E9E" w:rsidSect="00240D26">
          <w:headerReference w:type="default" r:id="rId108"/>
          <w:footerReference w:type="default" r:id="rId109"/>
          <w:pgSz w:w="11900" w:h="16840"/>
          <w:pgMar w:top="1701" w:right="851" w:bottom="1134" w:left="851" w:header="567" w:footer="567" w:gutter="0"/>
          <w:cols w:space="720"/>
          <w:docGrid w:linePitch="360"/>
        </w:sectPr>
      </w:pPr>
    </w:p>
    <w:p w14:paraId="56545D63" w14:textId="77777777" w:rsidR="00F67E9E" w:rsidRPr="00EE4F10" w:rsidRDefault="00F67E9E" w:rsidP="00F67E9E">
      <w:pPr>
        <w:pStyle w:val="Dividername"/>
      </w:pPr>
      <w:r w:rsidRPr="00EE4F10">
        <w:t>Schedule 21</w:t>
      </w:r>
    </w:p>
    <w:p w14:paraId="7D8F7CFF" w14:textId="77777777" w:rsidR="00F67E9E" w:rsidRPr="00EE4F10" w:rsidRDefault="00F67E9E" w:rsidP="00F67E9E">
      <w:pPr>
        <w:pStyle w:val="Dividername"/>
      </w:pPr>
      <w:r w:rsidRPr="00EE4F10">
        <w:t>Governance</w:t>
      </w:r>
    </w:p>
    <w:p w14:paraId="04BB4145" w14:textId="77777777" w:rsidR="00F67E9E" w:rsidRDefault="00F67E9E" w:rsidP="00F67E9E"/>
    <w:p w14:paraId="1EC3A6A5" w14:textId="77777777" w:rsidR="00F67E9E" w:rsidRPr="00D00D9A" w:rsidRDefault="00F67E9E" w:rsidP="00F67E9E">
      <w:r w:rsidRPr="00D00D9A">
        <w:br w:type="page"/>
      </w:r>
    </w:p>
    <w:p w14:paraId="52DCD2B8" w14:textId="77777777" w:rsidR="00F67E9E" w:rsidRPr="005D0525" w:rsidRDefault="00F67E9E" w:rsidP="00F67E9E">
      <w:pPr>
        <w:pStyle w:val="Heading1"/>
      </w:pPr>
      <w:bookmarkStart w:id="1547" w:name="Schedule21"/>
      <w:bookmarkStart w:id="1548" w:name="_Ref92200016"/>
      <w:bookmarkStart w:id="1549" w:name="_Toc141711963"/>
      <w:r w:rsidRPr="005D0525">
        <w:t>Schedule</w:t>
      </w:r>
      <w:r>
        <w:t> </w:t>
      </w:r>
      <w:r w:rsidRPr="005D0525">
        <w:t>21</w:t>
      </w:r>
      <w:bookmarkEnd w:id="1547"/>
      <w:r>
        <w:t xml:space="preserve">: </w:t>
      </w:r>
      <w:bookmarkStart w:id="1550" w:name="Schedule21Heading"/>
      <w:r w:rsidRPr="00DD4CC2">
        <w:t>Governance</w:t>
      </w:r>
      <w:bookmarkEnd w:id="1548"/>
      <w:bookmarkEnd w:id="1549"/>
      <w:bookmarkEnd w:id="1550"/>
    </w:p>
    <w:p w14:paraId="7C8CC152" w14:textId="77777777" w:rsidR="00F67E9E" w:rsidRPr="00D00D9A" w:rsidRDefault="00F67E9E" w:rsidP="00F67E9E">
      <w:pPr>
        <w:pStyle w:val="Numbered1"/>
        <w:numPr>
          <w:ilvl w:val="0"/>
          <w:numId w:val="180"/>
        </w:numPr>
      </w:pPr>
      <w:bookmarkStart w:id="1551" w:name="_9kR3WTrAG98HOiJfifw5qEPJWruz89GHDJO"/>
      <w:r w:rsidRPr="00961F5D">
        <w:t>Definitions</w:t>
      </w:r>
      <w:bookmarkEnd w:id="1551"/>
    </w:p>
    <w:p w14:paraId="3EE156E2" w14:textId="77777777" w:rsidR="00F67E9E" w:rsidRPr="00D00D9A" w:rsidRDefault="00F67E9E" w:rsidP="00F67E9E">
      <w:pPr>
        <w:pStyle w:val="Numbered11"/>
      </w:pPr>
      <w:r w:rsidRPr="00D00D9A">
        <w:t>In this Schedule, the following definitions shall apply:</w:t>
      </w:r>
    </w:p>
    <w:tbl>
      <w:tblPr>
        <w:tblStyle w:val="MSAdefinitions"/>
        <w:tblW w:w="9638" w:type="dxa"/>
        <w:tblLook w:val="04A0" w:firstRow="1" w:lastRow="0" w:firstColumn="1" w:lastColumn="0" w:noHBand="0" w:noVBand="1"/>
      </w:tblPr>
      <w:tblGrid>
        <w:gridCol w:w="2835"/>
        <w:gridCol w:w="6803"/>
      </w:tblGrid>
      <w:tr w:rsidR="00F67E9E" w:rsidRPr="00D00D9A" w14:paraId="2F4D52F8" w14:textId="77777777" w:rsidTr="007F74AA">
        <w:tc>
          <w:tcPr>
            <w:tcW w:w="2835" w:type="dxa"/>
          </w:tcPr>
          <w:p w14:paraId="65CEEBC0" w14:textId="77777777" w:rsidR="00F67E9E" w:rsidRPr="00D00D9A" w:rsidRDefault="00F67E9E" w:rsidP="007F74AA">
            <w:pPr>
              <w:pStyle w:val="StdBodyTextBold"/>
              <w:rPr>
                <w:rFonts w:cs="Arial"/>
              </w:rPr>
            </w:pPr>
            <w:r>
              <w:rPr>
                <w:rFonts w:cs="Arial"/>
              </w:rPr>
              <w:t>“</w:t>
            </w:r>
            <w:r w:rsidRPr="00D00D9A">
              <w:rPr>
                <w:rFonts w:cs="Arial"/>
              </w:rPr>
              <w:t>Board Member</w:t>
            </w:r>
            <w:r>
              <w:rPr>
                <w:rFonts w:cs="Arial"/>
              </w:rPr>
              <w:t>”</w:t>
            </w:r>
          </w:p>
        </w:tc>
        <w:tc>
          <w:tcPr>
            <w:tcW w:w="6803" w:type="dxa"/>
          </w:tcPr>
          <w:p w14:paraId="4E3701CF" w14:textId="2AEFE91B" w:rsidR="00F67E9E" w:rsidRPr="00D00D9A" w:rsidRDefault="00F67E9E" w:rsidP="007F74AA">
            <w:pPr>
              <w:pStyle w:val="StdBodyText"/>
              <w:rPr>
                <w:rFonts w:cs="Arial"/>
              </w:rPr>
            </w:pPr>
            <w:r w:rsidRPr="00D00D9A">
              <w:rPr>
                <w:rFonts w:cs="Arial"/>
              </w:rPr>
              <w:t xml:space="preserve">the initial persons appointed by the Authority and Supplier to the Boards as set out in Annex </w:t>
            </w:r>
            <w:r w:rsidRPr="00D00D9A">
              <w:rPr>
                <w:rFonts w:cs="Arial"/>
              </w:rPr>
              <w:fldChar w:fldCharType="begin"/>
            </w:r>
            <w:r w:rsidRPr="00D00D9A">
              <w:rPr>
                <w:rFonts w:cs="Arial"/>
              </w:rPr>
              <w:instrText xml:space="preserve"> REF ANNEX1_SCHEDULE21 \h </w:instrText>
            </w:r>
            <w:r>
              <w:rPr>
                <w:rFonts w:cs="Arial"/>
              </w:rPr>
              <w:instrText xml:space="preserve"> \* MERGEFORMAT </w:instrText>
            </w:r>
            <w:r w:rsidRPr="00D00D9A">
              <w:rPr>
                <w:rFonts w:cs="Arial"/>
              </w:rPr>
            </w:r>
            <w:r w:rsidRPr="00D00D9A">
              <w:rPr>
                <w:rFonts w:cs="Arial"/>
              </w:rPr>
              <w:fldChar w:fldCharType="separate"/>
            </w:r>
            <w:r w:rsidR="00302D39" w:rsidRPr="00302D39">
              <w:rPr>
                <w:rFonts w:cs="Arial"/>
              </w:rPr>
              <w:t>1</w:t>
            </w:r>
            <w:r w:rsidRPr="00D00D9A">
              <w:rPr>
                <w:rFonts w:cs="Arial"/>
              </w:rPr>
              <w:fldChar w:fldCharType="end"/>
            </w:r>
            <w:r w:rsidRPr="00D00D9A">
              <w:rPr>
                <w:rFonts w:cs="Arial"/>
              </w:rPr>
              <w:t xml:space="preserve"> and any replacements from time to time agreed by the Parties in accordance with </w:t>
            </w:r>
            <w:bookmarkStart w:id="1552" w:name="_9kMHG5YVtCIBBHMKGWO61nl34xDK9r49zFF1Cyc"/>
            <w:r w:rsidRPr="00D00D9A">
              <w:rPr>
                <w:rFonts w:cs="Arial"/>
              </w:rPr>
              <w:t xml:space="preserve">Paragraph </w:t>
            </w:r>
            <w:r w:rsidRPr="00D00D9A">
              <w:rPr>
                <w:rFonts w:cs="Arial"/>
              </w:rPr>
              <w:fldChar w:fldCharType="begin"/>
            </w:r>
            <w:r w:rsidRPr="00D00D9A">
              <w:rPr>
                <w:rFonts w:cs="Arial"/>
              </w:rPr>
              <w:instrText xml:space="preserve"> REF _Ref_ContractCompanion_9kb9Us5BE \n \h \t \* MERGEFORMAT </w:instrText>
            </w:r>
            <w:r w:rsidRPr="00D00D9A">
              <w:rPr>
                <w:rFonts w:cs="Arial"/>
              </w:rPr>
            </w:r>
            <w:r w:rsidRPr="00D00D9A">
              <w:rPr>
                <w:rFonts w:cs="Arial"/>
              </w:rPr>
              <w:fldChar w:fldCharType="separate"/>
            </w:r>
            <w:r w:rsidR="00302D39">
              <w:rPr>
                <w:rFonts w:cs="Arial"/>
              </w:rPr>
              <w:t>3.3</w:t>
            </w:r>
            <w:r w:rsidRPr="00D00D9A">
              <w:rPr>
                <w:rFonts w:cs="Arial"/>
              </w:rPr>
              <w:fldChar w:fldCharType="end"/>
            </w:r>
            <w:bookmarkEnd w:id="1552"/>
            <w:r w:rsidRPr="00D00D9A">
              <w:rPr>
                <w:rFonts w:cs="Arial"/>
              </w:rPr>
              <w:t>;</w:t>
            </w:r>
          </w:p>
        </w:tc>
      </w:tr>
      <w:tr w:rsidR="00F67E9E" w:rsidRPr="00D00D9A" w14:paraId="7F0D15D7" w14:textId="77777777" w:rsidTr="007F74AA">
        <w:tc>
          <w:tcPr>
            <w:tcW w:w="2835" w:type="dxa"/>
          </w:tcPr>
          <w:p w14:paraId="4474B5BB" w14:textId="77777777" w:rsidR="00F67E9E" w:rsidRPr="00D00D9A" w:rsidRDefault="00F67E9E" w:rsidP="007F74AA">
            <w:pPr>
              <w:pStyle w:val="StdBodyTextBold"/>
              <w:rPr>
                <w:rFonts w:cs="Arial"/>
              </w:rPr>
            </w:pPr>
            <w:r>
              <w:rPr>
                <w:rFonts w:cs="Arial"/>
              </w:rPr>
              <w:t>“</w:t>
            </w:r>
            <w:r w:rsidRPr="00D00D9A">
              <w:rPr>
                <w:rFonts w:cs="Arial"/>
              </w:rPr>
              <w:t>Boards</w:t>
            </w:r>
            <w:r>
              <w:rPr>
                <w:rFonts w:cs="Arial"/>
              </w:rPr>
              <w:t>”</w:t>
            </w:r>
          </w:p>
        </w:tc>
        <w:tc>
          <w:tcPr>
            <w:tcW w:w="6803" w:type="dxa"/>
          </w:tcPr>
          <w:p w14:paraId="4C6CA545" w14:textId="77777777" w:rsidR="00F67E9E" w:rsidRPr="00D00D9A" w:rsidRDefault="00F67E9E" w:rsidP="007F74AA">
            <w:pPr>
              <w:pStyle w:val="StdBodyText"/>
              <w:rPr>
                <w:rFonts w:cs="Arial"/>
              </w:rPr>
            </w:pPr>
            <w:r w:rsidRPr="00D00D9A">
              <w:rPr>
                <w:rFonts w:cs="Arial"/>
              </w:rPr>
              <w:t xml:space="preserve">the Service Management Board, Programme Board, Change Management Board, Technical Board and Risk Management Board and </w:t>
            </w:r>
            <w:r>
              <w:rPr>
                <w:rFonts w:cs="Arial"/>
              </w:rPr>
              <w:t>“</w:t>
            </w:r>
            <w:r w:rsidRPr="00D00D9A">
              <w:rPr>
                <w:rStyle w:val="StdBodyTextBoldChar"/>
                <w:rFonts w:eastAsiaTheme="majorEastAsia" w:cs="Arial"/>
              </w:rPr>
              <w:t>Board</w:t>
            </w:r>
            <w:r>
              <w:rPr>
                <w:rFonts w:cs="Arial"/>
              </w:rPr>
              <w:t>”</w:t>
            </w:r>
            <w:r w:rsidRPr="00D00D9A">
              <w:rPr>
                <w:rFonts w:cs="Arial"/>
              </w:rPr>
              <w:t xml:space="preserve"> shall mean any of them;</w:t>
            </w:r>
          </w:p>
        </w:tc>
      </w:tr>
      <w:tr w:rsidR="00F67E9E" w:rsidRPr="00D00D9A" w14:paraId="5328945B" w14:textId="77777777" w:rsidTr="007F74AA">
        <w:tc>
          <w:tcPr>
            <w:tcW w:w="2835" w:type="dxa"/>
          </w:tcPr>
          <w:p w14:paraId="340BC7C7" w14:textId="77777777" w:rsidR="00F67E9E" w:rsidRPr="00D00D9A" w:rsidRDefault="00F67E9E" w:rsidP="007F74AA">
            <w:pPr>
              <w:pStyle w:val="StdBodyTextBold"/>
              <w:rPr>
                <w:rFonts w:cs="Arial"/>
              </w:rPr>
            </w:pPr>
            <w:r>
              <w:rPr>
                <w:rFonts w:cs="Arial"/>
              </w:rPr>
              <w:t>“</w:t>
            </w:r>
            <w:r w:rsidRPr="00D00D9A">
              <w:rPr>
                <w:rFonts w:cs="Arial"/>
              </w:rPr>
              <w:t>Change Management Board</w:t>
            </w:r>
            <w:r>
              <w:rPr>
                <w:rFonts w:cs="Arial"/>
              </w:rPr>
              <w:t>”</w:t>
            </w:r>
          </w:p>
        </w:tc>
        <w:tc>
          <w:tcPr>
            <w:tcW w:w="6803" w:type="dxa"/>
          </w:tcPr>
          <w:p w14:paraId="42FBDBB5" w14:textId="19CD2BFA" w:rsidR="00F67E9E" w:rsidRPr="00D00D9A" w:rsidRDefault="00F67E9E" w:rsidP="007F74AA">
            <w:pPr>
              <w:pStyle w:val="StdBodyText"/>
              <w:rPr>
                <w:rFonts w:cs="Arial"/>
              </w:rPr>
            </w:pPr>
            <w:r w:rsidRPr="00D00D9A">
              <w:rPr>
                <w:rFonts w:cs="Arial"/>
              </w:rPr>
              <w:t xml:space="preserve">the body described in </w:t>
            </w:r>
            <w:bookmarkStart w:id="1553" w:name="_9kMHG5YVtCIBAJMgLhkhy7sGRQrHC379FI4043A"/>
            <w:r w:rsidRPr="00D00D9A">
              <w:rPr>
                <w:rFonts w:cs="Arial"/>
              </w:rPr>
              <w:t xml:space="preserve">Paragraph </w:t>
            </w:r>
            <w:r w:rsidRPr="00D00D9A">
              <w:rPr>
                <w:rFonts w:cs="Arial"/>
              </w:rPr>
              <w:fldChar w:fldCharType="begin"/>
            </w:r>
            <w:r w:rsidRPr="00D00D9A">
              <w:rPr>
                <w:rFonts w:cs="Arial"/>
              </w:rPr>
              <w:instrText xml:space="preserve"> REF _Ref_ContractCompanion_9kb9Us4DE \w \n \h \t \* MERGEFORMAT </w:instrText>
            </w:r>
            <w:r w:rsidRPr="00D00D9A">
              <w:rPr>
                <w:rFonts w:cs="Arial"/>
              </w:rPr>
            </w:r>
            <w:r w:rsidRPr="00D00D9A">
              <w:rPr>
                <w:rFonts w:cs="Arial"/>
              </w:rPr>
              <w:fldChar w:fldCharType="separate"/>
            </w:r>
            <w:r w:rsidR="00302D39">
              <w:rPr>
                <w:rFonts w:cs="Arial"/>
              </w:rPr>
              <w:t>6</w:t>
            </w:r>
            <w:r w:rsidRPr="00D00D9A">
              <w:rPr>
                <w:rFonts w:cs="Arial"/>
              </w:rPr>
              <w:fldChar w:fldCharType="end"/>
            </w:r>
            <w:bookmarkEnd w:id="1553"/>
            <w:r w:rsidRPr="00D00D9A">
              <w:rPr>
                <w:rFonts w:cs="Arial"/>
              </w:rPr>
              <w:t>;</w:t>
            </w:r>
          </w:p>
        </w:tc>
      </w:tr>
      <w:tr w:rsidR="00F67E9E" w:rsidRPr="00D00D9A" w14:paraId="5BC3D667" w14:textId="77777777" w:rsidTr="007F74AA">
        <w:tc>
          <w:tcPr>
            <w:tcW w:w="2835" w:type="dxa"/>
          </w:tcPr>
          <w:p w14:paraId="56D04C96" w14:textId="77777777" w:rsidR="00F67E9E" w:rsidRPr="00D00D9A" w:rsidRDefault="00F67E9E" w:rsidP="007F74AA">
            <w:pPr>
              <w:pStyle w:val="StdBodyTextBold"/>
              <w:rPr>
                <w:rFonts w:cs="Arial"/>
              </w:rPr>
            </w:pPr>
            <w:r>
              <w:rPr>
                <w:rFonts w:cs="Arial"/>
              </w:rPr>
              <w:t>“</w:t>
            </w:r>
            <w:r w:rsidRPr="00D00D9A">
              <w:rPr>
                <w:rFonts w:cs="Arial"/>
              </w:rPr>
              <w:t>Project Managers</w:t>
            </w:r>
            <w:r>
              <w:rPr>
                <w:rFonts w:cs="Arial"/>
              </w:rPr>
              <w:t>”</w:t>
            </w:r>
          </w:p>
        </w:tc>
        <w:tc>
          <w:tcPr>
            <w:tcW w:w="6803" w:type="dxa"/>
          </w:tcPr>
          <w:p w14:paraId="1016F50E" w14:textId="4145F90B" w:rsidR="00F67E9E" w:rsidRPr="00D00D9A" w:rsidRDefault="00F67E9E" w:rsidP="007F74AA">
            <w:pPr>
              <w:pStyle w:val="StdBodyText"/>
              <w:rPr>
                <w:rFonts w:cs="Arial"/>
              </w:rPr>
            </w:pPr>
            <w:r w:rsidRPr="00D00D9A">
              <w:rPr>
                <w:rFonts w:cs="Arial"/>
              </w:rPr>
              <w:t xml:space="preserve">the individuals appointed as such by the Authority and the Supplier in accordance with </w:t>
            </w:r>
            <w:bookmarkStart w:id="1554" w:name="_9kMHG5YVtCIBAJQkLhkhy7sGRLYtw1ABIJFLQ"/>
            <w:r w:rsidRPr="00D00D9A">
              <w:rPr>
                <w:rFonts w:cs="Arial"/>
              </w:rPr>
              <w:t>Paragraph</w:t>
            </w:r>
            <w:bookmarkEnd w:id="1554"/>
            <w:r w:rsidRPr="00D00D9A">
              <w:rPr>
                <w:rFonts w:cs="Arial"/>
              </w:rPr>
              <w:t xml:space="preserve"> </w:t>
            </w:r>
            <w:r w:rsidRPr="00D00D9A">
              <w:rPr>
                <w:rFonts w:cs="Arial"/>
              </w:rPr>
              <w:fldChar w:fldCharType="begin"/>
            </w:r>
            <w:r w:rsidRPr="00D00D9A">
              <w:rPr>
                <w:rFonts w:cs="Arial"/>
              </w:rPr>
              <w:instrText xml:space="preserve"> REF _Ref44579330 \r \h  \* MERGEFORMAT </w:instrText>
            </w:r>
            <w:r w:rsidRPr="00D00D9A">
              <w:rPr>
                <w:rFonts w:cs="Arial"/>
              </w:rPr>
            </w:r>
            <w:r w:rsidRPr="00D00D9A">
              <w:rPr>
                <w:rFonts w:cs="Arial"/>
              </w:rPr>
              <w:fldChar w:fldCharType="separate"/>
            </w:r>
            <w:r w:rsidR="00302D39">
              <w:rPr>
                <w:rFonts w:cs="Arial"/>
              </w:rPr>
              <w:t>2</w:t>
            </w:r>
            <w:r w:rsidRPr="00D00D9A">
              <w:rPr>
                <w:rFonts w:cs="Arial"/>
              </w:rPr>
              <w:fldChar w:fldCharType="end"/>
            </w:r>
            <w:r w:rsidRPr="00D00D9A">
              <w:rPr>
                <w:rFonts w:cs="Arial"/>
              </w:rPr>
              <w:t>;</w:t>
            </w:r>
          </w:p>
        </w:tc>
      </w:tr>
      <w:tr w:rsidR="00F67E9E" w:rsidRPr="00D00D9A" w14:paraId="4C75B757" w14:textId="77777777" w:rsidTr="007F74AA">
        <w:tc>
          <w:tcPr>
            <w:tcW w:w="2835" w:type="dxa"/>
          </w:tcPr>
          <w:p w14:paraId="03050FBA" w14:textId="77777777" w:rsidR="00F67E9E" w:rsidRPr="00D00D9A" w:rsidRDefault="00F67E9E" w:rsidP="007F74AA">
            <w:pPr>
              <w:pStyle w:val="StdBodyTextBold"/>
              <w:rPr>
                <w:rFonts w:cs="Arial"/>
              </w:rPr>
            </w:pPr>
            <w:r>
              <w:rPr>
                <w:rFonts w:cs="Arial"/>
              </w:rPr>
              <w:t>“</w:t>
            </w:r>
            <w:r w:rsidRPr="00D00D9A">
              <w:rPr>
                <w:rFonts w:cs="Arial"/>
              </w:rPr>
              <w:t>Risk Management Board</w:t>
            </w:r>
            <w:r>
              <w:rPr>
                <w:rFonts w:cs="Arial"/>
              </w:rPr>
              <w:t>”</w:t>
            </w:r>
          </w:p>
        </w:tc>
        <w:tc>
          <w:tcPr>
            <w:tcW w:w="6803" w:type="dxa"/>
          </w:tcPr>
          <w:p w14:paraId="74391208" w14:textId="4843EE11" w:rsidR="00F67E9E" w:rsidRPr="00D00D9A" w:rsidRDefault="00F67E9E" w:rsidP="007F74AA">
            <w:pPr>
              <w:pStyle w:val="StdBodyText"/>
              <w:rPr>
                <w:rFonts w:cs="Arial"/>
              </w:rPr>
            </w:pPr>
            <w:r w:rsidRPr="00D00D9A">
              <w:rPr>
                <w:rFonts w:cs="Arial"/>
              </w:rPr>
              <w:t xml:space="preserve">the body described in </w:t>
            </w:r>
            <w:bookmarkStart w:id="1555" w:name="_9kMHG5YVtCIBBIGIj72txz58u5ACFA134y3ABDT"/>
            <w:r w:rsidRPr="00D00D9A">
              <w:rPr>
                <w:rFonts w:cs="Arial"/>
              </w:rPr>
              <w:t xml:space="preserve">Paragraph </w:t>
            </w:r>
            <w:r w:rsidRPr="00D00D9A">
              <w:rPr>
                <w:rFonts w:cs="Arial"/>
              </w:rPr>
              <w:fldChar w:fldCharType="begin"/>
            </w:r>
            <w:r w:rsidRPr="00D00D9A">
              <w:rPr>
                <w:rFonts w:cs="Arial"/>
              </w:rPr>
              <w:instrText xml:space="preserve"> REF _Ref_ContractCompanion_9kb9Us5BH \w \n \h \t \* MERGEFORMAT </w:instrText>
            </w:r>
            <w:r w:rsidRPr="00D00D9A">
              <w:rPr>
                <w:rFonts w:cs="Arial"/>
              </w:rPr>
            </w:r>
            <w:r w:rsidRPr="00D00D9A">
              <w:rPr>
                <w:rFonts w:cs="Arial"/>
              </w:rPr>
              <w:fldChar w:fldCharType="separate"/>
            </w:r>
            <w:r w:rsidR="00302D39">
              <w:rPr>
                <w:rFonts w:cs="Arial"/>
              </w:rPr>
              <w:t>8</w:t>
            </w:r>
            <w:r w:rsidRPr="00D00D9A">
              <w:rPr>
                <w:rFonts w:cs="Arial"/>
              </w:rPr>
              <w:fldChar w:fldCharType="end"/>
            </w:r>
            <w:bookmarkEnd w:id="1555"/>
            <w:r w:rsidRPr="00D00D9A">
              <w:rPr>
                <w:rFonts w:cs="Arial"/>
              </w:rPr>
              <w:t>;</w:t>
            </w:r>
          </w:p>
        </w:tc>
      </w:tr>
      <w:tr w:rsidR="00F67E9E" w:rsidRPr="00D00D9A" w14:paraId="2D0F13DC" w14:textId="77777777" w:rsidTr="007F74AA">
        <w:tc>
          <w:tcPr>
            <w:tcW w:w="2835" w:type="dxa"/>
          </w:tcPr>
          <w:p w14:paraId="5B076DE1" w14:textId="77777777" w:rsidR="00F67E9E" w:rsidRPr="00D00D9A" w:rsidRDefault="00F67E9E" w:rsidP="007F74AA">
            <w:pPr>
              <w:pStyle w:val="StdBodyTextBold"/>
              <w:rPr>
                <w:rFonts w:cs="Arial"/>
              </w:rPr>
            </w:pPr>
            <w:r>
              <w:rPr>
                <w:rFonts w:cs="Arial"/>
              </w:rPr>
              <w:t>“</w:t>
            </w:r>
            <w:r w:rsidRPr="00D00D9A">
              <w:rPr>
                <w:rFonts w:cs="Arial"/>
              </w:rPr>
              <w:t>Service Management Board</w:t>
            </w:r>
            <w:r>
              <w:rPr>
                <w:rFonts w:cs="Arial"/>
              </w:rPr>
              <w:t>”</w:t>
            </w:r>
          </w:p>
        </w:tc>
        <w:tc>
          <w:tcPr>
            <w:tcW w:w="6803" w:type="dxa"/>
          </w:tcPr>
          <w:p w14:paraId="470F3272" w14:textId="2E739B86" w:rsidR="00F67E9E" w:rsidRPr="00D00D9A" w:rsidRDefault="00F67E9E" w:rsidP="007F74AA">
            <w:pPr>
              <w:pStyle w:val="StdBodyText"/>
              <w:rPr>
                <w:rFonts w:cs="Arial"/>
              </w:rPr>
            </w:pPr>
            <w:r w:rsidRPr="00D00D9A">
              <w:rPr>
                <w:rFonts w:cs="Arial"/>
              </w:rPr>
              <w:t xml:space="preserve">the body described in </w:t>
            </w:r>
            <w:bookmarkStart w:id="1556" w:name="_9kMHG5YVtCIBAJPjLhkhy7sGROpHC379FI4GHHZ"/>
            <w:r w:rsidRPr="00D00D9A">
              <w:rPr>
                <w:rFonts w:cs="Arial"/>
              </w:rPr>
              <w:t xml:space="preserve">Paragraph </w:t>
            </w:r>
            <w:r w:rsidRPr="00D00D9A">
              <w:rPr>
                <w:rFonts w:cs="Arial"/>
              </w:rPr>
              <w:fldChar w:fldCharType="begin"/>
            </w:r>
            <w:r w:rsidRPr="00D00D9A">
              <w:rPr>
                <w:rFonts w:cs="Arial"/>
              </w:rPr>
              <w:instrText xml:space="preserve"> REF _Ref_ContractCompanion_9kb9Us4DH \w \n \h \t \* MERGEFORMAT </w:instrText>
            </w:r>
            <w:r w:rsidRPr="00D00D9A">
              <w:rPr>
                <w:rFonts w:cs="Arial"/>
              </w:rPr>
            </w:r>
            <w:r w:rsidRPr="00D00D9A">
              <w:rPr>
                <w:rFonts w:cs="Arial"/>
              </w:rPr>
              <w:fldChar w:fldCharType="separate"/>
            </w:r>
            <w:r w:rsidR="00302D39">
              <w:rPr>
                <w:rFonts w:cs="Arial"/>
              </w:rPr>
              <w:t>4</w:t>
            </w:r>
            <w:r w:rsidRPr="00D00D9A">
              <w:rPr>
                <w:rFonts w:cs="Arial"/>
              </w:rPr>
              <w:fldChar w:fldCharType="end"/>
            </w:r>
            <w:bookmarkEnd w:id="1556"/>
            <w:r w:rsidRPr="00D00D9A">
              <w:rPr>
                <w:rFonts w:cs="Arial"/>
              </w:rPr>
              <w:t>; and</w:t>
            </w:r>
          </w:p>
        </w:tc>
      </w:tr>
      <w:tr w:rsidR="00F67E9E" w:rsidRPr="00D00D9A" w14:paraId="724FF345" w14:textId="77777777" w:rsidTr="007F74AA">
        <w:tc>
          <w:tcPr>
            <w:tcW w:w="2835" w:type="dxa"/>
          </w:tcPr>
          <w:p w14:paraId="3679AD99" w14:textId="77777777" w:rsidR="00F67E9E" w:rsidRPr="00D00D9A" w:rsidRDefault="00F67E9E" w:rsidP="007F74AA">
            <w:pPr>
              <w:pStyle w:val="StdBodyTextBold"/>
              <w:rPr>
                <w:rFonts w:cs="Arial"/>
              </w:rPr>
            </w:pPr>
            <w:r>
              <w:rPr>
                <w:rFonts w:cs="Arial"/>
              </w:rPr>
              <w:t>“</w:t>
            </w:r>
            <w:r w:rsidRPr="00D00D9A">
              <w:rPr>
                <w:rFonts w:cs="Arial"/>
              </w:rPr>
              <w:t>Technical Board</w:t>
            </w:r>
            <w:r>
              <w:rPr>
                <w:rFonts w:cs="Arial"/>
              </w:rPr>
              <w:t>”</w:t>
            </w:r>
          </w:p>
        </w:tc>
        <w:tc>
          <w:tcPr>
            <w:tcW w:w="6803" w:type="dxa"/>
          </w:tcPr>
          <w:p w14:paraId="750595C7" w14:textId="4E8E00C9" w:rsidR="00F67E9E" w:rsidRPr="00D00D9A" w:rsidRDefault="00F67E9E" w:rsidP="007F74AA">
            <w:pPr>
              <w:pStyle w:val="StdBodyText"/>
              <w:rPr>
                <w:rFonts w:cs="Arial"/>
              </w:rPr>
            </w:pPr>
            <w:r w:rsidRPr="00D00D9A">
              <w:rPr>
                <w:rFonts w:cs="Arial"/>
              </w:rPr>
              <w:t xml:space="preserve">the body described in </w:t>
            </w:r>
            <w:bookmarkStart w:id="1557" w:name="_9kMHG5YVtCIBAJJdLhkhy7sGRRsHC379FI4HI26"/>
            <w:r w:rsidRPr="00D00D9A">
              <w:rPr>
                <w:rFonts w:cs="Arial"/>
              </w:rPr>
              <w:t xml:space="preserve">Paragraph </w:t>
            </w:r>
            <w:r w:rsidRPr="00D00D9A">
              <w:rPr>
                <w:rFonts w:cs="Arial"/>
              </w:rPr>
              <w:fldChar w:fldCharType="begin"/>
            </w:r>
            <w:r w:rsidRPr="00D00D9A">
              <w:rPr>
                <w:rFonts w:cs="Arial"/>
              </w:rPr>
              <w:instrText xml:space="preserve"> REF _Ref_ContractCompanion_9kb9Us4DB \w \n \h \t \* MERGEFORMAT </w:instrText>
            </w:r>
            <w:r w:rsidRPr="00D00D9A">
              <w:rPr>
                <w:rFonts w:cs="Arial"/>
              </w:rPr>
            </w:r>
            <w:r w:rsidRPr="00D00D9A">
              <w:rPr>
                <w:rFonts w:cs="Arial"/>
              </w:rPr>
              <w:fldChar w:fldCharType="separate"/>
            </w:r>
            <w:r w:rsidR="00302D39">
              <w:rPr>
                <w:rFonts w:cs="Arial"/>
              </w:rPr>
              <w:t>7</w:t>
            </w:r>
            <w:r w:rsidRPr="00D00D9A">
              <w:rPr>
                <w:rFonts w:cs="Arial"/>
              </w:rPr>
              <w:fldChar w:fldCharType="end"/>
            </w:r>
            <w:bookmarkEnd w:id="1557"/>
            <w:r w:rsidRPr="00D00D9A">
              <w:rPr>
                <w:rFonts w:cs="Arial"/>
              </w:rPr>
              <w:t>.</w:t>
            </w:r>
          </w:p>
        </w:tc>
      </w:tr>
    </w:tbl>
    <w:p w14:paraId="00348133" w14:textId="77777777" w:rsidR="00F67E9E" w:rsidRPr="00D00D9A" w:rsidRDefault="00F67E9E" w:rsidP="00F67E9E">
      <w:pPr>
        <w:pStyle w:val="Numbered1"/>
      </w:pPr>
      <w:bookmarkStart w:id="1558" w:name="_Ref44579330"/>
      <w:r w:rsidRPr="00961F5D">
        <w:t>Management</w:t>
      </w:r>
      <w:r w:rsidRPr="00D00D9A">
        <w:t xml:space="preserve"> </w:t>
      </w:r>
      <w:r>
        <w:t>o</w:t>
      </w:r>
      <w:r w:rsidRPr="00D00D9A">
        <w:t xml:space="preserve">f </w:t>
      </w:r>
      <w:r>
        <w:t>t</w:t>
      </w:r>
      <w:r w:rsidRPr="00D00D9A">
        <w:t>he Services</w:t>
      </w:r>
      <w:bookmarkEnd w:id="1558"/>
    </w:p>
    <w:p w14:paraId="794D40FD" w14:textId="77777777" w:rsidR="00F67E9E" w:rsidRPr="00D00D9A" w:rsidRDefault="00F67E9E" w:rsidP="00F67E9E">
      <w:pPr>
        <w:pStyle w:val="Numbered11"/>
      </w:pPr>
      <w:r w:rsidRPr="00D00D9A">
        <w:t xml:space="preserve">The Supplier and the Authority shall each appoint a project manager for the purposes of this Contract through whom the Services shall be managed at a day-to-day. </w:t>
      </w:r>
    </w:p>
    <w:p w14:paraId="23C32459" w14:textId="77777777" w:rsidR="00F67E9E" w:rsidRPr="00D00D9A" w:rsidRDefault="00F67E9E" w:rsidP="00F67E9E">
      <w:pPr>
        <w:pStyle w:val="Numbered11"/>
      </w:pPr>
      <w:r w:rsidRPr="00D00D9A">
        <w:t xml:space="preserve">Both Parties shall ensure that appropriate resource is made available on a regular basis such that the aims, objectives and specific provisions of this Contract can be fully realised. </w:t>
      </w:r>
    </w:p>
    <w:p w14:paraId="1056248E" w14:textId="77777777" w:rsidR="00F67E9E" w:rsidRPr="00D00D9A" w:rsidRDefault="00F67E9E" w:rsidP="00F67E9E">
      <w:pPr>
        <w:pStyle w:val="Numbered1"/>
      </w:pPr>
      <w:r w:rsidRPr="00D00D9A">
        <w:t>Boards</w:t>
      </w:r>
    </w:p>
    <w:p w14:paraId="53C5143B" w14:textId="77777777" w:rsidR="00F67E9E" w:rsidRPr="00D00D9A" w:rsidRDefault="00F67E9E" w:rsidP="00F67E9E">
      <w:pPr>
        <w:pStyle w:val="StdBodyText1"/>
        <w:ind w:left="360"/>
        <w:rPr>
          <w:rFonts w:cs="Arial"/>
        </w:rPr>
      </w:pPr>
      <w:r w:rsidRPr="00D00D9A">
        <w:rPr>
          <w:rStyle w:val="StdBodyTextBoldChar"/>
          <w:rFonts w:eastAsiaTheme="majorEastAsia" w:cs="Arial"/>
        </w:rPr>
        <w:t>Establishment and structure of the</w:t>
      </w:r>
      <w:r w:rsidRPr="00D00D9A">
        <w:rPr>
          <w:rFonts w:cs="Arial"/>
        </w:rPr>
        <w:t xml:space="preserve"> </w:t>
      </w:r>
      <w:r w:rsidRPr="00D00D9A">
        <w:rPr>
          <w:rStyle w:val="StdBodyTextBoldChar"/>
          <w:rFonts w:eastAsiaTheme="majorEastAsia" w:cs="Arial"/>
        </w:rPr>
        <w:t>Boards</w:t>
      </w:r>
    </w:p>
    <w:p w14:paraId="4AA6018F" w14:textId="77777777" w:rsidR="00F67E9E" w:rsidRPr="00D00D9A" w:rsidRDefault="00F67E9E" w:rsidP="00F67E9E">
      <w:pPr>
        <w:pStyle w:val="Numbered11"/>
      </w:pPr>
      <w:r w:rsidRPr="00D00D9A">
        <w:t>The Boards shall be established by the Authority for the purposes of this Contract on which both the Supplier and the Authority shall be represented.</w:t>
      </w:r>
    </w:p>
    <w:p w14:paraId="5D96BAE4" w14:textId="77777777" w:rsidR="00F67E9E" w:rsidRPr="00D00D9A" w:rsidRDefault="00F67E9E" w:rsidP="00F67E9E">
      <w:pPr>
        <w:pStyle w:val="Numbered11"/>
      </w:pPr>
      <w:r w:rsidRPr="00D00D9A">
        <w:t>In relation to each Board, the:</w:t>
      </w:r>
    </w:p>
    <w:p w14:paraId="7A8CA4E6" w14:textId="77777777" w:rsidR="00F67E9E" w:rsidRPr="00961F5D" w:rsidRDefault="00F67E9E" w:rsidP="00F67E9E">
      <w:pPr>
        <w:pStyle w:val="Numbered111"/>
      </w:pPr>
      <w:r w:rsidRPr="00961F5D">
        <w:t>Authority Board Members;</w:t>
      </w:r>
    </w:p>
    <w:p w14:paraId="009F173A" w14:textId="77777777" w:rsidR="00F67E9E" w:rsidRPr="00D00D9A" w:rsidRDefault="00F67E9E" w:rsidP="00F67E9E">
      <w:pPr>
        <w:pStyle w:val="Numbered111"/>
      </w:pPr>
      <w:r w:rsidRPr="00961F5D">
        <w:t>Suppl</w:t>
      </w:r>
      <w:r w:rsidRPr="00D00D9A">
        <w:t>ier Board Members;</w:t>
      </w:r>
    </w:p>
    <w:p w14:paraId="724AAF5C" w14:textId="77777777" w:rsidR="00F67E9E" w:rsidRPr="00D00D9A" w:rsidRDefault="00F67E9E" w:rsidP="00F67E9E">
      <w:pPr>
        <w:pStyle w:val="Numbered111"/>
      </w:pPr>
      <w:r w:rsidRPr="00D00D9A">
        <w:t>frequency that the Board shall meet (unless otherwise agreed between the Parties);</w:t>
      </w:r>
    </w:p>
    <w:p w14:paraId="36364B78" w14:textId="77777777" w:rsidR="00F67E9E" w:rsidRPr="00D00D9A" w:rsidRDefault="00F67E9E" w:rsidP="00F67E9E">
      <w:pPr>
        <w:pStyle w:val="Numbered111"/>
      </w:pPr>
      <w:r w:rsidRPr="00D00D9A">
        <w:t>location of the Board</w:t>
      </w:r>
      <w:r>
        <w:t>’</w:t>
      </w:r>
      <w:r w:rsidRPr="00D00D9A">
        <w:t>s meetings; and</w:t>
      </w:r>
    </w:p>
    <w:p w14:paraId="5BFA00F3" w14:textId="77777777" w:rsidR="00F67E9E" w:rsidRPr="00D00D9A" w:rsidRDefault="00F67E9E" w:rsidP="00F67E9E">
      <w:pPr>
        <w:pStyle w:val="Numbered111"/>
      </w:pPr>
      <w:r w:rsidRPr="00D00D9A">
        <w:t>planned start date by which the Board shall be established,</w:t>
      </w:r>
    </w:p>
    <w:p w14:paraId="2103599F" w14:textId="02227E5A" w:rsidR="00F67E9E" w:rsidRPr="00D00D9A" w:rsidRDefault="00F67E9E" w:rsidP="00F67E9E">
      <w:pPr>
        <w:pStyle w:val="StdBodyText2"/>
        <w:rPr>
          <w:rFonts w:cs="Arial"/>
        </w:rPr>
      </w:pPr>
      <w:r w:rsidRPr="00D00D9A">
        <w:rPr>
          <w:rFonts w:cs="Arial"/>
        </w:rPr>
        <w:t xml:space="preserve">shall be as set out in Annex </w:t>
      </w:r>
      <w:r w:rsidRPr="00D00D9A">
        <w:rPr>
          <w:rFonts w:cs="Arial"/>
        </w:rPr>
        <w:fldChar w:fldCharType="begin"/>
      </w:r>
      <w:r w:rsidRPr="00D00D9A">
        <w:rPr>
          <w:rFonts w:cs="Arial"/>
        </w:rPr>
        <w:instrText xml:space="preserve"> REF ANNEX1_SCHEDULE21 \h </w:instrText>
      </w:r>
      <w:r>
        <w:rPr>
          <w:rFonts w:cs="Arial"/>
        </w:rPr>
        <w:instrText xml:space="preserve"> \* MERGEFORMAT </w:instrText>
      </w:r>
      <w:r w:rsidRPr="00D00D9A">
        <w:rPr>
          <w:rFonts w:cs="Arial"/>
        </w:rPr>
      </w:r>
      <w:r w:rsidRPr="00D00D9A">
        <w:rPr>
          <w:rFonts w:cs="Arial"/>
        </w:rPr>
        <w:fldChar w:fldCharType="separate"/>
      </w:r>
      <w:r w:rsidR="00302D39" w:rsidRPr="00302D39">
        <w:rPr>
          <w:rFonts w:cs="Arial"/>
        </w:rPr>
        <w:t>1</w:t>
      </w:r>
      <w:r w:rsidRPr="00D00D9A">
        <w:rPr>
          <w:rFonts w:cs="Arial"/>
        </w:rPr>
        <w:fldChar w:fldCharType="end"/>
      </w:r>
      <w:r w:rsidRPr="00D00D9A">
        <w:rPr>
          <w:rFonts w:cs="Arial"/>
        </w:rPr>
        <w:t>.</w:t>
      </w:r>
    </w:p>
    <w:p w14:paraId="1891FF75" w14:textId="77777777" w:rsidR="00F67E9E" w:rsidRPr="00D00D9A" w:rsidRDefault="00F67E9E" w:rsidP="00F67E9E">
      <w:pPr>
        <w:pStyle w:val="Numbered11"/>
      </w:pPr>
      <w:bookmarkStart w:id="1559" w:name="_9kR3WTrAG99FKIEUM4zlj12vBI7p27xDDzAwa9T"/>
      <w:bookmarkStart w:id="1560" w:name="_Ref_ContractCompanion_9kb9Us5BE"/>
      <w:bookmarkStart w:id="1561" w:name="_Ref_ContractCompanion_9kb9Us7CF"/>
      <w:r w:rsidRPr="00D00D9A">
        <w:t>In the event that either Party wishes to replace any of its appointed Board Members, that Party shall notify the other in writing of the proposed change for agreement by the other Party (such agreement not to be unreasonably withheld or delayed).</w:t>
      </w:r>
      <w:bookmarkEnd w:id="1559"/>
      <w:r>
        <w:t xml:space="preserve"> </w:t>
      </w:r>
      <w:r w:rsidRPr="00D00D9A">
        <w:t>Notwithstanding the foregoing it is intended that each Authority Board Member has at all times a counterpart Supplier Board Member of equivalent seniority and expertise.</w:t>
      </w:r>
      <w:bookmarkEnd w:id="1560"/>
      <w:bookmarkEnd w:id="1561"/>
    </w:p>
    <w:p w14:paraId="3401E50D" w14:textId="77777777" w:rsidR="00F67E9E" w:rsidRPr="00D00D9A" w:rsidRDefault="00F67E9E" w:rsidP="00F67E9E">
      <w:pPr>
        <w:pStyle w:val="StdBodyText1"/>
        <w:ind w:left="360"/>
        <w:rPr>
          <w:rFonts w:cs="Arial"/>
        </w:rPr>
      </w:pPr>
      <w:r w:rsidRPr="00D00D9A">
        <w:rPr>
          <w:rStyle w:val="StdBodyTextBoldChar"/>
          <w:rFonts w:eastAsiaTheme="majorEastAsia" w:cs="Arial"/>
        </w:rPr>
        <w:t>Board</w:t>
      </w:r>
      <w:r w:rsidRPr="00D00D9A">
        <w:rPr>
          <w:rFonts w:cs="Arial"/>
        </w:rPr>
        <w:t xml:space="preserve"> </w:t>
      </w:r>
      <w:r w:rsidRPr="00D00D9A">
        <w:rPr>
          <w:rStyle w:val="StdBodyTextBoldChar"/>
          <w:rFonts w:eastAsiaTheme="majorEastAsia" w:cs="Arial"/>
        </w:rPr>
        <w:t>meetings</w:t>
      </w:r>
    </w:p>
    <w:p w14:paraId="47BCEA61" w14:textId="77777777" w:rsidR="00F67E9E" w:rsidRPr="00D00D9A" w:rsidRDefault="00F67E9E" w:rsidP="00F67E9E">
      <w:pPr>
        <w:pStyle w:val="Numbered11"/>
      </w:pPr>
      <w:r w:rsidRPr="00D00D9A">
        <w:t>Each Party shall ensure that its Board Members shall make all reasonable efforts to attend Board meetings at which that Board Member</w:t>
      </w:r>
      <w:r>
        <w:t>’</w:t>
      </w:r>
      <w:r w:rsidRPr="00D00D9A">
        <w:t>s attendance is required.</w:t>
      </w:r>
      <w:r>
        <w:t xml:space="preserve"> </w:t>
      </w:r>
      <w:r w:rsidRPr="00D00D9A">
        <w:t>If any Board Member is not able to attend a Board meeting, that person shall use all reasonable endeavours to ensure that:</w:t>
      </w:r>
    </w:p>
    <w:p w14:paraId="35787018" w14:textId="77777777" w:rsidR="00F67E9E" w:rsidRPr="00961F5D" w:rsidRDefault="00F67E9E" w:rsidP="00F67E9E">
      <w:pPr>
        <w:pStyle w:val="Numbered111"/>
      </w:pPr>
      <w:r w:rsidRPr="00D00D9A">
        <w:t xml:space="preserve">a delegate attends the relevant Board meeting in his/her place who (wherever </w:t>
      </w:r>
      <w:r w:rsidRPr="00961F5D">
        <w:t>possible) is properly briefed and prepared; and</w:t>
      </w:r>
    </w:p>
    <w:p w14:paraId="68710EED" w14:textId="01C1908D" w:rsidR="00F67E9E" w:rsidRPr="00D00D9A" w:rsidRDefault="00F67E9E" w:rsidP="00F67E9E">
      <w:pPr>
        <w:pStyle w:val="Numbered111"/>
      </w:pPr>
      <w:r w:rsidRPr="00961F5D">
        <w:t xml:space="preserve">that </w:t>
      </w:r>
      <w:r w:rsidR="00A10006">
        <w:t>they are</w:t>
      </w:r>
      <w:r w:rsidRPr="00D00D9A">
        <w:t xml:space="preserve"> debriefed by such delegate after the Board Meeting.</w:t>
      </w:r>
    </w:p>
    <w:p w14:paraId="54567B81" w14:textId="4A4BA0E4" w:rsidR="00F67E9E" w:rsidRPr="00D00D9A" w:rsidRDefault="00F67E9E" w:rsidP="00F67E9E">
      <w:pPr>
        <w:pStyle w:val="Numbered11"/>
      </w:pPr>
      <w:r w:rsidRPr="00D00D9A">
        <w:t>A chairperson shall be appointed by the Authority for each Board as identified in Annex</w:t>
      </w:r>
      <w:r>
        <w:t> </w:t>
      </w:r>
      <w:r w:rsidRPr="00D00D9A">
        <w:fldChar w:fldCharType="begin"/>
      </w:r>
      <w:r w:rsidRPr="00D00D9A">
        <w:instrText xml:space="preserve"> REF ANNEX1_SCHEDULE21 \h </w:instrText>
      </w:r>
      <w:r>
        <w:instrText xml:space="preserve"> \* MERGEFORMAT </w:instrText>
      </w:r>
      <w:r w:rsidRPr="00D00D9A">
        <w:fldChar w:fldCharType="separate"/>
      </w:r>
      <w:r w:rsidR="00302D39" w:rsidRPr="00D00D9A">
        <w:t>1</w:t>
      </w:r>
      <w:r w:rsidRPr="00D00D9A">
        <w:fldChar w:fldCharType="end"/>
      </w:r>
      <w:r w:rsidRPr="00D00D9A">
        <w:t>.</w:t>
      </w:r>
      <w:r>
        <w:t xml:space="preserve"> </w:t>
      </w:r>
      <w:r w:rsidRPr="00D00D9A">
        <w:t>The chairperson shall be responsible for:</w:t>
      </w:r>
    </w:p>
    <w:p w14:paraId="14CCE2CD" w14:textId="77777777" w:rsidR="00F67E9E" w:rsidRPr="00D00D9A" w:rsidRDefault="00F67E9E" w:rsidP="00F67E9E">
      <w:pPr>
        <w:pStyle w:val="Numbered111"/>
      </w:pPr>
      <w:r w:rsidRPr="00D00D9A">
        <w:t>scheduling Board meetings;</w:t>
      </w:r>
    </w:p>
    <w:p w14:paraId="13258B45" w14:textId="77777777" w:rsidR="00F67E9E" w:rsidRPr="00D00D9A" w:rsidRDefault="00F67E9E" w:rsidP="00F67E9E">
      <w:pPr>
        <w:pStyle w:val="Numbered111"/>
      </w:pPr>
      <w:r w:rsidRPr="00D00D9A">
        <w:t>setting the agenda for Board meetings and circulating to all attendees in advance of such meeting;</w:t>
      </w:r>
    </w:p>
    <w:p w14:paraId="225CA3C5" w14:textId="77777777" w:rsidR="00F67E9E" w:rsidRPr="00D00D9A" w:rsidRDefault="00F67E9E" w:rsidP="00F67E9E">
      <w:pPr>
        <w:pStyle w:val="Numbered111"/>
      </w:pPr>
      <w:r w:rsidRPr="00D00D9A">
        <w:t>chairing the Board meetings;</w:t>
      </w:r>
    </w:p>
    <w:p w14:paraId="57037DE7" w14:textId="77777777" w:rsidR="00F67E9E" w:rsidRPr="00D00D9A" w:rsidRDefault="00F67E9E" w:rsidP="00F67E9E">
      <w:pPr>
        <w:pStyle w:val="Numbered111"/>
      </w:pPr>
      <w:r w:rsidRPr="00D00D9A">
        <w:t>monitoring the progress of any follow up tasks and activities agreed to be carried out following Board meetings;</w:t>
      </w:r>
    </w:p>
    <w:p w14:paraId="3C01EFBE" w14:textId="77777777" w:rsidR="00F67E9E" w:rsidRPr="00D00D9A" w:rsidRDefault="00F67E9E" w:rsidP="00F67E9E">
      <w:pPr>
        <w:pStyle w:val="Numbered111"/>
      </w:pPr>
      <w:bookmarkStart w:id="1562" w:name="_Ref_ContractCompanion_9kb9Ur289"/>
      <w:r w:rsidRPr="00D00D9A">
        <w:t>ensuring that minutes for Board meetings are recorded and disseminated electronically to the appropriate persons and to all Board meeting participants within seven Working Days after the Board meeting; and</w:t>
      </w:r>
      <w:bookmarkEnd w:id="1562"/>
    </w:p>
    <w:p w14:paraId="31572A49" w14:textId="77777777" w:rsidR="00F67E9E" w:rsidRPr="00D00D9A" w:rsidRDefault="00F67E9E" w:rsidP="00F67E9E">
      <w:pPr>
        <w:pStyle w:val="Numbered111"/>
      </w:pPr>
      <w:r w:rsidRPr="00D00D9A">
        <w:t>facilitating the process or procedure by which any decision agreed at any Board meeting is given effect in the appropriate manner.</w:t>
      </w:r>
    </w:p>
    <w:p w14:paraId="77FDF953" w14:textId="77777777" w:rsidR="00F67E9E" w:rsidRPr="00D00D9A" w:rsidRDefault="00F67E9E" w:rsidP="00F67E9E">
      <w:pPr>
        <w:pStyle w:val="Numbered11"/>
      </w:pPr>
      <w:r w:rsidRPr="00D00D9A">
        <w:t>Board meetings shall be quorate as long as at least two representatives from each Party are present.</w:t>
      </w:r>
    </w:p>
    <w:p w14:paraId="6552D7F1" w14:textId="77777777" w:rsidR="00F67E9E" w:rsidRPr="00D00D9A" w:rsidRDefault="00F67E9E" w:rsidP="00F67E9E">
      <w:pPr>
        <w:pStyle w:val="Numbered11"/>
      </w:pPr>
      <w:r w:rsidRPr="00D00D9A">
        <w:t>The Parties shall ensure, as far as reasonably practicable, that all Boards shall as soon as reasonably practicable resolve the issues and achieve the objectives placed before them.</w:t>
      </w:r>
      <w:r>
        <w:t xml:space="preserve"> </w:t>
      </w:r>
      <w:r w:rsidRPr="00D00D9A">
        <w:t>Each Party shall endeavour to ensure that Board Members are empowered to make relevant decisions or have access to empowered individuals for decisions to be made to achieve this.</w:t>
      </w:r>
    </w:p>
    <w:p w14:paraId="36331CE1" w14:textId="77777777" w:rsidR="00F67E9E" w:rsidRPr="00D00D9A" w:rsidRDefault="00F67E9E" w:rsidP="00F67E9E">
      <w:pPr>
        <w:pStyle w:val="Numbered1"/>
      </w:pPr>
      <w:bookmarkStart w:id="1563" w:name="_Ref_ContractCompanion_9kb9Us4DH"/>
      <w:bookmarkStart w:id="1564" w:name="_9kR3WTrAG98HNhJfifw5qEPMnFA157DG2EFFXP7"/>
      <w:r w:rsidRPr="00D00D9A">
        <w:t xml:space="preserve">Role </w:t>
      </w:r>
      <w:r>
        <w:t>o</w:t>
      </w:r>
      <w:r w:rsidRPr="00D00D9A">
        <w:t xml:space="preserve">f </w:t>
      </w:r>
      <w:r>
        <w:t>t</w:t>
      </w:r>
      <w:r w:rsidRPr="00D00D9A">
        <w:t>he Service Management Board</w:t>
      </w:r>
      <w:bookmarkEnd w:id="1563"/>
      <w:bookmarkEnd w:id="1564"/>
    </w:p>
    <w:p w14:paraId="61E7C5E5" w14:textId="77777777" w:rsidR="00F67E9E" w:rsidRPr="00D00D9A" w:rsidRDefault="00F67E9E" w:rsidP="00F67E9E">
      <w:pPr>
        <w:pStyle w:val="Numbered11"/>
      </w:pPr>
      <w:r w:rsidRPr="00D00D9A">
        <w:t>The Service Management Board shall be responsible for the executive management of the Services and shall:</w:t>
      </w:r>
    </w:p>
    <w:p w14:paraId="139FBA16" w14:textId="77777777" w:rsidR="00F67E9E" w:rsidRPr="00D00D9A" w:rsidRDefault="00F67E9E" w:rsidP="00F67E9E">
      <w:pPr>
        <w:pStyle w:val="Numbered111"/>
      </w:pPr>
      <w:r w:rsidRPr="00D00D9A">
        <w:t>be accountable to the Programme Board for comprehensive oversight of the Services and for the senior management of the operational relationship between the Parties;</w:t>
      </w:r>
    </w:p>
    <w:p w14:paraId="71B293F0" w14:textId="77777777" w:rsidR="00F67E9E" w:rsidRPr="00D00D9A" w:rsidRDefault="00F67E9E" w:rsidP="00F67E9E">
      <w:pPr>
        <w:pStyle w:val="Numbered111"/>
      </w:pPr>
      <w:r w:rsidRPr="00D00D9A">
        <w:t>report to the Programme Board on significant issues requiring decision and resolution by the Programme Board and on progress against the high level Implementation Plan;</w:t>
      </w:r>
    </w:p>
    <w:p w14:paraId="6AE255FF" w14:textId="77777777" w:rsidR="00F67E9E" w:rsidRPr="00D00D9A" w:rsidRDefault="00F67E9E" w:rsidP="00F67E9E">
      <w:pPr>
        <w:pStyle w:val="Numbered111"/>
      </w:pPr>
      <w:r w:rsidRPr="00D00D9A">
        <w:t>receive reports from the Project Managers on matters such as issues relating to delivery of existing Services and performance against Performance Indicators, progress against the Implementation Plan and possible future developments;</w:t>
      </w:r>
    </w:p>
    <w:p w14:paraId="080A0290" w14:textId="77777777" w:rsidR="00F67E9E" w:rsidRPr="00D00D9A" w:rsidRDefault="00F67E9E" w:rsidP="00F67E9E">
      <w:pPr>
        <w:pStyle w:val="Numbered111"/>
      </w:pPr>
      <w:r w:rsidRPr="00D00D9A">
        <w:t>review and report to the Programme Board on service management, co-ordination of individual projects and any integration issues;</w:t>
      </w:r>
    </w:p>
    <w:p w14:paraId="03110996" w14:textId="77777777" w:rsidR="00F67E9E" w:rsidRPr="00D00D9A" w:rsidRDefault="00F67E9E" w:rsidP="00F67E9E">
      <w:pPr>
        <w:pStyle w:val="Numbered111"/>
      </w:pPr>
      <w:r w:rsidRPr="00D00D9A">
        <w:t>deal with the prioritisation of resources and the appointment of Project Managers on behalf of the Parties;</w:t>
      </w:r>
    </w:p>
    <w:p w14:paraId="3FA9669B" w14:textId="77777777" w:rsidR="00F67E9E" w:rsidRPr="00D00D9A" w:rsidRDefault="00F67E9E" w:rsidP="00F67E9E">
      <w:pPr>
        <w:pStyle w:val="Numbered111"/>
      </w:pPr>
      <w:r w:rsidRPr="00D00D9A">
        <w:t>consider and resolve Disputes (including Disputes as to the cause of a Delay or the performance of the Services) in the first instance and if necessary escalate the Dispute to the Programme Board; and</w:t>
      </w:r>
    </w:p>
    <w:p w14:paraId="60D21B1B" w14:textId="77777777" w:rsidR="00F67E9E" w:rsidRPr="00D00D9A" w:rsidRDefault="00F67E9E" w:rsidP="00F67E9E">
      <w:pPr>
        <w:pStyle w:val="Numbered111"/>
      </w:pPr>
      <w:r w:rsidRPr="00D00D9A">
        <w:t>develop operational/supplier relationship and develop and propose the relationship development strategy and ensure the implementation of the same.</w:t>
      </w:r>
    </w:p>
    <w:p w14:paraId="7766C0A2" w14:textId="77777777" w:rsidR="00F67E9E" w:rsidRPr="00D00D9A" w:rsidRDefault="00F67E9E" w:rsidP="00F67E9E">
      <w:pPr>
        <w:pStyle w:val="Numbered1"/>
      </w:pPr>
      <w:bookmarkStart w:id="1565" w:name="_Ref44511058"/>
      <w:r w:rsidRPr="00D00D9A">
        <w:t xml:space="preserve">Role </w:t>
      </w:r>
      <w:r>
        <w:t>o</w:t>
      </w:r>
      <w:r w:rsidRPr="00D00D9A">
        <w:t xml:space="preserve">f </w:t>
      </w:r>
      <w:r>
        <w:t>t</w:t>
      </w:r>
      <w:r w:rsidRPr="00D00D9A">
        <w:t>he Programme Board</w:t>
      </w:r>
      <w:bookmarkEnd w:id="1565"/>
    </w:p>
    <w:p w14:paraId="3BF90149" w14:textId="77777777" w:rsidR="00F67E9E" w:rsidRPr="00D00D9A" w:rsidRDefault="00F67E9E" w:rsidP="00F67E9E">
      <w:pPr>
        <w:pStyle w:val="Numbered11"/>
      </w:pPr>
      <w:r w:rsidRPr="00D00D9A">
        <w:t>The Programme Board shall:</w:t>
      </w:r>
    </w:p>
    <w:p w14:paraId="5AB31FDD" w14:textId="77777777" w:rsidR="00F67E9E" w:rsidRPr="00D00D9A" w:rsidRDefault="00F67E9E" w:rsidP="00F67E9E">
      <w:pPr>
        <w:pStyle w:val="Numbered111"/>
      </w:pPr>
      <w:r w:rsidRPr="00D00D9A">
        <w:t>provide senior level guidance, leadership and strategy for the overall delivery of the Services;</w:t>
      </w:r>
    </w:p>
    <w:p w14:paraId="24DA5307" w14:textId="77777777" w:rsidR="00F67E9E" w:rsidRPr="00D00D9A" w:rsidRDefault="00F67E9E" w:rsidP="00F67E9E">
      <w:pPr>
        <w:pStyle w:val="Numbered111"/>
      </w:pPr>
      <w:r w:rsidRPr="00D00D9A">
        <w:t>be the point of escalation from the Change Management Board, the Technical Board and the Service Management Board; and</w:t>
      </w:r>
    </w:p>
    <w:p w14:paraId="66B0030A" w14:textId="00A6E20C" w:rsidR="00F67E9E" w:rsidRPr="00D00D9A" w:rsidRDefault="00F67E9E" w:rsidP="00F67E9E">
      <w:pPr>
        <w:pStyle w:val="Numbered111"/>
      </w:pPr>
      <w:r w:rsidRPr="00D00D9A">
        <w:t xml:space="preserve">carry out the specific obligations attributed to it in </w:t>
      </w:r>
      <w:bookmarkStart w:id="1566" w:name="_9kMHG5YVtCIBBIJIHgTlUc8y2xt6zPU048AFy3F"/>
      <w:r w:rsidRPr="00D00D9A">
        <w:t xml:space="preserve">Paragraph </w:t>
      </w:r>
      <w:r w:rsidRPr="00D00D9A">
        <w:fldChar w:fldCharType="begin"/>
      </w:r>
      <w:r w:rsidRPr="00D00D9A">
        <w:instrText xml:space="preserve"> REF _Ref_ContractCompanion_9kb9Us5CB \n \h \t \* MERGEFORMAT </w:instrText>
      </w:r>
      <w:r w:rsidRPr="00D00D9A">
        <w:fldChar w:fldCharType="separate"/>
      </w:r>
      <w:r w:rsidR="00302D39">
        <w:t>5.2</w:t>
      </w:r>
      <w:r w:rsidRPr="00D00D9A">
        <w:fldChar w:fldCharType="end"/>
      </w:r>
      <w:bookmarkEnd w:id="1566"/>
      <w:r w:rsidRPr="00D00D9A">
        <w:t>.</w:t>
      </w:r>
    </w:p>
    <w:p w14:paraId="09718C20" w14:textId="77777777" w:rsidR="00F67E9E" w:rsidRPr="00D00D9A" w:rsidRDefault="00F67E9E" w:rsidP="00F67E9E">
      <w:pPr>
        <w:pStyle w:val="Numbered11"/>
      </w:pPr>
      <w:bookmarkStart w:id="1567" w:name="_Ref_ContractCompanion_9kb9Us5CB"/>
      <w:bookmarkStart w:id="1568" w:name="_9kR3WTrAG99GHGFeRjSa6w0vr4xNSy268Dw1D"/>
      <w:r w:rsidRPr="00D00D9A">
        <w:t>The Programme Board shall:</w:t>
      </w:r>
      <w:bookmarkEnd w:id="1567"/>
      <w:bookmarkEnd w:id="1568"/>
    </w:p>
    <w:p w14:paraId="641953E8" w14:textId="77777777" w:rsidR="00F67E9E" w:rsidRPr="00D00D9A" w:rsidRDefault="00F67E9E" w:rsidP="00F67E9E">
      <w:pPr>
        <w:pStyle w:val="Numbered111"/>
      </w:pPr>
      <w:r w:rsidRPr="00D00D9A">
        <w:t>ensure that this Contract is operated throughout the Term in a manner which optimises the value for money and operational benefit derived by the Authority and the commercial benefit derived by the Supplier;</w:t>
      </w:r>
    </w:p>
    <w:p w14:paraId="3AB4D288" w14:textId="77777777" w:rsidR="00F67E9E" w:rsidRPr="00D00D9A" w:rsidRDefault="00F67E9E" w:rsidP="00F67E9E">
      <w:pPr>
        <w:pStyle w:val="Numbered111"/>
      </w:pPr>
      <w:r w:rsidRPr="00D00D9A">
        <w:t>receive and review reports from the Service Management Board and review reports on technology, service and other developments that offer potential for improving the benefit that either Party is receiving, in particular value for money;</w:t>
      </w:r>
    </w:p>
    <w:p w14:paraId="45FD90C9" w14:textId="77777777" w:rsidR="00F67E9E" w:rsidRPr="00D00D9A" w:rsidRDefault="00F67E9E" w:rsidP="00F67E9E">
      <w:pPr>
        <w:pStyle w:val="Numbered111"/>
      </w:pPr>
      <w:r w:rsidRPr="00D00D9A">
        <w:t>determine business strategy and provide guidance on policy matters which may impact on the implementation of the Services or on any Optional Services;</w:t>
      </w:r>
    </w:p>
    <w:p w14:paraId="2BA83FA5" w14:textId="77777777" w:rsidR="00F67E9E" w:rsidRPr="00D00D9A" w:rsidRDefault="00F67E9E" w:rsidP="00F67E9E">
      <w:pPr>
        <w:pStyle w:val="Numbered111"/>
      </w:pPr>
      <w:r w:rsidRPr="00D00D9A">
        <w:t>authorise the commissioning and initiation of, and assess opportunities for, Optional Services; and</w:t>
      </w:r>
    </w:p>
    <w:p w14:paraId="709E6180" w14:textId="77777777" w:rsidR="00F67E9E" w:rsidRPr="00D00D9A" w:rsidRDefault="00F67E9E" w:rsidP="00F67E9E">
      <w:pPr>
        <w:pStyle w:val="Numbered111"/>
      </w:pPr>
      <w:r w:rsidRPr="00D00D9A">
        <w:t>provide guidance and authorisation to the Change Management Board on relevant Changes.</w:t>
      </w:r>
    </w:p>
    <w:p w14:paraId="070F4D0F" w14:textId="77777777" w:rsidR="00F67E9E" w:rsidRPr="00D00D9A" w:rsidRDefault="00F67E9E" w:rsidP="00F67E9E">
      <w:pPr>
        <w:pStyle w:val="Numbered1"/>
      </w:pPr>
      <w:bookmarkStart w:id="1569" w:name="_Ref_ContractCompanion_9kb9Us4DE"/>
      <w:bookmarkStart w:id="1570" w:name="_9kR3WTrAG98HKeJfifw5qEPOpFA157DG2y218F7"/>
      <w:r w:rsidRPr="00D00D9A">
        <w:t xml:space="preserve">Role </w:t>
      </w:r>
      <w:r>
        <w:t>o</w:t>
      </w:r>
      <w:r w:rsidRPr="00D00D9A">
        <w:t xml:space="preserve">f </w:t>
      </w:r>
      <w:r>
        <w:t>t</w:t>
      </w:r>
      <w:r w:rsidRPr="00D00D9A">
        <w:t>he Change Management Board</w:t>
      </w:r>
      <w:bookmarkEnd w:id="1569"/>
      <w:bookmarkEnd w:id="1570"/>
    </w:p>
    <w:p w14:paraId="710BFF1B" w14:textId="77777777" w:rsidR="00F67E9E" w:rsidRPr="00D00D9A" w:rsidRDefault="00F67E9E" w:rsidP="00F67E9E">
      <w:pPr>
        <w:pStyle w:val="Numbered11"/>
      </w:pPr>
      <w:r w:rsidRPr="00D00D9A">
        <w:t>The Change Management Board shall assess the impact and approve or reject all Change Requests. Changes which will have a significant impact on the Services shall be escalated to the Programme Board.</w:t>
      </w:r>
    </w:p>
    <w:p w14:paraId="744693A9" w14:textId="77777777" w:rsidR="00F67E9E" w:rsidRPr="00D00D9A" w:rsidRDefault="00F67E9E" w:rsidP="00F67E9E">
      <w:pPr>
        <w:pStyle w:val="Numbered11"/>
      </w:pPr>
      <w:r w:rsidRPr="00D00D9A">
        <w:t>The Change Management Board shall:</w:t>
      </w:r>
    </w:p>
    <w:p w14:paraId="529BA71D" w14:textId="77777777" w:rsidR="00F67E9E" w:rsidRPr="00D00D9A" w:rsidRDefault="00F67E9E" w:rsidP="00F67E9E">
      <w:pPr>
        <w:pStyle w:val="Numbered111"/>
      </w:pPr>
      <w:r w:rsidRPr="00D00D9A">
        <w:t>analyse and record the impact of all Changes, specifically whether the proposed Change:</w:t>
      </w:r>
    </w:p>
    <w:p w14:paraId="3866F2F4" w14:textId="77777777" w:rsidR="00F67E9E" w:rsidRPr="00961F5D" w:rsidRDefault="00F67E9E" w:rsidP="00F67E9E">
      <w:pPr>
        <w:pStyle w:val="Numbered111a"/>
      </w:pPr>
      <w:r w:rsidRPr="00D00D9A">
        <w:t xml:space="preserve">has an impact on other areas or aspects of this Contract and/or other </w:t>
      </w:r>
      <w:r w:rsidRPr="00961F5D">
        <w:t xml:space="preserve">documentation relating to the Services; </w:t>
      </w:r>
    </w:p>
    <w:p w14:paraId="6083584D" w14:textId="77777777" w:rsidR="00F67E9E" w:rsidRPr="00961F5D" w:rsidRDefault="00F67E9E" w:rsidP="00F67E9E">
      <w:pPr>
        <w:pStyle w:val="Numbered111a"/>
      </w:pPr>
      <w:r w:rsidRPr="00961F5D">
        <w:t xml:space="preserve">has an impact on the ability of the Authority to meet its agreed business needs within agreed time-scales; </w:t>
      </w:r>
    </w:p>
    <w:p w14:paraId="29DF5DC3" w14:textId="77777777" w:rsidR="00F67E9E" w:rsidRPr="00961F5D" w:rsidRDefault="00F67E9E" w:rsidP="00F67E9E">
      <w:pPr>
        <w:pStyle w:val="Numbered111a"/>
      </w:pPr>
      <w:r w:rsidRPr="00961F5D">
        <w:t>will raise any risks or issues relating to the proposed Change; and</w:t>
      </w:r>
    </w:p>
    <w:p w14:paraId="791CC8DE" w14:textId="77777777" w:rsidR="00F67E9E" w:rsidRPr="00D00D9A" w:rsidRDefault="00F67E9E" w:rsidP="00F67E9E">
      <w:pPr>
        <w:pStyle w:val="Numbered111a"/>
      </w:pPr>
      <w:r w:rsidRPr="00961F5D">
        <w:t>will provide value for money in consideration of any changes to the Financial Model, future Charges and/or Performance Indicators and Target Performance</w:t>
      </w:r>
      <w:r w:rsidRPr="00D00D9A">
        <w:t xml:space="preserve"> Levels;</w:t>
      </w:r>
    </w:p>
    <w:p w14:paraId="6052F458" w14:textId="77777777" w:rsidR="00F67E9E" w:rsidRPr="00D00D9A" w:rsidRDefault="00F67E9E" w:rsidP="00F67E9E">
      <w:pPr>
        <w:pStyle w:val="Numbered111"/>
      </w:pPr>
      <w:r w:rsidRPr="00D00D9A">
        <w:t>provide recommendations, seek guidance and authorisation from the Programme Board as required; and</w:t>
      </w:r>
    </w:p>
    <w:p w14:paraId="6974AC02" w14:textId="77777777" w:rsidR="00F67E9E" w:rsidRPr="00D00D9A" w:rsidRDefault="00F67E9E" w:rsidP="00F67E9E">
      <w:pPr>
        <w:pStyle w:val="Numbered111"/>
      </w:pPr>
      <w:r w:rsidRPr="00D00D9A">
        <w:t>approve or reject (close) all proposed Changes.</w:t>
      </w:r>
    </w:p>
    <w:p w14:paraId="3BF7B2FA" w14:textId="77777777" w:rsidR="00F67E9E" w:rsidRPr="00D00D9A" w:rsidRDefault="00F67E9E" w:rsidP="00F67E9E">
      <w:pPr>
        <w:pStyle w:val="Numbered1"/>
      </w:pPr>
      <w:bookmarkStart w:id="1571" w:name="_Ref_ContractCompanion_9kb9Us4DB"/>
      <w:bookmarkStart w:id="1572" w:name="_9kR3WTrAG98HHbJfifw5qEPPqFA157DG2FG04GI"/>
      <w:r w:rsidRPr="00D00D9A">
        <w:t xml:space="preserve">Role </w:t>
      </w:r>
      <w:r>
        <w:t>o</w:t>
      </w:r>
      <w:r w:rsidRPr="00D00D9A">
        <w:t xml:space="preserve">f </w:t>
      </w:r>
      <w:r>
        <w:t>t</w:t>
      </w:r>
      <w:r w:rsidRPr="00D00D9A">
        <w:t>he Technical Board</w:t>
      </w:r>
      <w:bookmarkEnd w:id="1571"/>
      <w:bookmarkEnd w:id="1572"/>
    </w:p>
    <w:p w14:paraId="2899EA07" w14:textId="77777777" w:rsidR="00F67E9E" w:rsidRPr="00D00D9A" w:rsidRDefault="00F67E9E" w:rsidP="00F67E9E">
      <w:pPr>
        <w:pStyle w:val="Numbered11"/>
      </w:pPr>
      <w:r w:rsidRPr="00D00D9A">
        <w:t>The Technical Board shall be accountable to the Programme Board for oversight of the technology used in the Supplier Solution and ensuring that technological choices are made to maximise the long term value of the Supplier Solution as a business asset of the Authority.</w:t>
      </w:r>
    </w:p>
    <w:p w14:paraId="33B3D3C7" w14:textId="77777777" w:rsidR="00F67E9E" w:rsidRPr="00D00D9A" w:rsidRDefault="00F67E9E" w:rsidP="00F67E9E">
      <w:pPr>
        <w:pStyle w:val="Numbered11"/>
      </w:pPr>
      <w:r w:rsidRPr="00D00D9A">
        <w:t>The Technical Board shall:</w:t>
      </w:r>
    </w:p>
    <w:p w14:paraId="14D04CD7" w14:textId="77777777" w:rsidR="00F67E9E" w:rsidRPr="00961F5D" w:rsidRDefault="00F67E9E" w:rsidP="00F67E9E">
      <w:pPr>
        <w:pStyle w:val="Numbered111"/>
      </w:pPr>
      <w:r w:rsidRPr="00D00D9A">
        <w:t xml:space="preserve">ensure </w:t>
      </w:r>
      <w:r w:rsidRPr="00961F5D">
        <w:t>compliance with the Standards;</w:t>
      </w:r>
    </w:p>
    <w:p w14:paraId="16209BE4" w14:textId="77777777" w:rsidR="00F67E9E" w:rsidRPr="00961F5D" w:rsidRDefault="00F67E9E" w:rsidP="00F67E9E">
      <w:pPr>
        <w:pStyle w:val="Numbered111"/>
      </w:pPr>
      <w:r w:rsidRPr="00961F5D">
        <w:t>grant dispensations for variations from such compliance where appropriate;</w:t>
      </w:r>
    </w:p>
    <w:p w14:paraId="7C092DC0" w14:textId="77777777" w:rsidR="00F67E9E" w:rsidRPr="00961F5D" w:rsidRDefault="00F67E9E" w:rsidP="00F67E9E">
      <w:pPr>
        <w:pStyle w:val="Numbered111"/>
      </w:pPr>
      <w:r w:rsidRPr="00961F5D">
        <w:t>assure the coherence and consistency of the systems architecture for the Supplier Solution;</w:t>
      </w:r>
    </w:p>
    <w:p w14:paraId="072D1A3C" w14:textId="77777777" w:rsidR="00F67E9E" w:rsidRPr="00961F5D" w:rsidRDefault="00F67E9E" w:rsidP="00F67E9E">
      <w:pPr>
        <w:pStyle w:val="Numbered111"/>
      </w:pPr>
      <w:r w:rsidRPr="00961F5D">
        <w:t>monitor developments in new technology and reporting on their potential benefit to the Services;</w:t>
      </w:r>
    </w:p>
    <w:p w14:paraId="68543075" w14:textId="77777777" w:rsidR="00F67E9E" w:rsidRPr="00961F5D" w:rsidRDefault="00F67E9E" w:rsidP="00F67E9E">
      <w:pPr>
        <w:pStyle w:val="Numbered111"/>
      </w:pPr>
      <w:r w:rsidRPr="00961F5D">
        <w:t>provide advice, guidance and information on technical issues; and</w:t>
      </w:r>
    </w:p>
    <w:p w14:paraId="00D3EF58" w14:textId="77777777" w:rsidR="00F67E9E" w:rsidRPr="00D00D9A" w:rsidRDefault="00F67E9E" w:rsidP="00F67E9E">
      <w:pPr>
        <w:pStyle w:val="Numbered111"/>
      </w:pPr>
      <w:r w:rsidRPr="00961F5D">
        <w:t>assure that the technical architecture of the Supplier Solution is aligned to the Service Requirements and has sufficient flexibility to cope with future requirements</w:t>
      </w:r>
      <w:r w:rsidRPr="00D00D9A">
        <w:t xml:space="preserve"> of the Authority.</w:t>
      </w:r>
    </w:p>
    <w:p w14:paraId="5D91B997" w14:textId="77777777" w:rsidR="00F67E9E" w:rsidRPr="00D00D9A" w:rsidRDefault="00F67E9E" w:rsidP="00F67E9E">
      <w:pPr>
        <w:pStyle w:val="Numbered1"/>
      </w:pPr>
      <w:bookmarkStart w:id="1573" w:name="_Ref_ContractCompanion_9kb9Us5BH"/>
      <w:bookmarkStart w:id="1574" w:name="_9kR3WTrAG99GEGh50rvx36s38AD8z12w189BRGC"/>
      <w:r w:rsidRPr="00D00D9A">
        <w:t xml:space="preserve">Role </w:t>
      </w:r>
      <w:r>
        <w:t>o</w:t>
      </w:r>
      <w:r w:rsidRPr="00D00D9A">
        <w:t xml:space="preserve">f </w:t>
      </w:r>
      <w:r>
        <w:t>t</w:t>
      </w:r>
      <w:r w:rsidRPr="00D00D9A">
        <w:t>he Risk Management Board</w:t>
      </w:r>
      <w:bookmarkEnd w:id="1573"/>
      <w:bookmarkEnd w:id="1574"/>
    </w:p>
    <w:p w14:paraId="3A89BFA8" w14:textId="77777777" w:rsidR="00F67E9E" w:rsidRPr="00D00D9A" w:rsidRDefault="00F67E9E" w:rsidP="00F67E9E">
      <w:pPr>
        <w:pStyle w:val="Numbered11"/>
      </w:pPr>
      <w:r w:rsidRPr="00D00D9A">
        <w:t>The Risk Management Board shall identify and manage risks relating to the performance of the Services.</w:t>
      </w:r>
    </w:p>
    <w:p w14:paraId="518A6141" w14:textId="77777777" w:rsidR="00F67E9E" w:rsidRPr="00D00D9A" w:rsidRDefault="00F67E9E" w:rsidP="00F67E9E">
      <w:pPr>
        <w:pStyle w:val="Numbered11"/>
      </w:pPr>
      <w:r w:rsidRPr="00D00D9A">
        <w:t>The Risk Management Board shall:</w:t>
      </w:r>
    </w:p>
    <w:p w14:paraId="44C1D08E" w14:textId="77777777" w:rsidR="00F67E9E" w:rsidRPr="00D00D9A" w:rsidRDefault="00F67E9E" w:rsidP="00F67E9E">
      <w:pPr>
        <w:pStyle w:val="Numbered111"/>
      </w:pPr>
      <w:r w:rsidRPr="00D00D9A">
        <w:t xml:space="preserve">provide assurance to the Programme Board that risks are being effectively managed across the Services, including reporting the </w:t>
      </w:r>
      <w:r>
        <w:t>‘</w:t>
      </w:r>
      <w:r w:rsidRPr="00D00D9A">
        <w:t>top 5</w:t>
      </w:r>
      <w:r>
        <w:t>’</w:t>
      </w:r>
      <w:r w:rsidRPr="00D00D9A">
        <w:t xml:space="preserve"> risks to the Programme Board on a monthly basis; </w:t>
      </w:r>
    </w:p>
    <w:p w14:paraId="5A6ABE89" w14:textId="77777777" w:rsidR="00F67E9E" w:rsidRPr="00D00D9A" w:rsidRDefault="00F67E9E" w:rsidP="00F67E9E">
      <w:pPr>
        <w:pStyle w:val="Numbered111"/>
      </w:pPr>
      <w:r w:rsidRPr="00D00D9A">
        <w:t xml:space="preserve">identify the risks to be reported to the Programme Board via the regular risk reports; </w:t>
      </w:r>
    </w:p>
    <w:p w14:paraId="4C1C7DA3" w14:textId="77777777" w:rsidR="00F67E9E" w:rsidRPr="00D00D9A" w:rsidRDefault="00F67E9E" w:rsidP="00F67E9E">
      <w:pPr>
        <w:pStyle w:val="Numbered111"/>
      </w:pPr>
      <w:r w:rsidRPr="00D00D9A">
        <w:t xml:space="preserve">subject to the Change Control Procedure, accept or reject new risks proposed for inclusion in the Risk Register; </w:t>
      </w:r>
    </w:p>
    <w:p w14:paraId="7C0CB752" w14:textId="77777777" w:rsidR="00F67E9E" w:rsidRPr="00D00D9A" w:rsidRDefault="00F67E9E" w:rsidP="00F67E9E">
      <w:pPr>
        <w:pStyle w:val="Numbered111"/>
      </w:pPr>
      <w:r w:rsidRPr="00D00D9A">
        <w:t>ratify or refuse requests to close risks on the Risk Register; and</w:t>
      </w:r>
    </w:p>
    <w:p w14:paraId="0EE1AE37" w14:textId="77777777" w:rsidR="00F67E9E" w:rsidRPr="00D00D9A" w:rsidRDefault="00F67E9E" w:rsidP="00F67E9E">
      <w:pPr>
        <w:pStyle w:val="Numbered111"/>
      </w:pPr>
      <w:r w:rsidRPr="00D00D9A">
        <w:t>identify risks relating to or arising out of the performance of the Services and provisional owners of these risks.</w:t>
      </w:r>
    </w:p>
    <w:p w14:paraId="02E53D57" w14:textId="77777777" w:rsidR="00F67E9E" w:rsidRPr="00D00D9A" w:rsidRDefault="00F67E9E" w:rsidP="00F67E9E">
      <w:pPr>
        <w:pStyle w:val="Numbered1"/>
      </w:pPr>
      <w:r w:rsidRPr="00D00D9A">
        <w:t>Contract Management Mechanisms</w:t>
      </w:r>
    </w:p>
    <w:p w14:paraId="2F6EDF6A" w14:textId="77777777" w:rsidR="00F67E9E" w:rsidRPr="00D00D9A" w:rsidRDefault="00F67E9E" w:rsidP="00F67E9E">
      <w:pPr>
        <w:pStyle w:val="Numbered11"/>
      </w:pPr>
      <w:r w:rsidRPr="00D00D9A">
        <w:t>Both Parties shall pro-actively manage risks attributed to them under the terms of this Contract.</w:t>
      </w:r>
    </w:p>
    <w:p w14:paraId="4B7DB0D0" w14:textId="77777777" w:rsidR="00F67E9E" w:rsidRPr="00D00D9A" w:rsidRDefault="00F67E9E" w:rsidP="00F67E9E">
      <w:pPr>
        <w:pStyle w:val="Numbered11"/>
      </w:pPr>
      <w:r w:rsidRPr="00D00D9A">
        <w:t>The Supplier shall develop, operate, maintain and amend, as agreed with the Authority, processes for:</w:t>
      </w:r>
    </w:p>
    <w:p w14:paraId="2FF4FB19" w14:textId="77777777" w:rsidR="00F67E9E" w:rsidRPr="00D00D9A" w:rsidRDefault="00F67E9E" w:rsidP="00F67E9E">
      <w:pPr>
        <w:pStyle w:val="Numbered111"/>
      </w:pPr>
      <w:r w:rsidRPr="00D00D9A">
        <w:t>the identification and management of risks;</w:t>
      </w:r>
    </w:p>
    <w:p w14:paraId="6451B842" w14:textId="77777777" w:rsidR="00F67E9E" w:rsidRPr="00D00D9A" w:rsidRDefault="00F67E9E" w:rsidP="00F67E9E">
      <w:pPr>
        <w:pStyle w:val="Numbered111"/>
      </w:pPr>
      <w:r w:rsidRPr="00D00D9A">
        <w:t>the identification and management of issues; and</w:t>
      </w:r>
    </w:p>
    <w:p w14:paraId="2E16B570" w14:textId="77777777" w:rsidR="00F67E9E" w:rsidRPr="00D00D9A" w:rsidRDefault="00F67E9E" w:rsidP="00F67E9E">
      <w:pPr>
        <w:pStyle w:val="Numbered111"/>
      </w:pPr>
      <w:r w:rsidRPr="00D00D9A">
        <w:t>monitoring and controlling project plans.</w:t>
      </w:r>
    </w:p>
    <w:p w14:paraId="383B4E06" w14:textId="77777777" w:rsidR="00F67E9E" w:rsidRPr="00D00D9A" w:rsidRDefault="00F67E9E" w:rsidP="00F67E9E">
      <w:pPr>
        <w:pStyle w:val="Numbered11"/>
      </w:pPr>
      <w:r w:rsidRPr="00D00D9A">
        <w:t xml:space="preserve">The Risk Register shall be updated by the Supplier and submitted for review by the Risk </w:t>
      </w:r>
      <w:r w:rsidRPr="00961F5D">
        <w:t>Management</w:t>
      </w:r>
      <w:r w:rsidRPr="00D00D9A">
        <w:t xml:space="preserve"> Board.</w:t>
      </w:r>
    </w:p>
    <w:p w14:paraId="562D08D5" w14:textId="77777777" w:rsidR="00F67E9E" w:rsidRPr="003B3F46" w:rsidRDefault="00F67E9E" w:rsidP="00F67E9E">
      <w:pPr>
        <w:pStyle w:val="Numbered1"/>
      </w:pPr>
      <w:r w:rsidRPr="003B3F46">
        <w:t>Annual Review</w:t>
      </w:r>
    </w:p>
    <w:p w14:paraId="18B8A641" w14:textId="77777777" w:rsidR="00F67E9E" w:rsidRPr="003B3F46" w:rsidRDefault="00F67E9E" w:rsidP="00F67E9E">
      <w:pPr>
        <w:pStyle w:val="Numbered11"/>
      </w:pPr>
      <w:r w:rsidRPr="003B3F46">
        <w:t>An annual review meeting shall be held throughout the Term on a date to be agreed between the Parties.</w:t>
      </w:r>
    </w:p>
    <w:p w14:paraId="7ECEBB0A" w14:textId="77777777" w:rsidR="00F67E9E" w:rsidRDefault="00F67E9E" w:rsidP="00F67E9E">
      <w:pPr>
        <w:pStyle w:val="Numbered11"/>
      </w:pPr>
      <w:r w:rsidRPr="003B3F46">
        <w:t>The meetings shall be attended by the</w:t>
      </w:r>
      <w:r w:rsidRPr="008758E7">
        <w:t xml:space="preserve"> </w:t>
      </w:r>
      <w:r w:rsidRPr="00B73DD6">
        <w:rPr>
          <w:b/>
          <w:highlight w:val="yellow"/>
        </w:rPr>
        <w:t>[insert</w:t>
      </w:r>
      <w:r w:rsidRPr="008758E7">
        <w:rPr>
          <w:rStyle w:val="StdBodyTextBoldChar"/>
          <w:rFonts w:eastAsiaTheme="majorEastAsia" w:cs="Arial"/>
          <w:b w:val="0"/>
          <w:bCs/>
          <w:highlight w:val="yellow"/>
        </w:rPr>
        <w:t xml:space="preserve"> role</w:t>
      </w:r>
      <w:r w:rsidRPr="003B3F46">
        <w:rPr>
          <w:highlight w:val="yellow"/>
        </w:rPr>
        <w:t>]</w:t>
      </w:r>
      <w:r w:rsidRPr="003B3F46">
        <w:t xml:space="preserve"> of the Supplier and the </w:t>
      </w:r>
      <w:r w:rsidRPr="00B73DD6">
        <w:rPr>
          <w:b/>
          <w:highlight w:val="yellow"/>
        </w:rPr>
        <w:t>[insert</w:t>
      </w:r>
      <w:r w:rsidRPr="008758E7">
        <w:rPr>
          <w:rStyle w:val="StdBodyTextBoldChar"/>
          <w:rFonts w:eastAsiaTheme="majorEastAsia" w:cs="Arial"/>
          <w:b w:val="0"/>
          <w:bCs/>
          <w:highlight w:val="yellow"/>
        </w:rPr>
        <w:t xml:space="preserve"> role</w:t>
      </w:r>
      <w:r w:rsidRPr="003B3F46">
        <w:rPr>
          <w:highlight w:val="yellow"/>
        </w:rPr>
        <w:t>]</w:t>
      </w:r>
      <w:r w:rsidRPr="003B3F46">
        <w:t xml:space="preserve"> of the Authority and any other persons considered by the Authority necessary for the review.</w:t>
      </w:r>
    </w:p>
    <w:p w14:paraId="5BEA6E02" w14:textId="77777777" w:rsidR="00F67E9E" w:rsidRDefault="00F67E9E" w:rsidP="00F67E9E"/>
    <w:p w14:paraId="4B8B3AD6" w14:textId="77777777" w:rsidR="00F67E9E" w:rsidRPr="000B6F69" w:rsidRDefault="00F67E9E" w:rsidP="00F67E9E">
      <w:pPr>
        <w:pStyle w:val="Heading2"/>
        <w:pageBreakBefore/>
      </w:pPr>
      <w:bookmarkStart w:id="1575" w:name="_Ref_ContractCompanion_9kb9Ur6AB"/>
      <w:bookmarkStart w:id="1576" w:name="_Ref_ContractCompanion_9kb9Ur7CA"/>
      <w:bookmarkStart w:id="1577" w:name="_Ref_ContractCompanion_9kb9Us7D9"/>
      <w:bookmarkStart w:id="1578" w:name="_Toc141711964"/>
      <w:r w:rsidRPr="00D00D9A">
        <w:t xml:space="preserve">Annex </w:t>
      </w:r>
      <w:bookmarkStart w:id="1579" w:name="ANNEX1_SCHEDULE21"/>
      <w:r w:rsidRPr="00D00D9A">
        <w:t>1</w:t>
      </w:r>
      <w:bookmarkEnd w:id="1579"/>
      <w:r w:rsidRPr="00D00D9A">
        <w:t>: Representation</w:t>
      </w:r>
      <w:r w:rsidRPr="00F0375C">
        <w:t xml:space="preserve"> </w:t>
      </w:r>
      <w:r>
        <w:t>a</w:t>
      </w:r>
      <w:r w:rsidRPr="00F0375C">
        <w:t xml:space="preserve">nd Structure </w:t>
      </w:r>
      <w:r>
        <w:t>o</w:t>
      </w:r>
      <w:r w:rsidRPr="00F0375C">
        <w:t>f Boards</w:t>
      </w:r>
      <w:bookmarkEnd w:id="1575"/>
      <w:bookmarkEnd w:id="1576"/>
      <w:bookmarkEnd w:id="1577"/>
      <w:bookmarkEnd w:id="1578"/>
    </w:p>
    <w:p w14:paraId="375D041A" w14:textId="77777777" w:rsidR="00F67E9E" w:rsidRPr="003B3F46" w:rsidRDefault="00F67E9E" w:rsidP="00F67E9E">
      <w:pPr>
        <w:pStyle w:val="BlankDocumentTitle"/>
        <w:rPr>
          <w:rFonts w:cs="Arial"/>
        </w:rPr>
      </w:pPr>
      <w:r w:rsidRPr="003B3F46">
        <w:rPr>
          <w:rFonts w:cs="Arial"/>
        </w:rPr>
        <w:t>Service Management Board</w:t>
      </w:r>
    </w:p>
    <w:tbl>
      <w:tblPr>
        <w:tblStyle w:val="MSATable-header"/>
        <w:tblW w:w="10204" w:type="dxa"/>
        <w:tblLook w:val="0600" w:firstRow="0" w:lastRow="0" w:firstColumn="0" w:lastColumn="0" w:noHBand="1" w:noVBand="1"/>
      </w:tblPr>
      <w:tblGrid>
        <w:gridCol w:w="5669"/>
        <w:gridCol w:w="4535"/>
      </w:tblGrid>
      <w:tr w:rsidR="00F67E9E" w:rsidRPr="003B3F46" w14:paraId="2DD8D927" w14:textId="77777777" w:rsidTr="007F74AA">
        <w:tc>
          <w:tcPr>
            <w:tcW w:w="5669" w:type="dxa"/>
          </w:tcPr>
          <w:p w14:paraId="0673238E" w14:textId="77777777" w:rsidR="00F67E9E" w:rsidRPr="003B3F46" w:rsidRDefault="00F67E9E" w:rsidP="007F74AA">
            <w:pPr>
              <w:pStyle w:val="StdBodyText"/>
              <w:spacing w:before="0" w:after="0"/>
              <w:rPr>
                <w:rFonts w:cs="Arial"/>
              </w:rPr>
            </w:pPr>
            <w:r w:rsidRPr="003B3F46">
              <w:rPr>
                <w:rFonts w:cs="Arial"/>
              </w:rPr>
              <w:t>Authority Members of Service Management Board</w:t>
            </w:r>
          </w:p>
        </w:tc>
        <w:tc>
          <w:tcPr>
            <w:tcW w:w="4535" w:type="dxa"/>
          </w:tcPr>
          <w:p w14:paraId="0A27A45A" w14:textId="77777777" w:rsidR="00F67E9E" w:rsidRPr="003B3F46" w:rsidRDefault="00F67E9E" w:rsidP="007F74AA">
            <w:pPr>
              <w:pStyle w:val="StdBodyText"/>
              <w:spacing w:before="0" w:after="0"/>
              <w:rPr>
                <w:rFonts w:cs="Arial"/>
                <w:highlight w:val="yellow"/>
              </w:rPr>
            </w:pPr>
            <w:r w:rsidRPr="003B3F46">
              <w:rPr>
                <w:rFonts w:cs="Arial"/>
                <w:highlight w:val="yellow"/>
              </w:rPr>
              <w:t>[                    ] [Chairperson]</w:t>
            </w:r>
          </w:p>
        </w:tc>
      </w:tr>
      <w:tr w:rsidR="00F67E9E" w:rsidRPr="003B3F46" w14:paraId="7067294E" w14:textId="77777777" w:rsidTr="007F74AA">
        <w:tc>
          <w:tcPr>
            <w:tcW w:w="5669" w:type="dxa"/>
          </w:tcPr>
          <w:p w14:paraId="730F7971" w14:textId="77777777" w:rsidR="00F67E9E" w:rsidRPr="003B3F46" w:rsidRDefault="00F67E9E" w:rsidP="007F74AA">
            <w:pPr>
              <w:pStyle w:val="StdBodyText"/>
              <w:spacing w:before="0" w:after="0"/>
              <w:rPr>
                <w:rFonts w:cs="Arial"/>
              </w:rPr>
            </w:pPr>
            <w:r w:rsidRPr="003B3F46">
              <w:rPr>
                <w:rFonts w:cs="Arial"/>
              </w:rPr>
              <w:t>Supplier Members of Service Management Board</w:t>
            </w:r>
          </w:p>
        </w:tc>
        <w:tc>
          <w:tcPr>
            <w:tcW w:w="4535" w:type="dxa"/>
          </w:tcPr>
          <w:p w14:paraId="33B2E0CF" w14:textId="77777777" w:rsidR="00F67E9E" w:rsidRPr="003B3F46" w:rsidRDefault="00F67E9E" w:rsidP="007F74AA">
            <w:pPr>
              <w:pStyle w:val="StdBodyText"/>
              <w:spacing w:before="0" w:after="0"/>
              <w:rPr>
                <w:rFonts w:cs="Arial"/>
              </w:rPr>
            </w:pPr>
          </w:p>
        </w:tc>
      </w:tr>
      <w:tr w:rsidR="00F67E9E" w:rsidRPr="003B3F46" w14:paraId="623C6BFE" w14:textId="77777777" w:rsidTr="007F74AA">
        <w:tc>
          <w:tcPr>
            <w:tcW w:w="5669" w:type="dxa"/>
          </w:tcPr>
          <w:p w14:paraId="40A899CF" w14:textId="77777777" w:rsidR="00F67E9E" w:rsidRPr="003B3F46" w:rsidRDefault="00F67E9E" w:rsidP="007F74AA">
            <w:pPr>
              <w:pStyle w:val="StdBodyText"/>
              <w:spacing w:before="0" w:after="0"/>
              <w:rPr>
                <w:rFonts w:cs="Arial"/>
              </w:rPr>
            </w:pPr>
            <w:r w:rsidRPr="003B3F46">
              <w:rPr>
                <w:rFonts w:cs="Arial"/>
              </w:rPr>
              <w:t>Start Date for Service Management Board meetings</w:t>
            </w:r>
          </w:p>
        </w:tc>
        <w:tc>
          <w:tcPr>
            <w:tcW w:w="4535" w:type="dxa"/>
          </w:tcPr>
          <w:p w14:paraId="1F21796F" w14:textId="77777777" w:rsidR="00F67E9E" w:rsidRPr="003B3F46" w:rsidRDefault="00F67E9E" w:rsidP="007F74AA">
            <w:pPr>
              <w:pStyle w:val="StdBodyText"/>
              <w:spacing w:before="0" w:after="0"/>
              <w:rPr>
                <w:rFonts w:cs="Arial"/>
              </w:rPr>
            </w:pPr>
          </w:p>
        </w:tc>
      </w:tr>
      <w:tr w:rsidR="00F67E9E" w:rsidRPr="003B3F46" w14:paraId="53D0A36E" w14:textId="77777777" w:rsidTr="007F74AA">
        <w:tc>
          <w:tcPr>
            <w:tcW w:w="5669" w:type="dxa"/>
          </w:tcPr>
          <w:p w14:paraId="4307D2DA" w14:textId="77777777" w:rsidR="00F67E9E" w:rsidRPr="003B3F46" w:rsidRDefault="00F67E9E" w:rsidP="007F74AA">
            <w:pPr>
              <w:pStyle w:val="StdBodyText"/>
              <w:spacing w:before="0" w:after="0"/>
              <w:rPr>
                <w:rFonts w:cs="Arial"/>
              </w:rPr>
            </w:pPr>
            <w:r w:rsidRPr="003B3F46">
              <w:rPr>
                <w:rFonts w:cs="Arial"/>
              </w:rPr>
              <w:t>Frequency of Service Management Board meetings</w:t>
            </w:r>
          </w:p>
        </w:tc>
        <w:tc>
          <w:tcPr>
            <w:tcW w:w="4535" w:type="dxa"/>
          </w:tcPr>
          <w:p w14:paraId="1E30DE66" w14:textId="77777777" w:rsidR="00F67E9E" w:rsidRPr="003B3F46" w:rsidRDefault="00F67E9E" w:rsidP="007F74AA">
            <w:pPr>
              <w:pStyle w:val="StdBodyText"/>
              <w:spacing w:before="0" w:after="0"/>
              <w:rPr>
                <w:rFonts w:cs="Arial"/>
              </w:rPr>
            </w:pPr>
          </w:p>
        </w:tc>
      </w:tr>
      <w:tr w:rsidR="00F67E9E" w:rsidRPr="003B3F46" w14:paraId="75E66AB0" w14:textId="77777777" w:rsidTr="007F74AA">
        <w:tc>
          <w:tcPr>
            <w:tcW w:w="5669" w:type="dxa"/>
          </w:tcPr>
          <w:p w14:paraId="061A8B88" w14:textId="77777777" w:rsidR="00F67E9E" w:rsidRPr="003B3F46" w:rsidRDefault="00F67E9E" w:rsidP="007F74AA">
            <w:pPr>
              <w:pStyle w:val="StdBodyText"/>
              <w:spacing w:before="0" w:after="0"/>
              <w:rPr>
                <w:rFonts w:cs="Arial"/>
              </w:rPr>
            </w:pPr>
            <w:r w:rsidRPr="003B3F46">
              <w:rPr>
                <w:rFonts w:cs="Arial"/>
              </w:rPr>
              <w:t>Location of Service Management Board meetings</w:t>
            </w:r>
          </w:p>
        </w:tc>
        <w:tc>
          <w:tcPr>
            <w:tcW w:w="4535" w:type="dxa"/>
          </w:tcPr>
          <w:p w14:paraId="43678858" w14:textId="77777777" w:rsidR="00F67E9E" w:rsidRPr="003B3F46" w:rsidRDefault="00F67E9E" w:rsidP="007F74AA">
            <w:pPr>
              <w:pStyle w:val="StdBodyText"/>
              <w:spacing w:before="0" w:after="0"/>
              <w:rPr>
                <w:rFonts w:cs="Arial"/>
              </w:rPr>
            </w:pPr>
          </w:p>
        </w:tc>
      </w:tr>
    </w:tbl>
    <w:p w14:paraId="2397D029" w14:textId="77777777" w:rsidR="00F67E9E" w:rsidRPr="003B3F46" w:rsidRDefault="00F67E9E" w:rsidP="00F67E9E">
      <w:pPr>
        <w:pStyle w:val="Table-followingparagraph"/>
      </w:pPr>
    </w:p>
    <w:p w14:paraId="12196FDE" w14:textId="77777777" w:rsidR="00F67E9E" w:rsidRPr="003B3F46" w:rsidRDefault="00F67E9E" w:rsidP="00F67E9E">
      <w:pPr>
        <w:pStyle w:val="BlankDocumentTitle"/>
        <w:rPr>
          <w:rFonts w:cs="Arial"/>
        </w:rPr>
      </w:pPr>
      <w:r w:rsidRPr="003B3F46">
        <w:rPr>
          <w:rFonts w:cs="Arial"/>
        </w:rPr>
        <w:t>Programme Board</w:t>
      </w:r>
    </w:p>
    <w:tbl>
      <w:tblPr>
        <w:tblStyle w:val="MSATable-header"/>
        <w:tblW w:w="10204" w:type="dxa"/>
        <w:tblLook w:val="0600" w:firstRow="0" w:lastRow="0" w:firstColumn="0" w:lastColumn="0" w:noHBand="1" w:noVBand="1"/>
      </w:tblPr>
      <w:tblGrid>
        <w:gridCol w:w="5669"/>
        <w:gridCol w:w="4535"/>
      </w:tblGrid>
      <w:tr w:rsidR="00F67E9E" w:rsidRPr="003B3F46" w14:paraId="4E52D1CE" w14:textId="77777777" w:rsidTr="007F74AA">
        <w:tc>
          <w:tcPr>
            <w:tcW w:w="5669" w:type="dxa"/>
          </w:tcPr>
          <w:p w14:paraId="74E54940" w14:textId="77777777" w:rsidR="00F67E9E" w:rsidRPr="003B3F46" w:rsidRDefault="00F67E9E" w:rsidP="007F74AA">
            <w:pPr>
              <w:pStyle w:val="StdBodyText"/>
              <w:spacing w:before="0" w:after="0"/>
              <w:rPr>
                <w:rFonts w:cs="Arial"/>
              </w:rPr>
            </w:pPr>
            <w:r w:rsidRPr="003B3F46">
              <w:rPr>
                <w:rFonts w:cs="Arial"/>
              </w:rPr>
              <w:t>Authority members of Programme Board</w:t>
            </w:r>
          </w:p>
        </w:tc>
        <w:tc>
          <w:tcPr>
            <w:tcW w:w="4535" w:type="dxa"/>
          </w:tcPr>
          <w:p w14:paraId="1B37FF88" w14:textId="77777777" w:rsidR="00F67E9E" w:rsidRPr="003B3F46" w:rsidRDefault="00F67E9E" w:rsidP="007F74AA">
            <w:pPr>
              <w:pStyle w:val="StdBodyText"/>
              <w:spacing w:before="0" w:after="0"/>
              <w:rPr>
                <w:rFonts w:cs="Arial"/>
                <w:highlight w:val="yellow"/>
              </w:rPr>
            </w:pPr>
            <w:r w:rsidRPr="003B3F46">
              <w:rPr>
                <w:rFonts w:cs="Arial"/>
                <w:highlight w:val="yellow"/>
              </w:rPr>
              <w:t>[                    ] [Chairperson]</w:t>
            </w:r>
          </w:p>
        </w:tc>
      </w:tr>
      <w:tr w:rsidR="00F67E9E" w:rsidRPr="003B3F46" w14:paraId="19DDC92D" w14:textId="77777777" w:rsidTr="007F74AA">
        <w:tc>
          <w:tcPr>
            <w:tcW w:w="5669" w:type="dxa"/>
          </w:tcPr>
          <w:p w14:paraId="5A47BE06" w14:textId="77777777" w:rsidR="00F67E9E" w:rsidRPr="003B3F46" w:rsidRDefault="00F67E9E" w:rsidP="007F74AA">
            <w:pPr>
              <w:pStyle w:val="StdBodyText"/>
              <w:spacing w:before="0" w:after="0"/>
              <w:rPr>
                <w:rFonts w:cs="Arial"/>
              </w:rPr>
            </w:pPr>
            <w:r w:rsidRPr="003B3F46">
              <w:rPr>
                <w:rFonts w:cs="Arial"/>
              </w:rPr>
              <w:t>Supplier members of Programme Board</w:t>
            </w:r>
          </w:p>
        </w:tc>
        <w:tc>
          <w:tcPr>
            <w:tcW w:w="4535" w:type="dxa"/>
          </w:tcPr>
          <w:p w14:paraId="0D51E57E" w14:textId="77777777" w:rsidR="00F67E9E" w:rsidRPr="003B3F46" w:rsidRDefault="00F67E9E" w:rsidP="007F74AA">
            <w:pPr>
              <w:pStyle w:val="StdBodyText"/>
              <w:spacing w:before="0" w:after="0"/>
              <w:rPr>
                <w:rFonts w:cs="Arial"/>
              </w:rPr>
            </w:pPr>
          </w:p>
        </w:tc>
      </w:tr>
      <w:tr w:rsidR="00F67E9E" w:rsidRPr="003B3F46" w14:paraId="01C452C3" w14:textId="77777777" w:rsidTr="007F74AA">
        <w:tc>
          <w:tcPr>
            <w:tcW w:w="5669" w:type="dxa"/>
          </w:tcPr>
          <w:p w14:paraId="6C7B71E0" w14:textId="77777777" w:rsidR="00F67E9E" w:rsidRPr="003B3F46" w:rsidRDefault="00F67E9E" w:rsidP="007F74AA">
            <w:pPr>
              <w:pStyle w:val="StdBodyText"/>
              <w:spacing w:before="0" w:after="0"/>
              <w:rPr>
                <w:rFonts w:cs="Arial"/>
              </w:rPr>
            </w:pPr>
            <w:r w:rsidRPr="003B3F46">
              <w:rPr>
                <w:rFonts w:cs="Arial"/>
              </w:rPr>
              <w:t>Start date for Programme Board meetings</w:t>
            </w:r>
          </w:p>
        </w:tc>
        <w:tc>
          <w:tcPr>
            <w:tcW w:w="4535" w:type="dxa"/>
          </w:tcPr>
          <w:p w14:paraId="56CC96DC" w14:textId="77777777" w:rsidR="00F67E9E" w:rsidRPr="003B3F46" w:rsidRDefault="00F67E9E" w:rsidP="007F74AA">
            <w:pPr>
              <w:pStyle w:val="StdBodyText"/>
              <w:spacing w:before="0" w:after="0"/>
              <w:rPr>
                <w:rFonts w:cs="Arial"/>
              </w:rPr>
            </w:pPr>
          </w:p>
        </w:tc>
      </w:tr>
      <w:tr w:rsidR="00F67E9E" w:rsidRPr="003B3F46" w14:paraId="22F8C186" w14:textId="77777777" w:rsidTr="007F74AA">
        <w:tc>
          <w:tcPr>
            <w:tcW w:w="5669" w:type="dxa"/>
          </w:tcPr>
          <w:p w14:paraId="63A7B856" w14:textId="77777777" w:rsidR="00F67E9E" w:rsidRPr="003B3F46" w:rsidRDefault="00F67E9E" w:rsidP="007F74AA">
            <w:pPr>
              <w:pStyle w:val="StdBodyText"/>
              <w:spacing w:before="0" w:after="0"/>
              <w:rPr>
                <w:rFonts w:cs="Arial"/>
              </w:rPr>
            </w:pPr>
            <w:r w:rsidRPr="003B3F46">
              <w:rPr>
                <w:rFonts w:cs="Arial"/>
              </w:rPr>
              <w:t>Frequency of Programme Board meetings</w:t>
            </w:r>
          </w:p>
        </w:tc>
        <w:tc>
          <w:tcPr>
            <w:tcW w:w="4535" w:type="dxa"/>
          </w:tcPr>
          <w:p w14:paraId="3457AF9C" w14:textId="77777777" w:rsidR="00F67E9E" w:rsidRPr="003B3F46" w:rsidRDefault="00F67E9E" w:rsidP="007F74AA">
            <w:pPr>
              <w:pStyle w:val="StdBodyText"/>
              <w:spacing w:before="0" w:after="0"/>
              <w:rPr>
                <w:rFonts w:cs="Arial"/>
              </w:rPr>
            </w:pPr>
          </w:p>
        </w:tc>
      </w:tr>
      <w:tr w:rsidR="00F67E9E" w:rsidRPr="003B3F46" w14:paraId="5CDE76B7" w14:textId="77777777" w:rsidTr="007F74AA">
        <w:tc>
          <w:tcPr>
            <w:tcW w:w="5669" w:type="dxa"/>
          </w:tcPr>
          <w:p w14:paraId="3C2500F4" w14:textId="77777777" w:rsidR="00F67E9E" w:rsidRPr="003B3F46" w:rsidRDefault="00F67E9E" w:rsidP="007F74AA">
            <w:pPr>
              <w:pStyle w:val="StdBodyText"/>
              <w:spacing w:before="0" w:after="0"/>
              <w:rPr>
                <w:rFonts w:cs="Arial"/>
              </w:rPr>
            </w:pPr>
            <w:r w:rsidRPr="003B3F46">
              <w:rPr>
                <w:rFonts w:cs="Arial"/>
              </w:rPr>
              <w:t>Location of Programme Board meetings</w:t>
            </w:r>
          </w:p>
        </w:tc>
        <w:tc>
          <w:tcPr>
            <w:tcW w:w="4535" w:type="dxa"/>
          </w:tcPr>
          <w:p w14:paraId="72A27138" w14:textId="77777777" w:rsidR="00F67E9E" w:rsidRPr="003B3F46" w:rsidRDefault="00F67E9E" w:rsidP="007F74AA">
            <w:pPr>
              <w:pStyle w:val="StdBodyText"/>
              <w:spacing w:before="0" w:after="0"/>
              <w:rPr>
                <w:rFonts w:cs="Arial"/>
              </w:rPr>
            </w:pPr>
          </w:p>
        </w:tc>
      </w:tr>
    </w:tbl>
    <w:p w14:paraId="5D7D309B" w14:textId="77777777" w:rsidR="00F67E9E" w:rsidRPr="003B3F46" w:rsidRDefault="00F67E9E" w:rsidP="00F67E9E">
      <w:pPr>
        <w:pStyle w:val="Table-followingparagraph"/>
      </w:pPr>
    </w:p>
    <w:p w14:paraId="26BE9A41" w14:textId="77777777" w:rsidR="00F67E9E" w:rsidRPr="003B3F46" w:rsidRDefault="00F67E9E" w:rsidP="00F67E9E">
      <w:pPr>
        <w:pStyle w:val="BlankDocumentTitle"/>
        <w:rPr>
          <w:rFonts w:cs="Arial"/>
        </w:rPr>
      </w:pPr>
      <w:r w:rsidRPr="003B3F46">
        <w:rPr>
          <w:rFonts w:cs="Arial"/>
        </w:rPr>
        <w:t xml:space="preserve">Change Management Board </w:t>
      </w:r>
    </w:p>
    <w:tbl>
      <w:tblPr>
        <w:tblStyle w:val="MSATable-header"/>
        <w:tblW w:w="10204" w:type="dxa"/>
        <w:tblLook w:val="0600" w:firstRow="0" w:lastRow="0" w:firstColumn="0" w:lastColumn="0" w:noHBand="1" w:noVBand="1"/>
      </w:tblPr>
      <w:tblGrid>
        <w:gridCol w:w="5669"/>
        <w:gridCol w:w="4535"/>
      </w:tblGrid>
      <w:tr w:rsidR="00F67E9E" w:rsidRPr="003B3F46" w14:paraId="6F65EC28" w14:textId="77777777" w:rsidTr="007F74AA">
        <w:tc>
          <w:tcPr>
            <w:tcW w:w="5669" w:type="dxa"/>
          </w:tcPr>
          <w:p w14:paraId="79307152" w14:textId="77777777" w:rsidR="00F67E9E" w:rsidRPr="003B3F46" w:rsidRDefault="00F67E9E" w:rsidP="007F74AA">
            <w:pPr>
              <w:pStyle w:val="StdBodyText"/>
              <w:spacing w:before="0" w:after="0"/>
              <w:rPr>
                <w:rFonts w:cs="Arial"/>
              </w:rPr>
            </w:pPr>
            <w:r w:rsidRPr="003B3F46">
              <w:rPr>
                <w:rFonts w:cs="Arial"/>
              </w:rPr>
              <w:t>Authority Members of Change Management Board</w:t>
            </w:r>
          </w:p>
        </w:tc>
        <w:tc>
          <w:tcPr>
            <w:tcW w:w="4535" w:type="dxa"/>
          </w:tcPr>
          <w:p w14:paraId="52786274" w14:textId="77777777" w:rsidR="00F67E9E" w:rsidRPr="003B3F46" w:rsidRDefault="00F67E9E" w:rsidP="007F74AA">
            <w:pPr>
              <w:pStyle w:val="StdBodyText"/>
              <w:spacing w:before="0" w:after="0"/>
              <w:rPr>
                <w:rFonts w:cs="Arial"/>
                <w:highlight w:val="yellow"/>
              </w:rPr>
            </w:pPr>
            <w:r w:rsidRPr="003B3F46">
              <w:rPr>
                <w:rFonts w:cs="Arial"/>
                <w:highlight w:val="yellow"/>
              </w:rPr>
              <w:t>[                    ] [Chairperson]</w:t>
            </w:r>
          </w:p>
        </w:tc>
      </w:tr>
      <w:tr w:rsidR="00F67E9E" w:rsidRPr="003B3F46" w14:paraId="0479FD44" w14:textId="77777777" w:rsidTr="007F74AA">
        <w:tc>
          <w:tcPr>
            <w:tcW w:w="5669" w:type="dxa"/>
          </w:tcPr>
          <w:p w14:paraId="3421A993" w14:textId="77777777" w:rsidR="00F67E9E" w:rsidRPr="003B3F46" w:rsidRDefault="00F67E9E" w:rsidP="007F74AA">
            <w:pPr>
              <w:pStyle w:val="StdBodyText"/>
              <w:spacing w:before="0" w:after="0"/>
              <w:rPr>
                <w:rFonts w:cs="Arial"/>
              </w:rPr>
            </w:pPr>
            <w:r w:rsidRPr="003B3F46">
              <w:rPr>
                <w:rFonts w:cs="Arial"/>
              </w:rPr>
              <w:t>Supplier Members of Change Management Board</w:t>
            </w:r>
          </w:p>
        </w:tc>
        <w:tc>
          <w:tcPr>
            <w:tcW w:w="4535" w:type="dxa"/>
          </w:tcPr>
          <w:p w14:paraId="0A734DBD" w14:textId="77777777" w:rsidR="00F67E9E" w:rsidRPr="003B3F46" w:rsidRDefault="00F67E9E" w:rsidP="007F74AA">
            <w:pPr>
              <w:pStyle w:val="StdBodyText"/>
              <w:spacing w:before="0" w:after="0"/>
              <w:rPr>
                <w:rFonts w:cs="Arial"/>
              </w:rPr>
            </w:pPr>
          </w:p>
        </w:tc>
      </w:tr>
      <w:tr w:rsidR="00F67E9E" w:rsidRPr="003B3F46" w14:paraId="5747BA37" w14:textId="77777777" w:rsidTr="007F74AA">
        <w:tc>
          <w:tcPr>
            <w:tcW w:w="5669" w:type="dxa"/>
          </w:tcPr>
          <w:p w14:paraId="56F5D69E" w14:textId="77777777" w:rsidR="00F67E9E" w:rsidRPr="003B3F46" w:rsidRDefault="00F67E9E" w:rsidP="007F74AA">
            <w:pPr>
              <w:pStyle w:val="StdBodyText"/>
              <w:spacing w:before="0" w:after="0"/>
              <w:rPr>
                <w:rFonts w:cs="Arial"/>
              </w:rPr>
            </w:pPr>
            <w:r w:rsidRPr="003B3F46">
              <w:rPr>
                <w:rFonts w:cs="Arial"/>
              </w:rPr>
              <w:t>Start Date for Change Management Board meetings</w:t>
            </w:r>
          </w:p>
        </w:tc>
        <w:tc>
          <w:tcPr>
            <w:tcW w:w="4535" w:type="dxa"/>
          </w:tcPr>
          <w:p w14:paraId="30375F17" w14:textId="77777777" w:rsidR="00F67E9E" w:rsidRPr="003B3F46" w:rsidRDefault="00F67E9E" w:rsidP="007F74AA">
            <w:pPr>
              <w:pStyle w:val="StdBodyText"/>
              <w:spacing w:before="0" w:after="0"/>
              <w:rPr>
                <w:rFonts w:cs="Arial"/>
              </w:rPr>
            </w:pPr>
          </w:p>
        </w:tc>
      </w:tr>
      <w:tr w:rsidR="00F67E9E" w:rsidRPr="003B3F46" w14:paraId="27319EE1" w14:textId="77777777" w:rsidTr="007F74AA">
        <w:tc>
          <w:tcPr>
            <w:tcW w:w="5669" w:type="dxa"/>
          </w:tcPr>
          <w:p w14:paraId="75BFA70B" w14:textId="77777777" w:rsidR="00F67E9E" w:rsidRPr="003B3F46" w:rsidRDefault="00F67E9E" w:rsidP="007F74AA">
            <w:pPr>
              <w:pStyle w:val="StdBodyText"/>
              <w:spacing w:before="0" w:after="0"/>
              <w:rPr>
                <w:rFonts w:cs="Arial"/>
              </w:rPr>
            </w:pPr>
            <w:r w:rsidRPr="003B3F46">
              <w:rPr>
                <w:rFonts w:cs="Arial"/>
              </w:rPr>
              <w:t>Frequency of Change Management Board meetings</w:t>
            </w:r>
          </w:p>
        </w:tc>
        <w:tc>
          <w:tcPr>
            <w:tcW w:w="4535" w:type="dxa"/>
          </w:tcPr>
          <w:p w14:paraId="547853BF" w14:textId="77777777" w:rsidR="00F67E9E" w:rsidRPr="003B3F46" w:rsidRDefault="00F67E9E" w:rsidP="007F74AA">
            <w:pPr>
              <w:pStyle w:val="StdBodyText"/>
              <w:spacing w:before="0" w:after="0"/>
              <w:rPr>
                <w:rFonts w:cs="Arial"/>
              </w:rPr>
            </w:pPr>
          </w:p>
        </w:tc>
      </w:tr>
      <w:tr w:rsidR="00F67E9E" w:rsidRPr="003B3F46" w14:paraId="6BC30915" w14:textId="77777777" w:rsidTr="007F74AA">
        <w:tc>
          <w:tcPr>
            <w:tcW w:w="5669" w:type="dxa"/>
          </w:tcPr>
          <w:p w14:paraId="35A8E512" w14:textId="77777777" w:rsidR="00F67E9E" w:rsidRPr="003B3F46" w:rsidRDefault="00F67E9E" w:rsidP="007F74AA">
            <w:pPr>
              <w:pStyle w:val="StdBodyText"/>
              <w:spacing w:before="0" w:after="0"/>
              <w:rPr>
                <w:rFonts w:cs="Arial"/>
              </w:rPr>
            </w:pPr>
            <w:r w:rsidRPr="003B3F46">
              <w:rPr>
                <w:rFonts w:cs="Arial"/>
              </w:rPr>
              <w:t>Location of Change Management Board meetings</w:t>
            </w:r>
          </w:p>
        </w:tc>
        <w:tc>
          <w:tcPr>
            <w:tcW w:w="4535" w:type="dxa"/>
          </w:tcPr>
          <w:p w14:paraId="2B68BA62" w14:textId="77777777" w:rsidR="00F67E9E" w:rsidRPr="003B3F46" w:rsidRDefault="00F67E9E" w:rsidP="007F74AA">
            <w:pPr>
              <w:pStyle w:val="StdBodyText"/>
              <w:spacing w:before="0" w:after="0"/>
              <w:rPr>
                <w:rFonts w:cs="Arial"/>
              </w:rPr>
            </w:pPr>
          </w:p>
        </w:tc>
      </w:tr>
    </w:tbl>
    <w:p w14:paraId="34404F69" w14:textId="77777777" w:rsidR="00F67E9E" w:rsidRPr="003B3F46" w:rsidRDefault="00F67E9E" w:rsidP="00F67E9E">
      <w:pPr>
        <w:pStyle w:val="Table-followingparagraph"/>
      </w:pPr>
    </w:p>
    <w:p w14:paraId="22332E76" w14:textId="77777777" w:rsidR="00F67E9E" w:rsidRPr="003B3F46" w:rsidRDefault="00F67E9E" w:rsidP="00F67E9E">
      <w:pPr>
        <w:pStyle w:val="BlankDocumentTitle"/>
        <w:keepNext/>
        <w:rPr>
          <w:rFonts w:cs="Arial"/>
        </w:rPr>
      </w:pPr>
      <w:r w:rsidRPr="003B3F46">
        <w:rPr>
          <w:rFonts w:cs="Arial"/>
        </w:rPr>
        <w:t>Technical Board</w:t>
      </w:r>
    </w:p>
    <w:tbl>
      <w:tblPr>
        <w:tblStyle w:val="MSATable-header"/>
        <w:tblW w:w="10204" w:type="dxa"/>
        <w:tblLook w:val="0600" w:firstRow="0" w:lastRow="0" w:firstColumn="0" w:lastColumn="0" w:noHBand="1" w:noVBand="1"/>
      </w:tblPr>
      <w:tblGrid>
        <w:gridCol w:w="5669"/>
        <w:gridCol w:w="4535"/>
      </w:tblGrid>
      <w:tr w:rsidR="00F67E9E" w:rsidRPr="003B3F46" w14:paraId="7A5FA0BD" w14:textId="77777777" w:rsidTr="007F74AA">
        <w:tc>
          <w:tcPr>
            <w:tcW w:w="5669" w:type="dxa"/>
          </w:tcPr>
          <w:p w14:paraId="208A2B01" w14:textId="77777777" w:rsidR="00F67E9E" w:rsidRPr="003B3F46" w:rsidRDefault="00F67E9E" w:rsidP="007F74AA">
            <w:pPr>
              <w:pStyle w:val="StdBodyText"/>
              <w:spacing w:before="0" w:after="0"/>
              <w:rPr>
                <w:rFonts w:cs="Arial"/>
              </w:rPr>
            </w:pPr>
            <w:r w:rsidRPr="003B3F46">
              <w:rPr>
                <w:rFonts w:cs="Arial"/>
              </w:rPr>
              <w:t>Authority Members of Technical Board</w:t>
            </w:r>
          </w:p>
        </w:tc>
        <w:tc>
          <w:tcPr>
            <w:tcW w:w="4535" w:type="dxa"/>
          </w:tcPr>
          <w:p w14:paraId="6FA07970" w14:textId="77777777" w:rsidR="00F67E9E" w:rsidRPr="003B3F46" w:rsidRDefault="00F67E9E" w:rsidP="007F74AA">
            <w:pPr>
              <w:pStyle w:val="StdBodyText"/>
              <w:spacing w:before="0" w:after="0"/>
              <w:rPr>
                <w:rFonts w:cs="Arial"/>
                <w:highlight w:val="yellow"/>
              </w:rPr>
            </w:pPr>
            <w:r w:rsidRPr="003B3F46">
              <w:rPr>
                <w:rFonts w:cs="Arial"/>
                <w:highlight w:val="yellow"/>
              </w:rPr>
              <w:t>[                    ] [Chairperson]</w:t>
            </w:r>
          </w:p>
        </w:tc>
      </w:tr>
      <w:tr w:rsidR="00F67E9E" w:rsidRPr="003B3F46" w14:paraId="12EBE5D5" w14:textId="77777777" w:rsidTr="007F74AA">
        <w:tc>
          <w:tcPr>
            <w:tcW w:w="5669" w:type="dxa"/>
          </w:tcPr>
          <w:p w14:paraId="41A677F5" w14:textId="77777777" w:rsidR="00F67E9E" w:rsidRPr="003B3F46" w:rsidRDefault="00F67E9E" w:rsidP="007F74AA">
            <w:pPr>
              <w:pStyle w:val="StdBodyText"/>
              <w:spacing w:before="0" w:after="0"/>
              <w:rPr>
                <w:rFonts w:cs="Arial"/>
              </w:rPr>
            </w:pPr>
            <w:r w:rsidRPr="003B3F46">
              <w:rPr>
                <w:rFonts w:cs="Arial"/>
              </w:rPr>
              <w:t>Supplier Members of Technical Board</w:t>
            </w:r>
          </w:p>
        </w:tc>
        <w:tc>
          <w:tcPr>
            <w:tcW w:w="4535" w:type="dxa"/>
          </w:tcPr>
          <w:p w14:paraId="2A54D13D" w14:textId="77777777" w:rsidR="00F67E9E" w:rsidRPr="003B3F46" w:rsidRDefault="00F67E9E" w:rsidP="007F74AA">
            <w:pPr>
              <w:pStyle w:val="StdBodyText"/>
              <w:spacing w:before="0" w:after="0"/>
              <w:rPr>
                <w:rFonts w:cs="Arial"/>
              </w:rPr>
            </w:pPr>
          </w:p>
        </w:tc>
      </w:tr>
      <w:tr w:rsidR="00F67E9E" w:rsidRPr="003B3F46" w14:paraId="51CF349C" w14:textId="77777777" w:rsidTr="007F74AA">
        <w:tc>
          <w:tcPr>
            <w:tcW w:w="5669" w:type="dxa"/>
          </w:tcPr>
          <w:p w14:paraId="7EDCD998" w14:textId="77777777" w:rsidR="00F67E9E" w:rsidRPr="003B3F46" w:rsidRDefault="00F67E9E" w:rsidP="007F74AA">
            <w:pPr>
              <w:pStyle w:val="StdBodyText"/>
              <w:spacing w:before="0" w:after="0"/>
              <w:rPr>
                <w:rFonts w:cs="Arial"/>
              </w:rPr>
            </w:pPr>
            <w:r w:rsidRPr="003B3F46">
              <w:rPr>
                <w:rFonts w:cs="Arial"/>
              </w:rPr>
              <w:t>Start Date for Technical Board meetings</w:t>
            </w:r>
          </w:p>
        </w:tc>
        <w:tc>
          <w:tcPr>
            <w:tcW w:w="4535" w:type="dxa"/>
          </w:tcPr>
          <w:p w14:paraId="7994856A" w14:textId="77777777" w:rsidR="00F67E9E" w:rsidRPr="003B3F46" w:rsidRDefault="00F67E9E" w:rsidP="007F74AA">
            <w:pPr>
              <w:pStyle w:val="StdBodyText"/>
              <w:spacing w:before="0" w:after="0"/>
              <w:rPr>
                <w:rFonts w:cs="Arial"/>
              </w:rPr>
            </w:pPr>
          </w:p>
        </w:tc>
      </w:tr>
      <w:tr w:rsidR="00F67E9E" w:rsidRPr="003B3F46" w14:paraId="0C7B9A7B" w14:textId="77777777" w:rsidTr="007F74AA">
        <w:tc>
          <w:tcPr>
            <w:tcW w:w="5669" w:type="dxa"/>
          </w:tcPr>
          <w:p w14:paraId="15221D51" w14:textId="77777777" w:rsidR="00F67E9E" w:rsidRPr="003B3F46" w:rsidRDefault="00F67E9E" w:rsidP="007F74AA">
            <w:pPr>
              <w:pStyle w:val="StdBodyText"/>
              <w:spacing w:before="0" w:after="0"/>
              <w:rPr>
                <w:rFonts w:cs="Arial"/>
              </w:rPr>
            </w:pPr>
            <w:r w:rsidRPr="003B3F46">
              <w:rPr>
                <w:rFonts w:cs="Arial"/>
              </w:rPr>
              <w:t>Frequency of Technical Board meetings</w:t>
            </w:r>
          </w:p>
        </w:tc>
        <w:tc>
          <w:tcPr>
            <w:tcW w:w="4535" w:type="dxa"/>
          </w:tcPr>
          <w:p w14:paraId="58CB5B54" w14:textId="77777777" w:rsidR="00F67E9E" w:rsidRPr="003B3F46" w:rsidRDefault="00F67E9E" w:rsidP="007F74AA">
            <w:pPr>
              <w:pStyle w:val="StdBodyText"/>
              <w:spacing w:before="0" w:after="0"/>
              <w:rPr>
                <w:rFonts w:cs="Arial"/>
              </w:rPr>
            </w:pPr>
          </w:p>
        </w:tc>
      </w:tr>
      <w:tr w:rsidR="00F67E9E" w:rsidRPr="003B3F46" w14:paraId="760039DA" w14:textId="77777777" w:rsidTr="007F74AA">
        <w:tc>
          <w:tcPr>
            <w:tcW w:w="5669" w:type="dxa"/>
          </w:tcPr>
          <w:p w14:paraId="7CE228E9" w14:textId="77777777" w:rsidR="00F67E9E" w:rsidRPr="003B3F46" w:rsidRDefault="00F67E9E" w:rsidP="007F74AA">
            <w:pPr>
              <w:pStyle w:val="StdBodyText"/>
              <w:spacing w:before="0" w:after="0"/>
              <w:rPr>
                <w:rFonts w:cs="Arial"/>
              </w:rPr>
            </w:pPr>
            <w:r w:rsidRPr="003B3F46">
              <w:rPr>
                <w:rFonts w:cs="Arial"/>
              </w:rPr>
              <w:t>Location of Technical Board meetings</w:t>
            </w:r>
          </w:p>
        </w:tc>
        <w:tc>
          <w:tcPr>
            <w:tcW w:w="4535" w:type="dxa"/>
          </w:tcPr>
          <w:p w14:paraId="0B4876BF" w14:textId="77777777" w:rsidR="00F67E9E" w:rsidRPr="003B3F46" w:rsidRDefault="00F67E9E" w:rsidP="007F74AA">
            <w:pPr>
              <w:pStyle w:val="StdBodyText"/>
              <w:spacing w:before="0" w:after="0"/>
              <w:rPr>
                <w:rFonts w:cs="Arial"/>
              </w:rPr>
            </w:pPr>
          </w:p>
        </w:tc>
      </w:tr>
    </w:tbl>
    <w:p w14:paraId="01B85071" w14:textId="77777777" w:rsidR="00F67E9E" w:rsidRPr="003B3F46" w:rsidRDefault="00F67E9E" w:rsidP="00F67E9E">
      <w:pPr>
        <w:pStyle w:val="Table-followingparagraph"/>
      </w:pPr>
    </w:p>
    <w:p w14:paraId="16F2B66D" w14:textId="77777777" w:rsidR="00F67E9E" w:rsidRPr="003B3F46" w:rsidRDefault="00F67E9E" w:rsidP="00F67E9E">
      <w:pPr>
        <w:pStyle w:val="BlankDocumentTitle"/>
        <w:keepNext/>
        <w:rPr>
          <w:rFonts w:cs="Arial"/>
        </w:rPr>
      </w:pPr>
      <w:r w:rsidRPr="003B3F46">
        <w:rPr>
          <w:rFonts w:cs="Arial"/>
        </w:rPr>
        <w:t xml:space="preserve">Risk Management Board </w:t>
      </w:r>
    </w:p>
    <w:tbl>
      <w:tblPr>
        <w:tblStyle w:val="MSATable-header"/>
        <w:tblW w:w="10204" w:type="dxa"/>
        <w:tblLook w:val="0600" w:firstRow="0" w:lastRow="0" w:firstColumn="0" w:lastColumn="0" w:noHBand="1" w:noVBand="1"/>
      </w:tblPr>
      <w:tblGrid>
        <w:gridCol w:w="5669"/>
        <w:gridCol w:w="4535"/>
      </w:tblGrid>
      <w:tr w:rsidR="00F67E9E" w:rsidRPr="003B3F46" w14:paraId="0C9BF315" w14:textId="77777777" w:rsidTr="007F74AA">
        <w:tc>
          <w:tcPr>
            <w:tcW w:w="5669" w:type="dxa"/>
          </w:tcPr>
          <w:p w14:paraId="784D2FFD" w14:textId="77777777" w:rsidR="00F67E9E" w:rsidRPr="003B3F46" w:rsidRDefault="00F67E9E" w:rsidP="007F74AA">
            <w:pPr>
              <w:pStyle w:val="StdBodyText"/>
              <w:keepNext/>
              <w:spacing w:before="0" w:after="0"/>
              <w:rPr>
                <w:rFonts w:cs="Arial"/>
              </w:rPr>
            </w:pPr>
            <w:r w:rsidRPr="003B3F46">
              <w:rPr>
                <w:rFonts w:cs="Arial"/>
              </w:rPr>
              <w:t>Authority Members for Risk Management Board</w:t>
            </w:r>
          </w:p>
        </w:tc>
        <w:tc>
          <w:tcPr>
            <w:tcW w:w="4535" w:type="dxa"/>
          </w:tcPr>
          <w:p w14:paraId="4436FD30" w14:textId="77777777" w:rsidR="00F67E9E" w:rsidRPr="003B3F46" w:rsidRDefault="00F67E9E" w:rsidP="007F74AA">
            <w:pPr>
              <w:pStyle w:val="StdBodyText"/>
              <w:keepNext/>
              <w:spacing w:before="0" w:after="0"/>
              <w:rPr>
                <w:rFonts w:cs="Arial"/>
                <w:highlight w:val="yellow"/>
              </w:rPr>
            </w:pPr>
            <w:r w:rsidRPr="003B3F46">
              <w:rPr>
                <w:rFonts w:cs="Arial"/>
                <w:highlight w:val="yellow"/>
              </w:rPr>
              <w:t>[                    ] [Chairperson]</w:t>
            </w:r>
          </w:p>
        </w:tc>
      </w:tr>
      <w:tr w:rsidR="00F67E9E" w:rsidRPr="003B3F46" w14:paraId="61D075BE" w14:textId="77777777" w:rsidTr="007F74AA">
        <w:tc>
          <w:tcPr>
            <w:tcW w:w="5669" w:type="dxa"/>
          </w:tcPr>
          <w:p w14:paraId="55C91B88" w14:textId="77777777" w:rsidR="00F67E9E" w:rsidRPr="003B3F46" w:rsidRDefault="00F67E9E" w:rsidP="007F74AA">
            <w:pPr>
              <w:pStyle w:val="StdBodyText"/>
              <w:keepNext/>
              <w:spacing w:before="0" w:after="0"/>
              <w:rPr>
                <w:rFonts w:cs="Arial"/>
              </w:rPr>
            </w:pPr>
            <w:r w:rsidRPr="003B3F46">
              <w:rPr>
                <w:rFonts w:cs="Arial"/>
              </w:rPr>
              <w:t>Supplier Members for Risk Management Board</w:t>
            </w:r>
          </w:p>
        </w:tc>
        <w:tc>
          <w:tcPr>
            <w:tcW w:w="4535" w:type="dxa"/>
          </w:tcPr>
          <w:p w14:paraId="1F32255F" w14:textId="77777777" w:rsidR="00F67E9E" w:rsidRPr="003B3F46" w:rsidRDefault="00F67E9E" w:rsidP="007F74AA">
            <w:pPr>
              <w:pStyle w:val="StdBodyText"/>
              <w:keepNext/>
              <w:spacing w:before="0" w:after="0"/>
              <w:rPr>
                <w:rFonts w:cs="Arial"/>
              </w:rPr>
            </w:pPr>
          </w:p>
        </w:tc>
      </w:tr>
      <w:tr w:rsidR="00F67E9E" w:rsidRPr="003B3F46" w14:paraId="691E90B5" w14:textId="77777777" w:rsidTr="007F74AA">
        <w:tc>
          <w:tcPr>
            <w:tcW w:w="5669" w:type="dxa"/>
          </w:tcPr>
          <w:p w14:paraId="1541D7C3" w14:textId="77777777" w:rsidR="00F67E9E" w:rsidRPr="003B3F46" w:rsidRDefault="00F67E9E" w:rsidP="007F74AA">
            <w:pPr>
              <w:pStyle w:val="StdBodyText"/>
              <w:keepNext/>
              <w:spacing w:before="0" w:after="0"/>
              <w:rPr>
                <w:rFonts w:cs="Arial"/>
              </w:rPr>
            </w:pPr>
            <w:r w:rsidRPr="003B3F46">
              <w:rPr>
                <w:rFonts w:cs="Arial"/>
              </w:rPr>
              <w:t>Start Date for Risk Management Board meetings</w:t>
            </w:r>
          </w:p>
        </w:tc>
        <w:tc>
          <w:tcPr>
            <w:tcW w:w="4535" w:type="dxa"/>
          </w:tcPr>
          <w:p w14:paraId="19FF103C" w14:textId="77777777" w:rsidR="00F67E9E" w:rsidRPr="003B3F46" w:rsidRDefault="00F67E9E" w:rsidP="007F74AA">
            <w:pPr>
              <w:pStyle w:val="StdBodyText"/>
              <w:keepNext/>
              <w:spacing w:before="0" w:after="0"/>
              <w:rPr>
                <w:rFonts w:cs="Arial"/>
              </w:rPr>
            </w:pPr>
          </w:p>
        </w:tc>
      </w:tr>
      <w:tr w:rsidR="00F67E9E" w:rsidRPr="003B3F46" w14:paraId="34DEFBBD" w14:textId="77777777" w:rsidTr="007F74AA">
        <w:tc>
          <w:tcPr>
            <w:tcW w:w="5669" w:type="dxa"/>
          </w:tcPr>
          <w:p w14:paraId="54A25176" w14:textId="77777777" w:rsidR="00F67E9E" w:rsidRPr="003B3F46" w:rsidRDefault="00F67E9E" w:rsidP="007F74AA">
            <w:pPr>
              <w:pStyle w:val="StdBodyText"/>
              <w:keepNext/>
              <w:spacing w:before="0" w:after="0"/>
              <w:rPr>
                <w:rFonts w:cs="Arial"/>
              </w:rPr>
            </w:pPr>
            <w:r w:rsidRPr="003B3F46">
              <w:rPr>
                <w:rFonts w:cs="Arial"/>
              </w:rPr>
              <w:t>Frequency of Risk Management Board meetings</w:t>
            </w:r>
          </w:p>
        </w:tc>
        <w:tc>
          <w:tcPr>
            <w:tcW w:w="4535" w:type="dxa"/>
          </w:tcPr>
          <w:p w14:paraId="721BF04F" w14:textId="77777777" w:rsidR="00F67E9E" w:rsidRPr="003B3F46" w:rsidRDefault="00F67E9E" w:rsidP="007F74AA">
            <w:pPr>
              <w:pStyle w:val="StdBodyText"/>
              <w:keepNext/>
              <w:spacing w:before="0" w:after="0"/>
              <w:rPr>
                <w:rFonts w:cs="Arial"/>
              </w:rPr>
            </w:pPr>
          </w:p>
        </w:tc>
      </w:tr>
      <w:tr w:rsidR="00F67E9E" w:rsidRPr="003B3F46" w14:paraId="1173FBAF" w14:textId="77777777" w:rsidTr="007F74AA">
        <w:tc>
          <w:tcPr>
            <w:tcW w:w="5669" w:type="dxa"/>
          </w:tcPr>
          <w:p w14:paraId="696C5102" w14:textId="77777777" w:rsidR="00F67E9E" w:rsidRPr="003B3F46" w:rsidRDefault="00F67E9E" w:rsidP="007F74AA">
            <w:pPr>
              <w:pStyle w:val="StdBodyText"/>
              <w:keepNext/>
              <w:spacing w:before="0" w:after="0"/>
              <w:rPr>
                <w:rFonts w:cs="Arial"/>
              </w:rPr>
            </w:pPr>
            <w:r w:rsidRPr="003B3F46">
              <w:rPr>
                <w:rFonts w:cs="Arial"/>
              </w:rPr>
              <w:t>Location of Risk Management Board meetings</w:t>
            </w:r>
          </w:p>
        </w:tc>
        <w:tc>
          <w:tcPr>
            <w:tcW w:w="4535" w:type="dxa"/>
          </w:tcPr>
          <w:p w14:paraId="7B6CA146" w14:textId="77777777" w:rsidR="00F67E9E" w:rsidRPr="003B3F46" w:rsidRDefault="00F67E9E" w:rsidP="007F74AA">
            <w:pPr>
              <w:pStyle w:val="StdBodyText"/>
              <w:keepNext/>
              <w:spacing w:before="0" w:after="0"/>
              <w:rPr>
                <w:rFonts w:cs="Arial"/>
              </w:rPr>
            </w:pPr>
          </w:p>
        </w:tc>
      </w:tr>
    </w:tbl>
    <w:p w14:paraId="298B28CA" w14:textId="77777777" w:rsidR="00F67E9E" w:rsidRDefault="00F67E9E" w:rsidP="00F67E9E"/>
    <w:p w14:paraId="5AA89A68" w14:textId="77777777" w:rsidR="00F67E9E" w:rsidRPr="003B3F46" w:rsidRDefault="00F67E9E" w:rsidP="00F67E9E"/>
    <w:p w14:paraId="11387D7F" w14:textId="77777777" w:rsidR="00F67E9E" w:rsidRDefault="00F67E9E" w:rsidP="00F67E9E">
      <w:pPr>
        <w:sectPr w:rsidR="00F67E9E" w:rsidSect="003565BD">
          <w:headerReference w:type="default" r:id="rId110"/>
          <w:footerReference w:type="default" r:id="rId111"/>
          <w:footerReference w:type="first" r:id="rId112"/>
          <w:pgSz w:w="11900" w:h="16840"/>
          <w:pgMar w:top="1701" w:right="851" w:bottom="1134" w:left="851" w:header="567" w:footer="567" w:gutter="0"/>
          <w:cols w:space="720"/>
          <w:docGrid w:linePitch="360"/>
        </w:sectPr>
      </w:pPr>
    </w:p>
    <w:p w14:paraId="3F333253" w14:textId="77777777" w:rsidR="00F67E9E" w:rsidRPr="00EE4F10" w:rsidRDefault="00F67E9E" w:rsidP="00F67E9E">
      <w:pPr>
        <w:pStyle w:val="Dividername"/>
      </w:pPr>
      <w:r w:rsidRPr="00EE4F10">
        <w:t>Schedule 22</w:t>
      </w:r>
    </w:p>
    <w:p w14:paraId="2A1E750B" w14:textId="77777777" w:rsidR="00F67E9E" w:rsidRDefault="00F67E9E" w:rsidP="00F67E9E">
      <w:pPr>
        <w:pStyle w:val="Dividername"/>
      </w:pPr>
      <w:r w:rsidRPr="00EE4F10">
        <w:t>Change Control Procedure</w:t>
      </w:r>
    </w:p>
    <w:p w14:paraId="6D7CE722" w14:textId="77777777" w:rsidR="00F67E9E" w:rsidRDefault="00F67E9E" w:rsidP="00F67E9E"/>
    <w:p w14:paraId="6BBBEFC5" w14:textId="77777777" w:rsidR="00F67E9E" w:rsidRPr="00D00D9A" w:rsidRDefault="00F67E9E" w:rsidP="00F67E9E">
      <w:r w:rsidRPr="00D00D9A">
        <w:br w:type="page"/>
      </w:r>
    </w:p>
    <w:p w14:paraId="23EA527A" w14:textId="77777777" w:rsidR="00F67E9E" w:rsidRPr="005D0525" w:rsidRDefault="00F67E9E" w:rsidP="00F67E9E">
      <w:pPr>
        <w:pStyle w:val="Heading1"/>
      </w:pPr>
      <w:bookmarkStart w:id="1580" w:name="Schedule22"/>
      <w:bookmarkStart w:id="1581" w:name="_Ref92200025"/>
      <w:bookmarkStart w:id="1582" w:name="_Toc141711965"/>
      <w:r w:rsidRPr="005D0525">
        <w:t>Schedule</w:t>
      </w:r>
      <w:r>
        <w:t> </w:t>
      </w:r>
      <w:r w:rsidRPr="005D0525">
        <w:t>22</w:t>
      </w:r>
      <w:bookmarkEnd w:id="1580"/>
      <w:r>
        <w:t xml:space="preserve">: </w:t>
      </w:r>
      <w:bookmarkStart w:id="1583" w:name="Schedule22Heading"/>
      <w:r w:rsidRPr="00DD4CC2">
        <w:t>Change Control Procedure</w:t>
      </w:r>
      <w:bookmarkEnd w:id="1581"/>
      <w:bookmarkEnd w:id="1582"/>
      <w:bookmarkEnd w:id="1583"/>
    </w:p>
    <w:p w14:paraId="6F6ADA2D" w14:textId="77777777" w:rsidR="00F67E9E" w:rsidRPr="00D00D9A" w:rsidRDefault="00F67E9E" w:rsidP="00F67E9E">
      <w:pPr>
        <w:pStyle w:val="Numbered1"/>
        <w:numPr>
          <w:ilvl w:val="0"/>
          <w:numId w:val="142"/>
        </w:numPr>
      </w:pPr>
      <w:r w:rsidRPr="00A10867">
        <w:t>Definitions</w:t>
      </w:r>
    </w:p>
    <w:p w14:paraId="7140D19A" w14:textId="77777777" w:rsidR="00F67E9E" w:rsidRPr="00D00D9A" w:rsidRDefault="00F67E9E" w:rsidP="00F67E9E">
      <w:pPr>
        <w:pStyle w:val="Numbered11"/>
      </w:pPr>
      <w:r w:rsidRPr="00D00D9A">
        <w:t xml:space="preserve">In this Schedule, the following definitions shall </w:t>
      </w:r>
      <w:r w:rsidRPr="00A10867">
        <w:t>apply</w:t>
      </w:r>
      <w:r w:rsidRPr="00D00D9A">
        <w:t>:</w:t>
      </w:r>
    </w:p>
    <w:tbl>
      <w:tblPr>
        <w:tblStyle w:val="MSAdefinitions"/>
        <w:tblW w:w="9638" w:type="dxa"/>
        <w:tblLook w:val="04A0" w:firstRow="1" w:lastRow="0" w:firstColumn="1" w:lastColumn="0" w:noHBand="0" w:noVBand="1"/>
      </w:tblPr>
      <w:tblGrid>
        <w:gridCol w:w="2835"/>
        <w:gridCol w:w="6803"/>
      </w:tblGrid>
      <w:tr w:rsidR="00F67E9E" w:rsidRPr="00D00D9A" w14:paraId="33096644" w14:textId="77777777" w:rsidTr="007F74AA">
        <w:tc>
          <w:tcPr>
            <w:tcW w:w="2835" w:type="dxa"/>
          </w:tcPr>
          <w:p w14:paraId="5EB5F874" w14:textId="77777777" w:rsidR="00F67E9E" w:rsidRPr="00D00D9A" w:rsidRDefault="00F67E9E" w:rsidP="007F74AA">
            <w:pPr>
              <w:pStyle w:val="StdBodyTextBold"/>
              <w:rPr>
                <w:rFonts w:cs="Arial"/>
              </w:rPr>
            </w:pPr>
            <w:r>
              <w:rPr>
                <w:rFonts w:cs="Arial"/>
              </w:rPr>
              <w:t>“</w:t>
            </w:r>
            <w:r w:rsidRPr="00D00D9A">
              <w:rPr>
                <w:rFonts w:cs="Arial"/>
              </w:rPr>
              <w:t>Authority Change Manager</w:t>
            </w:r>
            <w:r>
              <w:rPr>
                <w:rFonts w:cs="Arial"/>
              </w:rPr>
              <w:t>”</w:t>
            </w:r>
          </w:p>
        </w:tc>
        <w:tc>
          <w:tcPr>
            <w:tcW w:w="6803" w:type="dxa"/>
          </w:tcPr>
          <w:p w14:paraId="06096F8F" w14:textId="77777777" w:rsidR="00F67E9E" w:rsidRPr="00D00D9A" w:rsidRDefault="00F67E9E" w:rsidP="007F74AA">
            <w:pPr>
              <w:pStyle w:val="StdBodyText"/>
              <w:rPr>
                <w:rFonts w:cs="Arial"/>
              </w:rPr>
            </w:pPr>
            <w:r w:rsidRPr="00D00D9A">
              <w:rPr>
                <w:rFonts w:cs="Arial"/>
              </w:rPr>
              <w:t>the person appointed to that position by the Authority from time to time and notified in writing to the Supplier or, if no person is notified, the Authority Representative;</w:t>
            </w:r>
          </w:p>
        </w:tc>
      </w:tr>
      <w:tr w:rsidR="00F67E9E" w:rsidRPr="00D00D9A" w14:paraId="5AD17368" w14:textId="77777777" w:rsidTr="007F74AA">
        <w:tc>
          <w:tcPr>
            <w:tcW w:w="2835" w:type="dxa"/>
          </w:tcPr>
          <w:p w14:paraId="0AA503B7" w14:textId="77777777" w:rsidR="00F67E9E" w:rsidRPr="00D00D9A" w:rsidRDefault="00F67E9E" w:rsidP="007F74AA">
            <w:pPr>
              <w:pStyle w:val="StdBodyTextBold"/>
              <w:rPr>
                <w:rFonts w:cs="Arial"/>
              </w:rPr>
            </w:pPr>
            <w:r>
              <w:rPr>
                <w:rFonts w:cs="Arial"/>
              </w:rPr>
              <w:t>“</w:t>
            </w:r>
            <w:r w:rsidRPr="00D00D9A">
              <w:rPr>
                <w:rFonts w:cs="Arial"/>
              </w:rPr>
              <w:t>Change Request</w:t>
            </w:r>
            <w:r>
              <w:rPr>
                <w:rFonts w:cs="Arial"/>
              </w:rPr>
              <w:t>”</w:t>
            </w:r>
          </w:p>
        </w:tc>
        <w:tc>
          <w:tcPr>
            <w:tcW w:w="6803" w:type="dxa"/>
          </w:tcPr>
          <w:p w14:paraId="778C421E" w14:textId="2F3C4BCA" w:rsidR="00F67E9E" w:rsidRPr="00D00D9A" w:rsidRDefault="00F67E9E" w:rsidP="007F74AA">
            <w:pPr>
              <w:pStyle w:val="StdBodyText"/>
              <w:rPr>
                <w:rFonts w:cs="Arial"/>
              </w:rPr>
            </w:pPr>
            <w:r w:rsidRPr="00D00D9A">
              <w:rPr>
                <w:rFonts w:cs="Arial"/>
              </w:rPr>
              <w:t xml:space="preserve">a written request for a Contract Change which shall be substantially in the form of </w:t>
            </w:r>
            <w:r w:rsidRPr="00D00D9A">
              <w:rPr>
                <w:rFonts w:cs="Arial"/>
              </w:rPr>
              <w:fldChar w:fldCharType="begin"/>
            </w:r>
            <w:r w:rsidRPr="00D00D9A">
              <w:rPr>
                <w:rFonts w:cs="Arial"/>
              </w:rPr>
              <w:instrText xml:space="preserve"> REF ANNEX1_SCHEDULE22 \h </w:instrText>
            </w:r>
            <w:r>
              <w:rPr>
                <w:rFonts w:cs="Arial"/>
              </w:rPr>
              <w:instrText xml:space="preserve"> \* MERGEFORMAT </w:instrText>
            </w:r>
            <w:r w:rsidRPr="00D00D9A">
              <w:rPr>
                <w:rFonts w:cs="Arial"/>
              </w:rPr>
            </w:r>
            <w:r w:rsidRPr="00D00D9A">
              <w:rPr>
                <w:rFonts w:cs="Arial"/>
              </w:rPr>
              <w:fldChar w:fldCharType="separate"/>
            </w:r>
            <w:r w:rsidR="00302D39" w:rsidRPr="00302D39">
              <w:rPr>
                <w:rFonts w:cs="Arial"/>
              </w:rPr>
              <w:t>1</w:t>
            </w:r>
            <w:r w:rsidRPr="00D00D9A">
              <w:rPr>
                <w:rFonts w:cs="Arial"/>
              </w:rPr>
              <w:fldChar w:fldCharType="end"/>
            </w:r>
            <w:r w:rsidRPr="00D00D9A">
              <w:rPr>
                <w:rFonts w:cs="Arial"/>
              </w:rPr>
              <w:t>;</w:t>
            </w:r>
          </w:p>
        </w:tc>
      </w:tr>
      <w:tr w:rsidR="00F67E9E" w:rsidRPr="00D00D9A" w14:paraId="3EED8397" w14:textId="77777777" w:rsidTr="007F74AA">
        <w:tc>
          <w:tcPr>
            <w:tcW w:w="2835" w:type="dxa"/>
          </w:tcPr>
          <w:p w14:paraId="30453606" w14:textId="77777777" w:rsidR="00F67E9E" w:rsidRPr="00D00D9A" w:rsidRDefault="00F67E9E" w:rsidP="007F74AA">
            <w:pPr>
              <w:pStyle w:val="StdBodyTextBold"/>
              <w:rPr>
                <w:rFonts w:cs="Arial"/>
              </w:rPr>
            </w:pPr>
            <w:r>
              <w:rPr>
                <w:rFonts w:cs="Arial"/>
              </w:rPr>
              <w:t>“</w:t>
            </w:r>
            <w:r w:rsidRPr="00D00D9A">
              <w:rPr>
                <w:rFonts w:cs="Arial"/>
              </w:rPr>
              <w:t>Change Communication</w:t>
            </w:r>
            <w:r>
              <w:rPr>
                <w:rFonts w:cs="Arial"/>
              </w:rPr>
              <w:t>”</w:t>
            </w:r>
          </w:p>
        </w:tc>
        <w:tc>
          <w:tcPr>
            <w:tcW w:w="6803" w:type="dxa"/>
          </w:tcPr>
          <w:p w14:paraId="6A364477" w14:textId="77777777" w:rsidR="00F67E9E" w:rsidRPr="00D00D9A" w:rsidRDefault="00F67E9E" w:rsidP="007F74AA">
            <w:pPr>
              <w:pStyle w:val="StdBodyText"/>
              <w:rPr>
                <w:rFonts w:cs="Arial"/>
              </w:rPr>
            </w:pPr>
            <w:r w:rsidRPr="00D00D9A">
              <w:rPr>
                <w:rFonts w:cs="Arial"/>
              </w:rPr>
              <w:t>any Change Request, Impact Assessment, Change Authorisation Note or other communication sent or required to be sent pursuant to this Schedule;</w:t>
            </w:r>
          </w:p>
        </w:tc>
      </w:tr>
      <w:tr w:rsidR="00F67E9E" w:rsidRPr="00D00D9A" w14:paraId="1D6C32F4" w14:textId="77777777" w:rsidTr="007F74AA">
        <w:tc>
          <w:tcPr>
            <w:tcW w:w="2835" w:type="dxa"/>
          </w:tcPr>
          <w:p w14:paraId="38DE0316" w14:textId="77777777" w:rsidR="00F67E9E" w:rsidRDefault="00F67E9E" w:rsidP="007F74AA">
            <w:pPr>
              <w:pStyle w:val="StdBodyTextBold"/>
              <w:rPr>
                <w:rFonts w:cs="Arial"/>
              </w:rPr>
            </w:pPr>
            <w:r w:rsidRPr="00B43D46">
              <w:t>“Drafting Party”</w:t>
            </w:r>
          </w:p>
        </w:tc>
        <w:tc>
          <w:tcPr>
            <w:tcW w:w="6803" w:type="dxa"/>
          </w:tcPr>
          <w:p w14:paraId="3829248E" w14:textId="77777777" w:rsidR="00F67E9E" w:rsidRPr="00D00D9A" w:rsidRDefault="00F67E9E" w:rsidP="007F74AA">
            <w:pPr>
              <w:pStyle w:val="StdBodyText"/>
              <w:rPr>
                <w:rFonts w:cs="Arial"/>
              </w:rPr>
            </w:pPr>
            <w:r w:rsidRPr="00B43D46">
              <w:t>the Party that will prepare two copies of a Change Authorisation Note which it shall sign and deliver to the Receiving Party for its signature;</w:t>
            </w:r>
          </w:p>
        </w:tc>
      </w:tr>
      <w:tr w:rsidR="00F67E9E" w:rsidRPr="00D00D9A" w14:paraId="2B08180A" w14:textId="77777777" w:rsidTr="007F74AA">
        <w:tc>
          <w:tcPr>
            <w:tcW w:w="2835" w:type="dxa"/>
          </w:tcPr>
          <w:p w14:paraId="5AEB8C89" w14:textId="77777777" w:rsidR="00F67E9E" w:rsidRPr="00D00D9A" w:rsidRDefault="00F67E9E" w:rsidP="007F74AA">
            <w:pPr>
              <w:pStyle w:val="StdBodyTextBold"/>
              <w:rPr>
                <w:rFonts w:cs="Arial"/>
              </w:rPr>
            </w:pPr>
            <w:r>
              <w:rPr>
                <w:rFonts w:cs="Arial"/>
              </w:rPr>
              <w:t>“</w:t>
            </w:r>
            <w:r w:rsidRPr="00D00D9A">
              <w:rPr>
                <w:rFonts w:cs="Arial"/>
              </w:rPr>
              <w:t>Fast-track Change</w:t>
            </w:r>
            <w:r>
              <w:rPr>
                <w:rFonts w:cs="Arial"/>
              </w:rPr>
              <w:t>”</w:t>
            </w:r>
          </w:p>
        </w:tc>
        <w:tc>
          <w:tcPr>
            <w:tcW w:w="6803" w:type="dxa"/>
          </w:tcPr>
          <w:p w14:paraId="197B5211" w14:textId="6A77E2C6" w:rsidR="00F67E9E" w:rsidRPr="00D00D9A" w:rsidRDefault="00F67E9E" w:rsidP="007F74AA">
            <w:pPr>
              <w:pStyle w:val="StdBodyText"/>
              <w:rPr>
                <w:rFonts w:cs="Arial"/>
              </w:rPr>
            </w:pPr>
            <w:r w:rsidRPr="00D00D9A">
              <w:rPr>
                <w:rFonts w:cs="Arial"/>
              </w:rPr>
              <w:t xml:space="preserve">any Contract Change which the Parties agree to expedite in accordance with </w:t>
            </w:r>
            <w:bookmarkStart w:id="1584" w:name="_9kMHG5YVtCIBBIMOXhvFHGykvwut07zC"/>
            <w:r w:rsidRPr="00D00D9A">
              <w:rPr>
                <w:rFonts w:cs="Arial"/>
              </w:rPr>
              <w:t>Paragraph</w:t>
            </w:r>
            <w:r>
              <w:rPr>
                <w:rFonts w:cs="Arial"/>
              </w:rPr>
              <w:t> </w:t>
            </w:r>
            <w:r w:rsidRPr="00D00D9A">
              <w:rPr>
                <w:rFonts w:cs="Arial"/>
              </w:rPr>
              <w:fldChar w:fldCharType="begin"/>
            </w:r>
            <w:r w:rsidRPr="00D00D9A">
              <w:rPr>
                <w:rFonts w:cs="Arial"/>
              </w:rPr>
              <w:instrText xml:space="preserve"> REF _Ref_ContractCompanion_9kb9Us5CE \w \n \h \t \* MERGEFORMAT </w:instrText>
            </w:r>
            <w:r w:rsidRPr="00D00D9A">
              <w:rPr>
                <w:rFonts w:cs="Arial"/>
              </w:rPr>
            </w:r>
            <w:r w:rsidRPr="00D00D9A">
              <w:rPr>
                <w:rFonts w:cs="Arial"/>
              </w:rPr>
              <w:fldChar w:fldCharType="separate"/>
            </w:r>
            <w:r w:rsidR="00302D39">
              <w:rPr>
                <w:rFonts w:cs="Arial"/>
              </w:rPr>
              <w:t>8</w:t>
            </w:r>
            <w:r w:rsidRPr="00D00D9A">
              <w:rPr>
                <w:rFonts w:cs="Arial"/>
              </w:rPr>
              <w:fldChar w:fldCharType="end"/>
            </w:r>
            <w:bookmarkEnd w:id="1584"/>
            <w:r w:rsidRPr="00D00D9A">
              <w:rPr>
                <w:rFonts w:cs="Arial"/>
              </w:rPr>
              <w:t>;</w:t>
            </w:r>
          </w:p>
        </w:tc>
      </w:tr>
      <w:tr w:rsidR="00F67E9E" w:rsidRPr="00D00D9A" w14:paraId="36C10ADE" w14:textId="77777777" w:rsidTr="007F74AA">
        <w:tc>
          <w:tcPr>
            <w:tcW w:w="2835" w:type="dxa"/>
          </w:tcPr>
          <w:p w14:paraId="708F0482" w14:textId="77777777" w:rsidR="00F67E9E" w:rsidRPr="00D00D9A" w:rsidRDefault="00F67E9E" w:rsidP="007F74AA">
            <w:pPr>
              <w:pStyle w:val="StdBodyTextBold"/>
              <w:rPr>
                <w:rFonts w:cs="Arial"/>
              </w:rPr>
            </w:pPr>
            <w:r>
              <w:rPr>
                <w:rFonts w:cs="Arial"/>
              </w:rPr>
              <w:t>“</w:t>
            </w:r>
            <w:r w:rsidRPr="00D00D9A">
              <w:rPr>
                <w:rFonts w:cs="Arial"/>
              </w:rPr>
              <w:t>Impact Assessment</w:t>
            </w:r>
            <w:r>
              <w:rPr>
                <w:rFonts w:cs="Arial"/>
              </w:rPr>
              <w:t>”</w:t>
            </w:r>
          </w:p>
        </w:tc>
        <w:tc>
          <w:tcPr>
            <w:tcW w:w="6803" w:type="dxa"/>
          </w:tcPr>
          <w:p w14:paraId="39ACD701" w14:textId="031865F0" w:rsidR="00F67E9E" w:rsidRPr="00D00D9A" w:rsidRDefault="00F67E9E" w:rsidP="007F74AA">
            <w:pPr>
              <w:pStyle w:val="StdBodyText"/>
              <w:rPr>
                <w:rFonts w:cs="Arial"/>
              </w:rPr>
            </w:pPr>
            <w:r w:rsidRPr="00D00D9A">
              <w:rPr>
                <w:rFonts w:cs="Arial"/>
              </w:rPr>
              <w:t xml:space="preserve">an assessment of a Change Request in accordance with </w:t>
            </w:r>
            <w:bookmarkStart w:id="1585" w:name="_9kMHG5YVtCIBAIMhLhkhy7sGSQh6E3rBAATGHWR"/>
            <w:r w:rsidRPr="00D00D9A">
              <w:rPr>
                <w:rFonts w:cs="Arial"/>
              </w:rPr>
              <w:t>Paragraph</w:t>
            </w:r>
            <w:r>
              <w:rPr>
                <w:rFonts w:cs="Arial"/>
              </w:rPr>
              <w:t> </w:t>
            </w:r>
            <w:r w:rsidRPr="00D00D9A">
              <w:rPr>
                <w:rFonts w:cs="Arial"/>
              </w:rPr>
              <w:fldChar w:fldCharType="begin"/>
            </w:r>
            <w:r w:rsidRPr="00D00D9A">
              <w:rPr>
                <w:rFonts w:cs="Arial"/>
              </w:rPr>
              <w:instrText xml:space="preserve"> REF _Ref_ContractCompanion_9kb9Us4CE \w \n \h \t \* MERGEFORMAT </w:instrText>
            </w:r>
            <w:r w:rsidRPr="00D00D9A">
              <w:rPr>
                <w:rFonts w:cs="Arial"/>
              </w:rPr>
            </w:r>
            <w:r w:rsidRPr="00D00D9A">
              <w:rPr>
                <w:rFonts w:cs="Arial"/>
              </w:rPr>
              <w:fldChar w:fldCharType="separate"/>
            </w:r>
            <w:r w:rsidR="00302D39">
              <w:rPr>
                <w:rFonts w:cs="Arial"/>
              </w:rPr>
              <w:t>5</w:t>
            </w:r>
            <w:r w:rsidRPr="00D00D9A">
              <w:rPr>
                <w:rFonts w:cs="Arial"/>
              </w:rPr>
              <w:fldChar w:fldCharType="end"/>
            </w:r>
            <w:bookmarkEnd w:id="1585"/>
            <w:r w:rsidRPr="00D00D9A">
              <w:rPr>
                <w:rFonts w:cs="Arial"/>
              </w:rPr>
              <w:t>;</w:t>
            </w:r>
          </w:p>
        </w:tc>
      </w:tr>
      <w:tr w:rsidR="00F67E9E" w:rsidRPr="00D00D9A" w14:paraId="52131769" w14:textId="77777777" w:rsidTr="007F74AA">
        <w:tc>
          <w:tcPr>
            <w:tcW w:w="2835" w:type="dxa"/>
          </w:tcPr>
          <w:p w14:paraId="26CAC7C2" w14:textId="77777777" w:rsidR="00F67E9E" w:rsidRPr="00D00D9A" w:rsidRDefault="00F67E9E" w:rsidP="007F74AA">
            <w:pPr>
              <w:pStyle w:val="StdBodyTextBold"/>
              <w:rPr>
                <w:rFonts w:cs="Arial"/>
              </w:rPr>
            </w:pPr>
            <w:r>
              <w:rPr>
                <w:rFonts w:cs="Arial"/>
              </w:rPr>
              <w:t>“</w:t>
            </w:r>
            <w:r w:rsidRPr="00D00D9A">
              <w:rPr>
                <w:rFonts w:cs="Arial"/>
              </w:rPr>
              <w:t>Impact Assessment Estimate</w:t>
            </w:r>
            <w:r>
              <w:rPr>
                <w:rFonts w:cs="Arial"/>
              </w:rPr>
              <w:t>”</w:t>
            </w:r>
          </w:p>
        </w:tc>
        <w:tc>
          <w:tcPr>
            <w:tcW w:w="6803" w:type="dxa"/>
          </w:tcPr>
          <w:p w14:paraId="4C5E2089" w14:textId="017D724A" w:rsidR="00F67E9E" w:rsidRPr="00D00D9A" w:rsidRDefault="00F67E9E" w:rsidP="007F74AA">
            <w:pPr>
              <w:pStyle w:val="StdBodyText"/>
              <w:rPr>
                <w:rFonts w:cs="Arial"/>
              </w:rPr>
            </w:pPr>
            <w:r w:rsidRPr="00D00D9A">
              <w:rPr>
                <w:rFonts w:cs="Arial"/>
              </w:rPr>
              <w:t xml:space="preserve">has the meaning given in </w:t>
            </w:r>
            <w:bookmarkStart w:id="1586" w:name="_9kMHG5YVtCJCBJGDHWGy1nHSI62D8BSIDOREDTJ"/>
            <w:bookmarkStart w:id="1587" w:name="_9kMHG5YVtCIBBJJGHWGy1nHSI62D8BSIDOREDTJ"/>
            <w:r w:rsidRPr="00D00D9A">
              <w:rPr>
                <w:rFonts w:cs="Arial"/>
              </w:rPr>
              <w:t>Paragraph</w:t>
            </w:r>
            <w:r>
              <w:rPr>
                <w:rFonts w:cs="Arial"/>
              </w:rPr>
              <w:t> </w:t>
            </w:r>
            <w:r w:rsidRPr="00D00D9A">
              <w:rPr>
                <w:rFonts w:cs="Arial"/>
              </w:rPr>
              <w:fldChar w:fldCharType="begin"/>
            </w:r>
            <w:r w:rsidRPr="00D00D9A">
              <w:rPr>
                <w:rFonts w:cs="Arial"/>
              </w:rPr>
              <w:instrText xml:space="preserve"> REF _Ref_ContractCompanion_9kb9Us5CH \n \h \t \* MERGEFORMAT </w:instrText>
            </w:r>
            <w:r w:rsidRPr="00D00D9A">
              <w:rPr>
                <w:rFonts w:cs="Arial"/>
              </w:rPr>
            </w:r>
            <w:r w:rsidRPr="00D00D9A">
              <w:rPr>
                <w:rFonts w:cs="Arial"/>
              </w:rPr>
              <w:fldChar w:fldCharType="separate"/>
            </w:r>
            <w:r w:rsidR="00302D39">
              <w:rPr>
                <w:rFonts w:cs="Arial"/>
              </w:rPr>
              <w:t>4.3</w:t>
            </w:r>
            <w:r w:rsidRPr="00D00D9A">
              <w:rPr>
                <w:rFonts w:cs="Arial"/>
              </w:rPr>
              <w:fldChar w:fldCharType="end"/>
            </w:r>
            <w:bookmarkEnd w:id="1586"/>
            <w:bookmarkEnd w:id="1587"/>
            <w:r w:rsidRPr="00D00D9A">
              <w:rPr>
                <w:rFonts w:cs="Arial"/>
              </w:rPr>
              <w:t>;</w:t>
            </w:r>
          </w:p>
        </w:tc>
      </w:tr>
      <w:tr w:rsidR="00F67E9E" w:rsidRPr="00D00D9A" w14:paraId="2D214EA7" w14:textId="77777777" w:rsidTr="007F74AA">
        <w:tc>
          <w:tcPr>
            <w:tcW w:w="2835" w:type="dxa"/>
          </w:tcPr>
          <w:p w14:paraId="417609B6" w14:textId="77777777" w:rsidR="00F67E9E" w:rsidRPr="00D00D9A" w:rsidRDefault="00F67E9E" w:rsidP="007F74AA">
            <w:pPr>
              <w:pStyle w:val="StdBodyTextBold"/>
              <w:rPr>
                <w:rFonts w:cs="Arial"/>
              </w:rPr>
            </w:pPr>
            <w:r>
              <w:rPr>
                <w:rFonts w:cs="Arial"/>
              </w:rPr>
              <w:t>“</w:t>
            </w:r>
            <w:r w:rsidRPr="00D00D9A">
              <w:rPr>
                <w:rFonts w:cs="Arial"/>
              </w:rPr>
              <w:t>Receiving Party</w:t>
            </w:r>
            <w:r>
              <w:rPr>
                <w:rFonts w:cs="Arial"/>
              </w:rPr>
              <w:t>”</w:t>
            </w:r>
          </w:p>
        </w:tc>
        <w:tc>
          <w:tcPr>
            <w:tcW w:w="6803" w:type="dxa"/>
          </w:tcPr>
          <w:p w14:paraId="685F5A8A" w14:textId="09E99496" w:rsidR="00F67E9E" w:rsidRPr="00D00D9A" w:rsidRDefault="00F67E9E" w:rsidP="007F74AA">
            <w:pPr>
              <w:pStyle w:val="StdBodyText"/>
              <w:rPr>
                <w:rFonts w:cs="Arial"/>
              </w:rPr>
            </w:pPr>
            <w:r w:rsidRPr="00D00D9A">
              <w:rPr>
                <w:rFonts w:cs="Arial"/>
              </w:rPr>
              <w:t xml:space="preserve">the Party which receives a proposed </w:t>
            </w:r>
            <w:r>
              <w:rPr>
                <w:rFonts w:cs="Arial"/>
              </w:rPr>
              <w:t xml:space="preserve">Change </w:t>
            </w:r>
            <w:r w:rsidRPr="006A74B7">
              <w:rPr>
                <w:rFonts w:cs="Arial"/>
              </w:rPr>
              <w:t>Authorisation Note for signature pursuant to Paragraph</w:t>
            </w:r>
            <w:r>
              <w:rPr>
                <w:rFonts w:cs="Arial"/>
              </w:rPr>
              <w:t> </w:t>
            </w:r>
            <w:r>
              <w:rPr>
                <w:rFonts w:cs="Arial"/>
              </w:rPr>
              <w:fldChar w:fldCharType="begin"/>
            </w:r>
            <w:r>
              <w:rPr>
                <w:rFonts w:cs="Arial"/>
              </w:rPr>
              <w:instrText xml:space="preserve"> REF _Ref141297267 \w \h </w:instrText>
            </w:r>
            <w:r>
              <w:rPr>
                <w:rFonts w:cs="Arial"/>
              </w:rPr>
            </w:r>
            <w:r>
              <w:rPr>
                <w:rFonts w:cs="Arial"/>
              </w:rPr>
              <w:fldChar w:fldCharType="separate"/>
            </w:r>
            <w:r w:rsidR="00302D39">
              <w:rPr>
                <w:rFonts w:cs="Arial"/>
              </w:rPr>
              <w:t>6.2</w:t>
            </w:r>
            <w:r>
              <w:rPr>
                <w:rFonts w:cs="Arial"/>
              </w:rPr>
              <w:fldChar w:fldCharType="end"/>
            </w:r>
            <w:r w:rsidRPr="00D00D9A">
              <w:rPr>
                <w:rFonts w:cs="Arial"/>
              </w:rPr>
              <w:t>; and</w:t>
            </w:r>
          </w:p>
        </w:tc>
      </w:tr>
      <w:tr w:rsidR="00F67E9E" w:rsidRPr="00D00D9A" w14:paraId="2F9F5D81" w14:textId="77777777" w:rsidTr="007F74AA">
        <w:tc>
          <w:tcPr>
            <w:tcW w:w="2835" w:type="dxa"/>
          </w:tcPr>
          <w:p w14:paraId="71D3336F" w14:textId="77777777" w:rsidR="00F67E9E" w:rsidRPr="00D00D9A" w:rsidRDefault="00F67E9E" w:rsidP="007F74AA">
            <w:pPr>
              <w:pStyle w:val="StdBodyTextBold"/>
              <w:rPr>
                <w:rFonts w:cs="Arial"/>
              </w:rPr>
            </w:pPr>
            <w:r>
              <w:rPr>
                <w:rFonts w:cs="Arial"/>
              </w:rPr>
              <w:t>“</w:t>
            </w:r>
            <w:r w:rsidRPr="00D00D9A">
              <w:rPr>
                <w:rFonts w:cs="Arial"/>
              </w:rPr>
              <w:t>Supplier Change Manager</w:t>
            </w:r>
            <w:r>
              <w:rPr>
                <w:rFonts w:cs="Arial"/>
              </w:rPr>
              <w:t>”</w:t>
            </w:r>
          </w:p>
        </w:tc>
        <w:tc>
          <w:tcPr>
            <w:tcW w:w="6803" w:type="dxa"/>
          </w:tcPr>
          <w:p w14:paraId="4E691033" w14:textId="77777777" w:rsidR="00F67E9E" w:rsidRPr="00D00D9A" w:rsidRDefault="00F67E9E" w:rsidP="007F74AA">
            <w:pPr>
              <w:pStyle w:val="StdBodyText"/>
              <w:rPr>
                <w:rFonts w:cs="Arial"/>
              </w:rPr>
            </w:pPr>
            <w:r w:rsidRPr="00D00D9A">
              <w:rPr>
                <w:rFonts w:cs="Arial"/>
              </w:rPr>
              <w:t>the person appointed to that position by the Supplier from time to time and notified in writing to the Authority or, if no person is notified, the Supplier Representative.</w:t>
            </w:r>
          </w:p>
        </w:tc>
      </w:tr>
    </w:tbl>
    <w:p w14:paraId="0FD2E3B3" w14:textId="77777777" w:rsidR="00F67E9E" w:rsidRPr="00D00D9A" w:rsidRDefault="00F67E9E" w:rsidP="00F67E9E">
      <w:pPr>
        <w:pStyle w:val="Numbered1"/>
      </w:pPr>
      <w:r w:rsidRPr="00D00D9A">
        <w:t xml:space="preserve">General Principles </w:t>
      </w:r>
      <w:r>
        <w:t>o</w:t>
      </w:r>
      <w:r w:rsidRPr="00D00D9A">
        <w:t>f Change Control Procedure</w:t>
      </w:r>
    </w:p>
    <w:p w14:paraId="28760898" w14:textId="77777777" w:rsidR="00F67E9E" w:rsidRPr="00A10867" w:rsidRDefault="00F67E9E" w:rsidP="00F67E9E">
      <w:pPr>
        <w:pStyle w:val="Numbered11"/>
      </w:pPr>
      <w:r w:rsidRPr="00D00D9A">
        <w:t xml:space="preserve">This Schedule sets out the </w:t>
      </w:r>
      <w:r w:rsidRPr="00A10867">
        <w:t>procedure for dealing with Changes.</w:t>
      </w:r>
    </w:p>
    <w:p w14:paraId="53347C65" w14:textId="582DB34C" w:rsidR="00F67E9E" w:rsidRPr="00A10867" w:rsidRDefault="00F67E9E" w:rsidP="00F67E9E">
      <w:pPr>
        <w:pStyle w:val="Numbered11"/>
      </w:pPr>
      <w:r w:rsidRPr="00A10867">
        <w:t xml:space="preserve">Operational Changes shall be processed in accordance with </w:t>
      </w:r>
      <w:bookmarkStart w:id="1588" w:name="_9kMHG5YVtCIBAHMiLhkhy7sGSUrF6969IEK7696"/>
      <w:r w:rsidRPr="00A10867">
        <w:t>Paragraph</w:t>
      </w:r>
      <w:r>
        <w:t> </w:t>
      </w:r>
      <w:r w:rsidRPr="00A10867">
        <w:fldChar w:fldCharType="begin"/>
      </w:r>
      <w:r w:rsidRPr="00A10867">
        <w:instrText xml:space="preserve"> REF _Ref_ContractCompanion_9kb9Us4BE \w \n \h \t \* MERGEFORMAT </w:instrText>
      </w:r>
      <w:r w:rsidRPr="00A10867">
        <w:fldChar w:fldCharType="separate"/>
      </w:r>
      <w:r w:rsidR="00302D39">
        <w:t>9</w:t>
      </w:r>
      <w:r w:rsidRPr="00A10867">
        <w:fldChar w:fldCharType="end"/>
      </w:r>
      <w:bookmarkEnd w:id="1588"/>
      <w:r w:rsidRPr="00A10867">
        <w:t>. If either Party is in doubt about whether a change falls within the definition of an Operational Change, then it must be processed as a Contract Change.</w:t>
      </w:r>
    </w:p>
    <w:p w14:paraId="1F950BFB" w14:textId="77777777" w:rsidR="00F67E9E" w:rsidRPr="00D00D9A" w:rsidRDefault="00F67E9E" w:rsidP="00F67E9E">
      <w:pPr>
        <w:pStyle w:val="Numbered11"/>
      </w:pPr>
      <w:r w:rsidRPr="00A10867">
        <w:t>The Parties shall deal with Contract</w:t>
      </w:r>
      <w:r w:rsidRPr="00D00D9A">
        <w:t xml:space="preserve"> Change as follows:</w:t>
      </w:r>
    </w:p>
    <w:p w14:paraId="33F95521" w14:textId="12E8B71B" w:rsidR="00F67E9E" w:rsidRPr="00A10867" w:rsidRDefault="00F67E9E" w:rsidP="00F67E9E">
      <w:pPr>
        <w:pStyle w:val="Numbered111"/>
      </w:pPr>
      <w:r w:rsidRPr="00D00D9A">
        <w:t xml:space="preserve">either Party may request a Contract Change which they shall initiate by issuing a Change </w:t>
      </w:r>
      <w:r w:rsidRPr="00A10867">
        <w:t xml:space="preserve">Request in accordance with </w:t>
      </w:r>
      <w:bookmarkStart w:id="1589" w:name="_9kMHG5YVtCIBAIPkLhkhy7sGSPavu180CDDUJIY"/>
      <w:r w:rsidRPr="00A10867">
        <w:t>Paragraph</w:t>
      </w:r>
      <w:r>
        <w:t> </w:t>
      </w:r>
      <w:r w:rsidRPr="00A10867">
        <w:fldChar w:fldCharType="begin"/>
      </w:r>
      <w:r w:rsidRPr="00A10867">
        <w:instrText xml:space="preserve"> REF _Ref_ContractCompanion_9kb9Us4CH \w \n \h \t \* MERGEFORMAT </w:instrText>
      </w:r>
      <w:r w:rsidRPr="00A10867">
        <w:fldChar w:fldCharType="separate"/>
      </w:r>
      <w:r w:rsidR="00302D39">
        <w:t>4</w:t>
      </w:r>
      <w:r w:rsidRPr="00A10867">
        <w:fldChar w:fldCharType="end"/>
      </w:r>
      <w:bookmarkEnd w:id="1589"/>
      <w:r w:rsidRPr="00A10867">
        <w:t>;</w:t>
      </w:r>
    </w:p>
    <w:p w14:paraId="7F43AE9F" w14:textId="1FA439D0" w:rsidR="00F67E9E" w:rsidRPr="00A10867" w:rsidRDefault="00F67E9E" w:rsidP="00F67E9E">
      <w:pPr>
        <w:pStyle w:val="Numbered111"/>
      </w:pPr>
      <w:r w:rsidRPr="00A10867">
        <w:t xml:space="preserve">unless this Contract otherwise requires, the Supplier shall assess and document the potential impact of a proposed Contract Change in accordance with </w:t>
      </w:r>
      <w:bookmarkStart w:id="1590" w:name="_9kMIH5YVtCIBAIMhLhkhy7sGSQh6E3rBAATGHWR"/>
      <w:r w:rsidRPr="00A10867">
        <w:t xml:space="preserve">Paragraph </w:t>
      </w:r>
      <w:r w:rsidRPr="00A10867">
        <w:fldChar w:fldCharType="begin"/>
      </w:r>
      <w:r w:rsidRPr="00A10867">
        <w:instrText xml:space="preserve"> REF _Ref_ContractCompanion_9kb9Us4CE \w \n \h \t \* MERGEFORMAT </w:instrText>
      </w:r>
      <w:r w:rsidRPr="00A10867">
        <w:fldChar w:fldCharType="separate"/>
      </w:r>
      <w:r w:rsidR="00302D39">
        <w:t>5</w:t>
      </w:r>
      <w:r w:rsidRPr="00A10867">
        <w:fldChar w:fldCharType="end"/>
      </w:r>
      <w:bookmarkEnd w:id="1590"/>
      <w:r w:rsidRPr="00A10867">
        <w:t xml:space="preserve"> before the Contract Change can be either approved or implemented;</w:t>
      </w:r>
    </w:p>
    <w:p w14:paraId="628F0F95" w14:textId="1A8B5065" w:rsidR="00F67E9E" w:rsidRPr="00A10867" w:rsidRDefault="00F67E9E" w:rsidP="00F67E9E">
      <w:pPr>
        <w:pStyle w:val="Numbered111"/>
      </w:pPr>
      <w:r w:rsidRPr="00A10867">
        <w:t xml:space="preserve">the Authority shall have the right to request amendments to a Change Request, approve it or reject it in the manner set out in </w:t>
      </w:r>
      <w:bookmarkStart w:id="1591" w:name="_9kMHG5YVtCIBAIJeLhkhy7sGSRa6QEALGJaaULB"/>
      <w:r w:rsidRPr="00A10867">
        <w:t xml:space="preserve">Paragraph </w:t>
      </w:r>
      <w:r w:rsidRPr="00A10867">
        <w:fldChar w:fldCharType="begin"/>
      </w:r>
      <w:r w:rsidRPr="00A10867">
        <w:instrText xml:space="preserve"> REF _Ref_ContractCompanion_9kb9Us4CB \w \n \h \t \* MERGEFORMAT </w:instrText>
      </w:r>
      <w:r w:rsidRPr="00A10867">
        <w:fldChar w:fldCharType="separate"/>
      </w:r>
      <w:r w:rsidR="00302D39">
        <w:t>6</w:t>
      </w:r>
      <w:r w:rsidRPr="00A10867">
        <w:fldChar w:fldCharType="end"/>
      </w:r>
      <w:bookmarkEnd w:id="1591"/>
      <w:r w:rsidRPr="00A10867">
        <w:t>;</w:t>
      </w:r>
    </w:p>
    <w:p w14:paraId="2555B0DB" w14:textId="76DBD77F" w:rsidR="00F67E9E" w:rsidRPr="00A10867" w:rsidRDefault="00F67E9E" w:rsidP="00F67E9E">
      <w:pPr>
        <w:pStyle w:val="Numbered111"/>
      </w:pPr>
      <w:r w:rsidRPr="00A10867">
        <w:t xml:space="preserve">the Supplier shall have the right to reject a Change Request solely in the manner set out in </w:t>
      </w:r>
      <w:bookmarkStart w:id="1592" w:name="_9kMHG5YVtCIBAIGbLhkhy7sGSStOMIF93DSTKAA"/>
      <w:r w:rsidRPr="00A10867">
        <w:t xml:space="preserve">Paragraph </w:t>
      </w:r>
      <w:r w:rsidRPr="00A10867">
        <w:fldChar w:fldCharType="begin"/>
      </w:r>
      <w:r w:rsidRPr="00A10867">
        <w:instrText xml:space="preserve"> REF _Ref_ContractCompanion_9kb9Us4BH \w \n \h \t \* MERGEFORMAT </w:instrText>
      </w:r>
      <w:r w:rsidRPr="00A10867">
        <w:fldChar w:fldCharType="separate"/>
      </w:r>
      <w:r w:rsidR="00302D39">
        <w:t>6.3</w:t>
      </w:r>
      <w:r w:rsidRPr="00A10867">
        <w:fldChar w:fldCharType="end"/>
      </w:r>
      <w:bookmarkEnd w:id="1592"/>
      <w:r w:rsidRPr="00A10867">
        <w:t>;</w:t>
      </w:r>
    </w:p>
    <w:p w14:paraId="636E8059" w14:textId="1DF2FD79" w:rsidR="00F67E9E" w:rsidRPr="00A10867" w:rsidRDefault="00F67E9E" w:rsidP="00F67E9E">
      <w:pPr>
        <w:pStyle w:val="Numbered111"/>
      </w:pPr>
      <w:r w:rsidRPr="00A10867">
        <w:t xml:space="preserve">save as otherwise provided in this Contract, no proposed Contract Change shall be implemented by the Supplier until a Change Authorisation Note has been signed and issued by the Authority in accordance with </w:t>
      </w:r>
      <w:bookmarkStart w:id="1593" w:name="_9kMHG5YVtCIBBJMLIVGy1nHSI62D8BSA2ILLQHF"/>
      <w:r w:rsidRPr="00A10867">
        <w:t xml:space="preserve">Paragraph </w:t>
      </w:r>
      <w:r w:rsidRPr="00A10867">
        <w:fldChar w:fldCharType="begin"/>
      </w:r>
      <w:r w:rsidRPr="00A10867">
        <w:instrText xml:space="preserve"> REF _Ref_ContractCompanion_9kb9Us5DE \n \h \t \* MERGEFORMAT </w:instrText>
      </w:r>
      <w:r w:rsidRPr="00A10867">
        <w:fldChar w:fldCharType="separate"/>
      </w:r>
      <w:r w:rsidR="00302D39">
        <w:t>6.2</w:t>
      </w:r>
      <w:r w:rsidRPr="00A10867">
        <w:fldChar w:fldCharType="end"/>
      </w:r>
      <w:bookmarkEnd w:id="1593"/>
      <w:r w:rsidRPr="00A10867">
        <w:t>; and</w:t>
      </w:r>
    </w:p>
    <w:p w14:paraId="213EB86A" w14:textId="37B69502" w:rsidR="00F67E9E" w:rsidRPr="00D00D9A" w:rsidRDefault="00F67E9E" w:rsidP="00F67E9E">
      <w:pPr>
        <w:pStyle w:val="Numbered111"/>
      </w:pPr>
      <w:r w:rsidRPr="00A10867">
        <w:t>if a proposed</w:t>
      </w:r>
      <w:r w:rsidRPr="00D00D9A">
        <w:t xml:space="preserve"> Contract Change is a Fast-track Change, it shall be processed in accordance with </w:t>
      </w:r>
      <w:bookmarkStart w:id="1594" w:name="_9kMIH5YVtCIBBIMOXhvFHGykvwut07zC"/>
      <w:r w:rsidRPr="00D00D9A">
        <w:t xml:space="preserve">Paragraph </w:t>
      </w:r>
      <w:r w:rsidRPr="00D00D9A">
        <w:fldChar w:fldCharType="begin"/>
      </w:r>
      <w:r w:rsidRPr="00D00D9A">
        <w:instrText xml:space="preserve"> REF _Ref_ContractCompanion_9kb9Us5CE \w \n \h \t \* MERGEFORMAT </w:instrText>
      </w:r>
      <w:r w:rsidRPr="00D00D9A">
        <w:fldChar w:fldCharType="separate"/>
      </w:r>
      <w:r w:rsidR="00302D39">
        <w:t>8</w:t>
      </w:r>
      <w:r w:rsidRPr="00D00D9A">
        <w:fldChar w:fldCharType="end"/>
      </w:r>
      <w:bookmarkEnd w:id="1594"/>
      <w:r w:rsidRPr="00D00D9A">
        <w:t>.</w:t>
      </w:r>
    </w:p>
    <w:p w14:paraId="7E358B6D" w14:textId="28BF5DDD" w:rsidR="00F67E9E" w:rsidRPr="00A10867" w:rsidRDefault="00F67E9E" w:rsidP="00F67E9E">
      <w:pPr>
        <w:pStyle w:val="Numbered11"/>
      </w:pPr>
      <w:r w:rsidRPr="00D00D9A">
        <w:t xml:space="preserve">To the extent that any Contract Change requires testing and/or a programme for implementation, then the Parties shall follow the procedures set out in </w:t>
      </w:r>
      <w:r>
        <w:rPr>
          <w:rFonts w:cs="Arial"/>
        </w:rPr>
        <w:fldChar w:fldCharType="begin"/>
      </w:r>
      <w:r>
        <w:rPr>
          <w:rFonts w:cs="Arial"/>
        </w:rPr>
        <w:instrText xml:space="preserve"> REF Schedule14 \h </w:instrText>
      </w:r>
      <w:r>
        <w:rPr>
          <w:rFonts w:cs="Arial"/>
        </w:rPr>
      </w:r>
      <w:r>
        <w:rPr>
          <w:rFonts w:cs="Arial"/>
        </w:rPr>
        <w:fldChar w:fldCharType="separate"/>
      </w:r>
      <w:r w:rsidR="00302D39" w:rsidRPr="005D0525">
        <w:t>Schedule</w:t>
      </w:r>
      <w:r w:rsidR="00302D39">
        <w:t> </w:t>
      </w:r>
      <w:r w:rsidR="00302D39" w:rsidRPr="005D0525">
        <w:t>14</w:t>
      </w:r>
      <w:r>
        <w:rPr>
          <w:rFonts w:cs="Arial"/>
        </w:rPr>
        <w:fldChar w:fldCharType="end"/>
      </w:r>
      <w:r>
        <w:rPr>
          <w:rFonts w:cs="Arial"/>
        </w:rPr>
        <w:t xml:space="preserve"> (</w:t>
      </w:r>
      <w:r w:rsidRPr="00B91437">
        <w:rPr>
          <w:rFonts w:cs="Arial"/>
          <w:i/>
          <w:iCs/>
        </w:rPr>
        <w:fldChar w:fldCharType="begin"/>
      </w:r>
      <w:r w:rsidRPr="00B91437">
        <w:rPr>
          <w:rFonts w:cs="Arial"/>
          <w:i/>
          <w:iCs/>
        </w:rPr>
        <w:instrText xml:space="preserve"> REF Schedule14Heading \h </w:instrText>
      </w:r>
      <w:r>
        <w:rPr>
          <w:rFonts w:cs="Arial"/>
          <w:i/>
          <w:iCs/>
        </w:rPr>
        <w:instrText xml:space="preserve"> \* MERGEFORMAT </w:instrText>
      </w:r>
      <w:r w:rsidRPr="00B91437">
        <w:rPr>
          <w:rFonts w:cs="Arial"/>
          <w:i/>
          <w:iCs/>
        </w:rPr>
      </w:r>
      <w:r w:rsidRPr="00B91437">
        <w:rPr>
          <w:rFonts w:cs="Arial"/>
          <w:i/>
          <w:iCs/>
        </w:rPr>
        <w:fldChar w:fldCharType="separate"/>
      </w:r>
      <w:r w:rsidR="00302D39" w:rsidRPr="00302D39">
        <w:rPr>
          <w:i/>
          <w:iCs/>
        </w:rPr>
        <w:t>Testing Procedures</w:t>
      </w:r>
      <w:r w:rsidRPr="00B91437">
        <w:rPr>
          <w:rFonts w:cs="Arial"/>
          <w:i/>
          <w:iCs/>
        </w:rPr>
        <w:fldChar w:fldCharType="end"/>
      </w:r>
      <w:r>
        <w:rPr>
          <w:rFonts w:cs="Arial"/>
        </w:rPr>
        <w:t>)</w:t>
      </w:r>
      <w:r w:rsidRPr="00D00D9A">
        <w:t xml:space="preserve">, and, where appropriate, the Change Authorisation Note relating to such a Contract Change shall </w:t>
      </w:r>
      <w:r w:rsidRPr="00A10867">
        <w:t>specify Milestones and/or a Key Milestone and Milestone Date(s) in respect of such Contract Change for the purposes of such procedures.</w:t>
      </w:r>
    </w:p>
    <w:p w14:paraId="6732DB64" w14:textId="74785193" w:rsidR="00F67E9E" w:rsidRPr="00D00D9A" w:rsidRDefault="00F67E9E" w:rsidP="00F67E9E">
      <w:pPr>
        <w:pStyle w:val="Numbered11"/>
      </w:pPr>
      <w:r w:rsidRPr="00A10867">
        <w:t>Until a Change Authorisatio</w:t>
      </w:r>
      <w:r w:rsidRPr="00D00D9A">
        <w:t xml:space="preserve">n Note has been signed and issued in accordance with </w:t>
      </w:r>
      <w:bookmarkStart w:id="1595" w:name="_9kMIH5YVtCIBBJMLIVGy1nHSI62D8BSA2ILLQHF"/>
      <w:r w:rsidRPr="00D00D9A">
        <w:t xml:space="preserve">Paragraph </w:t>
      </w:r>
      <w:r w:rsidRPr="00D00D9A">
        <w:fldChar w:fldCharType="begin"/>
      </w:r>
      <w:r w:rsidRPr="00D00D9A">
        <w:instrText xml:space="preserve"> REF _Ref_ContractCompanion_9kb9Us5DE \n \h \t \* MERGEFORMAT </w:instrText>
      </w:r>
      <w:r w:rsidRPr="00D00D9A">
        <w:fldChar w:fldCharType="separate"/>
      </w:r>
      <w:r w:rsidR="00302D39">
        <w:t>6.2</w:t>
      </w:r>
      <w:r w:rsidRPr="00D00D9A">
        <w:fldChar w:fldCharType="end"/>
      </w:r>
      <w:bookmarkEnd w:id="1595"/>
      <w:r w:rsidRPr="00D00D9A">
        <w:t>, then:</w:t>
      </w:r>
    </w:p>
    <w:p w14:paraId="251782D7" w14:textId="77777777" w:rsidR="00F67E9E" w:rsidRPr="00A10867" w:rsidRDefault="00F67E9E" w:rsidP="00F67E9E">
      <w:pPr>
        <w:pStyle w:val="Numbered111"/>
      </w:pPr>
      <w:r w:rsidRPr="00D00D9A">
        <w:t xml:space="preserve">unless the Authority expressly agrees (or requires) otherwise in writing, the Supplier shall continue to supply the Services in accordance with the existing terms of this </w:t>
      </w:r>
      <w:r w:rsidRPr="00A10867">
        <w:t>Contract as if the proposed Contract Change did not apply; and</w:t>
      </w:r>
    </w:p>
    <w:p w14:paraId="12034115" w14:textId="77777777" w:rsidR="00F67E9E" w:rsidRPr="00D00D9A" w:rsidRDefault="00F67E9E" w:rsidP="00F67E9E">
      <w:pPr>
        <w:pStyle w:val="Numbered111"/>
      </w:pPr>
      <w:r w:rsidRPr="00A10867">
        <w:t>any discussions, negotiations or other communications which may take place between the Authority and the Supplier in connection with any proposed Contract Change, including the submission of any Change Communications, shall be without preju</w:t>
      </w:r>
      <w:r w:rsidRPr="00D00D9A">
        <w:t>dice to each Party</w:t>
      </w:r>
      <w:r>
        <w:t>’</w:t>
      </w:r>
      <w:r w:rsidRPr="00D00D9A">
        <w:t>s other rights under this Contract.</w:t>
      </w:r>
    </w:p>
    <w:p w14:paraId="21E48757" w14:textId="77777777" w:rsidR="00F67E9E" w:rsidRPr="00D00D9A" w:rsidRDefault="00F67E9E" w:rsidP="00F67E9E">
      <w:pPr>
        <w:pStyle w:val="Numbered11"/>
      </w:pPr>
      <w:bookmarkStart w:id="1596" w:name="_Ref_ContractCompanion_9kb9Us7DG"/>
      <w:r w:rsidRPr="00133BD5">
        <w:t xml:space="preserve">Unless the Authority directs otherwise, </w:t>
      </w:r>
      <w:r>
        <w:t>t</w:t>
      </w:r>
      <w:r w:rsidRPr="00D00D9A">
        <w:t xml:space="preserve">he </w:t>
      </w:r>
      <w:r w:rsidRPr="00A10867">
        <w:t>Supplier</w:t>
      </w:r>
      <w:r w:rsidRPr="00D00D9A">
        <w:t xml:space="preserve"> shall:</w:t>
      </w:r>
      <w:bookmarkEnd w:id="1596"/>
    </w:p>
    <w:p w14:paraId="5728DDBC" w14:textId="77777777" w:rsidR="00F67E9E" w:rsidRPr="00A10867" w:rsidRDefault="00F67E9E" w:rsidP="00F67E9E">
      <w:pPr>
        <w:pStyle w:val="Numbered111"/>
      </w:pPr>
      <w:r w:rsidRPr="00D00D9A">
        <w:t xml:space="preserve">within 10 Working Days of the </w:t>
      </w:r>
      <w:r>
        <w:t>final</w:t>
      </w:r>
      <w:r w:rsidRPr="00D00D9A">
        <w:t xml:space="preserve"> signature and issue of a Change Authorisation Note, deliver to the Authority a copy of this Contract updated to reflect all Contract Changes agreed in the relevant Change Authorisation Note and annotated with a </w:t>
      </w:r>
      <w:r w:rsidRPr="00A10867">
        <w:t>reference to the Change Authorisation Note pursuant to which the relevant Contract Changes were agreed; and</w:t>
      </w:r>
    </w:p>
    <w:p w14:paraId="55CF59ED" w14:textId="77777777" w:rsidR="00F67E9E" w:rsidRPr="00D00D9A" w:rsidRDefault="00F67E9E" w:rsidP="00F67E9E">
      <w:pPr>
        <w:pStyle w:val="Numbered111"/>
      </w:pPr>
      <w:r w:rsidRPr="00A10867">
        <w:t>thereafter provide to the Authority such further copies of the updated Contract as the Authority may from</w:t>
      </w:r>
      <w:r w:rsidRPr="00D00D9A">
        <w:t xml:space="preserve"> time to time request.</w:t>
      </w:r>
    </w:p>
    <w:p w14:paraId="0EB9B0C4" w14:textId="77777777" w:rsidR="00F67E9E" w:rsidRPr="00D00D9A" w:rsidRDefault="00F67E9E" w:rsidP="00F67E9E">
      <w:pPr>
        <w:pStyle w:val="Numbered1"/>
      </w:pPr>
      <w:r w:rsidRPr="00D00D9A">
        <w:t>Costs</w:t>
      </w:r>
    </w:p>
    <w:p w14:paraId="04BF169D" w14:textId="5B499CCD" w:rsidR="00F67E9E" w:rsidRPr="00D00D9A" w:rsidRDefault="00F67E9E" w:rsidP="00F67E9E">
      <w:pPr>
        <w:pStyle w:val="Numbered11"/>
      </w:pPr>
      <w:r w:rsidRPr="00D00D9A">
        <w:t xml:space="preserve">Subject to </w:t>
      </w:r>
      <w:bookmarkStart w:id="1597" w:name="_9kMHG5YVtCIBBJPLGPI71YMvF7t430HNOEA5DTR"/>
      <w:r w:rsidRPr="00A10867">
        <w:t>Paragraph</w:t>
      </w:r>
      <w:r w:rsidRPr="00D00D9A">
        <w:t xml:space="preserve"> </w:t>
      </w:r>
      <w:r w:rsidRPr="00D00D9A">
        <w:fldChar w:fldCharType="begin"/>
      </w:r>
      <w:r w:rsidRPr="00D00D9A">
        <w:instrText xml:space="preserve"> REF _Ref_ContractCompanion_9kb9Us5DH \n \h \t \* MERGEFORMAT </w:instrText>
      </w:r>
      <w:r w:rsidRPr="00D00D9A">
        <w:fldChar w:fldCharType="separate"/>
      </w:r>
      <w:r w:rsidR="00302D39">
        <w:t>3.3</w:t>
      </w:r>
      <w:r w:rsidRPr="00D00D9A">
        <w:fldChar w:fldCharType="end"/>
      </w:r>
      <w:bookmarkEnd w:id="1597"/>
      <w:r w:rsidRPr="00D00D9A">
        <w:t>:</w:t>
      </w:r>
    </w:p>
    <w:p w14:paraId="31D33C7C" w14:textId="77777777" w:rsidR="00F67E9E" w:rsidRPr="00A10867" w:rsidRDefault="00F67E9E" w:rsidP="00F67E9E">
      <w:pPr>
        <w:pStyle w:val="Numbered111"/>
      </w:pPr>
      <w:r w:rsidRPr="00D00D9A">
        <w:t xml:space="preserve">the costs of </w:t>
      </w:r>
      <w:r w:rsidRPr="00A10867">
        <w:t>preparing each Change Request shall be borne by the Party making the Change Request; and</w:t>
      </w:r>
    </w:p>
    <w:p w14:paraId="0FC42469" w14:textId="77777777" w:rsidR="00F67E9E" w:rsidRPr="00D35048" w:rsidRDefault="00F67E9E" w:rsidP="00F67E9E">
      <w:pPr>
        <w:pStyle w:val="Numbered111"/>
      </w:pPr>
      <w:r w:rsidRPr="00A10867">
        <w:t>the costs incurred by the Supplier in undertaking an Impact Assessment shall be borne by the Party making the Change Request provided that the Authority shall not be required to</w:t>
      </w:r>
      <w:r w:rsidRPr="00D35048">
        <w:t xml:space="preserve"> pay any such costs if:</w:t>
      </w:r>
    </w:p>
    <w:p w14:paraId="72B58EEF" w14:textId="77777777" w:rsidR="00F67E9E" w:rsidRPr="00A10867" w:rsidRDefault="00F67E9E" w:rsidP="00F67E9E">
      <w:pPr>
        <w:pStyle w:val="Numbered111a"/>
      </w:pPr>
      <w:r w:rsidRPr="00D35048">
        <w:t xml:space="preserve">such </w:t>
      </w:r>
      <w:r w:rsidRPr="00A10867">
        <w:t>costs are below £</w:t>
      </w:r>
      <w:r w:rsidRPr="00B73DD6">
        <w:rPr>
          <w:b/>
          <w:highlight w:val="yellow"/>
        </w:rPr>
        <w:t>[insert</w:t>
      </w:r>
      <w:r w:rsidRPr="00A10867">
        <w:rPr>
          <w:rStyle w:val="StdBodyTextBoldChar"/>
          <w:rFonts w:eastAsia="Arial" w:cs="Arial"/>
          <w:b w:val="0"/>
          <w:highlight w:val="yellow"/>
          <w:lang w:eastAsia="en-US"/>
        </w:rPr>
        <w:t xml:space="preserve"> figure</w:t>
      </w:r>
      <w:r w:rsidRPr="00A10867">
        <w:rPr>
          <w:highlight w:val="yellow"/>
        </w:rPr>
        <w:t>]</w:t>
      </w:r>
      <w:r w:rsidRPr="00A10867">
        <w:t>;</w:t>
      </w:r>
    </w:p>
    <w:p w14:paraId="3A3948E8" w14:textId="77777777" w:rsidR="00F67E9E" w:rsidRPr="00A10867" w:rsidRDefault="00F67E9E" w:rsidP="00F67E9E">
      <w:pPr>
        <w:pStyle w:val="Numbered111a"/>
      </w:pPr>
      <w:r w:rsidRPr="00A10867">
        <w:t>the Supplier is able to undertake the Impact Assessment by using resources already deployed in the provision of the Services; or</w:t>
      </w:r>
    </w:p>
    <w:p w14:paraId="42AEBD47" w14:textId="77777777" w:rsidR="00F67E9E" w:rsidRPr="00D35048" w:rsidRDefault="00F67E9E" w:rsidP="00F67E9E">
      <w:pPr>
        <w:pStyle w:val="Numbered111a"/>
      </w:pPr>
      <w:r w:rsidRPr="00A10867">
        <w:t>such co</w:t>
      </w:r>
      <w:r w:rsidRPr="00D35048">
        <w:t>sts exceed those in the accepted Impact Assessment Estimate.</w:t>
      </w:r>
    </w:p>
    <w:p w14:paraId="44A03432" w14:textId="7C7925F1" w:rsidR="00F67E9E" w:rsidRPr="00A10867" w:rsidRDefault="00F67E9E" w:rsidP="00F67E9E">
      <w:pPr>
        <w:pStyle w:val="Numbered11"/>
      </w:pPr>
      <w:r w:rsidRPr="00D00D9A">
        <w:t xml:space="preserve">The cost of any Contract Change shall be calculated and charged in accordance with the principles and day rates or day costs (as applicable) set out in </w:t>
      </w:r>
      <w:r>
        <w:rPr>
          <w:rFonts w:cs="Arial"/>
        </w:rPr>
        <w:fldChar w:fldCharType="begin"/>
      </w:r>
      <w:r>
        <w:rPr>
          <w:rFonts w:cs="Arial"/>
        </w:rPr>
        <w:instrText xml:space="preserve"> REF Schedule15 \h </w:instrText>
      </w:r>
      <w:r>
        <w:rPr>
          <w:rFonts w:cs="Arial"/>
        </w:rPr>
      </w:r>
      <w:r>
        <w:rPr>
          <w:rFonts w:cs="Arial"/>
        </w:rPr>
        <w:fldChar w:fldCharType="separate"/>
      </w:r>
      <w:r w:rsidR="00302D39" w:rsidRPr="005D0525">
        <w:t>Schedule</w:t>
      </w:r>
      <w:r w:rsidR="00302D39">
        <w:t> </w:t>
      </w:r>
      <w:r w:rsidR="00302D39" w:rsidRPr="005D0525">
        <w:t>15</w:t>
      </w:r>
      <w:r>
        <w:rPr>
          <w:rFonts w:cs="Arial"/>
        </w:rPr>
        <w:fldChar w:fldCharType="end"/>
      </w:r>
      <w:r>
        <w:rPr>
          <w:rFonts w:cs="Arial"/>
        </w:rPr>
        <w:t xml:space="preserve"> (</w:t>
      </w:r>
      <w:r w:rsidRPr="00B91437">
        <w:rPr>
          <w:rFonts w:cs="Arial"/>
          <w:i/>
          <w:iCs/>
        </w:rPr>
        <w:fldChar w:fldCharType="begin"/>
      </w:r>
      <w:r w:rsidRPr="00B91437">
        <w:rPr>
          <w:rFonts w:cs="Arial"/>
          <w:i/>
          <w:iCs/>
        </w:rPr>
        <w:instrText xml:space="preserve"> REF Schedule15Heading \h </w:instrText>
      </w:r>
      <w:r>
        <w:rPr>
          <w:rFonts w:cs="Arial"/>
          <w:i/>
          <w:iCs/>
        </w:rPr>
        <w:instrText xml:space="preserve"> \* MERGEFORMAT </w:instrText>
      </w:r>
      <w:r w:rsidRPr="00B91437">
        <w:rPr>
          <w:rFonts w:cs="Arial"/>
          <w:i/>
          <w:iCs/>
        </w:rPr>
      </w:r>
      <w:r w:rsidRPr="00B91437">
        <w:rPr>
          <w:rFonts w:cs="Arial"/>
          <w:i/>
          <w:iCs/>
        </w:rPr>
        <w:fldChar w:fldCharType="separate"/>
      </w:r>
      <w:r w:rsidR="00302D39" w:rsidRPr="00302D39">
        <w:rPr>
          <w:i/>
          <w:iCs/>
        </w:rPr>
        <w:t>Charges and Invoicing</w:t>
      </w:r>
      <w:r w:rsidRPr="00B91437">
        <w:rPr>
          <w:rFonts w:cs="Arial"/>
          <w:i/>
          <w:iCs/>
        </w:rPr>
        <w:fldChar w:fldCharType="end"/>
      </w:r>
      <w:r>
        <w:rPr>
          <w:rFonts w:cs="Arial"/>
        </w:rPr>
        <w:t>)</w:t>
      </w:r>
      <w:r w:rsidRPr="00D00D9A">
        <w:t>.</w:t>
      </w:r>
      <w:r>
        <w:t xml:space="preserve"> </w:t>
      </w:r>
      <w:r w:rsidRPr="00D00D9A">
        <w:t xml:space="preserve">The Supplier shall be entitled to increase the Charges only if it can demonstrate in the Impact Assessment that the proposed Contract Change requires additional resources and, in any event, any change to the Charges resulting from a Contract Change (whether the change will cause an increase or a decrease in the Charges) will be strictly proportionate to the increase or decrease in the level of resources required for the provision of the Services as amended by the </w:t>
      </w:r>
      <w:r w:rsidRPr="00A10867">
        <w:t>Contract Change.</w:t>
      </w:r>
    </w:p>
    <w:p w14:paraId="50FF2F1D" w14:textId="77777777" w:rsidR="00F67E9E" w:rsidRPr="00D35048" w:rsidRDefault="00F67E9E" w:rsidP="00F67E9E">
      <w:pPr>
        <w:pStyle w:val="Numbered11"/>
      </w:pPr>
      <w:bookmarkStart w:id="1598" w:name="_Ref_ContractCompanion_9kb9Us5DH"/>
      <w:bookmarkStart w:id="1599" w:name="_9kR3WTrAG99HNJENG5zWKtD5r21yFLMC83BRPD0"/>
      <w:r w:rsidRPr="00A10867">
        <w:t>Both Parties’ costs incurred in respect of any use of this Change Control Procedure as a result of any error or Default</w:t>
      </w:r>
      <w:r w:rsidRPr="00D35048">
        <w:t xml:space="preserve"> by the Supplier shall be paid for by the Supplier.</w:t>
      </w:r>
      <w:bookmarkEnd w:id="1598"/>
      <w:bookmarkEnd w:id="1599"/>
    </w:p>
    <w:p w14:paraId="68BF5A47" w14:textId="77777777" w:rsidR="00F67E9E" w:rsidRPr="00D35048" w:rsidRDefault="00F67E9E" w:rsidP="00F67E9E">
      <w:pPr>
        <w:pStyle w:val="Numbered1"/>
      </w:pPr>
      <w:bookmarkStart w:id="1600" w:name="_Ref_ContractCompanion_9kb9Us4CH"/>
      <w:bookmarkStart w:id="1601" w:name="_9kR3WTrAG98GNiJfifw5qEQNYtsz6yABBSHGW"/>
      <w:bookmarkStart w:id="1602" w:name="_Ref_ContractCompanion_9kb9Us798"/>
      <w:r w:rsidRPr="00D35048">
        <w:t xml:space="preserve">Change </w:t>
      </w:r>
      <w:r w:rsidRPr="00A10867">
        <w:t>Request</w:t>
      </w:r>
      <w:bookmarkEnd w:id="1600"/>
      <w:bookmarkEnd w:id="1601"/>
      <w:bookmarkEnd w:id="1602"/>
    </w:p>
    <w:p w14:paraId="0FF74178" w14:textId="134C50E1" w:rsidR="00F67E9E" w:rsidRPr="00D00D9A" w:rsidRDefault="00F67E9E" w:rsidP="00F67E9E">
      <w:pPr>
        <w:pStyle w:val="Numbered11"/>
      </w:pPr>
      <w:r w:rsidRPr="00D00D9A">
        <w:t>Either Party may issue a Change Request to the other Party at any time during the Term.</w:t>
      </w:r>
      <w:r>
        <w:t xml:space="preserve"> </w:t>
      </w:r>
      <w:r w:rsidRPr="00D00D9A">
        <w:t xml:space="preserve">A Change Request shall be substantially in the form of </w:t>
      </w:r>
      <w:r>
        <w:t xml:space="preserve">Annex </w:t>
      </w:r>
      <w:r>
        <w:fldChar w:fldCharType="begin"/>
      </w:r>
      <w:r>
        <w:instrText xml:space="preserve"> REF ANNEX1_SCHEDULE22 \h </w:instrText>
      </w:r>
      <w:r>
        <w:fldChar w:fldCharType="separate"/>
      </w:r>
      <w:r w:rsidR="00302D39" w:rsidRPr="00D00D9A">
        <w:t>1</w:t>
      </w:r>
      <w:r>
        <w:fldChar w:fldCharType="end"/>
      </w:r>
      <w:r w:rsidRPr="00D00D9A">
        <w:t xml:space="preserve"> and state whether the Party issuing the Change Request considers the proposed Contract Change to be a Fast-track Change.</w:t>
      </w:r>
    </w:p>
    <w:p w14:paraId="1B974CBF" w14:textId="77777777" w:rsidR="00F67E9E" w:rsidRPr="00D00D9A" w:rsidRDefault="00F67E9E" w:rsidP="00F67E9E">
      <w:pPr>
        <w:pStyle w:val="Numbered11"/>
      </w:pPr>
      <w:r w:rsidRPr="00D00D9A">
        <w:t>If the Supplier issues the Change Request, then it shall also provide an Impact Assessment to the Authority as soon as is reasonably practicable but in any event within 10 Working Days of the date of issuing the Change Request.</w:t>
      </w:r>
    </w:p>
    <w:p w14:paraId="1667FF0D" w14:textId="77777777" w:rsidR="00F67E9E" w:rsidRPr="00D00D9A" w:rsidRDefault="00F67E9E" w:rsidP="00F67E9E">
      <w:pPr>
        <w:pStyle w:val="Numbered11"/>
      </w:pPr>
      <w:bookmarkStart w:id="1603" w:name="_9kR3WTrAHA9HEBFUEwzlFQG40B69QGBMPCBRH3Z"/>
      <w:bookmarkStart w:id="1604" w:name="_9kR3WTrAG99HHEFUEwzlFQG40B69QGBMPCBRH3Z"/>
      <w:bookmarkStart w:id="1605" w:name="_Ref_ContractCompanion_9kb9Us5CH"/>
      <w:bookmarkStart w:id="1606" w:name="_Ref_ContractCompanion_9kb9Us5DB"/>
      <w:bookmarkStart w:id="1607" w:name="_Ref_ContractCompanion_9kb9Us7DC"/>
      <w:r w:rsidRPr="00D00D9A">
        <w:t>If the Authority issues the Change Request, then the Supplier shall provide as soon as reasonably practical and in any event within ten (10) Working Days of the date of receiving the Change Request an estimate (</w:t>
      </w:r>
      <w:r>
        <w:t>“</w:t>
      </w:r>
      <w:r w:rsidRPr="00D00D9A">
        <w:rPr>
          <w:rStyle w:val="StdBodyTextBoldChar"/>
          <w:rFonts w:eastAsiaTheme="majorEastAsia" w:cs="Arial"/>
        </w:rPr>
        <w:t>Impact Assessment</w:t>
      </w:r>
      <w:r w:rsidRPr="00D00D9A">
        <w:t xml:space="preserve"> </w:t>
      </w:r>
      <w:r w:rsidRPr="00D00D9A">
        <w:rPr>
          <w:rStyle w:val="StdBodyTextBoldChar"/>
          <w:rFonts w:eastAsiaTheme="majorEastAsia" w:cs="Arial"/>
        </w:rPr>
        <w:t>Estimate</w:t>
      </w:r>
      <w:r>
        <w:t>”</w:t>
      </w:r>
      <w:r w:rsidRPr="00D00D9A">
        <w:t>) of the cost of preparing an Impact Assessment and the timetable for preparing it.</w:t>
      </w:r>
      <w:bookmarkEnd w:id="1603"/>
      <w:bookmarkEnd w:id="1604"/>
      <w:r w:rsidRPr="00D00D9A">
        <w:t xml:space="preserve"> The timetable shall provide for the completed Impact Assessment to be received by the Authority within ten (10) Working Days of acceptance of the Impact Assessment Estimate or within any longer time period agreed by the Authority.</w:t>
      </w:r>
      <w:bookmarkEnd w:id="1605"/>
      <w:bookmarkEnd w:id="1606"/>
      <w:bookmarkEnd w:id="1607"/>
    </w:p>
    <w:p w14:paraId="2EB04A06" w14:textId="77777777" w:rsidR="00F67E9E" w:rsidRPr="00D00D9A" w:rsidRDefault="00F67E9E" w:rsidP="00F67E9E">
      <w:pPr>
        <w:pStyle w:val="Numbered11"/>
      </w:pPr>
      <w:r w:rsidRPr="00D00D9A">
        <w:t>If the Authority accepts an Impact Assessment Estimate then following receipt of notice of such acceptance the Supplier shall provide the completed Impact Assessment to the Authority as soon as is reasonably practicable and in any event within the period agreed in the Impact Assessment Estimate. If the Supplier requires any clarification in relation to the Change Request before it can deliver the Impact Assessment, then it shall promptly make a request for clarification to the Authority and provided that sufficient information is received by the Authority to fully understand:</w:t>
      </w:r>
    </w:p>
    <w:p w14:paraId="3C1499C7" w14:textId="77777777" w:rsidR="00F67E9E" w:rsidRPr="00A10867" w:rsidRDefault="00F67E9E" w:rsidP="00F67E9E">
      <w:pPr>
        <w:pStyle w:val="Numbered111"/>
      </w:pPr>
      <w:r w:rsidRPr="00D00D9A">
        <w:t xml:space="preserve">The </w:t>
      </w:r>
      <w:r w:rsidRPr="00A10867">
        <w:t>nature of the request for clarification; and</w:t>
      </w:r>
    </w:p>
    <w:p w14:paraId="7D5C39B6" w14:textId="77777777" w:rsidR="00F67E9E" w:rsidRPr="00D00D9A" w:rsidRDefault="00F67E9E" w:rsidP="00F67E9E">
      <w:pPr>
        <w:pStyle w:val="Numbered111"/>
      </w:pPr>
      <w:r w:rsidRPr="00A10867">
        <w:t>The reas</w:t>
      </w:r>
      <w:r w:rsidRPr="00D00D9A">
        <w:t>onable justification for the request;</w:t>
      </w:r>
    </w:p>
    <w:p w14:paraId="561EF3D3" w14:textId="77777777" w:rsidR="00F67E9E" w:rsidRPr="00D00D9A" w:rsidRDefault="00F67E9E" w:rsidP="00F67E9E">
      <w:pPr>
        <w:pStyle w:val="StdBodyText2"/>
        <w:rPr>
          <w:rFonts w:cs="Arial"/>
        </w:rPr>
      </w:pPr>
      <w:r w:rsidRPr="00D00D9A">
        <w:rPr>
          <w:rFonts w:cs="Arial"/>
        </w:rPr>
        <w:t>the time period to complete the Impact Assessment shall be extended by the time taken by the Authority to provide that clarification.</w:t>
      </w:r>
      <w:r>
        <w:rPr>
          <w:rFonts w:cs="Arial"/>
        </w:rPr>
        <w:t xml:space="preserve"> </w:t>
      </w:r>
      <w:r w:rsidRPr="00D00D9A">
        <w:rPr>
          <w:rFonts w:cs="Arial"/>
        </w:rPr>
        <w:t xml:space="preserve">The Authority shall respond to the request for clarification as soon as is reasonably practicable. </w:t>
      </w:r>
    </w:p>
    <w:p w14:paraId="7C7CD777" w14:textId="77777777" w:rsidR="00F67E9E" w:rsidRPr="00D00D9A" w:rsidRDefault="00F67E9E" w:rsidP="00F67E9E">
      <w:pPr>
        <w:pStyle w:val="Numbered1"/>
      </w:pPr>
      <w:bookmarkStart w:id="1608" w:name="_Ref_ContractCompanion_9kb9Us4CE"/>
      <w:bookmarkStart w:id="1609" w:name="_9kR3WTrAG98GKfJfifw5qEQOf4C1p988REFUPCE"/>
      <w:bookmarkStart w:id="1610" w:name="_Ref_ContractCompanion_9kb9Us783"/>
      <w:r w:rsidRPr="00A10867">
        <w:t>Impact</w:t>
      </w:r>
      <w:r w:rsidRPr="00D00D9A">
        <w:t xml:space="preserve"> Assessment</w:t>
      </w:r>
      <w:bookmarkEnd w:id="1608"/>
      <w:bookmarkEnd w:id="1609"/>
      <w:bookmarkEnd w:id="1610"/>
    </w:p>
    <w:p w14:paraId="5C62ED0F" w14:textId="77777777" w:rsidR="00F67E9E" w:rsidRPr="00D00D9A" w:rsidRDefault="00F67E9E" w:rsidP="00F67E9E">
      <w:pPr>
        <w:pStyle w:val="Numbered11"/>
      </w:pPr>
      <w:r w:rsidRPr="00D00D9A">
        <w:t>Each Impact Assessment shall be completed in good faith and shall include:</w:t>
      </w:r>
    </w:p>
    <w:p w14:paraId="5A2D49F7" w14:textId="77777777" w:rsidR="00F67E9E" w:rsidRPr="00A10867" w:rsidRDefault="00F67E9E" w:rsidP="00F67E9E">
      <w:pPr>
        <w:pStyle w:val="Numbered111"/>
      </w:pPr>
      <w:r w:rsidRPr="00D00D9A">
        <w:t xml:space="preserve">details </w:t>
      </w:r>
      <w:r w:rsidRPr="00A10867">
        <w:t>of the proposed Contract Change including the reason for the Contract Change; and</w:t>
      </w:r>
    </w:p>
    <w:p w14:paraId="167B69B1" w14:textId="77777777" w:rsidR="00F67E9E" w:rsidRPr="00A10867" w:rsidRDefault="00F67E9E" w:rsidP="00F67E9E">
      <w:pPr>
        <w:pStyle w:val="Numbered111"/>
      </w:pPr>
      <w:r w:rsidRPr="00A10867">
        <w:t>details of the impact of the proposed Contract Change on the Services, the Optional Services (if any) and the Supplier’s ability to meet its other obligations under this Contract;</w:t>
      </w:r>
    </w:p>
    <w:p w14:paraId="1792606E" w14:textId="77777777" w:rsidR="00F67E9E" w:rsidRPr="00D00D9A" w:rsidRDefault="00F67E9E" w:rsidP="00F67E9E">
      <w:pPr>
        <w:pStyle w:val="Numbered111"/>
      </w:pPr>
      <w:r w:rsidRPr="00A10867">
        <w:t>any variation</w:t>
      </w:r>
      <w:r w:rsidRPr="00D00D9A">
        <w:t xml:space="preserve"> to the terms of this Contract that will be required as a result of that impact, including changes to:</w:t>
      </w:r>
    </w:p>
    <w:p w14:paraId="658A071E" w14:textId="77777777" w:rsidR="00F67E9E" w:rsidRPr="00A10867" w:rsidRDefault="00F67E9E" w:rsidP="00F67E9E">
      <w:pPr>
        <w:pStyle w:val="Numbered111a"/>
      </w:pPr>
      <w:r w:rsidRPr="00D00D9A">
        <w:t xml:space="preserve">the </w:t>
      </w:r>
      <w:r w:rsidRPr="00A10867">
        <w:t>Services Description, the Performance Indicators and/or the Target Performance Levels;</w:t>
      </w:r>
    </w:p>
    <w:p w14:paraId="7B3FFBB6" w14:textId="77777777" w:rsidR="00F67E9E" w:rsidRPr="00A10867" w:rsidRDefault="00F67E9E" w:rsidP="00F67E9E">
      <w:pPr>
        <w:pStyle w:val="Numbered111a"/>
      </w:pPr>
      <w:r w:rsidRPr="00A10867">
        <w:t>the format of Authority Data, as set out in the Services Description;</w:t>
      </w:r>
    </w:p>
    <w:p w14:paraId="60A871F2" w14:textId="77777777" w:rsidR="00F67E9E" w:rsidRPr="00A10867" w:rsidRDefault="00F67E9E" w:rsidP="00F67E9E">
      <w:pPr>
        <w:pStyle w:val="Numbered111a"/>
      </w:pPr>
      <w:r w:rsidRPr="00A10867">
        <w:t>the Milestones, Implementation Plan and any other timetable previously agreed by the Parties;</w:t>
      </w:r>
    </w:p>
    <w:p w14:paraId="3928426E" w14:textId="77777777" w:rsidR="00F67E9E" w:rsidRPr="00D00D9A" w:rsidRDefault="00F67E9E" w:rsidP="00F67E9E">
      <w:pPr>
        <w:pStyle w:val="Numbered111a"/>
      </w:pPr>
      <w:r w:rsidRPr="00A10867">
        <w:t>other services provided by third party contractors to the Authority, including any changes required by the proposed Contract Change to the Authority’s IT infrastructure</w:t>
      </w:r>
      <w:r w:rsidRPr="00D00D9A">
        <w:t>;</w:t>
      </w:r>
    </w:p>
    <w:p w14:paraId="588956EB" w14:textId="77777777" w:rsidR="00F67E9E" w:rsidRPr="00A10867" w:rsidRDefault="00F67E9E" w:rsidP="00F67E9E">
      <w:pPr>
        <w:pStyle w:val="Numbered111"/>
      </w:pPr>
      <w:bookmarkStart w:id="1611" w:name="_Ref_ContractCompanion_9kb9Us5EE"/>
      <w:bookmarkStart w:id="1612" w:name="_9kR3WTrAG99IKHEndfwtjv6Ay47tp0HNK72AII8"/>
      <w:r w:rsidRPr="00D00D9A">
        <w:t xml:space="preserve">details </w:t>
      </w:r>
      <w:r w:rsidRPr="00A10867">
        <w:t>of the cost of implementing the proposed Contract Change;</w:t>
      </w:r>
      <w:bookmarkEnd w:id="1611"/>
      <w:bookmarkEnd w:id="1612"/>
    </w:p>
    <w:p w14:paraId="27D850DC" w14:textId="77777777" w:rsidR="00F67E9E" w:rsidRPr="00A10867" w:rsidRDefault="00F67E9E" w:rsidP="00F67E9E">
      <w:pPr>
        <w:pStyle w:val="Numbered111"/>
      </w:pPr>
      <w:bookmarkStart w:id="1613" w:name="_Ref_ContractCompanion_9kb9Ur25D"/>
      <w:r w:rsidRPr="00A10867">
        <w:t>details of the ongoing costs required by the proposed Contract Change when implemented, including any increase or decrease in the Charges, any alteration in the resources and/or expenditure required by either Party and any alteration to the working practices of either Party;</w:t>
      </w:r>
      <w:bookmarkEnd w:id="1613"/>
    </w:p>
    <w:p w14:paraId="30A2D972" w14:textId="77777777" w:rsidR="00F67E9E" w:rsidRPr="00A10867" w:rsidRDefault="00F67E9E" w:rsidP="00F67E9E">
      <w:pPr>
        <w:pStyle w:val="Numbered111"/>
      </w:pPr>
      <w:r w:rsidRPr="00A10867">
        <w:t>a timetable for the implementation, together with any proposals for the testing of the Contract Change;</w:t>
      </w:r>
    </w:p>
    <w:p w14:paraId="727CB5DD" w14:textId="77777777" w:rsidR="00F67E9E" w:rsidRPr="00A10867" w:rsidRDefault="00F67E9E" w:rsidP="00F67E9E">
      <w:pPr>
        <w:pStyle w:val="Numbered111"/>
      </w:pPr>
      <w:r w:rsidRPr="00A10867">
        <w:t>details of how the proposed Contract Change will ensure compliance with any applicable Change in Law; and</w:t>
      </w:r>
    </w:p>
    <w:p w14:paraId="3559DC1E" w14:textId="77777777" w:rsidR="00F67E9E" w:rsidRPr="00D00D9A" w:rsidRDefault="00F67E9E" w:rsidP="00F67E9E">
      <w:pPr>
        <w:pStyle w:val="Numbered111"/>
      </w:pPr>
      <w:r w:rsidRPr="00A10867">
        <w:t>such other information as the Authority may reasonably request in (or in response to) the Change</w:t>
      </w:r>
      <w:r w:rsidRPr="00D00D9A">
        <w:t xml:space="preserve"> Request.</w:t>
      </w:r>
    </w:p>
    <w:p w14:paraId="535E360D" w14:textId="77777777" w:rsidR="00F67E9E" w:rsidRPr="00D00D9A" w:rsidRDefault="00F67E9E" w:rsidP="00F67E9E">
      <w:pPr>
        <w:pStyle w:val="Numbered11"/>
      </w:pPr>
      <w:r w:rsidRPr="00D00D9A">
        <w:t xml:space="preserve">If the Contract Change involves the processing or transfer of any Personal Data outside the </w:t>
      </w:r>
      <w:r w:rsidRPr="00D664B2">
        <w:t>UK, in the event of the Personal Data being subject to UK GDPR, or the EU, in the event of the Personal Data being subject to EU GDPR</w:t>
      </w:r>
      <w:r w:rsidRPr="00D00D9A">
        <w:t xml:space="preserve">, the preparation of the Impact Assessment shall also be subject to </w:t>
      </w:r>
      <w:bookmarkStart w:id="1614" w:name="_9kMIH5YVt4EE7AFQEjtCx8L"/>
      <w:bookmarkStart w:id="1615" w:name="_9kMIH5YVt4EE7AHSEjtCx8L"/>
      <w:r w:rsidRPr="00A10867">
        <w:t>Clause</w:t>
      </w:r>
      <w:r w:rsidRPr="00D00D9A">
        <w:t xml:space="preserve"> 21</w:t>
      </w:r>
      <w:bookmarkEnd w:id="1614"/>
      <w:bookmarkEnd w:id="1615"/>
      <w:r w:rsidRPr="00D00D9A">
        <w:t xml:space="preserve"> (</w:t>
      </w:r>
      <w:r w:rsidRPr="00D00D9A">
        <w:rPr>
          <w:i/>
        </w:rPr>
        <w:t>Protection of Personal Data</w:t>
      </w:r>
      <w:r w:rsidRPr="00D00D9A">
        <w:t>).</w:t>
      </w:r>
    </w:p>
    <w:p w14:paraId="604C71AE" w14:textId="6A1B2220" w:rsidR="00F67E9E" w:rsidRPr="00D00D9A" w:rsidRDefault="00F67E9E" w:rsidP="00F67E9E">
      <w:pPr>
        <w:pStyle w:val="Numbered11"/>
      </w:pPr>
      <w:r w:rsidRPr="00D00D9A">
        <w:t xml:space="preserve">Subject to the provisions of </w:t>
      </w:r>
      <w:bookmarkStart w:id="1616" w:name="_9kMHG5YVtCIBBKJGJXGy1nHSI62D8BSIDPF1mhz"/>
      <w:r w:rsidRPr="00D00D9A">
        <w:t xml:space="preserve">Paragraph </w:t>
      </w:r>
      <w:r w:rsidRPr="00D00D9A">
        <w:fldChar w:fldCharType="begin"/>
      </w:r>
      <w:r w:rsidRPr="00D00D9A">
        <w:instrText xml:space="preserve"> REF _Ref_ContractCompanion_9kb9Us5EB \n \h \t \* MERGEFORMAT </w:instrText>
      </w:r>
      <w:r w:rsidRPr="00D00D9A">
        <w:fldChar w:fldCharType="separate"/>
      </w:r>
      <w:r w:rsidR="00302D39">
        <w:t>5.4</w:t>
      </w:r>
      <w:r w:rsidRPr="00D00D9A">
        <w:fldChar w:fldCharType="end"/>
      </w:r>
      <w:bookmarkEnd w:id="1616"/>
      <w:r w:rsidRPr="00D00D9A">
        <w:t xml:space="preserve">, the Authority shall review the Impact Assessment and respond to the Supplier in accordance with </w:t>
      </w:r>
      <w:bookmarkStart w:id="1617" w:name="_9kMIH5YVtCIBAIJeLhkhy7sGSRa6QEALGJaaULB"/>
      <w:r w:rsidRPr="00D00D9A">
        <w:t xml:space="preserve">Paragraph </w:t>
      </w:r>
      <w:r w:rsidRPr="00D00D9A">
        <w:fldChar w:fldCharType="begin"/>
      </w:r>
      <w:r w:rsidRPr="00D00D9A">
        <w:instrText xml:space="preserve"> REF _Ref_ContractCompanion_9kb9Us4CB \w \n \h \t \* MERGEFORMAT </w:instrText>
      </w:r>
      <w:r w:rsidRPr="00D00D9A">
        <w:fldChar w:fldCharType="separate"/>
      </w:r>
      <w:r w:rsidR="00302D39">
        <w:t>6</w:t>
      </w:r>
      <w:r w:rsidRPr="00D00D9A">
        <w:fldChar w:fldCharType="end"/>
      </w:r>
      <w:bookmarkEnd w:id="1617"/>
      <w:r w:rsidRPr="00D00D9A">
        <w:t xml:space="preserve"> within 15 Working Days of receiving the Impact </w:t>
      </w:r>
      <w:r w:rsidRPr="00A10867">
        <w:t>Assessment</w:t>
      </w:r>
      <w:r w:rsidRPr="00D00D9A">
        <w:t>, it.</w:t>
      </w:r>
    </w:p>
    <w:p w14:paraId="6FB1FBB2" w14:textId="505B0AFE" w:rsidR="00F67E9E" w:rsidRPr="00D00D9A" w:rsidRDefault="00F67E9E" w:rsidP="00F67E9E">
      <w:pPr>
        <w:pStyle w:val="Numbered11"/>
      </w:pPr>
      <w:bookmarkStart w:id="1618" w:name="_9kR3WTrAG99IHEHVEwzlFQG40B69QGBNDzkfxy5"/>
      <w:bookmarkStart w:id="1619" w:name="_Ref_ContractCompanion_9kb9Us5EB"/>
      <w:r w:rsidRPr="00D00D9A">
        <w:t xml:space="preserve">If the Authority </w:t>
      </w:r>
      <w:r w:rsidRPr="005C7D7B">
        <w:t xml:space="preserve">receives a proposed Contract Change from the Supplier </w:t>
      </w:r>
      <w:r w:rsidRPr="00D00D9A">
        <w:t>and the Authority reasonably considers that it requires further information regarding the proposed Contract Change so that it may properly evaluate the Change Request and the Impact Assessment, then within 5 Working Days of receiving the Impact Assessment, it shall notify the Supplier of this fact and detail the further information that it requires.</w:t>
      </w:r>
      <w:bookmarkEnd w:id="1618"/>
      <w:r>
        <w:t xml:space="preserve"> </w:t>
      </w:r>
      <w:r w:rsidRPr="00D00D9A">
        <w:t>The Supplier shall then re-issue the relevant Impact Assessment to the Authority within 10 Working Days of receiving such notification.</w:t>
      </w:r>
      <w:r>
        <w:t xml:space="preserve"> </w:t>
      </w:r>
      <w:r w:rsidRPr="00D00D9A">
        <w:t>At the Authority</w:t>
      </w:r>
      <w:r>
        <w:t>’</w:t>
      </w:r>
      <w:r w:rsidRPr="00D00D9A">
        <w:t xml:space="preserve">s discretion, the Parties may repeat the process described in this </w:t>
      </w:r>
      <w:bookmarkStart w:id="1620" w:name="_9kMIH5YVtCIBBKJGJXGy1nHSI62D8BSIDPF1mhz"/>
      <w:r w:rsidRPr="00D00D9A">
        <w:t xml:space="preserve">Paragraph </w:t>
      </w:r>
      <w:r w:rsidRPr="00D00D9A">
        <w:fldChar w:fldCharType="begin"/>
      </w:r>
      <w:r w:rsidRPr="00D00D9A">
        <w:instrText xml:space="preserve"> REF _Ref_ContractCompanion_9kb9Us5EB \n \h \t \* MERGEFORMAT </w:instrText>
      </w:r>
      <w:r w:rsidRPr="00D00D9A">
        <w:fldChar w:fldCharType="separate"/>
      </w:r>
      <w:r w:rsidR="00302D39">
        <w:t>5.4</w:t>
      </w:r>
      <w:r w:rsidRPr="00D00D9A">
        <w:fldChar w:fldCharType="end"/>
      </w:r>
      <w:bookmarkEnd w:id="1620"/>
      <w:r w:rsidRPr="00D00D9A">
        <w:t xml:space="preserve"> until the Authority is satisfied that it has sufficient information to properly evaluate the Change Request and Impact Assessment.</w:t>
      </w:r>
      <w:bookmarkEnd w:id="1619"/>
    </w:p>
    <w:p w14:paraId="1A11D38D" w14:textId="371C259B" w:rsidR="00F67E9E" w:rsidRPr="00D00D9A" w:rsidRDefault="00F67E9E" w:rsidP="00F67E9E">
      <w:pPr>
        <w:pStyle w:val="Numbered11"/>
      </w:pPr>
      <w:r w:rsidRPr="00D00D9A">
        <w:t xml:space="preserve">The calculation of costs for the purposes of </w:t>
      </w:r>
      <w:bookmarkStart w:id="1621" w:name="_9kMHG5YVtCIBBKMJGpfhyvlx8C069vr2JPM94CK"/>
      <w:r w:rsidRPr="00D00D9A">
        <w:t xml:space="preserve">Paragraphs </w:t>
      </w:r>
      <w:r w:rsidRPr="00D00D9A">
        <w:fldChar w:fldCharType="begin"/>
      </w:r>
      <w:r w:rsidRPr="00D00D9A">
        <w:instrText xml:space="preserve"> REF _Ref_ContractCompanion_9kb9Us5EE \w \h \t \* MERGEFORMAT </w:instrText>
      </w:r>
      <w:r w:rsidRPr="00D00D9A">
        <w:fldChar w:fldCharType="separate"/>
      </w:r>
      <w:r w:rsidR="00302D39">
        <w:t>5.1.4</w:t>
      </w:r>
      <w:r w:rsidRPr="00D00D9A">
        <w:fldChar w:fldCharType="end"/>
      </w:r>
      <w:bookmarkEnd w:id="1621"/>
      <w:r w:rsidRPr="00D00D9A">
        <w:t xml:space="preserve"> and </w:t>
      </w:r>
      <w:bookmarkStart w:id="1622" w:name="_9kR3WTr2CC6AAm"/>
      <w:r w:rsidRPr="00D00D9A">
        <w:fldChar w:fldCharType="begin"/>
      </w:r>
      <w:r w:rsidRPr="00D00D9A">
        <w:instrText xml:space="preserve"> REF _Ref_ContractCompanion_9kb9Ur25D \w \n \h \t \* MERGEFORMAT </w:instrText>
      </w:r>
      <w:r w:rsidRPr="00D00D9A">
        <w:fldChar w:fldCharType="separate"/>
      </w:r>
      <w:r w:rsidR="00302D39">
        <w:t>5.1.5</w:t>
      </w:r>
      <w:r w:rsidRPr="00D00D9A">
        <w:fldChar w:fldCharType="end"/>
      </w:r>
      <w:bookmarkEnd w:id="1622"/>
      <w:r w:rsidRPr="00D00D9A">
        <w:t xml:space="preserve"> shall:</w:t>
      </w:r>
    </w:p>
    <w:p w14:paraId="38ED93AD" w14:textId="77777777" w:rsidR="00F67E9E" w:rsidRPr="00A10867" w:rsidRDefault="00F67E9E" w:rsidP="00F67E9E">
      <w:pPr>
        <w:pStyle w:val="Numbered111"/>
      </w:pPr>
      <w:r w:rsidRPr="00D00D9A">
        <w:t xml:space="preserve">be </w:t>
      </w:r>
      <w:r w:rsidRPr="00A10867">
        <w:t>based on the Financial Model;</w:t>
      </w:r>
    </w:p>
    <w:p w14:paraId="0D472A51" w14:textId="77777777" w:rsidR="00F67E9E" w:rsidRPr="00A10867" w:rsidRDefault="00F67E9E" w:rsidP="00F67E9E">
      <w:pPr>
        <w:pStyle w:val="Numbered111"/>
      </w:pPr>
      <w:r w:rsidRPr="00A10867">
        <w:t>facilitate the Financial Transparency Objectives;</w:t>
      </w:r>
    </w:p>
    <w:p w14:paraId="7E2F306D" w14:textId="77777777" w:rsidR="00F67E9E" w:rsidRPr="00A10867" w:rsidRDefault="00F67E9E" w:rsidP="00F67E9E">
      <w:pPr>
        <w:pStyle w:val="Numbered111"/>
      </w:pPr>
      <w:r w:rsidRPr="00A10867">
        <w:t>include estimated volumes of each type of resource to be employed and the applicable rate card;</w:t>
      </w:r>
    </w:p>
    <w:p w14:paraId="7361BEFB" w14:textId="77777777" w:rsidR="00F67E9E" w:rsidRPr="00A10867" w:rsidRDefault="00F67E9E" w:rsidP="00F67E9E">
      <w:pPr>
        <w:pStyle w:val="Numbered111"/>
      </w:pPr>
      <w:r w:rsidRPr="00A10867">
        <w:t xml:space="preserve">include full disclosure of any assumptions underlying such Impact Assessment; </w:t>
      </w:r>
    </w:p>
    <w:p w14:paraId="07E886EB" w14:textId="77777777" w:rsidR="00F67E9E" w:rsidRPr="00A10867" w:rsidRDefault="00F67E9E" w:rsidP="00F67E9E">
      <w:pPr>
        <w:pStyle w:val="Numbered111"/>
      </w:pPr>
      <w:r w:rsidRPr="00A10867">
        <w:t>include evidence of the cost of any assets required for the Change; and</w:t>
      </w:r>
    </w:p>
    <w:p w14:paraId="7E8C8FDA" w14:textId="77777777" w:rsidR="00F67E9E" w:rsidRPr="00D00D9A" w:rsidRDefault="00F67E9E" w:rsidP="00F67E9E">
      <w:pPr>
        <w:pStyle w:val="Numbered111"/>
      </w:pPr>
      <w:r w:rsidRPr="00A10867">
        <w:t>include</w:t>
      </w:r>
      <w:r w:rsidRPr="00D00D9A">
        <w:t xml:space="preserve"> details of any new Sub-contracts necessary to accomplish the Change.</w:t>
      </w:r>
    </w:p>
    <w:p w14:paraId="71779E05" w14:textId="77777777" w:rsidR="00F67E9E" w:rsidRPr="00D00D9A" w:rsidRDefault="00F67E9E" w:rsidP="00F67E9E">
      <w:pPr>
        <w:pStyle w:val="Numbered1"/>
      </w:pPr>
      <w:bookmarkStart w:id="1623" w:name="_Ref_ContractCompanion_9kb9Us4CB"/>
      <w:bookmarkStart w:id="1624" w:name="_9kR3WTrAG98GHcJfifw5qEQPY4OC8JEHYYSJ99N"/>
      <w:r w:rsidRPr="00D00D9A">
        <w:t>Authority</w:t>
      </w:r>
      <w:r>
        <w:t>’</w:t>
      </w:r>
      <w:r w:rsidRPr="00D00D9A">
        <w:t xml:space="preserve">s Right </w:t>
      </w:r>
      <w:r>
        <w:t>o</w:t>
      </w:r>
      <w:r w:rsidRPr="00D00D9A">
        <w:t xml:space="preserve">f </w:t>
      </w:r>
      <w:r w:rsidRPr="00A10867">
        <w:t>Approval</w:t>
      </w:r>
      <w:bookmarkEnd w:id="1623"/>
      <w:bookmarkEnd w:id="1624"/>
    </w:p>
    <w:p w14:paraId="14F62187" w14:textId="50231AF4" w:rsidR="00F67E9E" w:rsidRPr="00D00D9A" w:rsidRDefault="00F67E9E" w:rsidP="00F67E9E">
      <w:pPr>
        <w:pStyle w:val="Numbered11"/>
      </w:pPr>
      <w:bookmarkStart w:id="1625" w:name="_Ref_ContractCompanion_9kb9Us5EH"/>
      <w:bookmarkStart w:id="1626" w:name="_9kR3WTrAG99INLFgVzzpwGMsjB8043UJBUL9DDz"/>
      <w:r w:rsidRPr="00D00D9A">
        <w:t xml:space="preserve">Within 15 Working Days of receiving the </w:t>
      </w:r>
      <w:r w:rsidRPr="00A10867">
        <w:t>Impact</w:t>
      </w:r>
      <w:r w:rsidRPr="00D00D9A">
        <w:t xml:space="preserve"> Assessment from the Supplier or within 10 Working Days of receiving the further information that it may request pursuant to </w:t>
      </w:r>
      <w:bookmarkStart w:id="1627" w:name="_9kMJI5YVtCIBBKJGJXGy1nHSI62D8BSIDPF1mhz"/>
      <w:r w:rsidRPr="00D00D9A">
        <w:t xml:space="preserve">Paragraph </w:t>
      </w:r>
      <w:r w:rsidRPr="00D00D9A">
        <w:fldChar w:fldCharType="begin"/>
      </w:r>
      <w:r w:rsidRPr="00D00D9A">
        <w:instrText xml:space="preserve"> REF _Ref_ContractCompanion_9kb9Us5EB \n \h \t \* MERGEFORMAT </w:instrText>
      </w:r>
      <w:r w:rsidRPr="00D00D9A">
        <w:fldChar w:fldCharType="separate"/>
      </w:r>
      <w:r w:rsidR="00302D39">
        <w:t>5.4</w:t>
      </w:r>
      <w:r w:rsidRPr="00D00D9A">
        <w:fldChar w:fldCharType="end"/>
      </w:r>
      <w:bookmarkEnd w:id="1627"/>
      <w:r w:rsidRPr="00D00D9A">
        <w:t>, the Authority shall evaluate the Change Request and the Impact Assessment and shall do one of the following:</w:t>
      </w:r>
      <w:bookmarkEnd w:id="1625"/>
      <w:bookmarkEnd w:id="1626"/>
    </w:p>
    <w:p w14:paraId="4170E753" w14:textId="7B1C82A0" w:rsidR="00F67E9E" w:rsidRPr="00D00D9A" w:rsidRDefault="00F67E9E" w:rsidP="00F67E9E">
      <w:pPr>
        <w:pStyle w:val="Numbered111"/>
      </w:pPr>
      <w:r w:rsidRPr="00D00D9A">
        <w:t xml:space="preserve">approve the proposed Contract Change, in which case the Parties shall follow the procedure set out in </w:t>
      </w:r>
      <w:bookmarkStart w:id="1628" w:name="_9kMJI5YVtCIBBJMLIVGy1nHSI62D8BSA2ILLQHF"/>
      <w:r w:rsidRPr="00A10867">
        <w:t>Paragraph</w:t>
      </w:r>
      <w:r w:rsidRPr="00D00D9A">
        <w:t xml:space="preserve"> </w:t>
      </w:r>
      <w:r w:rsidRPr="00D00D9A">
        <w:fldChar w:fldCharType="begin"/>
      </w:r>
      <w:r w:rsidRPr="00D00D9A">
        <w:instrText xml:space="preserve"> REF _Ref_ContractCompanion_9kb9Us5DE \n \h \t \* MERGEFORMAT </w:instrText>
      </w:r>
      <w:r w:rsidRPr="00D00D9A">
        <w:fldChar w:fldCharType="separate"/>
      </w:r>
      <w:r w:rsidR="00302D39">
        <w:t>6.2</w:t>
      </w:r>
      <w:r w:rsidRPr="00D00D9A">
        <w:fldChar w:fldCharType="end"/>
      </w:r>
      <w:bookmarkEnd w:id="1628"/>
      <w:r w:rsidRPr="00D00D9A">
        <w:t>;</w:t>
      </w:r>
    </w:p>
    <w:p w14:paraId="2367263C" w14:textId="77777777" w:rsidR="00F67E9E" w:rsidRPr="00D00D9A" w:rsidRDefault="00F67E9E" w:rsidP="00F67E9E">
      <w:pPr>
        <w:pStyle w:val="Numbered111"/>
      </w:pPr>
      <w:r w:rsidRPr="00D00D9A">
        <w:t>in its absolute discretion reject the Contract Change, in which case it shall notify the Supplier of the rejection.</w:t>
      </w:r>
      <w:r>
        <w:t xml:space="preserve"> </w:t>
      </w:r>
      <w:r w:rsidRPr="00D00D9A">
        <w:t>The Authority shall not reject any proposed Contract Change to the extent that the Contract Change is necessary for the Supplier or the Services to comply with any Changes in Law.</w:t>
      </w:r>
      <w:r>
        <w:t xml:space="preserve"> </w:t>
      </w:r>
      <w:r w:rsidRPr="00D00D9A">
        <w:t>If the Authority does reject a Contract Change, then it shall explain its reasons in writing to the Supplier as soon as is reasonably practicable following such rejection; or</w:t>
      </w:r>
    </w:p>
    <w:p w14:paraId="47327F6C" w14:textId="28F1C167" w:rsidR="00F67E9E" w:rsidRPr="00D00D9A" w:rsidRDefault="00F67E9E" w:rsidP="00F67E9E">
      <w:pPr>
        <w:pStyle w:val="Numbered111"/>
      </w:pPr>
      <w:r w:rsidRPr="00D00D9A">
        <w:t xml:space="preserve">in the event that it reasonably believes that a Change Request or Impact Assessment contains errors or omissions, require the Supplier to modify the relevant document accordingly, in which event the Supplier shall make such modifications within 5 Working Days of such request. Subject to </w:t>
      </w:r>
      <w:bookmarkStart w:id="1629" w:name="_9kMKJ5YVtCIBBKJGJXGy1nHSI62D8BSIDPF1mhz"/>
      <w:r w:rsidRPr="00D00D9A">
        <w:t xml:space="preserve">Paragraph </w:t>
      </w:r>
      <w:r w:rsidRPr="00D00D9A">
        <w:fldChar w:fldCharType="begin"/>
      </w:r>
      <w:r w:rsidRPr="00D00D9A">
        <w:instrText xml:space="preserve"> REF _Ref_ContractCompanion_9kb9Us5EB \n \h \t \* MERGEFORMAT </w:instrText>
      </w:r>
      <w:r w:rsidRPr="00D00D9A">
        <w:fldChar w:fldCharType="separate"/>
      </w:r>
      <w:r w:rsidR="00302D39">
        <w:t>5.4</w:t>
      </w:r>
      <w:r w:rsidRPr="00D00D9A">
        <w:fldChar w:fldCharType="end"/>
      </w:r>
      <w:bookmarkEnd w:id="1629"/>
      <w:r w:rsidRPr="00D00D9A">
        <w:t>, on receiving the modified Change Request and/or Impact Assessment, the Authority shall approve or reject the proposed Contract Change within 10 Working Days.</w:t>
      </w:r>
    </w:p>
    <w:p w14:paraId="774F31D7" w14:textId="411E0886" w:rsidR="00F67E9E" w:rsidRPr="00D00D9A" w:rsidRDefault="00F67E9E" w:rsidP="00F67E9E">
      <w:pPr>
        <w:pStyle w:val="Numbered11"/>
      </w:pPr>
      <w:bookmarkStart w:id="1630" w:name="_9kR3WTrAG99HKJGTEwzlFQG40B69Q80GJJOFDTJ"/>
      <w:bookmarkStart w:id="1631" w:name="_Ref_ContractCompanion_9kb9Us5DE"/>
      <w:bookmarkStart w:id="1632" w:name="_Ref141297267"/>
      <w:r w:rsidRPr="00D00D9A">
        <w:t xml:space="preserve">If the Authority approves the proposed Contract Change pursuant to </w:t>
      </w:r>
      <w:bookmarkStart w:id="1633" w:name="_9kMHG5YVtCIBBKPNHiX11ryIOulDA265WLDWNBF"/>
      <w:r w:rsidRPr="00D00D9A">
        <w:t xml:space="preserve">Paragraph </w:t>
      </w:r>
      <w:r w:rsidRPr="00D00D9A">
        <w:fldChar w:fldCharType="begin"/>
      </w:r>
      <w:r w:rsidRPr="00D00D9A">
        <w:instrText xml:space="preserve"> REF _Ref_ContractCompanion_9kb9Us5EH \n \h \t \* MERGEFORMAT </w:instrText>
      </w:r>
      <w:r w:rsidRPr="00D00D9A">
        <w:fldChar w:fldCharType="separate"/>
      </w:r>
      <w:r w:rsidR="00302D39">
        <w:t>6.1</w:t>
      </w:r>
      <w:r w:rsidRPr="00D00D9A">
        <w:fldChar w:fldCharType="end"/>
      </w:r>
      <w:bookmarkEnd w:id="1633"/>
      <w:r w:rsidRPr="00D00D9A">
        <w:t xml:space="preserve"> and it has not been rejected by the Supplier in accordance with </w:t>
      </w:r>
      <w:bookmarkStart w:id="1634" w:name="_9kMIH5YVtCIBAIGbLhkhy7sGSStOMIF93DSTKAA"/>
      <w:r w:rsidRPr="00D00D9A">
        <w:t xml:space="preserve">Paragraph </w:t>
      </w:r>
      <w:r w:rsidRPr="00D00D9A">
        <w:fldChar w:fldCharType="begin"/>
      </w:r>
      <w:r w:rsidRPr="00D00D9A">
        <w:instrText xml:space="preserve"> REF _Ref_ContractCompanion_9kb9Us4BH \w \n \h \t \* MERGEFORMAT </w:instrText>
      </w:r>
      <w:r w:rsidRPr="00D00D9A">
        <w:fldChar w:fldCharType="separate"/>
      </w:r>
      <w:r w:rsidR="00302D39">
        <w:t>6.3</w:t>
      </w:r>
      <w:r w:rsidRPr="00D00D9A">
        <w:fldChar w:fldCharType="end"/>
      </w:r>
      <w:bookmarkEnd w:id="1634"/>
      <w:r w:rsidRPr="00D00D9A">
        <w:t>, then it shall inform the Supplier and</w:t>
      </w:r>
      <w:r w:rsidRPr="00A8707E">
        <w:t xml:space="preserve">, unless otherwise directed by the Authority, </w:t>
      </w:r>
      <w:r w:rsidRPr="00D00D9A">
        <w:t>the Supplier</w:t>
      </w:r>
      <w:r>
        <w:t xml:space="preserve"> shall be the Drafting Party</w:t>
      </w:r>
      <w:r w:rsidRPr="00D00D9A">
        <w:t>.</w:t>
      </w:r>
      <w:bookmarkEnd w:id="1630"/>
      <w:r>
        <w:t xml:space="preserve"> </w:t>
      </w:r>
      <w:bookmarkEnd w:id="1631"/>
      <w:r w:rsidRPr="00FB63A1">
        <w:t>Following receipt by the Receiving Party of the Change Authorisation Note, it shall sign both copies and return one copy to the Drafting Party. Unless otherwise specified, on the Receiving Party's signature the Change Authorisation Note shall constitute (or, where the Authority has agreed to or required the implementation of a Change prior to signature of a Change Authorisation Note, shall constitute confirmation of) a binding variation to this Contract.</w:t>
      </w:r>
      <w:bookmarkEnd w:id="1632"/>
    </w:p>
    <w:p w14:paraId="3437FC9E" w14:textId="2DE6F9D4" w:rsidR="00F67E9E" w:rsidRPr="004278DC" w:rsidRDefault="00F67E9E" w:rsidP="00F67E9E">
      <w:pPr>
        <w:pStyle w:val="Numbered11"/>
      </w:pPr>
      <w:bookmarkStart w:id="1635" w:name="_Ref_ContractCompanion_9kb9Us4BH"/>
      <w:bookmarkStart w:id="1636" w:name="_9kR3WTrAG98GEZJfifw5qEQQrMKGD71BQRI88MU"/>
      <w:r w:rsidRPr="004278DC">
        <w:t>If the Receiving Party does not sign the Change Authorisation Note within 10 Working Days of receipt, then the Drafting Party shall have the right to notify the Receiving Party and if the Receiving Party does not sign the Change Authorisation Note within 5 Working Days of such notification, then the Drafting Party may refer the matter to the Expedited Dispute Timetable pursuant to the Dispute Resolution Procedure.</w:t>
      </w:r>
    </w:p>
    <w:p w14:paraId="62E30872" w14:textId="77777777" w:rsidR="00F67E9E" w:rsidRPr="00D00D9A" w:rsidRDefault="00F67E9E" w:rsidP="00F67E9E">
      <w:pPr>
        <w:pStyle w:val="Numbered1"/>
      </w:pPr>
      <w:r w:rsidRPr="00D00D9A">
        <w:t>Supplier</w:t>
      </w:r>
      <w:r>
        <w:t>’</w:t>
      </w:r>
      <w:r w:rsidRPr="00D00D9A">
        <w:t xml:space="preserve">s </w:t>
      </w:r>
      <w:r w:rsidRPr="00A10867">
        <w:t>Right</w:t>
      </w:r>
      <w:r w:rsidRPr="00D00D9A">
        <w:t xml:space="preserve"> </w:t>
      </w:r>
      <w:r>
        <w:t>o</w:t>
      </w:r>
      <w:r w:rsidRPr="00D00D9A">
        <w:t>f Approval</w:t>
      </w:r>
      <w:bookmarkEnd w:id="1635"/>
      <w:bookmarkEnd w:id="1636"/>
    </w:p>
    <w:p w14:paraId="3AC7EF75" w14:textId="77777777" w:rsidR="00F67E9E" w:rsidRPr="00D00D9A" w:rsidRDefault="00F67E9E" w:rsidP="00F67E9E">
      <w:pPr>
        <w:pStyle w:val="Numbered11"/>
      </w:pPr>
      <w:r w:rsidRPr="00D00D9A">
        <w:t>Following an Impact Assessment, if:</w:t>
      </w:r>
    </w:p>
    <w:p w14:paraId="233A2084" w14:textId="77777777" w:rsidR="00F67E9E" w:rsidRPr="00D00D9A" w:rsidRDefault="00F67E9E" w:rsidP="00F67E9E">
      <w:pPr>
        <w:pStyle w:val="Numbered111"/>
      </w:pPr>
      <w:r w:rsidRPr="00D00D9A">
        <w:t>the Supplier reasonably believes that any proposed Contract Change which is requested by the Authority would:</w:t>
      </w:r>
    </w:p>
    <w:p w14:paraId="07FE2699" w14:textId="77777777" w:rsidR="00F67E9E" w:rsidRPr="00A10867" w:rsidRDefault="00F67E9E" w:rsidP="00F67E9E">
      <w:pPr>
        <w:pStyle w:val="Numbered111a"/>
      </w:pPr>
      <w:r w:rsidRPr="00A10867">
        <w:t>materially and adversely affect the risks to the health and safety of any person; and/or</w:t>
      </w:r>
    </w:p>
    <w:p w14:paraId="3C1B695D" w14:textId="77777777" w:rsidR="00F67E9E" w:rsidRPr="00D00D9A" w:rsidRDefault="00F67E9E" w:rsidP="00F67E9E">
      <w:pPr>
        <w:pStyle w:val="Numbered111a"/>
      </w:pPr>
      <w:r w:rsidRPr="00A10867">
        <w:t>require the Services to be performed in a way that infringes any Law; and/or</w:t>
      </w:r>
    </w:p>
    <w:p w14:paraId="02A5EDF4" w14:textId="77777777" w:rsidR="00F67E9E" w:rsidRPr="00D00D9A" w:rsidRDefault="00F67E9E" w:rsidP="00F67E9E">
      <w:pPr>
        <w:pStyle w:val="Numbered111"/>
      </w:pPr>
      <w:r w:rsidRPr="00D00D9A">
        <w:t>the Supplier demonstrates to the Authority</w:t>
      </w:r>
      <w:r>
        <w:t>’</w:t>
      </w:r>
      <w:r w:rsidRPr="00D00D9A">
        <w:t>s reasonable satisfaction that the proposed Contract Change is technically impossible to implement and neither the Supplier Solution nor the Services Description state that the Supplier does have the technical capacity and flexibility required to implement the proposed Contract Change,</w:t>
      </w:r>
    </w:p>
    <w:p w14:paraId="32A662F6" w14:textId="42989C2A" w:rsidR="00F67E9E" w:rsidRPr="00D00D9A" w:rsidRDefault="00F67E9E" w:rsidP="00F67E9E">
      <w:pPr>
        <w:pStyle w:val="StdBodyText1"/>
        <w:rPr>
          <w:rFonts w:cs="Arial"/>
        </w:rPr>
      </w:pPr>
      <w:r w:rsidRPr="00D00D9A">
        <w:rPr>
          <w:rFonts w:cs="Arial"/>
        </w:rPr>
        <w:t xml:space="preserve">then the Supplier shall be entitled to reject the proposed Contract Change and shall notify the Authority of its reasons for doing so within 5 Working Days after the date on which it is obliged to deliver the Impact Assessment pursuant to </w:t>
      </w:r>
      <w:bookmarkStart w:id="1637" w:name="_9kMIH5YVtCIBBJJGHWGy1nHSI62D8BSIDOREDTJ"/>
      <w:r w:rsidRPr="00D00D9A">
        <w:rPr>
          <w:rFonts w:cs="Arial"/>
        </w:rPr>
        <w:t xml:space="preserve">Paragraph </w:t>
      </w:r>
      <w:r w:rsidRPr="00D00D9A">
        <w:rPr>
          <w:rFonts w:cs="Arial"/>
        </w:rPr>
        <w:fldChar w:fldCharType="begin"/>
      </w:r>
      <w:r w:rsidRPr="00D00D9A">
        <w:rPr>
          <w:rFonts w:cs="Arial"/>
        </w:rPr>
        <w:instrText xml:space="preserve"> REF _Ref_ContractCompanion_9kb9Us5DB \n \h \t \* MERGEFORMAT </w:instrText>
      </w:r>
      <w:r w:rsidRPr="00D00D9A">
        <w:rPr>
          <w:rFonts w:cs="Arial"/>
        </w:rPr>
      </w:r>
      <w:r w:rsidRPr="00D00D9A">
        <w:rPr>
          <w:rFonts w:cs="Arial"/>
        </w:rPr>
        <w:fldChar w:fldCharType="separate"/>
      </w:r>
      <w:r w:rsidR="00302D39">
        <w:rPr>
          <w:rFonts w:cs="Arial"/>
        </w:rPr>
        <w:t>4.3</w:t>
      </w:r>
      <w:r w:rsidRPr="00D00D9A">
        <w:rPr>
          <w:rFonts w:cs="Arial"/>
        </w:rPr>
        <w:fldChar w:fldCharType="end"/>
      </w:r>
      <w:bookmarkEnd w:id="1637"/>
      <w:r w:rsidRPr="00D00D9A">
        <w:rPr>
          <w:rFonts w:cs="Arial"/>
        </w:rPr>
        <w:t>.</w:t>
      </w:r>
    </w:p>
    <w:p w14:paraId="342F4F7C" w14:textId="77777777" w:rsidR="00F67E9E" w:rsidRPr="00D00D9A" w:rsidRDefault="00F67E9E" w:rsidP="00F67E9E">
      <w:pPr>
        <w:pStyle w:val="Numbered1"/>
      </w:pPr>
      <w:bookmarkStart w:id="1638" w:name="_Ref_ContractCompanion_9kb9Us5CE"/>
      <w:bookmarkStart w:id="1639" w:name="_9kR3WTrAG99GKMVftDFEwitusry5xA"/>
      <w:r w:rsidRPr="00D00D9A">
        <w:t xml:space="preserve">Fast-Track </w:t>
      </w:r>
      <w:r w:rsidRPr="00A10867">
        <w:t>Changes</w:t>
      </w:r>
      <w:bookmarkEnd w:id="1638"/>
      <w:bookmarkEnd w:id="1639"/>
    </w:p>
    <w:p w14:paraId="160929E8" w14:textId="77777777" w:rsidR="00F67E9E" w:rsidRPr="00A10867" w:rsidRDefault="00F67E9E" w:rsidP="00F67E9E">
      <w:pPr>
        <w:pStyle w:val="Numbered11"/>
      </w:pPr>
      <w:r w:rsidRPr="00D00D9A">
        <w:t xml:space="preserve">The Parties acknowledge that to ensure operational efficiency there may be circumstances where it is desirable to expedite the processes set out </w:t>
      </w:r>
      <w:r w:rsidRPr="00A10867">
        <w:t>above.</w:t>
      </w:r>
    </w:p>
    <w:p w14:paraId="7899654C" w14:textId="77777777" w:rsidR="00F67E9E" w:rsidRPr="00A10867" w:rsidRDefault="00F67E9E" w:rsidP="00F67E9E">
      <w:pPr>
        <w:pStyle w:val="Numbered11"/>
      </w:pPr>
      <w:bookmarkStart w:id="1640" w:name="_Ref_ContractCompanion_9kb9Us5EK"/>
      <w:bookmarkStart w:id="1641" w:name="_9kR3WTrAG9AA7GITE"/>
      <w:r w:rsidRPr="00A10867">
        <w:t>If:</w:t>
      </w:r>
      <w:bookmarkEnd w:id="1640"/>
      <w:bookmarkEnd w:id="1641"/>
    </w:p>
    <w:p w14:paraId="2FD00168" w14:textId="77777777" w:rsidR="00F67E9E" w:rsidRPr="00A10867" w:rsidRDefault="00F67E9E" w:rsidP="00F67E9E">
      <w:pPr>
        <w:pStyle w:val="Numbered111"/>
      </w:pPr>
      <w:r w:rsidRPr="00D00D9A">
        <w:t xml:space="preserve">the total number of Contract Changes in relation to which this Fast-track Change procedure has been applied does not </w:t>
      </w:r>
      <w:r w:rsidRPr="00A10867">
        <w:t xml:space="preserve">exceed 4 in any 12 month period; and </w:t>
      </w:r>
    </w:p>
    <w:p w14:paraId="59D2C2BA" w14:textId="77777777" w:rsidR="00F67E9E" w:rsidRPr="00D35048" w:rsidRDefault="00F67E9E" w:rsidP="00F67E9E">
      <w:pPr>
        <w:pStyle w:val="Numbered111"/>
      </w:pPr>
      <w:r w:rsidRPr="00A10867">
        <w:t>both Parties agree the value of the propos</w:t>
      </w:r>
      <w:r w:rsidRPr="00D00D9A">
        <w:t>ed Contract Change</w:t>
      </w:r>
      <w:r w:rsidRPr="00D35048">
        <w:t xml:space="preserve"> over the remaining Term and any period for which Termination Services may be required does not exceed </w:t>
      </w:r>
      <w:r w:rsidRPr="00401120">
        <w:t>£</w:t>
      </w:r>
      <w:r w:rsidRPr="00B73DD6">
        <w:rPr>
          <w:b/>
          <w:highlight w:val="yellow"/>
        </w:rPr>
        <w:t>[insert</w:t>
      </w:r>
      <w:r w:rsidRPr="008758E7">
        <w:rPr>
          <w:rStyle w:val="StdBodyTextBoldChar"/>
          <w:rFonts w:eastAsiaTheme="majorEastAsia" w:cs="Arial"/>
          <w:b w:val="0"/>
          <w:bCs/>
          <w:highlight w:val="yellow"/>
        </w:rPr>
        <w:t xml:space="preserve"> figure</w:t>
      </w:r>
      <w:r w:rsidRPr="00D35048">
        <w:rPr>
          <w:highlight w:val="yellow"/>
        </w:rPr>
        <w:t>]</w:t>
      </w:r>
      <w:r w:rsidRPr="00D35048">
        <w:t xml:space="preserve"> and the </w:t>
      </w:r>
      <w:r w:rsidRPr="00D00D9A">
        <w:t>proposed Contract Change is not significant (as determined by the Authority acting reasonably</w:t>
      </w:r>
      <w:r w:rsidRPr="00D35048">
        <w:t>),</w:t>
      </w:r>
    </w:p>
    <w:p w14:paraId="05855282" w14:textId="75E94A75" w:rsidR="00F67E9E" w:rsidRPr="00D00D9A" w:rsidRDefault="00F67E9E" w:rsidP="00F67E9E">
      <w:pPr>
        <w:pStyle w:val="StdBodyText2"/>
        <w:rPr>
          <w:rFonts w:cs="Arial"/>
        </w:rPr>
      </w:pPr>
      <w:r w:rsidRPr="00D00D9A">
        <w:rPr>
          <w:rFonts w:cs="Arial"/>
        </w:rPr>
        <w:t xml:space="preserve">then the Parties shall confirm to each other in writing that they shall use the process set out in </w:t>
      </w:r>
      <w:bookmarkStart w:id="1642" w:name="_9kMIH5YVtCIBAIPkLhkhy7sGSPavu180CDDUJIY"/>
      <w:r w:rsidRPr="00D00D9A">
        <w:rPr>
          <w:rFonts w:cs="Arial"/>
        </w:rPr>
        <w:t xml:space="preserve">Paragraphs </w:t>
      </w:r>
      <w:r w:rsidRPr="00D00D9A">
        <w:rPr>
          <w:rFonts w:cs="Arial"/>
        </w:rPr>
        <w:fldChar w:fldCharType="begin"/>
      </w:r>
      <w:r w:rsidRPr="00D00D9A">
        <w:rPr>
          <w:rFonts w:cs="Arial"/>
        </w:rPr>
        <w:instrText xml:space="preserve"> REF _Ref_ContractCompanion_9kb9Us4CH \w \n \h \t \* MERGEFORMAT </w:instrText>
      </w:r>
      <w:r w:rsidRPr="00D00D9A">
        <w:rPr>
          <w:rFonts w:cs="Arial"/>
        </w:rPr>
      </w:r>
      <w:r w:rsidRPr="00D00D9A">
        <w:rPr>
          <w:rFonts w:cs="Arial"/>
        </w:rPr>
        <w:fldChar w:fldCharType="separate"/>
      </w:r>
      <w:r w:rsidR="00302D39">
        <w:rPr>
          <w:rFonts w:cs="Arial"/>
        </w:rPr>
        <w:t>4</w:t>
      </w:r>
      <w:r w:rsidRPr="00D00D9A">
        <w:rPr>
          <w:rFonts w:cs="Arial"/>
        </w:rPr>
        <w:fldChar w:fldCharType="end"/>
      </w:r>
      <w:bookmarkEnd w:id="1642"/>
      <w:r w:rsidRPr="00D00D9A">
        <w:rPr>
          <w:rFonts w:cs="Arial"/>
        </w:rPr>
        <w:t xml:space="preserve">, </w:t>
      </w:r>
      <w:bookmarkStart w:id="1643" w:name="_9kMJI5YVtCIBAIMhLhkhy7sGSQh6E3rBAATGHWR"/>
      <w:r w:rsidRPr="00D00D9A">
        <w:rPr>
          <w:rFonts w:cs="Arial"/>
        </w:rPr>
        <w:fldChar w:fldCharType="begin"/>
      </w:r>
      <w:r w:rsidRPr="00D00D9A">
        <w:rPr>
          <w:rFonts w:cs="Arial"/>
        </w:rPr>
        <w:instrText xml:space="preserve"> REF _Ref_ContractCompanion_9kb9Us4CE \w \n \h \t \* MERGEFORMAT </w:instrText>
      </w:r>
      <w:r w:rsidRPr="00D00D9A">
        <w:rPr>
          <w:rFonts w:cs="Arial"/>
        </w:rPr>
      </w:r>
      <w:r w:rsidRPr="00D00D9A">
        <w:rPr>
          <w:rFonts w:cs="Arial"/>
        </w:rPr>
        <w:fldChar w:fldCharType="separate"/>
      </w:r>
      <w:r w:rsidR="00302D39">
        <w:rPr>
          <w:rFonts w:cs="Arial"/>
        </w:rPr>
        <w:t>5</w:t>
      </w:r>
      <w:r w:rsidRPr="00D00D9A">
        <w:rPr>
          <w:rFonts w:cs="Arial"/>
        </w:rPr>
        <w:fldChar w:fldCharType="end"/>
      </w:r>
      <w:bookmarkEnd w:id="1643"/>
      <w:r w:rsidRPr="00D00D9A">
        <w:rPr>
          <w:rFonts w:cs="Arial"/>
        </w:rPr>
        <w:t xml:space="preserve">, </w:t>
      </w:r>
      <w:bookmarkStart w:id="1644" w:name="_9kMJI5YVtCIBAIJeLhkhy7sGSRa6QEALGJaaULB"/>
      <w:r w:rsidRPr="00D00D9A">
        <w:rPr>
          <w:rFonts w:cs="Arial"/>
        </w:rPr>
        <w:fldChar w:fldCharType="begin"/>
      </w:r>
      <w:r w:rsidRPr="00D00D9A">
        <w:rPr>
          <w:rFonts w:cs="Arial"/>
        </w:rPr>
        <w:instrText xml:space="preserve"> REF _Ref_ContractCompanion_9kb9Us4CB \w \n \h \t \* MERGEFORMAT </w:instrText>
      </w:r>
      <w:r w:rsidRPr="00D00D9A">
        <w:rPr>
          <w:rFonts w:cs="Arial"/>
        </w:rPr>
      </w:r>
      <w:r w:rsidRPr="00D00D9A">
        <w:rPr>
          <w:rFonts w:cs="Arial"/>
        </w:rPr>
        <w:fldChar w:fldCharType="separate"/>
      </w:r>
      <w:r w:rsidR="00302D39">
        <w:rPr>
          <w:rFonts w:cs="Arial"/>
        </w:rPr>
        <w:t>6</w:t>
      </w:r>
      <w:r w:rsidRPr="00D00D9A">
        <w:rPr>
          <w:rFonts w:cs="Arial"/>
        </w:rPr>
        <w:fldChar w:fldCharType="end"/>
      </w:r>
      <w:bookmarkEnd w:id="1644"/>
      <w:r w:rsidRPr="00D00D9A">
        <w:rPr>
          <w:rFonts w:cs="Arial"/>
        </w:rPr>
        <w:t xml:space="preserve"> and </w:t>
      </w:r>
      <w:bookmarkStart w:id="1645" w:name="_9kMJI5YVtCIBAIGbLhkhy7sGSStOMIF93DSTKAA"/>
      <w:r w:rsidRPr="00D00D9A">
        <w:rPr>
          <w:rFonts w:cs="Arial"/>
        </w:rPr>
        <w:fldChar w:fldCharType="begin"/>
      </w:r>
      <w:r w:rsidRPr="00D00D9A">
        <w:rPr>
          <w:rFonts w:cs="Arial"/>
        </w:rPr>
        <w:instrText xml:space="preserve"> REF _Ref_ContractCompanion_9kb9Us4BH \w \n \h \t \* MERGEFORMAT </w:instrText>
      </w:r>
      <w:r w:rsidRPr="00D00D9A">
        <w:rPr>
          <w:rFonts w:cs="Arial"/>
        </w:rPr>
      </w:r>
      <w:r w:rsidRPr="00D00D9A">
        <w:rPr>
          <w:rFonts w:cs="Arial"/>
        </w:rPr>
        <w:fldChar w:fldCharType="separate"/>
      </w:r>
      <w:r w:rsidR="00302D39">
        <w:rPr>
          <w:rFonts w:cs="Arial"/>
        </w:rPr>
        <w:t>6.3</w:t>
      </w:r>
      <w:r w:rsidRPr="00D00D9A">
        <w:rPr>
          <w:rFonts w:cs="Arial"/>
        </w:rPr>
        <w:fldChar w:fldCharType="end"/>
      </w:r>
      <w:bookmarkEnd w:id="1645"/>
      <w:r w:rsidRPr="00D00D9A">
        <w:rPr>
          <w:rFonts w:cs="Arial"/>
        </w:rPr>
        <w:t xml:space="preserve"> but with reduced timescales, such that any period of 15 Working Days is reduced to 5 Working Days, any period of 10 Working Days is reduced to 2 Working Days and any period of 5 Working Days is reduced to 1 Working Day.</w:t>
      </w:r>
    </w:p>
    <w:p w14:paraId="66BAFF25" w14:textId="01CC840F" w:rsidR="00F67E9E" w:rsidRPr="00D00D9A" w:rsidRDefault="00F67E9E" w:rsidP="00F67E9E">
      <w:pPr>
        <w:pStyle w:val="Numbered11"/>
      </w:pPr>
      <w:r w:rsidRPr="00D00D9A">
        <w:t xml:space="preserve">The Parties may agree in writing to revise the parameters set out in </w:t>
      </w:r>
      <w:bookmarkStart w:id="1646" w:name="_9kMHG5YVtCIBCC9IKVG"/>
      <w:r w:rsidRPr="00D00D9A">
        <w:t xml:space="preserve">Paragraph </w:t>
      </w:r>
      <w:r w:rsidRPr="00D00D9A">
        <w:fldChar w:fldCharType="begin"/>
      </w:r>
      <w:r w:rsidRPr="00D00D9A">
        <w:instrText xml:space="preserve"> REF _Ref_ContractCompanion_9kb9Us5EK \n \h \t \* MERGEFORMAT </w:instrText>
      </w:r>
      <w:r w:rsidRPr="00D00D9A">
        <w:fldChar w:fldCharType="separate"/>
      </w:r>
      <w:r w:rsidR="00302D39">
        <w:t>8.2</w:t>
      </w:r>
      <w:r w:rsidRPr="00D00D9A">
        <w:fldChar w:fldCharType="end"/>
      </w:r>
      <w:bookmarkEnd w:id="1646"/>
      <w:r w:rsidRPr="00D00D9A">
        <w:t xml:space="preserve"> from time to time or that the Fast-track Change procedure shall be used in relation to a particular Contract Change notwithstanding that the total number of Contract Changes to which such procedure is applied will then </w:t>
      </w:r>
      <w:r w:rsidRPr="00A10867">
        <w:t>exceed</w:t>
      </w:r>
      <w:r w:rsidRPr="00D00D9A">
        <w:t xml:space="preserve"> 4 in a 12 month period.</w:t>
      </w:r>
    </w:p>
    <w:p w14:paraId="2EDB17F1" w14:textId="77777777" w:rsidR="00F67E9E" w:rsidRPr="00D00D9A" w:rsidRDefault="00F67E9E" w:rsidP="00F67E9E">
      <w:pPr>
        <w:pStyle w:val="Numbered1"/>
      </w:pPr>
      <w:bookmarkStart w:id="1647" w:name="_Ref_ContractCompanion_9kb9Us4BE"/>
      <w:bookmarkStart w:id="1648" w:name="_9kR3WTrAG98FKgJfifw5qEQSpD4747GCI54743A"/>
      <w:r w:rsidRPr="00D00D9A">
        <w:t xml:space="preserve">Operational Change </w:t>
      </w:r>
      <w:r w:rsidRPr="00A10867">
        <w:t>Procedure</w:t>
      </w:r>
      <w:bookmarkEnd w:id="1647"/>
      <w:bookmarkEnd w:id="1648"/>
    </w:p>
    <w:p w14:paraId="263248CD" w14:textId="77777777" w:rsidR="00F67E9E" w:rsidRPr="00D00D9A" w:rsidRDefault="00F67E9E" w:rsidP="00F67E9E">
      <w:pPr>
        <w:pStyle w:val="Numbered11"/>
      </w:pPr>
      <w:r w:rsidRPr="00D00D9A">
        <w:t xml:space="preserve">Any Operational Changes identified by the Supplier to improve operational efficiency of the Services may be implemented by the Supplier without following the Change Control Procedure for proposed Contract Changes </w:t>
      </w:r>
      <w:r w:rsidRPr="00A10867">
        <w:t>provided</w:t>
      </w:r>
      <w:r w:rsidRPr="00D00D9A">
        <w:t xml:space="preserve"> they do not:</w:t>
      </w:r>
    </w:p>
    <w:p w14:paraId="721FA88D" w14:textId="77777777" w:rsidR="00F67E9E" w:rsidRPr="00D00D9A" w:rsidRDefault="00F67E9E" w:rsidP="00F67E9E">
      <w:pPr>
        <w:pStyle w:val="Numbered111"/>
      </w:pPr>
      <w:r w:rsidRPr="00D00D9A">
        <w:t>have an impact on the business of the Authority;</w:t>
      </w:r>
    </w:p>
    <w:p w14:paraId="43921F62" w14:textId="77777777" w:rsidR="00F67E9E" w:rsidRPr="00A10867" w:rsidRDefault="00F67E9E" w:rsidP="00F67E9E">
      <w:pPr>
        <w:pStyle w:val="Numbered111"/>
      </w:pPr>
      <w:r w:rsidRPr="00D00D9A">
        <w:t xml:space="preserve">require a </w:t>
      </w:r>
      <w:r w:rsidRPr="00A10867">
        <w:t>change to this Contract;</w:t>
      </w:r>
    </w:p>
    <w:p w14:paraId="57CADDAC" w14:textId="77777777" w:rsidR="00F67E9E" w:rsidRPr="00A10867" w:rsidRDefault="00F67E9E" w:rsidP="00F67E9E">
      <w:pPr>
        <w:pStyle w:val="Numbered111"/>
      </w:pPr>
      <w:r w:rsidRPr="00A10867">
        <w:t>have a direct impact on use of the Services; or</w:t>
      </w:r>
    </w:p>
    <w:p w14:paraId="1CA6FEFB" w14:textId="77777777" w:rsidR="00F67E9E" w:rsidRPr="00D00D9A" w:rsidRDefault="00F67E9E" w:rsidP="00F67E9E">
      <w:pPr>
        <w:pStyle w:val="Numbered111"/>
      </w:pPr>
      <w:r w:rsidRPr="00A10867">
        <w:t>involve the A</w:t>
      </w:r>
      <w:r w:rsidRPr="00D00D9A">
        <w:t>uthority in paying any additional Charges or other costs.</w:t>
      </w:r>
    </w:p>
    <w:p w14:paraId="4D90A173" w14:textId="77777777" w:rsidR="00F67E9E" w:rsidRPr="00D00D9A" w:rsidRDefault="00F67E9E" w:rsidP="00F67E9E">
      <w:pPr>
        <w:pStyle w:val="Numbered11"/>
      </w:pPr>
      <w:r w:rsidRPr="00D00D9A">
        <w:t>The Authority may request an Operational Change by submitting a written request for Operational Change (</w:t>
      </w:r>
      <w:r>
        <w:t>“</w:t>
      </w:r>
      <w:r w:rsidRPr="00D00D9A">
        <w:rPr>
          <w:rStyle w:val="StdBodyTextBoldChar"/>
          <w:rFonts w:eastAsiaTheme="majorEastAsia" w:cs="Arial"/>
        </w:rPr>
        <w:t>RFOC</w:t>
      </w:r>
      <w:r>
        <w:t>”</w:t>
      </w:r>
      <w:r w:rsidRPr="00D00D9A">
        <w:t>) to the Supplier Representative.</w:t>
      </w:r>
    </w:p>
    <w:p w14:paraId="408E9072" w14:textId="77777777" w:rsidR="00F67E9E" w:rsidRPr="00D00D9A" w:rsidRDefault="00F67E9E" w:rsidP="00F67E9E">
      <w:pPr>
        <w:pStyle w:val="Numbered11"/>
      </w:pPr>
      <w:r w:rsidRPr="00D00D9A">
        <w:t>The RFOC shall include the following details:</w:t>
      </w:r>
    </w:p>
    <w:p w14:paraId="38482CD2" w14:textId="77777777" w:rsidR="00F67E9E" w:rsidRPr="00A10867" w:rsidRDefault="00F67E9E" w:rsidP="00F67E9E">
      <w:pPr>
        <w:pStyle w:val="Numbered111"/>
      </w:pPr>
      <w:r w:rsidRPr="00A10867">
        <w:t>the proposed Operational Change; and</w:t>
      </w:r>
    </w:p>
    <w:p w14:paraId="43EC5219" w14:textId="77777777" w:rsidR="00F67E9E" w:rsidRPr="00D00D9A" w:rsidRDefault="00F67E9E" w:rsidP="00F67E9E">
      <w:pPr>
        <w:pStyle w:val="Numbered111"/>
      </w:pPr>
      <w:r w:rsidRPr="00A10867">
        <w:t>the</w:t>
      </w:r>
      <w:r w:rsidRPr="00D00D9A">
        <w:t xml:space="preserve"> time-scale for completion of the Operational Change.</w:t>
      </w:r>
    </w:p>
    <w:p w14:paraId="5C1672CE" w14:textId="77777777" w:rsidR="00F67E9E" w:rsidRPr="00D00D9A" w:rsidRDefault="00F67E9E" w:rsidP="00F67E9E">
      <w:pPr>
        <w:pStyle w:val="Numbered11"/>
      </w:pPr>
      <w:r w:rsidRPr="00D00D9A">
        <w:t>The Supplier shall inform the Authority of any impact on the Services that may arise from the proposed Operational Change.</w:t>
      </w:r>
    </w:p>
    <w:p w14:paraId="643F2DFD" w14:textId="77777777" w:rsidR="00F67E9E" w:rsidRPr="00D00D9A" w:rsidRDefault="00F67E9E" w:rsidP="00F67E9E">
      <w:pPr>
        <w:pStyle w:val="Numbered11"/>
      </w:pPr>
      <w:r w:rsidRPr="00D00D9A">
        <w:t>The Supplier shall complete the Operational Change by the timescale specified for completion of the Operational Change in the RFOC, and shall promptly notify the Authority when the Operational Change is completed.</w:t>
      </w:r>
    </w:p>
    <w:p w14:paraId="66D424FD" w14:textId="77777777" w:rsidR="00F67E9E" w:rsidRPr="00D00D9A" w:rsidRDefault="00F67E9E" w:rsidP="00F67E9E">
      <w:pPr>
        <w:pStyle w:val="Numbered1"/>
      </w:pPr>
      <w:r w:rsidRPr="00D00D9A">
        <w:t>Communications</w:t>
      </w:r>
    </w:p>
    <w:p w14:paraId="739BF531" w14:textId="77777777" w:rsidR="00F67E9E" w:rsidRDefault="00F67E9E" w:rsidP="00F67E9E">
      <w:pPr>
        <w:pStyle w:val="Numbered11"/>
      </w:pPr>
      <w:r w:rsidRPr="00D00D9A">
        <w:t xml:space="preserve">For any Change Communication to be valid under this Schedule, it must be sent to either the Authority Change Manager or the Supplier Change Manager, as applicable. The provisions of </w:t>
      </w:r>
      <w:bookmarkStart w:id="1649" w:name="_9kR3WTr2CC6ABLChrAv8M"/>
      <w:r w:rsidRPr="00D00D9A">
        <w:t>Clause 42</w:t>
      </w:r>
      <w:bookmarkEnd w:id="1649"/>
      <w:r w:rsidRPr="00D00D9A">
        <w:t xml:space="preserve"> (</w:t>
      </w:r>
      <w:r w:rsidRPr="00D00D9A">
        <w:rPr>
          <w:i/>
        </w:rPr>
        <w:t>Notices</w:t>
      </w:r>
      <w:r w:rsidRPr="00D00D9A">
        <w:t>) shall apply to a Change Communication as if it were a notice.</w:t>
      </w:r>
    </w:p>
    <w:p w14:paraId="411A5F99" w14:textId="77777777" w:rsidR="00F67E9E" w:rsidRDefault="00F67E9E" w:rsidP="00F67E9E"/>
    <w:p w14:paraId="2BD241BB" w14:textId="77777777" w:rsidR="00F67E9E" w:rsidRPr="000B6F69" w:rsidRDefault="00F67E9E" w:rsidP="00F67E9E">
      <w:pPr>
        <w:pStyle w:val="Heading2"/>
        <w:pageBreakBefore/>
      </w:pPr>
      <w:bookmarkStart w:id="1650" w:name="_Ref_ContractCompanion_9kb9Ur7CC"/>
      <w:bookmarkStart w:id="1651" w:name="_Ref_ContractCompanion_9kb9Ur7CE"/>
      <w:bookmarkStart w:id="1652" w:name="_Ref_ContractCompanion_9kb9Ur7DB"/>
      <w:bookmarkStart w:id="1653" w:name="_Toc141711966"/>
      <w:r w:rsidRPr="000038E2">
        <w:t>Annex</w:t>
      </w:r>
      <w:r>
        <w:t> </w:t>
      </w:r>
      <w:bookmarkStart w:id="1654" w:name="ANNEX1_SCHEDULE22"/>
      <w:r w:rsidRPr="00D00D9A">
        <w:t>1</w:t>
      </w:r>
      <w:bookmarkEnd w:id="1654"/>
      <w:r w:rsidRPr="00D00D9A">
        <w:t xml:space="preserve">: </w:t>
      </w:r>
      <w:bookmarkStart w:id="1655" w:name="Annex1HEADINGSCHEDULE22"/>
      <w:r w:rsidRPr="00D00D9A">
        <w:t>Change Request Form</w:t>
      </w:r>
      <w:bookmarkEnd w:id="1650"/>
      <w:bookmarkEnd w:id="1651"/>
      <w:bookmarkEnd w:id="1652"/>
      <w:bookmarkEnd w:id="1653"/>
      <w:bookmarkEnd w:id="1655"/>
    </w:p>
    <w:tbl>
      <w:tblPr>
        <w:tblStyle w:val="TableGrid"/>
        <w:tblW w:w="10205" w:type="dxa"/>
        <w:tblCellMar>
          <w:top w:w="57" w:type="dxa"/>
          <w:left w:w="57" w:type="dxa"/>
          <w:bottom w:w="57" w:type="dxa"/>
          <w:right w:w="57" w:type="dxa"/>
        </w:tblCellMar>
        <w:tblLook w:val="04A0" w:firstRow="1" w:lastRow="0" w:firstColumn="1" w:lastColumn="0" w:noHBand="0" w:noVBand="1"/>
      </w:tblPr>
      <w:tblGrid>
        <w:gridCol w:w="2547"/>
        <w:gridCol w:w="854"/>
        <w:gridCol w:w="903"/>
        <w:gridCol w:w="1436"/>
        <w:gridCol w:w="480"/>
        <w:gridCol w:w="3985"/>
      </w:tblGrid>
      <w:tr w:rsidR="00F67E9E" w:rsidRPr="00D00D9A" w14:paraId="2592EE11" w14:textId="77777777" w:rsidTr="007F74AA">
        <w:trPr>
          <w:trHeight w:val="20"/>
        </w:trPr>
        <w:tc>
          <w:tcPr>
            <w:tcW w:w="2547" w:type="dxa"/>
          </w:tcPr>
          <w:p w14:paraId="3C3071E9" w14:textId="77777777" w:rsidR="00F67E9E" w:rsidRPr="00D00D9A" w:rsidRDefault="00F67E9E" w:rsidP="007F74AA">
            <w:pPr>
              <w:pStyle w:val="StdBodyText"/>
              <w:spacing w:before="0" w:after="0"/>
              <w:rPr>
                <w:rFonts w:cs="Arial"/>
                <w:sz w:val="24"/>
              </w:rPr>
            </w:pPr>
            <w:r w:rsidRPr="00D00D9A">
              <w:rPr>
                <w:rFonts w:cs="Arial"/>
                <w:sz w:val="24"/>
              </w:rPr>
              <w:t>CR N</w:t>
            </w:r>
            <w:r>
              <w:rPr>
                <w:rFonts w:cs="Arial"/>
                <w:sz w:val="24"/>
              </w:rPr>
              <w:t>o</w:t>
            </w:r>
            <w:r w:rsidRPr="00D00D9A">
              <w:rPr>
                <w:rFonts w:cs="Arial"/>
                <w:sz w:val="24"/>
              </w:rPr>
              <w:t>.:</w:t>
            </w:r>
          </w:p>
        </w:tc>
        <w:tc>
          <w:tcPr>
            <w:tcW w:w="3193" w:type="dxa"/>
            <w:gridSpan w:val="3"/>
          </w:tcPr>
          <w:p w14:paraId="298EBC5B" w14:textId="77777777" w:rsidR="00F67E9E" w:rsidRPr="00D00D9A" w:rsidRDefault="00F67E9E" w:rsidP="007F74AA">
            <w:pPr>
              <w:pStyle w:val="StdBodyText"/>
              <w:spacing w:before="0" w:after="0"/>
              <w:rPr>
                <w:rFonts w:cs="Arial"/>
                <w:sz w:val="24"/>
              </w:rPr>
            </w:pPr>
            <w:r w:rsidRPr="00D00D9A">
              <w:rPr>
                <w:rFonts w:cs="Arial"/>
                <w:sz w:val="24"/>
              </w:rPr>
              <w:t>Title:</w:t>
            </w:r>
          </w:p>
        </w:tc>
        <w:tc>
          <w:tcPr>
            <w:tcW w:w="4465" w:type="dxa"/>
            <w:gridSpan w:val="2"/>
          </w:tcPr>
          <w:p w14:paraId="63DCB830" w14:textId="77777777" w:rsidR="00F67E9E" w:rsidRPr="00D00D9A" w:rsidRDefault="00F67E9E" w:rsidP="007F74AA">
            <w:pPr>
              <w:pStyle w:val="StdBodyText"/>
              <w:spacing w:before="0" w:after="0"/>
              <w:rPr>
                <w:rFonts w:cs="Arial"/>
                <w:sz w:val="24"/>
              </w:rPr>
            </w:pPr>
            <w:r w:rsidRPr="00D00D9A">
              <w:rPr>
                <w:rFonts w:cs="Arial"/>
                <w:sz w:val="24"/>
              </w:rPr>
              <w:t xml:space="preserve">Type </w:t>
            </w:r>
            <w:r>
              <w:rPr>
                <w:rFonts w:cs="Arial"/>
                <w:sz w:val="24"/>
              </w:rPr>
              <w:t>o</w:t>
            </w:r>
            <w:r w:rsidRPr="00D00D9A">
              <w:rPr>
                <w:rFonts w:cs="Arial"/>
                <w:sz w:val="24"/>
              </w:rPr>
              <w:t xml:space="preserve">f change: </w:t>
            </w:r>
          </w:p>
        </w:tc>
      </w:tr>
      <w:tr w:rsidR="00F67E9E" w:rsidRPr="00D00D9A" w14:paraId="560D412F" w14:textId="77777777" w:rsidTr="007F74AA">
        <w:trPr>
          <w:trHeight w:val="20"/>
        </w:trPr>
        <w:tc>
          <w:tcPr>
            <w:tcW w:w="4304" w:type="dxa"/>
            <w:gridSpan w:val="3"/>
          </w:tcPr>
          <w:p w14:paraId="10C3D9D8" w14:textId="77777777" w:rsidR="00F67E9E" w:rsidRPr="00D00D9A" w:rsidRDefault="00F67E9E" w:rsidP="007F74AA">
            <w:pPr>
              <w:pStyle w:val="StdBodyText"/>
              <w:spacing w:before="0" w:after="0"/>
              <w:rPr>
                <w:rFonts w:cs="Arial"/>
                <w:sz w:val="24"/>
              </w:rPr>
            </w:pPr>
            <w:r w:rsidRPr="00D00D9A">
              <w:rPr>
                <w:rFonts w:cs="Arial"/>
                <w:sz w:val="24"/>
              </w:rPr>
              <w:t>Contract:</w:t>
            </w:r>
          </w:p>
        </w:tc>
        <w:tc>
          <w:tcPr>
            <w:tcW w:w="5901" w:type="dxa"/>
            <w:gridSpan w:val="3"/>
          </w:tcPr>
          <w:p w14:paraId="4488FAE0" w14:textId="77777777" w:rsidR="00F67E9E" w:rsidRPr="00D00D9A" w:rsidRDefault="00F67E9E" w:rsidP="007F74AA">
            <w:pPr>
              <w:pStyle w:val="StdBodyText"/>
              <w:spacing w:before="0" w:after="0"/>
              <w:rPr>
                <w:rFonts w:cs="Arial"/>
                <w:sz w:val="24"/>
              </w:rPr>
            </w:pPr>
            <w:r w:rsidRPr="00D00D9A">
              <w:rPr>
                <w:rFonts w:cs="Arial"/>
                <w:sz w:val="24"/>
              </w:rPr>
              <w:t xml:space="preserve">Required </w:t>
            </w:r>
            <w:r>
              <w:rPr>
                <w:rFonts w:cs="Arial"/>
                <w:sz w:val="24"/>
              </w:rPr>
              <w:t>b</w:t>
            </w:r>
            <w:r w:rsidRPr="00D00D9A">
              <w:rPr>
                <w:rFonts w:cs="Arial"/>
                <w:sz w:val="24"/>
              </w:rPr>
              <w:t>y date:</w:t>
            </w:r>
          </w:p>
        </w:tc>
      </w:tr>
      <w:tr w:rsidR="00F67E9E" w:rsidRPr="00D00D9A" w14:paraId="7E710027" w14:textId="77777777" w:rsidTr="007F74AA">
        <w:trPr>
          <w:trHeight w:val="20"/>
        </w:trPr>
        <w:tc>
          <w:tcPr>
            <w:tcW w:w="3401" w:type="dxa"/>
            <w:gridSpan w:val="2"/>
          </w:tcPr>
          <w:p w14:paraId="558A91CC" w14:textId="77777777" w:rsidR="00F67E9E" w:rsidRPr="00D00D9A" w:rsidRDefault="00F67E9E" w:rsidP="007F74AA">
            <w:pPr>
              <w:pStyle w:val="StdBodyText"/>
              <w:spacing w:before="0" w:after="0"/>
              <w:rPr>
                <w:rFonts w:cs="Arial"/>
                <w:sz w:val="24"/>
              </w:rPr>
            </w:pPr>
            <w:r w:rsidRPr="00D00D9A">
              <w:rPr>
                <w:rFonts w:cs="Arial"/>
                <w:sz w:val="24"/>
              </w:rPr>
              <w:t xml:space="preserve">Action: </w:t>
            </w:r>
          </w:p>
        </w:tc>
        <w:tc>
          <w:tcPr>
            <w:tcW w:w="2819" w:type="dxa"/>
            <w:gridSpan w:val="3"/>
          </w:tcPr>
          <w:p w14:paraId="40082443" w14:textId="77777777" w:rsidR="00F67E9E" w:rsidRPr="00D00D9A" w:rsidRDefault="00F67E9E" w:rsidP="007F74AA">
            <w:pPr>
              <w:pStyle w:val="StdBodyText"/>
              <w:spacing w:before="0" w:after="0"/>
              <w:rPr>
                <w:rFonts w:cs="Arial"/>
                <w:sz w:val="24"/>
              </w:rPr>
            </w:pPr>
            <w:r w:rsidRPr="00D00D9A">
              <w:rPr>
                <w:rFonts w:cs="Arial"/>
                <w:sz w:val="24"/>
              </w:rPr>
              <w:t>Name:</w:t>
            </w:r>
          </w:p>
        </w:tc>
        <w:tc>
          <w:tcPr>
            <w:tcW w:w="3985" w:type="dxa"/>
          </w:tcPr>
          <w:p w14:paraId="1364006D" w14:textId="77777777" w:rsidR="00F67E9E" w:rsidRPr="00D00D9A" w:rsidRDefault="00F67E9E" w:rsidP="007F74AA">
            <w:pPr>
              <w:pStyle w:val="StdBodyText"/>
              <w:spacing w:before="0" w:after="0"/>
              <w:rPr>
                <w:rFonts w:cs="Arial"/>
                <w:sz w:val="24"/>
              </w:rPr>
            </w:pPr>
            <w:r w:rsidRPr="00D00D9A">
              <w:rPr>
                <w:rFonts w:cs="Arial"/>
                <w:sz w:val="24"/>
              </w:rPr>
              <w:t>Date:</w:t>
            </w:r>
          </w:p>
        </w:tc>
      </w:tr>
      <w:tr w:rsidR="00F67E9E" w:rsidRPr="00D00D9A" w14:paraId="71B97AE0" w14:textId="77777777" w:rsidTr="007F74AA">
        <w:trPr>
          <w:trHeight w:val="20"/>
        </w:trPr>
        <w:tc>
          <w:tcPr>
            <w:tcW w:w="10205" w:type="dxa"/>
            <w:gridSpan w:val="6"/>
          </w:tcPr>
          <w:p w14:paraId="501FDEF7" w14:textId="77777777" w:rsidR="00F67E9E" w:rsidRPr="00D00D9A" w:rsidRDefault="00F67E9E" w:rsidP="007F74AA">
            <w:pPr>
              <w:pStyle w:val="StdBodyText"/>
              <w:spacing w:before="0" w:after="0"/>
              <w:rPr>
                <w:rFonts w:cs="Arial"/>
                <w:sz w:val="24"/>
              </w:rPr>
            </w:pPr>
            <w:r w:rsidRPr="00D00D9A">
              <w:rPr>
                <w:rFonts w:cs="Arial"/>
                <w:sz w:val="24"/>
              </w:rPr>
              <w:t xml:space="preserve">Raised </w:t>
            </w:r>
            <w:r>
              <w:rPr>
                <w:rFonts w:cs="Arial"/>
                <w:sz w:val="24"/>
              </w:rPr>
              <w:t>b</w:t>
            </w:r>
            <w:r w:rsidRPr="00D00D9A">
              <w:rPr>
                <w:rFonts w:cs="Arial"/>
                <w:sz w:val="24"/>
              </w:rPr>
              <w:t xml:space="preserve">y: </w:t>
            </w:r>
          </w:p>
        </w:tc>
      </w:tr>
      <w:tr w:rsidR="00F67E9E" w:rsidRPr="00D00D9A" w14:paraId="22A5A957" w14:textId="77777777" w:rsidTr="007F74AA">
        <w:trPr>
          <w:trHeight w:val="20"/>
        </w:trPr>
        <w:tc>
          <w:tcPr>
            <w:tcW w:w="10205" w:type="dxa"/>
            <w:gridSpan w:val="6"/>
          </w:tcPr>
          <w:p w14:paraId="73ABD8B6" w14:textId="77777777" w:rsidR="00F67E9E" w:rsidRPr="00D00D9A" w:rsidRDefault="00F67E9E" w:rsidP="007F74AA">
            <w:pPr>
              <w:pStyle w:val="StdBodyText"/>
              <w:spacing w:before="0" w:after="0"/>
              <w:rPr>
                <w:rFonts w:cs="Arial"/>
                <w:sz w:val="24"/>
              </w:rPr>
            </w:pPr>
            <w:r w:rsidRPr="00D00D9A">
              <w:rPr>
                <w:rFonts w:cs="Arial"/>
                <w:sz w:val="24"/>
              </w:rPr>
              <w:t>Area(</w:t>
            </w:r>
            <w:r>
              <w:rPr>
                <w:rFonts w:cs="Arial"/>
                <w:sz w:val="24"/>
              </w:rPr>
              <w:t>s</w:t>
            </w:r>
            <w:r w:rsidRPr="00D00D9A">
              <w:rPr>
                <w:rFonts w:cs="Arial"/>
                <w:sz w:val="24"/>
              </w:rPr>
              <w:t>) impacted (</w:t>
            </w:r>
            <w:r w:rsidRPr="00DD4CC2">
              <w:rPr>
                <w:rFonts w:cs="Arial"/>
                <w:iCs/>
                <w:sz w:val="24"/>
              </w:rPr>
              <w:t>optional field</w:t>
            </w:r>
            <w:r w:rsidRPr="00D00D9A">
              <w:rPr>
                <w:rFonts w:cs="Arial"/>
                <w:sz w:val="24"/>
              </w:rPr>
              <w:t xml:space="preserve">): </w:t>
            </w:r>
          </w:p>
        </w:tc>
      </w:tr>
      <w:tr w:rsidR="00F67E9E" w:rsidRPr="00D00D9A" w14:paraId="63A693BD" w14:textId="77777777" w:rsidTr="007F74AA">
        <w:trPr>
          <w:trHeight w:val="20"/>
        </w:trPr>
        <w:tc>
          <w:tcPr>
            <w:tcW w:w="10205" w:type="dxa"/>
            <w:gridSpan w:val="6"/>
          </w:tcPr>
          <w:p w14:paraId="485E45BF" w14:textId="77777777" w:rsidR="00F67E9E" w:rsidRPr="00D00D9A" w:rsidRDefault="00F67E9E" w:rsidP="007F74AA">
            <w:pPr>
              <w:pStyle w:val="StdBodyText"/>
              <w:spacing w:before="0" w:after="0"/>
              <w:rPr>
                <w:rFonts w:cs="Arial"/>
                <w:sz w:val="24"/>
              </w:rPr>
            </w:pPr>
            <w:r w:rsidRPr="00D00D9A">
              <w:rPr>
                <w:rFonts w:cs="Arial"/>
                <w:sz w:val="24"/>
              </w:rPr>
              <w:t xml:space="preserve">Assigned </w:t>
            </w:r>
            <w:r>
              <w:rPr>
                <w:rFonts w:cs="Arial"/>
                <w:sz w:val="24"/>
              </w:rPr>
              <w:t>f</w:t>
            </w:r>
            <w:r w:rsidRPr="00D00D9A">
              <w:rPr>
                <w:rFonts w:cs="Arial"/>
                <w:sz w:val="24"/>
              </w:rPr>
              <w:t xml:space="preserve">or impact assessment </w:t>
            </w:r>
            <w:r>
              <w:rPr>
                <w:rFonts w:cs="Arial"/>
                <w:sz w:val="24"/>
              </w:rPr>
              <w:t>b</w:t>
            </w:r>
            <w:r w:rsidRPr="00D00D9A">
              <w:rPr>
                <w:rFonts w:cs="Arial"/>
                <w:sz w:val="24"/>
              </w:rPr>
              <w:t xml:space="preserve">y: </w:t>
            </w:r>
          </w:p>
        </w:tc>
      </w:tr>
      <w:tr w:rsidR="00F67E9E" w:rsidRPr="00D00D9A" w14:paraId="7FD86E86" w14:textId="77777777" w:rsidTr="007F74AA">
        <w:trPr>
          <w:trHeight w:val="20"/>
        </w:trPr>
        <w:tc>
          <w:tcPr>
            <w:tcW w:w="10205" w:type="dxa"/>
            <w:gridSpan w:val="6"/>
          </w:tcPr>
          <w:p w14:paraId="087EB452" w14:textId="77777777" w:rsidR="00F67E9E" w:rsidRPr="00D00D9A" w:rsidRDefault="00F67E9E" w:rsidP="007F74AA">
            <w:pPr>
              <w:pStyle w:val="StdBodyText"/>
              <w:spacing w:before="0" w:after="0"/>
              <w:rPr>
                <w:rFonts w:cs="Arial"/>
                <w:sz w:val="24"/>
              </w:rPr>
            </w:pPr>
            <w:r w:rsidRPr="00D00D9A">
              <w:rPr>
                <w:rFonts w:cs="Arial"/>
                <w:sz w:val="24"/>
              </w:rPr>
              <w:t xml:space="preserve">Assigned </w:t>
            </w:r>
            <w:r>
              <w:rPr>
                <w:rFonts w:cs="Arial"/>
                <w:sz w:val="24"/>
              </w:rPr>
              <w:t>f</w:t>
            </w:r>
            <w:r w:rsidRPr="00D00D9A">
              <w:rPr>
                <w:rFonts w:cs="Arial"/>
                <w:sz w:val="24"/>
              </w:rPr>
              <w:t xml:space="preserve">or impact assessment </w:t>
            </w:r>
            <w:r>
              <w:rPr>
                <w:rFonts w:cs="Arial"/>
                <w:sz w:val="24"/>
              </w:rPr>
              <w:t>t</w:t>
            </w:r>
            <w:r w:rsidRPr="00D00D9A">
              <w:rPr>
                <w:rFonts w:cs="Arial"/>
                <w:sz w:val="24"/>
              </w:rPr>
              <w:t xml:space="preserve">o: </w:t>
            </w:r>
          </w:p>
        </w:tc>
      </w:tr>
      <w:tr w:rsidR="00F67E9E" w:rsidRPr="00D00D9A" w14:paraId="1AF355FD" w14:textId="77777777" w:rsidTr="007F74AA">
        <w:trPr>
          <w:trHeight w:val="20"/>
        </w:trPr>
        <w:tc>
          <w:tcPr>
            <w:tcW w:w="10205" w:type="dxa"/>
            <w:gridSpan w:val="6"/>
          </w:tcPr>
          <w:p w14:paraId="2D15087C" w14:textId="77777777" w:rsidR="00F67E9E" w:rsidRPr="00D00D9A" w:rsidRDefault="00F67E9E" w:rsidP="007F74AA">
            <w:pPr>
              <w:pStyle w:val="StdBodyText"/>
              <w:spacing w:before="0" w:after="0"/>
              <w:rPr>
                <w:rFonts w:cs="Arial"/>
                <w:sz w:val="24"/>
              </w:rPr>
            </w:pPr>
            <w:r w:rsidRPr="00D00D9A">
              <w:rPr>
                <w:rFonts w:cs="Arial"/>
                <w:sz w:val="24"/>
              </w:rPr>
              <w:t xml:space="preserve">Supplier reference no.: </w:t>
            </w:r>
          </w:p>
        </w:tc>
      </w:tr>
      <w:tr w:rsidR="00F67E9E" w:rsidRPr="00D00D9A" w14:paraId="3D19656B" w14:textId="77777777" w:rsidTr="007F74AA">
        <w:trPr>
          <w:trHeight w:val="20"/>
        </w:trPr>
        <w:tc>
          <w:tcPr>
            <w:tcW w:w="10205" w:type="dxa"/>
            <w:gridSpan w:val="6"/>
          </w:tcPr>
          <w:p w14:paraId="043695B1" w14:textId="77777777" w:rsidR="00F67E9E" w:rsidRPr="00D00D9A" w:rsidRDefault="00F67E9E" w:rsidP="007F74AA">
            <w:pPr>
              <w:pStyle w:val="StdBodyText"/>
              <w:spacing w:before="0" w:after="0"/>
              <w:rPr>
                <w:rFonts w:cs="Arial"/>
                <w:sz w:val="24"/>
              </w:rPr>
            </w:pPr>
            <w:r w:rsidRPr="00D00D9A">
              <w:rPr>
                <w:rFonts w:cs="Arial"/>
                <w:sz w:val="24"/>
              </w:rPr>
              <w:t xml:space="preserve">Full description </w:t>
            </w:r>
            <w:r>
              <w:rPr>
                <w:rFonts w:cs="Arial"/>
                <w:sz w:val="24"/>
              </w:rPr>
              <w:t>o</w:t>
            </w:r>
            <w:r w:rsidRPr="00D00D9A">
              <w:rPr>
                <w:rFonts w:cs="Arial"/>
                <w:sz w:val="24"/>
              </w:rPr>
              <w:t>f requested contract change (</w:t>
            </w:r>
            <w:r>
              <w:rPr>
                <w:rFonts w:cs="Arial"/>
                <w:sz w:val="24"/>
              </w:rPr>
              <w:t>i</w:t>
            </w:r>
            <w:r w:rsidRPr="00D00D9A">
              <w:rPr>
                <w:rFonts w:cs="Arial"/>
                <w:sz w:val="24"/>
              </w:rPr>
              <w:t xml:space="preserve">ncluding proposed changes </w:t>
            </w:r>
            <w:r>
              <w:rPr>
                <w:rFonts w:cs="Arial"/>
                <w:sz w:val="24"/>
              </w:rPr>
              <w:t>t</w:t>
            </w:r>
            <w:r w:rsidRPr="00D00D9A">
              <w:rPr>
                <w:rFonts w:cs="Arial"/>
                <w:sz w:val="24"/>
              </w:rPr>
              <w:t xml:space="preserve">o </w:t>
            </w:r>
            <w:r>
              <w:rPr>
                <w:rFonts w:cs="Arial"/>
                <w:sz w:val="24"/>
              </w:rPr>
              <w:t>t</w:t>
            </w:r>
            <w:r w:rsidRPr="00D00D9A">
              <w:rPr>
                <w:rFonts w:cs="Arial"/>
                <w:sz w:val="24"/>
              </w:rPr>
              <w:t xml:space="preserve">he wording </w:t>
            </w:r>
            <w:r>
              <w:rPr>
                <w:rFonts w:cs="Arial"/>
                <w:sz w:val="24"/>
              </w:rPr>
              <w:t>o</w:t>
            </w:r>
            <w:r w:rsidRPr="00D00D9A">
              <w:rPr>
                <w:rFonts w:cs="Arial"/>
                <w:sz w:val="24"/>
              </w:rPr>
              <w:t xml:space="preserve">f </w:t>
            </w:r>
            <w:r>
              <w:rPr>
                <w:rFonts w:cs="Arial"/>
                <w:sz w:val="24"/>
              </w:rPr>
              <w:t>t</w:t>
            </w:r>
            <w:r w:rsidRPr="00D00D9A">
              <w:rPr>
                <w:rFonts w:cs="Arial"/>
                <w:sz w:val="24"/>
              </w:rPr>
              <w:t xml:space="preserve">he contract): </w:t>
            </w:r>
          </w:p>
        </w:tc>
      </w:tr>
      <w:tr w:rsidR="00F67E9E" w:rsidRPr="00D00D9A" w14:paraId="4F497A98" w14:textId="77777777" w:rsidTr="007F74AA">
        <w:trPr>
          <w:trHeight w:val="20"/>
        </w:trPr>
        <w:tc>
          <w:tcPr>
            <w:tcW w:w="10205" w:type="dxa"/>
            <w:gridSpan w:val="6"/>
          </w:tcPr>
          <w:p w14:paraId="1254839B" w14:textId="77777777" w:rsidR="00F67E9E" w:rsidRPr="00D00D9A" w:rsidRDefault="00F67E9E" w:rsidP="007F74AA">
            <w:pPr>
              <w:pStyle w:val="StdBodyText"/>
              <w:spacing w:before="0" w:after="0"/>
              <w:rPr>
                <w:rFonts w:cs="Arial"/>
                <w:sz w:val="24"/>
              </w:rPr>
            </w:pPr>
            <w:r w:rsidRPr="00D00D9A">
              <w:rPr>
                <w:rFonts w:cs="Arial"/>
                <w:sz w:val="24"/>
              </w:rPr>
              <w:t xml:space="preserve">Details </w:t>
            </w:r>
            <w:r>
              <w:rPr>
                <w:rFonts w:cs="Arial"/>
                <w:sz w:val="24"/>
              </w:rPr>
              <w:t>o</w:t>
            </w:r>
            <w:r w:rsidRPr="00D00D9A">
              <w:rPr>
                <w:rFonts w:cs="Arial"/>
                <w:sz w:val="24"/>
              </w:rPr>
              <w:t xml:space="preserve">f </w:t>
            </w:r>
            <w:r>
              <w:rPr>
                <w:rFonts w:cs="Arial"/>
                <w:sz w:val="24"/>
              </w:rPr>
              <w:t>a</w:t>
            </w:r>
            <w:r w:rsidRPr="00D00D9A">
              <w:rPr>
                <w:rFonts w:cs="Arial"/>
                <w:sz w:val="24"/>
              </w:rPr>
              <w:t>ny proposed alternative scenarios:</w:t>
            </w:r>
          </w:p>
        </w:tc>
      </w:tr>
      <w:tr w:rsidR="00F67E9E" w:rsidRPr="00D00D9A" w14:paraId="4724F28F" w14:textId="77777777" w:rsidTr="007F74AA">
        <w:trPr>
          <w:trHeight w:val="20"/>
        </w:trPr>
        <w:tc>
          <w:tcPr>
            <w:tcW w:w="10205" w:type="dxa"/>
            <w:gridSpan w:val="6"/>
          </w:tcPr>
          <w:p w14:paraId="50F0F647" w14:textId="77777777" w:rsidR="00F67E9E" w:rsidRPr="00D00D9A" w:rsidRDefault="00F67E9E" w:rsidP="007F74AA">
            <w:pPr>
              <w:pStyle w:val="StdBodyText"/>
              <w:spacing w:before="0" w:after="0"/>
              <w:rPr>
                <w:rFonts w:cs="Arial"/>
                <w:sz w:val="24"/>
              </w:rPr>
            </w:pPr>
            <w:r w:rsidRPr="00D00D9A">
              <w:rPr>
                <w:rFonts w:cs="Arial"/>
                <w:sz w:val="24"/>
              </w:rPr>
              <w:t xml:space="preserve">Reasons </w:t>
            </w:r>
            <w:r>
              <w:rPr>
                <w:rFonts w:cs="Arial"/>
                <w:sz w:val="24"/>
              </w:rPr>
              <w:t>f</w:t>
            </w:r>
            <w:r w:rsidRPr="00D00D9A">
              <w:rPr>
                <w:rFonts w:cs="Arial"/>
                <w:sz w:val="24"/>
              </w:rPr>
              <w:t xml:space="preserve">or </w:t>
            </w:r>
            <w:r>
              <w:rPr>
                <w:rFonts w:cs="Arial"/>
                <w:sz w:val="24"/>
              </w:rPr>
              <w:t>a</w:t>
            </w:r>
            <w:r w:rsidRPr="00D00D9A">
              <w:rPr>
                <w:rFonts w:cs="Arial"/>
                <w:sz w:val="24"/>
              </w:rPr>
              <w:t xml:space="preserve">nd benefits </w:t>
            </w:r>
            <w:r>
              <w:rPr>
                <w:rFonts w:cs="Arial"/>
                <w:sz w:val="24"/>
              </w:rPr>
              <w:t>a</w:t>
            </w:r>
            <w:r w:rsidRPr="00D00D9A">
              <w:rPr>
                <w:rFonts w:cs="Arial"/>
                <w:sz w:val="24"/>
              </w:rPr>
              <w:t xml:space="preserve">nd disadvantages </w:t>
            </w:r>
            <w:r>
              <w:rPr>
                <w:rFonts w:cs="Arial"/>
                <w:sz w:val="24"/>
              </w:rPr>
              <w:t>o</w:t>
            </w:r>
            <w:r w:rsidRPr="00D00D9A">
              <w:rPr>
                <w:rFonts w:cs="Arial"/>
                <w:sz w:val="24"/>
              </w:rPr>
              <w:t>f requested contract change:</w:t>
            </w:r>
          </w:p>
        </w:tc>
      </w:tr>
      <w:tr w:rsidR="00F67E9E" w:rsidRPr="00D00D9A" w14:paraId="3FF42B9D" w14:textId="77777777" w:rsidTr="007F74AA">
        <w:trPr>
          <w:trHeight w:val="20"/>
        </w:trPr>
        <w:tc>
          <w:tcPr>
            <w:tcW w:w="10205" w:type="dxa"/>
            <w:gridSpan w:val="6"/>
          </w:tcPr>
          <w:p w14:paraId="6F7A3FF2" w14:textId="77777777" w:rsidR="00F67E9E" w:rsidRPr="00D00D9A" w:rsidRDefault="00F67E9E" w:rsidP="007F74AA">
            <w:pPr>
              <w:pStyle w:val="StdBodyText"/>
              <w:spacing w:before="0" w:after="0"/>
              <w:rPr>
                <w:rFonts w:cs="Arial"/>
                <w:sz w:val="24"/>
              </w:rPr>
            </w:pPr>
            <w:r w:rsidRPr="00D00D9A">
              <w:rPr>
                <w:rFonts w:cs="Arial"/>
                <w:sz w:val="24"/>
              </w:rPr>
              <w:t xml:space="preserve">Signature </w:t>
            </w:r>
            <w:r>
              <w:rPr>
                <w:rFonts w:cs="Arial"/>
                <w:sz w:val="24"/>
              </w:rPr>
              <w:t>o</w:t>
            </w:r>
            <w:r w:rsidRPr="00D00D9A">
              <w:rPr>
                <w:rFonts w:cs="Arial"/>
                <w:sz w:val="24"/>
              </w:rPr>
              <w:t>f requesting change owner:</w:t>
            </w:r>
          </w:p>
        </w:tc>
      </w:tr>
      <w:tr w:rsidR="00F67E9E" w:rsidRPr="00D00D9A" w14:paraId="6B4E1ABD" w14:textId="77777777" w:rsidTr="007F74AA">
        <w:trPr>
          <w:trHeight w:val="20"/>
        </w:trPr>
        <w:tc>
          <w:tcPr>
            <w:tcW w:w="10205" w:type="dxa"/>
            <w:gridSpan w:val="6"/>
          </w:tcPr>
          <w:p w14:paraId="1539F3E3" w14:textId="77777777" w:rsidR="00F67E9E" w:rsidRPr="00D00D9A" w:rsidRDefault="00F67E9E" w:rsidP="007F74AA">
            <w:pPr>
              <w:pStyle w:val="StdBodyText"/>
              <w:spacing w:before="0" w:after="0"/>
              <w:rPr>
                <w:rFonts w:cs="Arial"/>
                <w:sz w:val="24"/>
              </w:rPr>
            </w:pPr>
            <w:r w:rsidRPr="00D00D9A">
              <w:rPr>
                <w:rFonts w:cs="Arial"/>
                <w:sz w:val="24"/>
              </w:rPr>
              <w:t xml:space="preserve">Date </w:t>
            </w:r>
            <w:r>
              <w:rPr>
                <w:rFonts w:cs="Arial"/>
                <w:sz w:val="24"/>
              </w:rPr>
              <w:t>o</w:t>
            </w:r>
            <w:r w:rsidRPr="00D00D9A">
              <w:rPr>
                <w:rFonts w:cs="Arial"/>
                <w:sz w:val="24"/>
              </w:rPr>
              <w:t>f request:</w:t>
            </w:r>
          </w:p>
        </w:tc>
      </w:tr>
    </w:tbl>
    <w:p w14:paraId="2E64A53E" w14:textId="77777777" w:rsidR="00F67E9E" w:rsidRDefault="00F67E9E" w:rsidP="00F67E9E">
      <w:pPr>
        <w:rPr>
          <w:lang w:eastAsia="en-GB"/>
        </w:rPr>
      </w:pPr>
    </w:p>
    <w:p w14:paraId="66241A9B" w14:textId="77777777" w:rsidR="00F67E9E" w:rsidRPr="000B6F69" w:rsidRDefault="00F67E9E" w:rsidP="00F67E9E">
      <w:pPr>
        <w:pStyle w:val="Heading2"/>
        <w:pageBreakBefore/>
      </w:pPr>
      <w:bookmarkStart w:id="1656" w:name="_Ref44507489"/>
      <w:bookmarkStart w:id="1657" w:name="_Toc141711967"/>
      <w:r w:rsidRPr="00D00D9A">
        <w:t xml:space="preserve">Annex </w:t>
      </w:r>
      <w:bookmarkStart w:id="1658" w:name="ANNEX2_SCHEDULE22"/>
      <w:r w:rsidRPr="00D00D9A">
        <w:t>2</w:t>
      </w:r>
      <w:bookmarkEnd w:id="1658"/>
      <w:r w:rsidRPr="00D00D9A">
        <w:t>: Change Authorisation Note</w:t>
      </w:r>
      <w:bookmarkEnd w:id="1656"/>
      <w:bookmarkEnd w:id="1657"/>
    </w:p>
    <w:tbl>
      <w:tblPr>
        <w:tblStyle w:val="TableGrid"/>
        <w:tblW w:w="10206" w:type="dxa"/>
        <w:tblCellMar>
          <w:top w:w="57" w:type="dxa"/>
          <w:left w:w="57" w:type="dxa"/>
          <w:bottom w:w="57" w:type="dxa"/>
          <w:right w:w="57" w:type="dxa"/>
        </w:tblCellMar>
        <w:tblLook w:val="04A0" w:firstRow="1" w:lastRow="0" w:firstColumn="1" w:lastColumn="0" w:noHBand="0" w:noVBand="1"/>
      </w:tblPr>
      <w:tblGrid>
        <w:gridCol w:w="2708"/>
        <w:gridCol w:w="2394"/>
        <w:gridCol w:w="1597"/>
        <w:gridCol w:w="3507"/>
      </w:tblGrid>
      <w:tr w:rsidR="00F67E9E" w:rsidRPr="00D00D9A" w14:paraId="6A7D0E73" w14:textId="77777777" w:rsidTr="007F74AA">
        <w:trPr>
          <w:trHeight w:val="20"/>
        </w:trPr>
        <w:tc>
          <w:tcPr>
            <w:tcW w:w="2708" w:type="dxa"/>
          </w:tcPr>
          <w:p w14:paraId="121D9968" w14:textId="77777777" w:rsidR="00F67E9E" w:rsidRPr="00D00D9A" w:rsidRDefault="00F67E9E" w:rsidP="007F74AA">
            <w:pPr>
              <w:pStyle w:val="StdBodyText"/>
              <w:spacing w:before="0" w:after="0"/>
              <w:rPr>
                <w:rFonts w:cs="Arial"/>
                <w:sz w:val="24"/>
              </w:rPr>
            </w:pPr>
            <w:r w:rsidRPr="00D00D9A">
              <w:rPr>
                <w:rFonts w:cs="Arial"/>
                <w:sz w:val="24"/>
              </w:rPr>
              <w:t>CR N</w:t>
            </w:r>
            <w:r>
              <w:rPr>
                <w:rFonts w:cs="Arial"/>
                <w:sz w:val="24"/>
              </w:rPr>
              <w:t>o</w:t>
            </w:r>
            <w:r w:rsidRPr="00D00D9A">
              <w:rPr>
                <w:rFonts w:cs="Arial"/>
                <w:sz w:val="24"/>
              </w:rPr>
              <w:t>.:</w:t>
            </w:r>
          </w:p>
        </w:tc>
        <w:tc>
          <w:tcPr>
            <w:tcW w:w="3991" w:type="dxa"/>
            <w:gridSpan w:val="2"/>
          </w:tcPr>
          <w:p w14:paraId="1492F03E" w14:textId="77777777" w:rsidR="00F67E9E" w:rsidRPr="00D00D9A" w:rsidRDefault="00F67E9E" w:rsidP="007F74AA">
            <w:pPr>
              <w:pStyle w:val="StdBodyText"/>
              <w:spacing w:before="0" w:after="0"/>
              <w:rPr>
                <w:rFonts w:cs="Arial"/>
                <w:sz w:val="24"/>
              </w:rPr>
            </w:pPr>
            <w:r w:rsidRPr="00D00D9A">
              <w:rPr>
                <w:rFonts w:cs="Arial"/>
                <w:sz w:val="24"/>
              </w:rPr>
              <w:t>Title:</w:t>
            </w:r>
          </w:p>
        </w:tc>
        <w:tc>
          <w:tcPr>
            <w:tcW w:w="3507" w:type="dxa"/>
          </w:tcPr>
          <w:p w14:paraId="64173C9C" w14:textId="77777777" w:rsidR="00F67E9E" w:rsidRPr="00D00D9A" w:rsidRDefault="00F67E9E" w:rsidP="007F74AA">
            <w:pPr>
              <w:pStyle w:val="StdBodyText"/>
              <w:spacing w:before="0" w:after="0"/>
              <w:rPr>
                <w:rFonts w:cs="Arial"/>
                <w:sz w:val="24"/>
              </w:rPr>
            </w:pPr>
            <w:r w:rsidRPr="00D00D9A">
              <w:rPr>
                <w:rFonts w:cs="Arial"/>
                <w:sz w:val="24"/>
              </w:rPr>
              <w:t xml:space="preserve">Date raised: </w:t>
            </w:r>
          </w:p>
        </w:tc>
      </w:tr>
      <w:tr w:rsidR="00F67E9E" w:rsidRPr="00D35048" w14:paraId="767E81C2" w14:textId="77777777" w:rsidTr="007F74AA">
        <w:trPr>
          <w:trHeight w:val="20"/>
        </w:trPr>
        <w:tc>
          <w:tcPr>
            <w:tcW w:w="2708" w:type="dxa"/>
          </w:tcPr>
          <w:p w14:paraId="5AA0538D" w14:textId="77777777" w:rsidR="00F67E9E" w:rsidRPr="00D00D9A" w:rsidRDefault="00F67E9E" w:rsidP="007F74AA">
            <w:pPr>
              <w:pStyle w:val="StdBodyText"/>
              <w:spacing w:before="0" w:after="0"/>
              <w:rPr>
                <w:rFonts w:cs="Arial"/>
                <w:sz w:val="24"/>
              </w:rPr>
            </w:pPr>
            <w:r w:rsidRPr="00D00D9A">
              <w:rPr>
                <w:rFonts w:cs="Arial"/>
                <w:sz w:val="24"/>
              </w:rPr>
              <w:t>Contract:</w:t>
            </w:r>
          </w:p>
        </w:tc>
        <w:tc>
          <w:tcPr>
            <w:tcW w:w="3991" w:type="dxa"/>
            <w:gridSpan w:val="2"/>
          </w:tcPr>
          <w:p w14:paraId="53B23924" w14:textId="77777777" w:rsidR="00F67E9E" w:rsidRPr="00D00D9A" w:rsidRDefault="00F67E9E" w:rsidP="007F74AA">
            <w:pPr>
              <w:pStyle w:val="StdBodyText"/>
              <w:spacing w:before="0" w:after="0"/>
              <w:rPr>
                <w:rFonts w:cs="Arial"/>
                <w:sz w:val="24"/>
              </w:rPr>
            </w:pPr>
            <w:r w:rsidRPr="00D00D9A">
              <w:rPr>
                <w:rFonts w:cs="Arial"/>
                <w:sz w:val="24"/>
              </w:rPr>
              <w:t>Type of change:</w:t>
            </w:r>
          </w:p>
        </w:tc>
        <w:tc>
          <w:tcPr>
            <w:tcW w:w="3507" w:type="dxa"/>
          </w:tcPr>
          <w:p w14:paraId="7746E9A6" w14:textId="77777777" w:rsidR="00F67E9E" w:rsidRPr="00D35048" w:rsidRDefault="00F67E9E" w:rsidP="007F74AA">
            <w:pPr>
              <w:pStyle w:val="StdBodyText"/>
              <w:spacing w:before="0" w:after="0"/>
              <w:rPr>
                <w:rFonts w:cs="Arial"/>
                <w:sz w:val="24"/>
              </w:rPr>
            </w:pPr>
            <w:r w:rsidRPr="00D00D9A">
              <w:rPr>
                <w:rFonts w:cs="Arial"/>
                <w:sz w:val="24"/>
              </w:rPr>
              <w:t>Required by date:</w:t>
            </w:r>
            <w:r w:rsidRPr="00D35048">
              <w:rPr>
                <w:rFonts w:cs="Arial"/>
                <w:sz w:val="24"/>
              </w:rPr>
              <w:t xml:space="preserve"> </w:t>
            </w:r>
          </w:p>
        </w:tc>
      </w:tr>
      <w:tr w:rsidR="00F67E9E" w:rsidRPr="00D35048" w14:paraId="63FC8B5B" w14:textId="77777777" w:rsidTr="007F74AA">
        <w:trPr>
          <w:trHeight w:val="20"/>
        </w:trPr>
        <w:tc>
          <w:tcPr>
            <w:tcW w:w="10206" w:type="dxa"/>
            <w:gridSpan w:val="4"/>
          </w:tcPr>
          <w:p w14:paraId="6E44E470" w14:textId="77777777" w:rsidR="00F67E9E" w:rsidRPr="00D35048" w:rsidRDefault="00F67E9E" w:rsidP="007F74AA">
            <w:pPr>
              <w:pStyle w:val="StdBodyText"/>
              <w:spacing w:before="0" w:after="0"/>
              <w:rPr>
                <w:rFonts w:cs="Arial"/>
                <w:sz w:val="24"/>
              </w:rPr>
            </w:pPr>
            <w:r w:rsidRPr="00D35048">
              <w:rPr>
                <w:rFonts w:cs="Arial"/>
                <w:sz w:val="24"/>
                <w:highlight w:val="yellow"/>
              </w:rPr>
              <w:t>[Key milestone date: [</w:t>
            </w:r>
            <w:r w:rsidRPr="00DD4CC2">
              <w:rPr>
                <w:rFonts w:cs="Arial"/>
                <w:iCs/>
                <w:sz w:val="24"/>
                <w:highlight w:val="yellow"/>
              </w:rPr>
              <w:t>if any</w:t>
            </w:r>
            <w:r w:rsidRPr="00D35048">
              <w:rPr>
                <w:rFonts w:cs="Arial"/>
                <w:sz w:val="24"/>
                <w:highlight w:val="yellow"/>
              </w:rPr>
              <w:t>]   ]</w:t>
            </w:r>
          </w:p>
        </w:tc>
      </w:tr>
      <w:tr w:rsidR="00F67E9E" w:rsidRPr="00D35048" w14:paraId="0CC22559" w14:textId="77777777" w:rsidTr="007F74AA">
        <w:trPr>
          <w:trHeight w:val="20"/>
        </w:trPr>
        <w:tc>
          <w:tcPr>
            <w:tcW w:w="10206" w:type="dxa"/>
            <w:gridSpan w:val="4"/>
          </w:tcPr>
          <w:p w14:paraId="6A7B06D6" w14:textId="77777777" w:rsidR="00F67E9E" w:rsidRPr="00D00D9A" w:rsidRDefault="00F67E9E" w:rsidP="007F74AA">
            <w:pPr>
              <w:pStyle w:val="StdBodyText"/>
              <w:spacing w:before="0" w:after="0"/>
              <w:rPr>
                <w:rFonts w:cs="Arial"/>
                <w:sz w:val="24"/>
              </w:rPr>
            </w:pPr>
            <w:r w:rsidRPr="00D00D9A">
              <w:rPr>
                <w:rFonts w:cs="Arial"/>
                <w:sz w:val="24"/>
              </w:rPr>
              <w:t xml:space="preserve">Detailed description of contract change for which impact assessment is being prepared and wording of related changes to the contract: </w:t>
            </w:r>
          </w:p>
        </w:tc>
      </w:tr>
      <w:tr w:rsidR="00F67E9E" w:rsidRPr="00D35048" w14:paraId="477794B2" w14:textId="77777777" w:rsidTr="007F74AA">
        <w:trPr>
          <w:trHeight w:val="20"/>
        </w:trPr>
        <w:tc>
          <w:tcPr>
            <w:tcW w:w="10206" w:type="dxa"/>
            <w:gridSpan w:val="4"/>
          </w:tcPr>
          <w:p w14:paraId="0F1F8680" w14:textId="77777777" w:rsidR="00F67E9E" w:rsidRPr="00D00D9A" w:rsidRDefault="00F67E9E" w:rsidP="007F74AA">
            <w:pPr>
              <w:pStyle w:val="StdBodyText"/>
              <w:spacing w:before="0" w:after="0"/>
              <w:rPr>
                <w:rFonts w:cs="Arial"/>
                <w:sz w:val="24"/>
              </w:rPr>
            </w:pPr>
            <w:r w:rsidRPr="00D00D9A">
              <w:rPr>
                <w:rFonts w:cs="Arial"/>
                <w:sz w:val="24"/>
              </w:rPr>
              <w:t>Proposed adjustment to the charges resulting from the contract change:</w:t>
            </w:r>
          </w:p>
        </w:tc>
      </w:tr>
      <w:tr w:rsidR="00F67E9E" w:rsidRPr="00D35048" w14:paraId="7BDE4E8D" w14:textId="77777777" w:rsidTr="007F74AA">
        <w:trPr>
          <w:trHeight w:val="20"/>
        </w:trPr>
        <w:tc>
          <w:tcPr>
            <w:tcW w:w="10206" w:type="dxa"/>
            <w:gridSpan w:val="4"/>
          </w:tcPr>
          <w:p w14:paraId="51905358" w14:textId="77777777" w:rsidR="00F67E9E" w:rsidRPr="00D35048" w:rsidRDefault="00F67E9E" w:rsidP="007F74AA">
            <w:pPr>
              <w:pStyle w:val="StdBodyText"/>
              <w:spacing w:before="0" w:after="0"/>
              <w:rPr>
                <w:rFonts w:cs="Arial"/>
                <w:sz w:val="24"/>
              </w:rPr>
            </w:pPr>
            <w:r w:rsidRPr="00D35048">
              <w:rPr>
                <w:rFonts w:cs="Arial"/>
                <w:sz w:val="24"/>
              </w:rPr>
              <w:t xml:space="preserve">Details of proposed one-off additional charges and means for determining these (e.g. fixed price basis): </w:t>
            </w:r>
          </w:p>
          <w:p w14:paraId="28DA3947" w14:textId="77777777" w:rsidR="00F67E9E" w:rsidRPr="00D35048" w:rsidRDefault="00F67E9E" w:rsidP="007F74AA">
            <w:pPr>
              <w:pStyle w:val="StdBodyText"/>
              <w:spacing w:before="0" w:after="0"/>
              <w:rPr>
                <w:rFonts w:cs="Arial"/>
                <w:sz w:val="24"/>
              </w:rPr>
            </w:pPr>
          </w:p>
          <w:p w14:paraId="56D41842" w14:textId="77777777" w:rsidR="00F67E9E" w:rsidRPr="00D35048" w:rsidRDefault="00F67E9E" w:rsidP="007F74AA">
            <w:pPr>
              <w:pStyle w:val="StdBodyText"/>
              <w:spacing w:before="0" w:after="0"/>
              <w:rPr>
                <w:rFonts w:cs="Arial"/>
                <w:sz w:val="24"/>
              </w:rPr>
            </w:pPr>
          </w:p>
          <w:p w14:paraId="21B3700C" w14:textId="77777777" w:rsidR="00F67E9E" w:rsidRPr="00D35048" w:rsidRDefault="00F67E9E" w:rsidP="007F74AA">
            <w:pPr>
              <w:pStyle w:val="StdBodyText"/>
              <w:spacing w:before="0" w:after="0"/>
              <w:rPr>
                <w:rFonts w:cs="Arial"/>
                <w:sz w:val="24"/>
              </w:rPr>
            </w:pPr>
          </w:p>
        </w:tc>
      </w:tr>
      <w:tr w:rsidR="00F67E9E" w:rsidRPr="00D35048" w14:paraId="147DCDEB" w14:textId="77777777" w:rsidTr="007F74AA">
        <w:trPr>
          <w:trHeight w:val="20"/>
        </w:trPr>
        <w:tc>
          <w:tcPr>
            <w:tcW w:w="5102" w:type="dxa"/>
            <w:gridSpan w:val="2"/>
          </w:tcPr>
          <w:p w14:paraId="1A788165" w14:textId="77777777" w:rsidR="00F67E9E" w:rsidRPr="00D35048" w:rsidRDefault="00F67E9E" w:rsidP="007F74AA">
            <w:pPr>
              <w:pStyle w:val="StdBodyText"/>
              <w:spacing w:before="0" w:after="0"/>
              <w:rPr>
                <w:rFonts w:cs="Arial"/>
                <w:sz w:val="24"/>
              </w:rPr>
            </w:pPr>
            <w:r w:rsidRPr="00D35048">
              <w:rPr>
                <w:rFonts w:cs="Arial"/>
                <w:sz w:val="24"/>
              </w:rPr>
              <w:t>Signed on behalf of the authority:</w:t>
            </w:r>
          </w:p>
        </w:tc>
        <w:tc>
          <w:tcPr>
            <w:tcW w:w="5104" w:type="dxa"/>
            <w:gridSpan w:val="2"/>
          </w:tcPr>
          <w:p w14:paraId="1C08B112" w14:textId="77777777" w:rsidR="00F67E9E" w:rsidRPr="00D35048" w:rsidRDefault="00F67E9E" w:rsidP="007F74AA">
            <w:pPr>
              <w:pStyle w:val="StdBodyText"/>
              <w:spacing w:before="0" w:after="0"/>
              <w:rPr>
                <w:rFonts w:cs="Arial"/>
                <w:sz w:val="24"/>
              </w:rPr>
            </w:pPr>
            <w:r w:rsidRPr="00D35048">
              <w:rPr>
                <w:rFonts w:cs="Arial"/>
                <w:sz w:val="24"/>
              </w:rPr>
              <w:t>Signed on behalf of the supplier:</w:t>
            </w:r>
          </w:p>
        </w:tc>
      </w:tr>
      <w:tr w:rsidR="00F67E9E" w:rsidRPr="00D35048" w14:paraId="4CCD5379" w14:textId="77777777" w:rsidTr="007F74AA">
        <w:trPr>
          <w:trHeight w:val="20"/>
        </w:trPr>
        <w:tc>
          <w:tcPr>
            <w:tcW w:w="5102" w:type="dxa"/>
            <w:gridSpan w:val="2"/>
          </w:tcPr>
          <w:p w14:paraId="395163B3" w14:textId="77777777" w:rsidR="00F67E9E" w:rsidRPr="00D35048" w:rsidRDefault="00F67E9E" w:rsidP="007F74AA">
            <w:pPr>
              <w:pStyle w:val="StdBodyText"/>
              <w:spacing w:before="0" w:after="0"/>
              <w:rPr>
                <w:rFonts w:cs="Arial"/>
                <w:sz w:val="24"/>
              </w:rPr>
            </w:pPr>
            <w:r w:rsidRPr="00D35048">
              <w:rPr>
                <w:rFonts w:cs="Arial"/>
                <w:sz w:val="24"/>
              </w:rPr>
              <w:t>Signature:_____________________</w:t>
            </w:r>
          </w:p>
        </w:tc>
        <w:tc>
          <w:tcPr>
            <w:tcW w:w="5104" w:type="dxa"/>
            <w:gridSpan w:val="2"/>
          </w:tcPr>
          <w:p w14:paraId="026A8DC4" w14:textId="77777777" w:rsidR="00F67E9E" w:rsidRPr="00D35048" w:rsidRDefault="00F67E9E" w:rsidP="007F74AA">
            <w:pPr>
              <w:pStyle w:val="StdBodyText"/>
              <w:spacing w:before="0" w:after="0"/>
              <w:rPr>
                <w:rFonts w:cs="Arial"/>
                <w:sz w:val="24"/>
              </w:rPr>
            </w:pPr>
            <w:r w:rsidRPr="00D35048">
              <w:rPr>
                <w:rFonts w:cs="Arial"/>
                <w:sz w:val="24"/>
              </w:rPr>
              <w:t>Signature:_____________________</w:t>
            </w:r>
          </w:p>
        </w:tc>
      </w:tr>
      <w:tr w:rsidR="00F67E9E" w:rsidRPr="00D35048" w14:paraId="1C2CB363" w14:textId="77777777" w:rsidTr="007F74AA">
        <w:trPr>
          <w:trHeight w:val="20"/>
        </w:trPr>
        <w:tc>
          <w:tcPr>
            <w:tcW w:w="5102" w:type="dxa"/>
            <w:gridSpan w:val="2"/>
          </w:tcPr>
          <w:p w14:paraId="7C08166F" w14:textId="77777777" w:rsidR="00F67E9E" w:rsidRPr="00D35048" w:rsidRDefault="00F67E9E" w:rsidP="007F74AA">
            <w:pPr>
              <w:pStyle w:val="StdBodyText"/>
              <w:spacing w:before="0" w:after="0"/>
              <w:rPr>
                <w:rFonts w:cs="Arial"/>
                <w:sz w:val="24"/>
              </w:rPr>
            </w:pPr>
            <w:r w:rsidRPr="00D35048">
              <w:rPr>
                <w:rFonts w:cs="Arial"/>
                <w:sz w:val="24"/>
              </w:rPr>
              <w:t>Name:________________________</w:t>
            </w:r>
          </w:p>
        </w:tc>
        <w:tc>
          <w:tcPr>
            <w:tcW w:w="5104" w:type="dxa"/>
            <w:gridSpan w:val="2"/>
          </w:tcPr>
          <w:p w14:paraId="5D518A1F" w14:textId="77777777" w:rsidR="00F67E9E" w:rsidRPr="00D35048" w:rsidRDefault="00F67E9E" w:rsidP="007F74AA">
            <w:pPr>
              <w:pStyle w:val="StdBodyText"/>
              <w:spacing w:before="0" w:after="0"/>
              <w:rPr>
                <w:rFonts w:cs="Arial"/>
                <w:sz w:val="24"/>
              </w:rPr>
            </w:pPr>
            <w:r w:rsidRPr="00D35048">
              <w:rPr>
                <w:rFonts w:cs="Arial"/>
                <w:sz w:val="24"/>
              </w:rPr>
              <w:t>Name:________________________</w:t>
            </w:r>
          </w:p>
        </w:tc>
      </w:tr>
      <w:tr w:rsidR="00F67E9E" w:rsidRPr="00D35048" w14:paraId="661322A8" w14:textId="77777777" w:rsidTr="007F74AA">
        <w:trPr>
          <w:trHeight w:val="20"/>
        </w:trPr>
        <w:tc>
          <w:tcPr>
            <w:tcW w:w="5102" w:type="dxa"/>
            <w:gridSpan w:val="2"/>
          </w:tcPr>
          <w:p w14:paraId="79EA948F" w14:textId="77777777" w:rsidR="00F67E9E" w:rsidRPr="00D35048" w:rsidRDefault="00F67E9E" w:rsidP="007F74AA">
            <w:pPr>
              <w:pStyle w:val="StdBodyText"/>
              <w:spacing w:before="0" w:after="0"/>
              <w:rPr>
                <w:rFonts w:cs="Arial"/>
                <w:sz w:val="24"/>
              </w:rPr>
            </w:pPr>
            <w:r w:rsidRPr="00D35048">
              <w:rPr>
                <w:rFonts w:cs="Arial"/>
                <w:sz w:val="24"/>
              </w:rPr>
              <w:t>Position:______________________</w:t>
            </w:r>
          </w:p>
        </w:tc>
        <w:tc>
          <w:tcPr>
            <w:tcW w:w="5104" w:type="dxa"/>
            <w:gridSpan w:val="2"/>
          </w:tcPr>
          <w:p w14:paraId="3752299C" w14:textId="77777777" w:rsidR="00F67E9E" w:rsidRPr="00D35048" w:rsidRDefault="00F67E9E" w:rsidP="007F74AA">
            <w:pPr>
              <w:pStyle w:val="StdBodyText"/>
              <w:spacing w:before="0" w:after="0"/>
              <w:rPr>
                <w:rFonts w:cs="Arial"/>
                <w:sz w:val="24"/>
              </w:rPr>
            </w:pPr>
            <w:r w:rsidRPr="00D35048">
              <w:rPr>
                <w:rFonts w:cs="Arial"/>
                <w:sz w:val="24"/>
              </w:rPr>
              <w:t>Position:______________________</w:t>
            </w:r>
          </w:p>
        </w:tc>
      </w:tr>
      <w:tr w:rsidR="00F67E9E" w:rsidRPr="00D35048" w14:paraId="6CA959AC" w14:textId="77777777" w:rsidTr="007F74AA">
        <w:trPr>
          <w:trHeight w:val="20"/>
        </w:trPr>
        <w:tc>
          <w:tcPr>
            <w:tcW w:w="5102" w:type="dxa"/>
            <w:gridSpan w:val="2"/>
          </w:tcPr>
          <w:p w14:paraId="072570D5" w14:textId="77777777" w:rsidR="00F67E9E" w:rsidRPr="00D35048" w:rsidRDefault="00F67E9E" w:rsidP="007F74AA">
            <w:pPr>
              <w:pStyle w:val="StdBodyText"/>
              <w:spacing w:before="0" w:after="0"/>
              <w:rPr>
                <w:rFonts w:cs="Arial"/>
                <w:sz w:val="24"/>
              </w:rPr>
            </w:pPr>
            <w:r w:rsidRPr="00D35048">
              <w:rPr>
                <w:rFonts w:cs="Arial"/>
                <w:sz w:val="24"/>
              </w:rPr>
              <w:t>Date:________________________</w:t>
            </w:r>
          </w:p>
        </w:tc>
        <w:tc>
          <w:tcPr>
            <w:tcW w:w="5104" w:type="dxa"/>
            <w:gridSpan w:val="2"/>
          </w:tcPr>
          <w:p w14:paraId="42666123" w14:textId="77777777" w:rsidR="00F67E9E" w:rsidRPr="00D35048" w:rsidRDefault="00F67E9E" w:rsidP="007F74AA">
            <w:pPr>
              <w:pStyle w:val="StdBodyText"/>
              <w:spacing w:before="0" w:after="0"/>
              <w:rPr>
                <w:rFonts w:cs="Arial"/>
                <w:sz w:val="24"/>
              </w:rPr>
            </w:pPr>
            <w:r w:rsidRPr="00D35048">
              <w:rPr>
                <w:rFonts w:cs="Arial"/>
                <w:sz w:val="24"/>
              </w:rPr>
              <w:t>Date:_________________________</w:t>
            </w:r>
          </w:p>
        </w:tc>
      </w:tr>
    </w:tbl>
    <w:p w14:paraId="37E21325" w14:textId="77777777" w:rsidR="00F67E9E" w:rsidRDefault="00F67E9E" w:rsidP="00F67E9E"/>
    <w:p w14:paraId="77054F6D" w14:textId="77777777" w:rsidR="00F67E9E" w:rsidRDefault="00F67E9E" w:rsidP="00F67E9E"/>
    <w:p w14:paraId="21C4F266" w14:textId="77777777" w:rsidR="00F67E9E" w:rsidRDefault="00F67E9E" w:rsidP="00F67E9E">
      <w:pPr>
        <w:rPr>
          <w:lang w:eastAsia="en-GB"/>
        </w:rPr>
        <w:sectPr w:rsidR="00F67E9E" w:rsidSect="00240D26">
          <w:headerReference w:type="default" r:id="rId113"/>
          <w:footerReference w:type="default" r:id="rId114"/>
          <w:pgSz w:w="11909" w:h="16834"/>
          <w:pgMar w:top="1701" w:right="851" w:bottom="1134" w:left="851" w:header="567" w:footer="567" w:gutter="0"/>
          <w:cols w:space="720"/>
          <w:docGrid w:linePitch="326"/>
        </w:sectPr>
      </w:pPr>
    </w:p>
    <w:p w14:paraId="1B93F8D1" w14:textId="77777777" w:rsidR="00F67E9E" w:rsidRPr="00EE4F10" w:rsidRDefault="00F67E9E" w:rsidP="00F67E9E">
      <w:pPr>
        <w:pStyle w:val="Dividername"/>
      </w:pPr>
      <w:r w:rsidRPr="00EE4F10">
        <w:t>Schedule 23</w:t>
      </w:r>
    </w:p>
    <w:p w14:paraId="16BD2187" w14:textId="77777777" w:rsidR="00F67E9E" w:rsidRPr="00EE4F10" w:rsidRDefault="00F67E9E" w:rsidP="00F67E9E">
      <w:pPr>
        <w:pStyle w:val="Dividername"/>
      </w:pPr>
      <w:r w:rsidRPr="00EE4F10">
        <w:t>Dispute Resolution Procedure</w:t>
      </w:r>
    </w:p>
    <w:p w14:paraId="70BBE2F9" w14:textId="77777777" w:rsidR="00F67E9E" w:rsidRDefault="00F67E9E" w:rsidP="00F67E9E">
      <w:pPr>
        <w:rPr>
          <w:lang w:eastAsia="en-GB"/>
        </w:rPr>
      </w:pPr>
    </w:p>
    <w:p w14:paraId="72FF6DBB" w14:textId="77777777" w:rsidR="00F67E9E" w:rsidRDefault="00F67E9E" w:rsidP="00F67E9E">
      <w:pPr>
        <w:rPr>
          <w:lang w:eastAsia="en-GB"/>
        </w:rPr>
      </w:pPr>
    </w:p>
    <w:p w14:paraId="4C2181C3" w14:textId="77777777" w:rsidR="00F67E9E" w:rsidRDefault="00F67E9E" w:rsidP="00F67E9E">
      <w:pPr>
        <w:rPr>
          <w:lang w:eastAsia="en-GB"/>
        </w:rPr>
      </w:pPr>
      <w:r>
        <w:rPr>
          <w:lang w:eastAsia="en-GB"/>
        </w:rPr>
        <w:br w:type="page"/>
      </w:r>
    </w:p>
    <w:p w14:paraId="3C7C0628" w14:textId="77777777" w:rsidR="00F67E9E" w:rsidRPr="005D0525" w:rsidRDefault="00F67E9E" w:rsidP="00F67E9E">
      <w:pPr>
        <w:pStyle w:val="Heading1"/>
      </w:pPr>
      <w:bookmarkStart w:id="1659" w:name="Schedule23"/>
      <w:bookmarkStart w:id="1660" w:name="_Ref92200032"/>
      <w:bookmarkStart w:id="1661" w:name="_Toc141711968"/>
      <w:r w:rsidRPr="005D0525">
        <w:t>Schedule</w:t>
      </w:r>
      <w:r>
        <w:t> </w:t>
      </w:r>
      <w:r w:rsidRPr="005D0525">
        <w:t>23</w:t>
      </w:r>
      <w:bookmarkEnd w:id="1659"/>
      <w:r>
        <w:t xml:space="preserve">: </w:t>
      </w:r>
      <w:bookmarkStart w:id="1662" w:name="Schedule23Heading"/>
      <w:r w:rsidRPr="00DD4CC2">
        <w:t>Dispute Resolution Procedure</w:t>
      </w:r>
      <w:bookmarkEnd w:id="1660"/>
      <w:bookmarkEnd w:id="1661"/>
      <w:bookmarkEnd w:id="1662"/>
    </w:p>
    <w:p w14:paraId="7D051115" w14:textId="77777777" w:rsidR="00F67E9E" w:rsidRPr="00D00D9A" w:rsidRDefault="00F67E9E" w:rsidP="00F67E9E">
      <w:pPr>
        <w:pStyle w:val="Numbered1"/>
        <w:numPr>
          <w:ilvl w:val="0"/>
          <w:numId w:val="143"/>
        </w:numPr>
      </w:pPr>
      <w:r w:rsidRPr="00D00D9A">
        <w:t>Definitions</w:t>
      </w:r>
    </w:p>
    <w:p w14:paraId="466D49B1" w14:textId="77777777" w:rsidR="00F67E9E" w:rsidRPr="00D00D9A" w:rsidRDefault="00F67E9E" w:rsidP="00F67E9E">
      <w:pPr>
        <w:pStyle w:val="Numbered11"/>
      </w:pPr>
      <w:r w:rsidRPr="00D00D9A">
        <w:t xml:space="preserve">In this Schedule, the following definitions shall </w:t>
      </w:r>
      <w:r w:rsidRPr="00154D56">
        <w:t>apply</w:t>
      </w:r>
      <w:r w:rsidRPr="00D00D9A">
        <w:t>:</w:t>
      </w:r>
    </w:p>
    <w:tbl>
      <w:tblPr>
        <w:tblStyle w:val="MSAdefinitions"/>
        <w:tblW w:w="9638" w:type="dxa"/>
        <w:tblLook w:val="04A0" w:firstRow="1" w:lastRow="0" w:firstColumn="1" w:lastColumn="0" w:noHBand="0" w:noVBand="1"/>
      </w:tblPr>
      <w:tblGrid>
        <w:gridCol w:w="2835"/>
        <w:gridCol w:w="6803"/>
      </w:tblGrid>
      <w:tr w:rsidR="00F67E9E" w:rsidRPr="00D00D9A" w14:paraId="3C7D72EA" w14:textId="77777777" w:rsidTr="007F74AA">
        <w:tc>
          <w:tcPr>
            <w:tcW w:w="2835" w:type="dxa"/>
          </w:tcPr>
          <w:p w14:paraId="69B0D6E7" w14:textId="77777777" w:rsidR="00F67E9E" w:rsidRPr="00D00D9A" w:rsidRDefault="00F67E9E" w:rsidP="007F74AA">
            <w:pPr>
              <w:pStyle w:val="StdBodyTextBold"/>
              <w:rPr>
                <w:rFonts w:cs="Arial"/>
              </w:rPr>
            </w:pPr>
            <w:r>
              <w:rPr>
                <w:rFonts w:cs="Arial"/>
              </w:rPr>
              <w:t>“</w:t>
            </w:r>
            <w:r w:rsidRPr="00D00D9A">
              <w:rPr>
                <w:rFonts w:cs="Arial"/>
              </w:rPr>
              <w:t>CEDR</w:t>
            </w:r>
            <w:r>
              <w:rPr>
                <w:rFonts w:cs="Arial"/>
              </w:rPr>
              <w:t>”</w:t>
            </w:r>
          </w:p>
        </w:tc>
        <w:tc>
          <w:tcPr>
            <w:tcW w:w="6803" w:type="dxa"/>
          </w:tcPr>
          <w:p w14:paraId="40314052" w14:textId="77777777" w:rsidR="00F67E9E" w:rsidRPr="00D00D9A" w:rsidRDefault="00F67E9E" w:rsidP="007F74AA">
            <w:pPr>
              <w:pStyle w:val="StdBodyText"/>
              <w:rPr>
                <w:rFonts w:cs="Arial"/>
              </w:rPr>
            </w:pPr>
            <w:r w:rsidRPr="00D00D9A">
              <w:rPr>
                <w:rFonts w:cs="Arial"/>
              </w:rPr>
              <w:t>the Centre for Effective Dispute Resolution of International Dispute Resolution Centre 1 Patternoster Lane, St Paul</w:t>
            </w:r>
            <w:r>
              <w:rPr>
                <w:rFonts w:cs="Arial"/>
              </w:rPr>
              <w:t>’</w:t>
            </w:r>
            <w:r w:rsidRPr="00D00D9A">
              <w:rPr>
                <w:rFonts w:cs="Arial"/>
              </w:rPr>
              <w:t>s, London, EC4M 7BQ;</w:t>
            </w:r>
          </w:p>
        </w:tc>
      </w:tr>
      <w:tr w:rsidR="00F67E9E" w:rsidRPr="00D00D9A" w14:paraId="44F8DF1C" w14:textId="77777777" w:rsidTr="007F74AA">
        <w:tc>
          <w:tcPr>
            <w:tcW w:w="2835" w:type="dxa"/>
          </w:tcPr>
          <w:p w14:paraId="33AE4EC7" w14:textId="77777777" w:rsidR="00F67E9E" w:rsidRPr="00D00D9A" w:rsidRDefault="00F67E9E" w:rsidP="007F74AA">
            <w:pPr>
              <w:pStyle w:val="StdBodyTextBold"/>
              <w:rPr>
                <w:rFonts w:cs="Arial"/>
              </w:rPr>
            </w:pPr>
            <w:r>
              <w:rPr>
                <w:rFonts w:cs="Arial"/>
              </w:rPr>
              <w:t>“</w:t>
            </w:r>
            <w:r w:rsidRPr="00D00D9A">
              <w:rPr>
                <w:rFonts w:cs="Arial"/>
              </w:rPr>
              <w:t>Counter Notice</w:t>
            </w:r>
            <w:r>
              <w:rPr>
                <w:rFonts w:cs="Arial"/>
              </w:rPr>
              <w:t>”</w:t>
            </w:r>
          </w:p>
        </w:tc>
        <w:tc>
          <w:tcPr>
            <w:tcW w:w="6803" w:type="dxa"/>
          </w:tcPr>
          <w:p w14:paraId="411104FB" w14:textId="2E705E01" w:rsidR="00F67E9E" w:rsidRPr="00D00D9A" w:rsidRDefault="00F67E9E" w:rsidP="007F74AA">
            <w:pPr>
              <w:pStyle w:val="StdBodyText"/>
              <w:rPr>
                <w:rFonts w:cs="Arial"/>
              </w:rPr>
            </w:pPr>
            <w:r w:rsidRPr="00D00D9A">
              <w:rPr>
                <w:rFonts w:cs="Arial"/>
              </w:rPr>
              <w:t xml:space="preserve">has the meaning given in </w:t>
            </w:r>
            <w:bookmarkStart w:id="1663" w:name="_9kMHG5YVtCJCCCCKJO8ju7y15rdoIEB5z986HG9"/>
            <w:bookmarkStart w:id="1664" w:name="_9kMHG5YVtCIBCCFNJO8ju7y15rdoIEB5z986HG9"/>
            <w:r w:rsidRPr="00D00D9A">
              <w:rPr>
                <w:rFonts w:cs="Arial"/>
              </w:rPr>
              <w:t xml:space="preserve">Paragraph </w:t>
            </w:r>
            <w:bookmarkEnd w:id="1663"/>
            <w:r w:rsidRPr="00D00D9A">
              <w:rPr>
                <w:rFonts w:cs="Arial"/>
              </w:rPr>
              <w:fldChar w:fldCharType="begin"/>
            </w:r>
            <w:r w:rsidRPr="00D00D9A">
              <w:rPr>
                <w:rFonts w:cs="Arial"/>
              </w:rPr>
              <w:instrText xml:space="preserve"> REF _Ref_ContractCompanion_9kb9Us667 \n \h \t \* MERGEFORMAT </w:instrText>
            </w:r>
            <w:r w:rsidRPr="00D00D9A">
              <w:rPr>
                <w:rFonts w:cs="Arial"/>
              </w:rPr>
            </w:r>
            <w:r w:rsidRPr="00D00D9A">
              <w:rPr>
                <w:rFonts w:cs="Arial"/>
              </w:rPr>
              <w:fldChar w:fldCharType="separate"/>
            </w:r>
            <w:r w:rsidR="00302D39">
              <w:rPr>
                <w:rFonts w:cs="Arial"/>
              </w:rPr>
              <w:t>7.2</w:t>
            </w:r>
            <w:r w:rsidRPr="00D00D9A">
              <w:rPr>
                <w:rFonts w:cs="Arial"/>
              </w:rPr>
              <w:fldChar w:fldCharType="end"/>
            </w:r>
            <w:bookmarkEnd w:id="1664"/>
            <w:r w:rsidRPr="00D00D9A">
              <w:rPr>
                <w:rFonts w:cs="Arial"/>
              </w:rPr>
              <w:t>;</w:t>
            </w:r>
          </w:p>
        </w:tc>
      </w:tr>
      <w:tr w:rsidR="00F67E9E" w:rsidRPr="00D00D9A" w14:paraId="1832B27B" w14:textId="77777777" w:rsidTr="007F74AA">
        <w:tc>
          <w:tcPr>
            <w:tcW w:w="2835" w:type="dxa"/>
          </w:tcPr>
          <w:p w14:paraId="1A940B6B" w14:textId="77777777" w:rsidR="00F67E9E" w:rsidRPr="00D00D9A" w:rsidRDefault="00F67E9E" w:rsidP="007F74AA">
            <w:pPr>
              <w:pStyle w:val="StdBodyTextBold"/>
              <w:rPr>
                <w:rFonts w:cs="Arial"/>
              </w:rPr>
            </w:pPr>
            <w:r>
              <w:rPr>
                <w:rFonts w:cs="Arial"/>
              </w:rPr>
              <w:t>“</w:t>
            </w:r>
            <w:r w:rsidRPr="00D00D9A">
              <w:rPr>
                <w:rFonts w:cs="Arial"/>
              </w:rPr>
              <w:t>Expert</w:t>
            </w:r>
            <w:r>
              <w:rPr>
                <w:rFonts w:cs="Arial"/>
              </w:rPr>
              <w:t>”</w:t>
            </w:r>
          </w:p>
        </w:tc>
        <w:tc>
          <w:tcPr>
            <w:tcW w:w="6803" w:type="dxa"/>
          </w:tcPr>
          <w:p w14:paraId="3C86BDF8" w14:textId="00FCF191" w:rsidR="00F67E9E" w:rsidRPr="00D00D9A" w:rsidRDefault="00F67E9E" w:rsidP="007F74AA">
            <w:pPr>
              <w:pStyle w:val="StdBodyText"/>
              <w:rPr>
                <w:rFonts w:cs="Arial"/>
              </w:rPr>
            </w:pPr>
            <w:r w:rsidRPr="00D00D9A">
              <w:rPr>
                <w:rFonts w:cs="Arial"/>
              </w:rPr>
              <w:t xml:space="preserve">in relation to a Dispute, a person appointed in accordance with </w:t>
            </w:r>
            <w:bookmarkStart w:id="1665" w:name="_9kMHG5YVtCIBCD9FIgTlj3Fx0GI7qv7yss4KKEE"/>
            <w:r w:rsidRPr="00D00D9A">
              <w:rPr>
                <w:rFonts w:cs="Arial"/>
              </w:rPr>
              <w:t xml:space="preserve">Paragraph </w:t>
            </w:r>
            <w:r w:rsidRPr="00D00D9A">
              <w:rPr>
                <w:rFonts w:cs="Arial"/>
              </w:rPr>
              <w:fldChar w:fldCharType="begin"/>
            </w:r>
            <w:r w:rsidRPr="00D00D9A">
              <w:rPr>
                <w:rFonts w:cs="Arial"/>
              </w:rPr>
              <w:instrText xml:space="preserve"> REF _Ref_ContractCompanion_9kb9Us66A \n \h \t \* MERGEFORMAT </w:instrText>
            </w:r>
            <w:r w:rsidRPr="00D00D9A">
              <w:rPr>
                <w:rFonts w:cs="Arial"/>
              </w:rPr>
            </w:r>
            <w:r w:rsidRPr="00D00D9A">
              <w:rPr>
                <w:rFonts w:cs="Arial"/>
              </w:rPr>
              <w:fldChar w:fldCharType="separate"/>
            </w:r>
            <w:r w:rsidR="00302D39">
              <w:rPr>
                <w:rFonts w:cs="Arial"/>
              </w:rPr>
              <w:t>6.2</w:t>
            </w:r>
            <w:r w:rsidRPr="00D00D9A">
              <w:rPr>
                <w:rFonts w:cs="Arial"/>
              </w:rPr>
              <w:fldChar w:fldCharType="end"/>
            </w:r>
            <w:bookmarkEnd w:id="1665"/>
            <w:r w:rsidRPr="00D00D9A">
              <w:rPr>
                <w:rFonts w:cs="Arial"/>
              </w:rPr>
              <w:t xml:space="preserve"> to act as an expert in relation to that Dispute;</w:t>
            </w:r>
          </w:p>
        </w:tc>
      </w:tr>
      <w:tr w:rsidR="00F67E9E" w:rsidRPr="00D00D9A" w14:paraId="1751835A" w14:textId="77777777" w:rsidTr="007F74AA">
        <w:tc>
          <w:tcPr>
            <w:tcW w:w="2835" w:type="dxa"/>
          </w:tcPr>
          <w:p w14:paraId="6BF5D4EC" w14:textId="77777777" w:rsidR="00F67E9E" w:rsidRPr="00D00D9A" w:rsidRDefault="00F67E9E" w:rsidP="007F74AA">
            <w:pPr>
              <w:pStyle w:val="StdBodyTextBold"/>
              <w:rPr>
                <w:rFonts w:cs="Arial"/>
              </w:rPr>
            </w:pPr>
            <w:r>
              <w:rPr>
                <w:rFonts w:cs="Arial"/>
              </w:rPr>
              <w:t>“</w:t>
            </w:r>
            <w:r w:rsidRPr="00D00D9A">
              <w:rPr>
                <w:rFonts w:cs="Arial"/>
              </w:rPr>
              <w:t>Expert Determination</w:t>
            </w:r>
            <w:r>
              <w:rPr>
                <w:rFonts w:cs="Arial"/>
              </w:rPr>
              <w:t>”</w:t>
            </w:r>
          </w:p>
        </w:tc>
        <w:tc>
          <w:tcPr>
            <w:tcW w:w="6803" w:type="dxa"/>
          </w:tcPr>
          <w:p w14:paraId="50F6636F" w14:textId="676BCD75" w:rsidR="00F67E9E" w:rsidRPr="00D00D9A" w:rsidRDefault="00F67E9E" w:rsidP="007F74AA">
            <w:pPr>
              <w:pStyle w:val="StdBodyText"/>
              <w:rPr>
                <w:rFonts w:cs="Arial"/>
              </w:rPr>
            </w:pPr>
            <w:r w:rsidRPr="00D00D9A">
              <w:rPr>
                <w:rFonts w:cs="Arial"/>
              </w:rPr>
              <w:t xml:space="preserve">determination by an Expert in accordance with </w:t>
            </w:r>
            <w:bookmarkStart w:id="1666" w:name="_9kMHG5YVtCIBAGJgLhkhy7sGTSeDP7AQDzGHGPH"/>
            <w:r w:rsidRPr="00D00D9A">
              <w:rPr>
                <w:rFonts w:cs="Arial"/>
              </w:rPr>
              <w:t xml:space="preserve">Paragraph </w:t>
            </w:r>
            <w:r w:rsidRPr="00D00D9A">
              <w:rPr>
                <w:rFonts w:cs="Arial"/>
              </w:rPr>
              <w:fldChar w:fldCharType="begin"/>
            </w:r>
            <w:r w:rsidRPr="00D00D9A">
              <w:rPr>
                <w:rFonts w:cs="Arial"/>
              </w:rPr>
              <w:instrText xml:space="preserve"> REF _Ref_ContractCompanion_9kb9Us4AB \w \n \h \t \* MERGEFORMAT </w:instrText>
            </w:r>
            <w:r w:rsidRPr="00D00D9A">
              <w:rPr>
                <w:rFonts w:cs="Arial"/>
              </w:rPr>
            </w:r>
            <w:r w:rsidRPr="00D00D9A">
              <w:rPr>
                <w:rFonts w:cs="Arial"/>
              </w:rPr>
              <w:fldChar w:fldCharType="separate"/>
            </w:r>
            <w:r w:rsidR="00302D39">
              <w:rPr>
                <w:rFonts w:cs="Arial"/>
              </w:rPr>
              <w:t>6</w:t>
            </w:r>
            <w:r w:rsidRPr="00D00D9A">
              <w:rPr>
                <w:rFonts w:cs="Arial"/>
              </w:rPr>
              <w:fldChar w:fldCharType="end"/>
            </w:r>
            <w:bookmarkEnd w:id="1666"/>
            <w:r w:rsidRPr="00D00D9A">
              <w:rPr>
                <w:rFonts w:cs="Arial"/>
              </w:rPr>
              <w:t>;</w:t>
            </w:r>
          </w:p>
        </w:tc>
      </w:tr>
      <w:tr w:rsidR="00F67E9E" w:rsidRPr="00D00D9A" w14:paraId="18BEF739" w14:textId="77777777" w:rsidTr="007F74AA">
        <w:tc>
          <w:tcPr>
            <w:tcW w:w="2835" w:type="dxa"/>
          </w:tcPr>
          <w:p w14:paraId="2D28C7FF" w14:textId="77777777" w:rsidR="00F67E9E" w:rsidRPr="00D00D9A" w:rsidRDefault="00F67E9E" w:rsidP="007F74AA">
            <w:pPr>
              <w:pStyle w:val="StdBodyTextBold"/>
              <w:rPr>
                <w:rFonts w:cs="Arial"/>
              </w:rPr>
            </w:pPr>
            <w:r>
              <w:rPr>
                <w:rFonts w:cs="Arial"/>
              </w:rPr>
              <w:t>“</w:t>
            </w:r>
            <w:r w:rsidRPr="00D00D9A">
              <w:rPr>
                <w:rFonts w:cs="Arial"/>
              </w:rPr>
              <w:t>Mediation Notice</w:t>
            </w:r>
            <w:r>
              <w:rPr>
                <w:rFonts w:cs="Arial"/>
              </w:rPr>
              <w:t>”</w:t>
            </w:r>
          </w:p>
        </w:tc>
        <w:tc>
          <w:tcPr>
            <w:tcW w:w="6803" w:type="dxa"/>
          </w:tcPr>
          <w:p w14:paraId="108D533D" w14:textId="39795264" w:rsidR="00F67E9E" w:rsidRPr="00D00D9A" w:rsidRDefault="00F67E9E" w:rsidP="007F74AA">
            <w:pPr>
              <w:pStyle w:val="StdBodyText"/>
              <w:rPr>
                <w:rFonts w:cs="Arial"/>
              </w:rPr>
            </w:pPr>
            <w:r w:rsidRPr="00D00D9A">
              <w:rPr>
                <w:rFonts w:cs="Arial"/>
              </w:rPr>
              <w:t xml:space="preserve">has the meaning given in </w:t>
            </w:r>
            <w:bookmarkStart w:id="1667" w:name="_9kMHG5YVtCJCCDCGGVG"/>
            <w:bookmarkStart w:id="1668" w:name="_9kMHG5YVtCIBCDDHGVG"/>
            <w:r w:rsidRPr="00D00D9A">
              <w:rPr>
                <w:rFonts w:cs="Arial"/>
              </w:rPr>
              <w:t xml:space="preserve">Paragraph </w:t>
            </w:r>
            <w:r w:rsidRPr="00D00D9A">
              <w:rPr>
                <w:rFonts w:cs="Arial"/>
              </w:rPr>
              <w:fldChar w:fldCharType="begin"/>
            </w:r>
            <w:r w:rsidRPr="00D00D9A">
              <w:rPr>
                <w:rFonts w:cs="Arial"/>
              </w:rPr>
              <w:instrText xml:space="preserve"> REF _Ref_ContractCompanion_9kb9Us674 \n \h \t \* MERGEFORMAT </w:instrText>
            </w:r>
            <w:r w:rsidRPr="00D00D9A">
              <w:rPr>
                <w:rFonts w:cs="Arial"/>
              </w:rPr>
            </w:r>
            <w:r w:rsidRPr="00D00D9A">
              <w:rPr>
                <w:rFonts w:cs="Arial"/>
              </w:rPr>
              <w:fldChar w:fldCharType="separate"/>
            </w:r>
            <w:r w:rsidR="00302D39">
              <w:rPr>
                <w:rFonts w:cs="Arial"/>
              </w:rPr>
              <w:t>4.2</w:t>
            </w:r>
            <w:r w:rsidRPr="00D00D9A">
              <w:rPr>
                <w:rFonts w:cs="Arial"/>
              </w:rPr>
              <w:fldChar w:fldCharType="end"/>
            </w:r>
            <w:bookmarkEnd w:id="1667"/>
            <w:bookmarkEnd w:id="1668"/>
            <w:r w:rsidRPr="00D00D9A">
              <w:rPr>
                <w:rFonts w:cs="Arial"/>
              </w:rPr>
              <w:t>;</w:t>
            </w:r>
          </w:p>
        </w:tc>
      </w:tr>
      <w:tr w:rsidR="00F67E9E" w:rsidRPr="00D00D9A" w14:paraId="46AD88DC" w14:textId="77777777" w:rsidTr="007F74AA">
        <w:tc>
          <w:tcPr>
            <w:tcW w:w="2835" w:type="dxa"/>
          </w:tcPr>
          <w:p w14:paraId="711EF1B0" w14:textId="77777777" w:rsidR="00F67E9E" w:rsidRPr="00D00D9A" w:rsidRDefault="00F67E9E" w:rsidP="007F74AA">
            <w:pPr>
              <w:pStyle w:val="StdBodyTextBold"/>
              <w:rPr>
                <w:rFonts w:cs="Arial"/>
              </w:rPr>
            </w:pPr>
            <w:r>
              <w:rPr>
                <w:rFonts w:cs="Arial"/>
              </w:rPr>
              <w:t>“</w:t>
            </w:r>
            <w:r w:rsidRPr="00D00D9A">
              <w:rPr>
                <w:rFonts w:cs="Arial"/>
              </w:rPr>
              <w:t>Mediator</w:t>
            </w:r>
            <w:r>
              <w:rPr>
                <w:rFonts w:cs="Arial"/>
              </w:rPr>
              <w:t>”</w:t>
            </w:r>
          </w:p>
        </w:tc>
        <w:tc>
          <w:tcPr>
            <w:tcW w:w="6803" w:type="dxa"/>
          </w:tcPr>
          <w:p w14:paraId="4B2ADEAE" w14:textId="72416B83" w:rsidR="00F67E9E" w:rsidRPr="00D00D9A" w:rsidRDefault="00F67E9E" w:rsidP="007F74AA">
            <w:pPr>
              <w:pStyle w:val="StdBodyText"/>
            </w:pPr>
            <w:r w:rsidRPr="00D00D9A">
              <w:t xml:space="preserve">the independent third party appointed in accordance with </w:t>
            </w:r>
            <w:bookmarkStart w:id="1669" w:name="_9kMHG5YVtCIBCDGLHVGy1nWNwG8u5227BL2r37G"/>
            <w:r w:rsidRPr="00D00D9A">
              <w:t xml:space="preserve">Paragraph </w:t>
            </w:r>
            <w:r w:rsidRPr="00D00D9A">
              <w:fldChar w:fldCharType="begin"/>
            </w:r>
            <w:r w:rsidRPr="00D00D9A">
              <w:instrText xml:space="preserve"> REF _Ref_ContractCompanion_9kb9Us678 \n \h \t \* MERGEFORMAT </w:instrText>
            </w:r>
            <w:r w:rsidRPr="00D00D9A">
              <w:fldChar w:fldCharType="separate"/>
            </w:r>
            <w:r w:rsidR="00302D39">
              <w:t>5.2</w:t>
            </w:r>
            <w:r w:rsidRPr="00D00D9A">
              <w:fldChar w:fldCharType="end"/>
            </w:r>
            <w:bookmarkEnd w:id="1669"/>
            <w:r w:rsidRPr="00D00D9A">
              <w:t xml:space="preserve"> to mediate a Dispute;</w:t>
            </w:r>
          </w:p>
        </w:tc>
      </w:tr>
      <w:tr w:rsidR="00F67E9E" w:rsidRPr="00D00D9A" w14:paraId="619FA747" w14:textId="77777777" w:rsidTr="007F74AA">
        <w:tc>
          <w:tcPr>
            <w:tcW w:w="2835" w:type="dxa"/>
          </w:tcPr>
          <w:p w14:paraId="0A683CFD" w14:textId="77777777" w:rsidR="00F67E9E" w:rsidRPr="00D00D9A" w:rsidRDefault="00F67E9E" w:rsidP="007F74AA">
            <w:pPr>
              <w:pStyle w:val="StdBodyTextBold"/>
              <w:rPr>
                <w:rFonts w:cs="Arial"/>
              </w:rPr>
            </w:pPr>
            <w:r>
              <w:rPr>
                <w:rFonts w:cs="Arial"/>
              </w:rPr>
              <w:t>“</w:t>
            </w:r>
            <w:r w:rsidRPr="00D00D9A">
              <w:rPr>
                <w:rFonts w:cs="Arial"/>
              </w:rPr>
              <w:t>Multi-Party Dispute</w:t>
            </w:r>
            <w:r>
              <w:rPr>
                <w:rFonts w:cs="Arial"/>
              </w:rPr>
              <w:t>”</w:t>
            </w:r>
          </w:p>
        </w:tc>
        <w:tc>
          <w:tcPr>
            <w:tcW w:w="6803" w:type="dxa"/>
          </w:tcPr>
          <w:p w14:paraId="5BF859F3" w14:textId="77777777" w:rsidR="00F67E9E" w:rsidRPr="00D00D9A" w:rsidRDefault="00F67E9E" w:rsidP="007F74AA">
            <w:pPr>
              <w:pStyle w:val="StdBodyText"/>
              <w:rPr>
                <w:rFonts w:cs="Arial"/>
              </w:rPr>
            </w:pPr>
            <w:r w:rsidRPr="00D00D9A">
              <w:rPr>
                <w:rFonts w:cs="Arial"/>
              </w:rPr>
              <w:t>a Dispute which involves the Parties and one or more Related Third Parties;</w:t>
            </w:r>
          </w:p>
        </w:tc>
      </w:tr>
      <w:tr w:rsidR="00F67E9E" w:rsidRPr="00D00D9A" w14:paraId="78FBDF81" w14:textId="77777777" w:rsidTr="007F74AA">
        <w:tc>
          <w:tcPr>
            <w:tcW w:w="2835" w:type="dxa"/>
          </w:tcPr>
          <w:p w14:paraId="44E12D21" w14:textId="77777777" w:rsidR="00F67E9E" w:rsidRPr="00D00D9A" w:rsidRDefault="00F67E9E" w:rsidP="007F74AA">
            <w:pPr>
              <w:pStyle w:val="StdBodyTextBold"/>
              <w:rPr>
                <w:rFonts w:cs="Arial"/>
              </w:rPr>
            </w:pPr>
            <w:r>
              <w:rPr>
                <w:rFonts w:cs="Arial"/>
              </w:rPr>
              <w:t>“</w:t>
            </w:r>
            <w:r w:rsidRPr="00D00D9A">
              <w:rPr>
                <w:rFonts w:cs="Arial"/>
              </w:rPr>
              <w:t>Multi-Party Dispute Representatives</w:t>
            </w:r>
            <w:r>
              <w:rPr>
                <w:rFonts w:cs="Arial"/>
              </w:rPr>
              <w:t>”</w:t>
            </w:r>
          </w:p>
        </w:tc>
        <w:tc>
          <w:tcPr>
            <w:tcW w:w="6803" w:type="dxa"/>
          </w:tcPr>
          <w:p w14:paraId="0D8D18C4" w14:textId="20D26554" w:rsidR="00F67E9E" w:rsidRPr="00D00D9A" w:rsidRDefault="00F67E9E" w:rsidP="007F74AA">
            <w:pPr>
              <w:pStyle w:val="StdBodyText"/>
              <w:rPr>
                <w:rFonts w:cs="Arial"/>
              </w:rPr>
            </w:pPr>
            <w:r w:rsidRPr="00D00D9A">
              <w:rPr>
                <w:rFonts w:cs="Arial"/>
              </w:rPr>
              <w:t xml:space="preserve">has the meaning given in </w:t>
            </w:r>
            <w:bookmarkStart w:id="1670" w:name="_9kMHG5YVtCJCCEAIPWMzx1D80z544MEwt68vdsO"/>
            <w:bookmarkStart w:id="1671" w:name="_9kMHG5YVtCIBCEBJPWMzx1D80z544MEwt68vdsO"/>
            <w:r w:rsidRPr="00D00D9A">
              <w:rPr>
                <w:rFonts w:cs="Arial"/>
              </w:rPr>
              <w:t xml:space="preserve">Paragraph </w:t>
            </w:r>
            <w:r w:rsidRPr="00D00D9A">
              <w:rPr>
                <w:rFonts w:cs="Arial"/>
              </w:rPr>
              <w:fldChar w:fldCharType="begin"/>
            </w:r>
            <w:r w:rsidRPr="00D00D9A">
              <w:rPr>
                <w:rFonts w:cs="Arial"/>
              </w:rPr>
              <w:instrText xml:space="preserve"> REF _Ref_ContractCompanion_9kb9Us67B \n \h \t \* MERGEFORMAT </w:instrText>
            </w:r>
            <w:r w:rsidRPr="00D00D9A">
              <w:rPr>
                <w:rFonts w:cs="Arial"/>
              </w:rPr>
            </w:r>
            <w:r w:rsidRPr="00D00D9A">
              <w:rPr>
                <w:rFonts w:cs="Arial"/>
              </w:rPr>
              <w:fldChar w:fldCharType="separate"/>
            </w:r>
            <w:r w:rsidR="00302D39">
              <w:rPr>
                <w:rFonts w:cs="Arial"/>
              </w:rPr>
              <w:t>9.6</w:t>
            </w:r>
            <w:r w:rsidRPr="00D00D9A">
              <w:rPr>
                <w:rFonts w:cs="Arial"/>
              </w:rPr>
              <w:fldChar w:fldCharType="end"/>
            </w:r>
            <w:bookmarkEnd w:id="1670"/>
            <w:bookmarkEnd w:id="1671"/>
            <w:r w:rsidRPr="00D00D9A">
              <w:rPr>
                <w:rFonts w:cs="Arial"/>
              </w:rPr>
              <w:t>;</w:t>
            </w:r>
          </w:p>
        </w:tc>
      </w:tr>
      <w:tr w:rsidR="00F67E9E" w:rsidRPr="00D00D9A" w14:paraId="33B93972" w14:textId="77777777" w:rsidTr="007F74AA">
        <w:tc>
          <w:tcPr>
            <w:tcW w:w="2835" w:type="dxa"/>
          </w:tcPr>
          <w:p w14:paraId="71BA62ED" w14:textId="77777777" w:rsidR="00F67E9E" w:rsidRPr="00D00D9A" w:rsidRDefault="00F67E9E" w:rsidP="007F74AA">
            <w:pPr>
              <w:pStyle w:val="StdBodyTextBold"/>
              <w:rPr>
                <w:rFonts w:cs="Arial"/>
              </w:rPr>
            </w:pPr>
            <w:r>
              <w:rPr>
                <w:rFonts w:cs="Arial"/>
              </w:rPr>
              <w:t>“</w:t>
            </w:r>
            <w:r w:rsidRPr="00D00D9A">
              <w:rPr>
                <w:rFonts w:cs="Arial"/>
              </w:rPr>
              <w:t>Multi-Party Dispute Resolution Board</w:t>
            </w:r>
            <w:r>
              <w:rPr>
                <w:rFonts w:cs="Arial"/>
              </w:rPr>
              <w:t>”</w:t>
            </w:r>
          </w:p>
        </w:tc>
        <w:tc>
          <w:tcPr>
            <w:tcW w:w="6803" w:type="dxa"/>
          </w:tcPr>
          <w:p w14:paraId="16722319" w14:textId="2A734301" w:rsidR="00F67E9E" w:rsidRPr="00D00D9A" w:rsidRDefault="00F67E9E" w:rsidP="007F74AA">
            <w:pPr>
              <w:pStyle w:val="StdBodyText"/>
              <w:rPr>
                <w:rFonts w:cs="Arial"/>
              </w:rPr>
            </w:pPr>
            <w:r w:rsidRPr="00D00D9A">
              <w:rPr>
                <w:rFonts w:cs="Arial"/>
              </w:rPr>
              <w:t xml:space="preserve">has the meaning given in </w:t>
            </w:r>
            <w:bookmarkStart w:id="1672" w:name="_9kMIH5YVtCJCCEAIPWMzx1D80z544MEwt68vdsO"/>
            <w:bookmarkStart w:id="1673" w:name="_9kMIH5YVtCIBCEBJPWMzx1D80z544MEwt68vdsO"/>
            <w:r w:rsidRPr="00D00D9A">
              <w:rPr>
                <w:rFonts w:cs="Arial"/>
              </w:rPr>
              <w:t xml:space="preserve">Paragraph </w:t>
            </w:r>
            <w:r w:rsidRPr="00D00D9A">
              <w:rPr>
                <w:rFonts w:cs="Arial"/>
              </w:rPr>
              <w:fldChar w:fldCharType="begin"/>
            </w:r>
            <w:r w:rsidRPr="00D00D9A">
              <w:rPr>
                <w:rFonts w:cs="Arial"/>
              </w:rPr>
              <w:instrText xml:space="preserve"> REF _Ref_ContractCompanion_9kb9Us67B \n \h \t \* MERGEFORMAT </w:instrText>
            </w:r>
            <w:r w:rsidRPr="00D00D9A">
              <w:rPr>
                <w:rFonts w:cs="Arial"/>
              </w:rPr>
            </w:r>
            <w:r w:rsidRPr="00D00D9A">
              <w:rPr>
                <w:rFonts w:cs="Arial"/>
              </w:rPr>
              <w:fldChar w:fldCharType="separate"/>
            </w:r>
            <w:r w:rsidR="00302D39">
              <w:rPr>
                <w:rFonts w:cs="Arial"/>
              </w:rPr>
              <w:t>9.6</w:t>
            </w:r>
            <w:r w:rsidRPr="00D00D9A">
              <w:rPr>
                <w:rFonts w:cs="Arial"/>
              </w:rPr>
              <w:fldChar w:fldCharType="end"/>
            </w:r>
            <w:bookmarkEnd w:id="1672"/>
            <w:bookmarkEnd w:id="1673"/>
            <w:r w:rsidRPr="00D00D9A">
              <w:rPr>
                <w:rFonts w:cs="Arial"/>
              </w:rPr>
              <w:t>;</w:t>
            </w:r>
          </w:p>
        </w:tc>
      </w:tr>
      <w:tr w:rsidR="00F67E9E" w:rsidRPr="00D00D9A" w14:paraId="3D2DDA8F" w14:textId="77777777" w:rsidTr="007F74AA">
        <w:tc>
          <w:tcPr>
            <w:tcW w:w="2835" w:type="dxa"/>
          </w:tcPr>
          <w:p w14:paraId="63DD8934" w14:textId="77777777" w:rsidR="00F67E9E" w:rsidRPr="00D00D9A" w:rsidRDefault="00F67E9E" w:rsidP="007F74AA">
            <w:pPr>
              <w:pStyle w:val="StdBodyTextBold"/>
              <w:rPr>
                <w:rFonts w:cs="Arial"/>
              </w:rPr>
            </w:pPr>
            <w:r>
              <w:rPr>
                <w:rFonts w:cs="Arial"/>
              </w:rPr>
              <w:t>“</w:t>
            </w:r>
            <w:r w:rsidRPr="00D00D9A">
              <w:rPr>
                <w:rFonts w:cs="Arial"/>
              </w:rPr>
              <w:t>Related Third Party</w:t>
            </w:r>
            <w:r>
              <w:rPr>
                <w:rFonts w:cs="Arial"/>
              </w:rPr>
              <w:t>”</w:t>
            </w:r>
          </w:p>
        </w:tc>
        <w:tc>
          <w:tcPr>
            <w:tcW w:w="6803" w:type="dxa"/>
          </w:tcPr>
          <w:p w14:paraId="44E571F9" w14:textId="77777777" w:rsidR="00F67E9E" w:rsidRPr="00D00D9A" w:rsidRDefault="00F67E9E" w:rsidP="007F74AA">
            <w:pPr>
              <w:pStyle w:val="StdBodyText"/>
              <w:rPr>
                <w:rFonts w:cs="Arial"/>
              </w:rPr>
            </w:pPr>
            <w:r w:rsidRPr="00D00D9A">
              <w:rPr>
                <w:rFonts w:cs="Arial"/>
              </w:rPr>
              <w:t>a party to:</w:t>
            </w:r>
          </w:p>
          <w:p w14:paraId="31522E61" w14:textId="77777777" w:rsidR="00F67E9E" w:rsidRPr="007216EA" w:rsidRDefault="00F67E9E" w:rsidP="007F74AA">
            <w:pPr>
              <w:pStyle w:val="DefinitionList"/>
              <w:numPr>
                <w:ilvl w:val="0"/>
                <w:numId w:val="213"/>
              </w:numPr>
            </w:pPr>
            <w:r w:rsidRPr="007216EA">
              <w:t>another contract with the Authority or the Supplier which is relevant to this Contract; or</w:t>
            </w:r>
          </w:p>
          <w:p w14:paraId="38CA1FAC" w14:textId="77777777" w:rsidR="00F67E9E" w:rsidRPr="007216EA" w:rsidRDefault="00F67E9E" w:rsidP="007F74AA">
            <w:pPr>
              <w:pStyle w:val="DefinitionList"/>
              <w:numPr>
                <w:ilvl w:val="0"/>
                <w:numId w:val="213"/>
              </w:numPr>
              <w:rPr>
                <w:rFonts w:cs="Arial"/>
              </w:rPr>
            </w:pPr>
            <w:r w:rsidRPr="007216EA">
              <w:t>a Sub-contract; and</w:t>
            </w:r>
          </w:p>
        </w:tc>
      </w:tr>
      <w:tr w:rsidR="00F67E9E" w:rsidRPr="00D00D9A" w14:paraId="2133DC80" w14:textId="77777777" w:rsidTr="007F74AA">
        <w:tc>
          <w:tcPr>
            <w:tcW w:w="2835" w:type="dxa"/>
          </w:tcPr>
          <w:p w14:paraId="232667F5" w14:textId="77777777" w:rsidR="00F67E9E" w:rsidRPr="00D00D9A" w:rsidRDefault="00F67E9E" w:rsidP="007F74AA">
            <w:pPr>
              <w:pStyle w:val="StdBodyTextBold"/>
              <w:rPr>
                <w:rFonts w:cs="Arial"/>
              </w:rPr>
            </w:pPr>
            <w:r>
              <w:rPr>
                <w:rFonts w:cs="Arial"/>
              </w:rPr>
              <w:t>“</w:t>
            </w:r>
            <w:r w:rsidRPr="00D00D9A">
              <w:rPr>
                <w:rFonts w:cs="Arial"/>
              </w:rPr>
              <w:t>Supplier Request</w:t>
            </w:r>
            <w:r>
              <w:rPr>
                <w:rFonts w:cs="Arial"/>
              </w:rPr>
              <w:t>”</w:t>
            </w:r>
          </w:p>
        </w:tc>
        <w:tc>
          <w:tcPr>
            <w:tcW w:w="6803" w:type="dxa"/>
          </w:tcPr>
          <w:p w14:paraId="136EEAD6" w14:textId="77777777" w:rsidR="00F67E9E" w:rsidRPr="00D00D9A" w:rsidRDefault="00F67E9E" w:rsidP="007F74AA">
            <w:pPr>
              <w:pStyle w:val="StdBodyText"/>
              <w:rPr>
                <w:rFonts w:cs="Arial"/>
              </w:rPr>
            </w:pPr>
            <w:r w:rsidRPr="00D00D9A">
              <w:rPr>
                <w:rFonts w:cs="Arial"/>
              </w:rPr>
              <w:t>a notice served by the Supplier requesting that the Dispute be treated as a Multi-Party Dispute, setting out its grounds for that request and specifying each Related Third Party that it believes should be involved in the Multi-Dispute Resolution Procedure in respect of that Dispute.</w:t>
            </w:r>
          </w:p>
        </w:tc>
      </w:tr>
    </w:tbl>
    <w:p w14:paraId="5D9EDC49" w14:textId="77777777" w:rsidR="00F67E9E" w:rsidRPr="00D00D9A" w:rsidRDefault="00F67E9E" w:rsidP="00F67E9E">
      <w:pPr>
        <w:pStyle w:val="Numbered1"/>
      </w:pPr>
      <w:r w:rsidRPr="00D00D9A">
        <w:t>Dispute Notices</w:t>
      </w:r>
    </w:p>
    <w:p w14:paraId="3275C8CB" w14:textId="77777777" w:rsidR="00F67E9E" w:rsidRPr="00D00D9A" w:rsidRDefault="00F67E9E" w:rsidP="00F67E9E">
      <w:pPr>
        <w:pStyle w:val="Numbered11"/>
      </w:pPr>
      <w:bookmarkStart w:id="1674" w:name="_Ref_ContractCompanion_9kb9Us6CF"/>
      <w:bookmarkStart w:id="1675" w:name="_9kR3WTrAG9AGLIBSEdCF19CH2ky7967NDz6"/>
      <w:bookmarkStart w:id="1676" w:name="_Ref_ContractCompanion_9kb9Us7EA"/>
      <w:r w:rsidRPr="00D00D9A">
        <w:t>If a Dispute arises then:</w:t>
      </w:r>
      <w:bookmarkEnd w:id="1674"/>
      <w:bookmarkEnd w:id="1675"/>
      <w:bookmarkEnd w:id="1676"/>
    </w:p>
    <w:p w14:paraId="6BA4D947" w14:textId="77777777" w:rsidR="00F67E9E" w:rsidRPr="00154D56" w:rsidRDefault="00F67E9E" w:rsidP="00F67E9E">
      <w:pPr>
        <w:pStyle w:val="Numbered111"/>
      </w:pPr>
      <w:r w:rsidRPr="00D00D9A">
        <w:t xml:space="preserve">the </w:t>
      </w:r>
      <w:r w:rsidRPr="00154D56">
        <w:t>Authority Representative and the Supplier Representative shall attempt in good faith to resolve the Dispute; and</w:t>
      </w:r>
    </w:p>
    <w:p w14:paraId="2E306836" w14:textId="77777777" w:rsidR="00F67E9E" w:rsidRPr="00D00D9A" w:rsidRDefault="00F67E9E" w:rsidP="00F67E9E">
      <w:pPr>
        <w:pStyle w:val="Numbered111"/>
      </w:pPr>
      <w:r w:rsidRPr="00154D56">
        <w:t>if such attempts are not successful within a reasonable period, not being longer than 20 Working</w:t>
      </w:r>
      <w:r w:rsidRPr="00D00D9A">
        <w:t xml:space="preserve"> Days, either Party may issue to the other a Dispute Notice.</w:t>
      </w:r>
    </w:p>
    <w:p w14:paraId="121ABD5B" w14:textId="77777777" w:rsidR="00F67E9E" w:rsidRPr="00D00D9A" w:rsidRDefault="00F67E9E" w:rsidP="00F67E9E">
      <w:pPr>
        <w:pStyle w:val="Numbered11"/>
      </w:pPr>
      <w:bookmarkStart w:id="1677" w:name="_Ref_ContractCompanion_9kb9Us7EF"/>
      <w:r w:rsidRPr="00D00D9A">
        <w:t xml:space="preserve">A Dispute </w:t>
      </w:r>
      <w:r w:rsidRPr="00154D56">
        <w:t>Notice</w:t>
      </w:r>
      <w:r w:rsidRPr="00D00D9A">
        <w:t>:</w:t>
      </w:r>
      <w:bookmarkEnd w:id="1677"/>
    </w:p>
    <w:p w14:paraId="26DF0874" w14:textId="77777777" w:rsidR="00F67E9E" w:rsidRPr="00D00D9A" w:rsidRDefault="00F67E9E" w:rsidP="00F67E9E">
      <w:pPr>
        <w:pStyle w:val="Numbered111"/>
      </w:pPr>
      <w:r w:rsidRPr="00D00D9A">
        <w:t xml:space="preserve">shall set </w:t>
      </w:r>
      <w:r w:rsidRPr="00154D56">
        <w:t>out</w:t>
      </w:r>
      <w:r w:rsidRPr="00D00D9A">
        <w:t>:</w:t>
      </w:r>
    </w:p>
    <w:p w14:paraId="55540D0D" w14:textId="77777777" w:rsidR="00F67E9E" w:rsidRPr="00154D56" w:rsidRDefault="00F67E9E" w:rsidP="00F67E9E">
      <w:pPr>
        <w:pStyle w:val="Numbered111a"/>
      </w:pPr>
      <w:r w:rsidRPr="00D00D9A">
        <w:t xml:space="preserve">the material </w:t>
      </w:r>
      <w:r w:rsidRPr="00154D56">
        <w:t>particulars of the Dispute;</w:t>
      </w:r>
    </w:p>
    <w:p w14:paraId="14858D6F" w14:textId="77777777" w:rsidR="00F67E9E" w:rsidRPr="00154D56" w:rsidRDefault="00F67E9E" w:rsidP="00F67E9E">
      <w:pPr>
        <w:pStyle w:val="Numbered111a"/>
      </w:pPr>
      <w:r w:rsidRPr="00154D56">
        <w:t>the reasons why the Party serving the Dispute Notice believes that the Dispute has arisen; and</w:t>
      </w:r>
    </w:p>
    <w:p w14:paraId="628F8967" w14:textId="77777777" w:rsidR="00F67E9E" w:rsidRPr="00D00D9A" w:rsidRDefault="00F67E9E" w:rsidP="00F67E9E">
      <w:pPr>
        <w:pStyle w:val="Numbered111a"/>
      </w:pPr>
      <w:r w:rsidRPr="00154D56">
        <w:t>if the Party serving the Dispute Notice believes that the Dispute should be dealt with under the</w:t>
      </w:r>
      <w:r w:rsidRPr="00D00D9A">
        <w:t xml:space="preserve"> Expedited Dispute Timetable, the reason why; and</w:t>
      </w:r>
    </w:p>
    <w:p w14:paraId="37972975" w14:textId="257454FB" w:rsidR="00F67E9E" w:rsidRPr="00D00D9A" w:rsidRDefault="00F67E9E" w:rsidP="00F67E9E">
      <w:pPr>
        <w:pStyle w:val="Numbered111"/>
      </w:pPr>
      <w:bookmarkStart w:id="1678" w:name="_Ref_ContractCompanion_9kb9Us696"/>
      <w:bookmarkStart w:id="1679" w:name="_9kR3WTrAG9ADCCCmkkxG8vjos9D3wmp2I8s36yJ"/>
      <w:r w:rsidRPr="00D00D9A">
        <w:t xml:space="preserve">may specify in </w:t>
      </w:r>
      <w:r w:rsidRPr="00154D56">
        <w:t>accordance</w:t>
      </w:r>
      <w:r w:rsidRPr="00D00D9A">
        <w:t xml:space="preserve"> with the requirements of </w:t>
      </w:r>
      <w:bookmarkStart w:id="1680" w:name="_9kMHG5YVtCIBCEEMLVGfuvqFM71ys3A8COJBAHJ"/>
      <w:r w:rsidRPr="00D00D9A">
        <w:t xml:space="preserve">Paragraphs </w:t>
      </w:r>
      <w:r w:rsidRPr="00D00D9A">
        <w:fldChar w:fldCharType="begin"/>
      </w:r>
      <w:r w:rsidRPr="00D00D9A">
        <w:instrText xml:space="preserve"> REF _Ref_ContractCompanion_9kb9Us686 \n \h \t \* MERGEFORMAT </w:instrText>
      </w:r>
      <w:r w:rsidRPr="00D00D9A">
        <w:fldChar w:fldCharType="separate"/>
      </w:r>
      <w:r w:rsidR="00302D39">
        <w:t>9.2</w:t>
      </w:r>
      <w:r w:rsidRPr="00D00D9A">
        <w:fldChar w:fldCharType="end"/>
      </w:r>
      <w:bookmarkEnd w:id="1680"/>
      <w:r w:rsidRPr="00D00D9A">
        <w:t xml:space="preserve"> and </w:t>
      </w:r>
      <w:bookmarkStart w:id="1681" w:name="_9kMHG5YVtCIBCEHPMWGku1z3FA218AwyDORE9By"/>
      <w:r w:rsidRPr="00D00D9A">
        <w:fldChar w:fldCharType="begin"/>
      </w:r>
      <w:r w:rsidRPr="00D00D9A">
        <w:instrText xml:space="preserve"> REF _Ref_ContractCompanion_9kb9Us689 \n \h \t \* MERGEFORMAT </w:instrText>
      </w:r>
      <w:r w:rsidRPr="00D00D9A">
        <w:fldChar w:fldCharType="separate"/>
      </w:r>
      <w:r w:rsidR="00302D39">
        <w:t>9.3</w:t>
      </w:r>
      <w:r w:rsidRPr="00D00D9A">
        <w:fldChar w:fldCharType="end"/>
      </w:r>
      <w:bookmarkEnd w:id="1681"/>
      <w:r w:rsidRPr="00D00D9A">
        <w:t xml:space="preserve"> that the Party issuing the Dispute Notice has determined (in the case of the Authority) or considers (in the case of the Supplier) that the Dispute is a Multi-Party Dispute, in which case </w:t>
      </w:r>
      <w:bookmarkStart w:id="1682" w:name="_9kMHG5YVtCIBCFBBFWGfEH3BEJ4ZeHCwtAM9x26"/>
      <w:r w:rsidRPr="00D00D9A">
        <w:t xml:space="preserve">Paragraph </w:t>
      </w:r>
      <w:r w:rsidRPr="00D00D9A">
        <w:fldChar w:fldCharType="begin"/>
      </w:r>
      <w:r w:rsidRPr="00D00D9A">
        <w:instrText xml:space="preserve"> REF _Ref_ContractCompanion_9kb9Us68C \n \h \t \* MERGEFORMAT </w:instrText>
      </w:r>
      <w:r w:rsidRPr="00D00D9A">
        <w:fldChar w:fldCharType="separate"/>
      </w:r>
      <w:r w:rsidR="00302D39">
        <w:t>2.3</w:t>
      </w:r>
      <w:r w:rsidRPr="00D00D9A">
        <w:fldChar w:fldCharType="end"/>
      </w:r>
      <w:bookmarkEnd w:id="1682"/>
      <w:r w:rsidRPr="00D00D9A">
        <w:t xml:space="preserve"> shall apply.</w:t>
      </w:r>
      <w:bookmarkEnd w:id="1678"/>
      <w:bookmarkEnd w:id="1679"/>
    </w:p>
    <w:p w14:paraId="3D1E3CB4" w14:textId="6CC6709F" w:rsidR="00F67E9E" w:rsidRPr="00D00D9A" w:rsidRDefault="00F67E9E" w:rsidP="00F67E9E">
      <w:pPr>
        <w:pStyle w:val="Numbered11"/>
      </w:pPr>
      <w:bookmarkStart w:id="1683" w:name="_Ref_ContractCompanion_9kb9Us68C"/>
      <w:bookmarkStart w:id="1684" w:name="_9kR3WTrAG9AD99DUEdCF19CH2XcFAur8K7v0455"/>
      <w:r w:rsidRPr="00D00D9A">
        <w:t xml:space="preserve">If a Dispute Notice specifies that the Dispute has been determined or is considered to be a Multi-Party </w:t>
      </w:r>
      <w:r w:rsidRPr="00154D56">
        <w:t>Dispute</w:t>
      </w:r>
      <w:r w:rsidRPr="00D00D9A">
        <w:t xml:space="preserve"> pursuant to </w:t>
      </w:r>
      <w:bookmarkStart w:id="1685" w:name="_9kMHG5YVtCIBCFEEEommzIAxlquBF5yor4KAu58"/>
      <w:r w:rsidRPr="00D00D9A">
        <w:t xml:space="preserve">Paragraph </w:t>
      </w:r>
      <w:r w:rsidRPr="00D00D9A">
        <w:fldChar w:fldCharType="begin"/>
      </w:r>
      <w:r w:rsidRPr="00D00D9A">
        <w:instrText xml:space="preserve"> REF _Ref_ContractCompanion_9kb9Us696 \w \h \t \* MERGEFORMAT </w:instrText>
      </w:r>
      <w:r w:rsidRPr="00D00D9A">
        <w:fldChar w:fldCharType="separate"/>
      </w:r>
      <w:r w:rsidR="00302D39">
        <w:t>2.2.2</w:t>
      </w:r>
      <w:r w:rsidRPr="00D00D9A">
        <w:fldChar w:fldCharType="end"/>
      </w:r>
      <w:bookmarkEnd w:id="1685"/>
      <w:r w:rsidRPr="00D00D9A">
        <w:t>, then:</w:t>
      </w:r>
      <w:bookmarkEnd w:id="1683"/>
      <w:bookmarkEnd w:id="1684"/>
    </w:p>
    <w:p w14:paraId="4C0B9F01" w14:textId="77777777" w:rsidR="00F67E9E" w:rsidRPr="00154D56" w:rsidRDefault="00F67E9E" w:rsidP="00F67E9E">
      <w:pPr>
        <w:pStyle w:val="Numbered111"/>
      </w:pPr>
      <w:r w:rsidRPr="00D00D9A">
        <w:t xml:space="preserve">if it is served by the Authority it shall be treated as a Multi-Party Procedure Initiation </w:t>
      </w:r>
      <w:r w:rsidRPr="00154D56">
        <w:t xml:space="preserve">Notice; and </w:t>
      </w:r>
    </w:p>
    <w:p w14:paraId="74DFCC7E" w14:textId="77777777" w:rsidR="00F67E9E" w:rsidRPr="00D00D9A" w:rsidRDefault="00F67E9E" w:rsidP="00F67E9E">
      <w:pPr>
        <w:pStyle w:val="Numbered111"/>
      </w:pPr>
      <w:r w:rsidRPr="00154D56">
        <w:t>if it is served b</w:t>
      </w:r>
      <w:r w:rsidRPr="00D00D9A">
        <w:t>y the Supplier it shall be treated as a Supplier Request,</w:t>
      </w:r>
    </w:p>
    <w:p w14:paraId="48B4E387" w14:textId="6596812B" w:rsidR="00F67E9E" w:rsidRPr="00D00D9A" w:rsidRDefault="00F67E9E" w:rsidP="00F67E9E">
      <w:pPr>
        <w:pStyle w:val="StdBodyText2"/>
        <w:rPr>
          <w:rFonts w:cs="Arial"/>
        </w:rPr>
      </w:pPr>
      <w:r w:rsidRPr="00D00D9A">
        <w:rPr>
          <w:rFonts w:cs="Arial"/>
        </w:rPr>
        <w:t xml:space="preserve">and in each case the provisions of </w:t>
      </w:r>
      <w:bookmarkStart w:id="1686" w:name="_9kMHG5YVtCIBAFMkLhkhy7sGTVpIIIGD69TbM7N"/>
      <w:r w:rsidRPr="00D00D9A">
        <w:rPr>
          <w:rFonts w:cs="Arial"/>
        </w:rPr>
        <w:t xml:space="preserve">Paragraph </w:t>
      </w:r>
      <w:r w:rsidRPr="00D00D9A">
        <w:rPr>
          <w:rFonts w:cs="Arial"/>
        </w:rPr>
        <w:fldChar w:fldCharType="begin"/>
      </w:r>
      <w:r w:rsidRPr="00D00D9A">
        <w:rPr>
          <w:rFonts w:cs="Arial"/>
        </w:rPr>
        <w:instrText xml:space="preserve"> REF _Ref_ContractCompanion_9kb9Us49E \w \n \h \t \* MERGEFORMAT </w:instrText>
      </w:r>
      <w:r w:rsidRPr="00D00D9A">
        <w:rPr>
          <w:rFonts w:cs="Arial"/>
        </w:rPr>
      </w:r>
      <w:r w:rsidRPr="00D00D9A">
        <w:rPr>
          <w:rFonts w:cs="Arial"/>
        </w:rPr>
        <w:fldChar w:fldCharType="separate"/>
      </w:r>
      <w:r w:rsidR="00302D39">
        <w:rPr>
          <w:rFonts w:cs="Arial"/>
        </w:rPr>
        <w:t>9</w:t>
      </w:r>
      <w:r w:rsidRPr="00D00D9A">
        <w:rPr>
          <w:rFonts w:cs="Arial"/>
        </w:rPr>
        <w:fldChar w:fldCharType="end"/>
      </w:r>
      <w:bookmarkEnd w:id="1686"/>
      <w:r w:rsidRPr="00D00D9A">
        <w:rPr>
          <w:rFonts w:cs="Arial"/>
        </w:rPr>
        <w:t xml:space="preserve"> shall apply.</w:t>
      </w:r>
    </w:p>
    <w:p w14:paraId="5E897F4B" w14:textId="393A312A" w:rsidR="00F67E9E" w:rsidRPr="00D00D9A" w:rsidRDefault="00F67E9E" w:rsidP="00F67E9E">
      <w:pPr>
        <w:pStyle w:val="Numbered11"/>
      </w:pPr>
      <w:bookmarkStart w:id="1687" w:name="_Ref_ContractCompanion_9kb9Us7FB"/>
      <w:r w:rsidRPr="00D00D9A">
        <w:t xml:space="preserve">Subject to </w:t>
      </w:r>
      <w:bookmarkStart w:id="1688" w:name="_9kMHG5YVtCIBCFHHHiathmqrpq7IL87MCv0C3xE"/>
      <w:r w:rsidRPr="00D00D9A">
        <w:t xml:space="preserve">Paragraphs </w:t>
      </w:r>
      <w:r w:rsidRPr="00D00D9A">
        <w:fldChar w:fldCharType="begin"/>
      </w:r>
      <w:r w:rsidRPr="00D00D9A">
        <w:instrText xml:space="preserve"> REF _Ref_ContractCompanion_9kb9Us699 \n \h \t \* MERGEFORMAT </w:instrText>
      </w:r>
      <w:r w:rsidRPr="00D00D9A">
        <w:fldChar w:fldCharType="separate"/>
      </w:r>
      <w:r w:rsidR="00302D39">
        <w:t>2.5</w:t>
      </w:r>
      <w:r w:rsidRPr="00D00D9A">
        <w:fldChar w:fldCharType="end"/>
      </w:r>
      <w:bookmarkEnd w:id="1688"/>
      <w:r w:rsidRPr="00D00D9A">
        <w:t xml:space="preserve"> and </w:t>
      </w:r>
      <w:bookmarkStart w:id="1689" w:name="_9kMHG5YVtCIBCFKLFVGy1nLZHzotA7sSSEMPUFq"/>
      <w:r w:rsidRPr="00D00D9A">
        <w:fldChar w:fldCharType="begin"/>
      </w:r>
      <w:r w:rsidRPr="00D00D9A">
        <w:instrText xml:space="preserve"> REF _Ref_ContractCompanion_9kb9Us69C \n \h \t \* MERGEFORMAT </w:instrText>
      </w:r>
      <w:r w:rsidRPr="00D00D9A">
        <w:fldChar w:fldCharType="separate"/>
      </w:r>
      <w:r w:rsidR="00302D39">
        <w:t>3.2</w:t>
      </w:r>
      <w:r w:rsidRPr="00D00D9A">
        <w:fldChar w:fldCharType="end"/>
      </w:r>
      <w:bookmarkEnd w:id="1689"/>
      <w:r w:rsidRPr="00D00D9A">
        <w:t xml:space="preserve"> and so long as the Authority has not served a Multi-Party Procedure Initiation Notice in respect of the relevant Dispute, following the issue of a Dispute Notice the Parties shall seek to resolve the Dispute:</w:t>
      </w:r>
      <w:bookmarkEnd w:id="1687"/>
    </w:p>
    <w:p w14:paraId="5BE54480" w14:textId="3BF8FF69" w:rsidR="00F67E9E" w:rsidRPr="00D00D9A" w:rsidRDefault="00F67E9E" w:rsidP="00F67E9E">
      <w:pPr>
        <w:pStyle w:val="Numbered111"/>
      </w:pPr>
      <w:r w:rsidRPr="00D00D9A">
        <w:t xml:space="preserve">first by commercial negotiation (as prescribed in </w:t>
      </w:r>
      <w:bookmarkStart w:id="1690" w:name="_9kMHG5YVtCIBAHGcLhkhy7sGTQa2DC5BA215JD7"/>
      <w:r w:rsidRPr="00D00D9A">
        <w:t xml:space="preserve">Paragraph </w:t>
      </w:r>
      <w:r w:rsidRPr="00D00D9A">
        <w:fldChar w:fldCharType="begin"/>
      </w:r>
      <w:r w:rsidRPr="00D00D9A">
        <w:instrText xml:space="preserve"> REF _Ref_ContractCompanion_9kb9Us4AH \w \n \h \t \* MERGEFORMAT </w:instrText>
      </w:r>
      <w:r w:rsidRPr="00D00D9A">
        <w:fldChar w:fldCharType="separate"/>
      </w:r>
      <w:r w:rsidR="00302D39">
        <w:t>4</w:t>
      </w:r>
      <w:r w:rsidRPr="00D00D9A">
        <w:fldChar w:fldCharType="end"/>
      </w:r>
      <w:bookmarkEnd w:id="1690"/>
      <w:r w:rsidRPr="00D00D9A">
        <w:t>);</w:t>
      </w:r>
    </w:p>
    <w:p w14:paraId="0581BDB1" w14:textId="5DA136CA" w:rsidR="00F67E9E" w:rsidRPr="00D00D9A" w:rsidRDefault="00F67E9E" w:rsidP="00F67E9E">
      <w:pPr>
        <w:pStyle w:val="Numbered111"/>
      </w:pPr>
      <w:r w:rsidRPr="00D00D9A">
        <w:t xml:space="preserve">then, if either Party serves a Mediation Notice, by mediation (as prescribed in </w:t>
      </w:r>
      <w:bookmarkStart w:id="1691" w:name="_9kMHG5YVtCIBAGMjLhkhy7sGTRl2uzx9IEK"/>
      <w:r w:rsidRPr="00D00D9A">
        <w:t xml:space="preserve">Paragraph </w:t>
      </w:r>
      <w:r w:rsidRPr="00D00D9A">
        <w:fldChar w:fldCharType="begin"/>
      </w:r>
      <w:r w:rsidRPr="00D00D9A">
        <w:instrText xml:space="preserve"> REF _Ref_ContractCompanion_9kb9Us4AE \w \n \h \t \* MERGEFORMAT </w:instrText>
      </w:r>
      <w:r w:rsidRPr="00D00D9A">
        <w:fldChar w:fldCharType="separate"/>
      </w:r>
      <w:r w:rsidR="00302D39">
        <w:t>5</w:t>
      </w:r>
      <w:r w:rsidRPr="00D00D9A">
        <w:fldChar w:fldCharType="end"/>
      </w:r>
      <w:bookmarkEnd w:id="1691"/>
      <w:r w:rsidRPr="00D00D9A">
        <w:t xml:space="preserve">); and </w:t>
      </w:r>
    </w:p>
    <w:p w14:paraId="5D56E4F3" w14:textId="326F0985" w:rsidR="00F67E9E" w:rsidRPr="00D00D9A" w:rsidRDefault="00F67E9E" w:rsidP="00F67E9E">
      <w:pPr>
        <w:pStyle w:val="Numbered111"/>
      </w:pPr>
      <w:r w:rsidRPr="00D00D9A">
        <w:t xml:space="preserve">lastly by recourse to arbitration (as prescribed in </w:t>
      </w:r>
      <w:bookmarkStart w:id="1692" w:name="_9kMHG5YVtCIBAGGdLhkhy7sGTTb35xGQ8BKGM"/>
      <w:r w:rsidRPr="00D00D9A">
        <w:t xml:space="preserve">Paragraph </w:t>
      </w:r>
      <w:r w:rsidRPr="00D00D9A">
        <w:fldChar w:fldCharType="begin"/>
      </w:r>
      <w:r w:rsidRPr="00D00D9A">
        <w:instrText xml:space="preserve"> REF _Ref_ContractCompanion_9kb9Us4A8 \w \n \h \t \* MERGEFORMAT </w:instrText>
      </w:r>
      <w:r w:rsidRPr="00D00D9A">
        <w:fldChar w:fldCharType="separate"/>
      </w:r>
      <w:r w:rsidR="00302D39">
        <w:t>7</w:t>
      </w:r>
      <w:r w:rsidRPr="00D00D9A">
        <w:fldChar w:fldCharType="end"/>
      </w:r>
      <w:bookmarkEnd w:id="1692"/>
      <w:r w:rsidRPr="00D00D9A">
        <w:t xml:space="preserve">) or litigation (in accordance with </w:t>
      </w:r>
      <w:bookmarkStart w:id="1693" w:name="_9kR3WTr2CC6ACMChrAv8O"/>
      <w:r w:rsidRPr="00D00D9A">
        <w:t>Clause 44</w:t>
      </w:r>
      <w:bookmarkEnd w:id="1693"/>
      <w:r w:rsidRPr="00D00D9A">
        <w:t xml:space="preserve"> (</w:t>
      </w:r>
      <w:r w:rsidRPr="00D00D9A">
        <w:rPr>
          <w:i/>
        </w:rPr>
        <w:t>Governing Law and</w:t>
      </w:r>
      <w:r w:rsidRPr="00DD4CC2">
        <w:rPr>
          <w:i/>
          <w:iCs/>
        </w:rPr>
        <w:t xml:space="preserve"> </w:t>
      </w:r>
      <w:r w:rsidRPr="00D00D9A">
        <w:rPr>
          <w:i/>
        </w:rPr>
        <w:t>Jurisdiction</w:t>
      </w:r>
      <w:r w:rsidRPr="00D00D9A">
        <w:t>)).</w:t>
      </w:r>
    </w:p>
    <w:p w14:paraId="699A1A36" w14:textId="24178B03" w:rsidR="00F67E9E" w:rsidRPr="00D00D9A" w:rsidRDefault="00F67E9E" w:rsidP="00F67E9E">
      <w:pPr>
        <w:pStyle w:val="Numbered11"/>
      </w:pPr>
      <w:bookmarkStart w:id="1694" w:name="_Ref_ContractCompanion_9kb9Us699"/>
      <w:bookmarkStart w:id="1695" w:name="_9kR3WTrAG9ADFFFgYrfkopno5GJ65KAtyA1vCD2"/>
      <w:r w:rsidRPr="00D00D9A">
        <w:t xml:space="preserve">Specific issues shall be referred to Expert Determination (as prescribed in </w:t>
      </w:r>
      <w:bookmarkStart w:id="1696" w:name="_9kMIH5YVtCIBAGJgLhkhy7sGTSeDP7AQDzGHGPH"/>
      <w:r w:rsidRPr="00D00D9A">
        <w:t xml:space="preserve">Paragraph </w:t>
      </w:r>
      <w:r w:rsidRPr="00D00D9A">
        <w:fldChar w:fldCharType="begin"/>
      </w:r>
      <w:r w:rsidRPr="00D00D9A">
        <w:instrText xml:space="preserve"> REF _Ref_ContractCompanion_9kb9Us4AB \w \n \h \t \* MERGEFORMAT </w:instrText>
      </w:r>
      <w:r w:rsidRPr="00D00D9A">
        <w:fldChar w:fldCharType="separate"/>
      </w:r>
      <w:r w:rsidR="00302D39">
        <w:t>6</w:t>
      </w:r>
      <w:r w:rsidRPr="00D00D9A">
        <w:fldChar w:fldCharType="end"/>
      </w:r>
      <w:bookmarkEnd w:id="1696"/>
      <w:r w:rsidRPr="00D00D9A">
        <w:t xml:space="preserve">) where specified under the provisions of this Contract and may also be referred to Expert Determination where otherwise appropriate as specified in </w:t>
      </w:r>
      <w:bookmarkStart w:id="1697" w:name="_9kMHG5YVtCIBCGEHHUGfEH3BEJ434zw5AAQN55U"/>
      <w:r w:rsidRPr="00D00D9A">
        <w:t xml:space="preserve">Paragraph </w:t>
      </w:r>
      <w:r w:rsidRPr="00D00D9A">
        <w:fldChar w:fldCharType="begin"/>
      </w:r>
      <w:r w:rsidRPr="00D00D9A">
        <w:instrText xml:space="preserve"> REF _Ref_ContractCompanion_9kb9Us6A6 \n \h \t \* MERGEFORMAT </w:instrText>
      </w:r>
      <w:r w:rsidRPr="00D00D9A">
        <w:fldChar w:fldCharType="separate"/>
      </w:r>
      <w:r w:rsidR="00302D39">
        <w:t>6.1</w:t>
      </w:r>
      <w:r w:rsidRPr="00D00D9A">
        <w:fldChar w:fldCharType="end"/>
      </w:r>
      <w:bookmarkEnd w:id="1697"/>
      <w:r w:rsidRPr="00D00D9A">
        <w:t>.</w:t>
      </w:r>
      <w:bookmarkEnd w:id="1694"/>
      <w:bookmarkEnd w:id="1695"/>
    </w:p>
    <w:p w14:paraId="57EC84F3" w14:textId="6C9F6C49" w:rsidR="00F67E9E" w:rsidRPr="00D00D9A" w:rsidRDefault="00F67E9E" w:rsidP="00F67E9E">
      <w:pPr>
        <w:pStyle w:val="Numbered11"/>
      </w:pPr>
      <w:r w:rsidRPr="00D00D9A">
        <w:t xml:space="preserve">Unless agreed otherwise in writing, the Parties shall continue to comply with their respective obligations under this Contract regardless of the nature of the Dispute and notwithstanding any issue of a Dispute Notice or a Multi-Party Procedure Initiation Notice or proceedings under </w:t>
      </w:r>
      <w:bookmarkStart w:id="1698" w:name="_9kMHG5YVtCIBCGHMmD0owCH3y3xv"/>
      <w:r w:rsidRPr="00D00D9A">
        <w:t xml:space="preserve">Paragraph </w:t>
      </w:r>
      <w:r w:rsidRPr="00D00D9A">
        <w:fldChar w:fldCharType="begin"/>
      </w:r>
      <w:r w:rsidRPr="00D00D9A">
        <w:instrText xml:space="preserve"> REF _Ref_ContractCompanion_9kb9Us6A9 \w \n \h \t \* MERGEFORMAT </w:instrText>
      </w:r>
      <w:r w:rsidRPr="00D00D9A">
        <w:fldChar w:fldCharType="separate"/>
      </w:r>
      <w:r w:rsidR="00302D39">
        <w:t>8</w:t>
      </w:r>
      <w:r w:rsidRPr="00D00D9A">
        <w:fldChar w:fldCharType="end"/>
      </w:r>
      <w:bookmarkEnd w:id="1698"/>
      <w:r w:rsidRPr="00D00D9A">
        <w:t xml:space="preserve"> (</w:t>
      </w:r>
      <w:r w:rsidRPr="00660448">
        <w:rPr>
          <w:i/>
        </w:rPr>
        <w:fldChar w:fldCharType="begin"/>
      </w:r>
      <w:r w:rsidRPr="00660448">
        <w:rPr>
          <w:i/>
        </w:rPr>
        <w:instrText xml:space="preserve"> REF _Ref_ContractCompanion_9kb9Us6A9 \h  \* MERGEFORMAT </w:instrText>
      </w:r>
      <w:r w:rsidRPr="00660448">
        <w:rPr>
          <w:i/>
        </w:rPr>
      </w:r>
      <w:r w:rsidRPr="00660448">
        <w:rPr>
          <w:i/>
        </w:rPr>
        <w:fldChar w:fldCharType="separate"/>
      </w:r>
      <w:r w:rsidR="00302D39" w:rsidRPr="00302D39">
        <w:rPr>
          <w:i/>
        </w:rPr>
        <w:t>Urgent Relief</w:t>
      </w:r>
      <w:r w:rsidRPr="00660448">
        <w:rPr>
          <w:i/>
        </w:rPr>
        <w:fldChar w:fldCharType="end"/>
      </w:r>
      <w:r w:rsidRPr="00D00D9A">
        <w:t>).</w:t>
      </w:r>
    </w:p>
    <w:p w14:paraId="27B5375E" w14:textId="77777777" w:rsidR="00F67E9E" w:rsidRPr="00D00D9A" w:rsidRDefault="00F67E9E" w:rsidP="00F67E9E">
      <w:pPr>
        <w:pStyle w:val="Numbered1"/>
      </w:pPr>
      <w:bookmarkStart w:id="1699" w:name="_Ref_ContractCompanion_9kb9Us4BB"/>
      <w:bookmarkStart w:id="1700" w:name="_9kR3WTrAG98FHdJfifw5qERNZBN5uzGDyy4KSVa"/>
      <w:r w:rsidRPr="00D00D9A">
        <w:t xml:space="preserve">Expedited </w:t>
      </w:r>
      <w:r w:rsidRPr="00154D56">
        <w:t>Dispute</w:t>
      </w:r>
      <w:r w:rsidRPr="00D00D9A">
        <w:t xml:space="preserve"> Timetable</w:t>
      </w:r>
      <w:bookmarkEnd w:id="1699"/>
      <w:bookmarkEnd w:id="1700"/>
    </w:p>
    <w:p w14:paraId="6E19E9DC" w14:textId="77777777" w:rsidR="00F67E9E" w:rsidRPr="00154D56" w:rsidRDefault="00F67E9E" w:rsidP="00F67E9E">
      <w:pPr>
        <w:pStyle w:val="Numbered11"/>
      </w:pPr>
      <w:bookmarkStart w:id="1701" w:name="_9kR3WTrAG9AEIICSMp0zhvB517utwuA59KJRA58"/>
      <w:bookmarkStart w:id="1702" w:name="_Ref_ContractCompanion_9kb9Us6AC"/>
      <w:r w:rsidRPr="00D00D9A">
        <w:t>In exceptional circumstances where the use of the times in this Schedule would be unreasonable, including (by way of example) where one Party would be materially disadvantaged by a delay in resolving the Dispute, the Parties may agree to use the Expedited Dispute Timetable.</w:t>
      </w:r>
      <w:bookmarkEnd w:id="1701"/>
      <w:r>
        <w:t xml:space="preserve"> </w:t>
      </w:r>
      <w:r w:rsidRPr="00D00D9A">
        <w:t xml:space="preserve">If the Parties are unable to reach agreement on whether to use the Expedited Dispute Timetable within 5 Working Days of the issue of a Dispute Notice, the use of </w:t>
      </w:r>
      <w:r w:rsidRPr="00154D56">
        <w:t>the Expedited Dispute Timetable shall be at the sole discretion of the Authority.</w:t>
      </w:r>
      <w:bookmarkEnd w:id="1702"/>
    </w:p>
    <w:p w14:paraId="732D9F85" w14:textId="09828604" w:rsidR="00F67E9E" w:rsidRPr="00D00D9A" w:rsidRDefault="00F67E9E" w:rsidP="00F67E9E">
      <w:pPr>
        <w:pStyle w:val="Numbered11"/>
      </w:pPr>
      <w:bookmarkStart w:id="1703" w:name="_Ref_ContractCompanion_9kb9Us69C"/>
      <w:bookmarkStart w:id="1704" w:name="_9kR3WTrAG9ADIJDTEwzlJXFxmr85qQQCKNSDonD"/>
      <w:r w:rsidRPr="00154D56">
        <w:t xml:space="preserve">If the Expedited Dispute Timetable is to be used pursuant to the provisions of </w:t>
      </w:r>
      <w:bookmarkStart w:id="1705" w:name="_9kMHG5YVtCIBCGKKEUOr21jxD739wvywC7BMLTC"/>
      <w:r w:rsidRPr="00154D56">
        <w:t>Paragraph </w:t>
      </w:r>
      <w:r w:rsidRPr="00154D56">
        <w:fldChar w:fldCharType="begin"/>
      </w:r>
      <w:r w:rsidRPr="00154D56">
        <w:instrText xml:space="preserve"> REF _Ref_ContractCompanion_9kb9Us6AC \n \h \t \* MERGEFORMAT </w:instrText>
      </w:r>
      <w:r w:rsidRPr="00154D56">
        <w:fldChar w:fldCharType="separate"/>
      </w:r>
      <w:r w:rsidR="00302D39">
        <w:t>3.1</w:t>
      </w:r>
      <w:r w:rsidRPr="00154D56">
        <w:fldChar w:fldCharType="end"/>
      </w:r>
      <w:bookmarkEnd w:id="1705"/>
      <w:r w:rsidRPr="00154D56">
        <w:t xml:space="preserve"> or is otherwis</w:t>
      </w:r>
      <w:r w:rsidRPr="00D00D9A">
        <w:t>e specified under the provisions of this Contract, then the following periods of time shall apply in lieu of the time periods specified in the applicable Paragraphs:</w:t>
      </w:r>
      <w:bookmarkEnd w:id="1703"/>
      <w:bookmarkEnd w:id="1704"/>
    </w:p>
    <w:p w14:paraId="384DA23C" w14:textId="2A72438C" w:rsidR="00F67E9E" w:rsidRPr="00154D56" w:rsidRDefault="00F67E9E" w:rsidP="00F67E9E">
      <w:pPr>
        <w:pStyle w:val="Numbered111"/>
      </w:pPr>
      <w:r w:rsidRPr="00D00D9A">
        <w:t xml:space="preserve">in </w:t>
      </w:r>
      <w:bookmarkStart w:id="1706" w:name="_9kMHG5YVtCIBCHEEGpu0mVMvF7t48r6B4FMRDFV"/>
      <w:r w:rsidRPr="00D00D9A">
        <w:t xml:space="preserve">Paragraph </w:t>
      </w:r>
      <w:r w:rsidRPr="00D00D9A">
        <w:fldChar w:fldCharType="begin"/>
      </w:r>
      <w:r w:rsidRPr="00D00D9A">
        <w:instrText xml:space="preserve"> REF _Ref_ContractCompanion_9kb9Us6AF \w \h \t \* MERGEFORMAT </w:instrText>
      </w:r>
      <w:r w:rsidRPr="00D00D9A">
        <w:fldChar w:fldCharType="separate"/>
      </w:r>
      <w:r w:rsidR="00302D39">
        <w:t>4.2.3</w:t>
      </w:r>
      <w:r w:rsidRPr="00D00D9A">
        <w:fldChar w:fldCharType="end"/>
      </w:r>
      <w:bookmarkEnd w:id="1706"/>
      <w:r w:rsidRPr="00D00D9A">
        <w:t xml:space="preserve">, 10 Working </w:t>
      </w:r>
      <w:r w:rsidRPr="00154D56">
        <w:t>Days;</w:t>
      </w:r>
    </w:p>
    <w:p w14:paraId="1555A773" w14:textId="261A7A97" w:rsidR="00F67E9E" w:rsidRPr="00154D56" w:rsidRDefault="00F67E9E" w:rsidP="00F67E9E">
      <w:pPr>
        <w:pStyle w:val="Numbered111"/>
      </w:pPr>
      <w:r w:rsidRPr="00154D56">
        <w:t xml:space="preserve">in </w:t>
      </w:r>
      <w:bookmarkStart w:id="1707" w:name="_9kMIH5YVtCIBCDGLHVGy1nWNwG8u5227BL2r37G"/>
      <w:r w:rsidRPr="00154D56">
        <w:t xml:space="preserve">Paragraph </w:t>
      </w:r>
      <w:r w:rsidRPr="00154D56">
        <w:fldChar w:fldCharType="begin"/>
      </w:r>
      <w:r w:rsidRPr="00154D56">
        <w:instrText xml:space="preserve"> REF _Ref_ContractCompanion_9kb9Us678 \n \h \t \* MERGEFORMAT </w:instrText>
      </w:r>
      <w:r w:rsidRPr="00154D56">
        <w:fldChar w:fldCharType="separate"/>
      </w:r>
      <w:r w:rsidR="00302D39">
        <w:t>5.2</w:t>
      </w:r>
      <w:r w:rsidRPr="00154D56">
        <w:fldChar w:fldCharType="end"/>
      </w:r>
      <w:bookmarkEnd w:id="1707"/>
      <w:r w:rsidRPr="00154D56">
        <w:t>, 10 Working Days;</w:t>
      </w:r>
    </w:p>
    <w:p w14:paraId="12059D7A" w14:textId="38085A14" w:rsidR="00F67E9E" w:rsidRPr="00154D56" w:rsidRDefault="00F67E9E" w:rsidP="00F67E9E">
      <w:pPr>
        <w:pStyle w:val="Numbered111"/>
      </w:pPr>
      <w:r w:rsidRPr="00154D56">
        <w:t xml:space="preserve">in </w:t>
      </w:r>
      <w:bookmarkStart w:id="1708" w:name="_9kMIH5YVtCIBCD9FIgTlj3Fx0GI7qv7yss4KKEE"/>
      <w:r w:rsidRPr="00154D56">
        <w:t xml:space="preserve">Paragraph </w:t>
      </w:r>
      <w:r w:rsidRPr="00154D56">
        <w:fldChar w:fldCharType="begin"/>
      </w:r>
      <w:r w:rsidRPr="00154D56">
        <w:instrText xml:space="preserve"> REF _Ref_ContractCompanion_9kb9Us66A \n \h \t \* MERGEFORMAT </w:instrText>
      </w:r>
      <w:r w:rsidRPr="00154D56">
        <w:fldChar w:fldCharType="separate"/>
      </w:r>
      <w:r w:rsidR="00302D39">
        <w:t>6.2</w:t>
      </w:r>
      <w:r w:rsidRPr="00154D56">
        <w:fldChar w:fldCharType="end"/>
      </w:r>
      <w:bookmarkEnd w:id="1708"/>
      <w:r w:rsidRPr="00154D56">
        <w:t>, 5 Working Days; and</w:t>
      </w:r>
    </w:p>
    <w:p w14:paraId="7C771BB9" w14:textId="17BBEB7C" w:rsidR="00F67E9E" w:rsidRPr="00D00D9A" w:rsidRDefault="00F67E9E" w:rsidP="00F67E9E">
      <w:pPr>
        <w:pStyle w:val="Numbered111"/>
      </w:pPr>
      <w:r w:rsidRPr="00154D56">
        <w:t xml:space="preserve">in </w:t>
      </w:r>
      <w:bookmarkStart w:id="1709" w:name="_9kMIH5YVtCIBCCFNJO8ju7y15rdoIEB5z986HG9"/>
      <w:r w:rsidRPr="00154D56">
        <w:t xml:space="preserve">Paragraph </w:t>
      </w:r>
      <w:r w:rsidRPr="00154D56">
        <w:fldChar w:fldCharType="begin"/>
      </w:r>
      <w:r w:rsidRPr="00154D56">
        <w:instrText xml:space="preserve"> REF _Ref_ContractCompanion_9kb9Us667 \n \h \t \* MERGEFORMAT </w:instrText>
      </w:r>
      <w:r w:rsidRPr="00154D56">
        <w:fldChar w:fldCharType="separate"/>
      </w:r>
      <w:r w:rsidR="00302D39">
        <w:t>7.2</w:t>
      </w:r>
      <w:r w:rsidRPr="00154D56">
        <w:fldChar w:fldCharType="end"/>
      </w:r>
      <w:bookmarkEnd w:id="1709"/>
      <w:r w:rsidRPr="00154D56">
        <w:t>, 10 Working Days</w:t>
      </w:r>
      <w:r w:rsidRPr="00D00D9A">
        <w:t>.</w:t>
      </w:r>
    </w:p>
    <w:p w14:paraId="006F7036" w14:textId="50CDB39B" w:rsidR="00F67E9E" w:rsidRPr="00D00D9A" w:rsidRDefault="00F67E9E" w:rsidP="00F67E9E">
      <w:pPr>
        <w:pStyle w:val="Numbered11"/>
      </w:pPr>
      <w:r w:rsidRPr="00D00D9A">
        <w:t>If at any point it becomes clear that an applicable deadline cannot be met or has passed, the Parties may (but shall be under no obligation to) agree in writing to extend the deadline.</w:t>
      </w:r>
      <w:r>
        <w:t xml:space="preserve"> </w:t>
      </w:r>
      <w:r w:rsidRPr="00D00D9A">
        <w:t xml:space="preserve">If the Parties fail to agree within 2 Working Days after the deadline has passed, the Authority may set a revised deadline provided that it is no less than 5 Working Days before the end of the period of time specified in the applicable Paragraphs (or 2 Working Days in the case of </w:t>
      </w:r>
      <w:bookmarkStart w:id="1710" w:name="_9kMJI5YVtCIBCD9FIgTlj3Fx0GI7qv7yss4KKEE"/>
      <w:r w:rsidRPr="00D00D9A">
        <w:t xml:space="preserve">Paragraph </w:t>
      </w:r>
      <w:r w:rsidRPr="00D00D9A">
        <w:fldChar w:fldCharType="begin"/>
      </w:r>
      <w:r w:rsidRPr="00D00D9A">
        <w:instrText xml:space="preserve"> REF _Ref_ContractCompanion_9kb9Us66A \n \h \t \* MERGEFORMAT </w:instrText>
      </w:r>
      <w:r w:rsidRPr="00D00D9A">
        <w:fldChar w:fldCharType="separate"/>
      </w:r>
      <w:r w:rsidR="00302D39">
        <w:t>6.2</w:t>
      </w:r>
      <w:r w:rsidRPr="00D00D9A">
        <w:fldChar w:fldCharType="end"/>
      </w:r>
      <w:bookmarkEnd w:id="1710"/>
      <w:r w:rsidRPr="00D00D9A">
        <w:t>). Any agreed extension shall have the effect of delaying the start of the subsequent stages by the period agreed in the extension. If the Authority fails to set such a revised deadline then the use of the Expedited Dispute Timetable shall cease and the normal time periods shall apply from that point onwards.</w:t>
      </w:r>
    </w:p>
    <w:p w14:paraId="4E307F97" w14:textId="77777777" w:rsidR="00F67E9E" w:rsidRPr="00712F9B" w:rsidRDefault="00F67E9E" w:rsidP="00F67E9E">
      <w:pPr>
        <w:pStyle w:val="Numbered1"/>
      </w:pPr>
      <w:bookmarkStart w:id="1711" w:name="_Ref_ContractCompanion_9kb9Us4AH"/>
      <w:bookmarkStart w:id="1712" w:name="_9kR3WTrAG98FEaJfifw5qEROY0BA3980z3HB5GU"/>
      <w:r w:rsidRPr="00D00D9A">
        <w:t>Commercial Negotiation</w:t>
      </w:r>
      <w:bookmarkEnd w:id="1711"/>
      <w:bookmarkEnd w:id="1712"/>
    </w:p>
    <w:p w14:paraId="359B91A2" w14:textId="77777777" w:rsidR="00F67E9E" w:rsidRPr="00712F9B" w:rsidRDefault="00F67E9E" w:rsidP="00F67E9E">
      <w:pPr>
        <w:pStyle w:val="Numbered11"/>
      </w:pPr>
      <w:bookmarkStart w:id="1713" w:name="_9kR3WTrAG9AFFFDPKxvzB6yx46s455NFxu79wVY"/>
      <w:bookmarkStart w:id="1714" w:name="_Ref_ContractCompanion_9kb9Us6B9"/>
      <w:r w:rsidRPr="00712F9B">
        <w:t>Following the service of a Dispute Notice, then, so long as the Authority has not served a Multi-Party Procedure Initiation Notice in respect of the relevant Dispute, the Authority and the Supplier shall make reasonable endeavours to resolve the Dispute as soon as possible by commercial negotiation between the Authority</w:t>
      </w:r>
      <w:r>
        <w:t>’</w:t>
      </w:r>
      <w:r w:rsidRPr="00712F9B">
        <w:t xml:space="preserve">s </w:t>
      </w:r>
      <w:r w:rsidRPr="00B73DD6">
        <w:rPr>
          <w:b/>
          <w:highlight w:val="yellow"/>
        </w:rPr>
        <w:t>[insert</w:t>
      </w:r>
      <w:r w:rsidRPr="008758E7">
        <w:rPr>
          <w:rStyle w:val="StdBodyTextBoldChar"/>
          <w:rFonts w:eastAsiaTheme="majorEastAsia" w:cs="Arial"/>
          <w:b w:val="0"/>
          <w:bCs/>
          <w:iCs/>
          <w:highlight w:val="yellow"/>
        </w:rPr>
        <w:t xml:space="preserve"> role</w:t>
      </w:r>
      <w:r w:rsidRPr="00712F9B">
        <w:rPr>
          <w:highlight w:val="yellow"/>
        </w:rPr>
        <w:t>]</w:t>
      </w:r>
      <w:r w:rsidRPr="00712F9B">
        <w:t xml:space="preserve"> and the Supplier</w:t>
      </w:r>
      <w:r>
        <w:t>’</w:t>
      </w:r>
      <w:r w:rsidRPr="00712F9B">
        <w:t xml:space="preserve">s </w:t>
      </w:r>
      <w:r w:rsidRPr="00B73DD6">
        <w:rPr>
          <w:b/>
          <w:highlight w:val="yellow"/>
        </w:rPr>
        <w:t>[insert</w:t>
      </w:r>
      <w:r w:rsidRPr="008758E7">
        <w:rPr>
          <w:rStyle w:val="StdBodyTextBoldChar"/>
          <w:rFonts w:eastAsiaTheme="majorEastAsia" w:cs="Arial"/>
          <w:b w:val="0"/>
          <w:bCs/>
          <w:iCs/>
          <w:highlight w:val="yellow"/>
        </w:rPr>
        <w:t xml:space="preserve"> role</w:t>
      </w:r>
      <w:r w:rsidRPr="00712F9B">
        <w:rPr>
          <w:highlight w:val="yellow"/>
        </w:rPr>
        <w:t>]</w:t>
      </w:r>
      <w:r w:rsidRPr="00712F9B">
        <w:t>.</w:t>
      </w:r>
      <w:bookmarkEnd w:id="1713"/>
      <w:r w:rsidRPr="00712F9B">
        <w:t xml:space="preserve"> </w:t>
      </w:r>
      <w:bookmarkEnd w:id="1714"/>
    </w:p>
    <w:p w14:paraId="2C2EC79F" w14:textId="77777777" w:rsidR="00F67E9E" w:rsidRPr="00712F9B" w:rsidRDefault="00F67E9E" w:rsidP="00F67E9E">
      <w:pPr>
        <w:pStyle w:val="Numbered11"/>
      </w:pPr>
      <w:bookmarkStart w:id="1715" w:name="_9kR3WTrAHAABAEETE"/>
      <w:bookmarkStart w:id="1716" w:name="_9kR3WTrAG9ABBFETE"/>
      <w:bookmarkStart w:id="1717" w:name="_Ref_ContractCompanion_9kb9Us674"/>
      <w:r w:rsidRPr="00712F9B">
        <w:t>If:</w:t>
      </w:r>
      <w:bookmarkEnd w:id="1715"/>
      <w:bookmarkEnd w:id="1716"/>
      <w:r w:rsidRPr="00712F9B">
        <w:t xml:space="preserve"> </w:t>
      </w:r>
      <w:bookmarkEnd w:id="1717"/>
    </w:p>
    <w:p w14:paraId="19ACFB73" w14:textId="77777777" w:rsidR="00F67E9E" w:rsidRPr="00712F9B" w:rsidRDefault="00F67E9E" w:rsidP="00F67E9E">
      <w:pPr>
        <w:pStyle w:val="Numbered111"/>
      </w:pPr>
      <w:r w:rsidRPr="00712F9B">
        <w:t xml:space="preserve">either Party is of the reasonable opinion that the resolution of a Dispute by commercial negotiation, or the continuance of commercial negotiation, will not result in an appropriate solution; </w:t>
      </w:r>
    </w:p>
    <w:p w14:paraId="1C3738B5" w14:textId="2F6C3FDB" w:rsidR="00F67E9E" w:rsidRPr="00D00D9A" w:rsidRDefault="00F67E9E" w:rsidP="00F67E9E">
      <w:pPr>
        <w:pStyle w:val="Numbered111"/>
      </w:pPr>
      <w:r w:rsidRPr="00D00D9A">
        <w:t xml:space="preserve">the Parties have already held discussions of a nature and intent (or otherwise were conducted in the spirit) that would equate to the conduct of commercial negotiation in accordance with this </w:t>
      </w:r>
      <w:bookmarkStart w:id="1718" w:name="_9kMIH5YVtCIBAHGcLhkhy7sGTQa2DC5BA215JD7"/>
      <w:r w:rsidRPr="00D00D9A">
        <w:t xml:space="preserve">Paragraph </w:t>
      </w:r>
      <w:r w:rsidRPr="00D00D9A">
        <w:fldChar w:fldCharType="begin"/>
      </w:r>
      <w:r w:rsidRPr="00D00D9A">
        <w:instrText xml:space="preserve"> REF _Ref_ContractCompanion_9kb9Us4AH \w \n \h \t \* MERGEFORMAT </w:instrText>
      </w:r>
      <w:r w:rsidRPr="00D00D9A">
        <w:fldChar w:fldCharType="separate"/>
      </w:r>
      <w:r w:rsidR="00302D39">
        <w:t>4</w:t>
      </w:r>
      <w:r w:rsidRPr="00D00D9A">
        <w:fldChar w:fldCharType="end"/>
      </w:r>
      <w:bookmarkEnd w:id="1718"/>
      <w:r w:rsidRPr="00D00D9A">
        <w:t>; or</w:t>
      </w:r>
    </w:p>
    <w:p w14:paraId="0D8727A3" w14:textId="0BDBBF23" w:rsidR="00F67E9E" w:rsidRPr="00D00D9A" w:rsidRDefault="00F67E9E" w:rsidP="00F67E9E">
      <w:pPr>
        <w:pStyle w:val="Numbered111"/>
      </w:pPr>
      <w:bookmarkStart w:id="1719" w:name="_9kR3WTrAG9AFCCEnsykTKtD5r26p492DKPBDTM8"/>
      <w:bookmarkStart w:id="1720" w:name="_Ref_ContractCompanion_9kb9Us6AF"/>
      <w:r w:rsidRPr="00D00D9A">
        <w:t xml:space="preserve">the Parties have not settled the Dispute in accordance with </w:t>
      </w:r>
      <w:bookmarkStart w:id="1721" w:name="_9kMHG5YVtCIBCHHHFRMzx1D80z68u677PHzw9By"/>
      <w:r w:rsidRPr="00D00D9A">
        <w:t xml:space="preserve">Paragraph </w:t>
      </w:r>
      <w:r w:rsidRPr="00D00D9A">
        <w:fldChar w:fldCharType="begin"/>
      </w:r>
      <w:r w:rsidRPr="00D00D9A">
        <w:instrText xml:space="preserve"> REF _Ref_ContractCompanion_9kb9Us6B9 \n \h \t \* MERGEFORMAT </w:instrText>
      </w:r>
      <w:r w:rsidRPr="00D00D9A">
        <w:fldChar w:fldCharType="separate"/>
      </w:r>
      <w:r w:rsidR="00302D39">
        <w:t>4.1</w:t>
      </w:r>
      <w:r w:rsidRPr="00D00D9A">
        <w:fldChar w:fldCharType="end"/>
      </w:r>
      <w:bookmarkEnd w:id="1721"/>
      <w:r w:rsidRPr="00D00D9A">
        <w:t xml:space="preserve"> within 30 Working Days of service of the Dispute Notice,</w:t>
      </w:r>
      <w:bookmarkEnd w:id="1719"/>
      <w:r w:rsidRPr="00D00D9A">
        <w:t xml:space="preserve"> </w:t>
      </w:r>
      <w:bookmarkEnd w:id="1720"/>
    </w:p>
    <w:p w14:paraId="15084E51" w14:textId="66D85048" w:rsidR="00F67E9E" w:rsidRPr="00D00D9A" w:rsidRDefault="00F67E9E" w:rsidP="00F67E9E">
      <w:pPr>
        <w:pStyle w:val="StdBodyText2"/>
        <w:rPr>
          <w:rFonts w:cs="Arial"/>
        </w:rPr>
      </w:pPr>
      <w:r w:rsidRPr="00D00D9A">
        <w:rPr>
          <w:rFonts w:cs="Arial"/>
        </w:rPr>
        <w:t xml:space="preserve">either Party may serve a written notice to proceed to mediation in accordance with </w:t>
      </w:r>
      <w:bookmarkStart w:id="1722" w:name="_9kMIH5YVtCIBAGMjLhkhy7sGTRl2uzx9IEK"/>
      <w:r w:rsidRPr="00D00D9A">
        <w:rPr>
          <w:rFonts w:cs="Arial"/>
        </w:rPr>
        <w:t xml:space="preserve">Paragraph </w:t>
      </w:r>
      <w:r w:rsidRPr="00D00D9A">
        <w:rPr>
          <w:rFonts w:cs="Arial"/>
        </w:rPr>
        <w:fldChar w:fldCharType="begin"/>
      </w:r>
      <w:r w:rsidRPr="00D00D9A">
        <w:rPr>
          <w:rFonts w:cs="Arial"/>
        </w:rPr>
        <w:instrText xml:space="preserve"> REF _Ref_ContractCompanion_9kb9Us4AE \w \n \h \t \* MERGEFORMAT </w:instrText>
      </w:r>
      <w:r w:rsidRPr="00D00D9A">
        <w:rPr>
          <w:rFonts w:cs="Arial"/>
        </w:rPr>
      </w:r>
      <w:r w:rsidRPr="00D00D9A">
        <w:rPr>
          <w:rFonts w:cs="Arial"/>
        </w:rPr>
        <w:fldChar w:fldCharType="separate"/>
      </w:r>
      <w:r w:rsidR="00302D39">
        <w:rPr>
          <w:rFonts w:cs="Arial"/>
        </w:rPr>
        <w:t>5</w:t>
      </w:r>
      <w:r w:rsidRPr="00D00D9A">
        <w:rPr>
          <w:rFonts w:cs="Arial"/>
        </w:rPr>
        <w:fldChar w:fldCharType="end"/>
      </w:r>
      <w:bookmarkEnd w:id="1722"/>
      <w:r w:rsidRPr="00D00D9A">
        <w:rPr>
          <w:rFonts w:cs="Arial"/>
        </w:rPr>
        <w:t xml:space="preserve"> (a </w:t>
      </w:r>
      <w:r>
        <w:rPr>
          <w:rFonts w:cs="Arial"/>
        </w:rPr>
        <w:t>“</w:t>
      </w:r>
      <w:r w:rsidRPr="00D00D9A">
        <w:rPr>
          <w:rStyle w:val="StdBodyTextBoldChar"/>
          <w:rFonts w:eastAsiaTheme="majorEastAsia" w:cs="Arial"/>
        </w:rPr>
        <w:t>Mediation Notice</w:t>
      </w:r>
      <w:r>
        <w:rPr>
          <w:rFonts w:cs="Arial"/>
        </w:rPr>
        <w:t>”</w:t>
      </w:r>
      <w:r w:rsidRPr="00D00D9A">
        <w:rPr>
          <w:rFonts w:cs="Arial"/>
        </w:rPr>
        <w:t>).</w:t>
      </w:r>
    </w:p>
    <w:p w14:paraId="7AB13271" w14:textId="77777777" w:rsidR="00F67E9E" w:rsidRPr="00D00D9A" w:rsidRDefault="00F67E9E" w:rsidP="00F67E9E">
      <w:pPr>
        <w:pStyle w:val="Numbered1"/>
      </w:pPr>
      <w:bookmarkStart w:id="1723" w:name="_Ref_ContractCompanion_9kb9Us4AE"/>
      <w:bookmarkStart w:id="1724" w:name="_9kR3WTrAG98EKhJfifw5qERPj0sxv7GCI"/>
      <w:r w:rsidRPr="00154D56">
        <w:t>Mediation</w:t>
      </w:r>
      <w:bookmarkEnd w:id="1723"/>
      <w:bookmarkEnd w:id="1724"/>
    </w:p>
    <w:p w14:paraId="7AE92204" w14:textId="77777777" w:rsidR="00F67E9E" w:rsidRPr="00154D56" w:rsidRDefault="00F67E9E" w:rsidP="00F67E9E">
      <w:pPr>
        <w:pStyle w:val="Numbered11"/>
      </w:pPr>
      <w:r w:rsidRPr="00D00D9A">
        <w:t>If a Mediation Notice is served, the Parties shall attempt to resolve the dispute in accordance with the version of CEDR</w:t>
      </w:r>
      <w:r>
        <w:t>’</w:t>
      </w:r>
      <w:r w:rsidRPr="00D00D9A">
        <w:t xml:space="preserve">s Model Mediation Procedure which is current at the time the Mediation Notice is served (or such other </w:t>
      </w:r>
      <w:r w:rsidRPr="00154D56">
        <w:t xml:space="preserve">version as the Parties may agree). </w:t>
      </w:r>
    </w:p>
    <w:p w14:paraId="5CCAF527" w14:textId="77777777" w:rsidR="00F67E9E" w:rsidRPr="00154D56" w:rsidRDefault="00F67E9E" w:rsidP="00F67E9E">
      <w:pPr>
        <w:pStyle w:val="Numbered11"/>
      </w:pPr>
      <w:bookmarkStart w:id="1725" w:name="_Ref_ContractCompanion_9kb9Us678"/>
      <w:bookmarkStart w:id="1726" w:name="_9kR3WTrAG9ABEJFTEwzlULuE6s30059J0p15EP7"/>
      <w:r w:rsidRPr="00154D56">
        <w:t>If the Parties are unable to agree on the joint appointment of an independent person to mediate the Dispute within 20 Working Days from (and including) the service of a Mediation Notice then either Party may apply to CEDR to nominate such a person.</w:t>
      </w:r>
      <w:bookmarkEnd w:id="1725"/>
      <w:bookmarkEnd w:id="1726"/>
    </w:p>
    <w:p w14:paraId="712BC330" w14:textId="77777777" w:rsidR="00F67E9E" w:rsidRPr="00154D56" w:rsidRDefault="00F67E9E" w:rsidP="00F67E9E">
      <w:pPr>
        <w:pStyle w:val="Numbered11"/>
      </w:pPr>
      <w:r w:rsidRPr="00154D56">
        <w:t>If the Parties are unable to reach a settlement in the negotiations at the mediation, and only if both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36EC0977" w14:textId="77777777" w:rsidR="00F67E9E" w:rsidRPr="00D00D9A" w:rsidRDefault="00F67E9E" w:rsidP="00F67E9E">
      <w:pPr>
        <w:pStyle w:val="Numbered11"/>
      </w:pPr>
      <w:r w:rsidRPr="00154D56">
        <w:t>Any settlement reached in the mediation shall not be legally binding until it has been reduced to writing and signed by, or on behalf</w:t>
      </w:r>
      <w:r w:rsidRPr="00D00D9A">
        <w:t xml:space="preserve"> of, the Parties (in accordance with the Change Control Procedure where appropriate). The Mediator shall assist the Parties in recording the outcome of the mediation.</w:t>
      </w:r>
    </w:p>
    <w:p w14:paraId="1833EBFB" w14:textId="77777777" w:rsidR="00F67E9E" w:rsidRPr="00D00D9A" w:rsidRDefault="00F67E9E" w:rsidP="00F67E9E">
      <w:pPr>
        <w:pStyle w:val="Numbered1"/>
      </w:pPr>
      <w:bookmarkStart w:id="1727" w:name="_Ref_ContractCompanion_9kb9Us4AB"/>
      <w:bookmarkStart w:id="1728" w:name="_9kR3WTrAG98EHeJfifw5qERQcBN58OBxEFENFHA"/>
      <w:r w:rsidRPr="00D00D9A">
        <w:t>Expert Determination</w:t>
      </w:r>
      <w:bookmarkEnd w:id="1727"/>
      <w:bookmarkEnd w:id="1728"/>
    </w:p>
    <w:p w14:paraId="1AF0B62E" w14:textId="4CA83FDA" w:rsidR="00F67E9E" w:rsidRPr="00D00D9A" w:rsidRDefault="00F67E9E" w:rsidP="00F67E9E">
      <w:pPr>
        <w:pStyle w:val="Numbered11"/>
      </w:pPr>
      <w:bookmarkStart w:id="1729" w:name="_Ref_ContractCompanion_9kb9Us6A6"/>
      <w:bookmarkStart w:id="1730" w:name="_9kR3WTrAG9AECFFSEdCF19CH212xu388OL33SGB"/>
      <w:r w:rsidRPr="00D00D9A">
        <w:t xml:space="preserve">If a Dispute relates to any aspect of the technology underlying the provision of the Services or otherwise relates to a technical matter of an IT, accounting or financing nature and the Dispute has not been resolved by commercial negotiation in accordance with </w:t>
      </w:r>
      <w:bookmarkStart w:id="1731" w:name="_9kMJI5YVtCIBAHGcLhkhy7sGTQa2DC5BA215JD7"/>
      <w:r w:rsidRPr="00D00D9A">
        <w:t xml:space="preserve">Paragraph </w:t>
      </w:r>
      <w:r w:rsidRPr="00D00D9A">
        <w:fldChar w:fldCharType="begin"/>
      </w:r>
      <w:r w:rsidRPr="00D00D9A">
        <w:instrText xml:space="preserve"> REF _Ref_ContractCompanion_9kb9Us4AH \w \n \h \t \* MERGEFORMAT </w:instrText>
      </w:r>
      <w:r w:rsidRPr="00D00D9A">
        <w:fldChar w:fldCharType="separate"/>
      </w:r>
      <w:r w:rsidR="00302D39">
        <w:t>4</w:t>
      </w:r>
      <w:r w:rsidRPr="00D00D9A">
        <w:fldChar w:fldCharType="end"/>
      </w:r>
      <w:bookmarkEnd w:id="1731"/>
      <w:r w:rsidRPr="00D00D9A">
        <w:t xml:space="preserve"> or, if applicable, mediation in accordance with </w:t>
      </w:r>
      <w:bookmarkStart w:id="1732" w:name="_9kMJI5YVtCIBAGMjLhkhy7sGTRl2uzx9IEK"/>
      <w:r w:rsidRPr="00D00D9A">
        <w:t xml:space="preserve">Paragraph </w:t>
      </w:r>
      <w:r w:rsidRPr="00D00D9A">
        <w:fldChar w:fldCharType="begin"/>
      </w:r>
      <w:r w:rsidRPr="00D00D9A">
        <w:instrText xml:space="preserve"> REF _Ref_ContractCompanion_9kb9Us4AE \w \n \h \t \* MERGEFORMAT </w:instrText>
      </w:r>
      <w:r w:rsidRPr="00D00D9A">
        <w:fldChar w:fldCharType="separate"/>
      </w:r>
      <w:r w:rsidR="00302D39">
        <w:t>5</w:t>
      </w:r>
      <w:r w:rsidRPr="00D00D9A">
        <w:fldChar w:fldCharType="end"/>
      </w:r>
      <w:bookmarkEnd w:id="1732"/>
      <w:r w:rsidRPr="00D00D9A">
        <w:t>, then either Party may by written notice to the other request (agreement to which request shall not be unreasonably withheld or delayed) that the Dispute be referred to an expert for determination.</w:t>
      </w:r>
      <w:bookmarkEnd w:id="1729"/>
      <w:bookmarkEnd w:id="1730"/>
    </w:p>
    <w:p w14:paraId="1F89CCD1" w14:textId="2282037F" w:rsidR="00F67E9E" w:rsidRPr="00D00D9A" w:rsidRDefault="00F67E9E" w:rsidP="00F67E9E">
      <w:pPr>
        <w:pStyle w:val="Numbered11"/>
      </w:pPr>
      <w:bookmarkStart w:id="1733" w:name="_Ref_ContractCompanion_9kb9Us66A"/>
      <w:bookmarkStart w:id="1734" w:name="_9kR3WTrAG9AB7DGeRjh1DvyEG5ot5wqq2IICCOG"/>
      <w:r w:rsidRPr="00D00D9A">
        <w:t xml:space="preserve">The expert shall be appointed by agreement in writing between the Parties, but in the event of a failure to agree within 10 Working Days of the relevant request made pursuant to </w:t>
      </w:r>
      <w:bookmarkStart w:id="1735" w:name="_9kMIH5YVtCIBCGEHHUGfEH3BEJ434zw5AAQN55U"/>
      <w:r w:rsidRPr="00D00D9A">
        <w:t xml:space="preserve">Paragraph </w:t>
      </w:r>
      <w:r w:rsidRPr="00D00D9A">
        <w:fldChar w:fldCharType="begin"/>
      </w:r>
      <w:r w:rsidRPr="00D00D9A">
        <w:instrText xml:space="preserve"> REF _Ref_ContractCompanion_9kb9Us6A6 \n \h \t \* MERGEFORMAT </w:instrText>
      </w:r>
      <w:r w:rsidRPr="00D00D9A">
        <w:fldChar w:fldCharType="separate"/>
      </w:r>
      <w:r w:rsidR="00302D39">
        <w:t>6.1</w:t>
      </w:r>
      <w:r w:rsidRPr="00D00D9A">
        <w:fldChar w:fldCharType="end"/>
      </w:r>
      <w:bookmarkEnd w:id="1735"/>
      <w:r w:rsidRPr="00D00D9A">
        <w:t>, or if the person appointed is unable or unwilling to act, the expert shall be appointed:</w:t>
      </w:r>
      <w:bookmarkEnd w:id="1733"/>
      <w:bookmarkEnd w:id="1734"/>
    </w:p>
    <w:p w14:paraId="04833A0F" w14:textId="77777777" w:rsidR="00F67E9E" w:rsidRPr="00154D56" w:rsidRDefault="00F67E9E" w:rsidP="00F67E9E">
      <w:pPr>
        <w:pStyle w:val="Numbered111"/>
      </w:pPr>
      <w:bookmarkStart w:id="1736" w:name="_9kR3WTrAG9AFIKGlflx0mJI4CFK5450x6BBRO66"/>
      <w:bookmarkStart w:id="1737" w:name="_Ref_ContractCompanion_9kb9Us6BC"/>
      <w:r w:rsidRPr="00D00D9A">
        <w:t xml:space="preserve">if the Dispute relates to any aspect of the technology underlying the provision of the Services or a matter of an IT technical nature, on the instructions of the President of the British Computer Society (or any other association that has replaced the British </w:t>
      </w:r>
      <w:r w:rsidRPr="00154D56">
        <w:t>Computer Society);</w:t>
      </w:r>
      <w:bookmarkEnd w:id="1736"/>
      <w:r w:rsidRPr="00154D56">
        <w:t xml:space="preserve"> </w:t>
      </w:r>
      <w:bookmarkEnd w:id="1737"/>
    </w:p>
    <w:p w14:paraId="3956F38B" w14:textId="77777777" w:rsidR="00F67E9E" w:rsidRPr="00154D56" w:rsidRDefault="00F67E9E" w:rsidP="00F67E9E">
      <w:pPr>
        <w:pStyle w:val="Numbered111"/>
      </w:pPr>
      <w:bookmarkStart w:id="1738" w:name="_Ref_ContractCompanion_9kb9Ur269"/>
      <w:r w:rsidRPr="00154D56">
        <w:t>if the Dispute relates to a matter of a financial technical nature, on the instructions of the President of the Institute of Chartered Accountants of England and Wales; or</w:t>
      </w:r>
      <w:bookmarkEnd w:id="1738"/>
    </w:p>
    <w:p w14:paraId="57C9E7C6" w14:textId="4420EC43" w:rsidR="00F67E9E" w:rsidRPr="00D00D9A" w:rsidRDefault="00F67E9E" w:rsidP="00F67E9E">
      <w:pPr>
        <w:pStyle w:val="Numbered111"/>
      </w:pPr>
      <w:r w:rsidRPr="00154D56">
        <w:t>if the Dispute relates to a</w:t>
      </w:r>
      <w:r w:rsidRPr="00D00D9A">
        <w:t xml:space="preserve"> matter of a technical nature not falling within </w:t>
      </w:r>
      <w:bookmarkStart w:id="1739" w:name="_9kMHG5YVtCIBCHKMInhnz2oLK6EHM7672z8DDTQ"/>
      <w:r w:rsidRPr="00D00D9A">
        <w:t xml:space="preserve">Paragraphs </w:t>
      </w:r>
      <w:r w:rsidRPr="00D00D9A">
        <w:fldChar w:fldCharType="begin"/>
      </w:r>
      <w:r w:rsidRPr="00D00D9A">
        <w:instrText xml:space="preserve"> REF _Ref_ContractCompanion_9kb9Us6BC \w \h \t \* MERGEFORMAT </w:instrText>
      </w:r>
      <w:r w:rsidRPr="00D00D9A">
        <w:fldChar w:fldCharType="separate"/>
      </w:r>
      <w:r w:rsidR="00302D39">
        <w:t>6.2.1</w:t>
      </w:r>
      <w:r w:rsidRPr="00D00D9A">
        <w:fldChar w:fldCharType="end"/>
      </w:r>
      <w:bookmarkEnd w:id="1739"/>
      <w:r w:rsidRPr="00D00D9A">
        <w:t xml:space="preserve"> or </w:t>
      </w:r>
      <w:bookmarkStart w:id="1740" w:name="_9kR3WTr2CC6AFo"/>
      <w:r w:rsidRPr="00D00D9A">
        <w:fldChar w:fldCharType="begin"/>
      </w:r>
      <w:r w:rsidRPr="00D00D9A">
        <w:instrText xml:space="preserve"> REF _Ref_ContractCompanion_9kb9Ur269 \w \n \h \t \* MERGEFORMAT </w:instrText>
      </w:r>
      <w:r w:rsidRPr="00D00D9A">
        <w:fldChar w:fldCharType="separate"/>
      </w:r>
      <w:r w:rsidR="00302D39">
        <w:t>6.2.2</w:t>
      </w:r>
      <w:r w:rsidRPr="00D00D9A">
        <w:fldChar w:fldCharType="end"/>
      </w:r>
      <w:bookmarkEnd w:id="1740"/>
      <w:r w:rsidRPr="00D00D9A">
        <w:t>, on the instructions of the president (or equivalent) of:</w:t>
      </w:r>
    </w:p>
    <w:p w14:paraId="77CD6D52" w14:textId="77777777" w:rsidR="00F67E9E" w:rsidRPr="00154D56" w:rsidRDefault="00F67E9E" w:rsidP="00F67E9E">
      <w:pPr>
        <w:pStyle w:val="Numbered111a"/>
      </w:pPr>
      <w:r w:rsidRPr="00D00D9A">
        <w:t xml:space="preserve">an </w:t>
      </w:r>
      <w:r w:rsidRPr="00154D56">
        <w:t>appropriate body agreed between the Parties; or</w:t>
      </w:r>
    </w:p>
    <w:p w14:paraId="1EE7CD31" w14:textId="39DE8489" w:rsidR="00F67E9E" w:rsidRPr="00D00D9A" w:rsidRDefault="00F67E9E" w:rsidP="00F67E9E">
      <w:pPr>
        <w:pStyle w:val="Numbered111a"/>
      </w:pPr>
      <w:r w:rsidRPr="00154D56">
        <w:t>if the Parties do not reach agreement on the relevant body within 15 Working</w:t>
      </w:r>
      <w:r w:rsidRPr="00D00D9A">
        <w:t xml:space="preserve"> Days of the relevant request made pursuant to </w:t>
      </w:r>
      <w:bookmarkStart w:id="1741" w:name="_9kMJI5YVtCIBCGEHHUGfEH3BEJ434zw5AAQN55U"/>
      <w:r w:rsidRPr="00D00D9A">
        <w:t>Paragraph</w:t>
      </w:r>
      <w:r>
        <w:t> </w:t>
      </w:r>
      <w:r w:rsidRPr="00D00D9A">
        <w:fldChar w:fldCharType="begin"/>
      </w:r>
      <w:r w:rsidRPr="00D00D9A">
        <w:instrText xml:space="preserve"> REF _Ref_ContractCompanion_9kb9Us6A6 \n \h \t \* MERGEFORMAT </w:instrText>
      </w:r>
      <w:r w:rsidRPr="00D00D9A">
        <w:fldChar w:fldCharType="separate"/>
      </w:r>
      <w:r w:rsidR="00302D39">
        <w:t>6.1</w:t>
      </w:r>
      <w:r w:rsidRPr="00D00D9A">
        <w:fldChar w:fldCharType="end"/>
      </w:r>
      <w:bookmarkEnd w:id="1741"/>
      <w:r w:rsidRPr="00D00D9A">
        <w:t>, such body as may be specified by the President of the Law Society on application by either Party.</w:t>
      </w:r>
    </w:p>
    <w:p w14:paraId="3DB78194" w14:textId="77777777" w:rsidR="00F67E9E" w:rsidRPr="00D00D9A" w:rsidRDefault="00F67E9E" w:rsidP="00F67E9E">
      <w:pPr>
        <w:pStyle w:val="Numbered11"/>
      </w:pPr>
      <w:r w:rsidRPr="00D00D9A">
        <w:t>The Expert shall act on the following basis:</w:t>
      </w:r>
    </w:p>
    <w:p w14:paraId="43F2EE1F" w14:textId="28936201" w:rsidR="00F67E9E" w:rsidRPr="00D00D9A" w:rsidRDefault="00A10006" w:rsidP="00F67E9E">
      <w:pPr>
        <w:pStyle w:val="Numbered111"/>
      </w:pPr>
      <w:r>
        <w:t>they</w:t>
      </w:r>
      <w:r w:rsidR="00F67E9E" w:rsidRPr="00D00D9A">
        <w:t xml:space="preserve"> shall act as an expert and not as an arbitrator and shall act fairly and impartially;</w:t>
      </w:r>
    </w:p>
    <w:p w14:paraId="59A5EF8E" w14:textId="77777777" w:rsidR="00F67E9E" w:rsidRPr="00D00D9A" w:rsidRDefault="00F67E9E" w:rsidP="00F67E9E">
      <w:pPr>
        <w:pStyle w:val="Numbered111"/>
      </w:pPr>
      <w:r w:rsidRPr="00D00D9A">
        <w:t>the Expert</w:t>
      </w:r>
      <w:r>
        <w:t>’</w:t>
      </w:r>
      <w:r w:rsidRPr="00D00D9A">
        <w:t>s determination shall (in the absence of a material failure to follow the agreed procedures) be final and binding on the Parties;</w:t>
      </w:r>
    </w:p>
    <w:p w14:paraId="4DE401B0" w14:textId="77777777" w:rsidR="00F67E9E" w:rsidRPr="00D00D9A" w:rsidRDefault="00F67E9E" w:rsidP="00F67E9E">
      <w:pPr>
        <w:pStyle w:val="Numbered111"/>
      </w:pPr>
      <w:r w:rsidRPr="00D00D9A">
        <w:t>the Expert shall decide the procedure to be followed in the determination and shall be requested to make his/her determination within 30 Working Days of his appointment or as soon as reasonably practicable thereafter and the Parties shall assist and provide the documentation that the Expert requires for the purpose of the determination;</w:t>
      </w:r>
    </w:p>
    <w:p w14:paraId="3F219461" w14:textId="77777777" w:rsidR="00F67E9E" w:rsidRPr="00D00D9A" w:rsidRDefault="00F67E9E" w:rsidP="00F67E9E">
      <w:pPr>
        <w:pStyle w:val="Numbered111"/>
      </w:pPr>
      <w:r w:rsidRPr="00D00D9A">
        <w:t>any amount payable by one Party to another as a result of the Expert</w:t>
      </w:r>
      <w:r>
        <w:t>’</w:t>
      </w:r>
      <w:r w:rsidRPr="00D00D9A">
        <w:t>s determination shall be due and payable within 20 Working Days of the Expert</w:t>
      </w:r>
      <w:r>
        <w:t>’</w:t>
      </w:r>
      <w:r w:rsidRPr="00D00D9A">
        <w:t>s determination being notified to the Parties;</w:t>
      </w:r>
    </w:p>
    <w:p w14:paraId="0646261B" w14:textId="77777777" w:rsidR="00F67E9E" w:rsidRPr="00D00D9A" w:rsidRDefault="00F67E9E" w:rsidP="00F67E9E">
      <w:pPr>
        <w:pStyle w:val="Numbered111"/>
      </w:pPr>
      <w:r w:rsidRPr="00D00D9A">
        <w:t>the process shall be conducted in private and shall be confidential; and</w:t>
      </w:r>
    </w:p>
    <w:p w14:paraId="4C309D9E" w14:textId="77777777" w:rsidR="00F67E9E" w:rsidRPr="00D00D9A" w:rsidRDefault="00F67E9E" w:rsidP="00F67E9E">
      <w:pPr>
        <w:pStyle w:val="Numbered111"/>
      </w:pPr>
      <w:r w:rsidRPr="00D00D9A">
        <w:t>the Expert shall determine how and by whom the costs of the determination, including his/her fees and expenses, are to be paid.</w:t>
      </w:r>
    </w:p>
    <w:p w14:paraId="001B9F01" w14:textId="77777777" w:rsidR="00F67E9E" w:rsidRPr="00D00D9A" w:rsidRDefault="00F67E9E" w:rsidP="00F67E9E">
      <w:pPr>
        <w:pStyle w:val="Numbered1"/>
      </w:pPr>
      <w:bookmarkStart w:id="1742" w:name="_Ref_ContractCompanion_9kb9Us4A8"/>
      <w:bookmarkStart w:id="1743" w:name="_9kR3WTrAG98EEbJfifw5qERRZ13vEO69IEK"/>
      <w:r w:rsidRPr="00D00D9A">
        <w:t>Arbitration</w:t>
      </w:r>
      <w:bookmarkEnd w:id="1742"/>
      <w:bookmarkEnd w:id="1743"/>
    </w:p>
    <w:p w14:paraId="3EAF8C5B" w14:textId="3A82BA91" w:rsidR="00F67E9E" w:rsidRPr="00D00D9A" w:rsidRDefault="00F67E9E" w:rsidP="00F67E9E">
      <w:pPr>
        <w:pStyle w:val="Numbered11"/>
      </w:pPr>
      <w:bookmarkStart w:id="1744" w:name="_Ref_ContractCompanion_9kb9Us6C9"/>
      <w:bookmarkStart w:id="1745" w:name="_9kR3WTrAG9AGFHGcdtjnhxFBvw7993tz2uFKII8"/>
      <w:r w:rsidRPr="00D00D9A">
        <w:t xml:space="preserve">Subject to compliance with its obligations under </w:t>
      </w:r>
      <w:bookmarkStart w:id="1746" w:name="_9kMIH5YVtCIBCHHHFRMzx1D80z68u677PHzw9By"/>
      <w:r w:rsidRPr="00D00D9A">
        <w:t xml:space="preserve">Paragraph </w:t>
      </w:r>
      <w:r w:rsidRPr="00D00D9A">
        <w:fldChar w:fldCharType="begin"/>
      </w:r>
      <w:r w:rsidRPr="00D00D9A">
        <w:instrText xml:space="preserve"> REF _Ref_ContractCompanion_9kb9Us6B9 \n \h \t \* MERGEFORMAT </w:instrText>
      </w:r>
      <w:r w:rsidRPr="00D00D9A">
        <w:fldChar w:fldCharType="separate"/>
      </w:r>
      <w:r w:rsidR="00302D39">
        <w:t>4.1</w:t>
      </w:r>
      <w:r w:rsidRPr="00D00D9A">
        <w:fldChar w:fldCharType="end"/>
      </w:r>
      <w:bookmarkEnd w:id="1746"/>
      <w:r w:rsidRPr="00D00D9A">
        <w:t xml:space="preserve"> and to the provisions of </w:t>
      </w:r>
      <w:bookmarkStart w:id="1747" w:name="_9kMJI5YVtCIBAGJgLhkhy7sGTSeDP7AQDzGHGPH"/>
      <w:r w:rsidRPr="00D00D9A">
        <w:t xml:space="preserve">Paragraph </w:t>
      </w:r>
      <w:r w:rsidRPr="00D00D9A">
        <w:fldChar w:fldCharType="begin"/>
      </w:r>
      <w:r w:rsidRPr="00D00D9A">
        <w:instrText xml:space="preserve"> REF _Ref_ContractCompanion_9kb9Us4AB \w \n \h \t \* MERGEFORMAT </w:instrText>
      </w:r>
      <w:r w:rsidRPr="00D00D9A">
        <w:fldChar w:fldCharType="separate"/>
      </w:r>
      <w:r w:rsidR="00302D39">
        <w:t>6</w:t>
      </w:r>
      <w:r w:rsidRPr="00D00D9A">
        <w:fldChar w:fldCharType="end"/>
      </w:r>
      <w:bookmarkEnd w:id="1747"/>
      <w:r w:rsidRPr="00D00D9A">
        <w:t xml:space="preserve">, the Authority may at any time before court proceedings are commenced refer the Dispute to </w:t>
      </w:r>
      <w:r w:rsidRPr="00154D56">
        <w:t>arbitration</w:t>
      </w:r>
      <w:r w:rsidRPr="00D00D9A">
        <w:t xml:space="preserve"> in accordance with the provisions of </w:t>
      </w:r>
      <w:bookmarkStart w:id="1748" w:name="_9kMHG5YVtCIBCIEGMjTlULuE6s37u56rCE5H95I"/>
      <w:r w:rsidRPr="00D00D9A">
        <w:t xml:space="preserve">Paragraph </w:t>
      </w:r>
      <w:r w:rsidRPr="00D00D9A">
        <w:fldChar w:fldCharType="begin"/>
      </w:r>
      <w:r w:rsidRPr="00D00D9A">
        <w:instrText xml:space="preserve"> REF _Ref_ContractCompanion_9kb9Us6BF \n \h \t \* MERGEFORMAT </w:instrText>
      </w:r>
      <w:r w:rsidRPr="00D00D9A">
        <w:fldChar w:fldCharType="separate"/>
      </w:r>
      <w:r w:rsidR="00302D39">
        <w:t>7.5</w:t>
      </w:r>
      <w:r w:rsidRPr="00D00D9A">
        <w:fldChar w:fldCharType="end"/>
      </w:r>
      <w:bookmarkEnd w:id="1748"/>
      <w:r w:rsidRPr="00D00D9A">
        <w:t>.</w:t>
      </w:r>
      <w:bookmarkEnd w:id="1744"/>
      <w:bookmarkEnd w:id="1745"/>
    </w:p>
    <w:p w14:paraId="6FA8523A" w14:textId="03586CC3" w:rsidR="00F67E9E" w:rsidRPr="00D00D9A" w:rsidRDefault="00F67E9E" w:rsidP="00F67E9E">
      <w:pPr>
        <w:pStyle w:val="Numbered11"/>
      </w:pPr>
      <w:bookmarkStart w:id="1749" w:name="_9kR3WTrAHAAAAIHM6hs5wz3pbmGC93x764FE798"/>
      <w:bookmarkStart w:id="1750" w:name="_9kR3WTrAG9AADLHM6hs5wz3pbmGC93x764FE798"/>
      <w:bookmarkStart w:id="1751" w:name="_Ref_ContractCompanion_9kb9Us664"/>
      <w:bookmarkStart w:id="1752" w:name="_Ref_ContractCompanion_9kb9Us667"/>
      <w:r w:rsidRPr="00D00D9A">
        <w:t xml:space="preserve">Before the Supplier commences court proceedings or arbitration, it shall serve written notice on the Authority of its intentions and the Authority shall have 15 Working Days following receipt of such notice to serve a reply (a </w:t>
      </w:r>
      <w:r>
        <w:t>“</w:t>
      </w:r>
      <w:r w:rsidRPr="00D00D9A">
        <w:rPr>
          <w:rStyle w:val="StdBodyTextBoldChar"/>
          <w:rFonts w:eastAsiaTheme="majorEastAsia" w:cs="Arial"/>
        </w:rPr>
        <w:t>Counter</w:t>
      </w:r>
      <w:r w:rsidRPr="00D00D9A">
        <w:t xml:space="preserve"> </w:t>
      </w:r>
      <w:r w:rsidRPr="00D00D9A">
        <w:rPr>
          <w:rStyle w:val="StdBodyTextBoldChar"/>
          <w:rFonts w:eastAsiaTheme="majorEastAsia" w:cs="Arial"/>
        </w:rPr>
        <w:t>Notice</w:t>
      </w:r>
      <w:r>
        <w:t>”</w:t>
      </w:r>
      <w:r w:rsidRPr="00D00D9A">
        <w:t xml:space="preserve">) on the Supplier requiring the Dispute to be referred to and resolved by arbitration in accordance with </w:t>
      </w:r>
      <w:bookmarkStart w:id="1753" w:name="_9kMIH5YVtCIBCIEGMjTlULuE6s37u56rCE5H95I"/>
      <w:r w:rsidRPr="00D00D9A">
        <w:t xml:space="preserve">Paragraph </w:t>
      </w:r>
      <w:r w:rsidRPr="00D00D9A">
        <w:fldChar w:fldCharType="begin"/>
      </w:r>
      <w:r w:rsidRPr="00D00D9A">
        <w:instrText xml:space="preserve"> REF _Ref_ContractCompanion_9kb9Us6BF \n \h \t \* MERGEFORMAT </w:instrText>
      </w:r>
      <w:r w:rsidRPr="00D00D9A">
        <w:fldChar w:fldCharType="separate"/>
      </w:r>
      <w:r w:rsidR="00302D39">
        <w:t>7.5</w:t>
      </w:r>
      <w:r w:rsidRPr="00D00D9A">
        <w:fldChar w:fldCharType="end"/>
      </w:r>
      <w:bookmarkEnd w:id="1753"/>
      <w:r w:rsidRPr="00D00D9A">
        <w:t xml:space="preserve"> or be subject to the exclusive jurisdiction of the courts of England and Wales.</w:t>
      </w:r>
      <w:bookmarkEnd w:id="1749"/>
      <w:bookmarkEnd w:id="1750"/>
      <w:r w:rsidRPr="00D00D9A">
        <w:t xml:space="preserve"> The Supplier shall not commence any court proceedings or arbitration until the expiry of such 15 Working Day period. </w:t>
      </w:r>
      <w:bookmarkEnd w:id="1751"/>
      <w:bookmarkEnd w:id="1752"/>
    </w:p>
    <w:p w14:paraId="27677B20" w14:textId="77777777" w:rsidR="00F67E9E" w:rsidRPr="00D00D9A" w:rsidRDefault="00F67E9E" w:rsidP="00F67E9E">
      <w:pPr>
        <w:pStyle w:val="Numbered11"/>
      </w:pPr>
      <w:r w:rsidRPr="00D00D9A">
        <w:t>If the Authority serves a Counter Notice, then:</w:t>
      </w:r>
    </w:p>
    <w:p w14:paraId="47EB3E6F" w14:textId="544214BE" w:rsidR="00F67E9E" w:rsidRPr="00154D56" w:rsidRDefault="00F67E9E" w:rsidP="00F67E9E">
      <w:pPr>
        <w:pStyle w:val="Numbered111"/>
      </w:pPr>
      <w:r w:rsidRPr="00D00D9A">
        <w:t xml:space="preserve">if the Counter Notice requires the Dispute to be referred to arbitration, the </w:t>
      </w:r>
      <w:r w:rsidRPr="00154D56">
        <w:t xml:space="preserve">provisions of </w:t>
      </w:r>
      <w:bookmarkStart w:id="1754" w:name="_9kMJI5YVtCIBCIEGMjTlULuE6s37u56rCE5H95I"/>
      <w:r w:rsidRPr="00154D56">
        <w:t xml:space="preserve">Paragraph </w:t>
      </w:r>
      <w:r w:rsidRPr="00154D56">
        <w:fldChar w:fldCharType="begin"/>
      </w:r>
      <w:r w:rsidRPr="00154D56">
        <w:instrText xml:space="preserve"> REF _Ref_ContractCompanion_9kb9Us6BF \n \h \t \* MERGEFORMAT </w:instrText>
      </w:r>
      <w:r w:rsidRPr="00154D56">
        <w:fldChar w:fldCharType="separate"/>
      </w:r>
      <w:r w:rsidR="00302D39">
        <w:t>7.5</w:t>
      </w:r>
      <w:r w:rsidRPr="00154D56">
        <w:fldChar w:fldCharType="end"/>
      </w:r>
      <w:bookmarkEnd w:id="1754"/>
      <w:r w:rsidRPr="00154D56">
        <w:t xml:space="preserve"> shall apply; or</w:t>
      </w:r>
    </w:p>
    <w:p w14:paraId="26C710ED" w14:textId="77777777" w:rsidR="00F67E9E" w:rsidRPr="00D00D9A" w:rsidRDefault="00F67E9E" w:rsidP="00F67E9E">
      <w:pPr>
        <w:pStyle w:val="Numbered111"/>
      </w:pPr>
      <w:r w:rsidRPr="00154D56">
        <w:t>if the Counter Notice requires the Dispute to be subject to the exclusive jurisdiction of the courts of England and Wales, the Dispute shall be so referred to those courts and</w:t>
      </w:r>
      <w:r w:rsidRPr="00D00D9A">
        <w:t xml:space="preserve"> the Supplier shall not commence arbitration proceedings.</w:t>
      </w:r>
    </w:p>
    <w:p w14:paraId="3DE11D74" w14:textId="79C2D9C7" w:rsidR="00F67E9E" w:rsidRPr="00D00D9A" w:rsidRDefault="00F67E9E" w:rsidP="00F67E9E">
      <w:pPr>
        <w:pStyle w:val="Numbered11"/>
      </w:pPr>
      <w:bookmarkStart w:id="1755" w:name="_Ref44067175"/>
      <w:r w:rsidRPr="00D00D9A">
        <w:t xml:space="preserve">If the Authority does not serve a Counter Notice within the 15 Working Day period referred to in </w:t>
      </w:r>
      <w:bookmarkStart w:id="1756" w:name="_9kMJI5YVtCIBCCFNJO8ju7y15rdoIEB5z986HG9"/>
      <w:r w:rsidRPr="00D00D9A">
        <w:t xml:space="preserve">Paragraph </w:t>
      </w:r>
      <w:r w:rsidRPr="00D00D9A">
        <w:fldChar w:fldCharType="begin"/>
      </w:r>
      <w:r w:rsidRPr="00D00D9A">
        <w:instrText xml:space="preserve"> REF _Ref_ContractCompanion_9kb9Us667 \n \h \t \* MERGEFORMAT </w:instrText>
      </w:r>
      <w:r w:rsidRPr="00D00D9A">
        <w:fldChar w:fldCharType="separate"/>
      </w:r>
      <w:r w:rsidR="00302D39">
        <w:t>7.2</w:t>
      </w:r>
      <w:r w:rsidRPr="00D00D9A">
        <w:fldChar w:fldCharType="end"/>
      </w:r>
      <w:bookmarkEnd w:id="1756"/>
      <w:r w:rsidRPr="00D00D9A">
        <w:t xml:space="preserve">, the Supplier may either commence arbitration proceedings in accordance with </w:t>
      </w:r>
      <w:bookmarkStart w:id="1757" w:name="_9kMKJ5YVtCIBCIEGMjTlULuE6s37u56rCE5H95I"/>
      <w:r w:rsidRPr="00D00D9A">
        <w:t xml:space="preserve">Paragraph </w:t>
      </w:r>
      <w:r w:rsidRPr="00D00D9A">
        <w:fldChar w:fldCharType="begin"/>
      </w:r>
      <w:r w:rsidRPr="00D00D9A">
        <w:instrText xml:space="preserve"> REF _Ref_ContractCompanion_9kb9Us6BF \n \h \t \* MERGEFORMAT </w:instrText>
      </w:r>
      <w:r w:rsidRPr="00D00D9A">
        <w:fldChar w:fldCharType="separate"/>
      </w:r>
      <w:r w:rsidR="00302D39">
        <w:t>7.5</w:t>
      </w:r>
      <w:r w:rsidRPr="00D00D9A">
        <w:fldChar w:fldCharType="end"/>
      </w:r>
      <w:bookmarkEnd w:id="1757"/>
      <w:r w:rsidRPr="00D00D9A">
        <w:t xml:space="preserve"> or commence court proceedings in the Courts of England and Wales which shall (in those circumstances) have exclusive jurisdiction.</w:t>
      </w:r>
      <w:bookmarkEnd w:id="1755"/>
    </w:p>
    <w:p w14:paraId="0033BE51" w14:textId="107A18AF" w:rsidR="00F67E9E" w:rsidRPr="00D00D9A" w:rsidRDefault="00F67E9E" w:rsidP="00F67E9E">
      <w:pPr>
        <w:pStyle w:val="Numbered11"/>
      </w:pPr>
      <w:bookmarkStart w:id="1758" w:name="_Ref_ContractCompanion_9kb9Us6BF"/>
      <w:bookmarkStart w:id="1759" w:name="_9kR3WTrAG9AGCEKhRjSJsC4q15s34pAC3F73GLO"/>
      <w:r w:rsidRPr="00D00D9A">
        <w:t xml:space="preserve">The Parties hereby confirm that if any arbitration proceedings are commenced pursuant to </w:t>
      </w:r>
      <w:bookmarkStart w:id="1760" w:name="_9kMHG5YVtCIBCIHJIefvlpjzHDxy9BB5v14wHMK"/>
      <w:r w:rsidRPr="00D00D9A">
        <w:t xml:space="preserve">Paragraphs </w:t>
      </w:r>
      <w:r w:rsidRPr="00D00D9A">
        <w:fldChar w:fldCharType="begin"/>
      </w:r>
      <w:r w:rsidRPr="00D00D9A">
        <w:instrText xml:space="preserve"> REF _Ref_ContractCompanion_9kb9Us6C9 \n \h \t \* MERGEFORMAT </w:instrText>
      </w:r>
      <w:r w:rsidRPr="00D00D9A">
        <w:fldChar w:fldCharType="separate"/>
      </w:r>
      <w:r w:rsidR="00302D39">
        <w:t>7.1</w:t>
      </w:r>
      <w:r w:rsidRPr="00D00D9A">
        <w:fldChar w:fldCharType="end"/>
      </w:r>
      <w:bookmarkEnd w:id="1760"/>
      <w:r w:rsidRPr="00D00D9A">
        <w:t xml:space="preserve"> to </w:t>
      </w:r>
      <w:r w:rsidRPr="00D00D9A">
        <w:fldChar w:fldCharType="begin"/>
      </w:r>
      <w:r w:rsidRPr="00D00D9A">
        <w:instrText xml:space="preserve"> REF _Ref44067175 \r \h  \* MERGEFORMAT </w:instrText>
      </w:r>
      <w:r w:rsidRPr="00D00D9A">
        <w:fldChar w:fldCharType="separate"/>
      </w:r>
      <w:r w:rsidR="00302D39">
        <w:t>7.4</w:t>
      </w:r>
      <w:r w:rsidRPr="00D00D9A">
        <w:fldChar w:fldCharType="end"/>
      </w:r>
      <w:r w:rsidRPr="00D00D9A">
        <w:t>:</w:t>
      </w:r>
      <w:bookmarkEnd w:id="1758"/>
      <w:bookmarkEnd w:id="1759"/>
    </w:p>
    <w:p w14:paraId="5C18CE5D" w14:textId="1F02F7E9" w:rsidR="00F67E9E" w:rsidRPr="00154D56" w:rsidRDefault="00F67E9E" w:rsidP="00F67E9E">
      <w:pPr>
        <w:pStyle w:val="Numbered111"/>
      </w:pPr>
      <w:r w:rsidRPr="00D00D9A">
        <w:t>the Dispute shall be referred to and finally resolved by arbitration under the Rules of the London Court of International Arbitration (</w:t>
      </w:r>
      <w:r>
        <w:t>“</w:t>
      </w:r>
      <w:r w:rsidRPr="00D00D9A">
        <w:rPr>
          <w:rStyle w:val="StdBodyTextBoldChar"/>
          <w:rFonts w:eastAsiaTheme="majorEastAsia" w:cs="Arial"/>
        </w:rPr>
        <w:t>LCIA</w:t>
      </w:r>
      <w:r>
        <w:t>”</w:t>
      </w:r>
      <w:r w:rsidRPr="00D00D9A">
        <w:t xml:space="preserve">) (subject to </w:t>
      </w:r>
      <w:bookmarkStart w:id="1761" w:name="_9kMHG5YVtCIBCIKMMuw0mimln5C17Awq46yHR94"/>
      <w:r w:rsidRPr="00D00D9A">
        <w:t xml:space="preserve">Paragraphs </w:t>
      </w:r>
      <w:r w:rsidRPr="00D00D9A">
        <w:fldChar w:fldCharType="begin"/>
      </w:r>
      <w:r w:rsidRPr="00D00D9A">
        <w:instrText xml:space="preserve"> REF _Ref_ContractCompanion_9kb9Us6CC \w \h \t \* MERGEFORMAT </w:instrText>
      </w:r>
      <w:r w:rsidRPr="00D00D9A">
        <w:fldChar w:fldCharType="separate"/>
      </w:r>
      <w:r w:rsidR="00302D39">
        <w:t>7.5.5</w:t>
      </w:r>
      <w:r w:rsidRPr="00D00D9A">
        <w:fldChar w:fldCharType="end"/>
      </w:r>
      <w:bookmarkEnd w:id="1761"/>
      <w:r w:rsidRPr="00D00D9A">
        <w:t xml:space="preserve">, </w:t>
      </w:r>
      <w:bookmarkStart w:id="1762" w:name="_9kR3WTr2CC6AIv"/>
      <w:r w:rsidRPr="00D00D9A">
        <w:fldChar w:fldCharType="begin"/>
      </w:r>
      <w:r w:rsidRPr="00D00D9A">
        <w:instrText xml:space="preserve"> REF _Ref_ContractCompanion_9kb9Ur26C \w \n \h \t \* MERGEFORMAT </w:instrText>
      </w:r>
      <w:r w:rsidRPr="00D00D9A">
        <w:fldChar w:fldCharType="separate"/>
      </w:r>
      <w:r w:rsidR="00302D39">
        <w:t>7.5.6</w:t>
      </w:r>
      <w:r w:rsidRPr="00D00D9A">
        <w:fldChar w:fldCharType="end"/>
      </w:r>
      <w:bookmarkEnd w:id="1762"/>
      <w:r w:rsidRPr="00D00D9A">
        <w:t xml:space="preserve"> and </w:t>
      </w:r>
      <w:bookmarkStart w:id="1763" w:name="_9kR3WTr2CC6BCp"/>
      <w:r w:rsidRPr="00154D56">
        <w:fldChar w:fldCharType="begin"/>
      </w:r>
      <w:r w:rsidRPr="00154D56">
        <w:instrText xml:space="preserve"> REF _Ref_ContractCompanion_9kb9Ur276 \w \n \h \t \* MERGEFORMAT </w:instrText>
      </w:r>
      <w:r w:rsidRPr="00154D56">
        <w:fldChar w:fldCharType="separate"/>
      </w:r>
      <w:r w:rsidR="00302D39">
        <w:t>7.5.7</w:t>
      </w:r>
      <w:r w:rsidRPr="00154D56">
        <w:fldChar w:fldCharType="end"/>
      </w:r>
      <w:bookmarkEnd w:id="1763"/>
      <w:r w:rsidRPr="00154D56">
        <w:t xml:space="preserve">); </w:t>
      </w:r>
    </w:p>
    <w:p w14:paraId="3EB1B4AE" w14:textId="77777777" w:rsidR="00F67E9E" w:rsidRPr="00154D56" w:rsidRDefault="00F67E9E" w:rsidP="00F67E9E">
      <w:pPr>
        <w:pStyle w:val="Numbered111"/>
      </w:pPr>
      <w:r w:rsidRPr="00154D56">
        <w:t>the arbitration shall be administered by the LCIA;</w:t>
      </w:r>
    </w:p>
    <w:p w14:paraId="426D58D8" w14:textId="77777777" w:rsidR="00F67E9E" w:rsidRPr="00154D56" w:rsidRDefault="00F67E9E" w:rsidP="00F67E9E">
      <w:pPr>
        <w:pStyle w:val="Numbered111"/>
      </w:pPr>
      <w:r w:rsidRPr="00154D56">
        <w:t>the LCIA procedural rules in force at the date that the Dispute was referred to arbitration shall be applied and are deemed to be incorporated by reference into this Contract and the decision of the arbitrator shall be binding on the Parties in the absence of any material failure to comply with such rules;</w:t>
      </w:r>
    </w:p>
    <w:p w14:paraId="77F623F1" w14:textId="77777777" w:rsidR="00F67E9E" w:rsidRPr="00154D56" w:rsidRDefault="00F67E9E" w:rsidP="00F67E9E">
      <w:pPr>
        <w:pStyle w:val="Numbered111"/>
      </w:pPr>
      <w:r w:rsidRPr="00154D56">
        <w:t xml:space="preserve">if the Parties fail to agree the appointment of the arbitrator within 10 Working Days from the date on which arbitration proceedings are commenced or if the person appointed is unable or unwilling to act, the arbitrator shall be appointed by the LCIA; </w:t>
      </w:r>
    </w:p>
    <w:p w14:paraId="38CDCDB6" w14:textId="77777777" w:rsidR="00F67E9E" w:rsidRPr="00154D56" w:rsidRDefault="00F67E9E" w:rsidP="00F67E9E">
      <w:pPr>
        <w:pStyle w:val="Numbered111"/>
      </w:pPr>
      <w:bookmarkStart w:id="1764" w:name="_Ref_ContractCompanion_9kb9Us6CC"/>
      <w:bookmarkStart w:id="1765" w:name="_9kR3WTrAG9AGIKKsuykgkjl3Az58uo24wFP72MT"/>
      <w:r w:rsidRPr="00154D56">
        <w:t>the chair of the arbitral tribunal shall be British;</w:t>
      </w:r>
      <w:bookmarkEnd w:id="1764"/>
      <w:bookmarkEnd w:id="1765"/>
    </w:p>
    <w:p w14:paraId="4A598E04" w14:textId="77777777" w:rsidR="00F67E9E" w:rsidRPr="00154D56" w:rsidRDefault="00F67E9E" w:rsidP="00F67E9E">
      <w:pPr>
        <w:pStyle w:val="Numbered111"/>
      </w:pPr>
      <w:bookmarkStart w:id="1766" w:name="_Ref_ContractCompanion_9kb9Ur26C"/>
      <w:r w:rsidRPr="00154D56">
        <w:t>the arbitration proceedings shall take place in London and in the English language; and</w:t>
      </w:r>
      <w:bookmarkEnd w:id="1766"/>
    </w:p>
    <w:p w14:paraId="68AA138E" w14:textId="77777777" w:rsidR="00F67E9E" w:rsidRPr="00D00D9A" w:rsidRDefault="00F67E9E" w:rsidP="00F67E9E">
      <w:pPr>
        <w:pStyle w:val="Numbered111"/>
      </w:pPr>
      <w:bookmarkStart w:id="1767" w:name="_Ref_ContractCompanion_9kb9Ur276"/>
      <w:r w:rsidRPr="00154D56">
        <w:t>the seat of the arbitration</w:t>
      </w:r>
      <w:r w:rsidRPr="00D00D9A">
        <w:t xml:space="preserve"> shall be London. </w:t>
      </w:r>
      <w:bookmarkEnd w:id="1767"/>
    </w:p>
    <w:p w14:paraId="5FBD2233" w14:textId="77777777" w:rsidR="00F67E9E" w:rsidRPr="00D00D9A" w:rsidRDefault="00F67E9E" w:rsidP="00F67E9E">
      <w:pPr>
        <w:pStyle w:val="Numbered1"/>
      </w:pPr>
      <w:bookmarkStart w:id="1768" w:name="_Ref_ContractCompanion_9kb9Us6A9"/>
      <w:bookmarkStart w:id="1769" w:name="_9kR3WTrAG9AEFKkBymuAF1w1vt"/>
      <w:r w:rsidRPr="00D00D9A">
        <w:t>Urgent Relief</w:t>
      </w:r>
      <w:bookmarkEnd w:id="1768"/>
      <w:bookmarkEnd w:id="1769"/>
    </w:p>
    <w:p w14:paraId="75D5E2C7" w14:textId="77777777" w:rsidR="00F67E9E" w:rsidRPr="00D00D9A" w:rsidRDefault="00F67E9E" w:rsidP="00F67E9E">
      <w:pPr>
        <w:pStyle w:val="Numbered11"/>
      </w:pPr>
      <w:r w:rsidRPr="00D00D9A">
        <w:t xml:space="preserve">Either </w:t>
      </w:r>
      <w:r w:rsidRPr="00154D56">
        <w:t>Party</w:t>
      </w:r>
      <w:r w:rsidRPr="00D00D9A">
        <w:t xml:space="preserve"> may at any time take proceedings or seek remedies before any court or tribunal of competent jurisdiction:</w:t>
      </w:r>
    </w:p>
    <w:p w14:paraId="2969EDD8" w14:textId="77777777" w:rsidR="00F67E9E" w:rsidRPr="00154D56" w:rsidRDefault="00F67E9E" w:rsidP="00F67E9E">
      <w:pPr>
        <w:pStyle w:val="Numbered111"/>
      </w:pPr>
      <w:r w:rsidRPr="00D00D9A">
        <w:t xml:space="preserve">for interim or interlocutory remedies in relation to this Contract or infringement by the </w:t>
      </w:r>
      <w:r w:rsidRPr="00154D56">
        <w:t>other Party of that Party’s Intellectual Property Rights; and/or</w:t>
      </w:r>
    </w:p>
    <w:p w14:paraId="5FD6538E" w14:textId="61D990E7" w:rsidR="00F67E9E" w:rsidRPr="00D00D9A" w:rsidRDefault="00F67E9E" w:rsidP="00F67E9E">
      <w:pPr>
        <w:pStyle w:val="Numbered111"/>
      </w:pPr>
      <w:r w:rsidRPr="00154D56">
        <w:t xml:space="preserve">where compliance with </w:t>
      </w:r>
      <w:bookmarkStart w:id="1770" w:name="_9kMHG5YVtCIBCINKDUGfEH3BEJ4m09B89PF18"/>
      <w:r w:rsidRPr="00154D56">
        <w:t xml:space="preserve">Paragraph </w:t>
      </w:r>
      <w:r w:rsidRPr="00154D56">
        <w:fldChar w:fldCharType="begin"/>
      </w:r>
      <w:r w:rsidRPr="00154D56">
        <w:instrText xml:space="preserve"> REF _Ref_ContractCompanion_9kb9Us6CF \n \h \t \* MERGEFORMAT </w:instrText>
      </w:r>
      <w:r w:rsidRPr="00154D56">
        <w:fldChar w:fldCharType="separate"/>
      </w:r>
      <w:r w:rsidR="00302D39">
        <w:t>2.1</w:t>
      </w:r>
      <w:r w:rsidRPr="00154D56">
        <w:fldChar w:fldCharType="end"/>
      </w:r>
      <w:bookmarkEnd w:id="1770"/>
      <w:r w:rsidRPr="00154D56">
        <w:t xml:space="preserve"> and/or referring the Dispute to mediation may l</w:t>
      </w:r>
      <w:r w:rsidRPr="00D00D9A">
        <w:t xml:space="preserve">eave insufficient time for that Party to commence proceedings before the expiry of the limitation period. </w:t>
      </w:r>
    </w:p>
    <w:p w14:paraId="3C50517E" w14:textId="77777777" w:rsidR="00F67E9E" w:rsidRPr="00D00D9A" w:rsidRDefault="00F67E9E" w:rsidP="00F67E9E">
      <w:pPr>
        <w:pStyle w:val="Numbered1"/>
      </w:pPr>
      <w:bookmarkStart w:id="1771" w:name="_Ref_ContractCompanion_9kb9Us49E"/>
      <w:bookmarkStart w:id="1772" w:name="_9kR3WTrAG98DKiJfifw5qERTnGGGEB47RZK5LTW"/>
      <w:r w:rsidRPr="00D00D9A">
        <w:t>Multi-Party Disputes</w:t>
      </w:r>
      <w:bookmarkEnd w:id="1771"/>
      <w:bookmarkEnd w:id="1772"/>
    </w:p>
    <w:p w14:paraId="70531F9E" w14:textId="327082FE" w:rsidR="00F67E9E" w:rsidRPr="00D00D9A" w:rsidRDefault="00F67E9E" w:rsidP="00F67E9E">
      <w:pPr>
        <w:pStyle w:val="Numbered11"/>
      </w:pPr>
      <w:bookmarkStart w:id="1773" w:name="_Ref44510621"/>
      <w:r w:rsidRPr="00D00D9A">
        <w:t xml:space="preserve">All Multi-Party Disputes shall be resolved in accordance with the procedure set out in this </w:t>
      </w:r>
      <w:bookmarkStart w:id="1774" w:name="_9kMIH5YVtCIBAFMkLhkhy7sGTVpIIIGD69TbM7N"/>
      <w:r w:rsidRPr="00D00D9A">
        <w:t xml:space="preserve">Paragraph </w:t>
      </w:r>
      <w:r w:rsidRPr="00D00D9A">
        <w:fldChar w:fldCharType="begin"/>
      </w:r>
      <w:r w:rsidRPr="00D00D9A">
        <w:instrText xml:space="preserve"> REF _Ref_ContractCompanion_9kb9Us49E \w \n \h \t \* MERGEFORMAT </w:instrText>
      </w:r>
      <w:r w:rsidRPr="00D00D9A">
        <w:fldChar w:fldCharType="separate"/>
      </w:r>
      <w:r w:rsidR="00302D39">
        <w:t>9</w:t>
      </w:r>
      <w:r w:rsidRPr="00D00D9A">
        <w:fldChar w:fldCharType="end"/>
      </w:r>
      <w:bookmarkEnd w:id="1774"/>
      <w:r w:rsidRPr="00D00D9A">
        <w:t xml:space="preserve"> (the </w:t>
      </w:r>
      <w:r>
        <w:t>“</w:t>
      </w:r>
      <w:r w:rsidRPr="00D00D9A">
        <w:rPr>
          <w:rStyle w:val="StdBodyTextBoldChar"/>
          <w:rFonts w:eastAsiaTheme="majorEastAsia" w:cs="Arial"/>
        </w:rPr>
        <w:t>Multi-Party Dispute Resolution Procedure</w:t>
      </w:r>
      <w:r>
        <w:t>”</w:t>
      </w:r>
      <w:r w:rsidRPr="00D00D9A">
        <w:t>).</w:t>
      </w:r>
      <w:bookmarkEnd w:id="1773"/>
    </w:p>
    <w:p w14:paraId="3FF0F03A" w14:textId="77777777" w:rsidR="00F67E9E" w:rsidRPr="00D00D9A" w:rsidRDefault="00F67E9E" w:rsidP="00F67E9E">
      <w:pPr>
        <w:pStyle w:val="Numbered11"/>
      </w:pPr>
      <w:bookmarkStart w:id="1775" w:name="_Ref_ContractCompanion_9kb9Us686"/>
      <w:bookmarkStart w:id="1776" w:name="_9kR3WTrAG9ACCKJTEdstoDK5zwq186AMH98FH35"/>
      <w:r w:rsidRPr="00D00D9A">
        <w:t>If at any time following the issue of a Dispute Notice, the Authority reasonably considers that the matters giving rise to the Dispute involve one or more Related Third Parties, then the Authority shall be entitled to determine that the Dispute is a Multi-Party Dispute and to serve a notice on the Supplier which sets out the Authority</w:t>
      </w:r>
      <w:r>
        <w:t>’</w:t>
      </w:r>
      <w:r w:rsidRPr="00D00D9A">
        <w:t xml:space="preserve">s determination that the Dispute is a Multi-Party Dispute and specifies the Related Third Parties which are to be involved in the Multi-Party Dispute Resolution Procedure, such notice a </w:t>
      </w:r>
      <w:r>
        <w:t>“</w:t>
      </w:r>
      <w:r w:rsidRPr="00D00D9A">
        <w:rPr>
          <w:rStyle w:val="StdBodyTextBoldChar"/>
          <w:rFonts w:eastAsiaTheme="majorEastAsia" w:cs="Arial"/>
        </w:rPr>
        <w:t>Multi-Party Procedure</w:t>
      </w:r>
      <w:r w:rsidRPr="00D00D9A">
        <w:t xml:space="preserve"> </w:t>
      </w:r>
      <w:r w:rsidRPr="00D00D9A">
        <w:rPr>
          <w:rStyle w:val="StdBodyTextBoldChar"/>
          <w:rFonts w:eastAsiaTheme="majorEastAsia" w:cs="Arial"/>
        </w:rPr>
        <w:t>Initiation Notice</w:t>
      </w:r>
      <w:r>
        <w:t>”</w:t>
      </w:r>
      <w:r w:rsidRPr="00D00D9A">
        <w:t>.</w:t>
      </w:r>
      <w:bookmarkEnd w:id="1775"/>
      <w:bookmarkEnd w:id="1776"/>
    </w:p>
    <w:p w14:paraId="193CB66B" w14:textId="7AB016E5" w:rsidR="00F67E9E" w:rsidRPr="00D00D9A" w:rsidRDefault="00F67E9E" w:rsidP="00F67E9E">
      <w:pPr>
        <w:pStyle w:val="Numbered11"/>
      </w:pPr>
      <w:bookmarkStart w:id="1777" w:name="_Ref_ContractCompanion_9kb9Us689"/>
      <w:bookmarkStart w:id="1778" w:name="_9kR3WTrAG9ACFNKUEiszx1D80z68uwBMPC79wVY"/>
      <w:r w:rsidRPr="00D00D9A">
        <w:t xml:space="preserve">If following the issue of a Dispute Notice but before the Dispute has been referred to Expert Determination or to arbitration in accordance with </w:t>
      </w:r>
      <w:bookmarkStart w:id="1779" w:name="_9kMIH5YVtCIBAGGdLhkhy7sGTTb35xGQ8BKGM"/>
      <w:r w:rsidRPr="00D00D9A">
        <w:t xml:space="preserve">Paragraph </w:t>
      </w:r>
      <w:r w:rsidRPr="00D00D9A">
        <w:fldChar w:fldCharType="begin"/>
      </w:r>
      <w:r w:rsidRPr="00D00D9A">
        <w:instrText xml:space="preserve"> REF _Ref_ContractCompanion_9kb9Us4A8 \w \n \h \t \* MERGEFORMAT </w:instrText>
      </w:r>
      <w:r w:rsidRPr="00D00D9A">
        <w:fldChar w:fldCharType="separate"/>
      </w:r>
      <w:r w:rsidR="00302D39">
        <w:t>7</w:t>
      </w:r>
      <w:r w:rsidRPr="00D00D9A">
        <w:fldChar w:fldCharType="end"/>
      </w:r>
      <w:bookmarkEnd w:id="1779"/>
      <w:r w:rsidRPr="00D00D9A">
        <w:t>, the Supplier has reasonable grounds to believe that the matters giving rise to the Dispute have been contributed to by one or more Related Third Parties, the Supplier may serve a Supplier Request on the Authority.</w:t>
      </w:r>
      <w:bookmarkEnd w:id="1777"/>
      <w:bookmarkEnd w:id="1778"/>
    </w:p>
    <w:p w14:paraId="492ED613" w14:textId="77777777" w:rsidR="00F67E9E" w:rsidRPr="00D00D9A" w:rsidRDefault="00F67E9E" w:rsidP="00F67E9E">
      <w:pPr>
        <w:pStyle w:val="Numbered11"/>
      </w:pPr>
      <w:r w:rsidRPr="00D00D9A">
        <w:t xml:space="preserve">The </w:t>
      </w:r>
      <w:r w:rsidRPr="00154D56">
        <w:t>Authority</w:t>
      </w:r>
      <w:r w:rsidRPr="00D00D9A">
        <w:t xml:space="preserve"> shall (acting reasonably) consider each Supplier Request and shall determine within 5 Working Days whether the Dispute is:</w:t>
      </w:r>
    </w:p>
    <w:p w14:paraId="24D78161" w14:textId="77777777" w:rsidR="00F67E9E" w:rsidRPr="00154D56" w:rsidRDefault="00F67E9E" w:rsidP="00F67E9E">
      <w:pPr>
        <w:pStyle w:val="Numbered111"/>
      </w:pPr>
      <w:r w:rsidRPr="00D00D9A">
        <w:t xml:space="preserve">a Multi-Party Dispute, in which case the Authority shall serve a Multi-Party </w:t>
      </w:r>
      <w:r w:rsidRPr="00154D56">
        <w:t>Procedure Initiation Notice on the Supplier; or</w:t>
      </w:r>
    </w:p>
    <w:p w14:paraId="7A8B1DFB" w14:textId="371BBA19" w:rsidR="00F67E9E" w:rsidRPr="00D00D9A" w:rsidRDefault="00F67E9E" w:rsidP="00F67E9E">
      <w:pPr>
        <w:pStyle w:val="Numbered111"/>
      </w:pPr>
      <w:r w:rsidRPr="00154D56">
        <w:t>not a Multi-Party Dispute, in which case the Authority shall serve written notice of such determination</w:t>
      </w:r>
      <w:r w:rsidRPr="00D00D9A">
        <w:t xml:space="preserve"> upon the Supplier and the Dispute shall be treated in accordance with </w:t>
      </w:r>
      <w:bookmarkStart w:id="1780" w:name="_9kMHG5YVtCIBAHJfLhkhy7sGTPbDP7w1IF006MU"/>
      <w:r w:rsidRPr="00D00D9A">
        <w:t xml:space="preserve">Paragraphs </w:t>
      </w:r>
      <w:r w:rsidRPr="00D00D9A">
        <w:fldChar w:fldCharType="begin"/>
      </w:r>
      <w:r w:rsidRPr="00D00D9A">
        <w:instrText xml:space="preserve"> REF _Ref_ContractCompanion_9kb9Us4BB \w \n \h \t \* MERGEFORMAT </w:instrText>
      </w:r>
      <w:r w:rsidRPr="00D00D9A">
        <w:fldChar w:fldCharType="separate"/>
      </w:r>
      <w:r w:rsidR="00302D39">
        <w:t>3</w:t>
      </w:r>
      <w:r w:rsidRPr="00D00D9A">
        <w:fldChar w:fldCharType="end"/>
      </w:r>
      <w:bookmarkEnd w:id="1780"/>
      <w:r w:rsidRPr="00D00D9A">
        <w:t xml:space="preserve"> to </w:t>
      </w:r>
      <w:bookmarkStart w:id="1781" w:name="_9kMIH5YVtCIBCGHMmD0owCH3y3xv"/>
      <w:r w:rsidRPr="00D00D9A">
        <w:fldChar w:fldCharType="begin"/>
      </w:r>
      <w:r w:rsidRPr="00D00D9A">
        <w:instrText xml:space="preserve"> REF _Ref_ContractCompanion_9kb9Us6A9 \w \n \h \t \* MERGEFORMAT </w:instrText>
      </w:r>
      <w:r w:rsidRPr="00D00D9A">
        <w:fldChar w:fldCharType="separate"/>
      </w:r>
      <w:r w:rsidR="00302D39">
        <w:t>8</w:t>
      </w:r>
      <w:r w:rsidRPr="00D00D9A">
        <w:fldChar w:fldCharType="end"/>
      </w:r>
      <w:bookmarkEnd w:id="1781"/>
      <w:r w:rsidRPr="00D00D9A">
        <w:t>.</w:t>
      </w:r>
    </w:p>
    <w:p w14:paraId="460A2BC8" w14:textId="77777777" w:rsidR="00F67E9E" w:rsidRPr="00D00D9A" w:rsidRDefault="00F67E9E" w:rsidP="00F67E9E">
      <w:pPr>
        <w:pStyle w:val="Numbered11"/>
      </w:pPr>
      <w:r w:rsidRPr="00D00D9A">
        <w:t>If the Authority has determined, following a Supplier Request, that a Dispute is not a Multi-Party Dispute, the Supplier may not serve another Supplier Request with reference to the same Dispute.</w:t>
      </w:r>
    </w:p>
    <w:p w14:paraId="0F3E6C67" w14:textId="77777777" w:rsidR="00F67E9E" w:rsidRPr="00D00D9A" w:rsidRDefault="00F67E9E" w:rsidP="00F67E9E">
      <w:pPr>
        <w:pStyle w:val="Numbered11"/>
      </w:pPr>
      <w:bookmarkStart w:id="1782" w:name="_Ref_ContractCompanion_9kb9Us67B"/>
      <w:bookmarkStart w:id="1783" w:name="_9kR3WTrAHAAC8GNUKxvzB6yx322KCur46tbqMMK"/>
      <w:bookmarkStart w:id="1784" w:name="_9kR3WTrAG9AC9HNUKxvzB6yx322KCur46tbqMMK"/>
      <w:r w:rsidRPr="00D00D9A">
        <w:t xml:space="preserve">Following service of a Multi-Party Procedure Initiation Notice a Multi-Party Dispute shall be dealt with by a board (in relation to such Multi-Party Dispute, the </w:t>
      </w:r>
      <w:r>
        <w:t>“</w:t>
      </w:r>
      <w:r w:rsidRPr="00D00D9A">
        <w:rPr>
          <w:rStyle w:val="StdBodyTextBoldChar"/>
          <w:rFonts w:eastAsiaTheme="majorEastAsia" w:cs="Arial"/>
        </w:rPr>
        <w:t>Multi-Party Dispute Resolution Board</w:t>
      </w:r>
      <w:r>
        <w:t>”</w:t>
      </w:r>
      <w:r w:rsidRPr="00D00D9A">
        <w:t>) comprising representatives from the following parties to the Multi-Party Dispute, each of whom shall be of a suitable level of seniority to finalise any agreement with the other parties to settle the Multi-Party Dispute:</w:t>
      </w:r>
      <w:bookmarkEnd w:id="1782"/>
      <w:bookmarkEnd w:id="1783"/>
      <w:bookmarkEnd w:id="1784"/>
    </w:p>
    <w:p w14:paraId="68D16F9A" w14:textId="77777777" w:rsidR="00F67E9E" w:rsidRPr="00D00D9A" w:rsidRDefault="00F67E9E" w:rsidP="00F67E9E">
      <w:pPr>
        <w:pStyle w:val="Numbered111"/>
      </w:pPr>
      <w:r w:rsidRPr="00D00D9A">
        <w:t>the Authority;</w:t>
      </w:r>
    </w:p>
    <w:p w14:paraId="45B34C06" w14:textId="77777777" w:rsidR="00F67E9E" w:rsidRPr="00D00D9A" w:rsidRDefault="00F67E9E" w:rsidP="00F67E9E">
      <w:pPr>
        <w:pStyle w:val="Numbered111"/>
      </w:pPr>
      <w:r w:rsidRPr="00D00D9A">
        <w:t>the Supplier;</w:t>
      </w:r>
    </w:p>
    <w:p w14:paraId="0A785D4C" w14:textId="77777777" w:rsidR="00F67E9E" w:rsidRPr="00D00D9A" w:rsidRDefault="00F67E9E" w:rsidP="00F67E9E">
      <w:pPr>
        <w:pStyle w:val="Numbered111"/>
      </w:pPr>
      <w:r w:rsidRPr="00D00D9A">
        <w:t>each Related Third Party involved in the Multi-Party Dispute; and</w:t>
      </w:r>
    </w:p>
    <w:p w14:paraId="469FDB4A" w14:textId="77777777" w:rsidR="00F67E9E" w:rsidRPr="00D00D9A" w:rsidRDefault="00F67E9E" w:rsidP="00F67E9E">
      <w:pPr>
        <w:pStyle w:val="Numbered111"/>
      </w:pPr>
      <w:r w:rsidRPr="00D00D9A">
        <w:t>any other representatives of any of the Parties and/or any Related Third Parties whom the Authority considers necessary,</w:t>
      </w:r>
    </w:p>
    <w:p w14:paraId="7DAC85F0" w14:textId="77777777" w:rsidR="00F67E9E" w:rsidRPr="00D00D9A" w:rsidRDefault="00F67E9E" w:rsidP="00F67E9E">
      <w:pPr>
        <w:pStyle w:val="StdBodyText2"/>
        <w:rPr>
          <w:rFonts w:cs="Arial"/>
        </w:rPr>
      </w:pPr>
      <w:r w:rsidRPr="00D00D9A">
        <w:rPr>
          <w:rFonts w:cs="Arial"/>
        </w:rPr>
        <w:t xml:space="preserve">(together </w:t>
      </w:r>
      <w:r>
        <w:rPr>
          <w:rFonts w:cs="Arial"/>
        </w:rPr>
        <w:t>“</w:t>
      </w:r>
      <w:r w:rsidRPr="00D00D9A">
        <w:rPr>
          <w:rStyle w:val="StdBodyTextBoldChar"/>
          <w:rFonts w:eastAsiaTheme="majorEastAsia" w:cs="Arial"/>
        </w:rPr>
        <w:t>Multi-Party Dispute Representatives</w:t>
      </w:r>
      <w:r>
        <w:rPr>
          <w:rFonts w:cs="Arial"/>
        </w:rPr>
        <w:t>”</w:t>
      </w:r>
      <w:r w:rsidRPr="00D00D9A">
        <w:rPr>
          <w:rFonts w:cs="Arial"/>
        </w:rPr>
        <w:t>).</w:t>
      </w:r>
    </w:p>
    <w:p w14:paraId="5E9B4325" w14:textId="77777777" w:rsidR="00F67E9E" w:rsidRPr="00D00D9A" w:rsidRDefault="00F67E9E" w:rsidP="00F67E9E">
      <w:pPr>
        <w:pStyle w:val="Numbered11"/>
      </w:pPr>
      <w:r w:rsidRPr="00D00D9A">
        <w:t>The Parties agree that the Multi-Party Dispute Resolution Board shall seek to resolve the relevant Multi-Party Dispute in accordance with the following principles and procedures:</w:t>
      </w:r>
    </w:p>
    <w:p w14:paraId="056BBF22" w14:textId="77777777" w:rsidR="00F67E9E" w:rsidRPr="00D00D9A" w:rsidRDefault="00F67E9E" w:rsidP="00F67E9E">
      <w:pPr>
        <w:pStyle w:val="Numbered111"/>
      </w:pPr>
      <w:r w:rsidRPr="00D00D9A">
        <w:t xml:space="preserve">the Parties shall procure that their Multi-Party Dispute Representatives attend, and shall use their best endeavours to procure that the Multi-Party Dispute Representatives of each Related Third Party attend, all meetings of the Multi-Party Dispute Resolution Board in respect of the Multi-Party Dispute; </w:t>
      </w:r>
    </w:p>
    <w:p w14:paraId="119022EB" w14:textId="77777777" w:rsidR="00F67E9E" w:rsidRPr="00D00D9A" w:rsidRDefault="00F67E9E" w:rsidP="00F67E9E">
      <w:pPr>
        <w:pStyle w:val="Numbered111"/>
      </w:pPr>
      <w:r w:rsidRPr="00D00D9A">
        <w:t>the Multi-Party Dispute Resolution Board shall first meet within 10 Working Days of service of the relevant Multi-Party Procedure Initiation Notice at such time and place as the Parties may agree or, if the Parties do not reach agreement on the time and place within 5 Working Days of service of the relevant Multi-Party Procedure Initiation Notice, at the time and place specified by the Authority, provided such place is at a neutral location within England and that the meeting is to take place between 9.00am and 5.00pm on a Working Day; and</w:t>
      </w:r>
    </w:p>
    <w:p w14:paraId="61984140" w14:textId="77777777" w:rsidR="00F67E9E" w:rsidRPr="00D00D9A" w:rsidRDefault="00F67E9E" w:rsidP="00F67E9E">
      <w:pPr>
        <w:pStyle w:val="Numbered111"/>
      </w:pPr>
      <w:r w:rsidRPr="00D00D9A">
        <w:t>in seeking to resolve or settle any Multi-Party Dispute, the members of the Multi-Party Dispute Resolution Board shall have regard to the principle that a Multi-Party Dispute should be determined based on the contractual rights and obligations between the Parties and the Related Third Parties and that any apportionment of costs should reflect the separate components of the Multi-Party Dispute.</w:t>
      </w:r>
    </w:p>
    <w:p w14:paraId="290C10B7" w14:textId="77777777" w:rsidR="00F67E9E" w:rsidRPr="00D00D9A" w:rsidRDefault="00F67E9E" w:rsidP="00F67E9E">
      <w:pPr>
        <w:pStyle w:val="Numbered11"/>
      </w:pPr>
      <w:r w:rsidRPr="00D00D9A">
        <w:t xml:space="preserve">If a Multi-Party Dispute is not resolved between the Parties and all Related Third Parties within 25 Working Days of </w:t>
      </w:r>
      <w:r w:rsidRPr="00154D56">
        <w:t>the</w:t>
      </w:r>
      <w:r w:rsidRPr="00D00D9A">
        <w:t xml:space="preserve"> issue of the Multi-Party Procedure Initiation Notice (or such longer period as the Parties may agree in writing), then:</w:t>
      </w:r>
    </w:p>
    <w:p w14:paraId="4EE9F580" w14:textId="66C7F4F8" w:rsidR="00F67E9E" w:rsidRPr="00154D56" w:rsidRDefault="00F67E9E" w:rsidP="00F67E9E">
      <w:pPr>
        <w:pStyle w:val="Numbered111"/>
      </w:pPr>
      <w:r w:rsidRPr="00D00D9A">
        <w:t xml:space="preserve">either Party may serve a Mediation Notice in respect of the Multi-Party Dispute in which case </w:t>
      </w:r>
      <w:bookmarkStart w:id="1785" w:name="_9kMKJ5YVtCIBAGMjLhkhy7sGTRl2uzx9IEK"/>
      <w:r w:rsidRPr="00154D56">
        <w:t xml:space="preserve">Paragraph </w:t>
      </w:r>
      <w:r w:rsidRPr="00154D56">
        <w:fldChar w:fldCharType="begin"/>
      </w:r>
      <w:r w:rsidRPr="00154D56">
        <w:instrText xml:space="preserve"> REF _Ref_ContractCompanion_9kb9Us4AE \w \n \h \t \* MERGEFORMAT </w:instrText>
      </w:r>
      <w:r w:rsidRPr="00154D56">
        <w:fldChar w:fldCharType="separate"/>
      </w:r>
      <w:r w:rsidR="00302D39">
        <w:t>5</w:t>
      </w:r>
      <w:r w:rsidRPr="00154D56">
        <w:fldChar w:fldCharType="end"/>
      </w:r>
      <w:bookmarkEnd w:id="1785"/>
      <w:r w:rsidRPr="00154D56">
        <w:t xml:space="preserve"> shall apply; </w:t>
      </w:r>
    </w:p>
    <w:p w14:paraId="007C121C" w14:textId="49FB4A73" w:rsidR="00F67E9E" w:rsidRPr="00154D56" w:rsidRDefault="00F67E9E" w:rsidP="00F67E9E">
      <w:pPr>
        <w:pStyle w:val="Numbered111"/>
      </w:pPr>
      <w:r w:rsidRPr="00154D56">
        <w:t xml:space="preserve">either Party may request that the Multi-Party Dispute is referred to an expert in which case </w:t>
      </w:r>
      <w:bookmarkStart w:id="1786" w:name="_9kMKJ5YVtCIBAGJgLhkhy7sGTSeDP7AQDzGHGPH"/>
      <w:r w:rsidRPr="00154D56">
        <w:t xml:space="preserve">Paragraph </w:t>
      </w:r>
      <w:r w:rsidRPr="00154D56">
        <w:fldChar w:fldCharType="begin"/>
      </w:r>
      <w:r w:rsidRPr="00154D56">
        <w:instrText xml:space="preserve"> REF _Ref_ContractCompanion_9kb9Us4AB \w \n \h \t \* MERGEFORMAT </w:instrText>
      </w:r>
      <w:r w:rsidRPr="00154D56">
        <w:fldChar w:fldCharType="separate"/>
      </w:r>
      <w:r w:rsidR="00302D39">
        <w:t>6</w:t>
      </w:r>
      <w:r w:rsidRPr="00154D56">
        <w:fldChar w:fldCharType="end"/>
      </w:r>
      <w:bookmarkEnd w:id="1786"/>
      <w:r w:rsidRPr="00154D56">
        <w:t xml:space="preserve"> shall apply; and/or</w:t>
      </w:r>
    </w:p>
    <w:p w14:paraId="32CF7126" w14:textId="65F9C32C" w:rsidR="00F67E9E" w:rsidRPr="00D00D9A" w:rsidRDefault="00F67E9E" w:rsidP="00F67E9E">
      <w:pPr>
        <w:pStyle w:val="Numbered111"/>
      </w:pPr>
      <w:r w:rsidRPr="00154D56">
        <w:t xml:space="preserve">subject to </w:t>
      </w:r>
      <w:bookmarkStart w:id="1787" w:name="_9kMHG5YVtCIBCJHKScGfNc886dQzJRmRDLOTE4J"/>
      <w:r w:rsidRPr="00154D56">
        <w:t>Para</w:t>
      </w:r>
      <w:r w:rsidRPr="00D00D9A">
        <w:t xml:space="preserve">graph </w:t>
      </w:r>
      <w:r w:rsidRPr="00D00D9A">
        <w:fldChar w:fldCharType="begin"/>
      </w:r>
      <w:r w:rsidRPr="00D00D9A">
        <w:instrText xml:space="preserve"> REF _Ref_ContractCompanion_9kb9Us6D9 \n \h \t \* MERGEFORMAT </w:instrText>
      </w:r>
      <w:r w:rsidRPr="00D00D9A">
        <w:fldChar w:fldCharType="separate"/>
      </w:r>
      <w:r w:rsidR="00302D39">
        <w:t>9.9</w:t>
      </w:r>
      <w:r w:rsidRPr="00D00D9A">
        <w:fldChar w:fldCharType="end"/>
      </w:r>
      <w:bookmarkEnd w:id="1787"/>
      <w:r w:rsidRPr="00D00D9A">
        <w:t xml:space="preserve">, </w:t>
      </w:r>
      <w:bookmarkStart w:id="1788" w:name="_9kMJI5YVtCIBAGGdLhkhy7sGTTb35xGQ8BKGM"/>
      <w:r w:rsidRPr="00D00D9A">
        <w:t xml:space="preserve">Paragraph </w:t>
      </w:r>
      <w:r w:rsidRPr="00D00D9A">
        <w:fldChar w:fldCharType="begin"/>
      </w:r>
      <w:r w:rsidRPr="00D00D9A">
        <w:instrText xml:space="preserve"> REF _Ref_ContractCompanion_9kb9Us4A8 \w \n \h \t \* MERGEFORMAT </w:instrText>
      </w:r>
      <w:r w:rsidRPr="00D00D9A">
        <w:fldChar w:fldCharType="separate"/>
      </w:r>
      <w:r w:rsidR="00302D39">
        <w:t>7</w:t>
      </w:r>
      <w:r w:rsidRPr="00D00D9A">
        <w:fldChar w:fldCharType="end"/>
      </w:r>
      <w:bookmarkEnd w:id="1788"/>
      <w:r w:rsidRPr="00D00D9A">
        <w:t xml:space="preserve"> shall apply to the Multi-Party Dispute,</w:t>
      </w:r>
    </w:p>
    <w:p w14:paraId="5B348264" w14:textId="77777777" w:rsidR="00F67E9E" w:rsidRPr="00D00D9A" w:rsidRDefault="00F67E9E" w:rsidP="00F67E9E">
      <w:pPr>
        <w:pStyle w:val="StdBodyText2"/>
        <w:rPr>
          <w:rFonts w:cs="Arial"/>
        </w:rPr>
      </w:pPr>
      <w:r w:rsidRPr="00D00D9A">
        <w:rPr>
          <w:rFonts w:cs="Arial"/>
        </w:rPr>
        <w:t xml:space="preserve">and in each case references to the </w:t>
      </w:r>
      <w:r>
        <w:rPr>
          <w:rFonts w:cs="Arial"/>
        </w:rPr>
        <w:t>“</w:t>
      </w:r>
      <w:r w:rsidRPr="00D00D9A">
        <w:rPr>
          <w:rFonts w:cs="Arial"/>
        </w:rPr>
        <w:t>Supplier</w:t>
      </w:r>
      <w:r>
        <w:rPr>
          <w:rFonts w:cs="Arial"/>
        </w:rPr>
        <w:t>”</w:t>
      </w:r>
      <w:r w:rsidRPr="00D00D9A">
        <w:rPr>
          <w:rFonts w:cs="Arial"/>
        </w:rPr>
        <w:t xml:space="preserve"> or the </w:t>
      </w:r>
      <w:r>
        <w:rPr>
          <w:rFonts w:cs="Arial"/>
        </w:rPr>
        <w:t>“</w:t>
      </w:r>
      <w:r w:rsidRPr="00D00D9A">
        <w:rPr>
          <w:rFonts w:cs="Arial"/>
        </w:rPr>
        <w:t>Parties</w:t>
      </w:r>
      <w:r>
        <w:rPr>
          <w:rFonts w:cs="Arial"/>
        </w:rPr>
        <w:t>”</w:t>
      </w:r>
      <w:r w:rsidRPr="00D00D9A">
        <w:rPr>
          <w:rFonts w:cs="Arial"/>
        </w:rPr>
        <w:t xml:space="preserve"> in such provisions shall include a reference to all Related Third Parties.</w:t>
      </w:r>
    </w:p>
    <w:p w14:paraId="087B1587" w14:textId="3D6A2238" w:rsidR="00F67E9E" w:rsidRPr="00D00D9A" w:rsidRDefault="00F67E9E" w:rsidP="00F67E9E">
      <w:pPr>
        <w:pStyle w:val="Numbered11"/>
      </w:pPr>
      <w:bookmarkStart w:id="1789" w:name="_9kR3WTrAG9AHFIQaEdLa664bOxHPkPBJMRC2HRE"/>
      <w:bookmarkStart w:id="1790" w:name="_Ref_ContractCompanion_9kb9Us6D9"/>
      <w:r w:rsidRPr="00D00D9A">
        <w:t xml:space="preserve">If a Multi-Party Dispute is referred to arbitration in accordance with </w:t>
      </w:r>
      <w:bookmarkStart w:id="1791" w:name="_9kMKJ5YVtCIBAGGdLhkhy7sGTTb35xGQ8BKGM"/>
      <w:r w:rsidRPr="00D00D9A">
        <w:t xml:space="preserve">Paragraph </w:t>
      </w:r>
      <w:r w:rsidRPr="00D00D9A">
        <w:fldChar w:fldCharType="begin"/>
      </w:r>
      <w:r w:rsidRPr="00D00D9A">
        <w:instrText xml:space="preserve"> REF _Ref_ContractCompanion_9kb9Us4A8 \w \n \h \t \* MERGEFORMAT </w:instrText>
      </w:r>
      <w:r w:rsidRPr="00D00D9A">
        <w:fldChar w:fldCharType="separate"/>
      </w:r>
      <w:r w:rsidR="00302D39">
        <w:t>7</w:t>
      </w:r>
      <w:r w:rsidRPr="00D00D9A">
        <w:fldChar w:fldCharType="end"/>
      </w:r>
      <w:bookmarkEnd w:id="1791"/>
      <w:r w:rsidRPr="00D00D9A">
        <w:t xml:space="preserve"> or a Dispute becomes a Multi-Party Dispute during the course of arbitration proceedings and either Party is unable to compel a Related Third Party to submit to such arbitration proceedings, the Authority or the Supplier may discontinue such arbitration proceedings and instead initiate court proceedings.</w:t>
      </w:r>
      <w:bookmarkEnd w:id="1789"/>
      <w:r w:rsidRPr="00D00D9A">
        <w:t xml:space="preserve"> The costs of any such discontinued arbitration proceedings shall be borne by the Party which is in a direct contractual relationship with the Related Third Party or, where the Related Third Party is a Sub Contractor, by the Supplier. </w:t>
      </w:r>
      <w:bookmarkEnd w:id="1790"/>
    </w:p>
    <w:p w14:paraId="74F59A15" w14:textId="77777777" w:rsidR="00F67E9E" w:rsidRPr="00D00D9A" w:rsidRDefault="00F67E9E" w:rsidP="00F67E9E">
      <w:pPr>
        <w:rPr>
          <w:rFonts w:cs="Arial"/>
          <w:szCs w:val="24"/>
        </w:rPr>
      </w:pPr>
    </w:p>
    <w:p w14:paraId="0D2500C2" w14:textId="77777777" w:rsidR="00F67E9E" w:rsidRPr="00D00D9A" w:rsidRDefault="00F67E9E" w:rsidP="00F67E9E">
      <w:pPr>
        <w:rPr>
          <w:rFonts w:cs="Arial"/>
          <w:szCs w:val="24"/>
        </w:rPr>
      </w:pPr>
    </w:p>
    <w:p w14:paraId="5F9ABFF5" w14:textId="77777777" w:rsidR="00F67E9E" w:rsidRPr="00D00D9A" w:rsidRDefault="00F67E9E" w:rsidP="00F67E9E">
      <w:pPr>
        <w:rPr>
          <w:rFonts w:cs="Arial"/>
          <w:szCs w:val="24"/>
        </w:rPr>
        <w:sectPr w:rsidR="00F67E9E" w:rsidRPr="00D00D9A" w:rsidSect="003565BD">
          <w:headerReference w:type="even" r:id="rId115"/>
          <w:headerReference w:type="default" r:id="rId116"/>
          <w:footerReference w:type="even" r:id="rId117"/>
          <w:footerReference w:type="default" r:id="rId118"/>
          <w:headerReference w:type="first" r:id="rId119"/>
          <w:footerReference w:type="first" r:id="rId120"/>
          <w:pgSz w:w="11900" w:h="16840"/>
          <w:pgMar w:top="1701" w:right="851" w:bottom="1134" w:left="851" w:header="567" w:footer="567" w:gutter="0"/>
          <w:cols w:space="720"/>
          <w:docGrid w:linePitch="360"/>
        </w:sectPr>
      </w:pPr>
    </w:p>
    <w:p w14:paraId="4EC2FDA8" w14:textId="77777777" w:rsidR="00F67E9E" w:rsidRPr="00EE4F10" w:rsidRDefault="00F67E9E" w:rsidP="00F67E9E">
      <w:pPr>
        <w:pStyle w:val="Dividername"/>
      </w:pPr>
      <w:r w:rsidRPr="00EE4F10">
        <w:t>Schedule 24</w:t>
      </w:r>
    </w:p>
    <w:p w14:paraId="298A0633" w14:textId="77777777" w:rsidR="00F67E9E" w:rsidRPr="00EE4F10" w:rsidRDefault="00F67E9E" w:rsidP="00F67E9E">
      <w:pPr>
        <w:pStyle w:val="Dividername"/>
      </w:pPr>
      <w:r w:rsidRPr="00EE4F10">
        <w:t xml:space="preserve">Reports </w:t>
      </w:r>
      <w:r>
        <w:t>a</w:t>
      </w:r>
      <w:r w:rsidRPr="00EE4F10">
        <w:t>nd Records Provisions</w:t>
      </w:r>
    </w:p>
    <w:p w14:paraId="2F1CA925" w14:textId="77777777" w:rsidR="00F67E9E" w:rsidRDefault="00F67E9E" w:rsidP="00F67E9E"/>
    <w:p w14:paraId="7991C961" w14:textId="77777777" w:rsidR="00F67E9E" w:rsidRPr="00D00D9A" w:rsidRDefault="00F67E9E" w:rsidP="00F67E9E">
      <w:r w:rsidRPr="00D00D9A">
        <w:br w:type="page"/>
      </w:r>
    </w:p>
    <w:p w14:paraId="68E77F61" w14:textId="77777777" w:rsidR="00F67E9E" w:rsidRPr="005D0525" w:rsidRDefault="00F67E9E" w:rsidP="00F67E9E">
      <w:pPr>
        <w:pStyle w:val="Heading1"/>
      </w:pPr>
      <w:bookmarkStart w:id="1792" w:name="Schedule24"/>
      <w:bookmarkStart w:id="1793" w:name="_Ref92200040"/>
      <w:bookmarkStart w:id="1794" w:name="_Toc141711969"/>
      <w:r w:rsidRPr="005D0525">
        <w:t>Schedule</w:t>
      </w:r>
      <w:r>
        <w:t> </w:t>
      </w:r>
      <w:r w:rsidRPr="005D0525">
        <w:t>24</w:t>
      </w:r>
      <w:bookmarkEnd w:id="1792"/>
      <w:r>
        <w:t xml:space="preserve">: </w:t>
      </w:r>
      <w:bookmarkStart w:id="1795" w:name="Schedule24Heading"/>
      <w:r w:rsidRPr="00DD4CC2">
        <w:t>Reports and Records Provisions</w:t>
      </w:r>
      <w:bookmarkEnd w:id="1793"/>
      <w:bookmarkEnd w:id="1794"/>
      <w:bookmarkEnd w:id="1795"/>
    </w:p>
    <w:p w14:paraId="140E90DF" w14:textId="77777777" w:rsidR="00F67E9E" w:rsidRPr="00D00D9A" w:rsidRDefault="00F67E9E" w:rsidP="00F67E9E">
      <w:pPr>
        <w:pStyle w:val="Numbered1"/>
        <w:numPr>
          <w:ilvl w:val="0"/>
          <w:numId w:val="144"/>
        </w:numPr>
      </w:pPr>
      <w:bookmarkStart w:id="1796" w:name="_Ref_ContractCompanion_9kb9Us6EA"/>
      <w:bookmarkStart w:id="1797" w:name="_Ref_ContractCompanion_9kb9Us7FE"/>
      <w:r w:rsidRPr="00E42F6F">
        <w:t>Transparency</w:t>
      </w:r>
      <w:r w:rsidRPr="00D00D9A">
        <w:t xml:space="preserve"> Reports</w:t>
      </w:r>
      <w:bookmarkEnd w:id="1796"/>
      <w:bookmarkEnd w:id="1797"/>
    </w:p>
    <w:p w14:paraId="0DD86C51" w14:textId="1726BAE0" w:rsidR="00F67E9E" w:rsidRPr="00D00D9A" w:rsidRDefault="00F67E9E" w:rsidP="00F67E9E">
      <w:pPr>
        <w:pStyle w:val="Numbered11"/>
      </w:pPr>
      <w:bookmarkStart w:id="1798" w:name="_9kR3WTrAG9BGC9AgVzzpw8320oEA9BHCCK8EH3b"/>
      <w:r w:rsidRPr="00D00D9A">
        <w:t xml:space="preserve">Within three (3) months of the Effective Date the Supplier shall provide to the Authority for its approval (such approval not to be unreasonably withheld or delayed) draft reports in accordance with Annex </w:t>
      </w:r>
      <w:r w:rsidRPr="00D00D9A">
        <w:fldChar w:fldCharType="begin"/>
      </w:r>
      <w:r w:rsidRPr="00D00D9A">
        <w:instrText xml:space="preserve"> REF ANNEX1_SCHEDULE24 \h </w:instrText>
      </w:r>
      <w:r>
        <w:instrText xml:space="preserve"> \* MERGEFORMAT </w:instrText>
      </w:r>
      <w:r w:rsidRPr="00D00D9A">
        <w:fldChar w:fldCharType="separate"/>
      </w:r>
      <w:r w:rsidR="00302D39" w:rsidRPr="00D00D9A">
        <w:t>1</w:t>
      </w:r>
      <w:r w:rsidRPr="00D00D9A">
        <w:fldChar w:fldCharType="end"/>
      </w:r>
      <w:r w:rsidRPr="00D00D9A">
        <w:t xml:space="preserve"> (once approved, the </w:t>
      </w:r>
      <w:r>
        <w:t>“</w:t>
      </w:r>
      <w:r w:rsidRPr="00D00D9A">
        <w:rPr>
          <w:rStyle w:val="StdBodyTextBoldChar"/>
          <w:rFonts w:eastAsia="Arial" w:cs="Arial"/>
        </w:rPr>
        <w:t>Transparency Reports</w:t>
      </w:r>
      <w:r>
        <w:t>”</w:t>
      </w:r>
      <w:r w:rsidRPr="00D00D9A">
        <w:t>).</w:t>
      </w:r>
      <w:bookmarkEnd w:id="1798"/>
    </w:p>
    <w:p w14:paraId="42C026D5" w14:textId="77777777" w:rsidR="00F67E9E" w:rsidRPr="00E42F6F" w:rsidRDefault="00F67E9E" w:rsidP="00F67E9E">
      <w:pPr>
        <w:pStyle w:val="Numbered11"/>
      </w:pPr>
      <w:bookmarkStart w:id="1799" w:name="_9kR3WTrAG9CEGGBTEwzlFQG40B69QP6z0uAR95U"/>
      <w:bookmarkStart w:id="1800" w:name="_Ref_ContractCompanion_9kb9Us6DF"/>
      <w:r w:rsidRPr="00D00D9A">
        <w:t xml:space="preserve">If the Authority rejects any draft Transparency Report, the Supplier shall submit a revised version of the relevant report for further approval by the Authority within five (5) days of receipt of any notice of rejection, taking account of any recommendations for revision and </w:t>
      </w:r>
      <w:r w:rsidRPr="00E42F6F">
        <w:t>improvement to the report provided by the Authority.</w:t>
      </w:r>
      <w:bookmarkEnd w:id="1799"/>
      <w:r w:rsidRPr="00E42F6F">
        <w:t xml:space="preserve"> If the Parties fail to agree on a draft Transparency Report the Authority shall determine what should be included.</w:t>
      </w:r>
      <w:bookmarkEnd w:id="1800"/>
    </w:p>
    <w:p w14:paraId="609E9730" w14:textId="11226A7D" w:rsidR="00F67E9E" w:rsidRPr="00E42F6F" w:rsidRDefault="00F67E9E" w:rsidP="00F67E9E">
      <w:pPr>
        <w:pStyle w:val="Numbered11"/>
      </w:pPr>
      <w:bookmarkStart w:id="1801" w:name="_9kR3WTrAG9CCBDCfRjVgA63xr1G7qv7CJJOJ2zx"/>
      <w:r w:rsidRPr="00E42F6F">
        <w:t xml:space="preserve">The Supplier shall provide accurate and up-to-date versions of each Transparency Report to the Authority at the frequency referred to in </w:t>
      </w:r>
      <w:bookmarkStart w:id="1802" w:name="_9kR3WTr2BCAHIMCwozN"/>
      <w:r w:rsidRPr="00E42F6F">
        <w:t xml:space="preserve">Annex </w:t>
      </w:r>
      <w:r w:rsidRPr="00E42F6F">
        <w:fldChar w:fldCharType="begin"/>
      </w:r>
      <w:r w:rsidRPr="00E42F6F">
        <w:instrText xml:space="preserve"> REF ANNEX1_SCHEDULE24 \h  \* MERGEFORMAT </w:instrText>
      </w:r>
      <w:r w:rsidRPr="00E42F6F">
        <w:fldChar w:fldCharType="separate"/>
      </w:r>
      <w:r w:rsidR="00302D39" w:rsidRPr="00D00D9A">
        <w:t>1</w:t>
      </w:r>
      <w:r w:rsidRPr="00E42F6F">
        <w:fldChar w:fldCharType="end"/>
      </w:r>
      <w:bookmarkEnd w:id="1802"/>
      <w:r w:rsidRPr="00E42F6F">
        <w:t>.</w:t>
      </w:r>
      <w:bookmarkEnd w:id="1801"/>
    </w:p>
    <w:p w14:paraId="3F1AF629" w14:textId="134619DB" w:rsidR="00F67E9E" w:rsidRPr="00E42F6F" w:rsidRDefault="00F67E9E" w:rsidP="00F67E9E">
      <w:pPr>
        <w:pStyle w:val="Numbered11"/>
      </w:pPr>
      <w:bookmarkStart w:id="1803" w:name="_9kR3WTrAG9CCEGDNE90l1uj10oxy0GC724GG8yE"/>
      <w:r w:rsidRPr="00E42F6F">
        <w:t xml:space="preserve">Any disagreement in connection with the preparation and/or approval of Transparency Reports, other than under Paragraph </w:t>
      </w:r>
      <w:r w:rsidRPr="00E42F6F">
        <w:fldChar w:fldCharType="begin"/>
      </w:r>
      <w:r w:rsidRPr="00E42F6F">
        <w:instrText xml:space="preserve"> REF _Ref_ContractCompanion_9kb9Us6DF \n \h \t \* MERGEFORMAT </w:instrText>
      </w:r>
      <w:r w:rsidRPr="00E42F6F">
        <w:fldChar w:fldCharType="separate"/>
      </w:r>
      <w:r w:rsidR="00302D39">
        <w:t>1.2</w:t>
      </w:r>
      <w:r w:rsidRPr="00E42F6F">
        <w:fldChar w:fldCharType="end"/>
      </w:r>
      <w:r w:rsidRPr="00E42F6F">
        <w:t xml:space="preserve"> above in relation to the contents of a Transparency Report, shall be treated as a Dispute.</w:t>
      </w:r>
      <w:bookmarkEnd w:id="1803"/>
    </w:p>
    <w:p w14:paraId="0862680D" w14:textId="77777777" w:rsidR="00F67E9E" w:rsidRPr="00D00D9A" w:rsidRDefault="00F67E9E" w:rsidP="00F67E9E">
      <w:pPr>
        <w:pStyle w:val="Numbered11"/>
      </w:pPr>
      <w:r w:rsidRPr="00E42F6F">
        <w:t>The requirements for Transparency Reports are in addition to any other reporting requirements</w:t>
      </w:r>
      <w:r w:rsidRPr="00D00D9A">
        <w:t xml:space="preserve"> in this Contract.</w:t>
      </w:r>
    </w:p>
    <w:p w14:paraId="423E7671" w14:textId="77777777" w:rsidR="00F67E9E" w:rsidRPr="00D00D9A" w:rsidRDefault="00F67E9E" w:rsidP="00F67E9E">
      <w:pPr>
        <w:pStyle w:val="Numbered1"/>
      </w:pPr>
      <w:r w:rsidRPr="00D00D9A">
        <w:t xml:space="preserve">Other </w:t>
      </w:r>
      <w:r w:rsidRPr="00E42F6F">
        <w:t>Reports</w:t>
      </w:r>
    </w:p>
    <w:p w14:paraId="71529DF8" w14:textId="77777777" w:rsidR="00F67E9E" w:rsidRPr="00D00D9A" w:rsidRDefault="00F67E9E" w:rsidP="00F67E9E">
      <w:pPr>
        <w:pStyle w:val="Numbered11"/>
      </w:pPr>
      <w:r w:rsidRPr="00D00D9A">
        <w:t xml:space="preserve">The </w:t>
      </w:r>
      <w:r w:rsidRPr="00E42F6F">
        <w:t>Authority</w:t>
      </w:r>
      <w:r w:rsidRPr="00D00D9A">
        <w:t xml:space="preserve"> may require any or all of the following reports:</w:t>
      </w:r>
    </w:p>
    <w:p w14:paraId="098339E5" w14:textId="77777777" w:rsidR="00F67E9E" w:rsidRPr="00E42F6F" w:rsidRDefault="00F67E9E" w:rsidP="00F67E9E">
      <w:pPr>
        <w:pStyle w:val="Numbered111"/>
      </w:pPr>
      <w:r w:rsidRPr="00D00D9A">
        <w:t xml:space="preserve">delay </w:t>
      </w:r>
      <w:r w:rsidRPr="00E42F6F">
        <w:t>reports;</w:t>
      </w:r>
    </w:p>
    <w:p w14:paraId="0A50B0FB" w14:textId="59A1FEE6" w:rsidR="00F67E9E" w:rsidRPr="00D00D9A" w:rsidRDefault="00F67E9E" w:rsidP="00F67E9E">
      <w:pPr>
        <w:pStyle w:val="Numbered111"/>
      </w:pPr>
      <w:r w:rsidRPr="00E42F6F">
        <w:t>reports relating</w:t>
      </w:r>
      <w:r w:rsidRPr="00D00D9A">
        <w:t xml:space="preserve"> to Testing and tests carried out under </w:t>
      </w:r>
      <w:r>
        <w:fldChar w:fldCharType="begin"/>
      </w:r>
      <w:r>
        <w:instrText xml:space="preserve"> REF Schedule5 \h </w:instrText>
      </w:r>
      <w:r>
        <w:fldChar w:fldCharType="separate"/>
      </w:r>
      <w:r w:rsidR="00302D39" w:rsidRPr="005D0525">
        <w:t>Schedule</w:t>
      </w:r>
      <w:r w:rsidR="00302D39">
        <w:t> </w:t>
      </w:r>
      <w:r w:rsidR="00302D39" w:rsidRPr="005D0525">
        <w:t>5</w:t>
      </w:r>
      <w:r>
        <w:fldChar w:fldCharType="end"/>
      </w:r>
      <w:r>
        <w:t xml:space="preserve"> (</w:t>
      </w:r>
      <w:r w:rsidRPr="00A22335">
        <w:rPr>
          <w:i/>
          <w:iCs/>
        </w:rPr>
        <w:fldChar w:fldCharType="begin"/>
      </w:r>
      <w:r w:rsidRPr="00A22335">
        <w:rPr>
          <w:i/>
          <w:iCs/>
        </w:rPr>
        <w:instrText xml:space="preserve"> REF Schedule5Heading \h </w:instrText>
      </w:r>
      <w:r>
        <w:rPr>
          <w:i/>
          <w:iCs/>
        </w:rPr>
        <w:instrText xml:space="preserve"> \* MERGEFORMAT </w:instrText>
      </w:r>
      <w:r w:rsidRPr="00A22335">
        <w:rPr>
          <w:i/>
          <w:iCs/>
        </w:rPr>
      </w:r>
      <w:r w:rsidRPr="00A22335">
        <w:rPr>
          <w:i/>
          <w:iCs/>
        </w:rPr>
        <w:fldChar w:fldCharType="separate"/>
      </w:r>
      <w:r w:rsidR="00302D39" w:rsidRPr="00302D39">
        <w:rPr>
          <w:i/>
          <w:iCs/>
        </w:rPr>
        <w:t>Security Management</w:t>
      </w:r>
      <w:r w:rsidRPr="00A22335">
        <w:rPr>
          <w:i/>
          <w:iCs/>
        </w:rPr>
        <w:fldChar w:fldCharType="end"/>
      </w:r>
      <w:r>
        <w:t>)</w:t>
      </w:r>
      <w:r w:rsidRPr="00D00D9A">
        <w:t xml:space="preserve"> and </w:t>
      </w:r>
      <w:r>
        <w:fldChar w:fldCharType="begin"/>
      </w:r>
      <w:r>
        <w:instrText xml:space="preserve"> REF Schedule26 \h </w:instrText>
      </w:r>
      <w:r>
        <w:fldChar w:fldCharType="separate"/>
      </w:r>
      <w:r w:rsidR="00302D39" w:rsidRPr="005D0525">
        <w:t>Schedule</w:t>
      </w:r>
      <w:r w:rsidR="00302D39">
        <w:t> </w:t>
      </w:r>
      <w:r w:rsidR="00302D39" w:rsidRPr="005D0525">
        <w:t>26</w:t>
      </w:r>
      <w:r>
        <w:fldChar w:fldCharType="end"/>
      </w:r>
      <w:r>
        <w:t xml:space="preserve"> (</w:t>
      </w:r>
      <w:r w:rsidRPr="00A22335">
        <w:rPr>
          <w:i/>
          <w:iCs/>
        </w:rPr>
        <w:fldChar w:fldCharType="begin"/>
      </w:r>
      <w:r w:rsidRPr="00A22335">
        <w:rPr>
          <w:i/>
          <w:iCs/>
        </w:rPr>
        <w:instrText xml:space="preserve"> REF Schedule26Heading \h </w:instrText>
      </w:r>
      <w:r>
        <w:rPr>
          <w:i/>
          <w:iCs/>
        </w:rPr>
        <w:instrText xml:space="preserve"> \* MERGEFORMAT </w:instrText>
      </w:r>
      <w:r w:rsidRPr="00A22335">
        <w:rPr>
          <w:i/>
          <w:iCs/>
        </w:rPr>
      </w:r>
      <w:r w:rsidRPr="00A22335">
        <w:rPr>
          <w:i/>
          <w:iCs/>
        </w:rPr>
        <w:fldChar w:fldCharType="separate"/>
      </w:r>
      <w:r w:rsidR="00302D39" w:rsidRPr="00302D39">
        <w:rPr>
          <w:i/>
          <w:iCs/>
        </w:rPr>
        <w:t>Service Continuity Plan and Corporate Resolution Planning</w:t>
      </w:r>
      <w:r w:rsidRPr="00A22335">
        <w:rPr>
          <w:i/>
          <w:iCs/>
        </w:rPr>
        <w:fldChar w:fldCharType="end"/>
      </w:r>
      <w:r>
        <w:t>)</w:t>
      </w:r>
      <w:r w:rsidRPr="00D00D9A">
        <w:t>;</w:t>
      </w:r>
    </w:p>
    <w:p w14:paraId="54A235CB" w14:textId="77777777" w:rsidR="00F67E9E" w:rsidRPr="00D00D9A" w:rsidRDefault="00F67E9E" w:rsidP="00F67E9E">
      <w:pPr>
        <w:pStyle w:val="Numbered111"/>
      </w:pPr>
      <w:r w:rsidRPr="00D00D9A">
        <w:t>reports which the Supplier is required to supply as part of the Management Information;</w:t>
      </w:r>
    </w:p>
    <w:p w14:paraId="6DF697D1" w14:textId="77777777" w:rsidR="00F67E9E" w:rsidRPr="00D00D9A" w:rsidRDefault="00F67E9E" w:rsidP="00F67E9E">
      <w:pPr>
        <w:pStyle w:val="Numbered111"/>
      </w:pPr>
      <w:r w:rsidRPr="00D00D9A">
        <w:t>annual reports on the Insurances;</w:t>
      </w:r>
    </w:p>
    <w:p w14:paraId="282B1C6C" w14:textId="77777777" w:rsidR="00F67E9E" w:rsidRPr="00D00D9A" w:rsidRDefault="00F67E9E" w:rsidP="00F67E9E">
      <w:pPr>
        <w:pStyle w:val="Numbered111"/>
      </w:pPr>
      <w:r w:rsidRPr="00D00D9A">
        <w:t>security reports; and</w:t>
      </w:r>
    </w:p>
    <w:p w14:paraId="18EE1981" w14:textId="77777777" w:rsidR="00F67E9E" w:rsidRPr="00D00D9A" w:rsidRDefault="00F67E9E" w:rsidP="00F67E9E">
      <w:pPr>
        <w:pStyle w:val="Numbered111"/>
      </w:pPr>
      <w:r w:rsidRPr="00D00D9A">
        <w:t>Force Majeure Event reports.</w:t>
      </w:r>
    </w:p>
    <w:p w14:paraId="01551B2C" w14:textId="77777777" w:rsidR="00F67E9E" w:rsidRPr="00D00D9A" w:rsidRDefault="00F67E9E" w:rsidP="00F67E9E">
      <w:pPr>
        <w:pStyle w:val="Numbered1"/>
      </w:pPr>
      <w:bookmarkStart w:id="1804" w:name="_Ref_ContractCompanion_9kb9Ur58B"/>
      <w:bookmarkStart w:id="1805" w:name="_Ref_ContractCompanion_9kb9Ur9HF"/>
      <w:bookmarkStart w:id="1806" w:name="_Ref_ContractCompanion_9kb9Us7GJ"/>
      <w:r w:rsidRPr="00D00D9A">
        <w:t>Records</w:t>
      </w:r>
      <w:bookmarkEnd w:id="1804"/>
      <w:bookmarkEnd w:id="1805"/>
      <w:bookmarkEnd w:id="1806"/>
    </w:p>
    <w:p w14:paraId="39000807" w14:textId="17DF6206" w:rsidR="00F67E9E" w:rsidRPr="00D00D9A" w:rsidRDefault="00F67E9E" w:rsidP="00F67E9E">
      <w:pPr>
        <w:pStyle w:val="Numbered11"/>
      </w:pPr>
      <w:bookmarkStart w:id="1807" w:name="_9kR3WTrAG9BKMHCdRjVgA63xr1G7qv7E8B8yC56"/>
      <w:r w:rsidRPr="00D00D9A">
        <w:t xml:space="preserve">The Supplier shall retain and maintain all the records (including superseded records) referred to in </w:t>
      </w:r>
      <w:bookmarkStart w:id="1808" w:name="_9kR3WTr2BCAIGYEnoewrqyB"/>
      <w:r w:rsidRPr="00D00D9A">
        <w:t xml:space="preserve">Paragraph </w:t>
      </w:r>
      <w:r w:rsidRPr="00D00D9A">
        <w:fldChar w:fldCharType="begin"/>
      </w:r>
      <w:r w:rsidRPr="00D00D9A">
        <w:instrText xml:space="preserve"> REF _Ref_ContractCompanion_9kb9Us6EA \w \n \h \t \* MERGEFORMAT </w:instrText>
      </w:r>
      <w:r w:rsidRPr="00D00D9A">
        <w:fldChar w:fldCharType="separate"/>
      </w:r>
      <w:r w:rsidR="00302D39">
        <w:t>1</w:t>
      </w:r>
      <w:r w:rsidRPr="00D00D9A">
        <w:fldChar w:fldCharType="end"/>
      </w:r>
      <w:bookmarkEnd w:id="1808"/>
      <w:r w:rsidRPr="00D00D9A">
        <w:t xml:space="preserve"> and Annex </w:t>
      </w:r>
      <w:r w:rsidRPr="00D00D9A">
        <w:fldChar w:fldCharType="begin"/>
      </w:r>
      <w:r w:rsidRPr="00D00D9A">
        <w:instrText xml:space="preserve"> REF ANNEX1_SCHEDULE24 \h </w:instrText>
      </w:r>
      <w:r>
        <w:instrText xml:space="preserve"> \* MERGEFORMAT </w:instrText>
      </w:r>
      <w:r w:rsidRPr="00D00D9A">
        <w:fldChar w:fldCharType="separate"/>
      </w:r>
      <w:r w:rsidR="00302D39" w:rsidRPr="00D00D9A">
        <w:t>1</w:t>
      </w:r>
      <w:r w:rsidRPr="00D00D9A">
        <w:fldChar w:fldCharType="end"/>
      </w:r>
      <w:r w:rsidRPr="00D00D9A">
        <w:t xml:space="preserve"> (together </w:t>
      </w:r>
      <w:r>
        <w:t>“</w:t>
      </w:r>
      <w:r w:rsidRPr="00D00D9A">
        <w:rPr>
          <w:rStyle w:val="StdBodyTextBoldChar"/>
          <w:rFonts w:eastAsia="Arial" w:cs="Arial"/>
        </w:rPr>
        <w:t>Records</w:t>
      </w:r>
      <w:r>
        <w:t>”</w:t>
      </w:r>
      <w:r w:rsidRPr="00D00D9A">
        <w:t>):</w:t>
      </w:r>
      <w:bookmarkEnd w:id="1807"/>
    </w:p>
    <w:p w14:paraId="5140D25B" w14:textId="77777777" w:rsidR="00F67E9E" w:rsidRPr="00D00D9A" w:rsidRDefault="00F67E9E" w:rsidP="00F67E9E">
      <w:pPr>
        <w:pStyle w:val="Numbered111"/>
      </w:pPr>
      <w:r w:rsidRPr="00D00D9A">
        <w:t>in accordance with the requirements of The National Archives and Good Industry Practice;</w:t>
      </w:r>
    </w:p>
    <w:p w14:paraId="3ED2BBE2" w14:textId="77777777" w:rsidR="00F67E9E" w:rsidRPr="00D00D9A" w:rsidRDefault="00F67E9E" w:rsidP="00F67E9E">
      <w:pPr>
        <w:pStyle w:val="Numbered111"/>
      </w:pPr>
      <w:r w:rsidRPr="00D00D9A">
        <w:t>in chronological order;</w:t>
      </w:r>
    </w:p>
    <w:p w14:paraId="357EAA3D" w14:textId="77777777" w:rsidR="00F67E9E" w:rsidRPr="00D00D9A" w:rsidRDefault="00F67E9E" w:rsidP="00F67E9E">
      <w:pPr>
        <w:pStyle w:val="Numbered111"/>
      </w:pPr>
      <w:r w:rsidRPr="00D00D9A">
        <w:t>in a form that is capable of audit; and</w:t>
      </w:r>
    </w:p>
    <w:p w14:paraId="5755B788" w14:textId="77777777" w:rsidR="00F67E9E" w:rsidRPr="00D00D9A" w:rsidRDefault="00F67E9E" w:rsidP="00F67E9E">
      <w:pPr>
        <w:pStyle w:val="Numbered111"/>
      </w:pPr>
      <w:r w:rsidRPr="00D00D9A">
        <w:t>at its own expense.</w:t>
      </w:r>
    </w:p>
    <w:p w14:paraId="0E6EC04A" w14:textId="77777777" w:rsidR="00F67E9E" w:rsidRPr="00D00D9A" w:rsidRDefault="00F67E9E" w:rsidP="00F67E9E">
      <w:pPr>
        <w:pStyle w:val="Numbered11"/>
      </w:pPr>
      <w:r w:rsidRPr="00D00D9A">
        <w:t>The Supplier shall make the Records available for inspection to the Authority on request, subject to the Authority giving reasonable notice.</w:t>
      </w:r>
    </w:p>
    <w:p w14:paraId="49D38F3B" w14:textId="77777777" w:rsidR="00F67E9E" w:rsidRPr="00E42F6F" w:rsidRDefault="00F67E9E" w:rsidP="00F67E9E">
      <w:pPr>
        <w:pStyle w:val="Numbered11"/>
      </w:pPr>
      <w:bookmarkStart w:id="1809" w:name="_9kR3WTrAG9BHCAEiUjuvWRjuA0200567A7xB8z4"/>
      <w:r w:rsidRPr="00D00D9A">
        <w:t xml:space="preserve">Where </w:t>
      </w:r>
      <w:r w:rsidRPr="00E42F6F">
        <w:t>Records are retained in electronic form, the original metadata shall be preserved together with all subsequent metadata in a format reasonably accessible to the Authority.</w:t>
      </w:r>
      <w:bookmarkEnd w:id="1809"/>
    </w:p>
    <w:p w14:paraId="542A94B0" w14:textId="77777777" w:rsidR="00F67E9E" w:rsidRPr="00E42F6F" w:rsidRDefault="00F67E9E" w:rsidP="00F67E9E">
      <w:pPr>
        <w:pStyle w:val="Numbered11"/>
      </w:pPr>
      <w:r w:rsidRPr="00E42F6F">
        <w:t>The Supplier shall, during the Term and a period of at least 7 years following the expiry or termination of this Contract, maintain or cause to be maintained complete and accurate documents and records in relation to the provision of the Services including but not limited to all Records.</w:t>
      </w:r>
    </w:p>
    <w:p w14:paraId="0096FE01" w14:textId="77777777" w:rsidR="00F67E9E" w:rsidRPr="00E42F6F" w:rsidRDefault="00F67E9E" w:rsidP="00F67E9E">
      <w:pPr>
        <w:pStyle w:val="Numbered11"/>
      </w:pPr>
      <w:r w:rsidRPr="00E42F6F">
        <w:t>Records that contain financial information shall be retained and maintained in safe storage by the Supplier for a period of at least 7 years after the expiry or termination of this Contract.</w:t>
      </w:r>
    </w:p>
    <w:p w14:paraId="3B9B2C94" w14:textId="77777777" w:rsidR="00F67E9E" w:rsidRPr="00D00D9A" w:rsidRDefault="00F67E9E" w:rsidP="00F67E9E">
      <w:pPr>
        <w:pStyle w:val="Numbered11"/>
      </w:pPr>
      <w:r w:rsidRPr="00E42F6F">
        <w:t>Without prejudice</w:t>
      </w:r>
      <w:r w:rsidRPr="00D00D9A">
        <w:t xml:space="preserve"> to the foregoing, the Supplier shall provide the Authority:</w:t>
      </w:r>
    </w:p>
    <w:p w14:paraId="4B09F6CB" w14:textId="77777777" w:rsidR="00F67E9E" w:rsidRPr="00D00D9A" w:rsidRDefault="00F67E9E" w:rsidP="00F67E9E">
      <w:pPr>
        <w:pStyle w:val="Numbered111"/>
      </w:pPr>
      <w:r w:rsidRPr="00D00D9A">
        <w:t>as soon as they are available, and in any event within 60 Working Days after the end of the first 6 months of each financial year of the Supplier during the Term, a copy, certified as a true copy by an authorised representative of the Supplier, of its un-audited interim accounts and, if applicable, of consolidated un-audited interim accounts of the Supplier and its Affiliates which would (if the Supplier were listed on the London Stock Exchange (whether or not it is)) be required to be sent to shareholders as at the end of and for each such 6 month period; and</w:t>
      </w:r>
    </w:p>
    <w:p w14:paraId="584DA48F" w14:textId="77777777" w:rsidR="00F67E9E" w:rsidRPr="00D00D9A" w:rsidRDefault="00F67E9E" w:rsidP="00F67E9E">
      <w:pPr>
        <w:pStyle w:val="Numbered111"/>
      </w:pPr>
      <w:r w:rsidRPr="00D00D9A">
        <w:t>as soon as they shall have been sent to its shareholders in order to be laid before an annual general meeting of the Supplier, but not later than 130 Working Days after the end of each accounting reference period of the Supplier part or all of which falls during the Term, the Supplier</w:t>
      </w:r>
      <w:r>
        <w:t>’</w:t>
      </w:r>
      <w:r w:rsidRPr="00D00D9A">
        <w:t>s audited accounts and if applicable, of the consolidated audited accounts of the Supplier and its Affiliates in respect of that period together with copies of all related directors</w:t>
      </w:r>
      <w:r>
        <w:t>’</w:t>
      </w:r>
      <w:r w:rsidRPr="00D00D9A">
        <w:t xml:space="preserve"> and auditors</w:t>
      </w:r>
      <w:r>
        <w:t>’</w:t>
      </w:r>
      <w:r w:rsidRPr="00D00D9A">
        <w:t xml:space="preserve"> reports and all other notices/circulars to shareholders.</w:t>
      </w:r>
    </w:p>
    <w:p w14:paraId="35AEE17C" w14:textId="77777777" w:rsidR="00F67E9E" w:rsidRPr="00D00D9A" w:rsidRDefault="00F67E9E" w:rsidP="00F67E9E">
      <w:pPr>
        <w:pStyle w:val="Numbered1"/>
      </w:pPr>
      <w:bookmarkStart w:id="1810" w:name="_Ref_ContractCompanion_9kb9Us6FB"/>
      <w:bookmarkStart w:id="1811" w:name="_9kR3WTr29B889bJfifw5qESPrd6IM4wiax778X"/>
      <w:r w:rsidRPr="00D00D9A">
        <w:t>Virtual Library</w:t>
      </w:r>
      <w:bookmarkEnd w:id="1810"/>
      <w:bookmarkEnd w:id="1811"/>
    </w:p>
    <w:p w14:paraId="110D1C3B" w14:textId="77777777" w:rsidR="00F67E9E" w:rsidRPr="00D00D9A" w:rsidRDefault="00F67E9E" w:rsidP="00F67E9E">
      <w:pPr>
        <w:pStyle w:val="Numbered11"/>
      </w:pPr>
      <w:bookmarkStart w:id="1812" w:name="_Ref_ContractCompanion_9kb9Us6EF"/>
      <w:bookmarkStart w:id="1813" w:name="_9kR3WTrAG9AINKDdRjVgA63xr1G7qv7AED09EDT"/>
      <w:r w:rsidRPr="00D00D9A">
        <w:t xml:space="preserve">The Supplier shall, no later than eight (8) weeks prior to the Operational Service Commencement Date and without charge to the Authority, create a Virtual Library on which the Supplier shall (subject to any applicable legislation governing the use or processing of personal data) make information about this Contract available in </w:t>
      </w:r>
      <w:bookmarkStart w:id="1814" w:name="_9kMHG5YVt7C969Ars"/>
      <w:r w:rsidRPr="00D00D9A">
        <w:t>in</w:t>
      </w:r>
      <w:bookmarkEnd w:id="1814"/>
      <w:r w:rsidRPr="00D00D9A">
        <w:t xml:space="preserve"> accordance with the requirements outlined in this Schedule.</w:t>
      </w:r>
      <w:bookmarkEnd w:id="1812"/>
      <w:bookmarkEnd w:id="1813"/>
    </w:p>
    <w:p w14:paraId="3F00B02B" w14:textId="77777777" w:rsidR="00F67E9E" w:rsidRPr="00D00D9A" w:rsidRDefault="00F67E9E" w:rsidP="00F67E9E">
      <w:pPr>
        <w:pStyle w:val="Numbered11"/>
      </w:pPr>
      <w:bookmarkStart w:id="1815" w:name="_9kR3WTrAG9BFDEEeRjVgA63xr1G7qv714JRRCFJ"/>
      <w:r w:rsidRPr="00D00D9A">
        <w:t>The Supplier shall ensure that the Virtual Library is:</w:t>
      </w:r>
      <w:bookmarkEnd w:id="1815"/>
    </w:p>
    <w:p w14:paraId="187325F5" w14:textId="7B3C7BB4" w:rsidR="00F67E9E" w:rsidRPr="00E42F6F" w:rsidRDefault="00F67E9E" w:rsidP="00F67E9E">
      <w:pPr>
        <w:pStyle w:val="Numbered111"/>
      </w:pPr>
      <w:r w:rsidRPr="00D00D9A">
        <w:t xml:space="preserve">capable of holding and allowing access to the information described in Annex </w:t>
      </w:r>
      <w:r w:rsidRPr="00D00D9A">
        <w:fldChar w:fldCharType="begin"/>
      </w:r>
      <w:r w:rsidRPr="00D00D9A">
        <w:instrText xml:space="preserve"> REF ANNEX3_SCHEDULE24 \h </w:instrText>
      </w:r>
      <w:r>
        <w:instrText xml:space="preserve"> \* MERGEFORMAT </w:instrText>
      </w:r>
      <w:r w:rsidRPr="00D00D9A">
        <w:fldChar w:fldCharType="separate"/>
      </w:r>
      <w:r w:rsidR="00302D39" w:rsidRPr="00D00D9A">
        <w:t>3</w:t>
      </w:r>
      <w:r w:rsidRPr="00D00D9A">
        <w:fldChar w:fldCharType="end"/>
      </w:r>
      <w:r w:rsidRPr="00D00D9A">
        <w:t xml:space="preserve"> of this </w:t>
      </w:r>
      <w:r w:rsidRPr="00E42F6F">
        <w:t>Schedule and includes full and accurate file details of all uploaded items including date and time of upload, version number and the name of the uploader;</w:t>
      </w:r>
    </w:p>
    <w:p w14:paraId="1483F4A9" w14:textId="77777777" w:rsidR="00F67E9E" w:rsidRPr="00E42F6F" w:rsidRDefault="00F67E9E" w:rsidP="00F67E9E">
      <w:pPr>
        <w:pStyle w:val="Numbered111"/>
      </w:pPr>
      <w:r w:rsidRPr="00E42F6F">
        <w:t>structured so that each document uploaded has a unique identifier which is automatically assigned;</w:t>
      </w:r>
    </w:p>
    <w:p w14:paraId="254DA3E7" w14:textId="77777777" w:rsidR="00F67E9E" w:rsidRPr="00E42F6F" w:rsidRDefault="00F67E9E" w:rsidP="00F67E9E">
      <w:pPr>
        <w:pStyle w:val="Numbered111"/>
      </w:pPr>
      <w:r w:rsidRPr="00E42F6F">
        <w:t xml:space="preserve">readily accessible by the Authority at all times in full via a user-friendly, password protected interface to such nominated users as are notified to the Supplier by the Authority from time to time, </w:t>
      </w:r>
    </w:p>
    <w:p w14:paraId="2E95AAB6" w14:textId="77777777" w:rsidR="00F67E9E" w:rsidRPr="00E42F6F" w:rsidRDefault="00F67E9E" w:rsidP="00F67E9E">
      <w:pPr>
        <w:pStyle w:val="Numbered111"/>
      </w:pPr>
      <w:r w:rsidRPr="00E42F6F">
        <w:t>structured so as to allow nominated users to download either specific documents or the complete Virtual Library (to the extent it has Access Permission) in bulk and store and view the content offline (on a regular and automated basis);</w:t>
      </w:r>
    </w:p>
    <w:p w14:paraId="3EC2E122" w14:textId="17964A07" w:rsidR="00F67E9E" w:rsidRPr="00D00D9A" w:rsidRDefault="00F67E9E" w:rsidP="00F67E9E">
      <w:pPr>
        <w:pStyle w:val="Numbered111"/>
      </w:pPr>
      <w:r w:rsidRPr="00E42F6F">
        <w:t>structure</w:t>
      </w:r>
      <w:r w:rsidRPr="00D00D9A">
        <w:t xml:space="preserve">d and maintained in accordance with the security requirements as set out in this Contract including those set out in </w:t>
      </w:r>
      <w:r>
        <w:fldChar w:fldCharType="begin"/>
      </w:r>
      <w:r>
        <w:instrText xml:space="preserve"> REF Schedule5 \h </w:instrText>
      </w:r>
      <w:r>
        <w:fldChar w:fldCharType="separate"/>
      </w:r>
      <w:r w:rsidR="00302D39" w:rsidRPr="005D0525">
        <w:t>Schedule</w:t>
      </w:r>
      <w:r w:rsidR="00302D39">
        <w:t> </w:t>
      </w:r>
      <w:r w:rsidR="00302D39" w:rsidRPr="005D0525">
        <w:t>5</w:t>
      </w:r>
      <w:r>
        <w:fldChar w:fldCharType="end"/>
      </w:r>
      <w:r>
        <w:t xml:space="preserve"> (</w:t>
      </w:r>
      <w:r w:rsidRPr="00A22335">
        <w:rPr>
          <w:i/>
          <w:iCs/>
        </w:rPr>
        <w:fldChar w:fldCharType="begin"/>
      </w:r>
      <w:r w:rsidRPr="00A22335">
        <w:rPr>
          <w:i/>
          <w:iCs/>
        </w:rPr>
        <w:instrText xml:space="preserve"> REF Schedule5Heading \h </w:instrText>
      </w:r>
      <w:r>
        <w:rPr>
          <w:i/>
          <w:iCs/>
        </w:rPr>
        <w:instrText xml:space="preserve"> \* MERGEFORMAT </w:instrText>
      </w:r>
      <w:r w:rsidRPr="00A22335">
        <w:rPr>
          <w:i/>
          <w:iCs/>
        </w:rPr>
      </w:r>
      <w:r w:rsidRPr="00A22335">
        <w:rPr>
          <w:i/>
          <w:iCs/>
        </w:rPr>
        <w:fldChar w:fldCharType="separate"/>
      </w:r>
      <w:r w:rsidR="00302D39" w:rsidRPr="00302D39">
        <w:rPr>
          <w:i/>
          <w:iCs/>
        </w:rPr>
        <w:t>Security Management</w:t>
      </w:r>
      <w:r w:rsidRPr="00A22335">
        <w:rPr>
          <w:i/>
          <w:iCs/>
        </w:rPr>
        <w:fldChar w:fldCharType="end"/>
      </w:r>
      <w:r>
        <w:t>)</w:t>
      </w:r>
      <w:r w:rsidRPr="00D00D9A">
        <w:t>;</w:t>
      </w:r>
    </w:p>
    <w:p w14:paraId="5543A719" w14:textId="5CFEA3E1" w:rsidR="00F67E9E" w:rsidRPr="00D00D9A" w:rsidRDefault="00F67E9E" w:rsidP="00F67E9E">
      <w:pPr>
        <w:pStyle w:val="Numbered111"/>
      </w:pPr>
      <w:r w:rsidRPr="00D00D9A">
        <w:t xml:space="preserve">created and based on open standards in </w:t>
      </w:r>
      <w:r>
        <w:fldChar w:fldCharType="begin"/>
      </w:r>
      <w:r>
        <w:instrText xml:space="preserve"> REF Schedule4 \h </w:instrText>
      </w:r>
      <w:r>
        <w:fldChar w:fldCharType="separate"/>
      </w:r>
      <w:r w:rsidR="00302D39" w:rsidRPr="005D0525">
        <w:t>Schedule</w:t>
      </w:r>
      <w:r w:rsidR="00302D39">
        <w:t> </w:t>
      </w:r>
      <w:r w:rsidR="00302D39" w:rsidRPr="005D0525">
        <w:t>4</w:t>
      </w:r>
      <w:r>
        <w:fldChar w:fldCharType="end"/>
      </w:r>
      <w:r>
        <w:t xml:space="preserve"> (</w:t>
      </w:r>
      <w:r w:rsidRPr="00A22335">
        <w:rPr>
          <w:i/>
          <w:iCs/>
        </w:rPr>
        <w:fldChar w:fldCharType="begin"/>
      </w:r>
      <w:r w:rsidRPr="00A22335">
        <w:rPr>
          <w:i/>
          <w:iCs/>
        </w:rPr>
        <w:instrText xml:space="preserve"> REF Schedule4Heading \h </w:instrText>
      </w:r>
      <w:r>
        <w:rPr>
          <w:i/>
          <w:iCs/>
        </w:rPr>
        <w:instrText xml:space="preserve"> \* MERGEFORMAT </w:instrText>
      </w:r>
      <w:r w:rsidRPr="00A22335">
        <w:rPr>
          <w:i/>
          <w:iCs/>
        </w:rPr>
      </w:r>
      <w:r w:rsidRPr="00A22335">
        <w:rPr>
          <w:i/>
          <w:iCs/>
        </w:rPr>
        <w:fldChar w:fldCharType="separate"/>
      </w:r>
      <w:r w:rsidR="00302D39" w:rsidRPr="00302D39">
        <w:rPr>
          <w:i/>
          <w:iCs/>
        </w:rPr>
        <w:t>Standards</w:t>
      </w:r>
      <w:r w:rsidRPr="00A22335">
        <w:rPr>
          <w:i/>
          <w:iCs/>
        </w:rPr>
        <w:fldChar w:fldCharType="end"/>
      </w:r>
      <w:r>
        <w:t>)</w:t>
      </w:r>
      <w:r w:rsidRPr="00D00D9A">
        <w:t>; and</w:t>
      </w:r>
    </w:p>
    <w:p w14:paraId="1F6E4A71" w14:textId="77777777" w:rsidR="00F67E9E" w:rsidRPr="00D00D9A" w:rsidRDefault="00F67E9E" w:rsidP="00F67E9E">
      <w:pPr>
        <w:pStyle w:val="Numbered111"/>
      </w:pPr>
      <w:r w:rsidRPr="00D00D9A">
        <w:t>backed up on a secure off-site system.</w:t>
      </w:r>
    </w:p>
    <w:p w14:paraId="652A9B27" w14:textId="698DCFCB" w:rsidR="00F67E9E" w:rsidRPr="00E42F6F" w:rsidRDefault="00F67E9E" w:rsidP="00F67E9E">
      <w:pPr>
        <w:pStyle w:val="Numbered11"/>
      </w:pPr>
      <w:bookmarkStart w:id="1816" w:name="_9kR3WTrAG9BHIHFRK390mgyD1rkvyq35v5NBBUJ"/>
      <w:r w:rsidRPr="00D00D9A">
        <w:t xml:space="preserve">For the avoidance of doubt, the Virtual Library (excluding any Software used to host it) shall form a </w:t>
      </w:r>
      <w:r w:rsidRPr="00E42F6F">
        <w:t xml:space="preserve">database which constitute Project Specific IPR which shall be assigned to the Authority pursuant to </w:t>
      </w:r>
      <w:r w:rsidRPr="002C4626">
        <w:t xml:space="preserve">Paragraph </w:t>
      </w:r>
      <w:r w:rsidRPr="002C4626">
        <w:fldChar w:fldCharType="begin"/>
      </w:r>
      <w:r w:rsidRPr="002C4626">
        <w:instrText xml:space="preserve"> REF _Ref140102597 \w \h  \* MERGEFORMAT </w:instrText>
      </w:r>
      <w:r w:rsidRPr="002C4626">
        <w:fldChar w:fldCharType="separate"/>
      </w:r>
      <w:r w:rsidR="00302D39">
        <w:t>2.1</w:t>
      </w:r>
      <w:r w:rsidRPr="002C4626">
        <w:fldChar w:fldCharType="end"/>
      </w:r>
      <w:r w:rsidRPr="00E42F6F">
        <w:t xml:space="preserve"> of </w:t>
      </w:r>
      <w:r>
        <w:fldChar w:fldCharType="begin"/>
      </w:r>
      <w:r>
        <w:instrText xml:space="preserve"> REF Schedule32 \h </w:instrText>
      </w:r>
      <w:r>
        <w:fldChar w:fldCharType="separate"/>
      </w:r>
      <w:r w:rsidR="00302D39" w:rsidRPr="00477926">
        <w:t>Schedule</w:t>
      </w:r>
      <w:r w:rsidR="00302D39">
        <w:t> </w:t>
      </w:r>
      <w:r w:rsidR="00302D39" w:rsidRPr="00477926">
        <w:t>32</w:t>
      </w:r>
      <w:r>
        <w:fldChar w:fldCharType="end"/>
      </w:r>
      <w:r w:rsidRPr="00E42F6F">
        <w:rPr>
          <w:rStyle w:val="StdBodyTextBoldChar"/>
          <w:rFonts w:asciiTheme="minorHAnsi" w:eastAsia="Arial" w:hAnsiTheme="minorHAnsi" w:cstheme="minorHAnsi"/>
          <w:b w:val="0"/>
          <w:lang w:eastAsia="en-US"/>
        </w:rPr>
        <w:t xml:space="preserve"> (</w:t>
      </w:r>
      <w:r w:rsidRPr="002F79D9">
        <w:rPr>
          <w:rStyle w:val="StdBodyTextBoldChar"/>
          <w:rFonts w:asciiTheme="minorHAnsi" w:eastAsia="Arial" w:hAnsiTheme="minorHAnsi" w:cstheme="minorHAnsi"/>
          <w:b w:val="0"/>
          <w:i/>
          <w:iCs/>
          <w:lang w:eastAsia="en-US"/>
        </w:rPr>
        <w:fldChar w:fldCharType="begin"/>
      </w:r>
      <w:r w:rsidRPr="002F79D9">
        <w:rPr>
          <w:rStyle w:val="StdBodyTextBoldChar"/>
          <w:rFonts w:asciiTheme="minorHAnsi" w:eastAsia="Arial" w:hAnsiTheme="minorHAnsi" w:cstheme="minorHAnsi"/>
          <w:b w:val="0"/>
          <w:i/>
          <w:iCs/>
          <w:lang w:eastAsia="en-US"/>
        </w:rPr>
        <w:instrText xml:space="preserve"> REF Schedule32Heading \h </w:instrText>
      </w:r>
      <w:r>
        <w:rPr>
          <w:rStyle w:val="StdBodyTextBoldChar"/>
          <w:rFonts w:asciiTheme="minorHAnsi" w:eastAsia="Arial" w:hAnsiTheme="minorHAnsi" w:cstheme="minorHAnsi"/>
          <w:b w:val="0"/>
          <w:i/>
          <w:iCs/>
          <w:lang w:eastAsia="en-US"/>
        </w:rPr>
        <w:instrText xml:space="preserve"> \* MERGEFORMAT </w:instrText>
      </w:r>
      <w:r w:rsidRPr="002F79D9">
        <w:rPr>
          <w:rStyle w:val="StdBodyTextBoldChar"/>
          <w:rFonts w:asciiTheme="minorHAnsi" w:eastAsia="Arial" w:hAnsiTheme="minorHAnsi" w:cstheme="minorHAnsi"/>
          <w:b w:val="0"/>
          <w:i/>
          <w:iCs/>
          <w:lang w:eastAsia="en-US"/>
        </w:rPr>
      </w:r>
      <w:r w:rsidRPr="002F79D9">
        <w:rPr>
          <w:rStyle w:val="StdBodyTextBoldChar"/>
          <w:rFonts w:asciiTheme="minorHAnsi" w:eastAsia="Arial" w:hAnsiTheme="minorHAnsi" w:cstheme="minorHAnsi"/>
          <w:b w:val="0"/>
          <w:i/>
          <w:iCs/>
          <w:lang w:eastAsia="en-US"/>
        </w:rPr>
        <w:fldChar w:fldCharType="separate"/>
      </w:r>
      <w:r w:rsidR="00302D39" w:rsidRPr="00302D39">
        <w:rPr>
          <w:i/>
          <w:iCs/>
        </w:rPr>
        <w:t>Intellectual Property Rights</w:t>
      </w:r>
      <w:r w:rsidRPr="002F79D9">
        <w:rPr>
          <w:rStyle w:val="StdBodyTextBoldChar"/>
          <w:rFonts w:asciiTheme="minorHAnsi" w:eastAsia="Arial" w:hAnsiTheme="minorHAnsi" w:cstheme="minorHAnsi"/>
          <w:b w:val="0"/>
          <w:i/>
          <w:iCs/>
          <w:lang w:eastAsia="en-US"/>
        </w:rPr>
        <w:fldChar w:fldCharType="end"/>
      </w:r>
      <w:r w:rsidRPr="00E42F6F">
        <w:rPr>
          <w:rStyle w:val="StdBodyTextBoldChar"/>
          <w:rFonts w:asciiTheme="minorHAnsi" w:eastAsia="Arial" w:hAnsiTheme="minorHAnsi" w:cstheme="minorHAnsi"/>
          <w:b w:val="0"/>
          <w:lang w:eastAsia="en-US"/>
        </w:rPr>
        <w:t>)</w:t>
      </w:r>
      <w:r w:rsidRPr="00E42F6F">
        <w:t xml:space="preserve"> of this Contract.</w:t>
      </w:r>
      <w:bookmarkEnd w:id="1816"/>
      <w:r w:rsidRPr="00E42F6F">
        <w:t xml:space="preserve"> </w:t>
      </w:r>
    </w:p>
    <w:p w14:paraId="2E8F19A9" w14:textId="3223B8B0" w:rsidR="00F67E9E" w:rsidRPr="00E42F6F" w:rsidRDefault="00F67E9E" w:rsidP="00F67E9E">
      <w:pPr>
        <w:pStyle w:val="Numbered11"/>
      </w:pPr>
      <w:bookmarkStart w:id="1817" w:name="_9kR3WTrAG9BBAFGgRjVgA63xr1G7qv7HMEE4ux9"/>
      <w:r w:rsidRPr="00E42F6F">
        <w:t xml:space="preserve">The Supplier shall upload complete and accurate information specified in Annex </w:t>
      </w:r>
      <w:r w:rsidRPr="00E42F6F">
        <w:fldChar w:fldCharType="begin"/>
      </w:r>
      <w:r w:rsidRPr="00E42F6F">
        <w:instrText xml:space="preserve"> REF ANNEX3_SCHEDULE24 \h  \* MERGEFORMAT </w:instrText>
      </w:r>
      <w:r w:rsidRPr="00E42F6F">
        <w:fldChar w:fldCharType="separate"/>
      </w:r>
      <w:r w:rsidR="00302D39" w:rsidRPr="00D00D9A">
        <w:t>3</w:t>
      </w:r>
      <w:r w:rsidRPr="00E42F6F">
        <w:fldChar w:fldCharType="end"/>
      </w:r>
      <w:r w:rsidRPr="00E42F6F">
        <w:t xml:space="preserve"> by the Initial Upload Date (except where prior to the launch of the Virtual Library in which case the date at which the Virtual Library is made available in accordance with </w:t>
      </w:r>
      <w:bookmarkStart w:id="1818" w:name="_9kMHG5YVtCIBCKPMFfTlXiC85zt3I9sx9CGF2BG"/>
      <w:r w:rsidRPr="00E42F6F">
        <w:t xml:space="preserve">Paragraph </w:t>
      </w:r>
      <w:r w:rsidRPr="00E42F6F">
        <w:fldChar w:fldCharType="begin"/>
      </w:r>
      <w:r w:rsidRPr="00E42F6F">
        <w:instrText xml:space="preserve"> REF _Ref_ContractCompanion_9kb9Us6EF \n \h \t \* MERGEFORMAT </w:instrText>
      </w:r>
      <w:r w:rsidRPr="00E42F6F">
        <w:fldChar w:fldCharType="separate"/>
      </w:r>
      <w:r w:rsidR="00302D39">
        <w:t>4.1</w:t>
      </w:r>
      <w:r w:rsidRPr="00E42F6F">
        <w:fldChar w:fldCharType="end"/>
      </w:r>
      <w:bookmarkEnd w:id="1818"/>
      <w:r w:rsidRPr="00E42F6F">
        <w:t>) onto Virtual Library in the format specified.</w:t>
      </w:r>
      <w:bookmarkEnd w:id="1817"/>
    </w:p>
    <w:p w14:paraId="42D830DA" w14:textId="77777777" w:rsidR="00F67E9E" w:rsidRPr="00093486" w:rsidRDefault="00F67E9E" w:rsidP="00F67E9E">
      <w:pPr>
        <w:pStyle w:val="Numbered11"/>
      </w:pPr>
      <w:r w:rsidRPr="00E42F6F">
        <w:t>Upon a</w:t>
      </w:r>
      <w:r w:rsidRPr="00093486">
        <w:t>ny document being uploaded to the Virtual Library, and where the Authority has been granted Access Permission to that document, the Supplier shall email on the same date as the upload, a copy of the document to the nominated Authority email address at:</w:t>
      </w:r>
    </w:p>
    <w:p w14:paraId="7AD6E778" w14:textId="77777777" w:rsidR="00F67E9E" w:rsidRPr="00093486" w:rsidRDefault="00F67E9E" w:rsidP="00F67E9E">
      <w:pPr>
        <w:pStyle w:val="StdBodyText3"/>
        <w:ind w:left="0" w:firstLine="720"/>
        <w:rPr>
          <w:rFonts w:cs="Arial"/>
        </w:rPr>
      </w:pPr>
      <w:r w:rsidRPr="00093486">
        <w:rPr>
          <w:rFonts w:cs="Arial"/>
          <w:highlight w:val="yellow"/>
        </w:rPr>
        <w:t>[</w:t>
      </w:r>
      <w:r w:rsidRPr="00093486">
        <w:rPr>
          <w:rFonts w:cs="Arial"/>
          <w:highlight w:val="yellow"/>
        </w:rPr>
        <w:tab/>
      </w:r>
      <w:r w:rsidRPr="00093486">
        <w:rPr>
          <w:rFonts w:cs="Arial"/>
          <w:highlight w:val="yellow"/>
        </w:rPr>
        <w:tab/>
      </w:r>
      <w:r w:rsidRPr="00093486">
        <w:rPr>
          <w:rFonts w:cs="Arial"/>
          <w:highlight w:val="yellow"/>
        </w:rPr>
        <w:tab/>
      </w:r>
      <w:r w:rsidRPr="00093486">
        <w:rPr>
          <w:rFonts w:cs="Arial"/>
          <w:highlight w:val="yellow"/>
        </w:rPr>
        <w:tab/>
      </w:r>
      <w:r w:rsidRPr="00093486">
        <w:rPr>
          <w:rFonts w:cs="Arial"/>
          <w:highlight w:val="yellow"/>
        </w:rPr>
        <w:tab/>
        <w:t>]</w:t>
      </w:r>
    </w:p>
    <w:p w14:paraId="217AE35A" w14:textId="4E7F1695" w:rsidR="00F67E9E" w:rsidRPr="00D00D9A" w:rsidRDefault="00F67E9E" w:rsidP="00F67E9E">
      <w:pPr>
        <w:pStyle w:val="Numbered11"/>
      </w:pPr>
      <w:r w:rsidRPr="00D00D9A">
        <w:t xml:space="preserve">Except for notices under </w:t>
      </w:r>
      <w:bookmarkStart w:id="1819" w:name="_9kR3WTr2CC6BENChrAv8MN"/>
      <w:r w:rsidRPr="00D00D9A">
        <w:t>Clause 42.4</w:t>
      </w:r>
      <w:bookmarkEnd w:id="1819"/>
      <w:r w:rsidRPr="00D00D9A">
        <w:t xml:space="preserve"> or items covered by </w:t>
      </w:r>
      <w:bookmarkStart w:id="1820" w:name="_9kR3WTr2CC6BFOChrAv8MP"/>
      <w:r w:rsidRPr="00D00D9A">
        <w:t>Clause 42.6</w:t>
      </w:r>
      <w:bookmarkEnd w:id="1820"/>
      <w:r w:rsidRPr="00D00D9A">
        <w:t>, where the Supplier is under an obligation to provide information to the Authority in a provision under this Contract, then the Supplier</w:t>
      </w:r>
      <w:r>
        <w:t>’</w:t>
      </w:r>
      <w:r w:rsidRPr="00D00D9A">
        <w:t>s upload of that information onto the Virtual Library shall satisfy the Supplier</w:t>
      </w:r>
      <w:r>
        <w:t>’</w:t>
      </w:r>
      <w:r w:rsidRPr="00D00D9A">
        <w:t xml:space="preserve">s obligation to provide the Authority with that information provided that the Authority has access in accordance with this </w:t>
      </w:r>
      <w:bookmarkStart w:id="1821" w:name="_9kR3WTr2BCAJHyknoewrqyE"/>
      <w:r w:rsidRPr="00D00D9A">
        <w:t xml:space="preserve">Paragraph </w:t>
      </w:r>
      <w:r w:rsidRPr="00D00D9A">
        <w:fldChar w:fldCharType="begin"/>
      </w:r>
      <w:r w:rsidRPr="00D00D9A">
        <w:instrText xml:space="preserve"> REF _Ref_ContractCompanion_9kb9Us6FB \w \n \h \t \* MERGEFORMAT </w:instrText>
      </w:r>
      <w:r w:rsidRPr="00D00D9A">
        <w:fldChar w:fldCharType="separate"/>
      </w:r>
      <w:bookmarkStart w:id="1822" w:name="_9kMHG5YVt4BDAABdLhkhy7sGURtf8KO6ykcz99A"/>
      <w:r w:rsidR="00302D39">
        <w:t>4</w:t>
      </w:r>
      <w:bookmarkEnd w:id="1822"/>
      <w:r w:rsidRPr="00D00D9A">
        <w:fldChar w:fldCharType="end"/>
      </w:r>
      <w:bookmarkEnd w:id="1821"/>
      <w:r w:rsidRPr="00D00D9A">
        <w:t xml:space="preserve"> and the uploaded information meets the requirements more particularly specified in the relevant provision. </w:t>
      </w:r>
    </w:p>
    <w:p w14:paraId="0270B7CF" w14:textId="1C1E0BD5" w:rsidR="00F67E9E" w:rsidRPr="00D00D9A" w:rsidRDefault="00F67E9E" w:rsidP="00F67E9E">
      <w:pPr>
        <w:pStyle w:val="Numbered11"/>
      </w:pPr>
      <w:r w:rsidRPr="00D00D9A">
        <w:t xml:space="preserve">Except to the extent that the requirements provide for earlier and more regular Authority access to up-to-date information, Annex </w:t>
      </w:r>
      <w:r w:rsidRPr="00D00D9A">
        <w:fldChar w:fldCharType="begin"/>
      </w:r>
      <w:r w:rsidRPr="00D00D9A">
        <w:instrText xml:space="preserve"> REF ANNEX3_SCHEDULE24 \h </w:instrText>
      </w:r>
      <w:r>
        <w:instrText xml:space="preserve"> \* MERGEFORMAT </w:instrText>
      </w:r>
      <w:r w:rsidRPr="00D00D9A">
        <w:fldChar w:fldCharType="separate"/>
      </w:r>
      <w:r w:rsidR="00302D39" w:rsidRPr="00D00D9A">
        <w:t>3</w:t>
      </w:r>
      <w:r w:rsidRPr="00D00D9A">
        <w:fldChar w:fldCharType="end"/>
      </w:r>
      <w:r w:rsidRPr="00D00D9A">
        <w:t xml:space="preserve"> shall not take precedence over any other obligation to provide information in this Contract and the Supplier shall refer to the applicable clause for further details as to the requirement.</w:t>
      </w:r>
    </w:p>
    <w:p w14:paraId="394837F2" w14:textId="54AE52F8" w:rsidR="00F67E9E" w:rsidRPr="00D00D9A" w:rsidRDefault="00F67E9E" w:rsidP="00F67E9E">
      <w:pPr>
        <w:pStyle w:val="Numbered11"/>
      </w:pPr>
      <w:r w:rsidRPr="00D00D9A">
        <w:t>The Suppl</w:t>
      </w:r>
      <w:r w:rsidR="00A10006">
        <w:t>i</w:t>
      </w:r>
      <w:r w:rsidRPr="00D00D9A">
        <w:t xml:space="preserve">er shall provide each specified person (as set out in column 6 of the table at Annex </w:t>
      </w:r>
      <w:r w:rsidRPr="00D00D9A">
        <w:fldChar w:fldCharType="begin"/>
      </w:r>
      <w:r w:rsidRPr="00D00D9A">
        <w:instrText xml:space="preserve"> REF ANNEX3_SCHEDULE24 \h </w:instrText>
      </w:r>
      <w:r>
        <w:instrText xml:space="preserve"> \* MERGEFORMAT </w:instrText>
      </w:r>
      <w:r w:rsidRPr="00D00D9A">
        <w:fldChar w:fldCharType="separate"/>
      </w:r>
      <w:r w:rsidR="00302D39" w:rsidRPr="00D00D9A">
        <w:t>3</w:t>
      </w:r>
      <w:r w:rsidRPr="00D00D9A">
        <w:fldChar w:fldCharType="end"/>
      </w:r>
      <w:r w:rsidRPr="00D00D9A">
        <w:t xml:space="preserve">) access to view and download the specified information in the Virtual Library in Annex </w:t>
      </w:r>
      <w:r w:rsidRPr="00D00D9A">
        <w:fldChar w:fldCharType="begin"/>
      </w:r>
      <w:r w:rsidRPr="00D00D9A">
        <w:instrText xml:space="preserve"> REF ANNEX3_SCHEDULE24 \h </w:instrText>
      </w:r>
      <w:r>
        <w:instrText xml:space="preserve"> \* MERGEFORMAT </w:instrText>
      </w:r>
      <w:r w:rsidRPr="00D00D9A">
        <w:fldChar w:fldCharType="separate"/>
      </w:r>
      <w:r w:rsidR="00302D39" w:rsidRPr="00D00D9A">
        <w:t>3</w:t>
      </w:r>
      <w:r w:rsidRPr="00D00D9A">
        <w:fldChar w:fldCharType="end"/>
      </w:r>
      <w:r w:rsidRPr="00D00D9A">
        <w:t xml:space="preserve"> subject upon the occurrence of the event specified in the column marked Access Permission in Annex </w:t>
      </w:r>
      <w:r w:rsidRPr="00D00D9A">
        <w:fldChar w:fldCharType="begin"/>
      </w:r>
      <w:r w:rsidRPr="00D00D9A">
        <w:instrText xml:space="preserve"> REF ANNEX3_SCHEDULE24 \h </w:instrText>
      </w:r>
      <w:r>
        <w:instrText xml:space="preserve"> \* MERGEFORMAT </w:instrText>
      </w:r>
      <w:r w:rsidRPr="00D00D9A">
        <w:fldChar w:fldCharType="separate"/>
      </w:r>
      <w:r w:rsidR="00302D39" w:rsidRPr="00D00D9A">
        <w:t>3</w:t>
      </w:r>
      <w:r w:rsidRPr="00D00D9A">
        <w:fldChar w:fldCharType="end"/>
      </w:r>
      <w:r w:rsidRPr="00D00D9A">
        <w:t xml:space="preserve"> to this Schedule.</w:t>
      </w:r>
    </w:p>
    <w:p w14:paraId="22971E27" w14:textId="3B720018" w:rsidR="00F67E9E" w:rsidRPr="00D00D9A" w:rsidRDefault="00F67E9E" w:rsidP="00F67E9E">
      <w:pPr>
        <w:pStyle w:val="Numbered11"/>
      </w:pPr>
      <w:r w:rsidRPr="00D00D9A">
        <w:t xml:space="preserve">Where Access Permission is not listed (in column 6 of the table at Annex </w:t>
      </w:r>
      <w:r w:rsidRPr="00D00D9A">
        <w:fldChar w:fldCharType="begin"/>
      </w:r>
      <w:r w:rsidRPr="00D00D9A">
        <w:instrText xml:space="preserve"> REF ANNEX3_SCHEDULE24 \h </w:instrText>
      </w:r>
      <w:r>
        <w:instrText xml:space="preserve"> \* MERGEFORMAT </w:instrText>
      </w:r>
      <w:r w:rsidRPr="00D00D9A">
        <w:fldChar w:fldCharType="separate"/>
      </w:r>
      <w:r w:rsidR="00302D39" w:rsidRPr="00D00D9A">
        <w:t>3</w:t>
      </w:r>
      <w:r w:rsidRPr="00D00D9A">
        <w:fldChar w:fldCharType="end"/>
      </w:r>
      <w:r w:rsidRPr="00D00D9A">
        <w:t xml:space="preserve">) as being subject to the occurrence of a certain event the Supplier shall grant access to the person and information specified (in column 6 of the table at Annex </w:t>
      </w:r>
      <w:r w:rsidRPr="00D00D9A">
        <w:fldChar w:fldCharType="begin"/>
      </w:r>
      <w:r w:rsidRPr="00D00D9A">
        <w:instrText xml:space="preserve"> REF ANNEX3_SCHEDULE24 \h </w:instrText>
      </w:r>
      <w:r>
        <w:instrText xml:space="preserve"> \* MERGEFORMAT </w:instrText>
      </w:r>
      <w:r w:rsidRPr="00D00D9A">
        <w:fldChar w:fldCharType="separate"/>
      </w:r>
      <w:r w:rsidR="00302D39" w:rsidRPr="00D00D9A">
        <w:t>3</w:t>
      </w:r>
      <w:r w:rsidRPr="00D00D9A">
        <w:fldChar w:fldCharType="end"/>
      </w:r>
      <w:r w:rsidRPr="00D00D9A">
        <w:t xml:space="preserve">) from the Initial Upload Date. </w:t>
      </w:r>
    </w:p>
    <w:p w14:paraId="1A6C837B" w14:textId="77777777" w:rsidR="00F67E9E" w:rsidRPr="00D00D9A" w:rsidRDefault="00F67E9E" w:rsidP="00F67E9E">
      <w:pPr>
        <w:pStyle w:val="Numbered11"/>
      </w:pPr>
      <w:r w:rsidRPr="00D00D9A">
        <w:t>Where Access Permission is specified as being granted to the Authority</w:t>
      </w:r>
      <w:r>
        <w:t>’</w:t>
      </w:r>
      <w:r w:rsidRPr="00D00D9A">
        <w:t>s Third Party Auditor (prior to the Authority being granted access) it shall:</w:t>
      </w:r>
    </w:p>
    <w:p w14:paraId="4FFCB9D5" w14:textId="021E7092" w:rsidR="00F67E9E" w:rsidRPr="00E42F6F" w:rsidRDefault="00F67E9E" w:rsidP="00F67E9E">
      <w:pPr>
        <w:pStyle w:val="Numbered111"/>
      </w:pPr>
      <w:r w:rsidRPr="00D00D9A">
        <w:t xml:space="preserve">be entitled to access, view and download information specified in Annex </w:t>
      </w:r>
      <w:r w:rsidRPr="00D00D9A">
        <w:fldChar w:fldCharType="begin"/>
      </w:r>
      <w:r w:rsidRPr="00D00D9A">
        <w:instrText xml:space="preserve"> REF ANNEX3_SCHEDULE24 \h </w:instrText>
      </w:r>
      <w:r>
        <w:instrText xml:space="preserve"> \* MERGEFORMAT </w:instrText>
      </w:r>
      <w:r w:rsidRPr="00D00D9A">
        <w:fldChar w:fldCharType="separate"/>
      </w:r>
      <w:r w:rsidR="00302D39" w:rsidRPr="00D00D9A">
        <w:t>3</w:t>
      </w:r>
      <w:r w:rsidRPr="00D00D9A">
        <w:fldChar w:fldCharType="end"/>
      </w:r>
      <w:r w:rsidRPr="00D00D9A">
        <w:t xml:space="preserve"> subject to it entering into a confidentiality agreement with the Supplier to keep the contents confidential (except to the extent disclosure of the confidential information </w:t>
      </w:r>
      <w:r w:rsidRPr="00E42F6F">
        <w:t xml:space="preserve">is required under </w:t>
      </w:r>
      <w:bookmarkStart w:id="1823" w:name="_9kMHG5YVtCIBCLOKFCnswv69FIEF9vPaQEALGJa"/>
      <w:r w:rsidRPr="00E42F6F">
        <w:t xml:space="preserve">Paragraph </w:t>
      </w:r>
      <w:r w:rsidRPr="00E42F6F">
        <w:fldChar w:fldCharType="begin"/>
      </w:r>
      <w:r w:rsidRPr="00E42F6F">
        <w:instrText xml:space="preserve"> REF _Ref_ContractCompanion_9kb9Us6FG \w \h \t \* MERGEFORMAT </w:instrText>
      </w:r>
      <w:r w:rsidRPr="00E42F6F">
        <w:fldChar w:fldCharType="separate"/>
      </w:r>
      <w:r w:rsidR="00302D39">
        <w:t>4.10.2</w:t>
      </w:r>
      <w:r w:rsidRPr="00E42F6F">
        <w:fldChar w:fldCharType="end"/>
      </w:r>
      <w:bookmarkEnd w:id="1823"/>
      <w:r w:rsidRPr="00E42F6F">
        <w:t xml:space="preserve"> of this Schedule); and</w:t>
      </w:r>
    </w:p>
    <w:p w14:paraId="2D720A67" w14:textId="77777777" w:rsidR="00F67E9E" w:rsidRPr="00D00D9A" w:rsidRDefault="00F67E9E" w:rsidP="00F67E9E">
      <w:pPr>
        <w:pStyle w:val="Numbered111"/>
      </w:pPr>
      <w:bookmarkStart w:id="1824" w:name="_9kR3WTrAG9AJMIDAlqut47DGCD7tNYOC8JEHYGC"/>
      <w:bookmarkStart w:id="1825" w:name="_Ref_ContractCompanion_9kb9Us6FG"/>
      <w:r w:rsidRPr="00E42F6F">
        <w:t>report to the Authority</w:t>
      </w:r>
      <w:r w:rsidRPr="00D00D9A">
        <w:t xml:space="preserve"> (at its request) as to the completeness and accuracy of the information but not the substance of the information.</w:t>
      </w:r>
      <w:bookmarkEnd w:id="1824"/>
      <w:r w:rsidRPr="00D00D9A">
        <w:t xml:space="preserve"> </w:t>
      </w:r>
      <w:bookmarkEnd w:id="1825"/>
    </w:p>
    <w:p w14:paraId="0B05EC16" w14:textId="607DF9CF" w:rsidR="00F67E9E" w:rsidRPr="00D00D9A" w:rsidRDefault="00F67E9E" w:rsidP="00F67E9E">
      <w:pPr>
        <w:pStyle w:val="Numbered11"/>
      </w:pPr>
      <w:r w:rsidRPr="00D00D9A">
        <w:t xml:space="preserve">The Supplier shall ensure that the Virtual Library retains in an accessible form all historic or superseded records of the information specified </w:t>
      </w:r>
      <w:bookmarkStart w:id="1826" w:name="_9kR3WTr2BCAJNPCwozP"/>
      <w:bookmarkEnd w:id="1826"/>
      <w:r w:rsidRPr="00D00D9A">
        <w:t xml:space="preserve">Annex </w:t>
      </w:r>
      <w:r w:rsidRPr="00D00D9A">
        <w:fldChar w:fldCharType="begin"/>
      </w:r>
      <w:r w:rsidRPr="00D00D9A">
        <w:instrText xml:space="preserve"> REF ANNEX3_SCHEDULE24 \h </w:instrText>
      </w:r>
      <w:r>
        <w:instrText xml:space="preserve"> \* MERGEFORMAT </w:instrText>
      </w:r>
      <w:r w:rsidRPr="00D00D9A">
        <w:fldChar w:fldCharType="separate"/>
      </w:r>
      <w:r w:rsidR="00302D39" w:rsidRPr="00D00D9A">
        <w:t>3</w:t>
      </w:r>
      <w:r w:rsidRPr="00D00D9A">
        <w:fldChar w:fldCharType="end"/>
      </w:r>
      <w:r w:rsidRPr="00D00D9A">
        <w:t>.</w:t>
      </w:r>
      <w:r>
        <w:t xml:space="preserve"> </w:t>
      </w:r>
      <w:r w:rsidRPr="00D00D9A">
        <w:t>In order to maintain the integrity of the historic archive of the information and documentation and for the purposes of maintaining a clear audit trail, the Supplier shall not delete or overwrite any information that has been stored in the Virtual Library, except for the purposes of maintenance (provided no information is lost during maintenance) or to enable the Supplier to comply with Data Protection Legislation.</w:t>
      </w:r>
    </w:p>
    <w:p w14:paraId="7D3EB339" w14:textId="77777777" w:rsidR="00F67E9E" w:rsidRPr="00D00D9A" w:rsidRDefault="00F67E9E" w:rsidP="00F67E9E">
      <w:pPr>
        <w:pStyle w:val="Numbered11"/>
      </w:pPr>
      <w:r w:rsidRPr="00D00D9A">
        <w:t xml:space="preserve">The Supplier warrants that the information uploaded to the Virtual Library is accurate, complete, up-to-date and in accordance with this Contract at the date of upload. </w:t>
      </w:r>
    </w:p>
    <w:p w14:paraId="696E8A7D" w14:textId="0D2FA6F8" w:rsidR="00F67E9E" w:rsidRPr="00D00D9A" w:rsidRDefault="00F67E9E" w:rsidP="00F67E9E">
      <w:pPr>
        <w:pStyle w:val="Numbered11"/>
      </w:pPr>
      <w:r w:rsidRPr="00D00D9A">
        <w:t xml:space="preserve">Where the Supplier becomes aware that any of the information provided on the Virtual Library is materially inaccurate, incomplete or out of date (other than in respect of historic versions of documents) the Supplier shall provide an update to the information within fourteen (14) days unless already due to be updated beforehand due to an Update Requirement specified in </w:t>
      </w:r>
      <w:bookmarkStart w:id="1827" w:name="_9kMHG5YVt4DECLPREyq1R"/>
      <w:bookmarkEnd w:id="1827"/>
      <w:r w:rsidRPr="00D00D9A">
        <w:t xml:space="preserve">Annex </w:t>
      </w:r>
      <w:r w:rsidRPr="00D00D9A">
        <w:fldChar w:fldCharType="begin"/>
      </w:r>
      <w:r w:rsidRPr="00D00D9A">
        <w:instrText xml:space="preserve"> REF ANNEX3_SCHEDULE24 \h </w:instrText>
      </w:r>
      <w:r>
        <w:instrText xml:space="preserve"> \* MERGEFORMAT </w:instrText>
      </w:r>
      <w:r w:rsidRPr="00D00D9A">
        <w:fldChar w:fldCharType="separate"/>
      </w:r>
      <w:r w:rsidR="00302D39" w:rsidRPr="00D00D9A">
        <w:t>3</w:t>
      </w:r>
      <w:r w:rsidRPr="00D00D9A">
        <w:fldChar w:fldCharType="end"/>
      </w:r>
      <w:r w:rsidRPr="00D00D9A">
        <w:t>.</w:t>
      </w:r>
    </w:p>
    <w:p w14:paraId="50C3D61E" w14:textId="7EC657CD" w:rsidR="00F67E9E" w:rsidRPr="00D00D9A" w:rsidRDefault="00F67E9E" w:rsidP="00F67E9E">
      <w:pPr>
        <w:pStyle w:val="Numbered11"/>
      </w:pPr>
      <w:r w:rsidRPr="00D00D9A">
        <w:t xml:space="preserve">In the event of a conflict between any requirement in this Contract (excluding Annex </w:t>
      </w:r>
      <w:r w:rsidRPr="00D00D9A">
        <w:fldChar w:fldCharType="begin"/>
      </w:r>
      <w:r w:rsidRPr="00D00D9A">
        <w:instrText xml:space="preserve"> REF ANNEX3_SCHEDULE24 \h </w:instrText>
      </w:r>
      <w:r>
        <w:instrText xml:space="preserve"> \* MERGEFORMAT </w:instrText>
      </w:r>
      <w:r w:rsidRPr="00D00D9A">
        <w:fldChar w:fldCharType="separate"/>
      </w:r>
      <w:r w:rsidR="00302D39" w:rsidRPr="00D00D9A">
        <w:t>3</w:t>
      </w:r>
      <w:r w:rsidRPr="00D00D9A">
        <w:fldChar w:fldCharType="end"/>
      </w:r>
      <w:r w:rsidRPr="00D00D9A">
        <w:t xml:space="preserve">) for the Supplier to provide information to the Authority and the requirements set out in Annex </w:t>
      </w:r>
      <w:r w:rsidRPr="00D00D9A">
        <w:fldChar w:fldCharType="begin"/>
      </w:r>
      <w:r w:rsidRPr="00D00D9A">
        <w:instrText xml:space="preserve"> REF ANNEX3_SCHEDULE24 \h </w:instrText>
      </w:r>
      <w:r>
        <w:instrText xml:space="preserve"> \* MERGEFORMAT </w:instrText>
      </w:r>
      <w:r w:rsidRPr="00D00D9A">
        <w:fldChar w:fldCharType="separate"/>
      </w:r>
      <w:r w:rsidR="00302D39" w:rsidRPr="00D00D9A">
        <w:t>3</w:t>
      </w:r>
      <w:r w:rsidRPr="00D00D9A">
        <w:fldChar w:fldCharType="end"/>
      </w:r>
      <w:r w:rsidRPr="00D00D9A">
        <w:t xml:space="preserve"> of this Schedule, the requirement elsewhere in this Contract shall prevail. </w:t>
      </w:r>
    </w:p>
    <w:p w14:paraId="03FA2EA5" w14:textId="77777777" w:rsidR="00F67E9E" w:rsidRPr="00D00D9A" w:rsidRDefault="00F67E9E" w:rsidP="00F67E9E">
      <w:pPr>
        <w:pStyle w:val="Numbered11"/>
      </w:pPr>
      <w:r w:rsidRPr="00D00D9A">
        <w:t xml:space="preserve">The Supplier shall ensure that all approved users of the Virtual Library are alerted by email each time that information in the Virtual Library is uploaded or updated as it occurs. </w:t>
      </w:r>
    </w:p>
    <w:p w14:paraId="2FDC1914" w14:textId="77777777" w:rsidR="00F67E9E" w:rsidRPr="00D00D9A" w:rsidRDefault="00F67E9E" w:rsidP="00F67E9E">
      <w:pPr>
        <w:pStyle w:val="Numbered11"/>
      </w:pPr>
      <w:r w:rsidRPr="00D00D9A">
        <w:t>No later than one (1) Month prior to the Operational Service Commencement Date, the Supplier shall provide training manuals to the Authority relating to the use of the Virtual Library.</w:t>
      </w:r>
    </w:p>
    <w:p w14:paraId="29BAE364" w14:textId="77777777" w:rsidR="00F67E9E" w:rsidRPr="00D00D9A" w:rsidRDefault="00F67E9E" w:rsidP="00F67E9E">
      <w:pPr>
        <w:pStyle w:val="Numbered11"/>
      </w:pPr>
      <w:r w:rsidRPr="00D00D9A">
        <w:t>On request by the Authority the Supplier shall provide the Authority</w:t>
      </w:r>
      <w:r>
        <w:t>’</w:t>
      </w:r>
      <w:r w:rsidRPr="00D00D9A">
        <w:t xml:space="preserve">s nominated users with a reasonable level of training and ongoing support to enable them to make use of the Virtual Library. </w:t>
      </w:r>
    </w:p>
    <w:p w14:paraId="01B245FA" w14:textId="77777777" w:rsidR="00F67E9E" w:rsidRPr="00D00D9A" w:rsidRDefault="00F67E9E" w:rsidP="00F67E9E">
      <w:pPr>
        <w:pStyle w:val="Numbered11"/>
      </w:pPr>
      <w:r w:rsidRPr="00D00D9A">
        <w:t>For the avoidance of doubt, the cost of any redactions, access restrictions or compliance with the Data Protection Legislation in respect of the information hosted on the Virtual Library shall be at the Supplier</w:t>
      </w:r>
      <w:r>
        <w:t>’</w:t>
      </w:r>
      <w:r w:rsidRPr="00D00D9A">
        <w:t>s own cost and expense.</w:t>
      </w:r>
    </w:p>
    <w:p w14:paraId="2F3348B6" w14:textId="77777777" w:rsidR="00F67E9E" w:rsidRDefault="00F67E9E" w:rsidP="00F67E9E">
      <w:pPr>
        <w:rPr>
          <w:lang w:eastAsia="en-GB"/>
        </w:rPr>
      </w:pPr>
    </w:p>
    <w:p w14:paraId="5D792D22" w14:textId="77777777" w:rsidR="00F67E9E" w:rsidRPr="004B01D8" w:rsidRDefault="00F67E9E" w:rsidP="00F67E9E">
      <w:pPr>
        <w:pStyle w:val="Heading2"/>
        <w:pageBreakBefore/>
      </w:pPr>
      <w:bookmarkStart w:id="1828" w:name="_Ref_ContractCompanion_9kb9Ur7D7"/>
      <w:bookmarkStart w:id="1829" w:name="_Ref_ContractCompanion_9kb9Ur7D9"/>
      <w:bookmarkStart w:id="1830" w:name="_Ref_ContractCompanion_9kb9Ur7DD"/>
      <w:bookmarkStart w:id="1831" w:name="_Ref_ContractCompanion_9kb9Us6DC"/>
      <w:bookmarkStart w:id="1832" w:name="_Toc141711970"/>
      <w:r w:rsidRPr="00D00D9A">
        <w:t xml:space="preserve">Annex </w:t>
      </w:r>
      <w:bookmarkStart w:id="1833" w:name="ANNEX1_SCHEDULE24"/>
      <w:r w:rsidRPr="00D00D9A">
        <w:t>1</w:t>
      </w:r>
      <w:bookmarkEnd w:id="1833"/>
      <w:r w:rsidRPr="00D00D9A">
        <w:t>: Transparency Reports</w:t>
      </w:r>
      <w:bookmarkEnd w:id="1828"/>
      <w:bookmarkEnd w:id="1829"/>
      <w:bookmarkEnd w:id="1830"/>
      <w:bookmarkEnd w:id="1831"/>
      <w:bookmarkEnd w:id="1832"/>
    </w:p>
    <w:tbl>
      <w:tblPr>
        <w:tblStyle w:val="MSATable-header"/>
        <w:tblW w:w="10205" w:type="dxa"/>
        <w:tblLook w:val="04A0" w:firstRow="1" w:lastRow="0" w:firstColumn="1" w:lastColumn="0" w:noHBand="0" w:noVBand="1"/>
      </w:tblPr>
      <w:tblGrid>
        <w:gridCol w:w="2891"/>
        <w:gridCol w:w="2438"/>
        <w:gridCol w:w="2438"/>
        <w:gridCol w:w="2438"/>
      </w:tblGrid>
      <w:tr w:rsidR="00F67E9E" w:rsidRPr="005E6F6F" w14:paraId="48E23499" w14:textId="77777777" w:rsidTr="007F74AA">
        <w:trPr>
          <w:cnfStyle w:val="100000000000" w:firstRow="1" w:lastRow="0" w:firstColumn="0" w:lastColumn="0" w:oddVBand="0" w:evenVBand="0" w:oddHBand="0" w:evenHBand="0" w:firstRowFirstColumn="0" w:firstRowLastColumn="0" w:lastRowFirstColumn="0" w:lastRowLastColumn="0"/>
          <w:tblHeader/>
        </w:trPr>
        <w:tc>
          <w:tcPr>
            <w:tcW w:w="2891" w:type="dxa"/>
            <w:vAlign w:val="bottom"/>
          </w:tcPr>
          <w:p w14:paraId="0CC558FB" w14:textId="77777777" w:rsidR="00F67E9E" w:rsidRPr="005E6F6F" w:rsidRDefault="00F67E9E" w:rsidP="007F74AA">
            <w:pPr>
              <w:pStyle w:val="StdBodyTextBold"/>
              <w:spacing w:before="0" w:after="0"/>
              <w:rPr>
                <w:rFonts w:cs="Arial"/>
                <w:b/>
                <w:bCs/>
              </w:rPr>
            </w:pPr>
            <w:r w:rsidRPr="005E6F6F">
              <w:rPr>
                <w:rFonts w:cs="Arial"/>
                <w:b/>
                <w:bCs/>
              </w:rPr>
              <w:t>Title</w:t>
            </w:r>
          </w:p>
        </w:tc>
        <w:tc>
          <w:tcPr>
            <w:tcW w:w="2438" w:type="dxa"/>
            <w:vAlign w:val="bottom"/>
          </w:tcPr>
          <w:p w14:paraId="09F350AE" w14:textId="77777777" w:rsidR="00F67E9E" w:rsidRPr="005E6F6F" w:rsidRDefault="00F67E9E" w:rsidP="007F74AA">
            <w:pPr>
              <w:pStyle w:val="StdBodyTextBold"/>
              <w:spacing w:before="0" w:after="0"/>
              <w:rPr>
                <w:rFonts w:cs="Arial"/>
                <w:b/>
                <w:bCs/>
              </w:rPr>
            </w:pPr>
            <w:r w:rsidRPr="005E6F6F">
              <w:rPr>
                <w:rFonts w:cs="Arial"/>
                <w:b/>
                <w:bCs/>
              </w:rPr>
              <w:t>Content</w:t>
            </w:r>
          </w:p>
        </w:tc>
        <w:tc>
          <w:tcPr>
            <w:tcW w:w="2438" w:type="dxa"/>
            <w:vAlign w:val="bottom"/>
          </w:tcPr>
          <w:p w14:paraId="566ADF3A" w14:textId="77777777" w:rsidR="00F67E9E" w:rsidRPr="005E6F6F" w:rsidRDefault="00F67E9E" w:rsidP="007F74AA">
            <w:pPr>
              <w:pStyle w:val="StdBodyTextBold"/>
              <w:spacing w:before="0" w:after="0"/>
              <w:rPr>
                <w:rFonts w:cs="Arial"/>
                <w:b/>
                <w:bCs/>
              </w:rPr>
            </w:pPr>
            <w:r w:rsidRPr="005E6F6F">
              <w:rPr>
                <w:rFonts w:cs="Arial"/>
                <w:b/>
                <w:bCs/>
              </w:rPr>
              <w:t>Format</w:t>
            </w:r>
          </w:p>
        </w:tc>
        <w:tc>
          <w:tcPr>
            <w:tcW w:w="2438" w:type="dxa"/>
            <w:vAlign w:val="bottom"/>
          </w:tcPr>
          <w:p w14:paraId="5D02A0DD" w14:textId="77777777" w:rsidR="00F67E9E" w:rsidRPr="005E6F6F" w:rsidRDefault="00F67E9E" w:rsidP="007F74AA">
            <w:pPr>
              <w:pStyle w:val="StdBodyTextBold"/>
              <w:spacing w:before="0" w:after="0"/>
              <w:rPr>
                <w:rFonts w:cs="Arial"/>
                <w:b/>
                <w:bCs/>
              </w:rPr>
            </w:pPr>
            <w:r w:rsidRPr="005E6F6F">
              <w:rPr>
                <w:rFonts w:cs="Arial"/>
                <w:b/>
                <w:bCs/>
              </w:rPr>
              <w:t>Frequency</w:t>
            </w:r>
          </w:p>
        </w:tc>
      </w:tr>
      <w:tr w:rsidR="00F67E9E" w:rsidRPr="00D00D9A" w14:paraId="5DEF1B13" w14:textId="77777777" w:rsidTr="007F74AA">
        <w:tc>
          <w:tcPr>
            <w:tcW w:w="2891" w:type="dxa"/>
          </w:tcPr>
          <w:p w14:paraId="2908A428" w14:textId="77777777" w:rsidR="00F67E9E" w:rsidRPr="00DD4CC2" w:rsidRDefault="00F67E9E" w:rsidP="007F74AA">
            <w:pPr>
              <w:pStyle w:val="StdBodyText"/>
              <w:spacing w:before="0" w:after="0"/>
              <w:rPr>
                <w:rFonts w:cs="Arial"/>
                <w:iCs/>
              </w:rPr>
            </w:pPr>
            <w:r w:rsidRPr="00DD4CC2">
              <w:rPr>
                <w:rFonts w:cs="Arial"/>
                <w:iCs/>
              </w:rPr>
              <w:t>(Performance)</w:t>
            </w:r>
          </w:p>
        </w:tc>
        <w:tc>
          <w:tcPr>
            <w:tcW w:w="2438" w:type="dxa"/>
          </w:tcPr>
          <w:p w14:paraId="4B8E4C73" w14:textId="77777777" w:rsidR="00F67E9E" w:rsidRPr="00D00D9A" w:rsidRDefault="00F67E9E" w:rsidP="007F74AA">
            <w:pPr>
              <w:pStyle w:val="StdBodyText"/>
              <w:spacing w:before="0" w:after="0"/>
              <w:rPr>
                <w:rFonts w:cs="Arial"/>
              </w:rPr>
            </w:pPr>
          </w:p>
        </w:tc>
        <w:tc>
          <w:tcPr>
            <w:tcW w:w="2438" w:type="dxa"/>
          </w:tcPr>
          <w:p w14:paraId="2D17C147" w14:textId="77777777" w:rsidR="00F67E9E" w:rsidRPr="00D00D9A" w:rsidRDefault="00F67E9E" w:rsidP="007F74AA">
            <w:pPr>
              <w:pStyle w:val="StdBodyText"/>
              <w:spacing w:before="0" w:after="0"/>
              <w:rPr>
                <w:rFonts w:cs="Arial"/>
              </w:rPr>
            </w:pPr>
          </w:p>
        </w:tc>
        <w:tc>
          <w:tcPr>
            <w:tcW w:w="2438" w:type="dxa"/>
          </w:tcPr>
          <w:p w14:paraId="035E910C" w14:textId="77777777" w:rsidR="00F67E9E" w:rsidRPr="00D00D9A" w:rsidRDefault="00F67E9E" w:rsidP="007F74AA">
            <w:pPr>
              <w:pStyle w:val="StdBodyText"/>
              <w:spacing w:before="0" w:after="0"/>
              <w:rPr>
                <w:rFonts w:cs="Arial"/>
              </w:rPr>
            </w:pPr>
          </w:p>
        </w:tc>
      </w:tr>
      <w:tr w:rsidR="00F67E9E" w:rsidRPr="00D00D9A" w14:paraId="417DAE72" w14:textId="77777777" w:rsidTr="007F74AA">
        <w:tc>
          <w:tcPr>
            <w:tcW w:w="2891" w:type="dxa"/>
          </w:tcPr>
          <w:p w14:paraId="38EE9E11" w14:textId="77777777" w:rsidR="00F67E9E" w:rsidRPr="00DD4CC2" w:rsidRDefault="00F67E9E" w:rsidP="007F74AA">
            <w:pPr>
              <w:pStyle w:val="StdBodyText"/>
              <w:spacing w:before="0" w:after="0"/>
              <w:rPr>
                <w:rFonts w:cs="Arial"/>
                <w:iCs/>
              </w:rPr>
            </w:pPr>
            <w:r w:rsidRPr="00DD4CC2">
              <w:rPr>
                <w:rFonts w:cs="Arial"/>
                <w:iCs/>
              </w:rPr>
              <w:t>(Charges)</w:t>
            </w:r>
          </w:p>
        </w:tc>
        <w:tc>
          <w:tcPr>
            <w:tcW w:w="2438" w:type="dxa"/>
          </w:tcPr>
          <w:p w14:paraId="3532B6D0" w14:textId="77777777" w:rsidR="00F67E9E" w:rsidRPr="00D00D9A" w:rsidRDefault="00F67E9E" w:rsidP="007F74AA">
            <w:pPr>
              <w:pStyle w:val="StdBodyText"/>
              <w:spacing w:before="0" w:after="0"/>
              <w:rPr>
                <w:rFonts w:cs="Arial"/>
              </w:rPr>
            </w:pPr>
          </w:p>
        </w:tc>
        <w:tc>
          <w:tcPr>
            <w:tcW w:w="2438" w:type="dxa"/>
          </w:tcPr>
          <w:p w14:paraId="759C0BB9" w14:textId="77777777" w:rsidR="00F67E9E" w:rsidRPr="00D00D9A" w:rsidRDefault="00F67E9E" w:rsidP="007F74AA">
            <w:pPr>
              <w:pStyle w:val="StdBodyText"/>
              <w:spacing w:before="0" w:after="0"/>
              <w:rPr>
                <w:rFonts w:cs="Arial"/>
              </w:rPr>
            </w:pPr>
          </w:p>
        </w:tc>
        <w:tc>
          <w:tcPr>
            <w:tcW w:w="2438" w:type="dxa"/>
          </w:tcPr>
          <w:p w14:paraId="7E7AA0F4" w14:textId="77777777" w:rsidR="00F67E9E" w:rsidRPr="00D00D9A" w:rsidRDefault="00F67E9E" w:rsidP="007F74AA">
            <w:pPr>
              <w:pStyle w:val="StdBodyText"/>
              <w:spacing w:before="0" w:after="0"/>
              <w:rPr>
                <w:rFonts w:cs="Arial"/>
              </w:rPr>
            </w:pPr>
          </w:p>
        </w:tc>
      </w:tr>
      <w:tr w:rsidR="00F67E9E" w:rsidRPr="00D00D9A" w14:paraId="5142A735" w14:textId="77777777" w:rsidTr="007F74AA">
        <w:tc>
          <w:tcPr>
            <w:tcW w:w="2891" w:type="dxa"/>
          </w:tcPr>
          <w:p w14:paraId="0D9A245B" w14:textId="77777777" w:rsidR="00F67E9E" w:rsidRPr="00DD4CC2" w:rsidRDefault="00F67E9E" w:rsidP="007F74AA">
            <w:pPr>
              <w:pStyle w:val="StdBodyText"/>
              <w:spacing w:before="0" w:after="0"/>
              <w:rPr>
                <w:rFonts w:cs="Arial"/>
                <w:iCs/>
              </w:rPr>
            </w:pPr>
            <w:r w:rsidRPr="00DD4CC2">
              <w:rPr>
                <w:rFonts w:cs="Arial"/>
                <w:iCs/>
              </w:rPr>
              <w:t>(Major sub-contractors)</w:t>
            </w:r>
          </w:p>
        </w:tc>
        <w:tc>
          <w:tcPr>
            <w:tcW w:w="2438" w:type="dxa"/>
          </w:tcPr>
          <w:p w14:paraId="6D7181D6" w14:textId="77777777" w:rsidR="00F67E9E" w:rsidRPr="00D00D9A" w:rsidRDefault="00F67E9E" w:rsidP="007F74AA">
            <w:pPr>
              <w:pStyle w:val="StdBodyText"/>
              <w:spacing w:before="0" w:after="0"/>
              <w:rPr>
                <w:rFonts w:cs="Arial"/>
              </w:rPr>
            </w:pPr>
          </w:p>
        </w:tc>
        <w:tc>
          <w:tcPr>
            <w:tcW w:w="2438" w:type="dxa"/>
          </w:tcPr>
          <w:p w14:paraId="368ED339" w14:textId="77777777" w:rsidR="00F67E9E" w:rsidRPr="00D00D9A" w:rsidRDefault="00F67E9E" w:rsidP="007F74AA">
            <w:pPr>
              <w:pStyle w:val="StdBodyText"/>
              <w:spacing w:before="0" w:after="0"/>
              <w:rPr>
                <w:rFonts w:cs="Arial"/>
              </w:rPr>
            </w:pPr>
          </w:p>
        </w:tc>
        <w:tc>
          <w:tcPr>
            <w:tcW w:w="2438" w:type="dxa"/>
          </w:tcPr>
          <w:p w14:paraId="2049FB83" w14:textId="77777777" w:rsidR="00F67E9E" w:rsidRPr="00D00D9A" w:rsidRDefault="00F67E9E" w:rsidP="007F74AA">
            <w:pPr>
              <w:pStyle w:val="StdBodyText"/>
              <w:spacing w:before="0" w:after="0"/>
              <w:rPr>
                <w:rFonts w:cs="Arial"/>
              </w:rPr>
            </w:pPr>
          </w:p>
        </w:tc>
      </w:tr>
      <w:tr w:rsidR="00F67E9E" w:rsidRPr="00D00D9A" w14:paraId="28D347DE" w14:textId="77777777" w:rsidTr="007F74AA">
        <w:tc>
          <w:tcPr>
            <w:tcW w:w="2891" w:type="dxa"/>
          </w:tcPr>
          <w:p w14:paraId="05157533" w14:textId="77777777" w:rsidR="00F67E9E" w:rsidRPr="00DD4CC2" w:rsidRDefault="00F67E9E" w:rsidP="007F74AA">
            <w:pPr>
              <w:pStyle w:val="StdBodyText"/>
              <w:spacing w:before="0" w:after="0"/>
              <w:rPr>
                <w:rFonts w:cs="Arial"/>
                <w:iCs/>
              </w:rPr>
            </w:pPr>
            <w:r w:rsidRPr="00DD4CC2">
              <w:rPr>
                <w:rFonts w:cs="Arial"/>
                <w:iCs/>
              </w:rPr>
              <w:t>(Technical)</w:t>
            </w:r>
          </w:p>
        </w:tc>
        <w:tc>
          <w:tcPr>
            <w:tcW w:w="2438" w:type="dxa"/>
          </w:tcPr>
          <w:p w14:paraId="233DC9F2" w14:textId="77777777" w:rsidR="00F67E9E" w:rsidRPr="00D00D9A" w:rsidRDefault="00F67E9E" w:rsidP="007F74AA">
            <w:pPr>
              <w:pStyle w:val="StdBodyText"/>
              <w:spacing w:before="0" w:after="0"/>
              <w:rPr>
                <w:rFonts w:cs="Arial"/>
              </w:rPr>
            </w:pPr>
          </w:p>
        </w:tc>
        <w:tc>
          <w:tcPr>
            <w:tcW w:w="2438" w:type="dxa"/>
          </w:tcPr>
          <w:p w14:paraId="14790708" w14:textId="77777777" w:rsidR="00F67E9E" w:rsidRPr="00D00D9A" w:rsidRDefault="00F67E9E" w:rsidP="007F74AA">
            <w:pPr>
              <w:pStyle w:val="StdBodyText"/>
              <w:spacing w:before="0" w:after="0"/>
              <w:rPr>
                <w:rFonts w:cs="Arial"/>
              </w:rPr>
            </w:pPr>
          </w:p>
        </w:tc>
        <w:tc>
          <w:tcPr>
            <w:tcW w:w="2438" w:type="dxa"/>
          </w:tcPr>
          <w:p w14:paraId="020F87A4" w14:textId="77777777" w:rsidR="00F67E9E" w:rsidRPr="00D00D9A" w:rsidRDefault="00F67E9E" w:rsidP="007F74AA">
            <w:pPr>
              <w:pStyle w:val="StdBodyText"/>
              <w:spacing w:before="0" w:after="0"/>
              <w:rPr>
                <w:rFonts w:cs="Arial"/>
              </w:rPr>
            </w:pPr>
          </w:p>
        </w:tc>
      </w:tr>
      <w:tr w:rsidR="00F67E9E" w:rsidRPr="00D00D9A" w14:paraId="2AF5D6F1" w14:textId="77777777" w:rsidTr="007F74AA">
        <w:tc>
          <w:tcPr>
            <w:tcW w:w="2891" w:type="dxa"/>
          </w:tcPr>
          <w:p w14:paraId="4C78C659" w14:textId="77777777" w:rsidR="00F67E9E" w:rsidRPr="00DD4CC2" w:rsidRDefault="00F67E9E" w:rsidP="007F74AA">
            <w:pPr>
              <w:pStyle w:val="StdBodyText"/>
              <w:spacing w:before="0" w:after="0"/>
              <w:rPr>
                <w:rFonts w:cs="Arial"/>
                <w:iCs/>
              </w:rPr>
            </w:pPr>
            <w:r w:rsidRPr="00DD4CC2">
              <w:rPr>
                <w:rFonts w:cs="Arial"/>
                <w:iCs/>
              </w:rPr>
              <w:t>(Performance management)</w:t>
            </w:r>
          </w:p>
        </w:tc>
        <w:tc>
          <w:tcPr>
            <w:tcW w:w="2438" w:type="dxa"/>
          </w:tcPr>
          <w:p w14:paraId="505E25BD" w14:textId="77777777" w:rsidR="00F67E9E" w:rsidRPr="00D00D9A" w:rsidRDefault="00F67E9E" w:rsidP="007F74AA">
            <w:pPr>
              <w:pStyle w:val="StdBodyText"/>
              <w:spacing w:before="0" w:after="0"/>
              <w:rPr>
                <w:rFonts w:cs="Arial"/>
              </w:rPr>
            </w:pPr>
          </w:p>
        </w:tc>
        <w:tc>
          <w:tcPr>
            <w:tcW w:w="2438" w:type="dxa"/>
          </w:tcPr>
          <w:p w14:paraId="46DAA298" w14:textId="77777777" w:rsidR="00F67E9E" w:rsidRPr="00D00D9A" w:rsidRDefault="00F67E9E" w:rsidP="007F74AA">
            <w:pPr>
              <w:pStyle w:val="StdBodyText"/>
              <w:spacing w:before="0" w:after="0"/>
              <w:rPr>
                <w:rFonts w:cs="Arial"/>
              </w:rPr>
            </w:pPr>
          </w:p>
        </w:tc>
        <w:tc>
          <w:tcPr>
            <w:tcW w:w="2438" w:type="dxa"/>
          </w:tcPr>
          <w:p w14:paraId="4C9C8061" w14:textId="77777777" w:rsidR="00F67E9E" w:rsidRPr="00D00D9A" w:rsidRDefault="00F67E9E" w:rsidP="007F74AA">
            <w:pPr>
              <w:pStyle w:val="StdBodyText"/>
              <w:spacing w:before="0" w:after="0"/>
              <w:rPr>
                <w:rFonts w:cs="Arial"/>
              </w:rPr>
            </w:pPr>
          </w:p>
        </w:tc>
      </w:tr>
    </w:tbl>
    <w:p w14:paraId="34439CE4" w14:textId="77777777" w:rsidR="00F67E9E" w:rsidRDefault="00F67E9E" w:rsidP="00F67E9E">
      <w:pPr>
        <w:pStyle w:val="Table-followingparagraph"/>
      </w:pPr>
    </w:p>
    <w:p w14:paraId="20E6994B" w14:textId="77777777" w:rsidR="00F67E9E" w:rsidRPr="00266335" w:rsidRDefault="00F67E9E" w:rsidP="00F67E9E">
      <w:pPr>
        <w:rPr>
          <w:b/>
          <w:bCs/>
          <w:i/>
          <w:iCs/>
          <w:highlight w:val="yellow"/>
          <w:lang w:eastAsia="en-GB"/>
        </w:rPr>
      </w:pPr>
      <w:r>
        <w:rPr>
          <w:b/>
          <w:bCs/>
          <w:i/>
          <w:iCs/>
          <w:highlight w:val="yellow"/>
          <w:lang w:eastAsia="en-GB"/>
        </w:rPr>
        <w:t>[Guidance note:</w:t>
      </w:r>
      <w:r w:rsidRPr="00266335">
        <w:rPr>
          <w:b/>
          <w:bCs/>
          <w:i/>
          <w:iCs/>
          <w:highlight w:val="yellow"/>
          <w:lang w:eastAsia="en-GB"/>
        </w:rPr>
        <w:t xml:space="preserve"> If you are using this Contract to procure steel, PPN 04/2023: Procuring Steel in Government Contracts may apply. If this PPN applies, you are required to collect data on steel and report on this to BEIS. In this instance, you should consider inserting the example contract clauses accompanying this PPN (amending as required), or an equivalent clause. The PPN applies to all Central Government Departments, Executive Agencies, and Non Departmental Public Bodies when conducting procurements covered by Part 2 of the Public Contracts Regulations 2015, the Utilities Contracts Regulations 2016, the Defence and Security Public Contracts Regulations 2011, and the Concessions Contracts Regulations 2016, where steel is being procured directly or indirectly. </w:t>
      </w:r>
    </w:p>
    <w:p w14:paraId="49938A24" w14:textId="77777777" w:rsidR="00F67E9E" w:rsidRPr="00266335" w:rsidRDefault="00F67E9E" w:rsidP="00F67E9E">
      <w:pPr>
        <w:rPr>
          <w:b/>
          <w:bCs/>
          <w:i/>
          <w:iCs/>
          <w:highlight w:val="yellow"/>
          <w:lang w:eastAsia="en-GB"/>
        </w:rPr>
      </w:pPr>
    </w:p>
    <w:p w14:paraId="3C277440" w14:textId="77777777" w:rsidR="00F67E9E" w:rsidRPr="00266335" w:rsidRDefault="00F67E9E" w:rsidP="00F67E9E">
      <w:pPr>
        <w:rPr>
          <w:b/>
          <w:bCs/>
          <w:i/>
          <w:iCs/>
          <w:highlight w:val="yellow"/>
          <w:lang w:eastAsia="en-GB"/>
        </w:rPr>
      </w:pPr>
      <w:r w:rsidRPr="00266335">
        <w:rPr>
          <w:b/>
          <w:bCs/>
          <w:i/>
          <w:iCs/>
          <w:highlight w:val="yellow"/>
          <w:lang w:eastAsia="en-GB"/>
        </w:rPr>
        <w:t xml:space="preserve">The data requirement aspects relate to projects/programmes: </w:t>
      </w:r>
    </w:p>
    <w:p w14:paraId="50A387AD" w14:textId="77777777" w:rsidR="00F67E9E" w:rsidRPr="00266335" w:rsidRDefault="00F67E9E" w:rsidP="00F67E9E">
      <w:pPr>
        <w:ind w:left="720" w:hanging="720"/>
        <w:rPr>
          <w:b/>
          <w:bCs/>
          <w:i/>
          <w:iCs/>
          <w:highlight w:val="yellow"/>
          <w:lang w:eastAsia="en-GB"/>
        </w:rPr>
      </w:pPr>
      <w:r w:rsidRPr="00266335">
        <w:rPr>
          <w:b/>
          <w:bCs/>
          <w:i/>
          <w:iCs/>
          <w:highlight w:val="yellow"/>
          <w:lang w:eastAsia="en-GB"/>
        </w:rPr>
        <w:t xml:space="preserve">(i) </w:t>
      </w:r>
      <w:r w:rsidRPr="00266335">
        <w:rPr>
          <w:b/>
          <w:bCs/>
          <w:i/>
          <w:iCs/>
          <w:highlight w:val="yellow"/>
          <w:lang w:eastAsia="en-GB"/>
        </w:rPr>
        <w:tab/>
        <w:t>with a value of £10 million or more; and</w:t>
      </w:r>
    </w:p>
    <w:p w14:paraId="2C98DC2E" w14:textId="77777777" w:rsidR="00F67E9E" w:rsidRPr="00266335" w:rsidRDefault="00F67E9E" w:rsidP="00F67E9E">
      <w:pPr>
        <w:rPr>
          <w:b/>
          <w:bCs/>
          <w:i/>
          <w:iCs/>
          <w:lang w:eastAsia="zh-CN"/>
        </w:rPr>
      </w:pPr>
      <w:r w:rsidRPr="00266335">
        <w:rPr>
          <w:b/>
          <w:bCs/>
          <w:i/>
          <w:iCs/>
          <w:highlight w:val="yellow"/>
          <w:lang w:eastAsia="en-GB"/>
        </w:rPr>
        <w:t>(ii)</w:t>
      </w:r>
      <w:r w:rsidRPr="00266335">
        <w:rPr>
          <w:b/>
          <w:bCs/>
          <w:i/>
          <w:iCs/>
          <w:highlight w:val="yellow"/>
          <w:lang w:eastAsia="en-GB"/>
        </w:rPr>
        <w:tab/>
        <w:t>a value of less than £10 million where it is anticipated that the project will require in excess of 500 tonnes of steel.]</w:t>
      </w:r>
    </w:p>
    <w:p w14:paraId="7F438C80" w14:textId="77777777" w:rsidR="00F67E9E" w:rsidRPr="004B01D8" w:rsidRDefault="00F67E9E" w:rsidP="00F67E9E">
      <w:pPr>
        <w:pStyle w:val="Heading2"/>
        <w:pageBreakBefore/>
      </w:pPr>
      <w:bookmarkStart w:id="1834" w:name="_Ref92447023"/>
      <w:bookmarkStart w:id="1835" w:name="_Toc141711971"/>
      <w:r w:rsidRPr="00D00D9A">
        <w:t xml:space="preserve">Annex </w:t>
      </w:r>
      <w:bookmarkStart w:id="1836" w:name="ANNEX2_SCHEDULE24"/>
      <w:r w:rsidRPr="00D00D9A">
        <w:t>2</w:t>
      </w:r>
      <w:bookmarkEnd w:id="1836"/>
      <w:r w:rsidRPr="00D00D9A">
        <w:t xml:space="preserve">: Records </w:t>
      </w:r>
      <w:r>
        <w:t>t</w:t>
      </w:r>
      <w:r w:rsidRPr="00D00D9A">
        <w:t xml:space="preserve">o </w:t>
      </w:r>
      <w:r>
        <w:t>b</w:t>
      </w:r>
      <w:r w:rsidRPr="00D00D9A">
        <w:t xml:space="preserve">e Kept </w:t>
      </w:r>
      <w:r>
        <w:t>b</w:t>
      </w:r>
      <w:r w:rsidRPr="00D00D9A">
        <w:t xml:space="preserve">y </w:t>
      </w:r>
      <w:r>
        <w:t>t</w:t>
      </w:r>
      <w:r w:rsidRPr="00D00D9A">
        <w:t>he Supplier</w:t>
      </w:r>
      <w:bookmarkEnd w:id="1834"/>
      <w:bookmarkEnd w:id="1835"/>
    </w:p>
    <w:p w14:paraId="5D7208C1" w14:textId="77777777" w:rsidR="00F67E9E" w:rsidRPr="00D00D9A" w:rsidRDefault="00F67E9E" w:rsidP="00F67E9E">
      <w:pPr>
        <w:pStyle w:val="StdBodyText"/>
        <w:rPr>
          <w:rFonts w:cs="Arial"/>
        </w:rPr>
      </w:pPr>
      <w:r w:rsidRPr="00D00D9A">
        <w:rPr>
          <w:rFonts w:cs="Arial"/>
        </w:rPr>
        <w:t>The records to be kept by the Supplier are:</w:t>
      </w:r>
    </w:p>
    <w:p w14:paraId="7AC6B07F" w14:textId="77777777" w:rsidR="00F67E9E" w:rsidRPr="009E3F09" w:rsidRDefault="00F67E9E" w:rsidP="00F67E9E">
      <w:pPr>
        <w:pStyle w:val="AppendixText1"/>
        <w:numPr>
          <w:ilvl w:val="0"/>
          <w:numId w:val="64"/>
        </w:numPr>
        <w:tabs>
          <w:tab w:val="clear" w:pos="720"/>
          <w:tab w:val="num" w:pos="1080"/>
        </w:tabs>
        <w:rPr>
          <w:b w:val="0"/>
          <w:bCs/>
        </w:rPr>
      </w:pPr>
      <w:bookmarkStart w:id="1837" w:name="_9kR3WTrAG9BJMPCwozOGiWs4XG43r013JFGR1g2"/>
      <w:r w:rsidRPr="009E3F09">
        <w:rPr>
          <w:b w:val="0"/>
          <w:bCs/>
        </w:rPr>
        <w:t>This Contract, its Schedules and all amendments to such documents.</w:t>
      </w:r>
      <w:bookmarkEnd w:id="1837"/>
    </w:p>
    <w:p w14:paraId="336DF6EB" w14:textId="77777777" w:rsidR="00F67E9E" w:rsidRPr="009E3F09" w:rsidRDefault="00F67E9E" w:rsidP="00F67E9E">
      <w:pPr>
        <w:pStyle w:val="AppendixText1"/>
        <w:keepNext w:val="0"/>
        <w:rPr>
          <w:b w:val="0"/>
          <w:bCs/>
        </w:rPr>
      </w:pPr>
      <w:r w:rsidRPr="009E3F09">
        <w:rPr>
          <w:b w:val="0"/>
          <w:bCs/>
        </w:rPr>
        <w:t>All other documents which this Contract expressly requires to be prepared.</w:t>
      </w:r>
    </w:p>
    <w:p w14:paraId="1CA655BD" w14:textId="77777777" w:rsidR="00F67E9E" w:rsidRPr="009E3F09" w:rsidRDefault="00F67E9E" w:rsidP="00F67E9E">
      <w:pPr>
        <w:pStyle w:val="AppendixText1"/>
        <w:keepNext w:val="0"/>
        <w:rPr>
          <w:b w:val="0"/>
          <w:bCs/>
        </w:rPr>
      </w:pPr>
      <w:bookmarkStart w:id="1838" w:name="_9kR3WTrAG9CC6HCwozOIiRjuA02H4zw5E98FOPJ"/>
      <w:r w:rsidRPr="009E3F09">
        <w:rPr>
          <w:b w:val="0"/>
          <w:bCs/>
        </w:rPr>
        <w:t>Records relating to the appointment and succession of the Supplier Representative and each member of the Key Personnel.</w:t>
      </w:r>
      <w:bookmarkEnd w:id="1838"/>
    </w:p>
    <w:p w14:paraId="3433E843" w14:textId="77777777" w:rsidR="00F67E9E" w:rsidRPr="009E3F09" w:rsidRDefault="00F67E9E" w:rsidP="00F67E9E">
      <w:pPr>
        <w:pStyle w:val="AppendixText1"/>
        <w:keepNext w:val="0"/>
        <w:rPr>
          <w:b w:val="0"/>
          <w:bCs/>
        </w:rPr>
      </w:pPr>
      <w:bookmarkStart w:id="1839" w:name="_9kR3WTrAG9BDENCwozOJfXA5pm3H43EHNP7379Q"/>
      <w:r w:rsidRPr="009E3F09">
        <w:rPr>
          <w:b w:val="0"/>
          <w:bCs/>
        </w:rPr>
        <w:t>Notices, reports and other documentation submitted by any Expert.</w:t>
      </w:r>
      <w:bookmarkEnd w:id="1839"/>
    </w:p>
    <w:p w14:paraId="46621972" w14:textId="77777777" w:rsidR="00F67E9E" w:rsidRPr="009E3F09" w:rsidRDefault="00F67E9E" w:rsidP="00F67E9E">
      <w:pPr>
        <w:pStyle w:val="AppendixText1"/>
        <w:keepNext w:val="0"/>
        <w:rPr>
          <w:b w:val="0"/>
          <w:bCs/>
        </w:rPr>
      </w:pPr>
      <w:bookmarkStart w:id="1840" w:name="_9kR3WTrAG9BC9JCwozOKTHz38z2z2B7D015530E"/>
      <w:r w:rsidRPr="009E3F09">
        <w:rPr>
          <w:b w:val="0"/>
          <w:bCs/>
        </w:rPr>
        <w:t>All operation and maintenance manuals prepared by the Supplier for the purpose of maintaining the provision of the Services and the underlying IT Environment and Supplier Equipment.</w:t>
      </w:r>
      <w:bookmarkEnd w:id="1840"/>
    </w:p>
    <w:p w14:paraId="3C7712B7" w14:textId="77777777" w:rsidR="00F67E9E" w:rsidRPr="009E3F09" w:rsidRDefault="00F67E9E" w:rsidP="00F67E9E">
      <w:pPr>
        <w:pStyle w:val="AppendixText1"/>
        <w:keepNext w:val="0"/>
        <w:rPr>
          <w:b w:val="0"/>
          <w:bCs/>
        </w:rPr>
      </w:pPr>
      <w:bookmarkStart w:id="1841" w:name="_9kR3WTrAG9BEGOCwozOLXNt0BwyEKHH7636BywI"/>
      <w:r w:rsidRPr="009E3F09">
        <w:rPr>
          <w:b w:val="0"/>
          <w:bCs/>
        </w:rPr>
        <w:t>Documents prepared by the Supplier or received by the Supplier from a third party relating to a Force Majeure Event.</w:t>
      </w:r>
      <w:bookmarkEnd w:id="1841"/>
    </w:p>
    <w:p w14:paraId="3F15CA53" w14:textId="77777777" w:rsidR="00F67E9E" w:rsidRPr="009E3F09" w:rsidRDefault="00F67E9E" w:rsidP="00F67E9E">
      <w:pPr>
        <w:pStyle w:val="AppendixText1"/>
        <w:keepNext w:val="0"/>
        <w:rPr>
          <w:b w:val="0"/>
          <w:bCs/>
        </w:rPr>
      </w:pPr>
      <w:r w:rsidRPr="009E3F09">
        <w:rPr>
          <w:b w:val="0"/>
          <w:bCs/>
        </w:rPr>
        <w:t>All formal notices, reports or submissions made by the Supplier to the Authority Representative in connection with the provision of the Services.</w:t>
      </w:r>
    </w:p>
    <w:p w14:paraId="41FFB5CF" w14:textId="77777777" w:rsidR="00F67E9E" w:rsidRPr="009E3F09" w:rsidRDefault="00F67E9E" w:rsidP="00F67E9E">
      <w:pPr>
        <w:pStyle w:val="AppendixText1"/>
        <w:keepNext w:val="0"/>
        <w:rPr>
          <w:b w:val="0"/>
          <w:bCs/>
        </w:rPr>
      </w:pPr>
      <w:bookmarkStart w:id="1842" w:name="_9kR3WTrAG9CEDMCwozONWHzrl1H9wxvo6BBJA2z"/>
      <w:r w:rsidRPr="009E3F09">
        <w:rPr>
          <w:b w:val="0"/>
          <w:bCs/>
        </w:rPr>
        <w:t>All certificates, licences, registrations or warranties in each case obtained by the Supplier in relation to the provision of the Services.</w:t>
      </w:r>
      <w:bookmarkEnd w:id="1842"/>
    </w:p>
    <w:p w14:paraId="09EE9002" w14:textId="77777777" w:rsidR="00F67E9E" w:rsidRPr="009E3F09" w:rsidRDefault="00F67E9E" w:rsidP="00F67E9E">
      <w:pPr>
        <w:pStyle w:val="AppendixText1"/>
        <w:keepNext w:val="0"/>
        <w:rPr>
          <w:b w:val="0"/>
          <w:bCs/>
        </w:rPr>
      </w:pPr>
      <w:r w:rsidRPr="009E3F09">
        <w:rPr>
          <w:b w:val="0"/>
          <w:bCs/>
        </w:rPr>
        <w:t>Documents prepared by the Supplier in support of claims for the Charges.</w:t>
      </w:r>
    </w:p>
    <w:p w14:paraId="20174CFC" w14:textId="77777777" w:rsidR="00F67E9E" w:rsidRPr="009E3F09" w:rsidRDefault="00F67E9E" w:rsidP="00F67E9E">
      <w:pPr>
        <w:pStyle w:val="AppendixText1"/>
        <w:keepNext w:val="0"/>
        <w:rPr>
          <w:b w:val="0"/>
          <w:bCs/>
        </w:rPr>
      </w:pPr>
      <w:r w:rsidRPr="009E3F09">
        <w:rPr>
          <w:b w:val="0"/>
          <w:bCs/>
        </w:rPr>
        <w:t>Documents submitted by the Supplier pursuant to the Change Control Procedure.</w:t>
      </w:r>
    </w:p>
    <w:p w14:paraId="38F11220" w14:textId="77777777" w:rsidR="00F67E9E" w:rsidRPr="009E3F09" w:rsidRDefault="00F67E9E" w:rsidP="00F67E9E">
      <w:pPr>
        <w:pStyle w:val="AppendixText1"/>
        <w:keepNext w:val="0"/>
        <w:rPr>
          <w:b w:val="0"/>
          <w:bCs/>
        </w:rPr>
      </w:pPr>
      <w:bookmarkStart w:id="1843" w:name="_9kR3WTrAG9CFCKCwozOGGTOu1CxzFLLO819HTF0"/>
      <w:r w:rsidRPr="009E3F09">
        <w:rPr>
          <w:b w:val="0"/>
          <w:bCs/>
        </w:rPr>
        <w:t>Documents submitted by the Supplier pursuant to invocation by it or the Authority of the Dispute Resolution Procedure.</w:t>
      </w:r>
      <w:bookmarkEnd w:id="1843"/>
    </w:p>
    <w:p w14:paraId="13512068" w14:textId="77777777" w:rsidR="00F67E9E" w:rsidRPr="009E3F09" w:rsidRDefault="00F67E9E" w:rsidP="00F67E9E">
      <w:pPr>
        <w:pStyle w:val="AppendixText1"/>
        <w:keepNext w:val="0"/>
        <w:rPr>
          <w:b w:val="0"/>
          <w:bCs/>
        </w:rPr>
      </w:pPr>
      <w:r w:rsidRPr="009E3F09">
        <w:rPr>
          <w:b w:val="0"/>
          <w:bCs/>
        </w:rPr>
        <w:t>Documents evidencing any change in ownership or any interest in any or all of the shares in the Supplier and/or the Guarantor, where such change may cause a change of Control; and including documents detailing the identity of the persons changing such ownership or interest.</w:t>
      </w:r>
    </w:p>
    <w:p w14:paraId="2A54F3E6" w14:textId="77777777" w:rsidR="00F67E9E" w:rsidRPr="009E3F09" w:rsidRDefault="00F67E9E" w:rsidP="00F67E9E">
      <w:pPr>
        <w:pStyle w:val="AppendixText1"/>
        <w:keepNext w:val="0"/>
        <w:rPr>
          <w:b w:val="0"/>
          <w:bCs/>
        </w:rPr>
      </w:pPr>
      <w:r w:rsidRPr="009E3F09">
        <w:rPr>
          <w:b w:val="0"/>
          <w:bCs/>
        </w:rPr>
        <w:t>Invoices and records related to VAT sought to be recovered by the Supplier.</w:t>
      </w:r>
    </w:p>
    <w:p w14:paraId="181D8849" w14:textId="77777777" w:rsidR="00F67E9E" w:rsidRPr="009E3F09" w:rsidRDefault="00F67E9E" w:rsidP="00F67E9E">
      <w:pPr>
        <w:pStyle w:val="AppendixText1"/>
        <w:keepNext w:val="0"/>
        <w:rPr>
          <w:b w:val="0"/>
          <w:bCs/>
        </w:rPr>
      </w:pPr>
      <w:r w:rsidRPr="009E3F09">
        <w:rPr>
          <w:b w:val="0"/>
          <w:bCs/>
        </w:rPr>
        <w:t>Financial records, including audited and un-audited accounts of the Guarantor and the Supplier.</w:t>
      </w:r>
    </w:p>
    <w:p w14:paraId="4002282B" w14:textId="77777777" w:rsidR="00F67E9E" w:rsidRPr="009E3F09" w:rsidRDefault="00F67E9E" w:rsidP="00F67E9E">
      <w:pPr>
        <w:pStyle w:val="AppendixText1"/>
        <w:keepNext w:val="0"/>
        <w:rPr>
          <w:b w:val="0"/>
          <w:bCs/>
        </w:rPr>
      </w:pPr>
      <w:r w:rsidRPr="009E3F09">
        <w:rPr>
          <w:b w:val="0"/>
          <w:bCs/>
        </w:rPr>
        <w:t>Records required to be retained by the Supplier by Law, including in relation to health and safety matters and health and safety files and all consents.</w:t>
      </w:r>
    </w:p>
    <w:p w14:paraId="2DCBD6AF" w14:textId="77777777" w:rsidR="00F67E9E" w:rsidRPr="009E3F09" w:rsidRDefault="00F67E9E" w:rsidP="00F67E9E">
      <w:pPr>
        <w:pStyle w:val="AppendixText1"/>
        <w:keepNext w:val="0"/>
        <w:rPr>
          <w:b w:val="0"/>
          <w:bCs/>
        </w:rPr>
      </w:pPr>
      <w:bookmarkStart w:id="1844" w:name="_9kR3WTrAG84CKOm0s3sGLVI0txx4F02IONA52BK"/>
      <w:r w:rsidRPr="009E3F09">
        <w:rPr>
          <w:b w:val="0"/>
          <w:bCs/>
        </w:rPr>
        <w:t>All documents relating to the insurances to be maintained under this Contract and any claims made in respect of them.</w:t>
      </w:r>
      <w:bookmarkEnd w:id="1844"/>
    </w:p>
    <w:p w14:paraId="7FF7C1F9" w14:textId="6D1DAC9C" w:rsidR="00F67E9E" w:rsidRPr="009E3F09" w:rsidRDefault="00F67E9E" w:rsidP="00F67E9E">
      <w:pPr>
        <w:pStyle w:val="AppendixText1"/>
        <w:keepNext w:val="0"/>
        <w:rPr>
          <w:b w:val="0"/>
          <w:bCs/>
        </w:rPr>
      </w:pPr>
      <w:bookmarkStart w:id="1845" w:name="_9kR3WTrAG87GLOCwozOGMWI0z3FJDxwF515tBF4"/>
      <w:r w:rsidRPr="0027261A">
        <w:rPr>
          <w:b w:val="0"/>
          <w:bCs/>
        </w:rPr>
        <w:t xml:space="preserve">All journals and audit trail data referred to in </w:t>
      </w:r>
      <w:r w:rsidRPr="0027261A">
        <w:rPr>
          <w:rFonts w:cs="Arial"/>
          <w:b w:val="0"/>
          <w:bCs/>
        </w:rPr>
        <w:fldChar w:fldCharType="begin"/>
      </w:r>
      <w:r w:rsidRPr="0027261A">
        <w:rPr>
          <w:rFonts w:cs="Arial"/>
          <w:b w:val="0"/>
          <w:bCs/>
        </w:rPr>
        <w:instrText xml:space="preserve"> REF Schedule5 \h  \* MERGEFORMAT </w:instrText>
      </w:r>
      <w:r w:rsidRPr="0027261A">
        <w:rPr>
          <w:rFonts w:cs="Arial"/>
          <w:b w:val="0"/>
          <w:bCs/>
        </w:rPr>
      </w:r>
      <w:r w:rsidRPr="0027261A">
        <w:rPr>
          <w:rFonts w:cs="Arial"/>
          <w:b w:val="0"/>
          <w:bCs/>
        </w:rPr>
        <w:fldChar w:fldCharType="separate"/>
      </w:r>
      <w:r w:rsidR="00302D39" w:rsidRPr="00302D39">
        <w:rPr>
          <w:b w:val="0"/>
          <w:bCs/>
        </w:rPr>
        <w:t>Schedule 5</w:t>
      </w:r>
      <w:r w:rsidRPr="0027261A">
        <w:rPr>
          <w:rFonts w:cs="Arial"/>
          <w:b w:val="0"/>
          <w:bCs/>
        </w:rPr>
        <w:fldChar w:fldCharType="end"/>
      </w:r>
      <w:r w:rsidRPr="0027261A">
        <w:rPr>
          <w:rFonts w:cs="Arial"/>
          <w:b w:val="0"/>
          <w:bCs/>
        </w:rPr>
        <w:t xml:space="preserve"> (</w:t>
      </w:r>
      <w:r w:rsidRPr="0027261A">
        <w:rPr>
          <w:rFonts w:cs="Arial"/>
          <w:b w:val="0"/>
          <w:bCs/>
          <w:i/>
          <w:iCs/>
        </w:rPr>
        <w:fldChar w:fldCharType="begin"/>
      </w:r>
      <w:r w:rsidRPr="0027261A">
        <w:rPr>
          <w:rFonts w:cs="Arial"/>
          <w:b w:val="0"/>
          <w:bCs/>
          <w:i/>
          <w:iCs/>
        </w:rPr>
        <w:instrText xml:space="preserve"> REF Schedule5Heading \h  \* MERGEFORMAT </w:instrText>
      </w:r>
      <w:r w:rsidRPr="0027261A">
        <w:rPr>
          <w:rFonts w:cs="Arial"/>
          <w:b w:val="0"/>
          <w:bCs/>
          <w:i/>
          <w:iCs/>
        </w:rPr>
      </w:r>
      <w:r w:rsidRPr="0027261A">
        <w:rPr>
          <w:rFonts w:cs="Arial"/>
          <w:b w:val="0"/>
          <w:bCs/>
          <w:i/>
          <w:iCs/>
        </w:rPr>
        <w:fldChar w:fldCharType="separate"/>
      </w:r>
      <w:r w:rsidR="00302D39" w:rsidRPr="00302D39">
        <w:rPr>
          <w:b w:val="0"/>
          <w:bCs/>
          <w:i/>
          <w:iCs/>
        </w:rPr>
        <w:t>Security Management</w:t>
      </w:r>
      <w:r w:rsidRPr="0027261A">
        <w:rPr>
          <w:rFonts w:cs="Arial"/>
          <w:b w:val="0"/>
          <w:bCs/>
          <w:i/>
          <w:iCs/>
        </w:rPr>
        <w:fldChar w:fldCharType="end"/>
      </w:r>
      <w:r w:rsidRPr="0027261A">
        <w:rPr>
          <w:rFonts w:cs="Arial"/>
          <w:b w:val="0"/>
          <w:bCs/>
        </w:rPr>
        <w:t>)</w:t>
      </w:r>
      <w:r w:rsidRPr="009E3F09">
        <w:rPr>
          <w:b w:val="0"/>
          <w:bCs/>
        </w:rPr>
        <w:t>.</w:t>
      </w:r>
      <w:bookmarkEnd w:id="1845"/>
    </w:p>
    <w:p w14:paraId="5ED97BD2" w14:textId="77777777" w:rsidR="00F67E9E" w:rsidRPr="009E3F09" w:rsidRDefault="00F67E9E" w:rsidP="00F67E9E">
      <w:pPr>
        <w:pStyle w:val="AppendixText1"/>
        <w:keepNext w:val="0"/>
        <w:rPr>
          <w:b w:val="0"/>
          <w:bCs/>
        </w:rPr>
      </w:pPr>
      <w:r w:rsidRPr="009E3F09">
        <w:rPr>
          <w:b w:val="0"/>
          <w:bCs/>
        </w:rPr>
        <w:t>All other records, notices or certificates required to be produced and/or maintained by the Supplier pursuant to this Contract.</w:t>
      </w:r>
    </w:p>
    <w:p w14:paraId="5870059F" w14:textId="77777777" w:rsidR="00F67E9E" w:rsidRPr="005E6F6F" w:rsidRDefault="00F67E9E" w:rsidP="00F67E9E">
      <w:pPr>
        <w:sectPr w:rsidR="00F67E9E" w:rsidRPr="005E6F6F" w:rsidSect="00240D26">
          <w:headerReference w:type="default" r:id="rId121"/>
          <w:footerReference w:type="default" r:id="rId122"/>
          <w:pgSz w:w="11909" w:h="16834"/>
          <w:pgMar w:top="1701" w:right="851" w:bottom="1134" w:left="851" w:header="567" w:footer="567" w:gutter="0"/>
          <w:cols w:space="720"/>
          <w:docGrid w:linePitch="326"/>
        </w:sectPr>
      </w:pPr>
    </w:p>
    <w:p w14:paraId="5C9498E6" w14:textId="77777777" w:rsidR="00F67E9E" w:rsidRDefault="00F67E9E" w:rsidP="00F67E9E">
      <w:pPr>
        <w:pStyle w:val="Heading2"/>
      </w:pPr>
      <w:bookmarkStart w:id="1846" w:name="_Ref_ContractCompanion_9kb9Ur5BA"/>
      <w:bookmarkStart w:id="1847" w:name="_Ref_ContractCompanion_9kb9Ur786"/>
      <w:bookmarkStart w:id="1848" w:name="_Ref_ContractCompanion_9kb9Ur795"/>
      <w:bookmarkStart w:id="1849" w:name="_Ref_ContractCompanion_9kb9Us6ED"/>
      <w:bookmarkStart w:id="1850" w:name="_Ref_ContractCompanion_9kb9Us6FE"/>
      <w:bookmarkStart w:id="1851" w:name="_Toc141711972"/>
      <w:r w:rsidRPr="00D00D9A">
        <w:t xml:space="preserve">Annex </w:t>
      </w:r>
      <w:bookmarkStart w:id="1852" w:name="ANNEX3_SCHEDULE24"/>
      <w:r w:rsidRPr="00D00D9A">
        <w:t>3</w:t>
      </w:r>
      <w:bookmarkEnd w:id="1852"/>
      <w:r w:rsidRPr="00D00D9A">
        <w:t>:</w:t>
      </w:r>
      <w:r w:rsidRPr="00F0375C">
        <w:t xml:space="preserve"> Records </w:t>
      </w:r>
      <w:r>
        <w:t>t</w:t>
      </w:r>
      <w:r w:rsidRPr="00F0375C">
        <w:t xml:space="preserve">o Upload </w:t>
      </w:r>
      <w:r>
        <w:t>t</w:t>
      </w:r>
      <w:r w:rsidRPr="00F0375C">
        <w:t>o Virtual Library</w:t>
      </w:r>
      <w:bookmarkEnd w:id="1846"/>
      <w:bookmarkEnd w:id="1847"/>
      <w:bookmarkEnd w:id="1848"/>
      <w:bookmarkEnd w:id="1849"/>
      <w:bookmarkEnd w:id="1850"/>
      <w:bookmarkEnd w:id="1851"/>
    </w:p>
    <w:p w14:paraId="4BBA9E39" w14:textId="331B5DBA" w:rsidR="00F67E9E" w:rsidRPr="00660448" w:rsidRDefault="00F67E9E" w:rsidP="00F67E9E">
      <w:pPr>
        <w:pStyle w:val="StdBodyText"/>
        <w:rPr>
          <w:rFonts w:cs="Arial"/>
          <w:bCs/>
          <w:i/>
        </w:rPr>
      </w:pPr>
      <w:r>
        <w:rPr>
          <w:rFonts w:cs="Arial"/>
          <w:b/>
          <w:i/>
          <w:highlight w:val="yellow"/>
        </w:rPr>
        <w:t>[Guidance note:</w:t>
      </w:r>
      <w:r w:rsidRPr="00660448">
        <w:rPr>
          <w:rFonts w:cs="Arial"/>
          <w:bCs/>
          <w:i/>
          <w:highlight w:val="yellow"/>
        </w:rPr>
        <w:t xml:space="preserve"> </w:t>
      </w:r>
      <w:r w:rsidRPr="00660448">
        <w:rPr>
          <w:rFonts w:cs="Arial"/>
          <w:b/>
          <w:i/>
          <w:highlight w:val="yellow"/>
        </w:rPr>
        <w:t>This Annex</w:t>
      </w:r>
      <w:r>
        <w:rPr>
          <w:rFonts w:cs="Arial"/>
          <w:b/>
          <w:i/>
          <w:highlight w:val="yellow"/>
        </w:rPr>
        <w:t> </w:t>
      </w:r>
      <w:r w:rsidRPr="003C3A96">
        <w:rPr>
          <w:rFonts w:cs="Arial"/>
          <w:b/>
          <w:i/>
          <w:highlight w:val="yellow"/>
        </w:rPr>
        <w:fldChar w:fldCharType="begin"/>
      </w:r>
      <w:r w:rsidRPr="003C3A96">
        <w:rPr>
          <w:rFonts w:cs="Arial"/>
          <w:b/>
          <w:i/>
          <w:highlight w:val="yellow"/>
        </w:rPr>
        <w:instrText xml:space="preserve"> REF ANNEX3_SCHEDULE24 \h </w:instrText>
      </w:r>
      <w:r w:rsidRPr="007C54BD">
        <w:rPr>
          <w:rFonts w:cs="Arial"/>
          <w:b/>
          <w:i/>
          <w:highlight w:val="yellow"/>
        </w:rPr>
        <w:instrText xml:space="preserve"> \* MERGEFORMAT </w:instrText>
      </w:r>
      <w:r w:rsidRPr="003C3A96">
        <w:rPr>
          <w:rFonts w:cs="Arial"/>
          <w:b/>
          <w:i/>
          <w:highlight w:val="yellow"/>
        </w:rPr>
      </w:r>
      <w:r w:rsidRPr="003C3A96">
        <w:rPr>
          <w:rFonts w:cs="Arial"/>
          <w:b/>
          <w:i/>
          <w:highlight w:val="yellow"/>
        </w:rPr>
        <w:fldChar w:fldCharType="separate"/>
      </w:r>
      <w:r w:rsidR="00302D39" w:rsidRPr="00302D39">
        <w:rPr>
          <w:b/>
          <w:i/>
        </w:rPr>
        <w:t>3</w:t>
      </w:r>
      <w:r w:rsidRPr="003C3A96">
        <w:rPr>
          <w:rFonts w:cs="Arial"/>
          <w:b/>
          <w:i/>
          <w:highlight w:val="yellow"/>
        </w:rPr>
        <w:fldChar w:fldCharType="end"/>
      </w:r>
      <w:r w:rsidRPr="00660448">
        <w:rPr>
          <w:rFonts w:cs="Arial"/>
          <w:b/>
          <w:i/>
          <w:highlight w:val="yellow"/>
        </w:rPr>
        <w:t xml:space="preserve"> is an example template and currently includes a list of some of the information already required under the Contract which is required to be maintained in the Virtual Library by the Supplier. You will need to update this table to reflect the requirements of your particular procurement and any changes which you have made to the drafting elsewhere in the Contract in respect of any of the information listed here and will need to consider Access Permissions and Access Events for each item of information listed, depending on the nature of the information.]</w:t>
      </w:r>
    </w:p>
    <w:tbl>
      <w:tblPr>
        <w:tblStyle w:val="MSATable-header"/>
        <w:tblW w:w="15139" w:type="dxa"/>
        <w:tblLook w:val="04A0" w:firstRow="1" w:lastRow="0" w:firstColumn="1" w:lastColumn="0" w:noHBand="0" w:noVBand="1"/>
      </w:tblPr>
      <w:tblGrid>
        <w:gridCol w:w="2268"/>
        <w:gridCol w:w="2966"/>
        <w:gridCol w:w="1996"/>
        <w:gridCol w:w="2666"/>
        <w:gridCol w:w="2862"/>
        <w:gridCol w:w="2381"/>
      </w:tblGrid>
      <w:tr w:rsidR="00F67E9E" w:rsidRPr="005E6F6F" w14:paraId="03296651" w14:textId="77777777" w:rsidTr="007F74AA">
        <w:trPr>
          <w:cnfStyle w:val="100000000000" w:firstRow="1" w:lastRow="0" w:firstColumn="0" w:lastColumn="0" w:oddVBand="0" w:evenVBand="0" w:oddHBand="0" w:evenHBand="0" w:firstRowFirstColumn="0" w:firstRowLastColumn="0" w:lastRowFirstColumn="0" w:lastRowLastColumn="0"/>
          <w:trHeight w:val="20"/>
          <w:tblHeader/>
        </w:trPr>
        <w:tc>
          <w:tcPr>
            <w:tcW w:w="2268" w:type="dxa"/>
            <w:vAlign w:val="bottom"/>
          </w:tcPr>
          <w:p w14:paraId="5154D569" w14:textId="77777777" w:rsidR="00F67E9E" w:rsidRPr="005E6F6F" w:rsidRDefault="00F67E9E" w:rsidP="007F74AA">
            <w:pPr>
              <w:pStyle w:val="StdBodyTextBold"/>
              <w:spacing w:before="0" w:after="0"/>
              <w:rPr>
                <w:rFonts w:cs="Arial"/>
                <w:b/>
                <w:bCs/>
              </w:rPr>
            </w:pPr>
            <w:r w:rsidRPr="005E6F6F">
              <w:rPr>
                <w:rFonts w:cs="Arial"/>
                <w:b/>
                <w:bCs/>
              </w:rPr>
              <w:t>Applicable Clause/ Paragraph</w:t>
            </w:r>
          </w:p>
        </w:tc>
        <w:tc>
          <w:tcPr>
            <w:tcW w:w="2966" w:type="dxa"/>
            <w:vAlign w:val="bottom"/>
          </w:tcPr>
          <w:p w14:paraId="3E8BFBC8" w14:textId="77777777" w:rsidR="00F67E9E" w:rsidRPr="005E6F6F" w:rsidRDefault="00F67E9E" w:rsidP="007F74AA">
            <w:pPr>
              <w:pStyle w:val="StdBodyTextBold"/>
              <w:spacing w:before="0" w:after="0"/>
              <w:rPr>
                <w:rFonts w:cs="Arial"/>
                <w:b/>
                <w:bCs/>
              </w:rPr>
            </w:pPr>
            <w:r w:rsidRPr="005E6F6F">
              <w:rPr>
                <w:rFonts w:cs="Arial"/>
                <w:b/>
                <w:bCs/>
              </w:rPr>
              <w:t>Required Data</w:t>
            </w:r>
          </w:p>
        </w:tc>
        <w:tc>
          <w:tcPr>
            <w:tcW w:w="1996" w:type="dxa"/>
            <w:vAlign w:val="bottom"/>
          </w:tcPr>
          <w:p w14:paraId="1B46EAF2" w14:textId="77777777" w:rsidR="00F67E9E" w:rsidRPr="005E6F6F" w:rsidRDefault="00F67E9E" w:rsidP="007F74AA">
            <w:pPr>
              <w:pStyle w:val="StdBodyTextBold"/>
              <w:spacing w:before="0" w:after="0"/>
              <w:rPr>
                <w:rFonts w:cs="Arial"/>
                <w:b/>
                <w:bCs/>
              </w:rPr>
            </w:pPr>
            <w:r w:rsidRPr="005E6F6F">
              <w:rPr>
                <w:rFonts w:cs="Arial"/>
                <w:b/>
                <w:bCs/>
              </w:rPr>
              <w:t>Format of Data</w:t>
            </w:r>
          </w:p>
        </w:tc>
        <w:tc>
          <w:tcPr>
            <w:tcW w:w="2666" w:type="dxa"/>
            <w:vAlign w:val="bottom"/>
          </w:tcPr>
          <w:p w14:paraId="0AAFFDBD" w14:textId="77777777" w:rsidR="00F67E9E" w:rsidRPr="005E6F6F" w:rsidRDefault="00F67E9E" w:rsidP="007F74AA">
            <w:pPr>
              <w:pStyle w:val="StdBodyTextBold"/>
              <w:spacing w:before="0" w:after="0"/>
              <w:rPr>
                <w:rFonts w:cs="Arial"/>
                <w:b/>
                <w:bCs/>
              </w:rPr>
            </w:pPr>
            <w:r w:rsidRPr="005E6F6F">
              <w:rPr>
                <w:rFonts w:cs="Arial"/>
                <w:b/>
                <w:bCs/>
              </w:rPr>
              <w:t>Initial Upload Date</w:t>
            </w:r>
          </w:p>
        </w:tc>
        <w:tc>
          <w:tcPr>
            <w:tcW w:w="2862" w:type="dxa"/>
            <w:vAlign w:val="bottom"/>
          </w:tcPr>
          <w:p w14:paraId="1CA5FB80" w14:textId="77777777" w:rsidR="00F67E9E" w:rsidRPr="005E6F6F" w:rsidRDefault="00F67E9E" w:rsidP="007F74AA">
            <w:pPr>
              <w:pStyle w:val="StdBodyTextBold"/>
              <w:spacing w:before="0" w:after="0"/>
              <w:rPr>
                <w:rFonts w:cs="Arial"/>
                <w:b/>
                <w:bCs/>
              </w:rPr>
            </w:pPr>
            <w:r w:rsidRPr="005E6F6F">
              <w:rPr>
                <w:rFonts w:cs="Arial"/>
                <w:b/>
                <w:bCs/>
              </w:rPr>
              <w:t>Update Requirement</w:t>
            </w:r>
          </w:p>
        </w:tc>
        <w:tc>
          <w:tcPr>
            <w:tcW w:w="2381" w:type="dxa"/>
            <w:vAlign w:val="bottom"/>
          </w:tcPr>
          <w:p w14:paraId="26AE2E0D" w14:textId="77777777" w:rsidR="00F67E9E" w:rsidRPr="005E6F6F" w:rsidRDefault="00F67E9E" w:rsidP="007F74AA">
            <w:pPr>
              <w:pStyle w:val="StdBodyTextBold"/>
              <w:spacing w:before="0" w:after="0"/>
              <w:rPr>
                <w:rFonts w:cs="Arial"/>
                <w:b/>
                <w:bCs/>
              </w:rPr>
            </w:pPr>
            <w:r w:rsidRPr="005E6F6F">
              <w:rPr>
                <w:rFonts w:cs="Arial"/>
                <w:b/>
                <w:bCs/>
              </w:rPr>
              <w:t>Access Permission and Access Event (where applicable)</w:t>
            </w:r>
          </w:p>
        </w:tc>
      </w:tr>
      <w:tr w:rsidR="00F67E9E" w:rsidRPr="005356F1" w14:paraId="2C6EF17E" w14:textId="77777777" w:rsidTr="007F74AA">
        <w:trPr>
          <w:trHeight w:val="20"/>
        </w:trPr>
        <w:tc>
          <w:tcPr>
            <w:tcW w:w="2268" w:type="dxa"/>
          </w:tcPr>
          <w:p w14:paraId="6646F0BD" w14:textId="77777777" w:rsidR="00F67E9E" w:rsidRPr="005356F1" w:rsidRDefault="00F67E9E" w:rsidP="007F74AA">
            <w:pPr>
              <w:pStyle w:val="StdBodyText"/>
              <w:spacing w:before="0" w:after="0"/>
              <w:rPr>
                <w:rFonts w:cs="Arial"/>
              </w:rPr>
            </w:pPr>
            <w:r w:rsidRPr="005356F1">
              <w:rPr>
                <w:rFonts w:cs="Arial"/>
              </w:rPr>
              <w:t xml:space="preserve">Cl.5.5 </w:t>
            </w:r>
            <w:bookmarkStart w:id="1853" w:name="_9kR3WTr2BCAJOu"/>
            <w:bookmarkStart w:id="1854" w:name="_9kR3WTr2BCBB8n"/>
            <w:r w:rsidRPr="005356F1">
              <w:rPr>
                <w:rFonts w:cs="Arial"/>
              </w:rPr>
              <w:t>(e)</w:t>
            </w:r>
            <w:bookmarkEnd w:id="1853"/>
            <w:bookmarkEnd w:id="1854"/>
            <w:r w:rsidRPr="005356F1">
              <w:rPr>
                <w:rFonts w:cs="Arial"/>
              </w:rPr>
              <w:t xml:space="preserve">, </w:t>
            </w:r>
            <w:bookmarkStart w:id="1855" w:name="_9kR3WTr8E8467m"/>
            <w:r w:rsidRPr="005356F1">
              <w:rPr>
                <w:rFonts w:cs="Arial"/>
              </w:rPr>
              <w:t>(f)</w:t>
            </w:r>
            <w:bookmarkEnd w:id="1855"/>
            <w:r w:rsidRPr="005356F1">
              <w:rPr>
                <w:rFonts w:cs="Arial"/>
              </w:rPr>
              <w:t xml:space="preserve">, </w:t>
            </w:r>
            <w:r w:rsidRPr="00D00D9A">
              <w:rPr>
                <w:rFonts w:cs="Arial"/>
              </w:rPr>
              <w:t>5.8(b)</w:t>
            </w:r>
          </w:p>
        </w:tc>
        <w:tc>
          <w:tcPr>
            <w:tcW w:w="2966" w:type="dxa"/>
          </w:tcPr>
          <w:p w14:paraId="4A8E6F29" w14:textId="77777777" w:rsidR="00F67E9E" w:rsidRPr="005356F1" w:rsidRDefault="00F67E9E" w:rsidP="007F74AA">
            <w:pPr>
              <w:pStyle w:val="StdBodyText"/>
              <w:spacing w:before="0" w:after="0"/>
              <w:rPr>
                <w:rFonts w:cs="Arial"/>
              </w:rPr>
            </w:pPr>
            <w:r w:rsidRPr="005356F1">
              <w:rPr>
                <w:rFonts w:cs="Arial"/>
              </w:rPr>
              <w:t>Documentation</w:t>
            </w:r>
          </w:p>
        </w:tc>
        <w:tc>
          <w:tcPr>
            <w:tcW w:w="1996" w:type="dxa"/>
          </w:tcPr>
          <w:p w14:paraId="554B42F9" w14:textId="77777777" w:rsidR="00F67E9E" w:rsidRPr="005356F1" w:rsidRDefault="00F67E9E" w:rsidP="007F74AA">
            <w:pPr>
              <w:pStyle w:val="StdBodyText"/>
              <w:spacing w:before="0" w:after="0"/>
              <w:rPr>
                <w:rFonts w:cs="Arial"/>
              </w:rPr>
            </w:pPr>
            <w:r w:rsidRPr="005356F1">
              <w:rPr>
                <w:rFonts w:cs="Arial"/>
              </w:rPr>
              <w:t>As appropriate and agreed by the Authority</w:t>
            </w:r>
          </w:p>
        </w:tc>
        <w:tc>
          <w:tcPr>
            <w:tcW w:w="2666" w:type="dxa"/>
          </w:tcPr>
          <w:p w14:paraId="43552472" w14:textId="77777777" w:rsidR="00F67E9E" w:rsidRPr="005356F1" w:rsidRDefault="00F67E9E" w:rsidP="007F74AA">
            <w:pPr>
              <w:pStyle w:val="StdBodyText"/>
              <w:spacing w:before="0" w:after="0"/>
              <w:rPr>
                <w:rFonts w:cs="Arial"/>
              </w:rPr>
            </w:pPr>
            <w:r w:rsidRPr="005356F1">
              <w:rPr>
                <w:rFonts w:cs="Arial"/>
              </w:rPr>
              <w:t>Within seven (7) days of the issue of a Milestone Achievement Certificate in respect of the relevant Deliverable.</w:t>
            </w:r>
          </w:p>
        </w:tc>
        <w:tc>
          <w:tcPr>
            <w:tcW w:w="2862" w:type="dxa"/>
          </w:tcPr>
          <w:p w14:paraId="34640906" w14:textId="77777777" w:rsidR="00F67E9E" w:rsidRPr="005356F1" w:rsidRDefault="00F67E9E" w:rsidP="007F74AA">
            <w:pPr>
              <w:pStyle w:val="StdBodyText"/>
              <w:spacing w:before="0" w:after="0"/>
              <w:rPr>
                <w:rFonts w:cs="Arial"/>
              </w:rPr>
            </w:pPr>
            <w:r w:rsidRPr="005356F1">
              <w:rPr>
                <w:rFonts w:cs="Arial"/>
              </w:rPr>
              <w:t>-</w:t>
            </w:r>
          </w:p>
        </w:tc>
        <w:tc>
          <w:tcPr>
            <w:tcW w:w="2381" w:type="dxa"/>
          </w:tcPr>
          <w:p w14:paraId="7CBAFC53" w14:textId="77777777" w:rsidR="00F67E9E" w:rsidRPr="005356F1" w:rsidRDefault="00F67E9E" w:rsidP="007F74AA">
            <w:pPr>
              <w:pStyle w:val="StdBodyText"/>
              <w:spacing w:before="0" w:after="0"/>
              <w:rPr>
                <w:rFonts w:cs="Arial"/>
              </w:rPr>
            </w:pPr>
            <w:r w:rsidRPr="005356F1">
              <w:rPr>
                <w:rFonts w:cs="Arial"/>
              </w:rPr>
              <w:t>Authority</w:t>
            </w:r>
          </w:p>
        </w:tc>
      </w:tr>
      <w:tr w:rsidR="00F67E9E" w:rsidRPr="005356F1" w14:paraId="71B38454" w14:textId="77777777" w:rsidTr="007F74AA">
        <w:trPr>
          <w:trHeight w:val="20"/>
        </w:trPr>
        <w:tc>
          <w:tcPr>
            <w:tcW w:w="2268" w:type="dxa"/>
          </w:tcPr>
          <w:p w14:paraId="373333A2" w14:textId="77777777" w:rsidR="00F67E9E" w:rsidRPr="005356F1" w:rsidRDefault="00F67E9E" w:rsidP="007F74AA">
            <w:pPr>
              <w:pStyle w:val="StdBodyText"/>
              <w:spacing w:before="0" w:after="0"/>
              <w:rPr>
                <w:rFonts w:cs="Arial"/>
              </w:rPr>
            </w:pPr>
            <w:r w:rsidRPr="002C2437">
              <w:t>Cl 6.4</w:t>
            </w:r>
          </w:p>
        </w:tc>
        <w:tc>
          <w:tcPr>
            <w:tcW w:w="2966" w:type="dxa"/>
          </w:tcPr>
          <w:p w14:paraId="4250A4EB" w14:textId="77777777" w:rsidR="00F67E9E" w:rsidRPr="005356F1" w:rsidRDefault="00F67E9E" w:rsidP="007F74AA">
            <w:pPr>
              <w:pStyle w:val="StdBodyText"/>
              <w:spacing w:before="0" w:after="0"/>
              <w:rPr>
                <w:rFonts w:cs="Arial"/>
              </w:rPr>
            </w:pPr>
            <w:r w:rsidRPr="002C2437">
              <w:t>Detailed Implementation Plan</w:t>
            </w:r>
          </w:p>
        </w:tc>
        <w:tc>
          <w:tcPr>
            <w:tcW w:w="1996" w:type="dxa"/>
          </w:tcPr>
          <w:p w14:paraId="2AD3A7C2" w14:textId="0C10FF78" w:rsidR="00F67E9E" w:rsidRPr="0061274F" w:rsidRDefault="00F67E9E" w:rsidP="007F74AA">
            <w:pPr>
              <w:pStyle w:val="StdBodyText"/>
              <w:spacing w:before="0" w:after="0"/>
              <w:rPr>
                <w:rFonts w:cs="Arial"/>
              </w:rPr>
            </w:pPr>
            <w:r w:rsidRPr="002C2437">
              <w:t xml:space="preserve">Sch </w:t>
            </w:r>
            <w:r w:rsidRPr="00266501">
              <w:fldChar w:fldCharType="begin"/>
            </w:r>
            <w:r w:rsidRPr="00266501">
              <w:instrText xml:space="preserve"> REF Schedule13 \h \# "#" \* MERGEFORMAT </w:instrText>
            </w:r>
            <w:r w:rsidRPr="00266501">
              <w:fldChar w:fldCharType="separate"/>
            </w:r>
            <w:r w:rsidR="00302D39" w:rsidRPr="00302D39">
              <w:rPr>
                <w:lang w:val="en-US"/>
              </w:rPr>
              <w:t>13</w:t>
            </w:r>
            <w:r w:rsidRPr="00266501">
              <w:fldChar w:fldCharType="end"/>
            </w:r>
          </w:p>
        </w:tc>
        <w:tc>
          <w:tcPr>
            <w:tcW w:w="2666" w:type="dxa"/>
          </w:tcPr>
          <w:p w14:paraId="14D795E5" w14:textId="77777777" w:rsidR="00F67E9E" w:rsidRPr="005356F1" w:rsidRDefault="00F67E9E" w:rsidP="007F74AA">
            <w:pPr>
              <w:pStyle w:val="StdBodyText"/>
              <w:spacing w:before="0" w:after="0"/>
              <w:rPr>
                <w:rFonts w:cs="Arial"/>
              </w:rPr>
            </w:pPr>
            <w:r w:rsidRPr="002C2437">
              <w:t>Within 20 Working Days of Effective Date</w:t>
            </w:r>
          </w:p>
        </w:tc>
        <w:tc>
          <w:tcPr>
            <w:tcW w:w="2862" w:type="dxa"/>
          </w:tcPr>
          <w:p w14:paraId="2D9E328E" w14:textId="77777777" w:rsidR="00F67E9E" w:rsidRPr="005356F1" w:rsidRDefault="00F67E9E" w:rsidP="007F74AA">
            <w:pPr>
              <w:pStyle w:val="StdBodyText"/>
              <w:spacing w:before="0" w:after="0"/>
              <w:rPr>
                <w:rFonts w:cs="Arial"/>
              </w:rPr>
            </w:pPr>
            <w:r w:rsidRPr="002C2437">
              <w:t>Every 3 months from Effective Date</w:t>
            </w:r>
          </w:p>
        </w:tc>
        <w:tc>
          <w:tcPr>
            <w:tcW w:w="2381" w:type="dxa"/>
          </w:tcPr>
          <w:p w14:paraId="29064C8D" w14:textId="77777777" w:rsidR="00F67E9E" w:rsidRPr="005356F1" w:rsidRDefault="00F67E9E" w:rsidP="007F74AA">
            <w:pPr>
              <w:pStyle w:val="StdBodyText"/>
              <w:spacing w:before="0" w:after="0"/>
              <w:rPr>
                <w:rFonts w:cs="Arial"/>
              </w:rPr>
            </w:pPr>
            <w:r w:rsidRPr="002C2437">
              <w:t>Authority</w:t>
            </w:r>
          </w:p>
        </w:tc>
      </w:tr>
      <w:tr w:rsidR="00F67E9E" w:rsidRPr="005356F1" w14:paraId="63FAA2F1" w14:textId="77777777" w:rsidTr="007F74AA">
        <w:trPr>
          <w:trHeight w:val="20"/>
        </w:trPr>
        <w:tc>
          <w:tcPr>
            <w:tcW w:w="2268" w:type="dxa"/>
          </w:tcPr>
          <w:p w14:paraId="0EE872D2" w14:textId="77777777" w:rsidR="00F67E9E" w:rsidRPr="005356F1" w:rsidRDefault="00F67E9E" w:rsidP="007F74AA">
            <w:pPr>
              <w:pStyle w:val="StdBodyText"/>
              <w:spacing w:before="0" w:after="0"/>
              <w:rPr>
                <w:rFonts w:cs="Arial"/>
              </w:rPr>
            </w:pPr>
            <w:r w:rsidRPr="002C2437">
              <w:t>Cl 33.8(h)</w:t>
            </w:r>
          </w:p>
        </w:tc>
        <w:tc>
          <w:tcPr>
            <w:tcW w:w="2966" w:type="dxa"/>
          </w:tcPr>
          <w:p w14:paraId="06898FC6" w14:textId="77777777" w:rsidR="00F67E9E" w:rsidRPr="005356F1" w:rsidRDefault="00F67E9E" w:rsidP="007F74AA">
            <w:pPr>
              <w:pStyle w:val="StdBodyText"/>
              <w:spacing w:before="0" w:after="0"/>
              <w:rPr>
                <w:rFonts w:cs="Arial"/>
              </w:rPr>
            </w:pPr>
            <w:r w:rsidRPr="002C2437">
              <w:t>Annual slavery and human trafficking report</w:t>
            </w:r>
          </w:p>
        </w:tc>
        <w:tc>
          <w:tcPr>
            <w:tcW w:w="1996" w:type="dxa"/>
          </w:tcPr>
          <w:p w14:paraId="665D5C38" w14:textId="77777777" w:rsidR="00F67E9E" w:rsidRPr="0061274F" w:rsidRDefault="00F67E9E" w:rsidP="007F74AA">
            <w:pPr>
              <w:pStyle w:val="StdBodyText"/>
              <w:spacing w:before="0" w:after="0"/>
              <w:rPr>
                <w:rFonts w:cs="Arial"/>
              </w:rPr>
            </w:pPr>
            <w:r w:rsidRPr="002C2437">
              <w:t>As appropriate and agreed by the Authority</w:t>
            </w:r>
          </w:p>
        </w:tc>
        <w:tc>
          <w:tcPr>
            <w:tcW w:w="2666" w:type="dxa"/>
          </w:tcPr>
          <w:p w14:paraId="26A7C083" w14:textId="77777777" w:rsidR="00F67E9E" w:rsidRPr="005356F1" w:rsidRDefault="00F67E9E" w:rsidP="007F74AA">
            <w:pPr>
              <w:pStyle w:val="StdBodyText"/>
              <w:spacing w:before="0" w:after="0"/>
              <w:rPr>
                <w:rFonts w:cs="Arial"/>
              </w:rPr>
            </w:pPr>
            <w:r w:rsidRPr="002C2437">
              <w:t>Within twelve (12) months</w:t>
            </w:r>
          </w:p>
        </w:tc>
        <w:tc>
          <w:tcPr>
            <w:tcW w:w="2862" w:type="dxa"/>
          </w:tcPr>
          <w:p w14:paraId="0C913836" w14:textId="77777777" w:rsidR="00F67E9E" w:rsidRPr="005356F1" w:rsidRDefault="00F67E9E" w:rsidP="007F74AA">
            <w:pPr>
              <w:pStyle w:val="StdBodyText"/>
              <w:spacing w:before="0" w:after="0"/>
              <w:rPr>
                <w:rFonts w:cs="Arial"/>
              </w:rPr>
            </w:pPr>
            <w:r w:rsidRPr="002C2437">
              <w:t>Every twelve (12) months</w:t>
            </w:r>
          </w:p>
        </w:tc>
        <w:tc>
          <w:tcPr>
            <w:tcW w:w="2381" w:type="dxa"/>
          </w:tcPr>
          <w:p w14:paraId="3A262232" w14:textId="77777777" w:rsidR="00F67E9E" w:rsidRPr="005356F1" w:rsidRDefault="00F67E9E" w:rsidP="007F74AA">
            <w:pPr>
              <w:pStyle w:val="StdBodyText"/>
              <w:spacing w:before="0" w:after="0"/>
              <w:rPr>
                <w:rFonts w:cs="Arial"/>
              </w:rPr>
            </w:pPr>
            <w:r w:rsidRPr="002C2437">
              <w:t>Authority</w:t>
            </w:r>
          </w:p>
        </w:tc>
      </w:tr>
      <w:tr w:rsidR="00F67E9E" w:rsidRPr="005356F1" w14:paraId="24A050F2" w14:textId="77777777" w:rsidTr="007F74AA">
        <w:trPr>
          <w:trHeight w:val="20"/>
        </w:trPr>
        <w:tc>
          <w:tcPr>
            <w:tcW w:w="2268" w:type="dxa"/>
          </w:tcPr>
          <w:p w14:paraId="2149DC08" w14:textId="77777777" w:rsidR="00F67E9E" w:rsidRPr="005356F1" w:rsidRDefault="00F67E9E" w:rsidP="007F74AA">
            <w:pPr>
              <w:pStyle w:val="StdBodyText"/>
              <w:spacing w:before="0" w:after="0"/>
              <w:rPr>
                <w:rFonts w:cs="Arial"/>
              </w:rPr>
            </w:pPr>
            <w:r w:rsidRPr="005356F1">
              <w:rPr>
                <w:rFonts w:cs="Arial"/>
              </w:rPr>
              <w:t>Cl 14.3</w:t>
            </w:r>
          </w:p>
        </w:tc>
        <w:tc>
          <w:tcPr>
            <w:tcW w:w="2966" w:type="dxa"/>
          </w:tcPr>
          <w:p w14:paraId="298AE8A3" w14:textId="77777777" w:rsidR="00F67E9E" w:rsidRPr="005356F1" w:rsidRDefault="00F67E9E" w:rsidP="007F74AA">
            <w:pPr>
              <w:pStyle w:val="StdBodyText"/>
              <w:spacing w:before="0" w:after="0"/>
              <w:rPr>
                <w:rFonts w:cs="Arial"/>
              </w:rPr>
            </w:pPr>
            <w:r w:rsidRPr="005356F1">
              <w:rPr>
                <w:rFonts w:cs="Arial"/>
              </w:rPr>
              <w:t>Key Personnel</w:t>
            </w:r>
          </w:p>
        </w:tc>
        <w:tc>
          <w:tcPr>
            <w:tcW w:w="1996" w:type="dxa"/>
          </w:tcPr>
          <w:p w14:paraId="510B84DD" w14:textId="5ABD3B63" w:rsidR="00F67E9E" w:rsidRPr="0061274F" w:rsidRDefault="00F67E9E" w:rsidP="007F74AA">
            <w:pPr>
              <w:pStyle w:val="StdBodyText"/>
              <w:spacing w:before="0" w:after="0"/>
              <w:rPr>
                <w:rFonts w:cs="Arial"/>
              </w:rPr>
            </w:pPr>
            <w:bookmarkStart w:id="1856" w:name="_9kR3WTr2BC99EhJfDM"/>
            <w:r w:rsidRPr="0061274F">
              <w:rPr>
                <w:rFonts w:cs="Arial"/>
              </w:rPr>
              <w:t xml:space="preserve">Sch </w:t>
            </w:r>
            <w:bookmarkEnd w:id="1856"/>
            <w:r w:rsidRPr="0061274F">
              <w:rPr>
                <w:rFonts w:cs="Arial"/>
              </w:rPr>
              <w:fldChar w:fldCharType="begin"/>
            </w:r>
            <w:r w:rsidRPr="0061274F">
              <w:rPr>
                <w:rFonts w:cs="Arial"/>
              </w:rPr>
              <w:instrText xml:space="preserve"> REF _Ref92200080 \h  \# "#" </w:instrText>
            </w:r>
            <w:r>
              <w:rPr>
                <w:rFonts w:cs="Arial"/>
              </w:rPr>
              <w:instrText xml:space="preserve"> \* MERGEFORMAT </w:instrText>
            </w:r>
            <w:r w:rsidRPr="0061274F">
              <w:rPr>
                <w:rFonts w:cs="Arial"/>
              </w:rPr>
            </w:r>
            <w:r w:rsidRPr="0061274F">
              <w:rPr>
                <w:rFonts w:cs="Arial"/>
              </w:rPr>
              <w:fldChar w:fldCharType="separate"/>
            </w:r>
            <w:r w:rsidR="00302D39">
              <w:rPr>
                <w:rFonts w:cs="Arial"/>
              </w:rPr>
              <w:t>29</w:t>
            </w:r>
            <w:r w:rsidRPr="0061274F">
              <w:rPr>
                <w:rFonts w:cs="Arial"/>
              </w:rPr>
              <w:fldChar w:fldCharType="end"/>
            </w:r>
          </w:p>
        </w:tc>
        <w:tc>
          <w:tcPr>
            <w:tcW w:w="2666" w:type="dxa"/>
          </w:tcPr>
          <w:p w14:paraId="41F4EF59" w14:textId="77777777" w:rsidR="00F67E9E" w:rsidRPr="005356F1" w:rsidRDefault="00F67E9E" w:rsidP="007F74AA">
            <w:pPr>
              <w:pStyle w:val="StdBodyText"/>
              <w:spacing w:before="0" w:after="0"/>
              <w:rPr>
                <w:rFonts w:cs="Arial"/>
              </w:rPr>
            </w:pPr>
            <w:r w:rsidRPr="005356F1">
              <w:rPr>
                <w:rFonts w:cs="Arial"/>
              </w:rPr>
              <w:t>Effective Date</w:t>
            </w:r>
          </w:p>
        </w:tc>
        <w:tc>
          <w:tcPr>
            <w:tcW w:w="2862" w:type="dxa"/>
          </w:tcPr>
          <w:p w14:paraId="6C8EF3BC" w14:textId="77777777" w:rsidR="00F67E9E" w:rsidRPr="005356F1" w:rsidRDefault="00F67E9E" w:rsidP="007F74AA">
            <w:pPr>
              <w:pStyle w:val="StdBodyText"/>
              <w:spacing w:before="0" w:after="0"/>
              <w:rPr>
                <w:rFonts w:cs="Arial"/>
              </w:rPr>
            </w:pPr>
            <w:r w:rsidRPr="005356F1">
              <w:rPr>
                <w:rFonts w:cs="Arial"/>
              </w:rPr>
              <w:t>On replacement of Key Personnel</w:t>
            </w:r>
          </w:p>
        </w:tc>
        <w:tc>
          <w:tcPr>
            <w:tcW w:w="2381" w:type="dxa"/>
          </w:tcPr>
          <w:p w14:paraId="43295B4C" w14:textId="77777777" w:rsidR="00F67E9E" w:rsidRPr="005356F1" w:rsidRDefault="00F67E9E" w:rsidP="007F74AA">
            <w:pPr>
              <w:pStyle w:val="StdBodyText"/>
              <w:spacing w:before="0" w:after="0"/>
              <w:rPr>
                <w:rFonts w:cs="Arial"/>
              </w:rPr>
            </w:pPr>
            <w:r w:rsidRPr="005356F1">
              <w:rPr>
                <w:rFonts w:cs="Arial"/>
              </w:rPr>
              <w:t>Authority</w:t>
            </w:r>
          </w:p>
        </w:tc>
      </w:tr>
      <w:tr w:rsidR="00F67E9E" w:rsidRPr="005356F1" w14:paraId="7D20E11D" w14:textId="77777777" w:rsidTr="007F74AA">
        <w:trPr>
          <w:trHeight w:val="20"/>
        </w:trPr>
        <w:tc>
          <w:tcPr>
            <w:tcW w:w="2268" w:type="dxa"/>
          </w:tcPr>
          <w:p w14:paraId="354E21B1" w14:textId="77777777" w:rsidR="00F67E9E" w:rsidRPr="005356F1" w:rsidRDefault="00F67E9E" w:rsidP="007F74AA">
            <w:pPr>
              <w:pStyle w:val="StdBodyText"/>
              <w:spacing w:before="0" w:after="0"/>
              <w:rPr>
                <w:rFonts w:cs="Arial"/>
              </w:rPr>
            </w:pPr>
            <w:r w:rsidRPr="00701EA3">
              <w:t>Cl 15.7</w:t>
            </w:r>
          </w:p>
        </w:tc>
        <w:tc>
          <w:tcPr>
            <w:tcW w:w="2966" w:type="dxa"/>
          </w:tcPr>
          <w:p w14:paraId="116F4B9C" w14:textId="77777777" w:rsidR="00F67E9E" w:rsidRPr="005356F1" w:rsidRDefault="00F67E9E" w:rsidP="007F74AA">
            <w:pPr>
              <w:pStyle w:val="StdBodyText"/>
              <w:spacing w:before="0" w:after="0"/>
              <w:rPr>
                <w:rFonts w:cs="Arial"/>
              </w:rPr>
            </w:pPr>
            <w:r w:rsidRPr="00701EA3">
              <w:t>Notified Key Subcontractors</w:t>
            </w:r>
          </w:p>
        </w:tc>
        <w:tc>
          <w:tcPr>
            <w:tcW w:w="1996" w:type="dxa"/>
          </w:tcPr>
          <w:p w14:paraId="75B45E02" w14:textId="090C7363" w:rsidR="00F67E9E" w:rsidRPr="0061274F" w:rsidRDefault="00F67E9E" w:rsidP="007F74AA">
            <w:pPr>
              <w:pStyle w:val="StdBodyText"/>
              <w:spacing w:before="0" w:after="0"/>
              <w:rPr>
                <w:rFonts w:cs="Arial"/>
              </w:rPr>
            </w:pPr>
            <w:r w:rsidRPr="00701EA3">
              <w:t xml:space="preserve">Sch </w:t>
            </w:r>
            <w:r w:rsidRPr="00266501">
              <w:fldChar w:fldCharType="begin"/>
            </w:r>
            <w:r w:rsidRPr="00266501">
              <w:instrText xml:space="preserve"> REF Schedule10 \h \# "#"  \* MERGEFORMAT </w:instrText>
            </w:r>
            <w:r w:rsidRPr="00266501">
              <w:fldChar w:fldCharType="separate"/>
            </w:r>
            <w:r w:rsidR="00302D39" w:rsidRPr="00302D39">
              <w:rPr>
                <w:lang w:val="en-US"/>
              </w:rPr>
              <w:t>10</w:t>
            </w:r>
            <w:r w:rsidRPr="00266501">
              <w:fldChar w:fldCharType="end"/>
            </w:r>
          </w:p>
        </w:tc>
        <w:tc>
          <w:tcPr>
            <w:tcW w:w="2666" w:type="dxa"/>
          </w:tcPr>
          <w:p w14:paraId="238777BA" w14:textId="77777777" w:rsidR="00F67E9E" w:rsidRPr="005356F1" w:rsidRDefault="00F67E9E" w:rsidP="007F74AA">
            <w:pPr>
              <w:pStyle w:val="StdBodyText"/>
              <w:spacing w:before="0" w:after="0"/>
              <w:rPr>
                <w:rFonts w:cs="Arial"/>
              </w:rPr>
            </w:pPr>
            <w:r w:rsidRPr="00701EA3">
              <w:t xml:space="preserve">Effective Date </w:t>
            </w:r>
          </w:p>
        </w:tc>
        <w:tc>
          <w:tcPr>
            <w:tcW w:w="2862" w:type="dxa"/>
          </w:tcPr>
          <w:p w14:paraId="1F08DDEF" w14:textId="77777777" w:rsidR="00F67E9E" w:rsidRPr="005356F1" w:rsidRDefault="00F67E9E" w:rsidP="007F74AA">
            <w:pPr>
              <w:pStyle w:val="StdBodyText"/>
              <w:spacing w:before="0" w:after="0"/>
              <w:rPr>
                <w:rFonts w:cs="Arial"/>
              </w:rPr>
            </w:pPr>
            <w:r w:rsidRPr="00701EA3">
              <w:t>On replacement of key subcontractor</w:t>
            </w:r>
          </w:p>
        </w:tc>
        <w:tc>
          <w:tcPr>
            <w:tcW w:w="2381" w:type="dxa"/>
          </w:tcPr>
          <w:p w14:paraId="3236D89E" w14:textId="77777777" w:rsidR="00F67E9E" w:rsidRPr="005356F1" w:rsidRDefault="00F67E9E" w:rsidP="007F74AA">
            <w:pPr>
              <w:pStyle w:val="StdBodyText"/>
              <w:spacing w:before="0" w:after="0"/>
              <w:rPr>
                <w:rFonts w:cs="Arial"/>
              </w:rPr>
            </w:pPr>
            <w:r w:rsidRPr="00701EA3">
              <w:t>Authority</w:t>
            </w:r>
          </w:p>
        </w:tc>
      </w:tr>
      <w:tr w:rsidR="00F67E9E" w:rsidRPr="005356F1" w14:paraId="57EC3CB1" w14:textId="77777777" w:rsidTr="007F74AA">
        <w:trPr>
          <w:trHeight w:val="20"/>
        </w:trPr>
        <w:tc>
          <w:tcPr>
            <w:tcW w:w="2268" w:type="dxa"/>
          </w:tcPr>
          <w:p w14:paraId="71690CD1" w14:textId="77777777" w:rsidR="00F67E9E" w:rsidRPr="005356F1" w:rsidRDefault="00F67E9E" w:rsidP="007F74AA">
            <w:pPr>
              <w:pStyle w:val="StdBodyText"/>
              <w:spacing w:before="0" w:after="0"/>
              <w:rPr>
                <w:rFonts w:cs="Arial"/>
              </w:rPr>
            </w:pPr>
            <w:r w:rsidRPr="00701EA3">
              <w:t>Cl 15.6 and 15.7</w:t>
            </w:r>
          </w:p>
        </w:tc>
        <w:tc>
          <w:tcPr>
            <w:tcW w:w="2966" w:type="dxa"/>
          </w:tcPr>
          <w:p w14:paraId="661DB4B8" w14:textId="77777777" w:rsidR="00F67E9E" w:rsidRPr="005356F1" w:rsidRDefault="00F67E9E" w:rsidP="007F74AA">
            <w:pPr>
              <w:pStyle w:val="StdBodyText"/>
              <w:spacing w:before="0" w:after="0"/>
              <w:rPr>
                <w:rFonts w:cs="Arial"/>
              </w:rPr>
            </w:pPr>
            <w:r w:rsidRPr="00701EA3">
              <w:t xml:space="preserve">Notified Key Sub-Contractors </w:t>
            </w:r>
          </w:p>
        </w:tc>
        <w:tc>
          <w:tcPr>
            <w:tcW w:w="1996" w:type="dxa"/>
          </w:tcPr>
          <w:p w14:paraId="1CAAEE5B" w14:textId="412CDDAD" w:rsidR="00F67E9E" w:rsidRPr="0061274F" w:rsidRDefault="00F67E9E" w:rsidP="007F74AA">
            <w:pPr>
              <w:pStyle w:val="StdBodyText"/>
              <w:spacing w:before="0" w:after="0"/>
              <w:rPr>
                <w:rFonts w:cs="Arial"/>
              </w:rPr>
            </w:pPr>
            <w:r w:rsidRPr="00701EA3">
              <w:t xml:space="preserve">Sch </w:t>
            </w:r>
            <w:r w:rsidRPr="00266501">
              <w:fldChar w:fldCharType="begin"/>
            </w:r>
            <w:r w:rsidRPr="00266501">
              <w:instrText xml:space="preserve"> REF Schedule10 \h \# "#"  \* MERGEFORMAT </w:instrText>
            </w:r>
            <w:r w:rsidRPr="00266501">
              <w:fldChar w:fldCharType="separate"/>
            </w:r>
            <w:r w:rsidR="00302D39" w:rsidRPr="00302D39">
              <w:rPr>
                <w:lang w:val="en-US"/>
              </w:rPr>
              <w:t>10</w:t>
            </w:r>
            <w:r w:rsidRPr="00266501">
              <w:fldChar w:fldCharType="end"/>
            </w:r>
          </w:p>
        </w:tc>
        <w:tc>
          <w:tcPr>
            <w:tcW w:w="2666" w:type="dxa"/>
          </w:tcPr>
          <w:p w14:paraId="6486E808" w14:textId="77777777" w:rsidR="00F67E9E" w:rsidRPr="005356F1" w:rsidRDefault="00F67E9E" w:rsidP="007F74AA">
            <w:pPr>
              <w:pStyle w:val="StdBodyText"/>
              <w:spacing w:before="0" w:after="0"/>
              <w:rPr>
                <w:rFonts w:cs="Arial"/>
              </w:rPr>
            </w:pPr>
            <w:r w:rsidRPr="00701EA3">
              <w:t>Effective Date</w:t>
            </w:r>
          </w:p>
        </w:tc>
        <w:tc>
          <w:tcPr>
            <w:tcW w:w="2862" w:type="dxa"/>
          </w:tcPr>
          <w:p w14:paraId="268065FB" w14:textId="77777777" w:rsidR="00F67E9E" w:rsidRPr="005356F1" w:rsidRDefault="00F67E9E" w:rsidP="007F74AA">
            <w:pPr>
              <w:pStyle w:val="StdBodyText"/>
              <w:spacing w:before="0" w:after="0"/>
              <w:rPr>
                <w:rFonts w:cs="Arial"/>
              </w:rPr>
            </w:pPr>
            <w:r w:rsidRPr="00701EA3">
              <w:t>With each approved appointment or variation</w:t>
            </w:r>
          </w:p>
        </w:tc>
        <w:tc>
          <w:tcPr>
            <w:tcW w:w="2381" w:type="dxa"/>
          </w:tcPr>
          <w:p w14:paraId="26D51751" w14:textId="77777777" w:rsidR="00F67E9E" w:rsidRPr="005356F1" w:rsidRDefault="00F67E9E" w:rsidP="007F74AA">
            <w:pPr>
              <w:pStyle w:val="StdBodyText"/>
              <w:spacing w:before="0" w:after="0"/>
              <w:rPr>
                <w:rFonts w:cs="Arial"/>
              </w:rPr>
            </w:pPr>
            <w:r w:rsidRPr="00701EA3">
              <w:t>Authority</w:t>
            </w:r>
          </w:p>
        </w:tc>
      </w:tr>
      <w:tr w:rsidR="00F67E9E" w:rsidRPr="005356F1" w14:paraId="1F07EA48" w14:textId="77777777" w:rsidTr="007F74AA">
        <w:trPr>
          <w:trHeight w:val="20"/>
        </w:trPr>
        <w:tc>
          <w:tcPr>
            <w:tcW w:w="2268" w:type="dxa"/>
          </w:tcPr>
          <w:p w14:paraId="1CE129F8" w14:textId="77777777" w:rsidR="00F67E9E" w:rsidRPr="005356F1" w:rsidRDefault="00F67E9E" w:rsidP="007F74AA">
            <w:pPr>
              <w:pStyle w:val="StdBodyText"/>
              <w:spacing w:before="0" w:after="0"/>
              <w:rPr>
                <w:rFonts w:cs="Arial"/>
              </w:rPr>
            </w:pPr>
            <w:r w:rsidRPr="00701EA3">
              <w:t>Cl 15.28</w:t>
            </w:r>
          </w:p>
        </w:tc>
        <w:tc>
          <w:tcPr>
            <w:tcW w:w="2966" w:type="dxa"/>
          </w:tcPr>
          <w:p w14:paraId="0513D681" w14:textId="77777777" w:rsidR="00F67E9E" w:rsidRPr="005356F1" w:rsidRDefault="00F67E9E" w:rsidP="007F74AA">
            <w:pPr>
              <w:pStyle w:val="StdBodyText"/>
              <w:spacing w:before="0" w:after="0"/>
              <w:rPr>
                <w:rFonts w:cs="Arial"/>
              </w:rPr>
            </w:pPr>
            <w:r w:rsidRPr="00701EA3">
              <w:t>Supply chain Transparency Reports</w:t>
            </w:r>
          </w:p>
        </w:tc>
        <w:tc>
          <w:tcPr>
            <w:tcW w:w="1996" w:type="dxa"/>
          </w:tcPr>
          <w:p w14:paraId="6518CA4F" w14:textId="6FF184A8" w:rsidR="00F67E9E" w:rsidRPr="0061274F" w:rsidRDefault="00F67E9E" w:rsidP="007F74AA">
            <w:pPr>
              <w:pStyle w:val="StdBodyText"/>
              <w:spacing w:before="0" w:after="0"/>
              <w:rPr>
                <w:rFonts w:cs="Arial"/>
              </w:rPr>
            </w:pPr>
            <w:r w:rsidRPr="00701EA3">
              <w:t xml:space="preserve">Sch </w:t>
            </w:r>
            <w:r>
              <w:fldChar w:fldCharType="begin"/>
            </w:r>
            <w:r>
              <w:instrText xml:space="preserve"> REF Schedule24 \h \# "#"  \* MERGEFORMAT </w:instrText>
            </w:r>
            <w:r>
              <w:fldChar w:fldCharType="separate"/>
            </w:r>
            <w:r w:rsidR="00302D39">
              <w:t>24</w:t>
            </w:r>
            <w:r>
              <w:fldChar w:fldCharType="end"/>
            </w:r>
            <w:r w:rsidRPr="00701EA3">
              <w:t xml:space="preserve">, Annex </w:t>
            </w:r>
            <w:r>
              <w:fldChar w:fldCharType="begin"/>
            </w:r>
            <w:r>
              <w:instrText xml:space="preserve"> REF ANNEX4_SCHEDULE24 \h </w:instrText>
            </w:r>
            <w:r>
              <w:fldChar w:fldCharType="separate"/>
            </w:r>
            <w:r w:rsidR="00302D39" w:rsidRPr="00B224EC">
              <w:t>4</w:t>
            </w:r>
            <w:r>
              <w:fldChar w:fldCharType="end"/>
            </w:r>
          </w:p>
        </w:tc>
        <w:tc>
          <w:tcPr>
            <w:tcW w:w="2666" w:type="dxa"/>
          </w:tcPr>
          <w:p w14:paraId="0316226D" w14:textId="77777777" w:rsidR="00F67E9E" w:rsidRPr="005356F1" w:rsidRDefault="00F67E9E" w:rsidP="007F74AA">
            <w:pPr>
              <w:pStyle w:val="StdBodyText"/>
              <w:spacing w:before="0" w:after="0"/>
              <w:rPr>
                <w:rFonts w:cs="Arial"/>
              </w:rPr>
            </w:pPr>
            <w:r w:rsidRPr="00701EA3">
              <w:t>thirty days prior to the of the end of each financial year</w:t>
            </w:r>
          </w:p>
        </w:tc>
        <w:tc>
          <w:tcPr>
            <w:tcW w:w="2862" w:type="dxa"/>
          </w:tcPr>
          <w:p w14:paraId="03336E64" w14:textId="77777777" w:rsidR="00F67E9E" w:rsidRPr="005356F1" w:rsidRDefault="00F67E9E" w:rsidP="007F74AA">
            <w:pPr>
              <w:pStyle w:val="StdBodyText"/>
              <w:spacing w:before="0" w:after="0"/>
              <w:rPr>
                <w:rFonts w:cs="Arial"/>
              </w:rPr>
            </w:pPr>
            <w:r w:rsidRPr="00701EA3">
              <w:t>Every twelve (12) months</w:t>
            </w:r>
          </w:p>
        </w:tc>
        <w:tc>
          <w:tcPr>
            <w:tcW w:w="2381" w:type="dxa"/>
          </w:tcPr>
          <w:p w14:paraId="671EAE0C" w14:textId="77777777" w:rsidR="00F67E9E" w:rsidRPr="005356F1" w:rsidRDefault="00F67E9E" w:rsidP="007F74AA">
            <w:pPr>
              <w:pStyle w:val="StdBodyText"/>
              <w:spacing w:before="0" w:after="0"/>
              <w:rPr>
                <w:rFonts w:cs="Arial"/>
              </w:rPr>
            </w:pPr>
            <w:r w:rsidRPr="00701EA3">
              <w:t>Authority</w:t>
            </w:r>
          </w:p>
        </w:tc>
      </w:tr>
      <w:tr w:rsidR="00F67E9E" w:rsidRPr="005356F1" w14:paraId="02C7194D" w14:textId="77777777" w:rsidTr="007F74AA">
        <w:trPr>
          <w:trHeight w:val="20"/>
        </w:trPr>
        <w:tc>
          <w:tcPr>
            <w:tcW w:w="2268" w:type="dxa"/>
          </w:tcPr>
          <w:p w14:paraId="0DB39BE2" w14:textId="449CB1EE" w:rsidR="00F67E9E" w:rsidRPr="005356F1" w:rsidRDefault="00F67E9E" w:rsidP="007F74AA">
            <w:pPr>
              <w:pStyle w:val="StdBodyText"/>
              <w:spacing w:before="0" w:after="0"/>
              <w:rPr>
                <w:rFonts w:cs="Arial"/>
              </w:rPr>
            </w:pPr>
            <w:bookmarkStart w:id="1857" w:name="_9kR3WTr2BC9CHhJf6F"/>
            <w:r w:rsidRPr="005356F1">
              <w:rPr>
                <w:rFonts w:cs="Arial"/>
              </w:rPr>
              <w:t>Sch</w:t>
            </w:r>
            <w:bookmarkEnd w:id="1857"/>
            <w:r w:rsidRPr="005356F1">
              <w:rPr>
                <w:rFonts w:cs="Arial"/>
              </w:rPr>
              <w:t xml:space="preserve"> </w:t>
            </w:r>
            <w:r w:rsidRPr="005356F1">
              <w:rPr>
                <w:rFonts w:cs="Arial"/>
              </w:rPr>
              <w:fldChar w:fldCharType="begin"/>
            </w:r>
            <w:r w:rsidRPr="005356F1">
              <w:rPr>
                <w:rFonts w:cs="Arial"/>
              </w:rPr>
              <w:instrText xml:space="preserve"> REF _Ref92197146 \h  \# "#"  \* MERGEFORMAT </w:instrText>
            </w:r>
            <w:r w:rsidRPr="005356F1">
              <w:rPr>
                <w:rFonts w:cs="Arial"/>
              </w:rPr>
            </w:r>
            <w:r w:rsidRPr="005356F1">
              <w:rPr>
                <w:rFonts w:cs="Arial"/>
              </w:rPr>
              <w:fldChar w:fldCharType="separate"/>
            </w:r>
            <w:r w:rsidR="00302D39">
              <w:rPr>
                <w:rFonts w:cs="Arial"/>
              </w:rPr>
              <w:t>3</w:t>
            </w:r>
            <w:r w:rsidRPr="005356F1">
              <w:rPr>
                <w:rFonts w:cs="Arial"/>
              </w:rPr>
              <w:fldChar w:fldCharType="end"/>
            </w:r>
            <w:r w:rsidRPr="005356F1">
              <w:rPr>
                <w:rFonts w:cs="Arial"/>
              </w:rPr>
              <w:t xml:space="preserve">, </w:t>
            </w:r>
            <w:r w:rsidRPr="005356F1">
              <w:rPr>
                <w:rFonts w:cs="Arial"/>
                <w:lang w:val="es-ES"/>
              </w:rPr>
              <w:fldChar w:fldCharType="begin"/>
            </w:r>
            <w:r w:rsidRPr="005356F1">
              <w:rPr>
                <w:rFonts w:cs="Arial"/>
              </w:rPr>
              <w:instrText xml:space="preserve"> REF Sch3PartB \h </w:instrText>
            </w:r>
            <w:r>
              <w:rPr>
                <w:rFonts w:cs="Arial"/>
                <w:lang w:val="es-ES"/>
              </w:rPr>
              <w:instrText xml:space="preserve"> \* MERGEFORMAT </w:instrText>
            </w:r>
            <w:r w:rsidRPr="005356F1">
              <w:rPr>
                <w:rFonts w:cs="Arial"/>
                <w:lang w:val="es-ES"/>
              </w:rPr>
            </w:r>
            <w:r w:rsidRPr="005356F1">
              <w:rPr>
                <w:rFonts w:cs="Arial"/>
                <w:lang w:val="es-ES"/>
              </w:rPr>
              <w:fldChar w:fldCharType="separate"/>
            </w:r>
            <w:r w:rsidR="00302D39" w:rsidRPr="00302D39">
              <w:rPr>
                <w:rFonts w:cs="Arial"/>
              </w:rPr>
              <w:t>Part B</w:t>
            </w:r>
            <w:r w:rsidRPr="005356F1">
              <w:rPr>
                <w:rFonts w:cs="Arial"/>
                <w:lang w:val="es-ES"/>
              </w:rPr>
              <w:fldChar w:fldCharType="end"/>
            </w:r>
            <w:r w:rsidRPr="005356F1">
              <w:rPr>
                <w:rFonts w:cs="Arial"/>
              </w:rPr>
              <w:t xml:space="preserve"> </w:t>
            </w:r>
            <w:bookmarkStart w:id="1858" w:name="_9kR3WTr2BCBCEdEno0H"/>
            <w:r w:rsidRPr="005356F1">
              <w:rPr>
                <w:rFonts w:cs="Arial"/>
              </w:rPr>
              <w:t>Para </w:t>
            </w:r>
            <w:r w:rsidRPr="005356F1">
              <w:rPr>
                <w:rFonts w:cs="Arial"/>
              </w:rPr>
              <w:fldChar w:fldCharType="begin"/>
            </w:r>
            <w:r w:rsidRPr="005356F1">
              <w:rPr>
                <w:rFonts w:cs="Arial"/>
              </w:rPr>
              <w:instrText xml:space="preserve"> REF _Ref99003160 \w \h </w:instrText>
            </w:r>
            <w:r>
              <w:rPr>
                <w:rFonts w:cs="Arial"/>
              </w:rPr>
              <w:instrText xml:space="preserve"> \* MERGEFORMAT </w:instrText>
            </w:r>
            <w:r w:rsidRPr="005356F1">
              <w:rPr>
                <w:rFonts w:cs="Arial"/>
              </w:rPr>
            </w:r>
            <w:r w:rsidRPr="005356F1">
              <w:rPr>
                <w:rFonts w:cs="Arial"/>
              </w:rPr>
              <w:fldChar w:fldCharType="separate"/>
            </w:r>
            <w:r w:rsidR="00302D39">
              <w:rPr>
                <w:rFonts w:cs="Arial"/>
              </w:rPr>
              <w:t>2.3</w:t>
            </w:r>
            <w:r w:rsidRPr="005356F1">
              <w:rPr>
                <w:rFonts w:cs="Arial"/>
              </w:rPr>
              <w:fldChar w:fldCharType="end"/>
            </w:r>
            <w:bookmarkEnd w:id="1858"/>
          </w:p>
        </w:tc>
        <w:tc>
          <w:tcPr>
            <w:tcW w:w="2966" w:type="dxa"/>
          </w:tcPr>
          <w:p w14:paraId="3E6FEAC5" w14:textId="77777777" w:rsidR="00F67E9E" w:rsidRPr="005356F1" w:rsidRDefault="00F67E9E" w:rsidP="007F74AA">
            <w:pPr>
              <w:pStyle w:val="StdBodyText"/>
              <w:spacing w:before="0" w:after="0"/>
              <w:rPr>
                <w:rFonts w:cs="Arial"/>
              </w:rPr>
            </w:pPr>
            <w:r w:rsidRPr="005356F1">
              <w:rPr>
                <w:rFonts w:cs="Arial"/>
              </w:rPr>
              <w:t>Performance Monitoring Report and the Balanced Scorecard Report</w:t>
            </w:r>
          </w:p>
        </w:tc>
        <w:tc>
          <w:tcPr>
            <w:tcW w:w="1996" w:type="dxa"/>
          </w:tcPr>
          <w:p w14:paraId="668E4DD9" w14:textId="34C587F9" w:rsidR="00F67E9E" w:rsidRPr="005356F1" w:rsidRDefault="00F67E9E" w:rsidP="007F74AA">
            <w:pPr>
              <w:pStyle w:val="StdBodyText"/>
              <w:spacing w:before="0" w:after="0"/>
              <w:rPr>
                <w:rFonts w:cs="Arial"/>
              </w:rPr>
            </w:pPr>
            <w:r w:rsidRPr="005356F1">
              <w:rPr>
                <w:rFonts w:cs="Arial"/>
              </w:rPr>
              <w:t xml:space="preserve">Sch </w:t>
            </w:r>
            <w:r w:rsidRPr="005356F1">
              <w:rPr>
                <w:rFonts w:cs="Arial"/>
              </w:rPr>
              <w:fldChar w:fldCharType="begin"/>
            </w:r>
            <w:r w:rsidRPr="005356F1">
              <w:rPr>
                <w:rFonts w:cs="Arial"/>
              </w:rPr>
              <w:instrText xml:space="preserve"> REF _Ref92197146 \h  \# "#"  \* MERGEFORMAT </w:instrText>
            </w:r>
            <w:r w:rsidRPr="005356F1">
              <w:rPr>
                <w:rFonts w:cs="Arial"/>
              </w:rPr>
            </w:r>
            <w:r w:rsidRPr="005356F1">
              <w:rPr>
                <w:rFonts w:cs="Arial"/>
              </w:rPr>
              <w:fldChar w:fldCharType="separate"/>
            </w:r>
            <w:r w:rsidR="00302D39">
              <w:rPr>
                <w:rFonts w:cs="Arial"/>
              </w:rPr>
              <w:t>3</w:t>
            </w:r>
            <w:r w:rsidRPr="005356F1">
              <w:rPr>
                <w:rFonts w:cs="Arial"/>
              </w:rPr>
              <w:fldChar w:fldCharType="end"/>
            </w:r>
            <w:r w:rsidRPr="005356F1">
              <w:rPr>
                <w:rFonts w:cs="Arial"/>
              </w:rPr>
              <w:t xml:space="preserve">, </w:t>
            </w:r>
            <w:r w:rsidRPr="005356F1">
              <w:rPr>
                <w:rFonts w:cs="Arial"/>
                <w:lang w:val="es-ES"/>
              </w:rPr>
              <w:fldChar w:fldCharType="begin"/>
            </w:r>
            <w:r w:rsidRPr="005356F1">
              <w:rPr>
                <w:rFonts w:cs="Arial"/>
              </w:rPr>
              <w:instrText xml:space="preserve"> REF Sch3PartB \h </w:instrText>
            </w:r>
            <w:r>
              <w:rPr>
                <w:rFonts w:cs="Arial"/>
                <w:lang w:val="es-ES"/>
              </w:rPr>
              <w:instrText xml:space="preserve"> \* MERGEFORMAT </w:instrText>
            </w:r>
            <w:r w:rsidRPr="005356F1">
              <w:rPr>
                <w:rFonts w:cs="Arial"/>
                <w:lang w:val="es-ES"/>
              </w:rPr>
            </w:r>
            <w:r w:rsidRPr="005356F1">
              <w:rPr>
                <w:rFonts w:cs="Arial"/>
                <w:lang w:val="es-ES"/>
              </w:rPr>
              <w:fldChar w:fldCharType="separate"/>
            </w:r>
            <w:r w:rsidR="00302D39" w:rsidRPr="00302D39">
              <w:rPr>
                <w:rFonts w:cs="Arial"/>
              </w:rPr>
              <w:t>Part B</w:t>
            </w:r>
            <w:r w:rsidRPr="005356F1">
              <w:rPr>
                <w:rFonts w:cs="Arial"/>
                <w:lang w:val="es-ES"/>
              </w:rPr>
              <w:fldChar w:fldCharType="end"/>
            </w:r>
          </w:p>
        </w:tc>
        <w:tc>
          <w:tcPr>
            <w:tcW w:w="2666" w:type="dxa"/>
          </w:tcPr>
          <w:p w14:paraId="7C4D6634" w14:textId="77777777" w:rsidR="00F67E9E" w:rsidRPr="005356F1" w:rsidRDefault="00F67E9E" w:rsidP="007F74AA">
            <w:pPr>
              <w:pStyle w:val="StdBodyText"/>
              <w:spacing w:before="0" w:after="0"/>
              <w:rPr>
                <w:rFonts w:cs="Arial"/>
              </w:rPr>
            </w:pPr>
            <w:r w:rsidRPr="005356F1">
              <w:rPr>
                <w:rFonts w:cs="Arial"/>
              </w:rPr>
              <w:t xml:space="preserve">Service Commencement </w:t>
            </w:r>
          </w:p>
        </w:tc>
        <w:tc>
          <w:tcPr>
            <w:tcW w:w="2862" w:type="dxa"/>
          </w:tcPr>
          <w:p w14:paraId="4056DA11" w14:textId="77777777" w:rsidR="00F67E9E" w:rsidRPr="005356F1" w:rsidRDefault="00F67E9E" w:rsidP="007F74AA">
            <w:pPr>
              <w:pStyle w:val="StdBodyText"/>
              <w:spacing w:before="0" w:after="0"/>
              <w:rPr>
                <w:rFonts w:cs="Arial"/>
              </w:rPr>
            </w:pPr>
            <w:r w:rsidRPr="005356F1">
              <w:rPr>
                <w:rFonts w:cs="Arial"/>
              </w:rPr>
              <w:t>Within ten (10) Working Days of the end of each Service Period</w:t>
            </w:r>
          </w:p>
        </w:tc>
        <w:tc>
          <w:tcPr>
            <w:tcW w:w="2381" w:type="dxa"/>
          </w:tcPr>
          <w:p w14:paraId="5EF89DB5" w14:textId="77777777" w:rsidR="00F67E9E" w:rsidRPr="005356F1" w:rsidRDefault="00F67E9E" w:rsidP="007F74AA">
            <w:pPr>
              <w:pStyle w:val="StdBodyText"/>
              <w:spacing w:before="0" w:after="0"/>
              <w:rPr>
                <w:rFonts w:cs="Arial"/>
              </w:rPr>
            </w:pPr>
            <w:r w:rsidRPr="005356F1">
              <w:rPr>
                <w:rFonts w:cs="Arial"/>
              </w:rPr>
              <w:t>Authority</w:t>
            </w:r>
          </w:p>
        </w:tc>
      </w:tr>
      <w:tr w:rsidR="00F67E9E" w:rsidRPr="005356F1" w14:paraId="6C803DDB" w14:textId="77777777" w:rsidTr="007F74AA">
        <w:trPr>
          <w:trHeight w:val="20"/>
        </w:trPr>
        <w:tc>
          <w:tcPr>
            <w:tcW w:w="2268" w:type="dxa"/>
          </w:tcPr>
          <w:p w14:paraId="2B224BB5" w14:textId="7C5D7482" w:rsidR="00F67E9E" w:rsidRPr="005356F1" w:rsidRDefault="00F67E9E" w:rsidP="007F74AA">
            <w:pPr>
              <w:pStyle w:val="StdBodyText"/>
              <w:spacing w:before="0" w:after="0"/>
              <w:rPr>
                <w:rFonts w:cs="Arial"/>
              </w:rPr>
            </w:pPr>
            <w:r w:rsidRPr="00E44C38">
              <w:t xml:space="preserve">Sch </w:t>
            </w:r>
            <w:r>
              <w:fldChar w:fldCharType="begin"/>
            </w:r>
            <w:r>
              <w:instrText xml:space="preserve"> REF Schedule4 \h \# "#"  \* MERGEFORMAT </w:instrText>
            </w:r>
            <w:r>
              <w:fldChar w:fldCharType="separate"/>
            </w:r>
            <w:r w:rsidR="00302D39">
              <w:t>4</w:t>
            </w:r>
            <w:r>
              <w:fldChar w:fldCharType="end"/>
            </w:r>
            <w:r w:rsidRPr="00E44C38">
              <w:t xml:space="preserve">, </w:t>
            </w:r>
            <w:r>
              <w:fldChar w:fldCharType="begin"/>
            </w:r>
            <w:r>
              <w:instrText xml:space="preserve"> REF Schedule4Annex1 \h </w:instrText>
            </w:r>
            <w:r>
              <w:fldChar w:fldCharType="separate"/>
            </w:r>
            <w:r w:rsidR="00302D39" w:rsidRPr="00F511A1">
              <w:t>Annex 1</w:t>
            </w:r>
            <w:r>
              <w:fldChar w:fldCharType="end"/>
            </w:r>
            <w:r w:rsidRPr="00E44C38">
              <w:t xml:space="preserve">, Para </w:t>
            </w:r>
            <w:r>
              <w:fldChar w:fldCharType="begin"/>
            </w:r>
            <w:r>
              <w:instrText xml:space="preserve"> REF _Ref99015084 \w \h </w:instrText>
            </w:r>
            <w:r>
              <w:fldChar w:fldCharType="separate"/>
            </w:r>
            <w:r w:rsidR="00302D39">
              <w:t>4</w:t>
            </w:r>
            <w:r>
              <w:fldChar w:fldCharType="end"/>
            </w:r>
            <w:r>
              <w:t xml:space="preserve"> </w:t>
            </w:r>
          </w:p>
        </w:tc>
        <w:tc>
          <w:tcPr>
            <w:tcW w:w="2966" w:type="dxa"/>
          </w:tcPr>
          <w:p w14:paraId="5DBF2317" w14:textId="77777777" w:rsidR="00F67E9E" w:rsidRPr="005356F1" w:rsidRDefault="00F67E9E" w:rsidP="007F74AA">
            <w:pPr>
              <w:pStyle w:val="StdBodyText"/>
              <w:spacing w:before="0" w:after="0"/>
              <w:rPr>
                <w:rFonts w:cs="Arial"/>
              </w:rPr>
            </w:pPr>
            <w:r w:rsidRPr="00E44C38">
              <w:t>Evidence of compliance with sustainability requirements</w:t>
            </w:r>
          </w:p>
        </w:tc>
        <w:tc>
          <w:tcPr>
            <w:tcW w:w="1996" w:type="dxa"/>
          </w:tcPr>
          <w:p w14:paraId="08B20D04" w14:textId="77777777" w:rsidR="00F67E9E" w:rsidRPr="005356F1" w:rsidRDefault="00F67E9E" w:rsidP="007F74AA">
            <w:pPr>
              <w:pStyle w:val="StdBodyText"/>
              <w:spacing w:before="0" w:after="0"/>
              <w:rPr>
                <w:rFonts w:cs="Arial"/>
              </w:rPr>
            </w:pPr>
            <w:r w:rsidRPr="00E44C38">
              <w:t>-</w:t>
            </w:r>
          </w:p>
        </w:tc>
        <w:tc>
          <w:tcPr>
            <w:tcW w:w="2666" w:type="dxa"/>
          </w:tcPr>
          <w:p w14:paraId="31A9F5E5" w14:textId="77777777" w:rsidR="00F67E9E" w:rsidRPr="005356F1" w:rsidRDefault="00F67E9E" w:rsidP="007F74AA">
            <w:pPr>
              <w:pStyle w:val="StdBodyText"/>
              <w:spacing w:before="0" w:after="0"/>
              <w:rPr>
                <w:rFonts w:cs="Arial"/>
              </w:rPr>
            </w:pPr>
            <w:r w:rsidRPr="00E44C38">
              <w:t>On reasonable request  by Authority, provided that such requests are limited to [2] per Contract Year</w:t>
            </w:r>
          </w:p>
        </w:tc>
        <w:tc>
          <w:tcPr>
            <w:tcW w:w="2862" w:type="dxa"/>
          </w:tcPr>
          <w:p w14:paraId="604B28CF" w14:textId="77777777" w:rsidR="00F67E9E" w:rsidRPr="005356F1" w:rsidRDefault="00F67E9E" w:rsidP="007F74AA">
            <w:pPr>
              <w:pStyle w:val="StdBodyText"/>
              <w:spacing w:before="0" w:after="0"/>
              <w:rPr>
                <w:rFonts w:cs="Arial"/>
              </w:rPr>
            </w:pPr>
            <w:r w:rsidRPr="00E44C38">
              <w:t>On reasonable request  by Authority, provided that such requests are limited to [2] per Contract Year</w:t>
            </w:r>
          </w:p>
        </w:tc>
        <w:tc>
          <w:tcPr>
            <w:tcW w:w="2381" w:type="dxa"/>
          </w:tcPr>
          <w:p w14:paraId="3E696624" w14:textId="77777777" w:rsidR="00F67E9E" w:rsidRPr="005356F1" w:rsidRDefault="00F67E9E" w:rsidP="007F74AA">
            <w:pPr>
              <w:pStyle w:val="StdBodyText"/>
              <w:spacing w:before="0" w:after="0"/>
              <w:rPr>
                <w:rFonts w:cs="Arial"/>
              </w:rPr>
            </w:pPr>
            <w:r w:rsidRPr="00E44C38">
              <w:t>Authority</w:t>
            </w:r>
          </w:p>
        </w:tc>
      </w:tr>
      <w:tr w:rsidR="00F67E9E" w:rsidRPr="005356F1" w14:paraId="49CA7F0C" w14:textId="77777777" w:rsidTr="007F74AA">
        <w:trPr>
          <w:trHeight w:val="20"/>
        </w:trPr>
        <w:tc>
          <w:tcPr>
            <w:tcW w:w="2268" w:type="dxa"/>
          </w:tcPr>
          <w:p w14:paraId="0ED1DF0A" w14:textId="30029A20" w:rsidR="00F67E9E" w:rsidRPr="005356F1" w:rsidRDefault="00F67E9E" w:rsidP="007F74AA">
            <w:pPr>
              <w:pStyle w:val="StdBodyText"/>
              <w:spacing w:before="0" w:after="0"/>
              <w:rPr>
                <w:rFonts w:cs="Arial"/>
              </w:rPr>
            </w:pPr>
            <w:r w:rsidRPr="00E44C38">
              <w:t xml:space="preserve">Sch </w:t>
            </w:r>
            <w:r>
              <w:fldChar w:fldCharType="begin"/>
            </w:r>
            <w:r>
              <w:instrText xml:space="preserve"> REF Schedule4 \h \# "#"  \* MERGEFORMAT </w:instrText>
            </w:r>
            <w:r>
              <w:fldChar w:fldCharType="separate"/>
            </w:r>
            <w:r w:rsidR="00302D39">
              <w:t>4</w:t>
            </w:r>
            <w:r>
              <w:fldChar w:fldCharType="end"/>
            </w:r>
            <w:r w:rsidRPr="00E44C38">
              <w:t xml:space="preserve">, </w:t>
            </w:r>
            <w:r>
              <w:fldChar w:fldCharType="begin"/>
            </w:r>
            <w:r>
              <w:instrText xml:space="preserve"> REF Schedule4Annex1 \h </w:instrText>
            </w:r>
            <w:r>
              <w:fldChar w:fldCharType="separate"/>
            </w:r>
            <w:r w:rsidR="00302D39" w:rsidRPr="00F511A1">
              <w:t>Annex 1</w:t>
            </w:r>
            <w:r>
              <w:fldChar w:fldCharType="end"/>
            </w:r>
            <w:r>
              <w:t>,</w:t>
            </w:r>
            <w:r w:rsidRPr="00E44C38">
              <w:t xml:space="preserve"> Para </w:t>
            </w:r>
            <w:r>
              <w:fldChar w:fldCharType="begin"/>
            </w:r>
            <w:r>
              <w:instrText xml:space="preserve"> REF _Ref99015084 \w \h </w:instrText>
            </w:r>
            <w:r>
              <w:fldChar w:fldCharType="separate"/>
            </w:r>
            <w:r w:rsidR="00302D39">
              <w:t>4</w:t>
            </w:r>
            <w:r>
              <w:fldChar w:fldCharType="end"/>
            </w:r>
          </w:p>
        </w:tc>
        <w:tc>
          <w:tcPr>
            <w:tcW w:w="2966" w:type="dxa"/>
          </w:tcPr>
          <w:p w14:paraId="24664C70" w14:textId="77777777" w:rsidR="00F67E9E" w:rsidRPr="005356F1" w:rsidRDefault="00F67E9E" w:rsidP="007F74AA">
            <w:pPr>
              <w:pStyle w:val="StdBodyText"/>
              <w:spacing w:before="0" w:after="0"/>
              <w:rPr>
                <w:rFonts w:cs="Arial"/>
              </w:rPr>
            </w:pPr>
            <w:r w:rsidRPr="00E44C38">
              <w:t>Sustainability Report</w:t>
            </w:r>
          </w:p>
        </w:tc>
        <w:tc>
          <w:tcPr>
            <w:tcW w:w="1996" w:type="dxa"/>
          </w:tcPr>
          <w:p w14:paraId="038F3B4F" w14:textId="096F138D" w:rsidR="00F67E9E" w:rsidRPr="005356F1" w:rsidRDefault="00F67E9E" w:rsidP="007F74AA">
            <w:pPr>
              <w:pStyle w:val="StdBodyText"/>
              <w:spacing w:before="0" w:after="0"/>
              <w:rPr>
                <w:rFonts w:cs="Arial"/>
              </w:rPr>
            </w:pPr>
            <w:r w:rsidRPr="00E44C38">
              <w:t xml:space="preserve">Sch </w:t>
            </w:r>
            <w:r>
              <w:fldChar w:fldCharType="begin"/>
            </w:r>
            <w:r>
              <w:instrText xml:space="preserve"> REF Schedule4 \h \# "#"  \* MERGEFORMAT </w:instrText>
            </w:r>
            <w:r>
              <w:fldChar w:fldCharType="separate"/>
            </w:r>
            <w:r w:rsidR="00302D39">
              <w:t>4</w:t>
            </w:r>
            <w:r>
              <w:fldChar w:fldCharType="end"/>
            </w:r>
            <w:r w:rsidRPr="00E44C38">
              <w:t xml:space="preserve">, </w:t>
            </w:r>
            <w:r>
              <w:fldChar w:fldCharType="begin"/>
            </w:r>
            <w:r>
              <w:instrText xml:space="preserve"> REF Schedule4Annex1 \h </w:instrText>
            </w:r>
            <w:r>
              <w:fldChar w:fldCharType="separate"/>
            </w:r>
            <w:r w:rsidR="00302D39" w:rsidRPr="00F511A1">
              <w:t>Annex 1</w:t>
            </w:r>
            <w:r>
              <w:fldChar w:fldCharType="end"/>
            </w:r>
            <w:r w:rsidRPr="00E44C38">
              <w:t>, Table C</w:t>
            </w:r>
          </w:p>
        </w:tc>
        <w:tc>
          <w:tcPr>
            <w:tcW w:w="2666" w:type="dxa"/>
          </w:tcPr>
          <w:p w14:paraId="28E2F847" w14:textId="77777777" w:rsidR="00F67E9E" w:rsidRPr="005356F1" w:rsidRDefault="00F67E9E" w:rsidP="007F74AA">
            <w:pPr>
              <w:pStyle w:val="StdBodyText"/>
              <w:spacing w:before="0" w:after="0"/>
              <w:rPr>
                <w:rFonts w:cs="Arial"/>
              </w:rPr>
            </w:pPr>
            <w:r w:rsidRPr="00E44C38">
              <w:t>As set out in Table C</w:t>
            </w:r>
          </w:p>
        </w:tc>
        <w:tc>
          <w:tcPr>
            <w:tcW w:w="2862" w:type="dxa"/>
          </w:tcPr>
          <w:p w14:paraId="265B8693" w14:textId="77777777" w:rsidR="00F67E9E" w:rsidRPr="005356F1" w:rsidRDefault="00F67E9E" w:rsidP="007F74AA">
            <w:pPr>
              <w:pStyle w:val="StdBodyText"/>
              <w:spacing w:before="0" w:after="0"/>
              <w:rPr>
                <w:rFonts w:cs="Arial"/>
              </w:rPr>
            </w:pPr>
            <w:r w:rsidRPr="00E44C38">
              <w:t>As set out in Table C</w:t>
            </w:r>
          </w:p>
        </w:tc>
        <w:tc>
          <w:tcPr>
            <w:tcW w:w="2381" w:type="dxa"/>
          </w:tcPr>
          <w:p w14:paraId="20467385" w14:textId="77777777" w:rsidR="00F67E9E" w:rsidRPr="005356F1" w:rsidRDefault="00F67E9E" w:rsidP="007F74AA">
            <w:pPr>
              <w:pStyle w:val="StdBodyText"/>
              <w:spacing w:before="0" w:after="0"/>
              <w:rPr>
                <w:rFonts w:cs="Arial"/>
              </w:rPr>
            </w:pPr>
            <w:r w:rsidRPr="00E44C38">
              <w:t>Authority</w:t>
            </w:r>
          </w:p>
        </w:tc>
      </w:tr>
      <w:tr w:rsidR="00F67E9E" w:rsidRPr="005356F1" w14:paraId="76E813DB" w14:textId="77777777" w:rsidTr="007F74AA">
        <w:trPr>
          <w:trHeight w:val="20"/>
        </w:trPr>
        <w:tc>
          <w:tcPr>
            <w:tcW w:w="2268" w:type="dxa"/>
          </w:tcPr>
          <w:p w14:paraId="7878BF01" w14:textId="7DFBF1ED" w:rsidR="00F67E9E" w:rsidRPr="005356F1" w:rsidRDefault="00F67E9E" w:rsidP="007F74AA">
            <w:pPr>
              <w:pStyle w:val="StdBodyText"/>
              <w:spacing w:before="0" w:after="0"/>
              <w:rPr>
                <w:rFonts w:cs="Arial"/>
              </w:rPr>
            </w:pPr>
            <w:r w:rsidRPr="005356F1">
              <w:rPr>
                <w:rFonts w:cs="Arial"/>
                <w:highlight w:val="yellow"/>
              </w:rPr>
              <w:t xml:space="preserve">[If using </w:t>
            </w:r>
            <w:r w:rsidRPr="005356F1">
              <w:rPr>
                <w:rFonts w:cs="Arial"/>
                <w:highlight w:val="yellow"/>
              </w:rPr>
              <w:fldChar w:fldCharType="begin"/>
            </w:r>
            <w:r w:rsidRPr="005356F1">
              <w:rPr>
                <w:rFonts w:cs="Arial"/>
                <w:highlight w:val="yellow"/>
              </w:rPr>
              <w:instrText xml:space="preserve"> REF Sch5PartB \h  \* MERGEFORMAT </w:instrText>
            </w:r>
            <w:r w:rsidRPr="005356F1">
              <w:rPr>
                <w:rFonts w:cs="Arial"/>
                <w:highlight w:val="yellow"/>
              </w:rPr>
            </w:r>
            <w:r w:rsidRPr="005356F1">
              <w:rPr>
                <w:rFonts w:cs="Arial"/>
                <w:highlight w:val="yellow"/>
              </w:rPr>
              <w:fldChar w:fldCharType="separate"/>
            </w:r>
            <w:r w:rsidR="00302D39" w:rsidRPr="00302D39">
              <w:rPr>
                <w:rFonts w:cs="Arial"/>
                <w:highlight w:val="yellow"/>
              </w:rPr>
              <w:t>Part B</w:t>
            </w:r>
            <w:r w:rsidRPr="005356F1">
              <w:rPr>
                <w:rFonts w:cs="Arial"/>
                <w:highlight w:val="yellow"/>
              </w:rPr>
              <w:fldChar w:fldCharType="end"/>
            </w:r>
            <w:r>
              <w:rPr>
                <w:rFonts w:cs="Arial"/>
                <w:highlight w:val="yellow"/>
              </w:rPr>
              <w:t xml:space="preserve"> </w:t>
            </w:r>
            <w:r w:rsidRPr="005356F1">
              <w:rPr>
                <w:rFonts w:cs="Arial"/>
                <w:highlight w:val="yellow"/>
              </w:rPr>
              <w:t>– Security Assurance]</w:t>
            </w:r>
          </w:p>
          <w:p w14:paraId="4B448CCA" w14:textId="257FA92F" w:rsidR="00F67E9E" w:rsidRPr="005356F1" w:rsidRDefault="00F67E9E" w:rsidP="007F74AA">
            <w:pPr>
              <w:pStyle w:val="StdBodyText"/>
              <w:spacing w:before="0" w:after="0"/>
              <w:rPr>
                <w:rFonts w:cs="Arial"/>
              </w:rPr>
            </w:pPr>
            <w:r w:rsidRPr="005356F1">
              <w:rPr>
                <w:rFonts w:cs="Arial"/>
              </w:rPr>
              <w:t>Sch </w:t>
            </w:r>
            <w:r w:rsidRPr="005356F1">
              <w:rPr>
                <w:rFonts w:cs="Arial"/>
              </w:rPr>
              <w:fldChar w:fldCharType="begin"/>
            </w:r>
            <w:r w:rsidRPr="005356F1">
              <w:rPr>
                <w:rFonts w:cs="Arial"/>
              </w:rPr>
              <w:instrText xml:space="preserve"> REF _Ref92199339 \h  \# "#"  \* MERGEFORMAT </w:instrText>
            </w:r>
            <w:r w:rsidRPr="005356F1">
              <w:rPr>
                <w:rFonts w:cs="Arial"/>
              </w:rPr>
            </w:r>
            <w:r w:rsidRPr="005356F1">
              <w:rPr>
                <w:rFonts w:cs="Arial"/>
              </w:rPr>
              <w:fldChar w:fldCharType="separate"/>
            </w:r>
            <w:r w:rsidR="00302D39">
              <w:rPr>
                <w:rFonts w:cs="Arial"/>
              </w:rPr>
              <w:t>5</w:t>
            </w:r>
            <w:r w:rsidRPr="005356F1">
              <w:rPr>
                <w:rFonts w:cs="Arial"/>
              </w:rPr>
              <w:fldChar w:fldCharType="end"/>
            </w:r>
            <w:r w:rsidRPr="005356F1">
              <w:rPr>
                <w:rFonts w:cs="Arial"/>
              </w:rPr>
              <w:t xml:space="preserve">, Para </w:t>
            </w:r>
            <w:r w:rsidRPr="005356F1">
              <w:rPr>
                <w:rFonts w:cs="Arial"/>
              </w:rPr>
              <w:fldChar w:fldCharType="begin"/>
            </w:r>
            <w:r w:rsidRPr="005356F1">
              <w:rPr>
                <w:rFonts w:cs="Arial"/>
              </w:rPr>
              <w:instrText xml:space="preserve"> REF _Ref45003103 \w \h  \* MERGEFORMAT </w:instrText>
            </w:r>
            <w:r w:rsidRPr="005356F1">
              <w:rPr>
                <w:rFonts w:cs="Arial"/>
              </w:rPr>
            </w:r>
            <w:r w:rsidRPr="005356F1">
              <w:rPr>
                <w:rFonts w:cs="Arial"/>
              </w:rPr>
              <w:fldChar w:fldCharType="separate"/>
            </w:r>
            <w:r w:rsidR="00302D39">
              <w:rPr>
                <w:rFonts w:cs="Arial"/>
              </w:rPr>
              <w:t>4.4</w:t>
            </w:r>
            <w:r w:rsidRPr="005356F1">
              <w:rPr>
                <w:rFonts w:cs="Arial"/>
              </w:rPr>
              <w:fldChar w:fldCharType="end"/>
            </w:r>
          </w:p>
        </w:tc>
        <w:tc>
          <w:tcPr>
            <w:tcW w:w="2966" w:type="dxa"/>
          </w:tcPr>
          <w:p w14:paraId="1FD9EBF0" w14:textId="77777777" w:rsidR="00F67E9E" w:rsidRPr="005356F1" w:rsidRDefault="00F67E9E" w:rsidP="007F74AA">
            <w:pPr>
              <w:pStyle w:val="StdBodyText"/>
              <w:spacing w:before="0" w:after="0"/>
              <w:rPr>
                <w:rFonts w:cs="Arial"/>
              </w:rPr>
            </w:pPr>
            <w:r w:rsidRPr="005356F1">
              <w:rPr>
                <w:rFonts w:cs="Arial"/>
              </w:rPr>
              <w:t>Security Management Plan</w:t>
            </w:r>
          </w:p>
        </w:tc>
        <w:tc>
          <w:tcPr>
            <w:tcW w:w="1996" w:type="dxa"/>
          </w:tcPr>
          <w:p w14:paraId="063D25C4" w14:textId="763181CF" w:rsidR="00F67E9E" w:rsidRPr="00D00D9A" w:rsidRDefault="00F67E9E" w:rsidP="007F74AA">
            <w:pPr>
              <w:pStyle w:val="StdBodyText"/>
              <w:spacing w:before="0" w:after="0"/>
              <w:rPr>
                <w:rFonts w:cs="Arial"/>
              </w:rPr>
            </w:pPr>
            <w:r w:rsidRPr="00D00D9A">
              <w:rPr>
                <w:rFonts w:cs="Arial"/>
              </w:rPr>
              <w:t>Sch </w:t>
            </w:r>
            <w:r w:rsidRPr="00D00D9A">
              <w:rPr>
                <w:rFonts w:cs="Arial"/>
              </w:rPr>
              <w:fldChar w:fldCharType="begin"/>
            </w:r>
            <w:r w:rsidRPr="00D00D9A">
              <w:rPr>
                <w:rFonts w:cs="Arial"/>
              </w:rPr>
              <w:instrText xml:space="preserve"> REF _Ref92199339 \h  \# "#"  \* MERGEFORMAT </w:instrText>
            </w:r>
            <w:r w:rsidRPr="00D00D9A">
              <w:rPr>
                <w:rFonts w:cs="Arial"/>
              </w:rPr>
            </w:r>
            <w:r w:rsidRPr="00D00D9A">
              <w:rPr>
                <w:rFonts w:cs="Arial"/>
              </w:rPr>
              <w:fldChar w:fldCharType="separate"/>
            </w:r>
            <w:r w:rsidR="00302D39">
              <w:rPr>
                <w:rFonts w:cs="Arial"/>
              </w:rPr>
              <w:t>5</w:t>
            </w:r>
            <w:r w:rsidRPr="00D00D9A">
              <w:rPr>
                <w:rFonts w:cs="Arial"/>
              </w:rPr>
              <w:fldChar w:fldCharType="end"/>
            </w:r>
            <w:r w:rsidRPr="00D00D9A">
              <w:rPr>
                <w:rFonts w:cs="Arial"/>
              </w:rPr>
              <w:t xml:space="preserve">, Annex </w:t>
            </w:r>
            <w:r w:rsidRPr="00D00D9A">
              <w:rPr>
                <w:rFonts w:cs="Arial"/>
              </w:rPr>
              <w:fldChar w:fldCharType="begin"/>
            </w:r>
            <w:r w:rsidRPr="00D00D9A">
              <w:rPr>
                <w:rFonts w:cs="Arial"/>
              </w:rPr>
              <w:instrText xml:space="preserve"> REF ANNEX3_PARTA_SCHEDULE5 \h  \* MERGEFORMAT </w:instrText>
            </w:r>
            <w:r w:rsidRPr="00D00D9A">
              <w:rPr>
                <w:rFonts w:cs="Arial"/>
              </w:rPr>
            </w:r>
            <w:r w:rsidRPr="00D00D9A">
              <w:rPr>
                <w:rFonts w:cs="Arial"/>
              </w:rPr>
              <w:fldChar w:fldCharType="separate"/>
            </w:r>
            <w:r w:rsidR="00302D39" w:rsidRPr="00302D39">
              <w:rPr>
                <w:rFonts w:cs="Arial"/>
              </w:rPr>
              <w:t>3</w:t>
            </w:r>
            <w:r w:rsidRPr="00D00D9A">
              <w:rPr>
                <w:rFonts w:cs="Arial"/>
              </w:rPr>
              <w:fldChar w:fldCharType="end"/>
            </w:r>
          </w:p>
        </w:tc>
        <w:tc>
          <w:tcPr>
            <w:tcW w:w="2666" w:type="dxa"/>
          </w:tcPr>
          <w:p w14:paraId="72DE7FEE" w14:textId="77777777" w:rsidR="00F67E9E" w:rsidRPr="005356F1" w:rsidRDefault="00F67E9E" w:rsidP="007F74AA">
            <w:pPr>
              <w:pStyle w:val="StdBodyText"/>
              <w:spacing w:before="0" w:after="0"/>
              <w:rPr>
                <w:rFonts w:cs="Arial"/>
              </w:rPr>
            </w:pPr>
            <w:r w:rsidRPr="005356F1">
              <w:rPr>
                <w:rFonts w:cs="Arial"/>
              </w:rPr>
              <w:t xml:space="preserve">Within </w:t>
            </w:r>
            <w:r w:rsidRPr="005356F1">
              <w:rPr>
                <w:rFonts w:cs="Arial"/>
                <w:highlight w:val="yellow"/>
              </w:rPr>
              <w:t>[20]</w:t>
            </w:r>
            <w:r w:rsidRPr="005356F1">
              <w:rPr>
                <w:rFonts w:cs="Arial"/>
              </w:rPr>
              <w:t xml:space="preserve"> Working D</w:t>
            </w:r>
            <w:r w:rsidRPr="00D00D9A">
              <w:rPr>
                <w:rFonts w:cs="Arial"/>
              </w:rPr>
              <w:t>ays of the date of the Contract</w:t>
            </w:r>
          </w:p>
        </w:tc>
        <w:tc>
          <w:tcPr>
            <w:tcW w:w="2862" w:type="dxa"/>
          </w:tcPr>
          <w:p w14:paraId="5CDEC259" w14:textId="77777777" w:rsidR="00F67E9E" w:rsidRPr="005356F1" w:rsidRDefault="00F67E9E" w:rsidP="007F74AA">
            <w:pPr>
              <w:pStyle w:val="StdBodyText"/>
              <w:spacing w:before="0" w:after="0"/>
              <w:rPr>
                <w:rFonts w:cs="Arial"/>
              </w:rPr>
            </w:pPr>
            <w:r w:rsidRPr="005356F1">
              <w:rPr>
                <w:rFonts w:cs="Arial"/>
              </w:rPr>
              <w:t>Regular review and at least annually</w:t>
            </w:r>
          </w:p>
        </w:tc>
        <w:tc>
          <w:tcPr>
            <w:tcW w:w="2381" w:type="dxa"/>
          </w:tcPr>
          <w:p w14:paraId="68D2B7F5" w14:textId="77777777" w:rsidR="00F67E9E" w:rsidRPr="005356F1" w:rsidRDefault="00F67E9E" w:rsidP="007F74AA">
            <w:pPr>
              <w:pStyle w:val="StdBodyText"/>
              <w:spacing w:before="0" w:after="0"/>
              <w:rPr>
                <w:rFonts w:cs="Arial"/>
              </w:rPr>
            </w:pPr>
            <w:r w:rsidRPr="005356F1">
              <w:rPr>
                <w:rFonts w:cs="Arial"/>
              </w:rPr>
              <w:t>Authority</w:t>
            </w:r>
          </w:p>
        </w:tc>
      </w:tr>
      <w:tr w:rsidR="00F67E9E" w:rsidRPr="005356F1" w14:paraId="4C861792" w14:textId="77777777" w:rsidTr="007F74AA">
        <w:trPr>
          <w:trHeight w:val="20"/>
        </w:trPr>
        <w:tc>
          <w:tcPr>
            <w:tcW w:w="2268" w:type="dxa"/>
          </w:tcPr>
          <w:p w14:paraId="404EC14E" w14:textId="15B80E1B" w:rsidR="00F67E9E" w:rsidRPr="005356F1" w:rsidRDefault="00F67E9E" w:rsidP="007F74AA">
            <w:pPr>
              <w:pStyle w:val="StdBodyText"/>
              <w:spacing w:before="0" w:after="0"/>
              <w:rPr>
                <w:rFonts w:cs="Arial"/>
              </w:rPr>
            </w:pPr>
            <w:r w:rsidRPr="005356F1">
              <w:rPr>
                <w:rFonts w:cs="Arial"/>
                <w:highlight w:val="yellow"/>
              </w:rPr>
              <w:t xml:space="preserve">[If using </w:t>
            </w:r>
            <w:r w:rsidRPr="008758E7">
              <w:rPr>
                <w:rFonts w:cs="Arial"/>
                <w:b/>
                <w:bCs/>
                <w:highlight w:val="yellow"/>
              </w:rPr>
              <w:fldChar w:fldCharType="begin"/>
            </w:r>
            <w:r w:rsidRPr="008758E7">
              <w:rPr>
                <w:rFonts w:cs="Arial"/>
                <w:b/>
                <w:bCs/>
                <w:highlight w:val="yellow"/>
              </w:rPr>
              <w:instrText xml:space="preserve"> REF Sch5PartA \h  \* MERGEFORMAT </w:instrText>
            </w:r>
            <w:r w:rsidRPr="008758E7">
              <w:rPr>
                <w:rFonts w:cs="Arial"/>
                <w:b/>
                <w:bCs/>
                <w:highlight w:val="yellow"/>
              </w:rPr>
            </w:r>
            <w:r w:rsidRPr="008758E7">
              <w:rPr>
                <w:rFonts w:cs="Arial"/>
                <w:b/>
                <w:bCs/>
                <w:highlight w:val="yellow"/>
              </w:rPr>
              <w:fldChar w:fldCharType="separate"/>
            </w:r>
            <w:r w:rsidR="00302D39" w:rsidRPr="00302D39">
              <w:rPr>
                <w:rStyle w:val="Heading2Char"/>
                <w:rFonts w:ascii="Arial" w:hAnsi="Arial" w:cs="Arial"/>
                <w:b w:val="0"/>
                <w:bCs w:val="0"/>
                <w:color w:val="auto"/>
                <w:sz w:val="24"/>
                <w:szCs w:val="24"/>
                <w:highlight w:val="yellow"/>
              </w:rPr>
              <w:t>Part A</w:t>
            </w:r>
            <w:r w:rsidRPr="008758E7">
              <w:rPr>
                <w:rFonts w:cs="Arial"/>
                <w:b/>
                <w:bCs/>
                <w:highlight w:val="yellow"/>
              </w:rPr>
              <w:fldChar w:fldCharType="end"/>
            </w:r>
            <w:r w:rsidRPr="005356F1">
              <w:rPr>
                <w:rFonts w:cs="Arial"/>
                <w:highlight w:val="yellow"/>
              </w:rPr>
              <w:t xml:space="preserve"> – Security Assurance]</w:t>
            </w:r>
          </w:p>
          <w:p w14:paraId="285A93D8" w14:textId="2C2F9906" w:rsidR="00F67E9E" w:rsidRPr="005356F1" w:rsidRDefault="00F67E9E" w:rsidP="007F74AA">
            <w:pPr>
              <w:pStyle w:val="StdBodyText"/>
              <w:spacing w:before="0" w:after="0"/>
              <w:rPr>
                <w:rFonts w:cs="Arial"/>
              </w:rPr>
            </w:pPr>
            <w:r w:rsidRPr="005356F1">
              <w:rPr>
                <w:rFonts w:cs="Arial"/>
              </w:rPr>
              <w:t>Sch </w:t>
            </w:r>
            <w:r w:rsidRPr="005356F1">
              <w:rPr>
                <w:rFonts w:cs="Arial"/>
              </w:rPr>
              <w:fldChar w:fldCharType="begin"/>
            </w:r>
            <w:r w:rsidRPr="005356F1">
              <w:rPr>
                <w:rFonts w:cs="Arial"/>
              </w:rPr>
              <w:instrText xml:space="preserve"> REF _Ref92199339 \h  \# "#"  \* MERGEFORMAT </w:instrText>
            </w:r>
            <w:r w:rsidRPr="005356F1">
              <w:rPr>
                <w:rFonts w:cs="Arial"/>
              </w:rPr>
            </w:r>
            <w:r w:rsidRPr="005356F1">
              <w:rPr>
                <w:rFonts w:cs="Arial"/>
              </w:rPr>
              <w:fldChar w:fldCharType="separate"/>
            </w:r>
            <w:r w:rsidR="00302D39">
              <w:rPr>
                <w:rFonts w:cs="Arial"/>
              </w:rPr>
              <w:t>5</w:t>
            </w:r>
            <w:r w:rsidRPr="005356F1">
              <w:rPr>
                <w:rFonts w:cs="Arial"/>
              </w:rPr>
              <w:fldChar w:fldCharType="end"/>
            </w:r>
            <w:r w:rsidRPr="005356F1">
              <w:rPr>
                <w:rFonts w:cs="Arial"/>
              </w:rPr>
              <w:t xml:space="preserve">, Para </w:t>
            </w:r>
            <w:r w:rsidRPr="005356F1">
              <w:rPr>
                <w:rFonts w:cs="Arial"/>
              </w:rPr>
              <w:fldChar w:fldCharType="begin"/>
            </w:r>
            <w:r w:rsidRPr="005356F1">
              <w:rPr>
                <w:rFonts w:cs="Arial"/>
              </w:rPr>
              <w:instrText xml:space="preserve"> REF _Ref45003125 \w \h  \* MERGEFORMAT </w:instrText>
            </w:r>
            <w:r w:rsidRPr="005356F1">
              <w:rPr>
                <w:rFonts w:cs="Arial"/>
              </w:rPr>
            </w:r>
            <w:r w:rsidRPr="005356F1">
              <w:rPr>
                <w:rFonts w:cs="Arial"/>
              </w:rPr>
              <w:fldChar w:fldCharType="separate"/>
            </w:r>
            <w:r w:rsidR="00302D39">
              <w:rPr>
                <w:rFonts w:cs="Arial"/>
              </w:rPr>
              <w:t>6.1</w:t>
            </w:r>
            <w:r w:rsidRPr="005356F1">
              <w:rPr>
                <w:rFonts w:cs="Arial"/>
              </w:rPr>
              <w:fldChar w:fldCharType="end"/>
            </w:r>
            <w:r w:rsidRPr="005356F1">
              <w:rPr>
                <w:rFonts w:cs="Arial"/>
              </w:rPr>
              <w:t xml:space="preserve">, </w:t>
            </w:r>
            <w:r w:rsidRPr="005356F1">
              <w:rPr>
                <w:rFonts w:cs="Arial"/>
              </w:rPr>
              <w:fldChar w:fldCharType="begin"/>
            </w:r>
            <w:r w:rsidRPr="005356F1">
              <w:rPr>
                <w:rFonts w:cs="Arial"/>
              </w:rPr>
              <w:instrText xml:space="preserve"> REF _Ref45003133 \w \h  \* MERGEFORMAT </w:instrText>
            </w:r>
            <w:r w:rsidRPr="005356F1">
              <w:rPr>
                <w:rFonts w:cs="Arial"/>
              </w:rPr>
            </w:r>
            <w:r w:rsidRPr="005356F1">
              <w:rPr>
                <w:rFonts w:cs="Arial"/>
              </w:rPr>
              <w:fldChar w:fldCharType="separate"/>
            </w:r>
            <w:r w:rsidR="00302D39">
              <w:rPr>
                <w:rFonts w:cs="Arial"/>
              </w:rPr>
              <w:t>6.2</w:t>
            </w:r>
            <w:r w:rsidRPr="005356F1">
              <w:rPr>
                <w:rFonts w:cs="Arial"/>
              </w:rPr>
              <w:fldChar w:fldCharType="end"/>
            </w:r>
            <w:r w:rsidRPr="005356F1">
              <w:rPr>
                <w:rFonts w:cs="Arial"/>
              </w:rPr>
              <w:t xml:space="preserve"> and </w:t>
            </w:r>
            <w:r w:rsidRPr="005356F1">
              <w:rPr>
                <w:rFonts w:cs="Arial"/>
              </w:rPr>
              <w:fldChar w:fldCharType="begin"/>
            </w:r>
            <w:r w:rsidRPr="005356F1">
              <w:rPr>
                <w:rFonts w:cs="Arial"/>
              </w:rPr>
              <w:instrText xml:space="preserve"> REF _Ref45003139 \w \h  \* MERGEFORMAT </w:instrText>
            </w:r>
            <w:r w:rsidRPr="005356F1">
              <w:rPr>
                <w:rFonts w:cs="Arial"/>
              </w:rPr>
            </w:r>
            <w:r w:rsidRPr="005356F1">
              <w:rPr>
                <w:rFonts w:cs="Arial"/>
              </w:rPr>
              <w:fldChar w:fldCharType="separate"/>
            </w:r>
            <w:r w:rsidR="00302D39">
              <w:rPr>
                <w:rFonts w:cs="Arial"/>
              </w:rPr>
              <w:t>6.3</w:t>
            </w:r>
            <w:r w:rsidRPr="005356F1">
              <w:rPr>
                <w:rFonts w:cs="Arial"/>
              </w:rPr>
              <w:fldChar w:fldCharType="end"/>
            </w:r>
          </w:p>
        </w:tc>
        <w:tc>
          <w:tcPr>
            <w:tcW w:w="2966" w:type="dxa"/>
          </w:tcPr>
          <w:p w14:paraId="35E69C63" w14:textId="77777777" w:rsidR="00F67E9E" w:rsidRPr="005356F1" w:rsidRDefault="00F67E9E" w:rsidP="007F74AA">
            <w:pPr>
              <w:pStyle w:val="StdBodyText"/>
              <w:spacing w:before="0" w:after="0"/>
              <w:rPr>
                <w:rFonts w:cs="Arial"/>
              </w:rPr>
            </w:pPr>
            <w:r w:rsidRPr="005356F1">
              <w:rPr>
                <w:rFonts w:cs="Arial"/>
              </w:rPr>
              <w:t>Security certificates</w:t>
            </w:r>
          </w:p>
        </w:tc>
        <w:tc>
          <w:tcPr>
            <w:tcW w:w="1996" w:type="dxa"/>
          </w:tcPr>
          <w:p w14:paraId="6B0A506A" w14:textId="77777777" w:rsidR="00F67E9E" w:rsidRPr="00D00D9A" w:rsidRDefault="00F67E9E" w:rsidP="007F74AA">
            <w:pPr>
              <w:pStyle w:val="StdBodyText"/>
              <w:spacing w:before="0" w:after="0"/>
              <w:rPr>
                <w:rFonts w:cs="Arial"/>
              </w:rPr>
            </w:pPr>
            <w:r w:rsidRPr="00D00D9A">
              <w:rPr>
                <w:rFonts w:cs="Arial"/>
              </w:rPr>
              <w:t>As appropriate and agreed by the Authority</w:t>
            </w:r>
          </w:p>
        </w:tc>
        <w:tc>
          <w:tcPr>
            <w:tcW w:w="2666" w:type="dxa"/>
          </w:tcPr>
          <w:p w14:paraId="05BBD32B" w14:textId="77777777" w:rsidR="00F67E9E" w:rsidRPr="005356F1" w:rsidRDefault="00F67E9E" w:rsidP="007F74AA">
            <w:pPr>
              <w:pStyle w:val="StdBodyText"/>
              <w:spacing w:before="0" w:after="0"/>
              <w:rPr>
                <w:rFonts w:cs="Arial"/>
              </w:rPr>
            </w:pPr>
            <w:r w:rsidRPr="005356F1">
              <w:rPr>
                <w:rFonts w:cs="Arial"/>
              </w:rPr>
              <w:t>Prior to receiving, storing or processing any Authority Data</w:t>
            </w:r>
          </w:p>
        </w:tc>
        <w:tc>
          <w:tcPr>
            <w:tcW w:w="2862" w:type="dxa"/>
          </w:tcPr>
          <w:p w14:paraId="11A0D863" w14:textId="77777777" w:rsidR="00F67E9E" w:rsidRPr="005356F1" w:rsidRDefault="00F67E9E" w:rsidP="007F74AA">
            <w:pPr>
              <w:pStyle w:val="StdBodyText"/>
              <w:spacing w:before="0" w:after="0"/>
              <w:rPr>
                <w:rFonts w:cs="Arial"/>
              </w:rPr>
            </w:pPr>
            <w:r w:rsidRPr="005356F1">
              <w:rPr>
                <w:rFonts w:cs="Arial"/>
              </w:rPr>
              <w:t>-</w:t>
            </w:r>
          </w:p>
        </w:tc>
        <w:tc>
          <w:tcPr>
            <w:tcW w:w="2381" w:type="dxa"/>
          </w:tcPr>
          <w:p w14:paraId="629A178B" w14:textId="77777777" w:rsidR="00F67E9E" w:rsidRPr="005356F1" w:rsidRDefault="00F67E9E" w:rsidP="007F74AA">
            <w:pPr>
              <w:pStyle w:val="StdBodyText"/>
              <w:spacing w:before="0" w:after="0"/>
              <w:rPr>
                <w:rFonts w:cs="Arial"/>
              </w:rPr>
            </w:pPr>
            <w:r w:rsidRPr="005356F1">
              <w:rPr>
                <w:rFonts w:cs="Arial"/>
              </w:rPr>
              <w:t>-</w:t>
            </w:r>
          </w:p>
        </w:tc>
      </w:tr>
      <w:tr w:rsidR="00F67E9E" w:rsidRPr="005356F1" w14:paraId="640FC119" w14:textId="77777777" w:rsidTr="007F74AA">
        <w:trPr>
          <w:trHeight w:val="20"/>
        </w:trPr>
        <w:tc>
          <w:tcPr>
            <w:tcW w:w="2268" w:type="dxa"/>
          </w:tcPr>
          <w:p w14:paraId="4F432157" w14:textId="1F0EB7D1" w:rsidR="00F67E9E" w:rsidRPr="005356F1" w:rsidRDefault="00F67E9E" w:rsidP="007F74AA">
            <w:pPr>
              <w:pStyle w:val="StdBodyText"/>
              <w:spacing w:before="0" w:after="0"/>
              <w:rPr>
                <w:rFonts w:cs="Arial"/>
              </w:rPr>
            </w:pPr>
            <w:r w:rsidRPr="005356F1">
              <w:rPr>
                <w:rFonts w:cs="Arial"/>
                <w:highlight w:val="yellow"/>
              </w:rPr>
              <w:t>[</w:t>
            </w:r>
            <w:bookmarkStart w:id="1859" w:name="_Hlk99019006"/>
            <w:r w:rsidRPr="005356F1">
              <w:rPr>
                <w:rFonts w:cs="Arial"/>
                <w:highlight w:val="yellow"/>
              </w:rPr>
              <w:t xml:space="preserve">If using </w:t>
            </w:r>
            <w:r w:rsidRPr="005356F1">
              <w:rPr>
                <w:rFonts w:cs="Arial"/>
                <w:highlight w:val="yellow"/>
              </w:rPr>
              <w:fldChar w:fldCharType="begin"/>
            </w:r>
            <w:r w:rsidRPr="005356F1">
              <w:rPr>
                <w:rFonts w:cs="Arial"/>
                <w:highlight w:val="yellow"/>
              </w:rPr>
              <w:instrText xml:space="preserve"> REF Sch5PartB \h  \* MERGEFORMAT </w:instrText>
            </w:r>
            <w:r w:rsidRPr="005356F1">
              <w:rPr>
                <w:rFonts w:cs="Arial"/>
                <w:highlight w:val="yellow"/>
              </w:rPr>
            </w:r>
            <w:r w:rsidRPr="005356F1">
              <w:rPr>
                <w:rFonts w:cs="Arial"/>
                <w:highlight w:val="yellow"/>
              </w:rPr>
              <w:fldChar w:fldCharType="separate"/>
            </w:r>
            <w:r w:rsidR="00302D39" w:rsidRPr="00302D39">
              <w:rPr>
                <w:rFonts w:cs="Arial"/>
                <w:highlight w:val="yellow"/>
              </w:rPr>
              <w:t>Part B</w:t>
            </w:r>
            <w:r w:rsidRPr="005356F1">
              <w:rPr>
                <w:rFonts w:cs="Arial"/>
                <w:highlight w:val="yellow"/>
              </w:rPr>
              <w:fldChar w:fldCharType="end"/>
            </w:r>
            <w:r w:rsidRPr="005356F1">
              <w:rPr>
                <w:rFonts w:cs="Arial"/>
                <w:highlight w:val="yellow"/>
              </w:rPr>
              <w:t xml:space="preserve"> – Security Accreditation</w:t>
            </w:r>
            <w:bookmarkEnd w:id="1859"/>
            <w:r w:rsidRPr="005356F1">
              <w:rPr>
                <w:rFonts w:cs="Arial"/>
                <w:highlight w:val="yellow"/>
              </w:rPr>
              <w:t>]</w:t>
            </w:r>
          </w:p>
          <w:p w14:paraId="5D62F69F" w14:textId="75D62F80" w:rsidR="00F67E9E" w:rsidRPr="005356F1" w:rsidRDefault="00F67E9E" w:rsidP="007F74AA">
            <w:pPr>
              <w:pStyle w:val="StdBodyText"/>
              <w:spacing w:before="0" w:after="0"/>
              <w:rPr>
                <w:rFonts w:cs="Arial"/>
                <w:highlight w:val="yellow"/>
              </w:rPr>
            </w:pPr>
            <w:r w:rsidRPr="005356F1">
              <w:rPr>
                <w:rFonts w:cs="Arial"/>
              </w:rPr>
              <w:t>Sch </w:t>
            </w:r>
            <w:r w:rsidRPr="005356F1">
              <w:rPr>
                <w:rFonts w:cs="Arial"/>
              </w:rPr>
              <w:fldChar w:fldCharType="begin"/>
            </w:r>
            <w:r w:rsidRPr="005356F1">
              <w:rPr>
                <w:rFonts w:cs="Arial"/>
              </w:rPr>
              <w:instrText xml:space="preserve"> REF _Ref92199339 \h  \# "#"  \* MERGEFORMAT </w:instrText>
            </w:r>
            <w:r w:rsidRPr="005356F1">
              <w:rPr>
                <w:rFonts w:cs="Arial"/>
              </w:rPr>
            </w:r>
            <w:r w:rsidRPr="005356F1">
              <w:rPr>
                <w:rFonts w:cs="Arial"/>
              </w:rPr>
              <w:fldChar w:fldCharType="separate"/>
            </w:r>
            <w:r w:rsidR="00302D39">
              <w:rPr>
                <w:rFonts w:cs="Arial"/>
              </w:rPr>
              <w:t>5</w:t>
            </w:r>
            <w:r w:rsidRPr="005356F1">
              <w:rPr>
                <w:rFonts w:cs="Arial"/>
              </w:rPr>
              <w:fldChar w:fldCharType="end"/>
            </w:r>
            <w:r w:rsidRPr="005356F1">
              <w:rPr>
                <w:rFonts w:cs="Arial"/>
              </w:rPr>
              <w:t xml:space="preserve">, </w:t>
            </w:r>
            <w:r>
              <w:rPr>
                <w:rFonts w:cs="Arial"/>
              </w:rPr>
              <w:t>P</w:t>
            </w:r>
            <w:r w:rsidRPr="005356F1">
              <w:rPr>
                <w:rFonts w:cs="Arial"/>
              </w:rPr>
              <w:t xml:space="preserve">ara </w:t>
            </w:r>
            <w:r w:rsidRPr="005356F1">
              <w:rPr>
                <w:rFonts w:cs="Arial"/>
              </w:rPr>
              <w:fldChar w:fldCharType="begin"/>
            </w:r>
            <w:r w:rsidRPr="005356F1">
              <w:rPr>
                <w:rFonts w:cs="Arial"/>
              </w:rPr>
              <w:instrText xml:space="preserve"> REF _Ref_ContractCompanion_9kb9Ur676 \w \h  \* MERGEFORMAT </w:instrText>
            </w:r>
            <w:r w:rsidRPr="005356F1">
              <w:rPr>
                <w:rFonts w:cs="Arial"/>
              </w:rPr>
            </w:r>
            <w:r w:rsidRPr="005356F1">
              <w:rPr>
                <w:rFonts w:cs="Arial"/>
              </w:rPr>
              <w:fldChar w:fldCharType="separate"/>
            </w:r>
            <w:r w:rsidR="00302D39">
              <w:rPr>
                <w:rFonts w:cs="Arial"/>
              </w:rPr>
              <w:t>4.2</w:t>
            </w:r>
            <w:r w:rsidRPr="005356F1">
              <w:rPr>
                <w:rFonts w:cs="Arial"/>
              </w:rPr>
              <w:fldChar w:fldCharType="end"/>
            </w:r>
          </w:p>
        </w:tc>
        <w:tc>
          <w:tcPr>
            <w:tcW w:w="2966" w:type="dxa"/>
          </w:tcPr>
          <w:p w14:paraId="389C20CE" w14:textId="77777777" w:rsidR="00F67E9E" w:rsidRPr="005356F1" w:rsidRDefault="00F67E9E" w:rsidP="007F74AA">
            <w:pPr>
              <w:pStyle w:val="StdBodyText"/>
              <w:spacing w:before="0" w:after="0"/>
              <w:rPr>
                <w:rFonts w:cs="Arial"/>
              </w:rPr>
            </w:pPr>
            <w:r w:rsidRPr="005356F1">
              <w:rPr>
                <w:rFonts w:cs="Arial"/>
              </w:rPr>
              <w:t>Core Information Management System diagram</w:t>
            </w:r>
          </w:p>
        </w:tc>
        <w:tc>
          <w:tcPr>
            <w:tcW w:w="1996" w:type="dxa"/>
          </w:tcPr>
          <w:p w14:paraId="58A36004" w14:textId="4A0D3E95" w:rsidR="00F67E9E" w:rsidRPr="00D00D9A" w:rsidRDefault="00F67E9E" w:rsidP="007F74AA">
            <w:pPr>
              <w:pStyle w:val="StdBodyText"/>
              <w:spacing w:before="0" w:after="0"/>
              <w:rPr>
                <w:rFonts w:cs="Arial"/>
              </w:rPr>
            </w:pPr>
            <w:r w:rsidRPr="00D00D9A">
              <w:rPr>
                <w:rFonts w:cs="Arial"/>
              </w:rPr>
              <w:t>Sch </w:t>
            </w:r>
            <w:r w:rsidRPr="00D00D9A">
              <w:rPr>
                <w:rFonts w:cs="Arial"/>
              </w:rPr>
              <w:fldChar w:fldCharType="begin"/>
            </w:r>
            <w:r w:rsidRPr="00D00D9A">
              <w:rPr>
                <w:rFonts w:cs="Arial"/>
              </w:rPr>
              <w:instrText xml:space="preserve"> REF _Ref92199339 \h  \# "#"  \* MERGEFORMAT </w:instrText>
            </w:r>
            <w:r w:rsidRPr="00D00D9A">
              <w:rPr>
                <w:rFonts w:cs="Arial"/>
              </w:rPr>
            </w:r>
            <w:r w:rsidRPr="00D00D9A">
              <w:rPr>
                <w:rFonts w:cs="Arial"/>
              </w:rPr>
              <w:fldChar w:fldCharType="separate"/>
            </w:r>
            <w:r w:rsidR="00302D39">
              <w:rPr>
                <w:rFonts w:cs="Arial"/>
              </w:rPr>
              <w:t>5</w:t>
            </w:r>
            <w:r w:rsidRPr="00D00D9A">
              <w:rPr>
                <w:rFonts w:cs="Arial"/>
              </w:rPr>
              <w:fldChar w:fldCharType="end"/>
            </w:r>
            <w:r w:rsidRPr="00D00D9A">
              <w:rPr>
                <w:rFonts w:cs="Arial"/>
              </w:rPr>
              <w:t xml:space="preserve">, </w:t>
            </w:r>
            <w:r w:rsidRPr="00D00D9A">
              <w:rPr>
                <w:rFonts w:cs="Arial"/>
              </w:rPr>
              <w:fldChar w:fldCharType="begin"/>
            </w:r>
            <w:r w:rsidRPr="00D00D9A">
              <w:rPr>
                <w:rFonts w:cs="Arial"/>
              </w:rPr>
              <w:instrText xml:space="preserve"> REF _Ref_ContractCompanion_9kb9Ur8E9 \h </w:instrText>
            </w:r>
            <w:r>
              <w:rPr>
                <w:rFonts w:cs="Arial"/>
              </w:rPr>
              <w:instrText xml:space="preserve"> \* MERGEFORMAT </w:instrText>
            </w:r>
            <w:r w:rsidRPr="00D00D9A">
              <w:rPr>
                <w:rFonts w:cs="Arial"/>
              </w:rPr>
            </w:r>
            <w:r w:rsidRPr="00D00D9A">
              <w:rPr>
                <w:rFonts w:cs="Arial"/>
              </w:rPr>
              <w:fldChar w:fldCharType="separate"/>
            </w:r>
            <w:r w:rsidR="00302D39" w:rsidRPr="00302D39">
              <w:rPr>
                <w:rFonts w:cs="Arial"/>
              </w:rPr>
              <w:t>Annex 3</w:t>
            </w:r>
            <w:r w:rsidR="00302D39" w:rsidRPr="0077466E">
              <w:t>: In</w:t>
            </w:r>
            <w:r w:rsidR="00302D39" w:rsidRPr="005B59F3">
              <w:t>formation Management System</w:t>
            </w:r>
            <w:r w:rsidRPr="00D00D9A">
              <w:rPr>
                <w:rFonts w:cs="Arial"/>
              </w:rPr>
              <w:fldChar w:fldCharType="end"/>
            </w:r>
          </w:p>
        </w:tc>
        <w:tc>
          <w:tcPr>
            <w:tcW w:w="2666" w:type="dxa"/>
          </w:tcPr>
          <w:p w14:paraId="0EA769D9" w14:textId="77777777" w:rsidR="00F67E9E" w:rsidRPr="005356F1" w:rsidRDefault="00F67E9E" w:rsidP="007F74AA">
            <w:pPr>
              <w:pStyle w:val="StdBodyText"/>
              <w:spacing w:before="0" w:after="0"/>
              <w:rPr>
                <w:rFonts w:cs="Arial"/>
              </w:rPr>
            </w:pPr>
            <w:r w:rsidRPr="005356F1">
              <w:rPr>
                <w:rFonts w:cs="Arial"/>
              </w:rPr>
              <w:t>The date specified in the Detailed Implementation Plan</w:t>
            </w:r>
          </w:p>
        </w:tc>
        <w:tc>
          <w:tcPr>
            <w:tcW w:w="2862" w:type="dxa"/>
          </w:tcPr>
          <w:p w14:paraId="47946EFE" w14:textId="77777777" w:rsidR="00F67E9E" w:rsidRPr="005356F1" w:rsidRDefault="00F67E9E" w:rsidP="007F74AA">
            <w:pPr>
              <w:pStyle w:val="StdBodyText"/>
              <w:spacing w:before="0" w:after="0"/>
              <w:rPr>
                <w:rFonts w:cs="Arial"/>
              </w:rPr>
            </w:pPr>
            <w:r w:rsidRPr="005356F1">
              <w:rPr>
                <w:rFonts w:cs="Arial"/>
              </w:rPr>
              <w:t>Regular review and at least annually</w:t>
            </w:r>
          </w:p>
        </w:tc>
        <w:tc>
          <w:tcPr>
            <w:tcW w:w="2381" w:type="dxa"/>
          </w:tcPr>
          <w:p w14:paraId="2472D2DA" w14:textId="77777777" w:rsidR="00F67E9E" w:rsidRPr="005356F1" w:rsidRDefault="00F67E9E" w:rsidP="007F74AA">
            <w:pPr>
              <w:pStyle w:val="StdBodyText"/>
              <w:spacing w:before="0" w:after="0"/>
              <w:rPr>
                <w:rFonts w:cs="Arial"/>
              </w:rPr>
            </w:pPr>
            <w:r w:rsidRPr="005356F1">
              <w:rPr>
                <w:rFonts w:cs="Arial"/>
              </w:rPr>
              <w:t>Authority</w:t>
            </w:r>
          </w:p>
        </w:tc>
      </w:tr>
      <w:tr w:rsidR="00F67E9E" w:rsidRPr="005356F1" w14:paraId="104DB1B2" w14:textId="77777777" w:rsidTr="007F74AA">
        <w:trPr>
          <w:trHeight w:val="20"/>
        </w:trPr>
        <w:tc>
          <w:tcPr>
            <w:tcW w:w="2268" w:type="dxa"/>
          </w:tcPr>
          <w:p w14:paraId="4B6FB5FF" w14:textId="347AAC46" w:rsidR="00F67E9E" w:rsidRPr="005356F1" w:rsidRDefault="00F67E9E" w:rsidP="007F74AA">
            <w:pPr>
              <w:pStyle w:val="StdBodyText"/>
              <w:spacing w:before="0" w:after="0"/>
              <w:rPr>
                <w:rFonts w:cs="Arial"/>
              </w:rPr>
            </w:pPr>
            <w:r w:rsidRPr="005356F1">
              <w:rPr>
                <w:rFonts w:cs="Arial"/>
                <w:highlight w:val="yellow"/>
              </w:rPr>
              <w:t xml:space="preserve">[If using </w:t>
            </w:r>
            <w:r w:rsidRPr="005356F1">
              <w:rPr>
                <w:rFonts w:cs="Arial"/>
                <w:highlight w:val="yellow"/>
              </w:rPr>
              <w:fldChar w:fldCharType="begin"/>
            </w:r>
            <w:r w:rsidRPr="005356F1">
              <w:rPr>
                <w:rFonts w:cs="Arial"/>
                <w:highlight w:val="yellow"/>
              </w:rPr>
              <w:instrText xml:space="preserve"> REF Sch5PartB \h  \* MERGEFORMAT </w:instrText>
            </w:r>
            <w:r w:rsidRPr="005356F1">
              <w:rPr>
                <w:rFonts w:cs="Arial"/>
                <w:highlight w:val="yellow"/>
              </w:rPr>
            </w:r>
            <w:r w:rsidRPr="005356F1">
              <w:rPr>
                <w:rFonts w:cs="Arial"/>
                <w:highlight w:val="yellow"/>
              </w:rPr>
              <w:fldChar w:fldCharType="separate"/>
            </w:r>
            <w:r w:rsidR="00302D39" w:rsidRPr="00302D39">
              <w:rPr>
                <w:rFonts w:cs="Arial"/>
                <w:highlight w:val="yellow"/>
              </w:rPr>
              <w:t>Part B</w:t>
            </w:r>
            <w:r w:rsidRPr="005356F1">
              <w:rPr>
                <w:rFonts w:cs="Arial"/>
                <w:highlight w:val="yellow"/>
              </w:rPr>
              <w:fldChar w:fldCharType="end"/>
            </w:r>
            <w:r w:rsidRPr="005356F1">
              <w:rPr>
                <w:rFonts w:cs="Arial"/>
                <w:highlight w:val="yellow"/>
              </w:rPr>
              <w:t xml:space="preserve"> – Security Accreditation]</w:t>
            </w:r>
          </w:p>
          <w:p w14:paraId="17A5D048" w14:textId="35E11366" w:rsidR="00F67E9E" w:rsidRPr="005356F1" w:rsidRDefault="00F67E9E" w:rsidP="007F74AA">
            <w:pPr>
              <w:pStyle w:val="StdBodyText"/>
              <w:spacing w:before="0" w:after="0"/>
              <w:rPr>
                <w:rFonts w:cs="Arial"/>
                <w:highlight w:val="yellow"/>
              </w:rPr>
            </w:pPr>
            <w:r w:rsidRPr="005356F1">
              <w:rPr>
                <w:rFonts w:cs="Arial"/>
              </w:rPr>
              <w:t>Sch </w:t>
            </w:r>
            <w:r w:rsidRPr="005356F1">
              <w:rPr>
                <w:rFonts w:cs="Arial"/>
              </w:rPr>
              <w:fldChar w:fldCharType="begin"/>
            </w:r>
            <w:r w:rsidRPr="005356F1">
              <w:rPr>
                <w:rFonts w:cs="Arial"/>
              </w:rPr>
              <w:instrText xml:space="preserve"> REF _Ref92199339 \h  \# "#"  \* MERGEFORMAT </w:instrText>
            </w:r>
            <w:r w:rsidRPr="005356F1">
              <w:rPr>
                <w:rFonts w:cs="Arial"/>
              </w:rPr>
            </w:r>
            <w:r w:rsidRPr="005356F1">
              <w:rPr>
                <w:rFonts w:cs="Arial"/>
              </w:rPr>
              <w:fldChar w:fldCharType="separate"/>
            </w:r>
            <w:r w:rsidR="00302D39">
              <w:rPr>
                <w:rFonts w:cs="Arial"/>
              </w:rPr>
              <w:t>5</w:t>
            </w:r>
            <w:r w:rsidRPr="005356F1">
              <w:rPr>
                <w:rFonts w:cs="Arial"/>
              </w:rPr>
              <w:fldChar w:fldCharType="end"/>
            </w:r>
            <w:r w:rsidRPr="005356F1">
              <w:rPr>
                <w:rFonts w:cs="Arial"/>
              </w:rPr>
              <w:t xml:space="preserve">, </w:t>
            </w:r>
            <w:r>
              <w:rPr>
                <w:rFonts w:cs="Arial"/>
              </w:rPr>
              <w:t>P</w:t>
            </w:r>
            <w:r w:rsidRPr="005356F1">
              <w:rPr>
                <w:rFonts w:cs="Arial"/>
              </w:rPr>
              <w:t xml:space="preserve">ara </w:t>
            </w:r>
            <w:r w:rsidRPr="005356F1">
              <w:rPr>
                <w:rFonts w:cs="Arial"/>
              </w:rPr>
              <w:fldChar w:fldCharType="begin"/>
            </w:r>
            <w:r w:rsidRPr="005356F1">
              <w:rPr>
                <w:rFonts w:cs="Arial"/>
              </w:rPr>
              <w:instrText xml:space="preserve"> REF _Ref_ContractCompanion_9kb9Ur7HD \w \h  \* MERGEFORMAT </w:instrText>
            </w:r>
            <w:r w:rsidRPr="005356F1">
              <w:rPr>
                <w:rFonts w:cs="Arial"/>
              </w:rPr>
            </w:r>
            <w:r w:rsidRPr="005356F1">
              <w:rPr>
                <w:rFonts w:cs="Arial"/>
              </w:rPr>
              <w:fldChar w:fldCharType="separate"/>
            </w:r>
            <w:r w:rsidR="00302D39">
              <w:rPr>
                <w:rFonts w:cs="Arial"/>
              </w:rPr>
              <w:t>7.1</w:t>
            </w:r>
            <w:r w:rsidRPr="005356F1">
              <w:rPr>
                <w:rFonts w:cs="Arial"/>
              </w:rPr>
              <w:fldChar w:fldCharType="end"/>
            </w:r>
            <w:r w:rsidRPr="005356F1">
              <w:rPr>
                <w:rFonts w:cs="Arial"/>
              </w:rPr>
              <w:t xml:space="preserve">, </w:t>
            </w:r>
            <w:r w:rsidRPr="005356F1">
              <w:rPr>
                <w:rFonts w:cs="Arial"/>
              </w:rPr>
              <w:fldChar w:fldCharType="begin"/>
            </w:r>
            <w:r w:rsidRPr="005356F1">
              <w:rPr>
                <w:rFonts w:cs="Arial"/>
              </w:rPr>
              <w:instrText xml:space="preserve"> REF _Ref45003242 \w \h  \* MERGEFORMAT </w:instrText>
            </w:r>
            <w:r w:rsidRPr="005356F1">
              <w:rPr>
                <w:rFonts w:cs="Arial"/>
              </w:rPr>
            </w:r>
            <w:r w:rsidRPr="005356F1">
              <w:rPr>
                <w:rFonts w:cs="Arial"/>
              </w:rPr>
              <w:fldChar w:fldCharType="separate"/>
            </w:r>
            <w:r w:rsidR="00302D39">
              <w:rPr>
                <w:rFonts w:cs="Arial"/>
              </w:rPr>
              <w:t>7.4</w:t>
            </w:r>
            <w:r w:rsidRPr="005356F1">
              <w:rPr>
                <w:rFonts w:cs="Arial"/>
              </w:rPr>
              <w:fldChar w:fldCharType="end"/>
            </w:r>
            <w:r w:rsidRPr="005356F1">
              <w:rPr>
                <w:rFonts w:cs="Arial"/>
              </w:rPr>
              <w:t xml:space="preserve">, </w:t>
            </w:r>
            <w:r w:rsidRPr="005356F1">
              <w:rPr>
                <w:rFonts w:cs="Arial"/>
              </w:rPr>
              <w:fldChar w:fldCharType="begin"/>
            </w:r>
            <w:r w:rsidRPr="005356F1">
              <w:rPr>
                <w:rFonts w:cs="Arial"/>
              </w:rPr>
              <w:instrText xml:space="preserve"> REF _Ref45003248 \w \h  \* MERGEFORMAT </w:instrText>
            </w:r>
            <w:r w:rsidRPr="005356F1">
              <w:rPr>
                <w:rFonts w:cs="Arial"/>
              </w:rPr>
            </w:r>
            <w:r w:rsidRPr="005356F1">
              <w:rPr>
                <w:rFonts w:cs="Arial"/>
              </w:rPr>
              <w:fldChar w:fldCharType="separate"/>
            </w:r>
            <w:r w:rsidR="00302D39">
              <w:rPr>
                <w:rFonts w:cs="Arial"/>
              </w:rPr>
              <w:t>7.6</w:t>
            </w:r>
            <w:r w:rsidRPr="005356F1">
              <w:rPr>
                <w:rFonts w:cs="Arial"/>
              </w:rPr>
              <w:fldChar w:fldCharType="end"/>
            </w:r>
          </w:p>
        </w:tc>
        <w:tc>
          <w:tcPr>
            <w:tcW w:w="2966" w:type="dxa"/>
          </w:tcPr>
          <w:p w14:paraId="4F340910" w14:textId="77777777" w:rsidR="00F67E9E" w:rsidRPr="005356F1" w:rsidRDefault="00F67E9E" w:rsidP="007F74AA">
            <w:pPr>
              <w:pStyle w:val="StdBodyText"/>
              <w:spacing w:before="0" w:after="0"/>
              <w:rPr>
                <w:rFonts w:cs="Arial"/>
              </w:rPr>
            </w:pPr>
            <w:r w:rsidRPr="005356F1">
              <w:rPr>
                <w:rFonts w:cs="Arial"/>
              </w:rPr>
              <w:t>Security certificates</w:t>
            </w:r>
          </w:p>
        </w:tc>
        <w:tc>
          <w:tcPr>
            <w:tcW w:w="1996" w:type="dxa"/>
          </w:tcPr>
          <w:p w14:paraId="1A4C796A" w14:textId="4D261433" w:rsidR="00F67E9E" w:rsidRPr="005356F1" w:rsidRDefault="00F67E9E" w:rsidP="007F74AA">
            <w:pPr>
              <w:pStyle w:val="StdBodyText"/>
              <w:spacing w:before="0" w:after="0"/>
              <w:rPr>
                <w:rFonts w:cs="Arial"/>
              </w:rPr>
            </w:pPr>
            <w:r w:rsidRPr="005356F1">
              <w:rPr>
                <w:rFonts w:cs="Arial"/>
              </w:rPr>
              <w:t>Sch </w:t>
            </w:r>
            <w:r w:rsidRPr="005356F1">
              <w:rPr>
                <w:rFonts w:cs="Arial"/>
              </w:rPr>
              <w:fldChar w:fldCharType="begin"/>
            </w:r>
            <w:r w:rsidRPr="005356F1">
              <w:rPr>
                <w:rFonts w:cs="Arial"/>
              </w:rPr>
              <w:instrText xml:space="preserve"> REF _Ref92199339 \h  \# "#"  \* MERGEFORMAT </w:instrText>
            </w:r>
            <w:r w:rsidRPr="005356F1">
              <w:rPr>
                <w:rFonts w:cs="Arial"/>
              </w:rPr>
            </w:r>
            <w:r w:rsidRPr="005356F1">
              <w:rPr>
                <w:rFonts w:cs="Arial"/>
              </w:rPr>
              <w:fldChar w:fldCharType="separate"/>
            </w:r>
            <w:r w:rsidR="00302D39">
              <w:rPr>
                <w:rFonts w:cs="Arial"/>
              </w:rPr>
              <w:t>5</w:t>
            </w:r>
            <w:r w:rsidRPr="005356F1">
              <w:rPr>
                <w:rFonts w:cs="Arial"/>
              </w:rPr>
              <w:fldChar w:fldCharType="end"/>
            </w:r>
            <w:r w:rsidRPr="00D00D9A">
              <w:rPr>
                <w:rFonts w:cs="Arial"/>
              </w:rPr>
              <w:t xml:space="preserve">, Annex </w:t>
            </w:r>
            <w:r w:rsidRPr="00D00D9A">
              <w:rPr>
                <w:rFonts w:cs="Arial"/>
              </w:rPr>
              <w:fldChar w:fldCharType="begin"/>
            </w:r>
            <w:r w:rsidRPr="00D00D9A">
              <w:rPr>
                <w:rFonts w:cs="Arial"/>
              </w:rPr>
              <w:instrText xml:space="preserve"> REF ANNEX3_PARTA_SCHEDULE5 \h  \* MERGEFORMAT </w:instrText>
            </w:r>
            <w:r w:rsidRPr="00D00D9A">
              <w:rPr>
                <w:rFonts w:cs="Arial"/>
              </w:rPr>
            </w:r>
            <w:r w:rsidRPr="00D00D9A">
              <w:rPr>
                <w:rFonts w:cs="Arial"/>
              </w:rPr>
              <w:fldChar w:fldCharType="separate"/>
            </w:r>
            <w:r w:rsidR="00302D39" w:rsidRPr="00302D39">
              <w:rPr>
                <w:rFonts w:cs="Arial"/>
              </w:rPr>
              <w:t>3</w:t>
            </w:r>
            <w:r w:rsidRPr="00D00D9A">
              <w:rPr>
                <w:rFonts w:cs="Arial"/>
              </w:rPr>
              <w:fldChar w:fldCharType="end"/>
            </w:r>
          </w:p>
        </w:tc>
        <w:tc>
          <w:tcPr>
            <w:tcW w:w="2666" w:type="dxa"/>
          </w:tcPr>
          <w:p w14:paraId="02DA9FBE" w14:textId="77777777" w:rsidR="00F67E9E" w:rsidRPr="005356F1" w:rsidRDefault="00F67E9E" w:rsidP="007F74AA">
            <w:pPr>
              <w:pStyle w:val="StdBodyText"/>
              <w:spacing w:before="0" w:after="0"/>
              <w:rPr>
                <w:rFonts w:cs="Arial"/>
              </w:rPr>
            </w:pPr>
            <w:r w:rsidRPr="005356F1">
              <w:rPr>
                <w:rFonts w:cs="Arial"/>
              </w:rPr>
              <w:t>Prior to receiving, storing or processing any Authority Data</w:t>
            </w:r>
          </w:p>
        </w:tc>
        <w:tc>
          <w:tcPr>
            <w:tcW w:w="2862" w:type="dxa"/>
          </w:tcPr>
          <w:p w14:paraId="182EF366" w14:textId="77777777" w:rsidR="00F67E9E" w:rsidRPr="005356F1" w:rsidRDefault="00F67E9E" w:rsidP="007F74AA">
            <w:pPr>
              <w:pStyle w:val="StdBodyText"/>
              <w:spacing w:before="0" w:after="0"/>
              <w:rPr>
                <w:rFonts w:cs="Arial"/>
              </w:rPr>
            </w:pPr>
            <w:r w:rsidRPr="005356F1">
              <w:rPr>
                <w:rFonts w:cs="Arial"/>
              </w:rPr>
              <w:t>-</w:t>
            </w:r>
          </w:p>
        </w:tc>
        <w:tc>
          <w:tcPr>
            <w:tcW w:w="2381" w:type="dxa"/>
          </w:tcPr>
          <w:p w14:paraId="5C3C4C73" w14:textId="77777777" w:rsidR="00F67E9E" w:rsidRPr="005356F1" w:rsidRDefault="00F67E9E" w:rsidP="007F74AA">
            <w:pPr>
              <w:pStyle w:val="StdBodyText"/>
              <w:spacing w:before="0" w:after="0"/>
              <w:rPr>
                <w:rFonts w:cs="Arial"/>
              </w:rPr>
            </w:pPr>
            <w:r w:rsidRPr="005356F1">
              <w:rPr>
                <w:rFonts w:cs="Arial"/>
              </w:rPr>
              <w:t>-</w:t>
            </w:r>
          </w:p>
        </w:tc>
      </w:tr>
      <w:tr w:rsidR="00F67E9E" w:rsidRPr="005356F1" w14:paraId="122F2E4B" w14:textId="77777777" w:rsidTr="007F74AA">
        <w:trPr>
          <w:trHeight w:val="20"/>
        </w:trPr>
        <w:tc>
          <w:tcPr>
            <w:tcW w:w="2268" w:type="dxa"/>
          </w:tcPr>
          <w:p w14:paraId="0FA6ABF2" w14:textId="5F996C0C" w:rsidR="00F67E9E" w:rsidRPr="005356F1" w:rsidRDefault="00F67E9E" w:rsidP="007F74AA">
            <w:pPr>
              <w:pStyle w:val="StdBodyText"/>
              <w:spacing w:before="0" w:after="0"/>
              <w:rPr>
                <w:rFonts w:cs="Arial"/>
              </w:rPr>
            </w:pPr>
            <w:r w:rsidRPr="005356F1">
              <w:rPr>
                <w:rFonts w:cs="Arial"/>
              </w:rPr>
              <w:t xml:space="preserve">Sch </w:t>
            </w:r>
            <w:r w:rsidRPr="005356F1">
              <w:rPr>
                <w:rFonts w:cs="Arial"/>
              </w:rPr>
              <w:fldChar w:fldCharType="begin"/>
            </w:r>
            <w:r w:rsidRPr="005356F1">
              <w:rPr>
                <w:rFonts w:cs="Arial"/>
              </w:rPr>
              <w:instrText xml:space="preserve"> REF _Ref92199868 \h  \# "#"  \* MERGEFORMAT </w:instrText>
            </w:r>
            <w:r w:rsidRPr="005356F1">
              <w:rPr>
                <w:rFonts w:cs="Arial"/>
              </w:rPr>
            </w:r>
            <w:r w:rsidRPr="005356F1">
              <w:rPr>
                <w:rFonts w:cs="Arial"/>
              </w:rPr>
              <w:fldChar w:fldCharType="separate"/>
            </w:r>
            <w:r w:rsidR="00302D39">
              <w:rPr>
                <w:rFonts w:cs="Arial"/>
              </w:rPr>
              <w:t>6</w:t>
            </w:r>
            <w:r w:rsidRPr="005356F1">
              <w:rPr>
                <w:rFonts w:cs="Arial"/>
              </w:rPr>
              <w:fldChar w:fldCharType="end"/>
            </w:r>
            <w:r w:rsidRPr="005356F1">
              <w:rPr>
                <w:rFonts w:cs="Arial"/>
              </w:rPr>
              <w:t xml:space="preserve">, </w:t>
            </w:r>
            <w:bookmarkStart w:id="1860" w:name="_9kMIH5YVtCIBDFGPEyq1QLhZC7ro5J65GJPR959"/>
            <w:r w:rsidRPr="005356F1">
              <w:rPr>
                <w:rFonts w:cs="Arial"/>
              </w:rPr>
              <w:t xml:space="preserve">Para </w:t>
            </w:r>
            <w:r w:rsidRPr="005356F1">
              <w:rPr>
                <w:rFonts w:cs="Arial"/>
              </w:rPr>
              <w:fldChar w:fldCharType="begin"/>
            </w:r>
            <w:r w:rsidRPr="005356F1">
              <w:rPr>
                <w:rFonts w:cs="Arial"/>
              </w:rPr>
              <w:instrText xml:space="preserve"> REF _Ref_ContractCompanion_9kb9Us794 \w \n \h \t \* MERGEFORMAT </w:instrText>
            </w:r>
            <w:r w:rsidRPr="005356F1">
              <w:rPr>
                <w:rFonts w:cs="Arial"/>
              </w:rPr>
            </w:r>
            <w:r w:rsidRPr="005356F1">
              <w:rPr>
                <w:rFonts w:cs="Arial"/>
              </w:rPr>
              <w:fldChar w:fldCharType="separate"/>
            </w:r>
            <w:r w:rsidR="00302D39">
              <w:rPr>
                <w:rFonts w:cs="Arial"/>
              </w:rPr>
              <w:t>4</w:t>
            </w:r>
            <w:r w:rsidRPr="005356F1">
              <w:rPr>
                <w:rFonts w:cs="Arial"/>
              </w:rPr>
              <w:fldChar w:fldCharType="end"/>
            </w:r>
            <w:bookmarkEnd w:id="1860"/>
          </w:p>
        </w:tc>
        <w:tc>
          <w:tcPr>
            <w:tcW w:w="2966" w:type="dxa"/>
          </w:tcPr>
          <w:p w14:paraId="081F11D3" w14:textId="77777777" w:rsidR="00F67E9E" w:rsidRPr="005356F1" w:rsidRDefault="00F67E9E" w:rsidP="007F74AA">
            <w:pPr>
              <w:pStyle w:val="StdBodyText"/>
              <w:spacing w:before="0" w:after="0"/>
              <w:rPr>
                <w:rFonts w:cs="Arial"/>
              </w:rPr>
            </w:pPr>
            <w:r w:rsidRPr="005356F1">
              <w:rPr>
                <w:rFonts w:cs="Arial"/>
              </w:rPr>
              <w:t>Evidence of Insurances</w:t>
            </w:r>
          </w:p>
        </w:tc>
        <w:tc>
          <w:tcPr>
            <w:tcW w:w="1996" w:type="dxa"/>
          </w:tcPr>
          <w:p w14:paraId="2AFB73E4" w14:textId="532E12D9" w:rsidR="00F67E9E" w:rsidRPr="005356F1" w:rsidRDefault="00F67E9E" w:rsidP="007F74AA">
            <w:pPr>
              <w:pStyle w:val="StdBodyText"/>
              <w:spacing w:before="0" w:after="0"/>
              <w:rPr>
                <w:rFonts w:cs="Arial"/>
              </w:rPr>
            </w:pPr>
            <w:r w:rsidRPr="005356F1">
              <w:rPr>
                <w:rFonts w:cs="Arial"/>
              </w:rPr>
              <w:t xml:space="preserve">Sch </w:t>
            </w:r>
            <w:r w:rsidRPr="005356F1">
              <w:rPr>
                <w:rFonts w:cs="Arial"/>
              </w:rPr>
              <w:fldChar w:fldCharType="begin"/>
            </w:r>
            <w:r w:rsidRPr="005356F1">
              <w:rPr>
                <w:rFonts w:cs="Arial"/>
              </w:rPr>
              <w:instrText xml:space="preserve"> REF _Ref92199868 \h  \# "#"  \* MERGEFORMAT </w:instrText>
            </w:r>
            <w:r w:rsidRPr="005356F1">
              <w:rPr>
                <w:rFonts w:cs="Arial"/>
              </w:rPr>
            </w:r>
            <w:r w:rsidRPr="005356F1">
              <w:rPr>
                <w:rFonts w:cs="Arial"/>
              </w:rPr>
              <w:fldChar w:fldCharType="separate"/>
            </w:r>
            <w:r w:rsidR="00302D39">
              <w:rPr>
                <w:rFonts w:cs="Arial"/>
              </w:rPr>
              <w:t>6</w:t>
            </w:r>
            <w:r w:rsidRPr="005356F1">
              <w:rPr>
                <w:rFonts w:cs="Arial"/>
              </w:rPr>
              <w:fldChar w:fldCharType="end"/>
            </w:r>
          </w:p>
        </w:tc>
        <w:tc>
          <w:tcPr>
            <w:tcW w:w="2666" w:type="dxa"/>
          </w:tcPr>
          <w:p w14:paraId="0B99BA10" w14:textId="77777777" w:rsidR="00F67E9E" w:rsidRPr="005356F1" w:rsidRDefault="00F67E9E" w:rsidP="007F74AA">
            <w:pPr>
              <w:pStyle w:val="StdBodyText"/>
              <w:spacing w:before="0" w:after="0"/>
              <w:rPr>
                <w:rFonts w:cs="Arial"/>
              </w:rPr>
            </w:pPr>
            <w:r w:rsidRPr="005356F1">
              <w:rPr>
                <w:rFonts w:cs="Arial"/>
              </w:rPr>
              <w:t xml:space="preserve">Effective Date </w:t>
            </w:r>
          </w:p>
        </w:tc>
        <w:tc>
          <w:tcPr>
            <w:tcW w:w="2862" w:type="dxa"/>
          </w:tcPr>
          <w:p w14:paraId="2383AF30" w14:textId="77777777" w:rsidR="00F67E9E" w:rsidRPr="005356F1" w:rsidRDefault="00F67E9E" w:rsidP="007F74AA">
            <w:pPr>
              <w:pStyle w:val="StdBodyText"/>
              <w:spacing w:before="0" w:after="0"/>
              <w:rPr>
                <w:rFonts w:cs="Arial"/>
              </w:rPr>
            </w:pPr>
            <w:r w:rsidRPr="005356F1">
              <w:rPr>
                <w:rFonts w:cs="Arial"/>
              </w:rPr>
              <w:t>Within fifteen (15) days after policy renewal or replacement</w:t>
            </w:r>
          </w:p>
        </w:tc>
        <w:tc>
          <w:tcPr>
            <w:tcW w:w="2381" w:type="dxa"/>
          </w:tcPr>
          <w:p w14:paraId="0DE480D5" w14:textId="77777777" w:rsidR="00F67E9E" w:rsidRPr="005356F1" w:rsidRDefault="00F67E9E" w:rsidP="007F74AA">
            <w:pPr>
              <w:pStyle w:val="StdBodyText"/>
              <w:spacing w:before="0" w:after="0"/>
              <w:rPr>
                <w:rFonts w:cs="Arial"/>
              </w:rPr>
            </w:pPr>
            <w:r w:rsidRPr="005356F1">
              <w:rPr>
                <w:rFonts w:cs="Arial"/>
              </w:rPr>
              <w:t>Authority</w:t>
            </w:r>
          </w:p>
        </w:tc>
      </w:tr>
      <w:tr w:rsidR="00F67E9E" w:rsidRPr="005356F1" w14:paraId="500910EF" w14:textId="77777777" w:rsidTr="007F74AA">
        <w:trPr>
          <w:trHeight w:val="20"/>
        </w:trPr>
        <w:tc>
          <w:tcPr>
            <w:tcW w:w="2268" w:type="dxa"/>
          </w:tcPr>
          <w:p w14:paraId="370FAE97" w14:textId="019A9B33" w:rsidR="00F67E9E" w:rsidRPr="005356F1" w:rsidRDefault="00F67E9E" w:rsidP="007F74AA">
            <w:pPr>
              <w:pStyle w:val="StdBodyText"/>
              <w:spacing w:before="0" w:after="0"/>
              <w:rPr>
                <w:rFonts w:cs="Arial"/>
              </w:rPr>
            </w:pPr>
            <w:r w:rsidRPr="005356F1">
              <w:rPr>
                <w:rFonts w:cs="Arial"/>
              </w:rPr>
              <w:t xml:space="preserve">Sch </w:t>
            </w:r>
            <w:r w:rsidRPr="007D3E82">
              <w:rPr>
                <w:rFonts w:cs="Arial"/>
              </w:rPr>
              <w:fldChar w:fldCharType="begin"/>
            </w:r>
            <w:r w:rsidRPr="005356F1">
              <w:rPr>
                <w:rFonts w:cs="Arial"/>
              </w:rPr>
              <w:instrText xml:space="preserve"> REF _Ref92199904 \h  \# "#"  \* MERGEFORMAT </w:instrText>
            </w:r>
            <w:r w:rsidRPr="007D3E82">
              <w:rPr>
                <w:rFonts w:cs="Arial"/>
              </w:rPr>
            </w:r>
            <w:r w:rsidRPr="007D3E82">
              <w:rPr>
                <w:rFonts w:cs="Arial"/>
              </w:rPr>
              <w:fldChar w:fldCharType="separate"/>
            </w:r>
            <w:r w:rsidR="00302D39">
              <w:rPr>
                <w:rFonts w:cs="Arial"/>
              </w:rPr>
              <w:t>9</w:t>
            </w:r>
            <w:r w:rsidRPr="007D3E82">
              <w:rPr>
                <w:rFonts w:cs="Arial"/>
              </w:rPr>
              <w:fldChar w:fldCharType="end"/>
            </w:r>
          </w:p>
        </w:tc>
        <w:tc>
          <w:tcPr>
            <w:tcW w:w="2966" w:type="dxa"/>
          </w:tcPr>
          <w:p w14:paraId="6FA9AB4C" w14:textId="77777777" w:rsidR="00F67E9E" w:rsidRPr="005356F1" w:rsidRDefault="00F67E9E" w:rsidP="007F74AA">
            <w:pPr>
              <w:pStyle w:val="StdBodyText"/>
              <w:spacing w:before="0" w:after="0"/>
              <w:rPr>
                <w:rFonts w:cs="Arial"/>
              </w:rPr>
            </w:pPr>
            <w:r w:rsidRPr="005356F1">
              <w:rPr>
                <w:rFonts w:cs="Arial"/>
              </w:rPr>
              <w:t xml:space="preserve">Commercially Sensitive Information </w:t>
            </w:r>
          </w:p>
        </w:tc>
        <w:tc>
          <w:tcPr>
            <w:tcW w:w="1996" w:type="dxa"/>
          </w:tcPr>
          <w:p w14:paraId="5B1D77A5" w14:textId="50E0E046" w:rsidR="00F67E9E" w:rsidRPr="005356F1" w:rsidRDefault="00F67E9E" w:rsidP="007F74AA">
            <w:pPr>
              <w:pStyle w:val="StdBodyText"/>
              <w:spacing w:before="0" w:after="0"/>
              <w:rPr>
                <w:rFonts w:cs="Arial"/>
              </w:rPr>
            </w:pPr>
            <w:bookmarkStart w:id="1861" w:name="_9kMHG5YVtCIBDHFGGgTlXiC85zt3I9sx936LTTE"/>
            <w:r w:rsidRPr="005356F1">
              <w:rPr>
                <w:rFonts w:cs="Arial"/>
              </w:rPr>
              <w:t xml:space="preserve">Sch </w:t>
            </w:r>
            <w:bookmarkEnd w:id="1861"/>
            <w:r w:rsidRPr="007D3E82">
              <w:rPr>
                <w:rFonts w:cs="Arial"/>
              </w:rPr>
              <w:fldChar w:fldCharType="begin"/>
            </w:r>
            <w:r w:rsidRPr="005356F1">
              <w:rPr>
                <w:rFonts w:cs="Arial"/>
              </w:rPr>
              <w:instrText xml:space="preserve"> REF _Ref92199904 \h  \# "#"  \* MERGEFORMAT </w:instrText>
            </w:r>
            <w:r w:rsidRPr="007D3E82">
              <w:rPr>
                <w:rFonts w:cs="Arial"/>
              </w:rPr>
            </w:r>
            <w:r w:rsidRPr="007D3E82">
              <w:rPr>
                <w:rFonts w:cs="Arial"/>
              </w:rPr>
              <w:fldChar w:fldCharType="separate"/>
            </w:r>
            <w:r w:rsidR="00302D39">
              <w:rPr>
                <w:rFonts w:cs="Arial"/>
              </w:rPr>
              <w:t>9</w:t>
            </w:r>
            <w:r w:rsidRPr="007D3E82">
              <w:rPr>
                <w:rFonts w:cs="Arial"/>
              </w:rPr>
              <w:fldChar w:fldCharType="end"/>
            </w:r>
          </w:p>
        </w:tc>
        <w:tc>
          <w:tcPr>
            <w:tcW w:w="2666" w:type="dxa"/>
          </w:tcPr>
          <w:p w14:paraId="1483EAA8" w14:textId="77777777" w:rsidR="00F67E9E" w:rsidRPr="005356F1" w:rsidRDefault="00F67E9E" w:rsidP="007F74AA">
            <w:pPr>
              <w:pStyle w:val="StdBodyText"/>
              <w:spacing w:before="0" w:after="0"/>
              <w:rPr>
                <w:rFonts w:cs="Arial"/>
              </w:rPr>
            </w:pPr>
            <w:r w:rsidRPr="005356F1">
              <w:rPr>
                <w:rFonts w:cs="Arial"/>
              </w:rPr>
              <w:t xml:space="preserve">Effective Date </w:t>
            </w:r>
          </w:p>
        </w:tc>
        <w:tc>
          <w:tcPr>
            <w:tcW w:w="2862" w:type="dxa"/>
          </w:tcPr>
          <w:p w14:paraId="23CDF039" w14:textId="77777777" w:rsidR="00F67E9E" w:rsidRPr="005356F1" w:rsidRDefault="00F67E9E" w:rsidP="007F74AA">
            <w:pPr>
              <w:pStyle w:val="StdBodyText"/>
              <w:spacing w:before="0" w:after="0"/>
              <w:rPr>
                <w:rFonts w:cs="Arial"/>
              </w:rPr>
            </w:pPr>
            <w:r w:rsidRPr="00D00D9A">
              <w:rPr>
                <w:rFonts w:cs="Arial"/>
              </w:rPr>
              <w:t>Upon Agreement by</w:t>
            </w:r>
            <w:r w:rsidRPr="005356F1">
              <w:rPr>
                <w:rFonts w:cs="Arial"/>
              </w:rPr>
              <w:t xml:space="preserve"> the Authority to vary the information</w:t>
            </w:r>
          </w:p>
        </w:tc>
        <w:tc>
          <w:tcPr>
            <w:tcW w:w="2381" w:type="dxa"/>
          </w:tcPr>
          <w:p w14:paraId="2E856F3C" w14:textId="77777777" w:rsidR="00F67E9E" w:rsidRPr="005356F1" w:rsidRDefault="00F67E9E" w:rsidP="007F74AA">
            <w:pPr>
              <w:pStyle w:val="StdBodyText"/>
              <w:spacing w:before="0" w:after="0"/>
              <w:rPr>
                <w:rFonts w:cs="Arial"/>
              </w:rPr>
            </w:pPr>
            <w:r w:rsidRPr="005356F1">
              <w:rPr>
                <w:rFonts w:cs="Arial"/>
              </w:rPr>
              <w:t>Authority and/or Auditor</w:t>
            </w:r>
          </w:p>
        </w:tc>
      </w:tr>
      <w:tr w:rsidR="00F67E9E" w:rsidRPr="005356F1" w14:paraId="19584928" w14:textId="77777777" w:rsidTr="007F74AA">
        <w:trPr>
          <w:trHeight w:val="20"/>
        </w:trPr>
        <w:tc>
          <w:tcPr>
            <w:tcW w:w="2268" w:type="dxa"/>
          </w:tcPr>
          <w:p w14:paraId="06DB8D40" w14:textId="02753424" w:rsidR="00F67E9E" w:rsidRPr="005356F1" w:rsidRDefault="00F67E9E" w:rsidP="007F74AA">
            <w:pPr>
              <w:pStyle w:val="StdBodyText"/>
              <w:spacing w:before="0" w:after="0"/>
              <w:rPr>
                <w:rFonts w:cs="Arial"/>
              </w:rPr>
            </w:pPr>
            <w:r w:rsidRPr="005356F1">
              <w:rPr>
                <w:rFonts w:cs="Arial"/>
              </w:rPr>
              <w:t xml:space="preserve">Sch </w:t>
            </w:r>
            <w:r>
              <w:rPr>
                <w:rFonts w:cs="Arial"/>
              </w:rPr>
              <w:fldChar w:fldCharType="begin"/>
            </w:r>
            <w:r>
              <w:rPr>
                <w:rFonts w:cs="Arial"/>
              </w:rPr>
              <w:instrText xml:space="preserve"> REF Sch11 \h </w:instrText>
            </w:r>
            <w:r>
              <w:rPr>
                <w:rFonts w:cs="Arial"/>
              </w:rPr>
            </w:r>
            <w:r>
              <w:rPr>
                <w:rFonts w:cs="Arial"/>
              </w:rPr>
              <w:fldChar w:fldCharType="separate"/>
            </w:r>
            <w:r w:rsidR="00302D39" w:rsidRPr="005D0525">
              <w:t>11</w:t>
            </w:r>
            <w:r>
              <w:rPr>
                <w:rFonts w:cs="Arial"/>
              </w:rPr>
              <w:fldChar w:fldCharType="end"/>
            </w:r>
            <w:r w:rsidRPr="005356F1">
              <w:rPr>
                <w:rFonts w:cs="Arial"/>
              </w:rPr>
              <w:t xml:space="preserve">, Para </w:t>
            </w:r>
            <w:r w:rsidRPr="005356F1">
              <w:rPr>
                <w:rFonts w:cs="Arial"/>
              </w:rPr>
              <w:fldChar w:fldCharType="begin"/>
            </w:r>
            <w:r w:rsidRPr="005356F1">
              <w:rPr>
                <w:rFonts w:cs="Arial"/>
              </w:rPr>
              <w:instrText xml:space="preserve"> REF _Ref99010764 \w \h </w:instrText>
            </w:r>
            <w:r>
              <w:rPr>
                <w:rFonts w:cs="Arial"/>
              </w:rPr>
              <w:instrText xml:space="preserve"> \* MERGEFORMAT </w:instrText>
            </w:r>
            <w:r w:rsidRPr="005356F1">
              <w:rPr>
                <w:rFonts w:cs="Arial"/>
              </w:rPr>
            </w:r>
            <w:r w:rsidRPr="005356F1">
              <w:rPr>
                <w:rFonts w:cs="Arial"/>
              </w:rPr>
              <w:fldChar w:fldCharType="separate"/>
            </w:r>
            <w:r w:rsidR="00302D39">
              <w:rPr>
                <w:rFonts w:cs="Arial"/>
              </w:rPr>
              <w:t>1</w:t>
            </w:r>
            <w:r w:rsidRPr="005356F1">
              <w:rPr>
                <w:rFonts w:cs="Arial"/>
              </w:rPr>
              <w:fldChar w:fldCharType="end"/>
            </w:r>
          </w:p>
        </w:tc>
        <w:tc>
          <w:tcPr>
            <w:tcW w:w="2966" w:type="dxa"/>
          </w:tcPr>
          <w:p w14:paraId="2FC67D5C" w14:textId="77777777" w:rsidR="00F67E9E" w:rsidRPr="00D00D9A" w:rsidRDefault="00F67E9E" w:rsidP="007F74AA">
            <w:pPr>
              <w:pStyle w:val="StdBodyText"/>
              <w:spacing w:before="0" w:after="0"/>
              <w:rPr>
                <w:rFonts w:cs="Arial"/>
              </w:rPr>
            </w:pPr>
            <w:r w:rsidRPr="00D00D9A">
              <w:rPr>
                <w:rFonts w:cs="Arial"/>
              </w:rPr>
              <w:t>Third Party Contracts</w:t>
            </w:r>
          </w:p>
        </w:tc>
        <w:tc>
          <w:tcPr>
            <w:tcW w:w="1996" w:type="dxa"/>
          </w:tcPr>
          <w:p w14:paraId="6CC3F33C" w14:textId="1505ABB9" w:rsidR="00F67E9E" w:rsidRPr="00D00D9A" w:rsidRDefault="00F67E9E" w:rsidP="007F74AA">
            <w:pPr>
              <w:pStyle w:val="StdBodyText"/>
              <w:spacing w:before="0" w:after="0"/>
              <w:rPr>
                <w:rFonts w:cs="Arial"/>
              </w:rPr>
            </w:pPr>
            <w:r>
              <w:t xml:space="preserve">Sch </w:t>
            </w:r>
            <w:r>
              <w:fldChar w:fldCharType="begin"/>
            </w:r>
            <w:r>
              <w:instrText xml:space="preserve"> REF Sch11 \h </w:instrText>
            </w:r>
            <w:r>
              <w:fldChar w:fldCharType="separate"/>
            </w:r>
            <w:r w:rsidR="00302D39" w:rsidRPr="005D0525">
              <w:t>11</w:t>
            </w:r>
            <w:r>
              <w:fldChar w:fldCharType="end"/>
            </w:r>
          </w:p>
        </w:tc>
        <w:tc>
          <w:tcPr>
            <w:tcW w:w="2666" w:type="dxa"/>
          </w:tcPr>
          <w:p w14:paraId="34572335" w14:textId="77777777" w:rsidR="00F67E9E" w:rsidRPr="00D00D9A" w:rsidRDefault="00F67E9E" w:rsidP="007F74AA">
            <w:pPr>
              <w:pStyle w:val="StdBodyText"/>
              <w:spacing w:before="0" w:after="0"/>
              <w:rPr>
                <w:rFonts w:cs="Arial"/>
              </w:rPr>
            </w:pPr>
            <w:r w:rsidRPr="00D00D9A">
              <w:rPr>
                <w:rFonts w:cs="Arial"/>
              </w:rPr>
              <w:t>Effective Date</w:t>
            </w:r>
          </w:p>
        </w:tc>
        <w:tc>
          <w:tcPr>
            <w:tcW w:w="2862" w:type="dxa"/>
          </w:tcPr>
          <w:p w14:paraId="0DEE7D00" w14:textId="77777777" w:rsidR="00F67E9E" w:rsidRPr="00D00D9A" w:rsidRDefault="00F67E9E" w:rsidP="007F74AA">
            <w:pPr>
              <w:pStyle w:val="StdBodyText"/>
              <w:spacing w:before="0" w:after="0"/>
              <w:rPr>
                <w:rFonts w:cs="Arial"/>
              </w:rPr>
            </w:pPr>
            <w:r w:rsidRPr="00D00D9A">
              <w:rPr>
                <w:rFonts w:cs="Arial"/>
              </w:rPr>
              <w:t xml:space="preserve">On appointment of subcontract </w:t>
            </w:r>
          </w:p>
        </w:tc>
        <w:tc>
          <w:tcPr>
            <w:tcW w:w="2381" w:type="dxa"/>
          </w:tcPr>
          <w:p w14:paraId="113E2D30" w14:textId="77777777" w:rsidR="00F67E9E" w:rsidRPr="005356F1" w:rsidRDefault="00F67E9E" w:rsidP="007F74AA">
            <w:pPr>
              <w:pStyle w:val="StdBodyText"/>
              <w:spacing w:before="0" w:after="0"/>
              <w:rPr>
                <w:rFonts w:cs="Arial"/>
              </w:rPr>
            </w:pPr>
            <w:r w:rsidRPr="005356F1">
              <w:rPr>
                <w:rFonts w:cs="Arial"/>
              </w:rPr>
              <w:t>Authority</w:t>
            </w:r>
          </w:p>
        </w:tc>
      </w:tr>
      <w:tr w:rsidR="00F67E9E" w:rsidRPr="005356F1" w14:paraId="1A18A170" w14:textId="77777777" w:rsidTr="007F74AA">
        <w:trPr>
          <w:trHeight w:val="20"/>
        </w:trPr>
        <w:tc>
          <w:tcPr>
            <w:tcW w:w="2268" w:type="dxa"/>
          </w:tcPr>
          <w:p w14:paraId="6AFB3847" w14:textId="35054E5D" w:rsidR="00F67E9E" w:rsidRPr="005356F1" w:rsidRDefault="00F67E9E" w:rsidP="007F74AA">
            <w:pPr>
              <w:pStyle w:val="StdBodyText"/>
              <w:spacing w:before="0" w:after="0"/>
              <w:rPr>
                <w:rFonts w:cs="Arial"/>
              </w:rPr>
            </w:pPr>
            <w:r>
              <w:rPr>
                <w:rFonts w:eastAsia="Arial" w:cs="Arial"/>
                <w:color w:val="000000"/>
              </w:rPr>
              <w:t xml:space="preserve">Sch </w:t>
            </w:r>
            <w:r>
              <w:rPr>
                <w:rFonts w:eastAsia="Arial" w:cs="Arial"/>
                <w:color w:val="000000"/>
              </w:rPr>
              <w:fldChar w:fldCharType="begin"/>
            </w:r>
            <w:r>
              <w:rPr>
                <w:rFonts w:eastAsia="Arial" w:cs="Arial"/>
                <w:color w:val="000000"/>
              </w:rPr>
              <w:instrText xml:space="preserve"> REF Schedule12 \h \# "#"  \* MERGEFORMAT </w:instrText>
            </w:r>
            <w:r>
              <w:rPr>
                <w:rFonts w:eastAsia="Arial" w:cs="Arial"/>
                <w:color w:val="000000"/>
              </w:rPr>
            </w:r>
            <w:r>
              <w:rPr>
                <w:rFonts w:eastAsia="Arial" w:cs="Arial"/>
                <w:color w:val="000000"/>
              </w:rPr>
              <w:fldChar w:fldCharType="separate"/>
            </w:r>
            <w:r w:rsidR="00302D39" w:rsidRPr="00302D39">
              <w:t>12</w:t>
            </w:r>
            <w:r>
              <w:rPr>
                <w:rFonts w:eastAsia="Arial" w:cs="Arial"/>
                <w:color w:val="000000"/>
              </w:rPr>
              <w:fldChar w:fldCharType="end"/>
            </w:r>
            <w:r>
              <w:rPr>
                <w:rFonts w:eastAsia="Arial" w:cs="Arial"/>
                <w:color w:val="000000"/>
              </w:rPr>
              <w:t xml:space="preserve"> </w:t>
            </w:r>
          </w:p>
        </w:tc>
        <w:tc>
          <w:tcPr>
            <w:tcW w:w="2966" w:type="dxa"/>
          </w:tcPr>
          <w:p w14:paraId="42AAF733" w14:textId="77777777" w:rsidR="00F67E9E" w:rsidRPr="00D00D9A" w:rsidRDefault="00F67E9E" w:rsidP="007F74AA">
            <w:pPr>
              <w:pStyle w:val="StdBodyText"/>
              <w:spacing w:before="0" w:after="0"/>
              <w:rPr>
                <w:rFonts w:cs="Arial"/>
              </w:rPr>
            </w:pPr>
            <w:r>
              <w:rPr>
                <w:rFonts w:eastAsia="Arial" w:cs="Arial"/>
                <w:color w:val="000000"/>
              </w:rPr>
              <w:t>Supplier Software and Third Party Software</w:t>
            </w:r>
          </w:p>
        </w:tc>
        <w:tc>
          <w:tcPr>
            <w:tcW w:w="1996" w:type="dxa"/>
          </w:tcPr>
          <w:p w14:paraId="33DA3FA9" w14:textId="50CF6CEA" w:rsidR="00F67E9E" w:rsidRPr="00D00D9A" w:rsidRDefault="00F67E9E" w:rsidP="007F74AA">
            <w:pPr>
              <w:pStyle w:val="StdBodyText"/>
              <w:spacing w:before="0" w:after="0"/>
              <w:rPr>
                <w:rFonts w:cs="Arial"/>
              </w:rPr>
            </w:pPr>
            <w:r>
              <w:rPr>
                <w:rFonts w:eastAsia="Arial" w:cs="Arial"/>
                <w:color w:val="000000"/>
              </w:rPr>
              <w:t xml:space="preserve">Sch </w:t>
            </w:r>
            <w:r>
              <w:rPr>
                <w:rFonts w:eastAsia="Arial" w:cs="Arial"/>
                <w:color w:val="000000"/>
              </w:rPr>
              <w:fldChar w:fldCharType="begin"/>
            </w:r>
            <w:r>
              <w:rPr>
                <w:rFonts w:eastAsia="Arial" w:cs="Arial"/>
                <w:color w:val="000000"/>
              </w:rPr>
              <w:instrText xml:space="preserve"> REF Schedule12 \h \# "#"  \* MERGEFORMAT </w:instrText>
            </w:r>
            <w:r>
              <w:rPr>
                <w:rFonts w:eastAsia="Arial" w:cs="Arial"/>
                <w:color w:val="000000"/>
              </w:rPr>
            </w:r>
            <w:r>
              <w:rPr>
                <w:rFonts w:eastAsia="Arial" w:cs="Arial"/>
                <w:color w:val="000000"/>
              </w:rPr>
              <w:fldChar w:fldCharType="separate"/>
            </w:r>
            <w:r w:rsidR="00302D39" w:rsidRPr="00302D39">
              <w:t>12</w:t>
            </w:r>
            <w:r>
              <w:rPr>
                <w:rFonts w:eastAsia="Arial" w:cs="Arial"/>
                <w:color w:val="000000"/>
              </w:rPr>
              <w:fldChar w:fldCharType="end"/>
            </w:r>
            <w:r>
              <w:rPr>
                <w:rFonts w:eastAsia="Arial" w:cs="Arial"/>
                <w:color w:val="000000"/>
              </w:rPr>
              <w:t xml:space="preserve"> </w:t>
            </w:r>
          </w:p>
        </w:tc>
        <w:tc>
          <w:tcPr>
            <w:tcW w:w="2666" w:type="dxa"/>
          </w:tcPr>
          <w:p w14:paraId="56C911F5" w14:textId="77777777" w:rsidR="00F67E9E" w:rsidRPr="00D00D9A" w:rsidRDefault="00F67E9E" w:rsidP="007F74AA">
            <w:pPr>
              <w:pStyle w:val="StdBodyText"/>
              <w:spacing w:before="0" w:after="0"/>
              <w:rPr>
                <w:rFonts w:cs="Arial"/>
              </w:rPr>
            </w:pPr>
            <w:r>
              <w:rPr>
                <w:rFonts w:eastAsia="Arial" w:cs="Arial"/>
                <w:color w:val="000000"/>
              </w:rPr>
              <w:t>Effective Date</w:t>
            </w:r>
          </w:p>
        </w:tc>
        <w:tc>
          <w:tcPr>
            <w:tcW w:w="2862" w:type="dxa"/>
          </w:tcPr>
          <w:p w14:paraId="7AC2BC7E" w14:textId="77777777" w:rsidR="00F67E9E" w:rsidRPr="00D00D9A" w:rsidRDefault="00F67E9E" w:rsidP="007F74AA">
            <w:pPr>
              <w:pStyle w:val="StdBodyText"/>
              <w:spacing w:before="0" w:after="0"/>
              <w:rPr>
                <w:rFonts w:cs="Arial"/>
              </w:rPr>
            </w:pPr>
            <w:r>
              <w:rPr>
                <w:rFonts w:eastAsia="Arial" w:cs="Arial"/>
                <w:color w:val="000000"/>
              </w:rPr>
              <w:t>No less than every 6 (six) Months from the Effective Date</w:t>
            </w:r>
          </w:p>
        </w:tc>
        <w:tc>
          <w:tcPr>
            <w:tcW w:w="2381" w:type="dxa"/>
          </w:tcPr>
          <w:p w14:paraId="1BC61B79" w14:textId="77777777" w:rsidR="00F67E9E" w:rsidRPr="005356F1" w:rsidRDefault="00F67E9E" w:rsidP="007F74AA">
            <w:pPr>
              <w:pStyle w:val="StdBodyText"/>
              <w:spacing w:before="0" w:after="0"/>
              <w:rPr>
                <w:rFonts w:cs="Arial"/>
              </w:rPr>
            </w:pPr>
            <w:r w:rsidRPr="005356F1">
              <w:rPr>
                <w:rFonts w:cs="Arial"/>
              </w:rPr>
              <w:t>Authority</w:t>
            </w:r>
          </w:p>
        </w:tc>
      </w:tr>
      <w:tr w:rsidR="00F67E9E" w:rsidRPr="005356F1" w14:paraId="5CC6A654" w14:textId="77777777" w:rsidTr="007F74AA">
        <w:trPr>
          <w:trHeight w:val="20"/>
        </w:trPr>
        <w:tc>
          <w:tcPr>
            <w:tcW w:w="2268" w:type="dxa"/>
          </w:tcPr>
          <w:p w14:paraId="3DF60D2B" w14:textId="0E42225A" w:rsidR="00F67E9E" w:rsidRPr="005356F1" w:rsidRDefault="00F67E9E" w:rsidP="007F74AA">
            <w:pPr>
              <w:pStyle w:val="StdBodyText"/>
              <w:spacing w:before="0" w:after="0"/>
              <w:rPr>
                <w:rFonts w:cs="Arial"/>
              </w:rPr>
            </w:pPr>
            <w:bookmarkStart w:id="1862" w:name="_9kR3WTr2BC9C9ZJfAJ"/>
            <w:r w:rsidRPr="005356F1">
              <w:rPr>
                <w:rFonts w:cs="Arial"/>
              </w:rPr>
              <w:t>Sch</w:t>
            </w:r>
            <w:bookmarkEnd w:id="1862"/>
            <w:r w:rsidRPr="005356F1">
              <w:rPr>
                <w:rFonts w:cs="Arial"/>
              </w:rPr>
              <w:t xml:space="preserve"> </w:t>
            </w:r>
            <w:r w:rsidRPr="005356F1">
              <w:fldChar w:fldCharType="begin"/>
            </w:r>
            <w:r w:rsidRPr="005356F1">
              <w:instrText xml:space="preserve"> REF _Ref92199951 \h  \# "#"  \* MERGEFORMAT </w:instrText>
            </w:r>
            <w:r w:rsidRPr="005356F1">
              <w:fldChar w:fldCharType="separate"/>
            </w:r>
            <w:r w:rsidR="00302D39">
              <w:t>14</w:t>
            </w:r>
            <w:r w:rsidRPr="005356F1">
              <w:fldChar w:fldCharType="end"/>
            </w:r>
            <w:r w:rsidRPr="005356F1">
              <w:rPr>
                <w:rFonts w:cs="Arial"/>
              </w:rPr>
              <w:t xml:space="preserve">, </w:t>
            </w:r>
            <w:bookmarkStart w:id="1863" w:name="_9kMJI5YVtCIBDFGPEyq1QLhZC7ro5J65GJPR959"/>
            <w:r w:rsidRPr="005356F1">
              <w:rPr>
                <w:rFonts w:cs="Arial"/>
              </w:rPr>
              <w:t xml:space="preserve">Para </w:t>
            </w:r>
            <w:r w:rsidRPr="005356F1">
              <w:rPr>
                <w:rFonts w:cs="Arial"/>
              </w:rPr>
              <w:fldChar w:fldCharType="begin"/>
            </w:r>
            <w:r w:rsidRPr="005356F1">
              <w:rPr>
                <w:rFonts w:cs="Arial"/>
              </w:rPr>
              <w:instrText xml:space="preserve"> REF _Ref_ContractCompanion_9kb9Us796 \w \n \h \t \* MERGEFORMAT </w:instrText>
            </w:r>
            <w:r w:rsidRPr="005356F1">
              <w:rPr>
                <w:rFonts w:cs="Arial"/>
              </w:rPr>
            </w:r>
            <w:r w:rsidRPr="005356F1">
              <w:rPr>
                <w:rFonts w:cs="Arial"/>
              </w:rPr>
              <w:fldChar w:fldCharType="separate"/>
            </w:r>
            <w:r w:rsidR="00302D39">
              <w:rPr>
                <w:rFonts w:cs="Arial"/>
              </w:rPr>
              <w:t>4</w:t>
            </w:r>
            <w:r w:rsidRPr="005356F1">
              <w:rPr>
                <w:rFonts w:cs="Arial"/>
              </w:rPr>
              <w:fldChar w:fldCharType="end"/>
            </w:r>
            <w:bookmarkEnd w:id="1863"/>
          </w:p>
        </w:tc>
        <w:tc>
          <w:tcPr>
            <w:tcW w:w="2966" w:type="dxa"/>
          </w:tcPr>
          <w:p w14:paraId="23640F67" w14:textId="77777777" w:rsidR="00F67E9E" w:rsidRPr="005356F1" w:rsidRDefault="00F67E9E" w:rsidP="007F74AA">
            <w:pPr>
              <w:pStyle w:val="StdBodyText"/>
              <w:spacing w:before="0" w:after="0"/>
              <w:rPr>
                <w:rFonts w:cs="Arial"/>
              </w:rPr>
            </w:pPr>
            <w:r w:rsidRPr="005356F1">
              <w:rPr>
                <w:rFonts w:cs="Arial"/>
              </w:rPr>
              <w:t>Test Strategy</w:t>
            </w:r>
          </w:p>
        </w:tc>
        <w:tc>
          <w:tcPr>
            <w:tcW w:w="1996" w:type="dxa"/>
          </w:tcPr>
          <w:p w14:paraId="50AFA1A8" w14:textId="77777777" w:rsidR="00F67E9E" w:rsidRPr="005356F1" w:rsidRDefault="00F67E9E" w:rsidP="007F74AA">
            <w:pPr>
              <w:pStyle w:val="StdBodyText"/>
              <w:spacing w:before="0" w:after="0"/>
              <w:rPr>
                <w:rFonts w:cs="Arial"/>
              </w:rPr>
            </w:pPr>
            <w:r w:rsidRPr="005356F1">
              <w:rPr>
                <w:rFonts w:cs="Arial"/>
              </w:rPr>
              <w:t xml:space="preserve">As appropriate and agreed by the Authority </w:t>
            </w:r>
          </w:p>
        </w:tc>
        <w:tc>
          <w:tcPr>
            <w:tcW w:w="2666" w:type="dxa"/>
          </w:tcPr>
          <w:p w14:paraId="7CD98F8E" w14:textId="77777777" w:rsidR="00F67E9E" w:rsidRPr="005356F1" w:rsidRDefault="00F67E9E" w:rsidP="007F74AA">
            <w:pPr>
              <w:pStyle w:val="StdBodyText"/>
              <w:spacing w:before="0" w:after="0"/>
              <w:rPr>
                <w:rFonts w:cs="Arial"/>
              </w:rPr>
            </w:pPr>
            <w:r w:rsidRPr="005356F1">
              <w:rPr>
                <w:rFonts w:cs="Arial"/>
              </w:rPr>
              <w:t>Within 20 Working Days of Effective Date</w:t>
            </w:r>
          </w:p>
        </w:tc>
        <w:tc>
          <w:tcPr>
            <w:tcW w:w="2862" w:type="dxa"/>
          </w:tcPr>
          <w:p w14:paraId="41653F82" w14:textId="77777777" w:rsidR="00F67E9E" w:rsidRPr="005356F1" w:rsidRDefault="00F67E9E" w:rsidP="007F74AA">
            <w:pPr>
              <w:pStyle w:val="StdBodyText"/>
              <w:spacing w:before="0" w:after="0"/>
              <w:rPr>
                <w:rFonts w:cs="Arial"/>
              </w:rPr>
            </w:pPr>
            <w:r w:rsidRPr="005356F1">
              <w:rPr>
                <w:rFonts w:cs="Arial"/>
              </w:rPr>
              <w:t>Upon update to the test strategy</w:t>
            </w:r>
          </w:p>
        </w:tc>
        <w:tc>
          <w:tcPr>
            <w:tcW w:w="2381" w:type="dxa"/>
          </w:tcPr>
          <w:p w14:paraId="6442410E" w14:textId="77777777" w:rsidR="00F67E9E" w:rsidRPr="005356F1" w:rsidRDefault="00F67E9E" w:rsidP="007F74AA">
            <w:pPr>
              <w:pStyle w:val="StdBodyText"/>
              <w:spacing w:before="0" w:after="0"/>
              <w:rPr>
                <w:rFonts w:cs="Arial"/>
              </w:rPr>
            </w:pPr>
            <w:r w:rsidRPr="005356F1">
              <w:rPr>
                <w:rFonts w:cs="Arial"/>
              </w:rPr>
              <w:t>Authority</w:t>
            </w:r>
          </w:p>
        </w:tc>
      </w:tr>
      <w:tr w:rsidR="00F67E9E" w:rsidRPr="005356F1" w14:paraId="537316DB" w14:textId="77777777" w:rsidTr="007F74AA">
        <w:trPr>
          <w:trHeight w:val="20"/>
        </w:trPr>
        <w:tc>
          <w:tcPr>
            <w:tcW w:w="2268" w:type="dxa"/>
          </w:tcPr>
          <w:p w14:paraId="4BE7C21A" w14:textId="1C11F515" w:rsidR="00F67E9E" w:rsidRPr="005356F1" w:rsidRDefault="00F67E9E" w:rsidP="007F74AA">
            <w:pPr>
              <w:pStyle w:val="StdBodyText"/>
              <w:spacing w:before="0" w:after="0"/>
              <w:rPr>
                <w:rFonts w:cs="Arial"/>
              </w:rPr>
            </w:pPr>
            <w:r w:rsidRPr="005356F1">
              <w:rPr>
                <w:rFonts w:cs="Arial"/>
              </w:rPr>
              <w:t xml:space="preserve">Sch </w:t>
            </w:r>
            <w:r w:rsidRPr="005356F1">
              <w:fldChar w:fldCharType="begin"/>
            </w:r>
            <w:r w:rsidRPr="005356F1">
              <w:instrText xml:space="preserve"> REF _Ref92199951 \h  \# "#"  \* MERGEFORMAT </w:instrText>
            </w:r>
            <w:r w:rsidRPr="005356F1">
              <w:fldChar w:fldCharType="separate"/>
            </w:r>
            <w:r w:rsidR="00302D39">
              <w:t>14</w:t>
            </w:r>
            <w:r w:rsidRPr="005356F1">
              <w:fldChar w:fldCharType="end"/>
            </w:r>
            <w:r w:rsidRPr="005356F1">
              <w:rPr>
                <w:rFonts w:cs="Arial"/>
              </w:rPr>
              <w:t xml:space="preserve">, </w:t>
            </w:r>
            <w:bookmarkStart w:id="1864" w:name="_9kMIH5YVtCIBDEBLEyq1QMVJ15A1414D9F23775"/>
            <w:r w:rsidRPr="005356F1">
              <w:rPr>
                <w:rFonts w:cs="Arial"/>
              </w:rPr>
              <w:t xml:space="preserve">Para </w:t>
            </w:r>
            <w:r w:rsidRPr="005356F1">
              <w:rPr>
                <w:rFonts w:cs="Arial"/>
              </w:rPr>
              <w:fldChar w:fldCharType="begin"/>
            </w:r>
            <w:r w:rsidRPr="005356F1">
              <w:rPr>
                <w:rFonts w:cs="Arial"/>
              </w:rPr>
              <w:instrText xml:space="preserve"> REF _Ref_ContractCompanion_9kb9Us778 \w \n \h \t \* MERGEFORMAT </w:instrText>
            </w:r>
            <w:r w:rsidRPr="005356F1">
              <w:rPr>
                <w:rFonts w:cs="Arial"/>
              </w:rPr>
            </w:r>
            <w:r w:rsidRPr="005356F1">
              <w:rPr>
                <w:rFonts w:cs="Arial"/>
              </w:rPr>
              <w:fldChar w:fldCharType="separate"/>
            </w:r>
            <w:r w:rsidR="00302D39">
              <w:rPr>
                <w:rFonts w:cs="Arial"/>
              </w:rPr>
              <w:t>5</w:t>
            </w:r>
            <w:r w:rsidRPr="005356F1">
              <w:rPr>
                <w:rFonts w:cs="Arial"/>
              </w:rPr>
              <w:fldChar w:fldCharType="end"/>
            </w:r>
            <w:bookmarkEnd w:id="1864"/>
          </w:p>
        </w:tc>
        <w:tc>
          <w:tcPr>
            <w:tcW w:w="2966" w:type="dxa"/>
          </w:tcPr>
          <w:p w14:paraId="150E3444" w14:textId="77777777" w:rsidR="00F67E9E" w:rsidRPr="005356F1" w:rsidRDefault="00F67E9E" w:rsidP="007F74AA">
            <w:pPr>
              <w:pStyle w:val="StdBodyText"/>
              <w:spacing w:before="0" w:after="0"/>
              <w:rPr>
                <w:rFonts w:cs="Arial"/>
              </w:rPr>
            </w:pPr>
            <w:r w:rsidRPr="005356F1">
              <w:rPr>
                <w:rFonts w:cs="Arial"/>
              </w:rPr>
              <w:t>Test Plan</w:t>
            </w:r>
          </w:p>
        </w:tc>
        <w:tc>
          <w:tcPr>
            <w:tcW w:w="1996" w:type="dxa"/>
          </w:tcPr>
          <w:p w14:paraId="5CF7DFDB" w14:textId="77777777" w:rsidR="00F67E9E" w:rsidRPr="005356F1" w:rsidRDefault="00F67E9E" w:rsidP="007F74AA">
            <w:pPr>
              <w:pStyle w:val="StdBodyText"/>
              <w:spacing w:before="0" w:after="0"/>
              <w:rPr>
                <w:rFonts w:cs="Arial"/>
              </w:rPr>
            </w:pPr>
            <w:r w:rsidRPr="005356F1">
              <w:rPr>
                <w:rFonts w:cs="Arial"/>
              </w:rPr>
              <w:t xml:space="preserve">As appropriate and agreed by the Authority </w:t>
            </w:r>
          </w:p>
        </w:tc>
        <w:tc>
          <w:tcPr>
            <w:tcW w:w="2666" w:type="dxa"/>
          </w:tcPr>
          <w:p w14:paraId="2C53B584" w14:textId="77777777" w:rsidR="00F67E9E" w:rsidRPr="005356F1" w:rsidRDefault="00F67E9E" w:rsidP="007F74AA">
            <w:pPr>
              <w:pStyle w:val="StdBodyText"/>
              <w:spacing w:before="0" w:after="0"/>
              <w:rPr>
                <w:rFonts w:cs="Arial"/>
              </w:rPr>
            </w:pPr>
            <w:r w:rsidRPr="005356F1">
              <w:rPr>
                <w:rFonts w:cs="Arial"/>
              </w:rPr>
              <w:t>20 prior Working Days of relevant test</w:t>
            </w:r>
          </w:p>
        </w:tc>
        <w:tc>
          <w:tcPr>
            <w:tcW w:w="2862" w:type="dxa"/>
          </w:tcPr>
          <w:p w14:paraId="22676471" w14:textId="77777777" w:rsidR="00F67E9E" w:rsidRPr="005356F1" w:rsidRDefault="00F67E9E" w:rsidP="007F74AA">
            <w:pPr>
              <w:pStyle w:val="StdBodyText"/>
              <w:spacing w:before="0" w:after="0"/>
              <w:rPr>
                <w:rFonts w:cs="Arial"/>
              </w:rPr>
            </w:pPr>
            <w:r w:rsidRPr="005356F1">
              <w:rPr>
                <w:rFonts w:cs="Arial"/>
              </w:rPr>
              <w:t>Upon update to the test plan</w:t>
            </w:r>
          </w:p>
        </w:tc>
        <w:tc>
          <w:tcPr>
            <w:tcW w:w="2381" w:type="dxa"/>
          </w:tcPr>
          <w:p w14:paraId="73851492" w14:textId="77777777" w:rsidR="00F67E9E" w:rsidRPr="005356F1" w:rsidRDefault="00F67E9E" w:rsidP="007F74AA">
            <w:pPr>
              <w:pStyle w:val="StdBodyText"/>
              <w:spacing w:before="0" w:after="0"/>
              <w:rPr>
                <w:rFonts w:cs="Arial"/>
              </w:rPr>
            </w:pPr>
            <w:r w:rsidRPr="005356F1">
              <w:rPr>
                <w:rFonts w:cs="Arial"/>
              </w:rPr>
              <w:t>Authority</w:t>
            </w:r>
          </w:p>
        </w:tc>
      </w:tr>
      <w:tr w:rsidR="00F67E9E" w:rsidRPr="005356F1" w14:paraId="6898B8A1" w14:textId="77777777" w:rsidTr="007F74AA">
        <w:trPr>
          <w:trHeight w:val="20"/>
        </w:trPr>
        <w:tc>
          <w:tcPr>
            <w:tcW w:w="2268" w:type="dxa"/>
          </w:tcPr>
          <w:p w14:paraId="0140A61B" w14:textId="541689D6" w:rsidR="00F67E9E" w:rsidRPr="005356F1" w:rsidRDefault="00F67E9E" w:rsidP="007F74AA">
            <w:pPr>
              <w:pStyle w:val="StdBodyText"/>
              <w:spacing w:before="0" w:after="0"/>
              <w:rPr>
                <w:rFonts w:cs="Arial"/>
              </w:rPr>
            </w:pPr>
            <w:r w:rsidRPr="005356F1">
              <w:rPr>
                <w:rFonts w:cs="Arial"/>
              </w:rPr>
              <w:t xml:space="preserve">Sch </w:t>
            </w:r>
            <w:r w:rsidRPr="005356F1">
              <w:fldChar w:fldCharType="begin"/>
            </w:r>
            <w:r w:rsidRPr="005356F1">
              <w:instrText xml:space="preserve"> REF _Ref92199951 \h  \# "#"  \* MERGEFORMAT </w:instrText>
            </w:r>
            <w:r w:rsidRPr="005356F1">
              <w:fldChar w:fldCharType="separate"/>
            </w:r>
            <w:r w:rsidR="00302D39">
              <w:t>14</w:t>
            </w:r>
            <w:r w:rsidRPr="005356F1">
              <w:fldChar w:fldCharType="end"/>
            </w:r>
            <w:r w:rsidRPr="005356F1">
              <w:rPr>
                <w:rFonts w:cs="Arial"/>
              </w:rPr>
              <w:t xml:space="preserve">, Para </w:t>
            </w:r>
            <w:r w:rsidRPr="005356F1">
              <w:rPr>
                <w:rFonts w:cs="Arial"/>
              </w:rPr>
              <w:fldChar w:fldCharType="begin"/>
            </w:r>
            <w:r w:rsidRPr="005356F1">
              <w:rPr>
                <w:rFonts w:cs="Arial"/>
              </w:rPr>
              <w:instrText xml:space="preserve"> REF _Ref_ContractCompanion_9kb9Us786 \w \n \h \t \* MERGEFORMAT </w:instrText>
            </w:r>
            <w:r w:rsidRPr="005356F1">
              <w:rPr>
                <w:rFonts w:cs="Arial"/>
              </w:rPr>
            </w:r>
            <w:r w:rsidRPr="005356F1">
              <w:rPr>
                <w:rFonts w:cs="Arial"/>
              </w:rPr>
              <w:fldChar w:fldCharType="separate"/>
            </w:r>
            <w:r w:rsidR="00302D39">
              <w:rPr>
                <w:rFonts w:cs="Arial"/>
              </w:rPr>
              <w:t>8</w:t>
            </w:r>
            <w:r w:rsidRPr="005356F1">
              <w:rPr>
                <w:rFonts w:cs="Arial"/>
              </w:rPr>
              <w:fldChar w:fldCharType="end"/>
            </w:r>
          </w:p>
        </w:tc>
        <w:tc>
          <w:tcPr>
            <w:tcW w:w="2966" w:type="dxa"/>
          </w:tcPr>
          <w:p w14:paraId="2831056B" w14:textId="77777777" w:rsidR="00F67E9E" w:rsidRPr="005356F1" w:rsidRDefault="00F67E9E" w:rsidP="007F74AA">
            <w:pPr>
              <w:pStyle w:val="StdBodyText"/>
              <w:spacing w:before="0" w:after="0"/>
              <w:rPr>
                <w:rFonts w:cs="Arial"/>
              </w:rPr>
            </w:pPr>
            <w:r w:rsidRPr="005356F1">
              <w:rPr>
                <w:rFonts w:cs="Arial"/>
              </w:rPr>
              <w:t>Test Specification</w:t>
            </w:r>
          </w:p>
        </w:tc>
        <w:tc>
          <w:tcPr>
            <w:tcW w:w="1996" w:type="dxa"/>
          </w:tcPr>
          <w:p w14:paraId="7BA9A8C5" w14:textId="77777777" w:rsidR="00F67E9E" w:rsidRPr="005356F1" w:rsidRDefault="00F67E9E" w:rsidP="007F74AA">
            <w:pPr>
              <w:pStyle w:val="StdBodyText"/>
              <w:spacing w:before="0" w:after="0"/>
              <w:rPr>
                <w:rFonts w:cs="Arial"/>
              </w:rPr>
            </w:pPr>
            <w:r w:rsidRPr="005356F1">
              <w:rPr>
                <w:rFonts w:cs="Arial"/>
              </w:rPr>
              <w:t xml:space="preserve">As appropriate and agreed by the Authority </w:t>
            </w:r>
          </w:p>
        </w:tc>
        <w:tc>
          <w:tcPr>
            <w:tcW w:w="2666" w:type="dxa"/>
          </w:tcPr>
          <w:p w14:paraId="36BC7D2C" w14:textId="77777777" w:rsidR="00F67E9E" w:rsidRPr="005356F1" w:rsidRDefault="00F67E9E" w:rsidP="007F74AA">
            <w:pPr>
              <w:pStyle w:val="StdBodyText"/>
              <w:spacing w:before="0" w:after="0"/>
              <w:rPr>
                <w:rFonts w:cs="Arial"/>
              </w:rPr>
            </w:pPr>
            <w:r w:rsidRPr="005356F1">
              <w:rPr>
                <w:rFonts w:cs="Arial"/>
              </w:rPr>
              <w:t>10 prior Working Days of relevant test</w:t>
            </w:r>
          </w:p>
        </w:tc>
        <w:tc>
          <w:tcPr>
            <w:tcW w:w="2862" w:type="dxa"/>
          </w:tcPr>
          <w:p w14:paraId="781ADCEB" w14:textId="77777777" w:rsidR="00F67E9E" w:rsidRPr="005356F1" w:rsidRDefault="00F67E9E" w:rsidP="007F74AA">
            <w:pPr>
              <w:pStyle w:val="StdBodyText"/>
              <w:spacing w:before="0" w:after="0"/>
              <w:rPr>
                <w:rFonts w:cs="Arial"/>
              </w:rPr>
            </w:pPr>
            <w:r w:rsidRPr="005356F1">
              <w:rPr>
                <w:rFonts w:cs="Arial"/>
              </w:rPr>
              <w:t>Upon update to the test specification</w:t>
            </w:r>
          </w:p>
        </w:tc>
        <w:tc>
          <w:tcPr>
            <w:tcW w:w="2381" w:type="dxa"/>
          </w:tcPr>
          <w:p w14:paraId="399A1EB4" w14:textId="77777777" w:rsidR="00F67E9E" w:rsidRPr="005356F1" w:rsidRDefault="00F67E9E" w:rsidP="007F74AA">
            <w:pPr>
              <w:pStyle w:val="StdBodyText"/>
              <w:spacing w:before="0" w:after="0"/>
              <w:rPr>
                <w:rFonts w:cs="Arial"/>
              </w:rPr>
            </w:pPr>
            <w:r w:rsidRPr="005356F1">
              <w:rPr>
                <w:rFonts w:cs="Arial"/>
              </w:rPr>
              <w:t>Authority</w:t>
            </w:r>
          </w:p>
        </w:tc>
      </w:tr>
      <w:tr w:rsidR="00F67E9E" w:rsidRPr="005356F1" w14:paraId="59FFBC04" w14:textId="77777777" w:rsidTr="007F74AA">
        <w:trPr>
          <w:trHeight w:val="20"/>
        </w:trPr>
        <w:tc>
          <w:tcPr>
            <w:tcW w:w="2268" w:type="dxa"/>
          </w:tcPr>
          <w:p w14:paraId="45EFDF24" w14:textId="6CAAB8AD" w:rsidR="00F67E9E" w:rsidRPr="005356F1" w:rsidRDefault="00F67E9E" w:rsidP="007F74AA">
            <w:pPr>
              <w:pStyle w:val="StdBodyText"/>
              <w:spacing w:before="0" w:after="0"/>
              <w:rPr>
                <w:rFonts w:cs="Arial"/>
              </w:rPr>
            </w:pPr>
            <w:r w:rsidRPr="005356F1">
              <w:rPr>
                <w:rFonts w:cs="Arial"/>
              </w:rPr>
              <w:t xml:space="preserve">Sch </w:t>
            </w:r>
            <w:r w:rsidRPr="005356F1">
              <w:fldChar w:fldCharType="begin"/>
            </w:r>
            <w:r w:rsidRPr="005356F1">
              <w:instrText xml:space="preserve"> REF _Ref92199951 \h  \# "#"  \* MERGEFORMAT </w:instrText>
            </w:r>
            <w:r w:rsidRPr="005356F1">
              <w:fldChar w:fldCharType="separate"/>
            </w:r>
            <w:r w:rsidR="00302D39">
              <w:t>14</w:t>
            </w:r>
            <w:r w:rsidRPr="005356F1">
              <w:fldChar w:fldCharType="end"/>
            </w:r>
            <w:r w:rsidRPr="005356F1">
              <w:rPr>
                <w:rFonts w:cs="Arial"/>
              </w:rPr>
              <w:t xml:space="preserve">, Para </w:t>
            </w:r>
            <w:r w:rsidRPr="005356F1">
              <w:rPr>
                <w:rFonts w:cs="Arial"/>
              </w:rPr>
              <w:fldChar w:fldCharType="begin"/>
            </w:r>
            <w:r w:rsidRPr="005356F1">
              <w:rPr>
                <w:rFonts w:cs="Arial"/>
              </w:rPr>
              <w:instrText xml:space="preserve"> REF _Ref_ContractCompanion_9kb9Us786 \w \n \h \t \* MERGEFORMAT </w:instrText>
            </w:r>
            <w:r w:rsidRPr="005356F1">
              <w:rPr>
                <w:rFonts w:cs="Arial"/>
              </w:rPr>
            </w:r>
            <w:r w:rsidRPr="005356F1">
              <w:rPr>
                <w:rFonts w:cs="Arial"/>
              </w:rPr>
              <w:fldChar w:fldCharType="separate"/>
            </w:r>
            <w:r w:rsidR="00302D39">
              <w:rPr>
                <w:rFonts w:cs="Arial"/>
              </w:rPr>
              <w:t>8</w:t>
            </w:r>
            <w:r w:rsidRPr="005356F1">
              <w:rPr>
                <w:rFonts w:cs="Arial"/>
              </w:rPr>
              <w:fldChar w:fldCharType="end"/>
            </w:r>
          </w:p>
        </w:tc>
        <w:tc>
          <w:tcPr>
            <w:tcW w:w="2966" w:type="dxa"/>
          </w:tcPr>
          <w:p w14:paraId="1E503C13" w14:textId="77777777" w:rsidR="00F67E9E" w:rsidRPr="005356F1" w:rsidRDefault="00F67E9E" w:rsidP="007F74AA">
            <w:pPr>
              <w:pStyle w:val="StdBodyText"/>
              <w:spacing w:before="0" w:after="0"/>
              <w:rPr>
                <w:rFonts w:cs="Arial"/>
              </w:rPr>
            </w:pPr>
            <w:r w:rsidRPr="005356F1">
              <w:rPr>
                <w:rFonts w:cs="Arial"/>
              </w:rPr>
              <w:t>Test Report</w:t>
            </w:r>
          </w:p>
        </w:tc>
        <w:tc>
          <w:tcPr>
            <w:tcW w:w="1996" w:type="dxa"/>
          </w:tcPr>
          <w:p w14:paraId="071D7022" w14:textId="77777777" w:rsidR="00F67E9E" w:rsidRPr="005356F1" w:rsidRDefault="00F67E9E" w:rsidP="007F74AA">
            <w:pPr>
              <w:pStyle w:val="StdBodyText"/>
              <w:spacing w:before="0" w:after="0"/>
              <w:rPr>
                <w:rFonts w:cs="Arial"/>
              </w:rPr>
            </w:pPr>
            <w:r w:rsidRPr="005356F1">
              <w:rPr>
                <w:rFonts w:cs="Arial"/>
              </w:rPr>
              <w:t xml:space="preserve">As appropriate and agreed by the Authority </w:t>
            </w:r>
          </w:p>
        </w:tc>
        <w:tc>
          <w:tcPr>
            <w:tcW w:w="2666" w:type="dxa"/>
          </w:tcPr>
          <w:p w14:paraId="0F6389EB" w14:textId="77777777" w:rsidR="00F67E9E" w:rsidRPr="005356F1" w:rsidRDefault="00F67E9E" w:rsidP="007F74AA">
            <w:pPr>
              <w:pStyle w:val="StdBodyText"/>
              <w:spacing w:before="0" w:after="0"/>
              <w:rPr>
                <w:rFonts w:cs="Arial"/>
              </w:rPr>
            </w:pPr>
            <w:r w:rsidRPr="005356F1">
              <w:rPr>
                <w:rFonts w:cs="Arial"/>
              </w:rPr>
              <w:t>2 Working Days prior to the date on which the test is planned to end for the Draft Test Report</w:t>
            </w:r>
          </w:p>
          <w:p w14:paraId="78AEAD5F" w14:textId="77777777" w:rsidR="00F67E9E" w:rsidRPr="005356F1" w:rsidRDefault="00F67E9E" w:rsidP="007F74AA">
            <w:pPr>
              <w:pStyle w:val="StdBodyText"/>
              <w:spacing w:before="0" w:after="0"/>
              <w:rPr>
                <w:rFonts w:cs="Arial"/>
              </w:rPr>
            </w:pPr>
            <w:r w:rsidRPr="005356F1">
              <w:rPr>
                <w:rFonts w:cs="Arial"/>
              </w:rPr>
              <w:t>5 days for the Final Test Report following</w:t>
            </w:r>
            <w:r>
              <w:rPr>
                <w:rFonts w:cs="Arial"/>
              </w:rPr>
              <w:t xml:space="preserve"> </w:t>
            </w:r>
            <w:r w:rsidRPr="005356F1">
              <w:rPr>
                <w:rFonts w:cs="Arial"/>
              </w:rPr>
              <w:t>the relevant test completion</w:t>
            </w:r>
          </w:p>
        </w:tc>
        <w:tc>
          <w:tcPr>
            <w:tcW w:w="2862" w:type="dxa"/>
          </w:tcPr>
          <w:p w14:paraId="603E0DC5" w14:textId="77777777" w:rsidR="00F67E9E" w:rsidRPr="005356F1" w:rsidRDefault="00F67E9E" w:rsidP="007F74AA">
            <w:pPr>
              <w:pStyle w:val="StdBodyText"/>
              <w:spacing w:before="0" w:after="0"/>
              <w:rPr>
                <w:rFonts w:cs="Arial"/>
              </w:rPr>
            </w:pPr>
            <w:r w:rsidRPr="005356F1">
              <w:rPr>
                <w:rFonts w:cs="Arial"/>
              </w:rPr>
              <w:t>Reissue with each retest</w:t>
            </w:r>
          </w:p>
        </w:tc>
        <w:tc>
          <w:tcPr>
            <w:tcW w:w="2381" w:type="dxa"/>
          </w:tcPr>
          <w:p w14:paraId="47A32CF0" w14:textId="77777777" w:rsidR="00F67E9E" w:rsidRPr="005356F1" w:rsidRDefault="00F67E9E" w:rsidP="007F74AA">
            <w:pPr>
              <w:pStyle w:val="StdBodyText"/>
              <w:spacing w:before="0" w:after="0"/>
              <w:rPr>
                <w:rFonts w:cs="Arial"/>
              </w:rPr>
            </w:pPr>
            <w:r w:rsidRPr="005356F1">
              <w:rPr>
                <w:rFonts w:cs="Arial"/>
              </w:rPr>
              <w:t>Authority</w:t>
            </w:r>
          </w:p>
        </w:tc>
      </w:tr>
      <w:tr w:rsidR="00F67E9E" w:rsidRPr="005356F1" w14:paraId="3FCDB262" w14:textId="77777777" w:rsidTr="007F74AA">
        <w:trPr>
          <w:trHeight w:val="20"/>
        </w:trPr>
        <w:tc>
          <w:tcPr>
            <w:tcW w:w="2268" w:type="dxa"/>
          </w:tcPr>
          <w:p w14:paraId="42DCD492" w14:textId="0E4E6DFF" w:rsidR="00F67E9E" w:rsidRPr="005356F1" w:rsidRDefault="00F67E9E" w:rsidP="007F74AA">
            <w:pPr>
              <w:pStyle w:val="StdBodyText"/>
              <w:spacing w:before="0" w:after="0"/>
              <w:rPr>
                <w:rFonts w:cs="Arial"/>
              </w:rPr>
            </w:pPr>
            <w:bookmarkStart w:id="1865" w:name="_9kR3WTr2BC9BGhJfBJ"/>
            <w:r w:rsidRPr="005356F1">
              <w:rPr>
                <w:rFonts w:cs="Arial"/>
              </w:rPr>
              <w:t>Sch</w:t>
            </w:r>
            <w:bookmarkEnd w:id="1865"/>
            <w:r w:rsidRPr="005356F1">
              <w:rPr>
                <w:rFonts w:cs="Arial"/>
              </w:rPr>
              <w:t xml:space="preserve"> </w:t>
            </w:r>
            <w:r w:rsidRPr="005356F1">
              <w:fldChar w:fldCharType="begin"/>
            </w:r>
            <w:r w:rsidRPr="005356F1">
              <w:instrText xml:space="preserve"> REF _Ref92199959 \h  \# "#"  \* MERGEFORMAT </w:instrText>
            </w:r>
            <w:r w:rsidRPr="005356F1">
              <w:fldChar w:fldCharType="separate"/>
            </w:r>
            <w:r w:rsidR="00302D39">
              <w:t>15</w:t>
            </w:r>
            <w:r w:rsidRPr="005356F1">
              <w:fldChar w:fldCharType="end"/>
            </w:r>
            <w:r w:rsidRPr="005356F1">
              <w:rPr>
                <w:rFonts w:cs="Arial"/>
              </w:rPr>
              <w:t xml:space="preserve">, </w:t>
            </w:r>
            <w:r w:rsidRPr="005356F1">
              <w:rPr>
                <w:rFonts w:cs="Arial"/>
              </w:rPr>
              <w:fldChar w:fldCharType="begin"/>
            </w:r>
            <w:r w:rsidRPr="005356F1">
              <w:rPr>
                <w:rFonts w:cs="Arial"/>
              </w:rPr>
              <w:instrText xml:space="preserve"> REF Sch15PartE \h  \* MERGEFORMAT </w:instrText>
            </w:r>
            <w:r w:rsidRPr="005356F1">
              <w:rPr>
                <w:rFonts w:cs="Arial"/>
              </w:rPr>
            </w:r>
            <w:r w:rsidRPr="005356F1">
              <w:rPr>
                <w:rFonts w:cs="Arial"/>
              </w:rPr>
              <w:fldChar w:fldCharType="separate"/>
            </w:r>
            <w:r w:rsidR="00302D39" w:rsidRPr="00302D39">
              <w:rPr>
                <w:rFonts w:cs="Arial"/>
              </w:rPr>
              <w:t>Part E</w:t>
            </w:r>
            <w:r w:rsidRPr="005356F1">
              <w:rPr>
                <w:rFonts w:cs="Arial"/>
              </w:rPr>
              <w:fldChar w:fldCharType="end"/>
            </w:r>
            <w:r w:rsidRPr="005356F1">
              <w:rPr>
                <w:rFonts w:cs="Arial"/>
              </w:rPr>
              <w:t xml:space="preserve"> </w:t>
            </w:r>
            <w:bookmarkStart w:id="1866" w:name="_9kMHG5YVtCIBDIEBCiX11ryA542qGCBDJEEMAGJ"/>
            <w:r w:rsidRPr="005356F1">
              <w:rPr>
                <w:rFonts w:cs="Arial"/>
              </w:rPr>
              <w:t xml:space="preserve">Para </w:t>
            </w:r>
            <w:r w:rsidRPr="005356F1">
              <w:rPr>
                <w:rFonts w:cs="Arial"/>
              </w:rPr>
              <w:fldChar w:fldCharType="begin"/>
            </w:r>
            <w:r w:rsidRPr="005356F1">
              <w:rPr>
                <w:rFonts w:cs="Arial"/>
              </w:rPr>
              <w:instrText xml:space="preserve"> REF _Ref_ContractCompanion_9kb9Us7BB \n \h \t \* MERGEFORMAT </w:instrText>
            </w:r>
            <w:r w:rsidRPr="005356F1">
              <w:rPr>
                <w:rFonts w:cs="Arial"/>
              </w:rPr>
            </w:r>
            <w:r w:rsidRPr="005356F1">
              <w:rPr>
                <w:rFonts w:cs="Arial"/>
              </w:rPr>
              <w:fldChar w:fldCharType="separate"/>
            </w:r>
            <w:bookmarkStart w:id="1867" w:name="_9kMHG5YVt4BDAACDCfTlFQG40B69QQAtyA0svyC"/>
            <w:r w:rsidR="00302D39">
              <w:rPr>
                <w:rFonts w:cs="Arial"/>
              </w:rPr>
              <w:t>1.1</w:t>
            </w:r>
            <w:bookmarkEnd w:id="1867"/>
            <w:r w:rsidRPr="005356F1">
              <w:rPr>
                <w:rFonts w:cs="Arial"/>
              </w:rPr>
              <w:fldChar w:fldCharType="end"/>
            </w:r>
            <w:bookmarkEnd w:id="1866"/>
          </w:p>
        </w:tc>
        <w:tc>
          <w:tcPr>
            <w:tcW w:w="2966" w:type="dxa"/>
          </w:tcPr>
          <w:p w14:paraId="2CD3CD31" w14:textId="77777777" w:rsidR="00F67E9E" w:rsidRPr="005356F1" w:rsidRDefault="00F67E9E" w:rsidP="007F74AA">
            <w:pPr>
              <w:pStyle w:val="StdBodyText"/>
              <w:spacing w:before="0" w:after="0"/>
              <w:rPr>
                <w:rFonts w:cs="Arial"/>
              </w:rPr>
            </w:pPr>
            <w:r w:rsidRPr="005356F1">
              <w:rPr>
                <w:rFonts w:cs="Arial"/>
              </w:rPr>
              <w:t>Template Invoice</w:t>
            </w:r>
          </w:p>
        </w:tc>
        <w:tc>
          <w:tcPr>
            <w:tcW w:w="1996" w:type="dxa"/>
          </w:tcPr>
          <w:p w14:paraId="547396B5" w14:textId="77777777" w:rsidR="00F67E9E" w:rsidRPr="005356F1" w:rsidRDefault="00F67E9E" w:rsidP="007F74AA">
            <w:pPr>
              <w:pStyle w:val="StdBodyText"/>
              <w:spacing w:before="0" w:after="0"/>
              <w:rPr>
                <w:rFonts w:cs="Arial"/>
              </w:rPr>
            </w:pPr>
            <w:r w:rsidRPr="005356F1">
              <w:rPr>
                <w:rFonts w:cs="Arial"/>
              </w:rPr>
              <w:t>As appropriate and agreed by the Authority</w:t>
            </w:r>
          </w:p>
        </w:tc>
        <w:tc>
          <w:tcPr>
            <w:tcW w:w="2666" w:type="dxa"/>
          </w:tcPr>
          <w:p w14:paraId="716989A6" w14:textId="77777777" w:rsidR="00F67E9E" w:rsidRPr="005356F1" w:rsidRDefault="00F67E9E" w:rsidP="007F74AA">
            <w:pPr>
              <w:pStyle w:val="StdBodyText"/>
              <w:spacing w:before="0" w:after="0"/>
              <w:rPr>
                <w:rFonts w:cs="Arial"/>
              </w:rPr>
            </w:pPr>
            <w:r w:rsidRPr="005356F1">
              <w:rPr>
                <w:rFonts w:cs="Arial"/>
              </w:rPr>
              <w:t>Within 10 Working Days of the Effective Date</w:t>
            </w:r>
          </w:p>
        </w:tc>
        <w:tc>
          <w:tcPr>
            <w:tcW w:w="2862" w:type="dxa"/>
          </w:tcPr>
          <w:p w14:paraId="78D294B8" w14:textId="77777777" w:rsidR="00F67E9E" w:rsidRPr="005356F1" w:rsidRDefault="00F67E9E" w:rsidP="007F74AA">
            <w:pPr>
              <w:pStyle w:val="StdBodyText"/>
              <w:spacing w:before="0" w:after="0"/>
              <w:rPr>
                <w:rFonts w:cs="Arial"/>
              </w:rPr>
            </w:pPr>
            <w:r w:rsidRPr="00D00D9A">
              <w:rPr>
                <w:rFonts w:cs="Arial"/>
              </w:rPr>
              <w:t>Upon Agreement by the Authority to vary the template</w:t>
            </w:r>
          </w:p>
        </w:tc>
        <w:tc>
          <w:tcPr>
            <w:tcW w:w="2381" w:type="dxa"/>
          </w:tcPr>
          <w:p w14:paraId="41A05AF1" w14:textId="77777777" w:rsidR="00F67E9E" w:rsidRPr="005356F1" w:rsidRDefault="00F67E9E" w:rsidP="007F74AA">
            <w:pPr>
              <w:pStyle w:val="StdBodyText"/>
              <w:spacing w:before="0" w:after="0"/>
              <w:rPr>
                <w:rFonts w:cs="Arial"/>
              </w:rPr>
            </w:pPr>
            <w:r w:rsidRPr="005356F1">
              <w:rPr>
                <w:rFonts w:cs="Arial"/>
              </w:rPr>
              <w:t>Authority</w:t>
            </w:r>
          </w:p>
        </w:tc>
      </w:tr>
      <w:tr w:rsidR="00F67E9E" w:rsidRPr="005356F1" w14:paraId="726DFD74" w14:textId="77777777" w:rsidTr="007F74AA">
        <w:trPr>
          <w:trHeight w:val="20"/>
        </w:trPr>
        <w:tc>
          <w:tcPr>
            <w:tcW w:w="2268" w:type="dxa"/>
          </w:tcPr>
          <w:p w14:paraId="5141237B" w14:textId="774613F2" w:rsidR="00F67E9E" w:rsidRPr="00D00D9A" w:rsidRDefault="00F67E9E" w:rsidP="007F74AA">
            <w:pPr>
              <w:pStyle w:val="StdBodyText"/>
              <w:spacing w:before="0" w:after="0"/>
              <w:rPr>
                <w:rFonts w:cs="Arial"/>
              </w:rPr>
            </w:pPr>
            <w:r w:rsidRPr="00D00D9A">
              <w:rPr>
                <w:rFonts w:cs="Arial"/>
              </w:rPr>
              <w:t xml:space="preserve">Sch </w:t>
            </w:r>
            <w:r w:rsidRPr="00D00D9A">
              <w:fldChar w:fldCharType="begin"/>
            </w:r>
            <w:r w:rsidRPr="00D00D9A">
              <w:instrText xml:space="preserve"> REF _Ref92199959 \h  \# "#"  \* MERGEFORMAT </w:instrText>
            </w:r>
            <w:r w:rsidRPr="00D00D9A">
              <w:fldChar w:fldCharType="separate"/>
            </w:r>
            <w:r w:rsidR="00302D39">
              <w:t>15</w:t>
            </w:r>
            <w:r w:rsidRPr="00D00D9A">
              <w:fldChar w:fldCharType="end"/>
            </w:r>
            <w:r w:rsidRPr="00D00D9A">
              <w:rPr>
                <w:rFonts w:cs="Arial"/>
              </w:rPr>
              <w:t xml:space="preserve">, Annex </w:t>
            </w:r>
            <w:r w:rsidRPr="00D00D9A">
              <w:rPr>
                <w:rFonts w:cs="Arial"/>
              </w:rPr>
              <w:fldChar w:fldCharType="begin"/>
            </w:r>
            <w:r w:rsidRPr="00D00D9A">
              <w:rPr>
                <w:rFonts w:cs="Arial"/>
              </w:rPr>
              <w:instrText xml:space="preserve"> REF ANNEX4_SCHEDULE15 \h  \* MERGEFORMAT </w:instrText>
            </w:r>
            <w:r w:rsidRPr="00D00D9A">
              <w:rPr>
                <w:rFonts w:cs="Arial"/>
              </w:rPr>
            </w:r>
            <w:r w:rsidRPr="00D00D9A">
              <w:rPr>
                <w:rFonts w:cs="Arial"/>
              </w:rPr>
              <w:fldChar w:fldCharType="separate"/>
            </w:r>
            <w:r w:rsidR="00302D39" w:rsidRPr="00302D39">
              <w:rPr>
                <w:rFonts w:cs="Arial"/>
              </w:rPr>
              <w:t>4</w:t>
            </w:r>
            <w:r w:rsidRPr="00D00D9A">
              <w:rPr>
                <w:rFonts w:cs="Arial"/>
              </w:rPr>
              <w:fldChar w:fldCharType="end"/>
            </w:r>
          </w:p>
        </w:tc>
        <w:tc>
          <w:tcPr>
            <w:tcW w:w="2966" w:type="dxa"/>
          </w:tcPr>
          <w:p w14:paraId="4AFB0345" w14:textId="77777777" w:rsidR="00F67E9E" w:rsidRPr="00D00D9A" w:rsidRDefault="00F67E9E" w:rsidP="007F74AA">
            <w:pPr>
              <w:pStyle w:val="StdBodyText"/>
              <w:spacing w:before="0" w:after="0"/>
              <w:rPr>
                <w:rFonts w:cs="Arial"/>
              </w:rPr>
            </w:pPr>
            <w:r w:rsidRPr="00D00D9A">
              <w:rPr>
                <w:rFonts w:cs="Arial"/>
              </w:rPr>
              <w:t>Risk Register</w:t>
            </w:r>
          </w:p>
        </w:tc>
        <w:tc>
          <w:tcPr>
            <w:tcW w:w="1996" w:type="dxa"/>
          </w:tcPr>
          <w:p w14:paraId="1AB942E3" w14:textId="7F4BDF4D" w:rsidR="00F67E9E" w:rsidRPr="00D00D9A" w:rsidRDefault="00F67E9E" w:rsidP="007F74AA">
            <w:pPr>
              <w:pStyle w:val="StdBodyText"/>
              <w:spacing w:before="0" w:after="0"/>
              <w:rPr>
                <w:rFonts w:cs="Arial"/>
              </w:rPr>
            </w:pPr>
            <w:r w:rsidRPr="00D00D9A">
              <w:rPr>
                <w:rFonts w:cs="Arial"/>
              </w:rPr>
              <w:t xml:space="preserve">Sch </w:t>
            </w:r>
            <w:r w:rsidRPr="00D00D9A">
              <w:fldChar w:fldCharType="begin"/>
            </w:r>
            <w:r w:rsidRPr="00D00D9A">
              <w:instrText xml:space="preserve"> REF _Ref92199959 \h  \# "#"  \* MERGEFORMAT </w:instrText>
            </w:r>
            <w:r w:rsidRPr="00D00D9A">
              <w:fldChar w:fldCharType="separate"/>
            </w:r>
            <w:r w:rsidR="00302D39">
              <w:t>15</w:t>
            </w:r>
            <w:r w:rsidRPr="00D00D9A">
              <w:fldChar w:fldCharType="end"/>
            </w:r>
            <w:r w:rsidRPr="00D00D9A">
              <w:rPr>
                <w:rFonts w:cs="Arial"/>
              </w:rPr>
              <w:t xml:space="preserve">, Annex </w:t>
            </w:r>
            <w:r w:rsidRPr="00D00D9A">
              <w:rPr>
                <w:rFonts w:cs="Arial"/>
              </w:rPr>
              <w:fldChar w:fldCharType="begin"/>
            </w:r>
            <w:r w:rsidRPr="00D00D9A">
              <w:rPr>
                <w:rFonts w:cs="Arial"/>
              </w:rPr>
              <w:instrText xml:space="preserve"> REF ANNEX4_SCHEDULE15 \h  \* MERGEFORMAT </w:instrText>
            </w:r>
            <w:r w:rsidRPr="00D00D9A">
              <w:rPr>
                <w:rFonts w:cs="Arial"/>
              </w:rPr>
            </w:r>
            <w:r w:rsidRPr="00D00D9A">
              <w:rPr>
                <w:rFonts w:cs="Arial"/>
              </w:rPr>
              <w:fldChar w:fldCharType="separate"/>
            </w:r>
            <w:r w:rsidR="00302D39" w:rsidRPr="00302D39">
              <w:rPr>
                <w:rFonts w:cs="Arial"/>
              </w:rPr>
              <w:t>4</w:t>
            </w:r>
            <w:r w:rsidRPr="00D00D9A">
              <w:rPr>
                <w:rFonts w:cs="Arial"/>
              </w:rPr>
              <w:fldChar w:fldCharType="end"/>
            </w:r>
          </w:p>
        </w:tc>
        <w:tc>
          <w:tcPr>
            <w:tcW w:w="2666" w:type="dxa"/>
          </w:tcPr>
          <w:p w14:paraId="5047C99E" w14:textId="77777777" w:rsidR="00F67E9E" w:rsidRPr="00D00D9A" w:rsidRDefault="00F67E9E" w:rsidP="007F74AA">
            <w:pPr>
              <w:pStyle w:val="StdBodyText"/>
              <w:spacing w:before="0" w:after="0"/>
              <w:rPr>
                <w:rFonts w:cs="Arial"/>
              </w:rPr>
            </w:pPr>
            <w:r w:rsidRPr="00D00D9A">
              <w:rPr>
                <w:rFonts w:cs="Arial"/>
              </w:rPr>
              <w:t>Effective Date</w:t>
            </w:r>
          </w:p>
        </w:tc>
        <w:tc>
          <w:tcPr>
            <w:tcW w:w="2862" w:type="dxa"/>
          </w:tcPr>
          <w:p w14:paraId="6D0E935A" w14:textId="77777777" w:rsidR="00F67E9E" w:rsidRPr="00D00D9A" w:rsidRDefault="00F67E9E" w:rsidP="007F74AA">
            <w:pPr>
              <w:pStyle w:val="StdBodyText"/>
              <w:spacing w:before="0" w:after="0"/>
              <w:rPr>
                <w:rFonts w:cs="Arial"/>
              </w:rPr>
            </w:pPr>
            <w:r w:rsidRPr="00D00D9A">
              <w:rPr>
                <w:rFonts w:cs="Arial"/>
              </w:rPr>
              <w:t>Upon Agreement by the Authority to vary the by the Risk Management Board</w:t>
            </w:r>
          </w:p>
        </w:tc>
        <w:tc>
          <w:tcPr>
            <w:tcW w:w="2381" w:type="dxa"/>
          </w:tcPr>
          <w:p w14:paraId="6337E58B" w14:textId="77777777" w:rsidR="00F67E9E" w:rsidRPr="005356F1" w:rsidRDefault="00F67E9E" w:rsidP="007F74AA">
            <w:pPr>
              <w:pStyle w:val="StdBodyText"/>
              <w:spacing w:before="0" w:after="0"/>
              <w:rPr>
                <w:rFonts w:cs="Arial"/>
              </w:rPr>
            </w:pPr>
            <w:r w:rsidRPr="005356F1">
              <w:rPr>
                <w:rFonts w:cs="Arial"/>
              </w:rPr>
              <w:t>Authority</w:t>
            </w:r>
          </w:p>
        </w:tc>
      </w:tr>
      <w:tr w:rsidR="00F67E9E" w:rsidRPr="005356F1" w14:paraId="6D188392" w14:textId="77777777" w:rsidTr="007F74AA">
        <w:trPr>
          <w:trHeight w:val="20"/>
        </w:trPr>
        <w:tc>
          <w:tcPr>
            <w:tcW w:w="2268" w:type="dxa"/>
          </w:tcPr>
          <w:p w14:paraId="00A143EE" w14:textId="776C84F0" w:rsidR="00F67E9E" w:rsidRPr="005356F1" w:rsidRDefault="00F67E9E" w:rsidP="007F74AA">
            <w:pPr>
              <w:pStyle w:val="StdBodyText"/>
              <w:spacing w:before="0" w:after="0"/>
              <w:rPr>
                <w:rFonts w:cs="Arial"/>
              </w:rPr>
            </w:pPr>
            <w:bookmarkStart w:id="1868" w:name="_9kR3WTr2BC9BEfJfBL"/>
            <w:r w:rsidRPr="005356F1">
              <w:rPr>
                <w:rFonts w:cs="Arial"/>
              </w:rPr>
              <w:t>Sch</w:t>
            </w:r>
            <w:bookmarkEnd w:id="1868"/>
            <w:r w:rsidRPr="005356F1">
              <w:rPr>
                <w:rFonts w:cs="Arial"/>
              </w:rPr>
              <w:t xml:space="preserve"> </w:t>
            </w:r>
            <w:r w:rsidRPr="005356F1">
              <w:fldChar w:fldCharType="begin"/>
            </w:r>
            <w:r w:rsidRPr="005356F1">
              <w:instrText xml:space="preserve"> REF _Ref92199974 \h  \# "#"  \* MERGEFORMAT </w:instrText>
            </w:r>
            <w:r w:rsidRPr="005356F1">
              <w:fldChar w:fldCharType="separate"/>
            </w:r>
            <w:r w:rsidR="00302D39">
              <w:t>17</w:t>
            </w:r>
            <w:r w:rsidRPr="005356F1">
              <w:fldChar w:fldCharType="end"/>
            </w:r>
            <w:r w:rsidRPr="005356F1">
              <w:rPr>
                <w:rFonts w:cs="Arial"/>
              </w:rPr>
              <w:t xml:space="preserve">, </w:t>
            </w:r>
            <w:bookmarkStart w:id="1869" w:name="_9kMJI5YVtCIBDEBLEyq1QMVJ15A1414D9F23775"/>
            <w:r w:rsidRPr="005356F1">
              <w:rPr>
                <w:rFonts w:cs="Arial"/>
              </w:rPr>
              <w:t xml:space="preserve">Para </w:t>
            </w:r>
            <w:r>
              <w:rPr>
                <w:rFonts w:cs="Arial"/>
              </w:rPr>
              <w:fldChar w:fldCharType="begin"/>
            </w:r>
            <w:r>
              <w:rPr>
                <w:rFonts w:cs="Arial"/>
              </w:rPr>
              <w:instrText xml:space="preserve"> REF _Ref_ContractCompanion_9kb9Ur6GC \w \h </w:instrText>
            </w:r>
            <w:r>
              <w:rPr>
                <w:rFonts w:cs="Arial"/>
              </w:rPr>
            </w:r>
            <w:r>
              <w:rPr>
                <w:rFonts w:cs="Arial"/>
              </w:rPr>
              <w:fldChar w:fldCharType="separate"/>
            </w:r>
            <w:r w:rsidR="00302D39">
              <w:rPr>
                <w:rFonts w:cs="Arial"/>
              </w:rPr>
              <w:t>4</w:t>
            </w:r>
            <w:r>
              <w:rPr>
                <w:rFonts w:cs="Arial"/>
              </w:rPr>
              <w:fldChar w:fldCharType="end"/>
            </w:r>
            <w:bookmarkEnd w:id="1869"/>
          </w:p>
        </w:tc>
        <w:tc>
          <w:tcPr>
            <w:tcW w:w="2966" w:type="dxa"/>
          </w:tcPr>
          <w:p w14:paraId="45B7AD72" w14:textId="77777777" w:rsidR="00F67E9E" w:rsidRPr="005356F1" w:rsidRDefault="00F67E9E" w:rsidP="007F74AA">
            <w:pPr>
              <w:pStyle w:val="StdBodyText"/>
              <w:spacing w:before="0" w:after="0"/>
              <w:rPr>
                <w:rFonts w:cs="Arial"/>
              </w:rPr>
            </w:pPr>
            <w:r w:rsidRPr="005356F1">
              <w:rPr>
                <w:rFonts w:cs="Arial"/>
              </w:rPr>
              <w:t>Benchmarking Plan</w:t>
            </w:r>
          </w:p>
        </w:tc>
        <w:tc>
          <w:tcPr>
            <w:tcW w:w="1996" w:type="dxa"/>
          </w:tcPr>
          <w:p w14:paraId="3285B9CB" w14:textId="1E5DACE9" w:rsidR="00F67E9E" w:rsidRPr="005356F1" w:rsidRDefault="00F67E9E" w:rsidP="007F74AA">
            <w:pPr>
              <w:pStyle w:val="StdBodyText"/>
              <w:spacing w:before="0" w:after="0"/>
              <w:rPr>
                <w:rFonts w:cs="Arial"/>
              </w:rPr>
            </w:pPr>
            <w:r w:rsidRPr="005356F1">
              <w:rPr>
                <w:rFonts w:cs="Arial"/>
              </w:rPr>
              <w:t xml:space="preserve">Sch </w:t>
            </w:r>
            <w:r w:rsidRPr="005356F1">
              <w:fldChar w:fldCharType="begin"/>
            </w:r>
            <w:r w:rsidRPr="005356F1">
              <w:instrText xml:space="preserve"> REF _Ref92199974 \h  \# "#"  \* MERGEFORMAT </w:instrText>
            </w:r>
            <w:r w:rsidRPr="005356F1">
              <w:fldChar w:fldCharType="separate"/>
            </w:r>
            <w:r w:rsidR="00302D39">
              <w:t>17</w:t>
            </w:r>
            <w:r w:rsidRPr="005356F1">
              <w:fldChar w:fldCharType="end"/>
            </w:r>
          </w:p>
        </w:tc>
        <w:tc>
          <w:tcPr>
            <w:tcW w:w="2666" w:type="dxa"/>
          </w:tcPr>
          <w:p w14:paraId="4F357BB5" w14:textId="77777777" w:rsidR="00F67E9E" w:rsidRPr="005356F1" w:rsidRDefault="00F67E9E" w:rsidP="007F74AA">
            <w:pPr>
              <w:pStyle w:val="StdBodyText"/>
              <w:spacing w:before="0" w:after="0"/>
              <w:rPr>
                <w:rFonts w:cs="Arial"/>
              </w:rPr>
            </w:pPr>
            <w:r w:rsidRPr="005356F1">
              <w:rPr>
                <w:rFonts w:cs="Arial"/>
              </w:rPr>
              <w:t>Upon receipt from Benchmarker</w:t>
            </w:r>
          </w:p>
        </w:tc>
        <w:tc>
          <w:tcPr>
            <w:tcW w:w="2862" w:type="dxa"/>
          </w:tcPr>
          <w:p w14:paraId="51D7BC39" w14:textId="77777777" w:rsidR="00F67E9E" w:rsidRPr="005356F1" w:rsidRDefault="00F67E9E" w:rsidP="007F74AA">
            <w:pPr>
              <w:pStyle w:val="StdBodyText"/>
              <w:spacing w:before="0" w:after="0"/>
              <w:rPr>
                <w:rFonts w:cs="Arial"/>
              </w:rPr>
            </w:pPr>
            <w:r w:rsidRPr="005356F1">
              <w:rPr>
                <w:rFonts w:cs="Arial"/>
              </w:rPr>
              <w:t>Approval of Plan</w:t>
            </w:r>
          </w:p>
        </w:tc>
        <w:tc>
          <w:tcPr>
            <w:tcW w:w="2381" w:type="dxa"/>
          </w:tcPr>
          <w:p w14:paraId="5C5CBF01" w14:textId="77777777" w:rsidR="00F67E9E" w:rsidRPr="005356F1" w:rsidRDefault="00F67E9E" w:rsidP="007F74AA">
            <w:pPr>
              <w:pStyle w:val="StdBodyText"/>
              <w:spacing w:before="0" w:after="0"/>
              <w:rPr>
                <w:rFonts w:cs="Arial"/>
              </w:rPr>
            </w:pPr>
            <w:r w:rsidRPr="005356F1">
              <w:rPr>
                <w:rFonts w:cs="Arial"/>
              </w:rPr>
              <w:t>Authority and Auditor</w:t>
            </w:r>
          </w:p>
        </w:tc>
      </w:tr>
      <w:tr w:rsidR="00F67E9E" w:rsidRPr="005356F1" w14:paraId="7CCDB143" w14:textId="77777777" w:rsidTr="007F74AA">
        <w:trPr>
          <w:trHeight w:val="20"/>
        </w:trPr>
        <w:tc>
          <w:tcPr>
            <w:tcW w:w="2268" w:type="dxa"/>
          </w:tcPr>
          <w:p w14:paraId="607C5BB1" w14:textId="7E1E4B17" w:rsidR="00F67E9E" w:rsidRPr="005356F1" w:rsidRDefault="00F67E9E" w:rsidP="007F74AA">
            <w:pPr>
              <w:pStyle w:val="StdBodyText"/>
              <w:spacing w:before="0" w:after="0"/>
              <w:rPr>
                <w:rFonts w:cs="Arial"/>
              </w:rPr>
            </w:pPr>
            <w:r w:rsidRPr="005356F1">
              <w:rPr>
                <w:rFonts w:cs="Arial"/>
              </w:rPr>
              <w:t xml:space="preserve">Sch </w:t>
            </w:r>
            <w:r w:rsidRPr="005356F1">
              <w:rPr>
                <w:szCs w:val="28"/>
              </w:rPr>
              <w:fldChar w:fldCharType="begin"/>
            </w:r>
            <w:r w:rsidRPr="005356F1">
              <w:rPr>
                <w:szCs w:val="28"/>
              </w:rPr>
              <w:instrText xml:space="preserve"> REF _Ref92199974 \h  \# "#"  \* MERGEFORMAT </w:instrText>
            </w:r>
            <w:r w:rsidRPr="005356F1">
              <w:rPr>
                <w:szCs w:val="28"/>
              </w:rPr>
            </w:r>
            <w:r w:rsidRPr="005356F1">
              <w:rPr>
                <w:szCs w:val="28"/>
              </w:rPr>
              <w:fldChar w:fldCharType="separate"/>
            </w:r>
            <w:r w:rsidR="00302D39">
              <w:rPr>
                <w:szCs w:val="28"/>
              </w:rPr>
              <w:t>17</w:t>
            </w:r>
            <w:r w:rsidRPr="005356F1">
              <w:rPr>
                <w:szCs w:val="28"/>
              </w:rPr>
              <w:fldChar w:fldCharType="end"/>
            </w:r>
            <w:r w:rsidRPr="005356F1">
              <w:rPr>
                <w:rFonts w:cs="Arial"/>
              </w:rPr>
              <w:t xml:space="preserve">, </w:t>
            </w:r>
            <w:bookmarkStart w:id="1870" w:name="_9kMKJ5YVtCIBDEBLEyq1QMVJ15A1414D9F23775"/>
            <w:r w:rsidRPr="005356F1">
              <w:rPr>
                <w:rFonts w:cs="Arial"/>
              </w:rPr>
              <w:t xml:space="preserve">Para </w:t>
            </w:r>
            <w:r w:rsidRPr="005356F1">
              <w:rPr>
                <w:rFonts w:cs="Arial"/>
              </w:rPr>
              <w:fldChar w:fldCharType="begin"/>
            </w:r>
            <w:r w:rsidRPr="005356F1">
              <w:rPr>
                <w:rFonts w:cs="Arial"/>
              </w:rPr>
              <w:instrText xml:space="preserve"> REF _Ref_ContractCompanion_9kb9Us77A \w \n \h \t \* MERGEFORMAT </w:instrText>
            </w:r>
            <w:r w:rsidRPr="005356F1">
              <w:rPr>
                <w:rFonts w:cs="Arial"/>
              </w:rPr>
            </w:r>
            <w:r w:rsidRPr="005356F1">
              <w:rPr>
                <w:rFonts w:cs="Arial"/>
              </w:rPr>
              <w:fldChar w:fldCharType="separate"/>
            </w:r>
            <w:r w:rsidR="00302D39">
              <w:rPr>
                <w:rFonts w:cs="Arial"/>
              </w:rPr>
              <w:t>8</w:t>
            </w:r>
            <w:r w:rsidRPr="005356F1">
              <w:rPr>
                <w:rFonts w:cs="Arial"/>
              </w:rPr>
              <w:fldChar w:fldCharType="end"/>
            </w:r>
            <w:bookmarkEnd w:id="1870"/>
          </w:p>
        </w:tc>
        <w:tc>
          <w:tcPr>
            <w:tcW w:w="2966" w:type="dxa"/>
          </w:tcPr>
          <w:p w14:paraId="1DD6859F" w14:textId="77777777" w:rsidR="00F67E9E" w:rsidRPr="005356F1" w:rsidRDefault="00F67E9E" w:rsidP="007F74AA">
            <w:pPr>
              <w:pStyle w:val="StdBodyText"/>
              <w:spacing w:before="0" w:after="0"/>
              <w:rPr>
                <w:rFonts w:cs="Arial"/>
              </w:rPr>
            </w:pPr>
            <w:r w:rsidRPr="005356F1">
              <w:rPr>
                <w:rFonts w:cs="Arial"/>
              </w:rPr>
              <w:t>Benchmarking report</w:t>
            </w:r>
          </w:p>
        </w:tc>
        <w:tc>
          <w:tcPr>
            <w:tcW w:w="1996" w:type="dxa"/>
          </w:tcPr>
          <w:p w14:paraId="49D0E2F4" w14:textId="3C17D5F5" w:rsidR="00F67E9E" w:rsidRPr="005356F1" w:rsidRDefault="00F67E9E" w:rsidP="007F74AA">
            <w:pPr>
              <w:pStyle w:val="StdBodyText"/>
              <w:spacing w:before="0" w:after="0"/>
              <w:rPr>
                <w:rFonts w:cs="Arial"/>
              </w:rPr>
            </w:pPr>
            <w:r w:rsidRPr="005356F1">
              <w:rPr>
                <w:rFonts w:cs="Arial"/>
              </w:rPr>
              <w:t xml:space="preserve">Sch </w:t>
            </w:r>
            <w:r w:rsidRPr="005356F1">
              <w:fldChar w:fldCharType="begin"/>
            </w:r>
            <w:r w:rsidRPr="005356F1">
              <w:instrText xml:space="preserve"> REF _Ref92199974 \h  \# "#"  \* MERGEFORMAT </w:instrText>
            </w:r>
            <w:r w:rsidRPr="005356F1">
              <w:fldChar w:fldCharType="separate"/>
            </w:r>
            <w:r w:rsidR="00302D39">
              <w:t>17</w:t>
            </w:r>
            <w:r w:rsidRPr="005356F1">
              <w:fldChar w:fldCharType="end"/>
            </w:r>
          </w:p>
        </w:tc>
        <w:tc>
          <w:tcPr>
            <w:tcW w:w="2666" w:type="dxa"/>
          </w:tcPr>
          <w:p w14:paraId="6D9F7B56" w14:textId="77777777" w:rsidR="00F67E9E" w:rsidRPr="005356F1" w:rsidRDefault="00F67E9E" w:rsidP="007F74AA">
            <w:pPr>
              <w:pStyle w:val="StdBodyText"/>
              <w:spacing w:before="0" w:after="0"/>
              <w:rPr>
                <w:rFonts w:cs="Arial"/>
              </w:rPr>
            </w:pPr>
            <w:r w:rsidRPr="005356F1">
              <w:rPr>
                <w:rFonts w:cs="Arial"/>
              </w:rPr>
              <w:t>Upon receipt from Benchmarker</w:t>
            </w:r>
          </w:p>
        </w:tc>
        <w:tc>
          <w:tcPr>
            <w:tcW w:w="2862" w:type="dxa"/>
          </w:tcPr>
          <w:p w14:paraId="1A4B8423" w14:textId="77777777" w:rsidR="00F67E9E" w:rsidRPr="005356F1" w:rsidRDefault="00F67E9E" w:rsidP="007F74AA">
            <w:pPr>
              <w:pStyle w:val="StdBodyText"/>
              <w:spacing w:before="0" w:after="0"/>
              <w:rPr>
                <w:rFonts w:cs="Arial"/>
              </w:rPr>
            </w:pPr>
            <w:r w:rsidRPr="005356F1">
              <w:rPr>
                <w:rFonts w:cs="Arial"/>
              </w:rPr>
              <w:t>Any update</w:t>
            </w:r>
          </w:p>
        </w:tc>
        <w:tc>
          <w:tcPr>
            <w:tcW w:w="2381" w:type="dxa"/>
          </w:tcPr>
          <w:p w14:paraId="5E18E9C9" w14:textId="77777777" w:rsidR="00F67E9E" w:rsidRPr="005356F1" w:rsidRDefault="00F67E9E" w:rsidP="007F74AA">
            <w:pPr>
              <w:pStyle w:val="StdBodyText"/>
              <w:spacing w:before="0" w:after="0"/>
              <w:rPr>
                <w:rFonts w:cs="Arial"/>
              </w:rPr>
            </w:pPr>
            <w:r w:rsidRPr="005356F1">
              <w:rPr>
                <w:rFonts w:cs="Arial"/>
              </w:rPr>
              <w:t>Authority and Auditor</w:t>
            </w:r>
          </w:p>
        </w:tc>
      </w:tr>
      <w:tr w:rsidR="00F67E9E" w:rsidRPr="005356F1" w14:paraId="746811CF" w14:textId="77777777" w:rsidTr="007F74AA">
        <w:trPr>
          <w:trHeight w:val="20"/>
        </w:trPr>
        <w:tc>
          <w:tcPr>
            <w:tcW w:w="2268" w:type="dxa"/>
          </w:tcPr>
          <w:p w14:paraId="7A165118" w14:textId="4856DDF4" w:rsidR="00F67E9E" w:rsidRPr="005356F1" w:rsidRDefault="00F67E9E" w:rsidP="007F74AA">
            <w:pPr>
              <w:pStyle w:val="StdBodyText"/>
              <w:spacing w:before="0" w:after="0"/>
              <w:rPr>
                <w:rFonts w:cs="Arial"/>
              </w:rPr>
            </w:pPr>
            <w:bookmarkStart w:id="1871" w:name="_9kR3WTr2BC9BCdJfBM"/>
            <w:r w:rsidRPr="005356F1">
              <w:rPr>
                <w:rFonts w:cs="Arial"/>
              </w:rPr>
              <w:t xml:space="preserve">Sch </w:t>
            </w:r>
            <w:bookmarkEnd w:id="1871"/>
            <w:r w:rsidRPr="005356F1">
              <w:rPr>
                <w:rFonts w:cs="Arial"/>
              </w:rPr>
              <w:fldChar w:fldCharType="begin"/>
            </w:r>
            <w:r w:rsidRPr="005356F1">
              <w:rPr>
                <w:rFonts w:cs="Arial"/>
              </w:rPr>
              <w:instrText xml:space="preserve"> REF _Ref92199989 \h  \# "#" </w:instrText>
            </w:r>
            <w:r>
              <w:rPr>
                <w:rFonts w:cs="Arial"/>
              </w:rPr>
              <w:instrText xml:space="preserve"> \* MERGEFORMAT </w:instrText>
            </w:r>
            <w:r w:rsidRPr="005356F1">
              <w:rPr>
                <w:rFonts w:cs="Arial"/>
              </w:rPr>
            </w:r>
            <w:r w:rsidRPr="005356F1">
              <w:rPr>
                <w:rFonts w:cs="Arial"/>
              </w:rPr>
              <w:fldChar w:fldCharType="separate"/>
            </w:r>
            <w:r w:rsidR="00302D39">
              <w:rPr>
                <w:rFonts w:cs="Arial"/>
              </w:rPr>
              <w:t>18</w:t>
            </w:r>
            <w:r w:rsidRPr="005356F1">
              <w:rPr>
                <w:rFonts w:cs="Arial"/>
              </w:rPr>
              <w:fldChar w:fldCharType="end"/>
            </w:r>
            <w:r>
              <w:rPr>
                <w:rFonts w:cs="Arial"/>
              </w:rPr>
              <w:t xml:space="preserve">, </w:t>
            </w:r>
            <w:bookmarkStart w:id="1872" w:name="_9kR3WTr2BCBGDYEno0Hr"/>
            <w:r w:rsidRPr="005356F1">
              <w:rPr>
                <w:rFonts w:cs="Arial"/>
              </w:rPr>
              <w:t xml:space="preserve">Para </w:t>
            </w:r>
            <w:r w:rsidRPr="005356F1">
              <w:rPr>
                <w:rFonts w:cs="Arial"/>
              </w:rPr>
              <w:fldChar w:fldCharType="begin"/>
            </w:r>
            <w:r w:rsidRPr="005356F1">
              <w:rPr>
                <w:rFonts w:cs="Arial"/>
              </w:rPr>
              <w:instrText xml:space="preserve"> REF _Ref_ContractCompanion_9kb9Ur27C \w \h \t \* MERGEFORMAT </w:instrText>
            </w:r>
            <w:r w:rsidRPr="005356F1">
              <w:rPr>
                <w:rFonts w:cs="Arial"/>
              </w:rPr>
            </w:r>
            <w:r w:rsidRPr="005356F1">
              <w:rPr>
                <w:rFonts w:cs="Arial"/>
              </w:rPr>
              <w:fldChar w:fldCharType="separate"/>
            </w:r>
            <w:r w:rsidR="00302D39">
              <w:rPr>
                <w:rFonts w:cs="Arial"/>
              </w:rPr>
              <w:t>2.3.2</w:t>
            </w:r>
            <w:r w:rsidRPr="005356F1">
              <w:rPr>
                <w:rFonts w:cs="Arial"/>
              </w:rPr>
              <w:fldChar w:fldCharType="end"/>
            </w:r>
            <w:bookmarkEnd w:id="1872"/>
          </w:p>
        </w:tc>
        <w:tc>
          <w:tcPr>
            <w:tcW w:w="2966" w:type="dxa"/>
          </w:tcPr>
          <w:p w14:paraId="45320C5D" w14:textId="77777777" w:rsidR="00F67E9E" w:rsidRPr="005356F1" w:rsidRDefault="00F67E9E" w:rsidP="007F74AA">
            <w:pPr>
              <w:pStyle w:val="StdBodyText"/>
              <w:spacing w:before="0" w:after="0"/>
              <w:rPr>
                <w:rFonts w:cs="Arial"/>
              </w:rPr>
            </w:pPr>
            <w:bookmarkStart w:id="1873" w:name="_Hlk99022280"/>
            <w:r w:rsidRPr="005356F1">
              <w:rPr>
                <w:rFonts w:cs="Arial"/>
              </w:rPr>
              <w:t>Financial Indicator Reports</w:t>
            </w:r>
            <w:bookmarkEnd w:id="1873"/>
          </w:p>
        </w:tc>
        <w:tc>
          <w:tcPr>
            <w:tcW w:w="1996" w:type="dxa"/>
          </w:tcPr>
          <w:p w14:paraId="2C11355C" w14:textId="5B30399A" w:rsidR="00F67E9E" w:rsidRPr="005356F1" w:rsidRDefault="00F67E9E" w:rsidP="007F74AA">
            <w:pPr>
              <w:pStyle w:val="StdBodyText"/>
              <w:spacing w:before="0" w:after="0"/>
              <w:rPr>
                <w:rFonts w:cs="Arial"/>
              </w:rPr>
            </w:pPr>
            <w:bookmarkStart w:id="1874" w:name="_9kR3WTr2BCBGG1kno0J"/>
            <w:r w:rsidRPr="005356F1">
              <w:rPr>
                <w:rFonts w:cs="Arial"/>
              </w:rPr>
              <w:t xml:space="preserve">Sch </w:t>
            </w:r>
            <w:r w:rsidRPr="005356F1">
              <w:rPr>
                <w:rFonts w:cs="Arial"/>
              </w:rPr>
              <w:fldChar w:fldCharType="begin"/>
            </w:r>
            <w:r w:rsidRPr="005356F1">
              <w:rPr>
                <w:rFonts w:cs="Arial"/>
              </w:rPr>
              <w:instrText xml:space="preserve"> REF _Ref92199989 \h  \# "#" </w:instrText>
            </w:r>
            <w:r>
              <w:rPr>
                <w:rFonts w:cs="Arial"/>
              </w:rPr>
              <w:instrText xml:space="preserve"> \* MERGEFORMAT </w:instrText>
            </w:r>
            <w:r w:rsidRPr="005356F1">
              <w:rPr>
                <w:rFonts w:cs="Arial"/>
              </w:rPr>
            </w:r>
            <w:r w:rsidRPr="005356F1">
              <w:rPr>
                <w:rFonts w:cs="Arial"/>
              </w:rPr>
              <w:fldChar w:fldCharType="separate"/>
            </w:r>
            <w:r w:rsidR="00302D39">
              <w:rPr>
                <w:rFonts w:cs="Arial"/>
              </w:rPr>
              <w:t>18</w:t>
            </w:r>
            <w:r w:rsidRPr="005356F1">
              <w:rPr>
                <w:rFonts w:cs="Arial"/>
              </w:rPr>
              <w:fldChar w:fldCharType="end"/>
            </w:r>
            <w:r>
              <w:rPr>
                <w:rFonts w:cs="Arial"/>
              </w:rPr>
              <w:t>,</w:t>
            </w:r>
            <w:r w:rsidRPr="005356F1">
              <w:rPr>
                <w:rFonts w:cs="Arial"/>
              </w:rPr>
              <w:t xml:space="preserve"> </w:t>
            </w:r>
            <w:r>
              <w:rPr>
                <w:rFonts w:cs="Arial"/>
              </w:rPr>
              <w:t>P</w:t>
            </w:r>
            <w:r w:rsidRPr="005356F1">
              <w:rPr>
                <w:rFonts w:cs="Arial"/>
              </w:rPr>
              <w:t xml:space="preserve">ara </w:t>
            </w:r>
            <w:r w:rsidRPr="005356F1">
              <w:rPr>
                <w:rFonts w:cs="Arial"/>
              </w:rPr>
              <w:fldChar w:fldCharType="begin"/>
            </w:r>
            <w:r w:rsidRPr="005356F1">
              <w:rPr>
                <w:rFonts w:cs="Arial"/>
              </w:rPr>
              <w:instrText xml:space="preserve"> REF _Ref_ContractCompanion_9kb9Us7CA \n \h \t \* MERGEFORMAT </w:instrText>
            </w:r>
            <w:r w:rsidRPr="005356F1">
              <w:rPr>
                <w:rFonts w:cs="Arial"/>
              </w:rPr>
            </w:r>
            <w:r w:rsidRPr="005356F1">
              <w:rPr>
                <w:rFonts w:cs="Arial"/>
              </w:rPr>
              <w:fldChar w:fldCharType="separate"/>
            </w:r>
            <w:r w:rsidR="00302D39">
              <w:rPr>
                <w:rFonts w:cs="Arial"/>
              </w:rPr>
              <w:t>2.5</w:t>
            </w:r>
            <w:r w:rsidRPr="005356F1">
              <w:rPr>
                <w:rFonts w:cs="Arial"/>
              </w:rPr>
              <w:fldChar w:fldCharType="end"/>
            </w:r>
            <w:bookmarkEnd w:id="1874"/>
          </w:p>
        </w:tc>
        <w:tc>
          <w:tcPr>
            <w:tcW w:w="2666" w:type="dxa"/>
          </w:tcPr>
          <w:p w14:paraId="2B38E1A4" w14:textId="3BADC48F" w:rsidR="00F67E9E" w:rsidRPr="005356F1" w:rsidRDefault="00F67E9E" w:rsidP="007F74AA">
            <w:pPr>
              <w:pStyle w:val="StdBodyText"/>
              <w:spacing w:before="0" w:after="0"/>
              <w:rPr>
                <w:rFonts w:cs="Arial"/>
              </w:rPr>
            </w:pPr>
            <w:r w:rsidRPr="005356F1">
              <w:rPr>
                <w:rFonts w:cs="Arial"/>
              </w:rPr>
              <w:t xml:space="preserve">As specified in </w:t>
            </w:r>
            <w:bookmarkStart w:id="1875" w:name="_9kR3WTr2CC6BI4kno0Hr"/>
            <w:r>
              <w:rPr>
                <w:rFonts w:cs="Arial"/>
              </w:rPr>
              <w:t>Para </w:t>
            </w:r>
            <w:r w:rsidRPr="005356F1">
              <w:rPr>
                <w:rFonts w:cs="Arial"/>
              </w:rPr>
              <w:fldChar w:fldCharType="begin"/>
            </w:r>
            <w:r w:rsidRPr="005356F1">
              <w:rPr>
                <w:rFonts w:cs="Arial"/>
              </w:rPr>
              <w:instrText xml:space="preserve"> REF _Ref_ContractCompanion_9kb9Ur27C \w \h \t \* MERGEFORMAT </w:instrText>
            </w:r>
            <w:r w:rsidRPr="005356F1">
              <w:rPr>
                <w:rFonts w:cs="Arial"/>
              </w:rPr>
            </w:r>
            <w:r w:rsidRPr="005356F1">
              <w:rPr>
                <w:rFonts w:cs="Arial"/>
              </w:rPr>
              <w:fldChar w:fldCharType="separate"/>
            </w:r>
            <w:r w:rsidR="00302D39">
              <w:rPr>
                <w:rFonts w:cs="Arial"/>
              </w:rPr>
              <w:t>2.3.2</w:t>
            </w:r>
            <w:r w:rsidRPr="005356F1">
              <w:rPr>
                <w:rFonts w:cs="Arial"/>
              </w:rPr>
              <w:fldChar w:fldCharType="end"/>
            </w:r>
            <w:bookmarkEnd w:id="1875"/>
            <w:r w:rsidRPr="005356F1">
              <w:rPr>
                <w:rFonts w:cs="Arial"/>
              </w:rPr>
              <w:t xml:space="preserve"> of Sch </w:t>
            </w:r>
            <w:r w:rsidRPr="005356F1">
              <w:rPr>
                <w:rFonts w:cs="Arial"/>
              </w:rPr>
              <w:fldChar w:fldCharType="begin"/>
            </w:r>
            <w:r w:rsidRPr="005356F1">
              <w:rPr>
                <w:rFonts w:cs="Arial"/>
              </w:rPr>
              <w:instrText xml:space="preserve"> REF _Ref92199989 \h  \# "#" </w:instrText>
            </w:r>
            <w:r>
              <w:rPr>
                <w:rFonts w:cs="Arial"/>
              </w:rPr>
              <w:instrText xml:space="preserve"> \* MERGEFORMAT </w:instrText>
            </w:r>
            <w:r w:rsidRPr="005356F1">
              <w:rPr>
                <w:rFonts w:cs="Arial"/>
              </w:rPr>
            </w:r>
            <w:r w:rsidRPr="005356F1">
              <w:rPr>
                <w:rFonts w:cs="Arial"/>
              </w:rPr>
              <w:fldChar w:fldCharType="separate"/>
            </w:r>
            <w:r w:rsidR="00302D39">
              <w:rPr>
                <w:rFonts w:cs="Arial"/>
              </w:rPr>
              <w:t>18</w:t>
            </w:r>
            <w:r w:rsidRPr="005356F1">
              <w:rPr>
                <w:rFonts w:cs="Arial"/>
              </w:rPr>
              <w:fldChar w:fldCharType="end"/>
            </w:r>
          </w:p>
        </w:tc>
        <w:tc>
          <w:tcPr>
            <w:tcW w:w="2862" w:type="dxa"/>
          </w:tcPr>
          <w:p w14:paraId="4035148A" w14:textId="1552B0BE" w:rsidR="00F67E9E" w:rsidRPr="005356F1" w:rsidRDefault="00F67E9E" w:rsidP="007F74AA">
            <w:pPr>
              <w:pStyle w:val="StdBodyText"/>
              <w:spacing w:before="0" w:after="0"/>
              <w:rPr>
                <w:rFonts w:cs="Arial"/>
              </w:rPr>
            </w:pPr>
            <w:r w:rsidRPr="005356F1">
              <w:rPr>
                <w:rFonts w:cs="Arial"/>
              </w:rPr>
              <w:t xml:space="preserve">As specified in </w:t>
            </w:r>
            <w:bookmarkStart w:id="1876" w:name="_9kMHG5YVt4EE8DK6mpq2Jt"/>
            <w:r>
              <w:rPr>
                <w:rFonts w:cs="Arial"/>
              </w:rPr>
              <w:t>P</w:t>
            </w:r>
            <w:r w:rsidRPr="005356F1">
              <w:rPr>
                <w:rFonts w:cs="Arial"/>
              </w:rPr>
              <w:t>ara</w:t>
            </w:r>
            <w:r>
              <w:rPr>
                <w:rFonts w:cs="Arial"/>
              </w:rPr>
              <w:t> </w:t>
            </w:r>
            <w:r w:rsidRPr="005356F1">
              <w:rPr>
                <w:rFonts w:cs="Arial"/>
              </w:rPr>
              <w:fldChar w:fldCharType="begin"/>
            </w:r>
            <w:r w:rsidRPr="005356F1">
              <w:rPr>
                <w:rFonts w:cs="Arial"/>
              </w:rPr>
              <w:instrText xml:space="preserve"> REF _Ref_ContractCompanion_9kb9Ur27C \w \h \t \* MERGEFORMAT </w:instrText>
            </w:r>
            <w:r w:rsidRPr="005356F1">
              <w:rPr>
                <w:rFonts w:cs="Arial"/>
              </w:rPr>
            </w:r>
            <w:r w:rsidRPr="005356F1">
              <w:rPr>
                <w:rFonts w:cs="Arial"/>
              </w:rPr>
              <w:fldChar w:fldCharType="separate"/>
            </w:r>
            <w:r w:rsidR="00302D39">
              <w:rPr>
                <w:rFonts w:cs="Arial"/>
              </w:rPr>
              <w:t>2.3.2</w:t>
            </w:r>
            <w:r w:rsidRPr="005356F1">
              <w:rPr>
                <w:rFonts w:cs="Arial"/>
              </w:rPr>
              <w:fldChar w:fldCharType="end"/>
            </w:r>
            <w:bookmarkEnd w:id="1876"/>
            <w:r w:rsidRPr="005356F1">
              <w:rPr>
                <w:rFonts w:cs="Arial"/>
              </w:rPr>
              <w:t xml:space="preserve"> of Sch </w:t>
            </w:r>
            <w:r w:rsidRPr="005356F1">
              <w:rPr>
                <w:rFonts w:cs="Arial"/>
              </w:rPr>
              <w:fldChar w:fldCharType="begin"/>
            </w:r>
            <w:r w:rsidRPr="005356F1">
              <w:rPr>
                <w:rFonts w:cs="Arial"/>
              </w:rPr>
              <w:instrText xml:space="preserve"> REF _Ref92199989 \h  \# "#" </w:instrText>
            </w:r>
            <w:r>
              <w:rPr>
                <w:rFonts w:cs="Arial"/>
              </w:rPr>
              <w:instrText xml:space="preserve"> \* MERGEFORMAT </w:instrText>
            </w:r>
            <w:r w:rsidRPr="005356F1">
              <w:rPr>
                <w:rFonts w:cs="Arial"/>
              </w:rPr>
            </w:r>
            <w:r w:rsidRPr="005356F1">
              <w:rPr>
                <w:rFonts w:cs="Arial"/>
              </w:rPr>
              <w:fldChar w:fldCharType="separate"/>
            </w:r>
            <w:r w:rsidR="00302D39">
              <w:rPr>
                <w:rFonts w:cs="Arial"/>
              </w:rPr>
              <w:t>18</w:t>
            </w:r>
            <w:r w:rsidRPr="005356F1">
              <w:rPr>
                <w:rFonts w:cs="Arial"/>
              </w:rPr>
              <w:fldChar w:fldCharType="end"/>
            </w:r>
          </w:p>
        </w:tc>
        <w:tc>
          <w:tcPr>
            <w:tcW w:w="2381" w:type="dxa"/>
          </w:tcPr>
          <w:p w14:paraId="4F61C24E" w14:textId="77777777" w:rsidR="00F67E9E" w:rsidRPr="005356F1" w:rsidRDefault="00F67E9E" w:rsidP="007F74AA">
            <w:pPr>
              <w:pStyle w:val="StdBodyText"/>
              <w:spacing w:before="0" w:after="0"/>
              <w:rPr>
                <w:rFonts w:cs="Arial"/>
              </w:rPr>
            </w:pPr>
            <w:r w:rsidRPr="005356F1">
              <w:rPr>
                <w:rFonts w:cs="Arial"/>
              </w:rPr>
              <w:t>Authority</w:t>
            </w:r>
          </w:p>
        </w:tc>
      </w:tr>
      <w:tr w:rsidR="00F67E9E" w:rsidRPr="005356F1" w14:paraId="2EFFF882" w14:textId="77777777" w:rsidTr="007F74AA">
        <w:trPr>
          <w:trHeight w:val="20"/>
        </w:trPr>
        <w:tc>
          <w:tcPr>
            <w:tcW w:w="2268" w:type="dxa"/>
          </w:tcPr>
          <w:p w14:paraId="57802C7B" w14:textId="7E8AAFF4" w:rsidR="00F67E9E" w:rsidRPr="005356F1" w:rsidRDefault="00F67E9E" w:rsidP="007F74AA">
            <w:pPr>
              <w:pStyle w:val="StdBodyText"/>
              <w:spacing w:before="0" w:after="0"/>
              <w:rPr>
                <w:rFonts w:cs="Arial"/>
              </w:rPr>
            </w:pPr>
            <w:bookmarkStart w:id="1877" w:name="_9kR3WTr2CC6CCXEno2Jr"/>
            <w:r w:rsidRPr="005356F1">
              <w:rPr>
                <w:rFonts w:cs="Arial"/>
              </w:rPr>
              <w:t xml:space="preserve">Sch </w:t>
            </w:r>
            <w:r w:rsidRPr="005356F1">
              <w:rPr>
                <w:rFonts w:cs="Arial"/>
              </w:rPr>
              <w:fldChar w:fldCharType="begin"/>
            </w:r>
            <w:r w:rsidRPr="005356F1">
              <w:rPr>
                <w:rFonts w:cs="Arial"/>
              </w:rPr>
              <w:instrText xml:space="preserve"> REF _Ref92199989 \h  \# "#" </w:instrText>
            </w:r>
            <w:r>
              <w:rPr>
                <w:rFonts w:cs="Arial"/>
              </w:rPr>
              <w:instrText xml:space="preserve"> \* MERGEFORMAT </w:instrText>
            </w:r>
            <w:r w:rsidRPr="005356F1">
              <w:rPr>
                <w:rFonts w:cs="Arial"/>
              </w:rPr>
            </w:r>
            <w:r w:rsidRPr="005356F1">
              <w:rPr>
                <w:rFonts w:cs="Arial"/>
              </w:rPr>
              <w:fldChar w:fldCharType="separate"/>
            </w:r>
            <w:r w:rsidR="00302D39">
              <w:rPr>
                <w:rFonts w:cs="Arial"/>
              </w:rPr>
              <w:t>18</w:t>
            </w:r>
            <w:r w:rsidRPr="005356F1">
              <w:rPr>
                <w:rFonts w:cs="Arial"/>
              </w:rPr>
              <w:fldChar w:fldCharType="end"/>
            </w:r>
            <w:r w:rsidRPr="005356F1">
              <w:rPr>
                <w:rFonts w:cs="Arial"/>
              </w:rPr>
              <w:t xml:space="preserve"> Para </w:t>
            </w:r>
            <w:r w:rsidRPr="005356F1">
              <w:rPr>
                <w:rFonts w:cs="Arial"/>
              </w:rPr>
              <w:fldChar w:fldCharType="begin"/>
            </w:r>
            <w:r w:rsidRPr="005356F1">
              <w:rPr>
                <w:rFonts w:cs="Arial"/>
              </w:rPr>
              <w:instrText xml:space="preserve"> REF _Ref_ContractCompanion_9kb9Ur27F \w \h \t \* MERGEFORMAT </w:instrText>
            </w:r>
            <w:r w:rsidRPr="005356F1">
              <w:rPr>
                <w:rFonts w:cs="Arial"/>
              </w:rPr>
            </w:r>
            <w:r w:rsidRPr="005356F1">
              <w:rPr>
                <w:rFonts w:cs="Arial"/>
              </w:rPr>
              <w:fldChar w:fldCharType="separate"/>
            </w:r>
            <w:r w:rsidR="00302D39">
              <w:rPr>
                <w:rFonts w:cs="Arial"/>
              </w:rPr>
              <w:t>4.3.2</w:t>
            </w:r>
            <w:r w:rsidRPr="005356F1">
              <w:rPr>
                <w:rFonts w:cs="Arial"/>
              </w:rPr>
              <w:fldChar w:fldCharType="end"/>
            </w:r>
            <w:bookmarkEnd w:id="1877"/>
            <w:r w:rsidRPr="005356F1">
              <w:rPr>
                <w:rFonts w:cs="Arial"/>
              </w:rPr>
              <w:t xml:space="preserve"> </w:t>
            </w:r>
          </w:p>
        </w:tc>
        <w:tc>
          <w:tcPr>
            <w:tcW w:w="2966" w:type="dxa"/>
          </w:tcPr>
          <w:p w14:paraId="6B37554E" w14:textId="77777777" w:rsidR="00F67E9E" w:rsidRPr="005356F1" w:rsidRDefault="00F67E9E" w:rsidP="007F74AA">
            <w:pPr>
              <w:pStyle w:val="StdBodyText"/>
              <w:spacing w:before="0" w:after="0"/>
              <w:rPr>
                <w:rFonts w:cs="Arial"/>
              </w:rPr>
            </w:pPr>
            <w:r w:rsidRPr="005356F1">
              <w:rPr>
                <w:rFonts w:cs="Arial"/>
              </w:rPr>
              <w:t>Financial Distress Remediation Plan</w:t>
            </w:r>
          </w:p>
        </w:tc>
        <w:tc>
          <w:tcPr>
            <w:tcW w:w="1996" w:type="dxa"/>
          </w:tcPr>
          <w:p w14:paraId="44D07D62" w14:textId="77777777" w:rsidR="00F67E9E" w:rsidRPr="005356F1" w:rsidRDefault="00F67E9E" w:rsidP="007F74AA">
            <w:pPr>
              <w:pStyle w:val="StdBodyText"/>
              <w:spacing w:before="0" w:after="0"/>
              <w:rPr>
                <w:rFonts w:cs="Arial"/>
              </w:rPr>
            </w:pPr>
            <w:r w:rsidRPr="005356F1">
              <w:rPr>
                <w:rFonts w:cs="Arial"/>
              </w:rPr>
              <w:t>As appropriate and agreed by the Authority</w:t>
            </w:r>
          </w:p>
        </w:tc>
        <w:tc>
          <w:tcPr>
            <w:tcW w:w="2666" w:type="dxa"/>
          </w:tcPr>
          <w:p w14:paraId="0D66EFBF" w14:textId="77777777" w:rsidR="00F67E9E" w:rsidRPr="005356F1" w:rsidRDefault="00F67E9E" w:rsidP="007F74AA">
            <w:pPr>
              <w:pStyle w:val="StdBodyText"/>
              <w:spacing w:before="0" w:after="0"/>
              <w:rPr>
                <w:rFonts w:cs="Arial"/>
              </w:rPr>
            </w:pPr>
            <w:r w:rsidRPr="005356F1">
              <w:rPr>
                <w:rFonts w:cs="Arial"/>
              </w:rPr>
              <w:t>As soon as reasonably practicable and in any event within 10 Working Days of initial notification or awareness of a Financial Distress Event</w:t>
            </w:r>
          </w:p>
        </w:tc>
        <w:tc>
          <w:tcPr>
            <w:tcW w:w="2862" w:type="dxa"/>
          </w:tcPr>
          <w:p w14:paraId="41082F61" w14:textId="77777777" w:rsidR="00F67E9E" w:rsidRPr="005356F1" w:rsidRDefault="00F67E9E" w:rsidP="007F74AA">
            <w:pPr>
              <w:pStyle w:val="StdBodyText"/>
              <w:spacing w:before="0" w:after="0"/>
              <w:rPr>
                <w:rFonts w:cs="Arial"/>
              </w:rPr>
            </w:pPr>
            <w:r w:rsidRPr="005356F1">
              <w:rPr>
                <w:rFonts w:cs="Arial"/>
              </w:rPr>
              <w:t>On a regular basis (not less than fortnightly)</w:t>
            </w:r>
          </w:p>
        </w:tc>
        <w:tc>
          <w:tcPr>
            <w:tcW w:w="2381" w:type="dxa"/>
          </w:tcPr>
          <w:p w14:paraId="720E7088" w14:textId="77777777" w:rsidR="00F67E9E" w:rsidRPr="005356F1" w:rsidRDefault="00F67E9E" w:rsidP="007F74AA">
            <w:pPr>
              <w:pStyle w:val="StdBodyText"/>
              <w:spacing w:before="0" w:after="0"/>
              <w:rPr>
                <w:rFonts w:cs="Arial"/>
              </w:rPr>
            </w:pPr>
            <w:r w:rsidRPr="005356F1">
              <w:rPr>
                <w:rFonts w:cs="Arial"/>
              </w:rPr>
              <w:t>Authority</w:t>
            </w:r>
          </w:p>
        </w:tc>
      </w:tr>
      <w:tr w:rsidR="00573F4D" w:rsidRPr="005356F1" w14:paraId="5043EE9C" w14:textId="77777777" w:rsidTr="007F74AA">
        <w:trPr>
          <w:trHeight w:val="20"/>
        </w:trPr>
        <w:tc>
          <w:tcPr>
            <w:tcW w:w="2268" w:type="dxa"/>
          </w:tcPr>
          <w:p w14:paraId="61A86D88" w14:textId="2064E680" w:rsidR="00573F4D" w:rsidRPr="005356F1" w:rsidRDefault="00573F4D" w:rsidP="007F74AA">
            <w:pPr>
              <w:pStyle w:val="StdBodyText"/>
              <w:spacing w:before="0" w:after="0"/>
              <w:rPr>
                <w:rFonts w:cs="Arial"/>
              </w:rPr>
            </w:pPr>
            <w:r>
              <w:rPr>
                <w:rFonts w:cs="Arial"/>
              </w:rPr>
              <w:t xml:space="preserve">Sch </w:t>
            </w:r>
            <w:r w:rsidR="008A65A0">
              <w:rPr>
                <w:rFonts w:cs="Arial"/>
              </w:rPr>
              <w:fldChar w:fldCharType="begin"/>
            </w:r>
            <w:r w:rsidR="008A65A0">
              <w:rPr>
                <w:rFonts w:cs="Arial"/>
              </w:rPr>
              <w:instrText xml:space="preserve"> REF Section_18 \w \h </w:instrText>
            </w:r>
            <w:r w:rsidR="008A65A0">
              <w:rPr>
                <w:rFonts w:cs="Arial"/>
              </w:rPr>
            </w:r>
            <w:r w:rsidR="008A65A0">
              <w:rPr>
                <w:rFonts w:cs="Arial"/>
              </w:rPr>
              <w:fldChar w:fldCharType="separate"/>
            </w:r>
            <w:r w:rsidR="008A65A0">
              <w:rPr>
                <w:rFonts w:cs="Arial"/>
              </w:rPr>
              <w:t>18</w:t>
            </w:r>
            <w:r w:rsidR="008A65A0">
              <w:rPr>
                <w:rFonts w:cs="Arial"/>
              </w:rPr>
              <w:fldChar w:fldCharType="end"/>
            </w:r>
            <w:r w:rsidR="008A65A0">
              <w:rPr>
                <w:rFonts w:cs="Arial"/>
              </w:rPr>
              <w:t xml:space="preserve">, Para </w:t>
            </w:r>
            <w:r w:rsidR="008A65A0">
              <w:rPr>
                <w:rFonts w:cs="Arial"/>
              </w:rPr>
              <w:fldChar w:fldCharType="begin"/>
            </w:r>
            <w:r w:rsidR="008A65A0">
              <w:rPr>
                <w:rFonts w:cs="Arial"/>
              </w:rPr>
              <w:instrText xml:space="preserve"> REF _Ref_ContractCompanion_9kb9Ur246 \w \h </w:instrText>
            </w:r>
            <w:r w:rsidR="008A65A0">
              <w:rPr>
                <w:rFonts w:cs="Arial"/>
              </w:rPr>
            </w:r>
            <w:r w:rsidR="008A65A0">
              <w:rPr>
                <w:rFonts w:cs="Arial"/>
              </w:rPr>
              <w:fldChar w:fldCharType="separate"/>
            </w:r>
            <w:r w:rsidR="008A65A0">
              <w:rPr>
                <w:rFonts w:cs="Arial"/>
              </w:rPr>
              <w:t>8</w:t>
            </w:r>
            <w:r w:rsidR="008A65A0">
              <w:rPr>
                <w:rFonts w:cs="Arial"/>
              </w:rPr>
              <w:fldChar w:fldCharType="end"/>
            </w:r>
          </w:p>
        </w:tc>
        <w:tc>
          <w:tcPr>
            <w:tcW w:w="2966" w:type="dxa"/>
          </w:tcPr>
          <w:p w14:paraId="157ED406" w14:textId="14697540" w:rsidR="00573F4D" w:rsidRPr="00B224EC" w:rsidRDefault="008A65A0" w:rsidP="007F74AA">
            <w:pPr>
              <w:pStyle w:val="StdBodyText"/>
              <w:spacing w:before="0" w:after="0"/>
              <w:rPr>
                <w:rFonts w:cs="Arial"/>
              </w:rPr>
            </w:pPr>
            <w:r>
              <w:rPr>
                <w:rFonts w:cs="Arial"/>
              </w:rPr>
              <w:t>Board Confirmation</w:t>
            </w:r>
          </w:p>
        </w:tc>
        <w:tc>
          <w:tcPr>
            <w:tcW w:w="1996" w:type="dxa"/>
          </w:tcPr>
          <w:p w14:paraId="3D98A6F2" w14:textId="13831348" w:rsidR="00573F4D" w:rsidRPr="00B224EC" w:rsidRDefault="008A65A0" w:rsidP="007F74AA">
            <w:pPr>
              <w:pStyle w:val="StdBodyText"/>
              <w:spacing w:before="0" w:after="0"/>
              <w:rPr>
                <w:rFonts w:cs="Arial"/>
              </w:rPr>
            </w:pPr>
            <w:r>
              <w:rPr>
                <w:rFonts w:cs="Arial"/>
              </w:rPr>
              <w:t xml:space="preserve">As set out at Annex </w:t>
            </w:r>
            <w:r>
              <w:rPr>
                <w:rFonts w:cs="Arial"/>
              </w:rPr>
              <w:fldChar w:fldCharType="begin"/>
            </w:r>
            <w:r>
              <w:rPr>
                <w:rFonts w:cs="Arial"/>
              </w:rPr>
              <w:instrText xml:space="preserve"> REF ANNEX4_SCHEDULE18 \h </w:instrText>
            </w:r>
            <w:r>
              <w:rPr>
                <w:rFonts w:cs="Arial"/>
              </w:rPr>
            </w:r>
            <w:r>
              <w:rPr>
                <w:rFonts w:cs="Arial"/>
              </w:rPr>
              <w:fldChar w:fldCharType="separate"/>
            </w:r>
            <w:r w:rsidRPr="00D00D9A">
              <w:t>4</w:t>
            </w:r>
            <w:r>
              <w:rPr>
                <w:rFonts w:cs="Arial"/>
              </w:rPr>
              <w:fldChar w:fldCharType="end"/>
            </w:r>
            <w:r>
              <w:rPr>
                <w:rFonts w:cs="Arial"/>
              </w:rPr>
              <w:t xml:space="preserve"> of Sch </w:t>
            </w:r>
            <w:r>
              <w:rPr>
                <w:rFonts w:cs="Arial"/>
              </w:rPr>
              <w:fldChar w:fldCharType="begin"/>
            </w:r>
            <w:r>
              <w:rPr>
                <w:rFonts w:cs="Arial"/>
              </w:rPr>
              <w:instrText xml:space="preserve"> REF Section_18 \w \h </w:instrText>
            </w:r>
            <w:r>
              <w:rPr>
                <w:rFonts w:cs="Arial"/>
              </w:rPr>
            </w:r>
            <w:r>
              <w:rPr>
                <w:rFonts w:cs="Arial"/>
              </w:rPr>
              <w:fldChar w:fldCharType="separate"/>
            </w:r>
            <w:r>
              <w:rPr>
                <w:rFonts w:cs="Arial"/>
              </w:rPr>
              <w:t>18</w:t>
            </w:r>
            <w:r>
              <w:rPr>
                <w:rFonts w:cs="Arial"/>
              </w:rPr>
              <w:fldChar w:fldCharType="end"/>
            </w:r>
          </w:p>
        </w:tc>
        <w:tc>
          <w:tcPr>
            <w:tcW w:w="2666" w:type="dxa"/>
          </w:tcPr>
          <w:p w14:paraId="244977AB" w14:textId="5E353FD4" w:rsidR="00573F4D" w:rsidRPr="00B224EC" w:rsidRDefault="008A65A0" w:rsidP="007F74AA">
            <w:pPr>
              <w:pStyle w:val="StdBodyText"/>
              <w:spacing w:before="0" w:after="0"/>
              <w:rPr>
                <w:rFonts w:cs="Arial"/>
              </w:rPr>
            </w:pPr>
            <w:r>
              <w:rPr>
                <w:rFonts w:cs="Arial"/>
              </w:rPr>
              <w:t>Within 120 days of the first Accounting Reference Date to occur</w:t>
            </w:r>
          </w:p>
        </w:tc>
        <w:tc>
          <w:tcPr>
            <w:tcW w:w="2862" w:type="dxa"/>
          </w:tcPr>
          <w:p w14:paraId="3180A839" w14:textId="23BD1D78" w:rsidR="00573F4D" w:rsidRPr="005356F1" w:rsidRDefault="008A65A0" w:rsidP="007F74AA">
            <w:pPr>
              <w:pStyle w:val="StdBodyText"/>
              <w:spacing w:before="0" w:after="0"/>
              <w:rPr>
                <w:rFonts w:cs="Arial"/>
              </w:rPr>
            </w:pPr>
            <w:r>
              <w:rPr>
                <w:rFonts w:cs="Arial"/>
              </w:rPr>
              <w:t>Woithin 15 months of the Previous Board Confirmation Provided or within 120 days after each Accounting Reference Date (whichever is the earlier)</w:t>
            </w:r>
          </w:p>
        </w:tc>
        <w:tc>
          <w:tcPr>
            <w:tcW w:w="2381" w:type="dxa"/>
          </w:tcPr>
          <w:p w14:paraId="2FC26907" w14:textId="0F3ED903" w:rsidR="00573F4D" w:rsidRPr="005356F1" w:rsidRDefault="008A65A0" w:rsidP="007F74AA">
            <w:pPr>
              <w:pStyle w:val="StdBodyText"/>
              <w:spacing w:before="0" w:after="0"/>
              <w:rPr>
                <w:rFonts w:cs="Arial"/>
              </w:rPr>
            </w:pPr>
            <w:r>
              <w:rPr>
                <w:rFonts w:cs="Arial"/>
              </w:rPr>
              <w:t>Authority</w:t>
            </w:r>
          </w:p>
        </w:tc>
      </w:tr>
      <w:tr w:rsidR="00F67E9E" w:rsidRPr="005356F1" w14:paraId="4AE059D5" w14:textId="77777777" w:rsidTr="007F74AA">
        <w:trPr>
          <w:trHeight w:val="20"/>
        </w:trPr>
        <w:tc>
          <w:tcPr>
            <w:tcW w:w="2268" w:type="dxa"/>
          </w:tcPr>
          <w:p w14:paraId="2CED6AAB" w14:textId="160876A5" w:rsidR="00F67E9E" w:rsidRPr="005356F1" w:rsidRDefault="00F67E9E" w:rsidP="007F74AA">
            <w:pPr>
              <w:pStyle w:val="StdBodyText"/>
              <w:spacing w:before="0" w:after="0"/>
              <w:rPr>
                <w:rFonts w:cs="Arial"/>
              </w:rPr>
            </w:pPr>
            <w:r w:rsidRPr="005356F1">
              <w:rPr>
                <w:rFonts w:cs="Arial"/>
              </w:rPr>
              <w:t xml:space="preserve">Sch </w:t>
            </w:r>
            <w:r w:rsidRPr="005356F1">
              <w:rPr>
                <w:rFonts w:cs="Arial"/>
              </w:rPr>
              <w:fldChar w:fldCharType="begin"/>
            </w:r>
            <w:r w:rsidRPr="005356F1">
              <w:rPr>
                <w:rFonts w:cs="Arial"/>
              </w:rPr>
              <w:instrText xml:space="preserve"> REF Section_19 \w \h </w:instrText>
            </w:r>
            <w:r>
              <w:rPr>
                <w:rFonts w:cs="Arial"/>
              </w:rPr>
              <w:instrText xml:space="preserve"> \* MERGEFORMAT </w:instrText>
            </w:r>
            <w:r w:rsidRPr="005356F1">
              <w:rPr>
                <w:rFonts w:cs="Arial"/>
              </w:rPr>
            </w:r>
            <w:r w:rsidRPr="005356F1">
              <w:rPr>
                <w:rFonts w:cs="Arial"/>
              </w:rPr>
              <w:fldChar w:fldCharType="separate"/>
            </w:r>
            <w:r w:rsidR="00573F4D">
              <w:rPr>
                <w:rFonts w:cs="Arial"/>
              </w:rPr>
              <w:t>19</w:t>
            </w:r>
            <w:r w:rsidRPr="005356F1">
              <w:rPr>
                <w:rFonts w:cs="Arial"/>
              </w:rPr>
              <w:fldChar w:fldCharType="end"/>
            </w:r>
            <w:r w:rsidRPr="005356F1">
              <w:rPr>
                <w:rFonts w:cs="Arial"/>
              </w:rPr>
              <w:t xml:space="preserve">, </w:t>
            </w:r>
            <w:r w:rsidRPr="005356F1">
              <w:rPr>
                <w:rFonts w:cs="Arial"/>
              </w:rPr>
              <w:fldChar w:fldCharType="begin"/>
            </w:r>
            <w:r w:rsidRPr="005356F1">
              <w:rPr>
                <w:rFonts w:cs="Arial"/>
              </w:rPr>
              <w:instrText xml:space="preserve"> REF Sch19PartB \h  \* MERGEFORMAT </w:instrText>
            </w:r>
            <w:r w:rsidRPr="005356F1">
              <w:rPr>
                <w:rFonts w:cs="Arial"/>
              </w:rPr>
            </w:r>
            <w:r w:rsidRPr="005356F1">
              <w:rPr>
                <w:rFonts w:cs="Arial"/>
              </w:rPr>
              <w:fldChar w:fldCharType="separate"/>
            </w:r>
            <w:r w:rsidR="00302D39" w:rsidRPr="00302D39">
              <w:rPr>
                <w:rFonts w:cs="Arial"/>
              </w:rPr>
              <w:t>Part B</w:t>
            </w:r>
            <w:r w:rsidRPr="005356F1">
              <w:rPr>
                <w:rFonts w:cs="Arial"/>
              </w:rPr>
              <w:fldChar w:fldCharType="end"/>
            </w:r>
            <w:r w:rsidRPr="005356F1">
              <w:rPr>
                <w:rFonts w:cs="Arial"/>
              </w:rPr>
              <w:t xml:space="preserve">, </w:t>
            </w:r>
            <w:r>
              <w:rPr>
                <w:rFonts w:cs="Arial"/>
              </w:rPr>
              <w:t>P</w:t>
            </w:r>
            <w:r w:rsidRPr="005356F1">
              <w:rPr>
                <w:rFonts w:cs="Arial"/>
              </w:rPr>
              <w:t xml:space="preserve">ara </w:t>
            </w:r>
            <w:r w:rsidRPr="005356F1">
              <w:rPr>
                <w:rFonts w:cs="Arial"/>
              </w:rPr>
              <w:fldChar w:fldCharType="begin"/>
            </w:r>
            <w:r w:rsidRPr="005356F1">
              <w:rPr>
                <w:rFonts w:cs="Arial"/>
              </w:rPr>
              <w:instrText xml:space="preserve"> REF _Ref_ContractCompanion_9kb9Ur249 \w \h </w:instrText>
            </w:r>
            <w:r>
              <w:rPr>
                <w:rFonts w:cs="Arial"/>
              </w:rPr>
              <w:instrText xml:space="preserve"> \* MERGEFORMAT </w:instrText>
            </w:r>
            <w:r w:rsidRPr="005356F1">
              <w:rPr>
                <w:rFonts w:cs="Arial"/>
              </w:rPr>
            </w:r>
            <w:r w:rsidRPr="005356F1">
              <w:rPr>
                <w:rFonts w:cs="Arial"/>
              </w:rPr>
              <w:fldChar w:fldCharType="separate"/>
            </w:r>
            <w:r w:rsidR="00302D39">
              <w:rPr>
                <w:rFonts w:cs="Arial"/>
              </w:rPr>
              <w:t>1</w:t>
            </w:r>
            <w:r w:rsidRPr="005356F1">
              <w:rPr>
                <w:rFonts w:cs="Arial"/>
              </w:rPr>
              <w:fldChar w:fldCharType="end"/>
            </w:r>
            <w:r w:rsidRPr="005356F1">
              <w:rPr>
                <w:rFonts w:cs="Arial"/>
              </w:rPr>
              <w:fldChar w:fldCharType="begin"/>
            </w:r>
            <w:r w:rsidRPr="005356F1">
              <w:rPr>
                <w:rFonts w:cs="Arial"/>
              </w:rPr>
              <w:instrText xml:space="preserve"> REF _Ref45003832 \w \h  \* MERGEFORMAT </w:instrText>
            </w:r>
            <w:r w:rsidRPr="005356F1">
              <w:rPr>
                <w:rFonts w:cs="Arial"/>
              </w:rPr>
            </w:r>
            <w:r w:rsidRPr="005356F1">
              <w:rPr>
                <w:rFonts w:cs="Arial"/>
              </w:rPr>
              <w:fldChar w:fldCharType="separate"/>
            </w:r>
            <w:r w:rsidR="00573F4D">
              <w:rPr>
                <w:rFonts w:cs="Arial"/>
              </w:rPr>
              <w:t>1.1</w:t>
            </w:r>
            <w:r w:rsidRPr="005356F1">
              <w:rPr>
                <w:rFonts w:cs="Arial"/>
              </w:rPr>
              <w:fldChar w:fldCharType="end"/>
            </w:r>
          </w:p>
        </w:tc>
        <w:tc>
          <w:tcPr>
            <w:tcW w:w="2966" w:type="dxa"/>
          </w:tcPr>
          <w:p w14:paraId="2B21FAFD" w14:textId="77777777" w:rsidR="00F67E9E" w:rsidRPr="00B224EC" w:rsidRDefault="00F67E9E" w:rsidP="007F74AA">
            <w:pPr>
              <w:pStyle w:val="StdBodyText"/>
              <w:spacing w:before="0" w:after="0"/>
              <w:rPr>
                <w:rFonts w:cs="Arial"/>
              </w:rPr>
            </w:pPr>
            <w:r w:rsidRPr="00B224EC">
              <w:rPr>
                <w:rFonts w:cs="Arial"/>
              </w:rPr>
              <w:t>Contract Amendment Report</w:t>
            </w:r>
          </w:p>
        </w:tc>
        <w:tc>
          <w:tcPr>
            <w:tcW w:w="1996" w:type="dxa"/>
          </w:tcPr>
          <w:p w14:paraId="51A67FB8" w14:textId="39CF0A6F" w:rsidR="00F67E9E" w:rsidRPr="00B224EC" w:rsidRDefault="00F67E9E" w:rsidP="007F74AA">
            <w:pPr>
              <w:pStyle w:val="StdBodyText"/>
              <w:spacing w:before="0" w:after="0"/>
              <w:rPr>
                <w:rFonts w:cs="Arial"/>
              </w:rPr>
            </w:pPr>
            <w:r w:rsidRPr="00B224EC">
              <w:rPr>
                <w:rFonts w:cs="Arial"/>
              </w:rPr>
              <w:t xml:space="preserve">Sch </w:t>
            </w:r>
            <w:r w:rsidRPr="00B224EC">
              <w:rPr>
                <w:rFonts w:cs="Arial"/>
              </w:rPr>
              <w:fldChar w:fldCharType="begin"/>
            </w:r>
            <w:r w:rsidRPr="00B224EC">
              <w:rPr>
                <w:rFonts w:cs="Arial"/>
              </w:rPr>
              <w:instrText xml:space="preserve"> REF Section_19 \w \h  \* MERGEFORMAT </w:instrText>
            </w:r>
            <w:r w:rsidRPr="00B224EC">
              <w:rPr>
                <w:rFonts w:cs="Arial"/>
              </w:rPr>
            </w:r>
            <w:r w:rsidRPr="00B224EC">
              <w:rPr>
                <w:rFonts w:cs="Arial"/>
              </w:rPr>
              <w:fldChar w:fldCharType="separate"/>
            </w:r>
            <w:r w:rsidR="00302D39">
              <w:rPr>
                <w:rFonts w:cs="Arial"/>
              </w:rPr>
              <w:t>19</w:t>
            </w:r>
            <w:r w:rsidRPr="00B224EC">
              <w:rPr>
                <w:rFonts w:cs="Arial"/>
              </w:rPr>
              <w:fldChar w:fldCharType="end"/>
            </w:r>
            <w:r w:rsidRPr="00B224EC">
              <w:rPr>
                <w:rFonts w:cs="Arial"/>
              </w:rPr>
              <w:t xml:space="preserve">, </w:t>
            </w:r>
            <w:r w:rsidRPr="005356F1">
              <w:rPr>
                <w:rFonts w:cs="Arial"/>
              </w:rPr>
              <w:fldChar w:fldCharType="begin"/>
            </w:r>
            <w:r w:rsidRPr="005356F1">
              <w:rPr>
                <w:rFonts w:cs="Arial"/>
              </w:rPr>
              <w:instrText xml:space="preserve"> REF Sch19PartB \h  \* MERGEFORMAT </w:instrText>
            </w:r>
            <w:r w:rsidRPr="005356F1">
              <w:rPr>
                <w:rFonts w:cs="Arial"/>
              </w:rPr>
            </w:r>
            <w:r w:rsidRPr="005356F1">
              <w:rPr>
                <w:rFonts w:cs="Arial"/>
              </w:rPr>
              <w:fldChar w:fldCharType="separate"/>
            </w:r>
            <w:r w:rsidR="00302D39" w:rsidRPr="00302D39">
              <w:rPr>
                <w:rFonts w:cs="Arial"/>
              </w:rPr>
              <w:t>Part B</w:t>
            </w:r>
            <w:r w:rsidRPr="005356F1">
              <w:rPr>
                <w:rFonts w:cs="Arial"/>
              </w:rPr>
              <w:fldChar w:fldCharType="end"/>
            </w:r>
            <w:r w:rsidRPr="005356F1">
              <w:rPr>
                <w:rFonts w:cs="Arial"/>
              </w:rPr>
              <w:t xml:space="preserve">, </w:t>
            </w:r>
            <w:r>
              <w:rPr>
                <w:rFonts w:cs="Arial"/>
              </w:rPr>
              <w:t>P</w:t>
            </w:r>
            <w:r w:rsidRPr="005356F1">
              <w:rPr>
                <w:rFonts w:cs="Arial"/>
              </w:rPr>
              <w:t xml:space="preserve">ara </w:t>
            </w:r>
            <w:r>
              <w:rPr>
                <w:rFonts w:cs="Arial"/>
              </w:rPr>
              <w:fldChar w:fldCharType="begin"/>
            </w:r>
            <w:r>
              <w:rPr>
                <w:rFonts w:cs="Arial"/>
              </w:rPr>
              <w:instrText xml:space="preserve"> REF _Ref141357827 \r \h </w:instrText>
            </w:r>
            <w:r>
              <w:rPr>
                <w:rFonts w:cs="Arial"/>
              </w:rPr>
            </w:r>
            <w:r>
              <w:rPr>
                <w:rFonts w:cs="Arial"/>
              </w:rPr>
              <w:fldChar w:fldCharType="separate"/>
            </w:r>
            <w:r w:rsidR="00302D39">
              <w:rPr>
                <w:rFonts w:cs="Arial"/>
              </w:rPr>
              <w:t>1.2</w:t>
            </w:r>
            <w:r>
              <w:rPr>
                <w:rFonts w:cs="Arial"/>
              </w:rPr>
              <w:fldChar w:fldCharType="end"/>
            </w:r>
          </w:p>
        </w:tc>
        <w:tc>
          <w:tcPr>
            <w:tcW w:w="2666" w:type="dxa"/>
          </w:tcPr>
          <w:p w14:paraId="7B7E9E71" w14:textId="77777777" w:rsidR="00F67E9E" w:rsidRPr="00B224EC" w:rsidRDefault="00F67E9E" w:rsidP="007F74AA">
            <w:pPr>
              <w:pStyle w:val="StdBodyText"/>
              <w:spacing w:before="0" w:after="0"/>
              <w:rPr>
                <w:rFonts w:cs="Arial"/>
              </w:rPr>
            </w:pPr>
            <w:r w:rsidRPr="00B224EC">
              <w:rPr>
                <w:rFonts w:cs="Arial"/>
              </w:rPr>
              <w:t>Within 1 month of a material change being agreed</w:t>
            </w:r>
          </w:p>
        </w:tc>
        <w:tc>
          <w:tcPr>
            <w:tcW w:w="2862" w:type="dxa"/>
          </w:tcPr>
          <w:p w14:paraId="439144C5" w14:textId="77777777" w:rsidR="00F67E9E" w:rsidRPr="005356F1" w:rsidRDefault="00F67E9E" w:rsidP="007F74AA">
            <w:pPr>
              <w:pStyle w:val="StdBodyText"/>
              <w:spacing w:before="0" w:after="0"/>
              <w:rPr>
                <w:rFonts w:cs="Arial"/>
              </w:rPr>
            </w:pPr>
            <w:r w:rsidRPr="005356F1">
              <w:rPr>
                <w:rFonts w:cs="Arial"/>
              </w:rPr>
              <w:t>-</w:t>
            </w:r>
          </w:p>
        </w:tc>
        <w:tc>
          <w:tcPr>
            <w:tcW w:w="2381" w:type="dxa"/>
          </w:tcPr>
          <w:p w14:paraId="37080CD0" w14:textId="77777777" w:rsidR="00F67E9E" w:rsidRPr="005356F1" w:rsidRDefault="00F67E9E" w:rsidP="007F74AA">
            <w:pPr>
              <w:pStyle w:val="StdBodyText"/>
              <w:spacing w:before="0" w:after="0"/>
              <w:rPr>
                <w:rFonts w:cs="Arial"/>
              </w:rPr>
            </w:pPr>
            <w:r w:rsidRPr="005356F1">
              <w:rPr>
                <w:rFonts w:cs="Arial"/>
              </w:rPr>
              <w:t>Authority</w:t>
            </w:r>
          </w:p>
        </w:tc>
      </w:tr>
      <w:tr w:rsidR="00F67E9E" w:rsidRPr="005356F1" w14:paraId="5509CA91" w14:textId="77777777" w:rsidTr="007F74AA">
        <w:trPr>
          <w:trHeight w:val="20"/>
        </w:trPr>
        <w:tc>
          <w:tcPr>
            <w:tcW w:w="2268" w:type="dxa"/>
          </w:tcPr>
          <w:p w14:paraId="1BE32B27" w14:textId="71205237" w:rsidR="00F67E9E" w:rsidRPr="005356F1" w:rsidRDefault="00F67E9E" w:rsidP="007F74AA">
            <w:pPr>
              <w:pStyle w:val="StdBodyText"/>
              <w:spacing w:before="0" w:after="0"/>
              <w:rPr>
                <w:rFonts w:cs="Arial"/>
              </w:rPr>
            </w:pPr>
            <w:r w:rsidRPr="005356F1">
              <w:rPr>
                <w:rFonts w:cs="Arial"/>
              </w:rPr>
              <w:t xml:space="preserve">Sch </w:t>
            </w:r>
            <w:r w:rsidRPr="005356F1">
              <w:rPr>
                <w:rFonts w:cs="Arial"/>
              </w:rPr>
              <w:fldChar w:fldCharType="begin"/>
            </w:r>
            <w:r w:rsidRPr="005356F1">
              <w:rPr>
                <w:rFonts w:cs="Arial"/>
              </w:rPr>
              <w:instrText xml:space="preserve"> REF Section_19 \w \h </w:instrText>
            </w:r>
            <w:r>
              <w:rPr>
                <w:rFonts w:cs="Arial"/>
              </w:rPr>
              <w:instrText xml:space="preserve"> \* MERGEFORMAT </w:instrText>
            </w:r>
            <w:r w:rsidRPr="005356F1">
              <w:rPr>
                <w:rFonts w:cs="Arial"/>
              </w:rPr>
            </w:r>
            <w:r w:rsidRPr="005356F1">
              <w:rPr>
                <w:rFonts w:cs="Arial"/>
              </w:rPr>
              <w:fldChar w:fldCharType="separate"/>
            </w:r>
            <w:r w:rsidR="00302D39">
              <w:rPr>
                <w:rFonts w:cs="Arial"/>
              </w:rPr>
              <w:t>19</w:t>
            </w:r>
            <w:r w:rsidRPr="005356F1">
              <w:rPr>
                <w:rFonts w:cs="Arial"/>
              </w:rPr>
              <w:fldChar w:fldCharType="end"/>
            </w:r>
            <w:r w:rsidRPr="005356F1">
              <w:rPr>
                <w:rFonts w:cs="Arial"/>
              </w:rPr>
              <w:t xml:space="preserve">, </w:t>
            </w:r>
            <w:r>
              <w:rPr>
                <w:rFonts w:cs="Arial"/>
              </w:rPr>
              <w:t>P</w:t>
            </w:r>
            <w:r w:rsidRPr="005356F1">
              <w:rPr>
                <w:rFonts w:cs="Arial"/>
              </w:rPr>
              <w:t xml:space="preserve">ara </w:t>
            </w:r>
            <w:r w:rsidRPr="005356F1">
              <w:rPr>
                <w:rFonts w:cs="Arial"/>
              </w:rPr>
              <w:fldChar w:fldCharType="begin"/>
            </w:r>
            <w:r w:rsidRPr="005356F1">
              <w:rPr>
                <w:rFonts w:cs="Arial"/>
              </w:rPr>
              <w:instrText xml:space="preserve"> REF _Ref45003832 \w \h  \* MERGEFORMAT </w:instrText>
            </w:r>
            <w:r w:rsidRPr="005356F1">
              <w:rPr>
                <w:rFonts w:cs="Arial"/>
              </w:rPr>
            </w:r>
            <w:r w:rsidRPr="005356F1">
              <w:rPr>
                <w:rFonts w:cs="Arial"/>
              </w:rPr>
              <w:fldChar w:fldCharType="separate"/>
            </w:r>
            <w:r w:rsidR="00302D39">
              <w:rPr>
                <w:rFonts w:cs="Arial"/>
              </w:rPr>
              <w:t>1.1</w:t>
            </w:r>
            <w:r w:rsidRPr="005356F1">
              <w:rPr>
                <w:rFonts w:cs="Arial"/>
              </w:rPr>
              <w:fldChar w:fldCharType="end"/>
            </w:r>
          </w:p>
        </w:tc>
        <w:tc>
          <w:tcPr>
            <w:tcW w:w="2966" w:type="dxa"/>
          </w:tcPr>
          <w:p w14:paraId="74FB4AC9" w14:textId="77777777" w:rsidR="00F67E9E" w:rsidRPr="00B224EC" w:rsidRDefault="00F67E9E" w:rsidP="007F74AA">
            <w:pPr>
              <w:pStyle w:val="StdBodyText"/>
              <w:spacing w:before="0" w:after="0"/>
              <w:rPr>
                <w:rFonts w:cs="Arial"/>
              </w:rPr>
            </w:pPr>
            <w:r w:rsidRPr="00B224EC">
              <w:rPr>
                <w:rFonts w:cs="Arial"/>
              </w:rPr>
              <w:t>Quarterly Contract Report</w:t>
            </w:r>
          </w:p>
        </w:tc>
        <w:tc>
          <w:tcPr>
            <w:tcW w:w="1996" w:type="dxa"/>
          </w:tcPr>
          <w:p w14:paraId="6770F621" w14:textId="1970B6B1" w:rsidR="00F67E9E" w:rsidRPr="00B224EC" w:rsidRDefault="00F67E9E" w:rsidP="007F74AA">
            <w:pPr>
              <w:pStyle w:val="StdBodyText"/>
              <w:spacing w:before="0" w:after="0"/>
              <w:rPr>
                <w:rFonts w:cs="Arial"/>
              </w:rPr>
            </w:pPr>
            <w:r w:rsidRPr="00B224EC">
              <w:rPr>
                <w:rFonts w:cs="Arial"/>
              </w:rPr>
              <w:t xml:space="preserve">Sch </w:t>
            </w:r>
            <w:r w:rsidRPr="00B224EC">
              <w:rPr>
                <w:rFonts w:cs="Arial"/>
              </w:rPr>
              <w:fldChar w:fldCharType="begin"/>
            </w:r>
            <w:r w:rsidRPr="00B224EC">
              <w:rPr>
                <w:rFonts w:cs="Arial"/>
              </w:rPr>
              <w:instrText xml:space="preserve"> REF Section_19 \w \h  \* MERGEFORMAT </w:instrText>
            </w:r>
            <w:r w:rsidRPr="00B224EC">
              <w:rPr>
                <w:rFonts w:cs="Arial"/>
              </w:rPr>
            </w:r>
            <w:r w:rsidRPr="00B224EC">
              <w:rPr>
                <w:rFonts w:cs="Arial"/>
              </w:rPr>
              <w:fldChar w:fldCharType="separate"/>
            </w:r>
            <w:r w:rsidR="00302D39">
              <w:rPr>
                <w:rFonts w:cs="Arial"/>
              </w:rPr>
              <w:t>19</w:t>
            </w:r>
            <w:r w:rsidRPr="00B224EC">
              <w:rPr>
                <w:rFonts w:cs="Arial"/>
              </w:rPr>
              <w:fldChar w:fldCharType="end"/>
            </w:r>
            <w:r w:rsidRPr="00B224EC">
              <w:rPr>
                <w:rFonts w:cs="Arial"/>
              </w:rPr>
              <w:t xml:space="preserve">, </w:t>
            </w:r>
            <w:r w:rsidRPr="005356F1">
              <w:rPr>
                <w:rFonts w:cs="Arial"/>
              </w:rPr>
              <w:fldChar w:fldCharType="begin"/>
            </w:r>
            <w:r w:rsidRPr="005356F1">
              <w:rPr>
                <w:rFonts w:cs="Arial"/>
              </w:rPr>
              <w:instrText xml:space="preserve"> REF Sch19PartB \h  \* MERGEFORMAT </w:instrText>
            </w:r>
            <w:r w:rsidRPr="005356F1">
              <w:rPr>
                <w:rFonts w:cs="Arial"/>
              </w:rPr>
            </w:r>
            <w:r w:rsidRPr="005356F1">
              <w:rPr>
                <w:rFonts w:cs="Arial"/>
              </w:rPr>
              <w:fldChar w:fldCharType="separate"/>
            </w:r>
            <w:r w:rsidR="00302D39" w:rsidRPr="00302D39">
              <w:rPr>
                <w:rFonts w:cs="Arial"/>
              </w:rPr>
              <w:t>Part B</w:t>
            </w:r>
            <w:r w:rsidRPr="005356F1">
              <w:rPr>
                <w:rFonts w:cs="Arial"/>
              </w:rPr>
              <w:fldChar w:fldCharType="end"/>
            </w:r>
            <w:r w:rsidRPr="005356F1">
              <w:rPr>
                <w:rFonts w:cs="Arial"/>
              </w:rPr>
              <w:t xml:space="preserve">, </w:t>
            </w:r>
            <w:r>
              <w:rPr>
                <w:rFonts w:cs="Arial"/>
              </w:rPr>
              <w:t>P</w:t>
            </w:r>
            <w:r w:rsidRPr="005356F1">
              <w:rPr>
                <w:rFonts w:cs="Arial"/>
              </w:rPr>
              <w:t xml:space="preserve">ara </w:t>
            </w:r>
            <w:r>
              <w:rPr>
                <w:rFonts w:cs="Arial"/>
              </w:rPr>
              <w:fldChar w:fldCharType="begin"/>
            </w:r>
            <w:r>
              <w:rPr>
                <w:rFonts w:cs="Arial"/>
              </w:rPr>
              <w:instrText xml:space="preserve"> REF _Ref141357827 \r \h </w:instrText>
            </w:r>
            <w:r>
              <w:rPr>
                <w:rFonts w:cs="Arial"/>
              </w:rPr>
            </w:r>
            <w:r>
              <w:rPr>
                <w:rFonts w:cs="Arial"/>
              </w:rPr>
              <w:fldChar w:fldCharType="separate"/>
            </w:r>
            <w:r w:rsidR="00302D39">
              <w:rPr>
                <w:rFonts w:cs="Arial"/>
              </w:rPr>
              <w:t>1.2</w:t>
            </w:r>
            <w:r>
              <w:rPr>
                <w:rFonts w:cs="Arial"/>
              </w:rPr>
              <w:fldChar w:fldCharType="end"/>
            </w:r>
          </w:p>
        </w:tc>
        <w:tc>
          <w:tcPr>
            <w:tcW w:w="2666" w:type="dxa"/>
          </w:tcPr>
          <w:p w14:paraId="739F4C97" w14:textId="77777777" w:rsidR="00F67E9E" w:rsidRPr="00B224EC" w:rsidRDefault="00F67E9E" w:rsidP="007F74AA">
            <w:pPr>
              <w:pStyle w:val="StdBodyText"/>
              <w:spacing w:before="0" w:after="0"/>
              <w:rPr>
                <w:rFonts w:cs="Arial"/>
              </w:rPr>
            </w:pPr>
            <w:r w:rsidRPr="00B224EC">
              <w:rPr>
                <w:rFonts w:cs="Arial"/>
              </w:rPr>
              <w:t>Within 1 month of the end of each Quarter</w:t>
            </w:r>
          </w:p>
        </w:tc>
        <w:tc>
          <w:tcPr>
            <w:tcW w:w="2862" w:type="dxa"/>
          </w:tcPr>
          <w:p w14:paraId="414A3FAE" w14:textId="77777777" w:rsidR="00F67E9E" w:rsidRPr="005356F1" w:rsidRDefault="00F67E9E" w:rsidP="007F74AA">
            <w:pPr>
              <w:pStyle w:val="StdBodyText"/>
              <w:spacing w:before="0" w:after="0"/>
              <w:rPr>
                <w:rFonts w:cs="Arial"/>
              </w:rPr>
            </w:pPr>
            <w:r w:rsidRPr="005356F1">
              <w:rPr>
                <w:rFonts w:cs="Arial"/>
              </w:rPr>
              <w:t>-</w:t>
            </w:r>
          </w:p>
        </w:tc>
        <w:tc>
          <w:tcPr>
            <w:tcW w:w="2381" w:type="dxa"/>
          </w:tcPr>
          <w:p w14:paraId="5879D5BE" w14:textId="77777777" w:rsidR="00F67E9E" w:rsidRPr="005356F1" w:rsidRDefault="00F67E9E" w:rsidP="007F74AA">
            <w:pPr>
              <w:pStyle w:val="StdBodyText"/>
              <w:spacing w:before="0" w:after="0"/>
              <w:rPr>
                <w:rFonts w:cs="Arial"/>
              </w:rPr>
            </w:pPr>
            <w:r w:rsidRPr="005356F1">
              <w:rPr>
                <w:rFonts w:cs="Arial"/>
              </w:rPr>
              <w:t>Authority</w:t>
            </w:r>
          </w:p>
        </w:tc>
      </w:tr>
      <w:tr w:rsidR="00F67E9E" w:rsidRPr="005356F1" w14:paraId="7D4DAD1A" w14:textId="77777777" w:rsidTr="007F74AA">
        <w:trPr>
          <w:trHeight w:val="20"/>
        </w:trPr>
        <w:tc>
          <w:tcPr>
            <w:tcW w:w="2268" w:type="dxa"/>
          </w:tcPr>
          <w:p w14:paraId="73ACEFC5" w14:textId="51D2C33D" w:rsidR="00F67E9E" w:rsidRPr="005356F1" w:rsidRDefault="00F67E9E" w:rsidP="007F74AA">
            <w:pPr>
              <w:pStyle w:val="StdBodyText"/>
              <w:spacing w:before="0" w:after="0"/>
              <w:rPr>
                <w:rFonts w:cs="Arial"/>
              </w:rPr>
            </w:pPr>
            <w:r w:rsidRPr="005356F1">
              <w:rPr>
                <w:rFonts w:cs="Arial"/>
              </w:rPr>
              <w:t xml:space="preserve">Sch </w:t>
            </w:r>
            <w:r w:rsidRPr="005356F1">
              <w:rPr>
                <w:rFonts w:cs="Arial"/>
              </w:rPr>
              <w:fldChar w:fldCharType="begin"/>
            </w:r>
            <w:r w:rsidRPr="005356F1">
              <w:rPr>
                <w:rFonts w:cs="Arial"/>
              </w:rPr>
              <w:instrText xml:space="preserve"> REF Section_19 \w \h </w:instrText>
            </w:r>
            <w:r>
              <w:rPr>
                <w:rFonts w:cs="Arial"/>
              </w:rPr>
              <w:instrText xml:space="preserve"> \* MERGEFORMAT </w:instrText>
            </w:r>
            <w:r w:rsidRPr="005356F1">
              <w:rPr>
                <w:rFonts w:cs="Arial"/>
              </w:rPr>
            </w:r>
            <w:r w:rsidRPr="005356F1">
              <w:rPr>
                <w:rFonts w:cs="Arial"/>
              </w:rPr>
              <w:fldChar w:fldCharType="separate"/>
            </w:r>
            <w:r w:rsidR="00302D39">
              <w:rPr>
                <w:rFonts w:cs="Arial"/>
              </w:rPr>
              <w:t>19</w:t>
            </w:r>
            <w:r w:rsidRPr="005356F1">
              <w:rPr>
                <w:rFonts w:cs="Arial"/>
              </w:rPr>
              <w:fldChar w:fldCharType="end"/>
            </w:r>
            <w:r w:rsidRPr="005356F1">
              <w:rPr>
                <w:rFonts w:cs="Arial"/>
              </w:rPr>
              <w:t xml:space="preserve">, </w:t>
            </w:r>
            <w:r w:rsidRPr="005356F1">
              <w:rPr>
                <w:rFonts w:cs="Arial"/>
              </w:rPr>
              <w:fldChar w:fldCharType="begin"/>
            </w:r>
            <w:r w:rsidRPr="005356F1">
              <w:rPr>
                <w:rFonts w:cs="Arial"/>
              </w:rPr>
              <w:instrText xml:space="preserve"> REF Sch19PartB \h  \* MERGEFORMAT </w:instrText>
            </w:r>
            <w:r w:rsidRPr="005356F1">
              <w:rPr>
                <w:rFonts w:cs="Arial"/>
              </w:rPr>
            </w:r>
            <w:r w:rsidRPr="005356F1">
              <w:rPr>
                <w:rFonts w:cs="Arial"/>
              </w:rPr>
              <w:fldChar w:fldCharType="separate"/>
            </w:r>
            <w:r w:rsidR="00302D39" w:rsidRPr="00302D39">
              <w:rPr>
                <w:rFonts w:cs="Arial"/>
              </w:rPr>
              <w:t>Part B</w:t>
            </w:r>
            <w:r w:rsidRPr="005356F1">
              <w:rPr>
                <w:rFonts w:cs="Arial"/>
              </w:rPr>
              <w:fldChar w:fldCharType="end"/>
            </w:r>
            <w:r w:rsidRPr="005356F1">
              <w:rPr>
                <w:rFonts w:cs="Arial"/>
              </w:rPr>
              <w:t xml:space="preserve">, </w:t>
            </w:r>
            <w:r>
              <w:rPr>
                <w:rFonts w:cs="Arial"/>
              </w:rPr>
              <w:t>P</w:t>
            </w:r>
            <w:r w:rsidRPr="005356F1">
              <w:rPr>
                <w:rFonts w:cs="Arial"/>
              </w:rPr>
              <w:t xml:space="preserve">ara </w:t>
            </w:r>
            <w:r w:rsidRPr="005356F1">
              <w:rPr>
                <w:rFonts w:cs="Arial"/>
              </w:rPr>
              <w:fldChar w:fldCharType="begin"/>
            </w:r>
            <w:r w:rsidRPr="005356F1">
              <w:rPr>
                <w:rFonts w:cs="Arial"/>
              </w:rPr>
              <w:instrText xml:space="preserve"> REF _Ref45003832 \w \h  \* MERGEFORMAT </w:instrText>
            </w:r>
            <w:r w:rsidRPr="005356F1">
              <w:rPr>
                <w:rFonts w:cs="Arial"/>
              </w:rPr>
            </w:r>
            <w:r w:rsidRPr="005356F1">
              <w:rPr>
                <w:rFonts w:cs="Arial"/>
              </w:rPr>
              <w:fldChar w:fldCharType="separate"/>
            </w:r>
            <w:r w:rsidR="00302D39">
              <w:rPr>
                <w:rFonts w:cs="Arial"/>
              </w:rPr>
              <w:t>1.1</w:t>
            </w:r>
            <w:r w:rsidRPr="005356F1">
              <w:rPr>
                <w:rFonts w:cs="Arial"/>
              </w:rPr>
              <w:fldChar w:fldCharType="end"/>
            </w:r>
          </w:p>
        </w:tc>
        <w:tc>
          <w:tcPr>
            <w:tcW w:w="2966" w:type="dxa"/>
          </w:tcPr>
          <w:p w14:paraId="4C774344" w14:textId="77777777" w:rsidR="00F67E9E" w:rsidRPr="00B224EC" w:rsidRDefault="00F67E9E" w:rsidP="007F74AA">
            <w:pPr>
              <w:pStyle w:val="StdBodyText"/>
              <w:spacing w:before="0" w:after="0"/>
              <w:rPr>
                <w:rFonts w:cs="Arial"/>
              </w:rPr>
            </w:pPr>
            <w:r w:rsidRPr="00B224EC">
              <w:rPr>
                <w:rFonts w:cs="Arial"/>
              </w:rPr>
              <w:t>Annual Contract Report</w:t>
            </w:r>
          </w:p>
        </w:tc>
        <w:tc>
          <w:tcPr>
            <w:tcW w:w="1996" w:type="dxa"/>
          </w:tcPr>
          <w:p w14:paraId="165C545C" w14:textId="2DE6DD30" w:rsidR="00F67E9E" w:rsidRPr="00B224EC" w:rsidRDefault="00F67E9E" w:rsidP="007F74AA">
            <w:pPr>
              <w:pStyle w:val="StdBodyText"/>
              <w:spacing w:before="0" w:after="0"/>
              <w:rPr>
                <w:rFonts w:cs="Arial"/>
              </w:rPr>
            </w:pPr>
            <w:r w:rsidRPr="00B224EC">
              <w:rPr>
                <w:rFonts w:cs="Arial"/>
              </w:rPr>
              <w:t xml:space="preserve">Sch </w:t>
            </w:r>
            <w:r w:rsidRPr="00B224EC">
              <w:rPr>
                <w:rFonts w:cs="Arial"/>
              </w:rPr>
              <w:fldChar w:fldCharType="begin"/>
            </w:r>
            <w:r w:rsidRPr="00B224EC">
              <w:rPr>
                <w:rFonts w:cs="Arial"/>
              </w:rPr>
              <w:instrText xml:space="preserve"> REF Section_19 \w \h  \* MERGEFORMAT </w:instrText>
            </w:r>
            <w:r w:rsidRPr="00B224EC">
              <w:rPr>
                <w:rFonts w:cs="Arial"/>
              </w:rPr>
            </w:r>
            <w:r w:rsidRPr="00B224EC">
              <w:rPr>
                <w:rFonts w:cs="Arial"/>
              </w:rPr>
              <w:fldChar w:fldCharType="separate"/>
            </w:r>
            <w:r w:rsidR="00302D39">
              <w:rPr>
                <w:rFonts w:cs="Arial"/>
              </w:rPr>
              <w:t>19</w:t>
            </w:r>
            <w:r w:rsidRPr="00B224EC">
              <w:rPr>
                <w:rFonts w:cs="Arial"/>
              </w:rPr>
              <w:fldChar w:fldCharType="end"/>
            </w:r>
            <w:r w:rsidRPr="00B224EC">
              <w:rPr>
                <w:rFonts w:cs="Arial"/>
              </w:rPr>
              <w:t xml:space="preserve">, </w:t>
            </w:r>
            <w:r w:rsidRPr="005356F1">
              <w:rPr>
                <w:rFonts w:cs="Arial"/>
              </w:rPr>
              <w:fldChar w:fldCharType="begin"/>
            </w:r>
            <w:r w:rsidRPr="005356F1">
              <w:rPr>
                <w:rFonts w:cs="Arial"/>
              </w:rPr>
              <w:instrText xml:space="preserve"> REF Sch19PartB \h  \* MERGEFORMAT </w:instrText>
            </w:r>
            <w:r w:rsidRPr="005356F1">
              <w:rPr>
                <w:rFonts w:cs="Arial"/>
              </w:rPr>
            </w:r>
            <w:r w:rsidRPr="005356F1">
              <w:rPr>
                <w:rFonts w:cs="Arial"/>
              </w:rPr>
              <w:fldChar w:fldCharType="separate"/>
            </w:r>
            <w:r w:rsidR="00302D39" w:rsidRPr="00302D39">
              <w:rPr>
                <w:rFonts w:cs="Arial"/>
              </w:rPr>
              <w:t>Part B</w:t>
            </w:r>
            <w:r w:rsidRPr="005356F1">
              <w:rPr>
                <w:rFonts w:cs="Arial"/>
              </w:rPr>
              <w:fldChar w:fldCharType="end"/>
            </w:r>
            <w:r w:rsidRPr="005356F1">
              <w:rPr>
                <w:rFonts w:cs="Arial"/>
              </w:rPr>
              <w:t xml:space="preserve">, </w:t>
            </w:r>
            <w:r>
              <w:rPr>
                <w:rFonts w:cs="Arial"/>
              </w:rPr>
              <w:t>P</w:t>
            </w:r>
            <w:r w:rsidRPr="005356F1">
              <w:rPr>
                <w:rFonts w:cs="Arial"/>
              </w:rPr>
              <w:t xml:space="preserve">ara </w:t>
            </w:r>
            <w:r>
              <w:rPr>
                <w:rFonts w:cs="Arial"/>
              </w:rPr>
              <w:fldChar w:fldCharType="begin"/>
            </w:r>
            <w:r>
              <w:rPr>
                <w:rFonts w:cs="Arial"/>
              </w:rPr>
              <w:instrText xml:space="preserve"> REF _Ref141357827 \r \h </w:instrText>
            </w:r>
            <w:r>
              <w:rPr>
                <w:rFonts w:cs="Arial"/>
              </w:rPr>
            </w:r>
            <w:r>
              <w:rPr>
                <w:rFonts w:cs="Arial"/>
              </w:rPr>
              <w:fldChar w:fldCharType="separate"/>
            </w:r>
            <w:r w:rsidR="00302D39">
              <w:rPr>
                <w:rFonts w:cs="Arial"/>
              </w:rPr>
              <w:t>1.2</w:t>
            </w:r>
            <w:r>
              <w:rPr>
                <w:rFonts w:cs="Arial"/>
              </w:rPr>
              <w:fldChar w:fldCharType="end"/>
            </w:r>
          </w:p>
        </w:tc>
        <w:tc>
          <w:tcPr>
            <w:tcW w:w="2666" w:type="dxa"/>
          </w:tcPr>
          <w:p w14:paraId="6F1CF9ED" w14:textId="77777777" w:rsidR="00F67E9E" w:rsidRPr="00B224EC" w:rsidRDefault="00F67E9E" w:rsidP="007F74AA">
            <w:pPr>
              <w:pStyle w:val="StdBodyText"/>
              <w:spacing w:before="0" w:after="0"/>
              <w:rPr>
                <w:rFonts w:cs="Arial"/>
              </w:rPr>
            </w:pPr>
            <w:r w:rsidRPr="00B224EC">
              <w:rPr>
                <w:rFonts w:cs="Arial"/>
              </w:rPr>
              <w:t>Within 1 month of the end of the Contract Year to which that report relates</w:t>
            </w:r>
          </w:p>
        </w:tc>
        <w:tc>
          <w:tcPr>
            <w:tcW w:w="2862" w:type="dxa"/>
          </w:tcPr>
          <w:p w14:paraId="45ACF541" w14:textId="77777777" w:rsidR="00F67E9E" w:rsidRPr="005356F1" w:rsidRDefault="00F67E9E" w:rsidP="007F74AA">
            <w:pPr>
              <w:pStyle w:val="StdBodyText"/>
              <w:spacing w:before="0" w:after="0"/>
              <w:rPr>
                <w:rFonts w:cs="Arial"/>
              </w:rPr>
            </w:pPr>
            <w:r w:rsidRPr="005356F1">
              <w:rPr>
                <w:rFonts w:cs="Arial"/>
              </w:rPr>
              <w:t>-</w:t>
            </w:r>
          </w:p>
        </w:tc>
        <w:tc>
          <w:tcPr>
            <w:tcW w:w="2381" w:type="dxa"/>
          </w:tcPr>
          <w:p w14:paraId="174997B5" w14:textId="77777777" w:rsidR="00F67E9E" w:rsidRPr="005356F1" w:rsidRDefault="00F67E9E" w:rsidP="007F74AA">
            <w:pPr>
              <w:pStyle w:val="StdBodyText"/>
              <w:spacing w:before="0" w:after="0"/>
              <w:rPr>
                <w:rFonts w:cs="Arial"/>
              </w:rPr>
            </w:pPr>
            <w:r w:rsidRPr="005356F1">
              <w:rPr>
                <w:rFonts w:cs="Arial"/>
              </w:rPr>
              <w:t>Authority</w:t>
            </w:r>
          </w:p>
        </w:tc>
      </w:tr>
      <w:tr w:rsidR="00F67E9E" w:rsidRPr="005356F1" w14:paraId="0D0ECE4F" w14:textId="77777777" w:rsidTr="007F74AA">
        <w:trPr>
          <w:trHeight w:val="20"/>
        </w:trPr>
        <w:tc>
          <w:tcPr>
            <w:tcW w:w="2268" w:type="dxa"/>
          </w:tcPr>
          <w:p w14:paraId="27F6C10C" w14:textId="30A88F09" w:rsidR="00F67E9E" w:rsidRPr="005356F1" w:rsidRDefault="00F67E9E" w:rsidP="007F74AA">
            <w:pPr>
              <w:pStyle w:val="StdBodyText"/>
              <w:spacing w:before="0" w:after="0"/>
              <w:rPr>
                <w:rFonts w:cs="Arial"/>
              </w:rPr>
            </w:pPr>
            <w:r w:rsidRPr="005356F1">
              <w:rPr>
                <w:rFonts w:cs="Arial"/>
              </w:rPr>
              <w:t xml:space="preserve">Sch </w:t>
            </w:r>
            <w:r w:rsidRPr="005356F1">
              <w:rPr>
                <w:rFonts w:cs="Arial"/>
              </w:rPr>
              <w:fldChar w:fldCharType="begin"/>
            </w:r>
            <w:r w:rsidRPr="005356F1">
              <w:rPr>
                <w:rFonts w:cs="Arial"/>
              </w:rPr>
              <w:instrText xml:space="preserve"> REF Section_19 \w \h </w:instrText>
            </w:r>
            <w:r>
              <w:rPr>
                <w:rFonts w:cs="Arial"/>
              </w:rPr>
              <w:instrText xml:space="preserve"> \* MERGEFORMAT </w:instrText>
            </w:r>
            <w:r w:rsidRPr="005356F1">
              <w:rPr>
                <w:rFonts w:cs="Arial"/>
              </w:rPr>
            </w:r>
            <w:r w:rsidRPr="005356F1">
              <w:rPr>
                <w:rFonts w:cs="Arial"/>
              </w:rPr>
              <w:fldChar w:fldCharType="separate"/>
            </w:r>
            <w:r w:rsidR="00302D39">
              <w:rPr>
                <w:rFonts w:cs="Arial"/>
              </w:rPr>
              <w:t>19</w:t>
            </w:r>
            <w:r w:rsidRPr="005356F1">
              <w:rPr>
                <w:rFonts w:cs="Arial"/>
              </w:rPr>
              <w:fldChar w:fldCharType="end"/>
            </w:r>
            <w:r w:rsidRPr="005356F1">
              <w:rPr>
                <w:rFonts w:cs="Arial"/>
              </w:rPr>
              <w:t xml:space="preserve">, </w:t>
            </w:r>
            <w:r w:rsidRPr="005356F1">
              <w:rPr>
                <w:rFonts w:cs="Arial"/>
              </w:rPr>
              <w:fldChar w:fldCharType="begin"/>
            </w:r>
            <w:r w:rsidRPr="005356F1">
              <w:rPr>
                <w:rFonts w:cs="Arial"/>
              </w:rPr>
              <w:instrText xml:space="preserve"> REF Sch19PartB \h  \* MERGEFORMAT </w:instrText>
            </w:r>
            <w:r w:rsidRPr="005356F1">
              <w:rPr>
                <w:rFonts w:cs="Arial"/>
              </w:rPr>
            </w:r>
            <w:r w:rsidRPr="005356F1">
              <w:rPr>
                <w:rFonts w:cs="Arial"/>
              </w:rPr>
              <w:fldChar w:fldCharType="separate"/>
            </w:r>
            <w:r w:rsidR="00302D39" w:rsidRPr="00302D39">
              <w:rPr>
                <w:rFonts w:cs="Arial"/>
              </w:rPr>
              <w:t>Part B</w:t>
            </w:r>
            <w:r w:rsidRPr="005356F1">
              <w:rPr>
                <w:rFonts w:cs="Arial"/>
              </w:rPr>
              <w:fldChar w:fldCharType="end"/>
            </w:r>
            <w:r w:rsidRPr="005356F1">
              <w:rPr>
                <w:rFonts w:cs="Arial"/>
              </w:rPr>
              <w:t xml:space="preserve">, </w:t>
            </w:r>
            <w:r>
              <w:rPr>
                <w:rFonts w:cs="Arial"/>
              </w:rPr>
              <w:t>P</w:t>
            </w:r>
            <w:r w:rsidRPr="005356F1">
              <w:rPr>
                <w:rFonts w:cs="Arial"/>
              </w:rPr>
              <w:t xml:space="preserve">ara </w:t>
            </w:r>
            <w:r w:rsidRPr="005356F1">
              <w:rPr>
                <w:rFonts w:cs="Arial"/>
              </w:rPr>
              <w:fldChar w:fldCharType="begin"/>
            </w:r>
            <w:r w:rsidRPr="005356F1">
              <w:rPr>
                <w:rFonts w:cs="Arial"/>
              </w:rPr>
              <w:instrText xml:space="preserve"> REF _Ref45003832 \w \h  \* MERGEFORMAT </w:instrText>
            </w:r>
            <w:r w:rsidRPr="005356F1">
              <w:rPr>
                <w:rFonts w:cs="Arial"/>
              </w:rPr>
            </w:r>
            <w:r w:rsidRPr="005356F1">
              <w:rPr>
                <w:rFonts w:cs="Arial"/>
              </w:rPr>
              <w:fldChar w:fldCharType="separate"/>
            </w:r>
            <w:r w:rsidR="00302D39">
              <w:rPr>
                <w:rFonts w:cs="Arial"/>
              </w:rPr>
              <w:t>1.1</w:t>
            </w:r>
            <w:r w:rsidRPr="005356F1">
              <w:rPr>
                <w:rFonts w:cs="Arial"/>
              </w:rPr>
              <w:fldChar w:fldCharType="end"/>
            </w:r>
          </w:p>
        </w:tc>
        <w:tc>
          <w:tcPr>
            <w:tcW w:w="2966" w:type="dxa"/>
          </w:tcPr>
          <w:p w14:paraId="4058B3EA" w14:textId="77777777" w:rsidR="00F67E9E" w:rsidRPr="00B224EC" w:rsidRDefault="00F67E9E" w:rsidP="007F74AA">
            <w:pPr>
              <w:pStyle w:val="StdBodyText"/>
              <w:spacing w:before="0" w:after="0"/>
              <w:rPr>
                <w:rFonts w:cs="Arial"/>
              </w:rPr>
            </w:pPr>
            <w:r w:rsidRPr="00B224EC">
              <w:rPr>
                <w:rFonts w:cs="Arial"/>
              </w:rPr>
              <w:t>Financial Reconciliation Report</w:t>
            </w:r>
          </w:p>
        </w:tc>
        <w:tc>
          <w:tcPr>
            <w:tcW w:w="1996" w:type="dxa"/>
          </w:tcPr>
          <w:p w14:paraId="25FAE795" w14:textId="2B170603" w:rsidR="00F67E9E" w:rsidRPr="00B224EC" w:rsidRDefault="00F67E9E" w:rsidP="007F74AA">
            <w:pPr>
              <w:pStyle w:val="StdBodyText"/>
              <w:spacing w:before="0" w:after="0"/>
              <w:rPr>
                <w:rFonts w:cs="Arial"/>
              </w:rPr>
            </w:pPr>
            <w:r w:rsidRPr="00B224EC">
              <w:rPr>
                <w:rFonts w:cs="Arial"/>
              </w:rPr>
              <w:t xml:space="preserve">Sch </w:t>
            </w:r>
            <w:r w:rsidRPr="00B224EC">
              <w:rPr>
                <w:rFonts w:cs="Arial"/>
              </w:rPr>
              <w:fldChar w:fldCharType="begin"/>
            </w:r>
            <w:r w:rsidRPr="00B224EC">
              <w:rPr>
                <w:rFonts w:cs="Arial"/>
              </w:rPr>
              <w:instrText xml:space="preserve"> REF Section_19 \w \h  \* MERGEFORMAT </w:instrText>
            </w:r>
            <w:r w:rsidRPr="00B224EC">
              <w:rPr>
                <w:rFonts w:cs="Arial"/>
              </w:rPr>
            </w:r>
            <w:r w:rsidRPr="00B224EC">
              <w:rPr>
                <w:rFonts w:cs="Arial"/>
              </w:rPr>
              <w:fldChar w:fldCharType="separate"/>
            </w:r>
            <w:r w:rsidR="00302D39">
              <w:rPr>
                <w:rFonts w:cs="Arial"/>
              </w:rPr>
              <w:t>19</w:t>
            </w:r>
            <w:r w:rsidRPr="00B224EC">
              <w:rPr>
                <w:rFonts w:cs="Arial"/>
              </w:rPr>
              <w:fldChar w:fldCharType="end"/>
            </w:r>
            <w:r w:rsidRPr="00B224EC">
              <w:rPr>
                <w:rFonts w:cs="Arial"/>
              </w:rPr>
              <w:t xml:space="preserve">, </w:t>
            </w:r>
            <w:r w:rsidRPr="005356F1">
              <w:rPr>
                <w:rFonts w:cs="Arial"/>
              </w:rPr>
              <w:fldChar w:fldCharType="begin"/>
            </w:r>
            <w:r w:rsidRPr="005356F1">
              <w:rPr>
                <w:rFonts w:cs="Arial"/>
              </w:rPr>
              <w:instrText xml:space="preserve"> REF Sch19PartB \h  \* MERGEFORMAT </w:instrText>
            </w:r>
            <w:r w:rsidRPr="005356F1">
              <w:rPr>
                <w:rFonts w:cs="Arial"/>
              </w:rPr>
            </w:r>
            <w:r w:rsidRPr="005356F1">
              <w:rPr>
                <w:rFonts w:cs="Arial"/>
              </w:rPr>
              <w:fldChar w:fldCharType="separate"/>
            </w:r>
            <w:r w:rsidR="00302D39" w:rsidRPr="00302D39">
              <w:rPr>
                <w:rFonts w:cs="Arial"/>
              </w:rPr>
              <w:t>Part B</w:t>
            </w:r>
            <w:r w:rsidRPr="005356F1">
              <w:rPr>
                <w:rFonts w:cs="Arial"/>
              </w:rPr>
              <w:fldChar w:fldCharType="end"/>
            </w:r>
            <w:r w:rsidRPr="005356F1">
              <w:rPr>
                <w:rFonts w:cs="Arial"/>
              </w:rPr>
              <w:t xml:space="preserve">, </w:t>
            </w:r>
            <w:r>
              <w:rPr>
                <w:rFonts w:cs="Arial"/>
              </w:rPr>
              <w:t>P</w:t>
            </w:r>
            <w:r w:rsidRPr="005356F1">
              <w:rPr>
                <w:rFonts w:cs="Arial"/>
              </w:rPr>
              <w:t xml:space="preserve">ara </w:t>
            </w:r>
            <w:r>
              <w:rPr>
                <w:rFonts w:cs="Arial"/>
              </w:rPr>
              <w:fldChar w:fldCharType="begin"/>
            </w:r>
            <w:r>
              <w:rPr>
                <w:rFonts w:cs="Arial"/>
              </w:rPr>
              <w:instrText xml:space="preserve"> REF _Ref141357827 \r \h </w:instrText>
            </w:r>
            <w:r>
              <w:rPr>
                <w:rFonts w:cs="Arial"/>
              </w:rPr>
            </w:r>
            <w:r>
              <w:rPr>
                <w:rFonts w:cs="Arial"/>
              </w:rPr>
              <w:fldChar w:fldCharType="separate"/>
            </w:r>
            <w:r w:rsidR="00302D39">
              <w:rPr>
                <w:rFonts w:cs="Arial"/>
              </w:rPr>
              <w:t>1.2</w:t>
            </w:r>
            <w:r>
              <w:rPr>
                <w:rFonts w:cs="Arial"/>
              </w:rPr>
              <w:fldChar w:fldCharType="end"/>
            </w:r>
          </w:p>
        </w:tc>
        <w:tc>
          <w:tcPr>
            <w:tcW w:w="2666" w:type="dxa"/>
          </w:tcPr>
          <w:p w14:paraId="25931539" w14:textId="77777777" w:rsidR="00F67E9E" w:rsidRPr="00B224EC" w:rsidRDefault="00F67E9E" w:rsidP="007F74AA">
            <w:pPr>
              <w:pStyle w:val="StdBodyText"/>
              <w:spacing w:before="0" w:after="0"/>
              <w:rPr>
                <w:rFonts w:cs="Arial"/>
              </w:rPr>
            </w:pPr>
            <w:r w:rsidRPr="00B224EC">
              <w:rPr>
                <w:rFonts w:cs="Arial"/>
              </w:rPr>
              <w:t>Within 6 months after the end of the Term</w:t>
            </w:r>
          </w:p>
        </w:tc>
        <w:tc>
          <w:tcPr>
            <w:tcW w:w="2862" w:type="dxa"/>
          </w:tcPr>
          <w:p w14:paraId="16A1FA3C" w14:textId="77777777" w:rsidR="00F67E9E" w:rsidRPr="005356F1" w:rsidRDefault="00F67E9E" w:rsidP="007F74AA">
            <w:pPr>
              <w:pStyle w:val="StdBodyText"/>
              <w:spacing w:before="0" w:after="0"/>
              <w:rPr>
                <w:rFonts w:cs="Arial"/>
              </w:rPr>
            </w:pPr>
            <w:r w:rsidRPr="005356F1">
              <w:rPr>
                <w:rFonts w:cs="Arial"/>
              </w:rPr>
              <w:t>-</w:t>
            </w:r>
          </w:p>
        </w:tc>
        <w:tc>
          <w:tcPr>
            <w:tcW w:w="2381" w:type="dxa"/>
          </w:tcPr>
          <w:p w14:paraId="5F09910F" w14:textId="77777777" w:rsidR="00F67E9E" w:rsidRPr="005356F1" w:rsidRDefault="00F67E9E" w:rsidP="007F74AA">
            <w:pPr>
              <w:pStyle w:val="StdBodyText"/>
              <w:spacing w:before="0" w:after="0"/>
              <w:rPr>
                <w:rFonts w:cs="Arial"/>
              </w:rPr>
            </w:pPr>
            <w:r w:rsidRPr="005356F1">
              <w:rPr>
                <w:rFonts w:cs="Arial"/>
              </w:rPr>
              <w:t>Authority</w:t>
            </w:r>
          </w:p>
        </w:tc>
      </w:tr>
      <w:tr w:rsidR="00F67E9E" w:rsidRPr="005356F1" w14:paraId="5D30DE73" w14:textId="77777777" w:rsidTr="007F74AA">
        <w:trPr>
          <w:trHeight w:val="20"/>
        </w:trPr>
        <w:tc>
          <w:tcPr>
            <w:tcW w:w="2268" w:type="dxa"/>
          </w:tcPr>
          <w:p w14:paraId="0C0D68B8" w14:textId="30C348B9" w:rsidR="00F67E9E" w:rsidRPr="00646219" w:rsidRDefault="00F67E9E" w:rsidP="007F74AA">
            <w:pPr>
              <w:pStyle w:val="StdBodyText"/>
              <w:spacing w:before="0" w:after="0"/>
              <w:rPr>
                <w:rFonts w:cs="Arial"/>
              </w:rPr>
            </w:pPr>
            <w:bookmarkStart w:id="1878" w:name="_9kR3WTr2BC9B8ZJfCK"/>
            <w:r w:rsidRPr="00646219">
              <w:rPr>
                <w:rFonts w:cs="Arial"/>
              </w:rPr>
              <w:t>Sch</w:t>
            </w:r>
            <w:bookmarkEnd w:id="1878"/>
            <w:r w:rsidRPr="00646219">
              <w:rPr>
                <w:rFonts w:cs="Arial"/>
              </w:rPr>
              <w:t xml:space="preserve"> </w:t>
            </w:r>
            <w:r w:rsidRPr="00646219">
              <w:rPr>
                <w:rFonts w:cs="Arial"/>
              </w:rPr>
              <w:fldChar w:fldCharType="begin"/>
            </w:r>
            <w:r w:rsidRPr="00646219">
              <w:rPr>
                <w:rFonts w:cs="Arial"/>
              </w:rPr>
              <w:instrText xml:space="preserve"> REF _Ref92200016 \h  \# "#" </w:instrText>
            </w:r>
            <w:r>
              <w:rPr>
                <w:rFonts w:cs="Arial"/>
              </w:rPr>
              <w:instrText xml:space="preserve"> \* MERGEFORMAT </w:instrText>
            </w:r>
            <w:r w:rsidRPr="00646219">
              <w:rPr>
                <w:rFonts w:cs="Arial"/>
              </w:rPr>
            </w:r>
            <w:r w:rsidRPr="00646219">
              <w:rPr>
                <w:rFonts w:cs="Arial"/>
              </w:rPr>
              <w:fldChar w:fldCharType="separate"/>
            </w:r>
            <w:r w:rsidR="00302D39">
              <w:rPr>
                <w:rFonts w:cs="Arial"/>
              </w:rPr>
              <w:t>21</w:t>
            </w:r>
            <w:r w:rsidRPr="00646219">
              <w:rPr>
                <w:rFonts w:cs="Arial"/>
              </w:rPr>
              <w:fldChar w:fldCharType="end"/>
            </w:r>
            <w:r w:rsidRPr="00646219">
              <w:rPr>
                <w:rFonts w:cs="Arial"/>
              </w:rPr>
              <w:t xml:space="preserve">, </w:t>
            </w:r>
            <w:bookmarkStart w:id="1879" w:name="_9kMHG5YVtCIBDJECGkWlwxYTlwC2422789C9zDA"/>
            <w:r w:rsidRPr="00646219">
              <w:rPr>
                <w:rFonts w:cs="Arial"/>
              </w:rPr>
              <w:t xml:space="preserve">Para </w:t>
            </w:r>
            <w:r w:rsidRPr="00646219">
              <w:rPr>
                <w:rFonts w:cs="Arial"/>
              </w:rPr>
              <w:fldChar w:fldCharType="begin"/>
            </w:r>
            <w:r w:rsidRPr="00646219">
              <w:rPr>
                <w:rFonts w:cs="Arial"/>
              </w:rPr>
              <w:instrText xml:space="preserve"> REF _Ref_ContractCompanion_9kb9Us7CF \n \h \t \* MERGEFORMAT </w:instrText>
            </w:r>
            <w:r w:rsidRPr="00646219">
              <w:rPr>
                <w:rFonts w:cs="Arial"/>
              </w:rPr>
            </w:r>
            <w:r w:rsidRPr="00646219">
              <w:rPr>
                <w:rFonts w:cs="Arial"/>
              </w:rPr>
              <w:fldChar w:fldCharType="separate"/>
            </w:r>
            <w:r w:rsidR="00302D39">
              <w:rPr>
                <w:rFonts w:cs="Arial"/>
              </w:rPr>
              <w:t>3.3</w:t>
            </w:r>
            <w:r w:rsidRPr="00646219">
              <w:rPr>
                <w:rFonts w:cs="Arial"/>
              </w:rPr>
              <w:fldChar w:fldCharType="end"/>
            </w:r>
            <w:bookmarkEnd w:id="1879"/>
          </w:p>
        </w:tc>
        <w:tc>
          <w:tcPr>
            <w:tcW w:w="2966" w:type="dxa"/>
          </w:tcPr>
          <w:p w14:paraId="79772146" w14:textId="77777777" w:rsidR="00F67E9E" w:rsidRPr="00B224EC" w:rsidRDefault="00F67E9E" w:rsidP="007F74AA">
            <w:pPr>
              <w:pStyle w:val="StdBodyText"/>
              <w:spacing w:before="0" w:after="0"/>
              <w:rPr>
                <w:rFonts w:cs="Arial"/>
              </w:rPr>
            </w:pPr>
            <w:r w:rsidRPr="00B224EC">
              <w:rPr>
                <w:rFonts w:cs="Arial"/>
              </w:rPr>
              <w:t>Representation and Structure of boards</w:t>
            </w:r>
          </w:p>
        </w:tc>
        <w:tc>
          <w:tcPr>
            <w:tcW w:w="1996" w:type="dxa"/>
          </w:tcPr>
          <w:p w14:paraId="6A4470BD" w14:textId="5EA0CC80" w:rsidR="00F67E9E" w:rsidRPr="00B224EC" w:rsidRDefault="00F67E9E" w:rsidP="007F74AA">
            <w:pPr>
              <w:pStyle w:val="StdBodyText"/>
              <w:spacing w:before="0" w:after="0"/>
              <w:rPr>
                <w:rFonts w:cs="Arial"/>
              </w:rPr>
            </w:pPr>
            <w:bookmarkStart w:id="1880" w:name="_9kMHG5YVtCIBDJHMo2u5tYSA5v7aQA2DTE0zAHF"/>
            <w:r w:rsidRPr="00B224EC">
              <w:rPr>
                <w:rFonts w:cs="Arial"/>
              </w:rPr>
              <w:t xml:space="preserve">Sch </w:t>
            </w:r>
            <w:r w:rsidRPr="00B224EC">
              <w:rPr>
                <w:rFonts w:cs="Arial"/>
              </w:rPr>
              <w:fldChar w:fldCharType="begin"/>
            </w:r>
            <w:r w:rsidRPr="00B224EC">
              <w:rPr>
                <w:rFonts w:cs="Arial"/>
              </w:rPr>
              <w:instrText xml:space="preserve"> REF _Ref92200016 \h  \# "#"  \* MERGEFORMAT </w:instrText>
            </w:r>
            <w:r w:rsidRPr="00B224EC">
              <w:rPr>
                <w:rFonts w:cs="Arial"/>
              </w:rPr>
            </w:r>
            <w:r w:rsidRPr="00B224EC">
              <w:rPr>
                <w:rFonts w:cs="Arial"/>
              </w:rPr>
              <w:fldChar w:fldCharType="separate"/>
            </w:r>
            <w:r w:rsidR="00302D39">
              <w:rPr>
                <w:rFonts w:cs="Arial"/>
              </w:rPr>
              <w:t>21</w:t>
            </w:r>
            <w:r w:rsidRPr="00B224EC">
              <w:rPr>
                <w:rFonts w:cs="Arial"/>
              </w:rPr>
              <w:fldChar w:fldCharType="end"/>
            </w:r>
            <w:r w:rsidRPr="00B224EC">
              <w:rPr>
                <w:rFonts w:cs="Arial"/>
              </w:rPr>
              <w:t xml:space="preserve"> Annex </w:t>
            </w:r>
            <w:r w:rsidRPr="00B224EC">
              <w:rPr>
                <w:rFonts w:cs="Arial"/>
              </w:rPr>
              <w:fldChar w:fldCharType="begin"/>
            </w:r>
            <w:r w:rsidRPr="00B224EC">
              <w:rPr>
                <w:rFonts w:cs="Arial"/>
              </w:rPr>
              <w:instrText xml:space="preserve"> REF ANNEX1_SCHEDULE21 \h  \* MERGEFORMAT </w:instrText>
            </w:r>
            <w:r w:rsidRPr="00B224EC">
              <w:rPr>
                <w:rFonts w:cs="Arial"/>
              </w:rPr>
            </w:r>
            <w:r w:rsidRPr="00B224EC">
              <w:rPr>
                <w:rFonts w:cs="Arial"/>
              </w:rPr>
              <w:fldChar w:fldCharType="separate"/>
            </w:r>
            <w:r w:rsidR="00302D39" w:rsidRPr="00302D39">
              <w:rPr>
                <w:rFonts w:cs="Arial"/>
              </w:rPr>
              <w:t>1</w:t>
            </w:r>
            <w:r w:rsidRPr="00B224EC">
              <w:rPr>
                <w:rFonts w:cs="Arial"/>
              </w:rPr>
              <w:fldChar w:fldCharType="end"/>
            </w:r>
            <w:bookmarkEnd w:id="1880"/>
          </w:p>
        </w:tc>
        <w:tc>
          <w:tcPr>
            <w:tcW w:w="2666" w:type="dxa"/>
          </w:tcPr>
          <w:p w14:paraId="5EA5FBAB" w14:textId="77777777" w:rsidR="00F67E9E" w:rsidRPr="00B224EC" w:rsidRDefault="00F67E9E" w:rsidP="007F74AA">
            <w:pPr>
              <w:pStyle w:val="StdBodyText"/>
              <w:spacing w:before="0" w:after="0"/>
              <w:rPr>
                <w:rFonts w:cs="Arial"/>
              </w:rPr>
            </w:pPr>
            <w:r w:rsidRPr="00B224EC">
              <w:rPr>
                <w:rFonts w:cs="Arial"/>
              </w:rPr>
              <w:t>Within 7 days of receipt of intention, or in the case of a non-Authority board member agreement by the Authority</w:t>
            </w:r>
          </w:p>
        </w:tc>
        <w:tc>
          <w:tcPr>
            <w:tcW w:w="2862" w:type="dxa"/>
          </w:tcPr>
          <w:p w14:paraId="20B4B660" w14:textId="77777777" w:rsidR="00F67E9E" w:rsidRPr="005356F1" w:rsidRDefault="00F67E9E" w:rsidP="007F74AA">
            <w:pPr>
              <w:pStyle w:val="StdBodyText"/>
              <w:spacing w:before="0" w:after="0"/>
              <w:rPr>
                <w:rFonts w:cs="Arial"/>
              </w:rPr>
            </w:pPr>
            <w:r w:rsidRPr="005356F1">
              <w:rPr>
                <w:rFonts w:cs="Arial"/>
              </w:rPr>
              <w:t>-</w:t>
            </w:r>
          </w:p>
        </w:tc>
        <w:tc>
          <w:tcPr>
            <w:tcW w:w="2381" w:type="dxa"/>
          </w:tcPr>
          <w:p w14:paraId="4FC53FE4" w14:textId="77777777" w:rsidR="00F67E9E" w:rsidRPr="005356F1" w:rsidRDefault="00F67E9E" w:rsidP="007F74AA">
            <w:pPr>
              <w:pStyle w:val="StdBodyText"/>
              <w:spacing w:before="0" w:after="0"/>
              <w:rPr>
                <w:rFonts w:cs="Arial"/>
              </w:rPr>
            </w:pPr>
            <w:r w:rsidRPr="005356F1">
              <w:rPr>
                <w:rFonts w:cs="Arial"/>
              </w:rPr>
              <w:t>Authority</w:t>
            </w:r>
          </w:p>
        </w:tc>
      </w:tr>
      <w:tr w:rsidR="00F67E9E" w:rsidRPr="005356F1" w14:paraId="3E68DDE4" w14:textId="77777777" w:rsidTr="007F74AA">
        <w:trPr>
          <w:trHeight w:val="20"/>
        </w:trPr>
        <w:tc>
          <w:tcPr>
            <w:tcW w:w="2268" w:type="dxa"/>
          </w:tcPr>
          <w:p w14:paraId="36D2CCB3" w14:textId="79D60A9F" w:rsidR="00F67E9E" w:rsidRPr="005356F1" w:rsidRDefault="00F67E9E" w:rsidP="007F74AA">
            <w:pPr>
              <w:pStyle w:val="StdBodyText"/>
              <w:spacing w:before="0" w:after="0"/>
              <w:rPr>
                <w:rFonts w:cs="Arial"/>
              </w:rPr>
            </w:pPr>
            <w:r w:rsidRPr="00646219">
              <w:rPr>
                <w:rFonts w:cs="Arial"/>
              </w:rPr>
              <w:t xml:space="preserve">Sch </w:t>
            </w:r>
            <w:r w:rsidRPr="00646219">
              <w:rPr>
                <w:rFonts w:cs="Arial"/>
              </w:rPr>
              <w:fldChar w:fldCharType="begin"/>
            </w:r>
            <w:r w:rsidRPr="00646219">
              <w:rPr>
                <w:rFonts w:cs="Arial"/>
              </w:rPr>
              <w:instrText xml:space="preserve"> REF _Ref92200016 \h  \# "#" </w:instrText>
            </w:r>
            <w:r>
              <w:rPr>
                <w:rFonts w:cs="Arial"/>
              </w:rPr>
              <w:instrText xml:space="preserve"> \* MERGEFORMAT </w:instrText>
            </w:r>
            <w:r w:rsidRPr="00646219">
              <w:rPr>
                <w:rFonts w:cs="Arial"/>
              </w:rPr>
            </w:r>
            <w:r w:rsidRPr="00646219">
              <w:rPr>
                <w:rFonts w:cs="Arial"/>
              </w:rPr>
              <w:fldChar w:fldCharType="separate"/>
            </w:r>
            <w:r w:rsidR="00302D39">
              <w:rPr>
                <w:rFonts w:cs="Arial"/>
              </w:rPr>
              <w:t>21</w:t>
            </w:r>
            <w:r w:rsidRPr="00646219">
              <w:rPr>
                <w:rFonts w:cs="Arial"/>
              </w:rPr>
              <w:fldChar w:fldCharType="end"/>
            </w:r>
            <w:r w:rsidRPr="005356F1">
              <w:rPr>
                <w:rFonts w:cs="Arial"/>
              </w:rPr>
              <w:t xml:space="preserve">, </w:t>
            </w:r>
            <w:bookmarkStart w:id="1881" w:name="_9kR3WTr2CC6CFaEno1Kw"/>
            <w:r w:rsidRPr="005356F1">
              <w:rPr>
                <w:rFonts w:cs="Arial"/>
              </w:rPr>
              <w:t xml:space="preserve">Para </w:t>
            </w:r>
            <w:r w:rsidRPr="005356F1">
              <w:rPr>
                <w:rFonts w:cs="Arial"/>
              </w:rPr>
              <w:fldChar w:fldCharType="begin"/>
            </w:r>
            <w:r w:rsidRPr="005356F1">
              <w:rPr>
                <w:rFonts w:cs="Arial"/>
              </w:rPr>
              <w:instrText xml:space="preserve"> REF _Ref_ContractCompanion_9kb9Ur289 \w \h \t \* MERGEFORMAT </w:instrText>
            </w:r>
            <w:r w:rsidRPr="005356F1">
              <w:rPr>
                <w:rFonts w:cs="Arial"/>
              </w:rPr>
            </w:r>
            <w:r w:rsidRPr="005356F1">
              <w:rPr>
                <w:rFonts w:cs="Arial"/>
              </w:rPr>
              <w:fldChar w:fldCharType="separate"/>
            </w:r>
            <w:r w:rsidR="00302D39">
              <w:rPr>
                <w:rFonts w:cs="Arial"/>
              </w:rPr>
              <w:t>3.5.5</w:t>
            </w:r>
            <w:r w:rsidRPr="005356F1">
              <w:rPr>
                <w:rFonts w:cs="Arial"/>
              </w:rPr>
              <w:fldChar w:fldCharType="end"/>
            </w:r>
            <w:bookmarkEnd w:id="1881"/>
          </w:p>
        </w:tc>
        <w:tc>
          <w:tcPr>
            <w:tcW w:w="2966" w:type="dxa"/>
          </w:tcPr>
          <w:p w14:paraId="5003D095" w14:textId="77777777" w:rsidR="00F67E9E" w:rsidRPr="005356F1" w:rsidRDefault="00F67E9E" w:rsidP="007F74AA">
            <w:pPr>
              <w:pStyle w:val="StdBodyText"/>
              <w:spacing w:before="0" w:after="0"/>
              <w:rPr>
                <w:rFonts w:cs="Arial"/>
              </w:rPr>
            </w:pPr>
            <w:r w:rsidRPr="005356F1">
              <w:rPr>
                <w:rFonts w:cs="Arial"/>
              </w:rPr>
              <w:t>Minutes of governance meetings (all boards)</w:t>
            </w:r>
          </w:p>
        </w:tc>
        <w:tc>
          <w:tcPr>
            <w:tcW w:w="1996" w:type="dxa"/>
          </w:tcPr>
          <w:p w14:paraId="3D65D100" w14:textId="77777777" w:rsidR="00F67E9E" w:rsidRPr="005356F1" w:rsidRDefault="00F67E9E" w:rsidP="007F74AA">
            <w:pPr>
              <w:pStyle w:val="StdBodyText"/>
              <w:spacing w:before="0" w:after="0"/>
              <w:rPr>
                <w:rFonts w:cs="Arial"/>
              </w:rPr>
            </w:pPr>
            <w:r w:rsidRPr="005356F1">
              <w:rPr>
                <w:rFonts w:cs="Arial"/>
              </w:rPr>
              <w:t>As appropriate and agreed by the Authority</w:t>
            </w:r>
          </w:p>
        </w:tc>
        <w:tc>
          <w:tcPr>
            <w:tcW w:w="2666" w:type="dxa"/>
          </w:tcPr>
          <w:p w14:paraId="060FC3EC" w14:textId="77777777" w:rsidR="00F67E9E" w:rsidRPr="005356F1" w:rsidRDefault="00F67E9E" w:rsidP="007F74AA">
            <w:pPr>
              <w:pStyle w:val="StdBodyText"/>
              <w:spacing w:before="0" w:after="0"/>
              <w:rPr>
                <w:rFonts w:cs="Arial"/>
              </w:rPr>
            </w:pPr>
            <w:r w:rsidRPr="005356F1">
              <w:rPr>
                <w:rFonts w:cs="Arial"/>
              </w:rPr>
              <w:t xml:space="preserve">Within 7 days of receipt from chairperson </w:t>
            </w:r>
          </w:p>
        </w:tc>
        <w:tc>
          <w:tcPr>
            <w:tcW w:w="2862" w:type="dxa"/>
          </w:tcPr>
          <w:p w14:paraId="25DBDCD3" w14:textId="77777777" w:rsidR="00F67E9E" w:rsidRPr="005356F1" w:rsidRDefault="00F67E9E" w:rsidP="007F74AA">
            <w:pPr>
              <w:pStyle w:val="StdBodyText"/>
              <w:spacing w:before="0" w:after="0"/>
              <w:rPr>
                <w:rFonts w:cs="Arial"/>
              </w:rPr>
            </w:pPr>
            <w:r w:rsidRPr="005356F1">
              <w:rPr>
                <w:rFonts w:cs="Arial"/>
              </w:rPr>
              <w:t>-</w:t>
            </w:r>
          </w:p>
        </w:tc>
        <w:tc>
          <w:tcPr>
            <w:tcW w:w="2381" w:type="dxa"/>
          </w:tcPr>
          <w:p w14:paraId="7EB344F1" w14:textId="77777777" w:rsidR="00F67E9E" w:rsidRPr="005356F1" w:rsidRDefault="00F67E9E" w:rsidP="007F74AA">
            <w:pPr>
              <w:pStyle w:val="StdBodyText"/>
              <w:spacing w:before="0" w:after="0"/>
              <w:rPr>
                <w:rFonts w:cs="Arial"/>
              </w:rPr>
            </w:pPr>
            <w:r w:rsidRPr="005356F1">
              <w:rPr>
                <w:rFonts w:cs="Arial"/>
              </w:rPr>
              <w:t>Authority</w:t>
            </w:r>
          </w:p>
        </w:tc>
      </w:tr>
      <w:tr w:rsidR="00F67E9E" w:rsidRPr="005356F1" w14:paraId="15C41EF0" w14:textId="77777777" w:rsidTr="007F74AA">
        <w:trPr>
          <w:trHeight w:val="20"/>
        </w:trPr>
        <w:tc>
          <w:tcPr>
            <w:tcW w:w="2268" w:type="dxa"/>
          </w:tcPr>
          <w:p w14:paraId="581555E8" w14:textId="66C31B38" w:rsidR="00F67E9E" w:rsidRPr="00646219" w:rsidRDefault="00F67E9E" w:rsidP="007F74AA">
            <w:pPr>
              <w:pStyle w:val="StdBodyText"/>
              <w:spacing w:before="0" w:after="0"/>
              <w:rPr>
                <w:rFonts w:cs="Arial"/>
              </w:rPr>
            </w:pPr>
            <w:bookmarkStart w:id="1882" w:name="_9kR3WTr2BC9AFhJfCL"/>
            <w:r w:rsidRPr="00646219">
              <w:rPr>
                <w:rFonts w:cs="Arial"/>
              </w:rPr>
              <w:t xml:space="preserve">Sch </w:t>
            </w:r>
            <w:bookmarkEnd w:id="1882"/>
            <w:r w:rsidRPr="00646219">
              <w:rPr>
                <w:rFonts w:cs="Arial"/>
              </w:rPr>
              <w:fldChar w:fldCharType="begin"/>
            </w:r>
            <w:r w:rsidRPr="00646219">
              <w:rPr>
                <w:rFonts w:cs="Arial"/>
              </w:rPr>
              <w:instrText xml:space="preserve"> REF _Ref92200025 \h  \# "#" </w:instrText>
            </w:r>
            <w:r>
              <w:rPr>
                <w:rFonts w:cs="Arial"/>
              </w:rPr>
              <w:instrText xml:space="preserve"> \* MERGEFORMAT </w:instrText>
            </w:r>
            <w:r w:rsidRPr="00646219">
              <w:rPr>
                <w:rFonts w:cs="Arial"/>
              </w:rPr>
            </w:r>
            <w:r w:rsidRPr="00646219">
              <w:rPr>
                <w:rFonts w:cs="Arial"/>
              </w:rPr>
              <w:fldChar w:fldCharType="separate"/>
            </w:r>
            <w:r w:rsidR="00302D39">
              <w:rPr>
                <w:rFonts w:cs="Arial"/>
              </w:rPr>
              <w:t>22</w:t>
            </w:r>
            <w:r w:rsidRPr="00646219">
              <w:rPr>
                <w:rFonts w:cs="Arial"/>
              </w:rPr>
              <w:fldChar w:fldCharType="end"/>
            </w:r>
            <w:r w:rsidRPr="00646219">
              <w:rPr>
                <w:rFonts w:cs="Arial"/>
              </w:rPr>
              <w:t xml:space="preserve"> </w:t>
            </w:r>
            <w:bookmarkStart w:id="1883" w:name="_9kMHG5YVtCIBDJKJHTM5B2oi0F3tmx0s57x7PDD"/>
            <w:r w:rsidRPr="00646219">
              <w:rPr>
                <w:rFonts w:cs="Arial"/>
              </w:rPr>
              <w:t xml:space="preserve">Para </w:t>
            </w:r>
            <w:r w:rsidRPr="00646219">
              <w:rPr>
                <w:rFonts w:cs="Arial"/>
              </w:rPr>
              <w:fldChar w:fldCharType="begin"/>
            </w:r>
            <w:r w:rsidRPr="00646219">
              <w:rPr>
                <w:rFonts w:cs="Arial"/>
              </w:rPr>
              <w:instrText xml:space="preserve"> REF _Ref_ContractCompanion_9kb9Us7DC \n \h \t \* MERGEFORMAT </w:instrText>
            </w:r>
            <w:r w:rsidRPr="00646219">
              <w:rPr>
                <w:rFonts w:cs="Arial"/>
              </w:rPr>
            </w:r>
            <w:r w:rsidRPr="00646219">
              <w:rPr>
                <w:rFonts w:cs="Arial"/>
              </w:rPr>
              <w:fldChar w:fldCharType="separate"/>
            </w:r>
            <w:r w:rsidR="00302D39">
              <w:rPr>
                <w:rFonts w:cs="Arial"/>
              </w:rPr>
              <w:t>4.3</w:t>
            </w:r>
            <w:r w:rsidRPr="00646219">
              <w:rPr>
                <w:rFonts w:cs="Arial"/>
              </w:rPr>
              <w:fldChar w:fldCharType="end"/>
            </w:r>
            <w:bookmarkEnd w:id="1883"/>
            <w:r w:rsidRPr="00646219">
              <w:rPr>
                <w:rFonts w:cs="Arial"/>
              </w:rPr>
              <w:t xml:space="preserve"> </w:t>
            </w:r>
          </w:p>
        </w:tc>
        <w:tc>
          <w:tcPr>
            <w:tcW w:w="2966" w:type="dxa"/>
          </w:tcPr>
          <w:p w14:paraId="458D9C91" w14:textId="77777777" w:rsidR="00F67E9E" w:rsidRPr="005356F1" w:rsidRDefault="00F67E9E" w:rsidP="007F74AA">
            <w:pPr>
              <w:pStyle w:val="StdBodyText"/>
              <w:spacing w:before="0" w:after="0"/>
              <w:rPr>
                <w:rFonts w:cs="Arial"/>
              </w:rPr>
            </w:pPr>
            <w:r w:rsidRPr="005356F1">
              <w:rPr>
                <w:rFonts w:cs="Arial"/>
              </w:rPr>
              <w:t>Impact Assessment Estimate</w:t>
            </w:r>
          </w:p>
        </w:tc>
        <w:tc>
          <w:tcPr>
            <w:tcW w:w="1996" w:type="dxa"/>
          </w:tcPr>
          <w:p w14:paraId="64BC471B" w14:textId="77777777" w:rsidR="00F67E9E" w:rsidRPr="005356F1" w:rsidRDefault="00F67E9E" w:rsidP="007F74AA">
            <w:pPr>
              <w:pStyle w:val="StdBodyText"/>
              <w:spacing w:before="0" w:after="0"/>
              <w:rPr>
                <w:rFonts w:cs="Arial"/>
              </w:rPr>
            </w:pPr>
            <w:r w:rsidRPr="005356F1">
              <w:rPr>
                <w:rFonts w:cs="Arial"/>
              </w:rPr>
              <w:t>As appropriate and agreed by the Authority</w:t>
            </w:r>
          </w:p>
        </w:tc>
        <w:tc>
          <w:tcPr>
            <w:tcW w:w="2666" w:type="dxa"/>
          </w:tcPr>
          <w:p w14:paraId="2600CE3F" w14:textId="77777777" w:rsidR="00F67E9E" w:rsidRPr="005356F1" w:rsidRDefault="00F67E9E" w:rsidP="007F74AA">
            <w:pPr>
              <w:pStyle w:val="StdBodyText"/>
              <w:spacing w:before="0" w:after="0"/>
              <w:rPr>
                <w:rFonts w:cs="Arial"/>
              </w:rPr>
            </w:pPr>
            <w:r w:rsidRPr="005356F1">
              <w:rPr>
                <w:rFonts w:cs="Arial"/>
              </w:rPr>
              <w:t>Within 10 Working Days of date of receiving change request.</w:t>
            </w:r>
          </w:p>
        </w:tc>
        <w:tc>
          <w:tcPr>
            <w:tcW w:w="2862" w:type="dxa"/>
          </w:tcPr>
          <w:p w14:paraId="07F50EE6" w14:textId="77777777" w:rsidR="00F67E9E" w:rsidRPr="005356F1" w:rsidRDefault="00F67E9E" w:rsidP="007F74AA">
            <w:pPr>
              <w:pStyle w:val="StdBodyText"/>
              <w:spacing w:before="0" w:after="0"/>
              <w:rPr>
                <w:rFonts w:cs="Arial"/>
              </w:rPr>
            </w:pPr>
            <w:r w:rsidRPr="005356F1">
              <w:rPr>
                <w:rFonts w:cs="Arial"/>
              </w:rPr>
              <w:t>-</w:t>
            </w:r>
          </w:p>
        </w:tc>
        <w:tc>
          <w:tcPr>
            <w:tcW w:w="2381" w:type="dxa"/>
          </w:tcPr>
          <w:p w14:paraId="5F493005" w14:textId="77777777" w:rsidR="00F67E9E" w:rsidRPr="005356F1" w:rsidRDefault="00F67E9E" w:rsidP="007F74AA">
            <w:pPr>
              <w:pStyle w:val="StdBodyText"/>
              <w:spacing w:before="0" w:after="0"/>
              <w:rPr>
                <w:rFonts w:cs="Arial"/>
              </w:rPr>
            </w:pPr>
            <w:r w:rsidRPr="005356F1">
              <w:rPr>
                <w:rFonts w:cs="Arial"/>
              </w:rPr>
              <w:t>Authority</w:t>
            </w:r>
          </w:p>
        </w:tc>
      </w:tr>
      <w:tr w:rsidR="00F67E9E" w:rsidRPr="005356F1" w14:paraId="2363A65A" w14:textId="77777777" w:rsidTr="007F74AA">
        <w:trPr>
          <w:trHeight w:val="20"/>
        </w:trPr>
        <w:tc>
          <w:tcPr>
            <w:tcW w:w="2268" w:type="dxa"/>
          </w:tcPr>
          <w:p w14:paraId="1FE39EFA" w14:textId="40BB9524" w:rsidR="00F67E9E" w:rsidRPr="005356F1" w:rsidRDefault="00F67E9E" w:rsidP="007F74AA">
            <w:pPr>
              <w:pStyle w:val="StdBodyText"/>
              <w:spacing w:before="0" w:after="0"/>
              <w:rPr>
                <w:rFonts w:cs="Arial"/>
              </w:rPr>
            </w:pPr>
            <w:bookmarkStart w:id="1884" w:name="_9kMLK5YVtCIBDEBLEyq1QMVJ15A1414D9F23775"/>
            <w:r w:rsidRPr="00646219">
              <w:rPr>
                <w:rFonts w:cs="Arial"/>
              </w:rPr>
              <w:t xml:space="preserve">Sch </w:t>
            </w:r>
            <w:r w:rsidRPr="00646219">
              <w:rPr>
                <w:rFonts w:cs="Arial"/>
              </w:rPr>
              <w:fldChar w:fldCharType="begin"/>
            </w:r>
            <w:r w:rsidRPr="00646219">
              <w:rPr>
                <w:rFonts w:cs="Arial"/>
              </w:rPr>
              <w:instrText xml:space="preserve"> REF _Ref92200025 \h  \# "#" </w:instrText>
            </w:r>
            <w:r>
              <w:rPr>
                <w:rFonts w:cs="Arial"/>
              </w:rPr>
              <w:instrText xml:space="preserve"> \* MERGEFORMAT </w:instrText>
            </w:r>
            <w:r w:rsidRPr="00646219">
              <w:rPr>
                <w:rFonts w:cs="Arial"/>
              </w:rPr>
            </w:r>
            <w:r w:rsidRPr="00646219">
              <w:rPr>
                <w:rFonts w:cs="Arial"/>
              </w:rPr>
              <w:fldChar w:fldCharType="separate"/>
            </w:r>
            <w:r w:rsidR="00302D39">
              <w:rPr>
                <w:rFonts w:cs="Arial"/>
              </w:rPr>
              <w:t>22</w:t>
            </w:r>
            <w:r w:rsidRPr="00646219">
              <w:rPr>
                <w:rFonts w:cs="Arial"/>
              </w:rPr>
              <w:fldChar w:fldCharType="end"/>
            </w:r>
            <w:r w:rsidRPr="005356F1">
              <w:rPr>
                <w:rFonts w:cs="Arial"/>
              </w:rPr>
              <w:t xml:space="preserve"> Para </w:t>
            </w:r>
            <w:r w:rsidRPr="005356F1">
              <w:rPr>
                <w:rFonts w:cs="Arial"/>
              </w:rPr>
              <w:fldChar w:fldCharType="begin"/>
            </w:r>
            <w:r w:rsidRPr="005356F1">
              <w:rPr>
                <w:rFonts w:cs="Arial"/>
              </w:rPr>
              <w:instrText xml:space="preserve"> REF _Ref_ContractCompanion_9kb9Us783 \w \n \h \t \* MERGEFORMAT </w:instrText>
            </w:r>
            <w:r w:rsidRPr="005356F1">
              <w:rPr>
                <w:rFonts w:cs="Arial"/>
              </w:rPr>
            </w:r>
            <w:r w:rsidRPr="005356F1">
              <w:rPr>
                <w:rFonts w:cs="Arial"/>
              </w:rPr>
              <w:fldChar w:fldCharType="separate"/>
            </w:r>
            <w:r w:rsidR="00302D39">
              <w:rPr>
                <w:rFonts w:cs="Arial"/>
              </w:rPr>
              <w:t>5</w:t>
            </w:r>
            <w:r w:rsidRPr="005356F1">
              <w:rPr>
                <w:rFonts w:cs="Arial"/>
              </w:rPr>
              <w:fldChar w:fldCharType="end"/>
            </w:r>
            <w:bookmarkEnd w:id="1884"/>
            <w:r w:rsidRPr="005356F1">
              <w:rPr>
                <w:rFonts w:cs="Arial"/>
              </w:rPr>
              <w:t xml:space="preserve"> </w:t>
            </w:r>
          </w:p>
        </w:tc>
        <w:tc>
          <w:tcPr>
            <w:tcW w:w="2966" w:type="dxa"/>
          </w:tcPr>
          <w:p w14:paraId="7A56A2BA" w14:textId="77777777" w:rsidR="00F67E9E" w:rsidRPr="00B224EC" w:rsidRDefault="00F67E9E" w:rsidP="007F74AA">
            <w:pPr>
              <w:pStyle w:val="StdBodyText"/>
              <w:spacing w:before="0" w:after="0"/>
              <w:rPr>
                <w:rFonts w:cs="Arial"/>
              </w:rPr>
            </w:pPr>
            <w:r w:rsidRPr="00B224EC">
              <w:rPr>
                <w:rFonts w:cs="Arial"/>
              </w:rPr>
              <w:t xml:space="preserve">Impact Assessment </w:t>
            </w:r>
          </w:p>
        </w:tc>
        <w:tc>
          <w:tcPr>
            <w:tcW w:w="1996" w:type="dxa"/>
          </w:tcPr>
          <w:p w14:paraId="68ADA577" w14:textId="77777777" w:rsidR="00F67E9E" w:rsidRPr="00B224EC" w:rsidRDefault="00F67E9E" w:rsidP="007F74AA">
            <w:pPr>
              <w:pStyle w:val="StdBodyText"/>
              <w:spacing w:before="0" w:after="0"/>
              <w:rPr>
                <w:rFonts w:cs="Arial"/>
              </w:rPr>
            </w:pPr>
            <w:r w:rsidRPr="00B224EC">
              <w:rPr>
                <w:rFonts w:cs="Arial"/>
              </w:rPr>
              <w:t>As appropriate and agreed by the Authority</w:t>
            </w:r>
          </w:p>
        </w:tc>
        <w:tc>
          <w:tcPr>
            <w:tcW w:w="2666" w:type="dxa"/>
          </w:tcPr>
          <w:p w14:paraId="68B1B5A6" w14:textId="77777777" w:rsidR="00F67E9E" w:rsidRPr="00B224EC" w:rsidRDefault="00F67E9E" w:rsidP="007F74AA">
            <w:pPr>
              <w:pStyle w:val="StdBodyText"/>
              <w:spacing w:before="0" w:after="0"/>
              <w:rPr>
                <w:rFonts w:cs="Arial"/>
              </w:rPr>
            </w:pPr>
            <w:r w:rsidRPr="00B224EC">
              <w:rPr>
                <w:rFonts w:cs="Arial"/>
              </w:rPr>
              <w:t>Within the period agreed by the Impact Assessment Estimate</w:t>
            </w:r>
          </w:p>
        </w:tc>
        <w:tc>
          <w:tcPr>
            <w:tcW w:w="2862" w:type="dxa"/>
          </w:tcPr>
          <w:p w14:paraId="04927EF8" w14:textId="6E1E0A0C" w:rsidR="00F67E9E" w:rsidRPr="00B224EC" w:rsidRDefault="00F67E9E" w:rsidP="007F74AA">
            <w:pPr>
              <w:pStyle w:val="StdBodyText"/>
              <w:spacing w:before="0" w:after="0"/>
              <w:rPr>
                <w:rFonts w:cs="Arial"/>
              </w:rPr>
            </w:pPr>
            <w:r w:rsidRPr="00B224EC">
              <w:rPr>
                <w:rFonts w:cs="Arial"/>
              </w:rPr>
              <w:t xml:space="preserve">Within 10 Working Days of request by the Authority to update under </w:t>
            </w:r>
            <w:r>
              <w:rPr>
                <w:rFonts w:cs="Arial"/>
              </w:rPr>
              <w:t>Sch </w:t>
            </w:r>
            <w:r w:rsidRPr="00B224EC">
              <w:rPr>
                <w:rFonts w:cs="Arial"/>
              </w:rPr>
              <w:fldChar w:fldCharType="begin"/>
            </w:r>
            <w:r w:rsidRPr="00B224EC">
              <w:rPr>
                <w:rFonts w:cs="Arial"/>
              </w:rPr>
              <w:instrText xml:space="preserve"> REF _Ref92200025 \h  \# "#"  \* MERGEFORMAT </w:instrText>
            </w:r>
            <w:r w:rsidRPr="00B224EC">
              <w:rPr>
                <w:rFonts w:cs="Arial"/>
              </w:rPr>
            </w:r>
            <w:r w:rsidRPr="00B224EC">
              <w:rPr>
                <w:rFonts w:cs="Arial"/>
              </w:rPr>
              <w:fldChar w:fldCharType="separate"/>
            </w:r>
            <w:r w:rsidR="00302D39">
              <w:rPr>
                <w:rFonts w:cs="Arial"/>
              </w:rPr>
              <w:t>22</w:t>
            </w:r>
            <w:r w:rsidRPr="00B224EC">
              <w:rPr>
                <w:rFonts w:cs="Arial"/>
              </w:rPr>
              <w:fldChar w:fldCharType="end"/>
            </w:r>
            <w:r w:rsidRPr="00B224EC">
              <w:rPr>
                <w:rFonts w:cs="Arial"/>
              </w:rPr>
              <w:t>,</w:t>
            </w:r>
            <w:r>
              <w:rPr>
                <w:rFonts w:cs="Arial"/>
              </w:rPr>
              <w:t xml:space="preserve"> </w:t>
            </w:r>
            <w:r w:rsidRPr="00B224EC">
              <w:rPr>
                <w:rFonts w:cs="Arial"/>
              </w:rPr>
              <w:t>Para </w:t>
            </w:r>
            <w:r w:rsidRPr="00B224EC">
              <w:rPr>
                <w:rFonts w:cs="Arial"/>
              </w:rPr>
              <w:fldChar w:fldCharType="begin"/>
            </w:r>
            <w:r w:rsidRPr="00B224EC">
              <w:rPr>
                <w:rFonts w:cs="Arial"/>
              </w:rPr>
              <w:instrText xml:space="preserve"> REF _Ref_ContractCompanion_9kb9Us5EB \r \h  \* MERGEFORMAT </w:instrText>
            </w:r>
            <w:r w:rsidRPr="00B224EC">
              <w:rPr>
                <w:rFonts w:cs="Arial"/>
              </w:rPr>
            </w:r>
            <w:r w:rsidRPr="00B224EC">
              <w:rPr>
                <w:rFonts w:cs="Arial"/>
              </w:rPr>
              <w:fldChar w:fldCharType="separate"/>
            </w:r>
            <w:r w:rsidR="00302D39">
              <w:rPr>
                <w:rFonts w:cs="Arial"/>
              </w:rPr>
              <w:t>5.4</w:t>
            </w:r>
            <w:r w:rsidRPr="00B224EC">
              <w:rPr>
                <w:rFonts w:cs="Arial"/>
              </w:rPr>
              <w:fldChar w:fldCharType="end"/>
            </w:r>
          </w:p>
        </w:tc>
        <w:tc>
          <w:tcPr>
            <w:tcW w:w="2381" w:type="dxa"/>
          </w:tcPr>
          <w:p w14:paraId="031DA586" w14:textId="77777777" w:rsidR="00F67E9E" w:rsidRPr="005356F1" w:rsidRDefault="00F67E9E" w:rsidP="007F74AA">
            <w:pPr>
              <w:pStyle w:val="StdBodyText"/>
              <w:spacing w:before="0" w:after="0"/>
              <w:rPr>
                <w:rFonts w:cs="Arial"/>
              </w:rPr>
            </w:pPr>
            <w:r w:rsidRPr="005356F1">
              <w:rPr>
                <w:rFonts w:cs="Arial"/>
              </w:rPr>
              <w:t>Authority</w:t>
            </w:r>
          </w:p>
        </w:tc>
      </w:tr>
      <w:tr w:rsidR="00F67E9E" w:rsidRPr="005356F1" w14:paraId="3D856644" w14:textId="77777777" w:rsidTr="007F74AA">
        <w:trPr>
          <w:trHeight w:val="20"/>
        </w:trPr>
        <w:tc>
          <w:tcPr>
            <w:tcW w:w="2268" w:type="dxa"/>
          </w:tcPr>
          <w:p w14:paraId="40F185AB" w14:textId="55195E03" w:rsidR="00F67E9E" w:rsidRPr="005356F1" w:rsidRDefault="00F67E9E" w:rsidP="007F74AA">
            <w:pPr>
              <w:pStyle w:val="StdBodyText"/>
              <w:spacing w:before="0" w:after="0"/>
              <w:rPr>
                <w:rFonts w:cs="Arial"/>
              </w:rPr>
            </w:pPr>
            <w:r w:rsidRPr="00646219">
              <w:rPr>
                <w:rFonts w:cs="Arial"/>
              </w:rPr>
              <w:t xml:space="preserve">Sch </w:t>
            </w:r>
            <w:r w:rsidRPr="00646219">
              <w:rPr>
                <w:rFonts w:cs="Arial"/>
              </w:rPr>
              <w:fldChar w:fldCharType="begin"/>
            </w:r>
            <w:r w:rsidRPr="00646219">
              <w:rPr>
                <w:rFonts w:cs="Arial"/>
              </w:rPr>
              <w:instrText xml:space="preserve"> REF _Ref92200025 \h  \# "#" </w:instrText>
            </w:r>
            <w:r>
              <w:rPr>
                <w:rFonts w:cs="Arial"/>
              </w:rPr>
              <w:instrText xml:space="preserve"> \* MERGEFORMAT </w:instrText>
            </w:r>
            <w:r w:rsidRPr="00646219">
              <w:rPr>
                <w:rFonts w:cs="Arial"/>
              </w:rPr>
            </w:r>
            <w:r w:rsidRPr="00646219">
              <w:rPr>
                <w:rFonts w:cs="Arial"/>
              </w:rPr>
              <w:fldChar w:fldCharType="separate"/>
            </w:r>
            <w:r w:rsidR="00302D39">
              <w:rPr>
                <w:rFonts w:cs="Arial"/>
              </w:rPr>
              <w:t>22</w:t>
            </w:r>
            <w:r w:rsidRPr="00646219">
              <w:rPr>
                <w:rFonts w:cs="Arial"/>
              </w:rPr>
              <w:fldChar w:fldCharType="end"/>
            </w:r>
            <w:r w:rsidRPr="005356F1">
              <w:rPr>
                <w:rFonts w:cs="Arial"/>
              </w:rPr>
              <w:t xml:space="preserve">, </w:t>
            </w:r>
            <w:bookmarkStart w:id="1885" w:name="_9kR3WTr2BCBIDWEno0K"/>
            <w:r w:rsidRPr="005356F1">
              <w:rPr>
                <w:rFonts w:cs="Arial"/>
              </w:rPr>
              <w:t xml:space="preserve">Para </w:t>
            </w:r>
            <w:r w:rsidRPr="005356F1">
              <w:rPr>
                <w:rFonts w:cs="Arial"/>
              </w:rPr>
              <w:fldChar w:fldCharType="begin"/>
            </w:r>
            <w:r w:rsidRPr="005356F1">
              <w:rPr>
                <w:rFonts w:cs="Arial"/>
              </w:rPr>
              <w:instrText xml:space="preserve"> REF _Ref_ContractCompanion_9kb9Us7DG \n \h \t \* MERGEFORMAT </w:instrText>
            </w:r>
            <w:r w:rsidRPr="005356F1">
              <w:rPr>
                <w:rFonts w:cs="Arial"/>
              </w:rPr>
            </w:r>
            <w:r w:rsidRPr="005356F1">
              <w:rPr>
                <w:rFonts w:cs="Arial"/>
              </w:rPr>
              <w:fldChar w:fldCharType="separate"/>
            </w:r>
            <w:r w:rsidR="00302D39">
              <w:rPr>
                <w:rFonts w:cs="Arial"/>
              </w:rPr>
              <w:t>2.6</w:t>
            </w:r>
            <w:r w:rsidRPr="005356F1">
              <w:rPr>
                <w:rFonts w:cs="Arial"/>
              </w:rPr>
              <w:fldChar w:fldCharType="end"/>
            </w:r>
            <w:bookmarkEnd w:id="1885"/>
          </w:p>
        </w:tc>
        <w:tc>
          <w:tcPr>
            <w:tcW w:w="2966" w:type="dxa"/>
          </w:tcPr>
          <w:p w14:paraId="0CA1B9BB" w14:textId="77777777" w:rsidR="00F67E9E" w:rsidRPr="00B224EC" w:rsidRDefault="00F67E9E" w:rsidP="007F74AA">
            <w:pPr>
              <w:pStyle w:val="StdBodyText"/>
              <w:spacing w:before="0" w:after="0"/>
              <w:rPr>
                <w:rFonts w:cs="Arial"/>
              </w:rPr>
            </w:pPr>
            <w:r w:rsidRPr="00B224EC">
              <w:rPr>
                <w:rFonts w:cs="Arial"/>
              </w:rPr>
              <w:t>Update full copy of the Agreement and copy of annotated version illustrating changes</w:t>
            </w:r>
            <w:r>
              <w:rPr>
                <w:rFonts w:cs="Arial"/>
              </w:rPr>
              <w:t xml:space="preserve"> </w:t>
            </w:r>
            <w:r>
              <w:rPr>
                <w:rFonts w:eastAsia="Arial" w:cs="Arial"/>
                <w:color w:val="000000"/>
              </w:rPr>
              <w:t>(unless Authority directs otherwise)</w:t>
            </w:r>
          </w:p>
        </w:tc>
        <w:tc>
          <w:tcPr>
            <w:tcW w:w="1996" w:type="dxa"/>
          </w:tcPr>
          <w:p w14:paraId="335EEEC9" w14:textId="77777777" w:rsidR="00F67E9E" w:rsidRPr="00B224EC" w:rsidRDefault="00F67E9E" w:rsidP="007F74AA">
            <w:pPr>
              <w:pStyle w:val="StdBodyText"/>
              <w:spacing w:before="0" w:after="0"/>
              <w:rPr>
                <w:rFonts w:cs="Arial"/>
              </w:rPr>
            </w:pPr>
            <w:r w:rsidRPr="00B224EC">
              <w:rPr>
                <w:rFonts w:cs="Arial"/>
              </w:rPr>
              <w:t>PDF and MS Word (editable)</w:t>
            </w:r>
          </w:p>
        </w:tc>
        <w:tc>
          <w:tcPr>
            <w:tcW w:w="2666" w:type="dxa"/>
          </w:tcPr>
          <w:p w14:paraId="5BFB632B" w14:textId="77777777" w:rsidR="00F67E9E" w:rsidRPr="00B224EC" w:rsidRDefault="00F67E9E" w:rsidP="007F74AA">
            <w:pPr>
              <w:pStyle w:val="StdBodyText"/>
              <w:spacing w:before="0" w:after="0"/>
              <w:rPr>
                <w:rFonts w:cs="Arial"/>
              </w:rPr>
            </w:pPr>
            <w:r w:rsidRPr="00B224EC">
              <w:rPr>
                <w:rFonts w:cs="Arial"/>
              </w:rPr>
              <w:t>Signature of Variation Date</w:t>
            </w:r>
          </w:p>
        </w:tc>
        <w:tc>
          <w:tcPr>
            <w:tcW w:w="2862" w:type="dxa"/>
          </w:tcPr>
          <w:p w14:paraId="561853C4" w14:textId="77777777" w:rsidR="00F67E9E" w:rsidRPr="00B224EC" w:rsidRDefault="00F67E9E" w:rsidP="007F74AA">
            <w:pPr>
              <w:pStyle w:val="StdBodyText"/>
              <w:spacing w:before="0" w:after="0"/>
              <w:rPr>
                <w:rFonts w:cs="Arial"/>
              </w:rPr>
            </w:pPr>
            <w:r w:rsidRPr="00B224EC">
              <w:rPr>
                <w:rFonts w:cs="Arial"/>
              </w:rPr>
              <w:t>Any variation</w:t>
            </w:r>
          </w:p>
        </w:tc>
        <w:tc>
          <w:tcPr>
            <w:tcW w:w="2381" w:type="dxa"/>
          </w:tcPr>
          <w:p w14:paraId="7E527CA9" w14:textId="77777777" w:rsidR="00F67E9E" w:rsidRPr="005356F1" w:rsidRDefault="00F67E9E" w:rsidP="007F74AA">
            <w:pPr>
              <w:pStyle w:val="StdBodyText"/>
              <w:spacing w:before="0" w:after="0"/>
              <w:rPr>
                <w:rFonts w:cs="Arial"/>
              </w:rPr>
            </w:pPr>
            <w:r w:rsidRPr="005356F1">
              <w:rPr>
                <w:rFonts w:cs="Arial"/>
              </w:rPr>
              <w:t>Authority</w:t>
            </w:r>
          </w:p>
        </w:tc>
      </w:tr>
      <w:tr w:rsidR="00F67E9E" w:rsidRPr="005356F1" w14:paraId="74545A1C" w14:textId="77777777" w:rsidTr="007F74AA">
        <w:trPr>
          <w:trHeight w:val="20"/>
        </w:trPr>
        <w:tc>
          <w:tcPr>
            <w:tcW w:w="2268" w:type="dxa"/>
          </w:tcPr>
          <w:p w14:paraId="41B116BE" w14:textId="3C9E361A" w:rsidR="00F67E9E" w:rsidRPr="005356F1" w:rsidRDefault="00F67E9E" w:rsidP="007F74AA">
            <w:pPr>
              <w:pStyle w:val="StdBodyText"/>
              <w:spacing w:before="0" w:after="0"/>
              <w:rPr>
                <w:rFonts w:cs="Arial"/>
              </w:rPr>
            </w:pPr>
            <w:r w:rsidRPr="00646219">
              <w:rPr>
                <w:rFonts w:cs="Arial"/>
              </w:rPr>
              <w:t xml:space="preserve">Sch </w:t>
            </w:r>
            <w:r w:rsidRPr="00646219">
              <w:rPr>
                <w:rFonts w:cs="Arial"/>
              </w:rPr>
              <w:fldChar w:fldCharType="begin"/>
            </w:r>
            <w:r w:rsidRPr="00646219">
              <w:rPr>
                <w:rFonts w:cs="Arial"/>
              </w:rPr>
              <w:instrText xml:space="preserve"> REF _Ref92200025 \h  \# "#" </w:instrText>
            </w:r>
            <w:r>
              <w:rPr>
                <w:rFonts w:cs="Arial"/>
              </w:rPr>
              <w:instrText xml:space="preserve"> \* MERGEFORMAT </w:instrText>
            </w:r>
            <w:r w:rsidRPr="00646219">
              <w:rPr>
                <w:rFonts w:cs="Arial"/>
              </w:rPr>
            </w:r>
            <w:r w:rsidRPr="00646219">
              <w:rPr>
                <w:rFonts w:cs="Arial"/>
              </w:rPr>
              <w:fldChar w:fldCharType="separate"/>
            </w:r>
            <w:r w:rsidR="00302D39">
              <w:rPr>
                <w:rFonts w:cs="Arial"/>
              </w:rPr>
              <w:t>22</w:t>
            </w:r>
            <w:r w:rsidRPr="00646219">
              <w:rPr>
                <w:rFonts w:cs="Arial"/>
              </w:rPr>
              <w:fldChar w:fldCharType="end"/>
            </w:r>
            <w:r w:rsidRPr="005356F1">
              <w:rPr>
                <w:rFonts w:cs="Arial"/>
              </w:rPr>
              <w:t xml:space="preserve">, </w:t>
            </w:r>
            <w:bookmarkStart w:id="1886" w:name="_9kMKJ5YVtCIBDFGPEyq1QLhZC7ro5J65GJPR959"/>
            <w:r w:rsidRPr="005356F1">
              <w:rPr>
                <w:rFonts w:cs="Arial"/>
              </w:rPr>
              <w:t xml:space="preserve">Para </w:t>
            </w:r>
            <w:r w:rsidRPr="005356F1">
              <w:rPr>
                <w:rFonts w:cs="Arial"/>
              </w:rPr>
              <w:fldChar w:fldCharType="begin"/>
            </w:r>
            <w:r w:rsidRPr="005356F1">
              <w:rPr>
                <w:rFonts w:cs="Arial"/>
              </w:rPr>
              <w:instrText xml:space="preserve"> REF _Ref_ContractCompanion_9kb9Us798 \w \n \h \t \* MERGEFORMAT </w:instrText>
            </w:r>
            <w:r w:rsidRPr="005356F1">
              <w:rPr>
                <w:rFonts w:cs="Arial"/>
              </w:rPr>
            </w:r>
            <w:r w:rsidRPr="005356F1">
              <w:rPr>
                <w:rFonts w:cs="Arial"/>
              </w:rPr>
              <w:fldChar w:fldCharType="separate"/>
            </w:r>
            <w:r w:rsidR="00302D39">
              <w:rPr>
                <w:rFonts w:cs="Arial"/>
              </w:rPr>
              <w:t>4</w:t>
            </w:r>
            <w:r w:rsidRPr="005356F1">
              <w:rPr>
                <w:rFonts w:cs="Arial"/>
              </w:rPr>
              <w:fldChar w:fldCharType="end"/>
            </w:r>
            <w:bookmarkEnd w:id="1886"/>
          </w:p>
        </w:tc>
        <w:tc>
          <w:tcPr>
            <w:tcW w:w="2966" w:type="dxa"/>
          </w:tcPr>
          <w:p w14:paraId="41C26146" w14:textId="77777777" w:rsidR="00F67E9E" w:rsidRPr="00B224EC" w:rsidRDefault="00F67E9E" w:rsidP="007F74AA">
            <w:pPr>
              <w:pStyle w:val="StdBodyText"/>
              <w:spacing w:before="0" w:after="0"/>
              <w:rPr>
                <w:rFonts w:cs="Arial"/>
              </w:rPr>
            </w:pPr>
            <w:r w:rsidRPr="00B224EC">
              <w:rPr>
                <w:rFonts w:cs="Arial"/>
              </w:rPr>
              <w:t>Change Request</w:t>
            </w:r>
          </w:p>
        </w:tc>
        <w:tc>
          <w:tcPr>
            <w:tcW w:w="1996" w:type="dxa"/>
          </w:tcPr>
          <w:p w14:paraId="591A83A2" w14:textId="59679D89" w:rsidR="00F67E9E" w:rsidRPr="00B224EC" w:rsidRDefault="00F67E9E" w:rsidP="007F74AA">
            <w:pPr>
              <w:pStyle w:val="StdBodyText"/>
              <w:spacing w:before="0" w:after="0"/>
              <w:rPr>
                <w:rFonts w:cs="Arial"/>
              </w:rPr>
            </w:pPr>
            <w:r w:rsidRPr="00B224EC">
              <w:rPr>
                <w:rFonts w:cs="Arial"/>
              </w:rPr>
              <w:t xml:space="preserve">Sch </w:t>
            </w:r>
            <w:r w:rsidRPr="00B224EC">
              <w:rPr>
                <w:rFonts w:cs="Arial"/>
              </w:rPr>
              <w:fldChar w:fldCharType="begin"/>
            </w:r>
            <w:r w:rsidRPr="00B224EC">
              <w:rPr>
                <w:rFonts w:cs="Arial"/>
              </w:rPr>
              <w:instrText xml:space="preserve"> REF _Ref92200025 \h  \# "#"  \* MERGEFORMAT </w:instrText>
            </w:r>
            <w:r w:rsidRPr="00B224EC">
              <w:rPr>
                <w:rFonts w:cs="Arial"/>
              </w:rPr>
            </w:r>
            <w:r w:rsidRPr="00B224EC">
              <w:rPr>
                <w:rFonts w:cs="Arial"/>
              </w:rPr>
              <w:fldChar w:fldCharType="separate"/>
            </w:r>
            <w:r w:rsidR="00302D39">
              <w:rPr>
                <w:rFonts w:cs="Arial"/>
              </w:rPr>
              <w:t>22</w:t>
            </w:r>
            <w:r w:rsidRPr="00B224EC">
              <w:rPr>
                <w:rFonts w:cs="Arial"/>
              </w:rPr>
              <w:fldChar w:fldCharType="end"/>
            </w:r>
            <w:r w:rsidRPr="00B224EC">
              <w:rPr>
                <w:rFonts w:cs="Arial"/>
              </w:rPr>
              <w:t xml:space="preserve">, </w:t>
            </w:r>
            <w:r>
              <w:rPr>
                <w:rFonts w:cs="Arial"/>
              </w:rPr>
              <w:fldChar w:fldCharType="begin"/>
            </w:r>
            <w:r>
              <w:rPr>
                <w:rFonts w:cs="Arial"/>
              </w:rPr>
              <w:instrText xml:space="preserve"> REF  ANNEX1_SCHEDULE22 \h \t  \* MERGEFORMAT </w:instrText>
            </w:r>
            <w:r>
              <w:rPr>
                <w:rFonts w:cs="Arial"/>
              </w:rPr>
            </w:r>
            <w:r>
              <w:rPr>
                <w:rFonts w:cs="Arial"/>
              </w:rPr>
              <w:fldChar w:fldCharType="separate"/>
            </w:r>
            <w:r w:rsidR="00302D39" w:rsidRPr="00D00D9A">
              <w:t>1</w:t>
            </w:r>
            <w:r>
              <w:rPr>
                <w:rFonts w:cs="Arial"/>
              </w:rPr>
              <w:fldChar w:fldCharType="end"/>
            </w:r>
          </w:p>
        </w:tc>
        <w:tc>
          <w:tcPr>
            <w:tcW w:w="2666" w:type="dxa"/>
          </w:tcPr>
          <w:p w14:paraId="6938C972" w14:textId="77777777" w:rsidR="00F67E9E" w:rsidRPr="00B224EC" w:rsidRDefault="00F67E9E" w:rsidP="007F74AA">
            <w:pPr>
              <w:pStyle w:val="StdBodyText"/>
              <w:spacing w:before="0" w:after="0"/>
              <w:rPr>
                <w:rFonts w:cs="Arial"/>
              </w:rPr>
            </w:pPr>
            <w:r w:rsidRPr="00B224EC">
              <w:rPr>
                <w:rFonts w:cs="Arial"/>
              </w:rPr>
              <w:t>Within 10 Working Days of Authority issuing the Change Request</w:t>
            </w:r>
          </w:p>
        </w:tc>
        <w:tc>
          <w:tcPr>
            <w:tcW w:w="2862" w:type="dxa"/>
          </w:tcPr>
          <w:p w14:paraId="42951453" w14:textId="77777777" w:rsidR="00F67E9E" w:rsidRPr="00B224EC" w:rsidRDefault="00F67E9E" w:rsidP="007F74AA">
            <w:pPr>
              <w:pStyle w:val="StdBodyText"/>
              <w:spacing w:before="0" w:after="0"/>
              <w:rPr>
                <w:rFonts w:cs="Arial"/>
              </w:rPr>
            </w:pPr>
            <w:r w:rsidRPr="00B224EC">
              <w:rPr>
                <w:rFonts w:cs="Arial"/>
              </w:rPr>
              <w:t>-</w:t>
            </w:r>
          </w:p>
        </w:tc>
        <w:tc>
          <w:tcPr>
            <w:tcW w:w="2381" w:type="dxa"/>
          </w:tcPr>
          <w:p w14:paraId="6C397BEE" w14:textId="77777777" w:rsidR="00F67E9E" w:rsidRPr="005356F1" w:rsidRDefault="00F67E9E" w:rsidP="007F74AA">
            <w:pPr>
              <w:pStyle w:val="StdBodyText"/>
              <w:spacing w:before="0" w:after="0"/>
              <w:rPr>
                <w:rFonts w:cs="Arial"/>
              </w:rPr>
            </w:pPr>
            <w:r w:rsidRPr="005356F1">
              <w:rPr>
                <w:rFonts w:cs="Arial"/>
              </w:rPr>
              <w:t>Authority</w:t>
            </w:r>
          </w:p>
        </w:tc>
      </w:tr>
      <w:tr w:rsidR="00F67E9E" w:rsidRPr="005356F1" w14:paraId="01600EF4" w14:textId="77777777" w:rsidTr="007F74AA">
        <w:trPr>
          <w:trHeight w:val="20"/>
        </w:trPr>
        <w:tc>
          <w:tcPr>
            <w:tcW w:w="2268" w:type="dxa"/>
          </w:tcPr>
          <w:p w14:paraId="6311DFBA" w14:textId="63D8B38F" w:rsidR="00F67E9E" w:rsidRPr="00646219" w:rsidRDefault="00F67E9E" w:rsidP="007F74AA">
            <w:pPr>
              <w:pStyle w:val="StdBodyText"/>
              <w:spacing w:before="0" w:after="0"/>
              <w:rPr>
                <w:rFonts w:cs="Arial"/>
              </w:rPr>
            </w:pPr>
            <w:r w:rsidRPr="00366A58">
              <w:t xml:space="preserve">Sch </w:t>
            </w:r>
            <w:r w:rsidRPr="00B224EC">
              <w:rPr>
                <w:rFonts w:cs="Arial"/>
              </w:rPr>
              <w:fldChar w:fldCharType="begin"/>
            </w:r>
            <w:r w:rsidRPr="00B224EC">
              <w:rPr>
                <w:rFonts w:cs="Arial"/>
              </w:rPr>
              <w:instrText xml:space="preserve"> REF _Ref92200025 \h  \# "#"  \* MERGEFORMAT </w:instrText>
            </w:r>
            <w:r w:rsidRPr="00B224EC">
              <w:rPr>
                <w:rFonts w:cs="Arial"/>
              </w:rPr>
            </w:r>
            <w:r w:rsidRPr="00B224EC">
              <w:rPr>
                <w:rFonts w:cs="Arial"/>
              </w:rPr>
              <w:fldChar w:fldCharType="separate"/>
            </w:r>
            <w:r w:rsidR="00302D39">
              <w:rPr>
                <w:rFonts w:cs="Arial"/>
              </w:rPr>
              <w:t>22</w:t>
            </w:r>
            <w:r w:rsidRPr="00B224EC">
              <w:rPr>
                <w:rFonts w:cs="Arial"/>
              </w:rPr>
              <w:fldChar w:fldCharType="end"/>
            </w:r>
            <w:r w:rsidRPr="00366A58">
              <w:t xml:space="preserve">, Para </w:t>
            </w:r>
            <w:r>
              <w:fldChar w:fldCharType="begin"/>
            </w:r>
            <w:r>
              <w:instrText xml:space="preserve"> REF _Ref141297267 \w \h </w:instrText>
            </w:r>
            <w:r>
              <w:fldChar w:fldCharType="separate"/>
            </w:r>
            <w:r w:rsidR="00302D39">
              <w:t>6.2</w:t>
            </w:r>
            <w:r>
              <w:fldChar w:fldCharType="end"/>
            </w:r>
          </w:p>
        </w:tc>
        <w:tc>
          <w:tcPr>
            <w:tcW w:w="2966" w:type="dxa"/>
          </w:tcPr>
          <w:p w14:paraId="3FC0D0A4" w14:textId="77777777" w:rsidR="00F67E9E" w:rsidRPr="00B224EC" w:rsidRDefault="00F67E9E" w:rsidP="007F74AA">
            <w:pPr>
              <w:pStyle w:val="StdBodyText"/>
              <w:spacing w:before="0" w:after="0"/>
              <w:rPr>
                <w:rFonts w:cs="Arial"/>
              </w:rPr>
            </w:pPr>
            <w:r w:rsidRPr="00366A58">
              <w:t>Change Authorisation Note (unless Authority directs otherwise)</w:t>
            </w:r>
          </w:p>
        </w:tc>
        <w:tc>
          <w:tcPr>
            <w:tcW w:w="1996" w:type="dxa"/>
          </w:tcPr>
          <w:p w14:paraId="6310F6E6" w14:textId="6C05352E" w:rsidR="00F67E9E" w:rsidRPr="00B224EC" w:rsidRDefault="00F67E9E" w:rsidP="007F74AA">
            <w:pPr>
              <w:pStyle w:val="StdBodyText"/>
              <w:spacing w:before="0" w:after="0"/>
              <w:rPr>
                <w:rFonts w:cs="Arial"/>
              </w:rPr>
            </w:pPr>
            <w:r w:rsidRPr="00366A58">
              <w:t xml:space="preserve">Sch </w:t>
            </w:r>
            <w:r w:rsidRPr="00B224EC">
              <w:rPr>
                <w:rFonts w:cs="Arial"/>
              </w:rPr>
              <w:fldChar w:fldCharType="begin"/>
            </w:r>
            <w:r w:rsidRPr="00B224EC">
              <w:rPr>
                <w:rFonts w:cs="Arial"/>
              </w:rPr>
              <w:instrText xml:space="preserve"> REF _Ref92200025 \h  \# "#"  \* MERGEFORMAT </w:instrText>
            </w:r>
            <w:r w:rsidRPr="00B224EC">
              <w:rPr>
                <w:rFonts w:cs="Arial"/>
              </w:rPr>
            </w:r>
            <w:r w:rsidRPr="00B224EC">
              <w:rPr>
                <w:rFonts w:cs="Arial"/>
              </w:rPr>
              <w:fldChar w:fldCharType="separate"/>
            </w:r>
            <w:r w:rsidR="00302D39">
              <w:rPr>
                <w:rFonts w:cs="Arial"/>
              </w:rPr>
              <w:t>22</w:t>
            </w:r>
            <w:r w:rsidRPr="00B224EC">
              <w:rPr>
                <w:rFonts w:cs="Arial"/>
              </w:rPr>
              <w:fldChar w:fldCharType="end"/>
            </w:r>
            <w:r w:rsidRPr="00366A58">
              <w:t xml:space="preserve">, </w:t>
            </w:r>
            <w:r>
              <w:t xml:space="preserve">Annex </w:t>
            </w:r>
            <w:r>
              <w:fldChar w:fldCharType="begin"/>
            </w:r>
            <w:r>
              <w:instrText xml:space="preserve"> REF ANNEX2_SCHEDULE22 \h </w:instrText>
            </w:r>
            <w:r>
              <w:fldChar w:fldCharType="separate"/>
            </w:r>
            <w:r w:rsidR="00302D39" w:rsidRPr="00D00D9A">
              <w:t>2</w:t>
            </w:r>
            <w:r>
              <w:fldChar w:fldCharType="end"/>
            </w:r>
          </w:p>
        </w:tc>
        <w:tc>
          <w:tcPr>
            <w:tcW w:w="2666" w:type="dxa"/>
          </w:tcPr>
          <w:p w14:paraId="1CDCAECC" w14:textId="77777777" w:rsidR="00F67E9E" w:rsidRPr="00B224EC" w:rsidRDefault="00F67E9E" w:rsidP="007F74AA">
            <w:pPr>
              <w:pStyle w:val="StdBodyText"/>
              <w:spacing w:before="0" w:after="0"/>
              <w:rPr>
                <w:rFonts w:cs="Arial"/>
              </w:rPr>
            </w:pPr>
            <w:r w:rsidRPr="00366A58">
              <w:t>When Authority approves proposed Contract Change pursuant to Paragraph 6.1 and it has not been rejected by the Supplier in accordance with Paragraph 7</w:t>
            </w:r>
          </w:p>
        </w:tc>
        <w:tc>
          <w:tcPr>
            <w:tcW w:w="2862" w:type="dxa"/>
          </w:tcPr>
          <w:p w14:paraId="592A8866" w14:textId="77777777" w:rsidR="00F67E9E" w:rsidRPr="00B224EC" w:rsidRDefault="00F67E9E" w:rsidP="007F74AA">
            <w:pPr>
              <w:pStyle w:val="StdBodyText"/>
              <w:spacing w:before="0" w:after="0"/>
              <w:rPr>
                <w:rFonts w:cs="Arial"/>
              </w:rPr>
            </w:pPr>
            <w:r w:rsidRPr="00366A58">
              <w:t>-</w:t>
            </w:r>
          </w:p>
        </w:tc>
        <w:tc>
          <w:tcPr>
            <w:tcW w:w="2381" w:type="dxa"/>
          </w:tcPr>
          <w:p w14:paraId="4FBF850C" w14:textId="77777777" w:rsidR="00F67E9E" w:rsidRPr="005356F1" w:rsidRDefault="00F67E9E" w:rsidP="007F74AA">
            <w:pPr>
              <w:pStyle w:val="StdBodyText"/>
              <w:spacing w:before="0" w:after="0"/>
              <w:rPr>
                <w:rFonts w:cs="Arial"/>
              </w:rPr>
            </w:pPr>
            <w:r w:rsidRPr="00366A58">
              <w:t>Authority</w:t>
            </w:r>
          </w:p>
        </w:tc>
      </w:tr>
      <w:tr w:rsidR="00F67E9E" w:rsidRPr="005356F1" w14:paraId="412209AB" w14:textId="77777777" w:rsidTr="007F74AA">
        <w:trPr>
          <w:trHeight w:val="20"/>
        </w:trPr>
        <w:tc>
          <w:tcPr>
            <w:tcW w:w="2268" w:type="dxa"/>
          </w:tcPr>
          <w:p w14:paraId="5D2A6834" w14:textId="5BA111FE" w:rsidR="00F67E9E" w:rsidRPr="00646219" w:rsidRDefault="00F67E9E" w:rsidP="007F74AA">
            <w:pPr>
              <w:pStyle w:val="StdBodyText"/>
              <w:spacing w:before="0" w:after="0"/>
              <w:rPr>
                <w:rFonts w:cs="Arial"/>
              </w:rPr>
            </w:pPr>
            <w:bookmarkStart w:id="1887" w:name="_9kR3WTr2BC9ADfJfCM"/>
            <w:r w:rsidRPr="00646219">
              <w:rPr>
                <w:rFonts w:cs="Arial"/>
              </w:rPr>
              <w:t>Sch</w:t>
            </w:r>
            <w:bookmarkEnd w:id="1887"/>
            <w:r w:rsidRPr="00646219">
              <w:rPr>
                <w:rFonts w:cs="Arial"/>
              </w:rPr>
              <w:t xml:space="preserve"> </w:t>
            </w:r>
            <w:r w:rsidRPr="00646219">
              <w:rPr>
                <w:rFonts w:cs="Arial"/>
              </w:rPr>
              <w:fldChar w:fldCharType="begin"/>
            </w:r>
            <w:r w:rsidRPr="00646219">
              <w:rPr>
                <w:rFonts w:cs="Arial"/>
              </w:rPr>
              <w:instrText xml:space="preserve"> REF _Ref92200032 \h  \# "#" </w:instrText>
            </w:r>
            <w:r>
              <w:rPr>
                <w:rFonts w:cs="Arial"/>
              </w:rPr>
              <w:instrText xml:space="preserve"> \* MERGEFORMAT </w:instrText>
            </w:r>
            <w:r w:rsidRPr="00646219">
              <w:rPr>
                <w:rFonts w:cs="Arial"/>
              </w:rPr>
            </w:r>
            <w:r w:rsidRPr="00646219">
              <w:rPr>
                <w:rFonts w:cs="Arial"/>
              </w:rPr>
              <w:fldChar w:fldCharType="separate"/>
            </w:r>
            <w:r w:rsidR="00302D39">
              <w:rPr>
                <w:rFonts w:cs="Arial"/>
              </w:rPr>
              <w:t>23</w:t>
            </w:r>
            <w:r w:rsidRPr="00646219">
              <w:rPr>
                <w:rFonts w:cs="Arial"/>
              </w:rPr>
              <w:fldChar w:fldCharType="end"/>
            </w:r>
            <w:r w:rsidRPr="00646219">
              <w:rPr>
                <w:rFonts w:cs="Arial"/>
              </w:rPr>
              <w:t xml:space="preserve">, </w:t>
            </w:r>
            <w:bookmarkStart w:id="1888" w:name="_9kR3WTr2BCBIIbEno0F"/>
            <w:r w:rsidRPr="00646219">
              <w:rPr>
                <w:rFonts w:cs="Arial"/>
              </w:rPr>
              <w:t xml:space="preserve">Para </w:t>
            </w:r>
            <w:r w:rsidRPr="00646219">
              <w:rPr>
                <w:rFonts w:cs="Arial"/>
              </w:rPr>
              <w:fldChar w:fldCharType="begin"/>
            </w:r>
            <w:r w:rsidRPr="00646219">
              <w:rPr>
                <w:rFonts w:cs="Arial"/>
              </w:rPr>
              <w:instrText xml:space="preserve"> REF _Ref_ContractCompanion_9kb9Us7EA \n \h \t \* MERGEFORMAT </w:instrText>
            </w:r>
            <w:r w:rsidRPr="00646219">
              <w:rPr>
                <w:rFonts w:cs="Arial"/>
              </w:rPr>
            </w:r>
            <w:r w:rsidRPr="00646219">
              <w:rPr>
                <w:rFonts w:cs="Arial"/>
              </w:rPr>
              <w:fldChar w:fldCharType="separate"/>
            </w:r>
            <w:r w:rsidR="00302D39">
              <w:rPr>
                <w:rFonts w:cs="Arial"/>
              </w:rPr>
              <w:t>2.1</w:t>
            </w:r>
            <w:r w:rsidRPr="00646219">
              <w:rPr>
                <w:rFonts w:cs="Arial"/>
              </w:rPr>
              <w:fldChar w:fldCharType="end"/>
            </w:r>
            <w:bookmarkEnd w:id="1888"/>
          </w:p>
        </w:tc>
        <w:tc>
          <w:tcPr>
            <w:tcW w:w="2966" w:type="dxa"/>
          </w:tcPr>
          <w:p w14:paraId="3EEC6A42" w14:textId="77777777" w:rsidR="00F67E9E" w:rsidRPr="005356F1" w:rsidRDefault="00F67E9E" w:rsidP="007F74AA">
            <w:pPr>
              <w:pStyle w:val="StdBodyText"/>
              <w:spacing w:before="0" w:after="0"/>
              <w:rPr>
                <w:rFonts w:cs="Arial"/>
              </w:rPr>
            </w:pPr>
            <w:r w:rsidRPr="005356F1">
              <w:rPr>
                <w:rFonts w:cs="Arial"/>
              </w:rPr>
              <w:t>Dispute Notice</w:t>
            </w:r>
          </w:p>
        </w:tc>
        <w:tc>
          <w:tcPr>
            <w:tcW w:w="1996" w:type="dxa"/>
          </w:tcPr>
          <w:p w14:paraId="0EB54357" w14:textId="5EE594EB" w:rsidR="00F67E9E" w:rsidRPr="005356F1" w:rsidRDefault="00F67E9E" w:rsidP="007F74AA">
            <w:pPr>
              <w:pStyle w:val="StdBodyText"/>
              <w:spacing w:before="0" w:after="0"/>
              <w:rPr>
                <w:rFonts w:cs="Arial"/>
              </w:rPr>
            </w:pPr>
            <w:bookmarkStart w:id="1889" w:name="_9kR3WTr2BCBJEWEno0G"/>
            <w:r w:rsidRPr="00646219">
              <w:rPr>
                <w:rFonts w:cs="Arial"/>
              </w:rPr>
              <w:t xml:space="preserve">Sch </w:t>
            </w:r>
            <w:r w:rsidRPr="00646219">
              <w:rPr>
                <w:rFonts w:cs="Arial"/>
              </w:rPr>
              <w:fldChar w:fldCharType="begin"/>
            </w:r>
            <w:r w:rsidRPr="00646219">
              <w:rPr>
                <w:rFonts w:cs="Arial"/>
              </w:rPr>
              <w:instrText xml:space="preserve"> REF _Ref92200032 \h  \# "#" </w:instrText>
            </w:r>
            <w:r>
              <w:rPr>
                <w:rFonts w:cs="Arial"/>
              </w:rPr>
              <w:instrText xml:space="preserve"> \* MERGEFORMAT </w:instrText>
            </w:r>
            <w:r w:rsidRPr="00646219">
              <w:rPr>
                <w:rFonts w:cs="Arial"/>
              </w:rPr>
            </w:r>
            <w:r w:rsidRPr="00646219">
              <w:rPr>
                <w:rFonts w:cs="Arial"/>
              </w:rPr>
              <w:fldChar w:fldCharType="separate"/>
            </w:r>
            <w:r w:rsidR="00302D39">
              <w:rPr>
                <w:rFonts w:cs="Arial"/>
              </w:rPr>
              <w:t>23</w:t>
            </w:r>
            <w:r w:rsidRPr="00646219">
              <w:rPr>
                <w:rFonts w:cs="Arial"/>
              </w:rPr>
              <w:fldChar w:fldCharType="end"/>
            </w:r>
            <w:r w:rsidRPr="005356F1">
              <w:rPr>
                <w:rFonts w:cs="Arial"/>
              </w:rPr>
              <w:t xml:space="preserve"> Para </w:t>
            </w:r>
            <w:r w:rsidRPr="005356F1">
              <w:rPr>
                <w:rFonts w:cs="Arial"/>
              </w:rPr>
              <w:fldChar w:fldCharType="begin"/>
            </w:r>
            <w:r w:rsidRPr="005356F1">
              <w:rPr>
                <w:rFonts w:cs="Arial"/>
              </w:rPr>
              <w:instrText xml:space="preserve"> REF _Ref_ContractCompanion_9kb9Us7EF \n \h \t \* MERGEFORMAT </w:instrText>
            </w:r>
            <w:r w:rsidRPr="005356F1">
              <w:rPr>
                <w:rFonts w:cs="Arial"/>
              </w:rPr>
            </w:r>
            <w:r w:rsidRPr="005356F1">
              <w:rPr>
                <w:rFonts w:cs="Arial"/>
              </w:rPr>
              <w:fldChar w:fldCharType="separate"/>
            </w:r>
            <w:r w:rsidR="00302D39">
              <w:rPr>
                <w:rFonts w:cs="Arial"/>
              </w:rPr>
              <w:t>2.2</w:t>
            </w:r>
            <w:r w:rsidRPr="005356F1">
              <w:rPr>
                <w:rFonts w:cs="Arial"/>
              </w:rPr>
              <w:fldChar w:fldCharType="end"/>
            </w:r>
            <w:bookmarkEnd w:id="1889"/>
            <w:r>
              <w:rPr>
                <w:rFonts w:cs="Arial"/>
              </w:rPr>
              <w:t xml:space="preserve"> </w:t>
            </w:r>
          </w:p>
        </w:tc>
        <w:tc>
          <w:tcPr>
            <w:tcW w:w="2666" w:type="dxa"/>
          </w:tcPr>
          <w:p w14:paraId="5AE52085" w14:textId="77777777" w:rsidR="00F67E9E" w:rsidRPr="005356F1" w:rsidRDefault="00F67E9E" w:rsidP="007F74AA">
            <w:pPr>
              <w:pStyle w:val="StdBodyText"/>
              <w:spacing w:before="0" w:after="0"/>
              <w:rPr>
                <w:rFonts w:cs="Arial"/>
              </w:rPr>
            </w:pPr>
            <w:r w:rsidRPr="005356F1">
              <w:rPr>
                <w:rFonts w:cs="Arial"/>
              </w:rPr>
              <w:t>No longer than 20 Working Days from an unresolved dispute arising</w:t>
            </w:r>
          </w:p>
        </w:tc>
        <w:tc>
          <w:tcPr>
            <w:tcW w:w="2862" w:type="dxa"/>
          </w:tcPr>
          <w:p w14:paraId="231D65D6" w14:textId="77777777" w:rsidR="00F67E9E" w:rsidRPr="005356F1" w:rsidRDefault="00F67E9E" w:rsidP="007F74AA">
            <w:pPr>
              <w:pStyle w:val="StdBodyText"/>
              <w:spacing w:before="0" w:after="0"/>
              <w:rPr>
                <w:rFonts w:cs="Arial"/>
              </w:rPr>
            </w:pPr>
            <w:r w:rsidRPr="005356F1">
              <w:rPr>
                <w:rFonts w:cs="Arial"/>
              </w:rPr>
              <w:t>Any variation</w:t>
            </w:r>
          </w:p>
        </w:tc>
        <w:tc>
          <w:tcPr>
            <w:tcW w:w="2381" w:type="dxa"/>
          </w:tcPr>
          <w:p w14:paraId="39D87C37" w14:textId="77777777" w:rsidR="00F67E9E" w:rsidRPr="005356F1" w:rsidRDefault="00F67E9E" w:rsidP="007F74AA">
            <w:pPr>
              <w:pStyle w:val="StdBodyText"/>
              <w:spacing w:before="0" w:after="0"/>
              <w:rPr>
                <w:rFonts w:cs="Arial"/>
              </w:rPr>
            </w:pPr>
            <w:r w:rsidRPr="005356F1">
              <w:rPr>
                <w:rFonts w:cs="Arial"/>
              </w:rPr>
              <w:t>Authority</w:t>
            </w:r>
          </w:p>
        </w:tc>
      </w:tr>
      <w:tr w:rsidR="00F67E9E" w:rsidRPr="005356F1" w14:paraId="716C2D77" w14:textId="77777777" w:rsidTr="007F74AA">
        <w:trPr>
          <w:trHeight w:val="20"/>
        </w:trPr>
        <w:tc>
          <w:tcPr>
            <w:tcW w:w="2268" w:type="dxa"/>
          </w:tcPr>
          <w:p w14:paraId="51D9CE18" w14:textId="48DC7CDF" w:rsidR="00F67E9E" w:rsidRPr="005356F1" w:rsidRDefault="00F67E9E" w:rsidP="007F74AA">
            <w:pPr>
              <w:pStyle w:val="StdBodyText"/>
              <w:spacing w:before="0" w:after="0"/>
              <w:rPr>
                <w:rFonts w:cs="Arial"/>
              </w:rPr>
            </w:pPr>
            <w:r w:rsidRPr="00646219">
              <w:rPr>
                <w:rFonts w:cs="Arial"/>
              </w:rPr>
              <w:t xml:space="preserve">Sch </w:t>
            </w:r>
            <w:r w:rsidRPr="00646219">
              <w:rPr>
                <w:rFonts w:cs="Arial"/>
              </w:rPr>
              <w:fldChar w:fldCharType="begin"/>
            </w:r>
            <w:r w:rsidRPr="00646219">
              <w:rPr>
                <w:rFonts w:cs="Arial"/>
              </w:rPr>
              <w:instrText xml:space="preserve"> REF _Ref92200032 \h  \# "#" </w:instrText>
            </w:r>
            <w:r>
              <w:rPr>
                <w:rFonts w:cs="Arial"/>
              </w:rPr>
              <w:instrText xml:space="preserve"> \* MERGEFORMAT </w:instrText>
            </w:r>
            <w:r w:rsidRPr="00646219">
              <w:rPr>
                <w:rFonts w:cs="Arial"/>
              </w:rPr>
            </w:r>
            <w:r w:rsidRPr="00646219">
              <w:rPr>
                <w:rFonts w:cs="Arial"/>
              </w:rPr>
              <w:fldChar w:fldCharType="separate"/>
            </w:r>
            <w:r w:rsidR="00302D39">
              <w:rPr>
                <w:rFonts w:cs="Arial"/>
              </w:rPr>
              <w:t>23</w:t>
            </w:r>
            <w:r w:rsidRPr="00646219">
              <w:rPr>
                <w:rFonts w:cs="Arial"/>
              </w:rPr>
              <w:fldChar w:fldCharType="end"/>
            </w:r>
            <w:r w:rsidRPr="005356F1">
              <w:rPr>
                <w:rFonts w:cs="Arial"/>
              </w:rPr>
              <w:t xml:space="preserve">, </w:t>
            </w:r>
            <w:bookmarkStart w:id="1890" w:name="_9kR3WTr2BCBJHZEno0I"/>
            <w:r w:rsidRPr="005356F1">
              <w:rPr>
                <w:rFonts w:cs="Arial"/>
              </w:rPr>
              <w:t xml:space="preserve">Para </w:t>
            </w:r>
            <w:r w:rsidRPr="005356F1">
              <w:rPr>
                <w:rFonts w:cs="Arial"/>
              </w:rPr>
              <w:fldChar w:fldCharType="begin"/>
            </w:r>
            <w:r w:rsidRPr="005356F1">
              <w:rPr>
                <w:rFonts w:cs="Arial"/>
              </w:rPr>
              <w:instrText xml:space="preserve"> REF _Ref_ContractCompanion_9kb9Us7FB \n \h \t \* MERGEFORMAT </w:instrText>
            </w:r>
            <w:r w:rsidRPr="005356F1">
              <w:rPr>
                <w:rFonts w:cs="Arial"/>
              </w:rPr>
            </w:r>
            <w:r w:rsidRPr="005356F1">
              <w:rPr>
                <w:rFonts w:cs="Arial"/>
              </w:rPr>
              <w:fldChar w:fldCharType="separate"/>
            </w:r>
            <w:r w:rsidR="00302D39">
              <w:rPr>
                <w:rFonts w:cs="Arial"/>
              </w:rPr>
              <w:t>2.4</w:t>
            </w:r>
            <w:r w:rsidRPr="005356F1">
              <w:rPr>
                <w:rFonts w:cs="Arial"/>
              </w:rPr>
              <w:fldChar w:fldCharType="end"/>
            </w:r>
            <w:bookmarkEnd w:id="1890"/>
          </w:p>
        </w:tc>
        <w:tc>
          <w:tcPr>
            <w:tcW w:w="2966" w:type="dxa"/>
          </w:tcPr>
          <w:p w14:paraId="2BC45AEB" w14:textId="77777777" w:rsidR="00F67E9E" w:rsidRPr="005356F1" w:rsidRDefault="00F67E9E" w:rsidP="007F74AA">
            <w:pPr>
              <w:pStyle w:val="StdBodyText"/>
              <w:spacing w:before="0" w:after="0"/>
              <w:rPr>
                <w:rFonts w:cs="Arial"/>
              </w:rPr>
            </w:pPr>
            <w:r w:rsidRPr="005356F1">
              <w:rPr>
                <w:rFonts w:cs="Arial"/>
              </w:rPr>
              <w:t>Mediation Notice</w:t>
            </w:r>
          </w:p>
        </w:tc>
        <w:tc>
          <w:tcPr>
            <w:tcW w:w="1996" w:type="dxa"/>
          </w:tcPr>
          <w:p w14:paraId="26E0A7F0" w14:textId="77777777" w:rsidR="00F67E9E" w:rsidRPr="005356F1" w:rsidRDefault="00F67E9E" w:rsidP="007F74AA">
            <w:pPr>
              <w:pStyle w:val="StdBodyText"/>
              <w:spacing w:before="0" w:after="0"/>
              <w:rPr>
                <w:rFonts w:cs="Arial"/>
              </w:rPr>
            </w:pPr>
            <w:r w:rsidRPr="005356F1">
              <w:rPr>
                <w:rFonts w:cs="Arial"/>
              </w:rPr>
              <w:t xml:space="preserve">As appropriate </w:t>
            </w:r>
          </w:p>
        </w:tc>
        <w:tc>
          <w:tcPr>
            <w:tcW w:w="2666" w:type="dxa"/>
          </w:tcPr>
          <w:p w14:paraId="13976F5E" w14:textId="77777777" w:rsidR="00F67E9E" w:rsidRPr="005356F1" w:rsidRDefault="00F67E9E" w:rsidP="007F74AA">
            <w:pPr>
              <w:pStyle w:val="StdBodyText"/>
              <w:spacing w:before="0" w:after="0"/>
              <w:rPr>
                <w:rFonts w:cs="Arial"/>
              </w:rPr>
            </w:pPr>
            <w:r w:rsidRPr="005356F1">
              <w:rPr>
                <w:rFonts w:cs="Arial"/>
              </w:rPr>
              <w:t>When first served</w:t>
            </w:r>
          </w:p>
        </w:tc>
        <w:tc>
          <w:tcPr>
            <w:tcW w:w="2862" w:type="dxa"/>
          </w:tcPr>
          <w:p w14:paraId="33982012" w14:textId="77777777" w:rsidR="00F67E9E" w:rsidRPr="005356F1" w:rsidRDefault="00F67E9E" w:rsidP="007F74AA">
            <w:pPr>
              <w:pStyle w:val="StdBodyText"/>
              <w:spacing w:before="0" w:after="0"/>
              <w:rPr>
                <w:rFonts w:cs="Arial"/>
              </w:rPr>
            </w:pPr>
            <w:r w:rsidRPr="005356F1">
              <w:rPr>
                <w:rFonts w:cs="Arial"/>
              </w:rPr>
              <w:t>Any variation</w:t>
            </w:r>
          </w:p>
        </w:tc>
        <w:tc>
          <w:tcPr>
            <w:tcW w:w="2381" w:type="dxa"/>
          </w:tcPr>
          <w:p w14:paraId="6E1331D8" w14:textId="77777777" w:rsidR="00F67E9E" w:rsidRPr="005356F1" w:rsidRDefault="00F67E9E" w:rsidP="007F74AA">
            <w:pPr>
              <w:pStyle w:val="StdBodyText"/>
              <w:spacing w:before="0" w:after="0"/>
              <w:rPr>
                <w:rFonts w:cs="Arial"/>
              </w:rPr>
            </w:pPr>
            <w:r w:rsidRPr="005356F1">
              <w:rPr>
                <w:rFonts w:cs="Arial"/>
              </w:rPr>
              <w:t>Authority</w:t>
            </w:r>
          </w:p>
        </w:tc>
      </w:tr>
      <w:tr w:rsidR="00F67E9E" w:rsidRPr="005356F1" w14:paraId="383D0FCE" w14:textId="77777777" w:rsidTr="007F74AA">
        <w:trPr>
          <w:trHeight w:val="20"/>
        </w:trPr>
        <w:tc>
          <w:tcPr>
            <w:tcW w:w="2268" w:type="dxa"/>
          </w:tcPr>
          <w:p w14:paraId="5E193420" w14:textId="16E2278E" w:rsidR="00F67E9E" w:rsidRPr="005356F1" w:rsidRDefault="00F67E9E" w:rsidP="007F74AA">
            <w:pPr>
              <w:pStyle w:val="StdBodyText"/>
              <w:spacing w:before="0" w:after="0"/>
              <w:rPr>
                <w:rFonts w:cs="Arial"/>
              </w:rPr>
            </w:pPr>
            <w:r w:rsidRPr="00646219">
              <w:rPr>
                <w:rFonts w:cs="Arial"/>
              </w:rPr>
              <w:t xml:space="preserve">Sch </w:t>
            </w:r>
            <w:r w:rsidRPr="00646219">
              <w:rPr>
                <w:rFonts w:cs="Arial"/>
              </w:rPr>
              <w:fldChar w:fldCharType="begin"/>
            </w:r>
            <w:r w:rsidRPr="00646219">
              <w:rPr>
                <w:rFonts w:cs="Arial"/>
              </w:rPr>
              <w:instrText xml:space="preserve"> REF _Ref92200040 \h  \# "#" </w:instrText>
            </w:r>
            <w:r>
              <w:rPr>
                <w:rFonts w:cs="Arial"/>
              </w:rPr>
              <w:instrText xml:space="preserve"> \* MERGEFORMAT </w:instrText>
            </w:r>
            <w:r w:rsidRPr="00646219">
              <w:rPr>
                <w:rFonts w:cs="Arial"/>
              </w:rPr>
            </w:r>
            <w:r w:rsidRPr="00646219">
              <w:rPr>
                <w:rFonts w:cs="Arial"/>
              </w:rPr>
              <w:fldChar w:fldCharType="separate"/>
            </w:r>
            <w:r w:rsidR="00302D39">
              <w:rPr>
                <w:rFonts w:cs="Arial"/>
              </w:rPr>
              <w:t>24</w:t>
            </w:r>
            <w:r w:rsidRPr="00646219">
              <w:rPr>
                <w:rFonts w:cs="Arial"/>
              </w:rPr>
              <w:fldChar w:fldCharType="end"/>
            </w:r>
            <w:r w:rsidRPr="005356F1">
              <w:rPr>
                <w:rFonts w:cs="Arial"/>
              </w:rPr>
              <w:t xml:space="preserve">, </w:t>
            </w:r>
            <w:bookmarkStart w:id="1891" w:name="_9kMHG5YVtCIBDLOREyq1QIkYu6ZI65t235LHIT3"/>
            <w:r w:rsidRPr="005356F1">
              <w:rPr>
                <w:rFonts w:cs="Arial"/>
              </w:rPr>
              <w:t xml:space="preserve">Para </w:t>
            </w:r>
            <w:r w:rsidRPr="005356F1">
              <w:rPr>
                <w:rFonts w:cs="Arial"/>
              </w:rPr>
              <w:fldChar w:fldCharType="begin"/>
            </w:r>
            <w:r w:rsidRPr="005356F1">
              <w:rPr>
                <w:rFonts w:cs="Arial"/>
              </w:rPr>
              <w:instrText xml:space="preserve"> REF _Ref_ContractCompanion_9kb9Us7FE \w \n \h \t \* MERGEFORMAT </w:instrText>
            </w:r>
            <w:r w:rsidRPr="005356F1">
              <w:rPr>
                <w:rFonts w:cs="Arial"/>
              </w:rPr>
            </w:r>
            <w:r w:rsidRPr="005356F1">
              <w:rPr>
                <w:rFonts w:cs="Arial"/>
              </w:rPr>
              <w:fldChar w:fldCharType="separate"/>
            </w:r>
            <w:r w:rsidR="00302D39">
              <w:rPr>
                <w:rFonts w:cs="Arial"/>
              </w:rPr>
              <w:t>1</w:t>
            </w:r>
            <w:r w:rsidRPr="005356F1">
              <w:rPr>
                <w:rFonts w:cs="Arial"/>
              </w:rPr>
              <w:fldChar w:fldCharType="end"/>
            </w:r>
            <w:bookmarkEnd w:id="1891"/>
            <w:r w:rsidRPr="005356F1">
              <w:rPr>
                <w:rFonts w:cs="Arial"/>
              </w:rPr>
              <w:t xml:space="preserve"> </w:t>
            </w:r>
          </w:p>
        </w:tc>
        <w:tc>
          <w:tcPr>
            <w:tcW w:w="2966" w:type="dxa"/>
          </w:tcPr>
          <w:p w14:paraId="07F1A03F" w14:textId="77777777" w:rsidR="00F67E9E" w:rsidRPr="00B224EC" w:rsidRDefault="00F67E9E" w:rsidP="007F74AA">
            <w:pPr>
              <w:pStyle w:val="StdBodyText"/>
              <w:spacing w:before="0" w:after="0"/>
              <w:rPr>
                <w:rFonts w:cs="Arial"/>
              </w:rPr>
            </w:pPr>
            <w:r w:rsidRPr="00B224EC">
              <w:rPr>
                <w:rFonts w:cs="Arial"/>
              </w:rPr>
              <w:t xml:space="preserve">Reports and Records Provisions </w:t>
            </w:r>
          </w:p>
        </w:tc>
        <w:tc>
          <w:tcPr>
            <w:tcW w:w="1996" w:type="dxa"/>
          </w:tcPr>
          <w:p w14:paraId="5B9D4496" w14:textId="4DF74026" w:rsidR="00F67E9E" w:rsidRPr="00B224EC" w:rsidRDefault="00F67E9E" w:rsidP="007F74AA">
            <w:pPr>
              <w:pStyle w:val="StdBodyText"/>
              <w:spacing w:before="0" w:after="0"/>
              <w:rPr>
                <w:rFonts w:cs="Arial"/>
              </w:rPr>
            </w:pPr>
            <w:r w:rsidRPr="00B224EC">
              <w:rPr>
                <w:rFonts w:cs="Arial"/>
              </w:rPr>
              <w:t xml:space="preserve">Sch </w:t>
            </w:r>
            <w:r w:rsidRPr="00B224EC">
              <w:rPr>
                <w:rFonts w:cs="Arial"/>
              </w:rPr>
              <w:fldChar w:fldCharType="begin"/>
            </w:r>
            <w:r w:rsidRPr="00B224EC">
              <w:rPr>
                <w:rFonts w:cs="Arial"/>
              </w:rPr>
              <w:instrText xml:space="preserve"> REF _Ref92200040 \h  \# "#"  \* MERGEFORMAT </w:instrText>
            </w:r>
            <w:r w:rsidRPr="00B224EC">
              <w:rPr>
                <w:rFonts w:cs="Arial"/>
              </w:rPr>
            </w:r>
            <w:r w:rsidRPr="00B224EC">
              <w:rPr>
                <w:rFonts w:cs="Arial"/>
              </w:rPr>
              <w:fldChar w:fldCharType="separate"/>
            </w:r>
            <w:r w:rsidR="00302D39">
              <w:rPr>
                <w:rFonts w:cs="Arial"/>
              </w:rPr>
              <w:t>24</w:t>
            </w:r>
            <w:r w:rsidRPr="00B224EC">
              <w:rPr>
                <w:rFonts w:cs="Arial"/>
              </w:rPr>
              <w:fldChar w:fldCharType="end"/>
            </w:r>
            <w:r w:rsidRPr="00B224EC">
              <w:rPr>
                <w:rFonts w:cs="Arial"/>
              </w:rPr>
              <w:t xml:space="preserve">, Annex </w:t>
            </w:r>
            <w:r w:rsidRPr="00B224EC">
              <w:rPr>
                <w:rFonts w:cs="Arial"/>
              </w:rPr>
              <w:fldChar w:fldCharType="begin"/>
            </w:r>
            <w:r w:rsidRPr="00B224EC">
              <w:rPr>
                <w:rFonts w:cs="Arial"/>
              </w:rPr>
              <w:instrText xml:space="preserve"> REF ANNEX1_SCHEDULE24 \h  \* MERGEFORMAT </w:instrText>
            </w:r>
            <w:r w:rsidRPr="00B224EC">
              <w:rPr>
                <w:rFonts w:cs="Arial"/>
              </w:rPr>
            </w:r>
            <w:r w:rsidRPr="00B224EC">
              <w:rPr>
                <w:rFonts w:cs="Arial"/>
              </w:rPr>
              <w:fldChar w:fldCharType="separate"/>
            </w:r>
            <w:r w:rsidR="00302D39" w:rsidRPr="00302D39">
              <w:rPr>
                <w:rFonts w:cs="Arial"/>
              </w:rPr>
              <w:t>1</w:t>
            </w:r>
            <w:r w:rsidRPr="00B224EC">
              <w:rPr>
                <w:rFonts w:cs="Arial"/>
              </w:rPr>
              <w:fldChar w:fldCharType="end"/>
            </w:r>
          </w:p>
        </w:tc>
        <w:tc>
          <w:tcPr>
            <w:tcW w:w="2666" w:type="dxa"/>
          </w:tcPr>
          <w:p w14:paraId="3B5D1512" w14:textId="77777777" w:rsidR="00F67E9E" w:rsidRPr="00B224EC" w:rsidRDefault="00F67E9E" w:rsidP="007F74AA">
            <w:pPr>
              <w:pStyle w:val="StdBodyText"/>
              <w:spacing w:before="0" w:after="0"/>
              <w:rPr>
                <w:rFonts w:cs="Arial"/>
              </w:rPr>
            </w:pPr>
            <w:r w:rsidRPr="00B224EC">
              <w:rPr>
                <w:rFonts w:cs="Arial"/>
              </w:rPr>
              <w:t>Within 3 months of the Effective Date</w:t>
            </w:r>
          </w:p>
        </w:tc>
        <w:tc>
          <w:tcPr>
            <w:tcW w:w="2862" w:type="dxa"/>
          </w:tcPr>
          <w:p w14:paraId="7CFE2090" w14:textId="0FB178B0" w:rsidR="00F67E9E" w:rsidRPr="00B224EC" w:rsidRDefault="00F67E9E" w:rsidP="007F74AA">
            <w:pPr>
              <w:pStyle w:val="StdBodyText"/>
              <w:spacing w:before="0" w:after="0"/>
              <w:rPr>
                <w:rFonts w:cs="Arial"/>
              </w:rPr>
            </w:pPr>
            <w:r w:rsidRPr="00B224EC">
              <w:rPr>
                <w:rFonts w:cs="Arial"/>
              </w:rPr>
              <w:t xml:space="preserve">Frequency specified in Sch </w:t>
            </w:r>
            <w:r w:rsidRPr="00B224EC">
              <w:rPr>
                <w:rFonts w:cs="Arial"/>
              </w:rPr>
              <w:fldChar w:fldCharType="begin"/>
            </w:r>
            <w:r w:rsidRPr="00B224EC">
              <w:rPr>
                <w:rFonts w:cs="Arial"/>
              </w:rPr>
              <w:instrText xml:space="preserve"> REF _Ref92200040 \h  \# "#"  \* MERGEFORMAT </w:instrText>
            </w:r>
            <w:r w:rsidRPr="00B224EC">
              <w:rPr>
                <w:rFonts w:cs="Arial"/>
              </w:rPr>
            </w:r>
            <w:r w:rsidRPr="00B224EC">
              <w:rPr>
                <w:rFonts w:cs="Arial"/>
              </w:rPr>
              <w:fldChar w:fldCharType="separate"/>
            </w:r>
            <w:r w:rsidR="00302D39">
              <w:rPr>
                <w:rFonts w:cs="Arial"/>
              </w:rPr>
              <w:t>24</w:t>
            </w:r>
            <w:r w:rsidRPr="00B224EC">
              <w:rPr>
                <w:rFonts w:cs="Arial"/>
              </w:rPr>
              <w:fldChar w:fldCharType="end"/>
            </w:r>
            <w:r w:rsidRPr="00B224EC">
              <w:rPr>
                <w:rFonts w:cs="Arial"/>
              </w:rPr>
              <w:t xml:space="preserve">, Annex </w:t>
            </w:r>
            <w:r w:rsidRPr="00B224EC">
              <w:rPr>
                <w:rFonts w:cs="Arial"/>
              </w:rPr>
              <w:fldChar w:fldCharType="begin"/>
            </w:r>
            <w:r w:rsidRPr="00B224EC">
              <w:rPr>
                <w:rFonts w:cs="Arial"/>
              </w:rPr>
              <w:instrText xml:space="preserve"> REF ANNEX1_SCHEDULE24 \h  \* MERGEFORMAT </w:instrText>
            </w:r>
            <w:r w:rsidRPr="00B224EC">
              <w:rPr>
                <w:rFonts w:cs="Arial"/>
              </w:rPr>
            </w:r>
            <w:r w:rsidRPr="00B224EC">
              <w:rPr>
                <w:rFonts w:cs="Arial"/>
              </w:rPr>
              <w:fldChar w:fldCharType="separate"/>
            </w:r>
            <w:r w:rsidR="00302D39" w:rsidRPr="00302D39">
              <w:rPr>
                <w:rFonts w:cs="Arial"/>
              </w:rPr>
              <w:t>1</w:t>
            </w:r>
            <w:r w:rsidRPr="00B224EC">
              <w:rPr>
                <w:rFonts w:cs="Arial"/>
              </w:rPr>
              <w:fldChar w:fldCharType="end"/>
            </w:r>
          </w:p>
        </w:tc>
        <w:tc>
          <w:tcPr>
            <w:tcW w:w="2381" w:type="dxa"/>
          </w:tcPr>
          <w:p w14:paraId="3C342A07" w14:textId="77777777" w:rsidR="00F67E9E" w:rsidRPr="005356F1" w:rsidRDefault="00F67E9E" w:rsidP="007F74AA">
            <w:pPr>
              <w:pStyle w:val="StdBodyText"/>
              <w:spacing w:before="0" w:after="0"/>
              <w:rPr>
                <w:rFonts w:cs="Arial"/>
              </w:rPr>
            </w:pPr>
            <w:r w:rsidRPr="005356F1">
              <w:rPr>
                <w:rFonts w:cs="Arial"/>
              </w:rPr>
              <w:t>Authority</w:t>
            </w:r>
          </w:p>
        </w:tc>
      </w:tr>
      <w:tr w:rsidR="00F67E9E" w:rsidRPr="005356F1" w14:paraId="0D552CAC" w14:textId="77777777" w:rsidTr="007F74AA">
        <w:trPr>
          <w:trHeight w:val="20"/>
        </w:trPr>
        <w:tc>
          <w:tcPr>
            <w:tcW w:w="2268" w:type="dxa"/>
          </w:tcPr>
          <w:p w14:paraId="199433B2" w14:textId="41036EF4" w:rsidR="00F67E9E" w:rsidRPr="00830C78" w:rsidRDefault="00F67E9E" w:rsidP="007F74AA">
            <w:pPr>
              <w:pStyle w:val="StdBodyText"/>
              <w:spacing w:before="0" w:after="0"/>
              <w:rPr>
                <w:rFonts w:cs="Arial"/>
              </w:rPr>
            </w:pPr>
            <w:bookmarkStart w:id="1892" w:name="_9kR3WTr2BC9A9bJfCO"/>
            <w:r w:rsidRPr="00830C78">
              <w:rPr>
                <w:rFonts w:cs="Arial"/>
              </w:rPr>
              <w:t>Sch</w:t>
            </w:r>
            <w:bookmarkEnd w:id="1892"/>
            <w:r w:rsidRPr="00830C78">
              <w:rPr>
                <w:rFonts w:cs="Arial"/>
              </w:rPr>
              <w:t xml:space="preserve"> </w:t>
            </w:r>
            <w:r w:rsidRPr="00830C78">
              <w:rPr>
                <w:rFonts w:cs="Arial"/>
              </w:rPr>
              <w:fldChar w:fldCharType="begin"/>
            </w:r>
            <w:r w:rsidRPr="00830C78">
              <w:rPr>
                <w:rFonts w:cs="Arial"/>
              </w:rPr>
              <w:instrText xml:space="preserve"> REF _Ref92200048 \h  \# "#" </w:instrText>
            </w:r>
            <w:r>
              <w:rPr>
                <w:rFonts w:cs="Arial"/>
              </w:rPr>
              <w:instrText xml:space="preserve"> \* MERGEFORMAT </w:instrText>
            </w:r>
            <w:r w:rsidRPr="00830C78">
              <w:rPr>
                <w:rFonts w:cs="Arial"/>
              </w:rPr>
            </w:r>
            <w:r w:rsidRPr="00830C78">
              <w:rPr>
                <w:rFonts w:cs="Arial"/>
              </w:rPr>
              <w:fldChar w:fldCharType="separate"/>
            </w:r>
            <w:r w:rsidR="00302D39">
              <w:rPr>
                <w:rFonts w:cs="Arial"/>
              </w:rPr>
              <w:t>25</w:t>
            </w:r>
            <w:r w:rsidRPr="00830C78">
              <w:rPr>
                <w:rFonts w:cs="Arial"/>
              </w:rPr>
              <w:fldChar w:fldCharType="end"/>
            </w:r>
            <w:r w:rsidRPr="00830C78">
              <w:rPr>
                <w:rFonts w:cs="Arial"/>
              </w:rPr>
              <w:t xml:space="preserve">, </w:t>
            </w:r>
            <w:bookmarkStart w:id="1893" w:name="_9kR3WTr2BCBKGXEno0Fo"/>
            <w:r w:rsidRPr="00830C78">
              <w:rPr>
                <w:rFonts w:cs="Arial"/>
              </w:rPr>
              <w:t xml:space="preserve">Para </w:t>
            </w:r>
            <w:r w:rsidRPr="00830C78">
              <w:rPr>
                <w:rFonts w:cs="Arial"/>
              </w:rPr>
              <w:fldChar w:fldCharType="begin"/>
            </w:r>
            <w:r w:rsidRPr="00830C78">
              <w:rPr>
                <w:rFonts w:cs="Arial"/>
              </w:rPr>
              <w:instrText xml:space="preserve"> REF _Ref_ContractCompanion_9kb9Us7FJ \w \h \t \* MERGEFORMAT </w:instrText>
            </w:r>
            <w:r w:rsidRPr="00830C78">
              <w:rPr>
                <w:rFonts w:cs="Arial"/>
              </w:rPr>
            </w:r>
            <w:r w:rsidRPr="00830C78">
              <w:rPr>
                <w:rFonts w:cs="Arial"/>
              </w:rPr>
              <w:fldChar w:fldCharType="separate"/>
            </w:r>
            <w:r w:rsidR="00302D39">
              <w:rPr>
                <w:rFonts w:cs="Arial"/>
              </w:rPr>
              <w:t>2.1.1</w:t>
            </w:r>
            <w:r w:rsidRPr="00830C78">
              <w:rPr>
                <w:rFonts w:cs="Arial"/>
              </w:rPr>
              <w:fldChar w:fldCharType="end"/>
            </w:r>
            <w:bookmarkEnd w:id="1893"/>
          </w:p>
        </w:tc>
        <w:tc>
          <w:tcPr>
            <w:tcW w:w="2966" w:type="dxa"/>
          </w:tcPr>
          <w:p w14:paraId="658FEFAE" w14:textId="77777777" w:rsidR="00F67E9E" w:rsidRPr="00B224EC" w:rsidRDefault="00F67E9E" w:rsidP="007F74AA">
            <w:pPr>
              <w:pStyle w:val="StdBodyText"/>
              <w:spacing w:before="0" w:after="0"/>
              <w:rPr>
                <w:rFonts w:cs="Arial"/>
              </w:rPr>
            </w:pPr>
            <w:r w:rsidRPr="00B224EC">
              <w:rPr>
                <w:rFonts w:cs="Arial"/>
              </w:rPr>
              <w:t>Register of All Assets, Sub-contracts and Other Relevant Agreements</w:t>
            </w:r>
          </w:p>
        </w:tc>
        <w:tc>
          <w:tcPr>
            <w:tcW w:w="1996" w:type="dxa"/>
          </w:tcPr>
          <w:p w14:paraId="5DEAD301" w14:textId="77777777" w:rsidR="00F67E9E" w:rsidRPr="00B224EC" w:rsidRDefault="00F67E9E" w:rsidP="007F74AA">
            <w:pPr>
              <w:pStyle w:val="StdBodyText"/>
              <w:spacing w:before="0" w:after="0"/>
              <w:rPr>
                <w:rFonts w:cs="Arial"/>
              </w:rPr>
            </w:pPr>
            <w:r w:rsidRPr="00B224EC">
              <w:rPr>
                <w:rFonts w:cs="Arial"/>
              </w:rPr>
              <w:t xml:space="preserve">As appropriate and agreed by the Authority </w:t>
            </w:r>
          </w:p>
        </w:tc>
        <w:tc>
          <w:tcPr>
            <w:tcW w:w="2666" w:type="dxa"/>
          </w:tcPr>
          <w:p w14:paraId="14ADC3AE" w14:textId="77777777" w:rsidR="00F67E9E" w:rsidRPr="00B224EC" w:rsidRDefault="00F67E9E" w:rsidP="007F74AA">
            <w:pPr>
              <w:pStyle w:val="StdBodyText"/>
              <w:spacing w:before="0" w:after="0"/>
              <w:rPr>
                <w:rFonts w:cs="Arial"/>
              </w:rPr>
            </w:pPr>
            <w:r w:rsidRPr="00B224EC">
              <w:rPr>
                <w:rFonts w:cs="Arial"/>
              </w:rPr>
              <w:t>Within 3 months of the Effective Date</w:t>
            </w:r>
          </w:p>
        </w:tc>
        <w:tc>
          <w:tcPr>
            <w:tcW w:w="2862" w:type="dxa"/>
          </w:tcPr>
          <w:p w14:paraId="6938966B" w14:textId="77777777" w:rsidR="00F67E9E" w:rsidRPr="00B224EC" w:rsidRDefault="00F67E9E" w:rsidP="007F74AA">
            <w:pPr>
              <w:pStyle w:val="StdBodyText"/>
              <w:spacing w:before="0" w:after="0"/>
              <w:rPr>
                <w:rFonts w:cs="Arial"/>
              </w:rPr>
            </w:pPr>
            <w:r w:rsidRPr="00B224EC">
              <w:rPr>
                <w:rFonts w:cs="Arial"/>
              </w:rPr>
              <w:t>Any variation</w:t>
            </w:r>
          </w:p>
        </w:tc>
        <w:tc>
          <w:tcPr>
            <w:tcW w:w="2381" w:type="dxa"/>
          </w:tcPr>
          <w:p w14:paraId="3AEF6728" w14:textId="77777777" w:rsidR="00F67E9E" w:rsidRPr="005356F1" w:rsidRDefault="00F67E9E" w:rsidP="007F74AA">
            <w:pPr>
              <w:pStyle w:val="StdBodyText"/>
              <w:spacing w:before="0" w:after="0"/>
              <w:rPr>
                <w:rFonts w:cs="Arial"/>
              </w:rPr>
            </w:pPr>
            <w:r w:rsidRPr="005356F1">
              <w:rPr>
                <w:rFonts w:cs="Arial"/>
              </w:rPr>
              <w:t>Authority</w:t>
            </w:r>
          </w:p>
        </w:tc>
      </w:tr>
      <w:tr w:rsidR="00F67E9E" w:rsidRPr="005356F1" w14:paraId="50AE395E" w14:textId="77777777" w:rsidTr="007F74AA">
        <w:trPr>
          <w:trHeight w:val="20"/>
        </w:trPr>
        <w:tc>
          <w:tcPr>
            <w:tcW w:w="2268" w:type="dxa"/>
          </w:tcPr>
          <w:p w14:paraId="179F6C5F" w14:textId="2F7F8D00" w:rsidR="00F67E9E" w:rsidRPr="005356F1" w:rsidRDefault="00F67E9E" w:rsidP="007F74AA">
            <w:pPr>
              <w:pStyle w:val="StdBodyText"/>
              <w:spacing w:before="0" w:after="0"/>
              <w:rPr>
                <w:rFonts w:cs="Arial"/>
              </w:rPr>
            </w:pPr>
            <w:r w:rsidRPr="00830C78">
              <w:rPr>
                <w:rFonts w:cs="Arial"/>
              </w:rPr>
              <w:t xml:space="preserve">Sch </w:t>
            </w:r>
            <w:r w:rsidRPr="00830C78">
              <w:rPr>
                <w:rFonts w:cs="Arial"/>
              </w:rPr>
              <w:fldChar w:fldCharType="begin"/>
            </w:r>
            <w:r w:rsidRPr="00830C78">
              <w:rPr>
                <w:rFonts w:cs="Arial"/>
              </w:rPr>
              <w:instrText xml:space="preserve"> REF _Ref92200048 \h  \# "#" </w:instrText>
            </w:r>
            <w:r>
              <w:rPr>
                <w:rFonts w:cs="Arial"/>
              </w:rPr>
              <w:instrText xml:space="preserve"> \* MERGEFORMAT </w:instrText>
            </w:r>
            <w:r w:rsidRPr="00830C78">
              <w:rPr>
                <w:rFonts w:cs="Arial"/>
              </w:rPr>
            </w:r>
            <w:r w:rsidRPr="00830C78">
              <w:rPr>
                <w:rFonts w:cs="Arial"/>
              </w:rPr>
              <w:fldChar w:fldCharType="separate"/>
            </w:r>
            <w:r w:rsidR="00302D39">
              <w:rPr>
                <w:rFonts w:cs="Arial"/>
              </w:rPr>
              <w:t>25</w:t>
            </w:r>
            <w:r w:rsidRPr="00830C78">
              <w:rPr>
                <w:rFonts w:cs="Arial"/>
              </w:rPr>
              <w:fldChar w:fldCharType="end"/>
            </w:r>
            <w:r w:rsidRPr="005356F1">
              <w:rPr>
                <w:rFonts w:cs="Arial"/>
              </w:rPr>
              <w:t xml:space="preserve">, </w:t>
            </w:r>
            <w:bookmarkStart w:id="1894" w:name="_9kR3WTr2BCBKJaEno0Fp"/>
            <w:r w:rsidRPr="005356F1">
              <w:rPr>
                <w:rFonts w:cs="Arial"/>
              </w:rPr>
              <w:t xml:space="preserve">Para </w:t>
            </w:r>
            <w:r w:rsidRPr="005356F1">
              <w:rPr>
                <w:rFonts w:cs="Arial"/>
              </w:rPr>
              <w:fldChar w:fldCharType="begin"/>
            </w:r>
            <w:r w:rsidRPr="005356F1">
              <w:rPr>
                <w:rFonts w:cs="Arial"/>
              </w:rPr>
              <w:instrText xml:space="preserve"> REF _Ref_ContractCompanion_9kb9Us7GD \w \h \t \* MERGEFORMAT </w:instrText>
            </w:r>
            <w:r w:rsidRPr="005356F1">
              <w:rPr>
                <w:rFonts w:cs="Arial"/>
              </w:rPr>
            </w:r>
            <w:r w:rsidRPr="005356F1">
              <w:rPr>
                <w:rFonts w:cs="Arial"/>
              </w:rPr>
              <w:fldChar w:fldCharType="separate"/>
            </w:r>
            <w:r w:rsidR="00302D39">
              <w:rPr>
                <w:rFonts w:cs="Arial"/>
              </w:rPr>
              <w:t>2.1.2</w:t>
            </w:r>
            <w:r w:rsidRPr="005356F1">
              <w:rPr>
                <w:rFonts w:cs="Arial"/>
              </w:rPr>
              <w:fldChar w:fldCharType="end"/>
            </w:r>
            <w:bookmarkEnd w:id="1894"/>
          </w:p>
        </w:tc>
        <w:tc>
          <w:tcPr>
            <w:tcW w:w="2966" w:type="dxa"/>
          </w:tcPr>
          <w:p w14:paraId="5A0D4097" w14:textId="77777777" w:rsidR="00F67E9E" w:rsidRPr="005356F1" w:rsidRDefault="00F67E9E" w:rsidP="007F74AA">
            <w:pPr>
              <w:pStyle w:val="StdBodyText"/>
              <w:spacing w:before="0" w:after="0"/>
              <w:rPr>
                <w:rFonts w:cs="Arial"/>
              </w:rPr>
            </w:pPr>
            <w:r w:rsidRPr="005356F1">
              <w:rPr>
                <w:rFonts w:cs="Arial"/>
              </w:rPr>
              <w:t>Configuration Database of Technical Infrastructure and Operating Procedures</w:t>
            </w:r>
          </w:p>
        </w:tc>
        <w:tc>
          <w:tcPr>
            <w:tcW w:w="1996" w:type="dxa"/>
          </w:tcPr>
          <w:p w14:paraId="4973D704" w14:textId="77777777" w:rsidR="00F67E9E" w:rsidRPr="005356F1" w:rsidRDefault="00F67E9E" w:rsidP="007F74AA">
            <w:pPr>
              <w:pStyle w:val="StdBodyText"/>
              <w:spacing w:before="0" w:after="0"/>
              <w:rPr>
                <w:rFonts w:cs="Arial"/>
              </w:rPr>
            </w:pPr>
            <w:r w:rsidRPr="005356F1">
              <w:rPr>
                <w:rFonts w:cs="Arial"/>
              </w:rPr>
              <w:t xml:space="preserve">As appropriate and agreed by the Authority </w:t>
            </w:r>
          </w:p>
        </w:tc>
        <w:tc>
          <w:tcPr>
            <w:tcW w:w="2666" w:type="dxa"/>
          </w:tcPr>
          <w:p w14:paraId="7C0C9F73" w14:textId="77777777" w:rsidR="00F67E9E" w:rsidRPr="005356F1" w:rsidRDefault="00F67E9E" w:rsidP="007F74AA">
            <w:pPr>
              <w:pStyle w:val="StdBodyText"/>
              <w:spacing w:before="0" w:after="0"/>
              <w:rPr>
                <w:rFonts w:cs="Arial"/>
              </w:rPr>
            </w:pPr>
            <w:r w:rsidRPr="005356F1">
              <w:rPr>
                <w:rFonts w:cs="Arial"/>
              </w:rPr>
              <w:t>Within 3 months of the Effective Date</w:t>
            </w:r>
          </w:p>
        </w:tc>
        <w:tc>
          <w:tcPr>
            <w:tcW w:w="2862" w:type="dxa"/>
          </w:tcPr>
          <w:p w14:paraId="0B4DE74E" w14:textId="77777777" w:rsidR="00F67E9E" w:rsidRPr="005356F1" w:rsidRDefault="00F67E9E" w:rsidP="007F74AA">
            <w:pPr>
              <w:pStyle w:val="StdBodyText"/>
              <w:spacing w:before="0" w:after="0"/>
              <w:rPr>
                <w:rFonts w:cs="Arial"/>
              </w:rPr>
            </w:pPr>
            <w:r w:rsidRPr="005356F1">
              <w:rPr>
                <w:rFonts w:cs="Arial"/>
              </w:rPr>
              <w:t>Any variation</w:t>
            </w:r>
          </w:p>
        </w:tc>
        <w:tc>
          <w:tcPr>
            <w:tcW w:w="2381" w:type="dxa"/>
          </w:tcPr>
          <w:p w14:paraId="46AF5DCC" w14:textId="77777777" w:rsidR="00F67E9E" w:rsidRPr="005356F1" w:rsidRDefault="00F67E9E" w:rsidP="007F74AA">
            <w:pPr>
              <w:pStyle w:val="StdBodyText"/>
              <w:spacing w:before="0" w:after="0"/>
              <w:rPr>
                <w:rFonts w:cs="Arial"/>
              </w:rPr>
            </w:pPr>
            <w:r w:rsidRPr="005356F1">
              <w:rPr>
                <w:rFonts w:cs="Arial"/>
              </w:rPr>
              <w:t>Authority</w:t>
            </w:r>
          </w:p>
        </w:tc>
      </w:tr>
      <w:tr w:rsidR="00F67E9E" w:rsidRPr="005356F1" w14:paraId="6F006CBE" w14:textId="77777777" w:rsidTr="007F74AA">
        <w:trPr>
          <w:trHeight w:val="20"/>
        </w:trPr>
        <w:tc>
          <w:tcPr>
            <w:tcW w:w="2268" w:type="dxa"/>
          </w:tcPr>
          <w:p w14:paraId="46DBB852" w14:textId="3F353BA4" w:rsidR="00F67E9E" w:rsidRPr="005356F1" w:rsidRDefault="00F67E9E" w:rsidP="007F74AA">
            <w:pPr>
              <w:pStyle w:val="StdBodyText"/>
              <w:spacing w:before="0" w:after="0"/>
              <w:rPr>
                <w:rFonts w:cs="Arial"/>
              </w:rPr>
            </w:pPr>
            <w:r w:rsidRPr="00830C78">
              <w:rPr>
                <w:rFonts w:cs="Arial"/>
              </w:rPr>
              <w:t xml:space="preserve">Sch </w:t>
            </w:r>
            <w:r w:rsidRPr="00830C78">
              <w:rPr>
                <w:rFonts w:cs="Arial"/>
              </w:rPr>
              <w:fldChar w:fldCharType="begin"/>
            </w:r>
            <w:r w:rsidRPr="00830C78">
              <w:rPr>
                <w:rFonts w:cs="Arial"/>
              </w:rPr>
              <w:instrText xml:space="preserve"> REF _Ref92200048 \h  \# "#" </w:instrText>
            </w:r>
            <w:r>
              <w:rPr>
                <w:rFonts w:cs="Arial"/>
              </w:rPr>
              <w:instrText xml:space="preserve"> \* MERGEFORMAT </w:instrText>
            </w:r>
            <w:r w:rsidRPr="00830C78">
              <w:rPr>
                <w:rFonts w:cs="Arial"/>
              </w:rPr>
            </w:r>
            <w:r w:rsidRPr="00830C78">
              <w:rPr>
                <w:rFonts w:cs="Arial"/>
              </w:rPr>
              <w:fldChar w:fldCharType="separate"/>
            </w:r>
            <w:r w:rsidR="00302D39">
              <w:rPr>
                <w:rFonts w:cs="Arial"/>
              </w:rPr>
              <w:t>25</w:t>
            </w:r>
            <w:r w:rsidRPr="00830C78">
              <w:rPr>
                <w:rFonts w:cs="Arial"/>
              </w:rPr>
              <w:fldChar w:fldCharType="end"/>
            </w:r>
            <w:r w:rsidRPr="005356F1">
              <w:rPr>
                <w:rFonts w:cs="Arial"/>
              </w:rPr>
              <w:t xml:space="preserve">, </w:t>
            </w:r>
            <w:bookmarkStart w:id="1895" w:name="_9kMHG5YVtCIBDMOJEfTlXiC85zt3I9sx9GADA0E"/>
            <w:r w:rsidRPr="005356F1">
              <w:rPr>
                <w:rFonts w:cs="Arial"/>
              </w:rPr>
              <w:t xml:space="preserve">Para </w:t>
            </w:r>
            <w:r w:rsidRPr="005356F1">
              <w:rPr>
                <w:rFonts w:cs="Arial"/>
              </w:rPr>
              <w:fldChar w:fldCharType="begin"/>
            </w:r>
            <w:r w:rsidRPr="005356F1">
              <w:rPr>
                <w:rFonts w:cs="Arial"/>
              </w:rPr>
              <w:instrText xml:space="preserve"> REF _Ref_ContractCompanion_9kb9Us7GG \n \h \t \* MERGEFORMAT </w:instrText>
            </w:r>
            <w:r w:rsidRPr="005356F1">
              <w:rPr>
                <w:rFonts w:cs="Arial"/>
              </w:rPr>
            </w:r>
            <w:r w:rsidRPr="005356F1">
              <w:rPr>
                <w:rFonts w:cs="Arial"/>
              </w:rPr>
              <w:fldChar w:fldCharType="separate"/>
            </w:r>
            <w:r w:rsidR="00302D39">
              <w:rPr>
                <w:rFonts w:cs="Arial"/>
              </w:rPr>
              <w:t>3.1</w:t>
            </w:r>
            <w:r w:rsidRPr="005356F1">
              <w:rPr>
                <w:rFonts w:cs="Arial"/>
              </w:rPr>
              <w:fldChar w:fldCharType="end"/>
            </w:r>
            <w:bookmarkEnd w:id="1895"/>
          </w:p>
        </w:tc>
        <w:tc>
          <w:tcPr>
            <w:tcW w:w="2966" w:type="dxa"/>
          </w:tcPr>
          <w:p w14:paraId="763AEE37" w14:textId="77777777" w:rsidR="00F67E9E" w:rsidRPr="005356F1" w:rsidRDefault="00F67E9E" w:rsidP="007F74AA">
            <w:pPr>
              <w:pStyle w:val="StdBodyText"/>
              <w:spacing w:before="0" w:after="0"/>
              <w:rPr>
                <w:rFonts w:cs="Arial"/>
              </w:rPr>
            </w:pPr>
            <w:r w:rsidRPr="005356F1">
              <w:rPr>
                <w:rFonts w:cs="Arial"/>
              </w:rPr>
              <w:t xml:space="preserve">Exit Information </w:t>
            </w:r>
          </w:p>
        </w:tc>
        <w:tc>
          <w:tcPr>
            <w:tcW w:w="1996" w:type="dxa"/>
          </w:tcPr>
          <w:p w14:paraId="4DD1984F" w14:textId="77777777" w:rsidR="00F67E9E" w:rsidRPr="005356F1" w:rsidRDefault="00F67E9E" w:rsidP="007F74AA">
            <w:pPr>
              <w:pStyle w:val="StdBodyText"/>
              <w:spacing w:before="0" w:after="0"/>
              <w:rPr>
                <w:rFonts w:cs="Arial"/>
              </w:rPr>
            </w:pPr>
            <w:r w:rsidRPr="005356F1">
              <w:rPr>
                <w:rFonts w:cs="Arial"/>
              </w:rPr>
              <w:t xml:space="preserve">As appropriate and agreed by the Authority </w:t>
            </w:r>
          </w:p>
        </w:tc>
        <w:tc>
          <w:tcPr>
            <w:tcW w:w="2666" w:type="dxa"/>
          </w:tcPr>
          <w:p w14:paraId="7CCCF0ED" w14:textId="77777777" w:rsidR="00F67E9E" w:rsidRPr="005356F1" w:rsidRDefault="00F67E9E" w:rsidP="007F74AA">
            <w:pPr>
              <w:pStyle w:val="StdBodyText"/>
              <w:spacing w:before="0" w:after="0"/>
              <w:rPr>
                <w:rFonts w:cs="Arial"/>
              </w:rPr>
            </w:pPr>
            <w:r w:rsidRPr="005356F1">
              <w:rPr>
                <w:rFonts w:cs="Arial"/>
              </w:rPr>
              <w:t>On reasonable notice given by the Authority at any point during the Term</w:t>
            </w:r>
          </w:p>
        </w:tc>
        <w:tc>
          <w:tcPr>
            <w:tcW w:w="2862" w:type="dxa"/>
          </w:tcPr>
          <w:p w14:paraId="5D43B952" w14:textId="77777777" w:rsidR="00F67E9E" w:rsidRPr="005356F1" w:rsidRDefault="00F67E9E" w:rsidP="007F74AA">
            <w:pPr>
              <w:pStyle w:val="StdBodyText"/>
              <w:spacing w:before="0" w:after="0"/>
              <w:rPr>
                <w:rFonts w:cs="Arial"/>
              </w:rPr>
            </w:pPr>
            <w:r w:rsidRPr="005356F1">
              <w:rPr>
                <w:rFonts w:cs="Arial"/>
              </w:rPr>
              <w:t>Within 10 Working Days of Authority</w:t>
            </w:r>
            <w:r>
              <w:rPr>
                <w:rFonts w:cs="Arial"/>
              </w:rPr>
              <w:t>’</w:t>
            </w:r>
            <w:r w:rsidRPr="005356F1">
              <w:rPr>
                <w:rFonts w:cs="Arial"/>
              </w:rPr>
              <w:t>s written request</w:t>
            </w:r>
          </w:p>
        </w:tc>
        <w:tc>
          <w:tcPr>
            <w:tcW w:w="2381" w:type="dxa"/>
          </w:tcPr>
          <w:p w14:paraId="0A295722" w14:textId="77777777" w:rsidR="00F67E9E" w:rsidRPr="005356F1" w:rsidRDefault="00F67E9E" w:rsidP="007F74AA">
            <w:pPr>
              <w:pStyle w:val="StdBodyText"/>
              <w:spacing w:before="0" w:after="0"/>
              <w:rPr>
                <w:rFonts w:cs="Arial"/>
              </w:rPr>
            </w:pPr>
            <w:r w:rsidRPr="005356F1">
              <w:rPr>
                <w:rFonts w:cs="Arial"/>
              </w:rPr>
              <w:t>Authority and its potential Replacement Suppliers</w:t>
            </w:r>
          </w:p>
        </w:tc>
      </w:tr>
      <w:tr w:rsidR="00F67E9E" w:rsidRPr="005356F1" w14:paraId="0FFFC4C3" w14:textId="77777777" w:rsidTr="007F74AA">
        <w:trPr>
          <w:trHeight w:val="20"/>
        </w:trPr>
        <w:tc>
          <w:tcPr>
            <w:tcW w:w="2268" w:type="dxa"/>
          </w:tcPr>
          <w:p w14:paraId="7E58BA78" w14:textId="1478156E" w:rsidR="00F67E9E" w:rsidRPr="005356F1" w:rsidRDefault="00F67E9E" w:rsidP="007F74AA">
            <w:pPr>
              <w:pStyle w:val="StdBodyText"/>
              <w:spacing w:before="0" w:after="0"/>
              <w:rPr>
                <w:rFonts w:cs="Arial"/>
              </w:rPr>
            </w:pPr>
            <w:r w:rsidRPr="00830C78">
              <w:rPr>
                <w:rFonts w:cs="Arial"/>
              </w:rPr>
              <w:t xml:space="preserve">Sch </w:t>
            </w:r>
            <w:r w:rsidRPr="00830C78">
              <w:rPr>
                <w:rFonts w:cs="Arial"/>
              </w:rPr>
              <w:fldChar w:fldCharType="begin"/>
            </w:r>
            <w:r w:rsidRPr="00830C78">
              <w:rPr>
                <w:rFonts w:cs="Arial"/>
              </w:rPr>
              <w:instrText xml:space="preserve"> REF _Ref92200048 \h  \# "#" </w:instrText>
            </w:r>
            <w:r>
              <w:rPr>
                <w:rFonts w:cs="Arial"/>
              </w:rPr>
              <w:instrText xml:space="preserve"> \* MERGEFORMAT </w:instrText>
            </w:r>
            <w:r w:rsidRPr="00830C78">
              <w:rPr>
                <w:rFonts w:cs="Arial"/>
              </w:rPr>
            </w:r>
            <w:r w:rsidRPr="00830C78">
              <w:rPr>
                <w:rFonts w:cs="Arial"/>
              </w:rPr>
              <w:fldChar w:fldCharType="separate"/>
            </w:r>
            <w:r w:rsidR="00302D39">
              <w:rPr>
                <w:rFonts w:cs="Arial"/>
              </w:rPr>
              <w:t>25</w:t>
            </w:r>
            <w:r w:rsidRPr="00830C78">
              <w:rPr>
                <w:rFonts w:cs="Arial"/>
              </w:rPr>
              <w:fldChar w:fldCharType="end"/>
            </w:r>
            <w:r w:rsidRPr="005356F1">
              <w:rPr>
                <w:rFonts w:cs="Arial"/>
              </w:rPr>
              <w:t xml:space="preserve">, </w:t>
            </w:r>
            <w:bookmarkStart w:id="1896" w:name="_9kMIH5YVtCIBCKPMFfTlXiC85zt3I9sx9CGF2BG"/>
            <w:r w:rsidRPr="005356F1">
              <w:rPr>
                <w:rFonts w:cs="Arial"/>
              </w:rPr>
              <w:t xml:space="preserve">Para </w:t>
            </w:r>
            <w:r>
              <w:rPr>
                <w:rFonts w:cs="Arial"/>
              </w:rPr>
              <w:fldChar w:fldCharType="begin"/>
            </w:r>
            <w:r>
              <w:rPr>
                <w:rFonts w:cs="Arial"/>
              </w:rPr>
              <w:instrText xml:space="preserve"> REF _Ref99012462 \w \h </w:instrText>
            </w:r>
            <w:r>
              <w:rPr>
                <w:rFonts w:cs="Arial"/>
              </w:rPr>
            </w:r>
            <w:r>
              <w:rPr>
                <w:rFonts w:cs="Arial"/>
              </w:rPr>
              <w:fldChar w:fldCharType="separate"/>
            </w:r>
            <w:r w:rsidR="00302D39">
              <w:rPr>
                <w:rFonts w:cs="Arial"/>
              </w:rPr>
              <w:t>5.1</w:t>
            </w:r>
            <w:r>
              <w:rPr>
                <w:rFonts w:cs="Arial"/>
              </w:rPr>
              <w:fldChar w:fldCharType="end"/>
            </w:r>
            <w:bookmarkEnd w:id="1896"/>
          </w:p>
        </w:tc>
        <w:tc>
          <w:tcPr>
            <w:tcW w:w="2966" w:type="dxa"/>
          </w:tcPr>
          <w:p w14:paraId="2CF67AC4" w14:textId="77777777" w:rsidR="00F67E9E" w:rsidRPr="005356F1" w:rsidRDefault="00F67E9E" w:rsidP="007F74AA">
            <w:pPr>
              <w:pStyle w:val="StdBodyText"/>
              <w:spacing w:before="0" w:after="0"/>
              <w:rPr>
                <w:rFonts w:cs="Arial"/>
              </w:rPr>
            </w:pPr>
            <w:r w:rsidRPr="005356F1">
              <w:rPr>
                <w:rFonts w:cs="Arial"/>
              </w:rPr>
              <w:t>Exit Plan</w:t>
            </w:r>
          </w:p>
        </w:tc>
        <w:tc>
          <w:tcPr>
            <w:tcW w:w="1996" w:type="dxa"/>
          </w:tcPr>
          <w:p w14:paraId="06D07DB5" w14:textId="519DDD17" w:rsidR="00F67E9E" w:rsidRPr="005356F1" w:rsidRDefault="00F67E9E" w:rsidP="007F74AA">
            <w:pPr>
              <w:pStyle w:val="StdBodyText"/>
              <w:spacing w:before="0" w:after="0"/>
              <w:rPr>
                <w:rFonts w:cs="Arial"/>
              </w:rPr>
            </w:pPr>
            <w:r w:rsidRPr="00830C78">
              <w:rPr>
                <w:rFonts w:cs="Arial"/>
              </w:rPr>
              <w:t xml:space="preserve">Sch </w:t>
            </w:r>
            <w:r w:rsidRPr="00830C78">
              <w:rPr>
                <w:rFonts w:cs="Arial"/>
              </w:rPr>
              <w:fldChar w:fldCharType="begin"/>
            </w:r>
            <w:r w:rsidRPr="00830C78">
              <w:rPr>
                <w:rFonts w:cs="Arial"/>
              </w:rPr>
              <w:instrText xml:space="preserve"> REF _Ref92200048 \h  \# "#" </w:instrText>
            </w:r>
            <w:r>
              <w:rPr>
                <w:rFonts w:cs="Arial"/>
              </w:rPr>
              <w:instrText xml:space="preserve"> \* MERGEFORMAT </w:instrText>
            </w:r>
            <w:r w:rsidRPr="00830C78">
              <w:rPr>
                <w:rFonts w:cs="Arial"/>
              </w:rPr>
            </w:r>
            <w:r w:rsidRPr="00830C78">
              <w:rPr>
                <w:rFonts w:cs="Arial"/>
              </w:rPr>
              <w:fldChar w:fldCharType="separate"/>
            </w:r>
            <w:r w:rsidR="00302D39">
              <w:rPr>
                <w:rFonts w:cs="Arial"/>
              </w:rPr>
              <w:t>25</w:t>
            </w:r>
            <w:r w:rsidRPr="00830C78">
              <w:rPr>
                <w:rFonts w:cs="Arial"/>
              </w:rPr>
              <w:fldChar w:fldCharType="end"/>
            </w:r>
            <w:r w:rsidRPr="005356F1">
              <w:rPr>
                <w:rFonts w:cs="Arial"/>
              </w:rPr>
              <w:t xml:space="preserve">, </w:t>
            </w:r>
            <w:bookmarkStart w:id="1897" w:name="_9kMIH5YVtCIBDJKJHTM5B2oi0F3tmx0s57x7PDD"/>
            <w:r w:rsidRPr="005356F1">
              <w:rPr>
                <w:rFonts w:cs="Arial"/>
              </w:rPr>
              <w:t>Pa</w:t>
            </w:r>
            <w:bookmarkEnd w:id="1897"/>
            <w:r w:rsidRPr="005356F1">
              <w:rPr>
                <w:rFonts w:cs="Arial"/>
              </w:rPr>
              <w:t xml:space="preserve">ra </w:t>
            </w:r>
            <w:r w:rsidRPr="005356F1">
              <w:rPr>
                <w:rFonts w:cs="Arial"/>
              </w:rPr>
              <w:fldChar w:fldCharType="begin"/>
            </w:r>
            <w:r w:rsidRPr="005356F1">
              <w:rPr>
                <w:rFonts w:cs="Arial"/>
              </w:rPr>
              <w:instrText xml:space="preserve"> REF _Ref44673694 \r \h  \* MERGEFORMAT </w:instrText>
            </w:r>
            <w:r w:rsidRPr="005356F1">
              <w:rPr>
                <w:rFonts w:cs="Arial"/>
              </w:rPr>
            </w:r>
            <w:r w:rsidRPr="005356F1">
              <w:rPr>
                <w:rFonts w:cs="Arial"/>
              </w:rPr>
              <w:fldChar w:fldCharType="separate"/>
            </w:r>
            <w:r w:rsidR="00302D39">
              <w:rPr>
                <w:rFonts w:cs="Arial"/>
              </w:rPr>
              <w:t>5.3</w:t>
            </w:r>
            <w:r w:rsidRPr="005356F1">
              <w:rPr>
                <w:rFonts w:cs="Arial"/>
              </w:rPr>
              <w:fldChar w:fldCharType="end"/>
            </w:r>
          </w:p>
        </w:tc>
        <w:tc>
          <w:tcPr>
            <w:tcW w:w="2666" w:type="dxa"/>
          </w:tcPr>
          <w:p w14:paraId="07734DB1" w14:textId="77777777" w:rsidR="00F67E9E" w:rsidRPr="005356F1" w:rsidRDefault="00F67E9E" w:rsidP="007F74AA">
            <w:pPr>
              <w:pStyle w:val="StdBodyText"/>
              <w:spacing w:before="0" w:after="0"/>
              <w:rPr>
                <w:rFonts w:cs="Arial"/>
              </w:rPr>
            </w:pPr>
            <w:r w:rsidRPr="005356F1">
              <w:rPr>
                <w:rFonts w:cs="Arial"/>
              </w:rPr>
              <w:t>Within 3 months of the Effective Date</w:t>
            </w:r>
          </w:p>
        </w:tc>
        <w:tc>
          <w:tcPr>
            <w:tcW w:w="2862" w:type="dxa"/>
          </w:tcPr>
          <w:p w14:paraId="6D7836F8" w14:textId="77777777" w:rsidR="00F67E9E" w:rsidRPr="00B224EC" w:rsidRDefault="00F67E9E" w:rsidP="007F74AA">
            <w:pPr>
              <w:pStyle w:val="StdBodyText"/>
              <w:spacing w:before="0" w:after="0"/>
              <w:rPr>
                <w:rFonts w:cs="Arial"/>
              </w:rPr>
            </w:pPr>
            <w:r w:rsidRPr="005356F1">
              <w:rPr>
                <w:rFonts w:cs="Arial"/>
              </w:rPr>
              <w:t xml:space="preserve">In the first month of each </w:t>
            </w:r>
            <w:r w:rsidRPr="00B224EC">
              <w:rPr>
                <w:rFonts w:cs="Arial"/>
              </w:rPr>
              <w:t>contract year; and</w:t>
            </w:r>
          </w:p>
          <w:p w14:paraId="37E1C6B9" w14:textId="77777777" w:rsidR="00F67E9E" w:rsidRPr="00B224EC" w:rsidRDefault="00F67E9E" w:rsidP="007F74AA">
            <w:pPr>
              <w:pStyle w:val="StdBodyText"/>
              <w:spacing w:before="0" w:after="0"/>
              <w:rPr>
                <w:rFonts w:cs="Arial"/>
              </w:rPr>
            </w:pPr>
            <w:r w:rsidRPr="00B224EC">
              <w:rPr>
                <w:rFonts w:cs="Arial"/>
              </w:rPr>
              <w:t>Within 14 days if requested by the Authority following a Financial Distress Event</w:t>
            </w:r>
          </w:p>
          <w:p w14:paraId="6B918025" w14:textId="77777777" w:rsidR="00F67E9E" w:rsidRPr="005356F1" w:rsidRDefault="00F67E9E" w:rsidP="007F74AA">
            <w:pPr>
              <w:pStyle w:val="StdBodyText"/>
              <w:spacing w:before="0" w:after="0"/>
              <w:rPr>
                <w:rFonts w:cs="Arial"/>
              </w:rPr>
            </w:pPr>
            <w:r w:rsidRPr="00B224EC">
              <w:rPr>
                <w:rFonts w:cs="Arial"/>
              </w:rPr>
              <w:t xml:space="preserve">Within 20 days after service of </w:t>
            </w:r>
            <w:bookmarkStart w:id="1898" w:name="_9kMON5YVt4CE9ELjOt2uwpw517hdGBvs"/>
            <w:r w:rsidRPr="00B224EC">
              <w:rPr>
                <w:rFonts w:cs="Arial"/>
              </w:rPr>
              <w:t>Termination Notice</w:t>
            </w:r>
            <w:bookmarkEnd w:id="1898"/>
            <w:r w:rsidRPr="00B224EC">
              <w:rPr>
                <w:rFonts w:cs="Arial"/>
              </w:rPr>
              <w:t xml:space="preserve"> or 6 months prior to expiry of the Contract</w:t>
            </w:r>
          </w:p>
        </w:tc>
        <w:tc>
          <w:tcPr>
            <w:tcW w:w="2381" w:type="dxa"/>
          </w:tcPr>
          <w:p w14:paraId="47EDFC95" w14:textId="77777777" w:rsidR="00F67E9E" w:rsidRPr="005356F1" w:rsidRDefault="00F67E9E" w:rsidP="007F74AA">
            <w:pPr>
              <w:pStyle w:val="StdBodyText"/>
              <w:spacing w:before="0" w:after="0"/>
              <w:rPr>
                <w:rFonts w:cs="Arial"/>
              </w:rPr>
            </w:pPr>
            <w:r w:rsidRPr="005356F1">
              <w:rPr>
                <w:rFonts w:cs="Arial"/>
              </w:rPr>
              <w:t>Authority</w:t>
            </w:r>
          </w:p>
        </w:tc>
      </w:tr>
      <w:tr w:rsidR="00F67E9E" w:rsidRPr="005356F1" w14:paraId="011F3BAE" w14:textId="77777777" w:rsidTr="007F74AA">
        <w:trPr>
          <w:trHeight w:val="20"/>
        </w:trPr>
        <w:tc>
          <w:tcPr>
            <w:tcW w:w="2268" w:type="dxa"/>
          </w:tcPr>
          <w:p w14:paraId="622C1E24" w14:textId="1B8883F2" w:rsidR="00F67E9E" w:rsidRPr="005356F1" w:rsidRDefault="00F67E9E" w:rsidP="007F74AA">
            <w:pPr>
              <w:pStyle w:val="StdBodyText"/>
              <w:spacing w:before="0" w:after="0"/>
              <w:rPr>
                <w:rFonts w:cs="Arial"/>
              </w:rPr>
            </w:pPr>
            <w:r w:rsidRPr="00830C78">
              <w:rPr>
                <w:rFonts w:cs="Arial"/>
              </w:rPr>
              <w:t xml:space="preserve">Sch </w:t>
            </w:r>
            <w:r w:rsidRPr="00830C78">
              <w:rPr>
                <w:rFonts w:cs="Arial"/>
              </w:rPr>
              <w:fldChar w:fldCharType="begin"/>
            </w:r>
            <w:r w:rsidRPr="00830C78">
              <w:rPr>
                <w:rFonts w:cs="Arial"/>
              </w:rPr>
              <w:instrText xml:space="preserve"> REF _Ref92200048 \h  \# "#" </w:instrText>
            </w:r>
            <w:r>
              <w:rPr>
                <w:rFonts w:cs="Arial"/>
              </w:rPr>
              <w:instrText xml:space="preserve"> \* MERGEFORMAT </w:instrText>
            </w:r>
            <w:r w:rsidRPr="00830C78">
              <w:rPr>
                <w:rFonts w:cs="Arial"/>
              </w:rPr>
            </w:r>
            <w:r w:rsidRPr="00830C78">
              <w:rPr>
                <w:rFonts w:cs="Arial"/>
              </w:rPr>
              <w:fldChar w:fldCharType="separate"/>
            </w:r>
            <w:r w:rsidR="00302D39">
              <w:rPr>
                <w:rFonts w:cs="Arial"/>
              </w:rPr>
              <w:t>25</w:t>
            </w:r>
            <w:r w:rsidRPr="00830C78">
              <w:rPr>
                <w:rFonts w:cs="Arial"/>
              </w:rPr>
              <w:fldChar w:fldCharType="end"/>
            </w:r>
            <w:r w:rsidRPr="005356F1">
              <w:rPr>
                <w:rFonts w:cs="Arial"/>
              </w:rPr>
              <w:t xml:space="preserve">, Para </w:t>
            </w:r>
            <w:r w:rsidRPr="005356F1">
              <w:rPr>
                <w:rFonts w:cs="Arial"/>
              </w:rPr>
              <w:fldChar w:fldCharType="begin"/>
            </w:r>
            <w:r w:rsidRPr="005356F1">
              <w:rPr>
                <w:rFonts w:cs="Arial"/>
              </w:rPr>
              <w:instrText xml:space="preserve"> REF _Ref_ContractCompanion_9kb9Us8EG \w \h  \* MERGEFORMAT </w:instrText>
            </w:r>
            <w:r w:rsidRPr="005356F1">
              <w:rPr>
                <w:rFonts w:cs="Arial"/>
              </w:rPr>
            </w:r>
            <w:r w:rsidRPr="005356F1">
              <w:rPr>
                <w:rFonts w:cs="Arial"/>
              </w:rPr>
              <w:fldChar w:fldCharType="separate"/>
            </w:r>
            <w:r w:rsidR="00302D39">
              <w:rPr>
                <w:rFonts w:cs="Arial"/>
              </w:rPr>
              <w:t>6.3.5</w:t>
            </w:r>
            <w:r w:rsidRPr="005356F1">
              <w:rPr>
                <w:rFonts w:cs="Arial"/>
              </w:rPr>
              <w:fldChar w:fldCharType="end"/>
            </w:r>
          </w:p>
        </w:tc>
        <w:tc>
          <w:tcPr>
            <w:tcW w:w="2966" w:type="dxa"/>
          </w:tcPr>
          <w:p w14:paraId="518D38D9" w14:textId="77777777" w:rsidR="00F67E9E" w:rsidRPr="005356F1" w:rsidRDefault="00F67E9E" w:rsidP="007F74AA">
            <w:pPr>
              <w:pStyle w:val="StdBodyText"/>
              <w:spacing w:before="0" w:after="0"/>
              <w:rPr>
                <w:rFonts w:cs="Arial"/>
              </w:rPr>
            </w:pPr>
            <w:r w:rsidRPr="005356F1">
              <w:rPr>
                <w:rFonts w:cs="Arial"/>
              </w:rPr>
              <w:t>Provide up to date Registers during the Termination Assistance Period</w:t>
            </w:r>
          </w:p>
        </w:tc>
        <w:tc>
          <w:tcPr>
            <w:tcW w:w="1996" w:type="dxa"/>
          </w:tcPr>
          <w:p w14:paraId="31CABAA5" w14:textId="77777777" w:rsidR="00F67E9E" w:rsidRPr="005356F1" w:rsidRDefault="00F67E9E" w:rsidP="007F74AA">
            <w:pPr>
              <w:pStyle w:val="StdBodyText"/>
              <w:spacing w:before="0" w:after="0"/>
              <w:rPr>
                <w:rFonts w:cs="Arial"/>
              </w:rPr>
            </w:pPr>
            <w:r w:rsidRPr="005356F1">
              <w:rPr>
                <w:rFonts w:cs="Arial"/>
              </w:rPr>
              <w:t>As appropriate</w:t>
            </w:r>
          </w:p>
        </w:tc>
        <w:tc>
          <w:tcPr>
            <w:tcW w:w="2666" w:type="dxa"/>
          </w:tcPr>
          <w:p w14:paraId="49670F4D" w14:textId="77777777" w:rsidR="00F67E9E" w:rsidRPr="005356F1" w:rsidRDefault="00F67E9E" w:rsidP="007F74AA">
            <w:pPr>
              <w:pStyle w:val="StdBodyText"/>
              <w:spacing w:before="0" w:after="0"/>
              <w:rPr>
                <w:rFonts w:cs="Arial"/>
              </w:rPr>
            </w:pPr>
            <w:r w:rsidRPr="005356F1">
              <w:rPr>
                <w:rFonts w:cs="Arial"/>
              </w:rPr>
              <w:t>As requested by the Authority</w:t>
            </w:r>
          </w:p>
        </w:tc>
        <w:tc>
          <w:tcPr>
            <w:tcW w:w="2862" w:type="dxa"/>
          </w:tcPr>
          <w:p w14:paraId="11C2E221" w14:textId="77777777" w:rsidR="00F67E9E" w:rsidRPr="005356F1" w:rsidRDefault="00F67E9E" w:rsidP="007F74AA">
            <w:pPr>
              <w:pStyle w:val="StdBodyText"/>
              <w:spacing w:before="0" w:after="0"/>
              <w:rPr>
                <w:rFonts w:cs="Arial"/>
              </w:rPr>
            </w:pPr>
            <w:r w:rsidRPr="005356F1">
              <w:rPr>
                <w:rFonts w:cs="Arial"/>
              </w:rPr>
              <w:t>As appropriate</w:t>
            </w:r>
          </w:p>
        </w:tc>
        <w:tc>
          <w:tcPr>
            <w:tcW w:w="2381" w:type="dxa"/>
          </w:tcPr>
          <w:p w14:paraId="7C69C7B4" w14:textId="77777777" w:rsidR="00F67E9E" w:rsidRPr="005356F1" w:rsidRDefault="00F67E9E" w:rsidP="007F74AA">
            <w:pPr>
              <w:pStyle w:val="StdBodyText"/>
              <w:spacing w:before="0" w:after="0"/>
              <w:rPr>
                <w:rFonts w:cs="Arial"/>
              </w:rPr>
            </w:pPr>
          </w:p>
        </w:tc>
      </w:tr>
      <w:tr w:rsidR="00F67E9E" w:rsidRPr="005356F1" w14:paraId="19B04239" w14:textId="77777777" w:rsidTr="007F74AA">
        <w:trPr>
          <w:trHeight w:val="20"/>
        </w:trPr>
        <w:tc>
          <w:tcPr>
            <w:tcW w:w="2268" w:type="dxa"/>
          </w:tcPr>
          <w:p w14:paraId="26413C48" w14:textId="10173F1A" w:rsidR="00F67E9E" w:rsidRPr="005356F1" w:rsidRDefault="00F67E9E" w:rsidP="007F74AA">
            <w:pPr>
              <w:pStyle w:val="StdBodyText"/>
              <w:spacing w:before="0" w:after="0"/>
              <w:rPr>
                <w:rFonts w:cs="Arial"/>
              </w:rPr>
            </w:pPr>
            <w:r w:rsidRPr="00830C78">
              <w:rPr>
                <w:rFonts w:cs="Arial"/>
              </w:rPr>
              <w:t xml:space="preserve">Sch </w:t>
            </w:r>
            <w:r w:rsidRPr="00830C78">
              <w:rPr>
                <w:rFonts w:cs="Arial"/>
              </w:rPr>
              <w:fldChar w:fldCharType="begin"/>
            </w:r>
            <w:r w:rsidRPr="00830C78">
              <w:rPr>
                <w:rFonts w:cs="Arial"/>
              </w:rPr>
              <w:instrText xml:space="preserve"> REF _Ref92200048 \h  \# "#" </w:instrText>
            </w:r>
            <w:r>
              <w:rPr>
                <w:rFonts w:cs="Arial"/>
              </w:rPr>
              <w:instrText xml:space="preserve"> \* MERGEFORMAT </w:instrText>
            </w:r>
            <w:r w:rsidRPr="00830C78">
              <w:rPr>
                <w:rFonts w:cs="Arial"/>
              </w:rPr>
            </w:r>
            <w:r w:rsidRPr="00830C78">
              <w:rPr>
                <w:rFonts w:cs="Arial"/>
              </w:rPr>
              <w:fldChar w:fldCharType="separate"/>
            </w:r>
            <w:r w:rsidR="00302D39">
              <w:rPr>
                <w:rFonts w:cs="Arial"/>
              </w:rPr>
              <w:t>25</w:t>
            </w:r>
            <w:r w:rsidRPr="00830C78">
              <w:rPr>
                <w:rFonts w:cs="Arial"/>
              </w:rPr>
              <w:fldChar w:fldCharType="end"/>
            </w:r>
            <w:r w:rsidRPr="005356F1">
              <w:rPr>
                <w:rFonts w:cs="Arial"/>
              </w:rPr>
              <w:t xml:space="preserve">, </w:t>
            </w:r>
            <w:bookmarkStart w:id="1899" w:name="_9kR3WTr2CC6CGbEno3Ov"/>
            <w:r w:rsidRPr="005356F1">
              <w:rPr>
                <w:rFonts w:cs="Arial"/>
              </w:rPr>
              <w:t xml:space="preserve">Para </w:t>
            </w:r>
            <w:bookmarkEnd w:id="1899"/>
            <w:r w:rsidRPr="005356F1">
              <w:rPr>
                <w:rFonts w:cs="Arial"/>
              </w:rPr>
              <w:fldChar w:fldCharType="begin"/>
            </w:r>
            <w:r w:rsidRPr="005356F1">
              <w:rPr>
                <w:rFonts w:cs="Arial"/>
              </w:rPr>
              <w:instrText xml:space="preserve"> REF _Ref44674016 \r \h  \* MERGEFORMAT </w:instrText>
            </w:r>
            <w:r w:rsidRPr="005356F1">
              <w:rPr>
                <w:rFonts w:cs="Arial"/>
              </w:rPr>
            </w:r>
            <w:r w:rsidRPr="005356F1">
              <w:rPr>
                <w:rFonts w:cs="Arial"/>
              </w:rPr>
              <w:fldChar w:fldCharType="separate"/>
            </w:r>
            <w:r w:rsidR="00302D39">
              <w:rPr>
                <w:rFonts w:cs="Arial"/>
              </w:rPr>
              <w:t>6.7.2</w:t>
            </w:r>
            <w:r w:rsidRPr="005356F1">
              <w:rPr>
                <w:rFonts w:cs="Arial"/>
              </w:rPr>
              <w:fldChar w:fldCharType="end"/>
            </w:r>
          </w:p>
        </w:tc>
        <w:tc>
          <w:tcPr>
            <w:tcW w:w="2966" w:type="dxa"/>
          </w:tcPr>
          <w:p w14:paraId="2FB2673B" w14:textId="77777777" w:rsidR="00F67E9E" w:rsidRPr="005356F1" w:rsidRDefault="00F67E9E" w:rsidP="007F74AA">
            <w:pPr>
              <w:pStyle w:val="StdBodyText"/>
              <w:spacing w:before="0" w:after="0"/>
              <w:rPr>
                <w:rFonts w:cs="Arial"/>
              </w:rPr>
            </w:pPr>
            <w:r w:rsidRPr="005356F1">
              <w:rPr>
                <w:rFonts w:cs="Arial"/>
              </w:rPr>
              <w:t>Authority Data (handback)</w:t>
            </w:r>
          </w:p>
        </w:tc>
        <w:tc>
          <w:tcPr>
            <w:tcW w:w="1996" w:type="dxa"/>
          </w:tcPr>
          <w:p w14:paraId="6A2F15F0" w14:textId="2DCC9FAF" w:rsidR="00F67E9E" w:rsidRPr="005356F1" w:rsidRDefault="00F67E9E" w:rsidP="007F74AA">
            <w:pPr>
              <w:pStyle w:val="StdBodyText"/>
              <w:spacing w:before="0" w:after="0"/>
              <w:rPr>
                <w:rFonts w:cs="Arial"/>
              </w:rPr>
            </w:pPr>
            <w:r w:rsidRPr="00830C78">
              <w:rPr>
                <w:rFonts w:cs="Arial"/>
              </w:rPr>
              <w:t xml:space="preserve">Sch </w:t>
            </w:r>
            <w:r w:rsidRPr="00830C78">
              <w:rPr>
                <w:rFonts w:cs="Arial"/>
              </w:rPr>
              <w:fldChar w:fldCharType="begin"/>
            </w:r>
            <w:r w:rsidRPr="00830C78">
              <w:rPr>
                <w:rFonts w:cs="Arial"/>
              </w:rPr>
              <w:instrText xml:space="preserve"> REF _Ref92200048 \h  \# "#" </w:instrText>
            </w:r>
            <w:r>
              <w:rPr>
                <w:rFonts w:cs="Arial"/>
              </w:rPr>
              <w:instrText xml:space="preserve"> \* MERGEFORMAT </w:instrText>
            </w:r>
            <w:r w:rsidRPr="00830C78">
              <w:rPr>
                <w:rFonts w:cs="Arial"/>
              </w:rPr>
            </w:r>
            <w:r w:rsidRPr="00830C78">
              <w:rPr>
                <w:rFonts w:cs="Arial"/>
              </w:rPr>
              <w:fldChar w:fldCharType="separate"/>
            </w:r>
            <w:r w:rsidR="00302D39">
              <w:rPr>
                <w:rFonts w:cs="Arial"/>
              </w:rPr>
              <w:t>25</w:t>
            </w:r>
            <w:r w:rsidRPr="00830C78">
              <w:rPr>
                <w:rFonts w:cs="Arial"/>
              </w:rPr>
              <w:fldChar w:fldCharType="end"/>
            </w:r>
            <w:r w:rsidRPr="005356F1">
              <w:rPr>
                <w:rFonts w:cs="Arial"/>
              </w:rPr>
              <w:t xml:space="preserve">, </w:t>
            </w:r>
            <w:bookmarkStart w:id="1900" w:name="_9kMHG5YVtCIBEE8JEyq1QKkTlwC24J61y7GBAHQ"/>
            <w:r w:rsidRPr="005356F1">
              <w:rPr>
                <w:rFonts w:cs="Arial"/>
              </w:rPr>
              <w:t xml:space="preserve">Para </w:t>
            </w:r>
            <w:r w:rsidRPr="005356F1">
              <w:rPr>
                <w:rFonts w:cs="Arial"/>
              </w:rPr>
              <w:fldChar w:fldCharType="begin"/>
            </w:r>
            <w:r w:rsidRPr="005356F1">
              <w:rPr>
                <w:rFonts w:cs="Arial"/>
              </w:rPr>
              <w:instrText xml:space="preserve"> REF _Ref_ContractCompanion_9kb9Us7GJ \w \n \h \t \* MERGEFORMAT </w:instrText>
            </w:r>
            <w:r w:rsidRPr="005356F1">
              <w:rPr>
                <w:rFonts w:cs="Arial"/>
              </w:rPr>
            </w:r>
            <w:r w:rsidRPr="005356F1">
              <w:rPr>
                <w:rFonts w:cs="Arial"/>
              </w:rPr>
              <w:fldChar w:fldCharType="separate"/>
            </w:r>
            <w:r w:rsidR="00302D39">
              <w:rPr>
                <w:rFonts w:cs="Arial"/>
              </w:rPr>
              <w:t>3</w:t>
            </w:r>
            <w:r w:rsidRPr="005356F1">
              <w:rPr>
                <w:rFonts w:cs="Arial"/>
              </w:rPr>
              <w:fldChar w:fldCharType="end"/>
            </w:r>
            <w:bookmarkEnd w:id="1900"/>
            <w:r w:rsidRPr="005356F1">
              <w:rPr>
                <w:rFonts w:cs="Arial"/>
              </w:rPr>
              <w:t xml:space="preserve"> and/or as appropriate and agreed by the Authority</w:t>
            </w:r>
          </w:p>
        </w:tc>
        <w:tc>
          <w:tcPr>
            <w:tcW w:w="2666" w:type="dxa"/>
          </w:tcPr>
          <w:p w14:paraId="2B699608" w14:textId="77777777" w:rsidR="00F67E9E" w:rsidRPr="005356F1" w:rsidRDefault="00F67E9E" w:rsidP="007F74AA">
            <w:pPr>
              <w:pStyle w:val="StdBodyText"/>
              <w:spacing w:before="0" w:after="0"/>
              <w:rPr>
                <w:rFonts w:cs="Arial"/>
              </w:rPr>
            </w:pPr>
            <w:r w:rsidRPr="005356F1">
              <w:rPr>
                <w:rFonts w:cs="Arial"/>
              </w:rPr>
              <w:t>At the end of the Termination Assistance Period</w:t>
            </w:r>
          </w:p>
        </w:tc>
        <w:tc>
          <w:tcPr>
            <w:tcW w:w="2862" w:type="dxa"/>
          </w:tcPr>
          <w:p w14:paraId="0CAD7A0A" w14:textId="77777777" w:rsidR="00F67E9E" w:rsidRPr="005356F1" w:rsidRDefault="00F67E9E" w:rsidP="007F74AA">
            <w:pPr>
              <w:pStyle w:val="StdBodyText"/>
              <w:spacing w:before="0" w:after="0"/>
              <w:rPr>
                <w:rFonts w:cs="Arial"/>
              </w:rPr>
            </w:pPr>
            <w:r w:rsidRPr="005356F1">
              <w:rPr>
                <w:rFonts w:cs="Arial"/>
              </w:rPr>
              <w:t>-</w:t>
            </w:r>
          </w:p>
        </w:tc>
        <w:tc>
          <w:tcPr>
            <w:tcW w:w="2381" w:type="dxa"/>
          </w:tcPr>
          <w:p w14:paraId="762F8FE5" w14:textId="77777777" w:rsidR="00F67E9E" w:rsidRPr="005356F1" w:rsidRDefault="00F67E9E" w:rsidP="007F74AA">
            <w:pPr>
              <w:pStyle w:val="StdBodyText"/>
              <w:spacing w:before="0" w:after="0"/>
              <w:rPr>
                <w:rFonts w:cs="Arial"/>
              </w:rPr>
            </w:pPr>
            <w:r w:rsidRPr="005356F1">
              <w:rPr>
                <w:rFonts w:cs="Arial"/>
              </w:rPr>
              <w:t xml:space="preserve">Authority </w:t>
            </w:r>
          </w:p>
        </w:tc>
      </w:tr>
      <w:tr w:rsidR="00F67E9E" w:rsidRPr="005356F1" w14:paraId="2F63F53C" w14:textId="77777777" w:rsidTr="007F74AA">
        <w:trPr>
          <w:trHeight w:val="20"/>
        </w:trPr>
        <w:tc>
          <w:tcPr>
            <w:tcW w:w="2268" w:type="dxa"/>
          </w:tcPr>
          <w:p w14:paraId="19E94C44" w14:textId="57C095C7" w:rsidR="00F67E9E" w:rsidRPr="005356F1" w:rsidRDefault="00F67E9E" w:rsidP="007F74AA">
            <w:pPr>
              <w:pStyle w:val="StdBodyText"/>
              <w:spacing w:before="0" w:after="0"/>
              <w:rPr>
                <w:rFonts w:cs="Arial"/>
                <w:lang w:val="es-ES"/>
              </w:rPr>
            </w:pPr>
            <w:r w:rsidRPr="00F570EF">
              <w:rPr>
                <w:rFonts w:cs="Arial"/>
                <w:lang w:val="es-ES"/>
              </w:rPr>
              <w:t>Sch</w:t>
            </w:r>
            <w:r w:rsidRPr="00B224EC">
              <w:rPr>
                <w:rFonts w:cs="Arial"/>
                <w:lang w:val="es-ES"/>
              </w:rPr>
              <w:t xml:space="preserve"> </w:t>
            </w:r>
            <w:r w:rsidRPr="00B224EC">
              <w:rPr>
                <w:rFonts w:cs="Arial"/>
              </w:rPr>
              <w:fldChar w:fldCharType="begin"/>
            </w:r>
            <w:r w:rsidRPr="00B224EC">
              <w:rPr>
                <w:rFonts w:cs="Arial"/>
                <w:lang w:val="es-ES"/>
              </w:rPr>
              <w:instrText xml:space="preserve"> REF _Ref92200048 \h  \# "#"  \* MERGEFORMAT </w:instrText>
            </w:r>
            <w:r w:rsidRPr="00B224EC">
              <w:rPr>
                <w:rFonts w:cs="Arial"/>
              </w:rPr>
            </w:r>
            <w:r w:rsidRPr="00B224EC">
              <w:rPr>
                <w:rFonts w:cs="Arial"/>
              </w:rPr>
              <w:fldChar w:fldCharType="separate"/>
            </w:r>
            <w:r w:rsidR="00302D39">
              <w:rPr>
                <w:rFonts w:cs="Arial"/>
                <w:lang w:val="es-ES"/>
              </w:rPr>
              <w:t>25</w:t>
            </w:r>
            <w:r w:rsidRPr="00B224EC">
              <w:rPr>
                <w:rFonts w:cs="Arial"/>
              </w:rPr>
              <w:fldChar w:fldCharType="end"/>
            </w:r>
            <w:r w:rsidRPr="00B224EC">
              <w:rPr>
                <w:rFonts w:cs="Arial"/>
                <w:lang w:val="es-ES"/>
              </w:rPr>
              <w:t xml:space="preserve">, Annex </w:t>
            </w:r>
            <w:r w:rsidRPr="00B224EC">
              <w:rPr>
                <w:rFonts w:cs="Arial"/>
              </w:rPr>
              <w:fldChar w:fldCharType="begin"/>
            </w:r>
            <w:r w:rsidRPr="00B224EC">
              <w:rPr>
                <w:rFonts w:cs="Arial"/>
                <w:lang w:val="es-ES"/>
              </w:rPr>
              <w:instrText xml:space="preserve"> REF ANNEX1_SCHEDULE25 \h  \* MERGEFORMAT </w:instrText>
            </w:r>
            <w:r w:rsidRPr="00B224EC">
              <w:rPr>
                <w:rFonts w:cs="Arial"/>
              </w:rPr>
            </w:r>
            <w:r w:rsidRPr="00B224EC">
              <w:rPr>
                <w:rFonts w:cs="Arial"/>
              </w:rPr>
              <w:fldChar w:fldCharType="separate"/>
            </w:r>
            <w:r w:rsidR="00302D39" w:rsidRPr="00302D39">
              <w:rPr>
                <w:rFonts w:cs="Arial"/>
                <w:lang w:val="es-ES"/>
              </w:rPr>
              <w:t>1</w:t>
            </w:r>
            <w:r w:rsidRPr="00B224EC">
              <w:rPr>
                <w:rFonts w:cs="Arial"/>
              </w:rPr>
              <w:fldChar w:fldCharType="end"/>
            </w:r>
            <w:r w:rsidRPr="005356F1">
              <w:rPr>
                <w:rFonts w:cs="Arial"/>
                <w:lang w:val="es-ES"/>
              </w:rPr>
              <w:t xml:space="preserve">, </w:t>
            </w:r>
            <w:bookmarkStart w:id="1901" w:name="_9kMIH5YVtCIBDLOREyq1QIkYu6ZI65t235LHIT3"/>
            <w:r w:rsidRPr="005356F1">
              <w:rPr>
                <w:rFonts w:cs="Arial"/>
                <w:lang w:val="es-ES"/>
              </w:rPr>
              <w:t xml:space="preserve">Para </w:t>
            </w:r>
            <w:r>
              <w:rPr>
                <w:rFonts w:cs="Arial"/>
                <w:lang w:val="es-ES"/>
              </w:rPr>
              <w:fldChar w:fldCharType="begin"/>
            </w:r>
            <w:r>
              <w:rPr>
                <w:rFonts w:cs="Arial"/>
                <w:lang w:val="es-ES"/>
              </w:rPr>
              <w:instrText xml:space="preserve"> REF _Ref99013643 \w \h </w:instrText>
            </w:r>
            <w:r>
              <w:rPr>
                <w:rFonts w:cs="Arial"/>
                <w:lang w:val="es-ES"/>
              </w:rPr>
            </w:r>
            <w:r>
              <w:rPr>
                <w:rFonts w:cs="Arial"/>
                <w:lang w:val="es-ES"/>
              </w:rPr>
              <w:fldChar w:fldCharType="separate"/>
            </w:r>
            <w:r w:rsidR="00302D39">
              <w:rPr>
                <w:rFonts w:cs="Arial"/>
                <w:lang w:val="es-ES"/>
              </w:rPr>
              <w:t>1.1</w:t>
            </w:r>
            <w:r>
              <w:rPr>
                <w:rFonts w:cs="Arial"/>
                <w:lang w:val="es-ES"/>
              </w:rPr>
              <w:fldChar w:fldCharType="end"/>
            </w:r>
            <w:bookmarkEnd w:id="1901"/>
            <w:r w:rsidRPr="005356F1">
              <w:rPr>
                <w:rFonts w:cs="Arial"/>
                <w:lang w:val="es-ES"/>
              </w:rPr>
              <w:t xml:space="preserve">, Para </w:t>
            </w:r>
            <w:r>
              <w:rPr>
                <w:rFonts w:cs="Arial"/>
                <w:lang w:val="es-ES"/>
              </w:rPr>
              <w:fldChar w:fldCharType="begin"/>
            </w:r>
            <w:r>
              <w:rPr>
                <w:rFonts w:cs="Arial"/>
                <w:lang w:val="es-ES"/>
              </w:rPr>
              <w:instrText xml:space="preserve"> REF _Ref99013651 \w \h </w:instrText>
            </w:r>
            <w:r>
              <w:rPr>
                <w:rFonts w:cs="Arial"/>
                <w:lang w:val="es-ES"/>
              </w:rPr>
            </w:r>
            <w:r>
              <w:rPr>
                <w:rFonts w:cs="Arial"/>
                <w:lang w:val="es-ES"/>
              </w:rPr>
              <w:fldChar w:fldCharType="separate"/>
            </w:r>
            <w:r w:rsidR="00302D39">
              <w:rPr>
                <w:rFonts w:cs="Arial"/>
                <w:lang w:val="es-ES"/>
              </w:rPr>
              <w:t>1.2</w:t>
            </w:r>
            <w:r>
              <w:rPr>
                <w:rFonts w:cs="Arial"/>
                <w:lang w:val="es-ES"/>
              </w:rPr>
              <w:fldChar w:fldCharType="end"/>
            </w:r>
            <w:r w:rsidRPr="005356F1">
              <w:rPr>
                <w:rFonts w:cs="Arial"/>
                <w:lang w:val="es-ES"/>
              </w:rPr>
              <w:t xml:space="preserve"> </w:t>
            </w:r>
            <w:bookmarkStart w:id="1902" w:name="_9kMHG5YVtCIBEEDFEhTlXiC85zt3I9sx9ELLQL4"/>
            <w:r w:rsidRPr="005356F1">
              <w:rPr>
                <w:rFonts w:cs="Arial"/>
                <w:lang w:val="es-ES"/>
              </w:rPr>
              <w:t xml:space="preserve">Para </w:t>
            </w:r>
            <w:r w:rsidRPr="005356F1">
              <w:rPr>
                <w:rFonts w:cs="Arial"/>
              </w:rPr>
              <w:fldChar w:fldCharType="begin"/>
            </w:r>
            <w:r w:rsidRPr="005356F1">
              <w:rPr>
                <w:rFonts w:cs="Arial"/>
                <w:lang w:val="es-ES"/>
              </w:rPr>
              <w:instrText xml:space="preserve"> REF _Ref_ContractCompanion_9kb9Us885 \n \h \t \* MERGEFORMAT </w:instrText>
            </w:r>
            <w:r w:rsidRPr="005356F1">
              <w:rPr>
                <w:rFonts w:cs="Arial"/>
              </w:rPr>
            </w:r>
            <w:r w:rsidRPr="005356F1">
              <w:rPr>
                <w:rFonts w:cs="Arial"/>
              </w:rPr>
              <w:fldChar w:fldCharType="separate"/>
            </w:r>
            <w:r w:rsidR="00302D39">
              <w:rPr>
                <w:rFonts w:cs="Arial"/>
                <w:lang w:val="es-ES"/>
              </w:rPr>
              <w:t>1.3</w:t>
            </w:r>
            <w:r w:rsidRPr="005356F1">
              <w:rPr>
                <w:rFonts w:cs="Arial"/>
              </w:rPr>
              <w:fldChar w:fldCharType="end"/>
            </w:r>
            <w:bookmarkEnd w:id="1902"/>
            <w:r w:rsidRPr="005356F1">
              <w:rPr>
                <w:rFonts w:cs="Arial"/>
                <w:lang w:val="es-ES"/>
              </w:rPr>
              <w:t xml:space="preserve"> &amp; </w:t>
            </w:r>
            <w:bookmarkStart w:id="1903" w:name="_9kMHG5YVtCIBEEGIFPGB2n3wl32qz02IE946IIA"/>
            <w:r w:rsidRPr="005356F1">
              <w:rPr>
                <w:rFonts w:cs="Arial"/>
                <w:lang w:val="es-ES"/>
              </w:rPr>
              <w:t xml:space="preserve">Para </w:t>
            </w:r>
            <w:r w:rsidRPr="005356F1">
              <w:rPr>
                <w:rFonts w:cs="Arial"/>
              </w:rPr>
              <w:fldChar w:fldCharType="begin"/>
            </w:r>
            <w:r w:rsidRPr="005356F1">
              <w:rPr>
                <w:rFonts w:cs="Arial"/>
                <w:lang w:val="es-ES"/>
              </w:rPr>
              <w:instrText xml:space="preserve"> REF _Ref_ContractCompanion_9kb9Us888 \n \h \t \* MERGEFORMAT </w:instrText>
            </w:r>
            <w:r w:rsidRPr="005356F1">
              <w:rPr>
                <w:rFonts w:cs="Arial"/>
              </w:rPr>
            </w:r>
            <w:r w:rsidRPr="005356F1">
              <w:rPr>
                <w:rFonts w:cs="Arial"/>
              </w:rPr>
              <w:fldChar w:fldCharType="separate"/>
            </w:r>
            <w:r w:rsidR="00302D39">
              <w:rPr>
                <w:rFonts w:cs="Arial"/>
                <w:lang w:val="es-ES"/>
              </w:rPr>
              <w:t>1.4</w:t>
            </w:r>
            <w:r w:rsidRPr="005356F1">
              <w:rPr>
                <w:rFonts w:cs="Arial"/>
              </w:rPr>
              <w:fldChar w:fldCharType="end"/>
            </w:r>
            <w:bookmarkEnd w:id="1903"/>
          </w:p>
        </w:tc>
        <w:tc>
          <w:tcPr>
            <w:tcW w:w="2966" w:type="dxa"/>
          </w:tcPr>
          <w:p w14:paraId="261F9217" w14:textId="77777777" w:rsidR="00F67E9E" w:rsidRPr="005356F1" w:rsidRDefault="00F67E9E" w:rsidP="007F74AA">
            <w:pPr>
              <w:pStyle w:val="StdBodyText"/>
              <w:spacing w:before="0" w:after="0"/>
              <w:rPr>
                <w:rFonts w:cs="Arial"/>
              </w:rPr>
            </w:pPr>
            <w:r w:rsidRPr="005356F1">
              <w:rPr>
                <w:rFonts w:cs="Arial"/>
              </w:rPr>
              <w:t>Termination Services supporting documentation and knowledge transfer material</w:t>
            </w:r>
          </w:p>
        </w:tc>
        <w:tc>
          <w:tcPr>
            <w:tcW w:w="1996" w:type="dxa"/>
          </w:tcPr>
          <w:p w14:paraId="2434377A" w14:textId="77777777" w:rsidR="00F67E9E" w:rsidRPr="005356F1" w:rsidRDefault="00F67E9E" w:rsidP="007F74AA">
            <w:pPr>
              <w:pStyle w:val="StdBodyText"/>
              <w:spacing w:before="0" w:after="0"/>
              <w:rPr>
                <w:rFonts w:cs="Arial"/>
              </w:rPr>
            </w:pPr>
            <w:r w:rsidRPr="005356F1">
              <w:rPr>
                <w:rFonts w:cs="Arial"/>
              </w:rPr>
              <w:t>As appropriate and agreed by the Authority</w:t>
            </w:r>
          </w:p>
        </w:tc>
        <w:tc>
          <w:tcPr>
            <w:tcW w:w="2666" w:type="dxa"/>
          </w:tcPr>
          <w:p w14:paraId="024102DD" w14:textId="77777777" w:rsidR="00F67E9E" w:rsidRPr="005356F1" w:rsidRDefault="00F67E9E" w:rsidP="007F74AA">
            <w:pPr>
              <w:pStyle w:val="StdBodyText"/>
              <w:spacing w:before="0" w:after="0"/>
              <w:rPr>
                <w:rFonts w:cs="Arial"/>
              </w:rPr>
            </w:pPr>
            <w:r w:rsidRPr="005356F1">
              <w:rPr>
                <w:rFonts w:cs="Arial"/>
              </w:rPr>
              <w:t xml:space="preserve">As specified in the Termination Assistance Notice and in any event prior to the end of the Termination Assistance Period </w:t>
            </w:r>
          </w:p>
        </w:tc>
        <w:tc>
          <w:tcPr>
            <w:tcW w:w="2862" w:type="dxa"/>
          </w:tcPr>
          <w:p w14:paraId="13178CF6" w14:textId="77777777" w:rsidR="00F67E9E" w:rsidRPr="005356F1" w:rsidRDefault="00F67E9E" w:rsidP="007F74AA">
            <w:pPr>
              <w:pStyle w:val="StdBodyText"/>
              <w:spacing w:before="0" w:after="0"/>
              <w:rPr>
                <w:rFonts w:cs="Arial"/>
              </w:rPr>
            </w:pPr>
            <w:r w:rsidRPr="005356F1">
              <w:rPr>
                <w:rFonts w:cs="Arial"/>
              </w:rPr>
              <w:t xml:space="preserve">As specified in the Termination Assistance Notice or otherwise requested by the Authority </w:t>
            </w:r>
          </w:p>
        </w:tc>
        <w:tc>
          <w:tcPr>
            <w:tcW w:w="2381" w:type="dxa"/>
          </w:tcPr>
          <w:p w14:paraId="09878773" w14:textId="77777777" w:rsidR="00F67E9E" w:rsidRPr="005356F1" w:rsidRDefault="00F67E9E" w:rsidP="007F74AA">
            <w:pPr>
              <w:pStyle w:val="StdBodyText"/>
              <w:spacing w:before="0" w:after="0"/>
              <w:rPr>
                <w:rFonts w:cs="Arial"/>
              </w:rPr>
            </w:pPr>
            <w:r w:rsidRPr="005356F1">
              <w:rPr>
                <w:rFonts w:cs="Arial"/>
              </w:rPr>
              <w:t>-</w:t>
            </w:r>
          </w:p>
        </w:tc>
      </w:tr>
      <w:tr w:rsidR="00F67E9E" w:rsidRPr="005356F1" w14:paraId="7F0FD217" w14:textId="77777777" w:rsidTr="007F74AA">
        <w:trPr>
          <w:trHeight w:val="20"/>
        </w:trPr>
        <w:tc>
          <w:tcPr>
            <w:tcW w:w="2268" w:type="dxa"/>
          </w:tcPr>
          <w:p w14:paraId="28C3C9F4" w14:textId="4DB322DD" w:rsidR="00F67E9E" w:rsidRPr="00830C78" w:rsidRDefault="00F67E9E" w:rsidP="007F74AA">
            <w:pPr>
              <w:pStyle w:val="StdBodyText"/>
              <w:spacing w:before="0" w:after="0"/>
              <w:rPr>
                <w:rFonts w:cs="Arial"/>
              </w:rPr>
            </w:pPr>
            <w:bookmarkStart w:id="1904" w:name="_9kMHG5YVtCIBEF9HOWMzx1D80zrmltB99PRG2oz"/>
            <w:r w:rsidRPr="00830C78">
              <w:rPr>
                <w:rFonts w:cs="Arial"/>
              </w:rPr>
              <w:t xml:space="preserve">Sch </w:t>
            </w:r>
            <w:bookmarkEnd w:id="1904"/>
            <w:r w:rsidRPr="00830C78">
              <w:rPr>
                <w:rFonts w:cs="Arial"/>
              </w:rPr>
              <w:fldChar w:fldCharType="begin"/>
            </w:r>
            <w:r w:rsidRPr="00830C78">
              <w:rPr>
                <w:rFonts w:cs="Arial"/>
              </w:rPr>
              <w:instrText xml:space="preserve"> REF _Ref92200057 \h  \# "#" </w:instrText>
            </w:r>
            <w:r>
              <w:rPr>
                <w:rFonts w:cs="Arial"/>
              </w:rPr>
              <w:instrText xml:space="preserve"> \* MERGEFORMAT </w:instrText>
            </w:r>
            <w:r w:rsidRPr="00830C78">
              <w:rPr>
                <w:rFonts w:cs="Arial"/>
              </w:rPr>
            </w:r>
            <w:r w:rsidRPr="00830C78">
              <w:rPr>
                <w:rFonts w:cs="Arial"/>
              </w:rPr>
              <w:fldChar w:fldCharType="separate"/>
            </w:r>
            <w:r w:rsidR="00302D39">
              <w:rPr>
                <w:rFonts w:cs="Arial"/>
              </w:rPr>
              <w:t>26</w:t>
            </w:r>
            <w:r w:rsidRPr="00830C78">
              <w:rPr>
                <w:rFonts w:cs="Arial"/>
              </w:rPr>
              <w:fldChar w:fldCharType="end"/>
            </w:r>
            <w:r w:rsidRPr="00830C78">
              <w:rPr>
                <w:rFonts w:cs="Arial"/>
              </w:rPr>
              <w:t xml:space="preserve"> Service Continuity</w:t>
            </w:r>
            <w:r>
              <w:rPr>
                <w:rFonts w:cs="Arial"/>
              </w:rPr>
              <w:t xml:space="preserve"> </w:t>
            </w:r>
          </w:p>
        </w:tc>
        <w:tc>
          <w:tcPr>
            <w:tcW w:w="2966" w:type="dxa"/>
          </w:tcPr>
          <w:p w14:paraId="7A27503B" w14:textId="77777777" w:rsidR="00F67E9E" w:rsidRPr="005356F1" w:rsidRDefault="00F67E9E" w:rsidP="007F74AA">
            <w:pPr>
              <w:pStyle w:val="StdBodyText"/>
              <w:spacing w:before="0" w:after="0"/>
              <w:rPr>
                <w:rFonts w:cs="Arial"/>
              </w:rPr>
            </w:pPr>
            <w:r w:rsidRPr="005356F1">
              <w:rPr>
                <w:rFonts w:cs="Arial"/>
              </w:rPr>
              <w:t>Service Continuity Plan</w:t>
            </w:r>
          </w:p>
        </w:tc>
        <w:tc>
          <w:tcPr>
            <w:tcW w:w="1996" w:type="dxa"/>
          </w:tcPr>
          <w:p w14:paraId="513DE949" w14:textId="3239BDAD" w:rsidR="00F67E9E" w:rsidRPr="005356F1" w:rsidRDefault="00F67E9E" w:rsidP="007F74AA">
            <w:pPr>
              <w:pStyle w:val="StdBodyText"/>
              <w:spacing w:before="0" w:after="0"/>
              <w:rPr>
                <w:rFonts w:cs="Arial"/>
              </w:rPr>
            </w:pPr>
            <w:r w:rsidRPr="00830C78">
              <w:rPr>
                <w:rFonts w:cs="Arial"/>
              </w:rPr>
              <w:t xml:space="preserve">Sch </w:t>
            </w:r>
            <w:r w:rsidRPr="00830C78">
              <w:rPr>
                <w:rFonts w:cs="Arial"/>
              </w:rPr>
              <w:fldChar w:fldCharType="begin"/>
            </w:r>
            <w:r w:rsidRPr="00830C78">
              <w:rPr>
                <w:rFonts w:cs="Arial"/>
              </w:rPr>
              <w:instrText xml:space="preserve"> REF _Ref92200057 \h  \# "#" </w:instrText>
            </w:r>
            <w:r>
              <w:rPr>
                <w:rFonts w:cs="Arial"/>
              </w:rPr>
              <w:instrText xml:space="preserve"> \* MERGEFORMAT </w:instrText>
            </w:r>
            <w:r w:rsidRPr="00830C78">
              <w:rPr>
                <w:rFonts w:cs="Arial"/>
              </w:rPr>
            </w:r>
            <w:r w:rsidRPr="00830C78">
              <w:rPr>
                <w:rFonts w:cs="Arial"/>
              </w:rPr>
              <w:fldChar w:fldCharType="separate"/>
            </w:r>
            <w:r w:rsidR="00302D39">
              <w:rPr>
                <w:rFonts w:cs="Arial"/>
              </w:rPr>
              <w:t>26</w:t>
            </w:r>
            <w:r w:rsidRPr="00830C78">
              <w:rPr>
                <w:rFonts w:cs="Arial"/>
              </w:rPr>
              <w:fldChar w:fldCharType="end"/>
            </w:r>
            <w:r w:rsidRPr="005356F1">
              <w:rPr>
                <w:rFonts w:cs="Arial"/>
              </w:rPr>
              <w:t xml:space="preserve">, </w:t>
            </w:r>
            <w:bookmarkStart w:id="1905" w:name="_9kMHG5YVt4DEDLGYGpq2I"/>
            <w:r w:rsidRPr="005356F1">
              <w:rPr>
                <w:rFonts w:cs="Arial"/>
              </w:rPr>
              <w:t xml:space="preserve">Para </w:t>
            </w:r>
            <w:r w:rsidRPr="005356F1">
              <w:rPr>
                <w:rFonts w:cs="Arial"/>
              </w:rPr>
              <w:fldChar w:fldCharType="begin"/>
            </w:r>
            <w:r w:rsidRPr="005356F1">
              <w:rPr>
                <w:rFonts w:cs="Arial"/>
              </w:rPr>
              <w:instrText xml:space="preserve"> REF _Ref_ContractCompanion_9kb9Us7EH \n \h \t \* MERGEFORMAT </w:instrText>
            </w:r>
            <w:r w:rsidRPr="005356F1">
              <w:rPr>
                <w:rFonts w:cs="Arial"/>
              </w:rPr>
            </w:r>
            <w:r w:rsidRPr="005356F1">
              <w:rPr>
                <w:rFonts w:cs="Arial"/>
              </w:rPr>
              <w:fldChar w:fldCharType="separate"/>
            </w:r>
            <w:r w:rsidR="00302D39">
              <w:rPr>
                <w:rFonts w:cs="Arial"/>
              </w:rPr>
              <w:t>2.2</w:t>
            </w:r>
            <w:r w:rsidRPr="005356F1">
              <w:rPr>
                <w:rFonts w:cs="Arial"/>
              </w:rPr>
              <w:fldChar w:fldCharType="end"/>
            </w:r>
            <w:bookmarkEnd w:id="1905"/>
          </w:p>
        </w:tc>
        <w:tc>
          <w:tcPr>
            <w:tcW w:w="2666" w:type="dxa"/>
          </w:tcPr>
          <w:p w14:paraId="4F2B671E" w14:textId="77777777" w:rsidR="00F67E9E" w:rsidRPr="005356F1" w:rsidRDefault="00F67E9E" w:rsidP="007F74AA">
            <w:pPr>
              <w:pStyle w:val="StdBodyText"/>
              <w:spacing w:before="0" w:after="0"/>
              <w:rPr>
                <w:rFonts w:cs="Arial"/>
              </w:rPr>
            </w:pPr>
            <w:r w:rsidRPr="005356F1">
              <w:rPr>
                <w:rFonts w:cs="Arial"/>
              </w:rPr>
              <w:t>Within 40 Working Days from the Effective Date</w:t>
            </w:r>
          </w:p>
        </w:tc>
        <w:tc>
          <w:tcPr>
            <w:tcW w:w="2862" w:type="dxa"/>
          </w:tcPr>
          <w:p w14:paraId="4F1FBC52" w14:textId="28B65DD0" w:rsidR="00F67E9E" w:rsidRPr="005356F1" w:rsidRDefault="00F67E9E" w:rsidP="007F74AA">
            <w:pPr>
              <w:pStyle w:val="StdBodyText"/>
              <w:spacing w:before="0" w:after="0"/>
              <w:rPr>
                <w:rFonts w:cs="Arial"/>
              </w:rPr>
            </w:pPr>
            <w:r w:rsidRPr="00830C78">
              <w:rPr>
                <w:rFonts w:cs="Arial"/>
              </w:rPr>
              <w:t xml:space="preserve">Sch </w:t>
            </w:r>
            <w:r w:rsidRPr="00830C78">
              <w:rPr>
                <w:rFonts w:cs="Arial"/>
              </w:rPr>
              <w:fldChar w:fldCharType="begin"/>
            </w:r>
            <w:r w:rsidRPr="00830C78">
              <w:rPr>
                <w:rFonts w:cs="Arial"/>
              </w:rPr>
              <w:instrText xml:space="preserve"> REF _Ref92200057 \h  \# "#" </w:instrText>
            </w:r>
            <w:r>
              <w:rPr>
                <w:rFonts w:cs="Arial"/>
              </w:rPr>
              <w:instrText xml:space="preserve"> \* MERGEFORMAT </w:instrText>
            </w:r>
            <w:r w:rsidRPr="00830C78">
              <w:rPr>
                <w:rFonts w:cs="Arial"/>
              </w:rPr>
            </w:r>
            <w:r w:rsidRPr="00830C78">
              <w:rPr>
                <w:rFonts w:cs="Arial"/>
              </w:rPr>
              <w:fldChar w:fldCharType="separate"/>
            </w:r>
            <w:r w:rsidR="00302D39">
              <w:rPr>
                <w:rFonts w:cs="Arial"/>
              </w:rPr>
              <w:t>26</w:t>
            </w:r>
            <w:r w:rsidRPr="00830C78">
              <w:rPr>
                <w:rFonts w:cs="Arial"/>
              </w:rPr>
              <w:fldChar w:fldCharType="end"/>
            </w:r>
            <w:r w:rsidRPr="005356F1">
              <w:rPr>
                <w:rFonts w:cs="Arial"/>
              </w:rPr>
              <w:t xml:space="preserve">, </w:t>
            </w:r>
            <w:bookmarkStart w:id="1906" w:name="_9kR3WTr2BCCDAZEno5K"/>
            <w:r w:rsidRPr="005356F1">
              <w:rPr>
                <w:rFonts w:cs="Arial"/>
              </w:rPr>
              <w:t xml:space="preserve">Para </w:t>
            </w:r>
            <w:r w:rsidRPr="005356F1">
              <w:rPr>
                <w:rFonts w:cs="Arial"/>
              </w:rPr>
              <w:fldChar w:fldCharType="begin"/>
            </w:r>
            <w:r w:rsidRPr="005356F1">
              <w:rPr>
                <w:rFonts w:cs="Arial"/>
              </w:rPr>
              <w:instrText xml:space="preserve"> REF _Ref_ContractCompanion_9kb9Us894 \n \h \t \* MERGEFORMAT </w:instrText>
            </w:r>
            <w:r w:rsidRPr="005356F1">
              <w:rPr>
                <w:rFonts w:cs="Arial"/>
              </w:rPr>
            </w:r>
            <w:r w:rsidRPr="005356F1">
              <w:rPr>
                <w:rFonts w:cs="Arial"/>
              </w:rPr>
              <w:fldChar w:fldCharType="separate"/>
            </w:r>
            <w:r w:rsidR="00302D39">
              <w:rPr>
                <w:rFonts w:cs="Arial"/>
              </w:rPr>
              <w:t>7.1</w:t>
            </w:r>
            <w:r w:rsidRPr="005356F1">
              <w:rPr>
                <w:rFonts w:cs="Arial"/>
              </w:rPr>
              <w:fldChar w:fldCharType="end"/>
            </w:r>
            <w:bookmarkEnd w:id="1906"/>
          </w:p>
        </w:tc>
        <w:tc>
          <w:tcPr>
            <w:tcW w:w="2381" w:type="dxa"/>
          </w:tcPr>
          <w:p w14:paraId="0F886823" w14:textId="77777777" w:rsidR="00F67E9E" w:rsidRPr="005356F1" w:rsidRDefault="00F67E9E" w:rsidP="007F74AA">
            <w:pPr>
              <w:pStyle w:val="StdBodyText"/>
              <w:spacing w:before="0" w:after="0"/>
              <w:rPr>
                <w:rFonts w:cs="Arial"/>
              </w:rPr>
            </w:pPr>
            <w:r w:rsidRPr="005356F1">
              <w:rPr>
                <w:rFonts w:cs="Arial"/>
              </w:rPr>
              <w:t>Authority</w:t>
            </w:r>
          </w:p>
        </w:tc>
      </w:tr>
      <w:tr w:rsidR="00F67E9E" w:rsidRPr="005356F1" w14:paraId="5164B9B1" w14:textId="77777777" w:rsidTr="007F74AA">
        <w:trPr>
          <w:trHeight w:val="20"/>
        </w:trPr>
        <w:tc>
          <w:tcPr>
            <w:tcW w:w="2268" w:type="dxa"/>
          </w:tcPr>
          <w:p w14:paraId="1CFBB238" w14:textId="63CD46F9" w:rsidR="00F67E9E" w:rsidRPr="005356F1" w:rsidRDefault="00F67E9E" w:rsidP="007F74AA">
            <w:pPr>
              <w:pStyle w:val="StdBodyText"/>
              <w:spacing w:before="0" w:after="0"/>
              <w:rPr>
                <w:rFonts w:cs="Arial"/>
              </w:rPr>
            </w:pPr>
            <w:r w:rsidRPr="00830C78">
              <w:rPr>
                <w:rFonts w:cs="Arial"/>
              </w:rPr>
              <w:t xml:space="preserve">Sch </w:t>
            </w:r>
            <w:r w:rsidRPr="00830C78">
              <w:rPr>
                <w:rFonts w:cs="Arial"/>
              </w:rPr>
              <w:fldChar w:fldCharType="begin"/>
            </w:r>
            <w:r w:rsidRPr="00830C78">
              <w:rPr>
                <w:rFonts w:cs="Arial"/>
              </w:rPr>
              <w:instrText xml:space="preserve"> REF _Ref92200057 \h  \# "#" </w:instrText>
            </w:r>
            <w:r>
              <w:rPr>
                <w:rFonts w:cs="Arial"/>
              </w:rPr>
              <w:instrText xml:space="preserve"> \* MERGEFORMAT </w:instrText>
            </w:r>
            <w:r w:rsidRPr="00830C78">
              <w:rPr>
                <w:rFonts w:cs="Arial"/>
              </w:rPr>
            </w:r>
            <w:r w:rsidRPr="00830C78">
              <w:rPr>
                <w:rFonts w:cs="Arial"/>
              </w:rPr>
              <w:fldChar w:fldCharType="separate"/>
            </w:r>
            <w:r w:rsidR="00302D39">
              <w:rPr>
                <w:rFonts w:cs="Arial"/>
              </w:rPr>
              <w:t>26</w:t>
            </w:r>
            <w:r w:rsidRPr="00830C78">
              <w:rPr>
                <w:rFonts w:cs="Arial"/>
              </w:rPr>
              <w:fldChar w:fldCharType="end"/>
            </w:r>
            <w:r w:rsidRPr="005356F1">
              <w:rPr>
                <w:rFonts w:cs="Arial"/>
              </w:rPr>
              <w:t xml:space="preserve">, </w:t>
            </w:r>
            <w:bookmarkStart w:id="1907" w:name="_9kR3WTr2BCCDGfEno4K"/>
            <w:r w:rsidRPr="005356F1">
              <w:rPr>
                <w:rFonts w:cs="Arial"/>
              </w:rPr>
              <w:t xml:space="preserve">Para </w:t>
            </w:r>
            <w:r>
              <w:rPr>
                <w:rFonts w:cs="Arial"/>
              </w:rPr>
              <w:fldChar w:fldCharType="begin"/>
            </w:r>
            <w:r>
              <w:rPr>
                <w:rFonts w:cs="Arial"/>
              </w:rPr>
              <w:instrText xml:space="preserve"> REF _Ref99012795 \w \h </w:instrText>
            </w:r>
            <w:r>
              <w:rPr>
                <w:rFonts w:cs="Arial"/>
              </w:rPr>
            </w:r>
            <w:r>
              <w:rPr>
                <w:rFonts w:cs="Arial"/>
              </w:rPr>
              <w:fldChar w:fldCharType="separate"/>
            </w:r>
            <w:r w:rsidR="00302D39">
              <w:rPr>
                <w:rFonts w:cs="Arial"/>
              </w:rPr>
              <w:t>7.2</w:t>
            </w:r>
            <w:r>
              <w:rPr>
                <w:rFonts w:cs="Arial"/>
              </w:rPr>
              <w:fldChar w:fldCharType="end"/>
            </w:r>
            <w:bookmarkEnd w:id="1907"/>
            <w:r w:rsidRPr="005356F1">
              <w:rPr>
                <w:rFonts w:cs="Arial"/>
              </w:rPr>
              <w:t xml:space="preserve"> </w:t>
            </w:r>
          </w:p>
        </w:tc>
        <w:tc>
          <w:tcPr>
            <w:tcW w:w="2966" w:type="dxa"/>
          </w:tcPr>
          <w:p w14:paraId="7EF0DD8A" w14:textId="77777777" w:rsidR="00F67E9E" w:rsidRPr="005356F1" w:rsidRDefault="00F67E9E" w:rsidP="007F74AA">
            <w:pPr>
              <w:pStyle w:val="StdBodyText"/>
              <w:spacing w:before="0" w:after="0"/>
              <w:rPr>
                <w:rFonts w:cs="Arial"/>
              </w:rPr>
            </w:pPr>
            <w:r w:rsidRPr="005356F1">
              <w:rPr>
                <w:rFonts w:cs="Arial"/>
              </w:rPr>
              <w:t>Service Continuity Plan Review Report</w:t>
            </w:r>
          </w:p>
        </w:tc>
        <w:tc>
          <w:tcPr>
            <w:tcW w:w="1996" w:type="dxa"/>
          </w:tcPr>
          <w:p w14:paraId="796FF71B" w14:textId="23B7E658" w:rsidR="00F67E9E" w:rsidRPr="005356F1" w:rsidRDefault="00F67E9E" w:rsidP="007F74AA">
            <w:pPr>
              <w:pStyle w:val="StdBodyText"/>
              <w:spacing w:before="0" w:after="0"/>
              <w:rPr>
                <w:rFonts w:cs="Arial"/>
              </w:rPr>
            </w:pPr>
            <w:r w:rsidRPr="00830C78">
              <w:rPr>
                <w:rFonts w:cs="Arial"/>
              </w:rPr>
              <w:t xml:space="preserve">Sch </w:t>
            </w:r>
            <w:r w:rsidRPr="00830C78">
              <w:rPr>
                <w:rFonts w:cs="Arial"/>
              </w:rPr>
              <w:fldChar w:fldCharType="begin"/>
            </w:r>
            <w:r w:rsidRPr="00830C78">
              <w:rPr>
                <w:rFonts w:cs="Arial"/>
              </w:rPr>
              <w:instrText xml:space="preserve"> REF _Ref92200057 \h  \# "#" </w:instrText>
            </w:r>
            <w:r>
              <w:rPr>
                <w:rFonts w:cs="Arial"/>
              </w:rPr>
              <w:instrText xml:space="preserve"> \* MERGEFORMAT </w:instrText>
            </w:r>
            <w:r w:rsidRPr="00830C78">
              <w:rPr>
                <w:rFonts w:cs="Arial"/>
              </w:rPr>
            </w:r>
            <w:r w:rsidRPr="00830C78">
              <w:rPr>
                <w:rFonts w:cs="Arial"/>
              </w:rPr>
              <w:fldChar w:fldCharType="separate"/>
            </w:r>
            <w:r w:rsidR="00302D39">
              <w:rPr>
                <w:rFonts w:cs="Arial"/>
              </w:rPr>
              <w:t>26</w:t>
            </w:r>
            <w:r w:rsidRPr="00830C78">
              <w:rPr>
                <w:rFonts w:cs="Arial"/>
              </w:rPr>
              <w:fldChar w:fldCharType="end"/>
            </w:r>
            <w:r w:rsidRPr="005356F1">
              <w:rPr>
                <w:rFonts w:cs="Arial"/>
              </w:rPr>
              <w:t xml:space="preserve">, </w:t>
            </w:r>
            <w:bookmarkStart w:id="1908" w:name="_9kMHG5YVt4DEEFIhGpq6M"/>
            <w:r w:rsidRPr="005356F1">
              <w:rPr>
                <w:rFonts w:cs="Arial"/>
              </w:rPr>
              <w:t xml:space="preserve">Para </w:t>
            </w:r>
            <w:r w:rsidRPr="005356F1">
              <w:rPr>
                <w:rFonts w:cs="Arial"/>
              </w:rPr>
              <w:fldChar w:fldCharType="begin"/>
            </w:r>
            <w:r w:rsidRPr="005356F1">
              <w:rPr>
                <w:rFonts w:cs="Arial"/>
              </w:rPr>
              <w:instrText xml:space="preserve"> REF _Ref_ContractCompanion_9kb9Us89A \n \h \t \* MERGEFORMAT </w:instrText>
            </w:r>
            <w:r w:rsidRPr="005356F1">
              <w:rPr>
                <w:rFonts w:cs="Arial"/>
              </w:rPr>
            </w:r>
            <w:r w:rsidRPr="005356F1">
              <w:rPr>
                <w:rFonts w:cs="Arial"/>
              </w:rPr>
              <w:fldChar w:fldCharType="separate"/>
            </w:r>
            <w:r w:rsidR="00302D39">
              <w:rPr>
                <w:rFonts w:cs="Arial"/>
              </w:rPr>
              <w:t>6.2</w:t>
            </w:r>
            <w:r w:rsidRPr="005356F1">
              <w:rPr>
                <w:rFonts w:cs="Arial"/>
              </w:rPr>
              <w:fldChar w:fldCharType="end"/>
            </w:r>
            <w:bookmarkEnd w:id="1908"/>
          </w:p>
        </w:tc>
        <w:tc>
          <w:tcPr>
            <w:tcW w:w="2666" w:type="dxa"/>
          </w:tcPr>
          <w:p w14:paraId="5767D04D" w14:textId="77777777" w:rsidR="00F67E9E" w:rsidRPr="005356F1" w:rsidRDefault="00F67E9E" w:rsidP="007F74AA">
            <w:pPr>
              <w:pStyle w:val="StdBodyText"/>
              <w:spacing w:before="0" w:after="0"/>
              <w:rPr>
                <w:rFonts w:cs="Arial"/>
              </w:rPr>
            </w:pPr>
            <w:r w:rsidRPr="005356F1">
              <w:rPr>
                <w:rFonts w:cs="Arial"/>
              </w:rPr>
              <w:t>Within 20 Working Days of the conclusion of each review of the Service Continuity Plan.</w:t>
            </w:r>
          </w:p>
        </w:tc>
        <w:tc>
          <w:tcPr>
            <w:tcW w:w="2862" w:type="dxa"/>
          </w:tcPr>
          <w:p w14:paraId="44AEFFCD" w14:textId="77777777" w:rsidR="00F67E9E" w:rsidRPr="005356F1" w:rsidRDefault="00F67E9E" w:rsidP="007F74AA">
            <w:pPr>
              <w:pStyle w:val="StdBodyText"/>
              <w:spacing w:before="0" w:after="0"/>
              <w:rPr>
                <w:rFonts w:cs="Arial"/>
              </w:rPr>
            </w:pPr>
            <w:r w:rsidRPr="005356F1">
              <w:rPr>
                <w:rFonts w:cs="Arial"/>
              </w:rPr>
              <w:t>-</w:t>
            </w:r>
          </w:p>
        </w:tc>
        <w:tc>
          <w:tcPr>
            <w:tcW w:w="2381" w:type="dxa"/>
          </w:tcPr>
          <w:p w14:paraId="08982F8C" w14:textId="77777777" w:rsidR="00F67E9E" w:rsidRPr="005356F1" w:rsidRDefault="00F67E9E" w:rsidP="007F74AA">
            <w:pPr>
              <w:pStyle w:val="StdBodyText"/>
              <w:spacing w:before="0" w:after="0"/>
              <w:rPr>
                <w:rFonts w:cs="Arial"/>
              </w:rPr>
            </w:pPr>
            <w:r w:rsidRPr="005356F1">
              <w:rPr>
                <w:rFonts w:cs="Arial"/>
              </w:rPr>
              <w:t>-</w:t>
            </w:r>
          </w:p>
        </w:tc>
      </w:tr>
      <w:tr w:rsidR="00F67E9E" w:rsidRPr="005356F1" w14:paraId="279EAD4E" w14:textId="77777777" w:rsidTr="007F74AA">
        <w:trPr>
          <w:trHeight w:val="20"/>
        </w:trPr>
        <w:tc>
          <w:tcPr>
            <w:tcW w:w="2268" w:type="dxa"/>
          </w:tcPr>
          <w:p w14:paraId="20349F1C" w14:textId="538FEDB4" w:rsidR="00F67E9E" w:rsidRPr="005356F1" w:rsidRDefault="00F67E9E" w:rsidP="007F74AA">
            <w:pPr>
              <w:pStyle w:val="StdBodyText"/>
              <w:spacing w:before="0" w:after="0"/>
              <w:rPr>
                <w:rFonts w:cs="Arial"/>
              </w:rPr>
            </w:pPr>
            <w:r w:rsidRPr="00830C78">
              <w:rPr>
                <w:rFonts w:cs="Arial"/>
              </w:rPr>
              <w:t xml:space="preserve">Sch </w:t>
            </w:r>
            <w:r w:rsidRPr="00830C78">
              <w:rPr>
                <w:rFonts w:cs="Arial"/>
              </w:rPr>
              <w:fldChar w:fldCharType="begin"/>
            </w:r>
            <w:r w:rsidRPr="00830C78">
              <w:rPr>
                <w:rFonts w:cs="Arial"/>
              </w:rPr>
              <w:instrText xml:space="preserve"> REF _Ref92200057 \h  \# "#" </w:instrText>
            </w:r>
            <w:r>
              <w:rPr>
                <w:rFonts w:cs="Arial"/>
              </w:rPr>
              <w:instrText xml:space="preserve"> \* MERGEFORMAT </w:instrText>
            </w:r>
            <w:r w:rsidRPr="00830C78">
              <w:rPr>
                <w:rFonts w:cs="Arial"/>
              </w:rPr>
            </w:r>
            <w:r w:rsidRPr="00830C78">
              <w:rPr>
                <w:rFonts w:cs="Arial"/>
              </w:rPr>
              <w:fldChar w:fldCharType="separate"/>
            </w:r>
            <w:r w:rsidR="00302D39">
              <w:rPr>
                <w:rFonts w:cs="Arial"/>
              </w:rPr>
              <w:t>26</w:t>
            </w:r>
            <w:r w:rsidRPr="00830C78">
              <w:rPr>
                <w:rFonts w:cs="Arial"/>
              </w:rPr>
              <w:fldChar w:fldCharType="end"/>
            </w:r>
            <w:r w:rsidRPr="005356F1">
              <w:rPr>
                <w:rFonts w:cs="Arial"/>
              </w:rPr>
              <w:t xml:space="preserve">, </w:t>
            </w:r>
            <w:r w:rsidRPr="007D3E82">
              <w:rPr>
                <w:rFonts w:cs="Arial"/>
              </w:rPr>
              <w:fldChar w:fldCharType="begin"/>
            </w:r>
            <w:r w:rsidRPr="005356F1">
              <w:rPr>
                <w:rFonts w:cs="Arial"/>
              </w:rPr>
              <w:instrText xml:space="preserve"> REF Sch26PartB \h </w:instrText>
            </w:r>
            <w:r w:rsidRPr="007D3E82">
              <w:rPr>
                <w:rFonts w:cs="Arial"/>
              </w:rPr>
              <w:instrText xml:space="preserve"> \* MERGEFORMAT </w:instrText>
            </w:r>
            <w:r w:rsidRPr="007D3E82">
              <w:rPr>
                <w:rFonts w:cs="Arial"/>
              </w:rPr>
            </w:r>
            <w:r w:rsidRPr="007D3E82">
              <w:rPr>
                <w:rFonts w:cs="Arial"/>
              </w:rPr>
              <w:fldChar w:fldCharType="separate"/>
            </w:r>
            <w:r w:rsidR="00302D39" w:rsidRPr="00302D39">
              <w:rPr>
                <w:rFonts w:cs="Arial"/>
              </w:rPr>
              <w:t>Part B</w:t>
            </w:r>
            <w:r w:rsidRPr="007D3E82">
              <w:rPr>
                <w:rFonts w:cs="Arial"/>
              </w:rPr>
              <w:fldChar w:fldCharType="end"/>
            </w:r>
          </w:p>
        </w:tc>
        <w:tc>
          <w:tcPr>
            <w:tcW w:w="2966" w:type="dxa"/>
          </w:tcPr>
          <w:p w14:paraId="1DC8A68D" w14:textId="77777777" w:rsidR="00F67E9E" w:rsidRPr="005356F1" w:rsidRDefault="00F67E9E" w:rsidP="007F74AA">
            <w:pPr>
              <w:pStyle w:val="StdBodyText"/>
              <w:spacing w:before="0" w:after="0"/>
              <w:rPr>
                <w:rFonts w:cs="Arial"/>
              </w:rPr>
            </w:pPr>
            <w:r w:rsidRPr="005356F1">
              <w:rPr>
                <w:rFonts w:cs="Arial"/>
              </w:rPr>
              <w:t xml:space="preserve">Corporate Resolution Planning Information </w:t>
            </w:r>
          </w:p>
        </w:tc>
        <w:tc>
          <w:tcPr>
            <w:tcW w:w="1996" w:type="dxa"/>
          </w:tcPr>
          <w:p w14:paraId="35AA3D99" w14:textId="69EC67FC" w:rsidR="00F67E9E" w:rsidRPr="005356F1" w:rsidRDefault="00F67E9E" w:rsidP="007F74AA">
            <w:pPr>
              <w:pStyle w:val="StdBodyText"/>
              <w:spacing w:before="0" w:after="0"/>
              <w:rPr>
                <w:rFonts w:cs="Arial"/>
              </w:rPr>
            </w:pPr>
            <w:r w:rsidRPr="00830C78">
              <w:rPr>
                <w:rFonts w:cs="Arial"/>
              </w:rPr>
              <w:t xml:space="preserve">Sch </w:t>
            </w:r>
            <w:r w:rsidRPr="00830C78">
              <w:rPr>
                <w:rFonts w:cs="Arial"/>
              </w:rPr>
              <w:fldChar w:fldCharType="begin"/>
            </w:r>
            <w:r w:rsidRPr="00830C78">
              <w:rPr>
                <w:rFonts w:cs="Arial"/>
              </w:rPr>
              <w:instrText xml:space="preserve"> REF _Ref92200057 \h  \# "#" </w:instrText>
            </w:r>
            <w:r>
              <w:rPr>
                <w:rFonts w:cs="Arial"/>
              </w:rPr>
              <w:instrText xml:space="preserve"> \* MERGEFORMAT </w:instrText>
            </w:r>
            <w:r w:rsidRPr="00830C78">
              <w:rPr>
                <w:rFonts w:cs="Arial"/>
              </w:rPr>
            </w:r>
            <w:r w:rsidRPr="00830C78">
              <w:rPr>
                <w:rFonts w:cs="Arial"/>
              </w:rPr>
              <w:fldChar w:fldCharType="separate"/>
            </w:r>
            <w:r w:rsidR="00302D39">
              <w:rPr>
                <w:rFonts w:cs="Arial"/>
              </w:rPr>
              <w:t>26</w:t>
            </w:r>
            <w:r w:rsidRPr="00830C78">
              <w:rPr>
                <w:rFonts w:cs="Arial"/>
              </w:rPr>
              <w:fldChar w:fldCharType="end"/>
            </w:r>
            <w:r w:rsidRPr="005356F1">
              <w:rPr>
                <w:rFonts w:cs="Arial"/>
              </w:rPr>
              <w:t xml:space="preserve">, </w:t>
            </w:r>
            <w:r w:rsidRPr="005356F1">
              <w:rPr>
                <w:rFonts w:cs="Arial"/>
              </w:rPr>
              <w:fldChar w:fldCharType="begin"/>
            </w:r>
            <w:r w:rsidRPr="005356F1">
              <w:rPr>
                <w:rFonts w:cs="Arial"/>
              </w:rPr>
              <w:instrText xml:space="preserve"> REF Sch26PartB \h  \* MERGEFORMAT </w:instrText>
            </w:r>
            <w:r w:rsidRPr="005356F1">
              <w:rPr>
                <w:rFonts w:cs="Arial"/>
              </w:rPr>
            </w:r>
            <w:r w:rsidRPr="005356F1">
              <w:rPr>
                <w:rFonts w:cs="Arial"/>
              </w:rPr>
              <w:fldChar w:fldCharType="separate"/>
            </w:r>
            <w:r w:rsidR="00302D39" w:rsidRPr="00302D39">
              <w:rPr>
                <w:rFonts w:cs="Arial"/>
              </w:rPr>
              <w:t>Part B</w:t>
            </w:r>
            <w:r w:rsidRPr="005356F1">
              <w:rPr>
                <w:rFonts w:cs="Arial"/>
              </w:rPr>
              <w:fldChar w:fldCharType="end"/>
            </w:r>
            <w:r w:rsidRPr="005356F1">
              <w:rPr>
                <w:rFonts w:cs="Arial"/>
              </w:rPr>
              <w:t xml:space="preserve">, Para </w:t>
            </w:r>
            <w:r>
              <w:rPr>
                <w:rFonts w:cs="Arial"/>
              </w:rPr>
              <w:fldChar w:fldCharType="begin"/>
            </w:r>
            <w:r>
              <w:rPr>
                <w:rFonts w:cs="Arial"/>
              </w:rPr>
              <w:instrText xml:space="preserve"> REF _Ref_ContractCompanion_9kb9Ur28D \w \h </w:instrText>
            </w:r>
            <w:r>
              <w:rPr>
                <w:rFonts w:cs="Arial"/>
              </w:rPr>
            </w:r>
            <w:r>
              <w:rPr>
                <w:rFonts w:cs="Arial"/>
              </w:rPr>
              <w:fldChar w:fldCharType="separate"/>
            </w:r>
            <w:r w:rsidR="00302D39">
              <w:rPr>
                <w:rFonts w:cs="Arial"/>
              </w:rPr>
              <w:t>2.3</w:t>
            </w:r>
            <w:r>
              <w:rPr>
                <w:rFonts w:cs="Arial"/>
              </w:rPr>
              <w:fldChar w:fldCharType="end"/>
            </w:r>
          </w:p>
        </w:tc>
        <w:tc>
          <w:tcPr>
            <w:tcW w:w="2666" w:type="dxa"/>
          </w:tcPr>
          <w:p w14:paraId="5F09F045" w14:textId="3E0F5673" w:rsidR="00F67E9E" w:rsidRPr="005356F1" w:rsidRDefault="00F67E9E" w:rsidP="007F74AA">
            <w:pPr>
              <w:pStyle w:val="StdBodyText"/>
              <w:spacing w:before="0" w:after="0"/>
              <w:rPr>
                <w:rFonts w:cs="Arial"/>
              </w:rPr>
            </w:pPr>
            <w:bookmarkStart w:id="1909" w:name="_9kMIH5YVt4EE7AEcGp9L"/>
            <w:r w:rsidRPr="00830C78">
              <w:rPr>
                <w:rFonts w:cs="Arial"/>
              </w:rPr>
              <w:t xml:space="preserve">Sch </w:t>
            </w:r>
            <w:r w:rsidRPr="00830C78">
              <w:rPr>
                <w:rFonts w:cs="Arial"/>
              </w:rPr>
              <w:fldChar w:fldCharType="begin"/>
            </w:r>
            <w:r w:rsidRPr="00830C78">
              <w:rPr>
                <w:rFonts w:cs="Arial"/>
              </w:rPr>
              <w:instrText xml:space="preserve"> REF _Ref92200057 \h  \# "#" </w:instrText>
            </w:r>
            <w:r>
              <w:rPr>
                <w:rFonts w:cs="Arial"/>
              </w:rPr>
              <w:instrText xml:space="preserve"> \* MERGEFORMAT </w:instrText>
            </w:r>
            <w:r w:rsidRPr="00830C78">
              <w:rPr>
                <w:rFonts w:cs="Arial"/>
              </w:rPr>
            </w:r>
            <w:r w:rsidRPr="00830C78">
              <w:rPr>
                <w:rFonts w:cs="Arial"/>
              </w:rPr>
              <w:fldChar w:fldCharType="separate"/>
            </w:r>
            <w:r w:rsidR="00302D39">
              <w:rPr>
                <w:rFonts w:cs="Arial"/>
              </w:rPr>
              <w:t>26</w:t>
            </w:r>
            <w:r w:rsidRPr="00830C78">
              <w:rPr>
                <w:rFonts w:cs="Arial"/>
              </w:rPr>
              <w:fldChar w:fldCharType="end"/>
            </w:r>
            <w:r w:rsidRPr="005356F1">
              <w:rPr>
                <w:rFonts w:cs="Arial"/>
              </w:rPr>
              <w:t xml:space="preserve"> </w:t>
            </w:r>
            <w:r w:rsidRPr="005356F1">
              <w:rPr>
                <w:rFonts w:cs="Arial"/>
              </w:rPr>
              <w:fldChar w:fldCharType="begin"/>
            </w:r>
            <w:r w:rsidRPr="005356F1">
              <w:rPr>
                <w:rFonts w:cs="Arial"/>
              </w:rPr>
              <w:instrText xml:space="preserve"> REF Sch26PartB \h  \* MERGEFORMAT </w:instrText>
            </w:r>
            <w:r w:rsidRPr="005356F1">
              <w:rPr>
                <w:rFonts w:cs="Arial"/>
              </w:rPr>
            </w:r>
            <w:r w:rsidRPr="005356F1">
              <w:rPr>
                <w:rFonts w:cs="Arial"/>
              </w:rPr>
              <w:fldChar w:fldCharType="separate"/>
            </w:r>
            <w:r w:rsidR="00302D39" w:rsidRPr="00302D39">
              <w:rPr>
                <w:rFonts w:cs="Arial"/>
              </w:rPr>
              <w:t>Part B</w:t>
            </w:r>
            <w:r w:rsidRPr="005356F1">
              <w:rPr>
                <w:rFonts w:cs="Arial"/>
              </w:rPr>
              <w:fldChar w:fldCharType="end"/>
            </w:r>
            <w:bookmarkEnd w:id="1909"/>
            <w:r w:rsidRPr="005356F1">
              <w:rPr>
                <w:rFonts w:cs="Arial"/>
              </w:rPr>
              <w:t xml:space="preserve"> </w:t>
            </w:r>
            <w:bookmarkStart w:id="1910" w:name="_9kMHG5YVtCIBEFFGCEhUmVMvF7t41q87vBFxAUJ"/>
            <w:r w:rsidRPr="005356F1">
              <w:rPr>
                <w:rFonts w:cs="Arial"/>
              </w:rPr>
              <w:t xml:space="preserve">Para </w:t>
            </w:r>
            <w:bookmarkEnd w:id="1910"/>
            <w:r w:rsidRPr="005356F1">
              <w:rPr>
                <w:rFonts w:cs="Arial"/>
              </w:rPr>
              <w:fldChar w:fldCharType="begin"/>
            </w:r>
            <w:r w:rsidRPr="005356F1">
              <w:rPr>
                <w:rFonts w:cs="Arial"/>
              </w:rPr>
              <w:instrText xml:space="preserve"> REF _Ref_ContractCompanion_9kb9Us897 \n \h \t \* MERGEFORMAT </w:instrText>
            </w:r>
            <w:r w:rsidRPr="005356F1">
              <w:rPr>
                <w:rFonts w:cs="Arial"/>
              </w:rPr>
            </w:r>
            <w:r w:rsidRPr="005356F1">
              <w:rPr>
                <w:rFonts w:cs="Arial"/>
              </w:rPr>
              <w:fldChar w:fldCharType="separate"/>
            </w:r>
            <w:r w:rsidR="00302D39">
              <w:rPr>
                <w:rFonts w:cs="Arial"/>
              </w:rPr>
              <w:t>2.2</w:t>
            </w:r>
            <w:r w:rsidRPr="005356F1">
              <w:rPr>
                <w:rFonts w:cs="Arial"/>
              </w:rPr>
              <w:fldChar w:fldCharType="end"/>
            </w:r>
          </w:p>
        </w:tc>
        <w:tc>
          <w:tcPr>
            <w:tcW w:w="2862" w:type="dxa"/>
          </w:tcPr>
          <w:p w14:paraId="1B53712B" w14:textId="21E26F9D" w:rsidR="00F67E9E" w:rsidRPr="005356F1" w:rsidRDefault="00F67E9E" w:rsidP="007F74AA">
            <w:pPr>
              <w:pStyle w:val="StdBodyText"/>
              <w:spacing w:before="0" w:after="0"/>
              <w:rPr>
                <w:rFonts w:cs="Arial"/>
              </w:rPr>
            </w:pPr>
            <w:r w:rsidRPr="00830C78">
              <w:rPr>
                <w:rFonts w:cs="Arial"/>
              </w:rPr>
              <w:t xml:space="preserve">Sch </w:t>
            </w:r>
            <w:r w:rsidRPr="00830C78">
              <w:rPr>
                <w:rFonts w:cs="Arial"/>
              </w:rPr>
              <w:fldChar w:fldCharType="begin"/>
            </w:r>
            <w:r w:rsidRPr="00830C78">
              <w:rPr>
                <w:rFonts w:cs="Arial"/>
              </w:rPr>
              <w:instrText xml:space="preserve"> REF _Ref92200057 \h  \# "#" </w:instrText>
            </w:r>
            <w:r>
              <w:rPr>
                <w:rFonts w:cs="Arial"/>
              </w:rPr>
              <w:instrText xml:space="preserve"> \* MERGEFORMAT </w:instrText>
            </w:r>
            <w:r w:rsidRPr="00830C78">
              <w:rPr>
                <w:rFonts w:cs="Arial"/>
              </w:rPr>
            </w:r>
            <w:r w:rsidRPr="00830C78">
              <w:rPr>
                <w:rFonts w:cs="Arial"/>
              </w:rPr>
              <w:fldChar w:fldCharType="separate"/>
            </w:r>
            <w:r w:rsidR="00302D39">
              <w:rPr>
                <w:rFonts w:cs="Arial"/>
              </w:rPr>
              <w:t>26</w:t>
            </w:r>
            <w:r w:rsidRPr="00830C78">
              <w:rPr>
                <w:rFonts w:cs="Arial"/>
              </w:rPr>
              <w:fldChar w:fldCharType="end"/>
            </w:r>
            <w:r w:rsidRPr="005356F1">
              <w:rPr>
                <w:rFonts w:cs="Arial"/>
              </w:rPr>
              <w:t xml:space="preserve">, </w:t>
            </w:r>
            <w:bookmarkStart w:id="1911" w:name="_9kMHG5YVtCIBEGCCCKcHz2s4XG43r013JFF8TfI"/>
            <w:r w:rsidRPr="005356F1">
              <w:rPr>
                <w:rFonts w:cs="Arial"/>
              </w:rPr>
              <w:t xml:space="preserve">Para </w:t>
            </w:r>
            <w:r w:rsidRPr="005356F1">
              <w:rPr>
                <w:rFonts w:cs="Arial"/>
              </w:rPr>
              <w:fldChar w:fldCharType="begin"/>
            </w:r>
            <w:r w:rsidRPr="005356F1">
              <w:rPr>
                <w:rFonts w:cs="Arial"/>
              </w:rPr>
              <w:instrText xml:space="preserve"> REF _Ref_ContractCompanion_9kb9Us8A4 \n \h \t \* MERGEFORMAT </w:instrText>
            </w:r>
            <w:r w:rsidRPr="005356F1">
              <w:rPr>
                <w:rFonts w:cs="Arial"/>
              </w:rPr>
            </w:r>
            <w:r w:rsidRPr="005356F1">
              <w:rPr>
                <w:rFonts w:cs="Arial"/>
              </w:rPr>
              <w:fldChar w:fldCharType="separate"/>
            </w:r>
            <w:r w:rsidR="00302D39">
              <w:rPr>
                <w:rFonts w:cs="Arial"/>
              </w:rPr>
              <w:t>2.8</w:t>
            </w:r>
            <w:r w:rsidRPr="005356F1">
              <w:rPr>
                <w:rFonts w:cs="Arial"/>
              </w:rPr>
              <w:fldChar w:fldCharType="end"/>
            </w:r>
            <w:bookmarkEnd w:id="1911"/>
          </w:p>
        </w:tc>
        <w:tc>
          <w:tcPr>
            <w:tcW w:w="2381" w:type="dxa"/>
          </w:tcPr>
          <w:p w14:paraId="6B2939E3" w14:textId="77777777" w:rsidR="00F67E9E" w:rsidRPr="005356F1" w:rsidRDefault="00F67E9E" w:rsidP="007F74AA">
            <w:pPr>
              <w:pStyle w:val="StdBodyText"/>
              <w:spacing w:before="0" w:after="0"/>
              <w:rPr>
                <w:rFonts w:cs="Arial"/>
              </w:rPr>
            </w:pPr>
            <w:r w:rsidRPr="005356F1">
              <w:rPr>
                <w:rFonts w:cs="Arial"/>
              </w:rPr>
              <w:t>Authority</w:t>
            </w:r>
          </w:p>
        </w:tc>
      </w:tr>
      <w:tr w:rsidR="00F67E9E" w:rsidRPr="005356F1" w14:paraId="114E2D60" w14:textId="77777777" w:rsidTr="007F74AA">
        <w:trPr>
          <w:trHeight w:val="20"/>
        </w:trPr>
        <w:tc>
          <w:tcPr>
            <w:tcW w:w="2268" w:type="dxa"/>
          </w:tcPr>
          <w:p w14:paraId="69380E3F" w14:textId="517EA50B" w:rsidR="00F67E9E" w:rsidRPr="0061274F" w:rsidRDefault="00F67E9E" w:rsidP="007F74AA">
            <w:pPr>
              <w:pStyle w:val="StdBodyText"/>
              <w:spacing w:before="0" w:after="0"/>
              <w:rPr>
                <w:rFonts w:cs="Arial"/>
              </w:rPr>
            </w:pPr>
            <w:bookmarkStart w:id="1912" w:name="_9kR3WTr2BC9A7ZJfDL"/>
            <w:r w:rsidRPr="0061274F">
              <w:rPr>
                <w:rFonts w:cs="Arial"/>
              </w:rPr>
              <w:t>Sch</w:t>
            </w:r>
            <w:bookmarkEnd w:id="1912"/>
            <w:r w:rsidRPr="0061274F">
              <w:rPr>
                <w:rFonts w:cs="Arial"/>
              </w:rPr>
              <w:t xml:space="preserve"> </w:t>
            </w:r>
            <w:r w:rsidRPr="0061274F">
              <w:rPr>
                <w:rFonts w:cs="Arial"/>
              </w:rPr>
              <w:fldChar w:fldCharType="begin"/>
            </w:r>
            <w:r w:rsidRPr="0061274F">
              <w:rPr>
                <w:rFonts w:cs="Arial"/>
              </w:rPr>
              <w:instrText xml:space="preserve"> REF _Ref92200072 \h  \# "#" </w:instrText>
            </w:r>
            <w:r>
              <w:rPr>
                <w:rFonts w:cs="Arial"/>
              </w:rPr>
              <w:instrText xml:space="preserve"> \* MERGEFORMAT </w:instrText>
            </w:r>
            <w:r w:rsidRPr="0061274F">
              <w:rPr>
                <w:rFonts w:cs="Arial"/>
              </w:rPr>
            </w:r>
            <w:r w:rsidRPr="0061274F">
              <w:rPr>
                <w:rFonts w:cs="Arial"/>
              </w:rPr>
              <w:fldChar w:fldCharType="separate"/>
            </w:r>
            <w:r w:rsidR="00302D39">
              <w:rPr>
                <w:rFonts w:cs="Arial"/>
              </w:rPr>
              <w:t>28</w:t>
            </w:r>
            <w:r w:rsidRPr="0061274F">
              <w:rPr>
                <w:rFonts w:cs="Arial"/>
              </w:rPr>
              <w:fldChar w:fldCharType="end"/>
            </w:r>
            <w:r w:rsidRPr="0061274F">
              <w:rPr>
                <w:rFonts w:cs="Arial"/>
              </w:rPr>
              <w:t xml:space="preserve">, </w:t>
            </w:r>
            <w:r w:rsidRPr="0061274F">
              <w:rPr>
                <w:rFonts w:cs="Arial"/>
              </w:rPr>
              <w:fldChar w:fldCharType="begin"/>
            </w:r>
            <w:r w:rsidRPr="0061274F">
              <w:rPr>
                <w:rFonts w:cs="Arial"/>
              </w:rPr>
              <w:instrText xml:space="preserve"> REF Sch15PartE \h  \* MERGEFORMAT </w:instrText>
            </w:r>
            <w:r w:rsidRPr="0061274F">
              <w:rPr>
                <w:rFonts w:cs="Arial"/>
              </w:rPr>
            </w:r>
            <w:r w:rsidRPr="0061274F">
              <w:rPr>
                <w:rFonts w:cs="Arial"/>
              </w:rPr>
              <w:fldChar w:fldCharType="separate"/>
            </w:r>
            <w:r w:rsidR="00302D39" w:rsidRPr="00302D39">
              <w:rPr>
                <w:rFonts w:cs="Arial"/>
              </w:rPr>
              <w:t>Part E</w:t>
            </w:r>
            <w:r w:rsidRPr="0061274F">
              <w:rPr>
                <w:rFonts w:cs="Arial"/>
              </w:rPr>
              <w:fldChar w:fldCharType="end"/>
            </w:r>
            <w:r w:rsidRPr="0061274F">
              <w:rPr>
                <w:rFonts w:cs="Arial"/>
              </w:rPr>
              <w:t xml:space="preserve">, </w:t>
            </w:r>
            <w:bookmarkStart w:id="1913" w:name="_9kMIH5YVtCIBDIEBCiX11ryA542qGCBDJEEMAGJ"/>
            <w:r w:rsidRPr="0061274F">
              <w:rPr>
                <w:rFonts w:cs="Arial"/>
              </w:rPr>
              <w:t xml:space="preserve">Para </w:t>
            </w:r>
            <w:r w:rsidRPr="0061274F">
              <w:rPr>
                <w:rFonts w:cs="Arial"/>
              </w:rPr>
              <w:fldChar w:fldCharType="begin"/>
            </w:r>
            <w:r w:rsidRPr="0061274F">
              <w:rPr>
                <w:rFonts w:cs="Arial"/>
              </w:rPr>
              <w:instrText xml:space="preserve"> REF _Ref_ContractCompanion_9kb9Us7BD \n \h \t \* MERGEFORMAT </w:instrText>
            </w:r>
            <w:r w:rsidRPr="0061274F">
              <w:rPr>
                <w:rFonts w:cs="Arial"/>
              </w:rPr>
            </w:r>
            <w:r w:rsidRPr="0061274F">
              <w:rPr>
                <w:rFonts w:cs="Arial"/>
              </w:rPr>
              <w:fldChar w:fldCharType="separate"/>
            </w:r>
            <w:r w:rsidR="00302D39">
              <w:rPr>
                <w:rFonts w:cs="Arial"/>
              </w:rPr>
              <w:t>1.1</w:t>
            </w:r>
            <w:r w:rsidRPr="0061274F">
              <w:rPr>
                <w:rFonts w:cs="Arial"/>
              </w:rPr>
              <w:fldChar w:fldCharType="end"/>
            </w:r>
            <w:bookmarkEnd w:id="1913"/>
          </w:p>
        </w:tc>
        <w:tc>
          <w:tcPr>
            <w:tcW w:w="2966" w:type="dxa"/>
          </w:tcPr>
          <w:p w14:paraId="26876633" w14:textId="77777777" w:rsidR="00F67E9E" w:rsidRPr="005356F1" w:rsidRDefault="00F67E9E" w:rsidP="007F74AA">
            <w:pPr>
              <w:pStyle w:val="StdBodyText"/>
              <w:spacing w:before="0" w:after="0"/>
              <w:rPr>
                <w:rFonts w:cs="Arial"/>
              </w:rPr>
            </w:pPr>
            <w:r w:rsidRPr="005356F1">
              <w:rPr>
                <w:rFonts w:cs="Arial"/>
              </w:rPr>
              <w:t>Supplier</w:t>
            </w:r>
            <w:r>
              <w:rPr>
                <w:rFonts w:cs="Arial"/>
              </w:rPr>
              <w:t>’</w:t>
            </w:r>
            <w:r w:rsidRPr="005356F1">
              <w:rPr>
                <w:rFonts w:cs="Arial"/>
              </w:rPr>
              <w:t>s Provisional Supplier Personnel List and, Staffing Information</w:t>
            </w:r>
          </w:p>
        </w:tc>
        <w:tc>
          <w:tcPr>
            <w:tcW w:w="1996" w:type="dxa"/>
          </w:tcPr>
          <w:p w14:paraId="336867CD" w14:textId="3ECF4FDF" w:rsidR="00F67E9E" w:rsidRPr="005356F1" w:rsidRDefault="00F67E9E" w:rsidP="007F74AA">
            <w:pPr>
              <w:pStyle w:val="StdBodyText"/>
              <w:spacing w:before="0" w:after="0"/>
              <w:rPr>
                <w:rFonts w:cs="Arial"/>
              </w:rPr>
            </w:pPr>
            <w:r w:rsidRPr="00E301B8">
              <w:t xml:space="preserve">As appropriate and agreed by the Authority, in a suitably anonymised format so as to comply with the DPA 2018, see Annex </w:t>
            </w:r>
            <w:r>
              <w:fldChar w:fldCharType="begin"/>
            </w:r>
            <w:r>
              <w:instrText xml:space="preserve"> REF ANNEXE2_SCHEDULE28 \h </w:instrText>
            </w:r>
            <w:r>
              <w:fldChar w:fldCharType="separate"/>
            </w:r>
            <w:r w:rsidR="00302D39" w:rsidRPr="00025910">
              <w:t>E2</w:t>
            </w:r>
            <w:r>
              <w:fldChar w:fldCharType="end"/>
            </w:r>
          </w:p>
        </w:tc>
        <w:tc>
          <w:tcPr>
            <w:tcW w:w="2666" w:type="dxa"/>
          </w:tcPr>
          <w:p w14:paraId="476302EE" w14:textId="6E8F3215" w:rsidR="00F67E9E" w:rsidRPr="00A50E1B" w:rsidRDefault="00F67E9E" w:rsidP="007F74AA">
            <w:pPr>
              <w:pStyle w:val="StdBodyText"/>
              <w:spacing w:before="0" w:after="0"/>
              <w:rPr>
                <w:rFonts w:cs="Arial"/>
                <w:lang w:val="es-AR"/>
              </w:rPr>
            </w:pPr>
            <w:r>
              <w:rPr>
                <w:rFonts w:cs="Arial"/>
                <w:lang w:val="es-AR"/>
              </w:rPr>
              <w:t xml:space="preserve">Varies - </w:t>
            </w:r>
            <w:r w:rsidRPr="00A50E1B">
              <w:rPr>
                <w:rFonts w:cs="Arial"/>
                <w:lang w:val="es-AR"/>
              </w:rPr>
              <w:t xml:space="preserve">Sch </w:t>
            </w:r>
            <w:r w:rsidRPr="0061274F">
              <w:rPr>
                <w:rFonts w:cs="Arial"/>
              </w:rPr>
              <w:fldChar w:fldCharType="begin"/>
            </w:r>
            <w:r w:rsidRPr="00A50E1B">
              <w:rPr>
                <w:rFonts w:cs="Arial"/>
                <w:lang w:val="es-AR"/>
              </w:rPr>
              <w:instrText xml:space="preserve"> REF _Ref92200072 \h  \# "#"  \* MERGEFORMAT </w:instrText>
            </w:r>
            <w:r w:rsidRPr="0061274F">
              <w:rPr>
                <w:rFonts w:cs="Arial"/>
              </w:rPr>
            </w:r>
            <w:r w:rsidRPr="0061274F">
              <w:rPr>
                <w:rFonts w:cs="Arial"/>
              </w:rPr>
              <w:fldChar w:fldCharType="separate"/>
            </w:r>
            <w:r w:rsidR="00302D39">
              <w:rPr>
                <w:rFonts w:cs="Arial"/>
                <w:lang w:val="es-AR"/>
              </w:rPr>
              <w:t>28</w:t>
            </w:r>
            <w:r w:rsidRPr="0061274F">
              <w:rPr>
                <w:rFonts w:cs="Arial"/>
              </w:rPr>
              <w:fldChar w:fldCharType="end"/>
            </w:r>
            <w:r w:rsidRPr="00A50E1B">
              <w:rPr>
                <w:rFonts w:cs="Arial"/>
                <w:lang w:val="es-AR"/>
              </w:rPr>
              <w:t xml:space="preserve">, </w:t>
            </w:r>
            <w:bookmarkStart w:id="1914" w:name="_9kMJI5YVtCIBDIEBCiX11ryA542qGCBDJEEMAGJ"/>
            <w:r w:rsidRPr="00A50E1B">
              <w:rPr>
                <w:rFonts w:cs="Arial"/>
                <w:lang w:val="es-AR"/>
              </w:rPr>
              <w:t xml:space="preserve">Para </w:t>
            </w:r>
            <w:bookmarkEnd w:id="1914"/>
            <w:r>
              <w:rPr>
                <w:rFonts w:cs="Arial"/>
              </w:rPr>
              <w:fldChar w:fldCharType="begin"/>
            </w:r>
            <w:r w:rsidRPr="00A50E1B">
              <w:rPr>
                <w:rFonts w:cs="Arial"/>
                <w:lang w:val="es-AR"/>
              </w:rPr>
              <w:instrText xml:space="preserve"> REF _9kR3WTrAGA6DMGAkotfgnzBBylu9GByzxq8HDJB \w \h </w:instrText>
            </w:r>
            <w:r>
              <w:rPr>
                <w:rFonts w:cs="Arial"/>
              </w:rPr>
            </w:r>
            <w:r>
              <w:rPr>
                <w:rFonts w:cs="Arial"/>
              </w:rPr>
              <w:fldChar w:fldCharType="separate"/>
            </w:r>
            <w:r w:rsidR="00302D39">
              <w:rPr>
                <w:rFonts w:cs="Arial"/>
                <w:lang w:val="es-AR"/>
              </w:rPr>
              <w:t>1.1.1</w:t>
            </w:r>
            <w:r>
              <w:rPr>
                <w:rFonts w:cs="Arial"/>
              </w:rPr>
              <w:fldChar w:fldCharType="end"/>
            </w:r>
            <w:r w:rsidRPr="00A50E1B">
              <w:rPr>
                <w:rFonts w:cs="Arial"/>
                <w:lang w:val="es-AR"/>
              </w:rPr>
              <w:t xml:space="preserve"> - </w:t>
            </w:r>
            <w:r>
              <w:rPr>
                <w:rFonts w:cs="Arial"/>
                <w:lang w:val="es-AR"/>
              </w:rPr>
              <w:fldChar w:fldCharType="begin"/>
            </w:r>
            <w:r>
              <w:rPr>
                <w:rFonts w:cs="Arial"/>
                <w:lang w:val="es-AR"/>
              </w:rPr>
              <w:instrText xml:space="preserve"> REF _Ref99026409 \n \h </w:instrText>
            </w:r>
            <w:r>
              <w:rPr>
                <w:rFonts w:cs="Arial"/>
                <w:lang w:val="es-AR"/>
              </w:rPr>
            </w:r>
            <w:r>
              <w:rPr>
                <w:rFonts w:cs="Arial"/>
                <w:lang w:val="es-AR"/>
              </w:rPr>
              <w:fldChar w:fldCharType="separate"/>
            </w:r>
            <w:r w:rsidR="00302D39">
              <w:rPr>
                <w:rFonts w:cs="Arial"/>
                <w:lang w:val="es-AR"/>
              </w:rPr>
              <w:t>1.1.4</w:t>
            </w:r>
            <w:r>
              <w:rPr>
                <w:rFonts w:cs="Arial"/>
                <w:lang w:val="es-AR"/>
              </w:rPr>
              <w:fldChar w:fldCharType="end"/>
            </w:r>
          </w:p>
        </w:tc>
        <w:tc>
          <w:tcPr>
            <w:tcW w:w="2862" w:type="dxa"/>
          </w:tcPr>
          <w:p w14:paraId="3C744E09" w14:textId="77777777" w:rsidR="00F67E9E" w:rsidRPr="005356F1" w:rsidRDefault="00F67E9E" w:rsidP="007F74AA">
            <w:pPr>
              <w:pStyle w:val="StdBodyText"/>
              <w:spacing w:before="0" w:after="0"/>
              <w:rPr>
                <w:rFonts w:cs="Arial"/>
              </w:rPr>
            </w:pPr>
            <w:r w:rsidRPr="005356F1">
              <w:rPr>
                <w:rFonts w:cs="Arial"/>
              </w:rPr>
              <w:t>At such intervals as are reasonably requested by the Authority</w:t>
            </w:r>
          </w:p>
        </w:tc>
        <w:tc>
          <w:tcPr>
            <w:tcW w:w="2381" w:type="dxa"/>
          </w:tcPr>
          <w:p w14:paraId="54E2867C" w14:textId="77777777" w:rsidR="00F67E9E" w:rsidRPr="005356F1" w:rsidRDefault="00F67E9E" w:rsidP="007F74AA">
            <w:pPr>
              <w:pStyle w:val="StdBodyText"/>
              <w:spacing w:before="0" w:after="0"/>
              <w:rPr>
                <w:rFonts w:cs="Arial"/>
              </w:rPr>
            </w:pPr>
            <w:r w:rsidRPr="005356F1">
              <w:rPr>
                <w:rFonts w:cs="Arial"/>
              </w:rPr>
              <w:t>Authority</w:t>
            </w:r>
          </w:p>
        </w:tc>
      </w:tr>
      <w:tr w:rsidR="00F67E9E" w:rsidRPr="005356F1" w14:paraId="34DC0B7B" w14:textId="77777777" w:rsidTr="007F74AA">
        <w:trPr>
          <w:trHeight w:val="20"/>
        </w:trPr>
        <w:tc>
          <w:tcPr>
            <w:tcW w:w="2268" w:type="dxa"/>
          </w:tcPr>
          <w:p w14:paraId="7F2F65AE" w14:textId="0D619341" w:rsidR="00F67E9E" w:rsidRPr="00B224EC" w:rsidRDefault="00F67E9E" w:rsidP="007F74AA">
            <w:pPr>
              <w:pStyle w:val="StdBodyText"/>
              <w:spacing w:before="0" w:after="0"/>
              <w:rPr>
                <w:rFonts w:cs="Arial"/>
              </w:rPr>
            </w:pPr>
            <w:r w:rsidRPr="00B224EC">
              <w:rPr>
                <w:rFonts w:cs="Arial"/>
              </w:rPr>
              <w:t xml:space="preserve">Sch </w:t>
            </w:r>
            <w:r w:rsidRPr="00B224EC">
              <w:rPr>
                <w:rFonts w:cs="Arial"/>
              </w:rPr>
              <w:fldChar w:fldCharType="begin"/>
            </w:r>
            <w:r w:rsidRPr="00B224EC">
              <w:rPr>
                <w:rFonts w:cs="Arial"/>
              </w:rPr>
              <w:instrText xml:space="preserve"> REF _Ref92200072 \h  \# "#"  \* MERGEFORMAT </w:instrText>
            </w:r>
            <w:r w:rsidRPr="00B224EC">
              <w:rPr>
                <w:rFonts w:cs="Arial"/>
              </w:rPr>
            </w:r>
            <w:r w:rsidRPr="00B224EC">
              <w:rPr>
                <w:rFonts w:cs="Arial"/>
              </w:rPr>
              <w:fldChar w:fldCharType="separate"/>
            </w:r>
            <w:r w:rsidR="00302D39">
              <w:rPr>
                <w:rFonts w:cs="Arial"/>
              </w:rPr>
              <w:t>28</w:t>
            </w:r>
            <w:r w:rsidRPr="00B224EC">
              <w:rPr>
                <w:rFonts w:cs="Arial"/>
              </w:rPr>
              <w:fldChar w:fldCharType="end"/>
            </w:r>
            <w:r w:rsidRPr="00B224EC">
              <w:rPr>
                <w:rFonts w:cs="Arial"/>
              </w:rPr>
              <w:t xml:space="preserve">, </w:t>
            </w:r>
            <w:r w:rsidRPr="00B224EC">
              <w:rPr>
                <w:rFonts w:cs="Arial"/>
              </w:rPr>
              <w:fldChar w:fldCharType="begin"/>
            </w:r>
            <w:r w:rsidRPr="00B224EC">
              <w:rPr>
                <w:rFonts w:cs="Arial"/>
              </w:rPr>
              <w:instrText xml:space="preserve"> REF Sch15PartE \h  \* MERGEFORMAT </w:instrText>
            </w:r>
            <w:r w:rsidRPr="00B224EC">
              <w:rPr>
                <w:rFonts w:cs="Arial"/>
              </w:rPr>
            </w:r>
            <w:r w:rsidRPr="00B224EC">
              <w:rPr>
                <w:rFonts w:cs="Arial"/>
              </w:rPr>
              <w:fldChar w:fldCharType="separate"/>
            </w:r>
            <w:r w:rsidR="00302D39" w:rsidRPr="00302D39">
              <w:rPr>
                <w:rFonts w:cs="Arial"/>
              </w:rPr>
              <w:t>Part E</w:t>
            </w:r>
            <w:r w:rsidRPr="00B224EC">
              <w:rPr>
                <w:rFonts w:cs="Arial"/>
              </w:rPr>
              <w:fldChar w:fldCharType="end"/>
            </w:r>
            <w:r w:rsidRPr="00B224EC">
              <w:rPr>
                <w:rFonts w:cs="Arial"/>
              </w:rPr>
              <w:t xml:space="preserve">, </w:t>
            </w:r>
            <w:bookmarkStart w:id="1915" w:name="_9kMHG5YVtCIBEGIIDVGy1nHSI62D8BSR812wCTB"/>
            <w:r w:rsidRPr="00B224EC">
              <w:rPr>
                <w:rFonts w:cs="Arial"/>
              </w:rPr>
              <w:t xml:space="preserve">Para </w:t>
            </w:r>
            <w:r w:rsidRPr="00B224EC">
              <w:rPr>
                <w:rFonts w:cs="Arial"/>
              </w:rPr>
              <w:fldChar w:fldCharType="begin"/>
            </w:r>
            <w:r w:rsidRPr="00B224EC">
              <w:rPr>
                <w:rFonts w:cs="Arial"/>
              </w:rPr>
              <w:instrText xml:space="preserve"> REF _Ref_ContractCompanion_9kb9Us8AA \n \h \t \* MERGEFORMAT </w:instrText>
            </w:r>
            <w:r w:rsidRPr="00B224EC">
              <w:rPr>
                <w:rFonts w:cs="Arial"/>
              </w:rPr>
            </w:r>
            <w:r w:rsidRPr="00B224EC">
              <w:rPr>
                <w:rFonts w:cs="Arial"/>
              </w:rPr>
              <w:fldChar w:fldCharType="separate"/>
            </w:r>
            <w:r w:rsidR="00302D39">
              <w:rPr>
                <w:rFonts w:cs="Arial"/>
              </w:rPr>
              <w:t>1.2</w:t>
            </w:r>
            <w:r w:rsidRPr="00B224EC">
              <w:rPr>
                <w:rFonts w:cs="Arial"/>
              </w:rPr>
              <w:fldChar w:fldCharType="end"/>
            </w:r>
            <w:bookmarkEnd w:id="1915"/>
          </w:p>
        </w:tc>
        <w:tc>
          <w:tcPr>
            <w:tcW w:w="2966" w:type="dxa"/>
          </w:tcPr>
          <w:p w14:paraId="585CD20D" w14:textId="77777777" w:rsidR="00F67E9E" w:rsidRPr="00B224EC" w:rsidRDefault="00F67E9E" w:rsidP="007F74AA">
            <w:pPr>
              <w:pStyle w:val="StdBodyText"/>
              <w:spacing w:before="0" w:after="0"/>
              <w:rPr>
                <w:rFonts w:cs="Arial"/>
              </w:rPr>
            </w:pPr>
            <w:r w:rsidRPr="00B224EC">
              <w:rPr>
                <w:rFonts w:cs="Arial"/>
              </w:rPr>
              <w:t>Supplier</w:t>
            </w:r>
            <w:r>
              <w:rPr>
                <w:rFonts w:cs="Arial"/>
              </w:rPr>
              <w:t>’</w:t>
            </w:r>
            <w:r w:rsidRPr="00B224EC">
              <w:rPr>
                <w:rFonts w:cs="Arial"/>
              </w:rPr>
              <w:t>s Final Supplier Personnel List</w:t>
            </w:r>
          </w:p>
        </w:tc>
        <w:tc>
          <w:tcPr>
            <w:tcW w:w="1996" w:type="dxa"/>
          </w:tcPr>
          <w:p w14:paraId="7BF310B7" w14:textId="3B45C30E" w:rsidR="00F67E9E" w:rsidRPr="00B224EC" w:rsidRDefault="00F67E9E" w:rsidP="007F74AA">
            <w:pPr>
              <w:pStyle w:val="StdBodyText"/>
              <w:spacing w:before="0" w:after="0"/>
              <w:rPr>
                <w:rFonts w:cs="Arial"/>
              </w:rPr>
            </w:pPr>
            <w:r w:rsidRPr="00E301B8">
              <w:t xml:space="preserve">As appropriate and agreed by the Authority, see Annex </w:t>
            </w:r>
            <w:r>
              <w:fldChar w:fldCharType="begin"/>
            </w:r>
            <w:r>
              <w:instrText xml:space="preserve"> REF ANNEXE2_SCHEDULE28 \h </w:instrText>
            </w:r>
            <w:r>
              <w:fldChar w:fldCharType="separate"/>
            </w:r>
            <w:r w:rsidR="00302D39" w:rsidRPr="00025910">
              <w:t>E2</w:t>
            </w:r>
            <w:r>
              <w:fldChar w:fldCharType="end"/>
            </w:r>
          </w:p>
        </w:tc>
        <w:tc>
          <w:tcPr>
            <w:tcW w:w="2666" w:type="dxa"/>
          </w:tcPr>
          <w:p w14:paraId="36D52E13" w14:textId="77777777" w:rsidR="00F67E9E" w:rsidRPr="00B224EC" w:rsidRDefault="00F67E9E" w:rsidP="007F74AA">
            <w:pPr>
              <w:pStyle w:val="StdBodyText"/>
              <w:spacing w:before="0" w:after="0"/>
              <w:rPr>
                <w:rFonts w:cs="Arial"/>
              </w:rPr>
            </w:pPr>
            <w:r w:rsidRPr="00B224EC">
              <w:rPr>
                <w:rFonts w:cs="Arial"/>
              </w:rPr>
              <w:t>At least 20 Working Days prior to the Service Transfer Date</w:t>
            </w:r>
          </w:p>
        </w:tc>
        <w:tc>
          <w:tcPr>
            <w:tcW w:w="2862" w:type="dxa"/>
          </w:tcPr>
          <w:p w14:paraId="2B555077" w14:textId="77777777" w:rsidR="00F67E9E" w:rsidRPr="00B224EC" w:rsidRDefault="00F67E9E" w:rsidP="007F74AA">
            <w:pPr>
              <w:pStyle w:val="StdBodyText"/>
              <w:spacing w:before="0" w:after="0"/>
              <w:rPr>
                <w:rFonts w:cs="Arial"/>
              </w:rPr>
            </w:pPr>
            <w:r w:rsidRPr="00B224EC">
              <w:rPr>
                <w:rFonts w:cs="Arial"/>
              </w:rPr>
              <w:t>Upon any material change to the list of employees</w:t>
            </w:r>
          </w:p>
        </w:tc>
        <w:tc>
          <w:tcPr>
            <w:tcW w:w="2381" w:type="dxa"/>
          </w:tcPr>
          <w:p w14:paraId="02FCBC9A" w14:textId="77777777" w:rsidR="00F67E9E" w:rsidRPr="00B224EC" w:rsidRDefault="00F67E9E" w:rsidP="007F74AA">
            <w:pPr>
              <w:pStyle w:val="StdBodyText"/>
              <w:spacing w:before="0" w:after="0"/>
              <w:rPr>
                <w:rFonts w:cs="Arial"/>
              </w:rPr>
            </w:pPr>
            <w:r w:rsidRPr="00B224EC">
              <w:rPr>
                <w:rFonts w:cs="Arial"/>
              </w:rPr>
              <w:t xml:space="preserve">Authority and, at the discretion of the Authority, the </w:t>
            </w:r>
            <w:r>
              <w:rPr>
                <w:rFonts w:eastAsia="Arial" w:cs="Arial"/>
                <w:color w:val="000000"/>
              </w:rPr>
              <w:t xml:space="preserve">prospective </w:t>
            </w:r>
            <w:r w:rsidRPr="00B224EC">
              <w:rPr>
                <w:rFonts w:cs="Arial"/>
              </w:rPr>
              <w:t xml:space="preserve">Replacement Supplier and/or any </w:t>
            </w:r>
            <w:r>
              <w:rPr>
                <w:rFonts w:eastAsia="Arial" w:cs="Arial"/>
                <w:color w:val="000000"/>
              </w:rPr>
              <w:t xml:space="preserve">prospective </w:t>
            </w:r>
            <w:r w:rsidRPr="00B224EC">
              <w:rPr>
                <w:rFonts w:cs="Arial"/>
              </w:rPr>
              <w:t>Replacement Subcontractor</w:t>
            </w:r>
          </w:p>
        </w:tc>
      </w:tr>
      <w:tr w:rsidR="00F67E9E" w:rsidRPr="005356F1" w14:paraId="67626A6E" w14:textId="77777777" w:rsidTr="007F74AA">
        <w:trPr>
          <w:trHeight w:val="20"/>
        </w:trPr>
        <w:tc>
          <w:tcPr>
            <w:tcW w:w="2268" w:type="dxa"/>
          </w:tcPr>
          <w:p w14:paraId="78B1359D" w14:textId="75E67B0D" w:rsidR="00F67E9E" w:rsidRPr="00B224EC" w:rsidRDefault="00F67E9E" w:rsidP="007F74AA">
            <w:pPr>
              <w:pStyle w:val="StdBodyText"/>
              <w:spacing w:before="0" w:after="0"/>
              <w:rPr>
                <w:rFonts w:cs="Arial"/>
              </w:rPr>
            </w:pPr>
            <w:r w:rsidRPr="00B224EC">
              <w:rPr>
                <w:rFonts w:cs="Arial"/>
              </w:rPr>
              <w:t xml:space="preserve">Sch </w:t>
            </w:r>
            <w:r w:rsidRPr="00B224EC">
              <w:rPr>
                <w:rFonts w:cs="Arial"/>
              </w:rPr>
              <w:fldChar w:fldCharType="begin"/>
            </w:r>
            <w:r w:rsidRPr="00B224EC">
              <w:rPr>
                <w:rFonts w:cs="Arial"/>
              </w:rPr>
              <w:instrText xml:space="preserve"> REF _Ref92200072 \h  \# "#"  \* MERGEFORMAT </w:instrText>
            </w:r>
            <w:r w:rsidRPr="00B224EC">
              <w:rPr>
                <w:rFonts w:cs="Arial"/>
              </w:rPr>
            </w:r>
            <w:r w:rsidRPr="00B224EC">
              <w:rPr>
                <w:rFonts w:cs="Arial"/>
              </w:rPr>
              <w:fldChar w:fldCharType="separate"/>
            </w:r>
            <w:r w:rsidR="00302D39">
              <w:rPr>
                <w:rFonts w:cs="Arial"/>
              </w:rPr>
              <w:t>28</w:t>
            </w:r>
            <w:r w:rsidRPr="00B224EC">
              <w:rPr>
                <w:rFonts w:cs="Arial"/>
              </w:rPr>
              <w:fldChar w:fldCharType="end"/>
            </w:r>
            <w:r w:rsidRPr="00B224EC">
              <w:rPr>
                <w:rFonts w:cs="Arial"/>
              </w:rPr>
              <w:t xml:space="preserve">, </w:t>
            </w:r>
            <w:r w:rsidRPr="00B224EC">
              <w:rPr>
                <w:rFonts w:cs="Arial"/>
              </w:rPr>
              <w:fldChar w:fldCharType="begin"/>
            </w:r>
            <w:r w:rsidRPr="00B224EC">
              <w:rPr>
                <w:rFonts w:cs="Arial"/>
              </w:rPr>
              <w:instrText xml:space="preserve"> REF Sch15PartE \h  \* MERGEFORMAT </w:instrText>
            </w:r>
            <w:r w:rsidRPr="00B224EC">
              <w:rPr>
                <w:rFonts w:cs="Arial"/>
              </w:rPr>
            </w:r>
            <w:r w:rsidRPr="00B224EC">
              <w:rPr>
                <w:rFonts w:cs="Arial"/>
              </w:rPr>
              <w:fldChar w:fldCharType="separate"/>
            </w:r>
            <w:r w:rsidR="00302D39" w:rsidRPr="00302D39">
              <w:rPr>
                <w:rFonts w:cs="Arial"/>
              </w:rPr>
              <w:t>Part E</w:t>
            </w:r>
            <w:r w:rsidRPr="00B224EC">
              <w:rPr>
                <w:rFonts w:cs="Arial"/>
              </w:rPr>
              <w:fldChar w:fldCharType="end"/>
            </w:r>
            <w:r w:rsidRPr="00B224EC">
              <w:rPr>
                <w:rFonts w:cs="Arial"/>
              </w:rPr>
              <w:t xml:space="preserve">, </w:t>
            </w:r>
            <w:bookmarkStart w:id="1916" w:name="_9kMHG5YVtCIBEHCBHiOjkxyvum4Fzxw6PAB848D"/>
            <w:r w:rsidRPr="00B224EC">
              <w:rPr>
                <w:rFonts w:cs="Arial"/>
              </w:rPr>
              <w:t xml:space="preserve">Para </w:t>
            </w:r>
            <w:r w:rsidRPr="00B224EC">
              <w:rPr>
                <w:rFonts w:cs="Arial"/>
              </w:rPr>
              <w:fldChar w:fldCharType="begin"/>
            </w:r>
            <w:r w:rsidRPr="00B224EC">
              <w:rPr>
                <w:rFonts w:cs="Arial"/>
              </w:rPr>
              <w:instrText xml:space="preserve"> REF _Ref_ContractCompanion_9kb9Us8AD \n \h \t \* MERGEFORMAT </w:instrText>
            </w:r>
            <w:r w:rsidRPr="00B224EC">
              <w:rPr>
                <w:rFonts w:cs="Arial"/>
              </w:rPr>
            </w:r>
            <w:r w:rsidRPr="00B224EC">
              <w:rPr>
                <w:rFonts w:cs="Arial"/>
              </w:rPr>
              <w:fldChar w:fldCharType="separate"/>
            </w:r>
            <w:r w:rsidR="00302D39">
              <w:rPr>
                <w:rFonts w:cs="Arial"/>
              </w:rPr>
              <w:t>1.6</w:t>
            </w:r>
            <w:r w:rsidRPr="00B224EC">
              <w:rPr>
                <w:rFonts w:cs="Arial"/>
              </w:rPr>
              <w:fldChar w:fldCharType="end"/>
            </w:r>
            <w:bookmarkEnd w:id="1916"/>
          </w:p>
        </w:tc>
        <w:tc>
          <w:tcPr>
            <w:tcW w:w="2966" w:type="dxa"/>
          </w:tcPr>
          <w:p w14:paraId="4162C743" w14:textId="77777777" w:rsidR="00F67E9E" w:rsidRPr="00B224EC" w:rsidRDefault="00F67E9E" w:rsidP="007F74AA">
            <w:pPr>
              <w:pStyle w:val="StdBodyText"/>
              <w:spacing w:before="0" w:after="0"/>
              <w:rPr>
                <w:rFonts w:cs="Arial"/>
              </w:rPr>
            </w:pPr>
            <w:r w:rsidRPr="00B224EC">
              <w:rPr>
                <w:rFonts w:cs="Arial"/>
              </w:rPr>
              <w:t>Information relating to the manner in which the services are organised</w:t>
            </w:r>
          </w:p>
        </w:tc>
        <w:tc>
          <w:tcPr>
            <w:tcW w:w="1996" w:type="dxa"/>
          </w:tcPr>
          <w:p w14:paraId="05833FAB" w14:textId="708D45A6" w:rsidR="00F67E9E" w:rsidRPr="00B224EC" w:rsidRDefault="00F67E9E" w:rsidP="007F74AA">
            <w:pPr>
              <w:pStyle w:val="StdBodyText"/>
              <w:spacing w:before="0" w:after="0"/>
              <w:rPr>
                <w:rFonts w:cs="Arial"/>
              </w:rPr>
            </w:pPr>
            <w:r w:rsidRPr="00B224EC">
              <w:rPr>
                <w:rFonts w:cs="Arial"/>
              </w:rPr>
              <w:t>As appropriate and agreed by the Authority</w:t>
            </w:r>
            <w:r w:rsidR="006C682E">
              <w:rPr>
                <w:rFonts w:cs="Arial"/>
              </w:rPr>
              <w:t xml:space="preserve">, see Annex </w:t>
            </w:r>
            <w:r w:rsidR="006C682E">
              <w:rPr>
                <w:rFonts w:cs="Arial"/>
              </w:rPr>
              <w:fldChar w:fldCharType="begin"/>
            </w:r>
            <w:r w:rsidR="006C682E">
              <w:rPr>
                <w:rFonts w:cs="Arial"/>
              </w:rPr>
              <w:instrText xml:space="preserve"> REF ANNEXE2_SCHEDULE28 \h </w:instrText>
            </w:r>
            <w:r w:rsidR="006C682E">
              <w:rPr>
                <w:rFonts w:cs="Arial"/>
              </w:rPr>
            </w:r>
            <w:r w:rsidR="006C682E">
              <w:rPr>
                <w:rFonts w:cs="Arial"/>
              </w:rPr>
              <w:fldChar w:fldCharType="separate"/>
            </w:r>
            <w:r w:rsidR="006C682E" w:rsidRPr="00025910">
              <w:t>E2</w:t>
            </w:r>
            <w:r w:rsidR="006C682E">
              <w:rPr>
                <w:rFonts w:cs="Arial"/>
              </w:rPr>
              <w:fldChar w:fldCharType="end"/>
            </w:r>
            <w:r w:rsidR="006C682E">
              <w:rPr>
                <w:rFonts w:cs="Arial"/>
              </w:rPr>
              <w:t xml:space="preserve"> </w:t>
            </w:r>
          </w:p>
        </w:tc>
        <w:tc>
          <w:tcPr>
            <w:tcW w:w="2666" w:type="dxa"/>
          </w:tcPr>
          <w:p w14:paraId="172E2CEF" w14:textId="77777777" w:rsidR="00F67E9E" w:rsidRPr="00B224EC" w:rsidRDefault="00F67E9E" w:rsidP="007F74AA">
            <w:pPr>
              <w:pStyle w:val="StdBodyText"/>
              <w:spacing w:before="0" w:after="0"/>
              <w:rPr>
                <w:rFonts w:cs="Arial"/>
              </w:rPr>
            </w:pPr>
            <w:r w:rsidRPr="00E62EBA">
              <w:rPr>
                <w:rFonts w:cs="Arial"/>
              </w:rPr>
              <w:t>Within 20 Working Days of Authority request</w:t>
            </w:r>
          </w:p>
        </w:tc>
        <w:tc>
          <w:tcPr>
            <w:tcW w:w="2862" w:type="dxa"/>
          </w:tcPr>
          <w:p w14:paraId="617E8DEF" w14:textId="77777777" w:rsidR="00F67E9E" w:rsidRPr="00B224EC" w:rsidRDefault="00F67E9E" w:rsidP="007F74AA">
            <w:pPr>
              <w:pStyle w:val="StdBodyText"/>
              <w:spacing w:before="0" w:after="0"/>
              <w:rPr>
                <w:rFonts w:cs="Arial"/>
              </w:rPr>
            </w:pPr>
            <w:r w:rsidRPr="006401A4">
              <w:rPr>
                <w:rFonts w:cs="Arial"/>
              </w:rPr>
              <w:t>Within 20 Working Days of Authority request</w:t>
            </w:r>
          </w:p>
        </w:tc>
        <w:tc>
          <w:tcPr>
            <w:tcW w:w="2381" w:type="dxa"/>
          </w:tcPr>
          <w:p w14:paraId="4F18041B" w14:textId="77777777" w:rsidR="00F67E9E" w:rsidRPr="00B224EC" w:rsidRDefault="00F67E9E" w:rsidP="007F74AA">
            <w:pPr>
              <w:pStyle w:val="StdBodyText"/>
              <w:spacing w:before="0" w:after="0"/>
              <w:rPr>
                <w:rFonts w:cs="Arial"/>
              </w:rPr>
            </w:pPr>
            <w:r w:rsidRPr="00B224EC">
              <w:rPr>
                <w:rFonts w:cs="Arial"/>
              </w:rPr>
              <w:t>Authority</w:t>
            </w:r>
          </w:p>
        </w:tc>
      </w:tr>
      <w:tr w:rsidR="00F67E9E" w:rsidRPr="005356F1" w14:paraId="4568D08A" w14:textId="77777777" w:rsidTr="007F74AA">
        <w:trPr>
          <w:trHeight w:val="20"/>
        </w:trPr>
        <w:tc>
          <w:tcPr>
            <w:tcW w:w="2268" w:type="dxa"/>
          </w:tcPr>
          <w:p w14:paraId="4599EA02" w14:textId="7EAB68AC" w:rsidR="00F67E9E" w:rsidRPr="00B224EC" w:rsidRDefault="00F67E9E" w:rsidP="007F74AA">
            <w:pPr>
              <w:pStyle w:val="StdBodyText"/>
              <w:spacing w:before="0" w:after="0"/>
              <w:rPr>
                <w:rFonts w:cs="Arial"/>
              </w:rPr>
            </w:pPr>
            <w:r w:rsidRPr="00B224EC">
              <w:rPr>
                <w:rFonts w:cs="Arial"/>
              </w:rPr>
              <w:t xml:space="preserve">Sch </w:t>
            </w:r>
            <w:r w:rsidRPr="00B224EC">
              <w:rPr>
                <w:rFonts w:cs="Arial"/>
              </w:rPr>
              <w:fldChar w:fldCharType="begin"/>
            </w:r>
            <w:r w:rsidRPr="00B224EC">
              <w:rPr>
                <w:rFonts w:cs="Arial"/>
              </w:rPr>
              <w:instrText xml:space="preserve"> REF _Ref92200072 \h  \# "#"  \* MERGEFORMAT </w:instrText>
            </w:r>
            <w:r w:rsidRPr="00B224EC">
              <w:rPr>
                <w:rFonts w:cs="Arial"/>
              </w:rPr>
            </w:r>
            <w:r w:rsidRPr="00B224EC">
              <w:rPr>
                <w:rFonts w:cs="Arial"/>
              </w:rPr>
              <w:fldChar w:fldCharType="separate"/>
            </w:r>
            <w:r w:rsidR="00302D39">
              <w:rPr>
                <w:rFonts w:cs="Arial"/>
              </w:rPr>
              <w:t>28</w:t>
            </w:r>
            <w:r w:rsidRPr="00B224EC">
              <w:rPr>
                <w:rFonts w:cs="Arial"/>
              </w:rPr>
              <w:fldChar w:fldCharType="end"/>
            </w:r>
            <w:r w:rsidRPr="00B224EC">
              <w:rPr>
                <w:rFonts w:cs="Arial"/>
              </w:rPr>
              <w:t xml:space="preserve">, </w:t>
            </w:r>
            <w:r w:rsidRPr="00B224EC">
              <w:rPr>
                <w:rFonts w:cs="Arial"/>
              </w:rPr>
              <w:fldChar w:fldCharType="begin"/>
            </w:r>
            <w:r w:rsidRPr="00B224EC">
              <w:rPr>
                <w:rFonts w:cs="Arial"/>
              </w:rPr>
              <w:instrText xml:space="preserve"> REF Sch15PartE \h  \* MERGEFORMAT </w:instrText>
            </w:r>
            <w:r w:rsidRPr="00B224EC">
              <w:rPr>
                <w:rFonts w:cs="Arial"/>
              </w:rPr>
            </w:r>
            <w:r w:rsidRPr="00B224EC">
              <w:rPr>
                <w:rFonts w:cs="Arial"/>
              </w:rPr>
              <w:fldChar w:fldCharType="separate"/>
            </w:r>
            <w:r w:rsidR="00302D39" w:rsidRPr="00302D39">
              <w:rPr>
                <w:rFonts w:cs="Arial"/>
              </w:rPr>
              <w:t>Part E</w:t>
            </w:r>
            <w:r w:rsidRPr="00B224EC">
              <w:rPr>
                <w:rFonts w:cs="Arial"/>
              </w:rPr>
              <w:fldChar w:fldCharType="end"/>
            </w:r>
            <w:r w:rsidRPr="00B224EC">
              <w:rPr>
                <w:rFonts w:cs="Arial"/>
              </w:rPr>
              <w:t xml:space="preserve">, Para </w:t>
            </w:r>
            <w:r w:rsidRPr="00B224EC">
              <w:rPr>
                <w:rFonts w:cs="Arial"/>
              </w:rPr>
              <w:fldChar w:fldCharType="begin"/>
            </w:r>
            <w:r w:rsidRPr="00B224EC">
              <w:rPr>
                <w:rFonts w:cs="Arial"/>
              </w:rPr>
              <w:instrText xml:space="preserve"> REF _Ref_ContractCompanion_9kb9Us8B7 \n \h \t \* MERGEFORMAT </w:instrText>
            </w:r>
            <w:r w:rsidRPr="00B224EC">
              <w:rPr>
                <w:rFonts w:cs="Arial"/>
              </w:rPr>
            </w:r>
            <w:r w:rsidRPr="00B224EC">
              <w:rPr>
                <w:rFonts w:cs="Arial"/>
              </w:rPr>
              <w:fldChar w:fldCharType="separate"/>
            </w:r>
            <w:r w:rsidR="00302D39">
              <w:rPr>
                <w:rFonts w:cs="Arial"/>
              </w:rPr>
              <w:t>1.7</w:t>
            </w:r>
            <w:r w:rsidRPr="00B224EC">
              <w:rPr>
                <w:rFonts w:cs="Arial"/>
              </w:rPr>
              <w:fldChar w:fldCharType="end"/>
            </w:r>
          </w:p>
        </w:tc>
        <w:tc>
          <w:tcPr>
            <w:tcW w:w="2966" w:type="dxa"/>
          </w:tcPr>
          <w:p w14:paraId="3CB325B8" w14:textId="77777777" w:rsidR="00F67E9E" w:rsidRPr="00B224EC" w:rsidRDefault="00F67E9E" w:rsidP="007F74AA">
            <w:pPr>
              <w:pStyle w:val="StdBodyText"/>
              <w:spacing w:before="0" w:after="0"/>
              <w:rPr>
                <w:rFonts w:cs="Arial"/>
              </w:rPr>
            </w:pPr>
            <w:r w:rsidRPr="00B224EC">
              <w:rPr>
                <w:rFonts w:cs="Arial"/>
              </w:rPr>
              <w:t xml:space="preserve">Payroll and benefits information </w:t>
            </w:r>
          </w:p>
        </w:tc>
        <w:tc>
          <w:tcPr>
            <w:tcW w:w="1996" w:type="dxa"/>
          </w:tcPr>
          <w:p w14:paraId="3FBAD943" w14:textId="7A60E060" w:rsidR="00F67E9E" w:rsidRPr="00B224EC" w:rsidRDefault="00F67E9E" w:rsidP="007F74AA">
            <w:pPr>
              <w:pStyle w:val="StdBodyText"/>
              <w:spacing w:before="0" w:after="0"/>
              <w:rPr>
                <w:rFonts w:cs="Arial"/>
              </w:rPr>
            </w:pPr>
            <w:r w:rsidRPr="00B224EC">
              <w:rPr>
                <w:rFonts w:cs="Arial"/>
              </w:rPr>
              <w:t>As appropriate and agreed by the Authority</w:t>
            </w:r>
            <w:r w:rsidR="006C682E">
              <w:rPr>
                <w:rFonts w:cs="Arial"/>
              </w:rPr>
              <w:t xml:space="preserve">, see Annex </w:t>
            </w:r>
            <w:r w:rsidR="006C682E">
              <w:rPr>
                <w:rFonts w:cs="Arial"/>
              </w:rPr>
              <w:fldChar w:fldCharType="begin"/>
            </w:r>
            <w:r w:rsidR="006C682E">
              <w:rPr>
                <w:rFonts w:cs="Arial"/>
              </w:rPr>
              <w:instrText xml:space="preserve"> REF ANNEXE2_SCHEDULE28 \h </w:instrText>
            </w:r>
            <w:r w:rsidR="006C682E">
              <w:rPr>
                <w:rFonts w:cs="Arial"/>
              </w:rPr>
            </w:r>
            <w:r w:rsidR="006C682E">
              <w:rPr>
                <w:rFonts w:cs="Arial"/>
              </w:rPr>
              <w:fldChar w:fldCharType="separate"/>
            </w:r>
            <w:r w:rsidR="006C682E" w:rsidRPr="00025910">
              <w:t>E2</w:t>
            </w:r>
            <w:r w:rsidR="006C682E">
              <w:rPr>
                <w:rFonts w:cs="Arial"/>
              </w:rPr>
              <w:fldChar w:fldCharType="end"/>
            </w:r>
          </w:p>
        </w:tc>
        <w:tc>
          <w:tcPr>
            <w:tcW w:w="2666" w:type="dxa"/>
          </w:tcPr>
          <w:p w14:paraId="7E2DBBDF" w14:textId="77777777" w:rsidR="00F67E9E" w:rsidRPr="00B224EC" w:rsidRDefault="00F67E9E" w:rsidP="007F74AA">
            <w:pPr>
              <w:pStyle w:val="StdBodyText"/>
              <w:spacing w:before="0" w:after="0"/>
              <w:rPr>
                <w:rFonts w:cs="Arial"/>
              </w:rPr>
            </w:pPr>
            <w:r w:rsidRPr="00B224EC">
              <w:rPr>
                <w:rFonts w:cs="Arial"/>
              </w:rPr>
              <w:t>Within 5 Working Days following the Service Transfer Date</w:t>
            </w:r>
          </w:p>
        </w:tc>
        <w:tc>
          <w:tcPr>
            <w:tcW w:w="2862" w:type="dxa"/>
          </w:tcPr>
          <w:p w14:paraId="3B8D66BA" w14:textId="77777777" w:rsidR="00F67E9E" w:rsidRPr="00B224EC" w:rsidRDefault="00F67E9E" w:rsidP="007F74AA">
            <w:pPr>
              <w:pStyle w:val="StdBodyText"/>
              <w:spacing w:before="0" w:after="0"/>
              <w:rPr>
                <w:rFonts w:cs="Arial"/>
              </w:rPr>
            </w:pPr>
            <w:r w:rsidRPr="00B224EC">
              <w:rPr>
                <w:rFonts w:cs="Arial"/>
              </w:rPr>
              <w:t>-</w:t>
            </w:r>
          </w:p>
        </w:tc>
        <w:tc>
          <w:tcPr>
            <w:tcW w:w="2381" w:type="dxa"/>
          </w:tcPr>
          <w:p w14:paraId="3AAACC35" w14:textId="77777777" w:rsidR="00F67E9E" w:rsidRPr="00B224EC" w:rsidRDefault="00F67E9E" w:rsidP="007F74AA">
            <w:pPr>
              <w:pStyle w:val="StdBodyText"/>
              <w:spacing w:before="0" w:after="0"/>
              <w:rPr>
                <w:rFonts w:cs="Arial"/>
              </w:rPr>
            </w:pPr>
            <w:r w:rsidRPr="00B224EC">
              <w:rPr>
                <w:rFonts w:cs="Arial"/>
              </w:rPr>
              <w:t>Authority, any Replacement Supplier and/or Replacement Sub-contractor</w:t>
            </w:r>
          </w:p>
        </w:tc>
      </w:tr>
      <w:tr w:rsidR="00F67E9E" w:rsidRPr="005356F1" w14:paraId="4BDE34F4" w14:textId="77777777" w:rsidTr="007F74AA">
        <w:trPr>
          <w:trHeight w:val="20"/>
        </w:trPr>
        <w:tc>
          <w:tcPr>
            <w:tcW w:w="2268" w:type="dxa"/>
          </w:tcPr>
          <w:p w14:paraId="61151C51" w14:textId="7847593B" w:rsidR="00F67E9E" w:rsidRPr="00B224EC" w:rsidRDefault="00F67E9E" w:rsidP="007F74AA">
            <w:pPr>
              <w:pStyle w:val="StdBodyText"/>
              <w:spacing w:before="0" w:after="0"/>
              <w:rPr>
                <w:rFonts w:cs="Arial"/>
              </w:rPr>
            </w:pPr>
            <w:r w:rsidRPr="00B224EC">
              <w:rPr>
                <w:rFonts w:cs="Arial"/>
              </w:rPr>
              <w:t xml:space="preserve">Sch </w:t>
            </w:r>
            <w:r w:rsidRPr="00B224EC">
              <w:rPr>
                <w:rFonts w:cs="Arial"/>
              </w:rPr>
              <w:fldChar w:fldCharType="begin"/>
            </w:r>
            <w:r w:rsidRPr="00B224EC">
              <w:rPr>
                <w:rFonts w:cs="Arial"/>
              </w:rPr>
              <w:instrText xml:space="preserve"> REF _Ref92200072 \h  \# "#"  \* MERGEFORMAT </w:instrText>
            </w:r>
            <w:r w:rsidRPr="00B224EC">
              <w:rPr>
                <w:rFonts w:cs="Arial"/>
              </w:rPr>
            </w:r>
            <w:r w:rsidRPr="00B224EC">
              <w:rPr>
                <w:rFonts w:cs="Arial"/>
              </w:rPr>
              <w:fldChar w:fldCharType="separate"/>
            </w:r>
            <w:r w:rsidR="00302D39">
              <w:rPr>
                <w:rFonts w:cs="Arial"/>
              </w:rPr>
              <w:t>28</w:t>
            </w:r>
            <w:r w:rsidRPr="00B224EC">
              <w:rPr>
                <w:rFonts w:cs="Arial"/>
              </w:rPr>
              <w:fldChar w:fldCharType="end"/>
            </w:r>
            <w:r w:rsidRPr="00B224EC">
              <w:rPr>
                <w:rFonts w:cs="Arial"/>
              </w:rPr>
              <w:t xml:space="preserve">, Annex </w:t>
            </w:r>
            <w:r w:rsidRPr="00B224EC">
              <w:rPr>
                <w:rFonts w:cs="Arial"/>
              </w:rPr>
              <w:fldChar w:fldCharType="begin"/>
            </w:r>
            <w:r w:rsidRPr="00B224EC">
              <w:rPr>
                <w:rFonts w:cs="Arial"/>
              </w:rPr>
              <w:instrText xml:space="preserve"> REF ANNEXE1_SCHEDULE28 \h  \* MERGEFORMAT </w:instrText>
            </w:r>
            <w:r w:rsidRPr="00B224EC">
              <w:rPr>
                <w:rFonts w:cs="Arial"/>
              </w:rPr>
            </w:r>
            <w:r w:rsidRPr="00B224EC">
              <w:rPr>
                <w:rFonts w:cs="Arial"/>
              </w:rPr>
              <w:fldChar w:fldCharType="separate"/>
            </w:r>
            <w:r w:rsidR="00302D39" w:rsidRPr="00302D39">
              <w:rPr>
                <w:rFonts w:cs="Arial"/>
              </w:rPr>
              <w:t>E1</w:t>
            </w:r>
            <w:r w:rsidRPr="00B224EC">
              <w:rPr>
                <w:rFonts w:cs="Arial"/>
              </w:rPr>
              <w:fldChar w:fldCharType="end"/>
            </w:r>
          </w:p>
        </w:tc>
        <w:tc>
          <w:tcPr>
            <w:tcW w:w="2966" w:type="dxa"/>
          </w:tcPr>
          <w:p w14:paraId="01EC35A2" w14:textId="77777777" w:rsidR="00F67E9E" w:rsidRPr="00B224EC" w:rsidRDefault="00F67E9E" w:rsidP="007F74AA">
            <w:pPr>
              <w:pStyle w:val="StdBodyText"/>
              <w:spacing w:before="0" w:after="0"/>
              <w:rPr>
                <w:rFonts w:cs="Arial"/>
              </w:rPr>
            </w:pPr>
            <w:r w:rsidRPr="00B224EC">
              <w:rPr>
                <w:rFonts w:cs="Arial"/>
              </w:rPr>
              <w:t>List of Notified Sub-contractors</w:t>
            </w:r>
          </w:p>
        </w:tc>
        <w:tc>
          <w:tcPr>
            <w:tcW w:w="1996" w:type="dxa"/>
          </w:tcPr>
          <w:p w14:paraId="5DD23209" w14:textId="77777777" w:rsidR="00F67E9E" w:rsidRPr="00B224EC" w:rsidRDefault="00F67E9E" w:rsidP="007F74AA">
            <w:pPr>
              <w:pStyle w:val="StdBodyText"/>
              <w:spacing w:before="0" w:after="0"/>
              <w:rPr>
                <w:rFonts w:cs="Arial"/>
              </w:rPr>
            </w:pPr>
            <w:r w:rsidRPr="00B224EC">
              <w:rPr>
                <w:rFonts w:cs="Arial"/>
              </w:rPr>
              <w:t>As appropriate and agreed by the Authority</w:t>
            </w:r>
          </w:p>
        </w:tc>
        <w:tc>
          <w:tcPr>
            <w:tcW w:w="2666" w:type="dxa"/>
          </w:tcPr>
          <w:p w14:paraId="63D66739" w14:textId="77777777" w:rsidR="00F67E9E" w:rsidRPr="00B224EC" w:rsidRDefault="00F67E9E" w:rsidP="007F74AA">
            <w:pPr>
              <w:pStyle w:val="StdBodyText"/>
              <w:spacing w:before="0" w:after="0"/>
              <w:rPr>
                <w:rFonts w:cs="Arial"/>
              </w:rPr>
            </w:pPr>
            <w:r w:rsidRPr="00B224EC">
              <w:rPr>
                <w:rFonts w:cs="Arial"/>
              </w:rPr>
              <w:t>Effective Date</w:t>
            </w:r>
          </w:p>
        </w:tc>
        <w:tc>
          <w:tcPr>
            <w:tcW w:w="2862" w:type="dxa"/>
          </w:tcPr>
          <w:p w14:paraId="3342F264" w14:textId="77777777" w:rsidR="00F67E9E" w:rsidRPr="00B224EC" w:rsidRDefault="00F67E9E" w:rsidP="007F74AA">
            <w:pPr>
              <w:pStyle w:val="StdBodyText"/>
              <w:spacing w:before="0" w:after="0"/>
              <w:rPr>
                <w:rFonts w:cs="Arial"/>
              </w:rPr>
            </w:pPr>
            <w:r w:rsidRPr="00B224EC">
              <w:rPr>
                <w:rFonts w:cs="Arial"/>
              </w:rPr>
              <w:t>Upon any change</w:t>
            </w:r>
          </w:p>
        </w:tc>
        <w:tc>
          <w:tcPr>
            <w:tcW w:w="2381" w:type="dxa"/>
          </w:tcPr>
          <w:p w14:paraId="2A59A365" w14:textId="77777777" w:rsidR="00F67E9E" w:rsidRPr="00B224EC" w:rsidRDefault="00F67E9E" w:rsidP="007F74AA">
            <w:pPr>
              <w:pStyle w:val="StdBodyText"/>
              <w:spacing w:before="0" w:after="0"/>
              <w:rPr>
                <w:rFonts w:cs="Arial"/>
              </w:rPr>
            </w:pPr>
            <w:r w:rsidRPr="00B224EC">
              <w:rPr>
                <w:rFonts w:cs="Arial"/>
              </w:rPr>
              <w:t>Authority</w:t>
            </w:r>
          </w:p>
        </w:tc>
      </w:tr>
      <w:tr w:rsidR="00F67E9E" w:rsidRPr="005356F1" w14:paraId="44F30150" w14:textId="77777777" w:rsidTr="007F74AA">
        <w:trPr>
          <w:trHeight w:val="20"/>
        </w:trPr>
        <w:tc>
          <w:tcPr>
            <w:tcW w:w="2268" w:type="dxa"/>
          </w:tcPr>
          <w:p w14:paraId="26A2579F" w14:textId="343F1DED" w:rsidR="00F67E9E" w:rsidRPr="005356F1" w:rsidRDefault="00F67E9E" w:rsidP="007F74AA">
            <w:pPr>
              <w:pStyle w:val="StdBodyText"/>
              <w:spacing w:before="0" w:after="0"/>
              <w:rPr>
                <w:rFonts w:cs="Arial"/>
              </w:rPr>
            </w:pPr>
            <w:r w:rsidRPr="0061274F">
              <w:rPr>
                <w:rFonts w:cs="Arial"/>
              </w:rPr>
              <w:t xml:space="preserve">Sch </w:t>
            </w:r>
            <w:r w:rsidRPr="0061274F">
              <w:rPr>
                <w:rFonts w:cs="Arial"/>
              </w:rPr>
              <w:fldChar w:fldCharType="begin"/>
            </w:r>
            <w:r w:rsidRPr="0061274F">
              <w:rPr>
                <w:rFonts w:cs="Arial"/>
              </w:rPr>
              <w:instrText xml:space="preserve"> REF _Ref92200080 \h  \# "#" </w:instrText>
            </w:r>
            <w:r>
              <w:rPr>
                <w:rFonts w:cs="Arial"/>
              </w:rPr>
              <w:instrText xml:space="preserve"> \* MERGEFORMAT </w:instrText>
            </w:r>
            <w:r w:rsidRPr="0061274F">
              <w:rPr>
                <w:rFonts w:cs="Arial"/>
              </w:rPr>
            </w:r>
            <w:r w:rsidRPr="0061274F">
              <w:rPr>
                <w:rFonts w:cs="Arial"/>
              </w:rPr>
              <w:fldChar w:fldCharType="separate"/>
            </w:r>
            <w:r w:rsidR="00302D39">
              <w:rPr>
                <w:rFonts w:cs="Arial"/>
              </w:rPr>
              <w:t>29</w:t>
            </w:r>
            <w:r w:rsidRPr="0061274F">
              <w:rPr>
                <w:rFonts w:cs="Arial"/>
              </w:rPr>
              <w:fldChar w:fldCharType="end"/>
            </w:r>
          </w:p>
        </w:tc>
        <w:tc>
          <w:tcPr>
            <w:tcW w:w="2966" w:type="dxa"/>
          </w:tcPr>
          <w:p w14:paraId="3D084694" w14:textId="77777777" w:rsidR="00F67E9E" w:rsidRPr="005356F1" w:rsidRDefault="00F67E9E" w:rsidP="007F74AA">
            <w:pPr>
              <w:pStyle w:val="StdBodyText"/>
              <w:spacing w:before="0" w:after="0"/>
              <w:rPr>
                <w:rFonts w:cs="Arial"/>
              </w:rPr>
            </w:pPr>
            <w:r w:rsidRPr="005356F1">
              <w:rPr>
                <w:rFonts w:cs="Arial"/>
              </w:rPr>
              <w:t>Key Personnel</w:t>
            </w:r>
          </w:p>
        </w:tc>
        <w:tc>
          <w:tcPr>
            <w:tcW w:w="1996" w:type="dxa"/>
          </w:tcPr>
          <w:p w14:paraId="0188711D" w14:textId="60AFBCA0" w:rsidR="00F67E9E" w:rsidRPr="005356F1" w:rsidRDefault="00F67E9E" w:rsidP="007F74AA">
            <w:pPr>
              <w:pStyle w:val="StdBodyText"/>
              <w:spacing w:before="0" w:after="0"/>
              <w:rPr>
                <w:rFonts w:cs="Arial"/>
              </w:rPr>
            </w:pPr>
            <w:r w:rsidRPr="0061274F">
              <w:rPr>
                <w:rFonts w:cs="Arial"/>
              </w:rPr>
              <w:t xml:space="preserve">Sch </w:t>
            </w:r>
            <w:r w:rsidRPr="0061274F">
              <w:rPr>
                <w:rFonts w:cs="Arial"/>
              </w:rPr>
              <w:fldChar w:fldCharType="begin"/>
            </w:r>
            <w:r w:rsidRPr="0061274F">
              <w:rPr>
                <w:rFonts w:cs="Arial"/>
              </w:rPr>
              <w:instrText xml:space="preserve"> REF _Ref92200080 \h  \# "#" </w:instrText>
            </w:r>
            <w:r>
              <w:rPr>
                <w:rFonts w:cs="Arial"/>
              </w:rPr>
              <w:instrText xml:space="preserve"> \* MERGEFORMAT </w:instrText>
            </w:r>
            <w:r w:rsidRPr="0061274F">
              <w:rPr>
                <w:rFonts w:cs="Arial"/>
              </w:rPr>
            </w:r>
            <w:r w:rsidRPr="0061274F">
              <w:rPr>
                <w:rFonts w:cs="Arial"/>
              </w:rPr>
              <w:fldChar w:fldCharType="separate"/>
            </w:r>
            <w:r w:rsidR="00302D39">
              <w:rPr>
                <w:rFonts w:cs="Arial"/>
              </w:rPr>
              <w:t>29</w:t>
            </w:r>
            <w:r w:rsidRPr="0061274F">
              <w:rPr>
                <w:rFonts w:cs="Arial"/>
              </w:rPr>
              <w:fldChar w:fldCharType="end"/>
            </w:r>
          </w:p>
        </w:tc>
        <w:tc>
          <w:tcPr>
            <w:tcW w:w="2666" w:type="dxa"/>
          </w:tcPr>
          <w:p w14:paraId="6A6814BD" w14:textId="77777777" w:rsidR="00F67E9E" w:rsidRPr="005356F1" w:rsidRDefault="00F67E9E" w:rsidP="007F74AA">
            <w:pPr>
              <w:pStyle w:val="StdBodyText"/>
              <w:spacing w:before="0" w:after="0"/>
              <w:rPr>
                <w:rFonts w:cs="Arial"/>
              </w:rPr>
            </w:pPr>
            <w:r w:rsidRPr="005356F1">
              <w:rPr>
                <w:rFonts w:cs="Arial"/>
              </w:rPr>
              <w:t>Effective Date</w:t>
            </w:r>
          </w:p>
        </w:tc>
        <w:tc>
          <w:tcPr>
            <w:tcW w:w="2862" w:type="dxa"/>
          </w:tcPr>
          <w:p w14:paraId="35F08123" w14:textId="77777777" w:rsidR="00F67E9E" w:rsidRPr="005356F1" w:rsidRDefault="00F67E9E" w:rsidP="007F74AA">
            <w:pPr>
              <w:pStyle w:val="StdBodyText"/>
              <w:spacing w:before="0" w:after="0"/>
              <w:rPr>
                <w:rFonts w:cs="Arial"/>
              </w:rPr>
            </w:pPr>
            <w:r w:rsidRPr="005356F1">
              <w:rPr>
                <w:rFonts w:cs="Arial"/>
              </w:rPr>
              <w:t>As amended from time to time</w:t>
            </w:r>
          </w:p>
        </w:tc>
        <w:tc>
          <w:tcPr>
            <w:tcW w:w="2381" w:type="dxa"/>
          </w:tcPr>
          <w:p w14:paraId="6696DEEC" w14:textId="77777777" w:rsidR="00F67E9E" w:rsidRPr="005356F1" w:rsidRDefault="00F67E9E" w:rsidP="007F74AA">
            <w:pPr>
              <w:pStyle w:val="StdBodyText"/>
              <w:spacing w:before="0" w:after="0"/>
              <w:rPr>
                <w:rFonts w:cs="Arial"/>
              </w:rPr>
            </w:pPr>
            <w:r w:rsidRPr="005356F1">
              <w:rPr>
                <w:rFonts w:cs="Arial"/>
              </w:rPr>
              <w:t>Authority</w:t>
            </w:r>
          </w:p>
        </w:tc>
      </w:tr>
      <w:tr w:rsidR="00F67E9E" w:rsidRPr="005356F1" w14:paraId="283E3BFD" w14:textId="77777777" w:rsidTr="007F74AA">
        <w:trPr>
          <w:trHeight w:val="20"/>
        </w:trPr>
        <w:tc>
          <w:tcPr>
            <w:tcW w:w="2268" w:type="dxa"/>
          </w:tcPr>
          <w:p w14:paraId="39864463" w14:textId="266E9591" w:rsidR="00F67E9E" w:rsidRPr="000714C9" w:rsidRDefault="00F67E9E" w:rsidP="007F74AA">
            <w:pPr>
              <w:pStyle w:val="StdBodyText"/>
              <w:spacing w:before="0" w:after="0"/>
              <w:rPr>
                <w:rFonts w:cs="Arial"/>
              </w:rPr>
            </w:pPr>
            <w:bookmarkStart w:id="1917" w:name="_9kMHG5YVtCIBEHEMEyq1QIIVQw3Ez1HNNQA3BJV"/>
            <w:r w:rsidRPr="00DA5029">
              <w:rPr>
                <w:rFonts w:cs="Arial"/>
              </w:rPr>
              <w:t>[</w:t>
            </w:r>
            <w:r w:rsidRPr="00DA5029">
              <w:rPr>
                <w:rFonts w:cs="Arial"/>
                <w:highlight w:val="yellow"/>
              </w:rPr>
              <w:t>If using Annex A Sch 31 - Joint Controller Agreement</w:t>
            </w:r>
            <w:r w:rsidRPr="00DA5029">
              <w:rPr>
                <w:rFonts w:cs="Arial"/>
              </w:rPr>
              <w:t xml:space="preserve">] </w:t>
            </w:r>
            <w:r w:rsidRPr="000714C9">
              <w:rPr>
                <w:rFonts w:cs="Arial"/>
              </w:rPr>
              <w:t>Sch</w:t>
            </w:r>
            <w:bookmarkEnd w:id="1917"/>
            <w:r w:rsidRPr="000714C9">
              <w:rPr>
                <w:rFonts w:cs="Arial"/>
              </w:rPr>
              <w:t xml:space="preserve"> </w:t>
            </w:r>
            <w:r w:rsidRPr="000714C9">
              <w:rPr>
                <w:rFonts w:cs="Arial"/>
              </w:rPr>
              <w:fldChar w:fldCharType="begin"/>
            </w:r>
            <w:r w:rsidRPr="000714C9">
              <w:rPr>
                <w:rFonts w:cs="Arial"/>
              </w:rPr>
              <w:instrText xml:space="preserve"> REF _Ref92200097 \h  \# "#"  \* MERGEFORMAT </w:instrText>
            </w:r>
            <w:r w:rsidRPr="000714C9">
              <w:rPr>
                <w:rFonts w:cs="Arial"/>
              </w:rPr>
            </w:r>
            <w:r w:rsidRPr="000714C9">
              <w:rPr>
                <w:rFonts w:cs="Arial"/>
              </w:rPr>
              <w:fldChar w:fldCharType="separate"/>
            </w:r>
            <w:r w:rsidR="00302D39">
              <w:rPr>
                <w:rFonts w:cs="Arial"/>
              </w:rPr>
              <w:t>31</w:t>
            </w:r>
            <w:r w:rsidRPr="000714C9">
              <w:rPr>
                <w:rFonts w:cs="Arial"/>
              </w:rPr>
              <w:fldChar w:fldCharType="end"/>
            </w:r>
            <w:r w:rsidRPr="000714C9">
              <w:rPr>
                <w:rFonts w:cs="Arial"/>
              </w:rPr>
              <w:t xml:space="preserve">, </w:t>
            </w:r>
            <w:r w:rsidRPr="00B224EC">
              <w:rPr>
                <w:rFonts w:cs="Arial"/>
              </w:rPr>
              <w:t xml:space="preserve">Annex </w:t>
            </w:r>
            <w:r w:rsidRPr="00B224EC">
              <w:rPr>
                <w:rFonts w:cs="Arial"/>
              </w:rPr>
              <w:fldChar w:fldCharType="begin"/>
            </w:r>
            <w:r w:rsidRPr="00B224EC">
              <w:rPr>
                <w:rFonts w:cs="Arial"/>
              </w:rPr>
              <w:instrText xml:space="preserve"> REF ANNEX1_SCHEDULE31 \h  \* MERGEFORMAT </w:instrText>
            </w:r>
            <w:r w:rsidRPr="00B224EC">
              <w:rPr>
                <w:rFonts w:cs="Arial"/>
              </w:rPr>
            </w:r>
            <w:r w:rsidRPr="00B224EC">
              <w:rPr>
                <w:rFonts w:cs="Arial"/>
              </w:rPr>
              <w:fldChar w:fldCharType="separate"/>
            </w:r>
            <w:r w:rsidR="00302D39" w:rsidRPr="00302D39">
              <w:rPr>
                <w:rFonts w:cs="Arial"/>
              </w:rPr>
              <w:t>1</w:t>
            </w:r>
            <w:r w:rsidRPr="00B224EC">
              <w:rPr>
                <w:rFonts w:cs="Arial"/>
              </w:rPr>
              <w:fldChar w:fldCharType="end"/>
            </w:r>
            <w:r>
              <w:rPr>
                <w:rFonts w:cs="Arial"/>
              </w:rPr>
              <w:t xml:space="preserve"> </w:t>
            </w:r>
            <w:bookmarkStart w:id="1918" w:name="_9kMHG5YVt4DEDKKdGpq2H"/>
            <w:r w:rsidRPr="00B224EC">
              <w:rPr>
                <w:rFonts w:cs="Arial"/>
              </w:rPr>
              <w:t xml:space="preserve">Para </w:t>
            </w:r>
            <w:r w:rsidRPr="00B224EC">
              <w:rPr>
                <w:rFonts w:cs="Arial"/>
              </w:rPr>
              <w:fldChar w:fldCharType="begin"/>
            </w:r>
            <w:r w:rsidRPr="00B224EC">
              <w:rPr>
                <w:rFonts w:cs="Arial"/>
              </w:rPr>
              <w:instrText xml:space="preserve"> REF _Ref_ContractCompanion_9kb9Us7EC \n \h \t \* MERGEFORMAT </w:instrText>
            </w:r>
            <w:r w:rsidRPr="00B224EC">
              <w:rPr>
                <w:rFonts w:cs="Arial"/>
              </w:rPr>
            </w:r>
            <w:r w:rsidRPr="00B224EC">
              <w:rPr>
                <w:rFonts w:cs="Arial"/>
              </w:rPr>
              <w:fldChar w:fldCharType="separate"/>
            </w:r>
            <w:r w:rsidR="00302D39">
              <w:rPr>
                <w:rFonts w:cs="Arial"/>
              </w:rPr>
              <w:t>2.1</w:t>
            </w:r>
            <w:r w:rsidRPr="00B224EC">
              <w:rPr>
                <w:rFonts w:cs="Arial"/>
              </w:rPr>
              <w:fldChar w:fldCharType="end"/>
            </w:r>
            <w:bookmarkEnd w:id="1918"/>
          </w:p>
        </w:tc>
        <w:tc>
          <w:tcPr>
            <w:tcW w:w="2966" w:type="dxa"/>
          </w:tcPr>
          <w:p w14:paraId="6EFA5A23" w14:textId="77777777" w:rsidR="00F67E9E" w:rsidRPr="005356F1" w:rsidRDefault="00F67E9E" w:rsidP="007F74AA">
            <w:pPr>
              <w:pStyle w:val="StdBodyText"/>
              <w:spacing w:before="0" w:after="0"/>
              <w:rPr>
                <w:rFonts w:cs="Arial"/>
              </w:rPr>
            </w:pPr>
            <w:r w:rsidRPr="005356F1">
              <w:rPr>
                <w:rFonts w:cs="Arial"/>
              </w:rPr>
              <w:t>Reports on Data Subject Access Requests</w:t>
            </w:r>
            <w:r>
              <w:rPr>
                <w:rFonts w:cs="Arial"/>
              </w:rPr>
              <w:t xml:space="preserve"> </w:t>
            </w:r>
            <w:r w:rsidRPr="00E92ACB">
              <w:rPr>
                <w:rFonts w:cs="Arial"/>
              </w:rPr>
              <w:t>and other Personal Data related matters</w:t>
            </w:r>
          </w:p>
        </w:tc>
        <w:tc>
          <w:tcPr>
            <w:tcW w:w="1996" w:type="dxa"/>
          </w:tcPr>
          <w:p w14:paraId="1560D832" w14:textId="77777777" w:rsidR="00F67E9E" w:rsidRPr="005356F1" w:rsidRDefault="00F67E9E" w:rsidP="007F74AA">
            <w:pPr>
              <w:pStyle w:val="StdBodyText"/>
              <w:spacing w:before="0" w:after="0"/>
              <w:rPr>
                <w:rFonts w:cs="Arial"/>
              </w:rPr>
            </w:pPr>
            <w:r w:rsidRPr="005356F1">
              <w:rPr>
                <w:rFonts w:cs="Arial"/>
              </w:rPr>
              <w:t>As appropriate and agreed by the Authority</w:t>
            </w:r>
          </w:p>
        </w:tc>
        <w:tc>
          <w:tcPr>
            <w:tcW w:w="2666" w:type="dxa"/>
          </w:tcPr>
          <w:p w14:paraId="3F52A3CC" w14:textId="77777777" w:rsidR="00F67E9E" w:rsidRPr="005356F1" w:rsidRDefault="00F67E9E" w:rsidP="007F74AA">
            <w:pPr>
              <w:pStyle w:val="StdBodyText"/>
              <w:spacing w:before="0" w:after="0"/>
              <w:rPr>
                <w:rFonts w:cs="Arial"/>
              </w:rPr>
            </w:pPr>
            <w:r w:rsidRPr="005356F1">
              <w:rPr>
                <w:rFonts w:cs="Arial"/>
              </w:rPr>
              <w:t xml:space="preserve">As agreed with Authority </w:t>
            </w:r>
          </w:p>
        </w:tc>
        <w:tc>
          <w:tcPr>
            <w:tcW w:w="2862" w:type="dxa"/>
          </w:tcPr>
          <w:p w14:paraId="60629456" w14:textId="77777777" w:rsidR="00F67E9E" w:rsidRPr="005356F1" w:rsidRDefault="00F67E9E" w:rsidP="007F74AA">
            <w:pPr>
              <w:pStyle w:val="StdBodyText"/>
              <w:spacing w:before="0" w:after="0"/>
              <w:rPr>
                <w:rFonts w:cs="Arial"/>
              </w:rPr>
            </w:pPr>
            <w:r w:rsidRPr="005356F1">
              <w:rPr>
                <w:rFonts w:cs="Arial"/>
              </w:rPr>
              <w:t xml:space="preserve">As agreed with Authority </w:t>
            </w:r>
          </w:p>
        </w:tc>
        <w:tc>
          <w:tcPr>
            <w:tcW w:w="2381" w:type="dxa"/>
          </w:tcPr>
          <w:p w14:paraId="40E18F2B" w14:textId="77777777" w:rsidR="00F67E9E" w:rsidRPr="005356F1" w:rsidRDefault="00F67E9E" w:rsidP="007F74AA">
            <w:pPr>
              <w:pStyle w:val="StdBodyText"/>
              <w:spacing w:before="0" w:after="0"/>
              <w:rPr>
                <w:rFonts w:cs="Arial"/>
              </w:rPr>
            </w:pPr>
            <w:r w:rsidRPr="005356F1">
              <w:rPr>
                <w:rFonts w:cs="Arial"/>
              </w:rPr>
              <w:t>Authority and Supplier</w:t>
            </w:r>
          </w:p>
        </w:tc>
      </w:tr>
      <w:tr w:rsidR="00F67E9E" w:rsidRPr="005356F1" w14:paraId="504C6C9F" w14:textId="77777777" w:rsidTr="007F74AA">
        <w:trPr>
          <w:trHeight w:val="20"/>
        </w:trPr>
        <w:tc>
          <w:tcPr>
            <w:tcW w:w="2268" w:type="dxa"/>
          </w:tcPr>
          <w:p w14:paraId="76902ACE" w14:textId="03B8CBCC" w:rsidR="00F67E9E" w:rsidRPr="000714C9" w:rsidRDefault="00F67E9E" w:rsidP="007F74AA">
            <w:pPr>
              <w:pStyle w:val="StdBodyText"/>
              <w:spacing w:before="0" w:after="0"/>
              <w:rPr>
                <w:rFonts w:cs="Arial"/>
              </w:rPr>
            </w:pPr>
            <w:r w:rsidRPr="00445166">
              <w:t xml:space="preserve">Sch </w:t>
            </w:r>
            <w:r>
              <w:fldChar w:fldCharType="begin"/>
            </w:r>
            <w:r>
              <w:instrText xml:space="preserve"> REF Schedule32 \h \# "#"  \* MERGEFORMAT </w:instrText>
            </w:r>
            <w:r>
              <w:fldChar w:fldCharType="separate"/>
            </w:r>
            <w:r w:rsidR="00302D39">
              <w:t>32</w:t>
            </w:r>
            <w:r>
              <w:fldChar w:fldCharType="end"/>
            </w:r>
            <w:r w:rsidRPr="00445166">
              <w:t xml:space="preserve">, Annex </w:t>
            </w:r>
            <w:r>
              <w:fldChar w:fldCharType="begin"/>
            </w:r>
            <w:r>
              <w:instrText xml:space="preserve"> REF ANNEX1_SCHEDULE32 \h </w:instrText>
            </w:r>
            <w:r>
              <w:fldChar w:fldCharType="separate"/>
            </w:r>
            <w:r w:rsidR="00302D39" w:rsidRPr="001B4E17">
              <w:t>1</w:t>
            </w:r>
            <w:r>
              <w:fldChar w:fldCharType="end"/>
            </w:r>
          </w:p>
        </w:tc>
        <w:tc>
          <w:tcPr>
            <w:tcW w:w="2966" w:type="dxa"/>
          </w:tcPr>
          <w:p w14:paraId="13C70F22" w14:textId="77777777" w:rsidR="00F67E9E" w:rsidRPr="005356F1" w:rsidRDefault="00F67E9E" w:rsidP="007F74AA">
            <w:pPr>
              <w:pStyle w:val="StdBodyText"/>
              <w:spacing w:before="0" w:after="0"/>
              <w:rPr>
                <w:rFonts w:cs="Arial"/>
              </w:rPr>
            </w:pPr>
            <w:r w:rsidRPr="00445166">
              <w:t xml:space="preserve">Foreground IPR </w:t>
            </w:r>
          </w:p>
        </w:tc>
        <w:tc>
          <w:tcPr>
            <w:tcW w:w="1996" w:type="dxa"/>
          </w:tcPr>
          <w:p w14:paraId="569C4D36" w14:textId="01C8E79A" w:rsidR="00F67E9E" w:rsidRPr="005356F1" w:rsidRDefault="00F67E9E" w:rsidP="007F74AA">
            <w:pPr>
              <w:pStyle w:val="StdBodyText"/>
              <w:spacing w:before="0" w:after="0"/>
              <w:rPr>
                <w:rFonts w:cs="Arial"/>
              </w:rPr>
            </w:pPr>
            <w:r w:rsidRPr="00445166">
              <w:t xml:space="preserve">Annex </w:t>
            </w:r>
            <w:r>
              <w:fldChar w:fldCharType="begin"/>
            </w:r>
            <w:r>
              <w:instrText xml:space="preserve"> REF ANNEX1_SCHEDULE32 \h </w:instrText>
            </w:r>
            <w:r>
              <w:fldChar w:fldCharType="separate"/>
            </w:r>
            <w:r w:rsidR="00302D39" w:rsidRPr="001B4E17">
              <w:t>1</w:t>
            </w:r>
            <w:r>
              <w:fldChar w:fldCharType="end"/>
            </w:r>
            <w:r w:rsidRPr="00445166">
              <w:t xml:space="preserve"> to Sch</w:t>
            </w:r>
            <w:r>
              <w:t> </w:t>
            </w:r>
            <w:r>
              <w:fldChar w:fldCharType="begin"/>
            </w:r>
            <w:r>
              <w:instrText xml:space="preserve"> REF Schedule32 \h \# "#"  \* MERGEFORMAT </w:instrText>
            </w:r>
            <w:r>
              <w:fldChar w:fldCharType="separate"/>
            </w:r>
            <w:r w:rsidR="00302D39">
              <w:t>32</w:t>
            </w:r>
            <w:r>
              <w:fldChar w:fldCharType="end"/>
            </w:r>
            <w:r w:rsidRPr="00445166">
              <w:t xml:space="preserve"> (Intellectual Property Rights)</w:t>
            </w:r>
          </w:p>
        </w:tc>
        <w:tc>
          <w:tcPr>
            <w:tcW w:w="2666" w:type="dxa"/>
          </w:tcPr>
          <w:p w14:paraId="454B03DB" w14:textId="77777777" w:rsidR="00F67E9E" w:rsidRPr="005356F1" w:rsidRDefault="00F67E9E" w:rsidP="007F74AA">
            <w:pPr>
              <w:pStyle w:val="StdBodyText"/>
              <w:spacing w:before="0" w:after="0"/>
              <w:rPr>
                <w:rFonts w:cs="Arial"/>
              </w:rPr>
            </w:pPr>
            <w:r w:rsidRPr="00445166">
              <w:t>As agreed with Authority</w:t>
            </w:r>
          </w:p>
        </w:tc>
        <w:tc>
          <w:tcPr>
            <w:tcW w:w="2862" w:type="dxa"/>
          </w:tcPr>
          <w:p w14:paraId="69DFD055" w14:textId="77777777" w:rsidR="00F67E9E" w:rsidRPr="005356F1" w:rsidRDefault="00F67E9E" w:rsidP="007F74AA">
            <w:pPr>
              <w:pStyle w:val="StdBodyText"/>
              <w:spacing w:before="0" w:after="0"/>
              <w:rPr>
                <w:rFonts w:cs="Arial"/>
              </w:rPr>
            </w:pPr>
            <w:r w:rsidRPr="00445166">
              <w:t>Regularly - As agreed with Authority</w:t>
            </w:r>
          </w:p>
        </w:tc>
        <w:tc>
          <w:tcPr>
            <w:tcW w:w="2381" w:type="dxa"/>
          </w:tcPr>
          <w:p w14:paraId="4A483CAC" w14:textId="77777777" w:rsidR="00F67E9E" w:rsidRPr="005356F1" w:rsidRDefault="00F67E9E" w:rsidP="007F74AA">
            <w:pPr>
              <w:pStyle w:val="StdBodyText"/>
              <w:spacing w:before="0" w:after="0"/>
              <w:rPr>
                <w:rFonts w:cs="Arial"/>
              </w:rPr>
            </w:pPr>
            <w:r w:rsidRPr="00445166">
              <w:t>Authority</w:t>
            </w:r>
          </w:p>
        </w:tc>
      </w:tr>
    </w:tbl>
    <w:p w14:paraId="1EEFFD4F" w14:textId="77777777" w:rsidR="00F67E9E" w:rsidRDefault="00F67E9E" w:rsidP="00F67E9E">
      <w:pPr>
        <w:rPr>
          <w:rFonts w:eastAsia="Times New Roman" w:cs="Arial"/>
          <w:szCs w:val="24"/>
          <w:lang w:eastAsia="en-GB"/>
        </w:rPr>
      </w:pPr>
    </w:p>
    <w:p w14:paraId="77D5889A" w14:textId="77777777" w:rsidR="00F67E9E" w:rsidRPr="00E21269" w:rsidRDefault="00F67E9E" w:rsidP="00F67E9E">
      <w:pPr>
        <w:pStyle w:val="Heading2"/>
        <w:pageBreakBefore/>
      </w:pPr>
      <w:bookmarkStart w:id="1919" w:name="_Ref_ContractCompanion_9kb9Ur6BA"/>
      <w:bookmarkStart w:id="1920" w:name="_Toc141711973"/>
      <w:r w:rsidRPr="00B224EC">
        <w:t xml:space="preserve">Annex </w:t>
      </w:r>
      <w:bookmarkStart w:id="1921" w:name="ANNEX4_SCHEDULE24"/>
      <w:r w:rsidRPr="00B224EC">
        <w:t>4</w:t>
      </w:r>
      <w:bookmarkEnd w:id="1921"/>
      <w:r w:rsidRPr="00B224EC">
        <w:t>: Supply</w:t>
      </w:r>
      <w:r w:rsidRPr="00F0375C">
        <w:t xml:space="preserve"> Chain Transparency Information Template</w:t>
      </w:r>
      <w:bookmarkEnd w:id="1919"/>
      <w:bookmarkEnd w:id="1920"/>
    </w:p>
    <w:tbl>
      <w:tblPr>
        <w:tblStyle w:val="MSATable-header"/>
        <w:tblW w:w="0" w:type="auto"/>
        <w:tblLayout w:type="fixed"/>
        <w:tblLook w:val="04A0" w:firstRow="1" w:lastRow="0" w:firstColumn="1" w:lastColumn="0" w:noHBand="0" w:noVBand="1"/>
      </w:tblPr>
      <w:tblGrid>
        <w:gridCol w:w="4819"/>
        <w:gridCol w:w="2551"/>
        <w:gridCol w:w="2551"/>
        <w:gridCol w:w="2551"/>
        <w:gridCol w:w="2552"/>
      </w:tblGrid>
      <w:tr w:rsidR="00F67E9E" w:rsidRPr="00996FED" w14:paraId="28AC3D79" w14:textId="77777777" w:rsidTr="007F74AA">
        <w:trPr>
          <w:cnfStyle w:val="100000000000" w:firstRow="1" w:lastRow="0" w:firstColumn="0" w:lastColumn="0" w:oddVBand="0" w:evenVBand="0" w:oddHBand="0" w:evenHBand="0" w:firstRowFirstColumn="0" w:firstRowLastColumn="0" w:lastRowFirstColumn="0" w:lastRowLastColumn="0"/>
          <w:trHeight w:val="20"/>
          <w:tblHeader/>
        </w:trPr>
        <w:tc>
          <w:tcPr>
            <w:tcW w:w="4819" w:type="dxa"/>
            <w:vMerge w:val="restart"/>
            <w:vAlign w:val="bottom"/>
          </w:tcPr>
          <w:p w14:paraId="55E67208" w14:textId="77777777" w:rsidR="00F67E9E" w:rsidRPr="00996FED" w:rsidRDefault="00F67E9E" w:rsidP="007F74AA">
            <w:pPr>
              <w:pStyle w:val="StdBodyText"/>
              <w:spacing w:before="0" w:after="0"/>
              <w:rPr>
                <w:rFonts w:cs="Arial"/>
                <w:bCs/>
              </w:rPr>
            </w:pPr>
          </w:p>
        </w:tc>
        <w:tc>
          <w:tcPr>
            <w:tcW w:w="10205" w:type="dxa"/>
            <w:gridSpan w:val="4"/>
            <w:vAlign w:val="bottom"/>
          </w:tcPr>
          <w:p w14:paraId="04B180F1" w14:textId="77777777" w:rsidR="00F67E9E" w:rsidRPr="00996FED" w:rsidRDefault="00F67E9E" w:rsidP="007F74AA">
            <w:pPr>
              <w:pStyle w:val="StdBodyTextBold"/>
              <w:spacing w:before="0" w:after="0"/>
              <w:jc w:val="center"/>
              <w:rPr>
                <w:rFonts w:cs="Arial"/>
                <w:b/>
                <w:bCs/>
              </w:rPr>
            </w:pPr>
            <w:r w:rsidRPr="00996FED">
              <w:rPr>
                <w:rFonts w:cs="Arial"/>
                <w:b/>
                <w:bCs/>
              </w:rPr>
              <w:t>Financial Year 20</w:t>
            </w:r>
            <w:r w:rsidRPr="00996FED">
              <w:rPr>
                <w:rFonts w:cs="Arial"/>
                <w:b/>
                <w:bCs/>
                <w:highlight w:val="yellow"/>
              </w:rPr>
              <w:t>[    ]</w:t>
            </w:r>
          </w:p>
        </w:tc>
      </w:tr>
      <w:tr w:rsidR="00F67E9E" w:rsidRPr="00996FED" w14:paraId="3400B31B" w14:textId="77777777" w:rsidTr="007F74AA">
        <w:trPr>
          <w:cnfStyle w:val="100000000000" w:firstRow="1" w:lastRow="0" w:firstColumn="0" w:lastColumn="0" w:oddVBand="0" w:evenVBand="0" w:oddHBand="0" w:evenHBand="0" w:firstRowFirstColumn="0" w:firstRowLastColumn="0" w:lastRowFirstColumn="0" w:lastRowLastColumn="0"/>
          <w:trHeight w:val="20"/>
          <w:tblHeader/>
        </w:trPr>
        <w:tc>
          <w:tcPr>
            <w:tcW w:w="4819" w:type="dxa"/>
            <w:vMerge/>
            <w:vAlign w:val="bottom"/>
          </w:tcPr>
          <w:p w14:paraId="72BF0CF7" w14:textId="77777777" w:rsidR="00F67E9E" w:rsidRPr="00996FED" w:rsidRDefault="00F67E9E" w:rsidP="007F74AA">
            <w:pPr>
              <w:pStyle w:val="StdBodyText"/>
              <w:spacing w:before="0" w:after="0"/>
              <w:rPr>
                <w:rFonts w:cs="Arial"/>
                <w:bCs/>
              </w:rPr>
            </w:pPr>
          </w:p>
        </w:tc>
        <w:tc>
          <w:tcPr>
            <w:tcW w:w="5102" w:type="dxa"/>
            <w:gridSpan w:val="2"/>
            <w:vAlign w:val="bottom"/>
          </w:tcPr>
          <w:p w14:paraId="266160E9" w14:textId="77777777" w:rsidR="00F67E9E" w:rsidRPr="00996FED" w:rsidRDefault="00F67E9E" w:rsidP="007F74AA">
            <w:pPr>
              <w:pStyle w:val="StdBodyTextBold"/>
              <w:spacing w:before="0" w:after="0"/>
              <w:jc w:val="center"/>
              <w:rPr>
                <w:rFonts w:cs="Arial"/>
                <w:b/>
                <w:bCs/>
              </w:rPr>
            </w:pPr>
            <w:r w:rsidRPr="00996FED">
              <w:rPr>
                <w:rFonts w:cs="Arial"/>
                <w:b/>
                <w:bCs/>
              </w:rPr>
              <w:t>Under this Contract</w:t>
            </w:r>
          </w:p>
        </w:tc>
        <w:tc>
          <w:tcPr>
            <w:tcW w:w="5103" w:type="dxa"/>
            <w:gridSpan w:val="2"/>
            <w:vAlign w:val="bottom"/>
          </w:tcPr>
          <w:p w14:paraId="00CF83D2" w14:textId="77777777" w:rsidR="00F67E9E" w:rsidRPr="00996FED" w:rsidRDefault="00F67E9E" w:rsidP="007F74AA">
            <w:pPr>
              <w:pStyle w:val="StdBodyTextBold"/>
              <w:spacing w:before="0" w:after="0"/>
              <w:jc w:val="center"/>
              <w:rPr>
                <w:rFonts w:cs="Arial"/>
                <w:b/>
                <w:bCs/>
              </w:rPr>
            </w:pPr>
            <w:r w:rsidRPr="00996FED">
              <w:rPr>
                <w:rFonts w:cs="Arial"/>
                <w:b/>
                <w:bCs/>
              </w:rPr>
              <w:t>Supplier as a whole</w:t>
            </w:r>
          </w:p>
        </w:tc>
      </w:tr>
      <w:tr w:rsidR="00F67E9E" w:rsidRPr="00996FED" w14:paraId="729CC530" w14:textId="77777777" w:rsidTr="007F74AA">
        <w:trPr>
          <w:cnfStyle w:val="100000000000" w:firstRow="1" w:lastRow="0" w:firstColumn="0" w:lastColumn="0" w:oddVBand="0" w:evenVBand="0" w:oddHBand="0" w:evenHBand="0" w:firstRowFirstColumn="0" w:firstRowLastColumn="0" w:lastRowFirstColumn="0" w:lastRowLastColumn="0"/>
          <w:trHeight w:val="20"/>
          <w:tblHeader/>
        </w:trPr>
        <w:tc>
          <w:tcPr>
            <w:tcW w:w="4819" w:type="dxa"/>
            <w:vMerge/>
            <w:vAlign w:val="bottom"/>
          </w:tcPr>
          <w:p w14:paraId="19E3E5E8" w14:textId="77777777" w:rsidR="00F67E9E" w:rsidRPr="00996FED" w:rsidRDefault="00F67E9E" w:rsidP="007F74AA">
            <w:pPr>
              <w:pStyle w:val="StdBodyText"/>
              <w:spacing w:before="0" w:after="0"/>
              <w:rPr>
                <w:rFonts w:cs="Arial"/>
                <w:bCs/>
              </w:rPr>
            </w:pPr>
          </w:p>
        </w:tc>
        <w:tc>
          <w:tcPr>
            <w:tcW w:w="2551" w:type="dxa"/>
            <w:vAlign w:val="bottom"/>
          </w:tcPr>
          <w:p w14:paraId="56F7C51E" w14:textId="77777777" w:rsidR="00F67E9E" w:rsidRPr="00996FED" w:rsidRDefault="00F67E9E" w:rsidP="007F74AA">
            <w:pPr>
              <w:pStyle w:val="StdBodyTextBold"/>
              <w:spacing w:before="0" w:after="0"/>
              <w:jc w:val="center"/>
              <w:rPr>
                <w:rFonts w:cs="Arial"/>
                <w:b/>
                <w:bCs/>
              </w:rPr>
            </w:pPr>
            <w:r w:rsidRPr="00996FED">
              <w:rPr>
                <w:rFonts w:cs="Arial"/>
                <w:b/>
                <w:bCs/>
              </w:rPr>
              <w:t>£</w:t>
            </w:r>
          </w:p>
        </w:tc>
        <w:tc>
          <w:tcPr>
            <w:tcW w:w="2551" w:type="dxa"/>
            <w:vAlign w:val="bottom"/>
          </w:tcPr>
          <w:p w14:paraId="7A51EB32" w14:textId="77777777" w:rsidR="00F67E9E" w:rsidRPr="00996FED" w:rsidRDefault="00F67E9E" w:rsidP="007F74AA">
            <w:pPr>
              <w:pStyle w:val="StdBodyTextBold"/>
              <w:spacing w:before="0" w:after="0"/>
              <w:jc w:val="center"/>
              <w:rPr>
                <w:rFonts w:cs="Arial"/>
                <w:b/>
                <w:bCs/>
              </w:rPr>
            </w:pPr>
            <w:r w:rsidRPr="00996FED">
              <w:rPr>
                <w:rFonts w:cs="Arial"/>
                <w:b/>
                <w:bCs/>
              </w:rPr>
              <w:t>%</w:t>
            </w:r>
          </w:p>
        </w:tc>
        <w:tc>
          <w:tcPr>
            <w:tcW w:w="2551" w:type="dxa"/>
            <w:vAlign w:val="bottom"/>
          </w:tcPr>
          <w:p w14:paraId="33B8D6D9" w14:textId="77777777" w:rsidR="00F67E9E" w:rsidRPr="00996FED" w:rsidRDefault="00F67E9E" w:rsidP="007F74AA">
            <w:pPr>
              <w:pStyle w:val="StdBodyTextBold"/>
              <w:spacing w:before="0" w:after="0"/>
              <w:jc w:val="center"/>
              <w:rPr>
                <w:rFonts w:cs="Arial"/>
                <w:b/>
                <w:bCs/>
              </w:rPr>
            </w:pPr>
            <w:r w:rsidRPr="00996FED">
              <w:rPr>
                <w:rFonts w:cs="Arial"/>
                <w:b/>
                <w:bCs/>
              </w:rPr>
              <w:t>£</w:t>
            </w:r>
          </w:p>
        </w:tc>
        <w:tc>
          <w:tcPr>
            <w:tcW w:w="2552" w:type="dxa"/>
            <w:vAlign w:val="bottom"/>
          </w:tcPr>
          <w:p w14:paraId="55171C12" w14:textId="77777777" w:rsidR="00F67E9E" w:rsidRPr="00996FED" w:rsidRDefault="00F67E9E" w:rsidP="007F74AA">
            <w:pPr>
              <w:pStyle w:val="StdBodyTextBold"/>
              <w:spacing w:before="0" w:after="0"/>
              <w:jc w:val="center"/>
              <w:rPr>
                <w:rFonts w:cs="Arial"/>
                <w:b/>
                <w:bCs/>
              </w:rPr>
            </w:pPr>
            <w:r w:rsidRPr="00996FED">
              <w:rPr>
                <w:rFonts w:cs="Arial"/>
                <w:b/>
                <w:bCs/>
              </w:rPr>
              <w:t>%</w:t>
            </w:r>
          </w:p>
        </w:tc>
      </w:tr>
      <w:tr w:rsidR="00F67E9E" w:rsidRPr="00093486" w14:paraId="45430802" w14:textId="77777777" w:rsidTr="007F74AA">
        <w:trPr>
          <w:trHeight w:val="20"/>
        </w:trPr>
        <w:tc>
          <w:tcPr>
            <w:tcW w:w="4819" w:type="dxa"/>
          </w:tcPr>
          <w:p w14:paraId="0345BCCD" w14:textId="77777777" w:rsidR="00F67E9E" w:rsidRPr="00B224EC" w:rsidRDefault="00F67E9E" w:rsidP="007F74AA">
            <w:pPr>
              <w:pStyle w:val="StdBodyText"/>
              <w:spacing w:before="0" w:after="0"/>
              <w:rPr>
                <w:rFonts w:cs="Arial"/>
              </w:rPr>
            </w:pPr>
            <w:r w:rsidRPr="00B224EC">
              <w:rPr>
                <w:rFonts w:cs="Arial"/>
              </w:rPr>
              <w:t>Estimated total contract revenue (£) to be received in this Financial Year</w:t>
            </w:r>
          </w:p>
        </w:tc>
        <w:tc>
          <w:tcPr>
            <w:tcW w:w="2551" w:type="dxa"/>
          </w:tcPr>
          <w:p w14:paraId="2568A96A" w14:textId="77777777" w:rsidR="00F67E9E" w:rsidRPr="00093486" w:rsidRDefault="00F67E9E" w:rsidP="007F74AA">
            <w:pPr>
              <w:pStyle w:val="StdBodyText"/>
              <w:spacing w:before="0" w:after="0"/>
              <w:jc w:val="center"/>
              <w:rPr>
                <w:rFonts w:cs="Arial"/>
              </w:rPr>
            </w:pPr>
            <w:r w:rsidRPr="00093486">
              <w:rPr>
                <w:rFonts w:cs="Arial"/>
                <w:highlight w:val="yellow"/>
              </w:rPr>
              <w:t>£[    ]</w:t>
            </w:r>
          </w:p>
        </w:tc>
        <w:tc>
          <w:tcPr>
            <w:tcW w:w="2551" w:type="dxa"/>
          </w:tcPr>
          <w:p w14:paraId="3B38100B" w14:textId="77777777" w:rsidR="00F67E9E" w:rsidRPr="00093486" w:rsidRDefault="00F67E9E" w:rsidP="007F74AA">
            <w:pPr>
              <w:pStyle w:val="StdBodyText"/>
              <w:spacing w:before="0" w:after="0"/>
              <w:jc w:val="center"/>
              <w:rPr>
                <w:rFonts w:cs="Arial"/>
              </w:rPr>
            </w:pPr>
            <w:r w:rsidRPr="00093486">
              <w:rPr>
                <w:rFonts w:cs="Arial"/>
              </w:rPr>
              <w:t>100%</w:t>
            </w:r>
          </w:p>
        </w:tc>
        <w:tc>
          <w:tcPr>
            <w:tcW w:w="2551" w:type="dxa"/>
          </w:tcPr>
          <w:p w14:paraId="70CC39E1" w14:textId="77777777" w:rsidR="00F67E9E" w:rsidRPr="00093486" w:rsidRDefault="00F67E9E" w:rsidP="007F74AA">
            <w:pPr>
              <w:pStyle w:val="StdBodyText"/>
              <w:spacing w:before="0" w:after="0"/>
              <w:jc w:val="center"/>
              <w:rPr>
                <w:rFonts w:cs="Arial"/>
              </w:rPr>
            </w:pPr>
            <w:r w:rsidRPr="00093486">
              <w:rPr>
                <w:rFonts w:cs="Arial"/>
                <w:highlight w:val="yellow"/>
              </w:rPr>
              <w:t>£[    ]</w:t>
            </w:r>
          </w:p>
        </w:tc>
        <w:tc>
          <w:tcPr>
            <w:tcW w:w="2552" w:type="dxa"/>
          </w:tcPr>
          <w:p w14:paraId="65D55C4E" w14:textId="77777777" w:rsidR="00F67E9E" w:rsidRPr="00093486" w:rsidRDefault="00F67E9E" w:rsidP="007F74AA">
            <w:pPr>
              <w:pStyle w:val="StdBodyText"/>
              <w:spacing w:before="0" w:after="0"/>
              <w:jc w:val="center"/>
              <w:rPr>
                <w:rFonts w:cs="Arial"/>
              </w:rPr>
            </w:pPr>
            <w:r w:rsidRPr="00093486">
              <w:rPr>
                <w:rFonts w:cs="Arial"/>
              </w:rPr>
              <w:t>100%</w:t>
            </w:r>
          </w:p>
        </w:tc>
      </w:tr>
      <w:tr w:rsidR="00F67E9E" w:rsidRPr="00093486" w14:paraId="060D4768" w14:textId="77777777" w:rsidTr="007F74AA">
        <w:trPr>
          <w:trHeight w:val="20"/>
        </w:trPr>
        <w:tc>
          <w:tcPr>
            <w:tcW w:w="4819" w:type="dxa"/>
          </w:tcPr>
          <w:p w14:paraId="37970F3E" w14:textId="77777777" w:rsidR="00F67E9E" w:rsidRPr="00B224EC" w:rsidRDefault="00F67E9E" w:rsidP="007F74AA">
            <w:pPr>
              <w:pStyle w:val="StdBodyText"/>
              <w:spacing w:before="0" w:after="0"/>
              <w:rPr>
                <w:rFonts w:cs="Arial"/>
              </w:rPr>
            </w:pPr>
            <w:r w:rsidRPr="00B224EC">
              <w:rPr>
                <w:rFonts w:cs="Arial"/>
              </w:rPr>
              <w:t>Total value of Sub-contracted revenues (£) in this Financial Year</w:t>
            </w:r>
          </w:p>
        </w:tc>
        <w:tc>
          <w:tcPr>
            <w:tcW w:w="2551" w:type="dxa"/>
          </w:tcPr>
          <w:p w14:paraId="3930812F" w14:textId="77777777" w:rsidR="00F67E9E" w:rsidRPr="00093486" w:rsidRDefault="00F67E9E" w:rsidP="007F74AA">
            <w:pPr>
              <w:pStyle w:val="StdBodyText"/>
              <w:spacing w:before="0" w:after="0"/>
              <w:jc w:val="center"/>
              <w:rPr>
                <w:rFonts w:cs="Arial"/>
              </w:rPr>
            </w:pPr>
            <w:r w:rsidRPr="00093486">
              <w:rPr>
                <w:rFonts w:cs="Arial"/>
                <w:highlight w:val="yellow"/>
              </w:rPr>
              <w:t>£[    ]</w:t>
            </w:r>
          </w:p>
        </w:tc>
        <w:tc>
          <w:tcPr>
            <w:tcW w:w="2551" w:type="dxa"/>
          </w:tcPr>
          <w:p w14:paraId="14D8C2BE" w14:textId="77777777" w:rsidR="00F67E9E" w:rsidRPr="00093486" w:rsidRDefault="00F67E9E" w:rsidP="007F74AA">
            <w:pPr>
              <w:pStyle w:val="StdBodyText"/>
              <w:spacing w:before="0" w:after="0"/>
              <w:jc w:val="center"/>
              <w:rPr>
                <w:rFonts w:cs="Arial"/>
              </w:rPr>
            </w:pPr>
            <w:r w:rsidRPr="00093486">
              <w:rPr>
                <w:rFonts w:cs="Arial"/>
                <w:highlight w:val="yellow"/>
              </w:rPr>
              <w:t>[    ]</w:t>
            </w:r>
          </w:p>
        </w:tc>
        <w:tc>
          <w:tcPr>
            <w:tcW w:w="2551" w:type="dxa"/>
          </w:tcPr>
          <w:p w14:paraId="5AB39E41" w14:textId="77777777" w:rsidR="00F67E9E" w:rsidRPr="00093486" w:rsidRDefault="00F67E9E" w:rsidP="007F74AA">
            <w:pPr>
              <w:pStyle w:val="StdBodyText"/>
              <w:spacing w:before="0" w:after="0"/>
              <w:jc w:val="center"/>
              <w:rPr>
                <w:rFonts w:cs="Arial"/>
              </w:rPr>
            </w:pPr>
            <w:r w:rsidRPr="00093486">
              <w:rPr>
                <w:rFonts w:cs="Arial"/>
                <w:highlight w:val="yellow"/>
              </w:rPr>
              <w:t>£[    ]</w:t>
            </w:r>
          </w:p>
        </w:tc>
        <w:tc>
          <w:tcPr>
            <w:tcW w:w="2552" w:type="dxa"/>
          </w:tcPr>
          <w:p w14:paraId="37CB1C66" w14:textId="77777777" w:rsidR="00F67E9E" w:rsidRPr="00093486" w:rsidRDefault="00F67E9E" w:rsidP="007F74AA">
            <w:pPr>
              <w:pStyle w:val="StdBodyText"/>
              <w:spacing w:before="0" w:after="0"/>
              <w:jc w:val="center"/>
              <w:rPr>
                <w:rFonts w:cs="Arial"/>
              </w:rPr>
            </w:pPr>
            <w:r w:rsidRPr="00093486">
              <w:rPr>
                <w:rFonts w:cs="Arial"/>
                <w:highlight w:val="yellow"/>
              </w:rPr>
              <w:t>[    ]</w:t>
            </w:r>
          </w:p>
        </w:tc>
      </w:tr>
      <w:tr w:rsidR="00F67E9E" w:rsidRPr="00093486" w14:paraId="7817BD29" w14:textId="77777777" w:rsidTr="007F74AA">
        <w:trPr>
          <w:trHeight w:val="20"/>
        </w:trPr>
        <w:tc>
          <w:tcPr>
            <w:tcW w:w="4819" w:type="dxa"/>
          </w:tcPr>
          <w:p w14:paraId="467905CC" w14:textId="77777777" w:rsidR="00F67E9E" w:rsidRPr="00B224EC" w:rsidRDefault="00F67E9E" w:rsidP="007F74AA">
            <w:pPr>
              <w:pStyle w:val="StdBodyText"/>
              <w:spacing w:before="0" w:after="0"/>
              <w:rPr>
                <w:rFonts w:cs="Arial"/>
              </w:rPr>
            </w:pPr>
            <w:r w:rsidRPr="00B224EC">
              <w:rPr>
                <w:rFonts w:cs="Arial"/>
              </w:rPr>
              <w:t xml:space="preserve">Total value of Sub-contracted revenues to SMEs (£) in this Financial Year </w:t>
            </w:r>
          </w:p>
        </w:tc>
        <w:tc>
          <w:tcPr>
            <w:tcW w:w="2551" w:type="dxa"/>
          </w:tcPr>
          <w:p w14:paraId="2BE0329C" w14:textId="77777777" w:rsidR="00F67E9E" w:rsidRPr="00093486" w:rsidRDefault="00F67E9E" w:rsidP="007F74AA">
            <w:pPr>
              <w:pStyle w:val="StdBodyText"/>
              <w:spacing w:before="0" w:after="0"/>
              <w:jc w:val="center"/>
              <w:rPr>
                <w:rFonts w:cs="Arial"/>
              </w:rPr>
            </w:pPr>
            <w:r w:rsidRPr="00093486">
              <w:rPr>
                <w:rFonts w:cs="Arial"/>
                <w:highlight w:val="yellow"/>
              </w:rPr>
              <w:t>£[    ]</w:t>
            </w:r>
          </w:p>
        </w:tc>
        <w:tc>
          <w:tcPr>
            <w:tcW w:w="2551" w:type="dxa"/>
          </w:tcPr>
          <w:p w14:paraId="530259CC" w14:textId="77777777" w:rsidR="00F67E9E" w:rsidRPr="00093486" w:rsidRDefault="00F67E9E" w:rsidP="007F74AA">
            <w:pPr>
              <w:pStyle w:val="StdBodyText"/>
              <w:spacing w:before="0" w:after="0"/>
              <w:jc w:val="center"/>
              <w:rPr>
                <w:rFonts w:cs="Arial"/>
              </w:rPr>
            </w:pPr>
            <w:r w:rsidRPr="00093486">
              <w:rPr>
                <w:rFonts w:cs="Arial"/>
                <w:highlight w:val="yellow"/>
              </w:rPr>
              <w:t>[    ]</w:t>
            </w:r>
          </w:p>
        </w:tc>
        <w:tc>
          <w:tcPr>
            <w:tcW w:w="2551" w:type="dxa"/>
          </w:tcPr>
          <w:p w14:paraId="1C3BB9C2" w14:textId="77777777" w:rsidR="00F67E9E" w:rsidRPr="00093486" w:rsidRDefault="00F67E9E" w:rsidP="007F74AA">
            <w:pPr>
              <w:pStyle w:val="StdBodyText"/>
              <w:spacing w:before="0" w:after="0"/>
              <w:jc w:val="center"/>
              <w:rPr>
                <w:rFonts w:cs="Arial"/>
              </w:rPr>
            </w:pPr>
            <w:r w:rsidRPr="00093486">
              <w:rPr>
                <w:rFonts w:cs="Arial"/>
                <w:highlight w:val="yellow"/>
              </w:rPr>
              <w:t>£[    ]</w:t>
            </w:r>
          </w:p>
        </w:tc>
        <w:tc>
          <w:tcPr>
            <w:tcW w:w="2552" w:type="dxa"/>
          </w:tcPr>
          <w:p w14:paraId="3A52085D" w14:textId="77777777" w:rsidR="00F67E9E" w:rsidRPr="00093486" w:rsidRDefault="00F67E9E" w:rsidP="007F74AA">
            <w:pPr>
              <w:pStyle w:val="StdBodyText"/>
              <w:spacing w:before="0" w:after="0"/>
              <w:jc w:val="center"/>
              <w:rPr>
                <w:rFonts w:cs="Arial"/>
              </w:rPr>
            </w:pPr>
            <w:r w:rsidRPr="00093486">
              <w:rPr>
                <w:rFonts w:cs="Arial"/>
                <w:highlight w:val="yellow"/>
              </w:rPr>
              <w:t>[    ]</w:t>
            </w:r>
          </w:p>
        </w:tc>
      </w:tr>
      <w:tr w:rsidR="00F67E9E" w:rsidRPr="00093486" w14:paraId="7910F8A7" w14:textId="77777777" w:rsidTr="007F74AA">
        <w:trPr>
          <w:trHeight w:val="20"/>
        </w:trPr>
        <w:tc>
          <w:tcPr>
            <w:tcW w:w="4819" w:type="dxa"/>
          </w:tcPr>
          <w:p w14:paraId="41C0C4E2" w14:textId="77777777" w:rsidR="00F67E9E" w:rsidRPr="00B224EC" w:rsidRDefault="00F67E9E" w:rsidP="007F74AA">
            <w:pPr>
              <w:pStyle w:val="StdBodyText"/>
              <w:spacing w:before="0" w:after="0"/>
              <w:rPr>
                <w:rFonts w:cs="Arial"/>
              </w:rPr>
            </w:pPr>
            <w:r w:rsidRPr="00B224EC">
              <w:rPr>
                <w:rFonts w:cs="Arial"/>
              </w:rPr>
              <w:t>Total value of Sub-contracted revenues to VCSEs (£) in this Financial Year</w:t>
            </w:r>
          </w:p>
        </w:tc>
        <w:tc>
          <w:tcPr>
            <w:tcW w:w="2551" w:type="dxa"/>
          </w:tcPr>
          <w:p w14:paraId="1B4DD6AA" w14:textId="77777777" w:rsidR="00F67E9E" w:rsidRPr="00093486" w:rsidRDefault="00F67E9E" w:rsidP="007F74AA">
            <w:pPr>
              <w:pStyle w:val="StdBodyText"/>
              <w:spacing w:before="0" w:after="0"/>
              <w:jc w:val="center"/>
              <w:rPr>
                <w:rFonts w:cs="Arial"/>
              </w:rPr>
            </w:pPr>
            <w:r w:rsidRPr="00093486">
              <w:rPr>
                <w:rFonts w:cs="Arial"/>
                <w:highlight w:val="yellow"/>
              </w:rPr>
              <w:t>£[    ]</w:t>
            </w:r>
          </w:p>
        </w:tc>
        <w:tc>
          <w:tcPr>
            <w:tcW w:w="2551" w:type="dxa"/>
          </w:tcPr>
          <w:p w14:paraId="1430F2F4" w14:textId="77777777" w:rsidR="00F67E9E" w:rsidRPr="00093486" w:rsidRDefault="00F67E9E" w:rsidP="007F74AA">
            <w:pPr>
              <w:pStyle w:val="StdBodyText"/>
              <w:spacing w:before="0" w:after="0"/>
              <w:jc w:val="center"/>
              <w:rPr>
                <w:rFonts w:cs="Arial"/>
              </w:rPr>
            </w:pPr>
            <w:r w:rsidRPr="00093486">
              <w:rPr>
                <w:rFonts w:cs="Arial"/>
                <w:highlight w:val="yellow"/>
              </w:rPr>
              <w:t>[    ]</w:t>
            </w:r>
          </w:p>
        </w:tc>
        <w:tc>
          <w:tcPr>
            <w:tcW w:w="2551" w:type="dxa"/>
          </w:tcPr>
          <w:p w14:paraId="34E54126" w14:textId="77777777" w:rsidR="00F67E9E" w:rsidRPr="00093486" w:rsidRDefault="00F67E9E" w:rsidP="007F74AA">
            <w:pPr>
              <w:pStyle w:val="StdBodyText"/>
              <w:spacing w:before="0" w:after="0"/>
              <w:jc w:val="center"/>
              <w:rPr>
                <w:rFonts w:cs="Arial"/>
              </w:rPr>
            </w:pPr>
            <w:r w:rsidRPr="00093486">
              <w:rPr>
                <w:rFonts w:cs="Arial"/>
                <w:highlight w:val="yellow"/>
              </w:rPr>
              <w:t>£[    ]</w:t>
            </w:r>
          </w:p>
        </w:tc>
        <w:tc>
          <w:tcPr>
            <w:tcW w:w="2552" w:type="dxa"/>
          </w:tcPr>
          <w:p w14:paraId="5A0125B8" w14:textId="77777777" w:rsidR="00F67E9E" w:rsidRPr="00093486" w:rsidRDefault="00F67E9E" w:rsidP="007F74AA">
            <w:pPr>
              <w:pStyle w:val="StdBodyText"/>
              <w:spacing w:before="0" w:after="0"/>
              <w:jc w:val="center"/>
              <w:rPr>
                <w:rFonts w:cs="Arial"/>
              </w:rPr>
            </w:pPr>
            <w:r w:rsidRPr="00093486">
              <w:rPr>
                <w:rFonts w:cs="Arial"/>
                <w:highlight w:val="yellow"/>
              </w:rPr>
              <w:t>[    ]</w:t>
            </w:r>
          </w:p>
        </w:tc>
      </w:tr>
    </w:tbl>
    <w:p w14:paraId="1B2025B1" w14:textId="77777777" w:rsidR="00F67E9E" w:rsidRDefault="00F67E9E" w:rsidP="00F67E9E">
      <w:pPr>
        <w:rPr>
          <w:lang w:eastAsia="en-GB"/>
        </w:rPr>
      </w:pPr>
    </w:p>
    <w:p w14:paraId="3B52B711" w14:textId="77777777" w:rsidR="00F67E9E" w:rsidRDefault="00F67E9E" w:rsidP="00F67E9E">
      <w:pPr>
        <w:rPr>
          <w:lang w:eastAsia="en-GB"/>
        </w:rPr>
      </w:pPr>
    </w:p>
    <w:p w14:paraId="6F45D0C1" w14:textId="77777777" w:rsidR="00F67E9E" w:rsidRDefault="00F67E9E" w:rsidP="00F67E9E">
      <w:pPr>
        <w:rPr>
          <w:lang w:eastAsia="en-GB"/>
        </w:rPr>
        <w:sectPr w:rsidR="00F67E9E" w:rsidSect="00240D26">
          <w:footerReference w:type="default" r:id="rId123"/>
          <w:pgSz w:w="16834" w:h="11909" w:orient="landscape"/>
          <w:pgMar w:top="1701" w:right="851" w:bottom="1134" w:left="851" w:header="567" w:footer="567" w:gutter="0"/>
          <w:cols w:space="720"/>
          <w:docGrid w:linePitch="326"/>
        </w:sectPr>
      </w:pPr>
    </w:p>
    <w:p w14:paraId="64666430" w14:textId="77777777" w:rsidR="00F67E9E" w:rsidRPr="00EE4F10" w:rsidRDefault="00F67E9E" w:rsidP="00F67E9E">
      <w:pPr>
        <w:pStyle w:val="Dividername"/>
      </w:pPr>
      <w:r w:rsidRPr="00EE4F10">
        <w:t>Schedule 25</w:t>
      </w:r>
    </w:p>
    <w:p w14:paraId="471E6AD1" w14:textId="77777777" w:rsidR="00F67E9E" w:rsidRPr="00EE4F10" w:rsidRDefault="00F67E9E" w:rsidP="00F67E9E">
      <w:pPr>
        <w:pStyle w:val="Dividername"/>
      </w:pPr>
      <w:r w:rsidRPr="00EE4F10">
        <w:t>Exit Management</w:t>
      </w:r>
    </w:p>
    <w:p w14:paraId="74F4A48C" w14:textId="77777777" w:rsidR="00F67E9E" w:rsidRPr="00B224EC" w:rsidRDefault="00F67E9E" w:rsidP="00F67E9E">
      <w:pPr>
        <w:rPr>
          <w:lang w:eastAsia="en-GB"/>
        </w:rPr>
      </w:pPr>
    </w:p>
    <w:p w14:paraId="685979C8" w14:textId="77777777" w:rsidR="00F67E9E" w:rsidRDefault="00F67E9E" w:rsidP="00F67E9E">
      <w:pPr>
        <w:rPr>
          <w:lang w:eastAsia="en-GB"/>
        </w:rPr>
      </w:pPr>
      <w:r>
        <w:rPr>
          <w:lang w:eastAsia="en-GB"/>
        </w:rPr>
        <w:br w:type="page"/>
      </w:r>
    </w:p>
    <w:p w14:paraId="4BA1CF4A" w14:textId="77777777" w:rsidR="00F67E9E" w:rsidRPr="005D0525" w:rsidRDefault="00F67E9E" w:rsidP="00F67E9E">
      <w:pPr>
        <w:pStyle w:val="Heading1"/>
      </w:pPr>
      <w:bookmarkStart w:id="1922" w:name="Schedule25"/>
      <w:bookmarkStart w:id="1923" w:name="_Ref92200048"/>
      <w:bookmarkStart w:id="1924" w:name="_Toc141711974"/>
      <w:r w:rsidRPr="005D0525">
        <w:t>Schedule 25</w:t>
      </w:r>
      <w:bookmarkEnd w:id="1922"/>
      <w:r>
        <w:t xml:space="preserve">: </w:t>
      </w:r>
      <w:bookmarkStart w:id="1925" w:name="Schedule25Heading"/>
      <w:r w:rsidRPr="00DD4CC2">
        <w:t>Exit Management</w:t>
      </w:r>
      <w:bookmarkEnd w:id="1923"/>
      <w:bookmarkEnd w:id="1924"/>
      <w:bookmarkEnd w:id="1925"/>
    </w:p>
    <w:p w14:paraId="199A175D" w14:textId="77777777" w:rsidR="00F67E9E" w:rsidRPr="00B224EC" w:rsidRDefault="00F67E9E" w:rsidP="00F67E9E">
      <w:pPr>
        <w:pStyle w:val="Numbered1"/>
        <w:numPr>
          <w:ilvl w:val="0"/>
          <w:numId w:val="181"/>
        </w:numPr>
      </w:pPr>
      <w:r w:rsidRPr="00B224EC">
        <w:t>Definitions</w:t>
      </w:r>
    </w:p>
    <w:p w14:paraId="477EF738" w14:textId="77777777" w:rsidR="00F67E9E" w:rsidRPr="00B224EC" w:rsidRDefault="00F67E9E" w:rsidP="00F67E9E">
      <w:pPr>
        <w:pStyle w:val="Numbered11"/>
      </w:pPr>
      <w:r w:rsidRPr="00B224EC">
        <w:t>In this Schedule, the following definitions shall apply:</w:t>
      </w:r>
    </w:p>
    <w:tbl>
      <w:tblPr>
        <w:tblStyle w:val="MSAdefinitions"/>
        <w:tblW w:w="9638" w:type="dxa"/>
        <w:tblLook w:val="04A0" w:firstRow="1" w:lastRow="0" w:firstColumn="1" w:lastColumn="0" w:noHBand="0" w:noVBand="1"/>
      </w:tblPr>
      <w:tblGrid>
        <w:gridCol w:w="2835"/>
        <w:gridCol w:w="6803"/>
      </w:tblGrid>
      <w:tr w:rsidR="00F67E9E" w:rsidRPr="00B224EC" w14:paraId="2452CE37" w14:textId="77777777" w:rsidTr="007F74AA">
        <w:tc>
          <w:tcPr>
            <w:tcW w:w="2835" w:type="dxa"/>
          </w:tcPr>
          <w:p w14:paraId="6CDEEE2A" w14:textId="77777777" w:rsidR="00F67E9E" w:rsidRPr="00B224EC" w:rsidRDefault="00F67E9E" w:rsidP="007F74AA">
            <w:pPr>
              <w:pStyle w:val="StdBodyTextBold"/>
              <w:rPr>
                <w:rFonts w:cs="Arial"/>
              </w:rPr>
            </w:pPr>
            <w:r>
              <w:rPr>
                <w:rFonts w:cs="Arial"/>
              </w:rPr>
              <w:t>“</w:t>
            </w:r>
            <w:r w:rsidRPr="00B224EC">
              <w:rPr>
                <w:rFonts w:cs="Arial"/>
              </w:rPr>
              <w:t>Emergency Exit</w:t>
            </w:r>
            <w:r>
              <w:rPr>
                <w:rFonts w:cs="Arial"/>
              </w:rPr>
              <w:t>”</w:t>
            </w:r>
          </w:p>
        </w:tc>
        <w:tc>
          <w:tcPr>
            <w:tcW w:w="6803" w:type="dxa"/>
          </w:tcPr>
          <w:p w14:paraId="3F63C4C2" w14:textId="77777777" w:rsidR="00F67E9E" w:rsidRPr="00B224EC" w:rsidRDefault="00F67E9E" w:rsidP="007F74AA">
            <w:pPr>
              <w:pStyle w:val="StdBodyText"/>
              <w:rPr>
                <w:rFonts w:cs="Arial"/>
              </w:rPr>
            </w:pPr>
            <w:r w:rsidRPr="00B224EC">
              <w:rPr>
                <w:rFonts w:cs="Arial"/>
              </w:rPr>
              <w:t>any termination of this Contract which is a:</w:t>
            </w:r>
          </w:p>
          <w:p w14:paraId="718017EC" w14:textId="77777777" w:rsidR="00F67E9E" w:rsidRPr="00436D9D" w:rsidRDefault="00F67E9E" w:rsidP="007F74AA">
            <w:pPr>
              <w:pStyle w:val="DefinitionList"/>
              <w:numPr>
                <w:ilvl w:val="0"/>
                <w:numId w:val="182"/>
              </w:numPr>
            </w:pPr>
            <w:r w:rsidRPr="00436D9D">
              <w:t xml:space="preserve">termination of the whole or part of this Contract in accordance with </w:t>
            </w:r>
            <w:bookmarkStart w:id="1926" w:name="_9kR3WTr2CC6DCJChrAv7K"/>
            <w:r w:rsidRPr="00436D9D">
              <w:t>Clause 31</w:t>
            </w:r>
            <w:bookmarkEnd w:id="1926"/>
            <w:r w:rsidRPr="00436D9D">
              <w:t xml:space="preserve"> (</w:t>
            </w:r>
            <w:r w:rsidRPr="004B3795">
              <w:rPr>
                <w:i/>
                <w:iCs/>
              </w:rPr>
              <w:t>Termination Rights</w:t>
            </w:r>
            <w:r w:rsidRPr="00436D9D">
              <w:t xml:space="preserve">), except where the period of notice given under that Clause is greater than or equal to 6 months; </w:t>
            </w:r>
          </w:p>
          <w:p w14:paraId="5A22A395" w14:textId="77777777" w:rsidR="00F67E9E" w:rsidRPr="00436D9D" w:rsidRDefault="00F67E9E" w:rsidP="00F67E9E">
            <w:pPr>
              <w:pStyle w:val="DefinitionList"/>
              <w:numPr>
                <w:ilvl w:val="0"/>
                <w:numId w:val="108"/>
              </w:numPr>
            </w:pPr>
            <w:r w:rsidRPr="00436D9D">
              <w:t xml:space="preserve">termination of the provision of the Services for any reason prior to the expiry of any period of notice of termination served pursuant to </w:t>
            </w:r>
            <w:bookmarkStart w:id="1927" w:name="_9kMHG5YVt4EE8FELEjtCx9M"/>
            <w:r w:rsidRPr="00436D9D">
              <w:t>Clause 31</w:t>
            </w:r>
            <w:bookmarkEnd w:id="1927"/>
            <w:r w:rsidRPr="00436D9D">
              <w:t xml:space="preserve"> (</w:t>
            </w:r>
            <w:r w:rsidRPr="004B3795">
              <w:rPr>
                <w:i/>
                <w:iCs/>
              </w:rPr>
              <w:t>Termination Rights</w:t>
            </w:r>
            <w:r w:rsidRPr="00436D9D">
              <w:t>); or</w:t>
            </w:r>
          </w:p>
          <w:p w14:paraId="7DEA65DD" w14:textId="77777777" w:rsidR="00F67E9E" w:rsidRPr="00B224EC" w:rsidRDefault="00F67E9E" w:rsidP="00F67E9E">
            <w:pPr>
              <w:pStyle w:val="DefinitionList"/>
              <w:numPr>
                <w:ilvl w:val="0"/>
                <w:numId w:val="108"/>
              </w:numPr>
            </w:pPr>
            <w:r w:rsidRPr="00436D9D">
              <w:t>wrongful termination or repudiation of this Contract by either Party</w:t>
            </w:r>
            <w:r w:rsidRPr="00B224EC">
              <w:t>;</w:t>
            </w:r>
          </w:p>
        </w:tc>
      </w:tr>
      <w:tr w:rsidR="00F67E9E" w:rsidRPr="00B224EC" w14:paraId="42677160" w14:textId="77777777" w:rsidTr="007F74AA">
        <w:tc>
          <w:tcPr>
            <w:tcW w:w="2835" w:type="dxa"/>
          </w:tcPr>
          <w:p w14:paraId="17BDE26F" w14:textId="77777777" w:rsidR="00F67E9E" w:rsidRPr="00B224EC" w:rsidRDefault="00F67E9E" w:rsidP="007F74AA">
            <w:pPr>
              <w:pStyle w:val="StdBodyTextBold"/>
              <w:rPr>
                <w:rFonts w:cs="Arial"/>
              </w:rPr>
            </w:pPr>
            <w:r>
              <w:rPr>
                <w:rFonts w:cs="Arial"/>
              </w:rPr>
              <w:t>“</w:t>
            </w:r>
            <w:r w:rsidRPr="00B224EC">
              <w:rPr>
                <w:rFonts w:cs="Arial"/>
              </w:rPr>
              <w:t>Ethical Wall Agreement</w:t>
            </w:r>
            <w:r>
              <w:rPr>
                <w:rFonts w:cs="Arial"/>
              </w:rPr>
              <w:t>”</w:t>
            </w:r>
          </w:p>
        </w:tc>
        <w:tc>
          <w:tcPr>
            <w:tcW w:w="6803" w:type="dxa"/>
          </w:tcPr>
          <w:p w14:paraId="6AA4769E" w14:textId="1DA877CB" w:rsidR="00F67E9E" w:rsidRPr="00B224EC" w:rsidRDefault="00F67E9E" w:rsidP="007F74AA">
            <w:pPr>
              <w:pStyle w:val="StdBodyText"/>
              <w:rPr>
                <w:rFonts w:cs="Arial"/>
              </w:rPr>
            </w:pPr>
            <w:r w:rsidRPr="00B224EC">
              <w:rPr>
                <w:rFonts w:cs="Arial"/>
              </w:rPr>
              <w:t xml:space="preserve">an ethical wall agreement in a form similar to the draft ethical wall agreement set out at </w:t>
            </w:r>
            <w:bookmarkStart w:id="1928" w:name="_9kMHG5YVt4DEDGEMEyq1Q"/>
            <w:r w:rsidRPr="00B224EC">
              <w:rPr>
                <w:rFonts w:cs="Arial"/>
              </w:rPr>
              <w:t xml:space="preserve">Annex </w:t>
            </w:r>
            <w:r w:rsidRPr="00B224EC">
              <w:rPr>
                <w:rFonts w:cs="Arial"/>
              </w:rPr>
              <w:fldChar w:fldCharType="begin"/>
            </w:r>
            <w:r w:rsidRPr="00B224EC">
              <w:rPr>
                <w:rFonts w:cs="Arial"/>
              </w:rPr>
              <w:instrText xml:space="preserve"> REF ANNEX2_SCHEDULE25 \h </w:instrText>
            </w:r>
            <w:r>
              <w:rPr>
                <w:rFonts w:cs="Arial"/>
              </w:rPr>
              <w:instrText xml:space="preserve"> \* MERGEFORMAT </w:instrText>
            </w:r>
            <w:r w:rsidRPr="00B224EC">
              <w:rPr>
                <w:rFonts w:cs="Arial"/>
              </w:rPr>
            </w:r>
            <w:r w:rsidRPr="00B224EC">
              <w:rPr>
                <w:rFonts w:cs="Arial"/>
              </w:rPr>
              <w:fldChar w:fldCharType="separate"/>
            </w:r>
            <w:r w:rsidR="00302D39" w:rsidRPr="00302D39">
              <w:rPr>
                <w:rFonts w:cs="Arial"/>
              </w:rPr>
              <w:t>2</w:t>
            </w:r>
            <w:r w:rsidRPr="00B224EC">
              <w:rPr>
                <w:rFonts w:cs="Arial"/>
              </w:rPr>
              <w:fldChar w:fldCharType="end"/>
            </w:r>
            <w:bookmarkEnd w:id="1928"/>
            <w:r w:rsidRPr="00B224EC">
              <w:rPr>
                <w:rFonts w:cs="Arial"/>
              </w:rPr>
              <w:t>;</w:t>
            </w:r>
          </w:p>
        </w:tc>
      </w:tr>
      <w:tr w:rsidR="00F67E9E" w:rsidRPr="00B224EC" w14:paraId="4CDB9EA4" w14:textId="77777777" w:rsidTr="007F74AA">
        <w:tc>
          <w:tcPr>
            <w:tcW w:w="2835" w:type="dxa"/>
          </w:tcPr>
          <w:p w14:paraId="157551E2" w14:textId="77777777" w:rsidR="00F67E9E" w:rsidRPr="00B224EC" w:rsidRDefault="00F67E9E" w:rsidP="007F74AA">
            <w:pPr>
              <w:pStyle w:val="StdBodyTextBold"/>
              <w:rPr>
                <w:rFonts w:cs="Arial"/>
              </w:rPr>
            </w:pPr>
            <w:r>
              <w:rPr>
                <w:rFonts w:cs="Arial"/>
              </w:rPr>
              <w:t>“</w:t>
            </w:r>
            <w:r w:rsidRPr="00B224EC">
              <w:rPr>
                <w:rFonts w:cs="Arial"/>
              </w:rPr>
              <w:t>Exclusive Assets</w:t>
            </w:r>
            <w:r>
              <w:rPr>
                <w:rFonts w:cs="Arial"/>
              </w:rPr>
              <w:t>”</w:t>
            </w:r>
          </w:p>
        </w:tc>
        <w:tc>
          <w:tcPr>
            <w:tcW w:w="6803" w:type="dxa"/>
          </w:tcPr>
          <w:p w14:paraId="50D3150E" w14:textId="77777777" w:rsidR="00F67E9E" w:rsidRPr="00B224EC" w:rsidRDefault="00F67E9E" w:rsidP="007F74AA">
            <w:pPr>
              <w:pStyle w:val="StdBodyText"/>
              <w:rPr>
                <w:rFonts w:cs="Arial"/>
              </w:rPr>
            </w:pPr>
            <w:r w:rsidRPr="00B224EC">
              <w:rPr>
                <w:rFonts w:cs="Arial"/>
              </w:rPr>
              <w:t>those Assets used by the Supplier or a Key Sub-contractor which are used exclusively in the provision of the Services;</w:t>
            </w:r>
          </w:p>
        </w:tc>
      </w:tr>
      <w:tr w:rsidR="00F67E9E" w:rsidRPr="00B224EC" w14:paraId="4200143A" w14:textId="77777777" w:rsidTr="007F74AA">
        <w:tc>
          <w:tcPr>
            <w:tcW w:w="2835" w:type="dxa"/>
          </w:tcPr>
          <w:p w14:paraId="2061CA47" w14:textId="77777777" w:rsidR="00F67E9E" w:rsidRPr="00B224EC" w:rsidRDefault="00F67E9E" w:rsidP="007F74AA">
            <w:pPr>
              <w:pStyle w:val="StdBodyTextBold"/>
              <w:rPr>
                <w:rFonts w:cs="Arial"/>
              </w:rPr>
            </w:pPr>
            <w:r>
              <w:rPr>
                <w:rFonts w:cs="Arial"/>
              </w:rPr>
              <w:t>“</w:t>
            </w:r>
            <w:r w:rsidRPr="00B224EC">
              <w:rPr>
                <w:rFonts w:cs="Arial"/>
              </w:rPr>
              <w:t>Exit Information</w:t>
            </w:r>
            <w:r>
              <w:rPr>
                <w:rFonts w:cs="Arial"/>
              </w:rPr>
              <w:t>”</w:t>
            </w:r>
          </w:p>
        </w:tc>
        <w:tc>
          <w:tcPr>
            <w:tcW w:w="6803" w:type="dxa"/>
          </w:tcPr>
          <w:p w14:paraId="6299D152" w14:textId="545A18C8" w:rsidR="00F67E9E" w:rsidRPr="00B224EC" w:rsidRDefault="00F67E9E" w:rsidP="007F74AA">
            <w:pPr>
              <w:pStyle w:val="StdBodyText"/>
              <w:rPr>
                <w:rFonts w:cs="Arial"/>
              </w:rPr>
            </w:pPr>
            <w:r w:rsidRPr="00B224EC">
              <w:rPr>
                <w:rFonts w:cs="Arial"/>
              </w:rPr>
              <w:t xml:space="preserve">has the meaning given in </w:t>
            </w:r>
            <w:bookmarkStart w:id="1929" w:name="_9kMHG5YVtCIBEHHIEaU4wgvA6tiuy1CJEyvuAB6"/>
            <w:bookmarkStart w:id="1930" w:name="_9kMHG5YVtCJCEHIJEaU4wgvA6tiuy1CJEyvuAB6"/>
            <w:r w:rsidRPr="00B224EC">
              <w:rPr>
                <w:rFonts w:cs="Arial"/>
              </w:rPr>
              <w:t xml:space="preserve">Paragraph </w:t>
            </w:r>
            <w:r w:rsidRPr="00B224EC">
              <w:rPr>
                <w:rFonts w:cs="Arial"/>
              </w:rPr>
              <w:fldChar w:fldCharType="begin"/>
            </w:r>
            <w:r w:rsidRPr="00B224EC">
              <w:rPr>
                <w:rFonts w:cs="Arial"/>
              </w:rPr>
              <w:instrText xml:space="preserve"> REF _Ref_ContractCompanion_9kb9Us8B9 \n \h \t \* MERGEFORMAT </w:instrText>
            </w:r>
            <w:r w:rsidRPr="00B224EC">
              <w:rPr>
                <w:rFonts w:cs="Arial"/>
              </w:rPr>
            </w:r>
            <w:r w:rsidRPr="00B224EC">
              <w:rPr>
                <w:rFonts w:cs="Arial"/>
              </w:rPr>
              <w:fldChar w:fldCharType="separate"/>
            </w:r>
            <w:r w:rsidR="00302D39">
              <w:rPr>
                <w:rFonts w:cs="Arial"/>
              </w:rPr>
              <w:t>3.1</w:t>
            </w:r>
            <w:r w:rsidRPr="00B224EC">
              <w:rPr>
                <w:rFonts w:cs="Arial"/>
              </w:rPr>
              <w:fldChar w:fldCharType="end"/>
            </w:r>
            <w:bookmarkEnd w:id="1929"/>
            <w:bookmarkEnd w:id="1930"/>
            <w:r w:rsidRPr="00B224EC">
              <w:rPr>
                <w:rFonts w:cs="Arial"/>
              </w:rPr>
              <w:t>;</w:t>
            </w:r>
          </w:p>
        </w:tc>
      </w:tr>
      <w:tr w:rsidR="00F67E9E" w:rsidRPr="00B224EC" w14:paraId="0C2D607B" w14:textId="77777777" w:rsidTr="007F74AA">
        <w:tc>
          <w:tcPr>
            <w:tcW w:w="2835" w:type="dxa"/>
          </w:tcPr>
          <w:p w14:paraId="1814BBF5" w14:textId="77777777" w:rsidR="00F67E9E" w:rsidRPr="00B224EC" w:rsidRDefault="00F67E9E" w:rsidP="007F74AA">
            <w:pPr>
              <w:pStyle w:val="StdBodyTextBold"/>
              <w:rPr>
                <w:rFonts w:cs="Arial"/>
              </w:rPr>
            </w:pPr>
            <w:r>
              <w:rPr>
                <w:rFonts w:cs="Arial"/>
              </w:rPr>
              <w:t>“</w:t>
            </w:r>
            <w:r w:rsidRPr="00B224EC">
              <w:rPr>
                <w:rFonts w:cs="Arial"/>
              </w:rPr>
              <w:t>Exit Manager</w:t>
            </w:r>
            <w:r>
              <w:rPr>
                <w:rFonts w:cs="Arial"/>
              </w:rPr>
              <w:t>”</w:t>
            </w:r>
          </w:p>
        </w:tc>
        <w:tc>
          <w:tcPr>
            <w:tcW w:w="6803" w:type="dxa"/>
          </w:tcPr>
          <w:p w14:paraId="6E7B5309" w14:textId="7B96D892" w:rsidR="00F67E9E" w:rsidRPr="00B224EC" w:rsidRDefault="00F67E9E" w:rsidP="007F74AA">
            <w:pPr>
              <w:pStyle w:val="StdBodyText"/>
              <w:rPr>
                <w:rFonts w:cs="Arial"/>
              </w:rPr>
            </w:pPr>
            <w:r w:rsidRPr="00B224EC">
              <w:rPr>
                <w:rFonts w:cs="Arial"/>
              </w:rPr>
              <w:t xml:space="preserve">the person appointed by each Party pursuant to </w:t>
            </w:r>
            <w:bookmarkStart w:id="1931" w:name="_9kR3WTr2BCCGAWEnoewrqyCM"/>
            <w:r w:rsidRPr="00B224EC">
              <w:rPr>
                <w:rFonts w:cs="Arial"/>
              </w:rPr>
              <w:t xml:space="preserve">Paragraph </w:t>
            </w:r>
            <w:r w:rsidRPr="00B224EC">
              <w:rPr>
                <w:rFonts w:cs="Arial"/>
              </w:rPr>
              <w:fldChar w:fldCharType="begin"/>
            </w:r>
            <w:r w:rsidRPr="00B224EC">
              <w:rPr>
                <w:rFonts w:cs="Arial"/>
              </w:rPr>
              <w:instrText xml:space="preserve"> REF _Ref_ContractCompanion_9kb9Us8BD \n \h \t \* MERGEFORMAT </w:instrText>
            </w:r>
            <w:r w:rsidRPr="00B224EC">
              <w:rPr>
                <w:rFonts w:cs="Arial"/>
              </w:rPr>
            </w:r>
            <w:r w:rsidRPr="00B224EC">
              <w:rPr>
                <w:rFonts w:cs="Arial"/>
              </w:rPr>
              <w:fldChar w:fldCharType="separate"/>
            </w:r>
            <w:r w:rsidR="00302D39">
              <w:rPr>
                <w:rFonts w:cs="Arial"/>
              </w:rPr>
              <w:t>2.3</w:t>
            </w:r>
            <w:r w:rsidRPr="00B224EC">
              <w:rPr>
                <w:rFonts w:cs="Arial"/>
              </w:rPr>
              <w:fldChar w:fldCharType="end"/>
            </w:r>
            <w:bookmarkEnd w:id="1931"/>
            <w:r w:rsidRPr="00B224EC">
              <w:rPr>
                <w:rFonts w:cs="Arial"/>
              </w:rPr>
              <w:t xml:space="preserve"> for managing the Parties</w:t>
            </w:r>
            <w:r>
              <w:rPr>
                <w:rFonts w:cs="Arial"/>
              </w:rPr>
              <w:t>’</w:t>
            </w:r>
            <w:r w:rsidRPr="00B224EC">
              <w:rPr>
                <w:rFonts w:cs="Arial"/>
              </w:rPr>
              <w:t xml:space="preserve"> respective obligations under this Schedule;</w:t>
            </w:r>
          </w:p>
        </w:tc>
      </w:tr>
      <w:tr w:rsidR="00F67E9E" w:rsidRPr="00B224EC" w14:paraId="2EE07F62" w14:textId="77777777" w:rsidTr="007F74AA">
        <w:tc>
          <w:tcPr>
            <w:tcW w:w="2835" w:type="dxa"/>
          </w:tcPr>
          <w:p w14:paraId="43DB0ADA" w14:textId="77777777" w:rsidR="00F67E9E" w:rsidRPr="00B224EC" w:rsidRDefault="00F67E9E" w:rsidP="007F74AA">
            <w:pPr>
              <w:pStyle w:val="StdBodyTextBold"/>
              <w:rPr>
                <w:rFonts w:cs="Arial"/>
              </w:rPr>
            </w:pPr>
            <w:r>
              <w:rPr>
                <w:rFonts w:cs="Arial"/>
              </w:rPr>
              <w:t>“</w:t>
            </w:r>
            <w:r w:rsidRPr="00B224EC">
              <w:rPr>
                <w:rFonts w:cs="Arial"/>
              </w:rPr>
              <w:t>Net Book Value</w:t>
            </w:r>
            <w:r>
              <w:rPr>
                <w:rFonts w:cs="Arial"/>
              </w:rPr>
              <w:t>”</w:t>
            </w:r>
          </w:p>
        </w:tc>
        <w:tc>
          <w:tcPr>
            <w:tcW w:w="6803" w:type="dxa"/>
          </w:tcPr>
          <w:p w14:paraId="453C2191" w14:textId="77777777" w:rsidR="00F67E9E" w:rsidRPr="00B224EC" w:rsidRDefault="00F67E9E" w:rsidP="007F74AA">
            <w:pPr>
              <w:pStyle w:val="StdBodyText"/>
              <w:rPr>
                <w:rFonts w:cs="Arial"/>
              </w:rPr>
            </w:pPr>
            <w:r w:rsidRPr="00B224EC">
              <w:rPr>
                <w:rFonts w:cs="Arial"/>
              </w:rPr>
              <w:t>the net book value of the relevant Asset(s) calculated in accordance with the depreciation policy of the Supplier set out in the letter in the agreed form from the Supplier to the Authority of the same date as this Contract;</w:t>
            </w:r>
          </w:p>
        </w:tc>
      </w:tr>
      <w:tr w:rsidR="00F67E9E" w:rsidRPr="00B224EC" w14:paraId="33E7622F" w14:textId="77777777" w:rsidTr="007F74AA">
        <w:tc>
          <w:tcPr>
            <w:tcW w:w="2835" w:type="dxa"/>
          </w:tcPr>
          <w:p w14:paraId="7583A5EB" w14:textId="77777777" w:rsidR="00F67E9E" w:rsidRPr="00B224EC" w:rsidRDefault="00F67E9E" w:rsidP="007F74AA">
            <w:pPr>
              <w:pStyle w:val="StdBodyTextBold"/>
              <w:rPr>
                <w:rFonts w:cs="Arial"/>
              </w:rPr>
            </w:pPr>
            <w:r>
              <w:rPr>
                <w:rFonts w:cs="Arial"/>
              </w:rPr>
              <w:t>“</w:t>
            </w:r>
            <w:r w:rsidRPr="00B224EC">
              <w:rPr>
                <w:rFonts w:cs="Arial"/>
              </w:rPr>
              <w:t>Non-Exclusive Assets</w:t>
            </w:r>
            <w:r>
              <w:rPr>
                <w:rFonts w:cs="Arial"/>
              </w:rPr>
              <w:t>”</w:t>
            </w:r>
          </w:p>
        </w:tc>
        <w:tc>
          <w:tcPr>
            <w:tcW w:w="6803" w:type="dxa"/>
          </w:tcPr>
          <w:p w14:paraId="568127F9" w14:textId="77777777" w:rsidR="00F67E9E" w:rsidRPr="00B224EC" w:rsidRDefault="00F67E9E" w:rsidP="007F74AA">
            <w:pPr>
              <w:pStyle w:val="StdBodyText"/>
              <w:rPr>
                <w:rFonts w:cs="Arial"/>
              </w:rPr>
            </w:pPr>
            <w:r w:rsidRPr="00B224EC">
              <w:rPr>
                <w:rFonts w:cs="Arial"/>
              </w:rPr>
              <w:t>those Assets (if any) which are used by the Supplier or a Key Sub-contractor in connection with the Services but which are also used by the Supplier or Key Sub-contractor for other purposes of material value;</w:t>
            </w:r>
          </w:p>
        </w:tc>
      </w:tr>
      <w:tr w:rsidR="00F67E9E" w:rsidRPr="00B224EC" w14:paraId="3786B046" w14:textId="77777777" w:rsidTr="007F74AA">
        <w:tc>
          <w:tcPr>
            <w:tcW w:w="2835" w:type="dxa"/>
          </w:tcPr>
          <w:p w14:paraId="4EAE8009" w14:textId="77777777" w:rsidR="00F67E9E" w:rsidRPr="00B224EC" w:rsidRDefault="00F67E9E" w:rsidP="007F74AA">
            <w:pPr>
              <w:pStyle w:val="StdBodyTextBold"/>
              <w:rPr>
                <w:rFonts w:cs="Arial"/>
              </w:rPr>
            </w:pPr>
            <w:r>
              <w:rPr>
                <w:rFonts w:cs="Arial"/>
              </w:rPr>
              <w:t>“</w:t>
            </w:r>
            <w:r w:rsidRPr="00B224EC">
              <w:rPr>
                <w:rFonts w:cs="Arial"/>
              </w:rPr>
              <w:t>Ordinary Exit</w:t>
            </w:r>
            <w:r>
              <w:rPr>
                <w:rFonts w:cs="Arial"/>
              </w:rPr>
              <w:t>”</w:t>
            </w:r>
          </w:p>
        </w:tc>
        <w:tc>
          <w:tcPr>
            <w:tcW w:w="6803" w:type="dxa"/>
          </w:tcPr>
          <w:p w14:paraId="1772C6BE" w14:textId="77777777" w:rsidR="00F67E9E" w:rsidRPr="00B224EC" w:rsidRDefault="00F67E9E" w:rsidP="007F74AA">
            <w:pPr>
              <w:pStyle w:val="StdBodyText"/>
              <w:rPr>
                <w:rFonts w:cs="Arial"/>
              </w:rPr>
            </w:pPr>
            <w:r w:rsidRPr="00B224EC">
              <w:rPr>
                <w:rFonts w:cs="Arial"/>
              </w:rPr>
              <w:t xml:space="preserve">any termination of the whole or any part of this Contract which occurs: </w:t>
            </w:r>
          </w:p>
          <w:p w14:paraId="293F28F6" w14:textId="77777777" w:rsidR="00F67E9E" w:rsidRPr="00436D9D" w:rsidRDefault="00F67E9E" w:rsidP="007F74AA">
            <w:pPr>
              <w:pStyle w:val="DefinitionList"/>
              <w:numPr>
                <w:ilvl w:val="0"/>
                <w:numId w:val="284"/>
              </w:numPr>
            </w:pPr>
            <w:r w:rsidRPr="00436D9D">
              <w:t xml:space="preserve">pursuant to </w:t>
            </w:r>
            <w:bookmarkStart w:id="1932" w:name="_9kMIH5YVt4EE8FELEjtCx9M"/>
            <w:r w:rsidRPr="00436D9D">
              <w:t>Clause 31</w:t>
            </w:r>
            <w:bookmarkEnd w:id="1932"/>
            <w:r w:rsidRPr="00436D9D">
              <w:t xml:space="preserve"> (</w:t>
            </w:r>
            <w:r w:rsidRPr="004B3795">
              <w:rPr>
                <w:i/>
                <w:iCs/>
              </w:rPr>
              <w:t>Termination Rights</w:t>
            </w:r>
            <w:r w:rsidRPr="00436D9D">
              <w:t xml:space="preserve">) where the period of notice given by the Party serving notice to terminate pursuant to such Clause is greater than or equal to 6 months; or </w:t>
            </w:r>
          </w:p>
          <w:p w14:paraId="77133935" w14:textId="77777777" w:rsidR="00F67E9E" w:rsidRPr="00B224EC" w:rsidRDefault="00F67E9E" w:rsidP="00F67E9E">
            <w:pPr>
              <w:pStyle w:val="DefinitionList"/>
              <w:numPr>
                <w:ilvl w:val="0"/>
                <w:numId w:val="108"/>
              </w:numPr>
            </w:pPr>
            <w:r w:rsidRPr="00436D9D">
              <w:t>as a result of the expiry of the Initial Term or any Extension Period;</w:t>
            </w:r>
          </w:p>
        </w:tc>
      </w:tr>
      <w:tr w:rsidR="00F67E9E" w:rsidRPr="00B224EC" w14:paraId="58E2C23A" w14:textId="77777777" w:rsidTr="007F74AA">
        <w:tc>
          <w:tcPr>
            <w:tcW w:w="2835" w:type="dxa"/>
          </w:tcPr>
          <w:p w14:paraId="45253762" w14:textId="77777777" w:rsidR="00F67E9E" w:rsidRPr="00B224EC" w:rsidRDefault="00F67E9E" w:rsidP="007F74AA">
            <w:pPr>
              <w:pStyle w:val="StdBodyTextBold"/>
              <w:rPr>
                <w:rFonts w:cs="Arial"/>
              </w:rPr>
            </w:pPr>
            <w:r>
              <w:rPr>
                <w:rFonts w:cs="Arial"/>
              </w:rPr>
              <w:t>“</w:t>
            </w:r>
            <w:r w:rsidRPr="00B224EC">
              <w:rPr>
                <w:rFonts w:cs="Arial"/>
              </w:rPr>
              <w:t>Transferable Assets</w:t>
            </w:r>
            <w:r>
              <w:rPr>
                <w:rFonts w:cs="Arial"/>
              </w:rPr>
              <w:t>”</w:t>
            </w:r>
          </w:p>
        </w:tc>
        <w:tc>
          <w:tcPr>
            <w:tcW w:w="6803" w:type="dxa"/>
          </w:tcPr>
          <w:p w14:paraId="3FCA8F28" w14:textId="77777777" w:rsidR="00F67E9E" w:rsidRPr="00B224EC" w:rsidRDefault="00F67E9E" w:rsidP="007F74AA">
            <w:pPr>
              <w:pStyle w:val="StdBodyText"/>
              <w:rPr>
                <w:rFonts w:cs="Arial"/>
              </w:rPr>
            </w:pPr>
            <w:r w:rsidRPr="00B224EC">
              <w:rPr>
                <w:rFonts w:cs="Arial"/>
              </w:rPr>
              <w:t>those of the Exclusive Assets which are capable of legal transfer to the Authority;</w:t>
            </w:r>
          </w:p>
        </w:tc>
      </w:tr>
      <w:tr w:rsidR="00F67E9E" w:rsidRPr="00B224EC" w14:paraId="426C33B8" w14:textId="77777777" w:rsidTr="007F74AA">
        <w:tc>
          <w:tcPr>
            <w:tcW w:w="2835" w:type="dxa"/>
          </w:tcPr>
          <w:p w14:paraId="0E421CF7" w14:textId="77777777" w:rsidR="00F67E9E" w:rsidRPr="00B224EC" w:rsidRDefault="00F67E9E" w:rsidP="007F74AA">
            <w:pPr>
              <w:pStyle w:val="StdBodyTextBold"/>
              <w:rPr>
                <w:rFonts w:cs="Arial"/>
              </w:rPr>
            </w:pPr>
            <w:r>
              <w:rPr>
                <w:rFonts w:cs="Arial"/>
              </w:rPr>
              <w:t>“</w:t>
            </w:r>
            <w:r w:rsidRPr="00B224EC">
              <w:rPr>
                <w:rFonts w:cs="Arial"/>
              </w:rPr>
              <w:t>Transferable Contracts</w:t>
            </w:r>
            <w:r>
              <w:rPr>
                <w:rFonts w:cs="Arial"/>
              </w:rPr>
              <w:t>”</w:t>
            </w:r>
          </w:p>
        </w:tc>
        <w:tc>
          <w:tcPr>
            <w:tcW w:w="6803" w:type="dxa"/>
          </w:tcPr>
          <w:p w14:paraId="195DE6CE" w14:textId="77777777" w:rsidR="00F67E9E" w:rsidRPr="00B224EC" w:rsidRDefault="00F67E9E" w:rsidP="007F74AA">
            <w:pPr>
              <w:pStyle w:val="StdBodyText"/>
              <w:rPr>
                <w:rFonts w:cs="Arial"/>
              </w:rPr>
            </w:pPr>
            <w:r w:rsidRPr="00B224EC">
              <w:rPr>
                <w:rFonts w:cs="Arial"/>
              </w:rPr>
              <w:t>the Sub-contracts, licences for Supplier</w:t>
            </w:r>
            <w:r>
              <w:rPr>
                <w:rFonts w:cs="Arial"/>
              </w:rPr>
              <w:t>’</w:t>
            </w:r>
            <w:r w:rsidRPr="00B224EC">
              <w:rPr>
                <w:rFonts w:cs="Arial"/>
              </w:rPr>
              <w:t>s Software, licences for Third Party Software or other agreements which are necessary to enable the Authority or any Replacement Supplier to perform the Services or the Replacement Services, including in relation to licences all relevant Documentation; and</w:t>
            </w:r>
          </w:p>
        </w:tc>
      </w:tr>
      <w:tr w:rsidR="00F67E9E" w:rsidRPr="00B224EC" w14:paraId="53AD81AE" w14:textId="77777777" w:rsidTr="007F74AA">
        <w:tc>
          <w:tcPr>
            <w:tcW w:w="2835" w:type="dxa"/>
          </w:tcPr>
          <w:p w14:paraId="4C08ED3D" w14:textId="77777777" w:rsidR="00F67E9E" w:rsidRPr="00B224EC" w:rsidRDefault="00F67E9E" w:rsidP="007F74AA">
            <w:pPr>
              <w:pStyle w:val="StdBodyTextBold"/>
              <w:rPr>
                <w:rFonts w:cs="Arial"/>
              </w:rPr>
            </w:pPr>
            <w:r>
              <w:rPr>
                <w:rFonts w:cs="Arial"/>
              </w:rPr>
              <w:t>“</w:t>
            </w:r>
            <w:bookmarkStart w:id="1933" w:name="_9kR3WTr2AC7CEcZnk3wjwA2zyOR9FK2o8"/>
            <w:r w:rsidRPr="00B224EC">
              <w:rPr>
                <w:rFonts w:cs="Arial"/>
              </w:rPr>
              <w:t>Transferring Contracts</w:t>
            </w:r>
            <w:bookmarkEnd w:id="1933"/>
          </w:p>
        </w:tc>
        <w:tc>
          <w:tcPr>
            <w:tcW w:w="6803" w:type="dxa"/>
          </w:tcPr>
          <w:p w14:paraId="0D821D5F" w14:textId="34CCFD4D" w:rsidR="00F67E9E" w:rsidRPr="00B224EC" w:rsidRDefault="00F67E9E" w:rsidP="007F74AA">
            <w:pPr>
              <w:pStyle w:val="StdBodyText"/>
              <w:rPr>
                <w:rFonts w:cs="Arial"/>
              </w:rPr>
            </w:pPr>
            <w:r w:rsidRPr="00B224EC">
              <w:rPr>
                <w:rFonts w:cs="Arial"/>
              </w:rPr>
              <w:t xml:space="preserve">has the meaning given in </w:t>
            </w:r>
            <w:bookmarkStart w:id="1934" w:name="_9kR3WTr2CC6DDXEnoewrqyHQw"/>
            <w:r w:rsidRPr="00B224EC">
              <w:rPr>
                <w:rFonts w:cs="Arial"/>
              </w:rPr>
              <w:t xml:space="preserve">Paragraph </w:t>
            </w:r>
            <w:bookmarkEnd w:id="1934"/>
            <w:r w:rsidRPr="00B224EC">
              <w:rPr>
                <w:rFonts w:cs="Arial"/>
              </w:rPr>
              <w:fldChar w:fldCharType="begin"/>
            </w:r>
            <w:r w:rsidRPr="00B224EC">
              <w:rPr>
                <w:rFonts w:cs="Arial"/>
              </w:rPr>
              <w:instrText xml:space="preserve"> REF _Ref_ContractCompanion_9kb9Us8FA \r \h  \* MERGEFORMAT </w:instrText>
            </w:r>
            <w:r w:rsidRPr="00B224EC">
              <w:rPr>
                <w:rFonts w:cs="Arial"/>
              </w:rPr>
            </w:r>
            <w:r w:rsidRPr="00B224EC">
              <w:rPr>
                <w:rFonts w:cs="Arial"/>
              </w:rPr>
              <w:fldChar w:fldCharType="separate"/>
            </w:r>
            <w:r w:rsidR="00302D39">
              <w:rPr>
                <w:rFonts w:cs="Arial"/>
              </w:rPr>
              <w:t>7.2.3</w:t>
            </w:r>
            <w:r w:rsidRPr="00B224EC">
              <w:rPr>
                <w:rFonts w:cs="Arial"/>
              </w:rPr>
              <w:fldChar w:fldCharType="end"/>
            </w:r>
            <w:r w:rsidRPr="00B224EC">
              <w:rPr>
                <w:rFonts w:cs="Arial"/>
              </w:rPr>
              <w:t>.</w:t>
            </w:r>
          </w:p>
        </w:tc>
      </w:tr>
    </w:tbl>
    <w:p w14:paraId="4254C495" w14:textId="77777777" w:rsidR="00F67E9E" w:rsidRPr="00B224EC" w:rsidRDefault="00F67E9E" w:rsidP="00F67E9E">
      <w:pPr>
        <w:pStyle w:val="Numbered1"/>
      </w:pPr>
      <w:r w:rsidRPr="00B224EC">
        <w:t xml:space="preserve">Obligations During </w:t>
      </w:r>
      <w:r w:rsidRPr="00436D9D">
        <w:t>the</w:t>
      </w:r>
      <w:r w:rsidRPr="00B224EC">
        <w:t xml:space="preserve"> Term </w:t>
      </w:r>
      <w:r>
        <w:t>t</w:t>
      </w:r>
      <w:r w:rsidRPr="00B224EC">
        <w:t>o Facilitate Exit</w:t>
      </w:r>
    </w:p>
    <w:p w14:paraId="49064FD6" w14:textId="77777777" w:rsidR="00F67E9E" w:rsidRPr="00B224EC" w:rsidRDefault="00F67E9E" w:rsidP="00F67E9E">
      <w:pPr>
        <w:pStyle w:val="Numbered11"/>
      </w:pPr>
      <w:r w:rsidRPr="00B224EC">
        <w:t>During the Term, the Supplier shall:</w:t>
      </w:r>
    </w:p>
    <w:p w14:paraId="12319811" w14:textId="77777777" w:rsidR="00F67E9E" w:rsidRPr="00B224EC" w:rsidRDefault="00F67E9E" w:rsidP="00F67E9E">
      <w:pPr>
        <w:pStyle w:val="Numbered111"/>
      </w:pPr>
      <w:bookmarkStart w:id="1935" w:name="_Ref_ContractCompanion_9kb9Us7FJ"/>
      <w:bookmarkStart w:id="1936" w:name="_Ref_ContractCompanion_9kb9Us8C7"/>
      <w:r w:rsidRPr="00B224EC">
        <w:t xml:space="preserve">create and </w:t>
      </w:r>
      <w:r w:rsidRPr="00436D9D">
        <w:t>maintain</w:t>
      </w:r>
      <w:r w:rsidRPr="00B224EC">
        <w:t xml:space="preserve"> a register of all:</w:t>
      </w:r>
      <w:bookmarkEnd w:id="1935"/>
      <w:bookmarkEnd w:id="1936"/>
    </w:p>
    <w:p w14:paraId="13A3770E" w14:textId="77777777" w:rsidR="00F67E9E" w:rsidRPr="00436D9D" w:rsidRDefault="00F67E9E" w:rsidP="00F67E9E">
      <w:pPr>
        <w:pStyle w:val="Numbered111a"/>
      </w:pPr>
      <w:r w:rsidRPr="00B224EC">
        <w:t xml:space="preserve">Assets, </w:t>
      </w:r>
      <w:r w:rsidRPr="00436D9D">
        <w:t>detailing their:</w:t>
      </w:r>
    </w:p>
    <w:p w14:paraId="011B1461" w14:textId="77777777" w:rsidR="00F67E9E" w:rsidRPr="00436D9D" w:rsidRDefault="00F67E9E" w:rsidP="00F67E9E">
      <w:pPr>
        <w:pStyle w:val="Numbered111a"/>
      </w:pPr>
      <w:r w:rsidRPr="00436D9D">
        <w:t>make, model and asset number;</w:t>
      </w:r>
    </w:p>
    <w:p w14:paraId="06E97AE0" w14:textId="77777777" w:rsidR="00F67E9E" w:rsidRPr="00436D9D" w:rsidRDefault="00F67E9E" w:rsidP="00F67E9E">
      <w:pPr>
        <w:pStyle w:val="Numbered111a"/>
      </w:pPr>
      <w:r w:rsidRPr="00436D9D">
        <w:t xml:space="preserve">ownership and status as either Exclusive Assets or Non-Exclusive Assets; </w:t>
      </w:r>
    </w:p>
    <w:p w14:paraId="461B883E" w14:textId="77777777" w:rsidR="00F67E9E" w:rsidRPr="00436D9D" w:rsidRDefault="00F67E9E" w:rsidP="00F67E9E">
      <w:pPr>
        <w:pStyle w:val="Numbered111a"/>
      </w:pPr>
      <w:r w:rsidRPr="00436D9D">
        <w:t>Net Book Value;</w:t>
      </w:r>
    </w:p>
    <w:p w14:paraId="29467F97" w14:textId="77777777" w:rsidR="00F67E9E" w:rsidRPr="00436D9D" w:rsidRDefault="00F67E9E" w:rsidP="00F67E9E">
      <w:pPr>
        <w:pStyle w:val="Numbered111a"/>
      </w:pPr>
      <w:r w:rsidRPr="00436D9D">
        <w:t>condition and physical location; and</w:t>
      </w:r>
    </w:p>
    <w:p w14:paraId="1099838C" w14:textId="77777777" w:rsidR="00F67E9E" w:rsidRPr="00436D9D" w:rsidRDefault="00F67E9E" w:rsidP="00F67E9E">
      <w:pPr>
        <w:pStyle w:val="Numbered111a"/>
      </w:pPr>
      <w:r w:rsidRPr="00436D9D">
        <w:t>use (including technical specifications); and</w:t>
      </w:r>
    </w:p>
    <w:p w14:paraId="6C585478" w14:textId="77777777" w:rsidR="00F67E9E" w:rsidRPr="00B224EC" w:rsidRDefault="00F67E9E" w:rsidP="00F67E9E">
      <w:pPr>
        <w:pStyle w:val="Numbered111a"/>
      </w:pPr>
      <w:r w:rsidRPr="00436D9D">
        <w:t>Sub-contracts and other relevant agreements (including relevant software licences, maintenance</w:t>
      </w:r>
      <w:r w:rsidRPr="00B224EC">
        <w:t xml:space="preserve"> and support agreements and equipment rental and lease agreements) required for the performance of the Services;</w:t>
      </w:r>
    </w:p>
    <w:p w14:paraId="13AD6BCB" w14:textId="77777777" w:rsidR="00F67E9E" w:rsidRPr="00436D9D" w:rsidRDefault="00F67E9E" w:rsidP="00F67E9E">
      <w:pPr>
        <w:pStyle w:val="Numbered111"/>
      </w:pPr>
      <w:bookmarkStart w:id="1937" w:name="_Ref_ContractCompanion_9kb9Us7GD"/>
      <w:bookmarkStart w:id="1938" w:name="_Ref_ContractCompanion_9kb9Us8CA"/>
      <w:r w:rsidRPr="00B224EC">
        <w:t xml:space="preserve">create and maintain a configuration database detailing the technical infrastructure and operating procedures through which the Supplier provides the Services, which </w:t>
      </w:r>
      <w:r w:rsidRPr="00436D9D">
        <w:t>shall contain sufficient detail to permit the Authority and/or Replacement Supplier to understand how the Supplier provides the Services and to enable the smooth transition of the Services with the minimum of disruption;</w:t>
      </w:r>
      <w:bookmarkEnd w:id="1937"/>
      <w:bookmarkEnd w:id="1938"/>
    </w:p>
    <w:p w14:paraId="7F0D094F" w14:textId="77777777" w:rsidR="00F67E9E" w:rsidRPr="00436D9D" w:rsidRDefault="00F67E9E" w:rsidP="00F67E9E">
      <w:pPr>
        <w:pStyle w:val="Numbered111"/>
      </w:pPr>
      <w:r w:rsidRPr="00436D9D">
        <w:t>agree the format of the Registers with the Authority as part of the process of agreeing the Exit Plan; and</w:t>
      </w:r>
    </w:p>
    <w:p w14:paraId="322B0F3D" w14:textId="77777777" w:rsidR="00F67E9E" w:rsidRPr="00B224EC" w:rsidRDefault="00F67E9E" w:rsidP="00F67E9E">
      <w:pPr>
        <w:pStyle w:val="Numbered111"/>
      </w:pPr>
      <w:r w:rsidRPr="00436D9D">
        <w:t>at all times keep the Registers up to date, in particular in the event that Assets, Sub-contracts</w:t>
      </w:r>
      <w:r w:rsidRPr="00B224EC">
        <w:t xml:space="preserve"> or other relevant agreements are added to or removed from the Services.</w:t>
      </w:r>
    </w:p>
    <w:p w14:paraId="38F47499" w14:textId="77777777" w:rsidR="00F67E9E" w:rsidRPr="00B224EC" w:rsidRDefault="00F67E9E" w:rsidP="00F67E9E">
      <w:pPr>
        <w:pStyle w:val="Numbered11"/>
      </w:pPr>
      <w:r w:rsidRPr="00B224EC">
        <w:t xml:space="preserve">The Supplier shall procure that all Exclusive Assets listed in the Registers are clearly marked to identify that they are exclusively used for the provision of the Services under this Contract. </w:t>
      </w:r>
    </w:p>
    <w:p w14:paraId="1529D878" w14:textId="77777777" w:rsidR="00F67E9E" w:rsidRPr="00B224EC" w:rsidRDefault="00F67E9E" w:rsidP="00F67E9E">
      <w:pPr>
        <w:pStyle w:val="Numbered11"/>
      </w:pPr>
      <w:bookmarkStart w:id="1939" w:name="_Ref_ContractCompanion_9kb9Us8BD"/>
      <w:r w:rsidRPr="00B224EC">
        <w:t>Each Party shall appoint a person for the purposes of managing the Parties</w:t>
      </w:r>
      <w:r>
        <w:t>’</w:t>
      </w:r>
      <w:r w:rsidRPr="00B224EC">
        <w:t xml:space="preserve"> respective obligations under this Schedule and provide written notification of such appointment to the other Party within 3 months of the Effective Date.</w:t>
      </w:r>
      <w:r>
        <w:t xml:space="preserve"> </w:t>
      </w:r>
      <w:r w:rsidRPr="00B224EC">
        <w:t>The Supplier</w:t>
      </w:r>
      <w:r>
        <w:t>’</w:t>
      </w:r>
      <w:r w:rsidRPr="00B224EC">
        <w:t>s Exit Manager shall be responsible for ensuring that the Supplier and its employees, agents and Sub-contractors comply with this Schedule.</w:t>
      </w:r>
      <w:r>
        <w:t xml:space="preserve"> </w:t>
      </w:r>
      <w:r w:rsidRPr="00B224EC">
        <w:t>The Supplier shall ensure that its Exit Manager has the requisite authority to arrange and procure any resources of the Supplier as are reasonably necessary to enable the Supplier to comply with the requirements set out in this Schedule.</w:t>
      </w:r>
      <w:r>
        <w:t xml:space="preserve"> </w:t>
      </w:r>
      <w:r w:rsidRPr="00B224EC">
        <w:t>The Parties</w:t>
      </w:r>
      <w:r>
        <w:t>’</w:t>
      </w:r>
      <w:r w:rsidRPr="00B224EC">
        <w:t xml:space="preserve"> Exit Managers will liaise with one another in relation to all issues relevant to the termination of this Contract and all matters connected with this Schedule and each Party</w:t>
      </w:r>
      <w:r>
        <w:t>’</w:t>
      </w:r>
      <w:r w:rsidRPr="00B224EC">
        <w:t>s compliance with it.</w:t>
      </w:r>
      <w:bookmarkEnd w:id="1939"/>
    </w:p>
    <w:p w14:paraId="016220A1" w14:textId="77777777" w:rsidR="00F67E9E" w:rsidRPr="00B224EC" w:rsidRDefault="00F67E9E" w:rsidP="00F67E9E">
      <w:pPr>
        <w:pStyle w:val="Numbered1"/>
      </w:pPr>
      <w:r w:rsidRPr="00B224EC">
        <w:t xml:space="preserve">Obligations </w:t>
      </w:r>
      <w:r>
        <w:t>t</w:t>
      </w:r>
      <w:r w:rsidRPr="00B224EC">
        <w:t xml:space="preserve">o Assist </w:t>
      </w:r>
      <w:r>
        <w:t>o</w:t>
      </w:r>
      <w:r w:rsidRPr="00B224EC">
        <w:t>n Re-</w:t>
      </w:r>
      <w:r>
        <w:t>t</w:t>
      </w:r>
      <w:r w:rsidRPr="00B224EC">
        <w:t xml:space="preserve">endering </w:t>
      </w:r>
      <w:r>
        <w:t>o</w:t>
      </w:r>
      <w:r w:rsidRPr="00B224EC">
        <w:t>f Services</w:t>
      </w:r>
    </w:p>
    <w:p w14:paraId="2C8A7A56" w14:textId="77777777" w:rsidR="00F67E9E" w:rsidRPr="00B224EC" w:rsidRDefault="00F67E9E" w:rsidP="00F67E9E">
      <w:pPr>
        <w:pStyle w:val="Numbered11"/>
      </w:pPr>
      <w:bookmarkStart w:id="1940" w:name="_Ref_ContractCompanion_9kb9Us7GG"/>
      <w:bookmarkStart w:id="1941" w:name="_Ref_ContractCompanion_9kb9Us8B9"/>
      <w:bookmarkStart w:id="1942" w:name="_9kR3WTrAG9CFFGCYS2uet84rgswzAHCwts894TW"/>
      <w:bookmarkStart w:id="1943" w:name="_9kR3WTrAHACFGHCYS2uet84rgswzAHCwts894TW"/>
      <w:r w:rsidRPr="00B224EC">
        <w:t>On reasonable notice at any point during the Term, the Supplier shall provide to the Authority and/or its potential Replacement Suppliers (subject to the potential Replacement Suppliers entering into reasonable written confidentiality undertakings), the following material and information in order to facilitate the preparation by the Authority of any invitation to tender and/or to facilitate any potential Replacement Suppliers undertaking due diligence:</w:t>
      </w:r>
      <w:bookmarkEnd w:id="1940"/>
      <w:bookmarkEnd w:id="1941"/>
      <w:bookmarkEnd w:id="1942"/>
      <w:bookmarkEnd w:id="1943"/>
    </w:p>
    <w:p w14:paraId="5783F169" w14:textId="77777777" w:rsidR="00F67E9E" w:rsidRPr="00B224EC" w:rsidRDefault="00F67E9E" w:rsidP="00F67E9E">
      <w:pPr>
        <w:pStyle w:val="Numbered111"/>
      </w:pPr>
      <w:r w:rsidRPr="00B224EC">
        <w:t>details of the Service(s);</w:t>
      </w:r>
    </w:p>
    <w:p w14:paraId="7BD12903" w14:textId="77777777" w:rsidR="00F67E9E" w:rsidRPr="00B224EC" w:rsidRDefault="00F67E9E" w:rsidP="00F67E9E">
      <w:pPr>
        <w:pStyle w:val="Numbered111"/>
      </w:pPr>
      <w:r w:rsidRPr="00B224EC">
        <w:t xml:space="preserve">a copy of the Registers, updated by the Supplier up to the date of delivery of such Registers; </w:t>
      </w:r>
    </w:p>
    <w:p w14:paraId="221F54C6" w14:textId="77777777" w:rsidR="00F67E9E" w:rsidRPr="00B224EC" w:rsidRDefault="00F67E9E" w:rsidP="00F67E9E">
      <w:pPr>
        <w:pStyle w:val="Numbered111"/>
      </w:pPr>
      <w:r w:rsidRPr="00B224EC">
        <w:t>an inventory of Authority Data in the Supplier</w:t>
      </w:r>
      <w:r>
        <w:t>’</w:t>
      </w:r>
      <w:r w:rsidRPr="00B224EC">
        <w:t>s possession or control;</w:t>
      </w:r>
    </w:p>
    <w:p w14:paraId="2703ED00" w14:textId="77777777" w:rsidR="00F67E9E" w:rsidRPr="00B224EC" w:rsidRDefault="00F67E9E" w:rsidP="00F67E9E">
      <w:pPr>
        <w:pStyle w:val="Numbered111"/>
      </w:pPr>
      <w:r w:rsidRPr="00B224EC">
        <w:t>details of any key terms of any third party contracts and licences, particularly as regards charges, termination, assignment and novation;</w:t>
      </w:r>
    </w:p>
    <w:p w14:paraId="5CA7CDE6" w14:textId="77777777" w:rsidR="00F67E9E" w:rsidRPr="00B224EC" w:rsidRDefault="00F67E9E" w:rsidP="00F67E9E">
      <w:pPr>
        <w:pStyle w:val="Numbered111"/>
      </w:pPr>
      <w:r w:rsidRPr="00B224EC">
        <w:t>a list of on-going and/or threatened disputes in relation to the provision of the Services;</w:t>
      </w:r>
    </w:p>
    <w:p w14:paraId="2C92D389" w14:textId="77777777" w:rsidR="00F67E9E" w:rsidRPr="00B224EC" w:rsidRDefault="00F67E9E" w:rsidP="00F67E9E">
      <w:pPr>
        <w:pStyle w:val="Numbered111"/>
      </w:pPr>
      <w:r w:rsidRPr="00B224EC">
        <w:t>to the extent permitted by applicable Law, all information relating to Transferring Supplier Employees required to be provided by the Supplier under this Contract; and</w:t>
      </w:r>
    </w:p>
    <w:p w14:paraId="17CA0697" w14:textId="77777777" w:rsidR="00F67E9E" w:rsidRPr="00B224EC" w:rsidRDefault="00F67E9E" w:rsidP="00F67E9E">
      <w:pPr>
        <w:pStyle w:val="Numbered111"/>
      </w:pPr>
      <w:r w:rsidRPr="00B224EC">
        <w:t>such other material and information as the Authority shall reasonably require,</w:t>
      </w:r>
    </w:p>
    <w:p w14:paraId="3C6B7DD6" w14:textId="77777777" w:rsidR="00F67E9E" w:rsidRPr="00B224EC" w:rsidRDefault="00F67E9E" w:rsidP="00F67E9E">
      <w:pPr>
        <w:pStyle w:val="StdBodyText2"/>
        <w:rPr>
          <w:rFonts w:cs="Arial"/>
        </w:rPr>
      </w:pPr>
      <w:r w:rsidRPr="00B224EC">
        <w:rPr>
          <w:rFonts w:cs="Arial"/>
        </w:rPr>
        <w:t xml:space="preserve">(together, the </w:t>
      </w:r>
      <w:r>
        <w:rPr>
          <w:rFonts w:cs="Arial"/>
        </w:rPr>
        <w:t>“</w:t>
      </w:r>
      <w:r w:rsidRPr="00B224EC">
        <w:rPr>
          <w:rStyle w:val="StdBodyTextBoldChar"/>
          <w:rFonts w:cs="Arial"/>
        </w:rPr>
        <w:t>Exit Information</w:t>
      </w:r>
      <w:r>
        <w:rPr>
          <w:rFonts w:cs="Arial"/>
        </w:rPr>
        <w:t>”</w:t>
      </w:r>
      <w:r w:rsidRPr="00B224EC">
        <w:rPr>
          <w:rFonts w:cs="Arial"/>
        </w:rPr>
        <w:t>).</w:t>
      </w:r>
    </w:p>
    <w:p w14:paraId="02C75050" w14:textId="1EBDCD06" w:rsidR="00F67E9E" w:rsidRPr="00B224EC" w:rsidRDefault="00F67E9E" w:rsidP="00F67E9E">
      <w:pPr>
        <w:pStyle w:val="Numbered11"/>
      </w:pPr>
      <w:bookmarkStart w:id="1944" w:name="_9kR3WTrAG9CGJJDeRjVgA63xr1ykv7CMK3wz1EU"/>
      <w:bookmarkStart w:id="1945" w:name="_Ref_ContractCompanion_9kb9Us8CD"/>
      <w:r w:rsidRPr="00B224EC">
        <w:t>The Supplier acknowledges that the Authority may disclose the Supplier</w:t>
      </w:r>
      <w:r>
        <w:t>’</w:t>
      </w:r>
      <w:r w:rsidRPr="00B224EC">
        <w:t>s Confidential Information to an actual or prospective Replacement Supplier or any third party whom the Authority is considering engaging to the extent that such disclosure is necessary in connection with such engagement (except that the Authority may not under this</w:t>
      </w:r>
      <w:bookmarkEnd w:id="1944"/>
      <w:r w:rsidRPr="00B224EC">
        <w:t xml:space="preserve"> </w:t>
      </w:r>
      <w:bookmarkStart w:id="1946" w:name="_9kMHG5YVtCIBEILLFgTlXiC85zt30mx9EOM5y13"/>
      <w:r w:rsidRPr="00B224EC">
        <w:t xml:space="preserve">Paragraph </w:t>
      </w:r>
      <w:r w:rsidRPr="00B224EC">
        <w:fldChar w:fldCharType="begin"/>
      </w:r>
      <w:r w:rsidRPr="00B224EC">
        <w:instrText xml:space="preserve"> REF _Ref_ContractCompanion_9kb9Us8CD \n \h \t \* MERGEFORMAT </w:instrText>
      </w:r>
      <w:r w:rsidRPr="00B224EC">
        <w:fldChar w:fldCharType="separate"/>
      </w:r>
      <w:r w:rsidR="00302D39">
        <w:t>3.2</w:t>
      </w:r>
      <w:r w:rsidRPr="00B224EC">
        <w:fldChar w:fldCharType="end"/>
      </w:r>
      <w:bookmarkEnd w:id="1946"/>
      <w:r w:rsidRPr="00B224EC">
        <w:t xml:space="preserve"> disclose any Supplier</w:t>
      </w:r>
      <w:r>
        <w:t>’</w:t>
      </w:r>
      <w:r w:rsidRPr="00B224EC">
        <w:t>s Confidential Information which is information relating to the Supplier</w:t>
      </w:r>
      <w:r>
        <w:t>’</w:t>
      </w:r>
      <w:r w:rsidRPr="00B224EC">
        <w:t>s or its Sub-contractors</w:t>
      </w:r>
      <w:r>
        <w:t>’</w:t>
      </w:r>
      <w:r w:rsidRPr="00B224EC">
        <w:t xml:space="preserve"> prices or costs).</w:t>
      </w:r>
      <w:bookmarkEnd w:id="1945"/>
    </w:p>
    <w:p w14:paraId="3360D12C" w14:textId="77777777" w:rsidR="00F67E9E" w:rsidRPr="00B224EC" w:rsidRDefault="00F67E9E" w:rsidP="00F67E9E">
      <w:pPr>
        <w:pStyle w:val="Numbered11"/>
      </w:pPr>
      <w:r w:rsidRPr="00B224EC">
        <w:t>The Supplier shall:</w:t>
      </w:r>
    </w:p>
    <w:p w14:paraId="24456319" w14:textId="77777777" w:rsidR="00F67E9E" w:rsidRPr="00436D9D" w:rsidRDefault="00F67E9E" w:rsidP="00F67E9E">
      <w:pPr>
        <w:pStyle w:val="Numbered111"/>
      </w:pPr>
      <w:r w:rsidRPr="00B224EC">
        <w:t xml:space="preserve">notify the Authority within 5 Working Days of any material change to the Exit Information which may adversely impact upon the potential transfer and/or continuance of any Services and shall consult with the Authority regarding such proposed </w:t>
      </w:r>
      <w:r w:rsidRPr="00436D9D">
        <w:t>material changes; and</w:t>
      </w:r>
    </w:p>
    <w:p w14:paraId="14F785F5" w14:textId="77777777" w:rsidR="00F67E9E" w:rsidRPr="00B224EC" w:rsidRDefault="00F67E9E" w:rsidP="00F67E9E">
      <w:pPr>
        <w:pStyle w:val="Numbered111"/>
      </w:pPr>
      <w:r w:rsidRPr="00436D9D">
        <w:t>provide complete updates of the Exit Information on an as-requested basis as soon as reasonably practicable and in any event within 10 Working Days of a request in writing fr</w:t>
      </w:r>
      <w:r w:rsidRPr="00B224EC">
        <w:t>om the Authority.</w:t>
      </w:r>
    </w:p>
    <w:p w14:paraId="76DAD39B" w14:textId="77777777" w:rsidR="00F67E9E" w:rsidRPr="00B224EC" w:rsidRDefault="00F67E9E" w:rsidP="00F67E9E">
      <w:pPr>
        <w:pStyle w:val="Numbered11"/>
      </w:pPr>
      <w:r w:rsidRPr="00B224EC">
        <w:t>The Supplier may charge the Authority for its reasonable additional costs to the extent the Authority requests more than 4 updates in any 6 month period.</w:t>
      </w:r>
    </w:p>
    <w:p w14:paraId="43F4C5B6" w14:textId="77777777" w:rsidR="00F67E9E" w:rsidRPr="00B224EC" w:rsidRDefault="00F67E9E" w:rsidP="00F67E9E">
      <w:pPr>
        <w:pStyle w:val="Numbered11"/>
      </w:pPr>
      <w:r w:rsidRPr="00B224EC">
        <w:t>The Exit Information shall be accurate and complete in all material respects and the level of detail to be provided by the Supplier shall be such as would be reasonably necessary to enable a third party to:</w:t>
      </w:r>
    </w:p>
    <w:p w14:paraId="2051C03E" w14:textId="77777777" w:rsidR="00F67E9E" w:rsidRPr="00B224EC" w:rsidRDefault="00F67E9E" w:rsidP="00F67E9E">
      <w:pPr>
        <w:pStyle w:val="Numbered111"/>
      </w:pPr>
      <w:r w:rsidRPr="00B224EC">
        <w:t>prepare an informed offer for those Services; and</w:t>
      </w:r>
    </w:p>
    <w:p w14:paraId="7B48DE4A" w14:textId="77777777" w:rsidR="00F67E9E" w:rsidRPr="00B224EC" w:rsidRDefault="00F67E9E" w:rsidP="00F67E9E">
      <w:pPr>
        <w:pStyle w:val="Numbered111"/>
      </w:pPr>
      <w:r w:rsidRPr="00B224EC">
        <w:t>not be disadvantaged in any subsequent procurement process compared to the Supplier (if the Supplier is invited to participate).</w:t>
      </w:r>
    </w:p>
    <w:p w14:paraId="3584BFEF" w14:textId="77777777" w:rsidR="00F67E9E" w:rsidRPr="00B224EC" w:rsidRDefault="00F67E9E" w:rsidP="00F67E9E">
      <w:pPr>
        <w:pStyle w:val="Numbered1"/>
      </w:pPr>
      <w:bookmarkStart w:id="1947" w:name="_Ref44508664"/>
      <w:r w:rsidRPr="00B224EC">
        <w:t xml:space="preserve">Obligation </w:t>
      </w:r>
      <w:r>
        <w:t>t</w:t>
      </w:r>
      <w:r w:rsidRPr="00B224EC">
        <w:t xml:space="preserve">o </w:t>
      </w:r>
      <w:r>
        <w:t>e</w:t>
      </w:r>
      <w:r w:rsidRPr="00B224EC">
        <w:t xml:space="preserve">nter </w:t>
      </w:r>
      <w:r>
        <w:t>i</w:t>
      </w:r>
      <w:r w:rsidRPr="00B224EC">
        <w:t xml:space="preserve">nto </w:t>
      </w:r>
      <w:r>
        <w:t>a</w:t>
      </w:r>
      <w:r w:rsidRPr="00B224EC">
        <w:t xml:space="preserve">n Ethical Wall Agreement </w:t>
      </w:r>
      <w:r>
        <w:t>o</w:t>
      </w:r>
      <w:r w:rsidRPr="00B224EC">
        <w:t>n Re-</w:t>
      </w:r>
      <w:r>
        <w:t>t</w:t>
      </w:r>
      <w:r w:rsidRPr="00B224EC">
        <w:t xml:space="preserve">endering </w:t>
      </w:r>
      <w:r>
        <w:t>o</w:t>
      </w:r>
      <w:r w:rsidRPr="00B224EC">
        <w:t>f Services</w:t>
      </w:r>
      <w:bookmarkEnd w:id="1947"/>
    </w:p>
    <w:p w14:paraId="40C401D3" w14:textId="77777777" w:rsidR="00F67E9E" w:rsidRPr="00B224EC" w:rsidRDefault="00F67E9E" w:rsidP="00F67E9E">
      <w:pPr>
        <w:pStyle w:val="Numbered11"/>
      </w:pPr>
      <w:bookmarkStart w:id="1948" w:name="_Ref_ContractCompanion_9kb9Us6EH"/>
      <w:r w:rsidRPr="00B224EC">
        <w:t>The Authority may require the Supplier to enter into the Ethical Wall Agreement at any point during a re-tendering or contemplated re-tendering of the Services or any part of the Services.</w:t>
      </w:r>
      <w:bookmarkEnd w:id="1948"/>
    </w:p>
    <w:p w14:paraId="3A86D8DD" w14:textId="77777777" w:rsidR="00F67E9E" w:rsidRPr="00B224EC" w:rsidRDefault="00F67E9E" w:rsidP="00F67E9E">
      <w:pPr>
        <w:pStyle w:val="Numbered11"/>
      </w:pPr>
      <w:r w:rsidRPr="00B224EC">
        <w:t>If required to enter into the Ethical Wall Agreement, the Supplier will return a signed copy of the Ethical Wall Agreement within 10 Working Days of receipt.</w:t>
      </w:r>
      <w:r>
        <w:t xml:space="preserve"> </w:t>
      </w:r>
      <w:r w:rsidRPr="00B224EC">
        <w:t>The Supplier</w:t>
      </w:r>
      <w:r>
        <w:t>’</w:t>
      </w:r>
      <w:r w:rsidRPr="00B224EC">
        <w:t>s costs of entering into the Ethical Wall Agreement will be borne solely by the Supplier.</w:t>
      </w:r>
    </w:p>
    <w:p w14:paraId="623A6EA0" w14:textId="77777777" w:rsidR="00F67E9E" w:rsidRPr="00B224EC" w:rsidRDefault="00F67E9E" w:rsidP="00F67E9E">
      <w:pPr>
        <w:pStyle w:val="Numbered1"/>
      </w:pPr>
      <w:bookmarkStart w:id="1949" w:name="_Ref44572429"/>
      <w:r w:rsidRPr="00B224EC">
        <w:t>Exit Plan</w:t>
      </w:r>
      <w:bookmarkEnd w:id="1949"/>
    </w:p>
    <w:p w14:paraId="76B2CFE1" w14:textId="77777777" w:rsidR="00F67E9E" w:rsidRPr="00B224EC" w:rsidRDefault="00F67E9E" w:rsidP="00F67E9E">
      <w:pPr>
        <w:pStyle w:val="Numbered11"/>
      </w:pPr>
      <w:bookmarkStart w:id="1950" w:name="_Ref99012462"/>
      <w:r w:rsidRPr="00B224EC">
        <w:t>The Supplier shall, within 3 months after the Effective Date, deliver to the Authority an Exit Plan which:</w:t>
      </w:r>
      <w:bookmarkEnd w:id="1950"/>
    </w:p>
    <w:p w14:paraId="44DDF030" w14:textId="77777777" w:rsidR="00F67E9E" w:rsidRPr="00B224EC" w:rsidRDefault="00F67E9E" w:rsidP="00F67E9E">
      <w:pPr>
        <w:pStyle w:val="Numbered111"/>
      </w:pPr>
      <w:r w:rsidRPr="00B224EC">
        <w:t>sets out the Supplier</w:t>
      </w:r>
      <w:r>
        <w:t>’</w:t>
      </w:r>
      <w:r w:rsidRPr="00B224EC">
        <w:t>s proposed methodology for achieving an orderly transition of the relevant Services from the Supplier to the Authority and/or its Replacement Supplier on the Partial Termination, expiry or termination of this Contract;</w:t>
      </w:r>
    </w:p>
    <w:p w14:paraId="1154283F" w14:textId="2C9B4CA4" w:rsidR="00F67E9E" w:rsidRPr="00B224EC" w:rsidRDefault="00F67E9E" w:rsidP="00F67E9E">
      <w:pPr>
        <w:pStyle w:val="Numbered111"/>
      </w:pPr>
      <w:r w:rsidRPr="00B224EC">
        <w:t xml:space="preserve">complies with the requirements set out in </w:t>
      </w:r>
      <w:bookmarkStart w:id="1951" w:name="_9kMHG5YVtCIBEJFGHgTlULuE6s3I8rw8IQBBCwB"/>
      <w:r w:rsidRPr="00B224EC">
        <w:t xml:space="preserve">Paragraph </w:t>
      </w:r>
      <w:r w:rsidRPr="00B224EC">
        <w:fldChar w:fldCharType="begin"/>
      </w:r>
      <w:r w:rsidRPr="00B224EC">
        <w:instrText xml:space="preserve"> REF _Ref_ContractCompanion_9kb9Us8D7 \n \h \t \* MERGEFORMAT </w:instrText>
      </w:r>
      <w:r w:rsidRPr="00B224EC">
        <w:fldChar w:fldCharType="separate"/>
      </w:r>
      <w:r w:rsidR="00302D39">
        <w:t>5.2</w:t>
      </w:r>
      <w:r w:rsidRPr="00B224EC">
        <w:fldChar w:fldCharType="end"/>
      </w:r>
      <w:bookmarkEnd w:id="1951"/>
      <w:r w:rsidRPr="00B224EC">
        <w:t>; and</w:t>
      </w:r>
    </w:p>
    <w:p w14:paraId="6498C550" w14:textId="77777777" w:rsidR="00F67E9E" w:rsidRPr="00B224EC" w:rsidRDefault="00F67E9E" w:rsidP="00F67E9E">
      <w:pPr>
        <w:pStyle w:val="Numbered111"/>
      </w:pPr>
      <w:r w:rsidRPr="00B224EC">
        <w:t>is otherwise reasonably satisfactory to the Authority.</w:t>
      </w:r>
    </w:p>
    <w:p w14:paraId="53D67264" w14:textId="77777777" w:rsidR="00F67E9E" w:rsidRPr="00B224EC" w:rsidRDefault="00F67E9E" w:rsidP="00F67E9E">
      <w:pPr>
        <w:pStyle w:val="Numbered11"/>
      </w:pPr>
      <w:bookmarkStart w:id="1952" w:name="_9kR3WTrAG9CHDEFeRjSJsC4q1G6pu6GO99Au9OK"/>
      <w:bookmarkStart w:id="1953" w:name="_Ref_ContractCompanion_9kb9Us8D7"/>
      <w:r w:rsidRPr="00B224EC">
        <w:t>The Parties shall use reasonable endeavours to agree the contents of the Exit Plan.</w:t>
      </w:r>
      <w:bookmarkEnd w:id="1952"/>
      <w:r>
        <w:t xml:space="preserve"> </w:t>
      </w:r>
      <w:r w:rsidRPr="00B224EC">
        <w:t>If the Parties are unable to agree the contents of the Exit Plan within 20 Working Days of its submission, then such Dispute shall be resolved in accordance with the Dispute Resolution Procedure.</w:t>
      </w:r>
      <w:bookmarkEnd w:id="1953"/>
    </w:p>
    <w:p w14:paraId="64EF487B" w14:textId="77777777" w:rsidR="00F67E9E" w:rsidRPr="00B224EC" w:rsidRDefault="00F67E9E" w:rsidP="00F67E9E">
      <w:pPr>
        <w:pStyle w:val="Numbered11"/>
      </w:pPr>
      <w:bookmarkStart w:id="1954" w:name="_Ref44673694"/>
      <w:r w:rsidRPr="00B224EC">
        <w:t>The Exit Plan shall set out, as a minimum:</w:t>
      </w:r>
      <w:bookmarkEnd w:id="1954"/>
    </w:p>
    <w:p w14:paraId="4ABC94F0" w14:textId="77777777" w:rsidR="00F67E9E" w:rsidRPr="00B224EC" w:rsidRDefault="00F67E9E" w:rsidP="00F67E9E">
      <w:pPr>
        <w:pStyle w:val="Numbered111"/>
      </w:pPr>
      <w:r w:rsidRPr="00B224EC">
        <w:t>how the Exit Information is obtained;</w:t>
      </w:r>
    </w:p>
    <w:p w14:paraId="3FAA9780" w14:textId="77777777" w:rsidR="00F67E9E" w:rsidRPr="00B224EC" w:rsidRDefault="00F67E9E" w:rsidP="00F67E9E">
      <w:pPr>
        <w:pStyle w:val="Numbered111"/>
      </w:pPr>
      <w:r w:rsidRPr="00B224EC">
        <w:t>separate mechanisms for dealing with Ordinary Exit and Emergency Exit, the provisions relating to Emergency Exit being prepared on the assumption that the Supplier may be unable to provide the full level of assistance which is required by the provisions relating to Ordinary Exit, and in the case of Emergency Exit, provision for the supply by the Supplier of all such reasonable assistance as the Authority shall require to enable the Authority or its sub-contractors to provide the Services;</w:t>
      </w:r>
    </w:p>
    <w:p w14:paraId="0E82DAF3" w14:textId="77777777" w:rsidR="00F67E9E" w:rsidRPr="00B224EC" w:rsidRDefault="00F67E9E" w:rsidP="00F67E9E">
      <w:pPr>
        <w:pStyle w:val="Numbered111"/>
      </w:pPr>
      <w:r w:rsidRPr="00B224EC">
        <w:t>a mechanism for dealing with Partial Termination on the assumption that the Supplier will continue to provide the remaining Services under this Contract;</w:t>
      </w:r>
    </w:p>
    <w:p w14:paraId="4D1660C3" w14:textId="77777777" w:rsidR="00F67E9E" w:rsidRPr="00B224EC" w:rsidRDefault="00F67E9E" w:rsidP="00F67E9E">
      <w:pPr>
        <w:pStyle w:val="Numbered111"/>
      </w:pPr>
      <w:r w:rsidRPr="00B224EC">
        <w:t xml:space="preserve">the management structure to be employed during both transfer and cessation of the Services in an Ordinary Exit and an Emergency Exit; </w:t>
      </w:r>
    </w:p>
    <w:p w14:paraId="6E8AF36D" w14:textId="77777777" w:rsidR="00F67E9E" w:rsidRPr="00B224EC" w:rsidRDefault="00F67E9E" w:rsidP="00F67E9E">
      <w:pPr>
        <w:pStyle w:val="Numbered111"/>
      </w:pPr>
      <w:r w:rsidRPr="00B224EC">
        <w:t>the management structure to be employed during the Termination Assistance Period;</w:t>
      </w:r>
    </w:p>
    <w:p w14:paraId="63A98D96" w14:textId="77777777" w:rsidR="00F67E9E" w:rsidRPr="00B224EC" w:rsidRDefault="00F67E9E" w:rsidP="00F67E9E">
      <w:pPr>
        <w:pStyle w:val="Numbered111"/>
      </w:pPr>
      <w:r w:rsidRPr="00B224EC">
        <w:t xml:space="preserve">a detailed description of both the transfer and cessation processes, including a timetable, applicable in the case of an Ordinary Exit and an Emergency Exit; </w:t>
      </w:r>
    </w:p>
    <w:p w14:paraId="7AA9B065" w14:textId="77777777" w:rsidR="00F67E9E" w:rsidRPr="00B224EC" w:rsidRDefault="00F67E9E" w:rsidP="00F67E9E">
      <w:pPr>
        <w:pStyle w:val="Numbered111"/>
      </w:pPr>
      <w:r w:rsidRPr="00B224EC">
        <w:t>how the Services will transfer to the Replacement Supplier and/or the Authority, including details of the processes, documentation, data transfer, systems migration, security and the segregation of the Authority</w:t>
      </w:r>
      <w:r>
        <w:t>’</w:t>
      </w:r>
      <w:r w:rsidRPr="00B224EC">
        <w:t>s technology components from any technology components operated by the Supplier or its Sub-contractors (where applicable);</w:t>
      </w:r>
    </w:p>
    <w:p w14:paraId="5AE10B06" w14:textId="180EA170" w:rsidR="00F67E9E" w:rsidRPr="00B224EC" w:rsidRDefault="00F67E9E" w:rsidP="00F67E9E">
      <w:pPr>
        <w:pStyle w:val="Numbered111"/>
      </w:pPr>
      <w:r w:rsidRPr="00B224EC">
        <w:t xml:space="preserve">the scope of the Termination Services that may be required for the benefit of the Authority (including such of the services set out in Annex </w:t>
      </w:r>
      <w:r w:rsidRPr="00B224EC">
        <w:fldChar w:fldCharType="begin"/>
      </w:r>
      <w:r w:rsidRPr="00B224EC">
        <w:instrText xml:space="preserve"> REF ANNEX1_SCHEDULE25 \h </w:instrText>
      </w:r>
      <w:r>
        <w:instrText xml:space="preserve"> \* MERGEFORMAT </w:instrText>
      </w:r>
      <w:r w:rsidRPr="00B224EC">
        <w:fldChar w:fldCharType="separate"/>
      </w:r>
      <w:r w:rsidR="00302D39" w:rsidRPr="00B224EC">
        <w:t>1</w:t>
      </w:r>
      <w:r w:rsidRPr="00B224EC">
        <w:fldChar w:fldCharType="end"/>
      </w:r>
      <w:r>
        <w:t xml:space="preserve"> </w:t>
      </w:r>
      <w:r w:rsidRPr="00B224EC">
        <w:t>as are applicable);</w:t>
      </w:r>
    </w:p>
    <w:p w14:paraId="0670DA99" w14:textId="77777777" w:rsidR="00F67E9E" w:rsidRPr="00B224EC" w:rsidRDefault="00F67E9E" w:rsidP="00F67E9E">
      <w:pPr>
        <w:pStyle w:val="Numbered111"/>
      </w:pPr>
      <w:r w:rsidRPr="00B224EC">
        <w:t xml:space="preserve">a timetable and critical issues for providing the Termination Services; </w:t>
      </w:r>
    </w:p>
    <w:p w14:paraId="327EC4E6" w14:textId="77777777" w:rsidR="00F67E9E" w:rsidRPr="00B224EC" w:rsidRDefault="00F67E9E" w:rsidP="00F67E9E">
      <w:pPr>
        <w:pStyle w:val="Numbered111"/>
      </w:pPr>
      <w:r w:rsidRPr="00B224EC">
        <w:t>any charges that would be payable for the provision of the Termination Services (calculated in accordance with the methodology that would apply if such Services were being treated as a Contract Change), together with a capped estimate of such charges;</w:t>
      </w:r>
    </w:p>
    <w:p w14:paraId="44547090" w14:textId="77777777" w:rsidR="00F67E9E" w:rsidRPr="00B224EC" w:rsidRDefault="00F67E9E" w:rsidP="00F67E9E">
      <w:pPr>
        <w:pStyle w:val="Numbered111"/>
      </w:pPr>
      <w:r w:rsidRPr="00B224EC">
        <w:t>how the Termination Services would be provided (if required) during the Termination Assistance Period;</w:t>
      </w:r>
    </w:p>
    <w:p w14:paraId="766F2950" w14:textId="234558C9" w:rsidR="00F67E9E" w:rsidRPr="00B224EC" w:rsidRDefault="00F67E9E" w:rsidP="00F67E9E">
      <w:pPr>
        <w:pStyle w:val="Numbered111"/>
      </w:pPr>
      <w:r w:rsidRPr="00B224EC">
        <w:t xml:space="preserve">procedures to deal with requests made by the Authority and/or a Replacement Supplier for Staffing Information pursuant to </w:t>
      </w:r>
      <w:r>
        <w:fldChar w:fldCharType="begin"/>
      </w:r>
      <w:r>
        <w:instrText xml:space="preserve"> REF Schedule28 \h </w:instrText>
      </w:r>
      <w:r>
        <w:fldChar w:fldCharType="separate"/>
      </w:r>
      <w:r w:rsidR="00302D39" w:rsidRPr="005D0525">
        <w:t>Schedule</w:t>
      </w:r>
      <w:r w:rsidR="00302D39">
        <w:t> </w:t>
      </w:r>
      <w:r w:rsidR="00302D39" w:rsidRPr="005D0525">
        <w:t>28</w:t>
      </w:r>
      <w:r>
        <w:fldChar w:fldCharType="end"/>
      </w:r>
      <w:r>
        <w:t xml:space="preserve"> (</w:t>
      </w:r>
      <w:r w:rsidRPr="006F064F">
        <w:rPr>
          <w:i/>
          <w:iCs/>
        </w:rPr>
        <w:fldChar w:fldCharType="begin"/>
      </w:r>
      <w:r w:rsidRPr="006F064F">
        <w:rPr>
          <w:i/>
          <w:iCs/>
        </w:rPr>
        <w:instrText xml:space="preserve"> REF Schedule28Heading \h </w:instrText>
      </w:r>
      <w:r>
        <w:rPr>
          <w:i/>
          <w:iCs/>
        </w:rPr>
        <w:instrText xml:space="preserve"> \* MERGEFORMAT </w:instrText>
      </w:r>
      <w:r w:rsidRPr="006F064F">
        <w:rPr>
          <w:i/>
          <w:iCs/>
        </w:rPr>
      </w:r>
      <w:r w:rsidRPr="006F064F">
        <w:rPr>
          <w:i/>
          <w:iCs/>
        </w:rPr>
        <w:fldChar w:fldCharType="separate"/>
      </w:r>
      <w:r w:rsidR="00302D39" w:rsidRPr="00302D39">
        <w:rPr>
          <w:i/>
          <w:iCs/>
        </w:rPr>
        <w:t>Staff Transfer</w:t>
      </w:r>
      <w:r w:rsidRPr="006F064F">
        <w:rPr>
          <w:i/>
          <w:iCs/>
        </w:rPr>
        <w:fldChar w:fldCharType="end"/>
      </w:r>
      <w:r>
        <w:t>)</w:t>
      </w:r>
      <w:r w:rsidRPr="00B224EC">
        <w:t>; and</w:t>
      </w:r>
    </w:p>
    <w:p w14:paraId="2190DC93" w14:textId="77777777" w:rsidR="00F67E9E" w:rsidRPr="00B224EC" w:rsidRDefault="00F67E9E" w:rsidP="00F67E9E">
      <w:pPr>
        <w:pStyle w:val="Numbered111"/>
      </w:pPr>
      <w:r w:rsidRPr="00B224EC">
        <w:t xml:space="preserve">how each of the issues set out in this Schedule will be addressed to facilitate the transition of the Services from the Supplier to the Replacement Supplier and/or the Authority with the aim of ensuring that there is no disruption to or degradation of the Services during the Termination Assistance Period. </w:t>
      </w:r>
    </w:p>
    <w:p w14:paraId="4D6AA647" w14:textId="77777777" w:rsidR="00F67E9E" w:rsidRPr="00B224EC" w:rsidRDefault="00F67E9E" w:rsidP="00F67E9E">
      <w:pPr>
        <w:pStyle w:val="Numbered11"/>
      </w:pPr>
      <w:r w:rsidRPr="00B224EC">
        <w:t>The Parties acknowledge that the migration of the Services from the Supplier to the Authority and/or its Replacement Supplier may be phased, such that certain of the Services are handed over before others.</w:t>
      </w:r>
    </w:p>
    <w:p w14:paraId="0F79D873" w14:textId="77777777" w:rsidR="00F67E9E" w:rsidRPr="00B224EC" w:rsidRDefault="00F67E9E" w:rsidP="00F67E9E">
      <w:pPr>
        <w:pStyle w:val="Numbered11"/>
      </w:pPr>
      <w:r w:rsidRPr="00B224EC">
        <w:t>The Supplier shall review and (if appropriate) update the Exit Plan on a basis consistent with the principles set out in this Schedule in the first month of each Contract Year (commencing with the second Contract Year) and if requested by the Authority following the occurrence of a Financial Distress Event, within 14 days of such request, to reflect any changes in the Services that have occurred since the Exit Plan was last agreed.</w:t>
      </w:r>
      <w:r>
        <w:t xml:space="preserve"> </w:t>
      </w:r>
      <w:r w:rsidRPr="00B224EC">
        <w:t>Following such update, the Supplier shall submit the revised Exit Plan to the Authority for review.</w:t>
      </w:r>
      <w:r>
        <w:t xml:space="preserve"> </w:t>
      </w:r>
      <w:r w:rsidRPr="00B224EC">
        <w:t>Within 20 Working Days following submission of the revised Exit Plan, the Parties shall meet and use reasonable endeavours to agree the contents of the revised Exit Plan.</w:t>
      </w:r>
      <w:r>
        <w:t xml:space="preserve"> </w:t>
      </w:r>
      <w:r w:rsidRPr="00B224EC">
        <w:t>If the Parties are unable to agree the contents of the revised Exit Plan within that 20 Working Day period, such dispute shall be resolved in accordance with the Dispute Resolution Procedure.</w:t>
      </w:r>
    </w:p>
    <w:p w14:paraId="50716168" w14:textId="77777777" w:rsidR="00F67E9E" w:rsidRPr="00B224EC" w:rsidRDefault="00F67E9E" w:rsidP="00F67E9E">
      <w:pPr>
        <w:pStyle w:val="StdBodyText1"/>
        <w:ind w:left="360"/>
        <w:rPr>
          <w:rFonts w:cs="Arial"/>
        </w:rPr>
      </w:pPr>
      <w:r w:rsidRPr="00B224EC">
        <w:rPr>
          <w:rStyle w:val="StdBodyTextBoldChar"/>
          <w:rFonts w:cs="Arial"/>
        </w:rPr>
        <w:t>Finalisation of the Exit</w:t>
      </w:r>
      <w:r w:rsidRPr="00B224EC">
        <w:rPr>
          <w:rFonts w:cs="Arial"/>
        </w:rPr>
        <w:t xml:space="preserve"> </w:t>
      </w:r>
      <w:r w:rsidRPr="00B224EC">
        <w:rPr>
          <w:rStyle w:val="StdBodyTextBoldChar"/>
          <w:rFonts w:cs="Arial"/>
        </w:rPr>
        <w:t>Plan</w:t>
      </w:r>
    </w:p>
    <w:p w14:paraId="28B2C460" w14:textId="77777777" w:rsidR="00F67E9E" w:rsidRPr="00B224EC" w:rsidRDefault="00F67E9E" w:rsidP="00F67E9E">
      <w:pPr>
        <w:pStyle w:val="Numbered11"/>
      </w:pPr>
      <w:r w:rsidRPr="00B224EC">
        <w:t xml:space="preserve">Within 20 Working Days after service of a </w:t>
      </w:r>
      <w:bookmarkStart w:id="1955" w:name="_9kMPO5YVt4CE9ELjOt2uwpw517hdGBvs"/>
      <w:r w:rsidRPr="00B224EC">
        <w:t>Termination Notice</w:t>
      </w:r>
      <w:bookmarkEnd w:id="1955"/>
      <w:r w:rsidRPr="00B224EC">
        <w:t xml:space="preserve"> by either Party or 6 months prior to the expiry of this Contract, the Supplier will submit for the Authority</w:t>
      </w:r>
      <w:r>
        <w:t>’</w:t>
      </w:r>
      <w:r w:rsidRPr="00B224EC">
        <w:t>s approval the Exit Plan in a final form that could be implemented immediately.</w:t>
      </w:r>
      <w:r>
        <w:t xml:space="preserve"> </w:t>
      </w:r>
      <w:r w:rsidRPr="00B224EC">
        <w:t>The final form of the Exit Plan shall be prepared on a basis consistent with the principles set out in this Schedule and shall reflect any changes in the Services that have occurred since the Exit Plan was last agreed.</w:t>
      </w:r>
    </w:p>
    <w:p w14:paraId="6D24586F" w14:textId="77777777" w:rsidR="00F67E9E" w:rsidRPr="00B224EC" w:rsidRDefault="00F67E9E" w:rsidP="00F67E9E">
      <w:pPr>
        <w:pStyle w:val="Numbered11"/>
      </w:pPr>
      <w:bookmarkStart w:id="1956" w:name="_9kR3WTrAG9BHJJKjRjSJsC4q1KB1571uA726EUF"/>
      <w:r w:rsidRPr="00B224EC">
        <w:t>The Parties will meet and use their respective reasonable endeavours to agree the contents of the final form of the Exit Plan.</w:t>
      </w:r>
      <w:bookmarkEnd w:id="1956"/>
      <w:r>
        <w:t xml:space="preserve"> </w:t>
      </w:r>
      <w:r w:rsidRPr="00B224EC">
        <w:t>If the Parties are unable to agree the contents of the Exit Plan within 20 Working Days following its delivery to the Authority then such Dispute shall be resolved in accordance with the Dispute Resolution Procedure.</w:t>
      </w:r>
      <w:r>
        <w:t xml:space="preserve"> </w:t>
      </w:r>
      <w:r w:rsidRPr="00B224EC">
        <w:t>Until the agreement of the final form of the Exit Plan, the Supplier shall provide the Termination Services in accordance with the principles set out in this Schedule and the last approved version of the Exit Plan (insofar as relevant).</w:t>
      </w:r>
    </w:p>
    <w:p w14:paraId="2661980E" w14:textId="77777777" w:rsidR="00F67E9E" w:rsidRPr="00B224EC" w:rsidRDefault="00F67E9E" w:rsidP="00F67E9E">
      <w:pPr>
        <w:pStyle w:val="Numbered1"/>
      </w:pPr>
      <w:r w:rsidRPr="00B224EC">
        <w:t>Termination Services</w:t>
      </w:r>
    </w:p>
    <w:p w14:paraId="09132323" w14:textId="77777777" w:rsidR="00F67E9E" w:rsidRPr="00B224EC" w:rsidRDefault="00F67E9E" w:rsidP="00F67E9E">
      <w:pPr>
        <w:pStyle w:val="StdBodyText1"/>
        <w:ind w:left="360"/>
        <w:rPr>
          <w:rFonts w:cs="Arial"/>
        </w:rPr>
      </w:pPr>
      <w:r w:rsidRPr="00B224EC">
        <w:rPr>
          <w:rStyle w:val="StdBodyTextBoldChar"/>
          <w:rFonts w:cs="Arial"/>
        </w:rPr>
        <w:t>Notification of Requirements for Termination</w:t>
      </w:r>
      <w:r w:rsidRPr="00B224EC">
        <w:rPr>
          <w:rFonts w:cs="Arial"/>
        </w:rPr>
        <w:t xml:space="preserve"> </w:t>
      </w:r>
      <w:r w:rsidRPr="00B224EC">
        <w:rPr>
          <w:rStyle w:val="StdBodyTextBoldChar"/>
          <w:rFonts w:cs="Arial"/>
        </w:rPr>
        <w:t>Services</w:t>
      </w:r>
    </w:p>
    <w:p w14:paraId="3E37A538" w14:textId="77777777" w:rsidR="00F67E9E" w:rsidRPr="00B224EC" w:rsidRDefault="00F67E9E" w:rsidP="00F67E9E">
      <w:pPr>
        <w:pStyle w:val="Numbered11"/>
      </w:pPr>
      <w:bookmarkStart w:id="1957" w:name="_9kR3WTrAG9CHGIFdRjDOE2y947OO8rw8ztx7NJK"/>
      <w:bookmarkStart w:id="1958" w:name="_Ref_ContractCompanion_9kb9Us8DA"/>
      <w:r w:rsidRPr="00B224EC">
        <w:t xml:space="preserve">The Authority shall be entitled to require the provision of Termination Services at any time during the Term by giving written notice to the Supplier (a </w:t>
      </w:r>
      <w:r>
        <w:t>“</w:t>
      </w:r>
      <w:bookmarkStart w:id="1959" w:name="_9kR3WTr2AC7CKiMr0sunu3z5SSH89L4z2uglOJ3"/>
      <w:r w:rsidRPr="00B224EC">
        <w:rPr>
          <w:rStyle w:val="StdBodyTextBoldChar"/>
          <w:rFonts w:eastAsia="Arial" w:cs="Arial"/>
        </w:rPr>
        <w:t>Termination Assistance Notice</w:t>
      </w:r>
      <w:bookmarkEnd w:id="1959"/>
      <w:r>
        <w:t>”</w:t>
      </w:r>
      <w:r w:rsidRPr="00B224EC">
        <w:t>) at least 4 months prior to the date of termination or expiry of this Contract or as soon as reasonably practicable (but in any event, not later than 1 month) following the service by either Party of a Termination Notice.</w:t>
      </w:r>
      <w:bookmarkEnd w:id="1957"/>
      <w:r>
        <w:t xml:space="preserve"> </w:t>
      </w:r>
      <w:r w:rsidRPr="00B224EC">
        <w:t xml:space="preserve">The </w:t>
      </w:r>
      <w:bookmarkStart w:id="1960" w:name="_9kMHG5YVt4CE9EMkOt2uwpw517UUJABN614winQ"/>
      <w:r w:rsidRPr="00B224EC">
        <w:t>Termination Assistance Notice</w:t>
      </w:r>
      <w:bookmarkEnd w:id="1960"/>
      <w:r w:rsidRPr="00B224EC">
        <w:t xml:space="preserve"> shall specify:</w:t>
      </w:r>
      <w:bookmarkEnd w:id="1958"/>
    </w:p>
    <w:p w14:paraId="77CA3553" w14:textId="77777777" w:rsidR="00F67E9E" w:rsidRPr="00B224EC" w:rsidRDefault="00F67E9E" w:rsidP="00F67E9E">
      <w:pPr>
        <w:pStyle w:val="Numbered111"/>
      </w:pPr>
      <w:r w:rsidRPr="00B224EC">
        <w:t>the date from which Termination Services are required;</w:t>
      </w:r>
    </w:p>
    <w:p w14:paraId="236CA525" w14:textId="77777777" w:rsidR="00F67E9E" w:rsidRPr="00B224EC" w:rsidRDefault="00F67E9E" w:rsidP="00F67E9E">
      <w:pPr>
        <w:pStyle w:val="Numbered111"/>
      </w:pPr>
      <w:r w:rsidRPr="00B224EC">
        <w:t>the nature of the Termination Services required; and</w:t>
      </w:r>
    </w:p>
    <w:p w14:paraId="1A0836D0" w14:textId="77777777" w:rsidR="00F67E9E" w:rsidRPr="00B224EC" w:rsidRDefault="00F67E9E" w:rsidP="00F67E9E">
      <w:pPr>
        <w:pStyle w:val="Numbered111"/>
      </w:pPr>
      <w:r w:rsidRPr="00B224EC">
        <w:t>the period during which it is anticipated that Termination Services will be required, which shall continue no longer than 24 months after the expiry of the Initial Term or any Extension Period or earlier termination of this Contract;</w:t>
      </w:r>
    </w:p>
    <w:p w14:paraId="482B9025" w14:textId="77777777" w:rsidR="00F67E9E" w:rsidRPr="00B224EC" w:rsidRDefault="00F67E9E" w:rsidP="00F67E9E">
      <w:pPr>
        <w:pStyle w:val="Numbered11"/>
      </w:pPr>
      <w:bookmarkStart w:id="1961" w:name="_Ref_ContractCompanion_9kb9Us8FG"/>
      <w:bookmarkStart w:id="1962" w:name="_9kR3WTrAG9CJMMGeRjDOE2y947OO8rw85vAF"/>
      <w:r w:rsidRPr="00B224EC">
        <w:t>The Authority shall have:</w:t>
      </w:r>
      <w:bookmarkEnd w:id="1961"/>
      <w:bookmarkEnd w:id="1962"/>
    </w:p>
    <w:p w14:paraId="4A45B954" w14:textId="77777777" w:rsidR="00F67E9E" w:rsidRPr="00B224EC" w:rsidRDefault="00F67E9E" w:rsidP="00F67E9E">
      <w:pPr>
        <w:pStyle w:val="Numbered111"/>
      </w:pPr>
      <w:bookmarkStart w:id="1963" w:name="_Ref44573069"/>
      <w:r w:rsidRPr="00B224EC">
        <w:t xml:space="preserve">an option to extend the period of assistance beyond the period specified in the </w:t>
      </w:r>
      <w:bookmarkStart w:id="1964" w:name="_9kMIH5YVt4CE9EMkOt2uwpw517UUJABN614winQ"/>
      <w:r w:rsidRPr="00B224EC">
        <w:t>Termination Assistance Notice</w:t>
      </w:r>
      <w:bookmarkEnd w:id="1964"/>
      <w:r w:rsidRPr="00B224EC">
        <w:t xml:space="preserve"> provided that such extension shall not extend the Termination Assistance period beyond the date which is 30 months after expiry of the Initial Term or any Extension Period or earlier termination of this Contract ;and provided that it shall notify the Supplier to such effect no later than 20 Working Days prior to the date on which the provision of Termination Services is otherwise due to expire; and</w:t>
      </w:r>
      <w:bookmarkEnd w:id="1963"/>
      <w:r w:rsidRPr="00B224EC">
        <w:t xml:space="preserve"> </w:t>
      </w:r>
    </w:p>
    <w:p w14:paraId="6FE395D8" w14:textId="77777777" w:rsidR="00F67E9E" w:rsidRPr="00B224EC" w:rsidRDefault="00F67E9E" w:rsidP="00F67E9E">
      <w:pPr>
        <w:pStyle w:val="Numbered111"/>
      </w:pPr>
      <w:r w:rsidRPr="00B224EC">
        <w:t>the right to terminate its requirement for Termination Services by serving not less than 20 Working Days</w:t>
      </w:r>
      <w:r>
        <w:t>’</w:t>
      </w:r>
      <w:r w:rsidRPr="00B224EC">
        <w:t xml:space="preserve"> written notice upon the Supplier to such effect.</w:t>
      </w:r>
    </w:p>
    <w:p w14:paraId="08F86081" w14:textId="77777777" w:rsidR="00F67E9E" w:rsidRPr="00B224EC" w:rsidRDefault="00F67E9E" w:rsidP="00F67E9E">
      <w:pPr>
        <w:pStyle w:val="StdBodyText1"/>
        <w:ind w:left="360"/>
        <w:rPr>
          <w:rFonts w:cs="Arial"/>
        </w:rPr>
      </w:pPr>
      <w:r w:rsidRPr="00B224EC">
        <w:rPr>
          <w:rStyle w:val="StdBodyTextBoldChar"/>
          <w:rFonts w:cs="Arial"/>
        </w:rPr>
        <w:t>Termination Assistance</w:t>
      </w:r>
      <w:r w:rsidRPr="00B224EC">
        <w:rPr>
          <w:rFonts w:cs="Arial"/>
        </w:rPr>
        <w:t xml:space="preserve"> </w:t>
      </w:r>
      <w:r w:rsidRPr="00B224EC">
        <w:rPr>
          <w:rStyle w:val="StdBodyTextBoldChar"/>
          <w:rFonts w:cs="Arial"/>
        </w:rPr>
        <w:t>Period</w:t>
      </w:r>
      <w:r w:rsidRPr="00B224EC">
        <w:rPr>
          <w:rFonts w:cs="Arial"/>
        </w:rPr>
        <w:t xml:space="preserve"> </w:t>
      </w:r>
    </w:p>
    <w:p w14:paraId="3B9AF108" w14:textId="77777777" w:rsidR="00F67E9E" w:rsidRPr="00B224EC" w:rsidRDefault="00F67E9E" w:rsidP="00F67E9E">
      <w:pPr>
        <w:pStyle w:val="Numbered11"/>
      </w:pPr>
      <w:r w:rsidRPr="00B224EC">
        <w:t>Throughout the Termination Assistance Period, or such shorter period as the Authority may require, the Supplier shall:</w:t>
      </w:r>
    </w:p>
    <w:p w14:paraId="421D9447" w14:textId="63971587" w:rsidR="00F67E9E" w:rsidRPr="00B224EC" w:rsidRDefault="00F67E9E" w:rsidP="00F67E9E">
      <w:pPr>
        <w:pStyle w:val="Numbered111"/>
      </w:pPr>
      <w:r w:rsidRPr="00B224EC">
        <w:t xml:space="preserve">continue to provide the Services (as applicable) and, if required by the Authority pursuant to </w:t>
      </w:r>
      <w:bookmarkStart w:id="1965" w:name="_9kMHG5YVtCIBEJIKHfTlFQG40B69QQAtyA1vz9P"/>
      <w:r w:rsidRPr="00B224EC">
        <w:t xml:space="preserve">Paragraph </w:t>
      </w:r>
      <w:r w:rsidRPr="00B224EC">
        <w:fldChar w:fldCharType="begin"/>
      </w:r>
      <w:r w:rsidRPr="00B224EC">
        <w:instrText xml:space="preserve"> REF _Ref_ContractCompanion_9kb9Us8DA \n \h \t \* MERGEFORMAT </w:instrText>
      </w:r>
      <w:r w:rsidRPr="00B224EC">
        <w:fldChar w:fldCharType="separate"/>
      </w:r>
      <w:r w:rsidR="00302D39">
        <w:t>6.1</w:t>
      </w:r>
      <w:r w:rsidRPr="00B224EC">
        <w:fldChar w:fldCharType="end"/>
      </w:r>
      <w:bookmarkEnd w:id="1965"/>
      <w:r w:rsidRPr="00B224EC">
        <w:t>, provide the Termination Services;</w:t>
      </w:r>
    </w:p>
    <w:p w14:paraId="03CE2F81" w14:textId="77777777" w:rsidR="00F67E9E" w:rsidRPr="00B224EC" w:rsidRDefault="00F67E9E" w:rsidP="00F67E9E">
      <w:pPr>
        <w:pStyle w:val="Numbered111"/>
      </w:pPr>
      <w:bookmarkStart w:id="1966" w:name="_Ref_ContractCompanion_9kb9Us8DD"/>
      <w:bookmarkStart w:id="1967" w:name="_9kR3WTrAG9CHJLHngtmdhn4517DFCGGLGz0BAHJ"/>
      <w:r w:rsidRPr="00B224EC">
        <w:t>in addition to providing the Services and the Termination Services, provide to the Authority any reasonable assistance requested by the Authority to allow the Services to continue without interruption following the Partial Termination, termination or expiry of this Contract and to facilitate the orderly transfer of responsibility for and conduct of the Services to the Authority and/or its Replacement Supplier;</w:t>
      </w:r>
      <w:bookmarkEnd w:id="1966"/>
      <w:bookmarkEnd w:id="1967"/>
    </w:p>
    <w:p w14:paraId="180114D3" w14:textId="47652419" w:rsidR="00F67E9E" w:rsidRPr="00B224EC" w:rsidRDefault="00F67E9E" w:rsidP="00F67E9E">
      <w:pPr>
        <w:pStyle w:val="Numbered111"/>
      </w:pPr>
      <w:bookmarkStart w:id="1968" w:name="_Ref_ContractCompanion_9kb9Us8EA"/>
      <w:bookmarkStart w:id="1969" w:name="_9kR3WTrAG9CIGHHotAvemy5zjyD9wlx1v55xvDS"/>
      <w:r w:rsidRPr="00B224EC">
        <w:t xml:space="preserve">use all reasonable endeavours to reallocate resources to provide such assistance as is referred to in </w:t>
      </w:r>
      <w:bookmarkStart w:id="1970" w:name="_9kMHG5YVtCIBEJLNJpivofjp6739FHEIINI12DC"/>
      <w:r w:rsidRPr="00B224EC">
        <w:t xml:space="preserve">Paragraph </w:t>
      </w:r>
      <w:r w:rsidRPr="00B224EC">
        <w:fldChar w:fldCharType="begin"/>
      </w:r>
      <w:r w:rsidRPr="00B224EC">
        <w:instrText xml:space="preserve"> REF _Ref_ContractCompanion_9kb9Us8DD \w \h \t \* MERGEFORMAT </w:instrText>
      </w:r>
      <w:r w:rsidRPr="00B224EC">
        <w:fldChar w:fldCharType="separate"/>
      </w:r>
      <w:r w:rsidR="00302D39">
        <w:t>6.3.2</w:t>
      </w:r>
      <w:r w:rsidRPr="00B224EC">
        <w:fldChar w:fldCharType="end"/>
      </w:r>
      <w:bookmarkEnd w:id="1970"/>
      <w:r w:rsidRPr="00B224EC">
        <w:t xml:space="preserve"> without additional costs to the Authority;</w:t>
      </w:r>
      <w:bookmarkEnd w:id="1968"/>
      <w:bookmarkEnd w:id="1969"/>
    </w:p>
    <w:p w14:paraId="7C889586" w14:textId="7F6B0CE2" w:rsidR="00F67E9E" w:rsidRPr="00B224EC" w:rsidRDefault="00F67E9E" w:rsidP="00F67E9E">
      <w:pPr>
        <w:pStyle w:val="Numbered111"/>
      </w:pPr>
      <w:r w:rsidRPr="00B224EC">
        <w:t xml:space="preserve">provide the Services and the Termination Services at no detriment to the Target Performance Levels, save to the extent that the Parties agree otherwise in accordance with </w:t>
      </w:r>
      <w:bookmarkStart w:id="1971" w:name="_9kMHG5YVtCIBEKFGLYGy1nZkEA71v55t3EGLSSA"/>
      <w:r w:rsidRPr="00B224EC">
        <w:t xml:space="preserve">Paragraph </w:t>
      </w:r>
      <w:r w:rsidRPr="00B224EC">
        <w:fldChar w:fldCharType="begin"/>
      </w:r>
      <w:r w:rsidRPr="00B224EC">
        <w:instrText xml:space="preserve"> REF _Ref_ContractCompanion_9kb9Us8DG \n \h \t \* MERGEFORMAT </w:instrText>
      </w:r>
      <w:r w:rsidRPr="00B224EC">
        <w:fldChar w:fldCharType="separate"/>
      </w:r>
      <w:r w:rsidR="00302D39">
        <w:t>6.5</w:t>
      </w:r>
      <w:r w:rsidRPr="00B224EC">
        <w:fldChar w:fldCharType="end"/>
      </w:r>
      <w:bookmarkEnd w:id="1971"/>
      <w:r w:rsidRPr="00B224EC">
        <w:t>; and</w:t>
      </w:r>
    </w:p>
    <w:p w14:paraId="1EDD42B2" w14:textId="77777777" w:rsidR="00F67E9E" w:rsidRPr="00B224EC" w:rsidRDefault="00F67E9E" w:rsidP="00F67E9E">
      <w:pPr>
        <w:pStyle w:val="Numbered111"/>
      </w:pPr>
      <w:bookmarkStart w:id="1972" w:name="_Ref_ContractCompanion_9kb9Us8EG"/>
      <w:bookmarkStart w:id="1973" w:name="_9kR3WTrAG9CJDDHqbrB0mGRH51C7ARRL88PEDTC"/>
      <w:r w:rsidRPr="00B224EC">
        <w:t>at the Authority</w:t>
      </w:r>
      <w:r>
        <w:t>’</w:t>
      </w:r>
      <w:r w:rsidRPr="00B224EC">
        <w:t>s request and on reasonable notice, deliver up-to-date Registers to the Authority.</w:t>
      </w:r>
      <w:bookmarkEnd w:id="1972"/>
      <w:bookmarkEnd w:id="1973"/>
    </w:p>
    <w:p w14:paraId="29547ACF" w14:textId="7F1B734C" w:rsidR="00F67E9E" w:rsidRPr="00B224EC" w:rsidRDefault="00F67E9E" w:rsidP="00F67E9E">
      <w:pPr>
        <w:pStyle w:val="Numbered11"/>
      </w:pPr>
      <w:r w:rsidRPr="00B224EC">
        <w:t>Without prejudice to the Supplier</w:t>
      </w:r>
      <w:r>
        <w:t>’</w:t>
      </w:r>
      <w:r w:rsidRPr="00B224EC">
        <w:t xml:space="preserve">s obligations under </w:t>
      </w:r>
      <w:bookmarkStart w:id="1974" w:name="_9kMHG5YVtCIBEKIJJqvCxgo071l0FBynz3x77zx"/>
      <w:r w:rsidRPr="00B224EC">
        <w:t xml:space="preserve">Paragraph </w:t>
      </w:r>
      <w:r w:rsidRPr="00B224EC">
        <w:fldChar w:fldCharType="begin"/>
      </w:r>
      <w:r w:rsidRPr="00B224EC">
        <w:instrText xml:space="preserve"> REF _Ref_ContractCompanion_9kb9Us8EA \w \h \t \* MERGEFORMAT </w:instrText>
      </w:r>
      <w:r w:rsidRPr="00B224EC">
        <w:fldChar w:fldCharType="separate"/>
      </w:r>
      <w:r w:rsidR="00302D39">
        <w:t>6.3.3</w:t>
      </w:r>
      <w:r w:rsidRPr="00B224EC">
        <w:fldChar w:fldCharType="end"/>
      </w:r>
      <w:bookmarkEnd w:id="1974"/>
      <w:r w:rsidRPr="00B224EC">
        <w:t xml:space="preserve">, if it is not possible for the Supplier to reallocate resources to provide such assistance as is referred to in </w:t>
      </w:r>
      <w:bookmarkStart w:id="1975" w:name="_9kMIH5YVtCIBEJLNJpivofjp6739FHEIINI12DC"/>
      <w:r w:rsidRPr="00B224EC">
        <w:t xml:space="preserve">Paragraph </w:t>
      </w:r>
      <w:r w:rsidRPr="00B224EC">
        <w:fldChar w:fldCharType="begin"/>
      </w:r>
      <w:r w:rsidRPr="00B224EC">
        <w:instrText xml:space="preserve"> REF _Ref_ContractCompanion_9kb9Us8DD \w \h \t \* MERGEFORMAT </w:instrText>
      </w:r>
      <w:r w:rsidRPr="00B224EC">
        <w:fldChar w:fldCharType="separate"/>
      </w:r>
      <w:r w:rsidR="00302D39">
        <w:t>6.3.2</w:t>
      </w:r>
      <w:r w:rsidRPr="00B224EC">
        <w:fldChar w:fldCharType="end"/>
      </w:r>
      <w:bookmarkEnd w:id="1975"/>
      <w:r w:rsidRPr="00B224EC">
        <w:t xml:space="preserve"> without additional costs to the Authority, any additional costs incurred by the Supplier in providing such reasonable assistance which is not already in the scope of the Termination Services or the Exit Plan shall be subject to the Change Control Procedure.</w:t>
      </w:r>
    </w:p>
    <w:p w14:paraId="28F8305E" w14:textId="77777777" w:rsidR="00F67E9E" w:rsidRDefault="00F67E9E" w:rsidP="00F67E9E">
      <w:pPr>
        <w:pStyle w:val="Numbered11"/>
      </w:pPr>
      <w:bookmarkStart w:id="1976" w:name="_Ref_ContractCompanion_9kb9Us8DG"/>
      <w:bookmarkStart w:id="1977" w:name="_9kR3WTrAG9CIDEJWEwzlXiC85zt33r1CEJQQ8BG"/>
      <w:r w:rsidRPr="00B224EC">
        <w:t>If the Supplier demonstrates to the Authority</w:t>
      </w:r>
      <w:r>
        <w:t>’</w:t>
      </w:r>
      <w:r w:rsidRPr="00B224EC">
        <w:t>s reasonable satisfaction that transition of the Services and provision of the Termination Services during the Termination Assistance Period will have a material, unavoidable adverse effect on the Supplier</w:t>
      </w:r>
      <w:r>
        <w:t>’</w:t>
      </w:r>
      <w:r w:rsidRPr="00B224EC">
        <w:t>s ability to meet one or more particular Target Performance Level(s), the Parties shall vary the relevant Target Performance Level(s) and/or the applicable Service Credits to take account of such adverse effect.</w:t>
      </w:r>
      <w:bookmarkEnd w:id="1976"/>
      <w:bookmarkEnd w:id="1977"/>
    </w:p>
    <w:p w14:paraId="54643F78" w14:textId="77777777" w:rsidR="00F67E9E" w:rsidRPr="00B224EC" w:rsidRDefault="00F67E9E" w:rsidP="00F67E9E">
      <w:pPr>
        <w:pStyle w:val="StdBodyText1"/>
        <w:keepNext/>
        <w:keepLines/>
        <w:ind w:left="360"/>
        <w:rPr>
          <w:rFonts w:cs="Arial"/>
        </w:rPr>
      </w:pPr>
      <w:r w:rsidRPr="00B224EC">
        <w:rPr>
          <w:rStyle w:val="StdBodyTextBoldChar"/>
          <w:rFonts w:cs="Arial"/>
        </w:rPr>
        <w:t>Termination</w:t>
      </w:r>
      <w:r w:rsidRPr="00B224EC">
        <w:rPr>
          <w:rFonts w:cs="Arial"/>
        </w:rPr>
        <w:t xml:space="preserve"> </w:t>
      </w:r>
      <w:r w:rsidRPr="00B224EC">
        <w:rPr>
          <w:rStyle w:val="StdBodyTextBoldChar"/>
          <w:rFonts w:cs="Arial"/>
        </w:rPr>
        <w:t>Obligations</w:t>
      </w:r>
    </w:p>
    <w:p w14:paraId="24E3B6B6" w14:textId="77777777" w:rsidR="00F67E9E" w:rsidRPr="00B224EC" w:rsidRDefault="00F67E9E" w:rsidP="00F67E9E">
      <w:pPr>
        <w:pStyle w:val="Numbered11"/>
      </w:pPr>
      <w:r w:rsidRPr="00B224EC">
        <w:t>The Supplier shall comply with all of its obligations contained in the Exit Plan in respect of any Partial Termination or termination.</w:t>
      </w:r>
    </w:p>
    <w:p w14:paraId="4EE52EF8" w14:textId="77777777" w:rsidR="00F67E9E" w:rsidRPr="00B224EC" w:rsidRDefault="00F67E9E" w:rsidP="00F67E9E">
      <w:pPr>
        <w:pStyle w:val="Numbered11"/>
      </w:pPr>
      <w:r w:rsidRPr="00B224EC">
        <w:t>Upon termination or expiry (as the case may be) or at the end of the Termination Assistance Period (or earlier if this does not adversely affect the Supplier</w:t>
      </w:r>
      <w:r>
        <w:t>’</w:t>
      </w:r>
      <w:r w:rsidRPr="00B224EC">
        <w:t>s performance of the Services and the Termination Services and its compliance with the other provisions of this Schedule) in respect of the Services that have been terminated, the Supplier shall:</w:t>
      </w:r>
    </w:p>
    <w:p w14:paraId="4947CB8A" w14:textId="77777777" w:rsidR="00F67E9E" w:rsidRPr="00B224EC" w:rsidRDefault="00F67E9E" w:rsidP="00F67E9E">
      <w:pPr>
        <w:pStyle w:val="Numbered111"/>
      </w:pPr>
      <w:r w:rsidRPr="00B224EC">
        <w:t>cease to use the Authority Data;</w:t>
      </w:r>
    </w:p>
    <w:p w14:paraId="6258591A" w14:textId="77777777" w:rsidR="00F67E9E" w:rsidRPr="00B224EC" w:rsidRDefault="00F67E9E" w:rsidP="00F67E9E">
      <w:pPr>
        <w:pStyle w:val="Numbered111"/>
      </w:pPr>
      <w:bookmarkStart w:id="1978" w:name="_Ref44674016"/>
      <w:r w:rsidRPr="00B224EC">
        <w:t>provide the Authority and/or the Replacement Supplier with a complete and uncorrupted version of the Authority Data in electronic form (or such other format as reasonably required by the Authority);</w:t>
      </w:r>
      <w:bookmarkEnd w:id="1978"/>
    </w:p>
    <w:p w14:paraId="725F30D4" w14:textId="77777777" w:rsidR="00F67E9E" w:rsidRPr="00B224EC" w:rsidRDefault="00F67E9E" w:rsidP="00F67E9E">
      <w:pPr>
        <w:pStyle w:val="Numbered111"/>
      </w:pPr>
      <w:r w:rsidRPr="00B224EC">
        <w:t>erase from any computers, storage devices and storage media that are to be retained by the Supplier after the end of the Termination Assistance Period all Authority Data and promptly certify to the Authority that it has completed such deletion;</w:t>
      </w:r>
    </w:p>
    <w:p w14:paraId="48E134EB" w14:textId="77777777" w:rsidR="00F67E9E" w:rsidRPr="00B224EC" w:rsidRDefault="00F67E9E" w:rsidP="00F67E9E">
      <w:pPr>
        <w:pStyle w:val="Numbered111"/>
      </w:pPr>
      <w:r w:rsidRPr="00B224EC">
        <w:t>return to the Authority such of the following as is in the Supplier</w:t>
      </w:r>
      <w:r>
        <w:t>’</w:t>
      </w:r>
      <w:r w:rsidRPr="00B224EC">
        <w:t>s possession or control:</w:t>
      </w:r>
    </w:p>
    <w:p w14:paraId="02B7F79D" w14:textId="77777777" w:rsidR="00F67E9E" w:rsidRPr="00436D9D" w:rsidRDefault="00F67E9E" w:rsidP="00F67E9E">
      <w:pPr>
        <w:pStyle w:val="Numbered111a"/>
      </w:pPr>
      <w:r w:rsidRPr="00436D9D">
        <w:t>any parts of the IT Environment and any other equipment which belongs to the Authority; and</w:t>
      </w:r>
    </w:p>
    <w:p w14:paraId="66A2E626" w14:textId="77777777" w:rsidR="00F67E9E" w:rsidRPr="00B224EC" w:rsidRDefault="00F67E9E" w:rsidP="00F67E9E">
      <w:pPr>
        <w:pStyle w:val="Numbered111a"/>
      </w:pPr>
      <w:r w:rsidRPr="00436D9D">
        <w:t>any items</w:t>
      </w:r>
      <w:r w:rsidRPr="00B224EC">
        <w:t xml:space="preserve"> that have been on-charged to the Authority, such as consumables;</w:t>
      </w:r>
    </w:p>
    <w:p w14:paraId="12642EC7" w14:textId="77777777" w:rsidR="00F67E9E" w:rsidRPr="00B224EC" w:rsidRDefault="00F67E9E" w:rsidP="00F67E9E">
      <w:pPr>
        <w:pStyle w:val="Numbered111"/>
      </w:pPr>
      <w:r w:rsidRPr="00B224EC">
        <w:t>vacate any Authority Premises unless access is required to continue to deliver the Services;</w:t>
      </w:r>
    </w:p>
    <w:p w14:paraId="28635326" w14:textId="77777777" w:rsidR="00F67E9E" w:rsidRPr="00B224EC" w:rsidRDefault="00F67E9E" w:rsidP="00F67E9E">
      <w:pPr>
        <w:pStyle w:val="Numbered111"/>
      </w:pPr>
      <w:r w:rsidRPr="00B224EC">
        <w:t>provide access during normal working hours to the Authority and/or the Replacement Supplier for up to 12 months after the Partial Termination, expiry or termination of this Contract to:</w:t>
      </w:r>
    </w:p>
    <w:p w14:paraId="05799DE4" w14:textId="77777777" w:rsidR="00F67E9E" w:rsidRPr="00436D9D" w:rsidRDefault="00F67E9E" w:rsidP="00F67E9E">
      <w:pPr>
        <w:pStyle w:val="Numbered111a"/>
      </w:pPr>
      <w:r w:rsidRPr="00B224EC">
        <w:t xml:space="preserve">such information </w:t>
      </w:r>
      <w:r w:rsidRPr="00436D9D">
        <w:t>relating to the Services as remains in the possession or control of the Supplier; and</w:t>
      </w:r>
    </w:p>
    <w:p w14:paraId="25AAF970" w14:textId="6D8D7222" w:rsidR="00F67E9E" w:rsidRPr="00B224EC" w:rsidRDefault="00F67E9E" w:rsidP="00F67E9E">
      <w:pPr>
        <w:pStyle w:val="Numbered111a"/>
      </w:pPr>
      <w:bookmarkStart w:id="1979" w:name="_9kR3WTrAG9CIJKLvkozCxlwuvtm3IG4ADzlwQMJ"/>
      <w:bookmarkStart w:id="1980" w:name="_Ref_ContractCompanion_9kb9Us8ED"/>
      <w:r w:rsidRPr="00436D9D">
        <w:t>such members of the Supplier Personnel as have been involved in the design, development and</w:t>
      </w:r>
      <w:r w:rsidRPr="00B224EC">
        <w:t xml:space="preserve"> provision of the Services and who are still employed by the Supplier, provided that the Authority and/or the Replacement Supplier shall pay the reasonable costs of the Supplier actually incurred in responding to requests for access under this</w:t>
      </w:r>
      <w:bookmarkEnd w:id="1979"/>
      <w:r w:rsidRPr="00B224EC">
        <w:t xml:space="preserve"> </w:t>
      </w:r>
      <w:bookmarkStart w:id="1981" w:name="_9kMHG5YVtCIBEKLMNxmq1Eznywxvo5KI6CF1nyS"/>
      <w:r w:rsidRPr="00B224EC">
        <w:t xml:space="preserve">Paragraph </w:t>
      </w:r>
      <w:r w:rsidRPr="00B224EC">
        <w:fldChar w:fldCharType="begin"/>
      </w:r>
      <w:r w:rsidRPr="00B224EC">
        <w:instrText xml:space="preserve"> REF _Ref_ContractCompanion_9kb9Us8ED \w \h \t \* MERGEFORMAT </w:instrText>
      </w:r>
      <w:r w:rsidRPr="00B224EC">
        <w:fldChar w:fldCharType="separate"/>
      </w:r>
      <w:r w:rsidR="00302D39">
        <w:t>6.7.6(b)</w:t>
      </w:r>
      <w:r w:rsidRPr="00B224EC">
        <w:fldChar w:fldCharType="end"/>
      </w:r>
      <w:bookmarkEnd w:id="1981"/>
      <w:r w:rsidRPr="00B224EC">
        <w:t>.</w:t>
      </w:r>
      <w:bookmarkEnd w:id="1980"/>
    </w:p>
    <w:p w14:paraId="2B300DB6" w14:textId="77777777" w:rsidR="00F67E9E" w:rsidRPr="00B224EC" w:rsidRDefault="00F67E9E" w:rsidP="00F67E9E">
      <w:pPr>
        <w:pStyle w:val="Numbered11"/>
      </w:pPr>
      <w:r w:rsidRPr="00B224EC">
        <w:t>Upon Partial Termination, termination or expiry (as the case may be) or at the end of the Termination Assistance Period (or earlier if this does not adversely affect the Supplier</w:t>
      </w:r>
      <w:r>
        <w:t>’</w:t>
      </w:r>
      <w:r w:rsidRPr="00B224EC">
        <w:t>s performance of the Services and the Termination Services and its compliance with the other provisions of this Schedule), each Party shall return to the other Party (or if requested, destroy or delete) all Confidential Information of the other Party in respect of the terminated Services and shall certify that it does not retain the other Party</w:t>
      </w:r>
      <w:r>
        <w:t>’</w:t>
      </w:r>
      <w:r w:rsidRPr="00B224EC">
        <w:t xml:space="preserve">s Confidential Information save to the extent (and for the limited period) that such information needs to be retained by the Party in question for the purposes of providing or receiving any Services or Termination Services or for statutory compliance purposes. </w:t>
      </w:r>
    </w:p>
    <w:p w14:paraId="6D8AD8A7" w14:textId="77777777" w:rsidR="00F67E9E" w:rsidRPr="00B224EC" w:rsidRDefault="00F67E9E" w:rsidP="00F67E9E">
      <w:pPr>
        <w:pStyle w:val="Numbered1"/>
      </w:pPr>
      <w:r w:rsidRPr="00B224EC">
        <w:t>Assets, Sub-</w:t>
      </w:r>
      <w:r>
        <w:t>c</w:t>
      </w:r>
      <w:r w:rsidRPr="00B224EC">
        <w:t xml:space="preserve">ontracts </w:t>
      </w:r>
      <w:r>
        <w:t>a</w:t>
      </w:r>
      <w:r w:rsidRPr="00B224EC">
        <w:t>nd Software</w:t>
      </w:r>
    </w:p>
    <w:p w14:paraId="02A68132" w14:textId="77777777" w:rsidR="00F67E9E" w:rsidRPr="00B224EC" w:rsidRDefault="00F67E9E" w:rsidP="00F67E9E">
      <w:pPr>
        <w:pStyle w:val="Numbered11"/>
      </w:pPr>
      <w:r w:rsidRPr="00B224EC">
        <w:t>Following notice of termination or Partial Termination of this Contract and during the Termination Assistance Period, the Supplier shall not, in respect of the terminated Services, without the Authority</w:t>
      </w:r>
      <w:r>
        <w:t>’</w:t>
      </w:r>
      <w:r w:rsidRPr="00B224EC">
        <w:t>s prior written consent:</w:t>
      </w:r>
    </w:p>
    <w:p w14:paraId="48B71ED3" w14:textId="77777777" w:rsidR="00F67E9E" w:rsidRPr="00436D9D" w:rsidRDefault="00F67E9E" w:rsidP="00F67E9E">
      <w:pPr>
        <w:pStyle w:val="Numbered111"/>
      </w:pPr>
      <w:r w:rsidRPr="00B224EC">
        <w:t xml:space="preserve">terminate, enter into or vary any Sub-contract except to the extent that such change </w:t>
      </w:r>
      <w:r w:rsidRPr="00436D9D">
        <w:t>does not or will not affect the provision of Services or the Charges;</w:t>
      </w:r>
    </w:p>
    <w:p w14:paraId="34265F52" w14:textId="77777777" w:rsidR="00F67E9E" w:rsidRPr="00436D9D" w:rsidRDefault="00F67E9E" w:rsidP="00F67E9E">
      <w:pPr>
        <w:pStyle w:val="Numbered111"/>
      </w:pPr>
      <w:r w:rsidRPr="00436D9D">
        <w:t>(subject to normal maintenance requirements) make material modifications to, or dispose of, any existing Assets or acquire any new Assets; or</w:t>
      </w:r>
    </w:p>
    <w:p w14:paraId="3F238F07" w14:textId="77777777" w:rsidR="00F67E9E" w:rsidRPr="00B224EC" w:rsidRDefault="00F67E9E" w:rsidP="00F67E9E">
      <w:pPr>
        <w:pStyle w:val="Numbered111"/>
      </w:pPr>
      <w:r w:rsidRPr="00436D9D">
        <w:t>terminate, enter into or vary any licence for software in connection with the Services</w:t>
      </w:r>
      <w:r w:rsidRPr="00B224EC">
        <w:t>.</w:t>
      </w:r>
    </w:p>
    <w:p w14:paraId="5232C8E6" w14:textId="1F12F832" w:rsidR="00F67E9E" w:rsidRPr="00B224EC" w:rsidRDefault="00F67E9E" w:rsidP="00F67E9E">
      <w:pPr>
        <w:pStyle w:val="Numbered11"/>
      </w:pPr>
      <w:r w:rsidRPr="00B224EC">
        <w:t xml:space="preserve">Within 20 Working Days of receipt of the up-to-date Registers provided by the Supplier pursuant to </w:t>
      </w:r>
      <w:bookmarkStart w:id="1982" w:name="_9kMHG5YVtCIBELFFJsdtD2oITJ73E9CTTNAARGF"/>
      <w:r w:rsidRPr="00B224EC">
        <w:t xml:space="preserve">Paragraph </w:t>
      </w:r>
      <w:r w:rsidRPr="00B224EC">
        <w:fldChar w:fldCharType="begin"/>
      </w:r>
      <w:r w:rsidRPr="00B224EC">
        <w:instrText xml:space="preserve"> REF _Ref_ContractCompanion_9kb9Us8EG \w \h \t \* MERGEFORMAT </w:instrText>
      </w:r>
      <w:r w:rsidRPr="00B224EC">
        <w:fldChar w:fldCharType="separate"/>
      </w:r>
      <w:r w:rsidR="00302D39">
        <w:t>6.3.5</w:t>
      </w:r>
      <w:r w:rsidRPr="00B224EC">
        <w:fldChar w:fldCharType="end"/>
      </w:r>
      <w:bookmarkEnd w:id="1982"/>
      <w:r w:rsidRPr="00B224EC">
        <w:t>, the Authority shall provide written notice to the Supplier setting out:</w:t>
      </w:r>
    </w:p>
    <w:p w14:paraId="0151F2BB" w14:textId="77777777" w:rsidR="00F67E9E" w:rsidRPr="00B224EC" w:rsidRDefault="00F67E9E" w:rsidP="00F67E9E">
      <w:pPr>
        <w:pStyle w:val="Numbered111"/>
      </w:pPr>
      <w:r w:rsidRPr="00B224EC">
        <w:t>which, if any, of the Transferable Assets the Authority requires to be transferred to the Authority and/or the Replacement Supplier in respect of the terminated Services (</w:t>
      </w:r>
      <w:r>
        <w:t>“</w:t>
      </w:r>
      <w:r w:rsidRPr="00B224EC">
        <w:rPr>
          <w:rStyle w:val="StdBodyTextBoldChar"/>
          <w:rFonts w:eastAsia="Arial" w:cs="Arial"/>
        </w:rPr>
        <w:t>Transferring Assets</w:t>
      </w:r>
      <w:r>
        <w:t>”</w:t>
      </w:r>
      <w:r w:rsidRPr="00B224EC">
        <w:t>);</w:t>
      </w:r>
    </w:p>
    <w:p w14:paraId="3FD994E0" w14:textId="77777777" w:rsidR="00F67E9E" w:rsidRPr="00B224EC" w:rsidRDefault="00F67E9E" w:rsidP="00F67E9E">
      <w:pPr>
        <w:pStyle w:val="Numbered111"/>
      </w:pPr>
      <w:r w:rsidRPr="00B224EC">
        <w:t>which, if any, of:</w:t>
      </w:r>
    </w:p>
    <w:p w14:paraId="19311DE9" w14:textId="77777777" w:rsidR="00F67E9E" w:rsidRPr="00A22C54" w:rsidRDefault="00F67E9E" w:rsidP="00F67E9E">
      <w:pPr>
        <w:pStyle w:val="Numbered111a"/>
      </w:pPr>
      <w:r w:rsidRPr="00B224EC">
        <w:t>th</w:t>
      </w:r>
      <w:r w:rsidRPr="00A22C54">
        <w:t xml:space="preserve">e Exclusive Assets that are not Transferable Assets; and </w:t>
      </w:r>
    </w:p>
    <w:p w14:paraId="0C552BFE" w14:textId="77777777" w:rsidR="00F67E9E" w:rsidRPr="00B224EC" w:rsidRDefault="00F67E9E" w:rsidP="00F67E9E">
      <w:pPr>
        <w:pStyle w:val="Numbered111a"/>
      </w:pPr>
      <w:r w:rsidRPr="00A22C54">
        <w:t>the</w:t>
      </w:r>
      <w:r w:rsidRPr="00B224EC">
        <w:t xml:space="preserve"> Non-Exclusive Assets,</w:t>
      </w:r>
    </w:p>
    <w:p w14:paraId="3A857987" w14:textId="77777777" w:rsidR="00F67E9E" w:rsidRPr="00B224EC" w:rsidRDefault="00F67E9E" w:rsidP="00F67E9E">
      <w:pPr>
        <w:pStyle w:val="StdBodyText5"/>
        <w:ind w:left="1800"/>
        <w:rPr>
          <w:rFonts w:cs="Arial"/>
        </w:rPr>
      </w:pPr>
      <w:r w:rsidRPr="00B224EC">
        <w:rPr>
          <w:rFonts w:cs="Arial"/>
        </w:rPr>
        <w:t>the Authority and/or the Replacement Supplier requires the continued use of; and</w:t>
      </w:r>
    </w:p>
    <w:p w14:paraId="2D940A1C" w14:textId="77777777" w:rsidR="00F67E9E" w:rsidRPr="00B224EC" w:rsidRDefault="00F67E9E" w:rsidP="00F67E9E">
      <w:pPr>
        <w:pStyle w:val="Numbered111"/>
      </w:pPr>
      <w:bookmarkStart w:id="1983" w:name="_Ref_ContractCompanion_9kb9Us8FA"/>
      <w:bookmarkStart w:id="1984" w:name="_9kR3WTrAG9CJGHHmu1okkrqjsHJ1ho2zIByB8t5"/>
      <w:bookmarkStart w:id="1985" w:name="_9kR3WTr344DHHLHmu1okkrqjsHJ1ho2zIByB8t5"/>
      <w:r w:rsidRPr="00B224EC">
        <w:t xml:space="preserve">which, if any, of Transferable Contracts the Authority requires to be assigned or novated to the Authority and/or the Replacement Supplier (the </w:t>
      </w:r>
      <w:r>
        <w:t>“</w:t>
      </w:r>
      <w:bookmarkStart w:id="1986" w:name="_9kMHG5YVt4CE9EGebpm5ylyC410QTBHM4qA"/>
      <w:r w:rsidRPr="00B224EC">
        <w:rPr>
          <w:rStyle w:val="StdBodyTextBoldChar"/>
          <w:rFonts w:eastAsia="Arial" w:cs="Arial"/>
        </w:rPr>
        <w:t>Transferring Contracts</w:t>
      </w:r>
      <w:bookmarkEnd w:id="1986"/>
      <w:r>
        <w:t>”</w:t>
      </w:r>
      <w:r w:rsidRPr="00B224EC">
        <w:t>),</w:t>
      </w:r>
      <w:bookmarkEnd w:id="1983"/>
      <w:bookmarkEnd w:id="1984"/>
      <w:bookmarkEnd w:id="1985"/>
    </w:p>
    <w:p w14:paraId="23549463" w14:textId="77777777" w:rsidR="00F67E9E" w:rsidRPr="00B224EC" w:rsidRDefault="00F67E9E" w:rsidP="00F67E9E">
      <w:pPr>
        <w:pStyle w:val="StdBodyText2"/>
        <w:rPr>
          <w:rFonts w:cs="Arial"/>
        </w:rPr>
      </w:pPr>
      <w:r w:rsidRPr="00B224EC">
        <w:rPr>
          <w:rFonts w:cs="Arial"/>
        </w:rPr>
        <w:t>in order for the Authority and/or its Replacement Supplier to provide the Services from the expiry of the Termination Assistance Period.</w:t>
      </w:r>
      <w:r>
        <w:rPr>
          <w:rFonts w:cs="Arial"/>
        </w:rPr>
        <w:t xml:space="preserve"> </w:t>
      </w:r>
      <w:r w:rsidRPr="00B224EC">
        <w:rPr>
          <w:rFonts w:cs="Arial"/>
        </w:rPr>
        <w:t>Where requested by the Authority and/or its Replacement Supplier, the Supplier shall provide all reasonable assistance to the Authority and/or its Replacement Supplier to enable it to determine which Transferable Assets and Transferable Contracts the Authority and/or its Replacement Supplier requires to provide the Services or Replacement Services.</w:t>
      </w:r>
      <w:r>
        <w:rPr>
          <w:rFonts w:cs="Arial"/>
        </w:rPr>
        <w:t xml:space="preserve"> </w:t>
      </w:r>
      <w:r w:rsidRPr="00B224EC">
        <w:t>Where requested by the Supplier, the Authority and/or its Replacement Supplier shall discuss in good faith with the Supplier which Transferable Contracts are used by the Supplier in matters unconnected to the Services or Replacement Services. </w:t>
      </w:r>
    </w:p>
    <w:p w14:paraId="7ECD66FD" w14:textId="77777777" w:rsidR="00F67E9E" w:rsidRPr="00B224EC" w:rsidRDefault="00F67E9E" w:rsidP="00F67E9E">
      <w:pPr>
        <w:pStyle w:val="Numbered11"/>
      </w:pPr>
      <w:r w:rsidRPr="00B224EC">
        <w:t>With effect from the expiry of the Termination Assistance Period, the Supplier shall sell the Transferring Assets to the Authority and/or its nominated Replacement Supplier for a consideration equal to their Net Book Value, except where:</w:t>
      </w:r>
    </w:p>
    <w:p w14:paraId="28F4EDA0" w14:textId="77777777" w:rsidR="00F67E9E" w:rsidRPr="00436D9D" w:rsidRDefault="00F67E9E" w:rsidP="00F67E9E">
      <w:pPr>
        <w:pStyle w:val="Numbered111"/>
      </w:pPr>
      <w:r w:rsidRPr="00B224EC">
        <w:t xml:space="preserve">a Termination Payment is payable by the Authority to the Supplier, in which case, payment for </w:t>
      </w:r>
      <w:r w:rsidRPr="00436D9D">
        <w:t>such Assets shall be included within the Termination Payment; or</w:t>
      </w:r>
    </w:p>
    <w:p w14:paraId="574CD463" w14:textId="77777777" w:rsidR="00F67E9E" w:rsidRPr="00B224EC" w:rsidRDefault="00F67E9E" w:rsidP="00F67E9E">
      <w:pPr>
        <w:pStyle w:val="Numbered111"/>
      </w:pPr>
      <w:r w:rsidRPr="00436D9D">
        <w:t>the cost of the Tra</w:t>
      </w:r>
      <w:r w:rsidRPr="00B224EC">
        <w:t xml:space="preserve">nsferring Asset has been partially or fully paid for through the Charges at the time of expiry or termination of this Contract, in which case the Authority shall pay the Supplier the Net Book Value of the Transferring Asset less the amount already paid through the Charges. </w:t>
      </w:r>
    </w:p>
    <w:p w14:paraId="397CBBD2" w14:textId="77777777" w:rsidR="00F67E9E" w:rsidRPr="00B224EC" w:rsidRDefault="00F67E9E" w:rsidP="00F67E9E">
      <w:pPr>
        <w:pStyle w:val="Numbered11"/>
      </w:pPr>
      <w:r w:rsidRPr="00B224EC">
        <w:t>Risk in the Transferring Assets shall pass to the Authority or the Replacement Supplier (as appropriate) at the end of the Termination Assistance Period and title to the Transferring Assets shall pass to the Authority or the Replacement Supplier (as appropriate) on payment for the same.</w:t>
      </w:r>
    </w:p>
    <w:p w14:paraId="013E49AD" w14:textId="619DF4A7" w:rsidR="00F67E9E" w:rsidRPr="00B224EC" w:rsidRDefault="00F67E9E" w:rsidP="00F67E9E">
      <w:pPr>
        <w:pStyle w:val="Numbered11"/>
      </w:pPr>
      <w:bookmarkStart w:id="1987" w:name="_Ref_ContractCompanion_9kb9Ur07G"/>
      <w:r w:rsidRPr="00B224EC">
        <w:t xml:space="preserve">Where the Supplier is notified in accordance with </w:t>
      </w:r>
      <w:bookmarkStart w:id="1988" w:name="_9kMHG5YVtCIBELIJJow3qmmtsluJL3jq41KD0DA"/>
      <w:r w:rsidRPr="00B224EC">
        <w:t xml:space="preserve">Paragraph </w:t>
      </w:r>
      <w:r w:rsidRPr="00B224EC">
        <w:fldChar w:fldCharType="begin"/>
      </w:r>
      <w:r w:rsidRPr="00B224EC">
        <w:instrText xml:space="preserve"> REF _Ref_ContractCompanion_9kb9Us8FA \w \h \t \* MERGEFORMAT </w:instrText>
      </w:r>
      <w:r w:rsidRPr="00B224EC">
        <w:fldChar w:fldCharType="separate"/>
      </w:r>
      <w:bookmarkStart w:id="1989" w:name="_9kMHG5YVt566FJJNJow3qmmtsluJL3jq41KD0DA"/>
      <w:r w:rsidR="00302D39">
        <w:t>7.2.3</w:t>
      </w:r>
      <w:bookmarkEnd w:id="1989"/>
      <w:r w:rsidRPr="00B224EC">
        <w:fldChar w:fldCharType="end"/>
      </w:r>
      <w:bookmarkEnd w:id="1988"/>
      <w:r w:rsidRPr="00B224EC">
        <w:t xml:space="preserve"> that the Authority and/or the Replacement Supplier requires continued use of any Exclusive Assets that are not Transferable Assets or any Non-Exclusive Assets, the Supplier shall as soon as reasonably practicable:</w:t>
      </w:r>
      <w:bookmarkEnd w:id="1987"/>
    </w:p>
    <w:p w14:paraId="4D9D11EB" w14:textId="77777777" w:rsidR="00F67E9E" w:rsidRPr="00B224EC" w:rsidRDefault="00F67E9E" w:rsidP="00F67E9E">
      <w:pPr>
        <w:pStyle w:val="Numbered111"/>
      </w:pPr>
      <w:r w:rsidRPr="00B224EC">
        <w:t>procure a non-exclusive, perpetual, royalty-free licence (or licence on such other terms that have been agreed by the Authority) for the Authority and/or the Replacement Supplier to use such assets (with a right of sub-licence or assignment on the same terms); or failing which</w:t>
      </w:r>
    </w:p>
    <w:p w14:paraId="1DC53453" w14:textId="77777777" w:rsidR="00F67E9E" w:rsidRPr="00B224EC" w:rsidRDefault="00F67E9E" w:rsidP="00F67E9E">
      <w:pPr>
        <w:pStyle w:val="Numbered111"/>
      </w:pPr>
      <w:r w:rsidRPr="00B224EC">
        <w:t>procure a suitable alternative to such assets and the Authority or the Replacement Supplier shall bear the reasonable proven costs of procuring the same.</w:t>
      </w:r>
    </w:p>
    <w:p w14:paraId="31750BD3" w14:textId="77777777" w:rsidR="00F67E9E" w:rsidRPr="00B224EC" w:rsidRDefault="00F67E9E" w:rsidP="00F67E9E">
      <w:pPr>
        <w:pStyle w:val="Numbered11"/>
      </w:pPr>
      <w:bookmarkStart w:id="1990" w:name="_9kR3WTrAG9CJJKLiRjVgA63xr1G7qv7x5OLII5B"/>
      <w:bookmarkStart w:id="1991" w:name="_Ref_ContractCompanion_9kb9Us8FD"/>
      <w:r w:rsidRPr="00B224EC">
        <w:t>The Supplier shall as soon as reasonably practicable assign or procure the novation to the Authority and/or the Replacement Supplier of the Transferring Contracts.</w:t>
      </w:r>
      <w:bookmarkEnd w:id="1990"/>
      <w:r>
        <w:t xml:space="preserve"> </w:t>
      </w:r>
      <w:r w:rsidRPr="00B224EC">
        <w:t>The Supplier shall execute such documents and provide such other assistance as the Authority reasonably requires to effect this novation or assignment.</w:t>
      </w:r>
      <w:bookmarkEnd w:id="1991"/>
    </w:p>
    <w:p w14:paraId="725375EA" w14:textId="77777777" w:rsidR="00F67E9E" w:rsidRPr="00B224EC" w:rsidRDefault="00F67E9E" w:rsidP="00F67E9E">
      <w:pPr>
        <w:pStyle w:val="Numbered11"/>
        <w:keepNext/>
      </w:pPr>
      <w:r w:rsidRPr="00B224EC">
        <w:t>The Authority shall:</w:t>
      </w:r>
    </w:p>
    <w:p w14:paraId="06DF912A" w14:textId="77777777" w:rsidR="00F67E9E" w:rsidRPr="00B224EC" w:rsidRDefault="00F67E9E" w:rsidP="00F67E9E">
      <w:pPr>
        <w:pStyle w:val="Numbered111"/>
      </w:pPr>
      <w:r w:rsidRPr="00B224EC">
        <w:t xml:space="preserve">accept assignments from the Supplier or join with the Supplier in procuring a novation of each </w:t>
      </w:r>
      <w:bookmarkStart w:id="1992" w:name="_9kMIH5YVt4CE9EGebpm5ylyC410QTBHM4qA"/>
      <w:r w:rsidRPr="00B224EC">
        <w:t>Transferring Contract</w:t>
      </w:r>
      <w:bookmarkEnd w:id="1992"/>
      <w:r w:rsidRPr="00B224EC">
        <w:t>; and</w:t>
      </w:r>
    </w:p>
    <w:p w14:paraId="49D0B52D" w14:textId="77777777" w:rsidR="00F67E9E" w:rsidRPr="00B224EC" w:rsidRDefault="00F67E9E" w:rsidP="00F67E9E">
      <w:pPr>
        <w:pStyle w:val="Numbered111"/>
      </w:pPr>
      <w:r w:rsidRPr="00B224EC">
        <w:t xml:space="preserve">once a </w:t>
      </w:r>
      <w:bookmarkStart w:id="1993" w:name="_9kMJI5YVt4CE9EGebpm5ylyC410QTBHM4qA"/>
      <w:r w:rsidRPr="00B224EC">
        <w:t>Transferring Contract</w:t>
      </w:r>
      <w:bookmarkEnd w:id="1993"/>
      <w:r w:rsidRPr="00B224EC">
        <w:t xml:space="preserve"> is novated or assigned to the Authority and/or the Replacement Supplier, carry out, perform and discharge all the obligations and liabilities created by or arising under that </w:t>
      </w:r>
      <w:bookmarkStart w:id="1994" w:name="_9kMKJ5YVt4CE9EGebpm5ylyC410QTBHM4qA"/>
      <w:r w:rsidRPr="00B224EC">
        <w:t>Transferring Contract</w:t>
      </w:r>
      <w:bookmarkEnd w:id="1994"/>
      <w:r w:rsidRPr="00B224EC">
        <w:t xml:space="preserve"> and exercise its rights arising under that </w:t>
      </w:r>
      <w:bookmarkStart w:id="1995" w:name="_9kMLK5YVt4CE9EGebpm5ylyC410QTBHM4qA"/>
      <w:r w:rsidRPr="00B224EC">
        <w:t>Transferring Contract</w:t>
      </w:r>
      <w:bookmarkEnd w:id="1995"/>
      <w:r w:rsidRPr="00B224EC">
        <w:t>, or as applicable, procure that the Replacement Supplier does the same.</w:t>
      </w:r>
    </w:p>
    <w:p w14:paraId="66C34CAC" w14:textId="77777777" w:rsidR="00F67E9E" w:rsidRPr="00B224EC" w:rsidRDefault="00F67E9E" w:rsidP="00F67E9E">
      <w:pPr>
        <w:pStyle w:val="Numbered11"/>
      </w:pPr>
      <w:r w:rsidRPr="00B224EC">
        <w:t xml:space="preserve">The Supplier shall hold any </w:t>
      </w:r>
      <w:bookmarkStart w:id="1996" w:name="_9kMML5YVt4CE9EGebpm5ylyC410QTBHM4qA"/>
      <w:r w:rsidRPr="00B224EC">
        <w:t>Transferring Contracts</w:t>
      </w:r>
      <w:bookmarkEnd w:id="1996"/>
      <w:r w:rsidRPr="00B224EC">
        <w:t xml:space="preserve"> on trust for the Authority until such time as the transfer of the relevant </w:t>
      </w:r>
      <w:bookmarkStart w:id="1997" w:name="_9kR3WTr2AC7CDbZnk3wjwA2zyOR9FK2o8QMNH3X"/>
      <w:r w:rsidRPr="00B224EC">
        <w:t>Transferring Contract to the Authority</w:t>
      </w:r>
      <w:bookmarkEnd w:id="1997"/>
      <w:r w:rsidRPr="00B224EC">
        <w:t xml:space="preserve"> and/or the Replacement Supplier has been effected.</w:t>
      </w:r>
    </w:p>
    <w:p w14:paraId="6D614DB4" w14:textId="65931DAA" w:rsidR="00F67E9E" w:rsidRPr="00B224EC" w:rsidRDefault="00F67E9E" w:rsidP="00F67E9E">
      <w:pPr>
        <w:pStyle w:val="Numbered11"/>
      </w:pPr>
      <w:r w:rsidRPr="00B224EC">
        <w:t xml:space="preserve">The Supplier shall indemnify the Authority (and/or the Replacement Supplier, as applicable) against each loss, liability and cost arising out of any claims made by a counterparty to a </w:t>
      </w:r>
      <w:bookmarkStart w:id="1998" w:name="_9kMNM5YVt4CE9EGebpm5ylyC410QTBHM4qA"/>
      <w:r w:rsidRPr="00B224EC">
        <w:t>Transferring Contract</w:t>
      </w:r>
      <w:bookmarkEnd w:id="1998"/>
      <w:r w:rsidRPr="00B224EC">
        <w:t xml:space="preserve"> which is assigned or novated to the Authority (and/or Replacement Supplier) pursuant to </w:t>
      </w:r>
      <w:bookmarkStart w:id="1999" w:name="_9kMHG5YVtCIBELLMNkTlXiC85zt3I9sx9z7QNKK"/>
      <w:r w:rsidRPr="00B224EC">
        <w:t xml:space="preserve">Paragraph </w:t>
      </w:r>
      <w:r w:rsidRPr="00B224EC">
        <w:fldChar w:fldCharType="begin"/>
      </w:r>
      <w:r w:rsidRPr="00B224EC">
        <w:instrText xml:space="preserve"> REF _Ref_ContractCompanion_9kb9Us8FD \n \h \t \* MERGEFORMAT </w:instrText>
      </w:r>
      <w:r w:rsidRPr="00B224EC">
        <w:fldChar w:fldCharType="separate"/>
      </w:r>
      <w:r w:rsidR="00302D39">
        <w:t>7.6</w:t>
      </w:r>
      <w:r w:rsidRPr="00B224EC">
        <w:fldChar w:fldCharType="end"/>
      </w:r>
      <w:bookmarkEnd w:id="1999"/>
      <w:r w:rsidRPr="00B224EC">
        <w:t xml:space="preserve"> both: </w:t>
      </w:r>
    </w:p>
    <w:p w14:paraId="48EEEFD2" w14:textId="77777777" w:rsidR="00F67E9E" w:rsidRPr="00436D9D" w:rsidRDefault="00F67E9E" w:rsidP="00F67E9E">
      <w:pPr>
        <w:pStyle w:val="Numbered111"/>
      </w:pPr>
      <w:r w:rsidRPr="00B224EC">
        <w:t xml:space="preserve">in relation to any matters arising prior to the date of assignment or novation of such </w:t>
      </w:r>
      <w:r w:rsidRPr="00436D9D">
        <w:t>Sub-contract; and</w:t>
      </w:r>
    </w:p>
    <w:p w14:paraId="117327D4" w14:textId="3EDC300A" w:rsidR="00F67E9E" w:rsidRPr="00B224EC" w:rsidRDefault="00F67E9E" w:rsidP="00F67E9E">
      <w:pPr>
        <w:pStyle w:val="Numbered111"/>
      </w:pPr>
      <w:r w:rsidRPr="00436D9D">
        <w:t>in relation to any matters arising after the date of assignment or novation of such Sub-contract</w:t>
      </w:r>
      <w:r w:rsidRPr="00B224EC">
        <w:t xml:space="preserve"> where the loss, liability or cost arises as a result of the Supplier</w:t>
      </w:r>
      <w:r>
        <w:t>’</w:t>
      </w:r>
      <w:r w:rsidRPr="00B224EC">
        <w:t xml:space="preserve">s failure to comply with </w:t>
      </w:r>
      <w:bookmarkStart w:id="2000" w:name="_9kMJI5YVtCIA6EMQo2u5uINXK2vzz6H24KQPC74"/>
      <w:r w:rsidRPr="00B224EC">
        <w:t>Clause 16</w:t>
      </w:r>
      <w:bookmarkEnd w:id="2000"/>
      <w:r w:rsidRPr="00B224EC">
        <w:t xml:space="preserve"> (</w:t>
      </w:r>
      <w:r w:rsidRPr="00B224EC">
        <w:rPr>
          <w:i/>
        </w:rPr>
        <w:t>Intellectual Property Rights</w:t>
      </w:r>
      <w:r w:rsidRPr="00B224EC">
        <w:t xml:space="preserve">) and/or </w:t>
      </w:r>
      <w:r>
        <w:fldChar w:fldCharType="begin"/>
      </w:r>
      <w:r>
        <w:instrText xml:space="preserve"> REF Schedule32 \h </w:instrText>
      </w:r>
      <w:r>
        <w:fldChar w:fldCharType="separate"/>
      </w:r>
      <w:r w:rsidR="00302D39" w:rsidRPr="00477926">
        <w:t>Schedule</w:t>
      </w:r>
      <w:r w:rsidR="00302D39">
        <w:t> </w:t>
      </w:r>
      <w:r w:rsidR="00302D39" w:rsidRPr="00477926">
        <w:t>32</w:t>
      </w:r>
      <w:r>
        <w:fldChar w:fldCharType="end"/>
      </w:r>
      <w:r w:rsidRPr="005356F1">
        <w:rPr>
          <w:rStyle w:val="StdBodyTextBoldChar"/>
          <w:rFonts w:eastAsiaTheme="majorEastAsia" w:cs="Arial"/>
          <w:b w:val="0"/>
          <w:bCs/>
          <w:lang w:eastAsia="en-US"/>
        </w:rPr>
        <w:t xml:space="preserve"> </w:t>
      </w:r>
      <w:r w:rsidRPr="002F79D9">
        <w:rPr>
          <w:rStyle w:val="StdBodyTextBoldChar"/>
          <w:rFonts w:eastAsiaTheme="majorEastAsia" w:cs="Arial"/>
          <w:b w:val="0"/>
          <w:bCs/>
          <w:i/>
          <w:iCs/>
          <w:lang w:eastAsia="en-US"/>
        </w:rPr>
        <w:t>(</w:t>
      </w:r>
      <w:r w:rsidRPr="002F79D9">
        <w:rPr>
          <w:rStyle w:val="StdBodyTextBoldChar"/>
          <w:rFonts w:eastAsiaTheme="majorEastAsia" w:cs="Arial"/>
          <w:b w:val="0"/>
          <w:bCs/>
          <w:i/>
          <w:iCs/>
          <w:lang w:eastAsia="en-US"/>
        </w:rPr>
        <w:fldChar w:fldCharType="begin"/>
      </w:r>
      <w:r w:rsidRPr="002F79D9">
        <w:rPr>
          <w:rStyle w:val="StdBodyTextBoldChar"/>
          <w:rFonts w:eastAsiaTheme="majorEastAsia" w:cs="Arial"/>
          <w:b w:val="0"/>
          <w:bCs/>
          <w:i/>
          <w:iCs/>
          <w:lang w:eastAsia="en-US"/>
        </w:rPr>
        <w:instrText xml:space="preserve"> REF Schedule32Heading \h </w:instrText>
      </w:r>
      <w:r>
        <w:rPr>
          <w:rStyle w:val="StdBodyTextBoldChar"/>
          <w:rFonts w:eastAsiaTheme="majorEastAsia" w:cs="Arial"/>
          <w:b w:val="0"/>
          <w:bCs/>
          <w:i/>
          <w:iCs/>
          <w:lang w:eastAsia="en-US"/>
        </w:rPr>
        <w:instrText xml:space="preserve"> \* MERGEFORMAT </w:instrText>
      </w:r>
      <w:r w:rsidRPr="002F79D9">
        <w:rPr>
          <w:rStyle w:val="StdBodyTextBoldChar"/>
          <w:rFonts w:eastAsiaTheme="majorEastAsia" w:cs="Arial"/>
          <w:b w:val="0"/>
          <w:bCs/>
          <w:i/>
          <w:iCs/>
          <w:lang w:eastAsia="en-US"/>
        </w:rPr>
      </w:r>
      <w:r w:rsidRPr="002F79D9">
        <w:rPr>
          <w:rStyle w:val="StdBodyTextBoldChar"/>
          <w:rFonts w:eastAsiaTheme="majorEastAsia" w:cs="Arial"/>
          <w:b w:val="0"/>
          <w:bCs/>
          <w:i/>
          <w:iCs/>
          <w:lang w:eastAsia="en-US"/>
        </w:rPr>
        <w:fldChar w:fldCharType="separate"/>
      </w:r>
      <w:r w:rsidR="00302D39" w:rsidRPr="00302D39">
        <w:rPr>
          <w:i/>
          <w:iCs/>
        </w:rPr>
        <w:t>Intellectual Property Rights</w:t>
      </w:r>
      <w:r w:rsidRPr="002F79D9">
        <w:rPr>
          <w:rStyle w:val="StdBodyTextBoldChar"/>
          <w:rFonts w:eastAsiaTheme="majorEastAsia" w:cs="Arial"/>
          <w:b w:val="0"/>
          <w:bCs/>
          <w:i/>
          <w:iCs/>
          <w:lang w:eastAsia="en-US"/>
        </w:rPr>
        <w:fldChar w:fldCharType="end"/>
      </w:r>
      <w:r w:rsidRPr="005356F1">
        <w:rPr>
          <w:rStyle w:val="StdBodyTextBoldChar"/>
          <w:rFonts w:eastAsiaTheme="majorEastAsia" w:cs="Arial"/>
          <w:b w:val="0"/>
          <w:bCs/>
          <w:lang w:eastAsia="en-US"/>
        </w:rPr>
        <w:t>)</w:t>
      </w:r>
      <w:r w:rsidRPr="00DD4CC2">
        <w:rPr>
          <w:iCs/>
        </w:rPr>
        <w:t>.</w:t>
      </w:r>
    </w:p>
    <w:p w14:paraId="09CBB002" w14:textId="77777777" w:rsidR="00F67E9E" w:rsidRPr="00B224EC" w:rsidRDefault="00F67E9E" w:rsidP="00F67E9E">
      <w:pPr>
        <w:pStyle w:val="Numbered1"/>
      </w:pPr>
      <w:r w:rsidRPr="00B224EC">
        <w:t>Supplier Personnel</w:t>
      </w:r>
    </w:p>
    <w:p w14:paraId="662BF4D9" w14:textId="102E34A6" w:rsidR="00F67E9E" w:rsidRPr="00B224EC" w:rsidRDefault="00F67E9E" w:rsidP="00F67E9E">
      <w:pPr>
        <w:pStyle w:val="Numbered11"/>
      </w:pPr>
      <w:r w:rsidRPr="00B224EC">
        <w:t xml:space="preserve">The Authority and Supplier agree and acknowledge that in the event of the Supplier ceasing to provide the Services or part of them for any reason, </w:t>
      </w:r>
      <w:r>
        <w:rPr>
          <w:rFonts w:cs="Arial"/>
        </w:rPr>
        <w:fldChar w:fldCharType="begin"/>
      </w:r>
      <w:r>
        <w:rPr>
          <w:rFonts w:cs="Arial"/>
        </w:rPr>
        <w:instrText xml:space="preserve"> REF Schedule28 \h </w:instrText>
      </w:r>
      <w:r>
        <w:rPr>
          <w:rFonts w:cs="Arial"/>
        </w:rPr>
      </w:r>
      <w:r>
        <w:rPr>
          <w:rFonts w:cs="Arial"/>
        </w:rPr>
        <w:fldChar w:fldCharType="separate"/>
      </w:r>
      <w:r w:rsidR="00302D39" w:rsidRPr="005D0525">
        <w:t>Schedule</w:t>
      </w:r>
      <w:r w:rsidR="00302D39">
        <w:t> </w:t>
      </w:r>
      <w:r w:rsidR="00302D39" w:rsidRPr="005D0525">
        <w:t>28</w:t>
      </w:r>
      <w:r>
        <w:rPr>
          <w:rFonts w:cs="Arial"/>
        </w:rPr>
        <w:fldChar w:fldCharType="end"/>
      </w:r>
      <w:r>
        <w:rPr>
          <w:rFonts w:cs="Arial"/>
        </w:rPr>
        <w:t xml:space="preserve"> (</w:t>
      </w:r>
      <w:r w:rsidRPr="006F064F">
        <w:rPr>
          <w:rFonts w:cs="Arial"/>
          <w:i/>
          <w:iCs/>
        </w:rPr>
        <w:fldChar w:fldCharType="begin"/>
      </w:r>
      <w:r w:rsidRPr="006F064F">
        <w:rPr>
          <w:rFonts w:cs="Arial"/>
          <w:i/>
          <w:iCs/>
        </w:rPr>
        <w:instrText xml:space="preserve"> REF Schedule28Heading \h </w:instrText>
      </w:r>
      <w:r>
        <w:rPr>
          <w:rFonts w:cs="Arial"/>
          <w:i/>
          <w:iCs/>
        </w:rPr>
        <w:instrText xml:space="preserve"> \* MERGEFORMAT </w:instrText>
      </w:r>
      <w:r w:rsidRPr="006F064F">
        <w:rPr>
          <w:rFonts w:cs="Arial"/>
          <w:i/>
          <w:iCs/>
        </w:rPr>
      </w:r>
      <w:r w:rsidRPr="006F064F">
        <w:rPr>
          <w:rFonts w:cs="Arial"/>
          <w:i/>
          <w:iCs/>
        </w:rPr>
        <w:fldChar w:fldCharType="separate"/>
      </w:r>
      <w:r w:rsidR="00302D39" w:rsidRPr="00302D39">
        <w:rPr>
          <w:i/>
          <w:iCs/>
        </w:rPr>
        <w:t>Staff Transfer</w:t>
      </w:r>
      <w:r w:rsidRPr="006F064F">
        <w:rPr>
          <w:rFonts w:cs="Arial"/>
          <w:i/>
          <w:iCs/>
        </w:rPr>
        <w:fldChar w:fldCharType="end"/>
      </w:r>
      <w:r>
        <w:rPr>
          <w:rFonts w:cs="Arial"/>
        </w:rPr>
        <w:t>)</w:t>
      </w:r>
      <w:r w:rsidRPr="00B224EC">
        <w:t xml:space="preserve"> shall apply.</w:t>
      </w:r>
    </w:p>
    <w:p w14:paraId="3F5D048B" w14:textId="77777777" w:rsidR="00F67E9E" w:rsidRPr="00B224EC" w:rsidRDefault="00F67E9E" w:rsidP="00F67E9E">
      <w:pPr>
        <w:pStyle w:val="Numbered11"/>
      </w:pPr>
      <w:r w:rsidRPr="00B224EC">
        <w:t>The Supplier shall not take any step (expressly or implicitly or directly or indirectly by itself or through any other person) to dissuade or discourage any employees engaged in the provision of the Services from transferring their employment to the Authority and/or the Replacement Supplier.</w:t>
      </w:r>
    </w:p>
    <w:p w14:paraId="6E842EEC" w14:textId="77777777" w:rsidR="00F67E9E" w:rsidRPr="00B224EC" w:rsidRDefault="00F67E9E" w:rsidP="00F67E9E">
      <w:pPr>
        <w:pStyle w:val="Numbered11"/>
      </w:pPr>
      <w:r w:rsidRPr="00B224EC">
        <w:t>During the Termination Assistance Period, the Supplier shall give the Authority and/or the Replacement Supplier reasonable access to the Supplier</w:t>
      </w:r>
      <w:r>
        <w:t>’</w:t>
      </w:r>
      <w:r w:rsidRPr="00B224EC">
        <w:t>s personnel to present the case for transferring their employment to the Authority and/or the Replacement Supplier.</w:t>
      </w:r>
    </w:p>
    <w:p w14:paraId="6008F930" w14:textId="77777777" w:rsidR="00F67E9E" w:rsidRPr="00B224EC" w:rsidRDefault="00F67E9E" w:rsidP="00F67E9E">
      <w:pPr>
        <w:pStyle w:val="Numbered11"/>
      </w:pPr>
      <w:r w:rsidRPr="00B224EC">
        <w:t>The Supplier shall immediately notify the Authority or, at the direction of the Authority, the Replacement Supplier of any period of notice given by the Supplier or received from any person referred to in the Staffing Information, regardless of when such notice takes effect.</w:t>
      </w:r>
    </w:p>
    <w:p w14:paraId="534C7E2D" w14:textId="77777777" w:rsidR="00F67E9E" w:rsidRPr="00B224EC" w:rsidRDefault="00F67E9E" w:rsidP="00F67E9E">
      <w:pPr>
        <w:pStyle w:val="Numbered11"/>
      </w:pPr>
      <w:r w:rsidRPr="00B224EC">
        <w:t>The Supplier shall not for a period of 12 months from the date of transfer re-employ or re-engage or entice any employees, suppliers or Sub-contractors whose employment or engagement is transferred to the Authority and/or the Replacement Supplier, except that this Paragraph shall not apply where the employee, supplier or Sub-contractor applies in response to a public advertisement of a vacancy.</w:t>
      </w:r>
    </w:p>
    <w:p w14:paraId="38917916" w14:textId="77777777" w:rsidR="00F67E9E" w:rsidRPr="00B224EC" w:rsidRDefault="00F67E9E" w:rsidP="00F67E9E">
      <w:pPr>
        <w:pStyle w:val="Numbered1"/>
      </w:pPr>
      <w:r w:rsidRPr="00B224EC">
        <w:t>Charges</w:t>
      </w:r>
    </w:p>
    <w:p w14:paraId="3FDF1AAF" w14:textId="77777777" w:rsidR="00F67E9E" w:rsidRPr="00B224EC" w:rsidRDefault="00F67E9E" w:rsidP="00F67E9E">
      <w:pPr>
        <w:pStyle w:val="Numbered11"/>
      </w:pPr>
      <w:r w:rsidRPr="00B224EC">
        <w:t>During the Termination Assistance Period (or for such shorter period as the Authority may require the Supplier to provide the Termination Services), the Authority shall pay the Charges to the Supplier in respect of the Termination Services in accordance with the rates set out in the Exit Plan (but shall not be required to pay costs in excess of the estimate set out in the Exit Plan). If the scope or timing of the Termination Services is changed and this results in a change to the costs of such Termination Services, the estimate may be varied in accordance with the Change Control Procedure.</w:t>
      </w:r>
    </w:p>
    <w:p w14:paraId="6D0F6F4F" w14:textId="2B0E45A5" w:rsidR="00F67E9E" w:rsidRPr="00DF3219" w:rsidRDefault="00F67E9E" w:rsidP="00F67E9E">
      <w:pPr>
        <w:pStyle w:val="Numbered11"/>
      </w:pPr>
      <w:r w:rsidRPr="00B224EC">
        <w:t xml:space="preserve">Where the Authority requests an extension to the Termination Services beyond the Termination Assistance Period in accordance with </w:t>
      </w:r>
      <w:bookmarkStart w:id="2001" w:name="_9kMHG5YVtCIBELOOIgTlFQG40B69QQAtyA7xCH"/>
      <w:r w:rsidRPr="00B224EC">
        <w:t>Paragraph</w:t>
      </w:r>
      <w:r w:rsidRPr="00DF3219">
        <w:t xml:space="preserve"> </w:t>
      </w:r>
      <w:r w:rsidRPr="00DF3219">
        <w:fldChar w:fldCharType="begin"/>
      </w:r>
      <w:r w:rsidRPr="00DF3219">
        <w:instrText xml:space="preserve"> REF _Ref_ContractCompanion_9kb9Us8FG \n \h \t \* MERGEFORMAT </w:instrText>
      </w:r>
      <w:r w:rsidRPr="00DF3219">
        <w:fldChar w:fldCharType="separate"/>
      </w:r>
      <w:r w:rsidR="00302D39">
        <w:t>6.2</w:t>
      </w:r>
      <w:r w:rsidRPr="00DF3219">
        <w:fldChar w:fldCharType="end"/>
      </w:r>
      <w:bookmarkEnd w:id="2001"/>
      <w:r w:rsidRPr="00DF3219">
        <w:t xml:space="preserve">: </w:t>
      </w:r>
    </w:p>
    <w:p w14:paraId="042E0B56" w14:textId="77777777" w:rsidR="00F67E9E" w:rsidRPr="00DF3219" w:rsidRDefault="00F67E9E" w:rsidP="00F67E9E">
      <w:pPr>
        <w:pStyle w:val="Numbered111"/>
      </w:pPr>
      <w:r w:rsidRPr="00DF3219">
        <w:t>where more than 6 months</w:t>
      </w:r>
      <w:r>
        <w:t>’</w:t>
      </w:r>
      <w:r w:rsidRPr="00DF3219">
        <w:t xml:space="preserve"> notice is provided, the same rate as set out in the Exit Plan (or the Charges when not stated in the Exit Plan) shall be payable; and</w:t>
      </w:r>
    </w:p>
    <w:p w14:paraId="7575896D" w14:textId="77777777" w:rsidR="00F67E9E" w:rsidRPr="00DF3219" w:rsidRDefault="00F67E9E" w:rsidP="00F67E9E">
      <w:pPr>
        <w:pStyle w:val="Numbered111"/>
      </w:pPr>
      <w:r w:rsidRPr="00DF3219">
        <w:t>where less than 6 months</w:t>
      </w:r>
      <w:r>
        <w:t>’</w:t>
      </w:r>
      <w:r w:rsidRPr="00DF3219">
        <w:t xml:space="preserve"> notice is provided, no more than [</w:t>
      </w:r>
      <w:bookmarkStart w:id="2002" w:name="_9kR3WTr2BCCKE8B"/>
      <w:r w:rsidRPr="008758E7">
        <w:rPr>
          <w:highlight w:val="yellow"/>
        </w:rPr>
        <w:t>1.2</w:t>
      </w:r>
      <w:bookmarkEnd w:id="2002"/>
      <w:r w:rsidRPr="00DF3219">
        <w:t>] times the rate as set out in the Exit Plan (or the Charges when not stated in the Exit Plan) shall be payable.</w:t>
      </w:r>
    </w:p>
    <w:p w14:paraId="39261ABA" w14:textId="77777777" w:rsidR="00F67E9E" w:rsidRPr="00DF3219" w:rsidRDefault="00F67E9E" w:rsidP="00F67E9E">
      <w:pPr>
        <w:pStyle w:val="Numbered11"/>
      </w:pPr>
      <w:r w:rsidRPr="00DF3219">
        <w:t>For the purpose of calculating the costs of providing the Termination Services for inclusion in the Exit Plan or, if no Exit Plan has been agreed, the costs of providing Termination Services shall be determined in accordance with the Change Control Procedure.</w:t>
      </w:r>
    </w:p>
    <w:p w14:paraId="05DC1C6D" w14:textId="77777777" w:rsidR="00F67E9E" w:rsidRPr="00B224EC" w:rsidRDefault="00F67E9E" w:rsidP="00F67E9E">
      <w:pPr>
        <w:pStyle w:val="Numbered11"/>
      </w:pPr>
      <w:r w:rsidRPr="00B224EC">
        <w:t>Except as otherwise expressly specified in this Agreement, the Supplier shall not make any charges for the services provided by the Supplier pursuant to, and the Authority shall not be obliged to pay for costs incurred by the Supplier in relation to its compliance with, this Schedule including the preparation and implementation of the Exit Plan and any activities mutually agreed between the Parties to carry on after the expiry of the Termination Assistance Period.</w:t>
      </w:r>
    </w:p>
    <w:p w14:paraId="683B46AE" w14:textId="77777777" w:rsidR="00F67E9E" w:rsidRPr="00B224EC" w:rsidRDefault="00F67E9E" w:rsidP="00F67E9E">
      <w:pPr>
        <w:pStyle w:val="Numbered1"/>
      </w:pPr>
      <w:r w:rsidRPr="00B224EC">
        <w:t>Apportionments</w:t>
      </w:r>
    </w:p>
    <w:p w14:paraId="45136D2F" w14:textId="77777777" w:rsidR="00F67E9E" w:rsidRPr="00DF3219" w:rsidRDefault="00F67E9E" w:rsidP="00F67E9E">
      <w:pPr>
        <w:pStyle w:val="Numbered11"/>
      </w:pPr>
      <w:bookmarkStart w:id="2003" w:name="_Ref_ContractCompanion_9kb9Us8GB"/>
      <w:bookmarkStart w:id="2004" w:name="_9kR3WTrAG9CKHB9ALDvz9F2y11061x1tEQ87MEF"/>
      <w:r w:rsidRPr="00B224EC">
        <w:t xml:space="preserve">All outgoings and expenses (including any remuneration due) and all rents, royalties and other periodical payments receivable in respect of the </w:t>
      </w:r>
      <w:bookmarkStart w:id="2005" w:name="_9kR3WTr2AC7CFdZnk3wjwA2zyMTI57M404lu85O"/>
      <w:r w:rsidRPr="00B224EC">
        <w:t>Transferring Assets and Transferring Contracts</w:t>
      </w:r>
      <w:bookmarkEnd w:id="2005"/>
      <w:r w:rsidRPr="00DF3219">
        <w:t xml:space="preserve"> shall be apportioned between the Authority and the Supplier and/or the Replacement Supplier and the Supplier (as applicable) as follows:</w:t>
      </w:r>
      <w:bookmarkEnd w:id="2003"/>
      <w:bookmarkEnd w:id="2004"/>
    </w:p>
    <w:p w14:paraId="1550741A" w14:textId="77777777" w:rsidR="00F67E9E" w:rsidRPr="00DF3219" w:rsidRDefault="00F67E9E" w:rsidP="00F67E9E">
      <w:pPr>
        <w:pStyle w:val="Numbered111"/>
      </w:pPr>
      <w:r w:rsidRPr="00DF3219">
        <w:t>the amounts shall be annualised and divided by 365 to reach a daily rate;</w:t>
      </w:r>
    </w:p>
    <w:p w14:paraId="4A82BC9F" w14:textId="77777777" w:rsidR="00F67E9E" w:rsidRPr="00DF3219" w:rsidRDefault="00F67E9E" w:rsidP="00F67E9E">
      <w:pPr>
        <w:pStyle w:val="Numbered111"/>
      </w:pPr>
      <w:r w:rsidRPr="00DF3219">
        <w:t>the Authority shall be responsible for (or shall procure that the Replacement Supplier shall be responsible for) or entitled to (as the case may be) that part of the value of the invoice pro rata to the number of complete days following the transfer, multiplied by the daily rate; and</w:t>
      </w:r>
    </w:p>
    <w:p w14:paraId="148AFBED" w14:textId="77777777" w:rsidR="00F67E9E" w:rsidRPr="00DF3219" w:rsidRDefault="00F67E9E" w:rsidP="00F67E9E">
      <w:pPr>
        <w:pStyle w:val="Numbered111"/>
      </w:pPr>
      <w:r w:rsidRPr="00DF3219">
        <w:t>the Supplier shall be responsible for or entitled to (as the case may be) the rest of the invoice.</w:t>
      </w:r>
    </w:p>
    <w:p w14:paraId="32EF769C" w14:textId="5BE2942F" w:rsidR="00F67E9E" w:rsidRPr="00B224EC" w:rsidRDefault="00F67E9E" w:rsidP="00F67E9E">
      <w:pPr>
        <w:pStyle w:val="Numbered11"/>
      </w:pPr>
      <w:r w:rsidRPr="00B224EC">
        <w:t xml:space="preserve">Each Party shall pay (and/or the Authority shall procure that the Replacement Supplier shall pay) any monies due under </w:t>
      </w:r>
      <w:bookmarkStart w:id="2006" w:name="_9kMHG5YVtCIBEMJDBCNFx1BH4033283z3vGSA9O"/>
      <w:r w:rsidRPr="00B224EC">
        <w:t xml:space="preserve">Paragraph </w:t>
      </w:r>
      <w:r w:rsidRPr="00B224EC">
        <w:fldChar w:fldCharType="begin"/>
      </w:r>
      <w:r w:rsidRPr="00B224EC">
        <w:instrText xml:space="preserve"> REF _Ref_ContractCompanion_9kb9Us8GB \n \h \t \* MERGEFORMAT </w:instrText>
      </w:r>
      <w:r w:rsidRPr="00B224EC">
        <w:fldChar w:fldCharType="separate"/>
      </w:r>
      <w:r w:rsidR="00302D39">
        <w:t>10.1</w:t>
      </w:r>
      <w:r w:rsidRPr="00B224EC">
        <w:fldChar w:fldCharType="end"/>
      </w:r>
      <w:bookmarkEnd w:id="2006"/>
      <w:r w:rsidRPr="00B224EC">
        <w:t xml:space="preserve"> as soon as reasonably practicable.</w:t>
      </w:r>
    </w:p>
    <w:p w14:paraId="27A60B66" w14:textId="77777777" w:rsidR="00F67E9E" w:rsidRDefault="00F67E9E" w:rsidP="00F67E9E"/>
    <w:p w14:paraId="281021E5" w14:textId="77777777" w:rsidR="00F67E9E" w:rsidRDefault="00F67E9E" w:rsidP="00F67E9E">
      <w:pPr>
        <w:pStyle w:val="Heading2"/>
        <w:pageBreakBefore/>
      </w:pPr>
      <w:bookmarkStart w:id="2007" w:name="_Ref_ContractCompanion_9kb9Us883"/>
      <w:bookmarkStart w:id="2008" w:name="_Toc141711975"/>
      <w:r w:rsidRPr="00B224EC">
        <w:t xml:space="preserve">Annex </w:t>
      </w:r>
      <w:bookmarkStart w:id="2009" w:name="ANNEX1_SCHEDULE25"/>
      <w:r w:rsidRPr="00B224EC">
        <w:t>1</w:t>
      </w:r>
      <w:bookmarkEnd w:id="2009"/>
      <w:r w:rsidRPr="00B224EC">
        <w:t xml:space="preserve">: Scope </w:t>
      </w:r>
      <w:r>
        <w:t>o</w:t>
      </w:r>
      <w:r w:rsidRPr="00B224EC">
        <w:t xml:space="preserve">f </w:t>
      </w:r>
      <w:r>
        <w:t>t</w:t>
      </w:r>
      <w:r w:rsidRPr="00B224EC">
        <w:t>he Termination Services</w:t>
      </w:r>
      <w:bookmarkEnd w:id="2007"/>
      <w:bookmarkEnd w:id="2008"/>
    </w:p>
    <w:p w14:paraId="0DF11FDE" w14:textId="77777777" w:rsidR="00F67E9E" w:rsidRPr="00B224EC" w:rsidRDefault="00F67E9E" w:rsidP="00F67E9E">
      <w:pPr>
        <w:pStyle w:val="AppendixText1"/>
        <w:numPr>
          <w:ilvl w:val="0"/>
          <w:numId w:val="65"/>
        </w:numPr>
      </w:pPr>
      <w:bookmarkStart w:id="2010" w:name="_Ref_ContractCompanion_9kb9Us7FG"/>
      <w:r w:rsidRPr="00F306D2">
        <w:t xml:space="preserve">Scope of the </w:t>
      </w:r>
      <w:r w:rsidRPr="00122216">
        <w:t>Termination</w:t>
      </w:r>
      <w:r w:rsidRPr="00F306D2">
        <w:t xml:space="preserve"> Services</w:t>
      </w:r>
    </w:p>
    <w:p w14:paraId="76603AAC" w14:textId="77777777" w:rsidR="00F67E9E" w:rsidRPr="00B224EC" w:rsidRDefault="00F67E9E" w:rsidP="00F67E9E">
      <w:pPr>
        <w:pStyle w:val="AppendixText2"/>
      </w:pPr>
      <w:bookmarkStart w:id="2011" w:name="_Ref99013643"/>
      <w:r w:rsidRPr="00B224EC">
        <w:t xml:space="preserve">The Termination Services to be provided by the Supplier shall include such of the following services as the </w:t>
      </w:r>
      <w:r w:rsidRPr="00122216">
        <w:t>Authority</w:t>
      </w:r>
      <w:r w:rsidRPr="00B224EC">
        <w:t xml:space="preserve"> may specify:</w:t>
      </w:r>
      <w:bookmarkEnd w:id="2010"/>
      <w:bookmarkEnd w:id="2011"/>
    </w:p>
    <w:p w14:paraId="64B7CD12" w14:textId="77777777" w:rsidR="00F67E9E" w:rsidRPr="00122216" w:rsidRDefault="00F67E9E" w:rsidP="00F67E9E">
      <w:pPr>
        <w:pStyle w:val="AppendixText3"/>
      </w:pPr>
      <w:r w:rsidRPr="00B224EC">
        <w:t xml:space="preserve">ceasing all non-critical Software changes (except where agreed in writing with the </w:t>
      </w:r>
      <w:r w:rsidRPr="00122216">
        <w:t>Authority);</w:t>
      </w:r>
    </w:p>
    <w:p w14:paraId="7A431DA7" w14:textId="77777777" w:rsidR="00F67E9E" w:rsidRPr="00122216" w:rsidRDefault="00F67E9E" w:rsidP="00F67E9E">
      <w:pPr>
        <w:pStyle w:val="AppendixText3"/>
      </w:pPr>
      <w:r w:rsidRPr="00122216">
        <w:t>notifying the Sub-contractors of procedures to be followed during the Termination Assistance Period and providing management to ensure these procedures are followed;</w:t>
      </w:r>
    </w:p>
    <w:p w14:paraId="7BD58201" w14:textId="77777777" w:rsidR="00F67E9E" w:rsidRPr="00122216" w:rsidRDefault="00F67E9E" w:rsidP="00F67E9E">
      <w:pPr>
        <w:pStyle w:val="AppendixText3"/>
      </w:pPr>
      <w:r w:rsidRPr="00122216">
        <w:t>providing assistance and expertise as necessary to examine all operational and business processes (including all supporting documentation) in place and re-writing and implementing processes and procedures such that they are appropriate for use by the Authority and/or the Replacement Supplier after the end of the Termination Assistance Period;</w:t>
      </w:r>
    </w:p>
    <w:p w14:paraId="48E967C2" w14:textId="77777777" w:rsidR="00F67E9E" w:rsidRPr="00122216" w:rsidRDefault="00F67E9E" w:rsidP="00F67E9E">
      <w:pPr>
        <w:pStyle w:val="AppendixText3"/>
      </w:pPr>
      <w:r w:rsidRPr="00122216">
        <w:t>delivering to the Authority the existing systems support profiles, monitoring or system logs, problem tracking/resolution documentation and status reports all relating to the 12 month period immediately prior to the commencement of the Termination Services;</w:t>
      </w:r>
    </w:p>
    <w:p w14:paraId="3D3E6002" w14:textId="77777777" w:rsidR="00F67E9E" w:rsidRPr="00122216" w:rsidRDefault="00F67E9E" w:rsidP="00F67E9E">
      <w:pPr>
        <w:pStyle w:val="AppendixText3"/>
      </w:pPr>
      <w:r w:rsidRPr="00122216">
        <w:t>providing details of work volumes and staffing requirements over the 12 month period immediately prior to the commencement of the Termination Services;</w:t>
      </w:r>
    </w:p>
    <w:p w14:paraId="1CF60119" w14:textId="77777777" w:rsidR="00F67E9E" w:rsidRPr="00122216" w:rsidRDefault="00F67E9E" w:rsidP="00F67E9E">
      <w:pPr>
        <w:pStyle w:val="AppendixText3"/>
      </w:pPr>
      <w:r w:rsidRPr="00122216">
        <w:t>with respect to work in progress as at the end of the Termination Assistance Period, documenting the current status and stabilising for continuity during transition;</w:t>
      </w:r>
    </w:p>
    <w:p w14:paraId="2494E3CA" w14:textId="77777777" w:rsidR="00F67E9E" w:rsidRPr="00122216" w:rsidRDefault="00F67E9E" w:rsidP="00F67E9E">
      <w:pPr>
        <w:pStyle w:val="AppendixText3"/>
      </w:pPr>
      <w:r w:rsidRPr="00122216">
        <w:t>providing the Authority with any problem logs which have not previously been provided to the Authority;</w:t>
      </w:r>
    </w:p>
    <w:p w14:paraId="7EF38FB3" w14:textId="77777777" w:rsidR="00F67E9E" w:rsidRPr="00122216" w:rsidRDefault="00F67E9E" w:rsidP="00F67E9E">
      <w:pPr>
        <w:pStyle w:val="AppendixText3"/>
      </w:pPr>
      <w:r w:rsidRPr="00122216">
        <w:t>providing assistance and expertise as necessary to examine all governance and reports in place for the provision of the Services and re-writing and implementing these during and for a period of 12 months after the Termination Assistance Period;</w:t>
      </w:r>
    </w:p>
    <w:p w14:paraId="60DCC5A1" w14:textId="77777777" w:rsidR="00F67E9E" w:rsidRPr="00122216" w:rsidRDefault="00F67E9E" w:rsidP="00F67E9E">
      <w:pPr>
        <w:pStyle w:val="AppendixText3"/>
      </w:pPr>
      <w:r w:rsidRPr="00122216">
        <w:t>providing assistance and expertise as necessary to examine all relevant roles and responsibilities in place for the provision of the Services and re-writing and implementing these such that they are appropriate for the continuation of the Services after the Termination Assistance Period;</w:t>
      </w:r>
    </w:p>
    <w:p w14:paraId="10969838" w14:textId="77777777" w:rsidR="00F67E9E" w:rsidRPr="00122216" w:rsidRDefault="00F67E9E" w:rsidP="00F67E9E">
      <w:pPr>
        <w:pStyle w:val="AppendixText3"/>
      </w:pPr>
      <w:r w:rsidRPr="00122216">
        <w:t xml:space="preserve">agreeing with the Authority an effective communication strategy and joint communications plan which sets out the implications for Supplier Personnel, Authority staff, customers and key stakeholders; </w:t>
      </w:r>
    </w:p>
    <w:p w14:paraId="7C5A50F1" w14:textId="77777777" w:rsidR="00F67E9E" w:rsidRPr="00122216" w:rsidRDefault="00F67E9E" w:rsidP="00F67E9E">
      <w:pPr>
        <w:pStyle w:val="AppendixText3"/>
      </w:pPr>
      <w:r w:rsidRPr="00122216">
        <w:t>reviewing all Software libraries used in connection with the Services and providing details of these to the Authority and/or the Replacement Supplier;</w:t>
      </w:r>
    </w:p>
    <w:p w14:paraId="2FE01B06" w14:textId="77777777" w:rsidR="00F67E9E" w:rsidRPr="00B224EC" w:rsidRDefault="00F67E9E" w:rsidP="00F67E9E">
      <w:pPr>
        <w:pStyle w:val="AppendixText3"/>
      </w:pPr>
      <w:bookmarkStart w:id="2012" w:name="_Ref44579654"/>
      <w:r w:rsidRPr="00122216">
        <w:t>providing assistance</w:t>
      </w:r>
      <w:r w:rsidRPr="00B224EC">
        <w:t xml:space="preserve"> and expertise as necessary to support the Authority and/or the Replacement Supplier develop the migration plan for business operations and Authority Data to the Replacement Supplier, which may include migration approach, testing of plans, contingency options, and handling of historic or archived Authority Data;</w:t>
      </w:r>
      <w:bookmarkEnd w:id="2012"/>
    </w:p>
    <w:p w14:paraId="43797731" w14:textId="77777777" w:rsidR="00F67E9E" w:rsidRPr="00B224EC" w:rsidRDefault="00F67E9E" w:rsidP="00F67E9E">
      <w:pPr>
        <w:pStyle w:val="AppendixText3"/>
      </w:pPr>
      <w:r w:rsidRPr="00B224EC">
        <w:t xml:space="preserve">provide all necessary support, equipment, tools, and Software such as data migration services and/or Automated Programming Interfaces, in order to enable and support the execution of the migration plan by the Authority and/or Replacement Supplier; </w:t>
      </w:r>
    </w:p>
    <w:p w14:paraId="25DE6D9E" w14:textId="77777777" w:rsidR="00F67E9E" w:rsidRPr="00B224EC" w:rsidRDefault="00F67E9E" w:rsidP="00F67E9E">
      <w:pPr>
        <w:pStyle w:val="AppendixText3"/>
      </w:pPr>
      <w:bookmarkStart w:id="2013" w:name="_Ref88553311"/>
      <w:r w:rsidRPr="00B224EC">
        <w:t>making available to the Authority and/or the Replacement Supplier expertise to analyse training requirements and provide all necessary training for the use of tools by such staff as are nominated by the Authority (acting reasonably) at the time of termination or expiry;</w:t>
      </w:r>
      <w:bookmarkEnd w:id="2013"/>
    </w:p>
    <w:p w14:paraId="611FFF91" w14:textId="77777777" w:rsidR="00F67E9E" w:rsidRPr="00B224EC" w:rsidRDefault="00F67E9E" w:rsidP="00F67E9E">
      <w:pPr>
        <w:pStyle w:val="AppendixText3"/>
      </w:pPr>
      <w:r w:rsidRPr="00B224EC">
        <w:t>assisting in establishing naming conventions for any new production site;</w:t>
      </w:r>
    </w:p>
    <w:p w14:paraId="239C4E38" w14:textId="77777777" w:rsidR="00F67E9E" w:rsidRPr="00DF3219" w:rsidRDefault="00F67E9E" w:rsidP="00F67E9E">
      <w:pPr>
        <w:pStyle w:val="AppendixText3"/>
      </w:pPr>
      <w:bookmarkStart w:id="2014" w:name="_Ref44579667"/>
      <w:r w:rsidRPr="00DF3219">
        <w:t>analysing and providing information about capacity and performance requirements, processor requirements and bandwidth requirements, and known planned requirements for capacity growth across these areas;</w:t>
      </w:r>
      <w:bookmarkEnd w:id="2014"/>
    </w:p>
    <w:p w14:paraId="3E718D71" w14:textId="77777777" w:rsidR="00F67E9E" w:rsidRPr="00DF3219" w:rsidRDefault="00F67E9E" w:rsidP="00F67E9E">
      <w:pPr>
        <w:pStyle w:val="AppendixText3"/>
      </w:pPr>
      <w:r w:rsidRPr="00DF3219">
        <w:t xml:space="preserve">generating a computer listing of the </w:t>
      </w:r>
      <w:bookmarkStart w:id="2015" w:name="_9kR3WTr2AC7DGcV48rfGLtk"/>
      <w:r w:rsidRPr="00DF3219">
        <w:t>Source Code</w:t>
      </w:r>
      <w:bookmarkEnd w:id="2015"/>
      <w:r w:rsidRPr="00DF3219">
        <w:t xml:space="preserve"> of </w:t>
      </w:r>
      <w:r w:rsidRPr="00B73DD6">
        <w:rPr>
          <w:b/>
          <w:highlight w:val="yellow"/>
        </w:rPr>
        <w:t>[insert</w:t>
      </w:r>
      <w:r w:rsidRPr="00680F14">
        <w:rPr>
          <w:highlight w:val="yellow"/>
        </w:rPr>
        <w:t xml:space="preserve"> details of relevant Software</w:t>
      </w:r>
      <w:r w:rsidRPr="00DF3219">
        <w:rPr>
          <w:highlight w:val="yellow"/>
        </w:rPr>
        <w:t>]</w:t>
      </w:r>
      <w:r w:rsidRPr="00DF3219">
        <w:t xml:space="preserve"> in a form and on media reasonably requested by the Authority;</w:t>
      </w:r>
    </w:p>
    <w:p w14:paraId="254BEC63" w14:textId="77777777" w:rsidR="00F67E9E" w:rsidRPr="00DF3219" w:rsidRDefault="00F67E9E" w:rsidP="00F67E9E">
      <w:pPr>
        <w:pStyle w:val="AppendixText3"/>
      </w:pPr>
      <w:bookmarkStart w:id="2016" w:name="_Ref88552689"/>
      <w:r w:rsidRPr="00DF3219">
        <w:t>agreeing with the Authority a handover plan for all of the Supplier</w:t>
      </w:r>
      <w:r>
        <w:t>’</w:t>
      </w:r>
      <w:r w:rsidRPr="00DF3219">
        <w:t>s responsibilities as set out in the Security Management Plan;</w:t>
      </w:r>
      <w:bookmarkEnd w:id="2016"/>
    </w:p>
    <w:p w14:paraId="6CB85E9D" w14:textId="77777777" w:rsidR="00F67E9E" w:rsidRPr="00DF3219" w:rsidRDefault="00F67E9E" w:rsidP="00F67E9E">
      <w:pPr>
        <w:pStyle w:val="AppendixText3"/>
      </w:pPr>
      <w:r w:rsidRPr="00DF3219">
        <w:t>delivering copies of the production databases (with content listings) to the Authority</w:t>
      </w:r>
      <w:r>
        <w:t>’</w:t>
      </w:r>
      <w:r w:rsidRPr="00DF3219">
        <w:t>s and/or the Replacement Supplier</w:t>
      </w:r>
      <w:r>
        <w:t>’</w:t>
      </w:r>
      <w:r w:rsidRPr="00DF3219">
        <w:t>s operations staff (on appropriate media) as reasonably requested by the Authority;</w:t>
      </w:r>
    </w:p>
    <w:p w14:paraId="7812A644" w14:textId="77777777" w:rsidR="00F67E9E" w:rsidRPr="00DF3219" w:rsidRDefault="00F67E9E" w:rsidP="00F67E9E">
      <w:pPr>
        <w:pStyle w:val="AppendixText3"/>
      </w:pPr>
      <w:r w:rsidRPr="00DF3219">
        <w:t>assisting with the loading, testing and implementation of the production databases;</w:t>
      </w:r>
    </w:p>
    <w:p w14:paraId="7E817B01" w14:textId="77777777" w:rsidR="00F67E9E" w:rsidRPr="00DF3219" w:rsidRDefault="00F67E9E" w:rsidP="00F67E9E">
      <w:pPr>
        <w:pStyle w:val="AppendixText3"/>
      </w:pPr>
      <w:r w:rsidRPr="00DF3219">
        <w:t xml:space="preserve">assisting in the </w:t>
      </w:r>
      <w:r w:rsidRPr="00B224EC">
        <w:t>execution of a parallel operation until the effective date of expiry or termination of this Contract;</w:t>
      </w:r>
    </w:p>
    <w:p w14:paraId="4858E2C1" w14:textId="77777777" w:rsidR="00F67E9E" w:rsidRPr="00DF3219" w:rsidRDefault="00F67E9E" w:rsidP="00F67E9E">
      <w:pPr>
        <w:pStyle w:val="AppendixText3"/>
      </w:pPr>
      <w:r w:rsidRPr="00DF3219">
        <w:t xml:space="preserve">in respect of the maintenance and support of the Supplier System, providing historical performance data for the previous </w:t>
      </w:r>
      <w:r w:rsidRPr="00B73DD6">
        <w:rPr>
          <w:b/>
          <w:highlight w:val="yellow"/>
        </w:rPr>
        <w:t>[insert</w:t>
      </w:r>
      <w:r w:rsidRPr="00680F14">
        <w:rPr>
          <w:highlight w:val="yellow"/>
        </w:rPr>
        <w:t xml:space="preserve"> time period</w:t>
      </w:r>
      <w:r w:rsidRPr="00DF3219">
        <w:rPr>
          <w:highlight w:val="yellow"/>
        </w:rPr>
        <w:t>]</w:t>
      </w:r>
      <w:r w:rsidRPr="00DF3219">
        <w:t>;</w:t>
      </w:r>
    </w:p>
    <w:p w14:paraId="14FFD6AA" w14:textId="77777777" w:rsidR="00F67E9E" w:rsidRPr="00DF3219" w:rsidRDefault="00F67E9E" w:rsidP="00F67E9E">
      <w:pPr>
        <w:pStyle w:val="AppendixText3"/>
      </w:pPr>
      <w:r w:rsidRPr="00DF3219">
        <w:t>assisting in the execution of a parallel operation of the maintenance and support of the Supplier System until the end of the Termination Assistance Period or as otherwise specified by the Authority (provided that these Services shall end on a date no later than the end of the Termination Assistance Period);</w:t>
      </w:r>
    </w:p>
    <w:p w14:paraId="35DAF55A" w14:textId="77777777" w:rsidR="00F67E9E" w:rsidRPr="00DF3219" w:rsidRDefault="00F67E9E" w:rsidP="00F67E9E">
      <w:pPr>
        <w:pStyle w:val="AppendixText3"/>
      </w:pPr>
      <w:bookmarkStart w:id="2017" w:name="_Ref44579677"/>
      <w:r w:rsidRPr="00DF3219">
        <w:t>providing an information pack listing and describing the Services for use by the Authority in the procurement of the Replacement Services;</w:t>
      </w:r>
      <w:bookmarkEnd w:id="2017"/>
    </w:p>
    <w:p w14:paraId="2C033D03" w14:textId="77777777" w:rsidR="00F67E9E" w:rsidRPr="00DF3219" w:rsidRDefault="00F67E9E" w:rsidP="00F67E9E">
      <w:pPr>
        <w:pStyle w:val="AppendixText3"/>
      </w:pPr>
      <w:r w:rsidRPr="00DF3219">
        <w:t>answering all reasonable questions from the Authority and/or the Replacement Supplier regarding the Services;</w:t>
      </w:r>
    </w:p>
    <w:p w14:paraId="1348623A" w14:textId="77777777" w:rsidR="00F67E9E" w:rsidRPr="00DF3219" w:rsidRDefault="00F67E9E" w:rsidP="00F67E9E">
      <w:pPr>
        <w:pStyle w:val="AppendixText3"/>
      </w:pPr>
      <w:bookmarkStart w:id="2018" w:name="_Ref44579690"/>
      <w:r w:rsidRPr="00DF3219">
        <w:t>agreeing with the Authority and/or the Replacement Supplier a plan for the migration of the Authority Data to the Authority and/or the Replacement Supplier;</w:t>
      </w:r>
      <w:bookmarkEnd w:id="2018"/>
    </w:p>
    <w:p w14:paraId="5AECFF25" w14:textId="77777777" w:rsidR="00F67E9E" w:rsidRPr="00DF3219" w:rsidRDefault="00F67E9E" w:rsidP="00F67E9E">
      <w:pPr>
        <w:pStyle w:val="AppendixText3"/>
      </w:pPr>
      <w:bookmarkStart w:id="2019" w:name="_Ref88552407"/>
      <w:r w:rsidRPr="00DF3219">
        <w:t>providing access to the Authority and/or the Replacement Supplier during the Termination Assistance Period and for a period not exceeding 6 months afterwards for the purpose of the smooth transfer of the Services to the Authority and/or the Replacement Supplier:</w:t>
      </w:r>
      <w:bookmarkEnd w:id="2019"/>
    </w:p>
    <w:p w14:paraId="5105117F" w14:textId="77777777" w:rsidR="00F67E9E" w:rsidRPr="00122216" w:rsidRDefault="00F67E9E" w:rsidP="00F67E9E">
      <w:pPr>
        <w:pStyle w:val="AppendixText4"/>
      </w:pPr>
      <w:r w:rsidRPr="00B224EC">
        <w:t>to information and documentation relating to the Transferring Services that is in the possession or control of the Supplier or its Sub-contractors (and the Supplier agrees and shall procure that its Sub-contractors do not destro</w:t>
      </w:r>
      <w:r w:rsidRPr="00AE5E59">
        <w:t xml:space="preserve">y or dispose of that information within this period) including the right to take </w:t>
      </w:r>
      <w:r w:rsidRPr="00122216">
        <w:t>reasonable copies of that material; and</w:t>
      </w:r>
    </w:p>
    <w:p w14:paraId="4A7D13EC" w14:textId="77777777" w:rsidR="00F67E9E" w:rsidRPr="00B224EC" w:rsidRDefault="00F67E9E" w:rsidP="00F67E9E">
      <w:pPr>
        <w:pStyle w:val="AppendixText4"/>
      </w:pPr>
      <w:r w:rsidRPr="00122216">
        <w:t>following</w:t>
      </w:r>
      <w:r w:rsidRPr="00AE5E59">
        <w:t xml:space="preserve"> reasonable notice and during the Supplier’s normal business hours, to members of the Supplier Personnel who have been involved in the provisi</w:t>
      </w:r>
      <w:r w:rsidRPr="00B224EC">
        <w:t>on or management of the Services and who are still employed or engaged by the Supplier or its Sub-contractors; and</w:t>
      </w:r>
    </w:p>
    <w:p w14:paraId="3B7215F5" w14:textId="77777777" w:rsidR="00F67E9E" w:rsidRPr="00DF3219" w:rsidRDefault="00F67E9E" w:rsidP="00F67E9E">
      <w:pPr>
        <w:pStyle w:val="AppendixText3"/>
      </w:pPr>
      <w:r w:rsidRPr="00DF3219">
        <w:t>knowledge transfer services, including:</w:t>
      </w:r>
    </w:p>
    <w:p w14:paraId="22C12DF3" w14:textId="77777777" w:rsidR="00F67E9E" w:rsidRPr="00DF3219" w:rsidRDefault="00F67E9E" w:rsidP="00F67E9E">
      <w:pPr>
        <w:pStyle w:val="AppendixText4"/>
      </w:pPr>
      <w:r w:rsidRPr="00DF3219">
        <w:t>transferring all training material and providing appropriate training to those Authority and/or Replacement Supplier staff responsible for internal training in connection with the provision of the Services;</w:t>
      </w:r>
    </w:p>
    <w:p w14:paraId="680C83DD" w14:textId="77777777" w:rsidR="00F67E9E" w:rsidRPr="00DF3219" w:rsidRDefault="00F67E9E" w:rsidP="00F67E9E">
      <w:pPr>
        <w:pStyle w:val="AppendixText4"/>
      </w:pPr>
      <w:r w:rsidRPr="00DF3219">
        <w:t xml:space="preserve">providing for transfer to the Authority and/or the Replacement Supplier of all knowledge reasonably required for the provision of the Services which may, as appropriate, include information, records and documents; </w:t>
      </w:r>
    </w:p>
    <w:p w14:paraId="432BA527" w14:textId="77777777" w:rsidR="00F67E9E" w:rsidRPr="00B224EC" w:rsidRDefault="00F67E9E" w:rsidP="00F67E9E">
      <w:pPr>
        <w:pStyle w:val="AppendixText4"/>
      </w:pPr>
      <w:r w:rsidRPr="00B224EC">
        <w:t>providing the Supplier and/or the Replacement Supplier with access to such members of the Supplier</w:t>
      </w:r>
      <w:r>
        <w:t>’</w:t>
      </w:r>
      <w:r w:rsidRPr="00B224EC">
        <w:t>s or its Sub-contractors</w:t>
      </w:r>
      <w:r>
        <w:t>’</w:t>
      </w:r>
      <w:r w:rsidRPr="00B224EC">
        <w:t xml:space="preserve"> personnel as have been involved in the design, development</w:t>
      </w:r>
      <w:r w:rsidRPr="00DF3219">
        <w:t xml:space="preserve">, provision or management of the Services and </w:t>
      </w:r>
      <w:r w:rsidRPr="00B224EC">
        <w:t>who are still employed or engaged by the Supplier or its Sub-contractors; and</w:t>
      </w:r>
    </w:p>
    <w:p w14:paraId="7C6BAA46" w14:textId="77777777" w:rsidR="00F67E9E" w:rsidRPr="00B224EC" w:rsidRDefault="00F67E9E" w:rsidP="00F67E9E">
      <w:pPr>
        <w:pStyle w:val="AppendixText4"/>
      </w:pPr>
      <w:r w:rsidRPr="00B224EC">
        <w:t>allowing the Authority and/or the Replacement Supplier to work alongside and observe the performance of the Services by the Supplier at its Sites used to fulfil the Services (subject to compliance by the Authority and the Replacement Supplier with any applicable security and/or health and safety restrictions,</w:t>
      </w:r>
    </w:p>
    <w:p w14:paraId="497028DB" w14:textId="77777777" w:rsidR="00F67E9E" w:rsidRPr="00B224EC" w:rsidRDefault="00F67E9E" w:rsidP="00F67E9E">
      <w:pPr>
        <w:pStyle w:val="AppendixText5"/>
        <w:numPr>
          <w:ilvl w:val="0"/>
          <w:numId w:val="0"/>
        </w:numPr>
        <w:ind w:left="1800"/>
      </w:pPr>
      <w:r w:rsidRPr="00B224EC">
        <w:t>and any such person who is provided with such knowledge transfer services will sign a confidentiality undertaking in favour of the Supplier (in such form as the Supplier shall reasonably require)).</w:t>
      </w:r>
    </w:p>
    <w:p w14:paraId="6EDC22E9" w14:textId="77777777" w:rsidR="00F67E9E" w:rsidRPr="00B224EC" w:rsidRDefault="00F67E9E" w:rsidP="00F67E9E">
      <w:pPr>
        <w:pStyle w:val="AppendixText2"/>
      </w:pPr>
      <w:bookmarkStart w:id="2020" w:name="_Ref99013651"/>
      <w:r w:rsidRPr="00B224EC">
        <w:t xml:space="preserve">The </w:t>
      </w:r>
      <w:r w:rsidRPr="00122216">
        <w:t>Supplier</w:t>
      </w:r>
      <w:r w:rsidRPr="00B224EC">
        <w:t xml:space="preserve"> shall:</w:t>
      </w:r>
      <w:bookmarkEnd w:id="2020"/>
    </w:p>
    <w:p w14:paraId="0E343E2E" w14:textId="3E3DC13D" w:rsidR="00F67E9E" w:rsidRPr="00122216" w:rsidRDefault="00F67E9E" w:rsidP="00F67E9E">
      <w:pPr>
        <w:pStyle w:val="AppendixText3"/>
      </w:pPr>
      <w:r w:rsidRPr="00B224EC">
        <w:t xml:space="preserve">provide a documented plan relating to the training matters referred to in </w:t>
      </w:r>
      <w:bookmarkStart w:id="2021" w:name="_9kR3WTr2CC6DEYEnoewrqyBJ3"/>
      <w:r w:rsidRPr="00B224EC">
        <w:t xml:space="preserve">Paragraph </w:t>
      </w:r>
      <w:r w:rsidRPr="00B224EC">
        <w:fldChar w:fldCharType="begin"/>
      </w:r>
      <w:r w:rsidRPr="00B224EC">
        <w:instrText xml:space="preserve"> REF _Ref88553311 \r \h </w:instrText>
      </w:r>
      <w:r>
        <w:instrText xml:space="preserve"> \* MERGEFORMAT </w:instrText>
      </w:r>
      <w:r w:rsidRPr="00B224EC">
        <w:fldChar w:fldCharType="separate"/>
      </w:r>
      <w:r w:rsidR="00302D39">
        <w:t>1.1.14</w:t>
      </w:r>
      <w:r w:rsidRPr="00B224EC">
        <w:fldChar w:fldCharType="end"/>
      </w:r>
      <w:bookmarkEnd w:id="2021"/>
      <w:r w:rsidRPr="00B224EC">
        <w:t xml:space="preserve"> for agreement by the Authority at the time of termination or expiry of this </w:t>
      </w:r>
      <w:r w:rsidRPr="00122216">
        <w:t>Contract;</w:t>
      </w:r>
    </w:p>
    <w:p w14:paraId="0542362B" w14:textId="2B8F36F9" w:rsidR="00F67E9E" w:rsidRPr="00122216" w:rsidRDefault="00F67E9E" w:rsidP="00F67E9E">
      <w:pPr>
        <w:pStyle w:val="AppendixText3"/>
      </w:pPr>
      <w:r w:rsidRPr="00122216">
        <w:t xml:space="preserve">co-operate fully in the execution of the handover plan agreed pursuant to </w:t>
      </w:r>
      <w:bookmarkStart w:id="2022" w:name="_9kR3WTr2CC6DFZEnoewrqyBJ7"/>
      <w:r w:rsidRPr="00122216">
        <w:t xml:space="preserve">Paragraph </w:t>
      </w:r>
      <w:bookmarkEnd w:id="2022"/>
      <w:r w:rsidRPr="00122216">
        <w:fldChar w:fldCharType="begin"/>
      </w:r>
      <w:r w:rsidRPr="00122216">
        <w:instrText xml:space="preserve"> REF _Ref88552689 \r \h  \* MERGEFORMAT </w:instrText>
      </w:r>
      <w:r w:rsidRPr="00122216">
        <w:fldChar w:fldCharType="separate"/>
      </w:r>
      <w:r w:rsidR="00302D39">
        <w:t>1.1.18</w:t>
      </w:r>
      <w:r w:rsidRPr="00122216">
        <w:fldChar w:fldCharType="end"/>
      </w:r>
      <w:r w:rsidRPr="00122216">
        <w:t>, providing skills and expertise of a suitable standard; and</w:t>
      </w:r>
    </w:p>
    <w:p w14:paraId="5824BFB9" w14:textId="267841CF" w:rsidR="00F67E9E" w:rsidRPr="00DF3219" w:rsidRDefault="00F67E9E" w:rsidP="00F67E9E">
      <w:pPr>
        <w:pStyle w:val="AppendixText3"/>
      </w:pPr>
      <w:r w:rsidRPr="00122216">
        <w:t>fully</w:t>
      </w:r>
      <w:r w:rsidRPr="00B224EC">
        <w:t xml:space="preserve"> co-operate in the execution of the Authority Data migration plan agreed pursuant to </w:t>
      </w:r>
      <w:bookmarkStart w:id="2023" w:name="_9kR3WTr2CC6DGaEnoewrqyBJF"/>
      <w:r w:rsidRPr="00B224EC">
        <w:t xml:space="preserve">Paragraph </w:t>
      </w:r>
      <w:bookmarkEnd w:id="2023"/>
      <w:r w:rsidRPr="00B224EC">
        <w:fldChar w:fldCharType="begin"/>
      </w:r>
      <w:r w:rsidRPr="00B224EC">
        <w:instrText xml:space="preserve"> REF _Ref44579690 \r \h </w:instrText>
      </w:r>
      <w:r>
        <w:instrText xml:space="preserve"> \* MERGEFORMAT </w:instrText>
      </w:r>
      <w:r w:rsidRPr="00B224EC">
        <w:fldChar w:fldCharType="separate"/>
      </w:r>
      <w:r w:rsidR="00302D39">
        <w:t>1.1.26</w:t>
      </w:r>
      <w:r w:rsidRPr="00B224EC">
        <w:fldChar w:fldCharType="end"/>
      </w:r>
      <w:r w:rsidRPr="00B224EC">
        <w:t>, providing</w:t>
      </w:r>
      <w:r w:rsidRPr="00DF3219">
        <w:t xml:space="preserve"> skills and expertise of a reasonably acceptable standard.</w:t>
      </w:r>
    </w:p>
    <w:p w14:paraId="14DC0D94" w14:textId="77777777" w:rsidR="00F67E9E" w:rsidRPr="00DF3219" w:rsidRDefault="00F67E9E" w:rsidP="00F67E9E">
      <w:pPr>
        <w:pStyle w:val="AppendixText2"/>
      </w:pPr>
      <w:bookmarkStart w:id="2024" w:name="_Ref_ContractCompanion_9kb9Us885"/>
      <w:r w:rsidRPr="00DF3219">
        <w:t>To facilitate the transfer of knowledge from the Supplier to the Authority and/or its Replacement Supplier, the Supplier shall provide a detailed explanation of the procedures and operations used to provide the Services, the change management process and other standards and procedures to the operations personnel of the Authority and/or the Replacement Supplier.</w:t>
      </w:r>
      <w:bookmarkEnd w:id="2024"/>
    </w:p>
    <w:p w14:paraId="5901936C" w14:textId="4FD7208B" w:rsidR="00F67E9E" w:rsidRPr="00B224EC" w:rsidRDefault="00F67E9E" w:rsidP="00F67E9E">
      <w:pPr>
        <w:pStyle w:val="AppendixText2"/>
      </w:pPr>
      <w:bookmarkStart w:id="2025" w:name="_Ref_ContractCompanion_9kb9Us888"/>
      <w:r w:rsidRPr="00B224EC">
        <w:t xml:space="preserve">The information which the Supplier shall provide to the Authority and/or the Replacement Supplier pursuant to </w:t>
      </w:r>
      <w:bookmarkStart w:id="2026" w:name="_9kR3WTr2CC6DHbEnoewrqyBJH"/>
      <w:r w:rsidRPr="00B224EC">
        <w:t xml:space="preserve">Paragraph </w:t>
      </w:r>
      <w:r w:rsidRPr="00B224EC">
        <w:fldChar w:fldCharType="begin"/>
      </w:r>
      <w:r w:rsidRPr="00B224EC">
        <w:instrText xml:space="preserve"> REF _Ref88552407 \r \h </w:instrText>
      </w:r>
      <w:r>
        <w:instrText xml:space="preserve"> \* MERGEFORMAT </w:instrText>
      </w:r>
      <w:r w:rsidRPr="00B224EC">
        <w:fldChar w:fldCharType="separate"/>
      </w:r>
      <w:r w:rsidR="00302D39">
        <w:t>1.1.27</w:t>
      </w:r>
      <w:r w:rsidRPr="00B224EC">
        <w:fldChar w:fldCharType="end"/>
      </w:r>
      <w:r w:rsidRPr="00B224EC">
        <w:t xml:space="preserve"> </w:t>
      </w:r>
      <w:bookmarkEnd w:id="2026"/>
      <w:r w:rsidRPr="00B224EC">
        <w:fldChar w:fldCharType="begin"/>
      </w:r>
      <w:r w:rsidRPr="00B224EC">
        <w:instrText xml:space="preserve"> REF _Ref44579690 \r \h  \* MERGEFORMAT </w:instrText>
      </w:r>
      <w:r w:rsidRPr="00B224EC">
        <w:fldChar w:fldCharType="separate"/>
      </w:r>
      <w:r w:rsidR="00302D39">
        <w:t>1.1.26</w:t>
      </w:r>
      <w:r w:rsidRPr="00B224EC">
        <w:fldChar w:fldCharType="end"/>
      </w:r>
      <w:r w:rsidRPr="00B224EC">
        <w:t xml:space="preserve"> shall include:</w:t>
      </w:r>
      <w:bookmarkEnd w:id="2025"/>
    </w:p>
    <w:p w14:paraId="2C8179F7" w14:textId="77777777" w:rsidR="00F67E9E" w:rsidRPr="00B224EC" w:rsidRDefault="00F67E9E" w:rsidP="00F67E9E">
      <w:pPr>
        <w:pStyle w:val="AppendixText3"/>
      </w:pPr>
      <w:r w:rsidRPr="00B224EC">
        <w:t>copies of up-to-date procedures and operations manuals;</w:t>
      </w:r>
    </w:p>
    <w:p w14:paraId="7E30C980" w14:textId="77777777" w:rsidR="00F67E9E" w:rsidRPr="00B224EC" w:rsidRDefault="00F67E9E" w:rsidP="00F67E9E">
      <w:pPr>
        <w:pStyle w:val="AppendixText3"/>
      </w:pPr>
      <w:r w:rsidRPr="00B224EC">
        <w:t>product information;</w:t>
      </w:r>
    </w:p>
    <w:p w14:paraId="30AF2C5C" w14:textId="77777777" w:rsidR="00F67E9E" w:rsidRPr="00B224EC" w:rsidRDefault="00F67E9E" w:rsidP="00F67E9E">
      <w:pPr>
        <w:pStyle w:val="AppendixText3"/>
      </w:pPr>
      <w:r w:rsidRPr="00B224EC">
        <w:t>agreements with third party suppliers of goods and services which are to be transferred to the Authority and/or the Replacement Supplier;</w:t>
      </w:r>
    </w:p>
    <w:p w14:paraId="4B459ED0" w14:textId="77777777" w:rsidR="00F67E9E" w:rsidRPr="00B224EC" w:rsidRDefault="00F67E9E" w:rsidP="00F67E9E">
      <w:pPr>
        <w:pStyle w:val="AppendixText3"/>
      </w:pPr>
      <w:r w:rsidRPr="00B224EC">
        <w:t>key support contact details for third party supplier personnel under contracts which are to be assigned or novated to the Authority pursuant to this Schedule;</w:t>
      </w:r>
    </w:p>
    <w:p w14:paraId="48EA5FCA" w14:textId="77777777" w:rsidR="00F67E9E" w:rsidRPr="00DF3219" w:rsidRDefault="00F67E9E" w:rsidP="00F67E9E">
      <w:pPr>
        <w:pStyle w:val="AppendixText3"/>
      </w:pPr>
      <w:r w:rsidRPr="00DF3219">
        <w:t>information regarding any unresolved faults in progress at the commencement of the Termination Assistance Period as well as those expected to be in progress at the end of the Termination Assistance Period;</w:t>
      </w:r>
    </w:p>
    <w:p w14:paraId="62699422" w14:textId="77777777" w:rsidR="00F67E9E" w:rsidRPr="00DF3219" w:rsidRDefault="00F67E9E" w:rsidP="00F67E9E">
      <w:pPr>
        <w:pStyle w:val="AppendixText3"/>
      </w:pPr>
      <w:r w:rsidRPr="00DF3219">
        <w:t>details of physical and logical security processes and tools which will be available to the Authority; and</w:t>
      </w:r>
    </w:p>
    <w:p w14:paraId="0764CEB2" w14:textId="77777777" w:rsidR="00F67E9E" w:rsidRDefault="00F67E9E" w:rsidP="00F67E9E">
      <w:pPr>
        <w:pStyle w:val="AppendixText3"/>
      </w:pPr>
      <w:r w:rsidRPr="00DF3219">
        <w:t>any relevant interface information</w:t>
      </w:r>
      <w:r>
        <w:t>,</w:t>
      </w:r>
    </w:p>
    <w:p w14:paraId="415A3D2F" w14:textId="77777777" w:rsidR="00F67E9E" w:rsidRPr="00DF3219" w:rsidRDefault="00F67E9E" w:rsidP="00F67E9E">
      <w:pPr>
        <w:pStyle w:val="AppendixText2continued"/>
        <w:ind w:left="720"/>
      </w:pPr>
      <w:r w:rsidRPr="00C80D6C">
        <w:t>and such information shall be updated by the Supplier at the end of the Termination Assistance Period.</w:t>
      </w:r>
      <w:r>
        <w:t xml:space="preserve"> </w:t>
      </w:r>
    </w:p>
    <w:p w14:paraId="3DEA0898" w14:textId="77777777" w:rsidR="00F67E9E" w:rsidRPr="00DF3219" w:rsidRDefault="00F67E9E" w:rsidP="00F67E9E">
      <w:pPr>
        <w:pStyle w:val="AppendixText2"/>
      </w:pPr>
      <w:bookmarkStart w:id="2027" w:name="_Ref_ContractCompanion_9kb9Us8GE"/>
      <w:bookmarkStart w:id="2028" w:name="_9kR3WTrAG9CKKEERO9yvu13pcX2B35y5EAGddSJ"/>
      <w:r w:rsidRPr="00DF3219">
        <w:t>During the Termination Assistance Period the Supplier shall grant any agent or personnel (including employees, consultants and Suppliers) of the Replacement Supplier and/or the Authority access, during business hours and upon reasonable prior written notice, to any Sites for the purpose of effecting a prompt knowledge transfer provided that:</w:t>
      </w:r>
      <w:bookmarkEnd w:id="2027"/>
      <w:bookmarkEnd w:id="2028"/>
    </w:p>
    <w:p w14:paraId="565884DC" w14:textId="770D8DFC" w:rsidR="00F67E9E" w:rsidRPr="00B224EC" w:rsidRDefault="00F67E9E" w:rsidP="00F67E9E">
      <w:pPr>
        <w:pStyle w:val="AppendixText3"/>
      </w:pPr>
      <w:r w:rsidRPr="00B224EC">
        <w:t xml:space="preserve">any such agent or personnel (including employees, consultants and suppliers) having access to any Sites pursuant to this </w:t>
      </w:r>
      <w:bookmarkStart w:id="2029" w:name="_9kMHG5YVtCIBEMMGGTQB0xw35reZ4D5707GCIff"/>
      <w:r w:rsidRPr="00B224EC">
        <w:t xml:space="preserve">Paragraph </w:t>
      </w:r>
      <w:r w:rsidRPr="00B224EC">
        <w:fldChar w:fldCharType="begin"/>
      </w:r>
      <w:r w:rsidRPr="00B224EC">
        <w:instrText xml:space="preserve"> REF _Ref_ContractCompanion_9kb9Us8GE \n \h \t \* MERGEFORMAT </w:instrText>
      </w:r>
      <w:r w:rsidRPr="00B224EC">
        <w:fldChar w:fldCharType="separate"/>
      </w:r>
      <w:r w:rsidR="00302D39">
        <w:t>1.5</w:t>
      </w:r>
      <w:r w:rsidRPr="00B224EC">
        <w:fldChar w:fldCharType="end"/>
      </w:r>
      <w:bookmarkEnd w:id="2029"/>
      <w:r w:rsidRPr="00B224EC">
        <w:t xml:space="preserve"> shall:</w:t>
      </w:r>
    </w:p>
    <w:p w14:paraId="1CEDDD5E" w14:textId="77777777" w:rsidR="00F67E9E" w:rsidRPr="00122216" w:rsidRDefault="00F67E9E" w:rsidP="00F67E9E">
      <w:pPr>
        <w:pStyle w:val="AppendixText4"/>
      </w:pPr>
      <w:r w:rsidRPr="00B224EC">
        <w:t xml:space="preserve">sign a confidentiality undertaking in favour of the Supplier (in such form as the </w:t>
      </w:r>
      <w:r w:rsidRPr="00122216">
        <w:t>Supplier shall reasonably require); and</w:t>
      </w:r>
    </w:p>
    <w:p w14:paraId="6C5212C6" w14:textId="77777777" w:rsidR="00F67E9E" w:rsidRPr="00B224EC" w:rsidRDefault="00F67E9E" w:rsidP="00F67E9E">
      <w:pPr>
        <w:pStyle w:val="AppendixText4"/>
      </w:pPr>
      <w:r w:rsidRPr="00122216">
        <w:t>during each period of access comply with the security, systems and facilities ope</w:t>
      </w:r>
      <w:r w:rsidRPr="00B224EC">
        <w:t>rating procedures of the Supplier relevant to such Site and that the Authority deems reasonable; and</w:t>
      </w:r>
    </w:p>
    <w:p w14:paraId="23A7158A" w14:textId="77777777" w:rsidR="00F67E9E" w:rsidRPr="00B224EC" w:rsidRDefault="00F67E9E" w:rsidP="00F67E9E">
      <w:pPr>
        <w:pStyle w:val="AppendixText3"/>
      </w:pPr>
      <w:r w:rsidRPr="00B224EC">
        <w:t>the Authority and/or the Replacement Supplier shall pay the reasonable, proven and proper costs of the Supplier incurred in facilitating such access.</w:t>
      </w:r>
    </w:p>
    <w:p w14:paraId="5BF22047" w14:textId="77777777" w:rsidR="00F67E9E" w:rsidRDefault="00F67E9E" w:rsidP="00F67E9E">
      <w:pPr>
        <w:rPr>
          <w:rFonts w:eastAsia="Times New Roman" w:cs="Arial"/>
          <w:szCs w:val="24"/>
          <w:lang w:eastAsia="en-GB"/>
        </w:rPr>
      </w:pPr>
    </w:p>
    <w:p w14:paraId="72CD3921" w14:textId="77777777" w:rsidR="00F67E9E" w:rsidRDefault="00F67E9E" w:rsidP="00F67E9E">
      <w:pPr>
        <w:pStyle w:val="Heading2"/>
        <w:pageBreakBefore/>
      </w:pPr>
      <w:bookmarkStart w:id="2030" w:name="_Ref_ContractCompanion_9kb9Ur46C"/>
      <w:bookmarkStart w:id="2031" w:name="_9kR3WTrAG88B9ICwozOSzxm667B1xq0ND3F51JI"/>
      <w:bookmarkStart w:id="2032" w:name="_Ref_ContractCompanion_9kb9Us79D"/>
      <w:bookmarkStart w:id="2033" w:name="_Ref92447272"/>
      <w:bookmarkStart w:id="2034" w:name="_Toc141711976"/>
      <w:r w:rsidRPr="00B224EC">
        <w:t xml:space="preserve">Annex </w:t>
      </w:r>
      <w:bookmarkStart w:id="2035" w:name="ANNEX2_SCHEDULE25"/>
      <w:r w:rsidRPr="00B224EC">
        <w:t>2</w:t>
      </w:r>
      <w:bookmarkEnd w:id="2035"/>
      <w:r w:rsidRPr="00B224EC">
        <w:t>: Draft Ethical Wall Agreement</w:t>
      </w:r>
      <w:bookmarkEnd w:id="2030"/>
      <w:bookmarkEnd w:id="2031"/>
      <w:bookmarkEnd w:id="2032"/>
      <w:bookmarkEnd w:id="2033"/>
      <w:bookmarkEnd w:id="2034"/>
    </w:p>
    <w:p w14:paraId="46159210" w14:textId="77777777" w:rsidR="00F67E9E" w:rsidRPr="00DF3219" w:rsidRDefault="00F67E9E" w:rsidP="00F67E9E">
      <w:pPr>
        <w:jc w:val="center"/>
        <w:rPr>
          <w:rFonts w:cs="Arial"/>
          <w:highlight w:val="yellow"/>
        </w:rPr>
      </w:pPr>
      <w:r w:rsidRPr="00DF3219">
        <w:rPr>
          <w:rFonts w:cs="Arial"/>
          <w:highlight w:val="yellow"/>
        </w:rPr>
        <w:t>[THE AUTHORITY]</w:t>
      </w:r>
    </w:p>
    <w:p w14:paraId="44913904" w14:textId="77777777" w:rsidR="00F67E9E" w:rsidRPr="00DF3219" w:rsidRDefault="00F67E9E" w:rsidP="00F67E9E">
      <w:pPr>
        <w:pStyle w:val="StdBodyText"/>
        <w:jc w:val="center"/>
        <w:rPr>
          <w:rFonts w:cs="Arial"/>
        </w:rPr>
      </w:pPr>
    </w:p>
    <w:p w14:paraId="12453A0E" w14:textId="77777777" w:rsidR="00F67E9E" w:rsidRPr="00DF3219" w:rsidRDefault="00F67E9E" w:rsidP="00F67E9E">
      <w:pPr>
        <w:jc w:val="center"/>
        <w:rPr>
          <w:rFonts w:cs="Arial"/>
        </w:rPr>
      </w:pPr>
      <w:r w:rsidRPr="00DF3219">
        <w:rPr>
          <w:rStyle w:val="StdBodyTextBoldChar"/>
          <w:rFonts w:eastAsiaTheme="minorHAnsi" w:cs="Arial"/>
        </w:rPr>
        <w:t>and</w:t>
      </w:r>
    </w:p>
    <w:p w14:paraId="04D0D846" w14:textId="77777777" w:rsidR="00F67E9E" w:rsidRPr="00DF3219" w:rsidRDefault="00F67E9E" w:rsidP="00F67E9E">
      <w:pPr>
        <w:pStyle w:val="StdBodyText"/>
        <w:jc w:val="center"/>
        <w:rPr>
          <w:rFonts w:cs="Arial"/>
        </w:rPr>
      </w:pPr>
    </w:p>
    <w:p w14:paraId="5B0596D9" w14:textId="77777777" w:rsidR="00F67E9E" w:rsidRPr="00DF3219" w:rsidRDefault="00F67E9E" w:rsidP="00F67E9E">
      <w:pPr>
        <w:jc w:val="center"/>
        <w:rPr>
          <w:rFonts w:cs="Arial"/>
          <w:highlight w:val="yellow"/>
        </w:rPr>
      </w:pPr>
      <w:r w:rsidRPr="00DF3219">
        <w:rPr>
          <w:rFonts w:cs="Arial"/>
          <w:highlight w:val="yellow"/>
        </w:rPr>
        <w:t>[THE COUNTERPARTY]</w:t>
      </w:r>
    </w:p>
    <w:p w14:paraId="0078DD20" w14:textId="77777777" w:rsidR="00F67E9E" w:rsidRPr="00DF3219" w:rsidRDefault="00F67E9E" w:rsidP="00F67E9E">
      <w:pPr>
        <w:pStyle w:val="StdBodyText"/>
        <w:jc w:val="center"/>
        <w:rPr>
          <w:rFonts w:cs="Arial"/>
        </w:rPr>
      </w:pPr>
    </w:p>
    <w:p w14:paraId="37C7C362" w14:textId="77777777" w:rsidR="00F67E9E" w:rsidRPr="00DF3219" w:rsidRDefault="00F67E9E" w:rsidP="00F67E9E">
      <w:pPr>
        <w:pStyle w:val="StdBodyText"/>
        <w:jc w:val="center"/>
        <w:rPr>
          <w:rFonts w:cs="Arial"/>
        </w:rPr>
      </w:pPr>
    </w:p>
    <w:p w14:paraId="059F4745" w14:textId="77777777" w:rsidR="00F67E9E" w:rsidRPr="00DF3219" w:rsidRDefault="00F67E9E" w:rsidP="00F67E9E">
      <w:pPr>
        <w:jc w:val="center"/>
        <w:rPr>
          <w:rFonts w:cs="Arial"/>
        </w:rPr>
      </w:pPr>
      <w:r w:rsidRPr="00B224EC">
        <w:rPr>
          <w:rStyle w:val="StdBodyTextBoldChar"/>
          <w:rFonts w:eastAsiaTheme="minorHAnsi" w:cs="Arial"/>
        </w:rPr>
        <w:t>ETHICAL WALL</w:t>
      </w:r>
      <w:r w:rsidRPr="00B224EC">
        <w:rPr>
          <w:rFonts w:cs="Arial"/>
        </w:rPr>
        <w:t xml:space="preserve"> </w:t>
      </w:r>
      <w:r w:rsidRPr="00B224EC">
        <w:rPr>
          <w:rStyle w:val="StdBodyTextBoldChar"/>
          <w:rFonts w:eastAsiaTheme="minorHAnsi" w:cs="Arial"/>
        </w:rPr>
        <w:t>AGREEMENT</w:t>
      </w:r>
    </w:p>
    <w:p w14:paraId="4A7DD7A4" w14:textId="77777777" w:rsidR="00F67E9E" w:rsidRDefault="00F67E9E" w:rsidP="00F67E9E">
      <w:pPr>
        <w:jc w:val="center"/>
        <w:rPr>
          <w:rFonts w:cs="Arial"/>
          <w:szCs w:val="24"/>
        </w:rPr>
      </w:pPr>
    </w:p>
    <w:p w14:paraId="58C6838C" w14:textId="77777777" w:rsidR="00F67E9E" w:rsidRDefault="00F67E9E" w:rsidP="00F67E9E">
      <w:pPr>
        <w:jc w:val="center"/>
        <w:rPr>
          <w:rFonts w:cs="Arial"/>
          <w:szCs w:val="24"/>
        </w:rPr>
      </w:pPr>
    </w:p>
    <w:p w14:paraId="52B16AF3" w14:textId="77777777" w:rsidR="00F67E9E" w:rsidRDefault="00F67E9E" w:rsidP="00F67E9E">
      <w:pPr>
        <w:jc w:val="center"/>
        <w:rPr>
          <w:rFonts w:cs="Arial"/>
          <w:szCs w:val="24"/>
        </w:rPr>
      </w:pPr>
    </w:p>
    <w:p w14:paraId="7B60C4FD" w14:textId="77777777" w:rsidR="00F67E9E" w:rsidRPr="00830C78" w:rsidRDefault="00F67E9E" w:rsidP="00F67E9E">
      <w:pPr>
        <w:rPr>
          <w:rFonts w:cs="Arial"/>
          <w:szCs w:val="24"/>
        </w:rPr>
      </w:pPr>
      <w:r w:rsidRPr="00830C78">
        <w:rPr>
          <w:rFonts w:cs="Arial"/>
          <w:szCs w:val="24"/>
        </w:rPr>
        <w:t xml:space="preserve">This Agreement is dated </w:t>
      </w:r>
      <w:r w:rsidRPr="007A5E8D">
        <w:rPr>
          <w:rFonts w:cs="Arial"/>
          <w:szCs w:val="24"/>
          <w:highlight w:val="yellow"/>
        </w:rPr>
        <w:t>[</w:t>
      </w:r>
      <w:r w:rsidRPr="007A5E8D">
        <w:rPr>
          <w:rFonts w:cs="Arial"/>
          <w:szCs w:val="24"/>
          <w:highlight w:val="yellow"/>
        </w:rPr>
        <w:tab/>
      </w:r>
      <w:r w:rsidRPr="007A5E8D">
        <w:rPr>
          <w:rFonts w:cs="Arial"/>
          <w:szCs w:val="24"/>
          <w:highlight w:val="yellow"/>
        </w:rPr>
        <w:tab/>
        <w:t>]</w:t>
      </w:r>
      <w:r w:rsidRPr="00830C78">
        <w:rPr>
          <w:rFonts w:cs="Arial"/>
          <w:szCs w:val="24"/>
        </w:rPr>
        <w:t xml:space="preserve"> 20</w:t>
      </w:r>
      <w:r w:rsidRPr="007A5E8D">
        <w:rPr>
          <w:rFonts w:cs="Arial"/>
          <w:szCs w:val="24"/>
          <w:highlight w:val="yellow"/>
        </w:rPr>
        <w:t>[ ]</w:t>
      </w:r>
      <w:r w:rsidRPr="00830C78">
        <w:rPr>
          <w:rFonts w:cs="Arial"/>
          <w:szCs w:val="24"/>
        </w:rPr>
        <w:t xml:space="preserve"> (the </w:t>
      </w:r>
      <w:r>
        <w:rPr>
          <w:rFonts w:cs="Arial"/>
          <w:szCs w:val="24"/>
        </w:rPr>
        <w:t>“</w:t>
      </w:r>
      <w:r w:rsidRPr="00830C78">
        <w:rPr>
          <w:rFonts w:cs="Arial"/>
          <w:szCs w:val="24"/>
        </w:rPr>
        <w:t>Effective Date</w:t>
      </w:r>
      <w:r>
        <w:rPr>
          <w:rFonts w:cs="Arial"/>
          <w:szCs w:val="24"/>
        </w:rPr>
        <w:t>”</w:t>
      </w:r>
      <w:r w:rsidRPr="00830C78">
        <w:rPr>
          <w:rFonts w:cs="Arial"/>
          <w:szCs w:val="24"/>
        </w:rPr>
        <w:t>).</w:t>
      </w:r>
    </w:p>
    <w:p w14:paraId="4A722083" w14:textId="77777777" w:rsidR="00F67E9E" w:rsidRPr="00830C78" w:rsidRDefault="00F67E9E" w:rsidP="00F67E9E">
      <w:pPr>
        <w:pStyle w:val="Leader"/>
        <w:spacing w:line="240" w:lineRule="auto"/>
        <w:rPr>
          <w:rFonts w:cs="Arial"/>
          <w:sz w:val="24"/>
          <w:szCs w:val="24"/>
        </w:rPr>
      </w:pPr>
      <w:r w:rsidRPr="00830C78">
        <w:rPr>
          <w:rFonts w:cs="Arial"/>
          <w:sz w:val="24"/>
          <w:szCs w:val="24"/>
        </w:rPr>
        <w:t>BETWEEN:</w:t>
      </w:r>
    </w:p>
    <w:p w14:paraId="17560C25" w14:textId="77777777" w:rsidR="00F67E9E" w:rsidRPr="006202C8" w:rsidRDefault="00F67E9E" w:rsidP="00F67E9E">
      <w:pPr>
        <w:pStyle w:val="PartiesBodyText"/>
        <w:numPr>
          <w:ilvl w:val="0"/>
          <w:numId w:val="145"/>
        </w:numPr>
        <w:tabs>
          <w:tab w:val="clear" w:pos="720"/>
          <w:tab w:val="num" w:pos="1080"/>
        </w:tabs>
      </w:pPr>
      <w:r w:rsidRPr="00B73DD6">
        <w:rPr>
          <w:b/>
          <w:highlight w:val="yellow"/>
        </w:rPr>
        <w:t>[insert</w:t>
      </w:r>
      <w:r w:rsidRPr="00E155D8">
        <w:rPr>
          <w:b/>
          <w:highlight w:val="yellow"/>
        </w:rPr>
        <w:t xml:space="preserve"> NAME OF AUTHORITY]</w:t>
      </w:r>
      <w:r w:rsidRPr="006202C8">
        <w:t xml:space="preserve"> (the </w:t>
      </w:r>
      <w:bookmarkStart w:id="2036" w:name="_9kR3WTr1BC48GOJ9xt4z2J"/>
      <w:r w:rsidRPr="006202C8">
        <w:t>“</w:t>
      </w:r>
      <w:r w:rsidRPr="00E155D8">
        <w:rPr>
          <w:b/>
        </w:rPr>
        <w:t>Authority</w:t>
      </w:r>
      <w:bookmarkEnd w:id="2036"/>
      <w:r w:rsidRPr="006202C8">
        <w:t xml:space="preserve">”) </w:t>
      </w:r>
      <w:r w:rsidRPr="00E155D8">
        <w:rPr>
          <w:highlight w:val="yellow"/>
        </w:rPr>
        <w:t xml:space="preserve">[acting on behalf of the </w:t>
      </w:r>
      <w:bookmarkStart w:id="2037" w:name="_9kR3WTr26645BOI177"/>
      <w:r w:rsidRPr="00E155D8">
        <w:rPr>
          <w:highlight w:val="yellow"/>
        </w:rPr>
        <w:t>Crown</w:t>
      </w:r>
      <w:bookmarkEnd w:id="2037"/>
      <w:r w:rsidRPr="00E155D8">
        <w:rPr>
          <w:highlight w:val="yellow"/>
        </w:rPr>
        <w:t>]</w:t>
      </w:r>
      <w:r w:rsidRPr="006202C8">
        <w:t xml:space="preserve"> of </w:t>
      </w:r>
      <w:r w:rsidRPr="00B73DD6">
        <w:rPr>
          <w:b/>
        </w:rPr>
        <w:t>[</w:t>
      </w:r>
      <w:r w:rsidRPr="004B30F8">
        <w:rPr>
          <w:b/>
          <w:highlight w:val="yellow"/>
        </w:rPr>
        <w:t>insert</w:t>
      </w:r>
      <w:r w:rsidRPr="004B30F8">
        <w:rPr>
          <w:highlight w:val="yellow"/>
        </w:rPr>
        <w:t xml:space="preserve"> </w:t>
      </w:r>
      <w:bookmarkStart w:id="2038" w:name="_9kR3WTr67349H"/>
      <w:r w:rsidRPr="004B30F8">
        <w:rPr>
          <w:highlight w:val="yellow"/>
        </w:rPr>
        <w:t>Authority’</w:t>
      </w:r>
      <w:bookmarkStart w:id="2039" w:name="_9kR3WTr5A749I"/>
      <w:r w:rsidRPr="004B30F8">
        <w:rPr>
          <w:highlight w:val="yellow"/>
        </w:rPr>
        <w:t>s</w:t>
      </w:r>
      <w:bookmarkEnd w:id="2038"/>
      <w:bookmarkEnd w:id="2039"/>
      <w:r w:rsidRPr="004B30F8">
        <w:rPr>
          <w:highlight w:val="yellow"/>
        </w:rPr>
        <w:t xml:space="preserve"> address</w:t>
      </w:r>
      <w:r w:rsidRPr="006202C8">
        <w:t>]; and</w:t>
      </w:r>
    </w:p>
    <w:p w14:paraId="5B1CB704" w14:textId="77777777" w:rsidR="00F67E9E" w:rsidRPr="00830C78" w:rsidRDefault="00F67E9E" w:rsidP="00F67E9E">
      <w:pPr>
        <w:pStyle w:val="PartiesBodyText"/>
        <w:numPr>
          <w:ilvl w:val="0"/>
          <w:numId w:val="145"/>
        </w:numPr>
        <w:tabs>
          <w:tab w:val="clear" w:pos="720"/>
          <w:tab w:val="num" w:pos="1080"/>
        </w:tabs>
        <w:rPr>
          <w:rFonts w:cs="Arial"/>
        </w:rPr>
      </w:pPr>
      <w:bookmarkStart w:id="2040" w:name="bmkNotParty2_002"/>
      <w:r w:rsidRPr="007A5E8D">
        <w:rPr>
          <w:rFonts w:cs="Arial"/>
          <w:b/>
          <w:highlight w:val="yellow"/>
        </w:rPr>
        <w:t>[NAME OF COUNTERPARTY]</w:t>
      </w:r>
      <w:r w:rsidRPr="00680F14">
        <w:rPr>
          <w:rFonts w:cs="Arial"/>
          <w:bCs/>
        </w:rPr>
        <w:t xml:space="preserve"> </w:t>
      </w:r>
      <w:r w:rsidRPr="00830C78">
        <w:t>a [</w:t>
      </w:r>
      <w:r w:rsidRPr="007A5E8D">
        <w:rPr>
          <w:highlight w:val="yellow"/>
        </w:rPr>
        <w:t>company]</w:t>
      </w:r>
      <w:r w:rsidRPr="00830C78">
        <w:t>/[</w:t>
      </w:r>
      <w:r w:rsidRPr="007A5E8D">
        <w:rPr>
          <w:highlight w:val="yellow"/>
        </w:rPr>
        <w:t>limited liability partnership</w:t>
      </w:r>
      <w:r w:rsidRPr="00830C78">
        <w:t xml:space="preserve">] registered in England and Wales under registered number </w:t>
      </w:r>
      <w:r w:rsidRPr="00B73DD6">
        <w:rPr>
          <w:b/>
        </w:rPr>
        <w:t>[</w:t>
      </w:r>
      <w:r w:rsidRPr="004B30F8">
        <w:rPr>
          <w:b/>
          <w:highlight w:val="yellow"/>
        </w:rPr>
        <w:t>insert</w:t>
      </w:r>
      <w:r w:rsidRPr="004B30F8">
        <w:rPr>
          <w:highlight w:val="yellow"/>
        </w:rPr>
        <w:t xml:space="preserve"> registered number</w:t>
      </w:r>
      <w:r w:rsidRPr="00830C78">
        <w:t xml:space="preserve">] whose registered office is at </w:t>
      </w:r>
      <w:r w:rsidRPr="00B73DD6">
        <w:rPr>
          <w:b/>
          <w:highlight w:val="yellow"/>
        </w:rPr>
        <w:t>[insert</w:t>
      </w:r>
      <w:r w:rsidRPr="007A5E8D">
        <w:rPr>
          <w:highlight w:val="yellow"/>
        </w:rPr>
        <w:t xml:space="preserve"> </w:t>
      </w:r>
      <w:bookmarkStart w:id="2041" w:name="_9kMHG5YVt8956BJ"/>
      <w:r w:rsidRPr="007A5E8D">
        <w:rPr>
          <w:highlight w:val="yellow"/>
        </w:rPr>
        <w:t>Counterparty</w:t>
      </w:r>
      <w:r>
        <w:rPr>
          <w:highlight w:val="yellow"/>
        </w:rPr>
        <w:t>’</w:t>
      </w:r>
      <w:r w:rsidRPr="007A5E8D">
        <w:rPr>
          <w:highlight w:val="yellow"/>
        </w:rPr>
        <w:t>s</w:t>
      </w:r>
      <w:bookmarkEnd w:id="2041"/>
      <w:r w:rsidRPr="007A5E8D">
        <w:rPr>
          <w:highlight w:val="yellow"/>
        </w:rPr>
        <w:t xml:space="preserve"> registered address</w:t>
      </w:r>
      <w:r w:rsidRPr="00830C78">
        <w:t>]</w:t>
      </w:r>
      <w:r w:rsidRPr="00166697">
        <w:t xml:space="preserve"> </w:t>
      </w:r>
      <w:r w:rsidRPr="00830C78">
        <w:rPr>
          <w:rFonts w:cs="Arial"/>
        </w:rPr>
        <w:t xml:space="preserve">(the </w:t>
      </w:r>
      <w:bookmarkStart w:id="2042" w:name="_9kR3WTr24447CNF444wv7ruEM"/>
      <w:bookmarkStart w:id="2043" w:name="_9kR3WTr1BC48HRF444wv7ruEM"/>
      <w:r>
        <w:rPr>
          <w:rFonts w:cs="Arial"/>
          <w:bCs/>
        </w:rPr>
        <w:t>“</w:t>
      </w:r>
      <w:r w:rsidRPr="00830C78">
        <w:rPr>
          <w:rFonts w:cs="Arial"/>
          <w:b/>
        </w:rPr>
        <w:t>Counterparty</w:t>
      </w:r>
      <w:bookmarkEnd w:id="2042"/>
      <w:bookmarkEnd w:id="2043"/>
      <w:r>
        <w:rPr>
          <w:rFonts w:cs="Arial"/>
        </w:rPr>
        <w:t>”</w:t>
      </w:r>
      <w:r w:rsidRPr="00830C78">
        <w:rPr>
          <w:rFonts w:cs="Arial"/>
        </w:rPr>
        <w:t>),</w:t>
      </w:r>
    </w:p>
    <w:p w14:paraId="77A5EA8B" w14:textId="77777777" w:rsidR="00F67E9E" w:rsidRPr="00830C78" w:rsidRDefault="00F67E9E" w:rsidP="00F67E9E">
      <w:pPr>
        <w:spacing w:before="100" w:after="200"/>
        <w:rPr>
          <w:rFonts w:cs="Arial"/>
          <w:szCs w:val="24"/>
        </w:rPr>
      </w:pPr>
      <w:r w:rsidRPr="00830C78">
        <w:rPr>
          <w:szCs w:val="24"/>
        </w:rPr>
        <w:t xml:space="preserve">together the </w:t>
      </w:r>
      <w:r>
        <w:rPr>
          <w:szCs w:val="24"/>
        </w:rPr>
        <w:t>“</w:t>
      </w:r>
      <w:r w:rsidRPr="00830C78">
        <w:rPr>
          <w:b/>
          <w:szCs w:val="24"/>
        </w:rPr>
        <w:t>Parties</w:t>
      </w:r>
      <w:r>
        <w:rPr>
          <w:szCs w:val="24"/>
        </w:rPr>
        <w:t>”</w:t>
      </w:r>
      <w:r w:rsidRPr="00830C78">
        <w:rPr>
          <w:szCs w:val="24"/>
        </w:rPr>
        <w:t xml:space="preserve"> and each a </w:t>
      </w:r>
      <w:bookmarkStart w:id="2044" w:name="_9kR3WTr244478WEn7F"/>
      <w:bookmarkStart w:id="2045" w:name="_9kR3WTr1BC48IfEn7F"/>
      <w:r>
        <w:rPr>
          <w:szCs w:val="24"/>
        </w:rPr>
        <w:t>“</w:t>
      </w:r>
      <w:r w:rsidRPr="00830C78">
        <w:rPr>
          <w:b/>
          <w:szCs w:val="24"/>
        </w:rPr>
        <w:t>Party</w:t>
      </w:r>
      <w:bookmarkEnd w:id="2044"/>
      <w:bookmarkEnd w:id="2045"/>
      <w:r>
        <w:rPr>
          <w:szCs w:val="24"/>
        </w:rPr>
        <w:t>”</w:t>
      </w:r>
      <w:r w:rsidRPr="00830C78">
        <w:rPr>
          <w:szCs w:val="24"/>
        </w:rPr>
        <w:t>.</w:t>
      </w:r>
    </w:p>
    <w:bookmarkEnd w:id="2040"/>
    <w:p w14:paraId="3323CB63" w14:textId="77777777" w:rsidR="00F67E9E" w:rsidRPr="00830C78" w:rsidRDefault="00F67E9E" w:rsidP="00F67E9E">
      <w:pPr>
        <w:pStyle w:val="Leader"/>
        <w:spacing w:line="240" w:lineRule="auto"/>
        <w:rPr>
          <w:rFonts w:cs="Arial"/>
          <w:sz w:val="24"/>
          <w:szCs w:val="24"/>
        </w:rPr>
      </w:pPr>
      <w:r w:rsidRPr="00830C78">
        <w:rPr>
          <w:rFonts w:cs="Arial"/>
          <w:sz w:val="24"/>
          <w:szCs w:val="24"/>
        </w:rPr>
        <w:t>BACKGROUND</w:t>
      </w:r>
    </w:p>
    <w:p w14:paraId="7F3E5639" w14:textId="77777777" w:rsidR="00F67E9E" w:rsidRDefault="00F67E9E" w:rsidP="00F67E9E">
      <w:pPr>
        <w:ind w:left="720" w:hanging="720"/>
      </w:pPr>
      <w:r>
        <w:t>(A)</w:t>
      </w:r>
      <w:r>
        <w:tab/>
      </w:r>
      <w:r w:rsidRPr="00830C78">
        <w:t xml:space="preserve">The Authority is obliged to ensure transparency, fairness, non-discrimination and equal treatment in relation to its </w:t>
      </w:r>
      <w:bookmarkStart w:id="2046" w:name="_9kMHG5YVt46669BZX3pwCxtuwCpiE0r8N"/>
      <w:bookmarkStart w:id="2047" w:name="_9kMHG5YVt4666BCYX3pwCxtuwCpiE0r8N"/>
      <w:bookmarkStart w:id="2048" w:name="_9kMHG5YVt4666BEaX3pwCxtuwCpiE0r8N"/>
      <w:r w:rsidRPr="00830C78">
        <w:t>procurement process</w:t>
      </w:r>
      <w:bookmarkEnd w:id="2046"/>
      <w:bookmarkEnd w:id="2047"/>
      <w:bookmarkEnd w:id="2048"/>
      <w:r w:rsidRPr="00830C78">
        <w:t xml:space="preserve"> pursuant to the Procurement Regulations (defined below). The </w:t>
      </w:r>
      <w:bookmarkStart w:id="2049" w:name="_9kMHG5YVt46669Fda9537y"/>
      <w:r w:rsidRPr="00830C78">
        <w:t>purpose</w:t>
      </w:r>
      <w:bookmarkEnd w:id="2049"/>
      <w:r w:rsidRPr="00830C78">
        <w:t xml:space="preserve"> of this document (</w:t>
      </w:r>
      <w:r>
        <w:t>“</w:t>
      </w:r>
      <w:r w:rsidRPr="00830C78">
        <w:rPr>
          <w:b/>
        </w:rPr>
        <w:t>Agreement</w:t>
      </w:r>
      <w:r>
        <w:t>”</w:t>
      </w:r>
      <w:r w:rsidRPr="00830C78">
        <w:t>) is to define the protocols to be followed to prevent, identify and remedy any conflict of interest (whether actual, potential or perceived) in the context of the Purpose (defined below).</w:t>
      </w:r>
      <w:bookmarkStart w:id="2050" w:name="_Ref498070824"/>
    </w:p>
    <w:p w14:paraId="157ED0EE" w14:textId="77777777" w:rsidR="00F67E9E" w:rsidRDefault="00F67E9E" w:rsidP="00F67E9E">
      <w:pPr>
        <w:ind w:left="720" w:hanging="720"/>
        <w:rPr>
          <w:rFonts w:cs="Arial"/>
          <w:szCs w:val="24"/>
        </w:rPr>
      </w:pPr>
    </w:p>
    <w:p w14:paraId="3D21F6A1" w14:textId="77777777" w:rsidR="00F67E9E" w:rsidRPr="00830C78" w:rsidRDefault="00F67E9E" w:rsidP="00F67E9E">
      <w:pPr>
        <w:ind w:left="720" w:hanging="720"/>
        <w:rPr>
          <w:rFonts w:cs="Arial"/>
          <w:szCs w:val="24"/>
        </w:rPr>
      </w:pPr>
      <w:r>
        <w:rPr>
          <w:rFonts w:cs="Arial"/>
          <w:szCs w:val="24"/>
        </w:rPr>
        <w:t>(B)</w:t>
      </w:r>
      <w:r>
        <w:rPr>
          <w:rFonts w:cs="Arial"/>
          <w:szCs w:val="24"/>
        </w:rPr>
        <w:tab/>
      </w:r>
      <w:r w:rsidRPr="00830C78">
        <w:rPr>
          <w:rFonts w:cs="Arial"/>
          <w:szCs w:val="24"/>
        </w:rPr>
        <w:t xml:space="preserve">The Authority is conducting a procurement exercise for the </w:t>
      </w:r>
      <w:r w:rsidRPr="007A5E8D">
        <w:rPr>
          <w:rFonts w:cs="Arial"/>
          <w:szCs w:val="24"/>
          <w:highlight w:val="yellow"/>
        </w:rPr>
        <w:t>[supply/purchase/provision</w:t>
      </w:r>
      <w:r w:rsidRPr="00830C78">
        <w:rPr>
          <w:rFonts w:cs="Arial"/>
          <w:szCs w:val="24"/>
        </w:rPr>
        <w:t xml:space="preserve">] of </w:t>
      </w:r>
      <w:r w:rsidRPr="00B73DD6">
        <w:rPr>
          <w:rFonts w:cs="Arial"/>
          <w:b/>
          <w:szCs w:val="24"/>
        </w:rPr>
        <w:t>[insert</w:t>
      </w:r>
      <w:r w:rsidRPr="007A5E8D">
        <w:rPr>
          <w:rFonts w:cs="Arial"/>
          <w:szCs w:val="24"/>
          <w:highlight w:val="yellow"/>
        </w:rPr>
        <w:t xml:space="preserve"> details of project/goods/services</w:t>
      </w:r>
      <w:r w:rsidRPr="00830C78">
        <w:rPr>
          <w:rFonts w:cs="Arial"/>
          <w:szCs w:val="24"/>
        </w:rPr>
        <w:t xml:space="preserve">] (the </w:t>
      </w:r>
      <w:bookmarkStart w:id="2051" w:name="_9kR3WTr24447DbY7315w"/>
      <w:r>
        <w:rPr>
          <w:rFonts w:cs="Arial"/>
          <w:bCs/>
          <w:szCs w:val="24"/>
        </w:rPr>
        <w:t>“</w:t>
      </w:r>
      <w:r w:rsidRPr="00830C78">
        <w:rPr>
          <w:rFonts w:cs="Arial"/>
          <w:b/>
          <w:szCs w:val="24"/>
        </w:rPr>
        <w:t>Purpose</w:t>
      </w:r>
      <w:bookmarkEnd w:id="2051"/>
      <w:r>
        <w:rPr>
          <w:rFonts w:cs="Arial"/>
          <w:bCs/>
          <w:szCs w:val="24"/>
        </w:rPr>
        <w:t>”</w:t>
      </w:r>
      <w:r w:rsidRPr="00830C78">
        <w:rPr>
          <w:rFonts w:cs="Arial"/>
          <w:szCs w:val="24"/>
        </w:rPr>
        <w:t>).</w:t>
      </w:r>
      <w:bookmarkEnd w:id="2050"/>
    </w:p>
    <w:p w14:paraId="5AFF52DB" w14:textId="77777777" w:rsidR="00F67E9E" w:rsidRPr="00830C78" w:rsidRDefault="00F67E9E" w:rsidP="00F67E9E">
      <w:pPr>
        <w:ind w:left="360"/>
        <w:rPr>
          <w:szCs w:val="24"/>
        </w:rPr>
      </w:pPr>
    </w:p>
    <w:p w14:paraId="101A89A2" w14:textId="77777777" w:rsidR="00F67E9E" w:rsidRPr="009C7441" w:rsidRDefault="00F67E9E" w:rsidP="00F67E9E">
      <w:pPr>
        <w:ind w:left="720" w:hanging="720"/>
        <w:rPr>
          <w:rFonts w:cs="Arial"/>
          <w:szCs w:val="24"/>
        </w:rPr>
      </w:pPr>
      <w:r>
        <w:rPr>
          <w:rFonts w:cs="Arial"/>
          <w:szCs w:val="24"/>
        </w:rPr>
        <w:t>(C)</w:t>
      </w:r>
      <w:r>
        <w:rPr>
          <w:rFonts w:cs="Arial"/>
          <w:szCs w:val="24"/>
        </w:rPr>
        <w:tab/>
      </w:r>
      <w:r w:rsidRPr="009C7441">
        <w:rPr>
          <w:rFonts w:cs="Arial"/>
          <w:szCs w:val="24"/>
        </w:rPr>
        <w:t xml:space="preserve">The Parties wish to enter into this Agreement to ensure that a set of management processes, barriers and disciplines are put in place to ensure that conflicts of interest do not arise, and that the Counterparty does not obtain an unfair competitive advantage over </w:t>
      </w:r>
      <w:bookmarkStart w:id="2052" w:name="_9kMHG5YVt46669GdYykvTFokm1"/>
      <w:r w:rsidRPr="009C7441">
        <w:rPr>
          <w:rFonts w:cs="Arial"/>
          <w:szCs w:val="24"/>
        </w:rPr>
        <w:t>Other Bidders</w:t>
      </w:r>
      <w:bookmarkEnd w:id="2052"/>
      <w:r w:rsidRPr="009C7441">
        <w:rPr>
          <w:rFonts w:cs="Arial"/>
          <w:szCs w:val="24"/>
        </w:rPr>
        <w:t>.</w:t>
      </w:r>
    </w:p>
    <w:p w14:paraId="651EB8CE" w14:textId="77777777" w:rsidR="00F67E9E" w:rsidRPr="00830C78" w:rsidRDefault="00F67E9E" w:rsidP="00F67E9E">
      <w:pPr>
        <w:pStyle w:val="ListParagraph"/>
        <w:ind w:left="207"/>
        <w:jc w:val="both"/>
        <w:rPr>
          <w:rFonts w:cs="Arial"/>
          <w:szCs w:val="24"/>
        </w:rPr>
      </w:pPr>
    </w:p>
    <w:p w14:paraId="66A4B670" w14:textId="77777777" w:rsidR="00F67E9E" w:rsidRPr="00830C78" w:rsidRDefault="00F67E9E" w:rsidP="00F67E9E">
      <w:pPr>
        <w:pStyle w:val="Leader"/>
        <w:keepNext/>
        <w:keepLines/>
        <w:spacing w:line="240" w:lineRule="auto"/>
        <w:rPr>
          <w:rFonts w:cs="Arial"/>
          <w:b w:val="0"/>
          <w:sz w:val="24"/>
          <w:szCs w:val="24"/>
        </w:rPr>
      </w:pPr>
      <w:r w:rsidRPr="00830C78">
        <w:rPr>
          <w:rFonts w:cs="Arial"/>
          <w:sz w:val="24"/>
          <w:szCs w:val="24"/>
        </w:rPr>
        <w:t>IT IS AGREED</w:t>
      </w:r>
      <w:r w:rsidRPr="00830C78">
        <w:rPr>
          <w:rFonts w:cs="Arial"/>
          <w:b w:val="0"/>
          <w:sz w:val="24"/>
          <w:szCs w:val="24"/>
        </w:rPr>
        <w:t>:</w:t>
      </w:r>
    </w:p>
    <w:p w14:paraId="57F7CD57" w14:textId="77777777" w:rsidR="00F67E9E" w:rsidRPr="00830C78" w:rsidRDefault="00F67E9E" w:rsidP="00F67E9E">
      <w:pPr>
        <w:pStyle w:val="AppendixText1"/>
        <w:numPr>
          <w:ilvl w:val="0"/>
          <w:numId w:val="66"/>
        </w:numPr>
      </w:pPr>
      <w:bookmarkStart w:id="2053" w:name="_Toc378171386"/>
      <w:bookmarkStart w:id="2054" w:name="_Toc493689907"/>
      <w:r w:rsidRPr="00830C78">
        <w:t xml:space="preserve">Definitions </w:t>
      </w:r>
      <w:r>
        <w:t>a</w:t>
      </w:r>
      <w:r w:rsidRPr="00830C78">
        <w:t xml:space="preserve">nd </w:t>
      </w:r>
      <w:r w:rsidRPr="00122216">
        <w:t>Interpretation</w:t>
      </w:r>
      <w:bookmarkEnd w:id="2053"/>
      <w:bookmarkEnd w:id="2054"/>
    </w:p>
    <w:p w14:paraId="588D5699" w14:textId="77777777" w:rsidR="00F67E9E" w:rsidRPr="00830C78" w:rsidRDefault="00F67E9E" w:rsidP="00F67E9E">
      <w:pPr>
        <w:pStyle w:val="AppendixText2"/>
      </w:pPr>
      <w:r w:rsidRPr="00830C78">
        <w:t xml:space="preserve">The following capitalised words and expressions shall have the following meanings in this </w:t>
      </w:r>
      <w:r w:rsidRPr="00122216">
        <w:t>Agreement</w:t>
      </w:r>
      <w:r w:rsidRPr="00830C78">
        <w:t xml:space="preserve"> and its recitals:</w:t>
      </w:r>
    </w:p>
    <w:p w14:paraId="41401D2C" w14:textId="77777777" w:rsidR="00F67E9E" w:rsidRPr="00830C78" w:rsidRDefault="00F67E9E" w:rsidP="00F67E9E">
      <w:pPr>
        <w:pStyle w:val="AppendixText2continued"/>
        <w:ind w:left="720"/>
      </w:pPr>
      <w:r>
        <w:t>“</w:t>
      </w:r>
      <w:r w:rsidRPr="00830C78">
        <w:rPr>
          <w:b/>
        </w:rPr>
        <w:t>Affiliate</w:t>
      </w:r>
      <w:r>
        <w:t>”</w:t>
      </w:r>
      <w:r w:rsidRPr="00830C78">
        <w:t xml:space="preserve"> means in relation to a body corporate, any other entity which directly or indirectly Controls, is Controlled by, or is under direct or indirect common Control of that body corporate from time to time; </w:t>
      </w:r>
    </w:p>
    <w:p w14:paraId="53AC08E9" w14:textId="77777777" w:rsidR="00F67E9E" w:rsidRPr="00830C78" w:rsidRDefault="00F67E9E" w:rsidP="00F67E9E">
      <w:pPr>
        <w:pStyle w:val="AppendixText2continued"/>
        <w:ind w:left="720"/>
        <w:rPr>
          <w:szCs w:val="24"/>
        </w:rPr>
      </w:pPr>
      <w:r>
        <w:rPr>
          <w:szCs w:val="24"/>
        </w:rPr>
        <w:t>“</w:t>
      </w:r>
      <w:r w:rsidRPr="00830C78">
        <w:rPr>
          <w:b/>
          <w:szCs w:val="24"/>
        </w:rPr>
        <w:t>Agreement</w:t>
      </w:r>
      <w:r>
        <w:rPr>
          <w:szCs w:val="24"/>
        </w:rPr>
        <w:t>”</w:t>
      </w:r>
      <w:r w:rsidRPr="00830C78">
        <w:rPr>
          <w:szCs w:val="24"/>
        </w:rPr>
        <w:t xml:space="preserve"> means this ethical </w:t>
      </w:r>
      <w:r w:rsidRPr="00830C78">
        <w:rPr>
          <w:rFonts w:cs="Arial"/>
          <w:szCs w:val="24"/>
        </w:rPr>
        <w:t>walls</w:t>
      </w:r>
      <w:r w:rsidRPr="00830C78">
        <w:rPr>
          <w:szCs w:val="24"/>
        </w:rPr>
        <w:t xml:space="preserve"> agreement duly executed by the Parties;</w:t>
      </w:r>
    </w:p>
    <w:p w14:paraId="09DEAA04" w14:textId="77777777" w:rsidR="00F67E9E" w:rsidRPr="00830C78" w:rsidRDefault="00F67E9E" w:rsidP="00F67E9E">
      <w:pPr>
        <w:pStyle w:val="AppendixText2continued"/>
        <w:ind w:left="720"/>
        <w:rPr>
          <w:rFonts w:cs="Arial"/>
          <w:szCs w:val="24"/>
        </w:rPr>
      </w:pPr>
      <w:r>
        <w:rPr>
          <w:rFonts w:cs="Arial"/>
          <w:szCs w:val="24"/>
        </w:rPr>
        <w:t>“</w:t>
      </w:r>
      <w:r w:rsidRPr="00830C78">
        <w:rPr>
          <w:rFonts w:cs="Arial"/>
          <w:b/>
          <w:szCs w:val="24"/>
        </w:rPr>
        <w:t>Bid Team</w:t>
      </w:r>
      <w:r>
        <w:rPr>
          <w:rFonts w:cs="Arial"/>
          <w:szCs w:val="24"/>
        </w:rPr>
        <w:t>”</w:t>
      </w:r>
      <w:r w:rsidRPr="00830C78">
        <w:rPr>
          <w:rFonts w:cs="Arial"/>
          <w:szCs w:val="24"/>
        </w:rPr>
        <w:t xml:space="preserve"> means any Representatives of the Counterparty, any of its Affiliates and/or any Subcontractors connected to the preparation of an ITT Response; </w:t>
      </w:r>
    </w:p>
    <w:p w14:paraId="3E2D06FD" w14:textId="77777777" w:rsidR="00F67E9E" w:rsidRPr="00830C78" w:rsidRDefault="00F67E9E" w:rsidP="00F67E9E">
      <w:pPr>
        <w:pStyle w:val="AppendixText2continued"/>
        <w:ind w:left="720"/>
        <w:rPr>
          <w:rFonts w:cs="Arial"/>
          <w:szCs w:val="24"/>
        </w:rPr>
      </w:pPr>
      <w:r>
        <w:rPr>
          <w:rFonts w:cs="Arial"/>
          <w:szCs w:val="24"/>
        </w:rPr>
        <w:t>“</w:t>
      </w:r>
      <w:r>
        <w:rPr>
          <w:rFonts w:cs="Arial"/>
          <w:b/>
          <w:bCs/>
          <w:szCs w:val="24"/>
        </w:rPr>
        <w:t>Crown Body</w:t>
      </w:r>
      <w:r>
        <w:rPr>
          <w:rFonts w:cs="Arial"/>
          <w:szCs w:val="24"/>
        </w:rPr>
        <w:t>”</w:t>
      </w:r>
      <w:r w:rsidRPr="00830C78">
        <w:rPr>
          <w:rFonts w:cs="Arial"/>
          <w:szCs w:val="24"/>
        </w:rPr>
        <w:t xml:space="preserve"> means a body listed in one of the following sub-categories of the </w:t>
      </w:r>
      <w:bookmarkStart w:id="2055" w:name="_9kR3WTr26645CP5n38qlSQC30A6y0G"/>
      <w:r w:rsidRPr="00830C78">
        <w:rPr>
          <w:rFonts w:cs="Arial"/>
          <w:szCs w:val="24"/>
        </w:rPr>
        <w:t>Central Government</w:t>
      </w:r>
      <w:bookmarkEnd w:id="2055"/>
      <w:r w:rsidRPr="00830C78">
        <w:rPr>
          <w:rFonts w:cs="Arial"/>
          <w:szCs w:val="24"/>
        </w:rPr>
        <w:t xml:space="preserve"> classification of the </w:t>
      </w:r>
      <w:bookmarkStart w:id="2056" w:name="_9kR3WTr26645DdYrjrjURiyBAZOt1KBz0yr9IEK"/>
      <w:r w:rsidRPr="00830C78">
        <w:rPr>
          <w:rFonts w:cs="Arial"/>
          <w:szCs w:val="24"/>
        </w:rPr>
        <w:t>Public Sector Classification Guide</w:t>
      </w:r>
      <w:bookmarkEnd w:id="2056"/>
      <w:r w:rsidRPr="00830C78">
        <w:rPr>
          <w:rFonts w:cs="Arial"/>
          <w:szCs w:val="24"/>
        </w:rPr>
        <w:t xml:space="preserve">, as published and amended from time to time by the Office for National Statistics, </w:t>
      </w:r>
      <w:r w:rsidRPr="004D5D04">
        <w:t>including</w:t>
      </w:r>
      <w:r w:rsidRPr="00830C78">
        <w:rPr>
          <w:rFonts w:cs="Arial"/>
          <w:szCs w:val="24"/>
        </w:rPr>
        <w:t>:</w:t>
      </w:r>
    </w:p>
    <w:p w14:paraId="6071DFD7" w14:textId="77777777" w:rsidR="00F67E9E" w:rsidRPr="00830C78" w:rsidRDefault="00F67E9E" w:rsidP="00F67E9E">
      <w:pPr>
        <w:pStyle w:val="AppendixText4"/>
        <w:numPr>
          <w:ilvl w:val="3"/>
          <w:numId w:val="67"/>
        </w:numPr>
        <w:tabs>
          <w:tab w:val="clear" w:pos="2520"/>
          <w:tab w:val="num" w:pos="1811"/>
        </w:tabs>
        <w:ind w:left="1451"/>
      </w:pPr>
      <w:r w:rsidRPr="00830C78">
        <w:t>Government Departments;</w:t>
      </w:r>
    </w:p>
    <w:p w14:paraId="0BA52356" w14:textId="77777777" w:rsidR="00F67E9E" w:rsidRPr="00830C78" w:rsidRDefault="00F67E9E" w:rsidP="00F67E9E">
      <w:pPr>
        <w:pStyle w:val="AppendixText4"/>
        <w:tabs>
          <w:tab w:val="clear" w:pos="2520"/>
          <w:tab w:val="num" w:pos="1811"/>
        </w:tabs>
        <w:ind w:left="1451"/>
      </w:pPr>
      <w:r w:rsidRPr="00830C78">
        <w:t>Non-</w:t>
      </w:r>
      <w:bookmarkStart w:id="2057" w:name="_9kR3WTr26645ES6pmp95rt9xqgk3v3vPW502DOO"/>
      <w:r w:rsidRPr="00830C78">
        <w:t>Departmental Public Bodies or Assembly Sponsored Public Bodies</w:t>
      </w:r>
      <w:bookmarkEnd w:id="2057"/>
      <w:r w:rsidRPr="00830C78">
        <w:t xml:space="preserve"> (advisory, executive, or tribunal);</w:t>
      </w:r>
    </w:p>
    <w:p w14:paraId="594940C1" w14:textId="77777777" w:rsidR="00F67E9E" w:rsidRPr="00830C78" w:rsidRDefault="00F67E9E" w:rsidP="00F67E9E">
      <w:pPr>
        <w:pStyle w:val="AppendixText4"/>
        <w:tabs>
          <w:tab w:val="clear" w:pos="2520"/>
          <w:tab w:val="num" w:pos="1811"/>
        </w:tabs>
        <w:ind w:left="1451"/>
      </w:pPr>
      <w:r w:rsidRPr="00830C78">
        <w:t>Non-Ministerial Departments; or</w:t>
      </w:r>
    </w:p>
    <w:p w14:paraId="6A4613E3" w14:textId="77777777" w:rsidR="00F67E9E" w:rsidRPr="00830C78" w:rsidRDefault="00F67E9E" w:rsidP="00F67E9E">
      <w:pPr>
        <w:pStyle w:val="AppendixText4"/>
        <w:tabs>
          <w:tab w:val="clear" w:pos="2520"/>
          <w:tab w:val="num" w:pos="1811"/>
        </w:tabs>
        <w:ind w:left="1451"/>
      </w:pPr>
      <w:r w:rsidRPr="00830C78">
        <w:rPr>
          <w:rFonts w:cs="Arial"/>
        </w:rPr>
        <w:t>Executive Agencies;</w:t>
      </w:r>
    </w:p>
    <w:p w14:paraId="1D75DB43" w14:textId="77777777" w:rsidR="00F67E9E" w:rsidRPr="00830C78" w:rsidRDefault="00F67E9E" w:rsidP="00F67E9E">
      <w:pPr>
        <w:pStyle w:val="AppendixText2continued"/>
        <w:ind w:left="720"/>
        <w:rPr>
          <w:rFonts w:cs="Arial"/>
          <w:szCs w:val="24"/>
        </w:rPr>
      </w:pPr>
      <w:r>
        <w:rPr>
          <w:rFonts w:cs="Arial"/>
          <w:szCs w:val="24"/>
        </w:rPr>
        <w:t>“</w:t>
      </w:r>
      <w:r w:rsidRPr="00830C78">
        <w:rPr>
          <w:rFonts w:cs="Arial"/>
          <w:b/>
          <w:szCs w:val="24"/>
        </w:rPr>
        <w:t>Conflicted Personnel</w:t>
      </w:r>
      <w:r>
        <w:rPr>
          <w:rFonts w:cs="Arial"/>
          <w:szCs w:val="24"/>
        </w:rPr>
        <w:t>”</w:t>
      </w:r>
      <w:r w:rsidRPr="00830C78">
        <w:rPr>
          <w:rFonts w:cs="Arial"/>
          <w:szCs w:val="24"/>
        </w:rPr>
        <w:t xml:space="preserve"> means any Representatives of:</w:t>
      </w:r>
    </w:p>
    <w:p w14:paraId="4D694D1D" w14:textId="77777777" w:rsidR="00F67E9E" w:rsidRPr="00830C78" w:rsidRDefault="00F67E9E" w:rsidP="00F67E9E">
      <w:pPr>
        <w:pStyle w:val="AppendixText4"/>
        <w:numPr>
          <w:ilvl w:val="3"/>
          <w:numId w:val="68"/>
        </w:numPr>
        <w:tabs>
          <w:tab w:val="clear" w:pos="2520"/>
          <w:tab w:val="num" w:pos="1811"/>
        </w:tabs>
        <w:ind w:left="1451"/>
      </w:pPr>
      <w:r w:rsidRPr="00830C78">
        <w:t>the Counterparty;</w:t>
      </w:r>
    </w:p>
    <w:p w14:paraId="5BC03F14" w14:textId="77777777" w:rsidR="00F67E9E" w:rsidRPr="00830C78" w:rsidRDefault="00F67E9E" w:rsidP="00F67E9E">
      <w:pPr>
        <w:pStyle w:val="AppendixText4"/>
        <w:numPr>
          <w:ilvl w:val="3"/>
          <w:numId w:val="67"/>
        </w:numPr>
        <w:tabs>
          <w:tab w:val="clear" w:pos="2520"/>
          <w:tab w:val="num" w:pos="1811"/>
        </w:tabs>
        <w:ind w:left="1451"/>
      </w:pPr>
      <w:r w:rsidRPr="00830C78">
        <w:t>any of the Counterparty</w:t>
      </w:r>
      <w:r>
        <w:t>’</w:t>
      </w:r>
      <w:r w:rsidRPr="00830C78">
        <w:t>s Affiliates; and/or</w:t>
      </w:r>
    </w:p>
    <w:p w14:paraId="7940D188" w14:textId="77777777" w:rsidR="00F67E9E" w:rsidRPr="00830C78" w:rsidRDefault="00F67E9E" w:rsidP="00F67E9E">
      <w:pPr>
        <w:pStyle w:val="AppendixText4"/>
        <w:numPr>
          <w:ilvl w:val="3"/>
          <w:numId w:val="67"/>
        </w:numPr>
        <w:tabs>
          <w:tab w:val="clear" w:pos="2520"/>
          <w:tab w:val="num" w:pos="1811"/>
        </w:tabs>
        <w:ind w:left="1451"/>
      </w:pPr>
      <w:r w:rsidRPr="00830C78">
        <w:t>any Subcontractors,</w:t>
      </w:r>
    </w:p>
    <w:p w14:paraId="46B3447E" w14:textId="77777777" w:rsidR="00F67E9E" w:rsidRPr="00830C78" w:rsidRDefault="00F67E9E" w:rsidP="00F67E9E">
      <w:pPr>
        <w:pStyle w:val="AppendixText2continued"/>
        <w:ind w:left="720"/>
        <w:rPr>
          <w:rFonts w:cs="Arial"/>
          <w:szCs w:val="24"/>
        </w:rPr>
      </w:pPr>
      <w:r w:rsidRPr="00830C78">
        <w:rPr>
          <w:szCs w:val="24"/>
        </w:rPr>
        <w:t>who, because of the Counterparty</w:t>
      </w:r>
      <w:r>
        <w:rPr>
          <w:szCs w:val="24"/>
        </w:rPr>
        <w:t>’</w:t>
      </w:r>
      <w:r w:rsidRPr="00830C78">
        <w:rPr>
          <w:szCs w:val="24"/>
        </w:rPr>
        <w:t>s, any of its Affiliates</w:t>
      </w:r>
      <w:r>
        <w:rPr>
          <w:szCs w:val="24"/>
        </w:rPr>
        <w:t>’</w:t>
      </w:r>
      <w:r w:rsidRPr="00830C78">
        <w:rPr>
          <w:szCs w:val="24"/>
        </w:rPr>
        <w:t xml:space="preserve"> and/or </w:t>
      </w:r>
      <w:r w:rsidRPr="00830C78">
        <w:rPr>
          <w:rFonts w:cs="Arial"/>
          <w:szCs w:val="24"/>
        </w:rPr>
        <w:t>any Subcontractors</w:t>
      </w:r>
      <w:r>
        <w:rPr>
          <w:rFonts w:cs="Arial"/>
          <w:szCs w:val="24"/>
        </w:rPr>
        <w:t>’</w:t>
      </w:r>
      <w:r w:rsidRPr="00830C78">
        <w:rPr>
          <w:szCs w:val="24"/>
        </w:rPr>
        <w:t xml:space="preserve"> relationship with the Authority under any Contract</w:t>
      </w:r>
      <w:r w:rsidRPr="00830C78">
        <w:rPr>
          <w:rFonts w:cs="Arial"/>
          <w:szCs w:val="24"/>
        </w:rPr>
        <w:t>,</w:t>
      </w:r>
      <w:r w:rsidRPr="00830C78">
        <w:rPr>
          <w:szCs w:val="24"/>
        </w:rPr>
        <w:t xml:space="preserve"> have or have had access to information which creates or may create a conflict of interest or provide the Bid Team with an unfair advantage as regards information </w:t>
      </w:r>
      <w:r w:rsidRPr="00830C78">
        <w:rPr>
          <w:rFonts w:cs="Arial"/>
          <w:szCs w:val="24"/>
        </w:rPr>
        <w:t>Other Bidders</w:t>
      </w:r>
      <w:r w:rsidRPr="00830C78">
        <w:rPr>
          <w:szCs w:val="24"/>
        </w:rPr>
        <w:t xml:space="preserve"> would not have;</w:t>
      </w:r>
    </w:p>
    <w:p w14:paraId="665779CD" w14:textId="77777777" w:rsidR="00F67E9E" w:rsidRPr="00830C78" w:rsidRDefault="00F67E9E" w:rsidP="00F67E9E">
      <w:pPr>
        <w:pStyle w:val="AppendixText2continued"/>
        <w:ind w:left="720"/>
        <w:rPr>
          <w:rFonts w:cs="Arial"/>
          <w:szCs w:val="24"/>
        </w:rPr>
      </w:pPr>
      <w:bookmarkStart w:id="2058" w:name="_9kR3WTr244489JFx38qcw"/>
      <w:bookmarkStart w:id="2059" w:name="_9kR3WTr24449BKFx38qcw"/>
      <w:bookmarkStart w:id="2060" w:name="_9kR3WTr24449DMFx38qcw"/>
      <w:r>
        <w:rPr>
          <w:rFonts w:cs="Arial"/>
          <w:szCs w:val="24"/>
        </w:rPr>
        <w:t>“</w:t>
      </w:r>
      <w:r w:rsidRPr="00830C78">
        <w:rPr>
          <w:rFonts w:cs="Arial"/>
          <w:b/>
          <w:szCs w:val="24"/>
        </w:rPr>
        <w:t>Contract</w:t>
      </w:r>
      <w:bookmarkEnd w:id="2058"/>
      <w:bookmarkEnd w:id="2059"/>
      <w:bookmarkEnd w:id="2060"/>
      <w:r>
        <w:rPr>
          <w:rFonts w:cs="Arial"/>
          <w:szCs w:val="24"/>
        </w:rPr>
        <w:t>”</w:t>
      </w:r>
      <w:r w:rsidRPr="00830C78">
        <w:rPr>
          <w:rFonts w:cs="Arial"/>
          <w:szCs w:val="24"/>
        </w:rPr>
        <w:t xml:space="preserve"> means any pre-existing or previous contract between the Authority and:</w:t>
      </w:r>
    </w:p>
    <w:p w14:paraId="44E89A1E" w14:textId="77777777" w:rsidR="00F67E9E" w:rsidRPr="004D5D04" w:rsidRDefault="00F67E9E" w:rsidP="00F67E9E">
      <w:pPr>
        <w:pStyle w:val="AppendixText4"/>
        <w:numPr>
          <w:ilvl w:val="3"/>
          <w:numId w:val="69"/>
        </w:numPr>
        <w:tabs>
          <w:tab w:val="clear" w:pos="2520"/>
          <w:tab w:val="num" w:pos="1811"/>
        </w:tabs>
        <w:ind w:left="1451"/>
      </w:pPr>
      <w:r w:rsidRPr="004D5D04">
        <w:t>the Counterparty;</w:t>
      </w:r>
    </w:p>
    <w:p w14:paraId="2A6D5946" w14:textId="77777777" w:rsidR="00F67E9E" w:rsidRPr="004D5D04" w:rsidRDefault="00F67E9E" w:rsidP="00F67E9E">
      <w:pPr>
        <w:pStyle w:val="AppendixText4"/>
        <w:numPr>
          <w:ilvl w:val="3"/>
          <w:numId w:val="69"/>
        </w:numPr>
        <w:tabs>
          <w:tab w:val="clear" w:pos="2520"/>
          <w:tab w:val="num" w:pos="1811"/>
        </w:tabs>
        <w:ind w:left="1451"/>
      </w:pPr>
      <w:r w:rsidRPr="004D5D04">
        <w:t xml:space="preserve">any of the </w:t>
      </w:r>
      <w:bookmarkStart w:id="2061" w:name="_9kMIH5YVt8956BJ"/>
      <w:r w:rsidRPr="004D5D04">
        <w:t>Counterparty</w:t>
      </w:r>
      <w:r>
        <w:t>’</w:t>
      </w:r>
      <w:r w:rsidRPr="004D5D04">
        <w:t>s</w:t>
      </w:r>
      <w:bookmarkEnd w:id="2061"/>
      <w:r w:rsidRPr="004D5D04">
        <w:t xml:space="preserve"> Affiliates; </w:t>
      </w:r>
    </w:p>
    <w:p w14:paraId="4006AD3E" w14:textId="77777777" w:rsidR="00F67E9E" w:rsidRPr="004D5D04" w:rsidRDefault="00F67E9E" w:rsidP="00F67E9E">
      <w:pPr>
        <w:pStyle w:val="AppendixText4"/>
        <w:numPr>
          <w:ilvl w:val="3"/>
          <w:numId w:val="69"/>
        </w:numPr>
        <w:tabs>
          <w:tab w:val="clear" w:pos="2520"/>
          <w:tab w:val="num" w:pos="1811"/>
        </w:tabs>
        <w:ind w:left="1451"/>
      </w:pPr>
      <w:r w:rsidRPr="004D5D04">
        <w:t>any Subcontractor; and</w:t>
      </w:r>
    </w:p>
    <w:p w14:paraId="5B31030E" w14:textId="77777777" w:rsidR="00F67E9E" w:rsidRPr="004D5D04" w:rsidRDefault="00F67E9E" w:rsidP="00F67E9E">
      <w:pPr>
        <w:pStyle w:val="AppendixText4"/>
        <w:numPr>
          <w:ilvl w:val="3"/>
          <w:numId w:val="69"/>
        </w:numPr>
        <w:tabs>
          <w:tab w:val="clear" w:pos="2520"/>
          <w:tab w:val="num" w:pos="1811"/>
        </w:tabs>
        <w:ind w:left="1451"/>
      </w:pPr>
      <w:r w:rsidRPr="004D5D04">
        <w:t>any other Third Party,</w:t>
      </w:r>
    </w:p>
    <w:p w14:paraId="024F20A2" w14:textId="77777777" w:rsidR="00F67E9E" w:rsidRPr="00830C78" w:rsidRDefault="00F67E9E" w:rsidP="00F67E9E">
      <w:pPr>
        <w:pStyle w:val="AppendixText2continued"/>
        <w:ind w:left="720"/>
        <w:rPr>
          <w:rFonts w:cs="Arial"/>
          <w:szCs w:val="24"/>
        </w:rPr>
      </w:pPr>
      <w:r w:rsidRPr="00830C78">
        <w:rPr>
          <w:rFonts w:cs="Arial"/>
          <w:szCs w:val="24"/>
        </w:rPr>
        <w:t>relating to the subject matter of the Purpose at the date of the commencement of the ITT Process;</w:t>
      </w:r>
    </w:p>
    <w:p w14:paraId="30A39396" w14:textId="77777777" w:rsidR="00F67E9E" w:rsidRPr="00830C78" w:rsidRDefault="00F67E9E" w:rsidP="00F67E9E">
      <w:pPr>
        <w:pStyle w:val="AppendixText2continued"/>
        <w:ind w:left="720"/>
        <w:rPr>
          <w:rFonts w:cs="Arial"/>
          <w:szCs w:val="24"/>
        </w:rPr>
      </w:pPr>
      <w:r>
        <w:rPr>
          <w:rFonts w:cs="Arial"/>
          <w:szCs w:val="24"/>
        </w:rPr>
        <w:t>“</w:t>
      </w:r>
      <w:r w:rsidRPr="00830C78">
        <w:rPr>
          <w:rFonts w:cs="Arial"/>
          <w:b/>
          <w:szCs w:val="24"/>
        </w:rPr>
        <w:t>Control</w:t>
      </w:r>
      <w:r>
        <w:rPr>
          <w:rFonts w:cs="Arial"/>
          <w:szCs w:val="24"/>
        </w:rPr>
        <w:t>”</w:t>
      </w:r>
      <w:r w:rsidRPr="00830C78">
        <w:rPr>
          <w:rFonts w:cs="Arial"/>
          <w:szCs w:val="24"/>
        </w:rPr>
        <w:t xml:space="preserve"> means the beneficial ownership of more </w:t>
      </w:r>
      <w:r w:rsidRPr="004D5D04">
        <w:t>than</w:t>
      </w:r>
      <w:r w:rsidRPr="00830C78">
        <w:rPr>
          <w:rFonts w:cs="Arial"/>
          <w:szCs w:val="24"/>
        </w:rPr>
        <w:t xml:space="preserve"> 50% of the issued share capital of a company or the legal power to direct or cause the direction of the management of the company and </w:t>
      </w:r>
      <w:r>
        <w:rPr>
          <w:rFonts w:cs="Arial"/>
          <w:szCs w:val="24"/>
        </w:rPr>
        <w:t>“</w:t>
      </w:r>
      <w:r w:rsidRPr="00830C78">
        <w:rPr>
          <w:rFonts w:cs="Arial"/>
          <w:b/>
          <w:szCs w:val="24"/>
        </w:rPr>
        <w:t>Controls</w:t>
      </w:r>
      <w:r>
        <w:rPr>
          <w:rFonts w:cs="Arial"/>
          <w:szCs w:val="24"/>
        </w:rPr>
        <w:t>”</w:t>
      </w:r>
      <w:r w:rsidRPr="00830C78">
        <w:rPr>
          <w:rFonts w:cs="Arial"/>
          <w:szCs w:val="24"/>
        </w:rPr>
        <w:t xml:space="preserve"> and </w:t>
      </w:r>
      <w:r>
        <w:rPr>
          <w:rFonts w:cs="Arial"/>
          <w:szCs w:val="24"/>
        </w:rPr>
        <w:t>“</w:t>
      </w:r>
      <w:r w:rsidRPr="00830C78">
        <w:rPr>
          <w:rFonts w:cs="Arial"/>
          <w:b/>
          <w:szCs w:val="24"/>
        </w:rPr>
        <w:t>Controlled</w:t>
      </w:r>
      <w:r>
        <w:rPr>
          <w:rFonts w:cs="Arial"/>
          <w:szCs w:val="24"/>
        </w:rPr>
        <w:t>”</w:t>
      </w:r>
      <w:r w:rsidRPr="00830C78">
        <w:rPr>
          <w:rFonts w:cs="Arial"/>
          <w:szCs w:val="24"/>
        </w:rPr>
        <w:t xml:space="preserve"> shall be interpreted accordingly;</w:t>
      </w:r>
    </w:p>
    <w:p w14:paraId="0E61A5D5" w14:textId="77777777" w:rsidR="00F67E9E" w:rsidRPr="00830C78" w:rsidRDefault="00F67E9E" w:rsidP="00F67E9E">
      <w:pPr>
        <w:pStyle w:val="AppendixText2continued"/>
        <w:ind w:left="720"/>
        <w:rPr>
          <w:rFonts w:cs="Arial"/>
          <w:szCs w:val="24"/>
        </w:rPr>
      </w:pPr>
      <w:r>
        <w:rPr>
          <w:rFonts w:cs="Arial"/>
          <w:szCs w:val="24"/>
        </w:rPr>
        <w:t>“</w:t>
      </w:r>
      <w:r w:rsidRPr="00830C78">
        <w:rPr>
          <w:rFonts w:cs="Arial"/>
          <w:b/>
          <w:szCs w:val="24"/>
        </w:rPr>
        <w:t>Effective Date</w:t>
      </w:r>
      <w:r>
        <w:rPr>
          <w:rFonts w:cs="Arial"/>
          <w:szCs w:val="24"/>
        </w:rPr>
        <w:t>”</w:t>
      </w:r>
      <w:r w:rsidRPr="00830C78">
        <w:rPr>
          <w:rFonts w:cs="Arial"/>
          <w:szCs w:val="24"/>
        </w:rPr>
        <w:t xml:space="preserve"> means the date of this Agreement as set out above;</w:t>
      </w:r>
    </w:p>
    <w:p w14:paraId="532399AB" w14:textId="77777777" w:rsidR="00F67E9E" w:rsidRPr="00830C78" w:rsidRDefault="00F67E9E" w:rsidP="00F67E9E">
      <w:pPr>
        <w:pStyle w:val="AppendixText2continued"/>
        <w:ind w:left="720"/>
        <w:rPr>
          <w:rFonts w:cs="Arial"/>
          <w:szCs w:val="24"/>
        </w:rPr>
      </w:pPr>
      <w:r>
        <w:rPr>
          <w:rFonts w:cs="Arial"/>
          <w:szCs w:val="24"/>
        </w:rPr>
        <w:t>“</w:t>
      </w:r>
      <w:bookmarkStart w:id="2062" w:name="_9kR3WTr1AB45FYK40zst2y4ACnYzzr6"/>
      <w:r w:rsidRPr="00830C78">
        <w:rPr>
          <w:rFonts w:cs="Arial"/>
          <w:b/>
          <w:szCs w:val="24"/>
        </w:rPr>
        <w:t>Invitation to Tender</w:t>
      </w:r>
      <w:bookmarkEnd w:id="2062"/>
      <w:r>
        <w:rPr>
          <w:rFonts w:cs="Arial"/>
          <w:szCs w:val="24"/>
        </w:rPr>
        <w:t>”</w:t>
      </w:r>
      <w:r w:rsidRPr="00830C78">
        <w:rPr>
          <w:rFonts w:cs="Arial"/>
          <w:szCs w:val="24"/>
        </w:rPr>
        <w:t xml:space="preserve"> or </w:t>
      </w:r>
      <w:r>
        <w:rPr>
          <w:rFonts w:cs="Arial"/>
          <w:szCs w:val="24"/>
        </w:rPr>
        <w:t>“</w:t>
      </w:r>
      <w:r w:rsidRPr="00830C78">
        <w:rPr>
          <w:rFonts w:cs="Arial"/>
          <w:b/>
          <w:szCs w:val="24"/>
        </w:rPr>
        <w:t>ITT</w:t>
      </w:r>
      <w:r>
        <w:rPr>
          <w:rFonts w:cs="Arial"/>
          <w:szCs w:val="24"/>
        </w:rPr>
        <w:t>”</w:t>
      </w:r>
      <w:r w:rsidRPr="00830C78">
        <w:rPr>
          <w:rFonts w:cs="Arial"/>
          <w:szCs w:val="24"/>
        </w:rPr>
        <w:t xml:space="preserve"> means an invitation to submit tenders issued by the Authority as part of an ITT Process (and shall include an Invitation to Negotiate);</w:t>
      </w:r>
    </w:p>
    <w:p w14:paraId="17CB254B" w14:textId="77777777" w:rsidR="00F67E9E" w:rsidRPr="00830C78" w:rsidRDefault="00F67E9E" w:rsidP="00F67E9E">
      <w:pPr>
        <w:pStyle w:val="AppendixText2continued"/>
        <w:ind w:left="720"/>
        <w:rPr>
          <w:rFonts w:cs="Arial"/>
          <w:szCs w:val="24"/>
        </w:rPr>
      </w:pPr>
      <w:r>
        <w:rPr>
          <w:rFonts w:cs="Arial"/>
          <w:szCs w:val="24"/>
        </w:rPr>
        <w:t>“</w:t>
      </w:r>
      <w:r w:rsidRPr="00830C78">
        <w:rPr>
          <w:rFonts w:cs="Arial"/>
          <w:b/>
          <w:szCs w:val="24"/>
        </w:rPr>
        <w:t>ITT Process</w:t>
      </w:r>
      <w:r>
        <w:rPr>
          <w:rFonts w:cs="Arial"/>
          <w:szCs w:val="24"/>
        </w:rPr>
        <w:t>”</w:t>
      </w:r>
      <w:r w:rsidRPr="00830C78">
        <w:rPr>
          <w:rFonts w:cs="Arial"/>
          <w:b/>
          <w:szCs w:val="24"/>
        </w:rPr>
        <w:t xml:space="preserve"> </w:t>
      </w:r>
      <w:r w:rsidRPr="00830C78">
        <w:rPr>
          <w:rFonts w:cs="Arial"/>
          <w:szCs w:val="24"/>
        </w:rPr>
        <w:t xml:space="preserve">means, with regard to the Purpose, the relevant </w:t>
      </w:r>
      <w:r w:rsidRPr="004D5D04">
        <w:t>procedure</w:t>
      </w:r>
      <w:r w:rsidRPr="00830C78">
        <w:rPr>
          <w:rFonts w:cs="Arial"/>
          <w:szCs w:val="24"/>
        </w:rPr>
        <w:t xml:space="preserve"> provided for in the Procurement Regulations (as amended), which the Authority has elected to use to select a contractor or contractors, together with all relevant information, data, correspondence and/or documents issued and/or made available by or on behalf of the Authority as part of that procurement exercise and all information, correspondence and/or documents issued and/or made available by or on behalf of the bidders in response together with any resulting </w:t>
      </w:r>
      <w:bookmarkStart w:id="2063" w:name="_9kMHG5YVt4666ABLHz5Asey"/>
      <w:r w:rsidRPr="00830C78">
        <w:rPr>
          <w:rFonts w:cs="Arial"/>
          <w:szCs w:val="24"/>
        </w:rPr>
        <w:t>contract</w:t>
      </w:r>
      <w:bookmarkEnd w:id="2063"/>
      <w:r w:rsidRPr="00830C78">
        <w:rPr>
          <w:rFonts w:cs="Arial"/>
          <w:szCs w:val="24"/>
        </w:rPr>
        <w:t>s;</w:t>
      </w:r>
    </w:p>
    <w:p w14:paraId="67625E7F" w14:textId="77777777" w:rsidR="00F67E9E" w:rsidRPr="00830C78" w:rsidRDefault="00F67E9E" w:rsidP="00F67E9E">
      <w:pPr>
        <w:pStyle w:val="AppendixText2continued"/>
        <w:ind w:left="720"/>
        <w:rPr>
          <w:rFonts w:cs="Arial"/>
          <w:szCs w:val="24"/>
        </w:rPr>
      </w:pPr>
      <w:r>
        <w:rPr>
          <w:rFonts w:cs="Arial"/>
          <w:szCs w:val="24"/>
        </w:rPr>
        <w:t>“</w:t>
      </w:r>
      <w:r w:rsidRPr="00830C78">
        <w:rPr>
          <w:rFonts w:cs="Arial"/>
          <w:b/>
          <w:szCs w:val="24"/>
        </w:rPr>
        <w:t>ITT Response</w:t>
      </w:r>
      <w:r>
        <w:rPr>
          <w:rFonts w:cs="Arial"/>
          <w:szCs w:val="24"/>
        </w:rPr>
        <w:t>”</w:t>
      </w:r>
      <w:r w:rsidRPr="00830C78">
        <w:rPr>
          <w:rFonts w:cs="Arial"/>
          <w:szCs w:val="24"/>
        </w:rPr>
        <w:t xml:space="preserve"> means the tender(s) submitted, or to be submitted, by the Counterparty,</w:t>
      </w:r>
      <w:r>
        <w:rPr>
          <w:rFonts w:cs="Arial"/>
          <w:szCs w:val="24"/>
        </w:rPr>
        <w:t xml:space="preserve"> </w:t>
      </w:r>
      <w:r w:rsidRPr="00830C78">
        <w:rPr>
          <w:rFonts w:cs="Arial"/>
          <w:szCs w:val="24"/>
        </w:rPr>
        <w:t xml:space="preserve">any of its Affiliates and/or any Subcontractors </w:t>
      </w:r>
      <w:r w:rsidRPr="004D5D04">
        <w:t>in</w:t>
      </w:r>
      <w:r w:rsidRPr="00830C78">
        <w:rPr>
          <w:rFonts w:cs="Arial"/>
          <w:szCs w:val="24"/>
        </w:rPr>
        <w:t xml:space="preserve"> response to any invitation(s) to submit bids under the ITT process;</w:t>
      </w:r>
    </w:p>
    <w:p w14:paraId="43D02D71" w14:textId="77777777" w:rsidR="00F67E9E" w:rsidRPr="00830C78" w:rsidRDefault="00F67E9E" w:rsidP="00F67E9E">
      <w:pPr>
        <w:pStyle w:val="AppendixText2continued"/>
        <w:ind w:left="720"/>
        <w:rPr>
          <w:rFonts w:cs="Arial"/>
          <w:szCs w:val="24"/>
        </w:rPr>
      </w:pPr>
      <w:bookmarkStart w:id="2064" w:name="_9kR3WTr24447EbWwitRDmikz"/>
      <w:r>
        <w:rPr>
          <w:rFonts w:cs="Arial"/>
          <w:szCs w:val="24"/>
        </w:rPr>
        <w:t>“</w:t>
      </w:r>
      <w:r w:rsidRPr="00830C78">
        <w:rPr>
          <w:rFonts w:cs="Arial"/>
          <w:b/>
          <w:szCs w:val="24"/>
        </w:rPr>
        <w:t>Other Bidder</w:t>
      </w:r>
      <w:bookmarkEnd w:id="2064"/>
      <w:r>
        <w:rPr>
          <w:rFonts w:cs="Arial"/>
          <w:szCs w:val="24"/>
        </w:rPr>
        <w:t>”</w:t>
      </w:r>
      <w:r w:rsidRPr="00830C78">
        <w:rPr>
          <w:rFonts w:cs="Arial"/>
          <w:b/>
          <w:szCs w:val="24"/>
        </w:rPr>
        <w:t xml:space="preserve"> </w:t>
      </w:r>
      <w:r w:rsidRPr="00830C78">
        <w:rPr>
          <w:rFonts w:cs="Arial"/>
          <w:szCs w:val="24"/>
        </w:rPr>
        <w:t xml:space="preserve">means any other bidder or </w:t>
      </w:r>
      <w:r w:rsidRPr="004D5D04">
        <w:t>potential</w:t>
      </w:r>
      <w:r w:rsidRPr="00830C78">
        <w:rPr>
          <w:rFonts w:cs="Arial"/>
          <w:szCs w:val="24"/>
        </w:rPr>
        <w:t xml:space="preserve"> bidder that is not the Counterparty or any of its Affiliates that has taken or is taking part in the ITT Process;</w:t>
      </w:r>
    </w:p>
    <w:p w14:paraId="246C12D5" w14:textId="77777777" w:rsidR="00F67E9E" w:rsidRPr="00830C78" w:rsidRDefault="00F67E9E" w:rsidP="00F67E9E">
      <w:pPr>
        <w:pStyle w:val="AppendixText2continued"/>
        <w:ind w:left="720"/>
        <w:rPr>
          <w:rFonts w:cs="Arial"/>
          <w:szCs w:val="24"/>
        </w:rPr>
      </w:pPr>
      <w:bookmarkStart w:id="2065" w:name="_9kR3WTr24449AWV1nuAvrsuAngCyp6L"/>
      <w:bookmarkStart w:id="2066" w:name="_9kR3WTr24449CYV1nuAvrsuAngCyp6L"/>
      <w:r>
        <w:rPr>
          <w:rFonts w:cs="Arial"/>
          <w:szCs w:val="24"/>
        </w:rPr>
        <w:t>“</w:t>
      </w:r>
      <w:r w:rsidRPr="00830C78">
        <w:rPr>
          <w:b/>
          <w:szCs w:val="24"/>
        </w:rPr>
        <w:t>Procurement Process</w:t>
      </w:r>
      <w:bookmarkEnd w:id="2065"/>
      <w:bookmarkEnd w:id="2066"/>
      <w:r>
        <w:rPr>
          <w:rFonts w:cs="Arial"/>
          <w:szCs w:val="24"/>
        </w:rPr>
        <w:t>”</w:t>
      </w:r>
      <w:r w:rsidRPr="00830C78">
        <w:rPr>
          <w:szCs w:val="24"/>
        </w:rPr>
        <w:t xml:space="preserve"> </w:t>
      </w:r>
      <w:r w:rsidRPr="00830C78">
        <w:rPr>
          <w:iCs/>
          <w:szCs w:val="24"/>
        </w:rPr>
        <w:t xml:space="preserve">means the period commencing on the earlier of: (a) the publication of the first notice in relation to the Purpose; and (b) the execution of this Agreement, and ending on the occurrence of: (i) the publication by the </w:t>
      </w:r>
      <w:r w:rsidRPr="004D5D04">
        <w:t>Authority</w:t>
      </w:r>
      <w:r w:rsidRPr="00830C78">
        <w:rPr>
          <w:iCs/>
          <w:szCs w:val="24"/>
        </w:rPr>
        <w:t xml:space="preserve"> of all </w:t>
      </w:r>
      <w:bookmarkStart w:id="2067" w:name="_9kMHG5YVt4666BDMHz5Asey"/>
      <w:bookmarkStart w:id="2068" w:name="_9kMHG5YVt4666BFOHz5Asey"/>
      <w:r w:rsidRPr="00830C78">
        <w:rPr>
          <w:iCs/>
          <w:szCs w:val="24"/>
        </w:rPr>
        <w:t>contract</w:t>
      </w:r>
      <w:bookmarkEnd w:id="2067"/>
      <w:bookmarkEnd w:id="2068"/>
      <w:r w:rsidRPr="00830C78">
        <w:rPr>
          <w:iCs/>
          <w:szCs w:val="24"/>
        </w:rPr>
        <w:t xml:space="preserve"> award notices that result from the ITT Process; or (ii) the abandonment or termination of the ITT Process as notified by the Authority</w:t>
      </w:r>
      <w:r w:rsidRPr="00830C78">
        <w:rPr>
          <w:szCs w:val="24"/>
        </w:rPr>
        <w:t>;</w:t>
      </w:r>
    </w:p>
    <w:p w14:paraId="611B337E" w14:textId="77777777" w:rsidR="00F67E9E" w:rsidRPr="00863151" w:rsidRDefault="00F67E9E" w:rsidP="00F67E9E">
      <w:pPr>
        <w:pStyle w:val="AppendixText2continued"/>
        <w:ind w:left="720"/>
      </w:pPr>
      <w:r>
        <w:rPr>
          <w:rFonts w:cs="Arial"/>
          <w:szCs w:val="24"/>
        </w:rPr>
        <w:t>“</w:t>
      </w:r>
      <w:r w:rsidRPr="00830C78">
        <w:rPr>
          <w:rFonts w:cs="Arial"/>
          <w:b/>
          <w:szCs w:val="24"/>
        </w:rPr>
        <w:t>Procurement Regulations</w:t>
      </w:r>
      <w:r>
        <w:rPr>
          <w:rFonts w:cs="Arial"/>
          <w:szCs w:val="24"/>
        </w:rPr>
        <w:t>”</w:t>
      </w:r>
      <w:r w:rsidRPr="00830C78">
        <w:rPr>
          <w:rFonts w:cs="Arial"/>
          <w:szCs w:val="24"/>
        </w:rPr>
        <w:t xml:space="preserve"> means the Public Contracts Regulations 2015, t</w:t>
      </w:r>
      <w:r w:rsidRPr="00830C78">
        <w:rPr>
          <w:szCs w:val="24"/>
        </w:rPr>
        <w:t xml:space="preserve">he </w:t>
      </w:r>
      <w:bookmarkStart w:id="2069" w:name="_9kR3WTr266467WYrjrjRb7t0G1xy0G"/>
      <w:r w:rsidRPr="00830C78">
        <w:rPr>
          <w:szCs w:val="24"/>
        </w:rPr>
        <w:t>Public Procurement</w:t>
      </w:r>
      <w:bookmarkEnd w:id="2069"/>
      <w:r w:rsidRPr="00830C78">
        <w:rPr>
          <w:szCs w:val="24"/>
        </w:rPr>
        <w:t xml:space="preserve"> (</w:t>
      </w:r>
      <w:bookmarkStart w:id="2070" w:name="_9kR3WTr266468IBmoooqs8"/>
      <w:r w:rsidRPr="00830C78">
        <w:rPr>
          <w:szCs w:val="24"/>
        </w:rPr>
        <w:t>Amendment</w:t>
      </w:r>
      <w:bookmarkEnd w:id="2070"/>
      <w:r w:rsidRPr="00830C78">
        <w:rPr>
          <w:szCs w:val="24"/>
        </w:rPr>
        <w:t xml:space="preserve"> etc.)(</w:t>
      </w:r>
      <w:bookmarkStart w:id="2071" w:name="_9kR3WTr266469NxyS30"/>
      <w:r w:rsidRPr="00830C78">
        <w:rPr>
          <w:szCs w:val="24"/>
        </w:rPr>
        <w:t>EU Exit</w:t>
      </w:r>
      <w:bookmarkEnd w:id="2071"/>
      <w:r w:rsidRPr="00830C78">
        <w:rPr>
          <w:szCs w:val="24"/>
        </w:rPr>
        <w:t xml:space="preserve">) </w:t>
      </w:r>
      <w:bookmarkStart w:id="2072" w:name="_9kR3WTr26646AbKgx3kt2y49PLMN"/>
      <w:r w:rsidRPr="00830C78">
        <w:rPr>
          <w:szCs w:val="24"/>
        </w:rPr>
        <w:t>Regulation</w:t>
      </w:r>
      <w:r w:rsidRPr="00863151">
        <w:t>s 2020</w:t>
      </w:r>
      <w:bookmarkEnd w:id="2072"/>
      <w:r w:rsidRPr="00863151">
        <w:t>, the Defence and Security Public Contracts Regulations 2011, the Utilities Contracts Regulations 2016, and the Concession Contracts Regulations 2016, each as amended from time to time;</w:t>
      </w:r>
      <w:r w:rsidRPr="00863151" w:rsidDel="0047676E">
        <w:t xml:space="preserve"> </w:t>
      </w:r>
    </w:p>
    <w:p w14:paraId="6B9358DD" w14:textId="77777777" w:rsidR="00F67E9E" w:rsidRPr="00830C78" w:rsidRDefault="00F67E9E" w:rsidP="00F67E9E">
      <w:pPr>
        <w:pStyle w:val="AppendixText2continued"/>
        <w:ind w:left="720"/>
        <w:rPr>
          <w:szCs w:val="24"/>
        </w:rPr>
      </w:pPr>
      <w:r>
        <w:rPr>
          <w:rFonts w:cs="Arial"/>
          <w:szCs w:val="24"/>
        </w:rPr>
        <w:t>“</w:t>
      </w:r>
      <w:r w:rsidRPr="00830C78">
        <w:rPr>
          <w:rFonts w:cs="Arial"/>
          <w:b/>
          <w:szCs w:val="24"/>
        </w:rPr>
        <w:t>Professional Advisor</w:t>
      </w:r>
      <w:r>
        <w:rPr>
          <w:rFonts w:cs="Arial"/>
          <w:szCs w:val="24"/>
        </w:rPr>
        <w:t>”</w:t>
      </w:r>
      <w:r w:rsidRPr="00830C78">
        <w:rPr>
          <w:rFonts w:cs="Arial"/>
          <w:szCs w:val="24"/>
        </w:rPr>
        <w:t xml:space="preserve"> means a supplier, subcontractor, advisor or consultant engaged by the Counterparty and/or any of its Affiliates under the auspices of </w:t>
      </w:r>
      <w:r w:rsidRPr="004D5D04">
        <w:t>compiling</w:t>
      </w:r>
      <w:r w:rsidRPr="00830C78">
        <w:rPr>
          <w:rFonts w:cs="Arial"/>
          <w:szCs w:val="24"/>
        </w:rPr>
        <w:t xml:space="preserve"> its ITT response;</w:t>
      </w:r>
    </w:p>
    <w:p w14:paraId="0EC50C4D" w14:textId="77777777" w:rsidR="00F67E9E" w:rsidRPr="00830C78" w:rsidRDefault="00F67E9E" w:rsidP="00F67E9E">
      <w:pPr>
        <w:pStyle w:val="AppendixText2continued"/>
        <w:ind w:left="720"/>
        <w:rPr>
          <w:rFonts w:cs="Arial"/>
          <w:szCs w:val="24"/>
        </w:rPr>
      </w:pPr>
      <w:r>
        <w:rPr>
          <w:rFonts w:cs="Arial"/>
          <w:szCs w:val="24"/>
        </w:rPr>
        <w:t>“</w:t>
      </w:r>
      <w:r w:rsidRPr="00830C78">
        <w:rPr>
          <w:rFonts w:cs="Arial"/>
          <w:b/>
          <w:szCs w:val="24"/>
        </w:rPr>
        <w:t>Purpose</w:t>
      </w:r>
      <w:r>
        <w:rPr>
          <w:rFonts w:cs="Arial"/>
          <w:szCs w:val="24"/>
        </w:rPr>
        <w:t>”</w:t>
      </w:r>
      <w:r w:rsidRPr="00830C78">
        <w:rPr>
          <w:rFonts w:cs="Arial"/>
          <w:szCs w:val="24"/>
        </w:rPr>
        <w:t xml:space="preserve"> has the meaning given to it in recital </w:t>
      </w:r>
      <w:bookmarkStart w:id="2073" w:name="_9kR3WTr26646BMJ34yo0TC0znwxzF"/>
      <w:r w:rsidRPr="00830C78">
        <w:rPr>
          <w:rFonts w:cs="Arial"/>
          <w:szCs w:val="24"/>
        </w:rPr>
        <w:t>B to this Agreement</w:t>
      </w:r>
      <w:bookmarkEnd w:id="2073"/>
      <w:r w:rsidRPr="00830C78">
        <w:rPr>
          <w:rFonts w:cs="Arial"/>
          <w:szCs w:val="24"/>
        </w:rPr>
        <w:t>;</w:t>
      </w:r>
    </w:p>
    <w:p w14:paraId="38759CBF" w14:textId="77777777" w:rsidR="00F67E9E" w:rsidRPr="00830C78" w:rsidRDefault="00F67E9E" w:rsidP="00F67E9E">
      <w:pPr>
        <w:pStyle w:val="AppendixText2continued"/>
        <w:ind w:left="720"/>
        <w:rPr>
          <w:rFonts w:cs="Arial"/>
          <w:szCs w:val="24"/>
        </w:rPr>
      </w:pPr>
      <w:bookmarkStart w:id="2074" w:name="_9kR3WTr24448AZKp3tvws8wx696"/>
      <w:r>
        <w:rPr>
          <w:rFonts w:cs="Arial"/>
          <w:szCs w:val="24"/>
        </w:rPr>
        <w:t>“</w:t>
      </w:r>
      <w:r w:rsidRPr="00830C78">
        <w:rPr>
          <w:rFonts w:cs="Arial"/>
          <w:b/>
          <w:szCs w:val="24"/>
        </w:rPr>
        <w:t>Representative</w:t>
      </w:r>
      <w:bookmarkEnd w:id="2074"/>
      <w:r>
        <w:rPr>
          <w:rFonts w:cs="Arial"/>
          <w:bCs/>
          <w:szCs w:val="24"/>
        </w:rPr>
        <w:t>”</w:t>
      </w:r>
      <w:r w:rsidRPr="00830C78">
        <w:rPr>
          <w:rFonts w:cs="Arial"/>
          <w:b/>
          <w:szCs w:val="24"/>
        </w:rPr>
        <w:t xml:space="preserve"> </w:t>
      </w:r>
      <w:r w:rsidRPr="00830C78">
        <w:rPr>
          <w:rFonts w:cs="Arial"/>
          <w:szCs w:val="24"/>
        </w:rPr>
        <w:t>refers to a person</w:t>
      </w:r>
      <w:r>
        <w:rPr>
          <w:rFonts w:cs="Arial"/>
          <w:szCs w:val="24"/>
        </w:rPr>
        <w:t>’</w:t>
      </w:r>
      <w:r w:rsidRPr="00830C78">
        <w:rPr>
          <w:rFonts w:cs="Arial"/>
          <w:szCs w:val="24"/>
        </w:rPr>
        <w:t>s officers, directors, employees, advisers (including the officers, directors, employees, advisers and agents of any Professional Advisors), agents and, where the context admits, providers or potential providers of finance (including their representatives) to the Counterparty, any of its Affiliates and/or any subcontractors engaged in connection with the ITT Process;</w:t>
      </w:r>
    </w:p>
    <w:p w14:paraId="130B1CC3" w14:textId="77777777" w:rsidR="00F67E9E" w:rsidRPr="00830C78" w:rsidRDefault="00F67E9E" w:rsidP="00F67E9E">
      <w:pPr>
        <w:pStyle w:val="AppendixText2continued"/>
        <w:ind w:left="720"/>
        <w:rPr>
          <w:szCs w:val="24"/>
        </w:rPr>
      </w:pPr>
      <w:r>
        <w:rPr>
          <w:szCs w:val="24"/>
        </w:rPr>
        <w:t>“</w:t>
      </w:r>
      <w:r w:rsidRPr="00830C78">
        <w:rPr>
          <w:b/>
          <w:szCs w:val="24"/>
        </w:rPr>
        <w:t>Subcontractor</w:t>
      </w:r>
      <w:r>
        <w:rPr>
          <w:szCs w:val="24"/>
        </w:rPr>
        <w:t>”</w:t>
      </w:r>
      <w:r w:rsidRPr="00830C78">
        <w:rPr>
          <w:szCs w:val="24"/>
        </w:rPr>
        <w:t xml:space="preserve"> means an existing or </w:t>
      </w:r>
      <w:r w:rsidRPr="004D5D04">
        <w:t>proposed</w:t>
      </w:r>
      <w:r w:rsidRPr="00830C78">
        <w:rPr>
          <w:szCs w:val="24"/>
        </w:rPr>
        <w:t xml:space="preserve"> subcontractor of:</w:t>
      </w:r>
    </w:p>
    <w:p w14:paraId="2C5B225C" w14:textId="77777777" w:rsidR="00F67E9E" w:rsidRPr="00830C78" w:rsidRDefault="00F67E9E" w:rsidP="00F67E9E">
      <w:pPr>
        <w:pStyle w:val="AppendixText4"/>
        <w:numPr>
          <w:ilvl w:val="3"/>
          <w:numId w:val="70"/>
        </w:numPr>
        <w:tabs>
          <w:tab w:val="clear" w:pos="2520"/>
          <w:tab w:val="num" w:pos="1811"/>
        </w:tabs>
        <w:ind w:left="1451"/>
      </w:pPr>
      <w:r w:rsidRPr="00830C78">
        <w:t>the Counterparty; and/or</w:t>
      </w:r>
    </w:p>
    <w:p w14:paraId="3F41DBC5" w14:textId="77777777" w:rsidR="00F67E9E" w:rsidRPr="00830C78" w:rsidRDefault="00F67E9E" w:rsidP="00F67E9E">
      <w:pPr>
        <w:pStyle w:val="AppendixText4"/>
        <w:numPr>
          <w:ilvl w:val="3"/>
          <w:numId w:val="69"/>
        </w:numPr>
        <w:tabs>
          <w:tab w:val="clear" w:pos="2520"/>
          <w:tab w:val="num" w:pos="1811"/>
        </w:tabs>
        <w:ind w:left="1451"/>
      </w:pPr>
      <w:r w:rsidRPr="00830C78">
        <w:t>any of the Counterparty</w:t>
      </w:r>
      <w:r>
        <w:t>’</w:t>
      </w:r>
      <w:r w:rsidRPr="00830C78">
        <w:t>s Affiliates,</w:t>
      </w:r>
    </w:p>
    <w:p w14:paraId="5C98DED2" w14:textId="77777777" w:rsidR="00F67E9E" w:rsidRPr="00830C78" w:rsidRDefault="00F67E9E" w:rsidP="00F67E9E">
      <w:pPr>
        <w:pStyle w:val="AppendixText2continued"/>
        <w:ind w:left="720"/>
        <w:rPr>
          <w:rFonts w:cs="Arial"/>
          <w:szCs w:val="24"/>
        </w:rPr>
      </w:pPr>
      <w:r w:rsidRPr="00830C78">
        <w:rPr>
          <w:rFonts w:cs="Arial"/>
          <w:szCs w:val="24"/>
        </w:rPr>
        <w:t xml:space="preserve">who is connected to the </w:t>
      </w:r>
      <w:r w:rsidRPr="004D5D04">
        <w:rPr>
          <w:szCs w:val="24"/>
        </w:rPr>
        <w:t>preparation</w:t>
      </w:r>
      <w:r w:rsidRPr="00830C78">
        <w:rPr>
          <w:rFonts w:cs="Arial"/>
          <w:szCs w:val="24"/>
        </w:rPr>
        <w:t xml:space="preserve"> of an ITT Response (including key subcontractors named in the ITT Response);</w:t>
      </w:r>
    </w:p>
    <w:p w14:paraId="6FA8F85A" w14:textId="77777777" w:rsidR="00F67E9E" w:rsidRPr="00830C78" w:rsidRDefault="00F67E9E" w:rsidP="00F67E9E">
      <w:pPr>
        <w:pStyle w:val="AppendixText2continued"/>
        <w:ind w:left="720"/>
        <w:rPr>
          <w:rFonts w:cs="Arial"/>
          <w:szCs w:val="24"/>
        </w:rPr>
      </w:pPr>
      <w:r>
        <w:rPr>
          <w:rFonts w:cs="Arial"/>
          <w:szCs w:val="24"/>
        </w:rPr>
        <w:t>“</w:t>
      </w:r>
      <w:r w:rsidRPr="00830C78">
        <w:rPr>
          <w:rFonts w:cs="Arial"/>
          <w:b/>
          <w:szCs w:val="24"/>
        </w:rPr>
        <w:t>Third Party</w:t>
      </w:r>
      <w:r>
        <w:rPr>
          <w:rFonts w:cs="Arial"/>
          <w:szCs w:val="24"/>
        </w:rPr>
        <w:t>”</w:t>
      </w:r>
      <w:r w:rsidRPr="00830C78">
        <w:rPr>
          <w:rFonts w:cs="Arial"/>
          <w:szCs w:val="24"/>
        </w:rPr>
        <w:t xml:space="preserve"> means any person who is not a Party, including Other Bidders, their Affiliates and/or their Representatives; and</w:t>
      </w:r>
    </w:p>
    <w:p w14:paraId="404C7B46" w14:textId="77777777" w:rsidR="00F67E9E" w:rsidRPr="00830C78" w:rsidRDefault="00F67E9E" w:rsidP="00F67E9E">
      <w:pPr>
        <w:pStyle w:val="AppendixText2continued"/>
        <w:ind w:left="720"/>
        <w:rPr>
          <w:rFonts w:cs="Arial"/>
          <w:szCs w:val="24"/>
        </w:rPr>
      </w:pPr>
      <w:bookmarkStart w:id="2075" w:name="_9kR3WTr24448FjZ1yqutK91"/>
      <w:r>
        <w:rPr>
          <w:rFonts w:cs="Arial"/>
          <w:szCs w:val="24"/>
        </w:rPr>
        <w:t>“</w:t>
      </w:r>
      <w:r w:rsidRPr="00830C78">
        <w:rPr>
          <w:rFonts w:cs="Arial"/>
          <w:b/>
          <w:bCs/>
          <w:szCs w:val="24"/>
        </w:rPr>
        <w:t>Working Day</w:t>
      </w:r>
      <w:bookmarkEnd w:id="2075"/>
      <w:r>
        <w:rPr>
          <w:rFonts w:cs="Arial"/>
          <w:szCs w:val="24"/>
        </w:rPr>
        <w:t>”</w:t>
      </w:r>
      <w:r w:rsidRPr="00830C78">
        <w:rPr>
          <w:rFonts w:cs="Arial"/>
          <w:szCs w:val="24"/>
        </w:rPr>
        <w:t xml:space="preserve"> means any day of the </w:t>
      </w:r>
      <w:r w:rsidRPr="004D5D04">
        <w:rPr>
          <w:szCs w:val="24"/>
        </w:rPr>
        <w:t>week</w:t>
      </w:r>
      <w:r w:rsidRPr="00830C78">
        <w:rPr>
          <w:rFonts w:cs="Arial"/>
          <w:szCs w:val="24"/>
        </w:rPr>
        <w:t xml:space="preserve"> other than a weekend, when Banks in England and Wales are open for business. </w:t>
      </w:r>
    </w:p>
    <w:p w14:paraId="5121F988" w14:textId="77777777" w:rsidR="00F67E9E" w:rsidRPr="00122216" w:rsidRDefault="00F67E9E" w:rsidP="00F67E9E">
      <w:pPr>
        <w:pStyle w:val="AppendixText2"/>
      </w:pPr>
      <w:bookmarkStart w:id="2076" w:name="_9kR3WTr8E849FDB"/>
      <w:bookmarkEnd w:id="2076"/>
      <w:r w:rsidRPr="00830C78">
        <w:t xml:space="preserve">Reference to the disclosure of information includes any communication or making available </w:t>
      </w:r>
      <w:r w:rsidRPr="00122216">
        <w:t>information and includes both direct and indirect disclosure.</w:t>
      </w:r>
    </w:p>
    <w:p w14:paraId="1F6EACBA" w14:textId="77777777" w:rsidR="00F67E9E" w:rsidRPr="00122216" w:rsidRDefault="00F67E9E" w:rsidP="00F67E9E">
      <w:pPr>
        <w:pStyle w:val="AppendixText2"/>
      </w:pPr>
      <w:r w:rsidRPr="00122216">
        <w:t>Reference to the disclosure of information, or provision of access, by or to the Authority, the Counterparty, any of the Counterparty’s Affiliates and/or any Subcontractors includes disclosure, or provision of access, by or to the Representatives of the Authority, the Counterparty, any of its Affiliates and/or any Subcontractors (as the case may be).</w:t>
      </w:r>
    </w:p>
    <w:p w14:paraId="73E518A2" w14:textId="77777777" w:rsidR="00F67E9E" w:rsidRPr="00122216" w:rsidRDefault="00F67E9E" w:rsidP="00F67E9E">
      <w:pPr>
        <w:pStyle w:val="AppendixText2"/>
      </w:pPr>
      <w:r w:rsidRPr="00122216">
        <w:t>Reference to persons includes legal and natural persons.</w:t>
      </w:r>
    </w:p>
    <w:p w14:paraId="36EF007A" w14:textId="77777777" w:rsidR="00F67E9E" w:rsidRPr="00122216" w:rsidRDefault="00F67E9E" w:rsidP="00F67E9E">
      <w:pPr>
        <w:pStyle w:val="AppendixText2"/>
      </w:pPr>
      <w:r w:rsidRPr="00122216">
        <w:t>Reference to any enactment is to that enactment as amended, supplemented, re-enacted or replaced from time to time.</w:t>
      </w:r>
    </w:p>
    <w:p w14:paraId="09F22B74" w14:textId="77777777" w:rsidR="00F67E9E" w:rsidRPr="00122216" w:rsidRDefault="00F67E9E" w:rsidP="00F67E9E">
      <w:pPr>
        <w:pStyle w:val="AppendixText2"/>
      </w:pPr>
      <w:r w:rsidRPr="00122216">
        <w:t>Reference to clauses and recitals is to clauses of and recitals to this Agreement.</w:t>
      </w:r>
    </w:p>
    <w:p w14:paraId="2A79C088" w14:textId="77777777" w:rsidR="00F67E9E" w:rsidRPr="00122216" w:rsidRDefault="00F67E9E" w:rsidP="00F67E9E">
      <w:pPr>
        <w:pStyle w:val="AppendixText2"/>
      </w:pPr>
      <w:r w:rsidRPr="00122216">
        <w:t>Reference to any gender includes any other.</w:t>
      </w:r>
    </w:p>
    <w:p w14:paraId="1BDBEE83" w14:textId="77777777" w:rsidR="00F67E9E" w:rsidRPr="00830C78" w:rsidRDefault="00F67E9E" w:rsidP="00F67E9E">
      <w:pPr>
        <w:pStyle w:val="AppendixText2"/>
      </w:pPr>
      <w:r w:rsidRPr="00122216">
        <w:t>Referen</w:t>
      </w:r>
      <w:r w:rsidRPr="00830C78">
        <w:t>ce to writing includes email.</w:t>
      </w:r>
    </w:p>
    <w:p w14:paraId="5F59C78B" w14:textId="77777777" w:rsidR="00F67E9E" w:rsidRPr="00830C78" w:rsidRDefault="00F67E9E" w:rsidP="00F67E9E">
      <w:pPr>
        <w:pStyle w:val="AppendixText2"/>
      </w:pPr>
      <w:r w:rsidRPr="00830C78">
        <w:t xml:space="preserve">The terms </w:t>
      </w:r>
      <w:bookmarkStart w:id="2077" w:name="_9kR3WTr23347Fon63ojiuz"/>
      <w:r>
        <w:t>“</w:t>
      </w:r>
      <w:r w:rsidRPr="00830C78">
        <w:rPr>
          <w:b/>
          <w:bCs/>
        </w:rPr>
        <w:t>associate</w:t>
      </w:r>
      <w:bookmarkEnd w:id="2077"/>
      <w:r>
        <w:t>”</w:t>
      </w:r>
      <w:r w:rsidRPr="00830C78">
        <w:t xml:space="preserve">, </w:t>
      </w:r>
      <w:r>
        <w:t>“</w:t>
      </w:r>
      <w:bookmarkStart w:id="2078" w:name="_9kR3WTr23347Gwqvljutjs35utI"/>
      <w:r w:rsidRPr="00830C78">
        <w:rPr>
          <w:b/>
          <w:bCs/>
        </w:rPr>
        <w:t>holding company</w:t>
      </w:r>
      <w:bookmarkEnd w:id="2078"/>
      <w:r>
        <w:t>”</w:t>
      </w:r>
      <w:r w:rsidRPr="00830C78">
        <w:t xml:space="preserve">, </w:t>
      </w:r>
      <w:r>
        <w:t>“</w:t>
      </w:r>
      <w:bookmarkStart w:id="2079" w:name="_9kR3WTr23348C27rqykljtI"/>
      <w:r w:rsidRPr="00830C78">
        <w:rPr>
          <w:b/>
          <w:bCs/>
        </w:rPr>
        <w:t>subsidiary</w:t>
      </w:r>
      <w:bookmarkEnd w:id="2079"/>
      <w:r>
        <w:t>”</w:t>
      </w:r>
      <w:r w:rsidRPr="00830C78">
        <w:t xml:space="preserve">, </w:t>
      </w:r>
      <w:r>
        <w:t>“</w:t>
      </w:r>
      <w:bookmarkStart w:id="2080" w:name="_9kR3WTr23348D37rqykljtIMCwo3J3v487"/>
      <w:r w:rsidRPr="00830C78">
        <w:rPr>
          <w:b/>
          <w:bCs/>
        </w:rPr>
        <w:t>subsidiary undertaking</w:t>
      </w:r>
      <w:bookmarkEnd w:id="2080"/>
      <w:r>
        <w:t>”</w:t>
      </w:r>
      <w:r w:rsidRPr="00830C78">
        <w:t xml:space="preserve"> and </w:t>
      </w:r>
      <w:r>
        <w:t>“</w:t>
      </w:r>
      <w:bookmarkStart w:id="2081" w:name="_9kR3WTr23348E8yrwu8CBBul0I219vwu4T"/>
      <w:r w:rsidRPr="00830C78">
        <w:rPr>
          <w:b/>
          <w:bCs/>
        </w:rPr>
        <w:t>wholly owned subsidiary</w:t>
      </w:r>
      <w:bookmarkEnd w:id="2081"/>
      <w:r>
        <w:t>”</w:t>
      </w:r>
      <w:r w:rsidRPr="00830C78">
        <w:t xml:space="preserve"> have the meanings attributed to them in the Companies Act 2006, except that for the </w:t>
      </w:r>
      <w:bookmarkStart w:id="2082" w:name="_9kMIH5YVt46669Fda9537y"/>
      <w:r w:rsidRPr="00830C78">
        <w:t>purposes</w:t>
      </w:r>
      <w:bookmarkEnd w:id="2082"/>
      <w:r w:rsidRPr="00830C78">
        <w:t xml:space="preserve"> of section 1159(1)(a) of that Act, the words </w:t>
      </w:r>
      <w:r>
        <w:t>‘</w:t>
      </w:r>
      <w:r w:rsidRPr="00830C78">
        <w:t>holds a majority of the voting rights</w:t>
      </w:r>
      <w:r>
        <w:t>’</w:t>
      </w:r>
      <w:r w:rsidRPr="00830C78">
        <w:t xml:space="preserve"> shall be changed to </w:t>
      </w:r>
      <w:r>
        <w:t>‘</w:t>
      </w:r>
      <w:r w:rsidRPr="00830C78">
        <w:t>holds 30% or more of the voting rights</w:t>
      </w:r>
      <w:r>
        <w:t>’</w:t>
      </w:r>
      <w:r w:rsidRPr="00830C78">
        <w:t>, and other expressions shall be construed accordingly.</w:t>
      </w:r>
    </w:p>
    <w:p w14:paraId="124902EE" w14:textId="77777777" w:rsidR="00F67E9E" w:rsidRPr="00830C78" w:rsidRDefault="00F67E9E" w:rsidP="00F67E9E">
      <w:pPr>
        <w:pStyle w:val="AppendixText2"/>
      </w:pPr>
      <w:r w:rsidRPr="00830C78">
        <w:t xml:space="preserve">The words </w:t>
      </w:r>
      <w:r>
        <w:t>“</w:t>
      </w:r>
      <w:bookmarkStart w:id="2083" w:name="_9kR3WTr23347Hyqlk3wh"/>
      <w:r w:rsidRPr="00830C78">
        <w:rPr>
          <w:b/>
          <w:bCs/>
        </w:rPr>
        <w:t>include</w:t>
      </w:r>
      <w:bookmarkEnd w:id="2083"/>
      <w:r>
        <w:t>”</w:t>
      </w:r>
      <w:r w:rsidRPr="00830C78">
        <w:t xml:space="preserve"> and </w:t>
      </w:r>
      <w:r>
        <w:t>“</w:t>
      </w:r>
      <w:r w:rsidRPr="00830C78">
        <w:rPr>
          <w:b/>
          <w:bCs/>
        </w:rPr>
        <w:t>including</w:t>
      </w:r>
      <w:r>
        <w:t>”</w:t>
      </w:r>
      <w:r w:rsidRPr="00830C78">
        <w:t xml:space="preserve"> are to be construed without limitation.</w:t>
      </w:r>
    </w:p>
    <w:p w14:paraId="1602195D" w14:textId="77777777" w:rsidR="00F67E9E" w:rsidRPr="00830C78" w:rsidRDefault="00F67E9E" w:rsidP="00F67E9E">
      <w:pPr>
        <w:pStyle w:val="AppendixText2"/>
      </w:pPr>
      <w:r w:rsidRPr="00830C78">
        <w:t>The singular includes the plural and vice versa.</w:t>
      </w:r>
    </w:p>
    <w:p w14:paraId="6993C166" w14:textId="77777777" w:rsidR="00F67E9E" w:rsidRPr="00830C78" w:rsidRDefault="00F67E9E" w:rsidP="00F67E9E">
      <w:pPr>
        <w:pStyle w:val="AppendixText2"/>
      </w:pPr>
      <w:r w:rsidRPr="00830C78">
        <w:t>The headings contained in this Agreement shall not affect its construction or interpretation.</w:t>
      </w:r>
    </w:p>
    <w:p w14:paraId="646F643B" w14:textId="77777777" w:rsidR="00F67E9E" w:rsidRPr="004D5D04" w:rsidRDefault="00F67E9E" w:rsidP="00F67E9E">
      <w:pPr>
        <w:pStyle w:val="AppendixText1"/>
      </w:pPr>
      <w:bookmarkStart w:id="2084" w:name="_9kR3WTr8E849GF"/>
      <w:bookmarkStart w:id="2085" w:name="_Toc493689908"/>
      <w:bookmarkStart w:id="2086" w:name="_Ref89439696"/>
      <w:bookmarkStart w:id="2087" w:name="_Ref89439702"/>
      <w:bookmarkEnd w:id="2084"/>
      <w:r w:rsidRPr="004D5D04">
        <w:t xml:space="preserve">Ethical </w:t>
      </w:r>
      <w:r w:rsidRPr="00122216">
        <w:t>Walls</w:t>
      </w:r>
      <w:bookmarkEnd w:id="2085"/>
      <w:bookmarkEnd w:id="2086"/>
      <w:bookmarkEnd w:id="2087"/>
    </w:p>
    <w:p w14:paraId="20652724" w14:textId="77777777" w:rsidR="00F67E9E" w:rsidRPr="00830C78" w:rsidRDefault="00F67E9E" w:rsidP="00F67E9E">
      <w:pPr>
        <w:pStyle w:val="AppendixText2"/>
      </w:pPr>
      <w:bookmarkStart w:id="2088" w:name="_Ref393380618"/>
      <w:bookmarkStart w:id="2089" w:name="_Ref393358182"/>
      <w:r w:rsidRPr="00830C78">
        <w:t xml:space="preserve">In consideration of the sum of £1 payable by the Authority to the Counterparty, receipt of which is hereby acknowledged, the Parties </w:t>
      </w:r>
      <w:r w:rsidRPr="004D5D04">
        <w:t>agree</w:t>
      </w:r>
      <w:r w:rsidRPr="00830C78">
        <w:t xml:space="preserve"> to be bound by the terms of this Agreement.</w:t>
      </w:r>
      <w:bookmarkEnd w:id="2088"/>
    </w:p>
    <w:p w14:paraId="639B65A5" w14:textId="77777777" w:rsidR="00F67E9E" w:rsidRPr="004D5D04" w:rsidRDefault="00F67E9E" w:rsidP="00F67E9E">
      <w:pPr>
        <w:pStyle w:val="StdBodyText1"/>
        <w:keepNext/>
        <w:keepLines/>
        <w:rPr>
          <w:rStyle w:val="StdBodyTextBoldChar"/>
          <w:rFonts w:cs="Arial"/>
          <w:bCs/>
        </w:rPr>
      </w:pPr>
      <w:r w:rsidRPr="004D5D04">
        <w:rPr>
          <w:rStyle w:val="StdBodyTextBoldChar"/>
          <w:rFonts w:cs="Arial"/>
          <w:bCs/>
        </w:rPr>
        <w:t>Conflicts of Interest</w:t>
      </w:r>
    </w:p>
    <w:p w14:paraId="5B97556A" w14:textId="77777777" w:rsidR="00F67E9E" w:rsidRPr="00830C78" w:rsidRDefault="00F67E9E" w:rsidP="00F67E9E">
      <w:pPr>
        <w:pStyle w:val="AppendixText2"/>
        <w:rPr>
          <w:rFonts w:cs="Arial"/>
        </w:rPr>
      </w:pPr>
      <w:bookmarkStart w:id="2090" w:name="_Ref76559368"/>
      <w:bookmarkStart w:id="2091" w:name="_Ref393378331"/>
      <w:r w:rsidRPr="00830C78">
        <w:rPr>
          <w:rFonts w:cs="Arial"/>
        </w:rPr>
        <w:t xml:space="preserve">The </w:t>
      </w:r>
      <w:r w:rsidRPr="004D5D04">
        <w:t>Counterparty</w:t>
      </w:r>
      <w:r w:rsidRPr="00830C78">
        <w:rPr>
          <w:rFonts w:cs="Arial"/>
        </w:rPr>
        <w:t>:</w:t>
      </w:r>
      <w:bookmarkEnd w:id="2090"/>
    </w:p>
    <w:p w14:paraId="57B4A19E" w14:textId="77777777" w:rsidR="00F67E9E" w:rsidRPr="00122216" w:rsidRDefault="00F67E9E" w:rsidP="00F67E9E">
      <w:pPr>
        <w:pStyle w:val="AppendixText3"/>
      </w:pPr>
      <w:r w:rsidRPr="00830C78">
        <w:t xml:space="preserve">shall take all appropriate steps to ensure that neither the Counterparty, nor its Affiliates, nor any Subcontractors nor any Representatives are in a position where, in the reasonable opinion of the Authority, there is or may be an actual conflict, or a potential </w:t>
      </w:r>
      <w:r w:rsidRPr="00122216">
        <w:t xml:space="preserve">conflict, between the pecuniary or personal interests of the Counterparty, any of its Affiliates, any Subcontractors and/or any Representatives and the duties owed to the Authority under </w:t>
      </w:r>
      <w:bookmarkEnd w:id="2089"/>
      <w:r w:rsidRPr="00122216">
        <w:t>any Contract or pursuant to an open and transparent ITT Process;</w:t>
      </w:r>
      <w:bookmarkEnd w:id="2091"/>
      <w:r w:rsidRPr="00122216">
        <w:t xml:space="preserve"> and</w:t>
      </w:r>
    </w:p>
    <w:p w14:paraId="47A909A2" w14:textId="77777777" w:rsidR="00F67E9E" w:rsidRPr="00830C78" w:rsidRDefault="00F67E9E" w:rsidP="00F67E9E">
      <w:pPr>
        <w:pStyle w:val="AppendixText3"/>
      </w:pPr>
      <w:r w:rsidRPr="00122216">
        <w:t xml:space="preserve">acknowledges and agrees that a conflict of interest may arise in situations where the Counterparty, any of its Affiliates, any Subcontractors and/or any Representatives intend to take part in the ITT Process and because of the </w:t>
      </w:r>
      <w:bookmarkStart w:id="2092" w:name="_9kMLK5YVt8956BJ"/>
      <w:r w:rsidRPr="00122216">
        <w:t>Counterparty’s</w:t>
      </w:r>
      <w:bookmarkEnd w:id="2092"/>
      <w:r w:rsidRPr="00122216">
        <w:t xml:space="preserve">, any of its </w:t>
      </w:r>
      <w:bookmarkStart w:id="2093" w:name="_9kMML5YVt8956BJ"/>
      <w:r w:rsidRPr="00122216">
        <w:t>Affiliates</w:t>
      </w:r>
      <w:bookmarkEnd w:id="2093"/>
      <w:r w:rsidRPr="00122216">
        <w:t>’, any Subcontractors’ and/or any Representatives’ relationship with the Authority under any Contract, the Counterparty, any of its Affiliates</w:t>
      </w:r>
      <w:r w:rsidRPr="00830C78">
        <w:t>, any Subcontractors and/or any Representatives have or have had access to information which could provide the Counterparty, any of</w:t>
      </w:r>
      <w:r>
        <w:t xml:space="preserve"> </w:t>
      </w:r>
      <w:r w:rsidRPr="00830C78">
        <w:t xml:space="preserve">its Affiliates, any Subcontractors and/or any Representatives with an advantage and render unfair an otherwise genuine and open competitive ITT Process. </w:t>
      </w:r>
    </w:p>
    <w:p w14:paraId="3AE36085" w14:textId="77777777" w:rsidR="00F67E9E" w:rsidRPr="00830C78" w:rsidRDefault="00F67E9E" w:rsidP="00F67E9E">
      <w:pPr>
        <w:pStyle w:val="AppendixText2"/>
      </w:pPr>
      <w:bookmarkStart w:id="2094" w:name="_Ref76559254"/>
      <w:bookmarkStart w:id="2095" w:name="_Ref393358244"/>
      <w:bookmarkStart w:id="2096" w:name="_Ref493668015"/>
      <w:r w:rsidRPr="00830C78">
        <w:t xml:space="preserve">Where there is or is likely to be a conflict of interest, or the perception of a conflict of interest, of any kind in relation to the ITT Process, the Counterparty shall take such steps that are necessary to eliminate the conflict of interest to the </w:t>
      </w:r>
      <w:bookmarkStart w:id="2097" w:name="_9kMNM5YVt8956BJ"/>
      <w:r w:rsidRPr="00830C78">
        <w:t>Authority</w:t>
      </w:r>
      <w:r>
        <w:t>’</w:t>
      </w:r>
      <w:r w:rsidRPr="00830C78">
        <w:t>s</w:t>
      </w:r>
      <w:bookmarkEnd w:id="2097"/>
      <w:r w:rsidRPr="00830C78">
        <w:t xml:space="preserve"> satisfaction, including one or more of the following:</w:t>
      </w:r>
      <w:bookmarkEnd w:id="2094"/>
      <w:bookmarkEnd w:id="2095"/>
      <w:bookmarkEnd w:id="2096"/>
      <w:r w:rsidRPr="00830C78">
        <w:t xml:space="preserve"> </w:t>
      </w:r>
    </w:p>
    <w:p w14:paraId="3FFAB1E5" w14:textId="77777777" w:rsidR="00F67E9E" w:rsidRPr="00122216" w:rsidRDefault="00F67E9E" w:rsidP="00F67E9E">
      <w:pPr>
        <w:pStyle w:val="AppendixText3"/>
      </w:pPr>
      <w:r w:rsidRPr="00830C78">
        <w:t xml:space="preserve">not </w:t>
      </w:r>
      <w:r w:rsidRPr="004D5D04">
        <w:t>assigning</w:t>
      </w:r>
      <w:r w:rsidRPr="00830C78">
        <w:t xml:space="preserve"> </w:t>
      </w:r>
      <w:r w:rsidRPr="00122216">
        <w:t>any of the Conflicted Personnel to the Bid Team at any time;</w:t>
      </w:r>
    </w:p>
    <w:p w14:paraId="0F878765" w14:textId="77777777" w:rsidR="00F67E9E" w:rsidRPr="00122216" w:rsidRDefault="00F67E9E" w:rsidP="00F67E9E">
      <w:pPr>
        <w:pStyle w:val="AppendixText3"/>
      </w:pPr>
      <w:r w:rsidRPr="00122216">
        <w:t>providing to the Authority promptly upon request a complete and up to date list of any Conflicted Personnel and the personnel comprising the Bid Team and reissue such list to the Authority promptly upon any change to it;</w:t>
      </w:r>
    </w:p>
    <w:p w14:paraId="5D61E211" w14:textId="77777777" w:rsidR="00F67E9E" w:rsidRPr="00830C78" w:rsidRDefault="00F67E9E" w:rsidP="00F67E9E">
      <w:pPr>
        <w:pStyle w:val="AppendixText3"/>
      </w:pPr>
      <w:r w:rsidRPr="00122216">
        <w:t xml:space="preserve">ensuring that no act or omission by itself, its Affiliates, any Subcontractors and/or </w:t>
      </w:r>
      <w:bookmarkStart w:id="2098" w:name="_9kR3WTr26649JQ4gkrsiuzznUzD3562I67GJGE"/>
      <w:r w:rsidRPr="00122216">
        <w:t>any Representatives</w:t>
      </w:r>
      <w:bookmarkEnd w:id="2098"/>
      <w:r w:rsidRPr="00122216">
        <w:t xml:space="preserve"> results in information of any kind, however conveyed, or in any format and</w:t>
      </w:r>
      <w:r w:rsidRPr="00830C78">
        <w:t xml:space="preserve"> however so stored:</w:t>
      </w:r>
    </w:p>
    <w:p w14:paraId="0F2A7EBF" w14:textId="77777777" w:rsidR="00F67E9E" w:rsidRPr="00122216" w:rsidRDefault="00F67E9E" w:rsidP="00F67E9E">
      <w:pPr>
        <w:pStyle w:val="Numbered111a"/>
      </w:pPr>
      <w:r w:rsidRPr="00830C78">
        <w:t>about the ITT Process (gleaned from the performance of any</w:t>
      </w:r>
      <w:r>
        <w:t xml:space="preserve"> </w:t>
      </w:r>
      <w:r w:rsidRPr="00830C78">
        <w:t xml:space="preserve">Contract or </w:t>
      </w:r>
      <w:r w:rsidRPr="00122216">
        <w:t xml:space="preserve">otherwise); and/or </w:t>
      </w:r>
    </w:p>
    <w:p w14:paraId="6C4D0D52" w14:textId="77777777" w:rsidR="00F67E9E" w:rsidRPr="00830C78" w:rsidRDefault="00F67E9E" w:rsidP="00F67E9E">
      <w:pPr>
        <w:pStyle w:val="Numbered111a"/>
      </w:pPr>
      <w:r w:rsidRPr="00122216">
        <w:t>which w</w:t>
      </w:r>
      <w:r w:rsidRPr="00830C78">
        <w:t>ould or could in the opinion of the Authority confer an unfair advantage on the Counterparty in relation to its participation in the ITT Process,</w:t>
      </w:r>
    </w:p>
    <w:p w14:paraId="6304FBDF" w14:textId="77777777" w:rsidR="00F67E9E" w:rsidRPr="00830C78" w:rsidRDefault="00F67E9E" w:rsidP="00F67E9E">
      <w:pPr>
        <w:pStyle w:val="AppendixText3continued"/>
        <w:ind w:left="1800"/>
      </w:pPr>
      <w:r w:rsidRPr="00830C78">
        <w:t>becoming available to the Bid Team where the Authority has not made generally available that information to Other Bidders;</w:t>
      </w:r>
    </w:p>
    <w:p w14:paraId="513F883B" w14:textId="77777777" w:rsidR="00F67E9E" w:rsidRPr="00122216" w:rsidRDefault="00F67E9E" w:rsidP="00F67E9E">
      <w:pPr>
        <w:pStyle w:val="AppendixText3"/>
      </w:pPr>
      <w:r w:rsidRPr="00830C78">
        <w:rPr>
          <w:rFonts w:cs="Arial"/>
        </w:rPr>
        <w:t>ensuring</w:t>
      </w:r>
      <w:r w:rsidRPr="00830C78">
        <w:rPr>
          <w:rFonts w:eastAsiaTheme="minorHAnsi"/>
        </w:rPr>
        <w:t xml:space="preserve"> that by no act or omission by itself, its Affiliates</w:t>
      </w:r>
      <w:r w:rsidRPr="00830C78">
        <w:rPr>
          <w:rFonts w:cs="Arial"/>
        </w:rPr>
        <w:t>, any Subcontractors and/or any Representatives</w:t>
      </w:r>
      <w:r w:rsidRPr="00830C78">
        <w:rPr>
          <w:rFonts w:eastAsiaTheme="minorHAnsi"/>
        </w:rPr>
        <w:t xml:space="preserve"> and in particular the Bid Team results in information of any kind,</w:t>
      </w:r>
      <w:r w:rsidRPr="00830C78">
        <w:rPr>
          <w:rFonts w:cs="Arial"/>
        </w:rPr>
        <w:t xml:space="preserve"> however conveyed,</w:t>
      </w:r>
      <w:r w:rsidRPr="00830C78">
        <w:rPr>
          <w:rFonts w:eastAsiaTheme="minorHAnsi"/>
        </w:rPr>
        <w:t xml:space="preserve"> in any format and however so stored about the ITT </w:t>
      </w:r>
      <w:r w:rsidRPr="00122216">
        <w:rPr>
          <w:rFonts w:eastAsiaTheme="minorHAnsi"/>
        </w:rPr>
        <w:t xml:space="preserve">Process, its </w:t>
      </w:r>
      <w:r w:rsidRPr="00122216">
        <w:t>operation</w:t>
      </w:r>
      <w:r w:rsidRPr="00122216">
        <w:rPr>
          <w:rFonts w:eastAsiaTheme="minorHAnsi"/>
        </w:rPr>
        <w:t xml:space="preserve"> and all matters connected or ancillary to it becoming available to the Conflicted Personnel;</w:t>
      </w:r>
    </w:p>
    <w:p w14:paraId="0D5A20B2" w14:textId="77777777" w:rsidR="00F67E9E" w:rsidRPr="00830C78" w:rsidRDefault="00F67E9E" w:rsidP="00F67E9E">
      <w:pPr>
        <w:pStyle w:val="AppendixText3"/>
        <w:rPr>
          <w:rFonts w:cs="Arial"/>
        </w:rPr>
      </w:pPr>
      <w:r w:rsidRPr="00122216">
        <w:t>ensure</w:t>
      </w:r>
      <w:r w:rsidRPr="00830C78">
        <w:rPr>
          <w:rFonts w:cs="Arial"/>
        </w:rPr>
        <w:t xml:space="preserve"> that agreements that flow down the </w:t>
      </w:r>
      <w:bookmarkStart w:id="2099" w:name="_9kMPO5YVt8956BJ"/>
      <w:r w:rsidRPr="00830C78">
        <w:rPr>
          <w:rFonts w:cs="Arial"/>
        </w:rPr>
        <w:t>Counterparty</w:t>
      </w:r>
      <w:r>
        <w:rPr>
          <w:rFonts w:cs="Arial"/>
        </w:rPr>
        <w:t>’</w:t>
      </w:r>
      <w:r w:rsidRPr="00830C78">
        <w:rPr>
          <w:rFonts w:cs="Arial"/>
        </w:rPr>
        <w:t>s</w:t>
      </w:r>
      <w:bookmarkEnd w:id="2099"/>
      <w:r w:rsidRPr="00830C78">
        <w:rPr>
          <w:rFonts w:cs="Arial"/>
        </w:rPr>
        <w:t xml:space="preserve"> obligations in this Agreement, are entered into as necessary, between the Counterparty and its Affiliates and any Subcontractors [</w:t>
      </w:r>
      <w:r w:rsidRPr="00830C78">
        <w:rPr>
          <w:rFonts w:cs="Arial"/>
          <w:highlight w:val="yellow"/>
        </w:rPr>
        <w:t>in a form to be approved by the Authority</w:t>
      </w:r>
      <w:r w:rsidRPr="00830C78">
        <w:rPr>
          <w:rFonts w:cs="Arial"/>
        </w:rPr>
        <w:t>];</w:t>
      </w:r>
    </w:p>
    <w:p w14:paraId="55A4F74C" w14:textId="77777777" w:rsidR="00F67E9E" w:rsidRPr="00830C78" w:rsidRDefault="00F67E9E" w:rsidP="00F67E9E">
      <w:pPr>
        <w:pStyle w:val="AppendixText3"/>
      </w:pPr>
      <w:r w:rsidRPr="00830C78">
        <w:t>physically separating the Conflicted Personnel and the Bid Team, either in separate buildings or in areas with restricted access;</w:t>
      </w:r>
    </w:p>
    <w:p w14:paraId="34B00603" w14:textId="77777777" w:rsidR="00F67E9E" w:rsidRPr="00830C78" w:rsidRDefault="00F67E9E" w:rsidP="00F67E9E">
      <w:pPr>
        <w:pStyle w:val="AppendixText3"/>
      </w:pPr>
      <w:r w:rsidRPr="00830C78">
        <w:t xml:space="preserve">providing regular training to its Affiliates, any Subcontractors and/or </w:t>
      </w:r>
      <w:bookmarkStart w:id="2100" w:name="_9kR3WTr26646CM4gkrsiuzznUzD3562I67GJGE"/>
      <w:r w:rsidRPr="00830C78">
        <w:t>Representatives</w:t>
      </w:r>
      <w:bookmarkEnd w:id="2100"/>
      <w:r w:rsidRPr="00830C78">
        <w:t xml:space="preserve"> to ensure it is complying with this Agreement;</w:t>
      </w:r>
    </w:p>
    <w:p w14:paraId="5FE36E0A" w14:textId="77777777" w:rsidR="00F67E9E" w:rsidRPr="00830C78" w:rsidRDefault="00F67E9E" w:rsidP="00F67E9E">
      <w:pPr>
        <w:pStyle w:val="AppendixText3"/>
      </w:pPr>
      <w:r w:rsidRPr="00830C78">
        <w:t>monitoring Conflicted Personnel movements within restricted areas (both physical and electronic online areas) to ensure it is complying with this Agreement and to ensure adherence to the ethical wall arrangements the Counterparty, its Affiliates, any Subcontractors and/or any Representatives have put in place in order to comply with this Agreement;</w:t>
      </w:r>
    </w:p>
    <w:p w14:paraId="33016461" w14:textId="77777777" w:rsidR="00F67E9E" w:rsidRPr="00830C78" w:rsidRDefault="00F67E9E" w:rsidP="00F67E9E">
      <w:pPr>
        <w:pStyle w:val="AppendixText3"/>
      </w:pPr>
      <w:r w:rsidRPr="00830C78">
        <w:t>ensuring that the Conflicted Personnel and the Bid Team are line managed and report independently of each other; and</w:t>
      </w:r>
    </w:p>
    <w:p w14:paraId="5774A28C" w14:textId="77777777" w:rsidR="00F67E9E" w:rsidRPr="00830C78" w:rsidRDefault="00F67E9E" w:rsidP="00F67E9E">
      <w:pPr>
        <w:pStyle w:val="AppendixText3"/>
      </w:pPr>
      <w:r w:rsidRPr="00830C78">
        <w:t>complying with any other action as the Authority, acting reasonably, may direct in connection with the ITT Process and/or this Agreement.</w:t>
      </w:r>
    </w:p>
    <w:p w14:paraId="308CAF60" w14:textId="77777777" w:rsidR="00F67E9E" w:rsidRPr="004D5D04" w:rsidRDefault="00F67E9E" w:rsidP="00F67E9E">
      <w:pPr>
        <w:pStyle w:val="StdBodyText1"/>
        <w:keepNext/>
        <w:keepLines/>
        <w:rPr>
          <w:rStyle w:val="StdBodyTextBoldChar"/>
          <w:rFonts w:cs="Arial"/>
          <w:bCs/>
        </w:rPr>
      </w:pPr>
      <w:r w:rsidRPr="004D5D04">
        <w:rPr>
          <w:rStyle w:val="StdBodyTextBoldChar"/>
          <w:rFonts w:cs="Arial"/>
          <w:bCs/>
        </w:rPr>
        <w:t>Notification of Conflicts of Interest</w:t>
      </w:r>
    </w:p>
    <w:p w14:paraId="2030B98A" w14:textId="77777777" w:rsidR="00F67E9E" w:rsidRPr="00830C78" w:rsidRDefault="00F67E9E" w:rsidP="00F67E9E">
      <w:pPr>
        <w:pStyle w:val="AppendixText2"/>
      </w:pPr>
      <w:bookmarkStart w:id="2101" w:name="_Ref89439569"/>
      <w:bookmarkStart w:id="2102" w:name="_Ref393358198"/>
      <w:r w:rsidRPr="00830C78">
        <w:t xml:space="preserve">The </w:t>
      </w:r>
      <w:r w:rsidRPr="00122216">
        <w:t>Counterparty</w:t>
      </w:r>
      <w:r w:rsidRPr="00830C78">
        <w:t xml:space="preserve"> shall:</w:t>
      </w:r>
      <w:bookmarkEnd w:id="2101"/>
    </w:p>
    <w:p w14:paraId="084A9770" w14:textId="77777777" w:rsidR="00F67E9E" w:rsidRPr="00122216" w:rsidRDefault="00F67E9E" w:rsidP="00F67E9E">
      <w:pPr>
        <w:pStyle w:val="AppendixText3"/>
      </w:pPr>
      <w:r w:rsidRPr="00830C78">
        <w:t xml:space="preserve">notify the Authority immediately in writing of all perceived, potential and/or actual conflicts of </w:t>
      </w:r>
      <w:r w:rsidRPr="00122216">
        <w:t>interest that arise or have arisen;</w:t>
      </w:r>
    </w:p>
    <w:p w14:paraId="30A04EEC" w14:textId="77777777" w:rsidR="00F67E9E" w:rsidRPr="00830C78" w:rsidRDefault="00F67E9E" w:rsidP="00F67E9E">
      <w:pPr>
        <w:pStyle w:val="AppendixText3"/>
      </w:pPr>
      <w:r w:rsidRPr="00122216">
        <w:t>submit in writing to the Authority full details of the nature of the perceived, potential and/or actual conflict of interest including full details of the risk assessments undertaken, the impact or potential impact of the perceived, potential and/or actual conflict, the measures and arrangements that have been established and/or are due to be established, to eliminate the perceived, potential and/or actual conflict</w:t>
      </w:r>
      <w:r w:rsidRPr="00830C78">
        <w:t xml:space="preserve">, and the </w:t>
      </w:r>
      <w:bookmarkStart w:id="2103" w:name="_9kMH0H6ZWu9A67CK"/>
      <w:r w:rsidRPr="00830C78">
        <w:t>Counterparty</w:t>
      </w:r>
      <w:r>
        <w:t>’</w:t>
      </w:r>
      <w:r w:rsidRPr="00830C78">
        <w:t>s</w:t>
      </w:r>
      <w:bookmarkEnd w:id="2103"/>
      <w:r w:rsidRPr="00830C78">
        <w:t xml:space="preserve"> plans to prevent potential conflicts of interests from arising</w:t>
      </w:r>
      <w:bookmarkEnd w:id="2102"/>
      <w:r w:rsidRPr="00830C78">
        <w:t xml:space="preserve"> (</w:t>
      </w:r>
      <w:r>
        <w:t>“</w:t>
      </w:r>
      <w:r w:rsidRPr="00830C78">
        <w:rPr>
          <w:b/>
        </w:rPr>
        <w:t>Proposed Avoidance Measures</w:t>
      </w:r>
      <w:r>
        <w:t>”</w:t>
      </w:r>
      <w:r w:rsidRPr="00830C78">
        <w:t xml:space="preserve">); and </w:t>
      </w:r>
    </w:p>
    <w:p w14:paraId="11008629" w14:textId="3268ED96" w:rsidR="00F67E9E" w:rsidRPr="00830C78" w:rsidRDefault="00F67E9E" w:rsidP="00F67E9E">
      <w:pPr>
        <w:pStyle w:val="AppendixText3"/>
      </w:pPr>
      <w:r w:rsidRPr="00830C78">
        <w:t xml:space="preserve">seek the </w:t>
      </w:r>
      <w:bookmarkStart w:id="2104" w:name="_9kMH1I6ZWu9A67CK"/>
      <w:r w:rsidRPr="00830C78">
        <w:t>Authority</w:t>
      </w:r>
      <w:r>
        <w:t>’</w:t>
      </w:r>
      <w:r w:rsidRPr="00830C78">
        <w:t>s</w:t>
      </w:r>
      <w:bookmarkEnd w:id="2104"/>
      <w:r w:rsidRPr="00830C78">
        <w:t xml:space="preserve"> approval to the</w:t>
      </w:r>
      <w:r>
        <w:t xml:space="preserve"> </w:t>
      </w:r>
      <w:r w:rsidRPr="00830C78">
        <w:t xml:space="preserve">Proposed Avoidance Measures which the Authority shall have the right to grant, grant conditionally or deny (if the Authority rejects the Proposed Avoidance Measures the Counterparty shall repeat the process set out in this Clause </w:t>
      </w:r>
      <w:r w:rsidRPr="00830C78">
        <w:fldChar w:fldCharType="begin"/>
      </w:r>
      <w:r w:rsidRPr="00830C78">
        <w:instrText xml:space="preserve"> REF _Ref89439569 \r \h  \* MERGEFORMAT </w:instrText>
      </w:r>
      <w:r w:rsidRPr="00830C78">
        <w:fldChar w:fldCharType="separate"/>
      </w:r>
      <w:r w:rsidR="00302D39">
        <w:t>2.4</w:t>
      </w:r>
      <w:r w:rsidRPr="00830C78">
        <w:fldChar w:fldCharType="end"/>
      </w:r>
      <w:r w:rsidRPr="00830C78">
        <w:t xml:space="preserve"> until such time as the Authority grants approval or the Counterparty withdraws from the ITT Process).</w:t>
      </w:r>
    </w:p>
    <w:p w14:paraId="5C277EE0" w14:textId="7AFA474A" w:rsidR="00F67E9E" w:rsidRPr="00830C78" w:rsidRDefault="00F67E9E" w:rsidP="00F67E9E">
      <w:pPr>
        <w:pStyle w:val="AppendixText2"/>
      </w:pPr>
      <w:bookmarkStart w:id="2105" w:name="_Ref76559454"/>
      <w:r w:rsidRPr="00830C78">
        <w:t xml:space="preserve">The Counterparty will provide to the Authority, on demand, any and all information in relation to its </w:t>
      </w:r>
      <w:r w:rsidRPr="00122216">
        <w:t>adherence</w:t>
      </w:r>
      <w:r w:rsidRPr="00830C78">
        <w:t xml:space="preserve"> with its obligations set out under Clauses </w:t>
      </w:r>
      <w:r w:rsidRPr="00830C78">
        <w:fldChar w:fldCharType="begin"/>
      </w:r>
      <w:r w:rsidRPr="00830C78">
        <w:instrText xml:space="preserve"> REF _Ref76559368 \r \h  \* MERGEFORMAT </w:instrText>
      </w:r>
      <w:r w:rsidRPr="00830C78">
        <w:fldChar w:fldCharType="separate"/>
      </w:r>
      <w:r w:rsidR="00302D39">
        <w:t>2.2</w:t>
      </w:r>
      <w:r w:rsidRPr="00830C78">
        <w:fldChar w:fldCharType="end"/>
      </w:r>
      <w:r w:rsidRPr="00830C78">
        <w:t xml:space="preserve"> and </w:t>
      </w:r>
      <w:r w:rsidRPr="00830C78">
        <w:fldChar w:fldCharType="begin"/>
      </w:r>
      <w:r w:rsidRPr="00830C78">
        <w:instrText xml:space="preserve"> REF _Ref76559254 \r \h  \* MERGEFORMAT </w:instrText>
      </w:r>
      <w:r w:rsidRPr="00830C78">
        <w:fldChar w:fldCharType="separate"/>
      </w:r>
      <w:r w:rsidR="00302D39">
        <w:t>2.3</w:t>
      </w:r>
      <w:r w:rsidRPr="00830C78">
        <w:fldChar w:fldCharType="end"/>
      </w:r>
      <w:r w:rsidRPr="00830C78">
        <w:t xml:space="preserve"> as reasonably requested by the Authority.</w:t>
      </w:r>
      <w:bookmarkEnd w:id="2105"/>
    </w:p>
    <w:p w14:paraId="723B491D" w14:textId="5EDBE3CF" w:rsidR="00F67E9E" w:rsidRPr="00830C78" w:rsidRDefault="00F67E9E" w:rsidP="00F67E9E">
      <w:pPr>
        <w:pStyle w:val="AppendixText2"/>
      </w:pPr>
      <w:bookmarkStart w:id="2106" w:name="_Ref76559471"/>
      <w:r w:rsidRPr="00830C78">
        <w:t xml:space="preserve">The Authority reserves the right to require the Counterparty to demonstrate the measures put in place by the Counterparty under Clauses </w:t>
      </w:r>
      <w:r w:rsidRPr="00830C78">
        <w:fldChar w:fldCharType="begin"/>
      </w:r>
      <w:r w:rsidRPr="00830C78">
        <w:instrText xml:space="preserve"> REF _Ref76559368 \r \h  \* MERGEFORMAT </w:instrText>
      </w:r>
      <w:r w:rsidRPr="00830C78">
        <w:fldChar w:fldCharType="separate"/>
      </w:r>
      <w:r w:rsidR="00302D39">
        <w:t>2.2</w:t>
      </w:r>
      <w:r w:rsidRPr="00830C78">
        <w:fldChar w:fldCharType="end"/>
      </w:r>
      <w:r w:rsidRPr="00830C78">
        <w:t xml:space="preserve"> and </w:t>
      </w:r>
      <w:r w:rsidRPr="00830C78">
        <w:fldChar w:fldCharType="begin"/>
      </w:r>
      <w:r w:rsidRPr="00830C78">
        <w:instrText xml:space="preserve"> REF _Ref493668015 \r \h  \* MERGEFORMAT </w:instrText>
      </w:r>
      <w:r w:rsidRPr="00830C78">
        <w:fldChar w:fldCharType="separate"/>
      </w:r>
      <w:r w:rsidR="00302D39">
        <w:t>2.3</w:t>
      </w:r>
      <w:r w:rsidRPr="00830C78">
        <w:fldChar w:fldCharType="end"/>
      </w:r>
      <w:r w:rsidRPr="00830C78">
        <w:t>.</w:t>
      </w:r>
      <w:bookmarkEnd w:id="2106"/>
    </w:p>
    <w:p w14:paraId="6770D365" w14:textId="12604EE3" w:rsidR="00F67E9E" w:rsidRPr="00830C78" w:rsidRDefault="00F67E9E" w:rsidP="00F67E9E">
      <w:pPr>
        <w:pStyle w:val="AppendixText2"/>
      </w:pPr>
      <w:r w:rsidRPr="00830C78">
        <w:t xml:space="preserve">The Counterparty acknowledges that any provision of information or demonstration of measures, in accordance with Clauses </w:t>
      </w:r>
      <w:r w:rsidRPr="00830C78">
        <w:fldChar w:fldCharType="begin"/>
      </w:r>
      <w:r w:rsidRPr="00830C78">
        <w:instrText xml:space="preserve"> REF _Ref76559454 \r \h  \* MERGEFORMAT </w:instrText>
      </w:r>
      <w:r w:rsidRPr="00830C78">
        <w:fldChar w:fldCharType="separate"/>
      </w:r>
      <w:r w:rsidR="00302D39">
        <w:t>2.5</w:t>
      </w:r>
      <w:r w:rsidRPr="00830C78">
        <w:fldChar w:fldCharType="end"/>
      </w:r>
      <w:r w:rsidRPr="00830C78">
        <w:t xml:space="preserve"> and </w:t>
      </w:r>
      <w:r w:rsidRPr="00830C78">
        <w:fldChar w:fldCharType="begin"/>
      </w:r>
      <w:r w:rsidRPr="00830C78">
        <w:instrText xml:space="preserve"> REF _Ref76559471 \r \h  \* MERGEFORMAT </w:instrText>
      </w:r>
      <w:r w:rsidRPr="00830C78">
        <w:fldChar w:fldCharType="separate"/>
      </w:r>
      <w:r w:rsidR="00302D39">
        <w:t>2.6</w:t>
      </w:r>
      <w:r w:rsidRPr="00830C78">
        <w:fldChar w:fldCharType="end"/>
      </w:r>
      <w:r w:rsidRPr="00830C78">
        <w:t>, does not constitute acceptance by the Authority of the adequacy of such measures and does not discharge the Counterparty of its obligations or liability under this Agreement.</w:t>
      </w:r>
    </w:p>
    <w:p w14:paraId="6E6ABF40" w14:textId="77777777" w:rsidR="00F67E9E" w:rsidRPr="004D5D04" w:rsidRDefault="00F67E9E" w:rsidP="00F67E9E">
      <w:pPr>
        <w:pStyle w:val="StdBodyText1"/>
        <w:keepNext/>
        <w:keepLines/>
        <w:rPr>
          <w:rStyle w:val="StdBodyTextBoldChar"/>
          <w:rFonts w:cs="Arial"/>
          <w:bCs/>
        </w:rPr>
      </w:pPr>
      <w:r w:rsidRPr="004D5D04">
        <w:rPr>
          <w:rStyle w:val="StdBodyTextBoldChar"/>
          <w:rFonts w:cs="Arial"/>
          <w:bCs/>
        </w:rPr>
        <w:t>Exclusion from the ITT Process</w:t>
      </w:r>
    </w:p>
    <w:p w14:paraId="1037FA3B" w14:textId="0FDA5901" w:rsidR="00F67E9E" w:rsidRPr="00830C78" w:rsidRDefault="00F67E9E" w:rsidP="00F67E9E">
      <w:pPr>
        <w:pStyle w:val="AppendixText2"/>
      </w:pPr>
      <w:bookmarkStart w:id="2107" w:name="_Ref393358217"/>
      <w:r w:rsidRPr="00830C78">
        <w:t xml:space="preserve">Where, in the reasonable opinion of the Authority, there has been any breach by the Counterparty of Clauses </w:t>
      </w:r>
      <w:r w:rsidRPr="00830C78">
        <w:fldChar w:fldCharType="begin"/>
      </w:r>
      <w:r w:rsidRPr="00830C78">
        <w:instrText xml:space="preserve"> REF _Ref76559368 \r \h  \* MERGEFORMAT </w:instrText>
      </w:r>
      <w:r w:rsidRPr="00830C78">
        <w:fldChar w:fldCharType="separate"/>
      </w:r>
      <w:r w:rsidR="00302D39">
        <w:t>2.2</w:t>
      </w:r>
      <w:r w:rsidRPr="00830C78">
        <w:fldChar w:fldCharType="end"/>
      </w:r>
      <w:r w:rsidRPr="00830C78">
        <w:t xml:space="preserve">, </w:t>
      </w:r>
      <w:r w:rsidRPr="00830C78">
        <w:fldChar w:fldCharType="begin"/>
      </w:r>
      <w:r w:rsidRPr="00830C78">
        <w:instrText xml:space="preserve"> REF _Ref76559254 \r \h  \* MERGEFORMAT </w:instrText>
      </w:r>
      <w:r w:rsidRPr="00830C78">
        <w:fldChar w:fldCharType="separate"/>
      </w:r>
      <w:r w:rsidR="00302D39">
        <w:t>2.3</w:t>
      </w:r>
      <w:r w:rsidRPr="00830C78">
        <w:fldChar w:fldCharType="end"/>
      </w:r>
      <w:r w:rsidRPr="00830C78">
        <w:t xml:space="preserve">, or </w:t>
      </w:r>
      <w:r w:rsidRPr="00830C78">
        <w:fldChar w:fldCharType="begin"/>
      </w:r>
      <w:r w:rsidRPr="00830C78">
        <w:instrText xml:space="preserve"> REF _Ref89439569 \r \h  \* MERGEFORMAT </w:instrText>
      </w:r>
      <w:r w:rsidRPr="00830C78">
        <w:fldChar w:fldCharType="separate"/>
      </w:r>
      <w:r w:rsidR="00302D39">
        <w:t>2.4</w:t>
      </w:r>
      <w:r w:rsidRPr="00830C78">
        <w:fldChar w:fldCharType="end"/>
      </w:r>
      <w:r w:rsidRPr="00830C78">
        <w:t xml:space="preserve"> or failure to obtain the Authority</w:t>
      </w:r>
      <w:r>
        <w:t>’</w:t>
      </w:r>
      <w:r w:rsidRPr="00830C78">
        <w:t xml:space="preserve">s approval of the Proposed Avoidance Measures the Authority shall be entitled to exclude the Counterparty, or any of its Affiliates and/or any Representatives, from the ITT Process, and the Authority may, in addition to the right to exclude, take such </w:t>
      </w:r>
      <w:r w:rsidRPr="004D5D04">
        <w:t>other</w:t>
      </w:r>
      <w:r w:rsidRPr="00830C78">
        <w:t xml:space="preserve"> steps as it deems necessary.</w:t>
      </w:r>
      <w:bookmarkEnd w:id="2107"/>
      <w:r w:rsidRPr="00830C78">
        <w:t xml:space="preserve"> </w:t>
      </w:r>
    </w:p>
    <w:p w14:paraId="4E876633" w14:textId="661B69CA" w:rsidR="00F67E9E" w:rsidRPr="00830C78" w:rsidRDefault="00F67E9E" w:rsidP="00F67E9E">
      <w:pPr>
        <w:pStyle w:val="AppendixText2"/>
      </w:pPr>
      <w:bookmarkStart w:id="2108" w:name="_Ref393358236"/>
      <w:r w:rsidRPr="00830C78">
        <w:t xml:space="preserve">The actions of the Authority pursuant to Clause </w:t>
      </w:r>
      <w:r w:rsidRPr="00830C78">
        <w:fldChar w:fldCharType="begin"/>
      </w:r>
      <w:r w:rsidRPr="00830C78">
        <w:instrText xml:space="preserve"> REF _Ref393358217 \r \h  \* MERGEFORMAT </w:instrText>
      </w:r>
      <w:r w:rsidRPr="00830C78">
        <w:fldChar w:fldCharType="separate"/>
      </w:r>
      <w:r w:rsidR="00302D39">
        <w:t>2.8</w:t>
      </w:r>
      <w:r w:rsidRPr="00830C78">
        <w:fldChar w:fldCharType="end"/>
      </w:r>
      <w:r w:rsidRPr="00830C78">
        <w:t xml:space="preserve"> shall not prejudice or affect any right of action or remedy under this Agreement or at law which shall have accrued or shall thereafter accrue to the Authority</w:t>
      </w:r>
      <w:bookmarkEnd w:id="2108"/>
      <w:r w:rsidRPr="00830C78">
        <w:t>.</w:t>
      </w:r>
    </w:p>
    <w:p w14:paraId="3B689848" w14:textId="77777777" w:rsidR="00F67E9E" w:rsidRPr="004D5D04" w:rsidRDefault="00F67E9E" w:rsidP="00F67E9E">
      <w:pPr>
        <w:pStyle w:val="StdBodyText1"/>
        <w:keepNext/>
        <w:keepLines/>
        <w:rPr>
          <w:rStyle w:val="StdBodyTextBoldChar"/>
          <w:rFonts w:cs="Arial"/>
          <w:bCs/>
        </w:rPr>
      </w:pPr>
      <w:r w:rsidRPr="004D5D04">
        <w:rPr>
          <w:rStyle w:val="StdBodyTextBoldChar"/>
          <w:rFonts w:cs="Arial"/>
          <w:bCs/>
        </w:rPr>
        <w:t>Bid Costs</w:t>
      </w:r>
    </w:p>
    <w:p w14:paraId="36A6CF42" w14:textId="77777777" w:rsidR="00F67E9E" w:rsidRPr="00830C78" w:rsidRDefault="00F67E9E" w:rsidP="00F67E9E">
      <w:pPr>
        <w:pStyle w:val="AppendixText2"/>
      </w:pPr>
      <w:r w:rsidRPr="00830C78">
        <w:t xml:space="preserve">In no event shall </w:t>
      </w:r>
      <w:r w:rsidRPr="00122216">
        <w:t>the</w:t>
      </w:r>
      <w:r w:rsidRPr="00830C78">
        <w:t xml:space="preserve"> Authority be liable for any bid costs incurred by:</w:t>
      </w:r>
    </w:p>
    <w:p w14:paraId="3869ED4B" w14:textId="77777777" w:rsidR="00F67E9E" w:rsidRPr="00122216" w:rsidRDefault="00F67E9E" w:rsidP="00F67E9E">
      <w:pPr>
        <w:pStyle w:val="AppendixText3"/>
      </w:pPr>
      <w:r w:rsidRPr="00830C78">
        <w:t xml:space="preserve">the Counterparty or any of its Affiliates, any Representatives and/or any </w:t>
      </w:r>
      <w:r w:rsidRPr="00122216">
        <w:t>Subcontractors; or</w:t>
      </w:r>
    </w:p>
    <w:p w14:paraId="52C139AD" w14:textId="77777777" w:rsidR="00F67E9E" w:rsidRPr="00830C78" w:rsidRDefault="00F67E9E" w:rsidP="00F67E9E">
      <w:pPr>
        <w:pStyle w:val="AppendixText3"/>
      </w:pPr>
      <w:r w:rsidRPr="00122216">
        <w:t>any Thir</w:t>
      </w:r>
      <w:r w:rsidRPr="00830C78">
        <w:t>d Party,</w:t>
      </w:r>
    </w:p>
    <w:p w14:paraId="59CE7D1C" w14:textId="77777777" w:rsidR="00F67E9E" w:rsidRPr="00830C78" w:rsidRDefault="00F67E9E" w:rsidP="00F67E9E">
      <w:pPr>
        <w:pStyle w:val="AppendixText2continued"/>
        <w:ind w:left="720"/>
      </w:pPr>
      <w:r w:rsidRPr="00830C78">
        <w:t>as a result of any breach of this Agreement by the Counterparty, any of its Affiliates, any Subcontractors and/or Representatives, including where the Counterparty, any of its Affiliates, any Subcontractors or Representatives, or any Third Party is or are excluded from the ITT Process.</w:t>
      </w:r>
    </w:p>
    <w:p w14:paraId="61A27E27" w14:textId="77777777" w:rsidR="00F67E9E" w:rsidRPr="004D5D04" w:rsidRDefault="00F67E9E" w:rsidP="00F67E9E">
      <w:pPr>
        <w:pStyle w:val="StdBodyText1"/>
        <w:keepNext/>
        <w:keepLines/>
        <w:rPr>
          <w:rStyle w:val="StdBodyTextBoldChar"/>
          <w:rFonts w:cs="Arial"/>
          <w:bCs/>
        </w:rPr>
      </w:pPr>
      <w:r w:rsidRPr="004D5D04">
        <w:rPr>
          <w:rStyle w:val="StdBodyTextBoldChar"/>
          <w:rFonts w:cs="Arial"/>
          <w:bCs/>
        </w:rPr>
        <w:t>Specific Remedies</w:t>
      </w:r>
    </w:p>
    <w:p w14:paraId="31CE75FC" w14:textId="77777777" w:rsidR="00F67E9E" w:rsidRPr="00830C78" w:rsidRDefault="00F67E9E" w:rsidP="00F67E9E">
      <w:pPr>
        <w:pStyle w:val="AppendixText2"/>
      </w:pPr>
      <w:r w:rsidRPr="00830C78">
        <w:t xml:space="preserve">The </w:t>
      </w:r>
      <w:r w:rsidRPr="00122216">
        <w:t>Counterparty</w:t>
      </w:r>
      <w:r w:rsidRPr="00830C78">
        <w:t xml:space="preserve"> acknowledges and agrees that:</w:t>
      </w:r>
    </w:p>
    <w:p w14:paraId="589119E4" w14:textId="23916046" w:rsidR="00F67E9E" w:rsidRPr="00122216" w:rsidRDefault="00F67E9E" w:rsidP="00F67E9E">
      <w:pPr>
        <w:pStyle w:val="AppendixText3"/>
      </w:pPr>
      <w:r w:rsidRPr="00122216">
        <w:t xml:space="preserve">neither damages nor specific performance are adequate remedies in the event of a breach of the obligations in Clause </w:t>
      </w:r>
      <w:r w:rsidRPr="00122216">
        <w:fldChar w:fldCharType="begin"/>
      </w:r>
      <w:r w:rsidRPr="00122216">
        <w:instrText xml:space="preserve"> REF _Ref89439696 \r \h  \* MERGEFORMAT </w:instrText>
      </w:r>
      <w:r w:rsidRPr="00122216">
        <w:fldChar w:fldCharType="separate"/>
      </w:r>
      <w:r w:rsidR="00302D39">
        <w:t>2</w:t>
      </w:r>
      <w:r w:rsidRPr="00122216">
        <w:fldChar w:fldCharType="end"/>
      </w:r>
      <w:r w:rsidRPr="00122216">
        <w:t xml:space="preserve">; and </w:t>
      </w:r>
    </w:p>
    <w:p w14:paraId="519B1565" w14:textId="44E8A424" w:rsidR="00F67E9E" w:rsidRPr="00830C78" w:rsidRDefault="00F67E9E" w:rsidP="00F67E9E">
      <w:pPr>
        <w:pStyle w:val="AppendixText3"/>
      </w:pPr>
      <w:r w:rsidRPr="00122216">
        <w:t>in the event</w:t>
      </w:r>
      <w:r w:rsidRPr="00830C78">
        <w:t xml:space="preserve"> of a breach of any of the obligations in Clause </w:t>
      </w:r>
      <w:r w:rsidRPr="00830C78">
        <w:fldChar w:fldCharType="begin"/>
      </w:r>
      <w:r w:rsidRPr="00830C78">
        <w:instrText xml:space="preserve"> REF _Ref89439702 \r \h  \* MERGEFORMAT </w:instrText>
      </w:r>
      <w:r w:rsidRPr="00830C78">
        <w:fldChar w:fldCharType="separate"/>
      </w:r>
      <w:r w:rsidR="00302D39">
        <w:t>2</w:t>
      </w:r>
      <w:r w:rsidRPr="00830C78">
        <w:fldChar w:fldCharType="end"/>
      </w:r>
      <w:r w:rsidRPr="00830C78">
        <w:t xml:space="preserve"> which cannot be effectively remedied the Authority shall have the right to terminate both this Agreement and the </w:t>
      </w:r>
      <w:bookmarkStart w:id="2109" w:name="_9kMH2J6ZWu9A67CK"/>
      <w:r w:rsidRPr="00830C78">
        <w:t>Counterparty</w:t>
      </w:r>
      <w:r>
        <w:t>’</w:t>
      </w:r>
      <w:r w:rsidRPr="00830C78">
        <w:t>s</w:t>
      </w:r>
      <w:bookmarkEnd w:id="2109"/>
      <w:r w:rsidRPr="00830C78">
        <w:t xml:space="preserve"> participation in the ITT Process in each case with immediate effect on written notice.</w:t>
      </w:r>
    </w:p>
    <w:p w14:paraId="4590AE2A" w14:textId="77777777" w:rsidR="00F67E9E" w:rsidRPr="004D5D04" w:rsidRDefault="00F67E9E" w:rsidP="00F67E9E">
      <w:pPr>
        <w:pStyle w:val="AppendixText1"/>
      </w:pPr>
      <w:bookmarkStart w:id="2110" w:name="_Toc493689909"/>
      <w:r w:rsidRPr="004D5D04">
        <w:t xml:space="preserve">Sole </w:t>
      </w:r>
      <w:r w:rsidRPr="00122216">
        <w:t>Responsibility</w:t>
      </w:r>
      <w:bookmarkEnd w:id="2110"/>
    </w:p>
    <w:p w14:paraId="5A765F5E" w14:textId="77777777" w:rsidR="00F67E9E" w:rsidRPr="00830C78" w:rsidRDefault="00F67E9E" w:rsidP="00F67E9E">
      <w:pPr>
        <w:pStyle w:val="AppendixText2"/>
      </w:pPr>
      <w:r w:rsidRPr="00830C78">
        <w:t xml:space="preserve">It is the sole responsibility of the Counterparty to comply with the terms of this Agreement, including ensuring its Affiliates, any Subcontractors, and/or any Representatives comply with the terms of this Agreement. No approval by the Authority of any procedures, agreements or arrangements </w:t>
      </w:r>
      <w:r w:rsidRPr="00122216">
        <w:t>provided</w:t>
      </w:r>
      <w:r w:rsidRPr="00830C78">
        <w:t xml:space="preserve"> by the Counterparty, any of its Affiliates, any Subcontractors and/or their Representatives to the Authority shall discharge the </w:t>
      </w:r>
      <w:bookmarkStart w:id="2111" w:name="_9kMH3K6ZWu9A67CK"/>
      <w:r w:rsidRPr="00830C78">
        <w:t>Counterparty</w:t>
      </w:r>
      <w:r>
        <w:t>’</w:t>
      </w:r>
      <w:r w:rsidRPr="00830C78">
        <w:t>s</w:t>
      </w:r>
      <w:bookmarkEnd w:id="2111"/>
      <w:r w:rsidRPr="00830C78">
        <w:t xml:space="preserve"> obligations.</w:t>
      </w:r>
    </w:p>
    <w:p w14:paraId="0A357863" w14:textId="77777777" w:rsidR="00F67E9E" w:rsidRPr="004D5D04" w:rsidRDefault="00F67E9E" w:rsidP="00F67E9E">
      <w:pPr>
        <w:pStyle w:val="AppendixText1"/>
      </w:pPr>
      <w:bookmarkStart w:id="2112" w:name="_Toc378171404"/>
      <w:bookmarkStart w:id="2113" w:name="_Toc493689911"/>
      <w:bookmarkStart w:id="2114" w:name="_Toc378171408"/>
      <w:r w:rsidRPr="004D5D04">
        <w:t xml:space="preserve">Waiver </w:t>
      </w:r>
      <w:r>
        <w:t>a</w:t>
      </w:r>
      <w:r w:rsidRPr="004D5D04">
        <w:t>nd Invalidity</w:t>
      </w:r>
      <w:bookmarkEnd w:id="2112"/>
      <w:bookmarkEnd w:id="2113"/>
    </w:p>
    <w:p w14:paraId="40581C45" w14:textId="77777777" w:rsidR="00F67E9E" w:rsidRPr="00122216" w:rsidRDefault="00F67E9E" w:rsidP="00F67E9E">
      <w:pPr>
        <w:pStyle w:val="AppendixText2"/>
      </w:pPr>
      <w:r w:rsidRPr="00830C78">
        <w:t xml:space="preserve">No failure or delay by any Party in exercising any right, power or privilege under this Agreement or by law shall constitute a waiver of that or any other right, power or privilege, nor shall it restrict the further exercise of that or any other right, power or privilege. No single or partial exercise of such right, power or privilege shall prevent or restrict the further exercise of </w:t>
      </w:r>
      <w:r w:rsidRPr="00122216">
        <w:t>that or any other right, power or privilege.</w:t>
      </w:r>
    </w:p>
    <w:p w14:paraId="0F4166A6" w14:textId="77777777" w:rsidR="00F67E9E" w:rsidRPr="00830C78" w:rsidRDefault="00F67E9E" w:rsidP="00F67E9E">
      <w:pPr>
        <w:pStyle w:val="AppendixText2"/>
      </w:pPr>
      <w:r w:rsidRPr="00122216">
        <w:t>If any provision of this Agreement is prohibited or unenforceable in any jurisdiction in relation to any Party, s</w:t>
      </w:r>
      <w:r w:rsidRPr="00830C78">
        <w:t>uch prohibition or unenforceability will not invalidate the remaining provisions of this Agreement, or affect the validity or enforceability of the provisions of this Agreement in relation to any other Party or any other jurisdiction.</w:t>
      </w:r>
      <w:bookmarkStart w:id="2115" w:name="_Toc378171405"/>
      <w:bookmarkStart w:id="2116" w:name="_Toc493689912"/>
    </w:p>
    <w:p w14:paraId="5B0BB124" w14:textId="77777777" w:rsidR="00F67E9E" w:rsidRPr="004D5D04" w:rsidRDefault="00F67E9E" w:rsidP="00F67E9E">
      <w:pPr>
        <w:pStyle w:val="AppendixText1"/>
      </w:pPr>
      <w:bookmarkStart w:id="2117" w:name="_9kR3WTrAG849EhZ1yqutK91XX2LC17E68OC7BCO"/>
      <w:r w:rsidRPr="004D5D04">
        <w:t xml:space="preserve">Assignment </w:t>
      </w:r>
      <w:r w:rsidRPr="00122216">
        <w:t>and</w:t>
      </w:r>
      <w:r w:rsidRPr="004D5D04">
        <w:t xml:space="preserve"> Novation</w:t>
      </w:r>
      <w:bookmarkEnd w:id="2117"/>
    </w:p>
    <w:p w14:paraId="6A978CD0" w14:textId="77777777" w:rsidR="00F67E9E" w:rsidRPr="00122216" w:rsidRDefault="00F67E9E" w:rsidP="00F67E9E">
      <w:pPr>
        <w:pStyle w:val="AppendixText2"/>
      </w:pPr>
      <w:r w:rsidRPr="00830C78">
        <w:t xml:space="preserve">The Counterparty shall not assign, novate or </w:t>
      </w:r>
      <w:r w:rsidRPr="004D5D04">
        <w:t>otherwise</w:t>
      </w:r>
      <w:r w:rsidRPr="00830C78">
        <w:t xml:space="preserve"> dispose of or create any trust in relation to any or all of its rights, obligations or liabilities under this Agreement without the prior written consent of the </w:t>
      </w:r>
      <w:r w:rsidRPr="00122216">
        <w:t>Authority.</w:t>
      </w:r>
    </w:p>
    <w:p w14:paraId="5302067D" w14:textId="77777777" w:rsidR="00F67E9E" w:rsidRPr="00830C78" w:rsidRDefault="00F67E9E" w:rsidP="00F67E9E">
      <w:pPr>
        <w:pStyle w:val="AppendixText2"/>
      </w:pPr>
      <w:bookmarkStart w:id="2118" w:name="_Ref34048060"/>
      <w:r w:rsidRPr="00122216">
        <w:t>The Authority may assign, no</w:t>
      </w:r>
      <w:r w:rsidRPr="00830C78">
        <w:t xml:space="preserve">vate or otherwise dispose of any or all of its rights, obligations and liabilities under this Agreement and/or any </w:t>
      </w:r>
      <w:r w:rsidRPr="004D5D04">
        <w:t>associated</w:t>
      </w:r>
      <w:r w:rsidRPr="00830C78">
        <w:t xml:space="preserve"> licences to:</w:t>
      </w:r>
      <w:bookmarkEnd w:id="2118"/>
    </w:p>
    <w:p w14:paraId="0FBFDE14" w14:textId="77777777" w:rsidR="00F67E9E" w:rsidRPr="00122216" w:rsidRDefault="00F67E9E" w:rsidP="00F67E9E">
      <w:pPr>
        <w:pStyle w:val="AppendixText3"/>
      </w:pPr>
      <w:r w:rsidRPr="00830C78">
        <w:t xml:space="preserve">any </w:t>
      </w:r>
      <w:r>
        <w:t>Crown Body</w:t>
      </w:r>
      <w:r w:rsidRPr="00122216">
        <w:t>; or</w:t>
      </w:r>
    </w:p>
    <w:p w14:paraId="4EB7519F" w14:textId="77777777" w:rsidR="00F67E9E" w:rsidRPr="00122216" w:rsidRDefault="00F67E9E" w:rsidP="00F67E9E">
      <w:pPr>
        <w:pStyle w:val="AppendixText3"/>
      </w:pPr>
      <w:r w:rsidRPr="00122216">
        <w:t xml:space="preserve">to a body other than a </w:t>
      </w:r>
      <w:r>
        <w:t>Crown Body</w:t>
      </w:r>
      <w:r w:rsidRPr="00122216">
        <w:t xml:space="preserve"> (including any private sector body) which performs any of the functions that previously had been performed by the Authority; and </w:t>
      </w:r>
    </w:p>
    <w:p w14:paraId="69C32EFB" w14:textId="77777777" w:rsidR="00F67E9E" w:rsidRPr="00830C78" w:rsidRDefault="00F67E9E" w:rsidP="00F67E9E">
      <w:pPr>
        <w:pStyle w:val="AppendixText3"/>
      </w:pPr>
      <w:r w:rsidRPr="00122216">
        <w:t>the Counterparty</w:t>
      </w:r>
      <w:r w:rsidRPr="00830C78">
        <w:t xml:space="preserve"> shall, at the </w:t>
      </w:r>
      <w:bookmarkStart w:id="2119" w:name="_9kMH4L6ZWu9A67CK"/>
      <w:r w:rsidRPr="00830C78">
        <w:t>Authority</w:t>
      </w:r>
      <w:r>
        <w:t>’</w:t>
      </w:r>
      <w:r w:rsidRPr="00830C78">
        <w:t>s</w:t>
      </w:r>
      <w:bookmarkEnd w:id="2119"/>
      <w:r w:rsidRPr="00830C78">
        <w:t xml:space="preserve"> request, enter into a novation agreement in such form as the Authority may reasonably specify in order to enable the Authority to exercise its rights pursuant to this </w:t>
      </w:r>
      <w:bookmarkStart w:id="2120" w:name="_9kMHG5YVtCIA6BGjb30swvMB3ZZ4NE39G8AQE9D"/>
      <w:r w:rsidRPr="00830C78">
        <w:t>Clause 5</w:t>
      </w:r>
      <w:bookmarkEnd w:id="2120"/>
      <w:r w:rsidRPr="00830C78">
        <w:t>.</w:t>
      </w:r>
    </w:p>
    <w:p w14:paraId="7FEE3470" w14:textId="77777777" w:rsidR="00F67E9E" w:rsidRPr="00830C78" w:rsidRDefault="00F67E9E" w:rsidP="00F67E9E">
      <w:pPr>
        <w:pStyle w:val="AppendixText2"/>
      </w:pPr>
      <w:r w:rsidRPr="00830C78">
        <w:t xml:space="preserve">A change in the legal status of the Authority such that it ceases to be a </w:t>
      </w:r>
      <w:r>
        <w:t>Crown Body</w:t>
      </w:r>
      <w:r w:rsidRPr="00830C78">
        <w:t xml:space="preserve"> shall not affect the validity of this Agreement and this Agreement shall be binding on any successor body to the </w:t>
      </w:r>
      <w:r w:rsidRPr="004D5D04">
        <w:t>Authority</w:t>
      </w:r>
      <w:r w:rsidRPr="00830C78">
        <w:t>.</w:t>
      </w:r>
    </w:p>
    <w:p w14:paraId="705EA40C" w14:textId="77777777" w:rsidR="00F67E9E" w:rsidRPr="004D5D04" w:rsidRDefault="00F67E9E" w:rsidP="00F67E9E">
      <w:pPr>
        <w:pStyle w:val="AppendixText1"/>
      </w:pPr>
      <w:bookmarkStart w:id="2121" w:name="_Toc378171406"/>
      <w:bookmarkStart w:id="2122" w:name="_Toc493689913"/>
      <w:bookmarkEnd w:id="2115"/>
      <w:bookmarkEnd w:id="2116"/>
      <w:r w:rsidRPr="004D5D04">
        <w:t>Contracts (</w:t>
      </w:r>
      <w:bookmarkStart w:id="2123" w:name="_9kR3WTr1AB46Deyoo2EAy47x84314OG2D"/>
      <w:bookmarkStart w:id="2124" w:name="_9kR3WTr24448Bayoo2EAy47x84314OG2D"/>
      <w:r w:rsidRPr="004D5D04">
        <w:t xml:space="preserve">Rights </w:t>
      </w:r>
      <w:r>
        <w:t>o</w:t>
      </w:r>
      <w:r w:rsidRPr="004D5D04">
        <w:t xml:space="preserve">f </w:t>
      </w:r>
      <w:r w:rsidRPr="00122216">
        <w:t>Third</w:t>
      </w:r>
      <w:r w:rsidRPr="004D5D04">
        <w:t xml:space="preserve"> Parties</w:t>
      </w:r>
      <w:bookmarkEnd w:id="2123"/>
      <w:bookmarkEnd w:id="2124"/>
      <w:r w:rsidRPr="004D5D04">
        <w:t>) Act 1999</w:t>
      </w:r>
      <w:bookmarkEnd w:id="2121"/>
      <w:bookmarkEnd w:id="2122"/>
    </w:p>
    <w:p w14:paraId="79C847D5" w14:textId="77777777" w:rsidR="00F67E9E" w:rsidRPr="00830C78" w:rsidRDefault="00F67E9E" w:rsidP="00F67E9E">
      <w:pPr>
        <w:pStyle w:val="AppendixText2"/>
        <w:rPr>
          <w:rFonts w:cs="Arial"/>
        </w:rPr>
      </w:pPr>
      <w:r w:rsidRPr="00830C78">
        <w:rPr>
          <w:rFonts w:cs="Arial"/>
        </w:rPr>
        <w:t xml:space="preserve">A person who is not </w:t>
      </w:r>
      <w:r w:rsidRPr="00830C78">
        <w:t>a Party to this Agreement has no right under the Contract (</w:t>
      </w:r>
      <w:bookmarkStart w:id="2125" w:name="_9kMHG5YVt4666ADc0qq4GC069zA6536QI4F"/>
      <w:r w:rsidRPr="00830C78">
        <w:t>Rights of Third Parties</w:t>
      </w:r>
      <w:bookmarkEnd w:id="2125"/>
      <w:r w:rsidRPr="00830C78">
        <w:t xml:space="preserve">) Act 1999 (as amended, updated or replaced from time to time) to enforce any term of this Agreement, but this does not affect any right or remedy of any person which exists or is available otherwise than pursuant to </w:t>
      </w:r>
      <w:r w:rsidRPr="00122216">
        <w:t>that</w:t>
      </w:r>
      <w:r w:rsidRPr="00830C78">
        <w:t xml:space="preserve"> </w:t>
      </w:r>
      <w:bookmarkStart w:id="2126" w:name="_9kR3WTr26646EO1r"/>
      <w:r w:rsidRPr="00830C78">
        <w:t>Act</w:t>
      </w:r>
      <w:bookmarkEnd w:id="2126"/>
      <w:r w:rsidRPr="00830C78">
        <w:t>.</w:t>
      </w:r>
    </w:p>
    <w:bookmarkEnd w:id="2114"/>
    <w:p w14:paraId="1378B0BD" w14:textId="77777777" w:rsidR="00F67E9E" w:rsidRPr="004D5D04" w:rsidRDefault="00F67E9E" w:rsidP="00F67E9E">
      <w:pPr>
        <w:pStyle w:val="AppendixText1"/>
      </w:pPr>
      <w:r w:rsidRPr="004D5D04">
        <w:t xml:space="preserve">Transparency </w:t>
      </w:r>
    </w:p>
    <w:p w14:paraId="18210DF7" w14:textId="77777777" w:rsidR="00F67E9E" w:rsidRPr="00830C78" w:rsidRDefault="00F67E9E" w:rsidP="00F67E9E">
      <w:pPr>
        <w:pStyle w:val="AppendixText2"/>
      </w:pPr>
      <w:r w:rsidRPr="00830C78">
        <w:t xml:space="preserve">The Parties acknowledge and agree that the Authority is under a legal duty pursuant to the Procurement Regulations to run transparent and fair </w:t>
      </w:r>
      <w:bookmarkStart w:id="2127" w:name="_9kMIH5YVt46669BZX3pwCxtuwCpiE0r8N"/>
      <w:bookmarkStart w:id="2128" w:name="_9kMIH5YVt4666BCYX3pwCxtuwCpiE0r8N"/>
      <w:bookmarkStart w:id="2129" w:name="_9kMIH5YVt4666BEaX3pwCxtuwCpiE0r8N"/>
      <w:r w:rsidRPr="00830C78">
        <w:t>procurement processes</w:t>
      </w:r>
      <w:bookmarkEnd w:id="2127"/>
      <w:bookmarkEnd w:id="2128"/>
      <w:bookmarkEnd w:id="2129"/>
      <w:r w:rsidRPr="00830C78">
        <w:t xml:space="preserve">. Accordingly, the Authority may disclose the contents of this Agreement to Other Bidders (and/or potential Other Bidders) for the </w:t>
      </w:r>
      <w:bookmarkStart w:id="2130" w:name="_9kMJI5YVt46669Fda9537y"/>
      <w:r w:rsidRPr="00830C78">
        <w:t>purposes</w:t>
      </w:r>
      <w:bookmarkEnd w:id="2130"/>
      <w:r w:rsidRPr="00830C78">
        <w:t xml:space="preserve"> of transparency and in order to evidence that a fair </w:t>
      </w:r>
      <w:bookmarkStart w:id="2131" w:name="_9kMJI5YVt46669BZX3pwCxtuwCpiE0r8N"/>
      <w:bookmarkStart w:id="2132" w:name="_9kMJI5YVt4666BCYX3pwCxtuwCpiE0r8N"/>
      <w:bookmarkStart w:id="2133" w:name="_9kMJI5YVt4666BEaX3pwCxtuwCpiE0r8N"/>
      <w:r w:rsidRPr="00830C78">
        <w:t>procurement process</w:t>
      </w:r>
      <w:bookmarkEnd w:id="2131"/>
      <w:bookmarkEnd w:id="2132"/>
      <w:bookmarkEnd w:id="2133"/>
      <w:r w:rsidRPr="00830C78">
        <w:t xml:space="preserve"> has been followed. </w:t>
      </w:r>
    </w:p>
    <w:p w14:paraId="47218543" w14:textId="77777777" w:rsidR="00F67E9E" w:rsidRPr="004D5D04" w:rsidRDefault="00F67E9E" w:rsidP="00F67E9E">
      <w:pPr>
        <w:pStyle w:val="AppendixText1"/>
      </w:pPr>
      <w:bookmarkStart w:id="2134" w:name="_Ref88044888"/>
      <w:bookmarkStart w:id="2135" w:name="_Toc127759121"/>
      <w:bookmarkStart w:id="2136" w:name="_Toc139080625"/>
      <w:bookmarkStart w:id="2137" w:name="_Toc359839020"/>
      <w:r w:rsidRPr="004D5D04">
        <w:t>Notices</w:t>
      </w:r>
      <w:bookmarkEnd w:id="2134"/>
      <w:bookmarkEnd w:id="2135"/>
      <w:bookmarkEnd w:id="2136"/>
      <w:bookmarkEnd w:id="2137"/>
    </w:p>
    <w:p w14:paraId="6C022E95" w14:textId="77777777" w:rsidR="00F67E9E" w:rsidRPr="00830C78" w:rsidRDefault="00F67E9E" w:rsidP="00F67E9E">
      <w:pPr>
        <w:pStyle w:val="AppendixText2"/>
      </w:pPr>
      <w:r w:rsidRPr="00830C78">
        <w:t xml:space="preserve">Any notices sent under this Agreement must be in </w:t>
      </w:r>
      <w:r w:rsidRPr="004D5D04">
        <w:t>writing</w:t>
      </w:r>
      <w:r w:rsidRPr="00830C78">
        <w:t>.</w:t>
      </w:r>
    </w:p>
    <w:p w14:paraId="2AC202C4" w14:textId="77777777" w:rsidR="00F67E9E" w:rsidRPr="00830C78" w:rsidRDefault="00F67E9E" w:rsidP="00F67E9E">
      <w:pPr>
        <w:pStyle w:val="AppendixText2"/>
      </w:pPr>
      <w:r w:rsidRPr="00830C78">
        <w:t xml:space="preserve">The following table sets out the method by </w:t>
      </w:r>
      <w:r w:rsidRPr="004D5D04">
        <w:t>which</w:t>
      </w:r>
      <w:r w:rsidRPr="00830C78">
        <w:t xml:space="preserve"> notices may be served under this Agreement and the respective deemed time and proof of service:</w:t>
      </w:r>
    </w:p>
    <w:tbl>
      <w:tblPr>
        <w:tblStyle w:val="MSATable-header"/>
        <w:tblW w:w="9638" w:type="dxa"/>
        <w:tblInd w:w="680" w:type="dxa"/>
        <w:tblLook w:val="01E0" w:firstRow="1" w:lastRow="1" w:firstColumn="1" w:lastColumn="1" w:noHBand="0" w:noVBand="0"/>
      </w:tblPr>
      <w:tblGrid>
        <w:gridCol w:w="2551"/>
        <w:gridCol w:w="3969"/>
        <w:gridCol w:w="3118"/>
      </w:tblGrid>
      <w:tr w:rsidR="00F67E9E" w:rsidRPr="006F641F" w14:paraId="713058F8" w14:textId="77777777" w:rsidTr="007F74AA">
        <w:trPr>
          <w:cnfStyle w:val="100000000000" w:firstRow="1" w:lastRow="0" w:firstColumn="0" w:lastColumn="0" w:oddVBand="0" w:evenVBand="0" w:oddHBand="0" w:evenHBand="0" w:firstRowFirstColumn="0" w:firstRowLastColumn="0" w:lastRowFirstColumn="0" w:lastRowLastColumn="0"/>
          <w:trHeight w:val="20"/>
          <w:tblHeader/>
        </w:trPr>
        <w:tc>
          <w:tcPr>
            <w:tcW w:w="2551" w:type="dxa"/>
            <w:vAlign w:val="bottom"/>
          </w:tcPr>
          <w:p w14:paraId="6FF0DDC3" w14:textId="77777777" w:rsidR="00F67E9E" w:rsidRPr="006F641F" w:rsidRDefault="00F67E9E" w:rsidP="007F74AA">
            <w:pPr>
              <w:rPr>
                <w:rFonts w:cs="Arial"/>
                <w:bCs/>
                <w:szCs w:val="24"/>
              </w:rPr>
            </w:pPr>
            <w:r w:rsidRPr="006F641F">
              <w:rPr>
                <w:rFonts w:cs="Arial"/>
                <w:bCs/>
                <w:szCs w:val="24"/>
              </w:rPr>
              <w:t>Manner of Delivery</w:t>
            </w:r>
          </w:p>
        </w:tc>
        <w:tc>
          <w:tcPr>
            <w:tcW w:w="3969" w:type="dxa"/>
            <w:vAlign w:val="bottom"/>
          </w:tcPr>
          <w:p w14:paraId="06786366" w14:textId="77777777" w:rsidR="00F67E9E" w:rsidRPr="006F641F" w:rsidRDefault="00F67E9E" w:rsidP="007F74AA">
            <w:pPr>
              <w:rPr>
                <w:rFonts w:cs="Arial"/>
                <w:bCs/>
                <w:szCs w:val="24"/>
              </w:rPr>
            </w:pPr>
            <w:r w:rsidRPr="006F641F">
              <w:rPr>
                <w:rFonts w:cs="Arial"/>
                <w:bCs/>
                <w:szCs w:val="24"/>
              </w:rPr>
              <w:t xml:space="preserve">Deemed time of service </w:t>
            </w:r>
          </w:p>
        </w:tc>
        <w:tc>
          <w:tcPr>
            <w:tcW w:w="3118" w:type="dxa"/>
            <w:vAlign w:val="bottom"/>
          </w:tcPr>
          <w:p w14:paraId="538A06B6" w14:textId="77777777" w:rsidR="00F67E9E" w:rsidRPr="006F641F" w:rsidRDefault="00F67E9E" w:rsidP="007F74AA">
            <w:pPr>
              <w:rPr>
                <w:rFonts w:cs="Arial"/>
                <w:bCs/>
                <w:szCs w:val="24"/>
              </w:rPr>
            </w:pPr>
            <w:r w:rsidRPr="006F641F">
              <w:rPr>
                <w:rFonts w:cs="Arial"/>
                <w:bCs/>
                <w:szCs w:val="24"/>
              </w:rPr>
              <w:t>Proof of service</w:t>
            </w:r>
          </w:p>
        </w:tc>
      </w:tr>
      <w:tr w:rsidR="00F67E9E" w:rsidRPr="00830C78" w14:paraId="65E39BD9" w14:textId="77777777" w:rsidTr="007F74AA">
        <w:trPr>
          <w:trHeight w:val="20"/>
        </w:trPr>
        <w:tc>
          <w:tcPr>
            <w:tcW w:w="2551" w:type="dxa"/>
          </w:tcPr>
          <w:p w14:paraId="66D20EAA" w14:textId="77777777" w:rsidR="00F67E9E" w:rsidRPr="00830C78" w:rsidRDefault="00F67E9E" w:rsidP="007F74AA">
            <w:pPr>
              <w:rPr>
                <w:rFonts w:cs="Arial"/>
                <w:bCs/>
                <w:iCs/>
                <w:szCs w:val="24"/>
              </w:rPr>
            </w:pPr>
            <w:r w:rsidRPr="00830C78">
              <w:rPr>
                <w:rFonts w:cs="Arial"/>
                <w:bCs/>
                <w:iCs/>
                <w:szCs w:val="24"/>
              </w:rPr>
              <w:t>Email.</w:t>
            </w:r>
          </w:p>
        </w:tc>
        <w:tc>
          <w:tcPr>
            <w:tcW w:w="3969" w:type="dxa"/>
          </w:tcPr>
          <w:p w14:paraId="2389713E" w14:textId="77777777" w:rsidR="00F67E9E" w:rsidRPr="00830C78" w:rsidRDefault="00F67E9E" w:rsidP="007F74AA">
            <w:pPr>
              <w:rPr>
                <w:rFonts w:cs="Arial"/>
                <w:bCs/>
                <w:iCs/>
                <w:szCs w:val="24"/>
              </w:rPr>
            </w:pPr>
            <w:r w:rsidRPr="00830C78">
              <w:rPr>
                <w:rFonts w:cs="Arial"/>
                <w:bCs/>
                <w:iCs/>
                <w:szCs w:val="24"/>
              </w:rPr>
              <w:t>9.00am on the first Working Day after sending</w:t>
            </w:r>
          </w:p>
        </w:tc>
        <w:tc>
          <w:tcPr>
            <w:tcW w:w="3118" w:type="dxa"/>
          </w:tcPr>
          <w:p w14:paraId="6ACA170F" w14:textId="77777777" w:rsidR="00F67E9E" w:rsidRPr="00830C78" w:rsidRDefault="00F67E9E" w:rsidP="007F74AA">
            <w:pPr>
              <w:rPr>
                <w:rFonts w:cs="Arial"/>
                <w:bCs/>
                <w:iCs/>
                <w:szCs w:val="24"/>
              </w:rPr>
            </w:pPr>
            <w:r w:rsidRPr="00830C78">
              <w:rPr>
                <w:rFonts w:cs="Arial"/>
                <w:bCs/>
                <w:iCs/>
                <w:szCs w:val="24"/>
              </w:rPr>
              <w:t xml:space="preserve">Dispatched as a pdf attachment to an e-mail to the correct e-mail address without any error message. </w:t>
            </w:r>
          </w:p>
        </w:tc>
      </w:tr>
      <w:tr w:rsidR="00F67E9E" w:rsidRPr="00830C78" w14:paraId="20188826" w14:textId="77777777" w:rsidTr="007F74AA">
        <w:trPr>
          <w:trHeight w:val="20"/>
        </w:trPr>
        <w:tc>
          <w:tcPr>
            <w:tcW w:w="2551" w:type="dxa"/>
          </w:tcPr>
          <w:p w14:paraId="67DEC858" w14:textId="77777777" w:rsidR="00F67E9E" w:rsidRPr="00830C78" w:rsidRDefault="00F67E9E" w:rsidP="007F74AA">
            <w:pPr>
              <w:rPr>
                <w:rFonts w:cs="Arial"/>
                <w:bCs/>
                <w:iCs/>
                <w:szCs w:val="24"/>
              </w:rPr>
            </w:pPr>
            <w:r w:rsidRPr="00830C78">
              <w:rPr>
                <w:rFonts w:cs="Arial"/>
                <w:bCs/>
                <w:iCs/>
                <w:szCs w:val="24"/>
              </w:rPr>
              <w:t>Personal delivery.</w:t>
            </w:r>
          </w:p>
        </w:tc>
        <w:tc>
          <w:tcPr>
            <w:tcW w:w="3969" w:type="dxa"/>
          </w:tcPr>
          <w:p w14:paraId="68B8C31D" w14:textId="77777777" w:rsidR="00F67E9E" w:rsidRPr="00830C78" w:rsidRDefault="00F67E9E" w:rsidP="007F74AA">
            <w:pPr>
              <w:rPr>
                <w:rFonts w:cs="Arial"/>
                <w:bCs/>
                <w:iCs/>
                <w:szCs w:val="24"/>
              </w:rPr>
            </w:pPr>
            <w:r w:rsidRPr="00830C78">
              <w:rPr>
                <w:rFonts w:cs="Arial"/>
                <w:bCs/>
                <w:iCs/>
                <w:szCs w:val="24"/>
              </w:rPr>
              <w:t>On delivery, provided delivery is between 9.00am and 5.00pm on a Working Day. Otherwise, delivery will occur at 9.00am on the next Working Day.</w:t>
            </w:r>
          </w:p>
        </w:tc>
        <w:tc>
          <w:tcPr>
            <w:tcW w:w="3118" w:type="dxa"/>
          </w:tcPr>
          <w:p w14:paraId="13222600" w14:textId="77777777" w:rsidR="00F67E9E" w:rsidRPr="00830C78" w:rsidRDefault="00F67E9E" w:rsidP="007F74AA">
            <w:pPr>
              <w:rPr>
                <w:rFonts w:cs="Arial"/>
                <w:bCs/>
                <w:iCs/>
                <w:szCs w:val="24"/>
              </w:rPr>
            </w:pPr>
            <w:r w:rsidRPr="00830C78">
              <w:rPr>
                <w:rFonts w:cs="Arial"/>
                <w:bCs/>
                <w:iCs/>
                <w:szCs w:val="24"/>
              </w:rPr>
              <w:t xml:space="preserve">Properly addressed and delivered as evidenced by signature of a delivery receipt. </w:t>
            </w:r>
          </w:p>
        </w:tc>
      </w:tr>
      <w:tr w:rsidR="00F67E9E" w:rsidRPr="00830C78" w14:paraId="5A98F937" w14:textId="77777777" w:rsidTr="007F74AA">
        <w:trPr>
          <w:trHeight w:val="20"/>
        </w:trPr>
        <w:tc>
          <w:tcPr>
            <w:tcW w:w="2551" w:type="dxa"/>
          </w:tcPr>
          <w:p w14:paraId="682BCB7B" w14:textId="77777777" w:rsidR="00F67E9E" w:rsidRPr="00830C78" w:rsidRDefault="00F67E9E" w:rsidP="007F74AA">
            <w:pPr>
              <w:rPr>
                <w:rFonts w:cs="Arial"/>
                <w:bCs/>
                <w:iCs/>
                <w:szCs w:val="24"/>
              </w:rPr>
            </w:pPr>
            <w:r w:rsidRPr="00830C78">
              <w:rPr>
                <w:rFonts w:cs="Arial"/>
                <w:bCs/>
                <w:iCs/>
                <w:szCs w:val="24"/>
              </w:rPr>
              <w:t xml:space="preserve">Prepaid, </w:t>
            </w:r>
            <w:bookmarkStart w:id="2138" w:name="_9kR3WTr26646FgU8vjWGjvgYtzypRXG"/>
            <w:r w:rsidRPr="00830C78">
              <w:rPr>
                <w:rFonts w:cs="Arial"/>
                <w:szCs w:val="24"/>
              </w:rPr>
              <w:t>Royal Mail Signed For™</w:t>
            </w:r>
            <w:bookmarkEnd w:id="2138"/>
            <w:r w:rsidRPr="00830C78">
              <w:rPr>
                <w:rFonts w:cs="Arial"/>
                <w:szCs w:val="24"/>
              </w:rPr>
              <w:t xml:space="preserve"> 1</w:t>
            </w:r>
            <w:r w:rsidRPr="00830C78">
              <w:rPr>
                <w:rFonts w:cs="Arial"/>
                <w:szCs w:val="24"/>
                <w:vertAlign w:val="superscript"/>
              </w:rPr>
              <w:t>st</w:t>
            </w:r>
            <w:r w:rsidRPr="00830C78">
              <w:rPr>
                <w:rFonts w:cs="Arial"/>
                <w:szCs w:val="24"/>
              </w:rPr>
              <w:t xml:space="preserve"> </w:t>
            </w:r>
            <w:bookmarkStart w:id="2139" w:name="_9kR3WTr26646GSChp8"/>
            <w:r w:rsidRPr="00830C78">
              <w:rPr>
                <w:rFonts w:cs="Arial"/>
                <w:szCs w:val="24"/>
              </w:rPr>
              <w:t>Class</w:t>
            </w:r>
            <w:bookmarkEnd w:id="2139"/>
            <w:r w:rsidRPr="00830C78">
              <w:rPr>
                <w:rFonts w:cs="Arial"/>
                <w:bCs/>
                <w:iCs/>
                <w:szCs w:val="24"/>
              </w:rPr>
              <w:t xml:space="preserve"> or other prepaid, next </w:t>
            </w:r>
            <w:bookmarkStart w:id="2140" w:name="_9kMHG5YVt4666AHlb30swvMB3"/>
            <w:r w:rsidRPr="00830C78">
              <w:rPr>
                <w:rFonts w:cs="Arial"/>
                <w:bCs/>
                <w:iCs/>
                <w:szCs w:val="24"/>
              </w:rPr>
              <w:t>Working Day</w:t>
            </w:r>
            <w:bookmarkEnd w:id="2140"/>
            <w:r w:rsidRPr="00830C78">
              <w:rPr>
                <w:rFonts w:cs="Arial"/>
                <w:bCs/>
                <w:iCs/>
                <w:szCs w:val="24"/>
              </w:rPr>
              <w:t xml:space="preserve"> service providing proof of delivery.</w:t>
            </w:r>
          </w:p>
        </w:tc>
        <w:tc>
          <w:tcPr>
            <w:tcW w:w="3969" w:type="dxa"/>
          </w:tcPr>
          <w:p w14:paraId="732A17EE" w14:textId="77777777" w:rsidR="00F67E9E" w:rsidRPr="00830C78" w:rsidRDefault="00F67E9E" w:rsidP="007F74AA">
            <w:pPr>
              <w:rPr>
                <w:rFonts w:cs="Arial"/>
                <w:bCs/>
                <w:iCs/>
                <w:szCs w:val="24"/>
              </w:rPr>
            </w:pPr>
            <w:r w:rsidRPr="00830C78">
              <w:rPr>
                <w:rFonts w:cs="Arial"/>
                <w:bCs/>
                <w:iCs/>
                <w:szCs w:val="24"/>
              </w:rPr>
              <w:t>At the time recorded by the delivery service, provided that delivery is between 9.00am and 5.00pm on a Working Day. Otherwise, delivery will occur at 9.00am on the same Working Day (if delivery before 9.00am) or on the next Working Day (if after 5.00pm).</w:t>
            </w:r>
          </w:p>
        </w:tc>
        <w:tc>
          <w:tcPr>
            <w:tcW w:w="3118" w:type="dxa"/>
          </w:tcPr>
          <w:p w14:paraId="30E4F508" w14:textId="77777777" w:rsidR="00F67E9E" w:rsidRPr="00830C78" w:rsidRDefault="00F67E9E" w:rsidP="007F74AA">
            <w:pPr>
              <w:rPr>
                <w:rFonts w:cs="Arial"/>
                <w:bCs/>
                <w:iCs/>
                <w:szCs w:val="24"/>
              </w:rPr>
            </w:pPr>
            <w:r w:rsidRPr="00830C78">
              <w:rPr>
                <w:rFonts w:cs="Arial"/>
                <w:bCs/>
                <w:iCs/>
                <w:szCs w:val="24"/>
              </w:rPr>
              <w:t>Properly addressed prepaid and delivered as evidenced by signature of a delivery receipt.</w:t>
            </w:r>
          </w:p>
        </w:tc>
      </w:tr>
    </w:tbl>
    <w:p w14:paraId="399D8D7F" w14:textId="77777777" w:rsidR="00F67E9E" w:rsidRPr="00830C78" w:rsidRDefault="00F67E9E" w:rsidP="00F67E9E">
      <w:pPr>
        <w:pStyle w:val="AppendixText2"/>
      </w:pPr>
      <w:r w:rsidRPr="00830C78">
        <w:t xml:space="preserve">Notices shall be sent to the addresses set out below or at such other address as the relevant Party may give notice to the other Party for </w:t>
      </w:r>
      <w:r w:rsidRPr="004D5D04">
        <w:t>the</w:t>
      </w:r>
      <w:r w:rsidRPr="00830C78">
        <w:t xml:space="preserve"> </w:t>
      </w:r>
      <w:bookmarkStart w:id="2141" w:name="_9kMKJ5YVt46669Fda9537y"/>
      <w:r w:rsidRPr="00830C78">
        <w:t>purpose</w:t>
      </w:r>
      <w:bookmarkEnd w:id="2141"/>
      <w:r w:rsidRPr="00830C78">
        <w:t xml:space="preserve"> of service of notices under this Agreement:</w:t>
      </w:r>
    </w:p>
    <w:tbl>
      <w:tblPr>
        <w:tblStyle w:val="MSATable-header"/>
        <w:tblW w:w="9525" w:type="dxa"/>
        <w:tblInd w:w="680" w:type="dxa"/>
        <w:tblLook w:val="01E0" w:firstRow="1" w:lastRow="1" w:firstColumn="1" w:lastColumn="1" w:noHBand="0" w:noVBand="0"/>
      </w:tblPr>
      <w:tblGrid>
        <w:gridCol w:w="2835"/>
        <w:gridCol w:w="3345"/>
        <w:gridCol w:w="3345"/>
      </w:tblGrid>
      <w:tr w:rsidR="00F67E9E" w:rsidRPr="00F3052F" w14:paraId="7C8A1647" w14:textId="77777777" w:rsidTr="007F74AA">
        <w:trPr>
          <w:cnfStyle w:val="100000000000" w:firstRow="1" w:lastRow="0" w:firstColumn="0" w:lastColumn="0" w:oddVBand="0" w:evenVBand="0" w:oddHBand="0" w:evenHBand="0" w:firstRowFirstColumn="0" w:firstRowLastColumn="0" w:lastRowFirstColumn="0" w:lastRowLastColumn="0"/>
          <w:tblHeader/>
        </w:trPr>
        <w:tc>
          <w:tcPr>
            <w:tcW w:w="2835" w:type="dxa"/>
            <w:tcBorders>
              <w:top w:val="nil"/>
              <w:left w:val="nil"/>
            </w:tcBorders>
            <w:shd w:val="clear" w:color="auto" w:fill="auto"/>
            <w:vAlign w:val="bottom"/>
          </w:tcPr>
          <w:p w14:paraId="6C4A04CB" w14:textId="77777777" w:rsidR="00F67E9E" w:rsidRPr="0099027A" w:rsidRDefault="00F67E9E" w:rsidP="007F74AA"/>
        </w:tc>
        <w:tc>
          <w:tcPr>
            <w:tcW w:w="3345" w:type="dxa"/>
            <w:vAlign w:val="bottom"/>
          </w:tcPr>
          <w:p w14:paraId="6EA6E0C5" w14:textId="77777777" w:rsidR="00F67E9E" w:rsidRPr="0099027A" w:rsidRDefault="00F67E9E" w:rsidP="007F74AA">
            <w:r w:rsidRPr="0099027A">
              <w:t>Counterparty</w:t>
            </w:r>
          </w:p>
        </w:tc>
        <w:tc>
          <w:tcPr>
            <w:tcW w:w="3345" w:type="dxa"/>
            <w:vAlign w:val="bottom"/>
          </w:tcPr>
          <w:p w14:paraId="1309DDAE" w14:textId="77777777" w:rsidR="00F67E9E" w:rsidRPr="0099027A" w:rsidRDefault="00F67E9E" w:rsidP="007F74AA">
            <w:r w:rsidRPr="0099027A">
              <w:t>Authority</w:t>
            </w:r>
          </w:p>
        </w:tc>
      </w:tr>
      <w:tr w:rsidR="00F67E9E" w:rsidRPr="00830C78" w14:paraId="4B31C9A3" w14:textId="77777777" w:rsidTr="007F74AA">
        <w:tc>
          <w:tcPr>
            <w:tcW w:w="2835" w:type="dxa"/>
            <w:shd w:val="clear" w:color="auto" w:fill="F0F0F0"/>
          </w:tcPr>
          <w:p w14:paraId="5885993A" w14:textId="77777777" w:rsidR="00F67E9E" w:rsidRPr="0099027A" w:rsidRDefault="00F67E9E" w:rsidP="007F74AA">
            <w:pPr>
              <w:rPr>
                <w:b/>
                <w:bCs/>
              </w:rPr>
            </w:pPr>
            <w:r w:rsidRPr="0099027A">
              <w:rPr>
                <w:b/>
                <w:bCs/>
              </w:rPr>
              <w:t>Contact</w:t>
            </w:r>
          </w:p>
        </w:tc>
        <w:tc>
          <w:tcPr>
            <w:tcW w:w="3345" w:type="dxa"/>
          </w:tcPr>
          <w:p w14:paraId="18543498" w14:textId="77777777" w:rsidR="00F67E9E" w:rsidRPr="0099027A" w:rsidRDefault="00F67E9E" w:rsidP="007F74AA"/>
        </w:tc>
        <w:tc>
          <w:tcPr>
            <w:tcW w:w="3345" w:type="dxa"/>
          </w:tcPr>
          <w:p w14:paraId="71725B9F" w14:textId="77777777" w:rsidR="00F67E9E" w:rsidRPr="0099027A" w:rsidRDefault="00F67E9E" w:rsidP="007F74AA"/>
        </w:tc>
      </w:tr>
      <w:tr w:rsidR="00F67E9E" w:rsidRPr="00830C78" w14:paraId="5BAFF0D5" w14:textId="77777777" w:rsidTr="007F74AA">
        <w:trPr>
          <w:trHeight w:val="85"/>
        </w:trPr>
        <w:tc>
          <w:tcPr>
            <w:tcW w:w="2835" w:type="dxa"/>
            <w:shd w:val="clear" w:color="auto" w:fill="F0F0F0"/>
          </w:tcPr>
          <w:p w14:paraId="50115B30" w14:textId="77777777" w:rsidR="00F67E9E" w:rsidRPr="0099027A" w:rsidRDefault="00F67E9E" w:rsidP="007F74AA">
            <w:pPr>
              <w:rPr>
                <w:b/>
                <w:bCs/>
              </w:rPr>
            </w:pPr>
            <w:r w:rsidRPr="0099027A">
              <w:rPr>
                <w:b/>
                <w:bCs/>
              </w:rPr>
              <w:t>Address</w:t>
            </w:r>
          </w:p>
        </w:tc>
        <w:tc>
          <w:tcPr>
            <w:tcW w:w="3345" w:type="dxa"/>
          </w:tcPr>
          <w:p w14:paraId="44E42CA2" w14:textId="77777777" w:rsidR="00F67E9E" w:rsidRPr="0099027A" w:rsidRDefault="00F67E9E" w:rsidP="007F74AA"/>
        </w:tc>
        <w:tc>
          <w:tcPr>
            <w:tcW w:w="3345" w:type="dxa"/>
          </w:tcPr>
          <w:p w14:paraId="009127C9" w14:textId="77777777" w:rsidR="00F67E9E" w:rsidRPr="0099027A" w:rsidRDefault="00F67E9E" w:rsidP="007F74AA"/>
        </w:tc>
      </w:tr>
      <w:tr w:rsidR="00F67E9E" w:rsidRPr="00830C78" w14:paraId="2947784B" w14:textId="77777777" w:rsidTr="007F74AA">
        <w:tc>
          <w:tcPr>
            <w:tcW w:w="2835" w:type="dxa"/>
            <w:shd w:val="clear" w:color="auto" w:fill="F0F0F0"/>
          </w:tcPr>
          <w:p w14:paraId="07B6F8AB" w14:textId="77777777" w:rsidR="00F67E9E" w:rsidRPr="0099027A" w:rsidRDefault="00F67E9E" w:rsidP="007F74AA">
            <w:pPr>
              <w:rPr>
                <w:b/>
                <w:bCs/>
              </w:rPr>
            </w:pPr>
            <w:r w:rsidRPr="0099027A">
              <w:rPr>
                <w:b/>
                <w:bCs/>
              </w:rPr>
              <w:t>Email</w:t>
            </w:r>
          </w:p>
        </w:tc>
        <w:tc>
          <w:tcPr>
            <w:tcW w:w="3345" w:type="dxa"/>
          </w:tcPr>
          <w:p w14:paraId="116E7C89" w14:textId="77777777" w:rsidR="00F67E9E" w:rsidRPr="0099027A" w:rsidRDefault="00F67E9E" w:rsidP="007F74AA"/>
        </w:tc>
        <w:tc>
          <w:tcPr>
            <w:tcW w:w="3345" w:type="dxa"/>
          </w:tcPr>
          <w:p w14:paraId="56AC4106" w14:textId="77777777" w:rsidR="00F67E9E" w:rsidRPr="0099027A" w:rsidRDefault="00F67E9E" w:rsidP="007F74AA"/>
        </w:tc>
      </w:tr>
    </w:tbl>
    <w:p w14:paraId="35DEAB6A" w14:textId="77777777" w:rsidR="00F67E9E" w:rsidRPr="00830C78" w:rsidRDefault="00F67E9E" w:rsidP="00F67E9E"/>
    <w:p w14:paraId="3A62D700" w14:textId="608A32F8" w:rsidR="00F67E9E" w:rsidRPr="00830C78" w:rsidRDefault="00F67E9E" w:rsidP="00F67E9E">
      <w:pPr>
        <w:pStyle w:val="AppendixText2"/>
      </w:pPr>
      <w:r w:rsidRPr="00830C78">
        <w:t xml:space="preserve">This Clause </w:t>
      </w:r>
      <w:r w:rsidRPr="00830C78">
        <w:fldChar w:fldCharType="begin"/>
      </w:r>
      <w:r w:rsidRPr="00830C78">
        <w:instrText xml:space="preserve"> REF _Ref88044888 \r \h </w:instrText>
      </w:r>
      <w:r>
        <w:instrText xml:space="preserve"> \* MERGEFORMAT </w:instrText>
      </w:r>
      <w:r w:rsidRPr="00830C78">
        <w:fldChar w:fldCharType="separate"/>
      </w:r>
      <w:r w:rsidR="00302D39">
        <w:t>8</w:t>
      </w:r>
      <w:r w:rsidRPr="00830C78">
        <w:fldChar w:fldCharType="end"/>
      </w:r>
      <w:r w:rsidRPr="00830C78">
        <w:t xml:space="preserve"> does not apply to the service of any proceedings or other documents in any legal action or other method of dispute </w:t>
      </w:r>
      <w:r w:rsidRPr="004D5D04">
        <w:t>resolution</w:t>
      </w:r>
      <w:r w:rsidRPr="00830C78">
        <w:t>.</w:t>
      </w:r>
    </w:p>
    <w:p w14:paraId="7CDEFE80" w14:textId="77777777" w:rsidR="00F67E9E" w:rsidRPr="004D5D04" w:rsidRDefault="00F67E9E" w:rsidP="00F67E9E">
      <w:pPr>
        <w:pStyle w:val="AppendixText1"/>
      </w:pPr>
      <w:bookmarkStart w:id="2142" w:name="_Toc127759113"/>
      <w:bookmarkStart w:id="2143" w:name="_Toc139080597"/>
      <w:bookmarkStart w:id="2144" w:name="_Toc359839013"/>
      <w:bookmarkStart w:id="2145" w:name="_Ref46569849"/>
      <w:bookmarkStart w:id="2146" w:name="_Toc127759122"/>
      <w:bookmarkStart w:id="2147" w:name="_Toc139080633"/>
      <w:bookmarkStart w:id="2148" w:name="_Ref347425913"/>
      <w:bookmarkStart w:id="2149" w:name="_Toc359839022"/>
      <w:r w:rsidRPr="00122216">
        <w:t>Waiver</w:t>
      </w:r>
      <w:r w:rsidRPr="004D5D04">
        <w:t xml:space="preserve"> </w:t>
      </w:r>
      <w:r>
        <w:t>a</w:t>
      </w:r>
      <w:r w:rsidRPr="004D5D04">
        <w:t>nd Cumulative Remedies</w:t>
      </w:r>
      <w:bookmarkEnd w:id="2142"/>
      <w:bookmarkEnd w:id="2143"/>
      <w:bookmarkEnd w:id="2144"/>
    </w:p>
    <w:p w14:paraId="11D67D19" w14:textId="77777777" w:rsidR="00F67E9E" w:rsidRPr="00122216" w:rsidRDefault="00F67E9E" w:rsidP="00F67E9E">
      <w:pPr>
        <w:pStyle w:val="AppendixText2"/>
      </w:pPr>
      <w:r w:rsidRPr="00830C78">
        <w:t xml:space="preserve">The rights and remedies under this Agreement may be waived only by notice, and in a manner that expressly states that a waiver is intended. A failure or delay by a Party in ascertaining or exercising a right or remedy provided under this Agreement or by law shall not constitute a waiver of that right or remedy, nor shall it prevent or restrict the further exercise of that or any other right or remedy. No single or partial exercise of any right or remedy </w:t>
      </w:r>
      <w:r w:rsidRPr="00122216">
        <w:t>shall prevent or restrict the further exercise of that or any other right or remedy.</w:t>
      </w:r>
    </w:p>
    <w:p w14:paraId="6C89E0A7" w14:textId="77777777" w:rsidR="00F67E9E" w:rsidRPr="00830C78" w:rsidRDefault="00F67E9E" w:rsidP="00F67E9E">
      <w:pPr>
        <w:pStyle w:val="AppendixText2"/>
      </w:pPr>
      <w:r w:rsidRPr="00122216">
        <w:t>Unless othe</w:t>
      </w:r>
      <w:r w:rsidRPr="00830C78">
        <w:t xml:space="preserve">rwise provided in this Agreement, rights and remedies under this Agreement are cumulative and do not exclude any rights or </w:t>
      </w:r>
      <w:r w:rsidRPr="004D5D04">
        <w:t>remedies</w:t>
      </w:r>
      <w:r w:rsidRPr="00830C78">
        <w:t xml:space="preserve"> provided by law, in equity or otherwise.</w:t>
      </w:r>
    </w:p>
    <w:p w14:paraId="007C45D5" w14:textId="77777777" w:rsidR="00F67E9E" w:rsidRPr="004D5D04" w:rsidRDefault="00F67E9E" w:rsidP="00F67E9E">
      <w:pPr>
        <w:pStyle w:val="AppendixText1"/>
      </w:pPr>
      <w:r w:rsidRPr="004D5D04">
        <w:t>Term</w:t>
      </w:r>
    </w:p>
    <w:p w14:paraId="3A8FA3DE" w14:textId="77777777" w:rsidR="00F67E9E" w:rsidRPr="00830C78" w:rsidRDefault="00F67E9E" w:rsidP="00F67E9E">
      <w:pPr>
        <w:pStyle w:val="AppendixText2"/>
      </w:pPr>
      <w:bookmarkStart w:id="2150" w:name="_Ref89440700"/>
      <w:r w:rsidRPr="00830C78">
        <w:t xml:space="preserve">Each </w:t>
      </w:r>
      <w:bookmarkStart w:id="2151" w:name="_9kMH5M6ZWu9A67CK"/>
      <w:r w:rsidRPr="00830C78">
        <w:t>Party</w:t>
      </w:r>
      <w:r>
        <w:t>’</w:t>
      </w:r>
      <w:r w:rsidRPr="00830C78">
        <w:t>s</w:t>
      </w:r>
      <w:bookmarkEnd w:id="2151"/>
      <w:r w:rsidRPr="00830C78">
        <w:t xml:space="preserve"> obligations under this </w:t>
      </w:r>
      <w:r w:rsidRPr="004D5D04">
        <w:t>Agreement</w:t>
      </w:r>
      <w:r w:rsidRPr="00830C78">
        <w:t xml:space="preserve"> shall continue in full force and effect for period of </w:t>
      </w:r>
      <w:r w:rsidRPr="007A5E8D">
        <w:rPr>
          <w:highlight w:val="yellow"/>
        </w:rPr>
        <w:t xml:space="preserve">[  </w:t>
      </w:r>
      <w:r w:rsidRPr="00830C78">
        <w:t>] years from the Effective Date</w:t>
      </w:r>
      <w:r w:rsidRPr="00830C78">
        <w:rPr>
          <w:highlight w:val="yellow"/>
        </w:rPr>
        <w:t>/[or for the period of the duration of the Procurement Process]</w:t>
      </w:r>
      <w:bookmarkEnd w:id="2150"/>
    </w:p>
    <w:p w14:paraId="338E4AED" w14:textId="77777777" w:rsidR="00F67E9E" w:rsidRPr="004D5D04" w:rsidRDefault="00F67E9E" w:rsidP="00F67E9E">
      <w:pPr>
        <w:pStyle w:val="AppendixText1"/>
      </w:pPr>
      <w:r w:rsidRPr="004D5D04">
        <w:t xml:space="preserve">Governing Law </w:t>
      </w:r>
      <w:r>
        <w:t>a</w:t>
      </w:r>
      <w:r w:rsidRPr="004D5D04">
        <w:t>nd Jurisdiction</w:t>
      </w:r>
      <w:bookmarkEnd w:id="2145"/>
      <w:bookmarkEnd w:id="2146"/>
      <w:bookmarkEnd w:id="2147"/>
      <w:bookmarkEnd w:id="2148"/>
      <w:bookmarkEnd w:id="2149"/>
    </w:p>
    <w:p w14:paraId="74DD2BC7" w14:textId="77777777" w:rsidR="00F67E9E" w:rsidRPr="00830C78" w:rsidRDefault="00F67E9E" w:rsidP="00F67E9E">
      <w:pPr>
        <w:pStyle w:val="AppendixText2"/>
      </w:pPr>
      <w:r w:rsidRPr="00830C78">
        <w:t xml:space="preserve">This Agreement and any issues, disputes or claims (whether contractual or non-contractual) arising out of or in connection with it or its subject matter or </w:t>
      </w:r>
      <w:r w:rsidRPr="004D5D04">
        <w:t>formation</w:t>
      </w:r>
      <w:r w:rsidRPr="00830C78">
        <w:t xml:space="preserve"> shall be governed by and construed in accordance with the laws of England and Wales. </w:t>
      </w:r>
    </w:p>
    <w:p w14:paraId="63E56EA5" w14:textId="77777777" w:rsidR="00F67E9E" w:rsidRPr="00830C78" w:rsidRDefault="00F67E9E" w:rsidP="00F67E9E">
      <w:pPr>
        <w:pStyle w:val="AppendixText2"/>
      </w:pPr>
      <w:r w:rsidRPr="00830C78">
        <w:t xml:space="preserve">The Parties agree that the courts of England and Wales shall have exclusive jurisdiction to settle any dispute or claim (whether </w:t>
      </w:r>
      <w:r w:rsidRPr="004D5D04">
        <w:t>contractual</w:t>
      </w:r>
      <w:r w:rsidRPr="00830C78">
        <w:t xml:space="preserve"> or non-contractual) that arises out of or in connection with this Agreement or its subject matter or formation.</w:t>
      </w:r>
    </w:p>
    <w:tbl>
      <w:tblPr>
        <w:tblW w:w="5000" w:type="pct"/>
        <w:tblInd w:w="-108" w:type="dxa"/>
        <w:tblLook w:val="04A0" w:firstRow="1" w:lastRow="0" w:firstColumn="1" w:lastColumn="0" w:noHBand="0" w:noVBand="1"/>
      </w:tblPr>
      <w:tblGrid>
        <w:gridCol w:w="5099"/>
        <w:gridCol w:w="5099"/>
      </w:tblGrid>
      <w:tr w:rsidR="00F67E9E" w:rsidRPr="00863151" w14:paraId="0F7545FF" w14:textId="77777777" w:rsidTr="007F74AA">
        <w:trPr>
          <w:cantSplit/>
        </w:trPr>
        <w:tc>
          <w:tcPr>
            <w:tcW w:w="2500" w:type="pct"/>
          </w:tcPr>
          <w:p w14:paraId="73D2ABCC" w14:textId="77777777" w:rsidR="00F67E9E" w:rsidRPr="00863151" w:rsidRDefault="00F67E9E" w:rsidP="007F74AA">
            <w:pPr>
              <w:rPr>
                <w:szCs w:val="24"/>
              </w:rPr>
            </w:pPr>
          </w:p>
          <w:p w14:paraId="7415949C" w14:textId="77777777" w:rsidR="00F67E9E" w:rsidRPr="00863151" w:rsidRDefault="00F67E9E" w:rsidP="007F74AA">
            <w:pPr>
              <w:rPr>
                <w:szCs w:val="24"/>
              </w:rPr>
            </w:pPr>
            <w:r w:rsidRPr="00863151">
              <w:rPr>
                <w:szCs w:val="24"/>
              </w:rPr>
              <w:t>Signed by the Authority</w:t>
            </w:r>
          </w:p>
        </w:tc>
        <w:tc>
          <w:tcPr>
            <w:tcW w:w="2500" w:type="pct"/>
          </w:tcPr>
          <w:p w14:paraId="7AF32D43" w14:textId="77777777" w:rsidR="00F67E9E" w:rsidRPr="00863151" w:rsidRDefault="00F67E9E" w:rsidP="007F74AA">
            <w:pPr>
              <w:rPr>
                <w:szCs w:val="24"/>
              </w:rPr>
            </w:pPr>
          </w:p>
          <w:p w14:paraId="5E1C68A3" w14:textId="77777777" w:rsidR="00F67E9E" w:rsidRPr="00863151" w:rsidRDefault="00F67E9E" w:rsidP="007F74AA">
            <w:pPr>
              <w:rPr>
                <w:szCs w:val="24"/>
              </w:rPr>
            </w:pPr>
            <w:r w:rsidRPr="00863151">
              <w:rPr>
                <w:szCs w:val="24"/>
              </w:rPr>
              <w:t>Name:</w:t>
            </w:r>
          </w:p>
          <w:p w14:paraId="02E71474" w14:textId="77777777" w:rsidR="00F67E9E" w:rsidRPr="00863151" w:rsidRDefault="00F67E9E" w:rsidP="007F74AA">
            <w:pPr>
              <w:rPr>
                <w:szCs w:val="24"/>
              </w:rPr>
            </w:pPr>
          </w:p>
          <w:p w14:paraId="76085471" w14:textId="77777777" w:rsidR="00F67E9E" w:rsidRPr="00863151" w:rsidRDefault="00F67E9E" w:rsidP="007F74AA">
            <w:pPr>
              <w:rPr>
                <w:szCs w:val="24"/>
              </w:rPr>
            </w:pPr>
            <w:r w:rsidRPr="00863151">
              <w:rPr>
                <w:szCs w:val="24"/>
              </w:rPr>
              <w:t>Signature:</w:t>
            </w:r>
          </w:p>
          <w:p w14:paraId="389C7CFF" w14:textId="77777777" w:rsidR="00F67E9E" w:rsidRPr="00863151" w:rsidRDefault="00F67E9E" w:rsidP="007F74AA">
            <w:pPr>
              <w:rPr>
                <w:szCs w:val="24"/>
              </w:rPr>
            </w:pPr>
          </w:p>
          <w:p w14:paraId="66741C79" w14:textId="77777777" w:rsidR="00F67E9E" w:rsidRPr="00863151" w:rsidRDefault="00F67E9E" w:rsidP="007F74AA">
            <w:pPr>
              <w:rPr>
                <w:szCs w:val="24"/>
              </w:rPr>
            </w:pPr>
            <w:r w:rsidRPr="00830C78">
              <w:rPr>
                <w:szCs w:val="24"/>
              </w:rPr>
              <w:t>Position in Authority:</w:t>
            </w:r>
          </w:p>
        </w:tc>
      </w:tr>
    </w:tbl>
    <w:p w14:paraId="210AFAAA" w14:textId="77777777" w:rsidR="00F67E9E" w:rsidRPr="00830C78" w:rsidRDefault="00F67E9E" w:rsidP="00F67E9E">
      <w:pPr>
        <w:rPr>
          <w:szCs w:val="24"/>
        </w:rPr>
      </w:pPr>
    </w:p>
    <w:tbl>
      <w:tblPr>
        <w:tblW w:w="5000" w:type="pct"/>
        <w:tblInd w:w="-108" w:type="dxa"/>
        <w:tblLook w:val="04A0" w:firstRow="1" w:lastRow="0" w:firstColumn="1" w:lastColumn="0" w:noHBand="0" w:noVBand="1"/>
      </w:tblPr>
      <w:tblGrid>
        <w:gridCol w:w="5099"/>
        <w:gridCol w:w="5099"/>
      </w:tblGrid>
      <w:tr w:rsidR="00F67E9E" w:rsidRPr="00863151" w14:paraId="4A1056E9" w14:textId="77777777" w:rsidTr="007F74AA">
        <w:trPr>
          <w:cantSplit/>
        </w:trPr>
        <w:tc>
          <w:tcPr>
            <w:tcW w:w="2500" w:type="pct"/>
          </w:tcPr>
          <w:p w14:paraId="3D3F19FC" w14:textId="77777777" w:rsidR="00F67E9E" w:rsidRPr="00863151" w:rsidRDefault="00F67E9E" w:rsidP="007F74AA">
            <w:pPr>
              <w:rPr>
                <w:szCs w:val="24"/>
              </w:rPr>
            </w:pPr>
          </w:p>
          <w:p w14:paraId="38D4A44D" w14:textId="77777777" w:rsidR="00F67E9E" w:rsidRPr="00863151" w:rsidRDefault="00F67E9E" w:rsidP="007F74AA">
            <w:pPr>
              <w:rPr>
                <w:szCs w:val="24"/>
              </w:rPr>
            </w:pPr>
          </w:p>
          <w:p w14:paraId="50AFE9F3" w14:textId="77777777" w:rsidR="00F67E9E" w:rsidRPr="00863151" w:rsidRDefault="00F67E9E" w:rsidP="007F74AA">
            <w:pPr>
              <w:rPr>
                <w:szCs w:val="24"/>
              </w:rPr>
            </w:pPr>
            <w:r w:rsidRPr="00863151">
              <w:rPr>
                <w:szCs w:val="24"/>
              </w:rPr>
              <w:t>Signed by the Counterparty</w:t>
            </w:r>
          </w:p>
        </w:tc>
        <w:tc>
          <w:tcPr>
            <w:tcW w:w="2500" w:type="pct"/>
          </w:tcPr>
          <w:p w14:paraId="07AEF02A" w14:textId="77777777" w:rsidR="00F67E9E" w:rsidRPr="00863151" w:rsidRDefault="00F67E9E" w:rsidP="007F74AA">
            <w:pPr>
              <w:rPr>
                <w:szCs w:val="24"/>
              </w:rPr>
            </w:pPr>
          </w:p>
          <w:p w14:paraId="5D40296A" w14:textId="77777777" w:rsidR="00F67E9E" w:rsidRPr="00863151" w:rsidRDefault="00F67E9E" w:rsidP="007F74AA">
            <w:pPr>
              <w:rPr>
                <w:szCs w:val="24"/>
              </w:rPr>
            </w:pPr>
          </w:p>
          <w:p w14:paraId="01819D28" w14:textId="77777777" w:rsidR="00F67E9E" w:rsidRPr="00863151" w:rsidRDefault="00F67E9E" w:rsidP="007F74AA">
            <w:pPr>
              <w:rPr>
                <w:szCs w:val="24"/>
              </w:rPr>
            </w:pPr>
            <w:r w:rsidRPr="00863151">
              <w:rPr>
                <w:szCs w:val="24"/>
              </w:rPr>
              <w:t>Name:</w:t>
            </w:r>
          </w:p>
          <w:p w14:paraId="6476AC3F" w14:textId="77777777" w:rsidR="00F67E9E" w:rsidRPr="00863151" w:rsidRDefault="00F67E9E" w:rsidP="007F74AA">
            <w:pPr>
              <w:rPr>
                <w:szCs w:val="24"/>
              </w:rPr>
            </w:pPr>
          </w:p>
          <w:p w14:paraId="37BAC6E1" w14:textId="77777777" w:rsidR="00F67E9E" w:rsidRPr="00863151" w:rsidRDefault="00F67E9E" w:rsidP="007F74AA">
            <w:pPr>
              <w:rPr>
                <w:szCs w:val="24"/>
              </w:rPr>
            </w:pPr>
            <w:r w:rsidRPr="00863151">
              <w:rPr>
                <w:szCs w:val="24"/>
              </w:rPr>
              <w:t>Signature:</w:t>
            </w:r>
          </w:p>
          <w:p w14:paraId="136C6A73" w14:textId="77777777" w:rsidR="00F67E9E" w:rsidRPr="00863151" w:rsidRDefault="00F67E9E" w:rsidP="007F74AA">
            <w:pPr>
              <w:rPr>
                <w:szCs w:val="24"/>
              </w:rPr>
            </w:pPr>
          </w:p>
          <w:p w14:paraId="413C86E8" w14:textId="77777777" w:rsidR="00F67E9E" w:rsidRPr="00863151" w:rsidRDefault="00F67E9E" w:rsidP="007F74AA">
            <w:pPr>
              <w:rPr>
                <w:szCs w:val="24"/>
              </w:rPr>
            </w:pPr>
            <w:r w:rsidRPr="00830C78">
              <w:rPr>
                <w:szCs w:val="24"/>
              </w:rPr>
              <w:t>Position in Counterparty:</w:t>
            </w:r>
          </w:p>
        </w:tc>
      </w:tr>
    </w:tbl>
    <w:p w14:paraId="6FE3004F" w14:textId="77777777" w:rsidR="00F67E9E" w:rsidRDefault="00F67E9E" w:rsidP="00F67E9E">
      <w:pPr>
        <w:rPr>
          <w:rFonts w:eastAsia="Times New Roman" w:cs="Arial"/>
          <w:szCs w:val="24"/>
          <w:lang w:eastAsia="en-GB"/>
        </w:rPr>
      </w:pPr>
    </w:p>
    <w:p w14:paraId="728FC477" w14:textId="77777777" w:rsidR="00F67E9E" w:rsidRDefault="00F67E9E" w:rsidP="00F67E9E">
      <w:pPr>
        <w:rPr>
          <w:rFonts w:eastAsia="Times New Roman" w:cs="Arial"/>
          <w:szCs w:val="24"/>
          <w:lang w:eastAsia="en-GB"/>
        </w:rPr>
      </w:pPr>
    </w:p>
    <w:p w14:paraId="10710D7B" w14:textId="77777777" w:rsidR="00F67E9E" w:rsidRPr="00DF3219" w:rsidRDefault="00F67E9E" w:rsidP="00F67E9E">
      <w:pPr>
        <w:rPr>
          <w:rFonts w:eastAsia="Times New Roman" w:cs="Arial"/>
          <w:szCs w:val="24"/>
          <w:lang w:eastAsia="en-GB"/>
        </w:rPr>
      </w:pPr>
    </w:p>
    <w:p w14:paraId="5C1EF216" w14:textId="77777777" w:rsidR="00F67E9E" w:rsidRDefault="00F67E9E" w:rsidP="00F67E9E">
      <w:pPr>
        <w:rPr>
          <w:rFonts w:cs="Arial"/>
          <w:szCs w:val="24"/>
        </w:rPr>
        <w:sectPr w:rsidR="00F67E9E" w:rsidSect="003565BD">
          <w:headerReference w:type="default" r:id="rId124"/>
          <w:footerReference w:type="default" r:id="rId125"/>
          <w:headerReference w:type="first" r:id="rId126"/>
          <w:footerReference w:type="first" r:id="rId127"/>
          <w:pgSz w:w="11900" w:h="16840"/>
          <w:pgMar w:top="1701" w:right="851" w:bottom="1134" w:left="851" w:header="567" w:footer="567" w:gutter="0"/>
          <w:cols w:space="720"/>
          <w:docGrid w:linePitch="360"/>
        </w:sectPr>
      </w:pPr>
    </w:p>
    <w:p w14:paraId="2A3A1DFF" w14:textId="77777777" w:rsidR="00F67E9E" w:rsidRPr="00EE4F10" w:rsidRDefault="00F67E9E" w:rsidP="00F67E9E">
      <w:pPr>
        <w:pStyle w:val="Dividername"/>
      </w:pPr>
      <w:r w:rsidRPr="00EE4F10">
        <w:t>Schedule 26</w:t>
      </w:r>
    </w:p>
    <w:p w14:paraId="129D779C" w14:textId="77777777" w:rsidR="00F67E9E" w:rsidRPr="00EE4F10" w:rsidRDefault="00F67E9E" w:rsidP="00F67E9E">
      <w:pPr>
        <w:pStyle w:val="Dividername"/>
      </w:pPr>
      <w:r w:rsidRPr="00EE4F10">
        <w:t xml:space="preserve">Service Continuity Plan </w:t>
      </w:r>
      <w:r>
        <w:t>a</w:t>
      </w:r>
      <w:r w:rsidRPr="00EE4F10">
        <w:t>nd Corporate Resolution Planning</w:t>
      </w:r>
    </w:p>
    <w:p w14:paraId="3E026973" w14:textId="77777777" w:rsidR="00F67E9E" w:rsidRPr="00B224EC" w:rsidRDefault="00F67E9E" w:rsidP="00F67E9E">
      <w:pPr>
        <w:rPr>
          <w:rFonts w:cs="Arial"/>
          <w:szCs w:val="24"/>
        </w:rPr>
      </w:pPr>
    </w:p>
    <w:p w14:paraId="7D942914" w14:textId="77777777" w:rsidR="00F67E9E" w:rsidRDefault="00F67E9E" w:rsidP="00F67E9E">
      <w:pPr>
        <w:rPr>
          <w:rFonts w:cs="Arial"/>
          <w:szCs w:val="24"/>
        </w:rPr>
      </w:pPr>
      <w:r>
        <w:rPr>
          <w:rFonts w:cs="Arial"/>
          <w:szCs w:val="24"/>
        </w:rPr>
        <w:br w:type="page"/>
      </w:r>
    </w:p>
    <w:p w14:paraId="37F8EF55" w14:textId="77777777" w:rsidR="00F67E9E" w:rsidRPr="005D0525" w:rsidRDefault="00F67E9E" w:rsidP="00F67E9E">
      <w:pPr>
        <w:pStyle w:val="Heading1"/>
      </w:pPr>
      <w:bookmarkStart w:id="2152" w:name="Schedule26"/>
      <w:bookmarkStart w:id="2153" w:name="_Ref92200057"/>
      <w:bookmarkStart w:id="2154" w:name="_Toc141711977"/>
      <w:r w:rsidRPr="005D0525">
        <w:t>Schedule</w:t>
      </w:r>
      <w:r>
        <w:t> </w:t>
      </w:r>
      <w:r w:rsidRPr="005D0525">
        <w:t>26</w:t>
      </w:r>
      <w:bookmarkEnd w:id="2152"/>
      <w:r>
        <w:t xml:space="preserve">: </w:t>
      </w:r>
      <w:bookmarkStart w:id="2155" w:name="Schedule26Heading"/>
      <w:r w:rsidRPr="00DD4CC2">
        <w:t>Service Continuity Plan and Corporate Resolution Planning</w:t>
      </w:r>
      <w:bookmarkEnd w:id="2153"/>
      <w:bookmarkEnd w:id="2154"/>
      <w:bookmarkEnd w:id="2155"/>
    </w:p>
    <w:p w14:paraId="64026E83" w14:textId="77777777" w:rsidR="00F67E9E" w:rsidRPr="0090330E" w:rsidRDefault="00F67E9E" w:rsidP="00F67E9E">
      <w:pPr>
        <w:pStyle w:val="Heading2"/>
      </w:pPr>
      <w:bookmarkStart w:id="2156" w:name="Sch26PartA"/>
      <w:bookmarkStart w:id="2157" w:name="_Ref92448404"/>
      <w:bookmarkStart w:id="2158" w:name="_Toc141711978"/>
      <w:r w:rsidRPr="0090330E">
        <w:t>Part A</w:t>
      </w:r>
      <w:bookmarkEnd w:id="2156"/>
      <w:r w:rsidRPr="0090330E">
        <w:t>: Service Continuity Plan</w:t>
      </w:r>
      <w:bookmarkEnd w:id="2157"/>
      <w:bookmarkEnd w:id="2158"/>
    </w:p>
    <w:p w14:paraId="4C56813D" w14:textId="77777777" w:rsidR="00F67E9E" w:rsidRPr="00B224EC" w:rsidRDefault="00F67E9E" w:rsidP="00F67E9E">
      <w:pPr>
        <w:pStyle w:val="Numbered1"/>
        <w:numPr>
          <w:ilvl w:val="0"/>
          <w:numId w:val="183"/>
        </w:numPr>
      </w:pPr>
      <w:r w:rsidRPr="00631338">
        <w:t>Definitions</w:t>
      </w:r>
    </w:p>
    <w:p w14:paraId="2DA8DF59" w14:textId="77777777" w:rsidR="00F67E9E" w:rsidRPr="00B224EC" w:rsidRDefault="00F67E9E" w:rsidP="00F67E9E">
      <w:pPr>
        <w:pStyle w:val="Numbered11"/>
      </w:pPr>
      <w:r w:rsidRPr="00B224EC">
        <w:t xml:space="preserve">In this Schedule, the following </w:t>
      </w:r>
      <w:r w:rsidRPr="00631338">
        <w:t>definitions</w:t>
      </w:r>
      <w:r w:rsidRPr="00B224EC">
        <w:t xml:space="preserve"> shall apply:</w:t>
      </w:r>
    </w:p>
    <w:tbl>
      <w:tblPr>
        <w:tblStyle w:val="MSAdefinitions"/>
        <w:tblW w:w="9638" w:type="dxa"/>
        <w:tblLook w:val="04A0" w:firstRow="1" w:lastRow="0" w:firstColumn="1" w:lastColumn="0" w:noHBand="0" w:noVBand="1"/>
      </w:tblPr>
      <w:tblGrid>
        <w:gridCol w:w="2835"/>
        <w:gridCol w:w="6803"/>
      </w:tblGrid>
      <w:tr w:rsidR="00F67E9E" w:rsidRPr="00B224EC" w14:paraId="65DBAE5C" w14:textId="77777777" w:rsidTr="007F74AA">
        <w:tc>
          <w:tcPr>
            <w:tcW w:w="2835" w:type="dxa"/>
          </w:tcPr>
          <w:p w14:paraId="428D192C" w14:textId="77777777" w:rsidR="00F67E9E" w:rsidRPr="00B224EC" w:rsidRDefault="00F67E9E" w:rsidP="007F74AA">
            <w:pPr>
              <w:pStyle w:val="StdBodyTextBold"/>
              <w:rPr>
                <w:rFonts w:cs="Arial"/>
              </w:rPr>
            </w:pPr>
            <w:r>
              <w:rPr>
                <w:rFonts w:cs="Arial"/>
              </w:rPr>
              <w:t>“</w:t>
            </w:r>
            <w:r w:rsidRPr="00B224EC">
              <w:rPr>
                <w:rFonts w:cs="Arial"/>
              </w:rPr>
              <w:t>Business Continuity Plan</w:t>
            </w:r>
            <w:r>
              <w:rPr>
                <w:rFonts w:cs="Arial"/>
              </w:rPr>
              <w:t>”</w:t>
            </w:r>
          </w:p>
        </w:tc>
        <w:tc>
          <w:tcPr>
            <w:tcW w:w="6803" w:type="dxa"/>
          </w:tcPr>
          <w:p w14:paraId="3A0B7D88" w14:textId="283E445B" w:rsidR="00F67E9E" w:rsidRPr="00B224EC" w:rsidRDefault="00F67E9E" w:rsidP="007F74AA">
            <w:pPr>
              <w:pStyle w:val="StdBodyText"/>
              <w:rPr>
                <w:rFonts w:cs="Arial"/>
              </w:rPr>
            </w:pPr>
            <w:r w:rsidRPr="00B224EC">
              <w:rPr>
                <w:rFonts w:cs="Arial"/>
              </w:rPr>
              <w:t xml:space="preserve">has the meaning given in </w:t>
            </w:r>
            <w:bookmarkStart w:id="2159" w:name="_9kMHG5YVtCJCFHCDEnhqYLuEZXAxttABuzBIC74"/>
            <w:bookmarkStart w:id="2160" w:name="_9kMHG5YVtCIBFHDEEnhqYLuEZXAxttABuzBIC74"/>
            <w:r w:rsidRPr="00B224EC">
              <w:rPr>
                <w:rFonts w:cs="Arial"/>
              </w:rPr>
              <w:t xml:space="preserve">Paragraph </w:t>
            </w:r>
            <w:r w:rsidRPr="00B224EC">
              <w:rPr>
                <w:rFonts w:cs="Arial"/>
              </w:rPr>
              <w:fldChar w:fldCharType="begin"/>
            </w:r>
            <w:r w:rsidRPr="00B224EC">
              <w:rPr>
                <w:rFonts w:cs="Arial"/>
              </w:rPr>
              <w:instrText xml:space="preserve"> REF _Ref_ContractCompanion_9kb9Us9B4 \w \h \t \* MERGEFORMAT </w:instrText>
            </w:r>
            <w:r w:rsidRPr="00B224EC">
              <w:rPr>
                <w:rFonts w:cs="Arial"/>
              </w:rPr>
            </w:r>
            <w:r w:rsidRPr="00B224EC">
              <w:rPr>
                <w:rFonts w:cs="Arial"/>
              </w:rPr>
              <w:fldChar w:fldCharType="separate"/>
            </w:r>
            <w:r w:rsidR="00302D39">
              <w:rPr>
                <w:rFonts w:cs="Arial"/>
              </w:rPr>
              <w:t>2.2.1(b)</w:t>
            </w:r>
            <w:r w:rsidRPr="00B224EC">
              <w:rPr>
                <w:rFonts w:cs="Arial"/>
              </w:rPr>
              <w:fldChar w:fldCharType="end"/>
            </w:r>
            <w:bookmarkEnd w:id="2159"/>
            <w:bookmarkEnd w:id="2160"/>
            <w:r w:rsidRPr="00B224EC">
              <w:rPr>
                <w:rFonts w:cs="Arial"/>
              </w:rPr>
              <w:t>;</w:t>
            </w:r>
          </w:p>
        </w:tc>
      </w:tr>
      <w:tr w:rsidR="00F67E9E" w:rsidRPr="0018147A" w14:paraId="7CF3F433" w14:textId="77777777" w:rsidTr="007F74AA">
        <w:tc>
          <w:tcPr>
            <w:tcW w:w="2835" w:type="dxa"/>
          </w:tcPr>
          <w:p w14:paraId="37BCE51A" w14:textId="77777777" w:rsidR="00F67E9E" w:rsidRPr="00B224EC" w:rsidRDefault="00F67E9E" w:rsidP="007F74AA">
            <w:pPr>
              <w:pStyle w:val="StdBodyTextBold"/>
              <w:rPr>
                <w:rFonts w:cs="Arial"/>
              </w:rPr>
            </w:pPr>
            <w:r>
              <w:rPr>
                <w:rFonts w:cs="Arial"/>
              </w:rPr>
              <w:t>“</w:t>
            </w:r>
            <w:r w:rsidRPr="00B224EC">
              <w:rPr>
                <w:rFonts w:cs="Arial"/>
              </w:rPr>
              <w:t>Business Continuity Services</w:t>
            </w:r>
            <w:r>
              <w:rPr>
                <w:rFonts w:cs="Arial"/>
              </w:rPr>
              <w:t>”</w:t>
            </w:r>
          </w:p>
        </w:tc>
        <w:tc>
          <w:tcPr>
            <w:tcW w:w="6803" w:type="dxa"/>
          </w:tcPr>
          <w:p w14:paraId="64ADDC94" w14:textId="2D598FBB" w:rsidR="00F67E9E" w:rsidRPr="0018147A" w:rsidRDefault="00F67E9E" w:rsidP="007F74AA">
            <w:pPr>
              <w:pStyle w:val="StdBodyText"/>
              <w:rPr>
                <w:rFonts w:cs="Arial"/>
              </w:rPr>
            </w:pPr>
            <w:r w:rsidRPr="00B224EC">
              <w:rPr>
                <w:rFonts w:cs="Arial"/>
              </w:rPr>
              <w:t xml:space="preserve">has the meaning given in </w:t>
            </w:r>
            <w:bookmarkStart w:id="2161" w:name="_9kMHG5YVtCIBFHGJGoswy9BHH6s455NFxuBRO7y"/>
            <w:bookmarkStart w:id="2162" w:name="_9kMHG5YVtCJCFHHKGoswy9BHH6s455NFxuBRO7y"/>
            <w:r w:rsidRPr="00B224EC">
              <w:rPr>
                <w:rFonts w:cs="Arial"/>
              </w:rPr>
              <w:t xml:space="preserve">Paragraph </w:t>
            </w:r>
            <w:r w:rsidRPr="00B224EC">
              <w:rPr>
                <w:rFonts w:cs="Arial"/>
              </w:rPr>
              <w:fldChar w:fldCharType="begin"/>
            </w:r>
            <w:r w:rsidRPr="00B224EC">
              <w:rPr>
                <w:rFonts w:cs="Arial"/>
              </w:rPr>
              <w:instrText xml:space="preserve"> REF _Ref_ContractCompanion_9kb9Us9B8 \w \h \t \* MERGEFORMAT </w:instrText>
            </w:r>
            <w:r w:rsidRPr="00B224EC">
              <w:rPr>
                <w:rFonts w:cs="Arial"/>
              </w:rPr>
            </w:r>
            <w:r w:rsidRPr="00B224EC">
              <w:rPr>
                <w:rFonts w:cs="Arial"/>
              </w:rPr>
              <w:fldChar w:fldCharType="separate"/>
            </w:r>
            <w:r w:rsidR="00302D39">
              <w:rPr>
                <w:rFonts w:cs="Arial"/>
              </w:rPr>
              <w:t>4.2.2</w:t>
            </w:r>
            <w:r w:rsidRPr="00B224EC">
              <w:rPr>
                <w:rFonts w:cs="Arial"/>
              </w:rPr>
              <w:fldChar w:fldCharType="end"/>
            </w:r>
            <w:bookmarkEnd w:id="2161"/>
            <w:bookmarkEnd w:id="2162"/>
            <w:r w:rsidRPr="00B224EC">
              <w:rPr>
                <w:rFonts w:cs="Arial"/>
              </w:rPr>
              <w:t>;</w:t>
            </w:r>
          </w:p>
        </w:tc>
      </w:tr>
      <w:tr w:rsidR="00F67E9E" w:rsidRPr="0018147A" w14:paraId="6A3F0728" w14:textId="77777777" w:rsidTr="007F74AA">
        <w:tc>
          <w:tcPr>
            <w:tcW w:w="2835" w:type="dxa"/>
          </w:tcPr>
          <w:p w14:paraId="35EC51F2" w14:textId="77777777" w:rsidR="00F67E9E" w:rsidRPr="0018147A" w:rsidRDefault="00F67E9E" w:rsidP="007F74AA">
            <w:pPr>
              <w:pStyle w:val="StdBodyTextBold"/>
              <w:rPr>
                <w:rFonts w:cs="Arial"/>
              </w:rPr>
            </w:pPr>
            <w:r>
              <w:rPr>
                <w:rFonts w:cs="Arial"/>
              </w:rPr>
              <w:t>“</w:t>
            </w:r>
            <w:r w:rsidRPr="0018147A">
              <w:rPr>
                <w:rFonts w:cs="Arial"/>
              </w:rPr>
              <w:t>Department</w:t>
            </w:r>
            <w:r>
              <w:rPr>
                <w:rFonts w:cs="Arial"/>
              </w:rPr>
              <w:t>”</w:t>
            </w:r>
          </w:p>
        </w:tc>
        <w:tc>
          <w:tcPr>
            <w:tcW w:w="6803" w:type="dxa"/>
          </w:tcPr>
          <w:p w14:paraId="46108FD9" w14:textId="77777777" w:rsidR="00F67E9E" w:rsidRPr="0018147A" w:rsidRDefault="00F67E9E" w:rsidP="007F74AA">
            <w:pPr>
              <w:pStyle w:val="StdBodyText"/>
              <w:rPr>
                <w:rFonts w:cs="Arial"/>
              </w:rPr>
            </w:pPr>
            <w:r w:rsidRPr="0018147A">
              <w:rPr>
                <w:rFonts w:cs="Arial"/>
              </w:rPr>
              <w:t>a body listed in one of the following sub-categories of the Central Government classification of the Public Sector Classification Guide, as published and amended from time to time by the Office for National Statistics:</w:t>
            </w:r>
          </w:p>
          <w:p w14:paraId="046B56FF" w14:textId="77777777" w:rsidR="00F67E9E" w:rsidRPr="00631338" w:rsidRDefault="00F67E9E" w:rsidP="007F74AA">
            <w:pPr>
              <w:pStyle w:val="DefinitionList"/>
              <w:numPr>
                <w:ilvl w:val="0"/>
                <w:numId w:val="214"/>
              </w:numPr>
            </w:pPr>
            <w:r w:rsidRPr="00631338">
              <w:t>Government Department; or</w:t>
            </w:r>
          </w:p>
          <w:p w14:paraId="24F51BFA" w14:textId="77777777" w:rsidR="00F67E9E" w:rsidRPr="0018147A" w:rsidRDefault="00F67E9E" w:rsidP="00F67E9E">
            <w:pPr>
              <w:pStyle w:val="DefinitionList"/>
              <w:numPr>
                <w:ilvl w:val="0"/>
                <w:numId w:val="108"/>
              </w:numPr>
            </w:pPr>
            <w:r w:rsidRPr="00631338">
              <w:t>Non-Ministeria</w:t>
            </w:r>
            <w:r w:rsidRPr="0018147A">
              <w:t>l Department.</w:t>
            </w:r>
          </w:p>
        </w:tc>
      </w:tr>
      <w:tr w:rsidR="00F67E9E" w:rsidRPr="0018147A" w14:paraId="07F56F9A" w14:textId="77777777" w:rsidTr="007F74AA">
        <w:tc>
          <w:tcPr>
            <w:tcW w:w="2835" w:type="dxa"/>
          </w:tcPr>
          <w:p w14:paraId="0F02725C" w14:textId="77777777" w:rsidR="00F67E9E" w:rsidRPr="0018147A" w:rsidRDefault="00F67E9E" w:rsidP="007F74AA">
            <w:pPr>
              <w:pStyle w:val="StdBodyTextBold"/>
              <w:rPr>
                <w:rFonts w:cs="Arial"/>
              </w:rPr>
            </w:pPr>
            <w:r>
              <w:rPr>
                <w:rFonts w:cs="Arial"/>
              </w:rPr>
              <w:t>“</w:t>
            </w:r>
            <w:r w:rsidRPr="0018147A">
              <w:rPr>
                <w:rFonts w:cs="Arial"/>
              </w:rPr>
              <w:t>Disaster</w:t>
            </w:r>
            <w:r>
              <w:rPr>
                <w:rFonts w:cs="Arial"/>
              </w:rPr>
              <w:t>”</w:t>
            </w:r>
          </w:p>
        </w:tc>
        <w:tc>
          <w:tcPr>
            <w:tcW w:w="6803" w:type="dxa"/>
          </w:tcPr>
          <w:p w14:paraId="6BE9EB51" w14:textId="77777777" w:rsidR="00F67E9E" w:rsidRPr="0018147A" w:rsidRDefault="00F67E9E" w:rsidP="007F74AA">
            <w:pPr>
              <w:pStyle w:val="StdBodyText"/>
              <w:rPr>
                <w:rFonts w:cs="Arial"/>
              </w:rPr>
            </w:pPr>
            <w:r w:rsidRPr="0018147A">
              <w:rPr>
                <w:rFonts w:cs="Arial"/>
              </w:rPr>
              <w:t xml:space="preserve">the occurrence of one or more events which, either separately or cumulatively, mean that the Services, or a material part of the Services will be unavailable for a period of </w:t>
            </w:r>
            <w:r w:rsidRPr="00B73DD6">
              <w:rPr>
                <w:rStyle w:val="StdBodyTextBoldChar"/>
                <w:rFonts w:cs="Arial"/>
                <w:bCs/>
                <w:highlight w:val="yellow"/>
              </w:rPr>
              <w:t>[insert</w:t>
            </w:r>
            <w:r w:rsidRPr="00680F14">
              <w:rPr>
                <w:rStyle w:val="StdBodyTextBoldChar"/>
                <w:rFonts w:cs="Arial"/>
                <w:b w:val="0"/>
                <w:bCs/>
                <w:iCs/>
                <w:highlight w:val="yellow"/>
              </w:rPr>
              <w:t xml:space="preserve"> details</w:t>
            </w:r>
            <w:r w:rsidRPr="00680F14">
              <w:rPr>
                <w:rStyle w:val="StdBodyTextBoldChar"/>
                <w:rFonts w:cs="Arial"/>
                <w:b w:val="0"/>
                <w:bCs/>
                <w:highlight w:val="yellow"/>
              </w:rPr>
              <w:t>]</w:t>
            </w:r>
            <w:r w:rsidRPr="0018147A">
              <w:rPr>
                <w:rFonts w:cs="Arial"/>
              </w:rPr>
              <w:t xml:space="preserve"> or which is reasonably anticipated will mean that the Services or a material part of the Services will be unavailable for that period;</w:t>
            </w:r>
          </w:p>
        </w:tc>
      </w:tr>
      <w:tr w:rsidR="00F67E9E" w:rsidRPr="0018147A" w14:paraId="2B486722" w14:textId="77777777" w:rsidTr="007F74AA">
        <w:tc>
          <w:tcPr>
            <w:tcW w:w="2835" w:type="dxa"/>
          </w:tcPr>
          <w:p w14:paraId="6DC70D15" w14:textId="77777777" w:rsidR="00F67E9E" w:rsidRPr="00025910" w:rsidRDefault="00F67E9E" w:rsidP="007F74AA">
            <w:pPr>
              <w:pStyle w:val="StdBodyTextBold"/>
              <w:rPr>
                <w:rFonts w:cs="Arial"/>
              </w:rPr>
            </w:pPr>
            <w:r>
              <w:rPr>
                <w:rFonts w:cs="Arial"/>
              </w:rPr>
              <w:t>“</w:t>
            </w:r>
            <w:r w:rsidRPr="00025910">
              <w:rPr>
                <w:rFonts w:cs="Arial"/>
              </w:rPr>
              <w:t>Disaster Recovery Plan</w:t>
            </w:r>
            <w:r>
              <w:rPr>
                <w:rFonts w:cs="Arial"/>
              </w:rPr>
              <w:t>”</w:t>
            </w:r>
          </w:p>
        </w:tc>
        <w:tc>
          <w:tcPr>
            <w:tcW w:w="6803" w:type="dxa"/>
          </w:tcPr>
          <w:p w14:paraId="084DC9EE" w14:textId="6ECF0B8B" w:rsidR="00F67E9E" w:rsidRPr="007A5E8D" w:rsidRDefault="00F67E9E" w:rsidP="007F74AA">
            <w:pPr>
              <w:pStyle w:val="StdBodyText"/>
              <w:rPr>
                <w:rFonts w:cs="Arial"/>
              </w:rPr>
            </w:pPr>
            <w:r w:rsidRPr="007A5E8D">
              <w:rPr>
                <w:rFonts w:cs="Arial"/>
              </w:rPr>
              <w:t xml:space="preserve">has the meaning given in </w:t>
            </w:r>
            <w:bookmarkStart w:id="2163" w:name="_9kMHG5YVtCIBFIBBEnhqrZMvFbZByuuBCv0CJD8"/>
            <w:bookmarkStart w:id="2164" w:name="_9kMHG5YVtCJCFICCEnhqrZMvFbZByuuBCv0CJD8"/>
            <w:r w:rsidRPr="007A5E8D">
              <w:rPr>
                <w:rFonts w:cs="Arial"/>
              </w:rPr>
              <w:t xml:space="preserve">Paragraph </w:t>
            </w:r>
            <w:r w:rsidRPr="007A5E8D">
              <w:rPr>
                <w:rFonts w:cs="Arial"/>
              </w:rPr>
              <w:fldChar w:fldCharType="begin"/>
            </w:r>
            <w:r w:rsidRPr="007A5E8D">
              <w:rPr>
                <w:rFonts w:cs="Arial"/>
              </w:rPr>
              <w:instrText xml:space="preserve"> REF _Ref_ContractCompanion_9kb9Us9BC \w \h \t \* MERGEFORMAT </w:instrText>
            </w:r>
            <w:r w:rsidRPr="007A5E8D">
              <w:rPr>
                <w:rFonts w:cs="Arial"/>
              </w:rPr>
            </w:r>
            <w:r w:rsidRPr="007A5E8D">
              <w:rPr>
                <w:rFonts w:cs="Arial"/>
              </w:rPr>
              <w:fldChar w:fldCharType="separate"/>
            </w:r>
            <w:r w:rsidR="00302D39">
              <w:rPr>
                <w:rFonts w:cs="Arial"/>
              </w:rPr>
              <w:t>2.2.1(c)</w:t>
            </w:r>
            <w:r w:rsidRPr="007A5E8D">
              <w:rPr>
                <w:rFonts w:cs="Arial"/>
              </w:rPr>
              <w:fldChar w:fldCharType="end"/>
            </w:r>
            <w:bookmarkEnd w:id="2163"/>
            <w:bookmarkEnd w:id="2164"/>
            <w:r w:rsidRPr="007A5E8D">
              <w:rPr>
                <w:rFonts w:cs="Arial"/>
              </w:rPr>
              <w:t>;</w:t>
            </w:r>
          </w:p>
        </w:tc>
      </w:tr>
      <w:tr w:rsidR="00F67E9E" w:rsidRPr="0018147A" w14:paraId="406435A5" w14:textId="77777777" w:rsidTr="007F74AA">
        <w:tc>
          <w:tcPr>
            <w:tcW w:w="2835" w:type="dxa"/>
          </w:tcPr>
          <w:p w14:paraId="13A95B9F" w14:textId="77777777" w:rsidR="00F67E9E" w:rsidRPr="00025910" w:rsidRDefault="00F67E9E" w:rsidP="007F74AA">
            <w:pPr>
              <w:pStyle w:val="StdBodyTextBold"/>
              <w:rPr>
                <w:rFonts w:cs="Arial"/>
              </w:rPr>
            </w:pPr>
            <w:r>
              <w:rPr>
                <w:rFonts w:cs="Arial"/>
              </w:rPr>
              <w:t>“</w:t>
            </w:r>
            <w:r w:rsidRPr="00025910">
              <w:rPr>
                <w:rFonts w:cs="Arial"/>
              </w:rPr>
              <w:t>Disaster Recovery Services</w:t>
            </w:r>
            <w:r>
              <w:rPr>
                <w:rFonts w:cs="Arial"/>
              </w:rPr>
              <w:t>”</w:t>
            </w:r>
          </w:p>
        </w:tc>
        <w:tc>
          <w:tcPr>
            <w:tcW w:w="6803" w:type="dxa"/>
          </w:tcPr>
          <w:p w14:paraId="632C9530" w14:textId="77777777" w:rsidR="00F67E9E" w:rsidRPr="007A5E8D" w:rsidRDefault="00F67E9E" w:rsidP="007F74AA">
            <w:pPr>
              <w:pStyle w:val="StdBodyText"/>
              <w:rPr>
                <w:rFonts w:cs="Arial"/>
              </w:rPr>
            </w:pPr>
            <w:r w:rsidRPr="007A5E8D">
              <w:rPr>
                <w:rFonts w:cs="Arial"/>
              </w:rPr>
              <w:t>the services embodied in the processes and procedures for restoring the Services following the occurrence of a Disaster;</w:t>
            </w:r>
          </w:p>
        </w:tc>
      </w:tr>
      <w:tr w:rsidR="00F67E9E" w:rsidRPr="0018147A" w14:paraId="4981BA55" w14:textId="77777777" w:rsidTr="007F74AA">
        <w:tc>
          <w:tcPr>
            <w:tcW w:w="2835" w:type="dxa"/>
          </w:tcPr>
          <w:p w14:paraId="5F6AC14C" w14:textId="77777777" w:rsidR="00F67E9E" w:rsidRPr="00025910" w:rsidRDefault="00F67E9E" w:rsidP="007F74AA">
            <w:pPr>
              <w:pStyle w:val="StdBodyTextBold"/>
              <w:rPr>
                <w:rFonts w:cs="Arial"/>
              </w:rPr>
            </w:pPr>
            <w:r>
              <w:rPr>
                <w:rFonts w:cs="Arial"/>
              </w:rPr>
              <w:t>“</w:t>
            </w:r>
            <w:r w:rsidRPr="00025910">
              <w:rPr>
                <w:rFonts w:cs="Arial"/>
              </w:rPr>
              <w:t>Disaster Recovery System</w:t>
            </w:r>
            <w:r>
              <w:rPr>
                <w:rFonts w:cs="Arial"/>
              </w:rPr>
              <w:t>”</w:t>
            </w:r>
          </w:p>
        </w:tc>
        <w:tc>
          <w:tcPr>
            <w:tcW w:w="6803" w:type="dxa"/>
          </w:tcPr>
          <w:p w14:paraId="1D866FF5" w14:textId="77777777" w:rsidR="00F67E9E" w:rsidRPr="007A5E8D" w:rsidRDefault="00F67E9E" w:rsidP="007F74AA">
            <w:pPr>
              <w:pStyle w:val="StdBodyText"/>
              <w:rPr>
                <w:rFonts w:cs="Arial"/>
              </w:rPr>
            </w:pPr>
            <w:r w:rsidRPr="007A5E8D">
              <w:rPr>
                <w:rFonts w:cs="Arial"/>
              </w:rPr>
              <w:t>the system identified by the Supplier in the Supplier Solution which shall be used for the purpose of delivering the Disaster Recovery Services;</w:t>
            </w:r>
          </w:p>
        </w:tc>
      </w:tr>
      <w:tr w:rsidR="00F67E9E" w:rsidRPr="0018147A" w14:paraId="0799DE7D" w14:textId="77777777" w:rsidTr="007F74AA">
        <w:tc>
          <w:tcPr>
            <w:tcW w:w="2835" w:type="dxa"/>
          </w:tcPr>
          <w:p w14:paraId="10D62ECA" w14:textId="77777777" w:rsidR="00F67E9E" w:rsidRPr="00025910" w:rsidRDefault="00F67E9E" w:rsidP="007F74AA">
            <w:pPr>
              <w:pStyle w:val="StdBodyTextBold"/>
              <w:rPr>
                <w:rFonts w:cs="Arial"/>
              </w:rPr>
            </w:pPr>
            <w:r>
              <w:rPr>
                <w:rFonts w:cs="Arial"/>
              </w:rPr>
              <w:t>“</w:t>
            </w:r>
            <w:r w:rsidRPr="00025910">
              <w:rPr>
                <w:rFonts w:cs="Arial"/>
              </w:rPr>
              <w:t>Insolvency Continuity Plan</w:t>
            </w:r>
            <w:r>
              <w:rPr>
                <w:rFonts w:cs="Arial"/>
              </w:rPr>
              <w:t>”</w:t>
            </w:r>
          </w:p>
        </w:tc>
        <w:tc>
          <w:tcPr>
            <w:tcW w:w="6803" w:type="dxa"/>
          </w:tcPr>
          <w:p w14:paraId="03CDC20B" w14:textId="39621879" w:rsidR="00F67E9E" w:rsidRPr="007A5E8D" w:rsidRDefault="00F67E9E" w:rsidP="007F74AA">
            <w:pPr>
              <w:pStyle w:val="StdBodyText"/>
              <w:rPr>
                <w:rFonts w:cs="Arial"/>
              </w:rPr>
            </w:pPr>
            <w:r w:rsidRPr="007A5E8D">
              <w:rPr>
                <w:rFonts w:cs="Arial"/>
              </w:rPr>
              <w:t xml:space="preserve">has the meaning given in </w:t>
            </w:r>
            <w:bookmarkStart w:id="2165" w:name="_9kMHG5YVtCIBFIFFEnh3lLuEbZAxttABuzBIC74"/>
            <w:bookmarkStart w:id="2166" w:name="_9kMHG5YVtCJCFIGGEnh3lLuEbZAxttABuzBIC74"/>
            <w:r w:rsidRPr="007A5E8D">
              <w:rPr>
                <w:rFonts w:cs="Arial"/>
              </w:rPr>
              <w:t xml:space="preserve">Paragraph </w:t>
            </w:r>
            <w:r w:rsidRPr="007A5E8D">
              <w:rPr>
                <w:rFonts w:cs="Arial"/>
              </w:rPr>
              <w:fldChar w:fldCharType="begin"/>
            </w:r>
            <w:r w:rsidRPr="007A5E8D">
              <w:rPr>
                <w:rFonts w:cs="Arial"/>
              </w:rPr>
              <w:instrText xml:space="preserve"> REF _Ref_ContractCompanion_9kb9Us9C7 \w \h \t \* MERGEFORMAT </w:instrText>
            </w:r>
            <w:r w:rsidRPr="007A5E8D">
              <w:rPr>
                <w:rFonts w:cs="Arial"/>
              </w:rPr>
            </w:r>
            <w:r w:rsidRPr="007A5E8D">
              <w:rPr>
                <w:rFonts w:cs="Arial"/>
              </w:rPr>
              <w:fldChar w:fldCharType="separate"/>
            </w:r>
            <w:r w:rsidR="00302D39">
              <w:rPr>
                <w:rFonts w:cs="Arial"/>
              </w:rPr>
              <w:t>2.2.1(d)</w:t>
            </w:r>
            <w:r w:rsidRPr="007A5E8D">
              <w:rPr>
                <w:rFonts w:cs="Arial"/>
              </w:rPr>
              <w:fldChar w:fldCharType="end"/>
            </w:r>
            <w:bookmarkEnd w:id="2165"/>
            <w:bookmarkEnd w:id="2166"/>
            <w:r w:rsidRPr="007A5E8D">
              <w:rPr>
                <w:rFonts w:cs="Arial"/>
              </w:rPr>
              <w:t>.</w:t>
            </w:r>
          </w:p>
        </w:tc>
      </w:tr>
      <w:tr w:rsidR="00F67E9E" w:rsidRPr="0018147A" w14:paraId="06F1F2C6" w14:textId="77777777" w:rsidTr="007F74AA">
        <w:tc>
          <w:tcPr>
            <w:tcW w:w="2835" w:type="dxa"/>
          </w:tcPr>
          <w:p w14:paraId="34F9279E" w14:textId="77777777" w:rsidR="00F67E9E" w:rsidRPr="00025910" w:rsidRDefault="00F67E9E" w:rsidP="007F74AA">
            <w:pPr>
              <w:pStyle w:val="StdBodyTextBold"/>
              <w:rPr>
                <w:rFonts w:cs="Arial"/>
              </w:rPr>
            </w:pPr>
            <w:r>
              <w:rPr>
                <w:rFonts w:cs="Arial"/>
              </w:rPr>
              <w:t>“</w:t>
            </w:r>
            <w:r w:rsidRPr="00025910">
              <w:rPr>
                <w:rFonts w:cs="Arial"/>
              </w:rPr>
              <w:t>Related Service Provider</w:t>
            </w:r>
            <w:r>
              <w:rPr>
                <w:rFonts w:cs="Arial"/>
              </w:rPr>
              <w:t>”</w:t>
            </w:r>
          </w:p>
        </w:tc>
        <w:tc>
          <w:tcPr>
            <w:tcW w:w="6803" w:type="dxa"/>
          </w:tcPr>
          <w:p w14:paraId="5571B9CE" w14:textId="77777777" w:rsidR="00F67E9E" w:rsidRPr="0018147A" w:rsidRDefault="00F67E9E" w:rsidP="007F74AA">
            <w:pPr>
              <w:pStyle w:val="StdBodyText"/>
              <w:rPr>
                <w:rFonts w:cs="Arial"/>
              </w:rPr>
            </w:pPr>
            <w:r w:rsidRPr="0018147A">
              <w:rPr>
                <w:rFonts w:cs="Arial"/>
              </w:rPr>
              <w:t xml:space="preserve">any person who provides services to the Authority in </w:t>
            </w:r>
            <w:r w:rsidRPr="00025910">
              <w:rPr>
                <w:rFonts w:cs="Arial"/>
              </w:rPr>
              <w:t>relation to this Contract from</w:t>
            </w:r>
            <w:r w:rsidRPr="0018147A">
              <w:rPr>
                <w:rFonts w:cs="Arial"/>
              </w:rPr>
              <w:t xml:space="preserve"> time to time, which persons include as at the Effective Date </w:t>
            </w:r>
            <w:r w:rsidRPr="00B73DD6">
              <w:rPr>
                <w:rStyle w:val="StdBodyTextBoldChar"/>
                <w:rFonts w:cs="Arial"/>
                <w:bCs/>
                <w:highlight w:val="yellow"/>
              </w:rPr>
              <w:t>[insert</w:t>
            </w:r>
            <w:r w:rsidRPr="00B1698D">
              <w:rPr>
                <w:rStyle w:val="StdBodyTextBoldChar"/>
                <w:rFonts w:cs="Arial"/>
                <w:b w:val="0"/>
                <w:bCs/>
                <w:iCs/>
                <w:highlight w:val="yellow"/>
              </w:rPr>
              <w:t xml:space="preserve"> details</w:t>
            </w:r>
            <w:r w:rsidRPr="00B1698D">
              <w:rPr>
                <w:rStyle w:val="StdBodyTextBoldChar"/>
                <w:rFonts w:cs="Arial"/>
                <w:b w:val="0"/>
                <w:bCs/>
                <w:highlight w:val="yellow"/>
              </w:rPr>
              <w:t>]</w:t>
            </w:r>
            <w:r w:rsidRPr="0018147A">
              <w:rPr>
                <w:rFonts w:cs="Arial"/>
              </w:rPr>
              <w:t>;</w:t>
            </w:r>
          </w:p>
        </w:tc>
      </w:tr>
      <w:tr w:rsidR="00F67E9E" w:rsidRPr="0018147A" w14:paraId="5C7255C4" w14:textId="77777777" w:rsidTr="007F74AA">
        <w:tc>
          <w:tcPr>
            <w:tcW w:w="2835" w:type="dxa"/>
          </w:tcPr>
          <w:p w14:paraId="0AFB4EBB" w14:textId="77777777" w:rsidR="00F67E9E" w:rsidRPr="00025910" w:rsidRDefault="00F67E9E" w:rsidP="007F74AA">
            <w:pPr>
              <w:pStyle w:val="StdBodyTextBold"/>
              <w:rPr>
                <w:rFonts w:cs="Arial"/>
              </w:rPr>
            </w:pPr>
            <w:r>
              <w:rPr>
                <w:rFonts w:cs="Arial"/>
              </w:rPr>
              <w:t>“</w:t>
            </w:r>
            <w:r w:rsidRPr="00025910">
              <w:rPr>
                <w:rFonts w:cs="Arial"/>
              </w:rPr>
              <w:t>Review Report</w:t>
            </w:r>
            <w:r>
              <w:rPr>
                <w:rFonts w:cs="Arial"/>
              </w:rPr>
              <w:t>”</w:t>
            </w:r>
          </w:p>
        </w:tc>
        <w:tc>
          <w:tcPr>
            <w:tcW w:w="6803" w:type="dxa"/>
          </w:tcPr>
          <w:p w14:paraId="66080345" w14:textId="56391BA2" w:rsidR="00F67E9E" w:rsidRPr="00025910" w:rsidRDefault="00F67E9E" w:rsidP="007F74AA">
            <w:pPr>
              <w:pStyle w:val="StdBodyText"/>
              <w:rPr>
                <w:rFonts w:cs="Arial"/>
              </w:rPr>
            </w:pPr>
            <w:r w:rsidRPr="00025910">
              <w:rPr>
                <w:rFonts w:cs="Arial"/>
              </w:rPr>
              <w:t xml:space="preserve">has the meaning given in </w:t>
            </w:r>
            <w:bookmarkStart w:id="2167" w:name="_9kMHG5YVtCJCFIJOJns0mlqzvr217G4ADzABGL5"/>
            <w:bookmarkStart w:id="2168" w:name="_9kMHG5YVtCIBFIKPJns0mlqzvr217G4ADzABGL5"/>
            <w:r w:rsidRPr="00025910">
              <w:rPr>
                <w:rFonts w:cs="Arial"/>
              </w:rPr>
              <w:t xml:space="preserve">Paragraphs </w:t>
            </w:r>
            <w:r w:rsidRPr="00025910">
              <w:rPr>
                <w:rFonts w:cs="Arial"/>
              </w:rPr>
              <w:fldChar w:fldCharType="begin"/>
            </w:r>
            <w:r w:rsidRPr="00025910">
              <w:rPr>
                <w:rFonts w:cs="Arial"/>
              </w:rPr>
              <w:instrText xml:space="preserve"> REF _Ref_ContractCompanion_9kb9Us9CB \w \h \t \* MERGEFORMAT </w:instrText>
            </w:r>
            <w:r w:rsidRPr="00025910">
              <w:rPr>
                <w:rFonts w:cs="Arial"/>
              </w:rPr>
            </w:r>
            <w:r w:rsidRPr="00025910">
              <w:rPr>
                <w:rFonts w:cs="Arial"/>
              </w:rPr>
              <w:fldChar w:fldCharType="separate"/>
            </w:r>
            <w:r w:rsidR="00302D39">
              <w:rPr>
                <w:rFonts w:cs="Arial"/>
              </w:rPr>
              <w:t>7.2.1</w:t>
            </w:r>
            <w:r w:rsidRPr="00025910">
              <w:rPr>
                <w:rFonts w:cs="Arial"/>
              </w:rPr>
              <w:fldChar w:fldCharType="end"/>
            </w:r>
            <w:bookmarkEnd w:id="2167"/>
            <w:bookmarkEnd w:id="2168"/>
            <w:r w:rsidRPr="00025910">
              <w:rPr>
                <w:rFonts w:cs="Arial"/>
              </w:rPr>
              <w:t xml:space="preserve"> to </w:t>
            </w:r>
            <w:bookmarkStart w:id="2169" w:name="_9kMHG5YVtCIBFJEIJpu0mYjD960u4JIIIHIM93M"/>
            <w:r w:rsidRPr="00025910">
              <w:rPr>
                <w:rFonts w:cs="Arial"/>
              </w:rPr>
              <w:fldChar w:fldCharType="begin"/>
            </w:r>
            <w:r w:rsidRPr="00025910">
              <w:rPr>
                <w:rFonts w:cs="Arial"/>
              </w:rPr>
              <w:instrText xml:space="preserve"> REF _Ref_ContractCompanion_9kb9Us9D6 \w \h \t \* MERGEFORMAT </w:instrText>
            </w:r>
            <w:r w:rsidRPr="00025910">
              <w:rPr>
                <w:rFonts w:cs="Arial"/>
              </w:rPr>
            </w:r>
            <w:r w:rsidRPr="00025910">
              <w:rPr>
                <w:rFonts w:cs="Arial"/>
              </w:rPr>
              <w:fldChar w:fldCharType="separate"/>
            </w:r>
            <w:r w:rsidR="00302D39">
              <w:rPr>
                <w:rFonts w:cs="Arial"/>
              </w:rPr>
              <w:t>7.2.3</w:t>
            </w:r>
            <w:r w:rsidRPr="00025910">
              <w:rPr>
                <w:rFonts w:cs="Arial"/>
              </w:rPr>
              <w:fldChar w:fldCharType="end"/>
            </w:r>
            <w:bookmarkEnd w:id="2169"/>
            <w:r w:rsidRPr="00025910">
              <w:rPr>
                <w:rFonts w:cs="Arial"/>
              </w:rPr>
              <w:t>;</w:t>
            </w:r>
            <w:r>
              <w:rPr>
                <w:rFonts w:cs="Arial"/>
              </w:rPr>
              <w:t xml:space="preserve"> and</w:t>
            </w:r>
          </w:p>
        </w:tc>
      </w:tr>
      <w:tr w:rsidR="00F67E9E" w:rsidRPr="0018147A" w14:paraId="72F3D8A4" w14:textId="77777777" w:rsidTr="007F74AA">
        <w:tc>
          <w:tcPr>
            <w:tcW w:w="2835" w:type="dxa"/>
          </w:tcPr>
          <w:p w14:paraId="29512908" w14:textId="77777777" w:rsidR="00F67E9E" w:rsidRPr="00025910" w:rsidRDefault="00F67E9E" w:rsidP="007F74AA">
            <w:pPr>
              <w:pStyle w:val="StdBodyTextBold"/>
              <w:rPr>
                <w:rFonts w:cs="Arial"/>
              </w:rPr>
            </w:pPr>
            <w:r>
              <w:rPr>
                <w:rFonts w:cs="Arial"/>
              </w:rPr>
              <w:t>“</w:t>
            </w:r>
            <w:r w:rsidRPr="00025910">
              <w:rPr>
                <w:rFonts w:cs="Arial"/>
              </w:rPr>
              <w:t>Service Continuity Plan</w:t>
            </w:r>
            <w:r>
              <w:rPr>
                <w:rFonts w:cs="Arial"/>
              </w:rPr>
              <w:t>”</w:t>
            </w:r>
          </w:p>
        </w:tc>
        <w:tc>
          <w:tcPr>
            <w:tcW w:w="6803" w:type="dxa"/>
          </w:tcPr>
          <w:p w14:paraId="299FCFCE" w14:textId="7C00C145" w:rsidR="00F67E9E" w:rsidRPr="00025910" w:rsidRDefault="00F67E9E" w:rsidP="007F74AA">
            <w:pPr>
              <w:pStyle w:val="StdBodyText"/>
              <w:rPr>
                <w:rFonts w:cs="Arial"/>
              </w:rPr>
            </w:pPr>
            <w:r w:rsidRPr="00025910">
              <w:rPr>
                <w:rFonts w:cs="Arial"/>
              </w:rPr>
              <w:t xml:space="preserve">means the plan prepared pursuant to </w:t>
            </w:r>
            <w:bookmarkStart w:id="2170" w:name="_9kMHG5YVtCIBAFJhLhkhy7sGWoQzJdhtDDVN523"/>
            <w:r w:rsidRPr="00025910">
              <w:rPr>
                <w:rFonts w:cs="Arial"/>
              </w:rPr>
              <w:t xml:space="preserve">Paragraph </w:t>
            </w:r>
            <w:r w:rsidRPr="00025910">
              <w:rPr>
                <w:rFonts w:cs="Arial"/>
              </w:rPr>
              <w:fldChar w:fldCharType="begin"/>
            </w:r>
            <w:r w:rsidRPr="00025910">
              <w:rPr>
                <w:rFonts w:cs="Arial"/>
              </w:rPr>
              <w:instrText xml:space="preserve"> REF _Ref_ContractCompanion_9kb9Us49B \w \n \h \t \* MERGEFORMAT </w:instrText>
            </w:r>
            <w:r w:rsidRPr="00025910">
              <w:rPr>
                <w:rFonts w:cs="Arial"/>
              </w:rPr>
            </w:r>
            <w:r w:rsidRPr="00025910">
              <w:rPr>
                <w:rFonts w:cs="Arial"/>
              </w:rPr>
              <w:fldChar w:fldCharType="separate"/>
            </w:r>
            <w:bookmarkStart w:id="2171" w:name="_9kMHG5YVt4BDA9HkLhkhy7sGWoQzJdhtDDVN523"/>
            <w:r w:rsidR="00302D39">
              <w:rPr>
                <w:rFonts w:cs="Arial"/>
              </w:rPr>
              <w:t>2</w:t>
            </w:r>
            <w:bookmarkEnd w:id="2171"/>
            <w:r w:rsidRPr="00025910">
              <w:rPr>
                <w:rFonts w:cs="Arial"/>
              </w:rPr>
              <w:fldChar w:fldCharType="end"/>
            </w:r>
            <w:bookmarkEnd w:id="2170"/>
            <w:r w:rsidRPr="00025910">
              <w:rPr>
                <w:rFonts w:cs="Arial"/>
              </w:rPr>
              <w:t xml:space="preserve"> of this Schedule which incorporates the Business Continuity Plan, Disaster Recovery Plan and the Insolvency Continuity Plan</w:t>
            </w:r>
            <w:r>
              <w:rPr>
                <w:rFonts w:cs="Arial"/>
              </w:rPr>
              <w:t>.</w:t>
            </w:r>
          </w:p>
        </w:tc>
      </w:tr>
    </w:tbl>
    <w:p w14:paraId="0FCAFE5F" w14:textId="77777777" w:rsidR="00F67E9E" w:rsidRPr="0018147A" w:rsidRDefault="00F67E9E" w:rsidP="00F67E9E">
      <w:pPr>
        <w:pStyle w:val="Numbered1"/>
      </w:pPr>
      <w:bookmarkStart w:id="2172" w:name="_Ref_ContractCompanion_9kb9Us49B"/>
      <w:bookmarkStart w:id="2173" w:name="_9kR3WTrAG98DHfJfifw5qEUmOxHbfrBBTL301CO"/>
      <w:bookmarkStart w:id="2174" w:name="_9kR3WTr29B87FiJfifw5qEUmOxHbfrBBTL301CO"/>
      <w:r w:rsidRPr="0018147A">
        <w:t xml:space="preserve">Service </w:t>
      </w:r>
      <w:r w:rsidRPr="00631338">
        <w:t>Continuity</w:t>
      </w:r>
      <w:r w:rsidRPr="0018147A">
        <w:t xml:space="preserve"> Plan</w:t>
      </w:r>
      <w:bookmarkEnd w:id="2172"/>
      <w:bookmarkEnd w:id="2173"/>
      <w:bookmarkEnd w:id="2174"/>
    </w:p>
    <w:p w14:paraId="798D4079" w14:textId="77777777" w:rsidR="00F67E9E" w:rsidRPr="00025910" w:rsidRDefault="00F67E9E" w:rsidP="00F67E9E">
      <w:pPr>
        <w:pStyle w:val="Numbered11"/>
      </w:pPr>
      <w:r w:rsidRPr="00025910">
        <w:t>Within 40 Working Days from the Effective Date the Supplier shall prepare and deliver to the Authority for the Authority</w:t>
      </w:r>
      <w:r>
        <w:t>’</w:t>
      </w:r>
      <w:r w:rsidRPr="00025910">
        <w:t xml:space="preserve">s written approval a plan, which shall detail the processes and arrangements that the </w:t>
      </w:r>
      <w:r w:rsidRPr="00631338">
        <w:t>Supplier</w:t>
      </w:r>
      <w:r w:rsidRPr="00025910">
        <w:t xml:space="preserve"> shall follow to:</w:t>
      </w:r>
    </w:p>
    <w:p w14:paraId="3AEF6A7A" w14:textId="77777777" w:rsidR="00F67E9E" w:rsidRPr="00631338" w:rsidRDefault="00F67E9E" w:rsidP="00F67E9E">
      <w:pPr>
        <w:pStyle w:val="Numbered111"/>
      </w:pPr>
      <w:r w:rsidRPr="00025910">
        <w:t xml:space="preserve">ensure continuity of the business processes and operations supported by the Services following any failure or disruption of any element of the Services (including where caused by an Insolvency Event of the Supplier, any Key Sub-contractor </w:t>
      </w:r>
      <w:r w:rsidRPr="00631338">
        <w:t>and/or any Supplier Group member); and</w:t>
      </w:r>
    </w:p>
    <w:p w14:paraId="0DD4A25D" w14:textId="77777777" w:rsidR="00F67E9E" w:rsidRPr="00025910" w:rsidRDefault="00F67E9E" w:rsidP="00F67E9E">
      <w:pPr>
        <w:pStyle w:val="Numbered111"/>
      </w:pPr>
      <w:r w:rsidRPr="00631338">
        <w:t>the recovery</w:t>
      </w:r>
      <w:r w:rsidRPr="00025910">
        <w:t xml:space="preserve"> of the Services in the event of a Disaster.</w:t>
      </w:r>
    </w:p>
    <w:p w14:paraId="31658DAC" w14:textId="77777777" w:rsidR="00F67E9E" w:rsidRPr="00025910" w:rsidRDefault="00F67E9E" w:rsidP="00F67E9E">
      <w:pPr>
        <w:pStyle w:val="Numbered11"/>
      </w:pPr>
      <w:bookmarkStart w:id="2175" w:name="_Ref_ContractCompanion_9kb9Us7EH"/>
      <w:r w:rsidRPr="00025910">
        <w:t>The Service Continuity Plan shall:</w:t>
      </w:r>
      <w:bookmarkEnd w:id="2175"/>
    </w:p>
    <w:p w14:paraId="1FF8C8B1" w14:textId="77777777" w:rsidR="00F67E9E" w:rsidRPr="00025910" w:rsidRDefault="00F67E9E" w:rsidP="00F67E9E">
      <w:pPr>
        <w:pStyle w:val="Numbered111"/>
      </w:pPr>
      <w:r w:rsidRPr="00025910">
        <w:t>be divided into four parts:</w:t>
      </w:r>
    </w:p>
    <w:p w14:paraId="2637F389" w14:textId="7A8471D9" w:rsidR="00F67E9E" w:rsidRPr="00025910" w:rsidRDefault="00F67E9E" w:rsidP="00F67E9E">
      <w:pPr>
        <w:pStyle w:val="Numbered111a"/>
      </w:pPr>
      <w:r w:rsidRPr="00025910">
        <w:fldChar w:fldCharType="begin"/>
      </w:r>
      <w:r w:rsidRPr="00025910">
        <w:instrText xml:space="preserve"> REF Sch26PartAPara3 \h  \* MERGEFORMAT </w:instrText>
      </w:r>
      <w:r w:rsidRPr="00025910">
        <w:fldChar w:fldCharType="separate"/>
      </w:r>
      <w:r w:rsidR="00302D39" w:rsidRPr="004472FD">
        <w:t>Part A</w:t>
      </w:r>
      <w:r w:rsidRPr="00025910">
        <w:fldChar w:fldCharType="end"/>
      </w:r>
      <w:r w:rsidRPr="00025910">
        <w:t xml:space="preserve"> which shall set out general principles applicable to the Service Continuity Plan; </w:t>
      </w:r>
    </w:p>
    <w:bookmarkStart w:id="2176" w:name="_Ref_ContractCompanion_9kb9Us9B4"/>
    <w:bookmarkStart w:id="2177" w:name="_9kR3WTrAHADFABClfoWJsCXV8vrr89sx9GA52BG"/>
    <w:bookmarkStart w:id="2178" w:name="_9kR3WTrAG9DFBCClfoWJsCXV8vrr89sx9GA52BG"/>
    <w:p w14:paraId="4B86A250" w14:textId="59379D5C" w:rsidR="00F67E9E" w:rsidRPr="00025910" w:rsidRDefault="00F67E9E" w:rsidP="00F67E9E">
      <w:pPr>
        <w:pStyle w:val="Numbered111a"/>
      </w:pPr>
      <w:r w:rsidRPr="00025910">
        <w:fldChar w:fldCharType="begin"/>
      </w:r>
      <w:r w:rsidRPr="00025910">
        <w:instrText xml:space="preserve"> REF Sch26PartBPara4 \h  \* MERGEFORMAT </w:instrText>
      </w:r>
      <w:r w:rsidRPr="00025910">
        <w:fldChar w:fldCharType="separate"/>
      </w:r>
      <w:r w:rsidR="00302D39" w:rsidRPr="004472FD">
        <w:t>Part B</w:t>
      </w:r>
      <w:r w:rsidRPr="00025910">
        <w:fldChar w:fldCharType="end"/>
      </w:r>
      <w:r w:rsidRPr="00025910">
        <w:t xml:space="preserve"> which shall relate to business continuity (the </w:t>
      </w:r>
      <w:r>
        <w:t>“</w:t>
      </w:r>
      <w:r w:rsidRPr="00025910">
        <w:rPr>
          <w:rStyle w:val="StdBodyTextBoldChar"/>
          <w:rFonts w:eastAsiaTheme="minorHAnsi" w:cs="Arial"/>
        </w:rPr>
        <w:t>Business</w:t>
      </w:r>
      <w:r w:rsidRPr="00025910">
        <w:t xml:space="preserve"> </w:t>
      </w:r>
      <w:r w:rsidRPr="00025910">
        <w:rPr>
          <w:rStyle w:val="StdBodyTextBoldChar"/>
          <w:rFonts w:eastAsiaTheme="minorHAnsi" w:cs="Arial"/>
        </w:rPr>
        <w:t>Continuity Plan</w:t>
      </w:r>
      <w:r>
        <w:t>”</w:t>
      </w:r>
      <w:r w:rsidRPr="00025910">
        <w:t>);</w:t>
      </w:r>
      <w:bookmarkEnd w:id="2176"/>
      <w:bookmarkEnd w:id="2177"/>
      <w:bookmarkEnd w:id="2178"/>
    </w:p>
    <w:bookmarkStart w:id="2179" w:name="_9kR3WTrAG9DG99ClfopXKtDZX9wss9AtyAHB63C"/>
    <w:bookmarkStart w:id="2180" w:name="_9kR3WTrAHADGAAClfopXKtDZX9wss9AtyAHB63C"/>
    <w:bookmarkStart w:id="2181" w:name="_Ref_ContractCompanion_9kb9Us9BC"/>
    <w:p w14:paraId="070DC536" w14:textId="56C1A84A" w:rsidR="00F67E9E" w:rsidRPr="00025910" w:rsidRDefault="00F67E9E" w:rsidP="00F67E9E">
      <w:pPr>
        <w:pStyle w:val="Numbered111a"/>
      </w:pPr>
      <w:r w:rsidRPr="00025910">
        <w:fldChar w:fldCharType="begin"/>
      </w:r>
      <w:r w:rsidRPr="00025910">
        <w:instrText xml:space="preserve"> REF Sch26PartCPara5 \h  \* MERGEFORMAT </w:instrText>
      </w:r>
      <w:r w:rsidRPr="00025910">
        <w:fldChar w:fldCharType="separate"/>
      </w:r>
      <w:r w:rsidR="00302D39" w:rsidRPr="004472FD">
        <w:t>Part C</w:t>
      </w:r>
      <w:r w:rsidRPr="00025910">
        <w:fldChar w:fldCharType="end"/>
      </w:r>
      <w:r w:rsidRPr="00025910">
        <w:t xml:space="preserve"> which shall relate to disaster recovery (the </w:t>
      </w:r>
      <w:r>
        <w:t>“</w:t>
      </w:r>
      <w:r w:rsidRPr="00025910">
        <w:rPr>
          <w:rStyle w:val="StdBodyTextBoldChar"/>
          <w:rFonts w:eastAsiaTheme="minorHAnsi" w:cs="Arial"/>
        </w:rPr>
        <w:t>Disaster</w:t>
      </w:r>
      <w:r w:rsidRPr="00025910">
        <w:t xml:space="preserve"> </w:t>
      </w:r>
      <w:r w:rsidRPr="00025910">
        <w:rPr>
          <w:rStyle w:val="StdBodyTextBoldChar"/>
          <w:rFonts w:eastAsiaTheme="minorHAnsi" w:cs="Arial"/>
        </w:rPr>
        <w:t>Recovery Plan</w:t>
      </w:r>
      <w:r>
        <w:t>”</w:t>
      </w:r>
      <w:r w:rsidRPr="00025910">
        <w:t>);</w:t>
      </w:r>
      <w:bookmarkEnd w:id="2179"/>
      <w:bookmarkEnd w:id="2180"/>
      <w:r w:rsidRPr="00025910">
        <w:t xml:space="preserve"> </w:t>
      </w:r>
      <w:bookmarkEnd w:id="2181"/>
    </w:p>
    <w:bookmarkStart w:id="2182" w:name="_9kR3WTrAG9DGDDClf1jJsCZX8vrr89sx9GA52BG"/>
    <w:bookmarkStart w:id="2183" w:name="_9kR3WTrAHADGEEClf1jJsCZX8vrr89sx9GA52BG"/>
    <w:bookmarkStart w:id="2184" w:name="_Ref_ContractCompanion_9kb9Us9C7"/>
    <w:p w14:paraId="36535C8B" w14:textId="213E6553" w:rsidR="00F67E9E" w:rsidRPr="00025910" w:rsidRDefault="00F67E9E" w:rsidP="00F67E9E">
      <w:pPr>
        <w:pStyle w:val="Numbered111a"/>
      </w:pPr>
      <w:r w:rsidRPr="00025910">
        <w:fldChar w:fldCharType="begin"/>
      </w:r>
      <w:r w:rsidRPr="00025910">
        <w:instrText xml:space="preserve"> REF Sch26PartDPara6 \h  \* MERGEFORMAT </w:instrText>
      </w:r>
      <w:r w:rsidRPr="00025910">
        <w:fldChar w:fldCharType="separate"/>
      </w:r>
      <w:r w:rsidR="00302D39" w:rsidRPr="004472FD">
        <w:t>Part D</w:t>
      </w:r>
      <w:r w:rsidRPr="00025910">
        <w:fldChar w:fldCharType="end"/>
      </w:r>
      <w:r w:rsidRPr="00025910">
        <w:t xml:space="preserve"> which shall relate to an Insolvency Event of the Supplier, any Key Sub-contractors and/or any Supplier Group member (the </w:t>
      </w:r>
      <w:r>
        <w:t>“</w:t>
      </w:r>
      <w:r w:rsidRPr="00025910">
        <w:rPr>
          <w:rStyle w:val="StdBodyTextBoldChar"/>
          <w:rFonts w:eastAsiaTheme="minorHAnsi" w:cs="Arial"/>
        </w:rPr>
        <w:t>Insolvency Continuity Plan</w:t>
      </w:r>
      <w:r>
        <w:t>”</w:t>
      </w:r>
      <w:r w:rsidRPr="00025910">
        <w:t>);</w:t>
      </w:r>
      <w:bookmarkEnd w:id="2182"/>
      <w:bookmarkEnd w:id="2183"/>
      <w:r w:rsidRPr="00025910">
        <w:t xml:space="preserve"> and</w:t>
      </w:r>
      <w:bookmarkEnd w:id="2184"/>
    </w:p>
    <w:p w14:paraId="3712159E" w14:textId="02069239" w:rsidR="00F67E9E" w:rsidRPr="00025910" w:rsidRDefault="00F67E9E" w:rsidP="00F67E9E">
      <w:pPr>
        <w:pStyle w:val="Numbered111"/>
      </w:pPr>
      <w:r w:rsidRPr="00025910">
        <w:t xml:space="preserve">unless otherwise required by the Authority in writing, be based upon and be </w:t>
      </w:r>
      <w:r w:rsidRPr="00631338">
        <w:t>consistent</w:t>
      </w:r>
      <w:r w:rsidRPr="00025910">
        <w:t xml:space="preserve"> with the provisions of </w:t>
      </w:r>
      <w:bookmarkStart w:id="2185" w:name="_9kMHG5YVtCIBAFGeLhkhy7sGWoQzJdiuDDVN523"/>
      <w:r w:rsidRPr="00025910">
        <w:t xml:space="preserve">Paragraphs </w:t>
      </w:r>
      <w:r w:rsidRPr="00025910">
        <w:fldChar w:fldCharType="begin"/>
      </w:r>
      <w:r w:rsidRPr="00025910">
        <w:instrText xml:space="preserve"> REF _Ref_ContractCompanion_9kb9Us498 \w \n \h \t \* MERGEFORMAT </w:instrText>
      </w:r>
      <w:r w:rsidRPr="00025910">
        <w:fldChar w:fldCharType="separate"/>
      </w:r>
      <w:bookmarkStart w:id="2186" w:name="_9kMHG5YVt4BDA9GjLhkhy7sGWoQzJdiuDDVN523"/>
      <w:r w:rsidR="00302D39">
        <w:t>3</w:t>
      </w:r>
      <w:bookmarkEnd w:id="2186"/>
      <w:r w:rsidRPr="00025910">
        <w:fldChar w:fldCharType="end"/>
      </w:r>
      <w:bookmarkEnd w:id="2185"/>
      <w:r w:rsidRPr="00025910">
        <w:t xml:space="preserve">, </w:t>
      </w:r>
      <w:bookmarkStart w:id="2187" w:name="_9kMHG5YVtCIBAFDbLhkhy7sGWoQzJdjvDDVN523"/>
      <w:r w:rsidRPr="00025910">
        <w:fldChar w:fldCharType="begin"/>
      </w:r>
      <w:r w:rsidRPr="00025910">
        <w:instrText xml:space="preserve"> REF _Ref_ContractCompanion_9kb9Us48E \w \n \h \t \* MERGEFORMAT </w:instrText>
      </w:r>
      <w:r w:rsidRPr="00025910">
        <w:fldChar w:fldCharType="separate"/>
      </w:r>
      <w:bookmarkStart w:id="2188" w:name="_9kMHG5YVt4BDA9FiLhkhy7sGWoQzJdjvDDVN523"/>
      <w:r w:rsidR="00302D39">
        <w:t>4</w:t>
      </w:r>
      <w:bookmarkEnd w:id="2188"/>
      <w:r w:rsidRPr="00025910">
        <w:fldChar w:fldCharType="end"/>
      </w:r>
      <w:bookmarkEnd w:id="2187"/>
      <w:r w:rsidRPr="00025910">
        <w:t xml:space="preserve">, </w:t>
      </w:r>
      <w:bookmarkStart w:id="2189" w:name="_9kMHG5YVtCIBAEJiLhkhy7sGWoQzJdkwDDVN523"/>
      <w:r w:rsidRPr="00025910">
        <w:fldChar w:fldCharType="begin"/>
      </w:r>
      <w:r w:rsidRPr="00025910">
        <w:instrText xml:space="preserve"> REF _Ref_ContractCompanion_9kb9Us48B \w \n \h \t \* MERGEFORMAT </w:instrText>
      </w:r>
      <w:r w:rsidRPr="00025910">
        <w:fldChar w:fldCharType="separate"/>
      </w:r>
      <w:bookmarkStart w:id="2190" w:name="_9kMHG5YVt4BDA9EhLhkhy7sGWoQzJdkwDDVN523"/>
      <w:r w:rsidR="00302D39">
        <w:t>5</w:t>
      </w:r>
      <w:bookmarkEnd w:id="2190"/>
      <w:r w:rsidRPr="00025910">
        <w:fldChar w:fldCharType="end"/>
      </w:r>
      <w:bookmarkEnd w:id="2189"/>
      <w:r w:rsidRPr="00025910">
        <w:t xml:space="preserve"> and </w:t>
      </w:r>
      <w:bookmarkStart w:id="2191" w:name="_9kMHG5YVtCIBAEGfLhkhy7sGWoQzJdlxDDVN523"/>
      <w:r w:rsidRPr="00025910">
        <w:fldChar w:fldCharType="begin"/>
      </w:r>
      <w:r w:rsidRPr="00025910">
        <w:instrText xml:space="preserve"> REF _Ref_ContractCompanion_9kb9Us488 \w \n \h \t \* MERGEFORMAT </w:instrText>
      </w:r>
      <w:r w:rsidRPr="00025910">
        <w:fldChar w:fldCharType="separate"/>
      </w:r>
      <w:bookmarkStart w:id="2192" w:name="_9kMHG5YVt4BDA9CfLhkhy7sGWoQzJdlxDDVN523"/>
      <w:r w:rsidR="00302D39">
        <w:t>6</w:t>
      </w:r>
      <w:bookmarkEnd w:id="2192"/>
      <w:r w:rsidRPr="00025910">
        <w:fldChar w:fldCharType="end"/>
      </w:r>
      <w:bookmarkEnd w:id="2191"/>
      <w:r w:rsidRPr="00025910">
        <w:t>.</w:t>
      </w:r>
    </w:p>
    <w:p w14:paraId="4BD40F10" w14:textId="77777777" w:rsidR="00F67E9E" w:rsidRPr="00025910" w:rsidRDefault="00F67E9E" w:rsidP="00F67E9E">
      <w:pPr>
        <w:pStyle w:val="Numbered11"/>
      </w:pPr>
      <w:bookmarkStart w:id="2193" w:name="_Ref_ContractCompanion_9kb9Us9E9"/>
      <w:bookmarkStart w:id="2194" w:name="_9kR3WTrAG9DIFDDRKxvzB6yx21nov7JJ6CF1yCA"/>
      <w:r w:rsidRPr="00025910">
        <w:t>Following receipt of the draft Service Continuity Plan from the Supplier, the Authority shall:</w:t>
      </w:r>
      <w:bookmarkEnd w:id="2193"/>
      <w:bookmarkEnd w:id="2194"/>
    </w:p>
    <w:p w14:paraId="2152A94A" w14:textId="77777777" w:rsidR="00F67E9E" w:rsidRPr="00025910" w:rsidRDefault="00F67E9E" w:rsidP="00F67E9E">
      <w:pPr>
        <w:pStyle w:val="Numbered111"/>
      </w:pPr>
      <w:r w:rsidRPr="00025910">
        <w:t>review and comment on the draft Service Continuity Plan as soon as reasonably practicable; and</w:t>
      </w:r>
    </w:p>
    <w:p w14:paraId="7B353281" w14:textId="77777777" w:rsidR="00F67E9E" w:rsidRPr="00025910" w:rsidRDefault="00F67E9E" w:rsidP="00F67E9E">
      <w:pPr>
        <w:pStyle w:val="Numbered111"/>
      </w:pPr>
      <w:r w:rsidRPr="00025910">
        <w:t xml:space="preserve">notify the Supplier in writing that it approves or rejects the draft Service Continuity Plan no later than 20 Working Days after the date on which the draft Service Continuity Plan is first delivered to the Authority. </w:t>
      </w:r>
    </w:p>
    <w:p w14:paraId="42DF68AA" w14:textId="77777777" w:rsidR="00F67E9E" w:rsidRPr="00025910" w:rsidRDefault="00F67E9E" w:rsidP="00F67E9E">
      <w:pPr>
        <w:pStyle w:val="Numbered11"/>
      </w:pPr>
      <w:bookmarkStart w:id="2195" w:name="_Ref_ContractCompanion_9kb9Us9EC"/>
      <w:bookmarkStart w:id="2196" w:name="_9kR3WTrAG9DIIGEVEwzlFQG40B69QP6z0uARSI4"/>
      <w:r w:rsidRPr="00025910">
        <w:t>If the Authority rejects the draft Service Continuity Plan:</w:t>
      </w:r>
      <w:bookmarkEnd w:id="2195"/>
      <w:bookmarkEnd w:id="2196"/>
    </w:p>
    <w:p w14:paraId="0FBF0785" w14:textId="77777777" w:rsidR="00F67E9E" w:rsidRPr="00631338" w:rsidRDefault="00F67E9E" w:rsidP="00F67E9E">
      <w:pPr>
        <w:pStyle w:val="Numbered111"/>
      </w:pPr>
      <w:r w:rsidRPr="00025910">
        <w:t xml:space="preserve">the </w:t>
      </w:r>
      <w:r w:rsidRPr="00631338">
        <w:t>Authority shall inform the Supplier in writing of its reasons for its rejection; and</w:t>
      </w:r>
    </w:p>
    <w:p w14:paraId="2E9030EA" w14:textId="4CEAA9F5" w:rsidR="00F67E9E" w:rsidRPr="00025910" w:rsidRDefault="00F67E9E" w:rsidP="00F67E9E">
      <w:pPr>
        <w:pStyle w:val="Numbered111"/>
      </w:pPr>
      <w:r w:rsidRPr="00631338">
        <w:t>the Suppli</w:t>
      </w:r>
      <w:r w:rsidRPr="00025910">
        <w:t>er shall then revise the draft Service Continuity Plan (taking reasonable account of the Authority</w:t>
      </w:r>
      <w:r>
        <w:t>’</w:t>
      </w:r>
      <w:r w:rsidRPr="00025910">
        <w:t>s comments) and shall re-submit a revised draft Service Continuity Plan to the Authority for the Authority</w:t>
      </w:r>
      <w:r>
        <w:t>’</w:t>
      </w:r>
      <w:r w:rsidRPr="00025910">
        <w:t>s approval within 20 Working Days of the date of the Authority</w:t>
      </w:r>
      <w:r>
        <w:t>’</w:t>
      </w:r>
      <w:r w:rsidRPr="00025910">
        <w:t xml:space="preserve">s notice of rejection. The provisions of </w:t>
      </w:r>
      <w:bookmarkStart w:id="2197" w:name="_9kMHG5YVtCIBFKHFFTMzx1D80z43pqx9LL8EH30"/>
      <w:r w:rsidRPr="00025910">
        <w:t xml:space="preserve">Paragraph </w:t>
      </w:r>
      <w:r w:rsidRPr="00025910">
        <w:fldChar w:fldCharType="begin"/>
      </w:r>
      <w:r w:rsidRPr="00025910">
        <w:instrText xml:space="preserve"> REF _Ref_ContractCompanion_9kb9Us9E9 \n \h \t \* MERGEFORMAT </w:instrText>
      </w:r>
      <w:r w:rsidRPr="00025910">
        <w:fldChar w:fldCharType="separate"/>
      </w:r>
      <w:r w:rsidR="00302D39">
        <w:t>2.3</w:t>
      </w:r>
      <w:r w:rsidRPr="00025910">
        <w:fldChar w:fldCharType="end"/>
      </w:r>
      <w:bookmarkEnd w:id="2197"/>
      <w:r w:rsidRPr="00025910">
        <w:t xml:space="preserve"> and this </w:t>
      </w:r>
      <w:bookmarkStart w:id="2198" w:name="_9kMHG5YVtCIBFKKIGXGy1nHSI62D8BSR812wCTU"/>
      <w:r w:rsidRPr="00025910">
        <w:t xml:space="preserve">Paragraph </w:t>
      </w:r>
      <w:r w:rsidRPr="00025910">
        <w:fldChar w:fldCharType="begin"/>
      </w:r>
      <w:r w:rsidRPr="00025910">
        <w:instrText xml:space="preserve"> REF _Ref_ContractCompanion_9kb9Us9EC \n \h \t \* MERGEFORMAT </w:instrText>
      </w:r>
      <w:r w:rsidRPr="00025910">
        <w:fldChar w:fldCharType="separate"/>
      </w:r>
      <w:r w:rsidR="00302D39">
        <w:t>2.4</w:t>
      </w:r>
      <w:r w:rsidRPr="00025910">
        <w:fldChar w:fldCharType="end"/>
      </w:r>
      <w:bookmarkEnd w:id="2198"/>
      <w:r w:rsidRPr="00025910">
        <w:t xml:space="preserve"> shall apply again to any resubmitted draft Service Continuity Plan, provided that either Party may refer any disputed matters for resolution by the Dispute Resolution Procedure at any time.</w:t>
      </w:r>
    </w:p>
    <w:p w14:paraId="6CB1524D" w14:textId="77777777" w:rsidR="00F67E9E" w:rsidRPr="00025910" w:rsidRDefault="00F67E9E" w:rsidP="00F67E9E">
      <w:pPr>
        <w:pStyle w:val="Numbered1"/>
      </w:pPr>
      <w:bookmarkStart w:id="2199" w:name="_Ref_ContractCompanion_9kb9Us498"/>
      <w:bookmarkStart w:id="2200" w:name="_9kR3WTrAG98DEcJfifw5qEUmOxHbgsBBTL301CO"/>
      <w:bookmarkStart w:id="2201" w:name="_9kR3WTr29B87EhJfifw5qEUmOxHbgsBBTL301CO"/>
      <w:r w:rsidRPr="00025910">
        <w:t xml:space="preserve">Service Continuity Plan: </w:t>
      </w:r>
      <w:bookmarkStart w:id="2202" w:name="_9kR3WTr2BCDIJeorBv"/>
      <w:bookmarkStart w:id="2203" w:name="Sch26PartAPara3"/>
      <w:r w:rsidRPr="004472FD">
        <w:t>Part A</w:t>
      </w:r>
      <w:bookmarkEnd w:id="2202"/>
      <w:bookmarkEnd w:id="2203"/>
      <w:r w:rsidRPr="00025910">
        <w:t xml:space="preserve"> – </w:t>
      </w:r>
      <w:r w:rsidRPr="00631338">
        <w:t>General</w:t>
      </w:r>
      <w:r w:rsidRPr="00025910">
        <w:t xml:space="preserve"> Principles </w:t>
      </w:r>
      <w:r>
        <w:t>a</w:t>
      </w:r>
      <w:r w:rsidRPr="00025910">
        <w:t>nd Requirements</w:t>
      </w:r>
      <w:bookmarkEnd w:id="2199"/>
      <w:bookmarkEnd w:id="2200"/>
      <w:bookmarkEnd w:id="2201"/>
    </w:p>
    <w:p w14:paraId="69AF573F" w14:textId="77777777" w:rsidR="00F67E9E" w:rsidRPr="00025910" w:rsidRDefault="00F67E9E" w:rsidP="00F67E9E">
      <w:pPr>
        <w:pStyle w:val="Numbered11"/>
      </w:pPr>
      <w:bookmarkStart w:id="2204" w:name="_9kMHG5YVt4DEFJFbGp9T"/>
      <w:r w:rsidRPr="00025910">
        <w:t>Part A</w:t>
      </w:r>
      <w:bookmarkEnd w:id="2204"/>
      <w:r w:rsidRPr="00025910">
        <w:t xml:space="preserve"> of the </w:t>
      </w:r>
      <w:r w:rsidRPr="00631338">
        <w:t>Service</w:t>
      </w:r>
      <w:r w:rsidRPr="00025910">
        <w:t xml:space="preserve"> Continuity Plan shall:</w:t>
      </w:r>
    </w:p>
    <w:p w14:paraId="06B2EEB9" w14:textId="77777777" w:rsidR="00F67E9E" w:rsidRPr="00631338" w:rsidRDefault="00F67E9E" w:rsidP="00F67E9E">
      <w:pPr>
        <w:pStyle w:val="Numbered111"/>
      </w:pPr>
      <w:r w:rsidRPr="00025910">
        <w:t xml:space="preserve">set out how the business continuity, disaster recovery and insolvency continuity elements of </w:t>
      </w:r>
      <w:r w:rsidRPr="00631338">
        <w:t xml:space="preserve">the plan link to each other; </w:t>
      </w:r>
    </w:p>
    <w:p w14:paraId="197CD2BA" w14:textId="77777777" w:rsidR="00F67E9E" w:rsidRPr="00631338" w:rsidRDefault="00F67E9E" w:rsidP="00F67E9E">
      <w:pPr>
        <w:pStyle w:val="Numbered111"/>
      </w:pPr>
      <w:r w:rsidRPr="00631338">
        <w:t>provide details of how the invocation of any element of the Service Continuity Plan may impact upon the operation of the Services and any services provided to the Authority by a Related Service Provider;</w:t>
      </w:r>
    </w:p>
    <w:p w14:paraId="64ACE0CA" w14:textId="77777777" w:rsidR="00F67E9E" w:rsidRPr="00631338" w:rsidRDefault="00F67E9E" w:rsidP="00F67E9E">
      <w:pPr>
        <w:pStyle w:val="Numbered111"/>
      </w:pPr>
      <w:r w:rsidRPr="00631338">
        <w:t>contain an obligation upon the Supplier to liaise with the Authority and (at the Authority’s request) any Related Service Provider with respect to issues concerning business continuity, disaster recovery and insolvency continuity where applicable;</w:t>
      </w:r>
    </w:p>
    <w:p w14:paraId="5738A090" w14:textId="77777777" w:rsidR="00F67E9E" w:rsidRPr="00631338" w:rsidRDefault="00F67E9E" w:rsidP="00F67E9E">
      <w:pPr>
        <w:pStyle w:val="Numbered111"/>
      </w:pPr>
      <w:r w:rsidRPr="00631338">
        <w:t>detail how the Service Continuity Plan links and interoperates with any overarching and/or connected disaster recovery, business continuity and/or insolvency continuity plan of the Authority and any of its other Related Service Providers in each case as notified to the Supplier by the Authority from time to time;</w:t>
      </w:r>
    </w:p>
    <w:p w14:paraId="3274A5D4" w14:textId="77777777" w:rsidR="00F67E9E" w:rsidRPr="00631338" w:rsidRDefault="00F67E9E" w:rsidP="00F67E9E">
      <w:pPr>
        <w:pStyle w:val="Numbered111"/>
      </w:pPr>
      <w:r w:rsidRPr="00631338">
        <w:t>contain a communication strategy including details of an incident and problem management service and advice and help desk facility which can be accessed via multi-channels (including but without limitation a web-site (with FAQs), e-mail, phone and fax) for both portable and desk top configurations, where required by the Authority;</w:t>
      </w:r>
    </w:p>
    <w:p w14:paraId="400A96F9" w14:textId="77777777" w:rsidR="00F67E9E" w:rsidRPr="00025910" w:rsidRDefault="00F67E9E" w:rsidP="00F67E9E">
      <w:pPr>
        <w:pStyle w:val="Numbered111"/>
      </w:pPr>
      <w:r w:rsidRPr="00631338">
        <w:t>contain</w:t>
      </w:r>
      <w:r w:rsidRPr="00025910">
        <w:t xml:space="preserve"> a risk analysis, including:</w:t>
      </w:r>
    </w:p>
    <w:p w14:paraId="714EA9F1" w14:textId="77777777" w:rsidR="00F67E9E" w:rsidRPr="00631338" w:rsidRDefault="00F67E9E" w:rsidP="00F67E9E">
      <w:pPr>
        <w:pStyle w:val="Numbered111a"/>
      </w:pPr>
      <w:r w:rsidRPr="00025910">
        <w:t xml:space="preserve">failure or disruption scenarios and assessments and estimates of frequency of </w:t>
      </w:r>
      <w:r w:rsidRPr="00631338">
        <w:t>occurrence;</w:t>
      </w:r>
    </w:p>
    <w:p w14:paraId="71DA7A6F" w14:textId="77777777" w:rsidR="00F67E9E" w:rsidRPr="00631338" w:rsidRDefault="00F67E9E" w:rsidP="00F67E9E">
      <w:pPr>
        <w:pStyle w:val="Numbered111a"/>
      </w:pPr>
      <w:r w:rsidRPr="00631338">
        <w:t>identification of any single points of failure within the Services and processes for managing the risks arising therefrom;</w:t>
      </w:r>
    </w:p>
    <w:p w14:paraId="6597E623" w14:textId="77777777" w:rsidR="00F67E9E" w:rsidRPr="00631338" w:rsidRDefault="00F67E9E" w:rsidP="00F67E9E">
      <w:pPr>
        <w:pStyle w:val="Numbered111a"/>
      </w:pPr>
      <w:r w:rsidRPr="00631338">
        <w:t xml:space="preserve">identification of risks arising from the interaction of the Services with the services provided by a Related Service Provider; </w:t>
      </w:r>
    </w:p>
    <w:p w14:paraId="0F64C9A0" w14:textId="77777777" w:rsidR="00F67E9E" w:rsidRPr="00631338" w:rsidRDefault="00F67E9E" w:rsidP="00F67E9E">
      <w:pPr>
        <w:pStyle w:val="Numbered111a"/>
      </w:pPr>
      <w:r w:rsidRPr="00631338">
        <w:t>identification of risks arising from an Insolvency Event of the Supplier, any Key Sub-contractors and/or Supplier Group member; and</w:t>
      </w:r>
    </w:p>
    <w:p w14:paraId="2897AABC" w14:textId="77777777" w:rsidR="00F67E9E" w:rsidRPr="00025910" w:rsidRDefault="00F67E9E" w:rsidP="00F67E9E">
      <w:pPr>
        <w:pStyle w:val="Numbered111a"/>
      </w:pPr>
      <w:r w:rsidRPr="00631338">
        <w:t>a business impact analysis (detailing the impact on business processes and operations</w:t>
      </w:r>
      <w:r w:rsidRPr="00025910">
        <w:t>) of different anticipated failures or disruptions;</w:t>
      </w:r>
    </w:p>
    <w:p w14:paraId="5D7DBD32" w14:textId="77777777" w:rsidR="00F67E9E" w:rsidRPr="00631338" w:rsidRDefault="00F67E9E" w:rsidP="00F67E9E">
      <w:pPr>
        <w:pStyle w:val="Numbered111"/>
      </w:pPr>
      <w:r w:rsidRPr="00025910">
        <w:t xml:space="preserve">provide for documentation of processes, including business processes, and </w:t>
      </w:r>
      <w:r w:rsidRPr="00631338">
        <w:t>procedures;</w:t>
      </w:r>
    </w:p>
    <w:p w14:paraId="3BD00B45" w14:textId="77777777" w:rsidR="00F67E9E" w:rsidRPr="00631338" w:rsidRDefault="00F67E9E" w:rsidP="00F67E9E">
      <w:pPr>
        <w:pStyle w:val="Numbered111"/>
      </w:pPr>
      <w:r w:rsidRPr="00631338">
        <w:t>set out key contact details (including roles and responsibilities) for the Supplier (and any Sub-contractors) and for the Authority;</w:t>
      </w:r>
    </w:p>
    <w:p w14:paraId="374D2351" w14:textId="77777777" w:rsidR="00F67E9E" w:rsidRPr="00631338" w:rsidRDefault="00F67E9E" w:rsidP="00F67E9E">
      <w:pPr>
        <w:pStyle w:val="Numbered111"/>
      </w:pPr>
      <w:r w:rsidRPr="00631338">
        <w:t>identify the procedures for reverting to “normal service”;</w:t>
      </w:r>
    </w:p>
    <w:p w14:paraId="2550BEAF" w14:textId="77777777" w:rsidR="00F67E9E" w:rsidRPr="00631338" w:rsidRDefault="00F67E9E" w:rsidP="00F67E9E">
      <w:pPr>
        <w:pStyle w:val="Numbered111"/>
      </w:pPr>
      <w:r w:rsidRPr="00631338">
        <w:t>set out method(s) of recovering or updating data collected (or which ought to have been collected) during a failure or disruption to ensure that there is no more than the accepted amount of data loss and to preserve data integrity;</w:t>
      </w:r>
    </w:p>
    <w:p w14:paraId="25AFF467" w14:textId="77777777" w:rsidR="00F67E9E" w:rsidRPr="00631338" w:rsidRDefault="00F67E9E" w:rsidP="00F67E9E">
      <w:pPr>
        <w:pStyle w:val="Numbered111"/>
      </w:pPr>
      <w:r w:rsidRPr="00631338">
        <w:t>identify the responsibilities (if any) that the Authority has agreed it will assume in the event of the invocation of the Service Continuity Plan; and</w:t>
      </w:r>
    </w:p>
    <w:p w14:paraId="6A3FC910" w14:textId="77777777" w:rsidR="00F67E9E" w:rsidRPr="00025910" w:rsidRDefault="00F67E9E" w:rsidP="00F67E9E">
      <w:pPr>
        <w:pStyle w:val="Numbered111"/>
      </w:pPr>
      <w:r w:rsidRPr="00631338">
        <w:t>provide for the provision of technical advice and assistance to key contacts at the Authority as notified by the Authority from time to time to inform decisions in suppo</w:t>
      </w:r>
      <w:r w:rsidRPr="00025910">
        <w:t>rt of the Authority</w:t>
      </w:r>
      <w:r>
        <w:t>’</w:t>
      </w:r>
      <w:r w:rsidRPr="00025910">
        <w:t>s business continuity plans.</w:t>
      </w:r>
    </w:p>
    <w:p w14:paraId="2C116D1D" w14:textId="77777777" w:rsidR="00F67E9E" w:rsidRPr="00025910" w:rsidRDefault="00F67E9E" w:rsidP="00F67E9E">
      <w:pPr>
        <w:pStyle w:val="Numbered11"/>
      </w:pPr>
      <w:r w:rsidRPr="00025910">
        <w:t xml:space="preserve">The Service </w:t>
      </w:r>
      <w:r w:rsidRPr="00631338">
        <w:t>Continuity</w:t>
      </w:r>
      <w:r w:rsidRPr="00025910">
        <w:t xml:space="preserve"> Plan shall be designed so as to ensure that:</w:t>
      </w:r>
    </w:p>
    <w:p w14:paraId="3393C681" w14:textId="77777777" w:rsidR="00F67E9E" w:rsidRPr="00025910" w:rsidRDefault="00F67E9E" w:rsidP="00F67E9E">
      <w:pPr>
        <w:pStyle w:val="Numbered111"/>
      </w:pPr>
      <w:r w:rsidRPr="00025910">
        <w:t>the Services are provided in accordance with this Contract at all times during and after the invocation of the Service Continuity Plan;</w:t>
      </w:r>
    </w:p>
    <w:p w14:paraId="47331BF4" w14:textId="77777777" w:rsidR="00F67E9E" w:rsidRPr="00025910" w:rsidRDefault="00F67E9E" w:rsidP="00F67E9E">
      <w:pPr>
        <w:pStyle w:val="Numbered111"/>
      </w:pPr>
      <w:r w:rsidRPr="00025910">
        <w:t>the adverse impact of any Disaster; service failure; an Insolvency Event of the Supplier, any Key Sub-contractor and/or any Supplier Group member; or disruption on the operations of the Authority, is minimal as far as reasonably possible;</w:t>
      </w:r>
    </w:p>
    <w:p w14:paraId="0EC4385C" w14:textId="77777777" w:rsidR="00F67E9E" w:rsidRPr="00025910" w:rsidRDefault="00F67E9E" w:rsidP="00F67E9E">
      <w:pPr>
        <w:pStyle w:val="Numbered111"/>
      </w:pPr>
      <w:r w:rsidRPr="00025910">
        <w:t>it complies with the relevant provisions of ISO/IEC 22301 and all other industry standards from time to time in force; and</w:t>
      </w:r>
    </w:p>
    <w:p w14:paraId="18B2D74C" w14:textId="77777777" w:rsidR="00F67E9E" w:rsidRPr="00025910" w:rsidRDefault="00F67E9E" w:rsidP="00F67E9E">
      <w:pPr>
        <w:pStyle w:val="Numbered111"/>
      </w:pPr>
      <w:r w:rsidRPr="00025910">
        <w:t>there is a process for the management of disaster recovery testing detailed in the Service Continuity Plan.</w:t>
      </w:r>
    </w:p>
    <w:p w14:paraId="1FFA4917" w14:textId="77777777" w:rsidR="00F67E9E" w:rsidRPr="00025910" w:rsidRDefault="00F67E9E" w:rsidP="00F67E9E">
      <w:pPr>
        <w:pStyle w:val="Numbered11"/>
      </w:pPr>
      <w:r w:rsidRPr="00025910">
        <w:t>The Service Continuity Plan shall be upgradeable and sufficiently flexible to support any changes to the Services, to the business processes facilitated by and the business operations supported by the Services, and/or changes to the Supplier Group structure.</w:t>
      </w:r>
    </w:p>
    <w:p w14:paraId="5FD2BFF6" w14:textId="77777777" w:rsidR="00F67E9E" w:rsidRPr="00025910" w:rsidRDefault="00F67E9E" w:rsidP="00F67E9E">
      <w:pPr>
        <w:pStyle w:val="Numbered11"/>
      </w:pPr>
      <w:r w:rsidRPr="00025910">
        <w:t>The Supplier shall not be entitled to any relief from its obligations under the Performance Indicators or to any increase in the Charges to the extent that a Disaster occurs as a consequence of any breach by the Supplier of this Contract.</w:t>
      </w:r>
    </w:p>
    <w:p w14:paraId="331B1A95" w14:textId="77777777" w:rsidR="00F67E9E" w:rsidRPr="00025910" w:rsidRDefault="00F67E9E" w:rsidP="00F67E9E">
      <w:pPr>
        <w:pStyle w:val="Numbered1"/>
      </w:pPr>
      <w:bookmarkStart w:id="2205" w:name="_Ref_ContractCompanion_9kb9Us48E"/>
      <w:bookmarkStart w:id="2206" w:name="_9kR3WTrAG98DBZJfifw5qEUmOxHbhtBBTL301CO"/>
      <w:bookmarkStart w:id="2207" w:name="_9kR3WTr29B87DgJfifw5qEUmOxHbhtBBTL301CO"/>
      <w:r w:rsidRPr="00025910">
        <w:t xml:space="preserve">Service Continuity </w:t>
      </w:r>
      <w:r w:rsidRPr="00631338">
        <w:t>Plan</w:t>
      </w:r>
      <w:r w:rsidRPr="00025910">
        <w:t>:</w:t>
      </w:r>
      <w:r w:rsidRPr="004472FD">
        <w:t xml:space="preserve"> </w:t>
      </w:r>
      <w:bookmarkStart w:id="2208" w:name="_9kR3WTr2BCDIKforBw"/>
      <w:bookmarkStart w:id="2209" w:name="Sch26PartBPara4"/>
      <w:r w:rsidRPr="004472FD">
        <w:t>Part B</w:t>
      </w:r>
      <w:bookmarkEnd w:id="2208"/>
      <w:bookmarkEnd w:id="2209"/>
      <w:r w:rsidRPr="00025910">
        <w:t xml:space="preserve"> – Business Continuity</w:t>
      </w:r>
      <w:bookmarkEnd w:id="2205"/>
      <w:bookmarkEnd w:id="2206"/>
      <w:bookmarkEnd w:id="2207"/>
    </w:p>
    <w:p w14:paraId="31D79448" w14:textId="77777777" w:rsidR="00F67E9E" w:rsidRPr="00025910" w:rsidRDefault="00F67E9E" w:rsidP="00F67E9E">
      <w:pPr>
        <w:pStyle w:val="StdBodyText1"/>
        <w:rPr>
          <w:rFonts w:cs="Arial"/>
        </w:rPr>
      </w:pPr>
      <w:r w:rsidRPr="00025910">
        <w:rPr>
          <w:rStyle w:val="StdBodyTextBoldChar"/>
          <w:rFonts w:cs="Arial"/>
        </w:rPr>
        <w:t xml:space="preserve">Principles </w:t>
      </w:r>
      <w:r>
        <w:rPr>
          <w:rStyle w:val="StdBodyTextBoldChar"/>
          <w:rFonts w:cs="Arial"/>
        </w:rPr>
        <w:t>a</w:t>
      </w:r>
      <w:r w:rsidRPr="00025910">
        <w:rPr>
          <w:rStyle w:val="StdBodyTextBoldChar"/>
          <w:rFonts w:cs="Arial"/>
        </w:rPr>
        <w:t>nd</w:t>
      </w:r>
      <w:r w:rsidRPr="00025910">
        <w:rPr>
          <w:rFonts w:cs="Arial"/>
        </w:rPr>
        <w:t xml:space="preserve"> </w:t>
      </w:r>
      <w:r w:rsidRPr="00025910">
        <w:rPr>
          <w:rStyle w:val="StdBodyTextBoldChar"/>
          <w:rFonts w:cs="Arial"/>
        </w:rPr>
        <w:t>Contents</w:t>
      </w:r>
    </w:p>
    <w:p w14:paraId="366052F1" w14:textId="77777777" w:rsidR="00F67E9E" w:rsidRPr="00025910" w:rsidRDefault="00F67E9E" w:rsidP="00F67E9E">
      <w:pPr>
        <w:pStyle w:val="Numbered11"/>
      </w:pPr>
      <w:r w:rsidRPr="00025910">
        <w:t xml:space="preserve">The Business Continuity Plan shall set out the arrangements that are to be invoked to ensure that the business processes and operations facilitated by the Services remain </w:t>
      </w:r>
      <w:r w:rsidRPr="00631338">
        <w:t>supported</w:t>
      </w:r>
      <w:r w:rsidRPr="00025910">
        <w:t xml:space="preserve"> and to ensure continuity of the business operations supported by the Services including, unless the Authority expressly states otherwise in writing:</w:t>
      </w:r>
    </w:p>
    <w:p w14:paraId="285AB7A7" w14:textId="77777777" w:rsidR="00F67E9E" w:rsidRPr="00631338" w:rsidRDefault="00F67E9E" w:rsidP="00F67E9E">
      <w:pPr>
        <w:pStyle w:val="Numbered111"/>
      </w:pPr>
      <w:r w:rsidRPr="00025910">
        <w:t xml:space="preserve">the alternative processes (including business processes), options and responsibilities that may be adopted in the event of a failure in or disruption to the </w:t>
      </w:r>
      <w:r w:rsidRPr="00631338">
        <w:t>Services; and</w:t>
      </w:r>
    </w:p>
    <w:p w14:paraId="3B443BD0" w14:textId="77777777" w:rsidR="00F67E9E" w:rsidRPr="00025910" w:rsidRDefault="00F67E9E" w:rsidP="00F67E9E">
      <w:pPr>
        <w:pStyle w:val="Numbered111"/>
      </w:pPr>
      <w:r w:rsidRPr="00631338">
        <w:t>the step</w:t>
      </w:r>
      <w:r w:rsidRPr="00025910">
        <w:t>s to be taken by the Supplier upon resumption of the Services in order to address any prevailing effect of the failure or disruption including a root cause analysis of the failure or disruption.</w:t>
      </w:r>
    </w:p>
    <w:p w14:paraId="43B7729A" w14:textId="77777777" w:rsidR="00F67E9E" w:rsidRPr="00025910" w:rsidRDefault="00F67E9E" w:rsidP="00F67E9E">
      <w:pPr>
        <w:pStyle w:val="Numbered11"/>
      </w:pPr>
      <w:r w:rsidRPr="00025910">
        <w:t>The Business Continuity Plan shall:</w:t>
      </w:r>
    </w:p>
    <w:p w14:paraId="6FB46831" w14:textId="77777777" w:rsidR="00F67E9E" w:rsidRPr="00025910" w:rsidRDefault="00F67E9E" w:rsidP="00F67E9E">
      <w:pPr>
        <w:pStyle w:val="Numbered111"/>
      </w:pPr>
      <w:r w:rsidRPr="00025910">
        <w:t>address the various possible levels of failures of or disruptions to the Services;</w:t>
      </w:r>
    </w:p>
    <w:p w14:paraId="770E0F5E" w14:textId="77777777" w:rsidR="00F67E9E" w:rsidRPr="00025910" w:rsidRDefault="00F67E9E" w:rsidP="00F67E9E">
      <w:pPr>
        <w:pStyle w:val="Numbered111"/>
      </w:pPr>
      <w:bookmarkStart w:id="2210" w:name="_Ref_ContractCompanion_9kb9Us9B8"/>
      <w:bookmarkStart w:id="2211" w:name="_9kR3WTrAG9DFEHEmquw79FF4q233LDvs9PM5wBP"/>
      <w:bookmarkStart w:id="2212" w:name="_9kR3WTrAHADFFIEmquw79FF4q233LDvs9PM5wBP"/>
      <w:r w:rsidRPr="00025910">
        <w:t xml:space="preserve">set out the services to be provided and the steps to be taken to remedy the different levels of failures of and disruption to the Services (such services and steps, the </w:t>
      </w:r>
      <w:r>
        <w:t>“</w:t>
      </w:r>
      <w:r w:rsidRPr="00025910">
        <w:rPr>
          <w:rStyle w:val="StdBodyTextBoldChar"/>
          <w:rFonts w:eastAsia="Arial" w:cs="Arial"/>
        </w:rPr>
        <w:t>Business Continuity</w:t>
      </w:r>
      <w:r w:rsidRPr="00025910">
        <w:t xml:space="preserve"> </w:t>
      </w:r>
      <w:r w:rsidRPr="00025910">
        <w:rPr>
          <w:rStyle w:val="StdBodyTextBoldChar"/>
          <w:rFonts w:eastAsia="Arial" w:cs="Arial"/>
        </w:rPr>
        <w:t>Services</w:t>
      </w:r>
      <w:r>
        <w:t>”</w:t>
      </w:r>
      <w:r w:rsidRPr="00025910">
        <w:t>);</w:t>
      </w:r>
      <w:bookmarkEnd w:id="2210"/>
      <w:bookmarkEnd w:id="2211"/>
      <w:bookmarkEnd w:id="2212"/>
    </w:p>
    <w:p w14:paraId="717074D1" w14:textId="77777777" w:rsidR="00F67E9E" w:rsidRPr="00025910" w:rsidRDefault="00F67E9E" w:rsidP="00F67E9E">
      <w:pPr>
        <w:pStyle w:val="Numbered111"/>
      </w:pPr>
      <w:r w:rsidRPr="00025910">
        <w:t>specify any applicable Performance Indicators with respect to the provision of the Business Continuity Services and details of any agreed relaxation to the Performance Indicators in respect of other Services during any period of invocation of the Business Continuity Plan; and</w:t>
      </w:r>
    </w:p>
    <w:p w14:paraId="023E76E2" w14:textId="77777777" w:rsidR="00F67E9E" w:rsidRPr="00025910" w:rsidRDefault="00F67E9E" w:rsidP="00F67E9E">
      <w:pPr>
        <w:pStyle w:val="Numbered111"/>
      </w:pPr>
      <w:r w:rsidRPr="00025910">
        <w:t>clearly set out the conditions and/or circumstances under which the Business Continuity Plan is invoked.</w:t>
      </w:r>
    </w:p>
    <w:p w14:paraId="31636071" w14:textId="77777777" w:rsidR="00F67E9E" w:rsidRPr="00025910" w:rsidRDefault="00F67E9E" w:rsidP="00F67E9E">
      <w:pPr>
        <w:pStyle w:val="Numbered1"/>
      </w:pPr>
      <w:bookmarkStart w:id="2213" w:name="_Ref_ContractCompanion_9kb9Us48B"/>
      <w:bookmarkStart w:id="2214" w:name="_9kR3WTrAG98CHgJfifw5qEUmOxHbiuBBTL301CO"/>
      <w:bookmarkStart w:id="2215" w:name="_9kR3WTr29B87CfJfifw5qEUmOxHbiuBBTL301CO"/>
      <w:r w:rsidRPr="00025910">
        <w:t xml:space="preserve">Service </w:t>
      </w:r>
      <w:r w:rsidRPr="00631338">
        <w:t>Continuity</w:t>
      </w:r>
      <w:r w:rsidRPr="00025910">
        <w:t xml:space="preserve"> Plan:</w:t>
      </w:r>
      <w:r w:rsidRPr="004472FD">
        <w:t xml:space="preserve"> </w:t>
      </w:r>
      <w:bookmarkStart w:id="2216" w:name="_9kR3WTr2BCDJCWorBx"/>
      <w:bookmarkStart w:id="2217" w:name="Sch26PartCPara5"/>
      <w:r w:rsidRPr="004472FD">
        <w:t>Part C</w:t>
      </w:r>
      <w:bookmarkEnd w:id="2216"/>
      <w:bookmarkEnd w:id="2217"/>
      <w:r w:rsidRPr="00025910">
        <w:t xml:space="preserve"> – Disaster Recovery</w:t>
      </w:r>
      <w:bookmarkEnd w:id="2213"/>
      <w:bookmarkEnd w:id="2214"/>
      <w:bookmarkEnd w:id="2215"/>
    </w:p>
    <w:p w14:paraId="4C77AC90" w14:textId="77777777" w:rsidR="00F67E9E" w:rsidRPr="00025910" w:rsidRDefault="00F67E9E" w:rsidP="00F67E9E">
      <w:pPr>
        <w:pStyle w:val="StdBodyText1"/>
        <w:rPr>
          <w:rFonts w:cs="Arial"/>
        </w:rPr>
      </w:pPr>
      <w:r w:rsidRPr="00025910">
        <w:rPr>
          <w:rStyle w:val="StdBodyTextBoldChar"/>
          <w:rFonts w:cs="Arial"/>
        </w:rPr>
        <w:t xml:space="preserve">Principles </w:t>
      </w:r>
      <w:r>
        <w:rPr>
          <w:rStyle w:val="StdBodyTextBoldChar"/>
          <w:rFonts w:cs="Arial"/>
        </w:rPr>
        <w:t>a</w:t>
      </w:r>
      <w:r w:rsidRPr="00025910">
        <w:rPr>
          <w:rStyle w:val="StdBodyTextBoldChar"/>
          <w:rFonts w:cs="Arial"/>
        </w:rPr>
        <w:t>nd</w:t>
      </w:r>
      <w:r w:rsidRPr="00025910">
        <w:rPr>
          <w:rFonts w:cs="Arial"/>
        </w:rPr>
        <w:t xml:space="preserve"> </w:t>
      </w:r>
      <w:r w:rsidRPr="00025910">
        <w:rPr>
          <w:rStyle w:val="StdBodyTextBoldChar"/>
          <w:rFonts w:cs="Arial"/>
        </w:rPr>
        <w:t>Contents</w:t>
      </w:r>
    </w:p>
    <w:p w14:paraId="2623F52B" w14:textId="77777777" w:rsidR="00F67E9E" w:rsidRPr="00631338" w:rsidRDefault="00F67E9E" w:rsidP="00F67E9E">
      <w:pPr>
        <w:pStyle w:val="Numbered11"/>
      </w:pPr>
      <w:r w:rsidRPr="00025910">
        <w:t xml:space="preserve">The Disaster Recovery Plan shall be designed so as to ensure that upon the occurrence of a Disaster the Supplier ensures continuity of the business operations of the Authority supported by the Services following any Disaster or during any period of service failure or disruption </w:t>
      </w:r>
      <w:r w:rsidRPr="00631338">
        <w:t>with, as far as reasonably possible, minimal adverse impact.</w:t>
      </w:r>
    </w:p>
    <w:p w14:paraId="4C8138D4" w14:textId="77777777" w:rsidR="00F67E9E" w:rsidRPr="00631338" w:rsidRDefault="00F67E9E" w:rsidP="00F67E9E">
      <w:pPr>
        <w:pStyle w:val="Numbered11"/>
      </w:pPr>
      <w:r w:rsidRPr="00631338">
        <w:t>The Disaster Recovery Plan shall be invoked only upon the occurrence of a Disaster.</w:t>
      </w:r>
    </w:p>
    <w:p w14:paraId="146DFE6D" w14:textId="77777777" w:rsidR="00F67E9E" w:rsidRPr="00025910" w:rsidRDefault="00F67E9E" w:rsidP="00F67E9E">
      <w:pPr>
        <w:pStyle w:val="Numbered11"/>
      </w:pPr>
      <w:r w:rsidRPr="00631338">
        <w:t>The Disaster</w:t>
      </w:r>
      <w:r w:rsidRPr="00025910">
        <w:t xml:space="preserve"> Recovery Plan shall include the following:</w:t>
      </w:r>
    </w:p>
    <w:p w14:paraId="5AC6542B" w14:textId="77777777" w:rsidR="00F67E9E" w:rsidRPr="00631338" w:rsidRDefault="00F67E9E" w:rsidP="00F67E9E">
      <w:pPr>
        <w:pStyle w:val="Numbered111"/>
      </w:pPr>
      <w:r w:rsidRPr="00025910">
        <w:t xml:space="preserve">the technical design and </w:t>
      </w:r>
      <w:r w:rsidRPr="00631338">
        <w:t>build specification of the Disaster Recovery System;</w:t>
      </w:r>
    </w:p>
    <w:p w14:paraId="0597D4C9" w14:textId="77777777" w:rsidR="00F67E9E" w:rsidRPr="00025910" w:rsidRDefault="00F67E9E" w:rsidP="00F67E9E">
      <w:pPr>
        <w:pStyle w:val="Numbered111"/>
      </w:pPr>
      <w:r w:rsidRPr="00631338">
        <w:t>details of the procedures and processes to be put in place by the Supplier in relation to the Disaster Recovery System and the provision of the Disaster Recovery Services and</w:t>
      </w:r>
      <w:r w:rsidRPr="00025910">
        <w:t xml:space="preserve"> any testing of the same including but not limited to the following:</w:t>
      </w:r>
    </w:p>
    <w:p w14:paraId="2CCACA5C" w14:textId="77777777" w:rsidR="00F67E9E" w:rsidRPr="00631338" w:rsidRDefault="00F67E9E" w:rsidP="00F67E9E">
      <w:pPr>
        <w:pStyle w:val="Numbered111a"/>
      </w:pPr>
      <w:r w:rsidRPr="00631338">
        <w:t>data centre and disaster recovery site audits;</w:t>
      </w:r>
    </w:p>
    <w:p w14:paraId="7AC1ECC2" w14:textId="77777777" w:rsidR="00F67E9E" w:rsidRPr="00631338" w:rsidRDefault="00F67E9E" w:rsidP="00F67E9E">
      <w:pPr>
        <w:pStyle w:val="Numbered111a"/>
      </w:pPr>
      <w:r w:rsidRPr="00631338">
        <w:t>backup methodology and details of the Supplier’s approach to data back-up and data verification;</w:t>
      </w:r>
    </w:p>
    <w:p w14:paraId="7CA4B74C" w14:textId="77777777" w:rsidR="00F67E9E" w:rsidRPr="00631338" w:rsidRDefault="00F67E9E" w:rsidP="00F67E9E">
      <w:pPr>
        <w:pStyle w:val="Numbered111a"/>
      </w:pPr>
      <w:r w:rsidRPr="00631338">
        <w:t>identification of all potential disaster scenarios;</w:t>
      </w:r>
    </w:p>
    <w:p w14:paraId="5618E34E" w14:textId="77777777" w:rsidR="00F67E9E" w:rsidRPr="00631338" w:rsidRDefault="00F67E9E" w:rsidP="00F67E9E">
      <w:pPr>
        <w:pStyle w:val="Numbered111a"/>
      </w:pPr>
      <w:r w:rsidRPr="00631338">
        <w:t>risk analysis;</w:t>
      </w:r>
    </w:p>
    <w:p w14:paraId="13D51B8E" w14:textId="77777777" w:rsidR="00F67E9E" w:rsidRPr="00631338" w:rsidRDefault="00F67E9E" w:rsidP="00F67E9E">
      <w:pPr>
        <w:pStyle w:val="Numbered111a"/>
      </w:pPr>
      <w:r w:rsidRPr="00631338">
        <w:t>documentation of processes and procedures;</w:t>
      </w:r>
    </w:p>
    <w:p w14:paraId="718EBF7E" w14:textId="77777777" w:rsidR="00F67E9E" w:rsidRPr="00631338" w:rsidRDefault="00F67E9E" w:rsidP="00F67E9E">
      <w:pPr>
        <w:pStyle w:val="Numbered111a"/>
      </w:pPr>
      <w:r w:rsidRPr="00631338">
        <w:t>hardware configuration details;</w:t>
      </w:r>
    </w:p>
    <w:p w14:paraId="0C554BB9" w14:textId="77777777" w:rsidR="00F67E9E" w:rsidRPr="00631338" w:rsidRDefault="00F67E9E" w:rsidP="00F67E9E">
      <w:pPr>
        <w:pStyle w:val="Numbered111a"/>
      </w:pPr>
      <w:r w:rsidRPr="00631338">
        <w:t>network planning including details of all relevant data networks and communication links;</w:t>
      </w:r>
    </w:p>
    <w:p w14:paraId="3F46B0EE" w14:textId="77777777" w:rsidR="00F67E9E" w:rsidRPr="00631338" w:rsidRDefault="00F67E9E" w:rsidP="00F67E9E">
      <w:pPr>
        <w:pStyle w:val="Numbered111a"/>
      </w:pPr>
      <w:r w:rsidRPr="00631338">
        <w:t>invocation rules;</w:t>
      </w:r>
    </w:p>
    <w:p w14:paraId="15FE6132" w14:textId="77777777" w:rsidR="00F67E9E" w:rsidRPr="00631338" w:rsidRDefault="00F67E9E" w:rsidP="00F67E9E">
      <w:pPr>
        <w:pStyle w:val="Numbered111a"/>
      </w:pPr>
      <w:r w:rsidRPr="00631338">
        <w:t>Service recovery procedures; and</w:t>
      </w:r>
    </w:p>
    <w:p w14:paraId="5AE3809F" w14:textId="77777777" w:rsidR="00F67E9E" w:rsidRPr="00025910" w:rsidRDefault="00F67E9E" w:rsidP="00F67E9E">
      <w:pPr>
        <w:pStyle w:val="Numbered111a"/>
      </w:pPr>
      <w:r w:rsidRPr="00631338">
        <w:t>steps to be taken upon resumption of the Services to address any prevailing</w:t>
      </w:r>
      <w:r w:rsidRPr="00025910">
        <w:t xml:space="preserve"> effect of the failure or disruption of the Services;</w:t>
      </w:r>
    </w:p>
    <w:p w14:paraId="64CA3C36" w14:textId="77777777" w:rsidR="00F67E9E" w:rsidRPr="00631338" w:rsidRDefault="00F67E9E" w:rsidP="00F67E9E">
      <w:pPr>
        <w:pStyle w:val="Numbered111"/>
      </w:pPr>
      <w:r w:rsidRPr="00025910">
        <w:t>any applicable Performance Indicators with respect to the provision of the Disaster Recovery Services and details of any agreed relaxation to the Performance Indicators in respect of other Services during any period of invocation of the Disast</w:t>
      </w:r>
      <w:r w:rsidRPr="00631338">
        <w:t>er Recovery Plan;</w:t>
      </w:r>
    </w:p>
    <w:p w14:paraId="3D74C566" w14:textId="77777777" w:rsidR="00F67E9E" w:rsidRPr="00631338" w:rsidRDefault="00F67E9E" w:rsidP="00F67E9E">
      <w:pPr>
        <w:pStyle w:val="Numbered111"/>
      </w:pPr>
      <w:r w:rsidRPr="00631338">
        <w:t>details of how the Supplier shall ensure compliance with security standards ensuring that compliance is maintained for any period during which the Disaster Recovery Plan is invoked;</w:t>
      </w:r>
    </w:p>
    <w:p w14:paraId="43C5B578" w14:textId="77777777" w:rsidR="00F67E9E" w:rsidRPr="00631338" w:rsidRDefault="00F67E9E" w:rsidP="00F67E9E">
      <w:pPr>
        <w:pStyle w:val="Numbered111"/>
      </w:pPr>
      <w:r w:rsidRPr="00631338">
        <w:t>access controls to any disaster recovery sites used by the Supplier in relation to its obligations pursuant to this Schedule; and</w:t>
      </w:r>
    </w:p>
    <w:p w14:paraId="12CF8727" w14:textId="77777777" w:rsidR="00F67E9E" w:rsidRPr="00025910" w:rsidRDefault="00F67E9E" w:rsidP="00F67E9E">
      <w:pPr>
        <w:pStyle w:val="Numbered111"/>
      </w:pPr>
      <w:r w:rsidRPr="00631338">
        <w:t xml:space="preserve">testing </w:t>
      </w:r>
      <w:r w:rsidRPr="00025910">
        <w:t>and management arrangements.</w:t>
      </w:r>
    </w:p>
    <w:p w14:paraId="3E808C61" w14:textId="77777777" w:rsidR="00F67E9E" w:rsidRPr="00025910" w:rsidRDefault="00F67E9E" w:rsidP="00F67E9E">
      <w:pPr>
        <w:pStyle w:val="Numbered1"/>
      </w:pPr>
      <w:bookmarkStart w:id="2218" w:name="_Ref_ContractCompanion_9kb9Us488"/>
      <w:bookmarkStart w:id="2219" w:name="_9kR3WTrAG98CEdJfifw5qEUmOxHbjvBBTL301CO"/>
      <w:bookmarkStart w:id="2220" w:name="_9kR3WTr29B87AdJfifw5qEUmOxHbjvBBTL301CO"/>
      <w:r w:rsidRPr="00025910">
        <w:t xml:space="preserve">Service Continuity </w:t>
      </w:r>
      <w:r w:rsidRPr="00631338">
        <w:t>Plan</w:t>
      </w:r>
      <w:r w:rsidRPr="00025910">
        <w:t xml:space="preserve">: </w:t>
      </w:r>
      <w:bookmarkStart w:id="2221" w:name="_9kR3WTr2BCDJDXorBy"/>
      <w:bookmarkStart w:id="2222" w:name="Sch26PartDPara6"/>
      <w:r w:rsidRPr="004472FD">
        <w:t>Part D</w:t>
      </w:r>
      <w:bookmarkEnd w:id="2221"/>
      <w:bookmarkEnd w:id="2222"/>
      <w:r w:rsidRPr="00025910">
        <w:t xml:space="preserve"> – Insolvency Continuity Plan</w:t>
      </w:r>
      <w:bookmarkEnd w:id="2218"/>
      <w:bookmarkEnd w:id="2219"/>
      <w:bookmarkEnd w:id="2220"/>
    </w:p>
    <w:p w14:paraId="64963B54" w14:textId="77777777" w:rsidR="00F67E9E" w:rsidRPr="00025910" w:rsidRDefault="00F67E9E" w:rsidP="00F67E9E">
      <w:pPr>
        <w:pStyle w:val="StdBodyText1"/>
        <w:rPr>
          <w:rFonts w:cs="Arial"/>
        </w:rPr>
      </w:pPr>
      <w:r w:rsidRPr="00025910">
        <w:rPr>
          <w:rStyle w:val="StdBodyTextBoldChar"/>
          <w:rFonts w:cs="Arial"/>
        </w:rPr>
        <w:t xml:space="preserve">Principles </w:t>
      </w:r>
      <w:r>
        <w:rPr>
          <w:rStyle w:val="StdBodyTextBoldChar"/>
          <w:rFonts w:cs="Arial"/>
        </w:rPr>
        <w:t>a</w:t>
      </w:r>
      <w:r w:rsidRPr="00025910">
        <w:rPr>
          <w:rStyle w:val="StdBodyTextBoldChar"/>
          <w:rFonts w:cs="Arial"/>
        </w:rPr>
        <w:t>nd</w:t>
      </w:r>
      <w:r w:rsidRPr="00025910">
        <w:rPr>
          <w:rFonts w:cs="Arial"/>
        </w:rPr>
        <w:t xml:space="preserve"> </w:t>
      </w:r>
      <w:r w:rsidRPr="00025910">
        <w:rPr>
          <w:rStyle w:val="StdBodyTextBoldChar"/>
          <w:rFonts w:cs="Arial"/>
        </w:rPr>
        <w:t>Contents</w:t>
      </w:r>
    </w:p>
    <w:p w14:paraId="726EFA67" w14:textId="77777777" w:rsidR="00F67E9E" w:rsidRPr="00631338" w:rsidRDefault="00F67E9E" w:rsidP="00F67E9E">
      <w:pPr>
        <w:pStyle w:val="Numbered11"/>
      </w:pPr>
      <w:r w:rsidRPr="00025910">
        <w:t xml:space="preserve">The Insolvency Continuity Plan shall be designed by the Supplier to permit continuity of the business operations of the Authority supported by the Services through continued provision of the Services </w:t>
      </w:r>
      <w:r w:rsidRPr="00631338">
        <w:t>following an Insolvency Event of the Supplier, any Key Sub-contractor and/or any Supplier Group member with, as far as reasonably possible, minimal adverse impact.</w:t>
      </w:r>
    </w:p>
    <w:p w14:paraId="2689290C" w14:textId="77777777" w:rsidR="00F67E9E" w:rsidRPr="00025910" w:rsidRDefault="00F67E9E" w:rsidP="00F67E9E">
      <w:pPr>
        <w:pStyle w:val="Numbered11"/>
      </w:pPr>
      <w:bookmarkStart w:id="2223" w:name="_Ref_ContractCompanion_9kb9Us89A"/>
      <w:r w:rsidRPr="00631338">
        <w:t xml:space="preserve">The Insolvency </w:t>
      </w:r>
      <w:r w:rsidRPr="00025910">
        <w:t>Continuity Plan shall include the following:</w:t>
      </w:r>
      <w:bookmarkEnd w:id="2223"/>
    </w:p>
    <w:p w14:paraId="76F86CED" w14:textId="77777777" w:rsidR="00F67E9E" w:rsidRPr="00631338" w:rsidRDefault="00F67E9E" w:rsidP="00F67E9E">
      <w:pPr>
        <w:pStyle w:val="Numbered111"/>
      </w:pPr>
      <w:r w:rsidRPr="00025910">
        <w:t xml:space="preserve">communication strategies which are designed to minimise the potential disruption to the provision of the Services, including key contact details in respect of the supply chain and key contact details for operational and contract Supplier </w:t>
      </w:r>
      <w:r w:rsidRPr="00631338">
        <w:t xml:space="preserve">Personnel, Key Sub-contractor personnel and Supplier Group member personnel; </w:t>
      </w:r>
    </w:p>
    <w:p w14:paraId="3377A973" w14:textId="77777777" w:rsidR="00F67E9E" w:rsidRPr="00631338" w:rsidRDefault="00F67E9E" w:rsidP="00F67E9E">
      <w:pPr>
        <w:pStyle w:val="Numbered111"/>
      </w:pPr>
      <w:r w:rsidRPr="00631338">
        <w:t xml:space="preserve">identification, explanation, assessment and an impact analysis of risks in respect of dependencies between the Supplier, Key Sub-contractors and Supplier Group members where failure of those dependencies could reasonably have an adverse impact on the Services; </w:t>
      </w:r>
    </w:p>
    <w:p w14:paraId="10AC633E" w14:textId="77777777" w:rsidR="00F67E9E" w:rsidRPr="00631338" w:rsidRDefault="00F67E9E" w:rsidP="00F67E9E">
      <w:pPr>
        <w:pStyle w:val="Numbered111"/>
      </w:pPr>
      <w:r w:rsidRPr="00631338">
        <w:t>plans to manage and mitigate identified risks;</w:t>
      </w:r>
    </w:p>
    <w:p w14:paraId="4067F96C" w14:textId="77777777" w:rsidR="00F67E9E" w:rsidRPr="00631338" w:rsidRDefault="00F67E9E" w:rsidP="00F67E9E">
      <w:pPr>
        <w:pStyle w:val="Numbered111"/>
      </w:pPr>
      <w:r w:rsidRPr="00631338">
        <w:t>details of the roles and responsibilities of the Supplier, Key Sub-contractors and/or Supplier Group members to minimise and mitigate the effects of an Insolvency Event of such persons on the Services;</w:t>
      </w:r>
    </w:p>
    <w:p w14:paraId="6FD86B0A" w14:textId="77777777" w:rsidR="00F67E9E" w:rsidRPr="00631338" w:rsidRDefault="00F67E9E" w:rsidP="00F67E9E">
      <w:pPr>
        <w:pStyle w:val="Numbered111"/>
      </w:pPr>
      <w:r w:rsidRPr="00631338">
        <w:t xml:space="preserve">details of the recovery team to be put in place by the Supplier (which may include representatives of the Supplier, Key Sub-contractors and Supplier Group members); and </w:t>
      </w:r>
    </w:p>
    <w:p w14:paraId="5C8F516C" w14:textId="77777777" w:rsidR="00F67E9E" w:rsidRPr="0018147A" w:rsidRDefault="00F67E9E" w:rsidP="00F67E9E">
      <w:pPr>
        <w:pStyle w:val="Numbered111"/>
      </w:pPr>
      <w:r w:rsidRPr="00631338">
        <w:t>sufficient</w:t>
      </w:r>
      <w:r w:rsidRPr="0018147A">
        <w:t xml:space="preserve"> detail to enable an appointed insolvency practitioner to invoke the plan in the event of an Insolvency Event of the Supplier.</w:t>
      </w:r>
    </w:p>
    <w:p w14:paraId="01338091" w14:textId="77777777" w:rsidR="00F67E9E" w:rsidRPr="0018147A" w:rsidRDefault="00F67E9E" w:rsidP="00F67E9E">
      <w:pPr>
        <w:pStyle w:val="Numbered1"/>
      </w:pPr>
      <w:r w:rsidRPr="0018147A">
        <w:t xml:space="preserve">Review </w:t>
      </w:r>
      <w:r>
        <w:t>a</w:t>
      </w:r>
      <w:r w:rsidRPr="0018147A">
        <w:t xml:space="preserve">nd </w:t>
      </w:r>
      <w:r w:rsidRPr="00631338">
        <w:t>Amendment</w:t>
      </w:r>
      <w:r w:rsidRPr="0018147A">
        <w:t xml:space="preserve"> </w:t>
      </w:r>
      <w:r>
        <w:t>o</w:t>
      </w:r>
      <w:r w:rsidRPr="0018147A">
        <w:t xml:space="preserve">f </w:t>
      </w:r>
      <w:r>
        <w:t>t</w:t>
      </w:r>
      <w:r w:rsidRPr="0018147A">
        <w:t>he Service Continuity Plan</w:t>
      </w:r>
    </w:p>
    <w:p w14:paraId="2FD7F678" w14:textId="77777777" w:rsidR="00F67E9E" w:rsidRPr="0018147A" w:rsidRDefault="00F67E9E" w:rsidP="00F67E9E">
      <w:pPr>
        <w:pStyle w:val="Numbered11"/>
      </w:pPr>
      <w:bookmarkStart w:id="2224" w:name="_Ref_ContractCompanion_9kb9Us894"/>
      <w:bookmarkStart w:id="2225" w:name="_Ref_ContractCompanion_9kb9Us9FG"/>
      <w:bookmarkStart w:id="2226" w:name="_9kR3WTrAG9DKDEGdRjVgA63xr1G7qv7E8DI2HE6"/>
      <w:r w:rsidRPr="0018147A">
        <w:t xml:space="preserve">The Supplier shall review and update the Service Continuity Plan (and the risk analysis on which it is </w:t>
      </w:r>
      <w:r w:rsidRPr="00631338">
        <w:t>based</w:t>
      </w:r>
      <w:r w:rsidRPr="0018147A">
        <w:t>):</w:t>
      </w:r>
      <w:bookmarkEnd w:id="2224"/>
      <w:bookmarkEnd w:id="2225"/>
      <w:bookmarkEnd w:id="2226"/>
    </w:p>
    <w:p w14:paraId="0B17317D" w14:textId="77777777" w:rsidR="00F67E9E" w:rsidRPr="0018147A" w:rsidRDefault="00F67E9E" w:rsidP="00F67E9E">
      <w:pPr>
        <w:pStyle w:val="Numbered111"/>
      </w:pPr>
      <w:bookmarkStart w:id="2227" w:name="_Ref_ContractCompanion_9kb9Us9FA"/>
      <w:bookmarkStart w:id="2228" w:name="_9kR3WTrAG9DJGIGklzmrwm39qxzj1AB404s894D"/>
      <w:r w:rsidRPr="0018147A">
        <w:t xml:space="preserve">on a regular basis and as a minimum once every </w:t>
      </w:r>
      <w:r w:rsidRPr="00B1698D">
        <w:rPr>
          <w:bCs/>
          <w:iCs/>
          <w:highlight w:val="yellow"/>
        </w:rPr>
        <w:t>[6 months / 12 months]</w:t>
      </w:r>
      <w:r w:rsidRPr="0018147A">
        <w:t>;</w:t>
      </w:r>
      <w:bookmarkEnd w:id="2227"/>
      <w:bookmarkEnd w:id="2228"/>
    </w:p>
    <w:p w14:paraId="13D249DD" w14:textId="14AE6D52" w:rsidR="00F67E9E" w:rsidRPr="00025910" w:rsidRDefault="00F67E9E" w:rsidP="00F67E9E">
      <w:pPr>
        <w:pStyle w:val="Numbered111"/>
      </w:pPr>
      <w:r w:rsidRPr="00025910">
        <w:t xml:space="preserve">within three calendar months of the Service Continuity Plan (or any part) having been invoked </w:t>
      </w:r>
      <w:r w:rsidRPr="00631338">
        <w:t>pursuant</w:t>
      </w:r>
      <w:r w:rsidRPr="00025910">
        <w:t xml:space="preserve"> to </w:t>
      </w:r>
      <w:bookmarkStart w:id="2229" w:name="_9kMHG5YVtCIBAEDcLhkhy7sGWoQzJdoqCQSAxFO"/>
      <w:r w:rsidRPr="00025910">
        <w:t xml:space="preserve">Paragraph </w:t>
      </w:r>
      <w:r w:rsidRPr="00025910">
        <w:fldChar w:fldCharType="begin"/>
      </w:r>
      <w:r w:rsidRPr="00025910">
        <w:instrText xml:space="preserve"> REF _Ref_ContractCompanion_9kb9Us47E \w \n \h \t \* MERGEFORMAT </w:instrText>
      </w:r>
      <w:r w:rsidRPr="00025910">
        <w:fldChar w:fldCharType="separate"/>
      </w:r>
      <w:bookmarkStart w:id="2230" w:name="_9kMHG5YVt4BDA9BeLhkhy7sGWoQzJdoqCQSAxFO"/>
      <w:r w:rsidR="00302D39">
        <w:t>9</w:t>
      </w:r>
      <w:bookmarkEnd w:id="2230"/>
      <w:r w:rsidRPr="00025910">
        <w:fldChar w:fldCharType="end"/>
      </w:r>
      <w:bookmarkEnd w:id="2229"/>
      <w:r w:rsidRPr="00025910">
        <w:t xml:space="preserve">; </w:t>
      </w:r>
    </w:p>
    <w:p w14:paraId="05685D05" w14:textId="77777777" w:rsidR="00F67E9E" w:rsidRPr="00025910" w:rsidRDefault="00F67E9E" w:rsidP="00F67E9E">
      <w:pPr>
        <w:pStyle w:val="Numbered111"/>
      </w:pPr>
      <w:r w:rsidRPr="00025910">
        <w:t>within 14 days of a Financial Distress Event;</w:t>
      </w:r>
    </w:p>
    <w:p w14:paraId="0FC54DB7" w14:textId="007B90FD" w:rsidR="00F67E9E" w:rsidRPr="00025910" w:rsidRDefault="00F67E9E" w:rsidP="00F67E9E">
      <w:pPr>
        <w:pStyle w:val="Numbered111"/>
      </w:pPr>
      <w:bookmarkStart w:id="2231" w:name="_9kR3WTrAG9DJJLGnw200qxJKvj5OF3qOXJLJM9C"/>
      <w:bookmarkStart w:id="2232" w:name="_Ref_ContractCompanion_9kb9Us9FD"/>
      <w:r w:rsidRPr="00025910">
        <w:t>within 30 days of a Corporate Change Event (unless the Relevant Authority (acting reasonably) agrees to a Corporate Change Event Grace Period, as set out in Paragraph</w:t>
      </w:r>
      <w:r>
        <w:t xml:space="preserve"> </w:t>
      </w:r>
      <w:r>
        <w:fldChar w:fldCharType="begin"/>
      </w:r>
      <w:r>
        <w:instrText xml:space="preserve"> REF _Ref88670374 \w \h </w:instrText>
      </w:r>
      <w:r>
        <w:fldChar w:fldCharType="separate"/>
      </w:r>
      <w:r w:rsidR="00302D39">
        <w:t>2.8.2(a)</w:t>
      </w:r>
      <w:r>
        <w:fldChar w:fldCharType="end"/>
      </w:r>
      <w:r w:rsidRPr="00025910">
        <w:t>, in which case that Corporate Change Event Grace Period will apply);</w:t>
      </w:r>
      <w:bookmarkEnd w:id="2231"/>
      <w:r w:rsidRPr="00025910">
        <w:t xml:space="preserve"> and</w:t>
      </w:r>
      <w:bookmarkEnd w:id="2232"/>
    </w:p>
    <w:p w14:paraId="1F432CDA" w14:textId="71A8EB83" w:rsidR="00F67E9E" w:rsidRPr="00025910" w:rsidRDefault="00F67E9E" w:rsidP="00F67E9E">
      <w:pPr>
        <w:pStyle w:val="Numbered111"/>
      </w:pPr>
      <w:r w:rsidRPr="00025910">
        <w:t xml:space="preserve">where the Authority requests any additional reviews (over and above those provided for in </w:t>
      </w:r>
      <w:bookmarkStart w:id="2233" w:name="_9kMHG5YVtCIBFLIKImn1otyo5Bsz1l3CD626uAB"/>
      <w:r w:rsidRPr="00025910">
        <w:t xml:space="preserve">Paragraphs </w:t>
      </w:r>
      <w:r w:rsidRPr="00025910">
        <w:fldChar w:fldCharType="begin"/>
      </w:r>
      <w:r w:rsidRPr="00025910">
        <w:instrText xml:space="preserve"> REF _Ref_ContractCompanion_9kb9Us9FA \w \h \t \* MERGEFORMAT </w:instrText>
      </w:r>
      <w:r w:rsidRPr="00025910">
        <w:fldChar w:fldCharType="separate"/>
      </w:r>
      <w:r w:rsidR="00302D39">
        <w:t>7.1.1</w:t>
      </w:r>
      <w:r w:rsidRPr="00025910">
        <w:fldChar w:fldCharType="end"/>
      </w:r>
      <w:bookmarkEnd w:id="2233"/>
      <w:r w:rsidRPr="00025910">
        <w:t xml:space="preserve"> to </w:t>
      </w:r>
      <w:bookmarkStart w:id="2234" w:name="_9kMHG5YVtCIBFLLNIpy422szLMxl7QH5sQZLNLO"/>
      <w:r w:rsidRPr="00025910">
        <w:fldChar w:fldCharType="begin"/>
      </w:r>
      <w:r w:rsidRPr="00025910">
        <w:instrText xml:space="preserve"> REF _Ref_ContractCompanion_9kb9Us9FD \w \h \t \* MERGEFORMAT </w:instrText>
      </w:r>
      <w:r w:rsidRPr="00025910">
        <w:fldChar w:fldCharType="separate"/>
      </w:r>
      <w:r w:rsidR="00302D39">
        <w:t>7.1.4</w:t>
      </w:r>
      <w:r w:rsidRPr="00025910">
        <w:fldChar w:fldCharType="end"/>
      </w:r>
      <w:bookmarkEnd w:id="2234"/>
      <w:r w:rsidRPr="00025910">
        <w:t>) by notifying the Supplier to such effect in writing, whereupon the Supplier shall conduct such reviews in accordance with the Authority</w:t>
      </w:r>
      <w:r>
        <w:t>’</w:t>
      </w:r>
      <w:r w:rsidRPr="00025910">
        <w:t>s written requirements.</w:t>
      </w:r>
      <w:r>
        <w:t xml:space="preserve"> </w:t>
      </w:r>
      <w:r w:rsidRPr="00025910">
        <w:t>Prior to starting its review, the Supplier shall provide an accurate written estimate of the total costs payable by the Authority for the Authority</w:t>
      </w:r>
      <w:r>
        <w:t>’</w:t>
      </w:r>
      <w:r w:rsidRPr="00025910">
        <w:t>s approval.</w:t>
      </w:r>
      <w:r>
        <w:t xml:space="preserve"> </w:t>
      </w:r>
      <w:r w:rsidRPr="00025910">
        <w:t>The costs of both Parties of any such additional reviews shall be met by the Authority except that the Supplier shall not be entitled to charge the Authority for any costs that it may incur above any estimate without the Authority</w:t>
      </w:r>
      <w:r>
        <w:t>’</w:t>
      </w:r>
      <w:r w:rsidRPr="00025910">
        <w:t xml:space="preserve">s prior written approval. </w:t>
      </w:r>
    </w:p>
    <w:p w14:paraId="6F1C6E56" w14:textId="40A722CA" w:rsidR="00F67E9E" w:rsidRPr="00025910" w:rsidRDefault="00F67E9E" w:rsidP="00F67E9E">
      <w:pPr>
        <w:pStyle w:val="Numbered11"/>
      </w:pPr>
      <w:bookmarkStart w:id="2235" w:name="_Ref99012795"/>
      <w:r w:rsidRPr="00025910">
        <w:t xml:space="preserve">Each review of the Service Continuity Plan pursuant to </w:t>
      </w:r>
      <w:bookmarkStart w:id="2236" w:name="_9kMHG5YVtCIBFMFGIfTlXiC85zt3I9sx9GAFK4J"/>
      <w:r w:rsidRPr="00025910">
        <w:t xml:space="preserve">Paragraph </w:t>
      </w:r>
      <w:r w:rsidRPr="00025910">
        <w:fldChar w:fldCharType="begin"/>
      </w:r>
      <w:r w:rsidRPr="00025910">
        <w:instrText xml:space="preserve"> REF _Ref_ContractCompanion_9kb9Us9FG \n \h \t \* MERGEFORMAT </w:instrText>
      </w:r>
      <w:r w:rsidRPr="00025910">
        <w:fldChar w:fldCharType="separate"/>
      </w:r>
      <w:r w:rsidR="00302D39">
        <w:t>7.1</w:t>
      </w:r>
      <w:r w:rsidRPr="00025910">
        <w:fldChar w:fldCharType="end"/>
      </w:r>
      <w:bookmarkEnd w:id="2236"/>
      <w:r w:rsidRPr="00025910">
        <w:t xml:space="preserve"> shall be a review of the procedures and methodologies set out in the Service Continuity Plan and shall assess their suitability having regard to any change to the Services or any underlying business processes and operations facilitated by or supported by the Services which have taken place since the later of the original approval of the Service Continuity Plan or the last review of the Service Continuity Plan and shall also have regard to any occurrence of any event since that date (or the likelihood of any such event taking place in the foreseeable future) which may increase the likelihood of the need to invoke the Service Continuity Plan.</w:t>
      </w:r>
      <w:r>
        <w:t xml:space="preserve"> </w:t>
      </w:r>
      <w:r w:rsidRPr="00025910">
        <w:t>The review shall be completed by the Supplier within the period required by the Service Continuity Plan or, if no such period is required, within such period as the Authority shall reasonably require.</w:t>
      </w:r>
      <w:r>
        <w:t xml:space="preserve"> </w:t>
      </w:r>
      <w:r w:rsidRPr="00025910">
        <w:t xml:space="preserve">The Supplier shall, within 20 </w:t>
      </w:r>
      <w:r w:rsidRPr="00631338">
        <w:t>Working</w:t>
      </w:r>
      <w:r w:rsidRPr="00025910">
        <w:t xml:space="preserve"> Days of the conclusion of each such review of the Service Continuity Plan, provide to the Authority a report (a </w:t>
      </w:r>
      <w:r>
        <w:t>“</w:t>
      </w:r>
      <w:r w:rsidRPr="00025910">
        <w:rPr>
          <w:rStyle w:val="StdBodyTextBoldChar"/>
          <w:rFonts w:eastAsia="Arial" w:cs="Arial"/>
        </w:rPr>
        <w:t>Review</w:t>
      </w:r>
      <w:r w:rsidRPr="00025910">
        <w:t xml:space="preserve"> </w:t>
      </w:r>
      <w:r w:rsidRPr="00025910">
        <w:rPr>
          <w:rStyle w:val="StdBodyTextBoldChar"/>
          <w:rFonts w:eastAsia="Arial" w:cs="Arial"/>
        </w:rPr>
        <w:t>Report</w:t>
      </w:r>
      <w:r>
        <w:t>”</w:t>
      </w:r>
      <w:r w:rsidRPr="00025910">
        <w:t>) setting out:</w:t>
      </w:r>
      <w:bookmarkEnd w:id="2235"/>
    </w:p>
    <w:p w14:paraId="30C1D836" w14:textId="77777777" w:rsidR="00F67E9E" w:rsidRPr="00025910" w:rsidRDefault="00F67E9E" w:rsidP="00F67E9E">
      <w:pPr>
        <w:pStyle w:val="Numbered111"/>
      </w:pPr>
      <w:bookmarkStart w:id="2237" w:name="_Ref_ContractCompanion_9kb9Us9CB"/>
      <w:bookmarkStart w:id="2238" w:name="_9kR3WTrAHADGHMHlqykjoxtp0z5E28Bx89EJ3I"/>
      <w:bookmarkStart w:id="2239" w:name="_9kR3WTrAG9DGINHlqykjoxtp0z5E28Bx89EJ3I"/>
      <w:r w:rsidRPr="00025910">
        <w:t>the findings of the review;</w:t>
      </w:r>
      <w:bookmarkEnd w:id="2237"/>
      <w:bookmarkEnd w:id="2238"/>
      <w:bookmarkEnd w:id="2239"/>
    </w:p>
    <w:p w14:paraId="17904E56" w14:textId="77777777" w:rsidR="00F67E9E" w:rsidRPr="00025910" w:rsidRDefault="00F67E9E" w:rsidP="00F67E9E">
      <w:pPr>
        <w:pStyle w:val="Numbered111"/>
      </w:pPr>
      <w:r w:rsidRPr="00025910">
        <w:t>any changes in the risk profile associated with the Services; and</w:t>
      </w:r>
    </w:p>
    <w:p w14:paraId="1619EDFF" w14:textId="77777777" w:rsidR="00F67E9E" w:rsidRPr="00025910" w:rsidRDefault="00F67E9E" w:rsidP="00F67E9E">
      <w:pPr>
        <w:pStyle w:val="Numbered111"/>
      </w:pPr>
      <w:bookmarkStart w:id="2240" w:name="_Ref_ContractCompanion_9kb9Us9D6"/>
      <w:bookmarkStart w:id="2241" w:name="_9kR3WTrAG9DHCGHnsykWhB74ys2HGGGFGK71KTJ"/>
      <w:r w:rsidRPr="00025910">
        <w:t>the Supplier</w:t>
      </w:r>
      <w:r>
        <w:t>’</w:t>
      </w:r>
      <w:r w:rsidRPr="00025910">
        <w:t xml:space="preserve">s proposals (the </w:t>
      </w:r>
      <w:r>
        <w:t>“</w:t>
      </w:r>
      <w:r w:rsidRPr="00025910">
        <w:rPr>
          <w:rStyle w:val="StdBodyTextBoldChar"/>
          <w:rFonts w:eastAsia="Arial" w:cs="Arial"/>
        </w:rPr>
        <w:t>Supplier</w:t>
      </w:r>
      <w:r>
        <w:rPr>
          <w:rStyle w:val="StdBodyTextBoldChar"/>
          <w:rFonts w:eastAsia="Arial" w:cs="Arial"/>
        </w:rPr>
        <w:t>’</w:t>
      </w:r>
      <w:r w:rsidRPr="00025910">
        <w:rPr>
          <w:rStyle w:val="StdBodyTextBoldChar"/>
          <w:rFonts w:eastAsia="Arial" w:cs="Arial"/>
        </w:rPr>
        <w:t>s Proposals</w:t>
      </w:r>
      <w:r>
        <w:t>”</w:t>
      </w:r>
      <w:r w:rsidRPr="00025910">
        <w:t>) for addressing any changes in the risk profile and its proposals for amendments to the Service Continuity Plan following the review detailing the impact (if any and to the extent that the Supplier can reasonably be expected to be aware of the same) that the implementation of such proposals may have on any services or systems provided by a third party.</w:t>
      </w:r>
      <w:bookmarkEnd w:id="2240"/>
      <w:bookmarkEnd w:id="2241"/>
    </w:p>
    <w:p w14:paraId="7BCBFE50" w14:textId="77777777" w:rsidR="00F67E9E" w:rsidRPr="00025910" w:rsidRDefault="00F67E9E" w:rsidP="00F67E9E">
      <w:pPr>
        <w:pStyle w:val="Numbered11"/>
      </w:pPr>
      <w:bookmarkStart w:id="2242" w:name="_Ref_ContractCompanion_9kb9Us9GA"/>
      <w:bookmarkStart w:id="2243" w:name="_9kR3WTrAG9DKGHIRKxvzB6yx21nov7JJ6CF1mhI"/>
      <w:r w:rsidRPr="00025910">
        <w:t>Following receipt of the Review Report and the Supplier</w:t>
      </w:r>
      <w:r>
        <w:t>’</w:t>
      </w:r>
      <w:r w:rsidRPr="00025910">
        <w:t>s Proposals, the Authority shall:</w:t>
      </w:r>
      <w:bookmarkEnd w:id="2242"/>
      <w:bookmarkEnd w:id="2243"/>
    </w:p>
    <w:p w14:paraId="5BE8497C" w14:textId="77777777" w:rsidR="00F67E9E" w:rsidRPr="00631338" w:rsidRDefault="00F67E9E" w:rsidP="00F67E9E">
      <w:pPr>
        <w:pStyle w:val="Numbered111"/>
      </w:pPr>
      <w:r w:rsidRPr="00025910">
        <w:t>review and comment on the Review Report and the Supplier</w:t>
      </w:r>
      <w:r>
        <w:t>’</w:t>
      </w:r>
      <w:r w:rsidRPr="00025910">
        <w:t xml:space="preserve">s Proposals as soon as </w:t>
      </w:r>
      <w:r w:rsidRPr="00631338">
        <w:t>reasonably practicable; and</w:t>
      </w:r>
    </w:p>
    <w:p w14:paraId="7957EECA" w14:textId="77777777" w:rsidR="00F67E9E" w:rsidRPr="00025910" w:rsidRDefault="00F67E9E" w:rsidP="00F67E9E">
      <w:pPr>
        <w:pStyle w:val="Numbered111"/>
      </w:pPr>
      <w:r w:rsidRPr="00631338">
        <w:t>notify the S</w:t>
      </w:r>
      <w:r w:rsidRPr="00025910">
        <w:t>upplier in writing that it approves or rejects the Review Report and the Supplier</w:t>
      </w:r>
      <w:r>
        <w:t>’</w:t>
      </w:r>
      <w:r w:rsidRPr="00025910">
        <w:t xml:space="preserve">s Proposals no later than 20 Working Days after the date on which they are first delivered to the Authority. </w:t>
      </w:r>
    </w:p>
    <w:p w14:paraId="3D70A5EE" w14:textId="77777777" w:rsidR="00F67E9E" w:rsidRPr="00025910" w:rsidRDefault="00F67E9E" w:rsidP="00F67E9E">
      <w:pPr>
        <w:pStyle w:val="Numbered11"/>
      </w:pPr>
      <w:bookmarkStart w:id="2244" w:name="_Ref_ContractCompanion_9kb9Us9GD"/>
      <w:bookmarkStart w:id="2245" w:name="_9kR3WTrAG9DKJKJVEwzlFQG40B69QP6z0uARSI4"/>
      <w:r w:rsidRPr="00025910">
        <w:t>If the Authority rejects the Review Report and/or the Supplier</w:t>
      </w:r>
      <w:r>
        <w:t>’</w:t>
      </w:r>
      <w:r w:rsidRPr="00025910">
        <w:t>s Proposals:</w:t>
      </w:r>
      <w:bookmarkEnd w:id="2244"/>
      <w:bookmarkEnd w:id="2245"/>
    </w:p>
    <w:p w14:paraId="259A80B1" w14:textId="77777777" w:rsidR="00F67E9E" w:rsidRPr="00025910" w:rsidRDefault="00F67E9E" w:rsidP="00F67E9E">
      <w:pPr>
        <w:pStyle w:val="Numbered111"/>
      </w:pPr>
      <w:r w:rsidRPr="00025910">
        <w:t>the Authority shall inform the Supplier in writing of its reasons for its rejection; and</w:t>
      </w:r>
    </w:p>
    <w:p w14:paraId="3347C8FD" w14:textId="75C20126" w:rsidR="00F67E9E" w:rsidRPr="00025910" w:rsidRDefault="00F67E9E" w:rsidP="00F67E9E">
      <w:pPr>
        <w:pStyle w:val="Numbered111"/>
      </w:pPr>
      <w:r w:rsidRPr="00025910">
        <w:t>the Supplier shall then revise the Review Report and/or the Supplier</w:t>
      </w:r>
      <w:r>
        <w:t>’</w:t>
      </w:r>
      <w:r w:rsidRPr="00025910">
        <w:t>s Proposals as the case may be (taking reasonable account of the Authority</w:t>
      </w:r>
      <w:r>
        <w:t>’</w:t>
      </w:r>
      <w:r w:rsidRPr="00025910">
        <w:t>s comments and carrying out any necessary actions in connection with the revision) and shall re-submit a revised Review Report and/or revised Supplier</w:t>
      </w:r>
      <w:r>
        <w:t>’</w:t>
      </w:r>
      <w:r w:rsidRPr="00025910">
        <w:t>s Proposals to the Authority for the Authority</w:t>
      </w:r>
      <w:r>
        <w:t>’</w:t>
      </w:r>
      <w:r w:rsidRPr="00025910">
        <w:t>s approval within 20 Working Days of the date of the Authority</w:t>
      </w:r>
      <w:r>
        <w:t>’</w:t>
      </w:r>
      <w:r w:rsidRPr="00025910">
        <w:t xml:space="preserve">s notice of rejection. The provisions of </w:t>
      </w:r>
      <w:bookmarkStart w:id="2246" w:name="_9kMHG5YVtCIBFMIJKTMzx1D80z43pqx9LL8EH3o"/>
      <w:r w:rsidRPr="00025910">
        <w:t>Paragraph</w:t>
      </w:r>
      <w:r>
        <w:t> </w:t>
      </w:r>
      <w:r w:rsidRPr="00025910">
        <w:fldChar w:fldCharType="begin"/>
      </w:r>
      <w:r w:rsidRPr="00025910">
        <w:instrText xml:space="preserve"> REF _Ref_ContractCompanion_9kb9Us9GA \n \h \t \* MERGEFORMAT </w:instrText>
      </w:r>
      <w:r w:rsidRPr="00025910">
        <w:fldChar w:fldCharType="separate"/>
      </w:r>
      <w:r w:rsidR="00302D39">
        <w:t>7.3</w:t>
      </w:r>
      <w:r w:rsidRPr="00025910">
        <w:fldChar w:fldCharType="end"/>
      </w:r>
      <w:bookmarkEnd w:id="2246"/>
      <w:r w:rsidRPr="00025910">
        <w:t xml:space="preserve"> and this </w:t>
      </w:r>
      <w:bookmarkStart w:id="2247" w:name="_9kMHG5YVtCIBFMLMLXGy1nHSI62D8BSR812wCTU"/>
      <w:r w:rsidRPr="00025910">
        <w:t xml:space="preserve">Paragraph </w:t>
      </w:r>
      <w:r w:rsidRPr="00025910">
        <w:fldChar w:fldCharType="begin"/>
      </w:r>
      <w:r w:rsidRPr="00025910">
        <w:instrText xml:space="preserve"> REF _Ref_ContractCompanion_9kb9Us9GD \n \h \t \* MERGEFORMAT </w:instrText>
      </w:r>
      <w:r w:rsidRPr="00025910">
        <w:fldChar w:fldCharType="separate"/>
      </w:r>
      <w:r w:rsidR="00302D39">
        <w:t>7.4</w:t>
      </w:r>
      <w:r w:rsidRPr="00025910">
        <w:fldChar w:fldCharType="end"/>
      </w:r>
      <w:bookmarkEnd w:id="2247"/>
      <w:r w:rsidRPr="00025910">
        <w:t xml:space="preserve"> shall apply again to any resubmitted Review Report and Supplier</w:t>
      </w:r>
      <w:r>
        <w:t>’</w:t>
      </w:r>
      <w:r w:rsidRPr="00025910">
        <w:t>s Proposals, provided that either Party may refer any disputed matters for resolution by the Dispute Resolution Procedure at any time.</w:t>
      </w:r>
    </w:p>
    <w:p w14:paraId="63F65EB6" w14:textId="77777777" w:rsidR="00F67E9E" w:rsidRPr="00025910" w:rsidRDefault="00F67E9E" w:rsidP="00F67E9E">
      <w:pPr>
        <w:pStyle w:val="Numbered11"/>
      </w:pPr>
      <w:r w:rsidRPr="00025910">
        <w:t>The Supplier shall as soon as is reasonably practicable after receiving the Authority</w:t>
      </w:r>
      <w:r>
        <w:t>’</w:t>
      </w:r>
      <w:r w:rsidRPr="00025910">
        <w:t>s approval of the Supplier</w:t>
      </w:r>
      <w:r>
        <w:t>’</w:t>
      </w:r>
      <w:r w:rsidRPr="00025910">
        <w:t>s Proposals (having regard to the significance of any risks highlighted in the Review Report) effect any change in its practices or procedures necessary so as to give effect to the Supplier</w:t>
      </w:r>
      <w:r>
        <w:t>’</w:t>
      </w:r>
      <w:r w:rsidRPr="00025910">
        <w:t>s Proposals.</w:t>
      </w:r>
      <w:r>
        <w:t xml:space="preserve"> </w:t>
      </w:r>
      <w:r w:rsidRPr="00025910">
        <w:t>Any such change shall be at the Supplier</w:t>
      </w:r>
      <w:r>
        <w:t>’</w:t>
      </w:r>
      <w:r w:rsidRPr="00025910">
        <w:t>s expense unless it can be reasonably shown that the changes are required because of a material change to the risk profile of the Services.</w:t>
      </w:r>
    </w:p>
    <w:p w14:paraId="7D9C4CEC" w14:textId="77777777" w:rsidR="00F67E9E" w:rsidRPr="00025910" w:rsidRDefault="00F67E9E" w:rsidP="00F67E9E">
      <w:pPr>
        <w:pStyle w:val="Numbered1"/>
      </w:pPr>
      <w:r w:rsidRPr="00025910">
        <w:t xml:space="preserve">Testing </w:t>
      </w:r>
      <w:r>
        <w:t>o</w:t>
      </w:r>
      <w:r w:rsidRPr="00025910">
        <w:t xml:space="preserve">f </w:t>
      </w:r>
      <w:r>
        <w:t>t</w:t>
      </w:r>
      <w:r w:rsidRPr="00025910">
        <w:t>he Service Continuity Plan</w:t>
      </w:r>
    </w:p>
    <w:p w14:paraId="703FEDA5" w14:textId="22BBBADC" w:rsidR="00F67E9E" w:rsidRPr="00025910" w:rsidRDefault="00F67E9E" w:rsidP="00F67E9E">
      <w:pPr>
        <w:pStyle w:val="Numbered11"/>
      </w:pPr>
      <w:r w:rsidRPr="00025910">
        <w:t>The Supplier shall test the Service Continuity Plan on a regular basis (and in any event not less than once in every Contract Year).</w:t>
      </w:r>
      <w:r>
        <w:t xml:space="preserve"> </w:t>
      </w:r>
      <w:r w:rsidRPr="00025910">
        <w:t xml:space="preserve">Subject to </w:t>
      </w:r>
      <w:bookmarkStart w:id="2248" w:name="_9kMHG5YVtCIBFMOQKVGy1nHSI62D8BSR88PIGDF"/>
      <w:r w:rsidRPr="00025910">
        <w:t xml:space="preserve">Paragraph </w:t>
      </w:r>
      <w:r w:rsidRPr="00025910">
        <w:fldChar w:fldCharType="begin"/>
      </w:r>
      <w:r w:rsidRPr="00025910">
        <w:instrText xml:space="preserve"> REF _Ref_ContractCompanion_9kb9Us9GG \n \h \t \* MERGEFORMAT </w:instrText>
      </w:r>
      <w:r w:rsidRPr="00025910">
        <w:fldChar w:fldCharType="separate"/>
      </w:r>
      <w:r w:rsidR="00302D39">
        <w:t>8.2</w:t>
      </w:r>
      <w:r w:rsidRPr="00025910">
        <w:fldChar w:fldCharType="end"/>
      </w:r>
      <w:bookmarkEnd w:id="2248"/>
      <w:r w:rsidRPr="00025910">
        <w:t>, the Authority may require the Supplier to conduct additional tests of some or all aspects of the Service Continuity Plan at any time where the Authority considers it necessary, including where there has been any change to the Services or any underlying business processes, or on the occurrence of any event which may increase the likelihood of the need to implement the Service Continuity Plan.</w:t>
      </w:r>
    </w:p>
    <w:p w14:paraId="5F8CD324" w14:textId="77777777" w:rsidR="00F67E9E" w:rsidRPr="00025910" w:rsidRDefault="00F67E9E" w:rsidP="00F67E9E">
      <w:pPr>
        <w:pStyle w:val="Numbered11"/>
      </w:pPr>
      <w:bookmarkStart w:id="2249" w:name="_9kR3WTrAG9DKMOITEwzlFQG40B69QP66NGEBDA6"/>
      <w:bookmarkStart w:id="2250" w:name="_Ref_ContractCompanion_9kb9Us9GG"/>
      <w:r w:rsidRPr="00025910">
        <w:t>If the Authority requires an additional test of the Service Continuity Plan, it shall give the Supplier written notice and the Supplier shall conduct the test in accordance with the Authority</w:t>
      </w:r>
      <w:r>
        <w:t>’</w:t>
      </w:r>
      <w:r w:rsidRPr="00025910">
        <w:t>s requirements and the relevant provisions of the Service Continuity Plan.</w:t>
      </w:r>
      <w:bookmarkEnd w:id="2249"/>
      <w:r>
        <w:t xml:space="preserve"> </w:t>
      </w:r>
      <w:r w:rsidRPr="00025910">
        <w:t>The Supplier</w:t>
      </w:r>
      <w:r>
        <w:t>’</w:t>
      </w:r>
      <w:r w:rsidRPr="00025910">
        <w:t>s costs of the additional test shall be borne by the Authority unless the Service Continuity Plan fails the additional test in which case the Supplier</w:t>
      </w:r>
      <w:r>
        <w:t>’</w:t>
      </w:r>
      <w:r w:rsidRPr="00025910">
        <w:t>s costs of that failed test shall be borne by the Supplier.</w:t>
      </w:r>
      <w:bookmarkEnd w:id="2250"/>
    </w:p>
    <w:p w14:paraId="388D0430" w14:textId="77777777" w:rsidR="00F67E9E" w:rsidRPr="00025910" w:rsidRDefault="00F67E9E" w:rsidP="00F67E9E">
      <w:pPr>
        <w:pStyle w:val="Numbered11"/>
      </w:pPr>
      <w:r w:rsidRPr="00025910">
        <w:t>The Supplier shall undertake and manage testing of the Service Continuity Plan in full consultation with the Authority and shall liaise with the Authority in respect of the planning, performance, and review, of each test, and shall comply with the reasonable requirements of the Authority in this regard.</w:t>
      </w:r>
      <w:r>
        <w:t xml:space="preserve"> </w:t>
      </w:r>
      <w:r w:rsidRPr="00025910">
        <w:t>Each test shall be carried out under the supervision of the Authority or its nominee.</w:t>
      </w:r>
    </w:p>
    <w:p w14:paraId="14E685CC" w14:textId="77777777" w:rsidR="00F67E9E" w:rsidRPr="00025910" w:rsidRDefault="00F67E9E" w:rsidP="00F67E9E">
      <w:pPr>
        <w:pStyle w:val="Numbered11"/>
      </w:pPr>
      <w:r w:rsidRPr="00025910">
        <w:t xml:space="preserve">The Supplier shall ensure that any use by it or any Sub-contractor of </w:t>
      </w:r>
      <w:r>
        <w:t>“</w:t>
      </w:r>
      <w:r w:rsidRPr="00025910">
        <w:t>live</w:t>
      </w:r>
      <w:r>
        <w:t>”</w:t>
      </w:r>
      <w:r w:rsidRPr="00025910">
        <w:t xml:space="preserve"> data in such testing is first approved with the Authority. Copies of live test data used in any such testing shall be (if so required by the Authority) destroyed or returned to the Authority on completion of the test.</w:t>
      </w:r>
    </w:p>
    <w:p w14:paraId="6AA7AD36" w14:textId="77777777" w:rsidR="00F67E9E" w:rsidRPr="00025910" w:rsidRDefault="00F67E9E" w:rsidP="00F67E9E">
      <w:pPr>
        <w:pStyle w:val="Numbered11"/>
      </w:pPr>
      <w:r w:rsidRPr="00025910">
        <w:t>The Supplier shall, within 20 Working Days of the conclusion of each test, provide to the Authority a report setting out:</w:t>
      </w:r>
    </w:p>
    <w:p w14:paraId="3DACE31C" w14:textId="77777777" w:rsidR="00F67E9E" w:rsidRPr="00025910" w:rsidRDefault="00F67E9E" w:rsidP="00F67E9E">
      <w:pPr>
        <w:pStyle w:val="Numbered111"/>
      </w:pPr>
      <w:r w:rsidRPr="00025910">
        <w:t>the outcome of the test;</w:t>
      </w:r>
    </w:p>
    <w:p w14:paraId="2C9171A1" w14:textId="77777777" w:rsidR="00F67E9E" w:rsidRPr="00025910" w:rsidRDefault="00F67E9E" w:rsidP="00F67E9E">
      <w:pPr>
        <w:pStyle w:val="Numbered111"/>
      </w:pPr>
      <w:r w:rsidRPr="00025910">
        <w:t>any failures in the Service Continuity Plan (including the Service Continuity Plan</w:t>
      </w:r>
      <w:r>
        <w:t>’</w:t>
      </w:r>
      <w:r w:rsidRPr="00025910">
        <w:t>s procedures) revealed by the test; and</w:t>
      </w:r>
    </w:p>
    <w:p w14:paraId="62C0F9C3" w14:textId="77777777" w:rsidR="00F67E9E" w:rsidRPr="00025910" w:rsidRDefault="00F67E9E" w:rsidP="00F67E9E">
      <w:pPr>
        <w:pStyle w:val="Numbered111"/>
      </w:pPr>
      <w:r w:rsidRPr="00025910">
        <w:t>the Supplier</w:t>
      </w:r>
      <w:r>
        <w:t>’</w:t>
      </w:r>
      <w:r w:rsidRPr="00025910">
        <w:t>s proposals for remedying any such failures.</w:t>
      </w:r>
    </w:p>
    <w:p w14:paraId="203AAA99" w14:textId="77777777" w:rsidR="00F67E9E" w:rsidRPr="00025910" w:rsidRDefault="00F67E9E" w:rsidP="00F67E9E">
      <w:pPr>
        <w:pStyle w:val="Numbered11"/>
      </w:pPr>
      <w:bookmarkStart w:id="2251" w:name="_9kR3WTrAG9CD7FMUKxvzB6yxpkjr977NPE0mxRN"/>
      <w:r w:rsidRPr="00025910">
        <w:t>Following each test, the Supplier shall take all measures requested by the Authority, (including requests for the re-testing of the Service Continuity Plan) to remedy any failures in the Service Continuity Plan and such remedial activity and re-testing shall be completed by the Supplier, at no additional cost to the Authority, by the date reasonably required by the Authority and set out in such notice.</w:t>
      </w:r>
      <w:bookmarkEnd w:id="2251"/>
    </w:p>
    <w:p w14:paraId="05AF739F" w14:textId="77777777" w:rsidR="00F67E9E" w:rsidRPr="00025910" w:rsidRDefault="00F67E9E" w:rsidP="00F67E9E">
      <w:pPr>
        <w:pStyle w:val="Numbered11"/>
      </w:pPr>
      <w:r w:rsidRPr="00025910">
        <w:t>For the avoidance of doubt, the carrying out of a test of the Service Continuity Plan (including a test of the Service Continuity Plan</w:t>
      </w:r>
      <w:r>
        <w:t>’</w:t>
      </w:r>
      <w:r w:rsidRPr="00025910">
        <w:t>s procedures) shall not relieve the Supplier of any of its obligations under this Contract.</w:t>
      </w:r>
    </w:p>
    <w:p w14:paraId="36F34B8A" w14:textId="77777777" w:rsidR="00F67E9E" w:rsidRPr="00025910" w:rsidRDefault="00F67E9E" w:rsidP="00F67E9E">
      <w:pPr>
        <w:pStyle w:val="Numbered11"/>
      </w:pPr>
      <w:r w:rsidRPr="00025910">
        <w:t>The Supplier shall also perform a test of the Service Continuity Plan in the event of any major reconfiguration of the Services or as otherwise reasonably requested by the Authority.</w:t>
      </w:r>
    </w:p>
    <w:p w14:paraId="2EA5D07D" w14:textId="77777777" w:rsidR="00F67E9E" w:rsidRPr="00025910" w:rsidRDefault="00F67E9E" w:rsidP="00F67E9E">
      <w:pPr>
        <w:pStyle w:val="Numbered1"/>
      </w:pPr>
      <w:bookmarkStart w:id="2252" w:name="_Ref_ContractCompanion_9kb9Us47E"/>
      <w:bookmarkStart w:id="2253" w:name="_9kR3WTrAG98CBaJfifw5qEUmOxHbmoAOQ8vDMIO"/>
      <w:bookmarkStart w:id="2254" w:name="_9kR3WTr29B879cJfifw5qEUmOxHbmoAOQ8vDMIO"/>
      <w:r w:rsidRPr="00631338">
        <w:t>Invocation</w:t>
      </w:r>
      <w:r w:rsidRPr="00025910">
        <w:t xml:space="preserve"> </w:t>
      </w:r>
      <w:r>
        <w:t>o</w:t>
      </w:r>
      <w:r w:rsidRPr="00025910">
        <w:t xml:space="preserve">f </w:t>
      </w:r>
      <w:r>
        <w:t>t</w:t>
      </w:r>
      <w:r w:rsidRPr="00025910">
        <w:t>he Service Continuity Plan</w:t>
      </w:r>
      <w:bookmarkEnd w:id="2252"/>
      <w:bookmarkEnd w:id="2253"/>
      <w:bookmarkEnd w:id="2254"/>
    </w:p>
    <w:p w14:paraId="2A3C1FB5" w14:textId="77777777" w:rsidR="00F67E9E" w:rsidRPr="00025910" w:rsidRDefault="00F67E9E" w:rsidP="00F67E9E">
      <w:pPr>
        <w:pStyle w:val="Numbered11"/>
      </w:pPr>
      <w:r w:rsidRPr="00025910">
        <w:t>In the event of a loss of any critical part of the Service or a Disaster, the Supplier shall immediately invoke the business continuity and disaster recovery provisions in the Service Continuity Plan, including any linked elements in other parts of the Service Continuity Plan, and shall inform the Authority promptly of such invocation.</w:t>
      </w:r>
      <w:r>
        <w:t xml:space="preserve"> </w:t>
      </w:r>
      <w:r w:rsidRPr="00025910">
        <w:t>In all other instances the Supplier shall invoke the business continuity and disaster recovery plan elements only with the prior consent of the Authority.</w:t>
      </w:r>
    </w:p>
    <w:p w14:paraId="5F99237E" w14:textId="77777777" w:rsidR="00F67E9E" w:rsidRPr="00025910" w:rsidRDefault="00F67E9E" w:rsidP="00F67E9E">
      <w:pPr>
        <w:pStyle w:val="Numbered11"/>
      </w:pPr>
      <w:r w:rsidRPr="00025910">
        <w:t>The Insolvency Continuity Plan element of the Service Continuity Plans, including any linked elements in other parts of the Service Continuity Plan, shall be invoked by the Supplier:</w:t>
      </w:r>
    </w:p>
    <w:p w14:paraId="10F37038" w14:textId="77777777" w:rsidR="00F67E9E" w:rsidRPr="00025910" w:rsidRDefault="00F67E9E" w:rsidP="00F67E9E">
      <w:pPr>
        <w:pStyle w:val="Numbered111"/>
      </w:pPr>
      <w:r w:rsidRPr="00025910">
        <w:t>where an Insolvency Event of a Key Sub-contractor and/or Supplier Group member (other than the Supplier) could reasonably be expected to adversely affect delivery of the Services; and/or</w:t>
      </w:r>
    </w:p>
    <w:p w14:paraId="6624C6D8" w14:textId="77777777" w:rsidR="00F67E9E" w:rsidRDefault="00F67E9E" w:rsidP="00F67E9E">
      <w:pPr>
        <w:pStyle w:val="Numbered111"/>
      </w:pPr>
      <w:r w:rsidRPr="00025910">
        <w:t>where there is an Insolvency Event of the Supplier and the insolvency arrangements enable the Supplier to invoke the plan;</w:t>
      </w:r>
    </w:p>
    <w:p w14:paraId="2BED36A5" w14:textId="77777777" w:rsidR="00F67E9E" w:rsidRDefault="00F67E9E" w:rsidP="00F67E9E"/>
    <w:p w14:paraId="46561A2E" w14:textId="77777777" w:rsidR="00F67E9E" w:rsidRDefault="00F67E9E" w:rsidP="00F67E9E">
      <w:pPr>
        <w:pStyle w:val="Heading2"/>
        <w:pageBreakBefore/>
      </w:pPr>
      <w:bookmarkStart w:id="2255" w:name="Sch26PartB"/>
      <w:bookmarkStart w:id="2256" w:name="_9kR3WTr29B878bJfifw5qEUmOxHcq4KMKNADIHI"/>
      <w:bookmarkStart w:id="2257" w:name="_Ref_ContractCompanion_9kb9Ur13B"/>
      <w:bookmarkStart w:id="2258" w:name="_Ref_ContractCompanion_9kb9Ur144"/>
      <w:bookmarkStart w:id="2259" w:name="_Ref_ContractCompanion_9kb9Ur146"/>
      <w:bookmarkStart w:id="2260" w:name="_Toc141711979"/>
      <w:r w:rsidRPr="00025910">
        <w:t>Part B</w:t>
      </w:r>
      <w:bookmarkEnd w:id="2255"/>
      <w:r w:rsidRPr="00025910">
        <w:t>: Corporate Resolution Planning</w:t>
      </w:r>
      <w:bookmarkEnd w:id="2256"/>
      <w:bookmarkEnd w:id="2257"/>
      <w:bookmarkEnd w:id="2258"/>
      <w:bookmarkEnd w:id="2259"/>
      <w:bookmarkEnd w:id="2260"/>
    </w:p>
    <w:p w14:paraId="70372010" w14:textId="77777777" w:rsidR="00F67E9E" w:rsidRPr="00631338" w:rsidRDefault="00F67E9E" w:rsidP="00F67E9E">
      <w:pPr>
        <w:pStyle w:val="AppendixText1"/>
        <w:numPr>
          <w:ilvl w:val="0"/>
          <w:numId w:val="71"/>
        </w:numPr>
        <w:rPr>
          <w:color w:val="1F497D"/>
        </w:rPr>
      </w:pPr>
      <w:bookmarkStart w:id="2261" w:name="_9kR3WTr8E846899"/>
      <w:bookmarkEnd w:id="2261"/>
      <w:r w:rsidRPr="00631338">
        <w:rPr>
          <w:color w:val="1F497D"/>
        </w:rPr>
        <w:t>Service Status and Supplier Status</w:t>
      </w:r>
    </w:p>
    <w:p w14:paraId="0DD5FF59" w14:textId="77777777" w:rsidR="00F67E9E" w:rsidRPr="00025910" w:rsidRDefault="00F67E9E" w:rsidP="00F67E9E">
      <w:pPr>
        <w:pStyle w:val="AppendixText2"/>
        <w:numPr>
          <w:ilvl w:val="1"/>
          <w:numId w:val="71"/>
        </w:numPr>
      </w:pPr>
      <w:bookmarkStart w:id="2262" w:name="_Ref44508113"/>
      <w:bookmarkStart w:id="2263" w:name="_Ref_ContractCompanion_9kb9Ur178"/>
      <w:bookmarkStart w:id="2264" w:name="_Ref_ContractCompanion_9kb9Ur17A"/>
      <w:r w:rsidRPr="00631338">
        <w:t>This</w:t>
      </w:r>
      <w:r w:rsidRPr="00025910">
        <w:t xml:space="preserve"> Contract</w:t>
      </w:r>
      <w:r w:rsidRPr="0018147A">
        <w:t xml:space="preserve"> </w:t>
      </w:r>
      <w:r w:rsidRPr="00B73DD6">
        <w:rPr>
          <w:b/>
          <w:highlight w:val="yellow"/>
        </w:rPr>
        <w:t>[insert</w:t>
      </w:r>
      <w:r w:rsidRPr="00631338">
        <w:rPr>
          <w:rStyle w:val="StdBodyTextBoldChar"/>
          <w:rFonts w:eastAsia="Arial" w:cs="Arial"/>
          <w:b w:val="0"/>
          <w:bCs/>
          <w:highlight w:val="yellow"/>
        </w:rPr>
        <w:t xml:space="preserve"> ‘is’ or ‘is not’</w:t>
      </w:r>
      <w:r w:rsidRPr="00631338">
        <w:rPr>
          <w:bCs/>
          <w:highlight w:val="yellow"/>
        </w:rPr>
        <w:t>]</w:t>
      </w:r>
      <w:r w:rsidRPr="0018147A">
        <w:t xml:space="preserve"> a Critical </w:t>
      </w:r>
      <w:r w:rsidRPr="00025910">
        <w:t>Service Contract.</w:t>
      </w:r>
      <w:bookmarkEnd w:id="2262"/>
      <w:r w:rsidRPr="00025910">
        <w:t xml:space="preserve"> </w:t>
      </w:r>
      <w:bookmarkEnd w:id="2263"/>
      <w:bookmarkEnd w:id="2264"/>
    </w:p>
    <w:p w14:paraId="65B1C4C8" w14:textId="77777777" w:rsidR="00F67E9E" w:rsidRPr="00266335" w:rsidRDefault="00F67E9E" w:rsidP="00F67E9E">
      <w:pPr>
        <w:pStyle w:val="StdBodyText2"/>
        <w:rPr>
          <w:rFonts w:cs="Arial"/>
          <w:i/>
        </w:rPr>
      </w:pPr>
      <w:r>
        <w:rPr>
          <w:rStyle w:val="StdBodyTextBoldChar"/>
          <w:rFonts w:cs="Arial"/>
          <w:i/>
          <w:highlight w:val="yellow"/>
        </w:rPr>
        <w:t>[Guidance note:</w:t>
      </w:r>
      <w:r w:rsidRPr="00266335">
        <w:rPr>
          <w:rStyle w:val="StdBodyTextBoldChar"/>
          <w:rFonts w:cs="Arial"/>
          <w:i/>
          <w:highlight w:val="yellow"/>
        </w:rPr>
        <w:t xml:space="preserve"> A Critical Service Contract is a service contract which the Authority has categorised as a Gold contract using the Cabinet Office Contract Tiering Tool available on the Knowledge Hub or which the Authority </w:t>
      </w:r>
      <w:r w:rsidRPr="00266335">
        <w:rPr>
          <w:b/>
          <w:bCs/>
          <w:i/>
          <w:highlight w:val="yellow"/>
        </w:rPr>
        <w:t>in consultation with the Cabinet Office Markets and Suppliers Team if appropriate</w:t>
      </w:r>
      <w:r w:rsidRPr="00266335">
        <w:rPr>
          <w:rStyle w:val="StdBodyTextBoldChar"/>
          <w:rFonts w:cs="Arial"/>
          <w:b w:val="0"/>
          <w:bCs/>
          <w:i/>
          <w:highlight w:val="yellow"/>
        </w:rPr>
        <w:t xml:space="preserve"> </w:t>
      </w:r>
      <w:r w:rsidRPr="00266335">
        <w:rPr>
          <w:rStyle w:val="StdBodyTextBoldChar"/>
          <w:rFonts w:cs="Arial"/>
          <w:i/>
          <w:highlight w:val="yellow"/>
        </w:rPr>
        <w:t>otherwise considers should be classed as a Critical Service Contract.]</w:t>
      </w:r>
    </w:p>
    <w:p w14:paraId="6FD7297C" w14:textId="77777777" w:rsidR="00F67E9E" w:rsidRPr="0018147A" w:rsidRDefault="00F67E9E" w:rsidP="00F67E9E">
      <w:pPr>
        <w:pStyle w:val="AppendixText2"/>
        <w:numPr>
          <w:ilvl w:val="1"/>
          <w:numId w:val="71"/>
        </w:numPr>
      </w:pPr>
      <w:r w:rsidRPr="0018147A">
        <w:t xml:space="preserve">The Supplier shall notify the Authority </w:t>
      </w:r>
      <w:r>
        <w:t>and the Cabinet Office Markets and Suppliers Team (</w:t>
      </w:r>
      <w:bookmarkStart w:id="2265" w:name="_Hlk80019660"/>
      <w:r>
        <w:fldChar w:fldCharType="begin"/>
      </w:r>
      <w:r>
        <w:instrText xml:space="preserve"> HYPERLINK "mailto:Resolution.planning@cabinetoffice.gov.uk" </w:instrText>
      </w:r>
      <w:r>
        <w:fldChar w:fldCharType="separate"/>
      </w:r>
      <w:r w:rsidRPr="00C7229A">
        <w:rPr>
          <w:rStyle w:val="Hyperlink"/>
        </w:rPr>
        <w:t>Resolution.planning@cabinetoffice.gov.uk</w:t>
      </w:r>
      <w:r>
        <w:fldChar w:fldCharType="end"/>
      </w:r>
      <w:r>
        <w:t xml:space="preserve">) </w:t>
      </w:r>
      <w:bookmarkEnd w:id="2265"/>
      <w:r w:rsidRPr="0018147A">
        <w:t xml:space="preserve">in writing within 5 Working Days of the Effective Date and throughout </w:t>
      </w:r>
      <w:r w:rsidRPr="00631338">
        <w:t>the</w:t>
      </w:r>
      <w:r w:rsidRPr="0018147A">
        <w:t xml:space="preserve"> Term within 120 days after each Accounting Reference Date as to whether or not it is a Public Sector Dependent Supplier.</w:t>
      </w:r>
    </w:p>
    <w:p w14:paraId="2C5F6B6A" w14:textId="77777777" w:rsidR="00F67E9E" w:rsidRPr="00631338" w:rsidRDefault="00F67E9E" w:rsidP="00F67E9E">
      <w:pPr>
        <w:pStyle w:val="AppendixText1"/>
        <w:numPr>
          <w:ilvl w:val="0"/>
          <w:numId w:val="71"/>
        </w:numPr>
        <w:rPr>
          <w:color w:val="1F497D"/>
        </w:rPr>
      </w:pPr>
      <w:bookmarkStart w:id="2266" w:name="_Ref_ContractCompanion_9kb9Ur29F"/>
      <w:bookmarkStart w:id="2267" w:name="_Ref_ContractCompanion_9kb9Ur35A"/>
      <w:r w:rsidRPr="00631338">
        <w:rPr>
          <w:color w:val="1F497D"/>
        </w:rPr>
        <w:t>Provision of Corporate Resolution Planning Information</w:t>
      </w:r>
      <w:bookmarkEnd w:id="2266"/>
      <w:bookmarkEnd w:id="2267"/>
      <w:r w:rsidRPr="00631338">
        <w:rPr>
          <w:color w:val="1F497D"/>
        </w:rPr>
        <w:t xml:space="preserve"> (CRP Information)</w:t>
      </w:r>
    </w:p>
    <w:p w14:paraId="63A8949A" w14:textId="07D2C252" w:rsidR="00F67E9E" w:rsidRPr="00631338" w:rsidRDefault="00F67E9E" w:rsidP="00F67E9E">
      <w:pPr>
        <w:pStyle w:val="AppendixText2"/>
        <w:numPr>
          <w:ilvl w:val="1"/>
          <w:numId w:val="71"/>
        </w:numPr>
      </w:pPr>
      <w:bookmarkStart w:id="2268" w:name="_9kR3WTr2CC6DLfEnoewrqy2NK"/>
      <w:r w:rsidRPr="00025910">
        <w:t xml:space="preserve">Paragraphs </w:t>
      </w:r>
      <w:r w:rsidRPr="00025910">
        <w:fldChar w:fldCharType="begin"/>
      </w:r>
      <w:r w:rsidRPr="00025910">
        <w:instrText xml:space="preserve"> REF _Ref_ContractCompanion_9kb9Ur29F \w \n \h \t \* MERGEFORMAT </w:instrText>
      </w:r>
      <w:r w:rsidRPr="00025910">
        <w:fldChar w:fldCharType="separate"/>
      </w:r>
      <w:r w:rsidR="00302D39">
        <w:t>2</w:t>
      </w:r>
      <w:r w:rsidRPr="00025910">
        <w:fldChar w:fldCharType="end"/>
      </w:r>
      <w:bookmarkEnd w:id="2268"/>
      <w:r w:rsidRPr="00025910">
        <w:t xml:space="preserve"> to </w:t>
      </w:r>
      <w:bookmarkStart w:id="2269" w:name="_9kR3WTr2CC6EFAC"/>
      <w:r w:rsidRPr="00025910">
        <w:fldChar w:fldCharType="begin"/>
      </w:r>
      <w:r w:rsidRPr="00025910">
        <w:instrText xml:space="preserve"> REF _Ref_ContractCompanion_9kb9Ur2A9 \w \n \h \t \* MERGEFORMAT </w:instrText>
      </w:r>
      <w:r w:rsidRPr="00025910">
        <w:fldChar w:fldCharType="separate"/>
      </w:r>
      <w:r w:rsidR="00302D39">
        <w:t>4</w:t>
      </w:r>
      <w:r w:rsidRPr="00025910">
        <w:fldChar w:fldCharType="end"/>
      </w:r>
      <w:bookmarkEnd w:id="2269"/>
      <w:r w:rsidRPr="00025910">
        <w:t xml:space="preserve"> of this </w:t>
      </w:r>
      <w:r w:rsidRPr="00025910">
        <w:fldChar w:fldCharType="begin"/>
      </w:r>
      <w:r w:rsidRPr="00025910">
        <w:instrText xml:space="preserve"> REF Sch26PartB \h  \* MERGEFORMAT </w:instrText>
      </w:r>
      <w:r w:rsidRPr="00025910">
        <w:fldChar w:fldCharType="separate"/>
      </w:r>
      <w:r w:rsidR="00302D39" w:rsidRPr="00025910">
        <w:t>Part B</w:t>
      </w:r>
      <w:r w:rsidRPr="00025910">
        <w:fldChar w:fldCharType="end"/>
      </w:r>
      <w:r w:rsidRPr="00025910">
        <w:t xml:space="preserve"> shall apply if this Contract has been specified as a Critical Service Contract under </w:t>
      </w:r>
      <w:bookmarkStart w:id="2270" w:name="_9kMIH5YVt4EE7DIdGpqgyts0DKL"/>
      <w:r w:rsidRPr="00025910">
        <w:t xml:space="preserve">Paragraph </w:t>
      </w:r>
      <w:r w:rsidRPr="00025910">
        <w:fldChar w:fldCharType="begin"/>
      </w:r>
      <w:r w:rsidRPr="00025910">
        <w:instrText xml:space="preserve"> REF _Ref_ContractCompanion_9kb9Ur17A \n \h \t \* MERGEFORMAT </w:instrText>
      </w:r>
      <w:r w:rsidRPr="00025910">
        <w:fldChar w:fldCharType="separate"/>
      </w:r>
      <w:r w:rsidR="00302D39">
        <w:t>1.1</w:t>
      </w:r>
      <w:r w:rsidRPr="00025910">
        <w:fldChar w:fldCharType="end"/>
      </w:r>
      <w:bookmarkEnd w:id="2270"/>
      <w:r w:rsidRPr="00025910">
        <w:t xml:space="preserve"> of this </w:t>
      </w:r>
      <w:r w:rsidRPr="00025910">
        <w:fldChar w:fldCharType="begin"/>
      </w:r>
      <w:r w:rsidRPr="00025910">
        <w:instrText xml:space="preserve"> REF Sch26PartB \h  \* MERGEFORMAT </w:instrText>
      </w:r>
      <w:r w:rsidRPr="00025910">
        <w:fldChar w:fldCharType="separate"/>
      </w:r>
      <w:r w:rsidR="00302D39" w:rsidRPr="00025910">
        <w:t>Part B</w:t>
      </w:r>
      <w:r w:rsidRPr="00025910">
        <w:fldChar w:fldCharType="end"/>
      </w:r>
      <w:r w:rsidRPr="00025910">
        <w:t xml:space="preserve"> or the Supplier is or becomes a Public Sector </w:t>
      </w:r>
      <w:r w:rsidRPr="00631338">
        <w:t>Dependent Supplier.</w:t>
      </w:r>
    </w:p>
    <w:p w14:paraId="5559C2A4" w14:textId="0AC54ADE" w:rsidR="00F67E9E" w:rsidRPr="00025910" w:rsidRDefault="00F67E9E" w:rsidP="00F67E9E">
      <w:pPr>
        <w:pStyle w:val="AppendixText2"/>
      </w:pPr>
      <w:bookmarkStart w:id="2271" w:name="_Ref_ContractCompanion_9kb9Ur2BF"/>
      <w:bookmarkStart w:id="2272" w:name="_Ref_ContractCompanion_9kb9Us897"/>
      <w:bookmarkStart w:id="2273" w:name="_Ref_ContractCompanion_9kb9Us9HG"/>
      <w:bookmarkStart w:id="2274" w:name="_9kR3WTrAG9DLMGACeeukoiyGCjQz0q832AEZWcd"/>
      <w:r w:rsidRPr="00631338">
        <w:t xml:space="preserve">Subject to </w:t>
      </w:r>
      <w:bookmarkStart w:id="2275" w:name="_9kR3WTr2CC6EIbEnoewrqy2NKQ"/>
      <w:r w:rsidRPr="00631338">
        <w:t>P</w:t>
      </w:r>
      <w:r w:rsidRPr="00025910">
        <w:t xml:space="preserve">aragraphs </w:t>
      </w:r>
      <w:r w:rsidRPr="00025910">
        <w:fldChar w:fldCharType="begin"/>
      </w:r>
      <w:r w:rsidRPr="00025910">
        <w:instrText xml:space="preserve"> REF _Ref_ContractCompanion_9kb9Ur2AC \n \h \t \* MERGEFORMAT </w:instrText>
      </w:r>
      <w:r w:rsidRPr="00025910">
        <w:fldChar w:fldCharType="separate"/>
      </w:r>
      <w:r w:rsidR="00302D39">
        <w:t>2.6</w:t>
      </w:r>
      <w:r w:rsidRPr="00025910">
        <w:fldChar w:fldCharType="end"/>
      </w:r>
      <w:bookmarkEnd w:id="2275"/>
      <w:r w:rsidRPr="00025910">
        <w:t xml:space="preserve">, </w:t>
      </w:r>
      <w:bookmarkStart w:id="2276" w:name="_9kR3WTr2CC6ELGABB"/>
      <w:r w:rsidRPr="00025910">
        <w:fldChar w:fldCharType="begin"/>
      </w:r>
      <w:r w:rsidRPr="00025910">
        <w:instrText xml:space="preserve"> REF _Ref_ContractCompanion_9kb9Ur2AF \n \h \t \* MERGEFORMAT </w:instrText>
      </w:r>
      <w:r w:rsidRPr="00025910">
        <w:fldChar w:fldCharType="separate"/>
      </w:r>
      <w:r w:rsidR="00302D39">
        <w:t>2.10</w:t>
      </w:r>
      <w:r w:rsidRPr="00025910">
        <w:fldChar w:fldCharType="end"/>
      </w:r>
      <w:bookmarkEnd w:id="2276"/>
      <w:r w:rsidRPr="00025910">
        <w:t xml:space="preserve"> and </w:t>
      </w:r>
      <w:bookmarkStart w:id="2277" w:name="_9kR3WTr2CC6FF9ABC"/>
      <w:r w:rsidRPr="00025910">
        <w:fldChar w:fldCharType="begin"/>
      </w:r>
      <w:r w:rsidRPr="00025910">
        <w:instrText xml:space="preserve"> REF _Ref_ContractCompanion_9kb9Ur2AI \n \h \t \* MERGEFORMAT </w:instrText>
      </w:r>
      <w:r w:rsidRPr="00025910">
        <w:fldChar w:fldCharType="separate"/>
      </w:r>
      <w:r w:rsidR="00302D39">
        <w:t>2.11</w:t>
      </w:r>
      <w:r w:rsidRPr="00025910">
        <w:fldChar w:fldCharType="end"/>
      </w:r>
      <w:bookmarkEnd w:id="2277"/>
      <w:r w:rsidRPr="00025910">
        <w:t xml:space="preserve"> of this </w:t>
      </w:r>
      <w:r w:rsidRPr="00025910">
        <w:fldChar w:fldCharType="begin"/>
      </w:r>
      <w:r w:rsidRPr="00025910">
        <w:instrText xml:space="preserve"> REF Sch26PartB \h  \* MERGEFORMAT </w:instrText>
      </w:r>
      <w:r w:rsidRPr="00025910">
        <w:fldChar w:fldCharType="separate"/>
      </w:r>
      <w:r w:rsidR="00302D39" w:rsidRPr="00025910">
        <w:t>Part B</w:t>
      </w:r>
      <w:r w:rsidRPr="00025910">
        <w:fldChar w:fldCharType="end"/>
      </w:r>
      <w:r w:rsidRPr="00025910">
        <w:t>:</w:t>
      </w:r>
      <w:bookmarkEnd w:id="2271"/>
      <w:bookmarkEnd w:id="2272"/>
      <w:bookmarkEnd w:id="2273"/>
      <w:bookmarkEnd w:id="2274"/>
    </w:p>
    <w:p w14:paraId="6F8D0097" w14:textId="77777777" w:rsidR="00F67E9E" w:rsidRPr="00631338" w:rsidRDefault="00F67E9E" w:rsidP="00F67E9E">
      <w:pPr>
        <w:pStyle w:val="AppendixText3"/>
        <w:numPr>
          <w:ilvl w:val="2"/>
          <w:numId w:val="71"/>
        </w:numPr>
      </w:pPr>
      <w:bookmarkStart w:id="2278" w:name="_Ref_ContractCompanion_9kb9Ur2BC"/>
      <w:r w:rsidRPr="00025910">
        <w:t xml:space="preserve">where this Contract is a Critical Service Contract, the Supplier shall provide the Relevant Authority or Relevant Authorities with CRP Information within 60 days of the Effective </w:t>
      </w:r>
      <w:r w:rsidRPr="00631338">
        <w:t>Date; and</w:t>
      </w:r>
      <w:bookmarkEnd w:id="2278"/>
    </w:p>
    <w:p w14:paraId="0F5C9A18" w14:textId="7DCD66AC" w:rsidR="00F67E9E" w:rsidRPr="00025910" w:rsidRDefault="00F67E9E" w:rsidP="00F67E9E">
      <w:pPr>
        <w:pStyle w:val="AppendixText3"/>
      </w:pPr>
      <w:r w:rsidRPr="00631338">
        <w:t xml:space="preserve">except where it has already been provided in accordance with </w:t>
      </w:r>
      <w:bookmarkStart w:id="2279" w:name="_9kR3WTr2CC6FIaEnoewrqyBJLv"/>
      <w:r w:rsidRPr="00631338">
        <w:t xml:space="preserve">Paragraph </w:t>
      </w:r>
      <w:r w:rsidRPr="00631338">
        <w:fldChar w:fldCharType="begin"/>
      </w:r>
      <w:r w:rsidRPr="00631338">
        <w:instrText xml:space="preserve"> REF _Ref_ContractCompanion_9kb9Ur2BC \w \h \t \* MERGEFORMAT </w:instrText>
      </w:r>
      <w:r w:rsidRPr="00631338">
        <w:fldChar w:fldCharType="separate"/>
      </w:r>
      <w:r w:rsidR="00302D39">
        <w:t>2.2.1</w:t>
      </w:r>
      <w:r w:rsidRPr="00631338">
        <w:fldChar w:fldCharType="end"/>
      </w:r>
      <w:bookmarkEnd w:id="2279"/>
      <w:r w:rsidRPr="00631338">
        <w:t xml:space="preserve"> of this </w:t>
      </w:r>
      <w:r w:rsidRPr="00631338">
        <w:fldChar w:fldCharType="begin"/>
      </w:r>
      <w:r w:rsidRPr="00631338">
        <w:instrText xml:space="preserve"> REF Sch26PartB \h  \* MERGEFORMAT </w:instrText>
      </w:r>
      <w:r w:rsidRPr="00631338">
        <w:fldChar w:fldCharType="separate"/>
      </w:r>
      <w:r w:rsidR="00302D39" w:rsidRPr="00025910">
        <w:t>Part B</w:t>
      </w:r>
      <w:r w:rsidRPr="00631338">
        <w:fldChar w:fldCharType="end"/>
      </w:r>
      <w:r w:rsidRPr="00631338">
        <w:t>, where the Supplier is a Public Sector Dependent Supplier, it shall provide the Relevant</w:t>
      </w:r>
      <w:r w:rsidRPr="00025910">
        <w:t xml:space="preserve"> Authority or Relevant Authorities with the CRP Information within 60 days of the date of the Relevant Authority</w:t>
      </w:r>
      <w:r>
        <w:t>’</w:t>
      </w:r>
      <w:r w:rsidRPr="00025910">
        <w:t>s or Relevant Authorities</w:t>
      </w:r>
      <w:r>
        <w:t>’</w:t>
      </w:r>
      <w:r w:rsidRPr="00025910">
        <w:t xml:space="preserve"> request.</w:t>
      </w:r>
    </w:p>
    <w:p w14:paraId="6E903A4C" w14:textId="6FE3AF45" w:rsidR="00F67E9E" w:rsidRPr="00025910" w:rsidRDefault="00F67E9E" w:rsidP="00F67E9E">
      <w:pPr>
        <w:pStyle w:val="AppendixText2"/>
      </w:pPr>
      <w:bookmarkStart w:id="2280" w:name="_Ref_ContractCompanion_9kb9Ur28D"/>
      <w:bookmarkStart w:id="2281" w:name="_Ref_ContractCompanion_9kb9Ur2CF"/>
      <w:r w:rsidRPr="00025910">
        <w:t xml:space="preserve">The Supplier shall ensure that the CRP Information provided pursuant to </w:t>
      </w:r>
      <w:bookmarkStart w:id="2282" w:name="_9kR3WTr2CC6FLdEnoewrqy2NKM"/>
      <w:r w:rsidRPr="00025910">
        <w:t xml:space="preserve">Paragraphs </w:t>
      </w:r>
      <w:r w:rsidRPr="00025910">
        <w:fldChar w:fldCharType="begin"/>
      </w:r>
      <w:r w:rsidRPr="00025910">
        <w:instrText xml:space="preserve"> REF _Ref_ContractCompanion_9kb9Ur2BF \n \h \t \* MERGEFORMAT </w:instrText>
      </w:r>
      <w:r w:rsidRPr="00025910">
        <w:fldChar w:fldCharType="separate"/>
      </w:r>
      <w:r w:rsidR="00302D39">
        <w:t>2.2</w:t>
      </w:r>
      <w:r w:rsidRPr="00025910">
        <w:fldChar w:fldCharType="end"/>
      </w:r>
      <w:bookmarkEnd w:id="2282"/>
      <w:r w:rsidRPr="00025910">
        <w:t xml:space="preserve">, </w:t>
      </w:r>
      <w:bookmarkStart w:id="2283" w:name="_9kR3WTr2CC6GF8AI"/>
      <w:r w:rsidRPr="00025910">
        <w:fldChar w:fldCharType="begin"/>
      </w:r>
      <w:r w:rsidRPr="00025910">
        <w:instrText xml:space="preserve"> REF _Ref_ContractCompanion_9kb9Ur2BI \n \h \t \* MERGEFORMAT </w:instrText>
      </w:r>
      <w:r w:rsidRPr="00025910">
        <w:fldChar w:fldCharType="separate"/>
      </w:r>
      <w:r w:rsidR="00302D39">
        <w:t>2.8</w:t>
      </w:r>
      <w:r w:rsidRPr="00025910">
        <w:fldChar w:fldCharType="end"/>
      </w:r>
      <w:bookmarkEnd w:id="2283"/>
      <w:r w:rsidRPr="00025910">
        <w:t xml:space="preserve"> and </w:t>
      </w:r>
      <w:bookmarkStart w:id="2284" w:name="_9kR3WTr2CC6GIBAJ"/>
      <w:r w:rsidRPr="00025910">
        <w:fldChar w:fldCharType="begin"/>
      </w:r>
      <w:r w:rsidRPr="00025910">
        <w:instrText xml:space="preserve"> REF _Ref_ContractCompanion_9kb9Ur2CC \n \h \t \* MERGEFORMAT </w:instrText>
      </w:r>
      <w:r w:rsidRPr="00025910">
        <w:fldChar w:fldCharType="separate"/>
      </w:r>
      <w:r w:rsidR="00302D39">
        <w:t>2.9</w:t>
      </w:r>
      <w:r w:rsidRPr="00025910">
        <w:fldChar w:fldCharType="end"/>
      </w:r>
      <w:bookmarkEnd w:id="2284"/>
      <w:r w:rsidRPr="00025910">
        <w:t xml:space="preserve"> of this </w:t>
      </w:r>
      <w:r w:rsidRPr="00025910">
        <w:fldChar w:fldCharType="begin"/>
      </w:r>
      <w:r w:rsidRPr="00025910">
        <w:instrText xml:space="preserve"> REF Sch26PartB \h  \* MERGEFORMAT </w:instrText>
      </w:r>
      <w:r w:rsidRPr="00025910">
        <w:fldChar w:fldCharType="separate"/>
      </w:r>
      <w:r w:rsidR="00302D39" w:rsidRPr="00025910">
        <w:t>Part B</w:t>
      </w:r>
      <w:r w:rsidRPr="00025910">
        <w:fldChar w:fldCharType="end"/>
      </w:r>
      <w:r w:rsidRPr="00025910">
        <w:t>:</w:t>
      </w:r>
      <w:bookmarkEnd w:id="2280"/>
      <w:bookmarkEnd w:id="2281"/>
    </w:p>
    <w:p w14:paraId="2E195C90" w14:textId="77777777" w:rsidR="00F67E9E" w:rsidRPr="00631338" w:rsidRDefault="00F67E9E" w:rsidP="00F67E9E">
      <w:pPr>
        <w:pStyle w:val="AppendixText3"/>
        <w:numPr>
          <w:ilvl w:val="2"/>
          <w:numId w:val="71"/>
        </w:numPr>
      </w:pPr>
      <w:r w:rsidRPr="00025910">
        <w:t xml:space="preserve">is full, </w:t>
      </w:r>
      <w:r w:rsidRPr="00631338">
        <w:t>comprehensive, accurate and up to date;</w:t>
      </w:r>
    </w:p>
    <w:p w14:paraId="1E00C9F8" w14:textId="77777777" w:rsidR="00F67E9E" w:rsidRPr="00025910" w:rsidRDefault="00F67E9E" w:rsidP="00F67E9E">
      <w:pPr>
        <w:pStyle w:val="AppendixText3"/>
      </w:pPr>
      <w:r w:rsidRPr="00631338">
        <w:t>is split into t</w:t>
      </w:r>
      <w:r w:rsidRPr="00025910">
        <w:t>hree parts:</w:t>
      </w:r>
    </w:p>
    <w:p w14:paraId="1F50F7C7" w14:textId="77777777" w:rsidR="00F67E9E" w:rsidRPr="00631338" w:rsidRDefault="00F67E9E" w:rsidP="00F67E9E">
      <w:pPr>
        <w:pStyle w:val="AppendixText4"/>
        <w:numPr>
          <w:ilvl w:val="3"/>
          <w:numId w:val="71"/>
        </w:numPr>
      </w:pPr>
      <w:r w:rsidRPr="00025910">
        <w:t>Exposure Information (</w:t>
      </w:r>
      <w:r w:rsidRPr="00631338">
        <w:t>Contracts List);</w:t>
      </w:r>
    </w:p>
    <w:p w14:paraId="003E481E" w14:textId="77777777" w:rsidR="00F67E9E" w:rsidRPr="00631338" w:rsidRDefault="00F67E9E" w:rsidP="00F67E9E">
      <w:pPr>
        <w:pStyle w:val="AppendixText4"/>
      </w:pPr>
      <w:r w:rsidRPr="00631338">
        <w:t>Corporate Resolvability Assessment (Structural Review);</w:t>
      </w:r>
    </w:p>
    <w:p w14:paraId="70614A90" w14:textId="77777777" w:rsidR="00F67E9E" w:rsidRPr="00025910" w:rsidRDefault="00F67E9E" w:rsidP="00F67E9E">
      <w:pPr>
        <w:pStyle w:val="AppendixText4"/>
      </w:pPr>
      <w:r w:rsidRPr="00631338">
        <w:t>Financial Information and</w:t>
      </w:r>
      <w:r w:rsidRPr="00025910">
        <w:t xml:space="preserve"> Commentary</w:t>
      </w:r>
    </w:p>
    <w:p w14:paraId="5F7661D6" w14:textId="77777777" w:rsidR="00F67E9E" w:rsidRPr="00025910" w:rsidRDefault="00F67E9E" w:rsidP="00F67E9E">
      <w:pPr>
        <w:pStyle w:val="StdBodyText4"/>
        <w:ind w:left="1800"/>
        <w:rPr>
          <w:rFonts w:cs="Arial"/>
        </w:rPr>
      </w:pPr>
      <w:r w:rsidRPr="00025910">
        <w:rPr>
          <w:rFonts w:cs="Arial"/>
        </w:rPr>
        <w:t xml:space="preserve">and is structured and presented in accordance with the requirements and explanatory notes set out at </w:t>
      </w:r>
      <w:bookmarkStart w:id="2285" w:name="_9kMHG5YVt4EE69ENEyq1g"/>
      <w:r w:rsidRPr="00025910">
        <w:rPr>
          <w:rFonts w:cs="Arial"/>
        </w:rPr>
        <w:t>the relevant Annex</w:t>
      </w:r>
      <w:bookmarkEnd w:id="2285"/>
      <w:r>
        <w:rPr>
          <w:rFonts w:cs="Arial"/>
        </w:rPr>
        <w:t xml:space="preserve"> </w:t>
      </w:r>
      <w:r w:rsidRPr="00025910">
        <w:rPr>
          <w:rFonts w:cs="Arial"/>
        </w:rPr>
        <w:t xml:space="preserve">of the latest published versions of the Resolution Planning Guidance Notes published by the Cabinet Office Government Commercial Function and available at </w:t>
      </w:r>
      <w:hyperlink r:id="rId128" w:history="1">
        <w:r w:rsidRPr="001B2D60">
          <w:rPr>
            <w:rStyle w:val="Hyperlink"/>
            <w:rFonts w:cs="Arial"/>
          </w:rPr>
          <w:t>https://www.gov.uk/government/publications/the-sourcing-and-consultancy-playbooks</w:t>
        </w:r>
      </w:hyperlink>
      <w:r>
        <w:rPr>
          <w:rFonts w:cs="Arial"/>
        </w:rPr>
        <w:t xml:space="preserve"> </w:t>
      </w:r>
      <w:r w:rsidRPr="00025910">
        <w:rPr>
          <w:rFonts w:cs="Arial"/>
        </w:rPr>
        <w:t>and contains the level of detail required (adapted as necessary to the Supplier</w:t>
      </w:r>
      <w:r>
        <w:rPr>
          <w:rFonts w:cs="Arial"/>
        </w:rPr>
        <w:t>’</w:t>
      </w:r>
      <w:r w:rsidRPr="00025910">
        <w:rPr>
          <w:rFonts w:cs="Arial"/>
        </w:rPr>
        <w:t>s circumstances);</w:t>
      </w:r>
    </w:p>
    <w:p w14:paraId="5B9429C7" w14:textId="77777777" w:rsidR="00F67E9E" w:rsidRPr="00631338" w:rsidRDefault="00F67E9E" w:rsidP="00F67E9E">
      <w:pPr>
        <w:pStyle w:val="AppendixText3"/>
        <w:numPr>
          <w:ilvl w:val="2"/>
          <w:numId w:val="71"/>
        </w:numPr>
      </w:pPr>
      <w:r w:rsidRPr="00025910">
        <w:t xml:space="preserve">incorporates any additional commentary, supporting documents and evidence which would reasonably be required by the Relevant Authority or Relevant </w:t>
      </w:r>
      <w:r w:rsidRPr="00631338">
        <w:t>Authorities to understand and consider the information for approval;</w:t>
      </w:r>
    </w:p>
    <w:p w14:paraId="5E13ABBB" w14:textId="77777777" w:rsidR="00F67E9E" w:rsidRPr="00631338" w:rsidRDefault="00F67E9E" w:rsidP="00F67E9E">
      <w:pPr>
        <w:pStyle w:val="AppendixText3"/>
      </w:pPr>
      <w:r w:rsidRPr="00631338">
        <w:t>provides a clear description and explanation of the Supplier Group members that have agreements for goods, services or works provision in respect of UK Public Sector Business and/or CNI and the nature of those agreements; and</w:t>
      </w:r>
    </w:p>
    <w:p w14:paraId="33B0091D" w14:textId="7C2783CC" w:rsidR="00F67E9E" w:rsidRPr="00025910" w:rsidRDefault="00F67E9E" w:rsidP="00F67E9E">
      <w:pPr>
        <w:pStyle w:val="AppendixText3"/>
      </w:pPr>
      <w:r w:rsidRPr="00631338">
        <w:t>complies with</w:t>
      </w:r>
      <w:r w:rsidRPr="00025910">
        <w:t xml:space="preserve"> the requirements set out at </w:t>
      </w:r>
      <w:bookmarkStart w:id="2286" w:name="_9kMHG5YVtCIBFNILq6wvvrCDxXCGIrqMOAATSDf"/>
      <w:r w:rsidRPr="00025910">
        <w:t xml:space="preserve">Annex </w:t>
      </w:r>
      <w:bookmarkEnd w:id="2286"/>
      <w:r w:rsidRPr="00025910">
        <w:fldChar w:fldCharType="begin"/>
      </w:r>
      <w:r w:rsidRPr="00025910">
        <w:instrText xml:space="preserve"> REF ANNEX1_PARTB_SCHEDULE26 \h </w:instrText>
      </w:r>
      <w:r>
        <w:instrText xml:space="preserve"> \* MERGEFORMAT </w:instrText>
      </w:r>
      <w:r w:rsidRPr="00025910">
        <w:fldChar w:fldCharType="separate"/>
      </w:r>
      <w:r w:rsidR="00302D39" w:rsidRPr="00302D39">
        <w:t>1</w:t>
      </w:r>
      <w:r w:rsidRPr="00025910">
        <w:fldChar w:fldCharType="end"/>
      </w:r>
      <w:r w:rsidRPr="00025910">
        <w:t xml:space="preserve"> (</w:t>
      </w:r>
      <w:r w:rsidRPr="004412EC">
        <w:rPr>
          <w:i/>
          <w:iCs/>
        </w:rPr>
        <w:fldChar w:fldCharType="begin"/>
      </w:r>
      <w:r w:rsidRPr="004412EC">
        <w:rPr>
          <w:i/>
          <w:iCs/>
        </w:rPr>
        <w:instrText xml:space="preserve"> REF ANNEX1HEADINGSCHEDULE26 \h </w:instrText>
      </w:r>
      <w:r>
        <w:rPr>
          <w:i/>
          <w:iCs/>
        </w:rPr>
        <w:instrText xml:space="preserve"> \* MERGEFORMAT </w:instrText>
      </w:r>
      <w:r w:rsidRPr="004412EC">
        <w:rPr>
          <w:i/>
          <w:iCs/>
        </w:rPr>
      </w:r>
      <w:r w:rsidRPr="004412EC">
        <w:rPr>
          <w:i/>
          <w:iCs/>
        </w:rPr>
        <w:fldChar w:fldCharType="separate"/>
      </w:r>
      <w:r w:rsidR="00302D39" w:rsidRPr="00302D39">
        <w:rPr>
          <w:i/>
          <w:iCs/>
        </w:rPr>
        <w:t>Exposure Information (Contracts List)</w:t>
      </w:r>
      <w:r w:rsidRPr="004412EC">
        <w:rPr>
          <w:i/>
          <w:iCs/>
        </w:rPr>
        <w:fldChar w:fldCharType="end"/>
      </w:r>
      <w:r w:rsidRPr="00025910">
        <w:t xml:space="preserve">), </w:t>
      </w:r>
      <w:bookmarkStart w:id="2287" w:name="_9kMHG5YVtCIBFNLOq6wvvrCDzCFBm5x5xifwCPO"/>
      <w:r w:rsidRPr="00025910">
        <w:t xml:space="preserve">Annex </w:t>
      </w:r>
      <w:r w:rsidRPr="00025910">
        <w:rPr>
          <w:caps/>
        </w:rPr>
        <w:fldChar w:fldCharType="begin"/>
      </w:r>
      <w:r w:rsidRPr="00025910">
        <w:rPr>
          <w:caps/>
        </w:rPr>
        <w:instrText xml:space="preserve"> REF ANNEX2_PARTB_SCHEDULE26 \h </w:instrText>
      </w:r>
      <w:r>
        <w:rPr>
          <w:caps/>
        </w:rPr>
        <w:instrText xml:space="preserve"> \* MERGEFORMAT </w:instrText>
      </w:r>
      <w:r w:rsidRPr="00025910">
        <w:rPr>
          <w:caps/>
        </w:rPr>
      </w:r>
      <w:r w:rsidRPr="00025910">
        <w:rPr>
          <w:caps/>
        </w:rPr>
        <w:fldChar w:fldCharType="separate"/>
      </w:r>
      <w:r w:rsidR="00302D39" w:rsidRPr="00025910">
        <w:t>2</w:t>
      </w:r>
      <w:r w:rsidRPr="00025910">
        <w:rPr>
          <w:caps/>
        </w:rPr>
        <w:fldChar w:fldCharType="end"/>
      </w:r>
      <w:bookmarkEnd w:id="2287"/>
      <w:r w:rsidRPr="00025910">
        <w:t xml:space="preserve"> (</w:t>
      </w:r>
      <w:r w:rsidRPr="004412EC">
        <w:rPr>
          <w:i/>
          <w:iCs/>
        </w:rPr>
        <w:fldChar w:fldCharType="begin"/>
      </w:r>
      <w:r w:rsidRPr="004412EC">
        <w:rPr>
          <w:i/>
          <w:iCs/>
        </w:rPr>
        <w:instrText xml:space="preserve"> REF ANNEX2HEADINGSCHEDULE26 \h </w:instrText>
      </w:r>
      <w:r>
        <w:rPr>
          <w:i/>
          <w:iCs/>
        </w:rPr>
        <w:instrText xml:space="preserve"> \* MERGEFORMAT </w:instrText>
      </w:r>
      <w:r w:rsidRPr="004412EC">
        <w:rPr>
          <w:i/>
          <w:iCs/>
        </w:rPr>
      </w:r>
      <w:r w:rsidRPr="004412EC">
        <w:rPr>
          <w:i/>
          <w:iCs/>
        </w:rPr>
        <w:fldChar w:fldCharType="separate"/>
      </w:r>
      <w:r w:rsidR="00302D39" w:rsidRPr="00302D39">
        <w:rPr>
          <w:i/>
          <w:iCs/>
        </w:rPr>
        <w:t>Corporate Resolvability Assessment (Structural Review)</w:t>
      </w:r>
      <w:r w:rsidRPr="004412EC">
        <w:rPr>
          <w:i/>
          <w:iCs/>
        </w:rPr>
        <w:fldChar w:fldCharType="end"/>
      </w:r>
      <w:r w:rsidRPr="00025910">
        <w:t xml:space="preserve">) and Annex </w:t>
      </w:r>
      <w:r w:rsidRPr="00025910">
        <w:fldChar w:fldCharType="begin"/>
      </w:r>
      <w:r w:rsidRPr="00025910">
        <w:instrText xml:space="preserve"> REF ANNEX3_PARTB_SCHEDULE26 \h </w:instrText>
      </w:r>
      <w:r>
        <w:instrText xml:space="preserve"> \* MERGEFORMAT </w:instrText>
      </w:r>
      <w:r w:rsidRPr="00025910">
        <w:fldChar w:fldCharType="separate"/>
      </w:r>
      <w:r w:rsidR="00302D39" w:rsidRPr="00025910">
        <w:t>3</w:t>
      </w:r>
      <w:r w:rsidRPr="00025910">
        <w:fldChar w:fldCharType="end"/>
      </w:r>
      <w:r w:rsidRPr="00025910">
        <w:t xml:space="preserve"> (</w:t>
      </w:r>
      <w:r w:rsidRPr="004412EC">
        <w:rPr>
          <w:i/>
          <w:iCs/>
        </w:rPr>
        <w:fldChar w:fldCharType="begin"/>
      </w:r>
      <w:r w:rsidRPr="004412EC">
        <w:rPr>
          <w:i/>
          <w:iCs/>
        </w:rPr>
        <w:instrText xml:space="preserve"> REF ANNEX3HEADING_PARTB_SCHEDULE26 \h </w:instrText>
      </w:r>
      <w:r>
        <w:rPr>
          <w:i/>
          <w:iCs/>
        </w:rPr>
        <w:instrText xml:space="preserve"> \* MERGEFORMAT </w:instrText>
      </w:r>
      <w:r w:rsidRPr="004412EC">
        <w:rPr>
          <w:i/>
          <w:iCs/>
        </w:rPr>
      </w:r>
      <w:r w:rsidRPr="004412EC">
        <w:rPr>
          <w:i/>
          <w:iCs/>
        </w:rPr>
        <w:fldChar w:fldCharType="separate"/>
      </w:r>
      <w:r w:rsidR="00302D39" w:rsidRPr="00302D39">
        <w:rPr>
          <w:i/>
          <w:iCs/>
        </w:rPr>
        <w:t>Financial Information And Commentary</w:t>
      </w:r>
      <w:r w:rsidRPr="004412EC">
        <w:rPr>
          <w:i/>
          <w:iCs/>
        </w:rPr>
        <w:fldChar w:fldCharType="end"/>
      </w:r>
      <w:r w:rsidRPr="00025910">
        <w:t>) respectively.</w:t>
      </w:r>
    </w:p>
    <w:p w14:paraId="035A71C2" w14:textId="6817C814" w:rsidR="00F67E9E" w:rsidRPr="00631338" w:rsidRDefault="00F67E9E" w:rsidP="00F67E9E">
      <w:pPr>
        <w:pStyle w:val="AppendixText2"/>
        <w:numPr>
          <w:ilvl w:val="1"/>
          <w:numId w:val="71"/>
        </w:numPr>
      </w:pPr>
      <w:r w:rsidRPr="00025910">
        <w:t xml:space="preserve">Following receipt by the Relevant Authority or Relevant Authorities of the CRP Information pursuant to </w:t>
      </w:r>
      <w:bookmarkStart w:id="2288" w:name="_9kMHG5YVt4EE8HNfGpqgyts04PMO"/>
      <w:r w:rsidRPr="00025910">
        <w:t xml:space="preserve">Paragraphs </w:t>
      </w:r>
      <w:r w:rsidRPr="00025910">
        <w:fldChar w:fldCharType="begin"/>
      </w:r>
      <w:r w:rsidRPr="00025910">
        <w:instrText xml:space="preserve"> REF _Ref_ContractCompanion_9kb9Ur2BF \n \h \t \* MERGEFORMAT </w:instrText>
      </w:r>
      <w:r w:rsidRPr="00025910">
        <w:fldChar w:fldCharType="separate"/>
      </w:r>
      <w:r w:rsidR="00302D39">
        <w:t>2.2</w:t>
      </w:r>
      <w:r w:rsidRPr="00025910">
        <w:fldChar w:fldCharType="end"/>
      </w:r>
      <w:bookmarkEnd w:id="2288"/>
      <w:r w:rsidRPr="00025910">
        <w:t xml:space="preserve">, </w:t>
      </w:r>
      <w:bookmarkStart w:id="2289" w:name="_9kMHG5YVt4EE8IHACK"/>
      <w:r w:rsidRPr="00025910">
        <w:fldChar w:fldCharType="begin"/>
      </w:r>
      <w:r w:rsidRPr="00025910">
        <w:instrText xml:space="preserve"> REF _Ref_ContractCompanion_9kb9Ur2BI \n \h \t \* MERGEFORMAT </w:instrText>
      </w:r>
      <w:r w:rsidRPr="00025910">
        <w:fldChar w:fldCharType="separate"/>
      </w:r>
      <w:r w:rsidR="00302D39">
        <w:t>2.8</w:t>
      </w:r>
      <w:r w:rsidRPr="00025910">
        <w:fldChar w:fldCharType="end"/>
      </w:r>
      <w:bookmarkEnd w:id="2289"/>
      <w:r w:rsidRPr="00025910">
        <w:t xml:space="preserve"> and </w:t>
      </w:r>
      <w:bookmarkStart w:id="2290" w:name="_9kMHG5YVt4EE8IKDCL"/>
      <w:r w:rsidRPr="00025910">
        <w:fldChar w:fldCharType="begin"/>
      </w:r>
      <w:r w:rsidRPr="00025910">
        <w:instrText xml:space="preserve"> REF _Ref_ContractCompanion_9kb9Ur2CC \n \h \t \* MERGEFORMAT </w:instrText>
      </w:r>
      <w:r w:rsidRPr="00025910">
        <w:fldChar w:fldCharType="separate"/>
      </w:r>
      <w:r w:rsidR="00302D39">
        <w:t>2.9</w:t>
      </w:r>
      <w:r w:rsidRPr="00025910">
        <w:fldChar w:fldCharType="end"/>
      </w:r>
      <w:bookmarkEnd w:id="2290"/>
      <w:r w:rsidRPr="00025910">
        <w:t xml:space="preserve"> of this </w:t>
      </w:r>
      <w:r w:rsidRPr="00025910">
        <w:fldChar w:fldCharType="begin"/>
      </w:r>
      <w:r w:rsidRPr="00025910">
        <w:instrText xml:space="preserve"> REF Sch26PartB \h  \* MERGEFORMAT </w:instrText>
      </w:r>
      <w:r w:rsidRPr="00025910">
        <w:fldChar w:fldCharType="separate"/>
      </w:r>
      <w:r w:rsidR="00302D39" w:rsidRPr="00025910">
        <w:t>Part B</w:t>
      </w:r>
      <w:r w:rsidRPr="00025910">
        <w:fldChar w:fldCharType="end"/>
      </w:r>
      <w:r w:rsidRPr="00025910">
        <w:t xml:space="preserve">, the Authority shall procure that the Relevant Authority or Relevant Authorities discuss in good faith the contents of the CRP Information with the Supplier and no later than 60 days after the date on which the CRP Information was delivered by the Supplier either provide an Assurance to the Supplier that Relevant Authority or Relevant Authorities approve the CRP Information or that Relevant Authority </w:t>
      </w:r>
      <w:r w:rsidRPr="00631338">
        <w:t>or Relevant Authorities reject the CRP Information.</w:t>
      </w:r>
    </w:p>
    <w:p w14:paraId="3FCAD93F" w14:textId="77777777" w:rsidR="00F67E9E" w:rsidRPr="00025910" w:rsidRDefault="00F67E9E" w:rsidP="00F67E9E">
      <w:pPr>
        <w:pStyle w:val="AppendixText2"/>
      </w:pPr>
      <w:bookmarkStart w:id="2291" w:name="_Ref_ContractCompanion_9kb9Ur2CI"/>
      <w:r w:rsidRPr="00631338">
        <w:t>If the Relev</w:t>
      </w:r>
      <w:r w:rsidRPr="00025910">
        <w:t>ant Authority or Relevant Authorities reject the CRP Information:</w:t>
      </w:r>
      <w:bookmarkEnd w:id="2291"/>
    </w:p>
    <w:p w14:paraId="63FD2172" w14:textId="77777777" w:rsidR="00F67E9E" w:rsidRPr="00025910" w:rsidRDefault="00F67E9E" w:rsidP="00F67E9E">
      <w:pPr>
        <w:pStyle w:val="AppendixText3"/>
      </w:pPr>
      <w:r w:rsidRPr="00025910">
        <w:t>the Authority shall (and shall procure that the Cabinet Office Markets and Suppliers Team shall) inform the Supplier in writing of its reasons for its rejection; and</w:t>
      </w:r>
    </w:p>
    <w:p w14:paraId="00F91146" w14:textId="64240E48" w:rsidR="00F67E9E" w:rsidRPr="00025910" w:rsidRDefault="00F67E9E" w:rsidP="00F67E9E">
      <w:pPr>
        <w:pStyle w:val="AppendixText3"/>
      </w:pPr>
      <w:r w:rsidRPr="00025910">
        <w:t>the Supplier shall revise the CRP Information, taking reasonable account of the Relevant Authority</w:t>
      </w:r>
      <w:r>
        <w:t>’</w:t>
      </w:r>
      <w:r w:rsidRPr="00025910">
        <w:t>s or Relevant Authorities</w:t>
      </w:r>
      <w:r>
        <w:t>’</w:t>
      </w:r>
      <w:r w:rsidRPr="00025910">
        <w:t xml:space="preserve"> comments, and shall re-submit the CRP Information to the Relevant Authority or Relevant Authorities for approval within 30 days of the date of the Relevant Authority</w:t>
      </w:r>
      <w:r>
        <w:t>’</w:t>
      </w:r>
      <w:r w:rsidRPr="00025910">
        <w:t>s or Relevant Authorities</w:t>
      </w:r>
      <w:r>
        <w:t>’</w:t>
      </w:r>
      <w:r w:rsidRPr="00025910">
        <w:t xml:space="preserve"> rejection.</w:t>
      </w:r>
      <w:r>
        <w:t xml:space="preserve"> </w:t>
      </w:r>
      <w:r w:rsidRPr="00025910">
        <w:t xml:space="preserve">The provisions of </w:t>
      </w:r>
      <w:bookmarkStart w:id="2292" w:name="_9kR3WTr2CC6GL2knoewrqyBJM"/>
      <w:r w:rsidRPr="00025910">
        <w:t xml:space="preserve">Paragraph </w:t>
      </w:r>
      <w:r w:rsidRPr="00025910">
        <w:fldChar w:fldCharType="begin"/>
      </w:r>
      <w:r w:rsidRPr="00025910">
        <w:instrText xml:space="preserve"> REF _Ref_ContractCompanion_9kb9Ur2CF \n \h \t \* MERGEFORMAT </w:instrText>
      </w:r>
      <w:r w:rsidRPr="00025910">
        <w:fldChar w:fldCharType="separate"/>
      </w:r>
      <w:r w:rsidR="00302D39">
        <w:t>2.3</w:t>
      </w:r>
      <w:r w:rsidRPr="00025910">
        <w:fldChar w:fldCharType="end"/>
      </w:r>
      <w:bookmarkEnd w:id="2292"/>
      <w:r w:rsidRPr="00025910">
        <w:t xml:space="preserve"> to </w:t>
      </w:r>
      <w:bookmarkStart w:id="2293" w:name="_9kR3WTr2CC6GOHAF"/>
      <w:r w:rsidRPr="00025910">
        <w:fldChar w:fldCharType="begin"/>
      </w:r>
      <w:r w:rsidRPr="00025910">
        <w:instrText xml:space="preserve"> REF _Ref_ContractCompanion_9kb9Ur2CI \n \h \t \* MERGEFORMAT </w:instrText>
      </w:r>
      <w:r w:rsidRPr="00025910">
        <w:fldChar w:fldCharType="separate"/>
      </w:r>
      <w:r w:rsidR="00302D39">
        <w:t>2.5</w:t>
      </w:r>
      <w:r w:rsidRPr="00025910">
        <w:fldChar w:fldCharType="end"/>
      </w:r>
      <w:bookmarkEnd w:id="2293"/>
      <w:r w:rsidRPr="00025910">
        <w:t xml:space="preserve"> of this </w:t>
      </w:r>
      <w:r w:rsidRPr="00025910">
        <w:fldChar w:fldCharType="begin"/>
      </w:r>
      <w:r w:rsidRPr="00025910">
        <w:instrText xml:space="preserve"> REF Sch26PartB \h  \* MERGEFORMAT </w:instrText>
      </w:r>
      <w:r w:rsidRPr="00025910">
        <w:fldChar w:fldCharType="separate"/>
      </w:r>
      <w:r w:rsidR="00302D39" w:rsidRPr="00025910">
        <w:t>Part B</w:t>
      </w:r>
      <w:r w:rsidRPr="00025910">
        <w:fldChar w:fldCharType="end"/>
      </w:r>
      <w:r w:rsidRPr="00025910">
        <w:t xml:space="preserve"> shall apply again to any resubmitted CRP Information provided that either Party may refer any disputed matters for resolution by the Dispute Resolution Procedure at any time.</w:t>
      </w:r>
    </w:p>
    <w:p w14:paraId="6E184B65" w14:textId="6FC2D7BE" w:rsidR="00F67E9E" w:rsidRPr="00025910" w:rsidRDefault="00F67E9E" w:rsidP="00F67E9E">
      <w:pPr>
        <w:pStyle w:val="AppendixText2"/>
      </w:pPr>
      <w:bookmarkStart w:id="2294" w:name="_Ref_ContractCompanion_9kb9Ur2AC"/>
      <w:bookmarkStart w:id="2295" w:name="_Ref_ContractCompanion_9kb9Ur342"/>
      <w:r w:rsidRPr="00025910">
        <w:t xml:space="preserve">Where the Supplier or a member of the Supplier Group has already provided CRP Information to a Department or the Cabinet Office Markets and Suppliers Team (or, in the case of a Strategic Supplier, solely to the Cabinet Office Markets and Suppliers Team) and has received an Assurance of its CRP Information from that Department and the Cabinet Office Markets and Suppliers Team (or, in the case of a Strategic Supplier, solely from the Cabinet Office Markets and Suppliers Team), then provided that the Assurance remains Valid on the date by which the CRP Information would otherwise be required, the Supplier shall not be required to provide the CRP Information under </w:t>
      </w:r>
      <w:bookmarkStart w:id="2296" w:name="_9kMHG5YVtCIBFNOICEggwmqk0IElS12sA54CGbY"/>
      <w:r w:rsidRPr="00025910">
        <w:t xml:space="preserve">Paragraph </w:t>
      </w:r>
      <w:r w:rsidRPr="00025910">
        <w:fldChar w:fldCharType="begin"/>
      </w:r>
      <w:r w:rsidRPr="00025910">
        <w:instrText xml:space="preserve"> REF _Ref_ContractCompanion_9kb9Us9HG \n \h \t \* MERGEFORMAT </w:instrText>
      </w:r>
      <w:r w:rsidRPr="00025910">
        <w:fldChar w:fldCharType="separate"/>
      </w:r>
      <w:r w:rsidR="00302D39">
        <w:t>2.2</w:t>
      </w:r>
      <w:r w:rsidRPr="00025910">
        <w:fldChar w:fldCharType="end"/>
      </w:r>
      <w:bookmarkEnd w:id="2296"/>
      <w:r w:rsidRPr="00025910">
        <w:t xml:space="preserve"> if it provides a copy of the Valid Assurance to the Relevant Authority or Relevant Authorities on or before the date on which the CRP Information would otherwise have been required.</w:t>
      </w:r>
      <w:bookmarkEnd w:id="2294"/>
      <w:bookmarkEnd w:id="2295"/>
    </w:p>
    <w:p w14:paraId="35115EE6" w14:textId="4B5EE923" w:rsidR="00F67E9E" w:rsidRPr="00025910" w:rsidRDefault="00F67E9E" w:rsidP="00F67E9E">
      <w:pPr>
        <w:pStyle w:val="AppendixText2"/>
        <w:keepNext/>
      </w:pPr>
      <w:bookmarkStart w:id="2297" w:name="_Ref44573382"/>
      <w:r w:rsidRPr="00025910">
        <w:t xml:space="preserve">An Assurance shall be deemed Valid for the purposes of </w:t>
      </w:r>
      <w:bookmarkStart w:id="2298" w:name="_9kR3WTr2CC788YEnoewrqyBJP"/>
      <w:r w:rsidRPr="00025910">
        <w:t xml:space="preserve">Paragraph </w:t>
      </w:r>
      <w:r w:rsidRPr="00025910">
        <w:fldChar w:fldCharType="begin"/>
      </w:r>
      <w:r w:rsidRPr="00025910">
        <w:instrText xml:space="preserve"> REF _Ref_ContractCompanion_9kb9Ur342 \n \h \t \* MERGEFORMAT </w:instrText>
      </w:r>
      <w:r w:rsidRPr="00025910">
        <w:fldChar w:fldCharType="separate"/>
      </w:r>
      <w:r w:rsidR="00302D39">
        <w:t>2.6</w:t>
      </w:r>
      <w:r w:rsidRPr="00025910">
        <w:fldChar w:fldCharType="end"/>
      </w:r>
      <w:bookmarkEnd w:id="2298"/>
      <w:r w:rsidRPr="00025910">
        <w:t xml:space="preserve"> of this </w:t>
      </w:r>
      <w:r w:rsidRPr="00025910">
        <w:fldChar w:fldCharType="begin"/>
      </w:r>
      <w:r w:rsidRPr="00025910">
        <w:instrText xml:space="preserve"> REF Sch26PartB \h  \* MERGEFORMAT </w:instrText>
      </w:r>
      <w:r w:rsidRPr="00025910">
        <w:fldChar w:fldCharType="separate"/>
      </w:r>
      <w:r w:rsidR="00302D39" w:rsidRPr="00025910">
        <w:t>Part B</w:t>
      </w:r>
      <w:r w:rsidRPr="00025910">
        <w:fldChar w:fldCharType="end"/>
      </w:r>
      <w:r w:rsidRPr="00025910">
        <w:t xml:space="preserve"> if:</w:t>
      </w:r>
      <w:bookmarkEnd w:id="2297"/>
    </w:p>
    <w:p w14:paraId="767270A6" w14:textId="77777777" w:rsidR="00F67E9E" w:rsidRPr="00631338" w:rsidRDefault="00F67E9E" w:rsidP="00F67E9E">
      <w:pPr>
        <w:pStyle w:val="AppendixText3"/>
        <w:numPr>
          <w:ilvl w:val="2"/>
          <w:numId w:val="71"/>
        </w:numPr>
      </w:pPr>
      <w:r w:rsidRPr="00025910">
        <w:t xml:space="preserve">the Assurance is within the validity period stated in the Assurance (or, if no validity period is stated, no more than 12 months has elapsed since it was issued and no more than 18 months has elapsed since the Accounting Reference Date on which the </w:t>
      </w:r>
      <w:r w:rsidRPr="00631338">
        <w:t xml:space="preserve">CRP Information was based); and </w:t>
      </w:r>
    </w:p>
    <w:p w14:paraId="1F587B01" w14:textId="77777777" w:rsidR="00F67E9E" w:rsidRPr="00025910" w:rsidRDefault="00F67E9E" w:rsidP="00F67E9E">
      <w:pPr>
        <w:pStyle w:val="AppendixText3"/>
      </w:pPr>
      <w:r w:rsidRPr="00631338">
        <w:t>no Corporate Change Events or Financial Distress Events (or events which would be deeme</w:t>
      </w:r>
      <w:r w:rsidRPr="00025910">
        <w:t>d to be Corporate Change Events or Financial Distress Events if this Contract had then been in force) have occurred since the date of issue of the Assurance.</w:t>
      </w:r>
    </w:p>
    <w:p w14:paraId="2073A204" w14:textId="240F55A5" w:rsidR="00F67E9E" w:rsidRPr="00025910" w:rsidRDefault="00F67E9E" w:rsidP="00F67E9E">
      <w:pPr>
        <w:pStyle w:val="AppendixText2"/>
        <w:numPr>
          <w:ilvl w:val="1"/>
          <w:numId w:val="71"/>
        </w:numPr>
      </w:pPr>
      <w:bookmarkStart w:id="2299" w:name="_Ref_ContractCompanion_9kb9Ur2BI"/>
      <w:bookmarkStart w:id="2300" w:name="_Ref_ContractCompanion_9kb9Us8A4"/>
      <w:bookmarkStart w:id="2301" w:name="_9kR3WTrAG9CEAAAIaFx0q2VE21pyz1HDD6RdGJK"/>
      <w:r w:rsidRPr="00025910">
        <w:t xml:space="preserve">If this Contract is a Critical Service Contract, the Supplier shall provide an updated version of the CRP Information (or, in the case of </w:t>
      </w:r>
      <w:bookmarkStart w:id="2302" w:name="_9kR3WTr2CC78BbEnoewrqyBJR3"/>
      <w:r w:rsidRPr="00025910">
        <w:t xml:space="preserve">Paragraph </w:t>
      </w:r>
      <w:r w:rsidRPr="00025910">
        <w:fldChar w:fldCharType="begin"/>
      </w:r>
      <w:r w:rsidRPr="00025910">
        <w:instrText xml:space="preserve"> REF _Ref_ContractCompanion_9kb9Ur345 \w \h \t \* MERGEFORMAT </w:instrText>
      </w:r>
      <w:r w:rsidRPr="00025910">
        <w:fldChar w:fldCharType="separate"/>
      </w:r>
      <w:r w:rsidR="00302D39">
        <w:t>2.8.3</w:t>
      </w:r>
      <w:r w:rsidRPr="00025910">
        <w:fldChar w:fldCharType="end"/>
      </w:r>
      <w:bookmarkEnd w:id="2302"/>
      <w:r w:rsidRPr="00025910">
        <w:t xml:space="preserve"> of this </w:t>
      </w:r>
      <w:r w:rsidRPr="00025910">
        <w:fldChar w:fldCharType="begin"/>
      </w:r>
      <w:r w:rsidRPr="00025910">
        <w:instrText xml:space="preserve"> REF Sch26PartB \h  \* MERGEFORMAT </w:instrText>
      </w:r>
      <w:r w:rsidRPr="00025910">
        <w:fldChar w:fldCharType="separate"/>
      </w:r>
      <w:r w:rsidR="00302D39" w:rsidRPr="00025910">
        <w:t>Part B</w:t>
      </w:r>
      <w:r w:rsidRPr="00025910">
        <w:fldChar w:fldCharType="end"/>
      </w:r>
      <w:r w:rsidRPr="00025910">
        <w:t xml:space="preserve"> its initial CRP Information) to the Relevant Authority or Relevant Authorities:</w:t>
      </w:r>
      <w:bookmarkEnd w:id="2299"/>
      <w:bookmarkEnd w:id="2300"/>
      <w:bookmarkEnd w:id="2301"/>
    </w:p>
    <w:p w14:paraId="0F1B4654" w14:textId="2C6B1CA3" w:rsidR="00F67E9E" w:rsidRPr="00025910" w:rsidRDefault="00F67E9E" w:rsidP="00F67E9E">
      <w:pPr>
        <w:pStyle w:val="AppendixText3"/>
        <w:numPr>
          <w:ilvl w:val="2"/>
          <w:numId w:val="71"/>
        </w:numPr>
      </w:pPr>
      <w:bookmarkStart w:id="2303" w:name="_Ref_ContractCompanion_9kb9Ur357"/>
      <w:bookmarkStart w:id="2304" w:name="_Ref_ContractCompanion_9kb9Us9ID"/>
      <w:bookmarkStart w:id="2305" w:name="_9kR3WTrAG9DMJCAIsu311ryIN0k6PG4ADz76vEU"/>
      <w:r w:rsidRPr="00025910">
        <w:t xml:space="preserve">within 14 days of the occurrence of a Financial Distress Event (along with any </w:t>
      </w:r>
      <w:r w:rsidRPr="006D2212">
        <w:t>additional</w:t>
      </w:r>
      <w:r w:rsidRPr="00025910">
        <w:t xml:space="preserve"> highly confidential information no longer exempted from disclosure under </w:t>
      </w:r>
      <w:bookmarkStart w:id="2306" w:name="_9kR3WTr2CC78EeEnoewrqyBJKL"/>
      <w:r w:rsidRPr="00025910">
        <w:t xml:space="preserve">Paragraph </w:t>
      </w:r>
      <w:r w:rsidRPr="00025910">
        <w:fldChar w:fldCharType="begin"/>
      </w:r>
      <w:r w:rsidRPr="00025910">
        <w:instrText xml:space="preserve"> REF _Ref_ContractCompanion_9kb9Ur348 \n \h \t \* MERGEFORMAT </w:instrText>
      </w:r>
      <w:r w:rsidRPr="00025910">
        <w:fldChar w:fldCharType="separate"/>
      </w:r>
      <w:r w:rsidR="00302D39">
        <w:t>2.11</w:t>
      </w:r>
      <w:r w:rsidRPr="00025910">
        <w:fldChar w:fldCharType="end"/>
      </w:r>
      <w:bookmarkEnd w:id="2306"/>
      <w:r w:rsidRPr="00025910">
        <w:t xml:space="preserve"> of this </w:t>
      </w:r>
      <w:r w:rsidRPr="00025910">
        <w:fldChar w:fldCharType="begin"/>
      </w:r>
      <w:r w:rsidRPr="00025910">
        <w:instrText xml:space="preserve"> REF Sch26PartB \h  \* MERGEFORMAT </w:instrText>
      </w:r>
      <w:r w:rsidRPr="00025910">
        <w:fldChar w:fldCharType="separate"/>
      </w:r>
      <w:r w:rsidR="00302D39" w:rsidRPr="00025910">
        <w:t>Part B</w:t>
      </w:r>
      <w:r w:rsidRPr="00025910">
        <w:fldChar w:fldCharType="end"/>
      </w:r>
      <w:r w:rsidRPr="00025910">
        <w:t xml:space="preserve">) unless the Supplier is relieved of the consequences of the Financial Distress Event under </w:t>
      </w:r>
      <w:bookmarkStart w:id="2307" w:name="_9kR3WTr2CC79AZEnoewrqyHP"/>
      <w:r w:rsidRPr="00025910">
        <w:t xml:space="preserve">Paragraph </w:t>
      </w:r>
      <w:r w:rsidRPr="00025910">
        <w:fldChar w:fldCharType="begin"/>
      </w:r>
      <w:r w:rsidRPr="00025910">
        <w:instrText xml:space="preserve"> REF _Ref_ContractCompanion_9kb9Ur34B \n \h \t \* MERGEFORMAT </w:instrText>
      </w:r>
      <w:r w:rsidRPr="00025910">
        <w:fldChar w:fldCharType="separate"/>
      </w:r>
      <w:r w:rsidR="00302D39">
        <w:t>7.1</w:t>
      </w:r>
      <w:r w:rsidRPr="00025910">
        <w:fldChar w:fldCharType="end"/>
      </w:r>
      <w:bookmarkEnd w:id="2307"/>
      <w:r w:rsidRPr="00025910">
        <w:t xml:space="preserve"> of </w:t>
      </w:r>
      <w:bookmarkEnd w:id="2303"/>
      <w:bookmarkEnd w:id="2304"/>
      <w:bookmarkEnd w:id="2305"/>
      <w:r>
        <w:fldChar w:fldCharType="begin"/>
      </w:r>
      <w:r>
        <w:instrText xml:space="preserve"> REF Schedule18 \h </w:instrText>
      </w:r>
      <w:r>
        <w:fldChar w:fldCharType="separate"/>
      </w:r>
      <w:r w:rsidR="00302D39" w:rsidRPr="005D0525">
        <w:t>Schedule</w:t>
      </w:r>
      <w:r w:rsidR="00302D39">
        <w:t> </w:t>
      </w:r>
      <w:r w:rsidR="00302D39" w:rsidRPr="005D0525">
        <w:t>18</w:t>
      </w:r>
      <w:r>
        <w:fldChar w:fldCharType="end"/>
      </w:r>
      <w:r>
        <w:t xml:space="preserve"> (</w:t>
      </w:r>
      <w:r w:rsidRPr="006D2212">
        <w:rPr>
          <w:i/>
          <w:iCs/>
        </w:rPr>
        <w:fldChar w:fldCharType="begin"/>
      </w:r>
      <w:r w:rsidRPr="006D2212">
        <w:rPr>
          <w:i/>
          <w:iCs/>
        </w:rPr>
        <w:instrText xml:space="preserve"> REF Schedule18Heading \h  \* MERGEFORMAT </w:instrText>
      </w:r>
      <w:r w:rsidRPr="006D2212">
        <w:rPr>
          <w:i/>
          <w:iCs/>
        </w:rPr>
      </w:r>
      <w:r w:rsidRPr="006D2212">
        <w:rPr>
          <w:i/>
          <w:iCs/>
        </w:rPr>
        <w:fldChar w:fldCharType="separate"/>
      </w:r>
      <w:r w:rsidR="00302D39" w:rsidRPr="00302D39">
        <w:rPr>
          <w:i/>
          <w:iCs/>
        </w:rPr>
        <w:t>Financial Distress</w:t>
      </w:r>
      <w:r w:rsidRPr="006D2212">
        <w:rPr>
          <w:i/>
          <w:iCs/>
        </w:rPr>
        <w:fldChar w:fldCharType="end"/>
      </w:r>
      <w:r>
        <w:t>)</w:t>
      </w:r>
    </w:p>
    <w:p w14:paraId="2465B3F2" w14:textId="77777777" w:rsidR="00F67E9E" w:rsidRPr="00025910" w:rsidRDefault="00F67E9E" w:rsidP="00F67E9E">
      <w:pPr>
        <w:pStyle w:val="AppendixText3"/>
      </w:pPr>
      <w:bookmarkStart w:id="2308" w:name="_Ref_ContractCompanion_9kb9Us9IG"/>
      <w:bookmarkStart w:id="2309" w:name="_9kR3WTrAG9DMMFAItv311ryKLwk6PG4rPYKMKNA"/>
      <w:r w:rsidRPr="00025910">
        <w:t>within 30 days of a Corporate Change Event unless:</w:t>
      </w:r>
    </w:p>
    <w:p w14:paraId="6CB523ED" w14:textId="77777777" w:rsidR="00F67E9E" w:rsidRPr="006D2212" w:rsidRDefault="00F67E9E" w:rsidP="00F67E9E">
      <w:pPr>
        <w:pStyle w:val="AppendixText4"/>
        <w:numPr>
          <w:ilvl w:val="3"/>
          <w:numId w:val="71"/>
        </w:numPr>
      </w:pPr>
      <w:bookmarkStart w:id="2310" w:name="_Ref88670374"/>
      <w:r w:rsidRPr="00025910">
        <w:t>the Supplier requests and the Relevant Authority (acting reasonably) agrees to a Corporate Change Event Grace Period, in the event of which the time period for the Supplier to comply with this Paragraph shall be extended as determined by the Relevant Authority (acting reasonably) but shall in any case be no longer than six months after the Corporate Change Event.</w:t>
      </w:r>
      <w:r>
        <w:t xml:space="preserve"> </w:t>
      </w:r>
      <w:r w:rsidRPr="00025910">
        <w:t>During a Corporate Change Event Grace Period the Supplier shall regularly and fully engage with the Relevant Authority to enable it to understand the nature of the Corporate Change Event and the Relevant Authority shall reserve the right to terminate a Corporate Change Event Grace Period at any time if the Supplier fails to comply with this Paragraph; or</w:t>
      </w:r>
      <w:bookmarkEnd w:id="2310"/>
    </w:p>
    <w:p w14:paraId="7C303334" w14:textId="58336E65" w:rsidR="00F67E9E" w:rsidRPr="00025910" w:rsidRDefault="00F67E9E" w:rsidP="00F67E9E">
      <w:pPr>
        <w:pStyle w:val="AppendixText4"/>
      </w:pPr>
      <w:r w:rsidRPr="006D2212">
        <w:t>not</w:t>
      </w:r>
      <w:r w:rsidRPr="00025910">
        <w:t xml:space="preserve"> required pursuant to </w:t>
      </w:r>
      <w:bookmarkStart w:id="2311" w:name="_9kMHG5YVtCIBFOIBCDDjYnyz26sepJFC60ALM9i"/>
      <w:r w:rsidRPr="00025910">
        <w:t xml:space="preserve">Paragraph </w:t>
      </w:r>
      <w:r w:rsidRPr="00025910">
        <w:fldChar w:fldCharType="begin"/>
      </w:r>
      <w:r w:rsidRPr="00025910">
        <w:instrText xml:space="preserve"> REF _Ref_ContractCompanion_9kb9Us9HJ \n \h \t \* MERGEFORMAT </w:instrText>
      </w:r>
      <w:r w:rsidRPr="00025910">
        <w:fldChar w:fldCharType="separate"/>
      </w:r>
      <w:r w:rsidR="00302D39">
        <w:t>2.10</w:t>
      </w:r>
      <w:r w:rsidRPr="00025910">
        <w:fldChar w:fldCharType="end"/>
      </w:r>
      <w:bookmarkEnd w:id="2311"/>
      <w:r w:rsidRPr="00025910">
        <w:t>;</w:t>
      </w:r>
      <w:bookmarkEnd w:id="2308"/>
      <w:bookmarkEnd w:id="2309"/>
    </w:p>
    <w:p w14:paraId="602958AF" w14:textId="77777777" w:rsidR="00F67E9E" w:rsidRPr="00025910" w:rsidRDefault="00F67E9E" w:rsidP="00F67E9E">
      <w:pPr>
        <w:pStyle w:val="AppendixText3"/>
      </w:pPr>
      <w:bookmarkStart w:id="2312" w:name="_Ref_ContractCompanion_9kb9Ur345"/>
      <w:bookmarkStart w:id="2313" w:name="_Ref_ContractCompanion_9kb9Us9IJ"/>
      <w:bookmarkStart w:id="2314" w:name="_9kR3WTrAG9EE68AIuw311ryKLwk6PG4ADzwtAFG"/>
      <w:r w:rsidRPr="00025910">
        <w:t>within 30 days of the date that:</w:t>
      </w:r>
      <w:bookmarkEnd w:id="2312"/>
      <w:bookmarkEnd w:id="2313"/>
      <w:bookmarkEnd w:id="2314"/>
    </w:p>
    <w:p w14:paraId="2D3C2916" w14:textId="676A9025" w:rsidR="00F67E9E" w:rsidRPr="006D2212" w:rsidRDefault="00F67E9E" w:rsidP="00F67E9E">
      <w:pPr>
        <w:pStyle w:val="AppendixText4"/>
        <w:numPr>
          <w:ilvl w:val="3"/>
          <w:numId w:val="71"/>
        </w:numPr>
      </w:pPr>
      <w:r w:rsidRPr="00025910">
        <w:t xml:space="preserve">the credit rating(s) of each of the Supplier and its Parent Undertakings fail to </w:t>
      </w:r>
      <w:r w:rsidRPr="006D2212">
        <w:t xml:space="preserve">meet any of the criteria specified in </w:t>
      </w:r>
      <w:bookmarkStart w:id="2315" w:name="_9kMIH5YVtCIBFOIBCDDjYnyz26sepJFC60ALM9i"/>
      <w:r w:rsidRPr="006D2212">
        <w:t xml:space="preserve">Paragraph </w:t>
      </w:r>
      <w:r w:rsidRPr="006D2212">
        <w:fldChar w:fldCharType="begin"/>
      </w:r>
      <w:r w:rsidRPr="006D2212">
        <w:instrText xml:space="preserve"> REF _Ref_ContractCompanion_9kb9Us9HJ \n \h \t \* MERGEFORMAT </w:instrText>
      </w:r>
      <w:r w:rsidRPr="006D2212">
        <w:fldChar w:fldCharType="separate"/>
      </w:r>
      <w:r w:rsidR="00302D39">
        <w:t>2.10</w:t>
      </w:r>
      <w:r w:rsidRPr="006D2212">
        <w:fldChar w:fldCharType="end"/>
      </w:r>
      <w:bookmarkEnd w:id="2315"/>
      <w:r w:rsidRPr="006D2212">
        <w:t>; or</w:t>
      </w:r>
    </w:p>
    <w:p w14:paraId="7800FFF7" w14:textId="7C298C88" w:rsidR="00F67E9E" w:rsidRPr="00025910" w:rsidRDefault="00F67E9E" w:rsidP="00F67E9E">
      <w:pPr>
        <w:pStyle w:val="AppendixText4"/>
      </w:pPr>
      <w:r w:rsidRPr="006D2212">
        <w:t>none of</w:t>
      </w:r>
      <w:r w:rsidRPr="00025910">
        <w:t xml:space="preserve"> the credit rating agencies specified at </w:t>
      </w:r>
      <w:bookmarkStart w:id="2316" w:name="_9kMJI5YVtCIBFOIBCDDjYnyz26sepJFC60ALM9i"/>
      <w:r w:rsidRPr="00025910">
        <w:t xml:space="preserve">Paragraph </w:t>
      </w:r>
      <w:r w:rsidRPr="00025910">
        <w:fldChar w:fldCharType="begin"/>
      </w:r>
      <w:r w:rsidRPr="00025910">
        <w:instrText xml:space="preserve"> REF _Ref_ContractCompanion_9kb9Us9HJ \n \h \t \* MERGEFORMAT </w:instrText>
      </w:r>
      <w:r w:rsidRPr="00025910">
        <w:fldChar w:fldCharType="separate"/>
      </w:r>
      <w:r w:rsidR="00302D39">
        <w:t>2.10</w:t>
      </w:r>
      <w:r w:rsidRPr="00025910">
        <w:fldChar w:fldCharType="end"/>
      </w:r>
      <w:bookmarkEnd w:id="2316"/>
      <w:r w:rsidRPr="00025910">
        <w:t xml:space="preserve"> hold a public credit rating for the Supplier or any of its Parent Undertakings; and</w:t>
      </w:r>
    </w:p>
    <w:p w14:paraId="596891CD" w14:textId="77777777" w:rsidR="00F67E9E" w:rsidRPr="00025910" w:rsidRDefault="00F67E9E" w:rsidP="00F67E9E">
      <w:pPr>
        <w:pStyle w:val="AppendixText3"/>
        <w:numPr>
          <w:ilvl w:val="2"/>
          <w:numId w:val="71"/>
        </w:numPr>
      </w:pPr>
      <w:bookmarkStart w:id="2317" w:name="_Ref_ContractCompanion_9kb9Ur366"/>
      <w:bookmarkStart w:id="2318" w:name="_Ref_ContractCompanion_9kb9UsAA3"/>
      <w:bookmarkStart w:id="2319" w:name="_9kR3WTrAG9EE9BAIvjunoD534xDNDBB18XKGIOJ"/>
      <w:r w:rsidRPr="00025910">
        <w:t>in any event, within 6 months after each Accounting Reference Date or within 15 months of the date of the previous Assurance received from the Relevant Authority (whichever is the earlier), unless:</w:t>
      </w:r>
      <w:bookmarkEnd w:id="2317"/>
      <w:bookmarkEnd w:id="2318"/>
      <w:bookmarkEnd w:id="2319"/>
    </w:p>
    <w:p w14:paraId="1BAE550B" w14:textId="5CFCFCE3" w:rsidR="00F67E9E" w:rsidRPr="006D2212" w:rsidRDefault="00F67E9E" w:rsidP="00F67E9E">
      <w:pPr>
        <w:pStyle w:val="AppendixText4"/>
        <w:numPr>
          <w:ilvl w:val="3"/>
          <w:numId w:val="71"/>
        </w:numPr>
      </w:pPr>
      <w:r w:rsidRPr="00025910">
        <w:t xml:space="preserve">updated CRP Information has been provided under any of </w:t>
      </w:r>
      <w:bookmarkStart w:id="2320" w:name="_9kMHG5YVtCIBFOLECKuw533t0KP2m8RI6CF198x"/>
      <w:r w:rsidRPr="006D2212">
        <w:t>Paragraphs </w:t>
      </w:r>
      <w:r w:rsidRPr="006D2212">
        <w:fldChar w:fldCharType="begin"/>
      </w:r>
      <w:r w:rsidRPr="006D2212">
        <w:instrText xml:space="preserve"> REF _Ref_ContractCompanion_9kb9Us9ID \w \h \t \* MERGEFORMAT </w:instrText>
      </w:r>
      <w:r w:rsidRPr="006D2212">
        <w:fldChar w:fldCharType="separate"/>
      </w:r>
      <w:r w:rsidR="00302D39">
        <w:t>2.8.1</w:t>
      </w:r>
      <w:r w:rsidRPr="006D2212">
        <w:fldChar w:fldCharType="end"/>
      </w:r>
      <w:bookmarkEnd w:id="2320"/>
      <w:r w:rsidRPr="006D2212">
        <w:t xml:space="preserve"> </w:t>
      </w:r>
      <w:bookmarkStart w:id="2321" w:name="_9kMHG5YVtCIBFOOHCKvx533t0MNym8RI6tRaMOM"/>
      <w:r w:rsidRPr="006D2212">
        <w:fldChar w:fldCharType="begin"/>
      </w:r>
      <w:r w:rsidRPr="006D2212">
        <w:instrText xml:space="preserve"> REF _Ref_ContractCompanion_9kb9Us9IG \w \h \t \* MERGEFORMAT </w:instrText>
      </w:r>
      <w:r w:rsidRPr="006D2212">
        <w:fldChar w:fldCharType="separate"/>
      </w:r>
      <w:r w:rsidR="00302D39">
        <w:t>2.8.2</w:t>
      </w:r>
      <w:r w:rsidRPr="006D2212">
        <w:fldChar w:fldCharType="end"/>
      </w:r>
      <w:bookmarkEnd w:id="2321"/>
      <w:r w:rsidRPr="006D2212">
        <w:t xml:space="preserve"> or </w:t>
      </w:r>
      <w:bookmarkStart w:id="2322" w:name="_9kMHG5YVtCIBGG8ACKwy533t0MNym8RI6CF1yvC"/>
      <w:r w:rsidRPr="006D2212">
        <w:fldChar w:fldCharType="begin"/>
      </w:r>
      <w:r w:rsidRPr="006D2212">
        <w:instrText xml:space="preserve"> REF _Ref_ContractCompanion_9kb9Us9IJ \w \h \t \* MERGEFORMAT </w:instrText>
      </w:r>
      <w:r w:rsidRPr="006D2212">
        <w:fldChar w:fldCharType="separate"/>
      </w:r>
      <w:r w:rsidR="00302D39">
        <w:t>2.8.3</w:t>
      </w:r>
      <w:r w:rsidRPr="006D2212">
        <w:fldChar w:fldCharType="end"/>
      </w:r>
      <w:bookmarkEnd w:id="2322"/>
      <w:r w:rsidRPr="006D2212">
        <w:t xml:space="preserve"> since the most recent Accounting Reference Date (being no more than 12 months previously) within the timescales that would ordinarily be required for the provision of that information under this </w:t>
      </w:r>
      <w:bookmarkStart w:id="2323" w:name="_9kMHG5YVtCIBGGBDCKxlwpqF756zFPFDD3AZMIK"/>
      <w:r w:rsidRPr="006D2212">
        <w:t xml:space="preserve">Paragraph </w:t>
      </w:r>
      <w:r w:rsidRPr="006D2212">
        <w:fldChar w:fldCharType="begin"/>
      </w:r>
      <w:r w:rsidRPr="006D2212">
        <w:instrText xml:space="preserve"> REF _Ref_ContractCompanion_9kb9UsAA3 \w \h \t \* MERGEFORMAT </w:instrText>
      </w:r>
      <w:r w:rsidRPr="006D2212">
        <w:fldChar w:fldCharType="separate"/>
      </w:r>
      <w:r w:rsidR="00302D39">
        <w:t>2.8.4</w:t>
      </w:r>
      <w:r w:rsidRPr="006D2212">
        <w:fldChar w:fldCharType="end"/>
      </w:r>
      <w:bookmarkEnd w:id="2323"/>
      <w:r w:rsidRPr="006D2212">
        <w:t>; or</w:t>
      </w:r>
    </w:p>
    <w:p w14:paraId="0A014C3C" w14:textId="3EF74A88" w:rsidR="00F67E9E" w:rsidRPr="00025910" w:rsidRDefault="00F67E9E" w:rsidP="00F67E9E">
      <w:pPr>
        <w:pStyle w:val="AppendixText4"/>
      </w:pPr>
      <w:r w:rsidRPr="006D2212">
        <w:t>un</w:t>
      </w:r>
      <w:r w:rsidRPr="00025910">
        <w:t xml:space="preserve">less not required pursuant to </w:t>
      </w:r>
      <w:bookmarkStart w:id="2324" w:name="_9kMKJ5YVtCIBFOIBCDDjYnyz26sepJFC60ALM9i"/>
      <w:r w:rsidRPr="00025910">
        <w:t xml:space="preserve">Paragraph </w:t>
      </w:r>
      <w:r w:rsidRPr="00025910">
        <w:fldChar w:fldCharType="begin"/>
      </w:r>
      <w:r w:rsidRPr="00025910">
        <w:instrText xml:space="preserve"> REF _Ref_ContractCompanion_9kb9Us9HJ \n \h \t \* MERGEFORMAT </w:instrText>
      </w:r>
      <w:r w:rsidRPr="00025910">
        <w:fldChar w:fldCharType="separate"/>
      </w:r>
      <w:r w:rsidR="00302D39">
        <w:t>2.10</w:t>
      </w:r>
      <w:r w:rsidRPr="00025910">
        <w:fldChar w:fldCharType="end"/>
      </w:r>
      <w:bookmarkEnd w:id="2324"/>
      <w:r w:rsidRPr="00025910">
        <w:t>.</w:t>
      </w:r>
    </w:p>
    <w:p w14:paraId="6ED646FA" w14:textId="0F8D55F7" w:rsidR="00F67E9E" w:rsidRPr="006D2212" w:rsidRDefault="00F67E9E" w:rsidP="00F67E9E">
      <w:pPr>
        <w:pStyle w:val="AppendixText2"/>
      </w:pPr>
      <w:bookmarkStart w:id="2325" w:name="_Ref_ContractCompanion_9kb9Ur2CC"/>
      <w:r w:rsidRPr="00025910">
        <w:t xml:space="preserve">Where the Supplier is a Public Sector Dependent Supplier and this Contract is not a Critical Service Contract, then on the occurrence of any of the events specified in </w:t>
      </w:r>
      <w:bookmarkStart w:id="2326" w:name="_9kR3WTr2CC79DcEnoewrqy2NKS2"/>
      <w:r w:rsidRPr="00025910">
        <w:t xml:space="preserve">Paragraphs </w:t>
      </w:r>
      <w:r w:rsidRPr="00025910">
        <w:fldChar w:fldCharType="begin"/>
      </w:r>
      <w:r w:rsidRPr="00025910">
        <w:instrText xml:space="preserve"> REF _Ref_ContractCompanion_9kb9Ur357 \w \h \t \* MERGEFORMAT </w:instrText>
      </w:r>
      <w:r w:rsidRPr="00025910">
        <w:fldChar w:fldCharType="separate"/>
      </w:r>
      <w:r w:rsidR="00302D39">
        <w:t>2.8.1</w:t>
      </w:r>
      <w:r w:rsidRPr="00025910">
        <w:fldChar w:fldCharType="end"/>
      </w:r>
      <w:bookmarkEnd w:id="2326"/>
      <w:r w:rsidRPr="00025910">
        <w:t xml:space="preserve"> to </w:t>
      </w:r>
      <w:bookmarkStart w:id="2327" w:name="_9kR3WTr2CC7ACo"/>
      <w:r w:rsidRPr="00025910">
        <w:fldChar w:fldCharType="begin"/>
      </w:r>
      <w:r w:rsidRPr="00025910">
        <w:instrText xml:space="preserve"> REF _Ref_ContractCompanion_9kb9Ur366 \w \n \h \t \* MERGEFORMAT </w:instrText>
      </w:r>
      <w:r w:rsidRPr="00025910">
        <w:fldChar w:fldCharType="separate"/>
      </w:r>
      <w:r w:rsidR="00302D39">
        <w:t>2.8.4</w:t>
      </w:r>
      <w:r w:rsidRPr="00025910">
        <w:fldChar w:fldCharType="end"/>
      </w:r>
      <w:bookmarkEnd w:id="2327"/>
      <w:r w:rsidRPr="00025910">
        <w:t xml:space="preserve"> of this </w:t>
      </w:r>
      <w:r w:rsidRPr="00025910">
        <w:fldChar w:fldCharType="begin"/>
      </w:r>
      <w:r w:rsidRPr="00025910">
        <w:instrText xml:space="preserve"> REF Sch26PartB \h  \* MERGEFORMAT </w:instrText>
      </w:r>
      <w:r w:rsidRPr="00025910">
        <w:fldChar w:fldCharType="separate"/>
      </w:r>
      <w:r w:rsidR="00302D39" w:rsidRPr="00025910">
        <w:t>Part B</w:t>
      </w:r>
      <w:r w:rsidRPr="00025910">
        <w:fldChar w:fldCharType="end"/>
      </w:r>
      <w:r w:rsidRPr="00025910">
        <w:t xml:space="preserve">, the Supplier shall provide at the request of the Relevant Authority or Relevant Authorities and within the applicable timescales for each event as set out in </w:t>
      </w:r>
      <w:bookmarkStart w:id="2328" w:name="_9kMIH5YVtCIBEGCCCKcHz2s4XG43r013JFF8TfI"/>
      <w:r w:rsidRPr="00025910">
        <w:t xml:space="preserve">Paragraph </w:t>
      </w:r>
      <w:r w:rsidRPr="00025910">
        <w:fldChar w:fldCharType="begin"/>
      </w:r>
      <w:r w:rsidRPr="00025910">
        <w:instrText xml:space="preserve"> REF _Ref_ContractCompanion_9kb9Us8A4 \n \h \t \* MERGEFORMAT </w:instrText>
      </w:r>
      <w:r w:rsidRPr="00025910">
        <w:fldChar w:fldCharType="separate"/>
      </w:r>
      <w:r w:rsidR="00302D39">
        <w:t>2.8</w:t>
      </w:r>
      <w:r w:rsidRPr="00025910">
        <w:fldChar w:fldCharType="end"/>
      </w:r>
      <w:bookmarkEnd w:id="2328"/>
      <w:r w:rsidRPr="00025910">
        <w:t xml:space="preserve"> (or such longer timescales as may be notified to the Supplier by the Authority), the CRP Information to the Relevant Authority or Relevant </w:t>
      </w:r>
      <w:r w:rsidRPr="006D2212">
        <w:t>Authorities.</w:t>
      </w:r>
      <w:bookmarkEnd w:id="2325"/>
    </w:p>
    <w:p w14:paraId="2D6DD2F7" w14:textId="77777777" w:rsidR="00F67E9E" w:rsidRPr="00025910" w:rsidRDefault="00F67E9E" w:rsidP="00F67E9E">
      <w:pPr>
        <w:pStyle w:val="AppendixText2"/>
      </w:pPr>
      <w:bookmarkStart w:id="2329" w:name="_Ref_ContractCompanion_9kb9Ur2AF"/>
      <w:bookmarkStart w:id="2330" w:name="_Ref_ContractCompanion_9kb9Us9HJ"/>
      <w:bookmarkStart w:id="2331" w:name="_9kR3WTrAG9DMG9ABBhWlwx04qcnHDA4y8JK7gbA"/>
      <w:r w:rsidRPr="006D2212">
        <w:t>Wher</w:t>
      </w:r>
      <w:r w:rsidRPr="00025910">
        <w:t>e the Supplier or a Parent Undertaking of the Supplier has a credit rating of either:</w:t>
      </w:r>
      <w:bookmarkEnd w:id="2329"/>
      <w:bookmarkEnd w:id="2330"/>
      <w:bookmarkEnd w:id="2331"/>
    </w:p>
    <w:p w14:paraId="6943282B" w14:textId="77777777" w:rsidR="00F67E9E" w:rsidRPr="006D2212" w:rsidRDefault="00F67E9E" w:rsidP="00F67E9E">
      <w:pPr>
        <w:pStyle w:val="AppendixText3"/>
        <w:numPr>
          <w:ilvl w:val="2"/>
          <w:numId w:val="71"/>
        </w:numPr>
      </w:pPr>
      <w:r w:rsidRPr="00025910">
        <w:t xml:space="preserve">Aa3 or better </w:t>
      </w:r>
      <w:r w:rsidRPr="006D2212">
        <w:t>from Moody’s; or</w:t>
      </w:r>
    </w:p>
    <w:p w14:paraId="5068DCAD" w14:textId="77777777" w:rsidR="00F67E9E" w:rsidRPr="006D2212" w:rsidRDefault="00F67E9E" w:rsidP="00F67E9E">
      <w:pPr>
        <w:pStyle w:val="AppendixText3"/>
      </w:pPr>
      <w:r w:rsidRPr="006D2212">
        <w:t>AA- or better from Standard and Poor’s; or</w:t>
      </w:r>
    </w:p>
    <w:p w14:paraId="61E6B7A1" w14:textId="77777777" w:rsidR="00F67E9E" w:rsidRPr="00025910" w:rsidRDefault="00F67E9E" w:rsidP="00F67E9E">
      <w:pPr>
        <w:pStyle w:val="AppendixText3"/>
      </w:pPr>
      <w:r w:rsidRPr="006D2212">
        <w:t>AA- or better from</w:t>
      </w:r>
      <w:r w:rsidRPr="00025910">
        <w:t xml:space="preserve"> Fitch;</w:t>
      </w:r>
    </w:p>
    <w:p w14:paraId="6B1F9312" w14:textId="69FB5E21" w:rsidR="00F67E9E" w:rsidRPr="00025910" w:rsidRDefault="00F67E9E" w:rsidP="00F67E9E">
      <w:pPr>
        <w:pStyle w:val="StdBodyText2"/>
        <w:rPr>
          <w:rFonts w:cs="Arial"/>
        </w:rPr>
      </w:pPr>
      <w:r w:rsidRPr="00025910">
        <w:rPr>
          <w:rFonts w:cs="Arial"/>
        </w:rPr>
        <w:t xml:space="preserve">the Supplier will not be required to provide any CRP Information unless or until either (i) a Financial Distress Event occurs (unless the Supplier is relieved of the consequences of the Financial Distress Event under </w:t>
      </w:r>
      <w:bookmarkStart w:id="2332" w:name="_9kMHG5YVt4EE9BCbGpqgyts0JR"/>
      <w:r w:rsidRPr="00025910">
        <w:rPr>
          <w:rFonts w:cs="Arial"/>
        </w:rPr>
        <w:t xml:space="preserve">Paragraph </w:t>
      </w:r>
      <w:r w:rsidRPr="00025910">
        <w:rPr>
          <w:rFonts w:cs="Arial"/>
        </w:rPr>
        <w:fldChar w:fldCharType="begin"/>
      </w:r>
      <w:r w:rsidRPr="00025910">
        <w:rPr>
          <w:rFonts w:cs="Arial"/>
        </w:rPr>
        <w:instrText xml:space="preserve"> REF _Ref_ContractCompanion_9kb9Ur354 \n \h \t \* MERGEFORMAT </w:instrText>
      </w:r>
      <w:r w:rsidRPr="00025910">
        <w:rPr>
          <w:rFonts w:cs="Arial"/>
        </w:rPr>
      </w:r>
      <w:r w:rsidRPr="00025910">
        <w:rPr>
          <w:rFonts w:cs="Arial"/>
        </w:rPr>
        <w:fldChar w:fldCharType="separate"/>
      </w:r>
      <w:r w:rsidR="00302D39">
        <w:rPr>
          <w:rFonts w:cs="Arial"/>
        </w:rPr>
        <w:t>7.1</w:t>
      </w:r>
      <w:r w:rsidRPr="00025910">
        <w:rPr>
          <w:rFonts w:cs="Arial"/>
        </w:rPr>
        <w:fldChar w:fldCharType="end"/>
      </w:r>
      <w:bookmarkEnd w:id="2332"/>
      <w:r w:rsidRPr="00025910">
        <w:rPr>
          <w:rFonts w:cs="Arial"/>
        </w:rPr>
        <w:t xml:space="preserve"> of </w:t>
      </w:r>
      <w:r>
        <w:rPr>
          <w:rFonts w:cs="Arial"/>
        </w:rPr>
        <w:fldChar w:fldCharType="begin"/>
      </w:r>
      <w:r>
        <w:rPr>
          <w:rFonts w:cs="Arial"/>
        </w:rPr>
        <w:instrText xml:space="preserve"> REF Schedule18 \h </w:instrText>
      </w:r>
      <w:r>
        <w:rPr>
          <w:rFonts w:cs="Arial"/>
        </w:rPr>
      </w:r>
      <w:r>
        <w:rPr>
          <w:rFonts w:cs="Arial"/>
        </w:rPr>
        <w:fldChar w:fldCharType="separate"/>
      </w:r>
      <w:r w:rsidR="00302D39" w:rsidRPr="005D0525">
        <w:t>Schedule</w:t>
      </w:r>
      <w:r w:rsidR="00302D39">
        <w:t> </w:t>
      </w:r>
      <w:r w:rsidR="00302D39" w:rsidRPr="005D0525">
        <w:t>18</w:t>
      </w:r>
      <w:r>
        <w:rPr>
          <w:rFonts w:cs="Arial"/>
        </w:rPr>
        <w:fldChar w:fldCharType="end"/>
      </w:r>
      <w:r>
        <w:rPr>
          <w:rFonts w:cs="Arial"/>
        </w:rPr>
        <w:t xml:space="preserve"> (</w:t>
      </w:r>
      <w:r w:rsidRPr="002F30DB">
        <w:rPr>
          <w:rFonts w:cs="Arial"/>
          <w:i/>
          <w:iCs/>
        </w:rPr>
        <w:fldChar w:fldCharType="begin"/>
      </w:r>
      <w:r w:rsidRPr="002F30DB">
        <w:rPr>
          <w:rFonts w:cs="Arial"/>
          <w:i/>
          <w:iCs/>
        </w:rPr>
        <w:instrText xml:space="preserve"> REF Schedule18Heading \h </w:instrText>
      </w:r>
      <w:r>
        <w:rPr>
          <w:rFonts w:cs="Arial"/>
          <w:i/>
          <w:iCs/>
        </w:rPr>
        <w:instrText xml:space="preserve"> \* MERGEFORMAT </w:instrText>
      </w:r>
      <w:r w:rsidRPr="002F30DB">
        <w:rPr>
          <w:rFonts w:cs="Arial"/>
          <w:i/>
          <w:iCs/>
        </w:rPr>
      </w:r>
      <w:r w:rsidRPr="002F30DB">
        <w:rPr>
          <w:rFonts w:cs="Arial"/>
          <w:i/>
          <w:iCs/>
        </w:rPr>
        <w:fldChar w:fldCharType="separate"/>
      </w:r>
      <w:r w:rsidR="00302D39" w:rsidRPr="00302D39">
        <w:rPr>
          <w:i/>
          <w:iCs/>
        </w:rPr>
        <w:t>Financial Distress</w:t>
      </w:r>
      <w:r w:rsidRPr="002F30DB">
        <w:rPr>
          <w:rFonts w:cs="Arial"/>
          <w:i/>
          <w:iCs/>
        </w:rPr>
        <w:fldChar w:fldCharType="end"/>
      </w:r>
      <w:r>
        <w:rPr>
          <w:rFonts w:cs="Arial"/>
        </w:rPr>
        <w:t>)</w:t>
      </w:r>
      <w:r w:rsidRPr="00025910">
        <w:rPr>
          <w:rFonts w:cs="Arial"/>
        </w:rPr>
        <w:t xml:space="preserve">) or (ii) the Supplier and its Parent Undertakings cease to fulfil the criteria set out in this </w:t>
      </w:r>
      <w:bookmarkStart w:id="2333" w:name="_9kMLK5YVtCIBFOIBCDDjYnyz26sepJFC60ALM9i"/>
      <w:r w:rsidRPr="00025910">
        <w:rPr>
          <w:rFonts w:cs="Arial"/>
        </w:rPr>
        <w:t xml:space="preserve">Paragraph </w:t>
      </w:r>
      <w:r w:rsidRPr="00025910">
        <w:rPr>
          <w:rFonts w:cs="Arial"/>
        </w:rPr>
        <w:fldChar w:fldCharType="begin"/>
      </w:r>
      <w:r w:rsidRPr="00025910">
        <w:rPr>
          <w:rFonts w:cs="Arial"/>
        </w:rPr>
        <w:instrText xml:space="preserve"> REF _Ref_ContractCompanion_9kb9Us9HJ \n \h \t \* MERGEFORMAT </w:instrText>
      </w:r>
      <w:r w:rsidRPr="00025910">
        <w:rPr>
          <w:rFonts w:cs="Arial"/>
        </w:rPr>
      </w:r>
      <w:r w:rsidRPr="00025910">
        <w:rPr>
          <w:rFonts w:cs="Arial"/>
        </w:rPr>
        <w:fldChar w:fldCharType="separate"/>
      </w:r>
      <w:r w:rsidR="00302D39">
        <w:rPr>
          <w:rFonts w:cs="Arial"/>
        </w:rPr>
        <w:t>2.10</w:t>
      </w:r>
      <w:r w:rsidRPr="00025910">
        <w:rPr>
          <w:rFonts w:cs="Arial"/>
        </w:rPr>
        <w:fldChar w:fldCharType="end"/>
      </w:r>
      <w:bookmarkEnd w:id="2333"/>
      <w:r w:rsidRPr="00025910">
        <w:rPr>
          <w:rFonts w:cs="Arial"/>
        </w:rPr>
        <w:t xml:space="preserve">, in which cases the Supplier shall provide the updated version of the CRP Information in accordance with </w:t>
      </w:r>
      <w:bookmarkStart w:id="2334" w:name="_9kMJI5YVtCIBEGCCCKcHz2s4XG43r013JFF8TfI"/>
      <w:r w:rsidRPr="00025910">
        <w:rPr>
          <w:rFonts w:cs="Arial"/>
        </w:rPr>
        <w:t xml:space="preserve">Paragraph </w:t>
      </w:r>
      <w:r w:rsidRPr="00025910">
        <w:rPr>
          <w:rFonts w:cs="Arial"/>
        </w:rPr>
        <w:fldChar w:fldCharType="begin"/>
      </w:r>
      <w:r w:rsidRPr="00025910">
        <w:rPr>
          <w:rFonts w:cs="Arial"/>
        </w:rPr>
        <w:instrText xml:space="preserve"> REF _Ref_ContractCompanion_9kb9Us8A4 \n \h \t \* MERGEFORMAT </w:instrText>
      </w:r>
      <w:r w:rsidRPr="00025910">
        <w:rPr>
          <w:rFonts w:cs="Arial"/>
        </w:rPr>
      </w:r>
      <w:r w:rsidRPr="00025910">
        <w:rPr>
          <w:rFonts w:cs="Arial"/>
        </w:rPr>
        <w:fldChar w:fldCharType="separate"/>
      </w:r>
      <w:r w:rsidR="00302D39">
        <w:rPr>
          <w:rFonts w:cs="Arial"/>
        </w:rPr>
        <w:t>2.8</w:t>
      </w:r>
      <w:r w:rsidRPr="00025910">
        <w:rPr>
          <w:rFonts w:cs="Arial"/>
        </w:rPr>
        <w:fldChar w:fldCharType="end"/>
      </w:r>
      <w:bookmarkEnd w:id="2334"/>
      <w:r w:rsidRPr="00025910">
        <w:rPr>
          <w:rFonts w:cs="Arial"/>
        </w:rPr>
        <w:t xml:space="preserve">. </w:t>
      </w:r>
    </w:p>
    <w:p w14:paraId="355A15D9" w14:textId="14773BFC" w:rsidR="00F67E9E" w:rsidRPr="00025910" w:rsidRDefault="00F67E9E" w:rsidP="00F67E9E">
      <w:pPr>
        <w:pStyle w:val="AppendixText2"/>
      </w:pPr>
      <w:bookmarkStart w:id="2335" w:name="_Ref_ContractCompanion_9kb9Ur2AI"/>
      <w:bookmarkStart w:id="2336" w:name="_Ref_ContractCompanion_9kb9Ur348"/>
      <w:r w:rsidRPr="00025910">
        <w:t xml:space="preserve">Subject to </w:t>
      </w:r>
      <w:bookmarkStart w:id="2337" w:name="_9kR3WTr2BCEECcEnoewrqyBL"/>
      <w:r w:rsidRPr="00025910">
        <w:t xml:space="preserve">Paragraph </w:t>
      </w:r>
      <w:r w:rsidRPr="00025910">
        <w:fldChar w:fldCharType="begin"/>
      </w:r>
      <w:r w:rsidRPr="00025910">
        <w:instrText xml:space="preserve"> REF _Ref_ContractCompanion_9kb9UsAA6 \w \n \h \t \* MERGEFORMAT </w:instrText>
      </w:r>
      <w:r w:rsidRPr="00025910">
        <w:fldChar w:fldCharType="separate"/>
      </w:r>
      <w:r w:rsidR="00302D39">
        <w:t>4</w:t>
      </w:r>
      <w:r w:rsidRPr="00025910">
        <w:fldChar w:fldCharType="end"/>
      </w:r>
      <w:bookmarkEnd w:id="2337"/>
      <w:r w:rsidRPr="00025910">
        <w:t xml:space="preserve">, where the Supplier demonstrates to the reasonable satisfaction of the Relevant Authority or Relevant Authorities that a particular item of CRP Information is highly confidential, the Supplier may, having orally disclosed and discussed that information with the Relevant Authority or Relevant Authorities, redact or omit that information from the CRP Information provided that if a Financial Distress Event occurs, this exemption shall no longer apply and the Supplier shall promptly provide the relevant information to the Relevant Authority or Relevant Authorities to the extent required under </w:t>
      </w:r>
      <w:bookmarkStart w:id="2338" w:name="_9kMKJ5YVtCIBEGCCCKcHz2s4XG43r013JFF8TfI"/>
      <w:r w:rsidRPr="00025910">
        <w:t xml:space="preserve">Paragraph </w:t>
      </w:r>
      <w:r w:rsidRPr="00025910">
        <w:fldChar w:fldCharType="begin"/>
      </w:r>
      <w:r w:rsidRPr="00025910">
        <w:instrText xml:space="preserve"> REF _Ref_ContractCompanion_9kb9Us8A4 \n \h \t \* MERGEFORMAT </w:instrText>
      </w:r>
      <w:r w:rsidRPr="00025910">
        <w:fldChar w:fldCharType="separate"/>
      </w:r>
      <w:r w:rsidR="00302D39">
        <w:t>2.8</w:t>
      </w:r>
      <w:r w:rsidRPr="00025910">
        <w:fldChar w:fldCharType="end"/>
      </w:r>
      <w:bookmarkEnd w:id="2338"/>
      <w:r w:rsidRPr="00025910">
        <w:t>.</w:t>
      </w:r>
      <w:bookmarkEnd w:id="2335"/>
      <w:bookmarkEnd w:id="2336"/>
    </w:p>
    <w:p w14:paraId="5C04E67E" w14:textId="77777777" w:rsidR="00F67E9E" w:rsidRPr="00631338" w:rsidRDefault="00F67E9E" w:rsidP="00F67E9E">
      <w:pPr>
        <w:pStyle w:val="AppendixText1"/>
        <w:numPr>
          <w:ilvl w:val="0"/>
          <w:numId w:val="71"/>
        </w:numPr>
        <w:rPr>
          <w:color w:val="1F497D"/>
        </w:rPr>
      </w:pPr>
      <w:bookmarkStart w:id="2339" w:name="_Ref44571578"/>
      <w:r w:rsidRPr="00631338">
        <w:rPr>
          <w:color w:val="1F497D"/>
        </w:rPr>
        <w:t>Termination Rights</w:t>
      </w:r>
      <w:bookmarkEnd w:id="2339"/>
    </w:p>
    <w:p w14:paraId="430B669C" w14:textId="1A89A17D" w:rsidR="00F67E9E" w:rsidRPr="00025910" w:rsidRDefault="00F67E9E" w:rsidP="00F67E9E">
      <w:pPr>
        <w:pStyle w:val="AppendixText2"/>
      </w:pPr>
      <w:r w:rsidRPr="00025910">
        <w:t xml:space="preserve">The Authority shall be entitled to terminate this Contract under </w:t>
      </w:r>
      <w:bookmarkStart w:id="2340" w:name="_9kMJI5YVt4EE7BJTEjtCx9MLu"/>
      <w:bookmarkStart w:id="2341" w:name="_9kMIH5YVt4EE7CDMEjtCx9MLu"/>
      <w:r w:rsidRPr="00025910">
        <w:t>Clause 31.1(b)</w:t>
      </w:r>
      <w:bookmarkEnd w:id="2340"/>
      <w:bookmarkEnd w:id="2341"/>
      <w:r w:rsidRPr="00025910">
        <w:t xml:space="preserve"> (</w:t>
      </w:r>
      <w:r w:rsidRPr="00025910">
        <w:rPr>
          <w:i/>
        </w:rPr>
        <w:t>Termination by the Authority</w:t>
      </w:r>
      <w:r w:rsidRPr="00025910">
        <w:t xml:space="preserve">) if the Supplier is required to provide CRP Information under </w:t>
      </w:r>
      <w:bookmarkStart w:id="2342" w:name="_9kR3WTr2CC79GfEnoewrqyBJ"/>
      <w:r w:rsidRPr="00025910">
        <w:t xml:space="preserve">Paragraph </w:t>
      </w:r>
      <w:r w:rsidRPr="00025910">
        <w:fldChar w:fldCharType="begin"/>
      </w:r>
      <w:r w:rsidRPr="00025910">
        <w:instrText xml:space="preserve"> REF _Ref_ContractCompanion_9kb9Ur35A \w \n \h \t \* MERGEFORMAT </w:instrText>
      </w:r>
      <w:r w:rsidRPr="00025910">
        <w:fldChar w:fldCharType="separate"/>
      </w:r>
      <w:r w:rsidR="00302D39">
        <w:t>2</w:t>
      </w:r>
      <w:r w:rsidRPr="00025910">
        <w:fldChar w:fldCharType="end"/>
      </w:r>
      <w:bookmarkEnd w:id="2342"/>
      <w:r w:rsidRPr="00025910">
        <w:t xml:space="preserve"> of this </w:t>
      </w:r>
      <w:r w:rsidRPr="00025910">
        <w:fldChar w:fldCharType="begin"/>
      </w:r>
      <w:r w:rsidRPr="00025910">
        <w:instrText xml:space="preserve"> REF Sch26PartB \h  \* MERGEFORMAT </w:instrText>
      </w:r>
      <w:r w:rsidRPr="00025910">
        <w:fldChar w:fldCharType="separate"/>
      </w:r>
      <w:r w:rsidR="00302D39" w:rsidRPr="00025910">
        <w:t>Part B</w:t>
      </w:r>
      <w:r w:rsidRPr="00025910">
        <w:fldChar w:fldCharType="end"/>
      </w:r>
      <w:r w:rsidRPr="00025910">
        <w:t xml:space="preserve"> and either:</w:t>
      </w:r>
    </w:p>
    <w:p w14:paraId="276C4BA9" w14:textId="77777777" w:rsidR="00F67E9E" w:rsidRPr="006D2212" w:rsidRDefault="00F67E9E" w:rsidP="00F67E9E">
      <w:pPr>
        <w:pStyle w:val="AppendixText3"/>
        <w:numPr>
          <w:ilvl w:val="2"/>
          <w:numId w:val="71"/>
        </w:numPr>
      </w:pPr>
      <w:r w:rsidRPr="00025910">
        <w:t xml:space="preserve">the Supplier fails to provide the CRP Information within 4 months of the Effective Date if this is a Critical Service Contract or otherwise within 4 months of the Relevant </w:t>
      </w:r>
      <w:r w:rsidRPr="006D2212">
        <w:t>Authority’s or Relevant Authorities’ request; or</w:t>
      </w:r>
    </w:p>
    <w:p w14:paraId="009F55D6" w14:textId="77777777" w:rsidR="00F67E9E" w:rsidRPr="00025910" w:rsidRDefault="00F67E9E" w:rsidP="00F67E9E">
      <w:pPr>
        <w:pStyle w:val="AppendixText3"/>
      </w:pPr>
      <w:r w:rsidRPr="006D2212">
        <w:t>the Supplier fails to obtain an Assurance from the Relevant Authority or Relevant Authorities withi</w:t>
      </w:r>
      <w:r w:rsidRPr="00025910">
        <w:t>n 4 months of the date that it was first required to provide the CRP Information under this Contract.</w:t>
      </w:r>
    </w:p>
    <w:p w14:paraId="7BAC9222" w14:textId="77777777" w:rsidR="00F67E9E" w:rsidRPr="00631338" w:rsidRDefault="00F67E9E" w:rsidP="00F67E9E">
      <w:pPr>
        <w:pStyle w:val="AppendixText1"/>
        <w:numPr>
          <w:ilvl w:val="0"/>
          <w:numId w:val="71"/>
        </w:numPr>
        <w:rPr>
          <w:color w:val="1F497D"/>
        </w:rPr>
      </w:pPr>
      <w:bookmarkStart w:id="2343" w:name="_Ref_ContractCompanion_9kb9Ur2A9"/>
      <w:bookmarkStart w:id="2344" w:name="_Ref_ContractCompanion_9kb9UsAA6"/>
      <w:r w:rsidRPr="00631338">
        <w:rPr>
          <w:color w:val="1F497D"/>
        </w:rPr>
        <w:t>Confidentiality and usage of CRP Information</w:t>
      </w:r>
      <w:bookmarkEnd w:id="2343"/>
      <w:bookmarkEnd w:id="2344"/>
    </w:p>
    <w:p w14:paraId="266F26AE" w14:textId="77777777" w:rsidR="00F67E9E" w:rsidRPr="00025910" w:rsidRDefault="00F67E9E" w:rsidP="00F67E9E">
      <w:pPr>
        <w:pStyle w:val="AppendixText2"/>
      </w:pPr>
      <w:bookmarkStart w:id="2345" w:name="_Ref_ContractCompanion_9kb9Ur369"/>
      <w:r w:rsidRPr="00025910">
        <w:t>The Authority agrees to keep the CRP Information confidential and use it only to understand the implications of an Insolvency Event of the Supplier and/or Supplier Group members on its UK Public Sector Business and/or services in respect of CNI and to enable contingency planning to maintain service continuity for end users and protect CNI in such eventuality.</w:t>
      </w:r>
      <w:bookmarkEnd w:id="2345"/>
    </w:p>
    <w:p w14:paraId="112B97B0" w14:textId="0269ABFD" w:rsidR="00F67E9E" w:rsidRPr="00025910" w:rsidRDefault="00F67E9E" w:rsidP="00F67E9E">
      <w:pPr>
        <w:pStyle w:val="AppendixText2"/>
      </w:pPr>
      <w:r w:rsidRPr="00025910">
        <w:t>Where the Relevant Authority is the Cabinet Office Markets and Suppliers Team, at the Supplier</w:t>
      </w:r>
      <w:r>
        <w:t>’</w:t>
      </w:r>
      <w:r w:rsidRPr="00025910">
        <w:t xml:space="preserve">s request, the Authority shall use reasonable endeavours to procure that the Cabinet Office enters into a confidentiality and usage agreement with the Supplier containing terms no less stringent than those placed on the Authority under </w:t>
      </w:r>
      <w:bookmarkStart w:id="2346" w:name="_9kR3WTr2CC7AF3knoewrqyBLM"/>
      <w:r w:rsidRPr="00025910">
        <w:t>Paragraph</w:t>
      </w:r>
      <w:r>
        <w:t> </w:t>
      </w:r>
      <w:r w:rsidRPr="00025910">
        <w:fldChar w:fldCharType="begin"/>
      </w:r>
      <w:r w:rsidRPr="00025910">
        <w:instrText xml:space="preserve"> REF _Ref_ContractCompanion_9kb9Ur369 \n \h \t \* MERGEFORMAT </w:instrText>
      </w:r>
      <w:r w:rsidRPr="00025910">
        <w:fldChar w:fldCharType="separate"/>
      </w:r>
      <w:r w:rsidR="00302D39">
        <w:t>4.1</w:t>
      </w:r>
      <w:r w:rsidRPr="00025910">
        <w:fldChar w:fldCharType="end"/>
      </w:r>
      <w:bookmarkEnd w:id="2346"/>
      <w:r w:rsidRPr="00025910">
        <w:t xml:space="preserve"> of this </w:t>
      </w:r>
      <w:r w:rsidRPr="00025910">
        <w:fldChar w:fldCharType="begin"/>
      </w:r>
      <w:r w:rsidRPr="00025910">
        <w:instrText xml:space="preserve"> REF Sch26PartB \h  \* MERGEFORMAT </w:instrText>
      </w:r>
      <w:r w:rsidRPr="00025910">
        <w:fldChar w:fldCharType="separate"/>
      </w:r>
      <w:r w:rsidR="00302D39" w:rsidRPr="00025910">
        <w:t>Part B</w:t>
      </w:r>
      <w:r w:rsidRPr="00025910">
        <w:fldChar w:fldCharType="end"/>
      </w:r>
      <w:r w:rsidRPr="00025910">
        <w:t xml:space="preserve"> and </w:t>
      </w:r>
      <w:bookmarkStart w:id="2347" w:name="_9kR3WTr2CC7AGRChrAv6H"/>
      <w:r w:rsidRPr="00025910">
        <w:t xml:space="preserve">Clause </w:t>
      </w:r>
      <w:bookmarkEnd w:id="2347"/>
      <w:r w:rsidRPr="00025910">
        <w:t>19 (</w:t>
      </w:r>
      <w:r w:rsidRPr="00025910">
        <w:rPr>
          <w:i/>
        </w:rPr>
        <w:t>Confidentiality</w:t>
      </w:r>
      <w:r w:rsidRPr="00025910">
        <w:t>).</w:t>
      </w:r>
    </w:p>
    <w:p w14:paraId="5066F070" w14:textId="57FB2FA2" w:rsidR="00F67E9E" w:rsidRPr="00025910" w:rsidRDefault="00F67E9E" w:rsidP="00F67E9E">
      <w:pPr>
        <w:pStyle w:val="AppendixText2"/>
      </w:pPr>
      <w:bookmarkStart w:id="2348" w:name="_Ref_ContractCompanion_9kb9Ur36D"/>
      <w:bookmarkStart w:id="2349" w:name="_9kR3WTrAG8DMF9CFgSkWhB74ys2H8rw8IQBBCwB"/>
      <w:r w:rsidRPr="00025910">
        <w:t xml:space="preserve">The Supplier shall use reasonable endeavours to obtain consent from any third party which has restricted the disclosure of the CRP Information to enable disclosure of that information to the Relevant Authority or Relevant Authorities pursuant to </w:t>
      </w:r>
      <w:bookmarkStart w:id="2350" w:name="_9kMHG5YVt4EE9BIhGpqgyts0DL"/>
      <w:r w:rsidRPr="00025910">
        <w:t xml:space="preserve">Paragraph </w:t>
      </w:r>
      <w:r w:rsidRPr="00025910">
        <w:fldChar w:fldCharType="begin"/>
      </w:r>
      <w:r w:rsidRPr="00025910">
        <w:instrText xml:space="preserve"> REF _Ref_ContractCompanion_9kb9Ur35A \w \n \h \t \* MERGEFORMAT </w:instrText>
      </w:r>
      <w:r w:rsidRPr="00025910">
        <w:fldChar w:fldCharType="separate"/>
      </w:r>
      <w:r w:rsidR="00302D39">
        <w:t>2</w:t>
      </w:r>
      <w:r w:rsidRPr="00025910">
        <w:fldChar w:fldCharType="end"/>
      </w:r>
      <w:bookmarkEnd w:id="2350"/>
      <w:r w:rsidRPr="00025910">
        <w:t xml:space="preserve"> of this </w:t>
      </w:r>
      <w:r w:rsidRPr="00025910">
        <w:fldChar w:fldCharType="begin"/>
      </w:r>
      <w:r w:rsidRPr="00025910">
        <w:instrText xml:space="preserve"> REF Sch26PartB \h  \* MERGEFORMAT </w:instrText>
      </w:r>
      <w:r w:rsidRPr="00025910">
        <w:fldChar w:fldCharType="separate"/>
      </w:r>
      <w:r w:rsidR="00302D39" w:rsidRPr="00025910">
        <w:t>Part B</w:t>
      </w:r>
      <w:r w:rsidRPr="00025910">
        <w:fldChar w:fldCharType="end"/>
      </w:r>
      <w:r w:rsidRPr="00025910">
        <w:t xml:space="preserve"> subject, where necessary, to the Relevant Authority or Relevant Authorities entering into an appropriate confidentiality agreement in the form required by the third party.</w:t>
      </w:r>
      <w:bookmarkEnd w:id="2348"/>
      <w:bookmarkEnd w:id="2349"/>
    </w:p>
    <w:p w14:paraId="1822C6B1" w14:textId="5360DF56" w:rsidR="00F67E9E" w:rsidRPr="00025910" w:rsidRDefault="00F67E9E" w:rsidP="00F67E9E">
      <w:pPr>
        <w:pStyle w:val="AppendixText2"/>
      </w:pPr>
      <w:r w:rsidRPr="00025910">
        <w:t xml:space="preserve">Where the Supplier is unable to procure consent pursuant to </w:t>
      </w:r>
      <w:bookmarkStart w:id="2351" w:name="_9kR3WTr2CC7BAXEnoewrqyBLO"/>
      <w:r w:rsidRPr="00025910">
        <w:t xml:space="preserve">Paragraph </w:t>
      </w:r>
      <w:r w:rsidRPr="00025910">
        <w:fldChar w:fldCharType="begin"/>
      </w:r>
      <w:r w:rsidRPr="00025910">
        <w:instrText xml:space="preserve"> REF _Ref_ContractCompanion_9kb9Ur36D \n \h \t \* MERGEFORMAT </w:instrText>
      </w:r>
      <w:r w:rsidRPr="00025910">
        <w:fldChar w:fldCharType="separate"/>
      </w:r>
      <w:r w:rsidR="00302D39">
        <w:t>4.3</w:t>
      </w:r>
      <w:r w:rsidRPr="00025910">
        <w:fldChar w:fldCharType="end"/>
      </w:r>
      <w:bookmarkEnd w:id="2351"/>
      <w:r w:rsidRPr="00025910">
        <w:t xml:space="preserve"> of this </w:t>
      </w:r>
      <w:r w:rsidRPr="00025910">
        <w:fldChar w:fldCharType="begin"/>
      </w:r>
      <w:r w:rsidRPr="00025910">
        <w:instrText xml:space="preserve"> REF Sch26PartB \h  \* MERGEFORMAT </w:instrText>
      </w:r>
      <w:r w:rsidRPr="00025910">
        <w:fldChar w:fldCharType="separate"/>
      </w:r>
      <w:r w:rsidR="00302D39" w:rsidRPr="00025910">
        <w:t>Part B</w:t>
      </w:r>
      <w:r w:rsidRPr="00025910">
        <w:fldChar w:fldCharType="end"/>
      </w:r>
      <w:r w:rsidRPr="00025910">
        <w:t>, the Supplier shall use all reasonable endeavours to disclose the CRP Information to the fullest extent possible by limiting the amount of information it withholds including by:</w:t>
      </w:r>
    </w:p>
    <w:p w14:paraId="092D2B27" w14:textId="77777777" w:rsidR="00F67E9E" w:rsidRPr="00025910" w:rsidRDefault="00F67E9E" w:rsidP="00F67E9E">
      <w:pPr>
        <w:pStyle w:val="AppendixText3"/>
      </w:pPr>
      <w:r w:rsidRPr="00025910">
        <w:t>redacting only those parts of the information which are subject to such obligations of confidentiality</w:t>
      </w:r>
    </w:p>
    <w:p w14:paraId="24DD2926" w14:textId="77777777" w:rsidR="00F67E9E" w:rsidRPr="00025910" w:rsidRDefault="00F67E9E" w:rsidP="00F67E9E">
      <w:pPr>
        <w:pStyle w:val="AppendixText3"/>
      </w:pPr>
      <w:r w:rsidRPr="00025910">
        <w:t>providing the information in a form that does not breach its obligations of confidentiality including (where possible) by:</w:t>
      </w:r>
    </w:p>
    <w:p w14:paraId="53805033" w14:textId="77777777" w:rsidR="00F67E9E" w:rsidRPr="006D2212" w:rsidRDefault="00F67E9E" w:rsidP="00F67E9E">
      <w:pPr>
        <w:pStyle w:val="AppendixText4"/>
        <w:numPr>
          <w:ilvl w:val="3"/>
          <w:numId w:val="71"/>
        </w:numPr>
      </w:pPr>
      <w:r w:rsidRPr="006D2212">
        <w:t>summarising the information;</w:t>
      </w:r>
    </w:p>
    <w:p w14:paraId="7C91939C" w14:textId="77777777" w:rsidR="00F67E9E" w:rsidRPr="006D2212" w:rsidRDefault="00F67E9E" w:rsidP="00F67E9E">
      <w:pPr>
        <w:pStyle w:val="AppendixText4"/>
      </w:pPr>
      <w:r w:rsidRPr="006D2212">
        <w:t>grouping the information;</w:t>
      </w:r>
    </w:p>
    <w:p w14:paraId="77D8B4C4" w14:textId="77777777" w:rsidR="00F67E9E" w:rsidRPr="006D2212" w:rsidRDefault="00F67E9E" w:rsidP="00F67E9E">
      <w:pPr>
        <w:pStyle w:val="AppendixText4"/>
      </w:pPr>
      <w:r w:rsidRPr="006D2212">
        <w:t>anonymising the information; and</w:t>
      </w:r>
    </w:p>
    <w:p w14:paraId="4F9BAF06" w14:textId="77777777" w:rsidR="00F67E9E" w:rsidRPr="00025910" w:rsidRDefault="00F67E9E" w:rsidP="00F67E9E">
      <w:pPr>
        <w:pStyle w:val="AppendixText4"/>
      </w:pPr>
      <w:r w:rsidRPr="006D2212">
        <w:t>presenting</w:t>
      </w:r>
      <w:r w:rsidRPr="00025910">
        <w:t xml:space="preserve"> the information in general terms</w:t>
      </w:r>
    </w:p>
    <w:p w14:paraId="229661B5" w14:textId="77777777" w:rsidR="00F67E9E" w:rsidRDefault="00F67E9E" w:rsidP="00F67E9E">
      <w:pPr>
        <w:pStyle w:val="AppendixText2"/>
        <w:numPr>
          <w:ilvl w:val="1"/>
          <w:numId w:val="71"/>
        </w:numPr>
      </w:pPr>
      <w:r w:rsidRPr="00025910">
        <w:t xml:space="preserve">The Supplier shall provide the Relevant Authority or Relevant Authorities with contact details of any third party which has not provided consent to disclose CRP Information where that third </w:t>
      </w:r>
      <w:r w:rsidRPr="006D2212">
        <w:t>party</w:t>
      </w:r>
      <w:r w:rsidRPr="00025910">
        <w:t xml:space="preserve"> is also a public sector body and where the Supplier is legally permitted to do so.</w:t>
      </w:r>
    </w:p>
    <w:p w14:paraId="7E2F1F23" w14:textId="77777777" w:rsidR="00F67E9E" w:rsidRDefault="00F67E9E" w:rsidP="00F67E9E"/>
    <w:p w14:paraId="70CA7F5E" w14:textId="77777777" w:rsidR="00F67E9E" w:rsidRDefault="00F67E9E" w:rsidP="00F67E9E">
      <w:pPr>
        <w:pStyle w:val="Heading2"/>
        <w:pageBreakBefore/>
        <w:rPr>
          <w:lang w:val="fr-FR"/>
        </w:rPr>
      </w:pPr>
      <w:bookmarkStart w:id="2352" w:name="_Ref_ContractCompanion_9kb9Us9HA"/>
      <w:bookmarkStart w:id="2353" w:name="_Ref_ContractCompanion_9kb9Us9HD"/>
      <w:bookmarkStart w:id="2354" w:name="_Ref92450991"/>
      <w:bookmarkStart w:id="2355" w:name="_9kR3WTrAG9DLJMo4uttpABxAD9k3v3vgduANMlC"/>
      <w:bookmarkStart w:id="2356" w:name="_Toc141711980"/>
      <w:bookmarkEnd w:id="2352"/>
      <w:bookmarkEnd w:id="2353"/>
      <w:r w:rsidRPr="00025910">
        <w:rPr>
          <w:lang w:val="fr-FR"/>
        </w:rPr>
        <w:t xml:space="preserve">Annex </w:t>
      </w:r>
      <w:bookmarkStart w:id="2357" w:name="ANNEX1_PARTB_SCHEDULE26"/>
      <w:r w:rsidRPr="00025910">
        <w:rPr>
          <w:lang w:val="fr-FR"/>
        </w:rPr>
        <w:t>1</w:t>
      </w:r>
      <w:bookmarkEnd w:id="2357"/>
      <w:r w:rsidRPr="00025910">
        <w:rPr>
          <w:lang w:val="fr-FR"/>
        </w:rPr>
        <w:t xml:space="preserve">: </w:t>
      </w:r>
      <w:bookmarkStart w:id="2358" w:name="ANNEX1HEADINGSCHEDULE26"/>
      <w:r w:rsidRPr="00025910">
        <w:rPr>
          <w:lang w:val="fr-FR"/>
        </w:rPr>
        <w:t>Exposure Information (Contracts List)</w:t>
      </w:r>
      <w:bookmarkEnd w:id="2354"/>
      <w:bookmarkEnd w:id="2355"/>
      <w:bookmarkEnd w:id="2356"/>
      <w:bookmarkEnd w:id="2358"/>
    </w:p>
    <w:p w14:paraId="23852A84" w14:textId="77777777" w:rsidR="00F67E9E" w:rsidRPr="00025910" w:rsidRDefault="00F67E9E" w:rsidP="00F67E9E">
      <w:pPr>
        <w:pStyle w:val="AppendixText1"/>
        <w:numPr>
          <w:ilvl w:val="0"/>
          <w:numId w:val="72"/>
        </w:numPr>
      </w:pPr>
      <w:r w:rsidRPr="00025910">
        <w:t>The Supplier shall:</w:t>
      </w:r>
    </w:p>
    <w:p w14:paraId="46BCDD0C" w14:textId="77777777" w:rsidR="00F67E9E" w:rsidRPr="00025910" w:rsidRDefault="00F67E9E" w:rsidP="00F67E9E">
      <w:pPr>
        <w:pStyle w:val="AppendixText2"/>
      </w:pPr>
      <w:r w:rsidRPr="00025910">
        <w:t xml:space="preserve">provide details of all agreements held by members of the Supplier Group where those </w:t>
      </w:r>
      <w:r w:rsidRPr="006D2212">
        <w:t>agreements</w:t>
      </w:r>
      <w:r w:rsidRPr="00025910">
        <w:t xml:space="preserve"> are for goods, services or works provision and:</w:t>
      </w:r>
    </w:p>
    <w:p w14:paraId="5679000E" w14:textId="41086F35" w:rsidR="00F67E9E" w:rsidRPr="006D2212" w:rsidRDefault="00F67E9E" w:rsidP="00F67E9E">
      <w:pPr>
        <w:pStyle w:val="AppendixText3"/>
      </w:pPr>
      <w:bookmarkStart w:id="2359" w:name="_Ref_ContractCompanion_9kb9UsAA9"/>
      <w:bookmarkStart w:id="2360" w:name="_9kR3WTrAG9EEFHABlpu0533lsHzGcJ6y6y9CxDQ"/>
      <w:r w:rsidRPr="00025910">
        <w:t xml:space="preserve">are with any UK public sector bodies including: </w:t>
      </w:r>
      <w:r w:rsidR="00536C6C">
        <w:t>Crown Bodies</w:t>
      </w:r>
      <w:r w:rsidRPr="00025910">
        <w:t xml:space="preserve"> and their arms-length bodies and agencies, non-departmental public bodies, NHS bodies, local </w:t>
      </w:r>
      <w:r w:rsidRPr="006D2212">
        <w:t>authorities, health bodies, police fire and rescue, education bodies and the devolved administrations;</w:t>
      </w:r>
      <w:bookmarkEnd w:id="2359"/>
      <w:bookmarkEnd w:id="2360"/>
    </w:p>
    <w:p w14:paraId="7B040C19" w14:textId="6396AB00" w:rsidR="00F67E9E" w:rsidRPr="006D2212" w:rsidRDefault="00F67E9E" w:rsidP="00F67E9E">
      <w:pPr>
        <w:pStyle w:val="AppendixText3"/>
      </w:pPr>
      <w:r w:rsidRPr="006D2212">
        <w:t xml:space="preserve">are with any private sector entities where the end recipient of the service, goods or works provision is any of the bodies set out in </w:t>
      </w:r>
      <w:bookmarkStart w:id="2361" w:name="_9kMHG5YVtCIBGGHJCDnrw2755nuJ1IeL8080BEz"/>
      <w:r w:rsidRPr="006D2212">
        <w:t xml:space="preserve">Paragraph </w:t>
      </w:r>
      <w:bookmarkEnd w:id="2361"/>
      <w:r w:rsidRPr="006D2212">
        <w:fldChar w:fldCharType="begin"/>
      </w:r>
      <w:r w:rsidRPr="006D2212">
        <w:instrText xml:space="preserve"> REF _Ref_ContractCompanion_9kb9UsAA9 \w \h  \* MERGEFORMAT </w:instrText>
      </w:r>
      <w:r w:rsidRPr="006D2212">
        <w:fldChar w:fldCharType="separate"/>
      </w:r>
      <w:r w:rsidR="00302D39">
        <w:t>1.1.1</w:t>
      </w:r>
      <w:r w:rsidRPr="006D2212">
        <w:fldChar w:fldCharType="end"/>
      </w:r>
      <w:r w:rsidRPr="006D2212">
        <w:t xml:space="preserve"> of this </w:t>
      </w:r>
      <w:bookmarkStart w:id="2362" w:name="_9kMKJ5YVtCIBFNLOq6wvvrCDzCFBm5x5xifwCPO"/>
      <w:r w:rsidRPr="006D2212">
        <w:t xml:space="preserve">Annex </w:t>
      </w:r>
      <w:bookmarkEnd w:id="2362"/>
      <w:r w:rsidRPr="006D2212">
        <w:fldChar w:fldCharType="begin"/>
      </w:r>
      <w:r w:rsidRPr="006D2212">
        <w:instrText xml:space="preserve"> REF ANNEX1_PARTB_SCHEDULE26 \h  \* MERGEFORMAT </w:instrText>
      </w:r>
      <w:r w:rsidRPr="006D2212">
        <w:fldChar w:fldCharType="separate"/>
      </w:r>
      <w:r w:rsidR="00302D39" w:rsidRPr="00302D39">
        <w:t>1</w:t>
      </w:r>
      <w:r w:rsidRPr="006D2212">
        <w:fldChar w:fldCharType="end"/>
      </w:r>
      <w:r w:rsidRPr="006D2212">
        <w:t xml:space="preserve"> and where the member of the Supplier Group is acting as a key sub-contractor under the agreement with the end recipient; or</w:t>
      </w:r>
    </w:p>
    <w:p w14:paraId="65511450" w14:textId="77777777" w:rsidR="00F67E9E" w:rsidRPr="00025910" w:rsidRDefault="00F67E9E" w:rsidP="00F67E9E">
      <w:pPr>
        <w:pStyle w:val="AppendixText3"/>
      </w:pPr>
      <w:r w:rsidRPr="006D2212">
        <w:t>involve or could</w:t>
      </w:r>
      <w:r w:rsidRPr="00025910">
        <w:t xml:space="preserve"> reasonably be considered to involve CNI;</w:t>
      </w:r>
    </w:p>
    <w:p w14:paraId="72853D5E" w14:textId="77777777" w:rsidR="00F67E9E" w:rsidRPr="00025910" w:rsidRDefault="00F67E9E" w:rsidP="00F67E9E">
      <w:pPr>
        <w:pStyle w:val="AppendixText2"/>
      </w:pPr>
      <w:r w:rsidRPr="00025910">
        <w:t>provide the Relevant Authority with a copy of the latest version of each underlying contract worth more than £5m per contract year and their related key sub-contracts, which shall be included as embedded documents within the CRP Information or via a directly accessible link.</w:t>
      </w:r>
    </w:p>
    <w:p w14:paraId="7C902619" w14:textId="77777777" w:rsidR="00F67E9E" w:rsidRDefault="00F67E9E" w:rsidP="00F67E9E"/>
    <w:p w14:paraId="41127D1A" w14:textId="77777777" w:rsidR="00F67E9E" w:rsidRDefault="00F67E9E" w:rsidP="00F67E9E">
      <w:pPr>
        <w:pStyle w:val="Heading2"/>
        <w:pageBreakBefore/>
      </w:pPr>
      <w:bookmarkStart w:id="2363" w:name="_Ref92450999"/>
      <w:bookmarkStart w:id="2364" w:name="_Toc141711981"/>
      <w:r w:rsidRPr="00025910">
        <w:t xml:space="preserve">Annex </w:t>
      </w:r>
      <w:bookmarkStart w:id="2365" w:name="ANNEX2_PARTB_SCHEDULE26"/>
      <w:r w:rsidRPr="00025910">
        <w:t>2</w:t>
      </w:r>
      <w:bookmarkEnd w:id="2365"/>
      <w:r w:rsidRPr="00025910">
        <w:t xml:space="preserve">: </w:t>
      </w:r>
      <w:bookmarkStart w:id="2366" w:name="ANNEX2HEADINGSCHEDULE26"/>
      <w:r w:rsidRPr="00025910">
        <w:t>Corporate Resolvability Assessment (Structural Review)</w:t>
      </w:r>
      <w:bookmarkEnd w:id="2363"/>
      <w:bookmarkEnd w:id="2364"/>
      <w:bookmarkEnd w:id="2366"/>
    </w:p>
    <w:p w14:paraId="7D561733" w14:textId="77777777" w:rsidR="00F67E9E" w:rsidRPr="00025910" w:rsidRDefault="00F67E9E" w:rsidP="00F67E9E">
      <w:pPr>
        <w:pStyle w:val="AppendixText1"/>
        <w:numPr>
          <w:ilvl w:val="0"/>
          <w:numId w:val="73"/>
        </w:numPr>
      </w:pPr>
      <w:r w:rsidRPr="00025910">
        <w:t xml:space="preserve">The </w:t>
      </w:r>
      <w:r w:rsidRPr="006D2212">
        <w:t>Supplier</w:t>
      </w:r>
      <w:r w:rsidRPr="00025910">
        <w:t xml:space="preserve"> shall:</w:t>
      </w:r>
    </w:p>
    <w:p w14:paraId="6AC4E7AD" w14:textId="38077521" w:rsidR="00F67E9E" w:rsidRPr="006D2212" w:rsidRDefault="00F67E9E" w:rsidP="00F67E9E">
      <w:pPr>
        <w:pStyle w:val="AppendixText2"/>
      </w:pPr>
      <w:r w:rsidRPr="00025910">
        <w:t>provide sufficient information to allow the Relevant Authority to understand the implications on the Supplier Group</w:t>
      </w:r>
      <w:r>
        <w:t>’</w:t>
      </w:r>
      <w:r w:rsidRPr="00025910">
        <w:t xml:space="preserve">s UK Public Sector Business and CNI contracts listed pursuant to Annex </w:t>
      </w:r>
      <w:r w:rsidRPr="00025910">
        <w:fldChar w:fldCharType="begin"/>
      </w:r>
      <w:r w:rsidRPr="00025910">
        <w:instrText xml:space="preserve"> REF ANNEX1_PARTB_SCHEDULE26 \h </w:instrText>
      </w:r>
      <w:r>
        <w:instrText xml:space="preserve"> \* MERGEFORMAT </w:instrText>
      </w:r>
      <w:r w:rsidRPr="00025910">
        <w:fldChar w:fldCharType="separate"/>
      </w:r>
      <w:r w:rsidR="00302D39" w:rsidRPr="00302D39">
        <w:t>1</w:t>
      </w:r>
      <w:r w:rsidRPr="00025910">
        <w:fldChar w:fldCharType="end"/>
      </w:r>
      <w:r w:rsidRPr="00025910">
        <w:t xml:space="preserve"> if the Supplier or another member of the Supplier Group is subject to an Insolvency </w:t>
      </w:r>
      <w:r w:rsidRPr="006D2212">
        <w:t>Event.</w:t>
      </w:r>
    </w:p>
    <w:p w14:paraId="1EF8C445" w14:textId="77777777" w:rsidR="00F67E9E" w:rsidRPr="006D2212" w:rsidRDefault="00F67E9E" w:rsidP="00F67E9E">
      <w:pPr>
        <w:pStyle w:val="AppendixText2"/>
      </w:pPr>
      <w:r w:rsidRPr="006D2212">
        <w:t>ensure that the information is presented so as to provide a simple, effective and easily understood overview of the Supplier Group; and</w:t>
      </w:r>
    </w:p>
    <w:p w14:paraId="488E5E9C" w14:textId="35DB96D2" w:rsidR="00F67E9E" w:rsidRPr="00025910" w:rsidRDefault="00F67E9E" w:rsidP="00F67E9E">
      <w:pPr>
        <w:pStyle w:val="AppendixText2"/>
      </w:pPr>
      <w:r w:rsidRPr="006D2212">
        <w:t>provide full details of the importance of each member of the Supplier Group to the Supplier Group’s UK Public Sector Business and CNI contracts listed pursuant to Annex </w:t>
      </w:r>
      <w:r w:rsidRPr="006D2212">
        <w:fldChar w:fldCharType="begin"/>
      </w:r>
      <w:r w:rsidRPr="006D2212">
        <w:instrText xml:space="preserve"> REF ANNEX1_PARTB_SCHEDULE26 \h  \* MERGEFORMAT </w:instrText>
      </w:r>
      <w:r w:rsidRPr="006D2212">
        <w:fldChar w:fldCharType="separate"/>
      </w:r>
      <w:r w:rsidR="00302D39" w:rsidRPr="00302D39">
        <w:t>1</w:t>
      </w:r>
      <w:r w:rsidRPr="006D2212">
        <w:fldChar w:fldCharType="end"/>
      </w:r>
      <w:r w:rsidRPr="006D2212">
        <w:t xml:space="preserve"> and the dependencies</w:t>
      </w:r>
      <w:r w:rsidRPr="00025910">
        <w:t xml:space="preserve"> between each.</w:t>
      </w:r>
    </w:p>
    <w:p w14:paraId="18D074D2" w14:textId="77777777" w:rsidR="00F67E9E" w:rsidRDefault="00F67E9E" w:rsidP="00F67E9E"/>
    <w:p w14:paraId="101E5038" w14:textId="77777777" w:rsidR="00F67E9E" w:rsidRDefault="00F67E9E" w:rsidP="00F67E9E">
      <w:pPr>
        <w:pStyle w:val="Heading2"/>
        <w:pageBreakBefore/>
      </w:pPr>
      <w:bookmarkStart w:id="2367" w:name="_Ref92451004"/>
      <w:bookmarkStart w:id="2368" w:name="_Toc141711982"/>
      <w:r w:rsidRPr="00025910">
        <w:t xml:space="preserve">Annex </w:t>
      </w:r>
      <w:bookmarkStart w:id="2369" w:name="ANNEX3_PARTB_SCHEDULE26"/>
      <w:r w:rsidRPr="00025910">
        <w:t>3</w:t>
      </w:r>
      <w:bookmarkEnd w:id="2369"/>
      <w:r w:rsidRPr="00025910">
        <w:t xml:space="preserve">: </w:t>
      </w:r>
      <w:bookmarkStart w:id="2370" w:name="ANNEX3HEADING_PARTB_SCHEDULE26"/>
      <w:r w:rsidRPr="00025910">
        <w:t>Financial Information And Commentary</w:t>
      </w:r>
      <w:bookmarkEnd w:id="2367"/>
      <w:bookmarkEnd w:id="2368"/>
      <w:bookmarkEnd w:id="2370"/>
    </w:p>
    <w:p w14:paraId="75F82319" w14:textId="77777777" w:rsidR="00F67E9E" w:rsidRPr="00EA7F9C" w:rsidRDefault="00F67E9E" w:rsidP="00F67E9E">
      <w:pPr>
        <w:pStyle w:val="AppendixText1"/>
        <w:numPr>
          <w:ilvl w:val="0"/>
          <w:numId w:val="74"/>
        </w:numPr>
      </w:pPr>
      <w:r w:rsidRPr="006D2212">
        <w:rPr>
          <w:rFonts w:cs="Arial"/>
        </w:rPr>
        <w:t>The</w:t>
      </w:r>
      <w:r w:rsidRPr="00025910">
        <w:t xml:space="preserve"> </w:t>
      </w:r>
      <w:r w:rsidRPr="006D2212">
        <w:t>Supplier</w:t>
      </w:r>
      <w:r w:rsidRPr="00025910">
        <w:t xml:space="preserve"> shall</w:t>
      </w:r>
      <w:r w:rsidRPr="00EA7F9C">
        <w:t>:</w:t>
      </w:r>
    </w:p>
    <w:p w14:paraId="4B675D1C" w14:textId="77777777" w:rsidR="00F67E9E" w:rsidRPr="006D2212" w:rsidRDefault="00F67E9E" w:rsidP="00F67E9E">
      <w:pPr>
        <w:pStyle w:val="AppendixText2"/>
      </w:pPr>
      <w:r w:rsidRPr="00025910">
        <w:t>provide sufficient financial information for the Supplier Group level, contracting operating entities level, and shared services entities</w:t>
      </w:r>
      <w:r>
        <w:t>’</w:t>
      </w:r>
      <w:r w:rsidRPr="00025910">
        <w:t xml:space="preserve"> level </w:t>
      </w:r>
      <w:r w:rsidRPr="00E34031">
        <w:t xml:space="preserve">to allow the Relevant Authority to understand the current financial interconnectedness of the Supplier Group and the current </w:t>
      </w:r>
      <w:r w:rsidRPr="006D2212">
        <w:t>performance of the Supplier as a standalone entity; and</w:t>
      </w:r>
    </w:p>
    <w:p w14:paraId="576BCBB8" w14:textId="77777777" w:rsidR="00F67E9E" w:rsidRPr="00025910" w:rsidRDefault="00F67E9E" w:rsidP="00F67E9E">
      <w:pPr>
        <w:pStyle w:val="AppendixText2"/>
      </w:pPr>
      <w:r w:rsidRPr="006D2212">
        <w:t>ensure t</w:t>
      </w:r>
      <w:r w:rsidRPr="00025910">
        <w:t>hat the information is presented in a simple, effective and easily understood manner.</w:t>
      </w:r>
    </w:p>
    <w:p w14:paraId="5D7335CC" w14:textId="0C0CF804" w:rsidR="00F67E9E" w:rsidRPr="006D2212" w:rsidRDefault="00F67E9E" w:rsidP="00F67E9E">
      <w:pPr>
        <w:pStyle w:val="AppendixText1"/>
        <w:keepNext w:val="0"/>
        <w:rPr>
          <w:b w:val="0"/>
          <w:bCs/>
        </w:rPr>
      </w:pPr>
      <w:r w:rsidRPr="006D2212">
        <w:rPr>
          <w:b w:val="0"/>
          <w:bCs/>
        </w:rPr>
        <w:t xml:space="preserve">For the avoidance of doubt the financial information to be provided pursuant to Paragraph 1 of this Annex </w:t>
      </w:r>
      <w:r w:rsidRPr="006D2212">
        <w:rPr>
          <w:b w:val="0"/>
          <w:bCs/>
        </w:rPr>
        <w:fldChar w:fldCharType="begin"/>
      </w:r>
      <w:r w:rsidRPr="006D2212">
        <w:rPr>
          <w:b w:val="0"/>
          <w:bCs/>
        </w:rPr>
        <w:instrText xml:space="preserve"> REF ANNEX3_PARTB_SCHEDULE26 \h  \* MERGEFORMAT </w:instrText>
      </w:r>
      <w:r w:rsidRPr="006D2212">
        <w:rPr>
          <w:b w:val="0"/>
          <w:bCs/>
        </w:rPr>
      </w:r>
      <w:r w:rsidRPr="006D2212">
        <w:rPr>
          <w:b w:val="0"/>
          <w:bCs/>
        </w:rPr>
        <w:fldChar w:fldCharType="separate"/>
      </w:r>
      <w:r w:rsidR="00302D39" w:rsidRPr="00302D39">
        <w:rPr>
          <w:rFonts w:cs="Arial"/>
          <w:b w:val="0"/>
          <w:bCs/>
        </w:rPr>
        <w:t>3</w:t>
      </w:r>
      <w:r w:rsidRPr="006D2212">
        <w:rPr>
          <w:b w:val="0"/>
          <w:bCs/>
        </w:rPr>
        <w:fldChar w:fldCharType="end"/>
      </w:r>
      <w:r w:rsidRPr="006D2212">
        <w:rPr>
          <w:b w:val="0"/>
          <w:bCs/>
        </w:rPr>
        <w:t xml:space="preserve"> should be based on the most recent audited accounts for the relevant entities (or interim accounts where available) updated for any material changes since the Accounting Reference Date provided that such accounts are available in a reasonable timeframe to allow the Supplier to comply with its obligations under this </w:t>
      </w:r>
      <w:r w:rsidRPr="006D2212">
        <w:rPr>
          <w:rFonts w:cs="Arial"/>
          <w:b w:val="0"/>
          <w:bCs/>
        </w:rPr>
        <w:fldChar w:fldCharType="begin"/>
      </w:r>
      <w:r w:rsidRPr="006D2212">
        <w:rPr>
          <w:rFonts w:cs="Arial"/>
          <w:b w:val="0"/>
          <w:bCs/>
        </w:rPr>
        <w:instrText xml:space="preserve"> REF Schedule26 \h  \* MERGEFORMAT </w:instrText>
      </w:r>
      <w:r w:rsidRPr="006D2212">
        <w:rPr>
          <w:rFonts w:cs="Arial"/>
          <w:b w:val="0"/>
          <w:bCs/>
        </w:rPr>
      </w:r>
      <w:r w:rsidRPr="006D2212">
        <w:rPr>
          <w:rFonts w:cs="Arial"/>
          <w:b w:val="0"/>
          <w:bCs/>
        </w:rPr>
        <w:fldChar w:fldCharType="separate"/>
      </w:r>
      <w:r w:rsidR="00302D39" w:rsidRPr="00302D39">
        <w:rPr>
          <w:b w:val="0"/>
          <w:bCs/>
        </w:rPr>
        <w:t>Schedule 26</w:t>
      </w:r>
      <w:r w:rsidRPr="006D2212">
        <w:rPr>
          <w:rFonts w:cs="Arial"/>
          <w:b w:val="0"/>
          <w:bCs/>
        </w:rPr>
        <w:fldChar w:fldCharType="end"/>
      </w:r>
      <w:r w:rsidRPr="006D2212">
        <w:rPr>
          <w:rFonts w:cs="Arial"/>
          <w:b w:val="0"/>
          <w:bCs/>
        </w:rPr>
        <w:t xml:space="preserve"> (</w:t>
      </w:r>
      <w:r w:rsidRPr="006D2212">
        <w:rPr>
          <w:rFonts w:cs="Arial"/>
          <w:b w:val="0"/>
          <w:bCs/>
          <w:i/>
          <w:iCs/>
        </w:rPr>
        <w:fldChar w:fldCharType="begin"/>
      </w:r>
      <w:r w:rsidRPr="006D2212">
        <w:rPr>
          <w:rFonts w:cs="Arial"/>
          <w:b w:val="0"/>
          <w:bCs/>
          <w:i/>
          <w:iCs/>
        </w:rPr>
        <w:instrText xml:space="preserve"> REF Schedule26Heading \h  \* MERGEFORMAT </w:instrText>
      </w:r>
      <w:r w:rsidRPr="006D2212">
        <w:rPr>
          <w:rFonts w:cs="Arial"/>
          <w:b w:val="0"/>
          <w:bCs/>
          <w:i/>
          <w:iCs/>
        </w:rPr>
      </w:r>
      <w:r w:rsidRPr="006D2212">
        <w:rPr>
          <w:rFonts w:cs="Arial"/>
          <w:b w:val="0"/>
          <w:bCs/>
          <w:i/>
          <w:iCs/>
        </w:rPr>
        <w:fldChar w:fldCharType="separate"/>
      </w:r>
      <w:r w:rsidR="00302D39" w:rsidRPr="00302D39">
        <w:rPr>
          <w:b w:val="0"/>
          <w:bCs/>
          <w:i/>
          <w:iCs/>
        </w:rPr>
        <w:t>Service Continuity Plan and Corporate Resolution Planning</w:t>
      </w:r>
      <w:r w:rsidRPr="006D2212">
        <w:rPr>
          <w:rFonts w:cs="Arial"/>
          <w:b w:val="0"/>
          <w:bCs/>
          <w:i/>
          <w:iCs/>
        </w:rPr>
        <w:fldChar w:fldCharType="end"/>
      </w:r>
      <w:r w:rsidRPr="006D2212">
        <w:rPr>
          <w:rFonts w:cs="Arial"/>
          <w:b w:val="0"/>
          <w:bCs/>
        </w:rPr>
        <w:t>)</w:t>
      </w:r>
      <w:r w:rsidRPr="006D2212">
        <w:rPr>
          <w:b w:val="0"/>
          <w:bCs/>
        </w:rPr>
        <w:t xml:space="preserve">. If such accounts are not available in that timeframe, financial information should be based on unpublished unaudited accounts or management accounts (disclosure of which to the </w:t>
      </w:r>
      <w:r w:rsidRPr="006D2212">
        <w:rPr>
          <w:rFonts w:cs="Arial"/>
          <w:b w:val="0"/>
          <w:bCs/>
        </w:rPr>
        <w:t>Cabinet Office Markets and Suppliers Team remains protected by confidentiality)</w:t>
      </w:r>
      <w:r w:rsidRPr="006D2212">
        <w:rPr>
          <w:b w:val="0"/>
          <w:bCs/>
        </w:rPr>
        <w:t>.</w:t>
      </w:r>
    </w:p>
    <w:p w14:paraId="27E3B8CA" w14:textId="77777777" w:rsidR="00F67E9E" w:rsidRPr="00025910" w:rsidRDefault="00F67E9E" w:rsidP="00F67E9E">
      <w:pPr>
        <w:rPr>
          <w:rFonts w:cs="Arial"/>
          <w:szCs w:val="24"/>
        </w:rPr>
      </w:pPr>
    </w:p>
    <w:p w14:paraId="6634E384" w14:textId="77777777" w:rsidR="00F67E9E" w:rsidRPr="00025910" w:rsidRDefault="00F67E9E" w:rsidP="00F67E9E">
      <w:pPr>
        <w:rPr>
          <w:rFonts w:cs="Arial"/>
          <w:szCs w:val="24"/>
        </w:rPr>
      </w:pPr>
    </w:p>
    <w:p w14:paraId="16091965" w14:textId="77777777" w:rsidR="00F67E9E" w:rsidRPr="00025910" w:rsidRDefault="00F67E9E" w:rsidP="00F67E9E">
      <w:pPr>
        <w:rPr>
          <w:rFonts w:cs="Arial"/>
          <w:szCs w:val="24"/>
        </w:rPr>
        <w:sectPr w:rsidR="00F67E9E" w:rsidRPr="00025910" w:rsidSect="00240D26">
          <w:headerReference w:type="default" r:id="rId129"/>
          <w:footerReference w:type="default" r:id="rId130"/>
          <w:footerReference w:type="first" r:id="rId131"/>
          <w:pgSz w:w="11900" w:h="16840"/>
          <w:pgMar w:top="1701" w:right="851" w:bottom="1134" w:left="851" w:header="567" w:footer="567" w:gutter="0"/>
          <w:cols w:space="720"/>
          <w:docGrid w:linePitch="360"/>
        </w:sectPr>
      </w:pPr>
    </w:p>
    <w:p w14:paraId="761FF461" w14:textId="77777777" w:rsidR="00F67E9E" w:rsidRPr="00EE4F10" w:rsidRDefault="00F67E9E" w:rsidP="00F67E9E">
      <w:pPr>
        <w:pStyle w:val="Dividername"/>
      </w:pPr>
      <w:r w:rsidRPr="00EE4F10">
        <w:t>Schedule 27</w:t>
      </w:r>
    </w:p>
    <w:p w14:paraId="42EF3263" w14:textId="77777777" w:rsidR="00F67E9E" w:rsidRPr="00EE4F10" w:rsidRDefault="00F67E9E" w:rsidP="00F67E9E">
      <w:pPr>
        <w:pStyle w:val="Dividername"/>
      </w:pPr>
      <w:r w:rsidRPr="00EE4F10">
        <w:t xml:space="preserve">Conduct </w:t>
      </w:r>
      <w:r>
        <w:t>o</w:t>
      </w:r>
      <w:r w:rsidRPr="00EE4F10">
        <w:t>f Claims</w:t>
      </w:r>
    </w:p>
    <w:p w14:paraId="6D6CD142" w14:textId="77777777" w:rsidR="00F67E9E" w:rsidRPr="00025910" w:rsidRDefault="00F67E9E" w:rsidP="00F67E9E">
      <w:pPr>
        <w:rPr>
          <w:szCs w:val="24"/>
        </w:rPr>
      </w:pPr>
    </w:p>
    <w:p w14:paraId="02A4D441" w14:textId="77777777" w:rsidR="00F67E9E" w:rsidRPr="00025910" w:rsidRDefault="00F67E9E" w:rsidP="00F67E9E">
      <w:pPr>
        <w:rPr>
          <w:szCs w:val="24"/>
        </w:rPr>
      </w:pPr>
      <w:r w:rsidRPr="00025910">
        <w:rPr>
          <w:szCs w:val="24"/>
        </w:rPr>
        <w:br w:type="page"/>
      </w:r>
    </w:p>
    <w:p w14:paraId="086F7E16" w14:textId="77777777" w:rsidR="00F67E9E" w:rsidRPr="005D0525" w:rsidRDefault="00F67E9E" w:rsidP="00F67E9E">
      <w:pPr>
        <w:pStyle w:val="Heading1"/>
      </w:pPr>
      <w:bookmarkStart w:id="2371" w:name="Schedule27"/>
      <w:bookmarkStart w:id="2372" w:name="_Ref92200064"/>
      <w:bookmarkStart w:id="2373" w:name="_Toc141711983"/>
      <w:r w:rsidRPr="005D0525">
        <w:t>Schedule</w:t>
      </w:r>
      <w:r>
        <w:t> </w:t>
      </w:r>
      <w:r w:rsidRPr="005D0525">
        <w:t>27</w:t>
      </w:r>
      <w:bookmarkEnd w:id="2371"/>
      <w:r>
        <w:t xml:space="preserve">: </w:t>
      </w:r>
      <w:bookmarkStart w:id="2374" w:name="Schedule27Heading"/>
      <w:r w:rsidRPr="00DD4CC2">
        <w:t>Conduct of Claims</w:t>
      </w:r>
      <w:bookmarkEnd w:id="2372"/>
      <w:bookmarkEnd w:id="2373"/>
      <w:bookmarkEnd w:id="2374"/>
    </w:p>
    <w:p w14:paraId="3844B583" w14:textId="77777777" w:rsidR="00F67E9E" w:rsidRPr="00025910" w:rsidRDefault="00F67E9E" w:rsidP="00F67E9E">
      <w:pPr>
        <w:pStyle w:val="Numbered1"/>
        <w:numPr>
          <w:ilvl w:val="0"/>
          <w:numId w:val="285"/>
        </w:numPr>
      </w:pPr>
      <w:r w:rsidRPr="0090174B">
        <w:t>Indemnities</w:t>
      </w:r>
    </w:p>
    <w:p w14:paraId="3EF430CE" w14:textId="77777777" w:rsidR="00F67E9E" w:rsidRPr="00025910" w:rsidRDefault="00F67E9E" w:rsidP="00F67E9E">
      <w:pPr>
        <w:pStyle w:val="Numbered11"/>
      </w:pPr>
      <w:r w:rsidRPr="00025910">
        <w:t xml:space="preserve">This Schedule shall apply to the conduct, by a Party from whom an indemnity is sought under this Contract (the </w:t>
      </w:r>
      <w:r>
        <w:t>“</w:t>
      </w:r>
      <w:r w:rsidRPr="00025910">
        <w:rPr>
          <w:rStyle w:val="StdBodyTextBoldChar"/>
          <w:rFonts w:eastAsiaTheme="majorEastAsia"/>
        </w:rPr>
        <w:t>Indemnifier</w:t>
      </w:r>
      <w:r>
        <w:t>”</w:t>
      </w:r>
      <w:r w:rsidRPr="00025910">
        <w:t xml:space="preserve">), of claims made by a third person against a party having (or claiming to have) the benefit of the indemnity (the </w:t>
      </w:r>
      <w:r>
        <w:t>“</w:t>
      </w:r>
      <w:r w:rsidRPr="00025910">
        <w:rPr>
          <w:rStyle w:val="StdBodyTextBoldChar"/>
          <w:rFonts w:eastAsiaTheme="majorEastAsia"/>
        </w:rPr>
        <w:t>Beneficiary</w:t>
      </w:r>
      <w:r>
        <w:t>”</w:t>
      </w:r>
      <w:r w:rsidRPr="00025910">
        <w:t>).</w:t>
      </w:r>
    </w:p>
    <w:p w14:paraId="390131AB" w14:textId="77777777" w:rsidR="00F67E9E" w:rsidRPr="00025910" w:rsidRDefault="00F67E9E" w:rsidP="00F67E9E">
      <w:pPr>
        <w:pStyle w:val="Numbered11"/>
      </w:pPr>
      <w:r w:rsidRPr="00025910">
        <w:t xml:space="preserve">If the Beneficiary receives any notice of any claim for which it appears that the Beneficiary is, or may become, entitled to indemnification under this Contract (a </w:t>
      </w:r>
      <w:r>
        <w:t>“</w:t>
      </w:r>
      <w:r w:rsidRPr="00025910">
        <w:rPr>
          <w:rStyle w:val="StdBodyTextBoldChar"/>
          <w:rFonts w:eastAsiaTheme="majorEastAsia"/>
        </w:rPr>
        <w:t>Claim</w:t>
      </w:r>
      <w:r>
        <w:t>”</w:t>
      </w:r>
      <w:r w:rsidRPr="00025910">
        <w:t>), the Beneficiary shall give notice in writing to the Indemnifier as soon as reasonably practicable and in any event within 10 Working Days of receipt of the same.</w:t>
      </w:r>
    </w:p>
    <w:p w14:paraId="7DDB36FF" w14:textId="39623915" w:rsidR="00F67E9E" w:rsidRPr="00025910" w:rsidRDefault="00F67E9E" w:rsidP="00F67E9E">
      <w:pPr>
        <w:pStyle w:val="Numbered11"/>
      </w:pPr>
      <w:bookmarkStart w:id="2375" w:name="_9kR3WTrAG9EFFGCedtjnhxFBiPyzp7219NIHNI4"/>
      <w:bookmarkStart w:id="2376" w:name="_Ref_ContractCompanion_9kb9UsAB9"/>
      <w:r w:rsidRPr="00025910">
        <w:t xml:space="preserve">Subject to </w:t>
      </w:r>
      <w:bookmarkStart w:id="2377" w:name="_9kMHG5YVtCIBGHBCDFg0wB79ADAs0zxAL"/>
      <w:r w:rsidRPr="00025910">
        <w:t xml:space="preserve">Paragraph </w:t>
      </w:r>
      <w:r w:rsidRPr="00025910">
        <w:fldChar w:fldCharType="begin"/>
      </w:r>
      <w:r w:rsidRPr="00025910">
        <w:instrText xml:space="preserve"> REF _Ref_ContractCompanion_9kb9UsAB3 \w \n \h \t \* MERGEFORMAT </w:instrText>
      </w:r>
      <w:r w:rsidRPr="00025910">
        <w:fldChar w:fldCharType="separate"/>
      </w:r>
      <w:r w:rsidR="00302D39">
        <w:t>2</w:t>
      </w:r>
      <w:r w:rsidRPr="00025910">
        <w:fldChar w:fldCharType="end"/>
      </w:r>
      <w:bookmarkEnd w:id="2377"/>
      <w:r w:rsidRPr="00025910">
        <w:t>, on the giving of a notice by the Beneficiary, where it appears that the Beneficiary is or may be entitled to indemnification from the Indemnifier in respect of all (but not part only) of the liability arising out of the Claim, the Indemnifier shall (subject to providing the Beneficiary with a secured indemnity to its reasonable satisfaction against all costs and expenses that it may incur by reason of such action) be entitled to dispute the Claim in the name of the Beneficiary at the Indemnifier</w:t>
      </w:r>
      <w:r>
        <w:t>’</w:t>
      </w:r>
      <w:r w:rsidRPr="00025910">
        <w:t>s own expense and take conduct of any defence, dispute, compromise or appeal of the Claim and of any incidental negotiations relating to the Claim.</w:t>
      </w:r>
      <w:bookmarkEnd w:id="2375"/>
      <w:r>
        <w:t xml:space="preserve"> </w:t>
      </w:r>
      <w:r w:rsidRPr="00025910">
        <w:t xml:space="preserve">If the Indemnifier does elect to conduct the Claim, the Beneficiary shall give the Indemnifier all reasonable cooperation, access and assistance for the purposes of such Claim and, subject to </w:t>
      </w:r>
      <w:bookmarkStart w:id="2378" w:name="_9kMHG5YVtCIBGHEGEgTlGBuvotrsr1QSCv0C3x2"/>
      <w:r w:rsidRPr="00025910">
        <w:t xml:space="preserve">Paragraph </w:t>
      </w:r>
      <w:r w:rsidRPr="00025910">
        <w:fldChar w:fldCharType="begin"/>
      </w:r>
      <w:r w:rsidRPr="00025910">
        <w:instrText xml:space="preserve"> REF _Ref_ContractCompanion_9kb9UsAB6 \n \h \t \* MERGEFORMAT </w:instrText>
      </w:r>
      <w:r w:rsidRPr="00025910">
        <w:fldChar w:fldCharType="separate"/>
      </w:r>
      <w:r w:rsidR="00302D39">
        <w:t>2.2</w:t>
      </w:r>
      <w:r w:rsidRPr="00025910">
        <w:fldChar w:fldCharType="end"/>
      </w:r>
      <w:bookmarkEnd w:id="2378"/>
      <w:r w:rsidRPr="00025910">
        <w:t>, the Beneficiary shall not make any admission which could be prejudicial to the defence or settlement of the Claim without the prior written consent of the Indemnifier.</w:t>
      </w:r>
      <w:bookmarkEnd w:id="2376"/>
    </w:p>
    <w:p w14:paraId="5DD9D895" w14:textId="65F6F40D" w:rsidR="00F67E9E" w:rsidRPr="00025910" w:rsidRDefault="00F67E9E" w:rsidP="00F67E9E">
      <w:pPr>
        <w:pStyle w:val="Numbered11"/>
      </w:pPr>
      <w:bookmarkStart w:id="2379" w:name="_Ref_ContractCompanion_9kb9UsABC"/>
      <w:bookmarkStart w:id="2380" w:name="_9kR3WTrAG9EG99DjVzzywyAxl1JFxxMmUzxA58K"/>
      <w:r w:rsidRPr="00025910">
        <w:t xml:space="preserve">With respect to any Claim conducted by the Indemnifier pursuant to </w:t>
      </w:r>
      <w:bookmarkStart w:id="2381" w:name="_9kMHG5YVtCIBGHHIEgfvlpjzHDkR01r943BPKJP"/>
      <w:r w:rsidRPr="00025910">
        <w:t xml:space="preserve">Paragraph </w:t>
      </w:r>
      <w:r w:rsidRPr="00025910">
        <w:fldChar w:fldCharType="begin"/>
      </w:r>
      <w:r w:rsidRPr="00025910">
        <w:instrText xml:space="preserve"> REF _Ref_ContractCompanion_9kb9UsAB9 \n \h \t \* MERGEFORMAT </w:instrText>
      </w:r>
      <w:r w:rsidRPr="00025910">
        <w:fldChar w:fldCharType="separate"/>
      </w:r>
      <w:r w:rsidR="00302D39">
        <w:t>1.3</w:t>
      </w:r>
      <w:r w:rsidRPr="00025910">
        <w:fldChar w:fldCharType="end"/>
      </w:r>
      <w:bookmarkEnd w:id="2381"/>
      <w:r w:rsidRPr="00025910">
        <w:t>:</w:t>
      </w:r>
      <w:bookmarkEnd w:id="2379"/>
      <w:bookmarkEnd w:id="2380"/>
    </w:p>
    <w:p w14:paraId="0956C764" w14:textId="77777777" w:rsidR="00F67E9E" w:rsidRPr="00025910" w:rsidRDefault="00F67E9E" w:rsidP="00F67E9E">
      <w:pPr>
        <w:pStyle w:val="Numbered111"/>
      </w:pPr>
      <w:r w:rsidRPr="00025910">
        <w:t>the Indemnifier shall keep the Beneficiary fully informed and consult with it about material elements of the conduct of the Claim;</w:t>
      </w:r>
    </w:p>
    <w:p w14:paraId="612BF316" w14:textId="77777777" w:rsidR="00F67E9E" w:rsidRPr="00025910" w:rsidRDefault="00F67E9E" w:rsidP="00F67E9E">
      <w:pPr>
        <w:pStyle w:val="Numbered111"/>
      </w:pPr>
      <w:r w:rsidRPr="00025910">
        <w:t>the Indemnifier shall not bring the name of the Beneficiary into disrepute;</w:t>
      </w:r>
    </w:p>
    <w:p w14:paraId="6E196FD3" w14:textId="77777777" w:rsidR="00F67E9E" w:rsidRPr="00025910" w:rsidRDefault="00F67E9E" w:rsidP="00F67E9E">
      <w:pPr>
        <w:pStyle w:val="Numbered111"/>
      </w:pPr>
      <w:r w:rsidRPr="00025910">
        <w:t>the Indemnifier shall not pay or settle such Claim without the prior written consent of the Beneficiary, such consent not to be unreasonably withheld or delayed; and</w:t>
      </w:r>
    </w:p>
    <w:p w14:paraId="60E3F3E0" w14:textId="77777777" w:rsidR="00F67E9E" w:rsidRPr="00025910" w:rsidRDefault="00F67E9E" w:rsidP="00F67E9E">
      <w:pPr>
        <w:pStyle w:val="Numbered111"/>
      </w:pPr>
      <w:r w:rsidRPr="00025910">
        <w:t>the Indemnifier shall conduct the Claim with all due diligence.</w:t>
      </w:r>
    </w:p>
    <w:p w14:paraId="240FCCE4" w14:textId="77777777" w:rsidR="00F67E9E" w:rsidRPr="00025910" w:rsidRDefault="00F67E9E" w:rsidP="00F67E9E">
      <w:pPr>
        <w:pStyle w:val="Numbered11"/>
      </w:pPr>
      <w:r w:rsidRPr="00025910">
        <w:t>The Beneficiary shall be entitled to have conduct of the Claim and shall be free to pay or settle any Claim on such terms as it thinks fit and without prejudice to its rights and remedies under this Contract if:</w:t>
      </w:r>
    </w:p>
    <w:p w14:paraId="0D340B9E" w14:textId="13EA3B67" w:rsidR="00F67E9E" w:rsidRPr="00025910" w:rsidRDefault="00F67E9E" w:rsidP="00F67E9E">
      <w:pPr>
        <w:pStyle w:val="Numbered111"/>
      </w:pPr>
      <w:r w:rsidRPr="00025910">
        <w:t xml:space="preserve">the Indemnifier is not entitled to take conduct of the Claim in accordance with </w:t>
      </w:r>
      <w:bookmarkStart w:id="2382" w:name="_9kMIH5YVtCIBGHHIEgfvlpjzHDkR01r943BPKJP"/>
      <w:r w:rsidRPr="00025910">
        <w:t xml:space="preserve">Paragraph </w:t>
      </w:r>
      <w:r w:rsidRPr="00025910">
        <w:fldChar w:fldCharType="begin"/>
      </w:r>
      <w:r w:rsidRPr="00025910">
        <w:instrText xml:space="preserve"> REF _Ref_ContractCompanion_9kb9UsAB9 \n \h \t \* MERGEFORMAT </w:instrText>
      </w:r>
      <w:r w:rsidRPr="00025910">
        <w:fldChar w:fldCharType="separate"/>
      </w:r>
      <w:r w:rsidR="00302D39">
        <w:t>1.3</w:t>
      </w:r>
      <w:r w:rsidRPr="00025910">
        <w:fldChar w:fldCharType="end"/>
      </w:r>
      <w:bookmarkEnd w:id="2382"/>
      <w:r w:rsidRPr="00025910">
        <w:t>;</w:t>
      </w:r>
    </w:p>
    <w:p w14:paraId="20AE5623" w14:textId="77777777" w:rsidR="00F67E9E" w:rsidRPr="00025910" w:rsidRDefault="00F67E9E" w:rsidP="00F67E9E">
      <w:pPr>
        <w:pStyle w:val="Numbered111"/>
      </w:pPr>
      <w:r w:rsidRPr="00025910">
        <w:t>the Indemnifier fails to notify the Beneficiary in writing of its intention to take conduct of the relevant Claim within 10 Working Days of the notice from the Beneficiary or if the Indemnifier notifies the Beneficiary in writing that it does not intend to take conduct of the Claim; or</w:t>
      </w:r>
    </w:p>
    <w:p w14:paraId="5B2B36DC" w14:textId="38CADA44" w:rsidR="00F67E9E" w:rsidRPr="00025910" w:rsidRDefault="00F67E9E" w:rsidP="00F67E9E">
      <w:pPr>
        <w:pStyle w:val="Numbered111"/>
      </w:pPr>
      <w:r w:rsidRPr="00025910">
        <w:t xml:space="preserve">the Indemnifier fails to comply in any material respect with the provisions of </w:t>
      </w:r>
      <w:bookmarkStart w:id="2383" w:name="_9kMHG5YVtCIBGIBBFlX110y0Czn3LHzzOoW1zC7"/>
      <w:r w:rsidRPr="00025910">
        <w:t xml:space="preserve">Paragraph </w:t>
      </w:r>
      <w:r w:rsidRPr="00025910">
        <w:fldChar w:fldCharType="begin"/>
      </w:r>
      <w:r w:rsidRPr="00025910">
        <w:instrText xml:space="preserve"> REF _Ref_ContractCompanion_9kb9UsABC \n \h \t \* MERGEFORMAT </w:instrText>
      </w:r>
      <w:r w:rsidRPr="00025910">
        <w:fldChar w:fldCharType="separate"/>
      </w:r>
      <w:r w:rsidR="00302D39">
        <w:t>1.4</w:t>
      </w:r>
      <w:r w:rsidRPr="00025910">
        <w:fldChar w:fldCharType="end"/>
      </w:r>
      <w:bookmarkEnd w:id="2383"/>
      <w:r w:rsidRPr="00025910">
        <w:t>.</w:t>
      </w:r>
    </w:p>
    <w:p w14:paraId="23E46DF7" w14:textId="77777777" w:rsidR="00F67E9E" w:rsidRPr="0090174B" w:rsidRDefault="00F67E9E" w:rsidP="00F67E9E">
      <w:pPr>
        <w:pStyle w:val="Numbered1"/>
      </w:pPr>
      <w:bookmarkStart w:id="2384" w:name="_Ref_ContractCompanion_9kb9UsAB3"/>
      <w:bookmarkStart w:id="2385" w:name="_9kR3WTrAG9EF9ABDeyu9578B8qyxv8J"/>
      <w:r w:rsidRPr="0090174B">
        <w:t>Sensitive Claims</w:t>
      </w:r>
      <w:bookmarkEnd w:id="2384"/>
      <w:bookmarkEnd w:id="2385"/>
    </w:p>
    <w:p w14:paraId="0D5B609E" w14:textId="77777777" w:rsidR="00F67E9E" w:rsidRPr="00025910" w:rsidRDefault="00F67E9E" w:rsidP="00F67E9E">
      <w:pPr>
        <w:pStyle w:val="Numbered11"/>
      </w:pPr>
      <w:bookmarkStart w:id="2386" w:name="_9kR3WTr8E8469BB"/>
      <w:bookmarkEnd w:id="2386"/>
      <w:r w:rsidRPr="00025910">
        <w:t>With respect to any Claim which the Beneficiary, acting reasonably, considers is likely to have an adverse impact on the general public</w:t>
      </w:r>
      <w:r>
        <w:t>’</w:t>
      </w:r>
      <w:r w:rsidRPr="00025910">
        <w:t xml:space="preserve">s perception of the Beneficiary (a </w:t>
      </w:r>
      <w:r>
        <w:t>“</w:t>
      </w:r>
      <w:r w:rsidRPr="00025910">
        <w:rPr>
          <w:rStyle w:val="StdBodyTextBoldChar"/>
          <w:rFonts w:eastAsiaTheme="majorEastAsia"/>
        </w:rPr>
        <w:t>Sensitive Claim</w:t>
      </w:r>
      <w:r>
        <w:t>”</w:t>
      </w:r>
      <w:r w:rsidRPr="00025910">
        <w:t>), the Indemnifier shall be entitled to take conduct of any defence, dispute, compromise or appeal of the Sensitive Claim only with the Beneficiary</w:t>
      </w:r>
      <w:r>
        <w:t>’</w:t>
      </w:r>
      <w:r w:rsidRPr="00025910">
        <w:t>s prior written consent.</w:t>
      </w:r>
      <w:r>
        <w:t xml:space="preserve"> </w:t>
      </w:r>
      <w:r w:rsidRPr="00025910">
        <w:t>If the Beneficiary withholds such consent and elects to conduct the defence, dispute, compromise or appeal of the Sensitive Claim itself, it shall conduct the Sensitive Claim with all due diligence and if it fails to do so, the Indemnifier shall only be liable to indemnify the Beneficiary in respect of that amount which would have been recoverable by the Beneficiary had it conducted the Sensitive Claim with all due diligence.</w:t>
      </w:r>
    </w:p>
    <w:p w14:paraId="0596569B" w14:textId="5E7B4EEF" w:rsidR="00F67E9E" w:rsidRPr="00025910" w:rsidRDefault="00F67E9E" w:rsidP="00F67E9E">
      <w:pPr>
        <w:pStyle w:val="Numbered11"/>
      </w:pPr>
      <w:bookmarkStart w:id="2387" w:name="_Ref_ContractCompanion_9kb9UsAB6"/>
      <w:bookmarkStart w:id="2388" w:name="_9kR3WTrAG9EFCECeRjE9stmrpqpzOQAtyA1v0EE"/>
      <w:r w:rsidRPr="00025910">
        <w:t xml:space="preserve">The Beneficiary shall be free at any time to give written notice to the Indemnifier that it is retaining or taking over (as the case may be) the conduct of any Claim, to which </w:t>
      </w:r>
      <w:bookmarkStart w:id="2389" w:name="_9kMJI5YVtCIBGHHIEgfvlpjzHDkR01r943BPKJP"/>
      <w:r w:rsidRPr="00025910">
        <w:t xml:space="preserve">Paragraph </w:t>
      </w:r>
      <w:r w:rsidRPr="00025910">
        <w:fldChar w:fldCharType="begin"/>
      </w:r>
      <w:r w:rsidRPr="00025910">
        <w:instrText xml:space="preserve"> REF _Ref_ContractCompanion_9kb9UsAB9 \n \h \t \* MERGEFORMAT </w:instrText>
      </w:r>
      <w:r w:rsidRPr="00025910">
        <w:fldChar w:fldCharType="separate"/>
      </w:r>
      <w:r w:rsidR="00302D39">
        <w:t>1.3</w:t>
      </w:r>
      <w:r w:rsidRPr="00025910">
        <w:fldChar w:fldCharType="end"/>
      </w:r>
      <w:bookmarkEnd w:id="2389"/>
      <w:r w:rsidRPr="00025910">
        <w:t xml:space="preserve"> applies if, in the reasonable opinion of the Beneficiary, the Claim is, or has become, a Sensitive Claim.</w:t>
      </w:r>
      <w:bookmarkEnd w:id="2387"/>
      <w:bookmarkEnd w:id="2388"/>
    </w:p>
    <w:p w14:paraId="73853D8A" w14:textId="77777777" w:rsidR="00F67E9E" w:rsidRPr="00025910" w:rsidRDefault="00F67E9E" w:rsidP="00F67E9E">
      <w:pPr>
        <w:pStyle w:val="Numbered1"/>
      </w:pPr>
      <w:bookmarkStart w:id="2390" w:name="_9kR3WTr8E846AD"/>
      <w:bookmarkEnd w:id="2390"/>
      <w:r w:rsidRPr="00025910">
        <w:t xml:space="preserve">Recovery </w:t>
      </w:r>
      <w:r>
        <w:t>o</w:t>
      </w:r>
      <w:r w:rsidRPr="00025910">
        <w:t>f Sums</w:t>
      </w:r>
    </w:p>
    <w:p w14:paraId="5996D10A" w14:textId="77777777" w:rsidR="00F67E9E" w:rsidRPr="00025910" w:rsidRDefault="00F67E9E" w:rsidP="00F67E9E">
      <w:pPr>
        <w:pStyle w:val="Numbered11"/>
      </w:pPr>
      <w:r w:rsidRPr="00025910">
        <w:t>If the Indemnifier pays to the Beneficiary an amount in respect of an indemnity and the Beneficiary subsequently recovers (whether by payment, discount, credit, saving, relief or other benefit or otherwise) a sum which is directly referable to the fact, matter, event or circumstances giving rise to the Claim, the Beneficiary shall forthwith repay to the Indemnifier whichever is the lesser of:</w:t>
      </w:r>
    </w:p>
    <w:p w14:paraId="09DE5ADB" w14:textId="77777777" w:rsidR="00F67E9E" w:rsidRPr="00025910" w:rsidRDefault="00F67E9E" w:rsidP="00F67E9E">
      <w:pPr>
        <w:pStyle w:val="Numbered111"/>
      </w:pPr>
      <w:r w:rsidRPr="00025910">
        <w:t>an amount equal to the sum recovered (or the value of the discount, credit, saving, relief, other benefit or amount otherwise obtained) less any out-of-pocket costs and expenses properly incurred by the Beneficiary in recovering or obtaining the same; and</w:t>
      </w:r>
    </w:p>
    <w:p w14:paraId="32503E74" w14:textId="77777777" w:rsidR="00F67E9E" w:rsidRPr="00025910" w:rsidRDefault="00F67E9E" w:rsidP="00F67E9E">
      <w:pPr>
        <w:pStyle w:val="Numbered111"/>
      </w:pPr>
      <w:r w:rsidRPr="00025910">
        <w:t>the amount paid to the Beneficiary by the Indemnifier in respect of the Claim under the relevant indemnity.</w:t>
      </w:r>
    </w:p>
    <w:p w14:paraId="4B78B923" w14:textId="77777777" w:rsidR="00F67E9E" w:rsidRPr="00025910" w:rsidRDefault="00F67E9E" w:rsidP="00F67E9E">
      <w:pPr>
        <w:pStyle w:val="Numbered1"/>
      </w:pPr>
      <w:r w:rsidRPr="00025910">
        <w:t>Mitigation</w:t>
      </w:r>
    </w:p>
    <w:p w14:paraId="71635B1D" w14:textId="77777777" w:rsidR="00F67E9E" w:rsidRDefault="00F67E9E" w:rsidP="00F67E9E">
      <w:pPr>
        <w:pStyle w:val="Numbered11"/>
      </w:pPr>
      <w:r w:rsidRPr="00025910">
        <w:t>Each of the Authority and the Supplier shall at all times take all reasonable steps to minimise and mitigate any loss for which the relevant Party is entitled to bring a claim against the other Party pursuant to the indemnities in this Schedule.</w:t>
      </w:r>
    </w:p>
    <w:p w14:paraId="0BAB5ADA" w14:textId="77777777" w:rsidR="00F67E9E" w:rsidRDefault="00F67E9E" w:rsidP="00F67E9E"/>
    <w:p w14:paraId="47C925A7" w14:textId="77777777" w:rsidR="00F67E9E" w:rsidRDefault="00F67E9E" w:rsidP="00F67E9E"/>
    <w:p w14:paraId="0AB643F3" w14:textId="77777777" w:rsidR="00F67E9E" w:rsidRPr="00EB7A87" w:rsidRDefault="00F67E9E" w:rsidP="00F67E9E"/>
    <w:p w14:paraId="0D59714F" w14:textId="77777777" w:rsidR="00F67E9E" w:rsidRPr="00025910" w:rsidRDefault="00F67E9E" w:rsidP="00F67E9E">
      <w:pPr>
        <w:sectPr w:rsidR="00F67E9E" w:rsidRPr="00025910" w:rsidSect="00240D26">
          <w:headerReference w:type="default" r:id="rId132"/>
          <w:footerReference w:type="default" r:id="rId133"/>
          <w:pgSz w:w="11900" w:h="16840"/>
          <w:pgMar w:top="1701" w:right="851" w:bottom="1134" w:left="851" w:header="567" w:footer="567" w:gutter="0"/>
          <w:cols w:space="720"/>
          <w:docGrid w:linePitch="360"/>
        </w:sectPr>
      </w:pPr>
    </w:p>
    <w:p w14:paraId="3B5CA7BC" w14:textId="77777777" w:rsidR="00F67E9E" w:rsidRPr="00EE4F10" w:rsidRDefault="00F67E9E" w:rsidP="00F67E9E">
      <w:pPr>
        <w:pStyle w:val="Dividername"/>
      </w:pPr>
      <w:r w:rsidRPr="00EE4F10">
        <w:t>Schedule 28</w:t>
      </w:r>
    </w:p>
    <w:p w14:paraId="6C9BAE70" w14:textId="77777777" w:rsidR="00F67E9E" w:rsidRDefault="00F67E9E" w:rsidP="00F67E9E">
      <w:pPr>
        <w:pStyle w:val="Dividername"/>
      </w:pPr>
      <w:r w:rsidRPr="00EE4F10">
        <w:t>Staff Transfer</w:t>
      </w:r>
    </w:p>
    <w:p w14:paraId="2B7FE20B" w14:textId="77777777" w:rsidR="00F67E9E" w:rsidRDefault="00F67E9E" w:rsidP="00F67E9E"/>
    <w:p w14:paraId="640F9470" w14:textId="77777777" w:rsidR="00F67E9E" w:rsidRPr="00025910" w:rsidRDefault="00F67E9E" w:rsidP="00F67E9E">
      <w:r w:rsidRPr="00025910">
        <w:br w:type="page"/>
      </w:r>
    </w:p>
    <w:p w14:paraId="44BE81BA" w14:textId="77777777" w:rsidR="00F67E9E" w:rsidRPr="005D0525" w:rsidRDefault="00F67E9E" w:rsidP="00F67E9E">
      <w:pPr>
        <w:pStyle w:val="Heading1"/>
      </w:pPr>
      <w:bookmarkStart w:id="2391" w:name="Schedule28"/>
      <w:bookmarkStart w:id="2392" w:name="_Ref92200072"/>
      <w:bookmarkStart w:id="2393" w:name="_Toc141711984"/>
      <w:r w:rsidRPr="005D0525">
        <w:t>Schedule</w:t>
      </w:r>
      <w:r>
        <w:t> </w:t>
      </w:r>
      <w:r w:rsidRPr="005D0525">
        <w:t>28</w:t>
      </w:r>
      <w:bookmarkEnd w:id="2391"/>
      <w:r>
        <w:t xml:space="preserve">: </w:t>
      </w:r>
      <w:bookmarkStart w:id="2394" w:name="Schedule28Heading"/>
      <w:r w:rsidRPr="00DD4CC2">
        <w:t>Staff Transfer</w:t>
      </w:r>
      <w:bookmarkEnd w:id="2392"/>
      <w:bookmarkEnd w:id="2393"/>
      <w:bookmarkEnd w:id="2394"/>
    </w:p>
    <w:p w14:paraId="5B838BC5" w14:textId="02BD52C4" w:rsidR="00F67E9E" w:rsidRPr="002B1F57" w:rsidRDefault="00F67E9E" w:rsidP="00F67E9E">
      <w:pPr>
        <w:rPr>
          <w:rFonts w:eastAsia="Calibri"/>
          <w:b/>
          <w:i/>
          <w:szCs w:val="24"/>
          <w:highlight w:val="yellow"/>
          <w:lang w:eastAsia="en-GB"/>
        </w:rPr>
      </w:pPr>
      <w:r w:rsidRPr="002B1F57">
        <w:rPr>
          <w:rFonts w:eastAsia="Calibri"/>
          <w:b/>
          <w:i/>
          <w:szCs w:val="24"/>
          <w:highlight w:val="yellow"/>
          <w:lang w:eastAsia="en-GB"/>
        </w:rPr>
        <w:t xml:space="preserve">[Guidance note: Authorities will need to take their own legal advice on this </w:t>
      </w:r>
      <w:r w:rsidRPr="002B1F57">
        <w:rPr>
          <w:rFonts w:eastAsia="Calibri"/>
          <w:b/>
          <w:i/>
          <w:szCs w:val="24"/>
          <w:highlight w:val="yellow"/>
          <w:lang w:eastAsia="en-GB"/>
        </w:rPr>
        <w:fldChar w:fldCharType="begin"/>
      </w:r>
      <w:r w:rsidRPr="002B1F57">
        <w:rPr>
          <w:rFonts w:eastAsia="Calibri"/>
          <w:b/>
          <w:i/>
          <w:szCs w:val="24"/>
          <w:highlight w:val="yellow"/>
          <w:lang w:eastAsia="en-GB"/>
        </w:rPr>
        <w:instrText xml:space="preserve"> REF Schedule28 \h  \* MERGEFORMAT </w:instrText>
      </w:r>
      <w:r w:rsidRPr="002B1F57">
        <w:rPr>
          <w:rFonts w:eastAsia="Calibri"/>
          <w:b/>
          <w:i/>
          <w:szCs w:val="24"/>
          <w:highlight w:val="yellow"/>
          <w:lang w:eastAsia="en-GB"/>
        </w:rPr>
      </w:r>
      <w:r w:rsidRPr="002B1F57">
        <w:rPr>
          <w:rFonts w:eastAsia="Calibri"/>
          <w:b/>
          <w:i/>
          <w:szCs w:val="24"/>
          <w:highlight w:val="yellow"/>
          <w:lang w:eastAsia="en-GB"/>
        </w:rPr>
        <w:fldChar w:fldCharType="separate"/>
      </w:r>
      <w:r w:rsidR="00302D39" w:rsidRPr="00302D39">
        <w:rPr>
          <w:b/>
          <w:i/>
          <w:highlight w:val="yellow"/>
        </w:rPr>
        <w:t>Schedule 28</w:t>
      </w:r>
      <w:r w:rsidRPr="002B1F57">
        <w:rPr>
          <w:rFonts w:eastAsia="Calibri"/>
          <w:b/>
          <w:i/>
          <w:szCs w:val="24"/>
          <w:highlight w:val="yellow"/>
          <w:lang w:eastAsia="en-GB"/>
        </w:rPr>
        <w:fldChar w:fldCharType="end"/>
      </w:r>
      <w:r w:rsidRPr="002B1F57">
        <w:rPr>
          <w:rFonts w:eastAsia="Calibri"/>
          <w:b/>
          <w:i/>
          <w:szCs w:val="24"/>
          <w:highlight w:val="yellow"/>
          <w:lang w:eastAsia="en-GB"/>
        </w:rPr>
        <w:t xml:space="preserve"> and, in particular, on </w:t>
      </w:r>
      <w:r w:rsidRPr="002B1F57">
        <w:rPr>
          <w:rFonts w:eastAsia="Arial"/>
          <w:b/>
          <w:bCs/>
          <w:i/>
          <w:iCs/>
          <w:color w:val="000000"/>
          <w:highlight w:val="yellow"/>
        </w:rPr>
        <w:fldChar w:fldCharType="begin"/>
      </w:r>
      <w:r w:rsidRPr="002B1F57">
        <w:rPr>
          <w:rFonts w:eastAsia="Arial"/>
          <w:b/>
          <w:bCs/>
          <w:i/>
          <w:iCs/>
          <w:color w:val="000000"/>
          <w:highlight w:val="yellow"/>
        </w:rPr>
        <w:instrText xml:space="preserve"> REF Sch28PartD \h  \* MERGEFORMAT </w:instrText>
      </w:r>
      <w:r w:rsidRPr="002B1F57">
        <w:rPr>
          <w:rFonts w:eastAsia="Arial"/>
          <w:b/>
          <w:bCs/>
          <w:i/>
          <w:iCs/>
          <w:color w:val="000000"/>
          <w:highlight w:val="yellow"/>
        </w:rPr>
      </w:r>
      <w:r w:rsidRPr="002B1F57">
        <w:rPr>
          <w:rFonts w:eastAsia="Arial"/>
          <w:b/>
          <w:bCs/>
          <w:i/>
          <w:iCs/>
          <w:color w:val="000000"/>
          <w:highlight w:val="yellow"/>
        </w:rPr>
        <w:fldChar w:fldCharType="separate"/>
      </w:r>
      <w:r w:rsidR="00302D39" w:rsidRPr="00302D39">
        <w:rPr>
          <w:rFonts w:eastAsia="Calibri"/>
          <w:b/>
          <w:bCs/>
          <w:i/>
          <w:iCs/>
          <w:highlight w:val="yellow"/>
        </w:rPr>
        <w:t>Part D</w:t>
      </w:r>
      <w:r w:rsidRPr="002B1F57">
        <w:rPr>
          <w:rFonts w:eastAsia="Arial"/>
          <w:b/>
          <w:bCs/>
          <w:i/>
          <w:iCs/>
          <w:color w:val="000000"/>
          <w:highlight w:val="yellow"/>
        </w:rPr>
        <w:fldChar w:fldCharType="end"/>
      </w:r>
      <w:r w:rsidRPr="002B1F57">
        <w:rPr>
          <w:rFonts w:eastAsia="Arial"/>
          <w:color w:val="000000"/>
          <w:highlight w:val="yellow"/>
        </w:rPr>
        <w:t xml:space="preserve"> </w:t>
      </w:r>
      <w:r w:rsidRPr="002B1F57">
        <w:rPr>
          <w:rFonts w:eastAsia="Calibri"/>
          <w:b/>
          <w:i/>
          <w:szCs w:val="24"/>
          <w:highlight w:val="yellow"/>
          <w:lang w:eastAsia="en-GB"/>
        </w:rPr>
        <w:t>(</w:t>
      </w:r>
      <w:r w:rsidRPr="002B1F57">
        <w:rPr>
          <w:rFonts w:eastAsia="Calibri"/>
          <w:b/>
          <w:i/>
          <w:szCs w:val="24"/>
          <w:highlight w:val="yellow"/>
          <w:lang w:eastAsia="en-GB"/>
        </w:rPr>
        <w:fldChar w:fldCharType="begin"/>
      </w:r>
      <w:r w:rsidRPr="002B1F57">
        <w:rPr>
          <w:rFonts w:eastAsia="Calibri"/>
          <w:b/>
          <w:i/>
          <w:szCs w:val="24"/>
          <w:highlight w:val="yellow"/>
          <w:lang w:eastAsia="en-GB"/>
        </w:rPr>
        <w:instrText xml:space="preserve"> REF PartDSchedule28Heading \h  \* MERGEFORMAT </w:instrText>
      </w:r>
      <w:r w:rsidRPr="002B1F57">
        <w:rPr>
          <w:rFonts w:eastAsia="Calibri"/>
          <w:b/>
          <w:i/>
          <w:szCs w:val="24"/>
          <w:highlight w:val="yellow"/>
          <w:lang w:eastAsia="en-GB"/>
        </w:rPr>
      </w:r>
      <w:r w:rsidRPr="002B1F57">
        <w:rPr>
          <w:rFonts w:eastAsia="Calibri"/>
          <w:b/>
          <w:i/>
          <w:szCs w:val="24"/>
          <w:highlight w:val="yellow"/>
          <w:lang w:eastAsia="en-GB"/>
        </w:rPr>
        <w:fldChar w:fldCharType="separate"/>
      </w:r>
      <w:r w:rsidR="00302D39" w:rsidRPr="00302D39">
        <w:rPr>
          <w:b/>
          <w:i/>
          <w:highlight w:val="yellow"/>
        </w:rPr>
        <w:t>Pensions</w:t>
      </w:r>
      <w:r w:rsidRPr="002B1F57">
        <w:rPr>
          <w:rFonts w:eastAsia="Calibri"/>
          <w:b/>
          <w:i/>
          <w:szCs w:val="24"/>
          <w:highlight w:val="yellow"/>
          <w:lang w:eastAsia="en-GB"/>
        </w:rPr>
        <w:fldChar w:fldCharType="end"/>
      </w:r>
      <w:r w:rsidRPr="002B1F57">
        <w:rPr>
          <w:rFonts w:eastAsia="Calibri"/>
          <w:b/>
          <w:i/>
          <w:szCs w:val="24"/>
          <w:highlight w:val="yellow"/>
          <w:lang w:eastAsia="en-GB"/>
        </w:rPr>
        <w:t xml:space="preserve">). </w:t>
      </w:r>
    </w:p>
    <w:p w14:paraId="6095DE2E" w14:textId="77777777" w:rsidR="00F67E9E" w:rsidRPr="002B1F57" w:rsidRDefault="00F67E9E" w:rsidP="00F67E9E">
      <w:pPr>
        <w:rPr>
          <w:rFonts w:eastAsia="Calibri"/>
          <w:b/>
          <w:i/>
          <w:szCs w:val="24"/>
          <w:highlight w:val="yellow"/>
          <w:lang w:eastAsia="en-GB"/>
        </w:rPr>
      </w:pPr>
    </w:p>
    <w:p w14:paraId="70796DD7" w14:textId="77777777" w:rsidR="00F67E9E" w:rsidRPr="002B1F57" w:rsidRDefault="00F67E9E" w:rsidP="00F67E9E">
      <w:pPr>
        <w:rPr>
          <w:rFonts w:eastAsia="Calibri"/>
          <w:b/>
          <w:i/>
          <w:szCs w:val="24"/>
          <w:highlight w:val="yellow"/>
          <w:lang w:eastAsia="en-GB"/>
        </w:rPr>
      </w:pPr>
      <w:r w:rsidRPr="002B1F57">
        <w:rPr>
          <w:rFonts w:eastAsia="Calibri"/>
          <w:b/>
          <w:i/>
          <w:szCs w:val="24"/>
          <w:highlight w:val="yellow"/>
          <w:lang w:eastAsia="en-GB"/>
        </w:rPr>
        <w:t>Authorities will need to ensure that appropriate provisions are included to deal with staff transfer on both entry and exit. Irrespective of whether TUPE does apply on entry if there are employees eligible for New Fair Deal pension protection then the appropriate pensions provisions will also need to be selected.</w:t>
      </w:r>
    </w:p>
    <w:p w14:paraId="7D77B6DB" w14:textId="77777777" w:rsidR="00F67E9E" w:rsidRPr="002B1F57" w:rsidRDefault="00F67E9E" w:rsidP="00F67E9E">
      <w:pPr>
        <w:rPr>
          <w:b/>
          <w:i/>
          <w:szCs w:val="24"/>
          <w:highlight w:val="yellow"/>
        </w:rPr>
      </w:pPr>
    </w:p>
    <w:p w14:paraId="74AEE32C" w14:textId="00871BD1" w:rsidR="00F67E9E" w:rsidRPr="002B1F57" w:rsidRDefault="00F67E9E" w:rsidP="00F67E9E">
      <w:pPr>
        <w:rPr>
          <w:rFonts w:eastAsia="Calibri"/>
          <w:b/>
          <w:i/>
          <w:szCs w:val="24"/>
          <w:highlight w:val="yellow"/>
          <w:lang w:eastAsia="en-GB"/>
        </w:rPr>
      </w:pPr>
      <w:r w:rsidRPr="002B1F57">
        <w:rPr>
          <w:rFonts w:eastAsia="Calibri"/>
          <w:b/>
          <w:i/>
          <w:szCs w:val="24"/>
          <w:highlight w:val="yellow"/>
          <w:lang w:eastAsia="en-GB"/>
        </w:rPr>
        <w:t xml:space="preserve">If there is a staff transfer from the Authority on entry (1st generation) then </w:t>
      </w:r>
      <w:r w:rsidRPr="002B1F57">
        <w:rPr>
          <w:rFonts w:eastAsia="Calibri"/>
          <w:b/>
          <w:i/>
          <w:szCs w:val="24"/>
          <w:highlight w:val="yellow"/>
          <w:lang w:eastAsia="en-GB"/>
        </w:rPr>
        <w:fldChar w:fldCharType="begin"/>
      </w:r>
      <w:r w:rsidRPr="002B1F57">
        <w:rPr>
          <w:rFonts w:eastAsia="Calibri"/>
          <w:b/>
          <w:i/>
          <w:szCs w:val="24"/>
          <w:highlight w:val="yellow"/>
          <w:lang w:eastAsia="en-GB"/>
        </w:rPr>
        <w:instrText xml:space="preserve"> REF Sch28PartA \h  \* MERGEFORMAT </w:instrText>
      </w:r>
      <w:r w:rsidRPr="002B1F57">
        <w:rPr>
          <w:rFonts w:eastAsia="Calibri"/>
          <w:b/>
          <w:i/>
          <w:szCs w:val="24"/>
          <w:highlight w:val="yellow"/>
          <w:lang w:eastAsia="en-GB"/>
        </w:rPr>
      </w:r>
      <w:r w:rsidRPr="002B1F57">
        <w:rPr>
          <w:rFonts w:eastAsia="Calibri"/>
          <w:b/>
          <w:i/>
          <w:szCs w:val="24"/>
          <w:highlight w:val="yellow"/>
          <w:lang w:eastAsia="en-GB"/>
        </w:rPr>
        <w:fldChar w:fldCharType="separate"/>
      </w:r>
      <w:r w:rsidR="00302D39" w:rsidRPr="00302D39">
        <w:rPr>
          <w:rFonts w:cs="Arial"/>
          <w:b/>
          <w:i/>
          <w:szCs w:val="24"/>
          <w:highlight w:val="yellow"/>
        </w:rPr>
        <w:t>Part A</w:t>
      </w:r>
      <w:r w:rsidRPr="002B1F57">
        <w:rPr>
          <w:rFonts w:eastAsia="Calibri"/>
          <w:b/>
          <w:i/>
          <w:szCs w:val="24"/>
          <w:highlight w:val="yellow"/>
          <w:lang w:eastAsia="en-GB"/>
        </w:rPr>
        <w:fldChar w:fldCharType="end"/>
      </w:r>
      <w:r w:rsidRPr="002B1F57">
        <w:rPr>
          <w:rFonts w:eastAsia="Calibri"/>
          <w:b/>
          <w:i/>
          <w:szCs w:val="24"/>
          <w:highlight w:val="yellow"/>
          <w:lang w:eastAsia="en-GB"/>
        </w:rPr>
        <w:t xml:space="preserve"> shall apply.</w:t>
      </w:r>
    </w:p>
    <w:p w14:paraId="744DF34F" w14:textId="77777777" w:rsidR="00F67E9E" w:rsidRPr="002B1F57" w:rsidRDefault="00F67E9E" w:rsidP="00F67E9E">
      <w:pPr>
        <w:rPr>
          <w:rFonts w:eastAsia="Calibri"/>
          <w:b/>
          <w:i/>
          <w:szCs w:val="24"/>
          <w:highlight w:val="yellow"/>
          <w:lang w:eastAsia="en-GB"/>
        </w:rPr>
      </w:pPr>
    </w:p>
    <w:p w14:paraId="6D7C264B" w14:textId="1E76784D" w:rsidR="00F67E9E" w:rsidRPr="002B1F57" w:rsidRDefault="00F67E9E" w:rsidP="00F67E9E">
      <w:pPr>
        <w:rPr>
          <w:rFonts w:eastAsia="Calibri"/>
          <w:b/>
          <w:i/>
          <w:szCs w:val="24"/>
          <w:highlight w:val="yellow"/>
          <w:lang w:eastAsia="en-GB"/>
        </w:rPr>
      </w:pPr>
      <w:r w:rsidRPr="002B1F57">
        <w:rPr>
          <w:rFonts w:eastAsia="Calibri"/>
          <w:b/>
          <w:i/>
          <w:szCs w:val="24"/>
          <w:highlight w:val="yellow"/>
          <w:lang w:eastAsia="en-GB"/>
        </w:rPr>
        <w:t xml:space="preserve">If there is a staff transfer from former/incumbent supplier on entry (2nd generation), </w:t>
      </w:r>
      <w:r w:rsidRPr="002B1F57">
        <w:rPr>
          <w:rFonts w:eastAsia="Calibri"/>
          <w:b/>
          <w:i/>
          <w:szCs w:val="24"/>
          <w:highlight w:val="yellow"/>
          <w:lang w:eastAsia="en-GB"/>
        </w:rPr>
        <w:fldChar w:fldCharType="begin"/>
      </w:r>
      <w:r w:rsidRPr="002B1F57">
        <w:rPr>
          <w:rFonts w:eastAsia="Calibri"/>
          <w:b/>
          <w:i/>
          <w:szCs w:val="24"/>
          <w:highlight w:val="yellow"/>
          <w:lang w:eastAsia="en-GB"/>
        </w:rPr>
        <w:instrText xml:space="preserve"> REF Sch28PartB \h  \* MERGEFORMAT </w:instrText>
      </w:r>
      <w:r w:rsidRPr="002B1F57">
        <w:rPr>
          <w:rFonts w:eastAsia="Calibri"/>
          <w:b/>
          <w:i/>
          <w:szCs w:val="24"/>
          <w:highlight w:val="yellow"/>
          <w:lang w:eastAsia="en-GB"/>
        </w:rPr>
      </w:r>
      <w:r w:rsidRPr="002B1F57">
        <w:rPr>
          <w:rFonts w:eastAsia="Calibri"/>
          <w:b/>
          <w:i/>
          <w:szCs w:val="24"/>
          <w:highlight w:val="yellow"/>
          <w:lang w:eastAsia="en-GB"/>
        </w:rPr>
        <w:fldChar w:fldCharType="separate"/>
      </w:r>
      <w:r w:rsidR="00302D39" w:rsidRPr="00302D39">
        <w:rPr>
          <w:rFonts w:cs="Arial"/>
          <w:b/>
          <w:i/>
          <w:szCs w:val="24"/>
          <w:highlight w:val="yellow"/>
        </w:rPr>
        <w:t>Part B</w:t>
      </w:r>
      <w:r w:rsidRPr="002B1F57">
        <w:rPr>
          <w:rFonts w:eastAsia="Calibri"/>
          <w:b/>
          <w:i/>
          <w:szCs w:val="24"/>
          <w:highlight w:val="yellow"/>
          <w:lang w:eastAsia="en-GB"/>
        </w:rPr>
        <w:fldChar w:fldCharType="end"/>
      </w:r>
      <w:r w:rsidRPr="002B1F57">
        <w:rPr>
          <w:rFonts w:eastAsia="Calibri"/>
          <w:b/>
          <w:i/>
          <w:szCs w:val="24"/>
          <w:highlight w:val="yellow"/>
          <w:lang w:eastAsia="en-GB"/>
        </w:rPr>
        <w:t xml:space="preserve"> shall apply. </w:t>
      </w:r>
      <w:r w:rsidRPr="002B1F57">
        <w:rPr>
          <w:rFonts w:eastAsia="Calibri"/>
          <w:b/>
          <w:i/>
          <w:szCs w:val="24"/>
          <w:highlight w:val="yellow"/>
          <w:lang w:eastAsia="en-GB"/>
        </w:rPr>
        <w:fldChar w:fldCharType="begin"/>
      </w:r>
      <w:r w:rsidRPr="002B1F57">
        <w:rPr>
          <w:rFonts w:eastAsia="Calibri"/>
          <w:b/>
          <w:i/>
          <w:szCs w:val="24"/>
          <w:highlight w:val="yellow"/>
          <w:lang w:eastAsia="en-GB"/>
        </w:rPr>
        <w:instrText xml:space="preserve"> REF Sch28PartB \h  \* MERGEFORMAT </w:instrText>
      </w:r>
      <w:r w:rsidRPr="002B1F57">
        <w:rPr>
          <w:rFonts w:eastAsia="Calibri"/>
          <w:b/>
          <w:i/>
          <w:szCs w:val="24"/>
          <w:highlight w:val="yellow"/>
          <w:lang w:eastAsia="en-GB"/>
        </w:rPr>
      </w:r>
      <w:r w:rsidRPr="002B1F57">
        <w:rPr>
          <w:rFonts w:eastAsia="Calibri"/>
          <w:b/>
          <w:i/>
          <w:szCs w:val="24"/>
          <w:highlight w:val="yellow"/>
          <w:lang w:eastAsia="en-GB"/>
        </w:rPr>
        <w:fldChar w:fldCharType="separate"/>
      </w:r>
      <w:r w:rsidR="00302D39" w:rsidRPr="00302D39">
        <w:rPr>
          <w:rFonts w:cs="Arial"/>
          <w:b/>
          <w:i/>
          <w:szCs w:val="24"/>
          <w:highlight w:val="yellow"/>
        </w:rPr>
        <w:t>Part B</w:t>
      </w:r>
      <w:r w:rsidRPr="002B1F57">
        <w:rPr>
          <w:rFonts w:eastAsia="Calibri"/>
          <w:b/>
          <w:i/>
          <w:szCs w:val="24"/>
          <w:highlight w:val="yellow"/>
          <w:lang w:eastAsia="en-GB"/>
        </w:rPr>
        <w:fldChar w:fldCharType="end"/>
      </w:r>
      <w:r w:rsidRPr="002B1F57">
        <w:rPr>
          <w:rFonts w:eastAsia="Calibri"/>
          <w:b/>
          <w:i/>
          <w:szCs w:val="24"/>
          <w:highlight w:val="yellow"/>
          <w:lang w:eastAsia="en-GB"/>
        </w:rPr>
        <w:t xml:space="preserve"> contains an obligation on the Authority to procure indemnities from a Former Supplier in so far as it is reasonably able to do.  Legal advice is recommended if using this </w:t>
      </w:r>
      <w:r w:rsidRPr="002B1F57">
        <w:rPr>
          <w:rFonts w:eastAsia="Calibri"/>
          <w:b/>
          <w:i/>
          <w:szCs w:val="24"/>
          <w:highlight w:val="yellow"/>
          <w:lang w:eastAsia="en-GB"/>
        </w:rPr>
        <w:fldChar w:fldCharType="begin"/>
      </w:r>
      <w:r w:rsidRPr="002B1F57">
        <w:rPr>
          <w:rFonts w:eastAsia="Calibri"/>
          <w:b/>
          <w:i/>
          <w:szCs w:val="24"/>
          <w:highlight w:val="yellow"/>
          <w:lang w:eastAsia="en-GB"/>
        </w:rPr>
        <w:instrText xml:space="preserve"> REF Sch28PartB \h  \* MERGEFORMAT </w:instrText>
      </w:r>
      <w:r w:rsidRPr="002B1F57">
        <w:rPr>
          <w:rFonts w:eastAsia="Calibri"/>
          <w:b/>
          <w:i/>
          <w:szCs w:val="24"/>
          <w:highlight w:val="yellow"/>
          <w:lang w:eastAsia="en-GB"/>
        </w:rPr>
      </w:r>
      <w:r w:rsidRPr="002B1F57">
        <w:rPr>
          <w:rFonts w:eastAsia="Calibri"/>
          <w:b/>
          <w:i/>
          <w:szCs w:val="24"/>
          <w:highlight w:val="yellow"/>
          <w:lang w:eastAsia="en-GB"/>
        </w:rPr>
        <w:fldChar w:fldCharType="separate"/>
      </w:r>
      <w:r w:rsidR="00302D39" w:rsidRPr="00302D39">
        <w:rPr>
          <w:rFonts w:cs="Arial"/>
          <w:b/>
          <w:i/>
          <w:szCs w:val="24"/>
          <w:highlight w:val="yellow"/>
        </w:rPr>
        <w:t>Part B</w:t>
      </w:r>
      <w:r w:rsidRPr="002B1F57">
        <w:rPr>
          <w:rFonts w:eastAsia="Calibri"/>
          <w:b/>
          <w:i/>
          <w:szCs w:val="24"/>
          <w:highlight w:val="yellow"/>
          <w:lang w:eastAsia="en-GB"/>
        </w:rPr>
        <w:fldChar w:fldCharType="end"/>
      </w:r>
      <w:r w:rsidRPr="002B1F57">
        <w:rPr>
          <w:rFonts w:eastAsia="Calibri"/>
          <w:b/>
          <w:i/>
          <w:szCs w:val="24"/>
          <w:highlight w:val="yellow"/>
          <w:lang w:eastAsia="en-GB"/>
        </w:rPr>
        <w:t>.</w:t>
      </w:r>
    </w:p>
    <w:p w14:paraId="4ED5EA2E" w14:textId="77777777" w:rsidR="00F67E9E" w:rsidRPr="002B1F57" w:rsidRDefault="00F67E9E" w:rsidP="00F67E9E">
      <w:pPr>
        <w:rPr>
          <w:rFonts w:eastAsia="Calibri"/>
          <w:b/>
          <w:i/>
          <w:szCs w:val="24"/>
          <w:highlight w:val="yellow"/>
          <w:lang w:eastAsia="en-GB"/>
        </w:rPr>
      </w:pPr>
    </w:p>
    <w:p w14:paraId="7F85C5F1" w14:textId="3E33A570" w:rsidR="00F67E9E" w:rsidRPr="002B1F57" w:rsidRDefault="00F67E9E" w:rsidP="00F67E9E">
      <w:pPr>
        <w:rPr>
          <w:rFonts w:eastAsia="Calibri"/>
          <w:b/>
          <w:i/>
          <w:szCs w:val="24"/>
          <w:highlight w:val="yellow"/>
          <w:lang w:eastAsia="en-GB"/>
        </w:rPr>
      </w:pPr>
      <w:r w:rsidRPr="002B1F57">
        <w:rPr>
          <w:rFonts w:eastAsia="Calibri"/>
          <w:b/>
          <w:i/>
          <w:szCs w:val="24"/>
          <w:highlight w:val="yellow"/>
          <w:lang w:eastAsia="en-GB"/>
        </w:rPr>
        <w:t xml:space="preserve">If there is both a 1st and 2nd generation staff transfer on entry, then both </w:t>
      </w:r>
      <w:r w:rsidRPr="002B1F57">
        <w:rPr>
          <w:rFonts w:eastAsia="Calibri"/>
          <w:b/>
          <w:i/>
          <w:szCs w:val="24"/>
          <w:highlight w:val="yellow"/>
          <w:lang w:eastAsia="en-GB"/>
        </w:rPr>
        <w:fldChar w:fldCharType="begin"/>
      </w:r>
      <w:r w:rsidRPr="002B1F57">
        <w:rPr>
          <w:rFonts w:eastAsia="Calibri"/>
          <w:b/>
          <w:i/>
          <w:szCs w:val="24"/>
          <w:highlight w:val="yellow"/>
          <w:lang w:eastAsia="en-GB"/>
        </w:rPr>
        <w:instrText xml:space="preserve"> REF Sch28PartA \h  \* MERGEFORMAT </w:instrText>
      </w:r>
      <w:r w:rsidRPr="002B1F57">
        <w:rPr>
          <w:rFonts w:eastAsia="Calibri"/>
          <w:b/>
          <w:i/>
          <w:szCs w:val="24"/>
          <w:highlight w:val="yellow"/>
          <w:lang w:eastAsia="en-GB"/>
        </w:rPr>
      </w:r>
      <w:r w:rsidRPr="002B1F57">
        <w:rPr>
          <w:rFonts w:eastAsia="Calibri"/>
          <w:b/>
          <w:i/>
          <w:szCs w:val="24"/>
          <w:highlight w:val="yellow"/>
          <w:lang w:eastAsia="en-GB"/>
        </w:rPr>
        <w:fldChar w:fldCharType="separate"/>
      </w:r>
      <w:r w:rsidR="00302D39" w:rsidRPr="00302D39">
        <w:rPr>
          <w:rFonts w:cs="Arial"/>
          <w:b/>
          <w:i/>
          <w:szCs w:val="24"/>
          <w:highlight w:val="yellow"/>
        </w:rPr>
        <w:t>Part A</w:t>
      </w:r>
      <w:r w:rsidRPr="002B1F57">
        <w:rPr>
          <w:rFonts w:eastAsia="Calibri"/>
          <w:b/>
          <w:i/>
          <w:szCs w:val="24"/>
          <w:highlight w:val="yellow"/>
          <w:lang w:eastAsia="en-GB"/>
        </w:rPr>
        <w:fldChar w:fldCharType="end"/>
      </w:r>
      <w:r w:rsidRPr="002B1F57">
        <w:rPr>
          <w:rFonts w:eastAsia="Calibri"/>
          <w:b/>
          <w:i/>
          <w:szCs w:val="24"/>
          <w:highlight w:val="yellow"/>
          <w:lang w:eastAsia="en-GB"/>
        </w:rPr>
        <w:t xml:space="preserve"> and </w:t>
      </w:r>
      <w:r w:rsidRPr="002B1F57">
        <w:rPr>
          <w:rFonts w:eastAsia="Calibri"/>
          <w:b/>
          <w:i/>
          <w:szCs w:val="24"/>
          <w:highlight w:val="yellow"/>
          <w:lang w:eastAsia="en-GB"/>
        </w:rPr>
        <w:fldChar w:fldCharType="begin"/>
      </w:r>
      <w:r w:rsidRPr="002B1F57">
        <w:rPr>
          <w:rFonts w:eastAsia="Calibri"/>
          <w:b/>
          <w:i/>
          <w:szCs w:val="24"/>
          <w:highlight w:val="yellow"/>
          <w:lang w:eastAsia="en-GB"/>
        </w:rPr>
        <w:instrText xml:space="preserve"> REF Sch28PartB \h  \* MERGEFORMAT </w:instrText>
      </w:r>
      <w:r w:rsidRPr="002B1F57">
        <w:rPr>
          <w:rFonts w:eastAsia="Calibri"/>
          <w:b/>
          <w:i/>
          <w:szCs w:val="24"/>
          <w:highlight w:val="yellow"/>
          <w:lang w:eastAsia="en-GB"/>
        </w:rPr>
      </w:r>
      <w:r w:rsidRPr="002B1F57">
        <w:rPr>
          <w:rFonts w:eastAsia="Calibri"/>
          <w:b/>
          <w:i/>
          <w:szCs w:val="24"/>
          <w:highlight w:val="yellow"/>
          <w:lang w:eastAsia="en-GB"/>
        </w:rPr>
        <w:fldChar w:fldCharType="separate"/>
      </w:r>
      <w:r w:rsidR="00302D39" w:rsidRPr="00302D39">
        <w:rPr>
          <w:rFonts w:cs="Arial"/>
          <w:b/>
          <w:i/>
          <w:szCs w:val="24"/>
          <w:highlight w:val="yellow"/>
        </w:rPr>
        <w:t>Part B</w:t>
      </w:r>
      <w:r w:rsidRPr="002B1F57">
        <w:rPr>
          <w:rFonts w:eastAsia="Calibri"/>
          <w:b/>
          <w:i/>
          <w:szCs w:val="24"/>
          <w:highlight w:val="yellow"/>
          <w:lang w:eastAsia="en-GB"/>
        </w:rPr>
        <w:fldChar w:fldCharType="end"/>
      </w:r>
      <w:r w:rsidRPr="002B1F57">
        <w:rPr>
          <w:rFonts w:eastAsia="Calibri"/>
          <w:b/>
          <w:i/>
          <w:szCs w:val="24"/>
          <w:highlight w:val="yellow"/>
          <w:lang w:eastAsia="en-GB"/>
        </w:rPr>
        <w:t xml:space="preserve"> shall apply.</w:t>
      </w:r>
    </w:p>
    <w:p w14:paraId="4A07A995" w14:textId="77777777" w:rsidR="00F67E9E" w:rsidRPr="002B1F57" w:rsidRDefault="00F67E9E" w:rsidP="00F67E9E">
      <w:pPr>
        <w:rPr>
          <w:rFonts w:eastAsia="Calibri"/>
          <w:b/>
          <w:i/>
          <w:szCs w:val="24"/>
          <w:highlight w:val="yellow"/>
          <w:lang w:eastAsia="en-GB"/>
        </w:rPr>
      </w:pPr>
    </w:p>
    <w:p w14:paraId="23019CDC" w14:textId="1D3E77F0" w:rsidR="00F67E9E" w:rsidRPr="002B1F57" w:rsidRDefault="00F67E9E" w:rsidP="00F67E9E">
      <w:pPr>
        <w:rPr>
          <w:b/>
          <w:i/>
          <w:szCs w:val="24"/>
          <w:highlight w:val="yellow"/>
          <w:lang w:eastAsia="en-GB"/>
        </w:rPr>
      </w:pPr>
      <w:r w:rsidRPr="002B1F57">
        <w:rPr>
          <w:b/>
          <w:i/>
          <w:szCs w:val="24"/>
          <w:highlight w:val="yellow"/>
          <w:lang w:eastAsia="en-GB"/>
        </w:rPr>
        <w:t xml:space="preserve">If the Parties agree that TUPE is not expected to apply at the Operational Service Commencement Date, on either a 1st generation or a 2nd generation transfer, then </w:t>
      </w:r>
      <w:r w:rsidRPr="002B1F57">
        <w:rPr>
          <w:b/>
          <w:i/>
          <w:szCs w:val="24"/>
          <w:highlight w:val="yellow"/>
          <w:lang w:eastAsia="en-GB"/>
        </w:rPr>
        <w:fldChar w:fldCharType="begin"/>
      </w:r>
      <w:r w:rsidRPr="002B1F57">
        <w:rPr>
          <w:b/>
          <w:i/>
          <w:szCs w:val="24"/>
          <w:highlight w:val="yellow"/>
          <w:lang w:eastAsia="en-GB"/>
        </w:rPr>
        <w:instrText xml:space="preserve"> REF Sch28PartC \h  \* MERGEFORMAT </w:instrText>
      </w:r>
      <w:r w:rsidRPr="002B1F57">
        <w:rPr>
          <w:b/>
          <w:i/>
          <w:szCs w:val="24"/>
          <w:highlight w:val="yellow"/>
          <w:lang w:eastAsia="en-GB"/>
        </w:rPr>
      </w:r>
      <w:r w:rsidRPr="002B1F57">
        <w:rPr>
          <w:b/>
          <w:i/>
          <w:szCs w:val="24"/>
          <w:highlight w:val="yellow"/>
          <w:lang w:eastAsia="en-GB"/>
        </w:rPr>
        <w:fldChar w:fldCharType="separate"/>
      </w:r>
      <w:r w:rsidR="00302D39" w:rsidRPr="00302D39">
        <w:rPr>
          <w:b/>
          <w:i/>
          <w:highlight w:val="yellow"/>
        </w:rPr>
        <w:t>Part C</w:t>
      </w:r>
      <w:r w:rsidRPr="002B1F57">
        <w:rPr>
          <w:b/>
          <w:i/>
          <w:szCs w:val="24"/>
          <w:highlight w:val="yellow"/>
          <w:lang w:eastAsia="en-GB"/>
        </w:rPr>
        <w:fldChar w:fldCharType="end"/>
      </w:r>
      <w:r w:rsidRPr="002B1F57">
        <w:rPr>
          <w:b/>
          <w:i/>
          <w:szCs w:val="24"/>
          <w:highlight w:val="yellow"/>
          <w:lang w:eastAsia="en-GB"/>
        </w:rPr>
        <w:t xml:space="preserve"> shall apply. In </w:t>
      </w:r>
      <w:r w:rsidRPr="002B1F57">
        <w:rPr>
          <w:b/>
          <w:i/>
          <w:szCs w:val="24"/>
          <w:highlight w:val="yellow"/>
          <w:lang w:eastAsia="en-GB"/>
        </w:rPr>
        <w:fldChar w:fldCharType="begin"/>
      </w:r>
      <w:r w:rsidRPr="002B1F57">
        <w:rPr>
          <w:b/>
          <w:i/>
          <w:szCs w:val="24"/>
          <w:highlight w:val="yellow"/>
          <w:lang w:eastAsia="en-GB"/>
        </w:rPr>
        <w:instrText xml:space="preserve"> REF Sch28PartC \h  \* MERGEFORMAT </w:instrText>
      </w:r>
      <w:r w:rsidRPr="002B1F57">
        <w:rPr>
          <w:b/>
          <w:i/>
          <w:szCs w:val="24"/>
          <w:highlight w:val="yellow"/>
          <w:lang w:eastAsia="en-GB"/>
        </w:rPr>
      </w:r>
      <w:r w:rsidRPr="002B1F57">
        <w:rPr>
          <w:b/>
          <w:i/>
          <w:szCs w:val="24"/>
          <w:highlight w:val="yellow"/>
          <w:lang w:eastAsia="en-GB"/>
        </w:rPr>
        <w:fldChar w:fldCharType="separate"/>
      </w:r>
      <w:r w:rsidR="00302D39" w:rsidRPr="00302D39">
        <w:rPr>
          <w:b/>
          <w:i/>
          <w:highlight w:val="yellow"/>
        </w:rPr>
        <w:t>Part C</w:t>
      </w:r>
      <w:r w:rsidRPr="002B1F57">
        <w:rPr>
          <w:b/>
          <w:i/>
          <w:szCs w:val="24"/>
          <w:highlight w:val="yellow"/>
          <w:lang w:eastAsia="en-GB"/>
        </w:rPr>
        <w:fldChar w:fldCharType="end"/>
      </w:r>
      <w:r w:rsidRPr="002B1F57">
        <w:rPr>
          <w:b/>
          <w:i/>
          <w:szCs w:val="24"/>
          <w:highlight w:val="yellow"/>
          <w:lang w:eastAsia="en-GB"/>
        </w:rPr>
        <w:t xml:space="preserve"> the Authority is stating that it believes TUPE will not apply and is both (i) giving indemnities and (ii) agreeing to procure indemnities from the Former Supplier, should this prove incorrect and TUPE does apply.  Legal advice should be sought before the Authority gives such indemnities/uses </w:t>
      </w:r>
      <w:r w:rsidRPr="002B1F57">
        <w:rPr>
          <w:b/>
          <w:i/>
          <w:szCs w:val="24"/>
          <w:highlight w:val="yellow"/>
          <w:lang w:eastAsia="en-GB"/>
        </w:rPr>
        <w:fldChar w:fldCharType="begin"/>
      </w:r>
      <w:r w:rsidRPr="002B1F57">
        <w:rPr>
          <w:b/>
          <w:i/>
          <w:szCs w:val="24"/>
          <w:highlight w:val="yellow"/>
          <w:lang w:eastAsia="en-GB"/>
        </w:rPr>
        <w:instrText xml:space="preserve"> REF Sch28PartC \h  \* MERGEFORMAT </w:instrText>
      </w:r>
      <w:r w:rsidRPr="002B1F57">
        <w:rPr>
          <w:b/>
          <w:i/>
          <w:szCs w:val="24"/>
          <w:highlight w:val="yellow"/>
          <w:lang w:eastAsia="en-GB"/>
        </w:rPr>
      </w:r>
      <w:r w:rsidRPr="002B1F57">
        <w:rPr>
          <w:b/>
          <w:i/>
          <w:szCs w:val="24"/>
          <w:highlight w:val="yellow"/>
          <w:lang w:eastAsia="en-GB"/>
        </w:rPr>
        <w:fldChar w:fldCharType="separate"/>
      </w:r>
      <w:r w:rsidR="00302D39" w:rsidRPr="00302D39">
        <w:rPr>
          <w:b/>
          <w:i/>
          <w:highlight w:val="yellow"/>
        </w:rPr>
        <w:t>Part C</w:t>
      </w:r>
      <w:r w:rsidRPr="002B1F57">
        <w:rPr>
          <w:b/>
          <w:i/>
          <w:szCs w:val="24"/>
          <w:highlight w:val="yellow"/>
          <w:lang w:eastAsia="en-GB"/>
        </w:rPr>
        <w:fldChar w:fldCharType="end"/>
      </w:r>
      <w:r w:rsidRPr="002B1F57">
        <w:rPr>
          <w:b/>
          <w:i/>
          <w:szCs w:val="24"/>
          <w:highlight w:val="yellow"/>
          <w:lang w:eastAsia="en-GB"/>
        </w:rPr>
        <w:t>.</w:t>
      </w:r>
    </w:p>
    <w:p w14:paraId="0FEB74B3" w14:textId="77777777" w:rsidR="00F67E9E" w:rsidRPr="002B1F57" w:rsidRDefault="00F67E9E" w:rsidP="00F67E9E">
      <w:pPr>
        <w:rPr>
          <w:b/>
          <w:i/>
          <w:szCs w:val="24"/>
          <w:highlight w:val="yellow"/>
          <w:lang w:eastAsia="en-GB"/>
        </w:rPr>
      </w:pPr>
    </w:p>
    <w:p w14:paraId="56E8A329" w14:textId="219FC4FC" w:rsidR="00F67E9E" w:rsidRPr="002B1F57" w:rsidRDefault="00F67E9E" w:rsidP="00F67E9E">
      <w:pPr>
        <w:rPr>
          <w:b/>
          <w:i/>
          <w:szCs w:val="24"/>
          <w:highlight w:val="yellow"/>
          <w:lang w:eastAsia="en-GB"/>
        </w:rPr>
      </w:pPr>
      <w:r w:rsidRPr="002B1F57">
        <w:rPr>
          <w:rFonts w:eastAsia="Arial"/>
          <w:b/>
          <w:bCs/>
          <w:i/>
          <w:iCs/>
          <w:color w:val="000000"/>
          <w:highlight w:val="yellow"/>
        </w:rPr>
        <w:fldChar w:fldCharType="begin"/>
      </w:r>
      <w:r w:rsidRPr="002B1F57">
        <w:rPr>
          <w:rFonts w:eastAsia="Arial"/>
          <w:b/>
          <w:bCs/>
          <w:i/>
          <w:iCs/>
          <w:color w:val="000000"/>
          <w:highlight w:val="yellow"/>
        </w:rPr>
        <w:instrText xml:space="preserve"> REF Sch28PartD \h  \* MERGEFORMAT </w:instrText>
      </w:r>
      <w:r w:rsidRPr="002B1F57">
        <w:rPr>
          <w:rFonts w:eastAsia="Arial"/>
          <w:b/>
          <w:bCs/>
          <w:i/>
          <w:iCs/>
          <w:color w:val="000000"/>
          <w:highlight w:val="yellow"/>
        </w:rPr>
      </w:r>
      <w:r w:rsidRPr="002B1F57">
        <w:rPr>
          <w:rFonts w:eastAsia="Arial"/>
          <w:b/>
          <w:bCs/>
          <w:i/>
          <w:iCs/>
          <w:color w:val="000000"/>
          <w:highlight w:val="yellow"/>
        </w:rPr>
        <w:fldChar w:fldCharType="separate"/>
      </w:r>
      <w:r w:rsidR="00302D39" w:rsidRPr="00302D39">
        <w:rPr>
          <w:rFonts w:eastAsia="Calibri"/>
          <w:b/>
          <w:bCs/>
          <w:i/>
          <w:iCs/>
          <w:highlight w:val="yellow"/>
        </w:rPr>
        <w:t>Part D</w:t>
      </w:r>
      <w:r w:rsidRPr="002B1F57">
        <w:rPr>
          <w:rFonts w:eastAsia="Arial"/>
          <w:b/>
          <w:bCs/>
          <w:i/>
          <w:iCs/>
          <w:color w:val="000000"/>
          <w:highlight w:val="yellow"/>
        </w:rPr>
        <w:fldChar w:fldCharType="end"/>
      </w:r>
      <w:r w:rsidRPr="002B1F57">
        <w:rPr>
          <w:rFonts w:eastAsia="Arial"/>
          <w:color w:val="000000"/>
          <w:highlight w:val="yellow"/>
        </w:rPr>
        <w:t xml:space="preserve"> </w:t>
      </w:r>
      <w:r w:rsidRPr="002B1F57">
        <w:rPr>
          <w:rFonts w:eastAsia="Calibri"/>
          <w:b/>
          <w:i/>
          <w:szCs w:val="24"/>
          <w:highlight w:val="yellow"/>
          <w:lang w:eastAsia="en-GB"/>
        </w:rPr>
        <w:t>(</w:t>
      </w:r>
      <w:r w:rsidRPr="002B1F57">
        <w:rPr>
          <w:rFonts w:eastAsia="Calibri"/>
          <w:b/>
          <w:i/>
          <w:szCs w:val="24"/>
          <w:highlight w:val="yellow"/>
          <w:lang w:eastAsia="en-GB"/>
        </w:rPr>
        <w:fldChar w:fldCharType="begin"/>
      </w:r>
      <w:r w:rsidRPr="002B1F57">
        <w:rPr>
          <w:rFonts w:eastAsia="Calibri"/>
          <w:b/>
          <w:i/>
          <w:szCs w:val="24"/>
          <w:highlight w:val="yellow"/>
          <w:lang w:eastAsia="en-GB"/>
        </w:rPr>
        <w:instrText xml:space="preserve"> REF PartDSchedule28Heading \h  \* MERGEFORMAT </w:instrText>
      </w:r>
      <w:r w:rsidRPr="002B1F57">
        <w:rPr>
          <w:rFonts w:eastAsia="Calibri"/>
          <w:b/>
          <w:i/>
          <w:szCs w:val="24"/>
          <w:highlight w:val="yellow"/>
          <w:lang w:eastAsia="en-GB"/>
        </w:rPr>
      </w:r>
      <w:r w:rsidRPr="002B1F57">
        <w:rPr>
          <w:rFonts w:eastAsia="Calibri"/>
          <w:b/>
          <w:i/>
          <w:szCs w:val="24"/>
          <w:highlight w:val="yellow"/>
          <w:lang w:eastAsia="en-GB"/>
        </w:rPr>
        <w:fldChar w:fldCharType="separate"/>
      </w:r>
      <w:r w:rsidR="00302D39" w:rsidRPr="00302D39">
        <w:rPr>
          <w:b/>
          <w:i/>
          <w:highlight w:val="yellow"/>
        </w:rPr>
        <w:t>Pensions</w:t>
      </w:r>
      <w:r w:rsidRPr="002B1F57">
        <w:rPr>
          <w:rFonts w:eastAsia="Calibri"/>
          <w:b/>
          <w:i/>
          <w:szCs w:val="24"/>
          <w:highlight w:val="yellow"/>
          <w:lang w:eastAsia="en-GB"/>
        </w:rPr>
        <w:fldChar w:fldCharType="end"/>
      </w:r>
      <w:r w:rsidRPr="002B1F57">
        <w:rPr>
          <w:rFonts w:eastAsia="Calibri"/>
          <w:b/>
          <w:i/>
          <w:szCs w:val="24"/>
          <w:highlight w:val="yellow"/>
          <w:lang w:eastAsia="en-GB"/>
        </w:rPr>
        <w:t xml:space="preserve">) </w:t>
      </w:r>
      <w:r w:rsidRPr="002B1F57">
        <w:rPr>
          <w:b/>
          <w:i/>
          <w:szCs w:val="24"/>
          <w:highlight w:val="yellow"/>
          <w:lang w:eastAsia="en-GB"/>
        </w:rPr>
        <w:t>may also apply should staff transfer or claim to have transferred.</w:t>
      </w:r>
    </w:p>
    <w:p w14:paraId="35C83536" w14:textId="2BA41490" w:rsidR="00F67E9E" w:rsidRPr="002B1F57" w:rsidRDefault="00F67E9E" w:rsidP="00F67E9E">
      <w:pPr>
        <w:rPr>
          <w:b/>
          <w:i/>
          <w:szCs w:val="24"/>
          <w:highlight w:val="yellow"/>
          <w:lang w:eastAsia="en-GB"/>
        </w:rPr>
      </w:pPr>
      <w:r w:rsidRPr="002B1F57">
        <w:rPr>
          <w:rFonts w:eastAsia="Arial"/>
          <w:b/>
          <w:bCs/>
          <w:i/>
          <w:iCs/>
          <w:color w:val="000000"/>
          <w:highlight w:val="yellow"/>
        </w:rPr>
        <w:fldChar w:fldCharType="begin"/>
      </w:r>
      <w:r w:rsidRPr="002B1F57">
        <w:rPr>
          <w:rFonts w:eastAsia="Arial"/>
          <w:b/>
          <w:bCs/>
          <w:i/>
          <w:iCs/>
          <w:color w:val="000000"/>
          <w:highlight w:val="yellow"/>
        </w:rPr>
        <w:instrText xml:space="preserve"> REF Sch28PartD \h  \* MERGEFORMAT </w:instrText>
      </w:r>
      <w:r w:rsidRPr="002B1F57">
        <w:rPr>
          <w:rFonts w:eastAsia="Arial"/>
          <w:b/>
          <w:bCs/>
          <w:i/>
          <w:iCs/>
          <w:color w:val="000000"/>
          <w:highlight w:val="yellow"/>
        </w:rPr>
      </w:r>
      <w:r w:rsidRPr="002B1F57">
        <w:rPr>
          <w:rFonts w:eastAsia="Arial"/>
          <w:b/>
          <w:bCs/>
          <w:i/>
          <w:iCs/>
          <w:color w:val="000000"/>
          <w:highlight w:val="yellow"/>
        </w:rPr>
        <w:fldChar w:fldCharType="separate"/>
      </w:r>
      <w:r w:rsidR="00302D39" w:rsidRPr="00302D39">
        <w:rPr>
          <w:rFonts w:eastAsia="Calibri"/>
          <w:b/>
          <w:bCs/>
          <w:i/>
          <w:iCs/>
          <w:highlight w:val="yellow"/>
        </w:rPr>
        <w:t>Part D</w:t>
      </w:r>
      <w:r w:rsidRPr="002B1F57">
        <w:rPr>
          <w:rFonts w:eastAsia="Arial"/>
          <w:b/>
          <w:bCs/>
          <w:i/>
          <w:iCs/>
          <w:color w:val="000000"/>
          <w:highlight w:val="yellow"/>
        </w:rPr>
        <w:fldChar w:fldCharType="end"/>
      </w:r>
      <w:r w:rsidRPr="002B1F57">
        <w:rPr>
          <w:b/>
          <w:i/>
          <w:szCs w:val="24"/>
          <w:highlight w:val="yellow"/>
          <w:lang w:eastAsia="en-GB"/>
        </w:rPr>
        <w:t xml:space="preserve"> will apply where </w:t>
      </w:r>
      <w:r w:rsidRPr="002B1F57">
        <w:rPr>
          <w:rFonts w:eastAsia="Calibri"/>
          <w:b/>
          <w:i/>
          <w:szCs w:val="24"/>
          <w:highlight w:val="yellow"/>
          <w:lang w:eastAsia="en-GB"/>
        </w:rPr>
        <w:fldChar w:fldCharType="begin"/>
      </w:r>
      <w:r w:rsidRPr="002B1F57">
        <w:rPr>
          <w:rFonts w:eastAsia="Calibri"/>
          <w:b/>
          <w:i/>
          <w:szCs w:val="24"/>
          <w:highlight w:val="yellow"/>
          <w:lang w:eastAsia="en-GB"/>
        </w:rPr>
        <w:instrText xml:space="preserve"> REF Sch28PartA \h  \* MERGEFORMAT </w:instrText>
      </w:r>
      <w:r w:rsidRPr="002B1F57">
        <w:rPr>
          <w:rFonts w:eastAsia="Calibri"/>
          <w:b/>
          <w:i/>
          <w:szCs w:val="24"/>
          <w:highlight w:val="yellow"/>
          <w:lang w:eastAsia="en-GB"/>
        </w:rPr>
      </w:r>
      <w:r w:rsidRPr="002B1F57">
        <w:rPr>
          <w:rFonts w:eastAsia="Calibri"/>
          <w:b/>
          <w:i/>
          <w:szCs w:val="24"/>
          <w:highlight w:val="yellow"/>
          <w:lang w:eastAsia="en-GB"/>
        </w:rPr>
        <w:fldChar w:fldCharType="separate"/>
      </w:r>
      <w:r w:rsidR="00302D39" w:rsidRPr="00302D39">
        <w:rPr>
          <w:rFonts w:cs="Arial"/>
          <w:b/>
          <w:i/>
          <w:szCs w:val="24"/>
          <w:highlight w:val="yellow"/>
        </w:rPr>
        <w:t>Part A</w:t>
      </w:r>
      <w:r w:rsidRPr="002B1F57">
        <w:rPr>
          <w:rFonts w:eastAsia="Calibri"/>
          <w:b/>
          <w:i/>
          <w:szCs w:val="24"/>
          <w:highlight w:val="yellow"/>
          <w:lang w:eastAsia="en-GB"/>
        </w:rPr>
        <w:fldChar w:fldCharType="end"/>
      </w:r>
      <w:r w:rsidRPr="002B1F57">
        <w:rPr>
          <w:rFonts w:eastAsia="Calibri"/>
          <w:b/>
          <w:i/>
          <w:szCs w:val="24"/>
          <w:highlight w:val="yellow"/>
          <w:lang w:eastAsia="en-GB"/>
        </w:rPr>
        <w:t xml:space="preserve"> </w:t>
      </w:r>
      <w:r w:rsidRPr="002B1F57">
        <w:rPr>
          <w:b/>
          <w:i/>
          <w:szCs w:val="24"/>
          <w:highlight w:val="yellow"/>
          <w:lang w:eastAsia="en-GB"/>
        </w:rPr>
        <w:t xml:space="preserve">applies, is likely to apply where </w:t>
      </w:r>
      <w:r w:rsidRPr="002B1F57">
        <w:rPr>
          <w:rFonts w:eastAsia="Calibri"/>
          <w:b/>
          <w:i/>
          <w:szCs w:val="24"/>
          <w:highlight w:val="yellow"/>
          <w:lang w:eastAsia="en-GB"/>
        </w:rPr>
        <w:fldChar w:fldCharType="begin"/>
      </w:r>
      <w:r w:rsidRPr="002B1F57">
        <w:rPr>
          <w:rFonts w:eastAsia="Calibri"/>
          <w:b/>
          <w:i/>
          <w:szCs w:val="24"/>
          <w:highlight w:val="yellow"/>
          <w:lang w:eastAsia="en-GB"/>
        </w:rPr>
        <w:instrText xml:space="preserve"> REF Sch28PartB \h  \* MERGEFORMAT </w:instrText>
      </w:r>
      <w:r w:rsidRPr="002B1F57">
        <w:rPr>
          <w:rFonts w:eastAsia="Calibri"/>
          <w:b/>
          <w:i/>
          <w:szCs w:val="24"/>
          <w:highlight w:val="yellow"/>
          <w:lang w:eastAsia="en-GB"/>
        </w:rPr>
      </w:r>
      <w:r w:rsidRPr="002B1F57">
        <w:rPr>
          <w:rFonts w:eastAsia="Calibri"/>
          <w:b/>
          <w:i/>
          <w:szCs w:val="24"/>
          <w:highlight w:val="yellow"/>
          <w:lang w:eastAsia="en-GB"/>
        </w:rPr>
        <w:fldChar w:fldCharType="separate"/>
      </w:r>
      <w:r w:rsidR="00302D39" w:rsidRPr="00302D39">
        <w:rPr>
          <w:rFonts w:cs="Arial"/>
          <w:b/>
          <w:i/>
          <w:szCs w:val="24"/>
          <w:highlight w:val="yellow"/>
        </w:rPr>
        <w:t>Part B</w:t>
      </w:r>
      <w:r w:rsidRPr="002B1F57">
        <w:rPr>
          <w:rFonts w:eastAsia="Calibri"/>
          <w:b/>
          <w:i/>
          <w:szCs w:val="24"/>
          <w:highlight w:val="yellow"/>
          <w:lang w:eastAsia="en-GB"/>
        </w:rPr>
        <w:fldChar w:fldCharType="end"/>
      </w:r>
      <w:r w:rsidRPr="002B1F57">
        <w:rPr>
          <w:rFonts w:eastAsia="Calibri"/>
          <w:b/>
          <w:i/>
          <w:szCs w:val="24"/>
          <w:highlight w:val="yellow"/>
          <w:lang w:eastAsia="en-GB"/>
        </w:rPr>
        <w:t xml:space="preserve"> </w:t>
      </w:r>
      <w:r w:rsidRPr="002B1F57">
        <w:rPr>
          <w:b/>
          <w:i/>
          <w:szCs w:val="24"/>
          <w:highlight w:val="yellow"/>
          <w:lang w:eastAsia="en-GB"/>
        </w:rPr>
        <w:t xml:space="preserve">applies, and may apply where </w:t>
      </w:r>
      <w:r w:rsidRPr="002B1F57">
        <w:rPr>
          <w:b/>
          <w:i/>
          <w:szCs w:val="24"/>
          <w:highlight w:val="yellow"/>
          <w:lang w:eastAsia="en-GB"/>
        </w:rPr>
        <w:fldChar w:fldCharType="begin"/>
      </w:r>
      <w:r w:rsidRPr="002B1F57">
        <w:rPr>
          <w:b/>
          <w:i/>
          <w:szCs w:val="24"/>
          <w:highlight w:val="yellow"/>
          <w:lang w:eastAsia="en-GB"/>
        </w:rPr>
        <w:instrText xml:space="preserve"> REF Sch28PartC \h  \* MERGEFORMAT </w:instrText>
      </w:r>
      <w:r w:rsidRPr="002B1F57">
        <w:rPr>
          <w:b/>
          <w:i/>
          <w:szCs w:val="24"/>
          <w:highlight w:val="yellow"/>
          <w:lang w:eastAsia="en-GB"/>
        </w:rPr>
      </w:r>
      <w:r w:rsidRPr="002B1F57">
        <w:rPr>
          <w:b/>
          <w:i/>
          <w:szCs w:val="24"/>
          <w:highlight w:val="yellow"/>
          <w:lang w:eastAsia="en-GB"/>
        </w:rPr>
        <w:fldChar w:fldCharType="separate"/>
      </w:r>
      <w:r w:rsidR="00302D39" w:rsidRPr="00302D39">
        <w:rPr>
          <w:b/>
          <w:i/>
          <w:highlight w:val="yellow"/>
        </w:rPr>
        <w:t>Part C</w:t>
      </w:r>
      <w:r w:rsidRPr="002B1F57">
        <w:rPr>
          <w:b/>
          <w:i/>
          <w:szCs w:val="24"/>
          <w:highlight w:val="yellow"/>
          <w:lang w:eastAsia="en-GB"/>
        </w:rPr>
        <w:fldChar w:fldCharType="end"/>
      </w:r>
      <w:r w:rsidRPr="002B1F57">
        <w:rPr>
          <w:b/>
          <w:i/>
          <w:szCs w:val="24"/>
          <w:highlight w:val="yellow"/>
          <w:lang w:eastAsia="en-GB"/>
        </w:rPr>
        <w:t xml:space="preserve"> applies. Please note that Part D may also apply where there is not a TUPE transfer, for example, where the incumbent provider is successful and becomes the new Supplier. Authorities will need to select which Annex shall apply (either D1 (CSPS), D2 (NHSPS), D3 (LGPS) or D4 (Other Schemes)).</w:t>
      </w:r>
    </w:p>
    <w:p w14:paraId="5CAE1FDF" w14:textId="41559ADC" w:rsidR="00F67E9E" w:rsidRPr="002B1F57" w:rsidRDefault="00F67E9E" w:rsidP="00F67E9E">
      <w:pPr>
        <w:rPr>
          <w:b/>
          <w:i/>
          <w:szCs w:val="24"/>
          <w:highlight w:val="yellow"/>
          <w:lang w:eastAsia="en-GB"/>
        </w:rPr>
      </w:pPr>
      <w:r w:rsidRPr="002B1F57">
        <w:rPr>
          <w:b/>
          <w:i/>
          <w:szCs w:val="24"/>
          <w:highlight w:val="yellow"/>
          <w:lang w:eastAsia="en-GB"/>
        </w:rPr>
        <w:t xml:space="preserve">Please note that the Authority is giving indemnities in </w:t>
      </w:r>
      <w:r w:rsidRPr="002B1F57">
        <w:rPr>
          <w:rFonts w:eastAsia="Calibri"/>
          <w:b/>
          <w:i/>
          <w:szCs w:val="24"/>
          <w:highlight w:val="yellow"/>
          <w:lang w:eastAsia="en-GB"/>
        </w:rPr>
        <w:fldChar w:fldCharType="begin"/>
      </w:r>
      <w:r w:rsidRPr="002B1F57">
        <w:rPr>
          <w:rFonts w:eastAsia="Calibri"/>
          <w:b/>
          <w:i/>
          <w:szCs w:val="24"/>
          <w:highlight w:val="yellow"/>
          <w:lang w:eastAsia="en-GB"/>
        </w:rPr>
        <w:instrText xml:space="preserve"> REF Sch28PartA \h  \* MERGEFORMAT </w:instrText>
      </w:r>
      <w:r w:rsidRPr="002B1F57">
        <w:rPr>
          <w:rFonts w:eastAsia="Calibri"/>
          <w:b/>
          <w:i/>
          <w:szCs w:val="24"/>
          <w:highlight w:val="yellow"/>
          <w:lang w:eastAsia="en-GB"/>
        </w:rPr>
      </w:r>
      <w:r w:rsidRPr="002B1F57">
        <w:rPr>
          <w:rFonts w:eastAsia="Calibri"/>
          <w:b/>
          <w:i/>
          <w:szCs w:val="24"/>
          <w:highlight w:val="yellow"/>
          <w:lang w:eastAsia="en-GB"/>
        </w:rPr>
        <w:fldChar w:fldCharType="separate"/>
      </w:r>
      <w:r w:rsidR="00302D39" w:rsidRPr="00302D39">
        <w:rPr>
          <w:rFonts w:cs="Arial"/>
          <w:b/>
          <w:i/>
          <w:szCs w:val="24"/>
          <w:highlight w:val="yellow"/>
        </w:rPr>
        <w:t>Part A</w:t>
      </w:r>
      <w:r w:rsidRPr="002B1F57">
        <w:rPr>
          <w:rFonts w:eastAsia="Calibri"/>
          <w:b/>
          <w:i/>
          <w:szCs w:val="24"/>
          <w:highlight w:val="yellow"/>
          <w:lang w:eastAsia="en-GB"/>
        </w:rPr>
        <w:fldChar w:fldCharType="end"/>
      </w:r>
      <w:r w:rsidRPr="002B1F57">
        <w:rPr>
          <w:rFonts w:eastAsia="Calibri"/>
          <w:b/>
          <w:i/>
          <w:szCs w:val="24"/>
          <w:highlight w:val="yellow"/>
          <w:lang w:eastAsia="en-GB"/>
        </w:rPr>
        <w:t xml:space="preserve"> </w:t>
      </w:r>
      <w:r w:rsidRPr="002B1F57">
        <w:rPr>
          <w:b/>
          <w:i/>
          <w:szCs w:val="24"/>
          <w:highlight w:val="yellow"/>
          <w:lang w:eastAsia="en-GB"/>
        </w:rPr>
        <w:t>and C, and is agreeing to procure indemnities in Parts B, C, and E. Legal advice is required, therefore, to ensure that the Authority understands the scope of its liability under these indemnities.</w:t>
      </w:r>
    </w:p>
    <w:p w14:paraId="1F09A440" w14:textId="77777777" w:rsidR="00F67E9E" w:rsidRPr="002B1F57" w:rsidRDefault="00F67E9E" w:rsidP="00F67E9E">
      <w:pPr>
        <w:rPr>
          <w:b/>
          <w:i/>
          <w:szCs w:val="24"/>
          <w:highlight w:val="yellow"/>
          <w:lang w:eastAsia="en-GB"/>
        </w:rPr>
      </w:pPr>
    </w:p>
    <w:p w14:paraId="4FEEF6DA" w14:textId="101BD968" w:rsidR="00F67E9E" w:rsidRPr="002B1F57" w:rsidRDefault="00F67E9E" w:rsidP="00F67E9E">
      <w:pPr>
        <w:rPr>
          <w:b/>
          <w:i/>
          <w:szCs w:val="24"/>
          <w:highlight w:val="yellow"/>
          <w:lang w:eastAsia="en-GB"/>
        </w:rPr>
      </w:pPr>
      <w:r w:rsidRPr="002B1F57">
        <w:rPr>
          <w:b/>
          <w:i/>
          <w:szCs w:val="24"/>
          <w:highlight w:val="yellow"/>
          <w:lang w:eastAsia="en-GB"/>
        </w:rPr>
        <w:t xml:space="preserve">Please note the MSC at </w:t>
      </w:r>
      <w:r w:rsidRPr="002B1F57">
        <w:rPr>
          <w:rFonts w:eastAsia="Calibri"/>
          <w:b/>
          <w:i/>
          <w:szCs w:val="24"/>
          <w:highlight w:val="yellow"/>
          <w:lang w:eastAsia="en-GB"/>
        </w:rPr>
        <w:fldChar w:fldCharType="begin"/>
      </w:r>
      <w:r w:rsidRPr="002B1F57">
        <w:rPr>
          <w:rFonts w:eastAsia="Calibri"/>
          <w:b/>
          <w:i/>
          <w:szCs w:val="24"/>
          <w:highlight w:val="yellow"/>
          <w:lang w:eastAsia="en-GB"/>
        </w:rPr>
        <w:instrText xml:space="preserve"> REF Sch15PartE \h  \* MERGEFORMAT </w:instrText>
      </w:r>
      <w:r w:rsidRPr="002B1F57">
        <w:rPr>
          <w:rFonts w:eastAsia="Calibri"/>
          <w:b/>
          <w:i/>
          <w:szCs w:val="24"/>
          <w:highlight w:val="yellow"/>
          <w:lang w:eastAsia="en-GB"/>
        </w:rPr>
      </w:r>
      <w:r w:rsidRPr="002B1F57">
        <w:rPr>
          <w:rFonts w:eastAsia="Calibri"/>
          <w:b/>
          <w:i/>
          <w:szCs w:val="24"/>
          <w:highlight w:val="yellow"/>
          <w:lang w:eastAsia="en-GB"/>
        </w:rPr>
        <w:fldChar w:fldCharType="separate"/>
      </w:r>
      <w:r w:rsidR="00302D39" w:rsidRPr="00302D39">
        <w:rPr>
          <w:rFonts w:eastAsia="Calibri"/>
          <w:b/>
          <w:i/>
          <w:szCs w:val="24"/>
          <w:highlight w:val="yellow"/>
          <w:lang w:eastAsia="en-GB"/>
        </w:rPr>
        <w:t>Part E</w:t>
      </w:r>
      <w:r w:rsidRPr="002B1F57">
        <w:rPr>
          <w:rFonts w:eastAsia="Calibri"/>
          <w:b/>
          <w:i/>
          <w:szCs w:val="24"/>
          <w:highlight w:val="yellow"/>
          <w:lang w:eastAsia="en-GB"/>
        </w:rPr>
        <w:fldChar w:fldCharType="end"/>
      </w:r>
      <w:r w:rsidRPr="002B1F57">
        <w:rPr>
          <w:rFonts w:eastAsia="Calibri"/>
          <w:b/>
          <w:i/>
          <w:szCs w:val="24"/>
          <w:highlight w:val="yellow"/>
          <w:lang w:eastAsia="en-GB"/>
        </w:rPr>
        <w:t xml:space="preserve"> </w:t>
      </w:r>
      <w:r w:rsidRPr="002B1F57">
        <w:rPr>
          <w:b/>
          <w:i/>
          <w:szCs w:val="24"/>
          <w:highlight w:val="yellow"/>
          <w:lang w:eastAsia="en-GB"/>
        </w:rPr>
        <w:t xml:space="preserve">contains exit provisions and indemnities including, at </w:t>
      </w:r>
      <w:r w:rsidRPr="002B1F57">
        <w:rPr>
          <w:rFonts w:eastAsia="Calibri"/>
          <w:b/>
          <w:i/>
          <w:szCs w:val="24"/>
          <w:highlight w:val="yellow"/>
          <w:lang w:eastAsia="en-GB"/>
        </w:rPr>
        <w:fldChar w:fldCharType="begin"/>
      </w:r>
      <w:r w:rsidRPr="002B1F57">
        <w:rPr>
          <w:rFonts w:eastAsia="Calibri"/>
          <w:b/>
          <w:i/>
          <w:szCs w:val="24"/>
          <w:highlight w:val="yellow"/>
          <w:lang w:eastAsia="en-GB"/>
        </w:rPr>
        <w:instrText xml:space="preserve"> REF Sch15PartE \h  \* MERGEFORMAT </w:instrText>
      </w:r>
      <w:r w:rsidRPr="002B1F57">
        <w:rPr>
          <w:rFonts w:eastAsia="Calibri"/>
          <w:b/>
          <w:i/>
          <w:szCs w:val="24"/>
          <w:highlight w:val="yellow"/>
          <w:lang w:eastAsia="en-GB"/>
        </w:rPr>
      </w:r>
      <w:r w:rsidRPr="002B1F57">
        <w:rPr>
          <w:rFonts w:eastAsia="Calibri"/>
          <w:b/>
          <w:i/>
          <w:szCs w:val="24"/>
          <w:highlight w:val="yellow"/>
          <w:lang w:eastAsia="en-GB"/>
        </w:rPr>
        <w:fldChar w:fldCharType="separate"/>
      </w:r>
      <w:r w:rsidR="00302D39" w:rsidRPr="00302D39">
        <w:rPr>
          <w:rFonts w:eastAsia="Calibri"/>
          <w:b/>
          <w:i/>
          <w:szCs w:val="24"/>
          <w:highlight w:val="yellow"/>
          <w:lang w:eastAsia="en-GB"/>
        </w:rPr>
        <w:t>Part E</w:t>
      </w:r>
      <w:r w:rsidRPr="002B1F57">
        <w:rPr>
          <w:rFonts w:eastAsia="Calibri"/>
          <w:b/>
          <w:i/>
          <w:szCs w:val="24"/>
          <w:highlight w:val="yellow"/>
          <w:lang w:eastAsia="en-GB"/>
        </w:rPr>
        <w:fldChar w:fldCharType="end"/>
      </w:r>
      <w:r w:rsidRPr="002B1F57">
        <w:rPr>
          <w:rFonts w:eastAsia="Calibri"/>
          <w:b/>
          <w:i/>
          <w:szCs w:val="24"/>
          <w:highlight w:val="yellow"/>
          <w:lang w:eastAsia="en-GB"/>
        </w:rPr>
        <w:t xml:space="preserve"> </w:t>
      </w:r>
      <w:r w:rsidRPr="002B1F57">
        <w:rPr>
          <w:b/>
          <w:i/>
          <w:szCs w:val="24"/>
          <w:highlight w:val="yellow"/>
          <w:lang w:eastAsia="en-GB"/>
        </w:rPr>
        <w:t xml:space="preserve">Paragraph 2.13, the obligation on the Authority to procure indemnities from a Replacement Supplier in favour of the Supplier.  If the Authority is co-commissioning these Services or commissioning on behalf of another part of the Crown, consideration should be given as to whether the Authority will be able to procure such indemnities or whether the obligation should be to use “reasonable endeavours” to procure.  </w:t>
      </w:r>
    </w:p>
    <w:p w14:paraId="1D80ED9A" w14:textId="77777777" w:rsidR="00F67E9E" w:rsidRPr="002B1F57" w:rsidRDefault="00F67E9E" w:rsidP="00F67E9E">
      <w:pPr>
        <w:rPr>
          <w:b/>
          <w:i/>
          <w:szCs w:val="24"/>
          <w:highlight w:val="yellow"/>
          <w:lang w:eastAsia="en-GB"/>
        </w:rPr>
      </w:pPr>
    </w:p>
    <w:p w14:paraId="7627EFB4" w14:textId="09E1A54A" w:rsidR="00F67E9E" w:rsidRPr="002B1F57" w:rsidRDefault="00F67E9E" w:rsidP="00F67E9E">
      <w:pPr>
        <w:rPr>
          <w:rFonts w:eastAsia="Calibri"/>
          <w:b/>
          <w:i/>
          <w:szCs w:val="24"/>
          <w:highlight w:val="yellow"/>
          <w:lang w:eastAsia="en-GB"/>
        </w:rPr>
      </w:pPr>
      <w:r w:rsidRPr="00BB0C30">
        <w:rPr>
          <w:b/>
          <w:bCs/>
          <w:i/>
          <w:iCs/>
        </w:rPr>
        <w:fldChar w:fldCharType="begin"/>
      </w:r>
      <w:r w:rsidRPr="00BB0C30">
        <w:rPr>
          <w:b/>
          <w:bCs/>
          <w:i/>
          <w:iCs/>
        </w:rPr>
        <w:instrText xml:space="preserve"> REF Sch28PartE \h  \* MERGEFORMAT </w:instrText>
      </w:r>
      <w:r w:rsidRPr="00BB0C30">
        <w:rPr>
          <w:b/>
          <w:bCs/>
          <w:i/>
          <w:iCs/>
        </w:rPr>
      </w:r>
      <w:r w:rsidRPr="00BB0C30">
        <w:rPr>
          <w:b/>
          <w:bCs/>
          <w:i/>
          <w:iCs/>
        </w:rPr>
        <w:fldChar w:fldCharType="separate"/>
      </w:r>
      <w:r w:rsidR="00302D39" w:rsidRPr="00302D39">
        <w:rPr>
          <w:b/>
          <w:bCs/>
          <w:i/>
          <w:iCs/>
        </w:rPr>
        <w:t>Part E</w:t>
      </w:r>
      <w:r w:rsidRPr="00BB0C30">
        <w:rPr>
          <w:b/>
          <w:bCs/>
          <w:i/>
          <w:iCs/>
        </w:rPr>
        <w:fldChar w:fldCharType="end"/>
      </w:r>
      <w:r w:rsidRPr="00BB0C30">
        <w:rPr>
          <w:rFonts w:eastAsia="Calibri"/>
          <w:b/>
          <w:bCs/>
          <w:i/>
          <w:iCs/>
          <w:szCs w:val="24"/>
          <w:highlight w:val="yellow"/>
          <w:lang w:eastAsia="en-GB"/>
        </w:rPr>
        <w:t xml:space="preserve"> (dealing</w:t>
      </w:r>
      <w:r w:rsidRPr="002B1F57">
        <w:rPr>
          <w:rFonts w:eastAsia="Calibri"/>
          <w:b/>
          <w:i/>
          <w:szCs w:val="24"/>
          <w:highlight w:val="yellow"/>
          <w:lang w:eastAsia="en-GB"/>
        </w:rPr>
        <w:t xml:space="preserve"> with staff transfer on exit) shall apply to every Contract, even if TUPE does not apply on entry.</w:t>
      </w:r>
    </w:p>
    <w:p w14:paraId="7523C685" w14:textId="77777777" w:rsidR="00F67E9E" w:rsidRPr="00266335" w:rsidRDefault="00F67E9E" w:rsidP="00F67E9E">
      <w:pPr>
        <w:rPr>
          <w:rFonts w:eastAsia="Calibri"/>
          <w:b/>
          <w:i/>
          <w:szCs w:val="24"/>
          <w:lang w:eastAsia="en-GB"/>
        </w:rPr>
      </w:pPr>
      <w:r w:rsidRPr="002B1F57">
        <w:rPr>
          <w:rFonts w:eastAsia="Calibri"/>
          <w:b/>
          <w:i/>
          <w:szCs w:val="24"/>
          <w:highlight w:val="yellow"/>
          <w:lang w:eastAsia="en-GB"/>
        </w:rPr>
        <w:t>For further guidance on this Schedule contact Government Legal Department’s Employment Law Group.]</w:t>
      </w:r>
    </w:p>
    <w:p w14:paraId="7883DF83" w14:textId="77777777" w:rsidR="00F67E9E" w:rsidRDefault="00F67E9E" w:rsidP="00F67E9E">
      <w:pPr>
        <w:rPr>
          <w:highlight w:val="yellow"/>
        </w:rPr>
      </w:pPr>
    </w:p>
    <w:p w14:paraId="7622A6E3" w14:textId="77777777" w:rsidR="00F67E9E" w:rsidRPr="00025910" w:rsidRDefault="00F67E9E" w:rsidP="00F67E9E">
      <w:pPr>
        <w:pStyle w:val="Numbered1"/>
        <w:numPr>
          <w:ilvl w:val="0"/>
          <w:numId w:val="286"/>
        </w:numPr>
      </w:pPr>
      <w:r w:rsidRPr="00025910">
        <w:t>Definitions</w:t>
      </w:r>
    </w:p>
    <w:p w14:paraId="2A694DE0" w14:textId="77777777" w:rsidR="00F67E9E" w:rsidRPr="00025910" w:rsidRDefault="00F67E9E" w:rsidP="00F67E9E">
      <w:pPr>
        <w:pStyle w:val="Numbered11"/>
      </w:pPr>
      <w:r w:rsidRPr="00025910">
        <w:t>In this Schedule, the following definitions shall apply:</w:t>
      </w:r>
    </w:p>
    <w:tbl>
      <w:tblPr>
        <w:tblStyle w:val="MSAdefinitions"/>
        <w:tblW w:w="9638" w:type="dxa"/>
        <w:tblLook w:val="04A0" w:firstRow="1" w:lastRow="0" w:firstColumn="1" w:lastColumn="0" w:noHBand="0" w:noVBand="1"/>
      </w:tblPr>
      <w:tblGrid>
        <w:gridCol w:w="2835"/>
        <w:gridCol w:w="6803"/>
      </w:tblGrid>
      <w:tr w:rsidR="00F67E9E" w:rsidRPr="00025910" w14:paraId="34F4CDDB" w14:textId="77777777" w:rsidTr="007F74AA">
        <w:tc>
          <w:tcPr>
            <w:tcW w:w="2835" w:type="dxa"/>
          </w:tcPr>
          <w:p w14:paraId="24DD4426" w14:textId="77777777" w:rsidR="00F67E9E" w:rsidRPr="00025910" w:rsidRDefault="00F67E9E" w:rsidP="007F74AA">
            <w:pPr>
              <w:pStyle w:val="StdBodyTextBold"/>
              <w:keepNext/>
              <w:rPr>
                <w:rFonts w:cs="Arial"/>
              </w:rPr>
            </w:pPr>
            <w:r>
              <w:rPr>
                <w:rFonts w:eastAsia="Arial"/>
              </w:rPr>
              <w:t>“</w:t>
            </w:r>
            <w:r w:rsidRPr="009E1FEF">
              <w:rPr>
                <w:rFonts w:eastAsia="Arial"/>
              </w:rPr>
              <w:t>Admission Agreement</w:t>
            </w:r>
            <w:r>
              <w:rPr>
                <w:rFonts w:eastAsia="Arial"/>
              </w:rPr>
              <w:t>”</w:t>
            </w:r>
          </w:p>
        </w:tc>
        <w:tc>
          <w:tcPr>
            <w:tcW w:w="6803" w:type="dxa"/>
          </w:tcPr>
          <w:p w14:paraId="578C1B01" w14:textId="2F5429BB" w:rsidR="00F67E9E" w:rsidRPr="00025910" w:rsidRDefault="00F67E9E" w:rsidP="007F74AA">
            <w:pPr>
              <w:pStyle w:val="StdBodyText"/>
              <w:keepNext/>
              <w:rPr>
                <w:rFonts w:cs="Arial"/>
              </w:rPr>
            </w:pPr>
            <w:r w:rsidRPr="00350DCA">
              <w:rPr>
                <w:rFonts w:eastAsia="Arial"/>
              </w:rPr>
              <w:t xml:space="preserve">either or both of the CSPS Admission Agreement (as defined in Annex </w:t>
            </w:r>
            <w:r>
              <w:rPr>
                <w:rFonts w:eastAsia="Arial"/>
              </w:rPr>
              <w:fldChar w:fldCharType="begin"/>
            </w:r>
            <w:r>
              <w:rPr>
                <w:rFonts w:eastAsia="Arial"/>
              </w:rPr>
              <w:instrText xml:space="preserve"> REF ANNEXD1_SCHEDULE28 \h </w:instrText>
            </w:r>
            <w:r>
              <w:rPr>
                <w:rFonts w:eastAsia="Arial"/>
              </w:rPr>
            </w:r>
            <w:r>
              <w:rPr>
                <w:rFonts w:eastAsia="Arial"/>
              </w:rPr>
              <w:fldChar w:fldCharType="separate"/>
            </w:r>
            <w:r w:rsidR="00302D39" w:rsidRPr="00025910">
              <w:t>D1</w:t>
            </w:r>
            <w:r>
              <w:rPr>
                <w:rFonts w:eastAsia="Arial"/>
              </w:rPr>
              <w:fldChar w:fldCharType="end"/>
            </w:r>
            <w:r w:rsidRPr="00350DCA">
              <w:rPr>
                <w:rFonts w:eastAsia="Arial"/>
              </w:rPr>
              <w:t xml:space="preserve">: CSPS) or the LGPS Admission Agreement) as defined in Annex </w:t>
            </w:r>
            <w:r>
              <w:rPr>
                <w:rFonts w:eastAsia="Arial"/>
              </w:rPr>
              <w:fldChar w:fldCharType="begin"/>
            </w:r>
            <w:r>
              <w:rPr>
                <w:rFonts w:eastAsia="Arial"/>
              </w:rPr>
              <w:instrText xml:space="preserve"> REF ANNEXD3_SCHEDULE28 \h </w:instrText>
            </w:r>
            <w:r>
              <w:rPr>
                <w:rFonts w:eastAsia="Arial"/>
              </w:rPr>
            </w:r>
            <w:r>
              <w:rPr>
                <w:rFonts w:eastAsia="Arial"/>
              </w:rPr>
              <w:fldChar w:fldCharType="separate"/>
            </w:r>
            <w:r w:rsidR="00302D39" w:rsidRPr="00025910">
              <w:t>D3</w:t>
            </w:r>
            <w:r>
              <w:rPr>
                <w:rFonts w:eastAsia="Arial"/>
              </w:rPr>
              <w:fldChar w:fldCharType="end"/>
            </w:r>
            <w:r w:rsidRPr="00350DCA">
              <w:rPr>
                <w:rFonts w:eastAsia="Arial"/>
              </w:rPr>
              <w:t>: LGPS), as the context requiresas</w:t>
            </w:r>
            <w:r w:rsidRPr="009E1FEF">
              <w:rPr>
                <w:rFonts w:eastAsia="Arial"/>
              </w:rPr>
              <w:t>;</w:t>
            </w:r>
          </w:p>
        </w:tc>
      </w:tr>
      <w:tr w:rsidR="00F67E9E" w:rsidRPr="00025910" w14:paraId="1D5443F8" w14:textId="77777777" w:rsidTr="007F74AA">
        <w:tc>
          <w:tcPr>
            <w:tcW w:w="2835" w:type="dxa"/>
          </w:tcPr>
          <w:p w14:paraId="2E8A11E4" w14:textId="77777777" w:rsidR="00F67E9E" w:rsidRPr="00025910" w:rsidRDefault="00F67E9E" w:rsidP="007F74AA">
            <w:pPr>
              <w:pStyle w:val="StdBodyTextBold"/>
              <w:rPr>
                <w:rFonts w:cs="Arial"/>
              </w:rPr>
            </w:pPr>
            <w:r>
              <w:rPr>
                <w:rFonts w:eastAsia="Arial"/>
              </w:rPr>
              <w:t>“</w:t>
            </w:r>
            <w:r w:rsidRPr="009E1FEF">
              <w:rPr>
                <w:rFonts w:eastAsia="Arial"/>
              </w:rPr>
              <w:t>Fair Deal Employees</w:t>
            </w:r>
            <w:r>
              <w:rPr>
                <w:rFonts w:eastAsia="Arial"/>
              </w:rPr>
              <w:t>”</w:t>
            </w:r>
          </w:p>
        </w:tc>
        <w:tc>
          <w:tcPr>
            <w:tcW w:w="6803" w:type="dxa"/>
          </w:tcPr>
          <w:p w14:paraId="01DD2EAD" w14:textId="46F95611" w:rsidR="00F67E9E" w:rsidRPr="00025910" w:rsidRDefault="00F67E9E" w:rsidP="007F74AA">
            <w:pPr>
              <w:pStyle w:val="StdBodyText"/>
              <w:rPr>
                <w:rFonts w:cs="Arial"/>
              </w:rPr>
            </w:pPr>
            <w:r w:rsidRPr="009E1FEF">
              <w:rPr>
                <w:rFonts w:eastAsia="Arial"/>
              </w:rPr>
              <w:t xml:space="preserve">as defined in </w:t>
            </w:r>
            <w:r w:rsidRPr="00025910">
              <w:rPr>
                <w:rFonts w:eastAsia="Arial"/>
                <w:color w:val="000000"/>
              </w:rPr>
              <w:fldChar w:fldCharType="begin"/>
            </w:r>
            <w:r w:rsidRPr="00025910">
              <w:rPr>
                <w:rFonts w:eastAsia="Arial"/>
                <w:color w:val="000000"/>
              </w:rPr>
              <w:instrText xml:space="preserve"> REF Sch28PartD \h  \* MERGEFORMAT </w:instrText>
            </w:r>
            <w:r w:rsidRPr="00025910">
              <w:rPr>
                <w:rFonts w:eastAsia="Arial"/>
                <w:color w:val="000000"/>
              </w:rPr>
            </w:r>
            <w:r w:rsidRPr="00025910">
              <w:rPr>
                <w:rFonts w:eastAsia="Arial"/>
                <w:color w:val="000000"/>
              </w:rPr>
              <w:fldChar w:fldCharType="separate"/>
            </w:r>
            <w:r w:rsidR="00302D39" w:rsidRPr="00302D39">
              <w:rPr>
                <w:rFonts w:eastAsia="Calibri"/>
              </w:rPr>
              <w:t>Part D</w:t>
            </w:r>
            <w:r w:rsidRPr="00025910">
              <w:rPr>
                <w:rFonts w:eastAsia="Arial"/>
                <w:color w:val="000000"/>
              </w:rPr>
              <w:fldChar w:fldCharType="end"/>
            </w:r>
            <w:r w:rsidRPr="009E1FEF">
              <w:rPr>
                <w:rFonts w:eastAsia="Arial"/>
              </w:rPr>
              <w:t>;</w:t>
            </w:r>
          </w:p>
        </w:tc>
      </w:tr>
      <w:tr w:rsidR="00F67E9E" w:rsidRPr="00025910" w14:paraId="321679D7" w14:textId="77777777" w:rsidTr="007F74AA">
        <w:tc>
          <w:tcPr>
            <w:tcW w:w="2835" w:type="dxa"/>
          </w:tcPr>
          <w:p w14:paraId="44C03F83" w14:textId="77777777" w:rsidR="00F67E9E" w:rsidRPr="00025910" w:rsidRDefault="00F67E9E" w:rsidP="007F74AA">
            <w:pPr>
              <w:pStyle w:val="StdBodyTextBold"/>
              <w:rPr>
                <w:rFonts w:cs="Arial"/>
              </w:rPr>
            </w:pPr>
            <w:r>
              <w:rPr>
                <w:rFonts w:cs="Arial"/>
              </w:rPr>
              <w:t>“</w:t>
            </w:r>
            <w:r w:rsidRPr="00025910">
              <w:rPr>
                <w:rFonts w:cs="Arial"/>
              </w:rPr>
              <w:t>Former Supplier</w:t>
            </w:r>
            <w:r>
              <w:rPr>
                <w:rFonts w:cs="Arial"/>
              </w:rPr>
              <w:t>”</w:t>
            </w:r>
          </w:p>
        </w:tc>
        <w:tc>
          <w:tcPr>
            <w:tcW w:w="6803" w:type="dxa"/>
          </w:tcPr>
          <w:p w14:paraId="1E515AD6" w14:textId="77777777" w:rsidR="00F67E9E" w:rsidRPr="00025910" w:rsidRDefault="00F67E9E" w:rsidP="007F74AA">
            <w:pPr>
              <w:pStyle w:val="StdBodyText"/>
              <w:rPr>
                <w:rFonts w:cs="Arial"/>
              </w:rPr>
            </w:pPr>
            <w:r w:rsidRPr="00025910">
              <w:rPr>
                <w:rFonts w:cs="Arial"/>
              </w:rPr>
              <w:t xml:space="preserve">a supplier supplying services to the Authority before </w:t>
            </w:r>
            <w:r>
              <w:rPr>
                <w:rFonts w:cs="Arial"/>
              </w:rPr>
              <w:t>any</w:t>
            </w:r>
            <w:r w:rsidRPr="00025910">
              <w:rPr>
                <w:rFonts w:cs="Arial"/>
              </w:rPr>
              <w:t xml:space="preserve"> Relevant Transfer Date that are the same as or substantially similar to the Services (or any part of the Services) and shall include any sub-contractor of such supplier (or any sub-contractor of any such sub-contractor);</w:t>
            </w:r>
          </w:p>
        </w:tc>
      </w:tr>
      <w:tr w:rsidR="00F67E9E" w:rsidRPr="00025910" w14:paraId="61C09992" w14:textId="77777777" w:rsidTr="007F74AA">
        <w:tc>
          <w:tcPr>
            <w:tcW w:w="2835" w:type="dxa"/>
          </w:tcPr>
          <w:p w14:paraId="234D0C7E" w14:textId="77777777" w:rsidR="00F67E9E" w:rsidRPr="00025910" w:rsidRDefault="00F67E9E" w:rsidP="007F74AA">
            <w:pPr>
              <w:pStyle w:val="StdBodyTextBold"/>
              <w:rPr>
                <w:rFonts w:cs="Arial"/>
              </w:rPr>
            </w:pPr>
            <w:r>
              <w:rPr>
                <w:rFonts w:cs="Arial"/>
              </w:rPr>
              <w:t>“</w:t>
            </w:r>
            <w:r w:rsidRPr="00025910">
              <w:rPr>
                <w:rFonts w:cs="Arial"/>
              </w:rPr>
              <w:t>New Fair Deal</w:t>
            </w:r>
            <w:r>
              <w:rPr>
                <w:rFonts w:cs="Arial"/>
              </w:rPr>
              <w:t>”</w:t>
            </w:r>
          </w:p>
        </w:tc>
        <w:tc>
          <w:tcPr>
            <w:tcW w:w="6803" w:type="dxa"/>
          </w:tcPr>
          <w:p w14:paraId="5DE4FA04" w14:textId="77777777" w:rsidR="00F67E9E" w:rsidRPr="00025910" w:rsidRDefault="00F67E9E" w:rsidP="007F74AA">
            <w:pPr>
              <w:pStyle w:val="StdBodyText"/>
              <w:rPr>
                <w:rFonts w:cs="Arial"/>
              </w:rPr>
            </w:pPr>
            <w:r w:rsidRPr="00025910">
              <w:rPr>
                <w:rFonts w:cs="Arial"/>
              </w:rPr>
              <w:t xml:space="preserve">the revised Fair Deal position set out in the HM Treasury guidance: </w:t>
            </w:r>
            <w:r>
              <w:rPr>
                <w:rFonts w:cs="Arial"/>
                <w:i/>
              </w:rPr>
              <w:t>“</w:t>
            </w:r>
            <w:r w:rsidRPr="00025910">
              <w:rPr>
                <w:rFonts w:cs="Arial"/>
                <w:i/>
              </w:rPr>
              <w:t>Fair Deal for staff pensions: staff transfer from central government</w:t>
            </w:r>
            <w:r>
              <w:rPr>
                <w:rFonts w:cs="Arial"/>
                <w:i/>
              </w:rPr>
              <w:t>”</w:t>
            </w:r>
            <w:r w:rsidRPr="00025910">
              <w:rPr>
                <w:rFonts w:cs="Arial"/>
              </w:rPr>
              <w:t xml:space="preserve"> issued in October 2013 including:</w:t>
            </w:r>
          </w:p>
          <w:p w14:paraId="345846CB" w14:textId="77777777" w:rsidR="00F67E9E" w:rsidRPr="00620079" w:rsidRDefault="00F67E9E" w:rsidP="007F74AA">
            <w:pPr>
              <w:pStyle w:val="DefinitionList"/>
              <w:numPr>
                <w:ilvl w:val="0"/>
                <w:numId w:val="218"/>
              </w:numPr>
            </w:pPr>
            <w:r w:rsidRPr="00620079">
              <w:t>any amendments to that document immediately prior to the Relevant Transfer Date;</w:t>
            </w:r>
          </w:p>
          <w:p w14:paraId="39A09D55" w14:textId="21101DBB" w:rsidR="00F67E9E" w:rsidRPr="00025910" w:rsidRDefault="00F67E9E" w:rsidP="00F67E9E">
            <w:pPr>
              <w:pStyle w:val="DefinitionList"/>
              <w:numPr>
                <w:ilvl w:val="0"/>
                <w:numId w:val="108"/>
              </w:numPr>
            </w:pPr>
            <w:r w:rsidRPr="00620079">
              <w:t>any simi</w:t>
            </w:r>
            <w:r w:rsidRPr="00025910">
              <w:t xml:space="preserve">lar pension protection in accordance with the Annexes </w:t>
            </w:r>
            <w:r w:rsidRPr="00025910">
              <w:fldChar w:fldCharType="begin"/>
            </w:r>
            <w:r w:rsidRPr="00025910">
              <w:instrText xml:space="preserve"> REF ANNEXD1_SCHEDULE28 \h  \* MERGEFORMAT </w:instrText>
            </w:r>
            <w:r w:rsidRPr="00025910">
              <w:fldChar w:fldCharType="separate"/>
            </w:r>
            <w:r w:rsidR="00302D39" w:rsidRPr="00025910">
              <w:t>D1</w:t>
            </w:r>
            <w:r w:rsidRPr="00025910">
              <w:fldChar w:fldCharType="end"/>
            </w:r>
            <w:r w:rsidRPr="00025910">
              <w:t>-</w:t>
            </w:r>
            <w:r w:rsidRPr="00025910">
              <w:fldChar w:fldCharType="begin"/>
            </w:r>
            <w:r w:rsidRPr="00025910">
              <w:instrText xml:space="preserve"> REF ANNEXD3_SCHEDULE28 \h  \* MERGEFORMAT </w:instrText>
            </w:r>
            <w:r w:rsidRPr="00025910">
              <w:fldChar w:fldCharType="separate"/>
            </w:r>
            <w:r w:rsidR="00302D39" w:rsidRPr="00025910">
              <w:t>D3</w:t>
            </w:r>
            <w:r w:rsidRPr="00025910">
              <w:fldChar w:fldCharType="end"/>
            </w:r>
            <w:r>
              <w:t xml:space="preserve"> </w:t>
            </w:r>
            <w:r w:rsidRPr="00025910">
              <w:t xml:space="preserve">inclusive to </w:t>
            </w:r>
            <w:r w:rsidRPr="00025910">
              <w:rPr>
                <w:rFonts w:eastAsia="Arial"/>
                <w:color w:val="000000"/>
              </w:rPr>
              <w:fldChar w:fldCharType="begin"/>
            </w:r>
            <w:r w:rsidRPr="00025910">
              <w:rPr>
                <w:rFonts w:eastAsia="Arial"/>
                <w:color w:val="000000"/>
              </w:rPr>
              <w:instrText xml:space="preserve"> REF Sch28PartD \h  \* MERGEFORMAT </w:instrText>
            </w:r>
            <w:r w:rsidRPr="00025910">
              <w:rPr>
                <w:rFonts w:eastAsia="Arial"/>
                <w:color w:val="000000"/>
              </w:rPr>
            </w:r>
            <w:r w:rsidRPr="00025910">
              <w:rPr>
                <w:rFonts w:eastAsia="Arial"/>
                <w:color w:val="000000"/>
              </w:rPr>
              <w:fldChar w:fldCharType="separate"/>
            </w:r>
            <w:r w:rsidR="00302D39" w:rsidRPr="00302D39">
              <w:rPr>
                <w:rFonts w:eastAsia="Calibri"/>
              </w:rPr>
              <w:t>Part D</w:t>
            </w:r>
            <w:r w:rsidRPr="00025910">
              <w:rPr>
                <w:rFonts w:eastAsia="Arial"/>
                <w:color w:val="000000"/>
              </w:rPr>
              <w:fldChar w:fldCharType="end"/>
            </w:r>
            <w:r w:rsidRPr="00025910">
              <w:t xml:space="preserve"> of this Schedule as notified to the Supplier by the Authority;</w:t>
            </w:r>
          </w:p>
        </w:tc>
      </w:tr>
      <w:tr w:rsidR="00F67E9E" w:rsidRPr="00025910" w14:paraId="71EE6990" w14:textId="77777777" w:rsidTr="007F74AA">
        <w:tc>
          <w:tcPr>
            <w:tcW w:w="2835" w:type="dxa"/>
          </w:tcPr>
          <w:p w14:paraId="34D0721F" w14:textId="77777777" w:rsidR="00F67E9E" w:rsidRPr="00025910" w:rsidRDefault="00F67E9E" w:rsidP="007F74AA">
            <w:pPr>
              <w:pStyle w:val="StdBodyTextBold"/>
              <w:rPr>
                <w:rFonts w:cs="Arial"/>
              </w:rPr>
            </w:pPr>
            <w:r>
              <w:rPr>
                <w:rFonts w:cs="Arial"/>
              </w:rPr>
              <w:t>“</w:t>
            </w:r>
            <w:r w:rsidRPr="00025910">
              <w:rPr>
                <w:rFonts w:cs="Arial"/>
              </w:rPr>
              <w:t>Notified Sub-contractor</w:t>
            </w:r>
            <w:r>
              <w:rPr>
                <w:rFonts w:cs="Arial"/>
              </w:rPr>
              <w:t>”</w:t>
            </w:r>
          </w:p>
        </w:tc>
        <w:tc>
          <w:tcPr>
            <w:tcW w:w="6803" w:type="dxa"/>
          </w:tcPr>
          <w:p w14:paraId="3BB6E14F" w14:textId="77777777" w:rsidR="00F67E9E" w:rsidRPr="00025910" w:rsidRDefault="00F67E9E" w:rsidP="007F74AA">
            <w:pPr>
              <w:pStyle w:val="StdBodyText"/>
              <w:rPr>
                <w:rFonts w:cs="Arial"/>
              </w:rPr>
            </w:pPr>
            <w:r w:rsidRPr="00025910">
              <w:rPr>
                <w:rFonts w:cs="Arial"/>
              </w:rPr>
              <w:t>a Sub-contractor identified in the Annex to this Schedule to whom Transferring Authority Employees and/or Transferring Former Supplier Employees will transfer on a Relevant Transfer Date;</w:t>
            </w:r>
          </w:p>
        </w:tc>
      </w:tr>
      <w:tr w:rsidR="00F67E9E" w:rsidRPr="00025910" w14:paraId="675D746B" w14:textId="77777777" w:rsidTr="007F74AA">
        <w:tc>
          <w:tcPr>
            <w:tcW w:w="2835" w:type="dxa"/>
          </w:tcPr>
          <w:p w14:paraId="6254BFA8" w14:textId="77777777" w:rsidR="00F67E9E" w:rsidRPr="00025910" w:rsidRDefault="00F67E9E" w:rsidP="007F74AA">
            <w:pPr>
              <w:pStyle w:val="StdBodyTextBold"/>
              <w:rPr>
                <w:rFonts w:cs="Arial"/>
              </w:rPr>
            </w:pPr>
            <w:r>
              <w:rPr>
                <w:rFonts w:cs="Arial"/>
              </w:rPr>
              <w:t>“</w:t>
            </w:r>
            <w:r w:rsidRPr="00025910">
              <w:rPr>
                <w:rFonts w:cs="Arial"/>
              </w:rPr>
              <w:t>Old Fair Deal</w:t>
            </w:r>
            <w:r>
              <w:rPr>
                <w:rFonts w:cs="Arial"/>
              </w:rPr>
              <w:t>”</w:t>
            </w:r>
          </w:p>
        </w:tc>
        <w:tc>
          <w:tcPr>
            <w:tcW w:w="6803" w:type="dxa"/>
          </w:tcPr>
          <w:p w14:paraId="68498418" w14:textId="77777777" w:rsidR="00F67E9E" w:rsidRPr="00025910" w:rsidRDefault="00F67E9E" w:rsidP="007F74AA">
            <w:pPr>
              <w:pStyle w:val="StdBodyText"/>
              <w:rPr>
                <w:rFonts w:cs="Arial"/>
              </w:rPr>
            </w:pPr>
            <w:r w:rsidRPr="00025910">
              <w:rPr>
                <w:rFonts w:cs="Arial"/>
              </w:rPr>
              <w:t xml:space="preserve">HM Treasury Guidance </w:t>
            </w:r>
            <w:r>
              <w:rPr>
                <w:rFonts w:cs="Arial"/>
                <w:i/>
              </w:rPr>
              <w:t>“</w:t>
            </w:r>
            <w:r w:rsidRPr="00025910">
              <w:rPr>
                <w:rFonts w:cs="Arial"/>
                <w:i/>
              </w:rPr>
              <w:t>Staff Transfers from Central Government: A Fair Deal for Staff Pensions</w:t>
            </w:r>
            <w:r>
              <w:rPr>
                <w:rFonts w:cs="Arial"/>
                <w:i/>
              </w:rPr>
              <w:t>”</w:t>
            </w:r>
            <w:r w:rsidRPr="00025910">
              <w:rPr>
                <w:rFonts w:cs="Arial"/>
              </w:rPr>
              <w:t xml:space="preserve"> issued in June 1999 including the supplementary guidance </w:t>
            </w:r>
            <w:r>
              <w:rPr>
                <w:rFonts w:cs="Arial"/>
                <w:i/>
              </w:rPr>
              <w:t>“</w:t>
            </w:r>
            <w:r w:rsidRPr="00025910">
              <w:rPr>
                <w:rFonts w:cs="Arial"/>
                <w:i/>
              </w:rPr>
              <w:t>Fair Deal for Staff pensions: Procurement of Bulk Transfer Agreements and Related Issues</w:t>
            </w:r>
            <w:r>
              <w:rPr>
                <w:rFonts w:cs="Arial"/>
                <w:i/>
              </w:rPr>
              <w:t>”</w:t>
            </w:r>
            <w:r w:rsidRPr="00025910">
              <w:rPr>
                <w:rFonts w:cs="Arial"/>
              </w:rPr>
              <w:t xml:space="preserve"> issued in June 2004;</w:t>
            </w:r>
          </w:p>
        </w:tc>
      </w:tr>
      <w:tr w:rsidR="00F67E9E" w:rsidRPr="00025910" w14:paraId="7122E9E7" w14:textId="77777777" w:rsidTr="007F74AA">
        <w:tc>
          <w:tcPr>
            <w:tcW w:w="2835" w:type="dxa"/>
          </w:tcPr>
          <w:p w14:paraId="074815B3" w14:textId="77777777" w:rsidR="00F67E9E" w:rsidRPr="00025910" w:rsidRDefault="00F67E9E" w:rsidP="007F74AA">
            <w:pPr>
              <w:pStyle w:val="StdBodyTextBold"/>
              <w:rPr>
                <w:rFonts w:cs="Arial"/>
              </w:rPr>
            </w:pPr>
            <w:r>
              <w:rPr>
                <w:rFonts w:cs="Arial"/>
              </w:rPr>
              <w:t>“</w:t>
            </w:r>
            <w:r w:rsidRPr="00025910">
              <w:rPr>
                <w:rFonts w:cs="Arial"/>
              </w:rPr>
              <w:t>Replacement Sub-contractor</w:t>
            </w:r>
            <w:r>
              <w:rPr>
                <w:rFonts w:cs="Arial"/>
              </w:rPr>
              <w:t>”</w:t>
            </w:r>
          </w:p>
        </w:tc>
        <w:tc>
          <w:tcPr>
            <w:tcW w:w="6803" w:type="dxa"/>
          </w:tcPr>
          <w:p w14:paraId="73752BEC" w14:textId="77777777" w:rsidR="00F67E9E" w:rsidRPr="00025910" w:rsidRDefault="00F67E9E" w:rsidP="007F74AA">
            <w:pPr>
              <w:pStyle w:val="StdBodyText"/>
              <w:rPr>
                <w:rFonts w:cs="Arial"/>
              </w:rPr>
            </w:pPr>
            <w:r w:rsidRPr="00025910">
              <w:rPr>
                <w:rFonts w:cs="Arial"/>
              </w:rPr>
              <w:t>a sub-contractor of the Replacement Supplier to whom Transferring Supplier Employees will transfer on a Service Transfer Date (or any sub-contractor of any such sub-contractor);</w:t>
            </w:r>
          </w:p>
        </w:tc>
      </w:tr>
      <w:tr w:rsidR="00F67E9E" w:rsidRPr="00025910" w14:paraId="43D9628C" w14:textId="77777777" w:rsidTr="007F74AA">
        <w:tc>
          <w:tcPr>
            <w:tcW w:w="2835" w:type="dxa"/>
          </w:tcPr>
          <w:p w14:paraId="637435C8" w14:textId="77777777" w:rsidR="00F67E9E" w:rsidRPr="00025910" w:rsidRDefault="00F67E9E" w:rsidP="007F74AA">
            <w:pPr>
              <w:pStyle w:val="StdBodyTextBold"/>
              <w:rPr>
                <w:rFonts w:cs="Arial"/>
              </w:rPr>
            </w:pPr>
            <w:r>
              <w:rPr>
                <w:rFonts w:cs="Arial"/>
              </w:rPr>
              <w:t>“</w:t>
            </w:r>
            <w:r w:rsidRPr="00025910">
              <w:rPr>
                <w:rFonts w:cs="Arial"/>
              </w:rPr>
              <w:t>Relevant Transfer</w:t>
            </w:r>
            <w:r>
              <w:rPr>
                <w:rFonts w:cs="Arial"/>
              </w:rPr>
              <w:t>”</w:t>
            </w:r>
          </w:p>
        </w:tc>
        <w:tc>
          <w:tcPr>
            <w:tcW w:w="6803" w:type="dxa"/>
          </w:tcPr>
          <w:p w14:paraId="7C402506" w14:textId="77777777" w:rsidR="00F67E9E" w:rsidRPr="00025910" w:rsidRDefault="00F67E9E" w:rsidP="007F74AA">
            <w:pPr>
              <w:pStyle w:val="StdBodyText"/>
              <w:rPr>
                <w:rFonts w:cs="Arial"/>
              </w:rPr>
            </w:pPr>
            <w:r w:rsidRPr="00025910">
              <w:rPr>
                <w:rFonts w:cs="Arial"/>
              </w:rPr>
              <w:t>a transfer of employment to which the Employment Regulations applies;</w:t>
            </w:r>
          </w:p>
        </w:tc>
      </w:tr>
      <w:tr w:rsidR="00F67E9E" w:rsidRPr="00025910" w14:paraId="7EE12EB9" w14:textId="77777777" w:rsidTr="007F74AA">
        <w:tc>
          <w:tcPr>
            <w:tcW w:w="2835" w:type="dxa"/>
          </w:tcPr>
          <w:p w14:paraId="05A66902" w14:textId="77777777" w:rsidR="00F67E9E" w:rsidRPr="00025910" w:rsidRDefault="00F67E9E" w:rsidP="007F74AA">
            <w:pPr>
              <w:pStyle w:val="StdBodyTextBold"/>
              <w:rPr>
                <w:rFonts w:cs="Arial"/>
              </w:rPr>
            </w:pPr>
            <w:r>
              <w:rPr>
                <w:rFonts w:cs="Arial"/>
              </w:rPr>
              <w:t>“</w:t>
            </w:r>
            <w:r w:rsidRPr="00025910">
              <w:rPr>
                <w:rFonts w:cs="Arial"/>
              </w:rPr>
              <w:t>Relevant Transfer Date</w:t>
            </w:r>
            <w:r>
              <w:rPr>
                <w:rFonts w:cs="Arial"/>
              </w:rPr>
              <w:t>”</w:t>
            </w:r>
          </w:p>
        </w:tc>
        <w:tc>
          <w:tcPr>
            <w:tcW w:w="6803" w:type="dxa"/>
          </w:tcPr>
          <w:p w14:paraId="5C172487" w14:textId="7C207D5F" w:rsidR="00F67E9E" w:rsidRPr="00025910" w:rsidRDefault="00F67E9E" w:rsidP="007F74AA">
            <w:pPr>
              <w:pStyle w:val="StdBodyText"/>
              <w:rPr>
                <w:rFonts w:cs="Arial"/>
              </w:rPr>
            </w:pPr>
            <w:r w:rsidRPr="00025910">
              <w:rPr>
                <w:rFonts w:cs="Arial"/>
              </w:rPr>
              <w:t xml:space="preserve">in relation to a Relevant Transfer, the date upon which the Relevant Transfer takes place. For the purposes of </w:t>
            </w:r>
            <w:r w:rsidRPr="00025910">
              <w:rPr>
                <w:rFonts w:eastAsia="Arial"/>
                <w:color w:val="000000"/>
              </w:rPr>
              <w:fldChar w:fldCharType="begin"/>
            </w:r>
            <w:r w:rsidRPr="00025910">
              <w:rPr>
                <w:rFonts w:eastAsia="Arial"/>
                <w:color w:val="000000"/>
              </w:rPr>
              <w:instrText xml:space="preserve"> REF Sch28PartD \h  \* MERGEFORMAT </w:instrText>
            </w:r>
            <w:r w:rsidRPr="00025910">
              <w:rPr>
                <w:rFonts w:eastAsia="Arial"/>
                <w:color w:val="000000"/>
              </w:rPr>
            </w:r>
            <w:r w:rsidRPr="00025910">
              <w:rPr>
                <w:rFonts w:eastAsia="Arial"/>
                <w:color w:val="000000"/>
              </w:rPr>
              <w:fldChar w:fldCharType="separate"/>
            </w:r>
            <w:r w:rsidR="00302D39" w:rsidRPr="00302D39">
              <w:rPr>
                <w:rFonts w:eastAsia="Calibri"/>
              </w:rPr>
              <w:t>Part D</w:t>
            </w:r>
            <w:r w:rsidRPr="00025910">
              <w:rPr>
                <w:rFonts w:eastAsia="Arial"/>
                <w:color w:val="000000"/>
              </w:rPr>
              <w:fldChar w:fldCharType="end"/>
            </w:r>
            <w:r w:rsidRPr="00025910">
              <w:rPr>
                <w:rFonts w:cs="Arial"/>
              </w:rPr>
              <w:t xml:space="preserve"> and its Annexes, where the Supplier or a Sub-contractor was the Former Supplier and there is no Relevant Transfer of the Fair Deal Employees because they remain continuously employed by the Supplier (or Sub-contractor), references to the Relevant Transfer Date shall become references to the Operational Service Commencement Date;</w:t>
            </w:r>
          </w:p>
        </w:tc>
      </w:tr>
      <w:tr w:rsidR="00F67E9E" w:rsidRPr="00025910" w14:paraId="040A07D5" w14:textId="77777777" w:rsidTr="007F74AA">
        <w:tc>
          <w:tcPr>
            <w:tcW w:w="2835" w:type="dxa"/>
          </w:tcPr>
          <w:p w14:paraId="1FCA6DB0" w14:textId="77777777" w:rsidR="00F67E9E" w:rsidRPr="00025910" w:rsidRDefault="00F67E9E" w:rsidP="007F74AA">
            <w:pPr>
              <w:pStyle w:val="StdBodyTextBold"/>
              <w:rPr>
                <w:rFonts w:cs="Arial"/>
              </w:rPr>
            </w:pPr>
            <w:r>
              <w:rPr>
                <w:rFonts w:cs="Arial"/>
              </w:rPr>
              <w:t>“</w:t>
            </w:r>
            <w:r w:rsidRPr="00025910">
              <w:rPr>
                <w:rFonts w:cs="Arial"/>
              </w:rPr>
              <w:t>Service Transfer</w:t>
            </w:r>
            <w:r>
              <w:rPr>
                <w:rFonts w:cs="Arial"/>
              </w:rPr>
              <w:t>”</w:t>
            </w:r>
          </w:p>
        </w:tc>
        <w:tc>
          <w:tcPr>
            <w:tcW w:w="6803" w:type="dxa"/>
          </w:tcPr>
          <w:p w14:paraId="33DEC3CB" w14:textId="77777777" w:rsidR="00F67E9E" w:rsidRPr="00025910" w:rsidRDefault="00F67E9E" w:rsidP="007F74AA">
            <w:pPr>
              <w:pStyle w:val="StdBodyText"/>
              <w:rPr>
                <w:rFonts w:cs="Arial"/>
              </w:rPr>
            </w:pPr>
            <w:r w:rsidRPr="00025910">
              <w:rPr>
                <w:rFonts w:cs="Arial"/>
              </w:rPr>
              <w:t>any transfer of the Services (or any part of the Services), for whatever reason, from the Supplier or any Sub-contractor to a Replacement Supplier or a Replacement Sub-contractor;</w:t>
            </w:r>
          </w:p>
        </w:tc>
      </w:tr>
      <w:tr w:rsidR="00F67E9E" w:rsidRPr="00025910" w14:paraId="56C4325D" w14:textId="77777777" w:rsidTr="007F74AA">
        <w:tc>
          <w:tcPr>
            <w:tcW w:w="2835" w:type="dxa"/>
          </w:tcPr>
          <w:p w14:paraId="0FDB3BFE" w14:textId="77777777" w:rsidR="00F67E9E" w:rsidRPr="00025910" w:rsidRDefault="00F67E9E" w:rsidP="007F74AA">
            <w:pPr>
              <w:pStyle w:val="StdBodyTextBold"/>
              <w:rPr>
                <w:rFonts w:cs="Arial"/>
              </w:rPr>
            </w:pPr>
            <w:r>
              <w:rPr>
                <w:rFonts w:cs="Arial"/>
              </w:rPr>
              <w:t>“</w:t>
            </w:r>
            <w:r w:rsidRPr="00025910">
              <w:rPr>
                <w:rFonts w:cs="Arial"/>
              </w:rPr>
              <w:t>Service Transfer Date</w:t>
            </w:r>
            <w:r>
              <w:rPr>
                <w:rFonts w:cs="Arial"/>
              </w:rPr>
              <w:t>”</w:t>
            </w:r>
          </w:p>
        </w:tc>
        <w:tc>
          <w:tcPr>
            <w:tcW w:w="6803" w:type="dxa"/>
          </w:tcPr>
          <w:p w14:paraId="689928EE" w14:textId="77777777" w:rsidR="00F67E9E" w:rsidRPr="00025910" w:rsidRDefault="00F67E9E" w:rsidP="007F74AA">
            <w:pPr>
              <w:pStyle w:val="StdBodyText"/>
              <w:rPr>
                <w:rFonts w:cs="Arial"/>
              </w:rPr>
            </w:pPr>
            <w:r w:rsidRPr="00025910">
              <w:rPr>
                <w:rFonts w:cs="Arial"/>
              </w:rPr>
              <w:t>the date of a Service Transfer or, if more than one, the date of the relevant Service Transfer as the context requires;</w:t>
            </w:r>
          </w:p>
        </w:tc>
      </w:tr>
      <w:tr w:rsidR="00F67E9E" w:rsidRPr="00025910" w14:paraId="7C83C81B" w14:textId="77777777" w:rsidTr="007F74AA">
        <w:tc>
          <w:tcPr>
            <w:tcW w:w="2835" w:type="dxa"/>
          </w:tcPr>
          <w:p w14:paraId="3FCCF5F3" w14:textId="77777777" w:rsidR="00F67E9E" w:rsidRPr="00025910" w:rsidRDefault="00F67E9E" w:rsidP="007F74AA">
            <w:pPr>
              <w:pStyle w:val="StdBodyTextBold"/>
              <w:rPr>
                <w:rFonts w:cs="Arial"/>
              </w:rPr>
            </w:pPr>
            <w:r>
              <w:rPr>
                <w:rFonts w:cs="Arial"/>
              </w:rPr>
              <w:t>“</w:t>
            </w:r>
            <w:r w:rsidRPr="00025910">
              <w:rPr>
                <w:rFonts w:cs="Arial"/>
              </w:rPr>
              <w:t>Staffing Information</w:t>
            </w:r>
            <w:r>
              <w:rPr>
                <w:rFonts w:cs="Arial"/>
              </w:rPr>
              <w:t>”</w:t>
            </w:r>
          </w:p>
        </w:tc>
        <w:tc>
          <w:tcPr>
            <w:tcW w:w="6803" w:type="dxa"/>
          </w:tcPr>
          <w:p w14:paraId="35042ECA" w14:textId="7910A259" w:rsidR="00F67E9E" w:rsidRPr="00025910" w:rsidRDefault="00F67E9E" w:rsidP="007F74AA">
            <w:pPr>
              <w:pStyle w:val="StdBodyText"/>
              <w:rPr>
                <w:rFonts w:cs="Arial"/>
              </w:rPr>
            </w:pPr>
            <w:r w:rsidRPr="00025910">
              <w:rPr>
                <w:rFonts w:cs="Arial"/>
              </w:rPr>
              <w:t>in relation to all persons identified on the Supplier</w:t>
            </w:r>
            <w:r>
              <w:rPr>
                <w:rFonts w:cs="Arial"/>
              </w:rPr>
              <w:t>’</w:t>
            </w:r>
            <w:r w:rsidRPr="00025910">
              <w:rPr>
                <w:rFonts w:cs="Arial"/>
              </w:rPr>
              <w:t>s Provisional Supplier Personnel List or Supplier</w:t>
            </w:r>
            <w:r>
              <w:rPr>
                <w:rFonts w:cs="Arial"/>
              </w:rPr>
              <w:t>’</w:t>
            </w:r>
            <w:r w:rsidRPr="00025910">
              <w:rPr>
                <w:rFonts w:cs="Arial"/>
              </w:rPr>
              <w:t xml:space="preserve">s Final Supplier Personnel List, as the case may be, all information required in </w:t>
            </w:r>
            <w:r w:rsidRPr="00025910">
              <w:rPr>
                <w:rFonts w:cs="Arial"/>
              </w:rPr>
              <w:fldChar w:fldCharType="begin"/>
            </w:r>
            <w:r w:rsidRPr="00025910">
              <w:rPr>
                <w:rFonts w:cs="Arial"/>
              </w:rPr>
              <w:instrText xml:space="preserve"> REF _Ref_ContractCompanion_9kb9Ur476 \h  \* MERGEFORMAT </w:instrText>
            </w:r>
            <w:r w:rsidRPr="00025910">
              <w:rPr>
                <w:rFonts w:cs="Arial"/>
              </w:rPr>
            </w:r>
            <w:r w:rsidRPr="00025910">
              <w:rPr>
                <w:rFonts w:cs="Arial"/>
              </w:rPr>
              <w:fldChar w:fldCharType="separate"/>
            </w:r>
            <w:r w:rsidR="00302D39" w:rsidRPr="00302D39">
              <w:rPr>
                <w:rFonts w:cs="Arial"/>
              </w:rPr>
              <w:t>Annex E2</w:t>
            </w:r>
            <w:r w:rsidR="00302D39" w:rsidRPr="00025910">
              <w:t>: Staffing Information</w:t>
            </w:r>
            <w:r w:rsidRPr="00025910">
              <w:rPr>
                <w:rFonts w:cs="Arial"/>
              </w:rPr>
              <w:fldChar w:fldCharType="end"/>
            </w:r>
            <w:r w:rsidRPr="00025910">
              <w:rPr>
                <w:rFonts w:cs="Arial"/>
              </w:rPr>
              <w:t xml:space="preserve"> in the format specified and with the identities of Data Subjects anonymised where possible. The Authority may acting reasonably make changes to the format or information requested in </w:t>
            </w:r>
            <w:r w:rsidRPr="00025910">
              <w:rPr>
                <w:rFonts w:cs="Arial"/>
              </w:rPr>
              <w:fldChar w:fldCharType="begin"/>
            </w:r>
            <w:r w:rsidRPr="00025910">
              <w:rPr>
                <w:rFonts w:cs="Arial"/>
              </w:rPr>
              <w:instrText xml:space="preserve"> REF _Ref_ContractCompanion_9kb9Ur476 \h  \* MERGEFORMAT </w:instrText>
            </w:r>
            <w:r w:rsidRPr="00025910">
              <w:rPr>
                <w:rFonts w:cs="Arial"/>
              </w:rPr>
            </w:r>
            <w:r w:rsidRPr="00025910">
              <w:rPr>
                <w:rFonts w:cs="Arial"/>
              </w:rPr>
              <w:fldChar w:fldCharType="separate"/>
            </w:r>
            <w:r w:rsidR="00302D39" w:rsidRPr="00302D39">
              <w:rPr>
                <w:rFonts w:cs="Arial"/>
              </w:rPr>
              <w:t>Annex E2</w:t>
            </w:r>
            <w:r w:rsidR="00302D39" w:rsidRPr="00025910">
              <w:t>: Staffing Information</w:t>
            </w:r>
            <w:r w:rsidRPr="00025910">
              <w:rPr>
                <w:rFonts w:cs="Arial"/>
              </w:rPr>
              <w:fldChar w:fldCharType="end"/>
            </w:r>
            <w:r w:rsidRPr="00025910">
              <w:rPr>
                <w:rFonts w:cs="Arial"/>
              </w:rPr>
              <w:t xml:space="preserve"> from time to time.</w:t>
            </w:r>
          </w:p>
        </w:tc>
      </w:tr>
      <w:tr w:rsidR="00F67E9E" w:rsidRPr="00025910" w14:paraId="6C27FA19" w14:textId="77777777" w:rsidTr="007F74AA">
        <w:tc>
          <w:tcPr>
            <w:tcW w:w="2835" w:type="dxa"/>
          </w:tcPr>
          <w:p w14:paraId="66A0B402" w14:textId="77777777" w:rsidR="00F67E9E" w:rsidRPr="00025910" w:rsidRDefault="00F67E9E" w:rsidP="007F74AA">
            <w:pPr>
              <w:pStyle w:val="StdBodyTextBold"/>
              <w:rPr>
                <w:rFonts w:cs="Arial"/>
              </w:rPr>
            </w:pPr>
            <w:r>
              <w:rPr>
                <w:rFonts w:cs="Arial"/>
              </w:rPr>
              <w:t>“</w:t>
            </w:r>
            <w:r w:rsidRPr="00025910">
              <w:rPr>
                <w:rFonts w:cs="Arial"/>
              </w:rPr>
              <w:t>Statutory Schemes</w:t>
            </w:r>
            <w:r>
              <w:rPr>
                <w:rFonts w:cs="Arial"/>
              </w:rPr>
              <w:t>”</w:t>
            </w:r>
          </w:p>
        </w:tc>
        <w:tc>
          <w:tcPr>
            <w:tcW w:w="6803" w:type="dxa"/>
          </w:tcPr>
          <w:p w14:paraId="3E26A8D6" w14:textId="6363E47C" w:rsidR="00F67E9E" w:rsidRPr="00025910" w:rsidRDefault="00F67E9E" w:rsidP="007F74AA">
            <w:pPr>
              <w:pStyle w:val="StdBodyText"/>
              <w:rPr>
                <w:rFonts w:cs="Arial"/>
              </w:rPr>
            </w:pPr>
            <w:r w:rsidRPr="00025910">
              <w:rPr>
                <w:rFonts w:cs="Arial"/>
              </w:rPr>
              <w:t xml:space="preserve">means the CSPS, NHSPS or LGPS as defined in the Annexes to </w:t>
            </w:r>
            <w:r w:rsidRPr="00025910">
              <w:rPr>
                <w:rFonts w:eastAsia="Arial"/>
                <w:color w:val="000000"/>
              </w:rPr>
              <w:fldChar w:fldCharType="begin"/>
            </w:r>
            <w:r w:rsidRPr="00025910">
              <w:rPr>
                <w:rFonts w:eastAsia="Arial"/>
                <w:color w:val="000000"/>
              </w:rPr>
              <w:instrText xml:space="preserve"> REF Sch28PartD \h  \* MERGEFORMAT </w:instrText>
            </w:r>
            <w:r w:rsidRPr="00025910">
              <w:rPr>
                <w:rFonts w:eastAsia="Arial"/>
                <w:color w:val="000000"/>
              </w:rPr>
            </w:r>
            <w:r w:rsidRPr="00025910">
              <w:rPr>
                <w:rFonts w:eastAsia="Arial"/>
                <w:color w:val="000000"/>
              </w:rPr>
              <w:fldChar w:fldCharType="separate"/>
            </w:r>
            <w:r w:rsidR="00302D39" w:rsidRPr="00302D39">
              <w:rPr>
                <w:rFonts w:eastAsia="Calibri"/>
              </w:rPr>
              <w:t>Part D</w:t>
            </w:r>
            <w:r w:rsidRPr="00025910">
              <w:rPr>
                <w:rFonts w:eastAsia="Arial"/>
                <w:color w:val="000000"/>
              </w:rPr>
              <w:fldChar w:fldCharType="end"/>
            </w:r>
            <w:r w:rsidRPr="00025910">
              <w:rPr>
                <w:rFonts w:cs="Arial"/>
              </w:rPr>
              <w:t xml:space="preserve"> of this Schedule;</w:t>
            </w:r>
          </w:p>
        </w:tc>
      </w:tr>
      <w:tr w:rsidR="00F67E9E" w:rsidRPr="00025910" w14:paraId="08028706" w14:textId="77777777" w:rsidTr="007F74AA">
        <w:tc>
          <w:tcPr>
            <w:tcW w:w="2835" w:type="dxa"/>
          </w:tcPr>
          <w:p w14:paraId="54B2818C" w14:textId="77777777" w:rsidR="00F67E9E" w:rsidRPr="00025910" w:rsidRDefault="00F67E9E" w:rsidP="007F74AA">
            <w:pPr>
              <w:pStyle w:val="StdBodyTextBold"/>
              <w:rPr>
                <w:rFonts w:cs="Arial"/>
              </w:rPr>
            </w:pPr>
            <w:r>
              <w:rPr>
                <w:rFonts w:cs="Arial"/>
              </w:rPr>
              <w:t>“</w:t>
            </w:r>
            <w:r w:rsidRPr="00025910">
              <w:rPr>
                <w:rFonts w:cs="Arial"/>
              </w:rPr>
              <w:t>Supplier</w:t>
            </w:r>
            <w:r>
              <w:rPr>
                <w:rFonts w:cs="Arial"/>
              </w:rPr>
              <w:t>’</w:t>
            </w:r>
            <w:r w:rsidRPr="00025910">
              <w:rPr>
                <w:rFonts w:cs="Arial"/>
              </w:rPr>
              <w:t>s Final Supplier Personnel List</w:t>
            </w:r>
            <w:r>
              <w:rPr>
                <w:rFonts w:cs="Arial"/>
              </w:rPr>
              <w:t>”</w:t>
            </w:r>
          </w:p>
        </w:tc>
        <w:tc>
          <w:tcPr>
            <w:tcW w:w="6803" w:type="dxa"/>
          </w:tcPr>
          <w:p w14:paraId="5F20CA6C" w14:textId="77777777" w:rsidR="00F67E9E" w:rsidRPr="00025910" w:rsidRDefault="00F67E9E" w:rsidP="007F74AA">
            <w:pPr>
              <w:pStyle w:val="StdBodyText"/>
              <w:rPr>
                <w:rFonts w:cs="Arial"/>
              </w:rPr>
            </w:pPr>
            <w:r w:rsidRPr="00025910">
              <w:rPr>
                <w:rFonts w:cs="Arial"/>
              </w:rPr>
              <w:t>a list provided by the Supplier of all Supplier Personnel who will transfer under the Employment Regulations on the Service Transfer Date;</w:t>
            </w:r>
          </w:p>
        </w:tc>
      </w:tr>
      <w:tr w:rsidR="00F67E9E" w:rsidRPr="00025910" w14:paraId="54BA069A" w14:textId="77777777" w:rsidTr="007F74AA">
        <w:tc>
          <w:tcPr>
            <w:tcW w:w="2835" w:type="dxa"/>
          </w:tcPr>
          <w:p w14:paraId="6402B955" w14:textId="77777777" w:rsidR="00F67E9E" w:rsidRPr="009A5275" w:rsidRDefault="00F67E9E" w:rsidP="007F74AA">
            <w:pPr>
              <w:pStyle w:val="StdBodyTextBold"/>
              <w:rPr>
                <w:rFonts w:cs="Arial"/>
                <w:lang w:val="fr-FR"/>
              </w:rPr>
            </w:pPr>
            <w:r w:rsidRPr="009A5275">
              <w:rPr>
                <w:rFonts w:cs="Arial"/>
                <w:lang w:val="fr-FR"/>
              </w:rPr>
              <w:t>“Supplier’s Provisional Supplier Personnel List”</w:t>
            </w:r>
          </w:p>
        </w:tc>
        <w:tc>
          <w:tcPr>
            <w:tcW w:w="6803" w:type="dxa"/>
          </w:tcPr>
          <w:p w14:paraId="578CEF02" w14:textId="77777777" w:rsidR="00F67E9E" w:rsidRPr="00025910" w:rsidRDefault="00F67E9E" w:rsidP="007F74AA">
            <w:pPr>
              <w:pStyle w:val="StdBodyText"/>
              <w:rPr>
                <w:rFonts w:cs="Arial"/>
              </w:rPr>
            </w:pPr>
            <w:r w:rsidRPr="00025910">
              <w:rPr>
                <w:rFonts w:cs="Arial"/>
              </w:rPr>
              <w:t>a list prepared and updated by the Supplier of all Supplier Personnel who are at the date of the list wholly or mainly engaged in or assigned to the provision of the Services or any relevant part of the Services which it is envisaged as at the date of such list will no longer be provided by the Supplier;</w:t>
            </w:r>
          </w:p>
        </w:tc>
      </w:tr>
      <w:tr w:rsidR="00F67E9E" w:rsidRPr="00025910" w14:paraId="0529E6CB" w14:textId="77777777" w:rsidTr="007F74AA">
        <w:tc>
          <w:tcPr>
            <w:tcW w:w="2835" w:type="dxa"/>
          </w:tcPr>
          <w:p w14:paraId="7F9C2AD7" w14:textId="77777777" w:rsidR="00F67E9E" w:rsidRPr="00025910" w:rsidRDefault="00F67E9E" w:rsidP="007F74AA">
            <w:pPr>
              <w:pStyle w:val="StdBodyTextBold"/>
              <w:rPr>
                <w:rFonts w:cs="Arial"/>
              </w:rPr>
            </w:pPr>
            <w:r>
              <w:rPr>
                <w:rFonts w:cs="Arial"/>
              </w:rPr>
              <w:t>“</w:t>
            </w:r>
            <w:r w:rsidRPr="00025910">
              <w:rPr>
                <w:rFonts w:cs="Arial"/>
              </w:rPr>
              <w:t>Transferring Authority Employees</w:t>
            </w:r>
            <w:r>
              <w:rPr>
                <w:rFonts w:cs="Arial"/>
              </w:rPr>
              <w:t>”</w:t>
            </w:r>
          </w:p>
        </w:tc>
        <w:tc>
          <w:tcPr>
            <w:tcW w:w="6803" w:type="dxa"/>
          </w:tcPr>
          <w:p w14:paraId="252485B3" w14:textId="77777777" w:rsidR="00F67E9E" w:rsidRPr="00025910" w:rsidRDefault="00F67E9E" w:rsidP="007F74AA">
            <w:pPr>
              <w:pStyle w:val="StdBodyText"/>
              <w:rPr>
                <w:rFonts w:cs="Arial"/>
              </w:rPr>
            </w:pPr>
            <w:r w:rsidRPr="00025910">
              <w:rPr>
                <w:rFonts w:cs="Arial"/>
              </w:rPr>
              <w:t>those employees of the Authority to whom the Employment Regulations will apply on the Relevant Transfer Date;</w:t>
            </w:r>
          </w:p>
        </w:tc>
      </w:tr>
      <w:tr w:rsidR="00F67E9E" w:rsidRPr="00025910" w14:paraId="6C7E227B" w14:textId="77777777" w:rsidTr="007F74AA">
        <w:tc>
          <w:tcPr>
            <w:tcW w:w="2835" w:type="dxa"/>
          </w:tcPr>
          <w:p w14:paraId="3387A727" w14:textId="77777777" w:rsidR="00F67E9E" w:rsidRPr="00025910" w:rsidRDefault="00F67E9E" w:rsidP="007F74AA">
            <w:pPr>
              <w:pStyle w:val="StdBodyTextBold"/>
              <w:rPr>
                <w:rFonts w:cs="Arial"/>
              </w:rPr>
            </w:pPr>
            <w:r>
              <w:rPr>
                <w:rFonts w:cs="Arial"/>
              </w:rPr>
              <w:t>“</w:t>
            </w:r>
            <w:r w:rsidRPr="00025910">
              <w:rPr>
                <w:rFonts w:cs="Arial"/>
              </w:rPr>
              <w:t>Transferring Former Supplier Employees</w:t>
            </w:r>
            <w:r>
              <w:rPr>
                <w:rFonts w:cs="Arial"/>
              </w:rPr>
              <w:t>”</w:t>
            </w:r>
          </w:p>
        </w:tc>
        <w:tc>
          <w:tcPr>
            <w:tcW w:w="6803" w:type="dxa"/>
          </w:tcPr>
          <w:p w14:paraId="76245FDA" w14:textId="77777777" w:rsidR="00F67E9E" w:rsidRPr="00025910" w:rsidRDefault="00F67E9E" w:rsidP="007F74AA">
            <w:pPr>
              <w:pStyle w:val="StdBodyText"/>
              <w:rPr>
                <w:rFonts w:cs="Arial"/>
              </w:rPr>
            </w:pPr>
            <w:r w:rsidRPr="00025910">
              <w:rPr>
                <w:rFonts w:cs="Arial"/>
              </w:rPr>
              <w:t>in relation to a Former Supplier, those employees of the Former Supplier to whom the Employment Regulations will apply on the Relevant Transfer Date; and</w:t>
            </w:r>
          </w:p>
        </w:tc>
      </w:tr>
      <w:tr w:rsidR="00F67E9E" w:rsidRPr="00025910" w14:paraId="0292E33A" w14:textId="77777777" w:rsidTr="007F74AA">
        <w:tc>
          <w:tcPr>
            <w:tcW w:w="2835" w:type="dxa"/>
          </w:tcPr>
          <w:p w14:paraId="3DFDC54A" w14:textId="77777777" w:rsidR="00F67E9E" w:rsidRPr="00025910" w:rsidRDefault="00F67E9E" w:rsidP="007F74AA">
            <w:pPr>
              <w:pStyle w:val="StdBodyTextBold"/>
              <w:rPr>
                <w:rFonts w:cs="Arial"/>
              </w:rPr>
            </w:pPr>
            <w:r>
              <w:rPr>
                <w:rFonts w:cs="Arial"/>
              </w:rPr>
              <w:t>“</w:t>
            </w:r>
            <w:r w:rsidRPr="00025910">
              <w:rPr>
                <w:rFonts w:cs="Arial"/>
              </w:rPr>
              <w:t>Transferring Supplier Employees</w:t>
            </w:r>
            <w:r>
              <w:rPr>
                <w:rFonts w:cs="Arial"/>
              </w:rPr>
              <w:t>”</w:t>
            </w:r>
          </w:p>
        </w:tc>
        <w:tc>
          <w:tcPr>
            <w:tcW w:w="6803" w:type="dxa"/>
          </w:tcPr>
          <w:p w14:paraId="4B86846B" w14:textId="77777777" w:rsidR="00F67E9E" w:rsidRPr="00025910" w:rsidRDefault="00F67E9E" w:rsidP="007F74AA">
            <w:pPr>
              <w:pStyle w:val="StdBodyText"/>
              <w:rPr>
                <w:rFonts w:cs="Arial"/>
              </w:rPr>
            </w:pPr>
            <w:r w:rsidRPr="00025910">
              <w:rPr>
                <w:rFonts w:cs="Arial"/>
              </w:rPr>
              <w:t>those employees of the Supplier and/or the Supplier</w:t>
            </w:r>
            <w:r>
              <w:rPr>
                <w:rFonts w:cs="Arial"/>
              </w:rPr>
              <w:t>’</w:t>
            </w:r>
            <w:r w:rsidRPr="00025910">
              <w:rPr>
                <w:rFonts w:cs="Arial"/>
              </w:rPr>
              <w:t>s Sub-contractors to whom the Employment Regulations will apply on the Service Transfer Date.</w:t>
            </w:r>
          </w:p>
        </w:tc>
      </w:tr>
    </w:tbl>
    <w:p w14:paraId="5823E031" w14:textId="77777777" w:rsidR="00F67E9E" w:rsidRPr="00025910" w:rsidRDefault="00F67E9E" w:rsidP="00F67E9E">
      <w:pPr>
        <w:pStyle w:val="Numbered1"/>
        <w:numPr>
          <w:ilvl w:val="0"/>
          <w:numId w:val="286"/>
        </w:numPr>
      </w:pPr>
      <w:r w:rsidRPr="00025910">
        <w:t>Interpretation</w:t>
      </w:r>
    </w:p>
    <w:p w14:paraId="735C9383" w14:textId="77777777" w:rsidR="00F67E9E" w:rsidRPr="00025910" w:rsidRDefault="00F67E9E" w:rsidP="00F67E9E">
      <w:pPr>
        <w:pStyle w:val="Numbered11"/>
      </w:pPr>
      <w:r w:rsidRPr="00025910">
        <w:t xml:space="preserve">Where a provision in this Schedule imposes an obligation on the Supplier to provide an indemnity, undertaking or warranty, the Supplier shall procure that each of its Sub-contractors shall comply with such obligation and provide such indemnity, undertaking or warranty to the Authority, Former Supplier, Replacement Supplier or Replacement Sub-contractor, as the case may be. </w:t>
      </w:r>
    </w:p>
    <w:p w14:paraId="41940605" w14:textId="77777777" w:rsidR="00F67E9E" w:rsidRPr="00025910" w:rsidRDefault="00F67E9E" w:rsidP="00F67E9E">
      <w:pPr>
        <w:pStyle w:val="Numbered1"/>
        <w:numPr>
          <w:ilvl w:val="0"/>
          <w:numId w:val="286"/>
        </w:numPr>
      </w:pPr>
      <w:r w:rsidRPr="00025910">
        <w:t xml:space="preserve">Applicable Parts </w:t>
      </w:r>
      <w:r>
        <w:t>o</w:t>
      </w:r>
      <w:r w:rsidRPr="00025910">
        <w:t xml:space="preserve">f </w:t>
      </w:r>
      <w:r>
        <w:t>t</w:t>
      </w:r>
      <w:r w:rsidRPr="00025910">
        <w:t>his Schedule</w:t>
      </w:r>
    </w:p>
    <w:p w14:paraId="66B7CA5A" w14:textId="463B1460" w:rsidR="00F67E9E" w:rsidRPr="00025910" w:rsidRDefault="00236F49" w:rsidP="00F67E9E">
      <w:pPr>
        <w:pStyle w:val="Numbered11"/>
      </w:pPr>
      <w:r>
        <w:t>T</w:t>
      </w:r>
      <w:r w:rsidR="00F67E9E" w:rsidRPr="00025910">
        <w:t xml:space="preserve">he </w:t>
      </w:r>
      <w:r w:rsidR="00F67E9E" w:rsidRPr="006412C0">
        <w:t>following</w:t>
      </w:r>
      <w:r w:rsidR="00F67E9E" w:rsidRPr="00025910">
        <w:t xml:space="preserve"> parts of this Schedule shall apply to this Contract:</w:t>
      </w:r>
    </w:p>
    <w:p w14:paraId="33DAC50C" w14:textId="77777777" w:rsidR="00F67E9E" w:rsidRPr="00025910" w:rsidRDefault="00F67E9E" w:rsidP="00F67E9E">
      <w:pPr>
        <w:spacing w:before="120" w:after="120"/>
        <w:ind w:left="720"/>
        <w:rPr>
          <w:rFonts w:eastAsia="Arial"/>
          <w:szCs w:val="24"/>
          <w:highlight w:val="yellow"/>
        </w:rPr>
      </w:pPr>
      <w:r>
        <w:rPr>
          <w:rFonts w:eastAsia="Arial"/>
          <w:b/>
          <w:szCs w:val="24"/>
        </w:rPr>
        <w:t>[</w:t>
      </w:r>
      <w:r>
        <w:rPr>
          <w:rFonts w:eastAsia="Arial"/>
          <w:b/>
          <w:szCs w:val="24"/>
          <w:highlight w:val="yellow"/>
        </w:rPr>
        <w:t>Mark N/A</w:t>
      </w:r>
      <w:r w:rsidRPr="00F31663">
        <w:rPr>
          <w:rFonts w:eastAsia="Arial"/>
          <w:szCs w:val="24"/>
          <w:highlight w:val="yellow"/>
        </w:rPr>
        <w:t xml:space="preserve"> if </w:t>
      </w:r>
      <w:r w:rsidRPr="00025910">
        <w:rPr>
          <w:rFonts w:eastAsia="Arial"/>
          <w:szCs w:val="24"/>
          <w:highlight w:val="yellow"/>
        </w:rPr>
        <w:t>not applicable to the Contract]</w:t>
      </w:r>
    </w:p>
    <w:p w14:paraId="6AC63BD7" w14:textId="17931530" w:rsidR="00F67E9E" w:rsidRPr="00025910" w:rsidRDefault="00F67E9E" w:rsidP="00F67E9E">
      <w:pPr>
        <w:pStyle w:val="Numbered111"/>
        <w:rPr>
          <w:highlight w:val="yellow"/>
        </w:rPr>
      </w:pPr>
      <w:r w:rsidRPr="00025910">
        <w:rPr>
          <w:highlight w:val="yellow"/>
        </w:rPr>
        <w:t>[</w:t>
      </w:r>
      <w:r w:rsidRPr="00025910">
        <w:rPr>
          <w:rFonts w:eastAsia="Calibri"/>
          <w:bCs/>
          <w:highlight w:val="yellow"/>
        </w:rPr>
        <w:fldChar w:fldCharType="begin"/>
      </w:r>
      <w:r w:rsidRPr="00025910">
        <w:rPr>
          <w:rFonts w:eastAsia="Calibri"/>
          <w:bCs/>
          <w:highlight w:val="yellow"/>
        </w:rPr>
        <w:instrText xml:space="preserve"> REF Sch28PartA \h  \* MERGEFORMAT </w:instrText>
      </w:r>
      <w:r w:rsidRPr="00025910">
        <w:rPr>
          <w:rFonts w:eastAsia="Calibri"/>
          <w:bCs/>
          <w:highlight w:val="yellow"/>
        </w:rPr>
      </w:r>
      <w:r w:rsidRPr="00025910">
        <w:rPr>
          <w:rFonts w:eastAsia="Calibri"/>
          <w:bCs/>
          <w:highlight w:val="yellow"/>
        </w:rPr>
        <w:fldChar w:fldCharType="separate"/>
      </w:r>
      <w:r w:rsidR="00302D39" w:rsidRPr="00302D39">
        <w:rPr>
          <w:bCs/>
          <w:highlight w:val="yellow"/>
        </w:rPr>
        <w:t>Part A</w:t>
      </w:r>
      <w:r w:rsidRPr="00025910">
        <w:rPr>
          <w:rFonts w:eastAsia="Calibri"/>
          <w:bCs/>
          <w:highlight w:val="yellow"/>
        </w:rPr>
        <w:fldChar w:fldCharType="end"/>
      </w:r>
      <w:r w:rsidRPr="00025910">
        <w:rPr>
          <w:highlight w:val="yellow"/>
        </w:rPr>
        <w:t xml:space="preserve"> (</w:t>
      </w:r>
      <w:r w:rsidRPr="004F3875">
        <w:rPr>
          <w:i/>
          <w:iCs/>
          <w:highlight w:val="yellow"/>
        </w:rPr>
        <w:t xml:space="preserve">Staff Transfer At </w:t>
      </w:r>
      <w:r>
        <w:rPr>
          <w:i/>
          <w:iCs/>
          <w:highlight w:val="yellow"/>
        </w:rPr>
        <w:t>Operational Commencement</w:t>
      </w:r>
      <w:r w:rsidRPr="004F3875">
        <w:rPr>
          <w:i/>
          <w:iCs/>
          <w:highlight w:val="yellow"/>
        </w:rPr>
        <w:t xml:space="preserve"> Date – Outsourcing From the Authority</w:t>
      </w:r>
      <w:r w:rsidRPr="00025910">
        <w:rPr>
          <w:highlight w:val="yellow"/>
        </w:rPr>
        <w:t>)]</w:t>
      </w:r>
    </w:p>
    <w:p w14:paraId="51F2A92E" w14:textId="026011EE" w:rsidR="00F67E9E" w:rsidRPr="00025910" w:rsidRDefault="00F67E9E" w:rsidP="00F67E9E">
      <w:pPr>
        <w:pStyle w:val="Numbered111"/>
        <w:rPr>
          <w:highlight w:val="yellow"/>
        </w:rPr>
      </w:pPr>
      <w:r w:rsidRPr="00025910">
        <w:rPr>
          <w:highlight w:val="yellow"/>
        </w:rPr>
        <w:t>[</w:t>
      </w:r>
      <w:r w:rsidRPr="00025910">
        <w:rPr>
          <w:rFonts w:eastAsia="Calibri"/>
          <w:bCs/>
          <w:highlight w:val="yellow"/>
        </w:rPr>
        <w:fldChar w:fldCharType="begin"/>
      </w:r>
      <w:r w:rsidRPr="00025910">
        <w:rPr>
          <w:rFonts w:eastAsia="Calibri"/>
          <w:bCs/>
          <w:highlight w:val="yellow"/>
        </w:rPr>
        <w:instrText xml:space="preserve"> REF Sch28PartB \h  \* MERGEFORMAT </w:instrText>
      </w:r>
      <w:r w:rsidRPr="00025910">
        <w:rPr>
          <w:rFonts w:eastAsia="Calibri"/>
          <w:bCs/>
          <w:highlight w:val="yellow"/>
        </w:rPr>
      </w:r>
      <w:r w:rsidRPr="00025910">
        <w:rPr>
          <w:rFonts w:eastAsia="Calibri"/>
          <w:bCs/>
          <w:highlight w:val="yellow"/>
        </w:rPr>
        <w:fldChar w:fldCharType="separate"/>
      </w:r>
      <w:r w:rsidR="00302D39" w:rsidRPr="00302D39">
        <w:rPr>
          <w:bCs/>
          <w:highlight w:val="yellow"/>
        </w:rPr>
        <w:t>Part B</w:t>
      </w:r>
      <w:r w:rsidRPr="00025910">
        <w:rPr>
          <w:rFonts w:eastAsia="Calibri"/>
          <w:bCs/>
          <w:highlight w:val="yellow"/>
        </w:rPr>
        <w:fldChar w:fldCharType="end"/>
      </w:r>
      <w:r w:rsidRPr="00025910">
        <w:rPr>
          <w:highlight w:val="yellow"/>
        </w:rPr>
        <w:t xml:space="preserve"> (</w:t>
      </w:r>
      <w:r w:rsidRPr="004F3875">
        <w:rPr>
          <w:i/>
          <w:iCs/>
          <w:highlight w:val="yellow"/>
        </w:rPr>
        <w:t xml:space="preserve">Staff Transfer At </w:t>
      </w:r>
      <w:r>
        <w:rPr>
          <w:i/>
          <w:iCs/>
          <w:highlight w:val="yellow"/>
        </w:rPr>
        <w:t>Operational Commencement</w:t>
      </w:r>
      <w:r w:rsidRPr="004F3875">
        <w:rPr>
          <w:i/>
          <w:iCs/>
          <w:highlight w:val="yellow"/>
        </w:rPr>
        <w:t xml:space="preserve"> Date – Transfer From Former Supplier</w:t>
      </w:r>
      <w:r w:rsidRPr="00025910">
        <w:rPr>
          <w:highlight w:val="yellow"/>
        </w:rPr>
        <w:t>)]</w:t>
      </w:r>
    </w:p>
    <w:p w14:paraId="65513023" w14:textId="5798CF0B" w:rsidR="00F67E9E" w:rsidRPr="00025910" w:rsidRDefault="00F67E9E" w:rsidP="00F67E9E">
      <w:pPr>
        <w:pStyle w:val="Numbered111"/>
        <w:rPr>
          <w:highlight w:val="yellow"/>
        </w:rPr>
      </w:pPr>
      <w:r w:rsidRPr="00025910">
        <w:rPr>
          <w:highlight w:val="yellow"/>
        </w:rPr>
        <w:t>[</w:t>
      </w:r>
      <w:r w:rsidRPr="00025910">
        <w:rPr>
          <w:highlight w:val="yellow"/>
        </w:rPr>
        <w:fldChar w:fldCharType="begin"/>
      </w:r>
      <w:r w:rsidRPr="00025910">
        <w:rPr>
          <w:highlight w:val="yellow"/>
        </w:rPr>
        <w:instrText xml:space="preserve"> REF Sch28PartC \h  \* MERGEFORMAT </w:instrText>
      </w:r>
      <w:r w:rsidRPr="00025910">
        <w:rPr>
          <w:highlight w:val="yellow"/>
        </w:rPr>
      </w:r>
      <w:r w:rsidRPr="00025910">
        <w:rPr>
          <w:highlight w:val="yellow"/>
        </w:rPr>
        <w:fldChar w:fldCharType="separate"/>
      </w:r>
      <w:r w:rsidR="00302D39" w:rsidRPr="00302D39">
        <w:rPr>
          <w:highlight w:val="yellow"/>
        </w:rPr>
        <w:t>Part C</w:t>
      </w:r>
      <w:r w:rsidRPr="00025910">
        <w:rPr>
          <w:highlight w:val="yellow"/>
        </w:rPr>
        <w:fldChar w:fldCharType="end"/>
      </w:r>
      <w:r w:rsidRPr="00025910">
        <w:rPr>
          <w:highlight w:val="yellow"/>
        </w:rPr>
        <w:t xml:space="preserve"> (</w:t>
      </w:r>
      <w:r w:rsidRPr="004F3875">
        <w:rPr>
          <w:i/>
          <w:iCs/>
          <w:highlight w:val="yellow"/>
        </w:rPr>
        <w:t xml:space="preserve">No Staff Transfer On </w:t>
      </w:r>
      <w:r>
        <w:rPr>
          <w:i/>
          <w:iCs/>
          <w:highlight w:val="yellow"/>
        </w:rPr>
        <w:t>Operational Commencement</w:t>
      </w:r>
      <w:r w:rsidRPr="004F3875">
        <w:rPr>
          <w:i/>
          <w:iCs/>
          <w:highlight w:val="yellow"/>
        </w:rPr>
        <w:t xml:space="preserve"> Date</w:t>
      </w:r>
      <w:r w:rsidRPr="00025910">
        <w:rPr>
          <w:highlight w:val="yellow"/>
        </w:rPr>
        <w:t>)]</w:t>
      </w:r>
    </w:p>
    <w:p w14:paraId="76B0942A" w14:textId="25A2BBAE" w:rsidR="00F67E9E" w:rsidRPr="00025910" w:rsidRDefault="00F67E9E" w:rsidP="00F67E9E">
      <w:pPr>
        <w:pStyle w:val="Numbered111"/>
        <w:rPr>
          <w:highlight w:val="yellow"/>
        </w:rPr>
      </w:pPr>
      <w:r w:rsidRPr="00025910">
        <w:rPr>
          <w:highlight w:val="yellow"/>
        </w:rPr>
        <w:t>[</w:t>
      </w:r>
      <w:r w:rsidRPr="00025910">
        <w:rPr>
          <w:highlight w:val="yellow"/>
        </w:rPr>
        <w:fldChar w:fldCharType="begin"/>
      </w:r>
      <w:r w:rsidRPr="00025910">
        <w:rPr>
          <w:highlight w:val="yellow"/>
        </w:rPr>
        <w:instrText xml:space="preserve"> REF Sch28PartD \h  \* MERGEFORMAT </w:instrText>
      </w:r>
      <w:r w:rsidRPr="00025910">
        <w:rPr>
          <w:highlight w:val="yellow"/>
        </w:rPr>
      </w:r>
      <w:r w:rsidRPr="00025910">
        <w:rPr>
          <w:highlight w:val="yellow"/>
        </w:rPr>
        <w:fldChar w:fldCharType="separate"/>
      </w:r>
      <w:r w:rsidR="00302D39" w:rsidRPr="00302D39">
        <w:rPr>
          <w:rFonts w:eastAsia="Calibri"/>
          <w:highlight w:val="yellow"/>
        </w:rPr>
        <w:t>Part D</w:t>
      </w:r>
      <w:r w:rsidRPr="00025910">
        <w:rPr>
          <w:highlight w:val="yellow"/>
        </w:rPr>
        <w:fldChar w:fldCharType="end"/>
      </w:r>
      <w:r w:rsidRPr="00025910">
        <w:rPr>
          <w:highlight w:val="yellow"/>
        </w:rPr>
        <w:t xml:space="preserve"> (</w:t>
      </w:r>
      <w:r w:rsidRPr="004F3875">
        <w:rPr>
          <w:i/>
          <w:iCs/>
          <w:highlight w:val="yellow"/>
        </w:rPr>
        <w:t>Pensions</w:t>
      </w:r>
      <w:r w:rsidRPr="00025910">
        <w:rPr>
          <w:highlight w:val="yellow"/>
        </w:rPr>
        <w:t>)]</w:t>
      </w:r>
    </w:p>
    <w:p w14:paraId="6F310D36" w14:textId="4AA0C4AB" w:rsidR="00F67E9E" w:rsidRPr="00496A26" w:rsidRDefault="00F67E9E" w:rsidP="00F67E9E">
      <w:pPr>
        <w:pStyle w:val="Numbered111a"/>
        <w:rPr>
          <w:highlight w:val="yellow"/>
        </w:rPr>
      </w:pPr>
      <w:r w:rsidRPr="00496A26">
        <w:rPr>
          <w:highlight w:val="yellow"/>
        </w:rPr>
        <w:t xml:space="preserve">[ - Annex </w:t>
      </w:r>
      <w:r w:rsidRPr="00496A26">
        <w:rPr>
          <w:highlight w:val="yellow"/>
        </w:rPr>
        <w:fldChar w:fldCharType="begin"/>
      </w:r>
      <w:r w:rsidRPr="00496A26">
        <w:rPr>
          <w:highlight w:val="yellow"/>
        </w:rPr>
        <w:instrText xml:space="preserve"> REF ANNEXD1_SCHEDULE28 \h  \* MERGEFORMAT </w:instrText>
      </w:r>
      <w:r w:rsidRPr="00496A26">
        <w:rPr>
          <w:highlight w:val="yellow"/>
        </w:rPr>
      </w:r>
      <w:r w:rsidRPr="00496A26">
        <w:rPr>
          <w:highlight w:val="yellow"/>
        </w:rPr>
        <w:fldChar w:fldCharType="separate"/>
      </w:r>
      <w:r w:rsidR="00302D39" w:rsidRPr="00302D39">
        <w:rPr>
          <w:highlight w:val="yellow"/>
        </w:rPr>
        <w:t>D1</w:t>
      </w:r>
      <w:r w:rsidRPr="00496A26">
        <w:rPr>
          <w:highlight w:val="yellow"/>
        </w:rPr>
        <w:fldChar w:fldCharType="end"/>
      </w:r>
      <w:r w:rsidRPr="00496A26">
        <w:rPr>
          <w:highlight w:val="yellow"/>
        </w:rPr>
        <w:t xml:space="preserve"> (</w:t>
      </w:r>
      <w:r w:rsidRPr="00496A26">
        <w:rPr>
          <w:i/>
          <w:iCs/>
          <w:highlight w:val="yellow"/>
        </w:rPr>
        <w:fldChar w:fldCharType="begin"/>
      </w:r>
      <w:r w:rsidRPr="00496A26">
        <w:rPr>
          <w:i/>
          <w:iCs/>
          <w:highlight w:val="yellow"/>
        </w:rPr>
        <w:instrText xml:space="preserve"> REF ANNEXD1HEADING_SCHEDULE28 \h  \* MERGEFORMAT </w:instrText>
      </w:r>
      <w:r w:rsidRPr="00496A26">
        <w:rPr>
          <w:i/>
          <w:iCs/>
          <w:highlight w:val="yellow"/>
        </w:rPr>
      </w:r>
      <w:r w:rsidRPr="00496A26">
        <w:rPr>
          <w:i/>
          <w:iCs/>
          <w:highlight w:val="yellow"/>
        </w:rPr>
        <w:fldChar w:fldCharType="separate"/>
      </w:r>
      <w:r w:rsidR="00302D39" w:rsidRPr="00302D39">
        <w:rPr>
          <w:i/>
          <w:iCs/>
          <w:highlight w:val="yellow"/>
        </w:rPr>
        <w:t>CSPS</w:t>
      </w:r>
      <w:r w:rsidRPr="00496A26">
        <w:rPr>
          <w:i/>
          <w:iCs/>
          <w:highlight w:val="yellow"/>
        </w:rPr>
        <w:fldChar w:fldCharType="end"/>
      </w:r>
      <w:r w:rsidRPr="00496A26">
        <w:rPr>
          <w:highlight w:val="yellow"/>
        </w:rPr>
        <w:t xml:space="preserve">) </w:t>
      </w:r>
      <w:r w:rsidRPr="00496A26">
        <w:rPr>
          <w:highlight w:val="yellow"/>
        </w:rPr>
        <w:tab/>
      </w:r>
      <w:r w:rsidRPr="00496A26">
        <w:rPr>
          <w:highlight w:val="yellow"/>
        </w:rPr>
        <w:tab/>
      </w:r>
      <w:r w:rsidRPr="00496A26">
        <w:rPr>
          <w:highlight w:val="yellow"/>
        </w:rPr>
        <w:tab/>
        <w:t>]</w:t>
      </w:r>
    </w:p>
    <w:p w14:paraId="47D4B77E" w14:textId="1DF06741" w:rsidR="00F67E9E" w:rsidRPr="00025910" w:rsidRDefault="00F67E9E" w:rsidP="00F67E9E">
      <w:pPr>
        <w:pStyle w:val="Numbered111a"/>
        <w:rPr>
          <w:highlight w:val="yellow"/>
        </w:rPr>
      </w:pPr>
      <w:r w:rsidRPr="00025910">
        <w:rPr>
          <w:highlight w:val="yellow"/>
        </w:rPr>
        <w:t xml:space="preserve">[ - Annex </w:t>
      </w:r>
      <w:r w:rsidRPr="00025910">
        <w:rPr>
          <w:highlight w:val="yellow"/>
        </w:rPr>
        <w:fldChar w:fldCharType="begin"/>
      </w:r>
      <w:r w:rsidRPr="00025910">
        <w:rPr>
          <w:highlight w:val="yellow"/>
        </w:rPr>
        <w:instrText xml:space="preserve"> REF ANNEXD2_SCHEDULE28 \h  \* MERGEFORMAT </w:instrText>
      </w:r>
      <w:r w:rsidRPr="00025910">
        <w:rPr>
          <w:highlight w:val="yellow"/>
        </w:rPr>
      </w:r>
      <w:r w:rsidRPr="00025910">
        <w:rPr>
          <w:highlight w:val="yellow"/>
        </w:rPr>
        <w:fldChar w:fldCharType="separate"/>
      </w:r>
      <w:r w:rsidR="00302D39" w:rsidRPr="00302D39">
        <w:rPr>
          <w:highlight w:val="yellow"/>
        </w:rPr>
        <w:t>D2</w:t>
      </w:r>
      <w:r w:rsidRPr="00025910">
        <w:rPr>
          <w:highlight w:val="yellow"/>
        </w:rPr>
        <w:fldChar w:fldCharType="end"/>
      </w:r>
      <w:r w:rsidRPr="00025910">
        <w:rPr>
          <w:highlight w:val="yellow"/>
        </w:rPr>
        <w:t xml:space="preserve"> (</w:t>
      </w:r>
      <w:r w:rsidRPr="00025910">
        <w:rPr>
          <w:i/>
          <w:iCs/>
          <w:highlight w:val="yellow"/>
        </w:rPr>
        <w:fldChar w:fldCharType="begin"/>
      </w:r>
      <w:r w:rsidRPr="00025910">
        <w:rPr>
          <w:i/>
          <w:iCs/>
          <w:highlight w:val="yellow"/>
        </w:rPr>
        <w:instrText xml:space="preserve"> REF ANNEXD2HEADING_SCHEDULE28 \h  \* MERGEFORMAT </w:instrText>
      </w:r>
      <w:r w:rsidRPr="00025910">
        <w:rPr>
          <w:i/>
          <w:iCs/>
          <w:highlight w:val="yellow"/>
        </w:rPr>
      </w:r>
      <w:r w:rsidRPr="00025910">
        <w:rPr>
          <w:i/>
          <w:iCs/>
          <w:highlight w:val="yellow"/>
        </w:rPr>
        <w:fldChar w:fldCharType="separate"/>
      </w:r>
      <w:r w:rsidR="00302D39" w:rsidRPr="00302D39">
        <w:rPr>
          <w:i/>
          <w:iCs/>
          <w:highlight w:val="yellow"/>
        </w:rPr>
        <w:t>NHSPS</w:t>
      </w:r>
      <w:r w:rsidRPr="00025910">
        <w:rPr>
          <w:i/>
          <w:iCs/>
          <w:highlight w:val="yellow"/>
        </w:rPr>
        <w:fldChar w:fldCharType="end"/>
      </w:r>
      <w:r w:rsidRPr="00025910">
        <w:rPr>
          <w:highlight w:val="yellow"/>
        </w:rPr>
        <w:t xml:space="preserve">) </w:t>
      </w:r>
      <w:r w:rsidRPr="00025910">
        <w:rPr>
          <w:highlight w:val="yellow"/>
        </w:rPr>
        <w:tab/>
      </w:r>
      <w:r w:rsidRPr="00025910">
        <w:rPr>
          <w:highlight w:val="yellow"/>
        </w:rPr>
        <w:tab/>
      </w:r>
      <w:r w:rsidRPr="00025910">
        <w:rPr>
          <w:highlight w:val="yellow"/>
        </w:rPr>
        <w:tab/>
        <w:t>]</w:t>
      </w:r>
    </w:p>
    <w:p w14:paraId="469045BF" w14:textId="2AB5977E" w:rsidR="00F67E9E" w:rsidRPr="00025910" w:rsidRDefault="00F67E9E" w:rsidP="00F67E9E">
      <w:pPr>
        <w:pStyle w:val="Numbered111a"/>
        <w:rPr>
          <w:highlight w:val="yellow"/>
        </w:rPr>
      </w:pPr>
      <w:r w:rsidRPr="00025910">
        <w:rPr>
          <w:highlight w:val="yellow"/>
        </w:rPr>
        <w:t xml:space="preserve">[ - Annex </w:t>
      </w:r>
      <w:r w:rsidRPr="00025910">
        <w:rPr>
          <w:highlight w:val="yellow"/>
        </w:rPr>
        <w:fldChar w:fldCharType="begin"/>
      </w:r>
      <w:r w:rsidRPr="00025910">
        <w:rPr>
          <w:highlight w:val="yellow"/>
        </w:rPr>
        <w:instrText xml:space="preserve"> REF ANNEXD3_SCHEDULE28 \h  \* MERGEFORMAT </w:instrText>
      </w:r>
      <w:r w:rsidRPr="00025910">
        <w:rPr>
          <w:highlight w:val="yellow"/>
        </w:rPr>
      </w:r>
      <w:r w:rsidRPr="00025910">
        <w:rPr>
          <w:highlight w:val="yellow"/>
        </w:rPr>
        <w:fldChar w:fldCharType="separate"/>
      </w:r>
      <w:r w:rsidR="00302D39" w:rsidRPr="00302D39">
        <w:rPr>
          <w:highlight w:val="yellow"/>
        </w:rPr>
        <w:t>D3</w:t>
      </w:r>
      <w:r w:rsidRPr="00025910">
        <w:rPr>
          <w:highlight w:val="yellow"/>
        </w:rPr>
        <w:fldChar w:fldCharType="end"/>
      </w:r>
      <w:r w:rsidRPr="00025910">
        <w:rPr>
          <w:highlight w:val="yellow"/>
        </w:rPr>
        <w:t xml:space="preserve"> (</w:t>
      </w:r>
      <w:r w:rsidRPr="00025910">
        <w:rPr>
          <w:i/>
          <w:iCs/>
          <w:highlight w:val="yellow"/>
        </w:rPr>
        <w:fldChar w:fldCharType="begin"/>
      </w:r>
      <w:r w:rsidRPr="00025910">
        <w:rPr>
          <w:i/>
          <w:iCs/>
          <w:highlight w:val="yellow"/>
        </w:rPr>
        <w:instrText xml:space="preserve"> REF ANNEXD3HEADING_SCHEDULE28 \h  \* MERGEFORMAT </w:instrText>
      </w:r>
      <w:r w:rsidRPr="00025910">
        <w:rPr>
          <w:i/>
          <w:iCs/>
          <w:highlight w:val="yellow"/>
        </w:rPr>
      </w:r>
      <w:r w:rsidRPr="00025910">
        <w:rPr>
          <w:i/>
          <w:iCs/>
          <w:highlight w:val="yellow"/>
        </w:rPr>
        <w:fldChar w:fldCharType="separate"/>
      </w:r>
      <w:r w:rsidR="00302D39" w:rsidRPr="00302D39">
        <w:rPr>
          <w:i/>
          <w:iCs/>
          <w:highlight w:val="yellow"/>
        </w:rPr>
        <w:t>LGPS</w:t>
      </w:r>
      <w:r w:rsidRPr="00025910">
        <w:rPr>
          <w:i/>
          <w:iCs/>
          <w:highlight w:val="yellow"/>
        </w:rPr>
        <w:fldChar w:fldCharType="end"/>
      </w:r>
      <w:r w:rsidRPr="00025910">
        <w:rPr>
          <w:highlight w:val="yellow"/>
        </w:rPr>
        <w:t>)</w:t>
      </w:r>
      <w:r w:rsidRPr="00025910">
        <w:rPr>
          <w:highlight w:val="yellow"/>
        </w:rPr>
        <w:tab/>
      </w:r>
      <w:r w:rsidRPr="00025910">
        <w:rPr>
          <w:highlight w:val="yellow"/>
        </w:rPr>
        <w:tab/>
      </w:r>
      <w:r w:rsidRPr="00025910">
        <w:rPr>
          <w:highlight w:val="yellow"/>
        </w:rPr>
        <w:tab/>
        <w:t>]</w:t>
      </w:r>
    </w:p>
    <w:p w14:paraId="27D09C96" w14:textId="0D24E6A5" w:rsidR="00F67E9E" w:rsidRPr="00025910" w:rsidRDefault="00F67E9E" w:rsidP="00F67E9E">
      <w:pPr>
        <w:pStyle w:val="Numbered111a"/>
        <w:rPr>
          <w:highlight w:val="yellow"/>
        </w:rPr>
      </w:pPr>
      <w:r w:rsidRPr="00025910">
        <w:rPr>
          <w:highlight w:val="yellow"/>
        </w:rPr>
        <w:t xml:space="preserve">[ - Annex </w:t>
      </w:r>
      <w:r w:rsidRPr="00025910">
        <w:rPr>
          <w:highlight w:val="yellow"/>
        </w:rPr>
        <w:fldChar w:fldCharType="begin"/>
      </w:r>
      <w:r w:rsidRPr="00025910">
        <w:rPr>
          <w:highlight w:val="yellow"/>
        </w:rPr>
        <w:instrText xml:space="preserve"> REF ANNEXD4_SCHEDULE28 \h  \* MERGEFORMAT </w:instrText>
      </w:r>
      <w:r w:rsidRPr="00025910">
        <w:rPr>
          <w:highlight w:val="yellow"/>
        </w:rPr>
      </w:r>
      <w:r w:rsidRPr="00025910">
        <w:rPr>
          <w:highlight w:val="yellow"/>
        </w:rPr>
        <w:fldChar w:fldCharType="separate"/>
      </w:r>
      <w:r w:rsidR="00302D39" w:rsidRPr="00302D39">
        <w:rPr>
          <w:highlight w:val="yellow"/>
        </w:rPr>
        <w:t>D4</w:t>
      </w:r>
      <w:r w:rsidRPr="00025910">
        <w:rPr>
          <w:highlight w:val="yellow"/>
        </w:rPr>
        <w:fldChar w:fldCharType="end"/>
      </w:r>
      <w:r w:rsidRPr="00025910">
        <w:rPr>
          <w:highlight w:val="yellow"/>
        </w:rPr>
        <w:t xml:space="preserve"> (</w:t>
      </w:r>
      <w:r w:rsidRPr="00025910">
        <w:rPr>
          <w:highlight w:val="yellow"/>
        </w:rPr>
        <w:fldChar w:fldCharType="begin"/>
      </w:r>
      <w:r w:rsidRPr="00025910">
        <w:rPr>
          <w:highlight w:val="yellow"/>
        </w:rPr>
        <w:instrText xml:space="preserve"> REF  ANNEXD4HEADING_SCHEDULE28 \* Caps \h  \* MERGEFORMAT </w:instrText>
      </w:r>
      <w:r w:rsidRPr="00025910">
        <w:rPr>
          <w:highlight w:val="yellow"/>
        </w:rPr>
      </w:r>
      <w:r w:rsidRPr="00025910">
        <w:rPr>
          <w:highlight w:val="yellow"/>
        </w:rPr>
        <w:fldChar w:fldCharType="separate"/>
      </w:r>
      <w:r w:rsidR="00302D39" w:rsidRPr="00302D39">
        <w:rPr>
          <w:highlight w:val="yellow"/>
        </w:rPr>
        <w:t>Other Schemes</w:t>
      </w:r>
      <w:r w:rsidRPr="00025910">
        <w:rPr>
          <w:highlight w:val="yellow"/>
        </w:rPr>
        <w:fldChar w:fldCharType="end"/>
      </w:r>
      <w:r w:rsidRPr="00025910">
        <w:rPr>
          <w:highlight w:val="yellow"/>
        </w:rPr>
        <w:t>)</w:t>
      </w:r>
      <w:r w:rsidRPr="00025910">
        <w:rPr>
          <w:highlight w:val="yellow"/>
        </w:rPr>
        <w:tab/>
      </w:r>
      <w:r w:rsidRPr="00025910">
        <w:rPr>
          <w:highlight w:val="yellow"/>
        </w:rPr>
        <w:tab/>
        <w:t>]</w:t>
      </w:r>
    </w:p>
    <w:p w14:paraId="0913E510" w14:textId="65007151" w:rsidR="00F67E9E" w:rsidRPr="00342569" w:rsidRDefault="00F67E9E" w:rsidP="00F67E9E">
      <w:pPr>
        <w:pStyle w:val="Numbered111"/>
      </w:pPr>
      <w:r w:rsidRPr="00025910">
        <w:fldChar w:fldCharType="begin"/>
      </w:r>
      <w:r w:rsidRPr="00025910">
        <w:instrText xml:space="preserve"> REF Sch28PartE \h  \* MERGEFORMAT </w:instrText>
      </w:r>
      <w:r w:rsidRPr="00025910">
        <w:fldChar w:fldCharType="separate"/>
      </w:r>
      <w:r w:rsidR="00302D39" w:rsidRPr="00302D39">
        <w:t>Part E</w:t>
      </w:r>
      <w:r w:rsidRPr="00025910">
        <w:fldChar w:fldCharType="end"/>
      </w:r>
      <w:r>
        <w:t xml:space="preserve"> (</w:t>
      </w:r>
      <w:r w:rsidRPr="00BB0C30">
        <w:rPr>
          <w:i/>
          <w:iCs/>
        </w:rPr>
        <w:t>Employment Exit Provisions</w:t>
      </w:r>
      <w:r w:rsidRPr="00025910">
        <w:t>)</w:t>
      </w:r>
      <w:r>
        <w:t xml:space="preserve"> </w:t>
      </w:r>
      <w:r w:rsidRPr="00342569">
        <w:t>of this Schedule will always apply to this Contract, including:</w:t>
      </w:r>
    </w:p>
    <w:p w14:paraId="5B473DA0" w14:textId="3749AFD8" w:rsidR="00F67E9E" w:rsidRPr="00025910" w:rsidRDefault="00F67E9E" w:rsidP="00F67E9E">
      <w:pPr>
        <w:pStyle w:val="Numbered111a"/>
      </w:pPr>
      <w:r w:rsidRPr="00025910">
        <w:t xml:space="preserve">Annex </w:t>
      </w:r>
      <w:r w:rsidRPr="00025910">
        <w:fldChar w:fldCharType="begin"/>
      </w:r>
      <w:r w:rsidRPr="00025910">
        <w:instrText xml:space="preserve"> REF ANNEXE1_SCHEDULE28 \h </w:instrText>
      </w:r>
      <w:r>
        <w:instrText xml:space="preserve"> \* MERGEFORMAT </w:instrText>
      </w:r>
      <w:r w:rsidRPr="00025910">
        <w:fldChar w:fldCharType="separate"/>
      </w:r>
      <w:r w:rsidR="00302D39" w:rsidRPr="00025910">
        <w:t>E1</w:t>
      </w:r>
      <w:r w:rsidRPr="00025910">
        <w:fldChar w:fldCharType="end"/>
      </w:r>
      <w:r w:rsidRPr="00025910">
        <w:t xml:space="preserve"> (</w:t>
      </w:r>
      <w:r w:rsidRPr="004F3875">
        <w:rPr>
          <w:i/>
          <w:iCs/>
        </w:rPr>
        <w:fldChar w:fldCharType="begin"/>
      </w:r>
      <w:r w:rsidRPr="004F3875">
        <w:rPr>
          <w:i/>
          <w:iCs/>
        </w:rPr>
        <w:instrText xml:space="preserve"> REF  ANNEXE1HEADING_SCHEDULE28 \* Caps \h  \* MERGEFORMAT </w:instrText>
      </w:r>
      <w:r w:rsidRPr="004F3875">
        <w:rPr>
          <w:i/>
          <w:iCs/>
        </w:rPr>
      </w:r>
      <w:r w:rsidRPr="004F3875">
        <w:rPr>
          <w:i/>
          <w:iCs/>
        </w:rPr>
        <w:fldChar w:fldCharType="separate"/>
      </w:r>
      <w:r w:rsidR="00302D39" w:rsidRPr="00302D39">
        <w:rPr>
          <w:i/>
          <w:iCs/>
        </w:rPr>
        <w:t>List Of Notified Sub-Contractors</w:t>
      </w:r>
      <w:r w:rsidRPr="004F3875">
        <w:rPr>
          <w:i/>
          <w:iCs/>
        </w:rPr>
        <w:fldChar w:fldCharType="end"/>
      </w:r>
      <w:r w:rsidRPr="00025910">
        <w:t>)</w:t>
      </w:r>
    </w:p>
    <w:p w14:paraId="57140069" w14:textId="7CDED88A" w:rsidR="00F67E9E" w:rsidRPr="00EE5678" w:rsidRDefault="00F67E9E" w:rsidP="00F67E9E">
      <w:pPr>
        <w:pStyle w:val="Numbered111a"/>
      </w:pPr>
      <w:r w:rsidRPr="00EE5678">
        <w:t xml:space="preserve">Annex </w:t>
      </w:r>
      <w:r>
        <w:fldChar w:fldCharType="begin"/>
      </w:r>
      <w:r>
        <w:instrText xml:space="preserve"> REF ANNEXE2_SCHEDULE28 \h </w:instrText>
      </w:r>
      <w:r>
        <w:fldChar w:fldCharType="separate"/>
      </w:r>
      <w:r w:rsidR="00302D39" w:rsidRPr="00025910">
        <w:t>E2</w:t>
      </w:r>
      <w:r>
        <w:fldChar w:fldCharType="end"/>
      </w:r>
      <w:r w:rsidRPr="00EE5678">
        <w:t xml:space="preserve"> (</w:t>
      </w:r>
      <w:r w:rsidRPr="004F3875">
        <w:rPr>
          <w:i/>
          <w:iCs/>
        </w:rPr>
        <w:fldChar w:fldCharType="begin"/>
      </w:r>
      <w:r w:rsidRPr="004F3875">
        <w:rPr>
          <w:i/>
          <w:iCs/>
        </w:rPr>
        <w:instrText xml:space="preserve"> REF  ANNEXE2HEADING_SCHEDULE28 \* Caps \h  \* MERGEFORMAT </w:instrText>
      </w:r>
      <w:r w:rsidRPr="004F3875">
        <w:rPr>
          <w:i/>
          <w:iCs/>
        </w:rPr>
      </w:r>
      <w:r w:rsidRPr="004F3875">
        <w:rPr>
          <w:i/>
          <w:iCs/>
        </w:rPr>
        <w:fldChar w:fldCharType="separate"/>
      </w:r>
      <w:r w:rsidR="00302D39" w:rsidRPr="00302D39">
        <w:rPr>
          <w:i/>
          <w:iCs/>
        </w:rPr>
        <w:t>Staffing Information</w:t>
      </w:r>
      <w:r w:rsidRPr="004F3875">
        <w:rPr>
          <w:i/>
          <w:iCs/>
        </w:rPr>
        <w:fldChar w:fldCharType="end"/>
      </w:r>
      <w:r w:rsidRPr="00EE5678">
        <w:t>)</w:t>
      </w:r>
      <w:r>
        <w:t>.</w:t>
      </w:r>
    </w:p>
    <w:p w14:paraId="35609B74" w14:textId="77777777" w:rsidR="00F67E9E" w:rsidRDefault="00F67E9E" w:rsidP="00F67E9E">
      <w:pPr>
        <w:rPr>
          <w:rFonts w:eastAsia="Times New Roman" w:cs="Arial"/>
          <w:szCs w:val="24"/>
          <w:lang w:eastAsia="en-GB"/>
        </w:rPr>
      </w:pPr>
    </w:p>
    <w:p w14:paraId="56388CC7" w14:textId="77777777" w:rsidR="00F67E9E" w:rsidRDefault="00F67E9E" w:rsidP="00F67E9E">
      <w:pPr>
        <w:pStyle w:val="Heading2"/>
        <w:pageBreakBefore/>
      </w:pPr>
      <w:bookmarkStart w:id="2395" w:name="Sch28PartA"/>
      <w:bookmarkStart w:id="2396" w:name="_Ref_ContractCompanion_9kb9Ut225"/>
      <w:bookmarkStart w:id="2397" w:name="_9kR3WTr29B7FOiJfifw5qFQKjPyIc7P74NG3GUM"/>
      <w:bookmarkStart w:id="2398" w:name="_Toc141711985"/>
      <w:r w:rsidRPr="000038E2">
        <w:t xml:space="preserve">Part </w:t>
      </w:r>
      <w:r w:rsidRPr="00FA4BBC">
        <w:t>A</w:t>
      </w:r>
      <w:bookmarkEnd w:id="2395"/>
      <w:r w:rsidRPr="00FA4BBC">
        <w:t xml:space="preserve">: Transferring Authority Employees </w:t>
      </w:r>
      <w:r>
        <w:t>a</w:t>
      </w:r>
      <w:r w:rsidRPr="00FA4BBC">
        <w:t xml:space="preserve">t Commencement </w:t>
      </w:r>
      <w:r>
        <w:t>o</w:t>
      </w:r>
      <w:r w:rsidRPr="00FA4BBC">
        <w:t>f Services</w:t>
      </w:r>
      <w:bookmarkEnd w:id="2396"/>
      <w:bookmarkEnd w:id="2397"/>
      <w:bookmarkEnd w:id="2398"/>
    </w:p>
    <w:p w14:paraId="527D8DC0" w14:textId="77777777" w:rsidR="00F67E9E" w:rsidRPr="00A30540" w:rsidRDefault="00F67E9E" w:rsidP="00F67E9E">
      <w:pPr>
        <w:pStyle w:val="AppendixText1"/>
        <w:numPr>
          <w:ilvl w:val="0"/>
          <w:numId w:val="75"/>
        </w:numPr>
        <w:rPr>
          <w:color w:val="1F497D"/>
        </w:rPr>
      </w:pPr>
      <w:r w:rsidRPr="00A30540">
        <w:rPr>
          <w:color w:val="1F497D"/>
        </w:rPr>
        <w:t>Relevant Transfers</w:t>
      </w:r>
    </w:p>
    <w:p w14:paraId="35B3E853" w14:textId="77777777" w:rsidR="00F67E9E" w:rsidRPr="00CD4FDC" w:rsidRDefault="00F67E9E" w:rsidP="00F67E9E">
      <w:pPr>
        <w:pStyle w:val="AppendixText2"/>
      </w:pPr>
      <w:r w:rsidRPr="00CD4FDC">
        <w:t xml:space="preserve">The Authority and the </w:t>
      </w:r>
      <w:r w:rsidRPr="00A30540">
        <w:t>Supplier</w:t>
      </w:r>
      <w:r w:rsidRPr="00CD4FDC">
        <w:t xml:space="preserve"> agree that:</w:t>
      </w:r>
    </w:p>
    <w:p w14:paraId="51E48F5E" w14:textId="77777777" w:rsidR="00F67E9E" w:rsidRPr="00A30540" w:rsidRDefault="00F67E9E" w:rsidP="00F67E9E">
      <w:pPr>
        <w:pStyle w:val="AppendixText3"/>
      </w:pPr>
      <w:r w:rsidRPr="00025910">
        <w:t xml:space="preserve">the commencement of the provision of the Services or of each relevant part of the Services will be a Relevant Transfer in relation to the Transferring Authority </w:t>
      </w:r>
      <w:r w:rsidRPr="00A30540">
        <w:t>Employees; and</w:t>
      </w:r>
    </w:p>
    <w:p w14:paraId="485CF379" w14:textId="77777777" w:rsidR="00F67E9E" w:rsidRPr="00025910" w:rsidRDefault="00F67E9E" w:rsidP="00F67E9E">
      <w:pPr>
        <w:pStyle w:val="AppendixText3"/>
      </w:pPr>
      <w:r w:rsidRPr="00A30540">
        <w:t>as a result of the operation of the Employment Regulations, the contracts of employment between the Authority and the Transferring Authority Employees (except in rel</w:t>
      </w:r>
      <w:r w:rsidRPr="00025910">
        <w:t xml:space="preserve">ation to any terms disapplied through operation of </w:t>
      </w:r>
      <w:bookmarkStart w:id="2399" w:name="_9kR3WTr27987B3qgx3kt2y4IJL"/>
      <w:r w:rsidRPr="00025910">
        <w:t>regulation 10</w:t>
      </w:r>
      <w:bookmarkEnd w:id="2399"/>
      <w:r w:rsidRPr="00025910">
        <w:t xml:space="preserve"> of the Employment Regulations) will have effect on and from the Relevant Transfer Date as if originally made between the Supplier and/or any Notified Sub-contractor and each such Transferring Authority Employee.</w:t>
      </w:r>
    </w:p>
    <w:p w14:paraId="30F53922" w14:textId="77777777" w:rsidR="00F67E9E" w:rsidRPr="00025910" w:rsidRDefault="00F67E9E" w:rsidP="00F67E9E">
      <w:pPr>
        <w:pStyle w:val="AppendixText2"/>
      </w:pPr>
      <w:r w:rsidRPr="00025910">
        <w:t xml:space="preserve">The Authority shall comply with all its obligations under the Employment Regulations and shall perform and discharge all its obligations in respect of the Transferring Authority Employees in respect of the period arising up to (but </w:t>
      </w:r>
      <w:r w:rsidRPr="00A30540">
        <w:t>not</w:t>
      </w:r>
      <w:r w:rsidRPr="00025910">
        <w:t xml:space="preserve">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(i) the Authority; and (ii) the </w:t>
      </w:r>
      <w:r w:rsidRPr="00A30540">
        <w:t>Supplier</w:t>
      </w:r>
      <w:r w:rsidRPr="00025910">
        <w:t xml:space="preserve"> and/or any Notified Sub-contractor (as appropriate).</w:t>
      </w:r>
      <w:r>
        <w:t xml:space="preserve"> </w:t>
      </w:r>
    </w:p>
    <w:p w14:paraId="4A9D8E77" w14:textId="77777777" w:rsidR="00F67E9E" w:rsidRPr="00A30540" w:rsidRDefault="00F67E9E" w:rsidP="00F67E9E">
      <w:pPr>
        <w:pStyle w:val="AppendixText1"/>
        <w:numPr>
          <w:ilvl w:val="0"/>
          <w:numId w:val="75"/>
        </w:numPr>
        <w:rPr>
          <w:color w:val="1F497D"/>
        </w:rPr>
      </w:pPr>
      <w:r w:rsidRPr="00A30540">
        <w:rPr>
          <w:color w:val="1F497D"/>
        </w:rPr>
        <w:t>Authority Indemnities</w:t>
      </w:r>
    </w:p>
    <w:p w14:paraId="196F3F27" w14:textId="2B1E8202" w:rsidR="00F67E9E" w:rsidRPr="00025910" w:rsidRDefault="00F67E9E" w:rsidP="00F67E9E">
      <w:pPr>
        <w:pStyle w:val="AppendixText2"/>
      </w:pPr>
      <w:bookmarkStart w:id="2400" w:name="_Ref_ContractCompanion_9kb9UsAC9"/>
      <w:bookmarkStart w:id="2401" w:name="_9kR3WTrAG9EGFGBcdtjnhxFBiPyzp7219NWOH3X"/>
      <w:r w:rsidRPr="00025910">
        <w:t xml:space="preserve">Subject to </w:t>
      </w:r>
      <w:bookmarkStart w:id="2402" w:name="_9kMHG5YVtCIBGIEFEgTlnxtlv529Aw7C8qY78yG"/>
      <w:r w:rsidRPr="00025910">
        <w:t xml:space="preserve">Paragraph </w:t>
      </w:r>
      <w:r w:rsidRPr="00025910">
        <w:fldChar w:fldCharType="begin"/>
      </w:r>
      <w:r w:rsidRPr="00025910">
        <w:instrText xml:space="preserve"> REF _Ref_ContractCompanion_9kb9UsAC6 \n \h \t \* MERGEFORMAT </w:instrText>
      </w:r>
      <w:r w:rsidRPr="00025910">
        <w:fldChar w:fldCharType="separate"/>
      </w:r>
      <w:r w:rsidR="00302D39">
        <w:t>2.2</w:t>
      </w:r>
      <w:r w:rsidRPr="00025910">
        <w:fldChar w:fldCharType="end"/>
      </w:r>
      <w:bookmarkEnd w:id="2402"/>
      <w:r w:rsidRPr="00025910">
        <w:t>, the Authority shall indemnify the Supplier and any Notified Sub-contractor against any Employee Liabilities arising from or as a result of:</w:t>
      </w:r>
      <w:bookmarkEnd w:id="2400"/>
      <w:bookmarkEnd w:id="2401"/>
    </w:p>
    <w:p w14:paraId="5BD67F6D" w14:textId="77777777" w:rsidR="00F67E9E" w:rsidRPr="00A30540" w:rsidRDefault="00F67E9E" w:rsidP="00F67E9E">
      <w:pPr>
        <w:pStyle w:val="AppendixText3"/>
      </w:pPr>
      <w:r w:rsidRPr="00025910">
        <w:t xml:space="preserve">any act or omission by the Authority in respect of any Transferring Authority Employee or any appropriate employee representative (as defined in the Employment Regulations) of any Transferring Authority Employee occurring before </w:t>
      </w:r>
      <w:r w:rsidRPr="00A30540">
        <w:t>the Relevant Transfer Date;</w:t>
      </w:r>
    </w:p>
    <w:p w14:paraId="4EE364A5" w14:textId="77777777" w:rsidR="00F67E9E" w:rsidRPr="00025910" w:rsidRDefault="00F67E9E" w:rsidP="00F67E9E">
      <w:pPr>
        <w:pStyle w:val="AppendixText3"/>
      </w:pPr>
      <w:r w:rsidRPr="00A30540">
        <w:t>the breach</w:t>
      </w:r>
      <w:r w:rsidRPr="00025910">
        <w:t xml:space="preserve"> or non-observance by the Authority before the Relevant Transfer Date of:</w:t>
      </w:r>
    </w:p>
    <w:p w14:paraId="0498E4F0" w14:textId="77777777" w:rsidR="00F67E9E" w:rsidRPr="00A30540" w:rsidRDefault="00F67E9E" w:rsidP="00F67E9E">
      <w:pPr>
        <w:pStyle w:val="AppendixText4"/>
      </w:pPr>
      <w:r w:rsidRPr="00025910">
        <w:t xml:space="preserve">any collective agreement applicable to the Transferring Authority </w:t>
      </w:r>
      <w:r w:rsidRPr="00A30540">
        <w:t xml:space="preserve">Employees; and/or </w:t>
      </w:r>
    </w:p>
    <w:p w14:paraId="78937A3D" w14:textId="77777777" w:rsidR="00F67E9E" w:rsidRPr="00025910" w:rsidRDefault="00F67E9E" w:rsidP="00F67E9E">
      <w:pPr>
        <w:pStyle w:val="AppendixText4"/>
      </w:pPr>
      <w:r w:rsidRPr="00A30540">
        <w:t>any custo</w:t>
      </w:r>
      <w:r w:rsidRPr="00025910">
        <w:t>m or practice in respect of any Transferring Authority Employees which the Authority is contractually bound to honour;</w:t>
      </w:r>
    </w:p>
    <w:p w14:paraId="4CC5790F" w14:textId="77777777" w:rsidR="00F67E9E" w:rsidRPr="00025910" w:rsidRDefault="00F67E9E" w:rsidP="00F67E9E">
      <w:pPr>
        <w:pStyle w:val="AppendixText3"/>
      </w:pPr>
      <w:r w:rsidRPr="00025910">
        <w:t>any claim by any trade union or other body or person representing the Transferring Authority Employees arising from or connected with any failure by the Authority to comply with any legal obligation to such trade union, body or person arising before the Relevant Transfer Date;</w:t>
      </w:r>
    </w:p>
    <w:p w14:paraId="4EC21AE0" w14:textId="77777777" w:rsidR="00F67E9E" w:rsidRPr="00025910" w:rsidRDefault="00F67E9E" w:rsidP="00F67E9E">
      <w:pPr>
        <w:pStyle w:val="AppendixText3"/>
      </w:pPr>
      <w:r w:rsidRPr="00025910">
        <w:t>any proceeding, claim or demand by HMRC or other statutory authority in respect of any financial obligation including, but not limited to, PAYE and primary and secondary national insurance contributions:</w:t>
      </w:r>
    </w:p>
    <w:p w14:paraId="078DE8D5" w14:textId="77777777" w:rsidR="00F67E9E" w:rsidRPr="00025910" w:rsidRDefault="00F67E9E" w:rsidP="00F67E9E">
      <w:pPr>
        <w:pStyle w:val="AppendixText4"/>
      </w:pPr>
      <w:r w:rsidRPr="00025910">
        <w:t>in relation to any Transferring Authority Employee, to the extent that the proceeding, claim or demand by HMRC or other statutory authority relates to financial obligations arising before the Relevant Transfer Date; and</w:t>
      </w:r>
    </w:p>
    <w:p w14:paraId="6A29E49B" w14:textId="77777777" w:rsidR="00F67E9E" w:rsidRPr="00025910" w:rsidRDefault="00F67E9E" w:rsidP="00F67E9E">
      <w:pPr>
        <w:pStyle w:val="AppendixText4"/>
      </w:pPr>
      <w:r w:rsidRPr="00025910">
        <w:t>in relation to any employee who is not a Transferring Authority Employee and in respect of whom it is later alleged or determined that the Employment Regulations applied so as to transfer his/her employment from the Authority to the Supplier and/or any Notified Sub-contractor as appropriate, to the extent that the proceeding, claim or demand by the HMRC or other statutory authority relates to financial obligations arising before the Relevant Transfer Date.</w:t>
      </w:r>
    </w:p>
    <w:p w14:paraId="6433F51C" w14:textId="77777777" w:rsidR="00F67E9E" w:rsidRPr="00025910" w:rsidRDefault="00F67E9E" w:rsidP="00F67E9E">
      <w:pPr>
        <w:pStyle w:val="AppendixText3"/>
      </w:pPr>
      <w:r w:rsidRPr="00025910">
        <w:t>a failure of the Authority to discharge, or procure the discharge of, all wages, salaries and all other benefits and all PAYE tax deductions and national insurance contributions relating to the Transferring Authority Employees arising before the Relevant Transfer Date;</w:t>
      </w:r>
    </w:p>
    <w:p w14:paraId="384F151B" w14:textId="77777777" w:rsidR="00F67E9E" w:rsidRPr="00025910" w:rsidRDefault="00F67E9E" w:rsidP="00F67E9E">
      <w:pPr>
        <w:pStyle w:val="AppendixText3"/>
      </w:pPr>
      <w:r w:rsidRPr="00025910">
        <w:t>any claim made by or in respect of any person employed or formerly employed by the Authority other than a Transferring Authority Employee for whom it is alleged the Supplier and/or any Notified Sub-contractor as appropriate may be liable by virtue of the Employment Regulations; and</w:t>
      </w:r>
    </w:p>
    <w:p w14:paraId="4CE96FCB" w14:textId="77777777" w:rsidR="00F67E9E" w:rsidRPr="00025910" w:rsidRDefault="00F67E9E" w:rsidP="00F67E9E">
      <w:pPr>
        <w:pStyle w:val="AppendixText3"/>
      </w:pPr>
      <w:r w:rsidRPr="00025910">
        <w:t>any claim made by or in respect of a Transferring Authority Employee or any appropriate employee representative (as defined in the Employment Regulations) of any Transferring Authority Employee relating to any act or omission of the Authority in relation to its obligations under regulation 13 of the Employment Regulations, except to the extent that the liability arises from the failure by the Supplier or any Sub-contractor to comply with regulation 13(4) of the Employment Regulations.</w:t>
      </w:r>
    </w:p>
    <w:p w14:paraId="3272A76C" w14:textId="41C908DB" w:rsidR="00F67E9E" w:rsidRPr="00025910" w:rsidRDefault="00F67E9E" w:rsidP="00F67E9E">
      <w:pPr>
        <w:pStyle w:val="AppendixText2"/>
      </w:pPr>
      <w:bookmarkStart w:id="2403" w:name="_9kR3WTrAG9EGCDCeRjlvrjt3078u5A6oW56wE98"/>
      <w:bookmarkStart w:id="2404" w:name="_Ref_ContractCompanion_9kb9UsAC6"/>
      <w:r w:rsidRPr="00025910">
        <w:t xml:space="preserve">The indemnities in </w:t>
      </w:r>
      <w:bookmarkStart w:id="2405" w:name="_9kMHG5YVtCIBGIHIDefvlpjzHDkR01r943BPYQJ"/>
      <w:r w:rsidRPr="00025910">
        <w:t xml:space="preserve">Paragraph </w:t>
      </w:r>
      <w:r w:rsidRPr="00025910">
        <w:fldChar w:fldCharType="begin"/>
      </w:r>
      <w:r w:rsidRPr="00025910">
        <w:instrText xml:space="preserve"> REF _Ref_ContractCompanion_9kb9UsAC9 \n \h \t \* MERGEFORMAT </w:instrText>
      </w:r>
      <w:r w:rsidRPr="00025910">
        <w:fldChar w:fldCharType="separate"/>
      </w:r>
      <w:r w:rsidR="00302D39">
        <w:t>2.1</w:t>
      </w:r>
      <w:r w:rsidRPr="00025910">
        <w:fldChar w:fldCharType="end"/>
      </w:r>
      <w:bookmarkEnd w:id="2405"/>
      <w:r w:rsidRPr="00025910">
        <w:t xml:space="preserve"> shall not apply to the extent that the Employee Liabilities arise or are attributable to an act or omission of the Supplier or any Sub-contractor (whether or not a Notified Sub-contractor) whether occurring or having its origin before, on or after the Relevant Transfer Date including any Employee Liabilities:</w:t>
      </w:r>
      <w:bookmarkEnd w:id="2403"/>
      <w:r w:rsidRPr="00025910">
        <w:t xml:space="preserve"> </w:t>
      </w:r>
      <w:bookmarkEnd w:id="2404"/>
    </w:p>
    <w:p w14:paraId="738DAA8E" w14:textId="77777777" w:rsidR="00F67E9E" w:rsidRPr="00025910" w:rsidRDefault="00F67E9E" w:rsidP="00F67E9E">
      <w:pPr>
        <w:pStyle w:val="AppendixText3"/>
      </w:pPr>
      <w:r w:rsidRPr="00025910">
        <w:t>arising out of the resignation of any Transferring Authority Employee before the Relevant Transfer Date on account of substantial detrimental changes to his/her working conditions proposed by the Supplier and/or any Sub-contractor to occur in the period from (and including) the Relevant Transfer Date; or</w:t>
      </w:r>
    </w:p>
    <w:p w14:paraId="1CD4FF00" w14:textId="77777777" w:rsidR="00F67E9E" w:rsidRPr="00025910" w:rsidRDefault="00F67E9E" w:rsidP="00F67E9E">
      <w:pPr>
        <w:pStyle w:val="AppendixText3"/>
      </w:pPr>
      <w:r w:rsidRPr="00025910">
        <w:t>arising from the failure by the Supplier or any Sub-contractor to comply with its obligations under the Employment Regulations.</w:t>
      </w:r>
    </w:p>
    <w:p w14:paraId="32476EC1" w14:textId="77777777" w:rsidR="00F67E9E" w:rsidRPr="00025910" w:rsidRDefault="00F67E9E" w:rsidP="00F67E9E">
      <w:pPr>
        <w:pStyle w:val="AppendixText2"/>
      </w:pPr>
      <w:bookmarkStart w:id="2406" w:name="_Ref_ContractCompanion_9kb9UsAD6"/>
      <w:bookmarkStart w:id="2407" w:name="_9kR3WTrAG9EHCCDUEdmBEvyDB7GB46BHELG1y9P"/>
      <w:r w:rsidRPr="00025910">
        <w:t>If any person who is not identified by the Authority as a Transferring Authority Employee claims, or it is determined in relation to any person who is not identified by the Authority as a Transferring Authority Employee, that his/her contract of employment has been transferred from the Authority to the Supplier and/or any Notified Sub-contractor pursuant to the Employment Regulations then:</w:t>
      </w:r>
      <w:bookmarkEnd w:id="2406"/>
      <w:bookmarkEnd w:id="2407"/>
    </w:p>
    <w:p w14:paraId="7970AE16" w14:textId="77777777" w:rsidR="00F67E9E" w:rsidRPr="00025910" w:rsidRDefault="00F67E9E" w:rsidP="00F67E9E">
      <w:pPr>
        <w:pStyle w:val="AppendixText3"/>
      </w:pPr>
      <w:bookmarkStart w:id="2408" w:name="_9kR3WTrAG9EICBDmqykWhB74ys2H8rw8CJOFy3F"/>
      <w:bookmarkStart w:id="2409" w:name="_Ref_ContractCompanion_9kb9UsAE6"/>
      <w:r w:rsidRPr="00025910">
        <w:t>the Supplier shall, or shall procure that the Notified Sub-contractor shall, within 5 Working Days of becoming aware of that fact, give notice in writing to the Authority;</w:t>
      </w:r>
      <w:bookmarkEnd w:id="2408"/>
      <w:r w:rsidRPr="00025910">
        <w:t xml:space="preserve"> and</w:t>
      </w:r>
      <w:bookmarkEnd w:id="2409"/>
    </w:p>
    <w:p w14:paraId="72D3893C" w14:textId="77777777" w:rsidR="00F67E9E" w:rsidRPr="00025910" w:rsidRDefault="00F67E9E" w:rsidP="00F67E9E">
      <w:pPr>
        <w:pStyle w:val="AppendixText3"/>
      </w:pPr>
      <w:bookmarkStart w:id="2410" w:name="_Ref_ContractCompanion_9kb9UsACC"/>
      <w:bookmarkStart w:id="2411" w:name="_9kR3WTrAG9EH99DnrykEPF3zA58PJw9O6yyBMNM"/>
      <w:r w:rsidRPr="00025910">
        <w:t>the Authority may offer (or may procure that a third party may offer) employment to such person within 15 Working Days of receipt of the notification by the Supplier and/or any Notified Sub-contractor, or take such other reasonable steps as the Authority considers appropriate to deal with the matter provided always that such steps are in compliance with Law.</w:t>
      </w:r>
      <w:bookmarkEnd w:id="2410"/>
      <w:bookmarkEnd w:id="2411"/>
    </w:p>
    <w:p w14:paraId="3844BDC1" w14:textId="4C55DBE8" w:rsidR="00F67E9E" w:rsidRPr="00025910" w:rsidRDefault="00F67E9E" w:rsidP="00F67E9E">
      <w:pPr>
        <w:pStyle w:val="AppendixText2"/>
      </w:pPr>
      <w:r w:rsidRPr="00025910">
        <w:t xml:space="preserve">If an offer referred to in </w:t>
      </w:r>
      <w:bookmarkStart w:id="2412" w:name="_9kMHG5YVtCIBGJBBFpt0mGRH51C7ARLyBQ800DO"/>
      <w:r w:rsidRPr="00025910">
        <w:t xml:space="preserve">Paragraph </w:t>
      </w:r>
      <w:r w:rsidRPr="00025910">
        <w:fldChar w:fldCharType="begin"/>
      </w:r>
      <w:r w:rsidRPr="00025910">
        <w:instrText xml:space="preserve"> REF _Ref_ContractCompanion_9kb9UsACC \w \h \t \* MERGEFORMAT </w:instrText>
      </w:r>
      <w:r w:rsidRPr="00025910">
        <w:fldChar w:fldCharType="separate"/>
      </w:r>
      <w:r w:rsidR="00302D39">
        <w:t>2.3.2</w:t>
      </w:r>
      <w:r w:rsidRPr="00025910">
        <w:fldChar w:fldCharType="end"/>
      </w:r>
      <w:bookmarkEnd w:id="2412"/>
      <w:r w:rsidRPr="00025910">
        <w:t xml:space="preserve"> is accepted, or if the situation has otherwise been resolved by the Authority, the Supplier shall, or shall procure that the Notified Sub-contractor shall, immediately release the person from his/her employment or alleged employment.</w:t>
      </w:r>
    </w:p>
    <w:p w14:paraId="403071CD" w14:textId="44CCE5B8" w:rsidR="00F67E9E" w:rsidRPr="00025910" w:rsidRDefault="00F67E9E" w:rsidP="00F67E9E">
      <w:pPr>
        <w:pStyle w:val="AppendixText2"/>
      </w:pPr>
      <w:bookmarkStart w:id="2413" w:name="_Ref_ContractCompanion_9kb9UsAD9"/>
      <w:bookmarkStart w:id="2414" w:name="_9kR3WTrAG9EHFFFWEeyH1nlvvx069vGV1sKH9DC"/>
      <w:r w:rsidRPr="00025910">
        <w:t xml:space="preserve">If by the end of the 15 Working Day period specified in </w:t>
      </w:r>
      <w:bookmarkStart w:id="2415" w:name="_9kMIH5YVtCIBGJBBFpt0mGRH51C7ARLyBQ800DO"/>
      <w:r w:rsidRPr="00025910">
        <w:t xml:space="preserve">Paragraph </w:t>
      </w:r>
      <w:r w:rsidRPr="00025910">
        <w:fldChar w:fldCharType="begin"/>
      </w:r>
      <w:r w:rsidRPr="00025910">
        <w:instrText xml:space="preserve"> REF _Ref_ContractCompanion_9kb9UsACC \w \h \t \* MERGEFORMAT </w:instrText>
      </w:r>
      <w:r w:rsidRPr="00025910">
        <w:fldChar w:fldCharType="separate"/>
      </w:r>
      <w:r w:rsidR="00302D39">
        <w:t>2.3.2</w:t>
      </w:r>
      <w:r w:rsidRPr="00025910">
        <w:fldChar w:fldCharType="end"/>
      </w:r>
      <w:bookmarkEnd w:id="2415"/>
      <w:r w:rsidRPr="00025910">
        <w:t>:</w:t>
      </w:r>
      <w:bookmarkEnd w:id="2413"/>
      <w:bookmarkEnd w:id="2414"/>
    </w:p>
    <w:p w14:paraId="1D8A9367" w14:textId="77777777" w:rsidR="00F67E9E" w:rsidRPr="00025910" w:rsidRDefault="00F67E9E" w:rsidP="00F67E9E">
      <w:pPr>
        <w:pStyle w:val="AppendixText3"/>
      </w:pPr>
      <w:r w:rsidRPr="00025910">
        <w:t xml:space="preserve">no such offer of employment has been made; </w:t>
      </w:r>
    </w:p>
    <w:p w14:paraId="6845864C" w14:textId="77777777" w:rsidR="00F67E9E" w:rsidRPr="00025910" w:rsidRDefault="00F67E9E" w:rsidP="00F67E9E">
      <w:pPr>
        <w:pStyle w:val="AppendixText3"/>
      </w:pPr>
      <w:r w:rsidRPr="00025910">
        <w:t>such offer has been made but not accepted; or</w:t>
      </w:r>
    </w:p>
    <w:p w14:paraId="4E3DEE12" w14:textId="77777777" w:rsidR="00F67E9E" w:rsidRPr="00025910" w:rsidRDefault="00F67E9E" w:rsidP="00F67E9E">
      <w:pPr>
        <w:pStyle w:val="AppendixText3"/>
      </w:pPr>
      <w:r w:rsidRPr="00025910">
        <w:t>the situation has not otherwise been resolved,</w:t>
      </w:r>
    </w:p>
    <w:p w14:paraId="38E307EC" w14:textId="77777777" w:rsidR="00F67E9E" w:rsidRPr="00025910" w:rsidRDefault="00F67E9E" w:rsidP="00F67E9E">
      <w:pPr>
        <w:pStyle w:val="StdBodyText2"/>
        <w:rPr>
          <w:rFonts w:cs="Arial"/>
        </w:rPr>
      </w:pPr>
      <w:r w:rsidRPr="00025910">
        <w:rPr>
          <w:rFonts w:cs="Arial"/>
        </w:rPr>
        <w:t>the Supplier and/or any Notified Sub-contractor may within 5 Working Days give notice to terminate the employment or alleged employment of such person.</w:t>
      </w:r>
    </w:p>
    <w:p w14:paraId="78B3CB56" w14:textId="0CC0CEE1" w:rsidR="00F67E9E" w:rsidRPr="00025910" w:rsidRDefault="00F67E9E" w:rsidP="00F67E9E">
      <w:pPr>
        <w:pStyle w:val="AppendixText2"/>
      </w:pPr>
      <w:bookmarkStart w:id="2416" w:name="_Ref_ContractCompanion_9kb9UsADC"/>
      <w:bookmarkStart w:id="2417" w:name="_9kR3WTrAG9EHIIGhdtjnhxFBC6sepJFC60A748A"/>
      <w:r w:rsidRPr="00025910">
        <w:t xml:space="preserve">Subject to the Supplier and/or any Notified Sub-contractor acting in accordance with the provisions of </w:t>
      </w:r>
      <w:bookmarkStart w:id="2418" w:name="_9kMHG5YVtCIBGJEEFWGfoDGx0FD9ID68DJGNI30"/>
      <w:r w:rsidRPr="00025910">
        <w:t xml:space="preserve">Paragraphs </w:t>
      </w:r>
      <w:r w:rsidRPr="00025910">
        <w:fldChar w:fldCharType="begin"/>
      </w:r>
      <w:r w:rsidRPr="00025910">
        <w:instrText xml:space="preserve"> REF _Ref_ContractCompanion_9kb9UsAD6 \n \h \t \* MERGEFORMAT </w:instrText>
      </w:r>
      <w:r w:rsidRPr="00025910">
        <w:fldChar w:fldCharType="separate"/>
      </w:r>
      <w:r w:rsidR="00302D39">
        <w:t>2.3</w:t>
      </w:r>
      <w:r w:rsidRPr="00025910">
        <w:fldChar w:fldCharType="end"/>
      </w:r>
      <w:bookmarkEnd w:id="2418"/>
      <w:r w:rsidRPr="00025910">
        <w:t xml:space="preserve"> to </w:t>
      </w:r>
      <w:bookmarkStart w:id="2419" w:name="_9kMHG5YVtCIBGJHHHYGg0J3pnxxz28BxIX3uMJB"/>
      <w:r w:rsidRPr="00025910">
        <w:fldChar w:fldCharType="begin"/>
      </w:r>
      <w:r w:rsidRPr="00025910">
        <w:instrText xml:space="preserve"> REF _Ref_ContractCompanion_9kb9UsAD9 \n \h \t \* MERGEFORMAT </w:instrText>
      </w:r>
      <w:r w:rsidRPr="00025910">
        <w:fldChar w:fldCharType="separate"/>
      </w:r>
      <w:r w:rsidR="00302D39">
        <w:t>2.5</w:t>
      </w:r>
      <w:r w:rsidRPr="00025910">
        <w:fldChar w:fldCharType="end"/>
      </w:r>
      <w:bookmarkEnd w:id="2419"/>
      <w:r w:rsidRPr="00025910">
        <w:t xml:space="preserve"> and in accordance with all applicable proper employment procedures set out in applicable Law, the Authority shall indemnify the Supplier and/or any Notified Sub-contractor (as appropriate) against all Employee Liabilities arising out of the termination of employment pursuant to the provisions of </w:t>
      </w:r>
      <w:bookmarkStart w:id="2420" w:name="_9kMIH5YVtCIBGJHHHYGg0J3pnxxz28BxIX3uMJB"/>
      <w:r w:rsidRPr="00025910">
        <w:t xml:space="preserve">Paragraph </w:t>
      </w:r>
      <w:r w:rsidRPr="00025910">
        <w:fldChar w:fldCharType="begin"/>
      </w:r>
      <w:r w:rsidRPr="00025910">
        <w:instrText xml:space="preserve"> REF _Ref_ContractCompanion_9kb9UsAD9 \n \h \t \* MERGEFORMAT </w:instrText>
      </w:r>
      <w:r w:rsidRPr="00025910">
        <w:fldChar w:fldCharType="separate"/>
      </w:r>
      <w:r w:rsidR="00302D39">
        <w:t>2.5</w:t>
      </w:r>
      <w:r w:rsidRPr="00025910">
        <w:fldChar w:fldCharType="end"/>
      </w:r>
      <w:bookmarkEnd w:id="2420"/>
      <w:r w:rsidRPr="00025910">
        <w:t xml:space="preserve"> provided that the Supplier takes, or procures that the Notified Sub-contractor takes, all reasonable steps to minimise any such Employee Liabilities.</w:t>
      </w:r>
      <w:bookmarkEnd w:id="2416"/>
      <w:bookmarkEnd w:id="2417"/>
    </w:p>
    <w:p w14:paraId="248CA3F2" w14:textId="6AC1DE5E" w:rsidR="00F67E9E" w:rsidRPr="00025910" w:rsidRDefault="00F67E9E" w:rsidP="00F67E9E">
      <w:pPr>
        <w:pStyle w:val="AppendixText2"/>
      </w:pPr>
      <w:r w:rsidRPr="00025910">
        <w:t xml:space="preserve">The indemnity in </w:t>
      </w:r>
      <w:bookmarkStart w:id="2421" w:name="_9kMHG5YVtCIBGJKKIjfvlpjzHDE8ugrLHE82C96"/>
      <w:r w:rsidRPr="00025910">
        <w:t xml:space="preserve">Paragraph </w:t>
      </w:r>
      <w:r w:rsidRPr="00025910">
        <w:fldChar w:fldCharType="begin"/>
      </w:r>
      <w:r w:rsidRPr="00025910">
        <w:instrText xml:space="preserve"> REF _Ref_ContractCompanion_9kb9UsADC \n \h \t \* MERGEFORMAT </w:instrText>
      </w:r>
      <w:r w:rsidRPr="00025910">
        <w:fldChar w:fldCharType="separate"/>
      </w:r>
      <w:r w:rsidR="00302D39">
        <w:t>2.6</w:t>
      </w:r>
      <w:r w:rsidRPr="00025910">
        <w:fldChar w:fldCharType="end"/>
      </w:r>
      <w:bookmarkEnd w:id="2421"/>
      <w:r w:rsidRPr="00025910">
        <w:t>:</w:t>
      </w:r>
    </w:p>
    <w:p w14:paraId="427A3E93" w14:textId="77777777" w:rsidR="00F67E9E" w:rsidRPr="00025910" w:rsidRDefault="00F67E9E" w:rsidP="00F67E9E">
      <w:pPr>
        <w:pStyle w:val="AppendixText3"/>
      </w:pPr>
      <w:r w:rsidRPr="00025910">
        <w:t xml:space="preserve">shall not </w:t>
      </w:r>
      <w:r w:rsidRPr="00A30540">
        <w:t>apply</w:t>
      </w:r>
      <w:r w:rsidRPr="00025910">
        <w:t xml:space="preserve"> to:</w:t>
      </w:r>
    </w:p>
    <w:p w14:paraId="66BF6810" w14:textId="77777777" w:rsidR="00F67E9E" w:rsidRPr="00A30540" w:rsidRDefault="00F67E9E" w:rsidP="00F67E9E">
      <w:pPr>
        <w:pStyle w:val="AppendixText4"/>
      </w:pPr>
      <w:r w:rsidRPr="00025910">
        <w:t xml:space="preserve">any </w:t>
      </w:r>
      <w:r w:rsidRPr="00A30540">
        <w:t>claim for:</w:t>
      </w:r>
    </w:p>
    <w:p w14:paraId="580825C6" w14:textId="77777777" w:rsidR="00F67E9E" w:rsidRPr="00A30540" w:rsidRDefault="00F67E9E" w:rsidP="00F67E9E">
      <w:pPr>
        <w:pStyle w:val="AppendixText4"/>
      </w:pPr>
      <w:r w:rsidRPr="00A30540">
        <w:t>discrimination, including on the grounds of sex, race, disability, age, gender reassignment, marriage or civil partnership, pregnancy and maternity or sexual orientation, religion or belief; or</w:t>
      </w:r>
    </w:p>
    <w:p w14:paraId="4B9DEF5A" w14:textId="77777777" w:rsidR="00F67E9E" w:rsidRPr="00A30540" w:rsidRDefault="00F67E9E" w:rsidP="00F67E9E">
      <w:pPr>
        <w:pStyle w:val="AppendixText4"/>
      </w:pPr>
      <w:r w:rsidRPr="00A30540">
        <w:t>equal pay or compensation for less favourable treatment of part-time workers or fixed-term employees,</w:t>
      </w:r>
    </w:p>
    <w:p w14:paraId="04F4220C" w14:textId="77777777" w:rsidR="00F67E9E" w:rsidRPr="00A30540" w:rsidRDefault="00F67E9E" w:rsidP="00F67E9E">
      <w:pPr>
        <w:pStyle w:val="AppendixText4"/>
      </w:pPr>
      <w:r w:rsidRPr="00A30540">
        <w:t>in any case in relation to any alleged act or omission of the Supplier and/or any Sub-contractor; or</w:t>
      </w:r>
    </w:p>
    <w:p w14:paraId="24CACB60" w14:textId="77777777" w:rsidR="00F67E9E" w:rsidRPr="00025910" w:rsidRDefault="00F67E9E" w:rsidP="00F67E9E">
      <w:pPr>
        <w:pStyle w:val="AppendixText4"/>
      </w:pPr>
      <w:r w:rsidRPr="00A30540">
        <w:t>any claim that the termination of employment was unfair because the Supplier</w:t>
      </w:r>
      <w:r w:rsidRPr="00025910">
        <w:t xml:space="preserve"> and/or Notified Sub-contractor neglected to follow a fair dismissal procedure; and</w:t>
      </w:r>
    </w:p>
    <w:p w14:paraId="12E8F161" w14:textId="37C7B935" w:rsidR="00F67E9E" w:rsidRPr="00025910" w:rsidRDefault="00F67E9E" w:rsidP="00F67E9E">
      <w:pPr>
        <w:pStyle w:val="AppendixText3"/>
      </w:pPr>
      <w:r w:rsidRPr="00025910">
        <w:t xml:space="preserve">shall apply only where the notification referred to in </w:t>
      </w:r>
      <w:bookmarkStart w:id="2422" w:name="_9kMHG5YVtCIBGKEDFos0mYjD960u4JAtyAELQH0"/>
      <w:r w:rsidRPr="00025910">
        <w:t xml:space="preserve">Paragraph </w:t>
      </w:r>
      <w:r w:rsidRPr="00025910">
        <w:fldChar w:fldCharType="begin"/>
      </w:r>
      <w:r w:rsidRPr="00025910">
        <w:instrText xml:space="preserve"> REF _Ref_ContractCompanion_9kb9UsAE6 \w \h \t \* MERGEFORMAT </w:instrText>
      </w:r>
      <w:r w:rsidRPr="00025910">
        <w:fldChar w:fldCharType="separate"/>
      </w:r>
      <w:r w:rsidR="00302D39">
        <w:t>2.3.1</w:t>
      </w:r>
      <w:r w:rsidRPr="00025910">
        <w:fldChar w:fldCharType="end"/>
      </w:r>
      <w:bookmarkEnd w:id="2422"/>
      <w:r w:rsidRPr="00025910">
        <w:t xml:space="preserve"> is made by the Supplier and/or any Notified Sub-contractor (as appropriate) to the Authority within 6 months of the </w:t>
      </w:r>
      <w:r>
        <w:t>Relevant Transfer</w:t>
      </w:r>
      <w:r w:rsidRPr="00025910">
        <w:t xml:space="preserve"> Date. </w:t>
      </w:r>
    </w:p>
    <w:p w14:paraId="0D80BF01" w14:textId="49860D61" w:rsidR="00F67E9E" w:rsidRPr="00025910" w:rsidRDefault="00F67E9E" w:rsidP="00F67E9E">
      <w:pPr>
        <w:pStyle w:val="AppendixText2"/>
      </w:pPr>
      <w:bookmarkStart w:id="2423" w:name="_Ref_ContractCompanion_9kb9UsAEC"/>
      <w:bookmarkStart w:id="2424" w:name="_9kR3WTrAG9EIIHIZEdmBHEzn1z2HFBy4DEOB01E"/>
      <w:r w:rsidRPr="00025910">
        <w:t xml:space="preserve">If any such person as is referred to in </w:t>
      </w:r>
      <w:bookmarkStart w:id="2425" w:name="_9kMIH5YVtCIBGJEEFWGfoDGx0FD9ID68DJGNI30"/>
      <w:r w:rsidRPr="00025910">
        <w:t xml:space="preserve">Paragraph </w:t>
      </w:r>
      <w:r w:rsidRPr="00025910">
        <w:fldChar w:fldCharType="begin"/>
      </w:r>
      <w:r w:rsidRPr="00025910">
        <w:instrText xml:space="preserve"> REF _Ref_ContractCompanion_9kb9UsAD6 \n \h \t \* MERGEFORMAT </w:instrText>
      </w:r>
      <w:r w:rsidRPr="00025910">
        <w:fldChar w:fldCharType="separate"/>
      </w:r>
      <w:r w:rsidR="00302D39">
        <w:t>2.3</w:t>
      </w:r>
      <w:r w:rsidRPr="00025910">
        <w:fldChar w:fldCharType="end"/>
      </w:r>
      <w:bookmarkEnd w:id="2425"/>
      <w:r w:rsidRPr="00025910">
        <w:t xml:space="preserve"> is neither re-employed by the Authority nor dismissed by the Supplier and/or any Notified Sub-contractor within the time scales set out in </w:t>
      </w:r>
      <w:bookmarkStart w:id="2426" w:name="_9kMJI5YVtCIBGJHHHYGg0J3pnxxz28BxIX3uMJB"/>
      <w:r w:rsidRPr="00025910">
        <w:t xml:space="preserve">Paragraph </w:t>
      </w:r>
      <w:r w:rsidRPr="00025910">
        <w:fldChar w:fldCharType="begin"/>
      </w:r>
      <w:r w:rsidRPr="00025910">
        <w:instrText xml:space="preserve"> REF _Ref_ContractCompanion_9kb9UsAD9 \n \h \t \* MERGEFORMAT </w:instrText>
      </w:r>
      <w:r w:rsidRPr="00025910">
        <w:fldChar w:fldCharType="separate"/>
      </w:r>
      <w:r w:rsidR="00302D39">
        <w:t>2.5</w:t>
      </w:r>
      <w:r w:rsidRPr="00025910">
        <w:fldChar w:fldCharType="end"/>
      </w:r>
      <w:bookmarkEnd w:id="2426"/>
      <w:r w:rsidRPr="00025910">
        <w:t xml:space="preserve"> such person shall be treated as having transferred to the Supplier and/or any Notified Sub-contractor and the Supplier shall, </w:t>
      </w:r>
      <w:bookmarkEnd w:id="2423"/>
      <w:bookmarkEnd w:id="2424"/>
      <w:r w:rsidRPr="00DD7D7B">
        <w:t xml:space="preserve">(a) comply with such obligations as may be imposed upon it under applicable Law and (b) comply with the provisions of </w:t>
      </w:r>
      <w:r>
        <w:fldChar w:fldCharType="begin"/>
      </w:r>
      <w:r>
        <w:instrText xml:space="preserve"> REF Sch28PartD \h </w:instrText>
      </w:r>
      <w:r>
        <w:fldChar w:fldCharType="separate"/>
      </w:r>
      <w:r w:rsidR="00302D39" w:rsidRPr="00025910">
        <w:t>Part D</w:t>
      </w:r>
      <w:r>
        <w:fldChar w:fldCharType="end"/>
      </w:r>
      <w:r w:rsidRPr="00DD7D7B">
        <w:t xml:space="preserve"> (Pensions) and its Annexes of this </w:t>
      </w:r>
      <w:r w:rsidR="00236F49">
        <w:fldChar w:fldCharType="begin"/>
      </w:r>
      <w:r w:rsidR="00236F49">
        <w:instrText xml:space="preserve"> REF Schedule28Heading \h </w:instrText>
      </w:r>
      <w:r w:rsidR="00236F49">
        <w:fldChar w:fldCharType="separate"/>
      </w:r>
      <w:r w:rsidR="00236F49" w:rsidRPr="00DD4CC2">
        <w:t>Staff Transfer</w:t>
      </w:r>
      <w:r w:rsidR="00236F49">
        <w:fldChar w:fldCharType="end"/>
      </w:r>
      <w:r w:rsidR="00236F49">
        <w:t xml:space="preserve"> </w:t>
      </w:r>
      <w:r w:rsidRPr="00DD7D7B">
        <w:t>Schedule.</w:t>
      </w:r>
    </w:p>
    <w:p w14:paraId="1F2C35A6" w14:textId="77777777" w:rsidR="00F67E9E" w:rsidRPr="00A30540" w:rsidRDefault="00F67E9E" w:rsidP="00F67E9E">
      <w:pPr>
        <w:pStyle w:val="AppendixText1"/>
        <w:numPr>
          <w:ilvl w:val="0"/>
          <w:numId w:val="75"/>
        </w:numPr>
        <w:rPr>
          <w:color w:val="1F497D"/>
        </w:rPr>
      </w:pPr>
      <w:r w:rsidRPr="00A30540">
        <w:rPr>
          <w:color w:val="1F497D"/>
        </w:rPr>
        <w:t>Supplier Indemnities and Obligations</w:t>
      </w:r>
    </w:p>
    <w:p w14:paraId="7E12E230" w14:textId="32DC1231" w:rsidR="00F67E9E" w:rsidRPr="00025910" w:rsidRDefault="00F67E9E" w:rsidP="00F67E9E">
      <w:pPr>
        <w:pStyle w:val="AppendixText2"/>
      </w:pPr>
      <w:bookmarkStart w:id="2427" w:name="_Ref_ContractCompanion_9kb9UsAEF"/>
      <w:bookmarkStart w:id="2428" w:name="_9kR3WTrAG9EJCBCcdtjnhxFBiPyzp7219OXOH3p"/>
      <w:r w:rsidRPr="00025910">
        <w:t xml:space="preserve">Subject to </w:t>
      </w:r>
      <w:bookmarkStart w:id="2429" w:name="_9kMHG5YVtCIBGKHHFgTlnxtlv529Aw7C8qY78yG"/>
      <w:r w:rsidRPr="00025910">
        <w:t xml:space="preserve">Paragraph </w:t>
      </w:r>
      <w:r w:rsidRPr="00025910">
        <w:fldChar w:fldCharType="begin"/>
      </w:r>
      <w:r w:rsidRPr="00025910">
        <w:instrText xml:space="preserve"> REF _Ref_ContractCompanion_9kb9UsAE9 \n \h \t \* MERGEFORMAT </w:instrText>
      </w:r>
      <w:r w:rsidRPr="00025910">
        <w:fldChar w:fldCharType="separate"/>
      </w:r>
      <w:r w:rsidR="00302D39">
        <w:t>3.2</w:t>
      </w:r>
      <w:r w:rsidRPr="00025910">
        <w:fldChar w:fldCharType="end"/>
      </w:r>
      <w:bookmarkEnd w:id="2429"/>
      <w:r w:rsidRPr="00025910">
        <w:t>, the Supplier shall indemnify the Authority against any Employee Liabilities arising from or as a result of:</w:t>
      </w:r>
      <w:bookmarkEnd w:id="2427"/>
      <w:bookmarkEnd w:id="2428"/>
    </w:p>
    <w:p w14:paraId="357C572E" w14:textId="77777777" w:rsidR="00F67E9E" w:rsidRPr="00025910" w:rsidRDefault="00F67E9E" w:rsidP="00F67E9E">
      <w:pPr>
        <w:pStyle w:val="AppendixText3"/>
      </w:pPr>
      <w:r w:rsidRPr="00025910">
        <w:t>any act or omission by the Supplier or any Sub-contractor in respect of any Transferring Authority Employee or any appropriate employee representative (as defined in the Employment Regulations) of any Transferring Authority Employee whether occurring before, on or after the Relevant Transfer Date;</w:t>
      </w:r>
    </w:p>
    <w:p w14:paraId="7E295068" w14:textId="77777777" w:rsidR="00F67E9E" w:rsidRPr="00025910" w:rsidRDefault="00F67E9E" w:rsidP="00F67E9E">
      <w:pPr>
        <w:pStyle w:val="AppendixText3"/>
      </w:pPr>
      <w:r w:rsidRPr="00025910">
        <w:t>the breach or non-observance by the Supplier or any Sub-contractor on or after the Relevant Transfer Date of:</w:t>
      </w:r>
    </w:p>
    <w:p w14:paraId="11FE97AD" w14:textId="77777777" w:rsidR="00F67E9E" w:rsidRPr="00025910" w:rsidRDefault="00F67E9E" w:rsidP="00F67E9E">
      <w:pPr>
        <w:pStyle w:val="AppendixText4"/>
      </w:pPr>
      <w:r w:rsidRPr="00025910">
        <w:t xml:space="preserve">any collective agreement applicable to the Transferring Authority Employees; and/or </w:t>
      </w:r>
    </w:p>
    <w:p w14:paraId="6F0D7EEB" w14:textId="77777777" w:rsidR="00F67E9E" w:rsidRPr="00025910" w:rsidRDefault="00F67E9E" w:rsidP="00F67E9E">
      <w:pPr>
        <w:pStyle w:val="AppendixText4"/>
      </w:pPr>
      <w:r w:rsidRPr="00025910">
        <w:t>any custom or practice in respect of any Transferring Authority Employees which the Supplier or any Sub-contractor is contractually bound to honour;</w:t>
      </w:r>
    </w:p>
    <w:p w14:paraId="73CAEA9D" w14:textId="77777777" w:rsidR="00F67E9E" w:rsidRPr="00025910" w:rsidRDefault="00F67E9E" w:rsidP="00F67E9E">
      <w:pPr>
        <w:pStyle w:val="AppendixText3"/>
      </w:pPr>
      <w:r w:rsidRPr="00025910">
        <w:t>any claim by any trade union or other body or person representing any Transferring Authority Employees arising from or connected with any failure by the Supplier or any Sub-contractor to comply with any legal obligation to such trade union, body or person arising on or after the Relevant Transfer Date;</w:t>
      </w:r>
    </w:p>
    <w:p w14:paraId="4A9782F1" w14:textId="77777777" w:rsidR="00F67E9E" w:rsidRPr="00025910" w:rsidRDefault="00F67E9E" w:rsidP="00F67E9E">
      <w:pPr>
        <w:pStyle w:val="AppendixText3"/>
      </w:pPr>
      <w:r w:rsidRPr="00025910">
        <w:t xml:space="preserve">any proposal by the Supplier or a Sub-contractor made before the Relevant Transfer Date to make changes to the terms and conditions of employment or working conditions of any Transferring Authority Employees to their material detriment on or after their transfer to the Supplier or the relevant Sub-contractor (as the case may be) on the Relevant Transfer Date, or to change the terms and conditions of employment or working conditions of any person who would have been a Transferring Authority Employee but for their resignation (or decision to treat their employment as terminated under regulation 4(9) of the Employment Regulations) before the Relevant Transfer Date as a result of or for a reason connected to such proposed changes; </w:t>
      </w:r>
    </w:p>
    <w:p w14:paraId="318745C6" w14:textId="77777777" w:rsidR="00F67E9E" w:rsidRPr="00025910" w:rsidRDefault="00F67E9E" w:rsidP="00F67E9E">
      <w:pPr>
        <w:pStyle w:val="AppendixText3"/>
      </w:pPr>
      <w:r w:rsidRPr="00025910">
        <w:t>any statement communicated to or action undertaken by the Supplier or any Sub-contractor to, or in respect of, any Transferring Authority Employee before the Relevant Transfer Date regarding the Relevant Transfer which has not been agreed in advance with the Authority in writing;</w:t>
      </w:r>
    </w:p>
    <w:p w14:paraId="2D8C77D3" w14:textId="77777777" w:rsidR="00F67E9E" w:rsidRPr="00025910" w:rsidRDefault="00F67E9E" w:rsidP="00F67E9E">
      <w:pPr>
        <w:pStyle w:val="AppendixText3"/>
      </w:pPr>
      <w:r w:rsidRPr="00025910">
        <w:t>any proceeding, claim or demand by HMRC or other statutory authority in respect of any financial obligation including, but not limited to, PAYE and primary and secondary national insurance contributions:</w:t>
      </w:r>
    </w:p>
    <w:p w14:paraId="00DDAAA7" w14:textId="77777777" w:rsidR="00F67E9E" w:rsidRPr="00025910" w:rsidRDefault="00F67E9E" w:rsidP="00F67E9E">
      <w:pPr>
        <w:pStyle w:val="AppendixText4"/>
      </w:pPr>
      <w:r w:rsidRPr="00025910">
        <w:t>in relation to any Transferring Authority Employee, to the extent that the proceeding, claim or demand by HMRC or other statutory authority relates to financial obligations arising on or after the Relevant Transfer Date; and</w:t>
      </w:r>
    </w:p>
    <w:p w14:paraId="52E889B4" w14:textId="77777777" w:rsidR="00F67E9E" w:rsidRPr="00025910" w:rsidRDefault="00F67E9E" w:rsidP="00F67E9E">
      <w:pPr>
        <w:pStyle w:val="AppendixText4"/>
      </w:pPr>
      <w:r w:rsidRPr="00025910">
        <w:t>in relation to any employee who is not a Transferring Authority Employee, and in respect of whom it is later alleged or determined that the Employment Regulations applied so as to transfer his/her employment from the Authority to the Supplier or a Sub-contractor, to the extent that the proceeding, claim or demand by HMRC or other statutory authority relates to financial obligations arising on or after the Relevant Transfer Date;</w:t>
      </w:r>
    </w:p>
    <w:p w14:paraId="3DF7B1B5" w14:textId="77777777" w:rsidR="00F67E9E" w:rsidRPr="00025910" w:rsidRDefault="00F67E9E" w:rsidP="00F67E9E">
      <w:pPr>
        <w:pStyle w:val="AppendixText3"/>
      </w:pPr>
      <w:r w:rsidRPr="00025910">
        <w:t xml:space="preserve">a failure of the Supplier or any Sub-contractor to discharge or procure the discharge of all wages, salaries and all other benefits and all PAYE tax deductions and national insurance contributions relating to the Transferring Authority Employees in respect of the period from (and including) the Relevant Transfer Date; </w:t>
      </w:r>
    </w:p>
    <w:p w14:paraId="62694099" w14:textId="77777777" w:rsidR="00F67E9E" w:rsidRPr="00025910" w:rsidRDefault="00F67E9E" w:rsidP="00F67E9E">
      <w:pPr>
        <w:pStyle w:val="AppendixText3"/>
      </w:pPr>
      <w:r w:rsidRPr="00025910">
        <w:t>any claim made by or in respect of a Transferring Authority Employee or any appropriate employee representative (as defined in the Employment Regulations) of any Transferring Authority Employee relating to any act or omission of the Supplier or any Sub-contractor in relation to their obligations under regulation 13 of the Employment Regulations, except to the extent that the liability arises from the Authority</w:t>
      </w:r>
      <w:r>
        <w:t>’</w:t>
      </w:r>
      <w:r w:rsidRPr="00025910">
        <w:t>s failure to comply with its obligations under regulation 13 of the Employment Regulations; and</w:t>
      </w:r>
    </w:p>
    <w:p w14:paraId="7AE0113C" w14:textId="433A9DC4" w:rsidR="00F67E9E" w:rsidRPr="00025910" w:rsidRDefault="00F67E9E" w:rsidP="00F67E9E">
      <w:pPr>
        <w:pStyle w:val="AppendixText3"/>
      </w:pPr>
      <w:r w:rsidRPr="00025910">
        <w:t xml:space="preserve">a failure by the Supplier or any Sub-Contractor to comply with its obligations under </w:t>
      </w:r>
      <w:bookmarkStart w:id="2430" w:name="_9kMHG5YVtCIBGKKJKbGfoDJG1p314JHD06FGQD2"/>
      <w:r w:rsidRPr="00025910">
        <w:t xml:space="preserve">Paragraph </w:t>
      </w:r>
      <w:r w:rsidRPr="00025910">
        <w:fldChar w:fldCharType="begin"/>
      </w:r>
      <w:r w:rsidRPr="00025910">
        <w:instrText xml:space="preserve"> REF _Ref_ContractCompanion_9kb9UsAEC \n \h \t \* MERGEFORMAT </w:instrText>
      </w:r>
      <w:r w:rsidRPr="00025910">
        <w:fldChar w:fldCharType="separate"/>
      </w:r>
      <w:r w:rsidR="00302D39">
        <w:t>2.8</w:t>
      </w:r>
      <w:r w:rsidRPr="00025910">
        <w:fldChar w:fldCharType="end"/>
      </w:r>
      <w:bookmarkEnd w:id="2430"/>
      <w:r w:rsidRPr="00025910">
        <w:t xml:space="preserve"> above.</w:t>
      </w:r>
    </w:p>
    <w:p w14:paraId="01021AF8" w14:textId="6CBE74B6" w:rsidR="00F67E9E" w:rsidRPr="00025910" w:rsidRDefault="00F67E9E" w:rsidP="00F67E9E">
      <w:pPr>
        <w:pStyle w:val="AppendixText2"/>
      </w:pPr>
      <w:bookmarkStart w:id="2431" w:name="_Ref_ContractCompanion_9kb9UsAE9"/>
      <w:bookmarkStart w:id="2432" w:name="_9kR3WTrAG9EIFFDeRjlvrjt3078u5A6oW56wE98"/>
      <w:r w:rsidRPr="00025910">
        <w:t xml:space="preserve">The indemnities in </w:t>
      </w:r>
      <w:bookmarkStart w:id="2433" w:name="_9kMHG5YVtCIBGLEDEefvlpjzHDkR01r943BQZQJ"/>
      <w:r w:rsidRPr="00025910">
        <w:t xml:space="preserve">Paragraph </w:t>
      </w:r>
      <w:r w:rsidRPr="00025910">
        <w:fldChar w:fldCharType="begin"/>
      </w:r>
      <w:r w:rsidRPr="00025910">
        <w:instrText xml:space="preserve"> REF _Ref_ContractCompanion_9kb9UsAEF \n \h \t \* MERGEFORMAT </w:instrText>
      </w:r>
      <w:r w:rsidRPr="00025910">
        <w:fldChar w:fldCharType="separate"/>
      </w:r>
      <w:r w:rsidR="00302D39">
        <w:t>3.1</w:t>
      </w:r>
      <w:r w:rsidRPr="00025910">
        <w:fldChar w:fldCharType="end"/>
      </w:r>
      <w:bookmarkEnd w:id="2433"/>
      <w:r w:rsidRPr="00025910">
        <w:t xml:space="preserve"> shall not apply to the extent that the Employee Liabilities arise or are attributable to an act or omission of the Authority whether occurring or having its origin before, on or after the Relevant Transfer Date including, without limitation, any Employee Liabilities arising from the Authority</w:t>
      </w:r>
      <w:r>
        <w:t>’</w:t>
      </w:r>
      <w:r w:rsidRPr="00025910">
        <w:t>s failure to comply with its obligations under the Employment Regulations.</w:t>
      </w:r>
      <w:bookmarkEnd w:id="2431"/>
      <w:bookmarkEnd w:id="2432"/>
    </w:p>
    <w:p w14:paraId="48D14C6C" w14:textId="77777777" w:rsidR="00F67E9E" w:rsidRPr="00025910" w:rsidRDefault="00F67E9E" w:rsidP="00F67E9E">
      <w:pPr>
        <w:pStyle w:val="AppendixText2"/>
      </w:pPr>
      <w:r w:rsidRPr="00025910">
        <w:t>The Supplier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Sub-contractor shall perform and discharge, all its obligations in respect of the Transferring Authority Employees, from (and including) the Relevant Transfer Date (including the payment of all remuneration, benefits, entitlements and outgoings, all wages, accrued but untaken holiday pay, bonuses, commissions, payments of PAYE, national insurance contributions and pension contributions and any other sums due under the Admission Agreement which in any case are attributable in whole or in part to the period from and including the Relevant Transfer Date) and any necessary apportionments in respect of any periodic payments shall be made between the Authority and the Supplier.</w:t>
      </w:r>
    </w:p>
    <w:p w14:paraId="206DAB25" w14:textId="77777777" w:rsidR="00F67E9E" w:rsidRPr="00A30540" w:rsidRDefault="00F67E9E" w:rsidP="00F67E9E">
      <w:pPr>
        <w:pStyle w:val="AppendixText1"/>
        <w:numPr>
          <w:ilvl w:val="0"/>
          <w:numId w:val="75"/>
        </w:numPr>
        <w:rPr>
          <w:color w:val="1F497D"/>
        </w:rPr>
      </w:pPr>
      <w:r w:rsidRPr="00A30540">
        <w:rPr>
          <w:color w:val="1F497D"/>
        </w:rPr>
        <w:t>Information</w:t>
      </w:r>
    </w:p>
    <w:p w14:paraId="2A4B7C91" w14:textId="77777777" w:rsidR="00F67E9E" w:rsidRPr="00025910" w:rsidRDefault="00F67E9E" w:rsidP="00F67E9E">
      <w:pPr>
        <w:pStyle w:val="AppendixText2"/>
      </w:pPr>
      <w:r w:rsidRPr="00025910">
        <w:t>The Supplier shall, and shall procure that each Sub-contractor shall, promptly provide to the Authority in writing such information as is necessary to enable the Authority to carry out its duties under regulation 13 of the Employment Regulations. The Authority shall promptly provide to the Supplier and each Notified Sub-contractor in writing such information as is necessary to enable the Supplier and each Notified Sub-contractor to carry out their respective duties under regulation 13 of the Employment Regulations.</w:t>
      </w:r>
    </w:p>
    <w:p w14:paraId="2CF67D26" w14:textId="77777777" w:rsidR="00F67E9E" w:rsidRPr="00A30540" w:rsidRDefault="00F67E9E" w:rsidP="00F67E9E">
      <w:pPr>
        <w:pStyle w:val="AppendixText1"/>
        <w:numPr>
          <w:ilvl w:val="0"/>
          <w:numId w:val="75"/>
        </w:numPr>
        <w:rPr>
          <w:color w:val="1F497D"/>
        </w:rPr>
      </w:pPr>
      <w:r w:rsidRPr="00A30540">
        <w:rPr>
          <w:color w:val="1F497D"/>
        </w:rPr>
        <w:t>Principles of Good Employment Practice</w:t>
      </w:r>
    </w:p>
    <w:p w14:paraId="072BF6AC" w14:textId="77777777" w:rsidR="00F67E9E" w:rsidRPr="00025910" w:rsidRDefault="00F67E9E" w:rsidP="00F67E9E">
      <w:pPr>
        <w:pStyle w:val="AppendixText2"/>
      </w:pPr>
      <w:bookmarkStart w:id="2434" w:name="_Ref_ContractCompanion_9kb9UsAF9"/>
      <w:bookmarkStart w:id="2435" w:name="_9kR3WTrAG9EJFGEdRjSJsC4q1yn54s8Cu7RG2lt"/>
      <w:r w:rsidRPr="00025910">
        <w:t>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bookmarkEnd w:id="2434"/>
      <w:bookmarkEnd w:id="2435"/>
    </w:p>
    <w:p w14:paraId="3CA2CC1F" w14:textId="77777777" w:rsidR="00F67E9E" w:rsidRPr="00025910" w:rsidRDefault="00F67E9E" w:rsidP="00F67E9E">
      <w:pPr>
        <w:pStyle w:val="AppendixText2"/>
      </w:pPr>
      <w:bookmarkStart w:id="2436" w:name="_Ref_ContractCompanion_9kb9UsAFC"/>
      <w:bookmarkStart w:id="2437" w:name="_9kR3WTrAG9EJIJFeRjVgA63xr1G7qv7x04AFy3F"/>
      <w:r w:rsidRPr="00025910">
        <w:t>The Supplier shall, and shall procure that each Sub-contractor shall, comply with any requirement notified to it by the Authority relating to pensions in respect of any Transferring Authority Employee as set down in:</w:t>
      </w:r>
      <w:bookmarkEnd w:id="2436"/>
      <w:bookmarkEnd w:id="2437"/>
    </w:p>
    <w:p w14:paraId="4C7D9E79" w14:textId="77777777" w:rsidR="00F67E9E" w:rsidRPr="00025910" w:rsidRDefault="00F67E9E" w:rsidP="00F67E9E">
      <w:pPr>
        <w:pStyle w:val="AppendixText3"/>
      </w:pPr>
      <w:r w:rsidRPr="00025910">
        <w:t xml:space="preserve">the Cabinet Office Statement of Practice on Staff Transfers in the Public Sector of January 2000, revised December 2013; </w:t>
      </w:r>
    </w:p>
    <w:p w14:paraId="0A35604D" w14:textId="77777777" w:rsidR="00F67E9E" w:rsidRPr="00025910" w:rsidRDefault="00F67E9E" w:rsidP="00F67E9E">
      <w:pPr>
        <w:pStyle w:val="AppendixText3"/>
      </w:pPr>
      <w:r w:rsidRPr="00025910">
        <w:t>Old Fair Deal; and/or</w:t>
      </w:r>
    </w:p>
    <w:p w14:paraId="3CBC235E" w14:textId="77777777" w:rsidR="00F67E9E" w:rsidRPr="008A3F14" w:rsidRDefault="00F67E9E" w:rsidP="00F67E9E">
      <w:pPr>
        <w:pStyle w:val="AppendixText3"/>
      </w:pPr>
      <w:r w:rsidRPr="00025910">
        <w:t>the New Fair Deal.</w:t>
      </w:r>
    </w:p>
    <w:p w14:paraId="18A5AC3C" w14:textId="77777777" w:rsidR="00F67E9E" w:rsidRPr="008A3F14" w:rsidRDefault="00F67E9E" w:rsidP="00F67E9E">
      <w:pPr>
        <w:pStyle w:val="AppendixText2"/>
      </w:pPr>
      <w:r w:rsidRPr="008A3F14">
        <w:t>The Supplier acknowledges, in respect of those Transferring Authority Employees who were eligible for compensation under the terms of Civil Service Compensation Scheme (“</w:t>
      </w:r>
      <w:r w:rsidRPr="008A3F14">
        <w:rPr>
          <w:b/>
          <w:bCs/>
        </w:rPr>
        <w:t>CSCS</w:t>
      </w:r>
      <w:r w:rsidRPr="008A3F14">
        <w:t xml:space="preserve">”) immediately prior to transfer, that the right to benefits calculated in accordance with the terms of the CSCS will transfer under the Employment Regulations.  The Supplier acknowledges and accepts that for any employee who was eligible for compensation under or in accordance with the terms of the CSCS, the right to compensation, is a right to compensation in accordance with the terms of the CSCS applicable at the time at which the employee becomes entitled to such compensation (including voluntary or compulsory redundancy). Suppliers are advised to check the Civil Service Pensions website for the current CSCS terms. </w:t>
      </w:r>
    </w:p>
    <w:p w14:paraId="26CD4088" w14:textId="0F662D7A" w:rsidR="00F67E9E" w:rsidRPr="00025910" w:rsidRDefault="00F67E9E" w:rsidP="00F67E9E">
      <w:pPr>
        <w:pStyle w:val="AppendixText2"/>
      </w:pPr>
      <w:r w:rsidRPr="00025910">
        <w:t xml:space="preserve">Any changes </w:t>
      </w:r>
      <w:r>
        <w:t>necessary to this Contract as a result of changes to, or any replacement of a</w:t>
      </w:r>
      <w:r w:rsidRPr="00025910">
        <w:t xml:space="preserve">ny statement of practice, paper or other guidance that replaces any of the documentation referred to in </w:t>
      </w:r>
      <w:bookmarkStart w:id="2438" w:name="_9kMHG5YVtCIBGLHIGfTlULuE6s30p76uAEw9TI4"/>
      <w:r w:rsidRPr="00025910">
        <w:t xml:space="preserve">Paragraphs </w:t>
      </w:r>
      <w:r w:rsidRPr="00025910">
        <w:fldChar w:fldCharType="begin"/>
      </w:r>
      <w:r w:rsidRPr="00025910">
        <w:instrText xml:space="preserve"> REF _Ref_ContractCompanion_9kb9UsAF9 \n \h \t \* MERGEFORMAT </w:instrText>
      </w:r>
      <w:r w:rsidRPr="00025910">
        <w:fldChar w:fldCharType="separate"/>
      </w:r>
      <w:r w:rsidR="00302D39">
        <w:t>5.1</w:t>
      </w:r>
      <w:r w:rsidRPr="00025910">
        <w:fldChar w:fldCharType="end"/>
      </w:r>
      <w:bookmarkEnd w:id="2438"/>
      <w:r w:rsidRPr="00025910">
        <w:t xml:space="preserve"> or </w:t>
      </w:r>
      <w:bookmarkStart w:id="2439" w:name="_9kMHG5YVtCIBGLKLHgTlXiC85zt3I9sx9z26CH0"/>
      <w:r w:rsidRPr="00025910">
        <w:fldChar w:fldCharType="begin"/>
      </w:r>
      <w:r w:rsidRPr="00025910">
        <w:instrText xml:space="preserve"> REF _Ref_ContractCompanion_9kb9UsAFC \n \h \t \* MERGEFORMAT </w:instrText>
      </w:r>
      <w:r w:rsidRPr="00025910">
        <w:fldChar w:fldCharType="separate"/>
      </w:r>
      <w:r w:rsidR="00302D39">
        <w:t>5.2</w:t>
      </w:r>
      <w:r w:rsidRPr="00025910">
        <w:fldChar w:fldCharType="end"/>
      </w:r>
      <w:bookmarkEnd w:id="2439"/>
      <w:r w:rsidRPr="00025910">
        <w:t xml:space="preserve"> shall be agreed in accordance with the Change Control Procedure.</w:t>
      </w:r>
    </w:p>
    <w:p w14:paraId="2B3166DE" w14:textId="77777777" w:rsidR="00F67E9E" w:rsidRPr="00A30540" w:rsidRDefault="00F67E9E" w:rsidP="00F67E9E">
      <w:pPr>
        <w:pStyle w:val="AppendixText1"/>
        <w:numPr>
          <w:ilvl w:val="0"/>
          <w:numId w:val="75"/>
        </w:numPr>
        <w:rPr>
          <w:color w:val="1F497D"/>
        </w:rPr>
      </w:pPr>
      <w:r w:rsidRPr="00A30540">
        <w:rPr>
          <w:color w:val="1F497D"/>
        </w:rPr>
        <w:t>Pensions</w:t>
      </w:r>
    </w:p>
    <w:p w14:paraId="214414BD" w14:textId="77777777" w:rsidR="00F67E9E" w:rsidRPr="00025910" w:rsidRDefault="00F67E9E" w:rsidP="00F67E9E">
      <w:pPr>
        <w:pStyle w:val="AppendixText2"/>
      </w:pPr>
      <w:r w:rsidRPr="00025910">
        <w:t>The Supplier shall, and/or shall procure that each of its Sub-contractors shall, comply with:</w:t>
      </w:r>
    </w:p>
    <w:p w14:paraId="4BDC5214" w14:textId="77777777" w:rsidR="00F67E9E" w:rsidRPr="00025910" w:rsidRDefault="00F67E9E" w:rsidP="00F67E9E">
      <w:pPr>
        <w:pStyle w:val="AppendixText3"/>
      </w:pPr>
      <w:r w:rsidRPr="00025910">
        <w:t xml:space="preserve">the requirements of Part 1 of the Pensions Act 2008, </w:t>
      </w:r>
      <w:bookmarkStart w:id="2440" w:name="_9kR3WTr2797EJ4rcszv1GMTDy47tcX2HDAGLjOE"/>
      <w:r w:rsidRPr="00025910">
        <w:t>section 258 of the Pensions Act 2004</w:t>
      </w:r>
      <w:bookmarkEnd w:id="2440"/>
      <w:r w:rsidRPr="00025910">
        <w:t xml:space="preserve"> and the </w:t>
      </w:r>
      <w:bookmarkStart w:id="2441" w:name="_9kR3WTr2797CGeZnk3wjw7wNP777LK13Jwc7MIF"/>
      <w:r w:rsidRPr="00025910">
        <w:t>Transfer of Employment (Pension Protection) Regulations 2005</w:t>
      </w:r>
      <w:bookmarkEnd w:id="2441"/>
      <w:r w:rsidRPr="00025910">
        <w:t xml:space="preserve"> for all transferring staff; and </w:t>
      </w:r>
    </w:p>
    <w:p w14:paraId="5E45A4AD" w14:textId="316F2676" w:rsidR="00F67E9E" w:rsidRPr="00025910" w:rsidRDefault="00F67E9E" w:rsidP="00F67E9E">
      <w:pPr>
        <w:pStyle w:val="AppendixText3"/>
      </w:pPr>
      <w:r w:rsidRPr="00025910">
        <w:rPr>
          <w:color w:val="000000"/>
        </w:rPr>
        <w:fldChar w:fldCharType="begin"/>
      </w:r>
      <w:r w:rsidRPr="00025910">
        <w:rPr>
          <w:color w:val="000000"/>
        </w:rPr>
        <w:instrText xml:space="preserve"> REF Sch28PartD \h  \* MERGEFORMAT </w:instrText>
      </w:r>
      <w:r w:rsidRPr="00025910">
        <w:rPr>
          <w:color w:val="000000"/>
        </w:rPr>
      </w:r>
      <w:r w:rsidRPr="00025910">
        <w:rPr>
          <w:color w:val="000000"/>
        </w:rPr>
        <w:fldChar w:fldCharType="separate"/>
      </w:r>
      <w:r w:rsidR="00302D39" w:rsidRPr="00302D39">
        <w:rPr>
          <w:rFonts w:eastAsia="Calibri"/>
        </w:rPr>
        <w:t>Part D</w:t>
      </w:r>
      <w:r w:rsidRPr="00025910">
        <w:rPr>
          <w:color w:val="000000"/>
        </w:rPr>
        <w:fldChar w:fldCharType="end"/>
      </w:r>
      <w:r w:rsidRPr="00025910">
        <w:t xml:space="preserve"> (and its Annexes) to this Staff Transfer Schedule.</w:t>
      </w:r>
    </w:p>
    <w:p w14:paraId="30CB71C4" w14:textId="77777777" w:rsidR="00F67E9E" w:rsidRDefault="00F67E9E" w:rsidP="00F67E9E">
      <w:pPr>
        <w:pStyle w:val="Heading2"/>
        <w:pageBreakBefore/>
      </w:pPr>
      <w:bookmarkStart w:id="2442" w:name="Sch28PartB"/>
      <w:bookmarkStart w:id="2443" w:name="_Ref_ContractCompanion_9kb9Ur456"/>
      <w:bookmarkStart w:id="2444" w:name="_Ref_ContractCompanion_9kb9Us9DA"/>
      <w:bookmarkStart w:id="2445" w:name="_Ref_ContractCompanion_9kb9Ut228"/>
      <w:bookmarkStart w:id="2446" w:name="_9kR3WTr29B7FNhJfifw5qFQKjPyId8P74NG3GUM"/>
      <w:bookmarkStart w:id="2447" w:name="_Toc141711986"/>
      <w:r w:rsidRPr="00025910">
        <w:t>Part B</w:t>
      </w:r>
      <w:bookmarkEnd w:id="2442"/>
      <w:r w:rsidRPr="00025910">
        <w:t xml:space="preserve">: Transferring Former Supplier Employees </w:t>
      </w:r>
      <w:r>
        <w:t>a</w:t>
      </w:r>
      <w:r w:rsidRPr="00025910">
        <w:t xml:space="preserve">t Commencement </w:t>
      </w:r>
      <w:r>
        <w:t>o</w:t>
      </w:r>
      <w:r w:rsidRPr="00025910">
        <w:t>f Services</w:t>
      </w:r>
      <w:bookmarkEnd w:id="2443"/>
      <w:bookmarkEnd w:id="2444"/>
      <w:bookmarkEnd w:id="2445"/>
      <w:bookmarkEnd w:id="2446"/>
      <w:bookmarkEnd w:id="2447"/>
    </w:p>
    <w:p w14:paraId="07D83BC8" w14:textId="77777777" w:rsidR="00F67E9E" w:rsidRPr="00666B85" w:rsidRDefault="00F67E9E" w:rsidP="00F67E9E">
      <w:pPr>
        <w:pStyle w:val="AppendixText1"/>
        <w:numPr>
          <w:ilvl w:val="0"/>
          <w:numId w:val="76"/>
        </w:numPr>
        <w:rPr>
          <w:color w:val="1F497D"/>
        </w:rPr>
      </w:pPr>
      <w:r w:rsidRPr="00666B85">
        <w:rPr>
          <w:color w:val="1F497D"/>
        </w:rPr>
        <w:t>Relevant Transfers</w:t>
      </w:r>
    </w:p>
    <w:p w14:paraId="0D7A1764" w14:textId="77777777" w:rsidR="00F67E9E" w:rsidRPr="00025910" w:rsidRDefault="00F67E9E" w:rsidP="00F67E9E">
      <w:pPr>
        <w:pStyle w:val="AppendixText2"/>
      </w:pPr>
      <w:r w:rsidRPr="00025910">
        <w:t xml:space="preserve">The Authority and the </w:t>
      </w:r>
      <w:r w:rsidRPr="00666B85">
        <w:t>Supplier</w:t>
      </w:r>
      <w:r w:rsidRPr="00025910">
        <w:t xml:space="preserve"> agree that:</w:t>
      </w:r>
    </w:p>
    <w:p w14:paraId="1FDFFF7E" w14:textId="77777777" w:rsidR="00F67E9E" w:rsidRPr="00666B85" w:rsidRDefault="00F67E9E" w:rsidP="00F67E9E">
      <w:pPr>
        <w:pStyle w:val="AppendixText3"/>
      </w:pPr>
      <w:r w:rsidRPr="00025910">
        <w:t xml:space="preserve">the commencement of the provision of the Services or of any relevant part of the Services will be a Relevant Transfer in relation to the Transferring Former Supplier Employees; </w:t>
      </w:r>
      <w:r w:rsidRPr="00666B85">
        <w:t xml:space="preserve">and </w:t>
      </w:r>
    </w:p>
    <w:p w14:paraId="6F594609" w14:textId="77777777" w:rsidR="00F67E9E" w:rsidRPr="00025910" w:rsidRDefault="00F67E9E" w:rsidP="00F67E9E">
      <w:pPr>
        <w:pStyle w:val="AppendixText3"/>
      </w:pPr>
      <w:r w:rsidRPr="00666B85">
        <w:t>as a result of the operation of the Employment Regulations, the contracts of employment b</w:t>
      </w:r>
      <w:r w:rsidRPr="00025910">
        <w:t xml:space="preserve">etween each Former Supplier and the Transferring Former Supplier Employees (except in relation to any terms disapplied through the operation of </w:t>
      </w:r>
      <w:bookmarkStart w:id="2448" w:name="_9kMHG5YVt49BA9D5siz5mv406KLN"/>
      <w:r w:rsidRPr="00025910">
        <w:t>regulation 10</w:t>
      </w:r>
      <w:bookmarkEnd w:id="2448"/>
      <w:r w:rsidRPr="00025910">
        <w:t xml:space="preserve"> of the Employment Regulations) shall have effect on and from the Relevant Transfer Date as if originally made between the Supplier and/or Notified Sub-contractor and each such Transferring Former Supplier Employee.</w:t>
      </w:r>
    </w:p>
    <w:p w14:paraId="4EE0A920" w14:textId="77777777" w:rsidR="00F67E9E" w:rsidRPr="00025910" w:rsidRDefault="00F67E9E" w:rsidP="00F67E9E">
      <w:pPr>
        <w:pStyle w:val="AppendixText2"/>
      </w:pPr>
      <w:r w:rsidRPr="00025910">
        <w:t>The Authority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Authority shall procure that each Former Supplier makes, any necessary apportionments in respect of any periodic payments.</w:t>
      </w:r>
    </w:p>
    <w:p w14:paraId="1BC51329" w14:textId="77777777" w:rsidR="00F67E9E" w:rsidRPr="00666B85" w:rsidRDefault="00F67E9E" w:rsidP="00F67E9E">
      <w:pPr>
        <w:pStyle w:val="AppendixText1"/>
        <w:numPr>
          <w:ilvl w:val="0"/>
          <w:numId w:val="76"/>
        </w:numPr>
        <w:rPr>
          <w:color w:val="1F497D"/>
        </w:rPr>
      </w:pPr>
      <w:r w:rsidRPr="00666B85">
        <w:rPr>
          <w:color w:val="1F497D"/>
        </w:rPr>
        <w:t>Former Supplier Indemnities</w:t>
      </w:r>
    </w:p>
    <w:p w14:paraId="727CB9E6" w14:textId="35DC39C6" w:rsidR="00F67E9E" w:rsidRPr="00025910" w:rsidRDefault="00F67E9E" w:rsidP="00F67E9E">
      <w:pPr>
        <w:pStyle w:val="AppendixText2"/>
      </w:pPr>
      <w:bookmarkStart w:id="2449" w:name="_Ref_ContractCompanion_9kb9UsAG9"/>
      <w:bookmarkStart w:id="2450" w:name="_9kR3WTrAG9EKFCBcdtjnhxFBiPyzp7219NWOH3X"/>
      <w:r w:rsidRPr="00025910">
        <w:t xml:space="preserve">Subject to </w:t>
      </w:r>
      <w:bookmarkStart w:id="2451" w:name="_9kMHG5YVtCIBGMEBEgTlnxtlv529Aw7C8qY78yG"/>
      <w:r w:rsidRPr="00025910">
        <w:t xml:space="preserve">Paragraph </w:t>
      </w:r>
      <w:r w:rsidRPr="00025910">
        <w:fldChar w:fldCharType="begin"/>
      </w:r>
      <w:r w:rsidRPr="00025910">
        <w:instrText xml:space="preserve"> REF _Ref_ContractCompanion_9kb9UsAFF \n \h \t \* MERGEFORMAT </w:instrText>
      </w:r>
      <w:r w:rsidRPr="00025910">
        <w:fldChar w:fldCharType="separate"/>
      </w:r>
      <w:r w:rsidR="00302D39">
        <w:t>2.2</w:t>
      </w:r>
      <w:r w:rsidRPr="00025910">
        <w:fldChar w:fldCharType="end"/>
      </w:r>
      <w:bookmarkEnd w:id="2451"/>
      <w:r w:rsidRPr="00025910">
        <w:t>, the Authority shall procure that each Former Supplier shall indemnify the Supplier and any Notified Sub-contractor against any Employee Liabilities arising from or as a result of:</w:t>
      </w:r>
      <w:bookmarkEnd w:id="2449"/>
      <w:bookmarkEnd w:id="2450"/>
    </w:p>
    <w:p w14:paraId="35F49AA0" w14:textId="77777777" w:rsidR="00F67E9E" w:rsidRPr="00025910" w:rsidRDefault="00F67E9E" w:rsidP="00F67E9E">
      <w:pPr>
        <w:pStyle w:val="AppendixText3"/>
      </w:pPr>
      <w:r w:rsidRPr="00025910">
        <w:t>any act or omission by the Former Supplier in respect of any Transferring Former Supplier Employee or any appropriate employee representative (as defined in the Employment Regulations) of any Transferring Former Supplier Employee arising before the Relevant Transfer Date;</w:t>
      </w:r>
    </w:p>
    <w:p w14:paraId="03DCBF86" w14:textId="77777777" w:rsidR="00F67E9E" w:rsidRPr="00025910" w:rsidRDefault="00F67E9E" w:rsidP="00F67E9E">
      <w:pPr>
        <w:pStyle w:val="AppendixText3"/>
      </w:pPr>
      <w:r w:rsidRPr="00025910">
        <w:t>the breach or non-observance by the Former Supplier arising before the Relevant Transfer Date of:</w:t>
      </w:r>
    </w:p>
    <w:p w14:paraId="46AC3186" w14:textId="77777777" w:rsidR="00F67E9E" w:rsidRPr="00666B85" w:rsidRDefault="00F67E9E" w:rsidP="00F67E9E">
      <w:pPr>
        <w:pStyle w:val="AppendixText4"/>
      </w:pPr>
      <w:r w:rsidRPr="00025910">
        <w:t xml:space="preserve">any collective agreement applicable to the Transferring Former Supplier </w:t>
      </w:r>
      <w:r w:rsidRPr="00666B85">
        <w:t xml:space="preserve">Employees; and/or </w:t>
      </w:r>
    </w:p>
    <w:p w14:paraId="56F4C436" w14:textId="77777777" w:rsidR="00F67E9E" w:rsidRPr="00025910" w:rsidRDefault="00F67E9E" w:rsidP="00F67E9E">
      <w:pPr>
        <w:pStyle w:val="AppendixText4"/>
      </w:pPr>
      <w:r w:rsidRPr="00666B85">
        <w:t>any custom or practice in respect of any Transferring Former Supplier Empl</w:t>
      </w:r>
      <w:r w:rsidRPr="00025910">
        <w:t xml:space="preserve">oyees which the Former Supplier is contractually bound to honour; </w:t>
      </w:r>
    </w:p>
    <w:p w14:paraId="07181FFE" w14:textId="77777777" w:rsidR="00F67E9E" w:rsidRPr="00025910" w:rsidRDefault="00F67E9E" w:rsidP="00F67E9E">
      <w:pPr>
        <w:pStyle w:val="AppendixText3"/>
      </w:pPr>
      <w:r w:rsidRPr="00025910">
        <w:t>any proceeding, claim or demand by HMRC or other statutory authority in respect of any financial obligation including, but not limited to, PAYE and primary and secondary national insurance contributions:</w:t>
      </w:r>
    </w:p>
    <w:p w14:paraId="438FF49E" w14:textId="77777777" w:rsidR="00F67E9E" w:rsidRPr="00025910" w:rsidRDefault="00F67E9E" w:rsidP="00F67E9E">
      <w:pPr>
        <w:pStyle w:val="AppendixText4"/>
      </w:pPr>
      <w:r w:rsidRPr="00025910">
        <w:t>in relation to any Transferring Former Supplier Employee, to the extent that the proceeding, claim or demand by HMRC or other statutory authority relates to financial obligations arising before the Relevant Transfer Date; and</w:t>
      </w:r>
    </w:p>
    <w:p w14:paraId="04A824B9" w14:textId="77777777" w:rsidR="00F67E9E" w:rsidRPr="00025910" w:rsidRDefault="00F67E9E" w:rsidP="00F67E9E">
      <w:pPr>
        <w:pStyle w:val="AppendixText4"/>
      </w:pPr>
      <w:r w:rsidRPr="00025910">
        <w:t>in relation to any employee who is not a Transferring Former Supplier Employee and in respect of whom it is later alleged or determined that the Employment Regulations applied so as to transfer his/her employment from the Former Supplier to the Supplier and/or any Notified Sub-contractor as appropriate, to the extent that the proceeding, claim or demand by HMRC or other statutory authority relates to financial obligations in respect of the period to (but excluding) the Relevant Transfer Date;</w:t>
      </w:r>
    </w:p>
    <w:p w14:paraId="41958015" w14:textId="77777777" w:rsidR="00F67E9E" w:rsidRPr="00666B85" w:rsidRDefault="00F67E9E" w:rsidP="00F67E9E">
      <w:pPr>
        <w:pStyle w:val="AppendixText3"/>
      </w:pPr>
      <w:r w:rsidRPr="00025910">
        <w:t xml:space="preserve">a failure of the Former Supplier to discharge or procure the discharge of all wages, salaries and all other benefits and all PAYE tax deductions and national insurance contributions relating to the Transferring Former Supplier Employees in respect of the </w:t>
      </w:r>
      <w:r w:rsidRPr="00666B85">
        <w:t>period to (but excluding) the Relevant Transfer Date;</w:t>
      </w:r>
    </w:p>
    <w:p w14:paraId="1F5F8C48" w14:textId="77777777" w:rsidR="00F67E9E" w:rsidRPr="00666B85" w:rsidRDefault="00F67E9E" w:rsidP="00F67E9E">
      <w:pPr>
        <w:pStyle w:val="AppendixText3"/>
      </w:pPr>
      <w:r w:rsidRPr="00666B85">
        <w:t>any claim made by or in respect of any person employed or formerly employed by the Former Supplier other than a Transferring Former Supplier Employee for whom it is alleged the Supplier and/or any Notified Sub-contractor as appropriate may be liable by virtue of this Contract and/or the Employment Regulations; and</w:t>
      </w:r>
    </w:p>
    <w:p w14:paraId="2F957A27" w14:textId="77777777" w:rsidR="00F67E9E" w:rsidRPr="00025910" w:rsidRDefault="00F67E9E" w:rsidP="00F67E9E">
      <w:pPr>
        <w:pStyle w:val="AppendixText3"/>
      </w:pPr>
      <w:r w:rsidRPr="00666B85">
        <w:t>any claim made by or in respect of a Transferring Former Supplier Employee or any appropriate employee representative (as defined in the Employment Regulations) of any Transferring Former Supplier Employee relating to any act or omission</w:t>
      </w:r>
      <w:r w:rsidRPr="00025910">
        <w:t xml:space="preserve"> of the Former Supplier in relation to its obligations under regulation 13 of the Employment Regulations, except to the extent that the liability arises from the failure by the Supplier or any Sub-contractor to comply with regulation 13(4) of the Employment Regulations.</w:t>
      </w:r>
    </w:p>
    <w:p w14:paraId="147BF566" w14:textId="2DF144EA" w:rsidR="00F67E9E" w:rsidRPr="00025910" w:rsidRDefault="00F67E9E" w:rsidP="00F67E9E">
      <w:pPr>
        <w:pStyle w:val="AppendixText2"/>
      </w:pPr>
      <w:bookmarkStart w:id="2452" w:name="_9kR3WTrAG9EKC9CeRjlvrjt3078u5A6oW56wE98"/>
      <w:bookmarkStart w:id="2453" w:name="_Ref_ContractCompanion_9kb9UsAFF"/>
      <w:r w:rsidRPr="00025910">
        <w:t xml:space="preserve">The indemnities in </w:t>
      </w:r>
      <w:bookmarkStart w:id="2454" w:name="_9kMHG5YVtCIBGMHEDefvlpjzHDkR01r943BPYQJ"/>
      <w:r w:rsidRPr="00025910">
        <w:t xml:space="preserve">Paragraph </w:t>
      </w:r>
      <w:r w:rsidRPr="00025910">
        <w:fldChar w:fldCharType="begin"/>
      </w:r>
      <w:r w:rsidRPr="00025910">
        <w:instrText xml:space="preserve"> REF _Ref_ContractCompanion_9kb9UsAG9 \n \h \t \* MERGEFORMAT </w:instrText>
      </w:r>
      <w:r w:rsidRPr="00025910">
        <w:fldChar w:fldCharType="separate"/>
      </w:r>
      <w:r w:rsidR="00302D39">
        <w:t>2.1</w:t>
      </w:r>
      <w:r w:rsidRPr="00025910">
        <w:fldChar w:fldCharType="end"/>
      </w:r>
      <w:bookmarkEnd w:id="2454"/>
      <w:r w:rsidRPr="00025910">
        <w:t xml:space="preserve"> shall not apply to the extent that the Employee Liabilities arise or are attributable to an act or omission of the Supplier or any Sub-contractor whether occurring or having its origin before, on or after the Relevant Transfer Date including, without limitation, any Employee Liabilities:</w:t>
      </w:r>
      <w:bookmarkEnd w:id="2452"/>
      <w:r w:rsidRPr="00025910">
        <w:t xml:space="preserve"> </w:t>
      </w:r>
      <w:bookmarkEnd w:id="2453"/>
    </w:p>
    <w:p w14:paraId="72820B9D" w14:textId="77777777" w:rsidR="00F67E9E" w:rsidRPr="00025910" w:rsidRDefault="00F67E9E" w:rsidP="00F67E9E">
      <w:pPr>
        <w:pStyle w:val="AppendixText3"/>
      </w:pPr>
      <w:r w:rsidRPr="00025910">
        <w:t>arising out of the resignation of any Transferring Former Supplier Employee before the Relevant Transfer Date on account of substantial detrimental changes to his/her working conditions proposed by the Supplier or any Sub-contractor to occur in the period from (and including) the Relevant Transfer Date; or</w:t>
      </w:r>
    </w:p>
    <w:p w14:paraId="020483C5" w14:textId="77777777" w:rsidR="00F67E9E" w:rsidRPr="00025910" w:rsidRDefault="00F67E9E" w:rsidP="00F67E9E">
      <w:pPr>
        <w:pStyle w:val="AppendixText3"/>
      </w:pPr>
      <w:r w:rsidRPr="00025910">
        <w:t>arising from the failure by the Supplier and/or any Sub-contractor to comply with its obligations under the Employment Regulations.</w:t>
      </w:r>
    </w:p>
    <w:p w14:paraId="023FC841" w14:textId="77777777" w:rsidR="00F67E9E" w:rsidRPr="00025910" w:rsidRDefault="00F67E9E" w:rsidP="00F67E9E">
      <w:pPr>
        <w:pStyle w:val="AppendixText2"/>
      </w:pPr>
      <w:bookmarkStart w:id="2455" w:name="_Ref_ContractCompanion_9kb9UsAGF"/>
      <w:bookmarkStart w:id="2456" w:name="_9kR3WTrAG9EKLIDUEdmBEvyDB7GB46BHELG1y9P"/>
      <w:r w:rsidRPr="00025910">
        <w:t>If any person who is not identified as a Transferring Former Supplier Employee claims, or it is determined in relation to any person who is not identified as a Transferring Former Supplier Employee, that his/her contract of employment has been transferred from a Former Supplier to the Supplier and/or any Notified Sub-contractor pursuant to the Employment Regulations then:</w:t>
      </w:r>
      <w:bookmarkEnd w:id="2455"/>
      <w:bookmarkEnd w:id="2456"/>
    </w:p>
    <w:p w14:paraId="63F2151E" w14:textId="77777777" w:rsidR="00F67E9E" w:rsidRPr="00025910" w:rsidRDefault="00F67E9E" w:rsidP="00F67E9E">
      <w:pPr>
        <w:pStyle w:val="AppendixText3"/>
      </w:pPr>
      <w:bookmarkStart w:id="2457" w:name="_9kR3WTrAG9ELLHDmqykWhB74ys2H8rw8CJOFy3F"/>
      <w:bookmarkStart w:id="2458" w:name="_Ref_ContractCompanion_9kb9UsAHF"/>
      <w:r w:rsidRPr="00025910">
        <w:t>the Supplier shall, or shall procure that the Notified Sub-contractor shall, within 5 Working Days of becoming aware of that fact, give notice in writing to the Authority and, where required by the Authority, to the Former Supplier;</w:t>
      </w:r>
      <w:bookmarkEnd w:id="2457"/>
      <w:r w:rsidRPr="00025910">
        <w:t xml:space="preserve"> and</w:t>
      </w:r>
      <w:bookmarkEnd w:id="2458"/>
    </w:p>
    <w:p w14:paraId="592116E1" w14:textId="77777777" w:rsidR="00F67E9E" w:rsidRPr="00025910" w:rsidRDefault="00F67E9E" w:rsidP="00F67E9E">
      <w:pPr>
        <w:pStyle w:val="AppendixText3"/>
      </w:pPr>
      <w:bookmarkStart w:id="2459" w:name="_Ref_ContractCompanion_9kb9UsAGC"/>
      <w:bookmarkStart w:id="2460" w:name="_9kR3WTrAG9EKIFDnrykJO76u0pnHDA4y8H1ETB3"/>
      <w:r w:rsidRPr="00025910">
        <w:t>the Former Supplier may offer (or may procure that a third party may offer) employment to such person within 15 Working Days of the notification by the Supplier and/or the Notified Sub-contractor or take such other reasonable steps as the Former Supplier considers appropriate to deal with the matter provided always that such steps are in compliance with applicable Law.</w:t>
      </w:r>
      <w:bookmarkEnd w:id="2459"/>
      <w:bookmarkEnd w:id="2460"/>
    </w:p>
    <w:p w14:paraId="65779904" w14:textId="05D13E0F" w:rsidR="00F67E9E" w:rsidRPr="00025910" w:rsidRDefault="00F67E9E" w:rsidP="00F67E9E">
      <w:pPr>
        <w:pStyle w:val="AppendixText2"/>
      </w:pPr>
      <w:r w:rsidRPr="00025910">
        <w:t xml:space="preserve">If an offer referred to in </w:t>
      </w:r>
      <w:bookmarkStart w:id="2461" w:name="_9kMHG5YVtCIBGMKHFpt0mLQ98w2rpJFC60AJ3GV"/>
      <w:r w:rsidRPr="00025910">
        <w:t xml:space="preserve">Paragraph </w:t>
      </w:r>
      <w:r w:rsidRPr="00025910">
        <w:fldChar w:fldCharType="begin"/>
      </w:r>
      <w:r w:rsidRPr="00025910">
        <w:instrText xml:space="preserve"> REF _Ref_ContractCompanion_9kb9UsAGC \w \h \t \* MERGEFORMAT </w:instrText>
      </w:r>
      <w:r w:rsidRPr="00025910">
        <w:fldChar w:fldCharType="separate"/>
      </w:r>
      <w:r w:rsidR="00302D39">
        <w:t>2.3.2</w:t>
      </w:r>
      <w:r w:rsidRPr="00025910">
        <w:fldChar w:fldCharType="end"/>
      </w:r>
      <w:bookmarkEnd w:id="2461"/>
      <w:r w:rsidRPr="00025910">
        <w:t xml:space="preserve"> is accepted, or if the situation has otherwise been resolved by the Former Supplier and/or the Authority, the Supplier shall, or shall procure that the Notified Sub-contractor shall, immediately release the person from his/her employment or alleged employment.</w:t>
      </w:r>
    </w:p>
    <w:p w14:paraId="38362225" w14:textId="77321B67" w:rsidR="00F67E9E" w:rsidRPr="00025910" w:rsidRDefault="00F67E9E" w:rsidP="00F67E9E">
      <w:pPr>
        <w:pStyle w:val="AppendixText2"/>
      </w:pPr>
      <w:bookmarkStart w:id="2462" w:name="_Ref_ContractCompanion_9kb9UsAH9"/>
      <w:bookmarkStart w:id="2463" w:name="_9kR3WTrAG9ELFBFWEeyH1nlvvx069vGV1sKH9DC"/>
      <w:r w:rsidRPr="00025910">
        <w:t xml:space="preserve">If by the end of the 15 Working Day period specified in </w:t>
      </w:r>
      <w:bookmarkStart w:id="2464" w:name="_9kMIH5YVtCIBGMKHFpt0mLQ98w2rpJFC60AJ3GV"/>
      <w:r w:rsidRPr="00025910">
        <w:t xml:space="preserve">Paragraph </w:t>
      </w:r>
      <w:r w:rsidRPr="00025910">
        <w:fldChar w:fldCharType="begin"/>
      </w:r>
      <w:r w:rsidRPr="00025910">
        <w:instrText xml:space="preserve"> REF _Ref_ContractCompanion_9kb9UsAGC \w \h \t \* MERGEFORMAT </w:instrText>
      </w:r>
      <w:r w:rsidRPr="00025910">
        <w:fldChar w:fldCharType="separate"/>
      </w:r>
      <w:r w:rsidR="00302D39">
        <w:t>2.3.2</w:t>
      </w:r>
      <w:r w:rsidRPr="00025910">
        <w:fldChar w:fldCharType="end"/>
      </w:r>
      <w:bookmarkEnd w:id="2464"/>
      <w:r w:rsidRPr="00025910">
        <w:t>:</w:t>
      </w:r>
      <w:bookmarkEnd w:id="2462"/>
      <w:bookmarkEnd w:id="2463"/>
    </w:p>
    <w:p w14:paraId="0FC8AA4E" w14:textId="77777777" w:rsidR="00F67E9E" w:rsidRPr="00025910" w:rsidRDefault="00F67E9E" w:rsidP="00F67E9E">
      <w:pPr>
        <w:pStyle w:val="AppendixText3"/>
      </w:pPr>
      <w:r w:rsidRPr="00025910">
        <w:t xml:space="preserve">no such offer of employment has been made; </w:t>
      </w:r>
    </w:p>
    <w:p w14:paraId="203A230B" w14:textId="77777777" w:rsidR="00F67E9E" w:rsidRPr="00025910" w:rsidRDefault="00F67E9E" w:rsidP="00F67E9E">
      <w:pPr>
        <w:pStyle w:val="AppendixText3"/>
      </w:pPr>
      <w:r w:rsidRPr="00025910">
        <w:t>such offer has been made but not accepted; or</w:t>
      </w:r>
    </w:p>
    <w:p w14:paraId="715F1304" w14:textId="77777777" w:rsidR="00F67E9E" w:rsidRPr="00025910" w:rsidRDefault="00F67E9E" w:rsidP="00F67E9E">
      <w:pPr>
        <w:pStyle w:val="AppendixText3"/>
      </w:pPr>
      <w:r w:rsidRPr="00025910">
        <w:t>the situation has not otherwise been resolved,</w:t>
      </w:r>
    </w:p>
    <w:p w14:paraId="67697F3B" w14:textId="77777777" w:rsidR="00F67E9E" w:rsidRPr="00025910" w:rsidRDefault="00F67E9E" w:rsidP="00F67E9E">
      <w:pPr>
        <w:pStyle w:val="StdBodyText2"/>
        <w:rPr>
          <w:rFonts w:cs="Arial"/>
        </w:rPr>
      </w:pPr>
      <w:r w:rsidRPr="00025910">
        <w:rPr>
          <w:rFonts w:cs="Arial"/>
        </w:rPr>
        <w:t>the Supplier and/or any Notified Sub-contractor may within 5 Working Days give notice to terminate the employment or alleged employment of such person.</w:t>
      </w:r>
    </w:p>
    <w:p w14:paraId="5542E129" w14:textId="06DBFE4D" w:rsidR="00F67E9E" w:rsidRPr="00025910" w:rsidRDefault="00F67E9E" w:rsidP="00F67E9E">
      <w:pPr>
        <w:pStyle w:val="AppendixText2"/>
      </w:pPr>
      <w:bookmarkStart w:id="2465" w:name="_9kR3WTrAG9ELIEGhdtjnhxFBC6sepJFC60A748A"/>
      <w:bookmarkStart w:id="2466" w:name="_Ref_ContractCompanion_9kb9UsAHC"/>
      <w:r w:rsidRPr="00025910">
        <w:t xml:space="preserve">Subject to the Supplier and/or any Notified Sub-contractor acting in accordance with the provisions of </w:t>
      </w:r>
      <w:bookmarkStart w:id="2467" w:name="_9kMHG5YVtCIBGMNKFWGfoDGx0FD9ID68DJGNI30"/>
      <w:r w:rsidRPr="00025910">
        <w:t xml:space="preserve">Paragraphs </w:t>
      </w:r>
      <w:r w:rsidRPr="00025910">
        <w:fldChar w:fldCharType="begin"/>
      </w:r>
      <w:r w:rsidRPr="00025910">
        <w:instrText xml:space="preserve"> REF _Ref_ContractCompanion_9kb9UsAGF \n \h \t \* MERGEFORMAT </w:instrText>
      </w:r>
      <w:r w:rsidRPr="00025910">
        <w:fldChar w:fldCharType="separate"/>
      </w:r>
      <w:r w:rsidR="00302D39">
        <w:t>2.3</w:t>
      </w:r>
      <w:r w:rsidRPr="00025910">
        <w:fldChar w:fldCharType="end"/>
      </w:r>
      <w:bookmarkEnd w:id="2467"/>
      <w:r w:rsidRPr="00025910">
        <w:t xml:space="preserve"> to </w:t>
      </w:r>
      <w:bookmarkStart w:id="2468" w:name="_9kMHG5YVtCIBGNHDHYGg0J3pnxxz28BxIX3uMJB"/>
      <w:r w:rsidRPr="00025910">
        <w:fldChar w:fldCharType="begin"/>
      </w:r>
      <w:r w:rsidRPr="00025910">
        <w:instrText xml:space="preserve"> REF _Ref_ContractCompanion_9kb9UsAH9 \n \h \t \* MERGEFORMAT </w:instrText>
      </w:r>
      <w:r w:rsidRPr="00025910">
        <w:fldChar w:fldCharType="separate"/>
      </w:r>
      <w:r w:rsidR="00302D39">
        <w:t>2.5</w:t>
      </w:r>
      <w:r w:rsidRPr="00025910">
        <w:fldChar w:fldCharType="end"/>
      </w:r>
      <w:bookmarkEnd w:id="2468"/>
      <w:r w:rsidRPr="00025910">
        <w:t xml:space="preserve"> and in accordance with all applicable proper employment procedures set out in Law, the Authority shall procure that the Former Supplier indemnifies the Supplier and/or any Notified Sub-contractor (as appropriate) against all Employee Liabilities arising out of the termination of employment pursuant to the provisions of </w:t>
      </w:r>
      <w:bookmarkStart w:id="2469" w:name="_9kMIH5YVtCIBGNHDHYGg0J3pnxxz28BxIX3uMJB"/>
      <w:r w:rsidRPr="00025910">
        <w:t xml:space="preserve">Paragraph </w:t>
      </w:r>
      <w:r w:rsidRPr="00025910">
        <w:fldChar w:fldCharType="begin"/>
      </w:r>
      <w:r w:rsidRPr="00025910">
        <w:instrText xml:space="preserve"> REF _Ref_ContractCompanion_9kb9UsAH9 \n \h \t \* MERGEFORMAT </w:instrText>
      </w:r>
      <w:r w:rsidRPr="00025910">
        <w:fldChar w:fldCharType="separate"/>
      </w:r>
      <w:r w:rsidR="00302D39">
        <w:t>2.5</w:t>
      </w:r>
      <w:r w:rsidRPr="00025910">
        <w:fldChar w:fldCharType="end"/>
      </w:r>
      <w:bookmarkEnd w:id="2469"/>
      <w:r w:rsidRPr="00025910">
        <w:t xml:space="preserve"> provided that the Supplier takes, or shall procure that the Notified Sub-contractor takes, all reasonable steps to minimise any such Employee Liabilities.</w:t>
      </w:r>
      <w:bookmarkEnd w:id="2465"/>
      <w:bookmarkEnd w:id="2466"/>
    </w:p>
    <w:p w14:paraId="01C4BCDD" w14:textId="5B43440F" w:rsidR="00F67E9E" w:rsidRPr="00025910" w:rsidRDefault="00F67E9E" w:rsidP="00F67E9E">
      <w:pPr>
        <w:pStyle w:val="AppendixText2"/>
      </w:pPr>
      <w:r w:rsidRPr="00025910">
        <w:t xml:space="preserve">The indemnity in </w:t>
      </w:r>
      <w:bookmarkStart w:id="2470" w:name="_9kMHG5YVtCIBGNKGIjfvlpjzHDE8ugrLHE82C96"/>
      <w:r w:rsidRPr="00025910">
        <w:t xml:space="preserve">Paragraph </w:t>
      </w:r>
      <w:r w:rsidRPr="00025910">
        <w:fldChar w:fldCharType="begin"/>
      </w:r>
      <w:r w:rsidRPr="00025910">
        <w:instrText xml:space="preserve"> REF _Ref_ContractCompanion_9kb9UsAHC \n \h \t \* MERGEFORMAT </w:instrText>
      </w:r>
      <w:r w:rsidRPr="00025910">
        <w:fldChar w:fldCharType="separate"/>
      </w:r>
      <w:r w:rsidR="00302D39">
        <w:t>2.6</w:t>
      </w:r>
      <w:r w:rsidRPr="00025910">
        <w:fldChar w:fldCharType="end"/>
      </w:r>
      <w:bookmarkEnd w:id="2470"/>
      <w:r w:rsidRPr="00025910">
        <w:t>:</w:t>
      </w:r>
    </w:p>
    <w:p w14:paraId="738E0B07" w14:textId="77777777" w:rsidR="00F67E9E" w:rsidRPr="00025910" w:rsidRDefault="00F67E9E" w:rsidP="00F67E9E">
      <w:pPr>
        <w:pStyle w:val="AppendixText3"/>
      </w:pPr>
      <w:r w:rsidRPr="00025910">
        <w:t>shall not apply to:</w:t>
      </w:r>
    </w:p>
    <w:p w14:paraId="2B49F3D9" w14:textId="77777777" w:rsidR="00F67E9E" w:rsidRPr="00666B85" w:rsidRDefault="00F67E9E" w:rsidP="00F67E9E">
      <w:pPr>
        <w:pStyle w:val="AppendixText4"/>
      </w:pPr>
      <w:r w:rsidRPr="00025910">
        <w:t xml:space="preserve">any </w:t>
      </w:r>
      <w:r w:rsidRPr="00666B85">
        <w:t>claim for:</w:t>
      </w:r>
    </w:p>
    <w:p w14:paraId="4F1C9064" w14:textId="77777777" w:rsidR="00F67E9E" w:rsidRPr="00666B85" w:rsidRDefault="00F67E9E" w:rsidP="00F67E9E">
      <w:pPr>
        <w:pStyle w:val="AppendixText4"/>
      </w:pPr>
      <w:r w:rsidRPr="00666B85">
        <w:t>discrimination, including on the grounds of sex, race, disability, age, gender reassignment, marriage or civil partnership, pregnancy and maternity or sexual orientation, religion or belief; or</w:t>
      </w:r>
    </w:p>
    <w:p w14:paraId="15DC2DE3" w14:textId="77777777" w:rsidR="00F67E9E" w:rsidRPr="00666B85" w:rsidRDefault="00F67E9E" w:rsidP="00F67E9E">
      <w:pPr>
        <w:pStyle w:val="AppendixText4"/>
      </w:pPr>
      <w:r w:rsidRPr="00666B85">
        <w:t>equal pay or compensation for less favourable treatment of part-time workers or fixed-term employees,</w:t>
      </w:r>
    </w:p>
    <w:p w14:paraId="3AD923F9" w14:textId="77777777" w:rsidR="00F67E9E" w:rsidRPr="00666B85" w:rsidRDefault="00F67E9E" w:rsidP="00F67E9E">
      <w:pPr>
        <w:pStyle w:val="AppendixText4"/>
      </w:pPr>
      <w:r w:rsidRPr="00666B85">
        <w:t>in any case in relation to any alleged act or omission of the Supplier and/or any Sub-contractor; or</w:t>
      </w:r>
    </w:p>
    <w:p w14:paraId="3745DE60" w14:textId="77777777" w:rsidR="00F67E9E" w:rsidRPr="00025910" w:rsidRDefault="00F67E9E" w:rsidP="00F67E9E">
      <w:pPr>
        <w:pStyle w:val="AppendixText4"/>
      </w:pPr>
      <w:r w:rsidRPr="00666B85">
        <w:t>any claim that the termination of employment was unfair because the Supplier</w:t>
      </w:r>
      <w:r w:rsidRPr="00025910">
        <w:t xml:space="preserve"> and/or Notified Sub-contractor neglected to follow a fair dismissal procedure; and</w:t>
      </w:r>
    </w:p>
    <w:p w14:paraId="0E70D754" w14:textId="43776AB4" w:rsidR="00F67E9E" w:rsidRPr="00025910" w:rsidRDefault="00F67E9E" w:rsidP="00F67E9E">
      <w:pPr>
        <w:pStyle w:val="AppendixText3"/>
      </w:pPr>
      <w:r w:rsidRPr="00025910">
        <w:t xml:space="preserve">shall apply only where the notification referred to in </w:t>
      </w:r>
      <w:bookmarkStart w:id="2471" w:name="_9kMHG5YVtCIBGNNJFos0mYjD960u4JAtyAELQH0"/>
      <w:r w:rsidRPr="00025910">
        <w:t xml:space="preserve">Paragraph </w:t>
      </w:r>
      <w:r w:rsidRPr="00025910">
        <w:fldChar w:fldCharType="begin"/>
      </w:r>
      <w:r w:rsidRPr="00025910">
        <w:instrText xml:space="preserve"> REF _Ref_ContractCompanion_9kb9UsAHF \w \h \t \* MERGEFORMAT </w:instrText>
      </w:r>
      <w:r w:rsidRPr="00025910">
        <w:fldChar w:fldCharType="separate"/>
      </w:r>
      <w:r w:rsidR="00302D39">
        <w:t>2.3.1</w:t>
      </w:r>
      <w:r w:rsidRPr="00025910">
        <w:fldChar w:fldCharType="end"/>
      </w:r>
      <w:bookmarkEnd w:id="2471"/>
      <w:r w:rsidRPr="00025910">
        <w:t xml:space="preserve"> is made by the Supplier and/or any Notified Sub-contractor (as appropriate) to the Authority and, if applicable, the Former Supplier, within 6 months of the </w:t>
      </w:r>
      <w:r>
        <w:t>Relevant Transfer</w:t>
      </w:r>
      <w:r w:rsidRPr="00025910">
        <w:t xml:space="preserve"> Date. </w:t>
      </w:r>
    </w:p>
    <w:p w14:paraId="1A016BD0" w14:textId="3BAFB1A3" w:rsidR="00F67E9E" w:rsidRPr="00025910" w:rsidRDefault="00F67E9E" w:rsidP="00F67E9E">
      <w:pPr>
        <w:pStyle w:val="AppendixText2"/>
      </w:pPr>
      <w:bookmarkStart w:id="2472" w:name="_Ref_ContractCompanion_9kb9UsAIC"/>
      <w:bookmarkStart w:id="2473" w:name="_9kR3WTrAG9EMIDIZEdmBHEzn1z2HFBy4DEAxDCC"/>
      <w:r w:rsidRPr="00025910">
        <w:t xml:space="preserve">If any such person as is described in </w:t>
      </w:r>
      <w:bookmarkStart w:id="2474" w:name="_9kMIH5YVtCIBGMNKFWGfoDGx0FD9ID68DJGNI30"/>
      <w:r w:rsidRPr="00025910">
        <w:t xml:space="preserve">Paragraph </w:t>
      </w:r>
      <w:r w:rsidRPr="00025910">
        <w:fldChar w:fldCharType="begin"/>
      </w:r>
      <w:r w:rsidRPr="00025910">
        <w:instrText xml:space="preserve"> REF _Ref_ContractCompanion_9kb9UsAGF \n \h \t \* MERGEFORMAT </w:instrText>
      </w:r>
      <w:r w:rsidRPr="00025910">
        <w:fldChar w:fldCharType="separate"/>
      </w:r>
      <w:r w:rsidR="00302D39">
        <w:t>2.3</w:t>
      </w:r>
      <w:r w:rsidRPr="00025910">
        <w:fldChar w:fldCharType="end"/>
      </w:r>
      <w:bookmarkEnd w:id="2474"/>
      <w:r w:rsidRPr="00025910">
        <w:t xml:space="preserve"> is neither re-employed by the Former Supplier nor dismissed by the Supplier and/or any Notified Sub-contractor within the time scales set out in </w:t>
      </w:r>
      <w:bookmarkStart w:id="2475" w:name="_9kMJI5YVtCIBGNHDHYGg0J3pnxxz28BxIX3uMJB"/>
      <w:r w:rsidRPr="00025910">
        <w:t xml:space="preserve">Paragraph </w:t>
      </w:r>
      <w:r w:rsidRPr="00025910">
        <w:fldChar w:fldCharType="begin"/>
      </w:r>
      <w:r w:rsidRPr="00025910">
        <w:instrText xml:space="preserve"> REF _Ref_ContractCompanion_9kb9UsAH9 \n \h \t \* MERGEFORMAT </w:instrText>
      </w:r>
      <w:r w:rsidRPr="00025910">
        <w:fldChar w:fldCharType="separate"/>
      </w:r>
      <w:r w:rsidR="00302D39">
        <w:t>2.5</w:t>
      </w:r>
      <w:r w:rsidRPr="00025910">
        <w:fldChar w:fldCharType="end"/>
      </w:r>
      <w:bookmarkEnd w:id="2475"/>
      <w:r w:rsidRPr="00025910">
        <w:t xml:space="preserve">, such person shall be treated as having transferred to the Supplier or Notified Sub-contractor and the Supplier shall, or shall </w:t>
      </w:r>
      <w:bookmarkEnd w:id="2472"/>
      <w:bookmarkEnd w:id="2473"/>
      <w:r w:rsidRPr="00B066EC">
        <w:t xml:space="preserve">(a) comply with such obligations as may be imposed upon it under the Law and (b) comply with the provisions of </w:t>
      </w:r>
      <w:r>
        <w:fldChar w:fldCharType="begin"/>
      </w:r>
      <w:r>
        <w:instrText xml:space="preserve"> REF Sch28PartD \h </w:instrText>
      </w:r>
      <w:r>
        <w:fldChar w:fldCharType="separate"/>
      </w:r>
      <w:r w:rsidR="00302D39" w:rsidRPr="00025910">
        <w:t>Part D</w:t>
      </w:r>
      <w:r>
        <w:fldChar w:fldCharType="end"/>
      </w:r>
      <w:r w:rsidRPr="00B066EC">
        <w:t xml:space="preserve"> (</w:t>
      </w:r>
      <w:r w:rsidRPr="00B6750E">
        <w:rPr>
          <w:i/>
          <w:iCs/>
        </w:rPr>
        <w:fldChar w:fldCharType="begin"/>
      </w:r>
      <w:r w:rsidRPr="00B6750E">
        <w:rPr>
          <w:i/>
          <w:iCs/>
        </w:rPr>
        <w:instrText xml:space="preserve"> REF PartDSchedule28Heading \h </w:instrText>
      </w:r>
      <w:r>
        <w:rPr>
          <w:i/>
          <w:iCs/>
        </w:rPr>
        <w:instrText xml:space="preserve"> \* MERGEFORMAT </w:instrText>
      </w:r>
      <w:r w:rsidRPr="00B6750E">
        <w:rPr>
          <w:i/>
          <w:iCs/>
        </w:rPr>
      </w:r>
      <w:r w:rsidRPr="00B6750E">
        <w:rPr>
          <w:i/>
          <w:iCs/>
        </w:rPr>
        <w:fldChar w:fldCharType="separate"/>
      </w:r>
      <w:r w:rsidR="00302D39" w:rsidRPr="00302D39">
        <w:rPr>
          <w:i/>
          <w:iCs/>
        </w:rPr>
        <w:t>Pensions</w:t>
      </w:r>
      <w:r w:rsidRPr="00B6750E">
        <w:rPr>
          <w:i/>
          <w:iCs/>
        </w:rPr>
        <w:fldChar w:fldCharType="end"/>
      </w:r>
      <w:r w:rsidRPr="00B066EC">
        <w:t>) and its Annexes of this Staff Transfer Schedule.</w:t>
      </w:r>
    </w:p>
    <w:p w14:paraId="4391CA2D" w14:textId="77777777" w:rsidR="00F67E9E" w:rsidRPr="00666B85" w:rsidRDefault="00F67E9E" w:rsidP="00F67E9E">
      <w:pPr>
        <w:pStyle w:val="AppendixText1"/>
        <w:numPr>
          <w:ilvl w:val="0"/>
          <w:numId w:val="76"/>
        </w:numPr>
        <w:rPr>
          <w:color w:val="1F497D"/>
        </w:rPr>
      </w:pPr>
      <w:r w:rsidRPr="00666B85">
        <w:rPr>
          <w:color w:val="1F497D"/>
        </w:rPr>
        <w:t>Supplier Indemnities and Obligations</w:t>
      </w:r>
    </w:p>
    <w:p w14:paraId="4B06025A" w14:textId="1E7E3465" w:rsidR="00F67E9E" w:rsidRPr="00025910" w:rsidRDefault="00F67E9E" w:rsidP="00F67E9E">
      <w:pPr>
        <w:pStyle w:val="AppendixText2"/>
      </w:pPr>
      <w:bookmarkStart w:id="2476" w:name="_Ref_ContractCompanion_9kb9UsAIF"/>
      <w:bookmarkStart w:id="2477" w:name="_9kR3WTrAG9EMLHCcdtjnhxFBiPyzp7219OXOH3p"/>
      <w:r w:rsidRPr="00025910">
        <w:t xml:space="preserve">Subject to </w:t>
      </w:r>
      <w:bookmarkStart w:id="2478" w:name="_9kMHG5YVtCIBGOHDFgTlnxtlv529Aw7C8qY78yG"/>
      <w:r w:rsidRPr="00025910">
        <w:t xml:space="preserve">Paragraph </w:t>
      </w:r>
      <w:r w:rsidRPr="00025910">
        <w:fldChar w:fldCharType="begin"/>
      </w:r>
      <w:r w:rsidRPr="00025910">
        <w:instrText xml:space="preserve"> REF _Ref_ContractCompanion_9kb9UsAHI \n \h \t \* MERGEFORMAT </w:instrText>
      </w:r>
      <w:r w:rsidRPr="00025910">
        <w:fldChar w:fldCharType="separate"/>
      </w:r>
      <w:r w:rsidR="00302D39">
        <w:t>3.2</w:t>
      </w:r>
      <w:r w:rsidRPr="00025910">
        <w:fldChar w:fldCharType="end"/>
      </w:r>
      <w:bookmarkEnd w:id="2478"/>
      <w:r w:rsidRPr="00025910">
        <w:t>, the Supplier shall indemnify the Authority and/or the Former Supplier against any Employee Liabilities arising from or as a result of:</w:t>
      </w:r>
      <w:bookmarkEnd w:id="2476"/>
      <w:bookmarkEnd w:id="2477"/>
    </w:p>
    <w:p w14:paraId="40952703" w14:textId="77777777" w:rsidR="00F67E9E" w:rsidRPr="00666B85" w:rsidRDefault="00F67E9E" w:rsidP="00F67E9E">
      <w:pPr>
        <w:pStyle w:val="AppendixText3"/>
      </w:pPr>
      <w:r w:rsidRPr="00025910">
        <w:t xml:space="preserve">any act or omission by the Supplier or any Sub-contractor in respect of any Transferring Former Supplier Employee or any appropriate employee representative (as defined in the Employment Regulations) of any Transferring Former Supplier Employee whether occurring before, on or after the Relevant </w:t>
      </w:r>
      <w:r w:rsidRPr="00666B85">
        <w:t>Transfer Date;</w:t>
      </w:r>
    </w:p>
    <w:p w14:paraId="350682A5" w14:textId="77777777" w:rsidR="00F67E9E" w:rsidRPr="00025910" w:rsidRDefault="00F67E9E" w:rsidP="00F67E9E">
      <w:pPr>
        <w:pStyle w:val="AppendixText3"/>
      </w:pPr>
      <w:r w:rsidRPr="00666B85">
        <w:t>the b</w:t>
      </w:r>
      <w:r w:rsidRPr="00025910">
        <w:t>reach or non-observance by the Supplier or any Sub-contractor on or after the Relevant Transfer Date of:</w:t>
      </w:r>
    </w:p>
    <w:p w14:paraId="55CEC4A3" w14:textId="77777777" w:rsidR="00F67E9E" w:rsidRPr="00666B85" w:rsidRDefault="00F67E9E" w:rsidP="00F67E9E">
      <w:pPr>
        <w:pStyle w:val="AppendixText4"/>
      </w:pPr>
      <w:r w:rsidRPr="00025910">
        <w:t xml:space="preserve">any collective agreement applicable to the Transferring Former Supplier </w:t>
      </w:r>
      <w:r w:rsidRPr="00666B85">
        <w:t>Employee; and/or</w:t>
      </w:r>
    </w:p>
    <w:p w14:paraId="785A931A" w14:textId="77777777" w:rsidR="00F67E9E" w:rsidRPr="00025910" w:rsidRDefault="00F67E9E" w:rsidP="00F67E9E">
      <w:pPr>
        <w:pStyle w:val="AppendixText4"/>
      </w:pPr>
      <w:r w:rsidRPr="00666B85">
        <w:t>any custom or practice in respect of any Transferring Former Supplier Emplo</w:t>
      </w:r>
      <w:r w:rsidRPr="00025910">
        <w:t>yees which the Supplier or any Sub-contractor is contractually bound to honour;</w:t>
      </w:r>
    </w:p>
    <w:p w14:paraId="45CA503F" w14:textId="77777777" w:rsidR="00F67E9E" w:rsidRPr="00025910" w:rsidRDefault="00F67E9E" w:rsidP="00F67E9E">
      <w:pPr>
        <w:pStyle w:val="AppendixText3"/>
      </w:pPr>
      <w:r w:rsidRPr="00025910">
        <w:t>any claim by any trade union or other body or person representing any Transferring Former Supplier Employees arising from or connected with any failure by the Supplier or a Sub-contractor to comply with any legal obligation to such trade union, body or person arising on or after the Relevant Transfer Date;</w:t>
      </w:r>
    </w:p>
    <w:p w14:paraId="7D7547D7" w14:textId="77777777" w:rsidR="00F67E9E" w:rsidRPr="00025910" w:rsidRDefault="00F67E9E" w:rsidP="00F67E9E">
      <w:pPr>
        <w:pStyle w:val="AppendixText3"/>
      </w:pPr>
      <w:r w:rsidRPr="00025910">
        <w:t xml:space="preserve">any proposal by the Supplier or a Sub-contractor prior to the Relevant Transfer Date to make changes to the terms and conditions of employment or working conditions of any Transferring Former Supplier Employees to their material detriment on or after their transfer to the Supplier or a Sub-contractor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14:paraId="175203D6" w14:textId="77777777" w:rsidR="00F67E9E" w:rsidRPr="00666B85" w:rsidRDefault="00F67E9E" w:rsidP="00F67E9E">
      <w:pPr>
        <w:pStyle w:val="AppendixText3"/>
      </w:pPr>
      <w:r w:rsidRPr="00025910">
        <w:t xml:space="preserve">any statement communicated to or action undertaken by the Supplier or a Sub-contractor to, or in respect of, any Transferring Former Supplier Employee before the Relevant </w:t>
      </w:r>
      <w:r w:rsidRPr="00666B85">
        <w:t>Transfer Date regarding the Relevant Transfer which has not been agreed in advance with the Authority and/or the Former Supplier in writing;</w:t>
      </w:r>
    </w:p>
    <w:p w14:paraId="4069DE9E" w14:textId="77777777" w:rsidR="00F67E9E" w:rsidRPr="00025910" w:rsidRDefault="00F67E9E" w:rsidP="00F67E9E">
      <w:pPr>
        <w:pStyle w:val="AppendixText3"/>
      </w:pPr>
      <w:r w:rsidRPr="00666B85">
        <w:t>any proceeding, cla</w:t>
      </w:r>
      <w:r w:rsidRPr="00025910">
        <w:t>im or demand by HMRC or other statutory authority in respect of any financial obligation including, but not limited to, PAYE and primary and secondary national insurance contributions:</w:t>
      </w:r>
    </w:p>
    <w:p w14:paraId="388E1DE1" w14:textId="77777777" w:rsidR="00F67E9E" w:rsidRPr="00025910" w:rsidRDefault="00F67E9E" w:rsidP="00F67E9E">
      <w:pPr>
        <w:pStyle w:val="AppendixText4"/>
      </w:pPr>
      <w:r w:rsidRPr="00025910">
        <w:t>in relation to any Transferring Former Supplier Employee, to the extent that the proceeding, claim or demand by HMRC or other statutory authority relates to financial obligations arising on or after the Relevant Transfer Date; and</w:t>
      </w:r>
    </w:p>
    <w:p w14:paraId="3F1D0958" w14:textId="77777777" w:rsidR="00F67E9E" w:rsidRPr="00025910" w:rsidRDefault="00F67E9E" w:rsidP="00F67E9E">
      <w:pPr>
        <w:pStyle w:val="AppendixText4"/>
      </w:pPr>
      <w:r w:rsidRPr="00025910">
        <w:t>in relation to any employee who is not a Transferring Former Supplier Employee, and in respect of whom it is later alleged or determined that the Employment Regulations applied so as to transfer his/her employment from the Former Supplier to the Supplier or a Sub-contractor, to the extent that the proceeding, claim or demand by the HMRC or other statutory authority relates to financial obligations arising on or after the Relevant Transfer Date;</w:t>
      </w:r>
    </w:p>
    <w:p w14:paraId="57FC4F2E" w14:textId="77777777" w:rsidR="00F67E9E" w:rsidRPr="00666B85" w:rsidRDefault="00F67E9E" w:rsidP="00F67E9E">
      <w:pPr>
        <w:pStyle w:val="AppendixText3"/>
      </w:pPr>
      <w:r w:rsidRPr="00025910">
        <w:t>a failure of the Supplier or any Sub-contractor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w:t>
      </w:r>
      <w:r w:rsidRPr="00666B85">
        <w:t xml:space="preserve">; </w:t>
      </w:r>
    </w:p>
    <w:p w14:paraId="05768C3A" w14:textId="77777777" w:rsidR="00F67E9E" w:rsidRPr="00666B85" w:rsidRDefault="00F67E9E" w:rsidP="00F67E9E">
      <w:pPr>
        <w:pStyle w:val="AppendixText3"/>
      </w:pPr>
      <w:r w:rsidRPr="00666B85">
        <w:t>any claim made by or in respect of a Transferring Former Supplier Employee or any appropriate employee representative (as defined in the Employment Regulations) of any Transferring Former Supplier Employee relating to any act or omission of the Supplier or any Sub-contractor in relation to obligations under regulation 13 of the Employment Regulations, except to the extent that the liability arises from the Former Supplier’s failure to comply with its obligations under regulation 13</w:t>
      </w:r>
      <w:r>
        <w:t>(4)</w:t>
      </w:r>
      <w:r w:rsidRPr="00666B85">
        <w:t xml:space="preserve"> of the Employment Regulations; and</w:t>
      </w:r>
    </w:p>
    <w:p w14:paraId="2FEE51DB" w14:textId="00DBE4DF" w:rsidR="00F67E9E" w:rsidRPr="00025910" w:rsidRDefault="00F67E9E" w:rsidP="00F67E9E">
      <w:pPr>
        <w:pStyle w:val="AppendixText3"/>
      </w:pPr>
      <w:r w:rsidRPr="00666B85">
        <w:t>a</w:t>
      </w:r>
      <w:r w:rsidRPr="00025910">
        <w:t xml:space="preserve"> failure by the Supplier or any Sub-Contractor to comply with its obligations under </w:t>
      </w:r>
      <w:bookmarkStart w:id="2479" w:name="_9kMHG5YVtCIBGOKFKbGfoDJG1p314JHD06FGCzF"/>
      <w:r w:rsidRPr="00025910">
        <w:t xml:space="preserve">Paragraph </w:t>
      </w:r>
      <w:r w:rsidRPr="00025910">
        <w:fldChar w:fldCharType="begin"/>
      </w:r>
      <w:r w:rsidRPr="00025910">
        <w:instrText xml:space="preserve"> REF _Ref_ContractCompanion_9kb9UsAIC \n \h \t \* MERGEFORMAT </w:instrText>
      </w:r>
      <w:r w:rsidRPr="00025910">
        <w:fldChar w:fldCharType="separate"/>
      </w:r>
      <w:r w:rsidR="00302D39">
        <w:t>2.8</w:t>
      </w:r>
      <w:r w:rsidRPr="00025910">
        <w:fldChar w:fldCharType="end"/>
      </w:r>
      <w:bookmarkEnd w:id="2479"/>
      <w:r w:rsidRPr="00025910">
        <w:t xml:space="preserve"> above</w:t>
      </w:r>
    </w:p>
    <w:p w14:paraId="64C70EA8" w14:textId="754B4031" w:rsidR="00F67E9E" w:rsidRPr="00025910" w:rsidRDefault="00F67E9E" w:rsidP="00F67E9E">
      <w:pPr>
        <w:pStyle w:val="AppendixText2"/>
      </w:pPr>
      <w:bookmarkStart w:id="2480" w:name="_Ref_ContractCompanion_9kb9UsAHI"/>
      <w:bookmarkStart w:id="2481" w:name="_9kR3WTrAG9EMFBDeRjlvrjt3078u5A6oW56wE98"/>
      <w:r w:rsidRPr="00025910">
        <w:t xml:space="preserve">The indemnities in </w:t>
      </w:r>
      <w:bookmarkStart w:id="2482" w:name="_9kMHG5YVtCIBGONJEefvlpjzHDkR01r943BQZQJ"/>
      <w:r w:rsidRPr="00025910">
        <w:t xml:space="preserve">Paragraph </w:t>
      </w:r>
      <w:r w:rsidRPr="00025910">
        <w:fldChar w:fldCharType="begin"/>
      </w:r>
      <w:r w:rsidRPr="00025910">
        <w:instrText xml:space="preserve"> REF _Ref_ContractCompanion_9kb9UsAIF \n \h \t \* MERGEFORMAT </w:instrText>
      </w:r>
      <w:r w:rsidRPr="00025910">
        <w:fldChar w:fldCharType="separate"/>
      </w:r>
      <w:r w:rsidR="00302D39">
        <w:t>3.1</w:t>
      </w:r>
      <w:r w:rsidRPr="00025910">
        <w:fldChar w:fldCharType="end"/>
      </w:r>
      <w:bookmarkEnd w:id="2482"/>
      <w:r w:rsidRPr="00025910">
        <w:t xml:space="preserve">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w:t>
      </w:r>
      <w:r>
        <w:t>’</w:t>
      </w:r>
      <w:r w:rsidRPr="00025910">
        <w:t>s failure to comply with its obligations under the Employment Regulations.</w:t>
      </w:r>
      <w:bookmarkEnd w:id="2480"/>
      <w:bookmarkEnd w:id="2481"/>
    </w:p>
    <w:p w14:paraId="438A238A" w14:textId="77777777" w:rsidR="00F67E9E" w:rsidRPr="00025910" w:rsidRDefault="00F67E9E" w:rsidP="00F67E9E">
      <w:pPr>
        <w:pStyle w:val="AppendixText2"/>
      </w:pPr>
      <w:r w:rsidRPr="00025910">
        <w:t>The Supplier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and shall procure that each Sub-contractor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and any other sums due under the Admission Agreement which in any case are attributable in whole or in part to the period from (and including) the Relevant Transfer Date) and any necessary apportionments in respect of any periodic payments shall be made between the Supplier and the Former Supplier.</w:t>
      </w:r>
    </w:p>
    <w:p w14:paraId="25823D2D" w14:textId="77777777" w:rsidR="00F67E9E" w:rsidRPr="00666B85" w:rsidRDefault="00F67E9E" w:rsidP="00F67E9E">
      <w:pPr>
        <w:pStyle w:val="AppendixText1"/>
        <w:numPr>
          <w:ilvl w:val="0"/>
          <w:numId w:val="76"/>
        </w:numPr>
        <w:rPr>
          <w:color w:val="1F497D"/>
        </w:rPr>
      </w:pPr>
      <w:r w:rsidRPr="00666B85">
        <w:rPr>
          <w:color w:val="1F497D"/>
        </w:rPr>
        <w:t>Information</w:t>
      </w:r>
    </w:p>
    <w:p w14:paraId="1071AB3C" w14:textId="77777777" w:rsidR="00F67E9E" w:rsidRPr="00025910" w:rsidRDefault="00F67E9E" w:rsidP="00F67E9E">
      <w:pPr>
        <w:pStyle w:val="AppendixText2"/>
      </w:pPr>
      <w:r w:rsidRPr="00025910">
        <w:t>The Supplier shall, and shall procure that each Sub-contractor shall, promptly provide to the Authority and/or at the Authority</w:t>
      </w:r>
      <w:r>
        <w:t>’</w:t>
      </w:r>
      <w:r w:rsidRPr="00025910">
        <w:t>s direction, the Former Supplier, in writing such information as is necessary to enable the Authority and/or the Former Supplier to carry out their respective duties under regulation 13 of the Employment Regulations. The Authority shall procure that the Former Supplier shall promptly provide to the Supplier and each Notified Sub-contractor in writing such information as is necessary to enable the Supplier and each Notified Sub-contractor to carry out their respective duties under regulation 13 of the Employment Regulations.</w:t>
      </w:r>
    </w:p>
    <w:p w14:paraId="73C2E600" w14:textId="77777777" w:rsidR="00F67E9E" w:rsidRPr="00666B85" w:rsidRDefault="00F67E9E" w:rsidP="00F67E9E">
      <w:pPr>
        <w:pStyle w:val="AppendixText1"/>
        <w:numPr>
          <w:ilvl w:val="0"/>
          <w:numId w:val="76"/>
        </w:numPr>
        <w:rPr>
          <w:color w:val="1F497D"/>
        </w:rPr>
      </w:pPr>
      <w:r w:rsidRPr="00666B85">
        <w:rPr>
          <w:color w:val="1F497D"/>
        </w:rPr>
        <w:t>Principles of Good Employment Practice</w:t>
      </w:r>
    </w:p>
    <w:p w14:paraId="16FE799A" w14:textId="77777777" w:rsidR="00F67E9E" w:rsidRPr="00025910" w:rsidRDefault="00F67E9E" w:rsidP="00F67E9E">
      <w:pPr>
        <w:pStyle w:val="AppendixText2"/>
      </w:pPr>
      <w:bookmarkStart w:id="2483" w:name="_Ref_ContractCompanion_9kb9UsAII"/>
      <w:bookmarkStart w:id="2484" w:name="_9kR3WTrAG9ENFCEdRjVgA63xr1G7qv7x04AFy3F"/>
      <w:r w:rsidRPr="00025910">
        <w:t>The Supplier shall, and shall procure that each Sub-contractor shall, comply with any requirement notified to it by the Authority relating to pensions in respect of any Transferring Former Supplier Employee as set down in:</w:t>
      </w:r>
      <w:bookmarkEnd w:id="2483"/>
      <w:bookmarkEnd w:id="2484"/>
    </w:p>
    <w:p w14:paraId="3B8BB621" w14:textId="77777777" w:rsidR="00F67E9E" w:rsidRPr="00025910" w:rsidRDefault="00F67E9E" w:rsidP="00F67E9E">
      <w:pPr>
        <w:pStyle w:val="AppendixText3"/>
      </w:pPr>
      <w:r w:rsidRPr="00025910">
        <w:t>the Cabinet Office Statement of Practice on Staff Transfers in the Public Sector of January 2000, revised December 2013;</w:t>
      </w:r>
    </w:p>
    <w:p w14:paraId="79D6D7C4" w14:textId="77777777" w:rsidR="00F67E9E" w:rsidRPr="00025910" w:rsidRDefault="00F67E9E" w:rsidP="00F67E9E">
      <w:pPr>
        <w:pStyle w:val="AppendixText3"/>
      </w:pPr>
      <w:r w:rsidRPr="00025910">
        <w:t>Old Fair Deal; and/or</w:t>
      </w:r>
    </w:p>
    <w:p w14:paraId="42207ADB" w14:textId="77777777" w:rsidR="00F67E9E" w:rsidRPr="00025910" w:rsidRDefault="00F67E9E" w:rsidP="00F67E9E">
      <w:pPr>
        <w:pStyle w:val="AppendixText3"/>
      </w:pPr>
      <w:r w:rsidRPr="00025910">
        <w:t>the New Fair Deal.</w:t>
      </w:r>
    </w:p>
    <w:p w14:paraId="7315F8C0" w14:textId="58AA501E" w:rsidR="00F67E9E" w:rsidRPr="00025910" w:rsidRDefault="00F67E9E" w:rsidP="00F67E9E">
      <w:pPr>
        <w:pStyle w:val="AppendixText2"/>
      </w:pPr>
      <w:r w:rsidRPr="00025910">
        <w:t xml:space="preserve">Any changes </w:t>
      </w:r>
      <w:r w:rsidRPr="003275AF">
        <w:t xml:space="preserve">necessary to this Contract as a result of changes embodied to, or any replacement of </w:t>
      </w:r>
      <w:r w:rsidRPr="00025910">
        <w:t xml:space="preserve">any statement of practice, paper or other guidance that replaces any of the documentation referred to in </w:t>
      </w:r>
      <w:bookmarkStart w:id="2485" w:name="_9kMHG5YVtCIBGPHEGfTlXiC85zt3I9sx9z26CH0"/>
      <w:r w:rsidRPr="00025910">
        <w:t xml:space="preserve">Paragraph </w:t>
      </w:r>
      <w:r w:rsidRPr="00025910">
        <w:fldChar w:fldCharType="begin"/>
      </w:r>
      <w:r w:rsidRPr="00025910">
        <w:instrText xml:space="preserve"> REF _Ref_ContractCompanion_9kb9UsAII \n \h \t \* MERGEFORMAT </w:instrText>
      </w:r>
      <w:r w:rsidRPr="00025910">
        <w:fldChar w:fldCharType="separate"/>
      </w:r>
      <w:r w:rsidR="00302D39">
        <w:t>5.1</w:t>
      </w:r>
      <w:r w:rsidRPr="00025910">
        <w:fldChar w:fldCharType="end"/>
      </w:r>
      <w:bookmarkEnd w:id="2485"/>
      <w:r w:rsidRPr="00025910">
        <w:t xml:space="preserve"> shall be agreed in accordance with the Change Control Procedure.</w:t>
      </w:r>
    </w:p>
    <w:p w14:paraId="2CF4CBBF" w14:textId="77777777" w:rsidR="00F67E9E" w:rsidRPr="00666B85" w:rsidRDefault="00F67E9E" w:rsidP="00F67E9E">
      <w:pPr>
        <w:pStyle w:val="AppendixText1"/>
        <w:numPr>
          <w:ilvl w:val="0"/>
          <w:numId w:val="76"/>
        </w:numPr>
        <w:rPr>
          <w:color w:val="1F497D"/>
        </w:rPr>
      </w:pPr>
      <w:r w:rsidRPr="00666B85">
        <w:rPr>
          <w:color w:val="1F497D"/>
        </w:rPr>
        <w:t>Procurement Obligations</w:t>
      </w:r>
    </w:p>
    <w:p w14:paraId="46392ABD" w14:textId="3182A6B8" w:rsidR="00F67E9E" w:rsidRPr="00025910" w:rsidRDefault="00F67E9E" w:rsidP="00F67E9E">
      <w:pPr>
        <w:pStyle w:val="AppendixText2"/>
      </w:pPr>
      <w:r w:rsidRPr="00025910">
        <w:t xml:space="preserve">Notwithstanding any other provisions of this </w:t>
      </w:r>
      <w:bookmarkStart w:id="2486" w:name="_9kMHG5YVt4DEFJIeGp9U"/>
      <w:r w:rsidRPr="00025910">
        <w:fldChar w:fldCharType="begin"/>
      </w:r>
      <w:r w:rsidRPr="00025910">
        <w:instrText xml:space="preserve"> REF Sch28PartB \h  \* MERGEFORMAT </w:instrText>
      </w:r>
      <w:r w:rsidRPr="00025910">
        <w:fldChar w:fldCharType="separate"/>
      </w:r>
      <w:r w:rsidR="00302D39" w:rsidRPr="00025910">
        <w:t>Part B</w:t>
      </w:r>
      <w:r w:rsidRPr="00025910">
        <w:fldChar w:fldCharType="end"/>
      </w:r>
      <w:bookmarkEnd w:id="2486"/>
      <w:r w:rsidRPr="00025910">
        <w:t xml:space="preserve">, where in this </w:t>
      </w:r>
      <w:bookmarkStart w:id="2487" w:name="_9kMIH5YVt4DEFJIeGp9U"/>
      <w:bookmarkEnd w:id="2487"/>
      <w:r w:rsidRPr="00025910">
        <w:fldChar w:fldCharType="begin"/>
      </w:r>
      <w:r w:rsidRPr="00025910">
        <w:instrText xml:space="preserve"> REF Sch28PartB \h  \* MERGEFORMAT </w:instrText>
      </w:r>
      <w:r w:rsidRPr="00025910">
        <w:fldChar w:fldCharType="separate"/>
      </w:r>
      <w:r w:rsidR="00302D39" w:rsidRPr="00025910">
        <w:t>Part B</w:t>
      </w:r>
      <w:r w:rsidRPr="00025910">
        <w:fldChar w:fldCharType="end"/>
      </w:r>
      <w:r w:rsidRPr="00025910">
        <w:t xml:space="preserve"> the Authority accepts an obligation to procure that a Former Supplier does or does not do something, such obligation shall be limited so that it extends only to the extent that the Authority</w:t>
      </w:r>
      <w:r>
        <w:t>’</w:t>
      </w:r>
      <w:r w:rsidRPr="00025910">
        <w:t>s contract with the Former Supplier contains a contractual right in that regard which the Authority may enforce, or otherwise so that it requires only that the Authority must use reasonable endeavours to procure that the Former Supplier does or does not act accordingly.</w:t>
      </w:r>
    </w:p>
    <w:p w14:paraId="1A297206" w14:textId="77777777" w:rsidR="00F67E9E" w:rsidRPr="00666B85" w:rsidRDefault="00F67E9E" w:rsidP="00F67E9E">
      <w:pPr>
        <w:pStyle w:val="AppendixText1"/>
        <w:numPr>
          <w:ilvl w:val="0"/>
          <w:numId w:val="76"/>
        </w:numPr>
        <w:rPr>
          <w:color w:val="1F497D"/>
        </w:rPr>
      </w:pPr>
      <w:r w:rsidRPr="00666B85">
        <w:rPr>
          <w:color w:val="1F497D"/>
        </w:rPr>
        <w:t>Pensions</w:t>
      </w:r>
    </w:p>
    <w:p w14:paraId="43081018" w14:textId="77777777" w:rsidR="00F67E9E" w:rsidRPr="00025910" w:rsidRDefault="00F67E9E" w:rsidP="00F67E9E">
      <w:pPr>
        <w:pStyle w:val="AppendixText2"/>
      </w:pPr>
      <w:r w:rsidRPr="00025910">
        <w:t>The Supplier shall, and shall procure that each Sub-contractor shall, comply with:</w:t>
      </w:r>
    </w:p>
    <w:p w14:paraId="275E403D" w14:textId="77777777" w:rsidR="00F67E9E" w:rsidRPr="00025910" w:rsidRDefault="00F67E9E" w:rsidP="00F67E9E">
      <w:pPr>
        <w:pStyle w:val="AppendixText3"/>
      </w:pPr>
      <w:r w:rsidRPr="00025910">
        <w:t xml:space="preserve">the requirements of Part 1 of the Pensions Act 2008, </w:t>
      </w:r>
      <w:bookmarkStart w:id="2488" w:name="_9kMHG5YVt49B9GL6teu1x3IOVF069veZ4JFCINl"/>
      <w:r w:rsidRPr="00025910">
        <w:t>section 258 of the Pensions Act 2004</w:t>
      </w:r>
      <w:bookmarkEnd w:id="2488"/>
      <w:r w:rsidRPr="00025910">
        <w:t xml:space="preserve"> and the </w:t>
      </w:r>
      <w:bookmarkStart w:id="2489" w:name="_9kMHG5YVt49B9EIgbpm5yly9yPR999NM35Lye9O"/>
      <w:r w:rsidRPr="00025910">
        <w:t>Transfer of Employment (Pension Protection) Regulations 2005</w:t>
      </w:r>
      <w:bookmarkEnd w:id="2489"/>
      <w:r w:rsidRPr="00025910">
        <w:t xml:space="preserve"> for all transferring staff; and</w:t>
      </w:r>
    </w:p>
    <w:p w14:paraId="65D31DA1" w14:textId="2D960C14" w:rsidR="00F67E9E" w:rsidRDefault="00F67E9E" w:rsidP="00F67E9E">
      <w:pPr>
        <w:pStyle w:val="AppendixText3"/>
      </w:pPr>
      <w:r w:rsidRPr="00F3052F">
        <w:rPr>
          <w:color w:val="000000"/>
        </w:rPr>
        <w:fldChar w:fldCharType="begin"/>
      </w:r>
      <w:r w:rsidRPr="00F3052F">
        <w:rPr>
          <w:color w:val="000000"/>
        </w:rPr>
        <w:instrText xml:space="preserve"> REF Sch28PartD \h  \* MERGEFORMAT </w:instrText>
      </w:r>
      <w:r w:rsidRPr="00F3052F">
        <w:rPr>
          <w:color w:val="000000"/>
        </w:rPr>
      </w:r>
      <w:r w:rsidRPr="00F3052F">
        <w:rPr>
          <w:color w:val="000000"/>
        </w:rPr>
        <w:fldChar w:fldCharType="separate"/>
      </w:r>
      <w:r w:rsidR="00302D39" w:rsidRPr="00302D39">
        <w:rPr>
          <w:rFonts w:eastAsia="Calibri"/>
        </w:rPr>
        <w:t>Part D</w:t>
      </w:r>
      <w:r w:rsidRPr="00F3052F">
        <w:rPr>
          <w:color w:val="000000"/>
        </w:rPr>
        <w:fldChar w:fldCharType="end"/>
      </w:r>
      <w:r w:rsidRPr="00F3052F">
        <w:t xml:space="preserve"> (and its Annexes) to this Staff Transfer Schedule.</w:t>
      </w:r>
    </w:p>
    <w:p w14:paraId="6F248F8A" w14:textId="77777777" w:rsidR="00F67E9E" w:rsidRPr="00A6113A" w:rsidRDefault="00F67E9E" w:rsidP="00F67E9E">
      <w:pPr>
        <w:pStyle w:val="Heading2"/>
        <w:pageBreakBefore/>
      </w:pPr>
      <w:bookmarkStart w:id="2490" w:name="Sch28PartC"/>
      <w:bookmarkStart w:id="2491" w:name="_Ref_ContractCompanion_9kb9Us113"/>
      <w:bookmarkStart w:id="2492" w:name="_Ref_ContractCompanion_9kb9Us115"/>
      <w:bookmarkStart w:id="2493" w:name="_9kR3WTr29B7FMgJfifw5qFQKjPyIe3GNR96PI5I"/>
      <w:bookmarkStart w:id="2494" w:name="_Toc141711987"/>
      <w:r w:rsidRPr="000038E2">
        <w:t xml:space="preserve">Part </w:t>
      </w:r>
      <w:r w:rsidRPr="00025910">
        <w:t>C</w:t>
      </w:r>
      <w:bookmarkEnd w:id="2490"/>
      <w:r w:rsidRPr="00025910">
        <w:t xml:space="preserve">: No Transfer </w:t>
      </w:r>
      <w:r>
        <w:t>o</w:t>
      </w:r>
      <w:r w:rsidRPr="00025910">
        <w:t xml:space="preserve">f Employees </w:t>
      </w:r>
      <w:r>
        <w:t>Expected a</w:t>
      </w:r>
      <w:r w:rsidRPr="00025910">
        <w:t xml:space="preserve">t Commencement </w:t>
      </w:r>
      <w:r>
        <w:t>o</w:t>
      </w:r>
      <w:r w:rsidRPr="00025910">
        <w:t>f Services</w:t>
      </w:r>
      <w:bookmarkEnd w:id="2491"/>
      <w:bookmarkEnd w:id="2492"/>
      <w:bookmarkEnd w:id="2493"/>
      <w:bookmarkEnd w:id="2494"/>
    </w:p>
    <w:p w14:paraId="68A38A1B" w14:textId="77777777" w:rsidR="00F67E9E" w:rsidRPr="00666B85" w:rsidRDefault="00F67E9E" w:rsidP="00F67E9E">
      <w:pPr>
        <w:pStyle w:val="AppendixText1"/>
        <w:numPr>
          <w:ilvl w:val="0"/>
          <w:numId w:val="77"/>
        </w:numPr>
        <w:rPr>
          <w:color w:val="1F497D"/>
        </w:rPr>
      </w:pPr>
      <w:r w:rsidRPr="00666B85">
        <w:rPr>
          <w:color w:val="1F497D"/>
        </w:rPr>
        <w:t>Procedure in the Event of Transfer</w:t>
      </w:r>
    </w:p>
    <w:p w14:paraId="64F61A14" w14:textId="77777777" w:rsidR="00F67E9E" w:rsidRPr="00666B85" w:rsidRDefault="00F67E9E" w:rsidP="00F67E9E">
      <w:pPr>
        <w:pStyle w:val="AppendixText2"/>
      </w:pPr>
      <w:r w:rsidRPr="00025910">
        <w:t xml:space="preserve">The Authority and the Supplier agree that the commencement of the provision of the Services or of any part of the Services </w:t>
      </w:r>
      <w:r>
        <w:t>is not expected to</w:t>
      </w:r>
      <w:r w:rsidRPr="00025910">
        <w:t xml:space="preserve"> be a Relevant Transfer in relation to any </w:t>
      </w:r>
      <w:r w:rsidRPr="00666B85">
        <w:t xml:space="preserve">employees of the Authority and/or any Former Supplier. </w:t>
      </w:r>
    </w:p>
    <w:p w14:paraId="50535D29" w14:textId="77777777" w:rsidR="00F67E9E" w:rsidRPr="00025910" w:rsidRDefault="00F67E9E" w:rsidP="00F67E9E">
      <w:pPr>
        <w:pStyle w:val="AppendixText2"/>
      </w:pPr>
      <w:bookmarkStart w:id="2495" w:name="_Ref_ContractCompanion_9kb9UsAJF"/>
      <w:bookmarkStart w:id="2496" w:name="_9kR3WTrAG9ENLEBTEdmB3s444I9q139CySdTHDO"/>
      <w:r w:rsidRPr="00666B85">
        <w:t>If any employee of the Authority and/or a Former Supplier claims, or it is determined in relation to any employee of the Authority and/or a Former Supplier, that his/her contract of employment has been transferred from the Authority and/or the Former Supplier to the Supplier and/</w:t>
      </w:r>
      <w:r w:rsidRPr="00025910">
        <w:t>or any Sub-contractor pursuant to the Employment Regulations then:</w:t>
      </w:r>
      <w:bookmarkEnd w:id="2495"/>
      <w:bookmarkEnd w:id="2496"/>
    </w:p>
    <w:p w14:paraId="2929DD51" w14:textId="77777777" w:rsidR="00F67E9E" w:rsidRPr="00025910" w:rsidRDefault="00F67E9E" w:rsidP="00F67E9E">
      <w:pPr>
        <w:pStyle w:val="AppendixText3"/>
      </w:pPr>
      <w:bookmarkStart w:id="2497" w:name="_9kR3WTrAGA6689BlqykWhB74ys2H8rw8y15BGz4"/>
      <w:bookmarkStart w:id="2498" w:name="_Ref_ContractCompanion_9kb9Ut21B"/>
      <w:r w:rsidRPr="00025910">
        <w:t>the Supplier shall, and shall procure that the relevant Sub-contractor shall, within 5 Working Days of becoming aware of that fact, give notice in writing to the Authority and, where required by the Authority, give notice to the Former Supplier;</w:t>
      </w:r>
      <w:bookmarkEnd w:id="2497"/>
      <w:r w:rsidRPr="00025910">
        <w:t xml:space="preserve"> and</w:t>
      </w:r>
      <w:bookmarkEnd w:id="2498"/>
    </w:p>
    <w:p w14:paraId="461C23B9" w14:textId="77777777" w:rsidR="00F67E9E" w:rsidRPr="00025910" w:rsidRDefault="00F67E9E" w:rsidP="00F67E9E">
      <w:pPr>
        <w:pStyle w:val="AppendixText3"/>
      </w:pPr>
      <w:bookmarkStart w:id="2499" w:name="_Ref_ContractCompanion_9kb9UsAJC"/>
      <w:bookmarkStart w:id="2500" w:name="_9kR3WTrAG9ENIBBmrykEPF3zA58P7x13IOF1afO"/>
      <w:r w:rsidRPr="00025910">
        <w:t>the Authority and/or the Former Supplier may offer (or may procure that a third party may offer) employment to such person within 15 Working Days of the notification by the Supplier or the Sub-contractor (as appropriate) or take such other reasonable steps as the Authority or Former Supplier (as the case may be) considers appropriate to deal with the matter provided always that such steps are in compliance with applicable Law.</w:t>
      </w:r>
      <w:bookmarkEnd w:id="2499"/>
      <w:bookmarkEnd w:id="2500"/>
    </w:p>
    <w:p w14:paraId="40934BFF" w14:textId="4FB9DE39" w:rsidR="00F67E9E" w:rsidRPr="00666B85" w:rsidRDefault="00F67E9E" w:rsidP="00F67E9E">
      <w:pPr>
        <w:pStyle w:val="AppendixText2"/>
      </w:pPr>
      <w:r w:rsidRPr="00025910">
        <w:t xml:space="preserve">If an offer referred to in </w:t>
      </w:r>
      <w:bookmarkStart w:id="2501" w:name="_9kMHG5YVtCIBGPKDDot0mGRH51C7AR9z35KQH3c"/>
      <w:r w:rsidRPr="00025910">
        <w:t xml:space="preserve">Paragraph </w:t>
      </w:r>
      <w:r w:rsidRPr="00025910">
        <w:fldChar w:fldCharType="begin"/>
      </w:r>
      <w:r w:rsidRPr="00025910">
        <w:instrText xml:space="preserve"> REF _Ref_ContractCompanion_9kb9UsAJC \w \h \t \* MERGEFORMAT </w:instrText>
      </w:r>
      <w:r w:rsidRPr="00025910">
        <w:fldChar w:fldCharType="separate"/>
      </w:r>
      <w:r w:rsidR="00302D39">
        <w:t>1.2.2</w:t>
      </w:r>
      <w:r w:rsidRPr="00025910">
        <w:fldChar w:fldCharType="end"/>
      </w:r>
      <w:bookmarkEnd w:id="2501"/>
      <w:r w:rsidRPr="00025910">
        <w:t xml:space="preserve"> is accepted (or if the situation has otherwise been resolved by the Authority and/or the Former Supplier), the Supplier shall, or shall procure that </w:t>
      </w:r>
      <w:r w:rsidRPr="00666B85">
        <w:t>the Sub-contractor shall, immediately release the person from his/her employment or alleged employment.</w:t>
      </w:r>
    </w:p>
    <w:p w14:paraId="6DD73CAB" w14:textId="1146FD89" w:rsidR="00F67E9E" w:rsidRPr="00025910" w:rsidRDefault="00F67E9E" w:rsidP="00F67E9E">
      <w:pPr>
        <w:pStyle w:val="AppendixText2"/>
      </w:pPr>
      <w:bookmarkStart w:id="2502" w:name="_9kR3WTrAG9ENOHDVEeyH1nlvvx069vGV1sKH9DC"/>
      <w:bookmarkStart w:id="2503" w:name="_Ref_ContractCompanion_9kb9UsAJI"/>
      <w:r w:rsidRPr="00666B85">
        <w:t>If by t</w:t>
      </w:r>
      <w:r w:rsidRPr="00025910">
        <w:t xml:space="preserve">he end of the 15 Working Day period specified in </w:t>
      </w:r>
      <w:bookmarkStart w:id="2504" w:name="_9kMIH5YVtCIBGPKDDot0mGRH51C7AR9z35KQH3c"/>
      <w:r w:rsidRPr="00025910">
        <w:t xml:space="preserve">Paragraph </w:t>
      </w:r>
      <w:r w:rsidRPr="00025910">
        <w:fldChar w:fldCharType="begin"/>
      </w:r>
      <w:r w:rsidRPr="00025910">
        <w:instrText xml:space="preserve"> REF _Ref_ContractCompanion_9kb9UsAJC \w \h \t \* MERGEFORMAT </w:instrText>
      </w:r>
      <w:r w:rsidRPr="00025910">
        <w:fldChar w:fldCharType="separate"/>
      </w:r>
      <w:r w:rsidR="00302D39">
        <w:t>1.2.2</w:t>
      </w:r>
      <w:r w:rsidRPr="00025910">
        <w:fldChar w:fldCharType="end"/>
      </w:r>
      <w:bookmarkEnd w:id="2504"/>
      <w:r w:rsidRPr="00025910">
        <w:t>:</w:t>
      </w:r>
      <w:bookmarkEnd w:id="2502"/>
      <w:r w:rsidRPr="00025910">
        <w:t xml:space="preserve"> </w:t>
      </w:r>
      <w:bookmarkEnd w:id="2503"/>
    </w:p>
    <w:p w14:paraId="753F4D73" w14:textId="77777777" w:rsidR="00F67E9E" w:rsidRPr="00025910" w:rsidRDefault="00F67E9E" w:rsidP="00F67E9E">
      <w:pPr>
        <w:pStyle w:val="AppendixText3"/>
      </w:pPr>
      <w:r w:rsidRPr="00025910">
        <w:t xml:space="preserve">no such offer of employment has been made; </w:t>
      </w:r>
    </w:p>
    <w:p w14:paraId="188B332F" w14:textId="77777777" w:rsidR="00F67E9E" w:rsidRPr="00025910" w:rsidRDefault="00F67E9E" w:rsidP="00F67E9E">
      <w:pPr>
        <w:pStyle w:val="AppendixText3"/>
      </w:pPr>
      <w:r w:rsidRPr="00025910">
        <w:t>such offer has been made but not accepted; or</w:t>
      </w:r>
    </w:p>
    <w:p w14:paraId="2F375609" w14:textId="77777777" w:rsidR="00F67E9E" w:rsidRPr="00025910" w:rsidRDefault="00F67E9E" w:rsidP="00F67E9E">
      <w:pPr>
        <w:pStyle w:val="AppendixText3"/>
      </w:pPr>
      <w:r w:rsidRPr="00025910">
        <w:t>the situation has not otherwise been resolved,</w:t>
      </w:r>
    </w:p>
    <w:p w14:paraId="78EC6771" w14:textId="77777777" w:rsidR="00F67E9E" w:rsidRPr="00025910" w:rsidRDefault="00F67E9E" w:rsidP="00F67E9E">
      <w:pPr>
        <w:pStyle w:val="StdBodyText2"/>
        <w:rPr>
          <w:rFonts w:cs="Arial"/>
        </w:rPr>
      </w:pPr>
      <w:r w:rsidRPr="00025910">
        <w:rPr>
          <w:rFonts w:cs="Arial"/>
        </w:rPr>
        <w:t>the Supplier and/or the Sub-contractor may within 5 Working Days give notice to terminate the employment or alleged employment of such person.</w:t>
      </w:r>
    </w:p>
    <w:p w14:paraId="20494187" w14:textId="77777777" w:rsidR="00F67E9E" w:rsidRPr="00666B85" w:rsidRDefault="00F67E9E" w:rsidP="00F67E9E">
      <w:pPr>
        <w:pStyle w:val="AppendixText1"/>
        <w:numPr>
          <w:ilvl w:val="0"/>
          <w:numId w:val="77"/>
        </w:numPr>
        <w:rPr>
          <w:color w:val="1F497D"/>
        </w:rPr>
      </w:pPr>
      <w:r w:rsidRPr="00666B85">
        <w:rPr>
          <w:color w:val="1F497D"/>
        </w:rPr>
        <w:t>Indemnities</w:t>
      </w:r>
    </w:p>
    <w:p w14:paraId="3563AC0A" w14:textId="00D2EF47" w:rsidR="00F67E9E" w:rsidRPr="00025910" w:rsidRDefault="00F67E9E" w:rsidP="00F67E9E">
      <w:pPr>
        <w:pStyle w:val="AppendixText2"/>
      </w:pPr>
      <w:bookmarkStart w:id="2505" w:name="_Ref_ContractCompanion_9kb9Ut218"/>
      <w:bookmarkStart w:id="2506" w:name="_9kR3WTrAGA65EHBcdtjnhxFBC6sepJFC60A748A"/>
      <w:r w:rsidRPr="00666B85">
        <w:t>Subject</w:t>
      </w:r>
      <w:r w:rsidRPr="00025910">
        <w:t xml:space="preserve"> to the Supplier and/or the relevant Sub-contractor acting in accordance with the provisions of </w:t>
      </w:r>
      <w:bookmarkStart w:id="2507" w:name="_9kMHG5YVtCIBGPNGDVGfoD5u666KBs35BE0UfVJ"/>
      <w:r w:rsidRPr="00025910">
        <w:t xml:space="preserve">Paragraphs </w:t>
      </w:r>
      <w:r w:rsidRPr="00025910">
        <w:fldChar w:fldCharType="begin"/>
      </w:r>
      <w:r w:rsidRPr="00025910">
        <w:instrText xml:space="preserve"> REF _Ref_ContractCompanion_9kb9UsAJF \n \h \t \* MERGEFORMAT </w:instrText>
      </w:r>
      <w:r w:rsidRPr="00025910">
        <w:fldChar w:fldCharType="separate"/>
      </w:r>
      <w:r w:rsidR="00302D39">
        <w:t>1.2</w:t>
      </w:r>
      <w:r w:rsidRPr="00025910">
        <w:fldChar w:fldCharType="end"/>
      </w:r>
      <w:bookmarkEnd w:id="2507"/>
      <w:r w:rsidRPr="00025910">
        <w:t xml:space="preserve"> to </w:t>
      </w:r>
      <w:bookmarkStart w:id="2508" w:name="_9kMHG5YVtCIBGPQJFXGg0J3pnxxz28BxIX3uMJB"/>
      <w:r w:rsidRPr="00025910">
        <w:fldChar w:fldCharType="begin"/>
      </w:r>
      <w:r w:rsidRPr="00025910">
        <w:instrText xml:space="preserve"> REF _Ref_ContractCompanion_9kb9UsAJI \n \h \t \* MERGEFORMAT </w:instrText>
      </w:r>
      <w:r w:rsidRPr="00025910">
        <w:fldChar w:fldCharType="separate"/>
      </w:r>
      <w:r w:rsidR="00302D39">
        <w:t>1.4</w:t>
      </w:r>
      <w:r w:rsidRPr="00025910">
        <w:fldChar w:fldCharType="end"/>
      </w:r>
      <w:bookmarkEnd w:id="2508"/>
      <w:r w:rsidRPr="00025910">
        <w:t xml:space="preserve"> and in accordance with all applicable employment procedures set out in applicable Law and subject also to </w:t>
      </w:r>
      <w:bookmarkStart w:id="2509" w:name="_9kMHG5YVtCIC87ADGiTlnxtlv529Aw7C8qY78yG"/>
      <w:r w:rsidRPr="00025910">
        <w:t xml:space="preserve">Paragraph </w:t>
      </w:r>
      <w:r w:rsidRPr="00025910">
        <w:fldChar w:fldCharType="begin"/>
      </w:r>
      <w:r w:rsidRPr="00025910">
        <w:instrText xml:space="preserve"> REF _Ref_ContractCompanion_9kb9Ut212 \n \h \t \* MERGEFORMAT </w:instrText>
      </w:r>
      <w:r w:rsidRPr="00025910">
        <w:fldChar w:fldCharType="separate"/>
      </w:r>
      <w:r w:rsidR="00302D39">
        <w:t>2.4</w:t>
      </w:r>
      <w:r w:rsidRPr="00025910">
        <w:fldChar w:fldCharType="end"/>
      </w:r>
      <w:bookmarkEnd w:id="2509"/>
      <w:r w:rsidRPr="00025910">
        <w:t>, the Authority shall:</w:t>
      </w:r>
      <w:bookmarkEnd w:id="2505"/>
      <w:bookmarkEnd w:id="2506"/>
    </w:p>
    <w:p w14:paraId="4BCBC6DC" w14:textId="0A11A874" w:rsidR="00F67E9E" w:rsidRPr="00025910" w:rsidRDefault="00F67E9E" w:rsidP="00F67E9E">
      <w:pPr>
        <w:pStyle w:val="AppendixText3"/>
      </w:pPr>
      <w:r w:rsidRPr="00025910">
        <w:t xml:space="preserve">indemnify the Supplier and/or the relevant Sub-contractor against all Employee Liabilities arising out of the termination of the employment of any employees of the Authority referred to in </w:t>
      </w:r>
      <w:bookmarkStart w:id="2510" w:name="_9kMIH5YVtCIBGPNGDVGfoD5u666KBs35BE0UfVJ"/>
      <w:r w:rsidRPr="00025910">
        <w:t xml:space="preserve">Paragraph </w:t>
      </w:r>
      <w:r w:rsidRPr="00025910">
        <w:fldChar w:fldCharType="begin"/>
      </w:r>
      <w:r w:rsidRPr="00025910">
        <w:instrText xml:space="preserve"> REF _Ref_ContractCompanion_9kb9UsAJF \n \h \t \* MERGEFORMAT </w:instrText>
      </w:r>
      <w:r w:rsidRPr="00025910">
        <w:fldChar w:fldCharType="separate"/>
      </w:r>
      <w:r w:rsidR="00302D39">
        <w:t>1.2</w:t>
      </w:r>
      <w:r w:rsidRPr="00025910">
        <w:fldChar w:fldCharType="end"/>
      </w:r>
      <w:bookmarkEnd w:id="2510"/>
      <w:r w:rsidRPr="00025910">
        <w:t xml:space="preserve"> made pursuant to the provisions of </w:t>
      </w:r>
      <w:bookmarkStart w:id="2511" w:name="_9kMIH5YVtCIBGPQJFXGg0J3pnxxz28BxIX3uMJB"/>
      <w:r w:rsidRPr="00025910">
        <w:t xml:space="preserve">Paragraph </w:t>
      </w:r>
      <w:r w:rsidRPr="00025910">
        <w:fldChar w:fldCharType="begin"/>
      </w:r>
      <w:r w:rsidRPr="00025910">
        <w:instrText xml:space="preserve"> REF _Ref_ContractCompanion_9kb9UsAJI \n \h \t \* MERGEFORMAT </w:instrText>
      </w:r>
      <w:r w:rsidRPr="00025910">
        <w:fldChar w:fldCharType="separate"/>
      </w:r>
      <w:r w:rsidR="00302D39">
        <w:t>1.4</w:t>
      </w:r>
      <w:r w:rsidRPr="00025910">
        <w:fldChar w:fldCharType="end"/>
      </w:r>
      <w:bookmarkEnd w:id="2511"/>
      <w:r w:rsidRPr="00025910">
        <w:t xml:space="preserve"> provided that the Supplier takes, or shall procure that the Notified Sub-contractor takes, all reasonable steps to minimise any such Employee Liabilities; and </w:t>
      </w:r>
    </w:p>
    <w:p w14:paraId="6398CDD8" w14:textId="1A24D9AE" w:rsidR="00F67E9E" w:rsidRPr="00025910" w:rsidRDefault="00F67E9E" w:rsidP="00F67E9E">
      <w:pPr>
        <w:pStyle w:val="AppendixText3"/>
      </w:pPr>
      <w:r w:rsidRPr="00025910">
        <w:t xml:space="preserve">procure that the Former Supplier indemnifies the Supplier and/or any Notified Sub-contractor against all Employee Liabilities arising out of termination of the employment of the employees of the Former Supplier referred to in </w:t>
      </w:r>
      <w:bookmarkStart w:id="2512" w:name="_9kMJI5YVtCIBGPNGDVGfoD5u666KBs35BE0UfVJ"/>
      <w:r w:rsidRPr="00025910">
        <w:t xml:space="preserve">Paragraph </w:t>
      </w:r>
      <w:r w:rsidRPr="00025910">
        <w:fldChar w:fldCharType="begin"/>
      </w:r>
      <w:r w:rsidRPr="00025910">
        <w:instrText xml:space="preserve"> REF _Ref_ContractCompanion_9kb9UsAJF \n \h \t \* MERGEFORMAT </w:instrText>
      </w:r>
      <w:r w:rsidRPr="00025910">
        <w:fldChar w:fldCharType="separate"/>
      </w:r>
      <w:r w:rsidR="00302D39">
        <w:t>1.2</w:t>
      </w:r>
      <w:r w:rsidRPr="00025910">
        <w:fldChar w:fldCharType="end"/>
      </w:r>
      <w:bookmarkEnd w:id="2512"/>
      <w:r w:rsidRPr="00025910">
        <w:t xml:space="preserve"> made pursuant to the provisions of </w:t>
      </w:r>
      <w:bookmarkStart w:id="2513" w:name="_9kMJI5YVtCIBGPQJFXGg0J3pnxxz28BxIX3uMJB"/>
      <w:r w:rsidRPr="00025910">
        <w:t xml:space="preserve">Paragraph </w:t>
      </w:r>
      <w:r w:rsidRPr="00025910">
        <w:fldChar w:fldCharType="begin"/>
      </w:r>
      <w:r w:rsidRPr="00025910">
        <w:instrText xml:space="preserve"> REF _Ref_ContractCompanion_9kb9UsAJI \n \h \t \* MERGEFORMAT </w:instrText>
      </w:r>
      <w:r w:rsidRPr="00025910">
        <w:fldChar w:fldCharType="separate"/>
      </w:r>
      <w:r w:rsidR="00302D39">
        <w:t>1.4</w:t>
      </w:r>
      <w:r w:rsidRPr="00025910">
        <w:fldChar w:fldCharType="end"/>
      </w:r>
      <w:bookmarkEnd w:id="2513"/>
      <w:r w:rsidRPr="00025910">
        <w:t xml:space="preserve"> provided that the Supplier takes, or shall procure that the relevant Sub-contractor takes, all reasonable steps to minimise any such Employee Liabilities.</w:t>
      </w:r>
    </w:p>
    <w:p w14:paraId="781DD532" w14:textId="2F5C437E" w:rsidR="00F67E9E" w:rsidRPr="00666B85" w:rsidRDefault="00F67E9E" w:rsidP="00F67E9E">
      <w:pPr>
        <w:pStyle w:val="AppendixText2"/>
      </w:pPr>
      <w:bookmarkStart w:id="2514" w:name="_Ref_ContractCompanion_9kb9Ut215"/>
      <w:bookmarkStart w:id="2515" w:name="_9kR3WTrAGA65BECTEdmBHEzn1z2HFBy4DEAxDCC"/>
      <w:r w:rsidRPr="00025910">
        <w:t xml:space="preserve">If any such person as is described in </w:t>
      </w:r>
      <w:bookmarkStart w:id="2516" w:name="_9kMKJ5YVtCIBGPNGDVGfoD5u666KBs35BE0UfVJ"/>
      <w:r w:rsidRPr="00025910">
        <w:t xml:space="preserve">Paragraph </w:t>
      </w:r>
      <w:r w:rsidRPr="00025910">
        <w:fldChar w:fldCharType="begin"/>
      </w:r>
      <w:r w:rsidRPr="00025910">
        <w:instrText xml:space="preserve"> REF _Ref_ContractCompanion_9kb9UsAJF \n \h \t \* MERGEFORMAT </w:instrText>
      </w:r>
      <w:r w:rsidRPr="00025910">
        <w:fldChar w:fldCharType="separate"/>
      </w:r>
      <w:r w:rsidR="00302D39">
        <w:t>1.2</w:t>
      </w:r>
      <w:r w:rsidRPr="00025910">
        <w:fldChar w:fldCharType="end"/>
      </w:r>
      <w:bookmarkEnd w:id="2516"/>
      <w:r w:rsidRPr="00025910">
        <w:t xml:space="preserve"> is neither re employed by the Authority and/or the Former Supplier as appropriate nor dismissed by the Supplier and/or any Sub-contractor within the 15 Working Day period referred to in </w:t>
      </w:r>
      <w:bookmarkStart w:id="2517" w:name="_9kMKJ5YVtCIBGPQJFXGg0J3pnxxz28BxIX3uMJB"/>
      <w:r w:rsidRPr="00025910">
        <w:t xml:space="preserve">Paragraph </w:t>
      </w:r>
      <w:r w:rsidRPr="00025910">
        <w:fldChar w:fldCharType="begin"/>
      </w:r>
      <w:r w:rsidRPr="00025910">
        <w:instrText xml:space="preserve"> REF _Ref_ContractCompanion_9kb9UsAJI \n \h \t \* MERGEFORMAT </w:instrText>
      </w:r>
      <w:r w:rsidRPr="00025910">
        <w:fldChar w:fldCharType="separate"/>
      </w:r>
      <w:r w:rsidR="00302D39">
        <w:t>1.4</w:t>
      </w:r>
      <w:r w:rsidRPr="00025910">
        <w:fldChar w:fldCharType="end"/>
      </w:r>
      <w:bookmarkEnd w:id="2517"/>
      <w:r w:rsidRPr="00025910">
        <w:t xml:space="preserve"> such person shall be treated as having transferred to the Supplier and/or the Sub-contractor (as appropriate) and the Supplier shall, </w:t>
      </w:r>
      <w:bookmarkEnd w:id="2514"/>
      <w:bookmarkEnd w:id="2515"/>
      <w:r w:rsidRPr="0006632F">
        <w:t xml:space="preserve">(a) comply with such obligations as may be imposed upon it under Law and (b) comply with the provisions of </w:t>
      </w:r>
      <w:r>
        <w:fldChar w:fldCharType="begin"/>
      </w:r>
      <w:r>
        <w:instrText xml:space="preserve"> REF Sch28PartD \h </w:instrText>
      </w:r>
      <w:r>
        <w:fldChar w:fldCharType="separate"/>
      </w:r>
      <w:r w:rsidR="00302D39" w:rsidRPr="00025910">
        <w:t>Part D</w:t>
      </w:r>
      <w:r>
        <w:fldChar w:fldCharType="end"/>
      </w:r>
      <w:r w:rsidRPr="0006632F">
        <w:t xml:space="preserve"> (</w:t>
      </w:r>
      <w:r w:rsidRPr="00B6750E">
        <w:rPr>
          <w:i/>
          <w:iCs/>
        </w:rPr>
        <w:fldChar w:fldCharType="begin"/>
      </w:r>
      <w:r w:rsidRPr="00B6750E">
        <w:rPr>
          <w:i/>
          <w:iCs/>
        </w:rPr>
        <w:instrText xml:space="preserve"> REF PartDSchedule28Heading \h </w:instrText>
      </w:r>
      <w:r>
        <w:rPr>
          <w:i/>
          <w:iCs/>
        </w:rPr>
        <w:instrText xml:space="preserve"> \* MERGEFORMAT </w:instrText>
      </w:r>
      <w:r w:rsidRPr="00B6750E">
        <w:rPr>
          <w:i/>
          <w:iCs/>
        </w:rPr>
      </w:r>
      <w:r w:rsidRPr="00B6750E">
        <w:rPr>
          <w:i/>
          <w:iCs/>
        </w:rPr>
        <w:fldChar w:fldCharType="separate"/>
      </w:r>
      <w:r w:rsidR="00302D39" w:rsidRPr="00302D39">
        <w:rPr>
          <w:i/>
          <w:iCs/>
        </w:rPr>
        <w:t>Pensions</w:t>
      </w:r>
      <w:r w:rsidRPr="00B6750E">
        <w:rPr>
          <w:i/>
          <w:iCs/>
        </w:rPr>
        <w:fldChar w:fldCharType="end"/>
      </w:r>
      <w:r w:rsidRPr="0006632F">
        <w:t>) and its Annexes of this Staff Transfer Schedule.</w:t>
      </w:r>
    </w:p>
    <w:p w14:paraId="2B88D76D" w14:textId="76157A0A" w:rsidR="00F67E9E" w:rsidRPr="00025910" w:rsidRDefault="00F67E9E" w:rsidP="00F67E9E">
      <w:pPr>
        <w:pStyle w:val="AppendixText2"/>
      </w:pPr>
      <w:r w:rsidRPr="00666B85">
        <w:t>Wh</w:t>
      </w:r>
      <w:r w:rsidRPr="00025910">
        <w:t xml:space="preserve">ere any person remains employed by the Supplier and/or any Sub-contractor pursuant to </w:t>
      </w:r>
      <w:bookmarkStart w:id="2518" w:name="_9kMHG5YVtCIC87DGEVGfoDJG1p314JHD06FGCzF"/>
      <w:r w:rsidRPr="00025910">
        <w:t xml:space="preserve">Paragraph </w:t>
      </w:r>
      <w:r w:rsidRPr="00025910">
        <w:fldChar w:fldCharType="begin"/>
      </w:r>
      <w:r w:rsidRPr="00025910">
        <w:instrText xml:space="preserve"> REF _Ref_ContractCompanion_9kb9Ut215 \n \h \t \* MERGEFORMAT </w:instrText>
      </w:r>
      <w:r w:rsidRPr="00025910">
        <w:fldChar w:fldCharType="separate"/>
      </w:r>
      <w:r w:rsidR="00302D39">
        <w:t>2.2</w:t>
      </w:r>
      <w:r w:rsidRPr="00025910">
        <w:fldChar w:fldCharType="end"/>
      </w:r>
      <w:bookmarkEnd w:id="2518"/>
      <w:r w:rsidRPr="00025910">
        <w:t>, all Employee Liabilities in relation to such employee shall remain with the Supplier and/or the Sub-contractor and the Supplier shall indemnify the Authority and any Former Supplier, and shall procure that the Sub-contractor shall indemnify the Authority and any Former Supplier, against any Employee Liabilities that either of them may incur in respect of any such employees of the Supplier and/or employees of the Sub-contractor.</w:t>
      </w:r>
    </w:p>
    <w:p w14:paraId="3BBD389B" w14:textId="2D0649CB" w:rsidR="00F67E9E" w:rsidRPr="00025910" w:rsidRDefault="00F67E9E" w:rsidP="00F67E9E">
      <w:pPr>
        <w:pStyle w:val="AppendixText2"/>
      </w:pPr>
      <w:bookmarkStart w:id="2519" w:name="_9kR3WTrAGA658BEgRjlvrjt3078u5A6oW56wE98"/>
      <w:bookmarkStart w:id="2520" w:name="_Ref_ContractCompanion_9kb9Ut212"/>
      <w:r w:rsidRPr="00025910">
        <w:t xml:space="preserve">The indemnities in </w:t>
      </w:r>
      <w:bookmarkStart w:id="2521" w:name="_9kMHG5YVtCIC87GJDefvlpjzHDE8ugrLHE82C96"/>
      <w:r w:rsidRPr="00025910">
        <w:t xml:space="preserve">Paragraph </w:t>
      </w:r>
      <w:r w:rsidRPr="00025910">
        <w:fldChar w:fldCharType="begin"/>
      </w:r>
      <w:r w:rsidRPr="00025910">
        <w:instrText xml:space="preserve"> REF _Ref_ContractCompanion_9kb9Ut218 \n \h \t \* MERGEFORMAT </w:instrText>
      </w:r>
      <w:r w:rsidRPr="00025910">
        <w:fldChar w:fldCharType="separate"/>
      </w:r>
      <w:r w:rsidR="00302D39">
        <w:t>2.1</w:t>
      </w:r>
      <w:r w:rsidRPr="00025910">
        <w:fldChar w:fldCharType="end"/>
      </w:r>
      <w:bookmarkEnd w:id="2521"/>
      <w:r w:rsidRPr="00025910">
        <w:t>:</w:t>
      </w:r>
      <w:bookmarkEnd w:id="2519"/>
      <w:r w:rsidRPr="00025910">
        <w:t xml:space="preserve"> </w:t>
      </w:r>
      <w:bookmarkEnd w:id="2520"/>
    </w:p>
    <w:p w14:paraId="65315B23" w14:textId="77777777" w:rsidR="00F67E9E" w:rsidRPr="00025910" w:rsidRDefault="00F67E9E" w:rsidP="00F67E9E">
      <w:pPr>
        <w:pStyle w:val="AppendixText3"/>
      </w:pPr>
      <w:r w:rsidRPr="00025910">
        <w:t>shall not apply to:</w:t>
      </w:r>
    </w:p>
    <w:p w14:paraId="31823CD6" w14:textId="77777777" w:rsidR="00F67E9E" w:rsidRPr="00025910" w:rsidRDefault="00F67E9E" w:rsidP="00F67E9E">
      <w:pPr>
        <w:pStyle w:val="AppendixText4"/>
      </w:pPr>
      <w:r w:rsidRPr="00025910">
        <w:t>any claim for:</w:t>
      </w:r>
    </w:p>
    <w:p w14:paraId="6C649F87" w14:textId="77777777" w:rsidR="00F67E9E" w:rsidRPr="00025910" w:rsidRDefault="00F67E9E" w:rsidP="00F67E9E">
      <w:pPr>
        <w:pStyle w:val="AppendixText5"/>
        <w:tabs>
          <w:tab w:val="clear" w:pos="3600"/>
          <w:tab w:val="num" w:pos="3243"/>
        </w:tabs>
        <w:ind w:left="3243"/>
      </w:pPr>
      <w:r w:rsidRPr="00025910">
        <w:t>discrimination, including on the grounds of sex, race, disability, age, gender reassignment, marriage or civil partnership, pregnancy and maternity or sexual orientation, religion or belief; or</w:t>
      </w:r>
    </w:p>
    <w:p w14:paraId="6B48EA50" w14:textId="77777777" w:rsidR="00F67E9E" w:rsidRPr="00025910" w:rsidRDefault="00F67E9E" w:rsidP="00F67E9E">
      <w:pPr>
        <w:pStyle w:val="AppendixText5"/>
        <w:tabs>
          <w:tab w:val="clear" w:pos="3600"/>
          <w:tab w:val="num" w:pos="3243"/>
        </w:tabs>
        <w:ind w:left="3243"/>
      </w:pPr>
      <w:r w:rsidRPr="00025910">
        <w:t>equal pay or compensation for less favourable treatment of part-time workers or fixed-term employees,</w:t>
      </w:r>
    </w:p>
    <w:p w14:paraId="6751EB08" w14:textId="77777777" w:rsidR="00F67E9E" w:rsidRPr="00025910" w:rsidRDefault="00F67E9E" w:rsidP="00F67E9E">
      <w:pPr>
        <w:pStyle w:val="StdBodyText5"/>
      </w:pPr>
      <w:r w:rsidRPr="00025910">
        <w:t>in any case in relation to any alleged act or omission of the Supplier and/or any Sub-contractor; or</w:t>
      </w:r>
    </w:p>
    <w:p w14:paraId="4CB2885E" w14:textId="77777777" w:rsidR="00F67E9E" w:rsidRPr="00025910" w:rsidRDefault="00F67E9E" w:rsidP="00F67E9E">
      <w:pPr>
        <w:pStyle w:val="AppendixText4"/>
      </w:pPr>
      <w:r w:rsidRPr="00025910">
        <w:t>any claim that the termination of employment was unfair because the Supplier and/or any Sub-contractor neglected to follow a fair dismissal procedure; and</w:t>
      </w:r>
    </w:p>
    <w:p w14:paraId="78265EA7" w14:textId="12614A84" w:rsidR="00F67E9E" w:rsidRPr="00025910" w:rsidRDefault="00F67E9E" w:rsidP="00F67E9E">
      <w:pPr>
        <w:pStyle w:val="AppendixText3"/>
      </w:pPr>
      <w:r w:rsidRPr="00025910">
        <w:t xml:space="preserve">shall apply only where the notification referred to in </w:t>
      </w:r>
      <w:bookmarkStart w:id="2522" w:name="_9kMHG5YVtCIC88ABDns0mYjD960u4JAtyA037DI"/>
      <w:r w:rsidRPr="00025910">
        <w:t xml:space="preserve">Paragraph </w:t>
      </w:r>
      <w:r w:rsidRPr="00025910">
        <w:fldChar w:fldCharType="begin"/>
      </w:r>
      <w:r w:rsidRPr="00025910">
        <w:instrText xml:space="preserve"> REF _Ref_ContractCompanion_9kb9Ut21B \w \h \t \* MERGEFORMAT </w:instrText>
      </w:r>
      <w:r w:rsidRPr="00025910">
        <w:fldChar w:fldCharType="separate"/>
      </w:r>
      <w:r w:rsidR="00302D39">
        <w:t>1.2.1</w:t>
      </w:r>
      <w:r w:rsidRPr="00025910">
        <w:fldChar w:fldCharType="end"/>
      </w:r>
      <w:bookmarkEnd w:id="2522"/>
      <w:r w:rsidRPr="00025910">
        <w:t xml:space="preserve"> is made by the Supplier and/or any Sub-contractor to the Authority and, if applicable, Former Supplier within 6 months of the </w:t>
      </w:r>
      <w:r>
        <w:t>Relevant Transfer Date</w:t>
      </w:r>
      <w:r w:rsidRPr="00025910">
        <w:t>.</w:t>
      </w:r>
    </w:p>
    <w:p w14:paraId="730A2B12" w14:textId="77777777" w:rsidR="00F67E9E" w:rsidRPr="00666B85" w:rsidRDefault="00F67E9E" w:rsidP="00F67E9E">
      <w:pPr>
        <w:pStyle w:val="AppendixText1"/>
        <w:numPr>
          <w:ilvl w:val="0"/>
          <w:numId w:val="77"/>
        </w:numPr>
        <w:rPr>
          <w:color w:val="1F497D"/>
        </w:rPr>
      </w:pPr>
      <w:r w:rsidRPr="00666B85">
        <w:rPr>
          <w:color w:val="1F497D"/>
        </w:rPr>
        <w:t>Procurement Obligations</w:t>
      </w:r>
    </w:p>
    <w:p w14:paraId="68233BDC" w14:textId="33F3BEFA" w:rsidR="00F67E9E" w:rsidRPr="00025910" w:rsidRDefault="00F67E9E" w:rsidP="00F67E9E">
      <w:pPr>
        <w:pStyle w:val="AppendixText2"/>
      </w:pPr>
      <w:r w:rsidRPr="00025910">
        <w:t xml:space="preserve">Where in this </w:t>
      </w:r>
      <w:r w:rsidRPr="00025910">
        <w:rPr>
          <w:rFonts w:eastAsia="Calibri"/>
          <w:bCs/>
          <w:iCs/>
        </w:rPr>
        <w:fldChar w:fldCharType="begin"/>
      </w:r>
      <w:r w:rsidRPr="00025910">
        <w:rPr>
          <w:rFonts w:eastAsia="Calibri"/>
          <w:bCs/>
          <w:iCs/>
        </w:rPr>
        <w:instrText xml:space="preserve"> REF Sch28PartC \h  \* MERGEFORMAT </w:instrText>
      </w:r>
      <w:r w:rsidRPr="00025910">
        <w:rPr>
          <w:rFonts w:eastAsia="Calibri"/>
          <w:bCs/>
          <w:iCs/>
        </w:rPr>
      </w:r>
      <w:r w:rsidRPr="00025910">
        <w:rPr>
          <w:rFonts w:eastAsia="Calibri"/>
          <w:bCs/>
          <w:iCs/>
        </w:rPr>
        <w:fldChar w:fldCharType="separate"/>
      </w:r>
      <w:r w:rsidR="00302D39" w:rsidRPr="00302D39">
        <w:rPr>
          <w:bCs/>
          <w:iCs/>
        </w:rPr>
        <w:t>Part C</w:t>
      </w:r>
      <w:r w:rsidRPr="00025910">
        <w:rPr>
          <w:rFonts w:eastAsia="Calibri"/>
          <w:bCs/>
          <w:iCs/>
        </w:rPr>
        <w:fldChar w:fldCharType="end"/>
      </w:r>
      <w:r w:rsidRPr="00025910">
        <w:t xml:space="preserve"> the Authority accepts an obligation to procure that a Former Supplier does or does not do something, such obligation shall be limited so that it extends only to the extent that the Authority</w:t>
      </w:r>
      <w:r>
        <w:t>’</w:t>
      </w:r>
      <w:r w:rsidRPr="00025910">
        <w:t>s contract with the Former Supplier contains a contractual right in that regard which the Authority may enforce, or otherwise so that it requires only that the Authority must use reasonable endeavours to procure that the Former Supplier does or does not act accordingly.</w:t>
      </w:r>
    </w:p>
    <w:p w14:paraId="2ABC5D89" w14:textId="77777777" w:rsidR="00F67E9E" w:rsidRDefault="00F67E9E" w:rsidP="00F67E9E">
      <w:pPr>
        <w:rPr>
          <w:rFonts w:eastAsia="Times New Roman" w:cs="Arial"/>
          <w:szCs w:val="24"/>
          <w:lang w:eastAsia="en-GB"/>
        </w:rPr>
      </w:pPr>
    </w:p>
    <w:p w14:paraId="175D18DA" w14:textId="77777777" w:rsidR="00F67E9E" w:rsidRPr="00A6113A" w:rsidRDefault="00F67E9E" w:rsidP="00F67E9E">
      <w:pPr>
        <w:pStyle w:val="Heading2"/>
        <w:pageBreakBefore/>
      </w:pPr>
      <w:bookmarkStart w:id="2523" w:name="Sch28PartD"/>
      <w:bookmarkStart w:id="2524" w:name="_Ref_ContractCompanion_9kb9Ur499"/>
      <w:bookmarkStart w:id="2525" w:name="_Ref_ContractCompanion_9kb9Ur4A8"/>
      <w:bookmarkStart w:id="2526" w:name="_Ref_ContractCompanion_9kb9Ur4AA"/>
      <w:bookmarkStart w:id="2527" w:name="_Ref_ContractCompanion_9kb9Ur4AC"/>
      <w:bookmarkStart w:id="2528" w:name="_Ref_ContractCompanion_9kb9Ur4AE"/>
      <w:bookmarkStart w:id="2529" w:name="_Ref_ContractCompanion_9kb9Us465"/>
      <w:bookmarkStart w:id="2530" w:name="_Ref_ContractCompanion_9kb9Us467"/>
      <w:bookmarkStart w:id="2531" w:name="_Ref_ContractCompanion_9kb9Us469"/>
      <w:bookmarkStart w:id="2532" w:name="_Ref_ContractCompanion_9kb9Us46B"/>
      <w:bookmarkStart w:id="2533" w:name="_Ref_ContractCompanion_9kb9Us46D"/>
      <w:bookmarkStart w:id="2534" w:name="_Ref_ContractCompanion_9kb9Us476"/>
      <w:bookmarkStart w:id="2535" w:name="_Ref_ContractCompanion_9kb9Us478"/>
      <w:bookmarkStart w:id="2536" w:name="_9kR3WTrAG98BEeJfifw5qFQKjPyIf687MIFLQ"/>
      <w:bookmarkStart w:id="2537" w:name="_Ref_ContractCompanion_9kb9Us9DF"/>
      <w:bookmarkStart w:id="2538" w:name="_Ref_ContractCompanion_9kb9Ut25E"/>
      <w:bookmarkStart w:id="2539" w:name="_Ref_ContractCompanion_9kb9Ut267"/>
      <w:bookmarkStart w:id="2540" w:name="_9kR3WTr29B7FLfJfifw5qFQKjPyIf687MIFLQ"/>
      <w:bookmarkStart w:id="2541" w:name="_Toc141711988"/>
      <w:r w:rsidRPr="00025910">
        <w:t>Part D</w:t>
      </w:r>
      <w:bookmarkEnd w:id="2523"/>
      <w:r w:rsidRPr="00025910">
        <w:t xml:space="preserve">: </w:t>
      </w:r>
      <w:bookmarkStart w:id="2542" w:name="PartDSchedule28Heading"/>
      <w:r w:rsidRPr="00025910">
        <w:t>Pensions</w:t>
      </w:r>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p>
    <w:p w14:paraId="698F32FE" w14:textId="77777777" w:rsidR="00F67E9E" w:rsidRPr="00C542C5" w:rsidRDefault="00F67E9E" w:rsidP="00F67E9E">
      <w:pPr>
        <w:pStyle w:val="AppendixText1"/>
        <w:numPr>
          <w:ilvl w:val="0"/>
          <w:numId w:val="78"/>
        </w:numPr>
        <w:rPr>
          <w:color w:val="1F497D"/>
        </w:rPr>
      </w:pPr>
      <w:r w:rsidRPr="00C542C5">
        <w:rPr>
          <w:color w:val="1F497D"/>
        </w:rPr>
        <w:t>Definitions</w:t>
      </w:r>
    </w:p>
    <w:p w14:paraId="35A42546" w14:textId="39237768" w:rsidR="00F67E9E" w:rsidRPr="00025910" w:rsidRDefault="00F67E9E" w:rsidP="00F67E9E">
      <w:pPr>
        <w:pStyle w:val="AppendixText2"/>
      </w:pPr>
      <w:r w:rsidRPr="00025910">
        <w:t xml:space="preserve">In this </w:t>
      </w:r>
      <w:r w:rsidRPr="00025910">
        <w:rPr>
          <w:color w:val="000000"/>
        </w:rPr>
        <w:fldChar w:fldCharType="begin"/>
      </w:r>
      <w:r w:rsidRPr="00025910">
        <w:rPr>
          <w:color w:val="000000"/>
        </w:rPr>
        <w:instrText xml:space="preserve"> REF Sch28PartD \h  \* MERGEFORMAT </w:instrText>
      </w:r>
      <w:r w:rsidRPr="00025910">
        <w:rPr>
          <w:color w:val="000000"/>
        </w:rPr>
      </w:r>
      <w:r w:rsidRPr="00025910">
        <w:rPr>
          <w:color w:val="000000"/>
        </w:rPr>
        <w:fldChar w:fldCharType="separate"/>
      </w:r>
      <w:r w:rsidR="00302D39" w:rsidRPr="00302D39">
        <w:rPr>
          <w:rFonts w:eastAsia="Calibri"/>
        </w:rPr>
        <w:t>Part D</w:t>
      </w:r>
      <w:r w:rsidRPr="00025910">
        <w:rPr>
          <w:color w:val="000000"/>
        </w:rPr>
        <w:fldChar w:fldCharType="end"/>
      </w:r>
      <w:r w:rsidRPr="00025910">
        <w:t xml:space="preserve"> and </w:t>
      </w:r>
      <w:bookmarkStart w:id="2543" w:name="_9kMNM5YVt4DDABGgGp9X"/>
      <w:bookmarkStart w:id="2544" w:name="_9kMLK5YVt4BD9HJdLhkhy7sHSMlR0Kiy7JJJXWD"/>
      <w:r w:rsidRPr="00025910">
        <w:fldChar w:fldCharType="begin"/>
      </w:r>
      <w:r w:rsidRPr="00025910">
        <w:instrText xml:space="preserve"> REF Sch28PartE \h  \* MERGEFORMAT </w:instrText>
      </w:r>
      <w:r w:rsidRPr="00025910">
        <w:fldChar w:fldCharType="separate"/>
      </w:r>
      <w:r w:rsidR="00302D39" w:rsidRPr="00302D39">
        <w:t>Part E</w:t>
      </w:r>
      <w:r w:rsidRPr="00025910">
        <w:fldChar w:fldCharType="end"/>
      </w:r>
      <w:bookmarkEnd w:id="2543"/>
      <w:bookmarkEnd w:id="2544"/>
      <w:r w:rsidRPr="00025910">
        <w:t xml:space="preserve">, the following words have the following meanings and they shall supplement </w:t>
      </w:r>
      <w:r>
        <w:fldChar w:fldCharType="begin"/>
      </w:r>
      <w:r>
        <w:instrText xml:space="preserve"> REF Schedule1 \h </w:instrText>
      </w:r>
      <w:r>
        <w:fldChar w:fldCharType="separate"/>
      </w:r>
      <w:r w:rsidR="00302D39" w:rsidRPr="00724541">
        <w:t>Schedule</w:t>
      </w:r>
      <w:r w:rsidR="00302D39">
        <w:t> </w:t>
      </w:r>
      <w:r w:rsidR="00302D39" w:rsidRPr="00724541">
        <w:t>1</w:t>
      </w:r>
      <w:r>
        <w:fldChar w:fldCharType="end"/>
      </w:r>
      <w:r w:rsidRPr="00724541">
        <w:t xml:space="preserve"> (</w:t>
      </w:r>
      <w:r w:rsidRPr="0087475A">
        <w:rPr>
          <w:i/>
          <w:iCs/>
        </w:rPr>
        <w:fldChar w:fldCharType="begin"/>
      </w:r>
      <w:r w:rsidRPr="0087475A">
        <w:rPr>
          <w:i/>
          <w:iCs/>
        </w:rPr>
        <w:instrText xml:space="preserve"> REF Schedule1Heading \h  \* MERGEFORMAT </w:instrText>
      </w:r>
      <w:r w:rsidRPr="0087475A">
        <w:rPr>
          <w:i/>
          <w:iCs/>
        </w:rPr>
      </w:r>
      <w:r w:rsidRPr="0087475A">
        <w:rPr>
          <w:i/>
          <w:iCs/>
        </w:rPr>
        <w:fldChar w:fldCharType="separate"/>
      </w:r>
      <w:r w:rsidR="00302D39" w:rsidRPr="00302D39">
        <w:rPr>
          <w:i/>
          <w:iCs/>
        </w:rPr>
        <w:t>Definitions</w:t>
      </w:r>
      <w:r w:rsidRPr="0087475A">
        <w:rPr>
          <w:i/>
          <w:iCs/>
        </w:rPr>
        <w:fldChar w:fldCharType="end"/>
      </w:r>
      <w:r w:rsidRPr="00724541">
        <w:t>)</w:t>
      </w:r>
      <w:r w:rsidRPr="00025910">
        <w:t xml:space="preserve">, and shall be deemed to include the definitions set out in </w:t>
      </w:r>
      <w:r w:rsidRPr="00C542C5">
        <w:t>the</w:t>
      </w:r>
      <w:r w:rsidRPr="00025910">
        <w:t xml:space="preserve"> Annexes to this </w:t>
      </w:r>
      <w:r w:rsidRPr="00025910">
        <w:rPr>
          <w:color w:val="000000"/>
        </w:rPr>
        <w:fldChar w:fldCharType="begin"/>
      </w:r>
      <w:r w:rsidRPr="00025910">
        <w:rPr>
          <w:color w:val="000000"/>
        </w:rPr>
        <w:instrText xml:space="preserve"> REF Sch28PartD \h  \* MERGEFORMAT </w:instrText>
      </w:r>
      <w:r w:rsidRPr="00025910">
        <w:rPr>
          <w:color w:val="000000"/>
        </w:rPr>
      </w:r>
      <w:r w:rsidRPr="00025910">
        <w:rPr>
          <w:color w:val="000000"/>
        </w:rPr>
        <w:fldChar w:fldCharType="separate"/>
      </w:r>
      <w:r w:rsidR="00302D39" w:rsidRPr="00302D39">
        <w:rPr>
          <w:rFonts w:eastAsia="Calibri"/>
        </w:rPr>
        <w:t>Part D</w:t>
      </w:r>
      <w:r w:rsidRPr="00025910">
        <w:rPr>
          <w:color w:val="000000"/>
        </w:rPr>
        <w:fldChar w:fldCharType="end"/>
      </w:r>
      <w:r w:rsidRPr="00025910">
        <w:t>:</w:t>
      </w:r>
    </w:p>
    <w:tbl>
      <w:tblPr>
        <w:tblStyle w:val="MSAdefinitions"/>
        <w:tblW w:w="9628" w:type="dxa"/>
        <w:tblLook w:val="04A0" w:firstRow="1" w:lastRow="0" w:firstColumn="1" w:lastColumn="0" w:noHBand="0" w:noVBand="1"/>
      </w:tblPr>
      <w:tblGrid>
        <w:gridCol w:w="2835"/>
        <w:gridCol w:w="6793"/>
      </w:tblGrid>
      <w:tr w:rsidR="00F67E9E" w:rsidRPr="00025910" w14:paraId="754306BF" w14:textId="77777777" w:rsidTr="007F74AA">
        <w:tc>
          <w:tcPr>
            <w:tcW w:w="2835" w:type="dxa"/>
          </w:tcPr>
          <w:p w14:paraId="7536B097" w14:textId="77777777" w:rsidR="00F67E9E" w:rsidRPr="00025910" w:rsidRDefault="00F67E9E" w:rsidP="007F74AA">
            <w:pPr>
              <w:pStyle w:val="StdBodyTextBold"/>
              <w:rPr>
                <w:rFonts w:cs="Arial"/>
              </w:rPr>
            </w:pPr>
            <w:r>
              <w:rPr>
                <w:rFonts w:cs="Arial"/>
              </w:rPr>
              <w:t>“</w:t>
            </w:r>
            <w:r w:rsidRPr="00025910">
              <w:rPr>
                <w:rFonts w:cs="Arial"/>
              </w:rPr>
              <w:t>Actuary</w:t>
            </w:r>
            <w:r>
              <w:rPr>
                <w:rFonts w:cs="Arial"/>
              </w:rPr>
              <w:t>”</w:t>
            </w:r>
          </w:p>
        </w:tc>
        <w:tc>
          <w:tcPr>
            <w:tcW w:w="6793" w:type="dxa"/>
          </w:tcPr>
          <w:p w14:paraId="4E21799B" w14:textId="77777777" w:rsidR="00F67E9E" w:rsidRPr="00025910" w:rsidRDefault="00F67E9E" w:rsidP="007F74AA">
            <w:pPr>
              <w:pStyle w:val="StdBodyText"/>
              <w:rPr>
                <w:rFonts w:cs="Arial"/>
              </w:rPr>
            </w:pPr>
            <w:r w:rsidRPr="00025910">
              <w:rPr>
                <w:rFonts w:cs="Arial"/>
              </w:rPr>
              <w:t>a Fellow of the Institute and Faculty of Actuaries;</w:t>
            </w:r>
          </w:p>
        </w:tc>
      </w:tr>
      <w:tr w:rsidR="00F67E9E" w:rsidRPr="00025910" w14:paraId="686FD298" w14:textId="77777777" w:rsidTr="007F74AA">
        <w:tc>
          <w:tcPr>
            <w:tcW w:w="2835" w:type="dxa"/>
          </w:tcPr>
          <w:p w14:paraId="2766CC9E" w14:textId="77777777" w:rsidR="00F67E9E" w:rsidRPr="00025910" w:rsidRDefault="00F67E9E" w:rsidP="007F74AA">
            <w:pPr>
              <w:pStyle w:val="StdBodyTextBold"/>
              <w:rPr>
                <w:rFonts w:cs="Arial"/>
              </w:rPr>
            </w:pPr>
            <w:r>
              <w:rPr>
                <w:rFonts w:cs="Arial"/>
              </w:rPr>
              <w:t>“</w:t>
            </w:r>
            <w:r w:rsidRPr="00025910">
              <w:rPr>
                <w:rFonts w:cs="Arial"/>
              </w:rPr>
              <w:t>Best Value Direction</w:t>
            </w:r>
            <w:r>
              <w:rPr>
                <w:rFonts w:cs="Arial"/>
              </w:rPr>
              <w:t>”</w:t>
            </w:r>
          </w:p>
        </w:tc>
        <w:tc>
          <w:tcPr>
            <w:tcW w:w="6793" w:type="dxa"/>
          </w:tcPr>
          <w:p w14:paraId="2DC48D5C" w14:textId="77777777" w:rsidR="00F67E9E" w:rsidRPr="00025910" w:rsidRDefault="00F67E9E" w:rsidP="007F74AA">
            <w:pPr>
              <w:pStyle w:val="StdBodyText"/>
              <w:rPr>
                <w:rFonts w:cs="Arial"/>
              </w:rPr>
            </w:pPr>
            <w:r w:rsidRPr="00025910">
              <w:rPr>
                <w:rFonts w:cs="Arial"/>
              </w:rPr>
              <w:t>the Best Value Authorities Staff Transfers (Pensions) Direction 2007 or the Welsh Authorities Staff Transfers (Pensions) Direction 2012 (as appropriate);</w:t>
            </w:r>
          </w:p>
        </w:tc>
      </w:tr>
      <w:tr w:rsidR="00F67E9E" w:rsidRPr="00025910" w14:paraId="6FB13BF8" w14:textId="77777777" w:rsidTr="007F74AA">
        <w:tc>
          <w:tcPr>
            <w:tcW w:w="2835" w:type="dxa"/>
          </w:tcPr>
          <w:p w14:paraId="24EEF8B2" w14:textId="77777777" w:rsidR="00F67E9E" w:rsidRPr="00025910" w:rsidRDefault="00F67E9E" w:rsidP="007F74AA">
            <w:pPr>
              <w:pStyle w:val="StdBodyTextBold"/>
              <w:rPr>
                <w:rFonts w:cs="Arial"/>
              </w:rPr>
            </w:pPr>
            <w:r>
              <w:rPr>
                <w:rFonts w:cs="Arial"/>
              </w:rPr>
              <w:t>“</w:t>
            </w:r>
            <w:r w:rsidRPr="00025910">
              <w:rPr>
                <w:rFonts w:cs="Arial"/>
              </w:rPr>
              <w:t>Broadly Comparable</w:t>
            </w:r>
            <w:r>
              <w:rPr>
                <w:rFonts w:cs="Arial"/>
              </w:rPr>
              <w:t>”</w:t>
            </w:r>
          </w:p>
        </w:tc>
        <w:tc>
          <w:tcPr>
            <w:tcW w:w="6793" w:type="dxa"/>
          </w:tcPr>
          <w:p w14:paraId="7EC79895" w14:textId="77777777" w:rsidR="00F67E9E" w:rsidRPr="00C542C5" w:rsidRDefault="00F67E9E" w:rsidP="007F74AA">
            <w:pPr>
              <w:pStyle w:val="DefinitionList"/>
              <w:numPr>
                <w:ilvl w:val="0"/>
                <w:numId w:val="215"/>
              </w:numPr>
            </w:pPr>
            <w:r w:rsidRPr="00C542C5">
              <w:t xml:space="preserve">in respect of a pension scheme, a status satisfying the condition that there are no identifiable employees who will suffer material detriment overall in terms of future accrual of pension benefits as assessed in accordance with </w:t>
            </w:r>
            <w:bookmarkStart w:id="2545" w:name="_9kR3WTr2CC7BBJCwozW"/>
            <w:r w:rsidRPr="00C542C5">
              <w:t>Annex A</w:t>
            </w:r>
            <w:bookmarkEnd w:id="2545"/>
            <w:r w:rsidRPr="00C542C5">
              <w:t xml:space="preserve"> of New Fair Deal and demonstrated by the issue by the Government Actuary’s Department of a broad comparability certificate; and/or</w:t>
            </w:r>
          </w:p>
          <w:p w14:paraId="4A3576C0" w14:textId="77777777" w:rsidR="00F67E9E" w:rsidRPr="00025910" w:rsidRDefault="00F67E9E" w:rsidP="00F67E9E">
            <w:pPr>
              <w:pStyle w:val="DefinitionList"/>
              <w:numPr>
                <w:ilvl w:val="0"/>
                <w:numId w:val="108"/>
              </w:numPr>
            </w:pPr>
            <w:r w:rsidRPr="00C542C5">
              <w:t>in respect</w:t>
            </w:r>
            <w:r w:rsidRPr="00025910">
              <w:t xml:space="preserve"> of benefits provided for or in respect of a member </w:t>
            </w:r>
            <w:r w:rsidRPr="007216EA">
              <w:t>under</w:t>
            </w:r>
            <w:r w:rsidRPr="00025910">
              <w:t xml:space="preserve"> a pension scheme, benefits that are consistent with that pension scheme</w:t>
            </w:r>
            <w:r>
              <w:t>’</w:t>
            </w:r>
            <w:r w:rsidRPr="00025910">
              <w:t>s certificate of broad comparability issued by the Government Actuary</w:t>
            </w:r>
            <w:r>
              <w:t>’</w:t>
            </w:r>
            <w:r w:rsidRPr="00025910">
              <w:t>s Department,</w:t>
            </w:r>
          </w:p>
          <w:p w14:paraId="00198FE0" w14:textId="77777777" w:rsidR="00F67E9E" w:rsidRPr="00025910" w:rsidRDefault="00F67E9E" w:rsidP="007F74AA">
            <w:pPr>
              <w:pStyle w:val="StdBodyText"/>
              <w:rPr>
                <w:rFonts w:cs="Arial"/>
              </w:rPr>
            </w:pPr>
            <w:r w:rsidRPr="00025910">
              <w:rPr>
                <w:rFonts w:cs="Arial"/>
              </w:rPr>
              <w:t xml:space="preserve">and </w:t>
            </w:r>
            <w:r>
              <w:rPr>
                <w:rFonts w:cs="Arial"/>
              </w:rPr>
              <w:t>“</w:t>
            </w:r>
            <w:r w:rsidRPr="00025910">
              <w:rPr>
                <w:rStyle w:val="StdBodyTextBoldChar"/>
                <w:rFonts w:cs="Arial"/>
              </w:rPr>
              <w:t>Broad Comparability</w:t>
            </w:r>
            <w:r>
              <w:rPr>
                <w:rFonts w:cs="Arial"/>
              </w:rPr>
              <w:t>”</w:t>
            </w:r>
            <w:r w:rsidRPr="00025910">
              <w:rPr>
                <w:rFonts w:cs="Arial"/>
              </w:rPr>
              <w:t xml:space="preserve"> shall be construed accordingly;</w:t>
            </w:r>
          </w:p>
        </w:tc>
      </w:tr>
      <w:tr w:rsidR="00F67E9E" w:rsidRPr="00025910" w14:paraId="7066E66A" w14:textId="77777777" w:rsidTr="007F74AA">
        <w:tc>
          <w:tcPr>
            <w:tcW w:w="2835" w:type="dxa"/>
          </w:tcPr>
          <w:p w14:paraId="7D5690C1" w14:textId="77777777" w:rsidR="00F67E9E" w:rsidRPr="00025910" w:rsidRDefault="00F67E9E" w:rsidP="007F74AA">
            <w:pPr>
              <w:pStyle w:val="StdBodyTextBold"/>
              <w:rPr>
                <w:rFonts w:cs="Arial"/>
              </w:rPr>
            </w:pPr>
            <w:r>
              <w:rPr>
                <w:rFonts w:cs="Arial"/>
              </w:rPr>
              <w:t>“</w:t>
            </w:r>
            <w:r w:rsidRPr="00025910">
              <w:rPr>
                <w:rFonts w:cs="Arial"/>
              </w:rPr>
              <w:t>CSPS</w:t>
            </w:r>
            <w:r>
              <w:rPr>
                <w:rFonts w:cs="Arial"/>
              </w:rPr>
              <w:t>”</w:t>
            </w:r>
          </w:p>
        </w:tc>
        <w:tc>
          <w:tcPr>
            <w:tcW w:w="6793" w:type="dxa"/>
          </w:tcPr>
          <w:p w14:paraId="7CFC26BC" w14:textId="23501AAC" w:rsidR="00F67E9E" w:rsidRPr="00025910" w:rsidRDefault="00F67E9E" w:rsidP="007F74AA">
            <w:pPr>
              <w:pStyle w:val="StdBodyText"/>
              <w:rPr>
                <w:rFonts w:cs="Arial"/>
              </w:rPr>
            </w:pPr>
            <w:r w:rsidRPr="00025910">
              <w:rPr>
                <w:rFonts w:cs="Arial"/>
              </w:rPr>
              <w:t xml:space="preserve">the schemes as defined in Annex </w:t>
            </w:r>
            <w:r w:rsidRPr="00025910">
              <w:rPr>
                <w:rFonts w:cs="Arial"/>
              </w:rPr>
              <w:fldChar w:fldCharType="begin"/>
            </w:r>
            <w:r w:rsidRPr="00025910">
              <w:rPr>
                <w:rFonts w:cs="Arial"/>
              </w:rPr>
              <w:instrText xml:space="preserve"> REF ANNEXD1_SCHEDULE28 \h  \* MERGEFORMAT </w:instrText>
            </w:r>
            <w:r w:rsidRPr="00025910">
              <w:rPr>
                <w:rFonts w:cs="Arial"/>
              </w:rPr>
            </w:r>
            <w:r w:rsidRPr="00025910">
              <w:rPr>
                <w:rFonts w:cs="Arial"/>
              </w:rPr>
              <w:fldChar w:fldCharType="separate"/>
            </w:r>
            <w:r w:rsidR="00302D39" w:rsidRPr="00302D39">
              <w:rPr>
                <w:rFonts w:cs="Arial"/>
              </w:rPr>
              <w:t>D1</w:t>
            </w:r>
            <w:r w:rsidRPr="00025910">
              <w:rPr>
                <w:rFonts w:cs="Arial"/>
              </w:rPr>
              <w:fldChar w:fldCharType="end"/>
            </w:r>
            <w:r w:rsidRPr="00025910">
              <w:rPr>
                <w:rFonts w:cs="Arial"/>
              </w:rPr>
              <w:t xml:space="preserve"> to this </w:t>
            </w:r>
            <w:r w:rsidRPr="00025910">
              <w:rPr>
                <w:rFonts w:eastAsia="Arial"/>
                <w:color w:val="000000"/>
              </w:rPr>
              <w:fldChar w:fldCharType="begin"/>
            </w:r>
            <w:r w:rsidRPr="00025910">
              <w:rPr>
                <w:rFonts w:eastAsia="Arial"/>
                <w:color w:val="000000"/>
              </w:rPr>
              <w:instrText xml:space="preserve"> REF Sch28PartD \h  \* MERGEFORMAT </w:instrText>
            </w:r>
            <w:r w:rsidRPr="00025910">
              <w:rPr>
                <w:rFonts w:eastAsia="Arial"/>
                <w:color w:val="000000"/>
              </w:rPr>
            </w:r>
            <w:r w:rsidRPr="00025910">
              <w:rPr>
                <w:rFonts w:eastAsia="Arial"/>
                <w:color w:val="000000"/>
              </w:rPr>
              <w:fldChar w:fldCharType="separate"/>
            </w:r>
            <w:r w:rsidR="00302D39" w:rsidRPr="00302D39">
              <w:rPr>
                <w:rFonts w:eastAsia="Calibri"/>
              </w:rPr>
              <w:t>Part D</w:t>
            </w:r>
            <w:r w:rsidRPr="00025910">
              <w:rPr>
                <w:rFonts w:eastAsia="Arial"/>
                <w:color w:val="000000"/>
              </w:rPr>
              <w:fldChar w:fldCharType="end"/>
            </w:r>
            <w:r w:rsidRPr="00025910">
              <w:rPr>
                <w:rFonts w:cs="Arial"/>
              </w:rPr>
              <w:t>;</w:t>
            </w:r>
          </w:p>
        </w:tc>
      </w:tr>
      <w:tr w:rsidR="00F67E9E" w:rsidRPr="00025910" w14:paraId="6DC97385" w14:textId="77777777" w:rsidTr="007F74AA">
        <w:tc>
          <w:tcPr>
            <w:tcW w:w="2835" w:type="dxa"/>
          </w:tcPr>
          <w:p w14:paraId="36A274E8" w14:textId="77777777" w:rsidR="00F67E9E" w:rsidRPr="00025910" w:rsidRDefault="00F67E9E" w:rsidP="007F74AA">
            <w:pPr>
              <w:pStyle w:val="StdBodyTextBold"/>
              <w:rPr>
                <w:rFonts w:cs="Arial"/>
              </w:rPr>
            </w:pPr>
            <w:r>
              <w:rPr>
                <w:rFonts w:cs="Arial"/>
              </w:rPr>
              <w:t>“</w:t>
            </w:r>
            <w:r w:rsidRPr="00025910">
              <w:rPr>
                <w:rFonts w:cs="Arial"/>
              </w:rPr>
              <w:t>Direction Letter/Determination</w:t>
            </w:r>
            <w:r>
              <w:rPr>
                <w:rFonts w:cs="Arial"/>
              </w:rPr>
              <w:t>”</w:t>
            </w:r>
          </w:p>
        </w:tc>
        <w:tc>
          <w:tcPr>
            <w:tcW w:w="6793" w:type="dxa"/>
          </w:tcPr>
          <w:p w14:paraId="116BC0A0" w14:textId="6C835780" w:rsidR="00F67E9E" w:rsidRPr="00025910" w:rsidRDefault="00F67E9E" w:rsidP="007F74AA">
            <w:pPr>
              <w:pStyle w:val="StdBodyText"/>
              <w:rPr>
                <w:rFonts w:cs="Arial"/>
              </w:rPr>
            </w:pPr>
            <w:r w:rsidRPr="00025910">
              <w:rPr>
                <w:rFonts w:cs="Arial"/>
              </w:rPr>
              <w:t xml:space="preserve">has the meaning in Annex </w:t>
            </w:r>
            <w:r w:rsidRPr="00025910">
              <w:rPr>
                <w:rFonts w:cs="Arial"/>
              </w:rPr>
              <w:fldChar w:fldCharType="begin"/>
            </w:r>
            <w:r w:rsidRPr="00025910">
              <w:rPr>
                <w:rFonts w:cs="Arial"/>
              </w:rPr>
              <w:instrText xml:space="preserve"> REF ANNEXD2_SCHEDULE28 \h  \* MERGEFORMAT </w:instrText>
            </w:r>
            <w:r w:rsidRPr="00025910">
              <w:rPr>
                <w:rFonts w:cs="Arial"/>
              </w:rPr>
            </w:r>
            <w:r w:rsidRPr="00025910">
              <w:rPr>
                <w:rFonts w:cs="Arial"/>
              </w:rPr>
              <w:fldChar w:fldCharType="separate"/>
            </w:r>
            <w:r w:rsidR="00302D39" w:rsidRPr="00302D39">
              <w:rPr>
                <w:rFonts w:cs="Arial"/>
              </w:rPr>
              <w:t>D2</w:t>
            </w:r>
            <w:r w:rsidRPr="00025910">
              <w:rPr>
                <w:rFonts w:cs="Arial"/>
              </w:rPr>
              <w:fldChar w:fldCharType="end"/>
            </w:r>
            <w:r w:rsidRPr="00025910">
              <w:rPr>
                <w:rFonts w:cs="Arial"/>
              </w:rPr>
              <w:t xml:space="preserve"> to this </w:t>
            </w:r>
            <w:r w:rsidRPr="00025910">
              <w:rPr>
                <w:rFonts w:eastAsia="Arial"/>
                <w:color w:val="000000"/>
              </w:rPr>
              <w:fldChar w:fldCharType="begin"/>
            </w:r>
            <w:r w:rsidRPr="00025910">
              <w:rPr>
                <w:rFonts w:eastAsia="Arial"/>
                <w:color w:val="000000"/>
              </w:rPr>
              <w:instrText xml:space="preserve"> REF Sch28PartD \h  \* MERGEFORMAT </w:instrText>
            </w:r>
            <w:r w:rsidRPr="00025910">
              <w:rPr>
                <w:rFonts w:eastAsia="Arial"/>
                <w:color w:val="000000"/>
              </w:rPr>
            </w:r>
            <w:r w:rsidRPr="00025910">
              <w:rPr>
                <w:rFonts w:eastAsia="Arial"/>
                <w:color w:val="000000"/>
              </w:rPr>
              <w:fldChar w:fldCharType="separate"/>
            </w:r>
            <w:r w:rsidR="00302D39" w:rsidRPr="00302D39">
              <w:rPr>
                <w:rFonts w:eastAsia="Calibri"/>
              </w:rPr>
              <w:t>Part D</w:t>
            </w:r>
            <w:r w:rsidRPr="00025910">
              <w:rPr>
                <w:rFonts w:eastAsia="Arial"/>
                <w:color w:val="000000"/>
              </w:rPr>
              <w:fldChar w:fldCharType="end"/>
            </w:r>
            <w:r w:rsidRPr="00025910">
              <w:rPr>
                <w:rFonts w:cs="Arial"/>
              </w:rPr>
              <w:t>;</w:t>
            </w:r>
          </w:p>
        </w:tc>
      </w:tr>
      <w:tr w:rsidR="00F67E9E" w:rsidRPr="00025910" w14:paraId="6B3A4F7F" w14:textId="77777777" w:rsidTr="007F74AA">
        <w:tc>
          <w:tcPr>
            <w:tcW w:w="2835" w:type="dxa"/>
          </w:tcPr>
          <w:p w14:paraId="64619466" w14:textId="77777777" w:rsidR="00F67E9E" w:rsidRPr="00025910" w:rsidRDefault="00F67E9E" w:rsidP="007F74AA">
            <w:pPr>
              <w:pStyle w:val="StdBodyTextBold"/>
              <w:rPr>
                <w:rFonts w:cs="Arial"/>
              </w:rPr>
            </w:pPr>
            <w:r>
              <w:rPr>
                <w:rFonts w:cs="Arial"/>
              </w:rPr>
              <w:t>“</w:t>
            </w:r>
            <w:r w:rsidRPr="00025910">
              <w:rPr>
                <w:rFonts w:cs="Arial"/>
              </w:rPr>
              <w:t>Fair Deal Eligible Employees</w:t>
            </w:r>
            <w:r>
              <w:rPr>
                <w:rFonts w:cs="Arial"/>
              </w:rPr>
              <w:t>”</w:t>
            </w:r>
          </w:p>
        </w:tc>
        <w:tc>
          <w:tcPr>
            <w:tcW w:w="6793" w:type="dxa"/>
          </w:tcPr>
          <w:p w14:paraId="0E86FA3B" w14:textId="2F4CC7D1" w:rsidR="00F67E9E" w:rsidRPr="00025910" w:rsidRDefault="00F67E9E" w:rsidP="007F74AA">
            <w:pPr>
              <w:pStyle w:val="StdBodyText"/>
              <w:rPr>
                <w:rFonts w:cs="Arial"/>
              </w:rPr>
            </w:pPr>
            <w:r w:rsidRPr="00025910">
              <w:rPr>
                <w:rFonts w:cs="Arial"/>
              </w:rPr>
              <w:t xml:space="preserve">means each of the CSPS Eligible Employees </w:t>
            </w:r>
            <w:r w:rsidRPr="00025910">
              <w:t xml:space="preserve">(as defined in </w:t>
            </w:r>
            <w:r w:rsidRPr="00025910">
              <w:rPr>
                <w:rFonts w:eastAsia="Arial"/>
              </w:rPr>
              <w:t>Annex </w:t>
            </w:r>
            <w:r w:rsidRPr="00025910">
              <w:rPr>
                <w:rFonts w:cs="Arial"/>
              </w:rPr>
              <w:fldChar w:fldCharType="begin"/>
            </w:r>
            <w:r w:rsidRPr="00025910">
              <w:rPr>
                <w:rFonts w:cs="Arial"/>
              </w:rPr>
              <w:instrText xml:space="preserve"> REF ANNEXD1_SCHEDULE28 \h  \* MERGEFORMAT </w:instrText>
            </w:r>
            <w:r w:rsidRPr="00025910">
              <w:rPr>
                <w:rFonts w:cs="Arial"/>
              </w:rPr>
            </w:r>
            <w:r w:rsidRPr="00025910">
              <w:rPr>
                <w:rFonts w:cs="Arial"/>
              </w:rPr>
              <w:fldChar w:fldCharType="separate"/>
            </w:r>
            <w:r w:rsidR="00302D39" w:rsidRPr="00302D39">
              <w:rPr>
                <w:rFonts w:cs="Arial"/>
              </w:rPr>
              <w:t>D1</w:t>
            </w:r>
            <w:r w:rsidRPr="00025910">
              <w:rPr>
                <w:rFonts w:cs="Arial"/>
              </w:rPr>
              <w:fldChar w:fldCharType="end"/>
            </w:r>
            <w:r w:rsidRPr="00025910">
              <w:rPr>
                <w:rFonts w:eastAsia="Arial"/>
              </w:rPr>
              <w:t xml:space="preserve"> to this </w:t>
            </w:r>
            <w:r w:rsidRPr="00025910">
              <w:rPr>
                <w:rFonts w:eastAsia="Arial"/>
                <w:color w:val="000000"/>
              </w:rPr>
              <w:fldChar w:fldCharType="begin"/>
            </w:r>
            <w:r w:rsidRPr="00025910">
              <w:rPr>
                <w:rFonts w:eastAsia="Arial"/>
                <w:color w:val="000000"/>
              </w:rPr>
              <w:instrText xml:space="preserve"> REF Sch28PartD \h  \* MERGEFORMAT </w:instrText>
            </w:r>
            <w:r w:rsidRPr="00025910">
              <w:rPr>
                <w:rFonts w:eastAsia="Arial"/>
                <w:color w:val="000000"/>
              </w:rPr>
            </w:r>
            <w:r w:rsidRPr="00025910">
              <w:rPr>
                <w:rFonts w:eastAsia="Arial"/>
                <w:color w:val="000000"/>
              </w:rPr>
              <w:fldChar w:fldCharType="separate"/>
            </w:r>
            <w:r w:rsidR="00302D39" w:rsidRPr="00302D39">
              <w:rPr>
                <w:rFonts w:eastAsia="Calibri"/>
              </w:rPr>
              <w:t>Part D</w:t>
            </w:r>
            <w:r w:rsidRPr="00025910">
              <w:rPr>
                <w:rFonts w:eastAsia="Arial"/>
                <w:color w:val="000000"/>
              </w:rPr>
              <w:fldChar w:fldCharType="end"/>
            </w:r>
            <w:r w:rsidRPr="00025910">
              <w:rPr>
                <w:rFonts w:eastAsia="Arial"/>
              </w:rPr>
              <w:t>)</w:t>
            </w:r>
            <w:r w:rsidRPr="00025910">
              <w:rPr>
                <w:rFonts w:cs="Arial"/>
              </w:rPr>
              <w:t xml:space="preserve">, the NHSPS Eligible Employees </w:t>
            </w:r>
            <w:r w:rsidRPr="00025910">
              <w:t xml:space="preserve">(as defined in </w:t>
            </w:r>
            <w:r w:rsidRPr="00025910">
              <w:rPr>
                <w:rFonts w:eastAsia="Arial"/>
              </w:rPr>
              <w:t>Annex </w:t>
            </w:r>
            <w:r w:rsidRPr="00025910">
              <w:rPr>
                <w:rFonts w:cs="Arial"/>
              </w:rPr>
              <w:fldChar w:fldCharType="begin"/>
            </w:r>
            <w:r w:rsidRPr="00025910">
              <w:rPr>
                <w:rFonts w:cs="Arial"/>
              </w:rPr>
              <w:instrText xml:space="preserve"> REF ANNEXD2_SCHEDULE28 \h  \* MERGEFORMAT </w:instrText>
            </w:r>
            <w:r w:rsidRPr="00025910">
              <w:rPr>
                <w:rFonts w:cs="Arial"/>
              </w:rPr>
            </w:r>
            <w:r w:rsidRPr="00025910">
              <w:rPr>
                <w:rFonts w:cs="Arial"/>
              </w:rPr>
              <w:fldChar w:fldCharType="separate"/>
            </w:r>
            <w:r w:rsidR="00302D39" w:rsidRPr="00302D39">
              <w:rPr>
                <w:rFonts w:cs="Arial"/>
              </w:rPr>
              <w:t>D2</w:t>
            </w:r>
            <w:r w:rsidRPr="00025910">
              <w:rPr>
                <w:rFonts w:cs="Arial"/>
              </w:rPr>
              <w:fldChar w:fldCharType="end"/>
            </w:r>
            <w:r w:rsidRPr="00025910">
              <w:rPr>
                <w:rFonts w:eastAsia="Arial"/>
              </w:rPr>
              <w:t xml:space="preserve"> to this </w:t>
            </w:r>
            <w:r w:rsidRPr="00025910">
              <w:rPr>
                <w:rFonts w:eastAsia="Arial"/>
                <w:color w:val="000000"/>
              </w:rPr>
              <w:fldChar w:fldCharType="begin"/>
            </w:r>
            <w:r w:rsidRPr="00025910">
              <w:rPr>
                <w:rFonts w:eastAsia="Arial"/>
                <w:color w:val="000000"/>
              </w:rPr>
              <w:instrText xml:space="preserve"> REF Sch28PartD \h  \* MERGEFORMAT </w:instrText>
            </w:r>
            <w:r w:rsidRPr="00025910">
              <w:rPr>
                <w:rFonts w:eastAsia="Arial"/>
                <w:color w:val="000000"/>
              </w:rPr>
            </w:r>
            <w:r w:rsidRPr="00025910">
              <w:rPr>
                <w:rFonts w:eastAsia="Arial"/>
                <w:color w:val="000000"/>
              </w:rPr>
              <w:fldChar w:fldCharType="separate"/>
            </w:r>
            <w:r w:rsidR="00302D39" w:rsidRPr="00302D39">
              <w:rPr>
                <w:rFonts w:eastAsia="Calibri"/>
              </w:rPr>
              <w:t>Part D</w:t>
            </w:r>
            <w:r w:rsidRPr="00025910">
              <w:rPr>
                <w:rFonts w:eastAsia="Arial"/>
                <w:color w:val="000000"/>
              </w:rPr>
              <w:fldChar w:fldCharType="end"/>
            </w:r>
            <w:r w:rsidRPr="00025910">
              <w:rPr>
                <w:rFonts w:eastAsia="Arial"/>
              </w:rPr>
              <w:t>)</w:t>
            </w:r>
            <w:r w:rsidRPr="00025910">
              <w:rPr>
                <w:rFonts w:cs="Arial"/>
              </w:rPr>
              <w:t xml:space="preserve"> and/or the LGPS</w:t>
            </w:r>
            <w:r>
              <w:rPr>
                <w:rFonts w:cs="Arial"/>
              </w:rPr>
              <w:t xml:space="preserve"> </w:t>
            </w:r>
            <w:r w:rsidRPr="00025910">
              <w:rPr>
                <w:rFonts w:cs="Arial"/>
              </w:rPr>
              <w:t xml:space="preserve">Eligible Employees </w:t>
            </w:r>
            <w:r w:rsidRPr="00025910">
              <w:t xml:space="preserve">(as defined in </w:t>
            </w:r>
            <w:r w:rsidRPr="00025910">
              <w:rPr>
                <w:rFonts w:eastAsia="Arial"/>
              </w:rPr>
              <w:t>Annex </w:t>
            </w:r>
            <w:r w:rsidRPr="00025910">
              <w:rPr>
                <w:rFonts w:eastAsia="Arial"/>
              </w:rPr>
              <w:fldChar w:fldCharType="begin"/>
            </w:r>
            <w:r w:rsidRPr="00025910">
              <w:rPr>
                <w:rFonts w:eastAsia="Arial"/>
              </w:rPr>
              <w:instrText xml:space="preserve"> REF ANNEXD3_SCHEDULE28 \h  \* MERGEFORMAT </w:instrText>
            </w:r>
            <w:r w:rsidRPr="00025910">
              <w:rPr>
                <w:rFonts w:eastAsia="Arial"/>
              </w:rPr>
            </w:r>
            <w:r w:rsidRPr="00025910">
              <w:rPr>
                <w:rFonts w:eastAsia="Arial"/>
              </w:rPr>
              <w:fldChar w:fldCharType="separate"/>
            </w:r>
            <w:r w:rsidR="00302D39" w:rsidRPr="00302D39">
              <w:rPr>
                <w:rFonts w:cs="Arial"/>
              </w:rPr>
              <w:t>D3</w:t>
            </w:r>
            <w:r w:rsidRPr="00025910">
              <w:rPr>
                <w:rFonts w:eastAsia="Arial"/>
              </w:rPr>
              <w:fldChar w:fldCharType="end"/>
            </w:r>
            <w:r w:rsidRPr="00025910">
              <w:rPr>
                <w:rFonts w:eastAsia="Arial"/>
              </w:rPr>
              <w:t xml:space="preserve"> to this </w:t>
            </w:r>
            <w:r w:rsidRPr="00025910">
              <w:rPr>
                <w:rFonts w:eastAsia="Arial"/>
                <w:color w:val="000000"/>
              </w:rPr>
              <w:fldChar w:fldCharType="begin"/>
            </w:r>
            <w:r w:rsidRPr="00025910">
              <w:rPr>
                <w:rFonts w:eastAsia="Arial"/>
                <w:color w:val="000000"/>
              </w:rPr>
              <w:instrText xml:space="preserve"> REF Sch28PartD \h  \* MERGEFORMAT </w:instrText>
            </w:r>
            <w:r w:rsidRPr="00025910">
              <w:rPr>
                <w:rFonts w:eastAsia="Arial"/>
                <w:color w:val="000000"/>
              </w:rPr>
            </w:r>
            <w:r w:rsidRPr="00025910">
              <w:rPr>
                <w:rFonts w:eastAsia="Arial"/>
                <w:color w:val="000000"/>
              </w:rPr>
              <w:fldChar w:fldCharType="separate"/>
            </w:r>
            <w:r w:rsidR="00302D39" w:rsidRPr="00302D39">
              <w:rPr>
                <w:rFonts w:eastAsia="Calibri"/>
              </w:rPr>
              <w:t>Part D</w:t>
            </w:r>
            <w:r w:rsidRPr="00025910">
              <w:rPr>
                <w:rFonts w:eastAsia="Arial"/>
                <w:color w:val="000000"/>
              </w:rPr>
              <w:fldChar w:fldCharType="end"/>
            </w:r>
            <w:r w:rsidRPr="00025910">
              <w:rPr>
                <w:rFonts w:eastAsia="Arial"/>
              </w:rPr>
              <w:t>)</w:t>
            </w:r>
            <w:r w:rsidRPr="00025910">
              <w:rPr>
                <w:rFonts w:cs="Arial"/>
              </w:rPr>
              <w:t xml:space="preserve"> (as applicable) (and shall include any such employee who has been admitted to and/or remains eligible to join a Broadly Comparable pension scheme at the relevant time in accordance with </w:t>
            </w:r>
            <w:bookmarkStart w:id="2546" w:name="_9kR3WTr2CC7CBxknoewrqyBI"/>
            <w:r w:rsidRPr="00025910">
              <w:rPr>
                <w:rFonts w:cs="Arial"/>
              </w:rPr>
              <w:t xml:space="preserve">Paragraph </w:t>
            </w:r>
            <w:r w:rsidRPr="00025910">
              <w:rPr>
                <w:rFonts w:cs="Arial"/>
              </w:rPr>
              <w:fldChar w:fldCharType="begin"/>
            </w:r>
            <w:r w:rsidRPr="00025910">
              <w:rPr>
                <w:rFonts w:cs="Arial"/>
              </w:rPr>
              <w:instrText xml:space="preserve"> REF _Ref_ContractCompanion_9kb9Ur378 \w \n \h \t \* MERGEFORMAT </w:instrText>
            </w:r>
            <w:r w:rsidRPr="00025910">
              <w:rPr>
                <w:rFonts w:cs="Arial"/>
              </w:rPr>
            </w:r>
            <w:r w:rsidRPr="00025910">
              <w:rPr>
                <w:rFonts w:cs="Arial"/>
              </w:rPr>
              <w:fldChar w:fldCharType="separate"/>
            </w:r>
            <w:bookmarkStart w:id="2547" w:name="_9kMHG5YVt4BD9HMgLhkhy7sHSMlR0KhkRcBP9zB"/>
            <w:r w:rsidR="00302D39">
              <w:rPr>
                <w:rFonts w:cs="Arial"/>
              </w:rPr>
              <w:t>10</w:t>
            </w:r>
            <w:bookmarkEnd w:id="2547"/>
            <w:r w:rsidRPr="00025910">
              <w:rPr>
                <w:rFonts w:cs="Arial"/>
              </w:rPr>
              <w:fldChar w:fldCharType="end"/>
            </w:r>
            <w:bookmarkEnd w:id="2546"/>
            <w:r w:rsidRPr="00025910">
              <w:rPr>
                <w:rFonts w:cs="Arial"/>
              </w:rPr>
              <w:t xml:space="preserve"> or </w:t>
            </w:r>
            <w:bookmarkStart w:id="2548" w:name="_9kR3WTr2CC7CGEA"/>
            <w:r w:rsidRPr="00025910">
              <w:rPr>
                <w:rFonts w:cs="Arial"/>
              </w:rPr>
              <w:fldChar w:fldCharType="begin"/>
            </w:r>
            <w:r w:rsidRPr="00025910">
              <w:rPr>
                <w:rFonts w:cs="Arial"/>
              </w:rPr>
              <w:instrText xml:space="preserve"> REF _Ref_ContractCompanion_9kb9Ur388 \w \n \h \t \* MERGEFORMAT </w:instrText>
            </w:r>
            <w:r w:rsidRPr="00025910">
              <w:rPr>
                <w:rFonts w:cs="Arial"/>
              </w:rPr>
            </w:r>
            <w:r w:rsidRPr="00025910">
              <w:rPr>
                <w:rFonts w:cs="Arial"/>
              </w:rPr>
              <w:fldChar w:fldCharType="separate"/>
            </w:r>
            <w:bookmarkStart w:id="2549" w:name="_9kMHG5YVt4BD9HLfLhkhy7sHSMlR0KhkSdBP9zB"/>
            <w:r w:rsidR="00302D39">
              <w:rPr>
                <w:rFonts w:cs="Arial"/>
              </w:rPr>
              <w:t>11</w:t>
            </w:r>
            <w:bookmarkEnd w:id="2549"/>
            <w:r w:rsidRPr="00025910">
              <w:rPr>
                <w:rFonts w:cs="Arial"/>
              </w:rPr>
              <w:fldChar w:fldCharType="end"/>
            </w:r>
            <w:bookmarkEnd w:id="2548"/>
            <w:r w:rsidRPr="00025910">
              <w:rPr>
                <w:rFonts w:cs="Arial"/>
              </w:rPr>
              <w:t xml:space="preserve"> of this </w:t>
            </w:r>
            <w:r w:rsidRPr="00025910">
              <w:rPr>
                <w:rFonts w:eastAsia="Arial"/>
                <w:color w:val="000000"/>
              </w:rPr>
              <w:fldChar w:fldCharType="begin"/>
            </w:r>
            <w:r w:rsidRPr="00025910">
              <w:rPr>
                <w:rFonts w:eastAsia="Arial"/>
                <w:color w:val="000000"/>
              </w:rPr>
              <w:instrText xml:space="preserve"> REF Sch28PartD \h  \* MERGEFORMAT </w:instrText>
            </w:r>
            <w:r w:rsidRPr="00025910">
              <w:rPr>
                <w:rFonts w:eastAsia="Arial"/>
                <w:color w:val="000000"/>
              </w:rPr>
            </w:r>
            <w:r w:rsidRPr="00025910">
              <w:rPr>
                <w:rFonts w:eastAsia="Arial"/>
                <w:color w:val="000000"/>
              </w:rPr>
              <w:fldChar w:fldCharType="separate"/>
            </w:r>
            <w:r w:rsidR="00302D39" w:rsidRPr="00302D39">
              <w:rPr>
                <w:rFonts w:eastAsia="Calibri"/>
              </w:rPr>
              <w:t>Part D</w:t>
            </w:r>
            <w:r w:rsidRPr="00025910">
              <w:rPr>
                <w:rFonts w:eastAsia="Arial"/>
                <w:color w:val="000000"/>
              </w:rPr>
              <w:fldChar w:fldCharType="end"/>
            </w:r>
            <w:r w:rsidRPr="00025910">
              <w:rPr>
                <w:rFonts w:cs="Arial"/>
              </w:rPr>
              <w:t>);</w:t>
            </w:r>
          </w:p>
        </w:tc>
      </w:tr>
      <w:tr w:rsidR="00F67E9E" w:rsidRPr="00025910" w14:paraId="1244DD75" w14:textId="77777777" w:rsidTr="007F74AA">
        <w:tc>
          <w:tcPr>
            <w:tcW w:w="2835" w:type="dxa"/>
          </w:tcPr>
          <w:p w14:paraId="37089F77" w14:textId="77777777" w:rsidR="00F67E9E" w:rsidRPr="00025910" w:rsidRDefault="00F67E9E" w:rsidP="007F74AA">
            <w:pPr>
              <w:pStyle w:val="StdBodyTextBold"/>
              <w:rPr>
                <w:rFonts w:cs="Arial"/>
              </w:rPr>
            </w:pPr>
            <w:r>
              <w:rPr>
                <w:rFonts w:cs="Arial"/>
              </w:rPr>
              <w:t>“</w:t>
            </w:r>
            <w:r w:rsidRPr="00025910">
              <w:rPr>
                <w:rFonts w:cs="Arial"/>
              </w:rPr>
              <w:t>Fair Deal Employees</w:t>
            </w:r>
            <w:r>
              <w:rPr>
                <w:rFonts w:cs="Arial"/>
              </w:rPr>
              <w:t>”</w:t>
            </w:r>
          </w:p>
        </w:tc>
        <w:tc>
          <w:tcPr>
            <w:tcW w:w="6793" w:type="dxa"/>
          </w:tcPr>
          <w:p w14:paraId="60DA7A76" w14:textId="77777777" w:rsidR="00F67E9E" w:rsidRPr="00025910" w:rsidRDefault="00F67E9E" w:rsidP="007F74AA">
            <w:pPr>
              <w:pStyle w:val="StdBodyText"/>
              <w:rPr>
                <w:rFonts w:cs="Arial"/>
              </w:rPr>
            </w:pPr>
            <w:r w:rsidRPr="00025910">
              <w:rPr>
                <w:rFonts w:cs="Arial"/>
              </w:rPr>
              <w:t>any of:</w:t>
            </w:r>
          </w:p>
          <w:p w14:paraId="3898DFBA" w14:textId="77777777" w:rsidR="00F67E9E" w:rsidRPr="007216EA" w:rsidRDefault="00F67E9E" w:rsidP="007F74AA">
            <w:pPr>
              <w:pStyle w:val="DefinitionList"/>
              <w:numPr>
                <w:ilvl w:val="0"/>
                <w:numId w:val="216"/>
              </w:numPr>
              <w:rPr>
                <w:rFonts w:cs="Arial"/>
              </w:rPr>
            </w:pPr>
            <w:r w:rsidRPr="007216EA">
              <w:rPr>
                <w:rFonts w:cs="Arial"/>
              </w:rPr>
              <w:t xml:space="preserve">Transferring Authority Employees; </w:t>
            </w:r>
          </w:p>
          <w:p w14:paraId="5BCBBAC2" w14:textId="77777777" w:rsidR="00F67E9E" w:rsidRPr="00025910" w:rsidRDefault="00F67E9E" w:rsidP="00F67E9E">
            <w:pPr>
              <w:pStyle w:val="DefinitionList"/>
              <w:numPr>
                <w:ilvl w:val="0"/>
                <w:numId w:val="108"/>
              </w:numPr>
              <w:rPr>
                <w:rFonts w:cs="Arial"/>
              </w:rPr>
            </w:pPr>
            <w:r w:rsidRPr="00025910">
              <w:rPr>
                <w:rFonts w:cs="Arial"/>
              </w:rPr>
              <w:t>Transferring Former Supplier Employees; and/or</w:t>
            </w:r>
          </w:p>
          <w:p w14:paraId="31C89CAA" w14:textId="3537CB3C" w:rsidR="00F67E9E" w:rsidRPr="00025910" w:rsidRDefault="00F67E9E" w:rsidP="00F67E9E">
            <w:pPr>
              <w:pStyle w:val="DefinitionList"/>
              <w:numPr>
                <w:ilvl w:val="0"/>
                <w:numId w:val="108"/>
              </w:numPr>
              <w:rPr>
                <w:rFonts w:cs="Arial"/>
              </w:rPr>
            </w:pPr>
            <w:r w:rsidRPr="00025910">
              <w:rPr>
                <w:rFonts w:cs="Arial"/>
              </w:rPr>
              <w:t xml:space="preserve">employees who are not Transferring Authority Employees or Transferring Former Supplier Employees but to whom the Employment Regulations apply on the Relevant Transfer Date to transfer their employment to the Supplier or a Sub-Contractor, and whose employment is not terminated in accordance with the provisions of </w:t>
            </w:r>
            <w:bookmarkStart w:id="2550" w:name="_9kR3WTr2CC7CH3knoewrqy2ONz"/>
            <w:r w:rsidRPr="006F18B1">
              <w:rPr>
                <w:rFonts w:cs="Arial"/>
              </w:rPr>
              <w:t>Paragraph 2.</w:t>
            </w:r>
            <w:bookmarkEnd w:id="2550"/>
            <w:r w:rsidRPr="006F18B1">
              <w:rPr>
                <w:rFonts w:cs="Arial"/>
              </w:rPr>
              <w:t xml:space="preserve">5 of </w:t>
            </w:r>
            <w:bookmarkStart w:id="2551" w:name="_9kR3WTr2BD66BaEn79R"/>
            <w:r>
              <w:rPr>
                <w:rFonts w:cs="Arial"/>
              </w:rPr>
              <w:fldChar w:fldCharType="begin"/>
            </w:r>
            <w:r>
              <w:rPr>
                <w:rFonts w:cs="Arial"/>
              </w:rPr>
              <w:instrText xml:space="preserve"> REF Sch28PartA \h </w:instrText>
            </w:r>
            <w:r>
              <w:rPr>
                <w:rFonts w:cs="Arial"/>
              </w:rPr>
            </w:r>
            <w:r>
              <w:rPr>
                <w:rFonts w:cs="Arial"/>
              </w:rPr>
              <w:fldChar w:fldCharType="separate"/>
            </w:r>
            <w:r w:rsidR="00302D39" w:rsidRPr="000038E2">
              <w:t xml:space="preserve">Part </w:t>
            </w:r>
            <w:r w:rsidR="00302D39" w:rsidRPr="00FA4BBC">
              <w:t>A</w:t>
            </w:r>
            <w:r>
              <w:rPr>
                <w:rFonts w:cs="Arial"/>
              </w:rPr>
              <w:fldChar w:fldCharType="end"/>
            </w:r>
            <w:bookmarkEnd w:id="2551"/>
            <w:r w:rsidRPr="006F18B1">
              <w:rPr>
                <w:rFonts w:cs="Arial"/>
              </w:rPr>
              <w:t xml:space="preserve"> or </w:t>
            </w:r>
            <w:r>
              <w:rPr>
                <w:rFonts w:cs="Arial"/>
              </w:rPr>
              <w:fldChar w:fldCharType="begin"/>
            </w:r>
            <w:r>
              <w:rPr>
                <w:rFonts w:cs="Arial"/>
              </w:rPr>
              <w:instrText xml:space="preserve"> REF Sch28PartB \h </w:instrText>
            </w:r>
            <w:r>
              <w:rPr>
                <w:rFonts w:cs="Arial"/>
              </w:rPr>
            </w:r>
            <w:r>
              <w:rPr>
                <w:rFonts w:cs="Arial"/>
              </w:rPr>
              <w:fldChar w:fldCharType="separate"/>
            </w:r>
            <w:r w:rsidR="00302D39" w:rsidRPr="00025910">
              <w:t>Part B</w:t>
            </w:r>
            <w:r>
              <w:rPr>
                <w:rFonts w:cs="Arial"/>
              </w:rPr>
              <w:fldChar w:fldCharType="end"/>
            </w:r>
            <w:r w:rsidRPr="006F18B1">
              <w:rPr>
                <w:rFonts w:cs="Arial"/>
              </w:rPr>
              <w:t xml:space="preserve"> or</w:t>
            </w:r>
            <w:r w:rsidRPr="00025910">
              <w:rPr>
                <w:rFonts w:cs="Arial"/>
              </w:rPr>
              <w:t xml:space="preserve"> </w:t>
            </w:r>
            <w:bookmarkStart w:id="2552" w:name="_9kR3WTr2CC7CI4knoewrqyBKx"/>
            <w:r w:rsidRPr="00025910">
              <w:rPr>
                <w:rFonts w:cs="Arial"/>
              </w:rPr>
              <w:t xml:space="preserve">Paragraph </w:t>
            </w:r>
            <w:bookmarkEnd w:id="2552"/>
            <w:r w:rsidRPr="00025910">
              <w:rPr>
                <w:rFonts w:cs="Arial"/>
              </w:rPr>
              <w:fldChar w:fldCharType="begin"/>
            </w:r>
            <w:r w:rsidRPr="00025910">
              <w:rPr>
                <w:rFonts w:cs="Arial"/>
              </w:rPr>
              <w:instrText xml:space="preserve"> REF _9kR3WTrAG9ENOHDVEeyH1nlvvx069vGV1sKH9DC \r \h  \* MERGEFORMAT </w:instrText>
            </w:r>
            <w:r w:rsidRPr="00025910">
              <w:rPr>
                <w:rFonts w:cs="Arial"/>
              </w:rPr>
            </w:r>
            <w:r w:rsidRPr="00025910">
              <w:rPr>
                <w:rFonts w:cs="Arial"/>
              </w:rPr>
              <w:fldChar w:fldCharType="separate"/>
            </w:r>
            <w:r w:rsidR="00302D39">
              <w:rPr>
                <w:rFonts w:cs="Arial"/>
              </w:rPr>
              <w:t>1.4</w:t>
            </w:r>
            <w:r w:rsidRPr="00025910">
              <w:rPr>
                <w:rFonts w:cs="Arial"/>
              </w:rPr>
              <w:fldChar w:fldCharType="end"/>
            </w:r>
            <w:r w:rsidRPr="00025910">
              <w:rPr>
                <w:rFonts w:cs="Arial"/>
              </w:rPr>
              <w:t xml:space="preserve"> of </w:t>
            </w:r>
            <w:r w:rsidRPr="00025910">
              <w:rPr>
                <w:rFonts w:eastAsia="Calibri"/>
                <w:bCs/>
                <w:iCs/>
              </w:rPr>
              <w:fldChar w:fldCharType="begin"/>
            </w:r>
            <w:r w:rsidRPr="00025910">
              <w:rPr>
                <w:rFonts w:eastAsia="Calibri"/>
                <w:bCs/>
                <w:iCs/>
              </w:rPr>
              <w:instrText xml:space="preserve"> REF Sch28PartC \h  \* MERGEFORMAT </w:instrText>
            </w:r>
            <w:r w:rsidRPr="00025910">
              <w:rPr>
                <w:rFonts w:eastAsia="Calibri"/>
                <w:bCs/>
                <w:iCs/>
              </w:rPr>
            </w:r>
            <w:r w:rsidRPr="00025910">
              <w:rPr>
                <w:rFonts w:eastAsia="Calibri"/>
                <w:bCs/>
                <w:iCs/>
              </w:rPr>
              <w:fldChar w:fldCharType="separate"/>
            </w:r>
            <w:r w:rsidR="00302D39" w:rsidRPr="00302D39">
              <w:rPr>
                <w:rFonts w:cs="Arial"/>
                <w:bCs/>
                <w:iCs/>
              </w:rPr>
              <w:t>Part C</w:t>
            </w:r>
            <w:r w:rsidRPr="00025910">
              <w:rPr>
                <w:rFonts w:eastAsia="Calibri"/>
                <w:bCs/>
                <w:iCs/>
              </w:rPr>
              <w:fldChar w:fldCharType="end"/>
            </w:r>
            <w:r w:rsidRPr="00025910">
              <w:rPr>
                <w:rFonts w:cs="Arial"/>
              </w:rPr>
              <w:t>;</w:t>
            </w:r>
          </w:p>
          <w:p w14:paraId="782EE6B8" w14:textId="77777777" w:rsidR="00F67E9E" w:rsidRPr="00025910" w:rsidRDefault="00F67E9E" w:rsidP="00F67E9E">
            <w:pPr>
              <w:pStyle w:val="DefinitionList"/>
              <w:numPr>
                <w:ilvl w:val="0"/>
                <w:numId w:val="108"/>
              </w:numPr>
              <w:rPr>
                <w:rFonts w:cs="Arial"/>
              </w:rPr>
            </w:pPr>
            <w:r w:rsidRPr="00025910">
              <w:rPr>
                <w:rFonts w:cs="Arial"/>
              </w:rPr>
              <w:t>where the Supplier or a Sub-contractor was the Former Supplier, the employees of the Supplier (or Sub-contractor)</w:t>
            </w:r>
            <w:r>
              <w:rPr>
                <w:rFonts w:cs="Arial"/>
              </w:rPr>
              <w:t>;</w:t>
            </w:r>
          </w:p>
          <w:p w14:paraId="3A560D31" w14:textId="1D4F07AA" w:rsidR="00F67E9E" w:rsidRPr="00025910" w:rsidRDefault="00F67E9E" w:rsidP="00B55153">
            <w:pPr>
              <w:pStyle w:val="DefinitionList"/>
              <w:numPr>
                <w:ilvl w:val="0"/>
                <w:numId w:val="0"/>
              </w:numPr>
              <w:ind w:left="720"/>
              <w:rPr>
                <w:rFonts w:cs="Arial"/>
              </w:rPr>
            </w:pPr>
            <w:r w:rsidRPr="00025910">
              <w:rPr>
                <w:rFonts w:cs="Arial"/>
              </w:rPr>
              <w:t xml:space="preserve">who at the Relevant Transfer Date are or become entitled to New Fair Deal or Best Value Direction protection in respect of any of the Statutory Schemes or a Broadly Comparable pension scheme provided in accordance with </w:t>
            </w:r>
            <w:bookmarkStart w:id="2553" w:name="_9kMHG5YVt4EE9EDzmpqgyts0DK"/>
            <w:r w:rsidRPr="00025910">
              <w:rPr>
                <w:rFonts w:cs="Arial"/>
              </w:rPr>
              <w:t xml:space="preserve">Paragraph </w:t>
            </w:r>
            <w:r w:rsidRPr="00025910">
              <w:rPr>
                <w:rFonts w:cs="Arial"/>
              </w:rPr>
              <w:fldChar w:fldCharType="begin"/>
            </w:r>
            <w:r w:rsidRPr="00025910">
              <w:rPr>
                <w:rFonts w:cs="Arial"/>
              </w:rPr>
              <w:instrText xml:space="preserve"> REF _Ref_ContractCompanion_9kb9Ur37A \w \n \h \t \* MERGEFORMAT </w:instrText>
            </w:r>
            <w:r w:rsidRPr="00025910">
              <w:rPr>
                <w:rFonts w:cs="Arial"/>
              </w:rPr>
            </w:r>
            <w:r w:rsidRPr="00025910">
              <w:rPr>
                <w:rFonts w:cs="Arial"/>
              </w:rPr>
              <w:fldChar w:fldCharType="separate"/>
            </w:r>
            <w:bookmarkStart w:id="2554" w:name="_9kMIH5YVt4BD9HMgLhkhy7sHSMlR0KhkRcBP9zB"/>
            <w:r w:rsidR="00302D39">
              <w:rPr>
                <w:rFonts w:cs="Arial"/>
              </w:rPr>
              <w:t>10</w:t>
            </w:r>
            <w:bookmarkEnd w:id="2554"/>
            <w:r w:rsidRPr="00025910">
              <w:rPr>
                <w:rFonts w:cs="Arial"/>
              </w:rPr>
              <w:fldChar w:fldCharType="end"/>
            </w:r>
            <w:bookmarkEnd w:id="2553"/>
            <w:r w:rsidRPr="00025910">
              <w:rPr>
                <w:rFonts w:cs="Arial"/>
              </w:rPr>
              <w:t xml:space="preserve"> of this </w:t>
            </w:r>
            <w:r w:rsidRPr="00025910">
              <w:rPr>
                <w:rFonts w:eastAsia="Arial"/>
                <w:color w:val="000000"/>
              </w:rPr>
              <w:fldChar w:fldCharType="begin"/>
            </w:r>
            <w:r w:rsidRPr="00025910">
              <w:rPr>
                <w:rFonts w:eastAsia="Arial"/>
                <w:color w:val="000000"/>
              </w:rPr>
              <w:instrText xml:space="preserve"> REF Sch28PartD \h  \* MERGEFORMAT </w:instrText>
            </w:r>
            <w:r w:rsidRPr="00025910">
              <w:rPr>
                <w:rFonts w:eastAsia="Arial"/>
                <w:color w:val="000000"/>
              </w:rPr>
            </w:r>
            <w:r w:rsidRPr="00025910">
              <w:rPr>
                <w:rFonts w:eastAsia="Arial"/>
                <w:color w:val="000000"/>
              </w:rPr>
              <w:fldChar w:fldCharType="separate"/>
            </w:r>
            <w:r w:rsidR="00302D39" w:rsidRPr="00302D39">
              <w:rPr>
                <w:rFonts w:eastAsia="Calibri"/>
              </w:rPr>
              <w:t>Part D</w:t>
            </w:r>
            <w:r w:rsidRPr="00025910">
              <w:rPr>
                <w:rFonts w:eastAsia="Arial"/>
                <w:color w:val="000000"/>
              </w:rPr>
              <w:fldChar w:fldCharType="end"/>
            </w:r>
            <w:r w:rsidRPr="00025910">
              <w:rPr>
                <w:rFonts w:cs="Arial"/>
              </w:rPr>
              <w:t xml:space="preserve"> as notified by the Authority;</w:t>
            </w:r>
          </w:p>
        </w:tc>
      </w:tr>
      <w:tr w:rsidR="00F67E9E" w:rsidRPr="00025910" w14:paraId="598ACD31" w14:textId="77777777" w:rsidTr="007F74AA">
        <w:tc>
          <w:tcPr>
            <w:tcW w:w="2835" w:type="dxa"/>
          </w:tcPr>
          <w:p w14:paraId="76F07E02" w14:textId="77777777" w:rsidR="00F67E9E" w:rsidRPr="00025910" w:rsidRDefault="00F67E9E" w:rsidP="007F74AA">
            <w:pPr>
              <w:pStyle w:val="StdBodyTextBold"/>
              <w:rPr>
                <w:rFonts w:cs="Arial"/>
              </w:rPr>
            </w:pPr>
            <w:r>
              <w:rPr>
                <w:rFonts w:cs="Arial"/>
              </w:rPr>
              <w:t>“</w:t>
            </w:r>
            <w:r w:rsidRPr="00025910">
              <w:rPr>
                <w:rFonts w:cs="Arial"/>
              </w:rPr>
              <w:t>Fund Actuary</w:t>
            </w:r>
            <w:r>
              <w:rPr>
                <w:rFonts w:cs="Arial"/>
              </w:rPr>
              <w:t>”</w:t>
            </w:r>
          </w:p>
        </w:tc>
        <w:tc>
          <w:tcPr>
            <w:tcW w:w="6793" w:type="dxa"/>
          </w:tcPr>
          <w:p w14:paraId="031F0EE3" w14:textId="272C3914" w:rsidR="00F67E9E" w:rsidRPr="00025910" w:rsidRDefault="00F67E9E" w:rsidP="007F74AA">
            <w:pPr>
              <w:pStyle w:val="StdBodyText"/>
              <w:rPr>
                <w:rFonts w:cs="Arial"/>
              </w:rPr>
            </w:pPr>
            <w:r w:rsidRPr="00025910">
              <w:rPr>
                <w:rFonts w:cs="Arial"/>
              </w:rPr>
              <w:t xml:space="preserve">a Fund Actuary as defined in Annex </w:t>
            </w:r>
            <w:r w:rsidRPr="00025910">
              <w:rPr>
                <w:rFonts w:cs="Arial"/>
                <w:sz w:val="22"/>
                <w:szCs w:val="22"/>
              </w:rPr>
              <w:fldChar w:fldCharType="begin"/>
            </w:r>
            <w:r w:rsidRPr="00025910">
              <w:rPr>
                <w:rFonts w:cs="Arial"/>
                <w:sz w:val="22"/>
                <w:szCs w:val="22"/>
              </w:rPr>
              <w:instrText xml:space="preserve"> REF ANNEXD3_SCHEDULE28 \h  \* MERGEFORMAT </w:instrText>
            </w:r>
            <w:r w:rsidRPr="00025910">
              <w:rPr>
                <w:rFonts w:cs="Arial"/>
                <w:sz w:val="22"/>
                <w:szCs w:val="22"/>
              </w:rPr>
            </w:r>
            <w:r w:rsidRPr="00025910">
              <w:rPr>
                <w:rFonts w:cs="Arial"/>
                <w:sz w:val="22"/>
                <w:szCs w:val="22"/>
              </w:rPr>
              <w:fldChar w:fldCharType="separate"/>
            </w:r>
            <w:r w:rsidR="00302D39" w:rsidRPr="00302D39">
              <w:rPr>
                <w:rFonts w:cs="Arial"/>
                <w:sz w:val="22"/>
                <w:szCs w:val="22"/>
              </w:rPr>
              <w:t>D3</w:t>
            </w:r>
            <w:r w:rsidRPr="00025910">
              <w:rPr>
                <w:rFonts w:cs="Arial"/>
                <w:sz w:val="22"/>
                <w:szCs w:val="22"/>
              </w:rPr>
              <w:fldChar w:fldCharType="end"/>
            </w:r>
            <w:r w:rsidRPr="00025910">
              <w:rPr>
                <w:rFonts w:cs="Arial"/>
              </w:rPr>
              <w:t xml:space="preserve"> to this </w:t>
            </w:r>
            <w:r w:rsidRPr="00025910">
              <w:rPr>
                <w:rFonts w:eastAsia="Arial"/>
                <w:color w:val="000000"/>
              </w:rPr>
              <w:fldChar w:fldCharType="begin"/>
            </w:r>
            <w:r w:rsidRPr="00025910">
              <w:rPr>
                <w:rFonts w:eastAsia="Arial"/>
                <w:color w:val="000000"/>
              </w:rPr>
              <w:instrText xml:space="preserve"> REF Sch28PartD \h  \* MERGEFORMAT </w:instrText>
            </w:r>
            <w:r w:rsidRPr="00025910">
              <w:rPr>
                <w:rFonts w:eastAsia="Arial"/>
                <w:color w:val="000000"/>
              </w:rPr>
            </w:r>
            <w:r w:rsidRPr="00025910">
              <w:rPr>
                <w:rFonts w:eastAsia="Arial"/>
                <w:color w:val="000000"/>
              </w:rPr>
              <w:fldChar w:fldCharType="separate"/>
            </w:r>
            <w:r w:rsidR="00302D39" w:rsidRPr="00302D39">
              <w:rPr>
                <w:rFonts w:eastAsia="Calibri"/>
              </w:rPr>
              <w:t>Part D</w:t>
            </w:r>
            <w:r w:rsidRPr="00025910">
              <w:rPr>
                <w:rFonts w:eastAsia="Arial"/>
                <w:color w:val="000000"/>
              </w:rPr>
              <w:fldChar w:fldCharType="end"/>
            </w:r>
            <w:r w:rsidRPr="00025910">
              <w:rPr>
                <w:rFonts w:cs="Arial"/>
              </w:rPr>
              <w:t>;</w:t>
            </w:r>
          </w:p>
        </w:tc>
      </w:tr>
      <w:tr w:rsidR="00F67E9E" w:rsidRPr="00025910" w14:paraId="72E1DF93" w14:textId="77777777" w:rsidTr="007F74AA">
        <w:tc>
          <w:tcPr>
            <w:tcW w:w="2835" w:type="dxa"/>
          </w:tcPr>
          <w:p w14:paraId="3CEEA985" w14:textId="77777777" w:rsidR="00F67E9E" w:rsidRPr="00025910" w:rsidRDefault="00F67E9E" w:rsidP="007F74AA">
            <w:pPr>
              <w:pStyle w:val="StdBodyTextBold"/>
              <w:rPr>
                <w:rFonts w:cs="Arial"/>
              </w:rPr>
            </w:pPr>
            <w:r>
              <w:rPr>
                <w:rFonts w:cs="Arial"/>
              </w:rPr>
              <w:t>“</w:t>
            </w:r>
            <w:r w:rsidRPr="00025910">
              <w:rPr>
                <w:rFonts w:cs="Arial"/>
              </w:rPr>
              <w:t>LGPS</w:t>
            </w:r>
            <w:r>
              <w:rPr>
                <w:rFonts w:cs="Arial"/>
              </w:rPr>
              <w:t>”</w:t>
            </w:r>
          </w:p>
        </w:tc>
        <w:tc>
          <w:tcPr>
            <w:tcW w:w="6793" w:type="dxa"/>
          </w:tcPr>
          <w:p w14:paraId="2AEA2032" w14:textId="75D0705A" w:rsidR="00F67E9E" w:rsidRPr="00025910" w:rsidRDefault="00F67E9E" w:rsidP="007F74AA">
            <w:pPr>
              <w:pStyle w:val="StdBodyText"/>
              <w:rPr>
                <w:rFonts w:cs="Arial"/>
              </w:rPr>
            </w:pPr>
            <w:r w:rsidRPr="00025910">
              <w:rPr>
                <w:rFonts w:cs="Arial"/>
              </w:rPr>
              <w:t xml:space="preserve">the scheme as defined in Annex </w:t>
            </w:r>
            <w:r w:rsidRPr="00025910">
              <w:rPr>
                <w:rFonts w:cs="Arial"/>
                <w:sz w:val="22"/>
                <w:szCs w:val="22"/>
              </w:rPr>
              <w:fldChar w:fldCharType="begin"/>
            </w:r>
            <w:r w:rsidRPr="00025910">
              <w:rPr>
                <w:rFonts w:cs="Arial"/>
                <w:sz w:val="22"/>
                <w:szCs w:val="22"/>
              </w:rPr>
              <w:instrText xml:space="preserve"> REF ANNEXD3_SCHEDULE28 \h  \* MERGEFORMAT </w:instrText>
            </w:r>
            <w:r w:rsidRPr="00025910">
              <w:rPr>
                <w:rFonts w:cs="Arial"/>
                <w:sz w:val="22"/>
                <w:szCs w:val="22"/>
              </w:rPr>
            </w:r>
            <w:r w:rsidRPr="00025910">
              <w:rPr>
                <w:rFonts w:cs="Arial"/>
                <w:sz w:val="22"/>
                <w:szCs w:val="22"/>
              </w:rPr>
              <w:fldChar w:fldCharType="separate"/>
            </w:r>
            <w:r w:rsidR="00302D39" w:rsidRPr="00302D39">
              <w:rPr>
                <w:rFonts w:cs="Arial"/>
                <w:sz w:val="22"/>
                <w:szCs w:val="22"/>
              </w:rPr>
              <w:t>D3</w:t>
            </w:r>
            <w:r w:rsidRPr="00025910">
              <w:rPr>
                <w:rFonts w:cs="Arial"/>
                <w:sz w:val="22"/>
                <w:szCs w:val="22"/>
              </w:rPr>
              <w:fldChar w:fldCharType="end"/>
            </w:r>
            <w:r w:rsidRPr="00025910">
              <w:rPr>
                <w:rFonts w:cs="Arial"/>
              </w:rPr>
              <w:t xml:space="preserve"> to this </w:t>
            </w:r>
            <w:r w:rsidRPr="00025910">
              <w:rPr>
                <w:rFonts w:eastAsia="Arial"/>
                <w:color w:val="000000"/>
              </w:rPr>
              <w:fldChar w:fldCharType="begin"/>
            </w:r>
            <w:r w:rsidRPr="00025910">
              <w:rPr>
                <w:rFonts w:eastAsia="Arial"/>
                <w:color w:val="000000"/>
              </w:rPr>
              <w:instrText xml:space="preserve"> REF Sch28PartD \h  \* MERGEFORMAT </w:instrText>
            </w:r>
            <w:r w:rsidRPr="00025910">
              <w:rPr>
                <w:rFonts w:eastAsia="Arial"/>
                <w:color w:val="000000"/>
              </w:rPr>
            </w:r>
            <w:r w:rsidRPr="00025910">
              <w:rPr>
                <w:rFonts w:eastAsia="Arial"/>
                <w:color w:val="000000"/>
              </w:rPr>
              <w:fldChar w:fldCharType="separate"/>
            </w:r>
            <w:r w:rsidR="00302D39" w:rsidRPr="00302D39">
              <w:rPr>
                <w:rFonts w:eastAsia="Calibri"/>
              </w:rPr>
              <w:t>Part D</w:t>
            </w:r>
            <w:r w:rsidRPr="00025910">
              <w:rPr>
                <w:rFonts w:eastAsia="Arial"/>
                <w:color w:val="000000"/>
              </w:rPr>
              <w:fldChar w:fldCharType="end"/>
            </w:r>
            <w:r w:rsidRPr="00025910">
              <w:rPr>
                <w:rFonts w:cs="Arial"/>
              </w:rPr>
              <w:t xml:space="preserve">; </w:t>
            </w:r>
          </w:p>
        </w:tc>
      </w:tr>
      <w:tr w:rsidR="00F67E9E" w:rsidRPr="00025910" w14:paraId="5FFCB984" w14:textId="77777777" w:rsidTr="007F74AA">
        <w:tc>
          <w:tcPr>
            <w:tcW w:w="2835" w:type="dxa"/>
          </w:tcPr>
          <w:p w14:paraId="5E4AFA32" w14:textId="77777777" w:rsidR="00F67E9E" w:rsidRPr="00025910" w:rsidRDefault="00F67E9E" w:rsidP="007F74AA">
            <w:pPr>
              <w:pStyle w:val="StdBodyTextBold"/>
              <w:rPr>
                <w:rFonts w:cs="Arial"/>
              </w:rPr>
            </w:pPr>
            <w:r>
              <w:rPr>
                <w:rFonts w:cs="Arial"/>
              </w:rPr>
              <w:t>“</w:t>
            </w:r>
            <w:r w:rsidRPr="00025910">
              <w:rPr>
                <w:rFonts w:cs="Arial"/>
              </w:rPr>
              <w:t>NHSPS</w:t>
            </w:r>
            <w:r>
              <w:rPr>
                <w:rFonts w:cs="Arial"/>
              </w:rPr>
              <w:t>”</w:t>
            </w:r>
          </w:p>
        </w:tc>
        <w:tc>
          <w:tcPr>
            <w:tcW w:w="6793" w:type="dxa"/>
          </w:tcPr>
          <w:p w14:paraId="7D6D2A4D" w14:textId="34C4D17F" w:rsidR="00F67E9E" w:rsidRPr="00025910" w:rsidRDefault="00F67E9E" w:rsidP="007F74AA">
            <w:pPr>
              <w:pStyle w:val="StdBodyText"/>
              <w:rPr>
                <w:rFonts w:cs="Arial"/>
              </w:rPr>
            </w:pPr>
            <w:r w:rsidRPr="00025910">
              <w:rPr>
                <w:rFonts w:cs="Arial"/>
              </w:rPr>
              <w:t xml:space="preserve">the schemes as defined in Annex </w:t>
            </w:r>
            <w:r w:rsidRPr="00025910">
              <w:rPr>
                <w:rFonts w:cs="Arial"/>
              </w:rPr>
              <w:fldChar w:fldCharType="begin"/>
            </w:r>
            <w:r w:rsidRPr="00025910">
              <w:rPr>
                <w:rFonts w:cs="Arial"/>
              </w:rPr>
              <w:instrText xml:space="preserve"> REF ANNEXD2_SCHEDULE28 \h  \* MERGEFORMAT </w:instrText>
            </w:r>
            <w:r w:rsidRPr="00025910">
              <w:rPr>
                <w:rFonts w:cs="Arial"/>
              </w:rPr>
            </w:r>
            <w:r w:rsidRPr="00025910">
              <w:rPr>
                <w:rFonts w:cs="Arial"/>
              </w:rPr>
              <w:fldChar w:fldCharType="separate"/>
            </w:r>
            <w:r w:rsidR="00302D39" w:rsidRPr="00302D39">
              <w:rPr>
                <w:rFonts w:cs="Arial"/>
              </w:rPr>
              <w:t>D2</w:t>
            </w:r>
            <w:r w:rsidRPr="00025910">
              <w:rPr>
                <w:rFonts w:cs="Arial"/>
              </w:rPr>
              <w:fldChar w:fldCharType="end"/>
            </w:r>
            <w:r w:rsidRPr="00025910">
              <w:rPr>
                <w:rFonts w:cs="Arial"/>
              </w:rPr>
              <w:t xml:space="preserve"> to this </w:t>
            </w:r>
            <w:r w:rsidRPr="00025910">
              <w:rPr>
                <w:rFonts w:eastAsia="Arial"/>
                <w:color w:val="000000"/>
              </w:rPr>
              <w:fldChar w:fldCharType="begin"/>
            </w:r>
            <w:r w:rsidRPr="00025910">
              <w:rPr>
                <w:rFonts w:eastAsia="Arial"/>
                <w:color w:val="000000"/>
              </w:rPr>
              <w:instrText xml:space="preserve"> REF Sch28PartD \h  \* MERGEFORMAT </w:instrText>
            </w:r>
            <w:r w:rsidRPr="00025910">
              <w:rPr>
                <w:rFonts w:eastAsia="Arial"/>
                <w:color w:val="000000"/>
              </w:rPr>
            </w:r>
            <w:r w:rsidRPr="00025910">
              <w:rPr>
                <w:rFonts w:eastAsia="Arial"/>
                <w:color w:val="000000"/>
              </w:rPr>
              <w:fldChar w:fldCharType="separate"/>
            </w:r>
            <w:r w:rsidR="00302D39" w:rsidRPr="00302D39">
              <w:rPr>
                <w:rFonts w:eastAsia="Calibri"/>
              </w:rPr>
              <w:t>Part D</w:t>
            </w:r>
            <w:r w:rsidRPr="00025910">
              <w:rPr>
                <w:rFonts w:eastAsia="Arial"/>
                <w:color w:val="000000"/>
              </w:rPr>
              <w:fldChar w:fldCharType="end"/>
            </w:r>
            <w:r w:rsidRPr="00025910">
              <w:rPr>
                <w:rFonts w:cs="Arial"/>
              </w:rPr>
              <w:t>; and</w:t>
            </w:r>
          </w:p>
        </w:tc>
      </w:tr>
      <w:tr w:rsidR="00F67E9E" w:rsidRPr="00025910" w14:paraId="1C29FFB5" w14:textId="77777777" w:rsidTr="007F74AA">
        <w:tc>
          <w:tcPr>
            <w:tcW w:w="2835" w:type="dxa"/>
          </w:tcPr>
          <w:p w14:paraId="7D65EC5E" w14:textId="77777777" w:rsidR="00F67E9E" w:rsidRPr="00025910" w:rsidRDefault="00F67E9E" w:rsidP="007F74AA">
            <w:pPr>
              <w:pStyle w:val="StdBodyTextBold"/>
              <w:rPr>
                <w:rFonts w:cs="Arial"/>
              </w:rPr>
            </w:pPr>
            <w:r>
              <w:rPr>
                <w:rFonts w:eastAsia="Arial"/>
              </w:rPr>
              <w:t>“</w:t>
            </w:r>
            <w:r w:rsidRPr="00025910">
              <w:rPr>
                <w:rFonts w:eastAsia="Arial"/>
              </w:rPr>
              <w:t>New Fair Deal</w:t>
            </w:r>
            <w:r>
              <w:rPr>
                <w:rFonts w:eastAsia="Arial"/>
              </w:rPr>
              <w:t>”</w:t>
            </w:r>
          </w:p>
        </w:tc>
        <w:tc>
          <w:tcPr>
            <w:tcW w:w="6793" w:type="dxa"/>
          </w:tcPr>
          <w:p w14:paraId="4A29D62C" w14:textId="77777777" w:rsidR="00F67E9E" w:rsidRPr="00025910" w:rsidRDefault="00F67E9E" w:rsidP="007F74AA">
            <w:pPr>
              <w:spacing w:before="120" w:after="120"/>
              <w:rPr>
                <w:rFonts w:eastAsia="Arial"/>
                <w:szCs w:val="24"/>
              </w:rPr>
            </w:pPr>
            <w:r w:rsidRPr="00025910">
              <w:rPr>
                <w:rFonts w:eastAsia="Arial"/>
                <w:szCs w:val="24"/>
              </w:rPr>
              <w:t>the revised Fair Deal position set out in the HM Treasury guidance:</w:t>
            </w:r>
            <w:r>
              <w:rPr>
                <w:rFonts w:eastAsia="Arial"/>
                <w:szCs w:val="24"/>
              </w:rPr>
              <w:t xml:space="preserve"> “</w:t>
            </w:r>
            <w:r w:rsidRPr="00025910">
              <w:rPr>
                <w:rFonts w:eastAsia="Arial"/>
                <w:i/>
                <w:szCs w:val="24"/>
              </w:rPr>
              <w:t>Fair Deal for Staff Pensions: Staff Transfer from Central Government</w:t>
            </w:r>
            <w:r>
              <w:rPr>
                <w:rFonts w:eastAsia="Arial"/>
                <w:szCs w:val="24"/>
              </w:rPr>
              <w:t>”</w:t>
            </w:r>
            <w:r w:rsidRPr="00025910">
              <w:rPr>
                <w:rFonts w:eastAsia="Arial"/>
                <w:szCs w:val="24"/>
              </w:rPr>
              <w:t xml:space="preserve"> issued in October 2013 including:</w:t>
            </w:r>
          </w:p>
          <w:p w14:paraId="420A31EC" w14:textId="77777777" w:rsidR="00F67E9E" w:rsidRPr="00025910" w:rsidRDefault="00F67E9E" w:rsidP="007F74AA">
            <w:pPr>
              <w:pStyle w:val="StdBodyText"/>
              <w:rPr>
                <w:rFonts w:cs="Arial"/>
              </w:rPr>
            </w:pPr>
            <w:r w:rsidRPr="00025910">
              <w:rPr>
                <w:rFonts w:eastAsia="Arial"/>
              </w:rPr>
              <w:t>any amendments to that document immediately prior to the Relevant Transfer Date; and</w:t>
            </w:r>
          </w:p>
        </w:tc>
      </w:tr>
      <w:tr w:rsidR="00F67E9E" w:rsidRPr="00025910" w14:paraId="095ACD4C" w14:textId="77777777" w:rsidTr="007F74AA">
        <w:tc>
          <w:tcPr>
            <w:tcW w:w="2835" w:type="dxa"/>
          </w:tcPr>
          <w:p w14:paraId="1243757C" w14:textId="77777777" w:rsidR="00F67E9E" w:rsidRPr="00025910" w:rsidRDefault="00F67E9E" w:rsidP="007F74AA">
            <w:pPr>
              <w:pStyle w:val="StdBodyTextBold"/>
              <w:rPr>
                <w:rFonts w:eastAsia="Arial"/>
                <w:b w:val="0"/>
              </w:rPr>
            </w:pPr>
          </w:p>
        </w:tc>
        <w:tc>
          <w:tcPr>
            <w:tcW w:w="6793" w:type="dxa"/>
          </w:tcPr>
          <w:p w14:paraId="40FEC866" w14:textId="28107DC9" w:rsidR="00F67E9E" w:rsidRPr="00025910" w:rsidRDefault="00F67E9E" w:rsidP="007F74AA">
            <w:pPr>
              <w:spacing w:before="120" w:after="120"/>
              <w:rPr>
                <w:rFonts w:eastAsia="Arial"/>
                <w:szCs w:val="24"/>
              </w:rPr>
            </w:pPr>
            <w:r w:rsidRPr="00025910">
              <w:rPr>
                <w:rFonts w:eastAsia="Arial"/>
                <w:szCs w:val="24"/>
              </w:rPr>
              <w:t>any similar pension protection in accordance with the subsequent Annex </w:t>
            </w:r>
            <w:r w:rsidRPr="00025910">
              <w:rPr>
                <w:rFonts w:cs="Arial"/>
                <w:szCs w:val="24"/>
              </w:rPr>
              <w:fldChar w:fldCharType="begin"/>
            </w:r>
            <w:r w:rsidRPr="00025910">
              <w:rPr>
                <w:rFonts w:cs="Arial"/>
                <w:szCs w:val="24"/>
              </w:rPr>
              <w:instrText xml:space="preserve"> REF ANNEXD1_SCHEDULE28 \h </w:instrText>
            </w:r>
            <w:r w:rsidRPr="00025910">
              <w:rPr>
                <w:rFonts w:cs="Arial"/>
              </w:rPr>
              <w:instrText xml:space="preserve"> \* MERGEFORMAT </w:instrText>
            </w:r>
            <w:r w:rsidRPr="00025910">
              <w:rPr>
                <w:rFonts w:cs="Arial"/>
                <w:szCs w:val="24"/>
              </w:rPr>
            </w:r>
            <w:r w:rsidRPr="00025910">
              <w:rPr>
                <w:rFonts w:cs="Arial"/>
                <w:szCs w:val="24"/>
              </w:rPr>
              <w:fldChar w:fldCharType="separate"/>
            </w:r>
            <w:r w:rsidR="00302D39" w:rsidRPr="00302D39">
              <w:rPr>
                <w:rFonts w:cs="Arial"/>
                <w:szCs w:val="24"/>
              </w:rPr>
              <w:t>D1</w:t>
            </w:r>
            <w:r w:rsidRPr="00025910">
              <w:rPr>
                <w:rFonts w:cs="Arial"/>
                <w:szCs w:val="24"/>
              </w:rPr>
              <w:fldChar w:fldCharType="end"/>
            </w:r>
            <w:r w:rsidRPr="00025910">
              <w:rPr>
                <w:rFonts w:eastAsia="Arial"/>
                <w:szCs w:val="24"/>
              </w:rPr>
              <w:t>-</w:t>
            </w:r>
            <w:r w:rsidRPr="00025910">
              <w:rPr>
                <w:rFonts w:cs="Arial"/>
                <w:sz w:val="22"/>
                <w:szCs w:val="22"/>
              </w:rPr>
              <w:fldChar w:fldCharType="begin"/>
            </w:r>
            <w:r w:rsidRPr="00025910">
              <w:rPr>
                <w:rFonts w:cs="Arial"/>
                <w:sz w:val="22"/>
                <w:szCs w:val="22"/>
              </w:rPr>
              <w:instrText xml:space="preserve"> REF ANNEXD3_SCHEDULE28 \h  \* MERGEFORMAT </w:instrText>
            </w:r>
            <w:r w:rsidRPr="00025910">
              <w:rPr>
                <w:rFonts w:cs="Arial"/>
                <w:sz w:val="22"/>
                <w:szCs w:val="22"/>
              </w:rPr>
            </w:r>
            <w:r w:rsidRPr="00025910">
              <w:rPr>
                <w:rFonts w:cs="Arial"/>
                <w:sz w:val="22"/>
                <w:szCs w:val="22"/>
              </w:rPr>
              <w:fldChar w:fldCharType="separate"/>
            </w:r>
            <w:r w:rsidR="00302D39" w:rsidRPr="00302D39">
              <w:rPr>
                <w:rFonts w:cs="Arial"/>
                <w:sz w:val="22"/>
                <w:szCs w:val="22"/>
              </w:rPr>
              <w:t>D3</w:t>
            </w:r>
            <w:r w:rsidRPr="00025910">
              <w:rPr>
                <w:rFonts w:cs="Arial"/>
                <w:sz w:val="22"/>
                <w:szCs w:val="22"/>
              </w:rPr>
              <w:fldChar w:fldCharType="end"/>
            </w:r>
            <w:r w:rsidRPr="00025910">
              <w:rPr>
                <w:rFonts w:eastAsia="Arial"/>
                <w:szCs w:val="24"/>
              </w:rPr>
              <w:t xml:space="preserve"> inclusive as notified to the Supplier by the Authority.</w:t>
            </w:r>
          </w:p>
        </w:tc>
      </w:tr>
    </w:tbl>
    <w:p w14:paraId="7B8280B9" w14:textId="77777777" w:rsidR="00F67E9E" w:rsidRPr="00C542C5" w:rsidRDefault="00F67E9E" w:rsidP="00F67E9E">
      <w:pPr>
        <w:pStyle w:val="AppendixText1"/>
        <w:numPr>
          <w:ilvl w:val="0"/>
          <w:numId w:val="78"/>
        </w:numPr>
        <w:rPr>
          <w:color w:val="1F497D"/>
        </w:rPr>
      </w:pPr>
      <w:r w:rsidRPr="00C542C5">
        <w:rPr>
          <w:color w:val="1F497D"/>
        </w:rPr>
        <w:t>Participation</w:t>
      </w:r>
    </w:p>
    <w:p w14:paraId="5891282D" w14:textId="7A3EC418" w:rsidR="00F67E9E" w:rsidRPr="00025910" w:rsidRDefault="00F67E9E" w:rsidP="00F67E9E">
      <w:pPr>
        <w:pStyle w:val="AppendixText2"/>
      </w:pPr>
      <w:r w:rsidRPr="00025910">
        <w:t xml:space="preserve">In </w:t>
      </w:r>
      <w:r w:rsidRPr="00C542C5">
        <w:t>respect</w:t>
      </w:r>
      <w:r w:rsidRPr="00025910">
        <w:t xml:space="preserve"> of all or any Fair Deal Employees each of Annex </w:t>
      </w:r>
      <w:r w:rsidRPr="00025910">
        <w:fldChar w:fldCharType="begin"/>
      </w:r>
      <w:r w:rsidRPr="00025910">
        <w:instrText xml:space="preserve"> REF ANNEXD1_SCHEDULE28 \h  \* MERGEFORMAT </w:instrText>
      </w:r>
      <w:r w:rsidRPr="00025910">
        <w:fldChar w:fldCharType="separate"/>
      </w:r>
      <w:r w:rsidR="00302D39" w:rsidRPr="00025910">
        <w:t>D1</w:t>
      </w:r>
      <w:r w:rsidRPr="00025910">
        <w:fldChar w:fldCharType="end"/>
      </w:r>
      <w:r w:rsidRPr="00025910">
        <w:t xml:space="preserve">: </w:t>
      </w:r>
      <w:r w:rsidRPr="00025910">
        <w:fldChar w:fldCharType="begin"/>
      </w:r>
      <w:r w:rsidRPr="00025910">
        <w:instrText xml:space="preserve"> REF ANNEXD1HEADING_SCHEDULE28 \h </w:instrText>
      </w:r>
      <w:r>
        <w:instrText xml:space="preserve"> \* MERGEFORMAT </w:instrText>
      </w:r>
      <w:r w:rsidRPr="00025910">
        <w:fldChar w:fldCharType="separate"/>
      </w:r>
      <w:r w:rsidR="00302D39" w:rsidRPr="00025910">
        <w:t>CSPS</w:t>
      </w:r>
      <w:r w:rsidRPr="00025910">
        <w:fldChar w:fldCharType="end"/>
      </w:r>
      <w:r w:rsidRPr="00025910">
        <w:t xml:space="preserve">, Annex </w:t>
      </w:r>
      <w:r w:rsidRPr="00025910">
        <w:fldChar w:fldCharType="begin"/>
      </w:r>
      <w:r w:rsidRPr="00025910">
        <w:instrText xml:space="preserve"> REF ANNEXD2_SCHEDULE28 \h  \* MERGEFORMAT </w:instrText>
      </w:r>
      <w:r w:rsidRPr="00025910">
        <w:fldChar w:fldCharType="separate"/>
      </w:r>
      <w:r w:rsidR="00302D39" w:rsidRPr="00025910">
        <w:t>D2</w:t>
      </w:r>
      <w:r w:rsidRPr="00025910">
        <w:fldChar w:fldCharType="end"/>
      </w:r>
      <w:r w:rsidRPr="00025910">
        <w:t xml:space="preserve">: </w:t>
      </w:r>
      <w:r w:rsidRPr="00025910">
        <w:fldChar w:fldCharType="begin"/>
      </w:r>
      <w:r w:rsidRPr="00025910">
        <w:instrText xml:space="preserve"> REF ANNEXD2HEADING_SCHEDULE28 \h </w:instrText>
      </w:r>
      <w:r>
        <w:instrText xml:space="preserve"> \* MERGEFORMAT </w:instrText>
      </w:r>
      <w:r w:rsidRPr="00025910">
        <w:fldChar w:fldCharType="separate"/>
      </w:r>
      <w:r w:rsidR="00302D39" w:rsidRPr="00025910">
        <w:t>NHSPS</w:t>
      </w:r>
      <w:r w:rsidRPr="00025910">
        <w:fldChar w:fldCharType="end"/>
      </w:r>
      <w:r w:rsidRPr="00025910">
        <w:t xml:space="preserve"> and/or Annex </w:t>
      </w:r>
      <w:r w:rsidRPr="00086B0D">
        <w:fldChar w:fldCharType="begin"/>
      </w:r>
      <w:r w:rsidRPr="00086B0D">
        <w:instrText xml:space="preserve"> REF ANNEXD3_SCHEDULE28 \h  \* MERGEFORMAT </w:instrText>
      </w:r>
      <w:r w:rsidRPr="00086B0D">
        <w:fldChar w:fldCharType="separate"/>
      </w:r>
      <w:r w:rsidR="00302D39" w:rsidRPr="00025910">
        <w:t>D3</w:t>
      </w:r>
      <w:r w:rsidRPr="00086B0D">
        <w:fldChar w:fldCharType="end"/>
      </w:r>
      <w:r w:rsidRPr="00025910">
        <w:t xml:space="preserve">: </w:t>
      </w:r>
      <w:r w:rsidRPr="00025910">
        <w:fldChar w:fldCharType="begin"/>
      </w:r>
      <w:r w:rsidRPr="00025910">
        <w:instrText xml:space="preserve"> REF ANNEXD3HEADING_SCHEDULE28 \h </w:instrText>
      </w:r>
      <w:r>
        <w:instrText xml:space="preserve"> \* MERGEFORMAT </w:instrText>
      </w:r>
      <w:r w:rsidRPr="00025910">
        <w:fldChar w:fldCharType="separate"/>
      </w:r>
      <w:r w:rsidR="00302D39" w:rsidRPr="00025910">
        <w:t>LGPS</w:t>
      </w:r>
      <w:r w:rsidRPr="00025910">
        <w:fldChar w:fldCharType="end"/>
      </w:r>
      <w:r w:rsidRPr="00025910">
        <w:t xml:space="preserve"> shall apply, as appropriate.</w:t>
      </w:r>
    </w:p>
    <w:p w14:paraId="53BF20A3" w14:textId="77777777" w:rsidR="00F67E9E" w:rsidRPr="00025910" w:rsidRDefault="00F67E9E" w:rsidP="00F67E9E">
      <w:pPr>
        <w:pStyle w:val="AppendixText2"/>
      </w:pPr>
      <w:r w:rsidRPr="00025910">
        <w:t>The Supplier undertakes to do all such things and execute any documents (including any relevant Admission Agreement and/or Direction Letter/Determination, if necessary) as may be required to enable the Supplier to participate in the appropriate Statutory Scheme in respect of the Fair Deal Employees and shall bear its own costs in such regard.</w:t>
      </w:r>
    </w:p>
    <w:p w14:paraId="6653E255" w14:textId="77777777" w:rsidR="00F67E9E" w:rsidRPr="00025910" w:rsidRDefault="00F67E9E" w:rsidP="00F67E9E">
      <w:pPr>
        <w:pStyle w:val="AppendixText2"/>
        <w:keepNext/>
      </w:pPr>
      <w:r w:rsidRPr="00025910">
        <w:t>The Supplier undertakes:</w:t>
      </w:r>
    </w:p>
    <w:p w14:paraId="3B1EBDE8" w14:textId="77777777" w:rsidR="00F67E9E" w:rsidRPr="005E6515" w:rsidRDefault="00F67E9E" w:rsidP="00F67E9E">
      <w:pPr>
        <w:pStyle w:val="AppendixText3"/>
      </w:pPr>
      <w:r w:rsidRPr="00025910">
        <w:t>to pay to the Statutory Schemes all such amounts as are due under the relevant Admission Agreement and/or Direction Letter/Determination or otherwise and shall deduct and pay to the Statutory Schemes such employee contributions as are required</w:t>
      </w:r>
      <w:r w:rsidRPr="005E6515">
        <w:t>; and</w:t>
      </w:r>
    </w:p>
    <w:p w14:paraId="25683DC2" w14:textId="17512071" w:rsidR="00F67E9E" w:rsidRPr="00025910" w:rsidRDefault="00F67E9E" w:rsidP="00F67E9E">
      <w:pPr>
        <w:pStyle w:val="AppendixText3"/>
      </w:pPr>
      <w:r w:rsidRPr="005E6515">
        <w:t>subject t</w:t>
      </w:r>
      <w:r w:rsidRPr="00025910">
        <w:t xml:space="preserve">o </w:t>
      </w:r>
      <w:bookmarkStart w:id="2555" w:name="_9kR3WTr2BD678wknoewrqyF"/>
      <w:r w:rsidRPr="00025910">
        <w:t xml:space="preserve">Paragraph </w:t>
      </w:r>
      <w:r w:rsidRPr="00025910">
        <w:fldChar w:fldCharType="begin"/>
      </w:r>
      <w:r w:rsidRPr="00025910">
        <w:instrText xml:space="preserve"> REF _Ref_ContractCompanion_9kb9Ut22B \w \n \h \t \* MERGEFORMAT </w:instrText>
      </w:r>
      <w:r w:rsidRPr="00025910">
        <w:fldChar w:fldCharType="separate"/>
      </w:r>
      <w:r w:rsidR="00302D39">
        <w:t>5</w:t>
      </w:r>
      <w:r w:rsidRPr="00025910">
        <w:fldChar w:fldCharType="end"/>
      </w:r>
      <w:bookmarkEnd w:id="2555"/>
      <w:r w:rsidRPr="00025910">
        <w:t xml:space="preserve"> of Annex </w:t>
      </w:r>
      <w:r w:rsidRPr="00025910">
        <w:rPr>
          <w:sz w:val="22"/>
        </w:rPr>
        <w:fldChar w:fldCharType="begin"/>
      </w:r>
      <w:r w:rsidRPr="00025910">
        <w:rPr>
          <w:sz w:val="22"/>
        </w:rPr>
        <w:instrText xml:space="preserve"> REF ANNEXD3_SCHEDULE28 \h  \* MERGEFORMAT </w:instrText>
      </w:r>
      <w:r w:rsidRPr="00025910">
        <w:rPr>
          <w:sz w:val="22"/>
        </w:rPr>
      </w:r>
      <w:r w:rsidRPr="00025910">
        <w:rPr>
          <w:sz w:val="22"/>
        </w:rPr>
        <w:fldChar w:fldCharType="separate"/>
      </w:r>
      <w:r w:rsidR="00302D39" w:rsidRPr="00302D39">
        <w:rPr>
          <w:sz w:val="22"/>
        </w:rPr>
        <w:t>D3</w:t>
      </w:r>
      <w:r w:rsidRPr="00025910">
        <w:rPr>
          <w:sz w:val="22"/>
        </w:rPr>
        <w:fldChar w:fldCharType="end"/>
      </w:r>
      <w:r w:rsidRPr="00025910">
        <w:t xml:space="preserve">: </w:t>
      </w:r>
      <w:r w:rsidRPr="00025910">
        <w:fldChar w:fldCharType="begin"/>
      </w:r>
      <w:r w:rsidRPr="00025910">
        <w:instrText xml:space="preserve"> REF ANNEXD3HEADING_SCHEDULE28 \h </w:instrText>
      </w:r>
      <w:r>
        <w:instrText xml:space="preserve"> \* MERGEFORMAT </w:instrText>
      </w:r>
      <w:r w:rsidRPr="00025910">
        <w:fldChar w:fldCharType="separate"/>
      </w:r>
      <w:r w:rsidR="00302D39" w:rsidRPr="00025910">
        <w:t>LGPS</w:t>
      </w:r>
      <w:r w:rsidRPr="00025910">
        <w:fldChar w:fldCharType="end"/>
      </w:r>
      <w:r w:rsidRPr="00025910">
        <w:t xml:space="preserve"> to be fully responsible for all other costs, contributions, payments and other amounts relating to its participation in the Statutory Schemes, including for the avoidance of doubt any exit payments and the costs of providing any bond, indemnity or guarantee required in relation to such participation. </w:t>
      </w:r>
    </w:p>
    <w:p w14:paraId="2B15F21A" w14:textId="6E89F755" w:rsidR="00F67E9E" w:rsidRPr="00025910" w:rsidRDefault="00F67E9E" w:rsidP="00F67E9E">
      <w:pPr>
        <w:pStyle w:val="AppendixText2"/>
      </w:pPr>
      <w:r w:rsidRPr="00025910">
        <w:t xml:space="preserve">Where the Supplier is the Former Supplier (or a Sub-contractor is a sub-contractor of the Former Supplier) and there is no Relevant Transfer of the Fair Deal Employees because they remain continuously employed by the Supplier (or Sub-contractor) at the Operational Service Commencement Date, this </w:t>
      </w:r>
      <w:r w:rsidRPr="00025910">
        <w:rPr>
          <w:color w:val="000000"/>
        </w:rPr>
        <w:fldChar w:fldCharType="begin"/>
      </w:r>
      <w:r w:rsidRPr="00025910">
        <w:rPr>
          <w:color w:val="000000"/>
        </w:rPr>
        <w:instrText xml:space="preserve"> REF Sch28PartD \h  \* MERGEFORMAT </w:instrText>
      </w:r>
      <w:r w:rsidRPr="00025910">
        <w:rPr>
          <w:color w:val="000000"/>
        </w:rPr>
      </w:r>
      <w:r w:rsidRPr="00025910">
        <w:rPr>
          <w:color w:val="000000"/>
        </w:rPr>
        <w:fldChar w:fldCharType="separate"/>
      </w:r>
      <w:r w:rsidR="00302D39" w:rsidRPr="00302D39">
        <w:rPr>
          <w:rFonts w:eastAsia="Calibri"/>
        </w:rPr>
        <w:t>Part D</w:t>
      </w:r>
      <w:r w:rsidRPr="00025910">
        <w:rPr>
          <w:color w:val="000000"/>
        </w:rPr>
        <w:fldChar w:fldCharType="end"/>
      </w:r>
      <w:r w:rsidRPr="00025910">
        <w:t xml:space="preserve"> and its Annexes shall be modified accordingly so that the Supplier (or Sub-contractor) shall comply with its requirements from the Operational Service Commencement Date or, where it previously provided a Broadly Comparable pension scheme, from the date it is able to close accrual of its Broadly Comparable pension scheme (following appropriate consultation and contractual changes as appropriate) if later. The Supplier (or Sub-contractor) shall make arrangements for a bulk transfer from its Broadly Comparable pension scheme to the relevant Statutory Scheme in accordance with the requirements of the previous contract with the Authority.</w:t>
      </w:r>
    </w:p>
    <w:p w14:paraId="03F592E3" w14:textId="77777777" w:rsidR="00F67E9E" w:rsidRPr="00C542C5" w:rsidRDefault="00F67E9E" w:rsidP="00F67E9E">
      <w:pPr>
        <w:pStyle w:val="AppendixText1"/>
        <w:numPr>
          <w:ilvl w:val="0"/>
          <w:numId w:val="78"/>
        </w:numPr>
        <w:rPr>
          <w:color w:val="1F497D"/>
        </w:rPr>
      </w:pPr>
      <w:r w:rsidRPr="00C542C5">
        <w:rPr>
          <w:color w:val="1F497D"/>
        </w:rPr>
        <w:t>Provision of Information</w:t>
      </w:r>
    </w:p>
    <w:p w14:paraId="7F10ADDB" w14:textId="77777777" w:rsidR="00F67E9E" w:rsidRPr="00025910" w:rsidRDefault="00F67E9E" w:rsidP="00F67E9E">
      <w:pPr>
        <w:pStyle w:val="AppendixText2"/>
      </w:pPr>
      <w:r w:rsidRPr="00025910">
        <w:t>The Supplier undertakes to the Authority:</w:t>
      </w:r>
    </w:p>
    <w:p w14:paraId="3DEAAEE2" w14:textId="77BCC391" w:rsidR="00F67E9E" w:rsidRPr="00025910" w:rsidRDefault="00F67E9E" w:rsidP="00F67E9E">
      <w:pPr>
        <w:pStyle w:val="AppendixText3"/>
      </w:pPr>
      <w:r w:rsidRPr="00025910">
        <w:t xml:space="preserve">to provide all information which the Authority may reasonably request concerning matters referred to in this </w:t>
      </w:r>
      <w:r w:rsidRPr="00025910">
        <w:rPr>
          <w:color w:val="000000"/>
        </w:rPr>
        <w:fldChar w:fldCharType="begin"/>
      </w:r>
      <w:r w:rsidRPr="00025910">
        <w:rPr>
          <w:color w:val="000000"/>
        </w:rPr>
        <w:instrText xml:space="preserve"> REF Sch28PartD \h  \* MERGEFORMAT </w:instrText>
      </w:r>
      <w:r w:rsidRPr="00025910">
        <w:rPr>
          <w:color w:val="000000"/>
        </w:rPr>
      </w:r>
      <w:r w:rsidRPr="00025910">
        <w:rPr>
          <w:color w:val="000000"/>
        </w:rPr>
        <w:fldChar w:fldCharType="separate"/>
      </w:r>
      <w:r w:rsidR="00302D39" w:rsidRPr="00302D39">
        <w:rPr>
          <w:rFonts w:eastAsia="Calibri"/>
        </w:rPr>
        <w:t>Part D</w:t>
      </w:r>
      <w:r w:rsidRPr="00025910">
        <w:rPr>
          <w:color w:val="000000"/>
        </w:rPr>
        <w:fldChar w:fldCharType="end"/>
      </w:r>
      <w:r w:rsidRPr="00025910">
        <w:t xml:space="preserve"> as expeditiously as possible; </w:t>
      </w:r>
    </w:p>
    <w:p w14:paraId="6F43E58C" w14:textId="190C646E" w:rsidR="00F67E9E" w:rsidRPr="00025910" w:rsidRDefault="00F67E9E" w:rsidP="00F67E9E">
      <w:pPr>
        <w:pStyle w:val="AppendixText3"/>
      </w:pPr>
      <w:r w:rsidRPr="00025910">
        <w:t xml:space="preserve">not to issue any announcements to any Fair Deal Employee prior to the Relevant Transfer Date concerning the matters stated in this </w:t>
      </w:r>
      <w:r w:rsidRPr="00025910">
        <w:rPr>
          <w:color w:val="000000"/>
        </w:rPr>
        <w:fldChar w:fldCharType="begin"/>
      </w:r>
      <w:r w:rsidRPr="00025910">
        <w:rPr>
          <w:color w:val="000000"/>
        </w:rPr>
        <w:instrText xml:space="preserve"> REF Sch28PartD \h  \* MERGEFORMAT </w:instrText>
      </w:r>
      <w:r w:rsidRPr="00025910">
        <w:rPr>
          <w:color w:val="000000"/>
        </w:rPr>
      </w:r>
      <w:r w:rsidRPr="00025910">
        <w:rPr>
          <w:color w:val="000000"/>
        </w:rPr>
        <w:fldChar w:fldCharType="separate"/>
      </w:r>
      <w:r w:rsidR="00302D39" w:rsidRPr="00302D39">
        <w:rPr>
          <w:rFonts w:eastAsia="Calibri"/>
        </w:rPr>
        <w:t>Part D</w:t>
      </w:r>
      <w:r w:rsidRPr="00025910">
        <w:rPr>
          <w:color w:val="000000"/>
        </w:rPr>
        <w:fldChar w:fldCharType="end"/>
      </w:r>
      <w:r w:rsidRPr="00025910">
        <w:t xml:space="preserve"> without the consent in writing of the Authority (such consent not to be unreasonably withheld or delayed); and</w:t>
      </w:r>
    </w:p>
    <w:p w14:paraId="1ACA16B6" w14:textId="77777777" w:rsidR="00F67E9E" w:rsidRPr="00025910" w:rsidRDefault="00F67E9E" w:rsidP="00F67E9E">
      <w:pPr>
        <w:pStyle w:val="AppendixText3"/>
      </w:pPr>
      <w:r w:rsidRPr="00025910">
        <w:t>retain such records as would be necessary to manage the pension aspects in relation to any current or former Fair Deal Eligible Employees arising on expiry or termination of this Contract.</w:t>
      </w:r>
    </w:p>
    <w:p w14:paraId="55D5F87E" w14:textId="77777777" w:rsidR="00F67E9E" w:rsidRPr="00C542C5" w:rsidRDefault="00F67E9E" w:rsidP="00F67E9E">
      <w:pPr>
        <w:pStyle w:val="AppendixText1"/>
        <w:numPr>
          <w:ilvl w:val="0"/>
          <w:numId w:val="78"/>
        </w:numPr>
        <w:rPr>
          <w:color w:val="1F497D"/>
        </w:rPr>
      </w:pPr>
      <w:r w:rsidRPr="00C542C5">
        <w:rPr>
          <w:color w:val="1F497D"/>
        </w:rPr>
        <w:t>Indemnities</w:t>
      </w:r>
    </w:p>
    <w:p w14:paraId="0CAAD258" w14:textId="77777777" w:rsidR="00F67E9E" w:rsidRPr="00CD4FDC" w:rsidRDefault="00F67E9E" w:rsidP="00F67E9E">
      <w:pPr>
        <w:pStyle w:val="AppendixText2"/>
      </w:pPr>
      <w:r w:rsidRPr="00CD4FDC">
        <w:t xml:space="preserve">The Supplier shall indemnify and keep indemnified the Authority, </w:t>
      </w:r>
      <w:r w:rsidRPr="00CD4FDC">
        <w:rPr>
          <w:highlight w:val="yellow"/>
        </w:rPr>
        <w:t>[</w:t>
      </w:r>
      <w:r w:rsidRPr="00B1698D">
        <w:rPr>
          <w:highlight w:val="yellow"/>
        </w:rPr>
        <w:t>NHS Pensions,</w:t>
      </w:r>
      <w:r w:rsidRPr="00CD4FDC">
        <w:rPr>
          <w:highlight w:val="yellow"/>
        </w:rPr>
        <w:t>]</w:t>
      </w:r>
      <w:r w:rsidRPr="00CD4FDC">
        <w:t xml:space="preserve"> any Replacement Supplier and/or any Replacement </w:t>
      </w:r>
      <w:r w:rsidRPr="00025910">
        <w:t>Sub-contractor</w:t>
      </w:r>
      <w:r w:rsidRPr="00CD4FDC">
        <w:t xml:space="preserve"> on demand from and against all and any Losses whatsoever suffered or incurred by it or them which:</w:t>
      </w:r>
    </w:p>
    <w:p w14:paraId="105421E9" w14:textId="13D336E9" w:rsidR="00F67E9E" w:rsidRPr="00025910" w:rsidRDefault="00F67E9E" w:rsidP="00F67E9E">
      <w:pPr>
        <w:pStyle w:val="AppendixText3"/>
      </w:pPr>
      <w:r w:rsidRPr="00CD4FDC">
        <w:t xml:space="preserve">arise out of or in connection with any liability towards all and any Fair Deal Employees in respect of service on or after the Relevant Transfer Date which arises from any breach by the Supplier of this </w:t>
      </w:r>
      <w:r w:rsidRPr="00086B0D">
        <w:fldChar w:fldCharType="begin"/>
      </w:r>
      <w:r w:rsidRPr="00086B0D">
        <w:instrText xml:space="preserve"> REF Sch28PartD \h  \* MERGEFORMAT </w:instrText>
      </w:r>
      <w:r w:rsidRPr="00086B0D">
        <w:fldChar w:fldCharType="separate"/>
      </w:r>
      <w:r w:rsidR="00302D39" w:rsidRPr="00025910">
        <w:t>Part D</w:t>
      </w:r>
      <w:r w:rsidRPr="00086B0D">
        <w:fldChar w:fldCharType="end"/>
      </w:r>
      <w:r w:rsidRPr="00CD4FDC">
        <w:t xml:space="preserve">, and/or the CSPS </w:t>
      </w:r>
      <w:r w:rsidRPr="00025910">
        <w:t xml:space="preserve">Admission Agreement and/or the Direction Letter/Determination and/or the LGPS Admission Agreement; </w:t>
      </w:r>
    </w:p>
    <w:p w14:paraId="06A59402" w14:textId="06C7AC57" w:rsidR="00F67E9E" w:rsidRPr="00025910" w:rsidRDefault="00F67E9E" w:rsidP="00F67E9E">
      <w:pPr>
        <w:pStyle w:val="AppendixText3"/>
      </w:pPr>
      <w:r w:rsidRPr="00025910">
        <w:t xml:space="preserve">relate to the payment of benefits under and/or participation in a pension scheme (as defined in </w:t>
      </w:r>
      <w:bookmarkStart w:id="2556" w:name="_9kR3WTr2797EL6rcszv1FLLIYN2vwzrQJ9aVUZ"/>
      <w:r w:rsidRPr="00025910">
        <w:t>section 150(1) Finance Act 2004</w:t>
      </w:r>
      <w:bookmarkEnd w:id="2556"/>
      <w:r w:rsidRPr="00025910">
        <w:t xml:space="preserve">) provided by the Supplier or a Sub-contractor on and after the Relevant Transfer Date until the date of termination or expiry of this Contract, including the Statutory Schemes or any Broadly Comparable pension scheme provided in accordance with </w:t>
      </w:r>
      <w:bookmarkStart w:id="2557" w:name="_9kR3WTr2CC7DCxknoewrqy2NJ"/>
      <w:r w:rsidRPr="00025910">
        <w:t xml:space="preserve">Paragraphs </w:t>
      </w:r>
      <w:r w:rsidRPr="00025910">
        <w:fldChar w:fldCharType="begin"/>
      </w:r>
      <w:r w:rsidRPr="00025910">
        <w:instrText xml:space="preserve"> REF _Ref_ContractCompanion_9kb9Ur38F \w \n \h \t \* MERGEFORMAT </w:instrText>
      </w:r>
      <w:r w:rsidRPr="00025910">
        <w:fldChar w:fldCharType="separate"/>
      </w:r>
      <w:bookmarkStart w:id="2558" w:name="_9kMJI5YVt4BD9HMgLhkhy7sHSMlR0KhkRcBP9zB"/>
      <w:r w:rsidR="00302D39">
        <w:t>10</w:t>
      </w:r>
      <w:bookmarkEnd w:id="2558"/>
      <w:r w:rsidRPr="00025910">
        <w:fldChar w:fldCharType="end"/>
      </w:r>
      <w:bookmarkEnd w:id="2557"/>
      <w:r w:rsidRPr="00025910">
        <w:t xml:space="preserve"> or </w:t>
      </w:r>
      <w:bookmarkStart w:id="2559" w:name="_9kMHG5YVt4EE9EIGC"/>
      <w:r w:rsidRPr="00025910">
        <w:fldChar w:fldCharType="begin"/>
      </w:r>
      <w:r w:rsidRPr="00025910">
        <w:instrText xml:space="preserve"> REF _Ref_ContractCompanion_9kb9Ur38A \w \n \h \t \* MERGEFORMAT </w:instrText>
      </w:r>
      <w:r w:rsidRPr="00025910">
        <w:fldChar w:fldCharType="separate"/>
      </w:r>
      <w:bookmarkStart w:id="2560" w:name="_9kMIH5YVt4BD9HLfLhkhy7sHSMlR0KhkSdBP9zB"/>
      <w:r w:rsidR="00302D39">
        <w:t>11</w:t>
      </w:r>
      <w:bookmarkEnd w:id="2560"/>
      <w:r w:rsidRPr="00025910">
        <w:fldChar w:fldCharType="end"/>
      </w:r>
      <w:bookmarkEnd w:id="2559"/>
      <w:r w:rsidRPr="00025910">
        <w:t xml:space="preserve"> of this </w:t>
      </w:r>
      <w:r w:rsidRPr="00086B0D">
        <w:fldChar w:fldCharType="begin"/>
      </w:r>
      <w:r w:rsidRPr="00086B0D">
        <w:instrText xml:space="preserve"> REF Sch28PartD \h  \* MERGEFORMAT </w:instrText>
      </w:r>
      <w:r w:rsidRPr="00086B0D">
        <w:fldChar w:fldCharType="separate"/>
      </w:r>
      <w:r w:rsidR="00302D39" w:rsidRPr="00025910">
        <w:t>Part D</w:t>
      </w:r>
      <w:r w:rsidRPr="00086B0D">
        <w:fldChar w:fldCharType="end"/>
      </w:r>
      <w:r w:rsidRPr="00025910">
        <w:t xml:space="preserve">; </w:t>
      </w:r>
    </w:p>
    <w:p w14:paraId="192BB239" w14:textId="77777777" w:rsidR="00F67E9E" w:rsidRPr="00025910" w:rsidRDefault="00F67E9E" w:rsidP="00F67E9E">
      <w:pPr>
        <w:pStyle w:val="AppendixText3"/>
      </w:pPr>
      <w:r w:rsidRPr="00025910">
        <w:t>relate to claims by Fair Deal Employees of the Supplier and/or of any Sub-contractor or by any trade unions, elected employee representatives or staff associations in respect of all or any such Fair Deal Employees which Losses:</w:t>
      </w:r>
    </w:p>
    <w:p w14:paraId="3C60EF9A" w14:textId="77777777" w:rsidR="00F67E9E" w:rsidRPr="005E6515" w:rsidRDefault="00F67E9E" w:rsidP="00F67E9E">
      <w:pPr>
        <w:pStyle w:val="AppendixText4"/>
      </w:pPr>
      <w:r w:rsidRPr="00025910">
        <w:t xml:space="preserve">relate to any rights to benefits under a pension scheme (as defined in </w:t>
      </w:r>
      <w:bookmarkStart w:id="2561" w:name="_9kMHG5YVt49B9GN8teu1x3HNNKaP4xy1tSLBcXW"/>
      <w:r w:rsidRPr="00025910">
        <w:t>section 150(1) Finance Act 2004</w:t>
      </w:r>
      <w:bookmarkEnd w:id="2561"/>
      <w:r w:rsidRPr="00025910">
        <w:t xml:space="preserve">) in respect of periods of employment on and after the Relevant Transfer Date until the date of termination or expiry of this </w:t>
      </w:r>
      <w:r w:rsidRPr="005E6515">
        <w:t xml:space="preserve">Contract; </w:t>
      </w:r>
    </w:p>
    <w:p w14:paraId="6DD4B7F1" w14:textId="22DC97BE" w:rsidR="00F67E9E" w:rsidRPr="00025910" w:rsidRDefault="00F67E9E" w:rsidP="00F67E9E">
      <w:pPr>
        <w:pStyle w:val="AppendixText4"/>
      </w:pPr>
      <w:r w:rsidRPr="005E6515">
        <w:t>arise out of the failure of the Supplier and/or any relevant Sub-contractor to comply</w:t>
      </w:r>
      <w:r w:rsidRPr="00025910">
        <w:t xml:space="preserve"> with the provisions of this </w:t>
      </w:r>
      <w:r w:rsidRPr="00025910">
        <w:rPr>
          <w:color w:val="000000"/>
        </w:rPr>
        <w:fldChar w:fldCharType="begin"/>
      </w:r>
      <w:r w:rsidRPr="00025910">
        <w:rPr>
          <w:color w:val="000000"/>
        </w:rPr>
        <w:instrText xml:space="preserve"> REF Sch28PartD \h  \* MERGEFORMAT </w:instrText>
      </w:r>
      <w:r w:rsidRPr="00025910">
        <w:rPr>
          <w:color w:val="000000"/>
        </w:rPr>
      </w:r>
      <w:r w:rsidRPr="00025910">
        <w:rPr>
          <w:color w:val="000000"/>
        </w:rPr>
        <w:fldChar w:fldCharType="separate"/>
      </w:r>
      <w:r w:rsidR="00302D39" w:rsidRPr="00302D39">
        <w:rPr>
          <w:rFonts w:eastAsia="Calibri"/>
        </w:rPr>
        <w:t>Part D</w:t>
      </w:r>
      <w:r w:rsidRPr="00025910">
        <w:rPr>
          <w:color w:val="000000"/>
        </w:rPr>
        <w:fldChar w:fldCharType="end"/>
      </w:r>
      <w:r w:rsidRPr="00025910">
        <w:t xml:space="preserve"> before the date of termination or expiry of this Contract; and/or</w:t>
      </w:r>
    </w:p>
    <w:p w14:paraId="14A17FF4" w14:textId="77777777" w:rsidR="00F67E9E" w:rsidRPr="00025910" w:rsidRDefault="00F67E9E" w:rsidP="00F67E9E">
      <w:pPr>
        <w:pStyle w:val="AppendixText3"/>
        <w:ind w:left="1440"/>
      </w:pPr>
      <w:r w:rsidRPr="00025910">
        <w:t>arise out of or in connection with the Supplier (or its Sub-contractor) allowing anyone who is not an NHSPS Fair Deal Employee to join or claim membership of the NHSPS at any time during the Term.</w:t>
      </w:r>
    </w:p>
    <w:p w14:paraId="12B68098" w14:textId="754B5B70" w:rsidR="00F67E9E" w:rsidRPr="00025910" w:rsidRDefault="00F67E9E" w:rsidP="00F67E9E">
      <w:pPr>
        <w:pStyle w:val="AppendixText2"/>
      </w:pPr>
      <w:r w:rsidRPr="00025910">
        <w:t xml:space="preserve">The indemnities in this </w:t>
      </w:r>
      <w:r w:rsidRPr="00025910">
        <w:rPr>
          <w:color w:val="000000"/>
        </w:rPr>
        <w:fldChar w:fldCharType="begin"/>
      </w:r>
      <w:r w:rsidRPr="00025910">
        <w:rPr>
          <w:color w:val="000000"/>
        </w:rPr>
        <w:instrText xml:space="preserve"> REF Sch28PartD \h  \* MERGEFORMAT </w:instrText>
      </w:r>
      <w:r w:rsidRPr="00025910">
        <w:rPr>
          <w:color w:val="000000"/>
        </w:rPr>
      </w:r>
      <w:r w:rsidRPr="00025910">
        <w:rPr>
          <w:color w:val="000000"/>
        </w:rPr>
        <w:fldChar w:fldCharType="separate"/>
      </w:r>
      <w:r w:rsidR="00302D39" w:rsidRPr="00302D39">
        <w:rPr>
          <w:rFonts w:eastAsia="Calibri"/>
        </w:rPr>
        <w:t>Part D</w:t>
      </w:r>
      <w:r w:rsidRPr="00025910">
        <w:rPr>
          <w:color w:val="000000"/>
        </w:rPr>
        <w:fldChar w:fldCharType="end"/>
      </w:r>
      <w:r w:rsidRPr="00025910">
        <w:t xml:space="preserve"> and its Annexes:</w:t>
      </w:r>
    </w:p>
    <w:p w14:paraId="7E700F99" w14:textId="77777777" w:rsidR="00F67E9E" w:rsidRPr="005E6515" w:rsidRDefault="00F67E9E" w:rsidP="00F67E9E">
      <w:pPr>
        <w:pStyle w:val="AppendixText3"/>
      </w:pPr>
      <w:r w:rsidRPr="00025910">
        <w:t xml:space="preserve">shall survive </w:t>
      </w:r>
      <w:r w:rsidRPr="005E6515">
        <w:t>termination of this Contract; and</w:t>
      </w:r>
    </w:p>
    <w:p w14:paraId="2C134C41" w14:textId="77777777" w:rsidR="00F67E9E" w:rsidRPr="00025910" w:rsidRDefault="00F67E9E" w:rsidP="00F67E9E">
      <w:pPr>
        <w:pStyle w:val="AppendixText3"/>
      </w:pPr>
      <w:r w:rsidRPr="005E6515">
        <w:t>shall not be affected</w:t>
      </w:r>
      <w:r w:rsidRPr="00025910">
        <w:t xml:space="preserve"> by the caps on liability contained in </w:t>
      </w:r>
      <w:bookmarkStart w:id="2562" w:name="_9kMHG5YVt4EE7GPUEjtCx8N"/>
      <w:r w:rsidRPr="00025910">
        <w:t>Clause 23</w:t>
      </w:r>
      <w:bookmarkEnd w:id="2562"/>
      <w:r w:rsidRPr="00025910">
        <w:t xml:space="preserve"> (</w:t>
      </w:r>
      <w:r w:rsidRPr="00025910">
        <w:rPr>
          <w:i/>
        </w:rPr>
        <w:t>Limitations on Liability</w:t>
      </w:r>
      <w:r w:rsidRPr="00025910">
        <w:t>).</w:t>
      </w:r>
    </w:p>
    <w:p w14:paraId="7B613433" w14:textId="77777777" w:rsidR="00F67E9E" w:rsidRPr="00C542C5" w:rsidRDefault="00F67E9E" w:rsidP="00F67E9E">
      <w:pPr>
        <w:pStyle w:val="AppendixText1"/>
        <w:numPr>
          <w:ilvl w:val="0"/>
          <w:numId w:val="78"/>
        </w:numPr>
        <w:rPr>
          <w:color w:val="1F497D"/>
        </w:rPr>
      </w:pPr>
      <w:r w:rsidRPr="00C542C5">
        <w:rPr>
          <w:color w:val="1F497D"/>
        </w:rPr>
        <w:t>Disputes</w:t>
      </w:r>
    </w:p>
    <w:p w14:paraId="5B1C7985" w14:textId="64DB91EA" w:rsidR="00F67E9E" w:rsidRPr="00025910" w:rsidRDefault="00F67E9E" w:rsidP="00F67E9E">
      <w:pPr>
        <w:pStyle w:val="AppendixText2"/>
      </w:pPr>
      <w:r w:rsidRPr="00025910">
        <w:t xml:space="preserve">The Dispute Resolution Procedure will not apply to any dispute (i) between the Authority and/or the Supplier or (ii) between their respective actuaries and/or the Fund Actuary about any of the actuarial matters referred to in this </w:t>
      </w:r>
      <w:r w:rsidRPr="00025910">
        <w:rPr>
          <w:color w:val="000000"/>
        </w:rPr>
        <w:fldChar w:fldCharType="begin"/>
      </w:r>
      <w:r w:rsidRPr="00025910">
        <w:rPr>
          <w:color w:val="000000"/>
        </w:rPr>
        <w:instrText xml:space="preserve"> REF Sch28PartD \h  \* MERGEFORMAT </w:instrText>
      </w:r>
      <w:r w:rsidRPr="00025910">
        <w:rPr>
          <w:color w:val="000000"/>
        </w:rPr>
      </w:r>
      <w:r w:rsidRPr="00025910">
        <w:rPr>
          <w:color w:val="000000"/>
        </w:rPr>
        <w:fldChar w:fldCharType="separate"/>
      </w:r>
      <w:r w:rsidR="00302D39" w:rsidRPr="00302D39">
        <w:rPr>
          <w:rFonts w:eastAsia="Calibri"/>
        </w:rPr>
        <w:t>Part D</w:t>
      </w:r>
      <w:r w:rsidRPr="00025910">
        <w:rPr>
          <w:color w:val="000000"/>
        </w:rPr>
        <w:fldChar w:fldCharType="end"/>
      </w:r>
      <w:r w:rsidRPr="00025910">
        <w:t xml:space="preserve"> and its Annexes shall in the absence of agreement between the Authority and/or the Supplier be referred to an independent Actuary: </w:t>
      </w:r>
    </w:p>
    <w:p w14:paraId="6E6EB9DB" w14:textId="77777777" w:rsidR="00F67E9E" w:rsidRPr="00025910" w:rsidRDefault="00F67E9E" w:rsidP="00F67E9E">
      <w:pPr>
        <w:pStyle w:val="AppendixText3"/>
      </w:pPr>
      <w:r w:rsidRPr="00025910">
        <w:t xml:space="preserve">who will act as an expert and not as an arbitrator; </w:t>
      </w:r>
    </w:p>
    <w:p w14:paraId="28DCFEE5" w14:textId="77777777" w:rsidR="00F67E9E" w:rsidRPr="00025910" w:rsidRDefault="00F67E9E" w:rsidP="00F67E9E">
      <w:pPr>
        <w:pStyle w:val="AppendixText3"/>
      </w:pPr>
      <w:r w:rsidRPr="00025910">
        <w:t xml:space="preserve">whose decision will be final and binding on the Authority and/or the Supplier; and </w:t>
      </w:r>
    </w:p>
    <w:p w14:paraId="412B663E" w14:textId="77777777" w:rsidR="00F67E9E" w:rsidRPr="00025910" w:rsidRDefault="00F67E9E" w:rsidP="00F67E9E">
      <w:pPr>
        <w:pStyle w:val="AppendixText3"/>
      </w:pPr>
      <w:r w:rsidRPr="00025910">
        <w:t>whose expenses shall be borne equally by the Authority and/or the Supplier unless the independent Actuary shall otherwise direct.</w:t>
      </w:r>
    </w:p>
    <w:p w14:paraId="38FE2434" w14:textId="77777777" w:rsidR="00F67E9E" w:rsidRPr="00025910" w:rsidRDefault="00F67E9E" w:rsidP="00F67E9E">
      <w:pPr>
        <w:pStyle w:val="AppendixText2"/>
      </w:pPr>
      <w:r w:rsidRPr="00025910">
        <w:t xml:space="preserve">The independent Actuary shall be agreed by the Parties or, failing such agreement the independent Actuary shall be appointed by the President for the time being of the Institute and Faculty of Actuaries on the application by the Parties. </w:t>
      </w:r>
    </w:p>
    <w:p w14:paraId="08BFA3E7" w14:textId="77777777" w:rsidR="00F67E9E" w:rsidRPr="00C542C5" w:rsidRDefault="00F67E9E" w:rsidP="00F67E9E">
      <w:pPr>
        <w:pStyle w:val="AppendixText1"/>
        <w:numPr>
          <w:ilvl w:val="0"/>
          <w:numId w:val="78"/>
        </w:numPr>
        <w:rPr>
          <w:color w:val="1F497D"/>
        </w:rPr>
      </w:pPr>
      <w:r w:rsidRPr="00C542C5">
        <w:rPr>
          <w:color w:val="1F497D"/>
        </w:rPr>
        <w:t>Third Party Rights</w:t>
      </w:r>
    </w:p>
    <w:p w14:paraId="3AFF938F" w14:textId="4402170F" w:rsidR="00F67E9E" w:rsidRPr="00025910" w:rsidRDefault="00F67E9E" w:rsidP="00F67E9E">
      <w:pPr>
        <w:pStyle w:val="AppendixText2"/>
      </w:pPr>
      <w:r w:rsidRPr="00025910">
        <w:t xml:space="preserve">The Parties agree </w:t>
      </w:r>
      <w:bookmarkStart w:id="2563" w:name="_9kR3WTr2CC7DDLChrAv8L"/>
      <w:r w:rsidRPr="00025910">
        <w:t>Clause 41</w:t>
      </w:r>
      <w:bookmarkEnd w:id="2563"/>
      <w:r w:rsidRPr="00025910">
        <w:t xml:space="preserve"> (</w:t>
      </w:r>
      <w:r w:rsidRPr="00025910">
        <w:rPr>
          <w:i/>
        </w:rPr>
        <w:t>Third Party Rights</w:t>
      </w:r>
      <w:r w:rsidRPr="00025910">
        <w:t xml:space="preserve">) does not apply and that the CRTPA applies to this </w:t>
      </w:r>
      <w:r w:rsidRPr="00025910">
        <w:rPr>
          <w:color w:val="000000"/>
        </w:rPr>
        <w:fldChar w:fldCharType="begin"/>
      </w:r>
      <w:r w:rsidRPr="00025910">
        <w:rPr>
          <w:color w:val="000000"/>
        </w:rPr>
        <w:instrText xml:space="preserve"> REF Sch28PartD \h  \* MERGEFORMAT </w:instrText>
      </w:r>
      <w:r w:rsidRPr="00025910">
        <w:rPr>
          <w:color w:val="000000"/>
        </w:rPr>
      </w:r>
      <w:r w:rsidRPr="00025910">
        <w:rPr>
          <w:color w:val="000000"/>
        </w:rPr>
        <w:fldChar w:fldCharType="separate"/>
      </w:r>
      <w:r w:rsidR="00302D39" w:rsidRPr="00302D39">
        <w:rPr>
          <w:rFonts w:eastAsia="Calibri"/>
        </w:rPr>
        <w:t>Part D</w:t>
      </w:r>
      <w:r w:rsidRPr="00025910">
        <w:rPr>
          <w:color w:val="000000"/>
        </w:rPr>
        <w:fldChar w:fldCharType="end"/>
      </w:r>
      <w:r w:rsidRPr="00025910">
        <w:t xml:space="preserve"> to the extent necessary to ensure that any Fair Deal Employee will have the right to enforce any obligation in respect of to him or her by the Supplier under this </w:t>
      </w:r>
      <w:r w:rsidRPr="00025910">
        <w:rPr>
          <w:color w:val="000000"/>
        </w:rPr>
        <w:fldChar w:fldCharType="begin"/>
      </w:r>
      <w:r w:rsidRPr="00025910">
        <w:rPr>
          <w:color w:val="000000"/>
        </w:rPr>
        <w:instrText xml:space="preserve"> REF Sch28PartD \h  \* MERGEFORMAT </w:instrText>
      </w:r>
      <w:r w:rsidRPr="00025910">
        <w:rPr>
          <w:color w:val="000000"/>
        </w:rPr>
      </w:r>
      <w:r w:rsidRPr="00025910">
        <w:rPr>
          <w:color w:val="000000"/>
        </w:rPr>
        <w:fldChar w:fldCharType="separate"/>
      </w:r>
      <w:r w:rsidR="00302D39" w:rsidRPr="00302D39">
        <w:rPr>
          <w:rFonts w:eastAsia="Calibri"/>
        </w:rPr>
        <w:t>Part D</w:t>
      </w:r>
      <w:r w:rsidRPr="00025910">
        <w:rPr>
          <w:color w:val="000000"/>
        </w:rPr>
        <w:fldChar w:fldCharType="end"/>
      </w:r>
      <w:r w:rsidRPr="00025910">
        <w:t xml:space="preserve">, in his or her or its own right under </w:t>
      </w:r>
      <w:bookmarkStart w:id="2564" w:name="_9kR3WTr2CC7DE2rcszv1FH"/>
      <w:r w:rsidRPr="00025910">
        <w:t>section 1(1)</w:t>
      </w:r>
      <w:bookmarkEnd w:id="2564"/>
      <w:r w:rsidRPr="00025910">
        <w:t xml:space="preserve"> of the CRTPA. </w:t>
      </w:r>
    </w:p>
    <w:p w14:paraId="79CCA917" w14:textId="77777777" w:rsidR="00F67E9E" w:rsidRPr="00025910" w:rsidRDefault="00F67E9E" w:rsidP="00F67E9E">
      <w:pPr>
        <w:pStyle w:val="AppendixText2"/>
      </w:pPr>
      <w:r w:rsidRPr="00025910">
        <w:t xml:space="preserve">Further, the Supplier must ensure that the CRTPA will apply to any Sub-contract to the extent necessary to ensure that any Fair Deal Employee will have the right to enforce any obligation owed to them by the Sub-contractor in his or her own right under </w:t>
      </w:r>
      <w:bookmarkStart w:id="2565" w:name="_9kMHG5YVt4EE9FG4teu1x3HJ"/>
      <w:r w:rsidRPr="00025910">
        <w:t>section 1(1)</w:t>
      </w:r>
      <w:bookmarkEnd w:id="2565"/>
      <w:r w:rsidRPr="00025910">
        <w:t xml:space="preserve"> of the CRTPA.</w:t>
      </w:r>
    </w:p>
    <w:p w14:paraId="3B7FD6E2" w14:textId="77777777" w:rsidR="00F67E9E" w:rsidRPr="00C542C5" w:rsidRDefault="00F67E9E" w:rsidP="00F67E9E">
      <w:pPr>
        <w:pStyle w:val="AppendixText1"/>
        <w:numPr>
          <w:ilvl w:val="0"/>
          <w:numId w:val="78"/>
        </w:numPr>
        <w:rPr>
          <w:color w:val="1F497D"/>
        </w:rPr>
      </w:pPr>
      <w:bookmarkStart w:id="2566" w:name="_Ref_ContractCompanion_9kb9Ur69B"/>
      <w:bookmarkStart w:id="2567" w:name="_9kR3WTrAG8ADHiJfifw5qFQKjPyIfog8Cwv3"/>
      <w:bookmarkStart w:id="2568" w:name="_9kR3WTr29B7FIcJfifw5qFQKjPyIfog8Cwv3"/>
      <w:r w:rsidRPr="00C542C5">
        <w:rPr>
          <w:color w:val="1F497D"/>
        </w:rPr>
        <w:t>Breach</w:t>
      </w:r>
      <w:bookmarkEnd w:id="2566"/>
      <w:bookmarkEnd w:id="2567"/>
      <w:bookmarkEnd w:id="2568"/>
    </w:p>
    <w:p w14:paraId="32637BF0" w14:textId="1DD7AFD0" w:rsidR="00F67E9E" w:rsidRPr="00025910" w:rsidRDefault="00F67E9E" w:rsidP="00F67E9E">
      <w:pPr>
        <w:pStyle w:val="AppendixText2"/>
      </w:pPr>
      <w:r w:rsidRPr="00025910">
        <w:t xml:space="preserve">The Supplier agrees to notify the Authority should it breach any obligations it has under this </w:t>
      </w:r>
      <w:r w:rsidRPr="00025910">
        <w:rPr>
          <w:color w:val="000000"/>
        </w:rPr>
        <w:fldChar w:fldCharType="begin"/>
      </w:r>
      <w:r w:rsidRPr="00025910">
        <w:rPr>
          <w:color w:val="000000"/>
        </w:rPr>
        <w:instrText xml:space="preserve"> REF Sch28PartD \h  \* MERGEFORMAT </w:instrText>
      </w:r>
      <w:r w:rsidRPr="00025910">
        <w:rPr>
          <w:color w:val="000000"/>
        </w:rPr>
      </w:r>
      <w:r w:rsidRPr="00025910">
        <w:rPr>
          <w:color w:val="000000"/>
        </w:rPr>
        <w:fldChar w:fldCharType="separate"/>
      </w:r>
      <w:r w:rsidR="00302D39" w:rsidRPr="00302D39">
        <w:rPr>
          <w:rFonts w:eastAsia="Calibri"/>
        </w:rPr>
        <w:t>Part D</w:t>
      </w:r>
      <w:r w:rsidRPr="00025910">
        <w:rPr>
          <w:color w:val="000000"/>
        </w:rPr>
        <w:fldChar w:fldCharType="end"/>
      </w:r>
      <w:r w:rsidRPr="00025910">
        <w:t xml:space="preserve"> and agrees that the Authority shall be entitled to terminate its Contract</w:t>
      </w:r>
      <w:r w:rsidRPr="00025910" w:rsidDel="000D1FBB">
        <w:t xml:space="preserve"> </w:t>
      </w:r>
      <w:r w:rsidRPr="00025910">
        <w:t>for material Default in the event that the Supplier:</w:t>
      </w:r>
    </w:p>
    <w:p w14:paraId="2D9665E1" w14:textId="558202E2" w:rsidR="00F67E9E" w:rsidRPr="00025910" w:rsidRDefault="00F67E9E" w:rsidP="00F67E9E">
      <w:pPr>
        <w:pStyle w:val="AppendixText3"/>
      </w:pPr>
      <w:r w:rsidRPr="00025910">
        <w:t xml:space="preserve">commits an irremediable breach of any provision or obligation it has under this </w:t>
      </w:r>
      <w:r w:rsidRPr="00B13444">
        <w:fldChar w:fldCharType="begin"/>
      </w:r>
      <w:r w:rsidRPr="00B13444">
        <w:instrText xml:space="preserve"> REF Sch28PartD \h  \* MERGEFORMAT </w:instrText>
      </w:r>
      <w:r w:rsidRPr="00B13444">
        <w:fldChar w:fldCharType="separate"/>
      </w:r>
      <w:r w:rsidR="00302D39" w:rsidRPr="00025910">
        <w:t>Part D</w:t>
      </w:r>
      <w:r w:rsidRPr="00B13444">
        <w:fldChar w:fldCharType="end"/>
      </w:r>
      <w:r w:rsidRPr="00025910">
        <w:t>; or</w:t>
      </w:r>
    </w:p>
    <w:p w14:paraId="7DCF2B59" w14:textId="7FBE42B9" w:rsidR="00F67E9E" w:rsidRPr="00025910" w:rsidRDefault="00F67E9E" w:rsidP="00F67E9E">
      <w:pPr>
        <w:pStyle w:val="AppendixText3"/>
      </w:pPr>
      <w:r w:rsidRPr="00025910">
        <w:t xml:space="preserve">commits a breach of any provision or obligation it has under this </w:t>
      </w:r>
      <w:r w:rsidRPr="00B13444">
        <w:fldChar w:fldCharType="begin"/>
      </w:r>
      <w:r w:rsidRPr="00B13444">
        <w:instrText xml:space="preserve"> REF Sch28PartD \h  \* MERGEFORMAT </w:instrText>
      </w:r>
      <w:r w:rsidRPr="00B13444">
        <w:fldChar w:fldCharType="separate"/>
      </w:r>
      <w:r w:rsidR="00302D39" w:rsidRPr="00025910">
        <w:t>Part D</w:t>
      </w:r>
      <w:r w:rsidRPr="00B13444">
        <w:fldChar w:fldCharType="end"/>
      </w:r>
      <w:r w:rsidRPr="00025910">
        <w:t xml:space="preserve"> which, where capable of remedy, it fails to remedy within a reasonable time and in any event within 28 days of the date of a notice from the Authority giving particulars of the breach and requiring the Supplier to remedy it.</w:t>
      </w:r>
    </w:p>
    <w:p w14:paraId="0FBEE188" w14:textId="77777777" w:rsidR="00F67E9E" w:rsidRPr="00C542C5" w:rsidRDefault="00F67E9E" w:rsidP="00F67E9E">
      <w:pPr>
        <w:pStyle w:val="AppendixText1"/>
        <w:numPr>
          <w:ilvl w:val="0"/>
          <w:numId w:val="78"/>
        </w:numPr>
        <w:rPr>
          <w:color w:val="1F497D"/>
        </w:rPr>
      </w:pPr>
      <w:r w:rsidRPr="00C542C5">
        <w:rPr>
          <w:color w:val="1F497D"/>
        </w:rPr>
        <w:t>Transfer to Another Employer/Sub-contractors</w:t>
      </w:r>
    </w:p>
    <w:p w14:paraId="28DEDCF9" w14:textId="77777777" w:rsidR="00F67E9E" w:rsidRPr="00025910" w:rsidRDefault="00F67E9E" w:rsidP="00F67E9E">
      <w:pPr>
        <w:pStyle w:val="AppendixText2"/>
      </w:pPr>
      <w:r w:rsidRPr="00025910">
        <w:t>Save on expiry or termination of this Contract, if the employment of any Fair Deal Eligible Employee transfers to another employer (by way of a transfer under the Employment Regulations or other form of compulsory transfer of employment), the Supplier shall or shall procure that any relevant Sub-contractor shall:</w:t>
      </w:r>
    </w:p>
    <w:p w14:paraId="08D009A3" w14:textId="77777777" w:rsidR="00F67E9E" w:rsidRPr="00620079" w:rsidRDefault="00F67E9E" w:rsidP="00F67E9E">
      <w:pPr>
        <w:pStyle w:val="AppendixText3"/>
      </w:pPr>
      <w:r w:rsidRPr="00025910">
        <w:t xml:space="preserve">notify the Authority as far as reasonably practicable in advance of the transfer to allow the Authority to make the necessary arrangements for participation with the relevant </w:t>
      </w:r>
      <w:r w:rsidRPr="00620079">
        <w:t xml:space="preserve">Statutory Scheme(s); </w:t>
      </w:r>
    </w:p>
    <w:p w14:paraId="300E6923" w14:textId="77777777" w:rsidR="00F67E9E" w:rsidRPr="00620079" w:rsidRDefault="00F67E9E" w:rsidP="00F67E9E">
      <w:pPr>
        <w:pStyle w:val="AppendixText3"/>
      </w:pPr>
      <w:r w:rsidRPr="00620079">
        <w:t>consult with about, and inform those Fair Deal Eligible Employees of, the pension provisions relating to that transfer; and</w:t>
      </w:r>
    </w:p>
    <w:p w14:paraId="33E44306" w14:textId="7045BEB9" w:rsidR="00F67E9E" w:rsidRPr="00025910" w:rsidRDefault="00F67E9E" w:rsidP="00F67E9E">
      <w:pPr>
        <w:pStyle w:val="AppendixText3"/>
      </w:pPr>
      <w:r w:rsidRPr="00620079">
        <w:t>procure</w:t>
      </w:r>
      <w:r w:rsidRPr="00025910">
        <w:t xml:space="preserve"> that the employer to which the Fair Deal Eligible Employees are transferred (the </w:t>
      </w:r>
      <w:r>
        <w:t>“</w:t>
      </w:r>
      <w:r w:rsidRPr="00B13444">
        <w:rPr>
          <w:b/>
        </w:rPr>
        <w:t>New Employer</w:t>
      </w:r>
      <w:r>
        <w:t>”</w:t>
      </w:r>
      <w:r w:rsidRPr="00025910">
        <w:t xml:space="preserve">) complies with the provisions of this </w:t>
      </w:r>
      <w:r w:rsidRPr="00B13444">
        <w:fldChar w:fldCharType="begin"/>
      </w:r>
      <w:r w:rsidRPr="00B13444">
        <w:instrText xml:space="preserve"> REF Sch28PartD \h  \* MERGEFORMAT </w:instrText>
      </w:r>
      <w:r w:rsidRPr="00B13444">
        <w:fldChar w:fldCharType="separate"/>
      </w:r>
      <w:r w:rsidR="00302D39" w:rsidRPr="00025910">
        <w:t>Part D</w:t>
      </w:r>
      <w:r w:rsidRPr="00B13444">
        <w:fldChar w:fldCharType="end"/>
      </w:r>
      <w:r w:rsidRPr="00025910">
        <w:t xml:space="preserve"> and its Annexes provided that references to the </w:t>
      </w:r>
      <w:r>
        <w:t>“</w:t>
      </w:r>
      <w:r w:rsidRPr="00025910">
        <w:t>Supplier</w:t>
      </w:r>
      <w:r>
        <w:t>”</w:t>
      </w:r>
      <w:r w:rsidRPr="00025910">
        <w:t xml:space="preserve"> will become references to the New Employer, references to </w:t>
      </w:r>
      <w:r>
        <w:t>“</w:t>
      </w:r>
      <w:r w:rsidRPr="00025910">
        <w:t>Relevant Transfer Date</w:t>
      </w:r>
      <w:r>
        <w:t>”</w:t>
      </w:r>
      <w:r w:rsidRPr="00025910">
        <w:t xml:space="preserve"> will become references to the date of the transfer to the New Employer and references to </w:t>
      </w:r>
      <w:r>
        <w:t>“</w:t>
      </w:r>
      <w:r w:rsidRPr="00025910">
        <w:t>Fair Deal Employees</w:t>
      </w:r>
      <w:r>
        <w:t>”</w:t>
      </w:r>
      <w:r w:rsidRPr="00025910">
        <w:t xml:space="preserve"> will become references to the Fair Deal Eligible Employees so transferred to the New Employer.</w:t>
      </w:r>
    </w:p>
    <w:p w14:paraId="56EC18D1" w14:textId="77777777" w:rsidR="00F67E9E" w:rsidRPr="00C542C5" w:rsidRDefault="00F67E9E" w:rsidP="00F67E9E">
      <w:pPr>
        <w:pStyle w:val="AppendixText1"/>
        <w:numPr>
          <w:ilvl w:val="0"/>
          <w:numId w:val="78"/>
        </w:numPr>
        <w:rPr>
          <w:color w:val="1F497D"/>
        </w:rPr>
      </w:pPr>
      <w:r w:rsidRPr="00C542C5">
        <w:rPr>
          <w:color w:val="1F497D"/>
        </w:rPr>
        <w:t>Pension Issues on Expiry or Termination</w:t>
      </w:r>
    </w:p>
    <w:p w14:paraId="3A80E963" w14:textId="74312FF3" w:rsidR="00F67E9E" w:rsidRPr="00025910" w:rsidRDefault="00F67E9E" w:rsidP="00F67E9E">
      <w:pPr>
        <w:pStyle w:val="AppendixText2"/>
      </w:pPr>
      <w:r w:rsidRPr="00025910">
        <w:t xml:space="preserve">The provisions of </w:t>
      </w:r>
      <w:bookmarkStart w:id="2569" w:name="_9kMON5YVt4DDABGgGp9X"/>
      <w:r w:rsidRPr="00025910">
        <w:fldChar w:fldCharType="begin"/>
      </w:r>
      <w:r w:rsidRPr="00025910">
        <w:instrText xml:space="preserve"> REF Sch28PartE \h  \* MERGEFORMAT </w:instrText>
      </w:r>
      <w:r w:rsidRPr="00025910">
        <w:fldChar w:fldCharType="separate"/>
      </w:r>
      <w:r w:rsidR="00302D39" w:rsidRPr="00302D39">
        <w:t>Part E</w:t>
      </w:r>
      <w:r w:rsidRPr="00025910">
        <w:fldChar w:fldCharType="end"/>
      </w:r>
      <w:bookmarkEnd w:id="2569"/>
      <w:r w:rsidRPr="00025910">
        <w:t xml:space="preserve">: </w:t>
      </w:r>
      <w:r w:rsidRPr="00BB0C30">
        <w:t xml:space="preserve">Employment Exit Provisions </w:t>
      </w:r>
      <w:r w:rsidRPr="00025910">
        <w:t>(Mandatory) apply in relation to pension issues on expiry or termination of this Contract.</w:t>
      </w:r>
    </w:p>
    <w:p w14:paraId="7E863E2C" w14:textId="77777777" w:rsidR="00F67E9E" w:rsidRPr="00025910" w:rsidRDefault="00F67E9E" w:rsidP="00F67E9E">
      <w:pPr>
        <w:pStyle w:val="AppendixText2"/>
      </w:pPr>
      <w:r w:rsidRPr="00025910">
        <w:t>The Supplier shall (and shall procure that any of its Sub-contractors shall) prior to the termination of this Contract</w:t>
      </w:r>
      <w:r w:rsidRPr="00025910" w:rsidDel="000D1FBB">
        <w:t xml:space="preserve"> </w:t>
      </w:r>
      <w:r w:rsidRPr="00025910">
        <w:t>provide all such co-operation and assistance (including co-operation and assistance from the Broadly Comparable pension scheme</w:t>
      </w:r>
      <w:r>
        <w:t>’</w:t>
      </w:r>
      <w:r w:rsidRPr="00025910">
        <w:t>s Actuary) as the Replacement Supplier and/or NHS Pension and/or CSPS and/or the relevant Administering Authority and/or the Authority may reasonably require, to enable the Replacement Supplier to participate in the appropriate Statutory Scheme in respect of any Fair Deal</w:t>
      </w:r>
      <w:r>
        <w:t xml:space="preserve"> </w:t>
      </w:r>
      <w:r w:rsidRPr="00025910">
        <w:t>Eligible Employee that remains eligible for New Fair Deal protection following a Service Transfer.</w:t>
      </w:r>
    </w:p>
    <w:p w14:paraId="7F0C1B90" w14:textId="77777777" w:rsidR="00F67E9E" w:rsidRPr="00C542C5" w:rsidRDefault="00F67E9E" w:rsidP="00F67E9E">
      <w:pPr>
        <w:pStyle w:val="AppendixText1"/>
        <w:numPr>
          <w:ilvl w:val="0"/>
          <w:numId w:val="78"/>
        </w:numPr>
        <w:rPr>
          <w:color w:val="1F497D"/>
        </w:rPr>
      </w:pPr>
      <w:bookmarkStart w:id="2570" w:name="_9kR3WTrAG98A8ZJfifw5qFQKjPyIfiPa9N7x9VN"/>
      <w:bookmarkStart w:id="2571" w:name="_9kR3WTr29B7FKeJfifw5qFQKjPyIfiPa9N7x9VN"/>
      <w:bookmarkStart w:id="2572" w:name="_Ref_ContractCompanion_9kb9Ur378"/>
      <w:bookmarkStart w:id="2573" w:name="_Ref_ContractCompanion_9kb9Ur37A"/>
      <w:bookmarkStart w:id="2574" w:name="_Ref_ContractCompanion_9kb9Ur37C"/>
      <w:bookmarkStart w:id="2575" w:name="_Ref_ContractCompanion_9kb9Ur37E"/>
      <w:bookmarkStart w:id="2576" w:name="_Ref_ContractCompanion_9kb9Ur38F"/>
      <w:bookmarkStart w:id="2577" w:name="_Ref_ContractCompanion_9kb9Us45B"/>
      <w:r w:rsidRPr="00C542C5">
        <w:rPr>
          <w:color w:val="1F497D"/>
        </w:rPr>
        <w:t>Broadly Comparable Pension Scheme on Relevant Transfer Date</w:t>
      </w:r>
      <w:bookmarkEnd w:id="2570"/>
      <w:bookmarkEnd w:id="2571"/>
      <w:r w:rsidRPr="00C542C5">
        <w:rPr>
          <w:color w:val="1F497D"/>
        </w:rPr>
        <w:t xml:space="preserve"> </w:t>
      </w:r>
      <w:bookmarkEnd w:id="2572"/>
      <w:bookmarkEnd w:id="2573"/>
      <w:bookmarkEnd w:id="2574"/>
      <w:bookmarkEnd w:id="2575"/>
      <w:bookmarkEnd w:id="2576"/>
      <w:bookmarkEnd w:id="2577"/>
    </w:p>
    <w:p w14:paraId="0E8A4DA4" w14:textId="1652656B" w:rsidR="00F67E9E" w:rsidRPr="00025910" w:rsidRDefault="00F67E9E" w:rsidP="00F67E9E">
      <w:pPr>
        <w:pStyle w:val="AppendixText2"/>
      </w:pPr>
      <w:r w:rsidRPr="00025910">
        <w:t xml:space="preserve">If the terms of any of </w:t>
      </w:r>
      <w:bookmarkStart w:id="2578" w:name="_9kR3WTr2BD67Bzknoewrqy2Q"/>
      <w:r w:rsidRPr="00025910">
        <w:t xml:space="preserve">Paragraphs </w:t>
      </w:r>
      <w:r w:rsidRPr="00025910">
        <w:fldChar w:fldCharType="begin"/>
      </w:r>
      <w:r w:rsidRPr="00025910">
        <w:instrText xml:space="preserve"> REF _Ref_ContractCompanion_9kb9Ut235 \w \n \h \t \* MERGEFORMAT </w:instrText>
      </w:r>
      <w:r w:rsidRPr="00025910">
        <w:fldChar w:fldCharType="separate"/>
      </w:r>
      <w:r w:rsidR="00302D39">
        <w:t>4</w:t>
      </w:r>
      <w:r w:rsidRPr="00025910">
        <w:fldChar w:fldCharType="end"/>
      </w:r>
      <w:bookmarkEnd w:id="2578"/>
      <w:r w:rsidRPr="00025910">
        <w:t xml:space="preserve"> of Annex </w:t>
      </w:r>
      <w:r w:rsidRPr="00025910">
        <w:fldChar w:fldCharType="begin"/>
      </w:r>
      <w:r w:rsidRPr="00025910">
        <w:instrText xml:space="preserve"> REF ANNEXD2_SCHEDULE28 \h </w:instrText>
      </w:r>
      <w:r>
        <w:instrText xml:space="preserve"> \* MERGEFORMAT </w:instrText>
      </w:r>
      <w:r w:rsidRPr="00025910">
        <w:fldChar w:fldCharType="separate"/>
      </w:r>
      <w:r w:rsidR="00302D39" w:rsidRPr="00025910">
        <w:t>D2</w:t>
      </w:r>
      <w:r w:rsidRPr="00025910">
        <w:fldChar w:fldCharType="end"/>
      </w:r>
      <w:r w:rsidRPr="00025910">
        <w:t xml:space="preserve">: </w:t>
      </w:r>
      <w:r w:rsidRPr="00025910">
        <w:fldChar w:fldCharType="begin"/>
      </w:r>
      <w:r w:rsidRPr="00025910">
        <w:instrText xml:space="preserve"> REF ANNEXD2HEADING_SCHEDULE28 \h </w:instrText>
      </w:r>
      <w:r>
        <w:instrText xml:space="preserve"> \* MERGEFORMAT </w:instrText>
      </w:r>
      <w:r w:rsidRPr="00025910">
        <w:fldChar w:fldCharType="separate"/>
      </w:r>
      <w:r w:rsidR="00302D39" w:rsidRPr="00025910">
        <w:t>NHSPS</w:t>
      </w:r>
      <w:r w:rsidRPr="00025910">
        <w:fldChar w:fldCharType="end"/>
      </w:r>
      <w:r w:rsidRPr="00025910">
        <w:t xml:space="preserve"> or </w:t>
      </w:r>
      <w:bookmarkStart w:id="2579" w:name="_9kR3WTr2BD67EGC"/>
      <w:r w:rsidRPr="00025910">
        <w:fldChar w:fldCharType="begin"/>
      </w:r>
      <w:r w:rsidRPr="00025910">
        <w:instrText xml:space="preserve"> REF _Ref_ContractCompanion_9kb9Ut238 \n \h \t \* MERGEFORMAT </w:instrText>
      </w:r>
      <w:r w:rsidRPr="00025910">
        <w:fldChar w:fldCharType="separate"/>
      </w:r>
      <w:r w:rsidR="00302D39">
        <w:t>3.1</w:t>
      </w:r>
      <w:r w:rsidRPr="00025910">
        <w:fldChar w:fldCharType="end"/>
      </w:r>
      <w:bookmarkEnd w:id="2579"/>
      <w:r w:rsidRPr="00025910">
        <w:t xml:space="preserve"> of Annex </w:t>
      </w:r>
      <w:r w:rsidRPr="00025910">
        <w:fldChar w:fldCharType="begin"/>
      </w:r>
      <w:r w:rsidRPr="00025910">
        <w:instrText xml:space="preserve"> REF ANNEXD3_SCHEDULE28 \h </w:instrText>
      </w:r>
      <w:r>
        <w:instrText xml:space="preserve"> \* MERGEFORMAT </w:instrText>
      </w:r>
      <w:r w:rsidRPr="00025910">
        <w:fldChar w:fldCharType="separate"/>
      </w:r>
      <w:r w:rsidR="00302D39" w:rsidRPr="00025910">
        <w:t>D3</w:t>
      </w:r>
      <w:r w:rsidRPr="00025910">
        <w:fldChar w:fldCharType="end"/>
      </w:r>
      <w:r w:rsidRPr="00025910">
        <w:t xml:space="preserve">: </w:t>
      </w:r>
      <w:r w:rsidRPr="00025910">
        <w:fldChar w:fldCharType="begin"/>
      </w:r>
      <w:r w:rsidRPr="00025910">
        <w:instrText xml:space="preserve"> REF ANNEXD3HEADING_SCHEDULE28 \h </w:instrText>
      </w:r>
      <w:r>
        <w:instrText xml:space="preserve"> \* MERGEFORMAT </w:instrText>
      </w:r>
      <w:r w:rsidRPr="00025910">
        <w:fldChar w:fldCharType="separate"/>
      </w:r>
      <w:r w:rsidR="00302D39" w:rsidRPr="00025910">
        <w:t>LGPS</w:t>
      </w:r>
      <w:r w:rsidRPr="00025910">
        <w:fldChar w:fldCharType="end"/>
      </w:r>
      <w:r w:rsidRPr="00025910">
        <w:t xml:space="preserve"> applies, the Supplier must (and must, where relevant, procure that each of its Sub-contractors will) ensure that, with effect from the Relevant Transfer Date until the day before the Service Transfer Date, the relevant Fair Deal Employees will be eligible for membership of a pension scheme under which the benefits are Broadly Comparable to those provided under the relevant Statutory Scheme, and then on such terms as may be decided by the Authority.</w:t>
      </w:r>
    </w:p>
    <w:p w14:paraId="6AD13676" w14:textId="77777777" w:rsidR="00F67E9E" w:rsidRPr="00025910" w:rsidRDefault="00F67E9E" w:rsidP="00F67E9E">
      <w:pPr>
        <w:pStyle w:val="AppendixText2"/>
      </w:pPr>
      <w:r w:rsidRPr="00025910">
        <w:t>Such Broadly Comparable pension scheme must be:</w:t>
      </w:r>
    </w:p>
    <w:p w14:paraId="77233B4F" w14:textId="77777777" w:rsidR="00F67E9E" w:rsidRPr="00620079" w:rsidRDefault="00F67E9E" w:rsidP="00F67E9E">
      <w:pPr>
        <w:pStyle w:val="AppendixText3"/>
      </w:pPr>
      <w:r w:rsidRPr="00620079">
        <w:t>established by the Relevant Transfer Date;</w:t>
      </w:r>
    </w:p>
    <w:p w14:paraId="1DA73C03" w14:textId="77777777" w:rsidR="00F67E9E" w:rsidRPr="00620079" w:rsidRDefault="00F67E9E" w:rsidP="00F67E9E">
      <w:pPr>
        <w:pStyle w:val="AppendixText3"/>
      </w:pPr>
      <w:r w:rsidRPr="00620079">
        <w:t xml:space="preserve">a registered pension scheme for the purposes of Part 4 of the Finance Act 2004; </w:t>
      </w:r>
    </w:p>
    <w:p w14:paraId="33B611BD" w14:textId="77777777" w:rsidR="00F67E9E" w:rsidRPr="00620079" w:rsidRDefault="00F67E9E" w:rsidP="00F67E9E">
      <w:pPr>
        <w:pStyle w:val="AppendixText3"/>
      </w:pPr>
      <w:r w:rsidRPr="00620079">
        <w:t xml:space="preserve">capable of receiving a bulk transfer payment from the relevant Statutory Scheme or from a Former Supplier’s Broadly Comparable pension scheme (unless otherwise instructed by the Authority); </w:t>
      </w:r>
    </w:p>
    <w:p w14:paraId="6AD3408C" w14:textId="77777777" w:rsidR="00F67E9E" w:rsidRPr="00620079" w:rsidRDefault="00F67E9E" w:rsidP="00F67E9E">
      <w:pPr>
        <w:pStyle w:val="AppendixText3"/>
      </w:pPr>
      <w:r w:rsidRPr="00620079">
        <w:t xml:space="preserve">capable of paying a bulk transfer payment to the Replacement Supplier’s Broadly Comparable pension scheme (or the relevant Statutory Scheme if applicable) (unless otherwise instructed by the Authority); and </w:t>
      </w:r>
    </w:p>
    <w:p w14:paraId="4560203D" w14:textId="77777777" w:rsidR="00F67E9E" w:rsidRPr="00025910" w:rsidRDefault="00F67E9E" w:rsidP="00F67E9E">
      <w:pPr>
        <w:pStyle w:val="AppendixText3"/>
      </w:pPr>
      <w:r w:rsidRPr="00620079">
        <w:t>maintained until such bulk transfer payments have been received or paid (unless otherwise</w:t>
      </w:r>
      <w:r w:rsidRPr="00025910">
        <w:t xml:space="preserve"> instructed by the Authority).</w:t>
      </w:r>
    </w:p>
    <w:p w14:paraId="13C194DC" w14:textId="7138A408" w:rsidR="00F67E9E" w:rsidRPr="00025910" w:rsidRDefault="00F67E9E" w:rsidP="00F67E9E">
      <w:pPr>
        <w:pStyle w:val="AppendixText2"/>
      </w:pPr>
      <w:r w:rsidRPr="00025910">
        <w:t xml:space="preserve">Where the Supplier has provided a Broadly Comparable pension scheme pursuant to the provisions of this </w:t>
      </w:r>
      <w:bookmarkStart w:id="2580" w:name="_9kMHG5YVtCIBACAbLhkhy7sHSMlR0KhkRcBP9zB"/>
      <w:r w:rsidRPr="00025910">
        <w:t xml:space="preserve">Paragraph </w:t>
      </w:r>
      <w:r w:rsidRPr="00025910">
        <w:fldChar w:fldCharType="begin"/>
      </w:r>
      <w:r w:rsidRPr="00025910">
        <w:instrText xml:space="preserve"> REF _Ref_ContractCompanion_9kb9Us45B \w \n \h \t \* MERGEFORMAT </w:instrText>
      </w:r>
      <w:r w:rsidRPr="00025910">
        <w:fldChar w:fldCharType="separate"/>
      </w:r>
      <w:bookmarkStart w:id="2581" w:name="_9kMKJ5YVt4BD9HMgLhkhy7sHSMlR0KhkRcBP9zB"/>
      <w:r w:rsidR="00302D39">
        <w:t>10</w:t>
      </w:r>
      <w:bookmarkEnd w:id="2581"/>
      <w:r w:rsidRPr="00025910">
        <w:fldChar w:fldCharType="end"/>
      </w:r>
      <w:bookmarkEnd w:id="2580"/>
      <w:r w:rsidRPr="00025910">
        <w:t>, the Supplier shall (and shall procure that any of its Sub-contractors shall):</w:t>
      </w:r>
    </w:p>
    <w:p w14:paraId="04788774" w14:textId="77777777" w:rsidR="00F67E9E" w:rsidRPr="00025910" w:rsidRDefault="00F67E9E" w:rsidP="00F67E9E">
      <w:pPr>
        <w:pStyle w:val="AppendixText3"/>
      </w:pPr>
      <w:r w:rsidRPr="00025910">
        <w:t>supply to the Authority details of its (or its Sub-contractor</w:t>
      </w:r>
      <w:r>
        <w:t>’</w:t>
      </w:r>
      <w:r w:rsidRPr="00025910">
        <w:t>s) Broadly Comparable pension scheme and provide a full copy of the valid certificate of broad comparability (which remains valid as at the Relevant Transfer Date) covering all relevant Fair Deal Employees, as soon as it is able to do so before the Relevant Transfer Date (where possible) and in any event no later than seven (7) days after receipt of the certificate;</w:t>
      </w:r>
    </w:p>
    <w:p w14:paraId="1EF12437" w14:textId="77777777" w:rsidR="00F67E9E" w:rsidRPr="00025910" w:rsidRDefault="00F67E9E" w:rsidP="00F67E9E">
      <w:pPr>
        <w:pStyle w:val="AppendixText3"/>
      </w:pPr>
      <w:r w:rsidRPr="00025910">
        <w:t xml:space="preserve">be fully responsible for all costs, contributions, payments and other amounts relating to the setting up, certification of, ongoing participation in and/or withdrawal and exit from the Broadly Comparable pension scheme, including for the avoidance of doubt any debts arising under </w:t>
      </w:r>
      <w:bookmarkStart w:id="2582" w:name="_9kR3WTr2797DH3rcszv1LR99TVZQ28Bxgb6LHEK"/>
      <w:r w:rsidRPr="00025910">
        <w:t>section 75 or 75A of the Pensions Act 1995</w:t>
      </w:r>
      <w:bookmarkEnd w:id="2582"/>
      <w:r w:rsidRPr="00025910">
        <w:t xml:space="preserve">; </w:t>
      </w:r>
    </w:p>
    <w:p w14:paraId="240718DD" w14:textId="77777777" w:rsidR="00F67E9E" w:rsidRPr="00025910" w:rsidRDefault="00F67E9E" w:rsidP="00F67E9E">
      <w:pPr>
        <w:pStyle w:val="AppendixText3"/>
      </w:pPr>
      <w:bookmarkStart w:id="2583" w:name="_9kR3WTrAGA67HH9Cpiu5CCE00zuJPM7vVaK4u6S"/>
      <w:bookmarkStart w:id="2584" w:name="_Ref_ContractCompanion_9kb9Ut23B"/>
      <w:r w:rsidRPr="00025910">
        <w:t>instruct any such Broadly Comparable pension scheme</w:t>
      </w:r>
      <w:r>
        <w:t>’</w:t>
      </w:r>
      <w:r w:rsidRPr="00025910">
        <w:t>s Actuary to provide all such co-operation and assistance in agreeing bulk transfer process with the Actuary to the Former Supplier</w:t>
      </w:r>
      <w:r>
        <w:t>’</w:t>
      </w:r>
      <w:r w:rsidRPr="00025910">
        <w:t>s Broadly Comparable pension scheme or the Actuary to the relevant Statutory Scheme (as appropriate) and to provide all such co-operation and assistance with any other Actuary appointed by the Authority (where applicable).</w:t>
      </w:r>
      <w:bookmarkEnd w:id="2583"/>
      <w:r w:rsidRPr="00025910">
        <w:t xml:space="preserve"> This will be with a view to the bulk transfer terms providing day for day and/or pound for pound (as applicable) (or actuarially equivalent where there are benefit differences between the two schemes) credits in the Broadly Comparable pension scheme in respect of any Fair Deal Eligible Employee who consents to such a transfer; and</w:t>
      </w:r>
      <w:bookmarkEnd w:id="2584"/>
    </w:p>
    <w:p w14:paraId="3F51A9AE" w14:textId="1CF0D394" w:rsidR="00F67E9E" w:rsidRPr="00025910" w:rsidRDefault="00F67E9E" w:rsidP="00F67E9E">
      <w:pPr>
        <w:pStyle w:val="AppendixText3"/>
      </w:pPr>
      <w:r w:rsidRPr="00025910">
        <w:t xml:space="preserve">provide a replacement Broadly Comparable pension scheme in accordance with this </w:t>
      </w:r>
      <w:bookmarkStart w:id="2585" w:name="_9kMIH5YVtCIBACAbLhkhy7sHSMlR0KhkRcBP9zB"/>
      <w:r w:rsidRPr="00025910">
        <w:t xml:space="preserve">Paragraph </w:t>
      </w:r>
      <w:r w:rsidRPr="00025910">
        <w:fldChar w:fldCharType="begin"/>
      </w:r>
      <w:r w:rsidRPr="00025910">
        <w:instrText xml:space="preserve"> REF _Ref_ContractCompanion_9kb9Us45B \w \n \h \t \* MERGEFORMAT </w:instrText>
      </w:r>
      <w:r w:rsidRPr="00025910">
        <w:fldChar w:fldCharType="separate"/>
      </w:r>
      <w:bookmarkStart w:id="2586" w:name="_9kMLK5YVt4BD9HMgLhkhy7sHSMlR0KhkRcBP9zB"/>
      <w:r w:rsidR="00302D39">
        <w:t>10</w:t>
      </w:r>
      <w:bookmarkEnd w:id="2586"/>
      <w:r w:rsidRPr="00025910">
        <w:fldChar w:fldCharType="end"/>
      </w:r>
      <w:bookmarkEnd w:id="2585"/>
      <w:r w:rsidRPr="00025910">
        <w:t xml:space="preserve"> with immediate effect for those Fair Deal Eligible Employees who are still employed by the Supplier and/or relevant Sub-contractor and are still eligible for New Fair Deal protection in the event that the Supplier and/or Sub-contractor</w:t>
      </w:r>
      <w:r>
        <w:t>’</w:t>
      </w:r>
      <w:r w:rsidRPr="00025910">
        <w:t xml:space="preserve">s Broadly Comparable pension scheme is closed to future accrual and/or terminated. The relevant Fair Deal Eligible Employees must be given the option to transfer their accrued benefits from the previous Broadly Comparable pension scheme to the new Broadly Comparable pension scheme on day for day and/or pound for pound terms (as applicable) (or actuarially equivalent where there are benefit differences between the two schemes). </w:t>
      </w:r>
    </w:p>
    <w:p w14:paraId="3AE7586B" w14:textId="163B21BE" w:rsidR="00F67E9E" w:rsidRPr="00025910" w:rsidRDefault="00F67E9E" w:rsidP="00F67E9E">
      <w:pPr>
        <w:pStyle w:val="AppendixText2"/>
      </w:pPr>
      <w:r w:rsidRPr="00025910">
        <w:t xml:space="preserve">Where the Supplier has provided a Broadly Comparable pension scheme pursuant to the provisions of this </w:t>
      </w:r>
      <w:bookmarkStart w:id="2587" w:name="_9kMJI5YVtCIBACAbLhkhy7sHSMlR0KhkRcBP9zB"/>
      <w:r w:rsidRPr="00025910">
        <w:t xml:space="preserve">Paragraph </w:t>
      </w:r>
      <w:r w:rsidRPr="00025910">
        <w:fldChar w:fldCharType="begin"/>
      </w:r>
      <w:r w:rsidRPr="00025910">
        <w:instrText xml:space="preserve"> REF _Ref_ContractCompanion_9kb9Us45B \w \n \h \t \* MERGEFORMAT </w:instrText>
      </w:r>
      <w:r w:rsidRPr="00025910">
        <w:fldChar w:fldCharType="separate"/>
      </w:r>
      <w:bookmarkStart w:id="2588" w:name="_9kMML5YVt4BD9HMgLhkhy7sHSMlR0KhkRcBP9zB"/>
      <w:r w:rsidR="00302D39">
        <w:t>10</w:t>
      </w:r>
      <w:bookmarkEnd w:id="2588"/>
      <w:r w:rsidRPr="00025910">
        <w:fldChar w:fldCharType="end"/>
      </w:r>
      <w:bookmarkEnd w:id="2587"/>
      <w:r w:rsidRPr="00025910">
        <w:t>, the Supplier shall (and shall procure that any of its Sub-contractors shall) prior to the termination of this Contract:</w:t>
      </w:r>
    </w:p>
    <w:p w14:paraId="5837E367" w14:textId="6DC2757E" w:rsidR="00F67E9E" w:rsidRPr="00025910" w:rsidRDefault="00F67E9E" w:rsidP="00F67E9E">
      <w:pPr>
        <w:pStyle w:val="AppendixText3"/>
      </w:pPr>
      <w:bookmarkStart w:id="2589" w:name="_9kR3WTrAGA68BA9DoYkw0Czrvvtsxow8B5vwDSB"/>
      <w:bookmarkStart w:id="2590" w:name="_Ref_ContractCompanion_9kb9Ut245"/>
      <w:r w:rsidRPr="00025910">
        <w:t>allow and make all necessary arrangements to effect, in respect of any Fair Deal Eligible Employee that remains eligible for New Fair Deal protection, following a Service Transfer, the bulk transfer of past service from any such Broadly Comparable pension scheme into the Replacement Supplier</w:t>
      </w:r>
      <w:r>
        <w:t>’</w:t>
      </w:r>
      <w:r w:rsidRPr="00025910">
        <w:t>s Broadly Comparable pension scheme (or the relevant Statutory Scheme if applicable).</w:t>
      </w:r>
      <w:bookmarkEnd w:id="2589"/>
      <w:r w:rsidRPr="00025910">
        <w:t xml:space="preserve"> The bulk transfer terms provided shall be on a past service reserve basis which should be calculated allowing for projected final salary at the assumed date of retirement, leaving service or death (in the case of final salary benefits). The actuarial basis for this past service reserve basis should be aligned to the funding requirements of the Broadly Comparable pension scheme in place at the time the bulk transfer terms are offered. The bulk transfer terms shall be subject to an underpin in relation to any service credits awarded in the Broadly Comparable pension scheme in accordance with </w:t>
      </w:r>
      <w:bookmarkStart w:id="2591" w:name="_9kMHG5YVtCIC89JJBErkw7EEG221wLRO9xXcM6w"/>
      <w:r w:rsidRPr="00025910">
        <w:t xml:space="preserve">Paragraph </w:t>
      </w:r>
      <w:r w:rsidRPr="00025910">
        <w:fldChar w:fldCharType="begin"/>
      </w:r>
      <w:r w:rsidRPr="00025910">
        <w:instrText xml:space="preserve"> REF _Ref_ContractCompanion_9kb9Ut23B \w \h \t \* MERGEFORMAT </w:instrText>
      </w:r>
      <w:r w:rsidRPr="00025910">
        <w:fldChar w:fldCharType="separate"/>
      </w:r>
      <w:r w:rsidR="00302D39">
        <w:t>10.3.3</w:t>
      </w:r>
      <w:r w:rsidRPr="00025910">
        <w:fldChar w:fldCharType="end"/>
      </w:r>
      <w:bookmarkEnd w:id="2591"/>
      <w:r w:rsidRPr="00025910">
        <w:t xml:space="preserve"> such that the element of the past service reserve amount which relates to such service credits shall be no lower than that required by the bulk transfer terms that were agreed in accordance with </w:t>
      </w:r>
      <w:bookmarkStart w:id="2592" w:name="_9kMIH5YVtCIC89JJBErkw7EEG221wLRO9xXcM6w"/>
      <w:r w:rsidRPr="00025910">
        <w:t xml:space="preserve">Paragraph </w:t>
      </w:r>
      <w:r w:rsidRPr="00025910">
        <w:fldChar w:fldCharType="begin"/>
      </w:r>
      <w:r w:rsidRPr="00025910">
        <w:instrText xml:space="preserve"> REF _Ref_ContractCompanion_9kb9Ut23B \w \h \t \* MERGEFORMAT </w:instrText>
      </w:r>
      <w:r w:rsidRPr="00025910">
        <w:fldChar w:fldCharType="separate"/>
      </w:r>
      <w:r w:rsidR="00302D39">
        <w:t>10.3.3</w:t>
      </w:r>
      <w:r w:rsidRPr="00025910">
        <w:fldChar w:fldCharType="end"/>
      </w:r>
      <w:bookmarkEnd w:id="2592"/>
      <w:r w:rsidRPr="00025910">
        <w:t xml:space="preserve"> but using the last day of the Fair Deal Eligible Employees</w:t>
      </w:r>
      <w:r>
        <w:t>’</w:t>
      </w:r>
      <w:r w:rsidRPr="00025910">
        <w:t xml:space="preserve"> employment with the Supplier or Sub-contractor (as appropriate) as the date used to determine the actuarial assumptions; and </w:t>
      </w:r>
      <w:bookmarkEnd w:id="2590"/>
    </w:p>
    <w:p w14:paraId="731BBAC9" w14:textId="3A47620D" w:rsidR="00F67E9E" w:rsidRPr="00025910" w:rsidRDefault="00F67E9E" w:rsidP="00F67E9E">
      <w:pPr>
        <w:pStyle w:val="AppendixText3"/>
      </w:pPr>
      <w:r w:rsidRPr="00025910">
        <w:t>if the transfer payment paid by the trustees of the Broadly Comparable pension scheme is less (in the opinion of the Actuary to the Replacement Supplier</w:t>
      </w:r>
      <w:r>
        <w:t>’</w:t>
      </w:r>
      <w:r w:rsidRPr="00025910">
        <w:t xml:space="preserve">s Broadly Comparable pension scheme (or to the relevant Statutory Scheme if applicable)) than the transfer payment which would have been paid had </w:t>
      </w:r>
      <w:bookmarkStart w:id="2593" w:name="_9kMHG5YVtCIC8ADCBFqamy2E1txxvuzqyAD7xyF"/>
      <w:r w:rsidRPr="00025910">
        <w:t xml:space="preserve">Paragraph </w:t>
      </w:r>
      <w:r w:rsidRPr="00025910">
        <w:fldChar w:fldCharType="begin"/>
      </w:r>
      <w:r w:rsidRPr="00025910">
        <w:instrText xml:space="preserve"> REF _Ref_ContractCompanion_9kb9Ut245 \w \h \t \* MERGEFORMAT </w:instrText>
      </w:r>
      <w:r w:rsidRPr="00025910">
        <w:fldChar w:fldCharType="separate"/>
      </w:r>
      <w:r w:rsidR="00302D39">
        <w:t>10.4.1</w:t>
      </w:r>
      <w:r w:rsidRPr="00025910">
        <w:fldChar w:fldCharType="end"/>
      </w:r>
      <w:bookmarkEnd w:id="2593"/>
      <w:r w:rsidRPr="00025910">
        <w:t xml:space="preserve"> been complied with, the Supplier shall (or shall procure that the Sub-contractor shall) pay the amount of the difference to the Replacement Supplier</w:t>
      </w:r>
      <w:r>
        <w:t>’</w:t>
      </w:r>
      <w:r w:rsidRPr="00025910">
        <w:t>s Broadly Comparable pension scheme (or relevant Statutory Scheme if applicable) or as the Authority shall otherwise direct. The Supplier shall indemnify the Authority or the Replacement Supplier</w:t>
      </w:r>
      <w:r>
        <w:t>’</w:t>
      </w:r>
      <w:r w:rsidRPr="00025910">
        <w:t>s Broadly Comparable pension scheme (or the relevant Statutory Scheme if applicable) (as the Authority directs) for any failure to pay the difference as required under this Paragraph.</w:t>
      </w:r>
    </w:p>
    <w:p w14:paraId="09D99F18" w14:textId="77777777" w:rsidR="00F67E9E" w:rsidRPr="00C542C5" w:rsidRDefault="00F67E9E" w:rsidP="00F67E9E">
      <w:pPr>
        <w:pStyle w:val="AppendixText1"/>
        <w:numPr>
          <w:ilvl w:val="0"/>
          <w:numId w:val="78"/>
        </w:numPr>
        <w:rPr>
          <w:color w:val="1F497D"/>
        </w:rPr>
      </w:pPr>
      <w:bookmarkStart w:id="2594" w:name="_Ref_ContractCompanion_9kb9Ur388"/>
      <w:bookmarkStart w:id="2595" w:name="_Ref_ContractCompanion_9kb9Ur38A"/>
      <w:bookmarkStart w:id="2596" w:name="_Ref_ContractCompanion_9kb9Ur39B"/>
      <w:bookmarkStart w:id="2597" w:name="_Ref_ContractCompanion_9kb9Ur39F"/>
      <w:bookmarkStart w:id="2598" w:name="_Ref_ContractCompanion_9kb9Ur3A8"/>
      <w:bookmarkStart w:id="2599" w:name="_Ref_ContractCompanion_9kb9Us458"/>
      <w:bookmarkStart w:id="2600" w:name="_9kR3WTrAG989EgJfifw5qFQKjPyIfiQb9N7x9VN"/>
      <w:bookmarkStart w:id="2601" w:name="_9kR3WTr29B7FJdJfifw5qFQKjPyIfiQb9N7x9VN"/>
      <w:r w:rsidRPr="00C542C5">
        <w:rPr>
          <w:color w:val="1F497D"/>
        </w:rPr>
        <w:t>Broadly Comparable Pension Scheme in Other Circumstances</w:t>
      </w:r>
      <w:bookmarkEnd w:id="2594"/>
      <w:bookmarkEnd w:id="2595"/>
      <w:bookmarkEnd w:id="2596"/>
      <w:bookmarkEnd w:id="2597"/>
      <w:bookmarkEnd w:id="2598"/>
      <w:bookmarkEnd w:id="2599"/>
      <w:bookmarkEnd w:id="2600"/>
      <w:bookmarkEnd w:id="2601"/>
    </w:p>
    <w:p w14:paraId="7CB908BF" w14:textId="09058C22" w:rsidR="00F67E9E" w:rsidRPr="00025910" w:rsidRDefault="00F67E9E" w:rsidP="00F67E9E">
      <w:pPr>
        <w:pStyle w:val="AppendixText2"/>
      </w:pPr>
      <w:r w:rsidRPr="00025910">
        <w:t xml:space="preserve">If the terms of any of </w:t>
      </w:r>
      <w:bookmarkStart w:id="2602" w:name="_9kR3WTr2BD68E1knoewrqy2OM"/>
      <w:r w:rsidRPr="00025910">
        <w:t xml:space="preserve">Paragraphs </w:t>
      </w:r>
      <w:r w:rsidRPr="00025910">
        <w:fldChar w:fldCharType="begin"/>
      </w:r>
      <w:r w:rsidRPr="00025910">
        <w:instrText xml:space="preserve"> REF _Ref_ContractCompanion_9kb9Ut248 \n \h \t \* MERGEFORMAT </w:instrText>
      </w:r>
      <w:r w:rsidRPr="00025910">
        <w:fldChar w:fldCharType="separate"/>
      </w:r>
      <w:r w:rsidR="00302D39">
        <w:t>2.2</w:t>
      </w:r>
      <w:r w:rsidRPr="00025910">
        <w:fldChar w:fldCharType="end"/>
      </w:r>
      <w:bookmarkEnd w:id="2602"/>
      <w:r w:rsidRPr="00025910">
        <w:t xml:space="preserve"> of Annex </w:t>
      </w:r>
      <w:r w:rsidRPr="00025910">
        <w:fldChar w:fldCharType="begin"/>
      </w:r>
      <w:r w:rsidRPr="00025910">
        <w:instrText xml:space="preserve"> REF ANNEXD1_SCHEDULE28 \h </w:instrText>
      </w:r>
      <w:r>
        <w:instrText xml:space="preserve"> \* MERGEFORMAT </w:instrText>
      </w:r>
      <w:r w:rsidRPr="00025910">
        <w:fldChar w:fldCharType="separate"/>
      </w:r>
      <w:r w:rsidR="00302D39" w:rsidRPr="00025910">
        <w:t>D1</w:t>
      </w:r>
      <w:r w:rsidRPr="00025910">
        <w:fldChar w:fldCharType="end"/>
      </w:r>
      <w:r w:rsidRPr="00025910">
        <w:t xml:space="preserve">: </w:t>
      </w:r>
      <w:r w:rsidRPr="00025910">
        <w:fldChar w:fldCharType="begin"/>
      </w:r>
      <w:r w:rsidRPr="00025910">
        <w:instrText xml:space="preserve"> REF ANNEXD1HEADING_SCHEDULE28 \h </w:instrText>
      </w:r>
      <w:r>
        <w:instrText xml:space="preserve"> \* MERGEFORMAT </w:instrText>
      </w:r>
      <w:r w:rsidRPr="00025910">
        <w:fldChar w:fldCharType="separate"/>
      </w:r>
      <w:r w:rsidR="00302D39" w:rsidRPr="00025910">
        <w:t>CSPS</w:t>
      </w:r>
      <w:r w:rsidRPr="00025910">
        <w:fldChar w:fldCharType="end"/>
      </w:r>
      <w:r w:rsidRPr="00025910">
        <w:t xml:space="preserve">, </w:t>
      </w:r>
      <w:bookmarkStart w:id="2603" w:name="_9kR3WTr2BD68HKF"/>
      <w:r w:rsidRPr="00025910">
        <w:fldChar w:fldCharType="begin"/>
      </w:r>
      <w:r w:rsidRPr="00025910">
        <w:instrText xml:space="preserve"> REF _Ref_ContractCompanion_9kb9Ut24B \n \h \t \* MERGEFORMAT </w:instrText>
      </w:r>
      <w:r w:rsidRPr="00025910">
        <w:fldChar w:fldCharType="separate"/>
      </w:r>
      <w:r w:rsidR="00302D39">
        <w:t>5.2</w:t>
      </w:r>
      <w:r w:rsidRPr="00025910">
        <w:fldChar w:fldCharType="end"/>
      </w:r>
      <w:bookmarkEnd w:id="2603"/>
      <w:r w:rsidRPr="00025910">
        <w:t xml:space="preserve"> of Annex </w:t>
      </w:r>
      <w:r w:rsidRPr="00025910">
        <w:fldChar w:fldCharType="begin"/>
      </w:r>
      <w:r w:rsidRPr="00025910">
        <w:instrText xml:space="preserve"> REF ANNEXD2_SCHEDULE28 \h </w:instrText>
      </w:r>
      <w:r>
        <w:instrText xml:space="preserve"> \* MERGEFORMAT </w:instrText>
      </w:r>
      <w:r w:rsidRPr="00025910">
        <w:fldChar w:fldCharType="separate"/>
      </w:r>
      <w:r w:rsidR="00302D39" w:rsidRPr="00025910">
        <w:t>D2</w:t>
      </w:r>
      <w:r w:rsidRPr="00025910">
        <w:fldChar w:fldCharType="end"/>
      </w:r>
      <w:r w:rsidRPr="00025910">
        <w:t xml:space="preserve">: </w:t>
      </w:r>
      <w:r w:rsidRPr="00025910">
        <w:fldChar w:fldCharType="begin"/>
      </w:r>
      <w:r w:rsidRPr="00025910">
        <w:instrText xml:space="preserve"> REF ANNEXD2HEADING_SCHEDULE28 \h </w:instrText>
      </w:r>
      <w:r>
        <w:instrText xml:space="preserve"> \* MERGEFORMAT </w:instrText>
      </w:r>
      <w:r w:rsidRPr="00025910">
        <w:fldChar w:fldCharType="separate"/>
      </w:r>
      <w:r w:rsidR="00302D39" w:rsidRPr="00025910">
        <w:t>NHSPS</w:t>
      </w:r>
      <w:r w:rsidRPr="00025910">
        <w:fldChar w:fldCharType="end"/>
      </w:r>
      <w:r w:rsidRPr="00025910">
        <w:t xml:space="preserve"> and/or </w:t>
      </w:r>
      <w:bookmarkStart w:id="2604" w:name="_9kMHG5YVtCIC8BDDFVGy1nZkEA71v52z35K74TV"/>
      <w:r w:rsidRPr="00025910">
        <w:fldChar w:fldCharType="begin"/>
      </w:r>
      <w:r w:rsidRPr="00025910">
        <w:instrText xml:space="preserve"> REF _Ref_ContractCompanion_9kb9Ut24E \n \h \t \* MERGEFORMAT </w:instrText>
      </w:r>
      <w:r w:rsidRPr="00025910">
        <w:fldChar w:fldCharType="separate"/>
      </w:r>
      <w:r w:rsidR="00302D39">
        <w:t>3.2</w:t>
      </w:r>
      <w:r w:rsidRPr="00025910">
        <w:fldChar w:fldCharType="end"/>
      </w:r>
      <w:bookmarkEnd w:id="2604"/>
      <w:r w:rsidRPr="00025910">
        <w:t xml:space="preserve"> of Annex </w:t>
      </w:r>
      <w:r w:rsidRPr="00025910">
        <w:fldChar w:fldCharType="begin"/>
      </w:r>
      <w:r w:rsidRPr="00025910">
        <w:instrText xml:space="preserve"> REF ANNEXD3_SCHEDULE28 \h </w:instrText>
      </w:r>
      <w:r>
        <w:instrText xml:space="preserve"> \* MERGEFORMAT </w:instrText>
      </w:r>
      <w:r w:rsidRPr="00025910">
        <w:fldChar w:fldCharType="separate"/>
      </w:r>
      <w:r w:rsidR="00302D39" w:rsidRPr="00025910">
        <w:t>D3</w:t>
      </w:r>
      <w:r w:rsidRPr="00025910">
        <w:fldChar w:fldCharType="end"/>
      </w:r>
      <w:r w:rsidRPr="00025910">
        <w:t xml:space="preserve">: </w:t>
      </w:r>
      <w:r w:rsidRPr="00025910">
        <w:fldChar w:fldCharType="begin"/>
      </w:r>
      <w:r w:rsidRPr="00025910">
        <w:instrText xml:space="preserve"> REF ANNEXD3HEADING_SCHEDULE28 \h </w:instrText>
      </w:r>
      <w:r>
        <w:instrText xml:space="preserve"> \* MERGEFORMAT </w:instrText>
      </w:r>
      <w:r w:rsidRPr="00025910">
        <w:fldChar w:fldCharType="separate"/>
      </w:r>
      <w:r w:rsidR="00302D39" w:rsidRPr="00025910">
        <w:t>LGPS</w:t>
      </w:r>
      <w:r w:rsidRPr="00025910">
        <w:fldChar w:fldCharType="end"/>
      </w:r>
      <w:r w:rsidRPr="00025910">
        <w:t xml:space="preserve"> apply, the Supplier must (and must, where relevant, procure that each of its Sub-contractors will) ensure that, with effect from the cessation of participation in the Statutory Scheme, until the day before the Service Transfer Date, the relevant Fair Deal Eligible Employees will be eligible for membership of a pension scheme under which the benefits are Broadly Comparable to those provided under the relevant Statutory Scheme at the date of cessation of participation in the relevant Statutory Scheme, and then on such terms as may be decided by the Authority.</w:t>
      </w:r>
    </w:p>
    <w:p w14:paraId="61918DF5" w14:textId="77777777" w:rsidR="00F67E9E" w:rsidRPr="00025910" w:rsidRDefault="00F67E9E" w:rsidP="00F67E9E">
      <w:pPr>
        <w:pStyle w:val="AppendixText2"/>
      </w:pPr>
      <w:r w:rsidRPr="00025910">
        <w:t>Such Broadly Comparable pension scheme must be:</w:t>
      </w:r>
    </w:p>
    <w:p w14:paraId="27FFD289" w14:textId="77777777" w:rsidR="00F67E9E" w:rsidRPr="00025910" w:rsidRDefault="00F67E9E" w:rsidP="00F67E9E">
      <w:pPr>
        <w:pStyle w:val="AppendixText3"/>
      </w:pPr>
      <w:r w:rsidRPr="00025910">
        <w:t>established by the date of cessation of participation in the Statutory Scheme;</w:t>
      </w:r>
    </w:p>
    <w:p w14:paraId="1C3CA624" w14:textId="77777777" w:rsidR="00F67E9E" w:rsidRPr="00025910" w:rsidRDefault="00F67E9E" w:rsidP="00F67E9E">
      <w:pPr>
        <w:pStyle w:val="AppendixText3"/>
      </w:pPr>
      <w:r w:rsidRPr="00025910">
        <w:t>a registered pension scheme for the purposes of Part 4 of the Finance Act 2004;</w:t>
      </w:r>
    </w:p>
    <w:p w14:paraId="5DBE7AC8" w14:textId="77777777" w:rsidR="00F67E9E" w:rsidRPr="00025910" w:rsidRDefault="00F67E9E" w:rsidP="00F67E9E">
      <w:pPr>
        <w:pStyle w:val="AppendixText3"/>
      </w:pPr>
      <w:r w:rsidRPr="00025910">
        <w:t>capable of receiving a bulk transfer payment from the relevant Statutory Scheme (where instructed to do so by the Authority);</w:t>
      </w:r>
    </w:p>
    <w:p w14:paraId="6F794456" w14:textId="77777777" w:rsidR="00F67E9E" w:rsidRPr="00025910" w:rsidRDefault="00F67E9E" w:rsidP="00F67E9E">
      <w:pPr>
        <w:pStyle w:val="AppendixText3"/>
      </w:pPr>
      <w:r w:rsidRPr="00025910">
        <w:t>capable of paying a bulk transfer payment to the Replacement Supplier</w:t>
      </w:r>
      <w:r>
        <w:t>’</w:t>
      </w:r>
      <w:r w:rsidRPr="00025910">
        <w:t>s Broadly Comparable pension scheme (or the relevant Statutory Scheme if applicable) (unless otherwise instructed by the Authority); and</w:t>
      </w:r>
    </w:p>
    <w:p w14:paraId="1A3F96D9" w14:textId="77777777" w:rsidR="00F67E9E" w:rsidRPr="00025910" w:rsidRDefault="00F67E9E" w:rsidP="00F67E9E">
      <w:pPr>
        <w:pStyle w:val="AppendixText3"/>
      </w:pPr>
      <w:r w:rsidRPr="00025910">
        <w:t>maintained until such bulk transfer payments have been received or paid (unless otherwise instructed by the Authority).</w:t>
      </w:r>
    </w:p>
    <w:p w14:paraId="148AC333" w14:textId="374298C4" w:rsidR="00F67E9E" w:rsidRPr="00025910" w:rsidRDefault="00F67E9E" w:rsidP="00F67E9E">
      <w:pPr>
        <w:pStyle w:val="AppendixText2"/>
      </w:pPr>
      <w:r w:rsidRPr="00025910">
        <w:t xml:space="preserve">Where the Supplier has provided a Broadly Comparable pension scheme pursuant to the provisions of this </w:t>
      </w:r>
      <w:bookmarkStart w:id="2605" w:name="_9kMHG5YVtCIBABGiLhkhy7sHSMlR0KhkSdBP9zB"/>
      <w:r w:rsidRPr="00025910">
        <w:t xml:space="preserve">Paragraph </w:t>
      </w:r>
      <w:r w:rsidRPr="00025910">
        <w:fldChar w:fldCharType="begin"/>
      </w:r>
      <w:r w:rsidRPr="00025910">
        <w:instrText xml:space="preserve"> REF _Ref_ContractCompanion_9kb9Us458 \w \n \h \t \* MERGEFORMAT </w:instrText>
      </w:r>
      <w:r w:rsidRPr="00025910">
        <w:fldChar w:fldCharType="separate"/>
      </w:r>
      <w:bookmarkStart w:id="2606" w:name="_9kMJI5YVt4BD9HLfLhkhy7sHSMlR0KhkSdBP9zB"/>
      <w:r w:rsidR="00302D39">
        <w:t>11</w:t>
      </w:r>
      <w:bookmarkEnd w:id="2606"/>
      <w:r w:rsidRPr="00025910">
        <w:fldChar w:fldCharType="end"/>
      </w:r>
      <w:bookmarkEnd w:id="2605"/>
      <w:r w:rsidRPr="00025910">
        <w:t>, the Supplier shall (and shall procure that any of its Sub-contractors shall):</w:t>
      </w:r>
    </w:p>
    <w:p w14:paraId="2A6F3021" w14:textId="77777777" w:rsidR="00F67E9E" w:rsidRPr="00620079" w:rsidRDefault="00F67E9E" w:rsidP="00F67E9E">
      <w:pPr>
        <w:pStyle w:val="AppendixText3"/>
      </w:pPr>
      <w:r w:rsidRPr="00025910">
        <w:t>supply to the Authority</w:t>
      </w:r>
      <w:r>
        <w:t xml:space="preserve"> </w:t>
      </w:r>
      <w:r w:rsidRPr="00025910">
        <w:t>details of its (or its Sub-contractor</w:t>
      </w:r>
      <w:r>
        <w:t>’</w:t>
      </w:r>
      <w:r w:rsidRPr="00025910">
        <w:t xml:space="preserve">s) Broadly Comparable pension scheme and provide a full copy of the valid certificate of broad comparability (which remains valid as at the date of cessation of participation in the Statutory Scheme) covering all relevant Fair Deal Eligible Employees, as soon as it is able to do so before the cessation of participation in the Statutory Scheme (where possible) and in any event no later than seven (7) days after receipt of the </w:t>
      </w:r>
      <w:r w:rsidRPr="00620079">
        <w:t>certificate;</w:t>
      </w:r>
    </w:p>
    <w:p w14:paraId="06962919" w14:textId="77777777" w:rsidR="00F67E9E" w:rsidRPr="00025910" w:rsidRDefault="00F67E9E" w:rsidP="00F67E9E">
      <w:pPr>
        <w:pStyle w:val="AppendixText3"/>
      </w:pPr>
      <w:r w:rsidRPr="00620079">
        <w:t>be fully responsible for all costs, contributions, payments and other amounts relating to the setting up, certification of, ongoing participation in and/or withdrawal and exit from the Broadly Comparable pension scheme, including for the avoida</w:t>
      </w:r>
      <w:r w:rsidRPr="00025910">
        <w:t xml:space="preserve">nce of doubt any debts arising under </w:t>
      </w:r>
      <w:bookmarkStart w:id="2607" w:name="_9kMHG5YVt49B9FJ5teu1x3NTBBVXbS4ADzid8NJ"/>
      <w:r w:rsidRPr="00025910">
        <w:t>section 75 or 75A of the Pensions Act 1995</w:t>
      </w:r>
      <w:bookmarkEnd w:id="2607"/>
      <w:r w:rsidRPr="00025910">
        <w:t>; and</w:t>
      </w:r>
    </w:p>
    <w:p w14:paraId="49B36605" w14:textId="77777777" w:rsidR="00F67E9E" w:rsidRPr="00025910" w:rsidRDefault="00F67E9E" w:rsidP="00F67E9E">
      <w:pPr>
        <w:pStyle w:val="AppendixText3"/>
      </w:pPr>
      <w:r w:rsidRPr="00025910">
        <w:t>where required to do so by the Authority, instruct any such Broadly Comparable pension scheme</w:t>
      </w:r>
      <w:r>
        <w:t>’</w:t>
      </w:r>
      <w:r w:rsidRPr="00025910">
        <w:t>s Actuary to provide all such co-operation and assistance in agreeing a bulk transfer process with the Actuary to the relevant Statutory Scheme and to provide all such co-operation and assistance with any other Actuary appointed by the Authority (where applicable). The Supplier must ensure that day for day and/or pound for pound (as applicable) (or actuarially equivalent where there are benefit differences between the two schemes) credits in the Broadly Comparable pension scheme are provided in respect of any Fair Deal Employee who consents to such a transfer from the Statutory Scheme and the Supplier shall be fully responsible for any costs of providing those credits in excess of the bulk transfer payment received by the Broadly Comparable pension scheme; and</w:t>
      </w:r>
    </w:p>
    <w:p w14:paraId="025DA1AA" w14:textId="30ECC0BC" w:rsidR="00F67E9E" w:rsidRPr="00025910" w:rsidRDefault="00F67E9E" w:rsidP="00F67E9E">
      <w:pPr>
        <w:pStyle w:val="AppendixText3"/>
      </w:pPr>
      <w:r w:rsidRPr="00025910">
        <w:t xml:space="preserve">provide a replacement Broadly Comparable pension scheme in accordance with this </w:t>
      </w:r>
      <w:bookmarkStart w:id="2608" w:name="_9kMIH5YVtCIBABGiLhkhy7sHSMlR0KhkSdBP9zB"/>
      <w:r w:rsidRPr="00025910">
        <w:t xml:space="preserve">Paragraph </w:t>
      </w:r>
      <w:r w:rsidRPr="00025910">
        <w:fldChar w:fldCharType="begin"/>
      </w:r>
      <w:r w:rsidRPr="00025910">
        <w:instrText xml:space="preserve"> REF _Ref_ContractCompanion_9kb9Us458 \w \n \h \t \* MERGEFORMAT </w:instrText>
      </w:r>
      <w:r w:rsidRPr="00025910">
        <w:fldChar w:fldCharType="separate"/>
      </w:r>
      <w:bookmarkStart w:id="2609" w:name="_9kMKJ5YVt4BD9HLfLhkhy7sHSMlR0KhkSdBP9zB"/>
      <w:r w:rsidR="00302D39">
        <w:t>11</w:t>
      </w:r>
      <w:bookmarkEnd w:id="2609"/>
      <w:r w:rsidRPr="00025910">
        <w:fldChar w:fldCharType="end"/>
      </w:r>
      <w:bookmarkEnd w:id="2608"/>
      <w:r w:rsidRPr="00025910">
        <w:t xml:space="preserve"> with immediate effect for those Fair Deal Eligible Employees who are still employed by the Supplier and/or relevant Sub-contractor and are still eligible for New Fair Deal protection in the event that the Supplier and/or Sub-contractor</w:t>
      </w:r>
      <w:r>
        <w:t>’</w:t>
      </w:r>
      <w:r w:rsidRPr="00025910">
        <w:t>s Broadly Comparable pension scheme is closed to future accrual and/or terminated. The relevant Fair Deal Eligible Employees must be given the option to transfer their accrued benefits from the previous Broadly Comparable pension scheme to the new Broadly Comparable pension scheme on day for day and/or pound for pound terms (as applicable) (or actuarially equivalent where there are benefit differences between the two schemes).</w:t>
      </w:r>
    </w:p>
    <w:p w14:paraId="5D0FB40C" w14:textId="7F780CD0" w:rsidR="00F67E9E" w:rsidRPr="00025910" w:rsidRDefault="00F67E9E" w:rsidP="00F67E9E">
      <w:pPr>
        <w:pStyle w:val="AppendixText2"/>
      </w:pPr>
      <w:r w:rsidRPr="00025910">
        <w:t xml:space="preserve">Where the Supplier has provided a Broadly Comparable pension scheme pursuant to the provisions of this </w:t>
      </w:r>
      <w:bookmarkStart w:id="2610" w:name="_9kMJI5YVtCIBABGiLhkhy7sHSMlR0KhkSdBP9zB"/>
      <w:r w:rsidRPr="00025910">
        <w:t xml:space="preserve">Paragraph </w:t>
      </w:r>
      <w:r w:rsidRPr="00025910">
        <w:fldChar w:fldCharType="begin"/>
      </w:r>
      <w:r w:rsidRPr="00025910">
        <w:instrText xml:space="preserve"> REF _Ref_ContractCompanion_9kb9Us458 \w \n \h \t \* MERGEFORMAT </w:instrText>
      </w:r>
      <w:r w:rsidRPr="00025910">
        <w:fldChar w:fldCharType="separate"/>
      </w:r>
      <w:bookmarkStart w:id="2611" w:name="_9kMLK5YVt4BD9HLfLhkhy7sHSMlR0KhkSdBP9zB"/>
      <w:r w:rsidR="00302D39">
        <w:t>11</w:t>
      </w:r>
      <w:bookmarkEnd w:id="2611"/>
      <w:r w:rsidRPr="00025910">
        <w:fldChar w:fldCharType="end"/>
      </w:r>
      <w:bookmarkEnd w:id="2610"/>
      <w:r w:rsidRPr="00025910">
        <w:t>, the Supplier shall (and shall procure that any of its Sub-contractors shall) prior to the termination of this Contract</w:t>
      </w:r>
      <w:r w:rsidRPr="00025910" w:rsidDel="000D1FBB">
        <w:t xml:space="preserve"> </w:t>
      </w:r>
      <w:r w:rsidRPr="00025910">
        <w:t>allow and make all necessary arrangements to effect, in respect of any Fair Deal Eligible Employee that remains eligible for New Fair Deal protection, following a Service Transfer, the bulk transfer of past service from any such Broadly Comparable pension scheme into the Replacement Supplier</w:t>
      </w:r>
      <w:r>
        <w:t>’</w:t>
      </w:r>
      <w:r w:rsidRPr="00025910">
        <w:t>s Broadly Comparable pension scheme (or relevant Statutory Scheme if applicable). The bulk transfer terms provided shall be sufficient to secure day for day and/or pound for pound credits (as applicable) (or actuarially equivalent where there are benefit differences between the two schemes) in the Replacement Supplier</w:t>
      </w:r>
      <w:r>
        <w:t>’</w:t>
      </w:r>
      <w:r w:rsidRPr="00025910">
        <w:t>s Broadly Comparable pension scheme (or relevant Statutory Scheme if applicable). For the avoidance of doubt, should the amount offered by the Broadly Comparable pension scheme be less than the amount required by the Replacement Supplier</w:t>
      </w:r>
      <w:r>
        <w:t>’</w:t>
      </w:r>
      <w:r w:rsidRPr="00025910">
        <w:t>s Broadly Comparable pension scheme (or the relevant Statutory Scheme if applicable) to fund the required credits (</w:t>
      </w:r>
      <w:r>
        <w:t>“</w:t>
      </w:r>
      <w:r w:rsidRPr="00315AAE">
        <w:rPr>
          <w:rStyle w:val="StdBodyTextBoldChar"/>
          <w:rFonts w:eastAsia="Arial" w:cs="Arial"/>
          <w:b w:val="0"/>
          <w:bCs/>
        </w:rPr>
        <w:t>the</w:t>
      </w:r>
      <w:r w:rsidRPr="00025910">
        <w:rPr>
          <w:rStyle w:val="StdBodyTextBoldChar"/>
          <w:rFonts w:eastAsia="Arial" w:cs="Arial"/>
        </w:rPr>
        <w:t xml:space="preserve"> Shortfall</w:t>
      </w:r>
      <w:r>
        <w:t>”</w:t>
      </w:r>
      <w:r w:rsidRPr="00025910">
        <w:t>), the Supplier or the Sub-contractor (as agreed between them) must pay the Replacement Supplier</w:t>
      </w:r>
      <w:r>
        <w:t>’</w:t>
      </w:r>
      <w:r w:rsidRPr="00025910">
        <w:t xml:space="preserve">s Broadly </w:t>
      </w:r>
      <w:r w:rsidRPr="005E6515">
        <w:t>Comparable</w:t>
      </w:r>
      <w:r w:rsidRPr="00025910">
        <w:t xml:space="preserve"> pension scheme (or relevant Statutory Scheme if applicable) the Shortfall as required, provided that in the absence of any agreement between the Supplier and any Sub-contractor, the Shortfall shall be paid by the Supplier. The Supplier shall indemnify the Authority or the Replacement Supplier</w:t>
      </w:r>
      <w:r>
        <w:t>’</w:t>
      </w:r>
      <w:r w:rsidRPr="00025910">
        <w:t xml:space="preserve">s Broadly Comparable pension scheme (or the relevant Statutory Scheme if applicable) (as the Authority directs) for any failure to pay the Shortfall under this Paragraph. </w:t>
      </w:r>
    </w:p>
    <w:p w14:paraId="3E7B2088" w14:textId="77777777" w:rsidR="00F67E9E" w:rsidRPr="00C542C5" w:rsidRDefault="00F67E9E" w:rsidP="00F67E9E">
      <w:pPr>
        <w:pStyle w:val="AppendixText1"/>
        <w:numPr>
          <w:ilvl w:val="0"/>
          <w:numId w:val="78"/>
        </w:numPr>
        <w:rPr>
          <w:color w:val="1F497D"/>
        </w:rPr>
      </w:pPr>
      <w:r w:rsidRPr="00C542C5">
        <w:rPr>
          <w:color w:val="1F497D"/>
        </w:rPr>
        <w:t>Right of Set-Off</w:t>
      </w:r>
    </w:p>
    <w:p w14:paraId="149BC8AB" w14:textId="77777777" w:rsidR="00F67E9E" w:rsidRPr="00025910" w:rsidRDefault="00F67E9E" w:rsidP="00F67E9E">
      <w:pPr>
        <w:pStyle w:val="AppendixText2"/>
      </w:pPr>
      <w:bookmarkStart w:id="2612" w:name="_9kR3WTrAGA69ECBCeSkEPF3zA58PP9sx96wBGwA"/>
      <w:bookmarkStart w:id="2613" w:name="_Ref_ContractCompanion_9kb9Ut258"/>
      <w:r w:rsidRPr="00025910">
        <w:t>The Authority shall have a right to set off against any payments due to the Supplier under this Contract</w:t>
      </w:r>
      <w:r w:rsidRPr="00025910" w:rsidDel="000D1FBB">
        <w:t xml:space="preserve"> </w:t>
      </w:r>
      <w:r w:rsidRPr="00025910">
        <w:t>an amount equal to:</w:t>
      </w:r>
      <w:bookmarkEnd w:id="2612"/>
      <w:r w:rsidRPr="00025910">
        <w:t xml:space="preserve"> </w:t>
      </w:r>
      <w:bookmarkEnd w:id="2613"/>
    </w:p>
    <w:p w14:paraId="376DF1A2" w14:textId="77777777" w:rsidR="00F67E9E" w:rsidRPr="00025910" w:rsidRDefault="00F67E9E" w:rsidP="00F67E9E">
      <w:pPr>
        <w:pStyle w:val="AppendixText3"/>
      </w:pPr>
      <w:r w:rsidRPr="00025910">
        <w:t>any unpaid employer</w:t>
      </w:r>
      <w:r>
        <w:t>’</w:t>
      </w:r>
      <w:r w:rsidRPr="00025910">
        <w:t>s contributions or employee</w:t>
      </w:r>
      <w:r>
        <w:t>’</w:t>
      </w:r>
      <w:r w:rsidRPr="00025910">
        <w:t>s contributions or any other financial obligations under the CSPS or any CSPS Admission Agreement in respect of the CSPS Eligible Employees whether due from the Supplier or from any relevant Sub-contractor or due from any third party under any indemnity, bond or guarantee;</w:t>
      </w:r>
    </w:p>
    <w:p w14:paraId="0FDB9F75" w14:textId="77777777" w:rsidR="00F67E9E" w:rsidRPr="00025910" w:rsidRDefault="00F67E9E" w:rsidP="00F67E9E">
      <w:pPr>
        <w:pStyle w:val="AppendixText3"/>
      </w:pPr>
      <w:r w:rsidRPr="00025910">
        <w:t>any unpaid employer</w:t>
      </w:r>
      <w:r>
        <w:t>’</w:t>
      </w:r>
      <w:r w:rsidRPr="00025910">
        <w:t>s contributions or employee</w:t>
      </w:r>
      <w:r>
        <w:t>’</w:t>
      </w:r>
      <w:r w:rsidRPr="00025910">
        <w:t>s contributions or any other financial obligations under the NHSPS or any Direction Letter/Determination in respect of the NHSPS Eligible Employees whether due from the Supplier or from any relevant Sub-contractor or due from any third party under any indemnity, bond or guarantee; or</w:t>
      </w:r>
    </w:p>
    <w:p w14:paraId="7781098B" w14:textId="77777777" w:rsidR="00F67E9E" w:rsidRPr="00025910" w:rsidRDefault="00F67E9E" w:rsidP="00F67E9E">
      <w:pPr>
        <w:pStyle w:val="AppendixText3"/>
      </w:pPr>
      <w:r w:rsidRPr="00025910">
        <w:t>any unpaid employer</w:t>
      </w:r>
      <w:r>
        <w:t>’</w:t>
      </w:r>
      <w:r w:rsidRPr="00025910">
        <w:t>s contributions or employee</w:t>
      </w:r>
      <w:r>
        <w:t>’</w:t>
      </w:r>
      <w:r w:rsidRPr="00025910">
        <w:t>s contributions or any other financial obligations under the LGPS or any LGPS Admission Agreement in respect of the LGPS Eligible Employees whether due from the Supplier or from any relevant Sub-contractor or due from any third party under any indemnity, bond or guarantee;</w:t>
      </w:r>
    </w:p>
    <w:p w14:paraId="2C58029F" w14:textId="77777777" w:rsidR="00F67E9E" w:rsidRPr="00025910" w:rsidRDefault="00F67E9E" w:rsidP="00F67E9E">
      <w:pPr>
        <w:pStyle w:val="StdBodyText2"/>
        <w:rPr>
          <w:rFonts w:cs="Arial"/>
        </w:rPr>
      </w:pPr>
      <w:r w:rsidRPr="00025910">
        <w:rPr>
          <w:rFonts w:cs="Arial"/>
        </w:rPr>
        <w:t>and shall pay such set off amount to the relevant Statutory Scheme.</w:t>
      </w:r>
    </w:p>
    <w:p w14:paraId="4769619B" w14:textId="3022F9A4" w:rsidR="00F67E9E" w:rsidRPr="00025910" w:rsidRDefault="00F67E9E" w:rsidP="00F67E9E">
      <w:pPr>
        <w:pStyle w:val="AppendixText2"/>
      </w:pPr>
      <w:r w:rsidRPr="00025910">
        <w:t>The Authority shall also have a right to set off against any payments due to the Supplier</w:t>
      </w:r>
      <w:r>
        <w:t xml:space="preserve"> </w:t>
      </w:r>
      <w:r w:rsidRPr="00025910">
        <w:t>under this Contract</w:t>
      </w:r>
      <w:r w:rsidRPr="00025910" w:rsidDel="000D1FBB">
        <w:t xml:space="preserve"> </w:t>
      </w:r>
      <w:r w:rsidRPr="00025910">
        <w:t xml:space="preserve">all reasonable costs and expenses incurred by the Authority as result of </w:t>
      </w:r>
      <w:bookmarkStart w:id="2614" w:name="_9kMHG5YVtCIC8BGEDEgUmGRH51C7ARRBuzB8yDI"/>
      <w:r w:rsidRPr="00025910">
        <w:t xml:space="preserve">Paragraphs </w:t>
      </w:r>
      <w:r w:rsidRPr="00025910">
        <w:fldChar w:fldCharType="begin"/>
      </w:r>
      <w:r w:rsidRPr="00025910">
        <w:instrText xml:space="preserve"> REF _Ref_ContractCompanion_9kb9Ut258 \n \h \t \* MERGEFORMAT </w:instrText>
      </w:r>
      <w:r w:rsidRPr="00025910">
        <w:fldChar w:fldCharType="separate"/>
      </w:r>
      <w:r w:rsidR="00302D39">
        <w:t>12.1</w:t>
      </w:r>
      <w:r w:rsidRPr="00025910">
        <w:fldChar w:fldCharType="end"/>
      </w:r>
      <w:bookmarkEnd w:id="2614"/>
      <w:r w:rsidRPr="00025910">
        <w:t xml:space="preserve"> above.</w:t>
      </w:r>
    </w:p>
    <w:p w14:paraId="30D25AF7" w14:textId="77777777" w:rsidR="00F67E9E" w:rsidRDefault="00F67E9E" w:rsidP="00F67E9E">
      <w:pPr>
        <w:rPr>
          <w:rFonts w:eastAsia="Times New Roman" w:cs="Arial"/>
          <w:szCs w:val="24"/>
          <w:lang w:eastAsia="en-GB"/>
        </w:rPr>
      </w:pPr>
    </w:p>
    <w:p w14:paraId="10F87F8A" w14:textId="77777777" w:rsidR="00F67E9E" w:rsidRDefault="00F67E9E" w:rsidP="00F67E9E">
      <w:pPr>
        <w:pStyle w:val="Heading2"/>
        <w:pageBreakBefore/>
      </w:pPr>
      <w:bookmarkStart w:id="2615" w:name="_Ref41979560"/>
      <w:bookmarkStart w:id="2616" w:name="_Toc141711989"/>
      <w:r w:rsidRPr="00025910">
        <w:t xml:space="preserve">Annex </w:t>
      </w:r>
      <w:bookmarkStart w:id="2617" w:name="ANNEXD1_SCHEDULE28"/>
      <w:r w:rsidRPr="00025910">
        <w:t>D1</w:t>
      </w:r>
      <w:bookmarkEnd w:id="2617"/>
      <w:r w:rsidRPr="00025910">
        <w:t xml:space="preserve">: </w:t>
      </w:r>
      <w:bookmarkStart w:id="2618" w:name="ANNEXD1HEADING_SCHEDULE28"/>
      <w:r w:rsidRPr="00025910">
        <w:t>CSPS</w:t>
      </w:r>
      <w:bookmarkEnd w:id="2615"/>
      <w:bookmarkEnd w:id="2616"/>
      <w:bookmarkEnd w:id="2618"/>
    </w:p>
    <w:p w14:paraId="28418163" w14:textId="77777777" w:rsidR="00F67E9E" w:rsidRPr="00025910" w:rsidRDefault="00F67E9E" w:rsidP="00F67E9E">
      <w:pPr>
        <w:pStyle w:val="AppendixText1"/>
        <w:numPr>
          <w:ilvl w:val="0"/>
          <w:numId w:val="79"/>
        </w:numPr>
      </w:pPr>
      <w:r w:rsidRPr="00620079">
        <w:t>Definitions</w:t>
      </w:r>
    </w:p>
    <w:p w14:paraId="740D8BE7" w14:textId="39D619C1" w:rsidR="00F67E9E" w:rsidRPr="00025910" w:rsidRDefault="00F67E9E" w:rsidP="00F67E9E">
      <w:pPr>
        <w:pStyle w:val="AppendixText2"/>
      </w:pPr>
      <w:r w:rsidRPr="00025910">
        <w:t xml:space="preserve">In this Annex </w:t>
      </w:r>
      <w:r w:rsidRPr="00025910">
        <w:fldChar w:fldCharType="begin"/>
      </w:r>
      <w:r w:rsidRPr="00025910">
        <w:instrText xml:space="preserve"> REF ANNEXD1_SCHEDULE28 \h </w:instrText>
      </w:r>
      <w:r>
        <w:instrText xml:space="preserve"> \* MERGEFORMAT </w:instrText>
      </w:r>
      <w:r w:rsidRPr="00025910">
        <w:fldChar w:fldCharType="separate"/>
      </w:r>
      <w:r w:rsidR="00302D39" w:rsidRPr="00025910">
        <w:t>D1</w:t>
      </w:r>
      <w:r w:rsidRPr="00025910">
        <w:fldChar w:fldCharType="end"/>
      </w:r>
      <w:r w:rsidRPr="00025910">
        <w:t xml:space="preserve">: </w:t>
      </w:r>
      <w:r w:rsidRPr="00025910">
        <w:fldChar w:fldCharType="begin"/>
      </w:r>
      <w:r w:rsidRPr="00025910">
        <w:instrText xml:space="preserve"> REF ANNEXD1HEADING_SCHEDULE28 \h </w:instrText>
      </w:r>
      <w:r>
        <w:instrText xml:space="preserve"> \* MERGEFORMAT </w:instrText>
      </w:r>
      <w:r w:rsidRPr="00025910">
        <w:fldChar w:fldCharType="separate"/>
      </w:r>
      <w:r w:rsidR="00302D39" w:rsidRPr="00025910">
        <w:t>CSPS</w:t>
      </w:r>
      <w:r w:rsidRPr="00025910">
        <w:fldChar w:fldCharType="end"/>
      </w:r>
      <w:r w:rsidRPr="00025910">
        <w:t xml:space="preserve"> to </w:t>
      </w:r>
      <w:bookmarkStart w:id="2619" w:name="_9kMHG5YVt4DEFKEZGp9W"/>
      <w:bookmarkEnd w:id="2619"/>
      <w:r w:rsidRPr="002E7013">
        <w:rPr>
          <w:rFonts w:eastAsia="Arial"/>
          <w:color w:val="000000"/>
        </w:rPr>
        <w:fldChar w:fldCharType="begin"/>
      </w:r>
      <w:r w:rsidRPr="002E7013">
        <w:rPr>
          <w:rFonts w:eastAsia="Arial"/>
          <w:color w:val="000000"/>
        </w:rPr>
        <w:instrText xml:space="preserve"> REF Sch28PartD \h  \* MERGEFORMAT </w:instrText>
      </w:r>
      <w:r w:rsidRPr="002E7013">
        <w:rPr>
          <w:rFonts w:eastAsia="Arial"/>
          <w:color w:val="000000"/>
        </w:rPr>
      </w:r>
      <w:r w:rsidRPr="002E7013">
        <w:rPr>
          <w:rFonts w:eastAsia="Arial"/>
          <w:color w:val="000000"/>
        </w:rPr>
        <w:fldChar w:fldCharType="separate"/>
      </w:r>
      <w:r w:rsidR="00302D39" w:rsidRPr="00302D39">
        <w:rPr>
          <w:rFonts w:eastAsia="Calibri"/>
        </w:rPr>
        <w:t>Part D</w:t>
      </w:r>
      <w:r w:rsidRPr="002E7013">
        <w:rPr>
          <w:rFonts w:eastAsia="Arial"/>
          <w:color w:val="000000"/>
        </w:rPr>
        <w:fldChar w:fldCharType="end"/>
      </w:r>
      <w:r w:rsidRPr="00025910">
        <w:t xml:space="preserve">: </w:t>
      </w:r>
      <w:r>
        <w:fldChar w:fldCharType="begin"/>
      </w:r>
      <w:r>
        <w:instrText xml:space="preserve"> REF PartDSchedule28Heading \h </w:instrText>
      </w:r>
      <w:r>
        <w:fldChar w:fldCharType="separate"/>
      </w:r>
      <w:r w:rsidR="00302D39" w:rsidRPr="00025910">
        <w:t>Pensions</w:t>
      </w:r>
      <w:r>
        <w:fldChar w:fldCharType="end"/>
      </w:r>
      <w:r w:rsidRPr="00025910">
        <w:t xml:space="preserve">, the following words have the following </w:t>
      </w:r>
      <w:r w:rsidRPr="00620079">
        <w:t>meanings</w:t>
      </w:r>
      <w:r w:rsidRPr="00025910">
        <w:t>:</w:t>
      </w:r>
    </w:p>
    <w:tbl>
      <w:tblPr>
        <w:tblStyle w:val="MSAdefinitions"/>
        <w:tblW w:w="9630" w:type="dxa"/>
        <w:tblLook w:val="04A0" w:firstRow="1" w:lastRow="0" w:firstColumn="1" w:lastColumn="0" w:noHBand="0" w:noVBand="1"/>
      </w:tblPr>
      <w:tblGrid>
        <w:gridCol w:w="2835"/>
        <w:gridCol w:w="6795"/>
      </w:tblGrid>
      <w:tr w:rsidR="00F67E9E" w:rsidRPr="00025910" w14:paraId="3EADE8EF" w14:textId="77777777" w:rsidTr="007F74AA">
        <w:tc>
          <w:tcPr>
            <w:tcW w:w="2835" w:type="dxa"/>
          </w:tcPr>
          <w:p w14:paraId="46BD0E0F" w14:textId="77777777" w:rsidR="00F67E9E" w:rsidRPr="00025910" w:rsidRDefault="00F67E9E" w:rsidP="007F74AA">
            <w:pPr>
              <w:pStyle w:val="StdBodyTextBold"/>
              <w:rPr>
                <w:rFonts w:cs="Arial"/>
              </w:rPr>
            </w:pPr>
            <w:r>
              <w:rPr>
                <w:rFonts w:cs="Arial"/>
              </w:rPr>
              <w:t>“</w:t>
            </w:r>
            <w:r w:rsidRPr="00025910">
              <w:rPr>
                <w:rFonts w:cs="Arial"/>
              </w:rPr>
              <w:t>CSPS Admission Agreement</w:t>
            </w:r>
            <w:r>
              <w:rPr>
                <w:rFonts w:cs="Arial"/>
              </w:rPr>
              <w:t>”</w:t>
            </w:r>
          </w:p>
        </w:tc>
        <w:tc>
          <w:tcPr>
            <w:tcW w:w="6795" w:type="dxa"/>
          </w:tcPr>
          <w:p w14:paraId="5DD13A14" w14:textId="77777777" w:rsidR="00F67E9E" w:rsidRPr="00025910" w:rsidRDefault="00F67E9E" w:rsidP="007F74AA">
            <w:pPr>
              <w:pStyle w:val="StdBodyText"/>
              <w:rPr>
                <w:rFonts w:cs="Arial"/>
              </w:rPr>
            </w:pPr>
            <w:r w:rsidRPr="00025910">
              <w:rPr>
                <w:rFonts w:cs="Arial"/>
              </w:rPr>
              <w:t>an admission agreement in the form available on the Civil Service Pensions website immediately prior to the Relevant Transfer Date to be entered into for the CSPS in respect of the Services;</w:t>
            </w:r>
          </w:p>
        </w:tc>
      </w:tr>
      <w:tr w:rsidR="00F67E9E" w:rsidRPr="00025910" w14:paraId="1ADBD540" w14:textId="77777777" w:rsidTr="007F74AA">
        <w:tc>
          <w:tcPr>
            <w:tcW w:w="2835" w:type="dxa"/>
          </w:tcPr>
          <w:p w14:paraId="30CDE03B" w14:textId="77777777" w:rsidR="00F67E9E" w:rsidRPr="00025910" w:rsidRDefault="00F67E9E" w:rsidP="007F74AA">
            <w:pPr>
              <w:pStyle w:val="StdBodyTextBold"/>
              <w:rPr>
                <w:rFonts w:cs="Arial"/>
              </w:rPr>
            </w:pPr>
            <w:r>
              <w:rPr>
                <w:rFonts w:cs="Arial"/>
              </w:rPr>
              <w:t>“</w:t>
            </w:r>
            <w:r w:rsidRPr="00025910">
              <w:rPr>
                <w:rFonts w:cs="Arial"/>
              </w:rPr>
              <w:t>CSPS Eligible Employee</w:t>
            </w:r>
            <w:r>
              <w:rPr>
                <w:rFonts w:cs="Arial"/>
              </w:rPr>
              <w:t>”</w:t>
            </w:r>
          </w:p>
        </w:tc>
        <w:tc>
          <w:tcPr>
            <w:tcW w:w="6795" w:type="dxa"/>
          </w:tcPr>
          <w:p w14:paraId="6520153E" w14:textId="77777777" w:rsidR="00F67E9E" w:rsidRPr="00025910" w:rsidRDefault="00F67E9E" w:rsidP="007F74AA">
            <w:pPr>
              <w:pStyle w:val="StdBodyText"/>
              <w:rPr>
                <w:rFonts w:cs="Arial"/>
              </w:rPr>
            </w:pPr>
            <w:r w:rsidRPr="00025910">
              <w:rPr>
                <w:rFonts w:cs="Arial"/>
              </w:rPr>
              <w:t>any CSPS Fair Deal Employee who at the relevant time is an active member or eligible to participate in the CSPS under a CSPS Admission Agreement;</w:t>
            </w:r>
          </w:p>
        </w:tc>
      </w:tr>
      <w:tr w:rsidR="00F67E9E" w:rsidRPr="00025910" w14:paraId="5182297A" w14:textId="77777777" w:rsidTr="007F74AA">
        <w:tc>
          <w:tcPr>
            <w:tcW w:w="2835" w:type="dxa"/>
          </w:tcPr>
          <w:p w14:paraId="7E90B709" w14:textId="77777777" w:rsidR="00F67E9E" w:rsidRPr="00025910" w:rsidRDefault="00F67E9E" w:rsidP="007F74AA">
            <w:pPr>
              <w:pStyle w:val="StdBodyTextBold"/>
              <w:rPr>
                <w:rFonts w:cs="Arial"/>
              </w:rPr>
            </w:pPr>
            <w:r>
              <w:rPr>
                <w:rFonts w:cs="Arial"/>
              </w:rPr>
              <w:t>“</w:t>
            </w:r>
            <w:r w:rsidRPr="00025910">
              <w:rPr>
                <w:rFonts w:cs="Arial"/>
              </w:rPr>
              <w:t>CSPS Fair Deal Employee</w:t>
            </w:r>
            <w:r>
              <w:rPr>
                <w:rFonts w:cs="Arial"/>
              </w:rPr>
              <w:t>”</w:t>
            </w:r>
          </w:p>
        </w:tc>
        <w:tc>
          <w:tcPr>
            <w:tcW w:w="6795" w:type="dxa"/>
          </w:tcPr>
          <w:p w14:paraId="10CADCB8" w14:textId="77777777" w:rsidR="00F67E9E" w:rsidRPr="00025910" w:rsidRDefault="00F67E9E" w:rsidP="007F74AA">
            <w:pPr>
              <w:pStyle w:val="StdBodyText"/>
              <w:rPr>
                <w:rFonts w:cs="Arial"/>
              </w:rPr>
            </w:pPr>
            <w:r w:rsidRPr="00025910">
              <w:rPr>
                <w:rFonts w:cs="Arial"/>
              </w:rPr>
              <w:t>a Fair Deal Employee who at the Relevant Transfer Date is or becomes entitled to protection in respect of the CSPS in accordance with the provisions of New Fair Deal;</w:t>
            </w:r>
          </w:p>
        </w:tc>
      </w:tr>
      <w:tr w:rsidR="00F67E9E" w:rsidRPr="00025910" w14:paraId="71714F46" w14:textId="77777777" w:rsidTr="007F74AA">
        <w:tc>
          <w:tcPr>
            <w:tcW w:w="2835" w:type="dxa"/>
          </w:tcPr>
          <w:p w14:paraId="097E14BA" w14:textId="77777777" w:rsidR="00F67E9E" w:rsidRPr="00025910" w:rsidRDefault="00F67E9E" w:rsidP="007F74AA">
            <w:pPr>
              <w:pStyle w:val="StdBodyTextBold"/>
              <w:rPr>
                <w:rFonts w:cs="Arial"/>
              </w:rPr>
            </w:pPr>
            <w:r>
              <w:rPr>
                <w:rFonts w:cs="Arial"/>
              </w:rPr>
              <w:t>“</w:t>
            </w:r>
            <w:r w:rsidRPr="00025910">
              <w:rPr>
                <w:rFonts w:cs="Arial"/>
              </w:rPr>
              <w:t>CSPS</w:t>
            </w:r>
            <w:r>
              <w:rPr>
                <w:rFonts w:cs="Arial"/>
              </w:rPr>
              <w:t>”</w:t>
            </w:r>
          </w:p>
        </w:tc>
        <w:tc>
          <w:tcPr>
            <w:tcW w:w="6795" w:type="dxa"/>
          </w:tcPr>
          <w:p w14:paraId="44EDCA29" w14:textId="77777777" w:rsidR="00F67E9E" w:rsidRPr="00025910" w:rsidRDefault="00F67E9E" w:rsidP="007F74AA">
            <w:pPr>
              <w:pStyle w:val="StdBodyText"/>
              <w:rPr>
                <w:rFonts w:cs="Arial"/>
              </w:rPr>
            </w:pPr>
            <w:r w:rsidRPr="00025910">
              <w:rPr>
                <w:rFonts w:cs="Arial"/>
              </w:rPr>
              <w:t xml:space="preserve">the </w:t>
            </w:r>
            <w:r w:rsidRPr="00F85CF1">
              <w:rPr>
                <w:rFonts w:cs="Arial"/>
              </w:rPr>
              <w:t xml:space="preserve">"Alpha" pension scheme introduced under The Public Service (Civil Servants and Others) Pensions Regulations 2014 </w:t>
            </w:r>
            <w:r w:rsidRPr="00025910">
              <w:rPr>
                <w:rFonts w:cs="Arial"/>
              </w:rPr>
              <w:t>available to Civil Servants and employees of bodies under Schedule</w:t>
            </w:r>
            <w:r>
              <w:rPr>
                <w:rFonts w:cs="Arial"/>
              </w:rPr>
              <w:t> </w:t>
            </w:r>
            <w:r w:rsidRPr="00025910">
              <w:rPr>
                <w:rFonts w:cs="Arial"/>
              </w:rPr>
              <w:t xml:space="preserve">1 of the Superannuation Act 1972 (and eligible employees of other bodies admitted to participate under a determination under </w:t>
            </w:r>
            <w:bookmarkStart w:id="2620" w:name="_9kR3WTr2797EK5rcszv1GM9x36sbm5x5xifBTL3"/>
            <w:r w:rsidRPr="00025910">
              <w:rPr>
                <w:rFonts w:cs="Arial"/>
              </w:rPr>
              <w:t>section 25 of the Public Service Pensions Act 2013</w:t>
            </w:r>
            <w:bookmarkEnd w:id="2620"/>
            <w:r w:rsidRPr="00025910">
              <w:rPr>
                <w:rFonts w:cs="Arial"/>
              </w:rPr>
              <w:t>), as governed by rules adopted by Parliament; the Partnership Pension Account and its (i) Ill health Benefits Arrangements and (ii) Death Benefits Arrangements; the Civil Service Additional Voluntary Contribution Scheme</w:t>
            </w:r>
            <w:r>
              <w:rPr>
                <w:rFonts w:cs="Arial"/>
              </w:rPr>
              <w:t>.</w:t>
            </w:r>
          </w:p>
        </w:tc>
      </w:tr>
    </w:tbl>
    <w:p w14:paraId="22FB1C1B" w14:textId="77777777" w:rsidR="00F67E9E" w:rsidRPr="00025910" w:rsidRDefault="00F67E9E" w:rsidP="00F67E9E">
      <w:pPr>
        <w:pStyle w:val="AppendixText1"/>
      </w:pPr>
      <w:r w:rsidRPr="00025910">
        <w:t xml:space="preserve">Future </w:t>
      </w:r>
      <w:r w:rsidRPr="00620079">
        <w:t>Service</w:t>
      </w:r>
      <w:r w:rsidRPr="00025910">
        <w:t xml:space="preserve"> Benefits</w:t>
      </w:r>
    </w:p>
    <w:p w14:paraId="1671EC09" w14:textId="77777777" w:rsidR="00F67E9E" w:rsidRPr="00620079" w:rsidRDefault="00F67E9E" w:rsidP="00F67E9E">
      <w:pPr>
        <w:pStyle w:val="AppendixText2"/>
      </w:pPr>
      <w:bookmarkStart w:id="2621" w:name="_9kR3WTrAGA69HGBSMlber7xhsvn8DBBgYEqPzHn"/>
      <w:bookmarkStart w:id="2622" w:name="_Ref_ContractCompanion_9kb9Ut25B"/>
      <w:r w:rsidRPr="00025910">
        <w:t>In accordance with New Fair Deal, the Supplier and/or any of its Sub-contractors to which the employment of any CSPS Fair Deal Employee compulsorily transfers as a result of either the award of this Contract</w:t>
      </w:r>
      <w:r w:rsidRPr="00025910" w:rsidDel="000D1FBB">
        <w:t xml:space="preserve"> </w:t>
      </w:r>
      <w:r w:rsidRPr="00025910">
        <w:t>or a Relevant Transfer, if not an employer which participates automatically in the CSPS, shall each secure a CSPS Admission Agreement to ensure that CSPS Fair Deal Employees or CSPS Eligible Employees as appropriate shall be either admitted into, or offered continued membership of, the relevant section of the CSPS that they currently contribute to, or were eligible to join immediately prior to the Relevant Transfer Date or became eligible to join on the Relevant Transfer Date.</w:t>
      </w:r>
      <w:bookmarkEnd w:id="2621"/>
      <w:r w:rsidRPr="00025910">
        <w:t xml:space="preserve"> The Supplier and/or any of its Sub-contractors shall procure that the CSPS Fair Deal Employees continue to accrue benefits in the CSPS in accordance with the provisions governing the relevant section of the CSPS for </w:t>
      </w:r>
      <w:r w:rsidRPr="00620079">
        <w:t xml:space="preserve">service from (and including) the Relevant Transfer Date. </w:t>
      </w:r>
      <w:bookmarkEnd w:id="2622"/>
    </w:p>
    <w:p w14:paraId="2B78DFE6" w14:textId="6FB73071" w:rsidR="00F67E9E" w:rsidRPr="00025910" w:rsidRDefault="00F67E9E" w:rsidP="00F67E9E">
      <w:pPr>
        <w:pStyle w:val="AppendixText2"/>
      </w:pPr>
      <w:bookmarkStart w:id="2623" w:name="_Ref_ContractCompanion_9kb9Ut248"/>
      <w:r w:rsidRPr="00620079">
        <w:t>If the Supplier and/or any of its Sub-contractors enters into a CSPS Admission Agreement in accordance</w:t>
      </w:r>
      <w:r w:rsidRPr="00025910">
        <w:t xml:space="preserve"> with </w:t>
      </w:r>
      <w:bookmarkStart w:id="2624" w:name="_9kMHG5YVtCIC8BJIDUOndgt9zjuxpAFDDiaGsR1"/>
      <w:r w:rsidRPr="00025910">
        <w:t xml:space="preserve">Paragraph </w:t>
      </w:r>
      <w:r w:rsidRPr="00025910">
        <w:fldChar w:fldCharType="begin"/>
      </w:r>
      <w:r w:rsidRPr="00025910">
        <w:instrText xml:space="preserve"> REF _Ref_ContractCompanion_9kb9Ut25B \n \h \t \* MERGEFORMAT </w:instrText>
      </w:r>
      <w:r w:rsidRPr="00025910">
        <w:fldChar w:fldCharType="separate"/>
      </w:r>
      <w:r w:rsidR="00302D39">
        <w:t>2.1</w:t>
      </w:r>
      <w:r w:rsidRPr="00025910">
        <w:fldChar w:fldCharType="end"/>
      </w:r>
      <w:bookmarkEnd w:id="2624"/>
      <w:r w:rsidRPr="00025910">
        <w:t xml:space="preserve"> but the CSPS Admission Agreement is terminated during the term of this Contract</w:t>
      </w:r>
      <w:r w:rsidRPr="00025910" w:rsidDel="000D1FBB">
        <w:t xml:space="preserve"> </w:t>
      </w:r>
      <w:r w:rsidRPr="00025910">
        <w:t xml:space="preserve">for any reason at a time when the Supplier or Sub-contractor still employs any CSPS Eligible Employees, the Supplier shall (and procure that its Sub-contractors shall) at no extra cost to the Authority, offer the remaining CSPS Eligible Employees membership of a pension scheme which is Broadly Comparable to the CSPS on the date those CSPS Eligible Employees ceased to participate in the CSPS in accordance with the provisions of </w:t>
      </w:r>
      <w:bookmarkStart w:id="2625" w:name="_9kR3WTr2CC7EEyknoewrqyBJ"/>
      <w:r w:rsidRPr="00025910">
        <w:t xml:space="preserve">Paragraph </w:t>
      </w:r>
      <w:r w:rsidRPr="00025910">
        <w:fldChar w:fldCharType="begin"/>
      </w:r>
      <w:r w:rsidRPr="00025910">
        <w:instrText xml:space="preserve"> REF _Ref_ContractCompanion_9kb9Ur39F \w \n \h \t \* MERGEFORMAT </w:instrText>
      </w:r>
      <w:r w:rsidRPr="00025910">
        <w:fldChar w:fldCharType="separate"/>
      </w:r>
      <w:bookmarkStart w:id="2626" w:name="_9kMML5YVt4BD9HLfLhkhy7sHSMlR0KhkSdBP9zB"/>
      <w:r w:rsidR="00302D39">
        <w:t>11</w:t>
      </w:r>
      <w:bookmarkEnd w:id="2626"/>
      <w:r w:rsidRPr="00025910">
        <w:fldChar w:fldCharType="end"/>
      </w:r>
      <w:bookmarkEnd w:id="2625"/>
      <w:r w:rsidRPr="00025910">
        <w:t xml:space="preserve"> of </w:t>
      </w:r>
      <w:r w:rsidRPr="002E7013">
        <w:rPr>
          <w:rFonts w:eastAsia="Arial"/>
          <w:color w:val="000000"/>
        </w:rPr>
        <w:fldChar w:fldCharType="begin"/>
      </w:r>
      <w:r w:rsidRPr="002E7013">
        <w:rPr>
          <w:rFonts w:eastAsia="Arial"/>
          <w:color w:val="000000"/>
        </w:rPr>
        <w:instrText xml:space="preserve"> REF Sch28PartD \h  \* MERGEFORMAT </w:instrText>
      </w:r>
      <w:r w:rsidRPr="002E7013">
        <w:rPr>
          <w:rFonts w:eastAsia="Arial"/>
          <w:color w:val="000000"/>
        </w:rPr>
      </w:r>
      <w:r w:rsidRPr="002E7013">
        <w:rPr>
          <w:rFonts w:eastAsia="Arial"/>
          <w:color w:val="000000"/>
        </w:rPr>
        <w:fldChar w:fldCharType="separate"/>
      </w:r>
      <w:r w:rsidR="00302D39" w:rsidRPr="00302D39">
        <w:rPr>
          <w:rFonts w:eastAsia="Calibri"/>
        </w:rPr>
        <w:t>Part D</w:t>
      </w:r>
      <w:r w:rsidRPr="002E7013">
        <w:rPr>
          <w:rFonts w:eastAsia="Arial"/>
          <w:color w:val="000000"/>
        </w:rPr>
        <w:fldChar w:fldCharType="end"/>
      </w:r>
      <w:r w:rsidRPr="00025910">
        <w:t>.</w:t>
      </w:r>
      <w:bookmarkEnd w:id="2623"/>
    </w:p>
    <w:p w14:paraId="57325119" w14:textId="77777777" w:rsidR="00F67E9E" w:rsidRDefault="00F67E9E" w:rsidP="00F67E9E">
      <w:pPr>
        <w:rPr>
          <w:rFonts w:eastAsia="Times New Roman" w:cs="Arial"/>
          <w:szCs w:val="24"/>
          <w:lang w:eastAsia="en-GB"/>
        </w:rPr>
      </w:pPr>
    </w:p>
    <w:p w14:paraId="405DFE0E" w14:textId="77777777" w:rsidR="00F67E9E" w:rsidRDefault="00F67E9E" w:rsidP="00F67E9E">
      <w:pPr>
        <w:pStyle w:val="Heading2"/>
        <w:pageBreakBefore/>
      </w:pPr>
      <w:bookmarkStart w:id="2627" w:name="_Ref41978730"/>
      <w:bookmarkStart w:id="2628" w:name="_Toc141711990"/>
      <w:r w:rsidRPr="00025910">
        <w:t xml:space="preserve">Annex </w:t>
      </w:r>
      <w:bookmarkStart w:id="2629" w:name="ANNEXD2_SCHEDULE28"/>
      <w:r w:rsidRPr="00025910">
        <w:t>D2</w:t>
      </w:r>
      <w:bookmarkEnd w:id="2629"/>
      <w:r w:rsidRPr="00025910">
        <w:t xml:space="preserve">: </w:t>
      </w:r>
      <w:bookmarkStart w:id="2630" w:name="ANNEXD2HEADING_SCHEDULE28"/>
      <w:r w:rsidRPr="00025910">
        <w:t>NHSPS</w:t>
      </w:r>
      <w:bookmarkEnd w:id="2627"/>
      <w:bookmarkEnd w:id="2628"/>
      <w:bookmarkEnd w:id="2630"/>
    </w:p>
    <w:p w14:paraId="70E82DFC" w14:textId="77777777" w:rsidR="00F67E9E" w:rsidRPr="00025910" w:rsidRDefault="00F67E9E" w:rsidP="00F67E9E">
      <w:pPr>
        <w:pStyle w:val="AppendixText1"/>
        <w:numPr>
          <w:ilvl w:val="0"/>
          <w:numId w:val="80"/>
        </w:numPr>
      </w:pPr>
      <w:r w:rsidRPr="00620079">
        <w:t>Definitions</w:t>
      </w:r>
    </w:p>
    <w:p w14:paraId="163900A7" w14:textId="5A49DFFF" w:rsidR="00F67E9E" w:rsidRPr="00025910" w:rsidRDefault="00F67E9E" w:rsidP="00F67E9E">
      <w:pPr>
        <w:pStyle w:val="AppendixText2"/>
      </w:pPr>
      <w:r w:rsidRPr="00025910">
        <w:t xml:space="preserve">In this Annex </w:t>
      </w:r>
      <w:r w:rsidRPr="00025910">
        <w:fldChar w:fldCharType="begin"/>
      </w:r>
      <w:r w:rsidRPr="00025910">
        <w:instrText xml:space="preserve"> REF ANNEXD2_SCHEDULE28 \h </w:instrText>
      </w:r>
      <w:r>
        <w:instrText xml:space="preserve"> \* MERGEFORMAT </w:instrText>
      </w:r>
      <w:r w:rsidRPr="00025910">
        <w:fldChar w:fldCharType="separate"/>
      </w:r>
      <w:r w:rsidR="00302D39" w:rsidRPr="00025910">
        <w:t>D2</w:t>
      </w:r>
      <w:r w:rsidRPr="00025910">
        <w:fldChar w:fldCharType="end"/>
      </w:r>
      <w:r w:rsidRPr="00025910">
        <w:t xml:space="preserve">: </w:t>
      </w:r>
      <w:r w:rsidRPr="00025910">
        <w:fldChar w:fldCharType="begin"/>
      </w:r>
      <w:r w:rsidRPr="00025910">
        <w:instrText xml:space="preserve"> REF ANNEXD2HEADING_SCHEDULE28 \h </w:instrText>
      </w:r>
      <w:r>
        <w:instrText xml:space="preserve"> \* MERGEFORMAT </w:instrText>
      </w:r>
      <w:r w:rsidRPr="00025910">
        <w:fldChar w:fldCharType="separate"/>
      </w:r>
      <w:r w:rsidR="00302D39" w:rsidRPr="00025910">
        <w:t>NHSPS</w:t>
      </w:r>
      <w:r w:rsidRPr="00025910">
        <w:fldChar w:fldCharType="end"/>
      </w:r>
      <w:r w:rsidRPr="00025910">
        <w:t xml:space="preserve"> to </w:t>
      </w:r>
      <w:bookmarkStart w:id="2631" w:name="_9kMIH5YVt4DEFKEZGp9W"/>
      <w:bookmarkEnd w:id="2631"/>
      <w:r w:rsidRPr="002E7013">
        <w:rPr>
          <w:rFonts w:eastAsia="Arial"/>
          <w:color w:val="000000"/>
        </w:rPr>
        <w:fldChar w:fldCharType="begin"/>
      </w:r>
      <w:r w:rsidRPr="002E7013">
        <w:rPr>
          <w:rFonts w:eastAsia="Arial"/>
          <w:color w:val="000000"/>
        </w:rPr>
        <w:instrText xml:space="preserve"> REF Sch28PartD \h  \* MERGEFORMAT </w:instrText>
      </w:r>
      <w:r w:rsidRPr="002E7013">
        <w:rPr>
          <w:rFonts w:eastAsia="Arial"/>
          <w:color w:val="000000"/>
        </w:rPr>
      </w:r>
      <w:r w:rsidRPr="002E7013">
        <w:rPr>
          <w:rFonts w:eastAsia="Arial"/>
          <w:color w:val="000000"/>
        </w:rPr>
        <w:fldChar w:fldCharType="separate"/>
      </w:r>
      <w:r w:rsidR="00302D39" w:rsidRPr="00302D39">
        <w:rPr>
          <w:rFonts w:eastAsia="Calibri"/>
        </w:rPr>
        <w:t>Part D</w:t>
      </w:r>
      <w:r w:rsidRPr="002E7013">
        <w:rPr>
          <w:rFonts w:eastAsia="Arial"/>
          <w:color w:val="000000"/>
        </w:rPr>
        <w:fldChar w:fldCharType="end"/>
      </w:r>
      <w:r w:rsidRPr="00025910">
        <w:t xml:space="preserve">: </w:t>
      </w:r>
      <w:r>
        <w:fldChar w:fldCharType="begin"/>
      </w:r>
      <w:r>
        <w:instrText xml:space="preserve"> REF PartDSchedule28Heading \h </w:instrText>
      </w:r>
      <w:r>
        <w:fldChar w:fldCharType="separate"/>
      </w:r>
      <w:r w:rsidR="00302D39" w:rsidRPr="00025910">
        <w:t>Pensions</w:t>
      </w:r>
      <w:r>
        <w:fldChar w:fldCharType="end"/>
      </w:r>
      <w:r w:rsidRPr="00025910">
        <w:t xml:space="preserve">, the following words have the following </w:t>
      </w:r>
      <w:r w:rsidRPr="00620079">
        <w:t>meanings</w:t>
      </w:r>
      <w:r w:rsidRPr="00025910">
        <w:t>:</w:t>
      </w:r>
    </w:p>
    <w:tbl>
      <w:tblPr>
        <w:tblStyle w:val="MSAdefinitions"/>
        <w:tblW w:w="9629" w:type="dxa"/>
        <w:tblLook w:val="04A0" w:firstRow="1" w:lastRow="0" w:firstColumn="1" w:lastColumn="0" w:noHBand="0" w:noVBand="1"/>
      </w:tblPr>
      <w:tblGrid>
        <w:gridCol w:w="2835"/>
        <w:gridCol w:w="6794"/>
      </w:tblGrid>
      <w:tr w:rsidR="00F67E9E" w:rsidRPr="00025910" w14:paraId="41374F50" w14:textId="77777777" w:rsidTr="007F74AA">
        <w:tc>
          <w:tcPr>
            <w:tcW w:w="2835" w:type="dxa"/>
          </w:tcPr>
          <w:p w14:paraId="23DAD3EC" w14:textId="77777777" w:rsidR="00F67E9E" w:rsidRPr="00025910" w:rsidRDefault="00F67E9E" w:rsidP="007F74AA">
            <w:pPr>
              <w:pStyle w:val="StdBodyTextBold"/>
              <w:rPr>
                <w:rFonts w:cs="Arial"/>
              </w:rPr>
            </w:pPr>
            <w:r>
              <w:rPr>
                <w:rFonts w:cs="Arial"/>
              </w:rPr>
              <w:t>“</w:t>
            </w:r>
            <w:r w:rsidRPr="00025910">
              <w:rPr>
                <w:rFonts w:cs="Arial"/>
              </w:rPr>
              <w:t>Direction Letter/Determination</w:t>
            </w:r>
            <w:r>
              <w:rPr>
                <w:rFonts w:cs="Arial"/>
              </w:rPr>
              <w:t>”</w:t>
            </w:r>
          </w:p>
        </w:tc>
        <w:tc>
          <w:tcPr>
            <w:tcW w:w="6794" w:type="dxa"/>
          </w:tcPr>
          <w:p w14:paraId="1D00C2A1" w14:textId="77777777" w:rsidR="00F67E9E" w:rsidRPr="00025910" w:rsidRDefault="00F67E9E" w:rsidP="007F74AA">
            <w:pPr>
              <w:pStyle w:val="StdBodyText"/>
              <w:rPr>
                <w:rFonts w:cs="Arial"/>
              </w:rPr>
            </w:pPr>
            <w:r w:rsidRPr="00025910">
              <w:rPr>
                <w:rFonts w:cs="Arial"/>
              </w:rPr>
              <w:t xml:space="preserve">an NHS Pensions Direction or Determination (as appropriate) issued by the Secretary of State in exercise of the powers conferred by </w:t>
            </w:r>
            <w:bookmarkStart w:id="2632" w:name="_9kR3WTr2797EG1rcszv1LAw25rdoI3630EMAAJF"/>
            <w:r w:rsidRPr="00025910">
              <w:rPr>
                <w:rFonts w:cs="Arial"/>
              </w:rPr>
              <w:t>section 7 of the Superannuation (Miscellaneous Provisions) Act 1967</w:t>
            </w:r>
            <w:bookmarkEnd w:id="2632"/>
            <w:r w:rsidRPr="00025910">
              <w:rPr>
                <w:rFonts w:cs="Arial"/>
              </w:rPr>
              <w:t xml:space="preserve"> or by </w:t>
            </w:r>
            <w:bookmarkStart w:id="2633" w:name="_9kMHG5YVt49B9GM7teu1x3IOBz58udo7z7zkhDV"/>
            <w:r w:rsidRPr="00025910">
              <w:rPr>
                <w:rFonts w:cs="Arial"/>
              </w:rPr>
              <w:t>section 25 of the Public Service Pensions Act 2013</w:t>
            </w:r>
            <w:bookmarkEnd w:id="2633"/>
            <w:r w:rsidRPr="00025910">
              <w:rPr>
                <w:rFonts w:cs="Arial"/>
              </w:rPr>
              <w:t xml:space="preserve"> (as appropriate) and issued to the Supplier or a Sub-contractor of the Supplier (as appropriate) relating to the terms of participation of the Supplier or Sub-contractor in the NHSPS in respect of the NHSPS Fair Deal Employees;</w:t>
            </w:r>
          </w:p>
        </w:tc>
      </w:tr>
      <w:tr w:rsidR="00F67E9E" w:rsidRPr="00025910" w14:paraId="34CBD4A8" w14:textId="77777777" w:rsidTr="007F74AA">
        <w:tc>
          <w:tcPr>
            <w:tcW w:w="2835" w:type="dxa"/>
          </w:tcPr>
          <w:p w14:paraId="01EA8C14" w14:textId="77777777" w:rsidR="00F67E9E" w:rsidRPr="00025910" w:rsidRDefault="00F67E9E" w:rsidP="007F74AA">
            <w:pPr>
              <w:pStyle w:val="StdBodyTextBold"/>
              <w:rPr>
                <w:rFonts w:cs="Arial"/>
              </w:rPr>
            </w:pPr>
            <w:r>
              <w:rPr>
                <w:rFonts w:cs="Arial"/>
              </w:rPr>
              <w:t>“</w:t>
            </w:r>
            <w:r w:rsidRPr="00025910">
              <w:rPr>
                <w:rFonts w:cs="Arial"/>
              </w:rPr>
              <w:t>NHS Broadly Comparable Employees</w:t>
            </w:r>
            <w:r>
              <w:rPr>
                <w:rFonts w:cs="Arial"/>
              </w:rPr>
              <w:t>”</w:t>
            </w:r>
          </w:p>
        </w:tc>
        <w:tc>
          <w:tcPr>
            <w:tcW w:w="6794" w:type="dxa"/>
          </w:tcPr>
          <w:p w14:paraId="1E0C90D7" w14:textId="77777777" w:rsidR="00F67E9E" w:rsidRPr="00025910" w:rsidRDefault="00F67E9E" w:rsidP="007F74AA">
            <w:pPr>
              <w:pStyle w:val="StdBodyText"/>
              <w:rPr>
                <w:rFonts w:cs="Arial"/>
              </w:rPr>
            </w:pPr>
            <w:r w:rsidRPr="00025910">
              <w:rPr>
                <w:rFonts w:cs="Arial"/>
              </w:rPr>
              <w:t>means each of the Fair Deal Employees who at a Relevant Transfer Date was a member of, or was entitled to become a member of, or but for their compulsory transfer of employment would have been entitled to be or become a member of, the NHSPS as a result of either:</w:t>
            </w:r>
          </w:p>
          <w:p w14:paraId="631D5D13" w14:textId="77777777" w:rsidR="00F67E9E" w:rsidRPr="00620079" w:rsidRDefault="00F67E9E" w:rsidP="007F74AA">
            <w:pPr>
              <w:pStyle w:val="DefinitionList"/>
              <w:numPr>
                <w:ilvl w:val="0"/>
                <w:numId w:val="217"/>
              </w:numPr>
            </w:pPr>
            <w:r w:rsidRPr="00620079">
              <w:t>their employment with the Authority, an NHS Body or other employer which participates automatically in the NHSPS; or</w:t>
            </w:r>
          </w:p>
          <w:p w14:paraId="788891FE" w14:textId="77777777" w:rsidR="00F67E9E" w:rsidRPr="00025910" w:rsidRDefault="00F67E9E" w:rsidP="00F67E9E">
            <w:pPr>
              <w:pStyle w:val="DefinitionList"/>
              <w:numPr>
                <w:ilvl w:val="0"/>
                <w:numId w:val="108"/>
              </w:numPr>
            </w:pPr>
            <w:r w:rsidRPr="00620079">
              <w:t>their employment</w:t>
            </w:r>
            <w:r w:rsidRPr="00025910">
              <w:t xml:space="preserve"> with a Former Supplier who provides access to either the NHSPS pursuant to a</w:t>
            </w:r>
            <w:r>
              <w:t xml:space="preserve"> </w:t>
            </w:r>
            <w:r w:rsidRPr="00025910">
              <w:t>Direction Letter/Determination or to a Broadly Comparable pension scheme in respect of their employment with that Former Supplier (on the basis that they are entitled to protection under New Fair Deal (or previous guidance), having been formerly in employment with the Authority, an NHS Body or other employer who participated automatically in the NHSPS in connection with the Services, prior to being employed by the Former Supplier),</w:t>
            </w:r>
          </w:p>
          <w:p w14:paraId="2A55B34A" w14:textId="77777777" w:rsidR="00F67E9E" w:rsidRPr="00025910" w:rsidRDefault="00F67E9E" w:rsidP="007F74AA">
            <w:pPr>
              <w:pStyle w:val="StdBodyText"/>
              <w:rPr>
                <w:rFonts w:cs="Arial"/>
              </w:rPr>
            </w:pPr>
            <w:r w:rsidRPr="00025910">
              <w:rPr>
                <w:rFonts w:cs="Arial"/>
              </w:rPr>
              <w:t>but who is now ineligible to participate in the NHSPS under the rules of the NHSPS and in respect of whom the Authority has agreed are to be provided with a Broadly Comparable pension scheme to provide Pension Benefits that are Broadly Comparable to those provided under the NHSPS.</w:t>
            </w:r>
          </w:p>
        </w:tc>
      </w:tr>
      <w:tr w:rsidR="00F67E9E" w:rsidRPr="00025910" w14:paraId="09A9FB53" w14:textId="77777777" w:rsidTr="007F74AA">
        <w:tc>
          <w:tcPr>
            <w:tcW w:w="2835" w:type="dxa"/>
          </w:tcPr>
          <w:p w14:paraId="0AAA0268" w14:textId="77777777" w:rsidR="00F67E9E" w:rsidRPr="00025910" w:rsidRDefault="00F67E9E" w:rsidP="007F74AA">
            <w:pPr>
              <w:pStyle w:val="StdBodyTextBold"/>
              <w:rPr>
                <w:rFonts w:cs="Arial"/>
              </w:rPr>
            </w:pPr>
            <w:r>
              <w:rPr>
                <w:rFonts w:cs="Arial"/>
              </w:rPr>
              <w:t>“</w:t>
            </w:r>
            <w:r w:rsidRPr="00025910">
              <w:rPr>
                <w:rFonts w:cs="Arial"/>
              </w:rPr>
              <w:t>NHSPS Eligible Employees</w:t>
            </w:r>
            <w:r>
              <w:rPr>
                <w:rFonts w:cs="Arial"/>
              </w:rPr>
              <w:t>”</w:t>
            </w:r>
          </w:p>
        </w:tc>
        <w:tc>
          <w:tcPr>
            <w:tcW w:w="6794" w:type="dxa"/>
          </w:tcPr>
          <w:p w14:paraId="372B0D4C" w14:textId="77777777" w:rsidR="00F67E9E" w:rsidRPr="00025910" w:rsidRDefault="00F67E9E" w:rsidP="007F74AA">
            <w:pPr>
              <w:pStyle w:val="StdBodyText"/>
              <w:rPr>
                <w:rFonts w:cs="Arial"/>
              </w:rPr>
            </w:pPr>
            <w:r w:rsidRPr="00025910">
              <w:rPr>
                <w:rFonts w:cs="Arial"/>
              </w:rPr>
              <w:t>any NHSPS Fair Deal Employee who at the relevant time is an active member or eligible to participate in the NHSPS under a Direction Letter/Determination Letter.</w:t>
            </w:r>
          </w:p>
        </w:tc>
      </w:tr>
      <w:tr w:rsidR="00F67E9E" w:rsidRPr="00025910" w14:paraId="4B69C9D7" w14:textId="77777777" w:rsidTr="007F74AA">
        <w:tc>
          <w:tcPr>
            <w:tcW w:w="2835" w:type="dxa"/>
          </w:tcPr>
          <w:p w14:paraId="591B430B" w14:textId="77777777" w:rsidR="00F67E9E" w:rsidRPr="00025910" w:rsidRDefault="00F67E9E" w:rsidP="007F74AA">
            <w:pPr>
              <w:pStyle w:val="StdBodyTextBold"/>
              <w:rPr>
                <w:rFonts w:cs="Arial"/>
              </w:rPr>
            </w:pPr>
            <w:r>
              <w:rPr>
                <w:rFonts w:cs="Arial"/>
              </w:rPr>
              <w:t>“</w:t>
            </w:r>
            <w:r w:rsidRPr="00025910">
              <w:rPr>
                <w:rFonts w:cs="Arial"/>
              </w:rPr>
              <w:t>NHSPS Fair Deal Employees</w:t>
            </w:r>
            <w:r>
              <w:rPr>
                <w:rFonts w:cs="Arial"/>
              </w:rPr>
              <w:t>”</w:t>
            </w:r>
          </w:p>
        </w:tc>
        <w:tc>
          <w:tcPr>
            <w:tcW w:w="6794" w:type="dxa"/>
          </w:tcPr>
          <w:p w14:paraId="05E7D710" w14:textId="77777777" w:rsidR="00F67E9E" w:rsidRPr="00025910" w:rsidRDefault="00F67E9E" w:rsidP="007F74AA">
            <w:pPr>
              <w:pStyle w:val="StdBodyText"/>
              <w:rPr>
                <w:rFonts w:cs="Arial"/>
              </w:rPr>
            </w:pPr>
            <w:r w:rsidRPr="00025910">
              <w:rPr>
                <w:rFonts w:cs="Arial"/>
              </w:rPr>
              <w:t>means other than the NHS Broadly Comparable Employees, each of the Fair Deal Employees who at a Relevant Transfer Date was a member of, or was entitled to become a member of, or but for their compulsory transfer of employment would have been entitled to be or become a member of, the NHSPS as a result of either:</w:t>
            </w:r>
          </w:p>
          <w:p w14:paraId="2A324107" w14:textId="77777777" w:rsidR="00F67E9E" w:rsidRPr="00620079" w:rsidRDefault="00F67E9E" w:rsidP="007F74AA">
            <w:pPr>
              <w:pStyle w:val="DefinitionList"/>
              <w:numPr>
                <w:ilvl w:val="0"/>
                <w:numId w:val="287"/>
              </w:numPr>
            </w:pPr>
            <w:r w:rsidRPr="00620079">
              <w:t>their employment with the Authority, an NHS Body or other employer which participates automatically in the NHSPS; or</w:t>
            </w:r>
          </w:p>
          <w:p w14:paraId="64F57691" w14:textId="77777777" w:rsidR="00F67E9E" w:rsidRPr="00025910" w:rsidRDefault="00F67E9E" w:rsidP="00F67E9E">
            <w:pPr>
              <w:pStyle w:val="DefinitionList"/>
              <w:numPr>
                <w:ilvl w:val="0"/>
                <w:numId w:val="108"/>
              </w:numPr>
            </w:pPr>
            <w:r w:rsidRPr="00620079">
              <w:t>their employment with a Former Supplier who provides access to either the NH</w:t>
            </w:r>
            <w:r w:rsidRPr="00025910">
              <w:t>SPS pursuant to a</w:t>
            </w:r>
            <w:r>
              <w:t xml:space="preserve"> </w:t>
            </w:r>
            <w:r w:rsidRPr="00025910">
              <w:t>Direction Letter/Determination or to a Broadly Comparable pension scheme in respect of their employment with that Former Supplier (on the basis that they are entitled to protection under New Fair Deal (or previous guidance), having been formerly in employment with the Authority, an NHS Body or other employer who participated automatically in the NHSPS in connection with the Services, prior to being employed by the Former Supplier),</w:t>
            </w:r>
          </w:p>
          <w:p w14:paraId="37D28E64" w14:textId="77777777" w:rsidR="00F67E9E" w:rsidRPr="00025910" w:rsidRDefault="00F67E9E" w:rsidP="007F74AA">
            <w:pPr>
              <w:pStyle w:val="StdBodyText"/>
              <w:rPr>
                <w:rFonts w:cs="Arial"/>
              </w:rPr>
            </w:pPr>
            <w:r w:rsidRPr="00025910">
              <w:rPr>
                <w:rFonts w:cs="Arial"/>
              </w:rPr>
              <w:t>and, in each case, being continuously engaged for more than fifty per cent (50%) of their employed time in the delivery of services (the same as or similar to the Services).</w:t>
            </w:r>
          </w:p>
          <w:p w14:paraId="23AD5385" w14:textId="77777777" w:rsidR="00F67E9E" w:rsidRPr="00025910" w:rsidRDefault="00F67E9E" w:rsidP="007F74AA">
            <w:pPr>
              <w:pStyle w:val="StdBodyText"/>
              <w:rPr>
                <w:rFonts w:cs="Arial"/>
              </w:rPr>
            </w:pPr>
            <w:r w:rsidRPr="00025910">
              <w:rPr>
                <w:rFonts w:cs="Arial"/>
              </w:rPr>
              <w:t xml:space="preserve">For the avoidance of doubt, an individual who is in or entitled to become a member of the NHSPS as a result of being engaged in the Services and being covered by an </w:t>
            </w:r>
            <w:r>
              <w:rPr>
                <w:rFonts w:cs="Arial"/>
              </w:rPr>
              <w:t>“</w:t>
            </w:r>
            <w:r w:rsidRPr="00025910">
              <w:rPr>
                <w:rFonts w:cs="Arial"/>
              </w:rPr>
              <w:t>open</w:t>
            </w:r>
            <w:r>
              <w:rPr>
                <w:rFonts w:cs="Arial"/>
              </w:rPr>
              <w:t>”</w:t>
            </w:r>
            <w:r w:rsidRPr="00025910">
              <w:rPr>
                <w:rFonts w:cs="Arial"/>
              </w:rPr>
              <w:t xml:space="preserve"> Direction Letter/Determination or other NHSPS </w:t>
            </w:r>
            <w:r>
              <w:rPr>
                <w:rFonts w:cs="Arial"/>
              </w:rPr>
              <w:t>“</w:t>
            </w:r>
            <w:r w:rsidRPr="00025910">
              <w:rPr>
                <w:rFonts w:cs="Arial"/>
              </w:rPr>
              <w:t>access</w:t>
            </w:r>
            <w:r>
              <w:rPr>
                <w:rFonts w:cs="Arial"/>
              </w:rPr>
              <w:t>”</w:t>
            </w:r>
            <w:r w:rsidRPr="00025910">
              <w:rPr>
                <w:rFonts w:cs="Arial"/>
              </w:rPr>
              <w:t xml:space="preserve"> facility but who has never been employed directly by the Authority, an NHS Body or other body which participates automatically in the NHSPS is not an NHSPS Fair Deal Employee; </w:t>
            </w:r>
          </w:p>
        </w:tc>
      </w:tr>
      <w:tr w:rsidR="00F67E9E" w:rsidRPr="00025910" w14:paraId="259A2268" w14:textId="77777777" w:rsidTr="007F74AA">
        <w:tc>
          <w:tcPr>
            <w:tcW w:w="2835" w:type="dxa"/>
          </w:tcPr>
          <w:p w14:paraId="3471239C" w14:textId="77777777" w:rsidR="00F67E9E" w:rsidRPr="00025910" w:rsidRDefault="00F67E9E" w:rsidP="007F74AA">
            <w:pPr>
              <w:pStyle w:val="StdBodyTextBold"/>
              <w:rPr>
                <w:rFonts w:cs="Arial"/>
              </w:rPr>
            </w:pPr>
            <w:r>
              <w:rPr>
                <w:rFonts w:cs="Arial"/>
              </w:rPr>
              <w:t>“</w:t>
            </w:r>
            <w:r w:rsidRPr="00025910">
              <w:rPr>
                <w:rFonts w:cs="Arial"/>
              </w:rPr>
              <w:t>NHS Body</w:t>
            </w:r>
            <w:r>
              <w:rPr>
                <w:rFonts w:cs="Arial"/>
              </w:rPr>
              <w:t>”</w:t>
            </w:r>
          </w:p>
        </w:tc>
        <w:tc>
          <w:tcPr>
            <w:tcW w:w="6794" w:type="dxa"/>
          </w:tcPr>
          <w:p w14:paraId="736FDDBA" w14:textId="77777777" w:rsidR="00F67E9E" w:rsidRPr="00025910" w:rsidRDefault="00F67E9E" w:rsidP="007F74AA">
            <w:pPr>
              <w:pStyle w:val="StdBodyText"/>
              <w:rPr>
                <w:rFonts w:cs="Arial"/>
              </w:rPr>
            </w:pPr>
            <w:r w:rsidRPr="00025910">
              <w:rPr>
                <w:rFonts w:cs="Arial"/>
              </w:rPr>
              <w:t xml:space="preserve">has the meaning given to it in </w:t>
            </w:r>
            <w:bookmarkStart w:id="2634" w:name="_9kR3WTr2797EI3rcszv1GOSAy47taR4D9F21jXx"/>
            <w:r w:rsidRPr="00025910">
              <w:rPr>
                <w:rFonts w:cs="Arial"/>
              </w:rPr>
              <w:t>section 275 of the National Health Service Act 2006</w:t>
            </w:r>
            <w:bookmarkEnd w:id="2634"/>
            <w:r w:rsidRPr="00025910">
              <w:rPr>
                <w:rFonts w:cs="Arial"/>
              </w:rPr>
              <w:t xml:space="preserve"> as amended by </w:t>
            </w:r>
            <w:bookmarkStart w:id="2635" w:name="_9kR3WTr2797EM7rcszv1FJRRww0fXtwtAJ4ORPQ"/>
            <w:r w:rsidRPr="00025910">
              <w:rPr>
                <w:rFonts w:cs="Arial"/>
              </w:rPr>
              <w:t>section 138(2)(c) of Schedule 4 to the Health and Social Care Act 2012</w:t>
            </w:r>
            <w:bookmarkEnd w:id="2635"/>
            <w:r w:rsidRPr="00025910">
              <w:rPr>
                <w:rFonts w:cs="Arial"/>
              </w:rPr>
              <w:t>;</w:t>
            </w:r>
          </w:p>
        </w:tc>
      </w:tr>
      <w:tr w:rsidR="00F67E9E" w:rsidRPr="00025910" w14:paraId="2972EA04" w14:textId="77777777" w:rsidTr="007F74AA">
        <w:tc>
          <w:tcPr>
            <w:tcW w:w="2835" w:type="dxa"/>
          </w:tcPr>
          <w:p w14:paraId="2526B0BF" w14:textId="77777777" w:rsidR="00F67E9E" w:rsidRPr="00025910" w:rsidRDefault="00F67E9E" w:rsidP="007F74AA">
            <w:pPr>
              <w:pStyle w:val="StdBodyTextBold"/>
              <w:rPr>
                <w:rFonts w:cs="Arial"/>
              </w:rPr>
            </w:pPr>
            <w:r>
              <w:rPr>
                <w:rFonts w:cs="Arial"/>
              </w:rPr>
              <w:t>“</w:t>
            </w:r>
            <w:r w:rsidRPr="00025910">
              <w:rPr>
                <w:rFonts w:cs="Arial"/>
              </w:rPr>
              <w:t>NHS Pensions</w:t>
            </w:r>
            <w:r>
              <w:rPr>
                <w:rFonts w:cs="Arial"/>
              </w:rPr>
              <w:t>”</w:t>
            </w:r>
          </w:p>
        </w:tc>
        <w:tc>
          <w:tcPr>
            <w:tcW w:w="6794" w:type="dxa"/>
          </w:tcPr>
          <w:p w14:paraId="5857555E" w14:textId="77777777" w:rsidR="00F67E9E" w:rsidRPr="00025910" w:rsidRDefault="00F67E9E" w:rsidP="007F74AA">
            <w:pPr>
              <w:pStyle w:val="StdBodyText"/>
              <w:rPr>
                <w:rFonts w:cs="Arial"/>
              </w:rPr>
            </w:pPr>
            <w:r w:rsidRPr="00025910">
              <w:rPr>
                <w:rFonts w:cs="Arial"/>
              </w:rPr>
              <w:t>NHS Pensions as the administrators of the NHSPS or such other body as may from time to time be responsible for relevant administrative functions of the NHSPS;</w:t>
            </w:r>
          </w:p>
        </w:tc>
      </w:tr>
      <w:tr w:rsidR="00F67E9E" w:rsidRPr="00025910" w14:paraId="42C89C44" w14:textId="77777777" w:rsidTr="007F74AA">
        <w:tc>
          <w:tcPr>
            <w:tcW w:w="2835" w:type="dxa"/>
          </w:tcPr>
          <w:p w14:paraId="38886063" w14:textId="77777777" w:rsidR="00F67E9E" w:rsidRPr="00025910" w:rsidRDefault="00F67E9E" w:rsidP="007F74AA">
            <w:pPr>
              <w:pStyle w:val="StdBodyTextBold"/>
              <w:rPr>
                <w:rFonts w:cs="Arial"/>
              </w:rPr>
            </w:pPr>
            <w:r>
              <w:rPr>
                <w:rFonts w:cs="Arial"/>
              </w:rPr>
              <w:t>“</w:t>
            </w:r>
            <w:r w:rsidRPr="00025910">
              <w:rPr>
                <w:rFonts w:cs="Arial"/>
              </w:rPr>
              <w:t>NHSPS</w:t>
            </w:r>
            <w:r>
              <w:rPr>
                <w:rFonts w:cs="Arial"/>
              </w:rPr>
              <w:t>”</w:t>
            </w:r>
          </w:p>
        </w:tc>
        <w:tc>
          <w:tcPr>
            <w:tcW w:w="6794" w:type="dxa"/>
          </w:tcPr>
          <w:p w14:paraId="62E693FF" w14:textId="77777777" w:rsidR="00F67E9E" w:rsidRPr="00025910" w:rsidRDefault="00F67E9E" w:rsidP="007F74AA">
            <w:pPr>
              <w:pStyle w:val="StdBodyText"/>
              <w:rPr>
                <w:rFonts w:cs="Arial"/>
              </w:rPr>
            </w:pPr>
            <w:r w:rsidRPr="00025910">
              <w:rPr>
                <w:rFonts w:cs="Arial"/>
              </w:rPr>
              <w:t xml:space="preserve">the National Health Service Pension Scheme for England and Wales, established pursuant to the </w:t>
            </w:r>
            <w:bookmarkStart w:id="2636" w:name="_9kR3WTr2797DEab5qtqn19xx628VF5VZga"/>
            <w:r w:rsidRPr="00025910">
              <w:rPr>
                <w:rFonts w:cs="Arial"/>
              </w:rPr>
              <w:t>Superannuation Act 1972</w:t>
            </w:r>
            <w:bookmarkEnd w:id="2636"/>
            <w:r w:rsidRPr="00025910">
              <w:rPr>
                <w:rFonts w:cs="Arial"/>
              </w:rPr>
              <w:t xml:space="preserve"> and the Public Service Pensions Act 2013 governed by subsequent regulations under those Acts including the NHS Pension Scheme Regulations;</w:t>
            </w:r>
          </w:p>
        </w:tc>
      </w:tr>
      <w:tr w:rsidR="00F67E9E" w:rsidRPr="00025910" w14:paraId="465AB48B" w14:textId="77777777" w:rsidTr="007F74AA">
        <w:tc>
          <w:tcPr>
            <w:tcW w:w="2835" w:type="dxa"/>
          </w:tcPr>
          <w:p w14:paraId="251FB57F" w14:textId="77777777" w:rsidR="00F67E9E" w:rsidRPr="00025910" w:rsidRDefault="00F67E9E" w:rsidP="007F74AA">
            <w:pPr>
              <w:pStyle w:val="StdBodyTextBold"/>
              <w:rPr>
                <w:rFonts w:cs="Arial"/>
              </w:rPr>
            </w:pPr>
            <w:r>
              <w:rPr>
                <w:rFonts w:cs="Arial"/>
              </w:rPr>
              <w:t>“</w:t>
            </w:r>
            <w:r w:rsidRPr="00025910">
              <w:rPr>
                <w:rFonts w:cs="Arial"/>
              </w:rPr>
              <w:t>NHS Pension Scheme Regulations</w:t>
            </w:r>
            <w:r>
              <w:rPr>
                <w:rFonts w:cs="Arial"/>
              </w:rPr>
              <w:t>”</w:t>
            </w:r>
          </w:p>
        </w:tc>
        <w:tc>
          <w:tcPr>
            <w:tcW w:w="6794" w:type="dxa"/>
          </w:tcPr>
          <w:p w14:paraId="4C8285FA" w14:textId="77777777" w:rsidR="00F67E9E" w:rsidRPr="00025910" w:rsidRDefault="00F67E9E" w:rsidP="007F74AA">
            <w:pPr>
              <w:pStyle w:val="StdBodyText"/>
              <w:rPr>
                <w:rFonts w:cs="Arial"/>
              </w:rPr>
            </w:pPr>
            <w:r w:rsidRPr="00025910">
              <w:rPr>
                <w:rFonts w:cs="Arial"/>
              </w:rPr>
              <w:t>as appropriate, any or all of the National Health Service Pension Scheme Regulations 1995 (SI 1995/300), the National Health Service Pension Scheme Regulations 2008 (SI 2008/653), the National Health Service Pension Scheme Regulations 2015 (2015/94) and any subsequent regulations made in respect of the NHSPS, each as amended from time to time;</w:t>
            </w:r>
          </w:p>
        </w:tc>
      </w:tr>
      <w:tr w:rsidR="00F67E9E" w:rsidRPr="00025910" w14:paraId="6DA85EFF" w14:textId="77777777" w:rsidTr="007F74AA">
        <w:tc>
          <w:tcPr>
            <w:tcW w:w="2835" w:type="dxa"/>
          </w:tcPr>
          <w:p w14:paraId="20CD017A" w14:textId="77777777" w:rsidR="00F67E9E" w:rsidRPr="00025910" w:rsidRDefault="00F67E9E" w:rsidP="007F74AA">
            <w:pPr>
              <w:pStyle w:val="StdBodyTextBold"/>
              <w:rPr>
                <w:rFonts w:cs="Arial"/>
              </w:rPr>
            </w:pPr>
            <w:r>
              <w:rPr>
                <w:rFonts w:cs="Arial"/>
              </w:rPr>
              <w:t>“</w:t>
            </w:r>
            <w:r w:rsidRPr="00025910">
              <w:rPr>
                <w:rFonts w:cs="Arial"/>
              </w:rPr>
              <w:t>NHS Premature Retirement Rights</w:t>
            </w:r>
            <w:r>
              <w:rPr>
                <w:rFonts w:cs="Arial"/>
              </w:rPr>
              <w:t>”</w:t>
            </w:r>
          </w:p>
        </w:tc>
        <w:tc>
          <w:tcPr>
            <w:tcW w:w="6794" w:type="dxa"/>
          </w:tcPr>
          <w:p w14:paraId="73BE7C02" w14:textId="77777777" w:rsidR="00F67E9E" w:rsidRPr="00025910" w:rsidRDefault="00F67E9E" w:rsidP="007F74AA">
            <w:pPr>
              <w:pStyle w:val="StdBodyText"/>
              <w:rPr>
                <w:rFonts w:cs="Arial"/>
              </w:rPr>
            </w:pPr>
            <w:r w:rsidRPr="00025910">
              <w:rPr>
                <w:rFonts w:cs="Arial"/>
              </w:rPr>
              <w:t xml:space="preserve">rights to which any NHSPS Fair Deal Employee (had they remained in the employment of the Authority, an NHS Body or other employer which participates automatically in the NHSPS) would have been or is entitled under the NHS Pension Scheme Regulations, the NHS Compensation for Premature Retirement Regulations 2002 (SI 2002/1311), the NHS (Injury Benefits) Regulations 1995 (SI 1995/866) and </w:t>
            </w:r>
            <w:bookmarkStart w:id="2637" w:name="_9kR3WTr2CC7EF2rcszv1IO"/>
            <w:r w:rsidRPr="00025910">
              <w:rPr>
                <w:rFonts w:cs="Arial"/>
              </w:rPr>
              <w:t>section 45</w:t>
            </w:r>
            <w:bookmarkEnd w:id="2637"/>
            <w:r w:rsidRPr="00025910">
              <w:rPr>
                <w:rFonts w:cs="Arial"/>
              </w:rPr>
              <w:t xml:space="preserve"> of the General Whitley Council conditions of service, or any other legislative or contractual provision which replaces, amends, extends or consolidates the same from time to time;</w:t>
            </w:r>
          </w:p>
        </w:tc>
      </w:tr>
      <w:tr w:rsidR="00F67E9E" w:rsidRPr="00025910" w14:paraId="7F43289D" w14:textId="77777777" w:rsidTr="007F74AA">
        <w:tc>
          <w:tcPr>
            <w:tcW w:w="2835" w:type="dxa"/>
          </w:tcPr>
          <w:p w14:paraId="6F5149A8" w14:textId="77777777" w:rsidR="00F67E9E" w:rsidRPr="00025910" w:rsidRDefault="00F67E9E" w:rsidP="007F74AA">
            <w:pPr>
              <w:pStyle w:val="StdBodyTextBold"/>
              <w:rPr>
                <w:rFonts w:cs="Arial"/>
              </w:rPr>
            </w:pPr>
            <w:r>
              <w:rPr>
                <w:rFonts w:cs="Arial"/>
              </w:rPr>
              <w:t>“</w:t>
            </w:r>
            <w:r w:rsidRPr="00025910">
              <w:rPr>
                <w:rFonts w:cs="Arial"/>
              </w:rPr>
              <w:t>Pension Benefits</w:t>
            </w:r>
            <w:r>
              <w:rPr>
                <w:rFonts w:cs="Arial"/>
              </w:rPr>
              <w:t>”</w:t>
            </w:r>
          </w:p>
        </w:tc>
        <w:tc>
          <w:tcPr>
            <w:tcW w:w="6794" w:type="dxa"/>
          </w:tcPr>
          <w:p w14:paraId="1C8396F6" w14:textId="77777777" w:rsidR="00F67E9E" w:rsidRPr="00025910" w:rsidRDefault="00F67E9E" w:rsidP="007F74AA">
            <w:pPr>
              <w:pStyle w:val="StdBodyText"/>
              <w:rPr>
                <w:rFonts w:cs="Arial"/>
              </w:rPr>
            </w:pPr>
            <w:r w:rsidRPr="00025910">
              <w:rPr>
                <w:rFonts w:cs="Arial"/>
              </w:rPr>
              <w:t>any benefits payable in respect of an individual (including but not limited to pensions related allowances and lump sums) relating to old age, invalidity or survivor</w:t>
            </w:r>
            <w:r>
              <w:rPr>
                <w:rFonts w:cs="Arial"/>
              </w:rPr>
              <w:t>’</w:t>
            </w:r>
            <w:r w:rsidRPr="00025910">
              <w:rPr>
                <w:rFonts w:cs="Arial"/>
              </w:rPr>
              <w:t>s benefits provided under an occupational pension scheme; and</w:t>
            </w:r>
          </w:p>
        </w:tc>
      </w:tr>
    </w:tbl>
    <w:p w14:paraId="4E7A19A7" w14:textId="77777777" w:rsidR="00F67E9E" w:rsidRPr="00025910" w:rsidRDefault="00F67E9E" w:rsidP="00F67E9E">
      <w:pPr>
        <w:pStyle w:val="AppendixText1"/>
      </w:pPr>
      <w:bookmarkStart w:id="2638" w:name="_Ref_ContractCompanion_9kb9Ut26A"/>
      <w:bookmarkStart w:id="2639" w:name="_9kR3WTrAGA6AGMCwozZZIdxywp6LC3CJAGJ5CGM"/>
      <w:r w:rsidRPr="00620079">
        <w:t>Membership</w:t>
      </w:r>
      <w:r w:rsidRPr="00025910">
        <w:t xml:space="preserve"> </w:t>
      </w:r>
      <w:r>
        <w:t>o</w:t>
      </w:r>
      <w:r w:rsidRPr="00025910">
        <w:t xml:space="preserve">f </w:t>
      </w:r>
      <w:r>
        <w:t>t</w:t>
      </w:r>
      <w:r w:rsidRPr="00025910">
        <w:t>he NHSPS</w:t>
      </w:r>
      <w:bookmarkEnd w:id="2638"/>
      <w:bookmarkEnd w:id="2639"/>
    </w:p>
    <w:p w14:paraId="3D36F702" w14:textId="77777777" w:rsidR="00F67E9E" w:rsidRPr="00620079" w:rsidRDefault="00F67E9E" w:rsidP="00F67E9E">
      <w:pPr>
        <w:pStyle w:val="AppendixText2"/>
      </w:pPr>
      <w:r w:rsidRPr="00025910">
        <w:t>In accordance with New Fair Deal, the Supplier and/or any of its Sub-contractors to which the employment of any NHSPS Fair Deal Employee compulsorily transfers as a result of either the award of this Contract</w:t>
      </w:r>
      <w:r w:rsidRPr="00025910" w:rsidDel="000D1FBB">
        <w:t xml:space="preserve"> </w:t>
      </w:r>
      <w:r w:rsidRPr="00025910">
        <w:t xml:space="preserve">or a Relevant Transfer, if not an NHS Body or other employer which participates automatically in the NHSPS, shall each secure a Direction Letter/Determination to enable the NHSPS Fair Deal Employees to retain either continuous active membership of or eligibility for the NHSPS for so long as they remain employed in connection with </w:t>
      </w:r>
      <w:r w:rsidRPr="00620079">
        <w:t>the delivery of the Services under this Contract.</w:t>
      </w:r>
    </w:p>
    <w:p w14:paraId="00AECB51" w14:textId="77777777" w:rsidR="00F67E9E" w:rsidRPr="00025910" w:rsidRDefault="00F67E9E" w:rsidP="00F67E9E">
      <w:pPr>
        <w:pStyle w:val="AppendixText2"/>
      </w:pPr>
      <w:r w:rsidRPr="00620079">
        <w:t>Where it is not possible for the Supplier and/or any of its Sub-contractors to secure a Direction Letter/D</w:t>
      </w:r>
      <w:r w:rsidRPr="00025910">
        <w:t>etermination on or before the Relevant Transfer Date, the Supplier must secure a Direction Letter/Determination as soon as possible after the Relevant Transfer Date, and in the period between the Relevant Transfer Date and the date the Direction Letter/Determination is secure, the Provider must ensure that:</w:t>
      </w:r>
    </w:p>
    <w:p w14:paraId="4CBA8FC2" w14:textId="77777777" w:rsidR="00F67E9E" w:rsidRPr="00620079" w:rsidRDefault="00F67E9E" w:rsidP="00F67E9E">
      <w:pPr>
        <w:pStyle w:val="AppendixText3"/>
      </w:pPr>
      <w:r w:rsidRPr="00025910">
        <w:t>all employer</w:t>
      </w:r>
      <w:r>
        <w:t>’</w:t>
      </w:r>
      <w:r w:rsidRPr="00025910">
        <w:t>s and NHSPS Fair Deal Employees</w:t>
      </w:r>
      <w:r>
        <w:t>’</w:t>
      </w:r>
      <w:r w:rsidRPr="00025910">
        <w:t xml:space="preserve"> contributions intended to go to the </w:t>
      </w:r>
      <w:r w:rsidRPr="00620079">
        <w:t>NHSPS are kept in a separate bank account; and</w:t>
      </w:r>
    </w:p>
    <w:p w14:paraId="2C29DB32" w14:textId="77777777" w:rsidR="00F67E9E" w:rsidRPr="00025910" w:rsidRDefault="00F67E9E" w:rsidP="00F67E9E">
      <w:pPr>
        <w:pStyle w:val="AppendixText3"/>
      </w:pPr>
      <w:r w:rsidRPr="00620079">
        <w:t>the Pension Benefits and Premature Retirement Rights of NHSPS Fair Deal Employees</w:t>
      </w:r>
      <w:r w:rsidRPr="00025910">
        <w:t xml:space="preserve"> are not adversely affected.</w:t>
      </w:r>
    </w:p>
    <w:p w14:paraId="5CCAEAAC" w14:textId="77777777" w:rsidR="00F67E9E" w:rsidRPr="00025910" w:rsidRDefault="00F67E9E" w:rsidP="00F67E9E">
      <w:pPr>
        <w:pStyle w:val="AppendixText2"/>
      </w:pPr>
      <w:r w:rsidRPr="00025910">
        <w:t>The Supplier must supply to the Authority a complete copy of each Direction Letter/Determination within 5 Working Days of receipt of the Direction Letter/Determination.</w:t>
      </w:r>
    </w:p>
    <w:p w14:paraId="6F99BCB2" w14:textId="77777777" w:rsidR="00F67E9E" w:rsidRPr="00025910" w:rsidRDefault="00F67E9E" w:rsidP="00F67E9E">
      <w:pPr>
        <w:pStyle w:val="AppendixText2"/>
      </w:pPr>
      <w:r w:rsidRPr="00025910">
        <w:t>The Supplier must ensure (and procure that each of its Sub-contractors (if any) ensures) that all of its NHSPS Fair Deal Employees have a contractual right to continuous active membership of or eligibility for the NHSPS for so long as they have a right to membership or eligibility of that scheme under the terms of the Direction Letter/Determination.</w:t>
      </w:r>
    </w:p>
    <w:p w14:paraId="77E8EE4C" w14:textId="77777777" w:rsidR="00F67E9E" w:rsidRPr="00025910" w:rsidRDefault="00F67E9E" w:rsidP="00F67E9E">
      <w:pPr>
        <w:pStyle w:val="AppendixText2"/>
      </w:pPr>
      <w:r w:rsidRPr="00025910">
        <w:t>The Supplier will (and will procure that its Sub-contractors (if any) will) comply with the terms of the Direction Letter/Determination, the NHS Pension Scheme Regulations (including any terms which change as a result of changes in Law) and any relevant policy issued by the Department of Health and Social Care in respect of the NHSPS Fair Deal Employees for so long as it remains bound by the terms of any such Direction Letter/Determination.</w:t>
      </w:r>
    </w:p>
    <w:p w14:paraId="3E0AE0B5" w14:textId="6377B568" w:rsidR="00F67E9E" w:rsidRPr="00025910" w:rsidRDefault="00F67E9E" w:rsidP="00F67E9E">
      <w:pPr>
        <w:pStyle w:val="AppendixText2"/>
      </w:pPr>
      <w:r w:rsidRPr="00025910">
        <w:t xml:space="preserve">Where any employee omitted from the Direction Letter/Determination supplied in accordance with </w:t>
      </w:r>
      <w:bookmarkStart w:id="2640" w:name="_9kMHG5YVtCIC8CIOEyq1bbKfz0yr8NE5ELCIL7E"/>
      <w:r w:rsidRPr="00025910">
        <w:t xml:space="preserve">Paragraph </w:t>
      </w:r>
      <w:r w:rsidRPr="00025910">
        <w:fldChar w:fldCharType="begin"/>
      </w:r>
      <w:r w:rsidRPr="00025910">
        <w:instrText xml:space="preserve"> REF _Ref_ContractCompanion_9kb9Ut26A \w \n \h \t \* MERGEFORMAT </w:instrText>
      </w:r>
      <w:r w:rsidRPr="00025910">
        <w:fldChar w:fldCharType="separate"/>
      </w:r>
      <w:r w:rsidR="00302D39">
        <w:t>2</w:t>
      </w:r>
      <w:r w:rsidRPr="00025910">
        <w:fldChar w:fldCharType="end"/>
      </w:r>
      <w:bookmarkEnd w:id="2640"/>
      <w:r w:rsidRPr="00025910">
        <w:t xml:space="preserve"> of this Annex are subsequently found to be an NHSPS Fair Deal Employee, the Supplier will (and will procure that its Sub-contractors (if any) will) treat that person as if they had been an NHSPS Fair Deal Employee from the Relevant Transfer Date so that their Pension Benefits and NHS Premature Retirement Rights are not adversely affected.</w:t>
      </w:r>
    </w:p>
    <w:p w14:paraId="425B4669" w14:textId="77777777" w:rsidR="00F67E9E" w:rsidRPr="00025910" w:rsidRDefault="00F67E9E" w:rsidP="00F67E9E">
      <w:pPr>
        <w:pStyle w:val="AppendixText2"/>
      </w:pPr>
      <w:r w:rsidRPr="00025910">
        <w:t>The Supplier will (and will procure that its Sub-contractors (if any) will) provide any indemnity, bond or guarantee required by NHS Pensions in relation to a Direction Letter/Determination.</w:t>
      </w:r>
    </w:p>
    <w:p w14:paraId="42A90F00" w14:textId="77777777" w:rsidR="00F67E9E" w:rsidRPr="00025910" w:rsidRDefault="00F67E9E" w:rsidP="00F67E9E">
      <w:pPr>
        <w:pStyle w:val="AppendixText1"/>
      </w:pPr>
      <w:r w:rsidRPr="00025910">
        <w:t>NHS Premature Retirement Rights</w:t>
      </w:r>
    </w:p>
    <w:p w14:paraId="6AB13935" w14:textId="77777777" w:rsidR="00F67E9E" w:rsidRPr="00025910" w:rsidRDefault="00F67E9E" w:rsidP="00F67E9E">
      <w:pPr>
        <w:pStyle w:val="AppendixText2"/>
      </w:pPr>
      <w:r w:rsidRPr="00025910">
        <w:t>From the Relevant Transfer Date until the Service Transfer Date, the Supplier must provide (and/or must ensure that its Sub-contractors (if any) provide) NHS Premature Retirement Rights in respect of the NHSPS Fair Deal Employees that are identical to the benefits they would have received had they remained employees of the Authority, an NHS Body or other employer which participates automatically in the NHSPS.</w:t>
      </w:r>
    </w:p>
    <w:p w14:paraId="2BEC87AA" w14:textId="77777777" w:rsidR="00F67E9E" w:rsidRPr="00025910" w:rsidRDefault="00F67E9E" w:rsidP="00F67E9E">
      <w:pPr>
        <w:pStyle w:val="AppendixText1"/>
      </w:pPr>
      <w:bookmarkStart w:id="2641" w:name="_Ref_ContractCompanion_9kb9Ut235"/>
      <w:r w:rsidRPr="00025910">
        <w:t>NHS Broadly Comparable Employees</w:t>
      </w:r>
      <w:bookmarkEnd w:id="2641"/>
    </w:p>
    <w:p w14:paraId="2C1D3D55" w14:textId="38C7B9BE" w:rsidR="00F67E9E" w:rsidRPr="00025910" w:rsidRDefault="00F67E9E" w:rsidP="00F67E9E">
      <w:pPr>
        <w:pStyle w:val="AppendixText2"/>
      </w:pPr>
      <w:r w:rsidRPr="00025910">
        <w:t xml:space="preserve">The Supplier shall (and procure that its Sub-contractors shall), with effect from the Relevant Transfer Date, offer the NHSPS Broadly Comparable Employees membership of a pension scheme which is Broadly Comparable to NHSPS on the Relevant Transfer Date in accordance with </w:t>
      </w:r>
      <w:bookmarkStart w:id="2642" w:name="_9kMIH5YVt4EE9EDzmpqgyts0DK"/>
      <w:r w:rsidRPr="00025910">
        <w:t xml:space="preserve">Paragraph </w:t>
      </w:r>
      <w:r w:rsidRPr="00025910">
        <w:fldChar w:fldCharType="begin"/>
      </w:r>
      <w:r w:rsidRPr="00025910">
        <w:instrText xml:space="preserve"> REF _Ref_ContractCompanion_9kb9Ur37C \w \n \h \t \* MERGEFORMAT </w:instrText>
      </w:r>
      <w:r w:rsidRPr="00025910">
        <w:fldChar w:fldCharType="separate"/>
      </w:r>
      <w:bookmarkStart w:id="2643" w:name="_9kMNM5YVt4BD9HMgLhkhy7sHSMlR0KhkRcBP9zB"/>
      <w:r w:rsidR="00302D39">
        <w:t>10</w:t>
      </w:r>
      <w:bookmarkEnd w:id="2643"/>
      <w:r w:rsidRPr="00025910">
        <w:fldChar w:fldCharType="end"/>
      </w:r>
      <w:bookmarkEnd w:id="2642"/>
      <w:r w:rsidRPr="00025910">
        <w:t xml:space="preserve"> of </w:t>
      </w:r>
      <w:r w:rsidRPr="002E7013">
        <w:rPr>
          <w:rFonts w:eastAsia="Arial"/>
          <w:color w:val="000000"/>
        </w:rPr>
        <w:fldChar w:fldCharType="begin"/>
      </w:r>
      <w:r w:rsidRPr="002E7013">
        <w:rPr>
          <w:rFonts w:eastAsia="Arial"/>
          <w:color w:val="000000"/>
        </w:rPr>
        <w:instrText xml:space="preserve"> REF Sch28PartD \h  \* MERGEFORMAT </w:instrText>
      </w:r>
      <w:r w:rsidRPr="002E7013">
        <w:rPr>
          <w:rFonts w:eastAsia="Arial"/>
          <w:color w:val="000000"/>
        </w:rPr>
      </w:r>
      <w:r w:rsidRPr="002E7013">
        <w:rPr>
          <w:rFonts w:eastAsia="Arial"/>
          <w:color w:val="000000"/>
        </w:rPr>
        <w:fldChar w:fldCharType="separate"/>
      </w:r>
      <w:r w:rsidR="00302D39" w:rsidRPr="00302D39">
        <w:rPr>
          <w:rFonts w:eastAsia="Calibri"/>
        </w:rPr>
        <w:t>Part D</w:t>
      </w:r>
      <w:r w:rsidRPr="002E7013">
        <w:rPr>
          <w:rFonts w:eastAsia="Arial"/>
          <w:color w:val="000000"/>
        </w:rPr>
        <w:fldChar w:fldCharType="end"/>
      </w:r>
      <w:r w:rsidRPr="00025910">
        <w:t xml:space="preserve">. For the avoidance of doubt, this requirement is separate from any requirement to offer a Broadly Comparable pension scheme in accordance with </w:t>
      </w:r>
      <w:bookmarkStart w:id="2644" w:name="_9kMHG5YVtCIC8CLMHVGy1nZkEA71v5GHCFQ0xDw"/>
      <w:r w:rsidRPr="00025910">
        <w:t xml:space="preserve">Paragraph </w:t>
      </w:r>
      <w:r w:rsidRPr="00025910">
        <w:fldChar w:fldCharType="begin"/>
      </w:r>
      <w:r w:rsidRPr="00025910">
        <w:instrText xml:space="preserve"> REF _Ref_ContractCompanion_9kb9Ut26D \n \h \t \* MERGEFORMAT </w:instrText>
      </w:r>
      <w:r w:rsidRPr="00025910">
        <w:fldChar w:fldCharType="separate"/>
      </w:r>
      <w:r w:rsidR="00302D39">
        <w:t>5.2</w:t>
      </w:r>
      <w:r w:rsidRPr="00025910">
        <w:fldChar w:fldCharType="end"/>
      </w:r>
      <w:bookmarkEnd w:id="2644"/>
      <w:r w:rsidRPr="00025910">
        <w:t xml:space="preserve"> below.</w:t>
      </w:r>
    </w:p>
    <w:p w14:paraId="78C69EAC" w14:textId="77777777" w:rsidR="00F67E9E" w:rsidRPr="00025910" w:rsidRDefault="00F67E9E" w:rsidP="00F67E9E">
      <w:pPr>
        <w:pStyle w:val="AppendixText1"/>
      </w:pPr>
      <w:r w:rsidRPr="00025910">
        <w:t xml:space="preserve">Breach </w:t>
      </w:r>
      <w:r>
        <w:t>a</w:t>
      </w:r>
      <w:r w:rsidRPr="00025910">
        <w:t xml:space="preserve">nd Cancellation </w:t>
      </w:r>
      <w:r>
        <w:t>o</w:t>
      </w:r>
      <w:r w:rsidRPr="00025910">
        <w:t xml:space="preserve">f </w:t>
      </w:r>
      <w:r>
        <w:t>a</w:t>
      </w:r>
      <w:r w:rsidRPr="00025910">
        <w:t>ny Direction Letter/Determination(</w:t>
      </w:r>
      <w:r>
        <w:t>s</w:t>
      </w:r>
      <w:r w:rsidRPr="00025910">
        <w:t>)</w:t>
      </w:r>
    </w:p>
    <w:p w14:paraId="76C2208C" w14:textId="77777777" w:rsidR="00F67E9E" w:rsidRPr="00025910" w:rsidRDefault="00F67E9E" w:rsidP="00F67E9E">
      <w:pPr>
        <w:pStyle w:val="AppendixText2"/>
      </w:pPr>
      <w:r w:rsidRPr="00025910">
        <w:t>The Supplier agrees that the Authority is entitled to make arrangements with NHS Pensions for the Authority to be notified if the Supplier (or its Sub-contractors) breaches the terms of its Direction Letter/Determination. Notwithstanding the provisions of the foregoing, the Supplier shall notify the Authority in the event that it (or its Sub-contractor) breaches the terms of its Direction Letter/Determination.</w:t>
      </w:r>
    </w:p>
    <w:p w14:paraId="106782A3" w14:textId="655A05BC" w:rsidR="00F67E9E" w:rsidRPr="00025910" w:rsidRDefault="00F67E9E" w:rsidP="00F67E9E">
      <w:pPr>
        <w:pStyle w:val="AppendixText2"/>
      </w:pPr>
      <w:bookmarkStart w:id="2645" w:name="_9kR3WTrAGA6AJKFTEwzlXiC85zt3EFADOyvBu8K"/>
      <w:bookmarkStart w:id="2646" w:name="_Ref_ContractCompanion_9kb9Ut24B"/>
      <w:bookmarkStart w:id="2647" w:name="_Ref_ContractCompanion_9kb9Ut26D"/>
      <w:r w:rsidRPr="00025910">
        <w:t xml:space="preserve">If the Supplier (or its Sub-contractors, if relevant) ceases to participate in the NHSPS for whatever reason, the Supplier (or any such Sub-contractor, as appropriate) shall offer the NHSPS Eligible Employees membership of a pension scheme which is Broadly Comparable to the NHSPS on the date the NHSPS Eligible Employees ceased to participate in the NHSPS in accordance with the provisions of </w:t>
      </w:r>
      <w:bookmarkStart w:id="2648" w:name="_9kMHG5YVt4EE9GG0mpqgyts0DL"/>
      <w:r w:rsidRPr="00025910">
        <w:t xml:space="preserve">Paragraph </w:t>
      </w:r>
      <w:r w:rsidRPr="00025910">
        <w:fldChar w:fldCharType="begin"/>
      </w:r>
      <w:r w:rsidRPr="00025910">
        <w:instrText xml:space="preserve"> REF _Ref_ContractCompanion_9kb9Ur3A8 \w \n \h \t \* MERGEFORMAT </w:instrText>
      </w:r>
      <w:r w:rsidRPr="00025910">
        <w:fldChar w:fldCharType="separate"/>
      </w:r>
      <w:bookmarkStart w:id="2649" w:name="_9kMNM5YVt4BD9HLfLhkhy7sHSMlR0KhkSdBP9zB"/>
      <w:r w:rsidR="00302D39">
        <w:t>11</w:t>
      </w:r>
      <w:bookmarkEnd w:id="2649"/>
      <w:r w:rsidRPr="00025910">
        <w:fldChar w:fldCharType="end"/>
      </w:r>
      <w:bookmarkEnd w:id="2648"/>
      <w:r w:rsidRPr="00025910">
        <w:t xml:space="preserve"> of </w:t>
      </w:r>
      <w:r w:rsidRPr="002E7013">
        <w:rPr>
          <w:rFonts w:eastAsia="Arial"/>
          <w:color w:val="000000"/>
        </w:rPr>
        <w:fldChar w:fldCharType="begin"/>
      </w:r>
      <w:r w:rsidRPr="002E7013">
        <w:rPr>
          <w:rFonts w:eastAsia="Arial"/>
          <w:color w:val="000000"/>
        </w:rPr>
        <w:instrText xml:space="preserve"> REF Sch28PartD \h  \* MERGEFORMAT </w:instrText>
      </w:r>
      <w:r w:rsidRPr="002E7013">
        <w:rPr>
          <w:rFonts w:eastAsia="Arial"/>
          <w:color w:val="000000"/>
        </w:rPr>
      </w:r>
      <w:r w:rsidRPr="002E7013">
        <w:rPr>
          <w:rFonts w:eastAsia="Arial"/>
          <w:color w:val="000000"/>
        </w:rPr>
        <w:fldChar w:fldCharType="separate"/>
      </w:r>
      <w:r w:rsidR="00302D39" w:rsidRPr="00302D39">
        <w:rPr>
          <w:rFonts w:eastAsia="Calibri"/>
        </w:rPr>
        <w:t>Part D</w:t>
      </w:r>
      <w:r w:rsidRPr="002E7013">
        <w:rPr>
          <w:rFonts w:eastAsia="Arial"/>
          <w:color w:val="000000"/>
        </w:rPr>
        <w:fldChar w:fldCharType="end"/>
      </w:r>
      <w:r w:rsidRPr="00025910">
        <w:t>.</w:t>
      </w:r>
      <w:bookmarkEnd w:id="2645"/>
      <w:r w:rsidRPr="00025910">
        <w:t xml:space="preserve"> </w:t>
      </w:r>
      <w:bookmarkEnd w:id="2646"/>
      <w:bookmarkEnd w:id="2647"/>
    </w:p>
    <w:p w14:paraId="6E0B70B8" w14:textId="77777777" w:rsidR="00F67E9E" w:rsidRPr="00025910" w:rsidRDefault="00F67E9E" w:rsidP="00F67E9E">
      <w:pPr>
        <w:pStyle w:val="AppendixText1"/>
      </w:pPr>
      <w:r w:rsidRPr="00025910">
        <w:t>Compensation</w:t>
      </w:r>
    </w:p>
    <w:p w14:paraId="47F023F3" w14:textId="77777777" w:rsidR="00F67E9E" w:rsidRPr="00025910" w:rsidRDefault="00F67E9E" w:rsidP="00F67E9E">
      <w:pPr>
        <w:pStyle w:val="AppendixText2"/>
      </w:pPr>
      <w:r w:rsidRPr="00025910">
        <w:t>If the Supplier (or its Sub-contractor, if relevant) is unable to provide the NHSPS Fair Deal Employees with either membership of:</w:t>
      </w:r>
    </w:p>
    <w:p w14:paraId="62A00AB3" w14:textId="77777777" w:rsidR="00F67E9E" w:rsidRPr="00025910" w:rsidRDefault="00F67E9E" w:rsidP="00F67E9E">
      <w:pPr>
        <w:pStyle w:val="AppendixText3"/>
      </w:pPr>
      <w:r w:rsidRPr="00025910">
        <w:t xml:space="preserve">the NHSPS (having used its best endeavours to secure a Direction Letter/Determination); or </w:t>
      </w:r>
    </w:p>
    <w:p w14:paraId="30C764AC" w14:textId="77777777" w:rsidR="00F67E9E" w:rsidRPr="00025910" w:rsidRDefault="00F67E9E" w:rsidP="00F67E9E">
      <w:pPr>
        <w:pStyle w:val="AppendixText3"/>
      </w:pPr>
      <w:r w:rsidRPr="00025910">
        <w:t xml:space="preserve">a Broadly Comparable pension scheme, </w:t>
      </w:r>
    </w:p>
    <w:p w14:paraId="6C6DE6AF" w14:textId="77777777" w:rsidR="00F67E9E" w:rsidRPr="00025910" w:rsidRDefault="00F67E9E" w:rsidP="00F67E9E">
      <w:pPr>
        <w:pStyle w:val="StdBodyText2"/>
        <w:rPr>
          <w:rFonts w:cs="Arial"/>
        </w:rPr>
      </w:pPr>
      <w:r w:rsidRPr="00025910">
        <w:rPr>
          <w:rFonts w:cs="Arial"/>
        </w:rPr>
        <w:t>the Authority may in its sole discretion permit the Supplier (or any of its Sub-contractors) to compensate the NHSPS Fair Deal Employees in a manner that is Broadly Comparable or equivalent in cash terms, the Supplier (or Sub-contractor as relevant) having consulted with a view to reaching agreement with any recognised trade union or, in the absence of such body, the NHSPS Fair Deal Employees.</w:t>
      </w:r>
      <w:r>
        <w:rPr>
          <w:rFonts w:cs="Arial"/>
        </w:rPr>
        <w:t xml:space="preserve"> </w:t>
      </w:r>
      <w:r w:rsidRPr="00025910">
        <w:rPr>
          <w:rFonts w:cs="Arial"/>
        </w:rPr>
        <w:t>The Supplier must meet (or must procure that the relevant Sub-contractor meets) the costs of the Authority determining whether the level of compensation offered is reasonable in the circumstances.</w:t>
      </w:r>
    </w:p>
    <w:p w14:paraId="4F37BD5C" w14:textId="7F101106" w:rsidR="00F67E9E" w:rsidRPr="00025910" w:rsidRDefault="00F67E9E" w:rsidP="00F67E9E">
      <w:pPr>
        <w:pStyle w:val="AppendixText2"/>
      </w:pPr>
      <w:r w:rsidRPr="00025910">
        <w:t>This flexibility for the Authority to allow compensation in place of Pension Benefits is in addition to and not instead of the Authority</w:t>
      </w:r>
      <w:r>
        <w:t>’</w:t>
      </w:r>
      <w:r w:rsidRPr="00025910">
        <w:t>s right to terminate the Contract</w:t>
      </w:r>
      <w:r w:rsidRPr="00025910" w:rsidDel="000D1FBB">
        <w:t xml:space="preserve"> </w:t>
      </w:r>
      <w:r w:rsidRPr="00025910">
        <w:t xml:space="preserve">under </w:t>
      </w:r>
      <w:bookmarkStart w:id="2650" w:name="_9kMHG5YVtCIACFJkLhkhy7sHSMlR0KhqiAEyx5"/>
      <w:r w:rsidRPr="00025910">
        <w:t xml:space="preserve">Paragraph </w:t>
      </w:r>
      <w:r w:rsidRPr="00025910">
        <w:fldChar w:fldCharType="begin"/>
      </w:r>
      <w:r w:rsidRPr="00025910">
        <w:instrText xml:space="preserve"> REF _Ref_ContractCompanion_9kb9Ur69B \w \n \h \t \* MERGEFORMAT </w:instrText>
      </w:r>
      <w:r w:rsidRPr="00025910">
        <w:fldChar w:fldCharType="separate"/>
      </w:r>
      <w:bookmarkStart w:id="2651" w:name="_9kMHG5YVt4BD9HKeLhkhy7sHSMlR0KhqiAEyx5"/>
      <w:r w:rsidR="00302D39">
        <w:t>7</w:t>
      </w:r>
      <w:bookmarkEnd w:id="2651"/>
      <w:r w:rsidRPr="00025910">
        <w:fldChar w:fldCharType="end"/>
      </w:r>
      <w:bookmarkEnd w:id="2650"/>
      <w:r w:rsidRPr="00025910">
        <w:t xml:space="preserve"> (</w:t>
      </w:r>
      <w:r w:rsidRPr="00B6750E">
        <w:rPr>
          <w:i/>
          <w:iCs/>
        </w:rPr>
        <w:fldChar w:fldCharType="begin"/>
      </w:r>
      <w:r w:rsidRPr="00B6750E">
        <w:rPr>
          <w:i/>
          <w:iCs/>
        </w:rPr>
        <w:instrText xml:space="preserve"> REF _Ref_ContractCompanion_9kb9Ur69B \h  \* MERGEFORMAT </w:instrText>
      </w:r>
      <w:r w:rsidRPr="00B6750E">
        <w:rPr>
          <w:i/>
          <w:iCs/>
        </w:rPr>
      </w:r>
      <w:r w:rsidRPr="00B6750E">
        <w:rPr>
          <w:i/>
          <w:iCs/>
        </w:rPr>
        <w:fldChar w:fldCharType="separate"/>
      </w:r>
      <w:r w:rsidR="00302D39" w:rsidRPr="00302D39">
        <w:rPr>
          <w:i/>
          <w:iCs/>
        </w:rPr>
        <w:t>Breach</w:t>
      </w:r>
      <w:r w:rsidRPr="00B6750E">
        <w:rPr>
          <w:i/>
          <w:iCs/>
        </w:rPr>
        <w:fldChar w:fldCharType="end"/>
      </w:r>
      <w:r w:rsidRPr="00025910">
        <w:t xml:space="preserve">) of </w:t>
      </w:r>
      <w:r w:rsidRPr="002E7013">
        <w:rPr>
          <w:rFonts w:eastAsia="Arial"/>
          <w:color w:val="000000"/>
        </w:rPr>
        <w:fldChar w:fldCharType="begin"/>
      </w:r>
      <w:r w:rsidRPr="002E7013">
        <w:rPr>
          <w:rFonts w:eastAsia="Arial"/>
          <w:color w:val="000000"/>
        </w:rPr>
        <w:instrText xml:space="preserve"> REF Sch28PartD \h  \* MERGEFORMAT </w:instrText>
      </w:r>
      <w:r w:rsidRPr="002E7013">
        <w:rPr>
          <w:rFonts w:eastAsia="Arial"/>
          <w:color w:val="000000"/>
        </w:rPr>
      </w:r>
      <w:r w:rsidRPr="002E7013">
        <w:rPr>
          <w:rFonts w:eastAsia="Arial"/>
          <w:color w:val="000000"/>
        </w:rPr>
        <w:fldChar w:fldCharType="separate"/>
      </w:r>
      <w:r w:rsidR="00302D39" w:rsidRPr="00302D39">
        <w:rPr>
          <w:rFonts w:eastAsia="Calibri"/>
        </w:rPr>
        <w:t>Part D</w:t>
      </w:r>
      <w:r w:rsidRPr="002E7013">
        <w:rPr>
          <w:rFonts w:eastAsia="Arial"/>
          <w:color w:val="000000"/>
        </w:rPr>
        <w:fldChar w:fldCharType="end"/>
      </w:r>
      <w:r w:rsidRPr="00025910">
        <w:t xml:space="preserve"> of this Schedule.</w:t>
      </w:r>
    </w:p>
    <w:p w14:paraId="286860F1" w14:textId="77777777" w:rsidR="00F67E9E" w:rsidRPr="00025910" w:rsidRDefault="00F67E9E" w:rsidP="00F67E9E">
      <w:pPr>
        <w:pStyle w:val="AppendixText1"/>
      </w:pPr>
      <w:r w:rsidRPr="00025910">
        <w:t>Supplier Indemnities</w:t>
      </w:r>
    </w:p>
    <w:p w14:paraId="475BD451" w14:textId="77777777" w:rsidR="00F67E9E" w:rsidRDefault="00F67E9E" w:rsidP="00F67E9E">
      <w:pPr>
        <w:pStyle w:val="AppendixText2"/>
      </w:pPr>
      <w:r w:rsidRPr="00025910">
        <w:t>The Supplier must indemnify and keep indemnified the Authority and any Replacement Supplier against all Losses arising out of any claim by any NHSPS Fair Deal Employee or any NHS Broadly Comparable Employees that the provision of (or failure to provide) Pension Benefits and NHS Premature Retirement Rights from the Relevant Transfer Date, or the level of such benefit provided, constitutes a breach of his or her employment rights.</w:t>
      </w:r>
    </w:p>
    <w:p w14:paraId="28ED0E4E" w14:textId="77777777" w:rsidR="00F67E9E" w:rsidRDefault="00F67E9E" w:rsidP="00F67E9E"/>
    <w:p w14:paraId="294A88E0" w14:textId="77777777" w:rsidR="00F67E9E" w:rsidRDefault="00F67E9E" w:rsidP="00F67E9E">
      <w:pPr>
        <w:pStyle w:val="Heading2"/>
        <w:pageBreakBefore/>
      </w:pPr>
      <w:bookmarkStart w:id="2652" w:name="_Ref41978739"/>
      <w:bookmarkStart w:id="2653" w:name="_Toc141711991"/>
      <w:r w:rsidRPr="00025910">
        <w:t xml:space="preserve">Annex </w:t>
      </w:r>
      <w:bookmarkStart w:id="2654" w:name="ANNEXD3_SCHEDULE28"/>
      <w:r w:rsidRPr="00025910">
        <w:t>D3</w:t>
      </w:r>
      <w:bookmarkEnd w:id="2654"/>
      <w:r w:rsidRPr="00025910">
        <w:t xml:space="preserve">: </w:t>
      </w:r>
      <w:bookmarkStart w:id="2655" w:name="ANNEXD3HEADING_SCHEDULE28"/>
      <w:r w:rsidRPr="00025910">
        <w:t>LGPS</w:t>
      </w:r>
      <w:bookmarkEnd w:id="2652"/>
      <w:bookmarkEnd w:id="2653"/>
      <w:bookmarkEnd w:id="2655"/>
    </w:p>
    <w:p w14:paraId="2B71B83E" w14:textId="77777777" w:rsidR="00F67E9E" w:rsidRPr="00025910" w:rsidRDefault="00F67E9E" w:rsidP="00F67E9E">
      <w:pPr>
        <w:pStyle w:val="AppendixText1"/>
        <w:numPr>
          <w:ilvl w:val="0"/>
          <w:numId w:val="81"/>
        </w:numPr>
      </w:pPr>
      <w:r w:rsidRPr="00620079">
        <w:t>Definitions</w:t>
      </w:r>
    </w:p>
    <w:p w14:paraId="44B5E536" w14:textId="0AF5D3B4" w:rsidR="00F67E9E" w:rsidRPr="00025910" w:rsidRDefault="00F67E9E" w:rsidP="00F67E9E">
      <w:pPr>
        <w:pStyle w:val="AppendixText2"/>
      </w:pPr>
      <w:r w:rsidRPr="00025910">
        <w:t xml:space="preserve">In this Annex </w:t>
      </w:r>
      <w:r w:rsidRPr="00025910">
        <w:fldChar w:fldCharType="begin"/>
      </w:r>
      <w:r w:rsidRPr="00025910">
        <w:instrText xml:space="preserve"> REF ANNEXD3_SCHEDULE28 \h </w:instrText>
      </w:r>
      <w:r>
        <w:instrText xml:space="preserve"> \* MERGEFORMAT </w:instrText>
      </w:r>
      <w:r w:rsidRPr="00025910">
        <w:fldChar w:fldCharType="separate"/>
      </w:r>
      <w:r w:rsidR="00302D39" w:rsidRPr="00025910">
        <w:t>D3</w:t>
      </w:r>
      <w:r w:rsidRPr="00025910">
        <w:fldChar w:fldCharType="end"/>
      </w:r>
      <w:r w:rsidRPr="00025910">
        <w:t xml:space="preserve"> </w:t>
      </w:r>
      <w:r w:rsidRPr="00025910">
        <w:fldChar w:fldCharType="begin"/>
      </w:r>
      <w:r w:rsidRPr="00025910">
        <w:instrText xml:space="preserve"> REF ANNEXD3HEADING_SCHEDULE28 \h </w:instrText>
      </w:r>
      <w:r>
        <w:instrText xml:space="preserve"> \* MERGEFORMAT </w:instrText>
      </w:r>
      <w:r w:rsidRPr="00025910">
        <w:fldChar w:fldCharType="separate"/>
      </w:r>
      <w:r w:rsidR="00302D39" w:rsidRPr="00025910">
        <w:t>LGPS</w:t>
      </w:r>
      <w:r w:rsidRPr="00025910">
        <w:fldChar w:fldCharType="end"/>
      </w:r>
      <w:r w:rsidRPr="00025910">
        <w:t xml:space="preserve"> to </w:t>
      </w:r>
      <w:bookmarkStart w:id="2656" w:name="_9kMJI5YVt4DEFKEZGp9W"/>
      <w:bookmarkEnd w:id="2656"/>
      <w:r w:rsidRPr="002E7013">
        <w:rPr>
          <w:rFonts w:eastAsia="Arial"/>
          <w:color w:val="000000"/>
        </w:rPr>
        <w:fldChar w:fldCharType="begin"/>
      </w:r>
      <w:r w:rsidRPr="002E7013">
        <w:rPr>
          <w:rFonts w:eastAsia="Arial"/>
          <w:color w:val="000000"/>
        </w:rPr>
        <w:instrText xml:space="preserve"> REF Sch28PartD \h  \* MERGEFORMAT </w:instrText>
      </w:r>
      <w:r w:rsidRPr="002E7013">
        <w:rPr>
          <w:rFonts w:eastAsia="Arial"/>
          <w:color w:val="000000"/>
        </w:rPr>
      </w:r>
      <w:r w:rsidRPr="002E7013">
        <w:rPr>
          <w:rFonts w:eastAsia="Arial"/>
          <w:color w:val="000000"/>
        </w:rPr>
        <w:fldChar w:fldCharType="separate"/>
      </w:r>
      <w:r w:rsidR="00302D39" w:rsidRPr="00302D39">
        <w:rPr>
          <w:rFonts w:eastAsia="Calibri"/>
        </w:rPr>
        <w:t>Part D</w:t>
      </w:r>
      <w:r w:rsidRPr="002E7013">
        <w:rPr>
          <w:rFonts w:eastAsia="Arial"/>
          <w:color w:val="000000"/>
        </w:rPr>
        <w:fldChar w:fldCharType="end"/>
      </w:r>
      <w:r w:rsidRPr="00025910">
        <w:t xml:space="preserve">: </w:t>
      </w:r>
      <w:r>
        <w:fldChar w:fldCharType="begin"/>
      </w:r>
      <w:r>
        <w:instrText xml:space="preserve"> REF PartDSchedule28Heading \h </w:instrText>
      </w:r>
      <w:r>
        <w:fldChar w:fldCharType="separate"/>
      </w:r>
      <w:r w:rsidR="00302D39" w:rsidRPr="00025910">
        <w:t>Pensions</w:t>
      </w:r>
      <w:r>
        <w:fldChar w:fldCharType="end"/>
      </w:r>
      <w:r w:rsidRPr="00025910">
        <w:t xml:space="preserve">, the following words have the following </w:t>
      </w:r>
      <w:r w:rsidRPr="00620079">
        <w:t>meanings</w:t>
      </w:r>
      <w:r w:rsidRPr="00025910">
        <w:t>:</w:t>
      </w:r>
    </w:p>
    <w:tbl>
      <w:tblPr>
        <w:tblStyle w:val="MSAdefinitions"/>
        <w:tblW w:w="9630" w:type="dxa"/>
        <w:tblLook w:val="04A0" w:firstRow="1" w:lastRow="0" w:firstColumn="1" w:lastColumn="0" w:noHBand="0" w:noVBand="1"/>
      </w:tblPr>
      <w:tblGrid>
        <w:gridCol w:w="2835"/>
        <w:gridCol w:w="6795"/>
      </w:tblGrid>
      <w:tr w:rsidR="00F67E9E" w:rsidRPr="00CD4FDC" w14:paraId="3C6E02C3" w14:textId="77777777" w:rsidTr="007F74AA">
        <w:tc>
          <w:tcPr>
            <w:tcW w:w="2835" w:type="dxa"/>
          </w:tcPr>
          <w:p w14:paraId="1127156C" w14:textId="77777777" w:rsidR="00F67E9E" w:rsidRPr="00CD4FDC" w:rsidRDefault="00F67E9E" w:rsidP="007F74AA">
            <w:pPr>
              <w:pStyle w:val="StdBodyTextBold"/>
              <w:rPr>
                <w:rFonts w:cs="Arial"/>
              </w:rPr>
            </w:pPr>
            <w:r>
              <w:rPr>
                <w:rFonts w:cs="Arial"/>
              </w:rPr>
              <w:t>“</w:t>
            </w:r>
            <w:r w:rsidRPr="00CD4FDC">
              <w:rPr>
                <w:rFonts w:cs="Arial"/>
              </w:rPr>
              <w:t>2013 Regulations</w:t>
            </w:r>
            <w:r>
              <w:rPr>
                <w:rFonts w:cs="Arial"/>
              </w:rPr>
              <w:t>”</w:t>
            </w:r>
          </w:p>
        </w:tc>
        <w:tc>
          <w:tcPr>
            <w:tcW w:w="6795" w:type="dxa"/>
          </w:tcPr>
          <w:p w14:paraId="236D8AAE" w14:textId="77777777" w:rsidR="00F67E9E" w:rsidRPr="00CD4FDC" w:rsidRDefault="00F67E9E" w:rsidP="007F74AA">
            <w:pPr>
              <w:pStyle w:val="StdBodyText"/>
              <w:rPr>
                <w:rFonts w:cs="Arial"/>
              </w:rPr>
            </w:pPr>
            <w:r w:rsidRPr="00CD4FDC">
              <w:rPr>
                <w:rFonts w:cs="Arial"/>
              </w:rPr>
              <w:t>the Local Government Pension Scheme Regulations 2013 (SI</w:t>
            </w:r>
            <w:r>
              <w:rPr>
                <w:rFonts w:cs="Arial"/>
              </w:rPr>
              <w:t> </w:t>
            </w:r>
            <w:r w:rsidRPr="00CD4FDC">
              <w:rPr>
                <w:rFonts w:cs="Arial"/>
              </w:rPr>
              <w:t>2013/2356) (as amended from time to time);</w:t>
            </w:r>
          </w:p>
        </w:tc>
      </w:tr>
      <w:tr w:rsidR="00F67E9E" w:rsidRPr="00CD4FDC" w14:paraId="66E94D99" w14:textId="77777777" w:rsidTr="007F74AA">
        <w:tc>
          <w:tcPr>
            <w:tcW w:w="2835" w:type="dxa"/>
          </w:tcPr>
          <w:p w14:paraId="636CCC9A" w14:textId="77777777" w:rsidR="00F67E9E" w:rsidRPr="00CD4FDC" w:rsidRDefault="00F67E9E" w:rsidP="007F74AA">
            <w:pPr>
              <w:pStyle w:val="StdBodyTextBold"/>
              <w:rPr>
                <w:rFonts w:cs="Arial"/>
              </w:rPr>
            </w:pPr>
            <w:r>
              <w:rPr>
                <w:rFonts w:cs="Arial"/>
              </w:rPr>
              <w:t>“</w:t>
            </w:r>
            <w:r w:rsidRPr="00CD4FDC">
              <w:rPr>
                <w:rFonts w:cs="Arial"/>
              </w:rPr>
              <w:t>Administering Authority</w:t>
            </w:r>
            <w:r>
              <w:rPr>
                <w:rFonts w:cs="Arial"/>
              </w:rPr>
              <w:t>”</w:t>
            </w:r>
          </w:p>
        </w:tc>
        <w:tc>
          <w:tcPr>
            <w:tcW w:w="6795" w:type="dxa"/>
          </w:tcPr>
          <w:p w14:paraId="5FF22103" w14:textId="77777777" w:rsidR="00F67E9E" w:rsidRPr="00CD4FDC" w:rsidRDefault="00F67E9E" w:rsidP="007F74AA">
            <w:pPr>
              <w:pStyle w:val="StdBodyText"/>
              <w:rPr>
                <w:rFonts w:cs="Arial"/>
              </w:rPr>
            </w:pPr>
            <w:r w:rsidRPr="00CD4FDC">
              <w:rPr>
                <w:rFonts w:cs="Arial"/>
              </w:rPr>
              <w:t xml:space="preserve">in relation to </w:t>
            </w:r>
            <w:r w:rsidRPr="00401120">
              <w:rPr>
                <w:rStyle w:val="StdBodyTextBoldChar"/>
                <w:rFonts w:cs="Arial"/>
              </w:rPr>
              <w:t>the Fund</w:t>
            </w:r>
            <w:r w:rsidRPr="00B1698D">
              <w:rPr>
                <w:rStyle w:val="StdBodyTextBoldChar"/>
                <w:rFonts w:cs="Arial"/>
                <w:b w:val="0"/>
                <w:bCs/>
              </w:rPr>
              <w:t xml:space="preserve"> </w:t>
            </w:r>
            <w:r w:rsidRPr="00B73DD6">
              <w:rPr>
                <w:rStyle w:val="StdBodyTextBoldChar"/>
                <w:rFonts w:cs="Arial"/>
                <w:bCs/>
                <w:highlight w:val="yellow"/>
              </w:rPr>
              <w:t>[insert</w:t>
            </w:r>
            <w:r w:rsidRPr="00B1698D">
              <w:rPr>
                <w:rStyle w:val="StdBodyTextBoldChar"/>
                <w:rFonts w:cs="Arial"/>
                <w:b w:val="0"/>
                <w:bCs/>
                <w:highlight w:val="yellow"/>
              </w:rPr>
              <w:t xml:space="preserve"> name]</w:t>
            </w:r>
            <w:r w:rsidRPr="00CD4FDC">
              <w:rPr>
                <w:rFonts w:cs="Arial"/>
              </w:rPr>
              <w:t>,</w:t>
            </w:r>
            <w:r>
              <w:rPr>
                <w:rFonts w:cs="Arial"/>
              </w:rPr>
              <w:t xml:space="preserve"> </w:t>
            </w:r>
            <w:r w:rsidRPr="00CD4FDC">
              <w:rPr>
                <w:rFonts w:cs="Arial"/>
              </w:rPr>
              <w:t>the relevant administering authority of that Fund for the purposes of the 2013 Regulations;</w:t>
            </w:r>
          </w:p>
        </w:tc>
      </w:tr>
      <w:tr w:rsidR="00F67E9E" w:rsidRPr="00CD4FDC" w14:paraId="5342F72F" w14:textId="77777777" w:rsidTr="007F74AA">
        <w:tc>
          <w:tcPr>
            <w:tcW w:w="2835" w:type="dxa"/>
          </w:tcPr>
          <w:p w14:paraId="1F52DACC" w14:textId="77777777" w:rsidR="00F67E9E" w:rsidRPr="00CD4FDC" w:rsidRDefault="00F67E9E" w:rsidP="007F74AA">
            <w:pPr>
              <w:pStyle w:val="StdBodyTextBold"/>
              <w:rPr>
                <w:rFonts w:cs="Arial"/>
              </w:rPr>
            </w:pPr>
            <w:r>
              <w:rPr>
                <w:rFonts w:cs="Arial"/>
              </w:rPr>
              <w:t>“</w:t>
            </w:r>
            <w:r w:rsidRPr="00CD4FDC">
              <w:rPr>
                <w:rFonts w:cs="Arial"/>
              </w:rPr>
              <w:t>Fund Actuary</w:t>
            </w:r>
            <w:r>
              <w:rPr>
                <w:rFonts w:cs="Arial"/>
              </w:rPr>
              <w:t>”</w:t>
            </w:r>
          </w:p>
        </w:tc>
        <w:tc>
          <w:tcPr>
            <w:tcW w:w="6795" w:type="dxa"/>
          </w:tcPr>
          <w:p w14:paraId="48A09362" w14:textId="77777777" w:rsidR="00F67E9E" w:rsidRPr="00CD4FDC" w:rsidRDefault="00F67E9E" w:rsidP="007F74AA">
            <w:pPr>
              <w:pStyle w:val="StdBodyText"/>
              <w:rPr>
                <w:rFonts w:cs="Arial"/>
              </w:rPr>
            </w:pPr>
            <w:r w:rsidRPr="00CD4FDC">
              <w:rPr>
                <w:rFonts w:cs="Arial"/>
              </w:rPr>
              <w:t>the actuary to a Fund appointed by the Administering Authority of the Fund;</w:t>
            </w:r>
          </w:p>
        </w:tc>
      </w:tr>
      <w:tr w:rsidR="00F67E9E" w:rsidRPr="00CD4FDC" w14:paraId="644B680E" w14:textId="77777777" w:rsidTr="007F74AA">
        <w:tc>
          <w:tcPr>
            <w:tcW w:w="2835" w:type="dxa"/>
          </w:tcPr>
          <w:p w14:paraId="4B11A515" w14:textId="77777777" w:rsidR="00F67E9E" w:rsidRPr="00CD4FDC" w:rsidRDefault="00F67E9E" w:rsidP="007F74AA">
            <w:pPr>
              <w:pStyle w:val="StdBodyTextBold"/>
              <w:rPr>
                <w:rFonts w:cs="Arial"/>
              </w:rPr>
            </w:pPr>
            <w:r>
              <w:rPr>
                <w:rFonts w:cs="Arial"/>
              </w:rPr>
              <w:t>“</w:t>
            </w:r>
            <w:r w:rsidRPr="00CD4FDC">
              <w:rPr>
                <w:rFonts w:cs="Arial"/>
              </w:rPr>
              <w:t>Fund</w:t>
            </w:r>
            <w:r>
              <w:rPr>
                <w:rFonts w:cs="Arial"/>
              </w:rPr>
              <w:t>”</w:t>
            </w:r>
          </w:p>
        </w:tc>
        <w:tc>
          <w:tcPr>
            <w:tcW w:w="6795" w:type="dxa"/>
          </w:tcPr>
          <w:p w14:paraId="7EF6FCC1" w14:textId="77777777" w:rsidR="00F67E9E" w:rsidRPr="00B1698D" w:rsidRDefault="00F67E9E" w:rsidP="007F74AA">
            <w:pPr>
              <w:pStyle w:val="StdBodyTextBold"/>
              <w:rPr>
                <w:rFonts w:cs="Arial"/>
                <w:b w:val="0"/>
                <w:bCs/>
              </w:rPr>
            </w:pPr>
            <w:r w:rsidRPr="00B73DD6">
              <w:rPr>
                <w:rFonts w:cs="Arial"/>
                <w:bCs/>
              </w:rPr>
              <w:t>[insert</w:t>
            </w:r>
            <w:r w:rsidRPr="00B1698D">
              <w:rPr>
                <w:rFonts w:cs="Arial"/>
                <w:b w:val="0"/>
                <w:bCs/>
                <w:highlight w:val="yellow"/>
              </w:rPr>
              <w:t xml:space="preserve"> name</w:t>
            </w:r>
            <w:r w:rsidRPr="00B1698D">
              <w:rPr>
                <w:rFonts w:cs="Arial"/>
                <w:b w:val="0"/>
                <w:bCs/>
              </w:rPr>
              <w:t>], a pension fund within the LGPS;</w:t>
            </w:r>
          </w:p>
        </w:tc>
      </w:tr>
      <w:tr w:rsidR="00F67E9E" w:rsidRPr="00CD4FDC" w14:paraId="4945B4F7" w14:textId="77777777" w:rsidTr="007F74AA">
        <w:tc>
          <w:tcPr>
            <w:tcW w:w="2835" w:type="dxa"/>
          </w:tcPr>
          <w:p w14:paraId="3BE3C950" w14:textId="77777777" w:rsidR="00F67E9E" w:rsidRPr="00CD4FDC" w:rsidRDefault="00F67E9E" w:rsidP="007F74AA">
            <w:pPr>
              <w:pStyle w:val="StdBodyTextBold"/>
              <w:rPr>
                <w:rFonts w:cs="Arial"/>
              </w:rPr>
            </w:pPr>
            <w:r w:rsidRPr="00CD4FDC">
              <w:rPr>
                <w:rFonts w:cs="Arial"/>
                <w:highlight w:val="yellow"/>
              </w:rPr>
              <w:t>[</w:t>
            </w:r>
            <w:r>
              <w:rPr>
                <w:rFonts w:cs="Arial"/>
                <w:highlight w:val="yellow"/>
              </w:rPr>
              <w:t>“</w:t>
            </w:r>
            <w:r w:rsidRPr="00CD4FDC">
              <w:rPr>
                <w:rFonts w:cs="Arial"/>
                <w:highlight w:val="yellow"/>
              </w:rPr>
              <w:t>Initial Contribution Rate</w:t>
            </w:r>
            <w:r>
              <w:rPr>
                <w:rFonts w:cs="Arial"/>
                <w:highlight w:val="yellow"/>
              </w:rPr>
              <w:t>”</w:t>
            </w:r>
            <w:r w:rsidRPr="00CD4FDC">
              <w:rPr>
                <w:rFonts w:cs="Arial"/>
                <w:highlight w:val="yellow"/>
              </w:rPr>
              <w:t>]</w:t>
            </w:r>
          </w:p>
        </w:tc>
        <w:tc>
          <w:tcPr>
            <w:tcW w:w="6795" w:type="dxa"/>
          </w:tcPr>
          <w:p w14:paraId="2CAECEF1" w14:textId="77777777" w:rsidR="00F67E9E" w:rsidRPr="00CD4FDC" w:rsidRDefault="00F67E9E" w:rsidP="007F74AA">
            <w:pPr>
              <w:pStyle w:val="StdBodyText"/>
              <w:rPr>
                <w:rFonts w:cs="Arial"/>
              </w:rPr>
            </w:pPr>
            <w:r w:rsidRPr="00CD4FDC">
              <w:rPr>
                <w:rFonts w:cs="Arial"/>
                <w:highlight w:val="yellow"/>
              </w:rPr>
              <w:t>[</w:t>
            </w:r>
            <w:r w:rsidRPr="00B1698D">
              <w:rPr>
                <w:rFonts w:cs="Arial"/>
                <w:highlight w:val="yellow"/>
              </w:rPr>
              <w:t>XX</w:t>
            </w:r>
            <w:r w:rsidRPr="0040049C">
              <w:rPr>
                <w:rFonts w:cs="Arial"/>
                <w:b/>
                <w:bCs/>
                <w:highlight w:val="yellow"/>
              </w:rPr>
              <w:t>%</w:t>
            </w:r>
            <w:r w:rsidRPr="00CD4FDC">
              <w:rPr>
                <w:rFonts w:cs="Arial"/>
                <w:highlight w:val="yellow"/>
              </w:rPr>
              <w:t>] of pensionable pay (as defined in the 2013</w:t>
            </w:r>
            <w:r>
              <w:rPr>
                <w:rFonts w:cs="Arial"/>
                <w:highlight w:val="yellow"/>
              </w:rPr>
              <w:t xml:space="preserve"> </w:t>
            </w:r>
            <w:r w:rsidRPr="00CD4FDC">
              <w:rPr>
                <w:rFonts w:cs="Arial"/>
                <w:highlight w:val="yellow"/>
              </w:rPr>
              <w:t>Regulations);]</w:t>
            </w:r>
          </w:p>
        </w:tc>
      </w:tr>
      <w:tr w:rsidR="00F67E9E" w:rsidRPr="00CD4FDC" w14:paraId="133E3C74" w14:textId="77777777" w:rsidTr="007F74AA">
        <w:tc>
          <w:tcPr>
            <w:tcW w:w="2835" w:type="dxa"/>
          </w:tcPr>
          <w:p w14:paraId="123C312A" w14:textId="77777777" w:rsidR="00F67E9E" w:rsidRPr="00CD4FDC" w:rsidRDefault="00F67E9E" w:rsidP="007F74AA">
            <w:pPr>
              <w:pStyle w:val="StdBodyTextBold"/>
              <w:rPr>
                <w:rFonts w:cs="Arial"/>
              </w:rPr>
            </w:pPr>
            <w:r>
              <w:rPr>
                <w:rFonts w:cs="Arial"/>
              </w:rPr>
              <w:t>“</w:t>
            </w:r>
            <w:r w:rsidRPr="00CD4FDC">
              <w:rPr>
                <w:rFonts w:cs="Arial"/>
              </w:rPr>
              <w:t>LGPS</w:t>
            </w:r>
            <w:r>
              <w:rPr>
                <w:rFonts w:cs="Arial"/>
              </w:rPr>
              <w:t>”</w:t>
            </w:r>
          </w:p>
        </w:tc>
        <w:tc>
          <w:tcPr>
            <w:tcW w:w="6795" w:type="dxa"/>
          </w:tcPr>
          <w:p w14:paraId="2A36CC09" w14:textId="77777777" w:rsidR="00F67E9E" w:rsidRPr="00CD4FDC" w:rsidRDefault="00F67E9E" w:rsidP="007F74AA">
            <w:pPr>
              <w:pStyle w:val="StdBodyText"/>
              <w:rPr>
                <w:rFonts w:cs="Arial"/>
              </w:rPr>
            </w:pPr>
            <w:r w:rsidRPr="00CD4FDC">
              <w:rPr>
                <w:rFonts w:cs="Arial"/>
              </w:rPr>
              <w:t>the Local Government Pension Scheme as governed by the LGPS Regulations, and any other regulations (in each case as amended from time to time) which are from time to time applicable to the Local Government Pension Scheme;</w:t>
            </w:r>
          </w:p>
        </w:tc>
      </w:tr>
      <w:tr w:rsidR="00F67E9E" w:rsidRPr="00025910" w14:paraId="330CA4A9" w14:textId="77777777" w:rsidTr="007F74AA">
        <w:tc>
          <w:tcPr>
            <w:tcW w:w="2835" w:type="dxa"/>
          </w:tcPr>
          <w:p w14:paraId="55A1F70B" w14:textId="77777777" w:rsidR="00F67E9E" w:rsidRPr="00025910" w:rsidRDefault="00F67E9E" w:rsidP="007F74AA">
            <w:pPr>
              <w:pStyle w:val="StdBodyTextBold"/>
              <w:rPr>
                <w:rFonts w:cs="Arial"/>
              </w:rPr>
            </w:pPr>
            <w:r>
              <w:rPr>
                <w:rFonts w:cs="Arial"/>
              </w:rPr>
              <w:t>“</w:t>
            </w:r>
            <w:r w:rsidRPr="00025910">
              <w:rPr>
                <w:rFonts w:cs="Arial"/>
              </w:rPr>
              <w:t>LGPS Admission Agreement</w:t>
            </w:r>
            <w:r>
              <w:rPr>
                <w:rFonts w:cs="Arial"/>
              </w:rPr>
              <w:t>”</w:t>
            </w:r>
          </w:p>
        </w:tc>
        <w:tc>
          <w:tcPr>
            <w:tcW w:w="6795" w:type="dxa"/>
          </w:tcPr>
          <w:p w14:paraId="418F5715" w14:textId="77777777" w:rsidR="00F67E9E" w:rsidRPr="00025910" w:rsidRDefault="00F67E9E" w:rsidP="007F74AA">
            <w:pPr>
              <w:pStyle w:val="StdBodyText"/>
              <w:rPr>
                <w:rFonts w:cs="Arial"/>
              </w:rPr>
            </w:pPr>
            <w:r w:rsidRPr="00025910">
              <w:rPr>
                <w:rFonts w:cs="Arial"/>
              </w:rPr>
              <w:t xml:space="preserve">an admission agreement within the meaning in </w:t>
            </w:r>
            <w:bookmarkStart w:id="2657" w:name="_9kR3WTr2CC7EGdJfifw5q7"/>
            <w:r w:rsidRPr="00025910">
              <w:rPr>
                <w:rFonts w:cs="Arial"/>
              </w:rPr>
              <w:t>Schedule</w:t>
            </w:r>
            <w:r>
              <w:rPr>
                <w:rFonts w:cs="Arial"/>
              </w:rPr>
              <w:t> </w:t>
            </w:r>
            <w:r w:rsidRPr="00025910">
              <w:rPr>
                <w:rFonts w:cs="Arial"/>
              </w:rPr>
              <w:t>1</w:t>
            </w:r>
            <w:bookmarkEnd w:id="2657"/>
            <w:r w:rsidRPr="00025910">
              <w:rPr>
                <w:rFonts w:cs="Arial"/>
              </w:rPr>
              <w:t xml:space="preserve"> of the 2013 Regulations;</w:t>
            </w:r>
          </w:p>
        </w:tc>
      </w:tr>
      <w:tr w:rsidR="00F67E9E" w:rsidRPr="00025910" w14:paraId="5F8C9B85" w14:textId="77777777" w:rsidTr="007F74AA">
        <w:tc>
          <w:tcPr>
            <w:tcW w:w="2835" w:type="dxa"/>
          </w:tcPr>
          <w:p w14:paraId="0715ADAE" w14:textId="77777777" w:rsidR="00F67E9E" w:rsidRPr="00025910" w:rsidRDefault="00F67E9E" w:rsidP="007F74AA">
            <w:pPr>
              <w:pStyle w:val="StdBodyTextBold"/>
              <w:rPr>
                <w:rFonts w:cs="Arial"/>
              </w:rPr>
            </w:pPr>
            <w:r>
              <w:rPr>
                <w:rFonts w:cs="Arial"/>
              </w:rPr>
              <w:t>“</w:t>
            </w:r>
            <w:r w:rsidRPr="00025910">
              <w:rPr>
                <w:rFonts w:cs="Arial"/>
              </w:rPr>
              <w:t>LGPS Admission Body</w:t>
            </w:r>
            <w:r>
              <w:rPr>
                <w:rFonts w:cs="Arial"/>
              </w:rPr>
              <w:t>”</w:t>
            </w:r>
          </w:p>
        </w:tc>
        <w:tc>
          <w:tcPr>
            <w:tcW w:w="6795" w:type="dxa"/>
          </w:tcPr>
          <w:p w14:paraId="65B4AE39" w14:textId="77777777" w:rsidR="00F67E9E" w:rsidRPr="00025910" w:rsidRDefault="00F67E9E" w:rsidP="007F74AA">
            <w:pPr>
              <w:pStyle w:val="StdBodyText"/>
              <w:rPr>
                <w:rFonts w:cs="Arial"/>
              </w:rPr>
            </w:pPr>
            <w:r w:rsidRPr="00025910">
              <w:rPr>
                <w:rFonts w:cs="Arial"/>
              </w:rPr>
              <w:t xml:space="preserve">an admission body (within the meaning </w:t>
            </w:r>
            <w:bookmarkStart w:id="2658" w:name="_9kR3WTr2CC7EHbEn7K"/>
            <w:bookmarkEnd w:id="2658"/>
            <w:r w:rsidRPr="00025910">
              <w:rPr>
                <w:rFonts w:cs="Arial"/>
              </w:rPr>
              <w:t xml:space="preserve">of </w:t>
            </w:r>
            <w:bookmarkStart w:id="2659" w:name="_9kR3WTr2CC7EIcEn7K"/>
            <w:r w:rsidRPr="00025910">
              <w:rPr>
                <w:rFonts w:cs="Arial"/>
              </w:rPr>
              <w:t>Part 3</w:t>
            </w:r>
            <w:bookmarkEnd w:id="2659"/>
            <w:r w:rsidRPr="00025910">
              <w:rPr>
                <w:rFonts w:cs="Arial"/>
              </w:rPr>
              <w:t xml:space="preserve"> of </w:t>
            </w:r>
            <w:bookmarkStart w:id="2660" w:name="_9kR3WTr2CC7EJgJfifw5q8"/>
            <w:r w:rsidRPr="00025910">
              <w:rPr>
                <w:rFonts w:cs="Arial"/>
              </w:rPr>
              <w:t>Schedule 2</w:t>
            </w:r>
            <w:bookmarkEnd w:id="2660"/>
            <w:r w:rsidRPr="00025910">
              <w:rPr>
                <w:rFonts w:cs="Arial"/>
              </w:rPr>
              <w:t xml:space="preserve"> of the 2013 Regulations);</w:t>
            </w:r>
          </w:p>
        </w:tc>
      </w:tr>
      <w:tr w:rsidR="00F67E9E" w:rsidRPr="00025910" w14:paraId="28EDB2F9" w14:textId="77777777" w:rsidTr="007F74AA">
        <w:tc>
          <w:tcPr>
            <w:tcW w:w="2835" w:type="dxa"/>
          </w:tcPr>
          <w:p w14:paraId="30371CDA" w14:textId="77777777" w:rsidR="00F67E9E" w:rsidRPr="00025910" w:rsidRDefault="00F67E9E" w:rsidP="007F74AA">
            <w:pPr>
              <w:pStyle w:val="StdBodyTextBold"/>
              <w:rPr>
                <w:rFonts w:cs="Arial"/>
              </w:rPr>
            </w:pPr>
            <w:r>
              <w:rPr>
                <w:rFonts w:cs="Arial"/>
              </w:rPr>
              <w:t>“</w:t>
            </w:r>
            <w:r w:rsidRPr="00025910">
              <w:rPr>
                <w:rFonts w:cs="Arial"/>
              </w:rPr>
              <w:t>LGPS Eligible Employees</w:t>
            </w:r>
            <w:r>
              <w:rPr>
                <w:rFonts w:cs="Arial"/>
              </w:rPr>
              <w:t>”</w:t>
            </w:r>
          </w:p>
        </w:tc>
        <w:tc>
          <w:tcPr>
            <w:tcW w:w="6795" w:type="dxa"/>
          </w:tcPr>
          <w:p w14:paraId="4D5AA160" w14:textId="77777777" w:rsidR="00F67E9E" w:rsidRPr="00025910" w:rsidRDefault="00F67E9E" w:rsidP="007F74AA">
            <w:pPr>
              <w:pStyle w:val="StdBodyText"/>
              <w:rPr>
                <w:rFonts w:cs="Arial"/>
              </w:rPr>
            </w:pPr>
            <w:r w:rsidRPr="00025910">
              <w:rPr>
                <w:rFonts w:cs="Arial"/>
              </w:rPr>
              <w:t>any LGPS Fair Deal Employee who at the relevant time is an active member or eligible to participate in the LGPS under an LGPS Admission Agreement;</w:t>
            </w:r>
          </w:p>
        </w:tc>
      </w:tr>
      <w:tr w:rsidR="00F67E9E" w:rsidRPr="00025910" w14:paraId="58E9A1ED" w14:textId="77777777" w:rsidTr="007F74AA">
        <w:tc>
          <w:tcPr>
            <w:tcW w:w="2835" w:type="dxa"/>
          </w:tcPr>
          <w:p w14:paraId="41F7BECB" w14:textId="77777777" w:rsidR="00F67E9E" w:rsidRPr="00025910" w:rsidRDefault="00F67E9E" w:rsidP="007F74AA">
            <w:pPr>
              <w:pStyle w:val="StdBodyTextBold"/>
              <w:rPr>
                <w:rFonts w:cs="Arial"/>
              </w:rPr>
            </w:pPr>
            <w:r>
              <w:rPr>
                <w:rFonts w:cs="Arial"/>
              </w:rPr>
              <w:t>“</w:t>
            </w:r>
            <w:r w:rsidRPr="00025910">
              <w:rPr>
                <w:rFonts w:cs="Arial"/>
              </w:rPr>
              <w:t>LGPS Fair Deal</w:t>
            </w:r>
            <w:r>
              <w:rPr>
                <w:rFonts w:cs="Arial"/>
              </w:rPr>
              <w:t xml:space="preserve"> </w:t>
            </w:r>
            <w:r w:rsidRPr="00025910">
              <w:rPr>
                <w:rFonts w:cs="Arial"/>
              </w:rPr>
              <w:t>Employees</w:t>
            </w:r>
            <w:r>
              <w:rPr>
                <w:rFonts w:cs="Arial"/>
              </w:rPr>
              <w:t>”</w:t>
            </w:r>
          </w:p>
        </w:tc>
        <w:tc>
          <w:tcPr>
            <w:tcW w:w="6795" w:type="dxa"/>
          </w:tcPr>
          <w:p w14:paraId="585F3E66" w14:textId="77777777" w:rsidR="00F67E9E" w:rsidRPr="00025910" w:rsidRDefault="00F67E9E" w:rsidP="007F74AA">
            <w:pPr>
              <w:pStyle w:val="StdBodyText"/>
              <w:rPr>
                <w:rFonts w:cs="Arial"/>
              </w:rPr>
            </w:pPr>
            <w:r w:rsidRPr="00025910">
              <w:rPr>
                <w:rFonts w:cs="Arial"/>
              </w:rPr>
              <w:t>any Fair Deal Employee who at the Relevant Transfer Date is or becomes entitled to protection in respect of the LGPS or a pension scheme that is Broadly Comparable to the LGPS in accordance with the provisions in accordance with the provisions of New Fair Deal and/or the Best Value Direction; and</w:t>
            </w:r>
          </w:p>
        </w:tc>
      </w:tr>
      <w:tr w:rsidR="00F67E9E" w:rsidRPr="00025910" w14:paraId="5CB64D37" w14:textId="77777777" w:rsidTr="007F74AA">
        <w:tc>
          <w:tcPr>
            <w:tcW w:w="2835" w:type="dxa"/>
          </w:tcPr>
          <w:p w14:paraId="15F5D6E5" w14:textId="77777777" w:rsidR="00F67E9E" w:rsidRPr="00025910" w:rsidRDefault="00F67E9E" w:rsidP="007F74AA">
            <w:pPr>
              <w:pStyle w:val="StdBodyTextBold"/>
              <w:rPr>
                <w:rFonts w:cs="Arial"/>
              </w:rPr>
            </w:pPr>
            <w:r>
              <w:rPr>
                <w:rFonts w:cs="Arial"/>
              </w:rPr>
              <w:t>“</w:t>
            </w:r>
            <w:r w:rsidRPr="00025910">
              <w:rPr>
                <w:rFonts w:cs="Arial"/>
              </w:rPr>
              <w:t>LGPS Regulations</w:t>
            </w:r>
            <w:r>
              <w:rPr>
                <w:rFonts w:cs="Arial"/>
              </w:rPr>
              <w:t>”</w:t>
            </w:r>
          </w:p>
        </w:tc>
        <w:tc>
          <w:tcPr>
            <w:tcW w:w="6795" w:type="dxa"/>
          </w:tcPr>
          <w:p w14:paraId="1341C1D9" w14:textId="77777777" w:rsidR="00F67E9E" w:rsidRPr="00025910" w:rsidRDefault="00F67E9E" w:rsidP="007F74AA">
            <w:pPr>
              <w:pStyle w:val="StdBodyText"/>
              <w:rPr>
                <w:rFonts w:cs="Arial"/>
              </w:rPr>
            </w:pPr>
            <w:r w:rsidRPr="00025910">
              <w:rPr>
                <w:rFonts w:cs="Arial"/>
              </w:rPr>
              <w:t>the 2013 Regulations and The Local Government Pension Scheme (Transitional Provisions, Savings and Amendment) Regulations 2014 (SI 2014/525), and any other regulations (in each case as amended from time to time) which are from time to time applicable to the LGPS.</w:t>
            </w:r>
          </w:p>
        </w:tc>
      </w:tr>
    </w:tbl>
    <w:p w14:paraId="58BD1756" w14:textId="77777777" w:rsidR="00F67E9E" w:rsidRPr="00025910" w:rsidRDefault="00F67E9E" w:rsidP="00F67E9E">
      <w:pPr>
        <w:pStyle w:val="AppendixText1"/>
      </w:pPr>
      <w:r>
        <w:t>S</w:t>
      </w:r>
      <w:r w:rsidRPr="00025910">
        <w:t xml:space="preserve">upplier to </w:t>
      </w:r>
      <w:r w:rsidRPr="00620079">
        <w:t>Become</w:t>
      </w:r>
      <w:r w:rsidRPr="00025910">
        <w:t xml:space="preserve"> an LGPS Admission Body</w:t>
      </w:r>
    </w:p>
    <w:p w14:paraId="69352EB5" w14:textId="77777777" w:rsidR="00F67E9E" w:rsidRPr="00025910" w:rsidRDefault="00F67E9E" w:rsidP="00F67E9E">
      <w:pPr>
        <w:pStyle w:val="AppendixText2"/>
      </w:pPr>
      <w:bookmarkStart w:id="2661" w:name="_Ref_ContractCompanion_9kb9Ut26G"/>
      <w:bookmarkStart w:id="2662" w:name="_9kR3WTrAGA6BDABSMlber7xhsvn8DBBCDz8MGD8"/>
      <w:r w:rsidRPr="00025910">
        <w:t xml:space="preserve">In accordance with the principles of New Fair Deal and/or the Best Value Direction, the Supplier and/or any of its Sub-contractors to which the employment of any LGPS Fair Deal Employee </w:t>
      </w:r>
      <w:r w:rsidRPr="00620079">
        <w:t>compulsorily</w:t>
      </w:r>
      <w:r w:rsidRPr="00025910">
        <w:t xml:space="preserve"> transfers as a result of either the award of this Contract</w:t>
      </w:r>
      <w:r w:rsidRPr="00025910" w:rsidDel="000D1FBB">
        <w:t xml:space="preserve"> </w:t>
      </w:r>
      <w:r w:rsidRPr="00025910">
        <w:t xml:space="preserve">or a Relevant Transfer, if not a scheme employer which participates automatically in the LGPS, shall each become an LGPS Admission Body by entering into an LGPS Admission Agreement </w:t>
      </w:r>
      <w:r>
        <w:t>with effect from</w:t>
      </w:r>
      <w:r w:rsidRPr="00025910">
        <w:t xml:space="preserve"> the Relevant Transfer Date to enable the LGPS Fair Deal Employees to retain either continuous active membership of or eligibility for the LGPS on and from the Relevant Transfer Date for so long as they remain employed in connection with the delivery of the Services under this Contract.</w:t>
      </w:r>
      <w:bookmarkEnd w:id="2661"/>
      <w:bookmarkEnd w:id="2662"/>
    </w:p>
    <w:p w14:paraId="384DC83F" w14:textId="77777777" w:rsidR="00F67E9E" w:rsidRPr="00CD4FDC" w:rsidRDefault="00F67E9E" w:rsidP="00F67E9E">
      <w:pPr>
        <w:pStyle w:val="StdBodyText2"/>
        <w:ind w:left="0"/>
        <w:rPr>
          <w:rFonts w:cs="Arial"/>
        </w:rPr>
      </w:pPr>
      <w:r w:rsidRPr="00CD4FDC">
        <w:rPr>
          <w:rFonts w:cs="Arial"/>
        </w:rPr>
        <w:t>OPTION 1</w:t>
      </w:r>
    </w:p>
    <w:p w14:paraId="1B07E158" w14:textId="77777777" w:rsidR="00F67E9E" w:rsidRPr="002E7013" w:rsidRDefault="00F67E9E" w:rsidP="00F67E9E">
      <w:pPr>
        <w:pStyle w:val="AppendixText2"/>
        <w:rPr>
          <w:highlight w:val="yellow"/>
        </w:rPr>
      </w:pPr>
      <w:r w:rsidRPr="002E7013">
        <w:rPr>
          <w:highlight w:val="yellow"/>
        </w:rPr>
        <w:t>[Any LGPS Fair Deal Employees who:</w:t>
      </w:r>
    </w:p>
    <w:p w14:paraId="185CB940" w14:textId="77777777" w:rsidR="00F67E9E" w:rsidRPr="00CD4FDC" w:rsidRDefault="00F67E9E" w:rsidP="00F67E9E">
      <w:pPr>
        <w:pStyle w:val="AppendixText3"/>
        <w:rPr>
          <w:highlight w:val="yellow"/>
        </w:rPr>
      </w:pPr>
      <w:r w:rsidRPr="00CD4FDC">
        <w:rPr>
          <w:highlight w:val="yellow"/>
        </w:rPr>
        <w:t>were active members of the LGPS (or a Broadly Comparable pension scheme) immediately before the Relevant Transfer Date shall be admitted to the LGPS with effect on and from the Relevant Transfer Date; and</w:t>
      </w:r>
    </w:p>
    <w:p w14:paraId="383B7C48" w14:textId="77777777" w:rsidR="00F67E9E" w:rsidRPr="00CD4FDC" w:rsidRDefault="00F67E9E" w:rsidP="00F67E9E">
      <w:pPr>
        <w:pStyle w:val="AppendixText3"/>
        <w:rPr>
          <w:highlight w:val="yellow"/>
        </w:rPr>
      </w:pPr>
      <w:r w:rsidRPr="00CD4FDC">
        <w:rPr>
          <w:highlight w:val="yellow"/>
        </w:rPr>
        <w:t>were eligible to join the LGPS (or a Broadly Comparable pension scheme) but were not active members of the LGPS (or a Broadly Comparable pension scheme) immediately before the Relevant Transfer Date shall retain the ability to join the LGPS on or after the Relevant Transfer Date if they wish to do so.]</w:t>
      </w:r>
    </w:p>
    <w:p w14:paraId="5D1B9A31" w14:textId="77777777" w:rsidR="00F67E9E" w:rsidRPr="00CD4FDC" w:rsidRDefault="00F67E9E" w:rsidP="00F67E9E">
      <w:pPr>
        <w:pStyle w:val="StdBodyText2"/>
        <w:ind w:left="0"/>
        <w:rPr>
          <w:rFonts w:cs="Arial"/>
        </w:rPr>
      </w:pPr>
      <w:r w:rsidRPr="00CD4FDC">
        <w:rPr>
          <w:rFonts w:cs="Arial"/>
        </w:rPr>
        <w:t>OPTION 2</w:t>
      </w:r>
    </w:p>
    <w:p w14:paraId="06F720F2" w14:textId="77777777" w:rsidR="00F67E9E" w:rsidRPr="00CD4FDC" w:rsidRDefault="00F67E9E" w:rsidP="00F67E9E">
      <w:pPr>
        <w:pStyle w:val="StdBodyText2"/>
        <w:rPr>
          <w:rFonts w:cs="Arial"/>
          <w:highlight w:val="yellow"/>
        </w:rPr>
      </w:pPr>
      <w:r w:rsidRPr="00CD4FDC">
        <w:rPr>
          <w:rFonts w:cs="Arial"/>
          <w:highlight w:val="yellow"/>
        </w:rPr>
        <w:t>[Any LGPS Fair Deal Employees whether:</w:t>
      </w:r>
    </w:p>
    <w:p w14:paraId="51B7A0E8" w14:textId="77777777" w:rsidR="00F67E9E" w:rsidRPr="00CD4FDC" w:rsidRDefault="00F67E9E" w:rsidP="00F67E9E">
      <w:pPr>
        <w:pStyle w:val="AppendixText3"/>
        <w:rPr>
          <w:highlight w:val="yellow"/>
        </w:rPr>
      </w:pPr>
      <w:r w:rsidRPr="00CD4FDC">
        <w:rPr>
          <w:highlight w:val="yellow"/>
        </w:rPr>
        <w:t xml:space="preserve">active members of the LGPS (or a Broadly Comparable pension scheme) immediately before the Relevant Transfer Date; or </w:t>
      </w:r>
    </w:p>
    <w:p w14:paraId="0CA4B894" w14:textId="77777777" w:rsidR="00F67E9E" w:rsidRPr="00CD4FDC" w:rsidRDefault="00F67E9E" w:rsidP="00F67E9E">
      <w:pPr>
        <w:pStyle w:val="AppendixText3"/>
        <w:rPr>
          <w:highlight w:val="yellow"/>
        </w:rPr>
      </w:pPr>
      <w:r w:rsidRPr="00CD4FDC">
        <w:rPr>
          <w:highlight w:val="yellow"/>
        </w:rPr>
        <w:t xml:space="preserve">eligible to join the LGPS (or a Broadly Comparable pension scheme) but not active members of the LGPS (or a Broadly Comparable pension scheme) immediately before the Relevant Transfer Date </w:t>
      </w:r>
    </w:p>
    <w:p w14:paraId="2649C681" w14:textId="77777777" w:rsidR="00F67E9E" w:rsidRPr="00CD4FDC" w:rsidRDefault="00F67E9E" w:rsidP="00F67E9E">
      <w:pPr>
        <w:pStyle w:val="StdBodyText2"/>
        <w:rPr>
          <w:rFonts w:cs="Arial"/>
          <w:highlight w:val="yellow"/>
        </w:rPr>
      </w:pPr>
      <w:r w:rsidRPr="00CD4FDC">
        <w:rPr>
          <w:rFonts w:cs="Arial"/>
          <w:highlight w:val="yellow"/>
        </w:rPr>
        <w:t xml:space="preserve">shall be admitted to the LGPS with effect on and from the Relevant Transfer Date. The Supplier shall not automatically enrol or re-enrol for the purposes of the Pensions Act 2008 any LGPS Fair Deal Employees in any pension scheme other than the LGPS unless they cease to be eligible for membership of the LGPS.] </w:t>
      </w:r>
    </w:p>
    <w:p w14:paraId="77511A4D" w14:textId="77777777" w:rsidR="00F67E9E" w:rsidRPr="00025910" w:rsidRDefault="00F67E9E" w:rsidP="00F67E9E">
      <w:pPr>
        <w:pStyle w:val="AppendixText2"/>
      </w:pPr>
      <w:r w:rsidRPr="00025910">
        <w:t xml:space="preserve">The Supplier will (and will procure that its Sub-contractors (if any) will) provide at its own cost any indemnity, bond or guarantee required by an Administering Authority in relation to an LGPS Admission Agreement. </w:t>
      </w:r>
    </w:p>
    <w:p w14:paraId="7D6AFB33" w14:textId="77777777" w:rsidR="00F67E9E" w:rsidRPr="00025910" w:rsidRDefault="00F67E9E" w:rsidP="00F67E9E">
      <w:pPr>
        <w:pStyle w:val="AppendixText1"/>
      </w:pPr>
      <w:r w:rsidRPr="00025910">
        <w:t>Broadly Comparable Scheme</w:t>
      </w:r>
    </w:p>
    <w:p w14:paraId="0C33BDDB" w14:textId="3A51C258" w:rsidR="00F67E9E" w:rsidRPr="00025910" w:rsidRDefault="00F67E9E" w:rsidP="00F67E9E">
      <w:pPr>
        <w:pStyle w:val="AppendixText2"/>
      </w:pPr>
      <w:bookmarkStart w:id="2663" w:name="_Ref_ContractCompanion_9kb9Ut238"/>
      <w:r w:rsidRPr="00025910">
        <w:t xml:space="preserve">If the Supplier and/or any of its Sub-contractors is unable to obtain an LGPS Admission Agreement in accordance with </w:t>
      </w:r>
      <w:bookmarkStart w:id="2664" w:name="_9kMHG5YVtCIC8DFCDUOndgt9zjuxpAFDDEF1AOI"/>
      <w:r w:rsidRPr="00025910">
        <w:t xml:space="preserve">Paragraph </w:t>
      </w:r>
      <w:r w:rsidRPr="00025910">
        <w:fldChar w:fldCharType="begin"/>
      </w:r>
      <w:r w:rsidRPr="00025910">
        <w:instrText xml:space="preserve"> REF _Ref_ContractCompanion_9kb9Ut26G \n \h \t \* MERGEFORMAT </w:instrText>
      </w:r>
      <w:r w:rsidRPr="00025910">
        <w:fldChar w:fldCharType="separate"/>
      </w:r>
      <w:r w:rsidR="00302D39">
        <w:t>2.1</w:t>
      </w:r>
      <w:r w:rsidRPr="00025910">
        <w:fldChar w:fldCharType="end"/>
      </w:r>
      <w:bookmarkEnd w:id="2664"/>
      <w:r w:rsidRPr="00025910">
        <w:t xml:space="preserve"> because the Administering Authority will not allow it to participate in the Fund,</w:t>
      </w:r>
      <w:r>
        <w:t xml:space="preserve"> </w:t>
      </w:r>
      <w:r w:rsidRPr="00025910">
        <w:t xml:space="preserve">the Supplier shall (and procure that its Sub-contractors shall), with effect from the Relevant Transfer Date, offer the LGPS Fair Deal Employees membership of a pension scheme which is Broadly Comparable to LGPS on the Relevant Transfer Date in accordance with the provisions of </w:t>
      </w:r>
      <w:bookmarkStart w:id="2665" w:name="_9kMJI5YVt4EE9EDzmpqgyts0DK"/>
      <w:r w:rsidRPr="00025910">
        <w:t xml:space="preserve">Paragraph </w:t>
      </w:r>
      <w:r w:rsidRPr="00025910">
        <w:fldChar w:fldCharType="begin"/>
      </w:r>
      <w:r w:rsidRPr="00025910">
        <w:instrText xml:space="preserve"> REF _Ref_ContractCompanion_9kb9Ur37E \w \n \h \t \* MERGEFORMAT </w:instrText>
      </w:r>
      <w:r w:rsidRPr="00025910">
        <w:fldChar w:fldCharType="separate"/>
      </w:r>
      <w:bookmarkStart w:id="2666" w:name="_9kMON5YVt4BD9HMgLhkhy7sHSMlR0KhkRcBP9zB"/>
      <w:r w:rsidR="00302D39">
        <w:t>10</w:t>
      </w:r>
      <w:bookmarkEnd w:id="2666"/>
      <w:r w:rsidRPr="00025910">
        <w:fldChar w:fldCharType="end"/>
      </w:r>
      <w:bookmarkEnd w:id="2665"/>
      <w:r w:rsidRPr="00025910">
        <w:t xml:space="preserve"> of </w:t>
      </w:r>
      <w:r w:rsidRPr="002E7013">
        <w:rPr>
          <w:rFonts w:eastAsia="Arial"/>
          <w:color w:val="000000"/>
        </w:rPr>
        <w:fldChar w:fldCharType="begin"/>
      </w:r>
      <w:r w:rsidRPr="002E7013">
        <w:rPr>
          <w:rFonts w:eastAsia="Arial"/>
          <w:color w:val="000000"/>
        </w:rPr>
        <w:instrText xml:space="preserve"> REF Sch28PartD \h  \* MERGEFORMAT </w:instrText>
      </w:r>
      <w:r w:rsidRPr="002E7013">
        <w:rPr>
          <w:rFonts w:eastAsia="Arial"/>
          <w:color w:val="000000"/>
        </w:rPr>
      </w:r>
      <w:r w:rsidRPr="002E7013">
        <w:rPr>
          <w:rFonts w:eastAsia="Arial"/>
          <w:color w:val="000000"/>
        </w:rPr>
        <w:fldChar w:fldCharType="separate"/>
      </w:r>
      <w:r w:rsidR="00302D39" w:rsidRPr="00302D39">
        <w:rPr>
          <w:rFonts w:eastAsia="Calibri"/>
        </w:rPr>
        <w:t>Part D</w:t>
      </w:r>
      <w:r w:rsidRPr="002E7013">
        <w:rPr>
          <w:rFonts w:eastAsia="Arial"/>
          <w:color w:val="000000"/>
        </w:rPr>
        <w:fldChar w:fldCharType="end"/>
      </w:r>
      <w:r w:rsidRPr="00025910">
        <w:t xml:space="preserve">. </w:t>
      </w:r>
      <w:bookmarkEnd w:id="2663"/>
    </w:p>
    <w:p w14:paraId="38072472" w14:textId="0516D160" w:rsidR="00F67E9E" w:rsidRPr="00025910" w:rsidRDefault="00F67E9E" w:rsidP="00F67E9E">
      <w:pPr>
        <w:pStyle w:val="AppendixText2"/>
      </w:pPr>
      <w:bookmarkStart w:id="2667" w:name="_Ref_ContractCompanion_9kb9Ut24E"/>
      <w:bookmarkStart w:id="2668" w:name="_9kR3WTrAGA69BBDTEwzlXiC85zt30x13I52RTB6"/>
      <w:r w:rsidRPr="00025910">
        <w:t xml:space="preserve">If the Supplier and/or any of its Sub-contractors becomes an LGPS Admission Body in accordance with </w:t>
      </w:r>
      <w:bookmarkStart w:id="2669" w:name="_9kMIH5YVtCIC8DFCDUOndgt9zjuxpAFDDEF1AOI"/>
      <w:r w:rsidRPr="00025910">
        <w:t xml:space="preserve">Paragraph </w:t>
      </w:r>
      <w:r w:rsidRPr="00025910">
        <w:fldChar w:fldCharType="begin"/>
      </w:r>
      <w:r w:rsidRPr="00025910">
        <w:instrText xml:space="preserve"> REF _Ref_ContractCompanion_9kb9Ut26G \n \h \t \* MERGEFORMAT </w:instrText>
      </w:r>
      <w:r w:rsidRPr="00025910">
        <w:fldChar w:fldCharType="separate"/>
      </w:r>
      <w:r w:rsidR="00302D39">
        <w:t>2.1</w:t>
      </w:r>
      <w:r w:rsidRPr="00025910">
        <w:fldChar w:fldCharType="end"/>
      </w:r>
      <w:bookmarkEnd w:id="2669"/>
      <w:r w:rsidRPr="00025910">
        <w:t xml:space="preserve"> but the LGPS Admission Agreement is terminated during the term of this Contract</w:t>
      </w:r>
      <w:r w:rsidRPr="00025910" w:rsidDel="000D1FBB">
        <w:t xml:space="preserve"> </w:t>
      </w:r>
      <w:r w:rsidRPr="00025910">
        <w:t xml:space="preserve">for any reason at a time when the Supplier or Sub-contractors still employs any LGPS Eligible Employees, the Supplier shall (and procure that its Sub-contractors shall) at no extra cost to the Authority, offer the remaining LGPS Eligible Employees membership of a pension scheme which is Broadly Comparable to the LGPS on the date the LGPS Eligible Employees ceased to participate in the LGPS in accordance with the provisions of Paragraph </w:t>
      </w:r>
      <w:r w:rsidRPr="00025910">
        <w:fldChar w:fldCharType="begin"/>
      </w:r>
      <w:r w:rsidRPr="00025910">
        <w:instrText xml:space="preserve"> REF _Ref_ContractCompanion_9kb9Ur39B \w \n \h \t \* MERGEFORMAT </w:instrText>
      </w:r>
      <w:r w:rsidRPr="00025910">
        <w:fldChar w:fldCharType="separate"/>
      </w:r>
      <w:bookmarkStart w:id="2670" w:name="_9kMON5YVt4BD9HLfLhkhy7sHSMlR0KhkSdBP9zB"/>
      <w:r w:rsidR="00302D39">
        <w:t>11</w:t>
      </w:r>
      <w:bookmarkEnd w:id="2670"/>
      <w:r w:rsidRPr="00025910">
        <w:fldChar w:fldCharType="end"/>
      </w:r>
      <w:r w:rsidRPr="00025910">
        <w:t xml:space="preserve"> of </w:t>
      </w:r>
      <w:r w:rsidRPr="002E7013">
        <w:rPr>
          <w:rFonts w:eastAsia="Arial"/>
          <w:color w:val="000000"/>
        </w:rPr>
        <w:fldChar w:fldCharType="begin"/>
      </w:r>
      <w:r w:rsidRPr="002E7013">
        <w:rPr>
          <w:rFonts w:eastAsia="Arial"/>
          <w:color w:val="000000"/>
        </w:rPr>
        <w:instrText xml:space="preserve"> REF Sch28PartD \h  \* MERGEFORMAT </w:instrText>
      </w:r>
      <w:r w:rsidRPr="002E7013">
        <w:rPr>
          <w:rFonts w:eastAsia="Arial"/>
          <w:color w:val="000000"/>
        </w:rPr>
      </w:r>
      <w:r w:rsidRPr="002E7013">
        <w:rPr>
          <w:rFonts w:eastAsia="Arial"/>
          <w:color w:val="000000"/>
        </w:rPr>
        <w:fldChar w:fldCharType="separate"/>
      </w:r>
      <w:r w:rsidR="00302D39" w:rsidRPr="00302D39">
        <w:rPr>
          <w:rFonts w:eastAsia="Calibri"/>
        </w:rPr>
        <w:t>Part D</w:t>
      </w:r>
      <w:r w:rsidRPr="002E7013">
        <w:rPr>
          <w:rFonts w:eastAsia="Arial"/>
          <w:color w:val="000000"/>
        </w:rPr>
        <w:fldChar w:fldCharType="end"/>
      </w:r>
      <w:r w:rsidRPr="00025910">
        <w:t>.</w:t>
      </w:r>
      <w:bookmarkEnd w:id="2667"/>
      <w:bookmarkEnd w:id="2668"/>
    </w:p>
    <w:p w14:paraId="050DF180" w14:textId="77777777" w:rsidR="00F67E9E" w:rsidRPr="00025910" w:rsidRDefault="00F67E9E" w:rsidP="00F67E9E">
      <w:pPr>
        <w:pStyle w:val="AppendixText1"/>
      </w:pPr>
      <w:r w:rsidRPr="00025910">
        <w:t>Discretionary Benefits</w:t>
      </w:r>
    </w:p>
    <w:p w14:paraId="02F664F0" w14:textId="77777777" w:rsidR="00F67E9E" w:rsidRPr="00025910" w:rsidRDefault="00F67E9E" w:rsidP="00F67E9E">
      <w:pPr>
        <w:pStyle w:val="AppendixText2"/>
      </w:pPr>
      <w:r w:rsidRPr="00025910">
        <w:t>Where the Supplier and/or any of its Sub-contractors is an LGPS Admission Body, the Supplier shall (and procure that its Sub-contractors shall) comply with its obligations under regulation 60 of the 2013 Regulations in relation to the preparation of a discretionary policy statement.</w:t>
      </w:r>
    </w:p>
    <w:p w14:paraId="418B0FD2" w14:textId="77777777" w:rsidR="00F67E9E" w:rsidRPr="00025910" w:rsidRDefault="00F67E9E" w:rsidP="00F67E9E">
      <w:pPr>
        <w:pStyle w:val="AppendixText1"/>
      </w:pPr>
      <w:bookmarkStart w:id="2671" w:name="_Ref_ContractCompanion_9kb9Ut22B"/>
      <w:bookmarkStart w:id="2672" w:name="_Ref_ContractCompanion_9kb9Ut28G"/>
      <w:bookmarkStart w:id="2673" w:name="_9kR3WTrAGA6CMQCwozZaMfy3GJACFGEx8HED"/>
      <w:r w:rsidRPr="00025910">
        <w:t>LGPS Risk Sharing</w:t>
      </w:r>
      <w:bookmarkEnd w:id="2671"/>
      <w:bookmarkEnd w:id="2672"/>
      <w:bookmarkEnd w:id="2673"/>
    </w:p>
    <w:p w14:paraId="0EEAD3D2" w14:textId="31D731D0" w:rsidR="00F67E9E" w:rsidRPr="00025910" w:rsidRDefault="00F67E9E" w:rsidP="00F67E9E">
      <w:pPr>
        <w:pStyle w:val="AppendixText2"/>
      </w:pPr>
      <w:r w:rsidRPr="00025910">
        <w:t xml:space="preserve">Subject to </w:t>
      </w:r>
      <w:bookmarkStart w:id="2674" w:name="_9kMHG5YVtCIC8DIIJiTlXiC85zt30x1p0P5wCv9"/>
      <w:r w:rsidRPr="00025910">
        <w:t xml:space="preserve">Paragraphs </w:t>
      </w:r>
      <w:r w:rsidRPr="00025910">
        <w:fldChar w:fldCharType="begin"/>
      </w:r>
      <w:r w:rsidRPr="00025910">
        <w:instrText xml:space="preserve"> REF _Ref_ContractCompanion_9kb9Ut27A \n \h \t \* MERGEFORMAT </w:instrText>
      </w:r>
      <w:r w:rsidRPr="00025910">
        <w:fldChar w:fldCharType="separate"/>
      </w:r>
      <w:r w:rsidR="00302D39">
        <w:t>5.4</w:t>
      </w:r>
      <w:r w:rsidRPr="00025910">
        <w:fldChar w:fldCharType="end"/>
      </w:r>
      <w:bookmarkEnd w:id="2674"/>
      <w:r w:rsidRPr="00025910">
        <w:t xml:space="preserve"> to </w:t>
      </w:r>
      <w:bookmarkStart w:id="2675" w:name="_9kMIH5YVtCIB7EIHGCMHCeY3l2HaPAJJJLKlmNK"/>
      <w:r w:rsidRPr="00025910">
        <w:fldChar w:fldCharType="begin"/>
      </w:r>
      <w:r w:rsidRPr="00025910">
        <w:instrText xml:space="preserve"> REF _Ref_ContractCompanion_9kb9Us17H \n \h \t \* MERGEFORMAT </w:instrText>
      </w:r>
      <w:r w:rsidRPr="00025910">
        <w:fldChar w:fldCharType="separate"/>
      </w:r>
      <w:r w:rsidR="00302D39">
        <w:t>5.10</w:t>
      </w:r>
      <w:r w:rsidRPr="00025910">
        <w:fldChar w:fldCharType="end"/>
      </w:r>
      <w:bookmarkEnd w:id="2675"/>
      <w:r w:rsidRPr="00025910">
        <w:t>, if at any time during the term of this Contract</w:t>
      </w:r>
      <w:r w:rsidRPr="00025910" w:rsidDel="000D1FBB">
        <w:t xml:space="preserve"> </w:t>
      </w:r>
      <w:r w:rsidRPr="00025910">
        <w:t xml:space="preserve">the Administering Authority, pursuant to the LGPS Admission Agreement or the LGPS Regulations, requires the Supplier or any Sub-contractor to pay employer contributions or other payments to the Fund in aggregate in excess of the Initial Contribution Rate, the excess of employer contributions above the Initial Contribution Rate for a Contract Year (the </w:t>
      </w:r>
      <w:r>
        <w:t>“</w:t>
      </w:r>
      <w:r w:rsidRPr="002E7013">
        <w:rPr>
          <w:rStyle w:val="StdBodyTextBoldChar"/>
          <w:rFonts w:eastAsia="Verdana" w:cs="Arial"/>
        </w:rPr>
        <w:t>Excess Amount</w:t>
      </w:r>
      <w:r>
        <w:t>”</w:t>
      </w:r>
      <w:r w:rsidRPr="00025910">
        <w:t>) shall be paid by the Supplier or the Sub-contractor, as the case may be, and the Supplier shall be reimbursed by the Authority.</w:t>
      </w:r>
    </w:p>
    <w:p w14:paraId="61CCD250" w14:textId="6C2E0A58" w:rsidR="00F67E9E" w:rsidRPr="00025910" w:rsidRDefault="00F67E9E" w:rsidP="00F67E9E">
      <w:pPr>
        <w:pStyle w:val="AppendixText2"/>
      </w:pPr>
      <w:r w:rsidRPr="00025910">
        <w:t xml:space="preserve">Subject to </w:t>
      </w:r>
      <w:bookmarkStart w:id="2676" w:name="_9kMIH5YVtCIC8DIIJiTlXiC85zt30x1p0P5wCv9"/>
      <w:r w:rsidRPr="00025910">
        <w:t xml:space="preserve">Paragraphs </w:t>
      </w:r>
      <w:r w:rsidRPr="00025910">
        <w:fldChar w:fldCharType="begin"/>
      </w:r>
      <w:r w:rsidRPr="00025910">
        <w:instrText xml:space="preserve"> REF _Ref_ContractCompanion_9kb9Ut27A \n \h \t \* MERGEFORMAT </w:instrText>
      </w:r>
      <w:r w:rsidRPr="00025910">
        <w:fldChar w:fldCharType="separate"/>
      </w:r>
      <w:r w:rsidR="00302D39">
        <w:t>5.4</w:t>
      </w:r>
      <w:r w:rsidRPr="00025910">
        <w:fldChar w:fldCharType="end"/>
      </w:r>
      <w:bookmarkEnd w:id="2676"/>
      <w:r w:rsidRPr="00025910">
        <w:t xml:space="preserve"> to </w:t>
      </w:r>
      <w:bookmarkStart w:id="2677" w:name="_9kMHG5YVtCIC8DLLOqWlwx04qOc7p6LeTENNN2i"/>
      <w:r w:rsidRPr="00025910">
        <w:fldChar w:fldCharType="begin"/>
      </w:r>
      <w:r w:rsidRPr="00025910">
        <w:instrText xml:space="preserve"> REF _Ref_ContractCompanion_9kb9Ut27D \n \h \t \* MERGEFORMAT </w:instrText>
      </w:r>
      <w:r w:rsidRPr="00025910">
        <w:fldChar w:fldCharType="separate"/>
      </w:r>
      <w:r w:rsidR="00302D39">
        <w:t>5.9</w:t>
      </w:r>
      <w:r w:rsidRPr="00025910">
        <w:fldChar w:fldCharType="end"/>
      </w:r>
      <w:bookmarkEnd w:id="2677"/>
      <w:r w:rsidRPr="00025910">
        <w:t xml:space="preserve"> and </w:t>
      </w:r>
      <w:bookmarkStart w:id="2678" w:name="_9kMHG5YVtCIC8EFEGDNHCrSn4DxLPAJJJ7vDC00"/>
      <w:r w:rsidRPr="00025910">
        <w:fldChar w:fldCharType="begin"/>
      </w:r>
      <w:r w:rsidRPr="00025910">
        <w:instrText xml:space="preserve"> REF _Ref_ContractCompanion_9kb9Ut27G \n \h \t \* MERGEFORMAT </w:instrText>
      </w:r>
      <w:r w:rsidRPr="00025910">
        <w:fldChar w:fldCharType="separate"/>
      </w:r>
      <w:r w:rsidR="00302D39">
        <w:t>5.11</w:t>
      </w:r>
      <w:r w:rsidRPr="00025910">
        <w:fldChar w:fldCharType="end"/>
      </w:r>
      <w:bookmarkEnd w:id="2678"/>
      <w:r w:rsidRPr="00025910">
        <w:t xml:space="preserve">, if at any time during the term of this Contract, the Administering Authority, pursuant to the LGPS Admission Agreement or the LGPS Regulations, requires the Supplier or any Sub-contractor to pay employer contributions or payments to the Fund in aggregate below the Initial Contribution Rate for a Contract Year, the Supplier shall reimburse the Authority an amount equal to A–B (the </w:t>
      </w:r>
      <w:r>
        <w:t>“</w:t>
      </w:r>
      <w:r w:rsidRPr="002E7013">
        <w:rPr>
          <w:rStyle w:val="StdBodyTextBoldChar"/>
          <w:rFonts w:eastAsia="Verdana" w:cs="Arial"/>
        </w:rPr>
        <w:t>Refund Amount</w:t>
      </w:r>
      <w:r>
        <w:t>”</w:t>
      </w:r>
      <w:r w:rsidRPr="00025910">
        <w:t>) where:</w:t>
      </w:r>
    </w:p>
    <w:p w14:paraId="09AD3BA8" w14:textId="77777777" w:rsidR="00F67E9E" w:rsidRPr="00025910" w:rsidRDefault="00F67E9E" w:rsidP="00F67E9E">
      <w:pPr>
        <w:pStyle w:val="StdBodyText2"/>
        <w:ind w:left="1803" w:hanging="1083"/>
        <w:rPr>
          <w:rFonts w:cs="Arial"/>
        </w:rPr>
      </w:pPr>
      <w:r w:rsidRPr="00025910">
        <w:rPr>
          <w:rFonts w:cs="Arial"/>
        </w:rPr>
        <w:t>A =</w:t>
      </w:r>
      <w:r w:rsidRPr="00025910">
        <w:rPr>
          <w:rFonts w:cs="Arial"/>
        </w:rPr>
        <w:tab/>
        <w:t>the amount which would have been paid if contributions and payments had been paid equal to the Initial Contribution Rate for that Contract Year; and</w:t>
      </w:r>
    </w:p>
    <w:p w14:paraId="55D6416B" w14:textId="77777777" w:rsidR="00F67E9E" w:rsidRPr="00025910" w:rsidRDefault="00F67E9E" w:rsidP="00F67E9E">
      <w:pPr>
        <w:pStyle w:val="StdBodyText2"/>
        <w:ind w:left="1803" w:hanging="1083"/>
        <w:rPr>
          <w:rFonts w:cs="Arial"/>
        </w:rPr>
      </w:pPr>
      <w:r w:rsidRPr="00025910">
        <w:rPr>
          <w:rFonts w:cs="Arial"/>
        </w:rPr>
        <w:t>B =</w:t>
      </w:r>
      <w:r w:rsidRPr="00025910">
        <w:rPr>
          <w:rFonts w:cs="Arial"/>
        </w:rPr>
        <w:tab/>
        <w:t>the amount of contributions or payments actually paid by the Supplier or Sub-contractor for that Contract Year, as the case may be, to the Fund.</w:t>
      </w:r>
    </w:p>
    <w:p w14:paraId="17989837" w14:textId="1F3FA4E1" w:rsidR="00F67E9E" w:rsidRPr="00025910" w:rsidRDefault="00F67E9E" w:rsidP="00F67E9E">
      <w:pPr>
        <w:pStyle w:val="AppendixText2"/>
      </w:pPr>
      <w:r w:rsidRPr="00025910">
        <w:t xml:space="preserve">Subject to </w:t>
      </w:r>
      <w:bookmarkStart w:id="2679" w:name="_9kMJI5YVtCIC8DIIJiTlXiC85zt30x1p0P5wCv9"/>
      <w:r w:rsidRPr="00025910">
        <w:t xml:space="preserve">Paragraphs </w:t>
      </w:r>
      <w:r w:rsidRPr="00025910">
        <w:fldChar w:fldCharType="begin"/>
      </w:r>
      <w:r w:rsidRPr="00025910">
        <w:instrText xml:space="preserve"> REF _Ref_ContractCompanion_9kb9Ut27A \n \h \t \* MERGEFORMAT </w:instrText>
      </w:r>
      <w:r w:rsidRPr="00025910">
        <w:fldChar w:fldCharType="separate"/>
      </w:r>
      <w:r w:rsidR="00302D39">
        <w:t>5.4</w:t>
      </w:r>
      <w:r w:rsidRPr="00025910">
        <w:fldChar w:fldCharType="end"/>
      </w:r>
      <w:bookmarkEnd w:id="2679"/>
      <w:r w:rsidRPr="00025910">
        <w:t xml:space="preserve"> to </w:t>
      </w:r>
      <w:bookmarkStart w:id="2680" w:name="_9kMJI5YVtCIB7EIHGCMHCeY3l2HaPAJJJLKlmNK"/>
      <w:r w:rsidRPr="00025910">
        <w:fldChar w:fldCharType="begin"/>
      </w:r>
      <w:r w:rsidRPr="00025910">
        <w:instrText xml:space="preserve"> REF _Ref_ContractCompanion_9kb9Us18A \n \h \t \* MERGEFORMAT </w:instrText>
      </w:r>
      <w:r w:rsidRPr="00025910">
        <w:fldChar w:fldCharType="separate"/>
      </w:r>
      <w:r w:rsidR="00302D39">
        <w:t>5.10</w:t>
      </w:r>
      <w:r w:rsidRPr="00025910">
        <w:fldChar w:fldCharType="end"/>
      </w:r>
      <w:bookmarkEnd w:id="2680"/>
      <w:r w:rsidRPr="00025910">
        <w:t xml:space="preserve">, where the Administering Authority obtains an actuarial valuation and a revised rates and adjustment certificate under the LGPS Regulations and/or the terms of the LGPS Admission Agreement when the LGPS Admission Agreement ceases to have effect and the Supplier or any Sub-contractor is required to pay any exit payment under Regulation 64(2) of the 2013 Regulations (the </w:t>
      </w:r>
      <w:r>
        <w:t>“</w:t>
      </w:r>
      <w:r w:rsidRPr="002E7013">
        <w:rPr>
          <w:rStyle w:val="StdBodyTextBoldChar"/>
          <w:rFonts w:eastAsia="Verdana" w:cs="Arial"/>
        </w:rPr>
        <w:t>Exit Payment</w:t>
      </w:r>
      <w:r>
        <w:t>”</w:t>
      </w:r>
      <w:r w:rsidRPr="00025910">
        <w:t>), such Exit Payment shall be paid by the Supplier or any Sub-contractor (as the case may be) and the Supplier shall be reimbursed by the Authority.</w:t>
      </w:r>
    </w:p>
    <w:p w14:paraId="54143080" w14:textId="77777777" w:rsidR="00F67E9E" w:rsidRPr="00025910" w:rsidRDefault="00F67E9E" w:rsidP="00F67E9E">
      <w:pPr>
        <w:pStyle w:val="AppendixText2"/>
        <w:keepNext/>
      </w:pPr>
      <w:bookmarkStart w:id="2681" w:name="_Ref_ContractCompanion_9kb9Ut27A"/>
      <w:bookmarkStart w:id="2682" w:name="_9kR3WTrAGA6BGGHgRjVgA63xr1yvznyN3uAt7JP"/>
      <w:r w:rsidRPr="00025910">
        <w:t>The Supplier and any Sub-contractors shall at all times be responsible for the following costs:</w:t>
      </w:r>
      <w:bookmarkEnd w:id="2681"/>
      <w:bookmarkEnd w:id="2682"/>
    </w:p>
    <w:p w14:paraId="25957305" w14:textId="77777777" w:rsidR="00F67E9E" w:rsidRPr="00025910" w:rsidRDefault="00F67E9E" w:rsidP="00F67E9E">
      <w:pPr>
        <w:pStyle w:val="AppendixText3"/>
      </w:pPr>
      <w:r w:rsidRPr="00025910">
        <w:t xml:space="preserve">any employer contributions relating to the costs of early retirement benefits arising on </w:t>
      </w:r>
      <w:r w:rsidRPr="00620079">
        <w:t>redundancy</w:t>
      </w:r>
      <w:r w:rsidRPr="00025910">
        <w:t xml:space="preserve"> or as a result of business efficiency under Regulation 30(7) of the 2013 Regulations or otherwise;</w:t>
      </w:r>
    </w:p>
    <w:p w14:paraId="716A5C75" w14:textId="77777777" w:rsidR="00F67E9E" w:rsidRPr="00025910" w:rsidRDefault="00F67E9E" w:rsidP="00F67E9E">
      <w:pPr>
        <w:pStyle w:val="AppendixText3"/>
      </w:pPr>
      <w:r w:rsidRPr="00025910">
        <w:t>any payment of Fund benefits to active members on the grounds of ill health or infirmity of mind or body under Regulation 35 of the 2013 Regulations or otherwise;</w:t>
      </w:r>
    </w:p>
    <w:p w14:paraId="1869E5F3" w14:textId="77777777" w:rsidR="00F67E9E" w:rsidRPr="00025910" w:rsidRDefault="00F67E9E" w:rsidP="00F67E9E">
      <w:pPr>
        <w:pStyle w:val="AppendixText3"/>
      </w:pPr>
      <w:r w:rsidRPr="00025910">
        <w:t>any payment of Fund benefits to deferred or deferred pensioner members on the grounds of ill health or infirmity of mind or body under Regulation 38 of the 2013 Regulations or otherwise;</w:t>
      </w:r>
    </w:p>
    <w:p w14:paraId="31A74F0E" w14:textId="77777777" w:rsidR="00F67E9E" w:rsidRPr="00025910" w:rsidRDefault="00F67E9E" w:rsidP="00F67E9E">
      <w:pPr>
        <w:pStyle w:val="AppendixText3"/>
      </w:pPr>
      <w:r w:rsidRPr="00025910">
        <w:t xml:space="preserve">any employer contributions relating to the costs of early or flexible retirement where the actuarial reduction is waived in whole or in part or a cost neutral reduction is not applied with the consent of the Supplier or any relevant Sub-contractor including without limitation any decision made under Regulation 30(8) of the 2013 Regulations or </w:t>
      </w:r>
      <w:bookmarkStart w:id="2683" w:name="_9kMHG5YVt4EE9GLiLhkhy7sA"/>
      <w:r w:rsidRPr="00025910">
        <w:t>Schedule 2</w:t>
      </w:r>
      <w:bookmarkEnd w:id="2683"/>
      <w:r w:rsidRPr="00025910">
        <w:t xml:space="preserve"> of The Local Government Pension Scheme (Transitional Provisions, Savings and Amendment) Regulations 2014;</w:t>
      </w:r>
    </w:p>
    <w:p w14:paraId="7A909344" w14:textId="77777777" w:rsidR="00F67E9E" w:rsidRPr="00025910" w:rsidRDefault="00F67E9E" w:rsidP="00F67E9E">
      <w:pPr>
        <w:pStyle w:val="AppendixText3"/>
      </w:pPr>
      <w:r w:rsidRPr="00025910">
        <w:t>any employer contributions relating to the costs of enhanced benefits made at the discretion of the Supplier or any relevant Sub-contractors including without limitation additional pension awarded under Regulation 31 of the 2013 Regulations or otherwise;</w:t>
      </w:r>
    </w:p>
    <w:p w14:paraId="176E86F9" w14:textId="77777777" w:rsidR="00F67E9E" w:rsidRPr="00025910" w:rsidRDefault="00F67E9E" w:rsidP="00F67E9E">
      <w:pPr>
        <w:pStyle w:val="AppendixText3"/>
      </w:pPr>
      <w:r w:rsidRPr="00025910">
        <w:t>any increase to the employer contribution rate resulting from the award of pay increases by the Supplier or relevant Sub-contractors in respect of all or any of the LGPS Eligible Employees in excess of the pay increases assumed in the Fund</w:t>
      </w:r>
      <w:r>
        <w:t>’</w:t>
      </w:r>
      <w:r w:rsidRPr="00025910">
        <w:t>s most recent actuarial valuation (unless the Supplier and/or any Sub-contractor is contractually bound to provide such increases on the Relevant Transfer Date);</w:t>
      </w:r>
    </w:p>
    <w:p w14:paraId="063CCE42" w14:textId="77777777" w:rsidR="00F67E9E" w:rsidRPr="00025910" w:rsidRDefault="00F67E9E" w:rsidP="00F67E9E">
      <w:pPr>
        <w:pStyle w:val="AppendixText3"/>
      </w:pPr>
      <w:r w:rsidRPr="00025910">
        <w:t xml:space="preserve">to the extent not covered above, any other costs arising out of or in connection with the exercise of any discretion or the grant of any consent under the LGPS Regulations by the Supplier or any relevant Sub-contractors where a member does not have an absolute entitlement to that benefit under the LGPS; </w:t>
      </w:r>
    </w:p>
    <w:p w14:paraId="65C17E9C" w14:textId="77777777" w:rsidR="00F67E9E" w:rsidRPr="00025910" w:rsidRDefault="00F67E9E" w:rsidP="00F67E9E">
      <w:pPr>
        <w:pStyle w:val="AppendixText3"/>
      </w:pPr>
      <w:r w:rsidRPr="00025910">
        <w:t>any cost of the administration of the Fund that are not met through the Supplier</w:t>
      </w:r>
      <w:r>
        <w:t>’</w:t>
      </w:r>
      <w:r w:rsidRPr="00025910">
        <w:t>s or Sub-contractor</w:t>
      </w:r>
      <w:r>
        <w:t>’</w:t>
      </w:r>
      <w:r w:rsidRPr="00025910">
        <w:t xml:space="preserve">s employer contribution rate, including without limitation an amount specified in a notice given by the Administering Authority under Regulation 70 of the 2013 Regulations; </w:t>
      </w:r>
    </w:p>
    <w:p w14:paraId="4B230F32" w14:textId="77777777" w:rsidR="00F67E9E" w:rsidRPr="00025910" w:rsidRDefault="00F67E9E" w:rsidP="00F67E9E">
      <w:pPr>
        <w:pStyle w:val="AppendixText3"/>
      </w:pPr>
      <w:r w:rsidRPr="00025910">
        <w:t>the costs of any reports and advice requested by or arising from an instruction given by the Supplier or a Sub-contractor from the Fund Actuary; and/or</w:t>
      </w:r>
    </w:p>
    <w:p w14:paraId="1B0AD9EB" w14:textId="77777777" w:rsidR="00F67E9E" w:rsidRPr="00025910" w:rsidRDefault="00F67E9E" w:rsidP="00F67E9E">
      <w:pPr>
        <w:pStyle w:val="AppendixText3"/>
      </w:pPr>
      <w:r w:rsidRPr="00025910">
        <w:t>any interest payable under the 2013 Regulations or LGPS Administration Agreement.</w:t>
      </w:r>
    </w:p>
    <w:p w14:paraId="0A56BD4E" w14:textId="41977EDE" w:rsidR="00F67E9E" w:rsidRPr="00025910" w:rsidRDefault="00F67E9E" w:rsidP="00F67E9E">
      <w:pPr>
        <w:pStyle w:val="AppendixText2"/>
      </w:pPr>
      <w:r w:rsidRPr="00025910">
        <w:t xml:space="preserve">For the purposes of calculating any Exit Payment, Excess Amount or Refund Amount, any part of such an amount which is attributable to any costs which the Supplier or Sub-contractors are responsible for in accordance with </w:t>
      </w:r>
      <w:bookmarkStart w:id="2684" w:name="_9kMKJ5YVtCIC8DIIJiTlXiC85zt30x1p0P5wCv9"/>
      <w:r w:rsidRPr="00025910">
        <w:t xml:space="preserve">Paragraph </w:t>
      </w:r>
      <w:r w:rsidRPr="00025910">
        <w:fldChar w:fldCharType="begin"/>
      </w:r>
      <w:r w:rsidRPr="00025910">
        <w:instrText xml:space="preserve"> REF _Ref_ContractCompanion_9kb9Ut27A \n \h \t \* MERGEFORMAT </w:instrText>
      </w:r>
      <w:r w:rsidRPr="00025910">
        <w:fldChar w:fldCharType="separate"/>
      </w:r>
      <w:r w:rsidR="00302D39">
        <w:t>5.4</w:t>
      </w:r>
      <w:r w:rsidRPr="00025910">
        <w:fldChar w:fldCharType="end"/>
      </w:r>
      <w:bookmarkEnd w:id="2684"/>
      <w:r w:rsidRPr="00025910">
        <w:t xml:space="preserve"> above shall be disregarded and excluded from </w:t>
      </w:r>
      <w:r w:rsidRPr="00620079">
        <w:t>the</w:t>
      </w:r>
      <w:r w:rsidRPr="00025910">
        <w:t xml:space="preserve"> calculation. In the event of any dispute as to level of any cost that should be excluded from the calculation, the opinion of the Fund Actuary shall be final and binding.</w:t>
      </w:r>
    </w:p>
    <w:p w14:paraId="3CA8FDE7" w14:textId="77777777" w:rsidR="00F67E9E" w:rsidRPr="00025910" w:rsidRDefault="00F67E9E" w:rsidP="00F67E9E">
      <w:pPr>
        <w:pStyle w:val="AppendixText2"/>
      </w:pPr>
      <w:r w:rsidRPr="00025910">
        <w:t xml:space="preserve">Where the Administering Authority obtains an actuarial valuation and a revised rates and adjustment certificate under the LGPS Regulations and/or the terms of the LGPS Admission Agreement when the LGPS Admission Agreement ceases to have effect and the Supplier or any Sub-contractor receives payment of an exit credit payment under Regulation 64(2) of the 2013 Regulations (the </w:t>
      </w:r>
      <w:r>
        <w:t>“</w:t>
      </w:r>
      <w:r w:rsidRPr="002E7013">
        <w:rPr>
          <w:rStyle w:val="StdBodyTextBoldChar"/>
          <w:rFonts w:eastAsia="Verdana" w:cs="Arial"/>
        </w:rPr>
        <w:t>Exit Credit</w:t>
      </w:r>
      <w:r>
        <w:t>”</w:t>
      </w:r>
      <w:r w:rsidRPr="00025910">
        <w:t xml:space="preserve">), the Supplier shall (or procure that any Sub-contractor shall) reimburse the Authority an amount equal to the Exit Credit within twenty (20) Working Days of receipt of the Exit Credit. </w:t>
      </w:r>
    </w:p>
    <w:p w14:paraId="3A2152F9" w14:textId="77777777" w:rsidR="00F67E9E" w:rsidRPr="00025910" w:rsidRDefault="00F67E9E" w:rsidP="00F67E9E">
      <w:pPr>
        <w:pStyle w:val="AppendixText2"/>
      </w:pPr>
      <w:bookmarkStart w:id="2685" w:name="_Ref_ContractCompanion_9kb9Ut28A"/>
      <w:bookmarkStart w:id="2686" w:name="_9kR3WTrAGA6CGFKjRjVgA63xr1G7qv7BIKLL7EU"/>
      <w:r w:rsidRPr="00025910">
        <w:t>The Supplier shall (or procure that the Sub-contractor shall) notify the Authority in writing within twenty (20) Working Days:</w:t>
      </w:r>
      <w:bookmarkEnd w:id="2685"/>
      <w:bookmarkEnd w:id="2686"/>
    </w:p>
    <w:p w14:paraId="2B78DBF2" w14:textId="77777777" w:rsidR="00F67E9E" w:rsidRPr="00025910" w:rsidRDefault="00F67E9E" w:rsidP="00F67E9E">
      <w:pPr>
        <w:pStyle w:val="AppendixText3"/>
      </w:pPr>
      <w:r w:rsidRPr="00025910">
        <w:t>of the end of each Contract Year of any Excess Amount or Refund Amount due in respect of the Contract Year that has just ended and provide a reasonable summary of how the Excess Amount or Refund Amount was calculated; and</w:t>
      </w:r>
    </w:p>
    <w:p w14:paraId="569AA350" w14:textId="77777777" w:rsidR="00F67E9E" w:rsidRPr="00025910" w:rsidRDefault="00F67E9E" w:rsidP="00F67E9E">
      <w:pPr>
        <w:pStyle w:val="AppendixText3"/>
      </w:pPr>
      <w:r w:rsidRPr="00025910">
        <w:t>of being informed by the Administering Authority of any Exit Payment or Exit Credit that is determined by as being due from or to the Supplier or a Sub-contractor and provide a copy of any revised rates and adjustments certificate detailing the Exit Payment or Exit Credit and its calculation.</w:t>
      </w:r>
    </w:p>
    <w:p w14:paraId="05780A16" w14:textId="67B3BF63" w:rsidR="00F67E9E" w:rsidRPr="00025910" w:rsidRDefault="00F67E9E" w:rsidP="00F67E9E">
      <w:pPr>
        <w:pStyle w:val="AppendixText2"/>
      </w:pPr>
      <w:bookmarkStart w:id="2687" w:name="_Ref_ContractCompanion_9kb9Ut28D"/>
      <w:bookmarkStart w:id="2688" w:name="_9kR3WTrAGA6CJILnVzzpw8I4wCOYOtpHE6A9aPH"/>
      <w:r w:rsidRPr="00025910">
        <w:t xml:space="preserve">Within twenty (20) Working Days of receiving the notification under </w:t>
      </w:r>
      <w:bookmarkStart w:id="2689" w:name="_9kMHG5YVtCIC8EIHMlTlXiC85zt3I9sx9DKMNN9"/>
      <w:r w:rsidRPr="00025910">
        <w:t xml:space="preserve">Paragraph </w:t>
      </w:r>
      <w:r w:rsidRPr="00025910">
        <w:fldChar w:fldCharType="begin"/>
      </w:r>
      <w:r w:rsidRPr="00025910">
        <w:instrText xml:space="preserve"> REF _Ref_ContractCompanion_9kb9Ut28A \n \h \t \* MERGEFORMAT </w:instrText>
      </w:r>
      <w:r w:rsidRPr="00025910">
        <w:fldChar w:fldCharType="separate"/>
      </w:r>
      <w:r w:rsidR="00302D39">
        <w:t>5.7</w:t>
      </w:r>
      <w:r w:rsidRPr="00025910">
        <w:fldChar w:fldCharType="end"/>
      </w:r>
      <w:bookmarkEnd w:id="2689"/>
      <w:r w:rsidRPr="00025910">
        <w:t xml:space="preserve"> above, the Authority shall either:</w:t>
      </w:r>
      <w:bookmarkEnd w:id="2687"/>
      <w:bookmarkEnd w:id="2688"/>
    </w:p>
    <w:p w14:paraId="69278F2F" w14:textId="77777777" w:rsidR="00F67E9E" w:rsidRPr="00025910" w:rsidRDefault="00F67E9E" w:rsidP="00F67E9E">
      <w:pPr>
        <w:pStyle w:val="AppendixText3"/>
      </w:pPr>
      <w:r w:rsidRPr="00025910">
        <w:t>notify the Supplier in writing of its acceptance of the Excess Amount, Refund Amount or Exit Payment;</w:t>
      </w:r>
    </w:p>
    <w:p w14:paraId="2DACE9D3" w14:textId="77777777" w:rsidR="00F67E9E" w:rsidRPr="00025910" w:rsidRDefault="00F67E9E" w:rsidP="00F67E9E">
      <w:pPr>
        <w:pStyle w:val="AppendixText3"/>
      </w:pPr>
      <w:r w:rsidRPr="00025910">
        <w:t>request further information or evidence about the Excess Amount, Refund Amount or Exit Payment from the Supplier; and/or</w:t>
      </w:r>
    </w:p>
    <w:p w14:paraId="5D92FEC5" w14:textId="77777777" w:rsidR="00F67E9E" w:rsidRPr="00025910" w:rsidRDefault="00F67E9E" w:rsidP="00F67E9E">
      <w:pPr>
        <w:pStyle w:val="AppendixText3"/>
      </w:pPr>
      <w:r w:rsidRPr="00025910">
        <w:t>request a meeting with the Supplier to discuss or clarify the information or evidence provided.</w:t>
      </w:r>
    </w:p>
    <w:p w14:paraId="6B44B177" w14:textId="36F579D9" w:rsidR="00F67E9E" w:rsidRPr="00025910" w:rsidRDefault="00F67E9E" w:rsidP="00F67E9E">
      <w:pPr>
        <w:pStyle w:val="AppendixText2"/>
      </w:pPr>
      <w:bookmarkStart w:id="2690" w:name="_9kR3WTrAGA6BJJMoUjuvy2oMa5n4JcRCLLL0g1I"/>
      <w:bookmarkStart w:id="2691" w:name="_Ref_ContractCompanion_9kb9Ut27D"/>
      <w:r w:rsidRPr="00025910">
        <w:t xml:space="preserve">Where the Excess Amount, Refund Amount or Exit Payment is agreed following the receipt of further information or evidence or following a meeting in accordance with </w:t>
      </w:r>
      <w:bookmarkStart w:id="2692" w:name="_9kMHG5YVtCIC8ELKNpX11ryAK6yEQaQvrJG8CBc"/>
      <w:r w:rsidRPr="00025910">
        <w:t xml:space="preserve">Paragraph </w:t>
      </w:r>
      <w:r w:rsidRPr="00025910">
        <w:fldChar w:fldCharType="begin"/>
      </w:r>
      <w:r w:rsidRPr="00025910">
        <w:instrText xml:space="preserve"> REF _Ref_ContractCompanion_9kb9Ut28D \n \h \t \* MERGEFORMAT </w:instrText>
      </w:r>
      <w:r w:rsidRPr="00025910">
        <w:fldChar w:fldCharType="separate"/>
      </w:r>
      <w:r w:rsidR="00302D39">
        <w:t>5.8</w:t>
      </w:r>
      <w:r w:rsidRPr="00025910">
        <w:fldChar w:fldCharType="end"/>
      </w:r>
      <w:bookmarkEnd w:id="2692"/>
      <w:r w:rsidRPr="00025910">
        <w:t xml:space="preserve"> above, the Authority shall notify the Supplier in writing.</w:t>
      </w:r>
      <w:bookmarkEnd w:id="2690"/>
      <w:r>
        <w:t xml:space="preserve"> </w:t>
      </w:r>
      <w:r w:rsidRPr="00025910">
        <w:t>In the event that the Supplier and the Authority are unable to agree the amount of the Excess Amount, Refund Amount or Exit Payment then they shall follow the Dispute Resolution Procedure.</w:t>
      </w:r>
      <w:bookmarkEnd w:id="2691"/>
    </w:p>
    <w:p w14:paraId="455923A2" w14:textId="77777777" w:rsidR="00F67E9E" w:rsidRPr="00025910" w:rsidRDefault="00F67E9E" w:rsidP="00F67E9E">
      <w:pPr>
        <w:pStyle w:val="AppendixText2"/>
      </w:pPr>
      <w:bookmarkStart w:id="2693" w:name="_9kR3WTrAG95CGFEAKFAcW1j0FYN8HHHJIjkLI0c"/>
      <w:bookmarkStart w:id="2694" w:name="_Ref_ContractCompanion_9kb9Us17H"/>
      <w:bookmarkStart w:id="2695" w:name="_Ref_ContractCompanion_9kb9Us18A"/>
      <w:r w:rsidRPr="00025910">
        <w:t>Any Excess Amount or Exit Payment agreed by the Authority or in accordance with the Dispute Resolution Procedure shall be paid by the Authority within timescales as agreed between Authority and Supplier.</w:t>
      </w:r>
      <w:bookmarkEnd w:id="2693"/>
      <w:r w:rsidRPr="00025910">
        <w:t xml:space="preserve"> The amount to be paid by the Authority shall be an amount equal to the Excess Amount or Exit Payment less an amount equal to any corporation tax relief which has been claimed in respect of the Excess Amount or Exit Payment by the Supplier or a Sub-contractor.</w:t>
      </w:r>
      <w:bookmarkEnd w:id="2694"/>
      <w:bookmarkEnd w:id="2695"/>
    </w:p>
    <w:p w14:paraId="07B8CC01" w14:textId="77777777" w:rsidR="00F67E9E" w:rsidRPr="00025910" w:rsidRDefault="00F67E9E" w:rsidP="00F67E9E">
      <w:pPr>
        <w:pStyle w:val="AppendixText2"/>
      </w:pPr>
      <w:bookmarkStart w:id="2696" w:name="_9kR3WTrAGA6CDCEBLFApQl2BvJN8HHH5tBAyywI"/>
      <w:bookmarkStart w:id="2697" w:name="_Ref_ContractCompanion_9kb9Ut27G"/>
      <w:r w:rsidRPr="00025910">
        <w:t>Any Refund Amount agreed by the Authority or in accordance with the Dispute Resolution Procedure as payable by the Supplier or any Sub-contractor to the Authority, shall be paid by the Supplier or any Sub-contractor forthwith as the liability has been agreed.</w:t>
      </w:r>
      <w:bookmarkEnd w:id="2696"/>
      <w:r w:rsidRPr="00025910">
        <w:t xml:space="preserve"> In the event the Supplier or any Sub-contractor fails to pay any agreed Refund Amount, the Authority shall demand in writing the immediate payment of the agreed Refund Amount by the Supplier and the Supplier shall make payment within seven (7) Working Days of such demand.</w:t>
      </w:r>
      <w:bookmarkEnd w:id="2697"/>
    </w:p>
    <w:p w14:paraId="57770725" w14:textId="2ABA1EB3" w:rsidR="00F67E9E" w:rsidRPr="00025910" w:rsidRDefault="00F67E9E" w:rsidP="00F67E9E">
      <w:pPr>
        <w:pStyle w:val="AppendixText2"/>
      </w:pPr>
      <w:r w:rsidRPr="00F3052F">
        <w:t xml:space="preserve">This </w:t>
      </w:r>
      <w:bookmarkStart w:id="2698" w:name="_9kMHG5YVtCIC8EOSEyq1bcOh05ILCEHIGzAJGF"/>
      <w:r w:rsidRPr="00F3052F">
        <w:t xml:space="preserve">Paragraph </w:t>
      </w:r>
      <w:r w:rsidRPr="00F3052F">
        <w:fldChar w:fldCharType="begin"/>
      </w:r>
      <w:r w:rsidRPr="00F3052F">
        <w:instrText xml:space="preserve"> REF _Ref_ContractCompanion_9kb9Ut28G \w \n \h \t \* MERGEFORMAT </w:instrText>
      </w:r>
      <w:r w:rsidRPr="00F3052F">
        <w:fldChar w:fldCharType="separate"/>
      </w:r>
      <w:r w:rsidR="00302D39">
        <w:t>5</w:t>
      </w:r>
      <w:r w:rsidRPr="00F3052F">
        <w:fldChar w:fldCharType="end"/>
      </w:r>
      <w:bookmarkEnd w:id="2698"/>
      <w:r w:rsidRPr="00F3052F">
        <w:t xml:space="preserve"> shall survive termination of this Contract.</w:t>
      </w:r>
    </w:p>
    <w:p w14:paraId="0C5A0CE8" w14:textId="77777777" w:rsidR="00F67E9E" w:rsidRDefault="00F67E9E" w:rsidP="00F67E9E">
      <w:pPr>
        <w:pStyle w:val="Heading2"/>
        <w:pageBreakBefore/>
        <w:rPr>
          <w:lang w:eastAsia="en-GB"/>
        </w:rPr>
      </w:pPr>
      <w:bookmarkStart w:id="2699" w:name="_Ref92450522"/>
      <w:bookmarkStart w:id="2700" w:name="_Toc141711992"/>
      <w:r w:rsidRPr="00025910">
        <w:rPr>
          <w:lang w:eastAsia="en-GB"/>
        </w:rPr>
        <w:t xml:space="preserve">Annex </w:t>
      </w:r>
      <w:bookmarkStart w:id="2701" w:name="ANNEXD4_SCHEDULE28"/>
      <w:bookmarkStart w:id="2702" w:name="ANNEXD4_HEADING_SCHEDULE28"/>
      <w:r w:rsidRPr="00025910">
        <w:rPr>
          <w:lang w:eastAsia="en-GB"/>
        </w:rPr>
        <w:t>D4</w:t>
      </w:r>
      <w:bookmarkEnd w:id="2701"/>
      <w:bookmarkEnd w:id="2702"/>
      <w:r w:rsidRPr="00FA4BBC">
        <w:rPr>
          <w:lang w:eastAsia="en-GB"/>
        </w:rPr>
        <w:t>:</w:t>
      </w:r>
      <w:r w:rsidRPr="000038E2">
        <w:t xml:space="preserve"> </w:t>
      </w:r>
      <w:bookmarkStart w:id="2703" w:name="ANNEXD4HEADING_SCHEDULE28"/>
      <w:r w:rsidRPr="00FA4BBC">
        <w:rPr>
          <w:lang w:eastAsia="en-GB"/>
        </w:rPr>
        <w:t>Other Schemes</w:t>
      </w:r>
      <w:bookmarkEnd w:id="2699"/>
      <w:bookmarkEnd w:id="2700"/>
      <w:bookmarkEnd w:id="2703"/>
    </w:p>
    <w:p w14:paraId="75ADDA6C" w14:textId="77777777" w:rsidR="00F67E9E" w:rsidRPr="00266335" w:rsidRDefault="00F67E9E" w:rsidP="00F67E9E">
      <w:pPr>
        <w:rPr>
          <w:rFonts w:eastAsia="Arial"/>
          <w:b/>
          <w:i/>
          <w:szCs w:val="24"/>
        </w:rPr>
      </w:pPr>
      <w:r>
        <w:rPr>
          <w:rFonts w:eastAsia="Arial"/>
          <w:b/>
          <w:i/>
          <w:szCs w:val="24"/>
          <w:highlight w:val="yellow"/>
        </w:rPr>
        <w:t>[Guidance note:</w:t>
      </w:r>
      <w:r w:rsidRPr="00266335">
        <w:rPr>
          <w:rFonts w:eastAsia="Arial"/>
          <w:b/>
          <w:i/>
          <w:szCs w:val="24"/>
          <w:highlight w:val="yellow"/>
        </w:rPr>
        <w:t xml:space="preserve"> Placeholder for Pension Schemes other than LGPS, CSPS &amp; NHSPS]</w:t>
      </w:r>
    </w:p>
    <w:p w14:paraId="29A15FA4" w14:textId="77777777" w:rsidR="00F67E9E" w:rsidRPr="00DD4CC2" w:rsidRDefault="00F67E9E" w:rsidP="00F67E9E">
      <w:pPr>
        <w:rPr>
          <w:bCs/>
          <w:lang w:eastAsia="en-GB"/>
        </w:rPr>
      </w:pPr>
    </w:p>
    <w:p w14:paraId="2EDEDA8A" w14:textId="77777777" w:rsidR="00F67E9E" w:rsidRDefault="00F67E9E" w:rsidP="00F67E9E">
      <w:pPr>
        <w:rPr>
          <w:lang w:eastAsia="en-GB"/>
        </w:rPr>
      </w:pPr>
    </w:p>
    <w:p w14:paraId="3672B04F" w14:textId="77777777" w:rsidR="00F67E9E" w:rsidRPr="00D6019B" w:rsidRDefault="00F67E9E" w:rsidP="00F67E9E">
      <w:pPr>
        <w:pStyle w:val="Heading2"/>
        <w:pageBreakBefore/>
        <w:rPr>
          <w:color w:val="1F497D"/>
        </w:rPr>
      </w:pPr>
      <w:bookmarkStart w:id="2704" w:name="Sch28PartE"/>
      <w:bookmarkStart w:id="2705" w:name="_Ref_ContractCompanion_9kb9Ur3DF"/>
      <w:bookmarkStart w:id="2706" w:name="_Ref_ContractCompanion_9kb9Ur3DH"/>
      <w:bookmarkStart w:id="2707" w:name="_Ref_ContractCompanion_9kb9Ur3DJ"/>
      <w:bookmarkStart w:id="2708" w:name="_Ref_ContractCompanion_9kb9Ur452"/>
      <w:bookmarkStart w:id="2709" w:name="_Ref_ContractCompanion_9kb9Ur454"/>
      <w:bookmarkStart w:id="2710" w:name="_Ref_ContractCompanion_9kb9Ur458"/>
      <w:bookmarkStart w:id="2711" w:name="_9kR3WTr29B7FHbJfifw5qFQKjPyIgw5HHHVUBDT"/>
      <w:bookmarkStart w:id="2712" w:name="_Toc141711993"/>
      <w:r w:rsidRPr="005D768B">
        <w:rPr>
          <w:color w:val="1F497D"/>
        </w:rPr>
        <w:t>Part </w:t>
      </w:r>
      <w:r w:rsidRPr="00D6019B">
        <w:rPr>
          <w:color w:val="1F497D"/>
        </w:rPr>
        <w:t>E</w:t>
      </w:r>
      <w:bookmarkEnd w:id="2704"/>
      <w:r w:rsidRPr="00D6019B">
        <w:rPr>
          <w:color w:val="1F497D"/>
        </w:rPr>
        <w:t>: Employment Exit Provisions</w:t>
      </w:r>
      <w:bookmarkEnd w:id="2705"/>
      <w:bookmarkEnd w:id="2706"/>
      <w:bookmarkEnd w:id="2707"/>
      <w:bookmarkEnd w:id="2708"/>
      <w:bookmarkEnd w:id="2709"/>
      <w:bookmarkEnd w:id="2710"/>
      <w:bookmarkEnd w:id="2711"/>
      <w:bookmarkEnd w:id="2712"/>
    </w:p>
    <w:p w14:paraId="68E287CF" w14:textId="1E501A78" w:rsidR="00F67E9E" w:rsidRPr="00D6019B" w:rsidRDefault="00F67E9E" w:rsidP="00F67E9E">
      <w:pPr>
        <w:rPr>
          <w:b/>
          <w:bCs/>
          <w:i/>
          <w:iCs/>
        </w:rPr>
      </w:pPr>
      <w:r w:rsidRPr="00D6019B">
        <w:rPr>
          <w:b/>
          <w:bCs/>
          <w:i/>
          <w:iCs/>
          <w:highlight w:val="yellow"/>
        </w:rPr>
        <w:t>[Guidance: Please note, the reference at Paragraphs</w:t>
      </w:r>
      <w:r>
        <w:rPr>
          <w:b/>
          <w:bCs/>
          <w:i/>
          <w:iCs/>
          <w:highlight w:val="yellow"/>
        </w:rPr>
        <w:t> </w:t>
      </w:r>
      <w:r>
        <w:rPr>
          <w:b/>
          <w:bCs/>
          <w:i/>
          <w:iCs/>
          <w:highlight w:val="yellow"/>
        </w:rPr>
        <w:fldChar w:fldCharType="begin"/>
      </w:r>
      <w:r>
        <w:rPr>
          <w:b/>
          <w:bCs/>
          <w:i/>
          <w:iCs/>
          <w:highlight w:val="yellow"/>
        </w:rPr>
        <w:instrText xml:space="preserve"> REF _Ref141302531 \w \h </w:instrText>
      </w:r>
      <w:r>
        <w:rPr>
          <w:b/>
          <w:bCs/>
          <w:i/>
          <w:iCs/>
          <w:highlight w:val="yellow"/>
        </w:rPr>
      </w:r>
      <w:r>
        <w:rPr>
          <w:b/>
          <w:bCs/>
          <w:i/>
          <w:iCs/>
          <w:highlight w:val="yellow"/>
        </w:rPr>
        <w:fldChar w:fldCharType="separate"/>
      </w:r>
      <w:r w:rsidR="00302D39">
        <w:rPr>
          <w:b/>
          <w:bCs/>
          <w:i/>
          <w:iCs/>
          <w:highlight w:val="yellow"/>
        </w:rPr>
        <w:t>1.6.1</w:t>
      </w:r>
      <w:r>
        <w:rPr>
          <w:b/>
          <w:bCs/>
          <w:i/>
          <w:iCs/>
          <w:highlight w:val="yellow"/>
        </w:rPr>
        <w:fldChar w:fldCharType="end"/>
      </w:r>
      <w:r>
        <w:rPr>
          <w:b/>
          <w:bCs/>
          <w:i/>
          <w:iCs/>
          <w:highlight w:val="yellow"/>
        </w:rPr>
        <w:t xml:space="preserve">, </w:t>
      </w:r>
      <w:r>
        <w:rPr>
          <w:b/>
          <w:bCs/>
          <w:i/>
          <w:iCs/>
          <w:highlight w:val="yellow"/>
        </w:rPr>
        <w:fldChar w:fldCharType="begin"/>
      </w:r>
      <w:r>
        <w:rPr>
          <w:b/>
          <w:bCs/>
          <w:i/>
          <w:iCs/>
          <w:highlight w:val="yellow"/>
        </w:rPr>
        <w:instrText xml:space="preserve"> REF _Ref141302538 \w \h </w:instrText>
      </w:r>
      <w:r>
        <w:rPr>
          <w:b/>
          <w:bCs/>
          <w:i/>
          <w:iCs/>
          <w:highlight w:val="yellow"/>
        </w:rPr>
      </w:r>
      <w:r>
        <w:rPr>
          <w:b/>
          <w:bCs/>
          <w:i/>
          <w:iCs/>
          <w:highlight w:val="yellow"/>
        </w:rPr>
        <w:fldChar w:fldCharType="separate"/>
      </w:r>
      <w:r w:rsidR="00302D39">
        <w:rPr>
          <w:b/>
          <w:bCs/>
          <w:i/>
          <w:iCs/>
          <w:highlight w:val="yellow"/>
        </w:rPr>
        <w:t>1.6.2</w:t>
      </w:r>
      <w:r>
        <w:rPr>
          <w:b/>
          <w:bCs/>
          <w:i/>
          <w:iCs/>
          <w:highlight w:val="yellow"/>
        </w:rPr>
        <w:fldChar w:fldCharType="end"/>
      </w:r>
      <w:r>
        <w:rPr>
          <w:b/>
          <w:bCs/>
          <w:i/>
          <w:iCs/>
          <w:highlight w:val="yellow"/>
        </w:rPr>
        <w:t xml:space="preserve"> and </w:t>
      </w:r>
      <w:r>
        <w:rPr>
          <w:b/>
          <w:bCs/>
          <w:i/>
          <w:iCs/>
          <w:highlight w:val="yellow"/>
        </w:rPr>
        <w:fldChar w:fldCharType="begin"/>
      </w:r>
      <w:r>
        <w:rPr>
          <w:b/>
          <w:bCs/>
          <w:i/>
          <w:iCs/>
          <w:highlight w:val="yellow"/>
        </w:rPr>
        <w:instrText xml:space="preserve"> REF _Ref141302545 \w \h </w:instrText>
      </w:r>
      <w:r>
        <w:rPr>
          <w:b/>
          <w:bCs/>
          <w:i/>
          <w:iCs/>
          <w:highlight w:val="yellow"/>
        </w:rPr>
      </w:r>
      <w:r>
        <w:rPr>
          <w:b/>
          <w:bCs/>
          <w:i/>
          <w:iCs/>
          <w:highlight w:val="yellow"/>
        </w:rPr>
        <w:fldChar w:fldCharType="separate"/>
      </w:r>
      <w:r w:rsidR="00302D39">
        <w:rPr>
          <w:b/>
          <w:bCs/>
          <w:i/>
          <w:iCs/>
          <w:highlight w:val="yellow"/>
        </w:rPr>
        <w:t>1.6.4</w:t>
      </w:r>
      <w:r>
        <w:rPr>
          <w:b/>
          <w:bCs/>
          <w:i/>
          <w:iCs/>
          <w:highlight w:val="yellow"/>
        </w:rPr>
        <w:fldChar w:fldCharType="end"/>
      </w:r>
      <w:r w:rsidRPr="00D6019B">
        <w:rPr>
          <w:b/>
          <w:bCs/>
          <w:i/>
          <w:iCs/>
          <w:highlight w:val="yellow"/>
        </w:rPr>
        <w:t xml:space="preserve"> is to Supplier Personnel to capture all individuals working on the Services. Only employees can participate in public sector pension schemes or pension schemes which are broadly comparable and therefore the information in  </w:t>
      </w:r>
      <w:r>
        <w:rPr>
          <w:b/>
          <w:bCs/>
          <w:i/>
          <w:iCs/>
          <w:highlight w:val="yellow"/>
        </w:rPr>
        <w:t>P</w:t>
      </w:r>
      <w:r w:rsidRPr="00D6019B">
        <w:rPr>
          <w:b/>
          <w:bCs/>
          <w:i/>
          <w:iCs/>
          <w:highlight w:val="yellow"/>
        </w:rPr>
        <w:t xml:space="preserve">aragraph </w:t>
      </w:r>
      <w:r>
        <w:rPr>
          <w:b/>
          <w:bCs/>
          <w:i/>
          <w:iCs/>
          <w:highlight w:val="yellow"/>
        </w:rPr>
        <w:fldChar w:fldCharType="begin"/>
      </w:r>
      <w:r>
        <w:rPr>
          <w:b/>
          <w:bCs/>
          <w:i/>
          <w:iCs/>
          <w:highlight w:val="yellow"/>
        </w:rPr>
        <w:instrText xml:space="preserve"> REF _Ref141302550 \w \h </w:instrText>
      </w:r>
      <w:r>
        <w:rPr>
          <w:b/>
          <w:bCs/>
          <w:i/>
          <w:iCs/>
          <w:highlight w:val="yellow"/>
        </w:rPr>
      </w:r>
      <w:r>
        <w:rPr>
          <w:b/>
          <w:bCs/>
          <w:i/>
          <w:iCs/>
          <w:highlight w:val="yellow"/>
        </w:rPr>
        <w:fldChar w:fldCharType="separate"/>
      </w:r>
      <w:r w:rsidR="00302D39">
        <w:rPr>
          <w:b/>
          <w:bCs/>
          <w:i/>
          <w:iCs/>
          <w:highlight w:val="yellow"/>
        </w:rPr>
        <w:t>1.6.3</w:t>
      </w:r>
      <w:r>
        <w:rPr>
          <w:b/>
          <w:bCs/>
          <w:i/>
          <w:iCs/>
          <w:highlight w:val="yellow"/>
        </w:rPr>
        <w:fldChar w:fldCharType="end"/>
      </w:r>
      <w:r w:rsidRPr="00D6019B">
        <w:rPr>
          <w:b/>
          <w:bCs/>
          <w:i/>
          <w:iCs/>
          <w:highlight w:val="yellow"/>
        </w:rPr>
        <w:t xml:space="preserve"> is limited to employees]</w:t>
      </w:r>
    </w:p>
    <w:p w14:paraId="55810A7B" w14:textId="77777777" w:rsidR="00F67E9E" w:rsidRPr="005D768B" w:rsidRDefault="00F67E9E" w:rsidP="00F67E9E">
      <w:pPr>
        <w:pStyle w:val="AppendixText1"/>
        <w:numPr>
          <w:ilvl w:val="0"/>
          <w:numId w:val="82"/>
        </w:numPr>
        <w:rPr>
          <w:color w:val="1F497D"/>
        </w:rPr>
      </w:pPr>
      <w:r w:rsidRPr="005D768B">
        <w:rPr>
          <w:color w:val="1F497D"/>
        </w:rPr>
        <w:t>Pre-service Transfer Obligations</w:t>
      </w:r>
    </w:p>
    <w:p w14:paraId="527BFB4E" w14:textId="77777777" w:rsidR="00F67E9E" w:rsidRPr="00CD4FDC" w:rsidRDefault="00F67E9E" w:rsidP="00F67E9E">
      <w:pPr>
        <w:pStyle w:val="AppendixText2"/>
      </w:pPr>
      <w:bookmarkStart w:id="2713" w:name="_Ref_ContractCompanion_9kb9Us7BD"/>
      <w:bookmarkStart w:id="2714" w:name="_Ref_ContractCompanion_9kb9Us7BF"/>
      <w:bookmarkStart w:id="2715" w:name="_Ref_ContractCompanion_9kb9Ut29A"/>
      <w:bookmarkStart w:id="2716" w:name="_9kR3WTrAGA6DGAAdRjVgA63xr1yo65t8OEw9WMK"/>
      <w:r w:rsidRPr="00CD4FDC">
        <w:t xml:space="preserve">The Supplier agrees that within 20 </w:t>
      </w:r>
      <w:r w:rsidRPr="005D768B">
        <w:t>Working</w:t>
      </w:r>
      <w:r w:rsidRPr="00CD4FDC">
        <w:t xml:space="preserve"> Days of the earliest of:</w:t>
      </w:r>
      <w:bookmarkEnd w:id="2713"/>
      <w:bookmarkEnd w:id="2714"/>
      <w:bookmarkEnd w:id="2715"/>
      <w:bookmarkEnd w:id="2716"/>
    </w:p>
    <w:p w14:paraId="7964CB61" w14:textId="77777777" w:rsidR="00F67E9E" w:rsidRPr="005D768B" w:rsidRDefault="00F67E9E" w:rsidP="00F67E9E">
      <w:pPr>
        <w:pStyle w:val="AppendixText3"/>
      </w:pPr>
      <w:bookmarkStart w:id="2717" w:name="_9kR3WTrAGA6DMGAkotfgnzBBylu9GByzxq8HDJB"/>
      <w:bookmarkStart w:id="2718" w:name="_Ref_ContractCompanion_9kb9Ut29G"/>
      <w:r w:rsidRPr="00CD4FDC">
        <w:t xml:space="preserve">receipt of a notification from the Authority of a Service Transfer or intended </w:t>
      </w:r>
      <w:r w:rsidRPr="005D768B">
        <w:t>Service Transfer;</w:t>
      </w:r>
      <w:bookmarkEnd w:id="2717"/>
      <w:r w:rsidRPr="005D768B">
        <w:t xml:space="preserve"> </w:t>
      </w:r>
      <w:bookmarkEnd w:id="2718"/>
    </w:p>
    <w:p w14:paraId="2ADB4598" w14:textId="77777777" w:rsidR="00F67E9E" w:rsidRPr="005D768B" w:rsidRDefault="00F67E9E" w:rsidP="00F67E9E">
      <w:pPr>
        <w:pStyle w:val="AppendixText3"/>
      </w:pPr>
      <w:bookmarkStart w:id="2719" w:name="_9kR3WTrAGA6EG9AlptfgnzBBy47ttyEF87999JQ"/>
      <w:bookmarkStart w:id="2720" w:name="_Ref_ContractCompanion_9kb9Ut29J"/>
      <w:bookmarkStart w:id="2721" w:name="_Ref141302705"/>
      <w:r w:rsidRPr="005D768B">
        <w:t>receipt of the giving of notice of early termination or any Partial Termination of this Contract;</w:t>
      </w:r>
      <w:bookmarkEnd w:id="2719"/>
      <w:r w:rsidRPr="005D768B">
        <w:t xml:space="preserve"> </w:t>
      </w:r>
      <w:bookmarkEnd w:id="2720"/>
      <w:r>
        <w:t>and</w:t>
      </w:r>
      <w:bookmarkEnd w:id="2721"/>
    </w:p>
    <w:p w14:paraId="3909ADB6" w14:textId="77777777" w:rsidR="00F67E9E" w:rsidRPr="005D768B" w:rsidRDefault="00F67E9E" w:rsidP="00F67E9E">
      <w:pPr>
        <w:pStyle w:val="AppendixText3"/>
      </w:pPr>
      <w:bookmarkStart w:id="2722" w:name="_9kR3WTrAGA6EJCAmsykhev048vrryAUSEEGMHHC"/>
      <w:bookmarkStart w:id="2723" w:name="_Ref_ContractCompanion_9kb9Ut2AD"/>
      <w:bookmarkStart w:id="2724" w:name="_Ref141302714"/>
      <w:r w:rsidRPr="005D768B">
        <w:t>the date which is 12 months before the end of the Term;</w:t>
      </w:r>
      <w:bookmarkEnd w:id="2722"/>
      <w:r w:rsidRPr="005D768B">
        <w:t xml:space="preserve"> </w:t>
      </w:r>
      <w:bookmarkEnd w:id="2723"/>
      <w:r>
        <w:t>or</w:t>
      </w:r>
      <w:bookmarkEnd w:id="2724"/>
    </w:p>
    <w:p w14:paraId="435A029F" w14:textId="77777777" w:rsidR="00F67E9E" w:rsidRPr="00025910" w:rsidRDefault="00F67E9E" w:rsidP="00F67E9E">
      <w:pPr>
        <w:pStyle w:val="AppendixText3"/>
      </w:pPr>
      <w:bookmarkStart w:id="2725" w:name="_Ref99026409"/>
      <w:r w:rsidRPr="005D768B">
        <w:t>receipt</w:t>
      </w:r>
      <w:r w:rsidRPr="00025910">
        <w:t xml:space="preserve"> of a written request of the Authority at any time (provided that the Authority shall only be entitled to make one such request in any 6 month period),</w:t>
      </w:r>
      <w:bookmarkEnd w:id="2725"/>
    </w:p>
    <w:p w14:paraId="6F236FFD" w14:textId="77777777" w:rsidR="00F67E9E" w:rsidRPr="00025910" w:rsidRDefault="00F67E9E" w:rsidP="00F67E9E">
      <w:pPr>
        <w:pStyle w:val="StdBodyText2"/>
        <w:rPr>
          <w:rFonts w:cs="Arial"/>
        </w:rPr>
      </w:pPr>
      <w:r w:rsidRPr="00025910">
        <w:rPr>
          <w:rFonts w:cs="Arial"/>
        </w:rPr>
        <w:t>it shall provide in a suitably anonymised format so as to comply with the DPA</w:t>
      </w:r>
      <w:r>
        <w:rPr>
          <w:rFonts w:cs="Arial"/>
        </w:rPr>
        <w:t xml:space="preserve"> 2018</w:t>
      </w:r>
      <w:r w:rsidRPr="00025910">
        <w:rPr>
          <w:rFonts w:cs="Arial"/>
        </w:rPr>
        <w:t>, the Supplier</w:t>
      </w:r>
      <w:r>
        <w:rPr>
          <w:rFonts w:cs="Arial"/>
        </w:rPr>
        <w:t>’</w:t>
      </w:r>
      <w:r w:rsidRPr="00025910">
        <w:rPr>
          <w:rFonts w:cs="Arial"/>
        </w:rPr>
        <w:t>s Provisional Supplier Personnel List, together with the Staffing Information and it shall provide an updated Supplier</w:t>
      </w:r>
      <w:r>
        <w:rPr>
          <w:rFonts w:cs="Arial"/>
        </w:rPr>
        <w:t>’</w:t>
      </w:r>
      <w:r w:rsidRPr="00025910">
        <w:rPr>
          <w:rFonts w:cs="Arial"/>
        </w:rPr>
        <w:t>s Provisional Supplier Personnel List at such intervals as are reasonably requested by the Authority.</w:t>
      </w:r>
    </w:p>
    <w:p w14:paraId="3D8C4222" w14:textId="77777777" w:rsidR="00F67E9E" w:rsidRPr="00025910" w:rsidRDefault="00F67E9E" w:rsidP="00F67E9E">
      <w:pPr>
        <w:pStyle w:val="AppendixText2"/>
      </w:pPr>
      <w:bookmarkStart w:id="2726" w:name="_9kR3WTrAGA6DJDBLK2oetDOJokC9154VKCVNNHF"/>
      <w:bookmarkStart w:id="2727" w:name="_Ref_ContractCompanion_9kb9Us8AA"/>
      <w:bookmarkStart w:id="2728" w:name="_Ref_ContractCompanion_9kb9Ut29D"/>
      <w:r w:rsidRPr="00025910">
        <w:t>At least 20 Working Days prior to the Service Transfer Date, the Supplier shall provide to the Authority or at the direction of the Authority to any Replacement Supplier and/or any Replacement Sub-contractor:</w:t>
      </w:r>
      <w:bookmarkEnd w:id="2726"/>
      <w:r w:rsidRPr="00025910">
        <w:t xml:space="preserve"> </w:t>
      </w:r>
      <w:bookmarkEnd w:id="2727"/>
      <w:bookmarkEnd w:id="2728"/>
    </w:p>
    <w:p w14:paraId="48D1EAB1" w14:textId="77777777" w:rsidR="00F67E9E" w:rsidRPr="00025910" w:rsidRDefault="00F67E9E" w:rsidP="00F67E9E">
      <w:pPr>
        <w:pStyle w:val="AppendixText3"/>
      </w:pPr>
      <w:r w:rsidRPr="00025910">
        <w:t>the Supplier</w:t>
      </w:r>
      <w:r>
        <w:t>’</w:t>
      </w:r>
      <w:r w:rsidRPr="00025910">
        <w:t>s Final Supplier Personnel List, which shall identify which of the Supplier Personnel are Transferring Supplier Employees; and</w:t>
      </w:r>
    </w:p>
    <w:p w14:paraId="3825680F" w14:textId="77777777" w:rsidR="00F67E9E" w:rsidRPr="00025910" w:rsidRDefault="00F67E9E" w:rsidP="00F67E9E">
      <w:pPr>
        <w:pStyle w:val="AppendixText3"/>
      </w:pPr>
      <w:r w:rsidRPr="00025910">
        <w:t>the Staffing Information in relation to the Supplier</w:t>
      </w:r>
      <w:r>
        <w:t>’</w:t>
      </w:r>
      <w:r w:rsidRPr="00025910">
        <w:t>s Final Supplier Personnel List (insofar as such information has not previously been provided).</w:t>
      </w:r>
    </w:p>
    <w:p w14:paraId="0E15E689" w14:textId="626A6ACB" w:rsidR="00F67E9E" w:rsidRPr="00025910" w:rsidRDefault="00F67E9E" w:rsidP="00F67E9E">
      <w:pPr>
        <w:pStyle w:val="AppendixText2"/>
      </w:pPr>
      <w:r w:rsidRPr="00025910">
        <w:t xml:space="preserve">The Authority shall be permitted to use and disclose information provided by the Supplier under </w:t>
      </w:r>
      <w:bookmarkStart w:id="2729" w:name="_9kMHG5YVtCIC8FICCfTlXiC85zt30q87vAQGyBY"/>
      <w:r w:rsidRPr="00025910">
        <w:t xml:space="preserve">Paragraphs </w:t>
      </w:r>
      <w:r w:rsidRPr="00025910">
        <w:fldChar w:fldCharType="begin"/>
      </w:r>
      <w:r w:rsidRPr="00025910">
        <w:instrText xml:space="preserve"> REF _Ref_ContractCompanion_9kb9Ut29A \n \h \t \* MERGEFORMAT </w:instrText>
      </w:r>
      <w:r w:rsidRPr="00025910">
        <w:fldChar w:fldCharType="separate"/>
      </w:r>
      <w:r w:rsidR="00302D39">
        <w:t>1.1</w:t>
      </w:r>
      <w:r w:rsidRPr="00025910">
        <w:fldChar w:fldCharType="end"/>
      </w:r>
      <w:bookmarkEnd w:id="2729"/>
      <w:r w:rsidRPr="00025910">
        <w:t xml:space="preserve"> and </w:t>
      </w:r>
      <w:bookmarkStart w:id="2730" w:name="_9kMHG5YVtCIC8FLFDNM4qgvFQLqmEB376XMEXPP"/>
      <w:r w:rsidRPr="00025910">
        <w:fldChar w:fldCharType="begin"/>
      </w:r>
      <w:r w:rsidRPr="00025910">
        <w:instrText xml:space="preserve"> REF _Ref_ContractCompanion_9kb9Ut29D \n \h \t \* MERGEFORMAT </w:instrText>
      </w:r>
      <w:r w:rsidRPr="00025910">
        <w:fldChar w:fldCharType="separate"/>
      </w:r>
      <w:r w:rsidR="00302D39">
        <w:t>1.2</w:t>
      </w:r>
      <w:r w:rsidRPr="00025910">
        <w:fldChar w:fldCharType="end"/>
      </w:r>
      <w:bookmarkEnd w:id="2730"/>
      <w:r w:rsidRPr="00025910">
        <w:t xml:space="preserve"> for the purpose of informing any prospective Replacement Supplier and/or Replacement Sub-contractor. </w:t>
      </w:r>
    </w:p>
    <w:p w14:paraId="7939DC80" w14:textId="34892D17" w:rsidR="00F67E9E" w:rsidRPr="00025910" w:rsidRDefault="00F67E9E" w:rsidP="00F67E9E">
      <w:pPr>
        <w:pStyle w:val="AppendixText2"/>
      </w:pPr>
      <w:r w:rsidRPr="00025910">
        <w:t xml:space="preserve">The Supplier warrants, for the benefit of the Authority, any Replacement Supplier, and any Replacement Sub-contractor that all information provided pursuant to </w:t>
      </w:r>
      <w:bookmarkStart w:id="2731" w:name="_9kMIH5YVtCIC8FICCfTlXiC85zt30q87vAQGyBY"/>
      <w:r w:rsidRPr="00025910">
        <w:t xml:space="preserve">Paragraphs </w:t>
      </w:r>
      <w:r w:rsidRPr="00025910">
        <w:fldChar w:fldCharType="begin"/>
      </w:r>
      <w:r w:rsidRPr="00025910">
        <w:instrText xml:space="preserve"> REF _Ref_ContractCompanion_9kb9Ut29A \n \h \t \* MERGEFORMAT </w:instrText>
      </w:r>
      <w:r w:rsidRPr="00025910">
        <w:fldChar w:fldCharType="separate"/>
      </w:r>
      <w:r w:rsidR="00302D39">
        <w:t>1.1</w:t>
      </w:r>
      <w:r w:rsidRPr="00025910">
        <w:fldChar w:fldCharType="end"/>
      </w:r>
      <w:bookmarkEnd w:id="2731"/>
      <w:r w:rsidRPr="00025910">
        <w:t xml:space="preserve"> and </w:t>
      </w:r>
      <w:bookmarkStart w:id="2732" w:name="_9kMIH5YVtCIC8FLFDNM4qgvFQLqmEB376XMEXPP"/>
      <w:r w:rsidRPr="00025910">
        <w:fldChar w:fldCharType="begin"/>
      </w:r>
      <w:r w:rsidRPr="00025910">
        <w:instrText xml:space="preserve"> REF _Ref_ContractCompanion_9kb9Ut29D \n \h \t \* MERGEFORMAT </w:instrText>
      </w:r>
      <w:r w:rsidRPr="00025910">
        <w:fldChar w:fldCharType="separate"/>
      </w:r>
      <w:r w:rsidR="00302D39">
        <w:t>1.2</w:t>
      </w:r>
      <w:r w:rsidRPr="00025910">
        <w:fldChar w:fldCharType="end"/>
      </w:r>
      <w:bookmarkEnd w:id="2732"/>
      <w:r w:rsidRPr="00025910">
        <w:t xml:space="preserve"> shall be true and accurate in all material respects at the time of providing the information.</w:t>
      </w:r>
    </w:p>
    <w:p w14:paraId="3BCD0653" w14:textId="3A630CD1" w:rsidR="00F67E9E" w:rsidRPr="00025910" w:rsidRDefault="00F67E9E" w:rsidP="00F67E9E">
      <w:pPr>
        <w:pStyle w:val="AppendixText2"/>
      </w:pPr>
      <w:r w:rsidRPr="00025910">
        <w:t xml:space="preserve">From the date of the earliest event referred to in </w:t>
      </w:r>
      <w:bookmarkStart w:id="2733" w:name="_9kMHG5YVtCIC8FOICmqvhip1DD0nwBID01zsAJF"/>
      <w:r w:rsidRPr="00025910">
        <w:t xml:space="preserve">Paragraph </w:t>
      </w:r>
      <w:r w:rsidRPr="00025910">
        <w:fldChar w:fldCharType="begin"/>
      </w:r>
      <w:r w:rsidRPr="00025910">
        <w:instrText xml:space="preserve"> REF _Ref_ContractCompanion_9kb9Ut29G \w \h \t \* MERGEFORMAT </w:instrText>
      </w:r>
      <w:r w:rsidRPr="00025910">
        <w:fldChar w:fldCharType="separate"/>
      </w:r>
      <w:r w:rsidR="00302D39">
        <w:t>1.1.1</w:t>
      </w:r>
      <w:r w:rsidRPr="00025910">
        <w:fldChar w:fldCharType="end"/>
      </w:r>
      <w:bookmarkEnd w:id="2733"/>
      <w:r w:rsidRPr="00025910">
        <w:t xml:space="preserve">, </w:t>
      </w:r>
      <w:bookmarkStart w:id="2734" w:name="_9kMHG5YVtCIC8GIBCnrvhip1DD069vv0GHA9BBB"/>
      <w:r w:rsidRPr="00025910">
        <w:fldChar w:fldCharType="begin"/>
      </w:r>
      <w:r w:rsidRPr="00025910">
        <w:instrText xml:space="preserve"> REF _Ref_ContractCompanion_9kb9Ut29J \w \h \t \* MERGEFORMAT </w:instrText>
      </w:r>
      <w:r w:rsidRPr="00025910">
        <w:fldChar w:fldCharType="separate"/>
      </w:r>
      <w:r w:rsidR="00302D39">
        <w:t>1.1.2</w:t>
      </w:r>
      <w:r w:rsidRPr="00025910">
        <w:fldChar w:fldCharType="end"/>
      </w:r>
      <w:bookmarkEnd w:id="2734"/>
      <w:r w:rsidRPr="00025910">
        <w:t xml:space="preserve"> and </w:t>
      </w:r>
      <w:bookmarkStart w:id="2735" w:name="_9kMHG5YVtCIC8GLECou0mjgx26Axtt0CWUGGIOJ"/>
      <w:r w:rsidRPr="00025910">
        <w:fldChar w:fldCharType="begin"/>
      </w:r>
      <w:r w:rsidRPr="00025910">
        <w:instrText xml:space="preserve"> REF _Ref_ContractCompanion_9kb9Ut2AD \w \h \t \* MERGEFORMAT </w:instrText>
      </w:r>
      <w:r w:rsidRPr="00025910">
        <w:fldChar w:fldCharType="separate"/>
      </w:r>
      <w:r w:rsidR="00302D39">
        <w:t>1.1.3</w:t>
      </w:r>
      <w:r w:rsidRPr="00025910">
        <w:fldChar w:fldCharType="end"/>
      </w:r>
      <w:bookmarkEnd w:id="2735"/>
      <w:r w:rsidRPr="00025910">
        <w:t>, the Supplier agrees, that it shall not, and agrees to procure that each Sub-contractor shall not, assign any person to the provision of the Services who is not listed on the Supplier</w:t>
      </w:r>
      <w:r>
        <w:t>’</w:t>
      </w:r>
      <w:r w:rsidRPr="00025910">
        <w:t>s Provisional Supplier Personnel List and shall not without the approval of the Authority (not to be unreasonably withheld or delayed):</w:t>
      </w:r>
    </w:p>
    <w:p w14:paraId="43786050" w14:textId="463F9C9E" w:rsidR="00F67E9E" w:rsidRPr="005D768B" w:rsidRDefault="00F67E9E" w:rsidP="00F67E9E">
      <w:pPr>
        <w:pStyle w:val="AppendixText3"/>
      </w:pPr>
      <w:r w:rsidRPr="00025910">
        <w:t xml:space="preserve">replace or re-deploy any Supplier Personnel listed on the Supplier Provisional Supplier Personnel List other than where any replacement is of equivalent grade, skills, experience and expertise and is employed on the same terms and </w:t>
      </w:r>
      <w:r w:rsidRPr="005D768B">
        <w:t xml:space="preserve">conditions of employment as the person </w:t>
      </w:r>
      <w:r w:rsidR="00A10006">
        <w:t>they</w:t>
      </w:r>
      <w:r w:rsidRPr="005D768B">
        <w:t xml:space="preserve"> replace;</w:t>
      </w:r>
    </w:p>
    <w:p w14:paraId="7C13C5CF" w14:textId="77777777" w:rsidR="00F67E9E" w:rsidRPr="00025910" w:rsidRDefault="00F67E9E" w:rsidP="00F67E9E">
      <w:pPr>
        <w:pStyle w:val="AppendixText3"/>
      </w:pPr>
      <w:r w:rsidRPr="005D768B">
        <w:t>make, pro</w:t>
      </w:r>
      <w:r w:rsidRPr="00025910">
        <w:t xml:space="preserve">mise, propose, permit or implement any material changes to the terms and conditions of employment of the Supplier Personnel (including pensions and any payments connected with the termination of employment); </w:t>
      </w:r>
    </w:p>
    <w:p w14:paraId="1D9893DB" w14:textId="77777777" w:rsidR="00F67E9E" w:rsidRPr="00025910" w:rsidRDefault="00F67E9E" w:rsidP="00F67E9E">
      <w:pPr>
        <w:pStyle w:val="AppendixText3"/>
      </w:pPr>
      <w:r w:rsidRPr="00025910">
        <w:t>increase the proportion of working time spent on the Services (or the relevant part of the Services) by any of the Supplier Personnel save for fulfilling assignments and projects previously scheduled and agreed;</w:t>
      </w:r>
    </w:p>
    <w:p w14:paraId="016D0391" w14:textId="77777777" w:rsidR="00F67E9E" w:rsidRPr="00025910" w:rsidRDefault="00F67E9E" w:rsidP="00F67E9E">
      <w:pPr>
        <w:pStyle w:val="AppendixText3"/>
      </w:pPr>
      <w:r w:rsidRPr="00025910">
        <w:t>introduce any new contractual or customary practice concerning the making of any lump sum payment on the termination of employment of any employees listed on the Supplier</w:t>
      </w:r>
      <w:r>
        <w:t>’</w:t>
      </w:r>
      <w:r w:rsidRPr="00025910">
        <w:t xml:space="preserve">s Provisional Supplier Personnel List; </w:t>
      </w:r>
    </w:p>
    <w:p w14:paraId="4E2E7E55" w14:textId="77777777" w:rsidR="00F67E9E" w:rsidRPr="00025910" w:rsidRDefault="00F67E9E" w:rsidP="00F67E9E">
      <w:pPr>
        <w:pStyle w:val="AppendixText3"/>
      </w:pPr>
      <w:r w:rsidRPr="00025910">
        <w:t>increase or reduce the total number of employees so engaged, or deploy any other person to perform the Services (or the relevant part of the Services); or</w:t>
      </w:r>
    </w:p>
    <w:p w14:paraId="68B1669C" w14:textId="77777777" w:rsidR="00F67E9E" w:rsidRPr="00025910" w:rsidRDefault="00F67E9E" w:rsidP="00F67E9E">
      <w:pPr>
        <w:pStyle w:val="AppendixText3"/>
      </w:pPr>
      <w:r w:rsidRPr="00025910">
        <w:t>terminate or give notice to terminate the employment or contracts of any persons on the Supplier</w:t>
      </w:r>
      <w:r>
        <w:t>’</w:t>
      </w:r>
      <w:r w:rsidRPr="00025910">
        <w:t>s Provisional Supplier Personnel List save by due disciplinary process,</w:t>
      </w:r>
    </w:p>
    <w:p w14:paraId="78BA4AE8" w14:textId="77777777" w:rsidR="00F67E9E" w:rsidRPr="00025910" w:rsidRDefault="00F67E9E" w:rsidP="00F67E9E">
      <w:pPr>
        <w:pStyle w:val="StdBodyText2"/>
        <w:rPr>
          <w:rFonts w:cs="Arial"/>
        </w:rPr>
      </w:pPr>
      <w:r w:rsidRPr="00025910">
        <w:rPr>
          <w:rFonts w:cs="Arial"/>
        </w:rPr>
        <w:t>and shall promptly notify, and procure that each Sub-contractor shall promptly notify, the Authority or, at the direction of the Authority, any Replacement Supplier and any Replacement Sub-contractor of any notice to terminate employment given by the Supplier or relevant Sub-contractor or received from any persons listed on the Supplier</w:t>
      </w:r>
      <w:r>
        <w:rPr>
          <w:rFonts w:cs="Arial"/>
        </w:rPr>
        <w:t>’</w:t>
      </w:r>
      <w:r w:rsidRPr="00025910">
        <w:rPr>
          <w:rFonts w:cs="Arial"/>
        </w:rPr>
        <w:t>s Provisional Supplier Personnel List regardless of when such notice takes effect.</w:t>
      </w:r>
    </w:p>
    <w:p w14:paraId="1DD89720" w14:textId="77777777" w:rsidR="00F67E9E" w:rsidRPr="00025910" w:rsidRDefault="00F67E9E" w:rsidP="00F67E9E">
      <w:pPr>
        <w:pStyle w:val="AppendixText2"/>
      </w:pPr>
      <w:bookmarkStart w:id="2736" w:name="_Ref_ContractCompanion_9kb9Us8AD"/>
      <w:r w:rsidRPr="00025910">
        <w:t>During the Term, the Supplier shall provide, and shall procure that each Sub-contractor shall provide,</w:t>
      </w:r>
      <w:r>
        <w:t xml:space="preserve"> within 20 Working Days</w:t>
      </w:r>
      <w:r w:rsidRPr="00025910">
        <w:t xml:space="preserve"> to the Authority any information the Authority may reasonably require relating to the manner in which the Services are organised, which shall include:</w:t>
      </w:r>
      <w:bookmarkEnd w:id="2736"/>
    </w:p>
    <w:p w14:paraId="192A6F62" w14:textId="77777777" w:rsidR="00F67E9E" w:rsidRPr="00025910" w:rsidRDefault="00F67E9E" w:rsidP="00F67E9E">
      <w:pPr>
        <w:pStyle w:val="AppendixText3"/>
      </w:pPr>
      <w:bookmarkStart w:id="2737" w:name="_Ref141302531"/>
      <w:r w:rsidRPr="00025910">
        <w:t xml:space="preserve">the numbers of </w:t>
      </w:r>
      <w:r>
        <w:t>Supplier Personnel</w:t>
      </w:r>
      <w:r w:rsidRPr="00025910">
        <w:t xml:space="preserve"> engaged in providing the Services;</w:t>
      </w:r>
      <w:bookmarkEnd w:id="2737"/>
    </w:p>
    <w:p w14:paraId="0BFFC464" w14:textId="77777777" w:rsidR="00F67E9E" w:rsidRPr="00025910" w:rsidRDefault="00F67E9E" w:rsidP="00F67E9E">
      <w:pPr>
        <w:pStyle w:val="AppendixText3"/>
      </w:pPr>
      <w:bookmarkStart w:id="2738" w:name="_Ref141302538"/>
      <w:r w:rsidRPr="00025910">
        <w:t xml:space="preserve">the percentage of time spent by each </w:t>
      </w:r>
      <w:r>
        <w:t>Supplier Personnel</w:t>
      </w:r>
      <w:r w:rsidRPr="00025910">
        <w:t xml:space="preserve"> engaged in providing the Services;</w:t>
      </w:r>
      <w:bookmarkEnd w:id="2738"/>
      <w:r w:rsidRPr="00025910">
        <w:t xml:space="preserve"> </w:t>
      </w:r>
    </w:p>
    <w:p w14:paraId="6E1DF63C" w14:textId="04FB836E" w:rsidR="00F67E9E" w:rsidRPr="00025910" w:rsidRDefault="00F67E9E" w:rsidP="00F67E9E">
      <w:pPr>
        <w:pStyle w:val="AppendixText3"/>
      </w:pPr>
      <w:bookmarkStart w:id="2739" w:name="_Ref141302550"/>
      <w:r w:rsidRPr="00025910">
        <w:t xml:space="preserve">the extent to which each employee qualifies for membership of any of the Statutory Schemes or any Broadly Comparable scheme set up pursuant to the provisions of any of the Annexes to </w:t>
      </w:r>
      <w:r w:rsidRPr="0067085E">
        <w:fldChar w:fldCharType="begin"/>
      </w:r>
      <w:r w:rsidRPr="0067085E">
        <w:instrText xml:space="preserve"> REF Sch28PartD \h  \* MERGEFORMAT </w:instrText>
      </w:r>
      <w:r w:rsidRPr="0067085E">
        <w:fldChar w:fldCharType="separate"/>
      </w:r>
      <w:r w:rsidR="00302D39" w:rsidRPr="00025910">
        <w:t>Part D</w:t>
      </w:r>
      <w:r w:rsidRPr="0067085E">
        <w:fldChar w:fldCharType="end"/>
      </w:r>
      <w:r w:rsidRPr="00025910">
        <w:t xml:space="preserve"> (</w:t>
      </w:r>
      <w:r w:rsidRPr="002438D2">
        <w:rPr>
          <w:i/>
          <w:iCs/>
        </w:rPr>
        <w:fldChar w:fldCharType="begin"/>
      </w:r>
      <w:r w:rsidRPr="002438D2">
        <w:rPr>
          <w:i/>
          <w:iCs/>
        </w:rPr>
        <w:instrText xml:space="preserve"> REF PartDSchedule28Heading \h </w:instrText>
      </w:r>
      <w:r>
        <w:rPr>
          <w:i/>
          <w:iCs/>
        </w:rPr>
        <w:instrText xml:space="preserve"> \* MERGEFORMAT </w:instrText>
      </w:r>
      <w:r w:rsidRPr="002438D2">
        <w:rPr>
          <w:i/>
          <w:iCs/>
        </w:rPr>
      </w:r>
      <w:r w:rsidRPr="002438D2">
        <w:rPr>
          <w:i/>
          <w:iCs/>
        </w:rPr>
        <w:fldChar w:fldCharType="separate"/>
      </w:r>
      <w:r w:rsidR="00302D39" w:rsidRPr="00302D39">
        <w:rPr>
          <w:i/>
          <w:iCs/>
        </w:rPr>
        <w:t>Pensions</w:t>
      </w:r>
      <w:r w:rsidRPr="002438D2">
        <w:rPr>
          <w:i/>
          <w:iCs/>
        </w:rPr>
        <w:fldChar w:fldCharType="end"/>
      </w:r>
      <w:r w:rsidRPr="00025910">
        <w:t xml:space="preserve">) of this </w:t>
      </w:r>
      <w:r>
        <w:fldChar w:fldCharType="begin"/>
      </w:r>
      <w:r>
        <w:instrText xml:space="preserve"> REF Schedule28 \h  \* MERGEFORMAT </w:instrText>
      </w:r>
      <w:r>
        <w:fldChar w:fldCharType="separate"/>
      </w:r>
      <w:r w:rsidR="00302D39" w:rsidRPr="005D0525">
        <w:t>Schedule</w:t>
      </w:r>
      <w:r w:rsidR="00302D39">
        <w:t> </w:t>
      </w:r>
      <w:r w:rsidR="00302D39" w:rsidRPr="005D0525">
        <w:t>28</w:t>
      </w:r>
      <w:r>
        <w:fldChar w:fldCharType="end"/>
      </w:r>
      <w:r>
        <w:t xml:space="preserve"> (</w:t>
      </w:r>
      <w:r w:rsidRPr="00864C57">
        <w:rPr>
          <w:i/>
          <w:iCs/>
        </w:rPr>
        <w:fldChar w:fldCharType="begin"/>
      </w:r>
      <w:r w:rsidRPr="00864C57">
        <w:rPr>
          <w:i/>
          <w:iCs/>
        </w:rPr>
        <w:instrText xml:space="preserve"> REF Schedule28Heading \h  \* MERGEFORMAT </w:instrText>
      </w:r>
      <w:r w:rsidRPr="00864C57">
        <w:rPr>
          <w:i/>
          <w:iCs/>
        </w:rPr>
      </w:r>
      <w:r w:rsidRPr="00864C57">
        <w:rPr>
          <w:i/>
          <w:iCs/>
        </w:rPr>
        <w:fldChar w:fldCharType="separate"/>
      </w:r>
      <w:r w:rsidR="00302D39" w:rsidRPr="00302D39">
        <w:rPr>
          <w:i/>
          <w:iCs/>
        </w:rPr>
        <w:t>Staff Transfer</w:t>
      </w:r>
      <w:r w:rsidRPr="00864C57">
        <w:rPr>
          <w:i/>
          <w:iCs/>
        </w:rPr>
        <w:fldChar w:fldCharType="end"/>
      </w:r>
      <w:r>
        <w:t>)</w:t>
      </w:r>
      <w:r w:rsidRPr="00025910">
        <w:t xml:space="preserve"> (as appropriate); and</w:t>
      </w:r>
      <w:bookmarkEnd w:id="2739"/>
    </w:p>
    <w:p w14:paraId="0E7C47B2" w14:textId="77777777" w:rsidR="00F67E9E" w:rsidRPr="00025910" w:rsidRDefault="00F67E9E" w:rsidP="00F67E9E">
      <w:pPr>
        <w:pStyle w:val="AppendixText3"/>
      </w:pPr>
      <w:bookmarkStart w:id="2740" w:name="_Ref141302545"/>
      <w:r w:rsidRPr="00025910">
        <w:t xml:space="preserve">a description of the nature of the work undertaken by each </w:t>
      </w:r>
      <w:r>
        <w:t>Supplier Personnel</w:t>
      </w:r>
      <w:r w:rsidRPr="00025910">
        <w:t xml:space="preserve"> by location.</w:t>
      </w:r>
      <w:bookmarkEnd w:id="2740"/>
    </w:p>
    <w:p w14:paraId="50D740B8" w14:textId="77777777" w:rsidR="00F67E9E" w:rsidRPr="00025910" w:rsidRDefault="00F67E9E" w:rsidP="00F67E9E">
      <w:pPr>
        <w:pStyle w:val="AppendixText2"/>
      </w:pPr>
      <w:bookmarkStart w:id="2741" w:name="_Ref_ContractCompanion_9kb9Us8B7"/>
      <w:r w:rsidRPr="00025910">
        <w:t>The Supplier shall provide, and shall procure that each Sub-contractor shall provide, all reasonable cooperation and assistance to the Authority,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w:t>
      </w:r>
      <w:r>
        <w:t xml:space="preserve"> </w:t>
      </w:r>
      <w:r w:rsidRPr="00025910">
        <w:t>Without prejudice to the generality of the foregoing, within 5 Working Days following the Service Transfer Date, the Supplier shall provide, and shall procure that each Sub-contractor shall provide, to the Authority or, at the direction of the Authority, to any Replacement Supplier and/or any Replacement Sub-contractor (as appropriate), in respect of each person on the Supplier</w:t>
      </w:r>
      <w:r>
        <w:t>’</w:t>
      </w:r>
      <w:r w:rsidRPr="00025910">
        <w:t>s Final Supplier Personnel List who is a Transferring Supplier Employee:</w:t>
      </w:r>
      <w:bookmarkEnd w:id="2741"/>
    </w:p>
    <w:p w14:paraId="6CDAB080" w14:textId="77777777" w:rsidR="00F67E9E" w:rsidRPr="00025910" w:rsidRDefault="00F67E9E" w:rsidP="00F67E9E">
      <w:pPr>
        <w:pStyle w:val="AppendixText3"/>
      </w:pPr>
      <w:r w:rsidRPr="00025910">
        <w:t>the most recent month</w:t>
      </w:r>
      <w:r>
        <w:t>’</w:t>
      </w:r>
      <w:r w:rsidRPr="00025910">
        <w:t>s copy pay slip data;</w:t>
      </w:r>
    </w:p>
    <w:p w14:paraId="1CB220A7" w14:textId="77777777" w:rsidR="00F67E9E" w:rsidRPr="00025910" w:rsidRDefault="00F67E9E" w:rsidP="00F67E9E">
      <w:pPr>
        <w:pStyle w:val="AppendixText3"/>
      </w:pPr>
      <w:r w:rsidRPr="00025910">
        <w:t>details of cumulative pay for tax and pension purposes;</w:t>
      </w:r>
    </w:p>
    <w:p w14:paraId="789B6DC6" w14:textId="77777777" w:rsidR="00F67E9E" w:rsidRPr="00025910" w:rsidRDefault="00F67E9E" w:rsidP="00F67E9E">
      <w:pPr>
        <w:pStyle w:val="AppendixText3"/>
      </w:pPr>
      <w:r w:rsidRPr="00025910">
        <w:t>details of cumulative tax paid;</w:t>
      </w:r>
    </w:p>
    <w:p w14:paraId="7DCF2D3A" w14:textId="77777777" w:rsidR="00F67E9E" w:rsidRPr="00025910" w:rsidRDefault="00F67E9E" w:rsidP="00F67E9E">
      <w:pPr>
        <w:pStyle w:val="AppendixText3"/>
      </w:pPr>
      <w:r w:rsidRPr="00025910">
        <w:t>tax code;</w:t>
      </w:r>
    </w:p>
    <w:p w14:paraId="10070448" w14:textId="77777777" w:rsidR="00F67E9E" w:rsidRPr="00103CB5" w:rsidRDefault="00F67E9E" w:rsidP="00F67E9E">
      <w:pPr>
        <w:pStyle w:val="AppendixText3"/>
      </w:pPr>
      <w:r w:rsidRPr="00025910">
        <w:t xml:space="preserve">details of any voluntary deductions from pay; </w:t>
      </w:r>
    </w:p>
    <w:p w14:paraId="783BFB85" w14:textId="77777777" w:rsidR="00F67E9E" w:rsidRDefault="00F67E9E" w:rsidP="00F67E9E">
      <w:pPr>
        <w:pStyle w:val="AppendixText3"/>
      </w:pPr>
      <w:r>
        <w:t>a copy of any personnel file and/or any other records regarding the service of the Transferring Supplier Employee;</w:t>
      </w:r>
    </w:p>
    <w:p w14:paraId="302D1474" w14:textId="77777777" w:rsidR="00F67E9E" w:rsidRDefault="00F67E9E" w:rsidP="00F67E9E">
      <w:pPr>
        <w:pStyle w:val="AppendixText3"/>
      </w:pPr>
      <w:r>
        <w:t xml:space="preserve">a complete copy of the information required to meet the minimum recording keeping requirements under the Working Time Regulations 1998 and the National Minimum Wage Regulations 1998; and </w:t>
      </w:r>
    </w:p>
    <w:p w14:paraId="4C7678C9" w14:textId="77777777" w:rsidR="00F67E9E" w:rsidRDefault="00F67E9E" w:rsidP="00F67E9E">
      <w:pPr>
        <w:pStyle w:val="AppendixText3"/>
      </w:pPr>
      <w:r w:rsidRPr="00025910">
        <w:t>bank/building society account details for payroll purposes.</w:t>
      </w:r>
    </w:p>
    <w:p w14:paraId="78049E45" w14:textId="33C19DE7" w:rsidR="00F67E9E" w:rsidRDefault="00F67E9E" w:rsidP="00F67E9E">
      <w:pPr>
        <w:pStyle w:val="AppendixText2"/>
      </w:pPr>
      <w:bookmarkStart w:id="2742" w:name="_Ref141302743"/>
      <w:r>
        <w:t xml:space="preserve">From the date of the earliest event referred to in Paragraph </w:t>
      </w:r>
      <w:r>
        <w:fldChar w:fldCharType="begin"/>
      </w:r>
      <w:r>
        <w:instrText xml:space="preserve"> REF _9kR3WTrAGA6DMGAkotfgnzBBylu9GByzxq8HDJB \r \h </w:instrText>
      </w:r>
      <w:r>
        <w:fldChar w:fldCharType="separate"/>
      </w:r>
      <w:r w:rsidR="00302D39">
        <w:t>1.1.1</w:t>
      </w:r>
      <w:r>
        <w:fldChar w:fldCharType="end"/>
      </w:r>
      <w:r>
        <w:t xml:space="preserve">, </w:t>
      </w:r>
      <w:r>
        <w:fldChar w:fldCharType="begin"/>
      </w:r>
      <w:r>
        <w:instrText xml:space="preserve"> REF _Ref141302705 \w \h </w:instrText>
      </w:r>
      <w:r>
        <w:fldChar w:fldCharType="separate"/>
      </w:r>
      <w:r w:rsidR="00302D39">
        <w:t>1.1.2</w:t>
      </w:r>
      <w:r>
        <w:fldChar w:fldCharType="end"/>
      </w:r>
      <w:r>
        <w:t xml:space="preserve"> and </w:t>
      </w:r>
      <w:r>
        <w:fldChar w:fldCharType="begin"/>
      </w:r>
      <w:r>
        <w:instrText xml:space="preserve"> REF _Ref141302714 \w \h </w:instrText>
      </w:r>
      <w:r>
        <w:fldChar w:fldCharType="separate"/>
      </w:r>
      <w:r w:rsidR="00302D39">
        <w:t>1.1.3</w:t>
      </w:r>
      <w:r>
        <w:fldChar w:fldCharType="end"/>
      </w:r>
      <w:r>
        <w:t>, the Supplier agrees that following within 20 Working Days of a request from the Authority it shall and shall procure that each Sub-contractor shall use reasonable endeavours to comply with any [</w:t>
      </w:r>
      <w:r w:rsidRPr="001A17D8">
        <w:rPr>
          <w:highlight w:val="yellow"/>
        </w:rPr>
        <w:t>reasonable</w:t>
      </w:r>
      <w:r>
        <w:t>] request to align and assign Supplier Personnel to any future delivery model proposed by the Authority for Replacement Services within 30 Working Days or such longer timescale as may be agreed.</w:t>
      </w:r>
      <w:bookmarkEnd w:id="2742"/>
    </w:p>
    <w:p w14:paraId="6438A271" w14:textId="3A564E4F" w:rsidR="00F67E9E" w:rsidRDefault="00F67E9E" w:rsidP="00F67E9E">
      <w:pPr>
        <w:pStyle w:val="AppendixText2"/>
      </w:pPr>
      <w:r>
        <w:t>Any changes necessary to this Contract as a result of alignment referred to in Paragraph </w:t>
      </w:r>
      <w:r>
        <w:fldChar w:fldCharType="begin"/>
      </w:r>
      <w:r>
        <w:instrText xml:space="preserve"> REF _Ref141302743 \w \h </w:instrText>
      </w:r>
      <w:r>
        <w:fldChar w:fldCharType="separate"/>
      </w:r>
      <w:r w:rsidR="00302D39">
        <w:t>1.8</w:t>
      </w:r>
      <w:r>
        <w:fldChar w:fldCharType="end"/>
      </w:r>
      <w:r>
        <w:t xml:space="preserve"> shall be agreed in accordance with the Change Control Procedure.</w:t>
      </w:r>
    </w:p>
    <w:p w14:paraId="6BBCC01C" w14:textId="77777777" w:rsidR="00F67E9E" w:rsidRPr="005D768B" w:rsidRDefault="00F67E9E" w:rsidP="00F67E9E">
      <w:pPr>
        <w:pStyle w:val="AppendixText1"/>
        <w:numPr>
          <w:ilvl w:val="0"/>
          <w:numId w:val="82"/>
        </w:numPr>
        <w:rPr>
          <w:color w:val="1F497D"/>
        </w:rPr>
      </w:pPr>
      <w:r w:rsidRPr="005D768B">
        <w:rPr>
          <w:color w:val="1F497D"/>
        </w:rPr>
        <w:t>Employment Regulations Exit Provisions</w:t>
      </w:r>
    </w:p>
    <w:p w14:paraId="4322E410" w14:textId="77777777" w:rsidR="00F67E9E" w:rsidRPr="00025910" w:rsidRDefault="00F67E9E" w:rsidP="00F67E9E">
      <w:pPr>
        <w:pStyle w:val="AppendixText2"/>
      </w:pPr>
      <w:r w:rsidRPr="00025910">
        <w:t>The Authority and the Supplier acknowledge that subsequent to the commencement of the provision of the Services, the identity of the provider of the Services (or any part of the Services) may change (whether as a result of termination or Partial Termination of this Contract</w:t>
      </w:r>
      <w:r w:rsidRPr="00025910" w:rsidDel="000D1FBB">
        <w:t xml:space="preserve"> </w:t>
      </w:r>
      <w:r w:rsidRPr="00025910">
        <w:t>or otherwise) resulting in the Services being undertaken by a Replacement Supplier and/or a Replacement Sub-contractor.</w:t>
      </w:r>
      <w:r>
        <w:t xml:space="preserve"> </w:t>
      </w:r>
      <w:r w:rsidRPr="00025910">
        <w:t>Such change in the identity of the supplier of such services may constitute a Relevant Transfer to which the Employment Regulations will apply.</w:t>
      </w:r>
      <w:r>
        <w:t xml:space="preserve"> </w:t>
      </w:r>
      <w:r w:rsidRPr="00025910">
        <w:t xml:space="preserve">The Authority and the Supplier further agree that, as a result of the operation of the Employment Regulations, where a Relevant Transfer occurs, the contracts of employment between the Supplier and the Transferring Supplier Employees (except in relation to any contract terms disapplied through operation of </w:t>
      </w:r>
      <w:bookmarkStart w:id="2743" w:name="_9kMIH5YVt49BA9D5siz5mv406KLN"/>
      <w:r w:rsidRPr="00025910">
        <w:t>regulation 10</w:t>
      </w:r>
      <w:bookmarkEnd w:id="2743"/>
      <w:r>
        <w:t xml:space="preserve"> </w:t>
      </w:r>
      <w:r w:rsidRPr="00025910">
        <w:t>of the Employment Regulations) will have effect on and from the Service Transfer Date as if originally made between the Replacement Supplier and/or a Replacement Sub-contractor (as the case may be) and each such Transferring Supplier Employee.</w:t>
      </w:r>
    </w:p>
    <w:p w14:paraId="4B129874" w14:textId="0D12FB09" w:rsidR="00E70551" w:rsidRDefault="00F67E9E" w:rsidP="00F67E9E">
      <w:pPr>
        <w:pStyle w:val="AppendixText2"/>
      </w:pPr>
      <w:r w:rsidRPr="0008270F">
        <w:t xml:space="preserve">The Supplier shall, and shall procure that each Sub-contractor shall, comply with all its obligations under the Employment Regulations and in particular obligations in respect of the Transferring Supplier Employees arising under the Employment Regulations in respect of the period up to (but excluding) the Service Transfer Date and shall perform and discharge, and procure that each Sub-contractor shall perform and discharge, all its obligations in respect of any person identified in the Supplier’s Final Supplier Personnel </w:t>
      </w:r>
      <w:r w:rsidR="00A10006">
        <w:t xml:space="preserve">List </w:t>
      </w:r>
      <w:r w:rsidRPr="0008270F">
        <w:t>all the Transferring Supplier Employees arising in respect of the period up to (and including but excluding) the Service Transfer Date (including the payment of all remuneration, benefits, entitlements and outgoings, all wages, accrued but untaken holiday pay, bonuses, commissions, payments of PAYE, national insurance contributions and pension contributions and all such sums due as a result of any Fair Deal Employees' participation in the Statutory Schemes  and any requirement to set up a broadly comparable pension scheme which in any case are attributable in whole or in part to the period ending on (and including but excluding) the Service Transfer Date) and any necessary apportionments in respect of any periodic payments shall be made between:</w:t>
      </w:r>
    </w:p>
    <w:p w14:paraId="13DCB613" w14:textId="3F88C1C2" w:rsidR="00E70551" w:rsidRDefault="00F67E9E" w:rsidP="00E62DE6">
      <w:pPr>
        <w:pStyle w:val="AppendixText3"/>
      </w:pPr>
      <w:r w:rsidRPr="00025910">
        <w:t xml:space="preserve">the Supplier and/or the Sub-contractor (as appropriate); and </w:t>
      </w:r>
    </w:p>
    <w:p w14:paraId="2C941740" w14:textId="721467BD" w:rsidR="00F67E9E" w:rsidRPr="00025910" w:rsidRDefault="00F67E9E" w:rsidP="00E62DE6">
      <w:pPr>
        <w:pStyle w:val="AppendixText3"/>
      </w:pPr>
      <w:r w:rsidRPr="00025910">
        <w:t>the Replacement Supplier and/or Replacement Sub-contractor.</w:t>
      </w:r>
      <w:r>
        <w:t xml:space="preserve"> </w:t>
      </w:r>
    </w:p>
    <w:p w14:paraId="484CB922" w14:textId="549E2D49" w:rsidR="00F67E9E" w:rsidRPr="00025910" w:rsidRDefault="00F67E9E" w:rsidP="00F67E9E">
      <w:pPr>
        <w:pStyle w:val="AppendixText2"/>
      </w:pPr>
      <w:bookmarkStart w:id="2744" w:name="_Ref_ContractCompanion_9kb9Ut2AJ"/>
      <w:bookmarkStart w:id="2745" w:name="_9kR3WTrAGA7669DedtjnhxFBiPyzp7219NYQH3p"/>
      <w:r w:rsidRPr="00025910">
        <w:t xml:space="preserve">Subject to </w:t>
      </w:r>
      <w:bookmarkStart w:id="2746" w:name="_9kMHG5YVtCIC8GOIGiTlnxtlv529Aw7C8qY78yG"/>
      <w:r w:rsidRPr="00025910">
        <w:t xml:space="preserve">Paragraph </w:t>
      </w:r>
      <w:r w:rsidRPr="00025910">
        <w:fldChar w:fldCharType="begin"/>
      </w:r>
      <w:r w:rsidRPr="00025910">
        <w:instrText xml:space="preserve"> REF _Ref_ContractCompanion_9kb9Ut2AG \n \h \t \* MERGEFORMAT </w:instrText>
      </w:r>
      <w:r w:rsidRPr="00025910">
        <w:fldChar w:fldCharType="separate"/>
      </w:r>
      <w:r w:rsidR="00302D39">
        <w:t>2.4</w:t>
      </w:r>
      <w:r w:rsidRPr="00025910">
        <w:fldChar w:fldCharType="end"/>
      </w:r>
      <w:bookmarkEnd w:id="2746"/>
      <w:r w:rsidRPr="00025910">
        <w:t>, the Supplier shall indemnify the Authority and/or the Replacement Supplier and/or any Replacement Sub-contractor against any Employee Liabilities arising from or as a result of:</w:t>
      </w:r>
      <w:bookmarkEnd w:id="2744"/>
      <w:bookmarkEnd w:id="2745"/>
    </w:p>
    <w:p w14:paraId="426720BF" w14:textId="77777777" w:rsidR="00F67E9E" w:rsidRPr="00025910" w:rsidRDefault="00F67E9E" w:rsidP="00F67E9E">
      <w:pPr>
        <w:pStyle w:val="AppendixText3"/>
      </w:pPr>
      <w:r w:rsidRPr="00025910">
        <w:t>any act or omission of the Supplier or any Sub-contractor in respect of any Transferring Supplier Employee or any appropriate employee representative (as defined in the Employment Regulations) of any Transferring Supplier Employee whether occurring before, on or after the Service Transfer Date;</w:t>
      </w:r>
    </w:p>
    <w:p w14:paraId="09601F99" w14:textId="77777777" w:rsidR="00F67E9E" w:rsidRPr="00025910" w:rsidRDefault="00F67E9E" w:rsidP="00F67E9E">
      <w:pPr>
        <w:pStyle w:val="AppendixText3"/>
      </w:pPr>
      <w:r w:rsidRPr="00025910">
        <w:t>the breach or non-observance by the Supplier or any Sub-contractor occurring before</w:t>
      </w:r>
      <w:r>
        <w:t xml:space="preserve"> but excluding</w:t>
      </w:r>
      <w:r w:rsidRPr="00025910">
        <w:t xml:space="preserve"> the Service Transfer Date of: </w:t>
      </w:r>
    </w:p>
    <w:p w14:paraId="47A8ECC0" w14:textId="77777777" w:rsidR="00F67E9E" w:rsidRPr="005D768B" w:rsidRDefault="00F67E9E" w:rsidP="00F67E9E">
      <w:pPr>
        <w:pStyle w:val="AppendixText4"/>
      </w:pPr>
      <w:r w:rsidRPr="00025910">
        <w:t xml:space="preserve">any collective agreement applicable to the Transferring Supplier </w:t>
      </w:r>
      <w:r w:rsidRPr="005D768B">
        <w:t>Employees; and/or</w:t>
      </w:r>
    </w:p>
    <w:p w14:paraId="368F561F" w14:textId="77777777" w:rsidR="00F67E9E" w:rsidRPr="00025910" w:rsidRDefault="00F67E9E" w:rsidP="00F67E9E">
      <w:pPr>
        <w:pStyle w:val="AppendixText4"/>
      </w:pPr>
      <w:r w:rsidRPr="005D768B">
        <w:t>any other custom or practice with a trade union or staff association in respect of a</w:t>
      </w:r>
      <w:r w:rsidRPr="00025910">
        <w:t>ny Transferring Supplier Employees which the Supplier or any Sub-contractor is contractually bound to honour;</w:t>
      </w:r>
    </w:p>
    <w:p w14:paraId="33E7AAF8" w14:textId="77777777" w:rsidR="00F67E9E" w:rsidRPr="00025910" w:rsidRDefault="00F67E9E" w:rsidP="00F67E9E">
      <w:pPr>
        <w:pStyle w:val="AppendixText3"/>
      </w:pPr>
      <w:r w:rsidRPr="00025910">
        <w:t xml:space="preserve">any claim by any trade union or other body or person representing any Transferring Supplier Employees arising from or connected with any failure by the Supplier or a Sub-contractor to comply with any legal obligation to such trade union, body or person arising before </w:t>
      </w:r>
      <w:r>
        <w:t>but excluding</w:t>
      </w:r>
      <w:r w:rsidRPr="00025910">
        <w:t xml:space="preserve"> the Service Transfer Date;</w:t>
      </w:r>
    </w:p>
    <w:p w14:paraId="5996BF6A" w14:textId="77777777" w:rsidR="00F67E9E" w:rsidRPr="00025910" w:rsidRDefault="00F67E9E" w:rsidP="00F67E9E">
      <w:pPr>
        <w:pStyle w:val="AppendixText3"/>
      </w:pPr>
      <w:r w:rsidRPr="00025910">
        <w:t>any proceeding, claim or demand by HMRC or other statutory authority in respect of any financial obligation including, but not limited to, PAYE and primary and secondary national insurance contributions:</w:t>
      </w:r>
    </w:p>
    <w:p w14:paraId="073A1EC0" w14:textId="77777777" w:rsidR="00F67E9E" w:rsidRPr="005D768B" w:rsidRDefault="00F67E9E" w:rsidP="00F67E9E">
      <w:pPr>
        <w:pStyle w:val="AppendixText4"/>
      </w:pPr>
      <w:r w:rsidRPr="00025910">
        <w:t xml:space="preserve">in relation to any Transferring Supplier Employee, to the extent that the proceeding, claim or demand by HMRC or other statutory authority relates to </w:t>
      </w:r>
      <w:r w:rsidRPr="005D768B">
        <w:t xml:space="preserve">financial obligations arising before </w:t>
      </w:r>
      <w:r>
        <w:t>but excluding</w:t>
      </w:r>
      <w:r w:rsidRPr="00025910">
        <w:t xml:space="preserve"> </w:t>
      </w:r>
      <w:r w:rsidRPr="005D768B">
        <w:t>the Service Transfer Date; and</w:t>
      </w:r>
    </w:p>
    <w:p w14:paraId="5BBA6C0A" w14:textId="77777777" w:rsidR="00F67E9E" w:rsidRPr="00025910" w:rsidRDefault="00F67E9E" w:rsidP="00F67E9E">
      <w:pPr>
        <w:pStyle w:val="AppendixText4"/>
      </w:pPr>
      <w:r w:rsidRPr="005D768B">
        <w:t>in relation to any employee who is not identified in the Supplier’s Final Supplier Personnel List, and in respect of whom it is later alleged or determined th</w:t>
      </w:r>
      <w:r w:rsidRPr="00025910">
        <w:t xml:space="preserve">at the Employment Regulations applied so as to transfer his/her employment from the Supplier to the Authority and/or Replacement Supplier and/or any Replacement Sub-contractor, to the extent that the proceeding, claim or demand by HMRC or other statutory authority relates to financial obligations arising before </w:t>
      </w:r>
      <w:r>
        <w:t>but excluding</w:t>
      </w:r>
      <w:r w:rsidRPr="00025910">
        <w:t xml:space="preserve"> the Service Transfer Date;</w:t>
      </w:r>
    </w:p>
    <w:p w14:paraId="19CF8FA1" w14:textId="77777777" w:rsidR="00F67E9E" w:rsidRPr="00025910" w:rsidRDefault="00F67E9E" w:rsidP="00F67E9E">
      <w:pPr>
        <w:pStyle w:val="AppendixText3"/>
      </w:pPr>
      <w:r w:rsidRPr="00025910">
        <w:t>a failure of the Supplier or any Sub-contractor to discharge or procure the discharge of all wages, salaries and all other benefits and all PAYE tax deductions and national insurance contributions relating to the Transferring Supplier Employees in respect of the period up to (</w:t>
      </w:r>
      <w:r>
        <w:t>but excluding</w:t>
      </w:r>
      <w:r w:rsidRPr="00025910">
        <w:t>) the Service Transfer Date);</w:t>
      </w:r>
    </w:p>
    <w:p w14:paraId="4AC5DEB7" w14:textId="77777777" w:rsidR="00F67E9E" w:rsidRPr="00025910" w:rsidRDefault="00F67E9E" w:rsidP="00F67E9E">
      <w:pPr>
        <w:pStyle w:val="AppendixText3"/>
      </w:pPr>
      <w:r w:rsidRPr="00025910">
        <w:t>any claim made by or in respect of any person employed or formerly employed by the Supplier or any Sub-contractor other than a Transferring Supplier Employee identified in the Supplier</w:t>
      </w:r>
      <w:r>
        <w:t>’</w:t>
      </w:r>
      <w:r w:rsidRPr="00025910">
        <w:t>s Final Supplier Personnel List for whom it is alleged the Authority and/or the Replacement Supplier and/or any Replacement Sub-contractor may be liable by virtue of this Contract</w:t>
      </w:r>
      <w:r w:rsidRPr="00025910" w:rsidDel="000D1FBB">
        <w:t xml:space="preserve"> </w:t>
      </w:r>
      <w:r w:rsidRPr="00025910">
        <w:t>and/or the Employment Regulations; and</w:t>
      </w:r>
    </w:p>
    <w:p w14:paraId="23FDFA68" w14:textId="77777777" w:rsidR="00F67E9E" w:rsidRPr="00025910" w:rsidRDefault="00F67E9E" w:rsidP="00F67E9E">
      <w:pPr>
        <w:pStyle w:val="AppendixText3"/>
      </w:pPr>
      <w:r w:rsidRPr="00025910">
        <w:t>any claim made by or in respect of a Transferring Supplier Employee or any appropriate employee representative (as defined in the Employment Regulations) of any Transferring Supplier Employee relating to any act or omission of the Supplier or any Sub-contractor in relation to its obligations under regulation 13 of the Employment Regulations, except to the extent that the liability arises from the failure by the Authority and/or Replacement Supplier to comply with regulation 13(4) of the Employment Regulations.</w:t>
      </w:r>
    </w:p>
    <w:p w14:paraId="617C3F25" w14:textId="485B6D1B" w:rsidR="00F67E9E" w:rsidRPr="00025910" w:rsidRDefault="00F67E9E" w:rsidP="00F67E9E">
      <w:pPr>
        <w:pStyle w:val="AppendixText2"/>
      </w:pPr>
      <w:bookmarkStart w:id="2747" w:name="_9kR3WTrAGA6EMGEgRjlvrjt3078u5A6oW56wE98"/>
      <w:bookmarkStart w:id="2748" w:name="_Ref_ContractCompanion_9kb9Ut2AG"/>
      <w:r w:rsidRPr="00025910">
        <w:t xml:space="preserve">The indemnities in </w:t>
      </w:r>
      <w:bookmarkStart w:id="2749" w:name="_9kMHG5YVtCIC988BFgfvlpjzHDkR01r943BPaSJ"/>
      <w:r w:rsidRPr="00025910">
        <w:t xml:space="preserve">Paragraph </w:t>
      </w:r>
      <w:r w:rsidRPr="00025910">
        <w:fldChar w:fldCharType="begin"/>
      </w:r>
      <w:r w:rsidRPr="00025910">
        <w:instrText xml:space="preserve"> REF _Ref_ContractCompanion_9kb9Ut2AJ \n \h \t \* MERGEFORMAT </w:instrText>
      </w:r>
      <w:r w:rsidRPr="00025910">
        <w:fldChar w:fldCharType="separate"/>
      </w:r>
      <w:r w:rsidR="00302D39">
        <w:t>2.3</w:t>
      </w:r>
      <w:r w:rsidRPr="00025910">
        <w:fldChar w:fldCharType="end"/>
      </w:r>
      <w:bookmarkEnd w:id="2749"/>
      <w:r w:rsidRPr="00025910">
        <w:t xml:space="preserve"> shall not apply to the extent that the Employee Liabilities arise or are attributable to an act or omission of the Replacement Supplier and/or any Replacement Sub-contractor whether occurring or having its origin before, on or after the Service Transfer Date, including any Employee Liabilities:</w:t>
      </w:r>
      <w:bookmarkEnd w:id="2747"/>
      <w:r w:rsidRPr="00025910">
        <w:t xml:space="preserve"> </w:t>
      </w:r>
      <w:bookmarkEnd w:id="2748"/>
    </w:p>
    <w:p w14:paraId="768F66B3" w14:textId="77777777" w:rsidR="00F67E9E" w:rsidRPr="00025910" w:rsidRDefault="00F67E9E" w:rsidP="00F67E9E">
      <w:pPr>
        <w:pStyle w:val="AppendixText3"/>
      </w:pPr>
      <w:r w:rsidRPr="00025910">
        <w:t>arising out of the resignation of any Transferring Supplier Employee before the Service Transfer Date on account of substantial detrimental changes to his/her working conditions proposed by the Replacement Supplier and/or any Replacement Sub-contractor to occur in the period on or after the Service Transfer Date); or</w:t>
      </w:r>
    </w:p>
    <w:p w14:paraId="7663CF52" w14:textId="77777777" w:rsidR="00F67E9E" w:rsidRPr="00025910" w:rsidRDefault="00F67E9E" w:rsidP="00F67E9E">
      <w:pPr>
        <w:pStyle w:val="AppendixText3"/>
      </w:pPr>
      <w:r w:rsidRPr="00025910">
        <w:t>arising from the Replacement Supplier</w:t>
      </w:r>
      <w:r>
        <w:t>’</w:t>
      </w:r>
      <w:r w:rsidRPr="00025910">
        <w:t>s failure, and/or Replacement Sub-contractor</w:t>
      </w:r>
      <w:r>
        <w:t>’</w:t>
      </w:r>
      <w:r w:rsidRPr="00025910">
        <w:t>s failure, to comply with its obligations under the Employment Regulations.</w:t>
      </w:r>
    </w:p>
    <w:p w14:paraId="6E156503" w14:textId="6221ABB4" w:rsidR="00F67E9E" w:rsidRPr="00025910" w:rsidRDefault="00F67E9E" w:rsidP="00F67E9E">
      <w:pPr>
        <w:pStyle w:val="AppendixText2"/>
      </w:pPr>
      <w:bookmarkStart w:id="2750" w:name="_Ref_ContractCompanion_9kb9Ut326"/>
      <w:bookmarkStart w:id="2751" w:name="_9kR3WTrAGA76CFFWEdmBEvyDB7GB46BHELG1y9P"/>
      <w:r w:rsidRPr="00025910">
        <w:t>If any person who is not identified in the Supplier</w:t>
      </w:r>
      <w:r>
        <w:t>’</w:t>
      </w:r>
      <w:r w:rsidRPr="00025910">
        <w:t>s Final Supplier Personnel</w:t>
      </w:r>
      <w:r w:rsidR="00A10006">
        <w:t xml:space="preserve"> L</w:t>
      </w:r>
      <w:r w:rsidRPr="00025910">
        <w:t>ist claims, or it is determined in relation to any person who is not identified in the Supplier</w:t>
      </w:r>
      <w:r>
        <w:t>’</w:t>
      </w:r>
      <w:r w:rsidRPr="00025910">
        <w:t xml:space="preserve">s Final Supplier Personnel </w:t>
      </w:r>
      <w:r w:rsidR="00A10006">
        <w:t>L</w:t>
      </w:r>
      <w:r w:rsidRPr="00025910">
        <w:t>ist, that his/her contract of employment has been transferred from the Supplier or any Sub-contractor to the Replacement Supplier and/or Replacement Sub-contractor pursuant to the Employment Regulations, then:</w:t>
      </w:r>
      <w:bookmarkEnd w:id="2750"/>
      <w:bookmarkEnd w:id="2751"/>
    </w:p>
    <w:p w14:paraId="45D11768" w14:textId="77777777" w:rsidR="00F67E9E" w:rsidRPr="00025910" w:rsidRDefault="00F67E9E" w:rsidP="00F67E9E">
      <w:pPr>
        <w:pStyle w:val="AppendixText3"/>
      </w:pPr>
      <w:bookmarkStart w:id="2752" w:name="_9kR3WTrAGA79HHFoqykEPF3zA58PP9sx9ELL7EU"/>
      <w:bookmarkStart w:id="2753" w:name="_Ref_ContractCompanion_9kb9Ut35B"/>
      <w:r w:rsidRPr="00025910">
        <w:t>the Authority shall procure that the Replacement Supplier shall, or any Replacement Sub-contractor shall, within 5 Working Days of becoming aware of that fact, give notice in writing to the Supplier;</w:t>
      </w:r>
      <w:bookmarkEnd w:id="2752"/>
      <w:r w:rsidRPr="00025910">
        <w:t xml:space="preserve"> and</w:t>
      </w:r>
      <w:bookmarkEnd w:id="2753"/>
    </w:p>
    <w:p w14:paraId="017BB93E" w14:textId="77777777" w:rsidR="00F67E9E" w:rsidRPr="00025910" w:rsidRDefault="00F67E9E" w:rsidP="00F67E9E">
      <w:pPr>
        <w:pStyle w:val="AppendixText3"/>
      </w:pPr>
      <w:bookmarkStart w:id="2754" w:name="_Ref_ContractCompanion_9kb9Ut323"/>
      <w:bookmarkStart w:id="2755" w:name="_9kR3WTrAGA769CFprykWhB74ys2Bv8N5xxALML5"/>
      <w:r w:rsidRPr="00025910">
        <w:t>the Supplier may offer (or may procure that a Sub-contractor may offer) employment to such person within 15 Working Days of the notification by the Replacement Supplier and/or any and/or Replacement Sub-contractor or take such other reasonable steps as it considers appropriate to deal with the matter provided always that such steps are in compliance with Law.</w:t>
      </w:r>
      <w:bookmarkEnd w:id="2754"/>
      <w:bookmarkEnd w:id="2755"/>
    </w:p>
    <w:p w14:paraId="027E2571" w14:textId="77777777" w:rsidR="00F67E9E" w:rsidRPr="00025910" w:rsidRDefault="00F67E9E" w:rsidP="00F67E9E">
      <w:pPr>
        <w:pStyle w:val="AppendixText2"/>
      </w:pPr>
      <w:r w:rsidRPr="00025910">
        <w:t>If such offer is accepted, or if the situation has otherwise been resolved by the Supplier or a Sub-contractor, the Authority shall procure that the Replacement Supplier shall, or procure that the Replacement Sub-contractor shall, immediately release or procure the release of the person from his/her employment or alleged employment.</w:t>
      </w:r>
    </w:p>
    <w:p w14:paraId="3C6F1015" w14:textId="160F6664" w:rsidR="00F67E9E" w:rsidRPr="00025910" w:rsidRDefault="00F67E9E" w:rsidP="00F67E9E">
      <w:pPr>
        <w:pStyle w:val="AppendixText2"/>
      </w:pPr>
      <w:bookmarkStart w:id="2756" w:name="_Ref_ContractCompanion_9kb9Ut329"/>
      <w:bookmarkStart w:id="2757" w:name="_9kR3WTrAGA76FIHYEdeyyxD4qBQwnFC487YNFVC"/>
      <w:r w:rsidRPr="00025910">
        <w:t xml:space="preserve">If after the 15 Working Day period specified in </w:t>
      </w:r>
      <w:bookmarkStart w:id="2758" w:name="_9kMHG5YVtCIC98BEHrt0mYjD960u4DxAP7zzCNO"/>
      <w:r w:rsidRPr="00025910">
        <w:t xml:space="preserve">Paragraph </w:t>
      </w:r>
      <w:r w:rsidRPr="00025910">
        <w:fldChar w:fldCharType="begin"/>
      </w:r>
      <w:r w:rsidRPr="00025910">
        <w:instrText xml:space="preserve"> REF _Ref_ContractCompanion_9kb9Ut323 \w \h \t \* MERGEFORMAT </w:instrText>
      </w:r>
      <w:r w:rsidRPr="00025910">
        <w:fldChar w:fldCharType="separate"/>
      </w:r>
      <w:r w:rsidR="00302D39">
        <w:t>2.5.2</w:t>
      </w:r>
      <w:r w:rsidRPr="00025910">
        <w:fldChar w:fldCharType="end"/>
      </w:r>
      <w:bookmarkEnd w:id="2758"/>
      <w:r w:rsidRPr="00025910">
        <w:t xml:space="preserve"> has elapsed:</w:t>
      </w:r>
      <w:bookmarkEnd w:id="2756"/>
      <w:bookmarkEnd w:id="2757"/>
    </w:p>
    <w:p w14:paraId="0BC8C52B" w14:textId="77777777" w:rsidR="00F67E9E" w:rsidRPr="00025910" w:rsidRDefault="00F67E9E" w:rsidP="00F67E9E">
      <w:pPr>
        <w:pStyle w:val="AppendixText3"/>
      </w:pPr>
      <w:r w:rsidRPr="00025910">
        <w:t xml:space="preserve">no such offer of employment has been made; </w:t>
      </w:r>
    </w:p>
    <w:p w14:paraId="3040AB15" w14:textId="77777777" w:rsidR="00F67E9E" w:rsidRPr="00025910" w:rsidRDefault="00F67E9E" w:rsidP="00F67E9E">
      <w:pPr>
        <w:pStyle w:val="AppendixText3"/>
      </w:pPr>
      <w:r w:rsidRPr="00025910">
        <w:t>such offer has been made but not accepted; or</w:t>
      </w:r>
    </w:p>
    <w:p w14:paraId="3BF021C4" w14:textId="77777777" w:rsidR="00F67E9E" w:rsidRPr="00025910" w:rsidRDefault="00F67E9E" w:rsidP="00F67E9E">
      <w:pPr>
        <w:pStyle w:val="AppendixText3"/>
      </w:pPr>
      <w:r w:rsidRPr="00025910">
        <w:t>the situation has not otherwise been resolved</w:t>
      </w:r>
    </w:p>
    <w:p w14:paraId="064C2D94" w14:textId="77777777" w:rsidR="00F67E9E" w:rsidRPr="00025910" w:rsidRDefault="00F67E9E" w:rsidP="00F67E9E">
      <w:pPr>
        <w:pStyle w:val="StdBodyText2"/>
        <w:rPr>
          <w:rFonts w:cs="Arial"/>
        </w:rPr>
      </w:pPr>
      <w:r w:rsidRPr="00025910">
        <w:rPr>
          <w:rFonts w:cs="Arial"/>
        </w:rPr>
        <w:t>the Authority shall advise the Replacement Supplier and/or Replacement Sub-contractor, as appropriate that it may within 5 Working Days give notice to terminate the employment or alleged employment of such person.</w:t>
      </w:r>
    </w:p>
    <w:p w14:paraId="337D4448" w14:textId="2DC92E61" w:rsidR="00F67E9E" w:rsidRPr="00025910" w:rsidRDefault="00F67E9E" w:rsidP="00F67E9E">
      <w:pPr>
        <w:pStyle w:val="AppendixText2"/>
      </w:pPr>
      <w:bookmarkStart w:id="2759" w:name="_Ref_ContractCompanion_9kb9Ut358"/>
      <w:bookmarkStart w:id="2760" w:name="_9kR3WTrAGA79EEIjdtjnhxFBC6sdY3Bxpu568O4"/>
      <w:r w:rsidRPr="00025910">
        <w:t xml:space="preserve">Subject to the Replacement Supplier and/or Replacement Sub-contractor acting in accordance with the provisions of </w:t>
      </w:r>
      <w:bookmarkStart w:id="2761" w:name="_9kMHG5YVtCIC98EHHYGfoDGx0FD9ID68DJGNI30"/>
      <w:r w:rsidRPr="00025910">
        <w:t xml:space="preserve">Paragraphs </w:t>
      </w:r>
      <w:r w:rsidRPr="00025910">
        <w:fldChar w:fldCharType="begin"/>
      </w:r>
      <w:r w:rsidRPr="00025910">
        <w:instrText xml:space="preserve"> REF _Ref_ContractCompanion_9kb9Ut326 \n \h \t \* MERGEFORMAT </w:instrText>
      </w:r>
      <w:r w:rsidRPr="00025910">
        <w:fldChar w:fldCharType="separate"/>
      </w:r>
      <w:r w:rsidR="00302D39">
        <w:t>2.5</w:t>
      </w:r>
      <w:r w:rsidRPr="00025910">
        <w:fldChar w:fldCharType="end"/>
      </w:r>
      <w:bookmarkEnd w:id="2761"/>
      <w:r w:rsidRPr="00025910">
        <w:t xml:space="preserve"> to </w:t>
      </w:r>
      <w:bookmarkStart w:id="2762" w:name="_9kMHG5YVtCIC98HKJaGfg00zF6sDSypHE6A9aPH"/>
      <w:r w:rsidRPr="00025910">
        <w:fldChar w:fldCharType="begin"/>
      </w:r>
      <w:r w:rsidRPr="00025910">
        <w:instrText xml:space="preserve"> REF _Ref_ContractCompanion_9kb9Ut329 \n \h \t \* MERGEFORMAT </w:instrText>
      </w:r>
      <w:r w:rsidRPr="00025910">
        <w:fldChar w:fldCharType="separate"/>
      </w:r>
      <w:r w:rsidR="00302D39">
        <w:t>2.7</w:t>
      </w:r>
      <w:r w:rsidRPr="00025910">
        <w:fldChar w:fldCharType="end"/>
      </w:r>
      <w:bookmarkEnd w:id="2762"/>
      <w:r w:rsidRPr="00025910">
        <w:t xml:space="preserve">, and in accordance with all applicable proper employment procedures set out in applicable Law, the Supplier shall indemnify the Replacement Supplier and/or Replacement Sub-contractor against all Employee Liabilities arising out of the termination of employment pursuant to the provisions of </w:t>
      </w:r>
      <w:bookmarkStart w:id="2763" w:name="_9kMIH5YVtCIC98HKJaGfg00zF6sDSypHE6A9aPH"/>
      <w:r w:rsidRPr="00025910">
        <w:t xml:space="preserve">Paragraph </w:t>
      </w:r>
      <w:r w:rsidRPr="00025910">
        <w:fldChar w:fldCharType="begin"/>
      </w:r>
      <w:r w:rsidRPr="00025910">
        <w:instrText xml:space="preserve"> REF _Ref_ContractCompanion_9kb9Ut329 \n \h \t \* MERGEFORMAT </w:instrText>
      </w:r>
      <w:r w:rsidRPr="00025910">
        <w:fldChar w:fldCharType="separate"/>
      </w:r>
      <w:r w:rsidR="00302D39">
        <w:t>2.7</w:t>
      </w:r>
      <w:r w:rsidRPr="00025910">
        <w:fldChar w:fldCharType="end"/>
      </w:r>
      <w:bookmarkEnd w:id="2763"/>
      <w:r w:rsidRPr="00025910">
        <w:t xml:space="preserve"> provided that the Replacement Supplier takes, or shall procure that the Replacement Sub-contractor takes, all reasonable steps to minimise any such Employee Liabilities.</w:t>
      </w:r>
      <w:bookmarkEnd w:id="2759"/>
      <w:bookmarkEnd w:id="2760"/>
    </w:p>
    <w:p w14:paraId="67B15CDD" w14:textId="4F35B63B" w:rsidR="00F67E9E" w:rsidRPr="00025910" w:rsidRDefault="00F67E9E" w:rsidP="00F67E9E">
      <w:pPr>
        <w:pStyle w:val="AppendixText2"/>
      </w:pPr>
      <w:r w:rsidRPr="00025910">
        <w:t xml:space="preserve">The indemnity in </w:t>
      </w:r>
      <w:bookmarkStart w:id="2764" w:name="_9kMHG5YVtCIC9BGGKlfvlpjzHDE8ufa5Dzrw78A"/>
      <w:r w:rsidRPr="00025910">
        <w:t xml:space="preserve">Paragraph </w:t>
      </w:r>
      <w:r w:rsidRPr="00025910">
        <w:fldChar w:fldCharType="begin"/>
      </w:r>
      <w:r w:rsidRPr="00025910">
        <w:instrText xml:space="preserve"> REF _Ref_ContractCompanion_9kb9Ut358 \n \h \t \* MERGEFORMAT </w:instrText>
      </w:r>
      <w:r w:rsidRPr="00025910">
        <w:fldChar w:fldCharType="separate"/>
      </w:r>
      <w:r w:rsidR="00302D39">
        <w:t>2.8</w:t>
      </w:r>
      <w:r w:rsidRPr="00025910">
        <w:fldChar w:fldCharType="end"/>
      </w:r>
      <w:bookmarkEnd w:id="2764"/>
      <w:r w:rsidRPr="00025910">
        <w:t>:</w:t>
      </w:r>
    </w:p>
    <w:p w14:paraId="1A447AE8" w14:textId="77777777" w:rsidR="00F67E9E" w:rsidRPr="00025910" w:rsidRDefault="00F67E9E" w:rsidP="00F67E9E">
      <w:pPr>
        <w:pStyle w:val="AppendixText3"/>
      </w:pPr>
      <w:r w:rsidRPr="00025910">
        <w:t>shall not apply to:</w:t>
      </w:r>
    </w:p>
    <w:p w14:paraId="502BC9FB" w14:textId="77777777" w:rsidR="00F67E9E" w:rsidRPr="00025910" w:rsidRDefault="00F67E9E" w:rsidP="00F67E9E">
      <w:pPr>
        <w:pStyle w:val="AppendixText4"/>
      </w:pPr>
      <w:r w:rsidRPr="00025910">
        <w:t>any claim for:</w:t>
      </w:r>
    </w:p>
    <w:p w14:paraId="3AF088C3" w14:textId="77777777" w:rsidR="00F67E9E" w:rsidRPr="005D768B" w:rsidRDefault="00F67E9E" w:rsidP="00F67E9E">
      <w:pPr>
        <w:pStyle w:val="Numbered111ai"/>
      </w:pPr>
      <w:r w:rsidRPr="00025910">
        <w:t xml:space="preserve">discrimination, including on the grounds of sex, race, disability, age, gender reassignment, marriage or civil partnership, pregnancy and </w:t>
      </w:r>
      <w:r w:rsidRPr="005D768B">
        <w:t>maternity or sexual orientation, religion or belief; or</w:t>
      </w:r>
    </w:p>
    <w:p w14:paraId="38BB6DDE" w14:textId="77777777" w:rsidR="00F67E9E" w:rsidRPr="00025910" w:rsidRDefault="00F67E9E" w:rsidP="00F67E9E">
      <w:pPr>
        <w:pStyle w:val="Numbered111ai"/>
      </w:pPr>
      <w:r w:rsidRPr="005D768B">
        <w:t>equal p</w:t>
      </w:r>
      <w:r w:rsidRPr="00025910">
        <w:t>ay or compensation for less favourable treatment of part-time workers or fixed-term employees,</w:t>
      </w:r>
    </w:p>
    <w:p w14:paraId="0972AD00" w14:textId="77777777" w:rsidR="00F67E9E" w:rsidRPr="00025910" w:rsidRDefault="00F67E9E" w:rsidP="00F67E9E">
      <w:pPr>
        <w:pStyle w:val="StdBodyText5"/>
        <w:ind w:left="2520"/>
        <w:rPr>
          <w:rFonts w:cs="Arial"/>
        </w:rPr>
      </w:pPr>
      <w:r w:rsidRPr="00025910">
        <w:rPr>
          <w:rFonts w:cs="Arial"/>
        </w:rPr>
        <w:t>in any case in relation to any alleged act or omission of the Replacement Supplier and/or Replacement Sub-contractor; or</w:t>
      </w:r>
    </w:p>
    <w:p w14:paraId="0F639A31" w14:textId="77777777" w:rsidR="00F67E9E" w:rsidRPr="00025910" w:rsidRDefault="00F67E9E" w:rsidP="00F67E9E">
      <w:pPr>
        <w:pStyle w:val="AppendixText4"/>
      </w:pPr>
      <w:r w:rsidRPr="00025910">
        <w:t>any claim that the termination of employment was unfair because the Replacement Supplier and/or Replacement Sub-contractor neglected to follow a fair dismissal procedure; and</w:t>
      </w:r>
    </w:p>
    <w:p w14:paraId="7B1EFE52" w14:textId="4FCADF71" w:rsidR="00F67E9E" w:rsidRPr="00025910" w:rsidRDefault="00F67E9E" w:rsidP="00F67E9E">
      <w:pPr>
        <w:pStyle w:val="AppendixText3"/>
      </w:pPr>
      <w:r w:rsidRPr="00025910">
        <w:t xml:space="preserve">shall apply only where the notification referred to in </w:t>
      </w:r>
      <w:bookmarkStart w:id="2765" w:name="_9kMHG5YVtCIC9BJJHqs0mGRH51C7ARRBuzBGNN9"/>
      <w:r w:rsidRPr="00025910">
        <w:t xml:space="preserve">Paragraph </w:t>
      </w:r>
      <w:r w:rsidRPr="00025910">
        <w:fldChar w:fldCharType="begin"/>
      </w:r>
      <w:r w:rsidRPr="00025910">
        <w:instrText xml:space="preserve"> REF _Ref_ContractCompanion_9kb9Ut35B \w \h \t \* MERGEFORMAT </w:instrText>
      </w:r>
      <w:r w:rsidRPr="00025910">
        <w:fldChar w:fldCharType="separate"/>
      </w:r>
      <w:r w:rsidR="00302D39">
        <w:t>2.5.1</w:t>
      </w:r>
      <w:r w:rsidRPr="00025910">
        <w:fldChar w:fldCharType="end"/>
      </w:r>
      <w:bookmarkEnd w:id="2765"/>
      <w:r w:rsidRPr="00025910">
        <w:t xml:space="preserve"> is made by the Replacement Supplier and/or Replacement Sub-contractor to the Supplier within 6 months of the Service Transfer Date.</w:t>
      </w:r>
    </w:p>
    <w:p w14:paraId="6F0F9CA7" w14:textId="1A2CCF8B" w:rsidR="00F67E9E" w:rsidRPr="00025910" w:rsidRDefault="00F67E9E" w:rsidP="00F67E9E">
      <w:pPr>
        <w:pStyle w:val="AppendixText2"/>
      </w:pPr>
      <w:r w:rsidRPr="00025910">
        <w:t xml:space="preserve">If any such person as is described in </w:t>
      </w:r>
      <w:bookmarkStart w:id="2766" w:name="_9kMIH5YVtCIC98EHHYGfoDGx0FD9ID68DJGNI30"/>
      <w:r w:rsidRPr="00025910">
        <w:t xml:space="preserve">Paragraph </w:t>
      </w:r>
      <w:r w:rsidRPr="00025910">
        <w:fldChar w:fldCharType="begin"/>
      </w:r>
      <w:r w:rsidRPr="00025910">
        <w:instrText xml:space="preserve"> REF _Ref_ContractCompanion_9kb9Ut326 \n \h \t \* MERGEFORMAT </w:instrText>
      </w:r>
      <w:r w:rsidRPr="00025910">
        <w:fldChar w:fldCharType="separate"/>
      </w:r>
      <w:r w:rsidR="00302D39">
        <w:t>2.5</w:t>
      </w:r>
      <w:r w:rsidRPr="00025910">
        <w:fldChar w:fldCharType="end"/>
      </w:r>
      <w:bookmarkEnd w:id="2766"/>
      <w:r w:rsidRPr="00025910">
        <w:t xml:space="preserve"> is neither re-employed by the Supplier or any Sub-contractor nor dismissed by the Replacement Supplier and/or Replacement Sub-contractor within the time scales set out in </w:t>
      </w:r>
      <w:bookmarkStart w:id="2767" w:name="_9kMJI5YVtCIC98EHHYGfoDGx0FD9ID68DJGNI30"/>
      <w:r w:rsidRPr="00025910">
        <w:t xml:space="preserve">Paragraphs </w:t>
      </w:r>
      <w:r w:rsidRPr="00025910">
        <w:fldChar w:fldCharType="begin"/>
      </w:r>
      <w:r w:rsidRPr="00025910">
        <w:instrText xml:space="preserve"> REF _Ref_ContractCompanion_9kb9Ut326 \n \h \t \* MERGEFORMAT </w:instrText>
      </w:r>
      <w:r w:rsidRPr="00025910">
        <w:fldChar w:fldCharType="separate"/>
      </w:r>
      <w:r w:rsidR="00302D39">
        <w:t>2.5</w:t>
      </w:r>
      <w:r w:rsidRPr="00025910">
        <w:fldChar w:fldCharType="end"/>
      </w:r>
      <w:bookmarkEnd w:id="2767"/>
      <w:r w:rsidRPr="00025910">
        <w:t xml:space="preserve"> to </w:t>
      </w:r>
      <w:bookmarkStart w:id="2768" w:name="_9kMJI5YVtCIC98HKJaGfg00zF6sDSypHE6A9aPH"/>
      <w:r w:rsidRPr="00025910">
        <w:fldChar w:fldCharType="begin"/>
      </w:r>
      <w:r w:rsidRPr="00025910">
        <w:instrText xml:space="preserve"> REF _Ref_ContractCompanion_9kb9Ut329 \n \h \t \* MERGEFORMAT </w:instrText>
      </w:r>
      <w:r w:rsidRPr="00025910">
        <w:fldChar w:fldCharType="separate"/>
      </w:r>
      <w:r w:rsidR="00302D39">
        <w:t>2.7</w:t>
      </w:r>
      <w:r w:rsidRPr="00025910">
        <w:fldChar w:fldCharType="end"/>
      </w:r>
      <w:bookmarkEnd w:id="2768"/>
      <w:r w:rsidRPr="00025910">
        <w:t>, such person shall be treated as a Transferring Supplier Employee.</w:t>
      </w:r>
    </w:p>
    <w:p w14:paraId="44F99F17" w14:textId="77777777" w:rsidR="00F67E9E" w:rsidRPr="00025910" w:rsidRDefault="00F67E9E" w:rsidP="00F67E9E">
      <w:pPr>
        <w:pStyle w:val="AppendixText2"/>
      </w:pPr>
      <w:r w:rsidRPr="00025910">
        <w:t>The Supplier shall, and shall procure that each Sub-contractor shall, promptly provide to the Authority and any Replacement Supplier and/or Replacement Sub-contractor, in writing such information as is necessary to enable the Authority, the Replacement Supplier and/or Replacement Sub-contractor to carry out their respective duties under regulation 13 of the Employment Regulations. The Authority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w:t>
      </w:r>
    </w:p>
    <w:p w14:paraId="375908E7" w14:textId="045D2945" w:rsidR="00F67E9E" w:rsidRPr="00025910" w:rsidRDefault="00F67E9E" w:rsidP="00F67E9E">
      <w:pPr>
        <w:pStyle w:val="AppendixText2"/>
      </w:pPr>
      <w:bookmarkStart w:id="2769" w:name="_Ref_ContractCompanion_9kb9Ut36B"/>
      <w:bookmarkStart w:id="2770" w:name="_9kR3WTrAGA7AHGBDfeukoiyGCjQz0q832AOWZSJ"/>
      <w:r w:rsidRPr="00025910">
        <w:t xml:space="preserve">Subject to </w:t>
      </w:r>
      <w:bookmarkStart w:id="2771" w:name="_9kMHG5YVtCIC9CGFDGjUmoyumw63ABx8D9rZ89z"/>
      <w:r w:rsidRPr="00025910">
        <w:t xml:space="preserve">Paragraph </w:t>
      </w:r>
      <w:r w:rsidRPr="00025910">
        <w:fldChar w:fldCharType="begin"/>
      </w:r>
      <w:r w:rsidRPr="00025910">
        <w:instrText xml:space="preserve"> REF _Ref_ContractCompanion_9kb9Ut368 \n \h \t \* MERGEFORMAT </w:instrText>
      </w:r>
      <w:r w:rsidRPr="00025910">
        <w:fldChar w:fldCharType="separate"/>
      </w:r>
      <w:r w:rsidR="00302D39">
        <w:t>2.13</w:t>
      </w:r>
      <w:r w:rsidRPr="00025910">
        <w:fldChar w:fldCharType="end"/>
      </w:r>
      <w:bookmarkEnd w:id="2771"/>
      <w:r w:rsidRPr="00025910">
        <w:t>, the Authority shall procure that the Replacement Supplier indemnifies the Supplier on its own behalf and on behalf of any Replacement Sub-contractor and its sub-contractors against any Employee Liabilities arising from or as a result of:</w:t>
      </w:r>
      <w:bookmarkEnd w:id="2769"/>
      <w:bookmarkEnd w:id="2770"/>
    </w:p>
    <w:p w14:paraId="6DB74DB2" w14:textId="77777777" w:rsidR="00F67E9E" w:rsidRPr="00025910" w:rsidRDefault="00F67E9E" w:rsidP="00F67E9E">
      <w:pPr>
        <w:pStyle w:val="AppendixText3"/>
      </w:pPr>
      <w:r w:rsidRPr="00025910">
        <w:t>any act or omission of the Replacement Supplier and/or Replacement Sub-contractor in respect of any Transferring Supplier Employee identified in the Supplier</w:t>
      </w:r>
      <w:r>
        <w:t>’</w:t>
      </w:r>
      <w:r w:rsidRPr="00025910">
        <w:t>s Final Supplier Personnel List or any appropriate employee representative (as defined in the Employment Regulations) of any such Transferring Supplier Employee;</w:t>
      </w:r>
    </w:p>
    <w:p w14:paraId="2C2CA651" w14:textId="77777777" w:rsidR="00F67E9E" w:rsidRPr="00025910" w:rsidRDefault="00F67E9E" w:rsidP="00F67E9E">
      <w:pPr>
        <w:pStyle w:val="AppendixText3"/>
      </w:pPr>
      <w:r w:rsidRPr="00025910">
        <w:t xml:space="preserve">the breach or non-observance by the Replacement Supplier and/or Replacement Sub-contractor on or after the Service Transfer Date of: </w:t>
      </w:r>
    </w:p>
    <w:p w14:paraId="47F5469E" w14:textId="77777777" w:rsidR="00F67E9E" w:rsidRPr="00025910" w:rsidRDefault="00F67E9E" w:rsidP="00F67E9E">
      <w:pPr>
        <w:pStyle w:val="AppendixText4"/>
      </w:pPr>
      <w:r w:rsidRPr="00025910">
        <w:t>any collective agreement applicable to the Transferring Supplier Employees identified in the Supplier</w:t>
      </w:r>
      <w:r>
        <w:t>’</w:t>
      </w:r>
      <w:r w:rsidRPr="00025910">
        <w:t xml:space="preserve">s Final Supplier Personnel List; and/or </w:t>
      </w:r>
    </w:p>
    <w:p w14:paraId="27A30965" w14:textId="77777777" w:rsidR="00F67E9E" w:rsidRPr="00025910" w:rsidRDefault="00F67E9E" w:rsidP="00F67E9E">
      <w:pPr>
        <w:pStyle w:val="AppendixText4"/>
      </w:pPr>
      <w:r w:rsidRPr="00025910">
        <w:t>any custom or practice in respect of any Transferring Supplier Employees identified in the Supplier</w:t>
      </w:r>
      <w:r>
        <w:t>’</w:t>
      </w:r>
      <w:r w:rsidRPr="00025910">
        <w:t>s Final Supplier Personnel List which the Replacement Supplier and/or Replacement Sub-contractor is contractually bound to honour;</w:t>
      </w:r>
    </w:p>
    <w:p w14:paraId="34AC340B" w14:textId="77777777" w:rsidR="00F67E9E" w:rsidRPr="00025910" w:rsidRDefault="00F67E9E" w:rsidP="00F67E9E">
      <w:pPr>
        <w:pStyle w:val="AppendixText3"/>
      </w:pPr>
      <w:r w:rsidRPr="00025910">
        <w:t>any claim by any trade union or other body or person representing any Transferring Supplier Employees identified in the Supplier</w:t>
      </w:r>
      <w:r>
        <w:t>’</w:t>
      </w:r>
      <w:r w:rsidRPr="00025910">
        <w:t>s Final Supplier Personnel List arising from or connected with any failure by the Replacement Supplier and/or Replacement Sub-contractor to comply with any legal obligation to such trade union, body or person arising on or after the Service Transfer Date;</w:t>
      </w:r>
    </w:p>
    <w:p w14:paraId="4D55675B" w14:textId="77777777" w:rsidR="00F67E9E" w:rsidRPr="00025910" w:rsidRDefault="00F67E9E" w:rsidP="00F67E9E">
      <w:pPr>
        <w:pStyle w:val="AppendixText3"/>
      </w:pPr>
      <w:r w:rsidRPr="00025910">
        <w:t>any proposal by the Replacement Supplier and/or Replacement Sub-contractor to change the terms and conditions of employment or working conditions of any Transferring Supplier Employees identified in the Supplier</w:t>
      </w:r>
      <w:r>
        <w:t>’</w:t>
      </w:r>
      <w:r w:rsidRPr="00025910">
        <w:t>s Final Supplier Personnel List on or after their transfer to the Replacement Supplier or Replacement Sub-contractor (as the case may be) on the Service Transfer Date, or to change the terms and conditions of employment or working conditions of any person identified in the Supplier</w:t>
      </w:r>
      <w:r>
        <w:t>’</w:t>
      </w:r>
      <w:r w:rsidRPr="00025910">
        <w:t xml:space="preserve">s Final Supplier Personnel List who would have been a Transferring Supplier Employee but for their resignation (or decision to treat their employment as terminated under regulation 4(9) of the Employment Regulations) before the Service Transfer Date as a result of or for a reason connected to such proposed changes; </w:t>
      </w:r>
    </w:p>
    <w:p w14:paraId="606AF456" w14:textId="77777777" w:rsidR="00F67E9E" w:rsidRPr="00025910" w:rsidRDefault="00F67E9E" w:rsidP="00F67E9E">
      <w:pPr>
        <w:pStyle w:val="AppendixText3"/>
      </w:pPr>
      <w:r w:rsidRPr="00025910">
        <w:t>any statement communicated to or action undertaken by the Replacement Supplier or Replacement Sub-contractor to, or in respect of, any Transferring Supplier Employee identified in the Supplier</w:t>
      </w:r>
      <w:r>
        <w:t>’</w:t>
      </w:r>
      <w:r w:rsidRPr="00025910">
        <w:t>s Final Supplier Personnel List on or before the Service Transfer Date regarding the Relevant Transfer which has not been agreed in advance with the Supplier in writing;</w:t>
      </w:r>
    </w:p>
    <w:p w14:paraId="022C5EC3" w14:textId="77777777" w:rsidR="00F67E9E" w:rsidRPr="00025910" w:rsidRDefault="00F67E9E" w:rsidP="00F67E9E">
      <w:pPr>
        <w:pStyle w:val="AppendixText3"/>
      </w:pPr>
      <w:r w:rsidRPr="00025910">
        <w:t>any proceeding, claim or demand by HMRC or other statutory authority in respect of any financial obligation including, but not limited to, PAYE and primary and secondary national insurance contributions:</w:t>
      </w:r>
    </w:p>
    <w:p w14:paraId="7B3C184E" w14:textId="77777777" w:rsidR="00F67E9E" w:rsidRPr="005D768B" w:rsidRDefault="00F67E9E" w:rsidP="00F67E9E">
      <w:pPr>
        <w:pStyle w:val="Numbered111a"/>
        <w:numPr>
          <w:ilvl w:val="3"/>
          <w:numId w:val="219"/>
        </w:numPr>
      </w:pPr>
      <w:r w:rsidRPr="00025910">
        <w:t>in relation to any Transferring Supplier Employee identified in the Supplier</w:t>
      </w:r>
      <w:r>
        <w:t>’</w:t>
      </w:r>
      <w:r w:rsidRPr="00025910">
        <w:t xml:space="preserve">s Final Supplier Personnel List, to the extent that the proceeding, claim or demand by HMRC or other statutory authority relates to financial </w:t>
      </w:r>
      <w:r w:rsidRPr="005D768B">
        <w:t xml:space="preserve">obligations arising </w:t>
      </w:r>
      <w:r>
        <w:rPr>
          <w:color w:val="000000"/>
        </w:rPr>
        <w:t xml:space="preserve">on and </w:t>
      </w:r>
      <w:r w:rsidRPr="005D768B">
        <w:t>after the Service Transfer Date; and</w:t>
      </w:r>
    </w:p>
    <w:p w14:paraId="4B7D74C1" w14:textId="77777777" w:rsidR="00F67E9E" w:rsidRPr="00025910" w:rsidRDefault="00F67E9E" w:rsidP="00F67E9E">
      <w:pPr>
        <w:pStyle w:val="Numbered111a"/>
      </w:pPr>
      <w:r w:rsidRPr="005D768B">
        <w:t>in relation to any employee who is not a Transferring Supplier Employee identified</w:t>
      </w:r>
      <w:r w:rsidRPr="00025910">
        <w:t xml:space="preserve"> in the Supplier</w:t>
      </w:r>
      <w:r>
        <w:t>’</w:t>
      </w:r>
      <w:r w:rsidRPr="00025910">
        <w:t xml:space="preserve">s Final Supplier Personnel List, and in respect of whom it is later alleged or determined that the Employment Regulations applied so as to transfer his/her employment from the Supplier or Sub-contractor, to the Replacement Supplier or Replacement Sub-contractor to the extent that the proceeding, claim or demand by HMRC or other statutory authority relates to financial obligations arising </w:t>
      </w:r>
      <w:r>
        <w:rPr>
          <w:color w:val="000000"/>
        </w:rPr>
        <w:t xml:space="preserve">on and </w:t>
      </w:r>
      <w:r w:rsidRPr="00025910">
        <w:t>after the Service Transfer Date;</w:t>
      </w:r>
    </w:p>
    <w:p w14:paraId="26F4E9CE" w14:textId="77777777" w:rsidR="00F67E9E" w:rsidRPr="00025910" w:rsidRDefault="00F67E9E" w:rsidP="00F67E9E">
      <w:pPr>
        <w:pStyle w:val="AppendixText3"/>
      </w:pPr>
      <w:r w:rsidRPr="002439EF">
        <w:t>a failure of the Replacement Supplier or Replacement Sub-contractor to discharge or procure the discharge of all wages, salaries and all other benefits and all PAYE tax deductions and national insurance contributions relating to the Transferring Supplier Employees</w:t>
      </w:r>
      <w:r w:rsidRPr="00025910">
        <w:t xml:space="preserve"> identified in the Supplier</w:t>
      </w:r>
      <w:r>
        <w:t>’</w:t>
      </w:r>
      <w:r w:rsidRPr="00025910">
        <w:t>s Final Supplier Personnel List in respect of the period from (and including) the Service Transfer Date; and</w:t>
      </w:r>
    </w:p>
    <w:p w14:paraId="1CBA4793" w14:textId="77777777" w:rsidR="00F67E9E" w:rsidRPr="00102034" w:rsidRDefault="00F67E9E" w:rsidP="00F67E9E">
      <w:pPr>
        <w:pStyle w:val="AppendixText3"/>
      </w:pPr>
      <w:r w:rsidRPr="002025E5">
        <w:t>any claim made by or i</w:t>
      </w:r>
      <w:r w:rsidRPr="00A14C8E">
        <w:t>n respect of a Transfer</w:t>
      </w:r>
      <w:r w:rsidRPr="00DA2043">
        <w:t>ring Supplier Employee identified in the Supplier</w:t>
      </w:r>
      <w:r w:rsidRPr="00D563EE">
        <w:t>’</w:t>
      </w:r>
      <w:r w:rsidRPr="00102034">
        <w:t>s Final Supplier Personnel List or any appropriate employee representative (as defined in the Employment Regulations) of any such Transferring Supplier Employee relating to any act or omission of the Replacement Supplier or Replacement Sub-contractor in relation to obligations under regulation 13 of the Employment Regulations.</w:t>
      </w:r>
    </w:p>
    <w:p w14:paraId="31588DAC" w14:textId="2932BB7F" w:rsidR="00F67E9E" w:rsidRPr="00025910" w:rsidRDefault="00F67E9E" w:rsidP="00F67E9E">
      <w:pPr>
        <w:pStyle w:val="AppendixText2"/>
      </w:pPr>
      <w:bookmarkStart w:id="2772" w:name="_Ref_ContractCompanion_9kb9Ut368"/>
      <w:bookmarkStart w:id="2773" w:name="_9kR3WTrAGA7AEDBEhSkmwsku4189v6B7pX67xFA"/>
      <w:r w:rsidRPr="00025910">
        <w:t xml:space="preserve">The indemnities in </w:t>
      </w:r>
      <w:bookmarkStart w:id="2774" w:name="_9kMHG5YVtCIC9CJIDFhgwmqk0IElS12sA54CQYb"/>
      <w:r w:rsidRPr="00025910">
        <w:t xml:space="preserve">Paragraph </w:t>
      </w:r>
      <w:r w:rsidRPr="00025910">
        <w:fldChar w:fldCharType="begin"/>
      </w:r>
      <w:r w:rsidRPr="00025910">
        <w:instrText xml:space="preserve"> REF _Ref_ContractCompanion_9kb9Ut36B \n \h \t \* MERGEFORMAT </w:instrText>
      </w:r>
      <w:r w:rsidRPr="00025910">
        <w:fldChar w:fldCharType="separate"/>
      </w:r>
      <w:r w:rsidR="00302D39">
        <w:t>2.12</w:t>
      </w:r>
      <w:r w:rsidRPr="00025910">
        <w:fldChar w:fldCharType="end"/>
      </w:r>
      <w:bookmarkEnd w:id="2774"/>
      <w:r w:rsidRPr="00025910">
        <w:t xml:space="preserve"> shall not apply to the extent that the Employee Liabilities arise or are attributable to an act or omission of the Supplier and/or any Sub-contractor (as applicable) whether occurring or having its origin before, on or after the Service Transfer Date, including any Employee Liabilities arising from the failure by the Supplier and/or any Sub-contractor (as applicable) to comply with its obligations under the Employment Regulations.</w:t>
      </w:r>
      <w:bookmarkEnd w:id="2772"/>
      <w:bookmarkEnd w:id="2773"/>
    </w:p>
    <w:p w14:paraId="2D3FCCF6" w14:textId="77777777" w:rsidR="00F67E9E" w:rsidRDefault="00F67E9E" w:rsidP="00F67E9E">
      <w:pPr>
        <w:rPr>
          <w:rFonts w:eastAsia="Times New Roman" w:cs="Arial"/>
          <w:szCs w:val="24"/>
          <w:lang w:eastAsia="en-GB"/>
        </w:rPr>
      </w:pPr>
    </w:p>
    <w:p w14:paraId="03A6CC2B" w14:textId="77777777" w:rsidR="00F67E9E" w:rsidRDefault="00F67E9E" w:rsidP="00F67E9E">
      <w:pPr>
        <w:pStyle w:val="Heading2"/>
        <w:pageBreakBefore/>
      </w:pPr>
      <w:bookmarkStart w:id="2775" w:name="_Ref41919802"/>
      <w:bookmarkStart w:id="2776" w:name="_Toc141711994"/>
      <w:r w:rsidRPr="00025910">
        <w:t xml:space="preserve">Annex </w:t>
      </w:r>
      <w:bookmarkStart w:id="2777" w:name="ANNEXE1_SCHEDULE28"/>
      <w:r w:rsidRPr="00025910">
        <w:t>E1</w:t>
      </w:r>
      <w:bookmarkEnd w:id="2777"/>
      <w:r w:rsidRPr="00025910">
        <w:t xml:space="preserve">: </w:t>
      </w:r>
      <w:bookmarkStart w:id="2778" w:name="ANNEXE1HEADING_SCHEDULE28"/>
      <w:r w:rsidRPr="00025910">
        <w:t xml:space="preserve">List </w:t>
      </w:r>
      <w:r>
        <w:t>o</w:t>
      </w:r>
      <w:r w:rsidRPr="00025910">
        <w:t>f Notified Sub-</w:t>
      </w:r>
      <w:r>
        <w:t>c</w:t>
      </w:r>
      <w:r w:rsidRPr="00025910">
        <w:t>ontractors</w:t>
      </w:r>
      <w:bookmarkEnd w:id="2775"/>
      <w:bookmarkEnd w:id="2776"/>
      <w:bookmarkEnd w:id="2778"/>
    </w:p>
    <w:p w14:paraId="30F33615" w14:textId="77777777" w:rsidR="00F67E9E" w:rsidRDefault="00F67E9E" w:rsidP="00F67E9E">
      <w:pPr>
        <w:rPr>
          <w:lang w:eastAsia="en-GB"/>
        </w:rPr>
      </w:pPr>
    </w:p>
    <w:p w14:paraId="7D6EA0C3" w14:textId="77777777" w:rsidR="00F67E9E" w:rsidRDefault="00F67E9E" w:rsidP="00F67E9E">
      <w:pPr>
        <w:rPr>
          <w:lang w:eastAsia="en-GB"/>
        </w:rPr>
      </w:pPr>
    </w:p>
    <w:p w14:paraId="181A5094" w14:textId="77777777" w:rsidR="00F67E9E" w:rsidRDefault="00F67E9E" w:rsidP="00F67E9E"/>
    <w:p w14:paraId="4491FB6F" w14:textId="77777777" w:rsidR="00F67E9E" w:rsidRPr="00025910" w:rsidRDefault="00F67E9E" w:rsidP="00F67E9E"/>
    <w:p w14:paraId="2F67979C" w14:textId="77777777" w:rsidR="00F67E9E" w:rsidRPr="00025910" w:rsidRDefault="00F67E9E" w:rsidP="00F67E9E">
      <w:pPr>
        <w:sectPr w:rsidR="00F67E9E" w:rsidRPr="00025910" w:rsidSect="00240D26">
          <w:headerReference w:type="default" r:id="rId134"/>
          <w:footerReference w:type="default" r:id="rId135"/>
          <w:pgSz w:w="11909" w:h="16834"/>
          <w:pgMar w:top="1701" w:right="851" w:bottom="1134" w:left="851" w:header="567" w:footer="567" w:gutter="0"/>
          <w:cols w:space="720"/>
          <w:docGrid w:linePitch="326"/>
        </w:sectPr>
      </w:pPr>
    </w:p>
    <w:p w14:paraId="342FFDAF" w14:textId="77777777" w:rsidR="00F67E9E" w:rsidRDefault="00F67E9E" w:rsidP="00F67E9E">
      <w:pPr>
        <w:pStyle w:val="Heading2"/>
        <w:pageBreakBefore/>
      </w:pPr>
      <w:bookmarkStart w:id="2779" w:name="_Ref_ContractCompanion_9kb9Ur476"/>
      <w:bookmarkStart w:id="2780" w:name="_9kR3WTrAG88BCLCwozOhGzmsw540868LK4CLHN"/>
      <w:bookmarkStart w:id="2781" w:name="_Ref_ContractCompanion_9kb9Us7A6"/>
      <w:bookmarkStart w:id="2782" w:name="_Toc141711995"/>
      <w:r w:rsidRPr="00025910">
        <w:t xml:space="preserve">Annex </w:t>
      </w:r>
      <w:bookmarkStart w:id="2783" w:name="ANNEXE2_SCHEDULE28"/>
      <w:r w:rsidRPr="00025910">
        <w:t>E2</w:t>
      </w:r>
      <w:bookmarkEnd w:id="2783"/>
      <w:r w:rsidRPr="00025910">
        <w:t xml:space="preserve">: </w:t>
      </w:r>
      <w:bookmarkStart w:id="2784" w:name="ANNEXE2HEADING_SCHEDULE28"/>
      <w:r w:rsidRPr="00025910">
        <w:t>Staffing Information</w:t>
      </w:r>
      <w:bookmarkEnd w:id="2779"/>
      <w:bookmarkEnd w:id="2780"/>
      <w:bookmarkEnd w:id="2781"/>
      <w:bookmarkEnd w:id="2782"/>
      <w:bookmarkEnd w:id="2784"/>
    </w:p>
    <w:p w14:paraId="3023FD63" w14:textId="77777777" w:rsidR="00F67E9E" w:rsidRPr="00025910" w:rsidRDefault="00F67E9E" w:rsidP="00F67E9E">
      <w:pPr>
        <w:pStyle w:val="StdBodyTextBold"/>
        <w:rPr>
          <w:rFonts w:cs="Arial"/>
        </w:rPr>
      </w:pPr>
      <w:r w:rsidRPr="00025910">
        <w:rPr>
          <w:rFonts w:cs="Arial"/>
        </w:rPr>
        <w:t>Employee Information (Anonymised)</w:t>
      </w:r>
    </w:p>
    <w:p w14:paraId="6FBC9E7F" w14:textId="77777777" w:rsidR="00F67E9E" w:rsidRPr="00025910" w:rsidRDefault="00F67E9E" w:rsidP="00F67E9E">
      <w:pPr>
        <w:pStyle w:val="StdBodyText"/>
        <w:rPr>
          <w:rFonts w:cs="Arial"/>
        </w:rPr>
      </w:pPr>
      <w:r w:rsidRPr="00025910">
        <w:rPr>
          <w:rFonts w:cs="Arial"/>
        </w:rPr>
        <w:t>Name of Transferor:</w:t>
      </w:r>
    </w:p>
    <w:p w14:paraId="32195EAE" w14:textId="77777777" w:rsidR="00F67E9E" w:rsidRPr="00025910" w:rsidRDefault="00F67E9E" w:rsidP="00F67E9E">
      <w:pPr>
        <w:pStyle w:val="StdBodyText"/>
        <w:rPr>
          <w:rFonts w:cs="Arial"/>
        </w:rPr>
      </w:pPr>
      <w:r w:rsidRPr="00025910">
        <w:rPr>
          <w:rFonts w:cs="Arial"/>
        </w:rPr>
        <w:t>Number of Employees in-scope to transfer:</w:t>
      </w:r>
    </w:p>
    <w:p w14:paraId="12520C76" w14:textId="77777777" w:rsidR="00F67E9E" w:rsidRPr="00B1698D" w:rsidRDefault="00F67E9E" w:rsidP="00F67E9E">
      <w:pPr>
        <w:pStyle w:val="AppendixText1"/>
        <w:numPr>
          <w:ilvl w:val="0"/>
          <w:numId w:val="83"/>
        </w:numPr>
      </w:pPr>
      <w:r w:rsidRPr="00B1698D">
        <w:t>Completion notes</w:t>
      </w:r>
    </w:p>
    <w:p w14:paraId="70B4B6C6" w14:textId="77777777" w:rsidR="00F67E9E" w:rsidRPr="005D768B" w:rsidRDefault="00F67E9E" w:rsidP="00F67E9E">
      <w:pPr>
        <w:pStyle w:val="AppendixText2"/>
      </w:pPr>
      <w:r w:rsidRPr="00443D28">
        <w:t xml:space="preserve">If you have any Key Sub-contractors, please complete all the above information for any staff employed by such Key Sub-contractor(s) in a separate </w:t>
      </w:r>
      <w:r w:rsidRPr="005D768B">
        <w:t>spreadsheet.</w:t>
      </w:r>
    </w:p>
    <w:p w14:paraId="5FD4B4B3" w14:textId="77777777" w:rsidR="00F67E9E" w:rsidRPr="005D768B" w:rsidRDefault="00F67E9E" w:rsidP="00F67E9E">
      <w:pPr>
        <w:pStyle w:val="AppendixText2"/>
      </w:pPr>
      <w:r w:rsidRPr="005D768B">
        <w:t>This spreadsheet is used to collect information from the current employer (transferor) about employees performing the relevant services to help plan for a potential TUPE transfer. Some or all of this information may be disclosed to bidders as part of a procurement process. The information should not reveal the employees’ identities.</w:t>
      </w:r>
    </w:p>
    <w:p w14:paraId="7E253115" w14:textId="77777777" w:rsidR="00F67E9E" w:rsidRPr="00443D28" w:rsidRDefault="00F67E9E" w:rsidP="00F67E9E">
      <w:pPr>
        <w:pStyle w:val="AppendixText2"/>
      </w:pPr>
      <w:r w:rsidRPr="005D768B">
        <w:t>If the information</w:t>
      </w:r>
      <w:r w:rsidRPr="00443D28">
        <w:t xml:space="preserve"> cannot be included on this form, attach the additional information, such as relevant policies, and cross reference to the item number and employee number where appropriate.</w:t>
      </w:r>
    </w:p>
    <w:p w14:paraId="73D8EEB5" w14:textId="77777777" w:rsidR="00F67E9E" w:rsidRPr="00025910" w:rsidRDefault="00F67E9E" w:rsidP="00F67E9E">
      <w:pPr>
        <w:rPr>
          <w:rFonts w:eastAsia="Times New Roman"/>
          <w:lang w:eastAsia="en-GB"/>
        </w:rPr>
      </w:pPr>
      <w:r w:rsidRPr="00025910">
        <w:br w:type="page"/>
      </w:r>
    </w:p>
    <w:tbl>
      <w:tblPr>
        <w:tblStyle w:val="MSATable-header"/>
        <w:tblW w:w="15137" w:type="dxa"/>
        <w:tblLook w:val="0620" w:firstRow="1" w:lastRow="0" w:firstColumn="0" w:lastColumn="0" w:noHBand="1" w:noVBand="1"/>
      </w:tblPr>
      <w:tblGrid>
        <w:gridCol w:w="1381"/>
        <w:gridCol w:w="1625"/>
        <w:gridCol w:w="1111"/>
        <w:gridCol w:w="1924"/>
        <w:gridCol w:w="1395"/>
        <w:gridCol w:w="3801"/>
        <w:gridCol w:w="1682"/>
        <w:gridCol w:w="2218"/>
      </w:tblGrid>
      <w:tr w:rsidR="00F67E9E" w:rsidRPr="00A45727" w14:paraId="034D067C" w14:textId="77777777" w:rsidTr="007F74AA">
        <w:trPr>
          <w:cnfStyle w:val="100000000000" w:firstRow="1" w:lastRow="0" w:firstColumn="0" w:lastColumn="0" w:oddVBand="0" w:evenVBand="0" w:oddHBand="0" w:evenHBand="0" w:firstRowFirstColumn="0" w:firstRowLastColumn="0" w:lastRowFirstColumn="0" w:lastRowLastColumn="0"/>
          <w:tblHeader/>
        </w:trPr>
        <w:tc>
          <w:tcPr>
            <w:tcW w:w="1417" w:type="dxa"/>
            <w:tcBorders>
              <w:top w:val="nil"/>
              <w:left w:val="nil"/>
            </w:tcBorders>
            <w:shd w:val="clear" w:color="auto" w:fill="auto"/>
          </w:tcPr>
          <w:p w14:paraId="644A8E29" w14:textId="77777777" w:rsidR="00F67E9E" w:rsidRPr="00A45727" w:rsidRDefault="00F67E9E" w:rsidP="007F74AA">
            <w:pPr>
              <w:pStyle w:val="Tabletext0"/>
              <w:widowControl/>
              <w:autoSpaceDE/>
              <w:autoSpaceDN/>
            </w:pPr>
          </w:p>
        </w:tc>
        <w:tc>
          <w:tcPr>
            <w:tcW w:w="13720" w:type="dxa"/>
            <w:gridSpan w:val="7"/>
          </w:tcPr>
          <w:p w14:paraId="1B3CB734" w14:textId="77777777" w:rsidR="00F67E9E" w:rsidRPr="00A45727" w:rsidRDefault="00F67E9E" w:rsidP="007F74AA">
            <w:pPr>
              <w:pStyle w:val="Tabletext0"/>
              <w:widowControl/>
              <w:autoSpaceDE/>
              <w:autoSpaceDN/>
            </w:pPr>
            <w:r w:rsidRPr="00A45727">
              <w:t>EMPLOYEE DETAILS &amp; KEY TERMS</w:t>
            </w:r>
          </w:p>
        </w:tc>
      </w:tr>
      <w:tr w:rsidR="00F67E9E" w:rsidRPr="00025910" w14:paraId="66A99C71" w14:textId="77777777" w:rsidTr="007F74AA">
        <w:trPr>
          <w:cnfStyle w:val="100000000000" w:firstRow="1" w:lastRow="0" w:firstColumn="0" w:lastColumn="0" w:oddVBand="0" w:evenVBand="0" w:oddHBand="0" w:evenHBand="0" w:firstRowFirstColumn="0" w:firstRowLastColumn="0" w:lastRowFirstColumn="0" w:lastRowLastColumn="0"/>
          <w:tblHeader/>
        </w:trPr>
        <w:tc>
          <w:tcPr>
            <w:tcW w:w="1417" w:type="dxa"/>
          </w:tcPr>
          <w:p w14:paraId="3CFE6630" w14:textId="77777777" w:rsidR="00F67E9E" w:rsidRPr="00A45727" w:rsidRDefault="00F67E9E" w:rsidP="007F74AA">
            <w:pPr>
              <w:pStyle w:val="Tabletext0"/>
              <w:widowControl/>
              <w:autoSpaceDE/>
              <w:autoSpaceDN/>
            </w:pPr>
            <w:r w:rsidRPr="00A45727">
              <w:t>Details</w:t>
            </w:r>
          </w:p>
        </w:tc>
        <w:tc>
          <w:tcPr>
            <w:tcW w:w="1701" w:type="dxa"/>
          </w:tcPr>
          <w:p w14:paraId="06A3208D" w14:textId="77777777" w:rsidR="00F67E9E" w:rsidRPr="00A45727" w:rsidRDefault="00F67E9E" w:rsidP="007F74AA">
            <w:pPr>
              <w:pStyle w:val="Tabletext0"/>
              <w:widowControl/>
              <w:autoSpaceDE/>
              <w:autoSpaceDN/>
            </w:pPr>
            <w:r w:rsidRPr="00A45727">
              <w:t>Job Title</w:t>
            </w:r>
          </w:p>
        </w:tc>
        <w:tc>
          <w:tcPr>
            <w:tcW w:w="1134" w:type="dxa"/>
          </w:tcPr>
          <w:p w14:paraId="3B2474EC" w14:textId="77777777" w:rsidR="00F67E9E" w:rsidRPr="00A45727" w:rsidRDefault="00F67E9E" w:rsidP="007F74AA">
            <w:pPr>
              <w:pStyle w:val="Tabletext0"/>
              <w:widowControl/>
              <w:autoSpaceDE/>
              <w:autoSpaceDN/>
            </w:pPr>
            <w:r w:rsidRPr="00A45727">
              <w:t>Grade / band</w:t>
            </w:r>
          </w:p>
        </w:tc>
        <w:tc>
          <w:tcPr>
            <w:tcW w:w="1984" w:type="dxa"/>
          </w:tcPr>
          <w:p w14:paraId="00A66851" w14:textId="77777777" w:rsidR="00F67E9E" w:rsidRPr="00A45727" w:rsidRDefault="00F67E9E" w:rsidP="007F74AA">
            <w:pPr>
              <w:pStyle w:val="Tabletext0"/>
              <w:widowControl/>
              <w:autoSpaceDE/>
              <w:autoSpaceDN/>
            </w:pPr>
            <w:r w:rsidRPr="00A45727">
              <w:t xml:space="preserve">Work Location </w:t>
            </w:r>
          </w:p>
        </w:tc>
        <w:tc>
          <w:tcPr>
            <w:tcW w:w="964" w:type="dxa"/>
          </w:tcPr>
          <w:p w14:paraId="0AFC9218" w14:textId="77777777" w:rsidR="00F67E9E" w:rsidRPr="00A45727" w:rsidRDefault="00F67E9E" w:rsidP="007F74AA">
            <w:pPr>
              <w:pStyle w:val="Tabletext0"/>
              <w:widowControl/>
              <w:autoSpaceDE/>
              <w:autoSpaceDN/>
            </w:pPr>
            <w:r>
              <w:t>Date of Birth (dd/mm/yy)</w:t>
            </w:r>
          </w:p>
        </w:tc>
        <w:tc>
          <w:tcPr>
            <w:tcW w:w="3969" w:type="dxa"/>
          </w:tcPr>
          <w:p w14:paraId="167D4BB5" w14:textId="77777777" w:rsidR="00F67E9E" w:rsidRPr="00A45727" w:rsidRDefault="00F67E9E" w:rsidP="007F74AA">
            <w:pPr>
              <w:pStyle w:val="Tabletext0"/>
              <w:widowControl/>
              <w:autoSpaceDE/>
              <w:autoSpaceDN/>
            </w:pPr>
            <w:r w:rsidRPr="00A45727">
              <w:t>Employment status (for example, employee, fixed-term employee, self-employed, agency worker)?</w:t>
            </w:r>
          </w:p>
        </w:tc>
        <w:tc>
          <w:tcPr>
            <w:tcW w:w="1699" w:type="dxa"/>
          </w:tcPr>
          <w:p w14:paraId="5FCE2B71" w14:textId="77777777" w:rsidR="00F67E9E" w:rsidRPr="009A5275" w:rsidRDefault="00F67E9E" w:rsidP="007F74AA">
            <w:pPr>
              <w:pStyle w:val="Tabletext0"/>
              <w:widowControl/>
              <w:autoSpaceDE/>
              <w:autoSpaceDN/>
              <w:rPr>
                <w:lang w:val="fr-FR"/>
              </w:rPr>
            </w:pPr>
            <w:r w:rsidRPr="009A5275">
              <w:rPr>
                <w:lang w:val="fr-FR"/>
              </w:rPr>
              <w:t>Continuous service date (dd/mm/</w:t>
            </w:r>
            <w:bookmarkStart w:id="2785" w:name="_9kR3WTr2CC7EKDH"/>
            <w:r w:rsidRPr="009A5275">
              <w:rPr>
                <w:lang w:val="fr-FR"/>
              </w:rPr>
              <w:t>yy</w:t>
            </w:r>
            <w:bookmarkEnd w:id="2785"/>
            <w:r w:rsidRPr="009A5275">
              <w:rPr>
                <w:lang w:val="fr-FR"/>
              </w:rPr>
              <w:t>)</w:t>
            </w:r>
          </w:p>
        </w:tc>
        <w:tc>
          <w:tcPr>
            <w:tcW w:w="2269" w:type="dxa"/>
          </w:tcPr>
          <w:p w14:paraId="03657797" w14:textId="77777777" w:rsidR="00F67E9E" w:rsidRPr="00A45727" w:rsidRDefault="00F67E9E" w:rsidP="007F74AA">
            <w:pPr>
              <w:pStyle w:val="Tabletext0"/>
              <w:widowControl/>
              <w:autoSpaceDE/>
              <w:autoSpaceDN/>
            </w:pPr>
            <w:r w:rsidRPr="00A45727">
              <w:t>Date employment started with existing employer</w:t>
            </w:r>
          </w:p>
        </w:tc>
      </w:tr>
      <w:tr w:rsidR="00F67E9E" w:rsidRPr="00025910" w14:paraId="14AB9061" w14:textId="77777777" w:rsidTr="007F74AA">
        <w:trPr>
          <w:trHeight w:val="680"/>
        </w:trPr>
        <w:tc>
          <w:tcPr>
            <w:tcW w:w="1417" w:type="dxa"/>
          </w:tcPr>
          <w:p w14:paraId="13E38AEC" w14:textId="77777777" w:rsidR="00F67E9E" w:rsidRPr="00A45727" w:rsidRDefault="00F67E9E" w:rsidP="007F74AA">
            <w:pPr>
              <w:pStyle w:val="Tabletext0"/>
              <w:widowControl/>
              <w:autoSpaceDE/>
              <w:autoSpaceDN/>
              <w:rPr>
                <w:b/>
                <w:bCs/>
              </w:rPr>
            </w:pPr>
            <w:r w:rsidRPr="00A45727">
              <w:rPr>
                <w:b/>
                <w:bCs/>
              </w:rPr>
              <w:t>Emp No 1</w:t>
            </w:r>
          </w:p>
        </w:tc>
        <w:tc>
          <w:tcPr>
            <w:tcW w:w="1701" w:type="dxa"/>
          </w:tcPr>
          <w:p w14:paraId="1B553A7B" w14:textId="77777777" w:rsidR="00F67E9E" w:rsidRPr="00A45727" w:rsidRDefault="00F67E9E" w:rsidP="007F74AA">
            <w:pPr>
              <w:pStyle w:val="Tabletext0"/>
              <w:widowControl/>
              <w:autoSpaceDE/>
              <w:autoSpaceDN/>
            </w:pPr>
          </w:p>
        </w:tc>
        <w:tc>
          <w:tcPr>
            <w:tcW w:w="1134" w:type="dxa"/>
          </w:tcPr>
          <w:p w14:paraId="2FB143BF" w14:textId="77777777" w:rsidR="00F67E9E" w:rsidRPr="00A45727" w:rsidRDefault="00F67E9E" w:rsidP="007F74AA">
            <w:pPr>
              <w:pStyle w:val="Tabletext0"/>
              <w:widowControl/>
              <w:autoSpaceDE/>
              <w:autoSpaceDN/>
            </w:pPr>
          </w:p>
        </w:tc>
        <w:tc>
          <w:tcPr>
            <w:tcW w:w="1984" w:type="dxa"/>
          </w:tcPr>
          <w:p w14:paraId="3E80BFAB" w14:textId="77777777" w:rsidR="00F67E9E" w:rsidRPr="00A45727" w:rsidRDefault="00F67E9E" w:rsidP="007F74AA">
            <w:pPr>
              <w:pStyle w:val="Tabletext0"/>
              <w:widowControl/>
              <w:autoSpaceDE/>
              <w:autoSpaceDN/>
            </w:pPr>
          </w:p>
        </w:tc>
        <w:tc>
          <w:tcPr>
            <w:tcW w:w="964" w:type="dxa"/>
          </w:tcPr>
          <w:p w14:paraId="6C45CF52" w14:textId="77777777" w:rsidR="00F67E9E" w:rsidRPr="00A45727" w:rsidRDefault="00F67E9E" w:rsidP="007F74AA">
            <w:pPr>
              <w:pStyle w:val="Tabletext0"/>
              <w:widowControl/>
              <w:autoSpaceDE/>
              <w:autoSpaceDN/>
            </w:pPr>
          </w:p>
        </w:tc>
        <w:tc>
          <w:tcPr>
            <w:tcW w:w="3969" w:type="dxa"/>
          </w:tcPr>
          <w:p w14:paraId="4D2F7293" w14:textId="77777777" w:rsidR="00F67E9E" w:rsidRPr="00A45727" w:rsidRDefault="00F67E9E" w:rsidP="007F74AA">
            <w:pPr>
              <w:pStyle w:val="Tabletext0"/>
              <w:widowControl/>
              <w:autoSpaceDE/>
              <w:autoSpaceDN/>
            </w:pPr>
          </w:p>
        </w:tc>
        <w:tc>
          <w:tcPr>
            <w:tcW w:w="1699" w:type="dxa"/>
          </w:tcPr>
          <w:p w14:paraId="304B5FEC" w14:textId="77777777" w:rsidR="00F67E9E" w:rsidRPr="00A45727" w:rsidRDefault="00F67E9E" w:rsidP="007F74AA">
            <w:pPr>
              <w:pStyle w:val="Tabletext0"/>
              <w:widowControl/>
              <w:autoSpaceDE/>
              <w:autoSpaceDN/>
            </w:pPr>
          </w:p>
        </w:tc>
        <w:tc>
          <w:tcPr>
            <w:tcW w:w="2269" w:type="dxa"/>
          </w:tcPr>
          <w:p w14:paraId="56ABB780" w14:textId="77777777" w:rsidR="00F67E9E" w:rsidRPr="00A45727" w:rsidRDefault="00F67E9E" w:rsidP="007F74AA">
            <w:pPr>
              <w:pStyle w:val="Tabletext0"/>
              <w:widowControl/>
              <w:autoSpaceDE/>
              <w:autoSpaceDN/>
            </w:pPr>
          </w:p>
        </w:tc>
      </w:tr>
      <w:tr w:rsidR="00F67E9E" w:rsidRPr="00025910" w14:paraId="003B18E2" w14:textId="77777777" w:rsidTr="007F74AA">
        <w:trPr>
          <w:trHeight w:val="680"/>
        </w:trPr>
        <w:tc>
          <w:tcPr>
            <w:tcW w:w="1417" w:type="dxa"/>
          </w:tcPr>
          <w:p w14:paraId="14CE9BC7" w14:textId="77777777" w:rsidR="00F67E9E" w:rsidRPr="00A45727" w:rsidRDefault="00F67E9E" w:rsidP="007F74AA">
            <w:pPr>
              <w:pStyle w:val="Tabletext0"/>
              <w:widowControl/>
              <w:autoSpaceDE/>
              <w:autoSpaceDN/>
              <w:rPr>
                <w:b/>
                <w:bCs/>
              </w:rPr>
            </w:pPr>
            <w:r w:rsidRPr="00A45727">
              <w:rPr>
                <w:b/>
                <w:bCs/>
              </w:rPr>
              <w:t>Emp No 2</w:t>
            </w:r>
          </w:p>
        </w:tc>
        <w:tc>
          <w:tcPr>
            <w:tcW w:w="1701" w:type="dxa"/>
          </w:tcPr>
          <w:p w14:paraId="553AE028" w14:textId="77777777" w:rsidR="00F67E9E" w:rsidRPr="00A45727" w:rsidRDefault="00F67E9E" w:rsidP="007F74AA">
            <w:pPr>
              <w:pStyle w:val="Tabletext0"/>
              <w:widowControl/>
              <w:autoSpaceDE/>
              <w:autoSpaceDN/>
            </w:pPr>
          </w:p>
        </w:tc>
        <w:tc>
          <w:tcPr>
            <w:tcW w:w="1134" w:type="dxa"/>
          </w:tcPr>
          <w:p w14:paraId="4EB64795" w14:textId="77777777" w:rsidR="00F67E9E" w:rsidRPr="00A45727" w:rsidRDefault="00F67E9E" w:rsidP="007F74AA">
            <w:pPr>
              <w:pStyle w:val="Tabletext0"/>
              <w:widowControl/>
              <w:autoSpaceDE/>
              <w:autoSpaceDN/>
            </w:pPr>
          </w:p>
        </w:tc>
        <w:tc>
          <w:tcPr>
            <w:tcW w:w="1984" w:type="dxa"/>
          </w:tcPr>
          <w:p w14:paraId="41E4EBEE" w14:textId="77777777" w:rsidR="00F67E9E" w:rsidRPr="00A45727" w:rsidRDefault="00F67E9E" w:rsidP="007F74AA">
            <w:pPr>
              <w:pStyle w:val="Tabletext0"/>
              <w:widowControl/>
              <w:autoSpaceDE/>
              <w:autoSpaceDN/>
            </w:pPr>
          </w:p>
        </w:tc>
        <w:tc>
          <w:tcPr>
            <w:tcW w:w="964" w:type="dxa"/>
          </w:tcPr>
          <w:p w14:paraId="063BEA46" w14:textId="77777777" w:rsidR="00F67E9E" w:rsidRPr="00A45727" w:rsidRDefault="00F67E9E" w:rsidP="007F74AA">
            <w:pPr>
              <w:pStyle w:val="Tabletext0"/>
              <w:widowControl/>
              <w:autoSpaceDE/>
              <w:autoSpaceDN/>
            </w:pPr>
          </w:p>
        </w:tc>
        <w:tc>
          <w:tcPr>
            <w:tcW w:w="3969" w:type="dxa"/>
          </w:tcPr>
          <w:p w14:paraId="4397269E" w14:textId="77777777" w:rsidR="00F67E9E" w:rsidRPr="00A45727" w:rsidRDefault="00F67E9E" w:rsidP="007F74AA">
            <w:pPr>
              <w:pStyle w:val="Tabletext0"/>
              <w:widowControl/>
              <w:autoSpaceDE/>
              <w:autoSpaceDN/>
            </w:pPr>
          </w:p>
        </w:tc>
        <w:tc>
          <w:tcPr>
            <w:tcW w:w="1699" w:type="dxa"/>
          </w:tcPr>
          <w:p w14:paraId="18B1552A" w14:textId="77777777" w:rsidR="00F67E9E" w:rsidRPr="00A45727" w:rsidRDefault="00F67E9E" w:rsidP="007F74AA">
            <w:pPr>
              <w:pStyle w:val="Tabletext0"/>
              <w:widowControl/>
              <w:autoSpaceDE/>
              <w:autoSpaceDN/>
            </w:pPr>
          </w:p>
        </w:tc>
        <w:tc>
          <w:tcPr>
            <w:tcW w:w="2269" w:type="dxa"/>
          </w:tcPr>
          <w:p w14:paraId="661CF6F6" w14:textId="77777777" w:rsidR="00F67E9E" w:rsidRPr="00A45727" w:rsidRDefault="00F67E9E" w:rsidP="007F74AA">
            <w:pPr>
              <w:pStyle w:val="Tabletext0"/>
              <w:widowControl/>
              <w:autoSpaceDE/>
              <w:autoSpaceDN/>
            </w:pPr>
          </w:p>
        </w:tc>
      </w:tr>
      <w:tr w:rsidR="00F67E9E" w:rsidRPr="00025910" w14:paraId="2A3B4861" w14:textId="77777777" w:rsidTr="007F74AA">
        <w:trPr>
          <w:trHeight w:val="680"/>
        </w:trPr>
        <w:tc>
          <w:tcPr>
            <w:tcW w:w="1417" w:type="dxa"/>
          </w:tcPr>
          <w:p w14:paraId="76363D96" w14:textId="77777777" w:rsidR="00F67E9E" w:rsidRPr="00A45727" w:rsidRDefault="00F67E9E" w:rsidP="007F74AA">
            <w:pPr>
              <w:pStyle w:val="Tabletext0"/>
              <w:widowControl/>
              <w:autoSpaceDE/>
              <w:autoSpaceDN/>
              <w:rPr>
                <w:b/>
                <w:bCs/>
              </w:rPr>
            </w:pPr>
            <w:r w:rsidRPr="00A45727">
              <w:rPr>
                <w:b/>
                <w:bCs/>
              </w:rPr>
              <w:t>Emp No</w:t>
            </w:r>
          </w:p>
        </w:tc>
        <w:tc>
          <w:tcPr>
            <w:tcW w:w="1701" w:type="dxa"/>
          </w:tcPr>
          <w:p w14:paraId="19E59922" w14:textId="77777777" w:rsidR="00F67E9E" w:rsidRPr="00A45727" w:rsidRDefault="00F67E9E" w:rsidP="007F74AA">
            <w:pPr>
              <w:pStyle w:val="Tabletext0"/>
              <w:widowControl/>
              <w:autoSpaceDE/>
              <w:autoSpaceDN/>
            </w:pPr>
          </w:p>
        </w:tc>
        <w:tc>
          <w:tcPr>
            <w:tcW w:w="1134" w:type="dxa"/>
          </w:tcPr>
          <w:p w14:paraId="183075F6" w14:textId="77777777" w:rsidR="00F67E9E" w:rsidRPr="00A45727" w:rsidRDefault="00F67E9E" w:rsidP="007F74AA">
            <w:pPr>
              <w:pStyle w:val="Tabletext0"/>
              <w:widowControl/>
              <w:autoSpaceDE/>
              <w:autoSpaceDN/>
            </w:pPr>
          </w:p>
        </w:tc>
        <w:tc>
          <w:tcPr>
            <w:tcW w:w="1984" w:type="dxa"/>
          </w:tcPr>
          <w:p w14:paraId="162A1238" w14:textId="77777777" w:rsidR="00F67E9E" w:rsidRPr="00A45727" w:rsidRDefault="00F67E9E" w:rsidP="007F74AA">
            <w:pPr>
              <w:pStyle w:val="Tabletext0"/>
              <w:widowControl/>
              <w:autoSpaceDE/>
              <w:autoSpaceDN/>
            </w:pPr>
          </w:p>
        </w:tc>
        <w:tc>
          <w:tcPr>
            <w:tcW w:w="964" w:type="dxa"/>
          </w:tcPr>
          <w:p w14:paraId="6709BC7E" w14:textId="77777777" w:rsidR="00F67E9E" w:rsidRPr="00A45727" w:rsidRDefault="00F67E9E" w:rsidP="007F74AA">
            <w:pPr>
              <w:pStyle w:val="Tabletext0"/>
              <w:widowControl/>
              <w:autoSpaceDE/>
              <w:autoSpaceDN/>
            </w:pPr>
          </w:p>
        </w:tc>
        <w:tc>
          <w:tcPr>
            <w:tcW w:w="3969" w:type="dxa"/>
          </w:tcPr>
          <w:p w14:paraId="7B9118EB" w14:textId="77777777" w:rsidR="00F67E9E" w:rsidRPr="00A45727" w:rsidRDefault="00F67E9E" w:rsidP="007F74AA">
            <w:pPr>
              <w:pStyle w:val="Tabletext0"/>
              <w:widowControl/>
              <w:autoSpaceDE/>
              <w:autoSpaceDN/>
            </w:pPr>
          </w:p>
        </w:tc>
        <w:tc>
          <w:tcPr>
            <w:tcW w:w="1699" w:type="dxa"/>
          </w:tcPr>
          <w:p w14:paraId="0875E5D6" w14:textId="77777777" w:rsidR="00F67E9E" w:rsidRPr="00A45727" w:rsidRDefault="00F67E9E" w:rsidP="007F74AA">
            <w:pPr>
              <w:pStyle w:val="Tabletext0"/>
              <w:widowControl/>
              <w:autoSpaceDE/>
              <w:autoSpaceDN/>
            </w:pPr>
          </w:p>
        </w:tc>
        <w:tc>
          <w:tcPr>
            <w:tcW w:w="2269" w:type="dxa"/>
          </w:tcPr>
          <w:p w14:paraId="2DFEFCF7" w14:textId="77777777" w:rsidR="00F67E9E" w:rsidRPr="00A45727" w:rsidRDefault="00F67E9E" w:rsidP="007F74AA">
            <w:pPr>
              <w:pStyle w:val="Tabletext0"/>
              <w:widowControl/>
              <w:autoSpaceDE/>
              <w:autoSpaceDN/>
            </w:pPr>
          </w:p>
        </w:tc>
      </w:tr>
      <w:tr w:rsidR="00F67E9E" w:rsidRPr="00025910" w14:paraId="3F3ABA5C" w14:textId="77777777" w:rsidTr="007F74AA">
        <w:trPr>
          <w:trHeight w:val="680"/>
        </w:trPr>
        <w:tc>
          <w:tcPr>
            <w:tcW w:w="1417" w:type="dxa"/>
          </w:tcPr>
          <w:p w14:paraId="3F547101" w14:textId="77777777" w:rsidR="00F67E9E" w:rsidRPr="00A45727" w:rsidRDefault="00F67E9E" w:rsidP="007F74AA">
            <w:pPr>
              <w:pStyle w:val="Tabletext0"/>
              <w:widowControl/>
              <w:autoSpaceDE/>
              <w:autoSpaceDN/>
              <w:rPr>
                <w:b/>
                <w:bCs/>
              </w:rPr>
            </w:pPr>
            <w:r w:rsidRPr="00A45727">
              <w:rPr>
                <w:b/>
                <w:bCs/>
              </w:rPr>
              <w:t>Emp No</w:t>
            </w:r>
          </w:p>
        </w:tc>
        <w:tc>
          <w:tcPr>
            <w:tcW w:w="1701" w:type="dxa"/>
          </w:tcPr>
          <w:p w14:paraId="257FFCF2" w14:textId="77777777" w:rsidR="00F67E9E" w:rsidRPr="00A45727" w:rsidRDefault="00F67E9E" w:rsidP="007F74AA">
            <w:pPr>
              <w:pStyle w:val="Tabletext0"/>
              <w:widowControl/>
              <w:autoSpaceDE/>
              <w:autoSpaceDN/>
            </w:pPr>
          </w:p>
        </w:tc>
        <w:tc>
          <w:tcPr>
            <w:tcW w:w="1134" w:type="dxa"/>
          </w:tcPr>
          <w:p w14:paraId="3A1791A0" w14:textId="77777777" w:rsidR="00F67E9E" w:rsidRPr="00A45727" w:rsidRDefault="00F67E9E" w:rsidP="007F74AA">
            <w:pPr>
              <w:pStyle w:val="Tabletext0"/>
              <w:widowControl/>
              <w:autoSpaceDE/>
              <w:autoSpaceDN/>
            </w:pPr>
          </w:p>
        </w:tc>
        <w:tc>
          <w:tcPr>
            <w:tcW w:w="1984" w:type="dxa"/>
          </w:tcPr>
          <w:p w14:paraId="353A8C6E" w14:textId="77777777" w:rsidR="00F67E9E" w:rsidRPr="00A45727" w:rsidRDefault="00F67E9E" w:rsidP="007F74AA">
            <w:pPr>
              <w:pStyle w:val="Tabletext0"/>
              <w:widowControl/>
              <w:autoSpaceDE/>
              <w:autoSpaceDN/>
            </w:pPr>
          </w:p>
        </w:tc>
        <w:tc>
          <w:tcPr>
            <w:tcW w:w="964" w:type="dxa"/>
          </w:tcPr>
          <w:p w14:paraId="222A219E" w14:textId="77777777" w:rsidR="00F67E9E" w:rsidRPr="00A45727" w:rsidRDefault="00F67E9E" w:rsidP="007F74AA">
            <w:pPr>
              <w:pStyle w:val="Tabletext0"/>
              <w:widowControl/>
              <w:autoSpaceDE/>
              <w:autoSpaceDN/>
            </w:pPr>
          </w:p>
        </w:tc>
        <w:tc>
          <w:tcPr>
            <w:tcW w:w="3969" w:type="dxa"/>
          </w:tcPr>
          <w:p w14:paraId="45587314" w14:textId="77777777" w:rsidR="00F67E9E" w:rsidRPr="00A45727" w:rsidRDefault="00F67E9E" w:rsidP="007F74AA">
            <w:pPr>
              <w:pStyle w:val="Tabletext0"/>
              <w:widowControl/>
              <w:autoSpaceDE/>
              <w:autoSpaceDN/>
            </w:pPr>
          </w:p>
        </w:tc>
        <w:tc>
          <w:tcPr>
            <w:tcW w:w="1699" w:type="dxa"/>
          </w:tcPr>
          <w:p w14:paraId="6D43A772" w14:textId="77777777" w:rsidR="00F67E9E" w:rsidRPr="00A45727" w:rsidRDefault="00F67E9E" w:rsidP="007F74AA">
            <w:pPr>
              <w:pStyle w:val="Tabletext0"/>
              <w:widowControl/>
              <w:autoSpaceDE/>
              <w:autoSpaceDN/>
            </w:pPr>
          </w:p>
        </w:tc>
        <w:tc>
          <w:tcPr>
            <w:tcW w:w="2269" w:type="dxa"/>
          </w:tcPr>
          <w:p w14:paraId="577BB0CE" w14:textId="77777777" w:rsidR="00F67E9E" w:rsidRPr="00A45727" w:rsidRDefault="00F67E9E" w:rsidP="007F74AA">
            <w:pPr>
              <w:pStyle w:val="Tabletext0"/>
              <w:widowControl/>
              <w:autoSpaceDE/>
              <w:autoSpaceDN/>
            </w:pPr>
          </w:p>
        </w:tc>
      </w:tr>
      <w:tr w:rsidR="00F67E9E" w:rsidRPr="00025910" w14:paraId="36B8E959" w14:textId="77777777" w:rsidTr="007F74AA">
        <w:trPr>
          <w:trHeight w:val="680"/>
        </w:trPr>
        <w:tc>
          <w:tcPr>
            <w:tcW w:w="1417" w:type="dxa"/>
          </w:tcPr>
          <w:p w14:paraId="4B0C2800" w14:textId="77777777" w:rsidR="00F67E9E" w:rsidRPr="00A45727" w:rsidRDefault="00F67E9E" w:rsidP="007F74AA">
            <w:pPr>
              <w:pStyle w:val="Tabletext0"/>
              <w:widowControl/>
              <w:autoSpaceDE/>
              <w:autoSpaceDN/>
              <w:rPr>
                <w:b/>
                <w:bCs/>
              </w:rPr>
            </w:pPr>
            <w:r w:rsidRPr="00A45727">
              <w:rPr>
                <w:b/>
                <w:bCs/>
              </w:rPr>
              <w:t>Emp No</w:t>
            </w:r>
          </w:p>
        </w:tc>
        <w:tc>
          <w:tcPr>
            <w:tcW w:w="1701" w:type="dxa"/>
          </w:tcPr>
          <w:p w14:paraId="2C6753E7" w14:textId="77777777" w:rsidR="00F67E9E" w:rsidRPr="00A45727" w:rsidRDefault="00F67E9E" w:rsidP="007F74AA">
            <w:pPr>
              <w:pStyle w:val="Tabletext0"/>
              <w:widowControl/>
              <w:autoSpaceDE/>
              <w:autoSpaceDN/>
            </w:pPr>
          </w:p>
        </w:tc>
        <w:tc>
          <w:tcPr>
            <w:tcW w:w="1134" w:type="dxa"/>
          </w:tcPr>
          <w:p w14:paraId="130A9ED6" w14:textId="77777777" w:rsidR="00F67E9E" w:rsidRPr="00A45727" w:rsidRDefault="00F67E9E" w:rsidP="007F74AA">
            <w:pPr>
              <w:pStyle w:val="Tabletext0"/>
              <w:widowControl/>
              <w:autoSpaceDE/>
              <w:autoSpaceDN/>
            </w:pPr>
          </w:p>
        </w:tc>
        <w:tc>
          <w:tcPr>
            <w:tcW w:w="1984" w:type="dxa"/>
          </w:tcPr>
          <w:p w14:paraId="197C2A06" w14:textId="77777777" w:rsidR="00F67E9E" w:rsidRPr="00A45727" w:rsidRDefault="00F67E9E" w:rsidP="007F74AA">
            <w:pPr>
              <w:pStyle w:val="Tabletext0"/>
              <w:widowControl/>
              <w:autoSpaceDE/>
              <w:autoSpaceDN/>
            </w:pPr>
          </w:p>
        </w:tc>
        <w:tc>
          <w:tcPr>
            <w:tcW w:w="964" w:type="dxa"/>
          </w:tcPr>
          <w:p w14:paraId="4B64D716" w14:textId="77777777" w:rsidR="00F67E9E" w:rsidRPr="00A45727" w:rsidRDefault="00F67E9E" w:rsidP="007F74AA">
            <w:pPr>
              <w:pStyle w:val="Tabletext0"/>
              <w:widowControl/>
              <w:autoSpaceDE/>
              <w:autoSpaceDN/>
            </w:pPr>
          </w:p>
        </w:tc>
        <w:tc>
          <w:tcPr>
            <w:tcW w:w="3969" w:type="dxa"/>
          </w:tcPr>
          <w:p w14:paraId="769C3597" w14:textId="77777777" w:rsidR="00F67E9E" w:rsidRPr="00A45727" w:rsidRDefault="00F67E9E" w:rsidP="007F74AA">
            <w:pPr>
              <w:pStyle w:val="Tabletext0"/>
              <w:widowControl/>
              <w:autoSpaceDE/>
              <w:autoSpaceDN/>
            </w:pPr>
          </w:p>
        </w:tc>
        <w:tc>
          <w:tcPr>
            <w:tcW w:w="1699" w:type="dxa"/>
          </w:tcPr>
          <w:p w14:paraId="61C0D073" w14:textId="77777777" w:rsidR="00F67E9E" w:rsidRPr="00A45727" w:rsidRDefault="00F67E9E" w:rsidP="007F74AA">
            <w:pPr>
              <w:pStyle w:val="Tabletext0"/>
              <w:widowControl/>
              <w:autoSpaceDE/>
              <w:autoSpaceDN/>
            </w:pPr>
          </w:p>
        </w:tc>
        <w:tc>
          <w:tcPr>
            <w:tcW w:w="2269" w:type="dxa"/>
          </w:tcPr>
          <w:p w14:paraId="3D09A983" w14:textId="77777777" w:rsidR="00F67E9E" w:rsidRPr="00A45727" w:rsidRDefault="00F67E9E" w:rsidP="007F74AA">
            <w:pPr>
              <w:pStyle w:val="Tabletext0"/>
              <w:widowControl/>
              <w:autoSpaceDE/>
              <w:autoSpaceDN/>
            </w:pPr>
          </w:p>
        </w:tc>
      </w:tr>
      <w:tr w:rsidR="00F67E9E" w:rsidRPr="00025910" w14:paraId="2ED5DF1A" w14:textId="77777777" w:rsidTr="007F74AA">
        <w:trPr>
          <w:trHeight w:val="680"/>
        </w:trPr>
        <w:tc>
          <w:tcPr>
            <w:tcW w:w="1417" w:type="dxa"/>
          </w:tcPr>
          <w:p w14:paraId="6EDCBE3E" w14:textId="77777777" w:rsidR="00F67E9E" w:rsidRPr="00A45727" w:rsidRDefault="00F67E9E" w:rsidP="007F74AA">
            <w:pPr>
              <w:pStyle w:val="Tabletext0"/>
              <w:widowControl/>
              <w:autoSpaceDE/>
              <w:autoSpaceDN/>
              <w:rPr>
                <w:b/>
                <w:bCs/>
              </w:rPr>
            </w:pPr>
            <w:r w:rsidRPr="00A45727">
              <w:rPr>
                <w:b/>
                <w:bCs/>
              </w:rPr>
              <w:t>Emp No</w:t>
            </w:r>
          </w:p>
        </w:tc>
        <w:tc>
          <w:tcPr>
            <w:tcW w:w="1701" w:type="dxa"/>
          </w:tcPr>
          <w:p w14:paraId="257B323B" w14:textId="77777777" w:rsidR="00F67E9E" w:rsidRPr="00A45727" w:rsidRDefault="00F67E9E" w:rsidP="007F74AA">
            <w:pPr>
              <w:pStyle w:val="Tabletext0"/>
              <w:widowControl/>
              <w:autoSpaceDE/>
              <w:autoSpaceDN/>
            </w:pPr>
          </w:p>
        </w:tc>
        <w:tc>
          <w:tcPr>
            <w:tcW w:w="1134" w:type="dxa"/>
          </w:tcPr>
          <w:p w14:paraId="0242D5E2" w14:textId="77777777" w:rsidR="00F67E9E" w:rsidRPr="00A45727" w:rsidRDefault="00F67E9E" w:rsidP="007F74AA">
            <w:pPr>
              <w:pStyle w:val="Tabletext0"/>
              <w:widowControl/>
              <w:autoSpaceDE/>
              <w:autoSpaceDN/>
            </w:pPr>
          </w:p>
        </w:tc>
        <w:tc>
          <w:tcPr>
            <w:tcW w:w="1984" w:type="dxa"/>
          </w:tcPr>
          <w:p w14:paraId="5913E769" w14:textId="77777777" w:rsidR="00F67E9E" w:rsidRPr="00A45727" w:rsidRDefault="00F67E9E" w:rsidP="007F74AA">
            <w:pPr>
              <w:pStyle w:val="Tabletext0"/>
              <w:widowControl/>
              <w:autoSpaceDE/>
              <w:autoSpaceDN/>
            </w:pPr>
          </w:p>
        </w:tc>
        <w:tc>
          <w:tcPr>
            <w:tcW w:w="964" w:type="dxa"/>
          </w:tcPr>
          <w:p w14:paraId="6BA19CB5" w14:textId="77777777" w:rsidR="00F67E9E" w:rsidRPr="00A45727" w:rsidRDefault="00F67E9E" w:rsidP="007F74AA">
            <w:pPr>
              <w:pStyle w:val="Tabletext0"/>
              <w:widowControl/>
              <w:autoSpaceDE/>
              <w:autoSpaceDN/>
            </w:pPr>
          </w:p>
        </w:tc>
        <w:tc>
          <w:tcPr>
            <w:tcW w:w="3969" w:type="dxa"/>
          </w:tcPr>
          <w:p w14:paraId="3205BC5F" w14:textId="77777777" w:rsidR="00F67E9E" w:rsidRPr="00A45727" w:rsidRDefault="00F67E9E" w:rsidP="007F74AA">
            <w:pPr>
              <w:pStyle w:val="Tabletext0"/>
              <w:widowControl/>
              <w:autoSpaceDE/>
              <w:autoSpaceDN/>
            </w:pPr>
          </w:p>
        </w:tc>
        <w:tc>
          <w:tcPr>
            <w:tcW w:w="1699" w:type="dxa"/>
          </w:tcPr>
          <w:p w14:paraId="211862A7" w14:textId="77777777" w:rsidR="00F67E9E" w:rsidRPr="00A45727" w:rsidRDefault="00F67E9E" w:rsidP="007F74AA">
            <w:pPr>
              <w:pStyle w:val="Tabletext0"/>
              <w:widowControl/>
              <w:autoSpaceDE/>
              <w:autoSpaceDN/>
            </w:pPr>
          </w:p>
        </w:tc>
        <w:tc>
          <w:tcPr>
            <w:tcW w:w="2269" w:type="dxa"/>
          </w:tcPr>
          <w:p w14:paraId="3F8D67DA" w14:textId="77777777" w:rsidR="00F67E9E" w:rsidRPr="00A45727" w:rsidRDefault="00F67E9E" w:rsidP="007F74AA">
            <w:pPr>
              <w:pStyle w:val="Tabletext0"/>
              <w:widowControl/>
              <w:autoSpaceDE/>
              <w:autoSpaceDN/>
            </w:pPr>
          </w:p>
        </w:tc>
      </w:tr>
      <w:tr w:rsidR="00F67E9E" w:rsidRPr="00025910" w14:paraId="5A9783EB" w14:textId="77777777" w:rsidTr="007F74AA">
        <w:trPr>
          <w:trHeight w:val="680"/>
        </w:trPr>
        <w:tc>
          <w:tcPr>
            <w:tcW w:w="1417" w:type="dxa"/>
          </w:tcPr>
          <w:p w14:paraId="5DDCB82B" w14:textId="77777777" w:rsidR="00F67E9E" w:rsidRPr="00A45727" w:rsidRDefault="00F67E9E" w:rsidP="007F74AA">
            <w:pPr>
              <w:pStyle w:val="Tabletext0"/>
              <w:widowControl/>
              <w:autoSpaceDE/>
              <w:autoSpaceDN/>
              <w:rPr>
                <w:b/>
                <w:bCs/>
              </w:rPr>
            </w:pPr>
            <w:r w:rsidRPr="00A45727">
              <w:rPr>
                <w:b/>
                <w:bCs/>
              </w:rPr>
              <w:t>Emp No</w:t>
            </w:r>
          </w:p>
        </w:tc>
        <w:tc>
          <w:tcPr>
            <w:tcW w:w="1701" w:type="dxa"/>
          </w:tcPr>
          <w:p w14:paraId="77922DA6" w14:textId="77777777" w:rsidR="00F67E9E" w:rsidRPr="00A45727" w:rsidRDefault="00F67E9E" w:rsidP="007F74AA">
            <w:pPr>
              <w:pStyle w:val="Tabletext0"/>
              <w:widowControl/>
              <w:autoSpaceDE/>
              <w:autoSpaceDN/>
            </w:pPr>
          </w:p>
        </w:tc>
        <w:tc>
          <w:tcPr>
            <w:tcW w:w="1134" w:type="dxa"/>
          </w:tcPr>
          <w:p w14:paraId="3DEE25F4" w14:textId="77777777" w:rsidR="00F67E9E" w:rsidRPr="00A45727" w:rsidRDefault="00F67E9E" w:rsidP="007F74AA">
            <w:pPr>
              <w:pStyle w:val="Tabletext0"/>
              <w:widowControl/>
              <w:autoSpaceDE/>
              <w:autoSpaceDN/>
            </w:pPr>
          </w:p>
        </w:tc>
        <w:tc>
          <w:tcPr>
            <w:tcW w:w="1984" w:type="dxa"/>
          </w:tcPr>
          <w:p w14:paraId="7432C3CD" w14:textId="77777777" w:rsidR="00F67E9E" w:rsidRPr="00A45727" w:rsidRDefault="00F67E9E" w:rsidP="007F74AA">
            <w:pPr>
              <w:pStyle w:val="Tabletext0"/>
              <w:widowControl/>
              <w:autoSpaceDE/>
              <w:autoSpaceDN/>
            </w:pPr>
          </w:p>
        </w:tc>
        <w:tc>
          <w:tcPr>
            <w:tcW w:w="964" w:type="dxa"/>
          </w:tcPr>
          <w:p w14:paraId="5A8E7839" w14:textId="77777777" w:rsidR="00F67E9E" w:rsidRPr="00A45727" w:rsidRDefault="00F67E9E" w:rsidP="007F74AA">
            <w:pPr>
              <w:pStyle w:val="Tabletext0"/>
              <w:widowControl/>
              <w:autoSpaceDE/>
              <w:autoSpaceDN/>
            </w:pPr>
          </w:p>
        </w:tc>
        <w:tc>
          <w:tcPr>
            <w:tcW w:w="3969" w:type="dxa"/>
          </w:tcPr>
          <w:p w14:paraId="26A6FA26" w14:textId="77777777" w:rsidR="00F67E9E" w:rsidRPr="00A45727" w:rsidRDefault="00F67E9E" w:rsidP="007F74AA">
            <w:pPr>
              <w:pStyle w:val="Tabletext0"/>
              <w:widowControl/>
              <w:autoSpaceDE/>
              <w:autoSpaceDN/>
            </w:pPr>
          </w:p>
        </w:tc>
        <w:tc>
          <w:tcPr>
            <w:tcW w:w="1699" w:type="dxa"/>
          </w:tcPr>
          <w:p w14:paraId="6ED75CAB" w14:textId="77777777" w:rsidR="00F67E9E" w:rsidRPr="00A45727" w:rsidRDefault="00F67E9E" w:rsidP="007F74AA">
            <w:pPr>
              <w:pStyle w:val="Tabletext0"/>
              <w:widowControl/>
              <w:autoSpaceDE/>
              <w:autoSpaceDN/>
            </w:pPr>
          </w:p>
        </w:tc>
        <w:tc>
          <w:tcPr>
            <w:tcW w:w="2269" w:type="dxa"/>
          </w:tcPr>
          <w:p w14:paraId="570AF64B" w14:textId="77777777" w:rsidR="00F67E9E" w:rsidRPr="00A45727" w:rsidRDefault="00F67E9E" w:rsidP="007F74AA">
            <w:pPr>
              <w:pStyle w:val="Tabletext0"/>
              <w:widowControl/>
              <w:autoSpaceDE/>
              <w:autoSpaceDN/>
            </w:pPr>
          </w:p>
        </w:tc>
      </w:tr>
      <w:tr w:rsidR="00F67E9E" w:rsidRPr="00025910" w14:paraId="24ABF2D4" w14:textId="77777777" w:rsidTr="007F74AA">
        <w:trPr>
          <w:trHeight w:val="680"/>
        </w:trPr>
        <w:tc>
          <w:tcPr>
            <w:tcW w:w="1417" w:type="dxa"/>
          </w:tcPr>
          <w:p w14:paraId="01ACC510" w14:textId="77777777" w:rsidR="00F67E9E" w:rsidRPr="00A45727" w:rsidRDefault="00F67E9E" w:rsidP="007F74AA">
            <w:pPr>
              <w:pStyle w:val="Tabletext0"/>
              <w:widowControl/>
              <w:autoSpaceDE/>
              <w:autoSpaceDN/>
              <w:rPr>
                <w:b/>
                <w:bCs/>
              </w:rPr>
            </w:pPr>
            <w:r w:rsidRPr="00A45727">
              <w:rPr>
                <w:b/>
                <w:bCs/>
              </w:rPr>
              <w:t>Emp No</w:t>
            </w:r>
          </w:p>
        </w:tc>
        <w:tc>
          <w:tcPr>
            <w:tcW w:w="1701" w:type="dxa"/>
          </w:tcPr>
          <w:p w14:paraId="5C109F7F" w14:textId="77777777" w:rsidR="00F67E9E" w:rsidRPr="00A45727" w:rsidRDefault="00F67E9E" w:rsidP="007F74AA">
            <w:pPr>
              <w:pStyle w:val="Tabletext0"/>
              <w:widowControl/>
              <w:autoSpaceDE/>
              <w:autoSpaceDN/>
            </w:pPr>
          </w:p>
        </w:tc>
        <w:tc>
          <w:tcPr>
            <w:tcW w:w="1134" w:type="dxa"/>
          </w:tcPr>
          <w:p w14:paraId="04C3BD2F" w14:textId="77777777" w:rsidR="00F67E9E" w:rsidRPr="00A45727" w:rsidRDefault="00F67E9E" w:rsidP="007F74AA">
            <w:pPr>
              <w:pStyle w:val="Tabletext0"/>
              <w:widowControl/>
              <w:autoSpaceDE/>
              <w:autoSpaceDN/>
            </w:pPr>
          </w:p>
        </w:tc>
        <w:tc>
          <w:tcPr>
            <w:tcW w:w="1984" w:type="dxa"/>
          </w:tcPr>
          <w:p w14:paraId="643D69B9" w14:textId="77777777" w:rsidR="00F67E9E" w:rsidRPr="00A45727" w:rsidRDefault="00F67E9E" w:rsidP="007F74AA">
            <w:pPr>
              <w:pStyle w:val="Tabletext0"/>
              <w:widowControl/>
              <w:autoSpaceDE/>
              <w:autoSpaceDN/>
            </w:pPr>
          </w:p>
        </w:tc>
        <w:tc>
          <w:tcPr>
            <w:tcW w:w="964" w:type="dxa"/>
          </w:tcPr>
          <w:p w14:paraId="230DBA25" w14:textId="77777777" w:rsidR="00F67E9E" w:rsidRPr="00A45727" w:rsidRDefault="00F67E9E" w:rsidP="007F74AA">
            <w:pPr>
              <w:pStyle w:val="Tabletext0"/>
              <w:widowControl/>
              <w:autoSpaceDE/>
              <w:autoSpaceDN/>
            </w:pPr>
          </w:p>
        </w:tc>
        <w:tc>
          <w:tcPr>
            <w:tcW w:w="3969" w:type="dxa"/>
          </w:tcPr>
          <w:p w14:paraId="60AAF269" w14:textId="77777777" w:rsidR="00F67E9E" w:rsidRPr="00A45727" w:rsidRDefault="00F67E9E" w:rsidP="007F74AA">
            <w:pPr>
              <w:pStyle w:val="Tabletext0"/>
              <w:widowControl/>
              <w:autoSpaceDE/>
              <w:autoSpaceDN/>
            </w:pPr>
          </w:p>
        </w:tc>
        <w:tc>
          <w:tcPr>
            <w:tcW w:w="1699" w:type="dxa"/>
          </w:tcPr>
          <w:p w14:paraId="19227F3D" w14:textId="77777777" w:rsidR="00F67E9E" w:rsidRPr="00A45727" w:rsidRDefault="00F67E9E" w:rsidP="007F74AA">
            <w:pPr>
              <w:pStyle w:val="Tabletext0"/>
              <w:widowControl/>
              <w:autoSpaceDE/>
              <w:autoSpaceDN/>
            </w:pPr>
          </w:p>
        </w:tc>
        <w:tc>
          <w:tcPr>
            <w:tcW w:w="2269" w:type="dxa"/>
          </w:tcPr>
          <w:p w14:paraId="5B77F983" w14:textId="77777777" w:rsidR="00F67E9E" w:rsidRPr="00A45727" w:rsidRDefault="00F67E9E" w:rsidP="007F74AA">
            <w:pPr>
              <w:pStyle w:val="Tabletext0"/>
              <w:widowControl/>
              <w:autoSpaceDE/>
              <w:autoSpaceDN/>
            </w:pPr>
          </w:p>
        </w:tc>
      </w:tr>
    </w:tbl>
    <w:p w14:paraId="738F797E" w14:textId="77777777" w:rsidR="00F67E9E" w:rsidRDefault="00F67E9E" w:rsidP="00F67E9E"/>
    <w:p w14:paraId="6234C5BE" w14:textId="77777777" w:rsidR="00F67E9E" w:rsidRPr="00025910" w:rsidRDefault="00F67E9E" w:rsidP="00F67E9E">
      <w:r w:rsidRPr="00025910">
        <w:br w:type="page"/>
      </w:r>
    </w:p>
    <w:tbl>
      <w:tblPr>
        <w:tblStyle w:val="MSATable-header"/>
        <w:tblW w:w="15143" w:type="dxa"/>
        <w:tblLook w:val="0620" w:firstRow="1" w:lastRow="0" w:firstColumn="0" w:lastColumn="0" w:noHBand="1" w:noVBand="1"/>
      </w:tblPr>
      <w:tblGrid>
        <w:gridCol w:w="1417"/>
        <w:gridCol w:w="1701"/>
        <w:gridCol w:w="1701"/>
        <w:gridCol w:w="1701"/>
        <w:gridCol w:w="1531"/>
        <w:gridCol w:w="1531"/>
        <w:gridCol w:w="3742"/>
        <w:gridCol w:w="1813"/>
        <w:gridCol w:w="6"/>
      </w:tblGrid>
      <w:tr w:rsidR="00F67E9E" w:rsidRPr="00025910" w14:paraId="68ED19BC" w14:textId="77777777" w:rsidTr="007F74AA">
        <w:trPr>
          <w:gridAfter w:val="1"/>
          <w:cnfStyle w:val="100000000000" w:firstRow="1" w:lastRow="0" w:firstColumn="0" w:lastColumn="0" w:oddVBand="0" w:evenVBand="0" w:oddHBand="0" w:evenHBand="0" w:firstRowFirstColumn="0" w:firstRowLastColumn="0" w:lastRowFirstColumn="0" w:lastRowLastColumn="0"/>
          <w:wAfter w:w="6" w:type="dxa"/>
          <w:tblHeader/>
        </w:trPr>
        <w:tc>
          <w:tcPr>
            <w:tcW w:w="1417" w:type="dxa"/>
            <w:tcBorders>
              <w:top w:val="nil"/>
              <w:left w:val="nil"/>
            </w:tcBorders>
            <w:shd w:val="clear" w:color="auto" w:fill="auto"/>
          </w:tcPr>
          <w:p w14:paraId="1D92E451" w14:textId="77777777" w:rsidR="00F67E9E" w:rsidRPr="00A45727" w:rsidRDefault="00F67E9E" w:rsidP="007F74AA">
            <w:pPr>
              <w:pStyle w:val="Tabletext0"/>
              <w:widowControl/>
              <w:autoSpaceDE/>
              <w:autoSpaceDN/>
            </w:pPr>
          </w:p>
        </w:tc>
        <w:tc>
          <w:tcPr>
            <w:tcW w:w="13720" w:type="dxa"/>
            <w:gridSpan w:val="7"/>
          </w:tcPr>
          <w:p w14:paraId="274DA62F" w14:textId="77777777" w:rsidR="00F67E9E" w:rsidRPr="00A45727" w:rsidRDefault="00F67E9E" w:rsidP="007F74AA">
            <w:pPr>
              <w:pStyle w:val="Tabletext0"/>
              <w:widowControl/>
              <w:autoSpaceDE/>
              <w:autoSpaceDN/>
            </w:pPr>
            <w:r w:rsidRPr="00A45727">
              <w:t>EMPLOYEE DETAILS &amp; KEY TERMS</w:t>
            </w:r>
          </w:p>
        </w:tc>
      </w:tr>
      <w:tr w:rsidR="00F67E9E" w:rsidRPr="00025910" w14:paraId="2451815A" w14:textId="77777777" w:rsidTr="007F74AA">
        <w:trPr>
          <w:cnfStyle w:val="100000000000" w:firstRow="1" w:lastRow="0" w:firstColumn="0" w:lastColumn="0" w:oddVBand="0" w:evenVBand="0" w:oddHBand="0" w:evenHBand="0" w:firstRowFirstColumn="0" w:firstRowLastColumn="0" w:lastRowFirstColumn="0" w:lastRowLastColumn="0"/>
          <w:tblHeader/>
        </w:trPr>
        <w:tc>
          <w:tcPr>
            <w:tcW w:w="1417" w:type="dxa"/>
          </w:tcPr>
          <w:p w14:paraId="6B013821" w14:textId="77777777" w:rsidR="00F67E9E" w:rsidRPr="00A45727" w:rsidRDefault="00F67E9E" w:rsidP="007F74AA">
            <w:pPr>
              <w:pStyle w:val="Tabletext0"/>
              <w:widowControl/>
              <w:autoSpaceDE/>
              <w:autoSpaceDN/>
            </w:pPr>
            <w:r w:rsidRPr="00A45727">
              <w:t>Details</w:t>
            </w:r>
          </w:p>
        </w:tc>
        <w:tc>
          <w:tcPr>
            <w:tcW w:w="1701" w:type="dxa"/>
          </w:tcPr>
          <w:p w14:paraId="28D34D57" w14:textId="77777777" w:rsidR="00F67E9E" w:rsidRPr="00A45727" w:rsidRDefault="00F67E9E" w:rsidP="007F74AA">
            <w:pPr>
              <w:pStyle w:val="Tabletext0"/>
              <w:widowControl/>
              <w:autoSpaceDE/>
              <w:autoSpaceDN/>
            </w:pPr>
            <w:r w:rsidRPr="00A45727">
              <w:t>Contract end date (if fixed term contract or temporary contract)</w:t>
            </w:r>
          </w:p>
        </w:tc>
        <w:tc>
          <w:tcPr>
            <w:tcW w:w="1701" w:type="dxa"/>
          </w:tcPr>
          <w:p w14:paraId="4D4AC61E" w14:textId="77777777" w:rsidR="00F67E9E" w:rsidRPr="00A45727" w:rsidRDefault="00F67E9E" w:rsidP="007F74AA">
            <w:pPr>
              <w:pStyle w:val="Tabletext0"/>
              <w:widowControl/>
              <w:autoSpaceDE/>
              <w:autoSpaceDN/>
            </w:pPr>
            <w:r w:rsidRPr="00A45727">
              <w:t>Contractual notice period</w:t>
            </w:r>
          </w:p>
        </w:tc>
        <w:tc>
          <w:tcPr>
            <w:tcW w:w="1701" w:type="dxa"/>
          </w:tcPr>
          <w:p w14:paraId="489F39A0" w14:textId="77777777" w:rsidR="00F67E9E" w:rsidRPr="00A45727" w:rsidRDefault="00F67E9E" w:rsidP="007F74AA">
            <w:pPr>
              <w:pStyle w:val="Tabletext0"/>
              <w:widowControl/>
              <w:autoSpaceDE/>
              <w:autoSpaceDN/>
            </w:pPr>
            <w:r w:rsidRPr="00A45727">
              <w:t>Contractual weekly hours</w:t>
            </w:r>
          </w:p>
        </w:tc>
        <w:tc>
          <w:tcPr>
            <w:tcW w:w="1531" w:type="dxa"/>
          </w:tcPr>
          <w:p w14:paraId="1F7288F7" w14:textId="77777777" w:rsidR="00F67E9E" w:rsidRPr="00A45727" w:rsidRDefault="00F67E9E" w:rsidP="007F74AA">
            <w:pPr>
              <w:pStyle w:val="Tabletext0"/>
              <w:widowControl/>
              <w:autoSpaceDE/>
              <w:autoSpaceDN/>
            </w:pPr>
            <w:r w:rsidRPr="00A45727">
              <w:t>Regular overtime hours per week</w:t>
            </w:r>
          </w:p>
        </w:tc>
        <w:tc>
          <w:tcPr>
            <w:tcW w:w="1531" w:type="dxa"/>
          </w:tcPr>
          <w:p w14:paraId="07FD3D68" w14:textId="77777777" w:rsidR="00F67E9E" w:rsidRPr="00A45727" w:rsidRDefault="00F67E9E" w:rsidP="007F74AA">
            <w:pPr>
              <w:pStyle w:val="Tabletext0"/>
              <w:widowControl/>
              <w:autoSpaceDE/>
              <w:autoSpaceDN/>
            </w:pPr>
            <w:r w:rsidRPr="00A45727">
              <w:t>Mobility or flexibility clause in contract?</w:t>
            </w:r>
          </w:p>
        </w:tc>
        <w:tc>
          <w:tcPr>
            <w:tcW w:w="3742" w:type="dxa"/>
          </w:tcPr>
          <w:p w14:paraId="192971CF" w14:textId="77777777" w:rsidR="00F67E9E" w:rsidRPr="00A45727" w:rsidRDefault="00F67E9E" w:rsidP="007F74AA">
            <w:pPr>
              <w:pStyle w:val="Tabletext0"/>
              <w:widowControl/>
              <w:autoSpaceDE/>
              <w:autoSpaceDN/>
            </w:pPr>
            <w:r w:rsidRPr="00A45727">
              <w:t>Previously TUPE transferred to organisation? If so, please specify (i) date of transfer, (ii) name of transferor, and (iii) whether ex public sector</w:t>
            </w:r>
          </w:p>
        </w:tc>
        <w:tc>
          <w:tcPr>
            <w:tcW w:w="1814" w:type="dxa"/>
            <w:gridSpan w:val="2"/>
          </w:tcPr>
          <w:p w14:paraId="65FFE06C" w14:textId="77777777" w:rsidR="00F67E9E" w:rsidRPr="00A45727" w:rsidRDefault="00F67E9E" w:rsidP="007F74AA">
            <w:pPr>
              <w:pStyle w:val="Tabletext0"/>
              <w:widowControl/>
              <w:autoSpaceDE/>
              <w:autoSpaceDN/>
            </w:pPr>
            <w:r w:rsidRPr="00A45727">
              <w:t>Any collective agreements?</w:t>
            </w:r>
          </w:p>
        </w:tc>
      </w:tr>
      <w:tr w:rsidR="00F67E9E" w:rsidRPr="00025910" w14:paraId="2F81B4FD" w14:textId="77777777" w:rsidTr="007F74AA">
        <w:trPr>
          <w:trHeight w:val="680"/>
        </w:trPr>
        <w:tc>
          <w:tcPr>
            <w:tcW w:w="1417" w:type="dxa"/>
          </w:tcPr>
          <w:p w14:paraId="65DC25AC" w14:textId="77777777" w:rsidR="00F67E9E" w:rsidRPr="00A45727" w:rsidRDefault="00F67E9E" w:rsidP="007F74AA">
            <w:pPr>
              <w:pStyle w:val="Tabletext0"/>
              <w:widowControl/>
              <w:autoSpaceDE/>
              <w:autoSpaceDN/>
              <w:rPr>
                <w:b/>
                <w:bCs/>
              </w:rPr>
            </w:pPr>
            <w:r w:rsidRPr="00A45727">
              <w:rPr>
                <w:b/>
                <w:bCs/>
              </w:rPr>
              <w:t>Emp No 1</w:t>
            </w:r>
          </w:p>
        </w:tc>
        <w:tc>
          <w:tcPr>
            <w:tcW w:w="1701" w:type="dxa"/>
          </w:tcPr>
          <w:p w14:paraId="499E185E" w14:textId="77777777" w:rsidR="00F67E9E" w:rsidRPr="00A45727" w:rsidRDefault="00F67E9E" w:rsidP="007F74AA">
            <w:pPr>
              <w:pStyle w:val="Tabletext0"/>
              <w:widowControl/>
              <w:autoSpaceDE/>
              <w:autoSpaceDN/>
            </w:pPr>
          </w:p>
        </w:tc>
        <w:tc>
          <w:tcPr>
            <w:tcW w:w="1701" w:type="dxa"/>
          </w:tcPr>
          <w:p w14:paraId="5119A2AB" w14:textId="77777777" w:rsidR="00F67E9E" w:rsidRPr="00A45727" w:rsidRDefault="00F67E9E" w:rsidP="007F74AA">
            <w:pPr>
              <w:pStyle w:val="Tabletext0"/>
              <w:widowControl/>
              <w:autoSpaceDE/>
              <w:autoSpaceDN/>
            </w:pPr>
          </w:p>
        </w:tc>
        <w:tc>
          <w:tcPr>
            <w:tcW w:w="1701" w:type="dxa"/>
          </w:tcPr>
          <w:p w14:paraId="5F824FC3" w14:textId="77777777" w:rsidR="00F67E9E" w:rsidRPr="00A45727" w:rsidRDefault="00F67E9E" w:rsidP="007F74AA">
            <w:pPr>
              <w:pStyle w:val="Tabletext0"/>
              <w:widowControl/>
              <w:autoSpaceDE/>
              <w:autoSpaceDN/>
            </w:pPr>
          </w:p>
        </w:tc>
        <w:tc>
          <w:tcPr>
            <w:tcW w:w="1531" w:type="dxa"/>
          </w:tcPr>
          <w:p w14:paraId="253ADD49" w14:textId="77777777" w:rsidR="00F67E9E" w:rsidRPr="00A45727" w:rsidRDefault="00F67E9E" w:rsidP="007F74AA">
            <w:pPr>
              <w:pStyle w:val="Tabletext0"/>
              <w:widowControl/>
              <w:autoSpaceDE/>
              <w:autoSpaceDN/>
            </w:pPr>
          </w:p>
        </w:tc>
        <w:tc>
          <w:tcPr>
            <w:tcW w:w="1531" w:type="dxa"/>
          </w:tcPr>
          <w:p w14:paraId="5E47ED25" w14:textId="77777777" w:rsidR="00F67E9E" w:rsidRPr="00A45727" w:rsidRDefault="00F67E9E" w:rsidP="007F74AA">
            <w:pPr>
              <w:pStyle w:val="Tabletext0"/>
              <w:widowControl/>
              <w:autoSpaceDE/>
              <w:autoSpaceDN/>
            </w:pPr>
          </w:p>
        </w:tc>
        <w:tc>
          <w:tcPr>
            <w:tcW w:w="3742" w:type="dxa"/>
          </w:tcPr>
          <w:p w14:paraId="0861840E" w14:textId="77777777" w:rsidR="00F67E9E" w:rsidRPr="00A45727" w:rsidRDefault="00F67E9E" w:rsidP="007F74AA">
            <w:pPr>
              <w:pStyle w:val="Tabletext0"/>
              <w:widowControl/>
              <w:autoSpaceDE/>
              <w:autoSpaceDN/>
            </w:pPr>
          </w:p>
        </w:tc>
        <w:tc>
          <w:tcPr>
            <w:tcW w:w="1814" w:type="dxa"/>
            <w:gridSpan w:val="2"/>
          </w:tcPr>
          <w:p w14:paraId="2013B7DF" w14:textId="77777777" w:rsidR="00F67E9E" w:rsidRPr="00A45727" w:rsidRDefault="00F67E9E" w:rsidP="007F74AA">
            <w:pPr>
              <w:pStyle w:val="Tabletext0"/>
              <w:widowControl/>
              <w:autoSpaceDE/>
              <w:autoSpaceDN/>
            </w:pPr>
          </w:p>
        </w:tc>
      </w:tr>
      <w:tr w:rsidR="00F67E9E" w:rsidRPr="00025910" w14:paraId="46C1A130" w14:textId="77777777" w:rsidTr="007F74AA">
        <w:trPr>
          <w:trHeight w:val="680"/>
        </w:trPr>
        <w:tc>
          <w:tcPr>
            <w:tcW w:w="1417" w:type="dxa"/>
          </w:tcPr>
          <w:p w14:paraId="1E09129F" w14:textId="77777777" w:rsidR="00F67E9E" w:rsidRPr="00A45727" w:rsidRDefault="00F67E9E" w:rsidP="007F74AA">
            <w:pPr>
              <w:pStyle w:val="Tabletext0"/>
              <w:widowControl/>
              <w:autoSpaceDE/>
              <w:autoSpaceDN/>
              <w:rPr>
                <w:b/>
                <w:bCs/>
              </w:rPr>
            </w:pPr>
            <w:r w:rsidRPr="00A45727">
              <w:rPr>
                <w:b/>
                <w:bCs/>
              </w:rPr>
              <w:t>Emp No 2</w:t>
            </w:r>
          </w:p>
        </w:tc>
        <w:tc>
          <w:tcPr>
            <w:tcW w:w="1701" w:type="dxa"/>
          </w:tcPr>
          <w:p w14:paraId="5D1C26E4" w14:textId="77777777" w:rsidR="00F67E9E" w:rsidRPr="00A45727" w:rsidRDefault="00F67E9E" w:rsidP="007F74AA">
            <w:pPr>
              <w:pStyle w:val="Tabletext0"/>
              <w:widowControl/>
              <w:autoSpaceDE/>
              <w:autoSpaceDN/>
            </w:pPr>
          </w:p>
        </w:tc>
        <w:tc>
          <w:tcPr>
            <w:tcW w:w="1701" w:type="dxa"/>
          </w:tcPr>
          <w:p w14:paraId="1C0CDD76" w14:textId="77777777" w:rsidR="00F67E9E" w:rsidRPr="00A45727" w:rsidRDefault="00F67E9E" w:rsidP="007F74AA">
            <w:pPr>
              <w:pStyle w:val="Tabletext0"/>
              <w:widowControl/>
              <w:autoSpaceDE/>
              <w:autoSpaceDN/>
            </w:pPr>
          </w:p>
        </w:tc>
        <w:tc>
          <w:tcPr>
            <w:tcW w:w="1701" w:type="dxa"/>
          </w:tcPr>
          <w:p w14:paraId="3498A92C" w14:textId="77777777" w:rsidR="00F67E9E" w:rsidRPr="00A45727" w:rsidRDefault="00F67E9E" w:rsidP="007F74AA">
            <w:pPr>
              <w:pStyle w:val="Tabletext0"/>
              <w:widowControl/>
              <w:autoSpaceDE/>
              <w:autoSpaceDN/>
            </w:pPr>
          </w:p>
        </w:tc>
        <w:tc>
          <w:tcPr>
            <w:tcW w:w="1531" w:type="dxa"/>
          </w:tcPr>
          <w:p w14:paraId="5F9EC464" w14:textId="77777777" w:rsidR="00F67E9E" w:rsidRPr="00A45727" w:rsidRDefault="00F67E9E" w:rsidP="007F74AA">
            <w:pPr>
              <w:pStyle w:val="Tabletext0"/>
              <w:widowControl/>
              <w:autoSpaceDE/>
              <w:autoSpaceDN/>
            </w:pPr>
          </w:p>
        </w:tc>
        <w:tc>
          <w:tcPr>
            <w:tcW w:w="1531" w:type="dxa"/>
          </w:tcPr>
          <w:p w14:paraId="68E10E23" w14:textId="77777777" w:rsidR="00F67E9E" w:rsidRPr="00A45727" w:rsidRDefault="00F67E9E" w:rsidP="007F74AA">
            <w:pPr>
              <w:pStyle w:val="Tabletext0"/>
              <w:widowControl/>
              <w:autoSpaceDE/>
              <w:autoSpaceDN/>
            </w:pPr>
          </w:p>
        </w:tc>
        <w:tc>
          <w:tcPr>
            <w:tcW w:w="3742" w:type="dxa"/>
          </w:tcPr>
          <w:p w14:paraId="1CE83E71" w14:textId="77777777" w:rsidR="00F67E9E" w:rsidRPr="00A45727" w:rsidRDefault="00F67E9E" w:rsidP="007F74AA">
            <w:pPr>
              <w:pStyle w:val="Tabletext0"/>
              <w:widowControl/>
              <w:autoSpaceDE/>
              <w:autoSpaceDN/>
            </w:pPr>
          </w:p>
        </w:tc>
        <w:tc>
          <w:tcPr>
            <w:tcW w:w="1814" w:type="dxa"/>
            <w:gridSpan w:val="2"/>
          </w:tcPr>
          <w:p w14:paraId="14B033D8" w14:textId="77777777" w:rsidR="00F67E9E" w:rsidRPr="00A45727" w:rsidRDefault="00F67E9E" w:rsidP="007F74AA">
            <w:pPr>
              <w:pStyle w:val="Tabletext0"/>
              <w:widowControl/>
              <w:autoSpaceDE/>
              <w:autoSpaceDN/>
            </w:pPr>
          </w:p>
        </w:tc>
      </w:tr>
      <w:tr w:rsidR="00F67E9E" w:rsidRPr="00025910" w14:paraId="3FCD8F23" w14:textId="77777777" w:rsidTr="007F74AA">
        <w:trPr>
          <w:trHeight w:val="680"/>
        </w:trPr>
        <w:tc>
          <w:tcPr>
            <w:tcW w:w="1417" w:type="dxa"/>
          </w:tcPr>
          <w:p w14:paraId="0D517F5D" w14:textId="77777777" w:rsidR="00F67E9E" w:rsidRPr="00A45727" w:rsidRDefault="00F67E9E" w:rsidP="007F74AA">
            <w:pPr>
              <w:pStyle w:val="Tabletext0"/>
              <w:widowControl/>
              <w:autoSpaceDE/>
              <w:autoSpaceDN/>
              <w:rPr>
                <w:b/>
                <w:bCs/>
              </w:rPr>
            </w:pPr>
            <w:r w:rsidRPr="00A45727">
              <w:rPr>
                <w:b/>
                <w:bCs/>
              </w:rPr>
              <w:t>Emp No</w:t>
            </w:r>
          </w:p>
        </w:tc>
        <w:tc>
          <w:tcPr>
            <w:tcW w:w="1701" w:type="dxa"/>
          </w:tcPr>
          <w:p w14:paraId="0A8FCCDC" w14:textId="77777777" w:rsidR="00F67E9E" w:rsidRPr="00A45727" w:rsidRDefault="00F67E9E" w:rsidP="007F74AA">
            <w:pPr>
              <w:pStyle w:val="Tabletext0"/>
              <w:widowControl/>
              <w:autoSpaceDE/>
              <w:autoSpaceDN/>
            </w:pPr>
          </w:p>
        </w:tc>
        <w:tc>
          <w:tcPr>
            <w:tcW w:w="1701" w:type="dxa"/>
          </w:tcPr>
          <w:p w14:paraId="49B2BEA1" w14:textId="77777777" w:rsidR="00F67E9E" w:rsidRPr="00A45727" w:rsidRDefault="00F67E9E" w:rsidP="007F74AA">
            <w:pPr>
              <w:pStyle w:val="Tabletext0"/>
              <w:widowControl/>
              <w:autoSpaceDE/>
              <w:autoSpaceDN/>
            </w:pPr>
          </w:p>
        </w:tc>
        <w:tc>
          <w:tcPr>
            <w:tcW w:w="1701" w:type="dxa"/>
          </w:tcPr>
          <w:p w14:paraId="694814DB" w14:textId="77777777" w:rsidR="00F67E9E" w:rsidRPr="00A45727" w:rsidRDefault="00F67E9E" w:rsidP="007F74AA">
            <w:pPr>
              <w:pStyle w:val="Tabletext0"/>
              <w:widowControl/>
              <w:autoSpaceDE/>
              <w:autoSpaceDN/>
            </w:pPr>
          </w:p>
        </w:tc>
        <w:tc>
          <w:tcPr>
            <w:tcW w:w="1531" w:type="dxa"/>
          </w:tcPr>
          <w:p w14:paraId="0D5504C1" w14:textId="77777777" w:rsidR="00F67E9E" w:rsidRPr="00A45727" w:rsidRDefault="00F67E9E" w:rsidP="007F74AA">
            <w:pPr>
              <w:pStyle w:val="Tabletext0"/>
              <w:widowControl/>
              <w:autoSpaceDE/>
              <w:autoSpaceDN/>
            </w:pPr>
          </w:p>
        </w:tc>
        <w:tc>
          <w:tcPr>
            <w:tcW w:w="1531" w:type="dxa"/>
          </w:tcPr>
          <w:p w14:paraId="11A428DF" w14:textId="77777777" w:rsidR="00F67E9E" w:rsidRPr="00A45727" w:rsidRDefault="00F67E9E" w:rsidP="007F74AA">
            <w:pPr>
              <w:pStyle w:val="Tabletext0"/>
              <w:widowControl/>
              <w:autoSpaceDE/>
              <w:autoSpaceDN/>
            </w:pPr>
          </w:p>
        </w:tc>
        <w:tc>
          <w:tcPr>
            <w:tcW w:w="3742" w:type="dxa"/>
          </w:tcPr>
          <w:p w14:paraId="61C0B4CC" w14:textId="77777777" w:rsidR="00F67E9E" w:rsidRPr="00A45727" w:rsidRDefault="00F67E9E" w:rsidP="007F74AA">
            <w:pPr>
              <w:pStyle w:val="Tabletext0"/>
              <w:widowControl/>
              <w:autoSpaceDE/>
              <w:autoSpaceDN/>
            </w:pPr>
          </w:p>
        </w:tc>
        <w:tc>
          <w:tcPr>
            <w:tcW w:w="1814" w:type="dxa"/>
            <w:gridSpan w:val="2"/>
          </w:tcPr>
          <w:p w14:paraId="38E4E262" w14:textId="77777777" w:rsidR="00F67E9E" w:rsidRPr="00A45727" w:rsidRDefault="00F67E9E" w:rsidP="007F74AA">
            <w:pPr>
              <w:pStyle w:val="Tabletext0"/>
              <w:widowControl/>
              <w:autoSpaceDE/>
              <w:autoSpaceDN/>
            </w:pPr>
          </w:p>
        </w:tc>
      </w:tr>
      <w:tr w:rsidR="00F67E9E" w:rsidRPr="00025910" w14:paraId="3C7FC604" w14:textId="77777777" w:rsidTr="007F74AA">
        <w:trPr>
          <w:trHeight w:val="680"/>
        </w:trPr>
        <w:tc>
          <w:tcPr>
            <w:tcW w:w="1417" w:type="dxa"/>
          </w:tcPr>
          <w:p w14:paraId="4BF8FAC5" w14:textId="77777777" w:rsidR="00F67E9E" w:rsidRPr="00A45727" w:rsidRDefault="00F67E9E" w:rsidP="007F74AA">
            <w:pPr>
              <w:pStyle w:val="Tabletext0"/>
              <w:widowControl/>
              <w:autoSpaceDE/>
              <w:autoSpaceDN/>
              <w:rPr>
                <w:b/>
                <w:bCs/>
              </w:rPr>
            </w:pPr>
            <w:r w:rsidRPr="00A45727">
              <w:rPr>
                <w:b/>
                <w:bCs/>
              </w:rPr>
              <w:t>Emp No</w:t>
            </w:r>
          </w:p>
        </w:tc>
        <w:tc>
          <w:tcPr>
            <w:tcW w:w="1701" w:type="dxa"/>
          </w:tcPr>
          <w:p w14:paraId="29B9353A" w14:textId="77777777" w:rsidR="00F67E9E" w:rsidRPr="00A45727" w:rsidRDefault="00F67E9E" w:rsidP="007F74AA">
            <w:pPr>
              <w:pStyle w:val="Tabletext0"/>
              <w:widowControl/>
              <w:autoSpaceDE/>
              <w:autoSpaceDN/>
            </w:pPr>
          </w:p>
        </w:tc>
        <w:tc>
          <w:tcPr>
            <w:tcW w:w="1701" w:type="dxa"/>
          </w:tcPr>
          <w:p w14:paraId="413BCDDC" w14:textId="77777777" w:rsidR="00F67E9E" w:rsidRPr="00A45727" w:rsidRDefault="00F67E9E" w:rsidP="007F74AA">
            <w:pPr>
              <w:pStyle w:val="Tabletext0"/>
              <w:widowControl/>
              <w:autoSpaceDE/>
              <w:autoSpaceDN/>
            </w:pPr>
          </w:p>
        </w:tc>
        <w:tc>
          <w:tcPr>
            <w:tcW w:w="1701" w:type="dxa"/>
          </w:tcPr>
          <w:p w14:paraId="2E5537F5" w14:textId="77777777" w:rsidR="00F67E9E" w:rsidRPr="00A45727" w:rsidRDefault="00F67E9E" w:rsidP="007F74AA">
            <w:pPr>
              <w:pStyle w:val="Tabletext0"/>
              <w:widowControl/>
              <w:autoSpaceDE/>
              <w:autoSpaceDN/>
            </w:pPr>
          </w:p>
        </w:tc>
        <w:tc>
          <w:tcPr>
            <w:tcW w:w="1531" w:type="dxa"/>
          </w:tcPr>
          <w:p w14:paraId="16506CFA" w14:textId="77777777" w:rsidR="00F67E9E" w:rsidRPr="00A45727" w:rsidRDefault="00F67E9E" w:rsidP="007F74AA">
            <w:pPr>
              <w:pStyle w:val="Tabletext0"/>
              <w:widowControl/>
              <w:autoSpaceDE/>
              <w:autoSpaceDN/>
            </w:pPr>
          </w:p>
        </w:tc>
        <w:tc>
          <w:tcPr>
            <w:tcW w:w="1531" w:type="dxa"/>
          </w:tcPr>
          <w:p w14:paraId="2671646D" w14:textId="77777777" w:rsidR="00F67E9E" w:rsidRPr="00A45727" w:rsidRDefault="00F67E9E" w:rsidP="007F74AA">
            <w:pPr>
              <w:pStyle w:val="Tabletext0"/>
              <w:widowControl/>
              <w:autoSpaceDE/>
              <w:autoSpaceDN/>
            </w:pPr>
          </w:p>
        </w:tc>
        <w:tc>
          <w:tcPr>
            <w:tcW w:w="3742" w:type="dxa"/>
          </w:tcPr>
          <w:p w14:paraId="67266683" w14:textId="77777777" w:rsidR="00F67E9E" w:rsidRPr="00A45727" w:rsidRDefault="00F67E9E" w:rsidP="007F74AA">
            <w:pPr>
              <w:pStyle w:val="Tabletext0"/>
              <w:widowControl/>
              <w:autoSpaceDE/>
              <w:autoSpaceDN/>
            </w:pPr>
          </w:p>
        </w:tc>
        <w:tc>
          <w:tcPr>
            <w:tcW w:w="1814" w:type="dxa"/>
            <w:gridSpan w:val="2"/>
          </w:tcPr>
          <w:p w14:paraId="4737A347" w14:textId="77777777" w:rsidR="00F67E9E" w:rsidRPr="00A45727" w:rsidRDefault="00F67E9E" w:rsidP="007F74AA">
            <w:pPr>
              <w:pStyle w:val="Tabletext0"/>
              <w:widowControl/>
              <w:autoSpaceDE/>
              <w:autoSpaceDN/>
            </w:pPr>
          </w:p>
        </w:tc>
      </w:tr>
      <w:tr w:rsidR="00F67E9E" w:rsidRPr="00025910" w14:paraId="5FF9A67B" w14:textId="77777777" w:rsidTr="007F74AA">
        <w:trPr>
          <w:trHeight w:val="680"/>
        </w:trPr>
        <w:tc>
          <w:tcPr>
            <w:tcW w:w="1417" w:type="dxa"/>
          </w:tcPr>
          <w:p w14:paraId="0CDC5E86" w14:textId="77777777" w:rsidR="00F67E9E" w:rsidRPr="00A45727" w:rsidRDefault="00F67E9E" w:rsidP="007F74AA">
            <w:pPr>
              <w:pStyle w:val="Tabletext0"/>
              <w:widowControl/>
              <w:autoSpaceDE/>
              <w:autoSpaceDN/>
              <w:rPr>
                <w:b/>
                <w:bCs/>
              </w:rPr>
            </w:pPr>
            <w:r w:rsidRPr="00A45727">
              <w:rPr>
                <w:b/>
                <w:bCs/>
              </w:rPr>
              <w:t>Emp No</w:t>
            </w:r>
          </w:p>
        </w:tc>
        <w:tc>
          <w:tcPr>
            <w:tcW w:w="1701" w:type="dxa"/>
          </w:tcPr>
          <w:p w14:paraId="7D22F0B3" w14:textId="77777777" w:rsidR="00F67E9E" w:rsidRPr="00A45727" w:rsidRDefault="00F67E9E" w:rsidP="007F74AA">
            <w:pPr>
              <w:pStyle w:val="Tabletext0"/>
              <w:widowControl/>
              <w:autoSpaceDE/>
              <w:autoSpaceDN/>
            </w:pPr>
          </w:p>
        </w:tc>
        <w:tc>
          <w:tcPr>
            <w:tcW w:w="1701" w:type="dxa"/>
          </w:tcPr>
          <w:p w14:paraId="407901CE" w14:textId="77777777" w:rsidR="00F67E9E" w:rsidRPr="00A45727" w:rsidRDefault="00F67E9E" w:rsidP="007F74AA">
            <w:pPr>
              <w:pStyle w:val="Tabletext0"/>
              <w:widowControl/>
              <w:autoSpaceDE/>
              <w:autoSpaceDN/>
            </w:pPr>
          </w:p>
        </w:tc>
        <w:tc>
          <w:tcPr>
            <w:tcW w:w="1701" w:type="dxa"/>
          </w:tcPr>
          <w:p w14:paraId="7D47228F" w14:textId="77777777" w:rsidR="00F67E9E" w:rsidRPr="00A45727" w:rsidRDefault="00F67E9E" w:rsidP="007F74AA">
            <w:pPr>
              <w:pStyle w:val="Tabletext0"/>
              <w:widowControl/>
              <w:autoSpaceDE/>
              <w:autoSpaceDN/>
            </w:pPr>
          </w:p>
        </w:tc>
        <w:tc>
          <w:tcPr>
            <w:tcW w:w="1531" w:type="dxa"/>
          </w:tcPr>
          <w:p w14:paraId="2D05C947" w14:textId="77777777" w:rsidR="00F67E9E" w:rsidRPr="00A45727" w:rsidRDefault="00F67E9E" w:rsidP="007F74AA">
            <w:pPr>
              <w:pStyle w:val="Tabletext0"/>
              <w:widowControl/>
              <w:autoSpaceDE/>
              <w:autoSpaceDN/>
            </w:pPr>
          </w:p>
        </w:tc>
        <w:tc>
          <w:tcPr>
            <w:tcW w:w="1531" w:type="dxa"/>
          </w:tcPr>
          <w:p w14:paraId="5207700D" w14:textId="77777777" w:rsidR="00F67E9E" w:rsidRPr="00A45727" w:rsidRDefault="00F67E9E" w:rsidP="007F74AA">
            <w:pPr>
              <w:pStyle w:val="Tabletext0"/>
              <w:widowControl/>
              <w:autoSpaceDE/>
              <w:autoSpaceDN/>
            </w:pPr>
          </w:p>
        </w:tc>
        <w:tc>
          <w:tcPr>
            <w:tcW w:w="3742" w:type="dxa"/>
          </w:tcPr>
          <w:p w14:paraId="0262729A" w14:textId="77777777" w:rsidR="00F67E9E" w:rsidRPr="00A45727" w:rsidRDefault="00F67E9E" w:rsidP="007F74AA">
            <w:pPr>
              <w:pStyle w:val="Tabletext0"/>
              <w:widowControl/>
              <w:autoSpaceDE/>
              <w:autoSpaceDN/>
            </w:pPr>
          </w:p>
        </w:tc>
        <w:tc>
          <w:tcPr>
            <w:tcW w:w="1814" w:type="dxa"/>
            <w:gridSpan w:val="2"/>
          </w:tcPr>
          <w:p w14:paraId="15D32330" w14:textId="77777777" w:rsidR="00F67E9E" w:rsidRPr="00A45727" w:rsidRDefault="00F67E9E" w:rsidP="007F74AA">
            <w:pPr>
              <w:pStyle w:val="Tabletext0"/>
              <w:widowControl/>
              <w:autoSpaceDE/>
              <w:autoSpaceDN/>
            </w:pPr>
          </w:p>
        </w:tc>
      </w:tr>
      <w:tr w:rsidR="00F67E9E" w:rsidRPr="00025910" w14:paraId="739798E6" w14:textId="77777777" w:rsidTr="007F74AA">
        <w:trPr>
          <w:trHeight w:val="680"/>
        </w:trPr>
        <w:tc>
          <w:tcPr>
            <w:tcW w:w="1417" w:type="dxa"/>
          </w:tcPr>
          <w:p w14:paraId="07749674" w14:textId="77777777" w:rsidR="00F67E9E" w:rsidRPr="00A45727" w:rsidRDefault="00F67E9E" w:rsidP="007F74AA">
            <w:pPr>
              <w:pStyle w:val="Tabletext0"/>
              <w:widowControl/>
              <w:autoSpaceDE/>
              <w:autoSpaceDN/>
              <w:rPr>
                <w:b/>
                <w:bCs/>
              </w:rPr>
            </w:pPr>
            <w:r w:rsidRPr="00A45727">
              <w:rPr>
                <w:b/>
                <w:bCs/>
              </w:rPr>
              <w:t>Emp No</w:t>
            </w:r>
          </w:p>
        </w:tc>
        <w:tc>
          <w:tcPr>
            <w:tcW w:w="1701" w:type="dxa"/>
          </w:tcPr>
          <w:p w14:paraId="1EBC847C" w14:textId="77777777" w:rsidR="00F67E9E" w:rsidRPr="00A45727" w:rsidRDefault="00F67E9E" w:rsidP="007F74AA">
            <w:pPr>
              <w:pStyle w:val="Tabletext0"/>
              <w:widowControl/>
              <w:autoSpaceDE/>
              <w:autoSpaceDN/>
            </w:pPr>
          </w:p>
        </w:tc>
        <w:tc>
          <w:tcPr>
            <w:tcW w:w="1701" w:type="dxa"/>
          </w:tcPr>
          <w:p w14:paraId="41334032" w14:textId="77777777" w:rsidR="00F67E9E" w:rsidRPr="00A45727" w:rsidRDefault="00F67E9E" w:rsidP="007F74AA">
            <w:pPr>
              <w:pStyle w:val="Tabletext0"/>
              <w:widowControl/>
              <w:autoSpaceDE/>
              <w:autoSpaceDN/>
            </w:pPr>
          </w:p>
        </w:tc>
        <w:tc>
          <w:tcPr>
            <w:tcW w:w="1701" w:type="dxa"/>
          </w:tcPr>
          <w:p w14:paraId="66328C03" w14:textId="77777777" w:rsidR="00F67E9E" w:rsidRPr="00A45727" w:rsidRDefault="00F67E9E" w:rsidP="007F74AA">
            <w:pPr>
              <w:pStyle w:val="Tabletext0"/>
              <w:widowControl/>
              <w:autoSpaceDE/>
              <w:autoSpaceDN/>
            </w:pPr>
          </w:p>
        </w:tc>
        <w:tc>
          <w:tcPr>
            <w:tcW w:w="1531" w:type="dxa"/>
          </w:tcPr>
          <w:p w14:paraId="3C3244BA" w14:textId="77777777" w:rsidR="00F67E9E" w:rsidRPr="00A45727" w:rsidRDefault="00F67E9E" w:rsidP="007F74AA">
            <w:pPr>
              <w:pStyle w:val="Tabletext0"/>
              <w:widowControl/>
              <w:autoSpaceDE/>
              <w:autoSpaceDN/>
            </w:pPr>
          </w:p>
        </w:tc>
        <w:tc>
          <w:tcPr>
            <w:tcW w:w="1531" w:type="dxa"/>
          </w:tcPr>
          <w:p w14:paraId="6F837426" w14:textId="77777777" w:rsidR="00F67E9E" w:rsidRPr="00A45727" w:rsidRDefault="00F67E9E" w:rsidP="007F74AA">
            <w:pPr>
              <w:pStyle w:val="Tabletext0"/>
              <w:widowControl/>
              <w:autoSpaceDE/>
              <w:autoSpaceDN/>
            </w:pPr>
          </w:p>
        </w:tc>
        <w:tc>
          <w:tcPr>
            <w:tcW w:w="3742" w:type="dxa"/>
          </w:tcPr>
          <w:p w14:paraId="210BDB2E" w14:textId="77777777" w:rsidR="00F67E9E" w:rsidRPr="00A45727" w:rsidRDefault="00F67E9E" w:rsidP="007F74AA">
            <w:pPr>
              <w:pStyle w:val="Tabletext0"/>
              <w:widowControl/>
              <w:autoSpaceDE/>
              <w:autoSpaceDN/>
            </w:pPr>
          </w:p>
        </w:tc>
        <w:tc>
          <w:tcPr>
            <w:tcW w:w="1814" w:type="dxa"/>
            <w:gridSpan w:val="2"/>
          </w:tcPr>
          <w:p w14:paraId="5EE43379" w14:textId="77777777" w:rsidR="00F67E9E" w:rsidRPr="00A45727" w:rsidRDefault="00F67E9E" w:rsidP="007F74AA">
            <w:pPr>
              <w:pStyle w:val="Tabletext0"/>
              <w:widowControl/>
              <w:autoSpaceDE/>
              <w:autoSpaceDN/>
            </w:pPr>
          </w:p>
        </w:tc>
      </w:tr>
      <w:tr w:rsidR="00F67E9E" w:rsidRPr="00025910" w14:paraId="55DE9F87" w14:textId="77777777" w:rsidTr="007F74AA">
        <w:trPr>
          <w:trHeight w:val="680"/>
        </w:trPr>
        <w:tc>
          <w:tcPr>
            <w:tcW w:w="1417" w:type="dxa"/>
          </w:tcPr>
          <w:p w14:paraId="19D197A2" w14:textId="77777777" w:rsidR="00F67E9E" w:rsidRPr="00A45727" w:rsidRDefault="00F67E9E" w:rsidP="007F74AA">
            <w:pPr>
              <w:pStyle w:val="Tabletext0"/>
              <w:widowControl/>
              <w:autoSpaceDE/>
              <w:autoSpaceDN/>
              <w:rPr>
                <w:b/>
                <w:bCs/>
              </w:rPr>
            </w:pPr>
            <w:r w:rsidRPr="00A45727">
              <w:rPr>
                <w:b/>
                <w:bCs/>
              </w:rPr>
              <w:t>Emp No</w:t>
            </w:r>
          </w:p>
        </w:tc>
        <w:tc>
          <w:tcPr>
            <w:tcW w:w="1701" w:type="dxa"/>
          </w:tcPr>
          <w:p w14:paraId="18B2E0DE" w14:textId="77777777" w:rsidR="00F67E9E" w:rsidRPr="00A45727" w:rsidRDefault="00F67E9E" w:rsidP="007F74AA">
            <w:pPr>
              <w:pStyle w:val="Tabletext0"/>
              <w:widowControl/>
              <w:autoSpaceDE/>
              <w:autoSpaceDN/>
            </w:pPr>
          </w:p>
        </w:tc>
        <w:tc>
          <w:tcPr>
            <w:tcW w:w="1701" w:type="dxa"/>
          </w:tcPr>
          <w:p w14:paraId="21697546" w14:textId="77777777" w:rsidR="00F67E9E" w:rsidRPr="00A45727" w:rsidRDefault="00F67E9E" w:rsidP="007F74AA">
            <w:pPr>
              <w:pStyle w:val="Tabletext0"/>
              <w:widowControl/>
              <w:autoSpaceDE/>
              <w:autoSpaceDN/>
            </w:pPr>
          </w:p>
        </w:tc>
        <w:tc>
          <w:tcPr>
            <w:tcW w:w="1701" w:type="dxa"/>
          </w:tcPr>
          <w:p w14:paraId="65C4C2FD" w14:textId="77777777" w:rsidR="00F67E9E" w:rsidRPr="00A45727" w:rsidRDefault="00F67E9E" w:rsidP="007F74AA">
            <w:pPr>
              <w:pStyle w:val="Tabletext0"/>
              <w:widowControl/>
              <w:autoSpaceDE/>
              <w:autoSpaceDN/>
            </w:pPr>
          </w:p>
        </w:tc>
        <w:tc>
          <w:tcPr>
            <w:tcW w:w="1531" w:type="dxa"/>
          </w:tcPr>
          <w:p w14:paraId="48794577" w14:textId="77777777" w:rsidR="00F67E9E" w:rsidRPr="00A45727" w:rsidRDefault="00F67E9E" w:rsidP="007F74AA">
            <w:pPr>
              <w:pStyle w:val="Tabletext0"/>
              <w:widowControl/>
              <w:autoSpaceDE/>
              <w:autoSpaceDN/>
            </w:pPr>
          </w:p>
        </w:tc>
        <w:tc>
          <w:tcPr>
            <w:tcW w:w="1531" w:type="dxa"/>
          </w:tcPr>
          <w:p w14:paraId="6F6AD319" w14:textId="77777777" w:rsidR="00F67E9E" w:rsidRPr="00A45727" w:rsidRDefault="00F67E9E" w:rsidP="007F74AA">
            <w:pPr>
              <w:pStyle w:val="Tabletext0"/>
              <w:widowControl/>
              <w:autoSpaceDE/>
              <w:autoSpaceDN/>
            </w:pPr>
          </w:p>
        </w:tc>
        <w:tc>
          <w:tcPr>
            <w:tcW w:w="3742" w:type="dxa"/>
          </w:tcPr>
          <w:p w14:paraId="7031635C" w14:textId="77777777" w:rsidR="00F67E9E" w:rsidRPr="00A45727" w:rsidRDefault="00F67E9E" w:rsidP="007F74AA">
            <w:pPr>
              <w:pStyle w:val="Tabletext0"/>
              <w:widowControl/>
              <w:autoSpaceDE/>
              <w:autoSpaceDN/>
            </w:pPr>
          </w:p>
        </w:tc>
        <w:tc>
          <w:tcPr>
            <w:tcW w:w="1814" w:type="dxa"/>
            <w:gridSpan w:val="2"/>
          </w:tcPr>
          <w:p w14:paraId="31BDB53C" w14:textId="77777777" w:rsidR="00F67E9E" w:rsidRPr="00A45727" w:rsidRDefault="00F67E9E" w:rsidP="007F74AA">
            <w:pPr>
              <w:pStyle w:val="Tabletext0"/>
              <w:widowControl/>
              <w:autoSpaceDE/>
              <w:autoSpaceDN/>
            </w:pPr>
          </w:p>
        </w:tc>
      </w:tr>
    </w:tbl>
    <w:p w14:paraId="589AEAFD" w14:textId="77777777" w:rsidR="00F67E9E" w:rsidRDefault="00F67E9E" w:rsidP="00F67E9E"/>
    <w:p w14:paraId="4A35C9CC" w14:textId="77777777" w:rsidR="00F67E9E" w:rsidRPr="00025910" w:rsidRDefault="00F67E9E" w:rsidP="00F67E9E">
      <w:r w:rsidRPr="00025910">
        <w:br w:type="page"/>
      </w:r>
    </w:p>
    <w:tbl>
      <w:tblPr>
        <w:tblStyle w:val="MSATable-header"/>
        <w:tblW w:w="15140" w:type="dxa"/>
        <w:tblLook w:val="0620" w:firstRow="1" w:lastRow="0" w:firstColumn="0" w:lastColumn="0" w:noHBand="1" w:noVBand="1"/>
      </w:tblPr>
      <w:tblGrid>
        <w:gridCol w:w="1418"/>
        <w:gridCol w:w="2496"/>
        <w:gridCol w:w="1247"/>
        <w:gridCol w:w="1587"/>
        <w:gridCol w:w="3062"/>
        <w:gridCol w:w="1191"/>
        <w:gridCol w:w="1474"/>
        <w:gridCol w:w="1417"/>
        <w:gridCol w:w="1248"/>
      </w:tblGrid>
      <w:tr w:rsidR="00F67E9E" w:rsidRPr="00025910" w14:paraId="56B86E5F" w14:textId="77777777" w:rsidTr="007F74AA">
        <w:trPr>
          <w:cnfStyle w:val="100000000000" w:firstRow="1" w:lastRow="0" w:firstColumn="0" w:lastColumn="0" w:oddVBand="0" w:evenVBand="0" w:oddHBand="0" w:evenHBand="0" w:firstRowFirstColumn="0" w:firstRowLastColumn="0" w:lastRowFirstColumn="0" w:lastRowLastColumn="0"/>
          <w:tblHeader/>
        </w:trPr>
        <w:tc>
          <w:tcPr>
            <w:tcW w:w="1417" w:type="dxa"/>
            <w:tcBorders>
              <w:top w:val="nil"/>
              <w:left w:val="nil"/>
            </w:tcBorders>
            <w:shd w:val="clear" w:color="auto" w:fill="auto"/>
          </w:tcPr>
          <w:p w14:paraId="0C8B6171" w14:textId="77777777" w:rsidR="00F67E9E" w:rsidRPr="00A45727" w:rsidRDefault="00F67E9E" w:rsidP="007F74AA">
            <w:pPr>
              <w:pStyle w:val="Tabletext0"/>
              <w:widowControl/>
              <w:autoSpaceDE/>
              <w:autoSpaceDN/>
            </w:pPr>
          </w:p>
        </w:tc>
        <w:tc>
          <w:tcPr>
            <w:tcW w:w="2494" w:type="dxa"/>
          </w:tcPr>
          <w:p w14:paraId="5A25E6B8" w14:textId="77777777" w:rsidR="00F67E9E" w:rsidRPr="00A45727" w:rsidRDefault="00F67E9E" w:rsidP="007F74AA">
            <w:pPr>
              <w:pStyle w:val="Tabletext0"/>
              <w:widowControl/>
              <w:autoSpaceDE/>
              <w:autoSpaceDN/>
            </w:pPr>
            <w:r w:rsidRPr="00A45727">
              <w:t>ASSIGNMENT</w:t>
            </w:r>
          </w:p>
        </w:tc>
        <w:tc>
          <w:tcPr>
            <w:tcW w:w="11225" w:type="dxa"/>
            <w:gridSpan w:val="7"/>
          </w:tcPr>
          <w:p w14:paraId="7B11034C" w14:textId="77777777" w:rsidR="00F67E9E" w:rsidRPr="00A45727" w:rsidRDefault="00F67E9E" w:rsidP="007F74AA">
            <w:pPr>
              <w:pStyle w:val="Tabletext0"/>
              <w:widowControl/>
              <w:autoSpaceDE/>
              <w:autoSpaceDN/>
            </w:pPr>
            <w:r w:rsidRPr="00A45727">
              <w:t>CONTRACTUAL PAY AND BENEFITS</w:t>
            </w:r>
          </w:p>
        </w:tc>
      </w:tr>
      <w:tr w:rsidR="00F67E9E" w:rsidRPr="00025910" w14:paraId="765655D2" w14:textId="77777777" w:rsidTr="007F74AA">
        <w:trPr>
          <w:cnfStyle w:val="100000000000" w:firstRow="1" w:lastRow="0" w:firstColumn="0" w:lastColumn="0" w:oddVBand="0" w:evenVBand="0" w:oddHBand="0" w:evenHBand="0" w:firstRowFirstColumn="0" w:firstRowLastColumn="0" w:lastRowFirstColumn="0" w:lastRowLastColumn="0"/>
          <w:tblHeader/>
        </w:trPr>
        <w:tc>
          <w:tcPr>
            <w:tcW w:w="1417" w:type="dxa"/>
          </w:tcPr>
          <w:p w14:paraId="7C6F24C6" w14:textId="77777777" w:rsidR="00F67E9E" w:rsidRPr="00A45727" w:rsidRDefault="00F67E9E" w:rsidP="007F74AA">
            <w:pPr>
              <w:pStyle w:val="Tabletext0"/>
              <w:widowControl/>
              <w:autoSpaceDE/>
              <w:autoSpaceDN/>
            </w:pPr>
            <w:r w:rsidRPr="00A45727">
              <w:t>Details</w:t>
            </w:r>
          </w:p>
        </w:tc>
        <w:tc>
          <w:tcPr>
            <w:tcW w:w="2494" w:type="dxa"/>
          </w:tcPr>
          <w:p w14:paraId="4EE2C035" w14:textId="77777777" w:rsidR="00F67E9E" w:rsidRPr="00A45727" w:rsidRDefault="00F67E9E" w:rsidP="007F74AA">
            <w:pPr>
              <w:pStyle w:val="Tabletext0"/>
              <w:widowControl/>
              <w:autoSpaceDE/>
              <w:autoSpaceDN/>
            </w:pPr>
            <w:r w:rsidRPr="00A45727">
              <w:t>% of working time dedicated to the provision of services under the contract</w:t>
            </w:r>
          </w:p>
        </w:tc>
        <w:tc>
          <w:tcPr>
            <w:tcW w:w="1247" w:type="dxa"/>
          </w:tcPr>
          <w:p w14:paraId="6BF489E4" w14:textId="77777777" w:rsidR="00F67E9E" w:rsidRPr="00A45727" w:rsidRDefault="00F67E9E" w:rsidP="007F74AA">
            <w:pPr>
              <w:pStyle w:val="Tabletext0"/>
              <w:widowControl/>
              <w:autoSpaceDE/>
              <w:autoSpaceDN/>
            </w:pPr>
            <w:r w:rsidRPr="00A45727">
              <w:t>Salary (or hourly rate of pay)</w:t>
            </w:r>
          </w:p>
        </w:tc>
        <w:tc>
          <w:tcPr>
            <w:tcW w:w="1587" w:type="dxa"/>
          </w:tcPr>
          <w:p w14:paraId="1F5AEB76" w14:textId="77777777" w:rsidR="00F67E9E" w:rsidRPr="00A45727" w:rsidRDefault="00F67E9E" w:rsidP="007F74AA">
            <w:pPr>
              <w:pStyle w:val="Tabletext0"/>
              <w:widowControl/>
              <w:autoSpaceDE/>
              <w:autoSpaceDN/>
            </w:pPr>
            <w:r w:rsidRPr="00A45727">
              <w:t>Payment interval (weekly / fortnightly / monthly)</w:t>
            </w:r>
          </w:p>
        </w:tc>
        <w:tc>
          <w:tcPr>
            <w:tcW w:w="3061" w:type="dxa"/>
          </w:tcPr>
          <w:p w14:paraId="7E07DC9D" w14:textId="77777777" w:rsidR="00F67E9E" w:rsidRPr="00A45727" w:rsidRDefault="00F67E9E" w:rsidP="007F74AA">
            <w:pPr>
              <w:pStyle w:val="Tabletext0"/>
              <w:widowControl/>
              <w:autoSpaceDE/>
              <w:autoSpaceDN/>
            </w:pPr>
            <w:r w:rsidRPr="00A45727">
              <w:t>Bonus payment for previous 12 months (please specify whether contractual or discretionary entitlement)</w:t>
            </w:r>
          </w:p>
        </w:tc>
        <w:tc>
          <w:tcPr>
            <w:tcW w:w="1191" w:type="dxa"/>
          </w:tcPr>
          <w:p w14:paraId="0EA76F92" w14:textId="77777777" w:rsidR="00F67E9E" w:rsidRPr="00A45727" w:rsidRDefault="00F67E9E" w:rsidP="007F74AA">
            <w:pPr>
              <w:pStyle w:val="Tabletext0"/>
              <w:widowControl/>
              <w:autoSpaceDE/>
              <w:autoSpaceDN/>
            </w:pPr>
            <w:r w:rsidRPr="00A45727">
              <w:t>Pay review method</w:t>
            </w:r>
          </w:p>
        </w:tc>
        <w:tc>
          <w:tcPr>
            <w:tcW w:w="1474" w:type="dxa"/>
          </w:tcPr>
          <w:p w14:paraId="486FE352" w14:textId="77777777" w:rsidR="00F67E9E" w:rsidRPr="00A45727" w:rsidRDefault="00F67E9E" w:rsidP="007F74AA">
            <w:pPr>
              <w:pStyle w:val="Tabletext0"/>
              <w:widowControl/>
              <w:autoSpaceDE/>
              <w:autoSpaceDN/>
            </w:pPr>
            <w:r w:rsidRPr="00A45727">
              <w:t>Frequency of pay reviews</w:t>
            </w:r>
          </w:p>
        </w:tc>
        <w:tc>
          <w:tcPr>
            <w:tcW w:w="1417" w:type="dxa"/>
          </w:tcPr>
          <w:p w14:paraId="07708BDF" w14:textId="77777777" w:rsidR="00F67E9E" w:rsidRPr="00A45727" w:rsidRDefault="00F67E9E" w:rsidP="007F74AA">
            <w:pPr>
              <w:pStyle w:val="Tabletext0"/>
              <w:widowControl/>
              <w:autoSpaceDE/>
              <w:autoSpaceDN/>
            </w:pPr>
            <w:r w:rsidRPr="00A45727">
              <w:t>Agreed pay increases</w:t>
            </w:r>
          </w:p>
        </w:tc>
        <w:tc>
          <w:tcPr>
            <w:tcW w:w="1247" w:type="dxa"/>
          </w:tcPr>
          <w:p w14:paraId="03B29DA4" w14:textId="77777777" w:rsidR="00F67E9E" w:rsidRPr="00A45727" w:rsidRDefault="00F67E9E" w:rsidP="007F74AA">
            <w:pPr>
              <w:pStyle w:val="Tabletext0"/>
              <w:widowControl/>
              <w:autoSpaceDE/>
              <w:autoSpaceDN/>
            </w:pPr>
            <w:r w:rsidRPr="00A45727">
              <w:t>Next pay review date</w:t>
            </w:r>
          </w:p>
        </w:tc>
      </w:tr>
      <w:tr w:rsidR="00F67E9E" w:rsidRPr="00025910" w14:paraId="412615DA" w14:textId="77777777" w:rsidTr="007F74AA">
        <w:trPr>
          <w:trHeight w:val="680"/>
        </w:trPr>
        <w:tc>
          <w:tcPr>
            <w:tcW w:w="1417" w:type="dxa"/>
          </w:tcPr>
          <w:p w14:paraId="692750CC" w14:textId="77777777" w:rsidR="00F67E9E" w:rsidRPr="00A45727" w:rsidRDefault="00F67E9E" w:rsidP="007F74AA">
            <w:pPr>
              <w:pStyle w:val="Tabletext0"/>
              <w:widowControl/>
              <w:autoSpaceDE/>
              <w:autoSpaceDN/>
              <w:rPr>
                <w:b/>
                <w:bCs/>
              </w:rPr>
            </w:pPr>
            <w:r w:rsidRPr="00A45727">
              <w:rPr>
                <w:b/>
                <w:bCs/>
              </w:rPr>
              <w:t>Emp No 1</w:t>
            </w:r>
          </w:p>
        </w:tc>
        <w:tc>
          <w:tcPr>
            <w:tcW w:w="2494" w:type="dxa"/>
          </w:tcPr>
          <w:p w14:paraId="24539786" w14:textId="77777777" w:rsidR="00F67E9E" w:rsidRPr="00A45727" w:rsidRDefault="00F67E9E" w:rsidP="007F74AA">
            <w:pPr>
              <w:pStyle w:val="Tabletext0"/>
              <w:widowControl/>
              <w:autoSpaceDE/>
              <w:autoSpaceDN/>
            </w:pPr>
          </w:p>
        </w:tc>
        <w:tc>
          <w:tcPr>
            <w:tcW w:w="1247" w:type="dxa"/>
          </w:tcPr>
          <w:p w14:paraId="35E8BB5C" w14:textId="77777777" w:rsidR="00F67E9E" w:rsidRPr="00A45727" w:rsidRDefault="00F67E9E" w:rsidP="007F74AA">
            <w:pPr>
              <w:pStyle w:val="Tabletext0"/>
              <w:widowControl/>
              <w:autoSpaceDE/>
              <w:autoSpaceDN/>
            </w:pPr>
          </w:p>
        </w:tc>
        <w:tc>
          <w:tcPr>
            <w:tcW w:w="1587" w:type="dxa"/>
          </w:tcPr>
          <w:p w14:paraId="3C687D6E" w14:textId="77777777" w:rsidR="00F67E9E" w:rsidRPr="00A45727" w:rsidRDefault="00F67E9E" w:rsidP="007F74AA">
            <w:pPr>
              <w:pStyle w:val="Tabletext0"/>
              <w:widowControl/>
              <w:autoSpaceDE/>
              <w:autoSpaceDN/>
            </w:pPr>
          </w:p>
        </w:tc>
        <w:tc>
          <w:tcPr>
            <w:tcW w:w="3061" w:type="dxa"/>
          </w:tcPr>
          <w:p w14:paraId="0FA0C9F8" w14:textId="77777777" w:rsidR="00F67E9E" w:rsidRPr="00A45727" w:rsidRDefault="00F67E9E" w:rsidP="007F74AA">
            <w:pPr>
              <w:pStyle w:val="Tabletext0"/>
              <w:widowControl/>
              <w:autoSpaceDE/>
              <w:autoSpaceDN/>
            </w:pPr>
          </w:p>
        </w:tc>
        <w:tc>
          <w:tcPr>
            <w:tcW w:w="1191" w:type="dxa"/>
          </w:tcPr>
          <w:p w14:paraId="2670DCE0" w14:textId="77777777" w:rsidR="00F67E9E" w:rsidRPr="00A45727" w:rsidRDefault="00F67E9E" w:rsidP="007F74AA">
            <w:pPr>
              <w:pStyle w:val="Tabletext0"/>
              <w:widowControl/>
              <w:autoSpaceDE/>
              <w:autoSpaceDN/>
            </w:pPr>
          </w:p>
        </w:tc>
        <w:tc>
          <w:tcPr>
            <w:tcW w:w="1474" w:type="dxa"/>
          </w:tcPr>
          <w:p w14:paraId="52D6568A" w14:textId="77777777" w:rsidR="00F67E9E" w:rsidRPr="00A45727" w:rsidRDefault="00F67E9E" w:rsidP="007F74AA">
            <w:pPr>
              <w:pStyle w:val="Tabletext0"/>
              <w:widowControl/>
              <w:autoSpaceDE/>
              <w:autoSpaceDN/>
            </w:pPr>
          </w:p>
        </w:tc>
        <w:tc>
          <w:tcPr>
            <w:tcW w:w="1417" w:type="dxa"/>
          </w:tcPr>
          <w:p w14:paraId="03C2CBD2" w14:textId="77777777" w:rsidR="00F67E9E" w:rsidRPr="00A45727" w:rsidRDefault="00F67E9E" w:rsidP="007F74AA">
            <w:pPr>
              <w:pStyle w:val="Tabletext0"/>
              <w:widowControl/>
              <w:autoSpaceDE/>
              <w:autoSpaceDN/>
            </w:pPr>
          </w:p>
        </w:tc>
        <w:tc>
          <w:tcPr>
            <w:tcW w:w="1247" w:type="dxa"/>
          </w:tcPr>
          <w:p w14:paraId="6311E90A" w14:textId="77777777" w:rsidR="00F67E9E" w:rsidRPr="00A45727" w:rsidRDefault="00F67E9E" w:rsidP="007F74AA">
            <w:pPr>
              <w:pStyle w:val="Tabletext0"/>
              <w:widowControl/>
              <w:autoSpaceDE/>
              <w:autoSpaceDN/>
            </w:pPr>
          </w:p>
        </w:tc>
      </w:tr>
      <w:tr w:rsidR="00F67E9E" w:rsidRPr="00025910" w14:paraId="54DA4CB6" w14:textId="77777777" w:rsidTr="007F74AA">
        <w:trPr>
          <w:trHeight w:val="680"/>
        </w:trPr>
        <w:tc>
          <w:tcPr>
            <w:tcW w:w="1417" w:type="dxa"/>
          </w:tcPr>
          <w:p w14:paraId="6D211147" w14:textId="77777777" w:rsidR="00F67E9E" w:rsidRPr="00A45727" w:rsidRDefault="00F67E9E" w:rsidP="007F74AA">
            <w:pPr>
              <w:pStyle w:val="Tabletext0"/>
              <w:widowControl/>
              <w:autoSpaceDE/>
              <w:autoSpaceDN/>
              <w:rPr>
                <w:b/>
                <w:bCs/>
              </w:rPr>
            </w:pPr>
            <w:r w:rsidRPr="00A45727">
              <w:rPr>
                <w:b/>
                <w:bCs/>
              </w:rPr>
              <w:t>Emp No 2</w:t>
            </w:r>
          </w:p>
        </w:tc>
        <w:tc>
          <w:tcPr>
            <w:tcW w:w="2494" w:type="dxa"/>
          </w:tcPr>
          <w:p w14:paraId="28A0BCC4" w14:textId="77777777" w:rsidR="00F67E9E" w:rsidRPr="00A45727" w:rsidRDefault="00F67E9E" w:rsidP="007F74AA">
            <w:pPr>
              <w:pStyle w:val="Tabletext0"/>
              <w:widowControl/>
              <w:autoSpaceDE/>
              <w:autoSpaceDN/>
            </w:pPr>
          </w:p>
        </w:tc>
        <w:tc>
          <w:tcPr>
            <w:tcW w:w="1247" w:type="dxa"/>
          </w:tcPr>
          <w:p w14:paraId="39767B4D" w14:textId="77777777" w:rsidR="00F67E9E" w:rsidRPr="00A45727" w:rsidRDefault="00F67E9E" w:rsidP="007F74AA">
            <w:pPr>
              <w:pStyle w:val="Tabletext0"/>
              <w:widowControl/>
              <w:autoSpaceDE/>
              <w:autoSpaceDN/>
            </w:pPr>
          </w:p>
        </w:tc>
        <w:tc>
          <w:tcPr>
            <w:tcW w:w="1587" w:type="dxa"/>
          </w:tcPr>
          <w:p w14:paraId="1165197C" w14:textId="77777777" w:rsidR="00F67E9E" w:rsidRPr="00A45727" w:rsidRDefault="00F67E9E" w:rsidP="007F74AA">
            <w:pPr>
              <w:pStyle w:val="Tabletext0"/>
              <w:widowControl/>
              <w:autoSpaceDE/>
              <w:autoSpaceDN/>
            </w:pPr>
          </w:p>
        </w:tc>
        <w:tc>
          <w:tcPr>
            <w:tcW w:w="3061" w:type="dxa"/>
          </w:tcPr>
          <w:p w14:paraId="6E8F5BB9" w14:textId="77777777" w:rsidR="00F67E9E" w:rsidRPr="00A45727" w:rsidRDefault="00F67E9E" w:rsidP="007F74AA">
            <w:pPr>
              <w:pStyle w:val="Tabletext0"/>
              <w:widowControl/>
              <w:autoSpaceDE/>
              <w:autoSpaceDN/>
            </w:pPr>
          </w:p>
        </w:tc>
        <w:tc>
          <w:tcPr>
            <w:tcW w:w="1191" w:type="dxa"/>
          </w:tcPr>
          <w:p w14:paraId="0CBEB275" w14:textId="77777777" w:rsidR="00F67E9E" w:rsidRPr="00A45727" w:rsidRDefault="00F67E9E" w:rsidP="007F74AA">
            <w:pPr>
              <w:pStyle w:val="Tabletext0"/>
              <w:widowControl/>
              <w:autoSpaceDE/>
              <w:autoSpaceDN/>
            </w:pPr>
          </w:p>
        </w:tc>
        <w:tc>
          <w:tcPr>
            <w:tcW w:w="1474" w:type="dxa"/>
          </w:tcPr>
          <w:p w14:paraId="0AD0FBDD" w14:textId="77777777" w:rsidR="00F67E9E" w:rsidRPr="00A45727" w:rsidRDefault="00F67E9E" w:rsidP="007F74AA">
            <w:pPr>
              <w:pStyle w:val="Tabletext0"/>
              <w:widowControl/>
              <w:autoSpaceDE/>
              <w:autoSpaceDN/>
            </w:pPr>
          </w:p>
        </w:tc>
        <w:tc>
          <w:tcPr>
            <w:tcW w:w="1417" w:type="dxa"/>
          </w:tcPr>
          <w:p w14:paraId="0E5AFA18" w14:textId="77777777" w:rsidR="00F67E9E" w:rsidRPr="00A45727" w:rsidRDefault="00F67E9E" w:rsidP="007F74AA">
            <w:pPr>
              <w:pStyle w:val="Tabletext0"/>
              <w:widowControl/>
              <w:autoSpaceDE/>
              <w:autoSpaceDN/>
            </w:pPr>
          </w:p>
        </w:tc>
        <w:tc>
          <w:tcPr>
            <w:tcW w:w="1247" w:type="dxa"/>
          </w:tcPr>
          <w:p w14:paraId="53393605" w14:textId="77777777" w:rsidR="00F67E9E" w:rsidRPr="00A45727" w:rsidRDefault="00F67E9E" w:rsidP="007F74AA">
            <w:pPr>
              <w:pStyle w:val="Tabletext0"/>
              <w:widowControl/>
              <w:autoSpaceDE/>
              <w:autoSpaceDN/>
            </w:pPr>
          </w:p>
        </w:tc>
      </w:tr>
      <w:tr w:rsidR="00F67E9E" w:rsidRPr="00025910" w14:paraId="6C9977B7" w14:textId="77777777" w:rsidTr="007F74AA">
        <w:trPr>
          <w:trHeight w:val="680"/>
        </w:trPr>
        <w:tc>
          <w:tcPr>
            <w:tcW w:w="1417" w:type="dxa"/>
          </w:tcPr>
          <w:p w14:paraId="55BDB55D" w14:textId="77777777" w:rsidR="00F67E9E" w:rsidRPr="00A45727" w:rsidRDefault="00F67E9E" w:rsidP="007F74AA">
            <w:pPr>
              <w:pStyle w:val="Tabletext0"/>
              <w:widowControl/>
              <w:autoSpaceDE/>
              <w:autoSpaceDN/>
              <w:rPr>
                <w:b/>
                <w:bCs/>
              </w:rPr>
            </w:pPr>
            <w:r w:rsidRPr="00A45727">
              <w:rPr>
                <w:b/>
                <w:bCs/>
              </w:rPr>
              <w:t>Emp No</w:t>
            </w:r>
          </w:p>
        </w:tc>
        <w:tc>
          <w:tcPr>
            <w:tcW w:w="2494" w:type="dxa"/>
          </w:tcPr>
          <w:p w14:paraId="69E3830E" w14:textId="77777777" w:rsidR="00F67E9E" w:rsidRPr="00A45727" w:rsidRDefault="00F67E9E" w:rsidP="007F74AA">
            <w:pPr>
              <w:pStyle w:val="Tabletext0"/>
              <w:widowControl/>
              <w:autoSpaceDE/>
              <w:autoSpaceDN/>
            </w:pPr>
          </w:p>
        </w:tc>
        <w:tc>
          <w:tcPr>
            <w:tcW w:w="1247" w:type="dxa"/>
          </w:tcPr>
          <w:p w14:paraId="58279ADC" w14:textId="77777777" w:rsidR="00F67E9E" w:rsidRPr="00A45727" w:rsidRDefault="00F67E9E" w:rsidP="007F74AA">
            <w:pPr>
              <w:pStyle w:val="Tabletext0"/>
              <w:widowControl/>
              <w:autoSpaceDE/>
              <w:autoSpaceDN/>
            </w:pPr>
          </w:p>
        </w:tc>
        <w:tc>
          <w:tcPr>
            <w:tcW w:w="1587" w:type="dxa"/>
          </w:tcPr>
          <w:p w14:paraId="026CBD8C" w14:textId="77777777" w:rsidR="00F67E9E" w:rsidRPr="00A45727" w:rsidRDefault="00F67E9E" w:rsidP="007F74AA">
            <w:pPr>
              <w:pStyle w:val="Tabletext0"/>
              <w:widowControl/>
              <w:autoSpaceDE/>
              <w:autoSpaceDN/>
            </w:pPr>
          </w:p>
        </w:tc>
        <w:tc>
          <w:tcPr>
            <w:tcW w:w="3061" w:type="dxa"/>
          </w:tcPr>
          <w:p w14:paraId="20B04C3F" w14:textId="77777777" w:rsidR="00F67E9E" w:rsidRPr="00A45727" w:rsidRDefault="00F67E9E" w:rsidP="007F74AA">
            <w:pPr>
              <w:pStyle w:val="Tabletext0"/>
              <w:widowControl/>
              <w:autoSpaceDE/>
              <w:autoSpaceDN/>
            </w:pPr>
          </w:p>
        </w:tc>
        <w:tc>
          <w:tcPr>
            <w:tcW w:w="1191" w:type="dxa"/>
          </w:tcPr>
          <w:p w14:paraId="2669E30F" w14:textId="77777777" w:rsidR="00F67E9E" w:rsidRPr="00A45727" w:rsidRDefault="00F67E9E" w:rsidP="007F74AA">
            <w:pPr>
              <w:pStyle w:val="Tabletext0"/>
              <w:widowControl/>
              <w:autoSpaceDE/>
              <w:autoSpaceDN/>
            </w:pPr>
          </w:p>
        </w:tc>
        <w:tc>
          <w:tcPr>
            <w:tcW w:w="1474" w:type="dxa"/>
          </w:tcPr>
          <w:p w14:paraId="47387C95" w14:textId="77777777" w:rsidR="00F67E9E" w:rsidRPr="00A45727" w:rsidRDefault="00F67E9E" w:rsidP="007F74AA">
            <w:pPr>
              <w:pStyle w:val="Tabletext0"/>
              <w:widowControl/>
              <w:autoSpaceDE/>
              <w:autoSpaceDN/>
            </w:pPr>
          </w:p>
        </w:tc>
        <w:tc>
          <w:tcPr>
            <w:tcW w:w="1417" w:type="dxa"/>
          </w:tcPr>
          <w:p w14:paraId="5D103A91" w14:textId="77777777" w:rsidR="00F67E9E" w:rsidRPr="00A45727" w:rsidRDefault="00F67E9E" w:rsidP="007F74AA">
            <w:pPr>
              <w:pStyle w:val="Tabletext0"/>
              <w:widowControl/>
              <w:autoSpaceDE/>
              <w:autoSpaceDN/>
            </w:pPr>
          </w:p>
        </w:tc>
        <w:tc>
          <w:tcPr>
            <w:tcW w:w="1247" w:type="dxa"/>
          </w:tcPr>
          <w:p w14:paraId="52A3AFBB" w14:textId="77777777" w:rsidR="00F67E9E" w:rsidRPr="00A45727" w:rsidRDefault="00F67E9E" w:rsidP="007F74AA">
            <w:pPr>
              <w:pStyle w:val="Tabletext0"/>
              <w:widowControl/>
              <w:autoSpaceDE/>
              <w:autoSpaceDN/>
            </w:pPr>
          </w:p>
        </w:tc>
      </w:tr>
      <w:tr w:rsidR="00F67E9E" w:rsidRPr="00025910" w14:paraId="5A524274" w14:textId="77777777" w:rsidTr="007F74AA">
        <w:trPr>
          <w:trHeight w:val="680"/>
        </w:trPr>
        <w:tc>
          <w:tcPr>
            <w:tcW w:w="1417" w:type="dxa"/>
          </w:tcPr>
          <w:p w14:paraId="56929F11" w14:textId="77777777" w:rsidR="00F67E9E" w:rsidRPr="00A45727" w:rsidRDefault="00F67E9E" w:rsidP="007F74AA">
            <w:pPr>
              <w:pStyle w:val="Tabletext0"/>
              <w:widowControl/>
              <w:autoSpaceDE/>
              <w:autoSpaceDN/>
              <w:rPr>
                <w:b/>
                <w:bCs/>
              </w:rPr>
            </w:pPr>
            <w:r w:rsidRPr="00A45727">
              <w:rPr>
                <w:b/>
                <w:bCs/>
              </w:rPr>
              <w:t>Emp No</w:t>
            </w:r>
          </w:p>
        </w:tc>
        <w:tc>
          <w:tcPr>
            <w:tcW w:w="2494" w:type="dxa"/>
          </w:tcPr>
          <w:p w14:paraId="51ED251E" w14:textId="77777777" w:rsidR="00F67E9E" w:rsidRPr="00A45727" w:rsidRDefault="00F67E9E" w:rsidP="007F74AA">
            <w:pPr>
              <w:pStyle w:val="Tabletext0"/>
              <w:widowControl/>
              <w:autoSpaceDE/>
              <w:autoSpaceDN/>
            </w:pPr>
          </w:p>
        </w:tc>
        <w:tc>
          <w:tcPr>
            <w:tcW w:w="1247" w:type="dxa"/>
          </w:tcPr>
          <w:p w14:paraId="11B5D6DA" w14:textId="77777777" w:rsidR="00F67E9E" w:rsidRPr="00A45727" w:rsidRDefault="00F67E9E" w:rsidP="007F74AA">
            <w:pPr>
              <w:pStyle w:val="Tabletext0"/>
              <w:widowControl/>
              <w:autoSpaceDE/>
              <w:autoSpaceDN/>
            </w:pPr>
          </w:p>
        </w:tc>
        <w:tc>
          <w:tcPr>
            <w:tcW w:w="1587" w:type="dxa"/>
          </w:tcPr>
          <w:p w14:paraId="080032B4" w14:textId="77777777" w:rsidR="00F67E9E" w:rsidRPr="00A45727" w:rsidRDefault="00F67E9E" w:rsidP="007F74AA">
            <w:pPr>
              <w:pStyle w:val="Tabletext0"/>
              <w:widowControl/>
              <w:autoSpaceDE/>
              <w:autoSpaceDN/>
            </w:pPr>
          </w:p>
        </w:tc>
        <w:tc>
          <w:tcPr>
            <w:tcW w:w="3061" w:type="dxa"/>
          </w:tcPr>
          <w:p w14:paraId="0AA5DE23" w14:textId="77777777" w:rsidR="00F67E9E" w:rsidRPr="00A45727" w:rsidRDefault="00F67E9E" w:rsidP="007F74AA">
            <w:pPr>
              <w:pStyle w:val="Tabletext0"/>
              <w:widowControl/>
              <w:autoSpaceDE/>
              <w:autoSpaceDN/>
            </w:pPr>
          </w:p>
        </w:tc>
        <w:tc>
          <w:tcPr>
            <w:tcW w:w="1191" w:type="dxa"/>
          </w:tcPr>
          <w:p w14:paraId="1847A7C7" w14:textId="77777777" w:rsidR="00F67E9E" w:rsidRPr="00A45727" w:rsidRDefault="00F67E9E" w:rsidP="007F74AA">
            <w:pPr>
              <w:pStyle w:val="Tabletext0"/>
              <w:widowControl/>
              <w:autoSpaceDE/>
              <w:autoSpaceDN/>
            </w:pPr>
          </w:p>
        </w:tc>
        <w:tc>
          <w:tcPr>
            <w:tcW w:w="1474" w:type="dxa"/>
          </w:tcPr>
          <w:p w14:paraId="0FFC4693" w14:textId="77777777" w:rsidR="00F67E9E" w:rsidRPr="00A45727" w:rsidRDefault="00F67E9E" w:rsidP="007F74AA">
            <w:pPr>
              <w:pStyle w:val="Tabletext0"/>
              <w:widowControl/>
              <w:autoSpaceDE/>
              <w:autoSpaceDN/>
            </w:pPr>
          </w:p>
        </w:tc>
        <w:tc>
          <w:tcPr>
            <w:tcW w:w="1417" w:type="dxa"/>
          </w:tcPr>
          <w:p w14:paraId="5C2C419A" w14:textId="77777777" w:rsidR="00F67E9E" w:rsidRPr="00A45727" w:rsidRDefault="00F67E9E" w:rsidP="007F74AA">
            <w:pPr>
              <w:pStyle w:val="Tabletext0"/>
              <w:widowControl/>
              <w:autoSpaceDE/>
              <w:autoSpaceDN/>
            </w:pPr>
          </w:p>
        </w:tc>
        <w:tc>
          <w:tcPr>
            <w:tcW w:w="1247" w:type="dxa"/>
          </w:tcPr>
          <w:p w14:paraId="28DDA6BC" w14:textId="77777777" w:rsidR="00F67E9E" w:rsidRPr="00A45727" w:rsidRDefault="00F67E9E" w:rsidP="007F74AA">
            <w:pPr>
              <w:pStyle w:val="Tabletext0"/>
              <w:widowControl/>
              <w:autoSpaceDE/>
              <w:autoSpaceDN/>
            </w:pPr>
          </w:p>
        </w:tc>
      </w:tr>
      <w:tr w:rsidR="00F67E9E" w:rsidRPr="00025910" w14:paraId="64B6F8BE" w14:textId="77777777" w:rsidTr="007F74AA">
        <w:trPr>
          <w:trHeight w:val="680"/>
        </w:trPr>
        <w:tc>
          <w:tcPr>
            <w:tcW w:w="1417" w:type="dxa"/>
          </w:tcPr>
          <w:p w14:paraId="20CC32E9" w14:textId="77777777" w:rsidR="00F67E9E" w:rsidRPr="00A45727" w:rsidRDefault="00F67E9E" w:rsidP="007F74AA">
            <w:pPr>
              <w:pStyle w:val="Tabletext0"/>
              <w:widowControl/>
              <w:autoSpaceDE/>
              <w:autoSpaceDN/>
              <w:rPr>
                <w:b/>
                <w:bCs/>
              </w:rPr>
            </w:pPr>
            <w:r w:rsidRPr="00A45727">
              <w:rPr>
                <w:b/>
                <w:bCs/>
              </w:rPr>
              <w:t>Emp No</w:t>
            </w:r>
          </w:p>
        </w:tc>
        <w:tc>
          <w:tcPr>
            <w:tcW w:w="2494" w:type="dxa"/>
          </w:tcPr>
          <w:p w14:paraId="54C9D528" w14:textId="77777777" w:rsidR="00F67E9E" w:rsidRPr="00A45727" w:rsidRDefault="00F67E9E" w:rsidP="007F74AA">
            <w:pPr>
              <w:pStyle w:val="Tabletext0"/>
              <w:widowControl/>
              <w:autoSpaceDE/>
              <w:autoSpaceDN/>
            </w:pPr>
          </w:p>
        </w:tc>
        <w:tc>
          <w:tcPr>
            <w:tcW w:w="1247" w:type="dxa"/>
          </w:tcPr>
          <w:p w14:paraId="5E03486E" w14:textId="77777777" w:rsidR="00F67E9E" w:rsidRPr="00A45727" w:rsidRDefault="00F67E9E" w:rsidP="007F74AA">
            <w:pPr>
              <w:pStyle w:val="Tabletext0"/>
              <w:widowControl/>
              <w:autoSpaceDE/>
              <w:autoSpaceDN/>
            </w:pPr>
          </w:p>
        </w:tc>
        <w:tc>
          <w:tcPr>
            <w:tcW w:w="1587" w:type="dxa"/>
          </w:tcPr>
          <w:p w14:paraId="3EFE8930" w14:textId="77777777" w:rsidR="00F67E9E" w:rsidRPr="00A45727" w:rsidRDefault="00F67E9E" w:rsidP="007F74AA">
            <w:pPr>
              <w:pStyle w:val="Tabletext0"/>
              <w:widowControl/>
              <w:autoSpaceDE/>
              <w:autoSpaceDN/>
            </w:pPr>
          </w:p>
        </w:tc>
        <w:tc>
          <w:tcPr>
            <w:tcW w:w="3061" w:type="dxa"/>
          </w:tcPr>
          <w:p w14:paraId="45E1DF7D" w14:textId="77777777" w:rsidR="00F67E9E" w:rsidRPr="00A45727" w:rsidRDefault="00F67E9E" w:rsidP="007F74AA">
            <w:pPr>
              <w:pStyle w:val="Tabletext0"/>
              <w:widowControl/>
              <w:autoSpaceDE/>
              <w:autoSpaceDN/>
            </w:pPr>
          </w:p>
        </w:tc>
        <w:tc>
          <w:tcPr>
            <w:tcW w:w="1191" w:type="dxa"/>
          </w:tcPr>
          <w:p w14:paraId="05478B37" w14:textId="77777777" w:rsidR="00F67E9E" w:rsidRPr="00A45727" w:rsidRDefault="00F67E9E" w:rsidP="007F74AA">
            <w:pPr>
              <w:pStyle w:val="Tabletext0"/>
              <w:widowControl/>
              <w:autoSpaceDE/>
              <w:autoSpaceDN/>
            </w:pPr>
          </w:p>
        </w:tc>
        <w:tc>
          <w:tcPr>
            <w:tcW w:w="1474" w:type="dxa"/>
          </w:tcPr>
          <w:p w14:paraId="24B4776D" w14:textId="77777777" w:rsidR="00F67E9E" w:rsidRPr="00A45727" w:rsidRDefault="00F67E9E" w:rsidP="007F74AA">
            <w:pPr>
              <w:pStyle w:val="Tabletext0"/>
              <w:widowControl/>
              <w:autoSpaceDE/>
              <w:autoSpaceDN/>
            </w:pPr>
          </w:p>
        </w:tc>
        <w:tc>
          <w:tcPr>
            <w:tcW w:w="1417" w:type="dxa"/>
          </w:tcPr>
          <w:p w14:paraId="3A565E26" w14:textId="77777777" w:rsidR="00F67E9E" w:rsidRPr="00A45727" w:rsidRDefault="00F67E9E" w:rsidP="007F74AA">
            <w:pPr>
              <w:pStyle w:val="Tabletext0"/>
              <w:widowControl/>
              <w:autoSpaceDE/>
              <w:autoSpaceDN/>
            </w:pPr>
          </w:p>
        </w:tc>
        <w:tc>
          <w:tcPr>
            <w:tcW w:w="1247" w:type="dxa"/>
          </w:tcPr>
          <w:p w14:paraId="1E66B192" w14:textId="77777777" w:rsidR="00F67E9E" w:rsidRPr="00A45727" w:rsidRDefault="00F67E9E" w:rsidP="007F74AA">
            <w:pPr>
              <w:pStyle w:val="Tabletext0"/>
              <w:widowControl/>
              <w:autoSpaceDE/>
              <w:autoSpaceDN/>
            </w:pPr>
          </w:p>
        </w:tc>
      </w:tr>
      <w:tr w:rsidR="00F67E9E" w:rsidRPr="00025910" w14:paraId="5AD0B1D0" w14:textId="77777777" w:rsidTr="007F74AA">
        <w:trPr>
          <w:trHeight w:val="680"/>
        </w:trPr>
        <w:tc>
          <w:tcPr>
            <w:tcW w:w="1417" w:type="dxa"/>
          </w:tcPr>
          <w:p w14:paraId="5A716E88" w14:textId="77777777" w:rsidR="00F67E9E" w:rsidRPr="00A45727" w:rsidRDefault="00F67E9E" w:rsidP="007F74AA">
            <w:pPr>
              <w:pStyle w:val="Tabletext0"/>
              <w:widowControl/>
              <w:autoSpaceDE/>
              <w:autoSpaceDN/>
              <w:rPr>
                <w:b/>
                <w:bCs/>
              </w:rPr>
            </w:pPr>
            <w:r w:rsidRPr="00A45727">
              <w:rPr>
                <w:b/>
                <w:bCs/>
              </w:rPr>
              <w:t>Emp No</w:t>
            </w:r>
          </w:p>
        </w:tc>
        <w:tc>
          <w:tcPr>
            <w:tcW w:w="2494" w:type="dxa"/>
          </w:tcPr>
          <w:p w14:paraId="4CAA4B9F" w14:textId="77777777" w:rsidR="00F67E9E" w:rsidRPr="00A45727" w:rsidRDefault="00F67E9E" w:rsidP="007F74AA">
            <w:pPr>
              <w:pStyle w:val="Tabletext0"/>
              <w:widowControl/>
              <w:autoSpaceDE/>
              <w:autoSpaceDN/>
            </w:pPr>
          </w:p>
        </w:tc>
        <w:tc>
          <w:tcPr>
            <w:tcW w:w="1247" w:type="dxa"/>
          </w:tcPr>
          <w:p w14:paraId="3C23E209" w14:textId="77777777" w:rsidR="00F67E9E" w:rsidRPr="00A45727" w:rsidRDefault="00F67E9E" w:rsidP="007F74AA">
            <w:pPr>
              <w:pStyle w:val="Tabletext0"/>
              <w:widowControl/>
              <w:autoSpaceDE/>
              <w:autoSpaceDN/>
            </w:pPr>
          </w:p>
        </w:tc>
        <w:tc>
          <w:tcPr>
            <w:tcW w:w="1587" w:type="dxa"/>
          </w:tcPr>
          <w:p w14:paraId="47A353DA" w14:textId="77777777" w:rsidR="00F67E9E" w:rsidRPr="00A45727" w:rsidRDefault="00F67E9E" w:rsidP="007F74AA">
            <w:pPr>
              <w:pStyle w:val="Tabletext0"/>
              <w:widowControl/>
              <w:autoSpaceDE/>
              <w:autoSpaceDN/>
            </w:pPr>
          </w:p>
        </w:tc>
        <w:tc>
          <w:tcPr>
            <w:tcW w:w="3061" w:type="dxa"/>
          </w:tcPr>
          <w:p w14:paraId="5FD4B134" w14:textId="77777777" w:rsidR="00F67E9E" w:rsidRPr="00A45727" w:rsidRDefault="00F67E9E" w:rsidP="007F74AA">
            <w:pPr>
              <w:pStyle w:val="Tabletext0"/>
              <w:widowControl/>
              <w:autoSpaceDE/>
              <w:autoSpaceDN/>
            </w:pPr>
          </w:p>
        </w:tc>
        <w:tc>
          <w:tcPr>
            <w:tcW w:w="1191" w:type="dxa"/>
          </w:tcPr>
          <w:p w14:paraId="7D9EFE04" w14:textId="77777777" w:rsidR="00F67E9E" w:rsidRPr="00A45727" w:rsidRDefault="00F67E9E" w:rsidP="007F74AA">
            <w:pPr>
              <w:pStyle w:val="Tabletext0"/>
              <w:widowControl/>
              <w:autoSpaceDE/>
              <w:autoSpaceDN/>
            </w:pPr>
          </w:p>
        </w:tc>
        <w:tc>
          <w:tcPr>
            <w:tcW w:w="1474" w:type="dxa"/>
          </w:tcPr>
          <w:p w14:paraId="5783CF65" w14:textId="77777777" w:rsidR="00F67E9E" w:rsidRPr="00A45727" w:rsidRDefault="00F67E9E" w:rsidP="007F74AA">
            <w:pPr>
              <w:pStyle w:val="Tabletext0"/>
              <w:widowControl/>
              <w:autoSpaceDE/>
              <w:autoSpaceDN/>
            </w:pPr>
          </w:p>
        </w:tc>
        <w:tc>
          <w:tcPr>
            <w:tcW w:w="1417" w:type="dxa"/>
          </w:tcPr>
          <w:p w14:paraId="76B83DEA" w14:textId="77777777" w:rsidR="00F67E9E" w:rsidRPr="00A45727" w:rsidRDefault="00F67E9E" w:rsidP="007F74AA">
            <w:pPr>
              <w:pStyle w:val="Tabletext0"/>
              <w:widowControl/>
              <w:autoSpaceDE/>
              <w:autoSpaceDN/>
            </w:pPr>
          </w:p>
        </w:tc>
        <w:tc>
          <w:tcPr>
            <w:tcW w:w="1247" w:type="dxa"/>
          </w:tcPr>
          <w:p w14:paraId="152C2D40" w14:textId="77777777" w:rsidR="00F67E9E" w:rsidRPr="00A45727" w:rsidRDefault="00F67E9E" w:rsidP="007F74AA">
            <w:pPr>
              <w:pStyle w:val="Tabletext0"/>
              <w:widowControl/>
              <w:autoSpaceDE/>
              <w:autoSpaceDN/>
            </w:pPr>
          </w:p>
        </w:tc>
      </w:tr>
      <w:tr w:rsidR="00F67E9E" w:rsidRPr="00025910" w14:paraId="1DC83D3A" w14:textId="77777777" w:rsidTr="007F74AA">
        <w:trPr>
          <w:trHeight w:val="680"/>
        </w:trPr>
        <w:tc>
          <w:tcPr>
            <w:tcW w:w="1417" w:type="dxa"/>
          </w:tcPr>
          <w:p w14:paraId="13424FEF" w14:textId="77777777" w:rsidR="00F67E9E" w:rsidRPr="00A45727" w:rsidRDefault="00F67E9E" w:rsidP="007F74AA">
            <w:pPr>
              <w:pStyle w:val="Tabletext0"/>
              <w:widowControl/>
              <w:autoSpaceDE/>
              <w:autoSpaceDN/>
              <w:rPr>
                <w:b/>
                <w:bCs/>
              </w:rPr>
            </w:pPr>
            <w:r w:rsidRPr="00A45727">
              <w:rPr>
                <w:b/>
                <w:bCs/>
              </w:rPr>
              <w:t>Emp No</w:t>
            </w:r>
          </w:p>
        </w:tc>
        <w:tc>
          <w:tcPr>
            <w:tcW w:w="2494" w:type="dxa"/>
          </w:tcPr>
          <w:p w14:paraId="72012F5B" w14:textId="77777777" w:rsidR="00F67E9E" w:rsidRPr="00A45727" w:rsidRDefault="00F67E9E" w:rsidP="007F74AA">
            <w:pPr>
              <w:pStyle w:val="Tabletext0"/>
              <w:widowControl/>
              <w:autoSpaceDE/>
              <w:autoSpaceDN/>
            </w:pPr>
          </w:p>
        </w:tc>
        <w:tc>
          <w:tcPr>
            <w:tcW w:w="1247" w:type="dxa"/>
          </w:tcPr>
          <w:p w14:paraId="3282A45B" w14:textId="77777777" w:rsidR="00F67E9E" w:rsidRPr="00A45727" w:rsidRDefault="00F67E9E" w:rsidP="007F74AA">
            <w:pPr>
              <w:pStyle w:val="Tabletext0"/>
              <w:widowControl/>
              <w:autoSpaceDE/>
              <w:autoSpaceDN/>
            </w:pPr>
          </w:p>
        </w:tc>
        <w:tc>
          <w:tcPr>
            <w:tcW w:w="1587" w:type="dxa"/>
          </w:tcPr>
          <w:p w14:paraId="58E7F8EB" w14:textId="77777777" w:rsidR="00F67E9E" w:rsidRPr="00A45727" w:rsidRDefault="00F67E9E" w:rsidP="007F74AA">
            <w:pPr>
              <w:pStyle w:val="Tabletext0"/>
              <w:widowControl/>
              <w:autoSpaceDE/>
              <w:autoSpaceDN/>
            </w:pPr>
          </w:p>
        </w:tc>
        <w:tc>
          <w:tcPr>
            <w:tcW w:w="3061" w:type="dxa"/>
          </w:tcPr>
          <w:p w14:paraId="5645429C" w14:textId="77777777" w:rsidR="00F67E9E" w:rsidRPr="00A45727" w:rsidRDefault="00F67E9E" w:rsidP="007F74AA">
            <w:pPr>
              <w:pStyle w:val="Tabletext0"/>
              <w:widowControl/>
              <w:autoSpaceDE/>
              <w:autoSpaceDN/>
            </w:pPr>
          </w:p>
        </w:tc>
        <w:tc>
          <w:tcPr>
            <w:tcW w:w="1191" w:type="dxa"/>
          </w:tcPr>
          <w:p w14:paraId="3A194273" w14:textId="77777777" w:rsidR="00F67E9E" w:rsidRPr="00A45727" w:rsidRDefault="00F67E9E" w:rsidP="007F74AA">
            <w:pPr>
              <w:pStyle w:val="Tabletext0"/>
              <w:widowControl/>
              <w:autoSpaceDE/>
              <w:autoSpaceDN/>
            </w:pPr>
          </w:p>
        </w:tc>
        <w:tc>
          <w:tcPr>
            <w:tcW w:w="1474" w:type="dxa"/>
          </w:tcPr>
          <w:p w14:paraId="7616FF34" w14:textId="77777777" w:rsidR="00F67E9E" w:rsidRPr="00A45727" w:rsidRDefault="00F67E9E" w:rsidP="007F74AA">
            <w:pPr>
              <w:pStyle w:val="Tabletext0"/>
              <w:widowControl/>
              <w:autoSpaceDE/>
              <w:autoSpaceDN/>
            </w:pPr>
          </w:p>
        </w:tc>
        <w:tc>
          <w:tcPr>
            <w:tcW w:w="1417" w:type="dxa"/>
          </w:tcPr>
          <w:p w14:paraId="6B496E64" w14:textId="77777777" w:rsidR="00F67E9E" w:rsidRPr="00A45727" w:rsidRDefault="00F67E9E" w:rsidP="007F74AA">
            <w:pPr>
              <w:pStyle w:val="Tabletext0"/>
              <w:widowControl/>
              <w:autoSpaceDE/>
              <w:autoSpaceDN/>
            </w:pPr>
          </w:p>
        </w:tc>
        <w:tc>
          <w:tcPr>
            <w:tcW w:w="1247" w:type="dxa"/>
          </w:tcPr>
          <w:p w14:paraId="7B1CDFF2" w14:textId="77777777" w:rsidR="00F67E9E" w:rsidRPr="00A45727" w:rsidRDefault="00F67E9E" w:rsidP="007F74AA">
            <w:pPr>
              <w:pStyle w:val="Tabletext0"/>
              <w:widowControl/>
              <w:autoSpaceDE/>
              <w:autoSpaceDN/>
            </w:pPr>
          </w:p>
        </w:tc>
      </w:tr>
    </w:tbl>
    <w:p w14:paraId="25E1ACB8" w14:textId="77777777" w:rsidR="00F67E9E" w:rsidRDefault="00F67E9E" w:rsidP="00F67E9E"/>
    <w:p w14:paraId="5DABCFBB" w14:textId="77777777" w:rsidR="00F67E9E" w:rsidRPr="00025910" w:rsidRDefault="00F67E9E" w:rsidP="00F67E9E">
      <w:r w:rsidRPr="00025910">
        <w:br w:type="page"/>
      </w:r>
    </w:p>
    <w:tbl>
      <w:tblPr>
        <w:tblStyle w:val="MSATable-header"/>
        <w:tblW w:w="15140" w:type="dxa"/>
        <w:tblLook w:val="0620" w:firstRow="1" w:lastRow="0" w:firstColumn="0" w:lastColumn="0" w:noHBand="1" w:noVBand="1"/>
      </w:tblPr>
      <w:tblGrid>
        <w:gridCol w:w="1418"/>
        <w:gridCol w:w="2155"/>
        <w:gridCol w:w="1588"/>
        <w:gridCol w:w="1587"/>
        <w:gridCol w:w="2041"/>
        <w:gridCol w:w="1871"/>
        <w:gridCol w:w="1417"/>
        <w:gridCol w:w="1474"/>
        <w:gridCol w:w="1589"/>
      </w:tblGrid>
      <w:tr w:rsidR="00F67E9E" w:rsidRPr="00025910" w14:paraId="2A4A2B80" w14:textId="77777777" w:rsidTr="007F74AA">
        <w:trPr>
          <w:cnfStyle w:val="100000000000" w:firstRow="1" w:lastRow="0" w:firstColumn="0" w:lastColumn="0" w:oddVBand="0" w:evenVBand="0" w:oddHBand="0" w:evenHBand="0" w:firstRowFirstColumn="0" w:firstRowLastColumn="0" w:lastRowFirstColumn="0" w:lastRowLastColumn="0"/>
          <w:tblHeader/>
        </w:trPr>
        <w:tc>
          <w:tcPr>
            <w:tcW w:w="1417" w:type="dxa"/>
            <w:tcBorders>
              <w:top w:val="nil"/>
              <w:left w:val="nil"/>
            </w:tcBorders>
            <w:shd w:val="clear" w:color="auto" w:fill="auto"/>
          </w:tcPr>
          <w:p w14:paraId="234D1E50" w14:textId="77777777" w:rsidR="00F67E9E" w:rsidRPr="00A45727" w:rsidRDefault="00F67E9E" w:rsidP="007F74AA">
            <w:pPr>
              <w:pStyle w:val="Tabletext0"/>
              <w:widowControl/>
              <w:autoSpaceDE/>
              <w:autoSpaceDN/>
            </w:pPr>
          </w:p>
        </w:tc>
        <w:tc>
          <w:tcPr>
            <w:tcW w:w="13720" w:type="dxa"/>
            <w:gridSpan w:val="8"/>
          </w:tcPr>
          <w:p w14:paraId="6090B3AF" w14:textId="77777777" w:rsidR="00F67E9E" w:rsidRPr="00A45727" w:rsidRDefault="00F67E9E" w:rsidP="007F74AA">
            <w:pPr>
              <w:pStyle w:val="Tabletext0"/>
              <w:widowControl/>
              <w:autoSpaceDE/>
              <w:autoSpaceDN/>
            </w:pPr>
            <w:r w:rsidRPr="00A45727">
              <w:t>CONTRACTUAL PAY AND BENEFITS</w:t>
            </w:r>
          </w:p>
        </w:tc>
      </w:tr>
      <w:tr w:rsidR="00F67E9E" w:rsidRPr="00025910" w14:paraId="35D5B0A3" w14:textId="77777777" w:rsidTr="007F74AA">
        <w:trPr>
          <w:cnfStyle w:val="100000000000" w:firstRow="1" w:lastRow="0" w:firstColumn="0" w:lastColumn="0" w:oddVBand="0" w:evenVBand="0" w:oddHBand="0" w:evenHBand="0" w:firstRowFirstColumn="0" w:firstRowLastColumn="0" w:lastRowFirstColumn="0" w:lastRowLastColumn="0"/>
          <w:tblHeader/>
        </w:trPr>
        <w:tc>
          <w:tcPr>
            <w:tcW w:w="1417" w:type="dxa"/>
          </w:tcPr>
          <w:p w14:paraId="7A7388B1" w14:textId="77777777" w:rsidR="00F67E9E" w:rsidRPr="00A45727" w:rsidRDefault="00F67E9E" w:rsidP="007F74AA">
            <w:pPr>
              <w:pStyle w:val="Tabletext0"/>
              <w:widowControl/>
              <w:autoSpaceDE/>
              <w:autoSpaceDN/>
            </w:pPr>
            <w:r w:rsidRPr="00A45727">
              <w:t>Details</w:t>
            </w:r>
          </w:p>
        </w:tc>
        <w:tc>
          <w:tcPr>
            <w:tcW w:w="2154" w:type="dxa"/>
          </w:tcPr>
          <w:p w14:paraId="3D4FDB2C" w14:textId="77777777" w:rsidR="00F67E9E" w:rsidRPr="00A45727" w:rsidRDefault="00F67E9E" w:rsidP="007F74AA">
            <w:pPr>
              <w:pStyle w:val="Tabletext0"/>
              <w:widowControl/>
              <w:autoSpaceDE/>
              <w:autoSpaceDN/>
            </w:pPr>
            <w:r w:rsidRPr="00A45727">
              <w:t>Any existing or future commitment to training that has a time-off or financial implication</w:t>
            </w:r>
          </w:p>
        </w:tc>
        <w:tc>
          <w:tcPr>
            <w:tcW w:w="1587" w:type="dxa"/>
          </w:tcPr>
          <w:p w14:paraId="3B97FDFA" w14:textId="77777777" w:rsidR="00F67E9E" w:rsidRPr="00A45727" w:rsidRDefault="00F67E9E" w:rsidP="007F74AA">
            <w:pPr>
              <w:pStyle w:val="Tabletext0"/>
              <w:widowControl/>
              <w:autoSpaceDE/>
              <w:autoSpaceDN/>
            </w:pPr>
            <w:r w:rsidRPr="00A45727">
              <w:t>Car allowance (£ per year)</w:t>
            </w:r>
          </w:p>
        </w:tc>
        <w:tc>
          <w:tcPr>
            <w:tcW w:w="1587" w:type="dxa"/>
          </w:tcPr>
          <w:p w14:paraId="50F7353D" w14:textId="77777777" w:rsidR="00F67E9E" w:rsidRPr="00A45727" w:rsidRDefault="00F67E9E" w:rsidP="007F74AA">
            <w:pPr>
              <w:pStyle w:val="Tabletext0"/>
              <w:widowControl/>
              <w:autoSpaceDE/>
              <w:autoSpaceDN/>
            </w:pPr>
            <w:r w:rsidRPr="00A45727">
              <w:t>Lease or company car details</w:t>
            </w:r>
          </w:p>
        </w:tc>
        <w:tc>
          <w:tcPr>
            <w:tcW w:w="2041" w:type="dxa"/>
          </w:tcPr>
          <w:p w14:paraId="36C241B3" w14:textId="77777777" w:rsidR="00F67E9E" w:rsidRPr="00A45727" w:rsidRDefault="00F67E9E" w:rsidP="007F74AA">
            <w:pPr>
              <w:pStyle w:val="Tabletext0"/>
              <w:widowControl/>
              <w:autoSpaceDE/>
              <w:autoSpaceDN/>
            </w:pPr>
            <w:r w:rsidRPr="00A45727">
              <w:t>Any other allowances paid (e.g. shift allowance, standby allowance, travel allowance)</w:t>
            </w:r>
          </w:p>
        </w:tc>
        <w:tc>
          <w:tcPr>
            <w:tcW w:w="1871" w:type="dxa"/>
          </w:tcPr>
          <w:p w14:paraId="555F3004" w14:textId="77777777" w:rsidR="00F67E9E" w:rsidRPr="00A45727" w:rsidRDefault="00F67E9E" w:rsidP="007F74AA">
            <w:pPr>
              <w:pStyle w:val="Tabletext0"/>
              <w:widowControl/>
              <w:autoSpaceDE/>
              <w:autoSpaceDN/>
            </w:pPr>
            <w:r w:rsidRPr="00A45727">
              <w:t>Private medical insurance (please specify whether single or family cover)</w:t>
            </w:r>
          </w:p>
        </w:tc>
        <w:tc>
          <w:tcPr>
            <w:tcW w:w="1417" w:type="dxa"/>
          </w:tcPr>
          <w:p w14:paraId="3FC1E7F0" w14:textId="77777777" w:rsidR="00F67E9E" w:rsidRPr="00A45727" w:rsidRDefault="00F67E9E" w:rsidP="007F74AA">
            <w:pPr>
              <w:pStyle w:val="Tabletext0"/>
              <w:widowControl/>
              <w:autoSpaceDE/>
              <w:autoSpaceDN/>
            </w:pPr>
            <w:r w:rsidRPr="00A45727">
              <w:t>Life assurance (xSalary)</w:t>
            </w:r>
          </w:p>
        </w:tc>
        <w:tc>
          <w:tcPr>
            <w:tcW w:w="1474" w:type="dxa"/>
          </w:tcPr>
          <w:p w14:paraId="0CEBBDE7" w14:textId="77777777" w:rsidR="00F67E9E" w:rsidRPr="00A45727" w:rsidRDefault="00F67E9E" w:rsidP="007F74AA">
            <w:pPr>
              <w:pStyle w:val="Tabletext0"/>
              <w:widowControl/>
              <w:autoSpaceDE/>
              <w:autoSpaceDN/>
            </w:pPr>
            <w:r w:rsidRPr="00A45727">
              <w:t>Long Term Disability / PHI (% of Salary</w:t>
            </w:r>
          </w:p>
        </w:tc>
        <w:tc>
          <w:tcPr>
            <w:tcW w:w="1587" w:type="dxa"/>
          </w:tcPr>
          <w:p w14:paraId="4AE106FB" w14:textId="77777777" w:rsidR="00F67E9E" w:rsidRPr="00A45727" w:rsidRDefault="00F67E9E" w:rsidP="007F74AA">
            <w:pPr>
              <w:pStyle w:val="Tabletext0"/>
              <w:widowControl/>
              <w:autoSpaceDE/>
              <w:autoSpaceDN/>
            </w:pPr>
            <w:r w:rsidRPr="00A45727">
              <w:t>Any other benefits in kind</w:t>
            </w:r>
          </w:p>
        </w:tc>
      </w:tr>
      <w:tr w:rsidR="00F67E9E" w:rsidRPr="00025910" w14:paraId="3E8F9040" w14:textId="77777777" w:rsidTr="007F74AA">
        <w:trPr>
          <w:trHeight w:val="680"/>
        </w:trPr>
        <w:tc>
          <w:tcPr>
            <w:tcW w:w="1417" w:type="dxa"/>
          </w:tcPr>
          <w:p w14:paraId="61E634CE" w14:textId="77777777" w:rsidR="00F67E9E" w:rsidRPr="00A45727" w:rsidRDefault="00F67E9E" w:rsidP="007F74AA">
            <w:pPr>
              <w:pStyle w:val="Tabletext0"/>
              <w:widowControl/>
              <w:autoSpaceDE/>
              <w:autoSpaceDN/>
              <w:rPr>
                <w:b/>
                <w:bCs/>
              </w:rPr>
            </w:pPr>
            <w:r w:rsidRPr="00A45727">
              <w:rPr>
                <w:b/>
                <w:bCs/>
              </w:rPr>
              <w:t>Emp No 1</w:t>
            </w:r>
          </w:p>
        </w:tc>
        <w:tc>
          <w:tcPr>
            <w:tcW w:w="2154" w:type="dxa"/>
          </w:tcPr>
          <w:p w14:paraId="5784A9A3" w14:textId="77777777" w:rsidR="00F67E9E" w:rsidRPr="00A45727" w:rsidRDefault="00F67E9E" w:rsidP="007F74AA">
            <w:pPr>
              <w:pStyle w:val="Tabletext0"/>
              <w:widowControl/>
              <w:autoSpaceDE/>
              <w:autoSpaceDN/>
            </w:pPr>
          </w:p>
        </w:tc>
        <w:tc>
          <w:tcPr>
            <w:tcW w:w="1587" w:type="dxa"/>
          </w:tcPr>
          <w:p w14:paraId="176CB426" w14:textId="77777777" w:rsidR="00F67E9E" w:rsidRPr="00A45727" w:rsidRDefault="00F67E9E" w:rsidP="007F74AA">
            <w:pPr>
              <w:pStyle w:val="Tabletext0"/>
              <w:widowControl/>
              <w:autoSpaceDE/>
              <w:autoSpaceDN/>
            </w:pPr>
          </w:p>
        </w:tc>
        <w:tc>
          <w:tcPr>
            <w:tcW w:w="1587" w:type="dxa"/>
          </w:tcPr>
          <w:p w14:paraId="4047D8CA" w14:textId="77777777" w:rsidR="00F67E9E" w:rsidRPr="00A45727" w:rsidRDefault="00F67E9E" w:rsidP="007F74AA">
            <w:pPr>
              <w:pStyle w:val="Tabletext0"/>
              <w:widowControl/>
              <w:autoSpaceDE/>
              <w:autoSpaceDN/>
            </w:pPr>
          </w:p>
        </w:tc>
        <w:tc>
          <w:tcPr>
            <w:tcW w:w="2041" w:type="dxa"/>
          </w:tcPr>
          <w:p w14:paraId="1F54A60F" w14:textId="77777777" w:rsidR="00F67E9E" w:rsidRPr="00A45727" w:rsidRDefault="00F67E9E" w:rsidP="007F74AA">
            <w:pPr>
              <w:pStyle w:val="Tabletext0"/>
              <w:widowControl/>
              <w:autoSpaceDE/>
              <w:autoSpaceDN/>
            </w:pPr>
          </w:p>
        </w:tc>
        <w:tc>
          <w:tcPr>
            <w:tcW w:w="1871" w:type="dxa"/>
          </w:tcPr>
          <w:p w14:paraId="0D735DC7" w14:textId="77777777" w:rsidR="00F67E9E" w:rsidRPr="00A45727" w:rsidRDefault="00F67E9E" w:rsidP="007F74AA">
            <w:pPr>
              <w:pStyle w:val="Tabletext0"/>
              <w:widowControl/>
              <w:autoSpaceDE/>
              <w:autoSpaceDN/>
            </w:pPr>
          </w:p>
        </w:tc>
        <w:tc>
          <w:tcPr>
            <w:tcW w:w="1417" w:type="dxa"/>
          </w:tcPr>
          <w:p w14:paraId="1DE143FB" w14:textId="77777777" w:rsidR="00F67E9E" w:rsidRPr="00A45727" w:rsidRDefault="00F67E9E" w:rsidP="007F74AA">
            <w:pPr>
              <w:pStyle w:val="Tabletext0"/>
              <w:widowControl/>
              <w:autoSpaceDE/>
              <w:autoSpaceDN/>
            </w:pPr>
          </w:p>
        </w:tc>
        <w:tc>
          <w:tcPr>
            <w:tcW w:w="1474" w:type="dxa"/>
          </w:tcPr>
          <w:p w14:paraId="65F9BFDC" w14:textId="77777777" w:rsidR="00F67E9E" w:rsidRPr="00A45727" w:rsidRDefault="00F67E9E" w:rsidP="007F74AA">
            <w:pPr>
              <w:pStyle w:val="Tabletext0"/>
              <w:widowControl/>
              <w:autoSpaceDE/>
              <w:autoSpaceDN/>
            </w:pPr>
          </w:p>
        </w:tc>
        <w:tc>
          <w:tcPr>
            <w:tcW w:w="1587" w:type="dxa"/>
          </w:tcPr>
          <w:p w14:paraId="3942464B" w14:textId="77777777" w:rsidR="00F67E9E" w:rsidRPr="00A45727" w:rsidRDefault="00F67E9E" w:rsidP="007F74AA">
            <w:pPr>
              <w:pStyle w:val="Tabletext0"/>
              <w:widowControl/>
              <w:autoSpaceDE/>
              <w:autoSpaceDN/>
            </w:pPr>
          </w:p>
        </w:tc>
      </w:tr>
      <w:tr w:rsidR="00F67E9E" w:rsidRPr="00025910" w14:paraId="50C790D9" w14:textId="77777777" w:rsidTr="007F74AA">
        <w:trPr>
          <w:trHeight w:val="680"/>
        </w:trPr>
        <w:tc>
          <w:tcPr>
            <w:tcW w:w="1417" w:type="dxa"/>
          </w:tcPr>
          <w:p w14:paraId="249DBB65" w14:textId="77777777" w:rsidR="00F67E9E" w:rsidRPr="00A45727" w:rsidRDefault="00F67E9E" w:rsidP="007F74AA">
            <w:pPr>
              <w:pStyle w:val="Tabletext0"/>
              <w:widowControl/>
              <w:autoSpaceDE/>
              <w:autoSpaceDN/>
              <w:rPr>
                <w:b/>
                <w:bCs/>
              </w:rPr>
            </w:pPr>
            <w:r w:rsidRPr="00A45727">
              <w:rPr>
                <w:b/>
                <w:bCs/>
              </w:rPr>
              <w:t>Emp No 2</w:t>
            </w:r>
          </w:p>
        </w:tc>
        <w:tc>
          <w:tcPr>
            <w:tcW w:w="2154" w:type="dxa"/>
          </w:tcPr>
          <w:p w14:paraId="522AEADB" w14:textId="77777777" w:rsidR="00F67E9E" w:rsidRPr="00A45727" w:rsidRDefault="00F67E9E" w:rsidP="007F74AA">
            <w:pPr>
              <w:pStyle w:val="Tabletext0"/>
              <w:widowControl/>
              <w:autoSpaceDE/>
              <w:autoSpaceDN/>
            </w:pPr>
          </w:p>
        </w:tc>
        <w:tc>
          <w:tcPr>
            <w:tcW w:w="1587" w:type="dxa"/>
          </w:tcPr>
          <w:p w14:paraId="5380B33E" w14:textId="77777777" w:rsidR="00F67E9E" w:rsidRPr="00A45727" w:rsidRDefault="00F67E9E" w:rsidP="007F74AA">
            <w:pPr>
              <w:pStyle w:val="Tabletext0"/>
              <w:widowControl/>
              <w:autoSpaceDE/>
              <w:autoSpaceDN/>
            </w:pPr>
          </w:p>
        </w:tc>
        <w:tc>
          <w:tcPr>
            <w:tcW w:w="1587" w:type="dxa"/>
          </w:tcPr>
          <w:p w14:paraId="0B6929A5" w14:textId="77777777" w:rsidR="00F67E9E" w:rsidRPr="00A45727" w:rsidRDefault="00F67E9E" w:rsidP="007F74AA">
            <w:pPr>
              <w:pStyle w:val="Tabletext0"/>
              <w:widowControl/>
              <w:autoSpaceDE/>
              <w:autoSpaceDN/>
            </w:pPr>
          </w:p>
        </w:tc>
        <w:tc>
          <w:tcPr>
            <w:tcW w:w="2041" w:type="dxa"/>
          </w:tcPr>
          <w:p w14:paraId="5C6F436E" w14:textId="77777777" w:rsidR="00F67E9E" w:rsidRPr="00A45727" w:rsidRDefault="00F67E9E" w:rsidP="007F74AA">
            <w:pPr>
              <w:pStyle w:val="Tabletext0"/>
              <w:widowControl/>
              <w:autoSpaceDE/>
              <w:autoSpaceDN/>
            </w:pPr>
          </w:p>
        </w:tc>
        <w:tc>
          <w:tcPr>
            <w:tcW w:w="1871" w:type="dxa"/>
          </w:tcPr>
          <w:p w14:paraId="337ABE69" w14:textId="77777777" w:rsidR="00F67E9E" w:rsidRPr="00A45727" w:rsidRDefault="00F67E9E" w:rsidP="007F74AA">
            <w:pPr>
              <w:pStyle w:val="Tabletext0"/>
              <w:widowControl/>
              <w:autoSpaceDE/>
              <w:autoSpaceDN/>
            </w:pPr>
          </w:p>
        </w:tc>
        <w:tc>
          <w:tcPr>
            <w:tcW w:w="1417" w:type="dxa"/>
          </w:tcPr>
          <w:p w14:paraId="06E787C2" w14:textId="77777777" w:rsidR="00F67E9E" w:rsidRPr="00A45727" w:rsidRDefault="00F67E9E" w:rsidP="007F74AA">
            <w:pPr>
              <w:pStyle w:val="Tabletext0"/>
              <w:widowControl/>
              <w:autoSpaceDE/>
              <w:autoSpaceDN/>
            </w:pPr>
          </w:p>
        </w:tc>
        <w:tc>
          <w:tcPr>
            <w:tcW w:w="1474" w:type="dxa"/>
          </w:tcPr>
          <w:p w14:paraId="7B4FC722" w14:textId="77777777" w:rsidR="00F67E9E" w:rsidRPr="00A45727" w:rsidRDefault="00F67E9E" w:rsidP="007F74AA">
            <w:pPr>
              <w:pStyle w:val="Tabletext0"/>
              <w:widowControl/>
              <w:autoSpaceDE/>
              <w:autoSpaceDN/>
            </w:pPr>
          </w:p>
        </w:tc>
        <w:tc>
          <w:tcPr>
            <w:tcW w:w="1587" w:type="dxa"/>
          </w:tcPr>
          <w:p w14:paraId="3E976341" w14:textId="77777777" w:rsidR="00F67E9E" w:rsidRPr="00A45727" w:rsidRDefault="00F67E9E" w:rsidP="007F74AA">
            <w:pPr>
              <w:pStyle w:val="Tabletext0"/>
              <w:widowControl/>
              <w:autoSpaceDE/>
              <w:autoSpaceDN/>
            </w:pPr>
          </w:p>
        </w:tc>
      </w:tr>
      <w:tr w:rsidR="00F67E9E" w:rsidRPr="00025910" w14:paraId="51FFF49C" w14:textId="77777777" w:rsidTr="007F74AA">
        <w:trPr>
          <w:trHeight w:val="680"/>
        </w:trPr>
        <w:tc>
          <w:tcPr>
            <w:tcW w:w="1417" w:type="dxa"/>
          </w:tcPr>
          <w:p w14:paraId="130CC5AD" w14:textId="77777777" w:rsidR="00F67E9E" w:rsidRPr="00A45727" w:rsidRDefault="00F67E9E" w:rsidP="007F74AA">
            <w:pPr>
              <w:pStyle w:val="Tabletext0"/>
              <w:widowControl/>
              <w:autoSpaceDE/>
              <w:autoSpaceDN/>
              <w:rPr>
                <w:b/>
                <w:bCs/>
              </w:rPr>
            </w:pPr>
            <w:r w:rsidRPr="00A45727">
              <w:rPr>
                <w:b/>
                <w:bCs/>
              </w:rPr>
              <w:t>Emp No</w:t>
            </w:r>
          </w:p>
        </w:tc>
        <w:tc>
          <w:tcPr>
            <w:tcW w:w="2154" w:type="dxa"/>
          </w:tcPr>
          <w:p w14:paraId="6C084673" w14:textId="77777777" w:rsidR="00F67E9E" w:rsidRPr="00A45727" w:rsidRDefault="00F67E9E" w:rsidP="007F74AA">
            <w:pPr>
              <w:pStyle w:val="Tabletext0"/>
              <w:widowControl/>
              <w:autoSpaceDE/>
              <w:autoSpaceDN/>
            </w:pPr>
          </w:p>
        </w:tc>
        <w:tc>
          <w:tcPr>
            <w:tcW w:w="1587" w:type="dxa"/>
          </w:tcPr>
          <w:p w14:paraId="1483AA5B" w14:textId="77777777" w:rsidR="00F67E9E" w:rsidRPr="00A45727" w:rsidRDefault="00F67E9E" w:rsidP="007F74AA">
            <w:pPr>
              <w:pStyle w:val="Tabletext0"/>
              <w:widowControl/>
              <w:autoSpaceDE/>
              <w:autoSpaceDN/>
            </w:pPr>
          </w:p>
        </w:tc>
        <w:tc>
          <w:tcPr>
            <w:tcW w:w="1587" w:type="dxa"/>
          </w:tcPr>
          <w:p w14:paraId="1A2B3336" w14:textId="77777777" w:rsidR="00F67E9E" w:rsidRPr="00A45727" w:rsidRDefault="00F67E9E" w:rsidP="007F74AA">
            <w:pPr>
              <w:pStyle w:val="Tabletext0"/>
              <w:widowControl/>
              <w:autoSpaceDE/>
              <w:autoSpaceDN/>
            </w:pPr>
          </w:p>
        </w:tc>
        <w:tc>
          <w:tcPr>
            <w:tcW w:w="2041" w:type="dxa"/>
          </w:tcPr>
          <w:p w14:paraId="06586368" w14:textId="77777777" w:rsidR="00F67E9E" w:rsidRPr="00A45727" w:rsidRDefault="00F67E9E" w:rsidP="007F74AA">
            <w:pPr>
              <w:pStyle w:val="Tabletext0"/>
              <w:widowControl/>
              <w:autoSpaceDE/>
              <w:autoSpaceDN/>
            </w:pPr>
          </w:p>
        </w:tc>
        <w:tc>
          <w:tcPr>
            <w:tcW w:w="1871" w:type="dxa"/>
          </w:tcPr>
          <w:p w14:paraId="07EA3685" w14:textId="77777777" w:rsidR="00F67E9E" w:rsidRPr="00A45727" w:rsidRDefault="00F67E9E" w:rsidP="007F74AA">
            <w:pPr>
              <w:pStyle w:val="Tabletext0"/>
              <w:widowControl/>
              <w:autoSpaceDE/>
              <w:autoSpaceDN/>
            </w:pPr>
          </w:p>
        </w:tc>
        <w:tc>
          <w:tcPr>
            <w:tcW w:w="1417" w:type="dxa"/>
          </w:tcPr>
          <w:p w14:paraId="3F3A4676" w14:textId="77777777" w:rsidR="00F67E9E" w:rsidRPr="00A45727" w:rsidRDefault="00F67E9E" w:rsidP="007F74AA">
            <w:pPr>
              <w:pStyle w:val="Tabletext0"/>
              <w:widowControl/>
              <w:autoSpaceDE/>
              <w:autoSpaceDN/>
            </w:pPr>
          </w:p>
        </w:tc>
        <w:tc>
          <w:tcPr>
            <w:tcW w:w="1474" w:type="dxa"/>
          </w:tcPr>
          <w:p w14:paraId="39ADF4E9" w14:textId="77777777" w:rsidR="00F67E9E" w:rsidRPr="00A45727" w:rsidRDefault="00F67E9E" w:rsidP="007F74AA">
            <w:pPr>
              <w:pStyle w:val="Tabletext0"/>
              <w:widowControl/>
              <w:autoSpaceDE/>
              <w:autoSpaceDN/>
            </w:pPr>
          </w:p>
        </w:tc>
        <w:tc>
          <w:tcPr>
            <w:tcW w:w="1587" w:type="dxa"/>
          </w:tcPr>
          <w:p w14:paraId="61995287" w14:textId="77777777" w:rsidR="00F67E9E" w:rsidRPr="00A45727" w:rsidRDefault="00F67E9E" w:rsidP="007F74AA">
            <w:pPr>
              <w:pStyle w:val="Tabletext0"/>
              <w:widowControl/>
              <w:autoSpaceDE/>
              <w:autoSpaceDN/>
            </w:pPr>
          </w:p>
        </w:tc>
      </w:tr>
      <w:tr w:rsidR="00F67E9E" w:rsidRPr="00025910" w14:paraId="2B810F51" w14:textId="77777777" w:rsidTr="007F74AA">
        <w:trPr>
          <w:trHeight w:val="680"/>
        </w:trPr>
        <w:tc>
          <w:tcPr>
            <w:tcW w:w="1417" w:type="dxa"/>
          </w:tcPr>
          <w:p w14:paraId="6357F044" w14:textId="77777777" w:rsidR="00F67E9E" w:rsidRPr="00A45727" w:rsidRDefault="00F67E9E" w:rsidP="007F74AA">
            <w:pPr>
              <w:pStyle w:val="Tabletext0"/>
              <w:widowControl/>
              <w:autoSpaceDE/>
              <w:autoSpaceDN/>
              <w:rPr>
                <w:b/>
                <w:bCs/>
              </w:rPr>
            </w:pPr>
            <w:r w:rsidRPr="00A45727">
              <w:rPr>
                <w:b/>
                <w:bCs/>
              </w:rPr>
              <w:t>Emp No</w:t>
            </w:r>
          </w:p>
        </w:tc>
        <w:tc>
          <w:tcPr>
            <w:tcW w:w="2154" w:type="dxa"/>
          </w:tcPr>
          <w:p w14:paraId="3FA95A9D" w14:textId="77777777" w:rsidR="00F67E9E" w:rsidRPr="00A45727" w:rsidRDefault="00F67E9E" w:rsidP="007F74AA">
            <w:pPr>
              <w:pStyle w:val="Tabletext0"/>
              <w:widowControl/>
              <w:autoSpaceDE/>
              <w:autoSpaceDN/>
            </w:pPr>
          </w:p>
        </w:tc>
        <w:tc>
          <w:tcPr>
            <w:tcW w:w="1587" w:type="dxa"/>
          </w:tcPr>
          <w:p w14:paraId="5F0600D1" w14:textId="77777777" w:rsidR="00F67E9E" w:rsidRPr="00A45727" w:rsidRDefault="00F67E9E" w:rsidP="007F74AA">
            <w:pPr>
              <w:pStyle w:val="Tabletext0"/>
              <w:widowControl/>
              <w:autoSpaceDE/>
              <w:autoSpaceDN/>
            </w:pPr>
          </w:p>
        </w:tc>
        <w:tc>
          <w:tcPr>
            <w:tcW w:w="1587" w:type="dxa"/>
          </w:tcPr>
          <w:p w14:paraId="045A2C38" w14:textId="77777777" w:rsidR="00F67E9E" w:rsidRPr="00A45727" w:rsidRDefault="00F67E9E" w:rsidP="007F74AA">
            <w:pPr>
              <w:pStyle w:val="Tabletext0"/>
              <w:widowControl/>
              <w:autoSpaceDE/>
              <w:autoSpaceDN/>
            </w:pPr>
          </w:p>
        </w:tc>
        <w:tc>
          <w:tcPr>
            <w:tcW w:w="2041" w:type="dxa"/>
          </w:tcPr>
          <w:p w14:paraId="125F0F1A" w14:textId="77777777" w:rsidR="00F67E9E" w:rsidRPr="00A45727" w:rsidRDefault="00F67E9E" w:rsidP="007F74AA">
            <w:pPr>
              <w:pStyle w:val="Tabletext0"/>
              <w:widowControl/>
              <w:autoSpaceDE/>
              <w:autoSpaceDN/>
            </w:pPr>
          </w:p>
        </w:tc>
        <w:tc>
          <w:tcPr>
            <w:tcW w:w="1871" w:type="dxa"/>
          </w:tcPr>
          <w:p w14:paraId="63D3191B" w14:textId="77777777" w:rsidR="00F67E9E" w:rsidRPr="00A45727" w:rsidRDefault="00F67E9E" w:rsidP="007F74AA">
            <w:pPr>
              <w:pStyle w:val="Tabletext0"/>
              <w:widowControl/>
              <w:autoSpaceDE/>
              <w:autoSpaceDN/>
            </w:pPr>
          </w:p>
        </w:tc>
        <w:tc>
          <w:tcPr>
            <w:tcW w:w="1417" w:type="dxa"/>
          </w:tcPr>
          <w:p w14:paraId="347717A5" w14:textId="77777777" w:rsidR="00F67E9E" w:rsidRPr="00A45727" w:rsidRDefault="00F67E9E" w:rsidP="007F74AA">
            <w:pPr>
              <w:pStyle w:val="Tabletext0"/>
              <w:widowControl/>
              <w:autoSpaceDE/>
              <w:autoSpaceDN/>
            </w:pPr>
          </w:p>
        </w:tc>
        <w:tc>
          <w:tcPr>
            <w:tcW w:w="1474" w:type="dxa"/>
          </w:tcPr>
          <w:p w14:paraId="57D2F1ED" w14:textId="77777777" w:rsidR="00F67E9E" w:rsidRPr="00A45727" w:rsidRDefault="00F67E9E" w:rsidP="007F74AA">
            <w:pPr>
              <w:pStyle w:val="Tabletext0"/>
              <w:widowControl/>
              <w:autoSpaceDE/>
              <w:autoSpaceDN/>
            </w:pPr>
          </w:p>
        </w:tc>
        <w:tc>
          <w:tcPr>
            <w:tcW w:w="1587" w:type="dxa"/>
          </w:tcPr>
          <w:p w14:paraId="5297FAE5" w14:textId="77777777" w:rsidR="00F67E9E" w:rsidRPr="00A45727" w:rsidRDefault="00F67E9E" w:rsidP="007F74AA">
            <w:pPr>
              <w:pStyle w:val="Tabletext0"/>
              <w:widowControl/>
              <w:autoSpaceDE/>
              <w:autoSpaceDN/>
            </w:pPr>
          </w:p>
        </w:tc>
      </w:tr>
      <w:tr w:rsidR="00F67E9E" w:rsidRPr="00025910" w14:paraId="766A809D" w14:textId="77777777" w:rsidTr="007F74AA">
        <w:trPr>
          <w:trHeight w:val="680"/>
        </w:trPr>
        <w:tc>
          <w:tcPr>
            <w:tcW w:w="1417" w:type="dxa"/>
          </w:tcPr>
          <w:p w14:paraId="11354E07" w14:textId="77777777" w:rsidR="00F67E9E" w:rsidRPr="00A45727" w:rsidRDefault="00F67E9E" w:rsidP="007F74AA">
            <w:pPr>
              <w:pStyle w:val="Tabletext0"/>
              <w:widowControl/>
              <w:autoSpaceDE/>
              <w:autoSpaceDN/>
              <w:rPr>
                <w:b/>
                <w:bCs/>
              </w:rPr>
            </w:pPr>
            <w:r w:rsidRPr="00A45727">
              <w:rPr>
                <w:b/>
                <w:bCs/>
              </w:rPr>
              <w:t>Emp No</w:t>
            </w:r>
          </w:p>
        </w:tc>
        <w:tc>
          <w:tcPr>
            <w:tcW w:w="2154" w:type="dxa"/>
          </w:tcPr>
          <w:p w14:paraId="44FF0D7A" w14:textId="77777777" w:rsidR="00F67E9E" w:rsidRPr="00A45727" w:rsidRDefault="00F67E9E" w:rsidP="007F74AA">
            <w:pPr>
              <w:pStyle w:val="Tabletext0"/>
              <w:widowControl/>
              <w:autoSpaceDE/>
              <w:autoSpaceDN/>
            </w:pPr>
          </w:p>
        </w:tc>
        <w:tc>
          <w:tcPr>
            <w:tcW w:w="1587" w:type="dxa"/>
          </w:tcPr>
          <w:p w14:paraId="07B4DE3C" w14:textId="77777777" w:rsidR="00F67E9E" w:rsidRPr="00A45727" w:rsidRDefault="00F67E9E" w:rsidP="007F74AA">
            <w:pPr>
              <w:pStyle w:val="Tabletext0"/>
              <w:widowControl/>
              <w:autoSpaceDE/>
              <w:autoSpaceDN/>
            </w:pPr>
          </w:p>
        </w:tc>
        <w:tc>
          <w:tcPr>
            <w:tcW w:w="1587" w:type="dxa"/>
          </w:tcPr>
          <w:p w14:paraId="40BE6044" w14:textId="77777777" w:rsidR="00F67E9E" w:rsidRPr="00A45727" w:rsidRDefault="00F67E9E" w:rsidP="007F74AA">
            <w:pPr>
              <w:pStyle w:val="Tabletext0"/>
              <w:widowControl/>
              <w:autoSpaceDE/>
              <w:autoSpaceDN/>
            </w:pPr>
          </w:p>
        </w:tc>
        <w:tc>
          <w:tcPr>
            <w:tcW w:w="2041" w:type="dxa"/>
          </w:tcPr>
          <w:p w14:paraId="627FDA95" w14:textId="77777777" w:rsidR="00F67E9E" w:rsidRPr="00A45727" w:rsidRDefault="00F67E9E" w:rsidP="007F74AA">
            <w:pPr>
              <w:pStyle w:val="Tabletext0"/>
              <w:widowControl/>
              <w:autoSpaceDE/>
              <w:autoSpaceDN/>
            </w:pPr>
          </w:p>
        </w:tc>
        <w:tc>
          <w:tcPr>
            <w:tcW w:w="1871" w:type="dxa"/>
          </w:tcPr>
          <w:p w14:paraId="5DF163B6" w14:textId="77777777" w:rsidR="00F67E9E" w:rsidRPr="00A45727" w:rsidRDefault="00F67E9E" w:rsidP="007F74AA">
            <w:pPr>
              <w:pStyle w:val="Tabletext0"/>
              <w:widowControl/>
              <w:autoSpaceDE/>
              <w:autoSpaceDN/>
            </w:pPr>
          </w:p>
        </w:tc>
        <w:tc>
          <w:tcPr>
            <w:tcW w:w="1417" w:type="dxa"/>
          </w:tcPr>
          <w:p w14:paraId="108B384D" w14:textId="77777777" w:rsidR="00F67E9E" w:rsidRPr="00A45727" w:rsidRDefault="00F67E9E" w:rsidP="007F74AA">
            <w:pPr>
              <w:pStyle w:val="Tabletext0"/>
              <w:widowControl/>
              <w:autoSpaceDE/>
              <w:autoSpaceDN/>
            </w:pPr>
          </w:p>
        </w:tc>
        <w:tc>
          <w:tcPr>
            <w:tcW w:w="1474" w:type="dxa"/>
          </w:tcPr>
          <w:p w14:paraId="47FBAD20" w14:textId="77777777" w:rsidR="00F67E9E" w:rsidRPr="00A45727" w:rsidRDefault="00F67E9E" w:rsidP="007F74AA">
            <w:pPr>
              <w:pStyle w:val="Tabletext0"/>
              <w:widowControl/>
              <w:autoSpaceDE/>
              <w:autoSpaceDN/>
            </w:pPr>
          </w:p>
        </w:tc>
        <w:tc>
          <w:tcPr>
            <w:tcW w:w="1587" w:type="dxa"/>
          </w:tcPr>
          <w:p w14:paraId="1D2D8596" w14:textId="77777777" w:rsidR="00F67E9E" w:rsidRPr="00A45727" w:rsidRDefault="00F67E9E" w:rsidP="007F74AA">
            <w:pPr>
              <w:pStyle w:val="Tabletext0"/>
              <w:widowControl/>
              <w:autoSpaceDE/>
              <w:autoSpaceDN/>
            </w:pPr>
          </w:p>
        </w:tc>
      </w:tr>
      <w:tr w:rsidR="00F67E9E" w:rsidRPr="00025910" w14:paraId="54A4D9C4" w14:textId="77777777" w:rsidTr="007F74AA">
        <w:trPr>
          <w:trHeight w:val="680"/>
        </w:trPr>
        <w:tc>
          <w:tcPr>
            <w:tcW w:w="1417" w:type="dxa"/>
          </w:tcPr>
          <w:p w14:paraId="6ED4FEEB" w14:textId="77777777" w:rsidR="00F67E9E" w:rsidRPr="00A45727" w:rsidRDefault="00F67E9E" w:rsidP="007F74AA">
            <w:pPr>
              <w:pStyle w:val="Tabletext0"/>
              <w:widowControl/>
              <w:autoSpaceDE/>
              <w:autoSpaceDN/>
              <w:rPr>
                <w:b/>
                <w:bCs/>
              </w:rPr>
            </w:pPr>
            <w:r w:rsidRPr="00A45727">
              <w:rPr>
                <w:b/>
                <w:bCs/>
              </w:rPr>
              <w:t>Emp No</w:t>
            </w:r>
          </w:p>
        </w:tc>
        <w:tc>
          <w:tcPr>
            <w:tcW w:w="2154" w:type="dxa"/>
          </w:tcPr>
          <w:p w14:paraId="7C446F2F" w14:textId="77777777" w:rsidR="00F67E9E" w:rsidRPr="00A45727" w:rsidRDefault="00F67E9E" w:rsidP="007F74AA">
            <w:pPr>
              <w:pStyle w:val="Tabletext0"/>
              <w:widowControl/>
              <w:autoSpaceDE/>
              <w:autoSpaceDN/>
            </w:pPr>
          </w:p>
        </w:tc>
        <w:tc>
          <w:tcPr>
            <w:tcW w:w="1587" w:type="dxa"/>
          </w:tcPr>
          <w:p w14:paraId="686A5AFA" w14:textId="77777777" w:rsidR="00F67E9E" w:rsidRPr="00A45727" w:rsidRDefault="00F67E9E" w:rsidP="007F74AA">
            <w:pPr>
              <w:pStyle w:val="Tabletext0"/>
              <w:widowControl/>
              <w:autoSpaceDE/>
              <w:autoSpaceDN/>
            </w:pPr>
          </w:p>
        </w:tc>
        <w:tc>
          <w:tcPr>
            <w:tcW w:w="1587" w:type="dxa"/>
          </w:tcPr>
          <w:p w14:paraId="5331213B" w14:textId="77777777" w:rsidR="00F67E9E" w:rsidRPr="00A45727" w:rsidRDefault="00F67E9E" w:rsidP="007F74AA">
            <w:pPr>
              <w:pStyle w:val="Tabletext0"/>
              <w:widowControl/>
              <w:autoSpaceDE/>
              <w:autoSpaceDN/>
            </w:pPr>
          </w:p>
        </w:tc>
        <w:tc>
          <w:tcPr>
            <w:tcW w:w="2041" w:type="dxa"/>
          </w:tcPr>
          <w:p w14:paraId="1ED4AA4E" w14:textId="77777777" w:rsidR="00F67E9E" w:rsidRPr="00A45727" w:rsidRDefault="00F67E9E" w:rsidP="007F74AA">
            <w:pPr>
              <w:pStyle w:val="Tabletext0"/>
              <w:widowControl/>
              <w:autoSpaceDE/>
              <w:autoSpaceDN/>
            </w:pPr>
          </w:p>
        </w:tc>
        <w:tc>
          <w:tcPr>
            <w:tcW w:w="1871" w:type="dxa"/>
          </w:tcPr>
          <w:p w14:paraId="5F962BF4" w14:textId="77777777" w:rsidR="00F67E9E" w:rsidRPr="00A45727" w:rsidRDefault="00F67E9E" w:rsidP="007F74AA">
            <w:pPr>
              <w:pStyle w:val="Tabletext0"/>
              <w:widowControl/>
              <w:autoSpaceDE/>
              <w:autoSpaceDN/>
            </w:pPr>
          </w:p>
        </w:tc>
        <w:tc>
          <w:tcPr>
            <w:tcW w:w="1417" w:type="dxa"/>
          </w:tcPr>
          <w:p w14:paraId="1F2123A2" w14:textId="77777777" w:rsidR="00F67E9E" w:rsidRPr="00A45727" w:rsidRDefault="00F67E9E" w:rsidP="007F74AA">
            <w:pPr>
              <w:pStyle w:val="Tabletext0"/>
              <w:widowControl/>
              <w:autoSpaceDE/>
              <w:autoSpaceDN/>
            </w:pPr>
          </w:p>
        </w:tc>
        <w:tc>
          <w:tcPr>
            <w:tcW w:w="1474" w:type="dxa"/>
          </w:tcPr>
          <w:p w14:paraId="5560B838" w14:textId="77777777" w:rsidR="00F67E9E" w:rsidRPr="00A45727" w:rsidRDefault="00F67E9E" w:rsidP="007F74AA">
            <w:pPr>
              <w:pStyle w:val="Tabletext0"/>
              <w:widowControl/>
              <w:autoSpaceDE/>
              <w:autoSpaceDN/>
            </w:pPr>
          </w:p>
        </w:tc>
        <w:tc>
          <w:tcPr>
            <w:tcW w:w="1587" w:type="dxa"/>
          </w:tcPr>
          <w:p w14:paraId="7A882949" w14:textId="77777777" w:rsidR="00F67E9E" w:rsidRPr="00A45727" w:rsidRDefault="00F67E9E" w:rsidP="007F74AA">
            <w:pPr>
              <w:pStyle w:val="Tabletext0"/>
              <w:widowControl/>
              <w:autoSpaceDE/>
              <w:autoSpaceDN/>
            </w:pPr>
          </w:p>
        </w:tc>
      </w:tr>
      <w:tr w:rsidR="00F67E9E" w:rsidRPr="00025910" w14:paraId="18ABE144" w14:textId="77777777" w:rsidTr="007F74AA">
        <w:trPr>
          <w:trHeight w:val="680"/>
        </w:trPr>
        <w:tc>
          <w:tcPr>
            <w:tcW w:w="1417" w:type="dxa"/>
          </w:tcPr>
          <w:p w14:paraId="534324F8" w14:textId="77777777" w:rsidR="00F67E9E" w:rsidRPr="00A45727" w:rsidRDefault="00F67E9E" w:rsidP="007F74AA">
            <w:pPr>
              <w:pStyle w:val="Tabletext0"/>
              <w:widowControl/>
              <w:autoSpaceDE/>
              <w:autoSpaceDN/>
              <w:rPr>
                <w:b/>
                <w:bCs/>
              </w:rPr>
            </w:pPr>
            <w:r w:rsidRPr="00A45727">
              <w:rPr>
                <w:b/>
                <w:bCs/>
              </w:rPr>
              <w:t>Emp No</w:t>
            </w:r>
          </w:p>
        </w:tc>
        <w:tc>
          <w:tcPr>
            <w:tcW w:w="2154" w:type="dxa"/>
          </w:tcPr>
          <w:p w14:paraId="51EE2618" w14:textId="77777777" w:rsidR="00F67E9E" w:rsidRPr="00A45727" w:rsidRDefault="00F67E9E" w:rsidP="007F74AA">
            <w:pPr>
              <w:pStyle w:val="Tabletext0"/>
              <w:widowControl/>
              <w:autoSpaceDE/>
              <w:autoSpaceDN/>
            </w:pPr>
          </w:p>
        </w:tc>
        <w:tc>
          <w:tcPr>
            <w:tcW w:w="1587" w:type="dxa"/>
          </w:tcPr>
          <w:p w14:paraId="3838450E" w14:textId="77777777" w:rsidR="00F67E9E" w:rsidRPr="00A45727" w:rsidRDefault="00F67E9E" w:rsidP="007F74AA">
            <w:pPr>
              <w:pStyle w:val="Tabletext0"/>
              <w:widowControl/>
              <w:autoSpaceDE/>
              <w:autoSpaceDN/>
            </w:pPr>
          </w:p>
        </w:tc>
        <w:tc>
          <w:tcPr>
            <w:tcW w:w="1587" w:type="dxa"/>
          </w:tcPr>
          <w:p w14:paraId="61BDF7DC" w14:textId="77777777" w:rsidR="00F67E9E" w:rsidRPr="00A45727" w:rsidRDefault="00F67E9E" w:rsidP="007F74AA">
            <w:pPr>
              <w:pStyle w:val="Tabletext0"/>
              <w:widowControl/>
              <w:autoSpaceDE/>
              <w:autoSpaceDN/>
            </w:pPr>
          </w:p>
        </w:tc>
        <w:tc>
          <w:tcPr>
            <w:tcW w:w="2041" w:type="dxa"/>
          </w:tcPr>
          <w:p w14:paraId="4FDAA197" w14:textId="77777777" w:rsidR="00F67E9E" w:rsidRPr="00A45727" w:rsidRDefault="00F67E9E" w:rsidP="007F74AA">
            <w:pPr>
              <w:pStyle w:val="Tabletext0"/>
              <w:widowControl/>
              <w:autoSpaceDE/>
              <w:autoSpaceDN/>
            </w:pPr>
          </w:p>
        </w:tc>
        <w:tc>
          <w:tcPr>
            <w:tcW w:w="1871" w:type="dxa"/>
          </w:tcPr>
          <w:p w14:paraId="11760290" w14:textId="77777777" w:rsidR="00F67E9E" w:rsidRPr="00A45727" w:rsidRDefault="00F67E9E" w:rsidP="007F74AA">
            <w:pPr>
              <w:pStyle w:val="Tabletext0"/>
              <w:widowControl/>
              <w:autoSpaceDE/>
              <w:autoSpaceDN/>
            </w:pPr>
          </w:p>
        </w:tc>
        <w:tc>
          <w:tcPr>
            <w:tcW w:w="1417" w:type="dxa"/>
          </w:tcPr>
          <w:p w14:paraId="774D0695" w14:textId="77777777" w:rsidR="00F67E9E" w:rsidRPr="00A45727" w:rsidRDefault="00F67E9E" w:rsidP="007F74AA">
            <w:pPr>
              <w:pStyle w:val="Tabletext0"/>
              <w:widowControl/>
              <w:autoSpaceDE/>
              <w:autoSpaceDN/>
            </w:pPr>
          </w:p>
        </w:tc>
        <w:tc>
          <w:tcPr>
            <w:tcW w:w="1474" w:type="dxa"/>
          </w:tcPr>
          <w:p w14:paraId="61026BC7" w14:textId="77777777" w:rsidR="00F67E9E" w:rsidRPr="00A45727" w:rsidRDefault="00F67E9E" w:rsidP="007F74AA">
            <w:pPr>
              <w:pStyle w:val="Tabletext0"/>
              <w:widowControl/>
              <w:autoSpaceDE/>
              <w:autoSpaceDN/>
            </w:pPr>
          </w:p>
        </w:tc>
        <w:tc>
          <w:tcPr>
            <w:tcW w:w="1587" w:type="dxa"/>
          </w:tcPr>
          <w:p w14:paraId="34ED8FA1" w14:textId="77777777" w:rsidR="00F67E9E" w:rsidRPr="00A45727" w:rsidRDefault="00F67E9E" w:rsidP="007F74AA">
            <w:pPr>
              <w:pStyle w:val="Tabletext0"/>
              <w:widowControl/>
              <w:autoSpaceDE/>
              <w:autoSpaceDN/>
            </w:pPr>
          </w:p>
        </w:tc>
      </w:tr>
    </w:tbl>
    <w:p w14:paraId="14EDB603" w14:textId="77777777" w:rsidR="00F67E9E" w:rsidRDefault="00F67E9E" w:rsidP="00F67E9E"/>
    <w:p w14:paraId="7E6C4F6D" w14:textId="77777777" w:rsidR="00F67E9E" w:rsidRPr="00025910" w:rsidRDefault="00F67E9E" w:rsidP="00F67E9E">
      <w:r w:rsidRPr="00025910">
        <w:br w:type="page"/>
      </w:r>
    </w:p>
    <w:tbl>
      <w:tblPr>
        <w:tblStyle w:val="MSATable-header"/>
        <w:tblW w:w="15142" w:type="dxa"/>
        <w:tblLook w:val="0620" w:firstRow="1" w:lastRow="0" w:firstColumn="0" w:lastColumn="0" w:noHBand="1" w:noVBand="1"/>
      </w:tblPr>
      <w:tblGrid>
        <w:gridCol w:w="1416"/>
        <w:gridCol w:w="1872"/>
        <w:gridCol w:w="1815"/>
        <w:gridCol w:w="3629"/>
        <w:gridCol w:w="2099"/>
        <w:gridCol w:w="1929"/>
        <w:gridCol w:w="2382"/>
      </w:tblGrid>
      <w:tr w:rsidR="00F67E9E" w:rsidRPr="00025910" w14:paraId="119B27B5" w14:textId="77777777" w:rsidTr="007F74AA">
        <w:trPr>
          <w:cnfStyle w:val="100000000000" w:firstRow="1" w:lastRow="0" w:firstColumn="0" w:lastColumn="0" w:oddVBand="0" w:evenVBand="0" w:oddHBand="0" w:evenHBand="0" w:firstRowFirstColumn="0" w:firstRowLastColumn="0" w:lastRowFirstColumn="0" w:lastRowLastColumn="0"/>
          <w:tblHeader/>
        </w:trPr>
        <w:tc>
          <w:tcPr>
            <w:tcW w:w="1417" w:type="dxa"/>
            <w:tcBorders>
              <w:top w:val="nil"/>
              <w:left w:val="nil"/>
            </w:tcBorders>
            <w:shd w:val="clear" w:color="auto" w:fill="auto"/>
          </w:tcPr>
          <w:p w14:paraId="1C300D99" w14:textId="77777777" w:rsidR="00F67E9E" w:rsidRPr="00A45727" w:rsidRDefault="00F67E9E" w:rsidP="007F74AA">
            <w:pPr>
              <w:pStyle w:val="Tabletext0"/>
              <w:widowControl/>
              <w:autoSpaceDE/>
              <w:autoSpaceDN/>
            </w:pPr>
          </w:p>
        </w:tc>
        <w:tc>
          <w:tcPr>
            <w:tcW w:w="13720" w:type="dxa"/>
            <w:gridSpan w:val="6"/>
          </w:tcPr>
          <w:p w14:paraId="7A8669F0" w14:textId="77777777" w:rsidR="00F67E9E" w:rsidRPr="00A45727" w:rsidRDefault="00F67E9E" w:rsidP="007F74AA">
            <w:pPr>
              <w:pStyle w:val="Tabletext0"/>
              <w:widowControl/>
              <w:autoSpaceDE/>
              <w:autoSpaceDN/>
            </w:pPr>
            <w:r w:rsidRPr="00A45727">
              <w:t>CONTRACTUAL PAY AND BENEFITS</w:t>
            </w:r>
          </w:p>
        </w:tc>
      </w:tr>
      <w:tr w:rsidR="00F67E9E" w:rsidRPr="00025910" w14:paraId="3E814E86" w14:textId="77777777" w:rsidTr="007F74AA">
        <w:trPr>
          <w:cnfStyle w:val="100000000000" w:firstRow="1" w:lastRow="0" w:firstColumn="0" w:lastColumn="0" w:oddVBand="0" w:evenVBand="0" w:oddHBand="0" w:evenHBand="0" w:firstRowFirstColumn="0" w:firstRowLastColumn="0" w:lastRowFirstColumn="0" w:lastRowLastColumn="0"/>
          <w:tblHeader/>
        </w:trPr>
        <w:tc>
          <w:tcPr>
            <w:tcW w:w="1417" w:type="dxa"/>
          </w:tcPr>
          <w:p w14:paraId="084F06A0" w14:textId="77777777" w:rsidR="00F67E9E" w:rsidRPr="00A45727" w:rsidRDefault="00F67E9E" w:rsidP="007F74AA">
            <w:pPr>
              <w:pStyle w:val="Tabletext0"/>
              <w:widowControl/>
              <w:autoSpaceDE/>
              <w:autoSpaceDN/>
            </w:pPr>
            <w:r w:rsidRPr="00A45727">
              <w:t>Details</w:t>
            </w:r>
          </w:p>
        </w:tc>
        <w:tc>
          <w:tcPr>
            <w:tcW w:w="1871" w:type="dxa"/>
          </w:tcPr>
          <w:p w14:paraId="5ABDE09F" w14:textId="77777777" w:rsidR="00F67E9E" w:rsidRPr="00A45727" w:rsidRDefault="00F67E9E" w:rsidP="007F74AA">
            <w:pPr>
              <w:pStyle w:val="Tabletext0"/>
              <w:widowControl/>
              <w:autoSpaceDE/>
              <w:autoSpaceDN/>
            </w:pPr>
            <w:r w:rsidRPr="00A45727">
              <w:t>Annual leave entitlement (excluding bank holidays)</w:t>
            </w:r>
          </w:p>
        </w:tc>
        <w:tc>
          <w:tcPr>
            <w:tcW w:w="1814" w:type="dxa"/>
          </w:tcPr>
          <w:p w14:paraId="415F0BF4" w14:textId="77777777" w:rsidR="00F67E9E" w:rsidRPr="00A45727" w:rsidRDefault="00F67E9E" w:rsidP="007F74AA">
            <w:pPr>
              <w:pStyle w:val="Tabletext0"/>
              <w:widowControl/>
              <w:autoSpaceDE/>
              <w:autoSpaceDN/>
            </w:pPr>
            <w:r w:rsidRPr="00A45727">
              <w:t>Bank holiday entitlement</w:t>
            </w:r>
          </w:p>
        </w:tc>
        <w:tc>
          <w:tcPr>
            <w:tcW w:w="3628" w:type="dxa"/>
          </w:tcPr>
          <w:p w14:paraId="765A6176" w14:textId="77777777" w:rsidR="00F67E9E" w:rsidRPr="00A45727" w:rsidRDefault="00F67E9E" w:rsidP="007F74AA">
            <w:pPr>
              <w:pStyle w:val="Tabletext0"/>
              <w:widowControl/>
              <w:autoSpaceDE/>
              <w:autoSpaceDN/>
            </w:pPr>
            <w:r w:rsidRPr="00A45727">
              <w:t>Method of calculating holiday pay (i.e. based on fixed salary only or incl. entitlements to variable remuneration such as bonuses, allowances, commission or overtime pay?)</w:t>
            </w:r>
          </w:p>
        </w:tc>
        <w:tc>
          <w:tcPr>
            <w:tcW w:w="2098" w:type="dxa"/>
          </w:tcPr>
          <w:p w14:paraId="0459D333" w14:textId="77777777" w:rsidR="00F67E9E" w:rsidRPr="00A45727" w:rsidRDefault="00F67E9E" w:rsidP="007F74AA">
            <w:pPr>
              <w:pStyle w:val="Tabletext0"/>
              <w:widowControl/>
              <w:autoSpaceDE/>
              <w:autoSpaceDN/>
            </w:pPr>
            <w:r w:rsidRPr="00A45727">
              <w:t>Maternity or paternity or shared parental leave entitlement and pay</w:t>
            </w:r>
          </w:p>
        </w:tc>
        <w:tc>
          <w:tcPr>
            <w:tcW w:w="1928" w:type="dxa"/>
          </w:tcPr>
          <w:p w14:paraId="0507EB3A" w14:textId="77777777" w:rsidR="00F67E9E" w:rsidRPr="00A45727" w:rsidRDefault="00F67E9E" w:rsidP="007F74AA">
            <w:pPr>
              <w:pStyle w:val="Tabletext0"/>
              <w:widowControl/>
              <w:autoSpaceDE/>
              <w:autoSpaceDN/>
            </w:pPr>
            <w:r w:rsidRPr="00A45727">
              <w:t>Sick leave entitlement and pay</w:t>
            </w:r>
          </w:p>
        </w:tc>
        <w:tc>
          <w:tcPr>
            <w:tcW w:w="2381" w:type="dxa"/>
          </w:tcPr>
          <w:p w14:paraId="1BD7BD2E" w14:textId="77777777" w:rsidR="00F67E9E" w:rsidRPr="00A45727" w:rsidRDefault="00F67E9E" w:rsidP="007F74AA">
            <w:pPr>
              <w:pStyle w:val="Tabletext0"/>
              <w:widowControl/>
              <w:autoSpaceDE/>
              <w:autoSpaceDN/>
            </w:pPr>
            <w:r w:rsidRPr="00A45727">
              <w:t xml:space="preserve">Redundancy pay entitlement (statutory / enhanced / contractual / discretionary) </w:t>
            </w:r>
          </w:p>
        </w:tc>
      </w:tr>
      <w:tr w:rsidR="00F67E9E" w:rsidRPr="00025910" w14:paraId="2CF192E9" w14:textId="77777777" w:rsidTr="007F74AA">
        <w:trPr>
          <w:trHeight w:val="680"/>
        </w:trPr>
        <w:tc>
          <w:tcPr>
            <w:tcW w:w="1417" w:type="dxa"/>
          </w:tcPr>
          <w:p w14:paraId="01AE4918" w14:textId="77777777" w:rsidR="00F67E9E" w:rsidRPr="00A45727" w:rsidRDefault="00F67E9E" w:rsidP="007F74AA">
            <w:pPr>
              <w:pStyle w:val="Tabletext0"/>
              <w:widowControl/>
              <w:autoSpaceDE/>
              <w:autoSpaceDN/>
              <w:rPr>
                <w:b/>
                <w:bCs/>
              </w:rPr>
            </w:pPr>
            <w:r w:rsidRPr="00A45727">
              <w:rPr>
                <w:b/>
                <w:bCs/>
              </w:rPr>
              <w:t>Emp No 1</w:t>
            </w:r>
          </w:p>
        </w:tc>
        <w:tc>
          <w:tcPr>
            <w:tcW w:w="1871" w:type="dxa"/>
          </w:tcPr>
          <w:p w14:paraId="1636CC1A" w14:textId="77777777" w:rsidR="00F67E9E" w:rsidRPr="00A45727" w:rsidRDefault="00F67E9E" w:rsidP="007F74AA">
            <w:pPr>
              <w:pStyle w:val="Tabletext0"/>
              <w:widowControl/>
              <w:autoSpaceDE/>
              <w:autoSpaceDN/>
            </w:pPr>
          </w:p>
        </w:tc>
        <w:tc>
          <w:tcPr>
            <w:tcW w:w="1814" w:type="dxa"/>
          </w:tcPr>
          <w:p w14:paraId="4F40C5A2" w14:textId="77777777" w:rsidR="00F67E9E" w:rsidRPr="00A45727" w:rsidRDefault="00F67E9E" w:rsidP="007F74AA">
            <w:pPr>
              <w:pStyle w:val="Tabletext0"/>
              <w:widowControl/>
              <w:autoSpaceDE/>
              <w:autoSpaceDN/>
            </w:pPr>
          </w:p>
        </w:tc>
        <w:tc>
          <w:tcPr>
            <w:tcW w:w="3628" w:type="dxa"/>
          </w:tcPr>
          <w:p w14:paraId="02EAAD93" w14:textId="77777777" w:rsidR="00F67E9E" w:rsidRPr="00A45727" w:rsidRDefault="00F67E9E" w:rsidP="007F74AA">
            <w:pPr>
              <w:pStyle w:val="Tabletext0"/>
              <w:widowControl/>
              <w:autoSpaceDE/>
              <w:autoSpaceDN/>
            </w:pPr>
          </w:p>
        </w:tc>
        <w:tc>
          <w:tcPr>
            <w:tcW w:w="2098" w:type="dxa"/>
          </w:tcPr>
          <w:p w14:paraId="00118C17" w14:textId="77777777" w:rsidR="00F67E9E" w:rsidRPr="00A45727" w:rsidRDefault="00F67E9E" w:rsidP="007F74AA">
            <w:pPr>
              <w:pStyle w:val="Tabletext0"/>
              <w:widowControl/>
              <w:autoSpaceDE/>
              <w:autoSpaceDN/>
            </w:pPr>
          </w:p>
        </w:tc>
        <w:tc>
          <w:tcPr>
            <w:tcW w:w="1928" w:type="dxa"/>
          </w:tcPr>
          <w:p w14:paraId="3C37FDDD" w14:textId="77777777" w:rsidR="00F67E9E" w:rsidRPr="00A45727" w:rsidRDefault="00F67E9E" w:rsidP="007F74AA">
            <w:pPr>
              <w:pStyle w:val="Tabletext0"/>
              <w:widowControl/>
              <w:autoSpaceDE/>
              <w:autoSpaceDN/>
            </w:pPr>
          </w:p>
        </w:tc>
        <w:tc>
          <w:tcPr>
            <w:tcW w:w="2381" w:type="dxa"/>
          </w:tcPr>
          <w:p w14:paraId="4B12D7E7" w14:textId="77777777" w:rsidR="00F67E9E" w:rsidRPr="00A45727" w:rsidRDefault="00F67E9E" w:rsidP="007F74AA">
            <w:pPr>
              <w:pStyle w:val="Tabletext0"/>
              <w:widowControl/>
              <w:autoSpaceDE/>
              <w:autoSpaceDN/>
            </w:pPr>
          </w:p>
        </w:tc>
      </w:tr>
      <w:tr w:rsidR="00F67E9E" w:rsidRPr="00025910" w14:paraId="39FA6BE6" w14:textId="77777777" w:rsidTr="007F74AA">
        <w:trPr>
          <w:trHeight w:val="680"/>
        </w:trPr>
        <w:tc>
          <w:tcPr>
            <w:tcW w:w="1417" w:type="dxa"/>
          </w:tcPr>
          <w:p w14:paraId="4A9DADE4" w14:textId="77777777" w:rsidR="00F67E9E" w:rsidRPr="00A45727" w:rsidRDefault="00F67E9E" w:rsidP="007F74AA">
            <w:pPr>
              <w:pStyle w:val="Tabletext0"/>
              <w:widowControl/>
              <w:autoSpaceDE/>
              <w:autoSpaceDN/>
              <w:rPr>
                <w:b/>
                <w:bCs/>
              </w:rPr>
            </w:pPr>
            <w:r w:rsidRPr="00A45727">
              <w:rPr>
                <w:b/>
                <w:bCs/>
              </w:rPr>
              <w:t>Emp No 2</w:t>
            </w:r>
          </w:p>
        </w:tc>
        <w:tc>
          <w:tcPr>
            <w:tcW w:w="1871" w:type="dxa"/>
          </w:tcPr>
          <w:p w14:paraId="1E24D4FA" w14:textId="77777777" w:rsidR="00F67E9E" w:rsidRPr="00A45727" w:rsidRDefault="00F67E9E" w:rsidP="007F74AA">
            <w:pPr>
              <w:pStyle w:val="Tabletext0"/>
              <w:widowControl/>
              <w:autoSpaceDE/>
              <w:autoSpaceDN/>
            </w:pPr>
          </w:p>
        </w:tc>
        <w:tc>
          <w:tcPr>
            <w:tcW w:w="1814" w:type="dxa"/>
          </w:tcPr>
          <w:p w14:paraId="060B49CC" w14:textId="77777777" w:rsidR="00F67E9E" w:rsidRPr="00A45727" w:rsidRDefault="00F67E9E" w:rsidP="007F74AA">
            <w:pPr>
              <w:pStyle w:val="Tabletext0"/>
              <w:widowControl/>
              <w:autoSpaceDE/>
              <w:autoSpaceDN/>
            </w:pPr>
          </w:p>
        </w:tc>
        <w:tc>
          <w:tcPr>
            <w:tcW w:w="3628" w:type="dxa"/>
          </w:tcPr>
          <w:p w14:paraId="7A1ADBD1" w14:textId="77777777" w:rsidR="00F67E9E" w:rsidRPr="00A45727" w:rsidRDefault="00F67E9E" w:rsidP="007F74AA">
            <w:pPr>
              <w:pStyle w:val="Tabletext0"/>
              <w:widowControl/>
              <w:autoSpaceDE/>
              <w:autoSpaceDN/>
            </w:pPr>
          </w:p>
        </w:tc>
        <w:tc>
          <w:tcPr>
            <w:tcW w:w="2098" w:type="dxa"/>
          </w:tcPr>
          <w:p w14:paraId="736FD06B" w14:textId="77777777" w:rsidR="00F67E9E" w:rsidRPr="00A45727" w:rsidRDefault="00F67E9E" w:rsidP="007F74AA">
            <w:pPr>
              <w:pStyle w:val="Tabletext0"/>
              <w:widowControl/>
              <w:autoSpaceDE/>
              <w:autoSpaceDN/>
            </w:pPr>
          </w:p>
        </w:tc>
        <w:tc>
          <w:tcPr>
            <w:tcW w:w="1928" w:type="dxa"/>
          </w:tcPr>
          <w:p w14:paraId="239B7D80" w14:textId="77777777" w:rsidR="00F67E9E" w:rsidRPr="00A45727" w:rsidRDefault="00F67E9E" w:rsidP="007F74AA">
            <w:pPr>
              <w:pStyle w:val="Tabletext0"/>
              <w:widowControl/>
              <w:autoSpaceDE/>
              <w:autoSpaceDN/>
            </w:pPr>
          </w:p>
        </w:tc>
        <w:tc>
          <w:tcPr>
            <w:tcW w:w="2381" w:type="dxa"/>
          </w:tcPr>
          <w:p w14:paraId="1F2A6F3E" w14:textId="77777777" w:rsidR="00F67E9E" w:rsidRPr="00A45727" w:rsidRDefault="00F67E9E" w:rsidP="007F74AA">
            <w:pPr>
              <w:pStyle w:val="Tabletext0"/>
              <w:widowControl/>
              <w:autoSpaceDE/>
              <w:autoSpaceDN/>
            </w:pPr>
          </w:p>
        </w:tc>
      </w:tr>
      <w:tr w:rsidR="00F67E9E" w:rsidRPr="00025910" w14:paraId="6C15F6D8" w14:textId="77777777" w:rsidTr="007F74AA">
        <w:trPr>
          <w:trHeight w:val="680"/>
        </w:trPr>
        <w:tc>
          <w:tcPr>
            <w:tcW w:w="1417" w:type="dxa"/>
          </w:tcPr>
          <w:p w14:paraId="570A303E" w14:textId="77777777" w:rsidR="00F67E9E" w:rsidRPr="00A45727" w:rsidRDefault="00F67E9E" w:rsidP="007F74AA">
            <w:pPr>
              <w:pStyle w:val="Tabletext0"/>
              <w:widowControl/>
              <w:autoSpaceDE/>
              <w:autoSpaceDN/>
              <w:rPr>
                <w:b/>
                <w:bCs/>
              </w:rPr>
            </w:pPr>
            <w:r w:rsidRPr="00A45727">
              <w:rPr>
                <w:b/>
                <w:bCs/>
              </w:rPr>
              <w:t>Emp No</w:t>
            </w:r>
          </w:p>
        </w:tc>
        <w:tc>
          <w:tcPr>
            <w:tcW w:w="1871" w:type="dxa"/>
          </w:tcPr>
          <w:p w14:paraId="3CE9A49F" w14:textId="77777777" w:rsidR="00F67E9E" w:rsidRPr="00A45727" w:rsidRDefault="00F67E9E" w:rsidP="007F74AA">
            <w:pPr>
              <w:pStyle w:val="Tabletext0"/>
              <w:widowControl/>
              <w:autoSpaceDE/>
              <w:autoSpaceDN/>
            </w:pPr>
          </w:p>
        </w:tc>
        <w:tc>
          <w:tcPr>
            <w:tcW w:w="1814" w:type="dxa"/>
          </w:tcPr>
          <w:p w14:paraId="6A5D4964" w14:textId="77777777" w:rsidR="00F67E9E" w:rsidRPr="00A45727" w:rsidRDefault="00F67E9E" w:rsidP="007F74AA">
            <w:pPr>
              <w:pStyle w:val="Tabletext0"/>
              <w:widowControl/>
              <w:autoSpaceDE/>
              <w:autoSpaceDN/>
            </w:pPr>
          </w:p>
        </w:tc>
        <w:tc>
          <w:tcPr>
            <w:tcW w:w="3628" w:type="dxa"/>
          </w:tcPr>
          <w:p w14:paraId="17D5752C" w14:textId="77777777" w:rsidR="00F67E9E" w:rsidRPr="00A45727" w:rsidRDefault="00F67E9E" w:rsidP="007F74AA">
            <w:pPr>
              <w:pStyle w:val="Tabletext0"/>
              <w:widowControl/>
              <w:autoSpaceDE/>
              <w:autoSpaceDN/>
            </w:pPr>
          </w:p>
        </w:tc>
        <w:tc>
          <w:tcPr>
            <w:tcW w:w="2098" w:type="dxa"/>
          </w:tcPr>
          <w:p w14:paraId="72FCC56A" w14:textId="77777777" w:rsidR="00F67E9E" w:rsidRPr="00A45727" w:rsidRDefault="00F67E9E" w:rsidP="007F74AA">
            <w:pPr>
              <w:pStyle w:val="Tabletext0"/>
              <w:widowControl/>
              <w:autoSpaceDE/>
              <w:autoSpaceDN/>
            </w:pPr>
          </w:p>
        </w:tc>
        <w:tc>
          <w:tcPr>
            <w:tcW w:w="1928" w:type="dxa"/>
          </w:tcPr>
          <w:p w14:paraId="662E68B2" w14:textId="77777777" w:rsidR="00F67E9E" w:rsidRPr="00A45727" w:rsidRDefault="00F67E9E" w:rsidP="007F74AA">
            <w:pPr>
              <w:pStyle w:val="Tabletext0"/>
              <w:widowControl/>
              <w:autoSpaceDE/>
              <w:autoSpaceDN/>
            </w:pPr>
          </w:p>
        </w:tc>
        <w:tc>
          <w:tcPr>
            <w:tcW w:w="2381" w:type="dxa"/>
          </w:tcPr>
          <w:p w14:paraId="1D7351CD" w14:textId="77777777" w:rsidR="00F67E9E" w:rsidRPr="00A45727" w:rsidRDefault="00F67E9E" w:rsidP="007F74AA">
            <w:pPr>
              <w:pStyle w:val="Tabletext0"/>
              <w:widowControl/>
              <w:autoSpaceDE/>
              <w:autoSpaceDN/>
            </w:pPr>
          </w:p>
        </w:tc>
      </w:tr>
      <w:tr w:rsidR="00F67E9E" w:rsidRPr="00025910" w14:paraId="2432069C" w14:textId="77777777" w:rsidTr="007F74AA">
        <w:trPr>
          <w:trHeight w:val="680"/>
        </w:trPr>
        <w:tc>
          <w:tcPr>
            <w:tcW w:w="1417" w:type="dxa"/>
          </w:tcPr>
          <w:p w14:paraId="21ABA05A" w14:textId="77777777" w:rsidR="00F67E9E" w:rsidRPr="00A45727" w:rsidRDefault="00F67E9E" w:rsidP="007F74AA">
            <w:pPr>
              <w:pStyle w:val="Tabletext0"/>
              <w:widowControl/>
              <w:autoSpaceDE/>
              <w:autoSpaceDN/>
              <w:rPr>
                <w:b/>
                <w:bCs/>
              </w:rPr>
            </w:pPr>
            <w:r w:rsidRPr="00A45727">
              <w:rPr>
                <w:b/>
                <w:bCs/>
              </w:rPr>
              <w:t>Emp No</w:t>
            </w:r>
          </w:p>
        </w:tc>
        <w:tc>
          <w:tcPr>
            <w:tcW w:w="1871" w:type="dxa"/>
          </w:tcPr>
          <w:p w14:paraId="5033551E" w14:textId="77777777" w:rsidR="00F67E9E" w:rsidRPr="00A45727" w:rsidRDefault="00F67E9E" w:rsidP="007F74AA">
            <w:pPr>
              <w:pStyle w:val="Tabletext0"/>
              <w:widowControl/>
              <w:autoSpaceDE/>
              <w:autoSpaceDN/>
            </w:pPr>
          </w:p>
        </w:tc>
        <w:tc>
          <w:tcPr>
            <w:tcW w:w="1814" w:type="dxa"/>
          </w:tcPr>
          <w:p w14:paraId="5C55311F" w14:textId="77777777" w:rsidR="00F67E9E" w:rsidRPr="00A45727" w:rsidRDefault="00F67E9E" w:rsidP="007F74AA">
            <w:pPr>
              <w:pStyle w:val="Tabletext0"/>
              <w:widowControl/>
              <w:autoSpaceDE/>
              <w:autoSpaceDN/>
            </w:pPr>
          </w:p>
        </w:tc>
        <w:tc>
          <w:tcPr>
            <w:tcW w:w="3628" w:type="dxa"/>
          </w:tcPr>
          <w:p w14:paraId="4B4A4834" w14:textId="77777777" w:rsidR="00F67E9E" w:rsidRPr="00A45727" w:rsidRDefault="00F67E9E" w:rsidP="007F74AA">
            <w:pPr>
              <w:pStyle w:val="Tabletext0"/>
              <w:widowControl/>
              <w:autoSpaceDE/>
              <w:autoSpaceDN/>
            </w:pPr>
          </w:p>
        </w:tc>
        <w:tc>
          <w:tcPr>
            <w:tcW w:w="2098" w:type="dxa"/>
          </w:tcPr>
          <w:p w14:paraId="7BC0D9D7" w14:textId="77777777" w:rsidR="00F67E9E" w:rsidRPr="00A45727" w:rsidRDefault="00F67E9E" w:rsidP="007F74AA">
            <w:pPr>
              <w:pStyle w:val="Tabletext0"/>
              <w:widowControl/>
              <w:autoSpaceDE/>
              <w:autoSpaceDN/>
            </w:pPr>
          </w:p>
        </w:tc>
        <w:tc>
          <w:tcPr>
            <w:tcW w:w="1928" w:type="dxa"/>
          </w:tcPr>
          <w:p w14:paraId="3071FCFA" w14:textId="77777777" w:rsidR="00F67E9E" w:rsidRPr="00A45727" w:rsidRDefault="00F67E9E" w:rsidP="007F74AA">
            <w:pPr>
              <w:pStyle w:val="Tabletext0"/>
              <w:widowControl/>
              <w:autoSpaceDE/>
              <w:autoSpaceDN/>
            </w:pPr>
          </w:p>
        </w:tc>
        <w:tc>
          <w:tcPr>
            <w:tcW w:w="2381" w:type="dxa"/>
          </w:tcPr>
          <w:p w14:paraId="2002BDA4" w14:textId="77777777" w:rsidR="00F67E9E" w:rsidRPr="00A45727" w:rsidRDefault="00F67E9E" w:rsidP="007F74AA">
            <w:pPr>
              <w:pStyle w:val="Tabletext0"/>
              <w:widowControl/>
              <w:autoSpaceDE/>
              <w:autoSpaceDN/>
            </w:pPr>
          </w:p>
        </w:tc>
      </w:tr>
      <w:tr w:rsidR="00F67E9E" w:rsidRPr="00025910" w14:paraId="2016BE61" w14:textId="77777777" w:rsidTr="007F74AA">
        <w:trPr>
          <w:trHeight w:val="680"/>
        </w:trPr>
        <w:tc>
          <w:tcPr>
            <w:tcW w:w="1417" w:type="dxa"/>
          </w:tcPr>
          <w:p w14:paraId="2E3453D5" w14:textId="77777777" w:rsidR="00F67E9E" w:rsidRPr="00A45727" w:rsidRDefault="00F67E9E" w:rsidP="007F74AA">
            <w:pPr>
              <w:pStyle w:val="Tabletext0"/>
              <w:widowControl/>
              <w:autoSpaceDE/>
              <w:autoSpaceDN/>
              <w:rPr>
                <w:b/>
                <w:bCs/>
              </w:rPr>
            </w:pPr>
            <w:r w:rsidRPr="00A45727">
              <w:rPr>
                <w:b/>
                <w:bCs/>
              </w:rPr>
              <w:t>Emp No</w:t>
            </w:r>
          </w:p>
        </w:tc>
        <w:tc>
          <w:tcPr>
            <w:tcW w:w="1871" w:type="dxa"/>
          </w:tcPr>
          <w:p w14:paraId="2880DEF5" w14:textId="77777777" w:rsidR="00F67E9E" w:rsidRPr="00A45727" w:rsidRDefault="00F67E9E" w:rsidP="007F74AA">
            <w:pPr>
              <w:pStyle w:val="Tabletext0"/>
              <w:widowControl/>
              <w:autoSpaceDE/>
              <w:autoSpaceDN/>
            </w:pPr>
          </w:p>
        </w:tc>
        <w:tc>
          <w:tcPr>
            <w:tcW w:w="1814" w:type="dxa"/>
          </w:tcPr>
          <w:p w14:paraId="72F628E7" w14:textId="77777777" w:rsidR="00F67E9E" w:rsidRPr="00A45727" w:rsidRDefault="00F67E9E" w:rsidP="007F74AA">
            <w:pPr>
              <w:pStyle w:val="Tabletext0"/>
              <w:widowControl/>
              <w:autoSpaceDE/>
              <w:autoSpaceDN/>
            </w:pPr>
          </w:p>
        </w:tc>
        <w:tc>
          <w:tcPr>
            <w:tcW w:w="3628" w:type="dxa"/>
          </w:tcPr>
          <w:p w14:paraId="688C2631" w14:textId="77777777" w:rsidR="00F67E9E" w:rsidRPr="00A45727" w:rsidRDefault="00F67E9E" w:rsidP="007F74AA">
            <w:pPr>
              <w:pStyle w:val="Tabletext0"/>
              <w:widowControl/>
              <w:autoSpaceDE/>
              <w:autoSpaceDN/>
            </w:pPr>
          </w:p>
        </w:tc>
        <w:tc>
          <w:tcPr>
            <w:tcW w:w="2098" w:type="dxa"/>
          </w:tcPr>
          <w:p w14:paraId="63A224CD" w14:textId="77777777" w:rsidR="00F67E9E" w:rsidRPr="00A45727" w:rsidRDefault="00F67E9E" w:rsidP="007F74AA">
            <w:pPr>
              <w:pStyle w:val="Tabletext0"/>
              <w:widowControl/>
              <w:autoSpaceDE/>
              <w:autoSpaceDN/>
            </w:pPr>
          </w:p>
        </w:tc>
        <w:tc>
          <w:tcPr>
            <w:tcW w:w="1928" w:type="dxa"/>
          </w:tcPr>
          <w:p w14:paraId="5E6AC81A" w14:textId="77777777" w:rsidR="00F67E9E" w:rsidRPr="00A45727" w:rsidRDefault="00F67E9E" w:rsidP="007F74AA">
            <w:pPr>
              <w:pStyle w:val="Tabletext0"/>
              <w:widowControl/>
              <w:autoSpaceDE/>
              <w:autoSpaceDN/>
            </w:pPr>
          </w:p>
        </w:tc>
        <w:tc>
          <w:tcPr>
            <w:tcW w:w="2381" w:type="dxa"/>
          </w:tcPr>
          <w:p w14:paraId="418B8269" w14:textId="77777777" w:rsidR="00F67E9E" w:rsidRPr="00A45727" w:rsidRDefault="00F67E9E" w:rsidP="007F74AA">
            <w:pPr>
              <w:pStyle w:val="Tabletext0"/>
              <w:widowControl/>
              <w:autoSpaceDE/>
              <w:autoSpaceDN/>
            </w:pPr>
          </w:p>
        </w:tc>
      </w:tr>
      <w:tr w:rsidR="00F67E9E" w:rsidRPr="00025910" w14:paraId="51353F6B" w14:textId="77777777" w:rsidTr="007F74AA">
        <w:trPr>
          <w:trHeight w:val="680"/>
        </w:trPr>
        <w:tc>
          <w:tcPr>
            <w:tcW w:w="1417" w:type="dxa"/>
          </w:tcPr>
          <w:p w14:paraId="2392469D" w14:textId="77777777" w:rsidR="00F67E9E" w:rsidRPr="00A45727" w:rsidRDefault="00F67E9E" w:rsidP="007F74AA">
            <w:pPr>
              <w:pStyle w:val="Tabletext0"/>
              <w:widowControl/>
              <w:autoSpaceDE/>
              <w:autoSpaceDN/>
              <w:rPr>
                <w:b/>
                <w:bCs/>
              </w:rPr>
            </w:pPr>
            <w:r w:rsidRPr="00A45727">
              <w:rPr>
                <w:b/>
                <w:bCs/>
              </w:rPr>
              <w:t>Emp No</w:t>
            </w:r>
          </w:p>
        </w:tc>
        <w:tc>
          <w:tcPr>
            <w:tcW w:w="1871" w:type="dxa"/>
          </w:tcPr>
          <w:p w14:paraId="3DABB16E" w14:textId="77777777" w:rsidR="00F67E9E" w:rsidRPr="00A45727" w:rsidRDefault="00F67E9E" w:rsidP="007F74AA">
            <w:pPr>
              <w:pStyle w:val="Tabletext0"/>
              <w:widowControl/>
              <w:autoSpaceDE/>
              <w:autoSpaceDN/>
            </w:pPr>
          </w:p>
        </w:tc>
        <w:tc>
          <w:tcPr>
            <w:tcW w:w="1814" w:type="dxa"/>
          </w:tcPr>
          <w:p w14:paraId="7EC28BDE" w14:textId="77777777" w:rsidR="00F67E9E" w:rsidRPr="00A45727" w:rsidRDefault="00F67E9E" w:rsidP="007F74AA">
            <w:pPr>
              <w:pStyle w:val="Tabletext0"/>
              <w:widowControl/>
              <w:autoSpaceDE/>
              <w:autoSpaceDN/>
            </w:pPr>
          </w:p>
        </w:tc>
        <w:tc>
          <w:tcPr>
            <w:tcW w:w="3628" w:type="dxa"/>
          </w:tcPr>
          <w:p w14:paraId="087CCBB9" w14:textId="77777777" w:rsidR="00F67E9E" w:rsidRPr="00A45727" w:rsidRDefault="00F67E9E" w:rsidP="007F74AA">
            <w:pPr>
              <w:pStyle w:val="Tabletext0"/>
              <w:widowControl/>
              <w:autoSpaceDE/>
              <w:autoSpaceDN/>
            </w:pPr>
          </w:p>
        </w:tc>
        <w:tc>
          <w:tcPr>
            <w:tcW w:w="2098" w:type="dxa"/>
          </w:tcPr>
          <w:p w14:paraId="36A0264A" w14:textId="77777777" w:rsidR="00F67E9E" w:rsidRPr="00A45727" w:rsidRDefault="00F67E9E" w:rsidP="007F74AA">
            <w:pPr>
              <w:pStyle w:val="Tabletext0"/>
              <w:widowControl/>
              <w:autoSpaceDE/>
              <w:autoSpaceDN/>
            </w:pPr>
          </w:p>
        </w:tc>
        <w:tc>
          <w:tcPr>
            <w:tcW w:w="1928" w:type="dxa"/>
          </w:tcPr>
          <w:p w14:paraId="38E9B38F" w14:textId="77777777" w:rsidR="00F67E9E" w:rsidRPr="00A45727" w:rsidRDefault="00F67E9E" w:rsidP="007F74AA">
            <w:pPr>
              <w:pStyle w:val="Tabletext0"/>
              <w:widowControl/>
              <w:autoSpaceDE/>
              <w:autoSpaceDN/>
            </w:pPr>
          </w:p>
        </w:tc>
        <w:tc>
          <w:tcPr>
            <w:tcW w:w="2381" w:type="dxa"/>
          </w:tcPr>
          <w:p w14:paraId="789A4425" w14:textId="77777777" w:rsidR="00F67E9E" w:rsidRPr="00A45727" w:rsidRDefault="00F67E9E" w:rsidP="007F74AA">
            <w:pPr>
              <w:pStyle w:val="Tabletext0"/>
              <w:widowControl/>
              <w:autoSpaceDE/>
              <w:autoSpaceDN/>
            </w:pPr>
          </w:p>
        </w:tc>
      </w:tr>
      <w:tr w:rsidR="00F67E9E" w:rsidRPr="00025910" w14:paraId="336677F4" w14:textId="77777777" w:rsidTr="007F74AA">
        <w:trPr>
          <w:trHeight w:val="680"/>
        </w:trPr>
        <w:tc>
          <w:tcPr>
            <w:tcW w:w="1417" w:type="dxa"/>
          </w:tcPr>
          <w:p w14:paraId="02CECF01" w14:textId="77777777" w:rsidR="00F67E9E" w:rsidRPr="00A45727" w:rsidRDefault="00F67E9E" w:rsidP="007F74AA">
            <w:pPr>
              <w:pStyle w:val="Tabletext0"/>
              <w:widowControl/>
              <w:autoSpaceDE/>
              <w:autoSpaceDN/>
              <w:rPr>
                <w:b/>
                <w:bCs/>
              </w:rPr>
            </w:pPr>
            <w:r w:rsidRPr="00A45727">
              <w:rPr>
                <w:b/>
                <w:bCs/>
              </w:rPr>
              <w:t>Emp No</w:t>
            </w:r>
          </w:p>
        </w:tc>
        <w:tc>
          <w:tcPr>
            <w:tcW w:w="1871" w:type="dxa"/>
          </w:tcPr>
          <w:p w14:paraId="52E818C0" w14:textId="77777777" w:rsidR="00F67E9E" w:rsidRPr="00A45727" w:rsidRDefault="00F67E9E" w:rsidP="007F74AA">
            <w:pPr>
              <w:pStyle w:val="Tabletext0"/>
              <w:widowControl/>
              <w:autoSpaceDE/>
              <w:autoSpaceDN/>
            </w:pPr>
          </w:p>
        </w:tc>
        <w:tc>
          <w:tcPr>
            <w:tcW w:w="1814" w:type="dxa"/>
          </w:tcPr>
          <w:p w14:paraId="2D0A7138" w14:textId="77777777" w:rsidR="00F67E9E" w:rsidRPr="00A45727" w:rsidRDefault="00F67E9E" w:rsidP="007F74AA">
            <w:pPr>
              <w:pStyle w:val="Tabletext0"/>
              <w:widowControl/>
              <w:autoSpaceDE/>
              <w:autoSpaceDN/>
            </w:pPr>
          </w:p>
        </w:tc>
        <w:tc>
          <w:tcPr>
            <w:tcW w:w="3628" w:type="dxa"/>
          </w:tcPr>
          <w:p w14:paraId="04A6384E" w14:textId="77777777" w:rsidR="00F67E9E" w:rsidRPr="00A45727" w:rsidRDefault="00F67E9E" w:rsidP="007F74AA">
            <w:pPr>
              <w:pStyle w:val="Tabletext0"/>
              <w:widowControl/>
              <w:autoSpaceDE/>
              <w:autoSpaceDN/>
            </w:pPr>
          </w:p>
        </w:tc>
        <w:tc>
          <w:tcPr>
            <w:tcW w:w="2098" w:type="dxa"/>
          </w:tcPr>
          <w:p w14:paraId="77CABC55" w14:textId="77777777" w:rsidR="00F67E9E" w:rsidRPr="00A45727" w:rsidRDefault="00F67E9E" w:rsidP="007F74AA">
            <w:pPr>
              <w:pStyle w:val="Tabletext0"/>
              <w:widowControl/>
              <w:autoSpaceDE/>
              <w:autoSpaceDN/>
            </w:pPr>
          </w:p>
        </w:tc>
        <w:tc>
          <w:tcPr>
            <w:tcW w:w="1928" w:type="dxa"/>
          </w:tcPr>
          <w:p w14:paraId="37A80B54" w14:textId="77777777" w:rsidR="00F67E9E" w:rsidRPr="00A45727" w:rsidRDefault="00F67E9E" w:rsidP="007F74AA">
            <w:pPr>
              <w:pStyle w:val="Tabletext0"/>
              <w:widowControl/>
              <w:autoSpaceDE/>
              <w:autoSpaceDN/>
            </w:pPr>
          </w:p>
        </w:tc>
        <w:tc>
          <w:tcPr>
            <w:tcW w:w="2381" w:type="dxa"/>
          </w:tcPr>
          <w:p w14:paraId="44C7787F" w14:textId="77777777" w:rsidR="00F67E9E" w:rsidRPr="00A45727" w:rsidRDefault="00F67E9E" w:rsidP="007F74AA">
            <w:pPr>
              <w:pStyle w:val="Tabletext0"/>
              <w:widowControl/>
              <w:autoSpaceDE/>
              <w:autoSpaceDN/>
            </w:pPr>
          </w:p>
        </w:tc>
      </w:tr>
    </w:tbl>
    <w:p w14:paraId="7D14A0FB" w14:textId="77777777" w:rsidR="00F67E9E" w:rsidRDefault="00F67E9E" w:rsidP="00F67E9E"/>
    <w:p w14:paraId="1B70B91E" w14:textId="77777777" w:rsidR="00F67E9E" w:rsidRPr="00025910" w:rsidRDefault="00F67E9E" w:rsidP="00F67E9E">
      <w:r w:rsidRPr="00025910">
        <w:br w:type="page"/>
      </w:r>
    </w:p>
    <w:tbl>
      <w:tblPr>
        <w:tblStyle w:val="MSATable-header"/>
        <w:tblW w:w="15142" w:type="dxa"/>
        <w:tblLook w:val="04A0" w:firstRow="1" w:lastRow="0" w:firstColumn="1" w:lastColumn="0" w:noHBand="0" w:noVBand="1"/>
      </w:tblPr>
      <w:tblGrid>
        <w:gridCol w:w="1418"/>
        <w:gridCol w:w="1701"/>
        <w:gridCol w:w="1587"/>
        <w:gridCol w:w="1985"/>
        <w:gridCol w:w="2042"/>
        <w:gridCol w:w="2382"/>
        <w:gridCol w:w="4027"/>
      </w:tblGrid>
      <w:tr w:rsidR="00F67E9E" w:rsidRPr="00025910" w14:paraId="507E3EC2" w14:textId="77777777" w:rsidTr="007F74AA">
        <w:trPr>
          <w:cnfStyle w:val="100000000000" w:firstRow="1" w:lastRow="0" w:firstColumn="0" w:lastColumn="0" w:oddVBand="0" w:evenVBand="0" w:oddHBand="0" w:evenHBand="0" w:firstRowFirstColumn="0" w:firstRowLastColumn="0" w:lastRowFirstColumn="0" w:lastRowLastColumn="0"/>
          <w:tblHeader/>
        </w:trPr>
        <w:tc>
          <w:tcPr>
            <w:tcW w:w="1418" w:type="dxa"/>
            <w:tcBorders>
              <w:top w:val="nil"/>
              <w:left w:val="nil"/>
            </w:tcBorders>
            <w:shd w:val="clear" w:color="auto" w:fill="auto"/>
          </w:tcPr>
          <w:p w14:paraId="4E7A7828" w14:textId="77777777" w:rsidR="00F67E9E" w:rsidRPr="00A45727" w:rsidRDefault="00F67E9E" w:rsidP="007F74AA">
            <w:pPr>
              <w:pStyle w:val="Tabletext0"/>
              <w:widowControl/>
              <w:autoSpaceDE/>
              <w:autoSpaceDN/>
            </w:pPr>
          </w:p>
        </w:tc>
        <w:tc>
          <w:tcPr>
            <w:tcW w:w="13720" w:type="dxa"/>
            <w:gridSpan w:val="6"/>
          </w:tcPr>
          <w:p w14:paraId="4B608294" w14:textId="77777777" w:rsidR="00F67E9E" w:rsidRPr="00A45727" w:rsidRDefault="00F67E9E" w:rsidP="007F74AA">
            <w:pPr>
              <w:pStyle w:val="Tabletext0"/>
              <w:widowControl/>
              <w:autoSpaceDE/>
              <w:autoSpaceDN/>
            </w:pPr>
            <w:r w:rsidRPr="00A45727">
              <w:t>PENSIONS</w:t>
            </w:r>
          </w:p>
        </w:tc>
      </w:tr>
      <w:tr w:rsidR="00F67E9E" w:rsidRPr="00025910" w14:paraId="0AE5B2BE" w14:textId="77777777" w:rsidTr="007F74AA">
        <w:trPr>
          <w:cnfStyle w:val="100000000000" w:firstRow="1" w:lastRow="0" w:firstColumn="0" w:lastColumn="0" w:oddVBand="0" w:evenVBand="0" w:oddHBand="0" w:evenHBand="0" w:firstRowFirstColumn="0" w:firstRowLastColumn="0" w:lastRowFirstColumn="0" w:lastRowLastColumn="0"/>
          <w:tblHeader/>
        </w:trPr>
        <w:tc>
          <w:tcPr>
            <w:tcW w:w="1418" w:type="dxa"/>
          </w:tcPr>
          <w:p w14:paraId="163A6DE6" w14:textId="77777777" w:rsidR="00F67E9E" w:rsidRPr="00A45727" w:rsidRDefault="00F67E9E" w:rsidP="007F74AA">
            <w:pPr>
              <w:pStyle w:val="Tabletext0"/>
              <w:widowControl/>
              <w:autoSpaceDE/>
              <w:autoSpaceDN/>
            </w:pPr>
            <w:r w:rsidRPr="00A45727">
              <w:t>Details</w:t>
            </w:r>
          </w:p>
        </w:tc>
        <w:tc>
          <w:tcPr>
            <w:tcW w:w="1701" w:type="dxa"/>
          </w:tcPr>
          <w:p w14:paraId="5A96C6BA" w14:textId="77777777" w:rsidR="00F67E9E" w:rsidRPr="00A45727" w:rsidRDefault="00F67E9E" w:rsidP="007F74AA">
            <w:pPr>
              <w:pStyle w:val="Tabletext0"/>
              <w:widowControl/>
              <w:autoSpaceDE/>
              <w:autoSpaceDN/>
            </w:pPr>
            <w:r w:rsidRPr="00A45727">
              <w:t>Employee pension contribution rate</w:t>
            </w:r>
          </w:p>
        </w:tc>
        <w:tc>
          <w:tcPr>
            <w:tcW w:w="1587" w:type="dxa"/>
          </w:tcPr>
          <w:p w14:paraId="6552B3EC" w14:textId="77777777" w:rsidR="00F67E9E" w:rsidRPr="00A45727" w:rsidRDefault="00F67E9E" w:rsidP="007F74AA">
            <w:pPr>
              <w:pStyle w:val="Tabletext0"/>
              <w:widowControl/>
              <w:autoSpaceDE/>
              <w:autoSpaceDN/>
            </w:pPr>
            <w:r w:rsidRPr="00A45727">
              <w:t>Employer pension contribution rate</w:t>
            </w:r>
          </w:p>
        </w:tc>
        <w:tc>
          <w:tcPr>
            <w:tcW w:w="1984" w:type="dxa"/>
          </w:tcPr>
          <w:p w14:paraId="30CD4338" w14:textId="77777777" w:rsidR="00F67E9E" w:rsidRPr="00A45727" w:rsidRDefault="00F67E9E" w:rsidP="007F74AA">
            <w:pPr>
              <w:pStyle w:val="Tabletext0"/>
              <w:widowControl/>
              <w:autoSpaceDE/>
              <w:autoSpaceDN/>
            </w:pPr>
            <w:r w:rsidRPr="00A45727">
              <w:t>Please provide the name of the pension scheme and a link to the pension scheme website</w:t>
            </w:r>
          </w:p>
        </w:tc>
        <w:tc>
          <w:tcPr>
            <w:tcW w:w="2041" w:type="dxa"/>
          </w:tcPr>
          <w:p w14:paraId="4D98970E" w14:textId="77777777" w:rsidR="00F67E9E" w:rsidRPr="00A45727" w:rsidRDefault="00F67E9E" w:rsidP="007F74AA">
            <w:pPr>
              <w:pStyle w:val="Tabletext0"/>
              <w:widowControl/>
              <w:autoSpaceDE/>
              <w:autoSpaceDN/>
            </w:pPr>
            <w:r w:rsidRPr="00A45727">
              <w:t>Is the scheme an occupational pension scheme as defined in the Pension Schemes Act 1993?</w:t>
            </w:r>
          </w:p>
        </w:tc>
        <w:tc>
          <w:tcPr>
            <w:tcW w:w="2381" w:type="dxa"/>
          </w:tcPr>
          <w:p w14:paraId="71E7DA83" w14:textId="77777777" w:rsidR="00F67E9E" w:rsidRPr="00A45727" w:rsidRDefault="00F67E9E" w:rsidP="007F74AA">
            <w:pPr>
              <w:pStyle w:val="Tabletext0"/>
              <w:widowControl/>
              <w:autoSpaceDE/>
              <w:autoSpaceDN/>
            </w:pPr>
            <w:r w:rsidRPr="00A45727">
              <w:t>If the scheme is not an occupational pension scheme, what type of scheme is it? E.g. personal pension scheme?</w:t>
            </w:r>
          </w:p>
        </w:tc>
        <w:tc>
          <w:tcPr>
            <w:tcW w:w="4025" w:type="dxa"/>
          </w:tcPr>
          <w:p w14:paraId="66B6B90A" w14:textId="77777777" w:rsidR="00F67E9E" w:rsidRPr="00A45727" w:rsidRDefault="00F67E9E" w:rsidP="007F74AA">
            <w:pPr>
              <w:pStyle w:val="Tabletext0"/>
              <w:widowControl/>
              <w:autoSpaceDE/>
              <w:autoSpaceDN/>
            </w:pPr>
            <w:r w:rsidRPr="00A45727">
              <w:t>Type of pension provision e.g. defined benefit (CARE or final salary, and whether a public sector scheme e.g. CSPS, NHSPS, LGPS etc. or a broadly comparable scheme) or a defined contribution scheme or an auto enrolment master trust?</w:t>
            </w:r>
          </w:p>
        </w:tc>
      </w:tr>
      <w:tr w:rsidR="00F67E9E" w:rsidRPr="00025910" w14:paraId="3755CC8B" w14:textId="77777777" w:rsidTr="007F74AA">
        <w:trPr>
          <w:trHeight w:val="680"/>
        </w:trPr>
        <w:tc>
          <w:tcPr>
            <w:tcW w:w="1418" w:type="dxa"/>
          </w:tcPr>
          <w:p w14:paraId="2906CB09" w14:textId="77777777" w:rsidR="00F67E9E" w:rsidRPr="004E522A" w:rsidRDefault="00F67E9E" w:rsidP="007F74AA">
            <w:pPr>
              <w:pStyle w:val="Tabletext0"/>
              <w:widowControl/>
              <w:autoSpaceDE/>
              <w:autoSpaceDN/>
              <w:rPr>
                <w:b/>
                <w:bCs/>
              </w:rPr>
            </w:pPr>
            <w:r w:rsidRPr="004E522A">
              <w:rPr>
                <w:b/>
                <w:bCs/>
              </w:rPr>
              <w:t>Emp No 1</w:t>
            </w:r>
          </w:p>
        </w:tc>
        <w:tc>
          <w:tcPr>
            <w:tcW w:w="1701" w:type="dxa"/>
          </w:tcPr>
          <w:p w14:paraId="04A7F1F6" w14:textId="77777777" w:rsidR="00F67E9E" w:rsidRPr="00A45727" w:rsidRDefault="00F67E9E" w:rsidP="007F74AA">
            <w:pPr>
              <w:pStyle w:val="Tabletext0"/>
              <w:widowControl/>
              <w:autoSpaceDE/>
              <w:autoSpaceDN/>
            </w:pPr>
          </w:p>
        </w:tc>
        <w:tc>
          <w:tcPr>
            <w:tcW w:w="1587" w:type="dxa"/>
          </w:tcPr>
          <w:p w14:paraId="39FA2E1A" w14:textId="77777777" w:rsidR="00F67E9E" w:rsidRPr="00A45727" w:rsidRDefault="00F67E9E" w:rsidP="007F74AA">
            <w:pPr>
              <w:pStyle w:val="Tabletext0"/>
              <w:widowControl/>
              <w:autoSpaceDE/>
              <w:autoSpaceDN/>
            </w:pPr>
          </w:p>
        </w:tc>
        <w:tc>
          <w:tcPr>
            <w:tcW w:w="1984" w:type="dxa"/>
          </w:tcPr>
          <w:p w14:paraId="4DC77D14" w14:textId="77777777" w:rsidR="00F67E9E" w:rsidRPr="00A45727" w:rsidRDefault="00F67E9E" w:rsidP="007F74AA">
            <w:pPr>
              <w:pStyle w:val="Tabletext0"/>
              <w:widowControl/>
              <w:autoSpaceDE/>
              <w:autoSpaceDN/>
            </w:pPr>
          </w:p>
        </w:tc>
        <w:tc>
          <w:tcPr>
            <w:tcW w:w="2041" w:type="dxa"/>
          </w:tcPr>
          <w:p w14:paraId="791635BD" w14:textId="77777777" w:rsidR="00F67E9E" w:rsidRPr="00A45727" w:rsidRDefault="00F67E9E" w:rsidP="007F74AA">
            <w:pPr>
              <w:pStyle w:val="Tabletext0"/>
              <w:widowControl/>
              <w:autoSpaceDE/>
              <w:autoSpaceDN/>
            </w:pPr>
          </w:p>
        </w:tc>
        <w:tc>
          <w:tcPr>
            <w:tcW w:w="2381" w:type="dxa"/>
          </w:tcPr>
          <w:p w14:paraId="64188CD1" w14:textId="77777777" w:rsidR="00F67E9E" w:rsidRPr="00A45727" w:rsidRDefault="00F67E9E" w:rsidP="007F74AA">
            <w:pPr>
              <w:pStyle w:val="Tabletext0"/>
              <w:widowControl/>
              <w:autoSpaceDE/>
              <w:autoSpaceDN/>
            </w:pPr>
          </w:p>
        </w:tc>
        <w:tc>
          <w:tcPr>
            <w:tcW w:w="4025" w:type="dxa"/>
          </w:tcPr>
          <w:p w14:paraId="1CDF2331" w14:textId="77777777" w:rsidR="00F67E9E" w:rsidRPr="00A45727" w:rsidRDefault="00F67E9E" w:rsidP="007F74AA">
            <w:pPr>
              <w:pStyle w:val="Tabletext0"/>
              <w:widowControl/>
              <w:autoSpaceDE/>
              <w:autoSpaceDN/>
            </w:pPr>
          </w:p>
        </w:tc>
      </w:tr>
      <w:tr w:rsidR="00F67E9E" w:rsidRPr="00025910" w14:paraId="38460658" w14:textId="77777777" w:rsidTr="007F74AA">
        <w:trPr>
          <w:trHeight w:val="680"/>
        </w:trPr>
        <w:tc>
          <w:tcPr>
            <w:tcW w:w="1418" w:type="dxa"/>
          </w:tcPr>
          <w:p w14:paraId="7194BDBF" w14:textId="77777777" w:rsidR="00F67E9E" w:rsidRPr="004E522A" w:rsidRDefault="00F67E9E" w:rsidP="007F74AA">
            <w:pPr>
              <w:pStyle w:val="Tabletext0"/>
              <w:widowControl/>
              <w:autoSpaceDE/>
              <w:autoSpaceDN/>
              <w:rPr>
                <w:b/>
                <w:bCs/>
              </w:rPr>
            </w:pPr>
            <w:r w:rsidRPr="004E522A">
              <w:rPr>
                <w:b/>
                <w:bCs/>
              </w:rPr>
              <w:t>Emp No 2</w:t>
            </w:r>
          </w:p>
        </w:tc>
        <w:tc>
          <w:tcPr>
            <w:tcW w:w="1701" w:type="dxa"/>
          </w:tcPr>
          <w:p w14:paraId="72402CA3" w14:textId="77777777" w:rsidR="00F67E9E" w:rsidRPr="00A45727" w:rsidRDefault="00F67E9E" w:rsidP="007F74AA">
            <w:pPr>
              <w:pStyle w:val="Tabletext0"/>
              <w:widowControl/>
              <w:autoSpaceDE/>
              <w:autoSpaceDN/>
            </w:pPr>
          </w:p>
        </w:tc>
        <w:tc>
          <w:tcPr>
            <w:tcW w:w="1587" w:type="dxa"/>
          </w:tcPr>
          <w:p w14:paraId="22FD6AEB" w14:textId="77777777" w:rsidR="00F67E9E" w:rsidRPr="00A45727" w:rsidRDefault="00F67E9E" w:rsidP="007F74AA">
            <w:pPr>
              <w:pStyle w:val="Tabletext0"/>
              <w:widowControl/>
              <w:autoSpaceDE/>
              <w:autoSpaceDN/>
            </w:pPr>
          </w:p>
        </w:tc>
        <w:tc>
          <w:tcPr>
            <w:tcW w:w="1984" w:type="dxa"/>
          </w:tcPr>
          <w:p w14:paraId="6EFB7D07" w14:textId="77777777" w:rsidR="00F67E9E" w:rsidRPr="00A45727" w:rsidRDefault="00F67E9E" w:rsidP="007F74AA">
            <w:pPr>
              <w:pStyle w:val="Tabletext0"/>
              <w:widowControl/>
              <w:autoSpaceDE/>
              <w:autoSpaceDN/>
            </w:pPr>
          </w:p>
        </w:tc>
        <w:tc>
          <w:tcPr>
            <w:tcW w:w="2041" w:type="dxa"/>
          </w:tcPr>
          <w:p w14:paraId="40F87692" w14:textId="77777777" w:rsidR="00F67E9E" w:rsidRPr="00A45727" w:rsidRDefault="00F67E9E" w:rsidP="007F74AA">
            <w:pPr>
              <w:pStyle w:val="Tabletext0"/>
              <w:widowControl/>
              <w:autoSpaceDE/>
              <w:autoSpaceDN/>
            </w:pPr>
          </w:p>
        </w:tc>
        <w:tc>
          <w:tcPr>
            <w:tcW w:w="2381" w:type="dxa"/>
          </w:tcPr>
          <w:p w14:paraId="16E990CA" w14:textId="77777777" w:rsidR="00F67E9E" w:rsidRPr="00A45727" w:rsidRDefault="00F67E9E" w:rsidP="007F74AA">
            <w:pPr>
              <w:pStyle w:val="Tabletext0"/>
              <w:widowControl/>
              <w:autoSpaceDE/>
              <w:autoSpaceDN/>
            </w:pPr>
          </w:p>
        </w:tc>
        <w:tc>
          <w:tcPr>
            <w:tcW w:w="4025" w:type="dxa"/>
          </w:tcPr>
          <w:p w14:paraId="19644F61" w14:textId="77777777" w:rsidR="00F67E9E" w:rsidRPr="00A45727" w:rsidRDefault="00F67E9E" w:rsidP="007F74AA">
            <w:pPr>
              <w:pStyle w:val="Tabletext0"/>
              <w:widowControl/>
              <w:autoSpaceDE/>
              <w:autoSpaceDN/>
            </w:pPr>
          </w:p>
        </w:tc>
      </w:tr>
      <w:tr w:rsidR="00F67E9E" w:rsidRPr="00025910" w14:paraId="5B9E8483" w14:textId="77777777" w:rsidTr="007F74AA">
        <w:trPr>
          <w:trHeight w:val="680"/>
        </w:trPr>
        <w:tc>
          <w:tcPr>
            <w:tcW w:w="1418" w:type="dxa"/>
          </w:tcPr>
          <w:p w14:paraId="716E2A18" w14:textId="77777777" w:rsidR="00F67E9E" w:rsidRPr="004E522A" w:rsidRDefault="00F67E9E" w:rsidP="007F74AA">
            <w:pPr>
              <w:pStyle w:val="Tabletext0"/>
              <w:widowControl/>
              <w:autoSpaceDE/>
              <w:autoSpaceDN/>
              <w:rPr>
                <w:b/>
                <w:bCs/>
              </w:rPr>
            </w:pPr>
            <w:r w:rsidRPr="004E522A">
              <w:rPr>
                <w:b/>
                <w:bCs/>
              </w:rPr>
              <w:t>Emp No</w:t>
            </w:r>
          </w:p>
        </w:tc>
        <w:tc>
          <w:tcPr>
            <w:tcW w:w="1701" w:type="dxa"/>
          </w:tcPr>
          <w:p w14:paraId="2A51C98A" w14:textId="77777777" w:rsidR="00F67E9E" w:rsidRPr="00A45727" w:rsidRDefault="00F67E9E" w:rsidP="007F74AA">
            <w:pPr>
              <w:pStyle w:val="Tabletext0"/>
              <w:widowControl/>
              <w:autoSpaceDE/>
              <w:autoSpaceDN/>
            </w:pPr>
          </w:p>
        </w:tc>
        <w:tc>
          <w:tcPr>
            <w:tcW w:w="1587" w:type="dxa"/>
          </w:tcPr>
          <w:p w14:paraId="1EAD7F7D" w14:textId="77777777" w:rsidR="00F67E9E" w:rsidRPr="00A45727" w:rsidRDefault="00F67E9E" w:rsidP="007F74AA">
            <w:pPr>
              <w:pStyle w:val="Tabletext0"/>
              <w:widowControl/>
              <w:autoSpaceDE/>
              <w:autoSpaceDN/>
            </w:pPr>
          </w:p>
        </w:tc>
        <w:tc>
          <w:tcPr>
            <w:tcW w:w="1984" w:type="dxa"/>
          </w:tcPr>
          <w:p w14:paraId="01009569" w14:textId="77777777" w:rsidR="00F67E9E" w:rsidRPr="00A45727" w:rsidRDefault="00F67E9E" w:rsidP="007F74AA">
            <w:pPr>
              <w:pStyle w:val="Tabletext0"/>
              <w:widowControl/>
              <w:autoSpaceDE/>
              <w:autoSpaceDN/>
            </w:pPr>
          </w:p>
        </w:tc>
        <w:tc>
          <w:tcPr>
            <w:tcW w:w="2041" w:type="dxa"/>
          </w:tcPr>
          <w:p w14:paraId="0E709D10" w14:textId="77777777" w:rsidR="00F67E9E" w:rsidRPr="00A45727" w:rsidRDefault="00F67E9E" w:rsidP="007F74AA">
            <w:pPr>
              <w:pStyle w:val="Tabletext0"/>
              <w:widowControl/>
              <w:autoSpaceDE/>
              <w:autoSpaceDN/>
            </w:pPr>
          </w:p>
        </w:tc>
        <w:tc>
          <w:tcPr>
            <w:tcW w:w="2381" w:type="dxa"/>
          </w:tcPr>
          <w:p w14:paraId="11461FF8" w14:textId="77777777" w:rsidR="00F67E9E" w:rsidRPr="00A45727" w:rsidRDefault="00F67E9E" w:rsidP="007F74AA">
            <w:pPr>
              <w:pStyle w:val="Tabletext0"/>
              <w:widowControl/>
              <w:autoSpaceDE/>
              <w:autoSpaceDN/>
            </w:pPr>
          </w:p>
        </w:tc>
        <w:tc>
          <w:tcPr>
            <w:tcW w:w="4025" w:type="dxa"/>
          </w:tcPr>
          <w:p w14:paraId="4A453211" w14:textId="77777777" w:rsidR="00F67E9E" w:rsidRPr="00A45727" w:rsidRDefault="00F67E9E" w:rsidP="007F74AA">
            <w:pPr>
              <w:pStyle w:val="Tabletext0"/>
              <w:widowControl/>
              <w:autoSpaceDE/>
              <w:autoSpaceDN/>
            </w:pPr>
          </w:p>
        </w:tc>
      </w:tr>
      <w:tr w:rsidR="00F67E9E" w:rsidRPr="00025910" w14:paraId="2AD5596B" w14:textId="77777777" w:rsidTr="007F74AA">
        <w:trPr>
          <w:trHeight w:val="680"/>
        </w:trPr>
        <w:tc>
          <w:tcPr>
            <w:tcW w:w="1418" w:type="dxa"/>
          </w:tcPr>
          <w:p w14:paraId="6B4E7EF0" w14:textId="77777777" w:rsidR="00F67E9E" w:rsidRPr="004E522A" w:rsidRDefault="00F67E9E" w:rsidP="007F74AA">
            <w:pPr>
              <w:pStyle w:val="Tabletext0"/>
              <w:widowControl/>
              <w:autoSpaceDE/>
              <w:autoSpaceDN/>
              <w:rPr>
                <w:b/>
                <w:bCs/>
              </w:rPr>
            </w:pPr>
            <w:r w:rsidRPr="004E522A">
              <w:rPr>
                <w:b/>
                <w:bCs/>
              </w:rPr>
              <w:t>Emp No</w:t>
            </w:r>
          </w:p>
        </w:tc>
        <w:tc>
          <w:tcPr>
            <w:tcW w:w="1701" w:type="dxa"/>
          </w:tcPr>
          <w:p w14:paraId="3D68A5DD" w14:textId="77777777" w:rsidR="00F67E9E" w:rsidRPr="00A45727" w:rsidRDefault="00F67E9E" w:rsidP="007F74AA">
            <w:pPr>
              <w:pStyle w:val="Tabletext0"/>
              <w:widowControl/>
              <w:autoSpaceDE/>
              <w:autoSpaceDN/>
            </w:pPr>
          </w:p>
        </w:tc>
        <w:tc>
          <w:tcPr>
            <w:tcW w:w="1587" w:type="dxa"/>
          </w:tcPr>
          <w:p w14:paraId="72AFDFAE" w14:textId="77777777" w:rsidR="00F67E9E" w:rsidRPr="00A45727" w:rsidRDefault="00F67E9E" w:rsidP="007F74AA">
            <w:pPr>
              <w:pStyle w:val="Tabletext0"/>
              <w:widowControl/>
              <w:autoSpaceDE/>
              <w:autoSpaceDN/>
            </w:pPr>
          </w:p>
        </w:tc>
        <w:tc>
          <w:tcPr>
            <w:tcW w:w="1984" w:type="dxa"/>
          </w:tcPr>
          <w:p w14:paraId="60251297" w14:textId="77777777" w:rsidR="00F67E9E" w:rsidRPr="00A45727" w:rsidRDefault="00F67E9E" w:rsidP="007F74AA">
            <w:pPr>
              <w:pStyle w:val="Tabletext0"/>
              <w:widowControl/>
              <w:autoSpaceDE/>
              <w:autoSpaceDN/>
            </w:pPr>
          </w:p>
        </w:tc>
        <w:tc>
          <w:tcPr>
            <w:tcW w:w="2041" w:type="dxa"/>
          </w:tcPr>
          <w:p w14:paraId="094718C7" w14:textId="77777777" w:rsidR="00F67E9E" w:rsidRPr="00A45727" w:rsidRDefault="00F67E9E" w:rsidP="007F74AA">
            <w:pPr>
              <w:pStyle w:val="Tabletext0"/>
              <w:widowControl/>
              <w:autoSpaceDE/>
              <w:autoSpaceDN/>
            </w:pPr>
          </w:p>
        </w:tc>
        <w:tc>
          <w:tcPr>
            <w:tcW w:w="2381" w:type="dxa"/>
          </w:tcPr>
          <w:p w14:paraId="078E4FAE" w14:textId="77777777" w:rsidR="00F67E9E" w:rsidRPr="00A45727" w:rsidRDefault="00F67E9E" w:rsidP="007F74AA">
            <w:pPr>
              <w:pStyle w:val="Tabletext0"/>
              <w:widowControl/>
              <w:autoSpaceDE/>
              <w:autoSpaceDN/>
            </w:pPr>
          </w:p>
        </w:tc>
        <w:tc>
          <w:tcPr>
            <w:tcW w:w="4025" w:type="dxa"/>
          </w:tcPr>
          <w:p w14:paraId="79938154" w14:textId="77777777" w:rsidR="00F67E9E" w:rsidRPr="00A45727" w:rsidRDefault="00F67E9E" w:rsidP="007F74AA">
            <w:pPr>
              <w:pStyle w:val="Tabletext0"/>
              <w:widowControl/>
              <w:autoSpaceDE/>
              <w:autoSpaceDN/>
            </w:pPr>
          </w:p>
        </w:tc>
      </w:tr>
      <w:tr w:rsidR="00F67E9E" w:rsidRPr="00025910" w14:paraId="01CB2200" w14:textId="77777777" w:rsidTr="007F74AA">
        <w:trPr>
          <w:trHeight w:val="680"/>
        </w:trPr>
        <w:tc>
          <w:tcPr>
            <w:tcW w:w="1418" w:type="dxa"/>
          </w:tcPr>
          <w:p w14:paraId="55D438E8" w14:textId="77777777" w:rsidR="00F67E9E" w:rsidRPr="004E522A" w:rsidRDefault="00F67E9E" w:rsidP="007F74AA">
            <w:pPr>
              <w:pStyle w:val="Tabletext0"/>
              <w:widowControl/>
              <w:autoSpaceDE/>
              <w:autoSpaceDN/>
              <w:rPr>
                <w:b/>
                <w:bCs/>
              </w:rPr>
            </w:pPr>
            <w:r w:rsidRPr="004E522A">
              <w:rPr>
                <w:b/>
                <w:bCs/>
              </w:rPr>
              <w:t>Emp No</w:t>
            </w:r>
          </w:p>
        </w:tc>
        <w:tc>
          <w:tcPr>
            <w:tcW w:w="1701" w:type="dxa"/>
          </w:tcPr>
          <w:p w14:paraId="499810B8" w14:textId="77777777" w:rsidR="00F67E9E" w:rsidRPr="00A45727" w:rsidRDefault="00F67E9E" w:rsidP="007F74AA">
            <w:pPr>
              <w:pStyle w:val="Tabletext0"/>
              <w:widowControl/>
              <w:autoSpaceDE/>
              <w:autoSpaceDN/>
            </w:pPr>
          </w:p>
        </w:tc>
        <w:tc>
          <w:tcPr>
            <w:tcW w:w="1587" w:type="dxa"/>
          </w:tcPr>
          <w:p w14:paraId="69C64705" w14:textId="77777777" w:rsidR="00F67E9E" w:rsidRPr="00A45727" w:rsidRDefault="00F67E9E" w:rsidP="007F74AA">
            <w:pPr>
              <w:pStyle w:val="Tabletext0"/>
              <w:widowControl/>
              <w:autoSpaceDE/>
              <w:autoSpaceDN/>
            </w:pPr>
          </w:p>
        </w:tc>
        <w:tc>
          <w:tcPr>
            <w:tcW w:w="1984" w:type="dxa"/>
          </w:tcPr>
          <w:p w14:paraId="769F8565" w14:textId="77777777" w:rsidR="00F67E9E" w:rsidRPr="00A45727" w:rsidRDefault="00F67E9E" w:rsidP="007F74AA">
            <w:pPr>
              <w:pStyle w:val="Tabletext0"/>
              <w:widowControl/>
              <w:autoSpaceDE/>
              <w:autoSpaceDN/>
            </w:pPr>
          </w:p>
        </w:tc>
        <w:tc>
          <w:tcPr>
            <w:tcW w:w="2041" w:type="dxa"/>
          </w:tcPr>
          <w:p w14:paraId="60CD7A30" w14:textId="77777777" w:rsidR="00F67E9E" w:rsidRPr="00A45727" w:rsidRDefault="00F67E9E" w:rsidP="007F74AA">
            <w:pPr>
              <w:pStyle w:val="Tabletext0"/>
              <w:widowControl/>
              <w:autoSpaceDE/>
              <w:autoSpaceDN/>
            </w:pPr>
          </w:p>
        </w:tc>
        <w:tc>
          <w:tcPr>
            <w:tcW w:w="2381" w:type="dxa"/>
          </w:tcPr>
          <w:p w14:paraId="45D55F13" w14:textId="77777777" w:rsidR="00F67E9E" w:rsidRPr="00A45727" w:rsidRDefault="00F67E9E" w:rsidP="007F74AA">
            <w:pPr>
              <w:pStyle w:val="Tabletext0"/>
              <w:widowControl/>
              <w:autoSpaceDE/>
              <w:autoSpaceDN/>
            </w:pPr>
          </w:p>
        </w:tc>
        <w:tc>
          <w:tcPr>
            <w:tcW w:w="4025" w:type="dxa"/>
          </w:tcPr>
          <w:p w14:paraId="25AD3B5D" w14:textId="77777777" w:rsidR="00F67E9E" w:rsidRPr="00A45727" w:rsidRDefault="00F67E9E" w:rsidP="007F74AA">
            <w:pPr>
              <w:pStyle w:val="Tabletext0"/>
              <w:widowControl/>
              <w:autoSpaceDE/>
              <w:autoSpaceDN/>
            </w:pPr>
          </w:p>
        </w:tc>
      </w:tr>
      <w:tr w:rsidR="00F67E9E" w:rsidRPr="00025910" w14:paraId="1991F047" w14:textId="77777777" w:rsidTr="007F74AA">
        <w:trPr>
          <w:trHeight w:val="680"/>
        </w:trPr>
        <w:tc>
          <w:tcPr>
            <w:tcW w:w="1418" w:type="dxa"/>
          </w:tcPr>
          <w:p w14:paraId="68E40ADA" w14:textId="77777777" w:rsidR="00F67E9E" w:rsidRPr="004E522A" w:rsidRDefault="00F67E9E" w:rsidP="007F74AA">
            <w:pPr>
              <w:pStyle w:val="Tabletext0"/>
              <w:widowControl/>
              <w:autoSpaceDE/>
              <w:autoSpaceDN/>
              <w:rPr>
                <w:b/>
                <w:bCs/>
              </w:rPr>
            </w:pPr>
            <w:r w:rsidRPr="004E522A">
              <w:rPr>
                <w:b/>
                <w:bCs/>
              </w:rPr>
              <w:t>Emp No</w:t>
            </w:r>
          </w:p>
        </w:tc>
        <w:tc>
          <w:tcPr>
            <w:tcW w:w="1701" w:type="dxa"/>
          </w:tcPr>
          <w:p w14:paraId="0F813786" w14:textId="77777777" w:rsidR="00F67E9E" w:rsidRPr="00A45727" w:rsidRDefault="00F67E9E" w:rsidP="007F74AA">
            <w:pPr>
              <w:pStyle w:val="Tabletext0"/>
              <w:widowControl/>
              <w:autoSpaceDE/>
              <w:autoSpaceDN/>
            </w:pPr>
          </w:p>
        </w:tc>
        <w:tc>
          <w:tcPr>
            <w:tcW w:w="1587" w:type="dxa"/>
          </w:tcPr>
          <w:p w14:paraId="6B3BD07E" w14:textId="77777777" w:rsidR="00F67E9E" w:rsidRPr="00A45727" w:rsidRDefault="00F67E9E" w:rsidP="007F74AA">
            <w:pPr>
              <w:pStyle w:val="Tabletext0"/>
              <w:widowControl/>
              <w:autoSpaceDE/>
              <w:autoSpaceDN/>
            </w:pPr>
          </w:p>
        </w:tc>
        <w:tc>
          <w:tcPr>
            <w:tcW w:w="1984" w:type="dxa"/>
          </w:tcPr>
          <w:p w14:paraId="70BA502E" w14:textId="77777777" w:rsidR="00F67E9E" w:rsidRPr="00A45727" w:rsidRDefault="00F67E9E" w:rsidP="007F74AA">
            <w:pPr>
              <w:pStyle w:val="Tabletext0"/>
              <w:widowControl/>
              <w:autoSpaceDE/>
              <w:autoSpaceDN/>
            </w:pPr>
          </w:p>
        </w:tc>
        <w:tc>
          <w:tcPr>
            <w:tcW w:w="2041" w:type="dxa"/>
          </w:tcPr>
          <w:p w14:paraId="36A2EFD2" w14:textId="77777777" w:rsidR="00F67E9E" w:rsidRPr="00A45727" w:rsidRDefault="00F67E9E" w:rsidP="007F74AA">
            <w:pPr>
              <w:pStyle w:val="Tabletext0"/>
              <w:widowControl/>
              <w:autoSpaceDE/>
              <w:autoSpaceDN/>
            </w:pPr>
          </w:p>
        </w:tc>
        <w:tc>
          <w:tcPr>
            <w:tcW w:w="2381" w:type="dxa"/>
          </w:tcPr>
          <w:p w14:paraId="23D70F8D" w14:textId="77777777" w:rsidR="00F67E9E" w:rsidRPr="00A45727" w:rsidRDefault="00F67E9E" w:rsidP="007F74AA">
            <w:pPr>
              <w:pStyle w:val="Tabletext0"/>
              <w:widowControl/>
              <w:autoSpaceDE/>
              <w:autoSpaceDN/>
            </w:pPr>
          </w:p>
        </w:tc>
        <w:tc>
          <w:tcPr>
            <w:tcW w:w="4025" w:type="dxa"/>
          </w:tcPr>
          <w:p w14:paraId="0C7C59E9" w14:textId="77777777" w:rsidR="00F67E9E" w:rsidRPr="00A45727" w:rsidRDefault="00F67E9E" w:rsidP="007F74AA">
            <w:pPr>
              <w:pStyle w:val="Tabletext0"/>
              <w:widowControl/>
              <w:autoSpaceDE/>
              <w:autoSpaceDN/>
            </w:pPr>
          </w:p>
        </w:tc>
      </w:tr>
      <w:tr w:rsidR="00F67E9E" w:rsidRPr="00025910" w14:paraId="50F3B6C1" w14:textId="77777777" w:rsidTr="007F74AA">
        <w:trPr>
          <w:trHeight w:val="680"/>
        </w:trPr>
        <w:tc>
          <w:tcPr>
            <w:tcW w:w="1418" w:type="dxa"/>
          </w:tcPr>
          <w:p w14:paraId="0EBB82DA" w14:textId="77777777" w:rsidR="00F67E9E" w:rsidRPr="004E522A" w:rsidRDefault="00F67E9E" w:rsidP="007F74AA">
            <w:pPr>
              <w:pStyle w:val="Tabletext0"/>
              <w:widowControl/>
              <w:autoSpaceDE/>
              <w:autoSpaceDN/>
              <w:rPr>
                <w:b/>
                <w:bCs/>
              </w:rPr>
            </w:pPr>
            <w:r w:rsidRPr="004E522A">
              <w:rPr>
                <w:b/>
                <w:bCs/>
              </w:rPr>
              <w:t>Emp No</w:t>
            </w:r>
          </w:p>
        </w:tc>
        <w:tc>
          <w:tcPr>
            <w:tcW w:w="1701" w:type="dxa"/>
          </w:tcPr>
          <w:p w14:paraId="4A979B5E" w14:textId="77777777" w:rsidR="00F67E9E" w:rsidRPr="00A45727" w:rsidRDefault="00F67E9E" w:rsidP="007F74AA">
            <w:pPr>
              <w:pStyle w:val="Tabletext0"/>
              <w:widowControl/>
              <w:autoSpaceDE/>
              <w:autoSpaceDN/>
            </w:pPr>
          </w:p>
        </w:tc>
        <w:tc>
          <w:tcPr>
            <w:tcW w:w="1587" w:type="dxa"/>
          </w:tcPr>
          <w:p w14:paraId="35304B80" w14:textId="77777777" w:rsidR="00F67E9E" w:rsidRPr="00A45727" w:rsidRDefault="00F67E9E" w:rsidP="007F74AA">
            <w:pPr>
              <w:pStyle w:val="Tabletext0"/>
              <w:widowControl/>
              <w:autoSpaceDE/>
              <w:autoSpaceDN/>
            </w:pPr>
          </w:p>
        </w:tc>
        <w:tc>
          <w:tcPr>
            <w:tcW w:w="1984" w:type="dxa"/>
          </w:tcPr>
          <w:p w14:paraId="18CD4BFD" w14:textId="77777777" w:rsidR="00F67E9E" w:rsidRPr="00A45727" w:rsidRDefault="00F67E9E" w:rsidP="007F74AA">
            <w:pPr>
              <w:pStyle w:val="Tabletext0"/>
              <w:widowControl/>
              <w:autoSpaceDE/>
              <w:autoSpaceDN/>
            </w:pPr>
          </w:p>
        </w:tc>
        <w:tc>
          <w:tcPr>
            <w:tcW w:w="2041" w:type="dxa"/>
          </w:tcPr>
          <w:p w14:paraId="16E8DE43" w14:textId="77777777" w:rsidR="00F67E9E" w:rsidRPr="00A45727" w:rsidRDefault="00F67E9E" w:rsidP="007F74AA">
            <w:pPr>
              <w:pStyle w:val="Tabletext0"/>
              <w:widowControl/>
              <w:autoSpaceDE/>
              <w:autoSpaceDN/>
            </w:pPr>
          </w:p>
        </w:tc>
        <w:tc>
          <w:tcPr>
            <w:tcW w:w="2381" w:type="dxa"/>
          </w:tcPr>
          <w:p w14:paraId="7EA37066" w14:textId="77777777" w:rsidR="00F67E9E" w:rsidRPr="00A45727" w:rsidRDefault="00F67E9E" w:rsidP="007F74AA">
            <w:pPr>
              <w:pStyle w:val="Tabletext0"/>
              <w:widowControl/>
              <w:autoSpaceDE/>
              <w:autoSpaceDN/>
            </w:pPr>
          </w:p>
        </w:tc>
        <w:tc>
          <w:tcPr>
            <w:tcW w:w="4025" w:type="dxa"/>
          </w:tcPr>
          <w:p w14:paraId="5F1C04DF" w14:textId="77777777" w:rsidR="00F67E9E" w:rsidRPr="00A45727" w:rsidRDefault="00F67E9E" w:rsidP="007F74AA">
            <w:pPr>
              <w:pStyle w:val="Tabletext0"/>
              <w:widowControl/>
              <w:autoSpaceDE/>
              <w:autoSpaceDN/>
            </w:pPr>
          </w:p>
        </w:tc>
      </w:tr>
    </w:tbl>
    <w:p w14:paraId="30B6D87D" w14:textId="77777777" w:rsidR="00F67E9E" w:rsidRDefault="00F67E9E" w:rsidP="00F67E9E"/>
    <w:tbl>
      <w:tblPr>
        <w:tblStyle w:val="MSATable-header"/>
        <w:tblW w:w="15142" w:type="dxa"/>
        <w:tblLook w:val="0620" w:firstRow="1" w:lastRow="0" w:firstColumn="0" w:lastColumn="0" w:noHBand="1" w:noVBand="1"/>
      </w:tblPr>
      <w:tblGrid>
        <w:gridCol w:w="1416"/>
        <w:gridCol w:w="1929"/>
        <w:gridCol w:w="1872"/>
        <w:gridCol w:w="1417"/>
        <w:gridCol w:w="1929"/>
        <w:gridCol w:w="4764"/>
        <w:gridCol w:w="1815"/>
      </w:tblGrid>
      <w:tr w:rsidR="00F67E9E" w:rsidRPr="00025910" w14:paraId="05566059" w14:textId="77777777" w:rsidTr="007F74AA">
        <w:trPr>
          <w:cnfStyle w:val="100000000000" w:firstRow="1" w:lastRow="0" w:firstColumn="0" w:lastColumn="0" w:oddVBand="0" w:evenVBand="0" w:oddHBand="0" w:evenHBand="0" w:firstRowFirstColumn="0" w:firstRowLastColumn="0" w:lastRowFirstColumn="0" w:lastRowLastColumn="0"/>
          <w:tblHeader/>
        </w:trPr>
        <w:tc>
          <w:tcPr>
            <w:tcW w:w="1417" w:type="dxa"/>
            <w:tcBorders>
              <w:top w:val="nil"/>
              <w:left w:val="nil"/>
            </w:tcBorders>
            <w:shd w:val="clear" w:color="auto" w:fill="auto"/>
          </w:tcPr>
          <w:p w14:paraId="719C0D19" w14:textId="77777777" w:rsidR="00F67E9E" w:rsidRPr="00A45727" w:rsidRDefault="00F67E9E" w:rsidP="007F74AA">
            <w:pPr>
              <w:pStyle w:val="Tabletext0"/>
              <w:widowControl/>
              <w:autoSpaceDE/>
              <w:autoSpaceDN/>
            </w:pPr>
          </w:p>
        </w:tc>
        <w:tc>
          <w:tcPr>
            <w:tcW w:w="13720" w:type="dxa"/>
            <w:gridSpan w:val="6"/>
          </w:tcPr>
          <w:p w14:paraId="0AAF622F" w14:textId="77777777" w:rsidR="00F67E9E" w:rsidRPr="00A45727" w:rsidRDefault="00F67E9E" w:rsidP="007F74AA">
            <w:pPr>
              <w:pStyle w:val="Tabletext0"/>
              <w:widowControl/>
              <w:autoSpaceDE/>
              <w:autoSpaceDN/>
            </w:pPr>
            <w:r w:rsidRPr="00A45727">
              <w:t>PENSIONS</w:t>
            </w:r>
          </w:p>
        </w:tc>
      </w:tr>
      <w:tr w:rsidR="00F67E9E" w:rsidRPr="00025910" w14:paraId="425E9BDB" w14:textId="77777777" w:rsidTr="007F74AA">
        <w:trPr>
          <w:cnfStyle w:val="100000000000" w:firstRow="1" w:lastRow="0" w:firstColumn="0" w:lastColumn="0" w:oddVBand="0" w:evenVBand="0" w:oddHBand="0" w:evenHBand="0" w:firstRowFirstColumn="0" w:firstRowLastColumn="0" w:lastRowFirstColumn="0" w:lastRowLastColumn="0"/>
          <w:tblHeader/>
        </w:trPr>
        <w:tc>
          <w:tcPr>
            <w:tcW w:w="1417" w:type="dxa"/>
          </w:tcPr>
          <w:p w14:paraId="5DBADD71" w14:textId="77777777" w:rsidR="00F67E9E" w:rsidRPr="00A45727" w:rsidRDefault="00F67E9E" w:rsidP="007F74AA">
            <w:pPr>
              <w:pStyle w:val="Tabletext0"/>
              <w:widowControl/>
              <w:autoSpaceDE/>
              <w:autoSpaceDN/>
            </w:pPr>
            <w:r w:rsidRPr="00A45727">
              <w:t>Details</w:t>
            </w:r>
          </w:p>
        </w:tc>
        <w:tc>
          <w:tcPr>
            <w:tcW w:w="1928" w:type="dxa"/>
          </w:tcPr>
          <w:p w14:paraId="64CE3135" w14:textId="77777777" w:rsidR="00F67E9E" w:rsidRPr="00A45727" w:rsidRDefault="00F67E9E" w:rsidP="007F74AA">
            <w:pPr>
              <w:pStyle w:val="Tabletext0"/>
              <w:widowControl/>
              <w:autoSpaceDE/>
              <w:autoSpaceDN/>
            </w:pPr>
            <w:r w:rsidRPr="00A45727">
              <w:t>If the Employee is in the Local Government Pension Scheme, please supply details of Fund and Administering Authority.</w:t>
            </w:r>
          </w:p>
        </w:tc>
        <w:tc>
          <w:tcPr>
            <w:tcW w:w="1871" w:type="dxa"/>
          </w:tcPr>
          <w:p w14:paraId="5542B371" w14:textId="77777777" w:rsidR="00F67E9E" w:rsidRPr="00A45727" w:rsidRDefault="00F67E9E" w:rsidP="007F74AA">
            <w:pPr>
              <w:pStyle w:val="Tabletext0"/>
              <w:widowControl/>
              <w:autoSpaceDE/>
              <w:autoSpaceDN/>
            </w:pPr>
            <w:r w:rsidRPr="00A45727">
              <w:t>If the Employee is in the Civil Service Pension Scheme, please provide details of the Admission Agreement.</w:t>
            </w:r>
          </w:p>
        </w:tc>
        <w:tc>
          <w:tcPr>
            <w:tcW w:w="1417" w:type="dxa"/>
          </w:tcPr>
          <w:p w14:paraId="7AEAD32F" w14:textId="77777777" w:rsidR="00F67E9E" w:rsidRPr="00A45727" w:rsidRDefault="00F67E9E" w:rsidP="007F74AA">
            <w:pPr>
              <w:pStyle w:val="Tabletext0"/>
              <w:widowControl/>
              <w:autoSpaceDE/>
              <w:autoSpaceDN/>
            </w:pPr>
            <w:r w:rsidRPr="00A45727">
              <w:t>If the Employee is in the NHSPS, please provide details of the Direction Letter.</w:t>
            </w:r>
          </w:p>
        </w:tc>
        <w:tc>
          <w:tcPr>
            <w:tcW w:w="1928" w:type="dxa"/>
          </w:tcPr>
          <w:p w14:paraId="1DB4A9D0" w14:textId="77777777" w:rsidR="00F67E9E" w:rsidRPr="00A45727" w:rsidRDefault="00F67E9E" w:rsidP="007F74AA">
            <w:pPr>
              <w:pStyle w:val="Tabletext0"/>
              <w:widowControl/>
              <w:autoSpaceDE/>
              <w:autoSpaceDN/>
            </w:pPr>
            <w:r w:rsidRPr="00A45727">
              <w:t>If the Employee is in a broadly comparable pension scheme, please supply a copy of the GAD certificate of Broad Comparability.</w:t>
            </w:r>
          </w:p>
        </w:tc>
        <w:tc>
          <w:tcPr>
            <w:tcW w:w="4762" w:type="dxa"/>
          </w:tcPr>
          <w:p w14:paraId="36E34E3B" w14:textId="77777777" w:rsidR="00F67E9E" w:rsidRPr="00A45727" w:rsidRDefault="00F67E9E" w:rsidP="007F74AA">
            <w:pPr>
              <w:pStyle w:val="Tabletext0"/>
              <w:widowControl/>
              <w:autoSpaceDE/>
              <w:autoSpaceDN/>
            </w:pPr>
            <w:r w:rsidRPr="00A45727">
              <w:t>Did Fair Deal or any other similar pension protection for ex-public sector employees apply to the employee when they TUPE transferred into your employment? If so, what was the nature of that protection (e.g. right to participate in a public sector pension scheme, or a broadly comparable scheme, or to bulk transfer past pension service into their current scheme)?</w:t>
            </w:r>
          </w:p>
        </w:tc>
        <w:tc>
          <w:tcPr>
            <w:tcW w:w="1814" w:type="dxa"/>
          </w:tcPr>
          <w:p w14:paraId="493CF3B7" w14:textId="77777777" w:rsidR="00F67E9E" w:rsidRPr="00A45727" w:rsidRDefault="00F67E9E" w:rsidP="007F74AA">
            <w:pPr>
              <w:pStyle w:val="Tabletext0"/>
              <w:widowControl/>
              <w:autoSpaceDE/>
              <w:autoSpaceDN/>
            </w:pPr>
            <w:r w:rsidRPr="00A45727">
              <w:t xml:space="preserve">If Fair Deal, Best Value or other pension protection applied, which public sector employer did they originally transfer out of and when? </w:t>
            </w:r>
          </w:p>
        </w:tc>
      </w:tr>
      <w:tr w:rsidR="00F67E9E" w:rsidRPr="00025910" w14:paraId="78A9D9A5" w14:textId="77777777" w:rsidTr="007F74AA">
        <w:trPr>
          <w:trHeight w:val="624"/>
        </w:trPr>
        <w:tc>
          <w:tcPr>
            <w:tcW w:w="1417" w:type="dxa"/>
          </w:tcPr>
          <w:p w14:paraId="428DFB5F" w14:textId="77777777" w:rsidR="00F67E9E" w:rsidRPr="004E522A" w:rsidRDefault="00F67E9E" w:rsidP="007F74AA">
            <w:pPr>
              <w:pStyle w:val="Tabletext0"/>
              <w:widowControl/>
              <w:autoSpaceDE/>
              <w:autoSpaceDN/>
              <w:rPr>
                <w:b/>
                <w:bCs/>
              </w:rPr>
            </w:pPr>
            <w:r w:rsidRPr="004E522A">
              <w:rPr>
                <w:b/>
                <w:bCs/>
              </w:rPr>
              <w:t>Emp No 1</w:t>
            </w:r>
          </w:p>
        </w:tc>
        <w:tc>
          <w:tcPr>
            <w:tcW w:w="1928" w:type="dxa"/>
          </w:tcPr>
          <w:p w14:paraId="5BF14B0B" w14:textId="77777777" w:rsidR="00F67E9E" w:rsidRPr="00A45727" w:rsidRDefault="00F67E9E" w:rsidP="007F74AA">
            <w:pPr>
              <w:pStyle w:val="Tabletext0"/>
              <w:widowControl/>
              <w:autoSpaceDE/>
              <w:autoSpaceDN/>
            </w:pPr>
          </w:p>
        </w:tc>
        <w:tc>
          <w:tcPr>
            <w:tcW w:w="1871" w:type="dxa"/>
          </w:tcPr>
          <w:p w14:paraId="52D8D58A" w14:textId="77777777" w:rsidR="00F67E9E" w:rsidRPr="00A45727" w:rsidRDefault="00F67E9E" w:rsidP="007F74AA">
            <w:pPr>
              <w:pStyle w:val="Tabletext0"/>
              <w:widowControl/>
              <w:autoSpaceDE/>
              <w:autoSpaceDN/>
            </w:pPr>
          </w:p>
        </w:tc>
        <w:tc>
          <w:tcPr>
            <w:tcW w:w="1417" w:type="dxa"/>
          </w:tcPr>
          <w:p w14:paraId="6384E23A" w14:textId="77777777" w:rsidR="00F67E9E" w:rsidRPr="00A45727" w:rsidRDefault="00F67E9E" w:rsidP="007F74AA">
            <w:pPr>
              <w:pStyle w:val="Tabletext0"/>
              <w:widowControl/>
              <w:autoSpaceDE/>
              <w:autoSpaceDN/>
            </w:pPr>
          </w:p>
        </w:tc>
        <w:tc>
          <w:tcPr>
            <w:tcW w:w="1928" w:type="dxa"/>
          </w:tcPr>
          <w:p w14:paraId="7BE7B5C4" w14:textId="77777777" w:rsidR="00F67E9E" w:rsidRPr="00A45727" w:rsidRDefault="00F67E9E" w:rsidP="007F74AA">
            <w:pPr>
              <w:pStyle w:val="Tabletext0"/>
              <w:widowControl/>
              <w:autoSpaceDE/>
              <w:autoSpaceDN/>
            </w:pPr>
          </w:p>
        </w:tc>
        <w:tc>
          <w:tcPr>
            <w:tcW w:w="4762" w:type="dxa"/>
          </w:tcPr>
          <w:p w14:paraId="03351339" w14:textId="77777777" w:rsidR="00F67E9E" w:rsidRPr="00A45727" w:rsidRDefault="00F67E9E" w:rsidP="007F74AA">
            <w:pPr>
              <w:pStyle w:val="Tabletext0"/>
              <w:widowControl/>
              <w:autoSpaceDE/>
              <w:autoSpaceDN/>
            </w:pPr>
          </w:p>
        </w:tc>
        <w:tc>
          <w:tcPr>
            <w:tcW w:w="1814" w:type="dxa"/>
          </w:tcPr>
          <w:p w14:paraId="262F1E4B" w14:textId="77777777" w:rsidR="00F67E9E" w:rsidRPr="00A45727" w:rsidRDefault="00F67E9E" w:rsidP="007F74AA">
            <w:pPr>
              <w:pStyle w:val="Tabletext0"/>
              <w:widowControl/>
              <w:autoSpaceDE/>
              <w:autoSpaceDN/>
            </w:pPr>
          </w:p>
        </w:tc>
      </w:tr>
      <w:tr w:rsidR="00F67E9E" w:rsidRPr="00025910" w14:paraId="654B486E" w14:textId="77777777" w:rsidTr="007F74AA">
        <w:trPr>
          <w:trHeight w:val="624"/>
        </w:trPr>
        <w:tc>
          <w:tcPr>
            <w:tcW w:w="1417" w:type="dxa"/>
          </w:tcPr>
          <w:p w14:paraId="270F7AD7" w14:textId="77777777" w:rsidR="00F67E9E" w:rsidRPr="004E522A" w:rsidRDefault="00F67E9E" w:rsidP="007F74AA">
            <w:pPr>
              <w:pStyle w:val="Tabletext0"/>
              <w:widowControl/>
              <w:autoSpaceDE/>
              <w:autoSpaceDN/>
              <w:rPr>
                <w:b/>
                <w:bCs/>
              </w:rPr>
            </w:pPr>
            <w:r w:rsidRPr="004E522A">
              <w:rPr>
                <w:b/>
                <w:bCs/>
              </w:rPr>
              <w:t>Emp No 2</w:t>
            </w:r>
          </w:p>
        </w:tc>
        <w:tc>
          <w:tcPr>
            <w:tcW w:w="1928" w:type="dxa"/>
          </w:tcPr>
          <w:p w14:paraId="17E8532A" w14:textId="77777777" w:rsidR="00F67E9E" w:rsidRPr="00A45727" w:rsidRDefault="00F67E9E" w:rsidP="007F74AA">
            <w:pPr>
              <w:pStyle w:val="Tabletext0"/>
              <w:widowControl/>
              <w:autoSpaceDE/>
              <w:autoSpaceDN/>
            </w:pPr>
          </w:p>
        </w:tc>
        <w:tc>
          <w:tcPr>
            <w:tcW w:w="1871" w:type="dxa"/>
          </w:tcPr>
          <w:p w14:paraId="46CB298E" w14:textId="77777777" w:rsidR="00F67E9E" w:rsidRPr="00A45727" w:rsidRDefault="00F67E9E" w:rsidP="007F74AA">
            <w:pPr>
              <w:pStyle w:val="Tabletext0"/>
              <w:widowControl/>
              <w:autoSpaceDE/>
              <w:autoSpaceDN/>
            </w:pPr>
          </w:p>
        </w:tc>
        <w:tc>
          <w:tcPr>
            <w:tcW w:w="1417" w:type="dxa"/>
          </w:tcPr>
          <w:p w14:paraId="7B06085F" w14:textId="77777777" w:rsidR="00F67E9E" w:rsidRPr="00A45727" w:rsidRDefault="00F67E9E" w:rsidP="007F74AA">
            <w:pPr>
              <w:pStyle w:val="Tabletext0"/>
              <w:widowControl/>
              <w:autoSpaceDE/>
              <w:autoSpaceDN/>
            </w:pPr>
          </w:p>
        </w:tc>
        <w:tc>
          <w:tcPr>
            <w:tcW w:w="1928" w:type="dxa"/>
          </w:tcPr>
          <w:p w14:paraId="317C11E9" w14:textId="77777777" w:rsidR="00F67E9E" w:rsidRPr="00A45727" w:rsidRDefault="00F67E9E" w:rsidP="007F74AA">
            <w:pPr>
              <w:pStyle w:val="Tabletext0"/>
              <w:widowControl/>
              <w:autoSpaceDE/>
              <w:autoSpaceDN/>
            </w:pPr>
          </w:p>
        </w:tc>
        <w:tc>
          <w:tcPr>
            <w:tcW w:w="4762" w:type="dxa"/>
          </w:tcPr>
          <w:p w14:paraId="7FC7D29C" w14:textId="77777777" w:rsidR="00F67E9E" w:rsidRPr="00A45727" w:rsidRDefault="00F67E9E" w:rsidP="007F74AA">
            <w:pPr>
              <w:pStyle w:val="Tabletext0"/>
              <w:widowControl/>
              <w:autoSpaceDE/>
              <w:autoSpaceDN/>
            </w:pPr>
          </w:p>
        </w:tc>
        <w:tc>
          <w:tcPr>
            <w:tcW w:w="1814" w:type="dxa"/>
          </w:tcPr>
          <w:p w14:paraId="2FE7A901" w14:textId="77777777" w:rsidR="00F67E9E" w:rsidRPr="00A45727" w:rsidRDefault="00F67E9E" w:rsidP="007F74AA">
            <w:pPr>
              <w:pStyle w:val="Tabletext0"/>
              <w:widowControl/>
              <w:autoSpaceDE/>
              <w:autoSpaceDN/>
            </w:pPr>
          </w:p>
        </w:tc>
      </w:tr>
      <w:tr w:rsidR="00F67E9E" w:rsidRPr="00025910" w14:paraId="2F9497C3" w14:textId="77777777" w:rsidTr="007F74AA">
        <w:trPr>
          <w:trHeight w:val="624"/>
        </w:trPr>
        <w:tc>
          <w:tcPr>
            <w:tcW w:w="1417" w:type="dxa"/>
          </w:tcPr>
          <w:p w14:paraId="14267F3A" w14:textId="77777777" w:rsidR="00F67E9E" w:rsidRPr="004E522A" w:rsidRDefault="00F67E9E" w:rsidP="007F74AA">
            <w:pPr>
              <w:pStyle w:val="Tabletext0"/>
              <w:widowControl/>
              <w:autoSpaceDE/>
              <w:autoSpaceDN/>
              <w:rPr>
                <w:b/>
                <w:bCs/>
              </w:rPr>
            </w:pPr>
            <w:r w:rsidRPr="004E522A">
              <w:rPr>
                <w:b/>
                <w:bCs/>
              </w:rPr>
              <w:t>Emp No</w:t>
            </w:r>
          </w:p>
        </w:tc>
        <w:tc>
          <w:tcPr>
            <w:tcW w:w="1928" w:type="dxa"/>
          </w:tcPr>
          <w:p w14:paraId="23EB90B0" w14:textId="77777777" w:rsidR="00F67E9E" w:rsidRPr="00A45727" w:rsidRDefault="00F67E9E" w:rsidP="007F74AA">
            <w:pPr>
              <w:pStyle w:val="Tabletext0"/>
              <w:widowControl/>
              <w:autoSpaceDE/>
              <w:autoSpaceDN/>
            </w:pPr>
          </w:p>
        </w:tc>
        <w:tc>
          <w:tcPr>
            <w:tcW w:w="1871" w:type="dxa"/>
          </w:tcPr>
          <w:p w14:paraId="1F1A87C1" w14:textId="77777777" w:rsidR="00F67E9E" w:rsidRPr="00A45727" w:rsidRDefault="00F67E9E" w:rsidP="007F74AA">
            <w:pPr>
              <w:pStyle w:val="Tabletext0"/>
              <w:widowControl/>
              <w:autoSpaceDE/>
              <w:autoSpaceDN/>
            </w:pPr>
          </w:p>
        </w:tc>
        <w:tc>
          <w:tcPr>
            <w:tcW w:w="1417" w:type="dxa"/>
          </w:tcPr>
          <w:p w14:paraId="57D6CC75" w14:textId="77777777" w:rsidR="00F67E9E" w:rsidRPr="00A45727" w:rsidRDefault="00F67E9E" w:rsidP="007F74AA">
            <w:pPr>
              <w:pStyle w:val="Tabletext0"/>
              <w:widowControl/>
              <w:autoSpaceDE/>
              <w:autoSpaceDN/>
            </w:pPr>
          </w:p>
        </w:tc>
        <w:tc>
          <w:tcPr>
            <w:tcW w:w="1928" w:type="dxa"/>
          </w:tcPr>
          <w:p w14:paraId="666E7A12" w14:textId="77777777" w:rsidR="00F67E9E" w:rsidRPr="00A45727" w:rsidRDefault="00F67E9E" w:rsidP="007F74AA">
            <w:pPr>
              <w:pStyle w:val="Tabletext0"/>
              <w:widowControl/>
              <w:autoSpaceDE/>
              <w:autoSpaceDN/>
            </w:pPr>
          </w:p>
        </w:tc>
        <w:tc>
          <w:tcPr>
            <w:tcW w:w="4762" w:type="dxa"/>
          </w:tcPr>
          <w:p w14:paraId="374DEF03" w14:textId="77777777" w:rsidR="00F67E9E" w:rsidRPr="00A45727" w:rsidRDefault="00F67E9E" w:rsidP="007F74AA">
            <w:pPr>
              <w:pStyle w:val="Tabletext0"/>
              <w:widowControl/>
              <w:autoSpaceDE/>
              <w:autoSpaceDN/>
            </w:pPr>
          </w:p>
        </w:tc>
        <w:tc>
          <w:tcPr>
            <w:tcW w:w="1814" w:type="dxa"/>
          </w:tcPr>
          <w:p w14:paraId="43D72433" w14:textId="77777777" w:rsidR="00F67E9E" w:rsidRPr="00A45727" w:rsidRDefault="00F67E9E" w:rsidP="007F74AA">
            <w:pPr>
              <w:pStyle w:val="Tabletext0"/>
              <w:widowControl/>
              <w:autoSpaceDE/>
              <w:autoSpaceDN/>
            </w:pPr>
          </w:p>
        </w:tc>
      </w:tr>
      <w:tr w:rsidR="00F67E9E" w:rsidRPr="00025910" w14:paraId="23CFDD43" w14:textId="77777777" w:rsidTr="007F74AA">
        <w:trPr>
          <w:trHeight w:val="624"/>
        </w:trPr>
        <w:tc>
          <w:tcPr>
            <w:tcW w:w="1417" w:type="dxa"/>
          </w:tcPr>
          <w:p w14:paraId="728EE882" w14:textId="77777777" w:rsidR="00F67E9E" w:rsidRPr="004E522A" w:rsidRDefault="00F67E9E" w:rsidP="007F74AA">
            <w:pPr>
              <w:pStyle w:val="Tabletext0"/>
              <w:widowControl/>
              <w:autoSpaceDE/>
              <w:autoSpaceDN/>
              <w:rPr>
                <w:b/>
                <w:bCs/>
              </w:rPr>
            </w:pPr>
            <w:r w:rsidRPr="004E522A">
              <w:rPr>
                <w:b/>
                <w:bCs/>
              </w:rPr>
              <w:t>Emp No</w:t>
            </w:r>
          </w:p>
        </w:tc>
        <w:tc>
          <w:tcPr>
            <w:tcW w:w="1928" w:type="dxa"/>
          </w:tcPr>
          <w:p w14:paraId="6F7AA6CE" w14:textId="77777777" w:rsidR="00F67E9E" w:rsidRPr="00A45727" w:rsidRDefault="00F67E9E" w:rsidP="007F74AA">
            <w:pPr>
              <w:pStyle w:val="Tabletext0"/>
              <w:widowControl/>
              <w:autoSpaceDE/>
              <w:autoSpaceDN/>
            </w:pPr>
          </w:p>
        </w:tc>
        <w:tc>
          <w:tcPr>
            <w:tcW w:w="1871" w:type="dxa"/>
          </w:tcPr>
          <w:p w14:paraId="4F5E161C" w14:textId="77777777" w:rsidR="00F67E9E" w:rsidRPr="00A45727" w:rsidRDefault="00F67E9E" w:rsidP="007F74AA">
            <w:pPr>
              <w:pStyle w:val="Tabletext0"/>
              <w:widowControl/>
              <w:autoSpaceDE/>
              <w:autoSpaceDN/>
            </w:pPr>
          </w:p>
        </w:tc>
        <w:tc>
          <w:tcPr>
            <w:tcW w:w="1417" w:type="dxa"/>
          </w:tcPr>
          <w:p w14:paraId="678311F4" w14:textId="77777777" w:rsidR="00F67E9E" w:rsidRPr="00A45727" w:rsidRDefault="00F67E9E" w:rsidP="007F74AA">
            <w:pPr>
              <w:pStyle w:val="Tabletext0"/>
              <w:widowControl/>
              <w:autoSpaceDE/>
              <w:autoSpaceDN/>
            </w:pPr>
          </w:p>
        </w:tc>
        <w:tc>
          <w:tcPr>
            <w:tcW w:w="1928" w:type="dxa"/>
          </w:tcPr>
          <w:p w14:paraId="2A54990E" w14:textId="77777777" w:rsidR="00F67E9E" w:rsidRPr="00A45727" w:rsidRDefault="00F67E9E" w:rsidP="007F74AA">
            <w:pPr>
              <w:pStyle w:val="Tabletext0"/>
              <w:widowControl/>
              <w:autoSpaceDE/>
              <w:autoSpaceDN/>
            </w:pPr>
          </w:p>
        </w:tc>
        <w:tc>
          <w:tcPr>
            <w:tcW w:w="4762" w:type="dxa"/>
          </w:tcPr>
          <w:p w14:paraId="0A8078A5" w14:textId="77777777" w:rsidR="00F67E9E" w:rsidRPr="00A45727" w:rsidRDefault="00F67E9E" w:rsidP="007F74AA">
            <w:pPr>
              <w:pStyle w:val="Tabletext0"/>
              <w:widowControl/>
              <w:autoSpaceDE/>
              <w:autoSpaceDN/>
            </w:pPr>
          </w:p>
        </w:tc>
        <w:tc>
          <w:tcPr>
            <w:tcW w:w="1814" w:type="dxa"/>
          </w:tcPr>
          <w:p w14:paraId="7DA0FB26" w14:textId="77777777" w:rsidR="00F67E9E" w:rsidRPr="00A45727" w:rsidRDefault="00F67E9E" w:rsidP="007F74AA">
            <w:pPr>
              <w:pStyle w:val="Tabletext0"/>
              <w:widowControl/>
              <w:autoSpaceDE/>
              <w:autoSpaceDN/>
            </w:pPr>
          </w:p>
        </w:tc>
      </w:tr>
      <w:tr w:rsidR="00F67E9E" w:rsidRPr="00025910" w14:paraId="5A3DD8B7" w14:textId="77777777" w:rsidTr="007F74AA">
        <w:trPr>
          <w:trHeight w:val="624"/>
        </w:trPr>
        <w:tc>
          <w:tcPr>
            <w:tcW w:w="1417" w:type="dxa"/>
          </w:tcPr>
          <w:p w14:paraId="786821F0" w14:textId="77777777" w:rsidR="00F67E9E" w:rsidRPr="004E522A" w:rsidRDefault="00F67E9E" w:rsidP="007F74AA">
            <w:pPr>
              <w:pStyle w:val="Tabletext0"/>
              <w:widowControl/>
              <w:autoSpaceDE/>
              <w:autoSpaceDN/>
              <w:rPr>
                <w:b/>
                <w:bCs/>
              </w:rPr>
            </w:pPr>
            <w:r w:rsidRPr="004E522A">
              <w:rPr>
                <w:b/>
                <w:bCs/>
              </w:rPr>
              <w:t>Emp No</w:t>
            </w:r>
          </w:p>
        </w:tc>
        <w:tc>
          <w:tcPr>
            <w:tcW w:w="1928" w:type="dxa"/>
          </w:tcPr>
          <w:p w14:paraId="4DEAE2C8" w14:textId="77777777" w:rsidR="00F67E9E" w:rsidRPr="00A45727" w:rsidRDefault="00F67E9E" w:rsidP="007F74AA">
            <w:pPr>
              <w:pStyle w:val="Tabletext0"/>
              <w:widowControl/>
              <w:autoSpaceDE/>
              <w:autoSpaceDN/>
            </w:pPr>
          </w:p>
        </w:tc>
        <w:tc>
          <w:tcPr>
            <w:tcW w:w="1871" w:type="dxa"/>
          </w:tcPr>
          <w:p w14:paraId="470AF064" w14:textId="77777777" w:rsidR="00F67E9E" w:rsidRPr="00A45727" w:rsidRDefault="00F67E9E" w:rsidP="007F74AA">
            <w:pPr>
              <w:pStyle w:val="Tabletext0"/>
              <w:widowControl/>
              <w:autoSpaceDE/>
              <w:autoSpaceDN/>
            </w:pPr>
          </w:p>
        </w:tc>
        <w:tc>
          <w:tcPr>
            <w:tcW w:w="1417" w:type="dxa"/>
          </w:tcPr>
          <w:p w14:paraId="09B50F16" w14:textId="77777777" w:rsidR="00F67E9E" w:rsidRPr="00A45727" w:rsidRDefault="00F67E9E" w:rsidP="007F74AA">
            <w:pPr>
              <w:pStyle w:val="Tabletext0"/>
              <w:widowControl/>
              <w:autoSpaceDE/>
              <w:autoSpaceDN/>
            </w:pPr>
          </w:p>
        </w:tc>
        <w:tc>
          <w:tcPr>
            <w:tcW w:w="1928" w:type="dxa"/>
          </w:tcPr>
          <w:p w14:paraId="021081E8" w14:textId="77777777" w:rsidR="00F67E9E" w:rsidRPr="00A45727" w:rsidRDefault="00F67E9E" w:rsidP="007F74AA">
            <w:pPr>
              <w:pStyle w:val="Tabletext0"/>
              <w:widowControl/>
              <w:autoSpaceDE/>
              <w:autoSpaceDN/>
            </w:pPr>
          </w:p>
        </w:tc>
        <w:tc>
          <w:tcPr>
            <w:tcW w:w="4762" w:type="dxa"/>
          </w:tcPr>
          <w:p w14:paraId="4E545CA0" w14:textId="77777777" w:rsidR="00F67E9E" w:rsidRPr="00A45727" w:rsidRDefault="00F67E9E" w:rsidP="007F74AA">
            <w:pPr>
              <w:pStyle w:val="Tabletext0"/>
              <w:widowControl/>
              <w:autoSpaceDE/>
              <w:autoSpaceDN/>
            </w:pPr>
          </w:p>
        </w:tc>
        <w:tc>
          <w:tcPr>
            <w:tcW w:w="1814" w:type="dxa"/>
          </w:tcPr>
          <w:p w14:paraId="15723A93" w14:textId="77777777" w:rsidR="00F67E9E" w:rsidRPr="00A45727" w:rsidRDefault="00F67E9E" w:rsidP="007F74AA">
            <w:pPr>
              <w:pStyle w:val="Tabletext0"/>
              <w:widowControl/>
              <w:autoSpaceDE/>
              <w:autoSpaceDN/>
            </w:pPr>
          </w:p>
        </w:tc>
      </w:tr>
      <w:tr w:rsidR="00F67E9E" w:rsidRPr="00025910" w14:paraId="565549FC" w14:textId="77777777" w:rsidTr="007F74AA">
        <w:trPr>
          <w:trHeight w:val="624"/>
        </w:trPr>
        <w:tc>
          <w:tcPr>
            <w:tcW w:w="1417" w:type="dxa"/>
          </w:tcPr>
          <w:p w14:paraId="11AFD0FB" w14:textId="77777777" w:rsidR="00F67E9E" w:rsidRPr="004E522A" w:rsidRDefault="00F67E9E" w:rsidP="007F74AA">
            <w:pPr>
              <w:pStyle w:val="Tabletext0"/>
              <w:widowControl/>
              <w:autoSpaceDE/>
              <w:autoSpaceDN/>
              <w:rPr>
                <w:b/>
                <w:bCs/>
              </w:rPr>
            </w:pPr>
            <w:r w:rsidRPr="004E522A">
              <w:rPr>
                <w:b/>
                <w:bCs/>
              </w:rPr>
              <w:t>Emp No</w:t>
            </w:r>
          </w:p>
        </w:tc>
        <w:tc>
          <w:tcPr>
            <w:tcW w:w="1928" w:type="dxa"/>
          </w:tcPr>
          <w:p w14:paraId="20F0E143" w14:textId="77777777" w:rsidR="00F67E9E" w:rsidRPr="00A45727" w:rsidRDefault="00F67E9E" w:rsidP="007F74AA">
            <w:pPr>
              <w:pStyle w:val="Tabletext0"/>
              <w:widowControl/>
              <w:autoSpaceDE/>
              <w:autoSpaceDN/>
            </w:pPr>
          </w:p>
        </w:tc>
        <w:tc>
          <w:tcPr>
            <w:tcW w:w="1871" w:type="dxa"/>
          </w:tcPr>
          <w:p w14:paraId="53FE8408" w14:textId="77777777" w:rsidR="00F67E9E" w:rsidRPr="00A45727" w:rsidRDefault="00F67E9E" w:rsidP="007F74AA">
            <w:pPr>
              <w:pStyle w:val="Tabletext0"/>
              <w:widowControl/>
              <w:autoSpaceDE/>
              <w:autoSpaceDN/>
            </w:pPr>
          </w:p>
        </w:tc>
        <w:tc>
          <w:tcPr>
            <w:tcW w:w="1417" w:type="dxa"/>
          </w:tcPr>
          <w:p w14:paraId="661C05B0" w14:textId="77777777" w:rsidR="00F67E9E" w:rsidRPr="00A45727" w:rsidRDefault="00F67E9E" w:rsidP="007F74AA">
            <w:pPr>
              <w:pStyle w:val="Tabletext0"/>
              <w:widowControl/>
              <w:autoSpaceDE/>
              <w:autoSpaceDN/>
            </w:pPr>
          </w:p>
        </w:tc>
        <w:tc>
          <w:tcPr>
            <w:tcW w:w="1928" w:type="dxa"/>
          </w:tcPr>
          <w:p w14:paraId="5C132886" w14:textId="77777777" w:rsidR="00F67E9E" w:rsidRPr="00A45727" w:rsidRDefault="00F67E9E" w:rsidP="007F74AA">
            <w:pPr>
              <w:pStyle w:val="Tabletext0"/>
              <w:widowControl/>
              <w:autoSpaceDE/>
              <w:autoSpaceDN/>
            </w:pPr>
          </w:p>
        </w:tc>
        <w:tc>
          <w:tcPr>
            <w:tcW w:w="4762" w:type="dxa"/>
          </w:tcPr>
          <w:p w14:paraId="6606729F" w14:textId="77777777" w:rsidR="00F67E9E" w:rsidRPr="00A45727" w:rsidRDefault="00F67E9E" w:rsidP="007F74AA">
            <w:pPr>
              <w:pStyle w:val="Tabletext0"/>
              <w:widowControl/>
              <w:autoSpaceDE/>
              <w:autoSpaceDN/>
            </w:pPr>
          </w:p>
        </w:tc>
        <w:tc>
          <w:tcPr>
            <w:tcW w:w="1814" w:type="dxa"/>
          </w:tcPr>
          <w:p w14:paraId="206824B7" w14:textId="77777777" w:rsidR="00F67E9E" w:rsidRPr="00A45727" w:rsidRDefault="00F67E9E" w:rsidP="007F74AA">
            <w:pPr>
              <w:pStyle w:val="Tabletext0"/>
              <w:widowControl/>
              <w:autoSpaceDE/>
              <w:autoSpaceDN/>
            </w:pPr>
          </w:p>
        </w:tc>
      </w:tr>
      <w:tr w:rsidR="00F67E9E" w:rsidRPr="00025910" w14:paraId="53541211" w14:textId="77777777" w:rsidTr="007F74AA">
        <w:trPr>
          <w:trHeight w:val="624"/>
        </w:trPr>
        <w:tc>
          <w:tcPr>
            <w:tcW w:w="1417" w:type="dxa"/>
          </w:tcPr>
          <w:p w14:paraId="210429A8" w14:textId="77777777" w:rsidR="00F67E9E" w:rsidRPr="004E522A" w:rsidRDefault="00F67E9E" w:rsidP="007F74AA">
            <w:pPr>
              <w:pStyle w:val="Tabletext0"/>
              <w:widowControl/>
              <w:autoSpaceDE/>
              <w:autoSpaceDN/>
              <w:rPr>
                <w:b/>
                <w:bCs/>
              </w:rPr>
            </w:pPr>
            <w:r w:rsidRPr="004E522A">
              <w:rPr>
                <w:b/>
                <w:bCs/>
              </w:rPr>
              <w:t>Emp No</w:t>
            </w:r>
          </w:p>
        </w:tc>
        <w:tc>
          <w:tcPr>
            <w:tcW w:w="1928" w:type="dxa"/>
          </w:tcPr>
          <w:p w14:paraId="37BED518" w14:textId="77777777" w:rsidR="00F67E9E" w:rsidRPr="00A45727" w:rsidRDefault="00F67E9E" w:rsidP="007F74AA">
            <w:pPr>
              <w:pStyle w:val="Tabletext0"/>
              <w:widowControl/>
              <w:autoSpaceDE/>
              <w:autoSpaceDN/>
            </w:pPr>
          </w:p>
        </w:tc>
        <w:tc>
          <w:tcPr>
            <w:tcW w:w="1871" w:type="dxa"/>
          </w:tcPr>
          <w:p w14:paraId="2F01C300" w14:textId="77777777" w:rsidR="00F67E9E" w:rsidRPr="00A45727" w:rsidRDefault="00F67E9E" w:rsidP="007F74AA">
            <w:pPr>
              <w:pStyle w:val="Tabletext0"/>
              <w:widowControl/>
              <w:autoSpaceDE/>
              <w:autoSpaceDN/>
            </w:pPr>
          </w:p>
        </w:tc>
        <w:tc>
          <w:tcPr>
            <w:tcW w:w="1417" w:type="dxa"/>
          </w:tcPr>
          <w:p w14:paraId="71A2A333" w14:textId="77777777" w:rsidR="00F67E9E" w:rsidRPr="00A45727" w:rsidRDefault="00F67E9E" w:rsidP="007F74AA">
            <w:pPr>
              <w:pStyle w:val="Tabletext0"/>
              <w:widowControl/>
              <w:autoSpaceDE/>
              <w:autoSpaceDN/>
            </w:pPr>
          </w:p>
        </w:tc>
        <w:tc>
          <w:tcPr>
            <w:tcW w:w="1928" w:type="dxa"/>
          </w:tcPr>
          <w:p w14:paraId="075BD152" w14:textId="77777777" w:rsidR="00F67E9E" w:rsidRPr="00A45727" w:rsidRDefault="00F67E9E" w:rsidP="007F74AA">
            <w:pPr>
              <w:pStyle w:val="Tabletext0"/>
              <w:widowControl/>
              <w:autoSpaceDE/>
              <w:autoSpaceDN/>
            </w:pPr>
          </w:p>
        </w:tc>
        <w:tc>
          <w:tcPr>
            <w:tcW w:w="4762" w:type="dxa"/>
          </w:tcPr>
          <w:p w14:paraId="6879D894" w14:textId="77777777" w:rsidR="00F67E9E" w:rsidRPr="00A45727" w:rsidRDefault="00F67E9E" w:rsidP="007F74AA">
            <w:pPr>
              <w:pStyle w:val="Tabletext0"/>
              <w:widowControl/>
              <w:autoSpaceDE/>
              <w:autoSpaceDN/>
            </w:pPr>
          </w:p>
        </w:tc>
        <w:tc>
          <w:tcPr>
            <w:tcW w:w="1814" w:type="dxa"/>
          </w:tcPr>
          <w:p w14:paraId="2576A2E6" w14:textId="77777777" w:rsidR="00F67E9E" w:rsidRPr="00A45727" w:rsidRDefault="00F67E9E" w:rsidP="007F74AA">
            <w:pPr>
              <w:pStyle w:val="Tabletext0"/>
              <w:widowControl/>
              <w:autoSpaceDE/>
              <w:autoSpaceDN/>
            </w:pPr>
          </w:p>
        </w:tc>
      </w:tr>
    </w:tbl>
    <w:p w14:paraId="5B45FF13" w14:textId="77777777" w:rsidR="00F67E9E" w:rsidRPr="00025910" w:rsidRDefault="00F67E9E" w:rsidP="00F67E9E"/>
    <w:tbl>
      <w:tblPr>
        <w:tblStyle w:val="MSATable-header"/>
        <w:tblW w:w="15137" w:type="dxa"/>
        <w:tblLook w:val="0620" w:firstRow="1" w:lastRow="0" w:firstColumn="0" w:lastColumn="0" w:noHBand="1" w:noVBand="1"/>
      </w:tblPr>
      <w:tblGrid>
        <w:gridCol w:w="1531"/>
        <w:gridCol w:w="4535"/>
        <w:gridCol w:w="4535"/>
        <w:gridCol w:w="4536"/>
      </w:tblGrid>
      <w:tr w:rsidR="00F67E9E" w:rsidRPr="00025910" w14:paraId="5C45046F" w14:textId="77777777" w:rsidTr="007F74AA">
        <w:trPr>
          <w:cnfStyle w:val="100000000000" w:firstRow="1" w:lastRow="0" w:firstColumn="0" w:lastColumn="0" w:oddVBand="0" w:evenVBand="0" w:oddHBand="0" w:evenHBand="0" w:firstRowFirstColumn="0" w:firstRowLastColumn="0" w:lastRowFirstColumn="0" w:lastRowLastColumn="0"/>
          <w:tblHeader/>
        </w:trPr>
        <w:tc>
          <w:tcPr>
            <w:tcW w:w="1531" w:type="dxa"/>
            <w:tcBorders>
              <w:top w:val="nil"/>
              <w:left w:val="nil"/>
            </w:tcBorders>
            <w:shd w:val="clear" w:color="auto" w:fill="auto"/>
          </w:tcPr>
          <w:p w14:paraId="27576122" w14:textId="77777777" w:rsidR="00F67E9E" w:rsidRPr="00A45727" w:rsidRDefault="00F67E9E" w:rsidP="007F74AA">
            <w:pPr>
              <w:pStyle w:val="Tabletext0"/>
              <w:widowControl/>
              <w:autoSpaceDE/>
              <w:autoSpaceDN/>
            </w:pPr>
          </w:p>
        </w:tc>
        <w:tc>
          <w:tcPr>
            <w:tcW w:w="13606" w:type="dxa"/>
            <w:gridSpan w:val="3"/>
          </w:tcPr>
          <w:p w14:paraId="5E361809" w14:textId="77777777" w:rsidR="00F67E9E" w:rsidRPr="00A45727" w:rsidRDefault="00F67E9E" w:rsidP="007F74AA">
            <w:pPr>
              <w:pStyle w:val="Tabletext0"/>
              <w:widowControl/>
              <w:autoSpaceDE/>
              <w:autoSpaceDN/>
            </w:pPr>
            <w:r w:rsidRPr="00A45727">
              <w:t>OTHER</w:t>
            </w:r>
          </w:p>
        </w:tc>
      </w:tr>
      <w:tr w:rsidR="00F67E9E" w:rsidRPr="00025910" w14:paraId="65DE8460" w14:textId="77777777" w:rsidTr="007F74AA">
        <w:trPr>
          <w:cnfStyle w:val="100000000000" w:firstRow="1" w:lastRow="0" w:firstColumn="0" w:lastColumn="0" w:oddVBand="0" w:evenVBand="0" w:oddHBand="0" w:evenHBand="0" w:firstRowFirstColumn="0" w:firstRowLastColumn="0" w:lastRowFirstColumn="0" w:lastRowLastColumn="0"/>
          <w:tblHeader/>
        </w:trPr>
        <w:tc>
          <w:tcPr>
            <w:tcW w:w="1531" w:type="dxa"/>
          </w:tcPr>
          <w:p w14:paraId="5EC7F721" w14:textId="77777777" w:rsidR="00F67E9E" w:rsidRPr="00A45727" w:rsidRDefault="00F67E9E" w:rsidP="007F74AA">
            <w:pPr>
              <w:pStyle w:val="Tabletext0"/>
              <w:widowControl/>
              <w:autoSpaceDE/>
              <w:autoSpaceDN/>
            </w:pPr>
            <w:r w:rsidRPr="00A45727">
              <w:t>Details</w:t>
            </w:r>
          </w:p>
        </w:tc>
        <w:tc>
          <w:tcPr>
            <w:tcW w:w="4535" w:type="dxa"/>
          </w:tcPr>
          <w:p w14:paraId="3860A0E7" w14:textId="77777777" w:rsidR="00F67E9E" w:rsidRPr="00A45727" w:rsidRDefault="00F67E9E" w:rsidP="007F74AA">
            <w:pPr>
              <w:pStyle w:val="Tabletext0"/>
              <w:widowControl/>
              <w:autoSpaceDE/>
              <w:autoSpaceDN/>
            </w:pPr>
            <w:r w:rsidRPr="00A45727">
              <w:t>Security Check Level</w:t>
            </w:r>
          </w:p>
        </w:tc>
        <w:tc>
          <w:tcPr>
            <w:tcW w:w="4535" w:type="dxa"/>
          </w:tcPr>
          <w:p w14:paraId="6E0997AE" w14:textId="77777777" w:rsidR="00F67E9E" w:rsidRPr="00A45727" w:rsidRDefault="00F67E9E" w:rsidP="007F74AA">
            <w:pPr>
              <w:pStyle w:val="Tabletext0"/>
              <w:widowControl/>
              <w:autoSpaceDE/>
              <w:autoSpaceDN/>
            </w:pPr>
            <w:r w:rsidRPr="00A45727">
              <w:t>Security Clearance Expiry date</w:t>
            </w:r>
          </w:p>
        </w:tc>
        <w:tc>
          <w:tcPr>
            <w:tcW w:w="4536" w:type="dxa"/>
          </w:tcPr>
          <w:p w14:paraId="010CDF48" w14:textId="77777777" w:rsidR="00F67E9E" w:rsidRPr="00A45727" w:rsidRDefault="00F67E9E" w:rsidP="007F74AA">
            <w:pPr>
              <w:pStyle w:val="Tabletext0"/>
              <w:widowControl/>
              <w:autoSpaceDE/>
              <w:autoSpaceDN/>
            </w:pPr>
            <w:r w:rsidRPr="00A45727">
              <w:t>Additional info or comments</w:t>
            </w:r>
          </w:p>
        </w:tc>
      </w:tr>
      <w:tr w:rsidR="00F67E9E" w:rsidRPr="00025910" w14:paraId="3F81037A" w14:textId="77777777" w:rsidTr="007F74AA">
        <w:trPr>
          <w:trHeight w:val="680"/>
        </w:trPr>
        <w:tc>
          <w:tcPr>
            <w:tcW w:w="1531" w:type="dxa"/>
          </w:tcPr>
          <w:p w14:paraId="2489520F" w14:textId="77777777" w:rsidR="00F67E9E" w:rsidRPr="004E522A" w:rsidRDefault="00F67E9E" w:rsidP="007F74AA">
            <w:pPr>
              <w:pStyle w:val="Tabletext0"/>
              <w:widowControl/>
              <w:autoSpaceDE/>
              <w:autoSpaceDN/>
              <w:rPr>
                <w:b/>
                <w:bCs/>
              </w:rPr>
            </w:pPr>
            <w:r w:rsidRPr="004E522A">
              <w:rPr>
                <w:b/>
                <w:bCs/>
              </w:rPr>
              <w:t>Emp No 1</w:t>
            </w:r>
          </w:p>
        </w:tc>
        <w:tc>
          <w:tcPr>
            <w:tcW w:w="4535" w:type="dxa"/>
          </w:tcPr>
          <w:p w14:paraId="431DE011" w14:textId="77777777" w:rsidR="00F67E9E" w:rsidRPr="00A45727" w:rsidRDefault="00F67E9E" w:rsidP="007F74AA">
            <w:pPr>
              <w:pStyle w:val="Tabletext0"/>
              <w:widowControl/>
              <w:autoSpaceDE/>
              <w:autoSpaceDN/>
            </w:pPr>
          </w:p>
        </w:tc>
        <w:tc>
          <w:tcPr>
            <w:tcW w:w="4535" w:type="dxa"/>
          </w:tcPr>
          <w:p w14:paraId="6C29C51D" w14:textId="77777777" w:rsidR="00F67E9E" w:rsidRPr="00A45727" w:rsidRDefault="00F67E9E" w:rsidP="007F74AA">
            <w:pPr>
              <w:pStyle w:val="Tabletext0"/>
              <w:widowControl/>
              <w:autoSpaceDE/>
              <w:autoSpaceDN/>
            </w:pPr>
          </w:p>
        </w:tc>
        <w:tc>
          <w:tcPr>
            <w:tcW w:w="4536" w:type="dxa"/>
          </w:tcPr>
          <w:p w14:paraId="197BDAAE" w14:textId="77777777" w:rsidR="00F67E9E" w:rsidRPr="00A45727" w:rsidRDefault="00F67E9E" w:rsidP="007F74AA">
            <w:pPr>
              <w:pStyle w:val="Tabletext0"/>
              <w:widowControl/>
              <w:autoSpaceDE/>
              <w:autoSpaceDN/>
            </w:pPr>
          </w:p>
        </w:tc>
      </w:tr>
      <w:tr w:rsidR="00F67E9E" w:rsidRPr="00025910" w14:paraId="4F891278" w14:textId="77777777" w:rsidTr="007F74AA">
        <w:trPr>
          <w:trHeight w:val="680"/>
        </w:trPr>
        <w:tc>
          <w:tcPr>
            <w:tcW w:w="1531" w:type="dxa"/>
          </w:tcPr>
          <w:p w14:paraId="536F36FC" w14:textId="77777777" w:rsidR="00F67E9E" w:rsidRPr="004E522A" w:rsidRDefault="00F67E9E" w:rsidP="007F74AA">
            <w:pPr>
              <w:pStyle w:val="Tabletext0"/>
              <w:widowControl/>
              <w:autoSpaceDE/>
              <w:autoSpaceDN/>
              <w:rPr>
                <w:b/>
                <w:bCs/>
              </w:rPr>
            </w:pPr>
            <w:r w:rsidRPr="004E522A">
              <w:rPr>
                <w:b/>
                <w:bCs/>
              </w:rPr>
              <w:t>Emp No 2</w:t>
            </w:r>
          </w:p>
        </w:tc>
        <w:tc>
          <w:tcPr>
            <w:tcW w:w="4535" w:type="dxa"/>
          </w:tcPr>
          <w:p w14:paraId="6C9D4F50" w14:textId="77777777" w:rsidR="00F67E9E" w:rsidRPr="00A45727" w:rsidRDefault="00F67E9E" w:rsidP="007F74AA">
            <w:pPr>
              <w:pStyle w:val="Tabletext0"/>
              <w:widowControl/>
              <w:autoSpaceDE/>
              <w:autoSpaceDN/>
            </w:pPr>
          </w:p>
        </w:tc>
        <w:tc>
          <w:tcPr>
            <w:tcW w:w="4535" w:type="dxa"/>
          </w:tcPr>
          <w:p w14:paraId="69F8B43C" w14:textId="77777777" w:rsidR="00F67E9E" w:rsidRPr="00A45727" w:rsidRDefault="00F67E9E" w:rsidP="007F74AA">
            <w:pPr>
              <w:pStyle w:val="Tabletext0"/>
              <w:widowControl/>
              <w:autoSpaceDE/>
              <w:autoSpaceDN/>
            </w:pPr>
          </w:p>
        </w:tc>
        <w:tc>
          <w:tcPr>
            <w:tcW w:w="4536" w:type="dxa"/>
          </w:tcPr>
          <w:p w14:paraId="05274B86" w14:textId="77777777" w:rsidR="00F67E9E" w:rsidRPr="00A45727" w:rsidRDefault="00F67E9E" w:rsidP="007F74AA">
            <w:pPr>
              <w:pStyle w:val="Tabletext0"/>
              <w:widowControl/>
              <w:autoSpaceDE/>
              <w:autoSpaceDN/>
            </w:pPr>
          </w:p>
        </w:tc>
      </w:tr>
      <w:tr w:rsidR="00F67E9E" w:rsidRPr="00025910" w14:paraId="59FA6BE8" w14:textId="77777777" w:rsidTr="007F74AA">
        <w:trPr>
          <w:trHeight w:val="680"/>
        </w:trPr>
        <w:tc>
          <w:tcPr>
            <w:tcW w:w="1531" w:type="dxa"/>
          </w:tcPr>
          <w:p w14:paraId="589667AC" w14:textId="77777777" w:rsidR="00F67E9E" w:rsidRPr="004E522A" w:rsidRDefault="00F67E9E" w:rsidP="007F74AA">
            <w:pPr>
              <w:pStyle w:val="Tabletext0"/>
              <w:widowControl/>
              <w:autoSpaceDE/>
              <w:autoSpaceDN/>
              <w:rPr>
                <w:b/>
                <w:bCs/>
              </w:rPr>
            </w:pPr>
            <w:r w:rsidRPr="004E522A">
              <w:rPr>
                <w:b/>
                <w:bCs/>
              </w:rPr>
              <w:t>Emp No</w:t>
            </w:r>
          </w:p>
        </w:tc>
        <w:tc>
          <w:tcPr>
            <w:tcW w:w="4535" w:type="dxa"/>
          </w:tcPr>
          <w:p w14:paraId="1D1428C6" w14:textId="77777777" w:rsidR="00F67E9E" w:rsidRPr="00A45727" w:rsidRDefault="00F67E9E" w:rsidP="007F74AA">
            <w:pPr>
              <w:pStyle w:val="Tabletext0"/>
              <w:widowControl/>
              <w:autoSpaceDE/>
              <w:autoSpaceDN/>
            </w:pPr>
          </w:p>
        </w:tc>
        <w:tc>
          <w:tcPr>
            <w:tcW w:w="4535" w:type="dxa"/>
          </w:tcPr>
          <w:p w14:paraId="296CEE00" w14:textId="77777777" w:rsidR="00F67E9E" w:rsidRPr="00A45727" w:rsidRDefault="00F67E9E" w:rsidP="007F74AA">
            <w:pPr>
              <w:pStyle w:val="Tabletext0"/>
              <w:widowControl/>
              <w:autoSpaceDE/>
              <w:autoSpaceDN/>
            </w:pPr>
          </w:p>
        </w:tc>
        <w:tc>
          <w:tcPr>
            <w:tcW w:w="4536" w:type="dxa"/>
          </w:tcPr>
          <w:p w14:paraId="52F34712" w14:textId="77777777" w:rsidR="00F67E9E" w:rsidRPr="00A45727" w:rsidRDefault="00F67E9E" w:rsidP="007F74AA">
            <w:pPr>
              <w:pStyle w:val="Tabletext0"/>
              <w:widowControl/>
              <w:autoSpaceDE/>
              <w:autoSpaceDN/>
            </w:pPr>
          </w:p>
        </w:tc>
      </w:tr>
      <w:tr w:rsidR="00F67E9E" w:rsidRPr="00025910" w14:paraId="72F4FBEE" w14:textId="77777777" w:rsidTr="007F74AA">
        <w:trPr>
          <w:trHeight w:val="680"/>
        </w:trPr>
        <w:tc>
          <w:tcPr>
            <w:tcW w:w="1531" w:type="dxa"/>
          </w:tcPr>
          <w:p w14:paraId="770A9279" w14:textId="77777777" w:rsidR="00F67E9E" w:rsidRPr="004E522A" w:rsidRDefault="00F67E9E" w:rsidP="007F74AA">
            <w:pPr>
              <w:pStyle w:val="Tabletext0"/>
              <w:widowControl/>
              <w:autoSpaceDE/>
              <w:autoSpaceDN/>
              <w:rPr>
                <w:b/>
                <w:bCs/>
              </w:rPr>
            </w:pPr>
            <w:r w:rsidRPr="004E522A">
              <w:rPr>
                <w:b/>
                <w:bCs/>
              </w:rPr>
              <w:t>Emp No</w:t>
            </w:r>
          </w:p>
        </w:tc>
        <w:tc>
          <w:tcPr>
            <w:tcW w:w="4535" w:type="dxa"/>
          </w:tcPr>
          <w:p w14:paraId="6BA21B13" w14:textId="77777777" w:rsidR="00F67E9E" w:rsidRPr="00A45727" w:rsidRDefault="00F67E9E" w:rsidP="007F74AA">
            <w:pPr>
              <w:pStyle w:val="Tabletext0"/>
              <w:widowControl/>
              <w:autoSpaceDE/>
              <w:autoSpaceDN/>
            </w:pPr>
          </w:p>
        </w:tc>
        <w:tc>
          <w:tcPr>
            <w:tcW w:w="4535" w:type="dxa"/>
          </w:tcPr>
          <w:p w14:paraId="44F59021" w14:textId="77777777" w:rsidR="00F67E9E" w:rsidRPr="00A45727" w:rsidRDefault="00F67E9E" w:rsidP="007F74AA">
            <w:pPr>
              <w:pStyle w:val="Tabletext0"/>
              <w:widowControl/>
              <w:autoSpaceDE/>
              <w:autoSpaceDN/>
            </w:pPr>
          </w:p>
        </w:tc>
        <w:tc>
          <w:tcPr>
            <w:tcW w:w="4536" w:type="dxa"/>
          </w:tcPr>
          <w:p w14:paraId="1BA70EF1" w14:textId="77777777" w:rsidR="00F67E9E" w:rsidRPr="00A45727" w:rsidRDefault="00F67E9E" w:rsidP="007F74AA">
            <w:pPr>
              <w:pStyle w:val="Tabletext0"/>
              <w:widowControl/>
              <w:autoSpaceDE/>
              <w:autoSpaceDN/>
            </w:pPr>
          </w:p>
        </w:tc>
      </w:tr>
      <w:tr w:rsidR="00F67E9E" w:rsidRPr="00025910" w14:paraId="5C403595" w14:textId="77777777" w:rsidTr="007F74AA">
        <w:trPr>
          <w:trHeight w:val="680"/>
        </w:trPr>
        <w:tc>
          <w:tcPr>
            <w:tcW w:w="1531" w:type="dxa"/>
          </w:tcPr>
          <w:p w14:paraId="3B71C522" w14:textId="77777777" w:rsidR="00F67E9E" w:rsidRPr="004E522A" w:rsidRDefault="00F67E9E" w:rsidP="007F74AA">
            <w:pPr>
              <w:pStyle w:val="Tabletext0"/>
              <w:widowControl/>
              <w:autoSpaceDE/>
              <w:autoSpaceDN/>
              <w:rPr>
                <w:b/>
                <w:bCs/>
              </w:rPr>
            </w:pPr>
            <w:r w:rsidRPr="004E522A">
              <w:rPr>
                <w:b/>
                <w:bCs/>
              </w:rPr>
              <w:t>Emp No</w:t>
            </w:r>
          </w:p>
        </w:tc>
        <w:tc>
          <w:tcPr>
            <w:tcW w:w="4535" w:type="dxa"/>
          </w:tcPr>
          <w:p w14:paraId="16A483F1" w14:textId="77777777" w:rsidR="00F67E9E" w:rsidRPr="00A45727" w:rsidRDefault="00F67E9E" w:rsidP="007F74AA">
            <w:pPr>
              <w:pStyle w:val="Tabletext0"/>
              <w:widowControl/>
              <w:autoSpaceDE/>
              <w:autoSpaceDN/>
            </w:pPr>
          </w:p>
        </w:tc>
        <w:tc>
          <w:tcPr>
            <w:tcW w:w="4535" w:type="dxa"/>
          </w:tcPr>
          <w:p w14:paraId="40667F2E" w14:textId="77777777" w:rsidR="00F67E9E" w:rsidRPr="00A45727" w:rsidRDefault="00F67E9E" w:rsidP="007F74AA">
            <w:pPr>
              <w:pStyle w:val="Tabletext0"/>
              <w:widowControl/>
              <w:autoSpaceDE/>
              <w:autoSpaceDN/>
            </w:pPr>
          </w:p>
        </w:tc>
        <w:tc>
          <w:tcPr>
            <w:tcW w:w="4536" w:type="dxa"/>
          </w:tcPr>
          <w:p w14:paraId="3729DE41" w14:textId="77777777" w:rsidR="00F67E9E" w:rsidRPr="00A45727" w:rsidRDefault="00F67E9E" w:rsidP="007F74AA">
            <w:pPr>
              <w:pStyle w:val="Tabletext0"/>
              <w:widowControl/>
              <w:autoSpaceDE/>
              <w:autoSpaceDN/>
            </w:pPr>
          </w:p>
        </w:tc>
      </w:tr>
      <w:tr w:rsidR="00F67E9E" w:rsidRPr="00025910" w14:paraId="78DC9837" w14:textId="77777777" w:rsidTr="007F74AA">
        <w:trPr>
          <w:trHeight w:val="680"/>
        </w:trPr>
        <w:tc>
          <w:tcPr>
            <w:tcW w:w="1531" w:type="dxa"/>
          </w:tcPr>
          <w:p w14:paraId="26548A65" w14:textId="77777777" w:rsidR="00F67E9E" w:rsidRPr="004E522A" w:rsidRDefault="00F67E9E" w:rsidP="007F74AA">
            <w:pPr>
              <w:pStyle w:val="Tabletext0"/>
              <w:widowControl/>
              <w:autoSpaceDE/>
              <w:autoSpaceDN/>
              <w:rPr>
                <w:b/>
                <w:bCs/>
              </w:rPr>
            </w:pPr>
            <w:r w:rsidRPr="004E522A">
              <w:rPr>
                <w:b/>
                <w:bCs/>
              </w:rPr>
              <w:t>Emp No</w:t>
            </w:r>
          </w:p>
        </w:tc>
        <w:tc>
          <w:tcPr>
            <w:tcW w:w="4535" w:type="dxa"/>
          </w:tcPr>
          <w:p w14:paraId="144E026F" w14:textId="77777777" w:rsidR="00F67E9E" w:rsidRPr="00A45727" w:rsidRDefault="00F67E9E" w:rsidP="007F74AA">
            <w:pPr>
              <w:pStyle w:val="Tabletext0"/>
              <w:widowControl/>
              <w:autoSpaceDE/>
              <w:autoSpaceDN/>
            </w:pPr>
          </w:p>
        </w:tc>
        <w:tc>
          <w:tcPr>
            <w:tcW w:w="4535" w:type="dxa"/>
          </w:tcPr>
          <w:p w14:paraId="0FC02994" w14:textId="77777777" w:rsidR="00F67E9E" w:rsidRPr="00A45727" w:rsidRDefault="00F67E9E" w:rsidP="007F74AA">
            <w:pPr>
              <w:pStyle w:val="Tabletext0"/>
              <w:widowControl/>
              <w:autoSpaceDE/>
              <w:autoSpaceDN/>
            </w:pPr>
          </w:p>
        </w:tc>
        <w:tc>
          <w:tcPr>
            <w:tcW w:w="4536" w:type="dxa"/>
          </w:tcPr>
          <w:p w14:paraId="5A07D0A8" w14:textId="77777777" w:rsidR="00F67E9E" w:rsidRPr="00A45727" w:rsidRDefault="00F67E9E" w:rsidP="007F74AA">
            <w:pPr>
              <w:pStyle w:val="Tabletext0"/>
              <w:widowControl/>
              <w:autoSpaceDE/>
              <w:autoSpaceDN/>
            </w:pPr>
          </w:p>
        </w:tc>
      </w:tr>
      <w:tr w:rsidR="00F67E9E" w:rsidRPr="00025910" w14:paraId="022219C6" w14:textId="77777777" w:rsidTr="007F74AA">
        <w:trPr>
          <w:trHeight w:val="680"/>
        </w:trPr>
        <w:tc>
          <w:tcPr>
            <w:tcW w:w="1531" w:type="dxa"/>
          </w:tcPr>
          <w:p w14:paraId="41C8785B" w14:textId="77777777" w:rsidR="00F67E9E" w:rsidRPr="004E522A" w:rsidRDefault="00F67E9E" w:rsidP="007F74AA">
            <w:pPr>
              <w:pStyle w:val="Tabletext0"/>
              <w:widowControl/>
              <w:autoSpaceDE/>
              <w:autoSpaceDN/>
              <w:rPr>
                <w:b/>
                <w:bCs/>
              </w:rPr>
            </w:pPr>
            <w:r w:rsidRPr="004E522A">
              <w:rPr>
                <w:b/>
                <w:bCs/>
              </w:rPr>
              <w:t>Emp No</w:t>
            </w:r>
          </w:p>
        </w:tc>
        <w:tc>
          <w:tcPr>
            <w:tcW w:w="4535" w:type="dxa"/>
          </w:tcPr>
          <w:p w14:paraId="42BE16FF" w14:textId="77777777" w:rsidR="00F67E9E" w:rsidRPr="00A45727" w:rsidRDefault="00F67E9E" w:rsidP="007F74AA">
            <w:pPr>
              <w:pStyle w:val="Tabletext0"/>
              <w:widowControl/>
              <w:autoSpaceDE/>
              <w:autoSpaceDN/>
            </w:pPr>
          </w:p>
        </w:tc>
        <w:tc>
          <w:tcPr>
            <w:tcW w:w="4535" w:type="dxa"/>
          </w:tcPr>
          <w:p w14:paraId="1185099C" w14:textId="77777777" w:rsidR="00F67E9E" w:rsidRPr="00A45727" w:rsidRDefault="00F67E9E" w:rsidP="007F74AA">
            <w:pPr>
              <w:pStyle w:val="Tabletext0"/>
              <w:widowControl/>
              <w:autoSpaceDE/>
              <w:autoSpaceDN/>
            </w:pPr>
          </w:p>
        </w:tc>
        <w:tc>
          <w:tcPr>
            <w:tcW w:w="4536" w:type="dxa"/>
          </w:tcPr>
          <w:p w14:paraId="37CE5866" w14:textId="77777777" w:rsidR="00F67E9E" w:rsidRPr="00A45727" w:rsidRDefault="00F67E9E" w:rsidP="007F74AA">
            <w:pPr>
              <w:pStyle w:val="Tabletext0"/>
              <w:widowControl/>
              <w:autoSpaceDE/>
              <w:autoSpaceDN/>
            </w:pPr>
          </w:p>
        </w:tc>
      </w:tr>
    </w:tbl>
    <w:p w14:paraId="714376CD" w14:textId="77777777" w:rsidR="00F67E9E" w:rsidRDefault="00F67E9E" w:rsidP="00F67E9E"/>
    <w:p w14:paraId="44318751" w14:textId="77777777" w:rsidR="00F67E9E" w:rsidRDefault="00F67E9E" w:rsidP="00F67E9E"/>
    <w:p w14:paraId="3B210E1C" w14:textId="77777777" w:rsidR="00F67E9E" w:rsidRPr="003D07D0" w:rsidRDefault="00F67E9E" w:rsidP="00F67E9E">
      <w:pPr>
        <w:sectPr w:rsidR="00F67E9E" w:rsidRPr="003D07D0" w:rsidSect="00240D26">
          <w:footerReference w:type="default" r:id="rId136"/>
          <w:pgSz w:w="16834" w:h="11909" w:orient="landscape"/>
          <w:pgMar w:top="1701" w:right="851" w:bottom="1134" w:left="851" w:header="567" w:footer="567" w:gutter="0"/>
          <w:cols w:space="720"/>
          <w:docGrid w:linePitch="326"/>
        </w:sectPr>
      </w:pPr>
    </w:p>
    <w:p w14:paraId="7E272049" w14:textId="77777777" w:rsidR="00F67E9E" w:rsidRPr="00EE4F10" w:rsidRDefault="00F67E9E" w:rsidP="00F67E9E">
      <w:pPr>
        <w:pStyle w:val="Dividername"/>
      </w:pPr>
      <w:r w:rsidRPr="00EE4F10">
        <w:t>Schedule 29</w:t>
      </w:r>
    </w:p>
    <w:p w14:paraId="3E0E81BD" w14:textId="77777777" w:rsidR="00F67E9E" w:rsidRPr="00EE4F10" w:rsidRDefault="00F67E9E" w:rsidP="00F67E9E">
      <w:pPr>
        <w:pStyle w:val="Dividername"/>
      </w:pPr>
      <w:r w:rsidRPr="00EE4F10">
        <w:t>Key Personnel</w:t>
      </w:r>
    </w:p>
    <w:p w14:paraId="4D93F4D2" w14:textId="77777777" w:rsidR="00F67E9E" w:rsidRDefault="00F67E9E" w:rsidP="00F67E9E"/>
    <w:p w14:paraId="4023E8DE" w14:textId="77777777" w:rsidR="00F67E9E" w:rsidRDefault="00F67E9E" w:rsidP="00F67E9E">
      <w:r>
        <w:br w:type="page"/>
      </w:r>
    </w:p>
    <w:p w14:paraId="3CA9588D" w14:textId="77777777" w:rsidR="00F67E9E" w:rsidRPr="00DD4CC2" w:rsidRDefault="00F67E9E" w:rsidP="00F67E9E">
      <w:pPr>
        <w:pStyle w:val="Heading1"/>
      </w:pPr>
      <w:bookmarkStart w:id="2786" w:name="Schedule29"/>
      <w:bookmarkStart w:id="2787" w:name="_Ref92200080"/>
      <w:bookmarkStart w:id="2788" w:name="_Toc141711996"/>
      <w:r w:rsidRPr="00DD4CC2">
        <w:t>Schedule</w:t>
      </w:r>
      <w:r>
        <w:t> </w:t>
      </w:r>
      <w:r w:rsidRPr="00DD4CC2">
        <w:t>29</w:t>
      </w:r>
      <w:bookmarkEnd w:id="2786"/>
      <w:r w:rsidRPr="00DD4CC2">
        <w:t xml:space="preserve">: </w:t>
      </w:r>
      <w:bookmarkStart w:id="2789" w:name="Schedule29Heading"/>
      <w:r w:rsidRPr="00DD4CC2">
        <w:t>Key Personnel</w:t>
      </w:r>
      <w:bookmarkEnd w:id="2787"/>
      <w:bookmarkEnd w:id="2788"/>
      <w:bookmarkEnd w:id="2789"/>
    </w:p>
    <w:p w14:paraId="47B6F323" w14:textId="77777777" w:rsidR="00F67E9E" w:rsidRPr="00E3380F" w:rsidRDefault="00F67E9E" w:rsidP="00F67E9E">
      <w:pPr>
        <w:spacing w:before="100" w:after="200"/>
      </w:pPr>
      <w:r w:rsidRPr="00E3380F">
        <w:t>This Schedule lists the key roles (</w:t>
      </w:r>
      <w:r>
        <w:t>“</w:t>
      </w:r>
      <w:r w:rsidRPr="006F18B1">
        <w:rPr>
          <w:b/>
          <w:bCs/>
        </w:rPr>
        <w:t>Key Roles</w:t>
      </w:r>
      <w:r>
        <w:t>”</w:t>
      </w:r>
      <w:r w:rsidRPr="00E3380F">
        <w:t>) and names of the persons who the Supplier shall appoint to fill those Key Roles at the</w:t>
      </w:r>
      <w:r>
        <w:t xml:space="preserve"> Operational Service Commencement</w:t>
      </w:r>
      <w:r w:rsidRPr="00E3380F">
        <w:t xml:space="preserve"> Date (</w:t>
      </w:r>
      <w:r>
        <w:t>“</w:t>
      </w:r>
      <w:r w:rsidRPr="006F18B1">
        <w:rPr>
          <w:b/>
          <w:bCs/>
        </w:rPr>
        <w:t>Key Personnel</w:t>
      </w:r>
      <w:r>
        <w:t>”</w:t>
      </w:r>
      <w:r w:rsidRPr="00E3380F">
        <w:t>).</w:t>
      </w:r>
      <w:bookmarkStart w:id="2790" w:name="bookmark=id.gjdgxs" w:colFirst="0" w:colLast="0"/>
      <w:bookmarkEnd w:id="2790"/>
    </w:p>
    <w:tbl>
      <w:tblPr>
        <w:tblStyle w:val="MSATable-header"/>
        <w:tblW w:w="10205" w:type="dxa"/>
        <w:tblLayout w:type="fixed"/>
        <w:tblLook w:val="04A0" w:firstRow="1" w:lastRow="0" w:firstColumn="1" w:lastColumn="0" w:noHBand="0" w:noVBand="1"/>
      </w:tblPr>
      <w:tblGrid>
        <w:gridCol w:w="1701"/>
        <w:gridCol w:w="1701"/>
        <w:gridCol w:w="2041"/>
        <w:gridCol w:w="2778"/>
        <w:gridCol w:w="1984"/>
      </w:tblGrid>
      <w:tr w:rsidR="00F67E9E" w:rsidRPr="00025910" w14:paraId="549284F6" w14:textId="77777777" w:rsidTr="007F74AA">
        <w:trPr>
          <w:cnfStyle w:val="100000000000" w:firstRow="1" w:lastRow="0" w:firstColumn="0" w:lastColumn="0" w:oddVBand="0" w:evenVBand="0" w:oddHBand="0" w:evenHBand="0" w:firstRowFirstColumn="0" w:firstRowLastColumn="0" w:lastRowFirstColumn="0" w:lastRowLastColumn="0"/>
          <w:tblHeader/>
        </w:trPr>
        <w:tc>
          <w:tcPr>
            <w:tcW w:w="1701" w:type="dxa"/>
            <w:vAlign w:val="bottom"/>
          </w:tcPr>
          <w:p w14:paraId="509A5E5B" w14:textId="77777777" w:rsidR="00F67E9E" w:rsidRPr="00025910" w:rsidRDefault="00F67E9E" w:rsidP="007F74AA">
            <w:pPr>
              <w:pStyle w:val="StdBodyText"/>
              <w:spacing w:before="0" w:after="0"/>
            </w:pPr>
            <w:r w:rsidRPr="00025910">
              <w:t>Key Role</w:t>
            </w:r>
          </w:p>
        </w:tc>
        <w:tc>
          <w:tcPr>
            <w:tcW w:w="1701" w:type="dxa"/>
            <w:vAlign w:val="bottom"/>
          </w:tcPr>
          <w:p w14:paraId="4D229E54" w14:textId="77777777" w:rsidR="00F67E9E" w:rsidRPr="00025910" w:rsidRDefault="00F67E9E" w:rsidP="007F74AA">
            <w:pPr>
              <w:pStyle w:val="StdBodyText"/>
              <w:spacing w:before="0" w:after="0"/>
            </w:pPr>
            <w:r w:rsidRPr="00025910">
              <w:t>Name of K</w:t>
            </w:r>
            <w:r>
              <w:t>ey</w:t>
            </w:r>
            <w:r w:rsidRPr="00025910">
              <w:t xml:space="preserve"> Personnel</w:t>
            </w:r>
          </w:p>
        </w:tc>
        <w:tc>
          <w:tcPr>
            <w:tcW w:w="2041" w:type="dxa"/>
            <w:vAlign w:val="bottom"/>
          </w:tcPr>
          <w:p w14:paraId="4420CB1E" w14:textId="77777777" w:rsidR="00F67E9E" w:rsidRPr="00025910" w:rsidRDefault="00F67E9E" w:rsidP="007F74AA">
            <w:pPr>
              <w:pStyle w:val="StdBodyText"/>
              <w:spacing w:before="0" w:after="0"/>
            </w:pPr>
            <w:r w:rsidRPr="00025910">
              <w:t>Responsibilities/</w:t>
            </w:r>
            <w:r>
              <w:t xml:space="preserve"> </w:t>
            </w:r>
            <w:r w:rsidRPr="00025910">
              <w:t>Authorities</w:t>
            </w:r>
          </w:p>
        </w:tc>
        <w:tc>
          <w:tcPr>
            <w:tcW w:w="2778" w:type="dxa"/>
            <w:vAlign w:val="bottom"/>
          </w:tcPr>
          <w:p w14:paraId="391D0621" w14:textId="77777777" w:rsidR="00F67E9E" w:rsidRPr="00025910" w:rsidRDefault="00F67E9E" w:rsidP="007F74AA">
            <w:pPr>
              <w:pStyle w:val="StdBodyText"/>
              <w:spacing w:before="0" w:after="0"/>
            </w:pPr>
            <w:r w:rsidRPr="00025910">
              <w:t>Phase of the project during which they will be a member of Key Personnel</w:t>
            </w:r>
          </w:p>
        </w:tc>
        <w:tc>
          <w:tcPr>
            <w:tcW w:w="1984" w:type="dxa"/>
            <w:vAlign w:val="bottom"/>
          </w:tcPr>
          <w:p w14:paraId="2980FDBA" w14:textId="77777777" w:rsidR="00F67E9E" w:rsidRPr="00025910" w:rsidRDefault="00F67E9E" w:rsidP="007F74AA">
            <w:pPr>
              <w:pStyle w:val="StdBodyText"/>
              <w:spacing w:before="0" w:after="0"/>
            </w:pPr>
            <w:r w:rsidRPr="00025910">
              <w:t>Minimum Period in Key Role</w:t>
            </w:r>
          </w:p>
        </w:tc>
      </w:tr>
      <w:tr w:rsidR="00F67E9E" w:rsidRPr="00025910" w14:paraId="1A12A1B1" w14:textId="77777777" w:rsidTr="007F74AA">
        <w:tc>
          <w:tcPr>
            <w:tcW w:w="1701" w:type="dxa"/>
          </w:tcPr>
          <w:p w14:paraId="1403BAA5" w14:textId="77777777" w:rsidR="00F67E9E" w:rsidRPr="00025910" w:rsidRDefault="00F67E9E" w:rsidP="007F74AA">
            <w:pPr>
              <w:pStyle w:val="StdBodyText"/>
              <w:spacing w:before="0" w:after="0"/>
            </w:pPr>
          </w:p>
        </w:tc>
        <w:tc>
          <w:tcPr>
            <w:tcW w:w="1701" w:type="dxa"/>
          </w:tcPr>
          <w:p w14:paraId="6E1C0748" w14:textId="77777777" w:rsidR="00F67E9E" w:rsidRPr="00025910" w:rsidRDefault="00F67E9E" w:rsidP="007F74AA">
            <w:pPr>
              <w:pStyle w:val="StdBodyText"/>
              <w:spacing w:before="0" w:after="0"/>
            </w:pPr>
          </w:p>
        </w:tc>
        <w:tc>
          <w:tcPr>
            <w:tcW w:w="2041" w:type="dxa"/>
          </w:tcPr>
          <w:p w14:paraId="44504FF7" w14:textId="77777777" w:rsidR="00F67E9E" w:rsidRPr="00025910" w:rsidRDefault="00F67E9E" w:rsidP="007F74AA">
            <w:pPr>
              <w:pStyle w:val="StdBodyText"/>
              <w:spacing w:before="0" w:after="0"/>
            </w:pPr>
          </w:p>
        </w:tc>
        <w:tc>
          <w:tcPr>
            <w:tcW w:w="2778" w:type="dxa"/>
          </w:tcPr>
          <w:p w14:paraId="5818857B" w14:textId="77777777" w:rsidR="00F67E9E" w:rsidRPr="00025910" w:rsidRDefault="00F67E9E" w:rsidP="007F74AA">
            <w:pPr>
              <w:pStyle w:val="StdBodyText"/>
              <w:spacing w:before="0" w:after="0"/>
            </w:pPr>
          </w:p>
        </w:tc>
        <w:tc>
          <w:tcPr>
            <w:tcW w:w="1984" w:type="dxa"/>
          </w:tcPr>
          <w:p w14:paraId="3FC595DA" w14:textId="77777777" w:rsidR="00F67E9E" w:rsidRPr="00025910" w:rsidRDefault="00F67E9E" w:rsidP="007F74AA">
            <w:pPr>
              <w:pStyle w:val="StdBodyText"/>
              <w:spacing w:before="0" w:after="0"/>
            </w:pPr>
          </w:p>
        </w:tc>
      </w:tr>
      <w:tr w:rsidR="00F67E9E" w:rsidRPr="00025910" w14:paraId="6A88E609" w14:textId="77777777" w:rsidTr="007F74AA">
        <w:tc>
          <w:tcPr>
            <w:tcW w:w="1701" w:type="dxa"/>
          </w:tcPr>
          <w:p w14:paraId="57D1C071" w14:textId="77777777" w:rsidR="00F67E9E" w:rsidRPr="00025910" w:rsidRDefault="00F67E9E" w:rsidP="007F74AA">
            <w:pPr>
              <w:pStyle w:val="StdBodyText"/>
              <w:spacing w:before="0" w:after="0"/>
            </w:pPr>
          </w:p>
        </w:tc>
        <w:tc>
          <w:tcPr>
            <w:tcW w:w="1701" w:type="dxa"/>
          </w:tcPr>
          <w:p w14:paraId="24D09149" w14:textId="77777777" w:rsidR="00F67E9E" w:rsidRPr="00025910" w:rsidRDefault="00F67E9E" w:rsidP="007F74AA">
            <w:pPr>
              <w:pStyle w:val="StdBodyText"/>
              <w:spacing w:before="0" w:after="0"/>
            </w:pPr>
          </w:p>
        </w:tc>
        <w:tc>
          <w:tcPr>
            <w:tcW w:w="2041" w:type="dxa"/>
          </w:tcPr>
          <w:p w14:paraId="70625603" w14:textId="77777777" w:rsidR="00F67E9E" w:rsidRPr="00025910" w:rsidRDefault="00F67E9E" w:rsidP="007F74AA">
            <w:pPr>
              <w:pStyle w:val="StdBodyText"/>
              <w:spacing w:before="0" w:after="0"/>
            </w:pPr>
          </w:p>
        </w:tc>
        <w:tc>
          <w:tcPr>
            <w:tcW w:w="2778" w:type="dxa"/>
          </w:tcPr>
          <w:p w14:paraId="078AAFA6" w14:textId="77777777" w:rsidR="00F67E9E" w:rsidRPr="00025910" w:rsidRDefault="00F67E9E" w:rsidP="007F74AA">
            <w:pPr>
              <w:pStyle w:val="StdBodyText"/>
              <w:spacing w:before="0" w:after="0"/>
            </w:pPr>
          </w:p>
        </w:tc>
        <w:tc>
          <w:tcPr>
            <w:tcW w:w="1984" w:type="dxa"/>
          </w:tcPr>
          <w:p w14:paraId="6E811ED6" w14:textId="77777777" w:rsidR="00F67E9E" w:rsidRPr="00025910" w:rsidRDefault="00F67E9E" w:rsidP="007F74AA">
            <w:pPr>
              <w:pStyle w:val="StdBodyText"/>
              <w:spacing w:before="0" w:after="0"/>
            </w:pPr>
          </w:p>
        </w:tc>
      </w:tr>
      <w:tr w:rsidR="00F67E9E" w:rsidRPr="00025910" w14:paraId="1D0279F7" w14:textId="77777777" w:rsidTr="007F74AA">
        <w:tc>
          <w:tcPr>
            <w:tcW w:w="1701" w:type="dxa"/>
          </w:tcPr>
          <w:p w14:paraId="20EDCF7F" w14:textId="77777777" w:rsidR="00F67E9E" w:rsidRPr="00025910" w:rsidRDefault="00F67E9E" w:rsidP="007F74AA">
            <w:pPr>
              <w:pStyle w:val="StdBodyText"/>
              <w:spacing w:before="0" w:after="0"/>
            </w:pPr>
          </w:p>
        </w:tc>
        <w:tc>
          <w:tcPr>
            <w:tcW w:w="1701" w:type="dxa"/>
          </w:tcPr>
          <w:p w14:paraId="5E3E0803" w14:textId="77777777" w:rsidR="00F67E9E" w:rsidRPr="00025910" w:rsidRDefault="00F67E9E" w:rsidP="007F74AA">
            <w:pPr>
              <w:pStyle w:val="StdBodyText"/>
              <w:spacing w:before="0" w:after="0"/>
            </w:pPr>
          </w:p>
        </w:tc>
        <w:tc>
          <w:tcPr>
            <w:tcW w:w="2041" w:type="dxa"/>
          </w:tcPr>
          <w:p w14:paraId="0CC642DE" w14:textId="77777777" w:rsidR="00F67E9E" w:rsidRPr="00025910" w:rsidRDefault="00F67E9E" w:rsidP="007F74AA">
            <w:pPr>
              <w:pStyle w:val="StdBodyText"/>
              <w:spacing w:before="0" w:after="0"/>
            </w:pPr>
          </w:p>
        </w:tc>
        <w:tc>
          <w:tcPr>
            <w:tcW w:w="2778" w:type="dxa"/>
          </w:tcPr>
          <w:p w14:paraId="2D000814" w14:textId="77777777" w:rsidR="00F67E9E" w:rsidRPr="00025910" w:rsidRDefault="00F67E9E" w:rsidP="007F74AA">
            <w:pPr>
              <w:pStyle w:val="StdBodyText"/>
              <w:spacing w:before="0" w:after="0"/>
            </w:pPr>
          </w:p>
        </w:tc>
        <w:tc>
          <w:tcPr>
            <w:tcW w:w="1984" w:type="dxa"/>
          </w:tcPr>
          <w:p w14:paraId="7542C167" w14:textId="77777777" w:rsidR="00F67E9E" w:rsidRPr="00025910" w:rsidRDefault="00F67E9E" w:rsidP="007F74AA">
            <w:pPr>
              <w:pStyle w:val="StdBodyText"/>
              <w:spacing w:before="0" w:after="0"/>
            </w:pPr>
          </w:p>
        </w:tc>
      </w:tr>
    </w:tbl>
    <w:p w14:paraId="030DC1CA" w14:textId="77777777" w:rsidR="00F67E9E" w:rsidRPr="00025910" w:rsidRDefault="00F67E9E" w:rsidP="00F67E9E"/>
    <w:p w14:paraId="41D019AE" w14:textId="77777777" w:rsidR="00F67E9E" w:rsidRPr="00025910" w:rsidRDefault="00F67E9E" w:rsidP="00F67E9E">
      <w:pPr>
        <w:rPr>
          <w:rFonts w:cs="Arial"/>
          <w:szCs w:val="24"/>
        </w:rPr>
      </w:pPr>
    </w:p>
    <w:p w14:paraId="67760400" w14:textId="77777777" w:rsidR="00F67E9E" w:rsidRPr="00025910" w:rsidRDefault="00F67E9E" w:rsidP="00F67E9E">
      <w:pPr>
        <w:rPr>
          <w:rFonts w:cs="Arial"/>
          <w:szCs w:val="24"/>
        </w:rPr>
      </w:pPr>
    </w:p>
    <w:p w14:paraId="35845209" w14:textId="77777777" w:rsidR="00F67E9E" w:rsidRPr="00025910" w:rsidRDefault="00F67E9E" w:rsidP="00F67E9E">
      <w:pPr>
        <w:rPr>
          <w:rFonts w:cs="Arial"/>
          <w:szCs w:val="24"/>
        </w:rPr>
        <w:sectPr w:rsidR="00F67E9E" w:rsidRPr="00025910" w:rsidSect="00240D26">
          <w:headerReference w:type="default" r:id="rId137"/>
          <w:footerReference w:type="default" r:id="rId138"/>
          <w:footerReference w:type="first" r:id="rId139"/>
          <w:pgSz w:w="11900" w:h="16840"/>
          <w:pgMar w:top="1701" w:right="851" w:bottom="1134" w:left="851" w:header="567" w:footer="567" w:gutter="0"/>
          <w:cols w:space="720"/>
          <w:docGrid w:linePitch="360"/>
        </w:sectPr>
      </w:pPr>
    </w:p>
    <w:p w14:paraId="304BFB89" w14:textId="77777777" w:rsidR="00F67E9E" w:rsidRPr="00EE4F10" w:rsidRDefault="00F67E9E" w:rsidP="00F67E9E">
      <w:pPr>
        <w:pStyle w:val="Dividername"/>
      </w:pPr>
      <w:r w:rsidRPr="00EE4F10">
        <w:t>Schedule 30</w:t>
      </w:r>
    </w:p>
    <w:p w14:paraId="6DFD8F8F" w14:textId="77777777" w:rsidR="00F67E9E" w:rsidRPr="00EE4F10" w:rsidRDefault="00F67E9E" w:rsidP="00F67E9E">
      <w:pPr>
        <w:pStyle w:val="Dividername"/>
      </w:pPr>
      <w:r w:rsidRPr="00EE4F10">
        <w:t xml:space="preserve">Deed of </w:t>
      </w:r>
      <w:r>
        <w:t>G</w:t>
      </w:r>
      <w:r w:rsidRPr="00EE4F10">
        <w:t>uarantee</w:t>
      </w:r>
    </w:p>
    <w:p w14:paraId="33794428" w14:textId="77777777" w:rsidR="00F67E9E" w:rsidRPr="00025910" w:rsidRDefault="00F67E9E" w:rsidP="00F67E9E"/>
    <w:p w14:paraId="4E3878E3" w14:textId="77777777" w:rsidR="00F67E9E" w:rsidRPr="00025910" w:rsidRDefault="00F67E9E" w:rsidP="00F67E9E">
      <w:r w:rsidRPr="00025910">
        <w:br w:type="page"/>
      </w:r>
    </w:p>
    <w:p w14:paraId="67828BCE" w14:textId="77777777" w:rsidR="00F67E9E" w:rsidRPr="006A54F8" w:rsidRDefault="00F67E9E" w:rsidP="00F67E9E">
      <w:pPr>
        <w:pStyle w:val="Heading1"/>
        <w:rPr>
          <w:rStyle w:val="StdBodyTextBoldChar"/>
          <w:rFonts w:eastAsiaTheme="majorEastAsia" w:cs="Arial"/>
          <w:b/>
          <w:color w:val="1F497D" w:themeColor="text2"/>
          <w:szCs w:val="36"/>
        </w:rPr>
      </w:pPr>
      <w:bookmarkStart w:id="2791" w:name="Schedule30"/>
      <w:bookmarkStart w:id="2792" w:name="_Ref92200088"/>
      <w:bookmarkStart w:id="2793" w:name="_Toc141711997"/>
      <w:r w:rsidRPr="006A54F8">
        <w:rPr>
          <w:rStyle w:val="StdBodyTextBoldChar"/>
          <w:rFonts w:eastAsiaTheme="majorEastAsia" w:cs="Arial"/>
          <w:b/>
          <w:color w:val="1F497D" w:themeColor="text2"/>
          <w:szCs w:val="36"/>
        </w:rPr>
        <w:t>Schedule</w:t>
      </w:r>
      <w:r>
        <w:rPr>
          <w:rStyle w:val="StdBodyTextBoldChar"/>
          <w:rFonts w:eastAsiaTheme="majorEastAsia" w:cs="Arial"/>
          <w:b/>
          <w:color w:val="1F497D" w:themeColor="text2"/>
          <w:szCs w:val="36"/>
        </w:rPr>
        <w:t> </w:t>
      </w:r>
      <w:r w:rsidRPr="006A54F8">
        <w:rPr>
          <w:rStyle w:val="StdBodyTextBoldChar"/>
          <w:rFonts w:eastAsiaTheme="majorEastAsia" w:cs="Arial"/>
          <w:b/>
          <w:color w:val="1F497D" w:themeColor="text2"/>
          <w:szCs w:val="36"/>
        </w:rPr>
        <w:t>30</w:t>
      </w:r>
      <w:bookmarkEnd w:id="2791"/>
      <w:r w:rsidRPr="006A54F8">
        <w:rPr>
          <w:rStyle w:val="StdBodyTextBoldChar"/>
          <w:rFonts w:eastAsiaTheme="majorEastAsia" w:cs="Arial"/>
          <w:b/>
          <w:color w:val="1F497D" w:themeColor="text2"/>
          <w:szCs w:val="36"/>
        </w:rPr>
        <w:t xml:space="preserve">: </w:t>
      </w:r>
      <w:bookmarkStart w:id="2794" w:name="Schedule30Heading"/>
      <w:r w:rsidRPr="006A54F8">
        <w:rPr>
          <w:rStyle w:val="StdBodyTextBoldChar"/>
          <w:rFonts w:eastAsiaTheme="majorEastAsia" w:cs="Arial"/>
          <w:b/>
          <w:color w:val="1F497D" w:themeColor="text2"/>
          <w:szCs w:val="36"/>
        </w:rPr>
        <w:t>Deed of</w:t>
      </w:r>
      <w:r w:rsidRPr="006A54F8">
        <w:rPr>
          <w:color w:val="1F497D" w:themeColor="text2"/>
        </w:rPr>
        <w:t xml:space="preserve"> </w:t>
      </w:r>
      <w:r w:rsidRPr="006A54F8">
        <w:rPr>
          <w:rStyle w:val="StdBodyTextBoldChar"/>
          <w:rFonts w:eastAsiaTheme="majorEastAsia" w:cs="Arial"/>
          <w:b/>
          <w:color w:val="1F497D" w:themeColor="text2"/>
          <w:szCs w:val="36"/>
        </w:rPr>
        <w:t>Guarantee</w:t>
      </w:r>
      <w:bookmarkEnd w:id="2792"/>
      <w:bookmarkEnd w:id="2793"/>
      <w:bookmarkEnd w:id="2794"/>
    </w:p>
    <w:p w14:paraId="163A5AE5" w14:textId="77777777" w:rsidR="00F67E9E" w:rsidRPr="00266335" w:rsidRDefault="00F67E9E" w:rsidP="00F67E9E">
      <w:pPr>
        <w:pBdr>
          <w:top w:val="nil"/>
          <w:left w:val="nil"/>
          <w:bottom w:val="nil"/>
          <w:right w:val="nil"/>
          <w:between w:val="nil"/>
        </w:pBdr>
        <w:tabs>
          <w:tab w:val="left" w:pos="3402"/>
        </w:tabs>
        <w:spacing w:after="220"/>
        <w:rPr>
          <w:rFonts w:eastAsia="Arial"/>
          <w:b/>
          <w:i/>
          <w:szCs w:val="24"/>
        </w:rPr>
      </w:pPr>
      <w:r>
        <w:rPr>
          <w:rFonts w:eastAsia="Arial"/>
          <w:b/>
          <w:i/>
          <w:szCs w:val="24"/>
          <w:highlight w:val="yellow"/>
        </w:rPr>
        <w:t>[Guidance note:</w:t>
      </w:r>
      <w:r w:rsidRPr="00266335">
        <w:rPr>
          <w:rFonts w:eastAsia="Arial"/>
          <w:b/>
          <w:i/>
          <w:szCs w:val="24"/>
          <w:highlight w:val="yellow"/>
        </w:rPr>
        <w:t xml:space="preserve"> this is a draft form of guarantee which can be used to procure a Guarantee, but it will need to be amended to reflect the Beneficiary’s requirements.]</w:t>
      </w:r>
    </w:p>
    <w:p w14:paraId="57BDBCBC" w14:textId="77777777" w:rsidR="00F67E9E" w:rsidRPr="00C30121" w:rsidRDefault="00F67E9E" w:rsidP="00F67E9E">
      <w:pPr>
        <w:spacing w:before="100" w:after="200"/>
        <w:jc w:val="center"/>
        <w:rPr>
          <w:rFonts w:eastAsia="Times New Roman" w:cs="Arial"/>
          <w:szCs w:val="24"/>
          <w:lang w:eastAsia="en-GB"/>
        </w:rPr>
      </w:pPr>
      <w:r w:rsidRPr="00B73DD6">
        <w:rPr>
          <w:rStyle w:val="StdBodyTextBoldChar"/>
          <w:rFonts w:eastAsiaTheme="minorHAnsi" w:cs="Arial"/>
          <w:szCs w:val="24"/>
          <w:highlight w:val="yellow"/>
        </w:rPr>
        <w:t>[insert</w:t>
      </w:r>
      <w:r w:rsidRPr="00C30121">
        <w:rPr>
          <w:rStyle w:val="StdBodyTextBoldChar"/>
          <w:rFonts w:eastAsiaTheme="minorHAnsi" w:cs="Arial"/>
          <w:szCs w:val="24"/>
          <w:highlight w:val="yellow"/>
        </w:rPr>
        <w:t xml:space="preserve"> the name of the Guarantor]</w:t>
      </w:r>
    </w:p>
    <w:p w14:paraId="24FE6552" w14:textId="77777777" w:rsidR="00F67E9E" w:rsidRPr="00C30121" w:rsidRDefault="00F67E9E" w:rsidP="00F67E9E">
      <w:pPr>
        <w:spacing w:before="100" w:after="200"/>
        <w:jc w:val="center"/>
        <w:rPr>
          <w:rFonts w:cs="Arial"/>
        </w:rPr>
      </w:pPr>
      <w:r w:rsidRPr="00C30121">
        <w:rPr>
          <w:rStyle w:val="StdBodyTextBoldChar"/>
          <w:rFonts w:eastAsiaTheme="majorEastAsia" w:cs="Arial"/>
        </w:rPr>
        <w:t>- and -</w:t>
      </w:r>
    </w:p>
    <w:p w14:paraId="4E81B947" w14:textId="77777777" w:rsidR="00F67E9E" w:rsidRPr="00DD4CC2" w:rsidRDefault="00F67E9E" w:rsidP="00F67E9E">
      <w:pPr>
        <w:spacing w:before="100" w:after="200"/>
        <w:jc w:val="center"/>
        <w:rPr>
          <w:rFonts w:cs="Arial"/>
          <w:iCs/>
          <w:highlight w:val="yellow"/>
        </w:rPr>
      </w:pPr>
      <w:r w:rsidRPr="00B73DD6">
        <w:rPr>
          <w:rStyle w:val="StdBodyTextBoldChar"/>
          <w:rFonts w:eastAsiaTheme="majorEastAsia" w:cs="Arial"/>
          <w:highlight w:val="yellow"/>
        </w:rPr>
        <w:t>[insert</w:t>
      </w:r>
      <w:r w:rsidRPr="00C30121">
        <w:rPr>
          <w:rStyle w:val="StdBodyTextBoldChar"/>
          <w:rFonts w:eastAsiaTheme="majorEastAsia" w:cs="Arial"/>
          <w:highlight w:val="yellow"/>
        </w:rPr>
        <w:t xml:space="preserve"> the name of the Beneficiary]</w:t>
      </w:r>
    </w:p>
    <w:p w14:paraId="61ADC55D" w14:textId="77777777" w:rsidR="00F67E9E" w:rsidRDefault="00F67E9E" w:rsidP="00F67E9E">
      <w:pPr>
        <w:pStyle w:val="BlankDocumentTitle"/>
        <w:rPr>
          <w:rFonts w:cs="Arial"/>
        </w:rPr>
      </w:pPr>
    </w:p>
    <w:p w14:paraId="62796231" w14:textId="77777777" w:rsidR="00F67E9E" w:rsidRPr="00C30121" w:rsidRDefault="00F67E9E" w:rsidP="00F67E9E">
      <w:pPr>
        <w:pStyle w:val="BlankDocumentTitle"/>
        <w:rPr>
          <w:rFonts w:cs="Arial"/>
        </w:rPr>
      </w:pPr>
      <w:r w:rsidRPr="00C30121">
        <w:rPr>
          <w:rFonts w:cs="Arial"/>
        </w:rPr>
        <w:t>DEED OF GUARANTEE</w:t>
      </w:r>
    </w:p>
    <w:p w14:paraId="65B8D0BC" w14:textId="77777777" w:rsidR="00F67E9E" w:rsidRPr="00C30121" w:rsidRDefault="00F67E9E" w:rsidP="00F67E9E">
      <w:pPr>
        <w:pStyle w:val="StdBodyText"/>
        <w:rPr>
          <w:rFonts w:cs="Arial"/>
        </w:rPr>
      </w:pPr>
      <w:r w:rsidRPr="00C30121">
        <w:rPr>
          <w:rStyle w:val="StdBodyTextBoldChar"/>
          <w:rFonts w:eastAsiaTheme="majorEastAsia" w:cs="Arial"/>
        </w:rPr>
        <w:t>THIS DEED</w:t>
      </w:r>
      <w:r w:rsidRPr="00C30121">
        <w:rPr>
          <w:rFonts w:cs="Arial"/>
        </w:rPr>
        <w:t xml:space="preserve"> is executed as a deed and dated </w:t>
      </w:r>
      <w:r w:rsidRPr="00B73DD6">
        <w:rPr>
          <w:rFonts w:cs="Arial"/>
          <w:b/>
        </w:rPr>
        <w:t>[insert</w:t>
      </w:r>
      <w:r w:rsidRPr="00401120">
        <w:rPr>
          <w:rFonts w:cs="Arial"/>
          <w:highlight w:val="yellow"/>
        </w:rPr>
        <w:t xml:space="preserve"> date of execution</w:t>
      </w:r>
      <w:r w:rsidRPr="00C30121">
        <w:rPr>
          <w:rFonts w:cs="Arial"/>
        </w:rPr>
        <w:t xml:space="preserve">] (the </w:t>
      </w:r>
      <w:r>
        <w:rPr>
          <w:rFonts w:cs="Arial"/>
        </w:rPr>
        <w:t>“</w:t>
      </w:r>
      <w:r w:rsidRPr="00C30121">
        <w:rPr>
          <w:rStyle w:val="StdBodyTextBoldChar"/>
          <w:rFonts w:eastAsiaTheme="majorEastAsia" w:cs="Arial"/>
        </w:rPr>
        <w:t>Deed</w:t>
      </w:r>
      <w:r>
        <w:rPr>
          <w:rFonts w:cs="Arial"/>
        </w:rPr>
        <w:t>”</w:t>
      </w:r>
      <w:r w:rsidRPr="00C30121">
        <w:rPr>
          <w:rFonts w:cs="Arial"/>
        </w:rPr>
        <w:t>)</w:t>
      </w:r>
    </w:p>
    <w:p w14:paraId="7E2C9B74" w14:textId="77777777" w:rsidR="00F67E9E" w:rsidRPr="00C30121" w:rsidRDefault="00F67E9E" w:rsidP="00F67E9E">
      <w:pPr>
        <w:pStyle w:val="StdBodyTextBold"/>
        <w:rPr>
          <w:rFonts w:cs="Arial"/>
        </w:rPr>
      </w:pPr>
      <w:r w:rsidRPr="00C30121">
        <w:rPr>
          <w:rFonts w:cs="Arial"/>
        </w:rPr>
        <w:t>BETWEEN:</w:t>
      </w:r>
    </w:p>
    <w:p w14:paraId="1054A535" w14:textId="77777777" w:rsidR="00F67E9E" w:rsidRPr="00A44D3E" w:rsidRDefault="00F67E9E" w:rsidP="00F67E9E">
      <w:pPr>
        <w:pStyle w:val="PartiesBodyText"/>
        <w:numPr>
          <w:ilvl w:val="0"/>
          <w:numId w:val="220"/>
        </w:numPr>
        <w:tabs>
          <w:tab w:val="clear" w:pos="720"/>
          <w:tab w:val="num" w:pos="1080"/>
        </w:tabs>
        <w:rPr>
          <w:rFonts w:cs="Arial"/>
        </w:rPr>
      </w:pPr>
      <w:r w:rsidRPr="00B73DD6">
        <w:rPr>
          <w:rStyle w:val="StdBodyTextBoldChar"/>
          <w:rFonts w:eastAsiaTheme="majorEastAsia" w:cs="Arial"/>
          <w:highlight w:val="yellow"/>
        </w:rPr>
        <w:t>[insert</w:t>
      </w:r>
      <w:r w:rsidRPr="00A44D3E">
        <w:rPr>
          <w:rStyle w:val="StdBodyTextBoldChar"/>
          <w:rFonts w:eastAsiaTheme="majorEastAsia" w:cs="Arial"/>
          <w:highlight w:val="yellow"/>
        </w:rPr>
        <w:t xml:space="preserve"> NAME OF THE GUARANTOR]</w:t>
      </w:r>
      <w:r w:rsidRPr="00A44D3E">
        <w:rPr>
          <w:rFonts w:cs="Arial"/>
          <w:highlight w:val="yellow"/>
        </w:rPr>
        <w:t xml:space="preserve"> [a company incorporated in [England and Wales] under registered number </w:t>
      </w:r>
      <w:r w:rsidRPr="00B73DD6">
        <w:rPr>
          <w:rFonts w:cs="Arial"/>
          <w:b/>
          <w:highlight w:val="yellow"/>
        </w:rPr>
        <w:t>[insert</w:t>
      </w:r>
      <w:r w:rsidRPr="00A44D3E">
        <w:rPr>
          <w:rFonts w:cs="Arial"/>
          <w:highlight w:val="yellow"/>
        </w:rPr>
        <w:t xml:space="preserve"> registered number] whose registered office is at </w:t>
      </w:r>
      <w:r w:rsidRPr="00B73DD6">
        <w:rPr>
          <w:rFonts w:cs="Arial"/>
          <w:b/>
          <w:highlight w:val="yellow"/>
        </w:rPr>
        <w:t>[insert</w:t>
      </w:r>
      <w:r w:rsidRPr="00A44D3E">
        <w:rPr>
          <w:rFonts w:cs="Arial"/>
          <w:highlight w:val="yellow"/>
        </w:rPr>
        <w:t xml:space="preserve"> registered office]] [</w:t>
      </w:r>
      <w:r w:rsidRPr="00A44D3E">
        <w:rPr>
          <w:rStyle w:val="StdBodyTextBoldChar"/>
          <w:rFonts w:eastAsiaTheme="majorEastAsia" w:cs="Arial"/>
          <w:highlight w:val="yellow"/>
        </w:rPr>
        <w:t>OR]</w:t>
      </w:r>
      <w:r w:rsidRPr="00A44D3E">
        <w:rPr>
          <w:rFonts w:cs="Arial"/>
          <w:highlight w:val="yellow"/>
        </w:rPr>
        <w:t xml:space="preserve"> [a company incorporated under the laws of </w:t>
      </w:r>
      <w:r w:rsidRPr="00B73DD6">
        <w:rPr>
          <w:rFonts w:cs="Arial"/>
          <w:b/>
          <w:highlight w:val="yellow"/>
        </w:rPr>
        <w:t>[insert</w:t>
      </w:r>
      <w:r w:rsidRPr="00A44D3E">
        <w:rPr>
          <w:rFonts w:cs="Arial"/>
          <w:highlight w:val="yellow"/>
        </w:rPr>
        <w:t xml:space="preserve"> country], registered in </w:t>
      </w:r>
      <w:r w:rsidRPr="00B73DD6">
        <w:rPr>
          <w:rFonts w:cs="Arial"/>
          <w:b/>
          <w:highlight w:val="yellow"/>
        </w:rPr>
        <w:t>[insert</w:t>
      </w:r>
      <w:r w:rsidRPr="00A44D3E">
        <w:rPr>
          <w:rFonts w:cs="Arial"/>
          <w:highlight w:val="yellow"/>
        </w:rPr>
        <w:t xml:space="preserve"> country] with number </w:t>
      </w:r>
      <w:r w:rsidRPr="00B73DD6">
        <w:rPr>
          <w:rFonts w:cs="Arial"/>
          <w:b/>
          <w:highlight w:val="yellow"/>
        </w:rPr>
        <w:t>[insert</w:t>
      </w:r>
      <w:r w:rsidRPr="00A44D3E">
        <w:rPr>
          <w:rFonts w:cs="Arial"/>
          <w:highlight w:val="yellow"/>
        </w:rPr>
        <w:t xml:space="preserve"> number] at </w:t>
      </w:r>
      <w:r w:rsidRPr="00B73DD6">
        <w:rPr>
          <w:rFonts w:cs="Arial"/>
          <w:b/>
          <w:highlight w:val="yellow"/>
        </w:rPr>
        <w:t>[insert</w:t>
      </w:r>
      <w:r w:rsidRPr="00A44D3E">
        <w:rPr>
          <w:rFonts w:cs="Arial"/>
          <w:highlight w:val="yellow"/>
        </w:rPr>
        <w:t xml:space="preserve"> place of registration], whose principal office is at </w:t>
      </w:r>
      <w:r w:rsidRPr="00B73DD6">
        <w:rPr>
          <w:rFonts w:cs="Arial"/>
          <w:b/>
          <w:highlight w:val="yellow"/>
        </w:rPr>
        <w:t>[insert</w:t>
      </w:r>
      <w:r w:rsidRPr="00A44D3E">
        <w:rPr>
          <w:rFonts w:cs="Arial"/>
          <w:highlight w:val="yellow"/>
        </w:rPr>
        <w:t xml:space="preserve"> office details]</w:t>
      </w:r>
      <w:r w:rsidRPr="00A44D3E">
        <w:rPr>
          <w:rFonts w:cs="Arial"/>
        </w:rPr>
        <w:t xml:space="preserve"> (the “</w:t>
      </w:r>
      <w:r w:rsidRPr="00A44D3E">
        <w:rPr>
          <w:rStyle w:val="StdBodyTextBoldChar"/>
          <w:rFonts w:eastAsiaTheme="majorEastAsia" w:cs="Arial"/>
        </w:rPr>
        <w:t>Guarantor</w:t>
      </w:r>
      <w:r w:rsidRPr="00A44D3E">
        <w:rPr>
          <w:rFonts w:cs="Arial"/>
        </w:rPr>
        <w:t>”); and</w:t>
      </w:r>
    </w:p>
    <w:p w14:paraId="1A52A3AB" w14:textId="77777777" w:rsidR="00F67E9E" w:rsidRPr="00C30121" w:rsidRDefault="00F67E9E" w:rsidP="00F67E9E">
      <w:pPr>
        <w:pStyle w:val="PartiesBodyText"/>
        <w:tabs>
          <w:tab w:val="clear" w:pos="720"/>
          <w:tab w:val="num" w:pos="1080"/>
        </w:tabs>
        <w:rPr>
          <w:rFonts w:cs="Arial"/>
        </w:rPr>
      </w:pPr>
      <w:r w:rsidRPr="00B73DD6">
        <w:rPr>
          <w:rStyle w:val="StdBodyTextBoldChar"/>
          <w:rFonts w:eastAsiaTheme="majorEastAsia" w:cs="Arial"/>
          <w:highlight w:val="yellow"/>
        </w:rPr>
        <w:t>[insert</w:t>
      </w:r>
      <w:r w:rsidRPr="00C30121">
        <w:rPr>
          <w:rStyle w:val="StdBodyTextBoldChar"/>
          <w:rFonts w:eastAsiaTheme="majorEastAsia" w:cs="Arial"/>
          <w:highlight w:val="yellow"/>
        </w:rPr>
        <w:t xml:space="preserve"> NAME OF THE AUTHORITY]</w:t>
      </w:r>
      <w:r w:rsidRPr="00C30121">
        <w:rPr>
          <w:rFonts w:cs="Arial"/>
          <w:highlight w:val="yellow"/>
        </w:rPr>
        <w:t>, [acting on behalf of the Crown]</w:t>
      </w:r>
      <w:r w:rsidRPr="00C30121">
        <w:rPr>
          <w:rFonts w:cs="Arial"/>
        </w:rPr>
        <w:t xml:space="preserve"> of </w:t>
      </w:r>
      <w:r w:rsidRPr="00B73DD6">
        <w:rPr>
          <w:rFonts w:cs="Arial"/>
          <w:b/>
          <w:highlight w:val="yellow"/>
        </w:rPr>
        <w:t>[insert</w:t>
      </w:r>
      <w:r w:rsidRPr="00C30121">
        <w:rPr>
          <w:rFonts w:cs="Arial"/>
          <w:highlight w:val="yellow"/>
        </w:rPr>
        <w:t xml:space="preserve"> the Authority</w:t>
      </w:r>
      <w:r>
        <w:rPr>
          <w:rFonts w:cs="Arial"/>
          <w:highlight w:val="yellow"/>
        </w:rPr>
        <w:t>’</w:t>
      </w:r>
      <w:r w:rsidRPr="00C30121">
        <w:rPr>
          <w:rFonts w:cs="Arial"/>
          <w:highlight w:val="yellow"/>
        </w:rPr>
        <w:t>s address]</w:t>
      </w:r>
      <w:r w:rsidRPr="00C30121">
        <w:rPr>
          <w:rFonts w:cs="Arial"/>
        </w:rPr>
        <w:t xml:space="preserve"> (the </w:t>
      </w:r>
      <w:r>
        <w:rPr>
          <w:rFonts w:cs="Arial"/>
        </w:rPr>
        <w:t>“</w:t>
      </w:r>
      <w:r w:rsidRPr="00C30121">
        <w:rPr>
          <w:rStyle w:val="StdBodyTextBoldChar"/>
          <w:rFonts w:eastAsiaTheme="majorEastAsia" w:cs="Arial"/>
        </w:rPr>
        <w:t>Authority</w:t>
      </w:r>
      <w:r>
        <w:rPr>
          <w:rFonts w:cs="Arial"/>
        </w:rPr>
        <w:t>”</w:t>
      </w:r>
      <w:r w:rsidRPr="00C30121">
        <w:rPr>
          <w:rFonts w:cs="Arial"/>
        </w:rPr>
        <w:t>).</w:t>
      </w:r>
    </w:p>
    <w:p w14:paraId="6F5DA08C" w14:textId="77777777" w:rsidR="00F67E9E" w:rsidRPr="00C30121" w:rsidRDefault="00F67E9E" w:rsidP="00F67E9E">
      <w:pPr>
        <w:pStyle w:val="StdBodyText"/>
        <w:ind w:left="720"/>
        <w:rPr>
          <w:rFonts w:cs="Arial"/>
        </w:rPr>
      </w:pPr>
      <w:r w:rsidRPr="00C30121">
        <w:rPr>
          <w:rFonts w:cs="Arial"/>
        </w:rPr>
        <w:t xml:space="preserve">together the </w:t>
      </w:r>
      <w:r>
        <w:rPr>
          <w:rFonts w:cs="Arial"/>
        </w:rPr>
        <w:t>“</w:t>
      </w:r>
      <w:r w:rsidRPr="00C30121">
        <w:rPr>
          <w:rStyle w:val="StdBodyTextBoldChar"/>
          <w:rFonts w:eastAsiaTheme="majorEastAsia" w:cs="Arial"/>
        </w:rPr>
        <w:t>Parties</w:t>
      </w:r>
      <w:r>
        <w:rPr>
          <w:rFonts w:cs="Arial"/>
        </w:rPr>
        <w:t>”</w:t>
      </w:r>
      <w:r w:rsidRPr="00C30121">
        <w:rPr>
          <w:rFonts w:cs="Arial"/>
        </w:rPr>
        <w:t xml:space="preserve"> and each a </w:t>
      </w:r>
      <w:r>
        <w:rPr>
          <w:rFonts w:cs="Arial"/>
        </w:rPr>
        <w:t>“</w:t>
      </w:r>
      <w:r w:rsidRPr="00C30121">
        <w:rPr>
          <w:rStyle w:val="StdBodyTextBoldChar"/>
          <w:rFonts w:eastAsiaTheme="majorEastAsia" w:cs="Arial"/>
        </w:rPr>
        <w:t>Party</w:t>
      </w:r>
      <w:r>
        <w:rPr>
          <w:rFonts w:cs="Arial"/>
        </w:rPr>
        <w:t>”</w:t>
      </w:r>
      <w:r w:rsidRPr="00C30121">
        <w:rPr>
          <w:rFonts w:cs="Arial"/>
        </w:rPr>
        <w:t>.</w:t>
      </w:r>
    </w:p>
    <w:p w14:paraId="75E51B5C" w14:textId="77777777" w:rsidR="00F67E9E" w:rsidRPr="00C30121" w:rsidRDefault="00F67E9E" w:rsidP="00F67E9E">
      <w:pPr>
        <w:pStyle w:val="StdBodyTextBold"/>
        <w:rPr>
          <w:rFonts w:cs="Arial"/>
        </w:rPr>
      </w:pPr>
      <w:r w:rsidRPr="00C30121">
        <w:rPr>
          <w:rFonts w:cs="Arial"/>
        </w:rPr>
        <w:t>BACKGROUND:</w:t>
      </w:r>
    </w:p>
    <w:p w14:paraId="7157860A" w14:textId="77777777" w:rsidR="00F67E9E" w:rsidRPr="00025910" w:rsidRDefault="00F67E9E" w:rsidP="00F67E9E">
      <w:pPr>
        <w:spacing w:before="100" w:after="200"/>
        <w:ind w:left="720" w:hanging="720"/>
        <w:rPr>
          <w:rFonts w:cs="Arial"/>
        </w:rPr>
      </w:pPr>
      <w:bookmarkStart w:id="2795" w:name="recitalASch30"/>
      <w:bookmarkStart w:id="2796" w:name="_Ref41993548"/>
      <w:r>
        <w:rPr>
          <w:rFonts w:cs="Arial"/>
        </w:rPr>
        <w:t>(A)</w:t>
      </w:r>
      <w:bookmarkEnd w:id="2795"/>
      <w:r>
        <w:rPr>
          <w:rFonts w:cs="Arial"/>
        </w:rPr>
        <w:tab/>
      </w:r>
      <w:r w:rsidRPr="00D260A8">
        <w:rPr>
          <w:rFonts w:cs="Arial"/>
        </w:rPr>
        <w:t xml:space="preserve">The Authority </w:t>
      </w:r>
      <w:r w:rsidRPr="00D260A8">
        <w:rPr>
          <w:rFonts w:cs="Arial"/>
          <w:highlight w:val="yellow"/>
        </w:rPr>
        <w:t xml:space="preserve">[has awarded] </w:t>
      </w:r>
      <w:r w:rsidRPr="00025910">
        <w:rPr>
          <w:rFonts w:cs="Arial"/>
        </w:rPr>
        <w:t>a contract</w:t>
      </w:r>
      <w:r w:rsidRPr="00D260A8">
        <w:rPr>
          <w:rFonts w:cs="Arial"/>
        </w:rPr>
        <w:t xml:space="preserve"> dated </w:t>
      </w:r>
      <w:r w:rsidRPr="00B73DD6">
        <w:rPr>
          <w:rFonts w:cs="Arial"/>
          <w:b/>
          <w:highlight w:val="yellow"/>
        </w:rPr>
        <w:t>[insert</w:t>
      </w:r>
      <w:r w:rsidRPr="00D260A8">
        <w:rPr>
          <w:rFonts w:cs="Arial"/>
          <w:highlight w:val="yellow"/>
        </w:rPr>
        <w:t xml:space="preserve"> date</w:t>
      </w:r>
      <w:r w:rsidRPr="00401120">
        <w:rPr>
          <w:rFonts w:cs="Arial"/>
        </w:rPr>
        <w:t xml:space="preserve">] </w:t>
      </w:r>
      <w:r w:rsidRPr="00D260A8">
        <w:rPr>
          <w:rFonts w:cs="Arial"/>
        </w:rPr>
        <w:t xml:space="preserve">to </w:t>
      </w:r>
      <w:r w:rsidRPr="00B73DD6">
        <w:rPr>
          <w:rFonts w:cs="Arial"/>
          <w:b/>
          <w:highlight w:val="yellow"/>
        </w:rPr>
        <w:t>[insert</w:t>
      </w:r>
      <w:r w:rsidRPr="00D260A8">
        <w:rPr>
          <w:rFonts w:cs="Arial"/>
          <w:highlight w:val="yellow"/>
        </w:rPr>
        <w:t xml:space="preserve"> details of the Supplier]</w:t>
      </w:r>
      <w:r w:rsidRPr="00D260A8">
        <w:rPr>
          <w:rFonts w:cs="Arial"/>
        </w:rPr>
        <w:t xml:space="preserve"> (the </w:t>
      </w:r>
      <w:r>
        <w:rPr>
          <w:rFonts w:cs="Arial"/>
        </w:rPr>
        <w:t>“</w:t>
      </w:r>
      <w:r w:rsidRPr="00D260A8">
        <w:rPr>
          <w:rStyle w:val="StdBodyTextBoldChar"/>
          <w:rFonts w:eastAsiaTheme="majorEastAsia" w:cs="Arial"/>
        </w:rPr>
        <w:t>Supplier</w:t>
      </w:r>
      <w:r>
        <w:rPr>
          <w:rFonts w:cs="Arial"/>
        </w:rPr>
        <w:t>”</w:t>
      </w:r>
      <w:r w:rsidRPr="00D260A8">
        <w:rPr>
          <w:rFonts w:cs="Arial"/>
        </w:rPr>
        <w:t xml:space="preserve">) for the provision of </w:t>
      </w:r>
      <w:r w:rsidRPr="00B73DD6">
        <w:rPr>
          <w:rFonts w:cs="Arial"/>
          <w:b/>
          <w:highlight w:val="yellow"/>
        </w:rPr>
        <w:t>[insert</w:t>
      </w:r>
      <w:r w:rsidRPr="00D260A8">
        <w:rPr>
          <w:rFonts w:cs="Arial"/>
          <w:highlight w:val="yellow"/>
        </w:rPr>
        <w:t xml:space="preserve"> details of goods or services to be provided]</w:t>
      </w:r>
      <w:r w:rsidRPr="00D260A8">
        <w:rPr>
          <w:rFonts w:cs="Arial"/>
        </w:rPr>
        <w:t xml:space="preserve"> (the </w:t>
      </w:r>
      <w:r>
        <w:rPr>
          <w:rFonts w:cs="Arial"/>
        </w:rPr>
        <w:t>“</w:t>
      </w:r>
      <w:r w:rsidRPr="00025910">
        <w:rPr>
          <w:rStyle w:val="StdBodyTextBoldChar"/>
          <w:rFonts w:eastAsiaTheme="majorEastAsia" w:cs="Arial"/>
        </w:rPr>
        <w:t>Guaranteed Agreement</w:t>
      </w:r>
      <w:r>
        <w:rPr>
          <w:rFonts w:cs="Arial"/>
        </w:rPr>
        <w:t>”</w:t>
      </w:r>
      <w:r w:rsidRPr="00025910">
        <w:rPr>
          <w:rFonts w:cs="Arial"/>
        </w:rPr>
        <w:t>).</w:t>
      </w:r>
      <w:bookmarkEnd w:id="2796"/>
    </w:p>
    <w:p w14:paraId="45BE23F2" w14:textId="77777777" w:rsidR="00F67E9E" w:rsidRPr="00025910" w:rsidRDefault="00F67E9E" w:rsidP="00F67E9E">
      <w:pPr>
        <w:spacing w:before="100" w:after="200"/>
        <w:ind w:left="720" w:hanging="720"/>
        <w:rPr>
          <w:rFonts w:cs="Arial"/>
        </w:rPr>
      </w:pPr>
      <w:r>
        <w:rPr>
          <w:rFonts w:cs="Arial"/>
        </w:rPr>
        <w:t>(B)</w:t>
      </w:r>
      <w:r>
        <w:rPr>
          <w:rFonts w:cs="Arial"/>
        </w:rPr>
        <w:tab/>
      </w:r>
      <w:r w:rsidRPr="00025910">
        <w:rPr>
          <w:rFonts w:cs="Arial"/>
        </w:rPr>
        <w:t>It is a condition of the Authority entering into the Guaranteed Agreement that the Supplier procures the execution and delivery to the Authority of a parent company guarantee substantially in the form of this Deed.</w:t>
      </w:r>
    </w:p>
    <w:p w14:paraId="2A75CD90" w14:textId="77777777" w:rsidR="00F67E9E" w:rsidRPr="00025910" w:rsidRDefault="00F67E9E" w:rsidP="00F67E9E">
      <w:pPr>
        <w:spacing w:before="100" w:after="200"/>
        <w:ind w:left="720" w:hanging="720"/>
        <w:rPr>
          <w:rFonts w:cs="Arial"/>
        </w:rPr>
      </w:pPr>
      <w:r>
        <w:rPr>
          <w:rFonts w:cs="Arial"/>
        </w:rPr>
        <w:t>(C)</w:t>
      </w:r>
      <w:r>
        <w:rPr>
          <w:rFonts w:cs="Arial"/>
        </w:rPr>
        <w:tab/>
      </w:r>
      <w:r w:rsidRPr="00025910">
        <w:rPr>
          <w:rFonts w:cs="Arial"/>
        </w:rPr>
        <w:t xml:space="preserve">The Guarantor has agreed to guarantee the due performance of the Guaranteed Agreement. </w:t>
      </w:r>
    </w:p>
    <w:p w14:paraId="045BCE34" w14:textId="77777777" w:rsidR="00F67E9E" w:rsidRPr="00C30121" w:rsidRDefault="00F67E9E" w:rsidP="00F67E9E">
      <w:pPr>
        <w:pStyle w:val="StdBodyText"/>
        <w:rPr>
          <w:rFonts w:cs="Arial"/>
        </w:rPr>
      </w:pPr>
      <w:r w:rsidRPr="00C30121">
        <w:rPr>
          <w:rStyle w:val="StdBodyTextBoldChar"/>
          <w:rFonts w:eastAsiaTheme="majorEastAsia" w:cs="Arial"/>
        </w:rPr>
        <w:t>IT IS AGREED</w:t>
      </w:r>
      <w:r w:rsidRPr="00C30121">
        <w:rPr>
          <w:rFonts w:cs="Arial"/>
        </w:rPr>
        <w:t xml:space="preserve"> as follows: </w:t>
      </w:r>
    </w:p>
    <w:p w14:paraId="51025FE8" w14:textId="77777777" w:rsidR="00F67E9E" w:rsidRPr="00D260A8" w:rsidRDefault="00F67E9E" w:rsidP="00F67E9E">
      <w:pPr>
        <w:pStyle w:val="Numbered1"/>
        <w:numPr>
          <w:ilvl w:val="0"/>
          <w:numId w:val="288"/>
        </w:numPr>
      </w:pPr>
      <w:r w:rsidRPr="00D260A8">
        <w:t xml:space="preserve">Definitions </w:t>
      </w:r>
      <w:r>
        <w:t>a</w:t>
      </w:r>
      <w:r w:rsidRPr="00D260A8">
        <w:t>nd Interpretation</w:t>
      </w:r>
    </w:p>
    <w:p w14:paraId="632617E7" w14:textId="77777777" w:rsidR="00F67E9E" w:rsidRPr="00C30121" w:rsidRDefault="00F67E9E" w:rsidP="00F67E9E">
      <w:pPr>
        <w:pStyle w:val="StdBodyText1"/>
        <w:ind w:left="360"/>
        <w:rPr>
          <w:rFonts w:cs="Arial"/>
        </w:rPr>
      </w:pPr>
      <w:r w:rsidRPr="00C30121">
        <w:rPr>
          <w:rStyle w:val="StdBodyTextBoldChar"/>
          <w:rFonts w:eastAsiaTheme="majorEastAsia" w:cs="Arial"/>
        </w:rPr>
        <w:t>Definitions</w:t>
      </w:r>
    </w:p>
    <w:p w14:paraId="476FE3D7" w14:textId="77777777" w:rsidR="00F67E9E" w:rsidRPr="00C30121" w:rsidRDefault="00F67E9E" w:rsidP="00F67E9E">
      <w:pPr>
        <w:pStyle w:val="Numbered11"/>
      </w:pPr>
      <w:r w:rsidRPr="00C30121">
        <w:t xml:space="preserve">The </w:t>
      </w:r>
      <w:r w:rsidRPr="005D768B">
        <w:rPr>
          <w:rStyle w:val="StdBodyTextBoldChar"/>
          <w:rFonts w:eastAsiaTheme="majorEastAsia" w:cs="Arial"/>
          <w:b w:val="0"/>
          <w:bCs/>
        </w:rPr>
        <w:t>following</w:t>
      </w:r>
      <w:r w:rsidRPr="00C30121">
        <w:t xml:space="preserve"> definitions apply in this Deed:</w:t>
      </w:r>
    </w:p>
    <w:tbl>
      <w:tblPr>
        <w:tblStyle w:val="MSAdefinitions"/>
        <w:tblW w:w="9638" w:type="dxa"/>
        <w:tblLook w:val="04A0" w:firstRow="1" w:lastRow="0" w:firstColumn="1" w:lastColumn="0" w:noHBand="0" w:noVBand="1"/>
      </w:tblPr>
      <w:tblGrid>
        <w:gridCol w:w="2835"/>
        <w:gridCol w:w="6803"/>
      </w:tblGrid>
      <w:tr w:rsidR="00F67E9E" w:rsidRPr="00C30121" w14:paraId="55E1579E" w14:textId="77777777" w:rsidTr="007F74AA">
        <w:tc>
          <w:tcPr>
            <w:tcW w:w="2835" w:type="dxa"/>
          </w:tcPr>
          <w:p w14:paraId="2A8490AA" w14:textId="77777777" w:rsidR="00F67E9E" w:rsidRPr="00C30121" w:rsidRDefault="00F67E9E" w:rsidP="007F74AA">
            <w:pPr>
              <w:pStyle w:val="StdBodyTextBold"/>
              <w:rPr>
                <w:rFonts w:cs="Arial"/>
              </w:rPr>
            </w:pPr>
            <w:r>
              <w:rPr>
                <w:rFonts w:cs="Arial"/>
              </w:rPr>
              <w:t>“</w:t>
            </w:r>
            <w:r w:rsidRPr="00C30121">
              <w:rPr>
                <w:rFonts w:cs="Arial"/>
              </w:rPr>
              <w:t>Business Day</w:t>
            </w:r>
            <w:r>
              <w:rPr>
                <w:rFonts w:cs="Arial"/>
              </w:rPr>
              <w:t>”</w:t>
            </w:r>
          </w:p>
        </w:tc>
        <w:tc>
          <w:tcPr>
            <w:tcW w:w="6803" w:type="dxa"/>
          </w:tcPr>
          <w:p w14:paraId="3AAE9044" w14:textId="77777777" w:rsidR="00F67E9E" w:rsidRPr="00C30121" w:rsidRDefault="00F67E9E" w:rsidP="007F74AA">
            <w:pPr>
              <w:pStyle w:val="StdBodyText"/>
              <w:rPr>
                <w:rFonts w:cs="Arial"/>
              </w:rPr>
            </w:pPr>
            <w:r w:rsidRPr="00C30121">
              <w:rPr>
                <w:rFonts w:cs="Arial"/>
              </w:rPr>
              <w:t>means a day, other than a Saturday, Sunday or public holiday in England, when banks in London are open for business;</w:t>
            </w:r>
          </w:p>
        </w:tc>
      </w:tr>
      <w:tr w:rsidR="00F67E9E" w:rsidRPr="00C30121" w14:paraId="2B60AA57" w14:textId="77777777" w:rsidTr="007F74AA">
        <w:tc>
          <w:tcPr>
            <w:tcW w:w="2835" w:type="dxa"/>
          </w:tcPr>
          <w:p w14:paraId="40EB3D36" w14:textId="77777777" w:rsidR="00F67E9E" w:rsidRPr="00C30121" w:rsidRDefault="00F67E9E" w:rsidP="007F74AA">
            <w:pPr>
              <w:pStyle w:val="StdBodyTextBold"/>
              <w:rPr>
                <w:rFonts w:cs="Arial"/>
              </w:rPr>
            </w:pPr>
            <w:r>
              <w:rPr>
                <w:rFonts w:cs="Arial"/>
              </w:rPr>
              <w:t>“</w:t>
            </w:r>
            <w:r w:rsidRPr="00C30121">
              <w:rPr>
                <w:rFonts w:cs="Arial"/>
              </w:rPr>
              <w:t>Control</w:t>
            </w:r>
            <w:r>
              <w:rPr>
                <w:rFonts w:cs="Arial"/>
              </w:rPr>
              <w:t>”</w:t>
            </w:r>
          </w:p>
        </w:tc>
        <w:tc>
          <w:tcPr>
            <w:tcW w:w="6803" w:type="dxa"/>
          </w:tcPr>
          <w:p w14:paraId="1B982147" w14:textId="77777777" w:rsidR="00F67E9E" w:rsidRPr="00C30121" w:rsidRDefault="00F67E9E" w:rsidP="007F74AA">
            <w:pPr>
              <w:pStyle w:val="StdBodyText"/>
              <w:rPr>
                <w:rFonts w:cs="Arial"/>
              </w:rPr>
            </w:pPr>
            <w:r w:rsidRPr="00C30121">
              <w:rPr>
                <w:rFonts w:cs="Arial"/>
              </w:rPr>
              <w:t>means the power of a person to secure that the affairs of a body corporate are conducted in accordance with the wishes of that person:</w:t>
            </w:r>
          </w:p>
          <w:p w14:paraId="36416068" w14:textId="77777777" w:rsidR="00F67E9E" w:rsidRPr="005D768B" w:rsidRDefault="00F67E9E" w:rsidP="007F74AA">
            <w:pPr>
              <w:pStyle w:val="DefinitionList"/>
              <w:numPr>
                <w:ilvl w:val="0"/>
                <w:numId w:val="289"/>
              </w:numPr>
            </w:pPr>
            <w:r w:rsidRPr="00D9715E">
              <w:t xml:space="preserve">by means of the holding of shares or the possession of voting power in relation to that body or any other body </w:t>
            </w:r>
            <w:r w:rsidRPr="005D768B">
              <w:t>corporate; or</w:t>
            </w:r>
          </w:p>
          <w:p w14:paraId="051C57CB" w14:textId="77777777" w:rsidR="00F67E9E" w:rsidRPr="00C30121" w:rsidRDefault="00F67E9E" w:rsidP="00F67E9E">
            <w:pPr>
              <w:pStyle w:val="DefinitionList"/>
              <w:numPr>
                <w:ilvl w:val="0"/>
                <w:numId w:val="108"/>
              </w:numPr>
            </w:pPr>
            <w:r w:rsidRPr="005D768B">
              <w:t>as</w:t>
            </w:r>
            <w:r w:rsidRPr="00C30121">
              <w:t xml:space="preserve"> a result of any powers conferred by the constitutional or corporate documents, or any other document regulating that body or any other body corporate;</w:t>
            </w:r>
          </w:p>
        </w:tc>
      </w:tr>
      <w:tr w:rsidR="00F67E9E" w:rsidRPr="00025910" w14:paraId="2E55FBBA" w14:textId="77777777" w:rsidTr="007F74AA">
        <w:tc>
          <w:tcPr>
            <w:tcW w:w="2835" w:type="dxa"/>
          </w:tcPr>
          <w:p w14:paraId="367389CC" w14:textId="77777777" w:rsidR="00F67E9E" w:rsidRPr="00025910" w:rsidRDefault="00F67E9E" w:rsidP="007F74AA">
            <w:pPr>
              <w:pStyle w:val="StdBodyTextBold"/>
              <w:rPr>
                <w:rFonts w:cs="Arial"/>
              </w:rPr>
            </w:pPr>
            <w:r>
              <w:rPr>
                <w:rFonts w:cs="Arial"/>
              </w:rPr>
              <w:t>“</w:t>
            </w:r>
            <w:r w:rsidRPr="00025910">
              <w:rPr>
                <w:rFonts w:cs="Arial"/>
              </w:rPr>
              <w:t>Guaranteed Agreement</w:t>
            </w:r>
            <w:r>
              <w:rPr>
                <w:rFonts w:cs="Arial"/>
              </w:rPr>
              <w:t>”</w:t>
            </w:r>
          </w:p>
        </w:tc>
        <w:tc>
          <w:tcPr>
            <w:tcW w:w="6803" w:type="dxa"/>
          </w:tcPr>
          <w:p w14:paraId="097A27D0" w14:textId="029DDDAB" w:rsidR="00F67E9E" w:rsidRPr="00025910" w:rsidRDefault="00F67E9E" w:rsidP="007F74AA">
            <w:pPr>
              <w:pStyle w:val="StdBodyText"/>
              <w:rPr>
                <w:rFonts w:cs="Arial"/>
              </w:rPr>
            </w:pPr>
            <w:r w:rsidRPr="00025910">
              <w:rPr>
                <w:rFonts w:cs="Arial"/>
              </w:rPr>
              <w:t xml:space="preserve">has the meaning given to it in Recital </w:t>
            </w:r>
            <w:r w:rsidRPr="00025910">
              <w:rPr>
                <w:rFonts w:cs="Arial"/>
              </w:rPr>
              <w:fldChar w:fldCharType="begin"/>
            </w:r>
            <w:r w:rsidRPr="00025910">
              <w:rPr>
                <w:rFonts w:cs="Arial"/>
              </w:rPr>
              <w:instrText xml:space="preserve"> REF _Ref41993548 \r \h  \* MERGEFORMAT </w:instrText>
            </w:r>
            <w:r w:rsidRPr="00025910">
              <w:rPr>
                <w:rFonts w:cs="Arial"/>
              </w:rPr>
            </w:r>
            <w:r w:rsidRPr="00025910">
              <w:rPr>
                <w:rFonts w:cs="Arial"/>
              </w:rPr>
              <w:fldChar w:fldCharType="separate"/>
            </w:r>
            <w:r w:rsidR="00302D39">
              <w:rPr>
                <w:rFonts w:cs="Arial"/>
              </w:rPr>
              <w:t>0</w:t>
            </w:r>
            <w:r w:rsidRPr="00025910">
              <w:rPr>
                <w:rFonts w:cs="Arial"/>
              </w:rPr>
              <w:fldChar w:fldCharType="end"/>
            </w:r>
            <w:r w:rsidRPr="00025910">
              <w:rPr>
                <w:rFonts w:cs="Arial"/>
              </w:rPr>
              <w:t>;</w:t>
            </w:r>
          </w:p>
        </w:tc>
      </w:tr>
      <w:tr w:rsidR="00F67E9E" w:rsidRPr="00025910" w14:paraId="3E016711" w14:textId="77777777" w:rsidTr="007F74AA">
        <w:tc>
          <w:tcPr>
            <w:tcW w:w="2835" w:type="dxa"/>
          </w:tcPr>
          <w:p w14:paraId="33A6EC02" w14:textId="77777777" w:rsidR="00F67E9E" w:rsidRPr="00025910" w:rsidRDefault="00F67E9E" w:rsidP="007F74AA">
            <w:pPr>
              <w:pStyle w:val="StdBodyTextBold"/>
              <w:rPr>
                <w:rFonts w:cs="Arial"/>
              </w:rPr>
            </w:pPr>
            <w:r>
              <w:rPr>
                <w:rFonts w:cs="Arial"/>
              </w:rPr>
              <w:t>“</w:t>
            </w:r>
            <w:r w:rsidRPr="00025910">
              <w:rPr>
                <w:rFonts w:cs="Arial"/>
              </w:rPr>
              <w:t>Guaranteed Obligations</w:t>
            </w:r>
            <w:r>
              <w:rPr>
                <w:rFonts w:cs="Arial"/>
              </w:rPr>
              <w:t>”</w:t>
            </w:r>
          </w:p>
        </w:tc>
        <w:tc>
          <w:tcPr>
            <w:tcW w:w="6803" w:type="dxa"/>
          </w:tcPr>
          <w:p w14:paraId="25B8CF9C" w14:textId="27211860" w:rsidR="00F67E9E" w:rsidRPr="00025910" w:rsidRDefault="00F67E9E" w:rsidP="007F74AA">
            <w:pPr>
              <w:pStyle w:val="StdBodyText"/>
              <w:rPr>
                <w:rFonts w:cs="Arial"/>
              </w:rPr>
            </w:pPr>
            <w:r w:rsidRPr="00025910">
              <w:rPr>
                <w:rFonts w:cs="Arial"/>
              </w:rPr>
              <w:t xml:space="preserve">has the meaning given to it in </w:t>
            </w:r>
            <w:bookmarkStart w:id="2797" w:name="_9kMHG5YVtCIC9DJHDmf0vturB3p4KHICySdTHDO"/>
            <w:bookmarkStart w:id="2798" w:name="_9kMHG5YVtCJD9FKGDmf0vturB3p4KHICySdTHDO"/>
            <w:r w:rsidRPr="00025910">
              <w:rPr>
                <w:rFonts w:cs="Arial"/>
              </w:rPr>
              <w:t xml:space="preserve">Clause </w:t>
            </w:r>
            <w:r w:rsidRPr="00025910">
              <w:rPr>
                <w:rFonts w:cs="Arial"/>
              </w:rPr>
              <w:fldChar w:fldCharType="begin"/>
            </w:r>
            <w:r w:rsidRPr="00025910">
              <w:rPr>
                <w:rFonts w:cs="Arial"/>
              </w:rPr>
              <w:instrText xml:space="preserve"> REF _Ref_ContractCompanion_9kb9Ut37B \w \h \t \* MERGEFORMAT </w:instrText>
            </w:r>
            <w:r w:rsidRPr="00025910">
              <w:rPr>
                <w:rFonts w:cs="Arial"/>
              </w:rPr>
            </w:r>
            <w:r w:rsidRPr="00025910">
              <w:rPr>
                <w:rFonts w:cs="Arial"/>
              </w:rPr>
              <w:fldChar w:fldCharType="separate"/>
            </w:r>
            <w:r w:rsidR="00302D39">
              <w:rPr>
                <w:rFonts w:cs="Arial"/>
              </w:rPr>
              <w:t>2.1.1</w:t>
            </w:r>
            <w:r w:rsidRPr="00025910">
              <w:rPr>
                <w:rFonts w:cs="Arial"/>
              </w:rPr>
              <w:fldChar w:fldCharType="end"/>
            </w:r>
            <w:bookmarkEnd w:id="2797"/>
            <w:bookmarkEnd w:id="2798"/>
            <w:r w:rsidRPr="00025910">
              <w:rPr>
                <w:rFonts w:cs="Arial"/>
              </w:rPr>
              <w:t>;</w:t>
            </w:r>
          </w:p>
        </w:tc>
      </w:tr>
      <w:tr w:rsidR="00F67E9E" w:rsidRPr="00025910" w14:paraId="7518C5B8" w14:textId="77777777" w:rsidTr="007F74AA">
        <w:tc>
          <w:tcPr>
            <w:tcW w:w="2835" w:type="dxa"/>
          </w:tcPr>
          <w:p w14:paraId="56DBD762" w14:textId="77777777" w:rsidR="00F67E9E" w:rsidRPr="00025910" w:rsidRDefault="00F67E9E" w:rsidP="007F74AA">
            <w:pPr>
              <w:pStyle w:val="StdBodyTextBold"/>
              <w:rPr>
                <w:rFonts w:cs="Arial"/>
              </w:rPr>
            </w:pPr>
            <w:r>
              <w:rPr>
                <w:rFonts w:cs="Arial"/>
              </w:rPr>
              <w:t>“</w:t>
            </w:r>
            <w:r w:rsidRPr="00025910">
              <w:rPr>
                <w:rFonts w:cs="Arial"/>
              </w:rPr>
              <w:t>Supplier</w:t>
            </w:r>
            <w:r>
              <w:rPr>
                <w:rFonts w:cs="Arial"/>
              </w:rPr>
              <w:t>”</w:t>
            </w:r>
          </w:p>
        </w:tc>
        <w:tc>
          <w:tcPr>
            <w:tcW w:w="6803" w:type="dxa"/>
          </w:tcPr>
          <w:p w14:paraId="4AE2AD22" w14:textId="6856F170" w:rsidR="00F67E9E" w:rsidRPr="00025910" w:rsidRDefault="00F67E9E" w:rsidP="007F74AA">
            <w:pPr>
              <w:pStyle w:val="StdBodyText"/>
              <w:rPr>
                <w:rFonts w:cs="Arial"/>
              </w:rPr>
            </w:pPr>
            <w:r w:rsidRPr="00025910">
              <w:rPr>
                <w:rFonts w:cs="Arial"/>
              </w:rPr>
              <w:t xml:space="preserve">has the meaning given to it in Recital </w:t>
            </w:r>
            <w:r>
              <w:rPr>
                <w:rFonts w:cs="Arial"/>
              </w:rPr>
              <w:fldChar w:fldCharType="begin"/>
            </w:r>
            <w:r>
              <w:rPr>
                <w:rFonts w:cs="Arial"/>
              </w:rPr>
              <w:instrText xml:space="preserve"> REF recitalASch30 \h </w:instrText>
            </w:r>
            <w:r>
              <w:rPr>
                <w:rFonts w:cs="Arial"/>
              </w:rPr>
            </w:r>
            <w:r>
              <w:rPr>
                <w:rFonts w:cs="Arial"/>
              </w:rPr>
              <w:fldChar w:fldCharType="separate"/>
            </w:r>
            <w:r w:rsidR="00302D39">
              <w:rPr>
                <w:rFonts w:cs="Arial"/>
              </w:rPr>
              <w:t>(A)</w:t>
            </w:r>
            <w:r>
              <w:rPr>
                <w:rFonts w:cs="Arial"/>
              </w:rPr>
              <w:fldChar w:fldCharType="end"/>
            </w:r>
            <w:r w:rsidRPr="00025910">
              <w:rPr>
                <w:rFonts w:cs="Arial"/>
              </w:rPr>
              <w:t>;</w:t>
            </w:r>
          </w:p>
        </w:tc>
      </w:tr>
      <w:tr w:rsidR="00F67E9E" w:rsidRPr="00025910" w14:paraId="530A7CA0" w14:textId="77777777" w:rsidTr="007F74AA">
        <w:tc>
          <w:tcPr>
            <w:tcW w:w="2835" w:type="dxa"/>
          </w:tcPr>
          <w:p w14:paraId="526611EA" w14:textId="77777777" w:rsidR="00F67E9E" w:rsidRPr="00025910" w:rsidRDefault="00F67E9E" w:rsidP="007F74AA">
            <w:pPr>
              <w:pStyle w:val="StdBodyTextBold"/>
              <w:rPr>
                <w:rFonts w:cs="Arial"/>
              </w:rPr>
            </w:pPr>
            <w:r>
              <w:rPr>
                <w:rFonts w:cs="Arial"/>
              </w:rPr>
              <w:t>“</w:t>
            </w:r>
            <w:r w:rsidRPr="00025910">
              <w:rPr>
                <w:rFonts w:cs="Arial"/>
              </w:rPr>
              <w:t>VAT</w:t>
            </w:r>
            <w:r>
              <w:rPr>
                <w:rFonts w:cs="Arial"/>
              </w:rPr>
              <w:t>”</w:t>
            </w:r>
          </w:p>
        </w:tc>
        <w:tc>
          <w:tcPr>
            <w:tcW w:w="6803" w:type="dxa"/>
          </w:tcPr>
          <w:p w14:paraId="30CA1167" w14:textId="77777777" w:rsidR="00F67E9E" w:rsidRPr="00025910" w:rsidRDefault="00F67E9E" w:rsidP="007F74AA">
            <w:pPr>
              <w:pStyle w:val="StdBodyText"/>
              <w:rPr>
                <w:rFonts w:cs="Arial"/>
              </w:rPr>
            </w:pPr>
            <w:r w:rsidRPr="00025910">
              <w:rPr>
                <w:rFonts w:cs="Arial"/>
              </w:rPr>
              <w:t>means value added tax or any equivalent tax chargeable in the UK or elsewhere.</w:t>
            </w:r>
          </w:p>
        </w:tc>
      </w:tr>
    </w:tbl>
    <w:p w14:paraId="545BE8A8" w14:textId="77777777" w:rsidR="00F67E9E" w:rsidRPr="00025910" w:rsidRDefault="00F67E9E" w:rsidP="00F67E9E">
      <w:pPr>
        <w:pStyle w:val="StdBodyText1"/>
        <w:ind w:left="360"/>
        <w:rPr>
          <w:rFonts w:cs="Arial"/>
        </w:rPr>
      </w:pPr>
      <w:r w:rsidRPr="00025910">
        <w:rPr>
          <w:rStyle w:val="StdBodyTextBoldChar"/>
          <w:rFonts w:eastAsiaTheme="majorEastAsia" w:cs="Arial"/>
        </w:rPr>
        <w:t>Interpretation</w:t>
      </w:r>
    </w:p>
    <w:p w14:paraId="64F94966" w14:textId="77777777" w:rsidR="00F67E9E" w:rsidRPr="00025910" w:rsidRDefault="00F67E9E" w:rsidP="00F67E9E">
      <w:pPr>
        <w:pStyle w:val="Numbered11"/>
      </w:pPr>
      <w:r w:rsidRPr="00025910">
        <w:t>Unless otherwise stated, any reference in this Deed to:</w:t>
      </w:r>
    </w:p>
    <w:p w14:paraId="4A81BC20" w14:textId="77777777" w:rsidR="00F67E9E" w:rsidRPr="00025910" w:rsidRDefault="00F67E9E" w:rsidP="00F67E9E">
      <w:pPr>
        <w:pStyle w:val="Numbered111"/>
      </w:pPr>
      <w:r w:rsidRPr="00025910">
        <w:t xml:space="preserve">the </w:t>
      </w:r>
      <w:r>
        <w:t>“</w:t>
      </w:r>
      <w:r w:rsidRPr="00025910">
        <w:t>Guarantor</w:t>
      </w:r>
      <w:r>
        <w:t>”</w:t>
      </w:r>
      <w:r w:rsidRPr="00025910">
        <w:t xml:space="preserve">, the </w:t>
      </w:r>
      <w:r>
        <w:t>“</w:t>
      </w:r>
      <w:r w:rsidRPr="00025910">
        <w:t>Authority</w:t>
      </w:r>
      <w:r>
        <w:t>”</w:t>
      </w:r>
      <w:r w:rsidRPr="00025910">
        <w:t xml:space="preserve">, the </w:t>
      </w:r>
      <w:r>
        <w:t>“</w:t>
      </w:r>
      <w:r w:rsidRPr="00025910">
        <w:t>Supplier</w:t>
      </w:r>
      <w:r>
        <w:t>”</w:t>
      </w:r>
      <w:r w:rsidRPr="00025910">
        <w:t xml:space="preserve"> or any other person shall be construed so as to include their successors in title, permitted assigns and permitted transferees, whether direct or indirect;</w:t>
      </w:r>
    </w:p>
    <w:p w14:paraId="6E1AEAF1" w14:textId="77777777" w:rsidR="00F67E9E" w:rsidRPr="00025910" w:rsidRDefault="00F67E9E" w:rsidP="00F67E9E">
      <w:pPr>
        <w:pStyle w:val="Numbered111"/>
      </w:pPr>
      <w:r>
        <w:t>“</w:t>
      </w:r>
      <w:r w:rsidRPr="00025910">
        <w:t>assets</w:t>
      </w:r>
      <w:r>
        <w:t>”</w:t>
      </w:r>
      <w:r w:rsidRPr="00025910">
        <w:t xml:space="preserve"> includes present and future properties, revenues and rights of every description;</w:t>
      </w:r>
    </w:p>
    <w:p w14:paraId="19B41F28" w14:textId="77777777" w:rsidR="00F67E9E" w:rsidRPr="00025910" w:rsidRDefault="00F67E9E" w:rsidP="00F67E9E">
      <w:pPr>
        <w:pStyle w:val="Numbered111"/>
      </w:pPr>
      <w:r w:rsidRPr="00025910">
        <w:t xml:space="preserve">this </w:t>
      </w:r>
      <w:r>
        <w:t>“</w:t>
      </w:r>
      <w:r w:rsidRPr="00025910">
        <w:t>Deed</w:t>
      </w:r>
      <w:r>
        <w:t>”</w:t>
      </w:r>
      <w:r w:rsidRPr="00025910">
        <w:t xml:space="preserve">, or any other agreement or instrument is a reference to, this deed or other agreement or instrument as amended, novated, supplemented, extended or restated; </w:t>
      </w:r>
    </w:p>
    <w:p w14:paraId="2E1C01E5" w14:textId="77777777" w:rsidR="00F67E9E" w:rsidRPr="00025910" w:rsidRDefault="00F67E9E" w:rsidP="00F67E9E">
      <w:pPr>
        <w:pStyle w:val="Numbered111"/>
      </w:pPr>
      <w:r>
        <w:t>“</w:t>
      </w:r>
      <w:r w:rsidRPr="00025910">
        <w:t>indebtedness</w:t>
      </w:r>
      <w:r>
        <w:t>”</w:t>
      </w:r>
      <w:r w:rsidRPr="00025910">
        <w:t xml:space="preserve"> includes any obligation (whether incurred as principal or as surety) for the payment or repayment of money, whether present or future, actual or contingent;</w:t>
      </w:r>
    </w:p>
    <w:p w14:paraId="03818929" w14:textId="77777777" w:rsidR="00F67E9E" w:rsidRPr="00025910" w:rsidRDefault="00F67E9E" w:rsidP="00F67E9E">
      <w:pPr>
        <w:pStyle w:val="Numbered111"/>
      </w:pPr>
      <w:r w:rsidRPr="00025910">
        <w:t xml:space="preserve">a </w:t>
      </w:r>
      <w:r>
        <w:t>“</w:t>
      </w:r>
      <w:r w:rsidRPr="00025910">
        <w:t>person</w:t>
      </w:r>
      <w:r>
        <w:t>”</w:t>
      </w:r>
      <w:r w:rsidRPr="00025910">
        <w:t xml:space="preserve"> includes any individual, firm, company, corporation, government, state or agency of a state or any association, trust, joint venture, consortium, partnership or other entity (whether or not having separate legal personality); </w:t>
      </w:r>
    </w:p>
    <w:p w14:paraId="1B778AA4" w14:textId="77777777" w:rsidR="00F67E9E" w:rsidRPr="00025910" w:rsidRDefault="00F67E9E" w:rsidP="00F67E9E">
      <w:pPr>
        <w:pStyle w:val="Numbered111"/>
      </w:pPr>
      <w:r w:rsidRPr="00025910">
        <w:t xml:space="preserve">the words </w:t>
      </w:r>
      <w:r>
        <w:t>“</w:t>
      </w:r>
      <w:r w:rsidRPr="00025910">
        <w:t>including</w:t>
      </w:r>
      <w:r>
        <w:t>”</w:t>
      </w:r>
      <w:r w:rsidRPr="00025910">
        <w:t xml:space="preserve">, </w:t>
      </w:r>
      <w:r>
        <w:t>“</w:t>
      </w:r>
      <w:r w:rsidRPr="00025910">
        <w:t>includes</w:t>
      </w:r>
      <w:r>
        <w:t>”</w:t>
      </w:r>
      <w:r w:rsidRPr="00025910">
        <w:t xml:space="preserve">, </w:t>
      </w:r>
      <w:r>
        <w:t>“</w:t>
      </w:r>
      <w:r w:rsidRPr="00025910">
        <w:t>in particular</w:t>
      </w:r>
      <w:r>
        <w:t>”</w:t>
      </w:r>
      <w:r w:rsidRPr="00025910">
        <w:t xml:space="preserve">, </w:t>
      </w:r>
      <w:r>
        <w:t>“</w:t>
      </w:r>
      <w:r w:rsidRPr="00025910">
        <w:t>for example</w:t>
      </w:r>
      <w:r>
        <w:t>”</w:t>
      </w:r>
      <w:r w:rsidRPr="00025910">
        <w:t xml:space="preserve"> or similar shall be construed as illustrative and without limitation to the generality of the related general words; and</w:t>
      </w:r>
    </w:p>
    <w:p w14:paraId="540E7784" w14:textId="77777777" w:rsidR="00F67E9E" w:rsidRPr="00025910" w:rsidRDefault="00F67E9E" w:rsidP="00F67E9E">
      <w:pPr>
        <w:pStyle w:val="Numbered111"/>
      </w:pPr>
      <w:r w:rsidRPr="00025910">
        <w:t>a time of day is a reference to London time.</w:t>
      </w:r>
    </w:p>
    <w:p w14:paraId="4A0BD6CC" w14:textId="77777777" w:rsidR="00F67E9E" w:rsidRPr="00025910" w:rsidRDefault="00F67E9E" w:rsidP="00F67E9E">
      <w:pPr>
        <w:pStyle w:val="Numbered1"/>
        <w:numPr>
          <w:ilvl w:val="0"/>
          <w:numId w:val="288"/>
        </w:numPr>
      </w:pPr>
      <w:r w:rsidRPr="00025910">
        <w:t xml:space="preserve">Guarantee </w:t>
      </w:r>
      <w:r>
        <w:t>a</w:t>
      </w:r>
      <w:r w:rsidRPr="00025910">
        <w:t>nd Indemnity</w:t>
      </w:r>
    </w:p>
    <w:p w14:paraId="433C33C4" w14:textId="77777777" w:rsidR="00F67E9E" w:rsidRPr="00025910" w:rsidRDefault="00F67E9E" w:rsidP="00F67E9E">
      <w:pPr>
        <w:pStyle w:val="Numbered11"/>
      </w:pPr>
      <w:bookmarkStart w:id="2799" w:name="_9kR3WTrAGA7DLHBdRjJUvturBDC"/>
      <w:bookmarkStart w:id="2800" w:name="_Ref_ContractCompanion_9kb9Ut39F"/>
      <w:r w:rsidRPr="00025910">
        <w:t>The Guarantor:</w:t>
      </w:r>
      <w:bookmarkEnd w:id="2799"/>
      <w:r w:rsidRPr="00025910">
        <w:t xml:space="preserve"> </w:t>
      </w:r>
      <w:bookmarkEnd w:id="2800"/>
    </w:p>
    <w:p w14:paraId="779AB001" w14:textId="77777777" w:rsidR="00F67E9E" w:rsidRPr="00025910" w:rsidRDefault="00F67E9E" w:rsidP="00F67E9E">
      <w:pPr>
        <w:pStyle w:val="Numbered111"/>
      </w:pPr>
      <w:bookmarkStart w:id="2801" w:name="_9kR3WTrAGA7BHFBkdytrsp91n2IFGAwQbRFBMHK"/>
      <w:bookmarkStart w:id="2802" w:name="_9kR3WTrAHB7DIEBkdytrsp91n2IFGAwQbRFBMHK"/>
      <w:bookmarkStart w:id="2803" w:name="_Ref_ContractCompanion_9kb9Ut37B"/>
      <w:r w:rsidRPr="00025910">
        <w:t>guarantees to the Authority the due and punctual performance of all of the Supplier</w:t>
      </w:r>
      <w:r>
        <w:t>’</w:t>
      </w:r>
      <w:r w:rsidRPr="00025910">
        <w:t xml:space="preserve">s present and future obligations under and in connection with the Guaranteed Agreement if and when they become due and performable in accordance with the terms of the Guaranteed Agreement (the </w:t>
      </w:r>
      <w:r>
        <w:t>“</w:t>
      </w:r>
      <w:r w:rsidRPr="00025910">
        <w:rPr>
          <w:rStyle w:val="StdBodyTextBoldChar"/>
          <w:rFonts w:eastAsiaTheme="majorEastAsia" w:cs="Arial"/>
        </w:rPr>
        <w:t>Guaranteed Obligations</w:t>
      </w:r>
      <w:r>
        <w:t>”</w:t>
      </w:r>
      <w:r w:rsidRPr="00025910">
        <w:t>);</w:t>
      </w:r>
      <w:bookmarkEnd w:id="2801"/>
      <w:bookmarkEnd w:id="2802"/>
      <w:r w:rsidRPr="00025910">
        <w:t xml:space="preserve"> </w:t>
      </w:r>
      <w:bookmarkEnd w:id="2803"/>
    </w:p>
    <w:p w14:paraId="045F1359" w14:textId="77777777" w:rsidR="00F67E9E" w:rsidRPr="00025910" w:rsidRDefault="00F67E9E" w:rsidP="00F67E9E">
      <w:pPr>
        <w:pStyle w:val="Numbered111"/>
      </w:pPr>
      <w:r w:rsidRPr="00025910">
        <w:t>shall pay to the Authority from time to time on demand all monies (together with interest on such sum accrued before and after the date of demand until the date of payment) that have become payable by the Supplier to the Authority under or in connection with the Guaranteed Agreement but which has not been paid at the time the demand is made; and</w:t>
      </w:r>
    </w:p>
    <w:p w14:paraId="4E75EFE8" w14:textId="77777777" w:rsidR="00F67E9E" w:rsidRPr="00025910" w:rsidRDefault="00F67E9E" w:rsidP="00F67E9E">
      <w:pPr>
        <w:pStyle w:val="Numbered111"/>
      </w:pPr>
      <w:r w:rsidRPr="00025910">
        <w:t>shall, if the Supplier fails to perform in full and on time any of the Guaranteed Obligations and upon written notice from the Authority, immediately on demand perform or procure performance of the same at the Guarantor</w:t>
      </w:r>
      <w:r>
        <w:t>’</w:t>
      </w:r>
      <w:r w:rsidRPr="00025910">
        <w:t>s own expense.</w:t>
      </w:r>
    </w:p>
    <w:p w14:paraId="1D81886D" w14:textId="4C1A5AEA" w:rsidR="00F67E9E" w:rsidRPr="00025910" w:rsidRDefault="00F67E9E" w:rsidP="00F67E9E">
      <w:pPr>
        <w:pStyle w:val="Numbered11"/>
      </w:pPr>
      <w:bookmarkStart w:id="2804" w:name="_9kR3WTrAGA7ABACeRjJUvturBDCz1HHB83zD63I"/>
      <w:bookmarkStart w:id="2805" w:name="_Ref_ContractCompanion_9kb9Ut35E"/>
      <w:r w:rsidRPr="00025910">
        <w:t xml:space="preserve">The Guarantor, as principal obligor and as a separate and independent obligation and liability from its obligations and liabilities under </w:t>
      </w:r>
      <w:bookmarkStart w:id="2806" w:name="_9kMHG5YVtCIC9FNJDfTlLWxvwtDFE"/>
      <w:r w:rsidRPr="00025910">
        <w:t xml:space="preserve">Clause </w:t>
      </w:r>
      <w:r w:rsidRPr="00025910">
        <w:fldChar w:fldCharType="begin"/>
      </w:r>
      <w:r w:rsidRPr="00025910">
        <w:instrText xml:space="preserve"> REF _Ref_ContractCompanion_9kb9Ut39F \n \h \t \* MERGEFORMAT </w:instrText>
      </w:r>
      <w:r w:rsidRPr="00025910">
        <w:fldChar w:fldCharType="separate"/>
      </w:r>
      <w:r w:rsidR="00302D39">
        <w:t>2.1</w:t>
      </w:r>
      <w:r w:rsidRPr="00025910">
        <w:fldChar w:fldCharType="end"/>
      </w:r>
      <w:bookmarkEnd w:id="2806"/>
      <w:r w:rsidRPr="00025910">
        <w:t>, shall indemnify and keep indemnified the Authority in full and on demand from and against all and any losses, damages, costs and expenses suffered or incurred by the Authority arising out of, or in connection with:</w:t>
      </w:r>
      <w:bookmarkEnd w:id="2804"/>
      <w:r w:rsidRPr="00025910">
        <w:t xml:space="preserve"> </w:t>
      </w:r>
      <w:bookmarkEnd w:id="2805"/>
    </w:p>
    <w:p w14:paraId="0D5B7BB7" w14:textId="77777777" w:rsidR="00F67E9E" w:rsidRPr="00025910" w:rsidRDefault="00F67E9E" w:rsidP="00F67E9E">
      <w:pPr>
        <w:pStyle w:val="Numbered111"/>
      </w:pPr>
      <w:r w:rsidRPr="00025910">
        <w:t xml:space="preserve">any failure by the Supplier to perform or discharge the Guaranteed Obligations; or </w:t>
      </w:r>
    </w:p>
    <w:p w14:paraId="09A5E537" w14:textId="77777777" w:rsidR="00F67E9E" w:rsidRPr="00025910" w:rsidRDefault="00F67E9E" w:rsidP="00F67E9E">
      <w:pPr>
        <w:pStyle w:val="Numbered111"/>
      </w:pPr>
      <w:r w:rsidRPr="00025910">
        <w:t>any of the Guaranteed Obligations being or becoming wholly or partially unenforceable for any reason,</w:t>
      </w:r>
    </w:p>
    <w:p w14:paraId="3C571844" w14:textId="72884D1B" w:rsidR="00F67E9E" w:rsidRPr="00025910" w:rsidRDefault="00F67E9E" w:rsidP="00F67E9E">
      <w:pPr>
        <w:pStyle w:val="Numbered111"/>
      </w:pPr>
      <w:r w:rsidRPr="00025910">
        <w:t>provided that the Guarantor</w:t>
      </w:r>
      <w:r>
        <w:t>’</w:t>
      </w:r>
      <w:r w:rsidRPr="00025910">
        <w:t xml:space="preserve">s liability under this </w:t>
      </w:r>
      <w:bookmarkStart w:id="2807" w:name="_9kMHG5YVtCIC9CDCEgTlLWxvwtDFE13JJDA51F8"/>
      <w:r w:rsidRPr="00025910">
        <w:t xml:space="preserve">Clause </w:t>
      </w:r>
      <w:r w:rsidRPr="00025910">
        <w:fldChar w:fldCharType="begin"/>
      </w:r>
      <w:r w:rsidRPr="00025910">
        <w:instrText xml:space="preserve"> REF _Ref_ContractCompanion_9kb9Ut35E \n \h \t \* MERGEFORMAT </w:instrText>
      </w:r>
      <w:r w:rsidRPr="00025910">
        <w:fldChar w:fldCharType="separate"/>
      </w:r>
      <w:r w:rsidR="00302D39">
        <w:t>2.2</w:t>
      </w:r>
      <w:r w:rsidRPr="00025910">
        <w:fldChar w:fldCharType="end"/>
      </w:r>
      <w:bookmarkEnd w:id="2807"/>
      <w:r w:rsidRPr="00025910">
        <w:t xml:space="preserve"> shall be no greater than the Supplier</w:t>
      </w:r>
      <w:r>
        <w:t>’</w:t>
      </w:r>
      <w:r w:rsidRPr="00025910">
        <w:t>s liability under the Guaranteed Agreement was (or would have been had the relevant Guaranteed Obligation been fully enforceable).</w:t>
      </w:r>
    </w:p>
    <w:p w14:paraId="744AC5C3" w14:textId="77777777" w:rsidR="00F67E9E" w:rsidRPr="00025910" w:rsidRDefault="00F67E9E" w:rsidP="00F67E9E">
      <w:pPr>
        <w:pStyle w:val="Numbered1"/>
        <w:numPr>
          <w:ilvl w:val="0"/>
          <w:numId w:val="288"/>
        </w:numPr>
      </w:pPr>
      <w:r w:rsidRPr="00025910">
        <w:t>Authority Protections</w:t>
      </w:r>
    </w:p>
    <w:p w14:paraId="7391BA9B" w14:textId="77777777" w:rsidR="00F67E9E" w:rsidRPr="00025910" w:rsidRDefault="00F67E9E" w:rsidP="00F67E9E">
      <w:pPr>
        <w:pStyle w:val="StdBodyText1"/>
        <w:rPr>
          <w:rFonts w:cs="Arial"/>
        </w:rPr>
      </w:pPr>
      <w:r w:rsidRPr="00025910">
        <w:rPr>
          <w:rStyle w:val="StdBodyTextBoldChar"/>
          <w:rFonts w:eastAsiaTheme="majorEastAsia" w:cs="Arial"/>
        </w:rPr>
        <w:t>Continuing</w:t>
      </w:r>
      <w:r w:rsidRPr="00025910">
        <w:rPr>
          <w:rFonts w:cs="Arial"/>
        </w:rPr>
        <w:t xml:space="preserve"> </w:t>
      </w:r>
      <w:r w:rsidRPr="00025910">
        <w:rPr>
          <w:rStyle w:val="StdBodyTextBoldChar"/>
          <w:rFonts w:eastAsiaTheme="majorEastAsia" w:cs="Arial"/>
        </w:rPr>
        <w:t>Guarantee</w:t>
      </w:r>
    </w:p>
    <w:p w14:paraId="38B0B463" w14:textId="77777777" w:rsidR="00F67E9E" w:rsidRPr="00025910" w:rsidRDefault="00F67E9E" w:rsidP="00F67E9E">
      <w:pPr>
        <w:pStyle w:val="Numbered11"/>
      </w:pPr>
      <w:r w:rsidRPr="00025910">
        <w:t>This Deed is, and shall at all times be, a continuing and irrevocable security until the Guaranteed Obligations have been satisfied or performed in full, and is in addition to and not in substitution for and shall not merge with any other right, remedy, guarantee or security which the Authority may at any time hold for the performance of the Guaranteed Obligations and may be enforced without first having recourse to any such security.</w:t>
      </w:r>
    </w:p>
    <w:p w14:paraId="6E04F8FA" w14:textId="77777777" w:rsidR="00F67E9E" w:rsidRPr="00025910" w:rsidRDefault="00F67E9E" w:rsidP="00F67E9E">
      <w:pPr>
        <w:pStyle w:val="StdBodyText1"/>
        <w:rPr>
          <w:rFonts w:cs="Arial"/>
        </w:rPr>
      </w:pPr>
      <w:r w:rsidRPr="00025910">
        <w:rPr>
          <w:rStyle w:val="StdBodyTextBoldChar"/>
          <w:rFonts w:eastAsiaTheme="majorEastAsia" w:cs="Arial"/>
        </w:rPr>
        <w:t>Preservation of the Guarantor</w:t>
      </w:r>
      <w:r>
        <w:rPr>
          <w:rStyle w:val="StdBodyTextBoldChar"/>
          <w:rFonts w:eastAsiaTheme="majorEastAsia" w:cs="Arial"/>
        </w:rPr>
        <w:t>’</w:t>
      </w:r>
      <w:r w:rsidRPr="00025910">
        <w:rPr>
          <w:rStyle w:val="StdBodyTextBoldChar"/>
          <w:rFonts w:eastAsiaTheme="majorEastAsia" w:cs="Arial"/>
        </w:rPr>
        <w:t>s</w:t>
      </w:r>
      <w:r w:rsidRPr="00025910">
        <w:rPr>
          <w:rFonts w:cs="Arial"/>
        </w:rPr>
        <w:t xml:space="preserve"> </w:t>
      </w:r>
      <w:r w:rsidRPr="00025910">
        <w:rPr>
          <w:rStyle w:val="StdBodyTextBoldChar"/>
          <w:rFonts w:eastAsiaTheme="majorEastAsia" w:cs="Arial"/>
        </w:rPr>
        <w:t>liability</w:t>
      </w:r>
    </w:p>
    <w:p w14:paraId="4FD085CE" w14:textId="77777777" w:rsidR="00F67E9E" w:rsidRPr="00025910" w:rsidRDefault="00F67E9E" w:rsidP="00F67E9E">
      <w:pPr>
        <w:pStyle w:val="Numbered11"/>
      </w:pPr>
      <w:r w:rsidRPr="00025910">
        <w:t>The Guarantor</w:t>
      </w:r>
      <w:r>
        <w:t>’</w:t>
      </w:r>
      <w:r w:rsidRPr="00025910">
        <w:t>s liability under this Deed shall not be reduced, discharged or otherwise adversely affected by:</w:t>
      </w:r>
    </w:p>
    <w:p w14:paraId="0DAA1AC3" w14:textId="77777777" w:rsidR="00F67E9E" w:rsidRPr="00025910" w:rsidRDefault="00F67E9E" w:rsidP="00F67E9E">
      <w:pPr>
        <w:pStyle w:val="Numbered111"/>
      </w:pPr>
      <w:r w:rsidRPr="00025910">
        <w:t xml:space="preserve">any arrangement made between the Supplier and the Authority; </w:t>
      </w:r>
    </w:p>
    <w:p w14:paraId="51D16608" w14:textId="77777777" w:rsidR="00F67E9E" w:rsidRPr="00025910" w:rsidRDefault="00F67E9E" w:rsidP="00F67E9E">
      <w:pPr>
        <w:pStyle w:val="Numbered111"/>
      </w:pPr>
      <w:r w:rsidRPr="00025910">
        <w:t xml:space="preserve">any partial performance (except to the extent of such partial performance) by the Supplier of the Guaranteed Obligations; </w:t>
      </w:r>
    </w:p>
    <w:p w14:paraId="69442DC6" w14:textId="77B92349" w:rsidR="00F67E9E" w:rsidRPr="00025910" w:rsidRDefault="00F67E9E" w:rsidP="00F67E9E">
      <w:pPr>
        <w:pStyle w:val="Numbered111"/>
      </w:pPr>
      <w:r w:rsidRPr="00025910">
        <w:t xml:space="preserve">any alteration in the obligations undertaken by the Supplier whether by way of any variation referred to in </w:t>
      </w:r>
      <w:bookmarkStart w:id="2808" w:name="_9kMHG5YVtCIBBBAdLhkhy7s9JVhu85EyAJFLMFL"/>
      <w:r w:rsidRPr="00025910">
        <w:t xml:space="preserve">Clause </w:t>
      </w:r>
      <w:r w:rsidRPr="00025910">
        <w:fldChar w:fldCharType="begin"/>
      </w:r>
      <w:r w:rsidRPr="00025910">
        <w:instrText xml:space="preserve"> REF _Ref_ContractCompanion_9kb9Us552 \w \n \h \t \* MERGEFORMAT </w:instrText>
      </w:r>
      <w:r w:rsidRPr="00025910">
        <w:fldChar w:fldCharType="separate"/>
      </w:r>
      <w:r w:rsidR="00302D39">
        <w:t>4</w:t>
      </w:r>
      <w:r w:rsidRPr="00025910">
        <w:fldChar w:fldCharType="end"/>
      </w:r>
      <w:bookmarkEnd w:id="2808"/>
      <w:r w:rsidRPr="00025910">
        <w:t xml:space="preserve"> or otherwise; </w:t>
      </w:r>
    </w:p>
    <w:p w14:paraId="779D0235" w14:textId="77777777" w:rsidR="00F67E9E" w:rsidRPr="00025910" w:rsidRDefault="00F67E9E" w:rsidP="00F67E9E">
      <w:pPr>
        <w:pStyle w:val="Numbered111"/>
      </w:pPr>
      <w:r w:rsidRPr="00025910">
        <w:t>any waiver or forbearance by the Authority whether as to payment, time, performance or otherwise;</w:t>
      </w:r>
    </w:p>
    <w:p w14:paraId="5D6AA011" w14:textId="77777777" w:rsidR="00F67E9E" w:rsidRPr="00025910" w:rsidRDefault="00F67E9E" w:rsidP="00F67E9E">
      <w:pPr>
        <w:pStyle w:val="Numbered111"/>
      </w:pPr>
      <w:r w:rsidRPr="00025910">
        <w:t>the taking, variation, renewal or release of, the enforcement or neglect to perfect or enforce any right, guarantee, remedy or security from or against the Supplier or any other person;</w:t>
      </w:r>
    </w:p>
    <w:p w14:paraId="5E8B8CE8" w14:textId="77777777" w:rsidR="00F67E9E" w:rsidRPr="00025910" w:rsidRDefault="00F67E9E" w:rsidP="00F67E9E">
      <w:pPr>
        <w:pStyle w:val="Numbered111"/>
      </w:pPr>
      <w:r w:rsidRPr="00025910">
        <w:t>any unenforceability, illegality or invalidity of any of the provisions of the Guaranteed Agreement or any of the Supplier</w:t>
      </w:r>
      <w:r>
        <w:t>’</w:t>
      </w:r>
      <w:r w:rsidRPr="00025910">
        <w:t>s obligations under the Guaranteed Agreement, so that this Deed shall be construed as if there were no such unenforceability, illegality or invalidity;</w:t>
      </w:r>
    </w:p>
    <w:p w14:paraId="2AA98D3B" w14:textId="77777777" w:rsidR="00F67E9E" w:rsidRPr="00025910" w:rsidRDefault="00F67E9E" w:rsidP="00F67E9E">
      <w:pPr>
        <w:pStyle w:val="Numbered111"/>
      </w:pPr>
      <w:r w:rsidRPr="00025910">
        <w:t>any dissolution, amalgamation, reconstruction, reorganisation, change in status, function, Control or ownership, insolvency, liquidation, administration, voluntary arrangement, or appointment of a receiver, of the Supplier or any other person.</w:t>
      </w:r>
    </w:p>
    <w:p w14:paraId="459BC7F5" w14:textId="77777777" w:rsidR="00F67E9E" w:rsidRPr="00025910" w:rsidRDefault="00F67E9E" w:rsidP="00F67E9E">
      <w:pPr>
        <w:pStyle w:val="StdBodyText1"/>
        <w:rPr>
          <w:rFonts w:cs="Arial"/>
        </w:rPr>
      </w:pPr>
      <w:r w:rsidRPr="00025910">
        <w:rPr>
          <w:rStyle w:val="StdBodyTextBoldChar"/>
          <w:rFonts w:eastAsiaTheme="majorEastAsia" w:cs="Arial"/>
        </w:rPr>
        <w:t>Immediate</w:t>
      </w:r>
      <w:r w:rsidRPr="00025910">
        <w:rPr>
          <w:rFonts w:cs="Arial"/>
        </w:rPr>
        <w:t xml:space="preserve"> </w:t>
      </w:r>
      <w:r w:rsidRPr="00025910">
        <w:rPr>
          <w:rStyle w:val="StdBodyTextBoldChar"/>
          <w:rFonts w:eastAsiaTheme="majorEastAsia" w:cs="Arial"/>
        </w:rPr>
        <w:t>demand</w:t>
      </w:r>
    </w:p>
    <w:p w14:paraId="0452CC56" w14:textId="77777777" w:rsidR="00F67E9E" w:rsidRPr="00025910" w:rsidRDefault="00F67E9E" w:rsidP="00F67E9E">
      <w:pPr>
        <w:pStyle w:val="Numbered11"/>
      </w:pPr>
      <w:r w:rsidRPr="00025910">
        <w:t>The Guarantor waives any right it may have to require the Authority to proceed against, enforce any other right or claim for payment against, or take any other action against, the Supplier or any other person before claiming from the Guarantor under this Guarantee.</w:t>
      </w:r>
    </w:p>
    <w:p w14:paraId="7775B9E8" w14:textId="77777777" w:rsidR="00F67E9E" w:rsidRPr="00025910" w:rsidRDefault="00F67E9E" w:rsidP="00F67E9E">
      <w:pPr>
        <w:pStyle w:val="StdBodyText1"/>
        <w:rPr>
          <w:rFonts w:cs="Arial"/>
        </w:rPr>
      </w:pPr>
      <w:r w:rsidRPr="00025910">
        <w:rPr>
          <w:rStyle w:val="StdBodyTextBoldChar"/>
          <w:rFonts w:eastAsiaTheme="majorEastAsia" w:cs="Arial"/>
        </w:rPr>
        <w:t>Deferral of</w:t>
      </w:r>
      <w:r w:rsidRPr="00025910">
        <w:rPr>
          <w:rFonts w:cs="Arial"/>
        </w:rPr>
        <w:t xml:space="preserve"> </w:t>
      </w:r>
      <w:r w:rsidRPr="00025910">
        <w:rPr>
          <w:rStyle w:val="StdBodyTextBoldChar"/>
          <w:rFonts w:eastAsiaTheme="majorEastAsia" w:cs="Arial"/>
        </w:rPr>
        <w:t>rights</w:t>
      </w:r>
    </w:p>
    <w:p w14:paraId="7A6A0219" w14:textId="77777777" w:rsidR="00F67E9E" w:rsidRPr="00025910" w:rsidRDefault="00F67E9E" w:rsidP="00F67E9E">
      <w:pPr>
        <w:pStyle w:val="Numbered11"/>
      </w:pPr>
      <w:bookmarkStart w:id="2809" w:name="_Ref_ContractCompanion_9kb9Ut34B"/>
      <w:bookmarkStart w:id="2810" w:name="_9kR3WTrAGA78HJFhY40tmnzpr6FFFLPF2yy93GI"/>
      <w:r w:rsidRPr="00025910">
        <w:t>Until all amounts which may be or become payable under the Guaranteed Agreement or this Deed have been irrevocably paid in full, the Guarantor shall not, as a result of this Deed or any payment performance under this Deed:</w:t>
      </w:r>
      <w:bookmarkEnd w:id="2809"/>
      <w:bookmarkEnd w:id="2810"/>
    </w:p>
    <w:p w14:paraId="4FDF6CFF" w14:textId="77777777" w:rsidR="00F67E9E" w:rsidRPr="00025910" w:rsidRDefault="00F67E9E" w:rsidP="00F67E9E">
      <w:pPr>
        <w:pStyle w:val="Numbered111"/>
      </w:pPr>
      <w:r w:rsidRPr="00025910">
        <w:t>be subrogated to any right or security of the Authority;</w:t>
      </w:r>
    </w:p>
    <w:p w14:paraId="49654C7A" w14:textId="77777777" w:rsidR="00F67E9E" w:rsidRPr="00025910" w:rsidRDefault="00F67E9E" w:rsidP="00F67E9E">
      <w:pPr>
        <w:pStyle w:val="Numbered111"/>
      </w:pPr>
      <w:r w:rsidRPr="00025910">
        <w:t>claim or prove in competition with the Authority against the Supplier or any other person;</w:t>
      </w:r>
    </w:p>
    <w:p w14:paraId="4E33B5FE" w14:textId="77777777" w:rsidR="00F67E9E" w:rsidRPr="00025910" w:rsidRDefault="00F67E9E" w:rsidP="00F67E9E">
      <w:pPr>
        <w:pStyle w:val="Numbered111"/>
      </w:pPr>
      <w:r w:rsidRPr="00025910">
        <w:t xml:space="preserve">demand or accept repayment in whole or in part of any indebtedness due from the Supplier; </w:t>
      </w:r>
    </w:p>
    <w:p w14:paraId="30D9AAAA" w14:textId="77777777" w:rsidR="00F67E9E" w:rsidRPr="00025910" w:rsidRDefault="00F67E9E" w:rsidP="00F67E9E">
      <w:pPr>
        <w:pStyle w:val="Numbered111"/>
      </w:pPr>
      <w:r w:rsidRPr="00025910">
        <w:t>take the benefit of, share in or enforce any security or other guarantee or indemnity against the Supplier; or</w:t>
      </w:r>
    </w:p>
    <w:p w14:paraId="297509FC" w14:textId="77777777" w:rsidR="00F67E9E" w:rsidRPr="00025910" w:rsidRDefault="00F67E9E" w:rsidP="00F67E9E">
      <w:pPr>
        <w:pStyle w:val="Numbered111"/>
      </w:pPr>
      <w:r w:rsidRPr="00025910">
        <w:t>claim any right of contribution, set-off or indemnity from the Supplier,</w:t>
      </w:r>
    </w:p>
    <w:p w14:paraId="0A0CD44E" w14:textId="77777777" w:rsidR="00F67E9E" w:rsidRPr="00025910" w:rsidRDefault="00F67E9E" w:rsidP="00F67E9E">
      <w:pPr>
        <w:pStyle w:val="StdBodyText2"/>
        <w:rPr>
          <w:rFonts w:cs="Arial"/>
        </w:rPr>
      </w:pPr>
      <w:r w:rsidRPr="00025910">
        <w:rPr>
          <w:rFonts w:cs="Arial"/>
        </w:rPr>
        <w:t>without the prior written consent of the Authority (and in such case only in accordance with any written instructions of the Authority).</w:t>
      </w:r>
    </w:p>
    <w:p w14:paraId="293959F4" w14:textId="5B882FF9" w:rsidR="00F67E9E" w:rsidRPr="00025910" w:rsidRDefault="00F67E9E" w:rsidP="00F67E9E">
      <w:pPr>
        <w:pStyle w:val="Numbered11"/>
      </w:pPr>
      <w:r w:rsidRPr="00025910">
        <w:t xml:space="preserve">If the Guarantor receives any payment or other benefit in breach of </w:t>
      </w:r>
      <w:bookmarkStart w:id="2811" w:name="_9kMHG5YVtCIC9AJLHja62vop1rt8HHHNRH400B5"/>
      <w:r w:rsidRPr="00025910">
        <w:t xml:space="preserve">Clause </w:t>
      </w:r>
      <w:r w:rsidRPr="00025910">
        <w:fldChar w:fldCharType="begin"/>
      </w:r>
      <w:r w:rsidRPr="00025910">
        <w:instrText xml:space="preserve"> REF _Ref_ContractCompanion_9kb9Ut34B \n \h \t \* MERGEFORMAT </w:instrText>
      </w:r>
      <w:r w:rsidRPr="00025910">
        <w:fldChar w:fldCharType="separate"/>
      </w:r>
      <w:r w:rsidR="00302D39">
        <w:t>3.4</w:t>
      </w:r>
      <w:r w:rsidRPr="00025910">
        <w:fldChar w:fldCharType="end"/>
      </w:r>
      <w:bookmarkEnd w:id="2811"/>
      <w:r w:rsidRPr="00025910">
        <w:t xml:space="preserve">, or as a result of any action taken in accordance with a written instruction of the Authority given pursuant to </w:t>
      </w:r>
      <w:bookmarkStart w:id="2812" w:name="_9kMIH5YVtCIC9AJLHja62vop1rt8HHHNRH400B5"/>
      <w:r w:rsidRPr="00025910">
        <w:t xml:space="preserve">Clause </w:t>
      </w:r>
      <w:r w:rsidRPr="00025910">
        <w:fldChar w:fldCharType="begin"/>
      </w:r>
      <w:r w:rsidRPr="00025910">
        <w:instrText xml:space="preserve"> REF _Ref_ContractCompanion_9kb9Ut34B \n \h \t \* MERGEFORMAT </w:instrText>
      </w:r>
      <w:r w:rsidRPr="00025910">
        <w:fldChar w:fldCharType="separate"/>
      </w:r>
      <w:r w:rsidR="00302D39">
        <w:t>3.4</w:t>
      </w:r>
      <w:r w:rsidRPr="00025910">
        <w:fldChar w:fldCharType="end"/>
      </w:r>
      <w:bookmarkEnd w:id="2812"/>
      <w:r w:rsidRPr="00025910">
        <w:t>, such payment of other benefit, and any benefit derived directly or indirectly by the Guarantor therefrom, shall be held by the Guarantor on trust for the Authority applied towards the discharge of the Guarantor</w:t>
      </w:r>
      <w:r>
        <w:t>’</w:t>
      </w:r>
      <w:r w:rsidRPr="00025910">
        <w:t>s obligations to the Authority under this Deed.</w:t>
      </w:r>
    </w:p>
    <w:p w14:paraId="183CA02A" w14:textId="77777777" w:rsidR="00F67E9E" w:rsidRPr="00025910" w:rsidRDefault="00F67E9E" w:rsidP="00F67E9E">
      <w:pPr>
        <w:pStyle w:val="Numbered1"/>
        <w:numPr>
          <w:ilvl w:val="0"/>
          <w:numId w:val="288"/>
        </w:numPr>
      </w:pPr>
      <w:bookmarkStart w:id="2813" w:name="_Ref_ContractCompanion_9kb9Us552"/>
      <w:bookmarkStart w:id="2814" w:name="_9kR3WTrAG9998bJfifw5q7HTfs63Cw8HDJKDJM8"/>
      <w:r w:rsidRPr="00025910">
        <w:t xml:space="preserve">Variation </w:t>
      </w:r>
      <w:r>
        <w:t>o</w:t>
      </w:r>
      <w:r w:rsidRPr="00025910">
        <w:t xml:space="preserve">f </w:t>
      </w:r>
      <w:r>
        <w:t>t</w:t>
      </w:r>
      <w:r w:rsidRPr="00025910">
        <w:t>he Guaranteed Agreement</w:t>
      </w:r>
      <w:bookmarkEnd w:id="2813"/>
      <w:bookmarkEnd w:id="2814"/>
    </w:p>
    <w:p w14:paraId="68D91969" w14:textId="77777777" w:rsidR="00F67E9E" w:rsidRPr="00025910" w:rsidRDefault="00F67E9E" w:rsidP="00F67E9E">
      <w:pPr>
        <w:pStyle w:val="Numbered11"/>
      </w:pPr>
      <w:r w:rsidRPr="00025910">
        <w:t>The Guarantor confirms that it intends that this Deed shall extend and apply from time to time to any variation, increase, extension or addition of the Guaranteed Agreement, however, fundamental, and any associated fees, costs and/or expenses.</w:t>
      </w:r>
    </w:p>
    <w:p w14:paraId="6BB0CD26" w14:textId="77777777" w:rsidR="00F67E9E" w:rsidRPr="00025910" w:rsidRDefault="00F67E9E" w:rsidP="00F67E9E">
      <w:pPr>
        <w:pStyle w:val="Numbered1"/>
        <w:numPr>
          <w:ilvl w:val="0"/>
          <w:numId w:val="288"/>
        </w:numPr>
      </w:pPr>
      <w:r w:rsidRPr="00025910">
        <w:t xml:space="preserve">Payment </w:t>
      </w:r>
      <w:r>
        <w:t>a</w:t>
      </w:r>
      <w:r w:rsidRPr="00025910">
        <w:t>nd Costs</w:t>
      </w:r>
    </w:p>
    <w:p w14:paraId="78BB1C3E" w14:textId="77777777" w:rsidR="00F67E9E" w:rsidRPr="00025910" w:rsidRDefault="00F67E9E" w:rsidP="00F67E9E">
      <w:pPr>
        <w:pStyle w:val="Numbered11"/>
      </w:pPr>
      <w:r w:rsidRPr="00025910">
        <w:t>All sums payable by the Guarantor under this Deed shall be paid in full to the Authority in pounds sterling:</w:t>
      </w:r>
    </w:p>
    <w:p w14:paraId="3D377707" w14:textId="77777777" w:rsidR="00F67E9E" w:rsidRPr="00025910" w:rsidRDefault="00F67E9E" w:rsidP="00F67E9E">
      <w:pPr>
        <w:pStyle w:val="Numbered111"/>
      </w:pPr>
      <w:r w:rsidRPr="00025910">
        <w:t>without any set-off, condition or counterclaim whatsoever; and</w:t>
      </w:r>
    </w:p>
    <w:p w14:paraId="13DE0ECE" w14:textId="77777777" w:rsidR="00F67E9E" w:rsidRPr="00025910" w:rsidRDefault="00F67E9E" w:rsidP="00F67E9E">
      <w:pPr>
        <w:pStyle w:val="Numbered111"/>
      </w:pPr>
      <w:r w:rsidRPr="00025910">
        <w:t>free and clear of any deductions or withholdings whatsoever except as may be required by applicable law which is binding on the Guarantor.</w:t>
      </w:r>
    </w:p>
    <w:p w14:paraId="48EA9E59" w14:textId="77777777" w:rsidR="00F67E9E" w:rsidRPr="00025910" w:rsidRDefault="00F67E9E" w:rsidP="00F67E9E">
      <w:pPr>
        <w:pStyle w:val="Numbered11"/>
      </w:pPr>
      <w:r w:rsidRPr="00025910">
        <w:t>If any deduction or withholding is required by any applicable law to be made by the Guarantor:</w:t>
      </w:r>
    </w:p>
    <w:p w14:paraId="6BC987EF" w14:textId="77777777" w:rsidR="00F67E9E" w:rsidRPr="00025910" w:rsidRDefault="00F67E9E" w:rsidP="00F67E9E">
      <w:pPr>
        <w:pStyle w:val="Numbered111"/>
      </w:pPr>
      <w:r w:rsidRPr="00025910">
        <w:t>the amount of the payment due from the Guarantor shall be increased to an amount which (after making any deduction or withholding) leaves an amount equal to the payment which would have been due if no deduction or withholding had been required; and</w:t>
      </w:r>
    </w:p>
    <w:p w14:paraId="2D70C03B" w14:textId="77777777" w:rsidR="00F67E9E" w:rsidRPr="00025910" w:rsidRDefault="00F67E9E" w:rsidP="00F67E9E">
      <w:pPr>
        <w:pStyle w:val="Numbered111"/>
      </w:pPr>
      <w:r w:rsidRPr="00025910">
        <w:t>the Guarantor shall promptly deliver to the Authority all receipts issued to it evidencing each deduction or withholding which it has made.</w:t>
      </w:r>
    </w:p>
    <w:p w14:paraId="598B5A32" w14:textId="77777777" w:rsidR="00F67E9E" w:rsidRPr="00025910" w:rsidRDefault="00F67E9E" w:rsidP="00F67E9E">
      <w:pPr>
        <w:pStyle w:val="Numbered11"/>
      </w:pPr>
      <w:r w:rsidRPr="00025910">
        <w:t>The Guarantor shall not and may not direct the application by the Authority of any sums received by the Authority from the Guarantor under any of the terms in this Deed.</w:t>
      </w:r>
    </w:p>
    <w:p w14:paraId="521003EF" w14:textId="77777777" w:rsidR="00F67E9E" w:rsidRPr="00025910" w:rsidRDefault="00F67E9E" w:rsidP="00F67E9E">
      <w:pPr>
        <w:pStyle w:val="Numbered11"/>
      </w:pPr>
      <w:r w:rsidRPr="00025910">
        <w:t>The Guarantor shall pay interest on any amount due under this Deed at the applicable rate under the Late Payment of Commercial Debts (Interest) Act 1998, accruing on a daily basis from the due date up to the date of actual payment, whether before or after judgment.</w:t>
      </w:r>
    </w:p>
    <w:p w14:paraId="4B73C483" w14:textId="77777777" w:rsidR="00F67E9E" w:rsidRPr="00025910" w:rsidRDefault="00F67E9E" w:rsidP="00F67E9E">
      <w:pPr>
        <w:pStyle w:val="Numbered11"/>
      </w:pPr>
      <w:r w:rsidRPr="00025910">
        <w:t>The Guarantor shall, on a full indemnity basis, pay to the Authority on demand the amount of all costs and expenses (including legal and out-of-pocket expenses and any VAT on those costs and expenses) which the Authority incurs in connection with:</w:t>
      </w:r>
    </w:p>
    <w:p w14:paraId="3346A384" w14:textId="77777777" w:rsidR="00F67E9E" w:rsidRPr="00025910" w:rsidRDefault="00F67E9E" w:rsidP="00F67E9E">
      <w:pPr>
        <w:pStyle w:val="Numbered111"/>
      </w:pPr>
      <w:r w:rsidRPr="00025910">
        <w:t>the preservation, or exercise and enforcement, of any rights under or in connection with this Deed or any attempt to do so; and</w:t>
      </w:r>
    </w:p>
    <w:p w14:paraId="37FBD532" w14:textId="77777777" w:rsidR="00F67E9E" w:rsidRPr="00025910" w:rsidRDefault="00F67E9E" w:rsidP="00F67E9E">
      <w:pPr>
        <w:pStyle w:val="Numbered111"/>
      </w:pPr>
      <w:r w:rsidRPr="00025910">
        <w:t>any discharge or release of this Deed.</w:t>
      </w:r>
    </w:p>
    <w:p w14:paraId="532EBBA0" w14:textId="77777777" w:rsidR="00F67E9E" w:rsidRPr="00025910" w:rsidRDefault="00F67E9E" w:rsidP="00F67E9E">
      <w:pPr>
        <w:pStyle w:val="Numbered1"/>
        <w:numPr>
          <w:ilvl w:val="0"/>
          <w:numId w:val="288"/>
        </w:numPr>
      </w:pPr>
      <w:r w:rsidRPr="00025910">
        <w:t>Conditional Discharge</w:t>
      </w:r>
    </w:p>
    <w:p w14:paraId="42E0C882" w14:textId="77777777" w:rsidR="00F67E9E" w:rsidRPr="00025910" w:rsidRDefault="00F67E9E" w:rsidP="00F67E9E">
      <w:pPr>
        <w:pStyle w:val="Numbered11"/>
      </w:pPr>
      <w:bookmarkStart w:id="2815" w:name="_Ref_ContractCompanion_9kb9Ut345"/>
      <w:bookmarkStart w:id="2816" w:name="_9kR3WTrAGA78BGFKE9Evqrhw1ns83ts3Ay7LQEG"/>
      <w:r w:rsidRPr="00025910">
        <w:t>Any release, discharge or settlement between the Guarantor and the Authority in relation to this Deed shall be conditional on no right, security, disposition or payment to the Authority by the Guarantor, the Supplier or any other person being avoided, set aside or ordered to be refunded pursuant to any enactment or law relating to breach of duty by any person, bankruptcy, liquidation, administration, protection from creditors generally or insolvency for any other reason.</w:t>
      </w:r>
      <w:bookmarkEnd w:id="2815"/>
      <w:bookmarkEnd w:id="2816"/>
    </w:p>
    <w:p w14:paraId="447905D5" w14:textId="6AF91E14" w:rsidR="00F67E9E" w:rsidRPr="00025910" w:rsidRDefault="00F67E9E" w:rsidP="00F67E9E">
      <w:pPr>
        <w:pStyle w:val="Numbered11"/>
      </w:pPr>
      <w:r w:rsidRPr="00025910">
        <w:t xml:space="preserve">If any such right, security, disposition or payment as referred to in </w:t>
      </w:r>
      <w:bookmarkStart w:id="2817" w:name="_9kMHG5YVtCIC9ADIHMGBGxstjy3puA5vu5C09NS"/>
      <w:r w:rsidRPr="00025910">
        <w:t xml:space="preserve">Clause </w:t>
      </w:r>
      <w:r w:rsidRPr="00025910">
        <w:fldChar w:fldCharType="begin"/>
      </w:r>
      <w:r w:rsidRPr="00025910">
        <w:instrText xml:space="preserve"> REF _Ref_ContractCompanion_9kb9Ut345 \n \h \t \* MERGEFORMAT </w:instrText>
      </w:r>
      <w:r w:rsidRPr="00025910">
        <w:fldChar w:fldCharType="separate"/>
      </w:r>
      <w:r w:rsidR="00302D39">
        <w:t>6.1</w:t>
      </w:r>
      <w:r w:rsidRPr="00025910">
        <w:fldChar w:fldCharType="end"/>
      </w:r>
      <w:bookmarkEnd w:id="2817"/>
      <w:r w:rsidRPr="00025910">
        <w:t xml:space="preserve"> is avoided, set aside or ordered to be refunded, the Authority shall be entitled subsequently to enforce this Deed against the Guarantor as if such release, discharge or settlement had not occurred and any such security, disposition or payment has not been made.</w:t>
      </w:r>
    </w:p>
    <w:p w14:paraId="71E197B7" w14:textId="77777777" w:rsidR="00F67E9E" w:rsidRPr="00025910" w:rsidRDefault="00F67E9E" w:rsidP="00F67E9E">
      <w:pPr>
        <w:pStyle w:val="Numbered1"/>
        <w:numPr>
          <w:ilvl w:val="0"/>
          <w:numId w:val="288"/>
        </w:numPr>
      </w:pPr>
      <w:r w:rsidRPr="00025910">
        <w:t xml:space="preserve">Representations </w:t>
      </w:r>
      <w:r>
        <w:t>a</w:t>
      </w:r>
      <w:r w:rsidRPr="00025910">
        <w:t>nd Warranties</w:t>
      </w:r>
    </w:p>
    <w:p w14:paraId="7686316D" w14:textId="77777777" w:rsidR="00F67E9E" w:rsidRPr="00025910" w:rsidRDefault="00F67E9E" w:rsidP="00F67E9E">
      <w:pPr>
        <w:pStyle w:val="Numbered11"/>
      </w:pPr>
      <w:r w:rsidRPr="00025910">
        <w:t>The Guarantor represents and warrants to the Authority that:</w:t>
      </w:r>
    </w:p>
    <w:p w14:paraId="15231CCF" w14:textId="77777777" w:rsidR="00F67E9E" w:rsidRPr="00025910" w:rsidRDefault="00F67E9E" w:rsidP="00F67E9E">
      <w:pPr>
        <w:pStyle w:val="Numbered111"/>
      </w:pPr>
      <w:r w:rsidRPr="00025910">
        <w:t xml:space="preserve">it is duly incorporated with limited liability and is a validly existing company under the laws of its place of incorporation, has the capacity to sue or be sued in its own name, and has power to carry on its business as now being conducted and to own its property and other assets; </w:t>
      </w:r>
    </w:p>
    <w:p w14:paraId="7F14EE90" w14:textId="77777777" w:rsidR="00F67E9E" w:rsidRPr="00025910" w:rsidRDefault="00F67E9E" w:rsidP="00F67E9E">
      <w:pPr>
        <w:pStyle w:val="Numbered111"/>
      </w:pPr>
      <w:r w:rsidRPr="00025910">
        <w:t>it has full power under its constitution or equivalent constitutional documents in the jurisdiction in which it is established to enter into this Deed;</w:t>
      </w:r>
    </w:p>
    <w:p w14:paraId="61110172" w14:textId="77777777" w:rsidR="00F67E9E" w:rsidRPr="00025910" w:rsidRDefault="00F67E9E" w:rsidP="00F67E9E">
      <w:pPr>
        <w:pStyle w:val="Numbered111"/>
      </w:pPr>
      <w:r w:rsidRPr="00025910">
        <w:t>it has full power to perform the obligations expressed to be assumed by it or contemplated by this Deed;</w:t>
      </w:r>
    </w:p>
    <w:p w14:paraId="64716B6C" w14:textId="77777777" w:rsidR="00F67E9E" w:rsidRPr="00025910" w:rsidRDefault="00F67E9E" w:rsidP="00F67E9E">
      <w:pPr>
        <w:pStyle w:val="Numbered111"/>
      </w:pPr>
      <w:r w:rsidRPr="00025910">
        <w:t>it has been duly authorised to enter into this Deed;</w:t>
      </w:r>
    </w:p>
    <w:p w14:paraId="6E32F57C" w14:textId="77777777" w:rsidR="00F67E9E" w:rsidRPr="00025910" w:rsidRDefault="00F67E9E" w:rsidP="00F67E9E">
      <w:pPr>
        <w:pStyle w:val="Numbered111"/>
      </w:pPr>
      <w:r w:rsidRPr="00025910">
        <w:t>it has taken all necessary corporate action to authorise the execution, delivery and performance of this Deed;</w:t>
      </w:r>
    </w:p>
    <w:p w14:paraId="34007B6D" w14:textId="77777777" w:rsidR="00F67E9E" w:rsidRPr="00025910" w:rsidRDefault="00F67E9E" w:rsidP="00F67E9E">
      <w:pPr>
        <w:pStyle w:val="Numbered111"/>
      </w:pPr>
      <w:r w:rsidRPr="00025910">
        <w:t>this Deed when executed and delivered will constitute a legally binding obligation on it enforceable in accordance with its terms;</w:t>
      </w:r>
    </w:p>
    <w:p w14:paraId="118BD54C" w14:textId="77777777" w:rsidR="00F67E9E" w:rsidRPr="00025910" w:rsidRDefault="00F67E9E" w:rsidP="00F67E9E">
      <w:pPr>
        <w:pStyle w:val="Numbered111"/>
      </w:pPr>
      <w:r w:rsidRPr="00025910">
        <w:t>all necessary consents and authorisations for the giving and implementation of this Deed have been obtained;</w:t>
      </w:r>
    </w:p>
    <w:p w14:paraId="3C829023" w14:textId="77777777" w:rsidR="00F67E9E" w:rsidRPr="00025910" w:rsidRDefault="00F67E9E" w:rsidP="00F67E9E">
      <w:pPr>
        <w:pStyle w:val="Numbered111"/>
      </w:pPr>
      <w:r w:rsidRPr="00025910">
        <w:t>that its entry into and performance of its obligations under this Deed will not constitute any breach of or default under any contractual, government or public obligation binding on it; and</w:t>
      </w:r>
    </w:p>
    <w:p w14:paraId="77E06C26" w14:textId="77777777" w:rsidR="00F67E9E" w:rsidRPr="00025910" w:rsidRDefault="00F67E9E" w:rsidP="00F67E9E">
      <w:pPr>
        <w:pStyle w:val="Numbered111"/>
      </w:pPr>
      <w:r w:rsidRPr="00025910">
        <w:t>that it is not engaged in any litigation or arbitration proceedings that might affect its capacity or ability to perform its obligations under this Deed and to the best of its knowledge no such legal or arbitration proceedings have been threatened or are pending against it.</w:t>
      </w:r>
    </w:p>
    <w:p w14:paraId="77A1DB0C" w14:textId="77777777" w:rsidR="00F67E9E" w:rsidRPr="00025910" w:rsidRDefault="00F67E9E" w:rsidP="00F67E9E">
      <w:pPr>
        <w:pStyle w:val="Numbered1"/>
        <w:numPr>
          <w:ilvl w:val="0"/>
          <w:numId w:val="288"/>
        </w:numPr>
      </w:pPr>
      <w:r w:rsidRPr="00025910">
        <w:t>Assignment</w:t>
      </w:r>
    </w:p>
    <w:p w14:paraId="175D5545" w14:textId="77777777" w:rsidR="00F67E9E" w:rsidRPr="00025910" w:rsidRDefault="00F67E9E" w:rsidP="00F67E9E">
      <w:pPr>
        <w:pStyle w:val="Numbered11"/>
      </w:pPr>
      <w:r w:rsidRPr="00025910">
        <w:t>The Authority shall be entitled by notice in writing to the Guarantor to assign the benefit of this Deed at any time to any person without the consent of the Guarantor being required and any such assignment shall not release the Guarantor from liability under this Deed.</w:t>
      </w:r>
    </w:p>
    <w:p w14:paraId="729CFFEB" w14:textId="77777777" w:rsidR="00F67E9E" w:rsidRPr="00025910" w:rsidRDefault="00F67E9E" w:rsidP="00F67E9E">
      <w:pPr>
        <w:pStyle w:val="Numbered11"/>
      </w:pPr>
      <w:r w:rsidRPr="00025910">
        <w:t>The Guarantor may not assign or transfer any of its rights and/or obligations under this Deed without the prior written consent of the Authority.</w:t>
      </w:r>
    </w:p>
    <w:p w14:paraId="0C12E1FF" w14:textId="77777777" w:rsidR="00F67E9E" w:rsidRPr="00025910" w:rsidRDefault="00F67E9E" w:rsidP="00F67E9E">
      <w:pPr>
        <w:pStyle w:val="Numbered1"/>
        <w:numPr>
          <w:ilvl w:val="0"/>
          <w:numId w:val="288"/>
        </w:numPr>
      </w:pPr>
      <w:r w:rsidRPr="00025910">
        <w:t>Variation</w:t>
      </w:r>
    </w:p>
    <w:p w14:paraId="4B749E6C" w14:textId="77777777" w:rsidR="00F67E9E" w:rsidRPr="00025910" w:rsidRDefault="00F67E9E" w:rsidP="00F67E9E">
      <w:pPr>
        <w:pStyle w:val="Numbered11"/>
      </w:pPr>
      <w:r w:rsidRPr="00025910">
        <w:t>No variation of this Deed shall be effective unless it is in writing and signed by the parties.</w:t>
      </w:r>
    </w:p>
    <w:p w14:paraId="53EE6435" w14:textId="77777777" w:rsidR="00F67E9E" w:rsidRPr="00C30121" w:rsidRDefault="00F67E9E" w:rsidP="00F67E9E">
      <w:pPr>
        <w:pStyle w:val="Numbered1"/>
        <w:numPr>
          <w:ilvl w:val="0"/>
          <w:numId w:val="288"/>
        </w:numPr>
      </w:pPr>
      <w:r w:rsidRPr="00C30121">
        <w:t xml:space="preserve">Demands </w:t>
      </w:r>
      <w:r>
        <w:t>a</w:t>
      </w:r>
      <w:r w:rsidRPr="00C30121">
        <w:t>nd Notices</w:t>
      </w:r>
    </w:p>
    <w:p w14:paraId="7B873053" w14:textId="77777777" w:rsidR="00F67E9E" w:rsidRPr="00C30121" w:rsidRDefault="00F67E9E" w:rsidP="00F67E9E">
      <w:pPr>
        <w:pStyle w:val="Numbered11"/>
      </w:pPr>
      <w:r w:rsidRPr="00C30121">
        <w:t>Any demand or notice served by the Authority on the Guarantor under this Deed shall be in writing, addressed to:</w:t>
      </w:r>
    </w:p>
    <w:p w14:paraId="0C55CFA6" w14:textId="77777777" w:rsidR="00F67E9E" w:rsidRPr="00C30121" w:rsidRDefault="00F67E9E" w:rsidP="00F67E9E">
      <w:pPr>
        <w:pStyle w:val="Numbered111"/>
      </w:pPr>
      <w:r w:rsidRPr="00C30121">
        <w:t xml:space="preserve">For the Attention of </w:t>
      </w:r>
      <w:r w:rsidRPr="00B73DD6">
        <w:rPr>
          <w:b/>
          <w:highlight w:val="yellow"/>
        </w:rPr>
        <w:t>[insert</w:t>
      </w:r>
      <w:r w:rsidRPr="00C30121">
        <w:rPr>
          <w:highlight w:val="yellow"/>
        </w:rPr>
        <w:t xml:space="preserve"> details]</w:t>
      </w:r>
    </w:p>
    <w:p w14:paraId="530BD192" w14:textId="77777777" w:rsidR="00F67E9E" w:rsidRPr="00401120" w:rsidRDefault="00F67E9E" w:rsidP="00F67E9E">
      <w:pPr>
        <w:pStyle w:val="Numbered111"/>
      </w:pPr>
      <w:r w:rsidRPr="00C30121">
        <w:rPr>
          <w:highlight w:val="yellow"/>
        </w:rPr>
        <w:t>[Address of the Guarantor in England and Wales]</w:t>
      </w:r>
    </w:p>
    <w:p w14:paraId="0773A5B5" w14:textId="77777777" w:rsidR="00F67E9E" w:rsidRPr="00C30121" w:rsidRDefault="00F67E9E" w:rsidP="00F67E9E">
      <w:pPr>
        <w:pStyle w:val="Numbered11"/>
      </w:pPr>
      <w:r w:rsidRPr="00C30121">
        <w:t>or such other address in England and Wales as the Guarantor has from time to time notified to the Authority in writing in accordance with the terms of this Deed as being an address or facsimile number for the receipt of such demands or notices.</w:t>
      </w:r>
    </w:p>
    <w:p w14:paraId="7AA8D828" w14:textId="77777777" w:rsidR="00F67E9E" w:rsidRPr="00C30121" w:rsidRDefault="00F67E9E" w:rsidP="00F67E9E">
      <w:pPr>
        <w:pStyle w:val="Numbered11"/>
      </w:pPr>
      <w:r w:rsidRPr="00C30121">
        <w:t>Any notice or demand served on the Guarantor or the Authority under this Deed shall be deemed to have been served:</w:t>
      </w:r>
    </w:p>
    <w:p w14:paraId="3A797AB5" w14:textId="77777777" w:rsidR="00F67E9E" w:rsidRPr="00C30121" w:rsidRDefault="00F67E9E" w:rsidP="00F67E9E">
      <w:pPr>
        <w:pStyle w:val="Numbered111"/>
      </w:pPr>
      <w:r w:rsidRPr="00C30121">
        <w:t>if delivered by hand, at the time of delivery; or</w:t>
      </w:r>
    </w:p>
    <w:p w14:paraId="6165351D" w14:textId="77777777" w:rsidR="00F67E9E" w:rsidRPr="00C30121" w:rsidRDefault="00F67E9E" w:rsidP="00F67E9E">
      <w:pPr>
        <w:pStyle w:val="Numbered111"/>
      </w:pPr>
      <w:r w:rsidRPr="00C30121">
        <w:t>if posted, at 10.00 a.m. on the second Business Day after it was put into the post.</w:t>
      </w:r>
    </w:p>
    <w:p w14:paraId="02B37EB1" w14:textId="77777777" w:rsidR="00F67E9E" w:rsidRPr="00C30121" w:rsidRDefault="00F67E9E" w:rsidP="00F67E9E">
      <w:pPr>
        <w:pStyle w:val="Numbered11"/>
      </w:pPr>
      <w:r w:rsidRPr="00C30121">
        <w:t>In proving service of a notice or demand on the Guarantor it shall be sufficient to prove that delivery was made, or that the envelope containing the notice or demand was properly addressed and posted as a prepaid first class recorded delivery letter.</w:t>
      </w:r>
    </w:p>
    <w:p w14:paraId="3B100805" w14:textId="77777777" w:rsidR="00F67E9E" w:rsidRPr="00C30121" w:rsidRDefault="00F67E9E" w:rsidP="00F67E9E">
      <w:pPr>
        <w:pStyle w:val="Numbered11"/>
      </w:pPr>
      <w:r w:rsidRPr="00C30121">
        <w:t>Any notice purported to be served on the Authority under this Deed shall only be valid when received in writing by the Authority.</w:t>
      </w:r>
    </w:p>
    <w:p w14:paraId="711078BD" w14:textId="77777777" w:rsidR="00F67E9E" w:rsidRPr="00025910" w:rsidRDefault="00F67E9E" w:rsidP="00F67E9E">
      <w:pPr>
        <w:pStyle w:val="Numbered1"/>
        <w:numPr>
          <w:ilvl w:val="0"/>
          <w:numId w:val="288"/>
        </w:numPr>
      </w:pPr>
      <w:r w:rsidRPr="00025910">
        <w:t>Entire Agreement</w:t>
      </w:r>
    </w:p>
    <w:p w14:paraId="1FF4E219" w14:textId="77777777" w:rsidR="00F67E9E" w:rsidRPr="00025910" w:rsidRDefault="00F67E9E" w:rsidP="00F67E9E">
      <w:pPr>
        <w:pStyle w:val="Numbered11"/>
      </w:pPr>
      <w:r w:rsidRPr="00025910">
        <w:t>This Deed constitutes the entire agreement between the parties and supersedes and extinguishes all previous agreements, promises, assurances, warranties, representations and understandings between them, whether written or oral, relating to its subject matter.</w:t>
      </w:r>
    </w:p>
    <w:p w14:paraId="1092A13E" w14:textId="77777777" w:rsidR="00F67E9E" w:rsidRPr="00025910" w:rsidRDefault="00F67E9E" w:rsidP="00F67E9E">
      <w:pPr>
        <w:pStyle w:val="Numbered11"/>
      </w:pPr>
      <w:r w:rsidRPr="00025910">
        <w:t>The Guarantor acknowledges that it has not entered into this Deed in reliance upon, nor has it been induced to enter into this Deed by, any representation, warranty or undertaking made by or on behalf of the Authority (whether express or implied and whether pursuant to statute or otherwise) which is not set out in this Deed.</w:t>
      </w:r>
    </w:p>
    <w:p w14:paraId="644077ED" w14:textId="77777777" w:rsidR="00F67E9E" w:rsidRPr="00025910" w:rsidRDefault="00F67E9E" w:rsidP="00F67E9E">
      <w:pPr>
        <w:pStyle w:val="Numbered1"/>
        <w:numPr>
          <w:ilvl w:val="0"/>
          <w:numId w:val="288"/>
        </w:numPr>
      </w:pPr>
      <w:r w:rsidRPr="00025910">
        <w:t>Waiver</w:t>
      </w:r>
    </w:p>
    <w:p w14:paraId="1845A5FA" w14:textId="77777777" w:rsidR="00F67E9E" w:rsidRPr="00025910" w:rsidRDefault="00F67E9E" w:rsidP="00F67E9E">
      <w:pPr>
        <w:pStyle w:val="Numbered11"/>
      </w:pPr>
      <w:r w:rsidRPr="00025910">
        <w:t>No failure or delay by the Authority to exercise any right or remedy provided under this Deed or by law shall constitute a waiver of that or any other right or remedy, nor shall it prevent or restrict the further exercise of that or any other right or remedy.</w:t>
      </w:r>
      <w:r>
        <w:t xml:space="preserve"> </w:t>
      </w:r>
      <w:r w:rsidRPr="00025910">
        <w:t>No single or partial exercise of such right or remedy shall prevent or restrict the further exercise of that or any other right or remedy.</w:t>
      </w:r>
    </w:p>
    <w:p w14:paraId="42FD2A5B" w14:textId="77777777" w:rsidR="00F67E9E" w:rsidRPr="00025910" w:rsidRDefault="00F67E9E" w:rsidP="00F67E9E">
      <w:pPr>
        <w:pStyle w:val="Numbered11"/>
      </w:pPr>
      <w:r w:rsidRPr="00025910">
        <w:t>Any waiver by the Authority of any terms of this Deed, or of any Guaranteed Obligations, shall only be effective if given in writing and then only for the purpose and upon the terms and conditions, if any, on which it is given.</w:t>
      </w:r>
    </w:p>
    <w:p w14:paraId="054ECA4A" w14:textId="77777777" w:rsidR="00F67E9E" w:rsidRPr="00025910" w:rsidRDefault="00F67E9E" w:rsidP="00F67E9E">
      <w:pPr>
        <w:pStyle w:val="Numbered1"/>
        <w:numPr>
          <w:ilvl w:val="0"/>
          <w:numId w:val="288"/>
        </w:numPr>
      </w:pPr>
      <w:r w:rsidRPr="00025910">
        <w:t>Severance</w:t>
      </w:r>
    </w:p>
    <w:p w14:paraId="3AB33B92" w14:textId="77777777" w:rsidR="00F67E9E" w:rsidRPr="00025910" w:rsidRDefault="00F67E9E" w:rsidP="00F67E9E">
      <w:pPr>
        <w:pStyle w:val="Numbered11"/>
      </w:pPr>
      <w:r w:rsidRPr="00025910">
        <w:t>If any provision or part-provision of this Deed is or becomes invalid, illegal or unenforceable for any reason, such provision or part-provision shall be deemed deleted, but that shall not affect the validity and enforceability of the rest of this Deed.</w:t>
      </w:r>
    </w:p>
    <w:p w14:paraId="09011CD8" w14:textId="77777777" w:rsidR="00F67E9E" w:rsidRPr="00025910" w:rsidRDefault="00F67E9E" w:rsidP="00F67E9E">
      <w:pPr>
        <w:pStyle w:val="Numbered1"/>
        <w:numPr>
          <w:ilvl w:val="0"/>
          <w:numId w:val="288"/>
        </w:numPr>
      </w:pPr>
      <w:r w:rsidRPr="00025910">
        <w:t>Third Party Rights</w:t>
      </w:r>
    </w:p>
    <w:p w14:paraId="0ABC44EB" w14:textId="77777777" w:rsidR="00F67E9E" w:rsidRPr="00025910" w:rsidRDefault="00F67E9E" w:rsidP="00F67E9E">
      <w:pPr>
        <w:pStyle w:val="Numbered11"/>
      </w:pPr>
      <w:r w:rsidRPr="00025910">
        <w:t>A person who is not a Party to this Deed shall have no right under the Contracts (Rights of Third Parties) Act 1999 (as amended, updated or replaced from time to time) to enforce any of its terms but this does not affect any third party right which exists or is available independently of that Act.</w:t>
      </w:r>
    </w:p>
    <w:p w14:paraId="73AC928E" w14:textId="77777777" w:rsidR="00F67E9E" w:rsidRPr="00025910" w:rsidRDefault="00F67E9E" w:rsidP="00F67E9E">
      <w:pPr>
        <w:pStyle w:val="Numbered1"/>
        <w:numPr>
          <w:ilvl w:val="0"/>
          <w:numId w:val="288"/>
        </w:numPr>
      </w:pPr>
      <w:bookmarkStart w:id="2818" w:name="_Ref_ContractCompanion_9kb9Us555"/>
      <w:bookmarkStart w:id="2819" w:name="_9kR3WTrAG999BeJfifw5q7HTcPf6MDAKCDCB6IJ"/>
      <w:r w:rsidRPr="00025910">
        <w:t xml:space="preserve">Governing Law </w:t>
      </w:r>
      <w:r>
        <w:t>a</w:t>
      </w:r>
      <w:r w:rsidRPr="00025910">
        <w:t>nd Jurisdiction</w:t>
      </w:r>
      <w:bookmarkEnd w:id="2818"/>
      <w:bookmarkEnd w:id="2819"/>
    </w:p>
    <w:p w14:paraId="3E7F51B7" w14:textId="77777777" w:rsidR="00F67E9E" w:rsidRPr="00025910" w:rsidRDefault="00F67E9E" w:rsidP="00F67E9E">
      <w:pPr>
        <w:pStyle w:val="Numbered11"/>
      </w:pPr>
      <w:r w:rsidRPr="00025910">
        <w:t>This Deed and any issues, disputes or claims (whether contractual or non-contractual) arising out of or in connection with it or its subject matter or formation shall be governed by and construed in accordance with the laws of England and Wales.</w:t>
      </w:r>
    </w:p>
    <w:p w14:paraId="356EA456" w14:textId="77777777" w:rsidR="00F67E9E" w:rsidRPr="00025910" w:rsidRDefault="00F67E9E" w:rsidP="00F67E9E">
      <w:pPr>
        <w:pStyle w:val="Numbered11"/>
      </w:pPr>
      <w:bookmarkStart w:id="2820" w:name="_Ref_ContractCompanion_9kb9Ut39I"/>
      <w:bookmarkStart w:id="2821" w:name="_9kR3WTrAGA7EF9EGfSkKVwuvsCED89J7CN5ss4S"/>
      <w:r w:rsidRPr="00025910">
        <w:t>The Guarantor irrevocably agrees for the benefit of the Authority that the courts of England shall have jurisdiction to settle any dispute or claim (whether contractual or non-contractual) that arises out of or in connection with this Deed or its subject matter or formation.</w:t>
      </w:r>
      <w:bookmarkEnd w:id="2820"/>
      <w:bookmarkEnd w:id="2821"/>
    </w:p>
    <w:p w14:paraId="70A33C53" w14:textId="1628D0BA" w:rsidR="00F67E9E" w:rsidRPr="00025910" w:rsidRDefault="00F67E9E" w:rsidP="00F67E9E">
      <w:pPr>
        <w:pStyle w:val="Numbered11"/>
      </w:pPr>
      <w:r w:rsidRPr="00025910">
        <w:t xml:space="preserve">Nothing contained in </w:t>
      </w:r>
      <w:bookmarkStart w:id="2822" w:name="_9kMHG5YVtCIC9GHBGIhUmMXywxuEGFABL9EP7uu"/>
      <w:r w:rsidRPr="00025910">
        <w:t xml:space="preserve">Clause </w:t>
      </w:r>
      <w:r w:rsidRPr="00025910">
        <w:fldChar w:fldCharType="begin"/>
      </w:r>
      <w:r w:rsidRPr="00025910">
        <w:instrText xml:space="preserve"> REF _Ref_ContractCompanion_9kb9Ut39I \n \h \t \* MERGEFORMAT </w:instrText>
      </w:r>
      <w:r w:rsidRPr="00025910">
        <w:fldChar w:fldCharType="separate"/>
      </w:r>
      <w:r w:rsidR="00302D39">
        <w:t>15.2</w:t>
      </w:r>
      <w:r w:rsidRPr="00025910">
        <w:fldChar w:fldCharType="end"/>
      </w:r>
      <w:bookmarkEnd w:id="2822"/>
      <w:r w:rsidRPr="00025910">
        <w:t xml:space="preserve"> shall limit the rights of the Authority to take proceedings against the Guarantor in any other court of competent jurisdiction, nor shall the taking of any such proceedings in one or more jurisdictions preclude the taking of proceedings in any other jurisdiction, whether concurrently or not (unless precluded by applicable law).</w:t>
      </w:r>
    </w:p>
    <w:p w14:paraId="414E2820" w14:textId="77777777" w:rsidR="00F67E9E" w:rsidRPr="00C30121" w:rsidRDefault="00F67E9E" w:rsidP="00F67E9E">
      <w:pPr>
        <w:pStyle w:val="Numbered11"/>
      </w:pPr>
      <w:r w:rsidRPr="00025910">
        <w:t>The Guarantor irrevocably waives any objection which it may have now or in the future to the courts of England being nominated for the purpose of this Clause on the ground of venue or otherwise and agrees not to claim that any such court is not a convenient</w:t>
      </w:r>
      <w:r w:rsidRPr="00C30121">
        <w:t xml:space="preserve"> or appropriate forum.</w:t>
      </w:r>
    </w:p>
    <w:p w14:paraId="6E6623B9" w14:textId="37084BB8" w:rsidR="00F67E9E" w:rsidRPr="00C30121" w:rsidRDefault="00F67E9E" w:rsidP="00F67E9E">
      <w:pPr>
        <w:pStyle w:val="Numbered11"/>
        <w:rPr>
          <w:highlight w:val="yellow"/>
        </w:rPr>
      </w:pPr>
      <w:bookmarkStart w:id="2823" w:name="_9kR3WTrAG8DHA9EJiSkKVwuvsCED89J7CN5ss4S"/>
      <w:r w:rsidRPr="00C30121">
        <w:rPr>
          <w:highlight w:val="yellow"/>
        </w:rPr>
        <w:t xml:space="preserve">[The Guarantor irrevocably appoints </w:t>
      </w:r>
      <w:r w:rsidRPr="00B73DD6">
        <w:rPr>
          <w:b/>
          <w:highlight w:val="yellow"/>
        </w:rPr>
        <w:t>[insert</w:t>
      </w:r>
      <w:r w:rsidRPr="00C30121">
        <w:rPr>
          <w:highlight w:val="yellow"/>
        </w:rPr>
        <w:t xml:space="preserve"> name of agent]</w:t>
      </w:r>
      <w:bookmarkEnd w:id="2823"/>
      <w:r w:rsidRPr="00C30121">
        <w:rPr>
          <w:highlight w:val="yellow"/>
        </w:rPr>
        <w:t xml:space="preserve"> of </w:t>
      </w:r>
      <w:r w:rsidRPr="00B73DD6">
        <w:rPr>
          <w:b/>
          <w:highlight w:val="yellow"/>
        </w:rPr>
        <w:t>[insert</w:t>
      </w:r>
      <w:r w:rsidRPr="00C30121">
        <w:rPr>
          <w:highlight w:val="yellow"/>
        </w:rPr>
        <w:t xml:space="preserve"> address of agent] as its agent to </w:t>
      </w:r>
      <w:r w:rsidRPr="00025910">
        <w:rPr>
          <w:highlight w:val="yellow"/>
        </w:rPr>
        <w:t xml:space="preserve">receive on its behalf in England or Wales service of any proceedings under this </w:t>
      </w:r>
      <w:bookmarkStart w:id="2824" w:name="_9kMHG5YVtCIBBBDgLhkhy7s9JVeRh8OFCMEFED8"/>
      <w:r w:rsidRPr="00025910">
        <w:rPr>
          <w:highlight w:val="yellow"/>
        </w:rPr>
        <w:t xml:space="preserve">Clause </w:t>
      </w:r>
      <w:r w:rsidRPr="00025910">
        <w:rPr>
          <w:highlight w:val="yellow"/>
        </w:rPr>
        <w:fldChar w:fldCharType="begin"/>
      </w:r>
      <w:r w:rsidRPr="00025910">
        <w:rPr>
          <w:highlight w:val="yellow"/>
        </w:rPr>
        <w:instrText xml:space="preserve"> REF _Ref_ContractCompanion_9kb9Us555 \w \n \h \t \* MERGEFORMAT </w:instrText>
      </w:r>
      <w:r w:rsidRPr="00025910">
        <w:rPr>
          <w:highlight w:val="yellow"/>
        </w:rPr>
      </w:r>
      <w:r w:rsidRPr="00025910">
        <w:rPr>
          <w:highlight w:val="yellow"/>
        </w:rPr>
        <w:fldChar w:fldCharType="separate"/>
      </w:r>
      <w:r w:rsidR="00302D39">
        <w:rPr>
          <w:highlight w:val="yellow"/>
        </w:rPr>
        <w:t>15</w:t>
      </w:r>
      <w:r w:rsidRPr="00025910">
        <w:rPr>
          <w:highlight w:val="yellow"/>
        </w:rPr>
        <w:fldChar w:fldCharType="end"/>
      </w:r>
      <w:bookmarkEnd w:id="2824"/>
      <w:r w:rsidRPr="00025910">
        <w:rPr>
          <w:highlight w:val="yellow"/>
        </w:rPr>
        <w:t xml:space="preserve">. </w:t>
      </w:r>
      <w:r w:rsidRPr="00C30121">
        <w:rPr>
          <w:highlight w:val="yellow"/>
        </w:rPr>
        <w:t>Such service shall be deemed completed on delivery to such agent (whether or not it is forwarded to and received by the Guarantor) and shall be valid until such time as the Authority has received prior written notice that such agent has ceased to act as agent.</w:t>
      </w:r>
      <w:r>
        <w:rPr>
          <w:highlight w:val="yellow"/>
        </w:rPr>
        <w:t xml:space="preserve"> </w:t>
      </w:r>
      <w:r w:rsidRPr="00C30121">
        <w:rPr>
          <w:highlight w:val="yellow"/>
        </w:rPr>
        <w:t>If for any reason such agent ceases to be able to act as agent or no longer has an address in England or Wales, the Guarantor shall appoint a substitute acceptable to the Authority and deliver to the Authority the new agent</w:t>
      </w:r>
      <w:r>
        <w:rPr>
          <w:highlight w:val="yellow"/>
        </w:rPr>
        <w:t>’</w:t>
      </w:r>
      <w:r w:rsidRPr="00C30121">
        <w:rPr>
          <w:highlight w:val="yellow"/>
        </w:rPr>
        <w:t>s name and address within England and Wales.]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9"/>
        <w:gridCol w:w="4535"/>
      </w:tblGrid>
      <w:tr w:rsidR="00F67E9E" w:rsidRPr="00C30121" w14:paraId="12BCEFE2" w14:textId="77777777" w:rsidTr="007F74AA">
        <w:tc>
          <w:tcPr>
            <w:tcW w:w="5669" w:type="dxa"/>
          </w:tcPr>
          <w:p w14:paraId="5F7550B7" w14:textId="77777777" w:rsidR="00F67E9E" w:rsidRPr="00C30121" w:rsidRDefault="00F67E9E" w:rsidP="007F74AA">
            <w:pPr>
              <w:pStyle w:val="StdBodyText"/>
              <w:keepNext/>
              <w:rPr>
                <w:rFonts w:cs="Arial"/>
                <w:sz w:val="24"/>
              </w:rPr>
            </w:pPr>
            <w:r w:rsidRPr="00C30121">
              <w:rPr>
                <w:rFonts w:cs="Arial"/>
                <w:sz w:val="24"/>
              </w:rPr>
              <w:t xml:space="preserve">Executed as a deed by </w:t>
            </w:r>
            <w:r w:rsidRPr="00B73DD6">
              <w:rPr>
                <w:rFonts w:cs="Arial"/>
                <w:b/>
                <w:sz w:val="24"/>
                <w:highlight w:val="yellow"/>
              </w:rPr>
              <w:t>[insert</w:t>
            </w:r>
            <w:r w:rsidRPr="00C30121">
              <w:rPr>
                <w:rFonts w:cs="Arial"/>
                <w:sz w:val="24"/>
                <w:highlight w:val="yellow"/>
              </w:rPr>
              <w:t xml:space="preserve"> the name of the Guarantor] </w:t>
            </w:r>
            <w:r w:rsidRPr="00C30121">
              <w:rPr>
                <w:rFonts w:cs="Arial"/>
                <w:sz w:val="24"/>
              </w:rPr>
              <w:t xml:space="preserve">acting by </w:t>
            </w:r>
            <w:r w:rsidRPr="00B73DD6">
              <w:rPr>
                <w:rFonts w:cs="Arial"/>
                <w:b/>
                <w:sz w:val="24"/>
                <w:highlight w:val="yellow"/>
              </w:rPr>
              <w:t>[insert</w:t>
            </w:r>
            <w:r w:rsidRPr="00C30121">
              <w:rPr>
                <w:rFonts w:cs="Arial"/>
                <w:sz w:val="24"/>
                <w:highlight w:val="yellow"/>
              </w:rPr>
              <w:t xml:space="preserve"> name of Director] </w:t>
            </w:r>
            <w:r w:rsidRPr="00C30121">
              <w:rPr>
                <w:rFonts w:cs="Arial"/>
                <w:sz w:val="24"/>
              </w:rPr>
              <w:t>a director, in the presence of a witness:</w:t>
            </w:r>
          </w:p>
          <w:p w14:paraId="32A65486" w14:textId="77777777" w:rsidR="00F67E9E" w:rsidRPr="00C30121" w:rsidRDefault="00F67E9E" w:rsidP="007F74AA">
            <w:pPr>
              <w:pStyle w:val="StdBodyText"/>
              <w:keepNext/>
              <w:rPr>
                <w:rFonts w:cs="Arial"/>
                <w:sz w:val="24"/>
              </w:rPr>
            </w:pPr>
          </w:p>
        </w:tc>
        <w:tc>
          <w:tcPr>
            <w:tcW w:w="4535" w:type="dxa"/>
          </w:tcPr>
          <w:p w14:paraId="32055C91" w14:textId="77777777" w:rsidR="00F67E9E" w:rsidRPr="00C30121" w:rsidRDefault="00F67E9E" w:rsidP="007F74AA">
            <w:pPr>
              <w:pStyle w:val="StdBodyText"/>
              <w:keepNext/>
              <w:rPr>
                <w:rFonts w:cs="Arial"/>
                <w:sz w:val="24"/>
              </w:rPr>
            </w:pPr>
          </w:p>
        </w:tc>
      </w:tr>
      <w:tr w:rsidR="00F67E9E" w:rsidRPr="00C30121" w14:paraId="0EF4E69F" w14:textId="77777777" w:rsidTr="007F74AA">
        <w:tc>
          <w:tcPr>
            <w:tcW w:w="5669" w:type="dxa"/>
          </w:tcPr>
          <w:p w14:paraId="754B7655" w14:textId="77777777" w:rsidR="00F67E9E" w:rsidRPr="00C30121" w:rsidRDefault="00F67E9E" w:rsidP="007F74AA">
            <w:pPr>
              <w:pStyle w:val="StdBodyText"/>
              <w:keepNext/>
              <w:rPr>
                <w:rFonts w:cs="Arial"/>
                <w:sz w:val="24"/>
              </w:rPr>
            </w:pPr>
            <w:r w:rsidRPr="00C30121">
              <w:rPr>
                <w:rFonts w:cs="Arial"/>
                <w:sz w:val="24"/>
              </w:rPr>
              <w:t>…………………………………………….</w:t>
            </w:r>
            <w:r w:rsidRPr="00C30121">
              <w:rPr>
                <w:rFonts w:cs="Arial"/>
                <w:sz w:val="24"/>
              </w:rPr>
              <w:br/>
            </w:r>
            <w:r w:rsidRPr="00C30121">
              <w:rPr>
                <w:rFonts w:cs="Arial"/>
                <w:sz w:val="24"/>
                <w:highlight w:val="yellow"/>
              </w:rPr>
              <w:t>[Signature of Witness]</w:t>
            </w:r>
          </w:p>
        </w:tc>
        <w:tc>
          <w:tcPr>
            <w:tcW w:w="4535" w:type="dxa"/>
          </w:tcPr>
          <w:p w14:paraId="6B0794C9" w14:textId="77777777" w:rsidR="00F67E9E" w:rsidRPr="00C30121" w:rsidRDefault="00F67E9E" w:rsidP="007F74AA">
            <w:pPr>
              <w:pStyle w:val="StdBodyText"/>
              <w:keepNext/>
              <w:rPr>
                <w:rFonts w:cs="Arial"/>
                <w:sz w:val="24"/>
              </w:rPr>
            </w:pPr>
            <w:r w:rsidRPr="00C30121">
              <w:rPr>
                <w:rFonts w:cs="Arial"/>
                <w:sz w:val="24"/>
              </w:rPr>
              <w:t>…………………………………………….</w:t>
            </w:r>
            <w:r w:rsidRPr="00C30121">
              <w:rPr>
                <w:rFonts w:cs="Arial"/>
                <w:sz w:val="24"/>
              </w:rPr>
              <w:br/>
            </w:r>
            <w:r w:rsidRPr="00C30121">
              <w:rPr>
                <w:rFonts w:cs="Arial"/>
                <w:sz w:val="24"/>
                <w:highlight w:val="yellow"/>
              </w:rPr>
              <w:t>[Signature of Director]</w:t>
            </w:r>
          </w:p>
          <w:p w14:paraId="1CE3D13E" w14:textId="77777777" w:rsidR="00F67E9E" w:rsidRPr="00C30121" w:rsidRDefault="00F67E9E" w:rsidP="007F74AA">
            <w:pPr>
              <w:pStyle w:val="StdBodyText"/>
              <w:keepNext/>
              <w:rPr>
                <w:rFonts w:cs="Arial"/>
                <w:sz w:val="24"/>
              </w:rPr>
            </w:pPr>
          </w:p>
          <w:p w14:paraId="6ADEF27D" w14:textId="77777777" w:rsidR="00F67E9E" w:rsidRPr="00C30121" w:rsidRDefault="00F67E9E" w:rsidP="007F74AA">
            <w:pPr>
              <w:pStyle w:val="StdBodyText"/>
              <w:keepNext/>
              <w:rPr>
                <w:rFonts w:cs="Arial"/>
                <w:sz w:val="24"/>
              </w:rPr>
            </w:pPr>
            <w:r w:rsidRPr="00C30121">
              <w:rPr>
                <w:rFonts w:cs="Arial"/>
                <w:sz w:val="24"/>
              </w:rPr>
              <w:t>Name of Director:</w:t>
            </w:r>
          </w:p>
          <w:p w14:paraId="0609A3BE" w14:textId="77777777" w:rsidR="00F67E9E" w:rsidRPr="00C30121" w:rsidRDefault="00F67E9E" w:rsidP="007F74AA">
            <w:pPr>
              <w:pStyle w:val="StdBodyText"/>
              <w:keepNext/>
              <w:rPr>
                <w:rFonts w:cs="Arial"/>
                <w:sz w:val="24"/>
              </w:rPr>
            </w:pPr>
            <w:r w:rsidRPr="00C30121">
              <w:rPr>
                <w:rFonts w:cs="Arial"/>
                <w:sz w:val="24"/>
              </w:rPr>
              <w:br/>
              <w:t>……………………………………………</w:t>
            </w:r>
          </w:p>
          <w:p w14:paraId="3ADB6D17" w14:textId="77777777" w:rsidR="00F67E9E" w:rsidRPr="00C30121" w:rsidRDefault="00F67E9E" w:rsidP="007F74AA">
            <w:pPr>
              <w:pStyle w:val="StdBodyText"/>
              <w:keepNext/>
              <w:rPr>
                <w:rFonts w:cs="Arial"/>
                <w:sz w:val="24"/>
              </w:rPr>
            </w:pPr>
          </w:p>
        </w:tc>
      </w:tr>
      <w:tr w:rsidR="00F67E9E" w:rsidRPr="00C30121" w14:paraId="4BAA8687" w14:textId="77777777" w:rsidTr="007F74AA">
        <w:tc>
          <w:tcPr>
            <w:tcW w:w="5669" w:type="dxa"/>
          </w:tcPr>
          <w:p w14:paraId="64401E60" w14:textId="77777777" w:rsidR="00F67E9E" w:rsidRPr="00C30121" w:rsidRDefault="00F67E9E" w:rsidP="007F74AA">
            <w:pPr>
              <w:pStyle w:val="StdBodyText"/>
              <w:keepNext/>
              <w:rPr>
                <w:rFonts w:cs="Arial"/>
                <w:sz w:val="24"/>
              </w:rPr>
            </w:pPr>
            <w:r w:rsidRPr="00C30121">
              <w:rPr>
                <w:rFonts w:cs="Arial"/>
                <w:sz w:val="24"/>
              </w:rPr>
              <w:t>Name of Witness:</w:t>
            </w:r>
          </w:p>
          <w:p w14:paraId="0ADA470F" w14:textId="77777777" w:rsidR="00F67E9E" w:rsidRPr="00C30121" w:rsidRDefault="00F67E9E" w:rsidP="007F74AA">
            <w:pPr>
              <w:pStyle w:val="StdBodyText"/>
              <w:keepNext/>
              <w:rPr>
                <w:rFonts w:cs="Arial"/>
                <w:sz w:val="24"/>
              </w:rPr>
            </w:pPr>
          </w:p>
        </w:tc>
        <w:tc>
          <w:tcPr>
            <w:tcW w:w="4535" w:type="dxa"/>
          </w:tcPr>
          <w:p w14:paraId="72E4B96D" w14:textId="77777777" w:rsidR="00F67E9E" w:rsidRPr="00C30121" w:rsidRDefault="00F67E9E" w:rsidP="007F74AA">
            <w:pPr>
              <w:pStyle w:val="StdBodyText"/>
              <w:keepNext/>
              <w:rPr>
                <w:rFonts w:cs="Arial"/>
                <w:sz w:val="24"/>
              </w:rPr>
            </w:pPr>
            <w:r w:rsidRPr="00C30121">
              <w:rPr>
                <w:rFonts w:cs="Arial"/>
                <w:sz w:val="24"/>
              </w:rPr>
              <w:t>……………………………………………</w:t>
            </w:r>
          </w:p>
        </w:tc>
      </w:tr>
      <w:tr w:rsidR="00F67E9E" w:rsidRPr="00C30121" w14:paraId="2AEED311" w14:textId="77777777" w:rsidTr="007F74AA">
        <w:tc>
          <w:tcPr>
            <w:tcW w:w="5669" w:type="dxa"/>
          </w:tcPr>
          <w:p w14:paraId="67F7D3AA" w14:textId="77777777" w:rsidR="00F67E9E" w:rsidRPr="00C30121" w:rsidRDefault="00F67E9E" w:rsidP="007F74AA">
            <w:pPr>
              <w:pStyle w:val="StdBodyText"/>
              <w:keepNext/>
              <w:rPr>
                <w:rFonts w:cs="Arial"/>
                <w:sz w:val="24"/>
              </w:rPr>
            </w:pPr>
            <w:r w:rsidRPr="00C30121">
              <w:rPr>
                <w:rFonts w:cs="Arial"/>
                <w:sz w:val="24"/>
              </w:rPr>
              <w:t>Address of Witness:</w:t>
            </w:r>
          </w:p>
          <w:p w14:paraId="29800CCE" w14:textId="77777777" w:rsidR="00F67E9E" w:rsidRPr="00C30121" w:rsidRDefault="00F67E9E" w:rsidP="007F74AA">
            <w:pPr>
              <w:pStyle w:val="StdBodyText"/>
              <w:keepNext/>
              <w:rPr>
                <w:rFonts w:cs="Arial"/>
                <w:sz w:val="24"/>
              </w:rPr>
            </w:pPr>
          </w:p>
        </w:tc>
        <w:tc>
          <w:tcPr>
            <w:tcW w:w="4535" w:type="dxa"/>
          </w:tcPr>
          <w:p w14:paraId="307811D4" w14:textId="77777777" w:rsidR="00F67E9E" w:rsidRPr="00C30121" w:rsidRDefault="00F67E9E" w:rsidP="007F74AA">
            <w:pPr>
              <w:pStyle w:val="StdBodyText"/>
              <w:keepNext/>
              <w:rPr>
                <w:rFonts w:cs="Arial"/>
                <w:sz w:val="24"/>
              </w:rPr>
            </w:pPr>
            <w:r w:rsidRPr="00C30121">
              <w:rPr>
                <w:rFonts w:cs="Arial"/>
                <w:sz w:val="24"/>
              </w:rPr>
              <w:t>……………………………………………</w:t>
            </w:r>
          </w:p>
          <w:p w14:paraId="0950C770" w14:textId="77777777" w:rsidR="00F67E9E" w:rsidRPr="00C30121" w:rsidRDefault="00F67E9E" w:rsidP="007F74AA">
            <w:pPr>
              <w:pStyle w:val="StdBodyText"/>
              <w:keepNext/>
              <w:rPr>
                <w:rFonts w:cs="Arial"/>
                <w:sz w:val="24"/>
              </w:rPr>
            </w:pPr>
          </w:p>
          <w:p w14:paraId="7AFFC9DB" w14:textId="77777777" w:rsidR="00F67E9E" w:rsidRPr="00C30121" w:rsidRDefault="00F67E9E" w:rsidP="007F74AA">
            <w:pPr>
              <w:pStyle w:val="StdBodyText"/>
              <w:keepNext/>
              <w:rPr>
                <w:rFonts w:cs="Arial"/>
                <w:sz w:val="24"/>
              </w:rPr>
            </w:pPr>
            <w:r w:rsidRPr="00C30121">
              <w:rPr>
                <w:rFonts w:cs="Arial"/>
                <w:sz w:val="24"/>
              </w:rPr>
              <w:t>……………………………………………</w:t>
            </w:r>
          </w:p>
          <w:p w14:paraId="41EFE346" w14:textId="77777777" w:rsidR="00F67E9E" w:rsidRPr="00C30121" w:rsidRDefault="00F67E9E" w:rsidP="007F74AA">
            <w:pPr>
              <w:pStyle w:val="StdBodyText"/>
              <w:keepNext/>
              <w:rPr>
                <w:rFonts w:cs="Arial"/>
                <w:sz w:val="24"/>
              </w:rPr>
            </w:pPr>
          </w:p>
        </w:tc>
      </w:tr>
      <w:tr w:rsidR="00F67E9E" w:rsidRPr="00C30121" w14:paraId="4FF037ED" w14:textId="77777777" w:rsidTr="007F74AA">
        <w:tc>
          <w:tcPr>
            <w:tcW w:w="5669" w:type="dxa"/>
          </w:tcPr>
          <w:p w14:paraId="2723F677" w14:textId="77777777" w:rsidR="00F67E9E" w:rsidRPr="00C30121" w:rsidRDefault="00F67E9E" w:rsidP="007F74AA">
            <w:pPr>
              <w:pStyle w:val="StdBodyText"/>
              <w:keepNext/>
              <w:rPr>
                <w:rFonts w:cs="Arial"/>
                <w:sz w:val="24"/>
              </w:rPr>
            </w:pPr>
            <w:r w:rsidRPr="00C30121">
              <w:rPr>
                <w:rFonts w:cs="Arial"/>
                <w:sz w:val="24"/>
              </w:rPr>
              <w:t>Occupation of Witness:</w:t>
            </w:r>
          </w:p>
        </w:tc>
        <w:tc>
          <w:tcPr>
            <w:tcW w:w="4535" w:type="dxa"/>
          </w:tcPr>
          <w:p w14:paraId="29B2EB0E" w14:textId="77777777" w:rsidR="00F67E9E" w:rsidRPr="00C30121" w:rsidRDefault="00F67E9E" w:rsidP="007F74AA">
            <w:pPr>
              <w:pStyle w:val="StdBodyText"/>
              <w:keepNext/>
              <w:rPr>
                <w:rFonts w:cs="Arial"/>
                <w:sz w:val="24"/>
              </w:rPr>
            </w:pPr>
            <w:r w:rsidRPr="00C30121">
              <w:rPr>
                <w:rFonts w:cs="Arial"/>
                <w:sz w:val="24"/>
              </w:rPr>
              <w:t>……………………………………………</w:t>
            </w:r>
          </w:p>
        </w:tc>
      </w:tr>
    </w:tbl>
    <w:p w14:paraId="4D9E4FA5" w14:textId="77777777" w:rsidR="00F67E9E" w:rsidRDefault="00F67E9E" w:rsidP="00F67E9E"/>
    <w:p w14:paraId="4D6250E5" w14:textId="77777777" w:rsidR="00F67E9E" w:rsidRDefault="00F67E9E" w:rsidP="00F67E9E"/>
    <w:p w14:paraId="4FC646DE" w14:textId="77777777" w:rsidR="00F67E9E" w:rsidRDefault="00F67E9E" w:rsidP="00F67E9E">
      <w:pPr>
        <w:sectPr w:rsidR="00F67E9E" w:rsidSect="00240D26">
          <w:headerReference w:type="default" r:id="rId140"/>
          <w:footerReference w:type="default" r:id="rId141"/>
          <w:pgSz w:w="11900" w:h="16840"/>
          <w:pgMar w:top="1701" w:right="851" w:bottom="1134" w:left="851" w:header="567" w:footer="567" w:gutter="0"/>
          <w:cols w:space="720"/>
          <w:docGrid w:linePitch="360"/>
        </w:sectPr>
      </w:pPr>
    </w:p>
    <w:p w14:paraId="04999F26" w14:textId="77777777" w:rsidR="00F67E9E" w:rsidRPr="00EE4F10" w:rsidRDefault="00F67E9E" w:rsidP="00F67E9E">
      <w:pPr>
        <w:pStyle w:val="Dividername"/>
      </w:pPr>
      <w:r w:rsidRPr="00EE4F10">
        <w:t>Schedule 31</w:t>
      </w:r>
    </w:p>
    <w:p w14:paraId="147B28E2" w14:textId="77777777" w:rsidR="00F67E9E" w:rsidRPr="00EE4F10" w:rsidRDefault="00F67E9E" w:rsidP="00F67E9E">
      <w:pPr>
        <w:pStyle w:val="Dividername"/>
      </w:pPr>
      <w:r w:rsidRPr="00EE4F10">
        <w:t>Processing Personal Data</w:t>
      </w:r>
    </w:p>
    <w:p w14:paraId="53DC22CB" w14:textId="77777777" w:rsidR="00F67E9E" w:rsidRDefault="00F67E9E" w:rsidP="00F67E9E">
      <w:pPr>
        <w:rPr>
          <w:lang w:eastAsia="en-GB"/>
        </w:rPr>
      </w:pPr>
    </w:p>
    <w:p w14:paraId="3F2FA488" w14:textId="77777777" w:rsidR="00F67E9E" w:rsidRDefault="00F67E9E" w:rsidP="00F67E9E">
      <w:pPr>
        <w:rPr>
          <w:lang w:eastAsia="en-GB"/>
        </w:rPr>
      </w:pPr>
      <w:r>
        <w:rPr>
          <w:lang w:eastAsia="en-GB"/>
        </w:rPr>
        <w:br w:type="page"/>
      </w:r>
    </w:p>
    <w:p w14:paraId="21C7C6A1" w14:textId="77777777" w:rsidR="00F67E9E" w:rsidRPr="00DD4CC2" w:rsidRDefault="00F67E9E" w:rsidP="00F67E9E">
      <w:pPr>
        <w:pStyle w:val="Heading1"/>
      </w:pPr>
      <w:bookmarkStart w:id="2825" w:name="Schedule31"/>
      <w:bookmarkStart w:id="2826" w:name="_Ref92200097"/>
      <w:bookmarkStart w:id="2827" w:name="_Toc141711998"/>
      <w:r w:rsidRPr="00016234">
        <w:t>Schedule</w:t>
      </w:r>
      <w:r>
        <w:t> </w:t>
      </w:r>
      <w:r w:rsidRPr="00016234">
        <w:t>31</w:t>
      </w:r>
      <w:bookmarkEnd w:id="2825"/>
      <w:r>
        <w:t xml:space="preserve">: </w:t>
      </w:r>
      <w:bookmarkStart w:id="2828" w:name="Schedule31Heading"/>
      <w:r w:rsidRPr="00DD4CC2">
        <w:t>Processing Personal Data</w:t>
      </w:r>
      <w:bookmarkEnd w:id="2826"/>
      <w:bookmarkEnd w:id="2827"/>
      <w:bookmarkEnd w:id="2828"/>
    </w:p>
    <w:p w14:paraId="081BE46F" w14:textId="77777777" w:rsidR="00F67E9E" w:rsidRPr="002F2E6A" w:rsidRDefault="00F67E9E" w:rsidP="00F67E9E">
      <w:pPr>
        <w:pStyle w:val="Numbered1"/>
        <w:numPr>
          <w:ilvl w:val="0"/>
          <w:numId w:val="290"/>
        </w:numPr>
      </w:pPr>
      <w:r w:rsidRPr="002F2E6A">
        <w:t xml:space="preserve">Data </w:t>
      </w:r>
      <w:r w:rsidRPr="00211A99">
        <w:t>Processing</w:t>
      </w:r>
    </w:p>
    <w:p w14:paraId="311736EA" w14:textId="77777777" w:rsidR="00F67E9E" w:rsidRPr="00016234" w:rsidRDefault="00F67E9E" w:rsidP="00F67E9E">
      <w:pPr>
        <w:pStyle w:val="Numbered11"/>
      </w:pPr>
      <w:r w:rsidRPr="00016234">
        <w:t>This Schedule shall be completed by the Controller, who may take account of the view of the Processor, however the final decision as to the content of this Schedule shall be with the Authority at its absolute discretion.</w:t>
      </w:r>
    </w:p>
    <w:p w14:paraId="62A27883" w14:textId="77777777" w:rsidR="00F67E9E" w:rsidRPr="001D763B" w:rsidRDefault="00F67E9E" w:rsidP="00F67E9E">
      <w:pPr>
        <w:pStyle w:val="Numbered11"/>
      </w:pPr>
      <w:bookmarkStart w:id="2829" w:name="_Ref141303049"/>
      <w:r w:rsidRPr="00FE5D62">
        <w:t>The contact details of the Authority</w:t>
      </w:r>
      <w:r>
        <w:t>’</w:t>
      </w:r>
      <w:r w:rsidRPr="00FE5D62">
        <w:t xml:space="preserve">s Data Protection Officer are: </w:t>
      </w:r>
      <w:r w:rsidRPr="00B73DD6">
        <w:rPr>
          <w:rStyle w:val="StdBodyTextBoldChar"/>
          <w:rFonts w:eastAsia="Arial" w:cs="Arial"/>
          <w:bCs/>
          <w:highlight w:val="yellow"/>
        </w:rPr>
        <w:t>[insert</w:t>
      </w:r>
      <w:r w:rsidRPr="00B1698D">
        <w:rPr>
          <w:highlight w:val="yellow"/>
        </w:rPr>
        <w:t xml:space="preserve"> Contact details</w:t>
      </w:r>
      <w:r w:rsidRPr="00FE5D62">
        <w:rPr>
          <w:highlight w:val="yellow"/>
        </w:rPr>
        <w:t>]</w:t>
      </w:r>
      <w:bookmarkEnd w:id="2829"/>
    </w:p>
    <w:p w14:paraId="0DF61AB3" w14:textId="77777777" w:rsidR="00F67E9E" w:rsidRDefault="00F67E9E" w:rsidP="00F67E9E">
      <w:pPr>
        <w:pStyle w:val="Numbered11"/>
      </w:pPr>
      <w:r w:rsidRPr="001D763B">
        <w:t>The contact details of the Supplier</w:t>
      </w:r>
      <w:r>
        <w:t>’</w:t>
      </w:r>
      <w:r w:rsidRPr="001D763B">
        <w:t xml:space="preserve">s Data Protection Officer are: </w:t>
      </w:r>
      <w:r w:rsidRPr="00B73DD6">
        <w:rPr>
          <w:rStyle w:val="StdBodyTextBoldChar"/>
          <w:rFonts w:eastAsia="Arial" w:cs="Arial"/>
          <w:bCs/>
          <w:highlight w:val="yellow"/>
        </w:rPr>
        <w:t>[insert</w:t>
      </w:r>
      <w:r w:rsidRPr="00B1698D">
        <w:rPr>
          <w:highlight w:val="yellow"/>
        </w:rPr>
        <w:t xml:space="preserve"> Contact details</w:t>
      </w:r>
      <w:r w:rsidRPr="001D763B">
        <w:rPr>
          <w:highlight w:val="yellow"/>
        </w:rPr>
        <w:t>]</w:t>
      </w:r>
    </w:p>
    <w:p w14:paraId="356B0817" w14:textId="77777777" w:rsidR="00F67E9E" w:rsidRDefault="00F67E9E" w:rsidP="00F67E9E">
      <w:pPr>
        <w:pStyle w:val="Numbered11"/>
      </w:pPr>
      <w:r w:rsidRPr="001D763B">
        <w:t>The Processor shall comply with any further written instructions with respect to processing by the Controller.</w:t>
      </w:r>
    </w:p>
    <w:p w14:paraId="662223A2" w14:textId="77777777" w:rsidR="00F67E9E" w:rsidRDefault="00F67E9E" w:rsidP="00F67E9E">
      <w:pPr>
        <w:pStyle w:val="Numbered11"/>
      </w:pPr>
      <w:r w:rsidRPr="001D763B">
        <w:t xml:space="preserve">Any such further instructions shall be incorporated into </w:t>
      </w:r>
      <w:r w:rsidRPr="00016234">
        <w:t>this Schedule.</w:t>
      </w:r>
    </w:p>
    <w:p w14:paraId="46BDF06B" w14:textId="77777777" w:rsidR="00F67E9E" w:rsidRPr="00BE2FDD" w:rsidRDefault="00F67E9E" w:rsidP="00F67E9E">
      <w:pPr>
        <w:pStyle w:val="Numbered1"/>
        <w:numPr>
          <w:ilvl w:val="0"/>
          <w:numId w:val="0"/>
        </w:numPr>
        <w:rPr>
          <w:i/>
          <w:iCs/>
          <w:highlight w:val="yellow"/>
        </w:rPr>
      </w:pPr>
      <w:r w:rsidRPr="00BE2FDD">
        <w:rPr>
          <w:i/>
          <w:iCs/>
          <w:highlight w:val="yellow"/>
        </w:rPr>
        <w:t>[Guidance: the Authority will be the Controller, and the Supplier the Processor in the vast majority of cases. If you believe another data processing scenario applies, such as the Parties being Joint or Independent Controllers, you must speak to your data protection team or DPO.]</w:t>
      </w:r>
    </w:p>
    <w:tbl>
      <w:tblPr>
        <w:tblStyle w:val="MSATable-header"/>
        <w:tblW w:w="10205" w:type="dxa"/>
        <w:tblLook w:val="04A0" w:firstRow="1" w:lastRow="0" w:firstColumn="1" w:lastColumn="0" w:noHBand="0" w:noVBand="1"/>
      </w:tblPr>
      <w:tblGrid>
        <w:gridCol w:w="2551"/>
        <w:gridCol w:w="7654"/>
      </w:tblGrid>
      <w:tr w:rsidR="00F67E9E" w:rsidRPr="003D07D0" w14:paraId="5BA71D0B" w14:textId="77777777" w:rsidTr="007F74AA">
        <w:trPr>
          <w:cnfStyle w:val="100000000000" w:firstRow="1" w:lastRow="0" w:firstColumn="0" w:lastColumn="0" w:oddVBand="0" w:evenVBand="0" w:oddHBand="0" w:evenHBand="0" w:firstRowFirstColumn="0" w:firstRowLastColumn="0" w:lastRowFirstColumn="0" w:lastRowLastColumn="0"/>
          <w:tblHeader/>
        </w:trPr>
        <w:tc>
          <w:tcPr>
            <w:tcW w:w="2551" w:type="dxa"/>
            <w:vAlign w:val="bottom"/>
          </w:tcPr>
          <w:p w14:paraId="7FBD084B" w14:textId="77777777" w:rsidR="00F67E9E" w:rsidRPr="003D07D0" w:rsidRDefault="00F67E9E" w:rsidP="007F74AA">
            <w:pPr>
              <w:pStyle w:val="StdBodyTextBold"/>
              <w:spacing w:before="0" w:after="0"/>
              <w:rPr>
                <w:rFonts w:cs="Arial"/>
                <w:b/>
                <w:bCs/>
              </w:rPr>
            </w:pPr>
            <w:r w:rsidRPr="003D07D0">
              <w:rPr>
                <w:rFonts w:cs="Arial"/>
                <w:b/>
                <w:bCs/>
              </w:rPr>
              <w:t>Description</w:t>
            </w:r>
          </w:p>
        </w:tc>
        <w:tc>
          <w:tcPr>
            <w:tcW w:w="7654" w:type="dxa"/>
            <w:vAlign w:val="bottom"/>
          </w:tcPr>
          <w:p w14:paraId="11F413C5" w14:textId="77777777" w:rsidR="00F67E9E" w:rsidRPr="003D07D0" w:rsidRDefault="00F67E9E" w:rsidP="007F74AA">
            <w:pPr>
              <w:pStyle w:val="StdBodyTextBold"/>
              <w:spacing w:before="0" w:after="0"/>
              <w:rPr>
                <w:rFonts w:cs="Arial"/>
                <w:b/>
                <w:bCs/>
              </w:rPr>
            </w:pPr>
            <w:r w:rsidRPr="003D07D0">
              <w:rPr>
                <w:rFonts w:cs="Arial"/>
                <w:b/>
                <w:bCs/>
              </w:rPr>
              <w:t>Details</w:t>
            </w:r>
          </w:p>
        </w:tc>
      </w:tr>
      <w:tr w:rsidR="00F67E9E" w:rsidRPr="00815F66" w14:paraId="13EF9907" w14:textId="77777777" w:rsidTr="007F74AA">
        <w:tc>
          <w:tcPr>
            <w:tcW w:w="2551" w:type="dxa"/>
          </w:tcPr>
          <w:p w14:paraId="35121CD8" w14:textId="77777777" w:rsidR="00F67E9E" w:rsidRPr="00C421B6" w:rsidRDefault="00F67E9E" w:rsidP="007F74AA">
            <w:pPr>
              <w:pStyle w:val="StdBodyText"/>
              <w:spacing w:before="0" w:after="0"/>
              <w:rPr>
                <w:rFonts w:cs="Arial"/>
              </w:rPr>
            </w:pPr>
            <w:r w:rsidRPr="00FE5D62">
              <w:rPr>
                <w:rFonts w:cs="Arial"/>
              </w:rPr>
              <w:t>Identity of Controller for each Category of Personal Data</w:t>
            </w:r>
          </w:p>
        </w:tc>
        <w:tc>
          <w:tcPr>
            <w:tcW w:w="7654" w:type="dxa"/>
          </w:tcPr>
          <w:p w14:paraId="12E948E3" w14:textId="77777777" w:rsidR="00F67E9E" w:rsidRPr="001D763B" w:rsidRDefault="00F67E9E" w:rsidP="007F74AA">
            <w:pPr>
              <w:pStyle w:val="StdBodyTextBold"/>
              <w:spacing w:before="0" w:after="0"/>
              <w:rPr>
                <w:rFonts w:cs="Arial"/>
              </w:rPr>
            </w:pPr>
            <w:r w:rsidRPr="001D763B">
              <w:rPr>
                <w:rFonts w:cs="Arial"/>
              </w:rPr>
              <w:t>The Authority is Controller and the Supplier is Processor</w:t>
            </w:r>
          </w:p>
          <w:p w14:paraId="1A9DEBB5" w14:textId="77777777" w:rsidR="00F67E9E" w:rsidRPr="00190716" w:rsidRDefault="00F67E9E" w:rsidP="007F74AA">
            <w:pPr>
              <w:pStyle w:val="StdBodyText"/>
              <w:spacing w:before="0" w:after="120"/>
              <w:rPr>
                <w:rFonts w:cs="Arial"/>
              </w:rPr>
            </w:pPr>
            <w:r w:rsidRPr="001D763B">
              <w:rPr>
                <w:rFonts w:cs="Arial"/>
              </w:rPr>
              <w:t xml:space="preserve">The Parties acknowledge that in accordance </w:t>
            </w:r>
            <w:r w:rsidRPr="00016234">
              <w:rPr>
                <w:rFonts w:cs="Arial"/>
              </w:rPr>
              <w:t xml:space="preserve">with </w:t>
            </w:r>
            <w:bookmarkStart w:id="2830" w:name="_9kR3WTr2CC7ELSChrAv6JK"/>
            <w:r w:rsidRPr="00016234">
              <w:rPr>
                <w:rFonts w:cs="Arial"/>
              </w:rPr>
              <w:t>Clause 21</w:t>
            </w:r>
            <w:r w:rsidRPr="001D763B">
              <w:rPr>
                <w:rFonts w:cs="Arial"/>
              </w:rPr>
              <w:t>.2</w:t>
            </w:r>
            <w:bookmarkEnd w:id="2830"/>
            <w:r w:rsidRPr="001D763B">
              <w:rPr>
                <w:rFonts w:cs="Arial"/>
              </w:rPr>
              <w:t xml:space="preserve"> to </w:t>
            </w:r>
            <w:bookmarkStart w:id="2831" w:name="_9kR3WTr2CC7FD9DDG"/>
            <w:r w:rsidRPr="001D763B">
              <w:rPr>
                <w:rFonts w:cs="Arial"/>
              </w:rPr>
              <w:t>23.15</w:t>
            </w:r>
            <w:bookmarkEnd w:id="2831"/>
            <w:r w:rsidRPr="001D763B">
              <w:rPr>
                <w:rFonts w:cs="Arial"/>
              </w:rPr>
              <w:t xml:space="preserve"> and for the purposes of the Data Protection Legislation, the Authority is the Controller and the Supplier is the Processor of the following Personal Data:</w:t>
            </w:r>
          </w:p>
          <w:p w14:paraId="37683DEB" w14:textId="77777777" w:rsidR="00F67E9E" w:rsidRPr="00DD4CC2" w:rsidRDefault="00F67E9E" w:rsidP="007F74AA">
            <w:pPr>
              <w:pStyle w:val="StdBodyText"/>
              <w:spacing w:before="0" w:after="120"/>
              <w:rPr>
                <w:rFonts w:cs="Arial"/>
                <w:iCs/>
                <w:highlight w:val="yellow"/>
              </w:rPr>
            </w:pPr>
            <w:r w:rsidRPr="00B73DD6">
              <w:rPr>
                <w:rStyle w:val="StdBodyTextBoldChar"/>
                <w:rFonts w:cs="Arial"/>
                <w:bCs/>
                <w:iCs/>
                <w:highlight w:val="yellow"/>
              </w:rPr>
              <w:t>[insert</w:t>
            </w:r>
            <w:r w:rsidRPr="00B1698D">
              <w:rPr>
                <w:rFonts w:cs="Arial"/>
                <w:iCs/>
                <w:highlight w:val="yellow"/>
              </w:rPr>
              <w:t xml:space="preserve"> </w:t>
            </w:r>
            <w:r w:rsidRPr="00DD4CC2">
              <w:rPr>
                <w:rFonts w:cs="Arial"/>
                <w:iCs/>
                <w:highlight w:val="yellow"/>
              </w:rPr>
              <w:t>the scope of Personal Data for which the purposes and means of the processing by the Supplier is determined by the Authority]</w:t>
            </w:r>
          </w:p>
          <w:p w14:paraId="351C3EEE" w14:textId="77777777" w:rsidR="00F67E9E" w:rsidRPr="005F41FB" w:rsidRDefault="00F67E9E" w:rsidP="007F74AA">
            <w:pPr>
              <w:pStyle w:val="StdBodyTextBold"/>
              <w:spacing w:after="0"/>
              <w:rPr>
                <w:rFonts w:cs="Arial"/>
              </w:rPr>
            </w:pPr>
            <w:r w:rsidRPr="002D6F21">
              <w:rPr>
                <w:rFonts w:cs="Arial"/>
              </w:rPr>
              <w:t>The Supplier is Controller and the Authority is Processor</w:t>
            </w:r>
          </w:p>
          <w:p w14:paraId="17A71325" w14:textId="77777777" w:rsidR="00F67E9E" w:rsidRPr="00DD4CC2" w:rsidRDefault="00F67E9E" w:rsidP="007F74AA">
            <w:pPr>
              <w:pStyle w:val="StdBodyText"/>
              <w:spacing w:before="0" w:after="120"/>
              <w:rPr>
                <w:rFonts w:cs="Arial"/>
                <w:iCs/>
              </w:rPr>
            </w:pPr>
            <w:r w:rsidRPr="00DD4CC2">
              <w:rPr>
                <w:rFonts w:cs="Arial"/>
                <w:iCs/>
              </w:rPr>
              <w:t xml:space="preserve">The Parties acknowledge that for the purposes of the Data Protection Legislation, the Supplier is the Controller and the Authority is the Processor in accordance with </w:t>
            </w:r>
            <w:bookmarkStart w:id="2832" w:name="_9kMHG5YVt4EE9GNUEjtCx8LM"/>
            <w:r w:rsidRPr="00DD4CC2">
              <w:rPr>
                <w:rFonts w:cs="Arial"/>
                <w:iCs/>
              </w:rPr>
              <w:t>Clause 21.2</w:t>
            </w:r>
            <w:bookmarkStart w:id="2833" w:name="_9kMHG5YVt4EE9HFBFFI"/>
            <w:bookmarkEnd w:id="2832"/>
            <w:bookmarkEnd w:id="2833"/>
            <w:r w:rsidRPr="00DD4CC2">
              <w:rPr>
                <w:rFonts w:cs="Arial"/>
                <w:iCs/>
              </w:rPr>
              <w:t xml:space="preserve"> to </w:t>
            </w:r>
            <w:bookmarkStart w:id="2834" w:name="_9kR3WTr2CC7FIEDDG"/>
            <w:r w:rsidRPr="00DD4CC2">
              <w:rPr>
                <w:rFonts w:cs="Arial"/>
                <w:iCs/>
              </w:rPr>
              <w:t>21.15</w:t>
            </w:r>
            <w:bookmarkEnd w:id="2834"/>
            <w:r w:rsidRPr="00DD4CC2">
              <w:rPr>
                <w:rFonts w:cs="Arial"/>
                <w:iCs/>
              </w:rPr>
              <w:t xml:space="preserve"> of the following Personal Data:</w:t>
            </w:r>
          </w:p>
          <w:p w14:paraId="7F962E61" w14:textId="77777777" w:rsidR="00F67E9E" w:rsidRPr="00DD4CC2" w:rsidRDefault="00F67E9E" w:rsidP="007F74AA">
            <w:pPr>
              <w:pStyle w:val="StdBodyText"/>
              <w:spacing w:before="0" w:after="120"/>
              <w:rPr>
                <w:rFonts w:cs="Arial"/>
                <w:iCs/>
                <w:highlight w:val="yellow"/>
              </w:rPr>
            </w:pPr>
            <w:r w:rsidRPr="00B73DD6">
              <w:rPr>
                <w:rStyle w:val="StdBodyTextBoldChar"/>
                <w:rFonts w:cs="Arial"/>
                <w:bCs/>
                <w:iCs/>
                <w:highlight w:val="yellow"/>
              </w:rPr>
              <w:t>[insert</w:t>
            </w:r>
            <w:r w:rsidRPr="00B1698D">
              <w:rPr>
                <w:rFonts w:cs="Arial"/>
                <w:iCs/>
                <w:highlight w:val="yellow"/>
              </w:rPr>
              <w:t xml:space="preserve"> </w:t>
            </w:r>
            <w:r w:rsidRPr="00DD4CC2">
              <w:rPr>
                <w:rFonts w:cs="Arial"/>
                <w:iCs/>
                <w:highlight w:val="yellow"/>
              </w:rPr>
              <w:t>the scope of Personal Data for which the purposes and means of the processing by the Authority is determined by the Supplier]</w:t>
            </w:r>
          </w:p>
          <w:p w14:paraId="3F7E4B6E" w14:textId="77777777" w:rsidR="00F67E9E" w:rsidRPr="00A0011E" w:rsidRDefault="00F67E9E" w:rsidP="007F74AA">
            <w:pPr>
              <w:pStyle w:val="StdBodyTextBold"/>
              <w:spacing w:after="0"/>
              <w:rPr>
                <w:rFonts w:cs="Arial"/>
              </w:rPr>
            </w:pPr>
            <w:r w:rsidRPr="00A0011E">
              <w:rPr>
                <w:rFonts w:cs="Arial"/>
              </w:rPr>
              <w:t>The Parties are Joint Controllers</w:t>
            </w:r>
          </w:p>
          <w:p w14:paraId="6B208F1A" w14:textId="77777777" w:rsidR="00F67E9E" w:rsidRPr="00DD4CC2" w:rsidRDefault="00F67E9E" w:rsidP="007F74AA">
            <w:pPr>
              <w:pStyle w:val="StdBodyText"/>
              <w:spacing w:before="0" w:after="120"/>
              <w:rPr>
                <w:rFonts w:cs="Arial"/>
                <w:iCs/>
              </w:rPr>
            </w:pPr>
            <w:r w:rsidRPr="00DD4CC2">
              <w:rPr>
                <w:rFonts w:cs="Arial"/>
                <w:iCs/>
              </w:rPr>
              <w:t>The Parties acknowledge that they are Joint Controllers for the purposes of the Data Protection Legislation in respect of:</w:t>
            </w:r>
          </w:p>
          <w:p w14:paraId="5B1ED7F9" w14:textId="77777777" w:rsidR="00F67E9E" w:rsidRPr="00DD4CC2" w:rsidRDefault="00F67E9E" w:rsidP="007F74AA">
            <w:pPr>
              <w:pStyle w:val="StdBodyText"/>
              <w:spacing w:before="0" w:after="120"/>
              <w:rPr>
                <w:rFonts w:cs="Arial"/>
                <w:iCs/>
                <w:highlight w:val="yellow"/>
              </w:rPr>
            </w:pPr>
            <w:r w:rsidRPr="00B73DD6">
              <w:rPr>
                <w:rStyle w:val="StdBodyTextBoldChar"/>
                <w:rFonts w:cs="Arial"/>
                <w:iCs/>
                <w:highlight w:val="yellow"/>
              </w:rPr>
              <w:t>[insert</w:t>
            </w:r>
            <w:r w:rsidRPr="00B1698D">
              <w:rPr>
                <w:rFonts w:cs="Arial"/>
                <w:iCs/>
                <w:highlight w:val="yellow"/>
              </w:rPr>
              <w:t xml:space="preserve"> </w:t>
            </w:r>
            <w:r w:rsidRPr="00DD4CC2">
              <w:rPr>
                <w:rFonts w:cs="Arial"/>
                <w:iCs/>
                <w:highlight w:val="yellow"/>
              </w:rPr>
              <w:t>the scope of Personal Data for which the purposes and means of the processing is determined by both Parties together]</w:t>
            </w:r>
          </w:p>
          <w:p w14:paraId="49504B4A" w14:textId="77777777" w:rsidR="00F67E9E" w:rsidRPr="00A03FEC" w:rsidRDefault="00F67E9E" w:rsidP="007F74AA">
            <w:pPr>
              <w:pStyle w:val="StdBodyTextBold"/>
              <w:spacing w:after="0"/>
              <w:rPr>
                <w:rFonts w:cs="Arial"/>
              </w:rPr>
            </w:pPr>
            <w:r w:rsidRPr="00831B1E">
              <w:rPr>
                <w:rFonts w:cs="Arial"/>
              </w:rPr>
              <w:t>The Parties are Independent Controllers of Personal Data</w:t>
            </w:r>
          </w:p>
          <w:p w14:paraId="28653BF0" w14:textId="77777777" w:rsidR="00F67E9E" w:rsidRPr="00DD4CC2" w:rsidRDefault="00F67E9E" w:rsidP="007F74AA">
            <w:pPr>
              <w:pStyle w:val="StdBodyText"/>
              <w:spacing w:before="0" w:after="120"/>
              <w:rPr>
                <w:rFonts w:cs="Arial"/>
                <w:iCs/>
              </w:rPr>
            </w:pPr>
            <w:r w:rsidRPr="00DD4CC2">
              <w:rPr>
                <w:rFonts w:cs="Arial"/>
                <w:iCs/>
              </w:rPr>
              <w:t>The Parties acknowledge that they are Independent Controllers for the purposes of the Data Protection Legislation in respect of:</w:t>
            </w:r>
          </w:p>
          <w:p w14:paraId="4EB928CC" w14:textId="77777777" w:rsidR="00F67E9E" w:rsidRPr="00DD4CC2" w:rsidRDefault="00F67E9E" w:rsidP="007F74AA">
            <w:pPr>
              <w:pStyle w:val="StdBodyText"/>
              <w:spacing w:before="0" w:after="120"/>
              <w:rPr>
                <w:rFonts w:cs="Arial"/>
                <w:iCs/>
              </w:rPr>
            </w:pPr>
            <w:r w:rsidRPr="00472C5C">
              <w:rPr>
                <w:rFonts w:cs="Arial"/>
                <w:iCs/>
              </w:rPr>
              <w:t xml:space="preserve">Personally identifiable informationBusiness </w:t>
            </w:r>
            <w:r w:rsidRPr="00DD4CC2">
              <w:rPr>
                <w:rFonts w:cs="Arial"/>
                <w:iCs/>
              </w:rPr>
              <w:t>of Supplier Personnel,</w:t>
            </w:r>
          </w:p>
          <w:p w14:paraId="305F064F" w14:textId="77777777" w:rsidR="00F67E9E" w:rsidRPr="00DD4CC2" w:rsidRDefault="00F67E9E" w:rsidP="007F74AA">
            <w:pPr>
              <w:pStyle w:val="StdBodyText"/>
              <w:spacing w:before="0" w:after="120"/>
              <w:rPr>
                <w:rFonts w:cs="Arial"/>
                <w:iCs/>
              </w:rPr>
            </w:pPr>
            <w:r w:rsidRPr="00472C5C">
              <w:rPr>
                <w:rFonts w:cs="Arial"/>
                <w:iCs/>
              </w:rPr>
              <w:t xml:space="preserve">Personally identifiable informationBusiness </w:t>
            </w:r>
            <w:r w:rsidRPr="00DD4CC2">
              <w:rPr>
                <w:rFonts w:cs="Arial"/>
                <w:iCs/>
              </w:rPr>
              <w:t>of any directors, officers, employees, agents, consultants and contractors of the Authority (excluding the Supplier Personnel) engaged in the performance of the Authority’s duties under this Contract).</w:t>
            </w:r>
          </w:p>
          <w:p w14:paraId="4881C344" w14:textId="77777777" w:rsidR="00F67E9E" w:rsidRPr="00DD4CC2" w:rsidRDefault="00F67E9E" w:rsidP="007F74AA">
            <w:pPr>
              <w:pStyle w:val="StdBodyText"/>
              <w:spacing w:before="0" w:after="120"/>
              <w:rPr>
                <w:rFonts w:cs="Arial"/>
                <w:iCs/>
                <w:highlight w:val="yellow"/>
              </w:rPr>
            </w:pPr>
            <w:r w:rsidRPr="00B73DD6">
              <w:rPr>
                <w:rStyle w:val="StdBodyTextBoldChar"/>
                <w:rFonts w:cs="Arial"/>
                <w:iCs/>
                <w:highlight w:val="yellow"/>
              </w:rPr>
              <w:t>[insert</w:t>
            </w:r>
            <w:r w:rsidRPr="00DD4CC2">
              <w:rPr>
                <w:rFonts w:cs="Arial"/>
                <w:iCs/>
                <w:highlight w:val="yellow"/>
              </w:rPr>
              <w:t xml:space="preserve"> the scope of other Personal Data provided by one Party who is Data Controller to the other Party who will separately determine the nature and purposes of its processing the Personal Data on receipt.</w:t>
            </w:r>
          </w:p>
          <w:p w14:paraId="352CD4E1" w14:textId="77777777" w:rsidR="00F67E9E" w:rsidRPr="00DD4CC2" w:rsidRDefault="00F67E9E" w:rsidP="007F74AA">
            <w:pPr>
              <w:pStyle w:val="StdBodyText"/>
              <w:spacing w:before="0" w:after="0"/>
              <w:rPr>
                <w:rFonts w:cs="Arial"/>
                <w:iCs/>
              </w:rPr>
            </w:pPr>
            <w:r w:rsidRPr="00DD4CC2">
              <w:rPr>
                <w:rFonts w:cs="Arial"/>
                <w:iCs/>
                <w:highlight w:val="yellow"/>
              </w:rPr>
              <w:t>e.g. where (1) the Supplier has professional or regulatory obligations in respect of Personal Data received, (2) a standardised service is such that the Authority cannot dictate the way in which Personal Data is processed by the Supplier, or (3) where the Supplier comes to the transaction with Personal Data for which it is already Controller for use by the Authority]</w:t>
            </w:r>
          </w:p>
        </w:tc>
      </w:tr>
      <w:tr w:rsidR="00F67E9E" w:rsidRPr="00815F66" w14:paraId="04FA24B8" w14:textId="77777777" w:rsidTr="007F74AA">
        <w:tc>
          <w:tcPr>
            <w:tcW w:w="2551" w:type="dxa"/>
          </w:tcPr>
          <w:p w14:paraId="69CE5A7C" w14:textId="77777777" w:rsidR="00F67E9E" w:rsidRPr="00FE5D62" w:rsidRDefault="00F67E9E" w:rsidP="007F74AA">
            <w:pPr>
              <w:pStyle w:val="StdBodyText"/>
              <w:spacing w:before="0" w:after="0"/>
              <w:rPr>
                <w:rFonts w:cs="Arial"/>
              </w:rPr>
            </w:pPr>
            <w:r w:rsidRPr="007A3A8F">
              <w:t>Subject matter of the Processing</w:t>
            </w:r>
          </w:p>
        </w:tc>
        <w:tc>
          <w:tcPr>
            <w:tcW w:w="7654" w:type="dxa"/>
          </w:tcPr>
          <w:p w14:paraId="2C72490D" w14:textId="77777777" w:rsidR="00F67E9E" w:rsidRPr="00F910B5" w:rsidRDefault="00F67E9E" w:rsidP="007F74AA">
            <w:pPr>
              <w:pStyle w:val="StdBodyText"/>
              <w:spacing w:before="0" w:after="0"/>
              <w:rPr>
                <w:highlight w:val="yellow"/>
              </w:rPr>
            </w:pPr>
            <w:r w:rsidRPr="00F910B5">
              <w:rPr>
                <w:highlight w:val="yellow"/>
              </w:rPr>
              <w:t xml:space="preserve">[This should be a high level, short description of what the processing is about i.e. its subject matter of the contract. </w:t>
            </w:r>
          </w:p>
          <w:p w14:paraId="376930D2" w14:textId="77777777" w:rsidR="00F67E9E" w:rsidRPr="00F910B5" w:rsidRDefault="00F67E9E" w:rsidP="007F74AA">
            <w:pPr>
              <w:pStyle w:val="StdBodyText"/>
              <w:spacing w:before="0" w:after="0"/>
              <w:rPr>
                <w:highlight w:val="yellow"/>
              </w:rPr>
            </w:pPr>
          </w:p>
          <w:p w14:paraId="5982AB80" w14:textId="77777777" w:rsidR="00F67E9E" w:rsidRPr="00DD4CC2" w:rsidRDefault="00F67E9E" w:rsidP="007F74AA">
            <w:pPr>
              <w:pStyle w:val="StdBodyText"/>
              <w:spacing w:before="0" w:after="0"/>
              <w:rPr>
                <w:rFonts w:cs="Arial"/>
                <w:iCs/>
                <w:highlight w:val="yellow"/>
              </w:rPr>
            </w:pPr>
            <w:r w:rsidRPr="00F910B5">
              <w:rPr>
                <w:rFonts w:cs="Arial"/>
                <w:iCs/>
                <w:highlight w:val="yellow"/>
              </w:rPr>
              <w:t>Example: The processing is needed in order to ensure that the Processor can effectively deliver the contract to provide [insert description of relevant service].</w:t>
            </w:r>
          </w:p>
        </w:tc>
      </w:tr>
      <w:tr w:rsidR="00F67E9E" w:rsidRPr="00815F66" w14:paraId="6B120133" w14:textId="77777777" w:rsidTr="007F74AA">
        <w:tc>
          <w:tcPr>
            <w:tcW w:w="2551" w:type="dxa"/>
          </w:tcPr>
          <w:p w14:paraId="0B5F6ACF" w14:textId="77777777" w:rsidR="00F67E9E" w:rsidRPr="00FE5D62" w:rsidRDefault="00F67E9E" w:rsidP="007F74AA">
            <w:pPr>
              <w:pStyle w:val="StdBodyText"/>
              <w:spacing w:before="0" w:after="0"/>
              <w:rPr>
                <w:rFonts w:cs="Arial"/>
              </w:rPr>
            </w:pPr>
            <w:r w:rsidRPr="00FE5D62">
              <w:rPr>
                <w:rFonts w:cs="Arial"/>
              </w:rPr>
              <w:t>Duration of the processing</w:t>
            </w:r>
          </w:p>
        </w:tc>
        <w:tc>
          <w:tcPr>
            <w:tcW w:w="7654" w:type="dxa"/>
          </w:tcPr>
          <w:p w14:paraId="66913102" w14:textId="77777777" w:rsidR="00F67E9E" w:rsidRPr="00DD4CC2" w:rsidRDefault="00F67E9E" w:rsidP="007F74AA">
            <w:pPr>
              <w:pStyle w:val="StdBodyText"/>
              <w:spacing w:before="0" w:after="0"/>
              <w:rPr>
                <w:rFonts w:cs="Arial"/>
                <w:iCs/>
              </w:rPr>
            </w:pPr>
            <w:r w:rsidRPr="00DD4CC2">
              <w:rPr>
                <w:rFonts w:cs="Arial"/>
                <w:iCs/>
                <w:highlight w:val="yellow"/>
              </w:rPr>
              <w:t>[Clearly set out the duration of the processing including dates]</w:t>
            </w:r>
          </w:p>
        </w:tc>
      </w:tr>
      <w:tr w:rsidR="00F67E9E" w:rsidRPr="00815F66" w14:paraId="021A7F38" w14:textId="77777777" w:rsidTr="007F74AA">
        <w:tc>
          <w:tcPr>
            <w:tcW w:w="2551" w:type="dxa"/>
          </w:tcPr>
          <w:p w14:paraId="2CC4FBD0" w14:textId="77777777" w:rsidR="00F67E9E" w:rsidRPr="00C421B6" w:rsidRDefault="00F67E9E" w:rsidP="007F74AA">
            <w:pPr>
              <w:pStyle w:val="StdBodyText"/>
              <w:spacing w:before="0" w:after="0"/>
              <w:rPr>
                <w:rFonts w:cs="Arial"/>
              </w:rPr>
            </w:pPr>
            <w:r w:rsidRPr="00FE5D62">
              <w:rPr>
                <w:rFonts w:cs="Arial"/>
              </w:rPr>
              <w:t>Nature and purposes of the processing</w:t>
            </w:r>
          </w:p>
        </w:tc>
        <w:tc>
          <w:tcPr>
            <w:tcW w:w="7654" w:type="dxa"/>
          </w:tcPr>
          <w:p w14:paraId="1BFD1ED3" w14:textId="77777777" w:rsidR="00F67E9E" w:rsidRPr="00DD4CC2" w:rsidRDefault="00F67E9E" w:rsidP="007F74AA">
            <w:pPr>
              <w:pStyle w:val="StdBodyText"/>
              <w:spacing w:before="0" w:after="120"/>
              <w:rPr>
                <w:rFonts w:cs="Arial"/>
                <w:iCs/>
                <w:highlight w:val="yellow"/>
              </w:rPr>
            </w:pPr>
            <w:r w:rsidRPr="00DD4CC2">
              <w:rPr>
                <w:rFonts w:cs="Arial"/>
                <w:iCs/>
                <w:highlight w:val="yellow"/>
              </w:rPr>
              <w:t xml:space="preserve">[Please be as specific as possible, but make sure that you cover all intended purposes. </w:t>
            </w:r>
          </w:p>
          <w:p w14:paraId="58944A56" w14:textId="77777777" w:rsidR="00F67E9E" w:rsidRPr="00DD4CC2" w:rsidRDefault="00F67E9E" w:rsidP="007F74AA">
            <w:pPr>
              <w:pStyle w:val="StdBodyText"/>
              <w:spacing w:before="0" w:after="120"/>
              <w:rPr>
                <w:rFonts w:cs="Arial"/>
                <w:iCs/>
                <w:highlight w:val="yellow"/>
              </w:rPr>
            </w:pPr>
            <w:r w:rsidRPr="00DD4CC2">
              <w:rPr>
                <w:rFonts w:cs="Arial"/>
                <w:iCs/>
                <w:highlight w:val="yellow"/>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4BF49C3C" w14:textId="77777777" w:rsidR="00F67E9E" w:rsidRPr="00DD4CC2" w:rsidRDefault="00F67E9E" w:rsidP="007F74AA">
            <w:pPr>
              <w:pStyle w:val="StdBodyText"/>
              <w:spacing w:before="0" w:after="0"/>
              <w:rPr>
                <w:rFonts w:cs="Arial"/>
                <w:iCs/>
              </w:rPr>
            </w:pPr>
            <w:r w:rsidRPr="00DD4CC2">
              <w:rPr>
                <w:rFonts w:cs="Arial"/>
                <w:iCs/>
                <w:highlight w:val="yellow"/>
              </w:rPr>
              <w:t>The purpose might include: employment processing, statutory obligation, recruitment assessment etc]</w:t>
            </w:r>
          </w:p>
        </w:tc>
      </w:tr>
      <w:tr w:rsidR="00F67E9E" w:rsidRPr="00815F66" w14:paraId="784BC0D2" w14:textId="77777777" w:rsidTr="007F74AA">
        <w:tc>
          <w:tcPr>
            <w:tcW w:w="2551" w:type="dxa"/>
          </w:tcPr>
          <w:p w14:paraId="4D8F3D84" w14:textId="77777777" w:rsidR="00F67E9E" w:rsidRPr="00FE5D62" w:rsidRDefault="00F67E9E" w:rsidP="007F74AA">
            <w:pPr>
              <w:pStyle w:val="StdBodyText"/>
              <w:spacing w:before="0" w:after="0"/>
              <w:rPr>
                <w:rFonts w:cs="Arial"/>
              </w:rPr>
            </w:pPr>
            <w:r w:rsidRPr="00FE5D62">
              <w:rPr>
                <w:rFonts w:cs="Arial"/>
              </w:rPr>
              <w:t>Type of Personal Data</w:t>
            </w:r>
            <w:r>
              <w:rPr>
                <w:rFonts w:cs="Arial"/>
              </w:rPr>
              <w:t xml:space="preserve"> being processed</w:t>
            </w:r>
          </w:p>
        </w:tc>
        <w:tc>
          <w:tcPr>
            <w:tcW w:w="7654" w:type="dxa"/>
          </w:tcPr>
          <w:p w14:paraId="0B37D750" w14:textId="77777777" w:rsidR="00F67E9E" w:rsidRPr="00DD4CC2" w:rsidRDefault="00F67E9E" w:rsidP="007F74AA">
            <w:pPr>
              <w:pStyle w:val="StdBodyText"/>
              <w:spacing w:before="0" w:after="0"/>
              <w:rPr>
                <w:rFonts w:cs="Arial"/>
                <w:iCs/>
                <w:highlight w:val="yellow"/>
              </w:rPr>
            </w:pPr>
            <w:r w:rsidRPr="00DD4CC2">
              <w:rPr>
                <w:rFonts w:cs="Arial"/>
                <w:iCs/>
                <w:highlight w:val="yellow"/>
              </w:rPr>
              <w:t>[Examples here include: name, address, date of birth, NI number, telephone number, pay, images, biometric data etc]</w:t>
            </w:r>
          </w:p>
        </w:tc>
      </w:tr>
      <w:tr w:rsidR="00F67E9E" w:rsidRPr="00815F66" w14:paraId="49CC182C" w14:textId="77777777" w:rsidTr="007F74AA">
        <w:tc>
          <w:tcPr>
            <w:tcW w:w="2551" w:type="dxa"/>
          </w:tcPr>
          <w:p w14:paraId="0D31314D" w14:textId="77777777" w:rsidR="00F67E9E" w:rsidRPr="00FE5D62" w:rsidRDefault="00F67E9E" w:rsidP="007F74AA">
            <w:pPr>
              <w:pStyle w:val="StdBodyText"/>
              <w:spacing w:before="0" w:after="0"/>
              <w:rPr>
                <w:rFonts w:cs="Arial"/>
              </w:rPr>
            </w:pPr>
            <w:r w:rsidRPr="00FE5D62">
              <w:rPr>
                <w:rFonts w:cs="Arial"/>
              </w:rPr>
              <w:t>Categories of Data Subject</w:t>
            </w:r>
          </w:p>
        </w:tc>
        <w:tc>
          <w:tcPr>
            <w:tcW w:w="7654" w:type="dxa"/>
          </w:tcPr>
          <w:p w14:paraId="333D17F0" w14:textId="77777777" w:rsidR="00F67E9E" w:rsidRPr="00DD4CC2" w:rsidRDefault="00F67E9E" w:rsidP="007F74AA">
            <w:pPr>
              <w:pStyle w:val="StdBodyText"/>
              <w:spacing w:before="0" w:after="0"/>
              <w:rPr>
                <w:rFonts w:cs="Arial"/>
                <w:iCs/>
                <w:highlight w:val="yellow"/>
              </w:rPr>
            </w:pPr>
            <w:r w:rsidRPr="00DD4CC2">
              <w:rPr>
                <w:rFonts w:cs="Arial"/>
                <w:iCs/>
                <w:highlight w:val="yellow"/>
              </w:rPr>
              <w:t>[Examples include: Staff (including volunteers, agents, and temporary workers), customers/ clients, suppliers, patients, students / pupils, members of the public, users of a particular website etc]</w:t>
            </w:r>
          </w:p>
        </w:tc>
      </w:tr>
      <w:tr w:rsidR="00F67E9E" w:rsidRPr="00815F66" w14:paraId="559C20A1" w14:textId="77777777" w:rsidTr="007F74AA">
        <w:tc>
          <w:tcPr>
            <w:tcW w:w="2551" w:type="dxa"/>
          </w:tcPr>
          <w:p w14:paraId="35C81C7D" w14:textId="77777777" w:rsidR="00F67E9E" w:rsidRPr="00FE5D62" w:rsidRDefault="00F67E9E" w:rsidP="007F74AA">
            <w:pPr>
              <w:pStyle w:val="StdBodyText"/>
              <w:spacing w:before="0" w:after="120"/>
              <w:rPr>
                <w:rFonts w:cs="Arial"/>
              </w:rPr>
            </w:pPr>
            <w:r w:rsidRPr="00FE5D62">
              <w:rPr>
                <w:rFonts w:cs="Arial"/>
              </w:rPr>
              <w:t>Plan for return and destruction of the data once the processing is complete</w:t>
            </w:r>
          </w:p>
          <w:p w14:paraId="58F9AC58" w14:textId="77777777" w:rsidR="00F67E9E" w:rsidRPr="00190716" w:rsidRDefault="00F67E9E" w:rsidP="007F74AA">
            <w:pPr>
              <w:pStyle w:val="StdBodyText"/>
              <w:spacing w:before="0" w:after="0"/>
              <w:rPr>
                <w:rFonts w:cs="Arial"/>
              </w:rPr>
            </w:pPr>
            <w:r w:rsidRPr="00C421B6">
              <w:rPr>
                <w:rFonts w:cs="Arial"/>
              </w:rPr>
              <w:t xml:space="preserve">UNLESS requirement under </w:t>
            </w:r>
            <w:r w:rsidRPr="001D763B">
              <w:rPr>
                <w:rFonts w:cs="Arial"/>
              </w:rPr>
              <w:t>law to preserve that type of data</w:t>
            </w:r>
          </w:p>
        </w:tc>
        <w:tc>
          <w:tcPr>
            <w:tcW w:w="7654" w:type="dxa"/>
          </w:tcPr>
          <w:p w14:paraId="7D558A00" w14:textId="77777777" w:rsidR="00F67E9E" w:rsidRPr="00DD4CC2" w:rsidRDefault="00F67E9E" w:rsidP="007F74AA">
            <w:pPr>
              <w:pStyle w:val="StdBodyText"/>
              <w:spacing w:before="0" w:after="120"/>
              <w:rPr>
                <w:rFonts w:cs="Arial"/>
                <w:iCs/>
              </w:rPr>
            </w:pPr>
            <w:r w:rsidRPr="00DD4CC2">
              <w:rPr>
                <w:rFonts w:cs="Arial"/>
                <w:iCs/>
                <w:highlight w:val="yellow"/>
              </w:rPr>
              <w:t>[Describe how long the data will be retained for, how it be returned or destroyed]</w:t>
            </w:r>
          </w:p>
        </w:tc>
      </w:tr>
      <w:tr w:rsidR="00F67E9E" w:rsidRPr="00815F66" w14:paraId="3518C624" w14:textId="77777777" w:rsidTr="007F74AA">
        <w:tc>
          <w:tcPr>
            <w:tcW w:w="2551" w:type="dxa"/>
          </w:tcPr>
          <w:p w14:paraId="619C996D" w14:textId="30EAA16B" w:rsidR="00F67E9E" w:rsidRPr="001D763B" w:rsidRDefault="00F67E9E" w:rsidP="007F74AA">
            <w:pPr>
              <w:pStyle w:val="StdBodyText"/>
              <w:spacing w:before="0" w:after="0"/>
              <w:rPr>
                <w:rFonts w:cs="Arial"/>
              </w:rPr>
            </w:pPr>
            <w:r w:rsidRPr="00DB046D">
              <w:t xml:space="preserve">Locations at which the Supplier and/or its Sub-contractors process Personal Data under this Contract and </w:t>
            </w:r>
            <w:r w:rsidR="00F8685D">
              <w:t>i</w:t>
            </w:r>
            <w:r w:rsidRPr="00DB046D">
              <w:t>nternational transfers and legal gateway</w:t>
            </w:r>
          </w:p>
        </w:tc>
        <w:tc>
          <w:tcPr>
            <w:tcW w:w="7654" w:type="dxa"/>
          </w:tcPr>
          <w:p w14:paraId="4FB6DBBD" w14:textId="77777777" w:rsidR="00F67E9E" w:rsidRPr="00DD4CC2" w:rsidRDefault="00F67E9E" w:rsidP="007F74AA">
            <w:pPr>
              <w:pStyle w:val="StdBodyText"/>
              <w:spacing w:before="0" w:after="0"/>
              <w:rPr>
                <w:rFonts w:cs="Arial"/>
                <w:iCs/>
                <w:highlight w:val="yellow"/>
              </w:rPr>
            </w:pPr>
            <w:r w:rsidRPr="00C35AD5">
              <w:rPr>
                <w:highlight w:val="yellow"/>
              </w:rPr>
              <w:t xml:space="preserve">[Clearly identify each location, explain where geographically personal data may be stored or accessed from. Explain the legal gateway you are relying on to export the data e.g. adequacy decision, EU SCCs, UK IDTA. Annex any SCCs or IDTA to this </w:t>
            </w:r>
            <w:r>
              <w:rPr>
                <w:highlight w:val="yellow"/>
              </w:rPr>
              <w:t>C</w:t>
            </w:r>
            <w:r w:rsidRPr="00C35AD5">
              <w:rPr>
                <w:highlight w:val="yellow"/>
              </w:rPr>
              <w:t>ontract]</w:t>
            </w:r>
          </w:p>
        </w:tc>
      </w:tr>
      <w:tr w:rsidR="00F67E9E" w:rsidRPr="00815F66" w14:paraId="10F961E5" w14:textId="77777777" w:rsidTr="007F74AA">
        <w:tc>
          <w:tcPr>
            <w:tcW w:w="2551" w:type="dxa"/>
          </w:tcPr>
          <w:p w14:paraId="12761CD0" w14:textId="77777777" w:rsidR="00F67E9E" w:rsidRPr="001D763B" w:rsidRDefault="00F67E9E" w:rsidP="007F74AA">
            <w:pPr>
              <w:pStyle w:val="StdBodyText"/>
              <w:spacing w:before="0" w:after="0"/>
              <w:rPr>
                <w:rFonts w:cs="Arial"/>
              </w:rPr>
            </w:pPr>
            <w:r w:rsidRPr="00FE5D62">
              <w:rPr>
                <w:rFonts w:cs="Arial"/>
              </w:rPr>
              <w:t xml:space="preserve">Protective Measures that the Supplier and, </w:t>
            </w:r>
            <w:r w:rsidRPr="00016234">
              <w:rPr>
                <w:rFonts w:cs="Arial"/>
              </w:rPr>
              <w:t>where applicable, its Sub-contractors have implemented to protect Personal Data processed under this Contract Agreement</w:t>
            </w:r>
            <w:r w:rsidRPr="00FE5D62">
              <w:rPr>
                <w:rFonts w:cs="Arial"/>
              </w:rPr>
              <w:t xml:space="preserve"> against a breach of </w:t>
            </w:r>
            <w:r w:rsidRPr="001D763B">
              <w:rPr>
                <w:rFonts w:cs="Arial"/>
              </w:rPr>
              <w:t xml:space="preserve">security (insofar as that </w:t>
            </w:r>
            <w:r w:rsidRPr="00C421B6">
              <w:rPr>
                <w:rFonts w:cs="Arial"/>
              </w:rPr>
              <w:t xml:space="preserve">breach of security relates to data) or a </w:t>
            </w:r>
            <w:r>
              <w:rPr>
                <w:rFonts w:cs="Arial"/>
              </w:rPr>
              <w:t>Data Loss Event</w:t>
            </w:r>
          </w:p>
        </w:tc>
        <w:tc>
          <w:tcPr>
            <w:tcW w:w="7654" w:type="dxa"/>
          </w:tcPr>
          <w:p w14:paraId="583C00D9" w14:textId="77777777" w:rsidR="00F67E9E" w:rsidRPr="00DD4CC2" w:rsidRDefault="00F67E9E" w:rsidP="007F74AA">
            <w:pPr>
              <w:pStyle w:val="StdBodyText"/>
              <w:spacing w:before="0" w:after="0"/>
              <w:rPr>
                <w:rFonts w:cs="Arial"/>
                <w:iCs/>
                <w:highlight w:val="yellow"/>
              </w:rPr>
            </w:pPr>
            <w:r w:rsidRPr="00DD4CC2">
              <w:rPr>
                <w:rFonts w:cs="Arial"/>
                <w:iCs/>
                <w:highlight w:val="yellow"/>
              </w:rPr>
              <w:t>[Please be as specific as possible]</w:t>
            </w:r>
          </w:p>
        </w:tc>
      </w:tr>
    </w:tbl>
    <w:p w14:paraId="4A2D5898" w14:textId="77777777" w:rsidR="00F67E9E" w:rsidRDefault="00F67E9E" w:rsidP="00F67E9E"/>
    <w:p w14:paraId="48ACA738" w14:textId="77777777" w:rsidR="00F67E9E" w:rsidRDefault="00F67E9E" w:rsidP="00F67E9E">
      <w:r>
        <w:br w:type="page"/>
      </w:r>
    </w:p>
    <w:p w14:paraId="2297EDAE" w14:textId="77777777" w:rsidR="00F67E9E" w:rsidRDefault="00F67E9E" w:rsidP="00F67E9E">
      <w:pPr>
        <w:pStyle w:val="Heading2"/>
      </w:pPr>
      <w:bookmarkStart w:id="2835" w:name="_Ref_ContractCompanion_9kb9Ut333"/>
      <w:bookmarkStart w:id="2836" w:name="_Ref_ContractCompanion_9kb9Ut335"/>
      <w:bookmarkStart w:id="2837" w:name="_Toc141711999"/>
      <w:r w:rsidRPr="00016234">
        <w:t xml:space="preserve">Annex </w:t>
      </w:r>
      <w:bookmarkStart w:id="2838" w:name="ANNEX1_SCHEDULE31"/>
      <w:r w:rsidRPr="00016234">
        <w:t>1</w:t>
      </w:r>
      <w:bookmarkEnd w:id="2838"/>
      <w:r w:rsidRPr="00016234">
        <w:t xml:space="preserve">: </w:t>
      </w:r>
      <w:bookmarkStart w:id="2839" w:name="ANNEX1HEADING_SCHEDULE31"/>
      <w:r w:rsidRPr="00016234">
        <w:t>Joint Controller Agreement</w:t>
      </w:r>
      <w:bookmarkEnd w:id="2835"/>
      <w:bookmarkEnd w:id="2836"/>
      <w:bookmarkEnd w:id="2837"/>
      <w:bookmarkEnd w:id="2839"/>
    </w:p>
    <w:p w14:paraId="3985F9FD" w14:textId="77777777" w:rsidR="00F67E9E" w:rsidRPr="00016234" w:rsidRDefault="00F67E9E" w:rsidP="00F67E9E">
      <w:pPr>
        <w:pStyle w:val="AppendixText1"/>
        <w:numPr>
          <w:ilvl w:val="0"/>
          <w:numId w:val="84"/>
        </w:numPr>
      </w:pPr>
      <w:r w:rsidRPr="00016234">
        <w:t xml:space="preserve">Joint Controller Status </w:t>
      </w:r>
      <w:r>
        <w:t>a</w:t>
      </w:r>
      <w:r w:rsidRPr="00016234">
        <w:t xml:space="preserve">nd Allocation </w:t>
      </w:r>
      <w:r>
        <w:t>o</w:t>
      </w:r>
      <w:r w:rsidRPr="00016234">
        <w:t xml:space="preserve">f </w:t>
      </w:r>
      <w:r w:rsidRPr="00211A99">
        <w:t>Responsibilities</w:t>
      </w:r>
      <w:r w:rsidRPr="00016234">
        <w:t xml:space="preserve"> </w:t>
      </w:r>
    </w:p>
    <w:p w14:paraId="63D42737" w14:textId="38C013C4" w:rsidR="00F67E9E" w:rsidRPr="0082514D" w:rsidRDefault="00F67E9E" w:rsidP="00F67E9E">
      <w:pPr>
        <w:pStyle w:val="AppendixText2"/>
      </w:pPr>
      <w:r w:rsidRPr="00016234">
        <w:t xml:space="preserve">With respect to Personal Data under Joint Control of the Parties, the Parties envisage that they shall each be a Data Controller in respect of that Personal Data in accordance with the terms of this </w:t>
      </w:r>
      <w:bookmarkStart w:id="2840" w:name="_9kR3WTr2BD77BLCwozN"/>
      <w:r w:rsidRPr="00016234">
        <w:t xml:space="preserve">Annex </w:t>
      </w:r>
      <w:r w:rsidRPr="00016234">
        <w:fldChar w:fldCharType="begin"/>
      </w:r>
      <w:r w:rsidRPr="00016234">
        <w:instrText xml:space="preserve"> REF ANNEX1_SCHEDULE31 \h </w:instrText>
      </w:r>
      <w:r>
        <w:instrText xml:space="preserve"> \* MERGEFORMAT </w:instrText>
      </w:r>
      <w:r w:rsidRPr="00016234">
        <w:fldChar w:fldCharType="separate"/>
      </w:r>
      <w:r w:rsidR="00302D39" w:rsidRPr="00016234">
        <w:t>1</w:t>
      </w:r>
      <w:r w:rsidRPr="00016234">
        <w:fldChar w:fldCharType="end"/>
      </w:r>
      <w:bookmarkEnd w:id="2840"/>
      <w:r w:rsidRPr="00016234">
        <w:t xml:space="preserve"> (</w:t>
      </w:r>
      <w:r w:rsidRPr="002E7013">
        <w:rPr>
          <w:i/>
          <w:iCs/>
        </w:rPr>
        <w:fldChar w:fldCharType="begin"/>
      </w:r>
      <w:r w:rsidRPr="002E7013">
        <w:rPr>
          <w:i/>
          <w:iCs/>
        </w:rPr>
        <w:instrText xml:space="preserve"> REF ANNEX1HEADING_SCHEDULE31 \h  \* MERGEFORMAT </w:instrText>
      </w:r>
      <w:r w:rsidRPr="002E7013">
        <w:rPr>
          <w:i/>
          <w:iCs/>
        </w:rPr>
      </w:r>
      <w:r w:rsidRPr="002E7013">
        <w:rPr>
          <w:i/>
          <w:iCs/>
        </w:rPr>
        <w:fldChar w:fldCharType="separate"/>
      </w:r>
      <w:r w:rsidR="00302D39" w:rsidRPr="00302D39">
        <w:rPr>
          <w:i/>
          <w:iCs/>
        </w:rPr>
        <w:t>Joint Controller Agreement</w:t>
      </w:r>
      <w:r w:rsidRPr="002E7013">
        <w:rPr>
          <w:i/>
          <w:iCs/>
        </w:rPr>
        <w:fldChar w:fldCharType="end"/>
      </w:r>
      <w:r w:rsidRPr="00016234">
        <w:t xml:space="preserve">) in replacement of </w:t>
      </w:r>
      <w:bookmarkStart w:id="2841" w:name="_9kR3WTr2CC7FEKChrAv6JKKM"/>
      <w:r w:rsidRPr="00016234">
        <w:t>Clause 21.2-</w:t>
      </w:r>
      <w:bookmarkEnd w:id="2841"/>
      <w:r w:rsidRPr="00016234">
        <w:t>21.15 (</w:t>
      </w:r>
      <w:r w:rsidRPr="002E7013">
        <w:rPr>
          <w:i/>
        </w:rPr>
        <w:t>Where one Party is</w:t>
      </w:r>
      <w:r w:rsidRPr="00016234">
        <w:t xml:space="preserve"> </w:t>
      </w:r>
      <w:r w:rsidRPr="002E7013">
        <w:rPr>
          <w:i/>
        </w:rPr>
        <w:t>Controller and the other Party is Processor</w:t>
      </w:r>
      <w:r w:rsidRPr="00016234">
        <w:t xml:space="preserve">) and </w:t>
      </w:r>
      <w:bookmarkStart w:id="2842" w:name="_9kR3WTr2CC7FGCDDI"/>
      <w:r w:rsidRPr="00016234">
        <w:t>21.17</w:t>
      </w:r>
      <w:bookmarkEnd w:id="2842"/>
      <w:r w:rsidRPr="00016234">
        <w:t>-</w:t>
      </w:r>
      <w:bookmarkStart w:id="2843" w:name="_9kR3WTr2CC7FHDDEJ"/>
      <w:r w:rsidRPr="00016234">
        <w:t>24.28</w:t>
      </w:r>
      <w:bookmarkEnd w:id="2843"/>
      <w:r w:rsidRPr="00016234">
        <w:t xml:space="preserve"> (</w:t>
      </w:r>
      <w:r w:rsidRPr="002E7013">
        <w:rPr>
          <w:i/>
        </w:rPr>
        <w:t>Independent</w:t>
      </w:r>
      <w:r w:rsidRPr="00016234">
        <w:t xml:space="preserve"> </w:t>
      </w:r>
      <w:r w:rsidRPr="002E7013">
        <w:rPr>
          <w:i/>
        </w:rPr>
        <w:t>Controllers of Personal Data</w:t>
      </w:r>
      <w:r w:rsidRPr="00016234">
        <w:t>). Accordingly, the Parties each undertake to comply with the applicable Data</w:t>
      </w:r>
      <w:r w:rsidRPr="0082514D">
        <w:t xml:space="preserve"> Protection Legislation in respect of their Processing of such Personal </w:t>
      </w:r>
      <w:r w:rsidRPr="00211A99">
        <w:t>Data</w:t>
      </w:r>
      <w:r w:rsidRPr="0082514D">
        <w:t xml:space="preserve"> as Data Controllers. </w:t>
      </w:r>
    </w:p>
    <w:p w14:paraId="5CF14DAF" w14:textId="77777777" w:rsidR="00F67E9E" w:rsidRPr="00C96862" w:rsidRDefault="00F67E9E" w:rsidP="00F67E9E">
      <w:pPr>
        <w:pStyle w:val="AppendixText2"/>
      </w:pPr>
      <w:bookmarkStart w:id="2844" w:name="_9kR3WTrAGA7BKHBeRjSJsC4q1yn54s8Cu7RG2oz"/>
      <w:bookmarkStart w:id="2845" w:name="_Ref_ContractCompanion_9kb9Ut37E"/>
      <w:r w:rsidRPr="0082514D">
        <w:t xml:space="preserve">The Parties agree that the </w:t>
      </w:r>
      <w:r w:rsidRPr="002E7013">
        <w:rPr>
          <w:highlight w:val="yellow"/>
        </w:rPr>
        <w:t>[</w:t>
      </w:r>
      <w:r w:rsidRPr="00B1698D">
        <w:rPr>
          <w:highlight w:val="yellow"/>
        </w:rPr>
        <w:t>Supplier/Authority</w:t>
      </w:r>
      <w:r w:rsidRPr="002E7013">
        <w:rPr>
          <w:highlight w:val="yellow"/>
        </w:rPr>
        <w:t>]</w:t>
      </w:r>
      <w:r w:rsidRPr="00C96862">
        <w:t>:</w:t>
      </w:r>
      <w:bookmarkEnd w:id="2844"/>
      <w:r w:rsidRPr="00C96862">
        <w:t xml:space="preserve"> </w:t>
      </w:r>
      <w:bookmarkEnd w:id="2845"/>
    </w:p>
    <w:p w14:paraId="303E1136" w14:textId="77777777" w:rsidR="00F67E9E" w:rsidRPr="00E327ED" w:rsidRDefault="00F67E9E" w:rsidP="00F67E9E">
      <w:pPr>
        <w:pStyle w:val="AppendixText3"/>
        <w:ind w:left="1440"/>
      </w:pPr>
      <w:r w:rsidRPr="006F71AA">
        <w:t xml:space="preserve">is the exclusive point of contact for Data Subjects and is responsible for all steps necessary to comply with the </w:t>
      </w:r>
      <w:r w:rsidRPr="00E737CD">
        <w:t>UK GDPR regarding the exercise by Data Subjects of th</w:t>
      </w:r>
      <w:r w:rsidRPr="00A0011E">
        <w:t>eir rights under the UK</w:t>
      </w:r>
      <w:r w:rsidRPr="00E327ED">
        <w:t xml:space="preserve"> GDPR;</w:t>
      </w:r>
    </w:p>
    <w:p w14:paraId="582707E7" w14:textId="77777777" w:rsidR="00F67E9E" w:rsidRPr="00E327ED" w:rsidRDefault="00F67E9E" w:rsidP="00F67E9E">
      <w:pPr>
        <w:pStyle w:val="AppendixText3"/>
        <w:ind w:left="1440"/>
      </w:pPr>
      <w:r w:rsidRPr="00E327ED">
        <w:t>shall direct Data Subjects to its Data Protection Officer or suitable alternative in connection with the exercise of their rights as Data Subjects and for any enquiries concerning their Personal Data or privacy;</w:t>
      </w:r>
    </w:p>
    <w:p w14:paraId="6C67071A" w14:textId="77777777" w:rsidR="00F67E9E" w:rsidRPr="00A03FEC" w:rsidRDefault="00F67E9E" w:rsidP="00F67E9E">
      <w:pPr>
        <w:pStyle w:val="AppendixText3"/>
        <w:ind w:left="1440"/>
      </w:pPr>
      <w:r w:rsidRPr="00B642F6">
        <w:t>is solely responsible for the Parties</w:t>
      </w:r>
      <w:r>
        <w:t>’</w:t>
      </w:r>
      <w:r w:rsidRPr="00B642F6">
        <w:t xml:space="preserve"> compliance with all duties to provide information to Data Subjects under Articles 13 and 14 of the </w:t>
      </w:r>
      <w:r w:rsidRPr="00B07A20">
        <w:t xml:space="preserve">UK </w:t>
      </w:r>
      <w:r w:rsidRPr="00831B1E">
        <w:t>GDPR;</w:t>
      </w:r>
    </w:p>
    <w:p w14:paraId="478856A6" w14:textId="77777777" w:rsidR="00F67E9E" w:rsidRPr="00037EB7" w:rsidRDefault="00F67E9E" w:rsidP="00F67E9E">
      <w:pPr>
        <w:pStyle w:val="AppendixText3"/>
        <w:ind w:left="1440"/>
      </w:pPr>
      <w:r w:rsidRPr="00A03FEC">
        <w:t>is responsible for obtaining the informed consent of Data Subjects, in accordance with the UK</w:t>
      </w:r>
      <w:r w:rsidRPr="00392B08">
        <w:t xml:space="preserve"> GDPR, for Processing in connection with the Services where consent is the relevant legal basis for that Processing; and</w:t>
      </w:r>
    </w:p>
    <w:p w14:paraId="5470EEDA" w14:textId="77777777" w:rsidR="00F67E9E" w:rsidRPr="008A68F3" w:rsidRDefault="00F67E9E" w:rsidP="00F67E9E">
      <w:pPr>
        <w:pStyle w:val="AppendixText3"/>
        <w:ind w:left="1440"/>
      </w:pPr>
      <w:r w:rsidRPr="00B43D52">
        <w:t xml:space="preserve">shall </w:t>
      </w:r>
      <w:r w:rsidRPr="00016234">
        <w:t>make available to Data Subjects the essence of this Joint Controller Agreement (</w:t>
      </w:r>
      <w:r w:rsidRPr="00772DD5">
        <w:t>and notify them of any c</w:t>
      </w:r>
      <w:r w:rsidRPr="005A63E1">
        <w:t xml:space="preserve">hanges to it) concerning the allocation of responsibilities as Joint Controller and its role as exclusive point of contact, the Parties having used their best endeavours to agree the terms of that essence. This must be outlined in the </w:t>
      </w:r>
      <w:r w:rsidRPr="00E96B47">
        <w:rPr>
          <w:highlight w:val="yellow"/>
        </w:rPr>
        <w:t>[</w:t>
      </w:r>
      <w:r w:rsidRPr="00B1698D">
        <w:rPr>
          <w:highlight w:val="yellow"/>
        </w:rPr>
        <w:t>Supplier’s/Authority’s</w:t>
      </w:r>
      <w:r w:rsidRPr="00805F4C">
        <w:rPr>
          <w:highlight w:val="yellow"/>
        </w:rPr>
        <w:t>]</w:t>
      </w:r>
      <w:r w:rsidRPr="008A68F3">
        <w:t xml:space="preserve"> privacy policy (which must be readily available by hyperlink or otherwise on all of its public facing services and marketing).</w:t>
      </w:r>
    </w:p>
    <w:p w14:paraId="0B880527" w14:textId="465DE6EE" w:rsidR="00F67E9E" w:rsidRPr="00040FE9" w:rsidRDefault="00F67E9E" w:rsidP="00F67E9E">
      <w:pPr>
        <w:pStyle w:val="AppendixText2"/>
      </w:pPr>
      <w:r w:rsidRPr="008A68F3">
        <w:t xml:space="preserve">Notwithstanding the terms </w:t>
      </w:r>
      <w:r w:rsidRPr="00016234">
        <w:t xml:space="preserve">of </w:t>
      </w:r>
      <w:bookmarkStart w:id="2846" w:name="_9kMHG5YVtCIC9DMJDgTlULuE6s30p76uAEw9TI4"/>
      <w:r w:rsidRPr="00016234">
        <w:t xml:space="preserve">Paragraph </w:t>
      </w:r>
      <w:r w:rsidRPr="00016234">
        <w:fldChar w:fldCharType="begin"/>
      </w:r>
      <w:r w:rsidRPr="00016234">
        <w:instrText xml:space="preserve"> REF _Ref_ContractCompanion_9kb9Ut37E \n \h \t \* MERGEFORMAT </w:instrText>
      </w:r>
      <w:r w:rsidRPr="00016234">
        <w:fldChar w:fldCharType="separate"/>
      </w:r>
      <w:r w:rsidR="00302D39">
        <w:t>1.2</w:t>
      </w:r>
      <w:r w:rsidRPr="00016234">
        <w:fldChar w:fldCharType="end"/>
      </w:r>
      <w:bookmarkEnd w:id="2846"/>
      <w:r w:rsidRPr="00815F66">
        <w:t>, the Parties acknowledge that a Data Subject has the right to exercise their legal rights under the Data Protection Legislation as against the relevant Party as Data Controller.</w:t>
      </w:r>
    </w:p>
    <w:p w14:paraId="7C3A687B" w14:textId="77777777" w:rsidR="00F67E9E" w:rsidRPr="00040FE9" w:rsidRDefault="00F67E9E" w:rsidP="00F67E9E">
      <w:pPr>
        <w:pStyle w:val="AppendixText1"/>
      </w:pPr>
      <w:r w:rsidRPr="00040FE9">
        <w:t xml:space="preserve">Undertakings </w:t>
      </w:r>
      <w:r>
        <w:t>o</w:t>
      </w:r>
      <w:r w:rsidRPr="00040FE9">
        <w:t>f Both Parties</w:t>
      </w:r>
    </w:p>
    <w:p w14:paraId="67C7232D" w14:textId="77777777" w:rsidR="00F67E9E" w:rsidRPr="00FE5D62" w:rsidRDefault="00F67E9E" w:rsidP="00F67E9E">
      <w:pPr>
        <w:pStyle w:val="AppendixText2"/>
      </w:pPr>
      <w:bookmarkStart w:id="2847" w:name="_Ref_ContractCompanion_9kb9Us7EC"/>
      <w:r w:rsidRPr="00FE5D62">
        <w:t>The Supplier and the Authority each undertake that they shall:</w:t>
      </w:r>
      <w:bookmarkEnd w:id="2847"/>
    </w:p>
    <w:p w14:paraId="5D9D7626" w14:textId="77777777" w:rsidR="00F67E9E" w:rsidRPr="001D763B" w:rsidRDefault="00F67E9E" w:rsidP="00F67E9E">
      <w:pPr>
        <w:pStyle w:val="AppendixText3"/>
      </w:pPr>
      <w:bookmarkStart w:id="2848" w:name="_Ref121390977"/>
      <w:r w:rsidRPr="001D763B">
        <w:t xml:space="preserve">report to the other Party every </w:t>
      </w:r>
      <w:r w:rsidRPr="001D763B">
        <w:rPr>
          <w:highlight w:val="yellow"/>
        </w:rPr>
        <w:t>[</w:t>
      </w:r>
      <w:r w:rsidRPr="00B1698D">
        <w:rPr>
          <w:highlight w:val="yellow"/>
        </w:rPr>
        <w:t>x</w:t>
      </w:r>
      <w:r w:rsidRPr="001D763B">
        <w:rPr>
          <w:highlight w:val="yellow"/>
        </w:rPr>
        <w:t>]</w:t>
      </w:r>
      <w:r w:rsidRPr="001D763B">
        <w:t xml:space="preserve"> months on:</w:t>
      </w:r>
      <w:bookmarkEnd w:id="2848"/>
    </w:p>
    <w:p w14:paraId="7CCA72DB" w14:textId="77777777" w:rsidR="00F67E9E" w:rsidRPr="00EA78E1" w:rsidRDefault="00F67E9E" w:rsidP="00F67E9E">
      <w:pPr>
        <w:pStyle w:val="Numbered111a"/>
      </w:pPr>
      <w:bookmarkStart w:id="2849" w:name="_Ref_ContractCompanion_9kb9Ut378"/>
      <w:bookmarkStart w:id="2850" w:name="_9kR3WTrAGA7BECBkfzzl0B29Bwz1RH45fuA04yE"/>
      <w:r w:rsidRPr="00190716">
        <w:t>the volume of Data Subject Access Requests (or purported Data Subject Access Requests) from Data Subjects (or third parties on their behalf);</w:t>
      </w:r>
      <w:bookmarkEnd w:id="2849"/>
      <w:bookmarkEnd w:id="2850"/>
    </w:p>
    <w:p w14:paraId="7DA540B4" w14:textId="77777777" w:rsidR="00F67E9E" w:rsidRPr="002D6F21" w:rsidRDefault="00F67E9E" w:rsidP="00F67E9E">
      <w:pPr>
        <w:pStyle w:val="Numbered111a"/>
      </w:pPr>
      <w:r w:rsidRPr="00EA78E1">
        <w:t xml:space="preserve">the volume of requests from Data Subjects (or third parties on their behalf) to rectify, block or erase any Personal Data; </w:t>
      </w:r>
    </w:p>
    <w:p w14:paraId="47B0310D" w14:textId="77777777" w:rsidR="00F67E9E" w:rsidRPr="002D6F21" w:rsidRDefault="00F67E9E" w:rsidP="00F67E9E">
      <w:pPr>
        <w:pStyle w:val="Numbered111a"/>
      </w:pPr>
      <w:bookmarkStart w:id="2851" w:name="_Ref_ContractCompanion_9kb9Ut36E"/>
      <w:bookmarkStart w:id="2852" w:name="_9kR3WTrAGA7BB9BkfopioDFB5r2G44LA9PQA7IK"/>
      <w:r w:rsidRPr="002D6F21">
        <w:t>any other requests, complaints or communications from Data Subjects (or third parties on their behalf) relating to the other Party</w:t>
      </w:r>
      <w:r>
        <w:t>’</w:t>
      </w:r>
      <w:r w:rsidRPr="002D6F21">
        <w:t>s obligations under applicable Data Protection Legislation;</w:t>
      </w:r>
      <w:bookmarkEnd w:id="2851"/>
      <w:bookmarkEnd w:id="2852"/>
    </w:p>
    <w:p w14:paraId="4D569CB5" w14:textId="77777777" w:rsidR="00F67E9E" w:rsidRPr="00FF5FB7" w:rsidRDefault="00F67E9E" w:rsidP="00F67E9E">
      <w:pPr>
        <w:pStyle w:val="Numbered111a"/>
      </w:pPr>
      <w:r w:rsidRPr="00FF5FB7">
        <w:t>any communications from the Information Commissioner or any other regulatory authority in connection with Personal Data; and</w:t>
      </w:r>
    </w:p>
    <w:p w14:paraId="0EC6B58E" w14:textId="77777777" w:rsidR="00F67E9E" w:rsidRPr="00FF5FB7" w:rsidRDefault="00F67E9E" w:rsidP="00F67E9E">
      <w:pPr>
        <w:pStyle w:val="Numbered111a"/>
      </w:pPr>
      <w:bookmarkStart w:id="2853" w:name="_Ref41647720"/>
      <w:r w:rsidRPr="00FF5FB7">
        <w:t>any requests from any third party for disclosure of Personal Data where compliance with such request is required or purported to be required by Law;</w:t>
      </w:r>
      <w:bookmarkEnd w:id="2853"/>
    </w:p>
    <w:p w14:paraId="782FCE57" w14:textId="77777777" w:rsidR="00F67E9E" w:rsidRPr="00016234" w:rsidRDefault="00F67E9E" w:rsidP="00F67E9E">
      <w:pPr>
        <w:pStyle w:val="StdBodyText4"/>
        <w:ind w:left="1800"/>
        <w:rPr>
          <w:rFonts w:cs="Arial"/>
        </w:rPr>
      </w:pPr>
      <w:r w:rsidRPr="00016234">
        <w:rPr>
          <w:rFonts w:cs="Arial"/>
        </w:rPr>
        <w:t>that it has received in relation to the subject matter of the Contract</w:t>
      </w:r>
      <w:r w:rsidRPr="00016234" w:rsidDel="00562BBE">
        <w:rPr>
          <w:rFonts w:cs="Arial"/>
        </w:rPr>
        <w:t xml:space="preserve"> </w:t>
      </w:r>
      <w:r w:rsidRPr="00016234">
        <w:rPr>
          <w:rFonts w:cs="Arial"/>
        </w:rPr>
        <w:t>during that period;</w:t>
      </w:r>
    </w:p>
    <w:p w14:paraId="5D0BE3ED" w14:textId="271B7E62" w:rsidR="00F67E9E" w:rsidRPr="00016234" w:rsidRDefault="00F67E9E" w:rsidP="00F67E9E">
      <w:pPr>
        <w:pStyle w:val="AppendixText3"/>
      </w:pPr>
      <w:r w:rsidRPr="00016234">
        <w:t xml:space="preserve">notify each other immediately if it receives any request, complaint or communication made as referred to in </w:t>
      </w:r>
      <w:bookmarkStart w:id="2854" w:name="_9kMHG5YVtCIC9DGEDmh11n2D4BDy13TJ67hwC26"/>
      <w:r w:rsidRPr="00016234">
        <w:t xml:space="preserve">Paragraphs </w:t>
      </w:r>
      <w:r>
        <w:fldChar w:fldCharType="begin"/>
      </w:r>
      <w:r>
        <w:instrText xml:space="preserve"> REF _Ref121390977 \r \h </w:instrText>
      </w:r>
      <w:r>
        <w:fldChar w:fldCharType="separate"/>
      </w:r>
      <w:r w:rsidR="00302D39">
        <w:t>2.1.1</w:t>
      </w:r>
      <w:r>
        <w:fldChar w:fldCharType="end"/>
      </w:r>
      <w:r w:rsidRPr="00016234">
        <w:fldChar w:fldCharType="begin"/>
      </w:r>
      <w:r w:rsidRPr="00016234">
        <w:instrText xml:space="preserve"> REF _Ref_ContractCompanion_9kb9Ut378 \w \h \t \* MERGEFORMAT </w:instrText>
      </w:r>
      <w:r w:rsidRPr="00016234">
        <w:fldChar w:fldCharType="separate"/>
      </w:r>
      <w:r w:rsidR="00302D39">
        <w:t>1.5(a)</w:t>
      </w:r>
      <w:r w:rsidRPr="00016234">
        <w:fldChar w:fldCharType="end"/>
      </w:r>
      <w:bookmarkEnd w:id="2854"/>
      <w:r w:rsidRPr="00016234">
        <w:t xml:space="preserve"> to </w:t>
      </w:r>
      <w:r w:rsidRPr="00016234">
        <w:fldChar w:fldCharType="begin"/>
      </w:r>
      <w:r w:rsidRPr="00016234">
        <w:instrText xml:space="preserve"> REF _Ref41647720 \n \h  \* MERGEFORMAT </w:instrText>
      </w:r>
      <w:r w:rsidRPr="00016234">
        <w:fldChar w:fldCharType="separate"/>
      </w:r>
      <w:bookmarkStart w:id="2855" w:name="_9kR3WTr2CC7FJ8"/>
      <w:r w:rsidR="00302D39">
        <w:t>(e)</w:t>
      </w:r>
      <w:bookmarkEnd w:id="2855"/>
      <w:r w:rsidRPr="00016234">
        <w:fldChar w:fldCharType="end"/>
      </w:r>
      <w:r w:rsidRPr="00016234">
        <w:t>; and</w:t>
      </w:r>
    </w:p>
    <w:p w14:paraId="2C33F2E9" w14:textId="3BFA4322" w:rsidR="00F67E9E" w:rsidRPr="00016234" w:rsidRDefault="00F67E9E" w:rsidP="00F67E9E">
      <w:pPr>
        <w:pStyle w:val="AppendixText3"/>
      </w:pPr>
      <w:r w:rsidRPr="00016234">
        <w:t xml:space="preserve">provide the other Party with full cooperation and assistance in relation to any request, complaint or communication made as referred to in </w:t>
      </w:r>
      <w:bookmarkStart w:id="2856" w:name="_9kMHG5YVtCIC9DDBDmhqrkqFHD7t4I66NCBRSC9"/>
      <w:r w:rsidRPr="00016234">
        <w:t>Paragraphs</w:t>
      </w:r>
      <w:r>
        <w:t> </w:t>
      </w:r>
      <w:r>
        <w:fldChar w:fldCharType="begin"/>
      </w:r>
      <w:r>
        <w:instrText xml:space="preserve"> REF _Ref141303049 \w \h </w:instrText>
      </w:r>
      <w:r>
        <w:fldChar w:fldCharType="separate"/>
      </w:r>
      <w:r w:rsidR="00302D39">
        <w:t>1.2</w:t>
      </w:r>
      <w:r>
        <w:fldChar w:fldCharType="end"/>
      </w:r>
      <w:r w:rsidRPr="00016234">
        <w:t xml:space="preserve"> </w:t>
      </w:r>
      <w:r>
        <w:t xml:space="preserve">and </w:t>
      </w:r>
      <w:r>
        <w:fldChar w:fldCharType="begin"/>
      </w:r>
      <w:r>
        <w:instrText xml:space="preserve"> REF _Ref121390977 \r \h </w:instrText>
      </w:r>
      <w:r>
        <w:fldChar w:fldCharType="separate"/>
      </w:r>
      <w:r w:rsidR="00302D39">
        <w:t>2.1.1</w:t>
      </w:r>
      <w:r>
        <w:fldChar w:fldCharType="end"/>
      </w:r>
      <w:r w:rsidRPr="00016234">
        <w:fldChar w:fldCharType="begin"/>
      </w:r>
      <w:r w:rsidRPr="00016234">
        <w:instrText xml:space="preserve"> REF _Ref_ContractCompanion_9kb9Ut36E \w \h \t \* MERGEFORMAT </w:instrText>
      </w:r>
      <w:r w:rsidRPr="00016234">
        <w:fldChar w:fldCharType="separate"/>
      </w:r>
      <w:r w:rsidR="00302D39">
        <w:t>1.5(c)</w:t>
      </w:r>
      <w:r w:rsidRPr="00016234">
        <w:fldChar w:fldCharType="end"/>
      </w:r>
      <w:bookmarkEnd w:id="2856"/>
      <w:r w:rsidRPr="00016234">
        <w:t xml:space="preserve"> to </w:t>
      </w:r>
      <w:r w:rsidRPr="00016234">
        <w:fldChar w:fldCharType="begin"/>
      </w:r>
      <w:r w:rsidRPr="00016234">
        <w:instrText xml:space="preserve"> REF _Ref41647720 \n \h  \* MERGEFORMAT </w:instrText>
      </w:r>
      <w:r w:rsidRPr="00016234">
        <w:fldChar w:fldCharType="separate"/>
      </w:r>
      <w:r w:rsidR="00302D39">
        <w:t>(e)</w:t>
      </w:r>
      <w:r w:rsidRPr="00016234">
        <w:fldChar w:fldCharType="end"/>
      </w:r>
      <w:r w:rsidRPr="00016234">
        <w:t xml:space="preserve"> to enable the other Party to comply with the relevant timescales set out in the Data Protection Legislation. </w:t>
      </w:r>
    </w:p>
    <w:p w14:paraId="5FFA9921" w14:textId="77777777" w:rsidR="00F67E9E" w:rsidRPr="00016234" w:rsidRDefault="00F67E9E" w:rsidP="00F67E9E">
      <w:pPr>
        <w:pStyle w:val="AppendixText3"/>
      </w:pPr>
      <w:r w:rsidRPr="00016234">
        <w:t>not disclose or transfer the Personal Data to any third party unless necessary for the provision of the Services and, for any disclosure or transfer of Personal Data to any third party, (save where such disclosure or transfer is specifically authorised under this Contract</w:t>
      </w:r>
      <w:r w:rsidRPr="00016234" w:rsidDel="00562BBE">
        <w:t xml:space="preserve"> </w:t>
      </w:r>
      <w:r w:rsidRPr="00016234">
        <w:t xml:space="preserve">or is required by Law) that disclosure or transfer of Personal Data is otherwise considered to be lawful processing of that Personal Data in accordance with Article 6 of the UK GDPR or EU GDPR (as the context requires). For the avoidance of doubt to which Personal Data is transferred must be subject to equivalent obligations which are no less onerous than those set out in this Annex. </w:t>
      </w:r>
    </w:p>
    <w:p w14:paraId="2BD16194" w14:textId="77777777" w:rsidR="00F67E9E" w:rsidRPr="00016234" w:rsidRDefault="00F67E9E" w:rsidP="00F67E9E">
      <w:pPr>
        <w:pStyle w:val="AppendixText3"/>
      </w:pPr>
      <w:r w:rsidRPr="00016234">
        <w:t>request from the Data Subject only the minimum information necessary to provide the Services and treat such extracted information as Confidential Information.</w:t>
      </w:r>
    </w:p>
    <w:p w14:paraId="1A993566" w14:textId="77777777" w:rsidR="00F67E9E" w:rsidRPr="00016234" w:rsidRDefault="00F67E9E" w:rsidP="00F67E9E">
      <w:pPr>
        <w:pStyle w:val="AppendixText3"/>
      </w:pPr>
      <w:r w:rsidRPr="00016234">
        <w:t>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14:paraId="02A23A3D" w14:textId="77777777" w:rsidR="00F67E9E" w:rsidRPr="00016234" w:rsidRDefault="00F67E9E" w:rsidP="00F67E9E">
      <w:pPr>
        <w:pStyle w:val="AppendixText3"/>
      </w:pPr>
      <w:r w:rsidRPr="00016234">
        <w:t>take all reasonable steps to ensure the reliability and integrity of any of its Personnel who have access to the Personal Data and ensure that its Personnel:</w:t>
      </w:r>
    </w:p>
    <w:p w14:paraId="24A0E1C5" w14:textId="7DC084CC" w:rsidR="00F67E9E" w:rsidRPr="00016234" w:rsidRDefault="00F67E9E" w:rsidP="00F67E9E">
      <w:pPr>
        <w:pStyle w:val="AppendixText4"/>
      </w:pPr>
      <w:r w:rsidRPr="00016234">
        <w:t xml:space="preserve">are aware of and comply with their duties under this Annex </w:t>
      </w:r>
      <w:r w:rsidRPr="00016234">
        <w:fldChar w:fldCharType="begin"/>
      </w:r>
      <w:r w:rsidRPr="00016234">
        <w:instrText xml:space="preserve"> REF ANNEX1_SCHEDULE31 \h </w:instrText>
      </w:r>
      <w:r>
        <w:instrText xml:space="preserve"> \* MERGEFORMAT </w:instrText>
      </w:r>
      <w:r w:rsidRPr="00016234">
        <w:fldChar w:fldCharType="separate"/>
      </w:r>
      <w:r w:rsidR="00302D39" w:rsidRPr="00016234">
        <w:t>1</w:t>
      </w:r>
      <w:r w:rsidRPr="00016234">
        <w:fldChar w:fldCharType="end"/>
      </w:r>
      <w:r w:rsidRPr="00016234">
        <w:t xml:space="preserve"> (</w:t>
      </w:r>
      <w:r w:rsidRPr="00820D2E">
        <w:rPr>
          <w:i/>
          <w:iCs/>
        </w:rPr>
        <w:fldChar w:fldCharType="begin"/>
      </w:r>
      <w:r w:rsidRPr="00820D2E">
        <w:rPr>
          <w:i/>
          <w:iCs/>
        </w:rPr>
        <w:instrText xml:space="preserve"> REF ANNEX1HEADING_SCHEDULE31 \h  \* MERGEFORMAT </w:instrText>
      </w:r>
      <w:r w:rsidRPr="00820D2E">
        <w:rPr>
          <w:i/>
          <w:iCs/>
        </w:rPr>
      </w:r>
      <w:r w:rsidRPr="00820D2E">
        <w:rPr>
          <w:i/>
          <w:iCs/>
        </w:rPr>
        <w:fldChar w:fldCharType="separate"/>
      </w:r>
      <w:r w:rsidR="00302D39" w:rsidRPr="00302D39">
        <w:rPr>
          <w:i/>
          <w:iCs/>
        </w:rPr>
        <w:t>Joint Controller Agreement</w:t>
      </w:r>
      <w:r w:rsidRPr="00820D2E">
        <w:rPr>
          <w:i/>
          <w:iCs/>
        </w:rPr>
        <w:fldChar w:fldCharType="end"/>
      </w:r>
      <w:r w:rsidRPr="00016234">
        <w:t>)</w:t>
      </w:r>
      <w:r>
        <w:t xml:space="preserve"> </w:t>
      </w:r>
      <w:r w:rsidRPr="00016234">
        <w:t xml:space="preserve">and those in respect of Confidential Information </w:t>
      </w:r>
    </w:p>
    <w:p w14:paraId="4B021178" w14:textId="77777777" w:rsidR="00F67E9E" w:rsidRPr="00016234" w:rsidRDefault="00F67E9E" w:rsidP="00F67E9E">
      <w:pPr>
        <w:pStyle w:val="AppendixText4"/>
      </w:pPr>
      <w:r w:rsidRPr="00016234">
        <w:t xml:space="preserve">are informed of the confidential nature of the Personal Data, are subject to appropriate obligations of confidentiality and do not publish, disclose or divulge any of the Personal Data to any third party where that Party would not be permitted to do so; </w:t>
      </w:r>
    </w:p>
    <w:p w14:paraId="2964FD57" w14:textId="77777777" w:rsidR="00F67E9E" w:rsidRPr="00016234" w:rsidRDefault="00F67E9E" w:rsidP="00F67E9E">
      <w:pPr>
        <w:pStyle w:val="AppendixText4"/>
      </w:pPr>
      <w:r w:rsidRPr="00016234">
        <w:t>have undergone adequate training in the use, care, protection and handling of personal data as required by the applicable Data Protection Legislation;</w:t>
      </w:r>
    </w:p>
    <w:p w14:paraId="2257B6CB" w14:textId="77777777" w:rsidR="00F67E9E" w:rsidRPr="00016234" w:rsidRDefault="00F67E9E" w:rsidP="00F67E9E">
      <w:pPr>
        <w:pStyle w:val="AppendixText3"/>
      </w:pPr>
      <w:r w:rsidRPr="00016234">
        <w:t>ensure that it has in place Protective Measures as appropriate to protect against a Data Loss Event having taken account of the:</w:t>
      </w:r>
    </w:p>
    <w:p w14:paraId="1A0C4877" w14:textId="77777777" w:rsidR="00F67E9E" w:rsidRPr="00016234" w:rsidRDefault="00F67E9E" w:rsidP="00F67E9E">
      <w:pPr>
        <w:pStyle w:val="AppendixText4"/>
      </w:pPr>
      <w:r w:rsidRPr="00016234">
        <w:t>nature of the data to be protected;</w:t>
      </w:r>
    </w:p>
    <w:p w14:paraId="6444B1FA" w14:textId="77777777" w:rsidR="00F67E9E" w:rsidRPr="00016234" w:rsidRDefault="00F67E9E" w:rsidP="00F67E9E">
      <w:pPr>
        <w:pStyle w:val="AppendixText4"/>
      </w:pPr>
      <w:r w:rsidRPr="00016234">
        <w:t>harm that might result from a Data Loss Event;</w:t>
      </w:r>
    </w:p>
    <w:p w14:paraId="3A6CBF3A" w14:textId="77777777" w:rsidR="00F67E9E" w:rsidRPr="00016234" w:rsidRDefault="00F67E9E" w:rsidP="00F67E9E">
      <w:pPr>
        <w:pStyle w:val="AppendixText4"/>
      </w:pPr>
      <w:r w:rsidRPr="00016234">
        <w:t>state of technological development; and</w:t>
      </w:r>
    </w:p>
    <w:p w14:paraId="78F0F420" w14:textId="77777777" w:rsidR="00F67E9E" w:rsidRPr="00016234" w:rsidRDefault="00F67E9E" w:rsidP="00F67E9E">
      <w:pPr>
        <w:pStyle w:val="AppendixText4"/>
      </w:pPr>
      <w:r w:rsidRPr="00016234">
        <w:t>cost of implementing any measures.</w:t>
      </w:r>
    </w:p>
    <w:p w14:paraId="4ED26A95" w14:textId="77777777" w:rsidR="00F67E9E" w:rsidRPr="00211A99" w:rsidRDefault="00F67E9E" w:rsidP="00F67E9E">
      <w:pPr>
        <w:pStyle w:val="AppendixText3"/>
      </w:pPr>
      <w:r w:rsidRPr="00016234">
        <w:t xml:space="preserve">ensure that it has the capability (whether technological or otherwise), to the extent required by Data Protection Legislation, to provide or correct or delete at the request of a Data Subject all the Personal Data relating to that Data Subject that the </w:t>
      </w:r>
      <w:r w:rsidRPr="00211A99">
        <w:t xml:space="preserve">Supplier holds; </w:t>
      </w:r>
    </w:p>
    <w:p w14:paraId="794FB2D0" w14:textId="77777777" w:rsidR="00F67E9E" w:rsidRPr="00211A99" w:rsidRDefault="00F67E9E" w:rsidP="00F67E9E">
      <w:pPr>
        <w:pStyle w:val="AppendixText3"/>
      </w:pPr>
      <w:r w:rsidRPr="00211A99">
        <w:t>ensure that it notifies the other Party as soon as it becomes aware of a Data Loss Event;</w:t>
      </w:r>
    </w:p>
    <w:p w14:paraId="018BC9DB" w14:textId="77777777" w:rsidR="00F67E9E" w:rsidRPr="00016234" w:rsidRDefault="00F67E9E" w:rsidP="00F67E9E">
      <w:pPr>
        <w:pStyle w:val="AppendixText3"/>
      </w:pPr>
      <w:r w:rsidRPr="00211A99">
        <w:t>not transfer such Personal Data outside of the UK</w:t>
      </w:r>
      <w:r>
        <w:t xml:space="preserve"> and/or the EEA</w:t>
      </w:r>
      <w:r w:rsidRPr="00211A99">
        <w:t xml:space="preserve"> unless the prior written consent of the non-transferring Party has been obtained</w:t>
      </w:r>
      <w:r w:rsidRPr="00016234">
        <w:t xml:space="preserve"> and the following conditions are fulfilled:</w:t>
      </w:r>
    </w:p>
    <w:p w14:paraId="6ACB866F" w14:textId="77777777" w:rsidR="00F67E9E" w:rsidRPr="00016234" w:rsidRDefault="00F67E9E" w:rsidP="00F67E9E">
      <w:pPr>
        <w:pStyle w:val="AppendixText4"/>
      </w:pPr>
      <w:r w:rsidRPr="00014919">
        <w:t xml:space="preserve">the destination country has been recognised as adequate by the UK government </w:t>
      </w:r>
      <w:r w:rsidRPr="00016234">
        <w:t>is in accordance with Article 45 of the UK GDPR or DPA 2018 Section 7</w:t>
      </w:r>
      <w:r>
        <w:t xml:space="preserve">4A </w:t>
      </w:r>
      <w:r w:rsidRPr="00825953">
        <w:t>and/or the transfer is in accordance with Article 45 of the EU GDPR (where applicable)</w:t>
      </w:r>
      <w:r w:rsidRPr="00016234">
        <w:t xml:space="preserve">; </w:t>
      </w:r>
      <w:r>
        <w:t>or</w:t>
      </w:r>
    </w:p>
    <w:p w14:paraId="1CF15327" w14:textId="4AD85B03" w:rsidR="00F67E9E" w:rsidRDefault="00F67E9E" w:rsidP="00F67E9E">
      <w:pPr>
        <w:pStyle w:val="AppendixText4"/>
      </w:pPr>
      <w:r w:rsidRPr="00016234">
        <w:t xml:space="preserve">the transferring Party has provided appropriate safeguards in relation to the transfer (whether in accordance with Article 46 of </w:t>
      </w:r>
      <w:bookmarkStart w:id="2857" w:name="_9kR3WTr2AADLEOis7tKA2mqtDTEDd64iSSb3hyE"/>
      <w:r w:rsidRPr="00016234">
        <w:t xml:space="preserve">the UK GDPR or DPA 2018 </w:t>
      </w:r>
      <w:bookmarkStart w:id="2858" w:name="_9kR3WTr2CC4BLiLcszv1LR"/>
      <w:r w:rsidRPr="00016234">
        <w:t>Section 75</w:t>
      </w:r>
      <w:bookmarkEnd w:id="2857"/>
      <w:bookmarkEnd w:id="2858"/>
      <w:r w:rsidRPr="000F3DB5">
        <w:t xml:space="preserve"> and/or Article 46 of the EU GDPR (where applicable</w:t>
      </w:r>
      <w:r w:rsidRPr="00016234">
        <w:t>) as agreed with the non-transferring Party which could include the International Data Transfer Agreement or International Data Transfer Agreement Addendum to the European Commission</w:t>
      </w:r>
      <w:r>
        <w:t>’</w:t>
      </w:r>
      <w:r w:rsidRPr="00016234">
        <w:t>s SCCs as published by the Information Commissioner</w:t>
      </w:r>
      <w:r>
        <w:t>’</w:t>
      </w:r>
      <w:r w:rsidRPr="00016234">
        <w:t>s Office and as set out in Annex</w:t>
      </w:r>
      <w:r>
        <w:t> </w:t>
      </w:r>
      <w:r w:rsidRPr="00016234">
        <w:fldChar w:fldCharType="begin"/>
      </w:r>
      <w:r w:rsidRPr="00016234">
        <w:instrText xml:space="preserve"> REF ANNEX2_PARTA_SCHEDULE31 \h </w:instrText>
      </w:r>
      <w:r>
        <w:instrText xml:space="preserve"> \* MERGEFORMAT </w:instrText>
      </w:r>
      <w:r w:rsidRPr="00016234">
        <w:fldChar w:fldCharType="separate"/>
      </w:r>
      <w:r w:rsidR="00302D39" w:rsidRPr="00016234">
        <w:t>2</w:t>
      </w:r>
      <w:r w:rsidRPr="00016234">
        <w:fldChar w:fldCharType="end"/>
      </w:r>
      <w:r w:rsidRPr="00016234">
        <w:t xml:space="preserve"> to </w:t>
      </w:r>
      <w:r>
        <w:fldChar w:fldCharType="begin"/>
      </w:r>
      <w:r>
        <w:instrText xml:space="preserve"> REF Schedule31 \h </w:instrText>
      </w:r>
      <w:r>
        <w:fldChar w:fldCharType="separate"/>
      </w:r>
      <w:r w:rsidR="00302D39" w:rsidRPr="00016234">
        <w:t>Schedule</w:t>
      </w:r>
      <w:r w:rsidR="00302D39">
        <w:t> </w:t>
      </w:r>
      <w:r w:rsidR="00302D39" w:rsidRPr="00016234">
        <w:t>31</w:t>
      </w:r>
      <w:r>
        <w:fldChar w:fldCharType="end"/>
      </w:r>
      <w:r>
        <w:t xml:space="preserve"> (</w:t>
      </w:r>
      <w:r w:rsidRPr="006F064F">
        <w:rPr>
          <w:i/>
          <w:iCs/>
        </w:rPr>
        <w:fldChar w:fldCharType="begin"/>
      </w:r>
      <w:r w:rsidRPr="006F064F">
        <w:rPr>
          <w:i/>
          <w:iCs/>
        </w:rPr>
        <w:instrText xml:space="preserve"> REF Schedule31Heading \h </w:instrText>
      </w:r>
      <w:r>
        <w:rPr>
          <w:i/>
          <w:iCs/>
        </w:rPr>
        <w:instrText xml:space="preserve"> \* MERGEFORMAT </w:instrText>
      </w:r>
      <w:r w:rsidRPr="006F064F">
        <w:rPr>
          <w:i/>
          <w:iCs/>
        </w:rPr>
      </w:r>
      <w:r w:rsidRPr="006F064F">
        <w:rPr>
          <w:i/>
          <w:iCs/>
        </w:rPr>
        <w:fldChar w:fldCharType="separate"/>
      </w:r>
      <w:r w:rsidR="00302D39" w:rsidRPr="00302D39">
        <w:rPr>
          <w:i/>
          <w:iCs/>
        </w:rPr>
        <w:t>Processing Personal Data</w:t>
      </w:r>
      <w:r w:rsidRPr="006F064F">
        <w:rPr>
          <w:i/>
          <w:iCs/>
        </w:rPr>
        <w:fldChar w:fldCharType="end"/>
      </w:r>
      <w:r>
        <w:t>)</w:t>
      </w:r>
      <w:r w:rsidRPr="00016234">
        <w:t xml:space="preserve"> (as appropriate), as well as any additional measures;</w:t>
      </w:r>
    </w:p>
    <w:p w14:paraId="710FC3BA" w14:textId="77777777" w:rsidR="00F67E9E" w:rsidRDefault="00F67E9E" w:rsidP="00F67E9E">
      <w:pPr>
        <w:pStyle w:val="MarginText"/>
        <w:numPr>
          <w:ilvl w:val="3"/>
          <w:numId w:val="108"/>
        </w:numPr>
        <w:ind w:left="3240" w:hanging="720"/>
      </w:pPr>
      <w:r>
        <w:t>where the transfer is subject to UK GDPR:</w:t>
      </w:r>
      <w:bookmarkStart w:id="2859" w:name="_heading=h.oj1vgcddq1g5" w:colFirst="0" w:colLast="0"/>
      <w:bookmarkEnd w:id="2859"/>
    </w:p>
    <w:p w14:paraId="04D49822" w14:textId="0F41D03E" w:rsidR="00F67E9E" w:rsidRDefault="00F67E9E" w:rsidP="00F67E9E">
      <w:pPr>
        <w:pStyle w:val="Numbered111ai"/>
        <w:tabs>
          <w:tab w:val="clear" w:pos="3240"/>
          <w:tab w:val="num" w:pos="3960"/>
        </w:tabs>
        <w:ind w:left="3960"/>
      </w:pPr>
      <w:r>
        <w:t>the UK International Data Transfer Agreement (the “</w:t>
      </w:r>
      <w:r>
        <w:rPr>
          <w:b/>
        </w:rPr>
        <w:t>IDTA</w:t>
      </w:r>
      <w:r>
        <w:t xml:space="preserve">”) as published by the Information Commissioner’s Office  </w:t>
      </w:r>
      <w:r>
        <w:rPr>
          <w:highlight w:val="yellow"/>
        </w:rPr>
        <w:t>[</w:t>
      </w:r>
      <w:r w:rsidRPr="005E6B3B">
        <w:rPr>
          <w:highlight w:val="yellow"/>
        </w:rPr>
        <w:t xml:space="preserve">or such updated version of such IDTA as is published by the Information Commissioner’s Office </w:t>
      </w:r>
      <w:r>
        <w:rPr>
          <w:highlight w:val="yellow"/>
        </w:rPr>
        <w:t xml:space="preserve">under section 119A(1) of the DPA 2018 </w:t>
      </w:r>
      <w:r w:rsidRPr="005E6B3B">
        <w:rPr>
          <w:highlight w:val="yellow"/>
        </w:rPr>
        <w:t xml:space="preserve">from time to time ] </w:t>
      </w:r>
      <w:r w:rsidRPr="005E6B3B">
        <w:rPr>
          <w:b/>
          <w:highlight w:val="yellow"/>
        </w:rPr>
        <w:t xml:space="preserve">OR </w:t>
      </w:r>
      <w:r w:rsidRPr="005E6B3B">
        <w:rPr>
          <w:highlight w:val="yellow"/>
        </w:rPr>
        <w:t xml:space="preserve">[and as set out in </w:t>
      </w:r>
      <w:r w:rsidRPr="00F05BA6">
        <w:rPr>
          <w:highlight w:val="yellow"/>
        </w:rPr>
        <w:t>Annex </w:t>
      </w:r>
      <w:r w:rsidRPr="00F05BA6">
        <w:rPr>
          <w:highlight w:val="yellow"/>
        </w:rPr>
        <w:fldChar w:fldCharType="begin"/>
      </w:r>
      <w:r w:rsidRPr="00F05BA6">
        <w:rPr>
          <w:highlight w:val="yellow"/>
        </w:rPr>
        <w:instrText xml:space="preserve"> REF ANNEX2_PARTA_SCHEDULE31 \h  \* MERGEFORMAT </w:instrText>
      </w:r>
      <w:r w:rsidRPr="00F05BA6">
        <w:rPr>
          <w:highlight w:val="yellow"/>
        </w:rPr>
      </w:r>
      <w:r w:rsidRPr="00F05BA6">
        <w:rPr>
          <w:highlight w:val="yellow"/>
        </w:rPr>
        <w:fldChar w:fldCharType="separate"/>
      </w:r>
      <w:r w:rsidR="00302D39" w:rsidRPr="00302D39">
        <w:rPr>
          <w:highlight w:val="yellow"/>
        </w:rPr>
        <w:t>2</w:t>
      </w:r>
      <w:r w:rsidRPr="00F05BA6">
        <w:rPr>
          <w:highlight w:val="yellow"/>
        </w:rPr>
        <w:fldChar w:fldCharType="end"/>
      </w:r>
      <w:r w:rsidRPr="00F05BA6">
        <w:rPr>
          <w:highlight w:val="yellow"/>
        </w:rPr>
        <w:t xml:space="preserve"> to </w:t>
      </w:r>
      <w:r w:rsidRPr="00F05BA6">
        <w:rPr>
          <w:highlight w:val="yellow"/>
        </w:rPr>
        <w:fldChar w:fldCharType="begin"/>
      </w:r>
      <w:r w:rsidRPr="00F05BA6">
        <w:rPr>
          <w:highlight w:val="yellow"/>
        </w:rPr>
        <w:instrText xml:space="preserve"> REF Schedule31 \h </w:instrText>
      </w:r>
      <w:r>
        <w:rPr>
          <w:highlight w:val="yellow"/>
        </w:rPr>
        <w:instrText xml:space="preserve"> \* MERGEFORMAT </w:instrText>
      </w:r>
      <w:r w:rsidRPr="00F05BA6">
        <w:rPr>
          <w:highlight w:val="yellow"/>
        </w:rPr>
      </w:r>
      <w:r w:rsidRPr="00F05BA6">
        <w:rPr>
          <w:highlight w:val="yellow"/>
        </w:rPr>
        <w:fldChar w:fldCharType="separate"/>
      </w:r>
      <w:r w:rsidR="00302D39" w:rsidRPr="00302D39">
        <w:rPr>
          <w:highlight w:val="yellow"/>
        </w:rPr>
        <w:t>Schedule 31</w:t>
      </w:r>
      <w:r w:rsidRPr="00F05BA6">
        <w:rPr>
          <w:highlight w:val="yellow"/>
        </w:rPr>
        <w:fldChar w:fldCharType="end"/>
      </w:r>
      <w:r w:rsidRPr="00F05BA6">
        <w:rPr>
          <w:highlight w:val="yellow"/>
        </w:rPr>
        <w:t xml:space="preserve"> (</w:t>
      </w:r>
      <w:r w:rsidRPr="00F05BA6">
        <w:rPr>
          <w:i/>
          <w:iCs/>
          <w:highlight w:val="yellow"/>
        </w:rPr>
        <w:fldChar w:fldCharType="begin"/>
      </w:r>
      <w:r w:rsidRPr="00F05BA6">
        <w:rPr>
          <w:i/>
          <w:iCs/>
          <w:highlight w:val="yellow"/>
        </w:rPr>
        <w:instrText xml:space="preserve"> REF Schedule31Heading \h  \* MERGEFORMAT </w:instrText>
      </w:r>
      <w:r w:rsidRPr="00F05BA6">
        <w:rPr>
          <w:i/>
          <w:iCs/>
          <w:highlight w:val="yellow"/>
        </w:rPr>
      </w:r>
      <w:r w:rsidRPr="00F05BA6">
        <w:rPr>
          <w:i/>
          <w:iCs/>
          <w:highlight w:val="yellow"/>
        </w:rPr>
        <w:fldChar w:fldCharType="separate"/>
      </w:r>
      <w:r w:rsidR="00302D39" w:rsidRPr="00302D39">
        <w:rPr>
          <w:i/>
          <w:iCs/>
          <w:highlight w:val="yellow"/>
        </w:rPr>
        <w:t>Processing Personal Data</w:t>
      </w:r>
      <w:r w:rsidRPr="00F05BA6">
        <w:rPr>
          <w:i/>
          <w:iCs/>
          <w:highlight w:val="yellow"/>
        </w:rPr>
        <w:fldChar w:fldCharType="end"/>
      </w:r>
      <w:r w:rsidRPr="00F05BA6">
        <w:rPr>
          <w:highlight w:val="yellow"/>
        </w:rPr>
        <w:t xml:space="preserve">)] </w:t>
      </w:r>
      <w:r w:rsidRPr="00F05BA6">
        <w:rPr>
          <w:b/>
          <w:i/>
          <w:highlight w:val="yellow"/>
        </w:rPr>
        <w:t>[</w:t>
      </w:r>
      <w:r>
        <w:rPr>
          <w:b/>
          <w:i/>
          <w:highlight w:val="yellow"/>
        </w:rPr>
        <w:t>Guidance</w:t>
      </w:r>
      <w:r w:rsidRPr="005E6B3B">
        <w:rPr>
          <w:b/>
          <w:i/>
          <w:highlight w:val="yellow"/>
        </w:rPr>
        <w:t>: see guidance notes and Annex 2 for an explanation of these options]</w:t>
      </w:r>
      <w:r>
        <w:t>; or</w:t>
      </w:r>
    </w:p>
    <w:p w14:paraId="6ADCF0A5" w14:textId="2FEAF3F7" w:rsidR="00F67E9E" w:rsidRDefault="00F67E9E" w:rsidP="00F67E9E">
      <w:pPr>
        <w:pStyle w:val="Numbered111ai"/>
        <w:tabs>
          <w:tab w:val="clear" w:pos="3240"/>
          <w:tab w:val="num" w:pos="3960"/>
        </w:tabs>
        <w:ind w:left="3960"/>
        <w:rPr>
          <w:rFonts w:cs="Arial"/>
          <w:color w:val="000000"/>
        </w:rPr>
      </w:pPr>
      <w:r w:rsidRPr="005E6B3B">
        <w:rPr>
          <w:rFonts w:cs="Arial"/>
        </w:rPr>
        <w:t xml:space="preserve">the European Commission’s Standard Contractual Clauses per decision 2021/914/EU </w:t>
      </w:r>
      <w:bookmarkStart w:id="2860" w:name="_heading=h.mexhb746tohr" w:colFirst="0" w:colLast="0"/>
      <w:bookmarkEnd w:id="2860"/>
      <w:r w:rsidRPr="005E6B3B">
        <w:rPr>
          <w:rFonts w:cs="Arial"/>
          <w:highlight w:val="yellow"/>
        </w:rPr>
        <w:t xml:space="preserve">[or such updated version of such Standard Contractual Clauses as are published by the European Commission from time to time] </w:t>
      </w:r>
      <w:r w:rsidRPr="00CD309D">
        <w:rPr>
          <w:rFonts w:cs="Arial"/>
          <w:b/>
          <w:highlight w:val="yellow"/>
        </w:rPr>
        <w:t>OR</w:t>
      </w:r>
      <w:r w:rsidRPr="00CD309D">
        <w:rPr>
          <w:rFonts w:cs="Arial"/>
          <w:highlight w:val="yellow"/>
        </w:rPr>
        <w:t xml:space="preserve"> [set out in Annex </w:t>
      </w:r>
      <w:r w:rsidRPr="00CD309D">
        <w:rPr>
          <w:rFonts w:cs="Arial"/>
          <w:highlight w:val="yellow"/>
        </w:rPr>
        <w:fldChar w:fldCharType="begin"/>
      </w:r>
      <w:r w:rsidRPr="00CD309D">
        <w:rPr>
          <w:rFonts w:cs="Arial"/>
          <w:highlight w:val="yellow"/>
        </w:rPr>
        <w:instrText xml:space="preserve"> REF ANNEX3SCHEDULE31 \h </w:instrText>
      </w:r>
      <w:r>
        <w:rPr>
          <w:rFonts w:cs="Arial"/>
          <w:highlight w:val="yellow"/>
        </w:rPr>
        <w:instrText xml:space="preserve"> \* MERGEFORMAT </w:instrText>
      </w:r>
      <w:r w:rsidRPr="00CD309D">
        <w:rPr>
          <w:rFonts w:cs="Arial"/>
          <w:highlight w:val="yellow"/>
        </w:rPr>
      </w:r>
      <w:r w:rsidRPr="00CD309D">
        <w:rPr>
          <w:rFonts w:cs="Arial"/>
          <w:highlight w:val="yellow"/>
        </w:rPr>
        <w:fldChar w:fldCharType="separate"/>
      </w:r>
      <w:r w:rsidR="00302D39" w:rsidRPr="00302D39">
        <w:rPr>
          <w:highlight w:val="yellow"/>
        </w:rPr>
        <w:t>3</w:t>
      </w:r>
      <w:r w:rsidRPr="00CD309D">
        <w:rPr>
          <w:rFonts w:cs="Arial"/>
          <w:highlight w:val="yellow"/>
        </w:rPr>
        <w:fldChar w:fldCharType="end"/>
      </w:r>
      <w:r w:rsidRPr="00CD309D">
        <w:rPr>
          <w:rFonts w:cs="Arial"/>
          <w:highlight w:val="yellow"/>
        </w:rPr>
        <w:t xml:space="preserve"> to </w:t>
      </w:r>
      <w:r w:rsidRPr="00CD309D">
        <w:rPr>
          <w:highlight w:val="yellow"/>
        </w:rPr>
        <w:fldChar w:fldCharType="begin"/>
      </w:r>
      <w:r w:rsidRPr="00CD309D">
        <w:rPr>
          <w:highlight w:val="yellow"/>
        </w:rPr>
        <w:instrText xml:space="preserve"> REF Schedule31 \h </w:instrText>
      </w:r>
      <w:r>
        <w:rPr>
          <w:highlight w:val="yellow"/>
        </w:rPr>
        <w:instrText xml:space="preserve"> \* MERGEFORMAT </w:instrText>
      </w:r>
      <w:r w:rsidRPr="00CD309D">
        <w:rPr>
          <w:highlight w:val="yellow"/>
        </w:rPr>
      </w:r>
      <w:r w:rsidRPr="00CD309D">
        <w:rPr>
          <w:highlight w:val="yellow"/>
        </w:rPr>
        <w:fldChar w:fldCharType="separate"/>
      </w:r>
      <w:r w:rsidR="00302D39" w:rsidRPr="00302D39">
        <w:rPr>
          <w:highlight w:val="yellow"/>
        </w:rPr>
        <w:t>Schedule 31</w:t>
      </w:r>
      <w:r w:rsidRPr="00CD309D">
        <w:rPr>
          <w:highlight w:val="yellow"/>
        </w:rPr>
        <w:fldChar w:fldCharType="end"/>
      </w:r>
      <w:r w:rsidRPr="00CD309D">
        <w:rPr>
          <w:highlight w:val="yellow"/>
        </w:rPr>
        <w:t xml:space="preserve"> (</w:t>
      </w:r>
      <w:r w:rsidRPr="00CD309D">
        <w:rPr>
          <w:i/>
          <w:iCs/>
          <w:highlight w:val="yellow"/>
        </w:rPr>
        <w:fldChar w:fldCharType="begin"/>
      </w:r>
      <w:r w:rsidRPr="00CD309D">
        <w:rPr>
          <w:i/>
          <w:iCs/>
          <w:highlight w:val="yellow"/>
        </w:rPr>
        <w:instrText xml:space="preserve"> REF Schedule31Heading \h  \* MERGEFORMAT </w:instrText>
      </w:r>
      <w:r w:rsidRPr="00CD309D">
        <w:rPr>
          <w:i/>
          <w:iCs/>
          <w:highlight w:val="yellow"/>
        </w:rPr>
      </w:r>
      <w:r w:rsidRPr="00CD309D">
        <w:rPr>
          <w:i/>
          <w:iCs/>
          <w:highlight w:val="yellow"/>
        </w:rPr>
        <w:fldChar w:fldCharType="separate"/>
      </w:r>
      <w:r w:rsidR="00302D39" w:rsidRPr="00302D39">
        <w:rPr>
          <w:i/>
          <w:iCs/>
          <w:highlight w:val="yellow"/>
        </w:rPr>
        <w:t>Processing Personal Data</w:t>
      </w:r>
      <w:r w:rsidRPr="00CD309D">
        <w:rPr>
          <w:i/>
          <w:iCs/>
          <w:highlight w:val="yellow"/>
        </w:rPr>
        <w:fldChar w:fldCharType="end"/>
      </w:r>
      <w:r w:rsidRPr="00CD309D">
        <w:rPr>
          <w:highlight w:val="yellow"/>
        </w:rPr>
        <w:t xml:space="preserve">) </w:t>
      </w:r>
      <w:r w:rsidRPr="00CD309D">
        <w:rPr>
          <w:rFonts w:cs="Arial"/>
          <w:highlight w:val="yellow"/>
        </w:rPr>
        <w:t>[Guidance: see guidance notes and Annex 3 for an explan</w:t>
      </w:r>
      <w:r w:rsidRPr="005E6B3B">
        <w:rPr>
          <w:rFonts w:cs="Arial"/>
          <w:highlight w:val="yellow"/>
        </w:rPr>
        <w:t>ation of these options] [</w:t>
      </w:r>
      <w:r w:rsidRPr="005E6B3B">
        <w:rPr>
          <w:rFonts w:cs="Arial"/>
          <w:b/>
          <w:i/>
          <w:highlight w:val="yellow"/>
        </w:rPr>
        <w:t xml:space="preserve">Guidance: see guidance notes and </w:t>
      </w:r>
      <w:r w:rsidRPr="002438D2">
        <w:rPr>
          <w:rFonts w:cs="Arial"/>
          <w:b/>
          <w:bCs/>
          <w:i/>
          <w:iCs/>
          <w:highlight w:val="yellow"/>
        </w:rPr>
        <w:t xml:space="preserve">Annex </w:t>
      </w:r>
      <w:r w:rsidRPr="002438D2">
        <w:rPr>
          <w:rFonts w:cs="Arial"/>
          <w:b/>
          <w:bCs/>
          <w:i/>
          <w:iCs/>
          <w:highlight w:val="yellow"/>
        </w:rPr>
        <w:fldChar w:fldCharType="begin"/>
      </w:r>
      <w:r w:rsidRPr="002438D2">
        <w:rPr>
          <w:rFonts w:cs="Arial"/>
          <w:b/>
          <w:bCs/>
          <w:i/>
          <w:iCs/>
          <w:highlight w:val="yellow"/>
        </w:rPr>
        <w:instrText xml:space="preserve"> REF ANNEX3SCHEDULE31 \h  \* MERGEFORMAT </w:instrText>
      </w:r>
      <w:r w:rsidRPr="002438D2">
        <w:rPr>
          <w:rFonts w:cs="Arial"/>
          <w:b/>
          <w:bCs/>
          <w:i/>
          <w:iCs/>
          <w:highlight w:val="yellow"/>
        </w:rPr>
      </w:r>
      <w:r w:rsidRPr="002438D2">
        <w:rPr>
          <w:rFonts w:cs="Arial"/>
          <w:b/>
          <w:bCs/>
          <w:i/>
          <w:iCs/>
          <w:highlight w:val="yellow"/>
        </w:rPr>
        <w:fldChar w:fldCharType="separate"/>
      </w:r>
      <w:r w:rsidR="00302D39" w:rsidRPr="00302D39">
        <w:rPr>
          <w:b/>
          <w:bCs/>
          <w:i/>
          <w:iCs/>
          <w:highlight w:val="yellow"/>
        </w:rPr>
        <w:t>3</w:t>
      </w:r>
      <w:r w:rsidRPr="002438D2">
        <w:rPr>
          <w:rFonts w:cs="Arial"/>
          <w:b/>
          <w:bCs/>
          <w:i/>
          <w:iCs/>
          <w:highlight w:val="yellow"/>
        </w:rPr>
        <w:fldChar w:fldCharType="end"/>
      </w:r>
      <w:r>
        <w:rPr>
          <w:rFonts w:cs="Arial"/>
          <w:highlight w:val="yellow"/>
        </w:rPr>
        <w:t xml:space="preserve"> </w:t>
      </w:r>
      <w:r w:rsidRPr="005E6B3B">
        <w:rPr>
          <w:rFonts w:cs="Arial"/>
          <w:b/>
          <w:i/>
          <w:highlight w:val="yellow"/>
        </w:rPr>
        <w:t xml:space="preserve">for an explanation of these options] </w:t>
      </w:r>
      <w:r w:rsidRPr="005E6B3B">
        <w:rPr>
          <w:rFonts w:cs="Arial"/>
        </w:rPr>
        <w:t>(the “</w:t>
      </w:r>
      <w:r w:rsidRPr="005E6B3B">
        <w:rPr>
          <w:rFonts w:cs="Arial"/>
          <w:b/>
        </w:rPr>
        <w:t>EU SCCs</w:t>
      </w:r>
      <w:r w:rsidRPr="005E6B3B">
        <w:rPr>
          <w:rFonts w:cs="Arial"/>
        </w:rPr>
        <w:t>”), together with the UK International Data Transfer Agreement Addendum to the EU SCCs (the “</w:t>
      </w:r>
      <w:r w:rsidRPr="005E6B3B">
        <w:rPr>
          <w:rFonts w:cs="Arial"/>
          <w:b/>
        </w:rPr>
        <w:t>Addendum</w:t>
      </w:r>
      <w:r w:rsidRPr="005E6B3B">
        <w:rPr>
          <w:rFonts w:cs="Arial"/>
        </w:rPr>
        <w:t xml:space="preserve">”) </w:t>
      </w:r>
      <w:r w:rsidRPr="005E6B3B">
        <w:rPr>
          <w:rFonts w:cs="Arial"/>
          <w:highlight w:val="yellow"/>
        </w:rPr>
        <w:t xml:space="preserve">[or such updated version of such Addendum as is published by the Information Commissioner’s Office under section 119A(1) of the DPA 2018 from time to time] </w:t>
      </w:r>
      <w:r w:rsidRPr="005E6B3B">
        <w:rPr>
          <w:rFonts w:cs="Arial"/>
          <w:b/>
          <w:highlight w:val="yellow"/>
        </w:rPr>
        <w:t xml:space="preserve">OR </w:t>
      </w:r>
      <w:r w:rsidRPr="005E6B3B">
        <w:rPr>
          <w:rFonts w:cs="Arial"/>
          <w:highlight w:val="yellow"/>
        </w:rPr>
        <w:t xml:space="preserve">[and as set out in </w:t>
      </w:r>
      <w:r w:rsidRPr="00F05BA6">
        <w:rPr>
          <w:highlight w:val="yellow"/>
        </w:rPr>
        <w:t>Annex </w:t>
      </w:r>
      <w:r w:rsidRPr="00F05BA6">
        <w:rPr>
          <w:highlight w:val="yellow"/>
        </w:rPr>
        <w:fldChar w:fldCharType="begin"/>
      </w:r>
      <w:r w:rsidRPr="00F05BA6">
        <w:rPr>
          <w:highlight w:val="yellow"/>
        </w:rPr>
        <w:instrText xml:space="preserve"> REF ANNEX2_PARTA_SCHEDULE31 \h  \* MERGEFORMAT </w:instrText>
      </w:r>
      <w:r w:rsidRPr="00F05BA6">
        <w:rPr>
          <w:highlight w:val="yellow"/>
        </w:rPr>
      </w:r>
      <w:r w:rsidRPr="00F05BA6">
        <w:rPr>
          <w:highlight w:val="yellow"/>
        </w:rPr>
        <w:fldChar w:fldCharType="separate"/>
      </w:r>
      <w:r w:rsidR="00302D39" w:rsidRPr="00302D39">
        <w:rPr>
          <w:highlight w:val="yellow"/>
        </w:rPr>
        <w:t>2</w:t>
      </w:r>
      <w:r w:rsidRPr="00F05BA6">
        <w:rPr>
          <w:highlight w:val="yellow"/>
        </w:rPr>
        <w:fldChar w:fldCharType="end"/>
      </w:r>
      <w:r w:rsidRPr="00F05BA6">
        <w:rPr>
          <w:highlight w:val="yellow"/>
        </w:rPr>
        <w:t xml:space="preserve"> to </w:t>
      </w:r>
      <w:r w:rsidRPr="00F05BA6">
        <w:rPr>
          <w:highlight w:val="yellow"/>
        </w:rPr>
        <w:fldChar w:fldCharType="begin"/>
      </w:r>
      <w:r w:rsidRPr="00F05BA6">
        <w:rPr>
          <w:highlight w:val="yellow"/>
        </w:rPr>
        <w:instrText xml:space="preserve"> REF Schedule31 \h </w:instrText>
      </w:r>
      <w:r>
        <w:rPr>
          <w:highlight w:val="yellow"/>
        </w:rPr>
        <w:instrText xml:space="preserve"> \* MERGEFORMAT </w:instrText>
      </w:r>
      <w:r w:rsidRPr="00F05BA6">
        <w:rPr>
          <w:highlight w:val="yellow"/>
        </w:rPr>
      </w:r>
      <w:r w:rsidRPr="00F05BA6">
        <w:rPr>
          <w:highlight w:val="yellow"/>
        </w:rPr>
        <w:fldChar w:fldCharType="separate"/>
      </w:r>
      <w:r w:rsidR="00302D39" w:rsidRPr="00302D39">
        <w:rPr>
          <w:highlight w:val="yellow"/>
        </w:rPr>
        <w:t>Schedule 31</w:t>
      </w:r>
      <w:r w:rsidRPr="00F05BA6">
        <w:rPr>
          <w:highlight w:val="yellow"/>
        </w:rPr>
        <w:fldChar w:fldCharType="end"/>
      </w:r>
      <w:r w:rsidRPr="00F05BA6">
        <w:rPr>
          <w:highlight w:val="yellow"/>
        </w:rPr>
        <w:t xml:space="preserve"> (</w:t>
      </w:r>
      <w:r w:rsidRPr="00F05BA6">
        <w:rPr>
          <w:i/>
          <w:iCs/>
          <w:highlight w:val="yellow"/>
        </w:rPr>
        <w:fldChar w:fldCharType="begin"/>
      </w:r>
      <w:r w:rsidRPr="00F05BA6">
        <w:rPr>
          <w:i/>
          <w:iCs/>
          <w:highlight w:val="yellow"/>
        </w:rPr>
        <w:instrText xml:space="preserve"> REF Schedule31Heading \h  \* MERGEFORMAT </w:instrText>
      </w:r>
      <w:r w:rsidRPr="00F05BA6">
        <w:rPr>
          <w:i/>
          <w:iCs/>
          <w:highlight w:val="yellow"/>
        </w:rPr>
      </w:r>
      <w:r w:rsidRPr="00F05BA6">
        <w:rPr>
          <w:i/>
          <w:iCs/>
          <w:highlight w:val="yellow"/>
        </w:rPr>
        <w:fldChar w:fldCharType="separate"/>
      </w:r>
      <w:r w:rsidR="00302D39" w:rsidRPr="00302D39">
        <w:rPr>
          <w:i/>
          <w:iCs/>
          <w:highlight w:val="yellow"/>
        </w:rPr>
        <w:t>Processing Personal Data</w:t>
      </w:r>
      <w:r w:rsidRPr="00F05BA6">
        <w:rPr>
          <w:i/>
          <w:iCs/>
          <w:highlight w:val="yellow"/>
        </w:rPr>
        <w:fldChar w:fldCharType="end"/>
      </w:r>
      <w:r w:rsidRPr="00F05BA6">
        <w:rPr>
          <w:highlight w:val="yellow"/>
        </w:rPr>
        <w:t>)</w:t>
      </w:r>
      <w:r w:rsidRPr="00F05BA6">
        <w:rPr>
          <w:rFonts w:cs="Arial"/>
          <w:highlight w:val="yellow"/>
        </w:rPr>
        <w:t xml:space="preserve">] </w:t>
      </w:r>
      <w:r w:rsidRPr="005E6B3B">
        <w:rPr>
          <w:rFonts w:cs="Arial"/>
          <w:b/>
          <w:i/>
          <w:highlight w:val="yellow"/>
        </w:rPr>
        <w:t xml:space="preserve">[Guidance: see guidance notes and </w:t>
      </w:r>
      <w:r w:rsidRPr="002438D2">
        <w:rPr>
          <w:b/>
          <w:bCs/>
          <w:i/>
          <w:iCs/>
          <w:highlight w:val="yellow"/>
        </w:rPr>
        <w:t>Annex </w:t>
      </w:r>
      <w:r w:rsidRPr="002438D2">
        <w:rPr>
          <w:b/>
          <w:bCs/>
          <w:i/>
          <w:iCs/>
          <w:highlight w:val="yellow"/>
        </w:rPr>
        <w:fldChar w:fldCharType="begin"/>
      </w:r>
      <w:r w:rsidRPr="002438D2">
        <w:rPr>
          <w:b/>
          <w:bCs/>
          <w:i/>
          <w:iCs/>
          <w:highlight w:val="yellow"/>
        </w:rPr>
        <w:instrText xml:space="preserve"> REF ANNEX2_PARTA_SCHEDULE31 \h  \* MERGEFORMAT </w:instrText>
      </w:r>
      <w:r w:rsidRPr="002438D2">
        <w:rPr>
          <w:b/>
          <w:bCs/>
          <w:i/>
          <w:iCs/>
          <w:highlight w:val="yellow"/>
        </w:rPr>
      </w:r>
      <w:r w:rsidRPr="002438D2">
        <w:rPr>
          <w:b/>
          <w:bCs/>
          <w:i/>
          <w:iCs/>
          <w:highlight w:val="yellow"/>
        </w:rPr>
        <w:fldChar w:fldCharType="separate"/>
      </w:r>
      <w:r w:rsidR="00302D39" w:rsidRPr="00302D39">
        <w:rPr>
          <w:b/>
          <w:bCs/>
          <w:i/>
          <w:iCs/>
          <w:highlight w:val="yellow"/>
        </w:rPr>
        <w:t>2</w:t>
      </w:r>
      <w:r w:rsidRPr="002438D2">
        <w:rPr>
          <w:b/>
          <w:bCs/>
          <w:i/>
          <w:iCs/>
          <w:highlight w:val="yellow"/>
        </w:rPr>
        <w:fldChar w:fldCharType="end"/>
      </w:r>
      <w:r w:rsidRPr="005E6B3B">
        <w:rPr>
          <w:rFonts w:cs="Arial"/>
          <w:b/>
          <w:i/>
          <w:highlight w:val="yellow"/>
        </w:rPr>
        <w:t xml:space="preserve"> for an explanation of these options]</w:t>
      </w:r>
      <w:r w:rsidRPr="005E6B3B">
        <w:rPr>
          <w:rFonts w:cs="Arial"/>
        </w:rPr>
        <w:t>; and/or</w:t>
      </w:r>
    </w:p>
    <w:p w14:paraId="3908CECC" w14:textId="77777777" w:rsidR="00F67E9E" w:rsidRDefault="00F67E9E" w:rsidP="00F67E9E">
      <w:pPr>
        <w:pStyle w:val="MarginText"/>
        <w:numPr>
          <w:ilvl w:val="3"/>
          <w:numId w:val="108"/>
        </w:numPr>
        <w:ind w:left="3240" w:hanging="720"/>
        <w:rPr>
          <w:rFonts w:eastAsia="Arial"/>
        </w:rPr>
      </w:pPr>
      <w:r w:rsidRPr="00B740A3">
        <w:t>where</w:t>
      </w:r>
      <w:r w:rsidRPr="005E6B3B">
        <w:rPr>
          <w:rFonts w:eastAsia="Arial"/>
        </w:rPr>
        <w:t xml:space="preserve"> the transfer is subject to EU GDPR, the EU SCCs,</w:t>
      </w:r>
      <w:bookmarkStart w:id="2861" w:name="_heading=h.v0a92t91tofb" w:colFirst="0" w:colLast="0"/>
      <w:bookmarkEnd w:id="2861"/>
    </w:p>
    <w:p w14:paraId="21F22E78" w14:textId="77777777" w:rsidR="00F67E9E" w:rsidRDefault="00F67E9E" w:rsidP="00F67E9E">
      <w:pPr>
        <w:pBdr>
          <w:top w:val="nil"/>
          <w:left w:val="nil"/>
          <w:bottom w:val="nil"/>
          <w:right w:val="nil"/>
          <w:between w:val="nil"/>
        </w:pBdr>
        <w:tabs>
          <w:tab w:val="left" w:pos="2523"/>
        </w:tabs>
        <w:spacing w:before="100" w:after="200"/>
        <w:ind w:left="3240"/>
        <w:rPr>
          <w:rFonts w:eastAsia="Arial" w:cs="Arial"/>
          <w:color w:val="000000"/>
          <w:szCs w:val="24"/>
        </w:rPr>
      </w:pPr>
      <w:r>
        <w:rPr>
          <w:rFonts w:eastAsia="Arial" w:cs="Arial"/>
          <w:color w:val="000000"/>
          <w:szCs w:val="24"/>
        </w:rPr>
        <w:t>(as well as any additional measures determined by the Controller being implemented by the importing party;</w:t>
      </w:r>
    </w:p>
    <w:p w14:paraId="62ED7A92" w14:textId="77777777" w:rsidR="00F67E9E" w:rsidRPr="00016234" w:rsidRDefault="00F67E9E" w:rsidP="00F67E9E">
      <w:pPr>
        <w:pStyle w:val="AppendixText4"/>
      </w:pPr>
      <w:r w:rsidRPr="00016234">
        <w:t>the Data Subject has enforceable rights and effective legal remedies;</w:t>
      </w:r>
    </w:p>
    <w:p w14:paraId="4B843018" w14:textId="77777777" w:rsidR="00F67E9E" w:rsidRPr="00016234" w:rsidRDefault="00F67E9E" w:rsidP="00F67E9E">
      <w:pPr>
        <w:pStyle w:val="AppendixText4"/>
      </w:pPr>
      <w:r w:rsidRPr="00016234">
        <w:t>the transferring Party complies with its obligations under the Data Protection Legislation by providing an adequate level of protection to any Personal Data that is transferred (or, if it is not so bound, uses its best endeavours to assist the non-transferring Party in meeting its obligations); and</w:t>
      </w:r>
    </w:p>
    <w:p w14:paraId="2935E8A1" w14:textId="77777777" w:rsidR="00F67E9E" w:rsidRPr="00016234" w:rsidRDefault="00F67E9E" w:rsidP="00F67E9E">
      <w:pPr>
        <w:pStyle w:val="AppendixText4"/>
      </w:pPr>
      <w:r w:rsidRPr="00016234">
        <w:t>the transferring Party complies with any reasonable instructions notified to it in advance by the non-transferring Party with respect to the processing of the Personal Data; and</w:t>
      </w:r>
    </w:p>
    <w:p w14:paraId="142A2F26" w14:textId="77777777" w:rsidR="00F67E9E" w:rsidRPr="00016234" w:rsidRDefault="00F67E9E" w:rsidP="00F67E9E">
      <w:pPr>
        <w:pStyle w:val="AppendixText2"/>
      </w:pPr>
      <w:r w:rsidRPr="00016234">
        <w:t xml:space="preserve">Each Joint Controller shall use its </w:t>
      </w:r>
      <w:r>
        <w:t>best</w:t>
      </w:r>
      <w:r w:rsidRPr="00016234">
        <w:t xml:space="preserve"> endeavours to assist the other Controller to comply with any obligations under applicable Data Protection Legislation and shall not perform its obligations under this Annex in such a way as to cause the other Joint Controller to breach any of its</w:t>
      </w:r>
      <w:r>
        <w:t>’</w:t>
      </w:r>
      <w:r w:rsidRPr="00016234">
        <w:t xml:space="preserve"> obligations under applicable Data Protection Legislation to the extent it is aware, or ought reasonably to have been aware, that the same would be a breach of such obligations</w:t>
      </w:r>
    </w:p>
    <w:p w14:paraId="315F834C" w14:textId="77777777" w:rsidR="00F67E9E" w:rsidRPr="00016234" w:rsidRDefault="00F67E9E" w:rsidP="00F67E9E">
      <w:pPr>
        <w:pStyle w:val="AppendixText1"/>
      </w:pPr>
      <w:r w:rsidRPr="00016234">
        <w:t>Data Protection Breach</w:t>
      </w:r>
    </w:p>
    <w:p w14:paraId="383CC0D1" w14:textId="45861FDB" w:rsidR="00F67E9E" w:rsidRPr="00016234" w:rsidRDefault="00F67E9E" w:rsidP="00F67E9E">
      <w:pPr>
        <w:pStyle w:val="AppendixText2"/>
      </w:pPr>
      <w:r w:rsidRPr="00016234">
        <w:t xml:space="preserve">Without prejudice to </w:t>
      </w:r>
      <w:bookmarkStart w:id="2862" w:name="_9kMHG5YVtCIC9BDEFR7ckYMvFNN7qv7G6y3u2EM"/>
      <w:r w:rsidRPr="00016234">
        <w:t xml:space="preserve">Paragraph </w:t>
      </w:r>
      <w:r w:rsidRPr="00016234">
        <w:fldChar w:fldCharType="begin"/>
      </w:r>
      <w:r w:rsidRPr="00016234">
        <w:instrText xml:space="preserve"> REF _Ref_ContractCompanion_9kb9Ut355 \n \h \t \* MERGEFORMAT </w:instrText>
      </w:r>
      <w:r w:rsidRPr="00016234">
        <w:fldChar w:fldCharType="separate"/>
      </w:r>
      <w:r w:rsidR="00302D39">
        <w:t>3.2</w:t>
      </w:r>
      <w:r w:rsidRPr="00016234">
        <w:fldChar w:fldCharType="end"/>
      </w:r>
      <w:bookmarkEnd w:id="2862"/>
      <w:r w:rsidRPr="00016234">
        <w:t xml:space="preserve">, each Party shall notify the other Party promptly and without undue delay, and in any event within 48 hours, upon becoming aware of any </w:t>
      </w:r>
      <w:r w:rsidRPr="0016479C">
        <w:t xml:space="preserve">Data Loss Event </w:t>
      </w:r>
      <w:r w:rsidRPr="00016234">
        <w:t xml:space="preserve">or circumstances that are likely to give rise to a </w:t>
      </w:r>
      <w:r w:rsidRPr="0016479C">
        <w:t>Data Loss Event</w:t>
      </w:r>
      <w:r w:rsidRPr="00016234">
        <w:t>, providing the other Party and its advisors with:</w:t>
      </w:r>
    </w:p>
    <w:p w14:paraId="0DBDF356" w14:textId="77777777" w:rsidR="00F67E9E" w:rsidRPr="00016234" w:rsidRDefault="00F67E9E" w:rsidP="00F67E9E">
      <w:pPr>
        <w:pStyle w:val="AppendixText3"/>
      </w:pPr>
      <w:r w:rsidRPr="00016234">
        <w:t xml:space="preserve">sufficient information and in a timescale which allows the other Party to meet any obligations to report a </w:t>
      </w:r>
      <w:r w:rsidRPr="0016479C">
        <w:t xml:space="preserve">Data Loss Event </w:t>
      </w:r>
      <w:r w:rsidRPr="00016234">
        <w:t>under the Data Protection Legislation;</w:t>
      </w:r>
    </w:p>
    <w:p w14:paraId="4B2CE2D0" w14:textId="77777777" w:rsidR="00F67E9E" w:rsidRPr="00016234" w:rsidRDefault="00F67E9E" w:rsidP="00F67E9E">
      <w:pPr>
        <w:pStyle w:val="AppendixText3"/>
      </w:pPr>
      <w:r w:rsidRPr="00016234">
        <w:t>all reasonable assistance, including:</w:t>
      </w:r>
    </w:p>
    <w:p w14:paraId="140624B9" w14:textId="77777777" w:rsidR="00F67E9E" w:rsidRPr="00211A99" w:rsidRDefault="00F67E9E" w:rsidP="00F67E9E">
      <w:pPr>
        <w:pStyle w:val="AppendixText4"/>
      </w:pPr>
      <w:r w:rsidRPr="000B4593">
        <w:t xml:space="preserve">co-operation with the other Party and the Information Commissioner investigating the </w:t>
      </w:r>
      <w:r>
        <w:t>Data Loss Event</w:t>
      </w:r>
      <w:r w:rsidRPr="000B4593">
        <w:t xml:space="preserve"> and its cause, containing and recovering the compromised Personal Data and compliance with the </w:t>
      </w:r>
      <w:r w:rsidRPr="00211A99">
        <w:t>applicable guidance;</w:t>
      </w:r>
    </w:p>
    <w:p w14:paraId="4ABB9AE8" w14:textId="77777777" w:rsidR="00F67E9E" w:rsidRPr="00211A99" w:rsidRDefault="00F67E9E" w:rsidP="00F67E9E">
      <w:pPr>
        <w:pStyle w:val="AppendixText4"/>
      </w:pPr>
      <w:r w:rsidRPr="00211A99">
        <w:t xml:space="preserve">co-operation with the other Party including taking such reasonable steps as are directed by the Authority to assist in the investigation, mitigation and remediation of a </w:t>
      </w:r>
      <w:r w:rsidRPr="0016479C">
        <w:t>Data Loss Event</w:t>
      </w:r>
      <w:r w:rsidRPr="00211A99">
        <w:t>;</w:t>
      </w:r>
    </w:p>
    <w:p w14:paraId="1A329DFC" w14:textId="77777777" w:rsidR="00F67E9E" w:rsidRPr="00211A99" w:rsidRDefault="00F67E9E" w:rsidP="00F67E9E">
      <w:pPr>
        <w:pStyle w:val="AppendixText4"/>
      </w:pPr>
      <w:r w:rsidRPr="00211A99">
        <w:t xml:space="preserve">co-ordination with the other Party regarding the management of public relations and public statements relating to the </w:t>
      </w:r>
      <w:r w:rsidRPr="0016479C">
        <w:t>Data Loss Event</w:t>
      </w:r>
      <w:r w:rsidRPr="00211A99">
        <w:t>;</w:t>
      </w:r>
    </w:p>
    <w:p w14:paraId="22E38F03" w14:textId="7FF89D32" w:rsidR="00F67E9E" w:rsidRPr="00016234" w:rsidRDefault="00F67E9E" w:rsidP="00F67E9E">
      <w:pPr>
        <w:pStyle w:val="AppendixText4"/>
      </w:pPr>
      <w:r w:rsidRPr="00211A99">
        <w:t xml:space="preserve">providing the other Party and to the extent instructed by the other Party to do so, and/or the Information Commissioner investigating the </w:t>
      </w:r>
      <w:r w:rsidRPr="0016479C">
        <w:t>Data Loss Event</w:t>
      </w:r>
      <w:r w:rsidRPr="00016234">
        <w:t xml:space="preserve">, with complete information relating to the </w:t>
      </w:r>
      <w:r w:rsidRPr="0016479C">
        <w:t>Data Loss Event</w:t>
      </w:r>
      <w:r w:rsidRPr="00016234">
        <w:t xml:space="preserve">, including, without limitation, the information set out in </w:t>
      </w:r>
      <w:bookmarkStart w:id="2863" w:name="_9kMIH5YVtCIC9BDEFR7ckYMvFNN7qv7G6y3u2EM"/>
      <w:r w:rsidRPr="00016234">
        <w:t xml:space="preserve">Paragraph </w:t>
      </w:r>
      <w:r w:rsidRPr="00016234">
        <w:fldChar w:fldCharType="begin"/>
      </w:r>
      <w:r w:rsidRPr="00016234">
        <w:instrText xml:space="preserve"> REF _Ref_ContractCompanion_9kb9Ut355 \n \h \t \* MERGEFORMAT </w:instrText>
      </w:r>
      <w:r w:rsidRPr="00016234">
        <w:fldChar w:fldCharType="separate"/>
      </w:r>
      <w:r w:rsidR="00302D39">
        <w:t>3.2</w:t>
      </w:r>
      <w:r w:rsidRPr="00016234">
        <w:fldChar w:fldCharType="end"/>
      </w:r>
      <w:bookmarkEnd w:id="2863"/>
      <w:r w:rsidRPr="00016234">
        <w:t>.</w:t>
      </w:r>
    </w:p>
    <w:p w14:paraId="0EF21DFD" w14:textId="77777777" w:rsidR="00F67E9E" w:rsidRPr="00016234" w:rsidRDefault="00F67E9E" w:rsidP="00F67E9E">
      <w:pPr>
        <w:pStyle w:val="AppendixText2"/>
      </w:pPr>
      <w:bookmarkStart w:id="2864" w:name="_Ref_ContractCompanion_9kb9Ut355"/>
      <w:bookmarkStart w:id="2865" w:name="_9kR3WTrAGA79BCDP5aiWKtDLL5ot5E4w1s0CKTG"/>
      <w:r w:rsidRPr="00016234">
        <w:t xml:space="preserve">Each Party shall take all steps to restore, re-constitute and/or reconstruct any Personal Data where it has lost, damaged, destroyed, altered or corrupted as a result of a </w:t>
      </w:r>
      <w:r w:rsidRPr="009B682F">
        <w:t>Data Loss Event which is the fault of that Party,</w:t>
      </w:r>
      <w:r>
        <w:t xml:space="preserve"> </w:t>
      </w:r>
      <w:r w:rsidRPr="00016234">
        <w:t>as if it was that Party</w:t>
      </w:r>
      <w:r>
        <w:t>’</w:t>
      </w:r>
      <w:r w:rsidRPr="00016234">
        <w:t xml:space="preserve">s own data at its own cost with all possible speed and shall provide the other Party with all reasonable assistance in respect of any such </w:t>
      </w:r>
      <w:r w:rsidRPr="00BD24CD">
        <w:t>Data Loss Event</w:t>
      </w:r>
      <w:r w:rsidRPr="00016234">
        <w:t xml:space="preserve">, including providing the other Party, as soon as possible and within 48 hours of the </w:t>
      </w:r>
      <w:r w:rsidRPr="00BD24CD">
        <w:t>Data Loss Event</w:t>
      </w:r>
      <w:r>
        <w:t xml:space="preserve"> </w:t>
      </w:r>
      <w:r w:rsidRPr="00016234">
        <w:t xml:space="preserve">relating to the </w:t>
      </w:r>
      <w:r w:rsidRPr="00BD24CD">
        <w:t>Data Loss Event</w:t>
      </w:r>
      <w:r w:rsidRPr="00016234">
        <w:t>, in particular:</w:t>
      </w:r>
      <w:bookmarkEnd w:id="2864"/>
      <w:bookmarkEnd w:id="2865"/>
    </w:p>
    <w:p w14:paraId="797539B7" w14:textId="77777777" w:rsidR="00F67E9E" w:rsidRPr="00016234" w:rsidRDefault="00F67E9E" w:rsidP="00F67E9E">
      <w:pPr>
        <w:pStyle w:val="AppendixText3"/>
      </w:pPr>
      <w:r w:rsidRPr="00016234">
        <w:t xml:space="preserve">the nature of the </w:t>
      </w:r>
      <w:r w:rsidRPr="00BD24CD">
        <w:t>Data Loss Event</w:t>
      </w:r>
      <w:r w:rsidRPr="00016234">
        <w:t xml:space="preserve">; </w:t>
      </w:r>
    </w:p>
    <w:p w14:paraId="21341446" w14:textId="77777777" w:rsidR="00F67E9E" w:rsidRPr="00016234" w:rsidRDefault="00F67E9E" w:rsidP="00F67E9E">
      <w:pPr>
        <w:pStyle w:val="AppendixText3"/>
      </w:pPr>
      <w:r w:rsidRPr="00016234">
        <w:t>the nature of Personal Data affected;</w:t>
      </w:r>
    </w:p>
    <w:p w14:paraId="65FA7F65" w14:textId="77777777" w:rsidR="00F67E9E" w:rsidRPr="00016234" w:rsidRDefault="00F67E9E" w:rsidP="00F67E9E">
      <w:pPr>
        <w:pStyle w:val="AppendixText3"/>
      </w:pPr>
      <w:r w:rsidRPr="00016234">
        <w:t>the categories and number of Data Subjects concerned;</w:t>
      </w:r>
    </w:p>
    <w:p w14:paraId="55F627D9" w14:textId="77777777" w:rsidR="00F67E9E" w:rsidRPr="00016234" w:rsidRDefault="00F67E9E" w:rsidP="00F67E9E">
      <w:pPr>
        <w:pStyle w:val="AppendixText3"/>
      </w:pPr>
      <w:r w:rsidRPr="00016234">
        <w:t>the name and contact details of the Supplier</w:t>
      </w:r>
      <w:r>
        <w:t>’</w:t>
      </w:r>
      <w:r w:rsidRPr="00016234">
        <w:t>s Data Protection Officer or other relevant contact from whom more information may be obtained;</w:t>
      </w:r>
    </w:p>
    <w:p w14:paraId="5F6387B9" w14:textId="77777777" w:rsidR="00F67E9E" w:rsidRPr="00016234" w:rsidRDefault="00F67E9E" w:rsidP="00F67E9E">
      <w:pPr>
        <w:pStyle w:val="AppendixText3"/>
      </w:pPr>
      <w:r w:rsidRPr="00016234">
        <w:t xml:space="preserve">measures taken or proposed to be taken to address the </w:t>
      </w:r>
      <w:r w:rsidRPr="00BD24CD">
        <w:t>Data Loss Event</w:t>
      </w:r>
      <w:r w:rsidRPr="00016234">
        <w:t>; and</w:t>
      </w:r>
    </w:p>
    <w:p w14:paraId="085AA086" w14:textId="77777777" w:rsidR="00F67E9E" w:rsidRPr="00016234" w:rsidRDefault="00F67E9E" w:rsidP="00F67E9E">
      <w:pPr>
        <w:pStyle w:val="AppendixText3"/>
      </w:pPr>
      <w:r w:rsidRPr="00016234">
        <w:t xml:space="preserve">describe the likely consequences of the </w:t>
      </w:r>
      <w:r w:rsidRPr="00BD24CD">
        <w:t>Data Loss Event</w:t>
      </w:r>
      <w:r w:rsidRPr="00016234">
        <w:t>.</w:t>
      </w:r>
    </w:p>
    <w:p w14:paraId="17CCDFC4" w14:textId="77777777" w:rsidR="00F67E9E" w:rsidRPr="00016234" w:rsidRDefault="00F67E9E" w:rsidP="00F67E9E">
      <w:pPr>
        <w:pStyle w:val="AppendixText1"/>
      </w:pPr>
      <w:r w:rsidRPr="00016234">
        <w:t>Audit</w:t>
      </w:r>
    </w:p>
    <w:p w14:paraId="29B126B0" w14:textId="77777777" w:rsidR="00F67E9E" w:rsidRPr="00016234" w:rsidRDefault="00F67E9E" w:rsidP="00F67E9E">
      <w:pPr>
        <w:pStyle w:val="AppendixText2"/>
      </w:pPr>
      <w:bookmarkStart w:id="2866" w:name="_Ref_ContractCompanion_9kb9Ut348"/>
      <w:bookmarkStart w:id="2867" w:name="_9kR3WTrAGA78EHDdRjVgA63xr1G7qv7C69IAI"/>
      <w:r w:rsidRPr="00016234">
        <w:t>The Supplier shall permit:</w:t>
      </w:r>
      <w:bookmarkEnd w:id="2866"/>
      <w:bookmarkEnd w:id="2867"/>
    </w:p>
    <w:p w14:paraId="0C260887" w14:textId="0873E82E" w:rsidR="00F67E9E" w:rsidRPr="00016234" w:rsidRDefault="00F67E9E" w:rsidP="00F67E9E">
      <w:pPr>
        <w:pStyle w:val="AppendixText3"/>
      </w:pPr>
      <w:r w:rsidRPr="00016234">
        <w:t>the Authority, or a third-party auditor acting under the Authority</w:t>
      </w:r>
      <w:r>
        <w:t>’</w:t>
      </w:r>
      <w:r w:rsidRPr="00016234">
        <w:t>s direction, to conduct, at the Authority</w:t>
      </w:r>
      <w:r>
        <w:t>’</w:t>
      </w:r>
      <w:r w:rsidRPr="00016234">
        <w:t>s cost, data privacy and security audits, assessments and inspections concerning the Supplier</w:t>
      </w:r>
      <w:r>
        <w:t>’</w:t>
      </w:r>
      <w:r w:rsidRPr="00016234">
        <w:t xml:space="preserve">s data security and privacy procedures relating to Personal Data, its compliance with this </w:t>
      </w:r>
      <w:bookmarkStart w:id="2868" w:name="_9kMIH5YVt4DF99DNEyq1P"/>
      <w:r w:rsidRPr="00016234">
        <w:t xml:space="preserve">Annex </w:t>
      </w:r>
      <w:r w:rsidRPr="00016234">
        <w:fldChar w:fldCharType="begin"/>
      </w:r>
      <w:r w:rsidRPr="00016234">
        <w:instrText xml:space="preserve"> REF ANNEX1_SCHEDULE31 \h </w:instrText>
      </w:r>
      <w:r>
        <w:instrText xml:space="preserve"> \* MERGEFORMAT </w:instrText>
      </w:r>
      <w:r w:rsidRPr="00016234">
        <w:fldChar w:fldCharType="separate"/>
      </w:r>
      <w:r w:rsidR="00302D39" w:rsidRPr="00016234">
        <w:t>1</w:t>
      </w:r>
      <w:r w:rsidRPr="00016234">
        <w:fldChar w:fldCharType="end"/>
      </w:r>
      <w:bookmarkEnd w:id="2868"/>
      <w:r w:rsidRPr="00016234">
        <w:t xml:space="preserve"> and the Data Protection Legislation. </w:t>
      </w:r>
    </w:p>
    <w:p w14:paraId="2A21EDAC" w14:textId="77777777" w:rsidR="00F67E9E" w:rsidRPr="00016234" w:rsidRDefault="00F67E9E" w:rsidP="00F67E9E">
      <w:pPr>
        <w:pStyle w:val="AppendixText3"/>
      </w:pPr>
      <w:r w:rsidRPr="00016234">
        <w:t>the Authority, or a third-party auditor acting under the Authority</w:t>
      </w:r>
      <w:r>
        <w:t>’</w:t>
      </w:r>
      <w:r w:rsidRPr="00016234">
        <w:t xml:space="preserve">s direction, access to premises at which the Personal Data is accessible or at which it is able to inspect any relevant records, including the record maintained under Article 30 of the UK GDPR by the Supplier so far as relevant to the Contract, and procedures, including premises under the control of any third party appointed by the Supplier to assist in the provision of the Services. </w:t>
      </w:r>
    </w:p>
    <w:p w14:paraId="72A7B606" w14:textId="29A0855E" w:rsidR="00F67E9E" w:rsidRPr="00016234" w:rsidRDefault="00F67E9E" w:rsidP="00F67E9E">
      <w:pPr>
        <w:pStyle w:val="AppendixText2"/>
      </w:pPr>
      <w:r w:rsidRPr="00016234">
        <w:t>The Authority may, in its sole discretion, require the Supplier to provide evidence of the Supplier</w:t>
      </w:r>
      <w:r>
        <w:t>’</w:t>
      </w:r>
      <w:r w:rsidRPr="00016234">
        <w:t xml:space="preserve">s compliance with </w:t>
      </w:r>
      <w:bookmarkStart w:id="2869" w:name="_9kMHG5YVtCIC9AGJFfTlXiC85zt3I9sx9E8BKCK"/>
      <w:r w:rsidRPr="00016234">
        <w:t xml:space="preserve">Paragraph </w:t>
      </w:r>
      <w:r w:rsidRPr="00016234">
        <w:fldChar w:fldCharType="begin"/>
      </w:r>
      <w:r w:rsidRPr="00016234">
        <w:instrText xml:space="preserve"> REF _Ref_ContractCompanion_9kb9Ut348 \n \h \t \* MERGEFORMAT </w:instrText>
      </w:r>
      <w:r w:rsidRPr="00016234">
        <w:fldChar w:fldCharType="separate"/>
      </w:r>
      <w:r w:rsidR="00302D39">
        <w:t>4.1</w:t>
      </w:r>
      <w:r w:rsidRPr="00016234">
        <w:fldChar w:fldCharType="end"/>
      </w:r>
      <w:bookmarkEnd w:id="2869"/>
      <w:r w:rsidRPr="00016234">
        <w:t xml:space="preserve"> in lieu of conducting such an audit, assessment or inspection.</w:t>
      </w:r>
    </w:p>
    <w:p w14:paraId="26FEFC84" w14:textId="77777777" w:rsidR="00F67E9E" w:rsidRPr="00016234" w:rsidRDefault="00F67E9E" w:rsidP="00F67E9E">
      <w:pPr>
        <w:pStyle w:val="AppendixText1"/>
      </w:pPr>
      <w:r w:rsidRPr="00016234">
        <w:t>Impact Assessments</w:t>
      </w:r>
    </w:p>
    <w:p w14:paraId="1F2A2301" w14:textId="77777777" w:rsidR="00F67E9E" w:rsidRPr="00211A99" w:rsidRDefault="00F67E9E" w:rsidP="00F67E9E">
      <w:pPr>
        <w:pStyle w:val="AppendixText2"/>
      </w:pPr>
      <w:r w:rsidRPr="00211A99">
        <w:rPr>
          <w:rStyle w:val="StdBodyTextBoldChar"/>
          <w:rFonts w:eastAsia="Verdana" w:cs="Arial"/>
          <w:b w:val="0"/>
          <w:bCs/>
        </w:rPr>
        <w:t>The Parties</w:t>
      </w:r>
      <w:r w:rsidRPr="00211A99">
        <w:t xml:space="preserve"> shall:</w:t>
      </w:r>
    </w:p>
    <w:p w14:paraId="2E8DA90B" w14:textId="77777777" w:rsidR="00F67E9E" w:rsidRPr="00211A99" w:rsidRDefault="00F67E9E" w:rsidP="00F67E9E">
      <w:pPr>
        <w:pStyle w:val="AppendixText3"/>
      </w:pPr>
      <w:r w:rsidRPr="00016234">
        <w:t xml:space="preserve">provide all reasonable assistance to each other to prepare any Data Protection Impact Assessment as may be required (including provision of detailed information and assessments in relation to processing operations, risks and </w:t>
      </w:r>
      <w:r w:rsidRPr="00211A99">
        <w:t>measures);</w:t>
      </w:r>
    </w:p>
    <w:p w14:paraId="0B9AD002" w14:textId="77777777" w:rsidR="00F67E9E" w:rsidRPr="00016234" w:rsidRDefault="00F67E9E" w:rsidP="00F67E9E">
      <w:pPr>
        <w:pStyle w:val="AppendixText3"/>
      </w:pPr>
      <w:r w:rsidRPr="00211A99">
        <w:t>maintain full and complete records of all Processing carried out in respect of the Perso</w:t>
      </w:r>
      <w:r w:rsidRPr="00016234">
        <w:t xml:space="preserve">nal Data in connection with this Contract, in accordance with the terms of </w:t>
      </w:r>
      <w:bookmarkStart w:id="2870" w:name="_9kR3WTr2CC7FKOG6yimp8I"/>
      <w:r w:rsidRPr="00016234">
        <w:t>Article 30</w:t>
      </w:r>
      <w:bookmarkEnd w:id="2870"/>
      <w:r w:rsidRPr="00016234">
        <w:t xml:space="preserve"> of the UK GDPR.</w:t>
      </w:r>
    </w:p>
    <w:p w14:paraId="4D2A9B5E" w14:textId="77777777" w:rsidR="00F67E9E" w:rsidRPr="00016234" w:rsidRDefault="00F67E9E" w:rsidP="00F67E9E">
      <w:pPr>
        <w:pStyle w:val="AppendixText1"/>
      </w:pPr>
      <w:r w:rsidRPr="00016234">
        <w:t>ICO Guidance</w:t>
      </w:r>
    </w:p>
    <w:p w14:paraId="7697394A" w14:textId="02104534" w:rsidR="00F67E9E" w:rsidRPr="00E62DE6" w:rsidRDefault="00F67E9E" w:rsidP="00E62DE6">
      <w:pPr>
        <w:pStyle w:val="AppendixText1"/>
        <w:numPr>
          <w:ilvl w:val="0"/>
          <w:numId w:val="0"/>
        </w:numPr>
        <w:ind w:left="720"/>
        <w:rPr>
          <w:b w:val="0"/>
          <w:bCs/>
        </w:rPr>
      </w:pPr>
      <w:r w:rsidRPr="00E62DE6">
        <w:rPr>
          <w:b w:val="0"/>
          <w:bCs/>
        </w:rPr>
        <w:t>The Parties agree to take account of any non-mandatory guidance issued by the Information Commissioner,  and/or any relevant Central Government Body and/or any other regulatory authority. The Authority may on not less than thirty (30) Working Days’ notice to the Supplier amend this Contract to ensure that it complies with any guidance issued by the Information Commissioner or any other regulatory authority.</w:t>
      </w:r>
    </w:p>
    <w:p w14:paraId="227DCB6A" w14:textId="77777777" w:rsidR="00F67E9E" w:rsidRPr="00E737CD" w:rsidRDefault="00F67E9E" w:rsidP="00F67E9E">
      <w:pPr>
        <w:pStyle w:val="AppendixText1"/>
      </w:pPr>
      <w:r w:rsidRPr="00E737CD">
        <w:t xml:space="preserve">Liabilities </w:t>
      </w:r>
      <w:r>
        <w:t>f</w:t>
      </w:r>
      <w:r w:rsidRPr="00E737CD">
        <w:t>or Data Protection Breach</w:t>
      </w:r>
    </w:p>
    <w:p w14:paraId="4EF15AFA" w14:textId="77777777" w:rsidR="00F67E9E" w:rsidRPr="00266335" w:rsidRDefault="00F67E9E" w:rsidP="00F67E9E">
      <w:pPr>
        <w:pStyle w:val="StdBodyText1"/>
        <w:rPr>
          <w:rFonts w:cs="Arial"/>
          <w:b/>
          <w:bCs/>
          <w:i/>
        </w:rPr>
      </w:pPr>
      <w:r>
        <w:rPr>
          <w:rStyle w:val="StdBodyTextBoldChar"/>
          <w:rFonts w:cs="Arial"/>
          <w:i/>
          <w:highlight w:val="yellow"/>
        </w:rPr>
        <w:t>[Guidance note:</w:t>
      </w:r>
      <w:r w:rsidRPr="00266335">
        <w:rPr>
          <w:rFonts w:cs="Arial"/>
          <w:b/>
          <w:bCs/>
          <w:i/>
          <w:highlight w:val="yellow"/>
        </w:rPr>
        <w:t xml:space="preserve"> This paragraph represents a risk share, you may wish to reconsider the apportionment of liability and whether recoverability of losses are likely to be hindered by the contractual limitation of liability provisions.]</w:t>
      </w:r>
    </w:p>
    <w:p w14:paraId="1C3C0EE0" w14:textId="77777777" w:rsidR="00F67E9E" w:rsidRPr="002D6F21" w:rsidRDefault="00F67E9E" w:rsidP="00F67E9E">
      <w:pPr>
        <w:pStyle w:val="AppendixText2"/>
      </w:pPr>
      <w:bookmarkStart w:id="2871" w:name="_Ref78376844"/>
      <w:r w:rsidRPr="00190716">
        <w:t xml:space="preserve">If financial penalties are imposed by the Information Commissioner on either the Authority or the Supplier for a </w:t>
      </w:r>
      <w:r>
        <w:t>Data Loss Event</w:t>
      </w:r>
      <w:r w:rsidRPr="00190716">
        <w:t xml:space="preserve"> (</w:t>
      </w:r>
      <w:r>
        <w:t>“</w:t>
      </w:r>
      <w:r w:rsidRPr="002E7013">
        <w:rPr>
          <w:rStyle w:val="StdBodyTextBoldChar"/>
          <w:rFonts w:eastAsia="Verdana" w:cs="Arial"/>
        </w:rPr>
        <w:t>Financial</w:t>
      </w:r>
      <w:r w:rsidRPr="00EA78E1">
        <w:t xml:space="preserve"> </w:t>
      </w:r>
      <w:r w:rsidRPr="002E7013">
        <w:rPr>
          <w:rStyle w:val="StdBodyTextBoldChar"/>
          <w:rFonts w:eastAsia="Verdana" w:cs="Arial"/>
        </w:rPr>
        <w:t>Penalties</w:t>
      </w:r>
      <w:r>
        <w:t>”</w:t>
      </w:r>
      <w:r w:rsidRPr="002D6F21">
        <w:t>) then the following shall occur:</w:t>
      </w:r>
      <w:bookmarkEnd w:id="2871"/>
    </w:p>
    <w:p w14:paraId="471369FC" w14:textId="77777777" w:rsidR="00F67E9E" w:rsidRPr="00016234" w:rsidRDefault="00F67E9E" w:rsidP="00F67E9E">
      <w:pPr>
        <w:pStyle w:val="AppendixText3"/>
      </w:pPr>
      <w:r w:rsidRPr="00FF5FB7">
        <w:t xml:space="preserve">If in the view of the Information Commissioner, the Authority is </w:t>
      </w:r>
      <w:r w:rsidRPr="00016234">
        <w:t xml:space="preserve">responsible for the </w:t>
      </w:r>
      <w:r>
        <w:t>Data Loss Event</w:t>
      </w:r>
      <w:r w:rsidRPr="00016234">
        <w:t>, in that it is caused as a result of the actions or inaction of the Authority, its employees, agents, contractors (other than the Supplier) or systems and procedures controlled by the Authority, then the Authority shall be responsible for the payment of such Financial Penalties. In this case, the Authority will conduct an internal audit and engage at its reasonable cost when necessary, an independent third party to conduct an audit of any such data incident. The Supplier shall provide to the Authority and its third party investigators and auditors, on request and at the Supplier</w:t>
      </w:r>
      <w:r>
        <w:t>’</w:t>
      </w:r>
      <w:r w:rsidRPr="00016234">
        <w:t xml:space="preserve">s reasonable cost, full cooperation and access to conduct a thorough audit of such data incident; </w:t>
      </w:r>
    </w:p>
    <w:p w14:paraId="4ED5D4BE" w14:textId="77777777" w:rsidR="00F67E9E" w:rsidRPr="00016234" w:rsidRDefault="00F67E9E" w:rsidP="00F67E9E">
      <w:pPr>
        <w:pStyle w:val="AppendixText3"/>
      </w:pPr>
      <w:r w:rsidRPr="00016234">
        <w:t xml:space="preserve">If in the view of the Information Commissioner, the Supplier is responsible for the </w:t>
      </w:r>
      <w:r>
        <w:t>Data Loss Event</w:t>
      </w:r>
      <w:r w:rsidRPr="00016234">
        <w:t>, in that it is not a breach that the Authority is responsible for, then the Supplier shall be responsible for the payment of these Financial Penalties. The Supplier will provide to the Authority and its auditors, on request and at the Supplier</w:t>
      </w:r>
      <w:r>
        <w:t>’</w:t>
      </w:r>
      <w:r w:rsidRPr="00016234">
        <w:t>s sole cost, full cooperation and access to conduct a thorough audit of such data incident; or</w:t>
      </w:r>
    </w:p>
    <w:p w14:paraId="7C4F61F3" w14:textId="5B580175" w:rsidR="00F67E9E" w:rsidRPr="00016234" w:rsidRDefault="00F67E9E" w:rsidP="00F67E9E">
      <w:pPr>
        <w:pStyle w:val="AppendixText3"/>
      </w:pPr>
      <w:r w:rsidRPr="00016234">
        <w:t xml:space="preserve">If no view as to responsibility is expressed by the Information Commissioner, then the Authority and the Supplier shall work together to investigate the relevant data incident and allocate responsibility for any Financial Penalties as outlined above, or by agreement to split any Financial Penalties equally if no responsibility for the </w:t>
      </w:r>
      <w:r>
        <w:t>Data Loss Event</w:t>
      </w:r>
      <w:r w:rsidRPr="00016234">
        <w:t xml:space="preserve"> can be apportioned. In the event that the Parties do not agree such apportionment then such Dispute shall be referred to the Dispute Resolution Procedure set out in </w:t>
      </w:r>
      <w:r>
        <w:rPr>
          <w:rFonts w:cs="Arial"/>
        </w:rPr>
        <w:fldChar w:fldCharType="begin"/>
      </w:r>
      <w:r>
        <w:rPr>
          <w:rFonts w:cs="Arial"/>
        </w:rPr>
        <w:instrText xml:space="preserve"> REF Schedule23 \h </w:instrText>
      </w:r>
      <w:r>
        <w:rPr>
          <w:rFonts w:cs="Arial"/>
        </w:rPr>
      </w:r>
      <w:r>
        <w:rPr>
          <w:rFonts w:cs="Arial"/>
        </w:rPr>
        <w:fldChar w:fldCharType="separate"/>
      </w:r>
      <w:r w:rsidR="00302D39" w:rsidRPr="005D0525">
        <w:t>Schedule</w:t>
      </w:r>
      <w:r w:rsidR="00302D39">
        <w:t> </w:t>
      </w:r>
      <w:r w:rsidR="00302D39" w:rsidRPr="005D0525">
        <w:t>23</w:t>
      </w:r>
      <w:r>
        <w:rPr>
          <w:rFonts w:cs="Arial"/>
        </w:rPr>
        <w:fldChar w:fldCharType="end"/>
      </w:r>
      <w:r>
        <w:rPr>
          <w:rFonts w:cs="Arial"/>
        </w:rPr>
        <w:t xml:space="preserve"> (</w:t>
      </w:r>
      <w:r w:rsidRPr="002F30DB">
        <w:rPr>
          <w:rFonts w:cs="Arial"/>
          <w:i/>
          <w:iCs/>
        </w:rPr>
        <w:fldChar w:fldCharType="begin"/>
      </w:r>
      <w:r w:rsidRPr="002F30DB">
        <w:rPr>
          <w:rFonts w:cs="Arial"/>
          <w:i/>
          <w:iCs/>
        </w:rPr>
        <w:instrText xml:space="preserve"> REF Schedule23Heading \h </w:instrText>
      </w:r>
      <w:r>
        <w:rPr>
          <w:rFonts w:cs="Arial"/>
          <w:i/>
          <w:iCs/>
        </w:rPr>
        <w:instrText xml:space="preserve"> \* MERGEFORMAT </w:instrText>
      </w:r>
      <w:r w:rsidRPr="002F30DB">
        <w:rPr>
          <w:rFonts w:cs="Arial"/>
          <w:i/>
          <w:iCs/>
        </w:rPr>
      </w:r>
      <w:r w:rsidRPr="002F30DB">
        <w:rPr>
          <w:rFonts w:cs="Arial"/>
          <w:i/>
          <w:iCs/>
        </w:rPr>
        <w:fldChar w:fldCharType="separate"/>
      </w:r>
      <w:r w:rsidR="00302D39" w:rsidRPr="00302D39">
        <w:rPr>
          <w:i/>
          <w:iCs/>
        </w:rPr>
        <w:t>Dispute Resolution Procedure</w:t>
      </w:r>
      <w:r w:rsidRPr="002F30DB">
        <w:rPr>
          <w:rFonts w:cs="Arial"/>
          <w:i/>
          <w:iCs/>
        </w:rPr>
        <w:fldChar w:fldCharType="end"/>
      </w:r>
      <w:r>
        <w:rPr>
          <w:rFonts w:cs="Arial"/>
        </w:rPr>
        <w:t>)</w:t>
      </w:r>
      <w:r w:rsidRPr="00016234">
        <w:t>.</w:t>
      </w:r>
    </w:p>
    <w:p w14:paraId="0C6D9AD2" w14:textId="77777777" w:rsidR="00F67E9E" w:rsidRPr="00016234" w:rsidRDefault="00F67E9E" w:rsidP="00F67E9E">
      <w:pPr>
        <w:pStyle w:val="AppendixText2"/>
      </w:pPr>
      <w:bookmarkStart w:id="2872" w:name="_9kR3WTrAGA788EHTEhl11nyE5rLWMA6HCFWSMSJ"/>
      <w:bookmarkStart w:id="2873" w:name="_Ref_ContractCompanion_9kb9Ut33B"/>
      <w:r w:rsidRPr="00016234">
        <w:t>If either the Authority or the Supplier is the defendant in a legal claim brought before a court of competent jurisdiction (</w:t>
      </w:r>
      <w:r>
        <w:t>“</w:t>
      </w:r>
      <w:r w:rsidRPr="002E7013">
        <w:rPr>
          <w:rStyle w:val="StdBodyTextBoldChar"/>
          <w:rFonts w:eastAsia="Verdana" w:cs="Arial"/>
        </w:rPr>
        <w:t>Court</w:t>
      </w:r>
      <w:r>
        <w:t>”</w:t>
      </w:r>
      <w:r w:rsidRPr="00016234">
        <w:t xml:space="preserve">) by a third party in respect of a </w:t>
      </w:r>
      <w:r>
        <w:t>Data Loss Event</w:t>
      </w:r>
      <w:r w:rsidRPr="00016234">
        <w:t xml:space="preserve">, then unless the Parties otherwise agree, the Party that is determined by the final decision of the court to be responsible for the </w:t>
      </w:r>
      <w:r>
        <w:t>Data Loss Event</w:t>
      </w:r>
      <w:r w:rsidRPr="00016234">
        <w:t xml:space="preserve"> shall be liable for the losses arising from such breach.</w:t>
      </w:r>
      <w:bookmarkEnd w:id="2872"/>
      <w:r w:rsidRPr="00016234">
        <w:t xml:space="preserve"> Where both Parties are liable, the liability will be apportioned between the Parties in accordance with the decision of the Court.</w:t>
      </w:r>
      <w:bookmarkEnd w:id="2873"/>
    </w:p>
    <w:p w14:paraId="63D9215C" w14:textId="77777777" w:rsidR="00F67E9E" w:rsidRPr="00016234" w:rsidRDefault="00F67E9E" w:rsidP="00F67E9E">
      <w:pPr>
        <w:pStyle w:val="AppendixText2"/>
      </w:pPr>
      <w:bookmarkStart w:id="2874" w:name="_Ref_ContractCompanion_9kb9Ut338"/>
      <w:bookmarkStart w:id="2875" w:name="_9kR3WTrAGA77ELIUM2uw8vjzCzmvKJAINABA7OU"/>
      <w:r w:rsidRPr="00016234">
        <w:t xml:space="preserve">In respect of any losses, cost claims or expenses incurred by either Party as a result of a </w:t>
      </w:r>
      <w:r>
        <w:t>Data Loss Event</w:t>
      </w:r>
      <w:r w:rsidRPr="00016234">
        <w:t xml:space="preserve"> (the </w:t>
      </w:r>
      <w:r>
        <w:t>“</w:t>
      </w:r>
      <w:r w:rsidRPr="002E7013">
        <w:rPr>
          <w:rStyle w:val="StdBodyTextBoldChar"/>
          <w:rFonts w:eastAsia="Verdana" w:cs="Arial"/>
        </w:rPr>
        <w:t>Claim Losses</w:t>
      </w:r>
      <w:r>
        <w:t>”</w:t>
      </w:r>
      <w:r w:rsidRPr="00016234">
        <w:t>):</w:t>
      </w:r>
      <w:bookmarkEnd w:id="2874"/>
      <w:bookmarkEnd w:id="2875"/>
    </w:p>
    <w:p w14:paraId="1BE1B3AB" w14:textId="77777777" w:rsidR="00F67E9E" w:rsidRPr="00016234" w:rsidRDefault="00F67E9E" w:rsidP="00F67E9E">
      <w:pPr>
        <w:pStyle w:val="AppendixText3"/>
      </w:pPr>
      <w:r w:rsidRPr="00016234">
        <w:t>if the Authority is responsible for the relevant breach, then the Authority shall be responsible for the Claim Losses;</w:t>
      </w:r>
    </w:p>
    <w:p w14:paraId="3CB67A84" w14:textId="77777777" w:rsidR="00F67E9E" w:rsidRPr="00016234" w:rsidRDefault="00F67E9E" w:rsidP="00F67E9E">
      <w:pPr>
        <w:pStyle w:val="AppendixText3"/>
      </w:pPr>
      <w:r w:rsidRPr="00016234">
        <w:t>if the Supplier is responsible for the relevant breach, then the Supplier shall be responsible for the Claim Losses; and</w:t>
      </w:r>
    </w:p>
    <w:p w14:paraId="3F86FA29" w14:textId="77777777" w:rsidR="00F67E9E" w:rsidRPr="00016234" w:rsidRDefault="00F67E9E" w:rsidP="00F67E9E">
      <w:pPr>
        <w:pStyle w:val="AppendixText3"/>
      </w:pPr>
      <w:r w:rsidRPr="00016234">
        <w:t xml:space="preserve">if responsibility is unclear, then the Authority and the Supplier shall be responsible for the Claim Losses equally. </w:t>
      </w:r>
    </w:p>
    <w:p w14:paraId="3837D96D" w14:textId="069D4A2B" w:rsidR="00F67E9E" w:rsidRPr="00016234" w:rsidRDefault="00F67E9E" w:rsidP="00F67E9E">
      <w:pPr>
        <w:pStyle w:val="AppendixText2"/>
      </w:pPr>
      <w:bookmarkStart w:id="2876" w:name="_Ref78376848"/>
      <w:r w:rsidRPr="00016234">
        <w:t xml:space="preserve">Nothing in </w:t>
      </w:r>
      <w:bookmarkStart w:id="2877" w:name="_9kMHG5YVtCIC9AAGJVGjn33p0G7tNYOC8JEHYUO"/>
      <w:r w:rsidRPr="00016234">
        <w:t xml:space="preserve">Paragraphs </w:t>
      </w:r>
      <w:r w:rsidRPr="00016234">
        <w:fldChar w:fldCharType="begin"/>
      </w:r>
      <w:r w:rsidRPr="00016234">
        <w:instrText xml:space="preserve"> REF _Ref_ContractCompanion_9kb9Ut33B \n \h \t \* MERGEFORMAT </w:instrText>
      </w:r>
      <w:r w:rsidRPr="00016234">
        <w:fldChar w:fldCharType="separate"/>
      </w:r>
      <w:r w:rsidR="00302D39">
        <w:t>8.2</w:t>
      </w:r>
      <w:r w:rsidRPr="00016234">
        <w:fldChar w:fldCharType="end"/>
      </w:r>
      <w:bookmarkEnd w:id="2877"/>
      <w:r w:rsidRPr="00016234">
        <w:t>-</w:t>
      </w:r>
      <w:bookmarkStart w:id="2878" w:name="_9kMHG5YVtCIC99GNKWO4wyAxl1E1oxMLCKPCDC9"/>
      <w:r w:rsidRPr="00016234">
        <w:fldChar w:fldCharType="begin"/>
      </w:r>
      <w:r w:rsidRPr="00016234">
        <w:instrText xml:space="preserve"> REF _Ref_ContractCompanion_9kb9Ut338 \n \h \t \* MERGEFORMAT </w:instrText>
      </w:r>
      <w:r w:rsidRPr="00016234">
        <w:fldChar w:fldCharType="separate"/>
      </w:r>
      <w:r w:rsidR="00302D39">
        <w:t>8.3</w:t>
      </w:r>
      <w:r w:rsidRPr="00016234">
        <w:fldChar w:fldCharType="end"/>
      </w:r>
      <w:bookmarkEnd w:id="2878"/>
      <w:r w:rsidRPr="00016234">
        <w:t xml:space="preserve"> shall preclude the Authority and the Supplier reaching any other agreement, including by way of compromise with a third party complainant or claimant, as to the apportionment of financial responsibility for any Claim Losses as a result of a </w:t>
      </w:r>
      <w:r>
        <w:t>Data Loss Event</w:t>
      </w:r>
      <w:r w:rsidRPr="00016234">
        <w:t>, having regard to all the circumstances of the breach and the legal and financial obligations of the Authority.</w:t>
      </w:r>
      <w:bookmarkEnd w:id="2876"/>
    </w:p>
    <w:p w14:paraId="519CFEF7" w14:textId="77777777" w:rsidR="00F67E9E" w:rsidRPr="00016234" w:rsidRDefault="00F67E9E" w:rsidP="00F67E9E">
      <w:pPr>
        <w:pStyle w:val="AppendixText1"/>
      </w:pPr>
      <w:r w:rsidRPr="00016234">
        <w:t>Termination</w:t>
      </w:r>
    </w:p>
    <w:p w14:paraId="0EEE37CE" w14:textId="47E036CE" w:rsidR="00F67E9E" w:rsidRPr="00016234" w:rsidRDefault="00F67E9E" w:rsidP="00F67E9E">
      <w:pPr>
        <w:pStyle w:val="AppendixText2"/>
      </w:pPr>
      <w:r w:rsidRPr="00016234">
        <w:t xml:space="preserve">If the Supplier is in material Default under any of its obligations under this Annex </w:t>
      </w:r>
      <w:r w:rsidRPr="00016234">
        <w:fldChar w:fldCharType="begin"/>
      </w:r>
      <w:r w:rsidRPr="00016234">
        <w:instrText xml:space="preserve"> REF ANNEX1_SCHEDULE31 \h </w:instrText>
      </w:r>
      <w:r>
        <w:instrText xml:space="preserve"> \* MERGEFORMAT </w:instrText>
      </w:r>
      <w:r w:rsidRPr="00016234">
        <w:fldChar w:fldCharType="separate"/>
      </w:r>
      <w:r w:rsidR="00302D39" w:rsidRPr="00016234">
        <w:t>1</w:t>
      </w:r>
      <w:r w:rsidRPr="00016234">
        <w:fldChar w:fldCharType="end"/>
      </w:r>
      <w:r w:rsidRPr="00016234">
        <w:t xml:space="preserve"> (</w:t>
      </w:r>
      <w:r w:rsidRPr="002E7013">
        <w:rPr>
          <w:i/>
          <w:iCs/>
        </w:rPr>
        <w:fldChar w:fldCharType="begin"/>
      </w:r>
      <w:r w:rsidRPr="002E7013">
        <w:rPr>
          <w:i/>
          <w:iCs/>
        </w:rPr>
        <w:instrText xml:space="preserve"> REF ANNEX1HEADING_SCHEDULE31 \h  \* MERGEFORMAT </w:instrText>
      </w:r>
      <w:r w:rsidRPr="002E7013">
        <w:rPr>
          <w:i/>
          <w:iCs/>
        </w:rPr>
      </w:r>
      <w:r w:rsidRPr="002E7013">
        <w:rPr>
          <w:i/>
          <w:iCs/>
        </w:rPr>
        <w:fldChar w:fldCharType="separate"/>
      </w:r>
      <w:r w:rsidR="00302D39" w:rsidRPr="00302D39">
        <w:rPr>
          <w:i/>
          <w:iCs/>
        </w:rPr>
        <w:t>Joint Controller Agreement</w:t>
      </w:r>
      <w:r w:rsidRPr="002E7013">
        <w:rPr>
          <w:i/>
          <w:iCs/>
        </w:rPr>
        <w:fldChar w:fldCharType="end"/>
      </w:r>
      <w:r w:rsidRPr="00016234">
        <w:t>), the Authority shall be entitled to terminate this Contract</w:t>
      </w:r>
      <w:r w:rsidRPr="00016234" w:rsidDel="00562BBE">
        <w:t xml:space="preserve"> </w:t>
      </w:r>
      <w:r w:rsidRPr="00016234">
        <w:t xml:space="preserve">by issuing a </w:t>
      </w:r>
      <w:bookmarkStart w:id="2879" w:name="_9kMHzG6ZWu5DFAFMkPu3vxqx628ieHCwt"/>
      <w:r w:rsidRPr="00016234">
        <w:t>Termination Notice</w:t>
      </w:r>
      <w:bookmarkEnd w:id="2879"/>
      <w:r w:rsidRPr="00016234">
        <w:t xml:space="preserve"> to the Supplier in accordance with </w:t>
      </w:r>
      <w:bookmarkStart w:id="2880" w:name="_9kMJI5YVt4EE8FELEjtCx9M"/>
      <w:r w:rsidRPr="00016234">
        <w:t>Clause 31</w:t>
      </w:r>
      <w:bookmarkEnd w:id="2880"/>
      <w:r w:rsidRPr="00016234">
        <w:t xml:space="preserve"> (</w:t>
      </w:r>
      <w:r w:rsidRPr="002E7013">
        <w:rPr>
          <w:i/>
        </w:rPr>
        <w:t>Termination Rights</w:t>
      </w:r>
      <w:r w:rsidRPr="00016234">
        <w:t>).</w:t>
      </w:r>
    </w:p>
    <w:p w14:paraId="63DF86CB" w14:textId="77777777" w:rsidR="00F67E9E" w:rsidRPr="00016234" w:rsidRDefault="00F67E9E" w:rsidP="00F67E9E">
      <w:pPr>
        <w:pStyle w:val="AppendixText1"/>
      </w:pPr>
      <w:r w:rsidRPr="00016234">
        <w:t>Sub-Processing</w:t>
      </w:r>
    </w:p>
    <w:p w14:paraId="1142F2FD" w14:textId="77777777" w:rsidR="00F67E9E" w:rsidRPr="00016234" w:rsidRDefault="00F67E9E" w:rsidP="00F67E9E">
      <w:pPr>
        <w:pStyle w:val="AppendixText2"/>
      </w:pPr>
      <w:r w:rsidRPr="00016234">
        <w:t>In respect of any Processing of Personal performed by a third party on behalf of a Party, that Party shall:</w:t>
      </w:r>
    </w:p>
    <w:p w14:paraId="50709433" w14:textId="77777777" w:rsidR="00F67E9E" w:rsidRPr="00211A99" w:rsidRDefault="00F67E9E" w:rsidP="00F67E9E">
      <w:pPr>
        <w:pStyle w:val="AppendixText3"/>
      </w:pPr>
      <w:r w:rsidRPr="00016234">
        <w:t xml:space="preserve">carry out adequate due diligence on such third party to ensure that it is capable of providing the level of protection for the Personal Data as is required by this Contract, and provide evidence of such due diligence to the other Party where </w:t>
      </w:r>
      <w:r w:rsidRPr="00211A99">
        <w:t>reasonably requested; and</w:t>
      </w:r>
    </w:p>
    <w:p w14:paraId="09F23C87" w14:textId="77777777" w:rsidR="00F67E9E" w:rsidRPr="00016234" w:rsidRDefault="00F67E9E" w:rsidP="00F67E9E">
      <w:pPr>
        <w:pStyle w:val="AppendixText3"/>
      </w:pPr>
      <w:r w:rsidRPr="00211A99">
        <w:t>ensure that a suitable agreement is in place with the third party as required under appl</w:t>
      </w:r>
      <w:r w:rsidRPr="00016234">
        <w:t>icable Data Protection Legislation.</w:t>
      </w:r>
    </w:p>
    <w:p w14:paraId="2D08ABE9" w14:textId="77777777" w:rsidR="00F67E9E" w:rsidRPr="00016234" w:rsidRDefault="00F67E9E" w:rsidP="00F67E9E">
      <w:pPr>
        <w:pStyle w:val="AppendixText1"/>
      </w:pPr>
      <w:r w:rsidRPr="00016234">
        <w:t>Data Retention</w:t>
      </w:r>
    </w:p>
    <w:p w14:paraId="40B7CB35" w14:textId="77777777" w:rsidR="00F67E9E" w:rsidRPr="000B4593" w:rsidRDefault="00F67E9E" w:rsidP="00F67E9E">
      <w:pPr>
        <w:pStyle w:val="AppendixText2"/>
        <w:rPr>
          <w:rFonts w:eastAsiaTheme="majorEastAsia"/>
        </w:rPr>
      </w:pPr>
      <w:r w:rsidRPr="00016234">
        <w:t>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a Party for statutory compliance purposes or as otherwise required by this Contract), and taking all further actions as may be necessary to ensure its compliance with Data Protection Legislation and its privacy policy.</w:t>
      </w:r>
      <w:bookmarkStart w:id="2881" w:name="_Ref92706629"/>
    </w:p>
    <w:p w14:paraId="65FB879E" w14:textId="77777777" w:rsidR="00F67E9E" w:rsidRDefault="00F67E9E" w:rsidP="00F67E9E">
      <w:pPr>
        <w:pStyle w:val="Heading2"/>
        <w:pageBreakBefore/>
      </w:pPr>
      <w:bookmarkStart w:id="2882" w:name="_Ref99088368"/>
      <w:bookmarkStart w:id="2883" w:name="_Toc141712000"/>
      <w:r w:rsidRPr="00016234">
        <w:t xml:space="preserve">Annex </w:t>
      </w:r>
      <w:bookmarkStart w:id="2884" w:name="ANNEX2_PARTA_SCHEDULE31"/>
      <w:r w:rsidRPr="00016234">
        <w:t>2</w:t>
      </w:r>
      <w:bookmarkEnd w:id="2884"/>
      <w:r w:rsidRPr="00016234">
        <w:t>:</w:t>
      </w:r>
      <w:bookmarkEnd w:id="2881"/>
      <w:bookmarkEnd w:id="2882"/>
      <w:r>
        <w:t xml:space="preserve"> </w:t>
      </w:r>
      <w:r w:rsidRPr="00724541">
        <w:rPr>
          <w:rFonts w:cs="Arial"/>
        </w:rPr>
        <w:t xml:space="preserve">International Data Transfer Agreement </w:t>
      </w:r>
      <w:r>
        <w:rPr>
          <w:rFonts w:cs="Arial"/>
        </w:rPr>
        <w:t>a</w:t>
      </w:r>
      <w:r w:rsidRPr="00724541">
        <w:rPr>
          <w:rFonts w:cs="Arial"/>
        </w:rPr>
        <w:t xml:space="preserve">nd </w:t>
      </w:r>
      <w:r w:rsidRPr="00724541">
        <w:rPr>
          <w:rFonts w:cs="Arial"/>
          <w:szCs w:val="24"/>
        </w:rPr>
        <w:t>International Data</w:t>
      </w:r>
      <w:r>
        <w:rPr>
          <w:rFonts w:cs="Arial"/>
          <w:szCs w:val="24"/>
        </w:rPr>
        <w:t> </w:t>
      </w:r>
      <w:r w:rsidRPr="00724541">
        <w:rPr>
          <w:rFonts w:cs="Arial"/>
          <w:szCs w:val="24"/>
        </w:rPr>
        <w:t>Transfer Agreement Addendum to the EU Commission Standard</w:t>
      </w:r>
      <w:r>
        <w:rPr>
          <w:rFonts w:cs="Arial"/>
          <w:szCs w:val="24"/>
        </w:rPr>
        <w:t> </w:t>
      </w:r>
      <w:r w:rsidRPr="00724541">
        <w:rPr>
          <w:rFonts w:cs="Arial"/>
          <w:szCs w:val="24"/>
        </w:rPr>
        <w:t>Contractual Clauses</w:t>
      </w:r>
      <w:bookmarkEnd w:id="2883"/>
    </w:p>
    <w:p w14:paraId="7D8EB0A8" w14:textId="77777777" w:rsidR="00F67E9E" w:rsidRPr="000038E2" w:rsidRDefault="00F67E9E" w:rsidP="00F67E9E">
      <w:pPr>
        <w:pStyle w:val="Heading2"/>
      </w:pPr>
      <w:bookmarkStart w:id="2885" w:name="_Toc141712001"/>
      <w:r w:rsidRPr="00016234">
        <w:t>Part A: International Data Transfer Agreement</w:t>
      </w:r>
      <w:bookmarkEnd w:id="2885"/>
    </w:p>
    <w:p w14:paraId="661C0B53" w14:textId="77777777" w:rsidR="00F67E9E" w:rsidRPr="005E6B3B" w:rsidRDefault="00F67E9E" w:rsidP="00F67E9E">
      <w:pPr>
        <w:rPr>
          <w:rFonts w:eastAsia="Arial" w:cs="Arial"/>
          <w:b/>
          <w:i/>
        </w:rPr>
      </w:pPr>
      <w:r w:rsidRPr="005E6B3B">
        <w:rPr>
          <w:rFonts w:eastAsia="Arial" w:cs="Arial"/>
          <w:b/>
          <w:i/>
          <w:highlight w:val="yellow"/>
        </w:rPr>
        <w:t>[Guidance: Delete this Annex and replace with the text ‘NOT USED’ if the Authority has chosen to refer out to the IDTA, rather than incorporating the text, that is, by selecting the first set of square brackets in Clause 21 of the Core Terms and in this Schedule.]</w:t>
      </w:r>
    </w:p>
    <w:p w14:paraId="5CEB5760" w14:textId="77777777" w:rsidR="00F67E9E" w:rsidRPr="00FE5D62" w:rsidRDefault="00F67E9E" w:rsidP="00F67E9E">
      <w:pPr>
        <w:rPr>
          <w:rFonts w:cs="Arial"/>
        </w:rPr>
      </w:pPr>
    </w:p>
    <w:p w14:paraId="4B83F11D" w14:textId="77777777" w:rsidR="00F67E9E" w:rsidRPr="00FE5D62" w:rsidRDefault="00F67E9E" w:rsidP="00F67E9E">
      <w:pPr>
        <w:rPr>
          <w:rFonts w:cs="Arial"/>
        </w:rPr>
      </w:pPr>
    </w:p>
    <w:p w14:paraId="1FC5CD50" w14:textId="77777777" w:rsidR="00F67E9E" w:rsidRPr="006D032A" w:rsidRDefault="00F67E9E" w:rsidP="00F67E9E">
      <w:pPr>
        <w:rPr>
          <w:rFonts w:cs="Arial"/>
        </w:rPr>
      </w:pPr>
      <w:bookmarkStart w:id="2886" w:name="_Hlk90932095"/>
      <w:r w:rsidRPr="006D032A">
        <w:rPr>
          <w:rFonts w:cs="Arial"/>
          <w:noProof/>
          <w:lang w:eastAsia="en-GB"/>
        </w:rPr>
        <w:drawing>
          <wp:inline distT="0" distB="0" distL="0" distR="0" wp14:anchorId="75E477F1" wp14:editId="58DA3D7A">
            <wp:extent cx="1314000" cy="770400"/>
            <wp:effectExtent l="0" t="0" r="635" b="0"/>
            <wp:docPr id="126" name="Picture 126" descr="ICO - Information Commissioner's Office"/>
            <wp:cNvGraphicFramePr/>
            <a:graphic xmlns:a="http://schemas.openxmlformats.org/drawingml/2006/main">
              <a:graphicData uri="http://schemas.openxmlformats.org/drawingml/2006/picture">
                <pic:pic xmlns:pic="http://schemas.openxmlformats.org/drawingml/2006/picture">
                  <pic:nvPicPr>
                    <pic:cNvPr id="126" name="Picture 126" descr="ICO - Information Commissioner's Office"/>
                    <pic:cNvPicPr/>
                  </pic:nvPicPr>
                  <pic:blipFill>
                    <a:blip r:embed="rId142">
                      <a:extLst>
                        <a:ext uri="{28A0092B-C50C-407E-A947-70E740481C1C}">
                          <a14:useLocalDpi xmlns:a14="http://schemas.microsoft.com/office/drawing/2010/main" val="0"/>
                        </a:ext>
                      </a:extLst>
                    </a:blip>
                    <a:stretch>
                      <a:fillRect/>
                    </a:stretch>
                  </pic:blipFill>
                  <pic:spPr>
                    <a:xfrm>
                      <a:off x="0" y="0"/>
                      <a:ext cx="1314000" cy="770400"/>
                    </a:xfrm>
                    <a:prstGeom prst="rect">
                      <a:avLst/>
                    </a:prstGeom>
                  </pic:spPr>
                </pic:pic>
              </a:graphicData>
            </a:graphic>
          </wp:inline>
        </w:drawing>
      </w:r>
    </w:p>
    <w:p w14:paraId="02623F7F" w14:textId="77777777" w:rsidR="00F67E9E" w:rsidRPr="006D032A" w:rsidRDefault="00F67E9E" w:rsidP="00F67E9E">
      <w:pPr>
        <w:rPr>
          <w:rFonts w:cs="Arial"/>
        </w:rPr>
      </w:pPr>
    </w:p>
    <w:p w14:paraId="0E2A9EEA" w14:textId="77777777" w:rsidR="00F67E9E" w:rsidRDefault="00F67E9E" w:rsidP="00F67E9E">
      <w:pPr>
        <w:pStyle w:val="Heading1-ICO"/>
        <w:pageBreakBefore w:val="0"/>
      </w:pPr>
      <w:r>
        <w:t xml:space="preserve">Standard Data </w:t>
      </w:r>
      <w:r w:rsidRPr="00FC059C">
        <w:t>Protection</w:t>
      </w:r>
      <w:r>
        <w:t xml:space="preserve"> Clauses to </w:t>
      </w:r>
      <w:r w:rsidRPr="00686790">
        <w:t>be</w:t>
      </w:r>
      <w:r>
        <w:t xml:space="preserve"> issued by the Commissioner under S119A(1) </w:t>
      </w:r>
      <w:r w:rsidRPr="004D1440">
        <w:t>Data</w:t>
      </w:r>
      <w:r>
        <w:t xml:space="preserve"> Protection Act 2018</w:t>
      </w:r>
    </w:p>
    <w:p w14:paraId="141F3E32" w14:textId="77777777" w:rsidR="00F67E9E" w:rsidRPr="000038E2" w:rsidRDefault="00F67E9E" w:rsidP="00F67E9E">
      <w:pPr>
        <w:pStyle w:val="Heading2-ICO"/>
      </w:pPr>
      <w:r>
        <w:t>International Data Transfer Agreement</w:t>
      </w:r>
    </w:p>
    <w:p w14:paraId="0DA1BDB6" w14:textId="77777777" w:rsidR="00F67E9E" w:rsidRPr="0015362D" w:rsidRDefault="00F67E9E" w:rsidP="00F67E9E">
      <w:pPr>
        <w:pBdr>
          <w:bottom w:val="single" w:sz="4" w:space="16" w:color="003768"/>
        </w:pBdr>
        <w:spacing w:after="360"/>
        <w:rPr>
          <w:b/>
          <w:color w:val="54534A"/>
        </w:rPr>
      </w:pPr>
      <w:r w:rsidRPr="0015362D">
        <w:rPr>
          <w:b/>
          <w:color w:val="54534A"/>
        </w:rPr>
        <w:t>V</w:t>
      </w:r>
      <w:r>
        <w:rPr>
          <w:b/>
          <w:color w:val="54534A"/>
        </w:rPr>
        <w:t>ERSION</w:t>
      </w:r>
      <w:r w:rsidRPr="0015362D">
        <w:rPr>
          <w:b/>
          <w:color w:val="54534A"/>
        </w:rPr>
        <w:t xml:space="preserve"> </w:t>
      </w:r>
      <w:r w:rsidRPr="00FE58E0">
        <w:rPr>
          <w:b/>
          <w:color w:val="54534A"/>
        </w:rPr>
        <w:t>A1.0, in force 21 March 202</w:t>
      </w:r>
      <w:r>
        <w:rPr>
          <w:b/>
          <w:color w:val="54534A"/>
        </w:rPr>
        <w:t>2</w:t>
      </w:r>
    </w:p>
    <w:p w14:paraId="10F7B5C7" w14:textId="77777777" w:rsidR="00F67E9E" w:rsidRDefault="00F67E9E" w:rsidP="00F67E9E">
      <w:bookmarkStart w:id="2887" w:name="_Toc79405427"/>
      <w:r>
        <w:t>This IDTA has been issued by the Information Commissioner for Parties making R</w:t>
      </w:r>
      <w:r w:rsidRPr="004552A2">
        <w:t xml:space="preserve">estricted </w:t>
      </w:r>
      <w:r>
        <w:t>T</w:t>
      </w:r>
      <w:r w:rsidRPr="004552A2">
        <w:t>ransfers</w:t>
      </w:r>
      <w:r>
        <w:t xml:space="preserve">. The </w:t>
      </w:r>
      <w:r w:rsidRPr="00F04F23">
        <w:t>Information</w:t>
      </w:r>
      <w:r>
        <w:t xml:space="preserve"> Commissioner considers that it provides Appropriate Safeguards for Restricted Transfers when it is entered into as a legally binding contract.</w:t>
      </w:r>
    </w:p>
    <w:p w14:paraId="0A0551C9" w14:textId="77777777" w:rsidR="00F67E9E" w:rsidRPr="000F2A39" w:rsidRDefault="00F67E9E" w:rsidP="00F67E9E">
      <w:pPr>
        <w:pStyle w:val="Heading3"/>
      </w:pPr>
      <w:bookmarkStart w:id="2888" w:name="_Toc79405424"/>
      <w:r w:rsidRPr="000F2A39">
        <w:t>Part 1: Tables</w:t>
      </w:r>
      <w:bookmarkEnd w:id="2888"/>
    </w:p>
    <w:p w14:paraId="091F523B" w14:textId="77777777" w:rsidR="00F67E9E" w:rsidRPr="00157B71" w:rsidRDefault="00F67E9E" w:rsidP="00F67E9E">
      <w:pPr>
        <w:keepNext/>
        <w:keepLines/>
        <w:spacing w:before="100" w:after="100"/>
        <w:rPr>
          <w:b/>
          <w:bCs/>
        </w:rPr>
      </w:pPr>
      <w:r w:rsidRPr="00157B71">
        <w:rPr>
          <w:b/>
          <w:bCs/>
        </w:rPr>
        <w:t>Table 1: Parties and signatures</w:t>
      </w:r>
    </w:p>
    <w:tbl>
      <w:tblPr>
        <w:tblStyle w:val="MSATable-header"/>
        <w:tblW w:w="5000" w:type="pct"/>
        <w:tblLook w:val="0600" w:firstRow="0" w:lastRow="0" w:firstColumn="0" w:lastColumn="0" w:noHBand="1" w:noVBand="1"/>
      </w:tblPr>
      <w:tblGrid>
        <w:gridCol w:w="2398"/>
        <w:gridCol w:w="7790"/>
      </w:tblGrid>
      <w:tr w:rsidR="00F67E9E" w:rsidRPr="00AE092F" w14:paraId="6F9803C5" w14:textId="77777777" w:rsidTr="007F74AA">
        <w:tc>
          <w:tcPr>
            <w:tcW w:w="1177" w:type="pct"/>
            <w:shd w:val="clear" w:color="auto" w:fill="F0F0F0"/>
          </w:tcPr>
          <w:p w14:paraId="11A25C7B" w14:textId="77777777" w:rsidR="00F67E9E" w:rsidRPr="003A12B6" w:rsidRDefault="00F67E9E" w:rsidP="007F74AA">
            <w:pPr>
              <w:rPr>
                <w:rFonts w:asciiTheme="minorHAnsi" w:eastAsia="Arial" w:hAnsiTheme="minorHAnsi" w:cstheme="minorHAnsi"/>
                <w:b/>
                <w:bCs/>
                <w:szCs w:val="24"/>
                <w:lang w:bidi="en-US"/>
              </w:rPr>
            </w:pPr>
            <w:r w:rsidRPr="003A12B6">
              <w:rPr>
                <w:rFonts w:asciiTheme="minorHAnsi" w:eastAsia="Arial" w:hAnsiTheme="minorHAnsi" w:cstheme="minorHAnsi"/>
                <w:b/>
                <w:bCs/>
                <w:szCs w:val="24"/>
                <w:lang w:bidi="en-US"/>
              </w:rPr>
              <w:t>Start date</w:t>
            </w:r>
          </w:p>
        </w:tc>
        <w:tc>
          <w:tcPr>
            <w:tcW w:w="3823" w:type="pct"/>
          </w:tcPr>
          <w:p w14:paraId="1CC29342" w14:textId="77777777" w:rsidR="00F67E9E" w:rsidRPr="003A12B6" w:rsidRDefault="00F67E9E" w:rsidP="007F74AA">
            <w:pPr>
              <w:rPr>
                <w:rFonts w:cs="Arial"/>
              </w:rPr>
            </w:pPr>
          </w:p>
        </w:tc>
      </w:tr>
    </w:tbl>
    <w:p w14:paraId="35D590A2" w14:textId="77777777" w:rsidR="00F67E9E" w:rsidRPr="003A12B6" w:rsidRDefault="00F67E9E" w:rsidP="00F67E9E">
      <w:pPr>
        <w:rPr>
          <w:sz w:val="12"/>
          <w:szCs w:val="12"/>
        </w:rPr>
      </w:pPr>
    </w:p>
    <w:tbl>
      <w:tblPr>
        <w:tblStyle w:val="MSATable-header"/>
        <w:tblW w:w="5000" w:type="pct"/>
        <w:tblLook w:val="0620" w:firstRow="1" w:lastRow="0" w:firstColumn="0" w:lastColumn="0" w:noHBand="1" w:noVBand="1"/>
      </w:tblPr>
      <w:tblGrid>
        <w:gridCol w:w="2398"/>
        <w:gridCol w:w="3894"/>
        <w:gridCol w:w="3896"/>
      </w:tblGrid>
      <w:tr w:rsidR="00F67E9E" w:rsidRPr="003A12B6" w14:paraId="4A7094F4" w14:textId="77777777" w:rsidTr="007F74AA">
        <w:trPr>
          <w:cnfStyle w:val="100000000000" w:firstRow="1" w:lastRow="0" w:firstColumn="0" w:lastColumn="0" w:oddVBand="0" w:evenVBand="0" w:oddHBand="0" w:evenHBand="0" w:firstRowFirstColumn="0" w:firstRowLastColumn="0" w:lastRowFirstColumn="0" w:lastRowLastColumn="0"/>
          <w:tblHeader/>
        </w:trPr>
        <w:tc>
          <w:tcPr>
            <w:tcW w:w="1177" w:type="pct"/>
          </w:tcPr>
          <w:p w14:paraId="5D1A5843" w14:textId="77777777" w:rsidR="00F67E9E" w:rsidRPr="003A12B6" w:rsidRDefault="00F67E9E" w:rsidP="007F74AA">
            <w:pPr>
              <w:rPr>
                <w:rFonts w:asciiTheme="minorHAnsi" w:eastAsia="Arial" w:hAnsiTheme="minorHAnsi" w:cstheme="minorHAnsi"/>
                <w:szCs w:val="24"/>
                <w:lang w:bidi="en-US"/>
              </w:rPr>
            </w:pPr>
            <w:r w:rsidRPr="003A12B6">
              <w:rPr>
                <w:rFonts w:asciiTheme="minorHAnsi" w:eastAsia="Arial" w:hAnsiTheme="minorHAnsi" w:cstheme="minorHAnsi"/>
                <w:szCs w:val="24"/>
                <w:lang w:bidi="en-US"/>
              </w:rPr>
              <w:t>The Parties</w:t>
            </w:r>
          </w:p>
        </w:tc>
        <w:tc>
          <w:tcPr>
            <w:tcW w:w="1911" w:type="pct"/>
          </w:tcPr>
          <w:p w14:paraId="56B8F222" w14:textId="77777777" w:rsidR="00F67E9E" w:rsidRPr="003A12B6" w:rsidRDefault="00F67E9E" w:rsidP="007F74AA">
            <w:pPr>
              <w:rPr>
                <w:rFonts w:asciiTheme="minorHAnsi" w:eastAsia="Arial" w:hAnsiTheme="minorHAnsi" w:cstheme="minorHAnsi"/>
                <w:szCs w:val="24"/>
                <w:lang w:bidi="en-US"/>
              </w:rPr>
            </w:pPr>
            <w:r w:rsidRPr="003A12B6">
              <w:rPr>
                <w:rFonts w:asciiTheme="minorHAnsi" w:eastAsia="Arial" w:hAnsiTheme="minorHAnsi" w:cstheme="minorHAnsi"/>
                <w:szCs w:val="24"/>
                <w:lang w:bidi="en-US"/>
              </w:rPr>
              <w:t>Exporter (who sends the Restricted Transfer)</w:t>
            </w:r>
          </w:p>
        </w:tc>
        <w:tc>
          <w:tcPr>
            <w:tcW w:w="1912" w:type="pct"/>
          </w:tcPr>
          <w:p w14:paraId="102DDC7E" w14:textId="77777777" w:rsidR="00F67E9E" w:rsidRPr="003A12B6" w:rsidRDefault="00F67E9E" w:rsidP="007F74AA">
            <w:pPr>
              <w:rPr>
                <w:rFonts w:asciiTheme="minorHAnsi" w:eastAsia="Arial" w:hAnsiTheme="minorHAnsi" w:cstheme="minorHAnsi"/>
                <w:szCs w:val="24"/>
                <w:lang w:bidi="en-US"/>
              </w:rPr>
            </w:pPr>
            <w:r w:rsidRPr="003A12B6">
              <w:rPr>
                <w:rFonts w:asciiTheme="minorHAnsi" w:eastAsia="Arial" w:hAnsiTheme="minorHAnsi" w:cstheme="minorHAnsi"/>
                <w:szCs w:val="24"/>
                <w:lang w:bidi="en-US"/>
              </w:rPr>
              <w:t>Importer (who receives the Restricted Transfer)</w:t>
            </w:r>
          </w:p>
        </w:tc>
      </w:tr>
      <w:tr w:rsidR="00F67E9E" w:rsidRPr="00AE092F" w14:paraId="617EE897" w14:textId="77777777" w:rsidTr="007F74AA">
        <w:tc>
          <w:tcPr>
            <w:tcW w:w="1177" w:type="pct"/>
            <w:shd w:val="clear" w:color="auto" w:fill="F0F0F0"/>
          </w:tcPr>
          <w:p w14:paraId="5C0F43E8" w14:textId="77777777" w:rsidR="00F67E9E" w:rsidRPr="003A12B6" w:rsidRDefault="00F67E9E" w:rsidP="007F74AA">
            <w:pPr>
              <w:rPr>
                <w:rFonts w:asciiTheme="minorHAnsi" w:eastAsia="Arial" w:hAnsiTheme="minorHAnsi" w:cstheme="minorHAnsi"/>
                <w:b/>
                <w:bCs/>
                <w:szCs w:val="24"/>
                <w:lang w:bidi="en-US"/>
              </w:rPr>
            </w:pPr>
            <w:r w:rsidRPr="003A12B6">
              <w:rPr>
                <w:rFonts w:asciiTheme="minorHAnsi" w:eastAsia="Arial" w:hAnsiTheme="minorHAnsi" w:cstheme="minorHAnsi"/>
                <w:b/>
                <w:bCs/>
                <w:szCs w:val="24"/>
                <w:lang w:bidi="en-US"/>
              </w:rPr>
              <w:t>Parties’ details</w:t>
            </w:r>
          </w:p>
        </w:tc>
        <w:tc>
          <w:tcPr>
            <w:tcW w:w="1911" w:type="pct"/>
          </w:tcPr>
          <w:p w14:paraId="50AD115E" w14:textId="77777777" w:rsidR="00F67E9E" w:rsidRPr="00AE092F" w:rsidRDefault="00F67E9E" w:rsidP="007F74AA">
            <w:pPr>
              <w:spacing w:after="120"/>
              <w:rPr>
                <w:rFonts w:cs="Arial"/>
              </w:rPr>
            </w:pPr>
            <w:r w:rsidRPr="00AE092F">
              <w:rPr>
                <w:rFonts w:cs="Arial"/>
              </w:rPr>
              <w:t xml:space="preserve">Full legal name: </w:t>
            </w:r>
            <w:r w:rsidRPr="003A12B6">
              <w:rPr>
                <w:rFonts w:cs="Arial"/>
              </w:rPr>
              <w:fldChar w:fldCharType="begin">
                <w:ffData>
                  <w:name w:val="Text2"/>
                  <w:enabled/>
                  <w:calcOnExit w:val="0"/>
                  <w:textInput/>
                </w:ffData>
              </w:fldChar>
            </w:r>
            <w:bookmarkStart w:id="2889" w:name="Text2"/>
            <w:r w:rsidRPr="003A12B6">
              <w:rPr>
                <w:rFonts w:cs="Arial"/>
              </w:rPr>
              <w:instrText xml:space="preserve"> FORMTEXT </w:instrText>
            </w:r>
            <w:r w:rsidRPr="003A12B6">
              <w:rPr>
                <w:rFonts w:cs="Arial"/>
              </w:rPr>
            </w:r>
            <w:r w:rsidRPr="003A12B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3A12B6">
              <w:rPr>
                <w:rFonts w:cs="Arial"/>
              </w:rPr>
              <w:fldChar w:fldCharType="end"/>
            </w:r>
            <w:bookmarkEnd w:id="2889"/>
          </w:p>
          <w:p w14:paraId="1A80272E" w14:textId="77777777" w:rsidR="00F67E9E" w:rsidRPr="00AE092F" w:rsidRDefault="00F67E9E" w:rsidP="007F74AA">
            <w:pPr>
              <w:spacing w:after="120"/>
              <w:rPr>
                <w:rFonts w:cs="Arial"/>
              </w:rPr>
            </w:pPr>
            <w:r w:rsidRPr="00AE092F">
              <w:rPr>
                <w:rFonts w:cs="Arial"/>
              </w:rPr>
              <w:t xml:space="preserve">Trading name (if different): </w:t>
            </w:r>
            <w:r w:rsidRPr="003A12B6">
              <w:rPr>
                <w:rFonts w:cs="Arial"/>
              </w:rPr>
              <w:fldChar w:fldCharType="begin">
                <w:ffData>
                  <w:name w:val=""/>
                  <w:enabled/>
                  <w:calcOnExit w:val="0"/>
                  <w:textInput/>
                </w:ffData>
              </w:fldChar>
            </w:r>
            <w:r w:rsidRPr="003A12B6">
              <w:rPr>
                <w:rFonts w:cs="Arial"/>
              </w:rPr>
              <w:instrText xml:space="preserve"> FORMTEXT </w:instrText>
            </w:r>
            <w:r w:rsidRPr="003A12B6">
              <w:rPr>
                <w:rFonts w:cs="Arial"/>
              </w:rPr>
            </w:r>
            <w:r w:rsidRPr="003A12B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3A12B6">
              <w:rPr>
                <w:rFonts w:cs="Arial"/>
              </w:rPr>
              <w:fldChar w:fldCharType="end"/>
            </w:r>
          </w:p>
          <w:p w14:paraId="416BD5FE" w14:textId="77777777" w:rsidR="00F67E9E" w:rsidRPr="00AE092F" w:rsidRDefault="00F67E9E" w:rsidP="007F74AA">
            <w:pPr>
              <w:spacing w:after="120"/>
              <w:rPr>
                <w:rFonts w:cs="Arial"/>
              </w:rPr>
            </w:pPr>
            <w:r w:rsidRPr="00AE092F">
              <w:rPr>
                <w:rFonts w:cs="Arial"/>
              </w:rPr>
              <w:t xml:space="preserve">Main address (if a company registered address): </w:t>
            </w:r>
            <w:r w:rsidRPr="003A12B6">
              <w:rPr>
                <w:rFonts w:cs="Arial"/>
              </w:rPr>
              <w:fldChar w:fldCharType="begin">
                <w:ffData>
                  <w:name w:val=""/>
                  <w:enabled/>
                  <w:calcOnExit w:val="0"/>
                  <w:textInput/>
                </w:ffData>
              </w:fldChar>
            </w:r>
            <w:r w:rsidRPr="003A12B6">
              <w:rPr>
                <w:rFonts w:cs="Arial"/>
              </w:rPr>
              <w:instrText xml:space="preserve"> FORMTEXT </w:instrText>
            </w:r>
            <w:r w:rsidRPr="003A12B6">
              <w:rPr>
                <w:rFonts w:cs="Arial"/>
              </w:rPr>
            </w:r>
            <w:r w:rsidRPr="003A12B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3A12B6">
              <w:rPr>
                <w:rFonts w:cs="Arial"/>
              </w:rPr>
              <w:fldChar w:fldCharType="end"/>
            </w:r>
          </w:p>
          <w:p w14:paraId="60FD59A6" w14:textId="77777777" w:rsidR="00F67E9E" w:rsidRPr="00AE092F" w:rsidRDefault="00F67E9E" w:rsidP="007F74AA">
            <w:pPr>
              <w:rPr>
                <w:rFonts w:cs="Arial"/>
              </w:rPr>
            </w:pPr>
            <w:r w:rsidRPr="00AE092F">
              <w:rPr>
                <w:rFonts w:cs="Arial"/>
              </w:rPr>
              <w:t xml:space="preserve">Official registration number (if any) (company number or similar identifier): </w:t>
            </w:r>
            <w:r w:rsidRPr="003A12B6">
              <w:rPr>
                <w:rFonts w:cs="Arial"/>
              </w:rPr>
              <w:fldChar w:fldCharType="begin">
                <w:ffData>
                  <w:name w:val=""/>
                  <w:enabled/>
                  <w:calcOnExit w:val="0"/>
                  <w:textInput/>
                </w:ffData>
              </w:fldChar>
            </w:r>
            <w:r w:rsidRPr="003A12B6">
              <w:rPr>
                <w:rFonts w:cs="Arial"/>
              </w:rPr>
              <w:instrText xml:space="preserve"> FORMTEXT </w:instrText>
            </w:r>
            <w:r w:rsidRPr="003A12B6">
              <w:rPr>
                <w:rFonts w:cs="Arial"/>
              </w:rPr>
            </w:r>
            <w:r w:rsidRPr="003A12B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3A12B6">
              <w:rPr>
                <w:rFonts w:cs="Arial"/>
              </w:rPr>
              <w:fldChar w:fldCharType="end"/>
            </w:r>
          </w:p>
        </w:tc>
        <w:tc>
          <w:tcPr>
            <w:tcW w:w="1912" w:type="pct"/>
          </w:tcPr>
          <w:p w14:paraId="7265101D" w14:textId="77777777" w:rsidR="00F67E9E" w:rsidRPr="00AE092F" w:rsidRDefault="00F67E9E" w:rsidP="007F74AA">
            <w:pPr>
              <w:spacing w:after="120"/>
              <w:rPr>
                <w:rFonts w:cs="Arial"/>
              </w:rPr>
            </w:pPr>
            <w:r w:rsidRPr="00AE092F">
              <w:rPr>
                <w:rFonts w:cs="Arial"/>
              </w:rPr>
              <w:t xml:space="preserve">Full legal name: </w:t>
            </w:r>
            <w:r w:rsidRPr="003A12B6">
              <w:rPr>
                <w:rFonts w:cs="Arial"/>
              </w:rPr>
              <w:fldChar w:fldCharType="begin">
                <w:ffData>
                  <w:name w:val=""/>
                  <w:enabled/>
                  <w:calcOnExit w:val="0"/>
                  <w:textInput/>
                </w:ffData>
              </w:fldChar>
            </w:r>
            <w:r w:rsidRPr="003A12B6">
              <w:rPr>
                <w:rFonts w:cs="Arial"/>
              </w:rPr>
              <w:instrText xml:space="preserve"> FORMTEXT </w:instrText>
            </w:r>
            <w:r w:rsidRPr="003A12B6">
              <w:rPr>
                <w:rFonts w:cs="Arial"/>
              </w:rPr>
            </w:r>
            <w:r w:rsidRPr="003A12B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3A12B6">
              <w:rPr>
                <w:rFonts w:cs="Arial"/>
              </w:rPr>
              <w:fldChar w:fldCharType="end"/>
            </w:r>
          </w:p>
          <w:p w14:paraId="2A282E6F" w14:textId="77777777" w:rsidR="00F67E9E" w:rsidRPr="00AE092F" w:rsidRDefault="00F67E9E" w:rsidP="007F74AA">
            <w:pPr>
              <w:spacing w:after="120"/>
              <w:rPr>
                <w:rFonts w:cs="Arial"/>
              </w:rPr>
            </w:pPr>
            <w:r w:rsidRPr="00AE092F">
              <w:rPr>
                <w:rFonts w:cs="Arial"/>
              </w:rPr>
              <w:t xml:space="preserve">Trading name (if different): </w:t>
            </w:r>
            <w:r w:rsidRPr="003A12B6">
              <w:rPr>
                <w:rFonts w:cs="Arial"/>
              </w:rPr>
              <w:fldChar w:fldCharType="begin">
                <w:ffData>
                  <w:name w:val=""/>
                  <w:enabled/>
                  <w:calcOnExit w:val="0"/>
                  <w:textInput/>
                </w:ffData>
              </w:fldChar>
            </w:r>
            <w:r w:rsidRPr="003A12B6">
              <w:rPr>
                <w:rFonts w:cs="Arial"/>
              </w:rPr>
              <w:instrText xml:space="preserve"> FORMTEXT </w:instrText>
            </w:r>
            <w:r w:rsidRPr="003A12B6">
              <w:rPr>
                <w:rFonts w:cs="Arial"/>
              </w:rPr>
            </w:r>
            <w:r w:rsidRPr="003A12B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3A12B6">
              <w:rPr>
                <w:rFonts w:cs="Arial"/>
              </w:rPr>
              <w:fldChar w:fldCharType="end"/>
            </w:r>
          </w:p>
          <w:p w14:paraId="628A2294" w14:textId="77777777" w:rsidR="00F67E9E" w:rsidRPr="00AE092F" w:rsidRDefault="00F67E9E" w:rsidP="007F74AA">
            <w:pPr>
              <w:spacing w:after="120"/>
              <w:rPr>
                <w:rFonts w:cs="Arial"/>
              </w:rPr>
            </w:pPr>
            <w:r w:rsidRPr="00AE092F">
              <w:rPr>
                <w:rFonts w:cs="Arial"/>
              </w:rPr>
              <w:t xml:space="preserve">Main address (if a company registered address): </w:t>
            </w:r>
            <w:r w:rsidRPr="003A12B6">
              <w:rPr>
                <w:rFonts w:cs="Arial"/>
              </w:rPr>
              <w:fldChar w:fldCharType="begin">
                <w:ffData>
                  <w:name w:val=""/>
                  <w:enabled/>
                  <w:calcOnExit w:val="0"/>
                  <w:textInput/>
                </w:ffData>
              </w:fldChar>
            </w:r>
            <w:r w:rsidRPr="003A12B6">
              <w:rPr>
                <w:rFonts w:cs="Arial"/>
              </w:rPr>
              <w:instrText xml:space="preserve"> FORMTEXT </w:instrText>
            </w:r>
            <w:r w:rsidRPr="003A12B6">
              <w:rPr>
                <w:rFonts w:cs="Arial"/>
              </w:rPr>
            </w:r>
            <w:r w:rsidRPr="003A12B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3A12B6">
              <w:rPr>
                <w:rFonts w:cs="Arial"/>
              </w:rPr>
              <w:fldChar w:fldCharType="end"/>
            </w:r>
          </w:p>
          <w:p w14:paraId="685D61D4" w14:textId="77777777" w:rsidR="00F67E9E" w:rsidRPr="00AE092F" w:rsidRDefault="00F67E9E" w:rsidP="007F74AA">
            <w:pPr>
              <w:rPr>
                <w:rFonts w:cs="Arial"/>
              </w:rPr>
            </w:pPr>
            <w:r w:rsidRPr="00AE092F">
              <w:rPr>
                <w:rFonts w:cs="Arial"/>
              </w:rPr>
              <w:t xml:space="preserve">Official registration number (if any) (company number or similar identifier): </w:t>
            </w:r>
            <w:r w:rsidRPr="003A12B6">
              <w:rPr>
                <w:rFonts w:cs="Arial"/>
              </w:rPr>
              <w:fldChar w:fldCharType="begin">
                <w:ffData>
                  <w:name w:val=""/>
                  <w:enabled/>
                  <w:calcOnExit w:val="0"/>
                  <w:textInput/>
                </w:ffData>
              </w:fldChar>
            </w:r>
            <w:r w:rsidRPr="003A12B6">
              <w:rPr>
                <w:rFonts w:cs="Arial"/>
              </w:rPr>
              <w:instrText xml:space="preserve"> FORMTEXT </w:instrText>
            </w:r>
            <w:r w:rsidRPr="003A12B6">
              <w:rPr>
                <w:rFonts w:cs="Arial"/>
              </w:rPr>
            </w:r>
            <w:r w:rsidRPr="003A12B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3A12B6">
              <w:rPr>
                <w:rFonts w:cs="Arial"/>
              </w:rPr>
              <w:fldChar w:fldCharType="end"/>
            </w:r>
          </w:p>
        </w:tc>
      </w:tr>
      <w:tr w:rsidR="00F67E9E" w:rsidRPr="00AE092F" w14:paraId="6A276AC9" w14:textId="77777777" w:rsidTr="007F74AA">
        <w:tc>
          <w:tcPr>
            <w:tcW w:w="1177" w:type="pct"/>
            <w:shd w:val="clear" w:color="auto" w:fill="F0F0F0"/>
          </w:tcPr>
          <w:p w14:paraId="5CADDC3E" w14:textId="77777777" w:rsidR="00F67E9E" w:rsidRPr="003A12B6" w:rsidRDefault="00F67E9E" w:rsidP="007F74AA">
            <w:pPr>
              <w:rPr>
                <w:rFonts w:asciiTheme="minorHAnsi" w:eastAsia="Arial" w:hAnsiTheme="minorHAnsi" w:cstheme="minorHAnsi"/>
                <w:b/>
                <w:bCs/>
                <w:szCs w:val="24"/>
                <w:lang w:bidi="en-US"/>
              </w:rPr>
            </w:pPr>
            <w:r w:rsidRPr="003A12B6">
              <w:rPr>
                <w:rFonts w:asciiTheme="minorHAnsi" w:eastAsia="Arial" w:hAnsiTheme="minorHAnsi" w:cstheme="minorHAnsi"/>
                <w:b/>
                <w:bCs/>
                <w:szCs w:val="24"/>
                <w:lang w:bidi="en-US"/>
              </w:rPr>
              <w:t>Key Contact</w:t>
            </w:r>
          </w:p>
        </w:tc>
        <w:tc>
          <w:tcPr>
            <w:tcW w:w="1911" w:type="pct"/>
          </w:tcPr>
          <w:p w14:paraId="14E72C3D" w14:textId="77777777" w:rsidR="00F67E9E" w:rsidRPr="00AE092F" w:rsidRDefault="00F67E9E" w:rsidP="007F74AA">
            <w:pPr>
              <w:spacing w:after="120"/>
              <w:rPr>
                <w:rFonts w:cs="Arial"/>
              </w:rPr>
            </w:pPr>
            <w:r w:rsidRPr="00AE092F">
              <w:rPr>
                <w:rFonts w:cs="Arial"/>
              </w:rPr>
              <w:t xml:space="preserve">Full Name (optional): </w:t>
            </w:r>
            <w:r w:rsidRPr="003A12B6">
              <w:rPr>
                <w:rFonts w:cs="Arial"/>
              </w:rPr>
              <w:fldChar w:fldCharType="begin">
                <w:ffData>
                  <w:name w:val=""/>
                  <w:enabled/>
                  <w:calcOnExit w:val="0"/>
                  <w:textInput/>
                </w:ffData>
              </w:fldChar>
            </w:r>
            <w:r w:rsidRPr="003A12B6">
              <w:rPr>
                <w:rFonts w:cs="Arial"/>
              </w:rPr>
              <w:instrText xml:space="preserve"> FORMTEXT </w:instrText>
            </w:r>
            <w:r w:rsidRPr="003A12B6">
              <w:rPr>
                <w:rFonts w:cs="Arial"/>
              </w:rPr>
            </w:r>
            <w:r w:rsidRPr="003A12B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3A12B6">
              <w:rPr>
                <w:rFonts w:cs="Arial"/>
              </w:rPr>
              <w:fldChar w:fldCharType="end"/>
            </w:r>
          </w:p>
          <w:p w14:paraId="0398E15A" w14:textId="77777777" w:rsidR="00F67E9E" w:rsidRPr="00AE092F" w:rsidRDefault="00F67E9E" w:rsidP="007F74AA">
            <w:pPr>
              <w:spacing w:after="120"/>
              <w:rPr>
                <w:rFonts w:cs="Arial"/>
              </w:rPr>
            </w:pPr>
            <w:r w:rsidRPr="00AE092F">
              <w:rPr>
                <w:rFonts w:cs="Arial"/>
              </w:rPr>
              <w:t xml:space="preserve">Job Title: </w:t>
            </w:r>
            <w:r w:rsidRPr="003A12B6">
              <w:rPr>
                <w:rFonts w:cs="Arial"/>
              </w:rPr>
              <w:fldChar w:fldCharType="begin">
                <w:ffData>
                  <w:name w:val=""/>
                  <w:enabled/>
                  <w:calcOnExit w:val="0"/>
                  <w:textInput/>
                </w:ffData>
              </w:fldChar>
            </w:r>
            <w:r w:rsidRPr="003A12B6">
              <w:rPr>
                <w:rFonts w:cs="Arial"/>
              </w:rPr>
              <w:instrText xml:space="preserve"> FORMTEXT </w:instrText>
            </w:r>
            <w:r w:rsidRPr="003A12B6">
              <w:rPr>
                <w:rFonts w:cs="Arial"/>
              </w:rPr>
            </w:r>
            <w:r w:rsidRPr="003A12B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3A12B6">
              <w:rPr>
                <w:rFonts w:cs="Arial"/>
              </w:rPr>
              <w:fldChar w:fldCharType="end"/>
            </w:r>
          </w:p>
          <w:p w14:paraId="1B09EE39" w14:textId="77777777" w:rsidR="00F67E9E" w:rsidRPr="00AE092F" w:rsidRDefault="00F67E9E" w:rsidP="007F74AA">
            <w:pPr>
              <w:rPr>
                <w:rFonts w:cs="Arial"/>
              </w:rPr>
            </w:pPr>
            <w:r w:rsidRPr="00AE092F">
              <w:rPr>
                <w:rFonts w:cs="Arial"/>
              </w:rPr>
              <w:t xml:space="preserve">Contact details including email: </w:t>
            </w:r>
            <w:r w:rsidRPr="003A12B6">
              <w:rPr>
                <w:rFonts w:cs="Arial"/>
              </w:rPr>
              <w:fldChar w:fldCharType="begin">
                <w:ffData>
                  <w:name w:val=""/>
                  <w:enabled/>
                  <w:calcOnExit w:val="0"/>
                  <w:textInput/>
                </w:ffData>
              </w:fldChar>
            </w:r>
            <w:r w:rsidRPr="003A12B6">
              <w:rPr>
                <w:rFonts w:cs="Arial"/>
              </w:rPr>
              <w:instrText xml:space="preserve"> FORMTEXT </w:instrText>
            </w:r>
            <w:r w:rsidRPr="003A12B6">
              <w:rPr>
                <w:rFonts w:cs="Arial"/>
              </w:rPr>
            </w:r>
            <w:r w:rsidRPr="003A12B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3A12B6">
              <w:rPr>
                <w:rFonts w:cs="Arial"/>
              </w:rPr>
              <w:fldChar w:fldCharType="end"/>
            </w:r>
          </w:p>
        </w:tc>
        <w:tc>
          <w:tcPr>
            <w:tcW w:w="1912" w:type="pct"/>
          </w:tcPr>
          <w:p w14:paraId="6704C0D8" w14:textId="77777777" w:rsidR="00F67E9E" w:rsidRPr="00AE092F" w:rsidRDefault="00F67E9E" w:rsidP="007F74AA">
            <w:pPr>
              <w:spacing w:after="120"/>
              <w:rPr>
                <w:rFonts w:cs="Arial"/>
              </w:rPr>
            </w:pPr>
            <w:r w:rsidRPr="00AE092F">
              <w:rPr>
                <w:rFonts w:cs="Arial"/>
              </w:rPr>
              <w:t xml:space="preserve">Full Name (optional): </w:t>
            </w:r>
            <w:r w:rsidRPr="003A12B6">
              <w:rPr>
                <w:rFonts w:cs="Arial"/>
              </w:rPr>
              <w:fldChar w:fldCharType="begin">
                <w:ffData>
                  <w:name w:val=""/>
                  <w:enabled/>
                  <w:calcOnExit w:val="0"/>
                  <w:textInput/>
                </w:ffData>
              </w:fldChar>
            </w:r>
            <w:r w:rsidRPr="003A12B6">
              <w:rPr>
                <w:rFonts w:cs="Arial"/>
              </w:rPr>
              <w:instrText xml:space="preserve"> FORMTEXT </w:instrText>
            </w:r>
            <w:r w:rsidRPr="003A12B6">
              <w:rPr>
                <w:rFonts w:cs="Arial"/>
              </w:rPr>
            </w:r>
            <w:r w:rsidRPr="003A12B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3A12B6">
              <w:rPr>
                <w:rFonts w:cs="Arial"/>
              </w:rPr>
              <w:fldChar w:fldCharType="end"/>
            </w:r>
          </w:p>
          <w:p w14:paraId="3C670AE4" w14:textId="77777777" w:rsidR="00F67E9E" w:rsidRPr="00AE092F" w:rsidRDefault="00F67E9E" w:rsidP="007F74AA">
            <w:pPr>
              <w:spacing w:after="120"/>
              <w:rPr>
                <w:rFonts w:cs="Arial"/>
              </w:rPr>
            </w:pPr>
            <w:r w:rsidRPr="00AE092F">
              <w:rPr>
                <w:rFonts w:cs="Arial"/>
              </w:rPr>
              <w:t xml:space="preserve">Job Title: </w:t>
            </w:r>
            <w:r w:rsidRPr="003A12B6">
              <w:rPr>
                <w:rFonts w:cs="Arial"/>
              </w:rPr>
              <w:fldChar w:fldCharType="begin">
                <w:ffData>
                  <w:name w:val=""/>
                  <w:enabled/>
                  <w:calcOnExit w:val="0"/>
                  <w:textInput/>
                </w:ffData>
              </w:fldChar>
            </w:r>
            <w:r w:rsidRPr="003A12B6">
              <w:rPr>
                <w:rFonts w:cs="Arial"/>
              </w:rPr>
              <w:instrText xml:space="preserve"> FORMTEXT </w:instrText>
            </w:r>
            <w:r w:rsidRPr="003A12B6">
              <w:rPr>
                <w:rFonts w:cs="Arial"/>
              </w:rPr>
            </w:r>
            <w:r w:rsidRPr="003A12B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3A12B6">
              <w:rPr>
                <w:rFonts w:cs="Arial"/>
              </w:rPr>
              <w:fldChar w:fldCharType="end"/>
            </w:r>
          </w:p>
          <w:p w14:paraId="5819A04C" w14:textId="77777777" w:rsidR="00F67E9E" w:rsidRPr="00AE092F" w:rsidRDefault="00F67E9E" w:rsidP="007F74AA">
            <w:pPr>
              <w:rPr>
                <w:rFonts w:cs="Arial"/>
              </w:rPr>
            </w:pPr>
            <w:r w:rsidRPr="00AE092F">
              <w:rPr>
                <w:rFonts w:cs="Arial"/>
              </w:rPr>
              <w:t xml:space="preserve">Contact details including email: </w:t>
            </w:r>
            <w:r w:rsidRPr="003A12B6">
              <w:rPr>
                <w:rFonts w:cs="Arial"/>
              </w:rPr>
              <w:fldChar w:fldCharType="begin">
                <w:ffData>
                  <w:name w:val=""/>
                  <w:enabled/>
                  <w:calcOnExit w:val="0"/>
                  <w:textInput/>
                </w:ffData>
              </w:fldChar>
            </w:r>
            <w:r w:rsidRPr="003A12B6">
              <w:rPr>
                <w:rFonts w:cs="Arial"/>
              </w:rPr>
              <w:instrText xml:space="preserve"> FORMTEXT </w:instrText>
            </w:r>
            <w:r w:rsidRPr="003A12B6">
              <w:rPr>
                <w:rFonts w:cs="Arial"/>
              </w:rPr>
            </w:r>
            <w:r w:rsidRPr="003A12B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3A12B6">
              <w:rPr>
                <w:rFonts w:cs="Arial"/>
              </w:rPr>
              <w:fldChar w:fldCharType="end"/>
            </w:r>
          </w:p>
        </w:tc>
      </w:tr>
      <w:tr w:rsidR="00F67E9E" w:rsidRPr="00AE092F" w14:paraId="1AB271D2" w14:textId="77777777" w:rsidTr="007F74AA">
        <w:tc>
          <w:tcPr>
            <w:tcW w:w="1177" w:type="pct"/>
            <w:shd w:val="clear" w:color="auto" w:fill="F0F0F0"/>
          </w:tcPr>
          <w:p w14:paraId="05387F6F" w14:textId="77777777" w:rsidR="00F67E9E" w:rsidRPr="003A12B6" w:rsidRDefault="00F67E9E" w:rsidP="007F74AA">
            <w:pPr>
              <w:rPr>
                <w:rFonts w:asciiTheme="minorHAnsi" w:eastAsia="Arial" w:hAnsiTheme="minorHAnsi" w:cstheme="minorHAnsi"/>
                <w:b/>
                <w:bCs/>
                <w:szCs w:val="24"/>
                <w:lang w:bidi="en-US"/>
              </w:rPr>
            </w:pPr>
            <w:r w:rsidRPr="003A12B6">
              <w:rPr>
                <w:rFonts w:asciiTheme="minorHAnsi" w:eastAsia="Arial" w:hAnsiTheme="minorHAnsi" w:cstheme="minorHAnsi"/>
                <w:b/>
                <w:bCs/>
                <w:szCs w:val="24"/>
                <w:lang w:bidi="en-US"/>
              </w:rPr>
              <w:t>Importer Data Subject Contact</w:t>
            </w:r>
          </w:p>
        </w:tc>
        <w:tc>
          <w:tcPr>
            <w:tcW w:w="1911" w:type="pct"/>
          </w:tcPr>
          <w:p w14:paraId="637D73B4" w14:textId="77777777" w:rsidR="00F67E9E" w:rsidRPr="00AE092F" w:rsidRDefault="00F67E9E" w:rsidP="007F74AA">
            <w:pPr>
              <w:rPr>
                <w:rFonts w:cs="Arial"/>
              </w:rPr>
            </w:pPr>
          </w:p>
        </w:tc>
        <w:tc>
          <w:tcPr>
            <w:tcW w:w="1912" w:type="pct"/>
          </w:tcPr>
          <w:p w14:paraId="5ECCAAF0" w14:textId="77777777" w:rsidR="00F67E9E" w:rsidRPr="00AE092F" w:rsidRDefault="00F67E9E" w:rsidP="007F74AA">
            <w:pPr>
              <w:spacing w:after="120"/>
              <w:rPr>
                <w:rFonts w:cs="Arial"/>
              </w:rPr>
            </w:pPr>
            <w:r w:rsidRPr="00AE092F">
              <w:rPr>
                <w:rFonts w:cs="Arial"/>
              </w:rPr>
              <w:t xml:space="preserve">Job Title: </w:t>
            </w:r>
            <w:r w:rsidRPr="003A12B6">
              <w:rPr>
                <w:rFonts w:cs="Arial"/>
              </w:rPr>
              <w:fldChar w:fldCharType="begin">
                <w:ffData>
                  <w:name w:val=""/>
                  <w:enabled/>
                  <w:calcOnExit w:val="0"/>
                  <w:textInput/>
                </w:ffData>
              </w:fldChar>
            </w:r>
            <w:r w:rsidRPr="003A12B6">
              <w:rPr>
                <w:rFonts w:cs="Arial"/>
              </w:rPr>
              <w:instrText xml:space="preserve"> FORMTEXT </w:instrText>
            </w:r>
            <w:r w:rsidRPr="003A12B6">
              <w:rPr>
                <w:rFonts w:cs="Arial"/>
              </w:rPr>
            </w:r>
            <w:r w:rsidRPr="003A12B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3A12B6">
              <w:rPr>
                <w:rFonts w:cs="Arial"/>
              </w:rPr>
              <w:fldChar w:fldCharType="end"/>
            </w:r>
          </w:p>
          <w:p w14:paraId="6CC69E43" w14:textId="77777777" w:rsidR="00F67E9E" w:rsidRPr="00AE092F" w:rsidRDefault="00F67E9E" w:rsidP="007F74AA">
            <w:pPr>
              <w:rPr>
                <w:rFonts w:cs="Arial"/>
              </w:rPr>
            </w:pPr>
            <w:r w:rsidRPr="00AE092F">
              <w:rPr>
                <w:rFonts w:cs="Arial"/>
              </w:rPr>
              <w:t xml:space="preserve">Contact details including email: </w:t>
            </w:r>
            <w:r w:rsidRPr="003A12B6">
              <w:rPr>
                <w:rFonts w:cs="Arial"/>
              </w:rPr>
              <w:fldChar w:fldCharType="begin">
                <w:ffData>
                  <w:name w:val=""/>
                  <w:enabled/>
                  <w:calcOnExit w:val="0"/>
                  <w:textInput/>
                </w:ffData>
              </w:fldChar>
            </w:r>
            <w:r w:rsidRPr="003A12B6">
              <w:rPr>
                <w:rFonts w:cs="Arial"/>
              </w:rPr>
              <w:instrText xml:space="preserve"> FORMTEXT </w:instrText>
            </w:r>
            <w:r w:rsidRPr="003A12B6">
              <w:rPr>
                <w:rFonts w:cs="Arial"/>
              </w:rPr>
            </w:r>
            <w:r w:rsidRPr="003A12B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3A12B6">
              <w:rPr>
                <w:rFonts w:cs="Arial"/>
              </w:rPr>
              <w:fldChar w:fldCharType="end"/>
            </w:r>
          </w:p>
        </w:tc>
      </w:tr>
      <w:tr w:rsidR="00F67E9E" w:rsidRPr="00AE092F" w14:paraId="7689FF72" w14:textId="77777777" w:rsidTr="007F74AA">
        <w:tc>
          <w:tcPr>
            <w:tcW w:w="1177" w:type="pct"/>
            <w:shd w:val="clear" w:color="auto" w:fill="F0F0F0"/>
          </w:tcPr>
          <w:p w14:paraId="4AC533F8" w14:textId="77777777" w:rsidR="00F67E9E" w:rsidRPr="003A12B6" w:rsidRDefault="00F67E9E" w:rsidP="007F74AA">
            <w:pPr>
              <w:rPr>
                <w:rFonts w:asciiTheme="minorHAnsi" w:eastAsia="Arial" w:hAnsiTheme="minorHAnsi" w:cstheme="minorHAnsi"/>
                <w:b/>
                <w:bCs/>
                <w:szCs w:val="24"/>
                <w:lang w:bidi="en-US"/>
              </w:rPr>
            </w:pPr>
            <w:r w:rsidRPr="003A12B6">
              <w:rPr>
                <w:rFonts w:asciiTheme="minorHAnsi" w:eastAsia="Arial" w:hAnsiTheme="minorHAnsi" w:cstheme="minorHAnsi"/>
                <w:b/>
                <w:bCs/>
                <w:szCs w:val="24"/>
                <w:lang w:bidi="en-US"/>
              </w:rPr>
              <w:t>Signatures confirming each Party agrees to be bound by this IDTA</w:t>
            </w:r>
          </w:p>
        </w:tc>
        <w:tc>
          <w:tcPr>
            <w:tcW w:w="1911" w:type="pct"/>
          </w:tcPr>
          <w:p w14:paraId="0A679128" w14:textId="77777777" w:rsidR="00F67E9E" w:rsidRPr="00AE092F" w:rsidRDefault="00F67E9E" w:rsidP="007F74AA">
            <w:pPr>
              <w:spacing w:after="120"/>
              <w:rPr>
                <w:rFonts w:cs="Arial"/>
              </w:rPr>
            </w:pPr>
            <w:r w:rsidRPr="00AE092F">
              <w:rPr>
                <w:rFonts w:cs="Arial"/>
              </w:rPr>
              <w:t xml:space="preserve">Signed for and on behalf of the </w:t>
            </w:r>
            <w:r w:rsidRPr="00AE092F">
              <w:rPr>
                <w:rFonts w:cs="Arial"/>
                <w:b/>
                <w:bCs/>
              </w:rPr>
              <w:t>Exporter</w:t>
            </w:r>
            <w:r w:rsidRPr="00AE092F">
              <w:rPr>
                <w:rFonts w:cs="Arial"/>
              </w:rPr>
              <w:t xml:space="preserve"> set out above</w:t>
            </w:r>
          </w:p>
          <w:p w14:paraId="423859C3" w14:textId="77777777" w:rsidR="00F67E9E" w:rsidRPr="00AE092F" w:rsidRDefault="00F67E9E" w:rsidP="007F74AA">
            <w:pPr>
              <w:spacing w:after="120"/>
              <w:rPr>
                <w:rFonts w:cs="Arial"/>
              </w:rPr>
            </w:pPr>
            <w:r w:rsidRPr="00AE092F">
              <w:rPr>
                <w:rFonts w:cs="Arial"/>
              </w:rPr>
              <w:t xml:space="preserve">Signed: </w:t>
            </w:r>
            <w:r w:rsidRPr="003A12B6">
              <w:rPr>
                <w:rFonts w:cs="Arial"/>
              </w:rPr>
              <w:fldChar w:fldCharType="begin">
                <w:ffData>
                  <w:name w:val=""/>
                  <w:enabled/>
                  <w:calcOnExit w:val="0"/>
                  <w:textInput/>
                </w:ffData>
              </w:fldChar>
            </w:r>
            <w:r w:rsidRPr="003A12B6">
              <w:rPr>
                <w:rFonts w:cs="Arial"/>
              </w:rPr>
              <w:instrText xml:space="preserve"> FORMTEXT </w:instrText>
            </w:r>
            <w:r w:rsidRPr="003A12B6">
              <w:rPr>
                <w:rFonts w:cs="Arial"/>
              </w:rPr>
            </w:r>
            <w:r w:rsidRPr="003A12B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3A12B6">
              <w:rPr>
                <w:rFonts w:cs="Arial"/>
              </w:rPr>
              <w:fldChar w:fldCharType="end"/>
            </w:r>
          </w:p>
          <w:p w14:paraId="06D86A74" w14:textId="77777777" w:rsidR="00F67E9E" w:rsidRPr="00AE092F" w:rsidRDefault="00F67E9E" w:rsidP="007F74AA">
            <w:pPr>
              <w:spacing w:after="120"/>
              <w:rPr>
                <w:rFonts w:cs="Arial"/>
              </w:rPr>
            </w:pPr>
            <w:r w:rsidRPr="00AE092F">
              <w:rPr>
                <w:rFonts w:cs="Arial"/>
              </w:rPr>
              <w:t xml:space="preserve">Date of signature: </w:t>
            </w:r>
            <w:r w:rsidRPr="003A12B6">
              <w:rPr>
                <w:rFonts w:cs="Arial"/>
              </w:rPr>
              <w:fldChar w:fldCharType="begin">
                <w:ffData>
                  <w:name w:val=""/>
                  <w:enabled/>
                  <w:calcOnExit w:val="0"/>
                  <w:textInput/>
                </w:ffData>
              </w:fldChar>
            </w:r>
            <w:r w:rsidRPr="003A12B6">
              <w:rPr>
                <w:rFonts w:cs="Arial"/>
              </w:rPr>
              <w:instrText xml:space="preserve"> FORMTEXT </w:instrText>
            </w:r>
            <w:r w:rsidRPr="003A12B6">
              <w:rPr>
                <w:rFonts w:cs="Arial"/>
              </w:rPr>
            </w:r>
            <w:r w:rsidRPr="003A12B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3A12B6">
              <w:rPr>
                <w:rFonts w:cs="Arial"/>
              </w:rPr>
              <w:fldChar w:fldCharType="end"/>
            </w:r>
          </w:p>
          <w:p w14:paraId="3778AB19" w14:textId="77777777" w:rsidR="00F67E9E" w:rsidRPr="00AE092F" w:rsidRDefault="00F67E9E" w:rsidP="007F74AA">
            <w:pPr>
              <w:spacing w:after="120"/>
              <w:rPr>
                <w:rFonts w:cs="Arial"/>
              </w:rPr>
            </w:pPr>
            <w:r w:rsidRPr="00AE092F">
              <w:rPr>
                <w:rFonts w:cs="Arial"/>
              </w:rPr>
              <w:t xml:space="preserve">Full name: </w:t>
            </w:r>
            <w:r w:rsidRPr="003A12B6">
              <w:rPr>
                <w:rFonts w:cs="Arial"/>
              </w:rPr>
              <w:fldChar w:fldCharType="begin">
                <w:ffData>
                  <w:name w:val=""/>
                  <w:enabled/>
                  <w:calcOnExit w:val="0"/>
                  <w:textInput/>
                </w:ffData>
              </w:fldChar>
            </w:r>
            <w:r w:rsidRPr="003A12B6">
              <w:rPr>
                <w:rFonts w:cs="Arial"/>
              </w:rPr>
              <w:instrText xml:space="preserve"> FORMTEXT </w:instrText>
            </w:r>
            <w:r w:rsidRPr="003A12B6">
              <w:rPr>
                <w:rFonts w:cs="Arial"/>
              </w:rPr>
            </w:r>
            <w:r w:rsidRPr="003A12B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3A12B6">
              <w:rPr>
                <w:rFonts w:cs="Arial"/>
              </w:rPr>
              <w:fldChar w:fldCharType="end"/>
            </w:r>
          </w:p>
          <w:p w14:paraId="2B48B872" w14:textId="77777777" w:rsidR="00F67E9E" w:rsidRPr="00AE092F" w:rsidRDefault="00F67E9E" w:rsidP="007F74AA">
            <w:pPr>
              <w:rPr>
                <w:rFonts w:cs="Arial"/>
              </w:rPr>
            </w:pPr>
            <w:r w:rsidRPr="00AE092F">
              <w:rPr>
                <w:rFonts w:cs="Arial"/>
              </w:rPr>
              <w:t xml:space="preserve">Job title: </w:t>
            </w:r>
            <w:r w:rsidRPr="00AE092F">
              <w:rPr>
                <w:rFonts w:cs="Arial"/>
                <w:highlight w:val="lightGray"/>
              </w:rPr>
              <w:fldChar w:fldCharType="begin">
                <w:ffData>
                  <w:name w:val=""/>
                  <w:enabled/>
                  <w:calcOnExit w:val="0"/>
                  <w:textInput/>
                </w:ffData>
              </w:fldChar>
            </w:r>
            <w:r w:rsidRPr="00AE092F">
              <w:rPr>
                <w:rFonts w:cs="Arial"/>
                <w:highlight w:val="lightGray"/>
              </w:rPr>
              <w:instrText xml:space="preserve"> FORMTEXT </w:instrText>
            </w:r>
            <w:r w:rsidRPr="00AE092F">
              <w:rPr>
                <w:rFonts w:cs="Arial"/>
                <w:highlight w:val="lightGray"/>
              </w:rPr>
            </w:r>
            <w:r w:rsidRPr="00AE092F">
              <w:rPr>
                <w:rFonts w:cs="Arial"/>
                <w:highlight w:val="lightGray"/>
              </w:rPr>
              <w:fldChar w:fldCharType="separate"/>
            </w:r>
            <w:r>
              <w:rPr>
                <w:rFonts w:cs="Arial"/>
                <w:noProof/>
                <w:highlight w:val="lightGray"/>
              </w:rPr>
              <w:t> </w:t>
            </w:r>
            <w:r>
              <w:rPr>
                <w:rFonts w:cs="Arial"/>
                <w:noProof/>
                <w:highlight w:val="lightGray"/>
              </w:rPr>
              <w:t> </w:t>
            </w:r>
            <w:r>
              <w:rPr>
                <w:rFonts w:cs="Arial"/>
                <w:noProof/>
                <w:highlight w:val="lightGray"/>
              </w:rPr>
              <w:t> </w:t>
            </w:r>
            <w:r>
              <w:rPr>
                <w:rFonts w:cs="Arial"/>
                <w:noProof/>
                <w:highlight w:val="lightGray"/>
              </w:rPr>
              <w:t> </w:t>
            </w:r>
            <w:r>
              <w:rPr>
                <w:rFonts w:cs="Arial"/>
                <w:noProof/>
                <w:highlight w:val="lightGray"/>
              </w:rPr>
              <w:t> </w:t>
            </w:r>
            <w:r w:rsidRPr="00AE092F">
              <w:rPr>
                <w:rFonts w:cs="Arial"/>
                <w:highlight w:val="lightGray"/>
              </w:rPr>
              <w:fldChar w:fldCharType="end"/>
            </w:r>
          </w:p>
        </w:tc>
        <w:tc>
          <w:tcPr>
            <w:tcW w:w="1912" w:type="pct"/>
          </w:tcPr>
          <w:p w14:paraId="1FD8C981" w14:textId="77777777" w:rsidR="00F67E9E" w:rsidRPr="00AE092F" w:rsidRDefault="00F67E9E" w:rsidP="007F74AA">
            <w:pPr>
              <w:spacing w:after="120"/>
              <w:rPr>
                <w:rFonts w:cs="Arial"/>
              </w:rPr>
            </w:pPr>
            <w:r w:rsidRPr="00AE092F">
              <w:rPr>
                <w:rFonts w:cs="Arial"/>
              </w:rPr>
              <w:t xml:space="preserve">Signed for and on behalf of the </w:t>
            </w:r>
            <w:r w:rsidRPr="00AE092F">
              <w:rPr>
                <w:rFonts w:cs="Arial"/>
                <w:b/>
                <w:bCs/>
              </w:rPr>
              <w:t>Importer</w:t>
            </w:r>
            <w:r w:rsidRPr="00AE092F">
              <w:rPr>
                <w:rFonts w:cs="Arial"/>
              </w:rPr>
              <w:t xml:space="preserve"> set out above</w:t>
            </w:r>
          </w:p>
          <w:p w14:paraId="5AB71667" w14:textId="77777777" w:rsidR="00F67E9E" w:rsidRPr="00AE092F" w:rsidRDefault="00F67E9E" w:rsidP="007F74AA">
            <w:pPr>
              <w:spacing w:after="120"/>
              <w:rPr>
                <w:rFonts w:cs="Arial"/>
              </w:rPr>
            </w:pPr>
            <w:r w:rsidRPr="00AE092F">
              <w:rPr>
                <w:rFonts w:cs="Arial"/>
              </w:rPr>
              <w:t xml:space="preserve">Signed: </w:t>
            </w:r>
            <w:r w:rsidRPr="003A12B6">
              <w:rPr>
                <w:rFonts w:cs="Arial"/>
              </w:rPr>
              <w:fldChar w:fldCharType="begin">
                <w:ffData>
                  <w:name w:val=""/>
                  <w:enabled/>
                  <w:calcOnExit w:val="0"/>
                  <w:textInput/>
                </w:ffData>
              </w:fldChar>
            </w:r>
            <w:r w:rsidRPr="003A12B6">
              <w:rPr>
                <w:rFonts w:cs="Arial"/>
              </w:rPr>
              <w:instrText xml:space="preserve"> FORMTEXT </w:instrText>
            </w:r>
            <w:r w:rsidRPr="003A12B6">
              <w:rPr>
                <w:rFonts w:cs="Arial"/>
              </w:rPr>
            </w:r>
            <w:r w:rsidRPr="003A12B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3A12B6">
              <w:rPr>
                <w:rFonts w:cs="Arial"/>
              </w:rPr>
              <w:fldChar w:fldCharType="end"/>
            </w:r>
          </w:p>
          <w:p w14:paraId="3CE364A1" w14:textId="77777777" w:rsidR="00F67E9E" w:rsidRPr="00AE092F" w:rsidRDefault="00F67E9E" w:rsidP="007F74AA">
            <w:pPr>
              <w:spacing w:after="120"/>
              <w:rPr>
                <w:rFonts w:cs="Arial"/>
              </w:rPr>
            </w:pPr>
            <w:r w:rsidRPr="00AE092F">
              <w:rPr>
                <w:rFonts w:cs="Arial"/>
              </w:rPr>
              <w:t xml:space="preserve">Date of signature: </w:t>
            </w:r>
            <w:r w:rsidRPr="003A12B6">
              <w:rPr>
                <w:rFonts w:cs="Arial"/>
              </w:rPr>
              <w:fldChar w:fldCharType="begin">
                <w:ffData>
                  <w:name w:val=""/>
                  <w:enabled/>
                  <w:calcOnExit w:val="0"/>
                  <w:textInput/>
                </w:ffData>
              </w:fldChar>
            </w:r>
            <w:r w:rsidRPr="003A12B6">
              <w:rPr>
                <w:rFonts w:cs="Arial"/>
              </w:rPr>
              <w:instrText xml:space="preserve"> FORMTEXT </w:instrText>
            </w:r>
            <w:r w:rsidRPr="003A12B6">
              <w:rPr>
                <w:rFonts w:cs="Arial"/>
              </w:rPr>
            </w:r>
            <w:r w:rsidRPr="003A12B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3A12B6">
              <w:rPr>
                <w:rFonts w:cs="Arial"/>
              </w:rPr>
              <w:fldChar w:fldCharType="end"/>
            </w:r>
          </w:p>
          <w:p w14:paraId="7A984DF3" w14:textId="77777777" w:rsidR="00F67E9E" w:rsidRPr="00AE092F" w:rsidRDefault="00F67E9E" w:rsidP="007F74AA">
            <w:pPr>
              <w:spacing w:after="120"/>
              <w:rPr>
                <w:rFonts w:cs="Arial"/>
              </w:rPr>
            </w:pPr>
            <w:r w:rsidRPr="00AE092F">
              <w:rPr>
                <w:rFonts w:cs="Arial"/>
              </w:rPr>
              <w:t xml:space="preserve">Full name: </w:t>
            </w:r>
            <w:r w:rsidRPr="003A12B6">
              <w:rPr>
                <w:rFonts w:cs="Arial"/>
              </w:rPr>
              <w:fldChar w:fldCharType="begin">
                <w:ffData>
                  <w:name w:val=""/>
                  <w:enabled/>
                  <w:calcOnExit w:val="0"/>
                  <w:textInput/>
                </w:ffData>
              </w:fldChar>
            </w:r>
            <w:r w:rsidRPr="003A12B6">
              <w:rPr>
                <w:rFonts w:cs="Arial"/>
              </w:rPr>
              <w:instrText xml:space="preserve"> FORMTEXT </w:instrText>
            </w:r>
            <w:r w:rsidRPr="003A12B6">
              <w:rPr>
                <w:rFonts w:cs="Arial"/>
              </w:rPr>
            </w:r>
            <w:r w:rsidRPr="003A12B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3A12B6">
              <w:rPr>
                <w:rFonts w:cs="Arial"/>
              </w:rPr>
              <w:fldChar w:fldCharType="end"/>
            </w:r>
          </w:p>
          <w:p w14:paraId="3FF35ED6" w14:textId="77777777" w:rsidR="00F67E9E" w:rsidRPr="00AE092F" w:rsidRDefault="00F67E9E" w:rsidP="007F74AA">
            <w:pPr>
              <w:rPr>
                <w:rFonts w:cs="Arial"/>
              </w:rPr>
            </w:pPr>
            <w:r w:rsidRPr="00AE092F">
              <w:rPr>
                <w:rFonts w:cs="Arial"/>
              </w:rPr>
              <w:t xml:space="preserve">Job title: </w:t>
            </w:r>
            <w:r w:rsidRPr="00AE092F">
              <w:rPr>
                <w:rFonts w:cs="Arial"/>
                <w:highlight w:val="lightGray"/>
              </w:rPr>
              <w:fldChar w:fldCharType="begin">
                <w:ffData>
                  <w:name w:val=""/>
                  <w:enabled/>
                  <w:calcOnExit w:val="0"/>
                  <w:textInput/>
                </w:ffData>
              </w:fldChar>
            </w:r>
            <w:r w:rsidRPr="00AE092F">
              <w:rPr>
                <w:rFonts w:cs="Arial"/>
                <w:highlight w:val="lightGray"/>
              </w:rPr>
              <w:instrText xml:space="preserve"> FORMTEXT </w:instrText>
            </w:r>
            <w:r w:rsidRPr="00AE092F">
              <w:rPr>
                <w:rFonts w:cs="Arial"/>
                <w:highlight w:val="lightGray"/>
              </w:rPr>
            </w:r>
            <w:r w:rsidRPr="00AE092F">
              <w:rPr>
                <w:rFonts w:cs="Arial"/>
                <w:highlight w:val="lightGray"/>
              </w:rPr>
              <w:fldChar w:fldCharType="separate"/>
            </w:r>
            <w:r>
              <w:rPr>
                <w:rFonts w:cs="Arial"/>
                <w:noProof/>
                <w:highlight w:val="lightGray"/>
              </w:rPr>
              <w:t> </w:t>
            </w:r>
            <w:r>
              <w:rPr>
                <w:rFonts w:cs="Arial"/>
                <w:noProof/>
                <w:highlight w:val="lightGray"/>
              </w:rPr>
              <w:t> </w:t>
            </w:r>
            <w:r>
              <w:rPr>
                <w:rFonts w:cs="Arial"/>
                <w:noProof/>
                <w:highlight w:val="lightGray"/>
              </w:rPr>
              <w:t> </w:t>
            </w:r>
            <w:r>
              <w:rPr>
                <w:rFonts w:cs="Arial"/>
                <w:noProof/>
                <w:highlight w:val="lightGray"/>
              </w:rPr>
              <w:t> </w:t>
            </w:r>
            <w:r>
              <w:rPr>
                <w:rFonts w:cs="Arial"/>
                <w:noProof/>
                <w:highlight w:val="lightGray"/>
              </w:rPr>
              <w:t> </w:t>
            </w:r>
            <w:r w:rsidRPr="00AE092F">
              <w:rPr>
                <w:rFonts w:cs="Arial"/>
                <w:highlight w:val="lightGray"/>
              </w:rPr>
              <w:fldChar w:fldCharType="end"/>
            </w:r>
          </w:p>
        </w:tc>
      </w:tr>
    </w:tbl>
    <w:p w14:paraId="2719B219" w14:textId="77777777" w:rsidR="00F67E9E" w:rsidRPr="00157B71" w:rsidRDefault="00F67E9E" w:rsidP="00F67E9E">
      <w:pPr>
        <w:keepNext/>
        <w:keepLines/>
        <w:spacing w:before="100" w:after="100"/>
        <w:rPr>
          <w:b/>
          <w:bCs/>
        </w:rPr>
      </w:pPr>
      <w:r w:rsidRPr="00157B71">
        <w:rPr>
          <w:b/>
          <w:bCs/>
        </w:rPr>
        <w:t>Table 2: Transfer Details</w:t>
      </w:r>
    </w:p>
    <w:tbl>
      <w:tblPr>
        <w:tblStyle w:val="MSATable-header"/>
        <w:tblW w:w="5003" w:type="pct"/>
        <w:tblLook w:val="0000" w:firstRow="0" w:lastRow="0" w:firstColumn="0" w:lastColumn="0" w:noHBand="0" w:noVBand="0"/>
      </w:tblPr>
      <w:tblGrid>
        <w:gridCol w:w="2398"/>
        <w:gridCol w:w="7796"/>
      </w:tblGrid>
      <w:tr w:rsidR="00F67E9E" w:rsidRPr="00D20385" w14:paraId="72632A6A" w14:textId="77777777" w:rsidTr="007F74AA">
        <w:tc>
          <w:tcPr>
            <w:tcW w:w="1176" w:type="pct"/>
            <w:shd w:val="clear" w:color="auto" w:fill="F0F0F0"/>
          </w:tcPr>
          <w:p w14:paraId="1FD24253" w14:textId="77777777" w:rsidR="00F67E9E" w:rsidRPr="003A12B6" w:rsidRDefault="00F67E9E" w:rsidP="007F74AA">
            <w:pPr>
              <w:rPr>
                <w:rFonts w:asciiTheme="minorHAnsi" w:eastAsia="Arial" w:hAnsiTheme="minorHAnsi" w:cstheme="minorHAnsi"/>
                <w:b/>
                <w:bCs/>
                <w:szCs w:val="24"/>
                <w:lang w:bidi="en-US"/>
              </w:rPr>
            </w:pPr>
            <w:r w:rsidRPr="003A12B6">
              <w:rPr>
                <w:rFonts w:asciiTheme="minorHAnsi" w:eastAsia="Arial" w:hAnsiTheme="minorHAnsi" w:cstheme="minorHAnsi"/>
                <w:b/>
                <w:bCs/>
                <w:szCs w:val="24"/>
                <w:lang w:bidi="en-US"/>
              </w:rPr>
              <w:t>UK country’s law that governs the IDTA:</w:t>
            </w:r>
          </w:p>
        </w:tc>
        <w:tc>
          <w:tcPr>
            <w:tcW w:w="3824" w:type="pct"/>
          </w:tcPr>
          <w:p w14:paraId="60472A70" w14:textId="77777777" w:rsidR="00F67E9E" w:rsidRPr="003A12B6" w:rsidRDefault="00F67E9E" w:rsidP="007F74AA">
            <w:pPr>
              <w:spacing w:after="120"/>
              <w:ind w:hanging="227"/>
              <w:rPr>
                <w:rFonts w:asciiTheme="minorHAnsi" w:eastAsia="Arial" w:hAnsiTheme="minorHAnsi" w:cstheme="minorHAnsi"/>
                <w:szCs w:val="24"/>
                <w:lang w:bidi="en-US"/>
              </w:rPr>
            </w:pPr>
            <w:r w:rsidRPr="00AE092F">
              <w:rPr>
                <w:rFonts w:cs="Arial"/>
                <w:szCs w:val="24"/>
              </w:rPr>
              <w:fldChar w:fldCharType="begin" w:fldLock="1">
                <w:ffData>
                  <w:name w:val=""/>
                  <w:enabled/>
                  <w:calcOnExit w:val="0"/>
                  <w:checkBox>
                    <w:size w:val="16"/>
                    <w:default w:val="0"/>
                  </w:checkBox>
                </w:ffData>
              </w:fldChar>
            </w:r>
            <w:r w:rsidRPr="00AE092F">
              <w:rPr>
                <w:rFonts w:cs="Arial"/>
                <w:szCs w:val="24"/>
              </w:rPr>
              <w:instrText xml:space="preserve"> FORMCHECKBOX </w:instrText>
            </w:r>
            <w:r w:rsidR="000D7DE5">
              <w:rPr>
                <w:rFonts w:cs="Arial"/>
                <w:szCs w:val="24"/>
              </w:rPr>
            </w:r>
            <w:r w:rsidR="000D7DE5">
              <w:rPr>
                <w:rFonts w:cs="Arial"/>
                <w:szCs w:val="24"/>
              </w:rPr>
              <w:fldChar w:fldCharType="separate"/>
            </w:r>
            <w:r w:rsidRPr="00AE092F">
              <w:rPr>
                <w:rFonts w:cs="Arial"/>
                <w:szCs w:val="24"/>
              </w:rPr>
              <w:fldChar w:fldCharType="end"/>
            </w:r>
            <w:r w:rsidRPr="00AE092F">
              <w:rPr>
                <w:rFonts w:cs="Arial"/>
                <w:szCs w:val="24"/>
              </w:rPr>
              <w:t xml:space="preserve"> England</w:t>
            </w:r>
            <w:r w:rsidRPr="003A12B6">
              <w:rPr>
                <w:rFonts w:asciiTheme="minorHAnsi" w:eastAsia="Arial" w:hAnsiTheme="minorHAnsi" w:cstheme="minorHAnsi"/>
                <w:szCs w:val="24"/>
                <w:lang w:bidi="en-US"/>
              </w:rPr>
              <w:t xml:space="preserve"> and Wales</w:t>
            </w:r>
          </w:p>
          <w:p w14:paraId="2534050C" w14:textId="77777777" w:rsidR="00F67E9E" w:rsidRPr="003A12B6" w:rsidRDefault="00F67E9E" w:rsidP="007F74AA">
            <w:pPr>
              <w:spacing w:after="120"/>
              <w:ind w:hanging="227"/>
              <w:rPr>
                <w:rFonts w:asciiTheme="minorHAnsi" w:eastAsia="Arial" w:hAnsiTheme="minorHAnsi" w:cstheme="minorHAnsi"/>
                <w:szCs w:val="24"/>
                <w:lang w:bidi="en-US"/>
              </w:rPr>
            </w:pPr>
            <w:r w:rsidRPr="003A12B6">
              <w:rPr>
                <w:rFonts w:asciiTheme="minorHAnsi" w:eastAsia="Arial" w:hAnsiTheme="minorHAnsi" w:cstheme="minorHAnsi"/>
                <w:szCs w:val="24"/>
                <w:lang w:bidi="en-US"/>
              </w:rPr>
              <w:fldChar w:fldCharType="begin" w:fldLock="1">
                <w:ffData>
                  <w:name w:val=""/>
                  <w:enabled/>
                  <w:calcOnExit w:val="0"/>
                  <w:checkBox>
                    <w:size w:val="16"/>
                    <w:default w:val="0"/>
                  </w:checkBox>
                </w:ffData>
              </w:fldChar>
            </w:r>
            <w:r w:rsidRPr="003A12B6">
              <w:rPr>
                <w:rFonts w:asciiTheme="minorHAnsi" w:eastAsia="Arial" w:hAnsiTheme="minorHAnsi" w:cstheme="minorHAnsi"/>
                <w:szCs w:val="24"/>
                <w:lang w:bidi="en-US"/>
              </w:rPr>
              <w:instrText xml:space="preserve"> FORMCHECKBOX </w:instrText>
            </w:r>
            <w:r w:rsidR="000D7DE5">
              <w:rPr>
                <w:rFonts w:asciiTheme="minorHAnsi" w:eastAsia="Arial" w:hAnsiTheme="minorHAnsi" w:cstheme="minorHAnsi"/>
                <w:szCs w:val="24"/>
                <w:lang w:bidi="en-US"/>
              </w:rPr>
            </w:r>
            <w:r w:rsidR="000D7DE5">
              <w:rPr>
                <w:rFonts w:asciiTheme="minorHAnsi" w:eastAsia="Arial" w:hAnsiTheme="minorHAnsi" w:cstheme="minorHAnsi"/>
                <w:szCs w:val="24"/>
                <w:lang w:bidi="en-US"/>
              </w:rPr>
              <w:fldChar w:fldCharType="separate"/>
            </w:r>
            <w:r w:rsidRPr="003A12B6">
              <w:rPr>
                <w:rFonts w:asciiTheme="minorHAnsi" w:eastAsia="Arial" w:hAnsiTheme="minorHAnsi" w:cstheme="minorHAnsi"/>
                <w:szCs w:val="24"/>
                <w:lang w:bidi="en-US"/>
              </w:rPr>
              <w:fldChar w:fldCharType="end"/>
            </w:r>
            <w:r w:rsidRPr="003A12B6">
              <w:rPr>
                <w:rFonts w:asciiTheme="minorHAnsi" w:eastAsia="Arial" w:hAnsiTheme="minorHAnsi" w:cstheme="minorHAnsi"/>
                <w:szCs w:val="24"/>
                <w:lang w:bidi="en-US"/>
              </w:rPr>
              <w:t xml:space="preserve"> Northern Ireland</w:t>
            </w:r>
          </w:p>
          <w:p w14:paraId="57B26896" w14:textId="77777777" w:rsidR="00F67E9E" w:rsidRPr="00AE092F" w:rsidRDefault="00F67E9E" w:rsidP="007F74AA">
            <w:pPr>
              <w:ind w:hanging="227"/>
              <w:rPr>
                <w:rFonts w:cs="Arial"/>
                <w:szCs w:val="24"/>
              </w:rPr>
            </w:pPr>
            <w:r w:rsidRPr="003A12B6">
              <w:rPr>
                <w:rFonts w:asciiTheme="minorHAnsi" w:eastAsia="Arial" w:hAnsiTheme="minorHAnsi" w:cstheme="minorHAnsi"/>
                <w:szCs w:val="24"/>
                <w:lang w:bidi="en-US"/>
              </w:rPr>
              <w:fldChar w:fldCharType="begin" w:fldLock="1">
                <w:ffData>
                  <w:name w:val=""/>
                  <w:enabled/>
                  <w:calcOnExit w:val="0"/>
                  <w:checkBox>
                    <w:size w:val="16"/>
                    <w:default w:val="0"/>
                  </w:checkBox>
                </w:ffData>
              </w:fldChar>
            </w:r>
            <w:r w:rsidRPr="003A12B6">
              <w:rPr>
                <w:rFonts w:asciiTheme="minorHAnsi" w:eastAsia="Arial" w:hAnsiTheme="minorHAnsi" w:cstheme="minorHAnsi"/>
                <w:szCs w:val="24"/>
                <w:lang w:bidi="en-US"/>
              </w:rPr>
              <w:instrText xml:space="preserve"> FORMCHECKBOX </w:instrText>
            </w:r>
            <w:r w:rsidR="000D7DE5">
              <w:rPr>
                <w:rFonts w:asciiTheme="minorHAnsi" w:eastAsia="Arial" w:hAnsiTheme="minorHAnsi" w:cstheme="minorHAnsi"/>
                <w:szCs w:val="24"/>
                <w:lang w:bidi="en-US"/>
              </w:rPr>
            </w:r>
            <w:r w:rsidR="000D7DE5">
              <w:rPr>
                <w:rFonts w:asciiTheme="minorHAnsi" w:eastAsia="Arial" w:hAnsiTheme="minorHAnsi" w:cstheme="minorHAnsi"/>
                <w:szCs w:val="24"/>
                <w:lang w:bidi="en-US"/>
              </w:rPr>
              <w:fldChar w:fldCharType="separate"/>
            </w:r>
            <w:r w:rsidRPr="003A12B6">
              <w:rPr>
                <w:rFonts w:asciiTheme="minorHAnsi" w:eastAsia="Arial" w:hAnsiTheme="minorHAnsi" w:cstheme="minorHAnsi"/>
                <w:szCs w:val="24"/>
                <w:lang w:bidi="en-US"/>
              </w:rPr>
              <w:fldChar w:fldCharType="end"/>
            </w:r>
            <w:r w:rsidRPr="003A12B6">
              <w:rPr>
                <w:rFonts w:asciiTheme="minorHAnsi" w:eastAsia="Arial" w:hAnsiTheme="minorHAnsi" w:cstheme="minorHAnsi"/>
                <w:szCs w:val="24"/>
                <w:lang w:bidi="en-US"/>
              </w:rPr>
              <w:t xml:space="preserve"> </w:t>
            </w:r>
            <w:r w:rsidRPr="003A12B6">
              <w:rPr>
                <w:rFonts w:cs="Arial"/>
                <w:szCs w:val="24"/>
              </w:rPr>
              <w:t>Scotland</w:t>
            </w:r>
          </w:p>
        </w:tc>
      </w:tr>
      <w:tr w:rsidR="00F67E9E" w:rsidRPr="00D20385" w14:paraId="14635E84" w14:textId="77777777" w:rsidTr="007F74AA">
        <w:tc>
          <w:tcPr>
            <w:tcW w:w="1176" w:type="pct"/>
            <w:shd w:val="clear" w:color="auto" w:fill="F0F0F0"/>
          </w:tcPr>
          <w:p w14:paraId="615F223C" w14:textId="77777777" w:rsidR="00F67E9E" w:rsidRPr="003A12B6" w:rsidRDefault="00F67E9E" w:rsidP="007F74AA">
            <w:pPr>
              <w:rPr>
                <w:rFonts w:asciiTheme="minorHAnsi" w:eastAsia="Arial" w:hAnsiTheme="minorHAnsi" w:cstheme="minorHAnsi"/>
                <w:b/>
                <w:bCs/>
                <w:szCs w:val="24"/>
                <w:lang w:bidi="en-US"/>
              </w:rPr>
            </w:pPr>
            <w:r w:rsidRPr="003A12B6">
              <w:rPr>
                <w:rFonts w:asciiTheme="minorHAnsi" w:eastAsia="Arial" w:hAnsiTheme="minorHAnsi" w:cstheme="minorHAnsi"/>
                <w:b/>
                <w:bCs/>
                <w:szCs w:val="24"/>
                <w:lang w:bidi="en-US"/>
              </w:rPr>
              <w:t>Primary place for legal claims to be made by the Parties</w:t>
            </w:r>
          </w:p>
        </w:tc>
        <w:tc>
          <w:tcPr>
            <w:tcW w:w="3824" w:type="pct"/>
          </w:tcPr>
          <w:p w14:paraId="19B15036" w14:textId="77777777" w:rsidR="00F67E9E" w:rsidRPr="003A12B6" w:rsidRDefault="00F67E9E" w:rsidP="007F74AA">
            <w:pPr>
              <w:spacing w:after="120"/>
              <w:ind w:hanging="227"/>
              <w:rPr>
                <w:rFonts w:asciiTheme="minorHAnsi" w:eastAsia="Arial" w:hAnsiTheme="minorHAnsi" w:cstheme="minorHAnsi"/>
                <w:szCs w:val="24"/>
                <w:lang w:bidi="en-US"/>
              </w:rPr>
            </w:pPr>
            <w:r w:rsidRPr="00AE092F">
              <w:rPr>
                <w:rFonts w:cs="Arial"/>
                <w:szCs w:val="24"/>
              </w:rPr>
              <w:fldChar w:fldCharType="begin" w:fldLock="1">
                <w:ffData>
                  <w:name w:val=""/>
                  <w:enabled/>
                  <w:calcOnExit w:val="0"/>
                  <w:checkBox>
                    <w:size w:val="16"/>
                    <w:default w:val="0"/>
                  </w:checkBox>
                </w:ffData>
              </w:fldChar>
            </w:r>
            <w:r w:rsidRPr="00AE092F">
              <w:rPr>
                <w:rFonts w:cs="Arial"/>
                <w:szCs w:val="24"/>
              </w:rPr>
              <w:instrText xml:space="preserve"> FORMCHECKBOX </w:instrText>
            </w:r>
            <w:r w:rsidR="000D7DE5">
              <w:rPr>
                <w:rFonts w:cs="Arial"/>
                <w:szCs w:val="24"/>
              </w:rPr>
            </w:r>
            <w:r w:rsidR="000D7DE5">
              <w:rPr>
                <w:rFonts w:cs="Arial"/>
                <w:szCs w:val="24"/>
              </w:rPr>
              <w:fldChar w:fldCharType="separate"/>
            </w:r>
            <w:r w:rsidRPr="00AE092F">
              <w:rPr>
                <w:rFonts w:cs="Arial"/>
                <w:szCs w:val="24"/>
              </w:rPr>
              <w:fldChar w:fldCharType="end"/>
            </w:r>
            <w:r w:rsidRPr="00AE092F">
              <w:rPr>
                <w:rFonts w:cs="Arial"/>
                <w:szCs w:val="24"/>
              </w:rPr>
              <w:t xml:space="preserve"> Englan</w:t>
            </w:r>
            <w:r w:rsidRPr="003A12B6">
              <w:rPr>
                <w:rFonts w:asciiTheme="minorHAnsi" w:eastAsia="Arial" w:hAnsiTheme="minorHAnsi" w:cstheme="minorHAnsi"/>
                <w:szCs w:val="24"/>
                <w:lang w:bidi="en-US"/>
              </w:rPr>
              <w:t>d and Wales</w:t>
            </w:r>
          </w:p>
          <w:p w14:paraId="425ED71F" w14:textId="77777777" w:rsidR="00F67E9E" w:rsidRPr="003A12B6" w:rsidRDefault="00F67E9E" w:rsidP="007F74AA">
            <w:pPr>
              <w:spacing w:after="120"/>
              <w:ind w:hanging="227"/>
              <w:rPr>
                <w:rFonts w:asciiTheme="minorHAnsi" w:eastAsia="Arial" w:hAnsiTheme="minorHAnsi" w:cstheme="minorHAnsi"/>
                <w:szCs w:val="24"/>
                <w:lang w:bidi="en-US"/>
              </w:rPr>
            </w:pPr>
            <w:r w:rsidRPr="003A12B6">
              <w:rPr>
                <w:rFonts w:asciiTheme="minorHAnsi" w:eastAsia="Arial" w:hAnsiTheme="minorHAnsi" w:cstheme="minorHAnsi"/>
                <w:szCs w:val="24"/>
                <w:lang w:bidi="en-US"/>
              </w:rPr>
              <w:fldChar w:fldCharType="begin" w:fldLock="1">
                <w:ffData>
                  <w:name w:val=""/>
                  <w:enabled/>
                  <w:calcOnExit w:val="0"/>
                  <w:checkBox>
                    <w:size w:val="16"/>
                    <w:default w:val="0"/>
                  </w:checkBox>
                </w:ffData>
              </w:fldChar>
            </w:r>
            <w:r w:rsidRPr="003A12B6">
              <w:rPr>
                <w:rFonts w:asciiTheme="minorHAnsi" w:eastAsia="Arial" w:hAnsiTheme="minorHAnsi" w:cstheme="minorHAnsi"/>
                <w:szCs w:val="24"/>
                <w:lang w:bidi="en-US"/>
              </w:rPr>
              <w:instrText xml:space="preserve"> FORMCHECKBOX </w:instrText>
            </w:r>
            <w:r w:rsidR="000D7DE5">
              <w:rPr>
                <w:rFonts w:asciiTheme="minorHAnsi" w:eastAsia="Arial" w:hAnsiTheme="minorHAnsi" w:cstheme="minorHAnsi"/>
                <w:szCs w:val="24"/>
                <w:lang w:bidi="en-US"/>
              </w:rPr>
            </w:r>
            <w:r w:rsidR="000D7DE5">
              <w:rPr>
                <w:rFonts w:asciiTheme="minorHAnsi" w:eastAsia="Arial" w:hAnsiTheme="minorHAnsi" w:cstheme="minorHAnsi"/>
                <w:szCs w:val="24"/>
                <w:lang w:bidi="en-US"/>
              </w:rPr>
              <w:fldChar w:fldCharType="separate"/>
            </w:r>
            <w:r w:rsidRPr="003A12B6">
              <w:rPr>
                <w:rFonts w:asciiTheme="minorHAnsi" w:eastAsia="Arial" w:hAnsiTheme="minorHAnsi" w:cstheme="minorHAnsi"/>
                <w:szCs w:val="24"/>
                <w:lang w:bidi="en-US"/>
              </w:rPr>
              <w:fldChar w:fldCharType="end"/>
            </w:r>
            <w:r w:rsidRPr="003A12B6">
              <w:rPr>
                <w:rFonts w:asciiTheme="minorHAnsi" w:eastAsia="Arial" w:hAnsiTheme="minorHAnsi" w:cstheme="minorHAnsi"/>
                <w:szCs w:val="24"/>
                <w:lang w:bidi="en-US"/>
              </w:rPr>
              <w:t xml:space="preserve"> Northern Ireland</w:t>
            </w:r>
          </w:p>
          <w:p w14:paraId="4B6FA03F" w14:textId="77777777" w:rsidR="00F67E9E" w:rsidRPr="00AE092F" w:rsidRDefault="00F67E9E" w:rsidP="007F74AA">
            <w:pPr>
              <w:ind w:hanging="227"/>
              <w:rPr>
                <w:rFonts w:cs="Arial"/>
                <w:szCs w:val="24"/>
              </w:rPr>
            </w:pPr>
            <w:r w:rsidRPr="003A12B6">
              <w:rPr>
                <w:rFonts w:asciiTheme="minorHAnsi" w:eastAsia="Arial" w:hAnsiTheme="minorHAnsi" w:cstheme="minorHAnsi"/>
                <w:szCs w:val="24"/>
                <w:lang w:bidi="en-US"/>
              </w:rPr>
              <w:fldChar w:fldCharType="begin" w:fldLock="1">
                <w:ffData>
                  <w:name w:val=""/>
                  <w:enabled/>
                  <w:calcOnExit w:val="0"/>
                  <w:checkBox>
                    <w:size w:val="16"/>
                    <w:default w:val="0"/>
                  </w:checkBox>
                </w:ffData>
              </w:fldChar>
            </w:r>
            <w:r w:rsidRPr="003A12B6">
              <w:rPr>
                <w:rFonts w:asciiTheme="minorHAnsi" w:eastAsia="Arial" w:hAnsiTheme="minorHAnsi" w:cstheme="minorHAnsi"/>
                <w:szCs w:val="24"/>
                <w:lang w:bidi="en-US"/>
              </w:rPr>
              <w:instrText xml:space="preserve"> FORMCHECKBOX </w:instrText>
            </w:r>
            <w:r w:rsidR="000D7DE5">
              <w:rPr>
                <w:rFonts w:asciiTheme="minorHAnsi" w:eastAsia="Arial" w:hAnsiTheme="minorHAnsi" w:cstheme="minorHAnsi"/>
                <w:szCs w:val="24"/>
                <w:lang w:bidi="en-US"/>
              </w:rPr>
            </w:r>
            <w:r w:rsidR="000D7DE5">
              <w:rPr>
                <w:rFonts w:asciiTheme="minorHAnsi" w:eastAsia="Arial" w:hAnsiTheme="minorHAnsi" w:cstheme="minorHAnsi"/>
                <w:szCs w:val="24"/>
                <w:lang w:bidi="en-US"/>
              </w:rPr>
              <w:fldChar w:fldCharType="separate"/>
            </w:r>
            <w:r w:rsidRPr="003A12B6">
              <w:rPr>
                <w:rFonts w:asciiTheme="minorHAnsi" w:eastAsia="Arial" w:hAnsiTheme="minorHAnsi" w:cstheme="minorHAnsi"/>
                <w:szCs w:val="24"/>
                <w:lang w:bidi="en-US"/>
              </w:rPr>
              <w:fldChar w:fldCharType="end"/>
            </w:r>
            <w:r w:rsidRPr="003A12B6">
              <w:rPr>
                <w:rFonts w:asciiTheme="minorHAnsi" w:eastAsia="Arial" w:hAnsiTheme="minorHAnsi" w:cstheme="minorHAnsi"/>
                <w:szCs w:val="24"/>
                <w:lang w:bidi="en-US"/>
              </w:rPr>
              <w:t xml:space="preserve"> </w:t>
            </w:r>
            <w:r w:rsidRPr="003A12B6">
              <w:rPr>
                <w:rFonts w:cs="Arial"/>
                <w:szCs w:val="24"/>
              </w:rPr>
              <w:t>Scotland</w:t>
            </w:r>
          </w:p>
        </w:tc>
      </w:tr>
      <w:tr w:rsidR="00F67E9E" w:rsidRPr="00D20385" w14:paraId="6B15C173" w14:textId="77777777" w:rsidTr="007F74AA">
        <w:tc>
          <w:tcPr>
            <w:tcW w:w="1176" w:type="pct"/>
            <w:shd w:val="clear" w:color="auto" w:fill="F0F0F0"/>
          </w:tcPr>
          <w:p w14:paraId="432DA853" w14:textId="77777777" w:rsidR="00F67E9E" w:rsidRPr="003A12B6" w:rsidRDefault="00F67E9E" w:rsidP="007F74AA">
            <w:pPr>
              <w:rPr>
                <w:rFonts w:asciiTheme="minorHAnsi" w:eastAsia="Arial" w:hAnsiTheme="minorHAnsi" w:cstheme="minorHAnsi"/>
                <w:b/>
                <w:bCs/>
                <w:szCs w:val="24"/>
                <w:lang w:bidi="en-US"/>
              </w:rPr>
            </w:pPr>
            <w:r w:rsidRPr="003A12B6">
              <w:rPr>
                <w:rFonts w:asciiTheme="minorHAnsi" w:eastAsia="Arial" w:hAnsiTheme="minorHAnsi" w:cstheme="minorHAnsi"/>
                <w:b/>
                <w:bCs/>
                <w:szCs w:val="24"/>
                <w:lang w:bidi="en-US"/>
              </w:rPr>
              <w:t>The status of the Exporter</w:t>
            </w:r>
          </w:p>
        </w:tc>
        <w:tc>
          <w:tcPr>
            <w:tcW w:w="3824" w:type="pct"/>
          </w:tcPr>
          <w:p w14:paraId="499F3EBC" w14:textId="77777777" w:rsidR="00F67E9E" w:rsidRPr="00AE092F" w:rsidRDefault="00F67E9E" w:rsidP="007F74AA">
            <w:pPr>
              <w:spacing w:after="120"/>
              <w:rPr>
                <w:rFonts w:cs="Arial"/>
                <w:szCs w:val="24"/>
              </w:rPr>
            </w:pPr>
            <w:r w:rsidRPr="00AE092F">
              <w:rPr>
                <w:rFonts w:cs="Arial"/>
                <w:szCs w:val="24"/>
              </w:rPr>
              <w:t>In relation to the Processing of the Transferred Data:</w:t>
            </w:r>
          </w:p>
          <w:p w14:paraId="7D36902E" w14:textId="77777777" w:rsidR="00F67E9E" w:rsidRPr="003A12B6" w:rsidRDefault="00F67E9E" w:rsidP="007F74AA">
            <w:pPr>
              <w:spacing w:after="120"/>
              <w:ind w:hanging="227"/>
              <w:rPr>
                <w:rFonts w:asciiTheme="minorHAnsi" w:eastAsia="Arial" w:hAnsiTheme="minorHAnsi" w:cstheme="minorHAnsi"/>
                <w:szCs w:val="24"/>
                <w:lang w:bidi="en-US"/>
              </w:rPr>
            </w:pPr>
            <w:r w:rsidRPr="00AE092F">
              <w:rPr>
                <w:rFonts w:cs="Arial"/>
                <w:szCs w:val="24"/>
              </w:rPr>
              <w:fldChar w:fldCharType="begin" w:fldLock="1">
                <w:ffData>
                  <w:name w:val=""/>
                  <w:enabled/>
                  <w:calcOnExit w:val="0"/>
                  <w:checkBox>
                    <w:size w:val="16"/>
                    <w:default w:val="0"/>
                  </w:checkBox>
                </w:ffData>
              </w:fldChar>
            </w:r>
            <w:r w:rsidRPr="00AE092F">
              <w:rPr>
                <w:rFonts w:cs="Arial"/>
                <w:szCs w:val="24"/>
              </w:rPr>
              <w:instrText xml:space="preserve"> FORMCHECKBOX </w:instrText>
            </w:r>
            <w:r w:rsidR="000D7DE5">
              <w:rPr>
                <w:rFonts w:cs="Arial"/>
                <w:szCs w:val="24"/>
              </w:rPr>
            </w:r>
            <w:r w:rsidR="000D7DE5">
              <w:rPr>
                <w:rFonts w:cs="Arial"/>
                <w:szCs w:val="24"/>
              </w:rPr>
              <w:fldChar w:fldCharType="separate"/>
            </w:r>
            <w:r w:rsidRPr="00AE092F">
              <w:rPr>
                <w:rFonts w:cs="Arial"/>
                <w:szCs w:val="24"/>
              </w:rPr>
              <w:fldChar w:fldCharType="end"/>
            </w:r>
            <w:r w:rsidRPr="00AE092F">
              <w:rPr>
                <w:rFonts w:cs="Arial"/>
                <w:szCs w:val="24"/>
              </w:rPr>
              <w:t xml:space="preserve"> Export</w:t>
            </w:r>
            <w:r w:rsidRPr="003A12B6">
              <w:rPr>
                <w:rFonts w:asciiTheme="minorHAnsi" w:eastAsia="Arial" w:hAnsiTheme="minorHAnsi" w:cstheme="minorHAnsi"/>
                <w:szCs w:val="24"/>
                <w:lang w:bidi="en-US"/>
              </w:rPr>
              <w:t>er is a Controller</w:t>
            </w:r>
          </w:p>
          <w:p w14:paraId="31462568" w14:textId="77777777" w:rsidR="00F67E9E" w:rsidRPr="00AE092F" w:rsidRDefault="00F67E9E" w:rsidP="007F74AA">
            <w:pPr>
              <w:ind w:hanging="227"/>
              <w:rPr>
                <w:rFonts w:cs="Arial"/>
                <w:szCs w:val="24"/>
              </w:rPr>
            </w:pPr>
            <w:r w:rsidRPr="003A12B6">
              <w:rPr>
                <w:rFonts w:asciiTheme="minorHAnsi" w:eastAsia="Arial" w:hAnsiTheme="minorHAnsi" w:cstheme="minorHAnsi"/>
                <w:szCs w:val="24"/>
                <w:lang w:bidi="en-US"/>
              </w:rPr>
              <w:fldChar w:fldCharType="begin" w:fldLock="1">
                <w:ffData>
                  <w:name w:val=""/>
                  <w:enabled/>
                  <w:calcOnExit w:val="0"/>
                  <w:checkBox>
                    <w:size w:val="16"/>
                    <w:default w:val="0"/>
                  </w:checkBox>
                </w:ffData>
              </w:fldChar>
            </w:r>
            <w:r w:rsidRPr="003A12B6">
              <w:rPr>
                <w:rFonts w:asciiTheme="minorHAnsi" w:eastAsia="Arial" w:hAnsiTheme="minorHAnsi" w:cstheme="minorHAnsi"/>
                <w:szCs w:val="24"/>
                <w:lang w:bidi="en-US"/>
              </w:rPr>
              <w:instrText xml:space="preserve"> FORMCHECKBOX </w:instrText>
            </w:r>
            <w:r w:rsidR="000D7DE5">
              <w:rPr>
                <w:rFonts w:asciiTheme="minorHAnsi" w:eastAsia="Arial" w:hAnsiTheme="minorHAnsi" w:cstheme="minorHAnsi"/>
                <w:szCs w:val="24"/>
                <w:lang w:bidi="en-US"/>
              </w:rPr>
            </w:r>
            <w:r w:rsidR="000D7DE5">
              <w:rPr>
                <w:rFonts w:asciiTheme="minorHAnsi" w:eastAsia="Arial" w:hAnsiTheme="minorHAnsi" w:cstheme="minorHAnsi"/>
                <w:szCs w:val="24"/>
                <w:lang w:bidi="en-US"/>
              </w:rPr>
              <w:fldChar w:fldCharType="separate"/>
            </w:r>
            <w:r w:rsidRPr="003A12B6">
              <w:rPr>
                <w:rFonts w:asciiTheme="minorHAnsi" w:eastAsia="Arial" w:hAnsiTheme="minorHAnsi" w:cstheme="minorHAnsi"/>
                <w:szCs w:val="24"/>
                <w:lang w:bidi="en-US"/>
              </w:rPr>
              <w:fldChar w:fldCharType="end"/>
            </w:r>
            <w:r w:rsidRPr="003A12B6">
              <w:rPr>
                <w:rFonts w:asciiTheme="minorHAnsi" w:eastAsia="Arial" w:hAnsiTheme="minorHAnsi" w:cstheme="minorHAnsi"/>
                <w:szCs w:val="24"/>
                <w:lang w:bidi="en-US"/>
              </w:rPr>
              <w:t xml:space="preserve"> </w:t>
            </w:r>
            <w:r w:rsidRPr="003A12B6">
              <w:rPr>
                <w:rFonts w:cs="Arial"/>
                <w:szCs w:val="24"/>
              </w:rPr>
              <w:t>Exporter</w:t>
            </w:r>
            <w:r w:rsidRPr="00AE092F">
              <w:rPr>
                <w:rFonts w:cs="Arial"/>
                <w:szCs w:val="24"/>
              </w:rPr>
              <w:t xml:space="preserve"> is a Processor or Sub-Processor</w:t>
            </w:r>
          </w:p>
        </w:tc>
      </w:tr>
      <w:tr w:rsidR="00F67E9E" w:rsidRPr="00D20385" w14:paraId="599B9641" w14:textId="77777777" w:rsidTr="007F74AA">
        <w:tc>
          <w:tcPr>
            <w:tcW w:w="1176" w:type="pct"/>
            <w:shd w:val="clear" w:color="auto" w:fill="F0F0F0"/>
          </w:tcPr>
          <w:p w14:paraId="3CAB3B3C" w14:textId="77777777" w:rsidR="00F67E9E" w:rsidRPr="003A12B6" w:rsidRDefault="00F67E9E" w:rsidP="007F74AA">
            <w:pPr>
              <w:rPr>
                <w:rFonts w:asciiTheme="minorHAnsi" w:eastAsia="Arial" w:hAnsiTheme="minorHAnsi" w:cstheme="minorHAnsi"/>
                <w:b/>
                <w:bCs/>
                <w:szCs w:val="24"/>
                <w:lang w:bidi="en-US"/>
              </w:rPr>
            </w:pPr>
            <w:r w:rsidRPr="003A12B6">
              <w:rPr>
                <w:rFonts w:asciiTheme="minorHAnsi" w:eastAsia="Arial" w:hAnsiTheme="minorHAnsi" w:cstheme="minorHAnsi"/>
                <w:b/>
                <w:bCs/>
                <w:szCs w:val="24"/>
                <w:lang w:bidi="en-US"/>
              </w:rPr>
              <w:t>The status of the Importer</w:t>
            </w:r>
          </w:p>
        </w:tc>
        <w:tc>
          <w:tcPr>
            <w:tcW w:w="3824" w:type="pct"/>
          </w:tcPr>
          <w:p w14:paraId="100C3A5A" w14:textId="77777777" w:rsidR="00F67E9E" w:rsidRPr="00AE092F" w:rsidRDefault="00F67E9E" w:rsidP="007F74AA">
            <w:pPr>
              <w:spacing w:after="120"/>
              <w:rPr>
                <w:rFonts w:cs="Arial"/>
                <w:szCs w:val="24"/>
              </w:rPr>
            </w:pPr>
            <w:bookmarkStart w:id="2890" w:name="_Hlk73487136"/>
            <w:r w:rsidRPr="00AE092F">
              <w:rPr>
                <w:rFonts w:cs="Arial"/>
                <w:szCs w:val="24"/>
              </w:rPr>
              <w:t>In relation to the Processing of the Transferred Data:</w:t>
            </w:r>
          </w:p>
          <w:p w14:paraId="40274219" w14:textId="77777777" w:rsidR="00F67E9E" w:rsidRPr="003A12B6" w:rsidRDefault="00F67E9E" w:rsidP="007F74AA">
            <w:pPr>
              <w:spacing w:after="120"/>
              <w:ind w:hanging="227"/>
              <w:rPr>
                <w:rFonts w:asciiTheme="minorHAnsi" w:eastAsia="Arial" w:hAnsiTheme="minorHAnsi" w:cstheme="minorHAnsi"/>
                <w:szCs w:val="24"/>
                <w:lang w:bidi="en-US"/>
              </w:rPr>
            </w:pPr>
            <w:r w:rsidRPr="00AE092F">
              <w:rPr>
                <w:rFonts w:cs="Arial"/>
                <w:szCs w:val="24"/>
              </w:rPr>
              <w:fldChar w:fldCharType="begin" w:fldLock="1">
                <w:ffData>
                  <w:name w:val=""/>
                  <w:enabled/>
                  <w:calcOnExit w:val="0"/>
                  <w:checkBox>
                    <w:size w:val="16"/>
                    <w:default w:val="0"/>
                  </w:checkBox>
                </w:ffData>
              </w:fldChar>
            </w:r>
            <w:r w:rsidRPr="00AE092F">
              <w:rPr>
                <w:rFonts w:cs="Arial"/>
                <w:szCs w:val="24"/>
              </w:rPr>
              <w:instrText xml:space="preserve"> FORMCHECKBOX </w:instrText>
            </w:r>
            <w:r w:rsidR="000D7DE5">
              <w:rPr>
                <w:rFonts w:cs="Arial"/>
                <w:szCs w:val="24"/>
              </w:rPr>
            </w:r>
            <w:r w:rsidR="000D7DE5">
              <w:rPr>
                <w:rFonts w:cs="Arial"/>
                <w:szCs w:val="24"/>
              </w:rPr>
              <w:fldChar w:fldCharType="separate"/>
            </w:r>
            <w:r w:rsidRPr="00AE092F">
              <w:rPr>
                <w:rFonts w:cs="Arial"/>
                <w:szCs w:val="24"/>
              </w:rPr>
              <w:fldChar w:fldCharType="end"/>
            </w:r>
            <w:r w:rsidRPr="00AE092F">
              <w:rPr>
                <w:rFonts w:cs="Arial"/>
                <w:szCs w:val="24"/>
              </w:rPr>
              <w:t xml:space="preserve"> Importer</w:t>
            </w:r>
            <w:r w:rsidRPr="003A12B6">
              <w:rPr>
                <w:rFonts w:asciiTheme="minorHAnsi" w:eastAsia="Arial" w:hAnsiTheme="minorHAnsi" w:cstheme="minorHAnsi"/>
                <w:szCs w:val="24"/>
                <w:lang w:bidi="en-US"/>
              </w:rPr>
              <w:t xml:space="preserve"> is a Controller</w:t>
            </w:r>
          </w:p>
          <w:p w14:paraId="3D1F83C9" w14:textId="77777777" w:rsidR="00F67E9E" w:rsidRPr="003A12B6" w:rsidRDefault="00F67E9E" w:rsidP="007F74AA">
            <w:pPr>
              <w:spacing w:after="120"/>
              <w:ind w:hanging="227"/>
              <w:rPr>
                <w:rFonts w:asciiTheme="minorHAnsi" w:eastAsia="Arial" w:hAnsiTheme="minorHAnsi" w:cstheme="minorHAnsi"/>
                <w:szCs w:val="24"/>
                <w:lang w:bidi="en-US"/>
              </w:rPr>
            </w:pPr>
            <w:r w:rsidRPr="003A12B6">
              <w:rPr>
                <w:rFonts w:asciiTheme="minorHAnsi" w:eastAsia="Arial" w:hAnsiTheme="minorHAnsi" w:cstheme="minorHAnsi"/>
                <w:szCs w:val="24"/>
                <w:lang w:bidi="en-US"/>
              </w:rPr>
              <w:fldChar w:fldCharType="begin" w:fldLock="1">
                <w:ffData>
                  <w:name w:val=""/>
                  <w:enabled/>
                  <w:calcOnExit w:val="0"/>
                  <w:checkBox>
                    <w:size w:val="16"/>
                    <w:default w:val="0"/>
                  </w:checkBox>
                </w:ffData>
              </w:fldChar>
            </w:r>
            <w:r w:rsidRPr="003A12B6">
              <w:rPr>
                <w:rFonts w:asciiTheme="minorHAnsi" w:eastAsia="Arial" w:hAnsiTheme="minorHAnsi" w:cstheme="minorHAnsi"/>
                <w:szCs w:val="24"/>
                <w:lang w:bidi="en-US"/>
              </w:rPr>
              <w:instrText xml:space="preserve"> FORMCHECKBOX </w:instrText>
            </w:r>
            <w:r w:rsidR="000D7DE5">
              <w:rPr>
                <w:rFonts w:asciiTheme="minorHAnsi" w:eastAsia="Arial" w:hAnsiTheme="minorHAnsi" w:cstheme="minorHAnsi"/>
                <w:szCs w:val="24"/>
                <w:lang w:bidi="en-US"/>
              </w:rPr>
            </w:r>
            <w:r w:rsidR="000D7DE5">
              <w:rPr>
                <w:rFonts w:asciiTheme="minorHAnsi" w:eastAsia="Arial" w:hAnsiTheme="minorHAnsi" w:cstheme="minorHAnsi"/>
                <w:szCs w:val="24"/>
                <w:lang w:bidi="en-US"/>
              </w:rPr>
              <w:fldChar w:fldCharType="separate"/>
            </w:r>
            <w:r w:rsidRPr="003A12B6">
              <w:rPr>
                <w:rFonts w:asciiTheme="minorHAnsi" w:eastAsia="Arial" w:hAnsiTheme="minorHAnsi" w:cstheme="minorHAnsi"/>
                <w:szCs w:val="24"/>
                <w:lang w:bidi="en-US"/>
              </w:rPr>
              <w:fldChar w:fldCharType="end"/>
            </w:r>
            <w:r w:rsidRPr="003A12B6">
              <w:rPr>
                <w:rFonts w:asciiTheme="minorHAnsi" w:eastAsia="Arial" w:hAnsiTheme="minorHAnsi" w:cstheme="minorHAnsi"/>
                <w:szCs w:val="24"/>
                <w:lang w:bidi="en-US"/>
              </w:rPr>
              <w:t xml:space="preserve"> Importer is the Exporter’s Processor or Sub-Processor</w:t>
            </w:r>
          </w:p>
          <w:p w14:paraId="7D0F9387" w14:textId="77777777" w:rsidR="00F67E9E" w:rsidRPr="00AE092F" w:rsidRDefault="00F67E9E" w:rsidP="007F74AA">
            <w:pPr>
              <w:ind w:hanging="227"/>
              <w:rPr>
                <w:rFonts w:cs="Arial"/>
                <w:szCs w:val="24"/>
              </w:rPr>
            </w:pPr>
            <w:r w:rsidRPr="003A12B6">
              <w:rPr>
                <w:rFonts w:asciiTheme="minorHAnsi" w:eastAsia="Arial" w:hAnsiTheme="minorHAnsi" w:cstheme="minorHAnsi"/>
                <w:szCs w:val="24"/>
                <w:lang w:bidi="en-US"/>
              </w:rPr>
              <w:fldChar w:fldCharType="begin" w:fldLock="1">
                <w:ffData>
                  <w:name w:val=""/>
                  <w:enabled/>
                  <w:calcOnExit w:val="0"/>
                  <w:checkBox>
                    <w:size w:val="16"/>
                    <w:default w:val="0"/>
                  </w:checkBox>
                </w:ffData>
              </w:fldChar>
            </w:r>
            <w:r w:rsidRPr="003A12B6">
              <w:rPr>
                <w:rFonts w:asciiTheme="minorHAnsi" w:eastAsia="Arial" w:hAnsiTheme="minorHAnsi" w:cstheme="minorHAnsi"/>
                <w:szCs w:val="24"/>
                <w:lang w:bidi="en-US"/>
              </w:rPr>
              <w:instrText xml:space="preserve"> FORMCHECKBOX </w:instrText>
            </w:r>
            <w:r w:rsidR="000D7DE5">
              <w:rPr>
                <w:rFonts w:asciiTheme="minorHAnsi" w:eastAsia="Arial" w:hAnsiTheme="minorHAnsi" w:cstheme="minorHAnsi"/>
                <w:szCs w:val="24"/>
                <w:lang w:bidi="en-US"/>
              </w:rPr>
            </w:r>
            <w:r w:rsidR="000D7DE5">
              <w:rPr>
                <w:rFonts w:asciiTheme="minorHAnsi" w:eastAsia="Arial" w:hAnsiTheme="minorHAnsi" w:cstheme="minorHAnsi"/>
                <w:szCs w:val="24"/>
                <w:lang w:bidi="en-US"/>
              </w:rPr>
              <w:fldChar w:fldCharType="separate"/>
            </w:r>
            <w:r w:rsidRPr="003A12B6">
              <w:rPr>
                <w:rFonts w:asciiTheme="minorHAnsi" w:eastAsia="Arial" w:hAnsiTheme="minorHAnsi" w:cstheme="minorHAnsi"/>
                <w:szCs w:val="24"/>
                <w:lang w:bidi="en-US"/>
              </w:rPr>
              <w:fldChar w:fldCharType="end"/>
            </w:r>
            <w:r w:rsidRPr="003A12B6">
              <w:rPr>
                <w:rFonts w:asciiTheme="minorHAnsi" w:eastAsia="Arial" w:hAnsiTheme="minorHAnsi" w:cstheme="minorHAnsi"/>
                <w:szCs w:val="24"/>
                <w:lang w:bidi="en-US"/>
              </w:rPr>
              <w:t xml:space="preserve"> Impo</w:t>
            </w:r>
            <w:r w:rsidRPr="00AE092F">
              <w:rPr>
                <w:rFonts w:cs="Arial"/>
                <w:szCs w:val="24"/>
              </w:rPr>
              <w:t xml:space="preserve">rter is </w:t>
            </w:r>
            <w:r w:rsidRPr="00AE092F">
              <w:rPr>
                <w:rFonts w:cs="Arial"/>
                <w:b/>
                <w:bCs/>
                <w:szCs w:val="24"/>
              </w:rPr>
              <w:t>not</w:t>
            </w:r>
            <w:r w:rsidRPr="00AE092F">
              <w:rPr>
                <w:rFonts w:cs="Arial"/>
                <w:szCs w:val="24"/>
              </w:rPr>
              <w:t xml:space="preserve"> the Exporter</w:t>
            </w:r>
            <w:r>
              <w:rPr>
                <w:rFonts w:cs="Arial"/>
                <w:szCs w:val="24"/>
              </w:rPr>
              <w:t>’</w:t>
            </w:r>
            <w:r w:rsidRPr="00AE092F">
              <w:rPr>
                <w:rFonts w:cs="Arial"/>
                <w:szCs w:val="24"/>
              </w:rPr>
              <w:t xml:space="preserve">s Processor or Sub-Processor </w:t>
            </w:r>
            <w:bookmarkEnd w:id="2890"/>
            <w:r w:rsidRPr="00AE092F">
              <w:rPr>
                <w:rFonts w:cs="Arial"/>
                <w:szCs w:val="24"/>
              </w:rPr>
              <w:t>(and the Importer has been instructed by a Third Party Controller)</w:t>
            </w:r>
          </w:p>
        </w:tc>
      </w:tr>
      <w:tr w:rsidR="00F67E9E" w:rsidRPr="00D20385" w14:paraId="14D0D25F" w14:textId="77777777" w:rsidTr="007F74AA">
        <w:tc>
          <w:tcPr>
            <w:tcW w:w="1176" w:type="pct"/>
            <w:shd w:val="clear" w:color="auto" w:fill="F0F0F0"/>
          </w:tcPr>
          <w:p w14:paraId="40E03153" w14:textId="77777777" w:rsidR="00F67E9E" w:rsidRPr="003A12B6" w:rsidRDefault="00F67E9E" w:rsidP="007F74AA">
            <w:pPr>
              <w:rPr>
                <w:rFonts w:asciiTheme="minorHAnsi" w:eastAsia="Arial" w:hAnsiTheme="minorHAnsi" w:cstheme="minorHAnsi"/>
                <w:b/>
                <w:bCs/>
                <w:szCs w:val="24"/>
                <w:lang w:bidi="en-US"/>
              </w:rPr>
            </w:pPr>
            <w:r w:rsidRPr="003A12B6">
              <w:rPr>
                <w:rFonts w:asciiTheme="minorHAnsi" w:eastAsia="Arial" w:hAnsiTheme="minorHAnsi" w:cstheme="minorHAnsi"/>
                <w:b/>
                <w:bCs/>
                <w:szCs w:val="24"/>
                <w:lang w:bidi="en-US"/>
              </w:rPr>
              <w:t>Whether UK GDPR applies to the Importer</w:t>
            </w:r>
          </w:p>
        </w:tc>
        <w:tc>
          <w:tcPr>
            <w:tcW w:w="3824" w:type="pct"/>
          </w:tcPr>
          <w:p w14:paraId="73D124B3" w14:textId="77777777" w:rsidR="00F67E9E" w:rsidRPr="003A12B6" w:rsidRDefault="00F67E9E" w:rsidP="007F74AA">
            <w:pPr>
              <w:spacing w:after="120"/>
              <w:ind w:hanging="227"/>
              <w:rPr>
                <w:rFonts w:asciiTheme="minorHAnsi" w:eastAsia="Arial" w:hAnsiTheme="minorHAnsi" w:cstheme="minorHAnsi"/>
                <w:szCs w:val="24"/>
                <w:lang w:bidi="en-US"/>
              </w:rPr>
            </w:pPr>
            <w:r w:rsidRPr="00AE092F">
              <w:rPr>
                <w:rFonts w:cs="Arial"/>
                <w:szCs w:val="24"/>
              </w:rPr>
              <w:fldChar w:fldCharType="begin" w:fldLock="1">
                <w:ffData>
                  <w:name w:val=""/>
                  <w:enabled/>
                  <w:calcOnExit w:val="0"/>
                  <w:checkBox>
                    <w:size w:val="16"/>
                    <w:default w:val="0"/>
                  </w:checkBox>
                </w:ffData>
              </w:fldChar>
            </w:r>
            <w:r w:rsidRPr="00AE092F">
              <w:rPr>
                <w:rFonts w:cs="Arial"/>
                <w:szCs w:val="24"/>
              </w:rPr>
              <w:instrText xml:space="preserve"> FORMCHECKBOX </w:instrText>
            </w:r>
            <w:r w:rsidR="000D7DE5">
              <w:rPr>
                <w:rFonts w:cs="Arial"/>
                <w:szCs w:val="24"/>
              </w:rPr>
            </w:r>
            <w:r w:rsidR="000D7DE5">
              <w:rPr>
                <w:rFonts w:cs="Arial"/>
                <w:szCs w:val="24"/>
              </w:rPr>
              <w:fldChar w:fldCharType="separate"/>
            </w:r>
            <w:r w:rsidRPr="00AE092F">
              <w:rPr>
                <w:rFonts w:cs="Arial"/>
                <w:szCs w:val="24"/>
              </w:rPr>
              <w:fldChar w:fldCharType="end"/>
            </w:r>
            <w:r w:rsidRPr="00AE092F">
              <w:rPr>
                <w:rFonts w:cs="Arial"/>
                <w:szCs w:val="24"/>
              </w:rPr>
              <w:t xml:space="preserve"> UK GDPR</w:t>
            </w:r>
            <w:r w:rsidRPr="003A12B6">
              <w:rPr>
                <w:rFonts w:asciiTheme="minorHAnsi" w:eastAsia="Arial" w:hAnsiTheme="minorHAnsi" w:cstheme="minorHAnsi"/>
                <w:szCs w:val="24"/>
                <w:lang w:bidi="en-US"/>
              </w:rPr>
              <w:t xml:space="preserve"> applies to the Importer’s Processing of the Transferred Data</w:t>
            </w:r>
          </w:p>
          <w:p w14:paraId="3979E848" w14:textId="77777777" w:rsidR="00F67E9E" w:rsidRPr="00AE092F" w:rsidRDefault="00F67E9E" w:rsidP="007F74AA">
            <w:pPr>
              <w:ind w:hanging="227"/>
              <w:rPr>
                <w:rFonts w:cs="Arial"/>
                <w:szCs w:val="24"/>
              </w:rPr>
            </w:pPr>
            <w:r w:rsidRPr="003A12B6">
              <w:rPr>
                <w:rFonts w:asciiTheme="minorHAnsi" w:eastAsia="Arial" w:hAnsiTheme="minorHAnsi" w:cstheme="minorHAnsi"/>
                <w:szCs w:val="24"/>
                <w:lang w:bidi="en-US"/>
              </w:rPr>
              <w:fldChar w:fldCharType="begin" w:fldLock="1">
                <w:ffData>
                  <w:name w:val=""/>
                  <w:enabled/>
                  <w:calcOnExit w:val="0"/>
                  <w:checkBox>
                    <w:size w:val="16"/>
                    <w:default w:val="0"/>
                  </w:checkBox>
                </w:ffData>
              </w:fldChar>
            </w:r>
            <w:r w:rsidRPr="003A12B6">
              <w:rPr>
                <w:rFonts w:asciiTheme="minorHAnsi" w:eastAsia="Arial" w:hAnsiTheme="minorHAnsi" w:cstheme="minorHAnsi"/>
                <w:szCs w:val="24"/>
                <w:lang w:bidi="en-US"/>
              </w:rPr>
              <w:instrText xml:space="preserve"> FORMCHECKBOX </w:instrText>
            </w:r>
            <w:r w:rsidR="000D7DE5">
              <w:rPr>
                <w:rFonts w:asciiTheme="minorHAnsi" w:eastAsia="Arial" w:hAnsiTheme="minorHAnsi" w:cstheme="minorHAnsi"/>
                <w:szCs w:val="24"/>
                <w:lang w:bidi="en-US"/>
              </w:rPr>
            </w:r>
            <w:r w:rsidR="000D7DE5">
              <w:rPr>
                <w:rFonts w:asciiTheme="minorHAnsi" w:eastAsia="Arial" w:hAnsiTheme="minorHAnsi" w:cstheme="minorHAnsi"/>
                <w:szCs w:val="24"/>
                <w:lang w:bidi="en-US"/>
              </w:rPr>
              <w:fldChar w:fldCharType="separate"/>
            </w:r>
            <w:r w:rsidRPr="003A12B6">
              <w:rPr>
                <w:rFonts w:asciiTheme="minorHAnsi" w:eastAsia="Arial" w:hAnsiTheme="minorHAnsi" w:cstheme="minorHAnsi"/>
                <w:szCs w:val="24"/>
                <w:lang w:bidi="en-US"/>
              </w:rPr>
              <w:fldChar w:fldCharType="end"/>
            </w:r>
            <w:r w:rsidRPr="003A12B6">
              <w:rPr>
                <w:rFonts w:asciiTheme="minorHAnsi" w:eastAsia="Arial" w:hAnsiTheme="minorHAnsi" w:cstheme="minorHAnsi"/>
                <w:szCs w:val="24"/>
                <w:lang w:bidi="en-US"/>
              </w:rPr>
              <w:t xml:space="preserve"> UK GDPR</w:t>
            </w:r>
            <w:r w:rsidRPr="00AE092F">
              <w:rPr>
                <w:rFonts w:cs="Arial"/>
                <w:szCs w:val="24"/>
              </w:rPr>
              <w:t xml:space="preserve"> does not apply to the Importer</w:t>
            </w:r>
            <w:r>
              <w:rPr>
                <w:rFonts w:cs="Arial"/>
                <w:szCs w:val="24"/>
              </w:rPr>
              <w:t>’</w:t>
            </w:r>
            <w:r w:rsidRPr="00AE092F">
              <w:rPr>
                <w:rFonts w:cs="Arial"/>
                <w:szCs w:val="24"/>
              </w:rPr>
              <w:t>s Processing of the Transferred Data</w:t>
            </w:r>
          </w:p>
        </w:tc>
      </w:tr>
      <w:tr w:rsidR="00F67E9E" w:rsidRPr="00D20385" w14:paraId="23FE3481" w14:textId="77777777" w:rsidTr="007F74AA">
        <w:tc>
          <w:tcPr>
            <w:tcW w:w="1176" w:type="pct"/>
            <w:shd w:val="clear" w:color="auto" w:fill="F0F0F0"/>
          </w:tcPr>
          <w:p w14:paraId="2A23538A" w14:textId="77777777" w:rsidR="00F67E9E" w:rsidRPr="003A12B6" w:rsidRDefault="00F67E9E" w:rsidP="007F74AA">
            <w:pPr>
              <w:rPr>
                <w:rFonts w:asciiTheme="minorHAnsi" w:eastAsia="Arial" w:hAnsiTheme="minorHAnsi" w:cstheme="minorHAnsi"/>
                <w:b/>
                <w:bCs/>
                <w:szCs w:val="24"/>
                <w:lang w:bidi="en-US"/>
              </w:rPr>
            </w:pPr>
            <w:r w:rsidRPr="003A12B6">
              <w:rPr>
                <w:rFonts w:asciiTheme="minorHAnsi" w:eastAsia="Arial" w:hAnsiTheme="minorHAnsi" w:cstheme="minorHAnsi"/>
                <w:b/>
                <w:bCs/>
                <w:szCs w:val="24"/>
                <w:lang w:bidi="en-US"/>
              </w:rPr>
              <w:t>Linked Agreement</w:t>
            </w:r>
          </w:p>
        </w:tc>
        <w:tc>
          <w:tcPr>
            <w:tcW w:w="3824" w:type="pct"/>
          </w:tcPr>
          <w:p w14:paraId="2848A47C" w14:textId="77777777" w:rsidR="00F67E9E" w:rsidRPr="00AE092F" w:rsidRDefault="00F67E9E" w:rsidP="007F74AA">
            <w:pPr>
              <w:spacing w:after="120"/>
              <w:rPr>
                <w:rFonts w:cs="Arial"/>
                <w:szCs w:val="24"/>
              </w:rPr>
            </w:pPr>
            <w:r w:rsidRPr="00AE092F">
              <w:rPr>
                <w:rFonts w:cs="Arial"/>
                <w:b/>
                <w:bCs/>
                <w:szCs w:val="24"/>
              </w:rPr>
              <w:t>If the Importer is the Exporter</w:t>
            </w:r>
            <w:r>
              <w:rPr>
                <w:rFonts w:cs="Arial"/>
                <w:b/>
                <w:bCs/>
                <w:szCs w:val="24"/>
              </w:rPr>
              <w:t>’</w:t>
            </w:r>
            <w:r w:rsidRPr="00AE092F">
              <w:rPr>
                <w:rFonts w:cs="Arial"/>
                <w:b/>
                <w:bCs/>
                <w:szCs w:val="24"/>
              </w:rPr>
              <w:t>s Processor or Sub-Processor</w:t>
            </w:r>
            <w:r w:rsidRPr="00AE092F">
              <w:rPr>
                <w:rFonts w:cs="Arial"/>
                <w:szCs w:val="24"/>
              </w:rPr>
              <w:t xml:space="preserve"> – the agreement(s) between the Parties which sets out the Processor</w:t>
            </w:r>
            <w:r>
              <w:rPr>
                <w:rFonts w:cs="Arial"/>
                <w:szCs w:val="24"/>
              </w:rPr>
              <w:t>’</w:t>
            </w:r>
            <w:r w:rsidRPr="00AE092F">
              <w:rPr>
                <w:rFonts w:cs="Arial"/>
                <w:szCs w:val="24"/>
              </w:rPr>
              <w:t>s or Sub-Processor</w:t>
            </w:r>
            <w:r>
              <w:rPr>
                <w:rFonts w:cs="Arial"/>
                <w:szCs w:val="24"/>
              </w:rPr>
              <w:t>’</w:t>
            </w:r>
            <w:r w:rsidRPr="00AE092F">
              <w:rPr>
                <w:rFonts w:cs="Arial"/>
                <w:szCs w:val="24"/>
              </w:rPr>
              <w:t xml:space="preserve">s instructions for Processing the </w:t>
            </w:r>
            <w:r w:rsidRPr="003A12B6">
              <w:rPr>
                <w:rFonts w:cs="Arial"/>
              </w:rPr>
              <w:t>Transferred</w:t>
            </w:r>
            <w:r w:rsidRPr="00AE092F">
              <w:rPr>
                <w:rFonts w:cs="Arial"/>
                <w:szCs w:val="24"/>
              </w:rPr>
              <w:t xml:space="preserve"> Data:</w:t>
            </w:r>
          </w:p>
          <w:p w14:paraId="05DAEA3D" w14:textId="77777777" w:rsidR="00F67E9E" w:rsidRPr="00AE092F" w:rsidRDefault="00F67E9E" w:rsidP="007F74AA">
            <w:pPr>
              <w:spacing w:after="120"/>
              <w:rPr>
                <w:rFonts w:cs="Arial"/>
                <w:szCs w:val="24"/>
              </w:rPr>
            </w:pPr>
            <w:r w:rsidRPr="00AE092F">
              <w:rPr>
                <w:rFonts w:cs="Arial"/>
                <w:szCs w:val="24"/>
              </w:rPr>
              <w:t xml:space="preserve">Name of agreement: </w:t>
            </w:r>
            <w:r w:rsidRPr="003A12B6">
              <w:rPr>
                <w:rFonts w:cs="Arial"/>
                <w:szCs w:val="24"/>
              </w:rPr>
              <w:fldChar w:fldCharType="begin">
                <w:ffData>
                  <w:name w:val=""/>
                  <w:enabled/>
                  <w:calcOnExit w:val="0"/>
                  <w:textInput/>
                </w:ffData>
              </w:fldChar>
            </w:r>
            <w:r w:rsidRPr="003A12B6">
              <w:rPr>
                <w:rFonts w:cs="Arial"/>
                <w:szCs w:val="24"/>
              </w:rPr>
              <w:instrText xml:space="preserve"> FORMTEXT </w:instrText>
            </w:r>
            <w:r w:rsidRPr="003A12B6">
              <w:rPr>
                <w:rFonts w:cs="Arial"/>
                <w:szCs w:val="24"/>
              </w:rPr>
            </w:r>
            <w:r w:rsidRPr="003A12B6">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sidRPr="003A12B6">
              <w:rPr>
                <w:rFonts w:cs="Arial"/>
                <w:szCs w:val="24"/>
              </w:rPr>
              <w:fldChar w:fldCharType="end"/>
            </w:r>
          </w:p>
          <w:p w14:paraId="3A58DAB0" w14:textId="77777777" w:rsidR="00F67E9E" w:rsidRPr="00AE092F" w:rsidRDefault="00F67E9E" w:rsidP="007F74AA">
            <w:pPr>
              <w:spacing w:after="120"/>
              <w:rPr>
                <w:rFonts w:cs="Arial"/>
                <w:szCs w:val="24"/>
              </w:rPr>
            </w:pPr>
            <w:r w:rsidRPr="00AE092F">
              <w:rPr>
                <w:rFonts w:cs="Arial"/>
                <w:szCs w:val="24"/>
              </w:rPr>
              <w:t xml:space="preserve">Date of agreement: </w:t>
            </w:r>
            <w:r w:rsidRPr="003A12B6">
              <w:rPr>
                <w:rFonts w:cs="Arial"/>
                <w:szCs w:val="24"/>
              </w:rPr>
              <w:fldChar w:fldCharType="begin">
                <w:ffData>
                  <w:name w:val=""/>
                  <w:enabled/>
                  <w:calcOnExit w:val="0"/>
                  <w:textInput/>
                </w:ffData>
              </w:fldChar>
            </w:r>
            <w:r w:rsidRPr="003A12B6">
              <w:rPr>
                <w:rFonts w:cs="Arial"/>
                <w:szCs w:val="24"/>
              </w:rPr>
              <w:instrText xml:space="preserve"> FORMTEXT </w:instrText>
            </w:r>
            <w:r w:rsidRPr="003A12B6">
              <w:rPr>
                <w:rFonts w:cs="Arial"/>
                <w:szCs w:val="24"/>
              </w:rPr>
            </w:r>
            <w:r w:rsidRPr="003A12B6">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sidRPr="003A12B6">
              <w:rPr>
                <w:rFonts w:cs="Arial"/>
                <w:szCs w:val="24"/>
              </w:rPr>
              <w:fldChar w:fldCharType="end"/>
            </w:r>
          </w:p>
          <w:p w14:paraId="7DCA5213" w14:textId="77777777" w:rsidR="00F67E9E" w:rsidRPr="00AE092F" w:rsidRDefault="00F67E9E" w:rsidP="007F74AA">
            <w:pPr>
              <w:spacing w:after="120"/>
              <w:rPr>
                <w:rFonts w:cs="Arial"/>
                <w:szCs w:val="24"/>
              </w:rPr>
            </w:pPr>
            <w:r w:rsidRPr="00AE092F">
              <w:rPr>
                <w:rFonts w:cs="Arial"/>
                <w:szCs w:val="24"/>
              </w:rPr>
              <w:t xml:space="preserve">Parties to the agreement: </w:t>
            </w:r>
            <w:r w:rsidRPr="003A12B6">
              <w:rPr>
                <w:rFonts w:cs="Arial"/>
                <w:szCs w:val="24"/>
              </w:rPr>
              <w:fldChar w:fldCharType="begin">
                <w:ffData>
                  <w:name w:val=""/>
                  <w:enabled/>
                  <w:calcOnExit w:val="0"/>
                  <w:textInput/>
                </w:ffData>
              </w:fldChar>
            </w:r>
            <w:r w:rsidRPr="003A12B6">
              <w:rPr>
                <w:rFonts w:cs="Arial"/>
                <w:szCs w:val="24"/>
              </w:rPr>
              <w:instrText xml:space="preserve"> FORMTEXT </w:instrText>
            </w:r>
            <w:r w:rsidRPr="003A12B6">
              <w:rPr>
                <w:rFonts w:cs="Arial"/>
                <w:szCs w:val="24"/>
              </w:rPr>
            </w:r>
            <w:r w:rsidRPr="003A12B6">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sidRPr="003A12B6">
              <w:rPr>
                <w:rFonts w:cs="Arial"/>
                <w:szCs w:val="24"/>
              </w:rPr>
              <w:fldChar w:fldCharType="end"/>
            </w:r>
          </w:p>
          <w:p w14:paraId="55BB8F53" w14:textId="77777777" w:rsidR="00F67E9E" w:rsidRPr="00AE092F" w:rsidRDefault="00F67E9E" w:rsidP="007F74AA">
            <w:pPr>
              <w:spacing w:after="120"/>
              <w:rPr>
                <w:rFonts w:cs="Arial"/>
                <w:szCs w:val="24"/>
              </w:rPr>
            </w:pPr>
            <w:r w:rsidRPr="00AE092F">
              <w:rPr>
                <w:rFonts w:cs="Arial"/>
                <w:szCs w:val="24"/>
              </w:rPr>
              <w:t xml:space="preserve">Reference (if any): </w:t>
            </w:r>
            <w:r w:rsidRPr="003A12B6">
              <w:rPr>
                <w:rFonts w:cs="Arial"/>
                <w:szCs w:val="24"/>
              </w:rPr>
              <w:fldChar w:fldCharType="begin">
                <w:ffData>
                  <w:name w:val=""/>
                  <w:enabled/>
                  <w:calcOnExit w:val="0"/>
                  <w:textInput/>
                </w:ffData>
              </w:fldChar>
            </w:r>
            <w:r w:rsidRPr="003A12B6">
              <w:rPr>
                <w:rFonts w:cs="Arial"/>
                <w:szCs w:val="24"/>
              </w:rPr>
              <w:instrText xml:space="preserve"> FORMTEXT </w:instrText>
            </w:r>
            <w:r w:rsidRPr="003A12B6">
              <w:rPr>
                <w:rFonts w:cs="Arial"/>
                <w:szCs w:val="24"/>
              </w:rPr>
            </w:r>
            <w:r w:rsidRPr="003A12B6">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sidRPr="003A12B6">
              <w:rPr>
                <w:rFonts w:cs="Arial"/>
                <w:szCs w:val="24"/>
              </w:rPr>
              <w:fldChar w:fldCharType="end"/>
            </w:r>
          </w:p>
          <w:p w14:paraId="177636B3" w14:textId="77777777" w:rsidR="00F67E9E" w:rsidRPr="00AE092F" w:rsidRDefault="00F67E9E" w:rsidP="007F74AA">
            <w:pPr>
              <w:keepNext/>
              <w:keepLines/>
              <w:spacing w:after="120"/>
              <w:rPr>
                <w:rFonts w:cs="Arial"/>
                <w:szCs w:val="24"/>
              </w:rPr>
            </w:pPr>
            <w:r w:rsidRPr="00AE092F">
              <w:rPr>
                <w:rFonts w:cs="Arial"/>
                <w:b/>
                <w:bCs/>
                <w:szCs w:val="24"/>
              </w:rPr>
              <w:t>Other agreements</w:t>
            </w:r>
            <w:r w:rsidRPr="00AE092F">
              <w:rPr>
                <w:rFonts w:cs="Arial"/>
                <w:szCs w:val="24"/>
              </w:rPr>
              <w:t xml:space="preserve"> – any agreement(s) between the Parties which set out additional obligations in relation to the Transferred Data, such as a data sharing agreement or service agreement: </w:t>
            </w:r>
          </w:p>
          <w:p w14:paraId="2D1D38CF" w14:textId="77777777" w:rsidR="00F67E9E" w:rsidRPr="00AE092F" w:rsidRDefault="00F67E9E" w:rsidP="007F74AA">
            <w:pPr>
              <w:spacing w:after="120"/>
              <w:rPr>
                <w:rFonts w:cs="Arial"/>
                <w:szCs w:val="24"/>
              </w:rPr>
            </w:pPr>
            <w:r w:rsidRPr="00AE092F">
              <w:rPr>
                <w:rFonts w:cs="Arial"/>
                <w:szCs w:val="24"/>
              </w:rPr>
              <w:t xml:space="preserve">Name of agreement: </w:t>
            </w:r>
            <w:r w:rsidRPr="003A12B6">
              <w:rPr>
                <w:rFonts w:cs="Arial"/>
                <w:szCs w:val="24"/>
              </w:rPr>
              <w:fldChar w:fldCharType="begin">
                <w:ffData>
                  <w:name w:val=""/>
                  <w:enabled/>
                  <w:calcOnExit w:val="0"/>
                  <w:textInput/>
                </w:ffData>
              </w:fldChar>
            </w:r>
            <w:r w:rsidRPr="003A12B6">
              <w:rPr>
                <w:rFonts w:cs="Arial"/>
                <w:szCs w:val="24"/>
              </w:rPr>
              <w:instrText xml:space="preserve"> FORMTEXT </w:instrText>
            </w:r>
            <w:r w:rsidRPr="003A12B6">
              <w:rPr>
                <w:rFonts w:cs="Arial"/>
                <w:szCs w:val="24"/>
              </w:rPr>
            </w:r>
            <w:r w:rsidRPr="003A12B6">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sidRPr="003A12B6">
              <w:rPr>
                <w:rFonts w:cs="Arial"/>
                <w:szCs w:val="24"/>
              </w:rPr>
              <w:fldChar w:fldCharType="end"/>
            </w:r>
          </w:p>
          <w:p w14:paraId="5519377D" w14:textId="77777777" w:rsidR="00F67E9E" w:rsidRPr="00AE092F" w:rsidRDefault="00F67E9E" w:rsidP="007F74AA">
            <w:pPr>
              <w:spacing w:after="120"/>
              <w:rPr>
                <w:rFonts w:cs="Arial"/>
                <w:szCs w:val="24"/>
              </w:rPr>
            </w:pPr>
            <w:r w:rsidRPr="00AE092F">
              <w:rPr>
                <w:rFonts w:cs="Arial"/>
                <w:szCs w:val="24"/>
              </w:rPr>
              <w:t xml:space="preserve">Date of agreement: </w:t>
            </w:r>
            <w:r w:rsidRPr="003A12B6">
              <w:rPr>
                <w:rFonts w:cs="Arial"/>
                <w:szCs w:val="24"/>
              </w:rPr>
              <w:fldChar w:fldCharType="begin">
                <w:ffData>
                  <w:name w:val=""/>
                  <w:enabled/>
                  <w:calcOnExit w:val="0"/>
                  <w:textInput/>
                </w:ffData>
              </w:fldChar>
            </w:r>
            <w:r w:rsidRPr="003A12B6">
              <w:rPr>
                <w:rFonts w:cs="Arial"/>
                <w:szCs w:val="24"/>
              </w:rPr>
              <w:instrText xml:space="preserve"> FORMTEXT </w:instrText>
            </w:r>
            <w:r w:rsidRPr="003A12B6">
              <w:rPr>
                <w:rFonts w:cs="Arial"/>
                <w:szCs w:val="24"/>
              </w:rPr>
            </w:r>
            <w:r w:rsidRPr="003A12B6">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sidRPr="003A12B6">
              <w:rPr>
                <w:rFonts w:cs="Arial"/>
                <w:szCs w:val="24"/>
              </w:rPr>
              <w:fldChar w:fldCharType="end"/>
            </w:r>
          </w:p>
          <w:p w14:paraId="43728B87" w14:textId="77777777" w:rsidR="00F67E9E" w:rsidRPr="00AE092F" w:rsidRDefault="00F67E9E" w:rsidP="007F74AA">
            <w:pPr>
              <w:spacing w:after="120"/>
              <w:rPr>
                <w:rFonts w:cs="Arial"/>
                <w:szCs w:val="24"/>
              </w:rPr>
            </w:pPr>
            <w:r w:rsidRPr="00AE092F">
              <w:rPr>
                <w:rFonts w:cs="Arial"/>
                <w:szCs w:val="24"/>
              </w:rPr>
              <w:t xml:space="preserve">Parties to the agreement: </w:t>
            </w:r>
            <w:r w:rsidRPr="003A12B6">
              <w:rPr>
                <w:rFonts w:cs="Arial"/>
                <w:szCs w:val="24"/>
              </w:rPr>
              <w:fldChar w:fldCharType="begin">
                <w:ffData>
                  <w:name w:val=""/>
                  <w:enabled/>
                  <w:calcOnExit w:val="0"/>
                  <w:textInput/>
                </w:ffData>
              </w:fldChar>
            </w:r>
            <w:r w:rsidRPr="003A12B6">
              <w:rPr>
                <w:rFonts w:cs="Arial"/>
                <w:szCs w:val="24"/>
              </w:rPr>
              <w:instrText xml:space="preserve"> FORMTEXT </w:instrText>
            </w:r>
            <w:r w:rsidRPr="003A12B6">
              <w:rPr>
                <w:rFonts w:cs="Arial"/>
                <w:szCs w:val="24"/>
              </w:rPr>
            </w:r>
            <w:r w:rsidRPr="003A12B6">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sidRPr="003A12B6">
              <w:rPr>
                <w:rFonts w:cs="Arial"/>
                <w:szCs w:val="24"/>
              </w:rPr>
              <w:fldChar w:fldCharType="end"/>
            </w:r>
          </w:p>
          <w:p w14:paraId="1C5FA112" w14:textId="77777777" w:rsidR="00F67E9E" w:rsidRPr="00AE092F" w:rsidRDefault="00F67E9E" w:rsidP="007F74AA">
            <w:pPr>
              <w:spacing w:after="120"/>
              <w:rPr>
                <w:rFonts w:cs="Arial"/>
                <w:szCs w:val="24"/>
              </w:rPr>
            </w:pPr>
            <w:r w:rsidRPr="00AE092F">
              <w:rPr>
                <w:rFonts w:cs="Arial"/>
                <w:szCs w:val="24"/>
              </w:rPr>
              <w:t xml:space="preserve">Reference (if any): </w:t>
            </w:r>
            <w:r w:rsidRPr="003A12B6">
              <w:rPr>
                <w:rFonts w:cs="Arial"/>
                <w:szCs w:val="24"/>
              </w:rPr>
              <w:fldChar w:fldCharType="begin">
                <w:ffData>
                  <w:name w:val=""/>
                  <w:enabled/>
                  <w:calcOnExit w:val="0"/>
                  <w:textInput/>
                </w:ffData>
              </w:fldChar>
            </w:r>
            <w:r w:rsidRPr="003A12B6">
              <w:rPr>
                <w:rFonts w:cs="Arial"/>
                <w:szCs w:val="24"/>
              </w:rPr>
              <w:instrText xml:space="preserve"> FORMTEXT </w:instrText>
            </w:r>
            <w:r w:rsidRPr="003A12B6">
              <w:rPr>
                <w:rFonts w:cs="Arial"/>
                <w:szCs w:val="24"/>
              </w:rPr>
            </w:r>
            <w:r w:rsidRPr="003A12B6">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sidRPr="003A12B6">
              <w:rPr>
                <w:rFonts w:cs="Arial"/>
                <w:szCs w:val="24"/>
              </w:rPr>
              <w:fldChar w:fldCharType="end"/>
            </w:r>
          </w:p>
          <w:p w14:paraId="1BB30004" w14:textId="77777777" w:rsidR="00F67E9E" w:rsidRPr="00AE092F" w:rsidRDefault="00F67E9E" w:rsidP="007F74AA">
            <w:pPr>
              <w:spacing w:after="120"/>
              <w:rPr>
                <w:rFonts w:cs="Arial"/>
                <w:szCs w:val="24"/>
              </w:rPr>
            </w:pPr>
            <w:r w:rsidRPr="00AE092F">
              <w:rPr>
                <w:rFonts w:cs="Arial"/>
                <w:b/>
                <w:bCs/>
                <w:szCs w:val="24"/>
              </w:rPr>
              <w:t>If the Exporter is a Processor or Sub-Processor</w:t>
            </w:r>
            <w:r w:rsidRPr="00AE092F">
              <w:rPr>
                <w:rFonts w:cs="Arial"/>
                <w:szCs w:val="24"/>
              </w:rPr>
              <w:t xml:space="preserve"> – the agreement(s) between the Exporter and the Party(s) which </w:t>
            </w:r>
            <w:r w:rsidRPr="003A12B6">
              <w:rPr>
                <w:rFonts w:cs="Arial"/>
              </w:rPr>
              <w:t>sets</w:t>
            </w:r>
            <w:r w:rsidRPr="00AE092F">
              <w:rPr>
                <w:rFonts w:cs="Arial"/>
                <w:szCs w:val="24"/>
              </w:rPr>
              <w:t xml:space="preserve"> out the Exporter</w:t>
            </w:r>
            <w:r>
              <w:rPr>
                <w:rFonts w:cs="Arial"/>
                <w:szCs w:val="24"/>
              </w:rPr>
              <w:t>’</w:t>
            </w:r>
            <w:r w:rsidRPr="00AE092F">
              <w:rPr>
                <w:rFonts w:cs="Arial"/>
                <w:szCs w:val="24"/>
              </w:rPr>
              <w:t xml:space="preserve">s instructions for Processing the Transferred Data: </w:t>
            </w:r>
          </w:p>
          <w:p w14:paraId="3D145014" w14:textId="77777777" w:rsidR="00F67E9E" w:rsidRPr="00AE092F" w:rsidRDefault="00F67E9E" w:rsidP="007F74AA">
            <w:pPr>
              <w:spacing w:after="120"/>
              <w:rPr>
                <w:rFonts w:cs="Arial"/>
                <w:szCs w:val="24"/>
              </w:rPr>
            </w:pPr>
            <w:r w:rsidRPr="00AE092F">
              <w:rPr>
                <w:rFonts w:cs="Arial"/>
                <w:szCs w:val="24"/>
              </w:rPr>
              <w:t xml:space="preserve">Name of agreement: </w:t>
            </w:r>
            <w:r w:rsidRPr="003A12B6">
              <w:rPr>
                <w:rFonts w:cs="Arial"/>
                <w:szCs w:val="24"/>
              </w:rPr>
              <w:fldChar w:fldCharType="begin">
                <w:ffData>
                  <w:name w:val=""/>
                  <w:enabled/>
                  <w:calcOnExit w:val="0"/>
                  <w:textInput/>
                </w:ffData>
              </w:fldChar>
            </w:r>
            <w:r w:rsidRPr="003A12B6">
              <w:rPr>
                <w:rFonts w:cs="Arial"/>
                <w:szCs w:val="24"/>
              </w:rPr>
              <w:instrText xml:space="preserve"> FORMTEXT </w:instrText>
            </w:r>
            <w:r w:rsidRPr="003A12B6">
              <w:rPr>
                <w:rFonts w:cs="Arial"/>
                <w:szCs w:val="24"/>
              </w:rPr>
            </w:r>
            <w:r w:rsidRPr="003A12B6">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sidRPr="003A12B6">
              <w:rPr>
                <w:rFonts w:cs="Arial"/>
                <w:szCs w:val="24"/>
              </w:rPr>
              <w:fldChar w:fldCharType="end"/>
            </w:r>
          </w:p>
          <w:p w14:paraId="4F50D2B3" w14:textId="77777777" w:rsidR="00F67E9E" w:rsidRPr="00AE092F" w:rsidRDefault="00F67E9E" w:rsidP="007F74AA">
            <w:pPr>
              <w:spacing w:after="120"/>
              <w:rPr>
                <w:rFonts w:cs="Arial"/>
                <w:szCs w:val="24"/>
              </w:rPr>
            </w:pPr>
            <w:r w:rsidRPr="00AE092F">
              <w:rPr>
                <w:rFonts w:cs="Arial"/>
                <w:szCs w:val="24"/>
              </w:rPr>
              <w:t xml:space="preserve">Date of agreement: </w:t>
            </w:r>
            <w:r w:rsidRPr="003A12B6">
              <w:rPr>
                <w:rFonts w:cs="Arial"/>
                <w:szCs w:val="24"/>
              </w:rPr>
              <w:fldChar w:fldCharType="begin">
                <w:ffData>
                  <w:name w:val=""/>
                  <w:enabled/>
                  <w:calcOnExit w:val="0"/>
                  <w:textInput/>
                </w:ffData>
              </w:fldChar>
            </w:r>
            <w:r w:rsidRPr="003A12B6">
              <w:rPr>
                <w:rFonts w:cs="Arial"/>
                <w:szCs w:val="24"/>
              </w:rPr>
              <w:instrText xml:space="preserve"> FORMTEXT </w:instrText>
            </w:r>
            <w:r w:rsidRPr="003A12B6">
              <w:rPr>
                <w:rFonts w:cs="Arial"/>
                <w:szCs w:val="24"/>
              </w:rPr>
            </w:r>
            <w:r w:rsidRPr="003A12B6">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sidRPr="003A12B6">
              <w:rPr>
                <w:rFonts w:cs="Arial"/>
                <w:szCs w:val="24"/>
              </w:rPr>
              <w:fldChar w:fldCharType="end"/>
            </w:r>
          </w:p>
          <w:p w14:paraId="6AB00926" w14:textId="77777777" w:rsidR="00F67E9E" w:rsidRPr="00AE092F" w:rsidRDefault="00F67E9E" w:rsidP="007F74AA">
            <w:pPr>
              <w:spacing w:after="120"/>
              <w:rPr>
                <w:rFonts w:cs="Arial"/>
                <w:szCs w:val="24"/>
              </w:rPr>
            </w:pPr>
            <w:r w:rsidRPr="00AE092F">
              <w:rPr>
                <w:rFonts w:cs="Arial"/>
                <w:szCs w:val="24"/>
              </w:rPr>
              <w:t xml:space="preserve">Parties to the agreement: </w:t>
            </w:r>
            <w:r w:rsidRPr="003A12B6">
              <w:rPr>
                <w:rFonts w:cs="Arial"/>
                <w:szCs w:val="24"/>
              </w:rPr>
              <w:fldChar w:fldCharType="begin">
                <w:ffData>
                  <w:name w:val=""/>
                  <w:enabled/>
                  <w:calcOnExit w:val="0"/>
                  <w:textInput/>
                </w:ffData>
              </w:fldChar>
            </w:r>
            <w:r w:rsidRPr="003A12B6">
              <w:rPr>
                <w:rFonts w:cs="Arial"/>
                <w:szCs w:val="24"/>
              </w:rPr>
              <w:instrText xml:space="preserve"> FORMTEXT </w:instrText>
            </w:r>
            <w:r w:rsidRPr="003A12B6">
              <w:rPr>
                <w:rFonts w:cs="Arial"/>
                <w:szCs w:val="24"/>
              </w:rPr>
            </w:r>
            <w:r w:rsidRPr="003A12B6">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sidRPr="003A12B6">
              <w:rPr>
                <w:rFonts w:cs="Arial"/>
                <w:szCs w:val="24"/>
              </w:rPr>
              <w:fldChar w:fldCharType="end"/>
            </w:r>
          </w:p>
          <w:p w14:paraId="7E5BD4C3" w14:textId="77777777" w:rsidR="00F67E9E" w:rsidRPr="00AE092F" w:rsidRDefault="00F67E9E" w:rsidP="007F74AA">
            <w:pPr>
              <w:rPr>
                <w:rFonts w:cs="Arial"/>
                <w:szCs w:val="24"/>
              </w:rPr>
            </w:pPr>
            <w:r w:rsidRPr="003A12B6">
              <w:rPr>
                <w:rFonts w:cs="Arial"/>
              </w:rPr>
              <w:t>Reference</w:t>
            </w:r>
            <w:r w:rsidRPr="00AE092F">
              <w:rPr>
                <w:rFonts w:cs="Arial"/>
                <w:szCs w:val="24"/>
              </w:rPr>
              <w:t xml:space="preserve"> (if any): </w:t>
            </w:r>
            <w:r w:rsidRPr="00AE092F">
              <w:rPr>
                <w:rFonts w:cs="Arial"/>
                <w:szCs w:val="24"/>
                <w:highlight w:val="lightGray"/>
              </w:rPr>
              <w:fldChar w:fldCharType="begin">
                <w:ffData>
                  <w:name w:val=""/>
                  <w:enabled/>
                  <w:calcOnExit w:val="0"/>
                  <w:textInput/>
                </w:ffData>
              </w:fldChar>
            </w:r>
            <w:r w:rsidRPr="00AE092F">
              <w:rPr>
                <w:rFonts w:cs="Arial"/>
                <w:szCs w:val="24"/>
                <w:highlight w:val="lightGray"/>
              </w:rPr>
              <w:instrText xml:space="preserve"> FORMTEXT </w:instrText>
            </w:r>
            <w:r w:rsidRPr="00AE092F">
              <w:rPr>
                <w:rFonts w:cs="Arial"/>
                <w:szCs w:val="24"/>
                <w:highlight w:val="lightGray"/>
              </w:rPr>
            </w:r>
            <w:r w:rsidRPr="00AE092F">
              <w:rPr>
                <w:rFonts w:cs="Arial"/>
                <w:szCs w:val="24"/>
                <w:highlight w:val="lightGray"/>
              </w:rPr>
              <w:fldChar w:fldCharType="separate"/>
            </w:r>
            <w:r>
              <w:rPr>
                <w:rFonts w:cs="Arial"/>
                <w:noProof/>
                <w:szCs w:val="24"/>
                <w:highlight w:val="lightGray"/>
              </w:rPr>
              <w:t> </w:t>
            </w:r>
            <w:r>
              <w:rPr>
                <w:rFonts w:cs="Arial"/>
                <w:noProof/>
                <w:szCs w:val="24"/>
                <w:highlight w:val="lightGray"/>
              </w:rPr>
              <w:t> </w:t>
            </w:r>
            <w:r>
              <w:rPr>
                <w:rFonts w:cs="Arial"/>
                <w:noProof/>
                <w:szCs w:val="24"/>
                <w:highlight w:val="lightGray"/>
              </w:rPr>
              <w:t> </w:t>
            </w:r>
            <w:r>
              <w:rPr>
                <w:rFonts w:cs="Arial"/>
                <w:noProof/>
                <w:szCs w:val="24"/>
                <w:highlight w:val="lightGray"/>
              </w:rPr>
              <w:t> </w:t>
            </w:r>
            <w:r>
              <w:rPr>
                <w:rFonts w:cs="Arial"/>
                <w:noProof/>
                <w:szCs w:val="24"/>
                <w:highlight w:val="lightGray"/>
              </w:rPr>
              <w:t> </w:t>
            </w:r>
            <w:r w:rsidRPr="00AE092F">
              <w:rPr>
                <w:rFonts w:cs="Arial"/>
                <w:szCs w:val="24"/>
                <w:highlight w:val="lightGray"/>
              </w:rPr>
              <w:fldChar w:fldCharType="end"/>
            </w:r>
          </w:p>
        </w:tc>
      </w:tr>
      <w:tr w:rsidR="00F67E9E" w:rsidRPr="00D20385" w14:paraId="2368E962" w14:textId="77777777" w:rsidTr="007F74AA">
        <w:tc>
          <w:tcPr>
            <w:tcW w:w="1176" w:type="pct"/>
            <w:shd w:val="clear" w:color="auto" w:fill="F0F0F0"/>
          </w:tcPr>
          <w:p w14:paraId="6A30EF7C" w14:textId="77777777" w:rsidR="00F67E9E" w:rsidRPr="003A12B6" w:rsidRDefault="00F67E9E" w:rsidP="007F74AA">
            <w:pPr>
              <w:rPr>
                <w:rFonts w:asciiTheme="minorHAnsi" w:eastAsia="Arial" w:hAnsiTheme="minorHAnsi" w:cstheme="minorHAnsi"/>
                <w:b/>
                <w:bCs/>
                <w:szCs w:val="24"/>
                <w:lang w:bidi="en-US"/>
              </w:rPr>
            </w:pPr>
            <w:r w:rsidRPr="003A12B6">
              <w:rPr>
                <w:rFonts w:asciiTheme="minorHAnsi" w:eastAsia="Arial" w:hAnsiTheme="minorHAnsi" w:cstheme="minorHAnsi"/>
                <w:b/>
                <w:bCs/>
                <w:szCs w:val="24"/>
                <w:lang w:bidi="en-US"/>
              </w:rPr>
              <w:t>Term</w:t>
            </w:r>
          </w:p>
        </w:tc>
        <w:tc>
          <w:tcPr>
            <w:tcW w:w="3824" w:type="pct"/>
          </w:tcPr>
          <w:p w14:paraId="726051D8" w14:textId="77777777" w:rsidR="00F67E9E" w:rsidRPr="00AE092F" w:rsidRDefault="00F67E9E" w:rsidP="007F74AA">
            <w:pPr>
              <w:spacing w:after="120"/>
              <w:rPr>
                <w:rFonts w:cs="Arial"/>
                <w:szCs w:val="24"/>
              </w:rPr>
            </w:pPr>
            <w:r w:rsidRPr="00AE092F">
              <w:rPr>
                <w:rFonts w:cs="Arial"/>
                <w:szCs w:val="24"/>
              </w:rPr>
              <w:t xml:space="preserve">The Importer may </w:t>
            </w:r>
            <w:r w:rsidRPr="003A12B6">
              <w:rPr>
                <w:rFonts w:cs="Arial"/>
              </w:rPr>
              <w:t>Process</w:t>
            </w:r>
            <w:r w:rsidRPr="00AE092F">
              <w:rPr>
                <w:rFonts w:cs="Arial"/>
                <w:szCs w:val="24"/>
              </w:rPr>
              <w:t xml:space="preserve"> the Transferred Data for the following time period: </w:t>
            </w:r>
          </w:p>
          <w:p w14:paraId="7430B796" w14:textId="77777777" w:rsidR="00F67E9E" w:rsidRPr="003A12B6" w:rsidRDefault="00F67E9E" w:rsidP="007F74AA">
            <w:pPr>
              <w:spacing w:after="120"/>
              <w:ind w:hanging="227"/>
              <w:rPr>
                <w:rFonts w:asciiTheme="minorHAnsi" w:eastAsia="Arial" w:hAnsiTheme="minorHAnsi" w:cstheme="minorHAnsi"/>
                <w:szCs w:val="24"/>
                <w:lang w:bidi="en-US"/>
              </w:rPr>
            </w:pPr>
            <w:r w:rsidRPr="00AE092F">
              <w:rPr>
                <w:rFonts w:cs="Arial"/>
                <w:szCs w:val="24"/>
              </w:rPr>
              <w:fldChar w:fldCharType="begin" w:fldLock="1">
                <w:ffData>
                  <w:name w:val=""/>
                  <w:enabled/>
                  <w:calcOnExit w:val="0"/>
                  <w:checkBox>
                    <w:size w:val="16"/>
                    <w:default w:val="0"/>
                  </w:checkBox>
                </w:ffData>
              </w:fldChar>
            </w:r>
            <w:r w:rsidRPr="00AE092F">
              <w:rPr>
                <w:rFonts w:cs="Arial"/>
                <w:szCs w:val="24"/>
              </w:rPr>
              <w:instrText xml:space="preserve"> FORMCHECKBOX </w:instrText>
            </w:r>
            <w:r w:rsidR="000D7DE5">
              <w:rPr>
                <w:rFonts w:cs="Arial"/>
                <w:szCs w:val="24"/>
              </w:rPr>
            </w:r>
            <w:r w:rsidR="000D7DE5">
              <w:rPr>
                <w:rFonts w:cs="Arial"/>
                <w:szCs w:val="24"/>
              </w:rPr>
              <w:fldChar w:fldCharType="separate"/>
            </w:r>
            <w:r w:rsidRPr="00AE092F">
              <w:rPr>
                <w:rFonts w:cs="Arial"/>
                <w:szCs w:val="24"/>
              </w:rPr>
              <w:fldChar w:fldCharType="end"/>
            </w:r>
            <w:r w:rsidRPr="00AE092F">
              <w:rPr>
                <w:rFonts w:cs="Arial"/>
                <w:szCs w:val="24"/>
              </w:rPr>
              <w:t xml:space="preserve"> the peri</w:t>
            </w:r>
            <w:r w:rsidRPr="003A12B6">
              <w:rPr>
                <w:rFonts w:asciiTheme="minorHAnsi" w:eastAsia="Arial" w:hAnsiTheme="minorHAnsi" w:cstheme="minorHAnsi"/>
                <w:szCs w:val="24"/>
                <w:lang w:bidi="en-US"/>
              </w:rPr>
              <w:t>od for which the Linked Agreement is in force</w:t>
            </w:r>
          </w:p>
          <w:p w14:paraId="0BFFF9E5" w14:textId="77777777" w:rsidR="00F67E9E" w:rsidRPr="003A12B6" w:rsidRDefault="00F67E9E" w:rsidP="007F74AA">
            <w:pPr>
              <w:spacing w:after="120"/>
              <w:ind w:hanging="227"/>
              <w:rPr>
                <w:rFonts w:asciiTheme="minorHAnsi" w:eastAsia="Arial" w:hAnsiTheme="minorHAnsi" w:cstheme="minorHAnsi"/>
                <w:szCs w:val="24"/>
                <w:lang w:bidi="en-US"/>
              </w:rPr>
            </w:pPr>
            <w:r w:rsidRPr="003A12B6">
              <w:rPr>
                <w:rFonts w:asciiTheme="minorHAnsi" w:eastAsia="Arial" w:hAnsiTheme="minorHAnsi" w:cstheme="minorHAnsi"/>
                <w:szCs w:val="24"/>
                <w:lang w:bidi="en-US"/>
              </w:rPr>
              <w:fldChar w:fldCharType="begin" w:fldLock="1">
                <w:ffData>
                  <w:name w:val=""/>
                  <w:enabled/>
                  <w:calcOnExit w:val="0"/>
                  <w:checkBox>
                    <w:size w:val="16"/>
                    <w:default w:val="0"/>
                  </w:checkBox>
                </w:ffData>
              </w:fldChar>
            </w:r>
            <w:r w:rsidRPr="003A12B6">
              <w:rPr>
                <w:rFonts w:asciiTheme="minorHAnsi" w:eastAsia="Arial" w:hAnsiTheme="minorHAnsi" w:cstheme="minorHAnsi"/>
                <w:szCs w:val="24"/>
                <w:lang w:bidi="en-US"/>
              </w:rPr>
              <w:instrText xml:space="preserve"> FORMCHECKBOX </w:instrText>
            </w:r>
            <w:r w:rsidR="000D7DE5">
              <w:rPr>
                <w:rFonts w:asciiTheme="minorHAnsi" w:eastAsia="Arial" w:hAnsiTheme="minorHAnsi" w:cstheme="minorHAnsi"/>
                <w:szCs w:val="24"/>
                <w:lang w:bidi="en-US"/>
              </w:rPr>
            </w:r>
            <w:r w:rsidR="000D7DE5">
              <w:rPr>
                <w:rFonts w:asciiTheme="minorHAnsi" w:eastAsia="Arial" w:hAnsiTheme="minorHAnsi" w:cstheme="minorHAnsi"/>
                <w:szCs w:val="24"/>
                <w:lang w:bidi="en-US"/>
              </w:rPr>
              <w:fldChar w:fldCharType="separate"/>
            </w:r>
            <w:r w:rsidRPr="003A12B6">
              <w:rPr>
                <w:rFonts w:asciiTheme="minorHAnsi" w:eastAsia="Arial" w:hAnsiTheme="minorHAnsi" w:cstheme="minorHAnsi"/>
                <w:szCs w:val="24"/>
                <w:lang w:bidi="en-US"/>
              </w:rPr>
              <w:fldChar w:fldCharType="end"/>
            </w:r>
            <w:r w:rsidRPr="003A12B6">
              <w:rPr>
                <w:rFonts w:asciiTheme="minorHAnsi" w:eastAsia="Arial" w:hAnsiTheme="minorHAnsi" w:cstheme="minorHAnsi"/>
                <w:szCs w:val="24"/>
                <w:lang w:bidi="en-US"/>
              </w:rPr>
              <w:t xml:space="preserve"> time period:</w:t>
            </w:r>
          </w:p>
          <w:p w14:paraId="7622782A" w14:textId="77777777" w:rsidR="00F67E9E" w:rsidRPr="00AE092F" w:rsidRDefault="00F67E9E" w:rsidP="007F74AA">
            <w:pPr>
              <w:ind w:hanging="227"/>
              <w:rPr>
                <w:rFonts w:cs="Arial"/>
                <w:szCs w:val="24"/>
              </w:rPr>
            </w:pPr>
            <w:r w:rsidRPr="003A12B6">
              <w:rPr>
                <w:rFonts w:asciiTheme="minorHAnsi" w:eastAsia="Arial" w:hAnsiTheme="minorHAnsi" w:cstheme="minorHAnsi"/>
                <w:szCs w:val="24"/>
                <w:lang w:bidi="en-US"/>
              </w:rPr>
              <w:fldChar w:fldCharType="begin" w:fldLock="1">
                <w:ffData>
                  <w:name w:val=""/>
                  <w:enabled/>
                  <w:calcOnExit w:val="0"/>
                  <w:checkBox>
                    <w:size w:val="16"/>
                    <w:default w:val="0"/>
                  </w:checkBox>
                </w:ffData>
              </w:fldChar>
            </w:r>
            <w:r w:rsidRPr="003A12B6">
              <w:rPr>
                <w:rFonts w:asciiTheme="minorHAnsi" w:eastAsia="Arial" w:hAnsiTheme="minorHAnsi" w:cstheme="minorHAnsi"/>
                <w:szCs w:val="24"/>
                <w:lang w:bidi="en-US"/>
              </w:rPr>
              <w:instrText xml:space="preserve"> FORMCHECKBOX </w:instrText>
            </w:r>
            <w:r w:rsidR="000D7DE5">
              <w:rPr>
                <w:rFonts w:asciiTheme="minorHAnsi" w:eastAsia="Arial" w:hAnsiTheme="minorHAnsi" w:cstheme="minorHAnsi"/>
                <w:szCs w:val="24"/>
                <w:lang w:bidi="en-US"/>
              </w:rPr>
            </w:r>
            <w:r w:rsidR="000D7DE5">
              <w:rPr>
                <w:rFonts w:asciiTheme="minorHAnsi" w:eastAsia="Arial" w:hAnsiTheme="minorHAnsi" w:cstheme="minorHAnsi"/>
                <w:szCs w:val="24"/>
                <w:lang w:bidi="en-US"/>
              </w:rPr>
              <w:fldChar w:fldCharType="separate"/>
            </w:r>
            <w:r w:rsidRPr="003A12B6">
              <w:rPr>
                <w:rFonts w:asciiTheme="minorHAnsi" w:eastAsia="Arial" w:hAnsiTheme="minorHAnsi" w:cstheme="minorHAnsi"/>
                <w:szCs w:val="24"/>
                <w:lang w:bidi="en-US"/>
              </w:rPr>
              <w:fldChar w:fldCharType="end"/>
            </w:r>
            <w:r w:rsidRPr="003A12B6">
              <w:rPr>
                <w:rFonts w:asciiTheme="minorHAnsi" w:eastAsia="Arial" w:hAnsiTheme="minorHAnsi" w:cstheme="minorHAnsi"/>
                <w:szCs w:val="24"/>
                <w:lang w:bidi="en-US"/>
              </w:rPr>
              <w:t xml:space="preserve"> (only if the Importer is a Controller or not the Exporter’s Processor or Sub-</w:t>
            </w:r>
            <w:r w:rsidRPr="003A12B6">
              <w:rPr>
                <w:rFonts w:cs="Arial"/>
                <w:szCs w:val="24"/>
              </w:rPr>
              <w:t>Processor</w:t>
            </w:r>
            <w:r w:rsidRPr="00AE092F">
              <w:rPr>
                <w:rFonts w:cs="Arial"/>
                <w:szCs w:val="24"/>
              </w:rPr>
              <w:t>) no longer than is necessary for the Purpose.</w:t>
            </w:r>
          </w:p>
        </w:tc>
      </w:tr>
      <w:tr w:rsidR="00F67E9E" w:rsidRPr="00D20385" w14:paraId="21858599" w14:textId="77777777" w:rsidTr="007F74AA">
        <w:tc>
          <w:tcPr>
            <w:tcW w:w="1176" w:type="pct"/>
            <w:shd w:val="clear" w:color="auto" w:fill="F0F0F0"/>
          </w:tcPr>
          <w:p w14:paraId="0ACE0D7A" w14:textId="77777777" w:rsidR="00F67E9E" w:rsidRPr="003A12B6" w:rsidRDefault="00F67E9E" w:rsidP="007F74AA">
            <w:pPr>
              <w:rPr>
                <w:rFonts w:asciiTheme="minorHAnsi" w:eastAsia="Arial" w:hAnsiTheme="minorHAnsi" w:cstheme="minorHAnsi"/>
                <w:b/>
                <w:bCs/>
                <w:szCs w:val="24"/>
                <w:lang w:bidi="en-US"/>
              </w:rPr>
            </w:pPr>
            <w:r w:rsidRPr="003A12B6">
              <w:rPr>
                <w:rFonts w:asciiTheme="minorHAnsi" w:eastAsia="Arial" w:hAnsiTheme="minorHAnsi" w:cstheme="minorHAnsi"/>
                <w:b/>
                <w:bCs/>
                <w:szCs w:val="24"/>
                <w:lang w:bidi="en-US"/>
              </w:rPr>
              <w:t>Ending the IDTA before the end of the Term</w:t>
            </w:r>
          </w:p>
        </w:tc>
        <w:tc>
          <w:tcPr>
            <w:tcW w:w="3824" w:type="pct"/>
          </w:tcPr>
          <w:p w14:paraId="1DE7AFA1" w14:textId="77777777" w:rsidR="00F67E9E" w:rsidRPr="003A12B6" w:rsidRDefault="00F67E9E" w:rsidP="007F74AA">
            <w:pPr>
              <w:spacing w:after="120"/>
              <w:ind w:hanging="227"/>
              <w:rPr>
                <w:rFonts w:asciiTheme="minorHAnsi" w:eastAsia="Arial" w:hAnsiTheme="minorHAnsi" w:cstheme="minorHAnsi"/>
                <w:szCs w:val="24"/>
                <w:lang w:bidi="en-US"/>
              </w:rPr>
            </w:pPr>
            <w:r w:rsidRPr="00AE092F">
              <w:rPr>
                <w:rFonts w:cs="Arial"/>
                <w:szCs w:val="24"/>
              </w:rPr>
              <w:fldChar w:fldCharType="begin" w:fldLock="1">
                <w:ffData>
                  <w:name w:val=""/>
                  <w:enabled/>
                  <w:calcOnExit w:val="0"/>
                  <w:checkBox>
                    <w:size w:val="16"/>
                    <w:default w:val="0"/>
                  </w:checkBox>
                </w:ffData>
              </w:fldChar>
            </w:r>
            <w:r w:rsidRPr="00AE092F">
              <w:rPr>
                <w:rFonts w:cs="Arial"/>
                <w:szCs w:val="24"/>
              </w:rPr>
              <w:instrText xml:space="preserve"> FORMCHECKBOX </w:instrText>
            </w:r>
            <w:r w:rsidR="000D7DE5">
              <w:rPr>
                <w:rFonts w:cs="Arial"/>
                <w:szCs w:val="24"/>
              </w:rPr>
            </w:r>
            <w:r w:rsidR="000D7DE5">
              <w:rPr>
                <w:rFonts w:cs="Arial"/>
                <w:szCs w:val="24"/>
              </w:rPr>
              <w:fldChar w:fldCharType="separate"/>
            </w:r>
            <w:r w:rsidRPr="00AE092F">
              <w:rPr>
                <w:rFonts w:cs="Arial"/>
                <w:szCs w:val="24"/>
              </w:rPr>
              <w:fldChar w:fldCharType="end"/>
            </w:r>
            <w:r w:rsidRPr="00AE092F">
              <w:rPr>
                <w:rFonts w:cs="Arial"/>
                <w:szCs w:val="24"/>
              </w:rPr>
              <w:t xml:space="preserve"> the Partie</w:t>
            </w:r>
            <w:r w:rsidRPr="003A12B6">
              <w:rPr>
                <w:rFonts w:asciiTheme="minorHAnsi" w:eastAsia="Arial" w:hAnsiTheme="minorHAnsi" w:cstheme="minorHAnsi"/>
                <w:szCs w:val="24"/>
                <w:lang w:bidi="en-US"/>
              </w:rPr>
              <w:t>s cannot end the IDTA before the end of the Term unless there is a breach of the IDTA or the Parties agree in writing.</w:t>
            </w:r>
          </w:p>
          <w:p w14:paraId="5C4970B4" w14:textId="77777777" w:rsidR="00F67E9E" w:rsidRPr="00AE092F" w:rsidRDefault="00F67E9E" w:rsidP="007F74AA">
            <w:pPr>
              <w:spacing w:after="120"/>
              <w:ind w:hanging="227"/>
              <w:rPr>
                <w:rFonts w:cs="Arial"/>
                <w:szCs w:val="24"/>
              </w:rPr>
            </w:pPr>
            <w:r w:rsidRPr="003A12B6">
              <w:rPr>
                <w:rFonts w:asciiTheme="minorHAnsi" w:eastAsia="Arial" w:hAnsiTheme="minorHAnsi" w:cstheme="minorHAnsi"/>
                <w:szCs w:val="24"/>
                <w:lang w:bidi="en-US"/>
              </w:rPr>
              <w:fldChar w:fldCharType="begin" w:fldLock="1">
                <w:ffData>
                  <w:name w:val=""/>
                  <w:enabled/>
                  <w:calcOnExit w:val="0"/>
                  <w:checkBox>
                    <w:size w:val="16"/>
                    <w:default w:val="0"/>
                  </w:checkBox>
                </w:ffData>
              </w:fldChar>
            </w:r>
            <w:r w:rsidRPr="003A12B6">
              <w:rPr>
                <w:rFonts w:asciiTheme="minorHAnsi" w:eastAsia="Arial" w:hAnsiTheme="minorHAnsi" w:cstheme="minorHAnsi"/>
                <w:szCs w:val="24"/>
                <w:lang w:bidi="en-US"/>
              </w:rPr>
              <w:instrText xml:space="preserve"> FORMCHECKBOX </w:instrText>
            </w:r>
            <w:r w:rsidR="000D7DE5">
              <w:rPr>
                <w:rFonts w:asciiTheme="minorHAnsi" w:eastAsia="Arial" w:hAnsiTheme="minorHAnsi" w:cstheme="minorHAnsi"/>
                <w:szCs w:val="24"/>
                <w:lang w:bidi="en-US"/>
              </w:rPr>
            </w:r>
            <w:r w:rsidR="000D7DE5">
              <w:rPr>
                <w:rFonts w:asciiTheme="minorHAnsi" w:eastAsia="Arial" w:hAnsiTheme="minorHAnsi" w:cstheme="minorHAnsi"/>
                <w:szCs w:val="24"/>
                <w:lang w:bidi="en-US"/>
              </w:rPr>
              <w:fldChar w:fldCharType="separate"/>
            </w:r>
            <w:r w:rsidRPr="003A12B6">
              <w:rPr>
                <w:rFonts w:asciiTheme="minorHAnsi" w:eastAsia="Arial" w:hAnsiTheme="minorHAnsi" w:cstheme="minorHAnsi"/>
                <w:szCs w:val="24"/>
                <w:lang w:bidi="en-US"/>
              </w:rPr>
              <w:fldChar w:fldCharType="end"/>
            </w:r>
            <w:r w:rsidRPr="003A12B6">
              <w:rPr>
                <w:rFonts w:asciiTheme="minorHAnsi" w:eastAsia="Arial" w:hAnsiTheme="minorHAnsi" w:cstheme="minorHAnsi"/>
                <w:szCs w:val="24"/>
                <w:lang w:bidi="en-US"/>
              </w:rPr>
              <w:t xml:space="preserve"> the Parties</w:t>
            </w:r>
            <w:r w:rsidRPr="00AE092F">
              <w:rPr>
                <w:rFonts w:cs="Arial"/>
                <w:szCs w:val="24"/>
              </w:rPr>
              <w:t xml:space="preserve"> can end the IDTA before the end of the Term by serving: </w:t>
            </w:r>
          </w:p>
          <w:p w14:paraId="08759298" w14:textId="392F91C9" w:rsidR="00F67E9E" w:rsidRPr="00AE092F" w:rsidRDefault="00F67E9E" w:rsidP="007F74AA">
            <w:pPr>
              <w:rPr>
                <w:rFonts w:cs="Arial"/>
                <w:szCs w:val="24"/>
              </w:rPr>
            </w:pPr>
            <w:r w:rsidRPr="00AE092F">
              <w:rPr>
                <w:rFonts w:cs="Arial"/>
                <w:szCs w:val="24"/>
                <w:highlight w:val="lightGray"/>
              </w:rPr>
              <w:fldChar w:fldCharType="begin">
                <w:ffData>
                  <w:name w:val=""/>
                  <w:enabled/>
                  <w:calcOnExit w:val="0"/>
                  <w:textInput/>
                </w:ffData>
              </w:fldChar>
            </w:r>
            <w:r w:rsidRPr="00AE092F">
              <w:rPr>
                <w:rFonts w:cs="Arial"/>
                <w:szCs w:val="24"/>
                <w:highlight w:val="lightGray"/>
              </w:rPr>
              <w:instrText xml:space="preserve"> FORMTEXT </w:instrText>
            </w:r>
            <w:r w:rsidRPr="00AE092F">
              <w:rPr>
                <w:rFonts w:cs="Arial"/>
                <w:szCs w:val="24"/>
                <w:highlight w:val="lightGray"/>
              </w:rPr>
            </w:r>
            <w:r w:rsidRPr="00AE092F">
              <w:rPr>
                <w:rFonts w:cs="Arial"/>
                <w:szCs w:val="24"/>
                <w:highlight w:val="lightGray"/>
              </w:rPr>
              <w:fldChar w:fldCharType="separate"/>
            </w:r>
            <w:r>
              <w:rPr>
                <w:rFonts w:cs="Arial"/>
                <w:noProof/>
                <w:szCs w:val="24"/>
                <w:highlight w:val="lightGray"/>
              </w:rPr>
              <w:t> </w:t>
            </w:r>
            <w:r>
              <w:rPr>
                <w:rFonts w:cs="Arial"/>
                <w:noProof/>
                <w:szCs w:val="24"/>
                <w:highlight w:val="lightGray"/>
              </w:rPr>
              <w:t> </w:t>
            </w:r>
            <w:r>
              <w:rPr>
                <w:rFonts w:cs="Arial"/>
                <w:noProof/>
                <w:szCs w:val="24"/>
                <w:highlight w:val="lightGray"/>
              </w:rPr>
              <w:t> </w:t>
            </w:r>
            <w:r>
              <w:rPr>
                <w:rFonts w:cs="Arial"/>
                <w:noProof/>
                <w:szCs w:val="24"/>
                <w:highlight w:val="lightGray"/>
              </w:rPr>
              <w:t> </w:t>
            </w:r>
            <w:r>
              <w:rPr>
                <w:rFonts w:cs="Arial"/>
                <w:noProof/>
                <w:szCs w:val="24"/>
                <w:highlight w:val="lightGray"/>
              </w:rPr>
              <w:t> </w:t>
            </w:r>
            <w:r w:rsidRPr="00AE092F">
              <w:rPr>
                <w:rFonts w:cs="Arial"/>
                <w:szCs w:val="24"/>
                <w:highlight w:val="lightGray"/>
              </w:rPr>
              <w:fldChar w:fldCharType="end"/>
            </w:r>
            <w:r w:rsidRPr="00AE092F">
              <w:rPr>
                <w:rFonts w:cs="Arial"/>
                <w:szCs w:val="24"/>
              </w:rPr>
              <w:t xml:space="preserve"> months</w:t>
            </w:r>
            <w:r>
              <w:rPr>
                <w:rFonts w:cs="Arial"/>
                <w:szCs w:val="24"/>
              </w:rPr>
              <w:t>’</w:t>
            </w:r>
            <w:r w:rsidRPr="00AE092F">
              <w:rPr>
                <w:rFonts w:cs="Arial"/>
                <w:szCs w:val="24"/>
              </w:rPr>
              <w:t xml:space="preserve"> written notice, as set out in </w:t>
            </w:r>
            <w:bookmarkStart w:id="2891" w:name="_Hlk78817327"/>
            <w:r w:rsidRPr="00AE092F">
              <w:rPr>
                <w:rFonts w:cs="Arial"/>
                <w:szCs w:val="24"/>
              </w:rPr>
              <w:t xml:space="preserve">Section </w:t>
            </w:r>
            <w:r w:rsidRPr="00AE092F">
              <w:rPr>
                <w:rFonts w:cs="Arial"/>
                <w:szCs w:val="24"/>
              </w:rPr>
              <w:fldChar w:fldCharType="begin"/>
            </w:r>
            <w:r w:rsidRPr="00AE092F">
              <w:rPr>
                <w:rFonts w:cs="Arial"/>
                <w:szCs w:val="24"/>
              </w:rPr>
              <w:instrText xml:space="preserve"> REF  Section_29 \h \r  \* MERGEFORMAT </w:instrText>
            </w:r>
            <w:r w:rsidRPr="00AE092F">
              <w:rPr>
                <w:rFonts w:cs="Arial"/>
                <w:szCs w:val="24"/>
              </w:rPr>
            </w:r>
            <w:r w:rsidRPr="00AE092F">
              <w:rPr>
                <w:rFonts w:cs="Arial"/>
                <w:szCs w:val="24"/>
              </w:rPr>
              <w:fldChar w:fldCharType="separate"/>
            </w:r>
            <w:r w:rsidR="00302D39">
              <w:rPr>
                <w:rFonts w:cs="Arial"/>
                <w:szCs w:val="24"/>
              </w:rPr>
              <w:t>29</w:t>
            </w:r>
            <w:r w:rsidRPr="00AE092F">
              <w:rPr>
                <w:rFonts w:cs="Arial"/>
                <w:szCs w:val="24"/>
              </w:rPr>
              <w:fldChar w:fldCharType="end"/>
            </w:r>
            <w:r w:rsidRPr="00AE092F">
              <w:rPr>
                <w:rFonts w:cs="Arial"/>
                <w:szCs w:val="24"/>
              </w:rPr>
              <w:t xml:space="preserve"> (How to end this IDTA without there being a breach).</w:t>
            </w:r>
            <w:bookmarkEnd w:id="2891"/>
          </w:p>
        </w:tc>
      </w:tr>
      <w:tr w:rsidR="00F67E9E" w:rsidRPr="00D20385" w14:paraId="7B209F7B" w14:textId="77777777" w:rsidTr="007F74AA">
        <w:tc>
          <w:tcPr>
            <w:tcW w:w="1176" w:type="pct"/>
            <w:shd w:val="clear" w:color="auto" w:fill="F0F0F0"/>
          </w:tcPr>
          <w:p w14:paraId="1A62F0C9" w14:textId="77777777" w:rsidR="00F67E9E" w:rsidRPr="003A12B6" w:rsidRDefault="00F67E9E" w:rsidP="007F74AA">
            <w:pPr>
              <w:rPr>
                <w:rFonts w:asciiTheme="minorHAnsi" w:eastAsia="Arial" w:hAnsiTheme="minorHAnsi" w:cstheme="minorHAnsi"/>
                <w:b/>
                <w:bCs/>
                <w:szCs w:val="24"/>
                <w:lang w:bidi="en-US"/>
              </w:rPr>
            </w:pPr>
            <w:r w:rsidRPr="003A12B6">
              <w:rPr>
                <w:rFonts w:asciiTheme="minorHAnsi" w:eastAsia="Arial" w:hAnsiTheme="minorHAnsi" w:cstheme="minorHAnsi"/>
                <w:b/>
                <w:bCs/>
                <w:szCs w:val="24"/>
                <w:lang w:bidi="en-US"/>
              </w:rPr>
              <w:t>Ending the IDTA when the Approved IDTA changes</w:t>
            </w:r>
          </w:p>
        </w:tc>
        <w:tc>
          <w:tcPr>
            <w:tcW w:w="3824" w:type="pct"/>
          </w:tcPr>
          <w:p w14:paraId="60BC1D51" w14:textId="4E44409A" w:rsidR="00F67E9E" w:rsidRPr="00AE092F" w:rsidRDefault="00F67E9E" w:rsidP="007F74AA">
            <w:pPr>
              <w:spacing w:after="120"/>
              <w:rPr>
                <w:rFonts w:cs="Arial"/>
                <w:szCs w:val="24"/>
              </w:rPr>
            </w:pPr>
            <w:r w:rsidRPr="00AE092F">
              <w:rPr>
                <w:rFonts w:cs="Arial"/>
                <w:szCs w:val="24"/>
              </w:rPr>
              <w:t xml:space="preserve">Which Parties may end the IDTA as set out in Section </w:t>
            </w:r>
            <w:r w:rsidRPr="00AE092F">
              <w:rPr>
                <w:rFonts w:cs="Arial"/>
                <w:szCs w:val="24"/>
              </w:rPr>
              <w:fldChar w:fldCharType="begin"/>
            </w:r>
            <w:r w:rsidRPr="00AE092F">
              <w:rPr>
                <w:rFonts w:cs="Arial"/>
                <w:szCs w:val="24"/>
              </w:rPr>
              <w:instrText xml:space="preserve"> REF _Ref93332274 \r \h  \* MERGEFORMAT </w:instrText>
            </w:r>
            <w:r w:rsidRPr="00AE092F">
              <w:rPr>
                <w:rFonts w:cs="Arial"/>
                <w:szCs w:val="24"/>
              </w:rPr>
            </w:r>
            <w:r w:rsidRPr="00AE092F">
              <w:rPr>
                <w:rFonts w:cs="Arial"/>
                <w:szCs w:val="24"/>
              </w:rPr>
              <w:fldChar w:fldCharType="separate"/>
            </w:r>
            <w:r w:rsidR="00302D39">
              <w:rPr>
                <w:rFonts w:cs="Arial"/>
                <w:szCs w:val="24"/>
              </w:rPr>
              <w:t>29.2</w:t>
            </w:r>
            <w:r w:rsidRPr="00AE092F">
              <w:rPr>
                <w:rFonts w:cs="Arial"/>
                <w:szCs w:val="24"/>
              </w:rPr>
              <w:fldChar w:fldCharType="end"/>
            </w:r>
            <w:r w:rsidRPr="00AE092F">
              <w:rPr>
                <w:rFonts w:cs="Arial"/>
                <w:szCs w:val="24"/>
              </w:rPr>
              <w:t>:</w:t>
            </w:r>
          </w:p>
          <w:p w14:paraId="2BBDA583" w14:textId="77777777" w:rsidR="00F67E9E" w:rsidRPr="003A12B6" w:rsidRDefault="00F67E9E" w:rsidP="007F74AA">
            <w:pPr>
              <w:spacing w:after="120"/>
              <w:ind w:hanging="227"/>
              <w:rPr>
                <w:rFonts w:asciiTheme="minorHAnsi" w:eastAsia="Arial" w:hAnsiTheme="minorHAnsi" w:cstheme="minorHAnsi"/>
                <w:szCs w:val="24"/>
                <w:lang w:bidi="en-US"/>
              </w:rPr>
            </w:pPr>
            <w:r w:rsidRPr="00AE092F">
              <w:rPr>
                <w:rFonts w:cs="Arial"/>
                <w:szCs w:val="24"/>
              </w:rPr>
              <w:fldChar w:fldCharType="begin" w:fldLock="1">
                <w:ffData>
                  <w:name w:val=""/>
                  <w:enabled/>
                  <w:calcOnExit w:val="0"/>
                  <w:checkBox>
                    <w:size w:val="16"/>
                    <w:default w:val="0"/>
                  </w:checkBox>
                </w:ffData>
              </w:fldChar>
            </w:r>
            <w:r w:rsidRPr="00AE092F">
              <w:rPr>
                <w:rFonts w:cs="Arial"/>
                <w:szCs w:val="24"/>
              </w:rPr>
              <w:instrText xml:space="preserve"> FORMCHECKBOX </w:instrText>
            </w:r>
            <w:r w:rsidR="000D7DE5">
              <w:rPr>
                <w:rFonts w:cs="Arial"/>
                <w:szCs w:val="24"/>
              </w:rPr>
            </w:r>
            <w:r w:rsidR="000D7DE5">
              <w:rPr>
                <w:rFonts w:cs="Arial"/>
                <w:szCs w:val="24"/>
              </w:rPr>
              <w:fldChar w:fldCharType="separate"/>
            </w:r>
            <w:r w:rsidRPr="00AE092F">
              <w:rPr>
                <w:rFonts w:cs="Arial"/>
                <w:szCs w:val="24"/>
              </w:rPr>
              <w:fldChar w:fldCharType="end"/>
            </w:r>
            <w:r w:rsidRPr="00AE092F">
              <w:rPr>
                <w:rFonts w:cs="Arial"/>
                <w:szCs w:val="24"/>
              </w:rPr>
              <w:t xml:space="preserve"> Impor</w:t>
            </w:r>
            <w:r w:rsidRPr="003A12B6">
              <w:rPr>
                <w:rFonts w:asciiTheme="minorHAnsi" w:eastAsia="Arial" w:hAnsiTheme="minorHAnsi" w:cstheme="minorHAnsi"/>
                <w:szCs w:val="24"/>
                <w:lang w:bidi="en-US"/>
              </w:rPr>
              <w:t>ter</w:t>
            </w:r>
          </w:p>
          <w:p w14:paraId="25835A73" w14:textId="77777777" w:rsidR="00F67E9E" w:rsidRPr="003A12B6" w:rsidRDefault="00F67E9E" w:rsidP="007F74AA">
            <w:pPr>
              <w:spacing w:after="120"/>
              <w:ind w:hanging="227"/>
              <w:rPr>
                <w:rFonts w:asciiTheme="minorHAnsi" w:eastAsia="Arial" w:hAnsiTheme="minorHAnsi" w:cstheme="minorHAnsi"/>
                <w:szCs w:val="24"/>
                <w:lang w:bidi="en-US"/>
              </w:rPr>
            </w:pPr>
            <w:r w:rsidRPr="003A12B6">
              <w:rPr>
                <w:rFonts w:asciiTheme="minorHAnsi" w:eastAsia="Arial" w:hAnsiTheme="minorHAnsi" w:cstheme="minorHAnsi"/>
                <w:szCs w:val="24"/>
                <w:lang w:bidi="en-US"/>
              </w:rPr>
              <w:fldChar w:fldCharType="begin" w:fldLock="1">
                <w:ffData>
                  <w:name w:val=""/>
                  <w:enabled/>
                  <w:calcOnExit w:val="0"/>
                  <w:checkBox>
                    <w:size w:val="16"/>
                    <w:default w:val="0"/>
                  </w:checkBox>
                </w:ffData>
              </w:fldChar>
            </w:r>
            <w:r w:rsidRPr="003A12B6">
              <w:rPr>
                <w:rFonts w:asciiTheme="minorHAnsi" w:eastAsia="Arial" w:hAnsiTheme="minorHAnsi" w:cstheme="minorHAnsi"/>
                <w:szCs w:val="24"/>
                <w:lang w:bidi="en-US"/>
              </w:rPr>
              <w:instrText xml:space="preserve"> FORMCHECKBOX </w:instrText>
            </w:r>
            <w:r w:rsidR="000D7DE5">
              <w:rPr>
                <w:rFonts w:asciiTheme="minorHAnsi" w:eastAsia="Arial" w:hAnsiTheme="minorHAnsi" w:cstheme="minorHAnsi"/>
                <w:szCs w:val="24"/>
                <w:lang w:bidi="en-US"/>
              </w:rPr>
            </w:r>
            <w:r w:rsidR="000D7DE5">
              <w:rPr>
                <w:rFonts w:asciiTheme="minorHAnsi" w:eastAsia="Arial" w:hAnsiTheme="minorHAnsi" w:cstheme="minorHAnsi"/>
                <w:szCs w:val="24"/>
                <w:lang w:bidi="en-US"/>
              </w:rPr>
              <w:fldChar w:fldCharType="separate"/>
            </w:r>
            <w:r w:rsidRPr="003A12B6">
              <w:rPr>
                <w:rFonts w:asciiTheme="minorHAnsi" w:eastAsia="Arial" w:hAnsiTheme="minorHAnsi" w:cstheme="minorHAnsi"/>
                <w:szCs w:val="24"/>
                <w:lang w:bidi="en-US"/>
              </w:rPr>
              <w:fldChar w:fldCharType="end"/>
            </w:r>
            <w:r w:rsidRPr="003A12B6">
              <w:rPr>
                <w:rFonts w:asciiTheme="minorHAnsi" w:eastAsia="Arial" w:hAnsiTheme="minorHAnsi" w:cstheme="minorHAnsi"/>
                <w:szCs w:val="24"/>
                <w:lang w:bidi="en-US"/>
              </w:rPr>
              <w:t xml:space="preserve"> Exporter</w:t>
            </w:r>
          </w:p>
          <w:p w14:paraId="3B31A8AC" w14:textId="77777777" w:rsidR="00F67E9E" w:rsidRPr="00AE092F" w:rsidRDefault="00F67E9E" w:rsidP="007F74AA">
            <w:pPr>
              <w:ind w:hanging="227"/>
              <w:rPr>
                <w:rFonts w:cs="Arial"/>
                <w:szCs w:val="24"/>
              </w:rPr>
            </w:pPr>
            <w:r w:rsidRPr="003A12B6">
              <w:rPr>
                <w:rFonts w:asciiTheme="minorHAnsi" w:eastAsia="Arial" w:hAnsiTheme="minorHAnsi" w:cstheme="minorHAnsi"/>
                <w:szCs w:val="24"/>
                <w:lang w:bidi="en-US"/>
              </w:rPr>
              <w:fldChar w:fldCharType="begin" w:fldLock="1">
                <w:ffData>
                  <w:name w:val=""/>
                  <w:enabled/>
                  <w:calcOnExit w:val="0"/>
                  <w:checkBox>
                    <w:size w:val="16"/>
                    <w:default w:val="0"/>
                  </w:checkBox>
                </w:ffData>
              </w:fldChar>
            </w:r>
            <w:r w:rsidRPr="003A12B6">
              <w:rPr>
                <w:rFonts w:asciiTheme="minorHAnsi" w:eastAsia="Arial" w:hAnsiTheme="minorHAnsi" w:cstheme="minorHAnsi"/>
                <w:szCs w:val="24"/>
                <w:lang w:bidi="en-US"/>
              </w:rPr>
              <w:instrText xml:space="preserve"> FORMCHECKBOX </w:instrText>
            </w:r>
            <w:r w:rsidR="000D7DE5">
              <w:rPr>
                <w:rFonts w:asciiTheme="minorHAnsi" w:eastAsia="Arial" w:hAnsiTheme="minorHAnsi" w:cstheme="minorHAnsi"/>
                <w:szCs w:val="24"/>
                <w:lang w:bidi="en-US"/>
              </w:rPr>
            </w:r>
            <w:r w:rsidR="000D7DE5">
              <w:rPr>
                <w:rFonts w:asciiTheme="minorHAnsi" w:eastAsia="Arial" w:hAnsiTheme="minorHAnsi" w:cstheme="minorHAnsi"/>
                <w:szCs w:val="24"/>
                <w:lang w:bidi="en-US"/>
              </w:rPr>
              <w:fldChar w:fldCharType="separate"/>
            </w:r>
            <w:r w:rsidRPr="003A12B6">
              <w:rPr>
                <w:rFonts w:asciiTheme="minorHAnsi" w:eastAsia="Arial" w:hAnsiTheme="minorHAnsi" w:cstheme="minorHAnsi"/>
                <w:szCs w:val="24"/>
                <w:lang w:bidi="en-US"/>
              </w:rPr>
              <w:fldChar w:fldCharType="end"/>
            </w:r>
            <w:r w:rsidRPr="003A12B6">
              <w:rPr>
                <w:rFonts w:asciiTheme="minorHAnsi" w:eastAsia="Arial" w:hAnsiTheme="minorHAnsi" w:cstheme="minorHAnsi"/>
                <w:szCs w:val="24"/>
                <w:lang w:bidi="en-US"/>
              </w:rPr>
              <w:t xml:space="preserve"> neither</w:t>
            </w:r>
            <w:r w:rsidRPr="00AE092F">
              <w:rPr>
                <w:rFonts w:cs="Arial"/>
                <w:szCs w:val="24"/>
              </w:rPr>
              <w:t xml:space="preserve"> Party</w:t>
            </w:r>
          </w:p>
        </w:tc>
      </w:tr>
      <w:tr w:rsidR="00F67E9E" w:rsidRPr="00D20385" w14:paraId="3773DA12" w14:textId="77777777" w:rsidTr="007F74AA">
        <w:tc>
          <w:tcPr>
            <w:tcW w:w="1176" w:type="pct"/>
            <w:shd w:val="clear" w:color="auto" w:fill="F0F0F0"/>
          </w:tcPr>
          <w:p w14:paraId="2D931916" w14:textId="77777777" w:rsidR="00F67E9E" w:rsidRPr="003A12B6" w:rsidRDefault="00F67E9E" w:rsidP="007F74AA">
            <w:pPr>
              <w:rPr>
                <w:rFonts w:asciiTheme="minorHAnsi" w:eastAsia="Arial" w:hAnsiTheme="minorHAnsi" w:cstheme="minorHAnsi"/>
                <w:b/>
                <w:bCs/>
                <w:szCs w:val="24"/>
                <w:lang w:bidi="en-US"/>
              </w:rPr>
            </w:pPr>
            <w:r w:rsidRPr="003A12B6">
              <w:rPr>
                <w:rFonts w:asciiTheme="minorHAnsi" w:eastAsia="Arial" w:hAnsiTheme="minorHAnsi" w:cstheme="minorHAnsi"/>
                <w:b/>
                <w:bCs/>
                <w:szCs w:val="24"/>
                <w:lang w:bidi="en-US"/>
              </w:rPr>
              <w:t>Can the Importer make further transfers of the Transferred Data?</w:t>
            </w:r>
          </w:p>
        </w:tc>
        <w:tc>
          <w:tcPr>
            <w:tcW w:w="3824" w:type="pct"/>
          </w:tcPr>
          <w:p w14:paraId="7F362DF1" w14:textId="6411001F" w:rsidR="00F67E9E" w:rsidRPr="003A12B6" w:rsidRDefault="00F67E9E" w:rsidP="007F74AA">
            <w:pPr>
              <w:spacing w:after="120"/>
              <w:ind w:hanging="227"/>
              <w:rPr>
                <w:rFonts w:asciiTheme="minorHAnsi" w:eastAsia="Arial" w:hAnsiTheme="minorHAnsi" w:cstheme="minorHAnsi"/>
                <w:szCs w:val="24"/>
                <w:lang w:bidi="en-US"/>
              </w:rPr>
            </w:pPr>
            <w:r w:rsidRPr="00AE092F">
              <w:rPr>
                <w:rFonts w:cs="Arial"/>
                <w:szCs w:val="24"/>
              </w:rPr>
              <w:fldChar w:fldCharType="begin" w:fldLock="1">
                <w:ffData>
                  <w:name w:val=""/>
                  <w:enabled/>
                  <w:calcOnExit w:val="0"/>
                  <w:checkBox>
                    <w:size w:val="16"/>
                    <w:default w:val="0"/>
                  </w:checkBox>
                </w:ffData>
              </w:fldChar>
            </w:r>
            <w:r w:rsidRPr="00AE092F">
              <w:rPr>
                <w:rFonts w:cs="Arial"/>
                <w:szCs w:val="24"/>
              </w:rPr>
              <w:instrText xml:space="preserve"> FORMCHECKBOX </w:instrText>
            </w:r>
            <w:r w:rsidR="000D7DE5">
              <w:rPr>
                <w:rFonts w:cs="Arial"/>
                <w:szCs w:val="24"/>
              </w:rPr>
            </w:r>
            <w:r w:rsidR="000D7DE5">
              <w:rPr>
                <w:rFonts w:cs="Arial"/>
                <w:szCs w:val="24"/>
              </w:rPr>
              <w:fldChar w:fldCharType="separate"/>
            </w:r>
            <w:r w:rsidRPr="00AE092F">
              <w:rPr>
                <w:rFonts w:cs="Arial"/>
                <w:szCs w:val="24"/>
              </w:rPr>
              <w:fldChar w:fldCharType="end"/>
            </w:r>
            <w:r w:rsidRPr="00AE092F">
              <w:rPr>
                <w:rFonts w:cs="Arial"/>
                <w:szCs w:val="24"/>
              </w:rPr>
              <w:t xml:space="preserve"> The Importer MAY transfer on the Transferred Data to another organisation</w:t>
            </w:r>
            <w:r w:rsidRPr="003A12B6">
              <w:rPr>
                <w:rFonts w:asciiTheme="minorHAnsi" w:eastAsia="Arial" w:hAnsiTheme="minorHAnsi" w:cstheme="minorHAnsi"/>
                <w:szCs w:val="24"/>
                <w:lang w:bidi="en-US"/>
              </w:rPr>
              <w:t xml:space="preserve"> or person (who is a different legal entity) in accordance with Section </w:t>
            </w:r>
            <w:r w:rsidRPr="003A12B6">
              <w:rPr>
                <w:rFonts w:asciiTheme="minorHAnsi" w:eastAsia="Arial" w:hAnsiTheme="minorHAnsi" w:cstheme="minorHAnsi"/>
                <w:szCs w:val="24"/>
                <w:lang w:bidi="en-US"/>
              </w:rPr>
              <w:fldChar w:fldCharType="begin"/>
            </w:r>
            <w:r w:rsidRPr="003A12B6">
              <w:rPr>
                <w:rFonts w:asciiTheme="minorHAnsi" w:eastAsia="Arial" w:hAnsiTheme="minorHAnsi" w:cstheme="minorHAnsi"/>
                <w:szCs w:val="24"/>
                <w:lang w:bidi="en-US"/>
              </w:rPr>
              <w:instrText xml:space="preserve"> REF _Ref76462681 \r \h  \* MERGEFORMAT </w:instrText>
            </w:r>
            <w:r w:rsidRPr="003A12B6">
              <w:rPr>
                <w:rFonts w:asciiTheme="minorHAnsi" w:eastAsia="Arial" w:hAnsiTheme="minorHAnsi" w:cstheme="minorHAnsi"/>
                <w:szCs w:val="24"/>
                <w:lang w:bidi="en-US"/>
              </w:rPr>
            </w:r>
            <w:r w:rsidRPr="003A12B6">
              <w:rPr>
                <w:rFonts w:asciiTheme="minorHAnsi" w:eastAsia="Arial" w:hAnsiTheme="minorHAnsi" w:cstheme="minorHAnsi"/>
                <w:szCs w:val="24"/>
                <w:lang w:bidi="en-US"/>
              </w:rPr>
              <w:fldChar w:fldCharType="separate"/>
            </w:r>
            <w:r w:rsidR="00302D39">
              <w:rPr>
                <w:rFonts w:asciiTheme="minorHAnsi" w:eastAsia="Arial" w:hAnsiTheme="minorHAnsi" w:cstheme="minorHAnsi"/>
                <w:szCs w:val="24"/>
                <w:lang w:bidi="en-US"/>
              </w:rPr>
              <w:t>16.1</w:t>
            </w:r>
            <w:r w:rsidRPr="003A12B6">
              <w:rPr>
                <w:rFonts w:asciiTheme="minorHAnsi" w:eastAsia="Arial" w:hAnsiTheme="minorHAnsi" w:cstheme="minorHAnsi"/>
                <w:szCs w:val="24"/>
                <w:lang w:bidi="en-US"/>
              </w:rPr>
              <w:fldChar w:fldCharType="end"/>
            </w:r>
            <w:r w:rsidRPr="003A12B6">
              <w:rPr>
                <w:rFonts w:asciiTheme="minorHAnsi" w:eastAsia="Arial" w:hAnsiTheme="minorHAnsi" w:cstheme="minorHAnsi"/>
                <w:szCs w:val="24"/>
                <w:lang w:bidi="en-US"/>
              </w:rPr>
              <w:t xml:space="preserve"> (Transferring on the Transferred Data).</w:t>
            </w:r>
          </w:p>
          <w:p w14:paraId="5C8D654B" w14:textId="27D85788" w:rsidR="00F67E9E" w:rsidRPr="00AE092F" w:rsidRDefault="00F67E9E" w:rsidP="007F74AA">
            <w:pPr>
              <w:spacing w:after="120"/>
              <w:ind w:hanging="227"/>
              <w:rPr>
                <w:rFonts w:cs="Arial"/>
                <w:szCs w:val="24"/>
              </w:rPr>
            </w:pPr>
            <w:r w:rsidRPr="003A12B6">
              <w:rPr>
                <w:rFonts w:asciiTheme="minorHAnsi" w:eastAsia="Arial" w:hAnsiTheme="minorHAnsi" w:cstheme="minorHAnsi"/>
                <w:szCs w:val="24"/>
                <w:lang w:bidi="en-US"/>
              </w:rPr>
              <w:fldChar w:fldCharType="begin" w:fldLock="1">
                <w:ffData>
                  <w:name w:val=""/>
                  <w:enabled/>
                  <w:calcOnExit w:val="0"/>
                  <w:checkBox>
                    <w:size w:val="16"/>
                    <w:default w:val="0"/>
                  </w:checkBox>
                </w:ffData>
              </w:fldChar>
            </w:r>
            <w:r w:rsidRPr="003A12B6">
              <w:rPr>
                <w:rFonts w:asciiTheme="minorHAnsi" w:eastAsia="Arial" w:hAnsiTheme="minorHAnsi" w:cstheme="minorHAnsi"/>
                <w:szCs w:val="24"/>
                <w:lang w:bidi="en-US"/>
              </w:rPr>
              <w:instrText xml:space="preserve"> FORMCHECKBOX </w:instrText>
            </w:r>
            <w:r w:rsidR="000D7DE5">
              <w:rPr>
                <w:rFonts w:asciiTheme="minorHAnsi" w:eastAsia="Arial" w:hAnsiTheme="minorHAnsi" w:cstheme="minorHAnsi"/>
                <w:szCs w:val="24"/>
                <w:lang w:bidi="en-US"/>
              </w:rPr>
            </w:r>
            <w:r w:rsidR="000D7DE5">
              <w:rPr>
                <w:rFonts w:asciiTheme="minorHAnsi" w:eastAsia="Arial" w:hAnsiTheme="minorHAnsi" w:cstheme="minorHAnsi"/>
                <w:szCs w:val="24"/>
                <w:lang w:bidi="en-US"/>
              </w:rPr>
              <w:fldChar w:fldCharType="separate"/>
            </w:r>
            <w:r w:rsidRPr="003A12B6">
              <w:rPr>
                <w:rFonts w:asciiTheme="minorHAnsi" w:eastAsia="Arial" w:hAnsiTheme="minorHAnsi" w:cstheme="minorHAnsi"/>
                <w:szCs w:val="24"/>
                <w:lang w:bidi="en-US"/>
              </w:rPr>
              <w:fldChar w:fldCharType="end"/>
            </w:r>
            <w:r w:rsidRPr="003A12B6">
              <w:rPr>
                <w:rFonts w:asciiTheme="minorHAnsi" w:eastAsia="Arial" w:hAnsiTheme="minorHAnsi" w:cstheme="minorHAnsi"/>
                <w:szCs w:val="24"/>
                <w:lang w:bidi="en-US"/>
              </w:rPr>
              <w:t xml:space="preserve"> The Importer MAY NOT transfer on the Transferred Data to another organisation</w:t>
            </w:r>
            <w:r w:rsidRPr="00AE092F">
              <w:rPr>
                <w:rFonts w:cs="Arial"/>
                <w:szCs w:val="24"/>
              </w:rPr>
              <w:t xml:space="preserve"> or person (who is a different legal entity) in accordance with Section </w:t>
            </w:r>
            <w:r w:rsidRPr="00AE092F">
              <w:rPr>
                <w:rFonts w:cs="Arial"/>
                <w:szCs w:val="24"/>
              </w:rPr>
              <w:fldChar w:fldCharType="begin"/>
            </w:r>
            <w:r w:rsidRPr="00AE092F">
              <w:rPr>
                <w:rFonts w:cs="Arial"/>
                <w:szCs w:val="24"/>
              </w:rPr>
              <w:instrText xml:space="preserve"> REF _Ref76462681 \r \h  \* MERGEFORMAT </w:instrText>
            </w:r>
            <w:r w:rsidRPr="00AE092F">
              <w:rPr>
                <w:rFonts w:cs="Arial"/>
                <w:szCs w:val="24"/>
              </w:rPr>
            </w:r>
            <w:r w:rsidRPr="00AE092F">
              <w:rPr>
                <w:rFonts w:cs="Arial"/>
                <w:szCs w:val="24"/>
              </w:rPr>
              <w:fldChar w:fldCharType="separate"/>
            </w:r>
            <w:r w:rsidR="00302D39">
              <w:rPr>
                <w:rFonts w:cs="Arial"/>
                <w:szCs w:val="24"/>
              </w:rPr>
              <w:t>16.1</w:t>
            </w:r>
            <w:r w:rsidRPr="00AE092F">
              <w:rPr>
                <w:rFonts w:cs="Arial"/>
                <w:szCs w:val="24"/>
              </w:rPr>
              <w:fldChar w:fldCharType="end"/>
            </w:r>
            <w:r w:rsidRPr="00AE092F">
              <w:rPr>
                <w:rFonts w:cs="Arial"/>
                <w:szCs w:val="24"/>
              </w:rPr>
              <w:t xml:space="preserve"> (Transferring on the Transferred Data).</w:t>
            </w:r>
          </w:p>
        </w:tc>
      </w:tr>
      <w:tr w:rsidR="00F67E9E" w:rsidRPr="00D20385" w14:paraId="1ACDA654" w14:textId="77777777" w:rsidTr="007F74AA">
        <w:tc>
          <w:tcPr>
            <w:tcW w:w="1176" w:type="pct"/>
            <w:shd w:val="clear" w:color="auto" w:fill="F0F0F0"/>
          </w:tcPr>
          <w:p w14:paraId="7281A6A0" w14:textId="77777777" w:rsidR="00F67E9E" w:rsidRPr="003A12B6" w:rsidRDefault="00F67E9E" w:rsidP="007F74AA">
            <w:pPr>
              <w:rPr>
                <w:rFonts w:asciiTheme="minorHAnsi" w:eastAsia="Arial" w:hAnsiTheme="minorHAnsi" w:cstheme="minorHAnsi"/>
                <w:b/>
                <w:bCs/>
                <w:szCs w:val="24"/>
                <w:lang w:bidi="en-US"/>
              </w:rPr>
            </w:pPr>
            <w:r w:rsidRPr="003A12B6">
              <w:rPr>
                <w:rFonts w:asciiTheme="minorHAnsi" w:eastAsia="Arial" w:hAnsiTheme="minorHAnsi" w:cstheme="minorHAnsi"/>
                <w:b/>
                <w:bCs/>
                <w:szCs w:val="24"/>
                <w:lang w:bidi="en-US"/>
              </w:rPr>
              <w:t>Specific restrictions when the Importer may transfer on the Transferred Data</w:t>
            </w:r>
          </w:p>
        </w:tc>
        <w:tc>
          <w:tcPr>
            <w:tcW w:w="3824" w:type="pct"/>
          </w:tcPr>
          <w:p w14:paraId="72E229E7" w14:textId="4E1C0AE7" w:rsidR="00F67E9E" w:rsidRPr="00AE092F" w:rsidRDefault="00F67E9E" w:rsidP="007F74AA">
            <w:pPr>
              <w:spacing w:after="120"/>
              <w:rPr>
                <w:rFonts w:cs="Arial"/>
                <w:szCs w:val="24"/>
              </w:rPr>
            </w:pPr>
            <w:r w:rsidRPr="00AE092F">
              <w:rPr>
                <w:rFonts w:cs="Arial"/>
                <w:szCs w:val="24"/>
              </w:rPr>
              <w:t xml:space="preserve">The Importer </w:t>
            </w:r>
            <w:r w:rsidRPr="003A12B6">
              <w:rPr>
                <w:rFonts w:cs="Arial"/>
              </w:rPr>
              <w:t>MAY</w:t>
            </w:r>
            <w:r w:rsidRPr="00AE092F">
              <w:rPr>
                <w:rFonts w:cs="Arial"/>
                <w:szCs w:val="24"/>
              </w:rPr>
              <w:t xml:space="preserve"> ONLY forward the Transferred Data in accordance with Section </w:t>
            </w:r>
            <w:r w:rsidRPr="00AE092F">
              <w:rPr>
                <w:rFonts w:cs="Arial"/>
                <w:szCs w:val="24"/>
              </w:rPr>
              <w:fldChar w:fldCharType="begin"/>
            </w:r>
            <w:r w:rsidRPr="00AE092F">
              <w:rPr>
                <w:rFonts w:cs="Arial"/>
                <w:szCs w:val="24"/>
              </w:rPr>
              <w:instrText xml:space="preserve"> REF _Ref76462681 \r \h  \* MERGEFORMAT </w:instrText>
            </w:r>
            <w:r w:rsidRPr="00AE092F">
              <w:rPr>
                <w:rFonts w:cs="Arial"/>
                <w:szCs w:val="24"/>
              </w:rPr>
            </w:r>
            <w:r w:rsidRPr="00AE092F">
              <w:rPr>
                <w:rFonts w:cs="Arial"/>
                <w:szCs w:val="24"/>
              </w:rPr>
              <w:fldChar w:fldCharType="separate"/>
            </w:r>
            <w:r w:rsidR="00302D39">
              <w:rPr>
                <w:rFonts w:cs="Arial"/>
                <w:szCs w:val="24"/>
              </w:rPr>
              <w:t>16.1</w:t>
            </w:r>
            <w:r w:rsidRPr="00AE092F">
              <w:rPr>
                <w:rFonts w:cs="Arial"/>
                <w:szCs w:val="24"/>
              </w:rPr>
              <w:fldChar w:fldCharType="end"/>
            </w:r>
            <w:r w:rsidRPr="00AE092F">
              <w:rPr>
                <w:rFonts w:cs="Arial"/>
                <w:szCs w:val="24"/>
              </w:rPr>
              <w:t xml:space="preserve">: </w:t>
            </w:r>
          </w:p>
          <w:p w14:paraId="696E84C4" w14:textId="77777777" w:rsidR="00F67E9E" w:rsidRPr="00AE092F" w:rsidRDefault="00F67E9E" w:rsidP="007F74AA">
            <w:pPr>
              <w:spacing w:after="120"/>
              <w:ind w:hanging="227"/>
              <w:rPr>
                <w:rFonts w:cs="Arial"/>
                <w:szCs w:val="24"/>
              </w:rPr>
            </w:pPr>
            <w:r w:rsidRPr="00AE092F">
              <w:rPr>
                <w:rFonts w:cs="Arial"/>
                <w:szCs w:val="24"/>
              </w:rPr>
              <w:fldChar w:fldCharType="begin" w:fldLock="1">
                <w:ffData>
                  <w:name w:val=""/>
                  <w:enabled/>
                  <w:calcOnExit w:val="0"/>
                  <w:checkBox>
                    <w:size w:val="16"/>
                    <w:default w:val="0"/>
                  </w:checkBox>
                </w:ffData>
              </w:fldChar>
            </w:r>
            <w:r w:rsidRPr="00AE092F">
              <w:rPr>
                <w:rFonts w:cs="Arial"/>
                <w:szCs w:val="24"/>
              </w:rPr>
              <w:instrText xml:space="preserve"> FORMCHECKBOX </w:instrText>
            </w:r>
            <w:r w:rsidR="000D7DE5">
              <w:rPr>
                <w:rFonts w:cs="Arial"/>
                <w:szCs w:val="24"/>
              </w:rPr>
            </w:r>
            <w:r w:rsidR="000D7DE5">
              <w:rPr>
                <w:rFonts w:cs="Arial"/>
                <w:szCs w:val="24"/>
              </w:rPr>
              <w:fldChar w:fldCharType="separate"/>
            </w:r>
            <w:r w:rsidRPr="00AE092F">
              <w:rPr>
                <w:rFonts w:cs="Arial"/>
                <w:szCs w:val="24"/>
              </w:rPr>
              <w:fldChar w:fldCharType="end"/>
            </w:r>
            <w:r w:rsidRPr="00AE092F">
              <w:rPr>
                <w:rFonts w:cs="Arial"/>
                <w:szCs w:val="24"/>
              </w:rPr>
              <w:t xml:space="preserve"> if the Exporter </w:t>
            </w:r>
            <w:r w:rsidRPr="003A12B6">
              <w:rPr>
                <w:rFonts w:asciiTheme="minorHAnsi" w:eastAsia="Arial" w:hAnsiTheme="minorHAnsi" w:cstheme="minorHAnsi"/>
                <w:szCs w:val="24"/>
                <w:lang w:bidi="en-US"/>
              </w:rPr>
              <w:t>tells</w:t>
            </w:r>
            <w:r w:rsidRPr="00AE092F">
              <w:rPr>
                <w:rFonts w:cs="Arial"/>
                <w:szCs w:val="24"/>
              </w:rPr>
              <w:t xml:space="preserve"> it in writing that it may do so.</w:t>
            </w:r>
          </w:p>
          <w:p w14:paraId="4FE84B2A" w14:textId="77777777" w:rsidR="00F67E9E" w:rsidRPr="003A12B6" w:rsidRDefault="00F67E9E" w:rsidP="007F74AA">
            <w:pPr>
              <w:spacing w:after="120"/>
              <w:ind w:hanging="227"/>
              <w:rPr>
                <w:rFonts w:asciiTheme="minorHAnsi" w:eastAsia="Arial" w:hAnsiTheme="minorHAnsi" w:cstheme="minorHAnsi"/>
                <w:szCs w:val="24"/>
                <w:lang w:bidi="en-US"/>
              </w:rPr>
            </w:pPr>
            <w:r w:rsidRPr="00AE092F">
              <w:rPr>
                <w:rFonts w:cs="Arial"/>
                <w:szCs w:val="24"/>
              </w:rPr>
              <w:fldChar w:fldCharType="begin" w:fldLock="1">
                <w:ffData>
                  <w:name w:val=""/>
                  <w:enabled/>
                  <w:calcOnExit w:val="0"/>
                  <w:checkBox>
                    <w:size w:val="16"/>
                    <w:default w:val="0"/>
                  </w:checkBox>
                </w:ffData>
              </w:fldChar>
            </w:r>
            <w:r w:rsidRPr="00AE092F">
              <w:rPr>
                <w:rFonts w:cs="Arial"/>
                <w:szCs w:val="24"/>
              </w:rPr>
              <w:instrText xml:space="preserve"> FORMCHECKBOX </w:instrText>
            </w:r>
            <w:r w:rsidR="000D7DE5">
              <w:rPr>
                <w:rFonts w:cs="Arial"/>
                <w:szCs w:val="24"/>
              </w:rPr>
            </w:r>
            <w:r w:rsidR="000D7DE5">
              <w:rPr>
                <w:rFonts w:cs="Arial"/>
                <w:szCs w:val="24"/>
              </w:rPr>
              <w:fldChar w:fldCharType="separate"/>
            </w:r>
            <w:r w:rsidRPr="00AE092F">
              <w:rPr>
                <w:rFonts w:cs="Arial"/>
                <w:szCs w:val="24"/>
              </w:rPr>
              <w:fldChar w:fldCharType="end"/>
            </w:r>
            <w:r w:rsidRPr="00AE092F">
              <w:rPr>
                <w:rFonts w:cs="Arial"/>
                <w:szCs w:val="24"/>
              </w:rPr>
              <w:t xml:space="preserve"> to</w:t>
            </w:r>
            <w:r w:rsidRPr="003A12B6">
              <w:rPr>
                <w:rFonts w:asciiTheme="minorHAnsi" w:eastAsia="Arial" w:hAnsiTheme="minorHAnsi" w:cstheme="minorHAnsi"/>
                <w:szCs w:val="24"/>
                <w:lang w:bidi="en-US"/>
              </w:rPr>
              <w:t xml:space="preserve">: </w:t>
            </w:r>
            <w:r w:rsidRPr="003A12B6">
              <w:rPr>
                <w:rFonts w:asciiTheme="minorHAnsi" w:eastAsia="Arial" w:hAnsiTheme="minorHAnsi" w:cstheme="minorHAnsi"/>
                <w:szCs w:val="24"/>
                <w:lang w:bidi="en-US"/>
              </w:rPr>
              <w:fldChar w:fldCharType="begin">
                <w:ffData>
                  <w:name w:val=""/>
                  <w:enabled/>
                  <w:calcOnExit w:val="0"/>
                  <w:textInput/>
                </w:ffData>
              </w:fldChar>
            </w:r>
            <w:r w:rsidRPr="003A12B6">
              <w:rPr>
                <w:rFonts w:asciiTheme="minorHAnsi" w:eastAsia="Arial" w:hAnsiTheme="minorHAnsi" w:cstheme="minorHAnsi"/>
                <w:szCs w:val="24"/>
                <w:lang w:bidi="en-US"/>
              </w:rPr>
              <w:instrText xml:space="preserve"> FORMTEXT </w:instrText>
            </w:r>
            <w:r w:rsidRPr="003A12B6">
              <w:rPr>
                <w:rFonts w:asciiTheme="minorHAnsi" w:eastAsia="Arial" w:hAnsiTheme="minorHAnsi" w:cstheme="minorHAnsi"/>
                <w:szCs w:val="24"/>
                <w:lang w:bidi="en-US"/>
              </w:rPr>
            </w:r>
            <w:r w:rsidRPr="003A12B6">
              <w:rPr>
                <w:rFonts w:asciiTheme="minorHAnsi" w:eastAsia="Arial" w:hAnsiTheme="minorHAnsi" w:cstheme="minorHAnsi"/>
                <w:szCs w:val="24"/>
                <w:lang w:bidi="en-US"/>
              </w:rPr>
              <w:fldChar w:fldCharType="separate"/>
            </w:r>
            <w:r>
              <w:rPr>
                <w:rFonts w:asciiTheme="minorHAnsi" w:eastAsia="Arial" w:hAnsiTheme="minorHAnsi" w:cstheme="minorHAnsi"/>
                <w:noProof/>
                <w:szCs w:val="24"/>
                <w:lang w:bidi="en-US"/>
              </w:rPr>
              <w:t> </w:t>
            </w:r>
            <w:r>
              <w:rPr>
                <w:rFonts w:asciiTheme="minorHAnsi" w:eastAsia="Arial" w:hAnsiTheme="minorHAnsi" w:cstheme="minorHAnsi"/>
                <w:noProof/>
                <w:szCs w:val="24"/>
                <w:lang w:bidi="en-US"/>
              </w:rPr>
              <w:t> </w:t>
            </w:r>
            <w:r>
              <w:rPr>
                <w:rFonts w:asciiTheme="minorHAnsi" w:eastAsia="Arial" w:hAnsiTheme="minorHAnsi" w:cstheme="minorHAnsi"/>
                <w:noProof/>
                <w:szCs w:val="24"/>
                <w:lang w:bidi="en-US"/>
              </w:rPr>
              <w:t> </w:t>
            </w:r>
            <w:r>
              <w:rPr>
                <w:rFonts w:asciiTheme="minorHAnsi" w:eastAsia="Arial" w:hAnsiTheme="minorHAnsi" w:cstheme="minorHAnsi"/>
                <w:noProof/>
                <w:szCs w:val="24"/>
                <w:lang w:bidi="en-US"/>
              </w:rPr>
              <w:t> </w:t>
            </w:r>
            <w:r>
              <w:rPr>
                <w:rFonts w:asciiTheme="minorHAnsi" w:eastAsia="Arial" w:hAnsiTheme="minorHAnsi" w:cstheme="minorHAnsi"/>
                <w:noProof/>
                <w:szCs w:val="24"/>
                <w:lang w:bidi="en-US"/>
              </w:rPr>
              <w:t> </w:t>
            </w:r>
            <w:r w:rsidRPr="003A12B6">
              <w:rPr>
                <w:rFonts w:asciiTheme="minorHAnsi" w:eastAsia="Arial" w:hAnsiTheme="minorHAnsi" w:cstheme="minorHAnsi"/>
                <w:szCs w:val="24"/>
                <w:lang w:bidi="en-US"/>
              </w:rPr>
              <w:fldChar w:fldCharType="end"/>
            </w:r>
          </w:p>
          <w:p w14:paraId="1D985CAE" w14:textId="77777777" w:rsidR="00F67E9E" w:rsidRPr="003A12B6" w:rsidRDefault="00F67E9E" w:rsidP="007F74AA">
            <w:pPr>
              <w:spacing w:after="120"/>
              <w:ind w:hanging="227"/>
              <w:rPr>
                <w:rFonts w:asciiTheme="minorHAnsi" w:eastAsia="Arial" w:hAnsiTheme="minorHAnsi" w:cstheme="minorHAnsi"/>
                <w:szCs w:val="24"/>
                <w:lang w:bidi="en-US"/>
              </w:rPr>
            </w:pPr>
            <w:r w:rsidRPr="003A12B6">
              <w:rPr>
                <w:rFonts w:asciiTheme="minorHAnsi" w:eastAsia="Arial" w:hAnsiTheme="minorHAnsi" w:cstheme="minorHAnsi"/>
                <w:szCs w:val="24"/>
                <w:lang w:bidi="en-US"/>
              </w:rPr>
              <w:fldChar w:fldCharType="begin" w:fldLock="1">
                <w:ffData>
                  <w:name w:val=""/>
                  <w:enabled/>
                  <w:calcOnExit w:val="0"/>
                  <w:checkBox>
                    <w:size w:val="16"/>
                    <w:default w:val="0"/>
                  </w:checkBox>
                </w:ffData>
              </w:fldChar>
            </w:r>
            <w:r w:rsidRPr="003A12B6">
              <w:rPr>
                <w:rFonts w:asciiTheme="minorHAnsi" w:eastAsia="Arial" w:hAnsiTheme="minorHAnsi" w:cstheme="minorHAnsi"/>
                <w:szCs w:val="24"/>
                <w:lang w:bidi="en-US"/>
              </w:rPr>
              <w:instrText xml:space="preserve"> FORMCHECKBOX </w:instrText>
            </w:r>
            <w:r w:rsidR="000D7DE5">
              <w:rPr>
                <w:rFonts w:asciiTheme="minorHAnsi" w:eastAsia="Arial" w:hAnsiTheme="minorHAnsi" w:cstheme="minorHAnsi"/>
                <w:szCs w:val="24"/>
                <w:lang w:bidi="en-US"/>
              </w:rPr>
            </w:r>
            <w:r w:rsidR="000D7DE5">
              <w:rPr>
                <w:rFonts w:asciiTheme="minorHAnsi" w:eastAsia="Arial" w:hAnsiTheme="minorHAnsi" w:cstheme="minorHAnsi"/>
                <w:szCs w:val="24"/>
                <w:lang w:bidi="en-US"/>
              </w:rPr>
              <w:fldChar w:fldCharType="separate"/>
            </w:r>
            <w:r w:rsidRPr="003A12B6">
              <w:rPr>
                <w:rFonts w:asciiTheme="minorHAnsi" w:eastAsia="Arial" w:hAnsiTheme="minorHAnsi" w:cstheme="minorHAnsi"/>
                <w:szCs w:val="24"/>
                <w:lang w:bidi="en-US"/>
              </w:rPr>
              <w:fldChar w:fldCharType="end"/>
            </w:r>
            <w:r w:rsidRPr="003A12B6">
              <w:rPr>
                <w:rFonts w:asciiTheme="minorHAnsi" w:eastAsia="Arial" w:hAnsiTheme="minorHAnsi" w:cstheme="minorHAnsi"/>
                <w:szCs w:val="24"/>
                <w:lang w:bidi="en-US"/>
              </w:rPr>
              <w:t xml:space="preserve"> to the authorised receivers (or the categories of authorised receivers) set out in: </w:t>
            </w:r>
          </w:p>
          <w:p w14:paraId="7928518E" w14:textId="77777777" w:rsidR="00F67E9E" w:rsidRPr="00AE092F" w:rsidRDefault="00F67E9E" w:rsidP="007F74AA">
            <w:pPr>
              <w:ind w:hanging="227"/>
              <w:rPr>
                <w:rFonts w:cs="Arial"/>
                <w:szCs w:val="24"/>
              </w:rPr>
            </w:pPr>
            <w:r w:rsidRPr="003A12B6">
              <w:rPr>
                <w:rFonts w:asciiTheme="minorHAnsi" w:eastAsia="Arial" w:hAnsiTheme="minorHAnsi" w:cstheme="minorHAnsi"/>
                <w:szCs w:val="24"/>
                <w:lang w:bidi="en-US"/>
              </w:rPr>
              <w:fldChar w:fldCharType="begin" w:fldLock="1">
                <w:ffData>
                  <w:name w:val=""/>
                  <w:enabled/>
                  <w:calcOnExit w:val="0"/>
                  <w:checkBox>
                    <w:size w:val="16"/>
                    <w:default w:val="0"/>
                  </w:checkBox>
                </w:ffData>
              </w:fldChar>
            </w:r>
            <w:r w:rsidRPr="003A12B6">
              <w:rPr>
                <w:rFonts w:asciiTheme="minorHAnsi" w:eastAsia="Arial" w:hAnsiTheme="minorHAnsi" w:cstheme="minorHAnsi"/>
                <w:szCs w:val="24"/>
                <w:lang w:bidi="en-US"/>
              </w:rPr>
              <w:instrText xml:space="preserve"> FORMCHECKBOX </w:instrText>
            </w:r>
            <w:r w:rsidR="000D7DE5">
              <w:rPr>
                <w:rFonts w:asciiTheme="minorHAnsi" w:eastAsia="Arial" w:hAnsiTheme="minorHAnsi" w:cstheme="minorHAnsi"/>
                <w:szCs w:val="24"/>
                <w:lang w:bidi="en-US"/>
              </w:rPr>
            </w:r>
            <w:r w:rsidR="000D7DE5">
              <w:rPr>
                <w:rFonts w:asciiTheme="minorHAnsi" w:eastAsia="Arial" w:hAnsiTheme="minorHAnsi" w:cstheme="minorHAnsi"/>
                <w:szCs w:val="24"/>
                <w:lang w:bidi="en-US"/>
              </w:rPr>
              <w:fldChar w:fldCharType="separate"/>
            </w:r>
            <w:r w:rsidRPr="003A12B6">
              <w:rPr>
                <w:rFonts w:asciiTheme="minorHAnsi" w:eastAsia="Arial" w:hAnsiTheme="minorHAnsi" w:cstheme="minorHAnsi"/>
                <w:szCs w:val="24"/>
                <w:lang w:bidi="en-US"/>
              </w:rPr>
              <w:fldChar w:fldCharType="end"/>
            </w:r>
            <w:r w:rsidRPr="003A12B6">
              <w:rPr>
                <w:rFonts w:asciiTheme="minorHAnsi" w:eastAsia="Arial" w:hAnsiTheme="minorHAnsi" w:cstheme="minorHAnsi"/>
                <w:szCs w:val="24"/>
                <w:lang w:bidi="en-US"/>
              </w:rPr>
              <w:t xml:space="preserve"> the</w:t>
            </w:r>
            <w:r w:rsidRPr="00AE092F">
              <w:rPr>
                <w:rFonts w:cs="Arial"/>
                <w:szCs w:val="24"/>
              </w:rPr>
              <w:t>re are no specific restrictions.</w:t>
            </w:r>
          </w:p>
        </w:tc>
      </w:tr>
      <w:tr w:rsidR="00F67E9E" w:rsidRPr="00D20385" w14:paraId="0A4BC347" w14:textId="77777777" w:rsidTr="007F74AA">
        <w:tc>
          <w:tcPr>
            <w:tcW w:w="1176" w:type="pct"/>
            <w:shd w:val="clear" w:color="auto" w:fill="F0F0F0"/>
          </w:tcPr>
          <w:p w14:paraId="5E72B42A" w14:textId="77777777" w:rsidR="00F67E9E" w:rsidRPr="003A12B6" w:rsidRDefault="00F67E9E" w:rsidP="007F74AA">
            <w:pPr>
              <w:rPr>
                <w:rFonts w:asciiTheme="minorHAnsi" w:eastAsia="Arial" w:hAnsiTheme="minorHAnsi" w:cstheme="minorHAnsi"/>
                <w:b/>
                <w:bCs/>
                <w:szCs w:val="24"/>
                <w:lang w:bidi="en-US"/>
              </w:rPr>
            </w:pPr>
            <w:r w:rsidRPr="003A12B6">
              <w:rPr>
                <w:rFonts w:asciiTheme="minorHAnsi" w:eastAsia="Arial" w:hAnsiTheme="minorHAnsi" w:cstheme="minorHAnsi"/>
                <w:b/>
                <w:bCs/>
                <w:szCs w:val="24"/>
                <w:lang w:bidi="en-US"/>
              </w:rPr>
              <w:t xml:space="preserve">Review Dates </w:t>
            </w:r>
          </w:p>
        </w:tc>
        <w:tc>
          <w:tcPr>
            <w:tcW w:w="3824" w:type="pct"/>
          </w:tcPr>
          <w:p w14:paraId="71768C51" w14:textId="77777777" w:rsidR="00F67E9E" w:rsidRPr="00AE092F" w:rsidRDefault="00F67E9E" w:rsidP="007F74AA">
            <w:pPr>
              <w:rPr>
                <w:rFonts w:cs="Arial"/>
                <w:szCs w:val="24"/>
              </w:rPr>
            </w:pPr>
            <w:r w:rsidRPr="00AE092F">
              <w:rPr>
                <w:rFonts w:cs="Arial"/>
                <w:szCs w:val="24"/>
              </w:rPr>
              <w:fldChar w:fldCharType="begin" w:fldLock="1">
                <w:ffData>
                  <w:name w:val=""/>
                  <w:enabled/>
                  <w:calcOnExit w:val="0"/>
                  <w:checkBox>
                    <w:size w:val="16"/>
                    <w:default w:val="0"/>
                  </w:checkBox>
                </w:ffData>
              </w:fldChar>
            </w:r>
            <w:r w:rsidRPr="00AE092F">
              <w:rPr>
                <w:rFonts w:cs="Arial"/>
                <w:szCs w:val="24"/>
              </w:rPr>
              <w:instrText xml:space="preserve"> FORMCHECKBOX </w:instrText>
            </w:r>
            <w:r w:rsidR="000D7DE5">
              <w:rPr>
                <w:rFonts w:cs="Arial"/>
                <w:szCs w:val="24"/>
              </w:rPr>
            </w:r>
            <w:r w:rsidR="000D7DE5">
              <w:rPr>
                <w:rFonts w:cs="Arial"/>
                <w:szCs w:val="24"/>
              </w:rPr>
              <w:fldChar w:fldCharType="separate"/>
            </w:r>
            <w:r w:rsidRPr="00AE092F">
              <w:rPr>
                <w:rFonts w:cs="Arial"/>
                <w:szCs w:val="24"/>
              </w:rPr>
              <w:fldChar w:fldCharType="end"/>
            </w:r>
            <w:r w:rsidRPr="00AE092F">
              <w:rPr>
                <w:rFonts w:cs="Arial"/>
                <w:szCs w:val="24"/>
              </w:rPr>
              <w:t xml:space="preserve"> No review is needed as this is a one-off transfer and the Importer does not retain any Transferred Data</w:t>
            </w:r>
          </w:p>
          <w:p w14:paraId="6BF1F031" w14:textId="77777777" w:rsidR="00F67E9E" w:rsidRPr="00AE092F" w:rsidRDefault="00F67E9E" w:rsidP="007F74AA">
            <w:pPr>
              <w:spacing w:after="120"/>
              <w:rPr>
                <w:rFonts w:cs="Arial"/>
                <w:szCs w:val="24"/>
              </w:rPr>
            </w:pPr>
            <w:r w:rsidRPr="00AE092F">
              <w:rPr>
                <w:rFonts w:cs="Arial"/>
                <w:szCs w:val="24"/>
              </w:rPr>
              <w:t xml:space="preserve">First review date: </w:t>
            </w:r>
            <w:r w:rsidRPr="00AE092F">
              <w:rPr>
                <w:rFonts w:cs="Arial"/>
                <w:szCs w:val="24"/>
                <w:highlight w:val="lightGray"/>
              </w:rPr>
              <w:fldChar w:fldCharType="begin">
                <w:ffData>
                  <w:name w:val=""/>
                  <w:enabled/>
                  <w:calcOnExit w:val="0"/>
                  <w:textInput/>
                </w:ffData>
              </w:fldChar>
            </w:r>
            <w:r w:rsidRPr="00AE092F">
              <w:rPr>
                <w:rFonts w:cs="Arial"/>
                <w:szCs w:val="24"/>
                <w:highlight w:val="lightGray"/>
              </w:rPr>
              <w:instrText xml:space="preserve"> FORMTEXT </w:instrText>
            </w:r>
            <w:r w:rsidRPr="00AE092F">
              <w:rPr>
                <w:rFonts w:cs="Arial"/>
                <w:szCs w:val="24"/>
                <w:highlight w:val="lightGray"/>
              </w:rPr>
            </w:r>
            <w:r w:rsidRPr="00AE092F">
              <w:rPr>
                <w:rFonts w:cs="Arial"/>
                <w:szCs w:val="24"/>
                <w:highlight w:val="lightGray"/>
              </w:rPr>
              <w:fldChar w:fldCharType="separate"/>
            </w:r>
            <w:r>
              <w:rPr>
                <w:rFonts w:cs="Arial"/>
                <w:noProof/>
                <w:szCs w:val="24"/>
                <w:highlight w:val="lightGray"/>
              </w:rPr>
              <w:t> </w:t>
            </w:r>
            <w:r>
              <w:rPr>
                <w:rFonts w:cs="Arial"/>
                <w:noProof/>
                <w:szCs w:val="24"/>
                <w:highlight w:val="lightGray"/>
              </w:rPr>
              <w:t> </w:t>
            </w:r>
            <w:r>
              <w:rPr>
                <w:rFonts w:cs="Arial"/>
                <w:noProof/>
                <w:szCs w:val="24"/>
                <w:highlight w:val="lightGray"/>
              </w:rPr>
              <w:t> </w:t>
            </w:r>
            <w:r>
              <w:rPr>
                <w:rFonts w:cs="Arial"/>
                <w:noProof/>
                <w:szCs w:val="24"/>
                <w:highlight w:val="lightGray"/>
              </w:rPr>
              <w:t> </w:t>
            </w:r>
            <w:r>
              <w:rPr>
                <w:rFonts w:cs="Arial"/>
                <w:noProof/>
                <w:szCs w:val="24"/>
                <w:highlight w:val="lightGray"/>
              </w:rPr>
              <w:t> </w:t>
            </w:r>
            <w:r w:rsidRPr="00AE092F">
              <w:rPr>
                <w:rFonts w:cs="Arial"/>
                <w:szCs w:val="24"/>
                <w:highlight w:val="lightGray"/>
              </w:rPr>
              <w:fldChar w:fldCharType="end"/>
            </w:r>
          </w:p>
          <w:p w14:paraId="3B986FE0" w14:textId="77777777" w:rsidR="00F67E9E" w:rsidRPr="00AE092F" w:rsidRDefault="00F67E9E" w:rsidP="007F74AA">
            <w:pPr>
              <w:spacing w:after="120"/>
              <w:rPr>
                <w:rFonts w:cs="Arial"/>
                <w:szCs w:val="24"/>
              </w:rPr>
            </w:pPr>
            <w:r w:rsidRPr="00AE092F">
              <w:rPr>
                <w:rFonts w:cs="Arial"/>
                <w:szCs w:val="24"/>
              </w:rPr>
              <w:t>The Parties must review the Security Requirements at least once:</w:t>
            </w:r>
          </w:p>
          <w:p w14:paraId="6208C9C0" w14:textId="77777777" w:rsidR="00F67E9E" w:rsidRPr="003A12B6" w:rsidRDefault="00F67E9E" w:rsidP="007F74AA">
            <w:pPr>
              <w:spacing w:after="120"/>
              <w:ind w:hanging="227"/>
              <w:rPr>
                <w:rFonts w:asciiTheme="minorHAnsi" w:eastAsia="Arial" w:hAnsiTheme="minorHAnsi" w:cstheme="minorHAnsi"/>
                <w:szCs w:val="24"/>
                <w:lang w:bidi="en-US"/>
              </w:rPr>
            </w:pPr>
            <w:r w:rsidRPr="00AE092F">
              <w:rPr>
                <w:rFonts w:cs="Arial"/>
                <w:szCs w:val="24"/>
              </w:rPr>
              <w:fldChar w:fldCharType="begin" w:fldLock="1">
                <w:ffData>
                  <w:name w:val=""/>
                  <w:enabled/>
                  <w:calcOnExit w:val="0"/>
                  <w:checkBox>
                    <w:size w:val="16"/>
                    <w:default w:val="0"/>
                  </w:checkBox>
                </w:ffData>
              </w:fldChar>
            </w:r>
            <w:r w:rsidRPr="00AE092F">
              <w:rPr>
                <w:rFonts w:cs="Arial"/>
                <w:szCs w:val="24"/>
              </w:rPr>
              <w:instrText xml:space="preserve"> FORMCHECKBOX </w:instrText>
            </w:r>
            <w:r w:rsidR="000D7DE5">
              <w:rPr>
                <w:rFonts w:cs="Arial"/>
                <w:szCs w:val="24"/>
              </w:rPr>
            </w:r>
            <w:r w:rsidR="000D7DE5">
              <w:rPr>
                <w:rFonts w:cs="Arial"/>
                <w:szCs w:val="24"/>
              </w:rPr>
              <w:fldChar w:fldCharType="separate"/>
            </w:r>
            <w:r w:rsidRPr="00AE092F">
              <w:rPr>
                <w:rFonts w:cs="Arial"/>
                <w:szCs w:val="24"/>
              </w:rPr>
              <w:fldChar w:fldCharType="end"/>
            </w:r>
            <w:r w:rsidRPr="00AE092F">
              <w:rPr>
                <w:rFonts w:cs="Arial"/>
                <w:szCs w:val="24"/>
              </w:rPr>
              <w:t xml:space="preserve"> eac</w:t>
            </w:r>
            <w:r w:rsidRPr="003A12B6">
              <w:rPr>
                <w:rFonts w:asciiTheme="minorHAnsi" w:eastAsia="Arial" w:hAnsiTheme="minorHAnsi" w:cstheme="minorHAnsi"/>
                <w:szCs w:val="24"/>
                <w:lang w:bidi="en-US"/>
              </w:rPr>
              <w:t xml:space="preserve">h </w:t>
            </w:r>
            <w:r w:rsidRPr="003A12B6">
              <w:rPr>
                <w:rFonts w:asciiTheme="minorHAnsi" w:eastAsia="Arial" w:hAnsiTheme="minorHAnsi" w:cstheme="minorHAnsi"/>
                <w:szCs w:val="24"/>
                <w:lang w:bidi="en-US"/>
              </w:rPr>
              <w:fldChar w:fldCharType="begin">
                <w:ffData>
                  <w:name w:val=""/>
                  <w:enabled/>
                  <w:calcOnExit w:val="0"/>
                  <w:textInput/>
                </w:ffData>
              </w:fldChar>
            </w:r>
            <w:r w:rsidRPr="003A12B6">
              <w:rPr>
                <w:rFonts w:asciiTheme="minorHAnsi" w:eastAsia="Arial" w:hAnsiTheme="minorHAnsi" w:cstheme="minorHAnsi"/>
                <w:szCs w:val="24"/>
                <w:lang w:bidi="en-US"/>
              </w:rPr>
              <w:instrText xml:space="preserve"> FORMTEXT </w:instrText>
            </w:r>
            <w:r w:rsidRPr="003A12B6">
              <w:rPr>
                <w:rFonts w:asciiTheme="minorHAnsi" w:eastAsia="Arial" w:hAnsiTheme="minorHAnsi" w:cstheme="minorHAnsi"/>
                <w:szCs w:val="24"/>
                <w:lang w:bidi="en-US"/>
              </w:rPr>
            </w:r>
            <w:r w:rsidRPr="003A12B6">
              <w:rPr>
                <w:rFonts w:asciiTheme="minorHAnsi" w:eastAsia="Arial" w:hAnsiTheme="minorHAnsi" w:cstheme="minorHAnsi"/>
                <w:szCs w:val="24"/>
                <w:lang w:bidi="en-US"/>
              </w:rPr>
              <w:fldChar w:fldCharType="separate"/>
            </w:r>
            <w:r>
              <w:rPr>
                <w:rFonts w:asciiTheme="minorHAnsi" w:eastAsia="Arial" w:hAnsiTheme="minorHAnsi" w:cstheme="minorHAnsi"/>
                <w:noProof/>
                <w:szCs w:val="24"/>
                <w:lang w:bidi="en-US"/>
              </w:rPr>
              <w:t> </w:t>
            </w:r>
            <w:r>
              <w:rPr>
                <w:rFonts w:asciiTheme="minorHAnsi" w:eastAsia="Arial" w:hAnsiTheme="minorHAnsi" w:cstheme="minorHAnsi"/>
                <w:noProof/>
                <w:szCs w:val="24"/>
                <w:lang w:bidi="en-US"/>
              </w:rPr>
              <w:t> </w:t>
            </w:r>
            <w:r>
              <w:rPr>
                <w:rFonts w:asciiTheme="minorHAnsi" w:eastAsia="Arial" w:hAnsiTheme="minorHAnsi" w:cstheme="minorHAnsi"/>
                <w:noProof/>
                <w:szCs w:val="24"/>
                <w:lang w:bidi="en-US"/>
              </w:rPr>
              <w:t> </w:t>
            </w:r>
            <w:r>
              <w:rPr>
                <w:rFonts w:asciiTheme="minorHAnsi" w:eastAsia="Arial" w:hAnsiTheme="minorHAnsi" w:cstheme="minorHAnsi"/>
                <w:noProof/>
                <w:szCs w:val="24"/>
                <w:lang w:bidi="en-US"/>
              </w:rPr>
              <w:t> </w:t>
            </w:r>
            <w:r>
              <w:rPr>
                <w:rFonts w:asciiTheme="minorHAnsi" w:eastAsia="Arial" w:hAnsiTheme="minorHAnsi" w:cstheme="minorHAnsi"/>
                <w:noProof/>
                <w:szCs w:val="24"/>
                <w:lang w:bidi="en-US"/>
              </w:rPr>
              <w:t> </w:t>
            </w:r>
            <w:r w:rsidRPr="003A12B6">
              <w:rPr>
                <w:rFonts w:asciiTheme="minorHAnsi" w:eastAsia="Arial" w:hAnsiTheme="minorHAnsi" w:cstheme="minorHAnsi"/>
                <w:szCs w:val="24"/>
                <w:lang w:bidi="en-US"/>
              </w:rPr>
              <w:fldChar w:fldCharType="end"/>
            </w:r>
            <w:r w:rsidRPr="003A12B6">
              <w:rPr>
                <w:rFonts w:asciiTheme="minorHAnsi" w:eastAsia="Arial" w:hAnsiTheme="minorHAnsi" w:cstheme="minorHAnsi"/>
                <w:szCs w:val="24"/>
                <w:lang w:bidi="en-US"/>
              </w:rPr>
              <w:t xml:space="preserve"> month(s)</w:t>
            </w:r>
          </w:p>
          <w:p w14:paraId="0630C1BD" w14:textId="77777777" w:rsidR="00F67E9E" w:rsidRPr="003A12B6" w:rsidRDefault="00F67E9E" w:rsidP="007F74AA">
            <w:pPr>
              <w:spacing w:after="120"/>
              <w:ind w:hanging="227"/>
              <w:rPr>
                <w:rFonts w:asciiTheme="minorHAnsi" w:eastAsia="Arial" w:hAnsiTheme="minorHAnsi" w:cstheme="minorHAnsi"/>
                <w:szCs w:val="24"/>
                <w:lang w:bidi="en-US"/>
              </w:rPr>
            </w:pPr>
            <w:r w:rsidRPr="003A12B6">
              <w:rPr>
                <w:rFonts w:asciiTheme="minorHAnsi" w:eastAsia="Arial" w:hAnsiTheme="minorHAnsi" w:cstheme="minorHAnsi"/>
                <w:szCs w:val="24"/>
                <w:lang w:bidi="en-US"/>
              </w:rPr>
              <w:fldChar w:fldCharType="begin" w:fldLock="1">
                <w:ffData>
                  <w:name w:val=""/>
                  <w:enabled/>
                  <w:calcOnExit w:val="0"/>
                  <w:checkBox>
                    <w:size w:val="16"/>
                    <w:default w:val="0"/>
                  </w:checkBox>
                </w:ffData>
              </w:fldChar>
            </w:r>
            <w:r w:rsidRPr="003A12B6">
              <w:rPr>
                <w:rFonts w:asciiTheme="minorHAnsi" w:eastAsia="Arial" w:hAnsiTheme="minorHAnsi" w:cstheme="minorHAnsi"/>
                <w:szCs w:val="24"/>
                <w:lang w:bidi="en-US"/>
              </w:rPr>
              <w:instrText xml:space="preserve"> FORMCHECKBOX </w:instrText>
            </w:r>
            <w:r w:rsidR="000D7DE5">
              <w:rPr>
                <w:rFonts w:asciiTheme="minorHAnsi" w:eastAsia="Arial" w:hAnsiTheme="minorHAnsi" w:cstheme="minorHAnsi"/>
                <w:szCs w:val="24"/>
                <w:lang w:bidi="en-US"/>
              </w:rPr>
            </w:r>
            <w:r w:rsidR="000D7DE5">
              <w:rPr>
                <w:rFonts w:asciiTheme="minorHAnsi" w:eastAsia="Arial" w:hAnsiTheme="minorHAnsi" w:cstheme="minorHAnsi"/>
                <w:szCs w:val="24"/>
                <w:lang w:bidi="en-US"/>
              </w:rPr>
              <w:fldChar w:fldCharType="separate"/>
            </w:r>
            <w:r w:rsidRPr="003A12B6">
              <w:rPr>
                <w:rFonts w:asciiTheme="minorHAnsi" w:eastAsia="Arial" w:hAnsiTheme="minorHAnsi" w:cstheme="minorHAnsi"/>
                <w:szCs w:val="24"/>
                <w:lang w:bidi="en-US"/>
              </w:rPr>
              <w:fldChar w:fldCharType="end"/>
            </w:r>
            <w:r w:rsidRPr="003A12B6">
              <w:rPr>
                <w:rFonts w:asciiTheme="minorHAnsi" w:eastAsia="Arial" w:hAnsiTheme="minorHAnsi" w:cstheme="minorHAnsi"/>
                <w:szCs w:val="24"/>
                <w:lang w:bidi="en-US"/>
              </w:rPr>
              <w:t xml:space="preserve"> each quarter</w:t>
            </w:r>
          </w:p>
          <w:p w14:paraId="17853439" w14:textId="77777777" w:rsidR="00F67E9E" w:rsidRPr="003A12B6" w:rsidRDefault="00F67E9E" w:rsidP="007F74AA">
            <w:pPr>
              <w:spacing w:after="120"/>
              <w:ind w:hanging="227"/>
              <w:rPr>
                <w:rFonts w:asciiTheme="minorHAnsi" w:eastAsia="Arial" w:hAnsiTheme="minorHAnsi" w:cstheme="minorHAnsi"/>
                <w:szCs w:val="24"/>
                <w:lang w:bidi="en-US"/>
              </w:rPr>
            </w:pPr>
            <w:r w:rsidRPr="003A12B6">
              <w:rPr>
                <w:rFonts w:asciiTheme="minorHAnsi" w:eastAsia="Arial" w:hAnsiTheme="minorHAnsi" w:cstheme="minorHAnsi"/>
                <w:szCs w:val="24"/>
                <w:lang w:bidi="en-US"/>
              </w:rPr>
              <w:fldChar w:fldCharType="begin" w:fldLock="1">
                <w:ffData>
                  <w:name w:val=""/>
                  <w:enabled/>
                  <w:calcOnExit w:val="0"/>
                  <w:checkBox>
                    <w:size w:val="16"/>
                    <w:default w:val="0"/>
                  </w:checkBox>
                </w:ffData>
              </w:fldChar>
            </w:r>
            <w:r w:rsidRPr="003A12B6">
              <w:rPr>
                <w:rFonts w:asciiTheme="minorHAnsi" w:eastAsia="Arial" w:hAnsiTheme="minorHAnsi" w:cstheme="minorHAnsi"/>
                <w:szCs w:val="24"/>
                <w:lang w:bidi="en-US"/>
              </w:rPr>
              <w:instrText xml:space="preserve"> FORMCHECKBOX </w:instrText>
            </w:r>
            <w:r w:rsidR="000D7DE5">
              <w:rPr>
                <w:rFonts w:asciiTheme="minorHAnsi" w:eastAsia="Arial" w:hAnsiTheme="minorHAnsi" w:cstheme="minorHAnsi"/>
                <w:szCs w:val="24"/>
                <w:lang w:bidi="en-US"/>
              </w:rPr>
            </w:r>
            <w:r w:rsidR="000D7DE5">
              <w:rPr>
                <w:rFonts w:asciiTheme="minorHAnsi" w:eastAsia="Arial" w:hAnsiTheme="minorHAnsi" w:cstheme="minorHAnsi"/>
                <w:szCs w:val="24"/>
                <w:lang w:bidi="en-US"/>
              </w:rPr>
              <w:fldChar w:fldCharType="separate"/>
            </w:r>
            <w:r w:rsidRPr="003A12B6">
              <w:rPr>
                <w:rFonts w:asciiTheme="minorHAnsi" w:eastAsia="Arial" w:hAnsiTheme="minorHAnsi" w:cstheme="minorHAnsi"/>
                <w:szCs w:val="24"/>
                <w:lang w:bidi="en-US"/>
              </w:rPr>
              <w:fldChar w:fldCharType="end"/>
            </w:r>
            <w:r w:rsidRPr="003A12B6">
              <w:rPr>
                <w:rFonts w:asciiTheme="minorHAnsi" w:eastAsia="Arial" w:hAnsiTheme="minorHAnsi" w:cstheme="minorHAnsi"/>
                <w:szCs w:val="24"/>
                <w:lang w:bidi="en-US"/>
              </w:rPr>
              <w:t xml:space="preserve"> each 6 months</w:t>
            </w:r>
          </w:p>
          <w:p w14:paraId="6C3129E6" w14:textId="77777777" w:rsidR="00F67E9E" w:rsidRPr="003A12B6" w:rsidRDefault="00F67E9E" w:rsidP="007F74AA">
            <w:pPr>
              <w:spacing w:after="120"/>
              <w:ind w:hanging="227"/>
              <w:rPr>
                <w:rFonts w:asciiTheme="minorHAnsi" w:eastAsia="Arial" w:hAnsiTheme="minorHAnsi" w:cstheme="minorHAnsi"/>
                <w:szCs w:val="24"/>
                <w:lang w:bidi="en-US"/>
              </w:rPr>
            </w:pPr>
            <w:r w:rsidRPr="003A12B6">
              <w:rPr>
                <w:rFonts w:asciiTheme="minorHAnsi" w:eastAsia="Arial" w:hAnsiTheme="minorHAnsi" w:cstheme="minorHAnsi"/>
                <w:szCs w:val="24"/>
                <w:lang w:bidi="en-US"/>
              </w:rPr>
              <w:fldChar w:fldCharType="begin" w:fldLock="1">
                <w:ffData>
                  <w:name w:val=""/>
                  <w:enabled/>
                  <w:calcOnExit w:val="0"/>
                  <w:checkBox>
                    <w:size w:val="16"/>
                    <w:default w:val="0"/>
                  </w:checkBox>
                </w:ffData>
              </w:fldChar>
            </w:r>
            <w:r w:rsidRPr="003A12B6">
              <w:rPr>
                <w:rFonts w:asciiTheme="minorHAnsi" w:eastAsia="Arial" w:hAnsiTheme="minorHAnsi" w:cstheme="minorHAnsi"/>
                <w:szCs w:val="24"/>
                <w:lang w:bidi="en-US"/>
              </w:rPr>
              <w:instrText xml:space="preserve"> FORMCHECKBOX </w:instrText>
            </w:r>
            <w:r w:rsidR="000D7DE5">
              <w:rPr>
                <w:rFonts w:asciiTheme="minorHAnsi" w:eastAsia="Arial" w:hAnsiTheme="minorHAnsi" w:cstheme="minorHAnsi"/>
                <w:szCs w:val="24"/>
                <w:lang w:bidi="en-US"/>
              </w:rPr>
            </w:r>
            <w:r w:rsidR="000D7DE5">
              <w:rPr>
                <w:rFonts w:asciiTheme="minorHAnsi" w:eastAsia="Arial" w:hAnsiTheme="minorHAnsi" w:cstheme="minorHAnsi"/>
                <w:szCs w:val="24"/>
                <w:lang w:bidi="en-US"/>
              </w:rPr>
              <w:fldChar w:fldCharType="separate"/>
            </w:r>
            <w:r w:rsidRPr="003A12B6">
              <w:rPr>
                <w:rFonts w:asciiTheme="minorHAnsi" w:eastAsia="Arial" w:hAnsiTheme="minorHAnsi" w:cstheme="minorHAnsi"/>
                <w:szCs w:val="24"/>
                <w:lang w:bidi="en-US"/>
              </w:rPr>
              <w:fldChar w:fldCharType="end"/>
            </w:r>
            <w:r w:rsidRPr="003A12B6">
              <w:rPr>
                <w:rFonts w:asciiTheme="minorHAnsi" w:eastAsia="Arial" w:hAnsiTheme="minorHAnsi" w:cstheme="minorHAnsi"/>
                <w:szCs w:val="24"/>
                <w:lang w:bidi="en-US"/>
              </w:rPr>
              <w:t xml:space="preserve"> each year</w:t>
            </w:r>
          </w:p>
          <w:p w14:paraId="3521496D" w14:textId="77777777" w:rsidR="00F67E9E" w:rsidRPr="003A12B6" w:rsidRDefault="00F67E9E" w:rsidP="007F74AA">
            <w:pPr>
              <w:spacing w:after="120"/>
              <w:ind w:hanging="227"/>
              <w:rPr>
                <w:rFonts w:asciiTheme="minorHAnsi" w:eastAsia="Arial" w:hAnsiTheme="minorHAnsi" w:cstheme="minorHAnsi"/>
                <w:szCs w:val="24"/>
                <w:lang w:bidi="en-US"/>
              </w:rPr>
            </w:pPr>
            <w:r w:rsidRPr="003A12B6">
              <w:rPr>
                <w:rFonts w:asciiTheme="minorHAnsi" w:eastAsia="Arial" w:hAnsiTheme="minorHAnsi" w:cstheme="minorHAnsi"/>
                <w:szCs w:val="24"/>
                <w:lang w:bidi="en-US"/>
              </w:rPr>
              <w:fldChar w:fldCharType="begin" w:fldLock="1">
                <w:ffData>
                  <w:name w:val=""/>
                  <w:enabled/>
                  <w:calcOnExit w:val="0"/>
                  <w:checkBox>
                    <w:size w:val="16"/>
                    <w:default w:val="0"/>
                  </w:checkBox>
                </w:ffData>
              </w:fldChar>
            </w:r>
            <w:r w:rsidRPr="003A12B6">
              <w:rPr>
                <w:rFonts w:asciiTheme="minorHAnsi" w:eastAsia="Arial" w:hAnsiTheme="minorHAnsi" w:cstheme="minorHAnsi"/>
                <w:szCs w:val="24"/>
                <w:lang w:bidi="en-US"/>
              </w:rPr>
              <w:instrText xml:space="preserve"> FORMCHECKBOX </w:instrText>
            </w:r>
            <w:r w:rsidR="000D7DE5">
              <w:rPr>
                <w:rFonts w:asciiTheme="minorHAnsi" w:eastAsia="Arial" w:hAnsiTheme="minorHAnsi" w:cstheme="minorHAnsi"/>
                <w:szCs w:val="24"/>
                <w:lang w:bidi="en-US"/>
              </w:rPr>
            </w:r>
            <w:r w:rsidR="000D7DE5">
              <w:rPr>
                <w:rFonts w:asciiTheme="minorHAnsi" w:eastAsia="Arial" w:hAnsiTheme="minorHAnsi" w:cstheme="minorHAnsi"/>
                <w:szCs w:val="24"/>
                <w:lang w:bidi="en-US"/>
              </w:rPr>
              <w:fldChar w:fldCharType="separate"/>
            </w:r>
            <w:r w:rsidRPr="003A12B6">
              <w:rPr>
                <w:rFonts w:asciiTheme="minorHAnsi" w:eastAsia="Arial" w:hAnsiTheme="minorHAnsi" w:cstheme="minorHAnsi"/>
                <w:szCs w:val="24"/>
                <w:lang w:bidi="en-US"/>
              </w:rPr>
              <w:fldChar w:fldCharType="end"/>
            </w:r>
            <w:r w:rsidRPr="003A12B6">
              <w:rPr>
                <w:rFonts w:asciiTheme="minorHAnsi" w:eastAsia="Arial" w:hAnsiTheme="minorHAnsi" w:cstheme="minorHAnsi"/>
                <w:szCs w:val="24"/>
                <w:lang w:bidi="en-US"/>
              </w:rPr>
              <w:t xml:space="preserve"> each </w:t>
            </w:r>
            <w:r w:rsidRPr="003A12B6">
              <w:rPr>
                <w:rFonts w:asciiTheme="minorHAnsi" w:eastAsia="Arial" w:hAnsiTheme="minorHAnsi" w:cstheme="minorHAnsi"/>
                <w:szCs w:val="24"/>
                <w:lang w:bidi="en-US"/>
              </w:rPr>
              <w:fldChar w:fldCharType="begin">
                <w:ffData>
                  <w:name w:val=""/>
                  <w:enabled/>
                  <w:calcOnExit w:val="0"/>
                  <w:textInput/>
                </w:ffData>
              </w:fldChar>
            </w:r>
            <w:r w:rsidRPr="003A12B6">
              <w:rPr>
                <w:rFonts w:asciiTheme="minorHAnsi" w:eastAsia="Arial" w:hAnsiTheme="minorHAnsi" w:cstheme="minorHAnsi"/>
                <w:szCs w:val="24"/>
                <w:lang w:bidi="en-US"/>
              </w:rPr>
              <w:instrText xml:space="preserve"> FORMTEXT </w:instrText>
            </w:r>
            <w:r w:rsidRPr="003A12B6">
              <w:rPr>
                <w:rFonts w:asciiTheme="minorHAnsi" w:eastAsia="Arial" w:hAnsiTheme="minorHAnsi" w:cstheme="minorHAnsi"/>
                <w:szCs w:val="24"/>
                <w:lang w:bidi="en-US"/>
              </w:rPr>
            </w:r>
            <w:r w:rsidRPr="003A12B6">
              <w:rPr>
                <w:rFonts w:asciiTheme="minorHAnsi" w:eastAsia="Arial" w:hAnsiTheme="minorHAnsi" w:cstheme="minorHAnsi"/>
                <w:szCs w:val="24"/>
                <w:lang w:bidi="en-US"/>
              </w:rPr>
              <w:fldChar w:fldCharType="separate"/>
            </w:r>
            <w:r>
              <w:rPr>
                <w:rFonts w:asciiTheme="minorHAnsi" w:eastAsia="Arial" w:hAnsiTheme="minorHAnsi" w:cstheme="minorHAnsi"/>
                <w:noProof/>
                <w:szCs w:val="24"/>
                <w:lang w:bidi="en-US"/>
              </w:rPr>
              <w:t> </w:t>
            </w:r>
            <w:r>
              <w:rPr>
                <w:rFonts w:asciiTheme="minorHAnsi" w:eastAsia="Arial" w:hAnsiTheme="minorHAnsi" w:cstheme="minorHAnsi"/>
                <w:noProof/>
                <w:szCs w:val="24"/>
                <w:lang w:bidi="en-US"/>
              </w:rPr>
              <w:t> </w:t>
            </w:r>
            <w:r>
              <w:rPr>
                <w:rFonts w:asciiTheme="minorHAnsi" w:eastAsia="Arial" w:hAnsiTheme="minorHAnsi" w:cstheme="minorHAnsi"/>
                <w:noProof/>
                <w:szCs w:val="24"/>
                <w:lang w:bidi="en-US"/>
              </w:rPr>
              <w:t> </w:t>
            </w:r>
            <w:r>
              <w:rPr>
                <w:rFonts w:asciiTheme="minorHAnsi" w:eastAsia="Arial" w:hAnsiTheme="minorHAnsi" w:cstheme="minorHAnsi"/>
                <w:noProof/>
                <w:szCs w:val="24"/>
                <w:lang w:bidi="en-US"/>
              </w:rPr>
              <w:t> </w:t>
            </w:r>
            <w:r>
              <w:rPr>
                <w:rFonts w:asciiTheme="minorHAnsi" w:eastAsia="Arial" w:hAnsiTheme="minorHAnsi" w:cstheme="minorHAnsi"/>
                <w:noProof/>
                <w:szCs w:val="24"/>
                <w:lang w:bidi="en-US"/>
              </w:rPr>
              <w:t> </w:t>
            </w:r>
            <w:r w:rsidRPr="003A12B6">
              <w:rPr>
                <w:rFonts w:asciiTheme="minorHAnsi" w:eastAsia="Arial" w:hAnsiTheme="minorHAnsi" w:cstheme="minorHAnsi"/>
                <w:szCs w:val="24"/>
                <w:lang w:bidi="en-US"/>
              </w:rPr>
              <w:fldChar w:fldCharType="end"/>
            </w:r>
            <w:r w:rsidRPr="003A12B6">
              <w:rPr>
                <w:rFonts w:asciiTheme="minorHAnsi" w:eastAsia="Arial" w:hAnsiTheme="minorHAnsi" w:cstheme="minorHAnsi"/>
                <w:szCs w:val="24"/>
                <w:lang w:bidi="en-US"/>
              </w:rPr>
              <w:t xml:space="preserve"> year(s)</w:t>
            </w:r>
          </w:p>
          <w:p w14:paraId="590AB197" w14:textId="77777777" w:rsidR="00F67E9E" w:rsidRPr="00AE092F" w:rsidRDefault="00F67E9E" w:rsidP="007F74AA">
            <w:pPr>
              <w:ind w:hanging="227"/>
              <w:rPr>
                <w:rFonts w:cs="Arial"/>
                <w:szCs w:val="24"/>
              </w:rPr>
            </w:pPr>
            <w:r w:rsidRPr="003A12B6">
              <w:rPr>
                <w:rFonts w:asciiTheme="minorHAnsi" w:eastAsia="Arial" w:hAnsiTheme="minorHAnsi" w:cstheme="minorHAnsi"/>
                <w:szCs w:val="24"/>
                <w:lang w:bidi="en-US"/>
              </w:rPr>
              <w:fldChar w:fldCharType="begin" w:fldLock="1">
                <w:ffData>
                  <w:name w:val=""/>
                  <w:enabled/>
                  <w:calcOnExit w:val="0"/>
                  <w:checkBox>
                    <w:size w:val="16"/>
                    <w:default w:val="0"/>
                  </w:checkBox>
                </w:ffData>
              </w:fldChar>
            </w:r>
            <w:r w:rsidRPr="003A12B6">
              <w:rPr>
                <w:rFonts w:asciiTheme="minorHAnsi" w:eastAsia="Arial" w:hAnsiTheme="minorHAnsi" w:cstheme="minorHAnsi"/>
                <w:szCs w:val="24"/>
                <w:lang w:bidi="en-US"/>
              </w:rPr>
              <w:instrText xml:space="preserve"> FORMCHECKBOX </w:instrText>
            </w:r>
            <w:r w:rsidR="000D7DE5">
              <w:rPr>
                <w:rFonts w:asciiTheme="minorHAnsi" w:eastAsia="Arial" w:hAnsiTheme="minorHAnsi" w:cstheme="minorHAnsi"/>
                <w:szCs w:val="24"/>
                <w:lang w:bidi="en-US"/>
              </w:rPr>
            </w:r>
            <w:r w:rsidR="000D7DE5">
              <w:rPr>
                <w:rFonts w:asciiTheme="minorHAnsi" w:eastAsia="Arial" w:hAnsiTheme="minorHAnsi" w:cstheme="minorHAnsi"/>
                <w:szCs w:val="24"/>
                <w:lang w:bidi="en-US"/>
              </w:rPr>
              <w:fldChar w:fldCharType="separate"/>
            </w:r>
            <w:r w:rsidRPr="003A12B6">
              <w:rPr>
                <w:rFonts w:asciiTheme="minorHAnsi" w:eastAsia="Arial" w:hAnsiTheme="minorHAnsi" w:cstheme="minorHAnsi"/>
                <w:szCs w:val="24"/>
                <w:lang w:bidi="en-US"/>
              </w:rPr>
              <w:fldChar w:fldCharType="end"/>
            </w:r>
            <w:r w:rsidRPr="003A12B6">
              <w:rPr>
                <w:rFonts w:asciiTheme="minorHAnsi" w:eastAsia="Arial" w:hAnsiTheme="minorHAnsi" w:cstheme="minorHAnsi"/>
                <w:szCs w:val="24"/>
                <w:lang w:bidi="en-US"/>
              </w:rPr>
              <w:t xml:space="preserve"> eac</w:t>
            </w:r>
            <w:r w:rsidRPr="00AE092F">
              <w:rPr>
                <w:rFonts w:cs="Arial"/>
                <w:szCs w:val="24"/>
              </w:rPr>
              <w:t>h time there is a change to the Transferred Data, Purposes, Importer Information, TRA or risk assessment</w:t>
            </w:r>
          </w:p>
        </w:tc>
      </w:tr>
    </w:tbl>
    <w:p w14:paraId="178F30F8" w14:textId="77777777" w:rsidR="00F67E9E" w:rsidRPr="00157B71" w:rsidRDefault="00F67E9E" w:rsidP="00F67E9E">
      <w:pPr>
        <w:keepNext/>
        <w:keepLines/>
        <w:spacing w:before="100" w:after="100"/>
        <w:rPr>
          <w:b/>
          <w:bCs/>
        </w:rPr>
      </w:pPr>
      <w:r w:rsidRPr="00157B71">
        <w:rPr>
          <w:b/>
          <w:bCs/>
        </w:rPr>
        <w:t>Table 3: Transferred Data</w:t>
      </w:r>
    </w:p>
    <w:tbl>
      <w:tblPr>
        <w:tblStyle w:val="MSATable-header"/>
        <w:tblW w:w="5003" w:type="pct"/>
        <w:tblLook w:val="0000" w:firstRow="0" w:lastRow="0" w:firstColumn="0" w:lastColumn="0" w:noHBand="0" w:noVBand="0"/>
      </w:tblPr>
      <w:tblGrid>
        <w:gridCol w:w="2398"/>
        <w:gridCol w:w="7796"/>
      </w:tblGrid>
      <w:tr w:rsidR="00F67E9E" w:rsidRPr="00AE092F" w14:paraId="67752959" w14:textId="77777777" w:rsidTr="007F74AA">
        <w:tc>
          <w:tcPr>
            <w:tcW w:w="1176" w:type="pct"/>
            <w:shd w:val="clear" w:color="auto" w:fill="F0F0F0"/>
          </w:tcPr>
          <w:p w14:paraId="6B565A15" w14:textId="77777777" w:rsidR="00F67E9E" w:rsidRPr="003A12B6" w:rsidRDefault="00F67E9E" w:rsidP="007F74AA">
            <w:pPr>
              <w:rPr>
                <w:rFonts w:asciiTheme="minorHAnsi" w:eastAsia="Arial" w:hAnsiTheme="minorHAnsi" w:cstheme="minorHAnsi"/>
                <w:b/>
                <w:bCs/>
                <w:szCs w:val="24"/>
                <w:lang w:bidi="en-US"/>
              </w:rPr>
            </w:pPr>
            <w:r w:rsidRPr="003A12B6">
              <w:rPr>
                <w:rFonts w:asciiTheme="minorHAnsi" w:eastAsia="Arial" w:hAnsiTheme="minorHAnsi" w:cstheme="minorHAnsi"/>
                <w:b/>
                <w:bCs/>
                <w:szCs w:val="24"/>
                <w:lang w:bidi="en-US"/>
              </w:rPr>
              <w:t>Transferred Data</w:t>
            </w:r>
          </w:p>
        </w:tc>
        <w:tc>
          <w:tcPr>
            <w:tcW w:w="3824" w:type="pct"/>
          </w:tcPr>
          <w:p w14:paraId="6ACAB61C" w14:textId="77777777" w:rsidR="00F67E9E" w:rsidRPr="00AE092F" w:rsidRDefault="00F67E9E" w:rsidP="007F74AA">
            <w:pPr>
              <w:spacing w:after="120"/>
              <w:rPr>
                <w:rFonts w:cs="Arial"/>
              </w:rPr>
            </w:pPr>
            <w:r w:rsidRPr="00AE092F">
              <w:rPr>
                <w:rFonts w:cs="Arial"/>
              </w:rPr>
              <w:t>The personal data to be sent to the Importer under this IDTA consists of:</w:t>
            </w:r>
          </w:p>
          <w:p w14:paraId="7DB95252" w14:textId="77777777" w:rsidR="00F67E9E" w:rsidRPr="003A12B6" w:rsidRDefault="00F67E9E" w:rsidP="007F74AA">
            <w:pPr>
              <w:spacing w:after="120"/>
              <w:ind w:hanging="227"/>
              <w:rPr>
                <w:rFonts w:asciiTheme="minorHAnsi" w:eastAsia="Arial" w:hAnsiTheme="minorHAnsi" w:cstheme="minorHAnsi"/>
                <w:szCs w:val="24"/>
                <w:lang w:bidi="en-US"/>
              </w:rPr>
            </w:pPr>
            <w:r w:rsidRPr="00AE092F">
              <w:rPr>
                <w:rFonts w:cs="Arial"/>
              </w:rPr>
              <w:fldChar w:fldCharType="begin" w:fldLock="1">
                <w:ffData>
                  <w:name w:val=""/>
                  <w:enabled/>
                  <w:calcOnExit w:val="0"/>
                  <w:checkBox>
                    <w:size w:val="16"/>
                    <w:default w:val="0"/>
                  </w:checkBox>
                </w:ffData>
              </w:fldChar>
            </w:r>
            <w:r w:rsidRPr="00AE092F">
              <w:rPr>
                <w:rFonts w:cs="Arial"/>
              </w:rPr>
              <w:instrText xml:space="preserve"> FORMCHECKBOX </w:instrText>
            </w:r>
            <w:r w:rsidR="000D7DE5">
              <w:rPr>
                <w:rFonts w:cs="Arial"/>
              </w:rPr>
            </w:r>
            <w:r w:rsidR="000D7DE5">
              <w:rPr>
                <w:rFonts w:cs="Arial"/>
              </w:rPr>
              <w:fldChar w:fldCharType="separate"/>
            </w:r>
            <w:r w:rsidRPr="00AE092F">
              <w:rPr>
                <w:rFonts w:cs="Arial"/>
              </w:rPr>
              <w:fldChar w:fldCharType="end"/>
            </w:r>
            <w:r w:rsidRPr="00AE092F">
              <w:rPr>
                <w:rFonts w:cs="Arial"/>
              </w:rPr>
              <w:t xml:space="preserve"> The cat</w:t>
            </w:r>
            <w:r w:rsidRPr="003A12B6">
              <w:rPr>
                <w:rFonts w:asciiTheme="minorHAnsi" w:eastAsia="Arial" w:hAnsiTheme="minorHAnsi" w:cstheme="minorHAnsi"/>
                <w:szCs w:val="24"/>
                <w:lang w:bidi="en-US"/>
              </w:rPr>
              <w:t xml:space="preserve">egories of Transferred Data will update automatically if the information is updated in the Linked Agreement referred to. </w:t>
            </w:r>
          </w:p>
          <w:p w14:paraId="49980142" w14:textId="07D0929D" w:rsidR="00F67E9E" w:rsidRPr="00AE092F" w:rsidRDefault="00F67E9E" w:rsidP="007F74AA">
            <w:pPr>
              <w:ind w:hanging="227"/>
              <w:rPr>
                <w:rFonts w:cs="Arial"/>
              </w:rPr>
            </w:pPr>
            <w:r w:rsidRPr="003A12B6">
              <w:rPr>
                <w:rFonts w:asciiTheme="minorHAnsi" w:eastAsia="Arial" w:hAnsiTheme="minorHAnsi" w:cstheme="minorHAnsi"/>
                <w:szCs w:val="24"/>
                <w:lang w:bidi="en-US"/>
              </w:rPr>
              <w:fldChar w:fldCharType="begin" w:fldLock="1">
                <w:ffData>
                  <w:name w:val=""/>
                  <w:enabled/>
                  <w:calcOnExit w:val="0"/>
                  <w:checkBox>
                    <w:size w:val="16"/>
                    <w:default w:val="0"/>
                  </w:checkBox>
                </w:ffData>
              </w:fldChar>
            </w:r>
            <w:r w:rsidRPr="003A12B6">
              <w:rPr>
                <w:rFonts w:asciiTheme="minorHAnsi" w:eastAsia="Arial" w:hAnsiTheme="minorHAnsi" w:cstheme="minorHAnsi"/>
                <w:szCs w:val="24"/>
                <w:lang w:bidi="en-US"/>
              </w:rPr>
              <w:instrText xml:space="preserve"> FORMCHECKBOX </w:instrText>
            </w:r>
            <w:r w:rsidR="000D7DE5">
              <w:rPr>
                <w:rFonts w:asciiTheme="minorHAnsi" w:eastAsia="Arial" w:hAnsiTheme="minorHAnsi" w:cstheme="minorHAnsi"/>
                <w:szCs w:val="24"/>
                <w:lang w:bidi="en-US"/>
              </w:rPr>
            </w:r>
            <w:r w:rsidR="000D7DE5">
              <w:rPr>
                <w:rFonts w:asciiTheme="minorHAnsi" w:eastAsia="Arial" w:hAnsiTheme="minorHAnsi" w:cstheme="minorHAnsi"/>
                <w:szCs w:val="24"/>
                <w:lang w:bidi="en-US"/>
              </w:rPr>
              <w:fldChar w:fldCharType="separate"/>
            </w:r>
            <w:r w:rsidRPr="003A12B6">
              <w:rPr>
                <w:rFonts w:asciiTheme="minorHAnsi" w:eastAsia="Arial" w:hAnsiTheme="minorHAnsi" w:cstheme="minorHAnsi"/>
                <w:szCs w:val="24"/>
                <w:lang w:bidi="en-US"/>
              </w:rPr>
              <w:fldChar w:fldCharType="end"/>
            </w:r>
            <w:r w:rsidRPr="003A12B6">
              <w:rPr>
                <w:rFonts w:asciiTheme="minorHAnsi" w:eastAsia="Arial" w:hAnsiTheme="minorHAnsi" w:cstheme="minorHAnsi"/>
                <w:szCs w:val="24"/>
                <w:lang w:bidi="en-US"/>
              </w:rPr>
              <w:t xml:space="preserve"> The cat</w:t>
            </w:r>
            <w:r w:rsidRPr="00AE092F">
              <w:rPr>
                <w:rFonts w:cs="Arial"/>
              </w:rPr>
              <w:t xml:space="preserve">egories of Transferred Data will NOT update automatically if the </w:t>
            </w:r>
            <w:r w:rsidRPr="003A12B6">
              <w:rPr>
                <w:rFonts w:cs="Arial"/>
                <w:szCs w:val="24"/>
              </w:rPr>
              <w:t>information</w:t>
            </w:r>
            <w:r w:rsidRPr="00AE092F">
              <w:rPr>
                <w:rFonts w:cs="Arial"/>
              </w:rPr>
              <w:t xml:space="preserve"> is updated in the Linked Agreement referred to. The Parties must agree a change under Section </w:t>
            </w:r>
            <w:r w:rsidRPr="00AE092F">
              <w:rPr>
                <w:rFonts w:cs="Arial"/>
              </w:rPr>
              <w:fldChar w:fldCharType="begin"/>
            </w:r>
            <w:r w:rsidRPr="00AE092F">
              <w:rPr>
                <w:rFonts w:cs="Arial"/>
              </w:rPr>
              <w:instrText xml:space="preserve"> REF _Ref92477298 \r \h  \* MERGEFORMAT </w:instrText>
            </w:r>
            <w:r w:rsidRPr="00AE092F">
              <w:rPr>
                <w:rFonts w:cs="Arial"/>
              </w:rPr>
            </w:r>
            <w:r w:rsidRPr="00AE092F">
              <w:rPr>
                <w:rFonts w:cs="Arial"/>
              </w:rPr>
              <w:fldChar w:fldCharType="separate"/>
            </w:r>
            <w:r w:rsidR="00302D39">
              <w:rPr>
                <w:rFonts w:cs="Arial"/>
              </w:rPr>
              <w:t>5.3</w:t>
            </w:r>
            <w:r w:rsidRPr="00AE092F">
              <w:rPr>
                <w:rFonts w:cs="Arial"/>
              </w:rPr>
              <w:fldChar w:fldCharType="end"/>
            </w:r>
            <w:r w:rsidRPr="00AE092F">
              <w:rPr>
                <w:rFonts w:cs="Arial"/>
              </w:rPr>
              <w:t>.</w:t>
            </w:r>
          </w:p>
        </w:tc>
      </w:tr>
      <w:tr w:rsidR="00F67E9E" w:rsidRPr="00AE092F" w14:paraId="350B61A6" w14:textId="77777777" w:rsidTr="007F74AA">
        <w:tc>
          <w:tcPr>
            <w:tcW w:w="1176" w:type="pct"/>
            <w:shd w:val="clear" w:color="auto" w:fill="F0F0F0"/>
          </w:tcPr>
          <w:p w14:paraId="14C03C83" w14:textId="77777777" w:rsidR="00F67E9E" w:rsidRPr="003A12B6" w:rsidRDefault="00F67E9E" w:rsidP="007F74AA">
            <w:pPr>
              <w:rPr>
                <w:rFonts w:asciiTheme="minorHAnsi" w:eastAsia="Arial" w:hAnsiTheme="minorHAnsi" w:cstheme="minorHAnsi"/>
                <w:b/>
                <w:bCs/>
                <w:szCs w:val="24"/>
                <w:lang w:bidi="en-US"/>
              </w:rPr>
            </w:pPr>
            <w:r w:rsidRPr="003A12B6">
              <w:rPr>
                <w:rFonts w:asciiTheme="minorHAnsi" w:eastAsia="Arial" w:hAnsiTheme="minorHAnsi" w:cstheme="minorHAnsi"/>
                <w:b/>
                <w:bCs/>
                <w:szCs w:val="24"/>
                <w:lang w:bidi="en-US"/>
              </w:rPr>
              <w:t>Special Categories of Personal Data and criminal convictions and offences</w:t>
            </w:r>
          </w:p>
        </w:tc>
        <w:tc>
          <w:tcPr>
            <w:tcW w:w="3824" w:type="pct"/>
          </w:tcPr>
          <w:p w14:paraId="2DDE26C3" w14:textId="77777777" w:rsidR="00F67E9E" w:rsidRPr="00AE092F" w:rsidRDefault="00F67E9E" w:rsidP="007F74AA">
            <w:pPr>
              <w:spacing w:after="120"/>
              <w:rPr>
                <w:rFonts w:cs="Arial"/>
              </w:rPr>
            </w:pPr>
            <w:r w:rsidRPr="00AE092F">
              <w:rPr>
                <w:rFonts w:cs="Arial"/>
              </w:rPr>
              <w:t>The Transferred Data includes data relating to:</w:t>
            </w:r>
          </w:p>
          <w:p w14:paraId="3E81D105" w14:textId="77777777" w:rsidR="00F67E9E" w:rsidRPr="003A12B6" w:rsidRDefault="00F67E9E" w:rsidP="007F74AA">
            <w:pPr>
              <w:spacing w:after="120"/>
              <w:ind w:hanging="227"/>
              <w:rPr>
                <w:rFonts w:asciiTheme="minorHAnsi" w:eastAsia="Arial" w:hAnsiTheme="minorHAnsi" w:cstheme="minorHAnsi"/>
                <w:szCs w:val="24"/>
                <w:lang w:bidi="en-US"/>
              </w:rPr>
            </w:pPr>
            <w:r w:rsidRPr="00AE092F">
              <w:rPr>
                <w:rFonts w:cs="Arial"/>
              </w:rPr>
              <w:fldChar w:fldCharType="begin" w:fldLock="1">
                <w:ffData>
                  <w:name w:val=""/>
                  <w:enabled/>
                  <w:calcOnExit w:val="0"/>
                  <w:checkBox>
                    <w:size w:val="16"/>
                    <w:default w:val="0"/>
                  </w:checkBox>
                </w:ffData>
              </w:fldChar>
            </w:r>
            <w:r w:rsidRPr="00AE092F">
              <w:rPr>
                <w:rFonts w:cs="Arial"/>
              </w:rPr>
              <w:instrText xml:space="preserve"> FORMCHECKBOX </w:instrText>
            </w:r>
            <w:r w:rsidR="000D7DE5">
              <w:rPr>
                <w:rFonts w:cs="Arial"/>
              </w:rPr>
            </w:r>
            <w:r w:rsidR="000D7DE5">
              <w:rPr>
                <w:rFonts w:cs="Arial"/>
              </w:rPr>
              <w:fldChar w:fldCharType="separate"/>
            </w:r>
            <w:r w:rsidRPr="00AE092F">
              <w:rPr>
                <w:rFonts w:cs="Arial"/>
              </w:rPr>
              <w:fldChar w:fldCharType="end"/>
            </w:r>
            <w:r w:rsidRPr="00AE092F">
              <w:rPr>
                <w:rFonts w:cs="Arial"/>
              </w:rPr>
              <w:t xml:space="preserve"> racial or e</w:t>
            </w:r>
            <w:r w:rsidRPr="003A12B6">
              <w:rPr>
                <w:rFonts w:asciiTheme="minorHAnsi" w:eastAsia="Arial" w:hAnsiTheme="minorHAnsi" w:cstheme="minorHAnsi"/>
                <w:szCs w:val="24"/>
                <w:lang w:bidi="en-US"/>
              </w:rPr>
              <w:t>thnic origin</w:t>
            </w:r>
          </w:p>
          <w:p w14:paraId="153C7FEA" w14:textId="77777777" w:rsidR="00F67E9E" w:rsidRPr="003A12B6" w:rsidRDefault="00F67E9E" w:rsidP="007F74AA">
            <w:pPr>
              <w:spacing w:after="120"/>
              <w:ind w:hanging="227"/>
              <w:rPr>
                <w:rFonts w:asciiTheme="minorHAnsi" w:eastAsia="Arial" w:hAnsiTheme="minorHAnsi" w:cstheme="minorHAnsi"/>
                <w:szCs w:val="24"/>
                <w:lang w:bidi="en-US"/>
              </w:rPr>
            </w:pPr>
            <w:r w:rsidRPr="003A12B6">
              <w:rPr>
                <w:rFonts w:asciiTheme="minorHAnsi" w:eastAsia="Arial" w:hAnsiTheme="minorHAnsi" w:cstheme="minorHAnsi"/>
                <w:szCs w:val="24"/>
                <w:lang w:bidi="en-US"/>
              </w:rPr>
              <w:fldChar w:fldCharType="begin" w:fldLock="1">
                <w:ffData>
                  <w:name w:val=""/>
                  <w:enabled/>
                  <w:calcOnExit w:val="0"/>
                  <w:checkBox>
                    <w:size w:val="16"/>
                    <w:default w:val="0"/>
                  </w:checkBox>
                </w:ffData>
              </w:fldChar>
            </w:r>
            <w:r w:rsidRPr="003A12B6">
              <w:rPr>
                <w:rFonts w:asciiTheme="minorHAnsi" w:eastAsia="Arial" w:hAnsiTheme="minorHAnsi" w:cstheme="minorHAnsi"/>
                <w:szCs w:val="24"/>
                <w:lang w:bidi="en-US"/>
              </w:rPr>
              <w:instrText xml:space="preserve"> FORMCHECKBOX </w:instrText>
            </w:r>
            <w:r w:rsidR="000D7DE5">
              <w:rPr>
                <w:rFonts w:asciiTheme="minorHAnsi" w:eastAsia="Arial" w:hAnsiTheme="minorHAnsi" w:cstheme="minorHAnsi"/>
                <w:szCs w:val="24"/>
                <w:lang w:bidi="en-US"/>
              </w:rPr>
            </w:r>
            <w:r w:rsidR="000D7DE5">
              <w:rPr>
                <w:rFonts w:asciiTheme="minorHAnsi" w:eastAsia="Arial" w:hAnsiTheme="minorHAnsi" w:cstheme="minorHAnsi"/>
                <w:szCs w:val="24"/>
                <w:lang w:bidi="en-US"/>
              </w:rPr>
              <w:fldChar w:fldCharType="separate"/>
            </w:r>
            <w:r w:rsidRPr="003A12B6">
              <w:rPr>
                <w:rFonts w:asciiTheme="minorHAnsi" w:eastAsia="Arial" w:hAnsiTheme="minorHAnsi" w:cstheme="minorHAnsi"/>
                <w:szCs w:val="24"/>
                <w:lang w:bidi="en-US"/>
              </w:rPr>
              <w:fldChar w:fldCharType="end"/>
            </w:r>
            <w:r w:rsidRPr="003A12B6">
              <w:rPr>
                <w:rFonts w:asciiTheme="minorHAnsi" w:eastAsia="Arial" w:hAnsiTheme="minorHAnsi" w:cstheme="minorHAnsi"/>
                <w:szCs w:val="24"/>
                <w:lang w:bidi="en-US"/>
              </w:rPr>
              <w:t xml:space="preserve"> political opinions</w:t>
            </w:r>
          </w:p>
          <w:p w14:paraId="4D03F858" w14:textId="77777777" w:rsidR="00F67E9E" w:rsidRPr="003A12B6" w:rsidRDefault="00F67E9E" w:rsidP="007F74AA">
            <w:pPr>
              <w:spacing w:after="120"/>
              <w:ind w:hanging="227"/>
              <w:rPr>
                <w:rFonts w:asciiTheme="minorHAnsi" w:eastAsia="Arial" w:hAnsiTheme="minorHAnsi" w:cstheme="minorHAnsi"/>
                <w:szCs w:val="24"/>
                <w:lang w:bidi="en-US"/>
              </w:rPr>
            </w:pPr>
            <w:r w:rsidRPr="003A12B6">
              <w:rPr>
                <w:rFonts w:asciiTheme="minorHAnsi" w:eastAsia="Arial" w:hAnsiTheme="minorHAnsi" w:cstheme="minorHAnsi"/>
                <w:szCs w:val="24"/>
                <w:lang w:bidi="en-US"/>
              </w:rPr>
              <w:fldChar w:fldCharType="begin" w:fldLock="1">
                <w:ffData>
                  <w:name w:val=""/>
                  <w:enabled/>
                  <w:calcOnExit w:val="0"/>
                  <w:checkBox>
                    <w:size w:val="16"/>
                    <w:default w:val="0"/>
                  </w:checkBox>
                </w:ffData>
              </w:fldChar>
            </w:r>
            <w:r w:rsidRPr="003A12B6">
              <w:rPr>
                <w:rFonts w:asciiTheme="minorHAnsi" w:eastAsia="Arial" w:hAnsiTheme="minorHAnsi" w:cstheme="minorHAnsi"/>
                <w:szCs w:val="24"/>
                <w:lang w:bidi="en-US"/>
              </w:rPr>
              <w:instrText xml:space="preserve"> FORMCHECKBOX </w:instrText>
            </w:r>
            <w:r w:rsidR="000D7DE5">
              <w:rPr>
                <w:rFonts w:asciiTheme="minorHAnsi" w:eastAsia="Arial" w:hAnsiTheme="minorHAnsi" w:cstheme="minorHAnsi"/>
                <w:szCs w:val="24"/>
                <w:lang w:bidi="en-US"/>
              </w:rPr>
            </w:r>
            <w:r w:rsidR="000D7DE5">
              <w:rPr>
                <w:rFonts w:asciiTheme="minorHAnsi" w:eastAsia="Arial" w:hAnsiTheme="minorHAnsi" w:cstheme="minorHAnsi"/>
                <w:szCs w:val="24"/>
                <w:lang w:bidi="en-US"/>
              </w:rPr>
              <w:fldChar w:fldCharType="separate"/>
            </w:r>
            <w:r w:rsidRPr="003A12B6">
              <w:rPr>
                <w:rFonts w:asciiTheme="minorHAnsi" w:eastAsia="Arial" w:hAnsiTheme="minorHAnsi" w:cstheme="minorHAnsi"/>
                <w:szCs w:val="24"/>
                <w:lang w:bidi="en-US"/>
              </w:rPr>
              <w:fldChar w:fldCharType="end"/>
            </w:r>
            <w:r w:rsidRPr="003A12B6">
              <w:rPr>
                <w:rFonts w:asciiTheme="minorHAnsi" w:eastAsia="Arial" w:hAnsiTheme="minorHAnsi" w:cstheme="minorHAnsi"/>
                <w:szCs w:val="24"/>
                <w:lang w:bidi="en-US"/>
              </w:rPr>
              <w:t xml:space="preserve"> religious or philosophical beliefs</w:t>
            </w:r>
          </w:p>
          <w:p w14:paraId="2C5B149F" w14:textId="77777777" w:rsidR="00F67E9E" w:rsidRPr="003A12B6" w:rsidRDefault="00F67E9E" w:rsidP="007F74AA">
            <w:pPr>
              <w:spacing w:after="120"/>
              <w:ind w:hanging="227"/>
              <w:rPr>
                <w:rFonts w:asciiTheme="minorHAnsi" w:eastAsia="Arial" w:hAnsiTheme="minorHAnsi" w:cstheme="minorHAnsi"/>
                <w:szCs w:val="24"/>
                <w:lang w:bidi="en-US"/>
              </w:rPr>
            </w:pPr>
            <w:r w:rsidRPr="003A12B6">
              <w:rPr>
                <w:rFonts w:asciiTheme="minorHAnsi" w:eastAsia="Arial" w:hAnsiTheme="minorHAnsi" w:cstheme="minorHAnsi"/>
                <w:szCs w:val="24"/>
                <w:lang w:bidi="en-US"/>
              </w:rPr>
              <w:fldChar w:fldCharType="begin" w:fldLock="1">
                <w:ffData>
                  <w:name w:val=""/>
                  <w:enabled/>
                  <w:calcOnExit w:val="0"/>
                  <w:checkBox>
                    <w:size w:val="16"/>
                    <w:default w:val="0"/>
                  </w:checkBox>
                </w:ffData>
              </w:fldChar>
            </w:r>
            <w:r w:rsidRPr="003A12B6">
              <w:rPr>
                <w:rFonts w:asciiTheme="minorHAnsi" w:eastAsia="Arial" w:hAnsiTheme="minorHAnsi" w:cstheme="minorHAnsi"/>
                <w:szCs w:val="24"/>
                <w:lang w:bidi="en-US"/>
              </w:rPr>
              <w:instrText xml:space="preserve"> FORMCHECKBOX </w:instrText>
            </w:r>
            <w:r w:rsidR="000D7DE5">
              <w:rPr>
                <w:rFonts w:asciiTheme="minorHAnsi" w:eastAsia="Arial" w:hAnsiTheme="minorHAnsi" w:cstheme="minorHAnsi"/>
                <w:szCs w:val="24"/>
                <w:lang w:bidi="en-US"/>
              </w:rPr>
            </w:r>
            <w:r w:rsidR="000D7DE5">
              <w:rPr>
                <w:rFonts w:asciiTheme="minorHAnsi" w:eastAsia="Arial" w:hAnsiTheme="minorHAnsi" w:cstheme="minorHAnsi"/>
                <w:szCs w:val="24"/>
                <w:lang w:bidi="en-US"/>
              </w:rPr>
              <w:fldChar w:fldCharType="separate"/>
            </w:r>
            <w:r w:rsidRPr="003A12B6">
              <w:rPr>
                <w:rFonts w:asciiTheme="minorHAnsi" w:eastAsia="Arial" w:hAnsiTheme="minorHAnsi" w:cstheme="minorHAnsi"/>
                <w:szCs w:val="24"/>
                <w:lang w:bidi="en-US"/>
              </w:rPr>
              <w:fldChar w:fldCharType="end"/>
            </w:r>
            <w:r w:rsidRPr="003A12B6">
              <w:rPr>
                <w:rFonts w:asciiTheme="minorHAnsi" w:eastAsia="Arial" w:hAnsiTheme="minorHAnsi" w:cstheme="minorHAnsi"/>
                <w:szCs w:val="24"/>
                <w:lang w:bidi="en-US"/>
              </w:rPr>
              <w:t xml:space="preserve"> trade union membership</w:t>
            </w:r>
          </w:p>
          <w:p w14:paraId="3D32EAA2" w14:textId="77777777" w:rsidR="00F67E9E" w:rsidRPr="003A12B6" w:rsidRDefault="00F67E9E" w:rsidP="007F74AA">
            <w:pPr>
              <w:spacing w:after="120"/>
              <w:ind w:hanging="227"/>
              <w:rPr>
                <w:rFonts w:asciiTheme="minorHAnsi" w:eastAsia="Arial" w:hAnsiTheme="minorHAnsi" w:cstheme="minorHAnsi"/>
                <w:szCs w:val="24"/>
                <w:lang w:bidi="en-US"/>
              </w:rPr>
            </w:pPr>
            <w:r w:rsidRPr="003A12B6">
              <w:rPr>
                <w:rFonts w:asciiTheme="minorHAnsi" w:eastAsia="Arial" w:hAnsiTheme="minorHAnsi" w:cstheme="minorHAnsi"/>
                <w:szCs w:val="24"/>
                <w:lang w:bidi="en-US"/>
              </w:rPr>
              <w:fldChar w:fldCharType="begin" w:fldLock="1">
                <w:ffData>
                  <w:name w:val=""/>
                  <w:enabled/>
                  <w:calcOnExit w:val="0"/>
                  <w:checkBox>
                    <w:size w:val="16"/>
                    <w:default w:val="0"/>
                  </w:checkBox>
                </w:ffData>
              </w:fldChar>
            </w:r>
            <w:r w:rsidRPr="003A12B6">
              <w:rPr>
                <w:rFonts w:asciiTheme="minorHAnsi" w:eastAsia="Arial" w:hAnsiTheme="minorHAnsi" w:cstheme="minorHAnsi"/>
                <w:szCs w:val="24"/>
                <w:lang w:bidi="en-US"/>
              </w:rPr>
              <w:instrText xml:space="preserve"> FORMCHECKBOX </w:instrText>
            </w:r>
            <w:r w:rsidR="000D7DE5">
              <w:rPr>
                <w:rFonts w:asciiTheme="minorHAnsi" w:eastAsia="Arial" w:hAnsiTheme="minorHAnsi" w:cstheme="minorHAnsi"/>
                <w:szCs w:val="24"/>
                <w:lang w:bidi="en-US"/>
              </w:rPr>
            </w:r>
            <w:r w:rsidR="000D7DE5">
              <w:rPr>
                <w:rFonts w:asciiTheme="minorHAnsi" w:eastAsia="Arial" w:hAnsiTheme="minorHAnsi" w:cstheme="minorHAnsi"/>
                <w:szCs w:val="24"/>
                <w:lang w:bidi="en-US"/>
              </w:rPr>
              <w:fldChar w:fldCharType="separate"/>
            </w:r>
            <w:r w:rsidRPr="003A12B6">
              <w:rPr>
                <w:rFonts w:asciiTheme="minorHAnsi" w:eastAsia="Arial" w:hAnsiTheme="minorHAnsi" w:cstheme="minorHAnsi"/>
                <w:szCs w:val="24"/>
                <w:lang w:bidi="en-US"/>
              </w:rPr>
              <w:fldChar w:fldCharType="end"/>
            </w:r>
            <w:r w:rsidRPr="003A12B6">
              <w:rPr>
                <w:rFonts w:asciiTheme="minorHAnsi" w:eastAsia="Arial" w:hAnsiTheme="minorHAnsi" w:cstheme="minorHAnsi"/>
                <w:szCs w:val="24"/>
                <w:lang w:bidi="en-US"/>
              </w:rPr>
              <w:t xml:space="preserve"> genetic data</w:t>
            </w:r>
          </w:p>
          <w:p w14:paraId="65601EA4" w14:textId="77777777" w:rsidR="00F67E9E" w:rsidRPr="003A12B6" w:rsidRDefault="00F67E9E" w:rsidP="007F74AA">
            <w:pPr>
              <w:spacing w:after="120"/>
              <w:ind w:hanging="227"/>
              <w:rPr>
                <w:rFonts w:asciiTheme="minorHAnsi" w:eastAsia="Arial" w:hAnsiTheme="minorHAnsi" w:cstheme="minorHAnsi"/>
                <w:szCs w:val="24"/>
                <w:lang w:bidi="en-US"/>
              </w:rPr>
            </w:pPr>
            <w:r w:rsidRPr="003A12B6">
              <w:rPr>
                <w:rFonts w:asciiTheme="minorHAnsi" w:eastAsia="Arial" w:hAnsiTheme="minorHAnsi" w:cstheme="minorHAnsi"/>
                <w:szCs w:val="24"/>
                <w:lang w:bidi="en-US"/>
              </w:rPr>
              <w:fldChar w:fldCharType="begin" w:fldLock="1">
                <w:ffData>
                  <w:name w:val=""/>
                  <w:enabled/>
                  <w:calcOnExit w:val="0"/>
                  <w:checkBox>
                    <w:size w:val="16"/>
                    <w:default w:val="0"/>
                  </w:checkBox>
                </w:ffData>
              </w:fldChar>
            </w:r>
            <w:r w:rsidRPr="003A12B6">
              <w:rPr>
                <w:rFonts w:asciiTheme="minorHAnsi" w:eastAsia="Arial" w:hAnsiTheme="minorHAnsi" w:cstheme="minorHAnsi"/>
                <w:szCs w:val="24"/>
                <w:lang w:bidi="en-US"/>
              </w:rPr>
              <w:instrText xml:space="preserve"> FORMCHECKBOX </w:instrText>
            </w:r>
            <w:r w:rsidR="000D7DE5">
              <w:rPr>
                <w:rFonts w:asciiTheme="minorHAnsi" w:eastAsia="Arial" w:hAnsiTheme="minorHAnsi" w:cstheme="minorHAnsi"/>
                <w:szCs w:val="24"/>
                <w:lang w:bidi="en-US"/>
              </w:rPr>
            </w:r>
            <w:r w:rsidR="000D7DE5">
              <w:rPr>
                <w:rFonts w:asciiTheme="minorHAnsi" w:eastAsia="Arial" w:hAnsiTheme="minorHAnsi" w:cstheme="minorHAnsi"/>
                <w:szCs w:val="24"/>
                <w:lang w:bidi="en-US"/>
              </w:rPr>
              <w:fldChar w:fldCharType="separate"/>
            </w:r>
            <w:r w:rsidRPr="003A12B6">
              <w:rPr>
                <w:rFonts w:asciiTheme="minorHAnsi" w:eastAsia="Arial" w:hAnsiTheme="minorHAnsi" w:cstheme="minorHAnsi"/>
                <w:szCs w:val="24"/>
                <w:lang w:bidi="en-US"/>
              </w:rPr>
              <w:fldChar w:fldCharType="end"/>
            </w:r>
            <w:r w:rsidRPr="003A12B6">
              <w:rPr>
                <w:rFonts w:asciiTheme="minorHAnsi" w:eastAsia="Arial" w:hAnsiTheme="minorHAnsi" w:cstheme="minorHAnsi"/>
                <w:szCs w:val="24"/>
                <w:lang w:bidi="en-US"/>
              </w:rPr>
              <w:t xml:space="preserve"> biometric data for the purpose of uniquely identifying a natural person</w:t>
            </w:r>
          </w:p>
          <w:p w14:paraId="338478F5" w14:textId="77777777" w:rsidR="00F67E9E" w:rsidRPr="003A12B6" w:rsidRDefault="00F67E9E" w:rsidP="007F74AA">
            <w:pPr>
              <w:spacing w:after="120"/>
              <w:ind w:hanging="227"/>
              <w:rPr>
                <w:rFonts w:asciiTheme="minorHAnsi" w:eastAsia="Arial" w:hAnsiTheme="minorHAnsi" w:cstheme="minorHAnsi"/>
                <w:szCs w:val="24"/>
                <w:lang w:bidi="en-US"/>
              </w:rPr>
            </w:pPr>
            <w:r w:rsidRPr="003A12B6">
              <w:rPr>
                <w:rFonts w:asciiTheme="minorHAnsi" w:eastAsia="Arial" w:hAnsiTheme="minorHAnsi" w:cstheme="minorHAnsi"/>
                <w:szCs w:val="24"/>
                <w:lang w:bidi="en-US"/>
              </w:rPr>
              <w:fldChar w:fldCharType="begin" w:fldLock="1">
                <w:ffData>
                  <w:name w:val=""/>
                  <w:enabled/>
                  <w:calcOnExit w:val="0"/>
                  <w:checkBox>
                    <w:size w:val="16"/>
                    <w:default w:val="0"/>
                  </w:checkBox>
                </w:ffData>
              </w:fldChar>
            </w:r>
            <w:r w:rsidRPr="003A12B6">
              <w:rPr>
                <w:rFonts w:asciiTheme="minorHAnsi" w:eastAsia="Arial" w:hAnsiTheme="minorHAnsi" w:cstheme="minorHAnsi"/>
                <w:szCs w:val="24"/>
                <w:lang w:bidi="en-US"/>
              </w:rPr>
              <w:instrText xml:space="preserve"> FORMCHECKBOX </w:instrText>
            </w:r>
            <w:r w:rsidR="000D7DE5">
              <w:rPr>
                <w:rFonts w:asciiTheme="minorHAnsi" w:eastAsia="Arial" w:hAnsiTheme="minorHAnsi" w:cstheme="minorHAnsi"/>
                <w:szCs w:val="24"/>
                <w:lang w:bidi="en-US"/>
              </w:rPr>
            </w:r>
            <w:r w:rsidR="000D7DE5">
              <w:rPr>
                <w:rFonts w:asciiTheme="minorHAnsi" w:eastAsia="Arial" w:hAnsiTheme="minorHAnsi" w:cstheme="minorHAnsi"/>
                <w:szCs w:val="24"/>
                <w:lang w:bidi="en-US"/>
              </w:rPr>
              <w:fldChar w:fldCharType="separate"/>
            </w:r>
            <w:r w:rsidRPr="003A12B6">
              <w:rPr>
                <w:rFonts w:asciiTheme="minorHAnsi" w:eastAsia="Arial" w:hAnsiTheme="minorHAnsi" w:cstheme="minorHAnsi"/>
                <w:szCs w:val="24"/>
                <w:lang w:bidi="en-US"/>
              </w:rPr>
              <w:fldChar w:fldCharType="end"/>
            </w:r>
            <w:r w:rsidRPr="003A12B6">
              <w:rPr>
                <w:rFonts w:asciiTheme="minorHAnsi" w:eastAsia="Arial" w:hAnsiTheme="minorHAnsi" w:cstheme="minorHAnsi"/>
                <w:szCs w:val="24"/>
                <w:lang w:bidi="en-US"/>
              </w:rPr>
              <w:t xml:space="preserve"> physical or mental health </w:t>
            </w:r>
          </w:p>
          <w:p w14:paraId="7C2120BF" w14:textId="77777777" w:rsidR="00F67E9E" w:rsidRPr="003A12B6" w:rsidRDefault="00F67E9E" w:rsidP="007F74AA">
            <w:pPr>
              <w:spacing w:after="120"/>
              <w:ind w:hanging="227"/>
              <w:rPr>
                <w:rFonts w:asciiTheme="minorHAnsi" w:eastAsia="Arial" w:hAnsiTheme="minorHAnsi" w:cstheme="minorHAnsi"/>
                <w:szCs w:val="24"/>
                <w:lang w:bidi="en-US"/>
              </w:rPr>
            </w:pPr>
            <w:r w:rsidRPr="003A12B6">
              <w:rPr>
                <w:rFonts w:asciiTheme="minorHAnsi" w:eastAsia="Arial" w:hAnsiTheme="minorHAnsi" w:cstheme="minorHAnsi"/>
                <w:szCs w:val="24"/>
                <w:lang w:bidi="en-US"/>
              </w:rPr>
              <w:fldChar w:fldCharType="begin" w:fldLock="1">
                <w:ffData>
                  <w:name w:val=""/>
                  <w:enabled/>
                  <w:calcOnExit w:val="0"/>
                  <w:checkBox>
                    <w:size w:val="16"/>
                    <w:default w:val="0"/>
                  </w:checkBox>
                </w:ffData>
              </w:fldChar>
            </w:r>
            <w:r w:rsidRPr="003A12B6">
              <w:rPr>
                <w:rFonts w:asciiTheme="minorHAnsi" w:eastAsia="Arial" w:hAnsiTheme="minorHAnsi" w:cstheme="minorHAnsi"/>
                <w:szCs w:val="24"/>
                <w:lang w:bidi="en-US"/>
              </w:rPr>
              <w:instrText xml:space="preserve"> FORMCHECKBOX </w:instrText>
            </w:r>
            <w:r w:rsidR="000D7DE5">
              <w:rPr>
                <w:rFonts w:asciiTheme="minorHAnsi" w:eastAsia="Arial" w:hAnsiTheme="minorHAnsi" w:cstheme="minorHAnsi"/>
                <w:szCs w:val="24"/>
                <w:lang w:bidi="en-US"/>
              </w:rPr>
            </w:r>
            <w:r w:rsidR="000D7DE5">
              <w:rPr>
                <w:rFonts w:asciiTheme="minorHAnsi" w:eastAsia="Arial" w:hAnsiTheme="minorHAnsi" w:cstheme="minorHAnsi"/>
                <w:szCs w:val="24"/>
                <w:lang w:bidi="en-US"/>
              </w:rPr>
              <w:fldChar w:fldCharType="separate"/>
            </w:r>
            <w:r w:rsidRPr="003A12B6">
              <w:rPr>
                <w:rFonts w:asciiTheme="minorHAnsi" w:eastAsia="Arial" w:hAnsiTheme="minorHAnsi" w:cstheme="minorHAnsi"/>
                <w:szCs w:val="24"/>
                <w:lang w:bidi="en-US"/>
              </w:rPr>
              <w:fldChar w:fldCharType="end"/>
            </w:r>
            <w:r w:rsidRPr="003A12B6">
              <w:rPr>
                <w:rFonts w:asciiTheme="minorHAnsi" w:eastAsia="Arial" w:hAnsiTheme="minorHAnsi" w:cstheme="minorHAnsi"/>
                <w:szCs w:val="24"/>
                <w:lang w:bidi="en-US"/>
              </w:rPr>
              <w:t xml:space="preserve"> sex life or sexual orientation</w:t>
            </w:r>
          </w:p>
          <w:p w14:paraId="1DF2461C" w14:textId="77777777" w:rsidR="00F67E9E" w:rsidRPr="003A12B6" w:rsidRDefault="00F67E9E" w:rsidP="007F74AA">
            <w:pPr>
              <w:spacing w:after="120"/>
              <w:ind w:hanging="227"/>
              <w:rPr>
                <w:rFonts w:asciiTheme="minorHAnsi" w:eastAsia="Arial" w:hAnsiTheme="minorHAnsi" w:cstheme="minorHAnsi"/>
                <w:szCs w:val="24"/>
                <w:lang w:bidi="en-US"/>
              </w:rPr>
            </w:pPr>
            <w:r w:rsidRPr="003A12B6">
              <w:rPr>
                <w:rFonts w:asciiTheme="minorHAnsi" w:eastAsia="Arial" w:hAnsiTheme="minorHAnsi" w:cstheme="minorHAnsi"/>
                <w:szCs w:val="24"/>
                <w:lang w:bidi="en-US"/>
              </w:rPr>
              <w:fldChar w:fldCharType="begin" w:fldLock="1">
                <w:ffData>
                  <w:name w:val=""/>
                  <w:enabled/>
                  <w:calcOnExit w:val="0"/>
                  <w:checkBox>
                    <w:size w:val="16"/>
                    <w:default w:val="0"/>
                  </w:checkBox>
                </w:ffData>
              </w:fldChar>
            </w:r>
            <w:r w:rsidRPr="003A12B6">
              <w:rPr>
                <w:rFonts w:asciiTheme="minorHAnsi" w:eastAsia="Arial" w:hAnsiTheme="minorHAnsi" w:cstheme="minorHAnsi"/>
                <w:szCs w:val="24"/>
                <w:lang w:bidi="en-US"/>
              </w:rPr>
              <w:instrText xml:space="preserve"> FORMCHECKBOX </w:instrText>
            </w:r>
            <w:r w:rsidR="000D7DE5">
              <w:rPr>
                <w:rFonts w:asciiTheme="minorHAnsi" w:eastAsia="Arial" w:hAnsiTheme="minorHAnsi" w:cstheme="minorHAnsi"/>
                <w:szCs w:val="24"/>
                <w:lang w:bidi="en-US"/>
              </w:rPr>
            </w:r>
            <w:r w:rsidR="000D7DE5">
              <w:rPr>
                <w:rFonts w:asciiTheme="minorHAnsi" w:eastAsia="Arial" w:hAnsiTheme="minorHAnsi" w:cstheme="minorHAnsi"/>
                <w:szCs w:val="24"/>
                <w:lang w:bidi="en-US"/>
              </w:rPr>
              <w:fldChar w:fldCharType="separate"/>
            </w:r>
            <w:r w:rsidRPr="003A12B6">
              <w:rPr>
                <w:rFonts w:asciiTheme="minorHAnsi" w:eastAsia="Arial" w:hAnsiTheme="minorHAnsi" w:cstheme="minorHAnsi"/>
                <w:szCs w:val="24"/>
                <w:lang w:bidi="en-US"/>
              </w:rPr>
              <w:fldChar w:fldCharType="end"/>
            </w:r>
            <w:r w:rsidRPr="003A12B6">
              <w:rPr>
                <w:rFonts w:asciiTheme="minorHAnsi" w:eastAsia="Arial" w:hAnsiTheme="minorHAnsi" w:cstheme="minorHAnsi"/>
                <w:szCs w:val="24"/>
                <w:lang w:bidi="en-US"/>
              </w:rPr>
              <w:t xml:space="preserve"> criminal convictions and offences</w:t>
            </w:r>
          </w:p>
          <w:p w14:paraId="72786A6C" w14:textId="77777777" w:rsidR="00F67E9E" w:rsidRPr="003A12B6" w:rsidRDefault="00F67E9E" w:rsidP="007F74AA">
            <w:pPr>
              <w:spacing w:after="120"/>
              <w:ind w:hanging="227"/>
              <w:rPr>
                <w:rFonts w:asciiTheme="minorHAnsi" w:eastAsia="Arial" w:hAnsiTheme="minorHAnsi" w:cstheme="minorHAnsi"/>
                <w:szCs w:val="24"/>
                <w:lang w:bidi="en-US"/>
              </w:rPr>
            </w:pPr>
            <w:r w:rsidRPr="003A12B6">
              <w:rPr>
                <w:rFonts w:asciiTheme="minorHAnsi" w:eastAsia="Arial" w:hAnsiTheme="minorHAnsi" w:cstheme="minorHAnsi"/>
                <w:szCs w:val="24"/>
                <w:lang w:bidi="en-US"/>
              </w:rPr>
              <w:fldChar w:fldCharType="begin" w:fldLock="1">
                <w:ffData>
                  <w:name w:val=""/>
                  <w:enabled/>
                  <w:calcOnExit w:val="0"/>
                  <w:checkBox>
                    <w:size w:val="16"/>
                    <w:default w:val="0"/>
                  </w:checkBox>
                </w:ffData>
              </w:fldChar>
            </w:r>
            <w:r w:rsidRPr="003A12B6">
              <w:rPr>
                <w:rFonts w:asciiTheme="minorHAnsi" w:eastAsia="Arial" w:hAnsiTheme="minorHAnsi" w:cstheme="minorHAnsi"/>
                <w:szCs w:val="24"/>
                <w:lang w:bidi="en-US"/>
              </w:rPr>
              <w:instrText xml:space="preserve"> FORMCHECKBOX </w:instrText>
            </w:r>
            <w:r w:rsidR="000D7DE5">
              <w:rPr>
                <w:rFonts w:asciiTheme="minorHAnsi" w:eastAsia="Arial" w:hAnsiTheme="minorHAnsi" w:cstheme="minorHAnsi"/>
                <w:szCs w:val="24"/>
                <w:lang w:bidi="en-US"/>
              </w:rPr>
            </w:r>
            <w:r w:rsidR="000D7DE5">
              <w:rPr>
                <w:rFonts w:asciiTheme="minorHAnsi" w:eastAsia="Arial" w:hAnsiTheme="minorHAnsi" w:cstheme="minorHAnsi"/>
                <w:szCs w:val="24"/>
                <w:lang w:bidi="en-US"/>
              </w:rPr>
              <w:fldChar w:fldCharType="separate"/>
            </w:r>
            <w:r w:rsidRPr="003A12B6">
              <w:rPr>
                <w:rFonts w:asciiTheme="minorHAnsi" w:eastAsia="Arial" w:hAnsiTheme="minorHAnsi" w:cstheme="minorHAnsi"/>
                <w:szCs w:val="24"/>
                <w:lang w:bidi="en-US"/>
              </w:rPr>
              <w:fldChar w:fldCharType="end"/>
            </w:r>
            <w:r w:rsidRPr="003A12B6">
              <w:rPr>
                <w:rFonts w:asciiTheme="minorHAnsi" w:eastAsia="Arial" w:hAnsiTheme="minorHAnsi" w:cstheme="minorHAnsi"/>
                <w:szCs w:val="24"/>
                <w:lang w:bidi="en-US"/>
              </w:rPr>
              <w:t xml:space="preserve"> none of the above</w:t>
            </w:r>
          </w:p>
          <w:p w14:paraId="1097B1AA" w14:textId="77777777" w:rsidR="00F67E9E" w:rsidRPr="00AE092F" w:rsidRDefault="00F67E9E" w:rsidP="007F74AA">
            <w:pPr>
              <w:spacing w:after="120"/>
              <w:ind w:hanging="227"/>
              <w:rPr>
                <w:rFonts w:cs="Arial"/>
              </w:rPr>
            </w:pPr>
            <w:r w:rsidRPr="003A12B6">
              <w:rPr>
                <w:rFonts w:asciiTheme="minorHAnsi" w:eastAsia="Arial" w:hAnsiTheme="minorHAnsi" w:cstheme="minorHAnsi"/>
                <w:szCs w:val="24"/>
                <w:lang w:bidi="en-US"/>
              </w:rPr>
              <w:fldChar w:fldCharType="begin" w:fldLock="1">
                <w:ffData>
                  <w:name w:val=""/>
                  <w:enabled/>
                  <w:calcOnExit w:val="0"/>
                  <w:checkBox>
                    <w:size w:val="16"/>
                    <w:default w:val="0"/>
                  </w:checkBox>
                </w:ffData>
              </w:fldChar>
            </w:r>
            <w:r w:rsidRPr="003A12B6">
              <w:rPr>
                <w:rFonts w:asciiTheme="minorHAnsi" w:eastAsia="Arial" w:hAnsiTheme="minorHAnsi" w:cstheme="minorHAnsi"/>
                <w:szCs w:val="24"/>
                <w:lang w:bidi="en-US"/>
              </w:rPr>
              <w:instrText xml:space="preserve"> FORMCHECKBOX </w:instrText>
            </w:r>
            <w:r w:rsidR="000D7DE5">
              <w:rPr>
                <w:rFonts w:asciiTheme="minorHAnsi" w:eastAsia="Arial" w:hAnsiTheme="minorHAnsi" w:cstheme="minorHAnsi"/>
                <w:szCs w:val="24"/>
                <w:lang w:bidi="en-US"/>
              </w:rPr>
            </w:r>
            <w:r w:rsidR="000D7DE5">
              <w:rPr>
                <w:rFonts w:asciiTheme="minorHAnsi" w:eastAsia="Arial" w:hAnsiTheme="minorHAnsi" w:cstheme="minorHAnsi"/>
                <w:szCs w:val="24"/>
                <w:lang w:bidi="en-US"/>
              </w:rPr>
              <w:fldChar w:fldCharType="separate"/>
            </w:r>
            <w:r w:rsidRPr="003A12B6">
              <w:rPr>
                <w:rFonts w:asciiTheme="minorHAnsi" w:eastAsia="Arial" w:hAnsiTheme="minorHAnsi" w:cstheme="minorHAnsi"/>
                <w:szCs w:val="24"/>
                <w:lang w:bidi="en-US"/>
              </w:rPr>
              <w:fldChar w:fldCharType="end"/>
            </w:r>
            <w:r w:rsidRPr="003A12B6">
              <w:rPr>
                <w:rFonts w:asciiTheme="minorHAnsi" w:eastAsia="Arial" w:hAnsiTheme="minorHAnsi" w:cstheme="minorHAnsi"/>
                <w:szCs w:val="24"/>
                <w:lang w:bidi="en-US"/>
              </w:rPr>
              <w:t xml:space="preserve"> set out in:</w:t>
            </w:r>
            <w:r>
              <w:rPr>
                <w:rFonts w:asciiTheme="minorHAnsi" w:eastAsia="Arial" w:hAnsiTheme="minorHAnsi" w:cstheme="minorHAnsi"/>
                <w:szCs w:val="24"/>
                <w:lang w:bidi="en-US"/>
              </w:rPr>
              <w:t xml:space="preserve"> </w:t>
            </w:r>
            <w:r w:rsidRPr="003A12B6">
              <w:rPr>
                <w:rFonts w:asciiTheme="minorHAnsi" w:eastAsia="Arial" w:hAnsiTheme="minorHAnsi" w:cstheme="minorHAnsi"/>
                <w:szCs w:val="24"/>
                <w:lang w:bidi="en-US"/>
              </w:rPr>
              <w:fldChar w:fldCharType="begin">
                <w:ffData>
                  <w:name w:val=""/>
                  <w:enabled/>
                  <w:calcOnExit w:val="0"/>
                  <w:textInput/>
                </w:ffData>
              </w:fldChar>
            </w:r>
            <w:r w:rsidRPr="003A12B6">
              <w:rPr>
                <w:rFonts w:asciiTheme="minorHAnsi" w:eastAsia="Arial" w:hAnsiTheme="minorHAnsi" w:cstheme="minorHAnsi"/>
                <w:szCs w:val="24"/>
                <w:lang w:bidi="en-US"/>
              </w:rPr>
              <w:instrText xml:space="preserve"> FORMTEXT </w:instrText>
            </w:r>
            <w:r w:rsidRPr="003A12B6">
              <w:rPr>
                <w:rFonts w:asciiTheme="minorHAnsi" w:eastAsia="Arial" w:hAnsiTheme="minorHAnsi" w:cstheme="minorHAnsi"/>
                <w:szCs w:val="24"/>
                <w:lang w:bidi="en-US"/>
              </w:rPr>
            </w:r>
            <w:r w:rsidRPr="003A12B6">
              <w:rPr>
                <w:rFonts w:asciiTheme="minorHAnsi" w:eastAsia="Arial" w:hAnsiTheme="minorHAnsi" w:cstheme="minorHAnsi"/>
                <w:szCs w:val="24"/>
                <w:lang w:bidi="en-US"/>
              </w:rPr>
              <w:fldChar w:fldCharType="separate"/>
            </w:r>
            <w:r>
              <w:rPr>
                <w:rFonts w:asciiTheme="minorHAnsi" w:eastAsia="Arial" w:hAnsiTheme="minorHAnsi" w:cstheme="minorHAnsi"/>
                <w:noProof/>
                <w:szCs w:val="24"/>
                <w:lang w:bidi="en-US"/>
              </w:rPr>
              <w:t> </w:t>
            </w:r>
            <w:r>
              <w:rPr>
                <w:rFonts w:asciiTheme="minorHAnsi" w:eastAsia="Arial" w:hAnsiTheme="minorHAnsi" w:cstheme="minorHAnsi"/>
                <w:noProof/>
                <w:szCs w:val="24"/>
                <w:lang w:bidi="en-US"/>
              </w:rPr>
              <w:t> </w:t>
            </w:r>
            <w:r>
              <w:rPr>
                <w:rFonts w:asciiTheme="minorHAnsi" w:eastAsia="Arial" w:hAnsiTheme="minorHAnsi" w:cstheme="minorHAnsi"/>
                <w:noProof/>
                <w:szCs w:val="24"/>
                <w:lang w:bidi="en-US"/>
              </w:rPr>
              <w:t> </w:t>
            </w:r>
            <w:r>
              <w:rPr>
                <w:rFonts w:asciiTheme="minorHAnsi" w:eastAsia="Arial" w:hAnsiTheme="minorHAnsi" w:cstheme="minorHAnsi"/>
                <w:noProof/>
                <w:szCs w:val="24"/>
                <w:lang w:bidi="en-US"/>
              </w:rPr>
              <w:t> </w:t>
            </w:r>
            <w:r>
              <w:rPr>
                <w:rFonts w:asciiTheme="minorHAnsi" w:eastAsia="Arial" w:hAnsiTheme="minorHAnsi" w:cstheme="minorHAnsi"/>
                <w:noProof/>
                <w:szCs w:val="24"/>
                <w:lang w:bidi="en-US"/>
              </w:rPr>
              <w:t> </w:t>
            </w:r>
            <w:r w:rsidRPr="003A12B6">
              <w:rPr>
                <w:rFonts w:asciiTheme="minorHAnsi" w:eastAsia="Arial" w:hAnsiTheme="minorHAnsi" w:cstheme="minorHAnsi"/>
                <w:szCs w:val="24"/>
                <w:lang w:bidi="en-US"/>
              </w:rPr>
              <w:fldChar w:fldCharType="end"/>
            </w:r>
          </w:p>
          <w:p w14:paraId="26878720" w14:textId="77777777" w:rsidR="00F67E9E" w:rsidRPr="00AE092F" w:rsidRDefault="00F67E9E" w:rsidP="007F74AA">
            <w:pPr>
              <w:keepNext/>
              <w:spacing w:after="120"/>
              <w:rPr>
                <w:rFonts w:cs="Arial"/>
              </w:rPr>
            </w:pPr>
            <w:r w:rsidRPr="00AE092F">
              <w:rPr>
                <w:rFonts w:cs="Arial"/>
              </w:rPr>
              <w:t>And:</w:t>
            </w:r>
          </w:p>
          <w:p w14:paraId="38578B3A" w14:textId="77777777" w:rsidR="00F67E9E" w:rsidRPr="003A12B6" w:rsidRDefault="00F67E9E" w:rsidP="007F74AA">
            <w:pPr>
              <w:spacing w:after="120"/>
              <w:ind w:hanging="227"/>
              <w:rPr>
                <w:rFonts w:asciiTheme="minorHAnsi" w:eastAsia="Arial" w:hAnsiTheme="minorHAnsi" w:cstheme="minorHAnsi"/>
                <w:szCs w:val="24"/>
                <w:lang w:bidi="en-US"/>
              </w:rPr>
            </w:pPr>
            <w:r w:rsidRPr="00AE092F">
              <w:rPr>
                <w:rFonts w:cs="Arial"/>
              </w:rPr>
              <w:fldChar w:fldCharType="begin" w:fldLock="1">
                <w:ffData>
                  <w:name w:val=""/>
                  <w:enabled/>
                  <w:calcOnExit w:val="0"/>
                  <w:checkBox>
                    <w:size w:val="16"/>
                    <w:default w:val="0"/>
                  </w:checkBox>
                </w:ffData>
              </w:fldChar>
            </w:r>
            <w:r w:rsidRPr="00AE092F">
              <w:rPr>
                <w:rFonts w:cs="Arial"/>
              </w:rPr>
              <w:instrText xml:space="preserve"> FORMCHECKBOX </w:instrText>
            </w:r>
            <w:r w:rsidR="000D7DE5">
              <w:rPr>
                <w:rFonts w:cs="Arial"/>
              </w:rPr>
            </w:r>
            <w:r w:rsidR="000D7DE5">
              <w:rPr>
                <w:rFonts w:cs="Arial"/>
              </w:rPr>
              <w:fldChar w:fldCharType="separate"/>
            </w:r>
            <w:r w:rsidRPr="00AE092F">
              <w:rPr>
                <w:rFonts w:cs="Arial"/>
              </w:rPr>
              <w:fldChar w:fldCharType="end"/>
            </w:r>
            <w:r w:rsidRPr="00AE092F">
              <w:rPr>
                <w:rFonts w:cs="Arial"/>
              </w:rPr>
              <w:t xml:space="preserve"> The categories of special category and criminal records data will update automa</w:t>
            </w:r>
            <w:r w:rsidRPr="003A12B6">
              <w:rPr>
                <w:rFonts w:asciiTheme="minorHAnsi" w:eastAsia="Arial" w:hAnsiTheme="minorHAnsi" w:cstheme="minorHAnsi"/>
                <w:szCs w:val="24"/>
                <w:lang w:bidi="en-US"/>
              </w:rPr>
              <w:t xml:space="preserve">tically if the information is updated in the Linked Agreement referred to. </w:t>
            </w:r>
          </w:p>
          <w:p w14:paraId="1184F72E" w14:textId="644FA8D0" w:rsidR="00F67E9E" w:rsidRPr="00AE092F" w:rsidRDefault="00F67E9E" w:rsidP="007F74AA">
            <w:pPr>
              <w:ind w:hanging="227"/>
              <w:rPr>
                <w:rFonts w:cs="Arial"/>
              </w:rPr>
            </w:pPr>
            <w:r w:rsidRPr="003A12B6">
              <w:rPr>
                <w:rFonts w:asciiTheme="minorHAnsi" w:eastAsia="Arial" w:hAnsiTheme="minorHAnsi" w:cstheme="minorHAnsi"/>
                <w:szCs w:val="24"/>
                <w:lang w:bidi="en-US"/>
              </w:rPr>
              <w:fldChar w:fldCharType="begin" w:fldLock="1">
                <w:ffData>
                  <w:name w:val=""/>
                  <w:enabled/>
                  <w:calcOnExit w:val="0"/>
                  <w:checkBox>
                    <w:size w:val="16"/>
                    <w:default w:val="0"/>
                  </w:checkBox>
                </w:ffData>
              </w:fldChar>
            </w:r>
            <w:r w:rsidRPr="003A12B6">
              <w:rPr>
                <w:rFonts w:asciiTheme="minorHAnsi" w:eastAsia="Arial" w:hAnsiTheme="minorHAnsi" w:cstheme="minorHAnsi"/>
                <w:szCs w:val="24"/>
                <w:lang w:bidi="en-US"/>
              </w:rPr>
              <w:instrText xml:space="preserve"> FORMCHECKBOX </w:instrText>
            </w:r>
            <w:r w:rsidR="000D7DE5">
              <w:rPr>
                <w:rFonts w:asciiTheme="minorHAnsi" w:eastAsia="Arial" w:hAnsiTheme="minorHAnsi" w:cstheme="minorHAnsi"/>
                <w:szCs w:val="24"/>
                <w:lang w:bidi="en-US"/>
              </w:rPr>
            </w:r>
            <w:r w:rsidR="000D7DE5">
              <w:rPr>
                <w:rFonts w:asciiTheme="minorHAnsi" w:eastAsia="Arial" w:hAnsiTheme="minorHAnsi" w:cstheme="minorHAnsi"/>
                <w:szCs w:val="24"/>
                <w:lang w:bidi="en-US"/>
              </w:rPr>
              <w:fldChar w:fldCharType="separate"/>
            </w:r>
            <w:r w:rsidRPr="003A12B6">
              <w:rPr>
                <w:rFonts w:asciiTheme="minorHAnsi" w:eastAsia="Arial" w:hAnsiTheme="minorHAnsi" w:cstheme="minorHAnsi"/>
                <w:szCs w:val="24"/>
                <w:lang w:bidi="en-US"/>
              </w:rPr>
              <w:fldChar w:fldCharType="end"/>
            </w:r>
            <w:r w:rsidRPr="003A12B6">
              <w:rPr>
                <w:rFonts w:asciiTheme="minorHAnsi" w:eastAsia="Arial" w:hAnsiTheme="minorHAnsi" w:cstheme="minorHAnsi"/>
                <w:szCs w:val="24"/>
                <w:lang w:bidi="en-US"/>
              </w:rPr>
              <w:t xml:space="preserve"> The categories of special category and criminal records data will NOT update automatically if the information is updated in the Linked </w:t>
            </w:r>
            <w:r w:rsidRPr="003A12B6">
              <w:rPr>
                <w:rFonts w:cs="Arial"/>
                <w:szCs w:val="24"/>
              </w:rPr>
              <w:t>Agreement</w:t>
            </w:r>
            <w:r w:rsidRPr="003A12B6">
              <w:rPr>
                <w:rFonts w:asciiTheme="minorHAnsi" w:eastAsia="Arial" w:hAnsiTheme="minorHAnsi" w:cstheme="minorHAnsi"/>
                <w:szCs w:val="24"/>
                <w:lang w:bidi="en-US"/>
              </w:rPr>
              <w:t xml:space="preserve"> refe</w:t>
            </w:r>
            <w:r w:rsidRPr="00AE092F">
              <w:rPr>
                <w:rFonts w:cs="Arial"/>
              </w:rPr>
              <w:t xml:space="preserve">rred to. The Parties must agree a change under Section </w:t>
            </w:r>
            <w:r w:rsidRPr="00AE092F">
              <w:rPr>
                <w:rFonts w:cs="Arial"/>
              </w:rPr>
              <w:fldChar w:fldCharType="begin"/>
            </w:r>
            <w:r w:rsidRPr="00AE092F">
              <w:rPr>
                <w:rFonts w:cs="Arial"/>
              </w:rPr>
              <w:instrText xml:space="preserve"> REF _Ref92477298 \r \h  \* MERGEFORMAT </w:instrText>
            </w:r>
            <w:r w:rsidRPr="00AE092F">
              <w:rPr>
                <w:rFonts w:cs="Arial"/>
              </w:rPr>
            </w:r>
            <w:r w:rsidRPr="00AE092F">
              <w:rPr>
                <w:rFonts w:cs="Arial"/>
              </w:rPr>
              <w:fldChar w:fldCharType="separate"/>
            </w:r>
            <w:r w:rsidR="00302D39">
              <w:rPr>
                <w:rFonts w:cs="Arial"/>
              </w:rPr>
              <w:t>5.3</w:t>
            </w:r>
            <w:r w:rsidRPr="00AE092F">
              <w:rPr>
                <w:rFonts w:cs="Arial"/>
              </w:rPr>
              <w:fldChar w:fldCharType="end"/>
            </w:r>
            <w:r w:rsidRPr="00AE092F">
              <w:rPr>
                <w:rFonts w:cs="Arial"/>
              </w:rPr>
              <w:t>.</w:t>
            </w:r>
          </w:p>
        </w:tc>
      </w:tr>
      <w:tr w:rsidR="00F67E9E" w:rsidRPr="00AE092F" w14:paraId="19AA8942" w14:textId="77777777" w:rsidTr="007F74AA">
        <w:tc>
          <w:tcPr>
            <w:tcW w:w="1176" w:type="pct"/>
            <w:shd w:val="clear" w:color="auto" w:fill="F0F0F0"/>
          </w:tcPr>
          <w:p w14:paraId="10ADF127" w14:textId="77777777" w:rsidR="00F67E9E" w:rsidRPr="003A12B6" w:rsidRDefault="00F67E9E" w:rsidP="007F74AA">
            <w:pPr>
              <w:rPr>
                <w:rFonts w:asciiTheme="minorHAnsi" w:eastAsia="Arial" w:hAnsiTheme="minorHAnsi" w:cstheme="minorHAnsi"/>
                <w:b/>
                <w:bCs/>
                <w:szCs w:val="24"/>
                <w:lang w:bidi="en-US"/>
              </w:rPr>
            </w:pPr>
            <w:r w:rsidRPr="003A12B6">
              <w:rPr>
                <w:rFonts w:asciiTheme="minorHAnsi" w:eastAsia="Arial" w:hAnsiTheme="minorHAnsi" w:cstheme="minorHAnsi"/>
                <w:b/>
                <w:bCs/>
                <w:szCs w:val="24"/>
                <w:lang w:bidi="en-US"/>
              </w:rPr>
              <w:t>Relevant Data Subjects</w:t>
            </w:r>
          </w:p>
        </w:tc>
        <w:tc>
          <w:tcPr>
            <w:tcW w:w="3824" w:type="pct"/>
          </w:tcPr>
          <w:p w14:paraId="7C092275" w14:textId="77777777" w:rsidR="00F67E9E" w:rsidRPr="00AE092F" w:rsidRDefault="00F67E9E" w:rsidP="007F74AA">
            <w:pPr>
              <w:spacing w:after="120"/>
              <w:rPr>
                <w:rFonts w:cs="Arial"/>
              </w:rPr>
            </w:pPr>
            <w:r w:rsidRPr="00AE092F">
              <w:rPr>
                <w:rFonts w:cs="Arial"/>
              </w:rPr>
              <w:t>The Data Subjects of the Transferred Data are:</w:t>
            </w:r>
          </w:p>
          <w:p w14:paraId="057BD2AD" w14:textId="77777777" w:rsidR="00F67E9E" w:rsidRPr="003A12B6" w:rsidRDefault="00F67E9E" w:rsidP="007F74AA">
            <w:pPr>
              <w:spacing w:after="120"/>
              <w:ind w:hanging="227"/>
              <w:rPr>
                <w:rFonts w:asciiTheme="minorHAnsi" w:eastAsia="Arial" w:hAnsiTheme="minorHAnsi" w:cstheme="minorHAnsi"/>
                <w:szCs w:val="24"/>
                <w:lang w:bidi="en-US"/>
              </w:rPr>
            </w:pPr>
            <w:r w:rsidRPr="00AE092F">
              <w:rPr>
                <w:rFonts w:cs="Arial"/>
              </w:rPr>
              <w:fldChar w:fldCharType="begin" w:fldLock="1">
                <w:ffData>
                  <w:name w:val=""/>
                  <w:enabled/>
                  <w:calcOnExit w:val="0"/>
                  <w:checkBox>
                    <w:size w:val="16"/>
                    <w:default w:val="0"/>
                  </w:checkBox>
                </w:ffData>
              </w:fldChar>
            </w:r>
            <w:r w:rsidRPr="00AE092F">
              <w:rPr>
                <w:rFonts w:cs="Arial"/>
              </w:rPr>
              <w:instrText xml:space="preserve"> FORMCHECKBOX </w:instrText>
            </w:r>
            <w:r w:rsidR="000D7DE5">
              <w:rPr>
                <w:rFonts w:cs="Arial"/>
              </w:rPr>
            </w:r>
            <w:r w:rsidR="000D7DE5">
              <w:rPr>
                <w:rFonts w:cs="Arial"/>
              </w:rPr>
              <w:fldChar w:fldCharType="separate"/>
            </w:r>
            <w:r w:rsidRPr="00AE092F">
              <w:rPr>
                <w:rFonts w:cs="Arial"/>
              </w:rPr>
              <w:fldChar w:fldCharType="end"/>
            </w:r>
            <w:r w:rsidRPr="00AE092F">
              <w:rPr>
                <w:rFonts w:cs="Arial"/>
              </w:rPr>
              <w:t xml:space="preserve"> The categories of Data Subjects will update automatically if the information is up</w:t>
            </w:r>
            <w:r w:rsidRPr="003A12B6">
              <w:rPr>
                <w:rFonts w:asciiTheme="minorHAnsi" w:eastAsia="Arial" w:hAnsiTheme="minorHAnsi" w:cstheme="minorHAnsi"/>
                <w:szCs w:val="24"/>
                <w:lang w:bidi="en-US"/>
              </w:rPr>
              <w:t xml:space="preserve">dated in the Linked Agreement referred to. </w:t>
            </w:r>
          </w:p>
          <w:p w14:paraId="7A4DE72C" w14:textId="6E0327B9" w:rsidR="00F67E9E" w:rsidRPr="00AE092F" w:rsidRDefault="00F67E9E" w:rsidP="007F74AA">
            <w:pPr>
              <w:ind w:hanging="227"/>
              <w:rPr>
                <w:rFonts w:cs="Arial"/>
              </w:rPr>
            </w:pPr>
            <w:r w:rsidRPr="003A12B6">
              <w:rPr>
                <w:rFonts w:asciiTheme="minorHAnsi" w:eastAsia="Arial" w:hAnsiTheme="minorHAnsi" w:cstheme="minorHAnsi"/>
                <w:szCs w:val="24"/>
                <w:lang w:bidi="en-US"/>
              </w:rPr>
              <w:fldChar w:fldCharType="begin" w:fldLock="1">
                <w:ffData>
                  <w:name w:val=""/>
                  <w:enabled/>
                  <w:calcOnExit w:val="0"/>
                  <w:checkBox>
                    <w:size w:val="16"/>
                    <w:default w:val="0"/>
                  </w:checkBox>
                </w:ffData>
              </w:fldChar>
            </w:r>
            <w:r w:rsidRPr="003A12B6">
              <w:rPr>
                <w:rFonts w:asciiTheme="minorHAnsi" w:eastAsia="Arial" w:hAnsiTheme="minorHAnsi" w:cstheme="minorHAnsi"/>
                <w:szCs w:val="24"/>
                <w:lang w:bidi="en-US"/>
              </w:rPr>
              <w:instrText xml:space="preserve"> FORMCHECKBOX </w:instrText>
            </w:r>
            <w:r w:rsidR="000D7DE5">
              <w:rPr>
                <w:rFonts w:asciiTheme="minorHAnsi" w:eastAsia="Arial" w:hAnsiTheme="minorHAnsi" w:cstheme="minorHAnsi"/>
                <w:szCs w:val="24"/>
                <w:lang w:bidi="en-US"/>
              </w:rPr>
            </w:r>
            <w:r w:rsidR="000D7DE5">
              <w:rPr>
                <w:rFonts w:asciiTheme="minorHAnsi" w:eastAsia="Arial" w:hAnsiTheme="minorHAnsi" w:cstheme="minorHAnsi"/>
                <w:szCs w:val="24"/>
                <w:lang w:bidi="en-US"/>
              </w:rPr>
              <w:fldChar w:fldCharType="separate"/>
            </w:r>
            <w:r w:rsidRPr="003A12B6">
              <w:rPr>
                <w:rFonts w:asciiTheme="minorHAnsi" w:eastAsia="Arial" w:hAnsiTheme="minorHAnsi" w:cstheme="minorHAnsi"/>
                <w:szCs w:val="24"/>
                <w:lang w:bidi="en-US"/>
              </w:rPr>
              <w:fldChar w:fldCharType="end"/>
            </w:r>
            <w:r w:rsidRPr="003A12B6">
              <w:rPr>
                <w:rFonts w:asciiTheme="minorHAnsi" w:eastAsia="Arial" w:hAnsiTheme="minorHAnsi" w:cstheme="minorHAnsi"/>
                <w:szCs w:val="24"/>
                <w:lang w:bidi="en-US"/>
              </w:rPr>
              <w:t xml:space="preserve"> The categories of Data Subjects will not update automatically if the </w:t>
            </w:r>
            <w:r w:rsidRPr="003A12B6">
              <w:rPr>
                <w:rFonts w:cs="Arial"/>
                <w:szCs w:val="24"/>
              </w:rPr>
              <w:t>information</w:t>
            </w:r>
            <w:r w:rsidRPr="003A12B6">
              <w:rPr>
                <w:rFonts w:asciiTheme="minorHAnsi" w:eastAsia="Arial" w:hAnsiTheme="minorHAnsi" w:cstheme="minorHAnsi"/>
                <w:szCs w:val="24"/>
                <w:lang w:bidi="en-US"/>
              </w:rPr>
              <w:t xml:space="preserve"> is up</w:t>
            </w:r>
            <w:r w:rsidRPr="00AE092F">
              <w:rPr>
                <w:rFonts w:cs="Arial"/>
              </w:rPr>
              <w:t xml:space="preserve">dated in the Linked Agreement referred to. The Parties must agree a change under Section </w:t>
            </w:r>
            <w:r w:rsidRPr="00AE092F">
              <w:rPr>
                <w:rFonts w:cs="Arial"/>
              </w:rPr>
              <w:fldChar w:fldCharType="begin"/>
            </w:r>
            <w:r w:rsidRPr="00AE092F">
              <w:rPr>
                <w:rFonts w:cs="Arial"/>
              </w:rPr>
              <w:instrText xml:space="preserve"> REF _Ref92477298 \r \h  \* MERGEFORMAT </w:instrText>
            </w:r>
            <w:r w:rsidRPr="00AE092F">
              <w:rPr>
                <w:rFonts w:cs="Arial"/>
              </w:rPr>
            </w:r>
            <w:r w:rsidRPr="00AE092F">
              <w:rPr>
                <w:rFonts w:cs="Arial"/>
              </w:rPr>
              <w:fldChar w:fldCharType="separate"/>
            </w:r>
            <w:r w:rsidR="00302D39">
              <w:rPr>
                <w:rFonts w:cs="Arial"/>
              </w:rPr>
              <w:t>5.3</w:t>
            </w:r>
            <w:r w:rsidRPr="00AE092F">
              <w:rPr>
                <w:rFonts w:cs="Arial"/>
              </w:rPr>
              <w:fldChar w:fldCharType="end"/>
            </w:r>
            <w:r w:rsidRPr="00AE092F">
              <w:rPr>
                <w:rFonts w:cs="Arial"/>
              </w:rPr>
              <w:t>.</w:t>
            </w:r>
          </w:p>
        </w:tc>
      </w:tr>
      <w:tr w:rsidR="00F67E9E" w:rsidRPr="00AE092F" w14:paraId="1B5E771E" w14:textId="77777777" w:rsidTr="007F74AA">
        <w:tc>
          <w:tcPr>
            <w:tcW w:w="1176" w:type="pct"/>
            <w:shd w:val="clear" w:color="auto" w:fill="F0F0F0"/>
          </w:tcPr>
          <w:p w14:paraId="3E606FA2" w14:textId="77777777" w:rsidR="00F67E9E" w:rsidRPr="003A12B6" w:rsidRDefault="00F67E9E" w:rsidP="007F74AA">
            <w:pPr>
              <w:rPr>
                <w:rFonts w:asciiTheme="minorHAnsi" w:eastAsia="Arial" w:hAnsiTheme="minorHAnsi" w:cstheme="minorHAnsi"/>
                <w:b/>
                <w:bCs/>
                <w:szCs w:val="24"/>
                <w:lang w:bidi="en-US"/>
              </w:rPr>
            </w:pPr>
            <w:r w:rsidRPr="003A12B6">
              <w:rPr>
                <w:rFonts w:asciiTheme="minorHAnsi" w:eastAsia="Arial" w:hAnsiTheme="minorHAnsi" w:cstheme="minorHAnsi"/>
                <w:b/>
                <w:bCs/>
                <w:szCs w:val="24"/>
                <w:lang w:bidi="en-US"/>
              </w:rPr>
              <w:t>Purpose</w:t>
            </w:r>
          </w:p>
        </w:tc>
        <w:tc>
          <w:tcPr>
            <w:tcW w:w="3824" w:type="pct"/>
          </w:tcPr>
          <w:p w14:paraId="14A77EB5" w14:textId="77777777" w:rsidR="00F67E9E" w:rsidRPr="003A12B6" w:rsidRDefault="00F67E9E" w:rsidP="007F74AA">
            <w:pPr>
              <w:spacing w:after="120"/>
              <w:ind w:hanging="227"/>
              <w:rPr>
                <w:rFonts w:asciiTheme="minorHAnsi" w:eastAsia="Arial" w:hAnsiTheme="minorHAnsi" w:cstheme="minorHAnsi"/>
                <w:szCs w:val="24"/>
                <w:lang w:bidi="en-US"/>
              </w:rPr>
            </w:pPr>
            <w:r w:rsidRPr="00AE092F">
              <w:rPr>
                <w:rFonts w:cs="Arial"/>
              </w:rPr>
              <w:fldChar w:fldCharType="begin" w:fldLock="1">
                <w:ffData>
                  <w:name w:val=""/>
                  <w:enabled/>
                  <w:calcOnExit w:val="0"/>
                  <w:checkBox>
                    <w:size w:val="16"/>
                    <w:default w:val="0"/>
                  </w:checkBox>
                </w:ffData>
              </w:fldChar>
            </w:r>
            <w:r w:rsidRPr="00AE092F">
              <w:rPr>
                <w:rFonts w:cs="Arial"/>
              </w:rPr>
              <w:instrText xml:space="preserve"> FORMCHECKBOX </w:instrText>
            </w:r>
            <w:r w:rsidR="000D7DE5">
              <w:rPr>
                <w:rFonts w:cs="Arial"/>
              </w:rPr>
            </w:r>
            <w:r w:rsidR="000D7DE5">
              <w:rPr>
                <w:rFonts w:cs="Arial"/>
              </w:rPr>
              <w:fldChar w:fldCharType="separate"/>
            </w:r>
            <w:r w:rsidRPr="00AE092F">
              <w:rPr>
                <w:rFonts w:cs="Arial"/>
              </w:rPr>
              <w:fldChar w:fldCharType="end"/>
            </w:r>
            <w:r w:rsidRPr="00AE092F">
              <w:rPr>
                <w:rFonts w:cs="Arial"/>
              </w:rPr>
              <w:t xml:space="preserve"> The Importer may Process the Transferred Data for the following purpos</w:t>
            </w:r>
            <w:r w:rsidRPr="003A12B6">
              <w:rPr>
                <w:rFonts w:asciiTheme="minorHAnsi" w:eastAsia="Arial" w:hAnsiTheme="minorHAnsi" w:cstheme="minorHAnsi"/>
                <w:szCs w:val="24"/>
                <w:lang w:bidi="en-US"/>
              </w:rPr>
              <w:t>es:</w:t>
            </w:r>
          </w:p>
          <w:p w14:paraId="78B4ABF5" w14:textId="77777777" w:rsidR="00F67E9E" w:rsidRPr="003A12B6" w:rsidRDefault="00F67E9E" w:rsidP="007F74AA">
            <w:pPr>
              <w:spacing w:after="120"/>
              <w:ind w:hanging="227"/>
              <w:rPr>
                <w:rFonts w:asciiTheme="minorHAnsi" w:eastAsia="Arial" w:hAnsiTheme="minorHAnsi" w:cstheme="minorHAnsi"/>
                <w:szCs w:val="24"/>
                <w:lang w:bidi="en-US"/>
              </w:rPr>
            </w:pPr>
            <w:r w:rsidRPr="003A12B6">
              <w:rPr>
                <w:rFonts w:asciiTheme="minorHAnsi" w:eastAsia="Arial" w:hAnsiTheme="minorHAnsi" w:cstheme="minorHAnsi"/>
                <w:szCs w:val="24"/>
                <w:lang w:bidi="en-US"/>
              </w:rPr>
              <w:fldChar w:fldCharType="begin" w:fldLock="1">
                <w:ffData>
                  <w:name w:val=""/>
                  <w:enabled/>
                  <w:calcOnExit w:val="0"/>
                  <w:checkBox>
                    <w:size w:val="16"/>
                    <w:default w:val="0"/>
                  </w:checkBox>
                </w:ffData>
              </w:fldChar>
            </w:r>
            <w:r w:rsidRPr="003A12B6">
              <w:rPr>
                <w:rFonts w:asciiTheme="minorHAnsi" w:eastAsia="Arial" w:hAnsiTheme="minorHAnsi" w:cstheme="minorHAnsi"/>
                <w:szCs w:val="24"/>
                <w:lang w:bidi="en-US"/>
              </w:rPr>
              <w:instrText xml:space="preserve"> FORMCHECKBOX </w:instrText>
            </w:r>
            <w:r w:rsidR="000D7DE5">
              <w:rPr>
                <w:rFonts w:asciiTheme="minorHAnsi" w:eastAsia="Arial" w:hAnsiTheme="minorHAnsi" w:cstheme="minorHAnsi"/>
                <w:szCs w:val="24"/>
                <w:lang w:bidi="en-US"/>
              </w:rPr>
            </w:r>
            <w:r w:rsidR="000D7DE5">
              <w:rPr>
                <w:rFonts w:asciiTheme="minorHAnsi" w:eastAsia="Arial" w:hAnsiTheme="minorHAnsi" w:cstheme="minorHAnsi"/>
                <w:szCs w:val="24"/>
                <w:lang w:bidi="en-US"/>
              </w:rPr>
              <w:fldChar w:fldCharType="separate"/>
            </w:r>
            <w:r w:rsidRPr="003A12B6">
              <w:rPr>
                <w:rFonts w:asciiTheme="minorHAnsi" w:eastAsia="Arial" w:hAnsiTheme="minorHAnsi" w:cstheme="minorHAnsi"/>
                <w:szCs w:val="24"/>
                <w:lang w:bidi="en-US"/>
              </w:rPr>
              <w:fldChar w:fldCharType="end"/>
            </w:r>
            <w:r w:rsidRPr="003A12B6">
              <w:rPr>
                <w:rFonts w:asciiTheme="minorHAnsi" w:eastAsia="Arial" w:hAnsiTheme="minorHAnsi" w:cstheme="minorHAnsi"/>
                <w:szCs w:val="24"/>
                <w:lang w:bidi="en-US"/>
              </w:rPr>
              <w:t xml:space="preserve"> The Importer may Process the Transferred Data for the purposes set out in:</w:t>
            </w:r>
          </w:p>
          <w:p w14:paraId="4635DDC6" w14:textId="77777777" w:rsidR="00F67E9E" w:rsidRPr="00AE092F" w:rsidRDefault="00F67E9E" w:rsidP="007F74AA">
            <w:pPr>
              <w:spacing w:after="120"/>
              <w:rPr>
                <w:rFonts w:cs="Arial"/>
              </w:rPr>
            </w:pPr>
            <w:r w:rsidRPr="00AE092F">
              <w:rPr>
                <w:rFonts w:cs="Arial"/>
              </w:rPr>
              <w:t>In both cases, any other purposes which are compatible with the purposes set out above.</w:t>
            </w:r>
          </w:p>
          <w:p w14:paraId="1B89D3DE" w14:textId="77777777" w:rsidR="00F67E9E" w:rsidRPr="003A12B6" w:rsidRDefault="00F67E9E" w:rsidP="007F74AA">
            <w:pPr>
              <w:spacing w:after="120"/>
              <w:ind w:hanging="227"/>
              <w:rPr>
                <w:rFonts w:asciiTheme="minorHAnsi" w:eastAsia="Arial" w:hAnsiTheme="minorHAnsi" w:cstheme="minorHAnsi"/>
                <w:szCs w:val="24"/>
                <w:lang w:bidi="en-US"/>
              </w:rPr>
            </w:pPr>
            <w:r w:rsidRPr="00AE092F">
              <w:rPr>
                <w:rFonts w:cs="Arial"/>
              </w:rPr>
              <w:fldChar w:fldCharType="begin" w:fldLock="1">
                <w:ffData>
                  <w:name w:val=""/>
                  <w:enabled/>
                  <w:calcOnExit w:val="0"/>
                  <w:checkBox>
                    <w:size w:val="16"/>
                    <w:default w:val="0"/>
                  </w:checkBox>
                </w:ffData>
              </w:fldChar>
            </w:r>
            <w:r w:rsidRPr="00AE092F">
              <w:rPr>
                <w:rFonts w:cs="Arial"/>
              </w:rPr>
              <w:instrText xml:space="preserve"> FORMCHECKBOX </w:instrText>
            </w:r>
            <w:r w:rsidR="000D7DE5">
              <w:rPr>
                <w:rFonts w:cs="Arial"/>
              </w:rPr>
            </w:r>
            <w:r w:rsidR="000D7DE5">
              <w:rPr>
                <w:rFonts w:cs="Arial"/>
              </w:rPr>
              <w:fldChar w:fldCharType="separate"/>
            </w:r>
            <w:r w:rsidRPr="00AE092F">
              <w:rPr>
                <w:rFonts w:cs="Arial"/>
              </w:rPr>
              <w:fldChar w:fldCharType="end"/>
            </w:r>
            <w:r w:rsidRPr="00AE092F">
              <w:rPr>
                <w:rFonts w:cs="Arial"/>
              </w:rPr>
              <w:t xml:space="preserve"> The pur</w:t>
            </w:r>
            <w:r w:rsidRPr="003A12B6">
              <w:rPr>
                <w:rFonts w:asciiTheme="minorHAnsi" w:eastAsia="Arial" w:hAnsiTheme="minorHAnsi" w:cstheme="minorHAnsi"/>
                <w:szCs w:val="24"/>
                <w:lang w:bidi="en-US"/>
              </w:rPr>
              <w:t xml:space="preserve">poses will update automatically if the information is updated in the Linked Agreement referred to. </w:t>
            </w:r>
          </w:p>
          <w:p w14:paraId="1191A472" w14:textId="501B737B" w:rsidR="00F67E9E" w:rsidRPr="00AE092F" w:rsidRDefault="00F67E9E" w:rsidP="007F74AA">
            <w:pPr>
              <w:ind w:hanging="227"/>
              <w:rPr>
                <w:rFonts w:cs="Arial"/>
              </w:rPr>
            </w:pPr>
            <w:r w:rsidRPr="003A12B6">
              <w:rPr>
                <w:rFonts w:asciiTheme="minorHAnsi" w:eastAsia="Arial" w:hAnsiTheme="minorHAnsi" w:cstheme="minorHAnsi"/>
                <w:szCs w:val="24"/>
                <w:lang w:bidi="en-US"/>
              </w:rPr>
              <w:fldChar w:fldCharType="begin" w:fldLock="1">
                <w:ffData>
                  <w:name w:val=""/>
                  <w:enabled/>
                  <w:calcOnExit w:val="0"/>
                  <w:checkBox>
                    <w:size w:val="16"/>
                    <w:default w:val="0"/>
                  </w:checkBox>
                </w:ffData>
              </w:fldChar>
            </w:r>
            <w:r w:rsidRPr="003A12B6">
              <w:rPr>
                <w:rFonts w:asciiTheme="minorHAnsi" w:eastAsia="Arial" w:hAnsiTheme="minorHAnsi" w:cstheme="minorHAnsi"/>
                <w:szCs w:val="24"/>
                <w:lang w:bidi="en-US"/>
              </w:rPr>
              <w:instrText xml:space="preserve"> FORMCHECKBOX </w:instrText>
            </w:r>
            <w:r w:rsidR="000D7DE5">
              <w:rPr>
                <w:rFonts w:asciiTheme="minorHAnsi" w:eastAsia="Arial" w:hAnsiTheme="minorHAnsi" w:cstheme="minorHAnsi"/>
                <w:szCs w:val="24"/>
                <w:lang w:bidi="en-US"/>
              </w:rPr>
            </w:r>
            <w:r w:rsidR="000D7DE5">
              <w:rPr>
                <w:rFonts w:asciiTheme="minorHAnsi" w:eastAsia="Arial" w:hAnsiTheme="minorHAnsi" w:cstheme="minorHAnsi"/>
                <w:szCs w:val="24"/>
                <w:lang w:bidi="en-US"/>
              </w:rPr>
              <w:fldChar w:fldCharType="separate"/>
            </w:r>
            <w:r w:rsidRPr="003A12B6">
              <w:rPr>
                <w:rFonts w:asciiTheme="minorHAnsi" w:eastAsia="Arial" w:hAnsiTheme="minorHAnsi" w:cstheme="minorHAnsi"/>
                <w:szCs w:val="24"/>
                <w:lang w:bidi="en-US"/>
              </w:rPr>
              <w:fldChar w:fldCharType="end"/>
            </w:r>
            <w:r w:rsidRPr="003A12B6">
              <w:rPr>
                <w:rFonts w:asciiTheme="minorHAnsi" w:eastAsia="Arial" w:hAnsiTheme="minorHAnsi" w:cstheme="minorHAnsi"/>
                <w:szCs w:val="24"/>
                <w:lang w:bidi="en-US"/>
              </w:rPr>
              <w:t xml:space="preserve"> The purposes will NOT update automatically if the information is updated in t</w:t>
            </w:r>
            <w:r w:rsidRPr="00AE092F">
              <w:rPr>
                <w:rFonts w:cs="Arial"/>
              </w:rPr>
              <w:t xml:space="preserve">he Linked Agreement referred to. The Parties must agree a change under Section </w:t>
            </w:r>
            <w:r w:rsidRPr="00AE092F">
              <w:rPr>
                <w:rFonts w:cs="Arial"/>
              </w:rPr>
              <w:fldChar w:fldCharType="begin"/>
            </w:r>
            <w:r w:rsidRPr="00AE092F">
              <w:rPr>
                <w:rFonts w:cs="Arial"/>
              </w:rPr>
              <w:instrText xml:space="preserve"> REF _Ref92477298 \r \h  \* MERGEFORMAT </w:instrText>
            </w:r>
            <w:r w:rsidRPr="00AE092F">
              <w:rPr>
                <w:rFonts w:cs="Arial"/>
              </w:rPr>
            </w:r>
            <w:r w:rsidRPr="00AE092F">
              <w:rPr>
                <w:rFonts w:cs="Arial"/>
              </w:rPr>
              <w:fldChar w:fldCharType="separate"/>
            </w:r>
            <w:r w:rsidR="00302D39">
              <w:rPr>
                <w:rFonts w:cs="Arial"/>
              </w:rPr>
              <w:t>5.3</w:t>
            </w:r>
            <w:r w:rsidRPr="00AE092F">
              <w:rPr>
                <w:rFonts w:cs="Arial"/>
              </w:rPr>
              <w:fldChar w:fldCharType="end"/>
            </w:r>
            <w:r w:rsidRPr="00AE092F">
              <w:rPr>
                <w:rFonts w:cs="Arial"/>
              </w:rPr>
              <w:t>.</w:t>
            </w:r>
          </w:p>
        </w:tc>
      </w:tr>
    </w:tbl>
    <w:p w14:paraId="120C7B3D" w14:textId="77777777" w:rsidR="00F67E9E" w:rsidRPr="00157B71" w:rsidRDefault="00F67E9E" w:rsidP="00F67E9E">
      <w:pPr>
        <w:keepNext/>
        <w:keepLines/>
        <w:spacing w:before="100" w:after="100"/>
        <w:rPr>
          <w:b/>
          <w:bCs/>
        </w:rPr>
      </w:pPr>
      <w:r w:rsidRPr="00157B71">
        <w:rPr>
          <w:b/>
          <w:bCs/>
        </w:rPr>
        <w:t>Table 4: Security Requirements</w:t>
      </w:r>
    </w:p>
    <w:tbl>
      <w:tblPr>
        <w:tblStyle w:val="MSATable-header"/>
        <w:tblW w:w="5003" w:type="pct"/>
        <w:tblLook w:val="0000" w:firstRow="0" w:lastRow="0" w:firstColumn="0" w:lastColumn="0" w:noHBand="0" w:noVBand="0"/>
      </w:tblPr>
      <w:tblGrid>
        <w:gridCol w:w="2398"/>
        <w:gridCol w:w="7796"/>
      </w:tblGrid>
      <w:tr w:rsidR="00F67E9E" w:rsidRPr="00D20385" w14:paraId="6E2453FC" w14:textId="77777777" w:rsidTr="007F74AA">
        <w:tc>
          <w:tcPr>
            <w:tcW w:w="1176" w:type="pct"/>
            <w:shd w:val="clear" w:color="auto" w:fill="F0F0F0"/>
          </w:tcPr>
          <w:p w14:paraId="03E095A0" w14:textId="77777777" w:rsidR="00F67E9E" w:rsidRPr="003A12B6" w:rsidRDefault="00F67E9E" w:rsidP="007F74AA">
            <w:pPr>
              <w:rPr>
                <w:rFonts w:asciiTheme="minorHAnsi" w:eastAsia="Arial" w:hAnsiTheme="minorHAnsi" w:cstheme="minorHAnsi"/>
                <w:b/>
                <w:bCs/>
                <w:szCs w:val="24"/>
                <w:lang w:bidi="en-US"/>
              </w:rPr>
            </w:pPr>
            <w:r w:rsidRPr="003A12B6">
              <w:rPr>
                <w:rFonts w:asciiTheme="minorHAnsi" w:eastAsia="Arial" w:hAnsiTheme="minorHAnsi" w:cstheme="minorHAnsi"/>
                <w:b/>
                <w:bCs/>
                <w:szCs w:val="24"/>
                <w:lang w:bidi="en-US"/>
              </w:rPr>
              <w:t>Security of Transmission</w:t>
            </w:r>
          </w:p>
        </w:tc>
        <w:tc>
          <w:tcPr>
            <w:tcW w:w="3824" w:type="pct"/>
          </w:tcPr>
          <w:p w14:paraId="59D8D305" w14:textId="77777777" w:rsidR="00F67E9E" w:rsidRPr="003A12B6" w:rsidRDefault="00F67E9E" w:rsidP="007F74AA">
            <w:pPr>
              <w:rPr>
                <w:rFonts w:cs="Arial"/>
              </w:rPr>
            </w:pPr>
          </w:p>
        </w:tc>
      </w:tr>
      <w:tr w:rsidR="00F67E9E" w:rsidRPr="00D20385" w14:paraId="4CC69332" w14:textId="77777777" w:rsidTr="007F74AA">
        <w:tc>
          <w:tcPr>
            <w:tcW w:w="1176" w:type="pct"/>
            <w:shd w:val="clear" w:color="auto" w:fill="F0F0F0"/>
          </w:tcPr>
          <w:p w14:paraId="02B6DD57" w14:textId="77777777" w:rsidR="00F67E9E" w:rsidRPr="003A12B6" w:rsidRDefault="00F67E9E" w:rsidP="007F74AA">
            <w:pPr>
              <w:rPr>
                <w:rFonts w:asciiTheme="minorHAnsi" w:eastAsia="Arial" w:hAnsiTheme="minorHAnsi" w:cstheme="minorHAnsi"/>
                <w:b/>
                <w:bCs/>
                <w:szCs w:val="24"/>
                <w:lang w:bidi="en-US"/>
              </w:rPr>
            </w:pPr>
            <w:r w:rsidRPr="003A12B6">
              <w:rPr>
                <w:rFonts w:asciiTheme="minorHAnsi" w:eastAsia="Arial" w:hAnsiTheme="minorHAnsi" w:cstheme="minorHAnsi"/>
                <w:b/>
                <w:bCs/>
                <w:szCs w:val="24"/>
                <w:lang w:bidi="en-US"/>
              </w:rPr>
              <w:t>Security of Storage</w:t>
            </w:r>
          </w:p>
        </w:tc>
        <w:tc>
          <w:tcPr>
            <w:tcW w:w="3824" w:type="pct"/>
          </w:tcPr>
          <w:p w14:paraId="3C561092" w14:textId="77777777" w:rsidR="00F67E9E" w:rsidRPr="003A12B6" w:rsidRDefault="00F67E9E" w:rsidP="007F74AA">
            <w:pPr>
              <w:rPr>
                <w:rFonts w:cs="Arial"/>
              </w:rPr>
            </w:pPr>
          </w:p>
        </w:tc>
      </w:tr>
      <w:tr w:rsidR="00F67E9E" w:rsidRPr="00D20385" w14:paraId="22887D03" w14:textId="77777777" w:rsidTr="007F74AA">
        <w:tc>
          <w:tcPr>
            <w:tcW w:w="1176" w:type="pct"/>
            <w:shd w:val="clear" w:color="auto" w:fill="F0F0F0"/>
          </w:tcPr>
          <w:p w14:paraId="7909D40E" w14:textId="77777777" w:rsidR="00F67E9E" w:rsidRPr="003A12B6" w:rsidRDefault="00F67E9E" w:rsidP="007F74AA">
            <w:pPr>
              <w:rPr>
                <w:rFonts w:asciiTheme="minorHAnsi" w:eastAsia="Arial" w:hAnsiTheme="minorHAnsi" w:cstheme="minorHAnsi"/>
                <w:b/>
                <w:bCs/>
                <w:szCs w:val="24"/>
                <w:lang w:bidi="en-US"/>
              </w:rPr>
            </w:pPr>
            <w:r w:rsidRPr="003A12B6">
              <w:rPr>
                <w:rFonts w:asciiTheme="minorHAnsi" w:eastAsia="Arial" w:hAnsiTheme="minorHAnsi" w:cstheme="minorHAnsi"/>
                <w:b/>
                <w:bCs/>
                <w:szCs w:val="24"/>
                <w:lang w:bidi="en-US"/>
              </w:rPr>
              <w:t>Security of Processing</w:t>
            </w:r>
          </w:p>
        </w:tc>
        <w:tc>
          <w:tcPr>
            <w:tcW w:w="3824" w:type="pct"/>
          </w:tcPr>
          <w:p w14:paraId="091916B3" w14:textId="77777777" w:rsidR="00F67E9E" w:rsidRPr="003A12B6" w:rsidRDefault="00F67E9E" w:rsidP="007F74AA">
            <w:pPr>
              <w:rPr>
                <w:rFonts w:cs="Arial"/>
              </w:rPr>
            </w:pPr>
          </w:p>
        </w:tc>
      </w:tr>
      <w:tr w:rsidR="00F67E9E" w:rsidRPr="00D20385" w14:paraId="22E045D8" w14:textId="77777777" w:rsidTr="007F74AA">
        <w:tc>
          <w:tcPr>
            <w:tcW w:w="1176" w:type="pct"/>
            <w:shd w:val="clear" w:color="auto" w:fill="F0F0F0"/>
          </w:tcPr>
          <w:p w14:paraId="6930A777" w14:textId="77777777" w:rsidR="00F67E9E" w:rsidRPr="003A12B6" w:rsidRDefault="00F67E9E" w:rsidP="007F74AA">
            <w:pPr>
              <w:rPr>
                <w:rFonts w:asciiTheme="minorHAnsi" w:eastAsia="Arial" w:hAnsiTheme="minorHAnsi" w:cstheme="minorHAnsi"/>
                <w:b/>
                <w:bCs/>
                <w:szCs w:val="24"/>
                <w:lang w:bidi="en-US"/>
              </w:rPr>
            </w:pPr>
            <w:r w:rsidRPr="003A12B6">
              <w:rPr>
                <w:rFonts w:asciiTheme="minorHAnsi" w:eastAsia="Arial" w:hAnsiTheme="minorHAnsi" w:cstheme="minorHAnsi"/>
                <w:b/>
                <w:bCs/>
                <w:szCs w:val="24"/>
                <w:lang w:bidi="en-US"/>
              </w:rPr>
              <w:t>Organisational security measures</w:t>
            </w:r>
          </w:p>
        </w:tc>
        <w:tc>
          <w:tcPr>
            <w:tcW w:w="3824" w:type="pct"/>
          </w:tcPr>
          <w:p w14:paraId="0A957619" w14:textId="77777777" w:rsidR="00F67E9E" w:rsidRPr="003A12B6" w:rsidRDefault="00F67E9E" w:rsidP="007F74AA">
            <w:pPr>
              <w:rPr>
                <w:rFonts w:cs="Arial"/>
              </w:rPr>
            </w:pPr>
          </w:p>
        </w:tc>
      </w:tr>
      <w:tr w:rsidR="00F67E9E" w:rsidRPr="00D20385" w14:paraId="05BAB967" w14:textId="77777777" w:rsidTr="007F74AA">
        <w:tc>
          <w:tcPr>
            <w:tcW w:w="1176" w:type="pct"/>
            <w:shd w:val="clear" w:color="auto" w:fill="F0F0F0"/>
          </w:tcPr>
          <w:p w14:paraId="10E4421E" w14:textId="77777777" w:rsidR="00F67E9E" w:rsidRPr="003A12B6" w:rsidRDefault="00F67E9E" w:rsidP="007F74AA">
            <w:pPr>
              <w:rPr>
                <w:rFonts w:asciiTheme="minorHAnsi" w:eastAsia="Arial" w:hAnsiTheme="minorHAnsi" w:cstheme="minorHAnsi"/>
                <w:b/>
                <w:bCs/>
                <w:szCs w:val="24"/>
                <w:lang w:bidi="en-US"/>
              </w:rPr>
            </w:pPr>
            <w:r w:rsidRPr="003A12B6">
              <w:rPr>
                <w:rFonts w:asciiTheme="minorHAnsi" w:eastAsia="Arial" w:hAnsiTheme="minorHAnsi" w:cstheme="minorHAnsi"/>
                <w:b/>
                <w:bCs/>
                <w:szCs w:val="24"/>
                <w:lang w:bidi="en-US"/>
              </w:rPr>
              <w:t>Technical security minimum requirements</w:t>
            </w:r>
          </w:p>
        </w:tc>
        <w:tc>
          <w:tcPr>
            <w:tcW w:w="3824" w:type="pct"/>
          </w:tcPr>
          <w:p w14:paraId="1FC939CA" w14:textId="77777777" w:rsidR="00F67E9E" w:rsidRPr="003A12B6" w:rsidRDefault="00F67E9E" w:rsidP="007F74AA">
            <w:pPr>
              <w:rPr>
                <w:rFonts w:cs="Arial"/>
              </w:rPr>
            </w:pPr>
          </w:p>
        </w:tc>
      </w:tr>
      <w:tr w:rsidR="00F67E9E" w:rsidRPr="00D20385" w14:paraId="2FF15223" w14:textId="77777777" w:rsidTr="007F74AA">
        <w:tc>
          <w:tcPr>
            <w:tcW w:w="1176" w:type="pct"/>
            <w:shd w:val="clear" w:color="auto" w:fill="F0F0F0"/>
          </w:tcPr>
          <w:p w14:paraId="67674EAD" w14:textId="77777777" w:rsidR="00F67E9E" w:rsidRPr="003A12B6" w:rsidRDefault="00F67E9E" w:rsidP="007F74AA">
            <w:pPr>
              <w:rPr>
                <w:rFonts w:asciiTheme="minorHAnsi" w:eastAsia="Arial" w:hAnsiTheme="minorHAnsi" w:cstheme="minorHAnsi"/>
                <w:b/>
                <w:bCs/>
                <w:szCs w:val="24"/>
                <w:lang w:bidi="en-US"/>
              </w:rPr>
            </w:pPr>
            <w:r w:rsidRPr="003A12B6">
              <w:rPr>
                <w:rFonts w:asciiTheme="minorHAnsi" w:eastAsia="Arial" w:hAnsiTheme="minorHAnsi" w:cstheme="minorHAnsi"/>
                <w:b/>
                <w:bCs/>
                <w:szCs w:val="24"/>
                <w:lang w:bidi="en-US"/>
              </w:rPr>
              <w:t>Updates to the Security Requirements</w:t>
            </w:r>
          </w:p>
        </w:tc>
        <w:tc>
          <w:tcPr>
            <w:tcW w:w="3824" w:type="pct"/>
          </w:tcPr>
          <w:p w14:paraId="01422DC6" w14:textId="77777777" w:rsidR="00F67E9E" w:rsidRPr="003A12B6" w:rsidRDefault="00F67E9E" w:rsidP="007F74AA">
            <w:pPr>
              <w:spacing w:after="120"/>
              <w:ind w:hanging="227"/>
              <w:rPr>
                <w:rFonts w:asciiTheme="minorHAnsi" w:eastAsia="Arial" w:hAnsiTheme="minorHAnsi" w:cstheme="minorHAnsi"/>
                <w:szCs w:val="24"/>
                <w:lang w:bidi="en-US"/>
              </w:rPr>
            </w:pPr>
            <w:r w:rsidRPr="009426CA">
              <w:fldChar w:fldCharType="begin" w:fldLock="1">
                <w:ffData>
                  <w:name w:val=""/>
                  <w:enabled/>
                  <w:calcOnExit w:val="0"/>
                  <w:checkBox>
                    <w:size w:val="16"/>
                    <w:default w:val="0"/>
                  </w:checkBox>
                </w:ffData>
              </w:fldChar>
            </w:r>
            <w:r w:rsidRPr="009426CA">
              <w:instrText xml:space="preserve"> FORMCHECKBOX </w:instrText>
            </w:r>
            <w:r w:rsidR="000D7DE5">
              <w:fldChar w:fldCharType="separate"/>
            </w:r>
            <w:r w:rsidRPr="009426CA">
              <w:fldChar w:fldCharType="end"/>
            </w:r>
            <w:r w:rsidRPr="009426CA">
              <w:t xml:space="preserve"> </w:t>
            </w:r>
            <w:r w:rsidRPr="00D70CBD">
              <w:rPr>
                <w:rFonts w:cs="Arial"/>
                <w:szCs w:val="24"/>
              </w:rPr>
              <w:t xml:space="preserve">The Security Requirements will update automatically if the information is </w:t>
            </w:r>
            <w:r w:rsidRPr="003A12B6">
              <w:rPr>
                <w:rFonts w:asciiTheme="minorHAnsi" w:eastAsia="Arial" w:hAnsiTheme="minorHAnsi" w:cstheme="minorHAnsi"/>
                <w:szCs w:val="24"/>
                <w:lang w:bidi="en-US"/>
              </w:rPr>
              <w:t xml:space="preserve">updated in the Linked Agreement referred to. </w:t>
            </w:r>
          </w:p>
          <w:p w14:paraId="62E2C01F" w14:textId="0F5D87F8" w:rsidR="00F67E9E" w:rsidRPr="00D20385" w:rsidRDefault="00F67E9E" w:rsidP="007F74AA">
            <w:pPr>
              <w:ind w:hanging="227"/>
            </w:pPr>
            <w:r w:rsidRPr="003A12B6">
              <w:rPr>
                <w:rFonts w:asciiTheme="minorHAnsi" w:eastAsia="Arial" w:hAnsiTheme="minorHAnsi" w:cstheme="minorHAnsi"/>
                <w:szCs w:val="24"/>
                <w:lang w:bidi="en-US"/>
              </w:rPr>
              <w:fldChar w:fldCharType="begin" w:fldLock="1">
                <w:ffData>
                  <w:name w:val=""/>
                  <w:enabled/>
                  <w:calcOnExit w:val="0"/>
                  <w:checkBox>
                    <w:size w:val="16"/>
                    <w:default w:val="0"/>
                  </w:checkBox>
                </w:ffData>
              </w:fldChar>
            </w:r>
            <w:r w:rsidRPr="003A12B6">
              <w:rPr>
                <w:rFonts w:asciiTheme="minorHAnsi" w:eastAsia="Arial" w:hAnsiTheme="minorHAnsi" w:cstheme="minorHAnsi"/>
                <w:szCs w:val="24"/>
                <w:lang w:bidi="en-US"/>
              </w:rPr>
              <w:instrText xml:space="preserve"> FORMCHECKBOX </w:instrText>
            </w:r>
            <w:r w:rsidR="000D7DE5">
              <w:rPr>
                <w:rFonts w:asciiTheme="minorHAnsi" w:eastAsia="Arial" w:hAnsiTheme="minorHAnsi" w:cstheme="minorHAnsi"/>
                <w:szCs w:val="24"/>
                <w:lang w:bidi="en-US"/>
              </w:rPr>
            </w:r>
            <w:r w:rsidR="000D7DE5">
              <w:rPr>
                <w:rFonts w:asciiTheme="minorHAnsi" w:eastAsia="Arial" w:hAnsiTheme="minorHAnsi" w:cstheme="minorHAnsi"/>
                <w:szCs w:val="24"/>
                <w:lang w:bidi="en-US"/>
              </w:rPr>
              <w:fldChar w:fldCharType="separate"/>
            </w:r>
            <w:r w:rsidRPr="003A12B6">
              <w:rPr>
                <w:rFonts w:asciiTheme="minorHAnsi" w:eastAsia="Arial" w:hAnsiTheme="minorHAnsi" w:cstheme="minorHAnsi"/>
                <w:szCs w:val="24"/>
                <w:lang w:bidi="en-US"/>
              </w:rPr>
              <w:fldChar w:fldCharType="end"/>
            </w:r>
            <w:r w:rsidRPr="003A12B6">
              <w:rPr>
                <w:rFonts w:asciiTheme="minorHAnsi" w:eastAsia="Arial" w:hAnsiTheme="minorHAnsi" w:cstheme="minorHAnsi"/>
                <w:szCs w:val="24"/>
                <w:lang w:bidi="en-US"/>
              </w:rPr>
              <w:tab/>
              <w:t xml:space="preserve">The Security Requirements will NOT update automatically if the information is </w:t>
            </w:r>
            <w:r w:rsidRPr="00D70CBD">
              <w:rPr>
                <w:rFonts w:cs="Arial"/>
                <w:szCs w:val="24"/>
              </w:rPr>
              <w:t xml:space="preserve">updated in the Linked Agreement referred to. The Parties must agree a change under Section </w:t>
            </w:r>
            <w:r w:rsidRPr="00D70CBD">
              <w:rPr>
                <w:rFonts w:cs="Arial"/>
                <w:szCs w:val="24"/>
              </w:rPr>
              <w:fldChar w:fldCharType="begin"/>
            </w:r>
            <w:r w:rsidRPr="00D70CBD">
              <w:rPr>
                <w:rFonts w:cs="Arial"/>
                <w:szCs w:val="24"/>
              </w:rPr>
              <w:instrText xml:space="preserve"> REF _Ref92477298 \r \h  \* MERGEFORMAT </w:instrText>
            </w:r>
            <w:r w:rsidRPr="00D70CBD">
              <w:rPr>
                <w:rFonts w:cs="Arial"/>
                <w:szCs w:val="24"/>
              </w:rPr>
            </w:r>
            <w:r w:rsidRPr="00D70CBD">
              <w:rPr>
                <w:rFonts w:cs="Arial"/>
                <w:szCs w:val="24"/>
              </w:rPr>
              <w:fldChar w:fldCharType="separate"/>
            </w:r>
            <w:r w:rsidR="00302D39">
              <w:rPr>
                <w:rFonts w:cs="Arial"/>
                <w:szCs w:val="24"/>
              </w:rPr>
              <w:t>5.3</w:t>
            </w:r>
            <w:r w:rsidRPr="00D70CBD">
              <w:rPr>
                <w:rFonts w:cs="Arial"/>
                <w:szCs w:val="24"/>
              </w:rPr>
              <w:fldChar w:fldCharType="end"/>
            </w:r>
            <w:r w:rsidRPr="00D70CBD">
              <w:rPr>
                <w:rFonts w:cs="Arial"/>
                <w:szCs w:val="24"/>
              </w:rPr>
              <w:t>.</w:t>
            </w:r>
          </w:p>
        </w:tc>
      </w:tr>
    </w:tbl>
    <w:p w14:paraId="57E8C4BB" w14:textId="77777777" w:rsidR="00F67E9E" w:rsidRPr="000F2A39" w:rsidRDefault="00F67E9E" w:rsidP="00F67E9E">
      <w:pPr>
        <w:pStyle w:val="Heading3"/>
      </w:pPr>
      <w:bookmarkStart w:id="2892" w:name="_Toc79405425"/>
      <w:r w:rsidRPr="000F2A39">
        <w:t>Part 2: Extra Protection Clauses</w:t>
      </w:r>
      <w:bookmarkEnd w:id="2892"/>
    </w:p>
    <w:tbl>
      <w:tblPr>
        <w:tblStyle w:val="MSATable-header"/>
        <w:tblW w:w="5003" w:type="pct"/>
        <w:tblLook w:val="0000" w:firstRow="0" w:lastRow="0" w:firstColumn="0" w:lastColumn="0" w:noHBand="0" w:noVBand="0"/>
      </w:tblPr>
      <w:tblGrid>
        <w:gridCol w:w="2398"/>
        <w:gridCol w:w="7796"/>
      </w:tblGrid>
      <w:tr w:rsidR="00F67E9E" w:rsidRPr="00AE092F" w14:paraId="411DE7AC" w14:textId="77777777" w:rsidTr="007F74AA">
        <w:tc>
          <w:tcPr>
            <w:tcW w:w="1176" w:type="pct"/>
            <w:shd w:val="clear" w:color="auto" w:fill="F0F0F0"/>
          </w:tcPr>
          <w:p w14:paraId="17D026BB" w14:textId="77777777" w:rsidR="00F67E9E" w:rsidRPr="003A12B6" w:rsidRDefault="00F67E9E" w:rsidP="007F74AA">
            <w:pPr>
              <w:rPr>
                <w:rFonts w:asciiTheme="minorHAnsi" w:eastAsia="Arial" w:hAnsiTheme="minorHAnsi" w:cstheme="minorHAnsi"/>
                <w:b/>
                <w:bCs/>
                <w:szCs w:val="24"/>
                <w:lang w:bidi="en-US"/>
              </w:rPr>
            </w:pPr>
            <w:r w:rsidRPr="003A12B6">
              <w:rPr>
                <w:rFonts w:asciiTheme="minorHAnsi" w:eastAsia="Arial" w:hAnsiTheme="minorHAnsi" w:cstheme="minorHAnsi"/>
                <w:b/>
                <w:bCs/>
                <w:szCs w:val="24"/>
                <w:lang w:bidi="en-US"/>
              </w:rPr>
              <w:t>Extra Protection Clauses:</w:t>
            </w:r>
          </w:p>
        </w:tc>
        <w:tc>
          <w:tcPr>
            <w:tcW w:w="3824" w:type="pct"/>
          </w:tcPr>
          <w:p w14:paraId="276AA3E2" w14:textId="77777777" w:rsidR="00F67E9E" w:rsidRPr="00AE092F" w:rsidRDefault="00F67E9E" w:rsidP="007F74AA">
            <w:pPr>
              <w:rPr>
                <w:rFonts w:cs="Arial"/>
              </w:rPr>
            </w:pPr>
          </w:p>
        </w:tc>
      </w:tr>
      <w:tr w:rsidR="00F67E9E" w:rsidRPr="00AE092F" w14:paraId="7B27CAA3" w14:textId="77777777" w:rsidTr="007F74AA">
        <w:tc>
          <w:tcPr>
            <w:tcW w:w="1176" w:type="pct"/>
            <w:shd w:val="clear" w:color="auto" w:fill="F0F0F0"/>
          </w:tcPr>
          <w:p w14:paraId="334D91C5" w14:textId="77777777" w:rsidR="00F67E9E" w:rsidRPr="003A12B6" w:rsidRDefault="00F67E9E" w:rsidP="007F74AA">
            <w:pPr>
              <w:rPr>
                <w:rFonts w:asciiTheme="minorHAnsi" w:eastAsia="Arial" w:hAnsiTheme="minorHAnsi" w:cstheme="minorHAnsi"/>
                <w:b/>
                <w:bCs/>
                <w:szCs w:val="24"/>
                <w:lang w:bidi="en-US"/>
              </w:rPr>
            </w:pPr>
            <w:r w:rsidRPr="003A12B6">
              <w:rPr>
                <w:rFonts w:asciiTheme="minorHAnsi" w:eastAsia="Arial" w:hAnsiTheme="minorHAnsi" w:cstheme="minorHAnsi"/>
                <w:b/>
                <w:bCs/>
                <w:szCs w:val="24"/>
                <w:lang w:bidi="en-US"/>
              </w:rPr>
              <w:t>(i) Extra technical security protections</w:t>
            </w:r>
          </w:p>
        </w:tc>
        <w:tc>
          <w:tcPr>
            <w:tcW w:w="3824" w:type="pct"/>
          </w:tcPr>
          <w:p w14:paraId="41DDF5B4" w14:textId="77777777" w:rsidR="00F67E9E" w:rsidRPr="00AE092F" w:rsidRDefault="00F67E9E" w:rsidP="007F74AA">
            <w:pPr>
              <w:rPr>
                <w:rFonts w:cs="Arial"/>
              </w:rPr>
            </w:pPr>
          </w:p>
        </w:tc>
      </w:tr>
      <w:tr w:rsidR="00F67E9E" w:rsidRPr="00AE092F" w14:paraId="66411E8A" w14:textId="77777777" w:rsidTr="007F74AA">
        <w:tc>
          <w:tcPr>
            <w:tcW w:w="1176" w:type="pct"/>
            <w:shd w:val="clear" w:color="auto" w:fill="F0F0F0"/>
          </w:tcPr>
          <w:p w14:paraId="4095BDA9" w14:textId="77777777" w:rsidR="00F67E9E" w:rsidRPr="003A12B6" w:rsidRDefault="00F67E9E" w:rsidP="007F74AA">
            <w:pPr>
              <w:rPr>
                <w:rFonts w:asciiTheme="minorHAnsi" w:eastAsia="Arial" w:hAnsiTheme="minorHAnsi" w:cstheme="minorHAnsi"/>
                <w:b/>
                <w:bCs/>
                <w:szCs w:val="24"/>
                <w:lang w:bidi="en-US"/>
              </w:rPr>
            </w:pPr>
            <w:r w:rsidRPr="003A12B6">
              <w:rPr>
                <w:rFonts w:asciiTheme="minorHAnsi" w:eastAsia="Arial" w:hAnsiTheme="minorHAnsi" w:cstheme="minorHAnsi"/>
                <w:b/>
                <w:bCs/>
                <w:szCs w:val="24"/>
                <w:lang w:bidi="en-US"/>
              </w:rPr>
              <w:t>(ii) Extra organisational protections</w:t>
            </w:r>
          </w:p>
        </w:tc>
        <w:tc>
          <w:tcPr>
            <w:tcW w:w="3824" w:type="pct"/>
          </w:tcPr>
          <w:p w14:paraId="4B99CC58" w14:textId="77777777" w:rsidR="00F67E9E" w:rsidRPr="00AE092F" w:rsidRDefault="00F67E9E" w:rsidP="007F74AA">
            <w:pPr>
              <w:rPr>
                <w:rFonts w:cs="Arial"/>
              </w:rPr>
            </w:pPr>
          </w:p>
        </w:tc>
      </w:tr>
      <w:tr w:rsidR="00F67E9E" w:rsidRPr="00AE092F" w14:paraId="58AF4CF9" w14:textId="77777777" w:rsidTr="007F74AA">
        <w:tc>
          <w:tcPr>
            <w:tcW w:w="1176" w:type="pct"/>
            <w:shd w:val="clear" w:color="auto" w:fill="F0F0F0"/>
          </w:tcPr>
          <w:p w14:paraId="6B3D746A" w14:textId="77777777" w:rsidR="00F67E9E" w:rsidRPr="003A12B6" w:rsidRDefault="00F67E9E" w:rsidP="007F74AA">
            <w:pPr>
              <w:rPr>
                <w:rFonts w:asciiTheme="minorHAnsi" w:eastAsia="Arial" w:hAnsiTheme="minorHAnsi" w:cstheme="minorHAnsi"/>
                <w:b/>
                <w:bCs/>
                <w:szCs w:val="24"/>
                <w:lang w:bidi="en-US"/>
              </w:rPr>
            </w:pPr>
            <w:r w:rsidRPr="003A12B6">
              <w:rPr>
                <w:rFonts w:asciiTheme="minorHAnsi" w:eastAsia="Arial" w:hAnsiTheme="minorHAnsi" w:cstheme="minorHAnsi"/>
                <w:b/>
                <w:bCs/>
                <w:szCs w:val="24"/>
                <w:lang w:bidi="en-US"/>
              </w:rPr>
              <w:t>(iii) Extra contractual protections</w:t>
            </w:r>
          </w:p>
        </w:tc>
        <w:tc>
          <w:tcPr>
            <w:tcW w:w="3824" w:type="pct"/>
          </w:tcPr>
          <w:p w14:paraId="2FA7F002" w14:textId="77777777" w:rsidR="00F67E9E" w:rsidRPr="00AE092F" w:rsidRDefault="00F67E9E" w:rsidP="007F74AA">
            <w:pPr>
              <w:rPr>
                <w:rFonts w:cs="Arial"/>
              </w:rPr>
            </w:pPr>
          </w:p>
        </w:tc>
      </w:tr>
    </w:tbl>
    <w:p w14:paraId="5828DAE6" w14:textId="77777777" w:rsidR="00F67E9E" w:rsidRPr="000F2A39" w:rsidRDefault="00F67E9E" w:rsidP="00F67E9E">
      <w:pPr>
        <w:pStyle w:val="Heading3"/>
      </w:pPr>
      <w:bookmarkStart w:id="2893" w:name="_Toc79405426"/>
      <w:r w:rsidRPr="000F2A39">
        <w:t xml:space="preserve">Part </w:t>
      </w:r>
      <w:bookmarkStart w:id="2894" w:name="Sch31PartBPart3"/>
      <w:r w:rsidRPr="000F2A39">
        <w:t>3</w:t>
      </w:r>
      <w:bookmarkEnd w:id="2894"/>
      <w:r w:rsidRPr="000F2A39">
        <w:t>: Commercial Clauses</w:t>
      </w:r>
      <w:bookmarkEnd w:id="2893"/>
    </w:p>
    <w:tbl>
      <w:tblPr>
        <w:tblStyle w:val="MSATable-header"/>
        <w:tblW w:w="5003" w:type="pct"/>
        <w:tblLook w:val="0000" w:firstRow="0" w:lastRow="0" w:firstColumn="0" w:lastColumn="0" w:noHBand="0" w:noVBand="0"/>
      </w:tblPr>
      <w:tblGrid>
        <w:gridCol w:w="2398"/>
        <w:gridCol w:w="7796"/>
      </w:tblGrid>
      <w:tr w:rsidR="00F67E9E" w:rsidRPr="00D20385" w14:paraId="7582A2D8" w14:textId="77777777" w:rsidTr="007F74AA">
        <w:tc>
          <w:tcPr>
            <w:tcW w:w="1176" w:type="pct"/>
            <w:shd w:val="clear" w:color="auto" w:fill="F0F0F0"/>
          </w:tcPr>
          <w:p w14:paraId="32629FB8" w14:textId="77777777" w:rsidR="00F67E9E" w:rsidRPr="003A12B6" w:rsidRDefault="00F67E9E" w:rsidP="007F74AA">
            <w:pPr>
              <w:rPr>
                <w:rFonts w:asciiTheme="minorHAnsi" w:eastAsia="Arial" w:hAnsiTheme="minorHAnsi" w:cstheme="minorHAnsi"/>
                <w:b/>
                <w:bCs/>
                <w:szCs w:val="24"/>
                <w:lang w:bidi="en-US"/>
              </w:rPr>
            </w:pPr>
            <w:r w:rsidRPr="003A12B6">
              <w:rPr>
                <w:rFonts w:asciiTheme="minorHAnsi" w:eastAsia="Arial" w:hAnsiTheme="minorHAnsi" w:cstheme="minorHAnsi"/>
                <w:b/>
                <w:bCs/>
                <w:szCs w:val="24"/>
                <w:lang w:bidi="en-US"/>
              </w:rPr>
              <w:t>Commercial Clauses</w:t>
            </w:r>
          </w:p>
        </w:tc>
        <w:tc>
          <w:tcPr>
            <w:tcW w:w="3824" w:type="pct"/>
          </w:tcPr>
          <w:p w14:paraId="0C961A7B" w14:textId="77777777" w:rsidR="00F67E9E" w:rsidRPr="00D20385" w:rsidRDefault="00F67E9E" w:rsidP="007F74AA"/>
        </w:tc>
      </w:tr>
    </w:tbl>
    <w:p w14:paraId="2FAE2138" w14:textId="77777777" w:rsidR="00F67E9E" w:rsidRPr="000F2A39" w:rsidRDefault="00F67E9E" w:rsidP="00F67E9E">
      <w:pPr>
        <w:pStyle w:val="Heading3"/>
      </w:pPr>
      <w:r w:rsidRPr="000F2A39">
        <w:t xml:space="preserve">Part </w:t>
      </w:r>
      <w:bookmarkStart w:id="2895" w:name="Sch31PartBPart4"/>
      <w:r w:rsidRPr="000F2A39">
        <w:t>4</w:t>
      </w:r>
      <w:bookmarkEnd w:id="2895"/>
      <w:r w:rsidRPr="000F2A39">
        <w:t>: Mandatory Clauses</w:t>
      </w:r>
    </w:p>
    <w:bookmarkEnd w:id="2887"/>
    <w:p w14:paraId="463D38C9" w14:textId="77777777" w:rsidR="00F67E9E" w:rsidRPr="00157B71" w:rsidRDefault="00F67E9E" w:rsidP="00F67E9E">
      <w:pPr>
        <w:pStyle w:val="StdBodyText2"/>
        <w:keepNext/>
        <w:ind w:left="0"/>
        <w:rPr>
          <w:b/>
          <w:bCs/>
        </w:rPr>
      </w:pPr>
      <w:r w:rsidRPr="00157B71">
        <w:rPr>
          <w:b/>
          <w:bCs/>
        </w:rPr>
        <w:t>Information that helps you to understand this IDTA</w:t>
      </w:r>
    </w:p>
    <w:p w14:paraId="35B84FE3" w14:textId="77777777" w:rsidR="00F67E9E" w:rsidRPr="00D41A02" w:rsidRDefault="00F67E9E" w:rsidP="00F67E9E">
      <w:pPr>
        <w:pStyle w:val="AppendixText1"/>
        <w:numPr>
          <w:ilvl w:val="0"/>
          <w:numId w:val="85"/>
        </w:numPr>
        <w:tabs>
          <w:tab w:val="clear" w:pos="720"/>
          <w:tab w:val="num" w:pos="1080"/>
        </w:tabs>
      </w:pPr>
      <w:bookmarkStart w:id="2896" w:name="Section_1"/>
      <w:bookmarkEnd w:id="2896"/>
      <w:r w:rsidRPr="00D41A02">
        <w:t>This IDTA and Linked Agreements</w:t>
      </w:r>
    </w:p>
    <w:p w14:paraId="7ADD7B46" w14:textId="77777777" w:rsidR="00F67E9E" w:rsidRPr="009426CA" w:rsidRDefault="00F67E9E" w:rsidP="00F67E9E">
      <w:pPr>
        <w:pStyle w:val="AppendixText2"/>
      </w:pPr>
      <w:bookmarkStart w:id="2897" w:name="_Toc79405429"/>
      <w:r w:rsidRPr="0086649B">
        <w:t>Each Party agrees to be bound by the terms and conditions set out in the IDTA, in exchange for the other Party also agreeing to be bound by the IDTA.</w:t>
      </w:r>
      <w:bookmarkEnd w:id="2897"/>
    </w:p>
    <w:p w14:paraId="1DCF1508" w14:textId="77777777" w:rsidR="00F67E9E" w:rsidRPr="009426CA" w:rsidRDefault="00F67E9E" w:rsidP="00F67E9E">
      <w:pPr>
        <w:pStyle w:val="AppendixText2"/>
      </w:pPr>
      <w:bookmarkStart w:id="2898" w:name="_Toc79405430"/>
      <w:r w:rsidRPr="0086649B">
        <w:t>This IDTA is made up of:</w:t>
      </w:r>
      <w:bookmarkEnd w:id="2898"/>
    </w:p>
    <w:p w14:paraId="2C669D43" w14:textId="77777777" w:rsidR="00F67E9E" w:rsidRPr="009426CA" w:rsidRDefault="00F67E9E" w:rsidP="00F67E9E">
      <w:pPr>
        <w:pStyle w:val="AppendixText3"/>
      </w:pPr>
      <w:bookmarkStart w:id="2899" w:name="_Ref77587511"/>
      <w:r w:rsidRPr="0086649B">
        <w:t xml:space="preserve">Part </w:t>
      </w:r>
      <w:r>
        <w:t>one</w:t>
      </w:r>
      <w:r w:rsidRPr="0086649B">
        <w:t>: Tables;</w:t>
      </w:r>
      <w:bookmarkEnd w:id="2899"/>
    </w:p>
    <w:p w14:paraId="77ABE682" w14:textId="77777777" w:rsidR="00F67E9E" w:rsidRPr="009426CA" w:rsidRDefault="00F67E9E" w:rsidP="00F67E9E">
      <w:pPr>
        <w:pStyle w:val="AppendixText3"/>
      </w:pPr>
      <w:r w:rsidRPr="0086649B">
        <w:t xml:space="preserve">Part </w:t>
      </w:r>
      <w:r>
        <w:t>two</w:t>
      </w:r>
      <w:r w:rsidRPr="0086649B">
        <w:t xml:space="preserve">: </w:t>
      </w:r>
      <w:r w:rsidRPr="0032680D">
        <w:t>Extra Protection Clauses</w:t>
      </w:r>
      <w:r w:rsidRPr="0086649B">
        <w:t xml:space="preserve">; </w:t>
      </w:r>
    </w:p>
    <w:p w14:paraId="18B6FAE5" w14:textId="77777777" w:rsidR="00F67E9E" w:rsidRPr="009426CA" w:rsidRDefault="00F67E9E" w:rsidP="00F67E9E">
      <w:pPr>
        <w:pStyle w:val="AppendixText3"/>
      </w:pPr>
      <w:r w:rsidRPr="0086649B">
        <w:t xml:space="preserve">Part </w:t>
      </w:r>
      <w:r>
        <w:t>three</w:t>
      </w:r>
      <w:r w:rsidRPr="0086649B">
        <w:t>: Commercial Clauses; and</w:t>
      </w:r>
    </w:p>
    <w:p w14:paraId="3EC3EBCC" w14:textId="77777777" w:rsidR="00F67E9E" w:rsidRPr="009426CA" w:rsidRDefault="00F67E9E" w:rsidP="00F67E9E">
      <w:pPr>
        <w:pStyle w:val="AppendixText3"/>
      </w:pPr>
      <w:r w:rsidRPr="0086649B">
        <w:t xml:space="preserve">Part </w:t>
      </w:r>
      <w:r>
        <w:t>four</w:t>
      </w:r>
      <w:r w:rsidRPr="0086649B">
        <w:t>: Mandatory Clauses.</w:t>
      </w:r>
    </w:p>
    <w:p w14:paraId="7D39CB52" w14:textId="2DA333A2" w:rsidR="00F67E9E" w:rsidRPr="009426CA" w:rsidRDefault="00F67E9E" w:rsidP="00F67E9E">
      <w:pPr>
        <w:pStyle w:val="AppendixText2"/>
      </w:pPr>
      <w:r>
        <w:t>T</w:t>
      </w:r>
      <w:r w:rsidRPr="00631BC9">
        <w:t>he IDTA starts on the Start Dat</w:t>
      </w:r>
      <w:r>
        <w:t>e</w:t>
      </w:r>
      <w:r w:rsidRPr="00631BC9">
        <w:t xml:space="preserve"> and ends as set out in </w:t>
      </w:r>
      <w:r w:rsidRPr="00922CD0">
        <w:t xml:space="preserve">Sections </w:t>
      </w:r>
      <w:r>
        <w:fldChar w:fldCharType="begin"/>
      </w:r>
      <w:r>
        <w:instrText xml:space="preserve"> REF  Section_29 \h \r  \* MERGEFORMAT </w:instrText>
      </w:r>
      <w:r>
        <w:fldChar w:fldCharType="separate"/>
      </w:r>
      <w:r w:rsidR="00302D39">
        <w:t>29</w:t>
      </w:r>
      <w:r>
        <w:fldChar w:fldCharType="end"/>
      </w:r>
      <w:r w:rsidRPr="00922CD0">
        <w:t xml:space="preserve"> or </w:t>
      </w:r>
      <w:r>
        <w:fldChar w:fldCharType="begin"/>
      </w:r>
      <w:r>
        <w:instrText xml:space="preserve"> REF  Section_30 \h \r  \* MERGEFORMAT </w:instrText>
      </w:r>
      <w:r>
        <w:fldChar w:fldCharType="separate"/>
      </w:r>
      <w:r w:rsidR="00302D39">
        <w:t>30</w:t>
      </w:r>
      <w:r>
        <w:fldChar w:fldCharType="end"/>
      </w:r>
      <w:r w:rsidRPr="00922CD0">
        <w:t>.</w:t>
      </w:r>
    </w:p>
    <w:p w14:paraId="2D39FD4E" w14:textId="77777777" w:rsidR="00F67E9E" w:rsidRPr="009426CA" w:rsidRDefault="00F67E9E" w:rsidP="00F67E9E">
      <w:pPr>
        <w:pStyle w:val="AppendixText2"/>
      </w:pPr>
      <w:bookmarkStart w:id="2900" w:name="_Toc79405432"/>
      <w:r w:rsidRPr="00C025DC">
        <w:t xml:space="preserve">If the Importer is </w:t>
      </w:r>
      <w:r>
        <w:t>a</w:t>
      </w:r>
      <w:r w:rsidRPr="00C025DC">
        <w:t xml:space="preserve"> Processor or Sub</w:t>
      </w:r>
      <w:r>
        <w:t>-</w:t>
      </w:r>
      <w:r w:rsidRPr="00C025DC">
        <w:t>Processor</w:t>
      </w:r>
      <w:r>
        <w:t xml:space="preserve"> instructed by the Exporter: the Exporter must ensure</w:t>
      </w:r>
      <w:r w:rsidRPr="00C025DC">
        <w:t xml:space="preserve"> that</w:t>
      </w:r>
      <w:r>
        <w:t>, on or before the Start Date and during the Term,</w:t>
      </w:r>
      <w:r w:rsidRPr="00C025DC">
        <w:t xml:space="preserve"> there is a Linked Agreement </w:t>
      </w:r>
      <w:r>
        <w:t xml:space="preserve">which is enforceable </w:t>
      </w:r>
      <w:r w:rsidRPr="00C025DC">
        <w:t xml:space="preserve">between the Parties </w:t>
      </w:r>
      <w:r>
        <w:t xml:space="preserve">and </w:t>
      </w:r>
      <w:r w:rsidRPr="00C025DC">
        <w:t xml:space="preserve">which complies with </w:t>
      </w:r>
      <w:bookmarkStart w:id="2901" w:name="_9kR3WTr2AA45EPG6yimp7PCx36sgH4y8N"/>
      <w:r w:rsidRPr="00C025DC">
        <w:t>Article 28 UK GDPR</w:t>
      </w:r>
      <w:bookmarkEnd w:id="2901"/>
      <w:r w:rsidRPr="00C025DC">
        <w:t xml:space="preserve"> (and which they will ensure continues to comply with Article 28 UK GDPR).</w:t>
      </w:r>
      <w:bookmarkEnd w:id="2900"/>
      <w:r w:rsidRPr="00C025DC">
        <w:t xml:space="preserve"> </w:t>
      </w:r>
    </w:p>
    <w:p w14:paraId="24B75E32" w14:textId="77777777" w:rsidR="00F67E9E" w:rsidRDefault="00F67E9E" w:rsidP="00F67E9E">
      <w:pPr>
        <w:pStyle w:val="AppendixText2"/>
      </w:pPr>
      <w:bookmarkStart w:id="2902" w:name="_Toc79405433"/>
      <w:r w:rsidRPr="0014342E">
        <w:t xml:space="preserve">References to the Linked Agreement or to the Commercial Clauses are to that Linked Agreement or to those Commercial Clauses only </w:t>
      </w:r>
      <w:r>
        <w:t xml:space="preserve">in so far as </w:t>
      </w:r>
      <w:r w:rsidRPr="0014342E">
        <w:t xml:space="preserve">they are consistent with </w:t>
      </w:r>
      <w:r>
        <w:t>the Mandatory Clauses.</w:t>
      </w:r>
      <w:bookmarkEnd w:id="2902"/>
    </w:p>
    <w:p w14:paraId="29A57B3C" w14:textId="77777777" w:rsidR="00F67E9E" w:rsidRPr="00B642E6" w:rsidRDefault="00F67E9E" w:rsidP="00F67E9E">
      <w:pPr>
        <w:pStyle w:val="AppendixText1"/>
      </w:pPr>
      <w:bookmarkStart w:id="2903" w:name="Section_2"/>
      <w:bookmarkStart w:id="2904" w:name="_Ref77596149"/>
      <w:bookmarkStart w:id="2905" w:name="_Toc79405434"/>
      <w:bookmarkEnd w:id="2903"/>
      <w:r w:rsidRPr="00B642E6">
        <w:t>Legal Meaning of Words</w:t>
      </w:r>
      <w:bookmarkEnd w:id="2904"/>
      <w:bookmarkEnd w:id="2905"/>
    </w:p>
    <w:p w14:paraId="4C7562D2" w14:textId="57427916" w:rsidR="00F67E9E" w:rsidRPr="009426CA" w:rsidRDefault="00F67E9E" w:rsidP="00F67E9E">
      <w:pPr>
        <w:pStyle w:val="AppendixText2"/>
      </w:pPr>
      <w:bookmarkStart w:id="2906" w:name="_Toc79405435"/>
      <w:r w:rsidRPr="00F967FE">
        <w:t xml:space="preserve">If a word starts with a capital letter it has the specific meaning set out in </w:t>
      </w:r>
      <w:r>
        <w:t xml:space="preserve">the Legal </w:t>
      </w:r>
      <w:r w:rsidRPr="00501AF2">
        <w:t xml:space="preserve">Glossary in Section </w:t>
      </w:r>
      <w:r>
        <w:fldChar w:fldCharType="begin"/>
      </w:r>
      <w:r>
        <w:instrText xml:space="preserve"> REF  Section_36 \h \r  \* MERGEFORMAT </w:instrText>
      </w:r>
      <w:r>
        <w:fldChar w:fldCharType="separate"/>
      </w:r>
      <w:r w:rsidR="00302D39">
        <w:t>36</w:t>
      </w:r>
      <w:r>
        <w:fldChar w:fldCharType="end"/>
      </w:r>
      <w:r w:rsidRPr="00501AF2">
        <w:t>.</w:t>
      </w:r>
      <w:bookmarkEnd w:id="2906"/>
    </w:p>
    <w:p w14:paraId="4E5CEAB4" w14:textId="77777777" w:rsidR="00F67E9E" w:rsidRPr="009426CA" w:rsidRDefault="00F67E9E" w:rsidP="00F67E9E">
      <w:pPr>
        <w:pStyle w:val="AppendixText2"/>
      </w:pPr>
      <w:bookmarkStart w:id="2907" w:name="_Toc79405436"/>
      <w:r w:rsidRPr="00F967FE">
        <w:t>To make it easier to read and understand, this IDTA contains headings</w:t>
      </w:r>
      <w:r>
        <w:t xml:space="preserve"> and guidance notes</w:t>
      </w:r>
      <w:r w:rsidRPr="00F967FE">
        <w:t xml:space="preserve">. </w:t>
      </w:r>
      <w:r>
        <w:t>T</w:t>
      </w:r>
      <w:r w:rsidRPr="00F967FE">
        <w:t>hose are not part of the binding contract which forms the IDTA.</w:t>
      </w:r>
      <w:bookmarkEnd w:id="2907"/>
    </w:p>
    <w:p w14:paraId="5DA4E21E" w14:textId="77777777" w:rsidR="00F67E9E" w:rsidRPr="00B642E6" w:rsidRDefault="00F67E9E" w:rsidP="00F67E9E">
      <w:pPr>
        <w:pStyle w:val="AppendixText1"/>
        <w:tabs>
          <w:tab w:val="clear" w:pos="720"/>
          <w:tab w:val="num" w:pos="1080"/>
        </w:tabs>
      </w:pPr>
      <w:bookmarkStart w:id="2908" w:name="Section_3"/>
      <w:bookmarkStart w:id="2909" w:name="_Ref76414657"/>
      <w:bookmarkStart w:id="2910" w:name="_Toc79405437"/>
      <w:bookmarkStart w:id="2911" w:name="_Ref70642920"/>
      <w:bookmarkEnd w:id="2908"/>
      <w:r w:rsidRPr="00B642E6">
        <w:t>You have provided all the information required</w:t>
      </w:r>
      <w:bookmarkEnd w:id="2909"/>
      <w:bookmarkEnd w:id="2910"/>
    </w:p>
    <w:p w14:paraId="198373DD" w14:textId="77777777" w:rsidR="00F67E9E" w:rsidRPr="009426CA" w:rsidRDefault="00F67E9E" w:rsidP="00F67E9E">
      <w:pPr>
        <w:pStyle w:val="AppendixText2"/>
      </w:pPr>
      <w:bookmarkStart w:id="2912" w:name="_Toc79405438"/>
      <w:r w:rsidRPr="00F967FE">
        <w:t xml:space="preserve">The Parties </w:t>
      </w:r>
      <w:r>
        <w:t xml:space="preserve">must ensure that </w:t>
      </w:r>
      <w:r w:rsidRPr="00F967FE">
        <w:t xml:space="preserve">the information contained in </w:t>
      </w:r>
      <w:r>
        <w:t xml:space="preserve">Part one: </w:t>
      </w:r>
      <w:r w:rsidRPr="00F967FE">
        <w:t>Tables</w:t>
      </w:r>
      <w:r>
        <w:t xml:space="preserve"> </w:t>
      </w:r>
      <w:r w:rsidRPr="00CF3FE4">
        <w:t>is correct and complete</w:t>
      </w:r>
      <w:bookmarkEnd w:id="2912"/>
      <w:r>
        <w:t xml:space="preserve"> at the Start Date and during the Term</w:t>
      </w:r>
      <w:r w:rsidRPr="00CF3FE4">
        <w:t xml:space="preserve">. </w:t>
      </w:r>
    </w:p>
    <w:p w14:paraId="6300AC64" w14:textId="77777777" w:rsidR="00F67E9E" w:rsidRPr="009426CA" w:rsidRDefault="00F67E9E" w:rsidP="00F67E9E">
      <w:pPr>
        <w:pStyle w:val="AppendixText2"/>
      </w:pPr>
      <w:bookmarkStart w:id="2913" w:name="_Toc79405439"/>
      <w:r w:rsidRPr="00F967FE">
        <w:t>In Table 2</w:t>
      </w:r>
      <w:r>
        <w:t>: Transfer Details</w:t>
      </w:r>
      <w:r w:rsidRPr="00F967FE">
        <w:t>, if the selection that the Parties are Controllers, Processors or Sub</w:t>
      </w:r>
      <w:r>
        <w:t>-</w:t>
      </w:r>
      <w:r w:rsidRPr="00F967FE">
        <w:t xml:space="preserve">Processors </w:t>
      </w:r>
      <w:r>
        <w:t>is wrong (either as a matter of fact or as a result of applying the UK Data Protection Laws) then</w:t>
      </w:r>
      <w:r w:rsidRPr="00F967FE">
        <w:t>:</w:t>
      </w:r>
      <w:bookmarkEnd w:id="2913"/>
    </w:p>
    <w:p w14:paraId="2BE260A1" w14:textId="77777777" w:rsidR="00F67E9E" w:rsidRPr="009426CA" w:rsidRDefault="00F67E9E" w:rsidP="00F67E9E">
      <w:pPr>
        <w:pStyle w:val="AppendixText3"/>
      </w:pPr>
      <w:r w:rsidRPr="00F967FE">
        <w:t xml:space="preserve">the terms and conditions of the </w:t>
      </w:r>
      <w:r w:rsidRPr="006D0A8A">
        <w:t>Approved IDTA</w:t>
      </w:r>
      <w:r w:rsidRPr="00F967FE">
        <w:t xml:space="preserve"> </w:t>
      </w:r>
      <w:r>
        <w:t xml:space="preserve">which </w:t>
      </w:r>
      <w:r w:rsidRPr="00F967FE">
        <w:t xml:space="preserve">apply to the </w:t>
      </w:r>
      <w:r>
        <w:t>correct option which was not selected will apply; and</w:t>
      </w:r>
    </w:p>
    <w:p w14:paraId="26A1D456" w14:textId="77777777" w:rsidR="00F67E9E" w:rsidRPr="009426CA" w:rsidRDefault="00F67E9E" w:rsidP="00F67E9E">
      <w:pPr>
        <w:pStyle w:val="AppendixText3"/>
      </w:pPr>
      <w:r w:rsidRPr="009E2909">
        <w:t xml:space="preserve">the Parties and any </w:t>
      </w:r>
      <w:r>
        <w:t>Relevant Data Subject</w:t>
      </w:r>
      <w:r w:rsidRPr="009E2909">
        <w:t xml:space="preserve">s are entitled to enforce the terms and conditions of the </w:t>
      </w:r>
      <w:r>
        <w:t>Approved IDTA</w:t>
      </w:r>
      <w:r w:rsidRPr="009E2909">
        <w:t xml:space="preserve"> which apply to </w:t>
      </w:r>
      <w:r>
        <w:t xml:space="preserve">that </w:t>
      </w:r>
      <w:r w:rsidRPr="009E2909">
        <w:t xml:space="preserve">correct </w:t>
      </w:r>
      <w:r>
        <w:t>option</w:t>
      </w:r>
      <w:r w:rsidRPr="00F967FE">
        <w:t>.</w:t>
      </w:r>
    </w:p>
    <w:p w14:paraId="295BA489" w14:textId="77777777" w:rsidR="00F67E9E" w:rsidRPr="009426CA" w:rsidRDefault="00F67E9E" w:rsidP="00F67E9E">
      <w:pPr>
        <w:pStyle w:val="AppendixText2"/>
      </w:pPr>
      <w:bookmarkStart w:id="2914" w:name="_Toc79405440"/>
      <w:r w:rsidRPr="00726186">
        <w:t xml:space="preserve">In Table 2: Transfer Details, if the selection that the UK GDPR applies is wrong </w:t>
      </w:r>
      <w:r>
        <w:t>(either as a matter of fact or as a result of applying the UK Data Protection Laws)</w:t>
      </w:r>
      <w:r w:rsidRPr="00726186">
        <w:t>, then the terms and conditions of the IDTA will still apply to the greatest extent possible.</w:t>
      </w:r>
      <w:bookmarkEnd w:id="2914"/>
    </w:p>
    <w:p w14:paraId="3BC3E593" w14:textId="77777777" w:rsidR="00F67E9E" w:rsidRPr="00B642E6" w:rsidRDefault="00F67E9E" w:rsidP="00F67E9E">
      <w:pPr>
        <w:pStyle w:val="AppendixText1"/>
      </w:pPr>
      <w:bookmarkStart w:id="2915" w:name="Section_4"/>
      <w:bookmarkStart w:id="2916" w:name="_Toc79405441"/>
      <w:bookmarkEnd w:id="2911"/>
      <w:bookmarkEnd w:id="2915"/>
      <w:r w:rsidRPr="00B642E6">
        <w:t>How to sign the IDTA</w:t>
      </w:r>
      <w:bookmarkEnd w:id="2916"/>
    </w:p>
    <w:p w14:paraId="654B0F04" w14:textId="77777777" w:rsidR="00F67E9E" w:rsidRPr="009426CA" w:rsidRDefault="00F67E9E" w:rsidP="00F67E9E">
      <w:pPr>
        <w:pStyle w:val="AppendixText2"/>
      </w:pPr>
      <w:bookmarkStart w:id="2917" w:name="_Toc79405442"/>
      <w:r w:rsidRPr="00F967FE">
        <w:t>The Parties may choose to</w:t>
      </w:r>
      <w:r>
        <w:t xml:space="preserve"> each sign (or execute):</w:t>
      </w:r>
      <w:bookmarkEnd w:id="2917"/>
    </w:p>
    <w:p w14:paraId="0B8C0BC3" w14:textId="77777777" w:rsidR="00F67E9E" w:rsidRPr="009426CA" w:rsidRDefault="00F67E9E" w:rsidP="00F67E9E">
      <w:pPr>
        <w:pStyle w:val="AppendixText3"/>
      </w:pPr>
      <w:r w:rsidRPr="00F967FE">
        <w:t xml:space="preserve">the same copy of this IDTA; </w:t>
      </w:r>
    </w:p>
    <w:p w14:paraId="16ABDC42" w14:textId="77777777" w:rsidR="00F67E9E" w:rsidRPr="009426CA" w:rsidRDefault="00F67E9E" w:rsidP="00F67E9E">
      <w:pPr>
        <w:pStyle w:val="AppendixText3"/>
      </w:pPr>
      <w:r w:rsidRPr="00F967FE">
        <w:t xml:space="preserve">two copies of the IDTA. In that case, each identical copy is still an original of this IDTA, and together all those copies form one agreement; </w:t>
      </w:r>
    </w:p>
    <w:p w14:paraId="5A2D8E17" w14:textId="77777777" w:rsidR="00F67E9E" w:rsidRPr="009426CA" w:rsidRDefault="00F67E9E" w:rsidP="00F67E9E">
      <w:pPr>
        <w:pStyle w:val="AppendixText3"/>
      </w:pPr>
      <w:r w:rsidRPr="00F967FE">
        <w:t>a separate, identical copy</w:t>
      </w:r>
      <w:r>
        <w:t xml:space="preserve"> of the IDTA</w:t>
      </w:r>
      <w:r w:rsidRPr="00F967FE">
        <w:t>. In that case, each identical copy is still an original of this IDTA, and together all those copies form one agreement</w:t>
      </w:r>
      <w:r>
        <w:t>,</w:t>
      </w:r>
    </w:p>
    <w:p w14:paraId="20B0F873" w14:textId="77777777" w:rsidR="00F67E9E" w:rsidRPr="009426CA" w:rsidRDefault="00F67E9E" w:rsidP="00F67E9E">
      <w:pPr>
        <w:pStyle w:val="Level2"/>
        <w:numPr>
          <w:ilvl w:val="0"/>
          <w:numId w:val="0"/>
        </w:numPr>
        <w:ind w:left="680"/>
      </w:pPr>
      <w:r w:rsidRPr="00015733">
        <w:t>unless signing (or executing) in this way would mean that the IDTA would not be binding on the Parties under Local Laws.</w:t>
      </w:r>
    </w:p>
    <w:p w14:paraId="4038236D" w14:textId="77777777" w:rsidR="00F67E9E" w:rsidRPr="00B642E6" w:rsidRDefault="00F67E9E" w:rsidP="00F67E9E">
      <w:pPr>
        <w:pStyle w:val="AppendixText1"/>
      </w:pPr>
      <w:bookmarkStart w:id="2918" w:name="Section_5"/>
      <w:bookmarkStart w:id="2919" w:name="_Ref77138474"/>
      <w:bookmarkStart w:id="2920" w:name="_Toc79405443"/>
      <w:bookmarkEnd w:id="2918"/>
      <w:r w:rsidRPr="00B642E6">
        <w:t>Changing this IDTA</w:t>
      </w:r>
      <w:bookmarkEnd w:id="2919"/>
      <w:bookmarkEnd w:id="2920"/>
    </w:p>
    <w:p w14:paraId="44B3E9A9" w14:textId="77777777" w:rsidR="00F67E9E" w:rsidRPr="009426CA" w:rsidRDefault="00F67E9E" w:rsidP="00F67E9E">
      <w:pPr>
        <w:pStyle w:val="AppendixText2"/>
      </w:pPr>
      <w:bookmarkStart w:id="2921" w:name="_Toc79405444"/>
      <w:r w:rsidRPr="00F967FE">
        <w:t xml:space="preserve">Each Party must not </w:t>
      </w:r>
      <w:r>
        <w:t>change</w:t>
      </w:r>
      <w:r w:rsidRPr="00F967FE">
        <w:t xml:space="preserve"> the Mandatory Clauses</w:t>
      </w:r>
      <w:r>
        <w:t xml:space="preserve"> as set out in the Approved IDTA</w:t>
      </w:r>
      <w:r w:rsidRPr="00F967FE">
        <w:t>, except only:</w:t>
      </w:r>
      <w:bookmarkEnd w:id="2921"/>
    </w:p>
    <w:p w14:paraId="4517C2CC" w14:textId="77777777" w:rsidR="00F67E9E" w:rsidRPr="0066727D" w:rsidRDefault="00F67E9E" w:rsidP="00F67E9E">
      <w:pPr>
        <w:pStyle w:val="AppendixText3"/>
        <w:tabs>
          <w:tab w:val="clear" w:pos="1800"/>
          <w:tab w:val="num" w:pos="2160"/>
        </w:tabs>
      </w:pPr>
      <w:r w:rsidRPr="0066727D">
        <w:t>to ensure correct cross-referencing: cross-references to Part one: Tables (or any Table), Part two: Extra Protections, and/or Part three: Commercial Clauses can be changed where the Parties have set out the information in a different format, so that the cross-reference is to the correct location of the same information, or where clauses have been removed as they do not apply, as set out below;</w:t>
      </w:r>
    </w:p>
    <w:p w14:paraId="3B98F41C" w14:textId="77777777" w:rsidR="00F67E9E" w:rsidRPr="0066727D" w:rsidRDefault="00F67E9E" w:rsidP="00F67E9E">
      <w:pPr>
        <w:pStyle w:val="AppendixText3"/>
        <w:tabs>
          <w:tab w:val="clear" w:pos="1800"/>
          <w:tab w:val="num" w:pos="2160"/>
        </w:tabs>
      </w:pPr>
      <w:r w:rsidRPr="0066727D">
        <w:t xml:space="preserve">to remove those Sections which are expressly stated not to apply to the selections made by the Parties in Table 2: Transfer Details, that the Parties are Controllers, Processors or Sub-Processors and/or that the Importer is subject to, or not subject to, the UK GDPR. The Exporter and Importer understand and acknowledge that any removed </w:t>
      </w:r>
      <w:r>
        <w:t>S</w:t>
      </w:r>
      <w:r w:rsidRPr="0066727D">
        <w:t>ections may still apply and form a part of this IDTA if they have been removed incorrectly, including because the wrong selection is made in Table 2: Transfer Details;</w:t>
      </w:r>
    </w:p>
    <w:p w14:paraId="75D9B481" w14:textId="77777777" w:rsidR="00F67E9E" w:rsidRPr="0066727D" w:rsidRDefault="00F67E9E" w:rsidP="00F67E9E">
      <w:pPr>
        <w:pStyle w:val="AppendixText3"/>
        <w:tabs>
          <w:tab w:val="clear" w:pos="1800"/>
          <w:tab w:val="num" w:pos="2160"/>
        </w:tabs>
      </w:pPr>
      <w:r w:rsidRPr="0066727D">
        <w:t>so the IDTA operates as a multi-party agreement if there are more than two Parties to the IDTA. This may include nominating a lead Party or lead Parties which can make decisions on behalf of some or all of the other Parties which relate to this IDTA (including reviewing Table 4: Security Requirements and Part two: Extra Protection Clauses, and making updates to Part one: Tables (or any Table), Part two: Extra Protection Clauses, and/or Part three: Commercial Clauses); and/or</w:t>
      </w:r>
    </w:p>
    <w:p w14:paraId="3BEEAD01" w14:textId="1D1C7EDE" w:rsidR="00F67E9E" w:rsidRPr="00E3022A" w:rsidRDefault="00F67E9E" w:rsidP="00F67E9E">
      <w:pPr>
        <w:pStyle w:val="AppendixText3"/>
        <w:tabs>
          <w:tab w:val="clear" w:pos="1800"/>
          <w:tab w:val="num" w:pos="2160"/>
        </w:tabs>
      </w:pPr>
      <w:r w:rsidRPr="0066727D">
        <w:t>to update the IDTA to set out in writing any changes made to the Approved IDTA under Section</w:t>
      </w:r>
      <w:r>
        <w:t xml:space="preserve"> </w:t>
      </w:r>
      <w:r>
        <w:fldChar w:fldCharType="begin"/>
      </w:r>
      <w:r>
        <w:instrText xml:space="preserve"> REF _Ref92478018 \r \h </w:instrText>
      </w:r>
      <w:r>
        <w:fldChar w:fldCharType="separate"/>
      </w:r>
      <w:r w:rsidR="00302D39">
        <w:t>5.4</w:t>
      </w:r>
      <w:r>
        <w:fldChar w:fldCharType="end"/>
      </w:r>
      <w:r>
        <w:t xml:space="preserve">, if the Parties want to. The changes will apply automatically without updating them as described in Section </w:t>
      </w:r>
      <w:r>
        <w:fldChar w:fldCharType="begin"/>
      </w:r>
      <w:r>
        <w:instrText xml:space="preserve"> REF _Ref92478018 \r \h </w:instrText>
      </w:r>
      <w:r>
        <w:fldChar w:fldCharType="separate"/>
      </w:r>
      <w:r w:rsidR="00302D39">
        <w:t>5.4</w:t>
      </w:r>
      <w:r>
        <w:fldChar w:fldCharType="end"/>
      </w:r>
      <w:r w:rsidRPr="00E3022A">
        <w:t>;</w:t>
      </w:r>
    </w:p>
    <w:p w14:paraId="4E6FC7D2" w14:textId="77777777" w:rsidR="00F67E9E" w:rsidRPr="009426CA" w:rsidRDefault="00F67E9E" w:rsidP="00F67E9E">
      <w:pPr>
        <w:pStyle w:val="AppendixText2continued"/>
      </w:pPr>
      <w:r w:rsidRPr="00015733">
        <w:t>provided that the changes do not reduce the Appropriate Safeguards.</w:t>
      </w:r>
    </w:p>
    <w:p w14:paraId="31518F91" w14:textId="77777777" w:rsidR="00F67E9E" w:rsidRPr="00B1026C" w:rsidRDefault="00F67E9E" w:rsidP="00F67E9E">
      <w:pPr>
        <w:pStyle w:val="AppendixText2"/>
      </w:pPr>
      <w:bookmarkStart w:id="2922" w:name="_Ref75671126"/>
      <w:bookmarkStart w:id="2923" w:name="_Toc79405445"/>
      <w:r w:rsidRPr="00B1026C">
        <w:t>If the Parties wish to change the format of the information included in Part one: Tables, Part two: Extra Protection Clauses or Part three: Commercial Clauses of the Approved IDTA, they may do so by agreeing to the change in writing, provided that the change does not reduce the Appropriate Safeguards.</w:t>
      </w:r>
      <w:bookmarkEnd w:id="2922"/>
      <w:bookmarkEnd w:id="2923"/>
    </w:p>
    <w:p w14:paraId="20FD8412" w14:textId="77777777" w:rsidR="00F67E9E" w:rsidRPr="00B1026C" w:rsidRDefault="00F67E9E" w:rsidP="00F67E9E">
      <w:pPr>
        <w:pStyle w:val="AppendixText2"/>
      </w:pPr>
      <w:bookmarkStart w:id="2924" w:name="_Ref92477298"/>
      <w:bookmarkStart w:id="2925" w:name="_Ref89699068"/>
      <w:r w:rsidRPr="00B1026C">
        <w:t>If the Parties wish to change the information included in Part one: Tables, Part two: Extra Protection Clauses or Part three: Commercial Clauses of this IDTA (or the equivalent information), they may do so by agreeing to the change in writing, provided that the change does not reduce the Appropriate Safeguards.</w:t>
      </w:r>
      <w:bookmarkEnd w:id="2924"/>
    </w:p>
    <w:p w14:paraId="38C06A93" w14:textId="77777777" w:rsidR="00F67E9E" w:rsidRPr="00B1026C" w:rsidRDefault="00F67E9E" w:rsidP="00F67E9E">
      <w:pPr>
        <w:pStyle w:val="AppendixText2"/>
      </w:pPr>
      <w:bookmarkStart w:id="2926" w:name="_Ref92478018"/>
      <w:r w:rsidRPr="007D2FE5">
        <w:t>From time to time, the ICO may publish a revised Approved IDTA which</w:t>
      </w:r>
      <w:r w:rsidRPr="00B1026C">
        <w:t>:</w:t>
      </w:r>
      <w:bookmarkEnd w:id="2925"/>
      <w:bookmarkEnd w:id="2926"/>
      <w:r w:rsidRPr="00B1026C">
        <w:t xml:space="preserve"> </w:t>
      </w:r>
    </w:p>
    <w:p w14:paraId="48C5608B" w14:textId="77777777" w:rsidR="00F67E9E" w:rsidRDefault="00F67E9E" w:rsidP="00F67E9E">
      <w:pPr>
        <w:pStyle w:val="AppendixText3"/>
        <w:tabs>
          <w:tab w:val="clear" w:pos="1800"/>
          <w:tab w:val="num" w:pos="2160"/>
        </w:tabs>
      </w:pPr>
      <w:r w:rsidRPr="00C4394B">
        <w:t xml:space="preserve">makes reasonable and proportionate changes to the </w:t>
      </w:r>
      <w:r>
        <w:t xml:space="preserve">Approved </w:t>
      </w:r>
      <w:r w:rsidRPr="00C4394B">
        <w:t xml:space="preserve">IDTA, including correcting errors in </w:t>
      </w:r>
      <w:r>
        <w:t>the Approved IDTA</w:t>
      </w:r>
      <w:r w:rsidRPr="00C4394B">
        <w:t>; and/</w:t>
      </w:r>
      <w:r>
        <w:t>or</w:t>
      </w:r>
    </w:p>
    <w:p w14:paraId="571597DA" w14:textId="77777777" w:rsidR="00F67E9E" w:rsidRDefault="00F67E9E" w:rsidP="00F67E9E">
      <w:pPr>
        <w:pStyle w:val="AppendixText3"/>
        <w:tabs>
          <w:tab w:val="clear" w:pos="1800"/>
          <w:tab w:val="num" w:pos="2160"/>
        </w:tabs>
      </w:pPr>
      <w:r w:rsidRPr="00610AE1">
        <w:t>reflects changes to UK Data Protection Laws</w:t>
      </w:r>
      <w:r>
        <w:t>.</w:t>
      </w:r>
    </w:p>
    <w:p w14:paraId="726F5A7D" w14:textId="77777777" w:rsidR="00F67E9E" w:rsidRPr="00B1026C" w:rsidRDefault="00F67E9E" w:rsidP="00F67E9E">
      <w:pPr>
        <w:pStyle w:val="AppendixText2continued"/>
        <w:ind w:left="720"/>
      </w:pPr>
      <w:bookmarkStart w:id="2927" w:name="_Ref89703302"/>
      <w:r w:rsidRPr="00486DFD">
        <w:t xml:space="preserve">The revised Approved IDTA will specify the start date </w:t>
      </w:r>
      <w:r>
        <w:t xml:space="preserve">from which </w:t>
      </w:r>
      <w:r w:rsidRPr="00486DFD">
        <w:t xml:space="preserve">the changes to the Approved IDTA are effective </w:t>
      </w:r>
      <w:r>
        <w:t xml:space="preserve">and whether an </w:t>
      </w:r>
      <w:r w:rsidRPr="00486DFD">
        <w:t xml:space="preserve">additional Review Date </w:t>
      </w:r>
      <w:r>
        <w:t xml:space="preserve">is </w:t>
      </w:r>
      <w:r w:rsidRPr="00486DFD">
        <w:t>required as a result of the changes. This IDTA is automatically amended as set out in the revised Approved IDTA from the start date specified</w:t>
      </w:r>
      <w:r w:rsidRPr="00B1026C">
        <w:t xml:space="preserve">. </w:t>
      </w:r>
      <w:bookmarkEnd w:id="2927"/>
    </w:p>
    <w:p w14:paraId="34EF5483" w14:textId="77777777" w:rsidR="00F67E9E" w:rsidRPr="00B642E6" w:rsidRDefault="00F67E9E" w:rsidP="00F67E9E">
      <w:pPr>
        <w:pStyle w:val="AppendixText1"/>
        <w:tabs>
          <w:tab w:val="clear" w:pos="720"/>
          <w:tab w:val="num" w:pos="1080"/>
        </w:tabs>
      </w:pPr>
      <w:bookmarkStart w:id="2928" w:name="Section_6"/>
      <w:bookmarkStart w:id="2929" w:name="_Ref71912501"/>
      <w:bookmarkStart w:id="2930" w:name="_Toc79405446"/>
      <w:bookmarkEnd w:id="2928"/>
      <w:r w:rsidRPr="00B642E6">
        <w:t>Understanding this IDTA</w:t>
      </w:r>
      <w:bookmarkEnd w:id="2929"/>
      <w:bookmarkEnd w:id="2930"/>
    </w:p>
    <w:p w14:paraId="5C89FD08" w14:textId="77777777" w:rsidR="00F67E9E" w:rsidRPr="009426CA" w:rsidRDefault="00F67E9E" w:rsidP="00F67E9E">
      <w:pPr>
        <w:pStyle w:val="AppendixText2"/>
      </w:pPr>
      <w:bookmarkStart w:id="2931" w:name="_Toc79405447"/>
      <w:bookmarkStart w:id="2932" w:name="_Hlk71144875"/>
      <w:r w:rsidRPr="00F967FE">
        <w:t xml:space="preserve">This IDTA must always be </w:t>
      </w:r>
      <w:r>
        <w:t>interpreted</w:t>
      </w:r>
      <w:r w:rsidRPr="00F967FE">
        <w:t xml:space="preserve"> in a manner that is consistent with UK Data Protection </w:t>
      </w:r>
      <w:r>
        <w:t>L</w:t>
      </w:r>
      <w:r w:rsidRPr="00F967FE">
        <w:t>aw</w:t>
      </w:r>
      <w:r>
        <w:t xml:space="preserve">s </w:t>
      </w:r>
      <w:r w:rsidRPr="002C4C5E">
        <w:t xml:space="preserve">and </w:t>
      </w:r>
      <w:r w:rsidRPr="00151044">
        <w:t>so that it fulfils the Parties</w:t>
      </w:r>
      <w:r>
        <w:t>’</w:t>
      </w:r>
      <w:r w:rsidRPr="00151044">
        <w:t xml:space="preserve"> obligation to provide the Appropriate Safeguards</w:t>
      </w:r>
      <w:r>
        <w:t>.</w:t>
      </w:r>
      <w:bookmarkEnd w:id="2931"/>
      <w:r>
        <w:t xml:space="preserve"> </w:t>
      </w:r>
    </w:p>
    <w:p w14:paraId="34BCF4C6" w14:textId="77777777" w:rsidR="00F67E9E" w:rsidRPr="009426CA" w:rsidRDefault="00F67E9E" w:rsidP="00F67E9E">
      <w:pPr>
        <w:pStyle w:val="AppendixText2"/>
      </w:pPr>
      <w:bookmarkStart w:id="2933" w:name="_Toc79405448"/>
      <w:r w:rsidRPr="00F967FE">
        <w:t>If there is a</w:t>
      </w:r>
      <w:r>
        <w:t xml:space="preserve">ny inconsistency or conflict </w:t>
      </w:r>
      <w:r w:rsidRPr="00F967FE">
        <w:t xml:space="preserve">between UK Data Protection Laws and this IDTA, the </w:t>
      </w:r>
      <w:r>
        <w:t xml:space="preserve">UK </w:t>
      </w:r>
      <w:r w:rsidRPr="00F967FE">
        <w:t>Data Protection Laws appl</w:t>
      </w:r>
      <w:r>
        <w:t>y.</w:t>
      </w:r>
      <w:bookmarkEnd w:id="2933"/>
    </w:p>
    <w:p w14:paraId="500713BD" w14:textId="77777777" w:rsidR="00F67E9E" w:rsidRPr="009426CA" w:rsidRDefault="00F67E9E" w:rsidP="00F67E9E">
      <w:pPr>
        <w:pStyle w:val="AppendixText2"/>
      </w:pPr>
      <w:bookmarkStart w:id="2934" w:name="_Toc79405449"/>
      <w:bookmarkEnd w:id="2932"/>
      <w:r w:rsidRPr="00F967FE">
        <w:t>If the meaning of the IDTA is unclear or there is more than one meaning, the meaning which most closely aligns with the UK Data Protection Laws applies.</w:t>
      </w:r>
      <w:bookmarkEnd w:id="2934"/>
      <w:r w:rsidRPr="00F967FE">
        <w:t xml:space="preserve"> </w:t>
      </w:r>
    </w:p>
    <w:p w14:paraId="3A8D2243" w14:textId="77777777" w:rsidR="00F67E9E" w:rsidRPr="009426CA" w:rsidRDefault="00F67E9E" w:rsidP="00F67E9E">
      <w:pPr>
        <w:pStyle w:val="AppendixText2"/>
      </w:pPr>
      <w:bookmarkStart w:id="2935" w:name="_Toc79405450"/>
      <w:r w:rsidRPr="00FA25C3">
        <w:t xml:space="preserve">Nothing in the IDTA (including the Commercial Clauses or the Linked Agreement) limits </w:t>
      </w:r>
      <w:r>
        <w:t>or excludes either Party’s</w:t>
      </w:r>
      <w:r w:rsidRPr="00FA25C3">
        <w:t xml:space="preserve"> liability to </w:t>
      </w:r>
      <w:r>
        <w:t>Relevant Data Subject</w:t>
      </w:r>
      <w:r w:rsidRPr="00FA25C3">
        <w:t>s or to the ICO</w:t>
      </w:r>
      <w:r>
        <w:t xml:space="preserve"> under this IDTA or under UK Data Protection Laws</w:t>
      </w:r>
      <w:r w:rsidRPr="00FA25C3">
        <w:t>.</w:t>
      </w:r>
      <w:bookmarkEnd w:id="2935"/>
    </w:p>
    <w:p w14:paraId="53682DB2" w14:textId="77777777" w:rsidR="00F67E9E" w:rsidRPr="009426CA" w:rsidRDefault="00F67E9E" w:rsidP="00F67E9E">
      <w:pPr>
        <w:pStyle w:val="AppendixText2"/>
      </w:pPr>
      <w:bookmarkStart w:id="2936" w:name="_Toc79405451"/>
      <w:r w:rsidRPr="00F967FE">
        <w:t xml:space="preserve">If any wording in Parts </w:t>
      </w:r>
      <w:r>
        <w:t>one</w:t>
      </w:r>
      <w:r w:rsidRPr="00F967FE">
        <w:t xml:space="preserve">, </w:t>
      </w:r>
      <w:r>
        <w:t>two</w:t>
      </w:r>
      <w:r w:rsidRPr="00F967FE">
        <w:t xml:space="preserve"> or </w:t>
      </w:r>
      <w:r>
        <w:t>three</w:t>
      </w:r>
      <w:r w:rsidRPr="00F967FE">
        <w:t xml:space="preserve"> </w:t>
      </w:r>
      <w:r>
        <w:t>contradicts</w:t>
      </w:r>
      <w:r w:rsidRPr="00F967FE">
        <w:t xml:space="preserve"> the Mandatory Clauses, and/or seeks to limit </w:t>
      </w:r>
      <w:r>
        <w:t xml:space="preserve">or exclude </w:t>
      </w:r>
      <w:r w:rsidRPr="00F967FE">
        <w:t xml:space="preserve">any liability to </w:t>
      </w:r>
      <w:r>
        <w:t>Relevant Data Subject</w:t>
      </w:r>
      <w:r w:rsidRPr="00F967FE">
        <w:t>s or to the ICO, then that wording will not apply.</w:t>
      </w:r>
      <w:bookmarkEnd w:id="2936"/>
    </w:p>
    <w:p w14:paraId="5EADD8D5" w14:textId="77777777" w:rsidR="00F67E9E" w:rsidRPr="009426CA" w:rsidRDefault="00F67E9E" w:rsidP="00F67E9E">
      <w:pPr>
        <w:pStyle w:val="AppendixText2"/>
      </w:pPr>
      <w:bookmarkStart w:id="2937" w:name="_Ref77587516"/>
      <w:r>
        <w:t xml:space="preserve">The Parties may include provisions in the Linked Agreement which provide the Parties with enhanced rights otherwise covered by this IDTA. These enhanced rights may be subject to commercial terms, including payment, under the Linked Agreement, but this will not affect the rights granted under this IDTA. </w:t>
      </w:r>
    </w:p>
    <w:p w14:paraId="4E64550B" w14:textId="77777777" w:rsidR="00F67E9E" w:rsidRPr="009426CA" w:rsidRDefault="00F67E9E" w:rsidP="00F67E9E">
      <w:pPr>
        <w:pStyle w:val="AppendixText2"/>
      </w:pPr>
      <w:bookmarkStart w:id="2938" w:name="_Toc79405452"/>
      <w:r w:rsidRPr="00F967FE">
        <w:t>If there is a</w:t>
      </w:r>
      <w:r>
        <w:t xml:space="preserve">ny inconsistency or conflict </w:t>
      </w:r>
      <w:r w:rsidRPr="00F967FE">
        <w:t xml:space="preserve">between this IDTA and </w:t>
      </w:r>
      <w:r>
        <w:t xml:space="preserve">a Linked Agreement or </w:t>
      </w:r>
      <w:r w:rsidRPr="00F967FE">
        <w:t xml:space="preserve">any other agreement, this IDTA overrides </w:t>
      </w:r>
      <w:r>
        <w:t xml:space="preserve">that Linked Agreement or any </w:t>
      </w:r>
      <w:r w:rsidRPr="00F967FE">
        <w:t>other agreement</w:t>
      </w:r>
      <w:r>
        <w:t>s, even if those agreements have been negotiated by the Parties. The exceptions to this are where (and in so far as):</w:t>
      </w:r>
      <w:bookmarkEnd w:id="2937"/>
      <w:bookmarkEnd w:id="2938"/>
    </w:p>
    <w:p w14:paraId="7A1F75E3" w14:textId="77777777" w:rsidR="00F67E9E" w:rsidRPr="009426CA" w:rsidRDefault="00F67E9E" w:rsidP="00F67E9E">
      <w:pPr>
        <w:pStyle w:val="AppendixText3"/>
        <w:tabs>
          <w:tab w:val="clear" w:pos="1800"/>
          <w:tab w:val="num" w:pos="2160"/>
        </w:tabs>
      </w:pPr>
      <w:r w:rsidRPr="00900A74">
        <w:t xml:space="preserve">the </w:t>
      </w:r>
      <w:r>
        <w:t>inconsistent</w:t>
      </w:r>
      <w:r w:rsidRPr="00900A74">
        <w:t xml:space="preserve"> </w:t>
      </w:r>
      <w:r>
        <w:t xml:space="preserve">or conflicting </w:t>
      </w:r>
      <w:r w:rsidRPr="00900A74">
        <w:t xml:space="preserve">terms of the Linked Agreement or other agreement provide greater protection for the </w:t>
      </w:r>
      <w:r>
        <w:t>Relevant Data Subject’</w:t>
      </w:r>
      <w:r w:rsidRPr="00900A74">
        <w:t>s rights, in which case those terms will override the IDTA; and</w:t>
      </w:r>
    </w:p>
    <w:p w14:paraId="23FA7F13" w14:textId="77777777" w:rsidR="00F67E9E" w:rsidRPr="009426CA" w:rsidRDefault="00F67E9E" w:rsidP="00F67E9E">
      <w:pPr>
        <w:pStyle w:val="AppendixText3"/>
        <w:tabs>
          <w:tab w:val="clear" w:pos="1800"/>
          <w:tab w:val="num" w:pos="2160"/>
        </w:tabs>
      </w:pPr>
      <w:r>
        <w:t xml:space="preserve">a Party acts as Processor and </w:t>
      </w:r>
      <w:r w:rsidRPr="00900A74">
        <w:t xml:space="preserve">the </w:t>
      </w:r>
      <w:r>
        <w:t>inconsistent</w:t>
      </w:r>
      <w:r w:rsidRPr="00900A74">
        <w:t xml:space="preserve"> </w:t>
      </w:r>
      <w:r>
        <w:t xml:space="preserve">or conflicting </w:t>
      </w:r>
      <w:r w:rsidRPr="00900A74">
        <w:t xml:space="preserve">terms of the Linked Agreement are </w:t>
      </w:r>
      <w:r>
        <w:t xml:space="preserve">obligations on that Party expressly </w:t>
      </w:r>
      <w:r w:rsidRPr="00900A74">
        <w:t>required by Article 28 UK GD</w:t>
      </w:r>
      <w:r>
        <w:t>P</w:t>
      </w:r>
      <w:r w:rsidRPr="00900A74">
        <w:t xml:space="preserve">R, in which case those terms will override </w:t>
      </w:r>
      <w:r>
        <w:t xml:space="preserve">the inconsistent or conflicting terms of the </w:t>
      </w:r>
      <w:r w:rsidRPr="00900A74">
        <w:t>IDTA</w:t>
      </w:r>
      <w:r>
        <w:t xml:space="preserve"> in relation to Processing by that Party as Processor</w:t>
      </w:r>
      <w:r w:rsidRPr="00900A74">
        <w:t>.</w:t>
      </w:r>
    </w:p>
    <w:p w14:paraId="5BE9CE3F" w14:textId="77777777" w:rsidR="00F67E9E" w:rsidRPr="009426CA" w:rsidRDefault="00F67E9E" w:rsidP="00F67E9E">
      <w:pPr>
        <w:pStyle w:val="AppendixText2"/>
      </w:pPr>
      <w:bookmarkStart w:id="2939" w:name="_Toc79405453"/>
      <w:r w:rsidRPr="00726186">
        <w:t xml:space="preserve">The words </w:t>
      </w:r>
      <w:r>
        <w:t>“</w:t>
      </w:r>
      <w:r w:rsidRPr="00726186">
        <w:t>include</w:t>
      </w:r>
      <w:r>
        <w:t>”</w:t>
      </w:r>
      <w:r w:rsidRPr="00726186">
        <w:t xml:space="preserve">, </w:t>
      </w:r>
      <w:r>
        <w:t>“</w:t>
      </w:r>
      <w:r w:rsidRPr="00726186">
        <w:t>includes</w:t>
      </w:r>
      <w:r>
        <w:t>”</w:t>
      </w:r>
      <w:r w:rsidRPr="00726186">
        <w:t xml:space="preserve">, </w:t>
      </w:r>
      <w:r>
        <w:t>“</w:t>
      </w:r>
      <w:r w:rsidRPr="00726186">
        <w:t>including</w:t>
      </w:r>
      <w:r>
        <w:t>”</w:t>
      </w:r>
      <w:r w:rsidRPr="00726186">
        <w:t xml:space="preserve">, </w:t>
      </w:r>
      <w:r>
        <w:t>“</w:t>
      </w:r>
      <w:r w:rsidRPr="00726186">
        <w:t>in particular</w:t>
      </w:r>
      <w:r>
        <w:t>”</w:t>
      </w:r>
      <w:r w:rsidRPr="00726186">
        <w:t xml:space="preserve"> are used to set out examples and not to set out a finite list.</w:t>
      </w:r>
      <w:bookmarkEnd w:id="2939"/>
    </w:p>
    <w:p w14:paraId="339A38A1" w14:textId="77777777" w:rsidR="00F67E9E" w:rsidRPr="009426CA" w:rsidRDefault="00F67E9E" w:rsidP="00F67E9E">
      <w:pPr>
        <w:pStyle w:val="AppendixText2"/>
      </w:pPr>
      <w:bookmarkStart w:id="2940" w:name="_Toc79405454"/>
      <w:r w:rsidRPr="00F967FE">
        <w:t>References to:</w:t>
      </w:r>
      <w:bookmarkEnd w:id="2940"/>
    </w:p>
    <w:p w14:paraId="3E7B47FD" w14:textId="77777777" w:rsidR="00F67E9E" w:rsidRPr="009426CA" w:rsidRDefault="00F67E9E" w:rsidP="00F67E9E">
      <w:pPr>
        <w:pStyle w:val="AppendixText3"/>
        <w:tabs>
          <w:tab w:val="clear" w:pos="1800"/>
          <w:tab w:val="num" w:pos="2160"/>
        </w:tabs>
      </w:pPr>
      <w:r w:rsidRPr="00F967FE">
        <w:t>singular or plural words or people, also includes the plural or singular of those words or people;</w:t>
      </w:r>
      <w:r>
        <w:t xml:space="preserve"> </w:t>
      </w:r>
    </w:p>
    <w:p w14:paraId="1A858409" w14:textId="77777777" w:rsidR="00F67E9E" w:rsidRPr="009426CA" w:rsidRDefault="00F67E9E" w:rsidP="00F67E9E">
      <w:pPr>
        <w:pStyle w:val="AppendixText3"/>
      </w:pPr>
      <w:r w:rsidRPr="00F967FE">
        <w:t>legislation (or specific provisions of legislation) means that legislation (or specific provision) as it may change over time. This includes where that legislation (or specific provision) has been consolidated, re-enacted and/or replaced after this IDTA has been signed; and</w:t>
      </w:r>
      <w:r>
        <w:t xml:space="preserve"> </w:t>
      </w:r>
    </w:p>
    <w:p w14:paraId="0F271FEB" w14:textId="77777777" w:rsidR="00F67E9E" w:rsidRPr="009426CA" w:rsidRDefault="00F67E9E" w:rsidP="00F67E9E">
      <w:pPr>
        <w:pStyle w:val="AppendixText3"/>
      </w:pPr>
      <w:bookmarkStart w:id="2941" w:name="_Ref314043014"/>
      <w:r w:rsidRPr="00F967FE">
        <w:t>any obligation not to do something, includes an obligation not to allow or cause that thing to be done by anyone else</w:t>
      </w:r>
      <w:bookmarkEnd w:id="2941"/>
      <w:r w:rsidRPr="00F967FE">
        <w:t>.</w:t>
      </w:r>
      <w:r>
        <w:t xml:space="preserve"> </w:t>
      </w:r>
    </w:p>
    <w:p w14:paraId="6B003B42" w14:textId="77777777" w:rsidR="00F67E9E" w:rsidRPr="00B642E6" w:rsidRDefault="00F67E9E" w:rsidP="00F67E9E">
      <w:pPr>
        <w:pStyle w:val="AppendixText1"/>
        <w:tabs>
          <w:tab w:val="clear" w:pos="720"/>
          <w:tab w:val="num" w:pos="1080"/>
        </w:tabs>
      </w:pPr>
      <w:bookmarkStart w:id="2942" w:name="Section_7"/>
      <w:bookmarkStart w:id="2943" w:name="_Ref77596221"/>
      <w:bookmarkStart w:id="2944" w:name="_Toc79405455"/>
      <w:bookmarkEnd w:id="2942"/>
      <w:r w:rsidRPr="00B642E6">
        <w:t>Which laws apply to this IDTA</w:t>
      </w:r>
      <w:bookmarkEnd w:id="2943"/>
      <w:bookmarkEnd w:id="2944"/>
    </w:p>
    <w:p w14:paraId="02EE385C" w14:textId="38C50C13" w:rsidR="00F67E9E" w:rsidRPr="009426CA" w:rsidRDefault="00F67E9E" w:rsidP="00F67E9E">
      <w:pPr>
        <w:pStyle w:val="AppendixText2"/>
      </w:pPr>
      <w:bookmarkStart w:id="2945" w:name="_Toc79405456"/>
      <w:r w:rsidRPr="00F967FE">
        <w:t>This IDTA is governed by the laws of the UK country set out in Table 2: Transfer Details.</w:t>
      </w:r>
      <w:r>
        <w:t xml:space="preserve"> If no selection has been made, it is the laws of England and Wales.</w:t>
      </w:r>
      <w:bookmarkEnd w:id="2945"/>
      <w:r>
        <w:t xml:space="preserve"> This does not apply to Section </w:t>
      </w:r>
      <w:r>
        <w:fldChar w:fldCharType="begin"/>
      </w:r>
      <w:r>
        <w:instrText xml:space="preserve"> REF  Section_35 \h \r </w:instrText>
      </w:r>
      <w:r>
        <w:fldChar w:fldCharType="separate"/>
      </w:r>
      <w:r w:rsidR="00302D39">
        <w:t>35</w:t>
      </w:r>
      <w:r>
        <w:fldChar w:fldCharType="end"/>
      </w:r>
      <w:r>
        <w:t xml:space="preserve"> which is always governed by the laws of England and Wales. </w:t>
      </w:r>
    </w:p>
    <w:p w14:paraId="07F4CBC3" w14:textId="77777777" w:rsidR="00F67E9E" w:rsidRPr="00D515BC" w:rsidRDefault="00F67E9E" w:rsidP="00F67E9E">
      <w:pPr>
        <w:pStyle w:val="StdBodyText2"/>
        <w:keepNext/>
        <w:ind w:left="0"/>
        <w:rPr>
          <w:b/>
          <w:bCs/>
        </w:rPr>
      </w:pPr>
      <w:bookmarkStart w:id="2946" w:name="_Ref73395603"/>
      <w:bookmarkStart w:id="2947" w:name="_Ref73509944"/>
      <w:r w:rsidRPr="00D515BC">
        <w:rPr>
          <w:b/>
          <w:bCs/>
        </w:rPr>
        <w:t xml:space="preserve">How this IDTA provides Appropriate </w:t>
      </w:r>
      <w:bookmarkEnd w:id="2946"/>
      <w:bookmarkEnd w:id="2947"/>
      <w:r w:rsidRPr="00D515BC">
        <w:rPr>
          <w:b/>
          <w:bCs/>
        </w:rPr>
        <w:t>Safeguards</w:t>
      </w:r>
    </w:p>
    <w:p w14:paraId="55399D01" w14:textId="77777777" w:rsidR="00F67E9E" w:rsidRPr="00FF4690" w:rsidRDefault="00F67E9E" w:rsidP="00F67E9E">
      <w:pPr>
        <w:pStyle w:val="AppendixText1"/>
        <w:tabs>
          <w:tab w:val="clear" w:pos="720"/>
          <w:tab w:val="num" w:pos="1080"/>
        </w:tabs>
      </w:pPr>
      <w:bookmarkStart w:id="2948" w:name="Section_8"/>
      <w:bookmarkStart w:id="2949" w:name="_Toc79405457"/>
      <w:bookmarkStart w:id="2950" w:name="_Ref76506360"/>
      <w:bookmarkEnd w:id="2948"/>
      <w:r w:rsidRPr="00FF4690">
        <w:t>The Appropriate Safeguards</w:t>
      </w:r>
      <w:bookmarkEnd w:id="2949"/>
      <w:r w:rsidRPr="00FF4690">
        <w:t xml:space="preserve"> </w:t>
      </w:r>
      <w:bookmarkEnd w:id="2950"/>
    </w:p>
    <w:p w14:paraId="1E4923CB" w14:textId="77777777" w:rsidR="00F67E9E" w:rsidRPr="009426CA" w:rsidRDefault="00F67E9E" w:rsidP="00F67E9E">
      <w:pPr>
        <w:pStyle w:val="AppendixText2"/>
      </w:pPr>
      <w:bookmarkStart w:id="2951" w:name="_Toc79405458"/>
      <w:bookmarkStart w:id="2952" w:name="_Ref73393180"/>
      <w:r>
        <w:t>The purpose of this IDTA is to ensure that the Transferred Data has Appropriate Safeguards when Processed by the Importer during the Term. This standard is met when and for so long as:</w:t>
      </w:r>
      <w:bookmarkEnd w:id="2951"/>
    </w:p>
    <w:p w14:paraId="76EEF7A3" w14:textId="77777777" w:rsidR="00F67E9E" w:rsidRPr="009426CA" w:rsidRDefault="00F67E9E" w:rsidP="00F67E9E">
      <w:pPr>
        <w:pStyle w:val="AppendixText3"/>
        <w:tabs>
          <w:tab w:val="clear" w:pos="1800"/>
          <w:tab w:val="num" w:pos="2160"/>
        </w:tabs>
      </w:pPr>
      <w:r>
        <w:t>b</w:t>
      </w:r>
      <w:r w:rsidRPr="00B06C12">
        <w:t xml:space="preserve">oth Parties comply with the IDTA, including the Security Requirements and </w:t>
      </w:r>
      <w:r>
        <w:t xml:space="preserve">any </w:t>
      </w:r>
      <w:r w:rsidRPr="00B06C12">
        <w:t>Extra Protection Clauses</w:t>
      </w:r>
      <w:r w:rsidRPr="000E447B">
        <w:t xml:space="preserve">; and </w:t>
      </w:r>
    </w:p>
    <w:p w14:paraId="489F20B3" w14:textId="77777777" w:rsidR="00F67E9E" w:rsidRPr="009426CA" w:rsidRDefault="00F67E9E" w:rsidP="00F67E9E">
      <w:pPr>
        <w:pStyle w:val="AppendixText3"/>
        <w:tabs>
          <w:tab w:val="clear" w:pos="1800"/>
          <w:tab w:val="num" w:pos="2160"/>
        </w:tabs>
      </w:pPr>
      <w:r>
        <w:t>t</w:t>
      </w:r>
      <w:r w:rsidRPr="00B06C12">
        <w:t xml:space="preserve">he Security Requirements </w:t>
      </w:r>
      <w:r>
        <w:t xml:space="preserve">and any Extra Protection Clauses </w:t>
      </w:r>
      <w:r w:rsidRPr="00B06C12">
        <w:t xml:space="preserve">provide a level of security which is appropriate to the risk of a </w:t>
      </w:r>
      <w:r>
        <w:t>Data Loss Event</w:t>
      </w:r>
      <w:r w:rsidRPr="00B06C12">
        <w:t xml:space="preserve"> occurring and the impact on </w:t>
      </w:r>
      <w:r>
        <w:t>Relevant Data Subject</w:t>
      </w:r>
      <w:r w:rsidRPr="00B06C12">
        <w:t xml:space="preserve">s of such a </w:t>
      </w:r>
      <w:r>
        <w:t xml:space="preserve">Data Loss Event, including considering any Special Category Data within the Transferred Data. </w:t>
      </w:r>
    </w:p>
    <w:p w14:paraId="1BB64FDE" w14:textId="77777777" w:rsidR="00F67E9E" w:rsidRPr="009426CA" w:rsidRDefault="00F67E9E" w:rsidP="00F67E9E">
      <w:pPr>
        <w:pStyle w:val="AppendixText2"/>
      </w:pPr>
      <w:bookmarkStart w:id="2953" w:name="_Toc79405459"/>
      <w:r w:rsidRPr="00F967FE">
        <w:t xml:space="preserve">The Exporter </w:t>
      </w:r>
      <w:r>
        <w:t>must</w:t>
      </w:r>
      <w:r w:rsidRPr="00F967FE">
        <w:t>:</w:t>
      </w:r>
      <w:r>
        <w:t xml:space="preserve"> </w:t>
      </w:r>
    </w:p>
    <w:p w14:paraId="3C22AD26" w14:textId="77777777" w:rsidR="00F67E9E" w:rsidRPr="009426CA" w:rsidRDefault="00F67E9E" w:rsidP="00F67E9E">
      <w:pPr>
        <w:pStyle w:val="AppendixText3"/>
        <w:tabs>
          <w:tab w:val="clear" w:pos="1800"/>
          <w:tab w:val="num" w:pos="2160"/>
        </w:tabs>
      </w:pPr>
      <w:r>
        <w:t xml:space="preserve">ensure and demonstrate that </w:t>
      </w:r>
      <w:bookmarkEnd w:id="2953"/>
      <w:r w:rsidRPr="00C26EEA">
        <w:t>this IDTA (including any Security Requirements and Extra Protection Clauses) provides Appropriate Safeguards</w:t>
      </w:r>
      <w:bookmarkEnd w:id="2952"/>
      <w:r w:rsidRPr="00C26EEA">
        <w:t>; and</w:t>
      </w:r>
    </w:p>
    <w:p w14:paraId="195958CF" w14:textId="77777777" w:rsidR="00F67E9E" w:rsidRPr="009426CA" w:rsidRDefault="00F67E9E" w:rsidP="00F67E9E">
      <w:pPr>
        <w:pStyle w:val="AppendixText3"/>
        <w:tabs>
          <w:tab w:val="clear" w:pos="1800"/>
          <w:tab w:val="num" w:pos="2160"/>
        </w:tabs>
      </w:pPr>
      <w:r>
        <w:t xml:space="preserve">(if the Importer reasonably requests) </w:t>
      </w:r>
      <w:r w:rsidRPr="00F967FE">
        <w:t xml:space="preserve">provide </w:t>
      </w:r>
      <w:r>
        <w:t xml:space="preserve">it with </w:t>
      </w:r>
      <w:r w:rsidRPr="00F967FE">
        <w:t xml:space="preserve">a copy of </w:t>
      </w:r>
      <w:r>
        <w:t>any TRA.</w:t>
      </w:r>
    </w:p>
    <w:p w14:paraId="13B0B40D" w14:textId="77777777" w:rsidR="00F67E9E" w:rsidRPr="009426CA" w:rsidRDefault="00F67E9E" w:rsidP="00F67E9E">
      <w:pPr>
        <w:pStyle w:val="AppendixText2"/>
      </w:pPr>
      <w:bookmarkStart w:id="2954" w:name="_Toc79405460"/>
      <w:bookmarkStart w:id="2955" w:name="_Ref71838603"/>
      <w:bookmarkStart w:id="2956" w:name="_Ref71494812"/>
      <w:r w:rsidRPr="00F967FE">
        <w:t xml:space="preserve">The Importer </w:t>
      </w:r>
      <w:bookmarkEnd w:id="2954"/>
      <w:r>
        <w:t>must</w:t>
      </w:r>
      <w:r w:rsidRPr="00F967FE">
        <w:t>:</w:t>
      </w:r>
      <w:bookmarkEnd w:id="2955"/>
      <w:r w:rsidRPr="00F967FE">
        <w:t xml:space="preserve"> </w:t>
      </w:r>
    </w:p>
    <w:p w14:paraId="7CF808B2" w14:textId="77777777" w:rsidR="00F67E9E" w:rsidRPr="00547EB2" w:rsidRDefault="00F67E9E" w:rsidP="00F67E9E">
      <w:pPr>
        <w:pStyle w:val="AppendixText3"/>
      </w:pPr>
      <w:bookmarkStart w:id="2957" w:name="_Ref89216844"/>
      <w:bookmarkStart w:id="2958" w:name="_Ref77697079"/>
      <w:r>
        <w:t xml:space="preserve">before receiving any Transferred Data, provide the Exporter with all relevant </w:t>
      </w:r>
      <w:r w:rsidRPr="00547EB2">
        <w:t>information regarding Local Laws and practices and the protections and risks which apply to the Transferred Data when it is Processed by the Importer, including any information which may reasonably be required for the Exporter to carry out any TRA (the “Importer Information”);</w:t>
      </w:r>
      <w:bookmarkEnd w:id="2957"/>
      <w:bookmarkEnd w:id="2958"/>
    </w:p>
    <w:p w14:paraId="52729AC9" w14:textId="77777777" w:rsidR="00F67E9E" w:rsidRPr="00547EB2" w:rsidRDefault="00F67E9E" w:rsidP="00F67E9E">
      <w:pPr>
        <w:pStyle w:val="AppendixText3"/>
      </w:pPr>
      <w:bookmarkStart w:id="2959" w:name="_Ref77674137"/>
      <w:r w:rsidRPr="00547EB2">
        <w:t xml:space="preserve">co-operate with the Exporter to ensure compliance with the Exporter’s obligations under the UK Data Protection Laws; </w:t>
      </w:r>
    </w:p>
    <w:p w14:paraId="11A8F042" w14:textId="77777777" w:rsidR="00F67E9E" w:rsidRPr="00547EB2" w:rsidRDefault="00F67E9E" w:rsidP="00F67E9E">
      <w:pPr>
        <w:pStyle w:val="AppendixText3"/>
      </w:pPr>
      <w:r w:rsidRPr="00547EB2">
        <w:t>review whether any Importer Information has changed, and whether any Local Laws contradict its obligations in this IDTA and take reasonable steps to verify this, on a regular basis. These reviews must be at least as frequent as the Review Dates; and</w:t>
      </w:r>
    </w:p>
    <w:p w14:paraId="1915C249" w14:textId="77777777" w:rsidR="00F67E9E" w:rsidRPr="009426CA" w:rsidRDefault="00F67E9E" w:rsidP="00F67E9E">
      <w:pPr>
        <w:pStyle w:val="AppendixText3"/>
      </w:pPr>
      <w:r w:rsidRPr="00547EB2">
        <w:t>inform the Exporter as soon as it becomes aware of any Importer Information changing</w:t>
      </w:r>
      <w:r>
        <w:t xml:space="preserve">, and/or any </w:t>
      </w:r>
      <w:r w:rsidRPr="00F967FE">
        <w:t xml:space="preserve">Local Laws which may </w:t>
      </w:r>
      <w:r>
        <w:t xml:space="preserve">prevent or limit the Importer complying with </w:t>
      </w:r>
      <w:r w:rsidRPr="00F967FE">
        <w:t>its obligations in this IDTA</w:t>
      </w:r>
      <w:r>
        <w:t>. This information then forms part of the Importer Information</w:t>
      </w:r>
      <w:r w:rsidRPr="00F967FE">
        <w:t>.</w:t>
      </w:r>
    </w:p>
    <w:p w14:paraId="72CB27BC" w14:textId="77777777" w:rsidR="00F67E9E" w:rsidRDefault="00F67E9E" w:rsidP="00F67E9E">
      <w:pPr>
        <w:pStyle w:val="AppendixText2"/>
      </w:pPr>
      <w:r>
        <w:t>The Importer must ensure that at the Start Date and during the Term:</w:t>
      </w:r>
    </w:p>
    <w:p w14:paraId="76C0407E" w14:textId="77777777" w:rsidR="00F67E9E" w:rsidRPr="009426CA" w:rsidRDefault="00F67E9E" w:rsidP="00F67E9E">
      <w:pPr>
        <w:pStyle w:val="AppendixText3"/>
      </w:pPr>
      <w:r>
        <w:t xml:space="preserve">the Importer Information </w:t>
      </w:r>
      <w:r w:rsidRPr="00F967FE">
        <w:t>is accurate;</w:t>
      </w:r>
      <w:bookmarkEnd w:id="2959"/>
      <w:r w:rsidRPr="00F967FE">
        <w:t xml:space="preserve"> </w:t>
      </w:r>
    </w:p>
    <w:p w14:paraId="487722E0" w14:textId="77777777" w:rsidR="00F67E9E" w:rsidRPr="009426CA" w:rsidDel="00647F12" w:rsidRDefault="00F67E9E" w:rsidP="00F67E9E">
      <w:pPr>
        <w:pStyle w:val="AppendixText3"/>
      </w:pPr>
      <w:r w:rsidRPr="00F967FE" w:rsidDel="00647F12">
        <w:t xml:space="preserve">it has taken reasonable steps to verify </w:t>
      </w:r>
      <w:r>
        <w:t xml:space="preserve">whether there are </w:t>
      </w:r>
      <w:r w:rsidRPr="00F967FE" w:rsidDel="00647F12">
        <w:t>any Local Laws which contradict its obligations in this IDTA</w:t>
      </w:r>
      <w:r>
        <w:t xml:space="preserve"> or any additional information regarding Local Laws which may be relevant to this IDTA.</w:t>
      </w:r>
    </w:p>
    <w:p w14:paraId="1D81C405" w14:textId="77777777" w:rsidR="00F67E9E" w:rsidRPr="009426CA" w:rsidRDefault="00F67E9E" w:rsidP="00F67E9E">
      <w:pPr>
        <w:pStyle w:val="AppendixText2"/>
      </w:pPr>
      <w:bookmarkStart w:id="2960" w:name="_Toc79405461"/>
      <w:bookmarkEnd w:id="2956"/>
      <w:r w:rsidRPr="00E43935">
        <w:t xml:space="preserve">Each Party </w:t>
      </w:r>
      <w:r>
        <w:t xml:space="preserve">must ensure </w:t>
      </w:r>
      <w:r w:rsidRPr="00E43935">
        <w:t xml:space="preserve">that the Security Requirements </w:t>
      </w:r>
      <w:r>
        <w:t xml:space="preserve">and Extra Protection Clauses </w:t>
      </w:r>
      <w:r w:rsidRPr="00E43935">
        <w:t xml:space="preserve">provide a level of security which is </w:t>
      </w:r>
      <w:r w:rsidRPr="00547EB2">
        <w:t>appropriate</w:t>
      </w:r>
      <w:r w:rsidRPr="00E43935">
        <w:t xml:space="preserve"> to the risk of a </w:t>
      </w:r>
      <w:r>
        <w:t>Data Loss Event</w:t>
      </w:r>
      <w:r w:rsidRPr="00E43935">
        <w:t xml:space="preserve"> occurring and the impact on </w:t>
      </w:r>
      <w:r>
        <w:t>Relevant Data Subject</w:t>
      </w:r>
      <w:r w:rsidRPr="00E43935">
        <w:t xml:space="preserve">s of such a </w:t>
      </w:r>
      <w:r>
        <w:t>Data Loss Event</w:t>
      </w:r>
      <w:r w:rsidRPr="00E43935">
        <w:t>.</w:t>
      </w:r>
      <w:bookmarkEnd w:id="2960"/>
    </w:p>
    <w:p w14:paraId="1649A2B9" w14:textId="77777777" w:rsidR="00F67E9E" w:rsidRPr="00FF4690" w:rsidRDefault="00F67E9E" w:rsidP="00F67E9E">
      <w:pPr>
        <w:pStyle w:val="AppendixText1"/>
      </w:pPr>
      <w:bookmarkStart w:id="2961" w:name="Section_9"/>
      <w:bookmarkStart w:id="2962" w:name="_Ref76414795"/>
      <w:bookmarkStart w:id="2963" w:name="_Toc79405462"/>
      <w:bookmarkEnd w:id="2961"/>
      <w:r w:rsidRPr="00FF4690">
        <w:t xml:space="preserve">Reviews to </w:t>
      </w:r>
      <w:r w:rsidRPr="00547EB2">
        <w:t>ensure</w:t>
      </w:r>
      <w:r w:rsidRPr="00FF4690">
        <w:t xml:space="preserve"> the Appropriate Safeguards continue</w:t>
      </w:r>
      <w:bookmarkEnd w:id="2962"/>
      <w:bookmarkEnd w:id="2963"/>
    </w:p>
    <w:p w14:paraId="21F461CF" w14:textId="77777777" w:rsidR="00F67E9E" w:rsidRPr="009426CA" w:rsidRDefault="00F67E9E" w:rsidP="00F67E9E">
      <w:pPr>
        <w:pStyle w:val="AppendixText2"/>
      </w:pPr>
      <w:bookmarkStart w:id="2964" w:name="_Ref70733657"/>
      <w:bookmarkStart w:id="2965" w:name="_Ref71154021"/>
      <w:bookmarkStart w:id="2966" w:name="_Ref71912768"/>
      <w:bookmarkStart w:id="2967" w:name="_Toc79405463"/>
      <w:r w:rsidRPr="00F967FE">
        <w:t xml:space="preserve">Each </w:t>
      </w:r>
      <w:r w:rsidRPr="00547EB2">
        <w:t>Party</w:t>
      </w:r>
      <w:r w:rsidRPr="00F967FE">
        <w:t xml:space="preserve"> </w:t>
      </w:r>
      <w:bookmarkEnd w:id="2964"/>
      <w:bookmarkEnd w:id="2965"/>
      <w:bookmarkEnd w:id="2966"/>
      <w:bookmarkEnd w:id="2967"/>
      <w:r>
        <w:t>must</w:t>
      </w:r>
      <w:r w:rsidRPr="00F967FE">
        <w:t xml:space="preserve">: </w:t>
      </w:r>
    </w:p>
    <w:p w14:paraId="37590A6E" w14:textId="77777777" w:rsidR="00F67E9E" w:rsidRPr="00547EB2" w:rsidRDefault="00F67E9E" w:rsidP="00F67E9E">
      <w:pPr>
        <w:pStyle w:val="AppendixText3"/>
      </w:pPr>
      <w:r w:rsidRPr="00F967FE">
        <w:t xml:space="preserve">review this IDTA </w:t>
      </w:r>
      <w:r>
        <w:t xml:space="preserve">(including the Security Requirements and Extra Protection Clauses </w:t>
      </w:r>
      <w:r w:rsidRPr="00F967FE">
        <w:t xml:space="preserve">and the </w:t>
      </w:r>
      <w:r>
        <w:t>Importer Information)</w:t>
      </w:r>
      <w:r w:rsidRPr="00F967FE">
        <w:t xml:space="preserve"> at regular intervals, to ensure that </w:t>
      </w:r>
      <w:r>
        <w:t xml:space="preserve">the IDTA </w:t>
      </w:r>
      <w:r w:rsidRPr="00BA12DA">
        <w:t>remains</w:t>
      </w:r>
      <w:r w:rsidRPr="00F967FE">
        <w:t xml:space="preserve"> </w:t>
      </w:r>
      <w:r w:rsidRPr="00547EB2">
        <w:t>accurate and up to date and continues to provide the Appropriate Safeguards. Each Party will carry out these reviews as frequently as the relevant Review Dates or sooner; and</w:t>
      </w:r>
    </w:p>
    <w:p w14:paraId="6DF1FBB2" w14:textId="77777777" w:rsidR="00F67E9E" w:rsidRPr="009426CA" w:rsidRDefault="00F67E9E" w:rsidP="00F67E9E">
      <w:pPr>
        <w:pStyle w:val="AppendixText3"/>
      </w:pPr>
      <w:r w:rsidRPr="00547EB2">
        <w:t>inform the other party in writing as soon as it becomes aware if any information contained in either</w:t>
      </w:r>
      <w:r w:rsidRPr="00F967FE">
        <w:t xml:space="preserve"> this IDTA</w:t>
      </w:r>
      <w:r>
        <w:t>,</w:t>
      </w:r>
      <w:r w:rsidRPr="00F967FE">
        <w:t xml:space="preserve"> </w:t>
      </w:r>
      <w:r>
        <w:t xml:space="preserve">any </w:t>
      </w:r>
      <w:r w:rsidRPr="00F967FE">
        <w:t>TRA</w:t>
      </w:r>
      <w:r>
        <w:t xml:space="preserve"> or Importer Information </w:t>
      </w:r>
      <w:r w:rsidRPr="00F967FE">
        <w:t>is no longer accurate and up to date</w:t>
      </w:r>
      <w:r>
        <w:t>.</w:t>
      </w:r>
    </w:p>
    <w:p w14:paraId="7751BE6B" w14:textId="77777777" w:rsidR="00F67E9E" w:rsidRPr="009426CA" w:rsidRDefault="00F67E9E" w:rsidP="00F67E9E">
      <w:pPr>
        <w:pStyle w:val="AppendixText2"/>
      </w:pPr>
      <w:bookmarkStart w:id="2968" w:name="_Ref73503791"/>
      <w:bookmarkStart w:id="2969" w:name="_Toc79405464"/>
      <w:r w:rsidRPr="00715CBB">
        <w:t>If, at any time, the IDTA no longer provides Appropriate Safeguards</w:t>
      </w:r>
      <w:r>
        <w:t xml:space="preserve"> </w:t>
      </w:r>
      <w:r w:rsidRPr="00715CBB">
        <w:t xml:space="preserve">the Parties must Without </w:t>
      </w:r>
      <w:r w:rsidRPr="00547EB2">
        <w:t>Undue</w:t>
      </w:r>
      <w:r w:rsidRPr="00715CBB">
        <w:t xml:space="preserve"> </w:t>
      </w:r>
      <w:r>
        <w:t>D</w:t>
      </w:r>
      <w:r w:rsidRPr="00715CBB">
        <w:t>elay:</w:t>
      </w:r>
      <w:bookmarkEnd w:id="2968"/>
      <w:bookmarkEnd w:id="2969"/>
      <w:r w:rsidRPr="00715CBB">
        <w:t xml:space="preserve"> </w:t>
      </w:r>
    </w:p>
    <w:p w14:paraId="1602F84C" w14:textId="77777777" w:rsidR="00F67E9E" w:rsidRPr="00547EB2" w:rsidRDefault="00F67E9E" w:rsidP="00F67E9E">
      <w:pPr>
        <w:pStyle w:val="AppendixText3"/>
      </w:pPr>
      <w:r w:rsidRPr="00F967FE">
        <w:t xml:space="preserve">pause transfers </w:t>
      </w:r>
      <w:r>
        <w:t xml:space="preserve">and Processing </w:t>
      </w:r>
      <w:r w:rsidRPr="00F967FE">
        <w:t>of Transferred Data whilst a change to the Tables is agreed</w:t>
      </w:r>
      <w:r>
        <w:t xml:space="preserve">. The Importer may retain a copy of the Transferred Data during this pause, in which case the Importer must carry out any Processing required to maintain, so far as possible, the measures it was taking to achieve the Appropriate Safeguards prior </w:t>
      </w:r>
      <w:r w:rsidRPr="00547EB2">
        <w:t xml:space="preserve">to the time the IDTA no longer provided Appropriate Safeguards, but no other Processing; </w:t>
      </w:r>
    </w:p>
    <w:p w14:paraId="0AFC44F8" w14:textId="458AB8CE" w:rsidR="00F67E9E" w:rsidRPr="00547EB2" w:rsidRDefault="00F67E9E" w:rsidP="00F67E9E">
      <w:pPr>
        <w:pStyle w:val="AppendixText3"/>
      </w:pPr>
      <w:r w:rsidRPr="00547EB2">
        <w:t xml:space="preserve">agree a change to Part one: Tables or Part two: Extra Protection Clauses which will maintain the Appropriate Safeguards (in accordance with Section </w:t>
      </w:r>
      <w:r w:rsidRPr="00547EB2">
        <w:fldChar w:fldCharType="begin"/>
      </w:r>
      <w:r w:rsidRPr="00547EB2">
        <w:instrText xml:space="preserve"> REF  Section_5 \h \r  \* MERGEFORMAT </w:instrText>
      </w:r>
      <w:r w:rsidRPr="00547EB2">
        <w:fldChar w:fldCharType="separate"/>
      </w:r>
      <w:r w:rsidR="00302D39">
        <w:t>5</w:t>
      </w:r>
      <w:r w:rsidRPr="00547EB2">
        <w:fldChar w:fldCharType="end"/>
      </w:r>
      <w:r w:rsidRPr="00547EB2">
        <w:t>); and</w:t>
      </w:r>
    </w:p>
    <w:p w14:paraId="0AEE8AE8" w14:textId="77777777" w:rsidR="00F67E9E" w:rsidRDefault="00F67E9E" w:rsidP="00F67E9E">
      <w:pPr>
        <w:pStyle w:val="AppendixText3"/>
      </w:pPr>
      <w:r w:rsidRPr="00547EB2">
        <w:t>where a change to Part one: Tables or Part two: Extra Protection Clauses which maintains the Appropriate</w:t>
      </w:r>
      <w:r w:rsidRPr="00F967FE">
        <w:t xml:space="preserve"> Safeguards cannot be agreed, </w:t>
      </w:r>
      <w:r>
        <w:t xml:space="preserve">the Exporter must </w:t>
      </w:r>
      <w:r w:rsidRPr="00F967FE">
        <w:t xml:space="preserve">end this IDTA </w:t>
      </w:r>
      <w:r>
        <w:t>by written notice on the Importer.</w:t>
      </w:r>
    </w:p>
    <w:p w14:paraId="7C538B38" w14:textId="77777777" w:rsidR="00F67E9E" w:rsidRPr="009426CA" w:rsidRDefault="00F67E9E" w:rsidP="00F67E9E">
      <w:pPr>
        <w:pStyle w:val="AppendixText1"/>
      </w:pPr>
      <w:bookmarkStart w:id="2970" w:name="Section_10"/>
      <w:bookmarkEnd w:id="2970"/>
      <w:r w:rsidRPr="003863C4">
        <w:t xml:space="preserve">The </w:t>
      </w:r>
      <w:r w:rsidRPr="00547EB2">
        <w:t>ICO</w:t>
      </w:r>
    </w:p>
    <w:p w14:paraId="2C10D23D" w14:textId="77777777" w:rsidR="00F67E9E" w:rsidRPr="00547EB2" w:rsidRDefault="00F67E9E" w:rsidP="00F67E9E">
      <w:pPr>
        <w:pStyle w:val="AppendixText2"/>
      </w:pPr>
      <w:bookmarkStart w:id="2971" w:name="_Ref73503682"/>
      <w:bookmarkStart w:id="2972" w:name="_Toc79405466"/>
      <w:bookmarkStart w:id="2973" w:name="_Ref73503245"/>
      <w:r w:rsidRPr="00E36B92">
        <w:t xml:space="preserve">Each Party agrees to comply with any reasonable requests made by the ICO in relation to this </w:t>
      </w:r>
      <w:r w:rsidRPr="00547EB2">
        <w:t>IDTA or its Processing of the Transferred Data.</w:t>
      </w:r>
      <w:bookmarkEnd w:id="2971"/>
      <w:bookmarkEnd w:id="2972"/>
    </w:p>
    <w:p w14:paraId="1C5E4168" w14:textId="77777777" w:rsidR="00F67E9E" w:rsidRPr="00547EB2" w:rsidRDefault="00F67E9E" w:rsidP="00F67E9E">
      <w:pPr>
        <w:pStyle w:val="AppendixText2"/>
      </w:pPr>
      <w:bookmarkStart w:id="2974" w:name="_Toc79405467"/>
      <w:r w:rsidRPr="00547EB2">
        <w:t>The Exporter will provide a copy of any TRA, the Importer Information and this IDTA to the ICO, if the ICO requests.</w:t>
      </w:r>
      <w:bookmarkEnd w:id="2974"/>
    </w:p>
    <w:p w14:paraId="6700050D" w14:textId="77777777" w:rsidR="00F67E9E" w:rsidRPr="009426CA" w:rsidRDefault="00F67E9E" w:rsidP="00F67E9E">
      <w:pPr>
        <w:pStyle w:val="AppendixText2"/>
      </w:pPr>
      <w:bookmarkStart w:id="2975" w:name="_Toc79405468"/>
      <w:r w:rsidRPr="00547EB2">
        <w:t>The Importer will provide a copy of any Importer Information and this IDTA to the ICO, if the ICO requests</w:t>
      </w:r>
      <w:r w:rsidRPr="00BF50BD">
        <w:t>.</w:t>
      </w:r>
      <w:bookmarkEnd w:id="2975"/>
    </w:p>
    <w:p w14:paraId="06CEAE80" w14:textId="77777777" w:rsidR="00F67E9E" w:rsidRPr="00547EB2" w:rsidRDefault="00F67E9E" w:rsidP="00F67E9E">
      <w:pPr>
        <w:pStyle w:val="StdBodyText2"/>
        <w:keepNext/>
        <w:ind w:left="0"/>
        <w:rPr>
          <w:b/>
          <w:bCs/>
        </w:rPr>
      </w:pPr>
      <w:r w:rsidRPr="00547EB2">
        <w:rPr>
          <w:b/>
          <w:bCs/>
        </w:rPr>
        <w:t xml:space="preserve">The Exporter </w:t>
      </w:r>
      <w:bookmarkEnd w:id="2973"/>
    </w:p>
    <w:p w14:paraId="420911C2" w14:textId="77777777" w:rsidR="00F67E9E" w:rsidRPr="003863C4" w:rsidRDefault="00F67E9E" w:rsidP="00F67E9E">
      <w:pPr>
        <w:pStyle w:val="AppendixText1"/>
      </w:pPr>
      <w:bookmarkStart w:id="2976" w:name="Section_11"/>
      <w:bookmarkEnd w:id="2976"/>
      <w:r w:rsidRPr="003863C4">
        <w:t>Exporter</w:t>
      </w:r>
      <w:r>
        <w:t>’</w:t>
      </w:r>
      <w:r w:rsidRPr="003863C4">
        <w:t>s obligations</w:t>
      </w:r>
    </w:p>
    <w:p w14:paraId="70FB0E39" w14:textId="77777777" w:rsidR="00F67E9E" w:rsidRPr="00547EB2" w:rsidRDefault="00F67E9E" w:rsidP="00F67E9E">
      <w:pPr>
        <w:pStyle w:val="AppendixText2"/>
      </w:pPr>
      <w:bookmarkStart w:id="2977" w:name="_Toc79405470"/>
      <w:bookmarkStart w:id="2978" w:name="_Ref77596401"/>
      <w:bookmarkStart w:id="2979" w:name="_Ref70725023"/>
      <w:r w:rsidRPr="00F967FE">
        <w:t>The Exporter agrees that</w:t>
      </w:r>
      <w:r>
        <w:t xml:space="preserve"> </w:t>
      </w:r>
      <w:bookmarkStart w:id="2980" w:name="_Ref77317945"/>
      <w:bookmarkEnd w:id="2977"/>
      <w:r w:rsidRPr="00F967FE">
        <w:t xml:space="preserve">UK Data Protection Laws apply to its Processing of the </w:t>
      </w:r>
      <w:r w:rsidRPr="00547EB2">
        <w:t>Transferred Data, including transferring it to the Importer.</w:t>
      </w:r>
      <w:bookmarkEnd w:id="2978"/>
      <w:bookmarkEnd w:id="2980"/>
    </w:p>
    <w:p w14:paraId="6A5D9D3C" w14:textId="77777777" w:rsidR="00F67E9E" w:rsidRPr="009426CA" w:rsidRDefault="00F67E9E" w:rsidP="00F67E9E">
      <w:pPr>
        <w:pStyle w:val="AppendixText2"/>
      </w:pPr>
      <w:bookmarkStart w:id="2981" w:name="_Ref71148417"/>
      <w:r w:rsidRPr="00547EB2">
        <w:t>The E</w:t>
      </w:r>
      <w:r w:rsidRPr="002E0847">
        <w:t>xporter must</w:t>
      </w:r>
      <w:r>
        <w:t>:</w:t>
      </w:r>
    </w:p>
    <w:p w14:paraId="246602CE" w14:textId="77777777" w:rsidR="00F67E9E" w:rsidRPr="00547EB2" w:rsidRDefault="00F67E9E" w:rsidP="00F67E9E">
      <w:pPr>
        <w:pStyle w:val="AppendixText3"/>
      </w:pPr>
      <w:r w:rsidRPr="00F967FE">
        <w:t xml:space="preserve">comply with the UK Data Protection Laws in </w:t>
      </w:r>
      <w:r>
        <w:t>transferring</w:t>
      </w:r>
      <w:r w:rsidRPr="00F967FE">
        <w:t xml:space="preserve"> the Transferred Data to the </w:t>
      </w:r>
      <w:r w:rsidRPr="00547EB2">
        <w:t>Importer;</w:t>
      </w:r>
      <w:bookmarkEnd w:id="2981"/>
    </w:p>
    <w:p w14:paraId="788663E9" w14:textId="77777777" w:rsidR="00F67E9E" w:rsidRPr="00547EB2" w:rsidRDefault="00F67E9E" w:rsidP="00F67E9E">
      <w:pPr>
        <w:pStyle w:val="AppendixText3"/>
      </w:pPr>
      <w:r w:rsidRPr="00547EB2">
        <w:t xml:space="preserve">comply with the Linked Agreement as it relates to its transferring the Transferred Data to the Importer; and </w:t>
      </w:r>
    </w:p>
    <w:p w14:paraId="56B3E1FF" w14:textId="0B2FDC5C" w:rsidR="00F67E9E" w:rsidRPr="008D28F9" w:rsidRDefault="00F67E9E" w:rsidP="00F67E9E">
      <w:pPr>
        <w:pStyle w:val="AppendixText3"/>
      </w:pPr>
      <w:r w:rsidRPr="00547EB2">
        <w:t xml:space="preserve">carry out reasonable checks on the Importer’s ability to comply with this IDTA, and take appropriate action including under Section </w:t>
      </w:r>
      <w:r w:rsidRPr="00547EB2">
        <w:fldChar w:fldCharType="begin"/>
      </w:r>
      <w:r w:rsidRPr="00547EB2">
        <w:instrText xml:space="preserve"> REF _Ref73503791 \r \h  \* MERGEFORMAT </w:instrText>
      </w:r>
      <w:r w:rsidRPr="00547EB2">
        <w:fldChar w:fldCharType="separate"/>
      </w:r>
      <w:r w:rsidR="00302D39">
        <w:t>9.2</w:t>
      </w:r>
      <w:r w:rsidRPr="00547EB2">
        <w:fldChar w:fldCharType="end"/>
      </w:r>
      <w:r w:rsidRPr="00547EB2">
        <w:t xml:space="preserve">, Section </w:t>
      </w:r>
      <w:r w:rsidRPr="00547EB2">
        <w:fldChar w:fldCharType="begin"/>
      </w:r>
      <w:r w:rsidRPr="00547EB2">
        <w:instrText xml:space="preserve"> REF  Section_29 \h \r  \* MERGEFORMAT </w:instrText>
      </w:r>
      <w:r w:rsidRPr="00547EB2">
        <w:fldChar w:fldCharType="separate"/>
      </w:r>
      <w:r w:rsidR="00302D39">
        <w:t>29</w:t>
      </w:r>
      <w:r w:rsidRPr="00547EB2">
        <w:fldChar w:fldCharType="end"/>
      </w:r>
      <w:r w:rsidRPr="00547EB2">
        <w:t xml:space="preserve"> or Section </w:t>
      </w:r>
      <w:r w:rsidRPr="00547EB2">
        <w:fldChar w:fldCharType="begin"/>
      </w:r>
      <w:r w:rsidRPr="00547EB2">
        <w:instrText xml:space="preserve"> REF  Section_30 \h \r  \* MERGEFORMAT </w:instrText>
      </w:r>
      <w:r w:rsidRPr="00547EB2">
        <w:fldChar w:fldCharType="separate"/>
      </w:r>
      <w:r w:rsidR="00302D39">
        <w:t>30</w:t>
      </w:r>
      <w:r w:rsidRPr="00547EB2">
        <w:fldChar w:fldCharType="end"/>
      </w:r>
      <w:r w:rsidRPr="00547EB2">
        <w:t>, if at any time it</w:t>
      </w:r>
      <w:r w:rsidRPr="008D28F9">
        <w:t xml:space="preserve"> no longer considers that the Importer is able to comply with this IDTA or to provide Appropriate Safeguards.</w:t>
      </w:r>
    </w:p>
    <w:p w14:paraId="4DF1D352" w14:textId="77777777" w:rsidR="00F67E9E" w:rsidRPr="009426CA" w:rsidRDefault="00F67E9E" w:rsidP="00F67E9E">
      <w:pPr>
        <w:pStyle w:val="AppendixText2"/>
      </w:pPr>
      <w:bookmarkStart w:id="2982" w:name="_Toc79405471"/>
      <w:r w:rsidRPr="00AA00A5">
        <w:t xml:space="preserve">The Exporter must comply with all its obligations in the IDTA, including any in the Security Requirements, </w:t>
      </w:r>
      <w:r>
        <w:t>and any</w:t>
      </w:r>
      <w:r w:rsidRPr="00AA00A5">
        <w:t xml:space="preserve"> Extra Protection Clauses and any Commercial Clauses.</w:t>
      </w:r>
      <w:bookmarkEnd w:id="2982"/>
    </w:p>
    <w:p w14:paraId="5144C8E7" w14:textId="77777777" w:rsidR="00F67E9E" w:rsidRPr="009426CA" w:rsidRDefault="00F67E9E" w:rsidP="00F67E9E">
      <w:pPr>
        <w:pStyle w:val="AppendixText2"/>
      </w:pPr>
      <w:bookmarkStart w:id="2983" w:name="_Ref71912596"/>
      <w:bookmarkStart w:id="2984" w:name="_Ref77596482"/>
      <w:bookmarkStart w:id="2985" w:name="_Toc79405472"/>
      <w:bookmarkStart w:id="2986" w:name="_Ref71515290"/>
      <w:r w:rsidRPr="00F967FE">
        <w:t xml:space="preserve">The Exporter </w:t>
      </w:r>
      <w:bookmarkEnd w:id="2983"/>
      <w:r w:rsidRPr="00F967FE">
        <w:t xml:space="preserve">must co-operate with reasonable requests of the Importer to pass on notices or other information to and from </w:t>
      </w:r>
      <w:r>
        <w:t>Relevant Data Subject</w:t>
      </w:r>
      <w:r w:rsidRPr="00F967FE">
        <w:t xml:space="preserve">s or any </w:t>
      </w:r>
      <w:r>
        <w:t xml:space="preserve">Third Party </w:t>
      </w:r>
      <w:r w:rsidRPr="00F967FE">
        <w:t>Controller</w:t>
      </w:r>
      <w:r>
        <w:t xml:space="preserve"> where it is not reasonably practical for the Importer to do so</w:t>
      </w:r>
      <w:r w:rsidRPr="00F967FE">
        <w:t>. The Exporter may pass these on via a third party if it is reasonable to do so.</w:t>
      </w:r>
      <w:bookmarkEnd w:id="2984"/>
      <w:bookmarkEnd w:id="2985"/>
      <w:r>
        <w:t xml:space="preserve"> </w:t>
      </w:r>
    </w:p>
    <w:p w14:paraId="56DC3722" w14:textId="77777777" w:rsidR="00F67E9E" w:rsidRPr="009426CA" w:rsidRDefault="00F67E9E" w:rsidP="00F67E9E">
      <w:pPr>
        <w:pStyle w:val="AppendixText2"/>
      </w:pPr>
      <w:bookmarkStart w:id="2987" w:name="_Toc79405473"/>
      <w:r w:rsidRPr="00F967FE">
        <w:t xml:space="preserve">The Exporter must co-operate with and provide reasonable assistance to the Importer, so that the Importer is able to comply with its obligations to the </w:t>
      </w:r>
      <w:r>
        <w:t>Relevant Data Subject</w:t>
      </w:r>
      <w:r w:rsidRPr="00F967FE">
        <w:t>s under Local Law and this IDTA.</w:t>
      </w:r>
      <w:bookmarkEnd w:id="2987"/>
    </w:p>
    <w:p w14:paraId="593BFECC" w14:textId="77777777" w:rsidR="00F67E9E" w:rsidRPr="00D515BC" w:rsidRDefault="00F67E9E" w:rsidP="00F67E9E">
      <w:pPr>
        <w:pStyle w:val="StdBodyText2"/>
        <w:keepNext/>
        <w:ind w:left="0"/>
        <w:rPr>
          <w:b/>
          <w:bCs/>
        </w:rPr>
      </w:pPr>
      <w:bookmarkStart w:id="2988" w:name="_Ref73503819"/>
      <w:bookmarkEnd w:id="2979"/>
      <w:bookmarkEnd w:id="2986"/>
      <w:r w:rsidRPr="00D515BC">
        <w:rPr>
          <w:b/>
          <w:bCs/>
        </w:rPr>
        <w:t>The Importer</w:t>
      </w:r>
    </w:p>
    <w:p w14:paraId="6DAAC414" w14:textId="77777777" w:rsidR="00F67E9E" w:rsidRPr="009426CA" w:rsidRDefault="00F67E9E" w:rsidP="00F67E9E">
      <w:pPr>
        <w:pStyle w:val="AppendixText1"/>
      </w:pPr>
      <w:bookmarkStart w:id="2989" w:name="Section_12"/>
      <w:bookmarkEnd w:id="2989"/>
      <w:r w:rsidRPr="003863C4">
        <w:t xml:space="preserve">General </w:t>
      </w:r>
      <w:r w:rsidRPr="00547EB2">
        <w:t>Importer</w:t>
      </w:r>
      <w:r w:rsidRPr="003863C4">
        <w:t xml:space="preserve"> obligations</w:t>
      </w:r>
    </w:p>
    <w:p w14:paraId="4B3129A7" w14:textId="77777777" w:rsidR="00F67E9E" w:rsidRPr="009426CA" w:rsidRDefault="00F67E9E" w:rsidP="00F67E9E">
      <w:pPr>
        <w:pStyle w:val="AppendixText2"/>
      </w:pPr>
      <w:bookmarkStart w:id="2990" w:name="_Ref73506248"/>
      <w:bookmarkStart w:id="2991" w:name="_Ref73507610"/>
      <w:bookmarkStart w:id="2992" w:name="_Toc79405475"/>
      <w:bookmarkEnd w:id="2988"/>
      <w:r w:rsidRPr="00F967FE">
        <w:t xml:space="preserve">The </w:t>
      </w:r>
      <w:r w:rsidRPr="00547EB2">
        <w:t>Importer</w:t>
      </w:r>
      <w:r w:rsidRPr="00F967FE">
        <w:t xml:space="preserve"> must:</w:t>
      </w:r>
      <w:bookmarkEnd w:id="2990"/>
      <w:bookmarkEnd w:id="2991"/>
      <w:bookmarkEnd w:id="2992"/>
      <w:r w:rsidRPr="00F967FE">
        <w:t xml:space="preserve"> </w:t>
      </w:r>
    </w:p>
    <w:p w14:paraId="3817C535" w14:textId="77777777" w:rsidR="00F67E9E" w:rsidRPr="00547EB2" w:rsidRDefault="00F67E9E" w:rsidP="00F67E9E">
      <w:pPr>
        <w:pStyle w:val="AppendixText3"/>
      </w:pPr>
      <w:r w:rsidRPr="00F967FE">
        <w:t xml:space="preserve">only </w:t>
      </w:r>
      <w:r w:rsidRPr="00547EB2">
        <w:t>Process the Transferred Data for the Purpose;</w:t>
      </w:r>
    </w:p>
    <w:p w14:paraId="02F55E6B" w14:textId="77777777" w:rsidR="00F67E9E" w:rsidRPr="00547EB2" w:rsidRDefault="00F67E9E" w:rsidP="00F67E9E">
      <w:pPr>
        <w:pStyle w:val="AppendixText3"/>
      </w:pPr>
      <w:bookmarkStart w:id="2993" w:name="_Ref77596530"/>
      <w:bookmarkStart w:id="2994" w:name="_Ref71495862"/>
      <w:r w:rsidRPr="00547EB2">
        <w:t>comply with all its obligations in the IDTA, including in the Security Requirements, any Extra Protection Clauses and any Commercial Clauses;</w:t>
      </w:r>
      <w:bookmarkEnd w:id="2993"/>
    </w:p>
    <w:p w14:paraId="1A33F262" w14:textId="77777777" w:rsidR="00F67E9E" w:rsidRPr="00547EB2" w:rsidRDefault="00F67E9E" w:rsidP="00F67E9E">
      <w:pPr>
        <w:pStyle w:val="AppendixText3"/>
      </w:pPr>
      <w:bookmarkStart w:id="2995" w:name="_Ref77596560"/>
      <w:r w:rsidRPr="00547EB2">
        <w:t>comply with all its obligations in the Linked Agreement which relate to its Processing of the Transferred Data;</w:t>
      </w:r>
      <w:bookmarkEnd w:id="2995"/>
    </w:p>
    <w:p w14:paraId="55E66654" w14:textId="77777777" w:rsidR="00F67E9E" w:rsidRPr="00547EB2" w:rsidRDefault="00F67E9E" w:rsidP="00F67E9E">
      <w:pPr>
        <w:pStyle w:val="AppendixText3"/>
      </w:pPr>
      <w:bookmarkStart w:id="2996" w:name="_Ref77597260"/>
      <w:bookmarkEnd w:id="2994"/>
      <w:r w:rsidRPr="00547EB2">
        <w:t>keep a written record of its Processing of the Transferred Data, which demonstrate its compliance with this IDTA, and provide this written record if asked to do so by the Exporter;</w:t>
      </w:r>
      <w:bookmarkEnd w:id="2996"/>
    </w:p>
    <w:p w14:paraId="02F0955D" w14:textId="77777777" w:rsidR="00F67E9E" w:rsidRPr="00547EB2" w:rsidRDefault="00F67E9E" w:rsidP="00F67E9E">
      <w:pPr>
        <w:pStyle w:val="AppendixText3"/>
      </w:pPr>
      <w:bookmarkStart w:id="2997" w:name="_Ref77597273"/>
      <w:r w:rsidRPr="00547EB2">
        <w:t>if the Linked Agreement includes rights for the Exporter to obtain information or carry out an audit, provide the Exporter with the same rights in relation to this IDTA; and</w:t>
      </w:r>
      <w:bookmarkEnd w:id="2997"/>
    </w:p>
    <w:p w14:paraId="629EB307" w14:textId="229DE398" w:rsidR="00F67E9E" w:rsidRPr="009426CA" w:rsidRDefault="00F67E9E" w:rsidP="00F67E9E">
      <w:pPr>
        <w:pStyle w:val="AppendixText3"/>
      </w:pPr>
      <w:bookmarkStart w:id="2998" w:name="_Ref77318003"/>
      <w:r w:rsidRPr="00547EB2">
        <w:t>if the ICO</w:t>
      </w:r>
      <w:r w:rsidRPr="009426CA">
        <w:t xml:space="preserve"> requests, provide the ICO with the information it would be required on request to provide to the Exporter under this Section </w:t>
      </w:r>
      <w:r w:rsidRPr="009426CA">
        <w:fldChar w:fldCharType="begin"/>
      </w:r>
      <w:r w:rsidRPr="009426CA">
        <w:instrText xml:space="preserve"> REF _Ref73506248 \r \h  \* MERGEFORMAT </w:instrText>
      </w:r>
      <w:r w:rsidRPr="009426CA">
        <w:fldChar w:fldCharType="separate"/>
      </w:r>
      <w:r w:rsidR="00302D39">
        <w:t>12.1</w:t>
      </w:r>
      <w:r w:rsidRPr="009426CA">
        <w:fldChar w:fldCharType="end"/>
      </w:r>
      <w:r w:rsidRPr="009426CA">
        <w:t xml:space="preserve"> (including the written record of its Processing, and the results of audits and inspections).</w:t>
      </w:r>
      <w:bookmarkEnd w:id="2998"/>
    </w:p>
    <w:p w14:paraId="7D46EDC1" w14:textId="77777777" w:rsidR="00F67E9E" w:rsidRDefault="00F67E9E" w:rsidP="00F67E9E">
      <w:pPr>
        <w:pStyle w:val="AppendixText2"/>
      </w:pPr>
      <w:bookmarkStart w:id="2999" w:name="_Toc79405476"/>
      <w:r w:rsidRPr="00F967FE">
        <w:t xml:space="preserve">The Importer must co-operate with and provide reasonable assistance to the Exporter and any </w:t>
      </w:r>
      <w:r>
        <w:t xml:space="preserve">Third Party </w:t>
      </w:r>
      <w:r w:rsidRPr="00F967FE">
        <w:t xml:space="preserve">Controller, so that the Exporter and any </w:t>
      </w:r>
      <w:r>
        <w:t xml:space="preserve">Third Party </w:t>
      </w:r>
      <w:r w:rsidRPr="00F967FE">
        <w:t>Controller are able to comply with their obligations under UK Data Protection Laws and this IDTA.</w:t>
      </w:r>
      <w:bookmarkEnd w:id="2999"/>
      <w:r>
        <w:t xml:space="preserve"> </w:t>
      </w:r>
    </w:p>
    <w:p w14:paraId="251C10A2" w14:textId="77777777" w:rsidR="00F67E9E" w:rsidRPr="009426CA" w:rsidRDefault="00F67E9E" w:rsidP="00F67E9E">
      <w:pPr>
        <w:pStyle w:val="AppendixText1"/>
      </w:pPr>
      <w:bookmarkStart w:id="3000" w:name="Section_13"/>
      <w:bookmarkEnd w:id="3000"/>
      <w:r w:rsidRPr="003863C4">
        <w:t>Importer</w:t>
      </w:r>
      <w:r>
        <w:t>’</w:t>
      </w:r>
      <w:r w:rsidRPr="003863C4">
        <w:t>s obligations if it is subject to the UK Data Protection Laws</w:t>
      </w:r>
    </w:p>
    <w:p w14:paraId="40B6D2B8" w14:textId="77777777" w:rsidR="00F67E9E" w:rsidRPr="009426CA" w:rsidRDefault="00F67E9E" w:rsidP="00F67E9E">
      <w:pPr>
        <w:pStyle w:val="AppendixText2"/>
      </w:pPr>
      <w:bookmarkStart w:id="3001" w:name="_Ref76468174"/>
      <w:bookmarkStart w:id="3002" w:name="_Toc79405478"/>
      <w:r w:rsidRPr="00F967FE">
        <w:t>If the Importer</w:t>
      </w:r>
      <w:r>
        <w:t xml:space="preserve">’s Processing of the Transferred Data </w:t>
      </w:r>
      <w:r w:rsidRPr="00F967FE">
        <w:t>is subject to UK Data Protection Laws, it agrees that:</w:t>
      </w:r>
      <w:bookmarkEnd w:id="3001"/>
      <w:bookmarkEnd w:id="3002"/>
    </w:p>
    <w:p w14:paraId="40BEBBB4" w14:textId="77777777" w:rsidR="00F67E9E" w:rsidRPr="00547EB2" w:rsidRDefault="00F67E9E" w:rsidP="00F67E9E">
      <w:pPr>
        <w:pStyle w:val="AppendixText3"/>
      </w:pPr>
      <w:r w:rsidRPr="00F967FE">
        <w:t xml:space="preserve">UK Data Protection Laws apply to its Processing of the Transferred Data, and the ICO has </w:t>
      </w:r>
      <w:r w:rsidRPr="00547EB2">
        <w:t>jurisdiction over it in that respect; and</w:t>
      </w:r>
    </w:p>
    <w:p w14:paraId="7033C094" w14:textId="77777777" w:rsidR="00F67E9E" w:rsidRPr="009426CA" w:rsidRDefault="00F67E9E" w:rsidP="00F67E9E">
      <w:pPr>
        <w:pStyle w:val="AppendixText3"/>
      </w:pPr>
      <w:r w:rsidRPr="00547EB2">
        <w:t>it has and will comply with the UK Data Protection Laws in relation to the Processing of the</w:t>
      </w:r>
      <w:r w:rsidRPr="00F967FE">
        <w:t xml:space="preserve"> Transferred Data</w:t>
      </w:r>
      <w:r>
        <w:t>.</w:t>
      </w:r>
    </w:p>
    <w:p w14:paraId="0C6FE5F4" w14:textId="50A1DD38" w:rsidR="00F67E9E" w:rsidRDefault="00F67E9E" w:rsidP="00F67E9E">
      <w:pPr>
        <w:pStyle w:val="AppendixText2"/>
        <w:keepNext/>
      </w:pPr>
      <w:r w:rsidRPr="009426CA">
        <w:t xml:space="preserve">If Section </w:t>
      </w:r>
      <w:r w:rsidRPr="009426CA">
        <w:fldChar w:fldCharType="begin"/>
      </w:r>
      <w:r w:rsidRPr="009426CA">
        <w:instrText xml:space="preserve"> REF _Ref76468174 \r \h  \* MERGEFORMAT </w:instrText>
      </w:r>
      <w:r w:rsidRPr="009426CA">
        <w:fldChar w:fldCharType="separate"/>
      </w:r>
      <w:r w:rsidR="00302D39">
        <w:t>13.1</w:t>
      </w:r>
      <w:r w:rsidRPr="009426CA">
        <w:fldChar w:fldCharType="end"/>
      </w:r>
      <w:r w:rsidRPr="009426CA">
        <w:t xml:space="preserve"> applies and the Importer complies with Section </w:t>
      </w:r>
      <w:r w:rsidRPr="009426CA">
        <w:fldChar w:fldCharType="begin"/>
      </w:r>
      <w:r w:rsidRPr="009426CA">
        <w:instrText xml:space="preserve"> REF _Ref76468174 \r \h  \* MERGEFORMAT </w:instrText>
      </w:r>
      <w:r w:rsidRPr="009426CA">
        <w:fldChar w:fldCharType="separate"/>
      </w:r>
      <w:r w:rsidR="00302D39">
        <w:t>13.1</w:t>
      </w:r>
      <w:r w:rsidRPr="009426CA">
        <w:fldChar w:fldCharType="end"/>
      </w:r>
      <w:r w:rsidRPr="009426CA">
        <w:t>, it does not need to comply with:</w:t>
      </w:r>
    </w:p>
    <w:p w14:paraId="3BD5829B" w14:textId="4CAED731" w:rsidR="00F67E9E" w:rsidRPr="00547EB2" w:rsidRDefault="00F67E9E" w:rsidP="00F67E9E">
      <w:pPr>
        <w:pStyle w:val="AppendixText3"/>
      </w:pPr>
      <w:bookmarkStart w:id="3003" w:name="_Toc79405480"/>
      <w:r w:rsidRPr="009426CA">
        <w:t xml:space="preserve">Section </w:t>
      </w:r>
      <w:r>
        <w:fldChar w:fldCharType="begin"/>
      </w:r>
      <w:r>
        <w:instrText xml:space="preserve"> REF  Section_14 \h \r  \* MERGEFORMAT </w:instrText>
      </w:r>
      <w:r>
        <w:fldChar w:fldCharType="separate"/>
      </w:r>
      <w:r w:rsidR="00302D39">
        <w:t>14</w:t>
      </w:r>
      <w:r>
        <w:fldChar w:fldCharType="end"/>
      </w:r>
      <w:r w:rsidRPr="009426CA">
        <w:t xml:space="preserve"> (Importer</w:t>
      </w:r>
      <w:r>
        <w:t>’</w:t>
      </w:r>
      <w:r w:rsidRPr="009426CA">
        <w:t xml:space="preserve">s </w:t>
      </w:r>
      <w:r w:rsidRPr="00547EB2">
        <w:t>obligations to comply with key data protection principles);</w:t>
      </w:r>
      <w:bookmarkEnd w:id="3003"/>
    </w:p>
    <w:p w14:paraId="09003A4C" w14:textId="25277137" w:rsidR="00F67E9E" w:rsidRPr="00547EB2" w:rsidRDefault="00F67E9E" w:rsidP="00F67E9E">
      <w:pPr>
        <w:pStyle w:val="AppendixText3"/>
      </w:pPr>
      <w:bookmarkStart w:id="3004" w:name="_Toc79405481"/>
      <w:r w:rsidRPr="00547EB2">
        <w:t xml:space="preserve">Section </w:t>
      </w:r>
      <w:r w:rsidRPr="00547EB2">
        <w:fldChar w:fldCharType="begin"/>
      </w:r>
      <w:r w:rsidRPr="00547EB2">
        <w:instrText xml:space="preserve"> REF  Section_15 \h \r  \* MERGEFORMAT </w:instrText>
      </w:r>
      <w:r w:rsidRPr="00547EB2">
        <w:fldChar w:fldCharType="separate"/>
      </w:r>
      <w:r w:rsidR="00302D39">
        <w:t>15</w:t>
      </w:r>
      <w:r w:rsidRPr="00547EB2">
        <w:fldChar w:fldCharType="end"/>
      </w:r>
      <w:r w:rsidRPr="00547EB2">
        <w:t xml:space="preserve"> (What happens if there is an Importer </w:t>
      </w:r>
      <w:r>
        <w:t>Data Loss Event</w:t>
      </w:r>
      <w:r w:rsidRPr="00547EB2">
        <w:t>);</w:t>
      </w:r>
      <w:bookmarkEnd w:id="3004"/>
    </w:p>
    <w:p w14:paraId="68C91BBF" w14:textId="2ABBB3F3" w:rsidR="00F67E9E" w:rsidRPr="00547EB2" w:rsidRDefault="00F67E9E" w:rsidP="00F67E9E">
      <w:pPr>
        <w:pStyle w:val="AppendixText3"/>
      </w:pPr>
      <w:bookmarkStart w:id="3005" w:name="_Toc79405482"/>
      <w:r w:rsidRPr="00547EB2">
        <w:t xml:space="preserve">Section </w:t>
      </w:r>
      <w:r w:rsidRPr="00547EB2">
        <w:fldChar w:fldCharType="begin"/>
      </w:r>
      <w:r w:rsidRPr="00547EB2">
        <w:instrText xml:space="preserve"> REF  Section_15 \h \r  \* MERGEFORMAT </w:instrText>
      </w:r>
      <w:r w:rsidRPr="00547EB2">
        <w:fldChar w:fldCharType="separate"/>
      </w:r>
      <w:r w:rsidR="00302D39">
        <w:t>15</w:t>
      </w:r>
      <w:r w:rsidRPr="00547EB2">
        <w:fldChar w:fldCharType="end"/>
      </w:r>
      <w:r w:rsidRPr="00547EB2">
        <w:t xml:space="preserve"> (How Relevant Data Subjects can exercise their data subject rights); and</w:t>
      </w:r>
      <w:bookmarkEnd w:id="3005"/>
    </w:p>
    <w:p w14:paraId="063A59B0" w14:textId="7545C13A" w:rsidR="00F67E9E" w:rsidRPr="009426CA" w:rsidRDefault="00F67E9E" w:rsidP="00F67E9E">
      <w:pPr>
        <w:pStyle w:val="AppendixText3"/>
      </w:pPr>
      <w:bookmarkStart w:id="3006" w:name="_Toc79405483"/>
      <w:r w:rsidRPr="00547EB2">
        <w:t xml:space="preserve">Section </w:t>
      </w:r>
      <w:r w:rsidRPr="00547EB2">
        <w:fldChar w:fldCharType="begin"/>
      </w:r>
      <w:r w:rsidRPr="00547EB2">
        <w:instrText xml:space="preserve"> REF  Section_21 \h \r  \* MERGEFORMAT </w:instrText>
      </w:r>
      <w:r w:rsidRPr="00547EB2">
        <w:fldChar w:fldCharType="separate"/>
      </w:r>
      <w:r w:rsidR="00302D39">
        <w:t>21</w:t>
      </w:r>
      <w:r w:rsidRPr="00547EB2">
        <w:fldChar w:fldCharType="end"/>
      </w:r>
      <w:r w:rsidRPr="00547EB2">
        <w:t xml:space="preserve"> (How Relevant Data</w:t>
      </w:r>
      <w:r>
        <w:t xml:space="preserve"> Subject</w:t>
      </w:r>
      <w:r w:rsidRPr="009426CA">
        <w:t>s can exercise their data subject rights – if the Importer is the Exporter</w:t>
      </w:r>
      <w:r>
        <w:t>’</w:t>
      </w:r>
      <w:r w:rsidRPr="009426CA">
        <w:t>s Processor or Sub-Processor).</w:t>
      </w:r>
      <w:bookmarkEnd w:id="3006"/>
    </w:p>
    <w:p w14:paraId="078F6C9D" w14:textId="77777777" w:rsidR="00F67E9E" w:rsidRPr="009426CA" w:rsidRDefault="00F67E9E" w:rsidP="00F67E9E">
      <w:pPr>
        <w:pStyle w:val="AppendixText1"/>
      </w:pPr>
      <w:bookmarkStart w:id="3007" w:name="Section_14"/>
      <w:bookmarkEnd w:id="3007"/>
      <w:r w:rsidRPr="003863C4">
        <w:t>Importer</w:t>
      </w:r>
      <w:r>
        <w:t>’</w:t>
      </w:r>
      <w:r w:rsidRPr="003863C4">
        <w:t xml:space="preserve">s </w:t>
      </w:r>
      <w:r w:rsidRPr="00547EB2">
        <w:t>obligations</w:t>
      </w:r>
      <w:r w:rsidRPr="003863C4">
        <w:t xml:space="preserve"> to comply with key data protection principles</w:t>
      </w:r>
    </w:p>
    <w:p w14:paraId="244674F0" w14:textId="3DE49524" w:rsidR="00F67E9E" w:rsidRPr="00547EB2" w:rsidRDefault="00F67E9E" w:rsidP="00F67E9E">
      <w:pPr>
        <w:pStyle w:val="AppendixText2"/>
      </w:pPr>
      <w:bookmarkStart w:id="3008" w:name="_Toc79405485"/>
      <w:bookmarkStart w:id="3009" w:name="_Ref71147662"/>
      <w:bookmarkStart w:id="3010" w:name="_Ref73375872"/>
      <w:r w:rsidRPr="009426CA">
        <w:t xml:space="preserve">The Importer does not need to comply with this Section </w:t>
      </w:r>
      <w:r>
        <w:fldChar w:fldCharType="begin"/>
      </w:r>
      <w:r>
        <w:instrText xml:space="preserve"> REF  Section_14 \h \r  \* MERGEFORMAT </w:instrText>
      </w:r>
      <w:r>
        <w:fldChar w:fldCharType="separate"/>
      </w:r>
      <w:r w:rsidR="00302D39">
        <w:t>14</w:t>
      </w:r>
      <w:r>
        <w:fldChar w:fldCharType="end"/>
      </w:r>
      <w:r w:rsidRPr="009426CA">
        <w:t xml:space="preserve"> if it is the Exporter</w:t>
      </w:r>
      <w:r>
        <w:t>’</w:t>
      </w:r>
      <w:r w:rsidRPr="009426CA">
        <w:t>s Processor or Sub-</w:t>
      </w:r>
      <w:r w:rsidRPr="00547EB2">
        <w:t>Processor.</w:t>
      </w:r>
      <w:bookmarkEnd w:id="3008"/>
      <w:r w:rsidRPr="00547EB2">
        <w:t xml:space="preserve"> </w:t>
      </w:r>
    </w:p>
    <w:p w14:paraId="3E00F3FA" w14:textId="77777777" w:rsidR="00F67E9E" w:rsidRPr="009426CA" w:rsidRDefault="00F67E9E" w:rsidP="00F67E9E">
      <w:pPr>
        <w:pStyle w:val="AppendixText2"/>
      </w:pPr>
      <w:bookmarkStart w:id="3011" w:name="_Toc79405486"/>
      <w:r w:rsidRPr="00547EB2">
        <w:t>The Importe</w:t>
      </w:r>
      <w:r w:rsidRPr="00F967FE">
        <w:t>r must:</w:t>
      </w:r>
      <w:bookmarkEnd w:id="3009"/>
      <w:bookmarkEnd w:id="3010"/>
      <w:bookmarkEnd w:id="3011"/>
      <w:r w:rsidRPr="00F967FE" w:rsidDel="002A5F86">
        <w:t xml:space="preserve"> </w:t>
      </w:r>
    </w:p>
    <w:p w14:paraId="459CA106" w14:textId="77777777" w:rsidR="00F67E9E" w:rsidRPr="00F248F0" w:rsidRDefault="00F67E9E" w:rsidP="00F67E9E">
      <w:pPr>
        <w:pStyle w:val="AppendixText3"/>
      </w:pPr>
      <w:r w:rsidRPr="00F967FE">
        <w:t xml:space="preserve">ensure that the Transferred Data it Processes </w:t>
      </w:r>
      <w:r>
        <w:t>is</w:t>
      </w:r>
      <w:r w:rsidRPr="00F967FE">
        <w:t xml:space="preserve"> adequate, relevant and limited to what is </w:t>
      </w:r>
      <w:r w:rsidRPr="00F248F0">
        <w:t xml:space="preserve">necessary for the Purpose; </w:t>
      </w:r>
    </w:p>
    <w:p w14:paraId="24DA4FE7" w14:textId="77777777" w:rsidR="00F67E9E" w:rsidRPr="00F248F0" w:rsidRDefault="00F67E9E" w:rsidP="00F67E9E">
      <w:pPr>
        <w:pStyle w:val="AppendixText3"/>
      </w:pPr>
      <w:r w:rsidRPr="00F248F0">
        <w:t>ensure that the Transferred Data it Processes is accurate and (where necessary) kept up to date, and (where appropriate considering the Purposes) correct or delete any inaccurate Transferred Data it becomes aware of Without Undue Delay; and</w:t>
      </w:r>
    </w:p>
    <w:p w14:paraId="663819E5" w14:textId="77777777" w:rsidR="00F67E9E" w:rsidRDefault="00F67E9E" w:rsidP="00F67E9E">
      <w:pPr>
        <w:pStyle w:val="AppendixText3"/>
      </w:pPr>
      <w:r w:rsidRPr="00F248F0">
        <w:t>ensure that it Processes the Transferred Data for no longer than is reasonably necessary</w:t>
      </w:r>
      <w:r>
        <w:t xml:space="preserve"> for the Purpose. </w:t>
      </w:r>
    </w:p>
    <w:p w14:paraId="11466340" w14:textId="77777777" w:rsidR="00F67E9E" w:rsidRPr="009426CA" w:rsidRDefault="00F67E9E" w:rsidP="00F67E9E">
      <w:pPr>
        <w:pStyle w:val="AppendixText1"/>
      </w:pPr>
      <w:bookmarkStart w:id="3012" w:name="Section_15"/>
      <w:bookmarkEnd w:id="3012"/>
      <w:r w:rsidRPr="003863C4">
        <w:t xml:space="preserve">What </w:t>
      </w:r>
      <w:r w:rsidRPr="00F248F0">
        <w:t>happens</w:t>
      </w:r>
      <w:r w:rsidRPr="003863C4">
        <w:t xml:space="preserve"> if there is an Importer </w:t>
      </w:r>
      <w:r>
        <w:t>Data Loss Event</w:t>
      </w:r>
    </w:p>
    <w:p w14:paraId="545A47CB" w14:textId="77777777" w:rsidR="00F67E9E" w:rsidRPr="009426CA" w:rsidRDefault="00F67E9E" w:rsidP="00F67E9E">
      <w:pPr>
        <w:pStyle w:val="AppendixText2"/>
      </w:pPr>
      <w:bookmarkStart w:id="3013" w:name="_Toc79405488"/>
      <w:r w:rsidRPr="00F967FE">
        <w:t xml:space="preserve">If there is </w:t>
      </w:r>
      <w:r w:rsidRPr="00CE58C4">
        <w:t xml:space="preserve">an Importer </w:t>
      </w:r>
      <w:r>
        <w:t>Data Loss Event</w:t>
      </w:r>
      <w:r w:rsidRPr="00CE58C4">
        <w:t>, the</w:t>
      </w:r>
      <w:r w:rsidRPr="00F967FE">
        <w:t xml:space="preserve"> Importer must</w:t>
      </w:r>
      <w:r>
        <w:t>:</w:t>
      </w:r>
      <w:bookmarkEnd w:id="3013"/>
    </w:p>
    <w:p w14:paraId="268123C5" w14:textId="77777777" w:rsidR="00F67E9E" w:rsidRPr="00F248F0" w:rsidRDefault="00F67E9E" w:rsidP="00F67E9E">
      <w:pPr>
        <w:pStyle w:val="AppendixText3"/>
      </w:pPr>
      <w:r w:rsidRPr="0063630D">
        <w:t xml:space="preserve">take reasonable steps to fix it, including to minimise the harmful effects on </w:t>
      </w:r>
      <w:r>
        <w:t>Relevant Data Subject</w:t>
      </w:r>
      <w:r w:rsidRPr="0063630D">
        <w:t>s, stop it from continuing, and prevent it happening again. If the Importer is</w:t>
      </w:r>
      <w:r w:rsidRPr="00E27D9F">
        <w:t xml:space="preserve"> the Exporter</w:t>
      </w:r>
      <w:r>
        <w:t>’</w:t>
      </w:r>
      <w:r w:rsidRPr="00E27D9F">
        <w:t>s Processor or Sub-Processor</w:t>
      </w:r>
      <w:r>
        <w:t xml:space="preserve">: </w:t>
      </w:r>
      <w:r w:rsidRPr="0063630D">
        <w:t xml:space="preserve">these steps must comply with the </w:t>
      </w:r>
      <w:r>
        <w:t xml:space="preserve">Exporter’s instructions and the </w:t>
      </w:r>
      <w:r w:rsidRPr="0063630D">
        <w:t>Linked Agreement and be in co-</w:t>
      </w:r>
      <w:r w:rsidRPr="00F248F0">
        <w:t>operation with the Exporter and any Third Party Controller; and</w:t>
      </w:r>
    </w:p>
    <w:p w14:paraId="4345FB0F" w14:textId="77777777" w:rsidR="00F67E9E" w:rsidRDefault="00F67E9E" w:rsidP="00F67E9E">
      <w:pPr>
        <w:pStyle w:val="AppendixText3"/>
      </w:pPr>
      <w:r w:rsidRPr="00F248F0">
        <w:t>ensure that the Security Requirements continue to provide (or are changed in accordan</w:t>
      </w:r>
      <w:r>
        <w:t>ce with this IDTA so they do provide)</w:t>
      </w:r>
      <w:r w:rsidRPr="00C20FE1">
        <w:t xml:space="preserve"> a level of security which is appropriate to the risk of a </w:t>
      </w:r>
      <w:r>
        <w:t>Data Loss Event</w:t>
      </w:r>
      <w:r w:rsidRPr="00C20FE1">
        <w:t xml:space="preserve"> occurring and the impact on </w:t>
      </w:r>
      <w:r>
        <w:t>Relevant Data Subject</w:t>
      </w:r>
      <w:r w:rsidRPr="00C20FE1">
        <w:t xml:space="preserve">s of such a </w:t>
      </w:r>
      <w:r>
        <w:t>Data Loss Event.</w:t>
      </w:r>
    </w:p>
    <w:p w14:paraId="6EBD34A8" w14:textId="77777777" w:rsidR="00F67E9E" w:rsidRDefault="00F67E9E" w:rsidP="00F67E9E">
      <w:pPr>
        <w:pStyle w:val="AppendixText2"/>
      </w:pPr>
      <w:bookmarkStart w:id="3014" w:name="_Toc79405490"/>
      <w:r w:rsidRPr="005F4EFA">
        <w:t>If the Importer is a Processor or Sub-Processor</w:t>
      </w:r>
      <w:r>
        <w:t>: if</w:t>
      </w:r>
      <w:r w:rsidRPr="00F967FE">
        <w:t xml:space="preserve"> there is </w:t>
      </w:r>
      <w:r w:rsidRPr="00CE58C4">
        <w:t xml:space="preserve">an Importer </w:t>
      </w:r>
      <w:r>
        <w:t>Data Loss Event,</w:t>
      </w:r>
      <w:r w:rsidRPr="005F4EFA">
        <w:t xml:space="preserve"> the </w:t>
      </w:r>
      <w:r w:rsidRPr="00F248F0">
        <w:t>Importer</w:t>
      </w:r>
      <w:r w:rsidRPr="00F72D29">
        <w:t xml:space="preserve"> must</w:t>
      </w:r>
      <w:r>
        <w:t>:</w:t>
      </w:r>
      <w:r w:rsidRPr="00F72D29">
        <w:t xml:space="preserve"> </w:t>
      </w:r>
    </w:p>
    <w:p w14:paraId="6B99F270" w14:textId="77777777" w:rsidR="00F67E9E" w:rsidRPr="00F72D29" w:rsidRDefault="00F67E9E" w:rsidP="00F67E9E">
      <w:pPr>
        <w:pStyle w:val="AppendixText3"/>
      </w:pPr>
      <w:r w:rsidRPr="00F72D29">
        <w:t>notify the Exporter Without Undue Delay after becoming aware of the breach, providing the following information:</w:t>
      </w:r>
    </w:p>
    <w:p w14:paraId="0BF691A0" w14:textId="77777777" w:rsidR="00F67E9E" w:rsidRPr="00F248F0" w:rsidRDefault="00F67E9E" w:rsidP="00F67E9E">
      <w:pPr>
        <w:pStyle w:val="AppendixText4"/>
      </w:pPr>
      <w:r w:rsidRPr="00F72D29">
        <w:t xml:space="preserve">a </w:t>
      </w:r>
      <w:r w:rsidRPr="00F248F0">
        <w:t xml:space="preserve">description of the nature of the Importer </w:t>
      </w:r>
      <w:r>
        <w:t>Data Loss Event</w:t>
      </w:r>
      <w:r w:rsidRPr="00F248F0">
        <w:t>;</w:t>
      </w:r>
    </w:p>
    <w:p w14:paraId="0D3D6000" w14:textId="77777777" w:rsidR="00F67E9E" w:rsidRPr="00F248F0" w:rsidRDefault="00F67E9E" w:rsidP="00F67E9E">
      <w:pPr>
        <w:pStyle w:val="AppendixText4"/>
      </w:pPr>
      <w:r w:rsidRPr="00F248F0">
        <w:t>(if and when possible) the categories and approximate number of Data Subjects and Transferred Data records concerned;</w:t>
      </w:r>
    </w:p>
    <w:p w14:paraId="06988E4F" w14:textId="77777777" w:rsidR="00F67E9E" w:rsidRPr="00F248F0" w:rsidRDefault="00F67E9E" w:rsidP="00F67E9E">
      <w:pPr>
        <w:pStyle w:val="AppendixText4"/>
      </w:pPr>
      <w:r w:rsidRPr="00F248F0">
        <w:t xml:space="preserve">likely consequences of the Importer </w:t>
      </w:r>
      <w:r>
        <w:t>Data Loss Event</w:t>
      </w:r>
      <w:r w:rsidRPr="00F248F0">
        <w:t>;</w:t>
      </w:r>
    </w:p>
    <w:p w14:paraId="259829EB" w14:textId="77777777" w:rsidR="00F67E9E" w:rsidRPr="00F72D29" w:rsidRDefault="00F67E9E" w:rsidP="00F67E9E">
      <w:pPr>
        <w:pStyle w:val="AppendixText4"/>
      </w:pPr>
      <w:r w:rsidRPr="00F248F0">
        <w:t xml:space="preserve">steps taken (or proposed to be taken) to fix the Importer </w:t>
      </w:r>
      <w:r>
        <w:t>Data Loss Event</w:t>
      </w:r>
      <w:r w:rsidRPr="00F248F0">
        <w:t xml:space="preserve"> (including to minimise the harmful effects on Relevant Data Subjects, stop it from continuing, and prevent it happening again) and to ensure that Appropriate</w:t>
      </w:r>
      <w:r w:rsidRPr="00F72D29">
        <w:t xml:space="preserve"> Safeguards are in place; </w:t>
      </w:r>
    </w:p>
    <w:p w14:paraId="598CDF35" w14:textId="77777777" w:rsidR="00F67E9E" w:rsidRDefault="00F67E9E" w:rsidP="00F67E9E">
      <w:pPr>
        <w:pStyle w:val="AppendixText4"/>
      </w:pPr>
      <w:r w:rsidRPr="00F72D29">
        <w:t>contact point for more information</w:t>
      </w:r>
      <w:r>
        <w:t>; and</w:t>
      </w:r>
    </w:p>
    <w:p w14:paraId="0C5BCEFF" w14:textId="77777777" w:rsidR="00F67E9E" w:rsidRPr="00F72D29" w:rsidRDefault="00F67E9E" w:rsidP="00F67E9E">
      <w:pPr>
        <w:pStyle w:val="AppendixText4"/>
      </w:pPr>
      <w:r w:rsidRPr="00F72D29">
        <w:t>any other information reasonably requested by the Exporter</w:t>
      </w:r>
      <w:r>
        <w:t>,</w:t>
      </w:r>
    </w:p>
    <w:p w14:paraId="3920BED7" w14:textId="77777777" w:rsidR="00F67E9E" w:rsidRPr="00F248F0" w:rsidRDefault="00F67E9E" w:rsidP="00F67E9E">
      <w:pPr>
        <w:pStyle w:val="AppendixText3"/>
      </w:pPr>
      <w:r>
        <w:t>i</w:t>
      </w:r>
      <w:r w:rsidRPr="00F72D29">
        <w:t xml:space="preserve">f it is not possible for the Importer to provide all the above information at the same time, it </w:t>
      </w:r>
      <w:r w:rsidRPr="00F248F0">
        <w:t>may do so in phases, Without Undue Delay; and</w:t>
      </w:r>
    </w:p>
    <w:p w14:paraId="38460C68" w14:textId="77777777" w:rsidR="00F67E9E" w:rsidRPr="005F4EFA" w:rsidRDefault="00F67E9E" w:rsidP="00F67E9E">
      <w:pPr>
        <w:pStyle w:val="AppendixText3"/>
      </w:pPr>
      <w:r w:rsidRPr="00F248F0">
        <w:t>assist the Exporter (and any Third Party Controller) so the Exporter (or any Third Party Controll</w:t>
      </w:r>
      <w:r w:rsidRPr="005F4EFA">
        <w:t xml:space="preserve">er) can inform Relevant Data Subjects or the ICO or any other relevant regulator or authority about the Importer </w:t>
      </w:r>
      <w:r>
        <w:t>Data Loss Event</w:t>
      </w:r>
      <w:r w:rsidRPr="005F4EFA">
        <w:t xml:space="preserve"> Without Undue Delay.</w:t>
      </w:r>
    </w:p>
    <w:p w14:paraId="7256C480" w14:textId="77777777" w:rsidR="00F67E9E" w:rsidRPr="00F72D29" w:rsidRDefault="00F67E9E" w:rsidP="00F67E9E">
      <w:pPr>
        <w:pStyle w:val="AppendixText2"/>
      </w:pPr>
      <w:r w:rsidRPr="00F72D29">
        <w:t xml:space="preserve">If the </w:t>
      </w:r>
      <w:r>
        <w:t xml:space="preserve">Importer is a Controller: if the </w:t>
      </w:r>
      <w:r w:rsidRPr="00F72D29">
        <w:t xml:space="preserve">Importer </w:t>
      </w:r>
      <w:r>
        <w:t>Data Loss Event</w:t>
      </w:r>
      <w:r w:rsidRPr="00F72D29">
        <w:t xml:space="preserve"> is likely to result in a risk to the rights or freedoms of any Relevant Data Subject the Importer must notify the Exporter Without Undue Delay after becoming aware of the breach, providing the following </w:t>
      </w:r>
      <w:r w:rsidRPr="00F248F0">
        <w:t>information</w:t>
      </w:r>
      <w:r w:rsidRPr="00F72D29">
        <w:t>:</w:t>
      </w:r>
      <w:bookmarkEnd w:id="3014"/>
    </w:p>
    <w:p w14:paraId="05BD50B9" w14:textId="77777777" w:rsidR="00F67E9E" w:rsidRPr="00F72D29" w:rsidRDefault="00F67E9E" w:rsidP="00F67E9E">
      <w:pPr>
        <w:pStyle w:val="AppendixText3"/>
      </w:pPr>
      <w:r w:rsidRPr="00F72D29">
        <w:t xml:space="preserve">a description of the nature of the Importer </w:t>
      </w:r>
      <w:r>
        <w:t>Data Loss Event</w:t>
      </w:r>
      <w:r w:rsidRPr="00F72D29">
        <w:t>;</w:t>
      </w:r>
    </w:p>
    <w:p w14:paraId="4ACE842D" w14:textId="77777777" w:rsidR="00F67E9E" w:rsidRPr="00F72D29" w:rsidRDefault="00F67E9E" w:rsidP="00F67E9E">
      <w:pPr>
        <w:pStyle w:val="AppendixText3"/>
      </w:pPr>
      <w:r w:rsidRPr="00F72D29">
        <w:t>(if and when possible) the categories and approximate number of Data Subjects and Transferred Data records concerned;</w:t>
      </w:r>
    </w:p>
    <w:p w14:paraId="6FB18A50" w14:textId="77777777" w:rsidR="00F67E9E" w:rsidRPr="00F72D29" w:rsidRDefault="00F67E9E" w:rsidP="00F67E9E">
      <w:pPr>
        <w:pStyle w:val="AppendixText3"/>
      </w:pPr>
      <w:r w:rsidRPr="00F72D29">
        <w:t xml:space="preserve">likely consequences of the Importer </w:t>
      </w:r>
      <w:r>
        <w:t>Data Loss Event</w:t>
      </w:r>
      <w:r w:rsidRPr="00F72D29">
        <w:t>;</w:t>
      </w:r>
    </w:p>
    <w:p w14:paraId="09140259" w14:textId="77777777" w:rsidR="00F67E9E" w:rsidRPr="00F72D29" w:rsidRDefault="00F67E9E" w:rsidP="00F67E9E">
      <w:pPr>
        <w:pStyle w:val="AppendixText3"/>
      </w:pPr>
      <w:r w:rsidRPr="00F72D29">
        <w:t xml:space="preserve">steps taken (or proposed to be taken) to fix the Importer </w:t>
      </w:r>
      <w:r>
        <w:t>Data Loss Event</w:t>
      </w:r>
      <w:r w:rsidRPr="00F72D29">
        <w:t xml:space="preserve"> (including to minimise the harmful effects on Relevant Data Subjects, stop it from continuing, and prevent it happening again) and to ensure that Appropriate Safeguards are in place; </w:t>
      </w:r>
    </w:p>
    <w:p w14:paraId="5FAAB75E" w14:textId="77777777" w:rsidR="00F67E9E" w:rsidRDefault="00F67E9E" w:rsidP="00F67E9E">
      <w:pPr>
        <w:pStyle w:val="AppendixText3"/>
      </w:pPr>
      <w:r w:rsidRPr="00F72D29">
        <w:t>contact point for more information</w:t>
      </w:r>
      <w:r>
        <w:t>; and</w:t>
      </w:r>
    </w:p>
    <w:p w14:paraId="33498357" w14:textId="77777777" w:rsidR="00F67E9E" w:rsidRPr="00F72D29" w:rsidRDefault="00F67E9E" w:rsidP="00F67E9E">
      <w:pPr>
        <w:pStyle w:val="AppendixText3"/>
      </w:pPr>
      <w:r>
        <w:t>any other information reasonably requested by the Exporter.</w:t>
      </w:r>
    </w:p>
    <w:p w14:paraId="2640738E" w14:textId="77777777" w:rsidR="00F67E9E" w:rsidRDefault="00F67E9E" w:rsidP="00F67E9E">
      <w:pPr>
        <w:pStyle w:val="AppendixText2continued"/>
        <w:ind w:left="720"/>
      </w:pPr>
      <w:r w:rsidRPr="00CE191F">
        <w:t>If it is not possible for the Importer to provide all the above information at the same time, it may do so in phases, Without Undue Delay.</w:t>
      </w:r>
      <w:r w:rsidRPr="00F72D29">
        <w:t xml:space="preserve"> </w:t>
      </w:r>
    </w:p>
    <w:p w14:paraId="119DC4FD" w14:textId="77777777" w:rsidR="00F67E9E" w:rsidRPr="00F248F0" w:rsidRDefault="00F67E9E" w:rsidP="00F67E9E">
      <w:pPr>
        <w:pStyle w:val="AppendixText2"/>
      </w:pPr>
      <w:bookmarkStart w:id="3015" w:name="_Toc79405491"/>
      <w:r w:rsidRPr="005F4EFA">
        <w:t>If the Importer is a Controller</w:t>
      </w:r>
      <w:r>
        <w:t xml:space="preserve">: if </w:t>
      </w:r>
      <w:r w:rsidRPr="005F4EFA">
        <w:t xml:space="preserve">the Importer </w:t>
      </w:r>
      <w:r>
        <w:t>Data Loss Event</w:t>
      </w:r>
      <w:r w:rsidRPr="005F4EFA">
        <w:t xml:space="preserve"> is likely to result in a high risk to the rights or freedoms of any Relevant </w:t>
      </w:r>
      <w:bookmarkEnd w:id="3015"/>
      <w:r w:rsidRPr="005F4EFA">
        <w:t xml:space="preserve">Data Subject, the Importer must </w:t>
      </w:r>
      <w:r w:rsidRPr="00F72D29">
        <w:t xml:space="preserve">inform those Relevant Data Subjects Without Undue Delay, except in so far as it requires disproportionate effort, and provided the Importer ensures that there is a public communication or similar measures </w:t>
      </w:r>
      <w:r w:rsidRPr="00F248F0">
        <w:t>whereby Relevant Data Subjects are informed in an equally effective manner.</w:t>
      </w:r>
    </w:p>
    <w:p w14:paraId="6C9ACC70" w14:textId="77777777" w:rsidR="00F67E9E" w:rsidRPr="00F72D29" w:rsidRDefault="00F67E9E" w:rsidP="00F67E9E">
      <w:pPr>
        <w:pStyle w:val="AppendixText2"/>
      </w:pPr>
      <w:bookmarkStart w:id="3016" w:name="_Toc79405492"/>
      <w:r w:rsidRPr="00F248F0">
        <w:t xml:space="preserve">The Importer must keep a written record of all relevant facts relating to the Importer </w:t>
      </w:r>
      <w:r>
        <w:t>Data Loss Event</w:t>
      </w:r>
      <w:r w:rsidRPr="00F72D29">
        <w:t>, which it will provide to the Exporter and the ICO on request.</w:t>
      </w:r>
      <w:bookmarkEnd w:id="3016"/>
      <w:r w:rsidRPr="00F72D29">
        <w:t xml:space="preserve"> </w:t>
      </w:r>
    </w:p>
    <w:p w14:paraId="09A1DD2D" w14:textId="77777777" w:rsidR="00F67E9E" w:rsidRDefault="00F67E9E" w:rsidP="00F67E9E">
      <w:pPr>
        <w:pStyle w:val="AppendixText2continued"/>
        <w:ind w:left="720"/>
      </w:pPr>
      <w:bookmarkStart w:id="3017" w:name="_Toc79405493"/>
      <w:r w:rsidRPr="00AD06EF">
        <w:t xml:space="preserve">This record must include the steps it takes to fix the Importer </w:t>
      </w:r>
      <w:r>
        <w:t>Data Loss Event</w:t>
      </w:r>
      <w:r w:rsidRPr="00AD06EF">
        <w:t xml:space="preserve"> (including to minimise the harmful effects on Relevant Data Subjects, stop it from continuing, and prevent it happening again) and to ensure that Security Requirements continue to provide a level of security which is appropriate to the risk of a </w:t>
      </w:r>
      <w:r>
        <w:t>Data Loss Event</w:t>
      </w:r>
      <w:r w:rsidRPr="00AD06EF">
        <w:t xml:space="preserve"> occurring and the impact on Relevant Data Subjects of such a </w:t>
      </w:r>
      <w:r>
        <w:t>Data Loss Event</w:t>
      </w:r>
      <w:r w:rsidRPr="00AD06EF">
        <w:t>.</w:t>
      </w:r>
      <w:bookmarkEnd w:id="3017"/>
    </w:p>
    <w:p w14:paraId="21AEBDD3" w14:textId="77777777" w:rsidR="00F67E9E" w:rsidRPr="00F72D29" w:rsidRDefault="00F67E9E" w:rsidP="00F67E9E">
      <w:pPr>
        <w:pStyle w:val="AppendixText1"/>
      </w:pPr>
      <w:bookmarkStart w:id="3018" w:name="Section_16"/>
      <w:bookmarkEnd w:id="3018"/>
      <w:r w:rsidRPr="0044530A">
        <w:t>Transferring on the Transferred Data</w:t>
      </w:r>
    </w:p>
    <w:p w14:paraId="47B4FD27" w14:textId="77777777" w:rsidR="00F67E9E" w:rsidRPr="009426CA" w:rsidRDefault="00F67E9E" w:rsidP="00F67E9E">
      <w:pPr>
        <w:pStyle w:val="AppendixText2"/>
      </w:pPr>
      <w:bookmarkStart w:id="3019" w:name="_Ref73509865"/>
      <w:bookmarkStart w:id="3020" w:name="_Ref76462681"/>
      <w:bookmarkStart w:id="3021" w:name="_Toc79405495"/>
      <w:r>
        <w:t>The Importer may o</w:t>
      </w:r>
      <w:r w:rsidRPr="00F967FE">
        <w:t xml:space="preserve">nly </w:t>
      </w:r>
      <w:r>
        <w:t>transfer</w:t>
      </w:r>
      <w:r w:rsidRPr="00F967FE">
        <w:t xml:space="preserve"> on the Transferred Data to a third party if</w:t>
      </w:r>
      <w:bookmarkEnd w:id="3019"/>
      <w:r w:rsidRPr="00F967FE">
        <w:t xml:space="preserve"> </w:t>
      </w:r>
      <w:r>
        <w:t xml:space="preserve">it is permitted to do so in Table 2: Transfer Details Table, the transfer </w:t>
      </w:r>
      <w:r w:rsidRPr="00F967FE">
        <w:t xml:space="preserve">is for the Purpose, </w:t>
      </w:r>
      <w:r w:rsidRPr="00613FD6">
        <w:t>the transfer</w:t>
      </w:r>
      <w:r>
        <w:t xml:space="preserve"> </w:t>
      </w:r>
      <w:r w:rsidRPr="00F967FE">
        <w:t xml:space="preserve">does not breach the Linked </w:t>
      </w:r>
      <w:r w:rsidRPr="00F248F0">
        <w:t>Agreement</w:t>
      </w:r>
      <w:r>
        <w:t>,</w:t>
      </w:r>
      <w:r w:rsidRPr="00F967FE">
        <w:t xml:space="preserve"> and </w:t>
      </w:r>
      <w:bookmarkStart w:id="3022" w:name="_Ref71148876"/>
      <w:r w:rsidRPr="00F967FE">
        <w:t xml:space="preserve">one </w:t>
      </w:r>
      <w:r>
        <w:t xml:space="preserve">or more </w:t>
      </w:r>
      <w:r w:rsidRPr="00F967FE">
        <w:t>of the following apply:</w:t>
      </w:r>
      <w:bookmarkEnd w:id="3020"/>
      <w:bookmarkEnd w:id="3021"/>
      <w:bookmarkEnd w:id="3022"/>
    </w:p>
    <w:p w14:paraId="05608F2C" w14:textId="77777777" w:rsidR="00F67E9E" w:rsidRPr="00F248F0" w:rsidRDefault="00F67E9E" w:rsidP="00F67E9E">
      <w:pPr>
        <w:pStyle w:val="AppendixText3"/>
      </w:pPr>
      <w:r w:rsidRPr="00F967FE">
        <w:t>the third party has entered into a written contract with the Importer containing the same level of protection for Data Subjects as contained in this IDTA</w:t>
      </w:r>
      <w:r>
        <w:t xml:space="preserve"> (based on the role of the recipient as controller or processor), and the Importer has conducted a risk assessment to ensure that the Appropriate Safeguards will be protected by that </w:t>
      </w:r>
      <w:r w:rsidRPr="00F248F0">
        <w:t>contract; or</w:t>
      </w:r>
    </w:p>
    <w:p w14:paraId="646141D4" w14:textId="77777777" w:rsidR="00F67E9E" w:rsidRPr="00F248F0" w:rsidRDefault="00F67E9E" w:rsidP="00F67E9E">
      <w:pPr>
        <w:pStyle w:val="AppendixText3"/>
      </w:pPr>
      <w:r w:rsidRPr="00F248F0">
        <w:t xml:space="preserve">the third party has been added to this IDTA as a Party; or </w:t>
      </w:r>
    </w:p>
    <w:p w14:paraId="022760B9" w14:textId="77777777" w:rsidR="00F67E9E" w:rsidRPr="00F248F0" w:rsidRDefault="00F67E9E" w:rsidP="00F67E9E">
      <w:pPr>
        <w:pStyle w:val="AppendixText3"/>
      </w:pPr>
      <w:r w:rsidRPr="00F248F0">
        <w:t xml:space="preserve">if the Importer was in the UK, transferring on the Transferred Data would comply with </w:t>
      </w:r>
      <w:bookmarkStart w:id="3023" w:name="_9kR3WTr2AA45FQG6yimp9PAx36sgH4y8N"/>
      <w:r w:rsidRPr="00F248F0">
        <w:t>Article 46 UK GDPR</w:t>
      </w:r>
      <w:bookmarkEnd w:id="3023"/>
      <w:r w:rsidRPr="00F248F0">
        <w:t>; or</w:t>
      </w:r>
    </w:p>
    <w:p w14:paraId="3BB6529A" w14:textId="77777777" w:rsidR="00F67E9E" w:rsidRPr="00F248F0" w:rsidRDefault="00F67E9E" w:rsidP="00F67E9E">
      <w:pPr>
        <w:pStyle w:val="AppendixText3"/>
      </w:pPr>
      <w:r w:rsidRPr="00F248F0">
        <w:t>if the Importer was in the UK transferring on the Transferred Data would comply with one of the exceptions in Article 49 UK GDPR; or</w:t>
      </w:r>
    </w:p>
    <w:p w14:paraId="5C8BBD08" w14:textId="77777777" w:rsidR="00F67E9E" w:rsidRPr="009426CA" w:rsidRDefault="00F67E9E" w:rsidP="00F67E9E">
      <w:pPr>
        <w:pStyle w:val="AppendixText3"/>
      </w:pPr>
      <w:r w:rsidRPr="00F248F0">
        <w:t>the transfer</w:t>
      </w:r>
      <w:r>
        <w:t xml:space="preserve"> </w:t>
      </w:r>
      <w:r w:rsidRPr="00F967FE">
        <w:t>is to the UK or an Adequate Country</w:t>
      </w:r>
      <w:r>
        <w:t>.</w:t>
      </w:r>
    </w:p>
    <w:p w14:paraId="77DFB9A3" w14:textId="1FFD9394" w:rsidR="00F67E9E" w:rsidRDefault="00F67E9E" w:rsidP="00F67E9E">
      <w:pPr>
        <w:pStyle w:val="AppendixText2"/>
      </w:pPr>
      <w:bookmarkStart w:id="3024" w:name="_Toc79405496"/>
      <w:r w:rsidRPr="009426CA">
        <w:t xml:space="preserve">The Importer does not need to comply with Section </w:t>
      </w:r>
      <w:r w:rsidRPr="009426CA">
        <w:fldChar w:fldCharType="begin"/>
      </w:r>
      <w:r w:rsidRPr="009426CA">
        <w:instrText xml:space="preserve"> REF _Ref76462681 \r \h  \* MERGEFORMAT </w:instrText>
      </w:r>
      <w:r w:rsidRPr="009426CA">
        <w:fldChar w:fldCharType="separate"/>
      </w:r>
      <w:r w:rsidR="00302D39">
        <w:t>16.1</w:t>
      </w:r>
      <w:r w:rsidRPr="009426CA">
        <w:fldChar w:fldCharType="end"/>
      </w:r>
      <w:r w:rsidRPr="009426CA">
        <w:t xml:space="preserve"> if it is transferring on Transferred Data and/or allowing access to the Transferred Data in accordance with Section </w:t>
      </w:r>
      <w:r>
        <w:fldChar w:fldCharType="begin"/>
      </w:r>
      <w:r>
        <w:instrText xml:space="preserve"> REF  Section_23 \h \r  \* MERGEFORMAT </w:instrText>
      </w:r>
      <w:r>
        <w:fldChar w:fldCharType="separate"/>
      </w:r>
      <w:r w:rsidR="00302D39">
        <w:t>23</w:t>
      </w:r>
      <w:r>
        <w:fldChar w:fldCharType="end"/>
      </w:r>
      <w:r w:rsidRPr="009426CA">
        <w:t xml:space="preserve"> (Access Requests and Direct Access).</w:t>
      </w:r>
      <w:bookmarkEnd w:id="3024"/>
    </w:p>
    <w:p w14:paraId="5CE1AB55" w14:textId="77777777" w:rsidR="00F67E9E" w:rsidRPr="009426CA" w:rsidRDefault="00F67E9E" w:rsidP="00F67E9E">
      <w:pPr>
        <w:pStyle w:val="AppendixText1"/>
      </w:pPr>
      <w:bookmarkStart w:id="3025" w:name="Section_17"/>
      <w:bookmarkEnd w:id="3025"/>
      <w:r w:rsidRPr="00B65423">
        <w:t>Importer</w:t>
      </w:r>
      <w:r>
        <w:t>’</w:t>
      </w:r>
      <w:r w:rsidRPr="00B65423">
        <w:t xml:space="preserve">s </w:t>
      </w:r>
      <w:r w:rsidRPr="00F248F0">
        <w:t>responsibility</w:t>
      </w:r>
      <w:r w:rsidRPr="00B65423">
        <w:t xml:space="preserve"> if it authorises others to perform its obligations </w:t>
      </w:r>
    </w:p>
    <w:p w14:paraId="5876C54D" w14:textId="28CF35C5" w:rsidR="00F67E9E" w:rsidRPr="00F248F0" w:rsidRDefault="00F67E9E" w:rsidP="00F67E9E">
      <w:pPr>
        <w:pStyle w:val="AppendixText2"/>
      </w:pPr>
      <w:bookmarkStart w:id="3026" w:name="_Ref77145736"/>
      <w:bookmarkStart w:id="3027" w:name="_Toc79405498"/>
      <w:r w:rsidRPr="009426CA">
        <w:t xml:space="preserve">The Importer may </w:t>
      </w:r>
      <w:r w:rsidRPr="00F248F0">
        <w:t xml:space="preserve">sub-contract its obligations in this IDTA to a Processor or Sub-Processor (provided it complies with Section </w:t>
      </w:r>
      <w:r w:rsidRPr="00F248F0">
        <w:fldChar w:fldCharType="begin"/>
      </w:r>
      <w:r w:rsidRPr="00F248F0">
        <w:instrText xml:space="preserve"> REF  Section_16 \h \r  \* MERGEFORMAT </w:instrText>
      </w:r>
      <w:r w:rsidRPr="00F248F0">
        <w:fldChar w:fldCharType="separate"/>
      </w:r>
      <w:r w:rsidR="00302D39">
        <w:t>16</w:t>
      </w:r>
      <w:r w:rsidRPr="00F248F0">
        <w:fldChar w:fldCharType="end"/>
      </w:r>
      <w:r w:rsidRPr="00F248F0">
        <w:t xml:space="preserve">). </w:t>
      </w:r>
    </w:p>
    <w:p w14:paraId="5F7C0A9D" w14:textId="77777777" w:rsidR="00F67E9E" w:rsidRPr="00F248F0" w:rsidRDefault="00F67E9E" w:rsidP="00F67E9E">
      <w:pPr>
        <w:pStyle w:val="AppendixText2"/>
      </w:pPr>
      <w:r w:rsidRPr="00F248F0">
        <w:t>If the Importer is the Exporter’s Processor or Sub-Processor: it must also comply with the Linked Agreement or be with the written consent of the Exporter.</w:t>
      </w:r>
      <w:bookmarkEnd w:id="3026"/>
      <w:bookmarkEnd w:id="3027"/>
      <w:r w:rsidRPr="00F248F0">
        <w:t xml:space="preserve"> </w:t>
      </w:r>
    </w:p>
    <w:p w14:paraId="34B01B9A" w14:textId="77777777" w:rsidR="00F67E9E" w:rsidRPr="00F248F0" w:rsidRDefault="00F67E9E" w:rsidP="00F67E9E">
      <w:pPr>
        <w:pStyle w:val="AppendixText2"/>
      </w:pPr>
      <w:bookmarkStart w:id="3028" w:name="_Toc79405499"/>
      <w:r w:rsidRPr="00F248F0">
        <w:t>The Importer must ensure that any person or third party acting under its authority, including a Processor or Sub-Processor, must only Process the Transferred Data on its instructions.</w:t>
      </w:r>
      <w:bookmarkEnd w:id="3028"/>
      <w:r w:rsidRPr="00F248F0">
        <w:t xml:space="preserve"> </w:t>
      </w:r>
    </w:p>
    <w:p w14:paraId="631FB25E" w14:textId="77777777" w:rsidR="00F67E9E" w:rsidRPr="009426CA" w:rsidRDefault="00F67E9E" w:rsidP="00F67E9E">
      <w:pPr>
        <w:pStyle w:val="AppendixText2"/>
      </w:pPr>
      <w:bookmarkStart w:id="3029" w:name="_Toc79405500"/>
      <w:r w:rsidRPr="00F248F0">
        <w:t xml:space="preserve">The Importer remains fully liable to the Exporter, the ICO and Relevant Data Subjects for its obligations under this IDTA where it has sub-contracted any obligations to its Processors and Sub-Processors, or authorised an employee or </w:t>
      </w:r>
      <w:bookmarkEnd w:id="3029"/>
      <w:r w:rsidRPr="00F248F0">
        <w:t>other person to perform them (and references to the</w:t>
      </w:r>
      <w:r>
        <w:t xml:space="preserve"> Importer in this context will include references to its Processors, Sub-Processors or authorised persons)</w:t>
      </w:r>
      <w:r w:rsidRPr="009426CA">
        <w:t>.</w:t>
      </w:r>
    </w:p>
    <w:p w14:paraId="520AAEAB" w14:textId="77777777" w:rsidR="00F67E9E" w:rsidRPr="00D515BC" w:rsidRDefault="00F67E9E" w:rsidP="00F67E9E">
      <w:pPr>
        <w:pStyle w:val="StdBodyText2"/>
        <w:keepNext/>
        <w:ind w:left="0"/>
        <w:rPr>
          <w:b/>
          <w:bCs/>
        </w:rPr>
      </w:pPr>
      <w:r w:rsidRPr="00D515BC">
        <w:rPr>
          <w:b/>
          <w:bCs/>
        </w:rPr>
        <w:t>What rights do individuals have?</w:t>
      </w:r>
    </w:p>
    <w:p w14:paraId="7EDBACE2" w14:textId="77777777" w:rsidR="00F67E9E" w:rsidRPr="009426CA" w:rsidRDefault="00F67E9E" w:rsidP="00F67E9E">
      <w:pPr>
        <w:pStyle w:val="AppendixText1"/>
      </w:pPr>
      <w:bookmarkStart w:id="3030" w:name="Section_18"/>
      <w:bookmarkEnd w:id="3030"/>
      <w:r w:rsidRPr="00B65423">
        <w:t xml:space="preserve">The right to a </w:t>
      </w:r>
      <w:r w:rsidRPr="00F248F0">
        <w:t>copy</w:t>
      </w:r>
      <w:r w:rsidRPr="00B65423">
        <w:t xml:space="preserve"> of the IDTA</w:t>
      </w:r>
    </w:p>
    <w:p w14:paraId="4C846757" w14:textId="77777777" w:rsidR="00F67E9E" w:rsidRPr="009426CA" w:rsidRDefault="00F67E9E" w:rsidP="00F67E9E">
      <w:pPr>
        <w:pStyle w:val="AppendixText2"/>
      </w:pPr>
      <w:bookmarkStart w:id="3031" w:name="_Toc79405502"/>
      <w:bookmarkStart w:id="3032" w:name="_Ref70633760"/>
      <w:bookmarkStart w:id="3033" w:name="_Ref70742074"/>
      <w:r w:rsidRPr="00F967FE">
        <w:t xml:space="preserve">If a Party </w:t>
      </w:r>
      <w:r w:rsidRPr="00F248F0">
        <w:t>receives</w:t>
      </w:r>
      <w:r w:rsidRPr="00F967FE">
        <w:t xml:space="preserve"> a request from a </w:t>
      </w:r>
      <w:r>
        <w:t>Relevant Data Subject</w:t>
      </w:r>
      <w:r w:rsidRPr="00F967FE">
        <w:t xml:space="preserve"> for a copy of this IDTA:</w:t>
      </w:r>
      <w:bookmarkEnd w:id="3031"/>
    </w:p>
    <w:p w14:paraId="0E7D5D95" w14:textId="77777777" w:rsidR="00F67E9E" w:rsidRPr="00F248F0" w:rsidRDefault="00F67E9E" w:rsidP="00F67E9E">
      <w:pPr>
        <w:pStyle w:val="AppendixText3"/>
      </w:pPr>
      <w:r w:rsidRPr="00F967FE">
        <w:t xml:space="preserve">it will </w:t>
      </w:r>
      <w:r w:rsidRPr="00F248F0">
        <w:t>provide the IDTA to the Relevant Data Subject and inform the other Party, as soon as reasonably possible;</w:t>
      </w:r>
    </w:p>
    <w:p w14:paraId="7A7BE2F5" w14:textId="77777777" w:rsidR="00F67E9E" w:rsidRPr="00F248F0" w:rsidRDefault="00F67E9E" w:rsidP="00F67E9E">
      <w:pPr>
        <w:pStyle w:val="AppendixText3"/>
      </w:pPr>
      <w:r w:rsidRPr="00F248F0">
        <w:t xml:space="preserve">it does not need to provide copies of the Linked Agreement, but it must provide all the information from those Linked Agreements referenced in the Tables; </w:t>
      </w:r>
    </w:p>
    <w:p w14:paraId="7DBEDC4B" w14:textId="77777777" w:rsidR="00F67E9E" w:rsidRDefault="00F67E9E" w:rsidP="00F67E9E">
      <w:pPr>
        <w:pStyle w:val="AppendixText3"/>
      </w:pPr>
      <w:bookmarkStart w:id="3034" w:name="_Ref70633491"/>
      <w:bookmarkEnd w:id="3032"/>
      <w:r w:rsidRPr="00F248F0">
        <w:t>it may redact information in the Tables or the information provided from the Linked Agreem</w:t>
      </w:r>
      <w:r>
        <w:t xml:space="preserve">ent </w:t>
      </w:r>
      <w:r w:rsidRPr="00221532">
        <w:t>if it is reasonably necessary to protect business secrets or confidential information</w:t>
      </w:r>
      <w:r w:rsidRPr="00F967FE">
        <w:t xml:space="preserve">, so long as it provides the </w:t>
      </w:r>
      <w:r>
        <w:t>Relevant Data Subject</w:t>
      </w:r>
      <w:r w:rsidRPr="00F967FE">
        <w:t xml:space="preserve"> with a summary of those redactions so that the </w:t>
      </w:r>
      <w:r>
        <w:t>Relevant Data Subject</w:t>
      </w:r>
      <w:r w:rsidRPr="00F967FE">
        <w:t xml:space="preserve"> can understand the content of the Tables</w:t>
      </w:r>
      <w:r>
        <w:t xml:space="preserve"> or the information provided from the Linked Agreement</w:t>
      </w:r>
      <w:r w:rsidRPr="00F967FE">
        <w:t>.</w:t>
      </w:r>
      <w:bookmarkEnd w:id="3034"/>
    </w:p>
    <w:p w14:paraId="1E161CDD" w14:textId="77777777" w:rsidR="00F67E9E" w:rsidRPr="009426CA" w:rsidRDefault="00F67E9E" w:rsidP="00F67E9E">
      <w:pPr>
        <w:pStyle w:val="AppendixText1"/>
      </w:pPr>
      <w:bookmarkStart w:id="3035" w:name="Section_19"/>
      <w:bookmarkEnd w:id="3035"/>
      <w:r w:rsidRPr="00B65423">
        <w:t>The right to Information about the Importer and its Processing</w:t>
      </w:r>
    </w:p>
    <w:p w14:paraId="515E0840" w14:textId="501C8D9B" w:rsidR="00F67E9E" w:rsidRPr="00F248F0" w:rsidRDefault="00F67E9E" w:rsidP="00F67E9E">
      <w:pPr>
        <w:pStyle w:val="AppendixText2"/>
      </w:pPr>
      <w:bookmarkStart w:id="3036" w:name="_Toc79405504"/>
      <w:bookmarkStart w:id="3037" w:name="_Ref71901146"/>
      <w:r w:rsidRPr="0066727D">
        <w:t xml:space="preserve">The Importer does not need to comply with this Section </w:t>
      </w:r>
      <w:r w:rsidRPr="0066727D">
        <w:fldChar w:fldCharType="begin"/>
      </w:r>
      <w:r w:rsidRPr="0066727D">
        <w:instrText xml:space="preserve"> REF  Section_19 \h \r  \* MERGEFORMAT </w:instrText>
      </w:r>
      <w:r w:rsidRPr="0066727D">
        <w:fldChar w:fldCharType="separate"/>
      </w:r>
      <w:r w:rsidR="00302D39">
        <w:t>19</w:t>
      </w:r>
      <w:r w:rsidRPr="0066727D">
        <w:fldChar w:fldCharType="end"/>
      </w:r>
      <w:r w:rsidRPr="0066727D">
        <w:t xml:space="preserve"> if it is the Exporter</w:t>
      </w:r>
      <w:r>
        <w:t>’</w:t>
      </w:r>
      <w:r w:rsidRPr="0066727D">
        <w:t>s Processor or Sub-</w:t>
      </w:r>
      <w:r w:rsidRPr="00F248F0">
        <w:t>Processor.</w:t>
      </w:r>
      <w:bookmarkEnd w:id="3036"/>
    </w:p>
    <w:p w14:paraId="1F6F6169" w14:textId="77777777" w:rsidR="00F67E9E" w:rsidRDefault="00F67E9E" w:rsidP="00F67E9E">
      <w:pPr>
        <w:pStyle w:val="AppendixText2"/>
      </w:pPr>
      <w:bookmarkStart w:id="3038" w:name="_Ref73506323"/>
      <w:r w:rsidRPr="00F248F0">
        <w:t>The Import</w:t>
      </w:r>
      <w:r>
        <w:t xml:space="preserve">er must </w:t>
      </w:r>
      <w:r w:rsidRPr="00F967FE">
        <w:t xml:space="preserve">ensure that each </w:t>
      </w:r>
      <w:r>
        <w:t>Relevant Data Subject</w:t>
      </w:r>
      <w:r w:rsidRPr="00F967FE">
        <w:t xml:space="preserve"> is provided with details of:</w:t>
      </w:r>
      <w:bookmarkEnd w:id="3038"/>
      <w:r w:rsidRPr="00F967FE">
        <w:t xml:space="preserve"> </w:t>
      </w:r>
    </w:p>
    <w:p w14:paraId="0EF8AAAD" w14:textId="77777777" w:rsidR="00F67E9E" w:rsidRPr="00F248F0" w:rsidRDefault="00F67E9E" w:rsidP="00F67E9E">
      <w:pPr>
        <w:pStyle w:val="AppendixText3"/>
      </w:pPr>
      <w:r>
        <w:t>the Importer (</w:t>
      </w:r>
      <w:r w:rsidRPr="00F248F0">
        <w:t>including contact details and the Importer Data Subject Contact);</w:t>
      </w:r>
    </w:p>
    <w:p w14:paraId="74B864CB" w14:textId="77777777" w:rsidR="00F67E9E" w:rsidRPr="00F248F0" w:rsidRDefault="00F67E9E" w:rsidP="00F67E9E">
      <w:pPr>
        <w:pStyle w:val="AppendixText3"/>
      </w:pPr>
      <w:r w:rsidRPr="00F248F0">
        <w:t>the Purposes; and</w:t>
      </w:r>
    </w:p>
    <w:p w14:paraId="60FFB78E" w14:textId="77777777" w:rsidR="00F67E9E" w:rsidRPr="009426CA" w:rsidRDefault="00F67E9E" w:rsidP="00F67E9E">
      <w:pPr>
        <w:pStyle w:val="AppendixText3"/>
      </w:pPr>
      <w:r w:rsidRPr="00F248F0">
        <w:t>any recipients (or</w:t>
      </w:r>
      <w:r>
        <w:t xml:space="preserve"> categories of recipients) of the Transferred Data;</w:t>
      </w:r>
    </w:p>
    <w:p w14:paraId="4D31AD82" w14:textId="7DCF31D0" w:rsidR="00F67E9E" w:rsidRPr="00483271" w:rsidRDefault="00F67E9E" w:rsidP="00F67E9E">
      <w:pPr>
        <w:pStyle w:val="AppendixText2continued"/>
        <w:ind w:left="720"/>
      </w:pPr>
      <w:r w:rsidRPr="00483271">
        <w:t xml:space="preserve">The Importer can demonstrate it has complied with this Section </w:t>
      </w:r>
      <w:r w:rsidRPr="00483271">
        <w:fldChar w:fldCharType="begin"/>
      </w:r>
      <w:r w:rsidRPr="00483271">
        <w:instrText xml:space="preserve"> REF _Ref73506323 \r \h  \* MERGEFORMAT </w:instrText>
      </w:r>
      <w:r w:rsidRPr="00483271">
        <w:fldChar w:fldCharType="separate"/>
      </w:r>
      <w:r w:rsidR="00302D39">
        <w:t>19.2</w:t>
      </w:r>
      <w:r w:rsidRPr="00483271">
        <w:fldChar w:fldCharType="end"/>
      </w:r>
      <w:r w:rsidRPr="00483271">
        <w:t xml:space="preserve"> if the information is given (or has already been given) to the Relevant Data Subjects by the Exporter or another party.</w:t>
      </w:r>
    </w:p>
    <w:p w14:paraId="05DA35C9" w14:textId="54CE9BD5" w:rsidR="00F67E9E" w:rsidRPr="00483271" w:rsidRDefault="00F67E9E" w:rsidP="00F67E9E">
      <w:pPr>
        <w:pStyle w:val="AppendixText2continued"/>
        <w:ind w:left="720"/>
      </w:pPr>
      <w:r w:rsidRPr="00483271">
        <w:t xml:space="preserve">The Importer does not need to comply with this Section </w:t>
      </w:r>
      <w:r w:rsidRPr="00483271">
        <w:fldChar w:fldCharType="begin"/>
      </w:r>
      <w:r w:rsidRPr="00483271">
        <w:instrText xml:space="preserve"> REF _Ref73506323 \r \h  \* MERGEFORMAT </w:instrText>
      </w:r>
      <w:r w:rsidRPr="00483271">
        <w:fldChar w:fldCharType="separate"/>
      </w:r>
      <w:r w:rsidR="00302D39">
        <w:t>19.2</w:t>
      </w:r>
      <w:r w:rsidRPr="00483271">
        <w:fldChar w:fldCharType="end"/>
      </w:r>
      <w:r w:rsidRPr="00483271">
        <w:t xml:space="preserve"> in so far as to do so would be impossible or involve a disproportionate effort, in which case, the Importer must make the information publicly available.</w:t>
      </w:r>
    </w:p>
    <w:p w14:paraId="1F4E2688" w14:textId="77777777" w:rsidR="00F67E9E" w:rsidRPr="00F248F0" w:rsidRDefault="00F67E9E" w:rsidP="00F67E9E">
      <w:pPr>
        <w:pStyle w:val="AppendixText2"/>
      </w:pPr>
      <w:bookmarkStart w:id="3039" w:name="_Toc79405505"/>
      <w:r w:rsidRPr="009426CA">
        <w:t>The Importer must</w:t>
      </w:r>
      <w:bookmarkEnd w:id="3033"/>
      <w:bookmarkEnd w:id="3037"/>
      <w:r w:rsidRPr="009426CA">
        <w:t xml:space="preserve"> keep the details of the Importer Data Subject Contact up to date and </w:t>
      </w:r>
      <w:r w:rsidRPr="00F248F0">
        <w:t>publicly available. This includes notifying the Exporter in writing of any such changes.</w:t>
      </w:r>
      <w:bookmarkEnd w:id="3039"/>
    </w:p>
    <w:p w14:paraId="1428DFF6" w14:textId="77777777" w:rsidR="00F67E9E" w:rsidRDefault="00F67E9E" w:rsidP="00F67E9E">
      <w:pPr>
        <w:pStyle w:val="AppendixText2"/>
      </w:pPr>
      <w:bookmarkStart w:id="3040" w:name="_Toc79405506"/>
      <w:r w:rsidRPr="00F248F0">
        <w:t>The Importer must make sure those contact details are always easy to access for all Relevan</w:t>
      </w:r>
      <w:r>
        <w:t>t Data Subject</w:t>
      </w:r>
      <w:r w:rsidRPr="009426CA">
        <w:t>s and be able to easily communicate with Data Subjects in the English language Without Undue Delay.</w:t>
      </w:r>
      <w:bookmarkEnd w:id="3040"/>
      <w:r>
        <w:t xml:space="preserve"> </w:t>
      </w:r>
    </w:p>
    <w:p w14:paraId="7F24AED0" w14:textId="77777777" w:rsidR="00F67E9E" w:rsidRPr="009426CA" w:rsidRDefault="00F67E9E" w:rsidP="00F67E9E">
      <w:pPr>
        <w:pStyle w:val="AppendixText1"/>
      </w:pPr>
      <w:bookmarkStart w:id="3041" w:name="Section_20"/>
      <w:bookmarkEnd w:id="3041"/>
      <w:r w:rsidRPr="00AC248B">
        <w:t>How Relevant Data Subjects can exercise their data subject rights</w:t>
      </w:r>
    </w:p>
    <w:p w14:paraId="3D536895" w14:textId="6265E3B7" w:rsidR="00F67E9E" w:rsidRPr="0066727D" w:rsidRDefault="00F67E9E" w:rsidP="00F67E9E">
      <w:pPr>
        <w:pStyle w:val="AppendixText2"/>
      </w:pPr>
      <w:bookmarkStart w:id="3042" w:name="_Toc79405508"/>
      <w:bookmarkStart w:id="3043" w:name="_Ref71506220"/>
      <w:r w:rsidRPr="0066727D">
        <w:t xml:space="preserve">The Importer does not need to comply with this Section </w:t>
      </w:r>
      <w:r w:rsidRPr="0066727D">
        <w:fldChar w:fldCharType="begin"/>
      </w:r>
      <w:r w:rsidRPr="0066727D">
        <w:instrText xml:space="preserve"> REF  Section_20 \h \r  \* MERGEFORMAT </w:instrText>
      </w:r>
      <w:r w:rsidRPr="0066727D">
        <w:fldChar w:fldCharType="separate"/>
      </w:r>
      <w:r w:rsidR="00302D39">
        <w:t>20</w:t>
      </w:r>
      <w:r w:rsidRPr="0066727D">
        <w:fldChar w:fldCharType="end"/>
      </w:r>
      <w:r w:rsidRPr="0066727D">
        <w:t xml:space="preserve"> if it is the Exporter</w:t>
      </w:r>
      <w:r>
        <w:t>’</w:t>
      </w:r>
      <w:r w:rsidRPr="0066727D">
        <w:t>s Processor or Sub-Processor.</w:t>
      </w:r>
      <w:bookmarkEnd w:id="3042"/>
    </w:p>
    <w:p w14:paraId="43E00242" w14:textId="77777777" w:rsidR="00F67E9E" w:rsidRPr="009426CA" w:rsidRDefault="00F67E9E" w:rsidP="00F67E9E">
      <w:pPr>
        <w:pStyle w:val="AppendixText2"/>
      </w:pPr>
      <w:bookmarkStart w:id="3044" w:name="_Toc79405509"/>
      <w:r w:rsidRPr="009426CA">
        <w:t>If an individual requests, the Importer must confirm whether it is Processing their Personal Data as part of the Transferred Data</w:t>
      </w:r>
      <w:bookmarkEnd w:id="3043"/>
      <w:r w:rsidRPr="009426CA">
        <w:t>.</w:t>
      </w:r>
      <w:bookmarkEnd w:id="3044"/>
    </w:p>
    <w:p w14:paraId="03C3678F" w14:textId="4AF6E17C" w:rsidR="00F67E9E" w:rsidRPr="009426CA" w:rsidRDefault="00F67E9E" w:rsidP="00F67E9E">
      <w:pPr>
        <w:pStyle w:val="AppendixText2"/>
      </w:pPr>
      <w:bookmarkStart w:id="3045" w:name="_Toc79405510"/>
      <w:r w:rsidRPr="009426CA">
        <w:t xml:space="preserve">The following Sections of this Section </w:t>
      </w:r>
      <w:r>
        <w:fldChar w:fldCharType="begin"/>
      </w:r>
      <w:r>
        <w:instrText xml:space="preserve"> REF  Section_20 \h \r  \* MERGEFORMAT </w:instrText>
      </w:r>
      <w:r>
        <w:fldChar w:fldCharType="separate"/>
      </w:r>
      <w:r w:rsidR="00302D39">
        <w:t>20</w:t>
      </w:r>
      <w:r>
        <w:fldChar w:fldCharType="end"/>
      </w:r>
      <w:r w:rsidRPr="009426CA">
        <w:t xml:space="preserve">, relate to a </w:t>
      </w:r>
      <w:r>
        <w:t>Relevant Data Subject’</w:t>
      </w:r>
      <w:r w:rsidRPr="009426CA">
        <w:t>s Personal Data which forms part of the Transferred Data the Importer is Processing.</w:t>
      </w:r>
      <w:bookmarkEnd w:id="3045"/>
      <w:r w:rsidRPr="009426CA">
        <w:t xml:space="preserve"> </w:t>
      </w:r>
    </w:p>
    <w:p w14:paraId="7A689AA8" w14:textId="77777777" w:rsidR="00F67E9E" w:rsidRPr="009426CA" w:rsidRDefault="00F67E9E" w:rsidP="00F67E9E">
      <w:pPr>
        <w:pStyle w:val="AppendixText2"/>
      </w:pPr>
      <w:bookmarkStart w:id="3046" w:name="_Toc79405511"/>
      <w:bookmarkStart w:id="3047" w:name="_Ref71506226"/>
      <w:r w:rsidRPr="009426CA">
        <w:t xml:space="preserve">If the </w:t>
      </w:r>
      <w:r>
        <w:t>Relevant Data Subject</w:t>
      </w:r>
      <w:r w:rsidRPr="009426CA">
        <w:t xml:space="preserve"> requests, the Importer must provide them with a copy of their Transferred Data:</w:t>
      </w:r>
      <w:bookmarkEnd w:id="3046"/>
    </w:p>
    <w:p w14:paraId="1A022AB3" w14:textId="77777777" w:rsidR="00F67E9E" w:rsidRPr="009426CA" w:rsidRDefault="00F67E9E" w:rsidP="00F67E9E">
      <w:pPr>
        <w:pStyle w:val="AppendixText3"/>
      </w:pPr>
      <w:r>
        <w:t>W</w:t>
      </w:r>
      <w:r w:rsidRPr="00F967FE">
        <w:t xml:space="preserve">ithout </w:t>
      </w:r>
      <w:r>
        <w:t>U</w:t>
      </w:r>
      <w:r w:rsidRPr="00F967FE">
        <w:t xml:space="preserve">ndue </w:t>
      </w:r>
      <w:r>
        <w:t>D</w:t>
      </w:r>
      <w:r w:rsidRPr="00F967FE">
        <w:t>elay (and in any event within one month);</w:t>
      </w:r>
    </w:p>
    <w:p w14:paraId="602CDEAE" w14:textId="77777777" w:rsidR="00F67E9E" w:rsidRPr="009426CA" w:rsidRDefault="00F67E9E" w:rsidP="00F67E9E">
      <w:pPr>
        <w:pStyle w:val="AppendixText3"/>
      </w:pPr>
      <w:r>
        <w:t>at no greater cost to the Relevant Data Subject than it would be able to charge if it were subject to the UK Data Protection Laws</w:t>
      </w:r>
      <w:r w:rsidRPr="00F967FE">
        <w:t xml:space="preserve">; </w:t>
      </w:r>
    </w:p>
    <w:p w14:paraId="3467A841" w14:textId="77777777" w:rsidR="00F67E9E" w:rsidRPr="009426CA" w:rsidRDefault="00F67E9E" w:rsidP="00F67E9E">
      <w:pPr>
        <w:pStyle w:val="AppendixText3"/>
      </w:pPr>
      <w:r w:rsidRPr="00F967FE">
        <w:t xml:space="preserve">in </w:t>
      </w:r>
      <w:r>
        <w:t xml:space="preserve">clear and </w:t>
      </w:r>
      <w:r w:rsidRPr="00F967FE">
        <w:t>plain English that is easy to understand; and</w:t>
      </w:r>
    </w:p>
    <w:p w14:paraId="07AEA6CD" w14:textId="77777777" w:rsidR="00F67E9E" w:rsidRDefault="00F67E9E" w:rsidP="00F67E9E">
      <w:pPr>
        <w:pStyle w:val="AppendixText3"/>
      </w:pPr>
      <w:r w:rsidRPr="00F967FE">
        <w:t xml:space="preserve">in an </w:t>
      </w:r>
      <w:r w:rsidRPr="00A02FE2">
        <w:t>easily</w:t>
      </w:r>
      <w:r w:rsidRPr="00F967FE">
        <w:t xml:space="preserve"> accessible form</w:t>
      </w:r>
      <w:r>
        <w:t xml:space="preserve"> </w:t>
      </w:r>
    </w:p>
    <w:p w14:paraId="5241AA23" w14:textId="77777777" w:rsidR="00F67E9E" w:rsidRPr="009426CA" w:rsidRDefault="00F67E9E" w:rsidP="00F67E9E">
      <w:pPr>
        <w:pStyle w:val="AppendixText3"/>
      </w:pPr>
      <w:r w:rsidRPr="00F967FE">
        <w:t xml:space="preserve">together with </w:t>
      </w:r>
    </w:p>
    <w:p w14:paraId="3C28EC3D" w14:textId="77777777" w:rsidR="00F67E9E" w:rsidRPr="009426CA" w:rsidRDefault="00F67E9E" w:rsidP="00F67E9E">
      <w:pPr>
        <w:pStyle w:val="AppendixText3"/>
      </w:pPr>
      <w:r w:rsidRPr="00F967FE">
        <w:t xml:space="preserve">(if needed) a </w:t>
      </w:r>
      <w:r>
        <w:t xml:space="preserve">clear and </w:t>
      </w:r>
      <w:r w:rsidRPr="00F967FE">
        <w:t xml:space="preserve">plain </w:t>
      </w:r>
      <w:r>
        <w:t xml:space="preserve">English </w:t>
      </w:r>
      <w:r w:rsidRPr="00F967FE">
        <w:t xml:space="preserve">explanation of the </w:t>
      </w:r>
      <w:r>
        <w:t>Transferred</w:t>
      </w:r>
      <w:r w:rsidRPr="00F967FE">
        <w:t xml:space="preserve"> </w:t>
      </w:r>
      <w:r>
        <w:t>D</w:t>
      </w:r>
      <w:r w:rsidRPr="00F967FE">
        <w:t xml:space="preserve">ata so that it is understandable to the </w:t>
      </w:r>
      <w:r>
        <w:t>Relevant Data Subject</w:t>
      </w:r>
      <w:r w:rsidRPr="00F967FE">
        <w:t>; and</w:t>
      </w:r>
    </w:p>
    <w:p w14:paraId="08FBACBE" w14:textId="77777777" w:rsidR="00F67E9E" w:rsidRPr="009426CA" w:rsidRDefault="00F67E9E" w:rsidP="00F67E9E">
      <w:pPr>
        <w:pStyle w:val="AppendixText3"/>
      </w:pPr>
      <w:r w:rsidRPr="00F967FE">
        <w:t xml:space="preserve">information that the </w:t>
      </w:r>
      <w:r>
        <w:t>Relevant Data Subject</w:t>
      </w:r>
      <w:r w:rsidRPr="00F967FE">
        <w:t xml:space="preserve"> has the right </w:t>
      </w:r>
      <w:r>
        <w:t xml:space="preserve">to </w:t>
      </w:r>
      <w:r w:rsidRPr="00F967FE">
        <w:t>bring a claim for compensation under this IDTA.</w:t>
      </w:r>
    </w:p>
    <w:p w14:paraId="3A1E9A90" w14:textId="77777777" w:rsidR="00F67E9E" w:rsidRPr="009426CA" w:rsidRDefault="00F67E9E" w:rsidP="00F67E9E">
      <w:pPr>
        <w:pStyle w:val="AppendixText2"/>
      </w:pPr>
      <w:bookmarkStart w:id="3048" w:name="_Toc79405512"/>
      <w:r>
        <w:t>I</w:t>
      </w:r>
      <w:r w:rsidRPr="00757771">
        <w:t xml:space="preserve">f a </w:t>
      </w:r>
      <w:r>
        <w:t>Relevant Data Subject</w:t>
      </w:r>
      <w:r w:rsidRPr="00757771">
        <w:t xml:space="preserve"> requests</w:t>
      </w:r>
      <w:bookmarkEnd w:id="3047"/>
      <w:r>
        <w:t>, the Importer must:</w:t>
      </w:r>
      <w:bookmarkEnd w:id="3048"/>
    </w:p>
    <w:p w14:paraId="431C603A" w14:textId="77777777" w:rsidR="00F67E9E" w:rsidRPr="009426CA" w:rsidRDefault="00F67E9E" w:rsidP="00F67E9E">
      <w:pPr>
        <w:pStyle w:val="AppendixText3"/>
      </w:pPr>
      <w:r w:rsidRPr="00F967FE">
        <w:t>rectify inaccurate or incomplete Transferred Data;</w:t>
      </w:r>
    </w:p>
    <w:p w14:paraId="32A469B6" w14:textId="77777777" w:rsidR="00F67E9E" w:rsidRPr="009426CA" w:rsidRDefault="00F67E9E" w:rsidP="00F67E9E">
      <w:pPr>
        <w:pStyle w:val="AppendixText3"/>
      </w:pPr>
      <w:r w:rsidRPr="00DC548C">
        <w:t>erase Transferred Data if it is being Processed in breach of this IDTA</w:t>
      </w:r>
      <w:r>
        <w:t xml:space="preserve">; </w:t>
      </w:r>
    </w:p>
    <w:p w14:paraId="68784062" w14:textId="77777777" w:rsidR="00F67E9E" w:rsidRPr="009426CA" w:rsidRDefault="00F67E9E" w:rsidP="00F67E9E">
      <w:pPr>
        <w:pStyle w:val="AppendixText3"/>
      </w:pPr>
      <w:r w:rsidRPr="00F967FE">
        <w:t>cease using it for direct marketing purposes</w:t>
      </w:r>
      <w:r>
        <w:t>; and</w:t>
      </w:r>
    </w:p>
    <w:p w14:paraId="684AE490" w14:textId="77777777" w:rsidR="00F67E9E" w:rsidRPr="009426CA" w:rsidRDefault="00F67E9E" w:rsidP="00F67E9E">
      <w:pPr>
        <w:pStyle w:val="AppendixText3"/>
      </w:pPr>
      <w:r>
        <w:t>comply with any other reasonable request of the Relevant Data Subject</w:t>
      </w:r>
      <w:bookmarkStart w:id="3049" w:name="_Hlk89227015"/>
      <w:r>
        <w:t>, which the Importer would be required to comply with if it were subject to the UK Data Protection Laws</w:t>
      </w:r>
      <w:bookmarkEnd w:id="3049"/>
      <w:r>
        <w:t xml:space="preserve">. </w:t>
      </w:r>
    </w:p>
    <w:p w14:paraId="1C2F56E9" w14:textId="77777777" w:rsidR="00F67E9E" w:rsidRPr="009426CA" w:rsidRDefault="00F67E9E" w:rsidP="00F67E9E">
      <w:pPr>
        <w:pStyle w:val="AppendixText2"/>
      </w:pPr>
      <w:bookmarkStart w:id="3050" w:name="_Ref76411982"/>
      <w:bookmarkStart w:id="3051" w:name="_Toc79405513"/>
      <w:r w:rsidRPr="002876E4">
        <w:t xml:space="preserve">The Importer must not use the Transferred Data to make decisions about the </w:t>
      </w:r>
      <w:r>
        <w:t>Relevant Data Subject</w:t>
      </w:r>
      <w:r w:rsidRPr="002876E4">
        <w:t xml:space="preserve"> based solely on automated processing, including profiling (the </w:t>
      </w:r>
      <w:r>
        <w:t>“</w:t>
      </w:r>
      <w:r w:rsidRPr="002876E4">
        <w:t>Decision-Making</w:t>
      </w:r>
      <w:r>
        <w:t>”</w:t>
      </w:r>
      <w:r w:rsidRPr="002876E4">
        <w:t xml:space="preserve">), which produce legal effects concerning the </w:t>
      </w:r>
      <w:r>
        <w:t>Relevant Data Subject</w:t>
      </w:r>
      <w:r w:rsidRPr="002876E4">
        <w:t xml:space="preserve"> or similarly significantly affects them, except if it is permitted by Local Law and:</w:t>
      </w:r>
      <w:bookmarkEnd w:id="3050"/>
      <w:bookmarkEnd w:id="3051"/>
    </w:p>
    <w:p w14:paraId="5F25E004" w14:textId="77777777" w:rsidR="00F67E9E" w:rsidRPr="002876E4" w:rsidRDefault="00F67E9E" w:rsidP="00F67E9E">
      <w:pPr>
        <w:pStyle w:val="AppendixText3"/>
      </w:pPr>
      <w:r w:rsidRPr="00CB1CEB">
        <w:t xml:space="preserve">the </w:t>
      </w:r>
      <w:r>
        <w:t>Relevant Data Subject</w:t>
      </w:r>
      <w:r w:rsidRPr="00CB1CEB">
        <w:t xml:space="preserve"> has given their explicit consent to</w:t>
      </w:r>
      <w:r>
        <w:t xml:space="preserve"> such</w:t>
      </w:r>
      <w:r w:rsidRPr="00CB1CEB">
        <w:t xml:space="preserve"> </w:t>
      </w:r>
      <w:r>
        <w:t xml:space="preserve">Decision-Making; </w:t>
      </w:r>
      <w:r w:rsidRPr="00CB1CEB">
        <w:t xml:space="preserve">or </w:t>
      </w:r>
    </w:p>
    <w:p w14:paraId="4B0FDC35" w14:textId="77777777" w:rsidR="00F67E9E" w:rsidRPr="002876E4" w:rsidRDefault="00F67E9E" w:rsidP="00F67E9E">
      <w:pPr>
        <w:pStyle w:val="AppendixText3"/>
      </w:pPr>
      <w:r w:rsidRPr="00CB1CEB">
        <w:t xml:space="preserve">Local Law has safeguards which provide sufficiently similar protection for </w:t>
      </w:r>
      <w:r>
        <w:t>the Relevant Data Subject</w:t>
      </w:r>
      <w:r w:rsidRPr="00CB1CEB">
        <w:t xml:space="preserve">s in relation to such </w:t>
      </w:r>
      <w:r>
        <w:t xml:space="preserve">Decision-Making, as to the relevant protection </w:t>
      </w:r>
      <w:r w:rsidRPr="00CB1CEB">
        <w:t xml:space="preserve">the </w:t>
      </w:r>
      <w:r>
        <w:t>Relevant Data Subject</w:t>
      </w:r>
      <w:r w:rsidRPr="00CB1CEB">
        <w:t xml:space="preserve"> would have if such </w:t>
      </w:r>
      <w:r>
        <w:t>D</w:t>
      </w:r>
      <w:r w:rsidRPr="00CB1CEB">
        <w:t>ecision</w:t>
      </w:r>
      <w:r>
        <w:t>-Making</w:t>
      </w:r>
      <w:r w:rsidRPr="00CB1CEB">
        <w:t xml:space="preserve"> was in the UK</w:t>
      </w:r>
      <w:r>
        <w:t>; or</w:t>
      </w:r>
    </w:p>
    <w:p w14:paraId="3A7FC687" w14:textId="77777777" w:rsidR="00F67E9E" w:rsidRPr="002876E4" w:rsidRDefault="00F67E9E" w:rsidP="00F67E9E">
      <w:pPr>
        <w:pStyle w:val="AppendixText3"/>
      </w:pPr>
      <w:r>
        <w:t xml:space="preserve">the Extra Protection Clauses provide safeguards for the Decision-Making which </w:t>
      </w:r>
      <w:r w:rsidRPr="00CB1CEB">
        <w:t xml:space="preserve">provide sufficiently similar protection for </w:t>
      </w:r>
      <w:r>
        <w:t>the Relevant Data Subject</w:t>
      </w:r>
      <w:r w:rsidRPr="00CB1CEB">
        <w:t xml:space="preserve">s in relation to such </w:t>
      </w:r>
      <w:r>
        <w:t xml:space="preserve">Decision-Making, as to the relevant protection </w:t>
      </w:r>
      <w:r w:rsidRPr="00CB1CEB">
        <w:t xml:space="preserve">the </w:t>
      </w:r>
      <w:r>
        <w:t>Relevant Data Subject</w:t>
      </w:r>
      <w:r w:rsidRPr="00CB1CEB">
        <w:t xml:space="preserve"> would have if such </w:t>
      </w:r>
      <w:r>
        <w:t>D</w:t>
      </w:r>
      <w:r w:rsidRPr="00CB1CEB">
        <w:t>ecision</w:t>
      </w:r>
      <w:r>
        <w:t>-Making</w:t>
      </w:r>
      <w:r w:rsidRPr="00CB1CEB">
        <w:t xml:space="preserve"> was in the UK</w:t>
      </w:r>
      <w:r>
        <w:t xml:space="preserve">. </w:t>
      </w:r>
    </w:p>
    <w:p w14:paraId="52F00AC0" w14:textId="77777777" w:rsidR="00F67E9E" w:rsidRDefault="00F67E9E" w:rsidP="00F67E9E">
      <w:pPr>
        <w:pStyle w:val="AppendixText1"/>
      </w:pPr>
      <w:bookmarkStart w:id="3052" w:name="Section_21"/>
      <w:bookmarkStart w:id="3053" w:name="_Ref71912859"/>
      <w:bookmarkStart w:id="3054" w:name="_Toc79405515"/>
      <w:bookmarkEnd w:id="3052"/>
      <w:r w:rsidRPr="00FE5F9E">
        <w:t>How Relevant Data Subjects can exercise their data subject rights– if the Importer is the Exporter</w:t>
      </w:r>
      <w:r>
        <w:t>’</w:t>
      </w:r>
      <w:r w:rsidRPr="00FE5F9E">
        <w:t>s Processor or Sub-Processor</w:t>
      </w:r>
    </w:p>
    <w:p w14:paraId="5DD93C31" w14:textId="77777777" w:rsidR="00F67E9E" w:rsidRDefault="00F67E9E" w:rsidP="00F67E9E">
      <w:pPr>
        <w:pStyle w:val="AppendixText2"/>
      </w:pPr>
      <w:r w:rsidRPr="002A761E">
        <w:t>Where the Importer is the Exporter</w:t>
      </w:r>
      <w:r>
        <w:t>’</w:t>
      </w:r>
      <w:r w:rsidRPr="002A761E">
        <w:t>s Processor or Sub-Processor:</w:t>
      </w:r>
      <w:r w:rsidRPr="002876E4">
        <w:t xml:space="preserve"> </w:t>
      </w:r>
      <w:bookmarkEnd w:id="3053"/>
      <w:r w:rsidRPr="002876E4">
        <w:t xml:space="preserve">If the Importer receives a request </w:t>
      </w:r>
      <w:r w:rsidRPr="00F248F0">
        <w:t>directly</w:t>
      </w:r>
      <w:r w:rsidRPr="002876E4">
        <w:t xml:space="preserve"> from an individual which relates to the Transferred Data it must pass that request on to the Exporter Without Undue Delay. </w:t>
      </w:r>
      <w:bookmarkStart w:id="3055" w:name="_Ref70746087"/>
      <w:r w:rsidRPr="002876E4">
        <w:t>The Importer must only respond to that individual as authorised by the Exporter or any Third Party Controller</w:t>
      </w:r>
      <w:bookmarkEnd w:id="3055"/>
      <w:r w:rsidRPr="002876E4">
        <w:t>.</w:t>
      </w:r>
      <w:bookmarkEnd w:id="3054"/>
    </w:p>
    <w:p w14:paraId="71E718D6" w14:textId="77777777" w:rsidR="00F67E9E" w:rsidRPr="002876E4" w:rsidRDefault="00F67E9E" w:rsidP="00F67E9E">
      <w:pPr>
        <w:pStyle w:val="AppendixText1"/>
      </w:pPr>
      <w:bookmarkStart w:id="3056" w:name="Section_22"/>
      <w:bookmarkEnd w:id="3056"/>
      <w:r w:rsidRPr="00FE5F9E">
        <w:t>Rights of Relevant Data Subjects are subject to the exemptions in the UK Data Protection Laws</w:t>
      </w:r>
    </w:p>
    <w:p w14:paraId="49B0BF4E" w14:textId="008700FB" w:rsidR="00F67E9E" w:rsidRPr="002876E4" w:rsidRDefault="00F67E9E" w:rsidP="00F67E9E">
      <w:pPr>
        <w:pStyle w:val="AppendixText2"/>
      </w:pPr>
      <w:bookmarkStart w:id="3057" w:name="_Toc79405517"/>
      <w:r w:rsidRPr="008A3BAB">
        <w:t>The Importer is not required to respond to requests</w:t>
      </w:r>
      <w:r>
        <w:t xml:space="preserve"> or provide information or notifications </w:t>
      </w:r>
      <w:r w:rsidRPr="00CD0674">
        <w:t xml:space="preserve">under Sections </w:t>
      </w:r>
      <w:r>
        <w:fldChar w:fldCharType="begin"/>
      </w:r>
      <w:r>
        <w:instrText xml:space="preserve"> REF  Section_18 \h \r  \* MERGEFORMAT </w:instrText>
      </w:r>
      <w:r>
        <w:fldChar w:fldCharType="separate"/>
      </w:r>
      <w:r w:rsidR="00302D39">
        <w:t>18</w:t>
      </w:r>
      <w:r>
        <w:fldChar w:fldCharType="end"/>
      </w:r>
      <w:r w:rsidRPr="00CD0674">
        <w:t xml:space="preserve">, </w:t>
      </w:r>
      <w:r>
        <w:fldChar w:fldCharType="begin"/>
      </w:r>
      <w:r>
        <w:instrText xml:space="preserve"> REF  Section_19 \h \r  \* MERGEFORMAT </w:instrText>
      </w:r>
      <w:r>
        <w:fldChar w:fldCharType="separate"/>
      </w:r>
      <w:r w:rsidR="00302D39">
        <w:t>19</w:t>
      </w:r>
      <w:r>
        <w:fldChar w:fldCharType="end"/>
      </w:r>
      <w:r w:rsidRPr="00CD0674">
        <w:t xml:space="preserve">, </w:t>
      </w:r>
      <w:r>
        <w:fldChar w:fldCharType="begin"/>
      </w:r>
      <w:r>
        <w:instrText xml:space="preserve"> REF  Section_20 \h \r  \* MERGEFORMAT </w:instrText>
      </w:r>
      <w:r>
        <w:fldChar w:fldCharType="separate"/>
      </w:r>
      <w:r w:rsidR="00302D39">
        <w:t>20</w:t>
      </w:r>
      <w:r>
        <w:fldChar w:fldCharType="end"/>
      </w:r>
      <w:r w:rsidRPr="00CD0674">
        <w:t xml:space="preserve">, </w:t>
      </w:r>
      <w:r>
        <w:fldChar w:fldCharType="begin"/>
      </w:r>
      <w:r>
        <w:instrText xml:space="preserve"> REF  Section_21 \h \r  \* MERGEFORMAT </w:instrText>
      </w:r>
      <w:r>
        <w:fldChar w:fldCharType="separate"/>
      </w:r>
      <w:r w:rsidR="00302D39">
        <w:t>21</w:t>
      </w:r>
      <w:r>
        <w:fldChar w:fldCharType="end"/>
      </w:r>
      <w:r w:rsidRPr="00CD0674">
        <w:t xml:space="preserve"> and </w:t>
      </w:r>
      <w:r>
        <w:fldChar w:fldCharType="begin"/>
      </w:r>
      <w:r>
        <w:instrText xml:space="preserve"> REF  Section_23 \h \r  \* MERGEFORMAT </w:instrText>
      </w:r>
      <w:r>
        <w:fldChar w:fldCharType="separate"/>
      </w:r>
      <w:r w:rsidR="00302D39">
        <w:t>23</w:t>
      </w:r>
      <w:r>
        <w:fldChar w:fldCharType="end"/>
      </w:r>
      <w:r w:rsidRPr="00CD0674">
        <w:t xml:space="preserve"> if:</w:t>
      </w:r>
      <w:bookmarkEnd w:id="3057"/>
    </w:p>
    <w:p w14:paraId="1CA7ED07" w14:textId="77777777" w:rsidR="00F67E9E" w:rsidRPr="00F248F0" w:rsidRDefault="00F67E9E" w:rsidP="00F67E9E">
      <w:pPr>
        <w:pStyle w:val="AppendixText3"/>
      </w:pPr>
      <w:r w:rsidRPr="00F967FE">
        <w:t xml:space="preserve">it </w:t>
      </w:r>
      <w:r w:rsidRPr="00F248F0">
        <w:t>is unable to reasonably verify the identity of an individual making the request; or</w:t>
      </w:r>
    </w:p>
    <w:p w14:paraId="713CE947" w14:textId="77777777" w:rsidR="00F67E9E" w:rsidRPr="00F248F0" w:rsidRDefault="00F67E9E" w:rsidP="00F67E9E">
      <w:pPr>
        <w:pStyle w:val="AppendixText3"/>
      </w:pPr>
      <w:bookmarkStart w:id="3058" w:name="_Ref76978936"/>
      <w:r w:rsidRPr="00F248F0">
        <w:t>the requests are manifestly unfounded or excessive, including where requests are repetitive. In that case the Importer may refuse the request or may charge the Relevant Data Subject a reasonable fee; or</w:t>
      </w:r>
      <w:bookmarkEnd w:id="3058"/>
    </w:p>
    <w:p w14:paraId="48CE2A6D" w14:textId="77777777" w:rsidR="00F67E9E" w:rsidRPr="002876E4" w:rsidRDefault="00F67E9E" w:rsidP="00F67E9E">
      <w:pPr>
        <w:pStyle w:val="AppendixText3"/>
      </w:pPr>
      <w:r w:rsidRPr="00F248F0">
        <w:t>a relevant exemption would be available under UK Data Protection Laws, were the Importer</w:t>
      </w:r>
      <w:r w:rsidRPr="00F967FE">
        <w:t xml:space="preserve"> subject to the UK Data Protection Laws.</w:t>
      </w:r>
    </w:p>
    <w:p w14:paraId="283E6526" w14:textId="06BCD28F" w:rsidR="00F67E9E" w:rsidRPr="00192709" w:rsidRDefault="00F67E9E" w:rsidP="00F67E9E">
      <w:pPr>
        <w:pStyle w:val="Level2"/>
        <w:numPr>
          <w:ilvl w:val="0"/>
          <w:numId w:val="0"/>
        </w:numPr>
        <w:ind w:left="720"/>
      </w:pPr>
      <w:bookmarkStart w:id="3059" w:name="_Toc79405518"/>
      <w:r w:rsidRPr="00192709">
        <w:t>If the Importer refuses an individual</w:t>
      </w:r>
      <w:r>
        <w:t>’</w:t>
      </w:r>
      <w:r w:rsidRPr="00192709">
        <w:t xml:space="preserve">s request or charges a fee under Section </w:t>
      </w:r>
      <w:r w:rsidRPr="00192709">
        <w:fldChar w:fldCharType="begin"/>
      </w:r>
      <w:r w:rsidRPr="00192709">
        <w:instrText xml:space="preserve"> REF _Ref76978936 \r \h  \* MERGEFORMAT </w:instrText>
      </w:r>
      <w:r w:rsidRPr="00192709">
        <w:fldChar w:fldCharType="separate"/>
      </w:r>
      <w:r w:rsidR="00302D39">
        <w:t>22.1.2</w:t>
      </w:r>
      <w:r w:rsidRPr="00192709">
        <w:fldChar w:fldCharType="end"/>
      </w:r>
      <w:r w:rsidRPr="00192709">
        <w:t xml:space="preserve"> it will set out in writing the reasons for its refusal or charge, and inform the Relevant Data Subject that they are entitled to bring a claim for compensation under this IDTA</w:t>
      </w:r>
      <w:bookmarkEnd w:id="3059"/>
      <w:r w:rsidRPr="00192709">
        <w:t xml:space="preserve"> in the case of any breach of this IDTA. </w:t>
      </w:r>
    </w:p>
    <w:p w14:paraId="7CBB3C91" w14:textId="77777777" w:rsidR="00F67E9E" w:rsidRPr="00D515BC" w:rsidRDefault="00F67E9E" w:rsidP="00F67E9E">
      <w:pPr>
        <w:pStyle w:val="StdBodyText2"/>
        <w:keepNext/>
        <w:ind w:left="0"/>
        <w:rPr>
          <w:b/>
          <w:bCs/>
        </w:rPr>
      </w:pPr>
      <w:bookmarkStart w:id="3060" w:name="_Ref73390728"/>
      <w:r w:rsidRPr="00D515BC">
        <w:rPr>
          <w:b/>
          <w:bCs/>
        </w:rPr>
        <w:t>How to give third parties access to Transferred Data under Local Laws</w:t>
      </w:r>
    </w:p>
    <w:p w14:paraId="360F77BE" w14:textId="77777777" w:rsidR="00F67E9E" w:rsidRDefault="00F67E9E" w:rsidP="00F67E9E">
      <w:pPr>
        <w:pStyle w:val="AppendixText1"/>
      </w:pPr>
      <w:bookmarkStart w:id="3061" w:name="Section_23"/>
      <w:bookmarkStart w:id="3062" w:name="_Ref77674408"/>
      <w:bookmarkStart w:id="3063" w:name="_Toc79405520"/>
      <w:bookmarkStart w:id="3064" w:name="_Ref76401619"/>
      <w:bookmarkStart w:id="3065" w:name="_Ref76414977"/>
      <w:bookmarkEnd w:id="3060"/>
      <w:bookmarkEnd w:id="3061"/>
      <w:r w:rsidRPr="00FE5F9E">
        <w:t>Access requests and direct access</w:t>
      </w:r>
    </w:p>
    <w:p w14:paraId="0A71919D" w14:textId="656F34E2" w:rsidR="00F67E9E" w:rsidRPr="002876E4" w:rsidRDefault="00F67E9E" w:rsidP="00F67E9E">
      <w:pPr>
        <w:pStyle w:val="AppendixText2"/>
      </w:pPr>
      <w:r w:rsidRPr="002876E4">
        <w:t xml:space="preserve">In this Section </w:t>
      </w:r>
      <w:r w:rsidRPr="002E7013">
        <w:rPr>
          <w:rFonts w:cs="Arial"/>
        </w:rPr>
        <w:t>‎</w:t>
      </w:r>
      <w:r>
        <w:fldChar w:fldCharType="begin"/>
      </w:r>
      <w:r>
        <w:instrText xml:space="preserve"> REF  Section_23 \h \r  \* MERGEFORMAT </w:instrText>
      </w:r>
      <w:r>
        <w:fldChar w:fldCharType="separate"/>
      </w:r>
      <w:r w:rsidR="00302D39">
        <w:t>23</w:t>
      </w:r>
      <w:r>
        <w:fldChar w:fldCharType="end"/>
      </w:r>
      <w:r w:rsidRPr="002876E4">
        <w:t xml:space="preserve"> an </w:t>
      </w:r>
      <w:r>
        <w:t>“</w:t>
      </w:r>
      <w:r w:rsidRPr="002876E4">
        <w:t>Access Request</w:t>
      </w:r>
      <w:r>
        <w:t>”</w:t>
      </w:r>
      <w:r w:rsidRPr="002876E4">
        <w:t xml:space="preserve"> is a </w:t>
      </w:r>
      <w:r w:rsidRPr="00A066BE">
        <w:t>legally binding request (except for requests only binding by contract law) to access any Transferred</w:t>
      </w:r>
      <w:r w:rsidRPr="002876E4">
        <w:t xml:space="preserve"> Data and </w:t>
      </w:r>
      <w:r>
        <w:t>“</w:t>
      </w:r>
      <w:r w:rsidRPr="002876E4">
        <w:t>Direct Access</w:t>
      </w:r>
      <w:r>
        <w:t>”</w:t>
      </w:r>
      <w:r w:rsidRPr="002876E4">
        <w:t xml:space="preserve"> means direct access to any Transferred Data by public authorities of which the Importer is aware.</w:t>
      </w:r>
      <w:bookmarkEnd w:id="3062"/>
      <w:bookmarkEnd w:id="3063"/>
    </w:p>
    <w:p w14:paraId="41EBE27E" w14:textId="77777777" w:rsidR="00F67E9E" w:rsidRPr="002876E4" w:rsidRDefault="00F67E9E" w:rsidP="00F67E9E">
      <w:pPr>
        <w:pStyle w:val="AppendixText2"/>
      </w:pPr>
      <w:bookmarkStart w:id="3066" w:name="_Toc79405521"/>
      <w:r w:rsidRPr="002876E4">
        <w:t>The Importer may disclose any requested Transferred Data in so far as it receives an Access Request, unless in the circumstances it is reasonable for it to challenge that Access Request on the basis there are significant grounds to believe that it is unlawful.</w:t>
      </w:r>
      <w:bookmarkEnd w:id="3064"/>
      <w:bookmarkEnd w:id="3066"/>
    </w:p>
    <w:p w14:paraId="115CC6EE" w14:textId="77777777" w:rsidR="00F67E9E" w:rsidRPr="002876E4" w:rsidRDefault="00F67E9E" w:rsidP="00F67E9E">
      <w:pPr>
        <w:pStyle w:val="AppendixText2"/>
      </w:pPr>
      <w:bookmarkStart w:id="3067" w:name="_Toc79405522"/>
      <w:r w:rsidRPr="002876E4">
        <w:t xml:space="preserve">In so far as Local Laws allow and it is reasonable to do so, the Importer will Without Undue Delay provide the following with relevant information about any Access Request or Direct Access: the Exporter; any Third Party Controller; and where the Importer is a Controller, any </w:t>
      </w:r>
      <w:r>
        <w:t xml:space="preserve">Relevant </w:t>
      </w:r>
      <w:bookmarkEnd w:id="3067"/>
      <w:r>
        <w:t>Data Subject</w:t>
      </w:r>
      <w:r w:rsidRPr="002876E4">
        <w:t xml:space="preserve">s. </w:t>
      </w:r>
    </w:p>
    <w:p w14:paraId="2F48530E" w14:textId="77777777" w:rsidR="00F67E9E" w:rsidRPr="002876E4" w:rsidRDefault="00F67E9E" w:rsidP="00F67E9E">
      <w:pPr>
        <w:pStyle w:val="AppendixText2"/>
      </w:pPr>
      <w:bookmarkStart w:id="3068" w:name="_Toc79405523"/>
      <w:r w:rsidRPr="00C6281D">
        <w:t>In so far as Local Laws allow, the Importer must:</w:t>
      </w:r>
      <w:bookmarkEnd w:id="3068"/>
      <w:r>
        <w:t xml:space="preserve"> </w:t>
      </w:r>
    </w:p>
    <w:p w14:paraId="04A71B94" w14:textId="77777777" w:rsidR="00F67E9E" w:rsidRPr="00F248F0" w:rsidRDefault="00F67E9E" w:rsidP="00F67E9E">
      <w:pPr>
        <w:pStyle w:val="AppendixText3"/>
      </w:pPr>
      <w:r w:rsidRPr="00C6281D">
        <w:t xml:space="preserve">make and keep a written record of Access Requests and Direct Access, including (if known): the dates, the identity of the requestor/accessor, the purpose of the Access Request or Direct Access, the type of data requested or accessed, whether it was challenged or appealed, and the outcome; and the Transferred </w:t>
      </w:r>
      <w:r w:rsidRPr="00F248F0">
        <w:t>Data which was provided or accessed; and</w:t>
      </w:r>
    </w:p>
    <w:p w14:paraId="19D9A7ED" w14:textId="77777777" w:rsidR="00F67E9E" w:rsidRDefault="00F67E9E" w:rsidP="00F67E9E">
      <w:pPr>
        <w:pStyle w:val="AppendixText3"/>
      </w:pPr>
      <w:r w:rsidRPr="00F248F0">
        <w:t>provide</w:t>
      </w:r>
      <w:r w:rsidRPr="00C6281D">
        <w:t xml:space="preserve"> a copy of this written record to the Exporter on each Review Date and any time the Exporter or the ICO reasonably requests.</w:t>
      </w:r>
    </w:p>
    <w:p w14:paraId="4E0BFA8D" w14:textId="77777777" w:rsidR="00F67E9E" w:rsidRPr="002876E4" w:rsidRDefault="00F67E9E" w:rsidP="00F67E9E">
      <w:pPr>
        <w:pStyle w:val="AppendixText1"/>
      </w:pPr>
      <w:bookmarkStart w:id="3069" w:name="Section_24"/>
      <w:bookmarkEnd w:id="3069"/>
      <w:r w:rsidRPr="00FE5F9E">
        <w:t>Giving notice</w:t>
      </w:r>
    </w:p>
    <w:p w14:paraId="3C97C9B1" w14:textId="77777777" w:rsidR="00F67E9E" w:rsidRPr="00F248F0" w:rsidRDefault="00F67E9E" w:rsidP="00F67E9E">
      <w:pPr>
        <w:pStyle w:val="AppendixText2"/>
      </w:pPr>
      <w:bookmarkStart w:id="3070" w:name="_Ref70704223"/>
      <w:bookmarkStart w:id="3071" w:name="_Ref70705576"/>
      <w:bookmarkStart w:id="3072" w:name="_Toc79405525"/>
      <w:bookmarkEnd w:id="3065"/>
      <w:r w:rsidRPr="00F967FE">
        <w:t xml:space="preserve">If a Party is required to notify any other Party in this IDTA it will be </w:t>
      </w:r>
      <w:bookmarkStart w:id="3073" w:name="_Ref70705684"/>
      <w:r w:rsidRPr="00F967FE">
        <w:t>marked for the attention of the relevant Key Contact</w:t>
      </w:r>
      <w:bookmarkEnd w:id="3073"/>
      <w:r w:rsidRPr="00F967FE">
        <w:t xml:space="preserve"> and </w:t>
      </w:r>
      <w:bookmarkStart w:id="3074" w:name="_Ref70706136"/>
      <w:r w:rsidRPr="00F967FE">
        <w:t xml:space="preserve">sent by e-mail to the e-mail address given for the Key </w:t>
      </w:r>
      <w:r w:rsidRPr="00F248F0">
        <w:t>Contact</w:t>
      </w:r>
      <w:bookmarkStart w:id="3075" w:name="_Ref70705776"/>
      <w:bookmarkEnd w:id="3070"/>
      <w:r w:rsidRPr="00F248F0">
        <w:t>.</w:t>
      </w:r>
      <w:bookmarkEnd w:id="3071"/>
      <w:bookmarkEnd w:id="3072"/>
      <w:bookmarkEnd w:id="3074"/>
      <w:bookmarkEnd w:id="3075"/>
      <w:r w:rsidRPr="00F248F0">
        <w:t xml:space="preserve"> </w:t>
      </w:r>
    </w:p>
    <w:p w14:paraId="2621564E" w14:textId="74C215D0" w:rsidR="00F67E9E" w:rsidRPr="00F248F0" w:rsidRDefault="00F67E9E" w:rsidP="00F67E9E">
      <w:pPr>
        <w:pStyle w:val="AppendixText2"/>
      </w:pPr>
      <w:bookmarkStart w:id="3076" w:name="_Toc79405526"/>
      <w:r w:rsidRPr="00F248F0">
        <w:t xml:space="preserve">If the notice is sent in accordance with Section </w:t>
      </w:r>
      <w:r w:rsidRPr="00F248F0">
        <w:fldChar w:fldCharType="begin"/>
      </w:r>
      <w:r w:rsidRPr="00F248F0">
        <w:instrText xml:space="preserve"> REF _Ref70704223 \r \h  \* MERGEFORMAT </w:instrText>
      </w:r>
      <w:r w:rsidRPr="00F248F0">
        <w:fldChar w:fldCharType="separate"/>
      </w:r>
      <w:r w:rsidR="00302D39">
        <w:t>24.1</w:t>
      </w:r>
      <w:r w:rsidRPr="00F248F0">
        <w:fldChar w:fldCharType="end"/>
      </w:r>
      <w:r w:rsidRPr="00F248F0">
        <w:t>, it will be deemed to have been delivered at the time the e-mail was sent, or if that time is outside of the receiving Party’s normal business hours, the receiving Party’s next normal business day, and provided no notice of non-delivery or bounceback is received.</w:t>
      </w:r>
      <w:bookmarkEnd w:id="3076"/>
    </w:p>
    <w:p w14:paraId="67F8C15B" w14:textId="77777777" w:rsidR="00F67E9E" w:rsidRPr="002876E4" w:rsidRDefault="00F67E9E" w:rsidP="00F67E9E">
      <w:pPr>
        <w:pStyle w:val="AppendixText2"/>
      </w:pPr>
      <w:bookmarkStart w:id="3077" w:name="_Toc79405527"/>
      <w:r w:rsidRPr="00F248F0">
        <w:t>The Pa</w:t>
      </w:r>
      <w:r w:rsidRPr="00F967FE">
        <w:t>rties agree that any Party can update their Key Contact details by giving 14 days</w:t>
      </w:r>
      <w:r>
        <w:t>’</w:t>
      </w:r>
      <w:r w:rsidRPr="00F967FE">
        <w:t xml:space="preserve"> </w:t>
      </w:r>
      <w:r>
        <w:t xml:space="preserve">(or more) </w:t>
      </w:r>
      <w:r w:rsidRPr="00F967FE">
        <w:t>notice in writing to the other Part</w:t>
      </w:r>
      <w:r>
        <w:t>y</w:t>
      </w:r>
      <w:r w:rsidRPr="00F967FE">
        <w:t>.</w:t>
      </w:r>
      <w:bookmarkEnd w:id="3077"/>
    </w:p>
    <w:p w14:paraId="4D1EA3CA" w14:textId="77777777" w:rsidR="00F67E9E" w:rsidRDefault="00F67E9E" w:rsidP="00F67E9E">
      <w:pPr>
        <w:pStyle w:val="AppendixText1"/>
      </w:pPr>
      <w:bookmarkStart w:id="3078" w:name="Section_25"/>
      <w:bookmarkStart w:id="3079" w:name="_Toc79405529"/>
      <w:bookmarkEnd w:id="3078"/>
      <w:r w:rsidRPr="00F248F0">
        <w:t>General</w:t>
      </w:r>
      <w:r w:rsidRPr="00FE5F9E">
        <w:t xml:space="preserve"> clauses</w:t>
      </w:r>
    </w:p>
    <w:p w14:paraId="2B7E4D28" w14:textId="77777777" w:rsidR="00F67E9E" w:rsidRPr="009916B7" w:rsidRDefault="00F67E9E" w:rsidP="00F67E9E">
      <w:pPr>
        <w:pStyle w:val="AppendixText2"/>
      </w:pPr>
      <w:r>
        <w:t xml:space="preserve">In relation to the transfer of the Transferred Data to the Importer and the Importer’s Processing of the </w:t>
      </w:r>
      <w:r w:rsidRPr="00F248F0">
        <w:t>Transferred</w:t>
      </w:r>
      <w:r>
        <w:t xml:space="preserve"> Data,</w:t>
      </w:r>
      <w:r w:rsidRPr="00801DC5">
        <w:t xml:space="preserve"> this IDTA and any Linked Agreement</w:t>
      </w:r>
      <w:r>
        <w:t>:</w:t>
      </w:r>
      <w:bookmarkEnd w:id="3079"/>
    </w:p>
    <w:p w14:paraId="2762CA07" w14:textId="77777777" w:rsidR="00F67E9E" w:rsidRPr="00F248F0" w:rsidRDefault="00F67E9E" w:rsidP="00F67E9E">
      <w:pPr>
        <w:pStyle w:val="AppendixText3"/>
      </w:pPr>
      <w:r w:rsidRPr="00801DC5">
        <w:t xml:space="preserve">contain all the </w:t>
      </w:r>
      <w:r w:rsidRPr="00F248F0">
        <w:t xml:space="preserve">terms and conditions agreed by the Parties; and </w:t>
      </w:r>
    </w:p>
    <w:p w14:paraId="13ED47DC" w14:textId="77777777" w:rsidR="00F67E9E" w:rsidRPr="009916B7" w:rsidRDefault="00F67E9E" w:rsidP="00F67E9E">
      <w:pPr>
        <w:pStyle w:val="AppendixText3"/>
      </w:pPr>
      <w:r w:rsidRPr="00F248F0">
        <w:t>override all previous c</w:t>
      </w:r>
      <w:r w:rsidRPr="00801DC5">
        <w:t>ontacts and arrangements, whether oral o</w:t>
      </w:r>
      <w:r>
        <w:t>r</w:t>
      </w:r>
      <w:r w:rsidRPr="00801DC5">
        <w:t xml:space="preserve"> in writing. </w:t>
      </w:r>
    </w:p>
    <w:p w14:paraId="10EA8A2F" w14:textId="77777777" w:rsidR="00F67E9E" w:rsidRPr="009916B7" w:rsidRDefault="00F67E9E" w:rsidP="00F67E9E">
      <w:pPr>
        <w:pStyle w:val="AppendixText2"/>
      </w:pPr>
      <w:bookmarkStart w:id="3080" w:name="_Toc79405530"/>
      <w:r>
        <w:t>If one Party made any oral or written statements to the other before entering into this IDTA (which are not written in this IDTA) the other Party confirms that it has not relied on those statements and that it will not have a legal remedy if those statements are untrue or incorrect, unless the statement was made fraudulently.</w:t>
      </w:r>
      <w:bookmarkEnd w:id="3080"/>
      <w:r>
        <w:t xml:space="preserve"> </w:t>
      </w:r>
    </w:p>
    <w:p w14:paraId="10C3D696" w14:textId="77777777" w:rsidR="00F67E9E" w:rsidRPr="009916B7" w:rsidRDefault="00F67E9E" w:rsidP="00F67E9E">
      <w:pPr>
        <w:pStyle w:val="AppendixText2"/>
      </w:pPr>
      <w:bookmarkStart w:id="3081" w:name="_Toc79405531"/>
      <w:r>
        <w:t>Neither Party may novate, assign or obtain a legal charge over this IDTA (in whole or in part) without the written consent of the other Party</w:t>
      </w:r>
      <w:bookmarkEnd w:id="3081"/>
      <w:r>
        <w:t xml:space="preserve">, which may be set out in the Linked Agreement. </w:t>
      </w:r>
    </w:p>
    <w:p w14:paraId="440C0418" w14:textId="2986CC6F" w:rsidR="00F67E9E" w:rsidRPr="009916B7" w:rsidRDefault="00F67E9E" w:rsidP="00F67E9E">
      <w:pPr>
        <w:pStyle w:val="AppendixText2"/>
      </w:pPr>
      <w:bookmarkStart w:id="3082" w:name="_Toc79405532"/>
      <w:r w:rsidRPr="009916B7">
        <w:t xml:space="preserve">Except as set out in Section </w:t>
      </w:r>
      <w:r w:rsidRPr="009916B7">
        <w:fldChar w:fldCharType="begin"/>
      </w:r>
      <w:r w:rsidRPr="009916B7">
        <w:instrText xml:space="preserve"> REF _Ref77145736 \r \h  \* MERGEFORMAT </w:instrText>
      </w:r>
      <w:r w:rsidRPr="009916B7">
        <w:fldChar w:fldCharType="separate"/>
      </w:r>
      <w:r w:rsidR="00302D39">
        <w:t>17.1</w:t>
      </w:r>
      <w:r w:rsidRPr="009916B7">
        <w:fldChar w:fldCharType="end"/>
      </w:r>
      <w:r w:rsidRPr="009916B7">
        <w:t>, neither Party may sub contract its obligations under this IDTA without the written consent of the other Party, which may be set out in the Linked Agreement.</w:t>
      </w:r>
      <w:bookmarkEnd w:id="3082"/>
      <w:r w:rsidRPr="009916B7">
        <w:t xml:space="preserve"> </w:t>
      </w:r>
    </w:p>
    <w:p w14:paraId="1C05F120" w14:textId="77777777" w:rsidR="00F67E9E" w:rsidRPr="009916B7" w:rsidRDefault="00F67E9E" w:rsidP="00F67E9E">
      <w:pPr>
        <w:pStyle w:val="AppendixText2"/>
      </w:pPr>
      <w:bookmarkStart w:id="3083" w:name="_Toc79405533"/>
      <w:r>
        <w:t>This IDTA does not make the Parties a partnership, nor appoint one Party to act as the agent of the other Party.</w:t>
      </w:r>
      <w:bookmarkEnd w:id="3083"/>
    </w:p>
    <w:p w14:paraId="2B001B63" w14:textId="77777777" w:rsidR="00F67E9E" w:rsidRPr="009916B7" w:rsidRDefault="00F67E9E" w:rsidP="00F67E9E">
      <w:pPr>
        <w:pStyle w:val="AppendixText2"/>
      </w:pPr>
      <w:bookmarkStart w:id="3084" w:name="_Toc79405534"/>
      <w:r>
        <w:t xml:space="preserve">If any Section (or part of a Section) of this IDTA is or becomes </w:t>
      </w:r>
      <w:r w:rsidRPr="009B5781">
        <w:t>illegal, invalid or unenforceable</w:t>
      </w:r>
      <w:r>
        <w:t>, that will not affect the le</w:t>
      </w:r>
      <w:r w:rsidRPr="009B5781">
        <w:t xml:space="preserve">gality, validity and enforceability of any other </w:t>
      </w:r>
      <w:r>
        <w:t>Section</w:t>
      </w:r>
      <w:r w:rsidRPr="009B5781">
        <w:t xml:space="preserve"> </w:t>
      </w:r>
      <w:r>
        <w:t>(or the rest of that Section) of this IDTA.</w:t>
      </w:r>
      <w:bookmarkEnd w:id="3084"/>
    </w:p>
    <w:p w14:paraId="3E2778BC" w14:textId="77777777" w:rsidR="00F67E9E" w:rsidRPr="009916B7" w:rsidRDefault="00F67E9E" w:rsidP="00F67E9E">
      <w:pPr>
        <w:pStyle w:val="AppendixText2"/>
      </w:pPr>
      <w:bookmarkStart w:id="3085" w:name="_Toc79405535"/>
      <w:r>
        <w:t>If a Party does not enforce, or delays enforcing, its rights or remedies under or in relation to this IDTA, this will not be a waiver of those rights or remedies. In addition, it will not restrict that Party’s ability to enforce those or any other right or remedy in future.</w:t>
      </w:r>
      <w:bookmarkEnd w:id="3085"/>
    </w:p>
    <w:p w14:paraId="0B4FA0FD" w14:textId="77777777" w:rsidR="00F67E9E" w:rsidRPr="009916B7" w:rsidRDefault="00F67E9E" w:rsidP="00F67E9E">
      <w:pPr>
        <w:pStyle w:val="AppendixText2"/>
      </w:pPr>
      <w:bookmarkStart w:id="3086" w:name="_Toc79405536"/>
      <w:r w:rsidRPr="00471357">
        <w:t xml:space="preserve">If a Party chooses to waive </w:t>
      </w:r>
      <w:r>
        <w:t>enforcing</w:t>
      </w:r>
      <w:r w:rsidRPr="00471357">
        <w:t xml:space="preserve"> a right or remedy under or in relation to this IDTA, then this</w:t>
      </w:r>
      <w:r>
        <w:t xml:space="preserve"> waiver will only be effective if it is made in writing. Where a </w:t>
      </w:r>
      <w:r w:rsidRPr="00BA3142">
        <w:t>Party provides such a written waiver:</w:t>
      </w:r>
      <w:bookmarkEnd w:id="3086"/>
    </w:p>
    <w:p w14:paraId="08DFB17A" w14:textId="77777777" w:rsidR="00F67E9E" w:rsidRPr="009916B7" w:rsidRDefault="00F67E9E" w:rsidP="00F67E9E">
      <w:pPr>
        <w:pStyle w:val="AppendixText3"/>
      </w:pPr>
      <w:r w:rsidRPr="00BA3142">
        <w:t>it only applies in so far as it explicitly waives specific rights or remedies;</w:t>
      </w:r>
    </w:p>
    <w:p w14:paraId="08A84534" w14:textId="77777777" w:rsidR="00F67E9E" w:rsidRPr="009916B7" w:rsidRDefault="00F67E9E" w:rsidP="00F67E9E">
      <w:pPr>
        <w:pStyle w:val="AppendixText3"/>
      </w:pPr>
      <w:r w:rsidRPr="00BA3142">
        <w:t>it shall not prevent th</w:t>
      </w:r>
      <w:r>
        <w:t>at</w:t>
      </w:r>
      <w:r w:rsidRPr="00BA3142">
        <w:t xml:space="preserve"> Party from exercising those rights or remedies in the future (unless it has explicitly waived its ability to do so);</w:t>
      </w:r>
      <w:r>
        <w:t xml:space="preserve"> and</w:t>
      </w:r>
    </w:p>
    <w:p w14:paraId="3A7391FD" w14:textId="77777777" w:rsidR="00F67E9E" w:rsidRPr="009916B7" w:rsidRDefault="00F67E9E" w:rsidP="00F67E9E">
      <w:pPr>
        <w:pStyle w:val="AppendixText3"/>
      </w:pPr>
      <w:r w:rsidRPr="00BA3142">
        <w:t xml:space="preserve">it will not prevent </w:t>
      </w:r>
      <w:r>
        <w:t>that</w:t>
      </w:r>
      <w:r w:rsidRPr="00BA3142">
        <w:t xml:space="preserve"> Party from enforcing any other right or remedy in future</w:t>
      </w:r>
      <w:r>
        <w:t>.</w:t>
      </w:r>
    </w:p>
    <w:p w14:paraId="7EB4764A" w14:textId="77777777" w:rsidR="00F67E9E" w:rsidRPr="00D515BC" w:rsidRDefault="00F67E9E" w:rsidP="00F67E9E">
      <w:pPr>
        <w:pStyle w:val="StdBodyText2"/>
        <w:keepNext/>
        <w:ind w:left="0"/>
        <w:rPr>
          <w:b/>
          <w:bCs/>
        </w:rPr>
      </w:pPr>
      <w:bookmarkStart w:id="3087" w:name="_Ref73484287"/>
      <w:r w:rsidRPr="00D515BC">
        <w:rPr>
          <w:b/>
          <w:bCs/>
        </w:rPr>
        <w:t>What happens if there is a breach of this IDTA?</w:t>
      </w:r>
    </w:p>
    <w:p w14:paraId="6C2AFDD9" w14:textId="77777777" w:rsidR="00F67E9E" w:rsidRPr="009916B7" w:rsidRDefault="00F67E9E" w:rsidP="00F67E9E">
      <w:pPr>
        <w:pStyle w:val="AppendixText1"/>
      </w:pPr>
      <w:bookmarkStart w:id="3088" w:name="Section_26"/>
      <w:bookmarkEnd w:id="3088"/>
      <w:r w:rsidRPr="00FE5F9E">
        <w:t>Breaches of this IDTA</w:t>
      </w:r>
    </w:p>
    <w:p w14:paraId="48596F88" w14:textId="77777777" w:rsidR="00F67E9E" w:rsidRPr="009916B7" w:rsidRDefault="00F67E9E" w:rsidP="00F67E9E">
      <w:pPr>
        <w:pStyle w:val="AppendixText2"/>
      </w:pPr>
      <w:bookmarkStart w:id="3089" w:name="_Toc79405538"/>
      <w:bookmarkStart w:id="3090" w:name="_Ref73503353"/>
      <w:bookmarkEnd w:id="3087"/>
      <w:r w:rsidRPr="00F967FE">
        <w:t xml:space="preserve">Each Party must </w:t>
      </w:r>
      <w:r w:rsidRPr="00F248F0">
        <w:t>notify</w:t>
      </w:r>
      <w:r w:rsidRPr="00F967FE">
        <w:t xml:space="preserve"> the other Party </w:t>
      </w:r>
      <w:r>
        <w:t>in writing (and with all relevant details</w:t>
      </w:r>
      <w:r w:rsidRPr="00C12E32">
        <w:t>) if i</w:t>
      </w:r>
      <w:r>
        <w:t>t</w:t>
      </w:r>
      <w:r w:rsidRPr="00C12E32">
        <w:t>:</w:t>
      </w:r>
      <w:bookmarkEnd w:id="3089"/>
    </w:p>
    <w:p w14:paraId="2A189E6E" w14:textId="77777777" w:rsidR="00F67E9E" w:rsidRPr="00F248F0" w:rsidRDefault="00F67E9E" w:rsidP="00F67E9E">
      <w:pPr>
        <w:pStyle w:val="AppendixText3"/>
      </w:pPr>
      <w:r w:rsidRPr="00C12E32">
        <w:t xml:space="preserve">has </w:t>
      </w:r>
      <w:r w:rsidRPr="00F248F0">
        <w:t xml:space="preserve">breached this IDTA; or </w:t>
      </w:r>
    </w:p>
    <w:p w14:paraId="0D82BCA1" w14:textId="77777777" w:rsidR="00F67E9E" w:rsidRPr="00257116" w:rsidRDefault="00F67E9E" w:rsidP="00F67E9E">
      <w:pPr>
        <w:pStyle w:val="AppendixText3"/>
      </w:pPr>
      <w:r w:rsidRPr="00F248F0">
        <w:t>it should reasonably anticipate that it may breach this IDTA, and provide any information ab</w:t>
      </w:r>
      <w:r w:rsidRPr="00257116">
        <w:t>out this which the other Party reasonably requests.</w:t>
      </w:r>
    </w:p>
    <w:p w14:paraId="6B8B17B8" w14:textId="77777777" w:rsidR="00F67E9E" w:rsidRPr="009916B7" w:rsidRDefault="00F67E9E" w:rsidP="00F67E9E">
      <w:pPr>
        <w:pStyle w:val="AppendixText2"/>
      </w:pPr>
      <w:bookmarkStart w:id="3091" w:name="_Ref76467563"/>
      <w:bookmarkStart w:id="3092" w:name="_Toc79405539"/>
      <w:bookmarkStart w:id="3093" w:name="_Ref73503360"/>
      <w:bookmarkEnd w:id="3090"/>
      <w:r w:rsidRPr="009916B7">
        <w:t xml:space="preserve">In this IDTA </w:t>
      </w:r>
      <w:r>
        <w:t>“</w:t>
      </w:r>
      <w:r w:rsidRPr="009916B7">
        <w:t>Significant Harmful Impact</w:t>
      </w:r>
      <w:r>
        <w:t>”</w:t>
      </w:r>
      <w:r w:rsidRPr="009916B7">
        <w:t xml:space="preserve"> means that there is more than a minimal risk of a breach of the IDTA causing (directly or indirectly) significant damage to any </w:t>
      </w:r>
      <w:r>
        <w:t>Relevant Data Subject</w:t>
      </w:r>
      <w:r w:rsidRPr="009916B7">
        <w:t xml:space="preserve"> or the other Party.</w:t>
      </w:r>
      <w:bookmarkEnd w:id="3091"/>
      <w:bookmarkEnd w:id="3092"/>
    </w:p>
    <w:p w14:paraId="5219E6A1" w14:textId="77777777" w:rsidR="00F67E9E" w:rsidRDefault="00F67E9E" w:rsidP="00F67E9E">
      <w:pPr>
        <w:pStyle w:val="AppendixText1"/>
      </w:pPr>
      <w:bookmarkStart w:id="3094" w:name="Section_27"/>
      <w:bookmarkStart w:id="3095" w:name="_Toc79405541"/>
      <w:bookmarkEnd w:id="3094"/>
      <w:r w:rsidRPr="00FE5F9E">
        <w:t>Breaches of this IDTA by the Importer</w:t>
      </w:r>
    </w:p>
    <w:p w14:paraId="46B180D6" w14:textId="77777777" w:rsidR="00F67E9E" w:rsidRPr="009916B7" w:rsidRDefault="00F67E9E" w:rsidP="00F67E9E">
      <w:pPr>
        <w:pStyle w:val="AppendixText2"/>
      </w:pPr>
      <w:r w:rsidRPr="009916B7">
        <w:t xml:space="preserve">If the Importer has </w:t>
      </w:r>
      <w:r w:rsidRPr="00166697">
        <w:t>breached</w:t>
      </w:r>
      <w:r w:rsidRPr="009916B7">
        <w:t xml:space="preserve"> this IDTA, and this has a Significant Harmful Impact</w:t>
      </w:r>
      <w:bookmarkEnd w:id="3093"/>
      <w:r w:rsidRPr="009916B7">
        <w:t>, the Importer must take steps Without Undue Delay to end the Significant Harmful Impact, and if that is not possible to reduce the Significant Harmful Impact as much as possible.</w:t>
      </w:r>
      <w:bookmarkEnd w:id="3095"/>
      <w:r w:rsidRPr="009916B7">
        <w:t xml:space="preserve"> </w:t>
      </w:r>
    </w:p>
    <w:p w14:paraId="22A85D1F" w14:textId="77777777" w:rsidR="00F67E9E" w:rsidRPr="009916B7" w:rsidRDefault="00F67E9E" w:rsidP="00F67E9E">
      <w:pPr>
        <w:pStyle w:val="AppendixText2"/>
      </w:pPr>
      <w:bookmarkStart w:id="3096" w:name="_Toc79405542"/>
      <w:r>
        <w:t>U</w:t>
      </w:r>
      <w:r w:rsidRPr="00F967FE">
        <w:t xml:space="preserve">ntil </w:t>
      </w:r>
      <w:r>
        <w:t>there is no ongoing Significant Harmful</w:t>
      </w:r>
      <w:r w:rsidRPr="004B28B3">
        <w:t xml:space="preserve"> </w:t>
      </w:r>
      <w:r>
        <w:t>I</w:t>
      </w:r>
      <w:r w:rsidRPr="004B28B3">
        <w:t>mpact</w:t>
      </w:r>
      <w:r>
        <w:t xml:space="preserve"> on Relevant Data Subjects:</w:t>
      </w:r>
      <w:bookmarkEnd w:id="3096"/>
    </w:p>
    <w:p w14:paraId="30093DC3" w14:textId="77777777" w:rsidR="00F67E9E" w:rsidRPr="009916B7" w:rsidRDefault="00F67E9E" w:rsidP="00F67E9E">
      <w:pPr>
        <w:pStyle w:val="AppendixText3"/>
      </w:pPr>
      <w:r w:rsidRPr="009916B7">
        <w:t>the Exporter must suspend sending Transferred Data to the Importer;</w:t>
      </w:r>
    </w:p>
    <w:p w14:paraId="6D9330F6" w14:textId="77777777" w:rsidR="00F67E9E" w:rsidRPr="009916B7" w:rsidRDefault="00F67E9E" w:rsidP="00F67E9E">
      <w:pPr>
        <w:pStyle w:val="AppendixText3"/>
      </w:pPr>
      <w:r w:rsidRPr="009916B7">
        <w:t>If the Importer is the Exporter</w:t>
      </w:r>
      <w:r>
        <w:t>’</w:t>
      </w:r>
      <w:r w:rsidRPr="009916B7">
        <w:t>s Processor or Sub-Processor: if the Exporter requests</w:t>
      </w:r>
      <w:r>
        <w:t xml:space="preserve">, the importer must </w:t>
      </w:r>
      <w:r w:rsidRPr="009916B7">
        <w:t>securely delete all Transferred Data or securely return it to the Exporter (or a third party named by the Exporter); and</w:t>
      </w:r>
    </w:p>
    <w:p w14:paraId="42CA4660" w14:textId="27250622" w:rsidR="00F67E9E" w:rsidRDefault="00F67E9E" w:rsidP="00F67E9E">
      <w:pPr>
        <w:pStyle w:val="AppendixText3"/>
      </w:pPr>
      <w:r w:rsidRPr="009916B7">
        <w:t xml:space="preserve">if the Importer has transferred on the Transferred Data to a third party receiver under Section </w:t>
      </w:r>
      <w:r>
        <w:fldChar w:fldCharType="begin"/>
      </w:r>
      <w:r>
        <w:instrText xml:space="preserve"> REF  Section_16 \h \r  \* MERGEFORMAT </w:instrText>
      </w:r>
      <w:r>
        <w:fldChar w:fldCharType="separate"/>
      </w:r>
      <w:r w:rsidR="00302D39">
        <w:t>16</w:t>
      </w:r>
      <w:r>
        <w:fldChar w:fldCharType="end"/>
      </w:r>
      <w:r w:rsidRPr="009916B7">
        <w:t xml:space="preserve">, and the breach has a Significant Harmful Impact on </w:t>
      </w:r>
      <w:r>
        <w:t>Relevant Data Subject</w:t>
      </w:r>
      <w:r w:rsidRPr="009916B7">
        <w:t xml:space="preserve"> when it is Processed by or on behalf of that third party receiver</w:t>
      </w:r>
      <w:r>
        <w:t>, the Importer must</w:t>
      </w:r>
      <w:r w:rsidRPr="009916B7">
        <w:t>:</w:t>
      </w:r>
    </w:p>
    <w:p w14:paraId="64FAB833" w14:textId="77777777" w:rsidR="00F67E9E" w:rsidRPr="00F248F0" w:rsidRDefault="00F67E9E" w:rsidP="00F67E9E">
      <w:pPr>
        <w:pStyle w:val="AppendixText4"/>
      </w:pPr>
      <w:r w:rsidRPr="009916B7">
        <w:t xml:space="preserve">notify the third party receiver of the breach and suspend sending it </w:t>
      </w:r>
      <w:r w:rsidRPr="00F248F0">
        <w:t xml:space="preserve">Transferred Data; and </w:t>
      </w:r>
    </w:p>
    <w:p w14:paraId="017968E1" w14:textId="77777777" w:rsidR="00F67E9E" w:rsidRPr="00536E9A" w:rsidRDefault="00F67E9E" w:rsidP="00F67E9E">
      <w:pPr>
        <w:pStyle w:val="AppendixText4"/>
      </w:pPr>
      <w:r w:rsidRPr="00F248F0">
        <w:t>if the third party receiver is the Importer’s Processor or Sub-Processor: make</w:t>
      </w:r>
      <w:r w:rsidRPr="00536E9A">
        <w:t xml:space="preserve"> the third party receiver securely delete all Transferred Data being Processed by it or on its behalf, or securely return it to the Importer (or a third party named by the Importer).</w:t>
      </w:r>
      <w:r w:rsidRPr="009916B7">
        <w:t xml:space="preserve"> </w:t>
      </w:r>
    </w:p>
    <w:p w14:paraId="29B925E1" w14:textId="21DA5974" w:rsidR="00F67E9E" w:rsidRPr="00536E9A" w:rsidRDefault="00F67E9E" w:rsidP="00F67E9E">
      <w:pPr>
        <w:pStyle w:val="AppendixText2"/>
      </w:pPr>
      <w:bookmarkStart w:id="3097" w:name="_Toc79405543"/>
      <w:r w:rsidRPr="00536E9A">
        <w:t xml:space="preserve">If the breach cannot be corrected Without Undue Delay, so there is no ongoing </w:t>
      </w:r>
      <w:r w:rsidRPr="00F248F0">
        <w:t>Significant</w:t>
      </w:r>
      <w:r w:rsidRPr="00536E9A">
        <w:t xml:space="preserve"> Harmful Impact on </w:t>
      </w:r>
      <w:r>
        <w:t>Relevant Data Subject</w:t>
      </w:r>
      <w:r w:rsidRPr="00536E9A">
        <w:t xml:space="preserve">s, the Exporter must end this IDTA under Section </w:t>
      </w:r>
      <w:r w:rsidRPr="00536E9A">
        <w:fldChar w:fldCharType="begin"/>
      </w:r>
      <w:r w:rsidRPr="00536E9A">
        <w:instrText xml:space="preserve"> REF _Ref71909042 \r \h  \* MERGEFORMAT </w:instrText>
      </w:r>
      <w:r w:rsidRPr="00536E9A">
        <w:fldChar w:fldCharType="separate"/>
      </w:r>
      <w:r w:rsidR="00302D39">
        <w:t>30.1</w:t>
      </w:r>
      <w:r w:rsidRPr="00536E9A">
        <w:fldChar w:fldCharType="end"/>
      </w:r>
      <w:r w:rsidRPr="00536E9A">
        <w:t>.</w:t>
      </w:r>
      <w:bookmarkEnd w:id="3097"/>
    </w:p>
    <w:p w14:paraId="3EEEEDAD" w14:textId="77777777" w:rsidR="00F67E9E" w:rsidRDefault="00F67E9E" w:rsidP="00F67E9E">
      <w:pPr>
        <w:pStyle w:val="AppendixText1"/>
      </w:pPr>
      <w:bookmarkStart w:id="3098" w:name="Section_28"/>
      <w:bookmarkStart w:id="3099" w:name="_Toc79405545"/>
      <w:bookmarkEnd w:id="3098"/>
      <w:r w:rsidRPr="00873C09">
        <w:t>Breaches of this IDTA by the Exporter</w:t>
      </w:r>
    </w:p>
    <w:p w14:paraId="6F20C905" w14:textId="77777777" w:rsidR="00F67E9E" w:rsidRPr="00536E9A" w:rsidRDefault="00F67E9E" w:rsidP="00F67E9E">
      <w:pPr>
        <w:pStyle w:val="AppendixText2"/>
      </w:pPr>
      <w:r w:rsidRPr="00536E9A">
        <w:t>If the Exporter has breached this IDTA, and this has a Significant Harmful Impact, the Exporter must take steps Without Undue Delay to end the Significant Harmful Impact and if that is not possible to reduce the Significant Harmful Impact as much as possible.</w:t>
      </w:r>
      <w:bookmarkEnd w:id="3099"/>
      <w:r w:rsidRPr="00536E9A">
        <w:t xml:space="preserve"> </w:t>
      </w:r>
    </w:p>
    <w:p w14:paraId="57CCABC4" w14:textId="77777777" w:rsidR="00F67E9E" w:rsidRPr="00536E9A" w:rsidRDefault="00F67E9E" w:rsidP="00F67E9E">
      <w:pPr>
        <w:pStyle w:val="AppendixText2"/>
      </w:pPr>
      <w:bookmarkStart w:id="3100" w:name="_Toc79405546"/>
      <w:r w:rsidRPr="00F74F75">
        <w:t xml:space="preserve">Until </w:t>
      </w:r>
      <w:r>
        <w:t xml:space="preserve">there is no ongoing risk of a Significant Harmful Impact on Relevant Data Subjects, </w:t>
      </w:r>
      <w:r w:rsidRPr="00F74F75">
        <w:t>the Exporter must suspend sending Transferred Data to the Importer</w:t>
      </w:r>
      <w:r>
        <w:t>.</w:t>
      </w:r>
      <w:bookmarkEnd w:id="3100"/>
    </w:p>
    <w:p w14:paraId="61E66E38" w14:textId="202BE955" w:rsidR="00F67E9E" w:rsidRPr="00536E9A" w:rsidRDefault="00F67E9E" w:rsidP="00F67E9E">
      <w:pPr>
        <w:pStyle w:val="AppendixText2"/>
      </w:pPr>
      <w:bookmarkStart w:id="3101" w:name="_Toc79405547"/>
      <w:r w:rsidRPr="00536E9A">
        <w:t xml:space="preserve">If the breach cannot be corrected Without Undue Delay, so there is no ongoing Significant Harmful Impact on </w:t>
      </w:r>
      <w:r>
        <w:t>Relevant Data Subject</w:t>
      </w:r>
      <w:r w:rsidRPr="00536E9A">
        <w:t xml:space="preserve">s, the Importer must end this IDTA under Section </w:t>
      </w:r>
      <w:r w:rsidRPr="00536E9A">
        <w:fldChar w:fldCharType="begin"/>
      </w:r>
      <w:r w:rsidRPr="00536E9A">
        <w:instrText xml:space="preserve"> REF _Ref71909042 \r \h  \* MERGEFORMAT </w:instrText>
      </w:r>
      <w:r w:rsidRPr="00536E9A">
        <w:fldChar w:fldCharType="separate"/>
      </w:r>
      <w:r w:rsidR="00302D39">
        <w:t>30.1</w:t>
      </w:r>
      <w:r w:rsidRPr="00536E9A">
        <w:fldChar w:fldCharType="end"/>
      </w:r>
      <w:r w:rsidRPr="00536E9A">
        <w:t>.</w:t>
      </w:r>
      <w:bookmarkEnd w:id="3101"/>
    </w:p>
    <w:p w14:paraId="601F4963" w14:textId="77777777" w:rsidR="00F67E9E" w:rsidRPr="00D515BC" w:rsidRDefault="00F67E9E" w:rsidP="00F67E9E">
      <w:pPr>
        <w:pStyle w:val="StdBodyText2"/>
        <w:keepNext/>
        <w:ind w:left="0"/>
        <w:rPr>
          <w:b/>
          <w:bCs/>
        </w:rPr>
      </w:pPr>
      <w:r w:rsidRPr="00D515BC">
        <w:rPr>
          <w:b/>
          <w:bCs/>
        </w:rPr>
        <w:t>Ending the IDTA</w:t>
      </w:r>
    </w:p>
    <w:p w14:paraId="2B4F3C26" w14:textId="77777777" w:rsidR="00F67E9E" w:rsidRPr="00536E9A" w:rsidRDefault="00F67E9E" w:rsidP="00F67E9E">
      <w:pPr>
        <w:pStyle w:val="AppendixText1"/>
      </w:pPr>
      <w:bookmarkStart w:id="3102" w:name="Section_29"/>
      <w:bookmarkEnd w:id="3102"/>
      <w:r w:rsidRPr="00873C09">
        <w:t>How to end this IDTA without there being a breach</w:t>
      </w:r>
    </w:p>
    <w:p w14:paraId="19C347D6" w14:textId="77777777" w:rsidR="00F67E9E" w:rsidRPr="00536E9A" w:rsidRDefault="00F67E9E" w:rsidP="00F67E9E">
      <w:pPr>
        <w:pStyle w:val="AppendixText2"/>
      </w:pPr>
      <w:bookmarkStart w:id="3103" w:name="_Ref77147052"/>
      <w:bookmarkStart w:id="3104" w:name="_Toc79405549"/>
      <w:bookmarkStart w:id="3105" w:name="_Ref73509913"/>
      <w:r>
        <w:t>T</w:t>
      </w:r>
      <w:r w:rsidRPr="009B2453">
        <w:t>he IDTA will end:</w:t>
      </w:r>
      <w:bookmarkEnd w:id="3103"/>
      <w:bookmarkEnd w:id="3104"/>
    </w:p>
    <w:p w14:paraId="73A7A1E6" w14:textId="77777777" w:rsidR="00F67E9E" w:rsidRPr="008D1200" w:rsidRDefault="00F67E9E" w:rsidP="00F67E9E">
      <w:pPr>
        <w:pStyle w:val="AppendixText3"/>
      </w:pPr>
      <w:r>
        <w:t xml:space="preserve">at </w:t>
      </w:r>
      <w:r w:rsidRPr="008D1200">
        <w:t>the end of the Term stated in Table 2: Transfer Details; or</w:t>
      </w:r>
    </w:p>
    <w:p w14:paraId="00FAE780" w14:textId="77777777" w:rsidR="00F67E9E" w:rsidRPr="008D1200" w:rsidRDefault="00F67E9E" w:rsidP="00F67E9E">
      <w:pPr>
        <w:pStyle w:val="AppendixText3"/>
      </w:pPr>
      <w:bookmarkStart w:id="3106" w:name="_Ref76397489"/>
      <w:r w:rsidRPr="008D1200">
        <w:t xml:space="preserve">if in Table 2: Transfer Details, the Parties can end this IDTA by providing written notice to the other: at the end of the notice period stated; </w:t>
      </w:r>
    </w:p>
    <w:p w14:paraId="348FBF31" w14:textId="77777777" w:rsidR="00F67E9E" w:rsidRPr="008D1200" w:rsidRDefault="00F67E9E" w:rsidP="00F67E9E">
      <w:pPr>
        <w:pStyle w:val="AppendixText3"/>
      </w:pPr>
      <w:r w:rsidRPr="008D1200">
        <w:t>at any time that the Parties agree in writing that it will end; or</w:t>
      </w:r>
    </w:p>
    <w:p w14:paraId="09A67C4B" w14:textId="426DC814" w:rsidR="00F67E9E" w:rsidRDefault="00F67E9E" w:rsidP="00F67E9E">
      <w:pPr>
        <w:pStyle w:val="AppendixText3"/>
      </w:pPr>
      <w:r w:rsidRPr="008D1200">
        <w:t>at the</w:t>
      </w:r>
      <w:r w:rsidRPr="007A6901">
        <w:t xml:space="preserve"> time set out </w:t>
      </w:r>
      <w:r w:rsidRPr="00102347">
        <w:t xml:space="preserve">in Section </w:t>
      </w:r>
      <w:r>
        <w:fldChar w:fldCharType="begin"/>
      </w:r>
      <w:r>
        <w:instrText xml:space="preserve"> REF _Ref93332274 \r \h </w:instrText>
      </w:r>
      <w:r>
        <w:fldChar w:fldCharType="separate"/>
      </w:r>
      <w:r w:rsidR="00302D39">
        <w:t>29.2</w:t>
      </w:r>
      <w:r>
        <w:fldChar w:fldCharType="end"/>
      </w:r>
      <w:r w:rsidRPr="00102347">
        <w:t>.</w:t>
      </w:r>
    </w:p>
    <w:p w14:paraId="52FAFEC8" w14:textId="0E6CF5AF" w:rsidR="00F67E9E" w:rsidRPr="00EF4256" w:rsidRDefault="00F67E9E" w:rsidP="00F67E9E">
      <w:pPr>
        <w:pStyle w:val="AppendixText2"/>
      </w:pPr>
      <w:bookmarkStart w:id="3107" w:name="Section_29_2"/>
      <w:bookmarkStart w:id="3108" w:name="_Ref93332274"/>
      <w:bookmarkEnd w:id="3107"/>
      <w:r w:rsidRPr="00EF4256">
        <w:t xml:space="preserve">If the ICO issues a revised Approved IDTA under </w:t>
      </w:r>
      <w:r>
        <w:t xml:space="preserve">Section </w:t>
      </w:r>
      <w:r>
        <w:fldChar w:fldCharType="begin"/>
      </w:r>
      <w:r>
        <w:instrText xml:space="preserve"> REF _Ref92478018 \r \h </w:instrText>
      </w:r>
      <w:r>
        <w:fldChar w:fldCharType="separate"/>
      </w:r>
      <w:r w:rsidR="00302D39">
        <w:t>5.4</w:t>
      </w:r>
      <w:r>
        <w:fldChar w:fldCharType="end"/>
      </w:r>
      <w:r w:rsidRPr="00EF4256">
        <w:t xml:space="preserve">, if any Party selected in Table 2 </w:t>
      </w:r>
      <w:r w:rsidRPr="002E7013">
        <w:rPr>
          <w:rFonts w:cs="Verdana"/>
        </w:rPr>
        <w:t>“</w:t>
      </w:r>
      <w:r w:rsidRPr="008D1200">
        <w:t>Ending</w:t>
      </w:r>
      <w:r w:rsidRPr="00EF4256">
        <w:t xml:space="preserve"> the IDTA when the Approved IDTA changes</w:t>
      </w:r>
      <w:r w:rsidRPr="002E7013">
        <w:rPr>
          <w:rFonts w:cs="Verdana"/>
        </w:rPr>
        <w:t>”</w:t>
      </w:r>
      <w:r w:rsidRPr="00EF4256">
        <w:t>, will as a direct result of the changes in the Approved IDTA have a substantial, disproportionate and demonstrable increase in:</w:t>
      </w:r>
      <w:bookmarkEnd w:id="3108"/>
      <w:r w:rsidRPr="00EF4256">
        <w:t xml:space="preserve"> </w:t>
      </w:r>
    </w:p>
    <w:p w14:paraId="020D2354" w14:textId="77777777" w:rsidR="00F67E9E" w:rsidRPr="00943D81" w:rsidRDefault="00F67E9E" w:rsidP="00F67E9E">
      <w:pPr>
        <w:pStyle w:val="AppendixText3"/>
      </w:pPr>
      <w:r w:rsidRPr="00943D81">
        <w:t xml:space="preserve">its direct costs of performing its obligations under the IDTA; and/or </w:t>
      </w:r>
    </w:p>
    <w:p w14:paraId="4D10EF15" w14:textId="77777777" w:rsidR="00F67E9E" w:rsidRPr="00B87D3D" w:rsidRDefault="00F67E9E" w:rsidP="00F67E9E">
      <w:pPr>
        <w:pStyle w:val="AppendixText3"/>
      </w:pPr>
      <w:r w:rsidRPr="00B87D3D">
        <w:t>its risk under the IDTA,</w:t>
      </w:r>
    </w:p>
    <w:p w14:paraId="1DB0E0DC" w14:textId="77777777" w:rsidR="00F67E9E" w:rsidRDefault="00F67E9E" w:rsidP="00F67E9E">
      <w:pPr>
        <w:pStyle w:val="AppendixText2continued"/>
        <w:ind w:left="720"/>
      </w:pPr>
      <w:r w:rsidRPr="00A9470C">
        <w:t xml:space="preserve">and in either case it has first taken reasonable steps to reduce that cost or risk so that it is not substantial and disproportionate, that Party may end the </w:t>
      </w:r>
      <w:r>
        <w:t xml:space="preserve">IDTA </w:t>
      </w:r>
      <w:r w:rsidRPr="00AD536D">
        <w:t>at the end of a reasonable notice period</w:t>
      </w:r>
      <w:r>
        <w:t>,</w:t>
      </w:r>
      <w:r w:rsidRPr="00AD536D">
        <w:t xml:space="preserve"> by providing written notice for that period to the other Party before the start date of the revised Approved </w:t>
      </w:r>
      <w:r w:rsidRPr="00A9470C">
        <w:t>IDTA.</w:t>
      </w:r>
    </w:p>
    <w:p w14:paraId="25AF1571" w14:textId="77777777" w:rsidR="00F67E9E" w:rsidRPr="00536E9A" w:rsidRDefault="00F67E9E" w:rsidP="00F67E9E">
      <w:pPr>
        <w:pStyle w:val="AppendixText1"/>
      </w:pPr>
      <w:bookmarkStart w:id="3109" w:name="Section_30"/>
      <w:bookmarkEnd w:id="3109"/>
      <w:r w:rsidRPr="00873C09">
        <w:t>How to end this IDTA if there is a breach</w:t>
      </w:r>
    </w:p>
    <w:p w14:paraId="48D64866" w14:textId="77777777" w:rsidR="00F67E9E" w:rsidRPr="00536E9A" w:rsidRDefault="00F67E9E" w:rsidP="00F67E9E">
      <w:pPr>
        <w:pStyle w:val="AppendixText2"/>
      </w:pPr>
      <w:bookmarkStart w:id="3110" w:name="_Ref71909042"/>
      <w:bookmarkStart w:id="3111" w:name="_Toc79405552"/>
      <w:bookmarkEnd w:id="3105"/>
      <w:bookmarkEnd w:id="3106"/>
      <w:r>
        <w:t xml:space="preserve">A </w:t>
      </w:r>
      <w:r w:rsidRPr="00F967FE">
        <w:t xml:space="preserve">Party may </w:t>
      </w:r>
      <w:r>
        <w:t>end</w:t>
      </w:r>
      <w:r w:rsidRPr="00F967FE">
        <w:t xml:space="preserve"> this IDTA immediately </w:t>
      </w:r>
      <w:r>
        <w:t>by giving the other Party</w:t>
      </w:r>
      <w:r w:rsidRPr="00F967FE">
        <w:t xml:space="preserve"> written notice if:</w:t>
      </w:r>
      <w:bookmarkEnd w:id="3110"/>
      <w:bookmarkEnd w:id="3111"/>
    </w:p>
    <w:p w14:paraId="5FA43B4F" w14:textId="77777777" w:rsidR="00F67E9E" w:rsidRPr="00536E9A" w:rsidRDefault="00F67E9E" w:rsidP="00F67E9E">
      <w:pPr>
        <w:pStyle w:val="AppendixText3"/>
      </w:pPr>
      <w:r>
        <w:t>the other</w:t>
      </w:r>
      <w:r w:rsidRPr="00F967FE">
        <w:t xml:space="preserve"> Party </w:t>
      </w:r>
      <w:r>
        <w:t>has</w:t>
      </w:r>
      <w:r w:rsidRPr="00F967FE">
        <w:t xml:space="preserve"> breach</w:t>
      </w:r>
      <w:r>
        <w:t>ed</w:t>
      </w:r>
      <w:r w:rsidRPr="00F967FE">
        <w:t xml:space="preserve"> this IDTA</w:t>
      </w:r>
      <w:r>
        <w:t xml:space="preserve"> </w:t>
      </w:r>
      <w:r w:rsidRPr="004B28B3">
        <w:t xml:space="preserve">and this has a </w:t>
      </w:r>
      <w:r>
        <w:t>Significant Harmful</w:t>
      </w:r>
      <w:r w:rsidRPr="004B28B3">
        <w:t xml:space="preserve"> </w:t>
      </w:r>
      <w:r>
        <w:t>I</w:t>
      </w:r>
      <w:r w:rsidRPr="004B28B3">
        <w:t>mpact</w:t>
      </w:r>
      <w:r>
        <w:t>. This includes</w:t>
      </w:r>
      <w:r w:rsidRPr="00F967FE">
        <w:t xml:space="preserve"> repeated minor breaches which taken together </w:t>
      </w:r>
      <w:r>
        <w:t>have</w:t>
      </w:r>
      <w:r w:rsidRPr="00F967FE">
        <w:t xml:space="preserve"> a </w:t>
      </w:r>
      <w:r>
        <w:t xml:space="preserve">Significant Harmful </w:t>
      </w:r>
      <w:r w:rsidRPr="008D1200">
        <w:t>Impact</w:t>
      </w:r>
      <w:r>
        <w:t>,</w:t>
      </w:r>
      <w:r w:rsidRPr="00F967FE">
        <w:t xml:space="preserve"> and</w:t>
      </w:r>
    </w:p>
    <w:p w14:paraId="3A841FC4" w14:textId="77777777" w:rsidR="00F67E9E" w:rsidRPr="008D1200" w:rsidRDefault="00F67E9E" w:rsidP="00F67E9E">
      <w:pPr>
        <w:pStyle w:val="AppendixText4"/>
      </w:pPr>
      <w:r w:rsidRPr="00536E9A">
        <w:t xml:space="preserve">the breach can be corrected so there is no Significant Harmful Impact, and the other Party has failed to do so Without Undue Delay (which cannot be more </w:t>
      </w:r>
      <w:r w:rsidRPr="008D1200">
        <w:t>than 14 days of being required to do so in writing); or</w:t>
      </w:r>
    </w:p>
    <w:p w14:paraId="79C3626A" w14:textId="77777777" w:rsidR="00F67E9E" w:rsidRPr="00536E9A" w:rsidRDefault="00F67E9E" w:rsidP="00F67E9E">
      <w:pPr>
        <w:pStyle w:val="AppendixText4"/>
      </w:pPr>
      <w:r w:rsidRPr="008D1200">
        <w:t>the brea</w:t>
      </w:r>
      <w:r w:rsidRPr="00536E9A">
        <w:t>ch and its Significant Harmful Impact cannot be corrected;</w:t>
      </w:r>
    </w:p>
    <w:p w14:paraId="57A36FE5" w14:textId="374755F4" w:rsidR="00F67E9E" w:rsidRDefault="00F67E9E" w:rsidP="00F67E9E">
      <w:pPr>
        <w:pStyle w:val="AppendixText3"/>
      </w:pPr>
      <w:bookmarkStart w:id="3112" w:name="_Ref71511707"/>
      <w:r w:rsidRPr="00F967FE">
        <w:t xml:space="preserve">the </w:t>
      </w:r>
      <w:r>
        <w:t>Importer</w:t>
      </w:r>
      <w:r w:rsidRPr="00F967FE">
        <w:t xml:space="preserve"> can no longer comply with </w:t>
      </w:r>
      <w:r w:rsidRPr="009860A8">
        <w:t xml:space="preserve">Section </w:t>
      </w:r>
      <w:bookmarkEnd w:id="3112"/>
      <w:r w:rsidRPr="009860A8">
        <w:fldChar w:fldCharType="begin"/>
      </w:r>
      <w:r w:rsidRPr="009860A8">
        <w:instrText xml:space="preserve"> REF _Ref71838603 \r \h </w:instrText>
      </w:r>
      <w:r>
        <w:instrText xml:space="preserve"> \* MERGEFORMAT </w:instrText>
      </w:r>
      <w:r w:rsidRPr="009860A8">
        <w:fldChar w:fldCharType="separate"/>
      </w:r>
      <w:r w:rsidR="00302D39">
        <w:t>8.3</w:t>
      </w:r>
      <w:r w:rsidRPr="009860A8">
        <w:fldChar w:fldCharType="end"/>
      </w:r>
      <w:r w:rsidRPr="009860A8">
        <w:t xml:space="preserve">, </w:t>
      </w:r>
      <w:r w:rsidRPr="00C2686F">
        <w:t>as there are Local Laws which mean it cannot comply with this IDTA</w:t>
      </w:r>
      <w:r w:rsidRPr="009860A8">
        <w:t xml:space="preserve"> and this has a Significant Harmful Impact</w:t>
      </w:r>
      <w:r w:rsidRPr="00C2686F">
        <w:t>.</w:t>
      </w:r>
    </w:p>
    <w:p w14:paraId="340899E8" w14:textId="77777777" w:rsidR="00F67E9E" w:rsidRPr="00536E9A" w:rsidRDefault="00F67E9E" w:rsidP="00F67E9E">
      <w:pPr>
        <w:pStyle w:val="AppendixText1"/>
      </w:pPr>
      <w:bookmarkStart w:id="3113" w:name="Section_31"/>
      <w:bookmarkStart w:id="3114" w:name="_Ref141210200"/>
      <w:bookmarkEnd w:id="3113"/>
      <w:r w:rsidRPr="00873C09">
        <w:t>What must the Parties do when the IDTA ends?</w:t>
      </w:r>
      <w:bookmarkEnd w:id="3114"/>
    </w:p>
    <w:p w14:paraId="49051A78" w14:textId="77777777" w:rsidR="00F67E9E" w:rsidRPr="00536E9A" w:rsidRDefault="00F67E9E" w:rsidP="00F67E9E">
      <w:pPr>
        <w:pStyle w:val="AppendixText2"/>
      </w:pPr>
      <w:bookmarkStart w:id="3115" w:name="_Hlk89227792"/>
      <w:bookmarkStart w:id="3116" w:name="_Ref89205946"/>
      <w:bookmarkStart w:id="3117" w:name="_Ref71511776"/>
      <w:bookmarkStart w:id="3118" w:name="_Ref73503922"/>
      <w:r w:rsidRPr="009A79EE">
        <w:t xml:space="preserve">If the parties wish to bring this IDTA to an end </w:t>
      </w:r>
      <w:r>
        <w:t xml:space="preserve">or this IDTA ends in accordance with any provision in this IDTA, </w:t>
      </w:r>
      <w:r w:rsidRPr="009A79EE">
        <w:t xml:space="preserve">but </w:t>
      </w:r>
      <w:bookmarkEnd w:id="3115"/>
      <w:r w:rsidRPr="009A79EE">
        <w:t xml:space="preserve">the Importer must comply with a Local Law which requires it to </w:t>
      </w:r>
      <w:r w:rsidRPr="008D1200">
        <w:t>continue</w:t>
      </w:r>
      <w:r w:rsidRPr="009A79EE">
        <w:t xml:space="preserve"> to keep any Transferred Data then </w:t>
      </w:r>
      <w:bookmarkStart w:id="3119" w:name="_Hlk89227829"/>
      <w:r w:rsidRPr="009A79EE">
        <w:t>this IDTA will remain in force in respect of any retained Transferred Data for as long as the retained Transferred Data is retained</w:t>
      </w:r>
      <w:r>
        <w:t>, and the Importer must</w:t>
      </w:r>
      <w:bookmarkEnd w:id="3119"/>
      <w:r>
        <w:t>:</w:t>
      </w:r>
      <w:bookmarkEnd w:id="3116"/>
    </w:p>
    <w:p w14:paraId="63D5487B" w14:textId="77777777" w:rsidR="00F67E9E" w:rsidRPr="008D1200" w:rsidRDefault="00F67E9E" w:rsidP="00F67E9E">
      <w:pPr>
        <w:pStyle w:val="AppendixText3"/>
      </w:pPr>
      <w:r w:rsidRPr="00894DA6">
        <w:t>notify the Exporter Without Undue Delay</w:t>
      </w:r>
      <w:bookmarkStart w:id="3120" w:name="_Hlk89227839"/>
      <w:r w:rsidRPr="00894DA6">
        <w:t xml:space="preserve">, including details of the relevant Local Law and the </w:t>
      </w:r>
      <w:r w:rsidRPr="008D1200">
        <w:t>required retention period</w:t>
      </w:r>
      <w:bookmarkEnd w:id="3120"/>
      <w:r w:rsidRPr="008D1200">
        <w:t xml:space="preserve">; </w:t>
      </w:r>
    </w:p>
    <w:p w14:paraId="084A7D30" w14:textId="77777777" w:rsidR="00F67E9E" w:rsidRPr="008D1200" w:rsidRDefault="00F67E9E" w:rsidP="00F67E9E">
      <w:pPr>
        <w:pStyle w:val="AppendixText3"/>
      </w:pPr>
      <w:r w:rsidRPr="008D1200">
        <w:t xml:space="preserve">retain only the minimum amount of Transferred Data it needs to comply with that Local Law, and the Parties must ensure they maintain the Appropriate Safeguards, and change the Tables and Extra Protection Clauses, together with any TRA to reflect this; and </w:t>
      </w:r>
    </w:p>
    <w:p w14:paraId="2CB1607F" w14:textId="4EE1D039" w:rsidR="00F67E9E" w:rsidRPr="00536E9A" w:rsidRDefault="00F67E9E" w:rsidP="00F67E9E">
      <w:pPr>
        <w:pStyle w:val="AppendixText3"/>
      </w:pPr>
      <w:r w:rsidRPr="008D1200">
        <w:t>stop Processing</w:t>
      </w:r>
      <w:r w:rsidRPr="009A79EE">
        <w:t xml:space="preserve"> the Transferred Data as soon as permitted by that Local Law and the IDTA will then end</w:t>
      </w:r>
      <w:r>
        <w:t xml:space="preserve"> </w:t>
      </w:r>
      <w:bookmarkStart w:id="3121" w:name="_Hlk89227859"/>
      <w:r>
        <w:t>and the rest of this Section </w:t>
      </w:r>
      <w:r w:rsidRPr="00DE0C19">
        <w:fldChar w:fldCharType="begin"/>
      </w:r>
      <w:r w:rsidRPr="00DE0C19">
        <w:instrText xml:space="preserve"> REF _Ref141210200 \n \h </w:instrText>
      </w:r>
      <w:r w:rsidRPr="00DE0C19">
        <w:fldChar w:fldCharType="separate"/>
      </w:r>
      <w:r w:rsidR="00302D39">
        <w:t>31</w:t>
      </w:r>
      <w:r w:rsidRPr="00DE0C19">
        <w:fldChar w:fldCharType="end"/>
      </w:r>
      <w:r>
        <w:t xml:space="preserve"> will apply</w:t>
      </w:r>
      <w:bookmarkEnd w:id="3121"/>
      <w:r w:rsidRPr="009A79EE">
        <w:t>.</w:t>
      </w:r>
    </w:p>
    <w:p w14:paraId="2BCFBB9C" w14:textId="77777777" w:rsidR="00F67E9E" w:rsidRPr="00536E9A" w:rsidRDefault="00F67E9E" w:rsidP="00F67E9E">
      <w:pPr>
        <w:pStyle w:val="AppendixText2"/>
      </w:pPr>
      <w:bookmarkStart w:id="3122" w:name="_Toc79405554"/>
      <w:r>
        <w:t xml:space="preserve">When </w:t>
      </w:r>
      <w:r w:rsidRPr="00F967FE">
        <w:t xml:space="preserve">this </w:t>
      </w:r>
      <w:r w:rsidRPr="004E3B86">
        <w:t>IDTA</w:t>
      </w:r>
      <w:r>
        <w:t xml:space="preserve"> ends (no matter what the reason is)</w:t>
      </w:r>
      <w:r w:rsidRPr="00F967FE">
        <w:t>:</w:t>
      </w:r>
      <w:bookmarkEnd w:id="3117"/>
      <w:bookmarkEnd w:id="3118"/>
      <w:bookmarkEnd w:id="3122"/>
    </w:p>
    <w:p w14:paraId="5B5D107C" w14:textId="77777777" w:rsidR="00F67E9E" w:rsidRPr="004E3B86" w:rsidRDefault="00F67E9E" w:rsidP="00F67E9E">
      <w:pPr>
        <w:pStyle w:val="AppendixText3"/>
      </w:pPr>
      <w:r w:rsidRPr="00536E9A">
        <w:t xml:space="preserve">the </w:t>
      </w:r>
      <w:r w:rsidRPr="004E3B86">
        <w:t>Exporter must stop sending Transferred Data to the Importer; and</w:t>
      </w:r>
    </w:p>
    <w:p w14:paraId="1C4E4376" w14:textId="77777777" w:rsidR="00F67E9E" w:rsidRPr="004E3B86" w:rsidRDefault="00F67E9E" w:rsidP="00F67E9E">
      <w:pPr>
        <w:pStyle w:val="AppendixText3"/>
      </w:pPr>
      <w:r w:rsidRPr="004E3B86">
        <w:t xml:space="preserve">if the Importer is the Exporter’s Processor or Sub-Processor: the Importer must delete all Transferred Data or securely return it to the Exporter (or a third party named by the Exporter), as instructed by the Exporter; </w:t>
      </w:r>
    </w:p>
    <w:p w14:paraId="017EB440" w14:textId="77777777" w:rsidR="00F67E9E" w:rsidRPr="004E3B86" w:rsidRDefault="00F67E9E" w:rsidP="00F67E9E">
      <w:pPr>
        <w:pStyle w:val="AppendixText3"/>
      </w:pPr>
      <w:r w:rsidRPr="004E3B86">
        <w:t xml:space="preserve">if the Importer is a Controller and/or not the Exporter’s Processor or Sub-Processor: the Importer must securely delete all Transferred Data. </w:t>
      </w:r>
    </w:p>
    <w:p w14:paraId="74D5BF6F" w14:textId="77777777" w:rsidR="00F67E9E" w:rsidRPr="007054B8" w:rsidRDefault="00F67E9E" w:rsidP="00F67E9E">
      <w:pPr>
        <w:pStyle w:val="AppendixText3"/>
      </w:pPr>
      <w:r w:rsidRPr="004E3B86">
        <w:t>the following</w:t>
      </w:r>
      <w:r w:rsidRPr="007054B8">
        <w:t xml:space="preserve"> provisions will continue in force after this IDTA ends (no matter what the reason is): </w:t>
      </w:r>
    </w:p>
    <w:p w14:paraId="471DEA67" w14:textId="770574B9" w:rsidR="00F67E9E" w:rsidRPr="008D1200" w:rsidRDefault="00F67E9E" w:rsidP="00F67E9E">
      <w:pPr>
        <w:pStyle w:val="StdBodyText3"/>
        <w:numPr>
          <w:ilvl w:val="0"/>
          <w:numId w:val="292"/>
        </w:numPr>
        <w:ind w:left="2520" w:hanging="720"/>
      </w:pPr>
      <w:r w:rsidRPr="008D1200">
        <w:t xml:space="preserve">Section </w:t>
      </w:r>
      <w:r w:rsidRPr="008D1200">
        <w:fldChar w:fldCharType="begin"/>
      </w:r>
      <w:r w:rsidRPr="008D1200">
        <w:instrText xml:space="preserve"> REF  Section_1 \h \r  \* MERGEFORMAT </w:instrText>
      </w:r>
      <w:r w:rsidRPr="008D1200">
        <w:fldChar w:fldCharType="separate"/>
      </w:r>
      <w:r w:rsidR="00302D39">
        <w:t>1</w:t>
      </w:r>
      <w:r w:rsidRPr="008D1200">
        <w:fldChar w:fldCharType="end"/>
      </w:r>
      <w:r w:rsidRPr="008D1200">
        <w:t xml:space="preserve"> (This IDTA and Linked Agreements);</w:t>
      </w:r>
    </w:p>
    <w:p w14:paraId="61B65825" w14:textId="09ABBDEF" w:rsidR="00F67E9E" w:rsidRPr="008D1200" w:rsidRDefault="00F67E9E" w:rsidP="00F67E9E">
      <w:pPr>
        <w:pStyle w:val="StdBodyText3"/>
        <w:numPr>
          <w:ilvl w:val="0"/>
          <w:numId w:val="292"/>
        </w:numPr>
        <w:ind w:left="2520" w:hanging="720"/>
      </w:pPr>
      <w:r w:rsidRPr="008D1200">
        <w:t xml:space="preserve">Section </w:t>
      </w:r>
      <w:r w:rsidRPr="008D1200">
        <w:fldChar w:fldCharType="begin"/>
      </w:r>
      <w:r w:rsidRPr="008D1200">
        <w:instrText xml:space="preserve"> REF  Section_2 \h \r  \* MERGEFORMAT </w:instrText>
      </w:r>
      <w:r w:rsidRPr="008D1200">
        <w:fldChar w:fldCharType="separate"/>
      </w:r>
      <w:r w:rsidR="00302D39">
        <w:t>2</w:t>
      </w:r>
      <w:r w:rsidRPr="008D1200">
        <w:fldChar w:fldCharType="end"/>
      </w:r>
      <w:r w:rsidRPr="008D1200">
        <w:t xml:space="preserve"> (Legal Meaning of Words);</w:t>
      </w:r>
    </w:p>
    <w:p w14:paraId="2B605E68" w14:textId="14185B80" w:rsidR="00F67E9E" w:rsidRPr="008D1200" w:rsidRDefault="00F67E9E" w:rsidP="00F67E9E">
      <w:pPr>
        <w:pStyle w:val="StdBodyText3"/>
        <w:numPr>
          <w:ilvl w:val="0"/>
          <w:numId w:val="292"/>
        </w:numPr>
        <w:ind w:left="2520" w:hanging="720"/>
      </w:pPr>
      <w:r w:rsidRPr="008D1200">
        <w:t xml:space="preserve">Section </w:t>
      </w:r>
      <w:r w:rsidRPr="008D1200">
        <w:fldChar w:fldCharType="begin"/>
      </w:r>
      <w:r w:rsidRPr="008D1200">
        <w:instrText xml:space="preserve"> REF  Section_6 \h \r  \* MERGEFORMAT </w:instrText>
      </w:r>
      <w:r w:rsidRPr="008D1200">
        <w:fldChar w:fldCharType="separate"/>
      </w:r>
      <w:r w:rsidR="00302D39">
        <w:t>6</w:t>
      </w:r>
      <w:r w:rsidRPr="008D1200">
        <w:fldChar w:fldCharType="end"/>
      </w:r>
      <w:r w:rsidRPr="008D1200">
        <w:t xml:space="preserve"> (Understanding this IDTA);</w:t>
      </w:r>
    </w:p>
    <w:p w14:paraId="2B1282E4" w14:textId="5C66AB5B" w:rsidR="00F67E9E" w:rsidRPr="008D1200" w:rsidRDefault="00F67E9E" w:rsidP="00F67E9E">
      <w:pPr>
        <w:pStyle w:val="StdBodyText3"/>
        <w:numPr>
          <w:ilvl w:val="0"/>
          <w:numId w:val="292"/>
        </w:numPr>
        <w:ind w:left="2520" w:hanging="720"/>
      </w:pPr>
      <w:r w:rsidRPr="008D1200">
        <w:t xml:space="preserve">Section </w:t>
      </w:r>
      <w:r w:rsidRPr="008D1200">
        <w:fldChar w:fldCharType="begin"/>
      </w:r>
      <w:r w:rsidRPr="008D1200">
        <w:instrText xml:space="preserve"> REF  Section_7 \h \r  \* MERGEFORMAT </w:instrText>
      </w:r>
      <w:r w:rsidRPr="008D1200">
        <w:fldChar w:fldCharType="separate"/>
      </w:r>
      <w:r w:rsidR="00302D39">
        <w:t>7</w:t>
      </w:r>
      <w:r w:rsidRPr="008D1200">
        <w:fldChar w:fldCharType="end"/>
      </w:r>
      <w:r w:rsidRPr="008D1200">
        <w:t xml:space="preserve"> (Which laws apply to this IDTA);</w:t>
      </w:r>
    </w:p>
    <w:p w14:paraId="003426C5" w14:textId="52EE973F" w:rsidR="00F67E9E" w:rsidRPr="008D1200" w:rsidRDefault="00F67E9E" w:rsidP="00F67E9E">
      <w:pPr>
        <w:pStyle w:val="StdBodyText3"/>
        <w:numPr>
          <w:ilvl w:val="0"/>
          <w:numId w:val="292"/>
        </w:numPr>
        <w:ind w:left="2520" w:hanging="720"/>
      </w:pPr>
      <w:r w:rsidRPr="008D1200">
        <w:t xml:space="preserve">Section </w:t>
      </w:r>
      <w:r w:rsidRPr="008D1200">
        <w:fldChar w:fldCharType="begin"/>
      </w:r>
      <w:r w:rsidRPr="008D1200">
        <w:instrText xml:space="preserve"> REF  Section_10 \h \r  \* MERGEFORMAT </w:instrText>
      </w:r>
      <w:r w:rsidRPr="008D1200">
        <w:fldChar w:fldCharType="separate"/>
      </w:r>
      <w:r w:rsidR="00302D39">
        <w:t>10</w:t>
      </w:r>
      <w:r w:rsidRPr="008D1200">
        <w:fldChar w:fldCharType="end"/>
      </w:r>
      <w:r w:rsidRPr="008D1200">
        <w:t xml:space="preserve"> (The ICO);</w:t>
      </w:r>
    </w:p>
    <w:p w14:paraId="6BC0010C" w14:textId="18C1D614" w:rsidR="00F67E9E" w:rsidRPr="008D1200" w:rsidRDefault="00F67E9E" w:rsidP="00F67E9E">
      <w:pPr>
        <w:pStyle w:val="StdBodyText3"/>
        <w:numPr>
          <w:ilvl w:val="0"/>
          <w:numId w:val="292"/>
        </w:numPr>
        <w:ind w:left="2520" w:hanging="720"/>
      </w:pPr>
      <w:r w:rsidRPr="008D1200">
        <w:t xml:space="preserve">Sections </w:t>
      </w:r>
      <w:r w:rsidRPr="008D1200">
        <w:fldChar w:fldCharType="begin"/>
      </w:r>
      <w:r w:rsidRPr="008D1200">
        <w:instrText xml:space="preserve"> REF _Ref77596401 \r \h  \* MERGEFORMAT </w:instrText>
      </w:r>
      <w:r w:rsidRPr="008D1200">
        <w:fldChar w:fldCharType="separate"/>
      </w:r>
      <w:r w:rsidR="00302D39">
        <w:t>11.1</w:t>
      </w:r>
      <w:r w:rsidRPr="008D1200">
        <w:fldChar w:fldCharType="end"/>
      </w:r>
      <w:r w:rsidRPr="008D1200">
        <w:t xml:space="preserve"> and </w:t>
      </w:r>
      <w:r w:rsidRPr="008D1200">
        <w:fldChar w:fldCharType="begin"/>
      </w:r>
      <w:r w:rsidRPr="008D1200">
        <w:instrText xml:space="preserve"> REF _Ref77596482 \r \h  \* MERGEFORMAT </w:instrText>
      </w:r>
      <w:r w:rsidRPr="008D1200">
        <w:fldChar w:fldCharType="separate"/>
      </w:r>
      <w:r w:rsidR="00302D39">
        <w:t>11.4</w:t>
      </w:r>
      <w:r w:rsidRPr="008D1200">
        <w:fldChar w:fldCharType="end"/>
      </w:r>
      <w:r w:rsidRPr="008D1200">
        <w:t xml:space="preserve"> (Exporter’s obligations);</w:t>
      </w:r>
    </w:p>
    <w:p w14:paraId="3FF50D04" w14:textId="00AED6F4" w:rsidR="00F67E9E" w:rsidRPr="008D1200" w:rsidRDefault="00F67E9E" w:rsidP="00F67E9E">
      <w:pPr>
        <w:pStyle w:val="StdBodyText3"/>
        <w:numPr>
          <w:ilvl w:val="0"/>
          <w:numId w:val="292"/>
        </w:numPr>
        <w:ind w:left="2520" w:hanging="720"/>
      </w:pPr>
      <w:r w:rsidRPr="008D1200">
        <w:t xml:space="preserve">Sections </w:t>
      </w:r>
      <w:r w:rsidRPr="008D1200">
        <w:fldChar w:fldCharType="begin"/>
      </w:r>
      <w:r w:rsidRPr="008D1200">
        <w:instrText xml:space="preserve"> REF _Ref77596530 \r \h  \* MERGEFORMAT </w:instrText>
      </w:r>
      <w:r w:rsidRPr="008D1200">
        <w:fldChar w:fldCharType="separate"/>
      </w:r>
      <w:r w:rsidR="00302D39">
        <w:t>12.1.2</w:t>
      </w:r>
      <w:r w:rsidRPr="008D1200">
        <w:fldChar w:fldCharType="end"/>
      </w:r>
      <w:r w:rsidRPr="008D1200">
        <w:t xml:space="preserve">, </w:t>
      </w:r>
      <w:r w:rsidRPr="008D1200">
        <w:fldChar w:fldCharType="begin"/>
      </w:r>
      <w:r w:rsidRPr="008D1200">
        <w:instrText xml:space="preserve"> REF _Ref77596560 \r \h  \* MERGEFORMAT </w:instrText>
      </w:r>
      <w:r w:rsidRPr="008D1200">
        <w:fldChar w:fldCharType="separate"/>
      </w:r>
      <w:r w:rsidR="00302D39">
        <w:t>12.1.3</w:t>
      </w:r>
      <w:r w:rsidRPr="008D1200">
        <w:fldChar w:fldCharType="end"/>
      </w:r>
      <w:r w:rsidRPr="008D1200">
        <w:t xml:space="preserve">, </w:t>
      </w:r>
      <w:r w:rsidRPr="008D1200">
        <w:fldChar w:fldCharType="begin"/>
      </w:r>
      <w:r w:rsidRPr="008D1200">
        <w:instrText xml:space="preserve"> REF _Ref77597260 \r \h  \* MERGEFORMAT </w:instrText>
      </w:r>
      <w:r w:rsidRPr="008D1200">
        <w:fldChar w:fldCharType="separate"/>
      </w:r>
      <w:r w:rsidR="00302D39">
        <w:t>12.1.4</w:t>
      </w:r>
      <w:r w:rsidRPr="008D1200">
        <w:fldChar w:fldCharType="end"/>
      </w:r>
      <w:r w:rsidRPr="008D1200">
        <w:t xml:space="preserve">, </w:t>
      </w:r>
      <w:r w:rsidRPr="008D1200">
        <w:fldChar w:fldCharType="begin"/>
      </w:r>
      <w:r w:rsidRPr="008D1200">
        <w:instrText xml:space="preserve"> REF _Ref77597273 \r \h  \* MERGEFORMAT </w:instrText>
      </w:r>
      <w:r w:rsidRPr="008D1200">
        <w:fldChar w:fldCharType="separate"/>
      </w:r>
      <w:r w:rsidR="00302D39">
        <w:t>12.1.5</w:t>
      </w:r>
      <w:r w:rsidRPr="008D1200">
        <w:fldChar w:fldCharType="end"/>
      </w:r>
      <w:r w:rsidRPr="008D1200">
        <w:t xml:space="preserve"> and </w:t>
      </w:r>
      <w:r w:rsidRPr="008D1200">
        <w:fldChar w:fldCharType="begin"/>
      </w:r>
      <w:r w:rsidRPr="008D1200">
        <w:instrText xml:space="preserve"> REF _Ref77318003 \r \h  \* MERGEFORMAT </w:instrText>
      </w:r>
      <w:r w:rsidRPr="008D1200">
        <w:fldChar w:fldCharType="separate"/>
      </w:r>
      <w:r w:rsidR="00302D39">
        <w:t>12.1.6</w:t>
      </w:r>
      <w:r w:rsidRPr="008D1200">
        <w:fldChar w:fldCharType="end"/>
      </w:r>
      <w:r w:rsidRPr="008D1200">
        <w:t xml:space="preserve"> (General Importer obligations);</w:t>
      </w:r>
    </w:p>
    <w:p w14:paraId="37012AA5" w14:textId="14AEDAED" w:rsidR="00F67E9E" w:rsidRPr="008D1200" w:rsidRDefault="00F67E9E" w:rsidP="00F67E9E">
      <w:pPr>
        <w:pStyle w:val="StdBodyText3"/>
        <w:numPr>
          <w:ilvl w:val="0"/>
          <w:numId w:val="292"/>
        </w:numPr>
        <w:ind w:left="2520" w:hanging="720"/>
      </w:pPr>
      <w:r w:rsidRPr="008D1200">
        <w:t xml:space="preserve">Section </w:t>
      </w:r>
      <w:r w:rsidRPr="008D1200">
        <w:fldChar w:fldCharType="begin"/>
      </w:r>
      <w:r w:rsidRPr="008D1200">
        <w:instrText xml:space="preserve"> REF _Ref76468174 \r \h  \* MERGEFORMAT </w:instrText>
      </w:r>
      <w:r w:rsidRPr="008D1200">
        <w:fldChar w:fldCharType="separate"/>
      </w:r>
      <w:r w:rsidR="00302D39">
        <w:t>13.1</w:t>
      </w:r>
      <w:r w:rsidRPr="008D1200">
        <w:fldChar w:fldCharType="end"/>
      </w:r>
      <w:r w:rsidRPr="008D1200">
        <w:t xml:space="preserve"> (Importer’s obligations if it is subject to UK Data Protection Laws);</w:t>
      </w:r>
    </w:p>
    <w:p w14:paraId="42CDCDC3" w14:textId="1FB56AF0" w:rsidR="00F67E9E" w:rsidRPr="008D1200" w:rsidRDefault="00F67E9E" w:rsidP="00F67E9E">
      <w:pPr>
        <w:pStyle w:val="StdBodyText3"/>
        <w:numPr>
          <w:ilvl w:val="0"/>
          <w:numId w:val="292"/>
        </w:numPr>
        <w:ind w:left="2520" w:hanging="720"/>
      </w:pPr>
      <w:r w:rsidRPr="008D1200">
        <w:t xml:space="preserve">Section </w:t>
      </w:r>
      <w:r w:rsidRPr="008D1200">
        <w:fldChar w:fldCharType="begin"/>
      </w:r>
      <w:r w:rsidRPr="008D1200">
        <w:instrText xml:space="preserve"> REF  Section_17 \h \r  \* MERGEFORMAT </w:instrText>
      </w:r>
      <w:r w:rsidRPr="008D1200">
        <w:fldChar w:fldCharType="separate"/>
      </w:r>
      <w:r w:rsidR="00302D39">
        <w:t>17</w:t>
      </w:r>
      <w:r w:rsidRPr="008D1200">
        <w:fldChar w:fldCharType="end"/>
      </w:r>
      <w:r w:rsidRPr="008D1200">
        <w:t xml:space="preserve"> (</w:t>
      </w:r>
      <w:r w:rsidRPr="00DA61B5">
        <w:rPr>
          <w:i/>
          <w:iCs/>
        </w:rPr>
        <w:t>Importer’s responsibility if it authorised others to perform its obligations</w:t>
      </w:r>
      <w:r w:rsidRPr="008D1200">
        <w:t>);</w:t>
      </w:r>
    </w:p>
    <w:p w14:paraId="6C5B992A" w14:textId="2046817C" w:rsidR="00F67E9E" w:rsidRPr="008D1200" w:rsidRDefault="00F67E9E" w:rsidP="00F67E9E">
      <w:pPr>
        <w:pStyle w:val="StdBodyText3"/>
        <w:numPr>
          <w:ilvl w:val="0"/>
          <w:numId w:val="292"/>
        </w:numPr>
        <w:ind w:left="2520" w:hanging="720"/>
      </w:pPr>
      <w:r w:rsidRPr="008D1200">
        <w:t xml:space="preserve">Section </w:t>
      </w:r>
      <w:r w:rsidRPr="008D1200">
        <w:fldChar w:fldCharType="begin"/>
      </w:r>
      <w:r w:rsidRPr="008D1200">
        <w:instrText xml:space="preserve"> REF  Section_24 \h \r  \* MERGEFORMAT </w:instrText>
      </w:r>
      <w:r w:rsidRPr="008D1200">
        <w:fldChar w:fldCharType="separate"/>
      </w:r>
      <w:r w:rsidR="00302D39">
        <w:t>24</w:t>
      </w:r>
      <w:r w:rsidRPr="008D1200">
        <w:fldChar w:fldCharType="end"/>
      </w:r>
      <w:r w:rsidRPr="008D1200">
        <w:t xml:space="preserve"> (</w:t>
      </w:r>
      <w:r w:rsidRPr="00DA61B5">
        <w:rPr>
          <w:i/>
          <w:iCs/>
        </w:rPr>
        <w:t>Giving notice</w:t>
      </w:r>
      <w:r w:rsidRPr="008D1200">
        <w:t>);</w:t>
      </w:r>
    </w:p>
    <w:p w14:paraId="110FCC9B" w14:textId="3E0B5440" w:rsidR="00F67E9E" w:rsidRPr="008D1200" w:rsidRDefault="00F67E9E" w:rsidP="00F67E9E">
      <w:pPr>
        <w:pStyle w:val="StdBodyText3"/>
        <w:numPr>
          <w:ilvl w:val="0"/>
          <w:numId w:val="292"/>
        </w:numPr>
        <w:ind w:left="2520" w:hanging="720"/>
      </w:pPr>
      <w:r w:rsidRPr="008D1200">
        <w:t xml:space="preserve">Section </w:t>
      </w:r>
      <w:r w:rsidRPr="008D1200">
        <w:fldChar w:fldCharType="begin"/>
      </w:r>
      <w:r w:rsidRPr="008D1200">
        <w:instrText xml:space="preserve"> REF  Section_25 \h \r  \* MERGEFORMAT </w:instrText>
      </w:r>
      <w:r w:rsidRPr="008D1200">
        <w:fldChar w:fldCharType="separate"/>
      </w:r>
      <w:r w:rsidR="00302D39">
        <w:t>25</w:t>
      </w:r>
      <w:r w:rsidRPr="008D1200">
        <w:fldChar w:fldCharType="end"/>
      </w:r>
      <w:r w:rsidRPr="008D1200">
        <w:t xml:space="preserve"> (</w:t>
      </w:r>
      <w:r w:rsidRPr="00DA61B5">
        <w:rPr>
          <w:i/>
          <w:iCs/>
        </w:rPr>
        <w:t>General clauses</w:t>
      </w:r>
      <w:r w:rsidRPr="008D1200">
        <w:t>);</w:t>
      </w:r>
    </w:p>
    <w:p w14:paraId="262922F6" w14:textId="03822C16" w:rsidR="00F67E9E" w:rsidRPr="008D1200" w:rsidRDefault="00F67E9E" w:rsidP="00F67E9E">
      <w:pPr>
        <w:pStyle w:val="StdBodyText3"/>
        <w:numPr>
          <w:ilvl w:val="0"/>
          <w:numId w:val="292"/>
        </w:numPr>
        <w:ind w:left="2520" w:hanging="720"/>
      </w:pPr>
      <w:r w:rsidRPr="008D1200">
        <w:t xml:space="preserve">Section </w:t>
      </w:r>
      <w:r w:rsidRPr="008D1200">
        <w:fldChar w:fldCharType="begin"/>
      </w:r>
      <w:r w:rsidRPr="008D1200">
        <w:instrText xml:space="preserve"> REF  Section_31 \h \r  \* MERGEFORMAT </w:instrText>
      </w:r>
      <w:r w:rsidRPr="008D1200">
        <w:fldChar w:fldCharType="separate"/>
      </w:r>
      <w:r w:rsidR="00302D39">
        <w:t>31</w:t>
      </w:r>
      <w:r w:rsidRPr="008D1200">
        <w:fldChar w:fldCharType="end"/>
      </w:r>
      <w:r w:rsidRPr="008D1200">
        <w:t xml:space="preserve"> (</w:t>
      </w:r>
      <w:r w:rsidRPr="00DA61B5">
        <w:rPr>
          <w:i/>
          <w:iCs/>
        </w:rPr>
        <w:t>What must the Parties do when the IDTA ends</w:t>
      </w:r>
      <w:r w:rsidRPr="008D1200">
        <w:t>);</w:t>
      </w:r>
    </w:p>
    <w:p w14:paraId="132F0A3E" w14:textId="01F15FD1" w:rsidR="00F67E9E" w:rsidRPr="008D1200" w:rsidRDefault="00F67E9E" w:rsidP="00F67E9E">
      <w:pPr>
        <w:pStyle w:val="StdBodyText3"/>
        <w:numPr>
          <w:ilvl w:val="0"/>
          <w:numId w:val="292"/>
        </w:numPr>
        <w:ind w:left="2520" w:hanging="720"/>
      </w:pPr>
      <w:r w:rsidRPr="008D1200">
        <w:t xml:space="preserve">Section </w:t>
      </w:r>
      <w:r w:rsidRPr="008D1200">
        <w:fldChar w:fldCharType="begin"/>
      </w:r>
      <w:r w:rsidRPr="008D1200">
        <w:instrText xml:space="preserve"> REF  Section_32 \h \r  \* MERGEFORMAT </w:instrText>
      </w:r>
      <w:r w:rsidRPr="008D1200">
        <w:fldChar w:fldCharType="separate"/>
      </w:r>
      <w:r w:rsidR="00302D39">
        <w:t>32</w:t>
      </w:r>
      <w:r w:rsidRPr="008D1200">
        <w:fldChar w:fldCharType="end"/>
      </w:r>
      <w:r w:rsidRPr="008D1200">
        <w:t xml:space="preserve"> (</w:t>
      </w:r>
      <w:r w:rsidRPr="00DA61B5">
        <w:rPr>
          <w:i/>
          <w:iCs/>
        </w:rPr>
        <w:t>Your liability</w:t>
      </w:r>
      <w:r w:rsidRPr="008D1200">
        <w:t>);</w:t>
      </w:r>
    </w:p>
    <w:p w14:paraId="0EA89BF5" w14:textId="1F89D18F" w:rsidR="00F67E9E" w:rsidRPr="008D1200" w:rsidRDefault="00F67E9E" w:rsidP="00F67E9E">
      <w:pPr>
        <w:pStyle w:val="StdBodyText3"/>
        <w:numPr>
          <w:ilvl w:val="0"/>
          <w:numId w:val="292"/>
        </w:numPr>
        <w:ind w:left="2520" w:hanging="720"/>
      </w:pPr>
      <w:r w:rsidRPr="008D1200">
        <w:t xml:space="preserve">Section </w:t>
      </w:r>
      <w:r w:rsidRPr="008D1200">
        <w:fldChar w:fldCharType="begin"/>
      </w:r>
      <w:r w:rsidRPr="008D1200">
        <w:instrText xml:space="preserve"> REF  Section_33 \h \r  \* MERGEFORMAT </w:instrText>
      </w:r>
      <w:r w:rsidRPr="008D1200">
        <w:fldChar w:fldCharType="separate"/>
      </w:r>
      <w:r w:rsidR="00302D39">
        <w:t>33</w:t>
      </w:r>
      <w:r w:rsidRPr="008D1200">
        <w:fldChar w:fldCharType="end"/>
      </w:r>
      <w:r w:rsidRPr="008D1200">
        <w:t xml:space="preserve"> (</w:t>
      </w:r>
      <w:r w:rsidRPr="00DA61B5">
        <w:rPr>
          <w:i/>
          <w:iCs/>
        </w:rPr>
        <w:t>How Relevant Data Subjects and the ICO may bring legal claims</w:t>
      </w:r>
      <w:r w:rsidRPr="008D1200">
        <w:t>);</w:t>
      </w:r>
    </w:p>
    <w:p w14:paraId="7573B8A7" w14:textId="7921DACF" w:rsidR="00F67E9E" w:rsidRPr="008D1200" w:rsidRDefault="00F67E9E" w:rsidP="00F67E9E">
      <w:pPr>
        <w:pStyle w:val="StdBodyText3"/>
        <w:numPr>
          <w:ilvl w:val="0"/>
          <w:numId w:val="292"/>
        </w:numPr>
        <w:ind w:left="2520" w:hanging="720"/>
      </w:pPr>
      <w:r w:rsidRPr="008D1200">
        <w:t xml:space="preserve">Section </w:t>
      </w:r>
      <w:r w:rsidRPr="008D1200">
        <w:fldChar w:fldCharType="begin"/>
      </w:r>
      <w:r w:rsidRPr="008D1200">
        <w:instrText xml:space="preserve"> REF  Section_34 \h \r  \* MERGEFORMAT </w:instrText>
      </w:r>
      <w:r w:rsidRPr="008D1200">
        <w:fldChar w:fldCharType="separate"/>
      </w:r>
      <w:r w:rsidR="00302D39">
        <w:t>34</w:t>
      </w:r>
      <w:r w:rsidRPr="008D1200">
        <w:fldChar w:fldCharType="end"/>
      </w:r>
      <w:r w:rsidRPr="008D1200">
        <w:t xml:space="preserve"> (</w:t>
      </w:r>
      <w:r w:rsidRPr="00DA61B5">
        <w:rPr>
          <w:i/>
          <w:iCs/>
        </w:rPr>
        <w:t>Courts legal claims can be brought in</w:t>
      </w:r>
      <w:r w:rsidRPr="008D1200">
        <w:t>);</w:t>
      </w:r>
    </w:p>
    <w:p w14:paraId="737FD6C6" w14:textId="42109F95" w:rsidR="00F67E9E" w:rsidRPr="008D1200" w:rsidRDefault="00F67E9E" w:rsidP="00F67E9E">
      <w:pPr>
        <w:pStyle w:val="StdBodyText3"/>
        <w:numPr>
          <w:ilvl w:val="0"/>
          <w:numId w:val="292"/>
        </w:numPr>
        <w:ind w:left="2520" w:hanging="720"/>
      </w:pPr>
      <w:r w:rsidRPr="008D1200">
        <w:t xml:space="preserve">Section </w:t>
      </w:r>
      <w:r w:rsidRPr="008D1200">
        <w:fldChar w:fldCharType="begin"/>
      </w:r>
      <w:r w:rsidRPr="008D1200">
        <w:instrText xml:space="preserve"> REF  Section_35 \h \r  \* MERGEFORMAT </w:instrText>
      </w:r>
      <w:r w:rsidRPr="008D1200">
        <w:fldChar w:fldCharType="separate"/>
      </w:r>
      <w:r w:rsidR="00302D39">
        <w:t>35</w:t>
      </w:r>
      <w:r w:rsidRPr="008D1200">
        <w:fldChar w:fldCharType="end"/>
      </w:r>
      <w:r w:rsidRPr="008D1200">
        <w:t xml:space="preserve"> (</w:t>
      </w:r>
      <w:r w:rsidRPr="00DA61B5">
        <w:rPr>
          <w:i/>
          <w:iCs/>
        </w:rPr>
        <w:t>Arbitration</w:t>
      </w:r>
      <w:r w:rsidRPr="008D1200">
        <w:t>); and</w:t>
      </w:r>
    </w:p>
    <w:p w14:paraId="0A5F70BB" w14:textId="74735322" w:rsidR="00F67E9E" w:rsidRPr="008D1200" w:rsidRDefault="00F67E9E" w:rsidP="00F67E9E">
      <w:pPr>
        <w:pStyle w:val="StdBodyText3"/>
        <w:numPr>
          <w:ilvl w:val="0"/>
          <w:numId w:val="292"/>
        </w:numPr>
        <w:ind w:left="2520" w:hanging="720"/>
      </w:pPr>
      <w:r w:rsidRPr="008D1200">
        <w:t xml:space="preserve">Section </w:t>
      </w:r>
      <w:r w:rsidRPr="008D1200">
        <w:fldChar w:fldCharType="begin"/>
      </w:r>
      <w:r w:rsidRPr="008D1200">
        <w:instrText xml:space="preserve"> REF  Section_36 \h \r  \* MERGEFORMAT </w:instrText>
      </w:r>
      <w:r w:rsidRPr="008D1200">
        <w:fldChar w:fldCharType="separate"/>
      </w:r>
      <w:r w:rsidR="00302D39">
        <w:t>36</w:t>
      </w:r>
      <w:r w:rsidRPr="008D1200">
        <w:fldChar w:fldCharType="end"/>
      </w:r>
      <w:r w:rsidRPr="008D1200">
        <w:t xml:space="preserve"> (</w:t>
      </w:r>
      <w:r w:rsidRPr="00DA61B5">
        <w:rPr>
          <w:i/>
          <w:iCs/>
        </w:rPr>
        <w:t>Legal Glossary</w:t>
      </w:r>
      <w:r w:rsidRPr="008D1200">
        <w:t>).</w:t>
      </w:r>
    </w:p>
    <w:p w14:paraId="0A7460B9" w14:textId="77777777" w:rsidR="00F67E9E" w:rsidRPr="00D515BC" w:rsidRDefault="00F67E9E" w:rsidP="00F67E9E">
      <w:pPr>
        <w:pStyle w:val="StdBodyText2"/>
        <w:keepNext/>
        <w:ind w:left="0"/>
        <w:rPr>
          <w:b/>
          <w:bCs/>
        </w:rPr>
      </w:pPr>
      <w:r w:rsidRPr="00D515BC">
        <w:rPr>
          <w:b/>
          <w:bCs/>
        </w:rPr>
        <w:t>How to bring a legal claim under this IDTA</w:t>
      </w:r>
    </w:p>
    <w:p w14:paraId="2DAF41D2" w14:textId="77777777" w:rsidR="00F67E9E" w:rsidRPr="0089622E" w:rsidRDefault="00F67E9E" w:rsidP="00F67E9E">
      <w:pPr>
        <w:pStyle w:val="AppendixText1"/>
      </w:pPr>
      <w:bookmarkStart w:id="3123" w:name="Section_32"/>
      <w:bookmarkEnd w:id="3123"/>
      <w:r w:rsidRPr="0089622E">
        <w:t>Your liability</w:t>
      </w:r>
    </w:p>
    <w:p w14:paraId="377CDA00" w14:textId="77777777" w:rsidR="00F67E9E" w:rsidRPr="004E3B86" w:rsidRDefault="00F67E9E" w:rsidP="00F67E9E">
      <w:pPr>
        <w:pStyle w:val="AppendixText2"/>
      </w:pPr>
      <w:bookmarkStart w:id="3124" w:name="_Toc79405556"/>
      <w:bookmarkStart w:id="3125" w:name="_Ref70744805"/>
      <w:r w:rsidRPr="0089622E">
        <w:t xml:space="preserve">The Parties remain fully liable to Relevant Data Subjects for fulfilling their obligations under this </w:t>
      </w:r>
      <w:r w:rsidRPr="004E3B86">
        <w:t>IDTA and (if they apply) under UK Data Protection Laws.</w:t>
      </w:r>
      <w:bookmarkEnd w:id="3124"/>
    </w:p>
    <w:p w14:paraId="4BC3FB21" w14:textId="77777777" w:rsidR="00F67E9E" w:rsidRPr="0089622E" w:rsidRDefault="00F67E9E" w:rsidP="00F67E9E">
      <w:pPr>
        <w:pStyle w:val="AppendixText2"/>
      </w:pPr>
      <w:bookmarkStart w:id="3126" w:name="_Ref76447924"/>
      <w:bookmarkStart w:id="3127" w:name="_Toc79405557"/>
      <w:r w:rsidRPr="004E3B86">
        <w:t>Each Party (in this Section, “Party One”) agrees to be fully liable to Relevant Data Subjects for the en</w:t>
      </w:r>
      <w:r w:rsidRPr="0089622E">
        <w:t>tire damage suffered by the</w:t>
      </w:r>
      <w:bookmarkEnd w:id="3126"/>
      <w:r w:rsidRPr="0089622E">
        <w:t xml:space="preserve"> Relevant Data Subject, caused directly or indirectly by:</w:t>
      </w:r>
      <w:bookmarkEnd w:id="3127"/>
    </w:p>
    <w:p w14:paraId="3886059E" w14:textId="77777777" w:rsidR="00F67E9E" w:rsidRPr="004E3B86" w:rsidRDefault="00F67E9E" w:rsidP="00F67E9E">
      <w:pPr>
        <w:pStyle w:val="AppendixText3"/>
      </w:pPr>
      <w:r w:rsidRPr="0089622E">
        <w:t xml:space="preserve">Party </w:t>
      </w:r>
      <w:r w:rsidRPr="004E3B86">
        <w:t xml:space="preserve">One’s breach of this IDTA; and/or </w:t>
      </w:r>
    </w:p>
    <w:p w14:paraId="08925611" w14:textId="77777777" w:rsidR="00F67E9E" w:rsidRPr="004E3B86" w:rsidRDefault="00F67E9E" w:rsidP="00F67E9E">
      <w:pPr>
        <w:pStyle w:val="AppendixText3"/>
      </w:pPr>
      <w:bookmarkStart w:id="3128" w:name="_Hlk89228164"/>
      <w:r w:rsidRPr="004E3B86">
        <w:t>where Party One is a Processor, Party One’s breach of any provisions regarding its Processing of the Transferred Data in the Linked Agreement;</w:t>
      </w:r>
    </w:p>
    <w:p w14:paraId="70FC9194" w14:textId="77777777" w:rsidR="00F67E9E" w:rsidRPr="0089622E" w:rsidRDefault="00F67E9E" w:rsidP="00F67E9E">
      <w:pPr>
        <w:pStyle w:val="AppendixText3"/>
      </w:pPr>
      <w:bookmarkStart w:id="3129" w:name="_Hlk89228203"/>
      <w:bookmarkEnd w:id="3128"/>
      <w:r w:rsidRPr="004E3B86">
        <w:t>where Party</w:t>
      </w:r>
      <w:r w:rsidRPr="0089622E">
        <w:t xml:space="preserve"> One is a Controller, </w:t>
      </w:r>
      <w:bookmarkEnd w:id="3129"/>
      <w:r w:rsidRPr="0089622E">
        <w:t xml:space="preserve">a breach of this IDTA by the other Party if it involves Party One’s Processing of the Transferred Data (no matter how minimal) </w:t>
      </w:r>
    </w:p>
    <w:p w14:paraId="2469DEF1" w14:textId="77777777" w:rsidR="00F67E9E" w:rsidRPr="0089622E" w:rsidRDefault="00F67E9E" w:rsidP="00F67E9E">
      <w:pPr>
        <w:pStyle w:val="AppendixText2continued"/>
        <w:ind w:left="720"/>
      </w:pPr>
      <w:r w:rsidRPr="0089622E">
        <w:t>in each case unless Party One can prove it is not in any way responsible for the event giving rise to the damage.</w:t>
      </w:r>
    </w:p>
    <w:p w14:paraId="0C9A86EA" w14:textId="20BBD4E3" w:rsidR="00F67E9E" w:rsidRPr="0089622E" w:rsidRDefault="00F67E9E" w:rsidP="00F67E9E">
      <w:pPr>
        <w:pStyle w:val="AppendixText2"/>
      </w:pPr>
      <w:bookmarkStart w:id="3130" w:name="_Toc79405558"/>
      <w:r w:rsidRPr="0089622E">
        <w:t xml:space="preserve">If one Party has paid compensation to a Relevant Data Subject under Section </w:t>
      </w:r>
      <w:r w:rsidRPr="0089622E">
        <w:fldChar w:fldCharType="begin"/>
      </w:r>
      <w:r w:rsidRPr="0089622E">
        <w:instrText xml:space="preserve"> REF _Ref76447924 \r \h  \* MERGEFORMAT </w:instrText>
      </w:r>
      <w:r w:rsidRPr="0089622E">
        <w:fldChar w:fldCharType="separate"/>
      </w:r>
      <w:r w:rsidR="00302D39">
        <w:t>32.2</w:t>
      </w:r>
      <w:r w:rsidRPr="0089622E">
        <w:fldChar w:fldCharType="end"/>
      </w:r>
      <w:r w:rsidRPr="0089622E">
        <w:t>, it is entitled to claim back from the other Party that part of the compensation corresponding to the other Party’s responsibility for the damage, so that the compensation is fairly divided between the Parties.</w:t>
      </w:r>
      <w:bookmarkEnd w:id="3130"/>
      <w:r w:rsidRPr="0089622E">
        <w:t xml:space="preserve"> </w:t>
      </w:r>
    </w:p>
    <w:p w14:paraId="1F367DCD" w14:textId="77777777" w:rsidR="00F67E9E" w:rsidRPr="0089622E" w:rsidRDefault="00F67E9E" w:rsidP="00F67E9E">
      <w:pPr>
        <w:pStyle w:val="AppendixText2"/>
      </w:pPr>
      <w:bookmarkStart w:id="3131" w:name="_Toc79405559"/>
      <w:r w:rsidRPr="0089622E">
        <w:t>The Parties do not exclude or restrict their liability under this IDTA or UK Data Protection Laws, on the basis that they have authorised anyone who is not a Party (including a Processor) to perform any of their obligations, and they will remain responsible for performing those obligations.</w:t>
      </w:r>
      <w:bookmarkEnd w:id="3131"/>
      <w:r w:rsidRPr="0089622E">
        <w:t xml:space="preserve"> </w:t>
      </w:r>
    </w:p>
    <w:p w14:paraId="0884DD32" w14:textId="77777777" w:rsidR="00F67E9E" w:rsidRPr="0089622E" w:rsidRDefault="00F67E9E" w:rsidP="00F67E9E">
      <w:pPr>
        <w:pStyle w:val="AppendixText1"/>
      </w:pPr>
      <w:bookmarkStart w:id="3132" w:name="Section_33"/>
      <w:bookmarkEnd w:id="3132"/>
      <w:r w:rsidRPr="0089622E">
        <w:t>How Relevant Data Subjects and the ICO may bring legal claims</w:t>
      </w:r>
    </w:p>
    <w:p w14:paraId="6C2671B9" w14:textId="77777777" w:rsidR="00F67E9E" w:rsidRPr="0089622E" w:rsidRDefault="00F67E9E" w:rsidP="00F67E9E">
      <w:pPr>
        <w:pStyle w:val="AppendixText2"/>
      </w:pPr>
      <w:bookmarkStart w:id="3133" w:name="_Toc79405561"/>
      <w:bookmarkStart w:id="3134" w:name="_Ref71155220"/>
      <w:bookmarkEnd w:id="3125"/>
      <w:r w:rsidRPr="0089622E">
        <w:t xml:space="preserve">The Relevant Data Subjects are entitled to bring claims against the Exporter and/or Importer for breach of the </w:t>
      </w:r>
      <w:r w:rsidRPr="004E3B86">
        <w:t>following</w:t>
      </w:r>
      <w:r w:rsidRPr="0089622E">
        <w:t xml:space="preserve"> (including where their Processing of the Transferred Data is involved in a breach of the following by either Party):</w:t>
      </w:r>
      <w:bookmarkEnd w:id="3133"/>
    </w:p>
    <w:p w14:paraId="19E5A6A4" w14:textId="7A4A44EE" w:rsidR="00F67E9E" w:rsidRPr="00B64518" w:rsidRDefault="00F67E9E" w:rsidP="00F67E9E">
      <w:pPr>
        <w:pStyle w:val="StdBodyText1"/>
        <w:numPr>
          <w:ilvl w:val="0"/>
          <w:numId w:val="291"/>
        </w:numPr>
        <w:ind w:hanging="720"/>
      </w:pPr>
      <w:r w:rsidRPr="008A1110">
        <w:t xml:space="preserve">Section </w:t>
      </w:r>
      <w:r w:rsidRPr="008A1110">
        <w:fldChar w:fldCharType="begin"/>
      </w:r>
      <w:r w:rsidRPr="008A1110">
        <w:instrText xml:space="preserve"> REF  Section_1 \h \r  \* MERGEFORMAT </w:instrText>
      </w:r>
      <w:r w:rsidRPr="008A1110">
        <w:fldChar w:fldCharType="separate"/>
      </w:r>
      <w:r w:rsidR="00302D39">
        <w:t>1</w:t>
      </w:r>
      <w:r w:rsidRPr="008A1110">
        <w:fldChar w:fldCharType="end"/>
      </w:r>
      <w:r w:rsidRPr="00B64518">
        <w:t xml:space="preserve"> (</w:t>
      </w:r>
      <w:r w:rsidRPr="00703CA0">
        <w:rPr>
          <w:i/>
          <w:iCs/>
        </w:rPr>
        <w:t>This IDTA and Linked Agreements</w:t>
      </w:r>
      <w:r w:rsidRPr="00B64518">
        <w:t>);</w:t>
      </w:r>
    </w:p>
    <w:p w14:paraId="1A36B2BA" w14:textId="4620F922" w:rsidR="00F67E9E" w:rsidRPr="00B64518" w:rsidRDefault="00F67E9E" w:rsidP="00F67E9E">
      <w:pPr>
        <w:pStyle w:val="StdBodyText1"/>
        <w:numPr>
          <w:ilvl w:val="0"/>
          <w:numId w:val="291"/>
        </w:numPr>
        <w:ind w:hanging="720"/>
      </w:pPr>
      <w:r w:rsidRPr="008A1110">
        <w:t>Section</w:t>
      </w:r>
      <w:bookmarkEnd w:id="3134"/>
      <w:r w:rsidRPr="008A1110">
        <w:t xml:space="preserve"> </w:t>
      </w:r>
      <w:r w:rsidRPr="008A1110">
        <w:fldChar w:fldCharType="begin"/>
      </w:r>
      <w:r w:rsidRPr="008A1110">
        <w:instrText xml:space="preserve"> REF  Section_3 \h \r  \* MERGEFORMAT </w:instrText>
      </w:r>
      <w:r w:rsidRPr="008A1110">
        <w:fldChar w:fldCharType="separate"/>
      </w:r>
      <w:r w:rsidR="00302D39">
        <w:t>3</w:t>
      </w:r>
      <w:r w:rsidRPr="008A1110">
        <w:fldChar w:fldCharType="end"/>
      </w:r>
      <w:r w:rsidRPr="00B64518">
        <w:t xml:space="preserve"> (</w:t>
      </w:r>
      <w:r w:rsidRPr="00703CA0">
        <w:rPr>
          <w:i/>
          <w:iCs/>
        </w:rPr>
        <w:t>You have provided all the information required by Part one: Tables and Part two: Extra Protection Clauses</w:t>
      </w:r>
      <w:r w:rsidRPr="00B64518">
        <w:t>);</w:t>
      </w:r>
    </w:p>
    <w:p w14:paraId="3F73588C" w14:textId="490CB6AC" w:rsidR="00F67E9E" w:rsidRPr="00B64518" w:rsidRDefault="00F67E9E" w:rsidP="00F67E9E">
      <w:pPr>
        <w:pStyle w:val="StdBodyText1"/>
        <w:numPr>
          <w:ilvl w:val="0"/>
          <w:numId w:val="291"/>
        </w:numPr>
        <w:ind w:hanging="720"/>
      </w:pPr>
      <w:r w:rsidRPr="008A1110">
        <w:t xml:space="preserve">Section </w:t>
      </w:r>
      <w:r w:rsidRPr="008A1110">
        <w:fldChar w:fldCharType="begin"/>
      </w:r>
      <w:r w:rsidRPr="008A1110">
        <w:instrText xml:space="preserve"> REF  Section_8 \h \r  \* MERGEFORMAT </w:instrText>
      </w:r>
      <w:r w:rsidRPr="008A1110">
        <w:fldChar w:fldCharType="separate"/>
      </w:r>
      <w:r w:rsidR="00302D39">
        <w:t>8</w:t>
      </w:r>
      <w:r w:rsidRPr="008A1110">
        <w:fldChar w:fldCharType="end"/>
      </w:r>
      <w:r w:rsidRPr="008A1110">
        <w:t xml:space="preserve"> </w:t>
      </w:r>
      <w:r w:rsidRPr="00B64518">
        <w:t>(</w:t>
      </w:r>
      <w:r w:rsidRPr="00703CA0">
        <w:rPr>
          <w:i/>
          <w:iCs/>
        </w:rPr>
        <w:t>The Appropriate Safeguards</w:t>
      </w:r>
      <w:r w:rsidRPr="00B64518">
        <w:t>);</w:t>
      </w:r>
    </w:p>
    <w:p w14:paraId="4718B792" w14:textId="3A2C13FB" w:rsidR="00F67E9E" w:rsidRPr="00B64518" w:rsidRDefault="00F67E9E" w:rsidP="00F67E9E">
      <w:pPr>
        <w:pStyle w:val="StdBodyText1"/>
        <w:numPr>
          <w:ilvl w:val="0"/>
          <w:numId w:val="291"/>
        </w:numPr>
        <w:ind w:hanging="720"/>
      </w:pPr>
      <w:r w:rsidRPr="008A1110">
        <w:t xml:space="preserve">Section </w:t>
      </w:r>
      <w:r w:rsidRPr="008A1110">
        <w:fldChar w:fldCharType="begin"/>
      </w:r>
      <w:r w:rsidRPr="008A1110">
        <w:instrText xml:space="preserve"> REF  Section_9 \h \r  \* MERGEFORMAT </w:instrText>
      </w:r>
      <w:r w:rsidRPr="008A1110">
        <w:fldChar w:fldCharType="separate"/>
      </w:r>
      <w:r w:rsidR="00302D39">
        <w:t>9</w:t>
      </w:r>
      <w:r w:rsidRPr="008A1110">
        <w:fldChar w:fldCharType="end"/>
      </w:r>
      <w:r w:rsidRPr="008A1110">
        <w:t xml:space="preserve"> </w:t>
      </w:r>
      <w:r w:rsidRPr="00B64518">
        <w:t>(</w:t>
      </w:r>
      <w:r w:rsidRPr="00703CA0">
        <w:rPr>
          <w:i/>
          <w:iCs/>
        </w:rPr>
        <w:t>Reviews to ensure the Appropriate Safeguards continue</w:t>
      </w:r>
      <w:r w:rsidRPr="00B64518">
        <w:t>);</w:t>
      </w:r>
    </w:p>
    <w:p w14:paraId="1A47252C" w14:textId="5E2D5829" w:rsidR="00F67E9E" w:rsidRPr="00B64518" w:rsidRDefault="00F67E9E" w:rsidP="00F67E9E">
      <w:pPr>
        <w:pStyle w:val="StdBodyText1"/>
        <w:numPr>
          <w:ilvl w:val="0"/>
          <w:numId w:val="291"/>
        </w:numPr>
        <w:ind w:hanging="720"/>
      </w:pPr>
      <w:r w:rsidRPr="008A1110">
        <w:t xml:space="preserve">Section </w:t>
      </w:r>
      <w:r w:rsidRPr="008A1110">
        <w:fldChar w:fldCharType="begin"/>
      </w:r>
      <w:r w:rsidRPr="008A1110">
        <w:instrText xml:space="preserve"> REF  Section_11 \h \r  \* MERGEFORMAT </w:instrText>
      </w:r>
      <w:r w:rsidRPr="008A1110">
        <w:fldChar w:fldCharType="separate"/>
      </w:r>
      <w:r w:rsidR="00302D39">
        <w:t>11</w:t>
      </w:r>
      <w:r w:rsidRPr="008A1110">
        <w:fldChar w:fldCharType="end"/>
      </w:r>
      <w:r w:rsidRPr="00B64518">
        <w:t xml:space="preserve"> (</w:t>
      </w:r>
      <w:r w:rsidRPr="00973F9D">
        <w:rPr>
          <w:i/>
          <w:iCs/>
        </w:rPr>
        <w:t>Exporter’s obligations</w:t>
      </w:r>
      <w:r w:rsidRPr="00B64518">
        <w:t>);</w:t>
      </w:r>
    </w:p>
    <w:p w14:paraId="3669C740" w14:textId="57D68AA3" w:rsidR="00F67E9E" w:rsidRPr="00B64518" w:rsidRDefault="00F67E9E" w:rsidP="00F67E9E">
      <w:pPr>
        <w:pStyle w:val="StdBodyText1"/>
        <w:numPr>
          <w:ilvl w:val="0"/>
          <w:numId w:val="291"/>
        </w:numPr>
        <w:ind w:hanging="720"/>
      </w:pPr>
      <w:r w:rsidRPr="008A1110">
        <w:t xml:space="preserve">Section </w:t>
      </w:r>
      <w:r w:rsidRPr="008A1110">
        <w:fldChar w:fldCharType="begin"/>
      </w:r>
      <w:r w:rsidRPr="008A1110">
        <w:instrText xml:space="preserve"> REF  Section_12 \h \r  \* MERGEFORMAT </w:instrText>
      </w:r>
      <w:r w:rsidRPr="008A1110">
        <w:fldChar w:fldCharType="separate"/>
      </w:r>
      <w:r w:rsidR="00302D39">
        <w:t>12</w:t>
      </w:r>
      <w:r w:rsidRPr="008A1110">
        <w:fldChar w:fldCharType="end"/>
      </w:r>
      <w:r w:rsidRPr="00B64518">
        <w:t xml:space="preserve"> (</w:t>
      </w:r>
      <w:r w:rsidRPr="00973F9D">
        <w:rPr>
          <w:i/>
          <w:iCs/>
        </w:rPr>
        <w:t>General Importer Obligations</w:t>
      </w:r>
      <w:r w:rsidRPr="00B64518">
        <w:t>);</w:t>
      </w:r>
    </w:p>
    <w:p w14:paraId="130DB9EB" w14:textId="54E1E871" w:rsidR="00F67E9E" w:rsidRPr="00B64518" w:rsidRDefault="00F67E9E" w:rsidP="00F67E9E">
      <w:pPr>
        <w:pStyle w:val="StdBodyText1"/>
        <w:numPr>
          <w:ilvl w:val="0"/>
          <w:numId w:val="291"/>
        </w:numPr>
        <w:ind w:hanging="720"/>
      </w:pPr>
      <w:r w:rsidRPr="008A1110">
        <w:t xml:space="preserve">Section </w:t>
      </w:r>
      <w:r w:rsidRPr="008A1110">
        <w:fldChar w:fldCharType="begin"/>
      </w:r>
      <w:r w:rsidRPr="008A1110">
        <w:instrText xml:space="preserve"> REF  Section_13 \h \r  \* MERGEFORMAT </w:instrText>
      </w:r>
      <w:r w:rsidRPr="008A1110">
        <w:fldChar w:fldCharType="separate"/>
      </w:r>
      <w:r w:rsidR="00302D39">
        <w:t>13</w:t>
      </w:r>
      <w:r w:rsidRPr="008A1110">
        <w:fldChar w:fldCharType="end"/>
      </w:r>
      <w:r w:rsidRPr="00B64518">
        <w:t xml:space="preserve"> (</w:t>
      </w:r>
      <w:r w:rsidRPr="00973F9D">
        <w:rPr>
          <w:i/>
          <w:iCs/>
        </w:rPr>
        <w:t>Importer’s obligations if it is subject to UK Data Protection Laws</w:t>
      </w:r>
      <w:r w:rsidRPr="00B64518">
        <w:t>);</w:t>
      </w:r>
    </w:p>
    <w:p w14:paraId="10A233C8" w14:textId="68407683" w:rsidR="00F67E9E" w:rsidRPr="00B64518" w:rsidRDefault="00F67E9E" w:rsidP="00F67E9E">
      <w:pPr>
        <w:pStyle w:val="StdBodyText1"/>
        <w:numPr>
          <w:ilvl w:val="0"/>
          <w:numId w:val="291"/>
        </w:numPr>
        <w:ind w:hanging="720"/>
      </w:pPr>
      <w:r w:rsidRPr="008A1110">
        <w:t xml:space="preserve">Section </w:t>
      </w:r>
      <w:r w:rsidRPr="008A1110">
        <w:fldChar w:fldCharType="begin"/>
      </w:r>
      <w:r w:rsidRPr="008A1110">
        <w:instrText xml:space="preserve"> REF  Section_14 \h \r  \* MERGEFORMAT </w:instrText>
      </w:r>
      <w:r w:rsidRPr="008A1110">
        <w:fldChar w:fldCharType="separate"/>
      </w:r>
      <w:r w:rsidR="00302D39">
        <w:t>14</w:t>
      </w:r>
      <w:r w:rsidRPr="008A1110">
        <w:fldChar w:fldCharType="end"/>
      </w:r>
      <w:r w:rsidRPr="00B64518">
        <w:t xml:space="preserve"> (</w:t>
      </w:r>
      <w:r w:rsidRPr="00973F9D">
        <w:rPr>
          <w:i/>
          <w:iCs/>
        </w:rPr>
        <w:t>Importer’s obligations to comply with key data protection laws</w:t>
      </w:r>
      <w:r w:rsidRPr="00B64518">
        <w:t>);</w:t>
      </w:r>
    </w:p>
    <w:p w14:paraId="39A9371B" w14:textId="4813F286" w:rsidR="00F67E9E" w:rsidRPr="00B64518" w:rsidRDefault="00F67E9E" w:rsidP="00F67E9E">
      <w:pPr>
        <w:pStyle w:val="StdBodyText1"/>
        <w:numPr>
          <w:ilvl w:val="0"/>
          <w:numId w:val="291"/>
        </w:numPr>
        <w:ind w:hanging="720"/>
      </w:pPr>
      <w:r w:rsidRPr="008A1110">
        <w:t xml:space="preserve">Section </w:t>
      </w:r>
      <w:r w:rsidRPr="008A1110">
        <w:fldChar w:fldCharType="begin"/>
      </w:r>
      <w:r w:rsidRPr="008A1110">
        <w:instrText xml:space="preserve"> REF  Section_15 \h \r  \* MERGEFORMAT </w:instrText>
      </w:r>
      <w:r w:rsidRPr="008A1110">
        <w:fldChar w:fldCharType="separate"/>
      </w:r>
      <w:r w:rsidR="00302D39">
        <w:t>15</w:t>
      </w:r>
      <w:r w:rsidRPr="008A1110">
        <w:fldChar w:fldCharType="end"/>
      </w:r>
      <w:r w:rsidRPr="008A1110">
        <w:t xml:space="preserve"> </w:t>
      </w:r>
      <w:r w:rsidRPr="00B64518">
        <w:t>(</w:t>
      </w:r>
      <w:r w:rsidRPr="00973F9D">
        <w:rPr>
          <w:i/>
          <w:iCs/>
        </w:rPr>
        <w:t xml:space="preserve">What happens if there is an Importer </w:t>
      </w:r>
      <w:r>
        <w:rPr>
          <w:i/>
          <w:iCs/>
        </w:rPr>
        <w:t>Data Loss Event</w:t>
      </w:r>
      <w:r w:rsidRPr="00B64518">
        <w:t>);</w:t>
      </w:r>
    </w:p>
    <w:p w14:paraId="2BB3CA2C" w14:textId="38E6762E" w:rsidR="00F67E9E" w:rsidRPr="00B64518" w:rsidRDefault="00F67E9E" w:rsidP="00F67E9E">
      <w:pPr>
        <w:pStyle w:val="StdBodyText1"/>
        <w:numPr>
          <w:ilvl w:val="0"/>
          <w:numId w:val="291"/>
        </w:numPr>
        <w:ind w:hanging="720"/>
      </w:pPr>
      <w:r w:rsidRPr="008A1110">
        <w:t xml:space="preserve">Section </w:t>
      </w:r>
      <w:r w:rsidRPr="008A1110">
        <w:fldChar w:fldCharType="begin"/>
      </w:r>
      <w:r w:rsidRPr="008A1110">
        <w:instrText xml:space="preserve"> REF  Section_16 \h \r  \* MERGEFORMAT </w:instrText>
      </w:r>
      <w:r w:rsidRPr="008A1110">
        <w:fldChar w:fldCharType="separate"/>
      </w:r>
      <w:r w:rsidR="00302D39">
        <w:t>16</w:t>
      </w:r>
      <w:r w:rsidRPr="008A1110">
        <w:fldChar w:fldCharType="end"/>
      </w:r>
      <w:r w:rsidRPr="00B64518">
        <w:t xml:space="preserve"> (</w:t>
      </w:r>
      <w:r w:rsidRPr="00973F9D">
        <w:rPr>
          <w:i/>
          <w:iCs/>
        </w:rPr>
        <w:t>Transferring on the Transferred Data</w:t>
      </w:r>
      <w:r w:rsidRPr="00B64518">
        <w:t>);</w:t>
      </w:r>
    </w:p>
    <w:p w14:paraId="2B5FB8C7" w14:textId="389BC10A" w:rsidR="00F67E9E" w:rsidRPr="00B64518" w:rsidRDefault="00F67E9E" w:rsidP="00F67E9E">
      <w:pPr>
        <w:pStyle w:val="StdBodyText1"/>
        <w:numPr>
          <w:ilvl w:val="0"/>
          <w:numId w:val="291"/>
        </w:numPr>
        <w:ind w:hanging="720"/>
      </w:pPr>
      <w:r w:rsidRPr="008A1110">
        <w:t xml:space="preserve">Section </w:t>
      </w:r>
      <w:r w:rsidRPr="008A1110">
        <w:fldChar w:fldCharType="begin"/>
      </w:r>
      <w:r w:rsidRPr="008A1110">
        <w:instrText xml:space="preserve"> REF  Section_17 \h \r  \* MERGEFORMAT </w:instrText>
      </w:r>
      <w:r w:rsidRPr="008A1110">
        <w:fldChar w:fldCharType="separate"/>
      </w:r>
      <w:r w:rsidR="00302D39">
        <w:t>17</w:t>
      </w:r>
      <w:r w:rsidRPr="008A1110">
        <w:fldChar w:fldCharType="end"/>
      </w:r>
      <w:r w:rsidRPr="00B64518">
        <w:t xml:space="preserve"> (</w:t>
      </w:r>
      <w:r w:rsidRPr="00973F9D">
        <w:rPr>
          <w:i/>
          <w:iCs/>
        </w:rPr>
        <w:t>Importer’s responsibility if it authorises others to perform its obligations</w:t>
      </w:r>
      <w:r w:rsidRPr="00B64518">
        <w:t>);</w:t>
      </w:r>
    </w:p>
    <w:p w14:paraId="12406604" w14:textId="7B987C90" w:rsidR="00F67E9E" w:rsidRPr="00B64518" w:rsidRDefault="00F67E9E" w:rsidP="00F67E9E">
      <w:pPr>
        <w:pStyle w:val="StdBodyText1"/>
        <w:numPr>
          <w:ilvl w:val="0"/>
          <w:numId w:val="291"/>
        </w:numPr>
        <w:ind w:hanging="720"/>
      </w:pPr>
      <w:r w:rsidRPr="008A1110">
        <w:t xml:space="preserve">Section </w:t>
      </w:r>
      <w:r w:rsidRPr="008A1110">
        <w:fldChar w:fldCharType="begin"/>
      </w:r>
      <w:r w:rsidRPr="008A1110">
        <w:instrText xml:space="preserve"> REF  Section_18 \h \r  \* MERGEFORMAT </w:instrText>
      </w:r>
      <w:r w:rsidRPr="008A1110">
        <w:fldChar w:fldCharType="separate"/>
      </w:r>
      <w:r w:rsidR="00302D39">
        <w:t>18</w:t>
      </w:r>
      <w:r w:rsidRPr="008A1110">
        <w:fldChar w:fldCharType="end"/>
      </w:r>
      <w:r w:rsidRPr="00B64518">
        <w:t xml:space="preserve"> (</w:t>
      </w:r>
      <w:r w:rsidRPr="00973F9D">
        <w:rPr>
          <w:i/>
          <w:iCs/>
        </w:rPr>
        <w:t>The right to a copy of the IDTA</w:t>
      </w:r>
      <w:r w:rsidRPr="00B64518">
        <w:t>);</w:t>
      </w:r>
    </w:p>
    <w:p w14:paraId="4B965203" w14:textId="38EE10B8" w:rsidR="00F67E9E" w:rsidRPr="00B64518" w:rsidRDefault="00F67E9E" w:rsidP="00F67E9E">
      <w:pPr>
        <w:pStyle w:val="StdBodyText1"/>
        <w:numPr>
          <w:ilvl w:val="0"/>
          <w:numId w:val="291"/>
        </w:numPr>
        <w:ind w:hanging="720"/>
      </w:pPr>
      <w:r w:rsidRPr="008A1110">
        <w:t xml:space="preserve">Section </w:t>
      </w:r>
      <w:r w:rsidRPr="008A1110">
        <w:fldChar w:fldCharType="begin"/>
      </w:r>
      <w:r w:rsidRPr="008A1110">
        <w:instrText xml:space="preserve"> REF  Section_19 \h \r  \* MERGEFORMAT </w:instrText>
      </w:r>
      <w:r w:rsidRPr="008A1110">
        <w:fldChar w:fldCharType="separate"/>
      </w:r>
      <w:r w:rsidR="00302D39">
        <w:t>19</w:t>
      </w:r>
      <w:r w:rsidRPr="008A1110">
        <w:fldChar w:fldCharType="end"/>
      </w:r>
      <w:r w:rsidRPr="00B64518">
        <w:t xml:space="preserve"> (</w:t>
      </w:r>
      <w:r w:rsidRPr="00973F9D">
        <w:rPr>
          <w:i/>
          <w:iCs/>
        </w:rPr>
        <w:t>The Importer’s contact details for the Relevant Data Subjects</w:t>
      </w:r>
      <w:r w:rsidRPr="00B64518">
        <w:t>);</w:t>
      </w:r>
    </w:p>
    <w:p w14:paraId="60D51D85" w14:textId="5F4523FA" w:rsidR="00F67E9E" w:rsidRPr="00B64518" w:rsidRDefault="00F67E9E" w:rsidP="00F67E9E">
      <w:pPr>
        <w:pStyle w:val="StdBodyText1"/>
        <w:numPr>
          <w:ilvl w:val="0"/>
          <w:numId w:val="291"/>
        </w:numPr>
        <w:ind w:hanging="720"/>
      </w:pPr>
      <w:r w:rsidRPr="008A1110">
        <w:t xml:space="preserve">Section </w:t>
      </w:r>
      <w:r w:rsidRPr="008A1110">
        <w:fldChar w:fldCharType="begin"/>
      </w:r>
      <w:r w:rsidRPr="008A1110">
        <w:instrText xml:space="preserve"> REF  Section_20 \h \r  \* MERGEFORMAT </w:instrText>
      </w:r>
      <w:r w:rsidRPr="008A1110">
        <w:fldChar w:fldCharType="separate"/>
      </w:r>
      <w:r w:rsidR="00302D39">
        <w:t>20</w:t>
      </w:r>
      <w:r w:rsidRPr="008A1110">
        <w:fldChar w:fldCharType="end"/>
      </w:r>
      <w:r w:rsidRPr="00B64518">
        <w:t xml:space="preserve"> (</w:t>
      </w:r>
      <w:r w:rsidRPr="00973F9D">
        <w:rPr>
          <w:i/>
          <w:iCs/>
        </w:rPr>
        <w:t>How Relevant Data Subjects can exercise their data subject rights</w:t>
      </w:r>
      <w:r w:rsidRPr="00B64518">
        <w:t>);</w:t>
      </w:r>
    </w:p>
    <w:p w14:paraId="6ADA6EC0" w14:textId="6952D13A" w:rsidR="00F67E9E" w:rsidRPr="00B64518" w:rsidRDefault="00F67E9E" w:rsidP="00F67E9E">
      <w:pPr>
        <w:pStyle w:val="StdBodyText1"/>
        <w:numPr>
          <w:ilvl w:val="0"/>
          <w:numId w:val="291"/>
        </w:numPr>
        <w:ind w:hanging="720"/>
      </w:pPr>
      <w:r w:rsidRPr="008A1110">
        <w:t xml:space="preserve">Section </w:t>
      </w:r>
      <w:r w:rsidRPr="008A1110">
        <w:fldChar w:fldCharType="begin"/>
      </w:r>
      <w:r w:rsidRPr="008A1110">
        <w:instrText xml:space="preserve"> REF  Section_21 \h \r  \* MERGEFORMAT </w:instrText>
      </w:r>
      <w:r w:rsidRPr="008A1110">
        <w:fldChar w:fldCharType="separate"/>
      </w:r>
      <w:r w:rsidR="00302D39">
        <w:t>21</w:t>
      </w:r>
      <w:r w:rsidRPr="008A1110">
        <w:fldChar w:fldCharType="end"/>
      </w:r>
      <w:r w:rsidRPr="00B64518">
        <w:t xml:space="preserve"> (</w:t>
      </w:r>
      <w:r w:rsidRPr="00973F9D">
        <w:rPr>
          <w:i/>
          <w:iCs/>
        </w:rPr>
        <w:t>How Relevant Data Subjects can exercise their data subject rights– if the Importer is the Exporter’s Processor or Sub-Processor</w:t>
      </w:r>
      <w:r w:rsidRPr="00B64518">
        <w:t>);</w:t>
      </w:r>
    </w:p>
    <w:p w14:paraId="58D7AA1E" w14:textId="6F5277F2" w:rsidR="00F67E9E" w:rsidRPr="00B64518" w:rsidRDefault="00F67E9E" w:rsidP="00F67E9E">
      <w:pPr>
        <w:pStyle w:val="StdBodyText1"/>
        <w:numPr>
          <w:ilvl w:val="0"/>
          <w:numId w:val="291"/>
        </w:numPr>
        <w:ind w:hanging="720"/>
      </w:pPr>
      <w:r w:rsidRPr="008A1110">
        <w:t xml:space="preserve">Section </w:t>
      </w:r>
      <w:r w:rsidRPr="008A1110">
        <w:fldChar w:fldCharType="begin"/>
      </w:r>
      <w:r w:rsidRPr="008A1110">
        <w:instrText xml:space="preserve"> REF  Section_23 \h \r  \* MERGEFORMAT </w:instrText>
      </w:r>
      <w:r w:rsidRPr="008A1110">
        <w:fldChar w:fldCharType="separate"/>
      </w:r>
      <w:r w:rsidR="00302D39">
        <w:t>23</w:t>
      </w:r>
      <w:r w:rsidRPr="008A1110">
        <w:fldChar w:fldCharType="end"/>
      </w:r>
      <w:r w:rsidRPr="00B64518">
        <w:t xml:space="preserve"> (</w:t>
      </w:r>
      <w:r w:rsidRPr="00973F9D">
        <w:rPr>
          <w:i/>
          <w:iCs/>
        </w:rPr>
        <w:t>Access Requests and Direct Access</w:t>
      </w:r>
      <w:r w:rsidRPr="00B64518">
        <w:t>);</w:t>
      </w:r>
    </w:p>
    <w:p w14:paraId="64A6302A" w14:textId="5AEF1E94" w:rsidR="00F67E9E" w:rsidRPr="00B64518" w:rsidRDefault="00F67E9E" w:rsidP="00F67E9E">
      <w:pPr>
        <w:pStyle w:val="StdBodyText1"/>
        <w:numPr>
          <w:ilvl w:val="0"/>
          <w:numId w:val="291"/>
        </w:numPr>
        <w:ind w:hanging="720"/>
      </w:pPr>
      <w:r w:rsidRPr="008A1110">
        <w:t xml:space="preserve">Section </w:t>
      </w:r>
      <w:r w:rsidRPr="008A1110">
        <w:fldChar w:fldCharType="begin"/>
      </w:r>
      <w:r w:rsidRPr="008A1110">
        <w:instrText xml:space="preserve"> REF  Section_26 \h \r  \* MERGEFORMAT </w:instrText>
      </w:r>
      <w:r w:rsidRPr="008A1110">
        <w:fldChar w:fldCharType="separate"/>
      </w:r>
      <w:r w:rsidR="00302D39">
        <w:t>26</w:t>
      </w:r>
      <w:r w:rsidRPr="008A1110">
        <w:fldChar w:fldCharType="end"/>
      </w:r>
      <w:r w:rsidRPr="00B64518">
        <w:t xml:space="preserve"> (</w:t>
      </w:r>
      <w:r w:rsidRPr="00973F9D">
        <w:rPr>
          <w:i/>
          <w:iCs/>
        </w:rPr>
        <w:t>Breaches of this IDTA</w:t>
      </w:r>
      <w:r w:rsidRPr="00B64518">
        <w:t>);</w:t>
      </w:r>
    </w:p>
    <w:p w14:paraId="5692B158" w14:textId="7F978DC1" w:rsidR="00F67E9E" w:rsidRPr="00B64518" w:rsidRDefault="00F67E9E" w:rsidP="00F67E9E">
      <w:pPr>
        <w:pStyle w:val="StdBodyText1"/>
        <w:numPr>
          <w:ilvl w:val="0"/>
          <w:numId w:val="291"/>
        </w:numPr>
        <w:ind w:hanging="720"/>
      </w:pPr>
      <w:r w:rsidRPr="008A1110">
        <w:t xml:space="preserve">Section </w:t>
      </w:r>
      <w:r w:rsidRPr="008A1110">
        <w:fldChar w:fldCharType="begin"/>
      </w:r>
      <w:r w:rsidRPr="008A1110">
        <w:instrText xml:space="preserve"> REF  Section_27 \h \r  \* MERGEFORMAT </w:instrText>
      </w:r>
      <w:r w:rsidRPr="008A1110">
        <w:fldChar w:fldCharType="separate"/>
      </w:r>
      <w:r w:rsidR="00302D39">
        <w:t>27</w:t>
      </w:r>
      <w:r w:rsidRPr="008A1110">
        <w:fldChar w:fldCharType="end"/>
      </w:r>
      <w:r w:rsidRPr="00B64518">
        <w:t xml:space="preserve"> (</w:t>
      </w:r>
      <w:r w:rsidRPr="00973F9D">
        <w:rPr>
          <w:i/>
          <w:iCs/>
        </w:rPr>
        <w:t>Breaches of this IDTA by the Importer</w:t>
      </w:r>
      <w:r w:rsidRPr="00B64518">
        <w:t>);</w:t>
      </w:r>
    </w:p>
    <w:p w14:paraId="54AA60FF" w14:textId="7721BE35" w:rsidR="00F67E9E" w:rsidRPr="00B64518" w:rsidRDefault="00F67E9E" w:rsidP="00F67E9E">
      <w:pPr>
        <w:pStyle w:val="StdBodyText1"/>
        <w:numPr>
          <w:ilvl w:val="0"/>
          <w:numId w:val="291"/>
        </w:numPr>
        <w:ind w:hanging="720"/>
      </w:pPr>
      <w:r w:rsidRPr="008A1110">
        <w:t xml:space="preserve">Section </w:t>
      </w:r>
      <w:r w:rsidRPr="008A1110">
        <w:fldChar w:fldCharType="begin"/>
      </w:r>
      <w:r w:rsidRPr="008A1110">
        <w:instrText xml:space="preserve"> REF  Section_28 \h \r  \* MERGEFORMAT </w:instrText>
      </w:r>
      <w:r w:rsidRPr="008A1110">
        <w:fldChar w:fldCharType="separate"/>
      </w:r>
      <w:r w:rsidR="00302D39">
        <w:t>28</w:t>
      </w:r>
      <w:r w:rsidRPr="008A1110">
        <w:fldChar w:fldCharType="end"/>
      </w:r>
      <w:r w:rsidRPr="008A1110">
        <w:t xml:space="preserve"> </w:t>
      </w:r>
      <w:r w:rsidRPr="00B64518">
        <w:t>(</w:t>
      </w:r>
      <w:r w:rsidRPr="00973F9D">
        <w:rPr>
          <w:i/>
          <w:iCs/>
        </w:rPr>
        <w:t>Breaches of this IDTA by the Exporter</w:t>
      </w:r>
      <w:r w:rsidRPr="00B64518">
        <w:t>);</w:t>
      </w:r>
    </w:p>
    <w:p w14:paraId="27580349" w14:textId="3F083A7F" w:rsidR="00F67E9E" w:rsidRPr="00B64518" w:rsidRDefault="00F67E9E" w:rsidP="00F67E9E">
      <w:pPr>
        <w:pStyle w:val="StdBodyText1"/>
        <w:numPr>
          <w:ilvl w:val="0"/>
          <w:numId w:val="291"/>
        </w:numPr>
        <w:ind w:hanging="720"/>
      </w:pPr>
      <w:r w:rsidRPr="008A1110">
        <w:t xml:space="preserve">Section </w:t>
      </w:r>
      <w:r w:rsidRPr="008A1110">
        <w:fldChar w:fldCharType="begin"/>
      </w:r>
      <w:r w:rsidRPr="008A1110">
        <w:instrText xml:space="preserve"> REF  Section_30 \h \r  \* MERGEFORMAT </w:instrText>
      </w:r>
      <w:r w:rsidRPr="008A1110">
        <w:fldChar w:fldCharType="separate"/>
      </w:r>
      <w:r w:rsidR="00302D39">
        <w:t>30</w:t>
      </w:r>
      <w:r w:rsidRPr="008A1110">
        <w:fldChar w:fldCharType="end"/>
      </w:r>
      <w:r w:rsidRPr="00B64518">
        <w:t xml:space="preserve"> (</w:t>
      </w:r>
      <w:r w:rsidRPr="00973F9D">
        <w:rPr>
          <w:i/>
          <w:iCs/>
        </w:rPr>
        <w:t>How to end this IDTA if there is a breach</w:t>
      </w:r>
      <w:r w:rsidRPr="00B64518">
        <w:t>);</w:t>
      </w:r>
    </w:p>
    <w:p w14:paraId="7682C987" w14:textId="0812A862" w:rsidR="00F67E9E" w:rsidRPr="00B64518" w:rsidRDefault="00F67E9E" w:rsidP="00F67E9E">
      <w:pPr>
        <w:pStyle w:val="StdBodyText1"/>
        <w:numPr>
          <w:ilvl w:val="0"/>
          <w:numId w:val="291"/>
        </w:numPr>
        <w:ind w:hanging="720"/>
      </w:pPr>
      <w:r w:rsidRPr="008A1110">
        <w:t xml:space="preserve">Section </w:t>
      </w:r>
      <w:r w:rsidRPr="008A1110">
        <w:fldChar w:fldCharType="begin"/>
      </w:r>
      <w:r w:rsidRPr="008A1110">
        <w:instrText xml:space="preserve"> REF  Section_31 \h \r  \* MERGEFORMAT </w:instrText>
      </w:r>
      <w:r w:rsidRPr="008A1110">
        <w:fldChar w:fldCharType="separate"/>
      </w:r>
      <w:r w:rsidR="00302D39">
        <w:t>31</w:t>
      </w:r>
      <w:r w:rsidRPr="008A1110">
        <w:fldChar w:fldCharType="end"/>
      </w:r>
      <w:r w:rsidRPr="00B64518">
        <w:t xml:space="preserve"> (</w:t>
      </w:r>
      <w:r w:rsidRPr="00973F9D">
        <w:rPr>
          <w:i/>
          <w:iCs/>
        </w:rPr>
        <w:t>What must the Parties do when the IDTA ends</w:t>
      </w:r>
      <w:r>
        <w:t>)</w:t>
      </w:r>
      <w:r w:rsidRPr="00B64518">
        <w:t>; and</w:t>
      </w:r>
    </w:p>
    <w:p w14:paraId="127A4139" w14:textId="77777777" w:rsidR="00F67E9E" w:rsidRPr="00B64518" w:rsidRDefault="00F67E9E" w:rsidP="00F67E9E">
      <w:pPr>
        <w:pStyle w:val="StdBodyText1"/>
        <w:numPr>
          <w:ilvl w:val="0"/>
          <w:numId w:val="291"/>
        </w:numPr>
        <w:ind w:hanging="720"/>
      </w:pPr>
      <w:r w:rsidRPr="00B64518">
        <w:t xml:space="preserve">any other provision of the IDTA which expressly or by implication benefits the </w:t>
      </w:r>
      <w:r>
        <w:t>Relevant Data Subject</w:t>
      </w:r>
      <w:r w:rsidRPr="00B64518">
        <w:t>s.</w:t>
      </w:r>
    </w:p>
    <w:p w14:paraId="7724E0E0" w14:textId="28792B19" w:rsidR="00F67E9E" w:rsidRPr="00B64518" w:rsidRDefault="00F67E9E" w:rsidP="00F67E9E">
      <w:pPr>
        <w:pStyle w:val="AppendixText2"/>
      </w:pPr>
      <w:bookmarkStart w:id="3135" w:name="_Toc79405562"/>
      <w:r w:rsidRPr="00B64518">
        <w:t xml:space="preserve">The ICO is entitled to bring claims against the Exporter and/or Importer for breach of the </w:t>
      </w:r>
      <w:r w:rsidRPr="00FC54BE">
        <w:t>following</w:t>
      </w:r>
      <w:r w:rsidRPr="00B64518">
        <w:t xml:space="preserve"> Sections: Section </w:t>
      </w:r>
      <w:r>
        <w:fldChar w:fldCharType="begin"/>
      </w:r>
      <w:r>
        <w:instrText xml:space="preserve"> REF  Section_10 \h \r  \* MERGEFORMAT </w:instrText>
      </w:r>
      <w:r>
        <w:fldChar w:fldCharType="separate"/>
      </w:r>
      <w:r w:rsidR="00302D39">
        <w:t>10</w:t>
      </w:r>
      <w:r>
        <w:fldChar w:fldCharType="end"/>
      </w:r>
      <w:r w:rsidRPr="00B64518">
        <w:t xml:space="preserve"> (</w:t>
      </w:r>
      <w:r w:rsidRPr="00973F9D">
        <w:rPr>
          <w:i/>
          <w:iCs/>
        </w:rPr>
        <w:t>The ICO</w:t>
      </w:r>
      <w:r w:rsidRPr="00B64518">
        <w:t xml:space="preserve">), Sections </w:t>
      </w:r>
      <w:r w:rsidRPr="00B64518">
        <w:fldChar w:fldCharType="begin"/>
      </w:r>
      <w:r w:rsidRPr="00B64518">
        <w:instrText xml:space="preserve"> REF _Ref77317945 \r \h  \* MERGEFORMAT </w:instrText>
      </w:r>
      <w:r w:rsidRPr="00B64518">
        <w:fldChar w:fldCharType="separate"/>
      </w:r>
      <w:r w:rsidR="00302D39">
        <w:t>11.1</w:t>
      </w:r>
      <w:r w:rsidRPr="00B64518">
        <w:fldChar w:fldCharType="end"/>
      </w:r>
      <w:r w:rsidRPr="00B64518">
        <w:t xml:space="preserve"> and </w:t>
      </w:r>
      <w:r w:rsidRPr="00B64518">
        <w:fldChar w:fldCharType="begin"/>
      </w:r>
      <w:r w:rsidRPr="00B64518">
        <w:instrText xml:space="preserve"> REF _Ref71148417 \r \h  \* MERGEFORMAT </w:instrText>
      </w:r>
      <w:r w:rsidRPr="00B64518">
        <w:fldChar w:fldCharType="separate"/>
      </w:r>
      <w:r w:rsidR="00302D39">
        <w:t>11.2</w:t>
      </w:r>
      <w:r w:rsidRPr="00B64518">
        <w:fldChar w:fldCharType="end"/>
      </w:r>
      <w:r w:rsidRPr="00B64518">
        <w:t xml:space="preserve"> (</w:t>
      </w:r>
      <w:r w:rsidRPr="00973F9D">
        <w:rPr>
          <w:i/>
          <w:iCs/>
        </w:rPr>
        <w:t>Exporter’s obligations</w:t>
      </w:r>
      <w:r w:rsidRPr="00B64518">
        <w:t xml:space="preserve">), Section </w:t>
      </w:r>
      <w:r w:rsidRPr="00B64518">
        <w:fldChar w:fldCharType="begin"/>
      </w:r>
      <w:r w:rsidRPr="00B64518">
        <w:instrText xml:space="preserve"> REF _Ref77318003 \r \h  \* MERGEFORMAT </w:instrText>
      </w:r>
      <w:r w:rsidRPr="00B64518">
        <w:fldChar w:fldCharType="separate"/>
      </w:r>
      <w:r w:rsidR="00302D39">
        <w:t>12.1.6</w:t>
      </w:r>
      <w:r w:rsidRPr="00B64518">
        <w:fldChar w:fldCharType="end"/>
      </w:r>
      <w:r w:rsidRPr="00B64518">
        <w:t xml:space="preserve"> (</w:t>
      </w:r>
      <w:r w:rsidRPr="00973F9D">
        <w:rPr>
          <w:i/>
          <w:iCs/>
        </w:rPr>
        <w:t>General Importer obligations</w:t>
      </w:r>
      <w:r w:rsidRPr="00B64518">
        <w:t xml:space="preserve">) and Section </w:t>
      </w:r>
      <w:r>
        <w:fldChar w:fldCharType="begin"/>
      </w:r>
      <w:r>
        <w:instrText xml:space="preserve"> REF  Section_13 \h \r  \* MERGEFORMAT </w:instrText>
      </w:r>
      <w:r>
        <w:fldChar w:fldCharType="separate"/>
      </w:r>
      <w:r w:rsidR="00302D39">
        <w:t>13</w:t>
      </w:r>
      <w:r>
        <w:fldChar w:fldCharType="end"/>
      </w:r>
      <w:r w:rsidRPr="00B64518">
        <w:t xml:space="preserve"> (</w:t>
      </w:r>
      <w:r w:rsidRPr="00973F9D">
        <w:rPr>
          <w:i/>
          <w:iCs/>
        </w:rPr>
        <w:t>Importer’s obligations if it is subject to UK Data Protection Laws</w:t>
      </w:r>
      <w:r w:rsidRPr="00B64518">
        <w:t>).</w:t>
      </w:r>
      <w:bookmarkEnd w:id="3135"/>
    </w:p>
    <w:p w14:paraId="5CD3E1EA" w14:textId="77777777" w:rsidR="00F67E9E" w:rsidRPr="00DC5FB2" w:rsidRDefault="00F67E9E" w:rsidP="00F67E9E">
      <w:pPr>
        <w:pStyle w:val="AppendixText2"/>
      </w:pPr>
      <w:bookmarkStart w:id="3136" w:name="_Toc79405563"/>
      <w:r w:rsidRPr="00DC5FB2">
        <w:t>No one else (who is not a Party) can enforce any part of this IDTA (including under the Contracts (Rights of Third Parties) Act 1999).</w:t>
      </w:r>
      <w:bookmarkEnd w:id="3136"/>
    </w:p>
    <w:p w14:paraId="478EC79E" w14:textId="77777777" w:rsidR="00F67E9E" w:rsidRPr="00B64518" w:rsidRDefault="00F67E9E" w:rsidP="00F67E9E">
      <w:pPr>
        <w:pStyle w:val="AppendixText2"/>
      </w:pPr>
      <w:bookmarkStart w:id="3137" w:name="_Toc79405564"/>
      <w:r w:rsidRPr="00B64518">
        <w:t xml:space="preserve">The Parties do not need the consent of any </w:t>
      </w:r>
      <w:r>
        <w:t>Relevant Data Subject or</w:t>
      </w:r>
      <w:r w:rsidRPr="00B64518">
        <w:t xml:space="preserve"> the ICO</w:t>
      </w:r>
      <w:r>
        <w:t xml:space="preserve"> </w:t>
      </w:r>
      <w:r w:rsidRPr="00B64518">
        <w:t>to make changes to this IDTA</w:t>
      </w:r>
      <w:bookmarkEnd w:id="3137"/>
      <w:r>
        <w:t>, but any changes must be made in accordance with its terms</w:t>
      </w:r>
      <w:r w:rsidRPr="00B64518">
        <w:t xml:space="preserve">. </w:t>
      </w:r>
    </w:p>
    <w:p w14:paraId="4B8CCAAB" w14:textId="77777777" w:rsidR="00F67E9E" w:rsidRDefault="00F67E9E" w:rsidP="00F67E9E">
      <w:pPr>
        <w:pStyle w:val="AppendixText2"/>
      </w:pPr>
      <w:bookmarkStart w:id="3138" w:name="_Toc79405565"/>
      <w:r w:rsidRPr="00B64518">
        <w:t xml:space="preserve">In bringing a claim under this IDTA, a </w:t>
      </w:r>
      <w:r>
        <w:t>Relevant Data Subject</w:t>
      </w:r>
      <w:r w:rsidRPr="00B64518">
        <w:t xml:space="preserve"> may be represented by a not</w:t>
      </w:r>
      <w:r>
        <w:t>-</w:t>
      </w:r>
      <w:r w:rsidRPr="00B64518">
        <w:t>for</w:t>
      </w:r>
      <w:r>
        <w:t>-</w:t>
      </w:r>
      <w:r w:rsidRPr="00B64518">
        <w:t xml:space="preserve">profit body, organisation or association under the same conditions set out in Article 80(1) UK GDPR and </w:t>
      </w:r>
      <w:bookmarkStart w:id="3139" w:name="_9kR3WTr277467zrcszv16LPWIDMVVB4ADzWNABi"/>
      <w:r w:rsidRPr="00B64518">
        <w:t>sections 187 to 190 of the Data Protection Act 2018</w:t>
      </w:r>
      <w:bookmarkEnd w:id="3139"/>
      <w:r w:rsidRPr="00917493">
        <w:t>.</w:t>
      </w:r>
      <w:bookmarkEnd w:id="3138"/>
    </w:p>
    <w:p w14:paraId="7347ECE4" w14:textId="77777777" w:rsidR="00F67E9E" w:rsidRPr="00B64518" w:rsidRDefault="00F67E9E" w:rsidP="00F67E9E">
      <w:pPr>
        <w:pStyle w:val="AppendixText1"/>
      </w:pPr>
      <w:bookmarkStart w:id="3140" w:name="Section_34"/>
      <w:bookmarkEnd w:id="3140"/>
      <w:r w:rsidRPr="00873C09">
        <w:t xml:space="preserve">Courts </w:t>
      </w:r>
      <w:r w:rsidRPr="00FC54BE">
        <w:t>legal</w:t>
      </w:r>
      <w:r w:rsidRPr="00873C09">
        <w:t xml:space="preserve"> claims can be brought in</w:t>
      </w:r>
    </w:p>
    <w:p w14:paraId="2957E0D0" w14:textId="77777777" w:rsidR="00F67E9E" w:rsidRPr="00A54D3B" w:rsidRDefault="00F67E9E" w:rsidP="00F67E9E">
      <w:pPr>
        <w:pStyle w:val="AppendixText2"/>
      </w:pPr>
      <w:bookmarkStart w:id="3141" w:name="_Ref71508766"/>
      <w:bookmarkStart w:id="3142" w:name="_Toc79405567"/>
      <w:r w:rsidRPr="00F967FE">
        <w:t xml:space="preserve">The courts of the UK country set out in Table 2: Transfer Details have non-exclusive </w:t>
      </w:r>
      <w:r w:rsidRPr="00166697">
        <w:t>jurisdiction</w:t>
      </w:r>
      <w:r w:rsidRPr="00F967FE">
        <w:t> over any claim in connection with this IDTA (including non-contractual claims).</w:t>
      </w:r>
      <w:bookmarkEnd w:id="3141"/>
      <w:bookmarkEnd w:id="3142"/>
    </w:p>
    <w:p w14:paraId="2B585A50" w14:textId="77777777" w:rsidR="00F67E9E" w:rsidRPr="00A54D3B" w:rsidRDefault="00F67E9E" w:rsidP="00F67E9E">
      <w:pPr>
        <w:pStyle w:val="AppendixText2"/>
      </w:pPr>
      <w:bookmarkStart w:id="3143" w:name="_Toc79405568"/>
      <w:r w:rsidRPr="00F967FE">
        <w:t>The Exporter may bring a claim against the Importer in connection with this IDTA (including non-contractual claims</w:t>
      </w:r>
      <w:bookmarkEnd w:id="3143"/>
      <w:r w:rsidRPr="00F967FE">
        <w:t>)</w:t>
      </w:r>
      <w:r>
        <w:t xml:space="preserve"> </w:t>
      </w:r>
      <w:r w:rsidRPr="00F967FE">
        <w:t xml:space="preserve">in any court in any country </w:t>
      </w:r>
      <w:r>
        <w:t>with jurisdiction to hear the claim</w:t>
      </w:r>
      <w:r w:rsidRPr="00F967FE">
        <w:t>.</w:t>
      </w:r>
      <w:r>
        <w:t xml:space="preserve"> </w:t>
      </w:r>
    </w:p>
    <w:p w14:paraId="778D853A" w14:textId="77777777" w:rsidR="00F67E9E" w:rsidRPr="00A54D3B" w:rsidRDefault="00F67E9E" w:rsidP="00F67E9E">
      <w:pPr>
        <w:pStyle w:val="AppendixText2"/>
      </w:pPr>
      <w:bookmarkStart w:id="3144" w:name="_Toc79405569"/>
      <w:r w:rsidRPr="00F967FE">
        <w:t>The Importer may only bring a claim against the Exporter in connection with this IDTA (including non-contractual claims) in the courts of the UK country set out in the Table 2: Transfer Details</w:t>
      </w:r>
      <w:bookmarkEnd w:id="3144"/>
      <w:r w:rsidRPr="00F967FE">
        <w:t xml:space="preserve"> </w:t>
      </w:r>
    </w:p>
    <w:p w14:paraId="0B3CFDEE" w14:textId="77777777" w:rsidR="00F67E9E" w:rsidRPr="00A54D3B" w:rsidRDefault="00F67E9E" w:rsidP="00F67E9E">
      <w:pPr>
        <w:pStyle w:val="AppendixText2"/>
      </w:pPr>
      <w:bookmarkStart w:id="3145" w:name="_Toc79405570"/>
      <w:r>
        <w:t>Relevant Data Subject</w:t>
      </w:r>
      <w:r w:rsidRPr="00F967FE">
        <w:t xml:space="preserve">s </w:t>
      </w:r>
      <w:r>
        <w:t xml:space="preserve">and the ICO </w:t>
      </w:r>
      <w:r w:rsidRPr="00F967FE">
        <w:t>may bring a claim against the Exporter and/or the Importer in connection with this IDTA (including non-contractual claims) in any court in any country</w:t>
      </w:r>
      <w:bookmarkEnd w:id="3145"/>
      <w:r>
        <w:t xml:space="preserve"> with jurisdiction to hear the claim</w:t>
      </w:r>
      <w:r w:rsidRPr="00F967FE">
        <w:t>.</w:t>
      </w:r>
      <w:r>
        <w:t xml:space="preserve"> </w:t>
      </w:r>
    </w:p>
    <w:p w14:paraId="3DE650AE" w14:textId="77777777" w:rsidR="00F67E9E" w:rsidRDefault="00F67E9E" w:rsidP="00F67E9E">
      <w:pPr>
        <w:pStyle w:val="AppendixText2"/>
      </w:pPr>
      <w:bookmarkStart w:id="3146" w:name="_Toc79405571"/>
      <w:bookmarkStart w:id="3147" w:name="_Ref73503302"/>
      <w:bookmarkStart w:id="3148" w:name="_Ref76446334"/>
      <w:bookmarkStart w:id="3149" w:name="_Ref71509013"/>
      <w:r w:rsidRPr="00F967FE">
        <w:t xml:space="preserve">Each Party agrees to provide to the other Party reasonable updates about any claims or complaints brought against it by a </w:t>
      </w:r>
      <w:r>
        <w:t>Relevant Data Subject</w:t>
      </w:r>
      <w:r w:rsidRPr="00F967FE">
        <w:t xml:space="preserve"> or the ICO in connection with the Transferred Data</w:t>
      </w:r>
      <w:r>
        <w:t xml:space="preserve"> (including claims in arbitration)</w:t>
      </w:r>
      <w:r w:rsidRPr="00F967FE">
        <w:t>.</w:t>
      </w:r>
      <w:bookmarkEnd w:id="3146"/>
    </w:p>
    <w:p w14:paraId="47B1E60C" w14:textId="77777777" w:rsidR="00F67E9E" w:rsidRPr="00A54D3B" w:rsidRDefault="00F67E9E" w:rsidP="00F67E9E">
      <w:pPr>
        <w:pStyle w:val="AppendixText1"/>
      </w:pPr>
      <w:bookmarkStart w:id="3150" w:name="Section_35"/>
      <w:bookmarkEnd w:id="3150"/>
      <w:r w:rsidRPr="00873C09">
        <w:t xml:space="preserve">Arbitration </w:t>
      </w:r>
    </w:p>
    <w:p w14:paraId="0ED3351A" w14:textId="20391C77" w:rsidR="00F67E9E" w:rsidRDefault="00F67E9E" w:rsidP="00F67E9E">
      <w:pPr>
        <w:pStyle w:val="AppendixText2"/>
      </w:pPr>
      <w:bookmarkStart w:id="3151" w:name="_Hlk89529727"/>
      <w:bookmarkStart w:id="3152" w:name="_Toc79405573"/>
      <w:bookmarkStart w:id="3153" w:name="_Ref76446339"/>
      <w:bookmarkEnd w:id="3147"/>
      <w:bookmarkEnd w:id="3148"/>
      <w:bookmarkEnd w:id="3149"/>
      <w:r>
        <w:t xml:space="preserve">Instead of bringing a claim in a court under Section </w:t>
      </w:r>
      <w:r>
        <w:fldChar w:fldCharType="begin"/>
      </w:r>
      <w:r>
        <w:instrText xml:space="preserve"> REF  Section_34 \h \r </w:instrText>
      </w:r>
      <w:r>
        <w:fldChar w:fldCharType="separate"/>
      </w:r>
      <w:r w:rsidR="00302D39">
        <w:t>34</w:t>
      </w:r>
      <w:r>
        <w:fldChar w:fldCharType="end"/>
      </w:r>
      <w:r>
        <w:t xml:space="preserve">, </w:t>
      </w:r>
      <w:bookmarkEnd w:id="3151"/>
      <w:r>
        <w:t xml:space="preserve">any Party, or </w:t>
      </w:r>
      <w:r w:rsidRPr="00F967FE">
        <w:t xml:space="preserve">a </w:t>
      </w:r>
      <w:r>
        <w:t>Relevant Data Subject</w:t>
      </w:r>
      <w:r w:rsidRPr="00F967FE">
        <w:t xml:space="preserve"> may </w:t>
      </w:r>
      <w:r>
        <w:t xml:space="preserve">elect to refer any dispute arising out of or in connection with this IDTA </w:t>
      </w:r>
      <w:r w:rsidRPr="00F967FE">
        <w:t>(including non-contractual claims)</w:t>
      </w:r>
      <w:r>
        <w:t xml:space="preserve"> to final resolution by arbitration under the Rules of the London Court of International Arbitration</w:t>
      </w:r>
      <w:bookmarkStart w:id="3154" w:name="_Toc79405574"/>
      <w:bookmarkEnd w:id="3152"/>
      <w:r w:rsidRPr="00EC072E">
        <w:t xml:space="preserve">, </w:t>
      </w:r>
      <w:r>
        <w:t>and those</w:t>
      </w:r>
      <w:r w:rsidRPr="00EC072E">
        <w:t xml:space="preserve"> Rules are deemed to be incorporated </w:t>
      </w:r>
      <w:bookmarkEnd w:id="3154"/>
      <w:r w:rsidRPr="00EC072E">
        <w:t xml:space="preserve">by reference into this </w:t>
      </w:r>
      <w:r w:rsidRPr="001F607E">
        <w:t xml:space="preserve">Section </w:t>
      </w:r>
      <w:r w:rsidRPr="001F607E">
        <w:rPr>
          <w:cs/>
        </w:rPr>
        <w:t>‎</w:t>
      </w:r>
      <w:r>
        <w:rPr>
          <w:cs/>
        </w:rPr>
        <w:fldChar w:fldCharType="begin"/>
      </w:r>
      <w:r>
        <w:instrText xml:space="preserve"> </w:instrText>
      </w:r>
      <w:r>
        <w:rPr>
          <w:cs/>
        </w:rPr>
        <w:instrText>REF  Section_35 \h \r</w:instrText>
      </w:r>
      <w:r>
        <w:instrText xml:space="preserve">  \* MERGEFORMAT </w:instrText>
      </w:r>
      <w:r>
        <w:rPr>
          <w:cs/>
        </w:rPr>
      </w:r>
      <w:r>
        <w:rPr>
          <w:cs/>
        </w:rPr>
        <w:fldChar w:fldCharType="separate"/>
      </w:r>
      <w:r w:rsidR="00302D39">
        <w:t>35</w:t>
      </w:r>
      <w:r>
        <w:rPr>
          <w:cs/>
        </w:rPr>
        <w:fldChar w:fldCharType="end"/>
      </w:r>
      <w:r w:rsidRPr="00EC072E">
        <w:t>.</w:t>
      </w:r>
      <w:r>
        <w:t xml:space="preserve"> </w:t>
      </w:r>
    </w:p>
    <w:p w14:paraId="57A8D8A5" w14:textId="5A5979C0" w:rsidR="00F67E9E" w:rsidRPr="00A54D3B" w:rsidRDefault="00F67E9E" w:rsidP="00F67E9E">
      <w:pPr>
        <w:pStyle w:val="AppendixText2"/>
      </w:pPr>
      <w:bookmarkStart w:id="3155" w:name="_Toc79405576"/>
      <w:r>
        <w:t xml:space="preserve">The Parties agree to submit to any arbitration started by another Party or by a Relevant Data Subject in accordance with this </w:t>
      </w:r>
      <w:r w:rsidRPr="001F607E">
        <w:t xml:space="preserve">Section </w:t>
      </w:r>
      <w:r w:rsidRPr="001F607E">
        <w:rPr>
          <w:cs/>
        </w:rPr>
        <w:t>‎‎</w:t>
      </w:r>
      <w:r>
        <w:rPr>
          <w:cs/>
        </w:rPr>
        <w:fldChar w:fldCharType="begin"/>
      </w:r>
      <w:r>
        <w:instrText xml:space="preserve"> </w:instrText>
      </w:r>
      <w:r>
        <w:rPr>
          <w:cs/>
        </w:rPr>
        <w:instrText>REF  Section_35 \h \r</w:instrText>
      </w:r>
      <w:r>
        <w:instrText xml:space="preserve">  \* MERGEFORMAT </w:instrText>
      </w:r>
      <w:r>
        <w:rPr>
          <w:cs/>
        </w:rPr>
      </w:r>
      <w:r>
        <w:rPr>
          <w:cs/>
        </w:rPr>
        <w:fldChar w:fldCharType="separate"/>
      </w:r>
      <w:r w:rsidR="00302D39">
        <w:t>35</w:t>
      </w:r>
      <w:r>
        <w:rPr>
          <w:cs/>
        </w:rPr>
        <w:fldChar w:fldCharType="end"/>
      </w:r>
      <w:r w:rsidRPr="00065CA1">
        <w:t>.</w:t>
      </w:r>
    </w:p>
    <w:p w14:paraId="038C269C" w14:textId="77777777" w:rsidR="00F67E9E" w:rsidRDefault="00F67E9E" w:rsidP="00F67E9E">
      <w:pPr>
        <w:pStyle w:val="AppendixText2"/>
      </w:pPr>
      <w:r>
        <w:t xml:space="preserve">There must be only one arbitrator. The arbitrator (1) must be a lawyer qualified to practice law in one or more of England and Wales, or Scotland, or Northern Ireland and (2) must have experience of acting or advising on disputes relating to UK Data Protection Laws. </w:t>
      </w:r>
      <w:bookmarkEnd w:id="3155"/>
    </w:p>
    <w:p w14:paraId="32B1DB08" w14:textId="77777777" w:rsidR="00F67E9E" w:rsidRDefault="00F67E9E" w:rsidP="00F67E9E">
      <w:pPr>
        <w:pStyle w:val="AppendixText2"/>
      </w:pPr>
      <w:r>
        <w:t>London shall be the seat or legal place of arbitration. It does not matter if the Parties selected a different UK country as the ‘</w:t>
      </w:r>
      <w:r w:rsidRPr="001F607E">
        <w:t>primary place for legal claims to be made</w:t>
      </w:r>
      <w:r>
        <w:t>’ in Table 2: Transfer Details.</w:t>
      </w:r>
    </w:p>
    <w:p w14:paraId="6C2C89C3" w14:textId="77777777" w:rsidR="00F67E9E" w:rsidRPr="00FC54BE" w:rsidRDefault="00F67E9E" w:rsidP="00F67E9E">
      <w:pPr>
        <w:pStyle w:val="AppendixText2"/>
      </w:pPr>
      <w:r>
        <w:t xml:space="preserve">The </w:t>
      </w:r>
      <w:r w:rsidRPr="00FC54BE">
        <w:t>English language must be used in the arbitral proceedings.</w:t>
      </w:r>
    </w:p>
    <w:p w14:paraId="03ADDF1A" w14:textId="6C713686" w:rsidR="00F67E9E" w:rsidRDefault="00F67E9E" w:rsidP="00F67E9E">
      <w:pPr>
        <w:pStyle w:val="AppendixText2"/>
      </w:pPr>
      <w:r w:rsidRPr="00FC54BE">
        <w:t>English l</w:t>
      </w:r>
      <w:r>
        <w:t xml:space="preserve">aw governs this </w:t>
      </w:r>
      <w:r w:rsidRPr="001F607E">
        <w:t xml:space="preserve">Section </w:t>
      </w:r>
      <w:r w:rsidRPr="001F607E">
        <w:rPr>
          <w:cs/>
        </w:rPr>
        <w:t>‎‎</w:t>
      </w:r>
      <w:r>
        <w:rPr>
          <w:cs/>
        </w:rPr>
        <w:fldChar w:fldCharType="begin"/>
      </w:r>
      <w:r>
        <w:instrText xml:space="preserve"> </w:instrText>
      </w:r>
      <w:r>
        <w:rPr>
          <w:cs/>
        </w:rPr>
        <w:instrText>REF  Section_35 \h \r</w:instrText>
      </w:r>
      <w:r>
        <w:instrText xml:space="preserve"> </w:instrText>
      </w:r>
      <w:r>
        <w:rPr>
          <w:cs/>
        </w:rPr>
      </w:r>
      <w:r>
        <w:rPr>
          <w:cs/>
        </w:rPr>
        <w:fldChar w:fldCharType="separate"/>
      </w:r>
      <w:r w:rsidR="00302D39">
        <w:t>35</w:t>
      </w:r>
      <w:r>
        <w:rPr>
          <w:cs/>
        </w:rPr>
        <w:fldChar w:fldCharType="end"/>
      </w:r>
      <w:r>
        <w:t>. This applies regardless of whether or not the parties selected a different UK country’s law as the ‘UK country’s law that governs the IDTA’ in Table 2: Transfer Details</w:t>
      </w:r>
      <w:r w:rsidRPr="00EF3219">
        <w:t>.</w:t>
      </w:r>
      <w:bookmarkEnd w:id="3153"/>
    </w:p>
    <w:p w14:paraId="4054933B" w14:textId="77777777" w:rsidR="00F67E9E" w:rsidRDefault="00F67E9E" w:rsidP="00F67E9E">
      <w:pPr>
        <w:pStyle w:val="AppendixText1"/>
      </w:pPr>
      <w:bookmarkStart w:id="3156" w:name="Section_36"/>
      <w:bookmarkEnd w:id="3156"/>
      <w:r w:rsidRPr="007D2F48">
        <w:t>Legal Glossary</w:t>
      </w:r>
    </w:p>
    <w:tbl>
      <w:tblPr>
        <w:tblStyle w:val="MSATable-header"/>
        <w:tblW w:w="5003" w:type="pct"/>
        <w:tblLook w:val="0620" w:firstRow="1" w:lastRow="0" w:firstColumn="0" w:lastColumn="0" w:noHBand="1" w:noVBand="1"/>
      </w:tblPr>
      <w:tblGrid>
        <w:gridCol w:w="2398"/>
        <w:gridCol w:w="7796"/>
      </w:tblGrid>
      <w:tr w:rsidR="00F67E9E" w:rsidRPr="002237C8" w14:paraId="46944FB0" w14:textId="77777777" w:rsidTr="007F74AA">
        <w:trPr>
          <w:cnfStyle w:val="100000000000" w:firstRow="1" w:lastRow="0" w:firstColumn="0" w:lastColumn="0" w:oddVBand="0" w:evenVBand="0" w:oddHBand="0" w:evenHBand="0" w:firstRowFirstColumn="0" w:firstRowLastColumn="0" w:lastRowFirstColumn="0" w:lastRowLastColumn="0"/>
          <w:tblHeader/>
        </w:trPr>
        <w:tc>
          <w:tcPr>
            <w:tcW w:w="1176" w:type="pct"/>
          </w:tcPr>
          <w:p w14:paraId="07A10D69" w14:textId="77777777" w:rsidR="00F67E9E" w:rsidRPr="002237C8" w:rsidRDefault="00F67E9E" w:rsidP="007F74AA">
            <w:pPr>
              <w:rPr>
                <w:rFonts w:cs="Arial"/>
                <w:szCs w:val="24"/>
              </w:rPr>
            </w:pPr>
            <w:r w:rsidRPr="002237C8">
              <w:rPr>
                <w:rFonts w:cs="Arial"/>
                <w:szCs w:val="24"/>
              </w:rPr>
              <w:t>Word or Phrase</w:t>
            </w:r>
          </w:p>
        </w:tc>
        <w:tc>
          <w:tcPr>
            <w:tcW w:w="3824" w:type="pct"/>
          </w:tcPr>
          <w:p w14:paraId="488C39DB" w14:textId="77777777" w:rsidR="00F67E9E" w:rsidRPr="002237C8" w:rsidRDefault="00F67E9E" w:rsidP="007F74AA">
            <w:pPr>
              <w:spacing w:after="60"/>
              <w:rPr>
                <w:rFonts w:cs="Arial"/>
                <w:szCs w:val="24"/>
              </w:rPr>
            </w:pPr>
            <w:r w:rsidRPr="002237C8">
              <w:rPr>
                <w:rFonts w:cs="Arial"/>
                <w:szCs w:val="24"/>
              </w:rPr>
              <w:t>Legal definition</w:t>
            </w:r>
            <w:r w:rsidRPr="002237C8">
              <w:rPr>
                <w:rFonts w:cs="Arial"/>
                <w:szCs w:val="24"/>
              </w:rPr>
              <w:br/>
              <w:t>(this is how this word or phrase must be interpreted in the IDTA)</w:t>
            </w:r>
          </w:p>
        </w:tc>
      </w:tr>
      <w:tr w:rsidR="00F67E9E" w:rsidRPr="00AE092F" w14:paraId="7EFAF05F" w14:textId="77777777" w:rsidTr="007F74AA">
        <w:tc>
          <w:tcPr>
            <w:tcW w:w="1176" w:type="pct"/>
          </w:tcPr>
          <w:p w14:paraId="42C1F791" w14:textId="77777777" w:rsidR="00F67E9E" w:rsidRPr="002237C8" w:rsidRDefault="00F67E9E" w:rsidP="007F74AA">
            <w:pPr>
              <w:rPr>
                <w:rFonts w:cs="Arial"/>
                <w:b/>
                <w:szCs w:val="24"/>
              </w:rPr>
            </w:pPr>
            <w:r w:rsidRPr="002237C8">
              <w:rPr>
                <w:rFonts w:cs="Arial"/>
                <w:b/>
                <w:szCs w:val="24"/>
              </w:rPr>
              <w:t>Access Request</w:t>
            </w:r>
          </w:p>
        </w:tc>
        <w:tc>
          <w:tcPr>
            <w:tcW w:w="3824" w:type="pct"/>
          </w:tcPr>
          <w:p w14:paraId="26434D58" w14:textId="62DB1A9F" w:rsidR="00F67E9E" w:rsidRPr="00AE092F" w:rsidRDefault="00F67E9E" w:rsidP="007F74AA">
            <w:pPr>
              <w:rPr>
                <w:rFonts w:cs="Arial"/>
                <w:szCs w:val="24"/>
              </w:rPr>
            </w:pPr>
            <w:r w:rsidRPr="00AE092F">
              <w:rPr>
                <w:rFonts w:cs="Arial"/>
                <w:szCs w:val="24"/>
              </w:rPr>
              <w:t xml:space="preserve">As defined in Section </w:t>
            </w:r>
            <w:r w:rsidRPr="00AE092F">
              <w:rPr>
                <w:rFonts w:cs="Arial"/>
                <w:szCs w:val="24"/>
              </w:rPr>
              <w:fldChar w:fldCharType="begin"/>
            </w:r>
            <w:r w:rsidRPr="00AE092F">
              <w:rPr>
                <w:rFonts w:cs="Arial"/>
                <w:szCs w:val="24"/>
              </w:rPr>
              <w:instrText xml:space="preserve"> REF _Ref76401619 \r \h  \* MERGEFORMAT </w:instrText>
            </w:r>
            <w:r w:rsidRPr="00AE092F">
              <w:rPr>
                <w:rFonts w:cs="Arial"/>
                <w:szCs w:val="24"/>
              </w:rPr>
            </w:r>
            <w:r w:rsidRPr="00AE092F">
              <w:rPr>
                <w:rFonts w:cs="Arial"/>
                <w:szCs w:val="24"/>
              </w:rPr>
              <w:fldChar w:fldCharType="separate"/>
            </w:r>
            <w:r w:rsidR="00302D39">
              <w:rPr>
                <w:rFonts w:cs="Arial"/>
                <w:szCs w:val="24"/>
              </w:rPr>
              <w:t>23</w:t>
            </w:r>
            <w:r w:rsidRPr="00AE092F">
              <w:rPr>
                <w:rFonts w:cs="Arial"/>
                <w:szCs w:val="24"/>
              </w:rPr>
              <w:fldChar w:fldCharType="end"/>
            </w:r>
            <w:r w:rsidRPr="00AE092F">
              <w:rPr>
                <w:rFonts w:cs="Arial"/>
                <w:szCs w:val="24"/>
              </w:rPr>
              <w:t>, as a legally binding request (except for requests only binding by contract law) to access any Transferred Data.</w:t>
            </w:r>
          </w:p>
        </w:tc>
      </w:tr>
      <w:tr w:rsidR="00F67E9E" w:rsidRPr="00AE092F" w14:paraId="2E75F5AC" w14:textId="77777777" w:rsidTr="007F74AA">
        <w:tc>
          <w:tcPr>
            <w:tcW w:w="1176" w:type="pct"/>
          </w:tcPr>
          <w:p w14:paraId="7BE470AF" w14:textId="77777777" w:rsidR="00F67E9E" w:rsidRPr="002237C8" w:rsidRDefault="00F67E9E" w:rsidP="007F74AA">
            <w:pPr>
              <w:rPr>
                <w:rFonts w:cs="Arial"/>
                <w:b/>
                <w:szCs w:val="24"/>
              </w:rPr>
            </w:pPr>
            <w:r w:rsidRPr="002237C8">
              <w:rPr>
                <w:rFonts w:cs="Arial"/>
                <w:b/>
                <w:szCs w:val="24"/>
              </w:rPr>
              <w:t>Adequate Country</w:t>
            </w:r>
          </w:p>
        </w:tc>
        <w:tc>
          <w:tcPr>
            <w:tcW w:w="3824" w:type="pct"/>
          </w:tcPr>
          <w:p w14:paraId="05C3D34D" w14:textId="77777777" w:rsidR="00F67E9E" w:rsidRPr="00AE092F" w:rsidRDefault="00F67E9E" w:rsidP="007F74AA">
            <w:pPr>
              <w:rPr>
                <w:rFonts w:cs="Arial"/>
                <w:szCs w:val="24"/>
              </w:rPr>
            </w:pPr>
            <w:r w:rsidRPr="00AE092F">
              <w:rPr>
                <w:rFonts w:cs="Arial"/>
                <w:szCs w:val="24"/>
              </w:rPr>
              <w:t>A third country, or:</w:t>
            </w:r>
          </w:p>
          <w:p w14:paraId="448DEFD6" w14:textId="77777777" w:rsidR="00F67E9E" w:rsidRPr="00477926" w:rsidRDefault="00F67E9E" w:rsidP="007F74AA">
            <w:pPr>
              <w:pStyle w:val="Tablebullets"/>
              <w:numPr>
                <w:ilvl w:val="0"/>
                <w:numId w:val="293"/>
              </w:numPr>
              <w:ind w:hanging="720"/>
              <w:contextualSpacing w:val="0"/>
            </w:pPr>
            <w:r w:rsidRPr="00477926">
              <w:t>a territory;</w:t>
            </w:r>
          </w:p>
          <w:p w14:paraId="1436CDCB" w14:textId="77777777" w:rsidR="00F67E9E" w:rsidRPr="00477926" w:rsidRDefault="00F67E9E" w:rsidP="007F74AA">
            <w:pPr>
              <w:pStyle w:val="Tablebullets"/>
              <w:numPr>
                <w:ilvl w:val="0"/>
                <w:numId w:val="293"/>
              </w:numPr>
              <w:ind w:hanging="720"/>
              <w:contextualSpacing w:val="0"/>
            </w:pPr>
            <w:r w:rsidRPr="00477926">
              <w:t xml:space="preserve">one or more sectors or organisations within a third country; </w:t>
            </w:r>
          </w:p>
          <w:p w14:paraId="1581B18D" w14:textId="77777777" w:rsidR="00F67E9E" w:rsidRPr="00477926" w:rsidRDefault="00F67E9E" w:rsidP="007F74AA">
            <w:pPr>
              <w:pStyle w:val="Tablebullets"/>
              <w:numPr>
                <w:ilvl w:val="0"/>
                <w:numId w:val="293"/>
              </w:numPr>
              <w:ind w:hanging="720"/>
              <w:contextualSpacing w:val="0"/>
            </w:pPr>
            <w:r w:rsidRPr="00477926">
              <w:t xml:space="preserve">an international organisation; </w:t>
            </w:r>
          </w:p>
          <w:p w14:paraId="2B8528AB" w14:textId="77777777" w:rsidR="00F67E9E" w:rsidRPr="00AE092F" w:rsidRDefault="00F67E9E" w:rsidP="007F74AA">
            <w:pPr>
              <w:rPr>
                <w:rFonts w:cs="Arial"/>
                <w:szCs w:val="24"/>
              </w:rPr>
            </w:pPr>
            <w:r w:rsidRPr="00AE092F">
              <w:rPr>
                <w:rFonts w:cs="Arial"/>
                <w:szCs w:val="24"/>
              </w:rPr>
              <w:t>which the Secretary of State has specified by regulations provides an adequate level of protection of Personal Data in accordance with Section 17A of the Data Protection Act 2018.</w:t>
            </w:r>
          </w:p>
        </w:tc>
      </w:tr>
      <w:tr w:rsidR="00F67E9E" w:rsidRPr="00AE092F" w14:paraId="78E21439" w14:textId="77777777" w:rsidTr="007F74AA">
        <w:tc>
          <w:tcPr>
            <w:tcW w:w="1176" w:type="pct"/>
          </w:tcPr>
          <w:p w14:paraId="7E5EA13F" w14:textId="77777777" w:rsidR="00F67E9E" w:rsidRPr="002237C8" w:rsidRDefault="00F67E9E" w:rsidP="007F74AA">
            <w:pPr>
              <w:rPr>
                <w:rFonts w:cs="Arial"/>
                <w:b/>
                <w:szCs w:val="24"/>
              </w:rPr>
            </w:pPr>
            <w:r w:rsidRPr="002237C8">
              <w:rPr>
                <w:rFonts w:cs="Arial"/>
                <w:b/>
                <w:szCs w:val="24"/>
              </w:rPr>
              <w:t>Appropriate Safeguards</w:t>
            </w:r>
          </w:p>
        </w:tc>
        <w:tc>
          <w:tcPr>
            <w:tcW w:w="3824" w:type="pct"/>
          </w:tcPr>
          <w:p w14:paraId="0F5CDEF5" w14:textId="77777777" w:rsidR="00F67E9E" w:rsidRPr="00AE092F" w:rsidRDefault="00F67E9E" w:rsidP="007F74AA">
            <w:pPr>
              <w:rPr>
                <w:rFonts w:cs="Arial"/>
                <w:szCs w:val="24"/>
              </w:rPr>
            </w:pPr>
            <w:r w:rsidRPr="00AE092F">
              <w:rPr>
                <w:rFonts w:cs="Arial"/>
                <w:szCs w:val="24"/>
              </w:rPr>
              <w:t>The standard of protection over the Transferred Data and of the Relevant Data Subject</w:t>
            </w:r>
            <w:r>
              <w:rPr>
                <w:rFonts w:cs="Arial"/>
                <w:szCs w:val="24"/>
              </w:rPr>
              <w:t>’</w:t>
            </w:r>
            <w:r w:rsidRPr="00AE092F">
              <w:rPr>
                <w:rFonts w:cs="Arial"/>
                <w:szCs w:val="24"/>
              </w:rPr>
              <w:t>s rights, which is required by UK Data Protection Laws when you are making a Restricted Transfer relying on standard data protection clauses under Article 46(2)(d) UK GDPR.</w:t>
            </w:r>
          </w:p>
        </w:tc>
      </w:tr>
      <w:tr w:rsidR="00F67E9E" w:rsidRPr="00AE092F" w14:paraId="4DC05024" w14:textId="77777777" w:rsidTr="007F74AA">
        <w:tc>
          <w:tcPr>
            <w:tcW w:w="1176" w:type="pct"/>
          </w:tcPr>
          <w:p w14:paraId="142EC9E4" w14:textId="77777777" w:rsidR="00F67E9E" w:rsidRPr="002237C8" w:rsidRDefault="00F67E9E" w:rsidP="007F74AA">
            <w:pPr>
              <w:rPr>
                <w:rFonts w:cs="Arial"/>
                <w:b/>
                <w:szCs w:val="24"/>
              </w:rPr>
            </w:pPr>
            <w:r w:rsidRPr="002237C8">
              <w:rPr>
                <w:rFonts w:cs="Arial"/>
                <w:b/>
                <w:szCs w:val="24"/>
              </w:rPr>
              <w:t>Approved IDTA</w:t>
            </w:r>
          </w:p>
        </w:tc>
        <w:tc>
          <w:tcPr>
            <w:tcW w:w="3824" w:type="pct"/>
          </w:tcPr>
          <w:p w14:paraId="6203FAFB" w14:textId="340CD2B0" w:rsidR="00F67E9E" w:rsidRPr="00AE092F" w:rsidRDefault="00F67E9E" w:rsidP="007F74AA">
            <w:pPr>
              <w:rPr>
                <w:rFonts w:cs="Arial"/>
                <w:szCs w:val="24"/>
              </w:rPr>
            </w:pPr>
            <w:r w:rsidRPr="00AE092F">
              <w:rPr>
                <w:rFonts w:cs="Arial"/>
                <w:szCs w:val="24"/>
              </w:rPr>
              <w:t xml:space="preserve">The template IDTA A1.0 issued by the ICO and laid before Parliament in accordance with s119A of the Data Protection Act 2018 on 2 February 2022, as it is revised under Section </w:t>
            </w:r>
            <w:r w:rsidRPr="00AE092F">
              <w:rPr>
                <w:rFonts w:cs="Arial"/>
                <w:szCs w:val="24"/>
              </w:rPr>
              <w:fldChar w:fldCharType="begin"/>
            </w:r>
            <w:r w:rsidRPr="00AE092F">
              <w:rPr>
                <w:rFonts w:cs="Arial"/>
                <w:szCs w:val="24"/>
              </w:rPr>
              <w:instrText xml:space="preserve"> REF _Ref92478018 \r \h  \* MERGEFORMAT </w:instrText>
            </w:r>
            <w:r w:rsidRPr="00AE092F">
              <w:rPr>
                <w:rFonts w:cs="Arial"/>
                <w:szCs w:val="24"/>
              </w:rPr>
            </w:r>
            <w:r w:rsidRPr="00AE092F">
              <w:rPr>
                <w:rFonts w:cs="Arial"/>
                <w:szCs w:val="24"/>
              </w:rPr>
              <w:fldChar w:fldCharType="separate"/>
            </w:r>
            <w:r w:rsidR="00302D39">
              <w:rPr>
                <w:rFonts w:cs="Arial"/>
                <w:szCs w:val="24"/>
              </w:rPr>
              <w:t>5.4</w:t>
            </w:r>
            <w:r w:rsidRPr="00AE092F">
              <w:rPr>
                <w:rFonts w:cs="Arial"/>
                <w:szCs w:val="24"/>
              </w:rPr>
              <w:fldChar w:fldCharType="end"/>
            </w:r>
            <w:r w:rsidRPr="00AE092F">
              <w:rPr>
                <w:rFonts w:cs="Arial"/>
                <w:szCs w:val="24"/>
              </w:rPr>
              <w:t>.</w:t>
            </w:r>
          </w:p>
        </w:tc>
      </w:tr>
      <w:tr w:rsidR="00F67E9E" w:rsidRPr="00AE092F" w14:paraId="453F1BFB" w14:textId="77777777" w:rsidTr="007F74AA">
        <w:tc>
          <w:tcPr>
            <w:tcW w:w="1176" w:type="pct"/>
          </w:tcPr>
          <w:p w14:paraId="65CF5090" w14:textId="77777777" w:rsidR="00F67E9E" w:rsidRPr="002237C8" w:rsidRDefault="00F67E9E" w:rsidP="007F74AA">
            <w:pPr>
              <w:rPr>
                <w:rFonts w:cs="Arial"/>
                <w:b/>
                <w:szCs w:val="24"/>
              </w:rPr>
            </w:pPr>
            <w:r w:rsidRPr="002237C8">
              <w:rPr>
                <w:rFonts w:cs="Arial"/>
                <w:b/>
                <w:szCs w:val="24"/>
              </w:rPr>
              <w:t>Commercial Clauses</w:t>
            </w:r>
          </w:p>
        </w:tc>
        <w:tc>
          <w:tcPr>
            <w:tcW w:w="3824" w:type="pct"/>
          </w:tcPr>
          <w:p w14:paraId="5D529C32" w14:textId="77777777" w:rsidR="00F67E9E" w:rsidRPr="00AE092F" w:rsidRDefault="00F67E9E" w:rsidP="007F74AA">
            <w:pPr>
              <w:rPr>
                <w:rFonts w:cs="Arial"/>
                <w:szCs w:val="24"/>
              </w:rPr>
            </w:pPr>
            <w:r w:rsidRPr="00AE092F">
              <w:rPr>
                <w:rFonts w:cs="Arial"/>
                <w:szCs w:val="24"/>
              </w:rPr>
              <w:t>The commercial clauses set out in Part three.</w:t>
            </w:r>
          </w:p>
        </w:tc>
      </w:tr>
      <w:tr w:rsidR="00F67E9E" w:rsidRPr="00AE092F" w14:paraId="63C05881" w14:textId="77777777" w:rsidTr="007F74AA">
        <w:tc>
          <w:tcPr>
            <w:tcW w:w="1176" w:type="pct"/>
          </w:tcPr>
          <w:p w14:paraId="212142A7" w14:textId="77777777" w:rsidR="00F67E9E" w:rsidRPr="002237C8" w:rsidRDefault="00F67E9E" w:rsidP="007F74AA">
            <w:pPr>
              <w:rPr>
                <w:rFonts w:cs="Arial"/>
                <w:b/>
                <w:szCs w:val="24"/>
              </w:rPr>
            </w:pPr>
            <w:r w:rsidRPr="002237C8">
              <w:rPr>
                <w:rFonts w:cs="Arial"/>
                <w:b/>
                <w:szCs w:val="24"/>
              </w:rPr>
              <w:t>Controller</w:t>
            </w:r>
          </w:p>
        </w:tc>
        <w:tc>
          <w:tcPr>
            <w:tcW w:w="3824" w:type="pct"/>
          </w:tcPr>
          <w:p w14:paraId="1406CBAD" w14:textId="77777777" w:rsidR="00F67E9E" w:rsidRPr="00AE092F" w:rsidRDefault="00F67E9E" w:rsidP="007F74AA">
            <w:pPr>
              <w:rPr>
                <w:rFonts w:cs="Arial"/>
                <w:szCs w:val="24"/>
              </w:rPr>
            </w:pPr>
            <w:r w:rsidRPr="00AE092F">
              <w:rPr>
                <w:rFonts w:cs="Arial"/>
                <w:szCs w:val="24"/>
              </w:rPr>
              <w:t>As defined in the UK GDPR.</w:t>
            </w:r>
          </w:p>
        </w:tc>
      </w:tr>
      <w:tr w:rsidR="00F67E9E" w:rsidRPr="00AE092F" w14:paraId="5CB06DC5" w14:textId="77777777" w:rsidTr="007F74AA">
        <w:tc>
          <w:tcPr>
            <w:tcW w:w="1176" w:type="pct"/>
          </w:tcPr>
          <w:p w14:paraId="65103097" w14:textId="77777777" w:rsidR="00F67E9E" w:rsidRPr="002237C8" w:rsidRDefault="00F67E9E" w:rsidP="007F74AA">
            <w:pPr>
              <w:rPr>
                <w:rFonts w:cs="Arial"/>
                <w:b/>
                <w:szCs w:val="24"/>
              </w:rPr>
            </w:pPr>
            <w:r w:rsidRPr="002237C8">
              <w:rPr>
                <w:rFonts w:cs="Arial"/>
                <w:b/>
                <w:szCs w:val="24"/>
              </w:rPr>
              <w:t>Damage</w:t>
            </w:r>
          </w:p>
        </w:tc>
        <w:tc>
          <w:tcPr>
            <w:tcW w:w="3824" w:type="pct"/>
          </w:tcPr>
          <w:p w14:paraId="392507FE" w14:textId="77777777" w:rsidR="00F67E9E" w:rsidRPr="00AE092F" w:rsidRDefault="00F67E9E" w:rsidP="007F74AA">
            <w:pPr>
              <w:rPr>
                <w:rFonts w:cs="Arial"/>
                <w:szCs w:val="24"/>
              </w:rPr>
            </w:pPr>
            <w:r w:rsidRPr="007C382B">
              <w:rPr>
                <w:rFonts w:cs="Arial"/>
                <w:szCs w:val="24"/>
              </w:rPr>
              <w:t>All material and non-material loss and damage.</w:t>
            </w:r>
          </w:p>
        </w:tc>
      </w:tr>
      <w:tr w:rsidR="00F67E9E" w:rsidRPr="00AE092F" w14:paraId="20CE795F" w14:textId="77777777" w:rsidTr="007F74AA">
        <w:tc>
          <w:tcPr>
            <w:tcW w:w="1176" w:type="pct"/>
          </w:tcPr>
          <w:p w14:paraId="776FF7E1" w14:textId="77777777" w:rsidR="00F67E9E" w:rsidRPr="002237C8" w:rsidRDefault="00F67E9E" w:rsidP="007F74AA">
            <w:pPr>
              <w:rPr>
                <w:rFonts w:cs="Arial"/>
                <w:b/>
                <w:szCs w:val="24"/>
              </w:rPr>
            </w:pPr>
            <w:r w:rsidRPr="002237C8">
              <w:rPr>
                <w:rFonts w:cs="Arial"/>
                <w:b/>
                <w:szCs w:val="24"/>
              </w:rPr>
              <w:t>Data Subject</w:t>
            </w:r>
          </w:p>
        </w:tc>
        <w:tc>
          <w:tcPr>
            <w:tcW w:w="3824" w:type="pct"/>
          </w:tcPr>
          <w:p w14:paraId="1D85605C" w14:textId="77777777" w:rsidR="00F67E9E" w:rsidRPr="00AE092F" w:rsidRDefault="00F67E9E" w:rsidP="007F74AA">
            <w:pPr>
              <w:rPr>
                <w:rFonts w:cs="Arial"/>
                <w:szCs w:val="24"/>
              </w:rPr>
            </w:pPr>
            <w:r w:rsidRPr="00AE092F">
              <w:rPr>
                <w:rFonts w:cs="Arial"/>
                <w:szCs w:val="24"/>
              </w:rPr>
              <w:t>As defined in the UK GDPR.</w:t>
            </w:r>
          </w:p>
        </w:tc>
      </w:tr>
      <w:tr w:rsidR="00F67E9E" w:rsidRPr="00AE092F" w14:paraId="71A1C924" w14:textId="77777777" w:rsidTr="007F74AA">
        <w:tc>
          <w:tcPr>
            <w:tcW w:w="1176" w:type="pct"/>
          </w:tcPr>
          <w:p w14:paraId="2C130416" w14:textId="77777777" w:rsidR="00F67E9E" w:rsidRPr="002237C8" w:rsidRDefault="00F67E9E" w:rsidP="007F74AA">
            <w:pPr>
              <w:rPr>
                <w:rFonts w:cs="Arial"/>
                <w:b/>
                <w:szCs w:val="24"/>
              </w:rPr>
            </w:pPr>
            <w:r w:rsidRPr="002237C8">
              <w:rPr>
                <w:rFonts w:cs="Arial"/>
                <w:b/>
                <w:szCs w:val="24"/>
              </w:rPr>
              <w:t>Decision-Making</w:t>
            </w:r>
          </w:p>
        </w:tc>
        <w:tc>
          <w:tcPr>
            <w:tcW w:w="3824" w:type="pct"/>
          </w:tcPr>
          <w:p w14:paraId="709079E9" w14:textId="4F17CE29" w:rsidR="00F67E9E" w:rsidRPr="00AE092F" w:rsidRDefault="00F67E9E" w:rsidP="007F74AA">
            <w:pPr>
              <w:rPr>
                <w:rFonts w:cs="Arial"/>
                <w:szCs w:val="24"/>
              </w:rPr>
            </w:pPr>
            <w:r w:rsidRPr="00AE092F">
              <w:rPr>
                <w:rFonts w:cs="Arial"/>
                <w:szCs w:val="24"/>
              </w:rPr>
              <w:t xml:space="preserve">As defined in Section </w:t>
            </w:r>
            <w:r w:rsidRPr="00AE092F">
              <w:rPr>
                <w:rFonts w:cs="Arial"/>
                <w:szCs w:val="24"/>
              </w:rPr>
              <w:fldChar w:fldCharType="begin"/>
            </w:r>
            <w:r w:rsidRPr="00AE092F">
              <w:rPr>
                <w:rFonts w:cs="Arial"/>
                <w:szCs w:val="24"/>
              </w:rPr>
              <w:instrText xml:space="preserve"> REF _Ref76411982 \r \h  \* MERGEFORMAT </w:instrText>
            </w:r>
            <w:r w:rsidRPr="00AE092F">
              <w:rPr>
                <w:rFonts w:cs="Arial"/>
                <w:szCs w:val="24"/>
              </w:rPr>
            </w:r>
            <w:r w:rsidRPr="00AE092F">
              <w:rPr>
                <w:rFonts w:cs="Arial"/>
                <w:szCs w:val="24"/>
              </w:rPr>
              <w:fldChar w:fldCharType="separate"/>
            </w:r>
            <w:r w:rsidR="00302D39">
              <w:rPr>
                <w:rFonts w:cs="Arial"/>
                <w:szCs w:val="24"/>
              </w:rPr>
              <w:t>20.6</w:t>
            </w:r>
            <w:r w:rsidRPr="00AE092F">
              <w:rPr>
                <w:rFonts w:cs="Arial"/>
                <w:szCs w:val="24"/>
              </w:rPr>
              <w:fldChar w:fldCharType="end"/>
            </w:r>
            <w:r w:rsidRPr="00AE092F">
              <w:rPr>
                <w:rFonts w:cs="Arial"/>
                <w:szCs w:val="24"/>
              </w:rPr>
              <w:t>, as decisions about the Relevant Data Subjects based solely on automated processing, including profiling, using the Transferred Data.</w:t>
            </w:r>
          </w:p>
        </w:tc>
      </w:tr>
      <w:tr w:rsidR="00F67E9E" w:rsidRPr="00AE092F" w14:paraId="49C31545" w14:textId="77777777" w:rsidTr="007F74AA">
        <w:tc>
          <w:tcPr>
            <w:tcW w:w="1176" w:type="pct"/>
          </w:tcPr>
          <w:p w14:paraId="66AE60B0" w14:textId="77777777" w:rsidR="00F67E9E" w:rsidRPr="002237C8" w:rsidRDefault="00F67E9E" w:rsidP="007F74AA">
            <w:pPr>
              <w:rPr>
                <w:rFonts w:cs="Arial"/>
                <w:b/>
                <w:szCs w:val="24"/>
              </w:rPr>
            </w:pPr>
            <w:r w:rsidRPr="002237C8">
              <w:rPr>
                <w:rFonts w:cs="Arial"/>
                <w:b/>
                <w:szCs w:val="24"/>
              </w:rPr>
              <w:t>Direct Access</w:t>
            </w:r>
          </w:p>
        </w:tc>
        <w:tc>
          <w:tcPr>
            <w:tcW w:w="3824" w:type="pct"/>
          </w:tcPr>
          <w:p w14:paraId="4AC02E75" w14:textId="23952A6F" w:rsidR="00F67E9E" w:rsidRPr="00AE092F" w:rsidRDefault="00F67E9E" w:rsidP="007F74AA">
            <w:pPr>
              <w:rPr>
                <w:rFonts w:cs="Arial"/>
                <w:szCs w:val="24"/>
              </w:rPr>
            </w:pPr>
            <w:r w:rsidRPr="00AE092F">
              <w:rPr>
                <w:rFonts w:cs="Arial"/>
                <w:szCs w:val="24"/>
              </w:rPr>
              <w:t xml:space="preserve">As defined in Section </w:t>
            </w:r>
            <w:r w:rsidRPr="00AE092F">
              <w:rPr>
                <w:rFonts w:cs="Arial"/>
                <w:szCs w:val="24"/>
              </w:rPr>
              <w:fldChar w:fldCharType="begin"/>
            </w:r>
            <w:r w:rsidRPr="00AE092F">
              <w:rPr>
                <w:rFonts w:cs="Arial"/>
                <w:szCs w:val="24"/>
              </w:rPr>
              <w:instrText xml:space="preserve"> REF _Ref77674408 \r \h  \* MERGEFORMAT </w:instrText>
            </w:r>
            <w:r w:rsidRPr="00AE092F">
              <w:rPr>
                <w:rFonts w:cs="Arial"/>
                <w:szCs w:val="24"/>
              </w:rPr>
            </w:r>
            <w:r w:rsidRPr="00AE092F">
              <w:rPr>
                <w:rFonts w:cs="Arial"/>
                <w:szCs w:val="24"/>
              </w:rPr>
              <w:fldChar w:fldCharType="separate"/>
            </w:r>
            <w:r w:rsidR="00302D39">
              <w:rPr>
                <w:rFonts w:cs="Arial"/>
                <w:szCs w:val="24"/>
              </w:rPr>
              <w:t>23</w:t>
            </w:r>
            <w:r w:rsidRPr="00AE092F">
              <w:rPr>
                <w:rFonts w:cs="Arial"/>
                <w:szCs w:val="24"/>
              </w:rPr>
              <w:fldChar w:fldCharType="end"/>
            </w:r>
            <w:r w:rsidRPr="00AE092F">
              <w:rPr>
                <w:rFonts w:cs="Arial"/>
                <w:szCs w:val="24"/>
              </w:rPr>
              <w:t xml:space="preserve"> as direct access to any Transferred Data by public authorities of which the Importer is aware.</w:t>
            </w:r>
          </w:p>
        </w:tc>
      </w:tr>
      <w:tr w:rsidR="00F67E9E" w:rsidRPr="00AE092F" w14:paraId="5B509D01" w14:textId="77777777" w:rsidTr="007F74AA">
        <w:tc>
          <w:tcPr>
            <w:tcW w:w="1176" w:type="pct"/>
          </w:tcPr>
          <w:p w14:paraId="5C13DEF1" w14:textId="77777777" w:rsidR="00F67E9E" w:rsidRPr="002237C8" w:rsidRDefault="00F67E9E" w:rsidP="007F74AA">
            <w:pPr>
              <w:rPr>
                <w:rFonts w:cs="Arial"/>
                <w:b/>
                <w:szCs w:val="24"/>
              </w:rPr>
            </w:pPr>
            <w:r w:rsidRPr="002237C8">
              <w:rPr>
                <w:rFonts w:cs="Arial"/>
                <w:b/>
                <w:szCs w:val="24"/>
              </w:rPr>
              <w:t>Exporter</w:t>
            </w:r>
          </w:p>
        </w:tc>
        <w:tc>
          <w:tcPr>
            <w:tcW w:w="3824" w:type="pct"/>
          </w:tcPr>
          <w:p w14:paraId="015CAC74" w14:textId="77777777" w:rsidR="00F67E9E" w:rsidRPr="00AE092F" w:rsidRDefault="00F67E9E" w:rsidP="007F74AA">
            <w:pPr>
              <w:rPr>
                <w:rFonts w:cs="Arial"/>
                <w:szCs w:val="24"/>
              </w:rPr>
            </w:pPr>
            <w:r w:rsidRPr="00AE092F">
              <w:rPr>
                <w:rFonts w:cs="Arial"/>
                <w:szCs w:val="24"/>
              </w:rPr>
              <w:t>The exporter identified in Table 1: Parties &amp; Signature.</w:t>
            </w:r>
          </w:p>
        </w:tc>
      </w:tr>
      <w:tr w:rsidR="00F67E9E" w:rsidRPr="00AE092F" w14:paraId="74C4EEB8" w14:textId="77777777" w:rsidTr="007F74AA">
        <w:tc>
          <w:tcPr>
            <w:tcW w:w="1176" w:type="pct"/>
          </w:tcPr>
          <w:p w14:paraId="3EA4186A" w14:textId="77777777" w:rsidR="00F67E9E" w:rsidRPr="002237C8" w:rsidRDefault="00F67E9E" w:rsidP="007F74AA">
            <w:pPr>
              <w:rPr>
                <w:rFonts w:cs="Arial"/>
                <w:b/>
                <w:szCs w:val="24"/>
              </w:rPr>
            </w:pPr>
            <w:r w:rsidRPr="002237C8">
              <w:rPr>
                <w:rFonts w:cs="Arial"/>
                <w:b/>
                <w:szCs w:val="24"/>
              </w:rPr>
              <w:t>Extra Protection Clauses</w:t>
            </w:r>
          </w:p>
        </w:tc>
        <w:tc>
          <w:tcPr>
            <w:tcW w:w="3824" w:type="pct"/>
          </w:tcPr>
          <w:p w14:paraId="384972C6" w14:textId="77777777" w:rsidR="00F67E9E" w:rsidRPr="00AE092F" w:rsidRDefault="00F67E9E" w:rsidP="007F74AA">
            <w:pPr>
              <w:rPr>
                <w:rFonts w:cs="Arial"/>
                <w:szCs w:val="24"/>
              </w:rPr>
            </w:pPr>
            <w:r w:rsidRPr="00AE092F">
              <w:rPr>
                <w:rFonts w:cs="Arial"/>
                <w:szCs w:val="24"/>
              </w:rPr>
              <w:t>The clauses set out in Part two: Extra Protection Clauses.</w:t>
            </w:r>
          </w:p>
        </w:tc>
      </w:tr>
      <w:tr w:rsidR="00F67E9E" w:rsidRPr="00AE092F" w14:paraId="268A6F9C" w14:textId="77777777" w:rsidTr="007F74AA">
        <w:tc>
          <w:tcPr>
            <w:tcW w:w="1176" w:type="pct"/>
          </w:tcPr>
          <w:p w14:paraId="4206EC0D" w14:textId="77777777" w:rsidR="00F67E9E" w:rsidRPr="002237C8" w:rsidRDefault="00F67E9E" w:rsidP="007F74AA">
            <w:pPr>
              <w:rPr>
                <w:rFonts w:cs="Arial"/>
                <w:b/>
                <w:szCs w:val="24"/>
              </w:rPr>
            </w:pPr>
            <w:r w:rsidRPr="002237C8">
              <w:rPr>
                <w:rFonts w:cs="Arial"/>
                <w:b/>
                <w:szCs w:val="24"/>
              </w:rPr>
              <w:t>ICO</w:t>
            </w:r>
          </w:p>
        </w:tc>
        <w:tc>
          <w:tcPr>
            <w:tcW w:w="3824" w:type="pct"/>
          </w:tcPr>
          <w:p w14:paraId="1E9A7515" w14:textId="77777777" w:rsidR="00F67E9E" w:rsidRPr="00AE092F" w:rsidRDefault="00F67E9E" w:rsidP="007F74AA">
            <w:pPr>
              <w:rPr>
                <w:rFonts w:cs="Arial"/>
                <w:szCs w:val="24"/>
              </w:rPr>
            </w:pPr>
            <w:r w:rsidRPr="00AE092F">
              <w:rPr>
                <w:rFonts w:cs="Arial"/>
                <w:szCs w:val="24"/>
              </w:rPr>
              <w:t>The Information Commissioner.</w:t>
            </w:r>
          </w:p>
        </w:tc>
      </w:tr>
      <w:tr w:rsidR="00F67E9E" w:rsidRPr="00AE092F" w14:paraId="68150052" w14:textId="77777777" w:rsidTr="007F74AA">
        <w:tc>
          <w:tcPr>
            <w:tcW w:w="1176" w:type="pct"/>
          </w:tcPr>
          <w:p w14:paraId="27E88A5E" w14:textId="77777777" w:rsidR="00F67E9E" w:rsidRPr="002237C8" w:rsidRDefault="00F67E9E" w:rsidP="007F74AA">
            <w:pPr>
              <w:rPr>
                <w:rFonts w:cs="Arial"/>
                <w:b/>
                <w:szCs w:val="24"/>
              </w:rPr>
            </w:pPr>
            <w:r w:rsidRPr="002237C8">
              <w:rPr>
                <w:rFonts w:cs="Arial"/>
                <w:b/>
                <w:szCs w:val="24"/>
              </w:rPr>
              <w:t>Importer</w:t>
            </w:r>
          </w:p>
        </w:tc>
        <w:tc>
          <w:tcPr>
            <w:tcW w:w="3824" w:type="pct"/>
          </w:tcPr>
          <w:p w14:paraId="1F10F1B2" w14:textId="77777777" w:rsidR="00F67E9E" w:rsidRPr="00AE092F" w:rsidRDefault="00F67E9E" w:rsidP="007F74AA">
            <w:pPr>
              <w:rPr>
                <w:rFonts w:cs="Arial"/>
                <w:szCs w:val="24"/>
              </w:rPr>
            </w:pPr>
            <w:r w:rsidRPr="00AE092F">
              <w:rPr>
                <w:rFonts w:cs="Arial"/>
                <w:szCs w:val="24"/>
              </w:rPr>
              <w:t>The importer identified in Table 1: Parties &amp; Signature.</w:t>
            </w:r>
          </w:p>
        </w:tc>
      </w:tr>
      <w:tr w:rsidR="00F67E9E" w:rsidRPr="00AE092F" w14:paraId="28D63137" w14:textId="77777777" w:rsidTr="007F74AA">
        <w:tc>
          <w:tcPr>
            <w:tcW w:w="1176" w:type="pct"/>
          </w:tcPr>
          <w:p w14:paraId="08BA2EA5" w14:textId="77777777" w:rsidR="00F67E9E" w:rsidRPr="002237C8" w:rsidRDefault="00F67E9E" w:rsidP="007F74AA">
            <w:pPr>
              <w:rPr>
                <w:rFonts w:cs="Arial"/>
                <w:b/>
                <w:szCs w:val="24"/>
              </w:rPr>
            </w:pPr>
            <w:r w:rsidRPr="002237C8">
              <w:rPr>
                <w:rFonts w:cs="Arial"/>
                <w:b/>
                <w:szCs w:val="24"/>
              </w:rPr>
              <w:t>Importer Data Subject Contact</w:t>
            </w:r>
          </w:p>
        </w:tc>
        <w:tc>
          <w:tcPr>
            <w:tcW w:w="3824" w:type="pct"/>
          </w:tcPr>
          <w:p w14:paraId="699C3626" w14:textId="3815482D" w:rsidR="00F67E9E" w:rsidRPr="00AE092F" w:rsidRDefault="00F67E9E" w:rsidP="007F74AA">
            <w:pPr>
              <w:rPr>
                <w:rFonts w:cs="Arial"/>
                <w:szCs w:val="24"/>
              </w:rPr>
            </w:pPr>
            <w:r w:rsidRPr="00AE092F">
              <w:rPr>
                <w:rFonts w:cs="Arial"/>
                <w:szCs w:val="24"/>
              </w:rPr>
              <w:t xml:space="preserve">The Importer Data Subject Contact identified in Table 1: Parties &amp; Signature, which may be updated in accordance with Section </w:t>
            </w:r>
            <w:r w:rsidRPr="00AE092F">
              <w:rPr>
                <w:rFonts w:cs="Arial"/>
                <w:szCs w:val="24"/>
              </w:rPr>
              <w:fldChar w:fldCharType="begin"/>
            </w:r>
            <w:r w:rsidRPr="00AE092F">
              <w:rPr>
                <w:rFonts w:cs="Arial"/>
                <w:szCs w:val="24"/>
              </w:rPr>
              <w:instrText xml:space="preserve"> REF  Section_19 \h \r  \* MERGEFORMAT </w:instrText>
            </w:r>
            <w:r w:rsidRPr="00AE092F">
              <w:rPr>
                <w:rFonts w:cs="Arial"/>
                <w:szCs w:val="24"/>
              </w:rPr>
            </w:r>
            <w:r w:rsidRPr="00AE092F">
              <w:rPr>
                <w:rFonts w:cs="Arial"/>
                <w:szCs w:val="24"/>
              </w:rPr>
              <w:fldChar w:fldCharType="separate"/>
            </w:r>
            <w:r w:rsidR="00302D39">
              <w:rPr>
                <w:rFonts w:cs="Arial"/>
                <w:szCs w:val="24"/>
              </w:rPr>
              <w:t>19</w:t>
            </w:r>
            <w:r w:rsidRPr="00AE092F">
              <w:rPr>
                <w:rFonts w:cs="Arial"/>
                <w:szCs w:val="24"/>
              </w:rPr>
              <w:fldChar w:fldCharType="end"/>
            </w:r>
            <w:r w:rsidRPr="00AE092F">
              <w:rPr>
                <w:rFonts w:cs="Arial"/>
                <w:szCs w:val="24"/>
              </w:rPr>
              <w:t>.</w:t>
            </w:r>
          </w:p>
        </w:tc>
      </w:tr>
      <w:tr w:rsidR="00F67E9E" w:rsidRPr="00AE092F" w14:paraId="4EFF984D" w14:textId="77777777" w:rsidTr="007F74AA">
        <w:tc>
          <w:tcPr>
            <w:tcW w:w="1176" w:type="pct"/>
          </w:tcPr>
          <w:p w14:paraId="3C2AC38D" w14:textId="77777777" w:rsidR="00F67E9E" w:rsidRPr="002237C8" w:rsidRDefault="00F67E9E" w:rsidP="007F74AA">
            <w:pPr>
              <w:rPr>
                <w:rFonts w:cs="Arial"/>
                <w:b/>
                <w:szCs w:val="24"/>
              </w:rPr>
            </w:pPr>
            <w:r w:rsidRPr="002237C8">
              <w:rPr>
                <w:rFonts w:cs="Arial"/>
                <w:b/>
                <w:szCs w:val="24"/>
              </w:rPr>
              <w:t>Importer Information</w:t>
            </w:r>
          </w:p>
        </w:tc>
        <w:tc>
          <w:tcPr>
            <w:tcW w:w="3824" w:type="pct"/>
          </w:tcPr>
          <w:p w14:paraId="4F9CD762" w14:textId="50328806" w:rsidR="00F67E9E" w:rsidRPr="00AE092F" w:rsidRDefault="00F67E9E" w:rsidP="007F74AA">
            <w:pPr>
              <w:rPr>
                <w:rFonts w:cs="Arial"/>
                <w:szCs w:val="24"/>
              </w:rPr>
            </w:pPr>
            <w:r w:rsidRPr="00AE092F">
              <w:rPr>
                <w:rFonts w:cs="Arial"/>
                <w:szCs w:val="24"/>
              </w:rPr>
              <w:t xml:space="preserve">As defined in Section </w:t>
            </w:r>
            <w:r w:rsidRPr="00AE092F">
              <w:rPr>
                <w:rFonts w:cs="Arial"/>
                <w:szCs w:val="24"/>
              </w:rPr>
              <w:fldChar w:fldCharType="begin"/>
            </w:r>
            <w:r w:rsidRPr="00AE092F">
              <w:rPr>
                <w:rFonts w:cs="Arial"/>
                <w:szCs w:val="24"/>
              </w:rPr>
              <w:instrText xml:space="preserve"> REF _Ref89216844 \r \h  \* MERGEFORMAT </w:instrText>
            </w:r>
            <w:r w:rsidRPr="00AE092F">
              <w:rPr>
                <w:rFonts w:cs="Arial"/>
                <w:szCs w:val="24"/>
              </w:rPr>
            </w:r>
            <w:r w:rsidRPr="00AE092F">
              <w:rPr>
                <w:rFonts w:cs="Arial"/>
                <w:szCs w:val="24"/>
              </w:rPr>
              <w:fldChar w:fldCharType="separate"/>
            </w:r>
            <w:r w:rsidR="00302D39">
              <w:rPr>
                <w:rFonts w:cs="Arial"/>
                <w:szCs w:val="24"/>
              </w:rPr>
              <w:t>8.3.1</w:t>
            </w:r>
            <w:r w:rsidRPr="00AE092F">
              <w:rPr>
                <w:rFonts w:cs="Arial"/>
                <w:szCs w:val="24"/>
              </w:rPr>
              <w:fldChar w:fldCharType="end"/>
            </w:r>
            <w:r w:rsidRPr="00AE092F">
              <w:rPr>
                <w:rFonts w:cs="Arial"/>
                <w:szCs w:val="24"/>
              </w:rPr>
              <w:t>, as all relevant information regarding Local Laws and practices and the protections and risks which apply to the Transferred Data when it is Processed by the Importer, including for the Exporter to carry out any TRA.</w:t>
            </w:r>
          </w:p>
        </w:tc>
      </w:tr>
      <w:tr w:rsidR="00F67E9E" w:rsidRPr="00AE092F" w14:paraId="587BF8F5" w14:textId="77777777" w:rsidTr="007F74AA">
        <w:tc>
          <w:tcPr>
            <w:tcW w:w="1176" w:type="pct"/>
          </w:tcPr>
          <w:p w14:paraId="3E82A9AC" w14:textId="77777777" w:rsidR="00F67E9E" w:rsidRPr="002237C8" w:rsidRDefault="00F67E9E" w:rsidP="007F74AA">
            <w:pPr>
              <w:rPr>
                <w:rFonts w:cs="Arial"/>
                <w:b/>
                <w:szCs w:val="24"/>
              </w:rPr>
            </w:pPr>
            <w:r w:rsidRPr="002237C8">
              <w:rPr>
                <w:rFonts w:cs="Arial"/>
                <w:b/>
                <w:szCs w:val="24"/>
              </w:rPr>
              <w:t xml:space="preserve">Importer </w:t>
            </w:r>
            <w:r>
              <w:rPr>
                <w:rFonts w:cs="Arial"/>
                <w:b/>
                <w:szCs w:val="24"/>
              </w:rPr>
              <w:t>Data Loss Event</w:t>
            </w:r>
          </w:p>
        </w:tc>
        <w:tc>
          <w:tcPr>
            <w:tcW w:w="3824" w:type="pct"/>
          </w:tcPr>
          <w:p w14:paraId="35B4144F" w14:textId="77777777" w:rsidR="00F67E9E" w:rsidRPr="00AE092F" w:rsidRDefault="00F67E9E" w:rsidP="007F74AA">
            <w:pPr>
              <w:rPr>
                <w:rFonts w:cs="Arial"/>
                <w:szCs w:val="24"/>
              </w:rPr>
            </w:pPr>
            <w:r w:rsidRPr="00AE092F">
              <w:rPr>
                <w:rFonts w:cs="Arial"/>
                <w:szCs w:val="24"/>
              </w:rPr>
              <w:t xml:space="preserve">A </w:t>
            </w:r>
            <w:r>
              <w:rPr>
                <w:rFonts w:cs="Arial"/>
                <w:szCs w:val="24"/>
              </w:rPr>
              <w:t>‘</w:t>
            </w:r>
            <w:r w:rsidRPr="00AE092F">
              <w:rPr>
                <w:rFonts w:cs="Arial"/>
                <w:szCs w:val="24"/>
              </w:rPr>
              <w:t>personal data breach</w:t>
            </w:r>
            <w:r>
              <w:rPr>
                <w:rFonts w:cs="Arial"/>
                <w:szCs w:val="24"/>
              </w:rPr>
              <w:t>’</w:t>
            </w:r>
            <w:r w:rsidRPr="00AE092F">
              <w:rPr>
                <w:rFonts w:cs="Arial"/>
                <w:szCs w:val="24"/>
              </w:rPr>
              <w:t xml:space="preserve"> as defined in UK GDPR, in relation to the Transferred Data when Processed by the Importer.</w:t>
            </w:r>
          </w:p>
        </w:tc>
      </w:tr>
      <w:tr w:rsidR="00F67E9E" w:rsidRPr="00AE092F" w14:paraId="2FF94E43" w14:textId="77777777" w:rsidTr="007F74AA">
        <w:tc>
          <w:tcPr>
            <w:tcW w:w="1176" w:type="pct"/>
          </w:tcPr>
          <w:p w14:paraId="270ABC2D" w14:textId="77777777" w:rsidR="00F67E9E" w:rsidRPr="002237C8" w:rsidRDefault="00F67E9E" w:rsidP="007F74AA">
            <w:pPr>
              <w:rPr>
                <w:rFonts w:cs="Arial"/>
                <w:b/>
                <w:szCs w:val="24"/>
              </w:rPr>
            </w:pPr>
            <w:r w:rsidRPr="002237C8">
              <w:rPr>
                <w:rFonts w:cs="Arial"/>
                <w:b/>
                <w:szCs w:val="24"/>
              </w:rPr>
              <w:t>Linked Agreement</w:t>
            </w:r>
          </w:p>
        </w:tc>
        <w:tc>
          <w:tcPr>
            <w:tcW w:w="3824" w:type="pct"/>
          </w:tcPr>
          <w:p w14:paraId="61E1D6C6" w14:textId="77777777" w:rsidR="00F67E9E" w:rsidRPr="00AE092F" w:rsidRDefault="00F67E9E" w:rsidP="007F74AA">
            <w:pPr>
              <w:rPr>
                <w:rFonts w:cs="Arial"/>
                <w:szCs w:val="24"/>
              </w:rPr>
            </w:pPr>
            <w:r w:rsidRPr="00AE092F">
              <w:rPr>
                <w:rFonts w:cs="Arial"/>
                <w:szCs w:val="24"/>
              </w:rPr>
              <w:t>The linked agreements set out in Table 2: Transfer Details (if any)</w:t>
            </w:r>
            <w:r w:rsidRPr="006A54F8">
              <w:rPr>
                <w:rFonts w:cs="Arial"/>
                <w:szCs w:val="24"/>
              </w:rPr>
              <w:t>.</w:t>
            </w:r>
          </w:p>
        </w:tc>
      </w:tr>
      <w:tr w:rsidR="00F67E9E" w:rsidRPr="00AE092F" w14:paraId="681852D5" w14:textId="77777777" w:rsidTr="007F74AA">
        <w:tc>
          <w:tcPr>
            <w:tcW w:w="1176" w:type="pct"/>
          </w:tcPr>
          <w:p w14:paraId="0A3C1C23" w14:textId="77777777" w:rsidR="00F67E9E" w:rsidRPr="002237C8" w:rsidRDefault="00F67E9E" w:rsidP="007F74AA">
            <w:pPr>
              <w:rPr>
                <w:rFonts w:cs="Arial"/>
                <w:b/>
                <w:szCs w:val="24"/>
              </w:rPr>
            </w:pPr>
            <w:r w:rsidRPr="002237C8">
              <w:rPr>
                <w:rFonts w:cs="Arial"/>
                <w:b/>
                <w:szCs w:val="24"/>
              </w:rPr>
              <w:t>Local Laws</w:t>
            </w:r>
          </w:p>
        </w:tc>
        <w:tc>
          <w:tcPr>
            <w:tcW w:w="3824" w:type="pct"/>
          </w:tcPr>
          <w:p w14:paraId="3F101C3E" w14:textId="77777777" w:rsidR="00F67E9E" w:rsidRPr="00AE092F" w:rsidRDefault="00F67E9E" w:rsidP="007F74AA">
            <w:pPr>
              <w:rPr>
                <w:rFonts w:cs="Arial"/>
                <w:szCs w:val="24"/>
              </w:rPr>
            </w:pPr>
            <w:r w:rsidRPr="00AE092F">
              <w:rPr>
                <w:rFonts w:cs="Arial"/>
                <w:szCs w:val="24"/>
              </w:rPr>
              <w:t xml:space="preserve">Laws which are not the laws of the UK and which bind the Importer. </w:t>
            </w:r>
          </w:p>
        </w:tc>
      </w:tr>
      <w:tr w:rsidR="00F67E9E" w:rsidRPr="00AE092F" w14:paraId="62ECCC1B" w14:textId="77777777" w:rsidTr="007F74AA">
        <w:tc>
          <w:tcPr>
            <w:tcW w:w="1176" w:type="pct"/>
          </w:tcPr>
          <w:p w14:paraId="082EAD31" w14:textId="77777777" w:rsidR="00F67E9E" w:rsidRPr="002237C8" w:rsidRDefault="00F67E9E" w:rsidP="007F74AA">
            <w:pPr>
              <w:rPr>
                <w:rFonts w:cs="Arial"/>
                <w:b/>
                <w:szCs w:val="24"/>
              </w:rPr>
            </w:pPr>
            <w:r w:rsidRPr="002237C8">
              <w:rPr>
                <w:rFonts w:cs="Arial"/>
                <w:b/>
                <w:szCs w:val="24"/>
              </w:rPr>
              <w:t>Mandatory Clauses</w:t>
            </w:r>
          </w:p>
        </w:tc>
        <w:tc>
          <w:tcPr>
            <w:tcW w:w="3824" w:type="pct"/>
          </w:tcPr>
          <w:p w14:paraId="01B6F54A" w14:textId="77777777" w:rsidR="00F67E9E" w:rsidRPr="00AE092F" w:rsidRDefault="00F67E9E" w:rsidP="007F74AA">
            <w:pPr>
              <w:rPr>
                <w:rFonts w:cs="Arial"/>
                <w:szCs w:val="24"/>
              </w:rPr>
            </w:pPr>
            <w:r w:rsidRPr="00AE092F">
              <w:rPr>
                <w:rFonts w:cs="Arial"/>
                <w:szCs w:val="24"/>
              </w:rPr>
              <w:t>Part four: Mandatory Clauses of this IDTA.</w:t>
            </w:r>
          </w:p>
        </w:tc>
      </w:tr>
      <w:tr w:rsidR="00F67E9E" w:rsidRPr="00AE092F" w14:paraId="54EEAEB8" w14:textId="77777777" w:rsidTr="007F74AA">
        <w:tc>
          <w:tcPr>
            <w:tcW w:w="1176" w:type="pct"/>
          </w:tcPr>
          <w:p w14:paraId="315F18CE" w14:textId="77777777" w:rsidR="00F67E9E" w:rsidRPr="002237C8" w:rsidRDefault="00F67E9E" w:rsidP="007F74AA">
            <w:pPr>
              <w:rPr>
                <w:rFonts w:cs="Arial"/>
                <w:b/>
                <w:szCs w:val="24"/>
              </w:rPr>
            </w:pPr>
            <w:r w:rsidRPr="002237C8">
              <w:rPr>
                <w:rFonts w:cs="Arial"/>
                <w:b/>
                <w:szCs w:val="24"/>
              </w:rPr>
              <w:t>Notice Period</w:t>
            </w:r>
          </w:p>
        </w:tc>
        <w:tc>
          <w:tcPr>
            <w:tcW w:w="3824" w:type="pct"/>
          </w:tcPr>
          <w:p w14:paraId="28475E05" w14:textId="77777777" w:rsidR="00F67E9E" w:rsidRPr="00AE092F" w:rsidRDefault="00F67E9E" w:rsidP="007F74AA">
            <w:pPr>
              <w:rPr>
                <w:rFonts w:cs="Arial"/>
                <w:szCs w:val="24"/>
              </w:rPr>
            </w:pPr>
            <w:r w:rsidRPr="00AE092F">
              <w:rPr>
                <w:rFonts w:cs="Arial"/>
                <w:szCs w:val="24"/>
              </w:rPr>
              <w:t>As set out in Table 2: Transfer Details.</w:t>
            </w:r>
          </w:p>
        </w:tc>
      </w:tr>
      <w:tr w:rsidR="00F67E9E" w:rsidRPr="00AE092F" w14:paraId="72AB6C0E" w14:textId="77777777" w:rsidTr="007F74AA">
        <w:tc>
          <w:tcPr>
            <w:tcW w:w="1176" w:type="pct"/>
          </w:tcPr>
          <w:p w14:paraId="63B1BEEE" w14:textId="77777777" w:rsidR="00F67E9E" w:rsidRPr="002237C8" w:rsidRDefault="00F67E9E" w:rsidP="007F74AA">
            <w:pPr>
              <w:rPr>
                <w:rFonts w:cs="Arial"/>
                <w:b/>
                <w:szCs w:val="24"/>
              </w:rPr>
            </w:pPr>
            <w:r w:rsidRPr="002237C8">
              <w:rPr>
                <w:rFonts w:cs="Arial"/>
                <w:b/>
                <w:szCs w:val="24"/>
              </w:rPr>
              <w:t>Party/Parties</w:t>
            </w:r>
          </w:p>
        </w:tc>
        <w:tc>
          <w:tcPr>
            <w:tcW w:w="3824" w:type="pct"/>
          </w:tcPr>
          <w:p w14:paraId="34F6947E" w14:textId="77777777" w:rsidR="00F67E9E" w:rsidRPr="00AE092F" w:rsidRDefault="00F67E9E" w:rsidP="007F74AA">
            <w:pPr>
              <w:rPr>
                <w:rFonts w:cs="Arial"/>
                <w:szCs w:val="24"/>
              </w:rPr>
            </w:pPr>
            <w:r w:rsidRPr="00AE092F">
              <w:rPr>
                <w:rFonts w:cs="Arial"/>
                <w:szCs w:val="24"/>
              </w:rPr>
              <w:t>The parties to this IDTA as set out in Table 1: Parties &amp; Signature.</w:t>
            </w:r>
          </w:p>
        </w:tc>
      </w:tr>
      <w:tr w:rsidR="00F67E9E" w:rsidRPr="00AE092F" w14:paraId="3CD57C9E" w14:textId="77777777" w:rsidTr="007F74AA">
        <w:tc>
          <w:tcPr>
            <w:tcW w:w="1176" w:type="pct"/>
          </w:tcPr>
          <w:p w14:paraId="355D3D76" w14:textId="77777777" w:rsidR="00F67E9E" w:rsidRPr="002237C8" w:rsidRDefault="00F67E9E" w:rsidP="007F74AA">
            <w:pPr>
              <w:rPr>
                <w:rFonts w:cs="Arial"/>
                <w:b/>
                <w:szCs w:val="24"/>
              </w:rPr>
            </w:pPr>
            <w:r w:rsidRPr="002237C8">
              <w:rPr>
                <w:rFonts w:cs="Arial"/>
                <w:b/>
                <w:szCs w:val="24"/>
              </w:rPr>
              <w:t>Personal Data</w:t>
            </w:r>
          </w:p>
        </w:tc>
        <w:tc>
          <w:tcPr>
            <w:tcW w:w="3824" w:type="pct"/>
          </w:tcPr>
          <w:p w14:paraId="550BB2C1" w14:textId="77777777" w:rsidR="00F67E9E" w:rsidRPr="00AE092F" w:rsidRDefault="00F67E9E" w:rsidP="007F74AA">
            <w:pPr>
              <w:rPr>
                <w:rFonts w:cs="Arial"/>
                <w:szCs w:val="24"/>
              </w:rPr>
            </w:pPr>
            <w:r w:rsidRPr="00AE092F">
              <w:rPr>
                <w:rFonts w:cs="Arial"/>
                <w:szCs w:val="24"/>
              </w:rPr>
              <w:t>As defined in the UK GDPR.</w:t>
            </w:r>
          </w:p>
        </w:tc>
      </w:tr>
      <w:tr w:rsidR="00F67E9E" w:rsidRPr="00AE092F" w14:paraId="294BFDA3" w14:textId="77777777" w:rsidTr="007F74AA">
        <w:tc>
          <w:tcPr>
            <w:tcW w:w="1176" w:type="pct"/>
          </w:tcPr>
          <w:p w14:paraId="651A7F74" w14:textId="77777777" w:rsidR="00F67E9E" w:rsidRPr="002237C8" w:rsidRDefault="00F67E9E" w:rsidP="007F74AA">
            <w:pPr>
              <w:rPr>
                <w:rFonts w:cs="Arial"/>
                <w:b/>
                <w:szCs w:val="24"/>
              </w:rPr>
            </w:pPr>
            <w:r>
              <w:rPr>
                <w:rFonts w:cs="Arial"/>
                <w:b/>
                <w:szCs w:val="24"/>
              </w:rPr>
              <w:t>Data Loss Event</w:t>
            </w:r>
          </w:p>
        </w:tc>
        <w:tc>
          <w:tcPr>
            <w:tcW w:w="3824" w:type="pct"/>
          </w:tcPr>
          <w:p w14:paraId="44987EF9" w14:textId="77777777" w:rsidR="00F67E9E" w:rsidRPr="00AE092F" w:rsidRDefault="00F67E9E" w:rsidP="007F74AA">
            <w:pPr>
              <w:rPr>
                <w:rFonts w:cs="Arial"/>
                <w:szCs w:val="24"/>
              </w:rPr>
            </w:pPr>
            <w:r w:rsidRPr="00AE092F">
              <w:rPr>
                <w:rFonts w:cs="Arial"/>
                <w:szCs w:val="24"/>
              </w:rPr>
              <w:t>As defined in the UK GDPR.</w:t>
            </w:r>
          </w:p>
        </w:tc>
      </w:tr>
      <w:tr w:rsidR="00F67E9E" w:rsidRPr="00AE092F" w14:paraId="5057D06D" w14:textId="77777777" w:rsidTr="007F74AA">
        <w:tc>
          <w:tcPr>
            <w:tcW w:w="1176" w:type="pct"/>
          </w:tcPr>
          <w:p w14:paraId="634E0E42" w14:textId="77777777" w:rsidR="00F67E9E" w:rsidRPr="002237C8" w:rsidRDefault="00F67E9E" w:rsidP="007F74AA">
            <w:pPr>
              <w:rPr>
                <w:rFonts w:cs="Arial"/>
                <w:b/>
                <w:szCs w:val="24"/>
              </w:rPr>
            </w:pPr>
            <w:r w:rsidRPr="002237C8">
              <w:rPr>
                <w:rFonts w:cs="Arial"/>
                <w:b/>
                <w:szCs w:val="24"/>
              </w:rPr>
              <w:t>Processing</w:t>
            </w:r>
          </w:p>
        </w:tc>
        <w:tc>
          <w:tcPr>
            <w:tcW w:w="3824" w:type="pct"/>
          </w:tcPr>
          <w:p w14:paraId="4485F515" w14:textId="77777777" w:rsidR="00F67E9E" w:rsidRPr="00AE092F" w:rsidRDefault="00F67E9E" w:rsidP="007F74AA">
            <w:pPr>
              <w:rPr>
                <w:rFonts w:cs="Arial"/>
                <w:szCs w:val="24"/>
              </w:rPr>
            </w:pPr>
            <w:r w:rsidRPr="00AE092F">
              <w:rPr>
                <w:rFonts w:cs="Arial"/>
                <w:szCs w:val="24"/>
              </w:rPr>
              <w:t xml:space="preserve">As defined in the UK GDPR. </w:t>
            </w:r>
          </w:p>
          <w:p w14:paraId="6218112D" w14:textId="77777777" w:rsidR="00F67E9E" w:rsidRPr="00AE092F" w:rsidRDefault="00F67E9E" w:rsidP="007F74AA">
            <w:pPr>
              <w:rPr>
                <w:rFonts w:cs="Arial"/>
                <w:szCs w:val="24"/>
              </w:rPr>
            </w:pPr>
            <w:r w:rsidRPr="00AE092F">
              <w:rPr>
                <w:rFonts w:cs="Arial"/>
                <w:szCs w:val="24"/>
              </w:rPr>
              <w:t>When the IDTA refers to Processing by the Importer, this includes where a third party Sub-Processor of the Importer is Processing on the Importer</w:t>
            </w:r>
            <w:r>
              <w:rPr>
                <w:rFonts w:cs="Arial"/>
                <w:szCs w:val="24"/>
              </w:rPr>
              <w:t>’</w:t>
            </w:r>
            <w:r w:rsidRPr="00AE092F">
              <w:rPr>
                <w:rFonts w:cs="Arial"/>
                <w:szCs w:val="24"/>
              </w:rPr>
              <w:t>s behalf.</w:t>
            </w:r>
          </w:p>
        </w:tc>
      </w:tr>
      <w:tr w:rsidR="00F67E9E" w:rsidRPr="00AE092F" w14:paraId="2F3893F4" w14:textId="77777777" w:rsidTr="007F74AA">
        <w:tc>
          <w:tcPr>
            <w:tcW w:w="1176" w:type="pct"/>
          </w:tcPr>
          <w:p w14:paraId="53E3C0B6" w14:textId="77777777" w:rsidR="00F67E9E" w:rsidRPr="002237C8" w:rsidRDefault="00F67E9E" w:rsidP="007F74AA">
            <w:pPr>
              <w:rPr>
                <w:rFonts w:cs="Arial"/>
                <w:b/>
                <w:szCs w:val="24"/>
              </w:rPr>
            </w:pPr>
            <w:r w:rsidRPr="002237C8">
              <w:rPr>
                <w:rFonts w:cs="Arial"/>
                <w:b/>
                <w:szCs w:val="24"/>
              </w:rPr>
              <w:t>Processor</w:t>
            </w:r>
          </w:p>
        </w:tc>
        <w:tc>
          <w:tcPr>
            <w:tcW w:w="3824" w:type="pct"/>
          </w:tcPr>
          <w:p w14:paraId="6364DB29" w14:textId="77777777" w:rsidR="00F67E9E" w:rsidRPr="00AE092F" w:rsidRDefault="00F67E9E" w:rsidP="007F74AA">
            <w:pPr>
              <w:rPr>
                <w:rFonts w:cs="Arial"/>
                <w:szCs w:val="24"/>
              </w:rPr>
            </w:pPr>
            <w:r w:rsidRPr="00AE092F">
              <w:rPr>
                <w:rFonts w:cs="Arial"/>
                <w:szCs w:val="24"/>
              </w:rPr>
              <w:t>As defined in the UK GDPR.</w:t>
            </w:r>
          </w:p>
        </w:tc>
      </w:tr>
      <w:tr w:rsidR="00F67E9E" w:rsidRPr="00AE092F" w14:paraId="24B4E11B" w14:textId="77777777" w:rsidTr="007F74AA">
        <w:tc>
          <w:tcPr>
            <w:tcW w:w="1176" w:type="pct"/>
          </w:tcPr>
          <w:p w14:paraId="2890CC3D" w14:textId="77777777" w:rsidR="00F67E9E" w:rsidRPr="002237C8" w:rsidRDefault="00F67E9E" w:rsidP="007F74AA">
            <w:pPr>
              <w:rPr>
                <w:rFonts w:cs="Arial"/>
                <w:b/>
                <w:szCs w:val="24"/>
              </w:rPr>
            </w:pPr>
            <w:r w:rsidRPr="002237C8">
              <w:rPr>
                <w:rFonts w:cs="Arial"/>
                <w:b/>
                <w:szCs w:val="24"/>
              </w:rPr>
              <w:t>Purpose</w:t>
            </w:r>
          </w:p>
        </w:tc>
        <w:tc>
          <w:tcPr>
            <w:tcW w:w="3824" w:type="pct"/>
          </w:tcPr>
          <w:p w14:paraId="55F7F668" w14:textId="77777777" w:rsidR="00F67E9E" w:rsidRPr="00AE092F" w:rsidRDefault="00F67E9E" w:rsidP="007F74AA">
            <w:pPr>
              <w:rPr>
                <w:rFonts w:cs="Arial"/>
                <w:szCs w:val="24"/>
              </w:rPr>
            </w:pPr>
            <w:r w:rsidRPr="00AE092F">
              <w:rPr>
                <w:rFonts w:cs="Arial"/>
                <w:szCs w:val="24"/>
              </w:rPr>
              <w:t xml:space="preserve">The </w:t>
            </w:r>
            <w:r>
              <w:rPr>
                <w:rFonts w:cs="Arial"/>
                <w:szCs w:val="24"/>
              </w:rPr>
              <w:t>‘</w:t>
            </w:r>
            <w:r w:rsidRPr="00AE092F">
              <w:rPr>
                <w:rFonts w:cs="Arial"/>
                <w:szCs w:val="24"/>
              </w:rPr>
              <w:t>Purpose</w:t>
            </w:r>
            <w:r>
              <w:rPr>
                <w:rFonts w:cs="Arial"/>
                <w:szCs w:val="24"/>
              </w:rPr>
              <w:t>’</w:t>
            </w:r>
            <w:r w:rsidRPr="00AE092F">
              <w:rPr>
                <w:rFonts w:cs="Arial"/>
                <w:szCs w:val="24"/>
              </w:rPr>
              <w:t xml:space="preserve"> set out in Table 2: Transfer Details, including any purposes which are not incompatible with the purposes stated or referred to.</w:t>
            </w:r>
          </w:p>
        </w:tc>
      </w:tr>
      <w:tr w:rsidR="00F67E9E" w:rsidRPr="00AE092F" w14:paraId="15E7EC6E" w14:textId="77777777" w:rsidTr="007F74AA">
        <w:tc>
          <w:tcPr>
            <w:tcW w:w="1176" w:type="pct"/>
          </w:tcPr>
          <w:p w14:paraId="4A2C7CCF" w14:textId="77777777" w:rsidR="00F67E9E" w:rsidRPr="002237C8" w:rsidRDefault="00F67E9E" w:rsidP="007F74AA">
            <w:pPr>
              <w:rPr>
                <w:rFonts w:cs="Arial"/>
                <w:b/>
                <w:szCs w:val="24"/>
              </w:rPr>
            </w:pPr>
            <w:r w:rsidRPr="002237C8">
              <w:rPr>
                <w:rFonts w:cs="Arial"/>
                <w:b/>
                <w:szCs w:val="24"/>
              </w:rPr>
              <w:t>Relevant Data Subject</w:t>
            </w:r>
          </w:p>
        </w:tc>
        <w:tc>
          <w:tcPr>
            <w:tcW w:w="3824" w:type="pct"/>
          </w:tcPr>
          <w:p w14:paraId="27BCED4A" w14:textId="77777777" w:rsidR="00F67E9E" w:rsidRPr="00AE092F" w:rsidRDefault="00F67E9E" w:rsidP="007F74AA">
            <w:pPr>
              <w:rPr>
                <w:rFonts w:cs="Arial"/>
                <w:szCs w:val="24"/>
              </w:rPr>
            </w:pPr>
            <w:r w:rsidRPr="00AE092F">
              <w:rPr>
                <w:rFonts w:cs="Arial"/>
                <w:szCs w:val="24"/>
              </w:rPr>
              <w:t>A Data Subject of the Transferred Data.</w:t>
            </w:r>
          </w:p>
        </w:tc>
      </w:tr>
      <w:tr w:rsidR="00F67E9E" w:rsidRPr="00AE092F" w14:paraId="313A7515" w14:textId="77777777" w:rsidTr="007F74AA">
        <w:tc>
          <w:tcPr>
            <w:tcW w:w="1176" w:type="pct"/>
          </w:tcPr>
          <w:p w14:paraId="7D65E271" w14:textId="77777777" w:rsidR="00F67E9E" w:rsidRPr="002237C8" w:rsidRDefault="00F67E9E" w:rsidP="007F74AA">
            <w:pPr>
              <w:rPr>
                <w:rFonts w:cs="Arial"/>
                <w:b/>
                <w:szCs w:val="24"/>
              </w:rPr>
            </w:pPr>
            <w:r w:rsidRPr="002237C8">
              <w:rPr>
                <w:rFonts w:cs="Arial"/>
                <w:b/>
                <w:szCs w:val="24"/>
              </w:rPr>
              <w:t>Restricted Transfer</w:t>
            </w:r>
          </w:p>
        </w:tc>
        <w:tc>
          <w:tcPr>
            <w:tcW w:w="3824" w:type="pct"/>
          </w:tcPr>
          <w:p w14:paraId="48AD08E1" w14:textId="77777777" w:rsidR="00F67E9E" w:rsidRPr="00AE092F" w:rsidRDefault="00F67E9E" w:rsidP="007F74AA">
            <w:pPr>
              <w:rPr>
                <w:rFonts w:cs="Arial"/>
                <w:szCs w:val="24"/>
              </w:rPr>
            </w:pPr>
            <w:r w:rsidRPr="00AE092F">
              <w:rPr>
                <w:rFonts w:cs="Arial"/>
                <w:szCs w:val="24"/>
              </w:rPr>
              <w:t>A transfer which is covered by Chapter V of the UK GDPR</w:t>
            </w:r>
          </w:p>
        </w:tc>
      </w:tr>
      <w:tr w:rsidR="00F67E9E" w:rsidRPr="00AE092F" w14:paraId="5A666F53" w14:textId="77777777" w:rsidTr="007F74AA">
        <w:tc>
          <w:tcPr>
            <w:tcW w:w="1176" w:type="pct"/>
          </w:tcPr>
          <w:p w14:paraId="2AAA7C33" w14:textId="77777777" w:rsidR="00F67E9E" w:rsidRPr="002237C8" w:rsidRDefault="00F67E9E" w:rsidP="007F74AA">
            <w:pPr>
              <w:rPr>
                <w:rFonts w:cs="Arial"/>
                <w:b/>
                <w:szCs w:val="24"/>
              </w:rPr>
            </w:pPr>
            <w:r w:rsidRPr="002237C8">
              <w:rPr>
                <w:rFonts w:cs="Arial"/>
                <w:b/>
                <w:szCs w:val="24"/>
              </w:rPr>
              <w:t>Review Dates</w:t>
            </w:r>
          </w:p>
        </w:tc>
        <w:tc>
          <w:tcPr>
            <w:tcW w:w="3824" w:type="pct"/>
          </w:tcPr>
          <w:p w14:paraId="696B74A3" w14:textId="77777777" w:rsidR="00F67E9E" w:rsidRPr="00AE092F" w:rsidRDefault="00F67E9E" w:rsidP="007F74AA">
            <w:pPr>
              <w:rPr>
                <w:rFonts w:cs="Arial"/>
                <w:szCs w:val="24"/>
              </w:rPr>
            </w:pPr>
            <w:r w:rsidRPr="00AE092F">
              <w:rPr>
                <w:rFonts w:cs="Arial"/>
                <w:szCs w:val="24"/>
              </w:rPr>
              <w:t>The review dates or period for the Security Requirements set out in Table 2: Transfer Details, and any review dates set out in any revised Approved IDTA.</w:t>
            </w:r>
          </w:p>
        </w:tc>
      </w:tr>
      <w:tr w:rsidR="00F67E9E" w:rsidRPr="00AE092F" w14:paraId="3E581E6F" w14:textId="77777777" w:rsidTr="007F74AA">
        <w:tc>
          <w:tcPr>
            <w:tcW w:w="1176" w:type="pct"/>
          </w:tcPr>
          <w:p w14:paraId="26C9A263" w14:textId="77777777" w:rsidR="00F67E9E" w:rsidRPr="002237C8" w:rsidRDefault="00F67E9E" w:rsidP="007F74AA">
            <w:pPr>
              <w:rPr>
                <w:rFonts w:cs="Arial"/>
                <w:b/>
                <w:szCs w:val="24"/>
              </w:rPr>
            </w:pPr>
            <w:r w:rsidRPr="002237C8">
              <w:rPr>
                <w:rFonts w:cs="Arial"/>
                <w:b/>
                <w:szCs w:val="24"/>
              </w:rPr>
              <w:t>Significant Harmful Impact</w:t>
            </w:r>
          </w:p>
        </w:tc>
        <w:tc>
          <w:tcPr>
            <w:tcW w:w="3824" w:type="pct"/>
          </w:tcPr>
          <w:p w14:paraId="206784A3" w14:textId="380894D5" w:rsidR="00F67E9E" w:rsidRPr="00AE092F" w:rsidRDefault="00F67E9E" w:rsidP="007F74AA">
            <w:pPr>
              <w:rPr>
                <w:rFonts w:cs="Arial"/>
                <w:szCs w:val="24"/>
              </w:rPr>
            </w:pPr>
            <w:r w:rsidRPr="00AE092F">
              <w:rPr>
                <w:rFonts w:cs="Arial"/>
                <w:szCs w:val="24"/>
              </w:rPr>
              <w:t xml:space="preserve">As defined in Section </w:t>
            </w:r>
            <w:r w:rsidRPr="00AE092F">
              <w:rPr>
                <w:rFonts w:cs="Arial"/>
                <w:szCs w:val="24"/>
              </w:rPr>
              <w:fldChar w:fldCharType="begin"/>
            </w:r>
            <w:r w:rsidRPr="00AE092F">
              <w:rPr>
                <w:rFonts w:cs="Arial"/>
                <w:szCs w:val="24"/>
              </w:rPr>
              <w:instrText xml:space="preserve"> REF _Ref76467563 \r \h  \* MERGEFORMAT </w:instrText>
            </w:r>
            <w:r w:rsidRPr="00AE092F">
              <w:rPr>
                <w:rFonts w:cs="Arial"/>
                <w:szCs w:val="24"/>
              </w:rPr>
            </w:r>
            <w:r w:rsidRPr="00AE092F">
              <w:rPr>
                <w:rFonts w:cs="Arial"/>
                <w:szCs w:val="24"/>
              </w:rPr>
              <w:fldChar w:fldCharType="separate"/>
            </w:r>
            <w:r w:rsidR="00302D39">
              <w:rPr>
                <w:rFonts w:cs="Arial"/>
                <w:szCs w:val="24"/>
              </w:rPr>
              <w:t>26.2</w:t>
            </w:r>
            <w:r w:rsidRPr="00AE092F">
              <w:rPr>
                <w:rFonts w:cs="Arial"/>
                <w:szCs w:val="24"/>
              </w:rPr>
              <w:fldChar w:fldCharType="end"/>
            </w:r>
            <w:r w:rsidRPr="00AE092F">
              <w:rPr>
                <w:rFonts w:cs="Arial"/>
                <w:szCs w:val="24"/>
              </w:rPr>
              <w:t xml:space="preserve"> as where there is more than a minimal risk of the breach causing (directly or indirectly) significant harm to any Relevant Data Subject or the other Party.</w:t>
            </w:r>
          </w:p>
        </w:tc>
      </w:tr>
      <w:tr w:rsidR="00F67E9E" w:rsidRPr="00AE092F" w14:paraId="64B3A56A" w14:textId="77777777" w:rsidTr="007F74AA">
        <w:tc>
          <w:tcPr>
            <w:tcW w:w="1176" w:type="pct"/>
          </w:tcPr>
          <w:p w14:paraId="55944B29" w14:textId="77777777" w:rsidR="00F67E9E" w:rsidRPr="002237C8" w:rsidRDefault="00F67E9E" w:rsidP="007F74AA">
            <w:pPr>
              <w:rPr>
                <w:rFonts w:cs="Arial"/>
                <w:b/>
                <w:szCs w:val="24"/>
              </w:rPr>
            </w:pPr>
            <w:r w:rsidRPr="002237C8">
              <w:rPr>
                <w:rFonts w:cs="Arial"/>
                <w:b/>
                <w:szCs w:val="24"/>
              </w:rPr>
              <w:t>Special Category Data</w:t>
            </w:r>
          </w:p>
        </w:tc>
        <w:tc>
          <w:tcPr>
            <w:tcW w:w="3824" w:type="pct"/>
          </w:tcPr>
          <w:p w14:paraId="35143EA2" w14:textId="77777777" w:rsidR="00F67E9E" w:rsidRPr="00AE092F" w:rsidRDefault="00F67E9E" w:rsidP="007F74AA">
            <w:pPr>
              <w:rPr>
                <w:rFonts w:cs="Arial"/>
                <w:szCs w:val="24"/>
              </w:rPr>
            </w:pPr>
            <w:r w:rsidRPr="00AE092F">
              <w:rPr>
                <w:rFonts w:cs="Arial"/>
                <w:szCs w:val="24"/>
              </w:rPr>
              <w:t>As described in the UK GDPR, together with criminal conviction or criminal offence data.</w:t>
            </w:r>
          </w:p>
        </w:tc>
      </w:tr>
      <w:tr w:rsidR="00F67E9E" w:rsidRPr="00AE092F" w14:paraId="1FBB719D" w14:textId="77777777" w:rsidTr="007F74AA">
        <w:tc>
          <w:tcPr>
            <w:tcW w:w="1176" w:type="pct"/>
          </w:tcPr>
          <w:p w14:paraId="5ADDC82B" w14:textId="77777777" w:rsidR="00F67E9E" w:rsidRPr="002237C8" w:rsidRDefault="00F67E9E" w:rsidP="007F74AA">
            <w:pPr>
              <w:rPr>
                <w:rFonts w:cs="Arial"/>
                <w:b/>
                <w:szCs w:val="24"/>
              </w:rPr>
            </w:pPr>
            <w:r w:rsidRPr="002237C8">
              <w:rPr>
                <w:rFonts w:cs="Arial"/>
                <w:b/>
                <w:szCs w:val="24"/>
              </w:rPr>
              <w:t>Start Date</w:t>
            </w:r>
          </w:p>
        </w:tc>
        <w:tc>
          <w:tcPr>
            <w:tcW w:w="3824" w:type="pct"/>
          </w:tcPr>
          <w:p w14:paraId="095512B5" w14:textId="77777777" w:rsidR="00F67E9E" w:rsidRPr="00AE092F" w:rsidRDefault="00F67E9E" w:rsidP="007F74AA">
            <w:pPr>
              <w:rPr>
                <w:rFonts w:cs="Arial"/>
                <w:szCs w:val="24"/>
              </w:rPr>
            </w:pPr>
            <w:r w:rsidRPr="00AE092F">
              <w:rPr>
                <w:rFonts w:cs="Arial"/>
                <w:szCs w:val="24"/>
              </w:rPr>
              <w:t>As set out in Table 1: Parties and signature.</w:t>
            </w:r>
          </w:p>
        </w:tc>
      </w:tr>
      <w:tr w:rsidR="00F67E9E" w:rsidRPr="00AE092F" w14:paraId="4295DD2E" w14:textId="77777777" w:rsidTr="007F74AA">
        <w:tc>
          <w:tcPr>
            <w:tcW w:w="1176" w:type="pct"/>
          </w:tcPr>
          <w:p w14:paraId="75024EED" w14:textId="77777777" w:rsidR="00F67E9E" w:rsidRPr="002237C8" w:rsidRDefault="00F67E9E" w:rsidP="007F74AA">
            <w:pPr>
              <w:rPr>
                <w:rFonts w:cs="Arial"/>
                <w:b/>
                <w:szCs w:val="24"/>
              </w:rPr>
            </w:pPr>
            <w:r w:rsidRPr="002237C8">
              <w:rPr>
                <w:rFonts w:cs="Arial"/>
                <w:b/>
                <w:szCs w:val="24"/>
              </w:rPr>
              <w:t>Sub-Processor</w:t>
            </w:r>
          </w:p>
        </w:tc>
        <w:tc>
          <w:tcPr>
            <w:tcW w:w="3824" w:type="pct"/>
          </w:tcPr>
          <w:p w14:paraId="749AD175" w14:textId="77777777" w:rsidR="00F67E9E" w:rsidRPr="00AE092F" w:rsidRDefault="00F67E9E" w:rsidP="007F74AA">
            <w:pPr>
              <w:rPr>
                <w:rFonts w:cs="Arial"/>
                <w:szCs w:val="24"/>
              </w:rPr>
            </w:pPr>
            <w:r w:rsidRPr="00AE092F">
              <w:rPr>
                <w:rFonts w:cs="Arial"/>
                <w:szCs w:val="24"/>
              </w:rPr>
              <w:t>A Processor appointed by another Processor to Process Personal Data on its behalf.</w:t>
            </w:r>
          </w:p>
          <w:p w14:paraId="72625CFA" w14:textId="77777777" w:rsidR="00F67E9E" w:rsidRPr="00AE092F" w:rsidRDefault="00F67E9E" w:rsidP="007F74AA">
            <w:pPr>
              <w:rPr>
                <w:rFonts w:cs="Arial"/>
                <w:szCs w:val="24"/>
              </w:rPr>
            </w:pPr>
            <w:r w:rsidRPr="00AE092F">
              <w:rPr>
                <w:rFonts w:cs="Arial"/>
                <w:szCs w:val="24"/>
              </w:rPr>
              <w:t>This includes Sub-Processors of any level, for example a Sub-Sub-Processor.</w:t>
            </w:r>
          </w:p>
        </w:tc>
      </w:tr>
      <w:tr w:rsidR="00F67E9E" w:rsidRPr="00AE092F" w14:paraId="0F6F54CC" w14:textId="77777777" w:rsidTr="007F74AA">
        <w:tc>
          <w:tcPr>
            <w:tcW w:w="1176" w:type="pct"/>
          </w:tcPr>
          <w:p w14:paraId="0A52F904" w14:textId="77777777" w:rsidR="00F67E9E" w:rsidRPr="002237C8" w:rsidRDefault="00F67E9E" w:rsidP="007F74AA">
            <w:pPr>
              <w:rPr>
                <w:rFonts w:cs="Arial"/>
                <w:b/>
                <w:szCs w:val="24"/>
              </w:rPr>
            </w:pPr>
            <w:r w:rsidRPr="002237C8">
              <w:rPr>
                <w:rFonts w:cs="Arial"/>
                <w:b/>
                <w:szCs w:val="24"/>
              </w:rPr>
              <w:t>Tables</w:t>
            </w:r>
          </w:p>
        </w:tc>
        <w:tc>
          <w:tcPr>
            <w:tcW w:w="3824" w:type="pct"/>
          </w:tcPr>
          <w:p w14:paraId="2C27D6FC" w14:textId="77777777" w:rsidR="00F67E9E" w:rsidRPr="00AE092F" w:rsidRDefault="00F67E9E" w:rsidP="007F74AA">
            <w:pPr>
              <w:rPr>
                <w:rFonts w:cs="Arial"/>
                <w:szCs w:val="24"/>
              </w:rPr>
            </w:pPr>
            <w:r w:rsidRPr="00AE092F">
              <w:rPr>
                <w:rFonts w:cs="Arial"/>
                <w:szCs w:val="24"/>
              </w:rPr>
              <w:t>The Tables set out in Part one of this IDTA.</w:t>
            </w:r>
          </w:p>
        </w:tc>
      </w:tr>
      <w:tr w:rsidR="00F67E9E" w:rsidRPr="00AE092F" w14:paraId="771CCAB0" w14:textId="77777777" w:rsidTr="007F74AA">
        <w:tc>
          <w:tcPr>
            <w:tcW w:w="1176" w:type="pct"/>
          </w:tcPr>
          <w:p w14:paraId="3D14C205" w14:textId="77777777" w:rsidR="00F67E9E" w:rsidRPr="002237C8" w:rsidRDefault="00F67E9E" w:rsidP="007F74AA">
            <w:pPr>
              <w:rPr>
                <w:rFonts w:cs="Arial"/>
                <w:b/>
                <w:szCs w:val="24"/>
              </w:rPr>
            </w:pPr>
            <w:r w:rsidRPr="002237C8">
              <w:rPr>
                <w:rFonts w:cs="Arial"/>
                <w:b/>
                <w:szCs w:val="24"/>
              </w:rPr>
              <w:t>Term</w:t>
            </w:r>
          </w:p>
        </w:tc>
        <w:tc>
          <w:tcPr>
            <w:tcW w:w="3824" w:type="pct"/>
          </w:tcPr>
          <w:p w14:paraId="6063FE39" w14:textId="77777777" w:rsidR="00F67E9E" w:rsidRPr="00AE092F" w:rsidRDefault="00F67E9E" w:rsidP="007F74AA">
            <w:pPr>
              <w:rPr>
                <w:rFonts w:cs="Arial"/>
                <w:szCs w:val="24"/>
              </w:rPr>
            </w:pPr>
            <w:r w:rsidRPr="00AE092F">
              <w:rPr>
                <w:rFonts w:cs="Arial"/>
                <w:szCs w:val="24"/>
              </w:rPr>
              <w:t>As set out in Table 2: Transfer Details.</w:t>
            </w:r>
          </w:p>
        </w:tc>
      </w:tr>
      <w:tr w:rsidR="00F67E9E" w:rsidRPr="00AE092F" w14:paraId="28A93230" w14:textId="77777777" w:rsidTr="007F74AA">
        <w:tc>
          <w:tcPr>
            <w:tcW w:w="1176" w:type="pct"/>
          </w:tcPr>
          <w:p w14:paraId="2698B70D" w14:textId="77777777" w:rsidR="00F67E9E" w:rsidRPr="002237C8" w:rsidRDefault="00F67E9E" w:rsidP="007F74AA">
            <w:pPr>
              <w:rPr>
                <w:rFonts w:cs="Arial"/>
                <w:b/>
                <w:szCs w:val="24"/>
              </w:rPr>
            </w:pPr>
            <w:r w:rsidRPr="002237C8">
              <w:rPr>
                <w:rFonts w:cs="Arial"/>
                <w:b/>
                <w:szCs w:val="24"/>
              </w:rPr>
              <w:t>Third Party Controller</w:t>
            </w:r>
          </w:p>
        </w:tc>
        <w:tc>
          <w:tcPr>
            <w:tcW w:w="3824" w:type="pct"/>
          </w:tcPr>
          <w:p w14:paraId="4BB343F7" w14:textId="77777777" w:rsidR="00F67E9E" w:rsidRPr="00AE092F" w:rsidRDefault="00F67E9E" w:rsidP="007F74AA">
            <w:pPr>
              <w:rPr>
                <w:rFonts w:cs="Arial"/>
                <w:szCs w:val="24"/>
              </w:rPr>
            </w:pPr>
            <w:r w:rsidRPr="00AE092F">
              <w:rPr>
                <w:rFonts w:cs="Arial"/>
                <w:szCs w:val="24"/>
              </w:rPr>
              <w:t>The Controller of the Transferred Data where the Exporter is a Processor or Sub-Processor</w:t>
            </w:r>
          </w:p>
          <w:p w14:paraId="37433731" w14:textId="77777777" w:rsidR="00F67E9E" w:rsidRPr="00AE092F" w:rsidRDefault="00F67E9E" w:rsidP="007F74AA">
            <w:pPr>
              <w:rPr>
                <w:rFonts w:cs="Arial"/>
                <w:szCs w:val="24"/>
              </w:rPr>
            </w:pPr>
            <w:r w:rsidRPr="00AE092F">
              <w:rPr>
                <w:rFonts w:cs="Arial"/>
                <w:szCs w:val="24"/>
              </w:rPr>
              <w:t>If there is not a Third Party Controller this can be disregarded.</w:t>
            </w:r>
          </w:p>
        </w:tc>
      </w:tr>
      <w:tr w:rsidR="00F67E9E" w:rsidRPr="00AE092F" w14:paraId="3B9669E2" w14:textId="77777777" w:rsidTr="007F74AA">
        <w:tc>
          <w:tcPr>
            <w:tcW w:w="1176" w:type="pct"/>
          </w:tcPr>
          <w:p w14:paraId="7DF717AD" w14:textId="77777777" w:rsidR="00F67E9E" w:rsidRPr="002237C8" w:rsidRDefault="00F67E9E" w:rsidP="007F74AA">
            <w:pPr>
              <w:rPr>
                <w:rFonts w:cs="Arial"/>
                <w:b/>
                <w:szCs w:val="24"/>
              </w:rPr>
            </w:pPr>
            <w:r w:rsidRPr="002237C8">
              <w:rPr>
                <w:rFonts w:cs="Arial"/>
                <w:b/>
                <w:szCs w:val="24"/>
              </w:rPr>
              <w:t>Transfer Risk Assessment or TRA</w:t>
            </w:r>
          </w:p>
        </w:tc>
        <w:tc>
          <w:tcPr>
            <w:tcW w:w="3824" w:type="pct"/>
          </w:tcPr>
          <w:p w14:paraId="0B54498D" w14:textId="77777777" w:rsidR="00F67E9E" w:rsidRPr="00AE092F" w:rsidRDefault="00F67E9E" w:rsidP="007F74AA">
            <w:pPr>
              <w:rPr>
                <w:rFonts w:cs="Arial"/>
                <w:szCs w:val="24"/>
              </w:rPr>
            </w:pPr>
            <w:r w:rsidRPr="00AE092F">
              <w:rPr>
                <w:rFonts w:cs="Arial"/>
                <w:szCs w:val="24"/>
              </w:rPr>
              <w:t>A risk assessment in so far as it is required by UK Data Protection Laws to demonstrate that the IDTA provides the Appropriate Safeguards</w:t>
            </w:r>
          </w:p>
        </w:tc>
      </w:tr>
      <w:tr w:rsidR="00F67E9E" w:rsidRPr="00AE092F" w14:paraId="111D7FE6" w14:textId="77777777" w:rsidTr="007F74AA">
        <w:tc>
          <w:tcPr>
            <w:tcW w:w="1176" w:type="pct"/>
          </w:tcPr>
          <w:p w14:paraId="1468DDC5" w14:textId="77777777" w:rsidR="00F67E9E" w:rsidRPr="002237C8" w:rsidRDefault="00F67E9E" w:rsidP="007F74AA">
            <w:pPr>
              <w:rPr>
                <w:rFonts w:cs="Arial"/>
                <w:b/>
                <w:szCs w:val="24"/>
              </w:rPr>
            </w:pPr>
            <w:r w:rsidRPr="002237C8">
              <w:rPr>
                <w:rFonts w:cs="Arial"/>
                <w:b/>
                <w:szCs w:val="24"/>
              </w:rPr>
              <w:t>Transferred Data</w:t>
            </w:r>
          </w:p>
        </w:tc>
        <w:tc>
          <w:tcPr>
            <w:tcW w:w="3824" w:type="pct"/>
          </w:tcPr>
          <w:p w14:paraId="161079CE" w14:textId="77777777" w:rsidR="00F67E9E" w:rsidRPr="00AE092F" w:rsidRDefault="00F67E9E" w:rsidP="007F74AA">
            <w:pPr>
              <w:rPr>
                <w:rFonts w:cs="Arial"/>
                <w:szCs w:val="24"/>
              </w:rPr>
            </w:pPr>
            <w:r w:rsidRPr="00AE092F">
              <w:rPr>
                <w:rFonts w:cs="Arial"/>
                <w:szCs w:val="24"/>
              </w:rPr>
              <w:t xml:space="preserve">Any Personal Data which the Parties transfer, or intend to transfer under this IDTA, as described in Table 2: Transfer Details </w:t>
            </w:r>
          </w:p>
        </w:tc>
      </w:tr>
      <w:tr w:rsidR="00F67E9E" w:rsidRPr="00AE092F" w14:paraId="3DE45C17" w14:textId="77777777" w:rsidTr="007F74AA">
        <w:tc>
          <w:tcPr>
            <w:tcW w:w="1176" w:type="pct"/>
          </w:tcPr>
          <w:p w14:paraId="33C0468A" w14:textId="77777777" w:rsidR="00F67E9E" w:rsidRPr="002237C8" w:rsidRDefault="00F67E9E" w:rsidP="007F74AA">
            <w:pPr>
              <w:rPr>
                <w:rFonts w:cs="Arial"/>
                <w:b/>
                <w:szCs w:val="24"/>
              </w:rPr>
            </w:pPr>
            <w:r w:rsidRPr="002237C8">
              <w:rPr>
                <w:rFonts w:cs="Arial"/>
                <w:b/>
                <w:szCs w:val="24"/>
              </w:rPr>
              <w:t>UK Data Protection Laws</w:t>
            </w:r>
          </w:p>
        </w:tc>
        <w:tc>
          <w:tcPr>
            <w:tcW w:w="3824" w:type="pct"/>
          </w:tcPr>
          <w:p w14:paraId="725EE782" w14:textId="77777777" w:rsidR="00F67E9E" w:rsidRPr="00AE092F" w:rsidRDefault="00F67E9E" w:rsidP="007F74AA">
            <w:pPr>
              <w:rPr>
                <w:rFonts w:cs="Arial"/>
                <w:szCs w:val="24"/>
              </w:rPr>
            </w:pPr>
            <w:r w:rsidRPr="00AE092F">
              <w:rPr>
                <w:rFonts w:cs="Arial"/>
                <w:szCs w:val="24"/>
              </w:rPr>
              <w:t xml:space="preserve">All laws relating to data protection, the processing of personal data, privacy and/or electronic communications in force from time to time in the UK, including the UK GDPR and the </w:t>
            </w:r>
            <w:bookmarkStart w:id="3157" w:name="_9kR3WTr27745DR2pqNZ58zjz628VF5WRRa"/>
            <w:r w:rsidRPr="00AE092F">
              <w:rPr>
                <w:rFonts w:cs="Arial"/>
                <w:szCs w:val="24"/>
              </w:rPr>
              <w:t>Data Protection Act 2018</w:t>
            </w:r>
            <w:bookmarkEnd w:id="3157"/>
            <w:r w:rsidRPr="00AE092F">
              <w:rPr>
                <w:rFonts w:cs="Arial"/>
                <w:szCs w:val="24"/>
              </w:rPr>
              <w:t>.</w:t>
            </w:r>
          </w:p>
        </w:tc>
      </w:tr>
      <w:tr w:rsidR="00F67E9E" w:rsidRPr="00AE092F" w14:paraId="377659A9" w14:textId="77777777" w:rsidTr="007F74AA">
        <w:tc>
          <w:tcPr>
            <w:tcW w:w="1176" w:type="pct"/>
          </w:tcPr>
          <w:p w14:paraId="7CADAD8D" w14:textId="77777777" w:rsidR="00F67E9E" w:rsidRPr="002237C8" w:rsidRDefault="00F67E9E" w:rsidP="007F74AA">
            <w:pPr>
              <w:rPr>
                <w:rFonts w:cs="Arial"/>
                <w:b/>
                <w:szCs w:val="24"/>
              </w:rPr>
            </w:pPr>
            <w:r w:rsidRPr="002237C8">
              <w:rPr>
                <w:rFonts w:cs="Arial"/>
                <w:b/>
                <w:szCs w:val="24"/>
              </w:rPr>
              <w:t>UK GDPR</w:t>
            </w:r>
          </w:p>
        </w:tc>
        <w:tc>
          <w:tcPr>
            <w:tcW w:w="3824" w:type="pct"/>
          </w:tcPr>
          <w:p w14:paraId="2DE7FA34" w14:textId="77777777" w:rsidR="00F67E9E" w:rsidRPr="00AE092F" w:rsidRDefault="00F67E9E" w:rsidP="007F74AA">
            <w:pPr>
              <w:rPr>
                <w:rFonts w:cs="Arial"/>
                <w:szCs w:val="24"/>
              </w:rPr>
            </w:pPr>
            <w:r w:rsidRPr="00AE092F">
              <w:rPr>
                <w:rFonts w:cs="Arial"/>
                <w:szCs w:val="24"/>
              </w:rPr>
              <w:t>As defined in Section 3 of the Data Protection Act 2018.</w:t>
            </w:r>
          </w:p>
        </w:tc>
      </w:tr>
      <w:tr w:rsidR="00F67E9E" w:rsidRPr="00AE092F" w14:paraId="18B71695" w14:textId="77777777" w:rsidTr="007F74AA">
        <w:tc>
          <w:tcPr>
            <w:tcW w:w="1176" w:type="pct"/>
          </w:tcPr>
          <w:p w14:paraId="525A67C8" w14:textId="77777777" w:rsidR="00F67E9E" w:rsidRPr="002237C8" w:rsidRDefault="00F67E9E" w:rsidP="007F74AA">
            <w:pPr>
              <w:rPr>
                <w:rFonts w:cs="Arial"/>
                <w:b/>
                <w:szCs w:val="24"/>
              </w:rPr>
            </w:pPr>
            <w:r w:rsidRPr="002237C8">
              <w:rPr>
                <w:rFonts w:cs="Arial"/>
                <w:b/>
                <w:szCs w:val="24"/>
              </w:rPr>
              <w:t xml:space="preserve">Without Undue Delay </w:t>
            </w:r>
          </w:p>
        </w:tc>
        <w:tc>
          <w:tcPr>
            <w:tcW w:w="3824" w:type="pct"/>
          </w:tcPr>
          <w:p w14:paraId="714C571E" w14:textId="77777777" w:rsidR="00F67E9E" w:rsidRPr="00AE092F" w:rsidRDefault="00F67E9E" w:rsidP="007F74AA">
            <w:pPr>
              <w:rPr>
                <w:rFonts w:cs="Arial"/>
                <w:szCs w:val="24"/>
              </w:rPr>
            </w:pPr>
            <w:r w:rsidRPr="00AE092F">
              <w:rPr>
                <w:rFonts w:cs="Arial"/>
                <w:szCs w:val="24"/>
              </w:rPr>
              <w:t>Without undue delay, as that phase is interpreted in the UK GDPR.</w:t>
            </w:r>
          </w:p>
        </w:tc>
      </w:tr>
    </w:tbl>
    <w:p w14:paraId="42EA0F32" w14:textId="77777777" w:rsidR="00F67E9E" w:rsidRPr="003A0C12" w:rsidRDefault="00F67E9E" w:rsidP="00F67E9E">
      <w:pPr>
        <w:spacing w:before="120" w:after="120"/>
        <w:rPr>
          <w:b/>
          <w:bCs/>
        </w:rPr>
      </w:pPr>
      <w:r w:rsidRPr="003A0C12">
        <w:rPr>
          <w:b/>
          <w:bCs/>
        </w:rPr>
        <w:t>Alternative Part 4 Mandatory Clauses:</w:t>
      </w:r>
      <w:bookmarkEnd w:id="2886"/>
    </w:p>
    <w:tbl>
      <w:tblPr>
        <w:tblStyle w:val="MSATable-header"/>
        <w:tblW w:w="5003" w:type="pct"/>
        <w:tblLook w:val="0000" w:firstRow="0" w:lastRow="0" w:firstColumn="0" w:lastColumn="0" w:noHBand="0" w:noVBand="0"/>
      </w:tblPr>
      <w:tblGrid>
        <w:gridCol w:w="2398"/>
        <w:gridCol w:w="7796"/>
      </w:tblGrid>
      <w:tr w:rsidR="00F67E9E" w:rsidRPr="00AE092F" w14:paraId="02098996" w14:textId="77777777" w:rsidTr="007F74AA">
        <w:tc>
          <w:tcPr>
            <w:tcW w:w="1176" w:type="pct"/>
            <w:shd w:val="clear" w:color="auto" w:fill="F0F0F0"/>
          </w:tcPr>
          <w:p w14:paraId="2855CC6E" w14:textId="77777777" w:rsidR="00F67E9E" w:rsidRPr="002237C8" w:rsidRDefault="00F67E9E" w:rsidP="007F74AA">
            <w:pPr>
              <w:rPr>
                <w:rFonts w:cs="Arial"/>
                <w:b/>
                <w:bCs/>
                <w:szCs w:val="24"/>
              </w:rPr>
            </w:pPr>
            <w:r w:rsidRPr="002237C8">
              <w:rPr>
                <w:rFonts w:cs="Arial"/>
                <w:b/>
                <w:bCs/>
                <w:szCs w:val="24"/>
              </w:rPr>
              <w:t>Mandatory Clauses</w:t>
            </w:r>
          </w:p>
        </w:tc>
        <w:tc>
          <w:tcPr>
            <w:tcW w:w="3824" w:type="pct"/>
          </w:tcPr>
          <w:p w14:paraId="7E905493" w14:textId="604932FF" w:rsidR="00F67E9E" w:rsidRPr="00AE092F" w:rsidRDefault="00F67E9E" w:rsidP="007F74AA">
            <w:pPr>
              <w:rPr>
                <w:rFonts w:cs="Arial"/>
                <w:szCs w:val="24"/>
              </w:rPr>
            </w:pPr>
            <w:r w:rsidRPr="00AE092F">
              <w:rPr>
                <w:rFonts w:cs="Arial"/>
                <w:szCs w:val="24"/>
              </w:rPr>
              <w:t xml:space="preserve">Part </w:t>
            </w:r>
            <w:r>
              <w:rPr>
                <w:rFonts w:cs="Arial"/>
                <w:szCs w:val="24"/>
              </w:rPr>
              <w:t>4</w:t>
            </w:r>
            <w:r w:rsidRPr="00AE092F">
              <w:rPr>
                <w:rFonts w:cs="Arial"/>
                <w:szCs w:val="24"/>
              </w:rPr>
              <w:t xml:space="preserve">: Mandatory Clauses of the Approved IDTA, being the template IDTA A.1.0 issued by the ICO and laid before Parliament in accordance with s119A of the Data Protection Act 2018 on 2 February 2022, as it is revised under Section </w:t>
            </w:r>
            <w:r w:rsidRPr="00AE092F">
              <w:rPr>
                <w:rFonts w:cs="Arial"/>
                <w:szCs w:val="24"/>
                <w:cs/>
              </w:rPr>
              <w:t>‎</w:t>
            </w:r>
            <w:r w:rsidRPr="00AE092F">
              <w:rPr>
                <w:rFonts w:cs="Arial"/>
                <w:szCs w:val="24"/>
              </w:rPr>
              <w:fldChar w:fldCharType="begin"/>
            </w:r>
            <w:r w:rsidRPr="00AE092F">
              <w:rPr>
                <w:rFonts w:cs="Arial"/>
                <w:szCs w:val="24"/>
              </w:rPr>
              <w:instrText xml:space="preserve"> REF _Ref92478018 \r \h  \* MERGEFORMAT </w:instrText>
            </w:r>
            <w:r w:rsidRPr="00AE092F">
              <w:rPr>
                <w:rFonts w:cs="Arial"/>
                <w:szCs w:val="24"/>
              </w:rPr>
            </w:r>
            <w:r w:rsidRPr="00AE092F">
              <w:rPr>
                <w:rFonts w:cs="Arial"/>
                <w:szCs w:val="24"/>
              </w:rPr>
              <w:fldChar w:fldCharType="separate"/>
            </w:r>
            <w:r w:rsidR="00302D39">
              <w:rPr>
                <w:rFonts w:cs="Arial"/>
                <w:szCs w:val="24"/>
              </w:rPr>
              <w:t>5.4</w:t>
            </w:r>
            <w:r w:rsidRPr="00AE092F">
              <w:rPr>
                <w:rFonts w:cs="Arial"/>
                <w:szCs w:val="24"/>
              </w:rPr>
              <w:fldChar w:fldCharType="end"/>
            </w:r>
            <w:r w:rsidRPr="00AE092F">
              <w:rPr>
                <w:rFonts w:cs="Arial"/>
                <w:szCs w:val="24"/>
              </w:rPr>
              <w:t xml:space="preserve"> of those Mandatory Clauses.</w:t>
            </w:r>
          </w:p>
        </w:tc>
      </w:tr>
    </w:tbl>
    <w:p w14:paraId="42EFEE79" w14:textId="77777777" w:rsidR="00F67E9E" w:rsidRPr="006F2C84" w:rsidRDefault="00F67E9E" w:rsidP="00F67E9E"/>
    <w:p w14:paraId="099C6D88" w14:textId="77777777" w:rsidR="00F67E9E" w:rsidRPr="00F6471A" w:rsidRDefault="00F67E9E" w:rsidP="00F67E9E">
      <w:pPr>
        <w:pStyle w:val="Heading2"/>
        <w:pageBreakBefore/>
      </w:pPr>
      <w:bookmarkStart w:id="3158" w:name="_Toc141712002"/>
      <w:r>
        <w:t>Part B: International Data Transfer Agreement Addendum to the EU Commission Standard Contractual Clauses</w:t>
      </w:r>
      <w:bookmarkEnd w:id="3158"/>
    </w:p>
    <w:p w14:paraId="5122AF28" w14:textId="77777777" w:rsidR="00F67E9E" w:rsidRDefault="00F67E9E" w:rsidP="00F67E9E">
      <w:pPr>
        <w:rPr>
          <w:rFonts w:cs="Arial"/>
        </w:rPr>
      </w:pPr>
    </w:p>
    <w:p w14:paraId="3AA66693" w14:textId="77777777" w:rsidR="00F67E9E" w:rsidRPr="006D032A" w:rsidRDefault="00F67E9E" w:rsidP="00F67E9E">
      <w:pPr>
        <w:rPr>
          <w:rFonts w:cs="Arial"/>
        </w:rPr>
      </w:pPr>
    </w:p>
    <w:p w14:paraId="1CB9F577" w14:textId="77777777" w:rsidR="00F67E9E" w:rsidRDefault="00F67E9E" w:rsidP="00F67E9E">
      <w:pPr>
        <w:rPr>
          <w:rFonts w:cs="Arial"/>
        </w:rPr>
      </w:pPr>
      <w:r w:rsidRPr="006D032A">
        <w:rPr>
          <w:rFonts w:cs="Arial"/>
          <w:noProof/>
          <w:lang w:eastAsia="en-GB"/>
        </w:rPr>
        <w:drawing>
          <wp:inline distT="0" distB="0" distL="0" distR="0" wp14:anchorId="477564EF" wp14:editId="7DAE0913">
            <wp:extent cx="1314000" cy="770400"/>
            <wp:effectExtent l="0" t="0" r="635" b="0"/>
            <wp:docPr id="1" name="Picture 1" descr="ICO - Information Commissioner's Office"/>
            <wp:cNvGraphicFramePr/>
            <a:graphic xmlns:a="http://schemas.openxmlformats.org/drawingml/2006/main">
              <a:graphicData uri="http://schemas.openxmlformats.org/drawingml/2006/picture">
                <pic:pic xmlns:pic="http://schemas.openxmlformats.org/drawingml/2006/picture">
                  <pic:nvPicPr>
                    <pic:cNvPr id="1" name="Picture 1" descr="ICO - Information Commissioner's Office"/>
                    <pic:cNvPicPr/>
                  </pic:nvPicPr>
                  <pic:blipFill>
                    <a:blip r:embed="rId142">
                      <a:extLst>
                        <a:ext uri="{28A0092B-C50C-407E-A947-70E740481C1C}">
                          <a14:useLocalDpi xmlns:a14="http://schemas.microsoft.com/office/drawing/2010/main" val="0"/>
                        </a:ext>
                      </a:extLst>
                    </a:blip>
                    <a:stretch>
                      <a:fillRect/>
                    </a:stretch>
                  </pic:blipFill>
                  <pic:spPr>
                    <a:xfrm>
                      <a:off x="0" y="0"/>
                      <a:ext cx="1314000" cy="770400"/>
                    </a:xfrm>
                    <a:prstGeom prst="rect">
                      <a:avLst/>
                    </a:prstGeom>
                  </pic:spPr>
                </pic:pic>
              </a:graphicData>
            </a:graphic>
          </wp:inline>
        </w:drawing>
      </w:r>
    </w:p>
    <w:p w14:paraId="250A8477" w14:textId="77777777" w:rsidR="00F67E9E" w:rsidRPr="006D032A" w:rsidRDefault="00F67E9E" w:rsidP="00F67E9E">
      <w:pPr>
        <w:rPr>
          <w:rFonts w:cs="Arial"/>
        </w:rPr>
      </w:pPr>
    </w:p>
    <w:p w14:paraId="1F887F7B" w14:textId="77777777" w:rsidR="00F67E9E" w:rsidRPr="00E6761E" w:rsidRDefault="00F67E9E" w:rsidP="00F67E9E">
      <w:pPr>
        <w:pStyle w:val="Heading1-ICO"/>
        <w:pageBreakBefore w:val="0"/>
      </w:pPr>
      <w:r w:rsidRPr="00E6761E">
        <w:t>Standard Data Protection Clauses to be issued by the Commissioner under S119A(1) Data Protection Act 2018</w:t>
      </w:r>
    </w:p>
    <w:p w14:paraId="528F58A4" w14:textId="77777777" w:rsidR="00F67E9E" w:rsidRPr="000038E2" w:rsidRDefault="00F67E9E" w:rsidP="00F67E9E">
      <w:pPr>
        <w:pStyle w:val="Heading2-ICO"/>
      </w:pPr>
      <w:r w:rsidRPr="00E6761E">
        <w:t>International Data Transfer Addendum to the EU Commission Standard Contractual Clauses</w:t>
      </w:r>
    </w:p>
    <w:p w14:paraId="604865F1" w14:textId="77777777" w:rsidR="00F67E9E" w:rsidRPr="00E6761E" w:rsidRDefault="00F67E9E" w:rsidP="00F67E9E">
      <w:pPr>
        <w:pBdr>
          <w:bottom w:val="single" w:sz="4" w:space="16" w:color="003768"/>
        </w:pBdr>
        <w:spacing w:before="200" w:after="360"/>
        <w:rPr>
          <w:rFonts w:eastAsia="Times New Roman" w:cs="Times New Roman"/>
          <w:b/>
          <w:color w:val="54534A"/>
          <w:szCs w:val="18"/>
          <w:lang w:eastAsia="zh-CN"/>
        </w:rPr>
      </w:pPr>
      <w:r>
        <w:rPr>
          <w:rFonts w:eastAsia="Times New Roman" w:cs="Times New Roman"/>
          <w:b/>
          <w:color w:val="54534A"/>
          <w:szCs w:val="18"/>
          <w:lang w:eastAsia="zh-CN"/>
        </w:rPr>
        <w:t>VERSION</w:t>
      </w:r>
      <w:r w:rsidRPr="00D835BF">
        <w:rPr>
          <w:rFonts w:eastAsia="Times New Roman" w:cs="Times New Roman"/>
          <w:b/>
          <w:color w:val="54534A"/>
          <w:szCs w:val="18"/>
          <w:lang w:eastAsia="zh-CN"/>
        </w:rPr>
        <w:t xml:space="preserve"> B1.0, in force 21 March 202</w:t>
      </w:r>
      <w:r>
        <w:rPr>
          <w:rFonts w:eastAsia="Times New Roman" w:cs="Times New Roman"/>
          <w:b/>
          <w:color w:val="54534A"/>
          <w:szCs w:val="18"/>
          <w:lang w:eastAsia="zh-CN"/>
        </w:rPr>
        <w:t>2</w:t>
      </w:r>
    </w:p>
    <w:p w14:paraId="547BAAA3" w14:textId="77777777" w:rsidR="00F67E9E" w:rsidRPr="00AE092F" w:rsidRDefault="00F67E9E" w:rsidP="00F67E9E">
      <w:pPr>
        <w:rPr>
          <w:rFonts w:cs="Arial"/>
          <w:szCs w:val="24"/>
        </w:rPr>
      </w:pPr>
      <w:r w:rsidRPr="00AE092F">
        <w:rPr>
          <w:rFonts w:eastAsia="Times New Roman" w:cs="Arial"/>
          <w:szCs w:val="24"/>
          <w:lang w:eastAsia="zh-CN"/>
        </w:rPr>
        <w:t>This</w:t>
      </w:r>
      <w:bookmarkStart w:id="3159" w:name="_Hlk92884578"/>
      <w:r w:rsidRPr="00AE092F">
        <w:rPr>
          <w:rFonts w:eastAsia="Times New Roman" w:cs="Arial"/>
          <w:szCs w:val="24"/>
          <w:lang w:eastAsia="zh-CN"/>
        </w:rPr>
        <w:t xml:space="preserve"> </w:t>
      </w:r>
      <w:r w:rsidRPr="00AE092F">
        <w:rPr>
          <w:rFonts w:cs="Arial"/>
          <w:szCs w:val="24"/>
        </w:rPr>
        <w:t>Addendum has been issued by the Information Commissioner for Parties making Restricted Transfers. The Information Commissioner considers that it provides Appropriate Safeguards for Restricted Transfers when it is entered into as a legally binding contract.</w:t>
      </w:r>
      <w:bookmarkStart w:id="3160" w:name="_Hlk92885565"/>
      <w:bookmarkEnd w:id="3159"/>
    </w:p>
    <w:p w14:paraId="274E121F" w14:textId="77777777" w:rsidR="00F67E9E" w:rsidRPr="00477926" w:rsidRDefault="00F67E9E" w:rsidP="00F67E9E">
      <w:pPr>
        <w:pStyle w:val="Heading3"/>
      </w:pPr>
      <w:r w:rsidRPr="00477926">
        <w:t xml:space="preserve">Part </w:t>
      </w:r>
      <w:bookmarkStart w:id="3161" w:name="Sch31PartBPart1"/>
      <w:r w:rsidRPr="00477926">
        <w:t>1</w:t>
      </w:r>
      <w:bookmarkEnd w:id="3161"/>
      <w:r w:rsidRPr="00477926">
        <w:t>: Tables</w:t>
      </w:r>
    </w:p>
    <w:p w14:paraId="791A001B" w14:textId="77777777" w:rsidR="00F67E9E" w:rsidRPr="00F41965" w:rsidRDefault="00F67E9E" w:rsidP="00F67E9E">
      <w:pPr>
        <w:keepNext/>
        <w:keepLines/>
        <w:spacing w:before="100" w:after="100"/>
        <w:rPr>
          <w:b/>
          <w:bCs/>
        </w:rPr>
      </w:pPr>
      <w:bookmarkStart w:id="3162" w:name="Schedule_31_Table_1"/>
      <w:r w:rsidRPr="00F41965">
        <w:rPr>
          <w:b/>
          <w:bCs/>
        </w:rPr>
        <w:t>Table 1</w:t>
      </w:r>
      <w:bookmarkEnd w:id="3162"/>
      <w:r w:rsidRPr="00F41965">
        <w:rPr>
          <w:b/>
          <w:bCs/>
        </w:rPr>
        <w:t>: Parties</w:t>
      </w:r>
    </w:p>
    <w:tbl>
      <w:tblPr>
        <w:tblStyle w:val="MSATable-header"/>
        <w:tblW w:w="5000" w:type="pct"/>
        <w:tblLook w:val="0600" w:firstRow="0" w:lastRow="0" w:firstColumn="0" w:lastColumn="0" w:noHBand="1" w:noVBand="1"/>
      </w:tblPr>
      <w:tblGrid>
        <w:gridCol w:w="2398"/>
        <w:gridCol w:w="7790"/>
      </w:tblGrid>
      <w:tr w:rsidR="00F67E9E" w:rsidRPr="00AE092F" w14:paraId="3779E098" w14:textId="77777777" w:rsidTr="007F74AA">
        <w:tc>
          <w:tcPr>
            <w:tcW w:w="1177" w:type="pct"/>
            <w:shd w:val="clear" w:color="auto" w:fill="F0F0F0"/>
          </w:tcPr>
          <w:p w14:paraId="75830BA2" w14:textId="77777777" w:rsidR="00F67E9E" w:rsidRPr="002237C8" w:rsidRDefault="00F67E9E" w:rsidP="007F74AA">
            <w:pPr>
              <w:ind w:left="30"/>
              <w:rPr>
                <w:rFonts w:cs="Arial"/>
                <w:b/>
                <w:bCs/>
                <w:szCs w:val="24"/>
              </w:rPr>
            </w:pPr>
            <w:r w:rsidRPr="002237C8">
              <w:rPr>
                <w:rFonts w:cs="Arial"/>
                <w:b/>
                <w:bCs/>
                <w:szCs w:val="24"/>
              </w:rPr>
              <w:t>Start date</w:t>
            </w:r>
          </w:p>
        </w:tc>
        <w:tc>
          <w:tcPr>
            <w:tcW w:w="3823" w:type="pct"/>
          </w:tcPr>
          <w:p w14:paraId="3F62418F" w14:textId="77777777" w:rsidR="00F67E9E" w:rsidRPr="00AE092F" w:rsidRDefault="00F67E9E" w:rsidP="007F74AA">
            <w:pPr>
              <w:ind w:left="360"/>
              <w:rPr>
                <w:rFonts w:cs="Arial"/>
                <w:szCs w:val="24"/>
              </w:rPr>
            </w:pPr>
          </w:p>
        </w:tc>
      </w:tr>
      <w:tr w:rsidR="00F67E9E" w:rsidRPr="00AE092F" w14:paraId="7818F830" w14:textId="77777777" w:rsidTr="007F74AA">
        <w:tc>
          <w:tcPr>
            <w:tcW w:w="1177" w:type="pct"/>
            <w:shd w:val="clear" w:color="auto" w:fill="F0F0F0"/>
          </w:tcPr>
          <w:p w14:paraId="59A9F24C" w14:textId="77777777" w:rsidR="00F67E9E" w:rsidRPr="002237C8" w:rsidRDefault="00F67E9E" w:rsidP="007F74AA">
            <w:pPr>
              <w:ind w:left="30"/>
              <w:rPr>
                <w:rFonts w:cs="Arial"/>
                <w:b/>
                <w:bCs/>
                <w:szCs w:val="24"/>
              </w:rPr>
            </w:pPr>
            <w:r>
              <w:rPr>
                <w:rFonts w:cs="Arial"/>
                <w:b/>
                <w:bCs/>
                <w:szCs w:val="24"/>
              </w:rPr>
              <w:t xml:space="preserve">              </w:t>
            </w:r>
          </w:p>
        </w:tc>
        <w:tc>
          <w:tcPr>
            <w:tcW w:w="3823" w:type="pct"/>
          </w:tcPr>
          <w:p w14:paraId="67C12799" w14:textId="77777777" w:rsidR="00F67E9E" w:rsidRPr="00AE092F" w:rsidRDefault="00F67E9E" w:rsidP="007F74AA">
            <w:pPr>
              <w:ind w:left="360"/>
              <w:rPr>
                <w:rFonts w:cs="Arial"/>
                <w:szCs w:val="24"/>
              </w:rPr>
            </w:pPr>
          </w:p>
        </w:tc>
      </w:tr>
    </w:tbl>
    <w:p w14:paraId="70F640F2" w14:textId="77777777" w:rsidR="00F67E9E" w:rsidRPr="002237C8" w:rsidRDefault="00F67E9E" w:rsidP="00F67E9E">
      <w:pPr>
        <w:rPr>
          <w:sz w:val="10"/>
          <w:szCs w:val="10"/>
        </w:rPr>
      </w:pPr>
    </w:p>
    <w:tbl>
      <w:tblPr>
        <w:tblStyle w:val="MSATable-header"/>
        <w:tblW w:w="5000" w:type="pct"/>
        <w:tblLook w:val="0620" w:firstRow="1" w:lastRow="0" w:firstColumn="0" w:lastColumn="0" w:noHBand="1" w:noVBand="1"/>
      </w:tblPr>
      <w:tblGrid>
        <w:gridCol w:w="2398"/>
        <w:gridCol w:w="3894"/>
        <w:gridCol w:w="3896"/>
      </w:tblGrid>
      <w:tr w:rsidR="00F67E9E" w:rsidRPr="002237C8" w14:paraId="48388CE1" w14:textId="77777777" w:rsidTr="007F74AA">
        <w:trPr>
          <w:cnfStyle w:val="100000000000" w:firstRow="1" w:lastRow="0" w:firstColumn="0" w:lastColumn="0" w:oddVBand="0" w:evenVBand="0" w:oddHBand="0" w:evenHBand="0" w:firstRowFirstColumn="0" w:firstRowLastColumn="0" w:lastRowFirstColumn="0" w:lastRowLastColumn="0"/>
          <w:tblHeader/>
        </w:trPr>
        <w:tc>
          <w:tcPr>
            <w:tcW w:w="1177" w:type="pct"/>
          </w:tcPr>
          <w:p w14:paraId="32267954" w14:textId="77777777" w:rsidR="00F67E9E" w:rsidRPr="002237C8" w:rsidRDefault="00F67E9E" w:rsidP="007F74AA">
            <w:pPr>
              <w:ind w:left="30"/>
              <w:rPr>
                <w:rFonts w:cs="Arial"/>
                <w:szCs w:val="24"/>
              </w:rPr>
            </w:pPr>
            <w:r w:rsidRPr="002237C8">
              <w:rPr>
                <w:rFonts w:cs="Arial"/>
                <w:szCs w:val="24"/>
              </w:rPr>
              <w:t>The Parties</w:t>
            </w:r>
          </w:p>
        </w:tc>
        <w:tc>
          <w:tcPr>
            <w:tcW w:w="1911" w:type="pct"/>
          </w:tcPr>
          <w:p w14:paraId="09095746" w14:textId="77777777" w:rsidR="00F67E9E" w:rsidRPr="002237C8" w:rsidRDefault="00F67E9E" w:rsidP="007F74AA">
            <w:pPr>
              <w:rPr>
                <w:rFonts w:cs="Arial"/>
                <w:szCs w:val="24"/>
              </w:rPr>
            </w:pPr>
            <w:r w:rsidRPr="002237C8">
              <w:rPr>
                <w:rFonts w:cs="Arial"/>
                <w:szCs w:val="24"/>
              </w:rPr>
              <w:t>Exporter (who sends the Restricted Transfer)</w:t>
            </w:r>
          </w:p>
        </w:tc>
        <w:tc>
          <w:tcPr>
            <w:tcW w:w="1912" w:type="pct"/>
          </w:tcPr>
          <w:p w14:paraId="4665BE0B" w14:textId="77777777" w:rsidR="00F67E9E" w:rsidRPr="002237C8" w:rsidRDefault="00F67E9E" w:rsidP="007F74AA">
            <w:pPr>
              <w:ind w:left="40"/>
              <w:rPr>
                <w:rFonts w:cs="Arial"/>
                <w:szCs w:val="24"/>
              </w:rPr>
            </w:pPr>
            <w:r w:rsidRPr="002237C8">
              <w:rPr>
                <w:rFonts w:cs="Arial"/>
                <w:szCs w:val="24"/>
              </w:rPr>
              <w:t>Importer (who receives the Restricted Transfer)</w:t>
            </w:r>
          </w:p>
        </w:tc>
      </w:tr>
      <w:tr w:rsidR="00F67E9E" w:rsidRPr="00AE092F" w14:paraId="47CE1A76" w14:textId="77777777" w:rsidTr="007F74AA">
        <w:tc>
          <w:tcPr>
            <w:tcW w:w="1177" w:type="pct"/>
          </w:tcPr>
          <w:p w14:paraId="3C816842" w14:textId="77777777" w:rsidR="00F67E9E" w:rsidRPr="002237C8" w:rsidRDefault="00F67E9E" w:rsidP="007F74AA">
            <w:pPr>
              <w:ind w:left="30"/>
              <w:rPr>
                <w:rFonts w:cs="Arial"/>
                <w:b/>
                <w:bCs/>
                <w:szCs w:val="24"/>
              </w:rPr>
            </w:pPr>
            <w:r w:rsidRPr="002237C8">
              <w:rPr>
                <w:rFonts w:cs="Arial"/>
                <w:b/>
                <w:bCs/>
                <w:szCs w:val="24"/>
              </w:rPr>
              <w:t>Parties’ details</w:t>
            </w:r>
          </w:p>
        </w:tc>
        <w:tc>
          <w:tcPr>
            <w:tcW w:w="1911" w:type="pct"/>
          </w:tcPr>
          <w:p w14:paraId="4B89819F" w14:textId="77777777" w:rsidR="00F67E9E" w:rsidRPr="00AE092F" w:rsidRDefault="00F67E9E" w:rsidP="007F74AA">
            <w:pPr>
              <w:spacing w:after="120"/>
              <w:rPr>
                <w:rFonts w:cs="Arial"/>
                <w:szCs w:val="24"/>
              </w:rPr>
            </w:pPr>
            <w:r w:rsidRPr="00AE092F">
              <w:rPr>
                <w:rFonts w:cs="Arial"/>
                <w:szCs w:val="24"/>
              </w:rPr>
              <w:t xml:space="preserve">Full legal name: </w:t>
            </w:r>
            <w:bookmarkStart w:id="3163" w:name="_Hlk93316049"/>
            <w:r w:rsidRPr="00AE092F">
              <w:rPr>
                <w:rFonts w:cs="Arial"/>
                <w:szCs w:val="24"/>
                <w:highlight w:val="lightGray"/>
              </w:rPr>
              <w:fldChar w:fldCharType="begin" w:fldLock="1">
                <w:ffData>
                  <w:name w:val="Text2"/>
                  <w:enabled/>
                  <w:calcOnExit w:val="0"/>
                  <w:textInput/>
                </w:ffData>
              </w:fldChar>
            </w:r>
            <w:r w:rsidRPr="00AE092F">
              <w:rPr>
                <w:rFonts w:cs="Arial"/>
                <w:szCs w:val="24"/>
                <w:highlight w:val="lightGray"/>
              </w:rPr>
              <w:instrText xml:space="preserve"> FORMTEXT </w:instrText>
            </w:r>
            <w:r w:rsidRPr="00AE092F">
              <w:rPr>
                <w:rFonts w:cs="Arial"/>
                <w:szCs w:val="24"/>
                <w:highlight w:val="lightGray"/>
              </w:rPr>
            </w:r>
            <w:r w:rsidRPr="00AE092F">
              <w:rPr>
                <w:rFonts w:cs="Arial"/>
                <w:szCs w:val="24"/>
                <w:highlight w:val="lightGray"/>
              </w:rPr>
              <w:fldChar w:fldCharType="separate"/>
            </w:r>
            <w:r w:rsidRPr="00AE092F">
              <w:rPr>
                <w:rFonts w:cs="Arial"/>
                <w:noProof/>
                <w:szCs w:val="24"/>
                <w:highlight w:val="lightGray"/>
              </w:rPr>
              <w:t> </w:t>
            </w:r>
            <w:r w:rsidRPr="00AE092F">
              <w:rPr>
                <w:rFonts w:cs="Arial"/>
                <w:noProof/>
                <w:szCs w:val="24"/>
                <w:highlight w:val="lightGray"/>
              </w:rPr>
              <w:t> </w:t>
            </w:r>
            <w:r w:rsidRPr="00AE092F">
              <w:rPr>
                <w:rFonts w:cs="Arial"/>
                <w:noProof/>
                <w:szCs w:val="24"/>
                <w:highlight w:val="lightGray"/>
              </w:rPr>
              <w:t> </w:t>
            </w:r>
            <w:r w:rsidRPr="00AE092F">
              <w:rPr>
                <w:rFonts w:cs="Arial"/>
                <w:noProof/>
                <w:szCs w:val="24"/>
                <w:highlight w:val="lightGray"/>
              </w:rPr>
              <w:t> </w:t>
            </w:r>
            <w:r w:rsidRPr="00AE092F">
              <w:rPr>
                <w:rFonts w:cs="Arial"/>
                <w:noProof/>
                <w:szCs w:val="24"/>
                <w:highlight w:val="lightGray"/>
              </w:rPr>
              <w:t> </w:t>
            </w:r>
            <w:r w:rsidRPr="00AE092F">
              <w:rPr>
                <w:rFonts w:cs="Arial"/>
                <w:szCs w:val="24"/>
                <w:highlight w:val="lightGray"/>
              </w:rPr>
              <w:fldChar w:fldCharType="end"/>
            </w:r>
            <w:bookmarkEnd w:id="3163"/>
          </w:p>
          <w:p w14:paraId="753E7BD6" w14:textId="77777777" w:rsidR="00F67E9E" w:rsidRPr="00AE092F" w:rsidRDefault="00F67E9E" w:rsidP="007F74AA">
            <w:pPr>
              <w:spacing w:after="120"/>
              <w:rPr>
                <w:rFonts w:cs="Arial"/>
                <w:szCs w:val="24"/>
              </w:rPr>
            </w:pPr>
            <w:r w:rsidRPr="00AE092F">
              <w:rPr>
                <w:rFonts w:cs="Arial"/>
                <w:szCs w:val="24"/>
              </w:rPr>
              <w:t xml:space="preserve">Trading name (if different): </w:t>
            </w:r>
            <w:r w:rsidRPr="00AE092F">
              <w:rPr>
                <w:rFonts w:cs="Arial"/>
                <w:szCs w:val="24"/>
                <w:highlight w:val="lightGray"/>
              </w:rPr>
              <w:fldChar w:fldCharType="begin" w:fldLock="1">
                <w:ffData>
                  <w:name w:val=""/>
                  <w:enabled/>
                  <w:calcOnExit w:val="0"/>
                  <w:textInput/>
                </w:ffData>
              </w:fldChar>
            </w:r>
            <w:r w:rsidRPr="00AE092F">
              <w:rPr>
                <w:rFonts w:cs="Arial"/>
                <w:szCs w:val="24"/>
                <w:highlight w:val="lightGray"/>
              </w:rPr>
              <w:instrText xml:space="preserve"> FORMTEXT </w:instrText>
            </w:r>
            <w:r w:rsidRPr="00AE092F">
              <w:rPr>
                <w:rFonts w:cs="Arial"/>
                <w:szCs w:val="24"/>
                <w:highlight w:val="lightGray"/>
              </w:rPr>
            </w:r>
            <w:r w:rsidRPr="00AE092F">
              <w:rPr>
                <w:rFonts w:cs="Arial"/>
                <w:szCs w:val="24"/>
                <w:highlight w:val="lightGray"/>
              </w:rPr>
              <w:fldChar w:fldCharType="separate"/>
            </w:r>
            <w:r w:rsidRPr="00AE092F">
              <w:rPr>
                <w:rFonts w:cs="Arial"/>
                <w:noProof/>
                <w:szCs w:val="24"/>
                <w:highlight w:val="lightGray"/>
              </w:rPr>
              <w:t> </w:t>
            </w:r>
            <w:r w:rsidRPr="00AE092F">
              <w:rPr>
                <w:rFonts w:cs="Arial"/>
                <w:noProof/>
                <w:szCs w:val="24"/>
                <w:highlight w:val="lightGray"/>
              </w:rPr>
              <w:t> </w:t>
            </w:r>
            <w:r w:rsidRPr="00AE092F">
              <w:rPr>
                <w:rFonts w:cs="Arial"/>
                <w:noProof/>
                <w:szCs w:val="24"/>
                <w:highlight w:val="lightGray"/>
              </w:rPr>
              <w:t> </w:t>
            </w:r>
            <w:r w:rsidRPr="00AE092F">
              <w:rPr>
                <w:rFonts w:cs="Arial"/>
                <w:noProof/>
                <w:szCs w:val="24"/>
                <w:highlight w:val="lightGray"/>
              </w:rPr>
              <w:t> </w:t>
            </w:r>
            <w:r w:rsidRPr="00AE092F">
              <w:rPr>
                <w:rFonts w:cs="Arial"/>
                <w:noProof/>
                <w:szCs w:val="24"/>
                <w:highlight w:val="lightGray"/>
              </w:rPr>
              <w:t> </w:t>
            </w:r>
            <w:r w:rsidRPr="00AE092F">
              <w:rPr>
                <w:rFonts w:cs="Arial"/>
                <w:szCs w:val="24"/>
                <w:highlight w:val="lightGray"/>
              </w:rPr>
              <w:fldChar w:fldCharType="end"/>
            </w:r>
          </w:p>
          <w:p w14:paraId="7921C117" w14:textId="77777777" w:rsidR="00F67E9E" w:rsidRPr="00AE092F" w:rsidRDefault="00F67E9E" w:rsidP="007F74AA">
            <w:pPr>
              <w:spacing w:after="120"/>
              <w:rPr>
                <w:rFonts w:cs="Arial"/>
                <w:szCs w:val="24"/>
              </w:rPr>
            </w:pPr>
            <w:r w:rsidRPr="00AE092F">
              <w:rPr>
                <w:rFonts w:cs="Arial"/>
                <w:szCs w:val="24"/>
              </w:rPr>
              <w:t xml:space="preserve">Main address (if a company registered address): </w:t>
            </w:r>
            <w:r w:rsidRPr="00AE092F">
              <w:rPr>
                <w:rFonts w:cs="Arial"/>
                <w:szCs w:val="24"/>
                <w:highlight w:val="lightGray"/>
              </w:rPr>
              <w:fldChar w:fldCharType="begin" w:fldLock="1">
                <w:ffData>
                  <w:name w:val=""/>
                  <w:enabled/>
                  <w:calcOnExit w:val="0"/>
                  <w:textInput/>
                </w:ffData>
              </w:fldChar>
            </w:r>
            <w:r w:rsidRPr="00AE092F">
              <w:rPr>
                <w:rFonts w:cs="Arial"/>
                <w:szCs w:val="24"/>
                <w:highlight w:val="lightGray"/>
              </w:rPr>
              <w:instrText xml:space="preserve"> FORMTEXT </w:instrText>
            </w:r>
            <w:r w:rsidRPr="00AE092F">
              <w:rPr>
                <w:rFonts w:cs="Arial"/>
                <w:szCs w:val="24"/>
                <w:highlight w:val="lightGray"/>
              </w:rPr>
            </w:r>
            <w:r w:rsidRPr="00AE092F">
              <w:rPr>
                <w:rFonts w:cs="Arial"/>
                <w:szCs w:val="24"/>
                <w:highlight w:val="lightGray"/>
              </w:rPr>
              <w:fldChar w:fldCharType="separate"/>
            </w:r>
            <w:r w:rsidRPr="00AE092F">
              <w:rPr>
                <w:rFonts w:cs="Arial"/>
                <w:noProof/>
                <w:szCs w:val="24"/>
                <w:highlight w:val="lightGray"/>
              </w:rPr>
              <w:t> </w:t>
            </w:r>
            <w:r w:rsidRPr="00AE092F">
              <w:rPr>
                <w:rFonts w:cs="Arial"/>
                <w:noProof/>
                <w:szCs w:val="24"/>
                <w:highlight w:val="lightGray"/>
              </w:rPr>
              <w:t> </w:t>
            </w:r>
            <w:r w:rsidRPr="00AE092F">
              <w:rPr>
                <w:rFonts w:cs="Arial"/>
                <w:noProof/>
                <w:szCs w:val="24"/>
                <w:highlight w:val="lightGray"/>
              </w:rPr>
              <w:t> </w:t>
            </w:r>
            <w:r w:rsidRPr="00AE092F">
              <w:rPr>
                <w:rFonts w:cs="Arial"/>
                <w:noProof/>
                <w:szCs w:val="24"/>
                <w:highlight w:val="lightGray"/>
              </w:rPr>
              <w:t> </w:t>
            </w:r>
            <w:r w:rsidRPr="00AE092F">
              <w:rPr>
                <w:rFonts w:cs="Arial"/>
                <w:noProof/>
                <w:szCs w:val="24"/>
                <w:highlight w:val="lightGray"/>
              </w:rPr>
              <w:t> </w:t>
            </w:r>
            <w:r w:rsidRPr="00AE092F">
              <w:rPr>
                <w:rFonts w:cs="Arial"/>
                <w:szCs w:val="24"/>
                <w:highlight w:val="lightGray"/>
              </w:rPr>
              <w:fldChar w:fldCharType="end"/>
            </w:r>
          </w:p>
          <w:p w14:paraId="1EF99568" w14:textId="77777777" w:rsidR="00F67E9E" w:rsidRPr="00AE092F" w:rsidRDefault="00F67E9E" w:rsidP="007F74AA">
            <w:pPr>
              <w:rPr>
                <w:rFonts w:cs="Arial"/>
                <w:szCs w:val="24"/>
              </w:rPr>
            </w:pPr>
            <w:r w:rsidRPr="00AE092F">
              <w:rPr>
                <w:rFonts w:cs="Arial"/>
                <w:szCs w:val="24"/>
              </w:rPr>
              <w:t xml:space="preserve">Official registration number (if any) (company number or similar identifier): </w:t>
            </w:r>
            <w:r w:rsidRPr="00AE092F">
              <w:rPr>
                <w:rFonts w:cs="Arial"/>
                <w:szCs w:val="24"/>
                <w:highlight w:val="lightGray"/>
              </w:rPr>
              <w:fldChar w:fldCharType="begin" w:fldLock="1">
                <w:ffData>
                  <w:name w:val=""/>
                  <w:enabled/>
                  <w:calcOnExit w:val="0"/>
                  <w:textInput/>
                </w:ffData>
              </w:fldChar>
            </w:r>
            <w:r w:rsidRPr="00AE092F">
              <w:rPr>
                <w:rFonts w:cs="Arial"/>
                <w:szCs w:val="24"/>
                <w:highlight w:val="lightGray"/>
              </w:rPr>
              <w:instrText xml:space="preserve"> FORMTEXT </w:instrText>
            </w:r>
            <w:r w:rsidRPr="00AE092F">
              <w:rPr>
                <w:rFonts w:cs="Arial"/>
                <w:szCs w:val="24"/>
                <w:highlight w:val="lightGray"/>
              </w:rPr>
            </w:r>
            <w:r w:rsidRPr="00AE092F">
              <w:rPr>
                <w:rFonts w:cs="Arial"/>
                <w:szCs w:val="24"/>
                <w:highlight w:val="lightGray"/>
              </w:rPr>
              <w:fldChar w:fldCharType="separate"/>
            </w:r>
            <w:r w:rsidRPr="00AE092F">
              <w:rPr>
                <w:rFonts w:cs="Arial"/>
                <w:noProof/>
                <w:szCs w:val="24"/>
                <w:highlight w:val="lightGray"/>
              </w:rPr>
              <w:t> </w:t>
            </w:r>
            <w:r w:rsidRPr="00AE092F">
              <w:rPr>
                <w:rFonts w:cs="Arial"/>
                <w:noProof/>
                <w:szCs w:val="24"/>
                <w:highlight w:val="lightGray"/>
              </w:rPr>
              <w:t> </w:t>
            </w:r>
            <w:r w:rsidRPr="00AE092F">
              <w:rPr>
                <w:rFonts w:cs="Arial"/>
                <w:noProof/>
                <w:szCs w:val="24"/>
                <w:highlight w:val="lightGray"/>
              </w:rPr>
              <w:t> </w:t>
            </w:r>
            <w:r w:rsidRPr="00AE092F">
              <w:rPr>
                <w:rFonts w:cs="Arial"/>
                <w:noProof/>
                <w:szCs w:val="24"/>
                <w:highlight w:val="lightGray"/>
              </w:rPr>
              <w:t> </w:t>
            </w:r>
            <w:r w:rsidRPr="00AE092F">
              <w:rPr>
                <w:rFonts w:cs="Arial"/>
                <w:noProof/>
                <w:szCs w:val="24"/>
                <w:highlight w:val="lightGray"/>
              </w:rPr>
              <w:t> </w:t>
            </w:r>
            <w:r w:rsidRPr="00AE092F">
              <w:rPr>
                <w:rFonts w:cs="Arial"/>
                <w:szCs w:val="24"/>
                <w:highlight w:val="lightGray"/>
              </w:rPr>
              <w:fldChar w:fldCharType="end"/>
            </w:r>
          </w:p>
        </w:tc>
        <w:tc>
          <w:tcPr>
            <w:tcW w:w="1912" w:type="pct"/>
          </w:tcPr>
          <w:p w14:paraId="67E5689B" w14:textId="77777777" w:rsidR="00F67E9E" w:rsidRPr="00AE092F" w:rsidRDefault="00F67E9E" w:rsidP="007F74AA">
            <w:pPr>
              <w:spacing w:after="120"/>
              <w:ind w:left="40"/>
              <w:rPr>
                <w:rFonts w:cs="Arial"/>
                <w:szCs w:val="24"/>
              </w:rPr>
            </w:pPr>
            <w:r w:rsidRPr="00AE092F">
              <w:rPr>
                <w:rFonts w:cs="Arial"/>
                <w:szCs w:val="24"/>
              </w:rPr>
              <w:t xml:space="preserve">Full legal name: </w:t>
            </w:r>
            <w:r w:rsidRPr="00AE092F">
              <w:rPr>
                <w:rFonts w:cs="Arial"/>
                <w:szCs w:val="24"/>
                <w:highlight w:val="lightGray"/>
              </w:rPr>
              <w:fldChar w:fldCharType="begin" w:fldLock="1">
                <w:ffData>
                  <w:name w:val=""/>
                  <w:enabled/>
                  <w:calcOnExit w:val="0"/>
                  <w:textInput/>
                </w:ffData>
              </w:fldChar>
            </w:r>
            <w:r w:rsidRPr="00AE092F">
              <w:rPr>
                <w:rFonts w:cs="Arial"/>
                <w:szCs w:val="24"/>
                <w:highlight w:val="lightGray"/>
              </w:rPr>
              <w:instrText xml:space="preserve"> FORMTEXT </w:instrText>
            </w:r>
            <w:r w:rsidRPr="00AE092F">
              <w:rPr>
                <w:rFonts w:cs="Arial"/>
                <w:szCs w:val="24"/>
                <w:highlight w:val="lightGray"/>
              </w:rPr>
            </w:r>
            <w:r w:rsidRPr="00AE092F">
              <w:rPr>
                <w:rFonts w:cs="Arial"/>
                <w:szCs w:val="24"/>
                <w:highlight w:val="lightGray"/>
              </w:rPr>
              <w:fldChar w:fldCharType="separate"/>
            </w:r>
            <w:r w:rsidRPr="00AE092F">
              <w:rPr>
                <w:rFonts w:cs="Arial"/>
                <w:noProof/>
                <w:szCs w:val="24"/>
                <w:highlight w:val="lightGray"/>
              </w:rPr>
              <w:t> </w:t>
            </w:r>
            <w:r w:rsidRPr="00AE092F">
              <w:rPr>
                <w:rFonts w:cs="Arial"/>
                <w:noProof/>
                <w:szCs w:val="24"/>
                <w:highlight w:val="lightGray"/>
              </w:rPr>
              <w:t> </w:t>
            </w:r>
            <w:r w:rsidRPr="00AE092F">
              <w:rPr>
                <w:rFonts w:cs="Arial"/>
                <w:noProof/>
                <w:szCs w:val="24"/>
                <w:highlight w:val="lightGray"/>
              </w:rPr>
              <w:t> </w:t>
            </w:r>
            <w:r w:rsidRPr="00AE092F">
              <w:rPr>
                <w:rFonts w:cs="Arial"/>
                <w:noProof/>
                <w:szCs w:val="24"/>
                <w:highlight w:val="lightGray"/>
              </w:rPr>
              <w:t> </w:t>
            </w:r>
            <w:r w:rsidRPr="00AE092F">
              <w:rPr>
                <w:rFonts w:cs="Arial"/>
                <w:noProof/>
                <w:szCs w:val="24"/>
                <w:highlight w:val="lightGray"/>
              </w:rPr>
              <w:t> </w:t>
            </w:r>
            <w:r w:rsidRPr="00AE092F">
              <w:rPr>
                <w:rFonts w:cs="Arial"/>
                <w:szCs w:val="24"/>
                <w:highlight w:val="lightGray"/>
              </w:rPr>
              <w:fldChar w:fldCharType="end"/>
            </w:r>
          </w:p>
          <w:p w14:paraId="66EAFA7E" w14:textId="77777777" w:rsidR="00F67E9E" w:rsidRPr="00AE092F" w:rsidRDefault="00F67E9E" w:rsidP="007F74AA">
            <w:pPr>
              <w:spacing w:after="120"/>
              <w:ind w:left="40"/>
              <w:rPr>
                <w:rFonts w:cs="Arial"/>
                <w:szCs w:val="24"/>
              </w:rPr>
            </w:pPr>
            <w:r w:rsidRPr="00AE092F">
              <w:rPr>
                <w:rFonts w:cs="Arial"/>
                <w:szCs w:val="24"/>
              </w:rPr>
              <w:t xml:space="preserve">Trading name (if different): </w:t>
            </w:r>
            <w:r w:rsidRPr="00AE092F">
              <w:rPr>
                <w:rFonts w:cs="Arial"/>
                <w:szCs w:val="24"/>
                <w:highlight w:val="lightGray"/>
              </w:rPr>
              <w:fldChar w:fldCharType="begin" w:fldLock="1">
                <w:ffData>
                  <w:name w:val=""/>
                  <w:enabled/>
                  <w:calcOnExit w:val="0"/>
                  <w:textInput/>
                </w:ffData>
              </w:fldChar>
            </w:r>
            <w:r w:rsidRPr="00AE092F">
              <w:rPr>
                <w:rFonts w:cs="Arial"/>
                <w:szCs w:val="24"/>
                <w:highlight w:val="lightGray"/>
              </w:rPr>
              <w:instrText xml:space="preserve"> FORMTEXT </w:instrText>
            </w:r>
            <w:r w:rsidRPr="00AE092F">
              <w:rPr>
                <w:rFonts w:cs="Arial"/>
                <w:szCs w:val="24"/>
                <w:highlight w:val="lightGray"/>
              </w:rPr>
            </w:r>
            <w:r w:rsidRPr="00AE092F">
              <w:rPr>
                <w:rFonts w:cs="Arial"/>
                <w:szCs w:val="24"/>
                <w:highlight w:val="lightGray"/>
              </w:rPr>
              <w:fldChar w:fldCharType="separate"/>
            </w:r>
            <w:r w:rsidRPr="00AE092F">
              <w:rPr>
                <w:rFonts w:cs="Arial"/>
                <w:noProof/>
                <w:szCs w:val="24"/>
                <w:highlight w:val="lightGray"/>
              </w:rPr>
              <w:t> </w:t>
            </w:r>
            <w:r w:rsidRPr="00AE092F">
              <w:rPr>
                <w:rFonts w:cs="Arial"/>
                <w:noProof/>
                <w:szCs w:val="24"/>
                <w:highlight w:val="lightGray"/>
              </w:rPr>
              <w:t> </w:t>
            </w:r>
            <w:r w:rsidRPr="00AE092F">
              <w:rPr>
                <w:rFonts w:cs="Arial"/>
                <w:noProof/>
                <w:szCs w:val="24"/>
                <w:highlight w:val="lightGray"/>
              </w:rPr>
              <w:t> </w:t>
            </w:r>
            <w:r w:rsidRPr="00AE092F">
              <w:rPr>
                <w:rFonts w:cs="Arial"/>
                <w:noProof/>
                <w:szCs w:val="24"/>
                <w:highlight w:val="lightGray"/>
              </w:rPr>
              <w:t> </w:t>
            </w:r>
            <w:r w:rsidRPr="00AE092F">
              <w:rPr>
                <w:rFonts w:cs="Arial"/>
                <w:noProof/>
                <w:szCs w:val="24"/>
                <w:highlight w:val="lightGray"/>
              </w:rPr>
              <w:t> </w:t>
            </w:r>
            <w:r w:rsidRPr="00AE092F">
              <w:rPr>
                <w:rFonts w:cs="Arial"/>
                <w:szCs w:val="24"/>
                <w:highlight w:val="lightGray"/>
              </w:rPr>
              <w:fldChar w:fldCharType="end"/>
            </w:r>
          </w:p>
          <w:p w14:paraId="5F989B19" w14:textId="77777777" w:rsidR="00F67E9E" w:rsidRPr="00AE092F" w:rsidRDefault="00F67E9E" w:rsidP="007F74AA">
            <w:pPr>
              <w:spacing w:after="120"/>
              <w:ind w:left="40"/>
              <w:rPr>
                <w:rFonts w:cs="Arial"/>
                <w:szCs w:val="24"/>
              </w:rPr>
            </w:pPr>
            <w:r w:rsidRPr="00AE092F">
              <w:rPr>
                <w:rFonts w:cs="Arial"/>
                <w:szCs w:val="24"/>
              </w:rPr>
              <w:t xml:space="preserve">Main address (if a company registered address): </w:t>
            </w:r>
            <w:r w:rsidRPr="00AE092F">
              <w:rPr>
                <w:rFonts w:cs="Arial"/>
                <w:szCs w:val="24"/>
                <w:highlight w:val="lightGray"/>
              </w:rPr>
              <w:fldChar w:fldCharType="begin" w:fldLock="1">
                <w:ffData>
                  <w:name w:val=""/>
                  <w:enabled/>
                  <w:calcOnExit w:val="0"/>
                  <w:textInput/>
                </w:ffData>
              </w:fldChar>
            </w:r>
            <w:r w:rsidRPr="00AE092F">
              <w:rPr>
                <w:rFonts w:cs="Arial"/>
                <w:szCs w:val="24"/>
                <w:highlight w:val="lightGray"/>
              </w:rPr>
              <w:instrText xml:space="preserve"> FORMTEXT </w:instrText>
            </w:r>
            <w:r w:rsidRPr="00AE092F">
              <w:rPr>
                <w:rFonts w:cs="Arial"/>
                <w:szCs w:val="24"/>
                <w:highlight w:val="lightGray"/>
              </w:rPr>
            </w:r>
            <w:r w:rsidRPr="00AE092F">
              <w:rPr>
                <w:rFonts w:cs="Arial"/>
                <w:szCs w:val="24"/>
                <w:highlight w:val="lightGray"/>
              </w:rPr>
              <w:fldChar w:fldCharType="separate"/>
            </w:r>
            <w:r w:rsidRPr="00AE092F">
              <w:rPr>
                <w:rFonts w:cs="Arial"/>
                <w:noProof/>
                <w:szCs w:val="24"/>
                <w:highlight w:val="lightGray"/>
              </w:rPr>
              <w:t> </w:t>
            </w:r>
            <w:r w:rsidRPr="00AE092F">
              <w:rPr>
                <w:rFonts w:cs="Arial"/>
                <w:noProof/>
                <w:szCs w:val="24"/>
                <w:highlight w:val="lightGray"/>
              </w:rPr>
              <w:t> </w:t>
            </w:r>
            <w:r w:rsidRPr="00AE092F">
              <w:rPr>
                <w:rFonts w:cs="Arial"/>
                <w:noProof/>
                <w:szCs w:val="24"/>
                <w:highlight w:val="lightGray"/>
              </w:rPr>
              <w:t> </w:t>
            </w:r>
            <w:r w:rsidRPr="00AE092F">
              <w:rPr>
                <w:rFonts w:cs="Arial"/>
                <w:noProof/>
                <w:szCs w:val="24"/>
                <w:highlight w:val="lightGray"/>
              </w:rPr>
              <w:t> </w:t>
            </w:r>
            <w:r w:rsidRPr="00AE092F">
              <w:rPr>
                <w:rFonts w:cs="Arial"/>
                <w:noProof/>
                <w:szCs w:val="24"/>
                <w:highlight w:val="lightGray"/>
              </w:rPr>
              <w:t> </w:t>
            </w:r>
            <w:r w:rsidRPr="00AE092F">
              <w:rPr>
                <w:rFonts w:cs="Arial"/>
                <w:szCs w:val="24"/>
                <w:highlight w:val="lightGray"/>
              </w:rPr>
              <w:fldChar w:fldCharType="end"/>
            </w:r>
          </w:p>
          <w:p w14:paraId="7C82FA6D" w14:textId="77777777" w:rsidR="00F67E9E" w:rsidRPr="00AE092F" w:rsidRDefault="00F67E9E" w:rsidP="007F74AA">
            <w:pPr>
              <w:spacing w:after="120"/>
              <w:ind w:left="40"/>
              <w:rPr>
                <w:rFonts w:cs="Arial"/>
                <w:szCs w:val="24"/>
              </w:rPr>
            </w:pPr>
            <w:r w:rsidRPr="00AE092F">
              <w:rPr>
                <w:rFonts w:cs="Arial"/>
                <w:szCs w:val="24"/>
              </w:rPr>
              <w:t xml:space="preserve">Official registration number (if any) (company number or similar identifier): </w:t>
            </w:r>
            <w:r w:rsidRPr="00AE092F">
              <w:rPr>
                <w:rFonts w:cs="Arial"/>
                <w:szCs w:val="24"/>
                <w:highlight w:val="lightGray"/>
              </w:rPr>
              <w:fldChar w:fldCharType="begin" w:fldLock="1">
                <w:ffData>
                  <w:name w:val=""/>
                  <w:enabled/>
                  <w:calcOnExit w:val="0"/>
                  <w:textInput/>
                </w:ffData>
              </w:fldChar>
            </w:r>
            <w:r w:rsidRPr="00AE092F">
              <w:rPr>
                <w:rFonts w:cs="Arial"/>
                <w:szCs w:val="24"/>
                <w:highlight w:val="lightGray"/>
              </w:rPr>
              <w:instrText xml:space="preserve"> FORMTEXT </w:instrText>
            </w:r>
            <w:r w:rsidRPr="00AE092F">
              <w:rPr>
                <w:rFonts w:cs="Arial"/>
                <w:szCs w:val="24"/>
                <w:highlight w:val="lightGray"/>
              </w:rPr>
            </w:r>
            <w:r w:rsidRPr="00AE092F">
              <w:rPr>
                <w:rFonts w:cs="Arial"/>
                <w:szCs w:val="24"/>
                <w:highlight w:val="lightGray"/>
              </w:rPr>
              <w:fldChar w:fldCharType="separate"/>
            </w:r>
            <w:r w:rsidRPr="00AE092F">
              <w:rPr>
                <w:rFonts w:cs="Arial"/>
                <w:noProof/>
                <w:szCs w:val="24"/>
                <w:highlight w:val="lightGray"/>
              </w:rPr>
              <w:t> </w:t>
            </w:r>
            <w:r w:rsidRPr="00AE092F">
              <w:rPr>
                <w:rFonts w:cs="Arial"/>
                <w:noProof/>
                <w:szCs w:val="24"/>
                <w:highlight w:val="lightGray"/>
              </w:rPr>
              <w:t> </w:t>
            </w:r>
            <w:r w:rsidRPr="00AE092F">
              <w:rPr>
                <w:rFonts w:cs="Arial"/>
                <w:noProof/>
                <w:szCs w:val="24"/>
                <w:highlight w:val="lightGray"/>
              </w:rPr>
              <w:t> </w:t>
            </w:r>
            <w:r w:rsidRPr="00AE092F">
              <w:rPr>
                <w:rFonts w:cs="Arial"/>
                <w:noProof/>
                <w:szCs w:val="24"/>
                <w:highlight w:val="lightGray"/>
              </w:rPr>
              <w:t> </w:t>
            </w:r>
            <w:r w:rsidRPr="00AE092F">
              <w:rPr>
                <w:rFonts w:cs="Arial"/>
                <w:noProof/>
                <w:szCs w:val="24"/>
                <w:highlight w:val="lightGray"/>
              </w:rPr>
              <w:t> </w:t>
            </w:r>
            <w:r w:rsidRPr="00AE092F">
              <w:rPr>
                <w:rFonts w:cs="Arial"/>
                <w:szCs w:val="24"/>
                <w:highlight w:val="lightGray"/>
              </w:rPr>
              <w:fldChar w:fldCharType="end"/>
            </w:r>
          </w:p>
        </w:tc>
      </w:tr>
      <w:tr w:rsidR="00F67E9E" w:rsidRPr="00AE092F" w14:paraId="12A480A2" w14:textId="77777777" w:rsidTr="007F74AA">
        <w:tc>
          <w:tcPr>
            <w:tcW w:w="1177" w:type="pct"/>
          </w:tcPr>
          <w:p w14:paraId="48DA0C3D" w14:textId="77777777" w:rsidR="00F67E9E" w:rsidRPr="002237C8" w:rsidRDefault="00F67E9E" w:rsidP="007F74AA">
            <w:pPr>
              <w:spacing w:after="120"/>
              <w:ind w:left="30"/>
              <w:rPr>
                <w:rFonts w:cs="Arial"/>
                <w:b/>
                <w:bCs/>
                <w:szCs w:val="24"/>
              </w:rPr>
            </w:pPr>
            <w:r w:rsidRPr="002237C8">
              <w:rPr>
                <w:rFonts w:cs="Arial"/>
                <w:b/>
                <w:bCs/>
                <w:szCs w:val="24"/>
              </w:rPr>
              <w:t>Key Contact</w:t>
            </w:r>
          </w:p>
        </w:tc>
        <w:tc>
          <w:tcPr>
            <w:tcW w:w="1911" w:type="pct"/>
          </w:tcPr>
          <w:p w14:paraId="70146529" w14:textId="77777777" w:rsidR="00F67E9E" w:rsidRPr="00AE092F" w:rsidRDefault="00F67E9E" w:rsidP="007F74AA">
            <w:pPr>
              <w:spacing w:after="120"/>
              <w:rPr>
                <w:rFonts w:cs="Arial"/>
                <w:szCs w:val="24"/>
              </w:rPr>
            </w:pPr>
            <w:r w:rsidRPr="00AE092F">
              <w:rPr>
                <w:rFonts w:cs="Arial"/>
                <w:szCs w:val="24"/>
              </w:rPr>
              <w:t xml:space="preserve">Full Name (optional): </w:t>
            </w:r>
            <w:r w:rsidRPr="00AE092F">
              <w:rPr>
                <w:rFonts w:cs="Arial"/>
                <w:szCs w:val="24"/>
                <w:highlight w:val="lightGray"/>
              </w:rPr>
              <w:fldChar w:fldCharType="begin" w:fldLock="1">
                <w:ffData>
                  <w:name w:val=""/>
                  <w:enabled/>
                  <w:calcOnExit w:val="0"/>
                  <w:textInput/>
                </w:ffData>
              </w:fldChar>
            </w:r>
            <w:r w:rsidRPr="00AE092F">
              <w:rPr>
                <w:rFonts w:cs="Arial"/>
                <w:szCs w:val="24"/>
                <w:highlight w:val="lightGray"/>
              </w:rPr>
              <w:instrText xml:space="preserve"> FORMTEXT </w:instrText>
            </w:r>
            <w:r w:rsidRPr="00AE092F">
              <w:rPr>
                <w:rFonts w:cs="Arial"/>
                <w:szCs w:val="24"/>
                <w:highlight w:val="lightGray"/>
              </w:rPr>
            </w:r>
            <w:r w:rsidRPr="00AE092F">
              <w:rPr>
                <w:rFonts w:cs="Arial"/>
                <w:szCs w:val="24"/>
                <w:highlight w:val="lightGray"/>
              </w:rPr>
              <w:fldChar w:fldCharType="separate"/>
            </w:r>
            <w:r w:rsidRPr="00AE092F">
              <w:rPr>
                <w:rFonts w:cs="Arial"/>
                <w:noProof/>
                <w:szCs w:val="24"/>
                <w:highlight w:val="lightGray"/>
              </w:rPr>
              <w:t> </w:t>
            </w:r>
            <w:r w:rsidRPr="00AE092F">
              <w:rPr>
                <w:rFonts w:cs="Arial"/>
                <w:noProof/>
                <w:szCs w:val="24"/>
                <w:highlight w:val="lightGray"/>
              </w:rPr>
              <w:t> </w:t>
            </w:r>
            <w:r w:rsidRPr="00AE092F">
              <w:rPr>
                <w:rFonts w:cs="Arial"/>
                <w:noProof/>
                <w:szCs w:val="24"/>
                <w:highlight w:val="lightGray"/>
              </w:rPr>
              <w:t> </w:t>
            </w:r>
            <w:r w:rsidRPr="00AE092F">
              <w:rPr>
                <w:rFonts w:cs="Arial"/>
                <w:noProof/>
                <w:szCs w:val="24"/>
                <w:highlight w:val="lightGray"/>
              </w:rPr>
              <w:t> </w:t>
            </w:r>
            <w:r w:rsidRPr="00AE092F">
              <w:rPr>
                <w:rFonts w:cs="Arial"/>
                <w:noProof/>
                <w:szCs w:val="24"/>
                <w:highlight w:val="lightGray"/>
              </w:rPr>
              <w:t> </w:t>
            </w:r>
            <w:r w:rsidRPr="00AE092F">
              <w:rPr>
                <w:rFonts w:cs="Arial"/>
                <w:szCs w:val="24"/>
                <w:highlight w:val="lightGray"/>
              </w:rPr>
              <w:fldChar w:fldCharType="end"/>
            </w:r>
          </w:p>
          <w:p w14:paraId="5979D067" w14:textId="77777777" w:rsidR="00F67E9E" w:rsidRPr="00AE092F" w:rsidRDefault="00F67E9E" w:rsidP="007F74AA">
            <w:pPr>
              <w:spacing w:after="120"/>
              <w:rPr>
                <w:rFonts w:cs="Arial"/>
                <w:szCs w:val="24"/>
              </w:rPr>
            </w:pPr>
            <w:r w:rsidRPr="00AE092F">
              <w:rPr>
                <w:rFonts w:cs="Arial"/>
                <w:szCs w:val="24"/>
              </w:rPr>
              <w:t xml:space="preserve">Job Title: </w:t>
            </w:r>
            <w:r w:rsidRPr="00AE092F">
              <w:rPr>
                <w:rFonts w:cs="Arial"/>
                <w:szCs w:val="24"/>
                <w:highlight w:val="lightGray"/>
              </w:rPr>
              <w:fldChar w:fldCharType="begin" w:fldLock="1">
                <w:ffData>
                  <w:name w:val=""/>
                  <w:enabled/>
                  <w:calcOnExit w:val="0"/>
                  <w:textInput/>
                </w:ffData>
              </w:fldChar>
            </w:r>
            <w:r w:rsidRPr="00AE092F">
              <w:rPr>
                <w:rFonts w:cs="Arial"/>
                <w:szCs w:val="24"/>
                <w:highlight w:val="lightGray"/>
              </w:rPr>
              <w:instrText xml:space="preserve"> FORMTEXT </w:instrText>
            </w:r>
            <w:r w:rsidRPr="00AE092F">
              <w:rPr>
                <w:rFonts w:cs="Arial"/>
                <w:szCs w:val="24"/>
                <w:highlight w:val="lightGray"/>
              </w:rPr>
            </w:r>
            <w:r w:rsidRPr="00AE092F">
              <w:rPr>
                <w:rFonts w:cs="Arial"/>
                <w:szCs w:val="24"/>
                <w:highlight w:val="lightGray"/>
              </w:rPr>
              <w:fldChar w:fldCharType="separate"/>
            </w:r>
            <w:r w:rsidRPr="00AE092F">
              <w:rPr>
                <w:rFonts w:cs="Arial"/>
                <w:noProof/>
                <w:szCs w:val="24"/>
                <w:highlight w:val="lightGray"/>
              </w:rPr>
              <w:t> </w:t>
            </w:r>
            <w:r w:rsidRPr="00AE092F">
              <w:rPr>
                <w:rFonts w:cs="Arial"/>
                <w:noProof/>
                <w:szCs w:val="24"/>
                <w:highlight w:val="lightGray"/>
              </w:rPr>
              <w:t> </w:t>
            </w:r>
            <w:r w:rsidRPr="00AE092F">
              <w:rPr>
                <w:rFonts w:cs="Arial"/>
                <w:noProof/>
                <w:szCs w:val="24"/>
                <w:highlight w:val="lightGray"/>
              </w:rPr>
              <w:t> </w:t>
            </w:r>
            <w:r w:rsidRPr="00AE092F">
              <w:rPr>
                <w:rFonts w:cs="Arial"/>
                <w:noProof/>
                <w:szCs w:val="24"/>
                <w:highlight w:val="lightGray"/>
              </w:rPr>
              <w:t> </w:t>
            </w:r>
            <w:r w:rsidRPr="00AE092F">
              <w:rPr>
                <w:rFonts w:cs="Arial"/>
                <w:noProof/>
                <w:szCs w:val="24"/>
                <w:highlight w:val="lightGray"/>
              </w:rPr>
              <w:t> </w:t>
            </w:r>
            <w:r w:rsidRPr="00AE092F">
              <w:rPr>
                <w:rFonts w:cs="Arial"/>
                <w:szCs w:val="24"/>
                <w:highlight w:val="lightGray"/>
              </w:rPr>
              <w:fldChar w:fldCharType="end"/>
            </w:r>
          </w:p>
          <w:p w14:paraId="313CD8A9" w14:textId="77777777" w:rsidR="00F67E9E" w:rsidRPr="00AE092F" w:rsidRDefault="00F67E9E" w:rsidP="007F74AA">
            <w:pPr>
              <w:spacing w:after="120"/>
              <w:rPr>
                <w:rFonts w:cs="Arial"/>
                <w:szCs w:val="24"/>
              </w:rPr>
            </w:pPr>
            <w:r w:rsidRPr="00AE092F">
              <w:rPr>
                <w:rFonts w:cs="Arial"/>
                <w:szCs w:val="24"/>
              </w:rPr>
              <w:t xml:space="preserve">Contact details including email: </w:t>
            </w:r>
            <w:r w:rsidRPr="00AE092F">
              <w:rPr>
                <w:rFonts w:cs="Arial"/>
                <w:szCs w:val="24"/>
                <w:highlight w:val="lightGray"/>
              </w:rPr>
              <w:fldChar w:fldCharType="begin" w:fldLock="1">
                <w:ffData>
                  <w:name w:val=""/>
                  <w:enabled/>
                  <w:calcOnExit w:val="0"/>
                  <w:textInput/>
                </w:ffData>
              </w:fldChar>
            </w:r>
            <w:r w:rsidRPr="00AE092F">
              <w:rPr>
                <w:rFonts w:cs="Arial"/>
                <w:szCs w:val="24"/>
                <w:highlight w:val="lightGray"/>
              </w:rPr>
              <w:instrText xml:space="preserve"> FORMTEXT </w:instrText>
            </w:r>
            <w:r w:rsidRPr="00AE092F">
              <w:rPr>
                <w:rFonts w:cs="Arial"/>
                <w:szCs w:val="24"/>
                <w:highlight w:val="lightGray"/>
              </w:rPr>
            </w:r>
            <w:r w:rsidRPr="00AE092F">
              <w:rPr>
                <w:rFonts w:cs="Arial"/>
                <w:szCs w:val="24"/>
                <w:highlight w:val="lightGray"/>
              </w:rPr>
              <w:fldChar w:fldCharType="separate"/>
            </w:r>
            <w:r w:rsidRPr="00AE092F">
              <w:rPr>
                <w:rFonts w:cs="Arial"/>
                <w:noProof/>
                <w:szCs w:val="24"/>
                <w:highlight w:val="lightGray"/>
              </w:rPr>
              <w:t> </w:t>
            </w:r>
            <w:r w:rsidRPr="00AE092F">
              <w:rPr>
                <w:rFonts w:cs="Arial"/>
                <w:noProof/>
                <w:szCs w:val="24"/>
                <w:highlight w:val="lightGray"/>
              </w:rPr>
              <w:t> </w:t>
            </w:r>
            <w:r w:rsidRPr="00AE092F">
              <w:rPr>
                <w:rFonts w:cs="Arial"/>
                <w:noProof/>
                <w:szCs w:val="24"/>
                <w:highlight w:val="lightGray"/>
              </w:rPr>
              <w:t> </w:t>
            </w:r>
            <w:r w:rsidRPr="00AE092F">
              <w:rPr>
                <w:rFonts w:cs="Arial"/>
                <w:noProof/>
                <w:szCs w:val="24"/>
                <w:highlight w:val="lightGray"/>
              </w:rPr>
              <w:t> </w:t>
            </w:r>
            <w:r w:rsidRPr="00AE092F">
              <w:rPr>
                <w:rFonts w:cs="Arial"/>
                <w:noProof/>
                <w:szCs w:val="24"/>
                <w:highlight w:val="lightGray"/>
              </w:rPr>
              <w:t> </w:t>
            </w:r>
            <w:r w:rsidRPr="00AE092F">
              <w:rPr>
                <w:rFonts w:cs="Arial"/>
                <w:szCs w:val="24"/>
                <w:highlight w:val="lightGray"/>
              </w:rPr>
              <w:fldChar w:fldCharType="end"/>
            </w:r>
          </w:p>
        </w:tc>
        <w:tc>
          <w:tcPr>
            <w:tcW w:w="1912" w:type="pct"/>
          </w:tcPr>
          <w:p w14:paraId="06508BB0" w14:textId="77777777" w:rsidR="00F67E9E" w:rsidRPr="00AE092F" w:rsidRDefault="00F67E9E" w:rsidP="007F74AA">
            <w:pPr>
              <w:spacing w:after="120"/>
              <w:ind w:left="40"/>
              <w:rPr>
                <w:rFonts w:cs="Arial"/>
                <w:szCs w:val="24"/>
              </w:rPr>
            </w:pPr>
            <w:r w:rsidRPr="00AE092F">
              <w:rPr>
                <w:rFonts w:cs="Arial"/>
                <w:szCs w:val="24"/>
              </w:rPr>
              <w:t xml:space="preserve">Full Name (optional): </w:t>
            </w:r>
            <w:r w:rsidRPr="00AE092F">
              <w:rPr>
                <w:rFonts w:cs="Arial"/>
                <w:szCs w:val="24"/>
                <w:highlight w:val="lightGray"/>
              </w:rPr>
              <w:fldChar w:fldCharType="begin" w:fldLock="1">
                <w:ffData>
                  <w:name w:val=""/>
                  <w:enabled/>
                  <w:calcOnExit w:val="0"/>
                  <w:textInput/>
                </w:ffData>
              </w:fldChar>
            </w:r>
            <w:r w:rsidRPr="00AE092F">
              <w:rPr>
                <w:rFonts w:cs="Arial"/>
                <w:szCs w:val="24"/>
                <w:highlight w:val="lightGray"/>
              </w:rPr>
              <w:instrText xml:space="preserve"> FORMTEXT </w:instrText>
            </w:r>
            <w:r w:rsidRPr="00AE092F">
              <w:rPr>
                <w:rFonts w:cs="Arial"/>
                <w:szCs w:val="24"/>
                <w:highlight w:val="lightGray"/>
              </w:rPr>
            </w:r>
            <w:r w:rsidRPr="00AE092F">
              <w:rPr>
                <w:rFonts w:cs="Arial"/>
                <w:szCs w:val="24"/>
                <w:highlight w:val="lightGray"/>
              </w:rPr>
              <w:fldChar w:fldCharType="separate"/>
            </w:r>
            <w:r w:rsidRPr="00AE092F">
              <w:rPr>
                <w:rFonts w:cs="Arial"/>
                <w:noProof/>
                <w:szCs w:val="24"/>
                <w:highlight w:val="lightGray"/>
              </w:rPr>
              <w:t> </w:t>
            </w:r>
            <w:r w:rsidRPr="00AE092F">
              <w:rPr>
                <w:rFonts w:cs="Arial"/>
                <w:noProof/>
                <w:szCs w:val="24"/>
                <w:highlight w:val="lightGray"/>
              </w:rPr>
              <w:t> </w:t>
            </w:r>
            <w:r w:rsidRPr="00AE092F">
              <w:rPr>
                <w:rFonts w:cs="Arial"/>
                <w:noProof/>
                <w:szCs w:val="24"/>
                <w:highlight w:val="lightGray"/>
              </w:rPr>
              <w:t> </w:t>
            </w:r>
            <w:r w:rsidRPr="00AE092F">
              <w:rPr>
                <w:rFonts w:cs="Arial"/>
                <w:noProof/>
                <w:szCs w:val="24"/>
                <w:highlight w:val="lightGray"/>
              </w:rPr>
              <w:t> </w:t>
            </w:r>
            <w:r w:rsidRPr="00AE092F">
              <w:rPr>
                <w:rFonts w:cs="Arial"/>
                <w:noProof/>
                <w:szCs w:val="24"/>
                <w:highlight w:val="lightGray"/>
              </w:rPr>
              <w:t> </w:t>
            </w:r>
            <w:r w:rsidRPr="00AE092F">
              <w:rPr>
                <w:rFonts w:cs="Arial"/>
                <w:szCs w:val="24"/>
                <w:highlight w:val="lightGray"/>
              </w:rPr>
              <w:fldChar w:fldCharType="end"/>
            </w:r>
          </w:p>
          <w:p w14:paraId="5B0B8C91" w14:textId="77777777" w:rsidR="00F67E9E" w:rsidRPr="00AE092F" w:rsidRDefault="00F67E9E" w:rsidP="007F74AA">
            <w:pPr>
              <w:spacing w:after="120"/>
              <w:ind w:left="40"/>
              <w:rPr>
                <w:rFonts w:cs="Arial"/>
                <w:szCs w:val="24"/>
              </w:rPr>
            </w:pPr>
            <w:r w:rsidRPr="00AE092F">
              <w:rPr>
                <w:rFonts w:cs="Arial"/>
                <w:szCs w:val="24"/>
              </w:rPr>
              <w:t xml:space="preserve">Job Title: </w:t>
            </w:r>
            <w:r w:rsidRPr="00AE092F">
              <w:rPr>
                <w:rFonts w:cs="Arial"/>
                <w:szCs w:val="24"/>
                <w:highlight w:val="lightGray"/>
              </w:rPr>
              <w:fldChar w:fldCharType="begin" w:fldLock="1">
                <w:ffData>
                  <w:name w:val=""/>
                  <w:enabled/>
                  <w:calcOnExit w:val="0"/>
                  <w:textInput/>
                </w:ffData>
              </w:fldChar>
            </w:r>
            <w:r w:rsidRPr="00AE092F">
              <w:rPr>
                <w:rFonts w:cs="Arial"/>
                <w:szCs w:val="24"/>
                <w:highlight w:val="lightGray"/>
              </w:rPr>
              <w:instrText xml:space="preserve"> FORMTEXT </w:instrText>
            </w:r>
            <w:r w:rsidRPr="00AE092F">
              <w:rPr>
                <w:rFonts w:cs="Arial"/>
                <w:szCs w:val="24"/>
                <w:highlight w:val="lightGray"/>
              </w:rPr>
            </w:r>
            <w:r w:rsidRPr="00AE092F">
              <w:rPr>
                <w:rFonts w:cs="Arial"/>
                <w:szCs w:val="24"/>
                <w:highlight w:val="lightGray"/>
              </w:rPr>
              <w:fldChar w:fldCharType="separate"/>
            </w:r>
            <w:r w:rsidRPr="00AE092F">
              <w:rPr>
                <w:rFonts w:cs="Arial"/>
                <w:noProof/>
                <w:szCs w:val="24"/>
                <w:highlight w:val="lightGray"/>
              </w:rPr>
              <w:t> </w:t>
            </w:r>
            <w:r w:rsidRPr="00AE092F">
              <w:rPr>
                <w:rFonts w:cs="Arial"/>
                <w:noProof/>
                <w:szCs w:val="24"/>
                <w:highlight w:val="lightGray"/>
              </w:rPr>
              <w:t> </w:t>
            </w:r>
            <w:r w:rsidRPr="00AE092F">
              <w:rPr>
                <w:rFonts w:cs="Arial"/>
                <w:noProof/>
                <w:szCs w:val="24"/>
                <w:highlight w:val="lightGray"/>
              </w:rPr>
              <w:t> </w:t>
            </w:r>
            <w:r w:rsidRPr="00AE092F">
              <w:rPr>
                <w:rFonts w:cs="Arial"/>
                <w:noProof/>
                <w:szCs w:val="24"/>
                <w:highlight w:val="lightGray"/>
              </w:rPr>
              <w:t> </w:t>
            </w:r>
            <w:r w:rsidRPr="00AE092F">
              <w:rPr>
                <w:rFonts w:cs="Arial"/>
                <w:noProof/>
                <w:szCs w:val="24"/>
                <w:highlight w:val="lightGray"/>
              </w:rPr>
              <w:t> </w:t>
            </w:r>
            <w:r w:rsidRPr="00AE092F">
              <w:rPr>
                <w:rFonts w:cs="Arial"/>
                <w:szCs w:val="24"/>
                <w:highlight w:val="lightGray"/>
              </w:rPr>
              <w:fldChar w:fldCharType="end"/>
            </w:r>
          </w:p>
          <w:p w14:paraId="651C8844" w14:textId="77777777" w:rsidR="00F67E9E" w:rsidRPr="00AE092F" w:rsidRDefault="00F67E9E" w:rsidP="007F74AA">
            <w:pPr>
              <w:spacing w:after="120"/>
              <w:ind w:left="40"/>
              <w:rPr>
                <w:rFonts w:cs="Arial"/>
                <w:szCs w:val="24"/>
              </w:rPr>
            </w:pPr>
            <w:r w:rsidRPr="00AE092F">
              <w:rPr>
                <w:rFonts w:cs="Arial"/>
                <w:szCs w:val="24"/>
              </w:rPr>
              <w:t xml:space="preserve">Contact details including email: </w:t>
            </w:r>
            <w:r w:rsidRPr="00AE092F">
              <w:rPr>
                <w:rFonts w:cs="Arial"/>
                <w:szCs w:val="24"/>
                <w:highlight w:val="lightGray"/>
              </w:rPr>
              <w:fldChar w:fldCharType="begin" w:fldLock="1">
                <w:ffData>
                  <w:name w:val=""/>
                  <w:enabled/>
                  <w:calcOnExit w:val="0"/>
                  <w:textInput/>
                </w:ffData>
              </w:fldChar>
            </w:r>
            <w:r w:rsidRPr="00AE092F">
              <w:rPr>
                <w:rFonts w:cs="Arial"/>
                <w:szCs w:val="24"/>
                <w:highlight w:val="lightGray"/>
              </w:rPr>
              <w:instrText xml:space="preserve"> FORMTEXT </w:instrText>
            </w:r>
            <w:r w:rsidRPr="00AE092F">
              <w:rPr>
                <w:rFonts w:cs="Arial"/>
                <w:szCs w:val="24"/>
                <w:highlight w:val="lightGray"/>
              </w:rPr>
            </w:r>
            <w:r w:rsidRPr="00AE092F">
              <w:rPr>
                <w:rFonts w:cs="Arial"/>
                <w:szCs w:val="24"/>
                <w:highlight w:val="lightGray"/>
              </w:rPr>
              <w:fldChar w:fldCharType="separate"/>
            </w:r>
            <w:r w:rsidRPr="00AE092F">
              <w:rPr>
                <w:rFonts w:cs="Arial"/>
                <w:noProof/>
                <w:szCs w:val="24"/>
                <w:highlight w:val="lightGray"/>
              </w:rPr>
              <w:t> </w:t>
            </w:r>
            <w:r w:rsidRPr="00AE092F">
              <w:rPr>
                <w:rFonts w:cs="Arial"/>
                <w:noProof/>
                <w:szCs w:val="24"/>
                <w:highlight w:val="lightGray"/>
              </w:rPr>
              <w:t> </w:t>
            </w:r>
            <w:r w:rsidRPr="00AE092F">
              <w:rPr>
                <w:rFonts w:cs="Arial"/>
                <w:noProof/>
                <w:szCs w:val="24"/>
                <w:highlight w:val="lightGray"/>
              </w:rPr>
              <w:t> </w:t>
            </w:r>
            <w:r w:rsidRPr="00AE092F">
              <w:rPr>
                <w:rFonts w:cs="Arial"/>
                <w:noProof/>
                <w:szCs w:val="24"/>
                <w:highlight w:val="lightGray"/>
              </w:rPr>
              <w:t> </w:t>
            </w:r>
            <w:r w:rsidRPr="00AE092F">
              <w:rPr>
                <w:rFonts w:cs="Arial"/>
                <w:noProof/>
                <w:szCs w:val="24"/>
                <w:highlight w:val="lightGray"/>
              </w:rPr>
              <w:t> </w:t>
            </w:r>
            <w:r w:rsidRPr="00AE092F">
              <w:rPr>
                <w:rFonts w:cs="Arial"/>
                <w:szCs w:val="24"/>
                <w:highlight w:val="lightGray"/>
              </w:rPr>
              <w:fldChar w:fldCharType="end"/>
            </w:r>
          </w:p>
        </w:tc>
      </w:tr>
      <w:tr w:rsidR="00F67E9E" w:rsidRPr="00AE092F" w14:paraId="7FA9E88C" w14:textId="77777777" w:rsidTr="007F74AA">
        <w:tc>
          <w:tcPr>
            <w:tcW w:w="1177" w:type="pct"/>
          </w:tcPr>
          <w:p w14:paraId="4BE777DB" w14:textId="77777777" w:rsidR="00F67E9E" w:rsidRPr="002237C8" w:rsidRDefault="00F67E9E" w:rsidP="007F74AA">
            <w:pPr>
              <w:spacing w:after="120"/>
              <w:ind w:left="30"/>
              <w:rPr>
                <w:rFonts w:cs="Arial"/>
                <w:b/>
                <w:bCs/>
                <w:szCs w:val="24"/>
              </w:rPr>
            </w:pPr>
            <w:r w:rsidRPr="002237C8">
              <w:rPr>
                <w:rFonts w:cs="Arial"/>
                <w:b/>
                <w:bCs/>
                <w:szCs w:val="24"/>
              </w:rPr>
              <w:t>Signature (if required for the purposes of Section ‎2)</w:t>
            </w:r>
          </w:p>
        </w:tc>
        <w:tc>
          <w:tcPr>
            <w:tcW w:w="1911" w:type="pct"/>
          </w:tcPr>
          <w:p w14:paraId="09EDDE75" w14:textId="77777777" w:rsidR="00F67E9E" w:rsidRPr="00AE092F" w:rsidRDefault="00F67E9E" w:rsidP="007F74AA">
            <w:pPr>
              <w:spacing w:after="120"/>
              <w:rPr>
                <w:rFonts w:cs="Arial"/>
                <w:szCs w:val="24"/>
              </w:rPr>
            </w:pPr>
          </w:p>
        </w:tc>
        <w:tc>
          <w:tcPr>
            <w:tcW w:w="1912" w:type="pct"/>
          </w:tcPr>
          <w:p w14:paraId="057BF670" w14:textId="77777777" w:rsidR="00F67E9E" w:rsidRPr="00AE092F" w:rsidRDefault="00F67E9E" w:rsidP="007F74AA">
            <w:pPr>
              <w:spacing w:after="120"/>
              <w:ind w:left="40"/>
              <w:rPr>
                <w:rFonts w:cs="Arial"/>
                <w:szCs w:val="24"/>
              </w:rPr>
            </w:pPr>
          </w:p>
        </w:tc>
      </w:tr>
    </w:tbl>
    <w:p w14:paraId="344B361A" w14:textId="77777777" w:rsidR="00F67E9E" w:rsidRPr="00F41965" w:rsidRDefault="00F67E9E" w:rsidP="00F67E9E">
      <w:pPr>
        <w:keepNext/>
        <w:keepLines/>
        <w:spacing w:before="100" w:after="100"/>
        <w:rPr>
          <w:b/>
          <w:bCs/>
        </w:rPr>
      </w:pPr>
      <w:bookmarkStart w:id="3164" w:name="Schedule_31_Table_2"/>
      <w:r w:rsidRPr="00F41965">
        <w:rPr>
          <w:b/>
          <w:bCs/>
        </w:rPr>
        <w:t>Table 2</w:t>
      </w:r>
      <w:bookmarkEnd w:id="3164"/>
      <w:r w:rsidRPr="00F41965">
        <w:rPr>
          <w:b/>
          <w:bCs/>
        </w:rPr>
        <w:t>: Selected SCCs, Modules and Selected Clauses</w:t>
      </w:r>
    </w:p>
    <w:tbl>
      <w:tblPr>
        <w:tblStyle w:val="MSATable-header"/>
        <w:tblW w:w="5003" w:type="pct"/>
        <w:tblLook w:val="0600" w:firstRow="0" w:lastRow="0" w:firstColumn="0" w:lastColumn="0" w:noHBand="1" w:noVBand="1"/>
      </w:tblPr>
      <w:tblGrid>
        <w:gridCol w:w="2396"/>
        <w:gridCol w:w="7798"/>
      </w:tblGrid>
      <w:tr w:rsidR="00F67E9E" w:rsidRPr="002237C8" w14:paraId="31DD804F" w14:textId="77777777" w:rsidTr="007F74AA">
        <w:tc>
          <w:tcPr>
            <w:tcW w:w="1175" w:type="pct"/>
            <w:shd w:val="clear" w:color="auto" w:fill="F0F0F0"/>
          </w:tcPr>
          <w:p w14:paraId="44674502" w14:textId="77777777" w:rsidR="00F67E9E" w:rsidRPr="002237C8" w:rsidRDefault="00F67E9E" w:rsidP="007F74AA">
            <w:pPr>
              <w:ind w:left="30"/>
              <w:rPr>
                <w:rFonts w:cs="Arial"/>
                <w:b/>
                <w:bCs/>
                <w:szCs w:val="24"/>
              </w:rPr>
            </w:pPr>
            <w:r w:rsidRPr="002237C8">
              <w:rPr>
                <w:rFonts w:cs="Arial"/>
                <w:b/>
                <w:bCs/>
                <w:szCs w:val="24"/>
              </w:rPr>
              <w:t>Addendum EU SCCs</w:t>
            </w:r>
          </w:p>
        </w:tc>
        <w:tc>
          <w:tcPr>
            <w:tcW w:w="3825" w:type="pct"/>
          </w:tcPr>
          <w:p w14:paraId="48CF3518" w14:textId="77777777" w:rsidR="00F67E9E" w:rsidRPr="002237C8" w:rsidRDefault="00F67E9E" w:rsidP="007F74AA">
            <w:pPr>
              <w:spacing w:after="120"/>
              <w:rPr>
                <w:rFonts w:eastAsia="Verdana" w:cs="Arial"/>
                <w:szCs w:val="24"/>
              </w:rPr>
            </w:pPr>
            <w:r w:rsidRPr="002237C8">
              <w:rPr>
                <w:rFonts w:eastAsia="Verdana" w:cs="Arial"/>
                <w:szCs w:val="24"/>
              </w:rPr>
              <w:fldChar w:fldCharType="begin" w:fldLock="1">
                <w:ffData>
                  <w:name w:val=""/>
                  <w:enabled/>
                  <w:calcOnExit w:val="0"/>
                  <w:checkBox>
                    <w:size w:val="16"/>
                    <w:default w:val="0"/>
                  </w:checkBox>
                </w:ffData>
              </w:fldChar>
            </w:r>
            <w:r w:rsidRPr="002237C8">
              <w:rPr>
                <w:rFonts w:eastAsia="Verdana" w:cs="Arial"/>
                <w:szCs w:val="24"/>
              </w:rPr>
              <w:instrText xml:space="preserve"> FORMCHECKBOX </w:instrText>
            </w:r>
            <w:r w:rsidR="000D7DE5">
              <w:rPr>
                <w:rFonts w:eastAsia="Verdana" w:cs="Arial"/>
                <w:szCs w:val="24"/>
              </w:rPr>
            </w:r>
            <w:r w:rsidR="000D7DE5">
              <w:rPr>
                <w:rFonts w:eastAsia="Verdana" w:cs="Arial"/>
                <w:szCs w:val="24"/>
              </w:rPr>
              <w:fldChar w:fldCharType="separate"/>
            </w:r>
            <w:r w:rsidRPr="002237C8">
              <w:rPr>
                <w:rFonts w:eastAsia="Verdana" w:cs="Arial"/>
                <w:szCs w:val="24"/>
              </w:rPr>
              <w:fldChar w:fldCharType="end"/>
            </w:r>
            <w:r w:rsidRPr="002237C8">
              <w:rPr>
                <w:rFonts w:eastAsia="Verdana" w:cs="Arial"/>
                <w:szCs w:val="24"/>
              </w:rPr>
              <w:t xml:space="preserve"> The version of the Approved EU SCCs which this Addendum is appended to, detailed below, including the Appendix Information:</w:t>
            </w:r>
          </w:p>
          <w:p w14:paraId="5034AB9D" w14:textId="77777777" w:rsidR="00F67E9E" w:rsidRPr="002237C8" w:rsidRDefault="00F67E9E" w:rsidP="007F74AA">
            <w:pPr>
              <w:spacing w:after="120"/>
              <w:rPr>
                <w:rFonts w:cs="Arial"/>
                <w:szCs w:val="24"/>
              </w:rPr>
            </w:pPr>
            <w:r w:rsidRPr="002237C8">
              <w:rPr>
                <w:rFonts w:cs="Arial"/>
                <w:szCs w:val="24"/>
              </w:rPr>
              <w:t>Date:</w:t>
            </w:r>
            <w:r w:rsidRPr="002237C8">
              <w:rPr>
                <w:rFonts w:eastAsia="Verdana" w:cs="Arial"/>
                <w:szCs w:val="24"/>
              </w:rPr>
              <w:t xml:space="preserve"> </w:t>
            </w:r>
            <w:r w:rsidRPr="002237C8">
              <w:rPr>
                <w:rFonts w:cs="Arial"/>
                <w:szCs w:val="24"/>
                <w:highlight w:val="lightGray"/>
              </w:rPr>
              <w:fldChar w:fldCharType="begin" w:fldLock="1">
                <w:ffData>
                  <w:name w:val=""/>
                  <w:enabled/>
                  <w:calcOnExit w:val="0"/>
                  <w:textInput/>
                </w:ffData>
              </w:fldChar>
            </w:r>
            <w:r w:rsidRPr="002237C8">
              <w:rPr>
                <w:rFonts w:cs="Arial"/>
                <w:szCs w:val="24"/>
                <w:highlight w:val="lightGray"/>
              </w:rPr>
              <w:instrText xml:space="preserve"> FORMTEXT </w:instrText>
            </w:r>
            <w:r w:rsidRPr="002237C8">
              <w:rPr>
                <w:rFonts w:cs="Arial"/>
                <w:szCs w:val="24"/>
                <w:highlight w:val="lightGray"/>
              </w:rPr>
            </w:r>
            <w:r w:rsidRPr="002237C8">
              <w:rPr>
                <w:rFonts w:cs="Arial"/>
                <w:szCs w:val="24"/>
                <w:highlight w:val="lightGray"/>
              </w:rPr>
              <w:fldChar w:fldCharType="separate"/>
            </w:r>
            <w:r w:rsidRPr="002237C8">
              <w:rPr>
                <w:rFonts w:cs="Arial"/>
                <w:noProof/>
                <w:szCs w:val="24"/>
                <w:highlight w:val="lightGray"/>
              </w:rPr>
              <w:t> </w:t>
            </w:r>
            <w:r w:rsidRPr="002237C8">
              <w:rPr>
                <w:rFonts w:cs="Arial"/>
                <w:noProof/>
                <w:szCs w:val="24"/>
                <w:highlight w:val="lightGray"/>
              </w:rPr>
              <w:t> </w:t>
            </w:r>
            <w:r w:rsidRPr="002237C8">
              <w:rPr>
                <w:rFonts w:cs="Arial"/>
                <w:noProof/>
                <w:szCs w:val="24"/>
                <w:highlight w:val="lightGray"/>
              </w:rPr>
              <w:t> </w:t>
            </w:r>
            <w:r w:rsidRPr="002237C8">
              <w:rPr>
                <w:rFonts w:cs="Arial"/>
                <w:noProof/>
                <w:szCs w:val="24"/>
                <w:highlight w:val="lightGray"/>
              </w:rPr>
              <w:t> </w:t>
            </w:r>
            <w:r w:rsidRPr="002237C8">
              <w:rPr>
                <w:rFonts w:cs="Arial"/>
                <w:noProof/>
                <w:szCs w:val="24"/>
                <w:highlight w:val="lightGray"/>
              </w:rPr>
              <w:t> </w:t>
            </w:r>
            <w:r w:rsidRPr="002237C8">
              <w:rPr>
                <w:rFonts w:cs="Arial"/>
                <w:szCs w:val="24"/>
                <w:highlight w:val="lightGray"/>
              </w:rPr>
              <w:fldChar w:fldCharType="end"/>
            </w:r>
          </w:p>
          <w:p w14:paraId="0FA89455" w14:textId="77777777" w:rsidR="00F67E9E" w:rsidRPr="002237C8" w:rsidRDefault="00F67E9E" w:rsidP="007F74AA">
            <w:pPr>
              <w:spacing w:after="120"/>
              <w:rPr>
                <w:rFonts w:cs="Arial"/>
                <w:szCs w:val="24"/>
              </w:rPr>
            </w:pPr>
            <w:r w:rsidRPr="002237C8">
              <w:rPr>
                <w:rFonts w:cs="Arial"/>
                <w:szCs w:val="24"/>
              </w:rPr>
              <w:t>Reference (if any):</w:t>
            </w:r>
            <w:r w:rsidRPr="002237C8">
              <w:rPr>
                <w:rFonts w:eastAsia="Verdana" w:cs="Arial"/>
                <w:szCs w:val="24"/>
              </w:rPr>
              <w:t xml:space="preserve"> </w:t>
            </w:r>
            <w:r w:rsidRPr="002237C8">
              <w:rPr>
                <w:rFonts w:cs="Arial"/>
                <w:szCs w:val="24"/>
                <w:highlight w:val="lightGray"/>
              </w:rPr>
              <w:fldChar w:fldCharType="begin" w:fldLock="1">
                <w:ffData>
                  <w:name w:val=""/>
                  <w:enabled/>
                  <w:calcOnExit w:val="0"/>
                  <w:textInput/>
                </w:ffData>
              </w:fldChar>
            </w:r>
            <w:r w:rsidRPr="002237C8">
              <w:rPr>
                <w:rFonts w:cs="Arial"/>
                <w:szCs w:val="24"/>
                <w:highlight w:val="lightGray"/>
              </w:rPr>
              <w:instrText xml:space="preserve"> FORMTEXT </w:instrText>
            </w:r>
            <w:r w:rsidRPr="002237C8">
              <w:rPr>
                <w:rFonts w:cs="Arial"/>
                <w:szCs w:val="24"/>
                <w:highlight w:val="lightGray"/>
              </w:rPr>
            </w:r>
            <w:r w:rsidRPr="002237C8">
              <w:rPr>
                <w:rFonts w:cs="Arial"/>
                <w:szCs w:val="24"/>
                <w:highlight w:val="lightGray"/>
              </w:rPr>
              <w:fldChar w:fldCharType="separate"/>
            </w:r>
            <w:r w:rsidRPr="002237C8">
              <w:rPr>
                <w:rFonts w:cs="Arial"/>
                <w:noProof/>
                <w:szCs w:val="24"/>
                <w:highlight w:val="lightGray"/>
              </w:rPr>
              <w:t> </w:t>
            </w:r>
            <w:r w:rsidRPr="002237C8">
              <w:rPr>
                <w:rFonts w:cs="Arial"/>
                <w:noProof/>
                <w:szCs w:val="24"/>
                <w:highlight w:val="lightGray"/>
              </w:rPr>
              <w:t> </w:t>
            </w:r>
            <w:r w:rsidRPr="002237C8">
              <w:rPr>
                <w:rFonts w:cs="Arial"/>
                <w:noProof/>
                <w:szCs w:val="24"/>
                <w:highlight w:val="lightGray"/>
              </w:rPr>
              <w:t> </w:t>
            </w:r>
            <w:r w:rsidRPr="002237C8">
              <w:rPr>
                <w:rFonts w:cs="Arial"/>
                <w:noProof/>
                <w:szCs w:val="24"/>
                <w:highlight w:val="lightGray"/>
              </w:rPr>
              <w:t> </w:t>
            </w:r>
            <w:r w:rsidRPr="002237C8">
              <w:rPr>
                <w:rFonts w:cs="Arial"/>
                <w:noProof/>
                <w:szCs w:val="24"/>
                <w:highlight w:val="lightGray"/>
              </w:rPr>
              <w:t> </w:t>
            </w:r>
            <w:r w:rsidRPr="002237C8">
              <w:rPr>
                <w:rFonts w:cs="Arial"/>
                <w:szCs w:val="24"/>
                <w:highlight w:val="lightGray"/>
              </w:rPr>
              <w:fldChar w:fldCharType="end"/>
            </w:r>
          </w:p>
          <w:p w14:paraId="514F42BD" w14:textId="77777777" w:rsidR="00F67E9E" w:rsidRPr="002237C8" w:rsidRDefault="00F67E9E" w:rsidP="007F74AA">
            <w:pPr>
              <w:spacing w:after="120"/>
              <w:rPr>
                <w:rFonts w:cs="Arial"/>
                <w:szCs w:val="24"/>
              </w:rPr>
            </w:pPr>
            <w:r w:rsidRPr="002237C8">
              <w:rPr>
                <w:rFonts w:cs="Arial"/>
                <w:szCs w:val="24"/>
              </w:rPr>
              <w:t>Other identifier (if any):</w:t>
            </w:r>
            <w:r w:rsidRPr="002237C8">
              <w:rPr>
                <w:rFonts w:eastAsia="Verdana" w:cs="Arial"/>
                <w:szCs w:val="24"/>
              </w:rPr>
              <w:t xml:space="preserve"> </w:t>
            </w:r>
            <w:r w:rsidRPr="002237C8">
              <w:rPr>
                <w:rFonts w:cs="Arial"/>
                <w:szCs w:val="24"/>
                <w:highlight w:val="lightGray"/>
              </w:rPr>
              <w:fldChar w:fldCharType="begin" w:fldLock="1">
                <w:ffData>
                  <w:name w:val=""/>
                  <w:enabled/>
                  <w:calcOnExit w:val="0"/>
                  <w:textInput/>
                </w:ffData>
              </w:fldChar>
            </w:r>
            <w:r w:rsidRPr="002237C8">
              <w:rPr>
                <w:rFonts w:cs="Arial"/>
                <w:szCs w:val="24"/>
                <w:highlight w:val="lightGray"/>
              </w:rPr>
              <w:instrText xml:space="preserve"> FORMTEXT </w:instrText>
            </w:r>
            <w:r w:rsidRPr="002237C8">
              <w:rPr>
                <w:rFonts w:cs="Arial"/>
                <w:szCs w:val="24"/>
                <w:highlight w:val="lightGray"/>
              </w:rPr>
            </w:r>
            <w:r w:rsidRPr="002237C8">
              <w:rPr>
                <w:rFonts w:cs="Arial"/>
                <w:szCs w:val="24"/>
                <w:highlight w:val="lightGray"/>
              </w:rPr>
              <w:fldChar w:fldCharType="separate"/>
            </w:r>
            <w:r w:rsidRPr="002237C8">
              <w:rPr>
                <w:rFonts w:cs="Arial"/>
                <w:noProof/>
                <w:szCs w:val="24"/>
                <w:highlight w:val="lightGray"/>
              </w:rPr>
              <w:t> </w:t>
            </w:r>
            <w:r w:rsidRPr="002237C8">
              <w:rPr>
                <w:rFonts w:cs="Arial"/>
                <w:noProof/>
                <w:szCs w:val="24"/>
                <w:highlight w:val="lightGray"/>
              </w:rPr>
              <w:t> </w:t>
            </w:r>
            <w:r w:rsidRPr="002237C8">
              <w:rPr>
                <w:rFonts w:cs="Arial"/>
                <w:noProof/>
                <w:szCs w:val="24"/>
                <w:highlight w:val="lightGray"/>
              </w:rPr>
              <w:t> </w:t>
            </w:r>
            <w:r w:rsidRPr="002237C8">
              <w:rPr>
                <w:rFonts w:cs="Arial"/>
                <w:noProof/>
                <w:szCs w:val="24"/>
                <w:highlight w:val="lightGray"/>
              </w:rPr>
              <w:t> </w:t>
            </w:r>
            <w:r w:rsidRPr="002237C8">
              <w:rPr>
                <w:rFonts w:cs="Arial"/>
                <w:noProof/>
                <w:szCs w:val="24"/>
                <w:highlight w:val="lightGray"/>
              </w:rPr>
              <w:t> </w:t>
            </w:r>
            <w:r w:rsidRPr="002237C8">
              <w:rPr>
                <w:rFonts w:cs="Arial"/>
                <w:szCs w:val="24"/>
                <w:highlight w:val="lightGray"/>
              </w:rPr>
              <w:fldChar w:fldCharType="end"/>
            </w:r>
          </w:p>
          <w:p w14:paraId="68C03FE6" w14:textId="77777777" w:rsidR="00F67E9E" w:rsidRPr="002237C8" w:rsidRDefault="00F67E9E" w:rsidP="007F74AA">
            <w:pPr>
              <w:spacing w:after="120"/>
              <w:rPr>
                <w:rFonts w:cs="Arial"/>
                <w:szCs w:val="24"/>
              </w:rPr>
            </w:pPr>
            <w:r w:rsidRPr="002237C8">
              <w:rPr>
                <w:rFonts w:cs="Arial"/>
                <w:szCs w:val="24"/>
              </w:rPr>
              <w:t>Or</w:t>
            </w:r>
          </w:p>
          <w:p w14:paraId="32604255" w14:textId="77777777" w:rsidR="00F67E9E" w:rsidRPr="002237C8" w:rsidRDefault="00F67E9E" w:rsidP="007F74AA">
            <w:pPr>
              <w:rPr>
                <w:rFonts w:cs="Arial"/>
                <w:szCs w:val="24"/>
              </w:rPr>
            </w:pPr>
            <w:r w:rsidRPr="002237C8">
              <w:rPr>
                <w:rFonts w:eastAsia="Verdana" w:cs="Arial"/>
                <w:szCs w:val="24"/>
              </w:rPr>
              <w:fldChar w:fldCharType="begin" w:fldLock="1">
                <w:ffData>
                  <w:name w:val=""/>
                  <w:enabled/>
                  <w:calcOnExit w:val="0"/>
                  <w:checkBox>
                    <w:size w:val="16"/>
                    <w:default w:val="0"/>
                  </w:checkBox>
                </w:ffData>
              </w:fldChar>
            </w:r>
            <w:r w:rsidRPr="002237C8">
              <w:rPr>
                <w:rFonts w:eastAsia="Verdana" w:cs="Arial"/>
                <w:szCs w:val="24"/>
              </w:rPr>
              <w:instrText xml:space="preserve"> FORMCHECKBOX </w:instrText>
            </w:r>
            <w:r w:rsidR="000D7DE5">
              <w:rPr>
                <w:rFonts w:eastAsia="Verdana" w:cs="Arial"/>
                <w:szCs w:val="24"/>
              </w:rPr>
            </w:r>
            <w:r w:rsidR="000D7DE5">
              <w:rPr>
                <w:rFonts w:eastAsia="Verdana" w:cs="Arial"/>
                <w:szCs w:val="24"/>
              </w:rPr>
              <w:fldChar w:fldCharType="separate"/>
            </w:r>
            <w:r w:rsidRPr="002237C8">
              <w:rPr>
                <w:rFonts w:eastAsia="Verdana" w:cs="Arial"/>
                <w:szCs w:val="24"/>
              </w:rPr>
              <w:fldChar w:fldCharType="end"/>
            </w:r>
            <w:r w:rsidRPr="002237C8">
              <w:rPr>
                <w:rFonts w:eastAsia="Verdana" w:cs="Arial"/>
                <w:szCs w:val="24"/>
              </w:rPr>
              <w:t xml:space="preserve"> the Approved EU SCCs, including the Appendix Information and with only the </w:t>
            </w:r>
            <w:r w:rsidRPr="002237C8">
              <w:rPr>
                <w:rFonts w:cs="Arial"/>
                <w:szCs w:val="24"/>
              </w:rPr>
              <w:t xml:space="preserve">following modules, clauses or optional provisions of the Approved EU SCCs brought into effect for the purposes of this Addendum: </w:t>
            </w:r>
          </w:p>
        </w:tc>
      </w:tr>
    </w:tbl>
    <w:p w14:paraId="199030D7" w14:textId="77777777" w:rsidR="00F67E9E" w:rsidRDefault="00F67E9E" w:rsidP="00F67E9E">
      <w:pPr>
        <w:rPr>
          <w:rFonts w:cs="Arial"/>
          <w:szCs w:val="24"/>
        </w:rPr>
      </w:pPr>
    </w:p>
    <w:tbl>
      <w:tblPr>
        <w:tblStyle w:val="MSATable-header"/>
        <w:tblW w:w="10203" w:type="dxa"/>
        <w:tblLayout w:type="fixed"/>
        <w:tblLook w:val="0620" w:firstRow="1" w:lastRow="0" w:firstColumn="0" w:lastColumn="0" w:noHBand="1" w:noVBand="1"/>
      </w:tblPr>
      <w:tblGrid>
        <w:gridCol w:w="1020"/>
        <w:gridCol w:w="1247"/>
        <w:gridCol w:w="1247"/>
        <w:gridCol w:w="1247"/>
        <w:gridCol w:w="1804"/>
        <w:gridCol w:w="1350"/>
        <w:gridCol w:w="2288"/>
      </w:tblGrid>
      <w:tr w:rsidR="00F67E9E" w:rsidRPr="00AE092F" w14:paraId="608C4EE9" w14:textId="77777777" w:rsidTr="007F74AA">
        <w:trPr>
          <w:cnfStyle w:val="100000000000" w:firstRow="1" w:lastRow="0" w:firstColumn="0" w:lastColumn="0" w:oddVBand="0" w:evenVBand="0" w:oddHBand="0" w:evenHBand="0" w:firstRowFirstColumn="0" w:firstRowLastColumn="0" w:lastRowFirstColumn="0" w:lastRowLastColumn="0"/>
          <w:tblHeader/>
        </w:trPr>
        <w:tc>
          <w:tcPr>
            <w:tcW w:w="1020" w:type="dxa"/>
          </w:tcPr>
          <w:p w14:paraId="4BAE6F49" w14:textId="77777777" w:rsidR="00F67E9E" w:rsidRPr="00AE092F" w:rsidRDefault="00F67E9E" w:rsidP="007F74AA">
            <w:pPr>
              <w:rPr>
                <w:rFonts w:cs="Arial"/>
                <w:szCs w:val="24"/>
              </w:rPr>
            </w:pPr>
            <w:r w:rsidRPr="00AE092F">
              <w:rPr>
                <w:rFonts w:cs="Arial"/>
                <w:szCs w:val="24"/>
              </w:rPr>
              <w:t>Module</w:t>
            </w:r>
          </w:p>
        </w:tc>
        <w:tc>
          <w:tcPr>
            <w:tcW w:w="1247" w:type="dxa"/>
          </w:tcPr>
          <w:p w14:paraId="7DF032C9" w14:textId="77777777" w:rsidR="00F67E9E" w:rsidRPr="00AE092F" w:rsidRDefault="00F67E9E" w:rsidP="007F74AA">
            <w:pPr>
              <w:rPr>
                <w:rFonts w:cs="Arial"/>
                <w:szCs w:val="24"/>
              </w:rPr>
            </w:pPr>
            <w:r w:rsidRPr="00AE092F">
              <w:rPr>
                <w:rFonts w:cs="Arial"/>
                <w:szCs w:val="24"/>
              </w:rPr>
              <w:t>Module in operation</w:t>
            </w:r>
          </w:p>
        </w:tc>
        <w:tc>
          <w:tcPr>
            <w:tcW w:w="1247" w:type="dxa"/>
          </w:tcPr>
          <w:p w14:paraId="02D93F1C" w14:textId="77777777" w:rsidR="00F67E9E" w:rsidRPr="00AE092F" w:rsidRDefault="00F67E9E" w:rsidP="007F74AA">
            <w:pPr>
              <w:rPr>
                <w:rFonts w:cs="Arial"/>
                <w:szCs w:val="24"/>
              </w:rPr>
            </w:pPr>
            <w:r w:rsidRPr="00AE092F">
              <w:rPr>
                <w:rFonts w:cs="Arial"/>
                <w:szCs w:val="24"/>
              </w:rPr>
              <w:t>Clause 7 (Docking Clause)</w:t>
            </w:r>
          </w:p>
        </w:tc>
        <w:tc>
          <w:tcPr>
            <w:tcW w:w="1247" w:type="dxa"/>
          </w:tcPr>
          <w:p w14:paraId="6356D2D6" w14:textId="77777777" w:rsidR="00F67E9E" w:rsidRPr="00AE092F" w:rsidRDefault="00F67E9E" w:rsidP="007F74AA">
            <w:pPr>
              <w:rPr>
                <w:rFonts w:cs="Arial"/>
                <w:szCs w:val="24"/>
              </w:rPr>
            </w:pPr>
            <w:r w:rsidRPr="00AE092F">
              <w:rPr>
                <w:rFonts w:cs="Arial"/>
                <w:szCs w:val="24"/>
              </w:rPr>
              <w:t xml:space="preserve">Clause 11 </w:t>
            </w:r>
            <w:r w:rsidRPr="00AE092F">
              <w:rPr>
                <w:rFonts w:cs="Arial"/>
                <w:szCs w:val="24"/>
              </w:rPr>
              <w:br/>
              <w:t>(Option)</w:t>
            </w:r>
          </w:p>
        </w:tc>
        <w:tc>
          <w:tcPr>
            <w:tcW w:w="1804" w:type="dxa"/>
          </w:tcPr>
          <w:p w14:paraId="14E34865" w14:textId="77777777" w:rsidR="00F67E9E" w:rsidRPr="00AE092F" w:rsidRDefault="00F67E9E" w:rsidP="007F74AA">
            <w:pPr>
              <w:rPr>
                <w:rFonts w:cs="Arial"/>
                <w:szCs w:val="24"/>
              </w:rPr>
            </w:pPr>
            <w:r w:rsidRPr="00AE092F">
              <w:rPr>
                <w:rFonts w:cs="Arial"/>
                <w:szCs w:val="24"/>
              </w:rPr>
              <w:t>Clause 9a (Prior Authorisation or General Authorisation)</w:t>
            </w:r>
          </w:p>
        </w:tc>
        <w:tc>
          <w:tcPr>
            <w:tcW w:w="1350" w:type="dxa"/>
          </w:tcPr>
          <w:p w14:paraId="6E5CFD57" w14:textId="77777777" w:rsidR="00F67E9E" w:rsidRPr="00AE092F" w:rsidRDefault="00F67E9E" w:rsidP="007F74AA">
            <w:pPr>
              <w:rPr>
                <w:rFonts w:cs="Arial"/>
                <w:szCs w:val="24"/>
              </w:rPr>
            </w:pPr>
            <w:r w:rsidRPr="00AE092F">
              <w:rPr>
                <w:rFonts w:cs="Arial"/>
                <w:szCs w:val="24"/>
              </w:rPr>
              <w:t>Clause 9a (Time period)</w:t>
            </w:r>
          </w:p>
        </w:tc>
        <w:tc>
          <w:tcPr>
            <w:tcW w:w="2288" w:type="dxa"/>
          </w:tcPr>
          <w:p w14:paraId="006FEAB8" w14:textId="77777777" w:rsidR="00F67E9E" w:rsidRPr="00AE092F" w:rsidRDefault="00F67E9E" w:rsidP="007F74AA">
            <w:pPr>
              <w:rPr>
                <w:rFonts w:cs="Arial"/>
                <w:szCs w:val="24"/>
              </w:rPr>
            </w:pPr>
            <w:r w:rsidRPr="00AE092F">
              <w:rPr>
                <w:rFonts w:cs="Arial"/>
                <w:szCs w:val="24"/>
              </w:rPr>
              <w:t>Is personal data received from the Importer combined with personal data collected by the Exporter?</w:t>
            </w:r>
          </w:p>
        </w:tc>
      </w:tr>
      <w:tr w:rsidR="00F67E9E" w:rsidRPr="00AE092F" w14:paraId="54905FE6" w14:textId="77777777" w:rsidTr="007F74AA">
        <w:tc>
          <w:tcPr>
            <w:tcW w:w="1020" w:type="dxa"/>
          </w:tcPr>
          <w:p w14:paraId="01BC3816" w14:textId="77777777" w:rsidR="00F67E9E" w:rsidRPr="00AE092F" w:rsidRDefault="00F67E9E" w:rsidP="007F74AA">
            <w:pPr>
              <w:ind w:left="-360"/>
              <w:rPr>
                <w:rFonts w:cs="Arial"/>
                <w:szCs w:val="24"/>
              </w:rPr>
            </w:pPr>
          </w:p>
        </w:tc>
        <w:tc>
          <w:tcPr>
            <w:tcW w:w="1247" w:type="dxa"/>
          </w:tcPr>
          <w:p w14:paraId="2CC0511A" w14:textId="77777777" w:rsidR="00F67E9E" w:rsidRPr="00AE092F" w:rsidRDefault="00F67E9E" w:rsidP="007F74AA">
            <w:pPr>
              <w:ind w:left="-360"/>
              <w:rPr>
                <w:rFonts w:cs="Arial"/>
                <w:szCs w:val="24"/>
              </w:rPr>
            </w:pPr>
          </w:p>
        </w:tc>
        <w:tc>
          <w:tcPr>
            <w:tcW w:w="1247" w:type="dxa"/>
          </w:tcPr>
          <w:p w14:paraId="68F41342" w14:textId="77777777" w:rsidR="00F67E9E" w:rsidRPr="00AE092F" w:rsidRDefault="00F67E9E" w:rsidP="007F74AA">
            <w:pPr>
              <w:ind w:left="-360"/>
              <w:rPr>
                <w:rFonts w:cs="Arial"/>
                <w:szCs w:val="24"/>
              </w:rPr>
            </w:pPr>
          </w:p>
        </w:tc>
        <w:tc>
          <w:tcPr>
            <w:tcW w:w="1247" w:type="dxa"/>
          </w:tcPr>
          <w:p w14:paraId="7693C063" w14:textId="77777777" w:rsidR="00F67E9E" w:rsidRPr="00AE092F" w:rsidRDefault="00F67E9E" w:rsidP="007F74AA">
            <w:pPr>
              <w:ind w:left="-360"/>
              <w:rPr>
                <w:rFonts w:cs="Arial"/>
                <w:szCs w:val="24"/>
              </w:rPr>
            </w:pPr>
          </w:p>
        </w:tc>
        <w:tc>
          <w:tcPr>
            <w:tcW w:w="1804" w:type="dxa"/>
            <w:shd w:val="clear" w:color="auto" w:fill="F0F0F0"/>
          </w:tcPr>
          <w:p w14:paraId="1D488802" w14:textId="77777777" w:rsidR="00F67E9E" w:rsidRPr="00AE092F" w:rsidRDefault="00F67E9E" w:rsidP="007F74AA">
            <w:pPr>
              <w:ind w:left="-360"/>
              <w:rPr>
                <w:rFonts w:cs="Arial"/>
                <w:szCs w:val="24"/>
              </w:rPr>
            </w:pPr>
          </w:p>
        </w:tc>
        <w:tc>
          <w:tcPr>
            <w:tcW w:w="1350" w:type="dxa"/>
            <w:shd w:val="clear" w:color="auto" w:fill="F0F0F0"/>
          </w:tcPr>
          <w:p w14:paraId="029679E4" w14:textId="77777777" w:rsidR="00F67E9E" w:rsidRPr="00AE092F" w:rsidRDefault="00F67E9E" w:rsidP="007F74AA">
            <w:pPr>
              <w:ind w:left="-360"/>
              <w:rPr>
                <w:rFonts w:cs="Arial"/>
                <w:szCs w:val="24"/>
              </w:rPr>
            </w:pPr>
          </w:p>
        </w:tc>
        <w:tc>
          <w:tcPr>
            <w:tcW w:w="2288" w:type="dxa"/>
            <w:tcBorders>
              <w:bottom w:val="single" w:sz="4" w:space="0" w:color="auto"/>
            </w:tcBorders>
            <w:shd w:val="clear" w:color="auto" w:fill="F0F0F0"/>
          </w:tcPr>
          <w:p w14:paraId="61CEC60A" w14:textId="77777777" w:rsidR="00F67E9E" w:rsidRPr="00AE092F" w:rsidRDefault="00F67E9E" w:rsidP="007F74AA">
            <w:pPr>
              <w:ind w:left="-360"/>
              <w:rPr>
                <w:rFonts w:cs="Arial"/>
                <w:szCs w:val="24"/>
              </w:rPr>
            </w:pPr>
          </w:p>
        </w:tc>
      </w:tr>
      <w:tr w:rsidR="00F67E9E" w:rsidRPr="00AE092F" w14:paraId="633FD101" w14:textId="77777777" w:rsidTr="007F74AA">
        <w:tc>
          <w:tcPr>
            <w:tcW w:w="1020" w:type="dxa"/>
          </w:tcPr>
          <w:p w14:paraId="41BBEB79" w14:textId="77777777" w:rsidR="00F67E9E" w:rsidRPr="00AE092F" w:rsidRDefault="00F67E9E" w:rsidP="007F74AA">
            <w:pPr>
              <w:ind w:left="-360"/>
              <w:rPr>
                <w:rFonts w:cs="Arial"/>
                <w:szCs w:val="24"/>
              </w:rPr>
            </w:pPr>
          </w:p>
        </w:tc>
        <w:tc>
          <w:tcPr>
            <w:tcW w:w="1247" w:type="dxa"/>
          </w:tcPr>
          <w:p w14:paraId="61455087" w14:textId="77777777" w:rsidR="00F67E9E" w:rsidRPr="00AE092F" w:rsidRDefault="00F67E9E" w:rsidP="007F74AA">
            <w:pPr>
              <w:ind w:left="-360"/>
              <w:rPr>
                <w:rFonts w:cs="Arial"/>
                <w:szCs w:val="24"/>
              </w:rPr>
            </w:pPr>
          </w:p>
        </w:tc>
        <w:tc>
          <w:tcPr>
            <w:tcW w:w="1247" w:type="dxa"/>
          </w:tcPr>
          <w:p w14:paraId="3B2F4780" w14:textId="77777777" w:rsidR="00F67E9E" w:rsidRPr="00AE092F" w:rsidRDefault="00F67E9E" w:rsidP="007F74AA">
            <w:pPr>
              <w:ind w:left="-360"/>
              <w:rPr>
                <w:rFonts w:cs="Arial"/>
                <w:szCs w:val="24"/>
              </w:rPr>
            </w:pPr>
          </w:p>
        </w:tc>
        <w:tc>
          <w:tcPr>
            <w:tcW w:w="1247" w:type="dxa"/>
          </w:tcPr>
          <w:p w14:paraId="1FD6C807" w14:textId="77777777" w:rsidR="00F67E9E" w:rsidRPr="00AE092F" w:rsidRDefault="00F67E9E" w:rsidP="007F74AA">
            <w:pPr>
              <w:ind w:left="-360"/>
              <w:rPr>
                <w:rFonts w:cs="Arial"/>
                <w:szCs w:val="24"/>
              </w:rPr>
            </w:pPr>
          </w:p>
        </w:tc>
        <w:tc>
          <w:tcPr>
            <w:tcW w:w="1804" w:type="dxa"/>
          </w:tcPr>
          <w:p w14:paraId="0DC475CF" w14:textId="77777777" w:rsidR="00F67E9E" w:rsidRPr="00AE092F" w:rsidRDefault="00F67E9E" w:rsidP="007F74AA">
            <w:pPr>
              <w:ind w:left="-360"/>
              <w:rPr>
                <w:rFonts w:cs="Arial"/>
                <w:szCs w:val="24"/>
              </w:rPr>
            </w:pPr>
          </w:p>
        </w:tc>
        <w:tc>
          <w:tcPr>
            <w:tcW w:w="1350" w:type="dxa"/>
          </w:tcPr>
          <w:p w14:paraId="44E841B1" w14:textId="77777777" w:rsidR="00F67E9E" w:rsidRPr="00AE092F" w:rsidRDefault="00F67E9E" w:rsidP="007F74AA">
            <w:pPr>
              <w:ind w:left="-360"/>
              <w:rPr>
                <w:rFonts w:cs="Arial"/>
                <w:szCs w:val="24"/>
              </w:rPr>
            </w:pPr>
          </w:p>
        </w:tc>
        <w:tc>
          <w:tcPr>
            <w:tcW w:w="2288" w:type="dxa"/>
            <w:shd w:val="clear" w:color="auto" w:fill="F0F0F0"/>
          </w:tcPr>
          <w:p w14:paraId="1D2D05AF" w14:textId="77777777" w:rsidR="00F67E9E" w:rsidRPr="00AE092F" w:rsidRDefault="00F67E9E" w:rsidP="007F74AA">
            <w:pPr>
              <w:ind w:left="-360"/>
              <w:rPr>
                <w:rFonts w:cs="Arial"/>
                <w:szCs w:val="24"/>
              </w:rPr>
            </w:pPr>
          </w:p>
        </w:tc>
      </w:tr>
      <w:tr w:rsidR="00F67E9E" w:rsidRPr="00AE092F" w14:paraId="5AD05D73" w14:textId="77777777" w:rsidTr="007F74AA">
        <w:tc>
          <w:tcPr>
            <w:tcW w:w="1020" w:type="dxa"/>
          </w:tcPr>
          <w:p w14:paraId="224209AD" w14:textId="77777777" w:rsidR="00F67E9E" w:rsidRPr="00AE092F" w:rsidRDefault="00F67E9E" w:rsidP="007F74AA">
            <w:pPr>
              <w:ind w:left="-360"/>
              <w:rPr>
                <w:rFonts w:cs="Arial"/>
                <w:szCs w:val="24"/>
              </w:rPr>
            </w:pPr>
          </w:p>
        </w:tc>
        <w:tc>
          <w:tcPr>
            <w:tcW w:w="1247" w:type="dxa"/>
          </w:tcPr>
          <w:p w14:paraId="5A7A046B" w14:textId="77777777" w:rsidR="00F67E9E" w:rsidRPr="00AE092F" w:rsidRDefault="00F67E9E" w:rsidP="007F74AA">
            <w:pPr>
              <w:ind w:left="-360"/>
              <w:rPr>
                <w:rFonts w:cs="Arial"/>
                <w:szCs w:val="24"/>
              </w:rPr>
            </w:pPr>
          </w:p>
        </w:tc>
        <w:tc>
          <w:tcPr>
            <w:tcW w:w="1247" w:type="dxa"/>
          </w:tcPr>
          <w:p w14:paraId="16085D28" w14:textId="77777777" w:rsidR="00F67E9E" w:rsidRPr="00AE092F" w:rsidRDefault="00F67E9E" w:rsidP="007F74AA">
            <w:pPr>
              <w:ind w:left="-360"/>
              <w:rPr>
                <w:rFonts w:cs="Arial"/>
                <w:szCs w:val="24"/>
              </w:rPr>
            </w:pPr>
          </w:p>
        </w:tc>
        <w:tc>
          <w:tcPr>
            <w:tcW w:w="1247" w:type="dxa"/>
          </w:tcPr>
          <w:p w14:paraId="59EA8AAA" w14:textId="77777777" w:rsidR="00F67E9E" w:rsidRPr="00AE092F" w:rsidRDefault="00F67E9E" w:rsidP="007F74AA">
            <w:pPr>
              <w:ind w:left="-360"/>
              <w:rPr>
                <w:rFonts w:cs="Arial"/>
                <w:szCs w:val="24"/>
              </w:rPr>
            </w:pPr>
          </w:p>
        </w:tc>
        <w:tc>
          <w:tcPr>
            <w:tcW w:w="1804" w:type="dxa"/>
            <w:tcBorders>
              <w:bottom w:val="single" w:sz="4" w:space="0" w:color="auto"/>
            </w:tcBorders>
          </w:tcPr>
          <w:p w14:paraId="15D6925F" w14:textId="77777777" w:rsidR="00F67E9E" w:rsidRPr="00AE092F" w:rsidRDefault="00F67E9E" w:rsidP="007F74AA">
            <w:pPr>
              <w:ind w:left="-360"/>
              <w:rPr>
                <w:rFonts w:cs="Arial"/>
                <w:szCs w:val="24"/>
              </w:rPr>
            </w:pPr>
          </w:p>
        </w:tc>
        <w:tc>
          <w:tcPr>
            <w:tcW w:w="1350" w:type="dxa"/>
            <w:tcBorders>
              <w:bottom w:val="single" w:sz="4" w:space="0" w:color="auto"/>
            </w:tcBorders>
          </w:tcPr>
          <w:p w14:paraId="63BA0E97" w14:textId="77777777" w:rsidR="00F67E9E" w:rsidRPr="00AE092F" w:rsidRDefault="00F67E9E" w:rsidP="007F74AA">
            <w:pPr>
              <w:ind w:left="-360"/>
              <w:rPr>
                <w:rFonts w:cs="Arial"/>
                <w:szCs w:val="24"/>
              </w:rPr>
            </w:pPr>
          </w:p>
        </w:tc>
        <w:tc>
          <w:tcPr>
            <w:tcW w:w="2288" w:type="dxa"/>
            <w:shd w:val="clear" w:color="auto" w:fill="F0F0F0"/>
          </w:tcPr>
          <w:p w14:paraId="73CEAD04" w14:textId="77777777" w:rsidR="00F67E9E" w:rsidRPr="00AE092F" w:rsidRDefault="00F67E9E" w:rsidP="007F74AA">
            <w:pPr>
              <w:ind w:left="-360"/>
              <w:rPr>
                <w:rFonts w:cs="Arial"/>
                <w:szCs w:val="24"/>
              </w:rPr>
            </w:pPr>
          </w:p>
        </w:tc>
      </w:tr>
      <w:tr w:rsidR="00F67E9E" w:rsidRPr="00AE092F" w14:paraId="38376EAA" w14:textId="77777777" w:rsidTr="007F74AA">
        <w:tc>
          <w:tcPr>
            <w:tcW w:w="1020" w:type="dxa"/>
          </w:tcPr>
          <w:p w14:paraId="069DED4E" w14:textId="77777777" w:rsidR="00F67E9E" w:rsidRPr="00AE092F" w:rsidRDefault="00F67E9E" w:rsidP="007F74AA">
            <w:pPr>
              <w:ind w:left="-360"/>
              <w:rPr>
                <w:rFonts w:cs="Arial"/>
                <w:szCs w:val="24"/>
              </w:rPr>
            </w:pPr>
          </w:p>
        </w:tc>
        <w:tc>
          <w:tcPr>
            <w:tcW w:w="1247" w:type="dxa"/>
          </w:tcPr>
          <w:p w14:paraId="73A58BB8" w14:textId="77777777" w:rsidR="00F67E9E" w:rsidRPr="00AE092F" w:rsidRDefault="00F67E9E" w:rsidP="007F74AA">
            <w:pPr>
              <w:ind w:left="-360"/>
              <w:rPr>
                <w:rFonts w:cs="Arial"/>
                <w:szCs w:val="24"/>
              </w:rPr>
            </w:pPr>
          </w:p>
        </w:tc>
        <w:tc>
          <w:tcPr>
            <w:tcW w:w="1247" w:type="dxa"/>
          </w:tcPr>
          <w:p w14:paraId="30EE0F80" w14:textId="77777777" w:rsidR="00F67E9E" w:rsidRPr="00AE092F" w:rsidRDefault="00F67E9E" w:rsidP="007F74AA">
            <w:pPr>
              <w:ind w:left="-360"/>
              <w:rPr>
                <w:rFonts w:cs="Arial"/>
                <w:szCs w:val="24"/>
              </w:rPr>
            </w:pPr>
          </w:p>
        </w:tc>
        <w:tc>
          <w:tcPr>
            <w:tcW w:w="1247" w:type="dxa"/>
          </w:tcPr>
          <w:p w14:paraId="37D56C81" w14:textId="77777777" w:rsidR="00F67E9E" w:rsidRPr="00AE092F" w:rsidRDefault="00F67E9E" w:rsidP="007F74AA">
            <w:pPr>
              <w:ind w:left="-360"/>
              <w:rPr>
                <w:rFonts w:cs="Arial"/>
                <w:szCs w:val="24"/>
              </w:rPr>
            </w:pPr>
          </w:p>
        </w:tc>
        <w:tc>
          <w:tcPr>
            <w:tcW w:w="1804" w:type="dxa"/>
            <w:shd w:val="clear" w:color="auto" w:fill="F0F0F0"/>
          </w:tcPr>
          <w:p w14:paraId="11B063E3" w14:textId="77777777" w:rsidR="00F67E9E" w:rsidRPr="00AE092F" w:rsidRDefault="00F67E9E" w:rsidP="007F74AA">
            <w:pPr>
              <w:ind w:left="-360"/>
              <w:rPr>
                <w:rFonts w:cs="Arial"/>
                <w:szCs w:val="24"/>
              </w:rPr>
            </w:pPr>
          </w:p>
        </w:tc>
        <w:tc>
          <w:tcPr>
            <w:tcW w:w="1350" w:type="dxa"/>
            <w:shd w:val="clear" w:color="auto" w:fill="F0F0F0"/>
          </w:tcPr>
          <w:p w14:paraId="36F4B8D5" w14:textId="77777777" w:rsidR="00F67E9E" w:rsidRPr="00AE092F" w:rsidRDefault="00F67E9E" w:rsidP="007F74AA">
            <w:pPr>
              <w:ind w:left="-360"/>
              <w:rPr>
                <w:rFonts w:cs="Arial"/>
                <w:szCs w:val="24"/>
              </w:rPr>
            </w:pPr>
          </w:p>
        </w:tc>
        <w:tc>
          <w:tcPr>
            <w:tcW w:w="2288" w:type="dxa"/>
          </w:tcPr>
          <w:p w14:paraId="65639426" w14:textId="77777777" w:rsidR="00F67E9E" w:rsidRPr="00AE092F" w:rsidRDefault="00F67E9E" w:rsidP="007F74AA">
            <w:pPr>
              <w:ind w:left="-360"/>
              <w:rPr>
                <w:rFonts w:cs="Arial"/>
                <w:szCs w:val="24"/>
              </w:rPr>
            </w:pPr>
          </w:p>
        </w:tc>
      </w:tr>
    </w:tbl>
    <w:p w14:paraId="419D4913" w14:textId="77777777" w:rsidR="00F67E9E" w:rsidRDefault="00F67E9E" w:rsidP="00F67E9E">
      <w:pPr>
        <w:rPr>
          <w:rFonts w:cs="Arial"/>
          <w:szCs w:val="24"/>
        </w:rPr>
      </w:pPr>
    </w:p>
    <w:p w14:paraId="4A092529" w14:textId="77777777" w:rsidR="00F67E9E" w:rsidRPr="00F41965" w:rsidRDefault="00F67E9E" w:rsidP="00F67E9E">
      <w:pPr>
        <w:keepNext/>
        <w:keepLines/>
        <w:spacing w:before="100" w:after="100"/>
        <w:rPr>
          <w:b/>
          <w:bCs/>
        </w:rPr>
      </w:pPr>
      <w:bookmarkStart w:id="3165" w:name="Schedule_31_Table_3"/>
      <w:r w:rsidRPr="00F41965">
        <w:rPr>
          <w:b/>
          <w:bCs/>
        </w:rPr>
        <w:t>Table 3</w:t>
      </w:r>
      <w:bookmarkEnd w:id="3165"/>
      <w:r w:rsidRPr="00F41965">
        <w:rPr>
          <w:b/>
          <w:bCs/>
        </w:rPr>
        <w:t>: Appendix Information</w:t>
      </w:r>
    </w:p>
    <w:p w14:paraId="5BE365C4" w14:textId="77777777" w:rsidR="00F67E9E" w:rsidRPr="00AE092F" w:rsidRDefault="00F67E9E" w:rsidP="00F67E9E">
      <w:pPr>
        <w:spacing w:after="120"/>
        <w:rPr>
          <w:rFonts w:cs="Arial"/>
          <w:szCs w:val="24"/>
        </w:rPr>
      </w:pPr>
      <w:r>
        <w:rPr>
          <w:rFonts w:cs="Arial"/>
          <w:szCs w:val="24"/>
        </w:rPr>
        <w:t>“</w:t>
      </w:r>
      <w:r w:rsidRPr="00AE092F">
        <w:rPr>
          <w:rFonts w:cs="Arial"/>
          <w:b/>
          <w:bCs/>
          <w:szCs w:val="24"/>
        </w:rPr>
        <w:t>Appendix Information</w:t>
      </w:r>
      <w:r>
        <w:rPr>
          <w:rFonts w:cs="Arial"/>
          <w:szCs w:val="24"/>
        </w:rPr>
        <w:t>”</w:t>
      </w:r>
      <w:r w:rsidRPr="00AE092F">
        <w:rPr>
          <w:rFonts w:cs="Arial"/>
          <w:szCs w:val="24"/>
        </w:rPr>
        <w:t xml:space="preserve"> means the information which must be provided for the selected modules as set out in the Appendix of the Approved EU SCCs (other than the Parties), and which for this Addendum is set out in:</w:t>
      </w:r>
    </w:p>
    <w:tbl>
      <w:tblPr>
        <w:tblStyle w:val="MSATable-header"/>
        <w:tblW w:w="10205" w:type="dxa"/>
        <w:tblBorders>
          <w:left w:val="none" w:sz="0" w:space="0" w:color="auto"/>
          <w:right w:val="none" w:sz="0" w:space="0" w:color="auto"/>
        </w:tblBorders>
        <w:tblLook w:val="0600" w:firstRow="0" w:lastRow="0" w:firstColumn="0" w:lastColumn="0" w:noHBand="1" w:noVBand="1"/>
      </w:tblPr>
      <w:tblGrid>
        <w:gridCol w:w="10205"/>
      </w:tblGrid>
      <w:tr w:rsidR="00F67E9E" w:rsidRPr="00AE092F" w14:paraId="23941007" w14:textId="77777777" w:rsidTr="007F74AA">
        <w:tc>
          <w:tcPr>
            <w:tcW w:w="10205" w:type="dxa"/>
          </w:tcPr>
          <w:p w14:paraId="3DC4022B" w14:textId="77777777" w:rsidR="00F67E9E" w:rsidRPr="00AE092F" w:rsidRDefault="00F67E9E" w:rsidP="007F74AA">
            <w:pPr>
              <w:rPr>
                <w:rFonts w:cs="Arial"/>
                <w:szCs w:val="24"/>
              </w:rPr>
            </w:pPr>
            <w:r w:rsidRPr="00AE092F">
              <w:rPr>
                <w:rFonts w:cs="Arial"/>
                <w:szCs w:val="24"/>
              </w:rPr>
              <w:t xml:space="preserve">Annex 1A: List of Parties: </w:t>
            </w:r>
            <w:r w:rsidRPr="00AE092F">
              <w:rPr>
                <w:rFonts w:cs="Arial"/>
                <w:szCs w:val="24"/>
                <w:highlight w:val="lightGray"/>
              </w:rPr>
              <w:fldChar w:fldCharType="begin" w:fldLock="1">
                <w:ffData>
                  <w:name w:val="Text2"/>
                  <w:enabled/>
                  <w:calcOnExit w:val="0"/>
                  <w:textInput/>
                </w:ffData>
              </w:fldChar>
            </w:r>
            <w:r w:rsidRPr="00AE092F">
              <w:rPr>
                <w:rFonts w:cs="Arial"/>
                <w:szCs w:val="24"/>
                <w:highlight w:val="lightGray"/>
              </w:rPr>
              <w:instrText xml:space="preserve"> FORMTEXT </w:instrText>
            </w:r>
            <w:r w:rsidRPr="00AE092F">
              <w:rPr>
                <w:rFonts w:cs="Arial"/>
                <w:szCs w:val="24"/>
                <w:highlight w:val="lightGray"/>
              </w:rPr>
            </w:r>
            <w:r w:rsidRPr="00AE092F">
              <w:rPr>
                <w:rFonts w:cs="Arial"/>
                <w:szCs w:val="24"/>
                <w:highlight w:val="lightGray"/>
              </w:rPr>
              <w:fldChar w:fldCharType="separate"/>
            </w:r>
            <w:r w:rsidRPr="00AE092F">
              <w:rPr>
                <w:rFonts w:cs="Arial"/>
                <w:noProof/>
                <w:szCs w:val="24"/>
                <w:highlight w:val="lightGray"/>
              </w:rPr>
              <w:t> </w:t>
            </w:r>
            <w:r w:rsidRPr="00AE092F">
              <w:rPr>
                <w:rFonts w:cs="Arial"/>
                <w:noProof/>
                <w:szCs w:val="24"/>
                <w:highlight w:val="lightGray"/>
              </w:rPr>
              <w:t> </w:t>
            </w:r>
            <w:r w:rsidRPr="00AE092F">
              <w:rPr>
                <w:rFonts w:cs="Arial"/>
                <w:noProof/>
                <w:szCs w:val="24"/>
                <w:highlight w:val="lightGray"/>
              </w:rPr>
              <w:t> </w:t>
            </w:r>
            <w:r w:rsidRPr="00AE092F">
              <w:rPr>
                <w:rFonts w:cs="Arial"/>
                <w:noProof/>
                <w:szCs w:val="24"/>
                <w:highlight w:val="lightGray"/>
              </w:rPr>
              <w:t> </w:t>
            </w:r>
            <w:r w:rsidRPr="00AE092F">
              <w:rPr>
                <w:rFonts w:cs="Arial"/>
                <w:noProof/>
                <w:szCs w:val="24"/>
                <w:highlight w:val="lightGray"/>
              </w:rPr>
              <w:t> </w:t>
            </w:r>
            <w:r w:rsidRPr="00AE092F">
              <w:rPr>
                <w:rFonts w:cs="Arial"/>
                <w:szCs w:val="24"/>
                <w:highlight w:val="lightGray"/>
              </w:rPr>
              <w:fldChar w:fldCharType="end"/>
            </w:r>
          </w:p>
        </w:tc>
      </w:tr>
      <w:tr w:rsidR="00F67E9E" w:rsidRPr="00AE092F" w14:paraId="2AE7471B" w14:textId="77777777" w:rsidTr="007F74AA">
        <w:tc>
          <w:tcPr>
            <w:tcW w:w="10205" w:type="dxa"/>
          </w:tcPr>
          <w:p w14:paraId="02379F4F" w14:textId="77777777" w:rsidR="00F67E9E" w:rsidRPr="00AE092F" w:rsidRDefault="00F67E9E" w:rsidP="007F74AA">
            <w:pPr>
              <w:rPr>
                <w:rFonts w:cs="Arial"/>
                <w:szCs w:val="24"/>
              </w:rPr>
            </w:pPr>
            <w:r w:rsidRPr="00AE092F">
              <w:rPr>
                <w:rFonts w:cs="Arial"/>
                <w:szCs w:val="24"/>
              </w:rPr>
              <w:t xml:space="preserve">Annex 1B: Description of Transfer: </w:t>
            </w:r>
            <w:r w:rsidRPr="00AE092F">
              <w:rPr>
                <w:rFonts w:cs="Arial"/>
                <w:szCs w:val="24"/>
                <w:highlight w:val="lightGray"/>
              </w:rPr>
              <w:fldChar w:fldCharType="begin" w:fldLock="1">
                <w:ffData>
                  <w:name w:val="Text2"/>
                  <w:enabled/>
                  <w:calcOnExit w:val="0"/>
                  <w:textInput/>
                </w:ffData>
              </w:fldChar>
            </w:r>
            <w:r w:rsidRPr="00AE092F">
              <w:rPr>
                <w:rFonts w:cs="Arial"/>
                <w:szCs w:val="24"/>
                <w:highlight w:val="lightGray"/>
              </w:rPr>
              <w:instrText xml:space="preserve"> FORMTEXT </w:instrText>
            </w:r>
            <w:r w:rsidRPr="00AE092F">
              <w:rPr>
                <w:rFonts w:cs="Arial"/>
                <w:szCs w:val="24"/>
                <w:highlight w:val="lightGray"/>
              </w:rPr>
            </w:r>
            <w:r w:rsidRPr="00AE092F">
              <w:rPr>
                <w:rFonts w:cs="Arial"/>
                <w:szCs w:val="24"/>
                <w:highlight w:val="lightGray"/>
              </w:rPr>
              <w:fldChar w:fldCharType="separate"/>
            </w:r>
            <w:r w:rsidRPr="00AE092F">
              <w:rPr>
                <w:rFonts w:cs="Arial"/>
                <w:noProof/>
                <w:szCs w:val="24"/>
                <w:highlight w:val="lightGray"/>
              </w:rPr>
              <w:t> </w:t>
            </w:r>
            <w:r w:rsidRPr="00AE092F">
              <w:rPr>
                <w:rFonts w:cs="Arial"/>
                <w:noProof/>
                <w:szCs w:val="24"/>
                <w:highlight w:val="lightGray"/>
              </w:rPr>
              <w:t> </w:t>
            </w:r>
            <w:r w:rsidRPr="00AE092F">
              <w:rPr>
                <w:rFonts w:cs="Arial"/>
                <w:noProof/>
                <w:szCs w:val="24"/>
                <w:highlight w:val="lightGray"/>
              </w:rPr>
              <w:t> </w:t>
            </w:r>
            <w:r w:rsidRPr="00AE092F">
              <w:rPr>
                <w:rFonts w:cs="Arial"/>
                <w:noProof/>
                <w:szCs w:val="24"/>
                <w:highlight w:val="lightGray"/>
              </w:rPr>
              <w:t> </w:t>
            </w:r>
            <w:r w:rsidRPr="00AE092F">
              <w:rPr>
                <w:rFonts w:cs="Arial"/>
                <w:noProof/>
                <w:szCs w:val="24"/>
                <w:highlight w:val="lightGray"/>
              </w:rPr>
              <w:t> </w:t>
            </w:r>
            <w:r w:rsidRPr="00AE092F">
              <w:rPr>
                <w:rFonts w:cs="Arial"/>
                <w:szCs w:val="24"/>
                <w:highlight w:val="lightGray"/>
              </w:rPr>
              <w:fldChar w:fldCharType="end"/>
            </w:r>
          </w:p>
        </w:tc>
      </w:tr>
      <w:tr w:rsidR="00F67E9E" w:rsidRPr="00AE092F" w14:paraId="5AB5F410" w14:textId="77777777" w:rsidTr="007F74AA">
        <w:tc>
          <w:tcPr>
            <w:tcW w:w="10205" w:type="dxa"/>
          </w:tcPr>
          <w:p w14:paraId="059FB380" w14:textId="089411CB" w:rsidR="00F67E9E" w:rsidRPr="00AE092F" w:rsidRDefault="00F67E9E" w:rsidP="007F74AA">
            <w:pPr>
              <w:rPr>
                <w:rFonts w:cs="Arial"/>
                <w:szCs w:val="24"/>
              </w:rPr>
            </w:pPr>
            <w:r w:rsidRPr="00AE092F">
              <w:rPr>
                <w:rFonts w:cs="Arial"/>
                <w:szCs w:val="24"/>
              </w:rPr>
              <w:t xml:space="preserve">Annex </w:t>
            </w:r>
            <w:r w:rsidRPr="00DA2DC2">
              <w:rPr>
                <w:rFonts w:cs="Arial"/>
                <w:szCs w:val="24"/>
              </w:rPr>
              <w:fldChar w:fldCharType="begin"/>
            </w:r>
            <w:r w:rsidRPr="00DA2DC2">
              <w:rPr>
                <w:rFonts w:cs="Arial"/>
                <w:szCs w:val="24"/>
              </w:rPr>
              <w:instrText xml:space="preserve"> REF Schedule_31_Annex_II \h </w:instrText>
            </w:r>
            <w:r w:rsidRPr="004B5F27">
              <w:rPr>
                <w:rFonts w:cs="Arial"/>
                <w:szCs w:val="24"/>
              </w:rPr>
              <w:instrText xml:space="preserve"> \* MERGEFORMAT </w:instrText>
            </w:r>
            <w:r w:rsidRPr="00DA2DC2">
              <w:rPr>
                <w:rFonts w:cs="Arial"/>
                <w:szCs w:val="24"/>
              </w:rPr>
            </w:r>
            <w:r w:rsidRPr="00DA2DC2">
              <w:rPr>
                <w:rFonts w:cs="Arial"/>
                <w:szCs w:val="24"/>
              </w:rPr>
              <w:fldChar w:fldCharType="separate"/>
            </w:r>
            <w:r w:rsidR="00302D39" w:rsidRPr="00302D39">
              <w:rPr>
                <w:rFonts w:eastAsia="Arial" w:cs="Arial"/>
                <w:color w:val="000000"/>
                <w:szCs w:val="24"/>
                <w:lang w:eastAsia="en-GB"/>
              </w:rPr>
              <w:t>II</w:t>
            </w:r>
            <w:r w:rsidRPr="00DA2DC2">
              <w:rPr>
                <w:rFonts w:cs="Arial"/>
                <w:szCs w:val="24"/>
              </w:rPr>
              <w:fldChar w:fldCharType="end"/>
            </w:r>
            <w:r w:rsidRPr="00AE092F">
              <w:rPr>
                <w:rFonts w:cs="Arial"/>
                <w:szCs w:val="24"/>
              </w:rPr>
              <w:t xml:space="preserve">: Technical and organisational measures including technical and organisational measures to ensure the security of the data: </w:t>
            </w:r>
            <w:r w:rsidRPr="00AE092F">
              <w:rPr>
                <w:rFonts w:cs="Arial"/>
                <w:szCs w:val="24"/>
                <w:highlight w:val="lightGray"/>
              </w:rPr>
              <w:fldChar w:fldCharType="begin" w:fldLock="1">
                <w:ffData>
                  <w:name w:val="Text2"/>
                  <w:enabled/>
                  <w:calcOnExit w:val="0"/>
                  <w:textInput/>
                </w:ffData>
              </w:fldChar>
            </w:r>
            <w:r w:rsidRPr="00AE092F">
              <w:rPr>
                <w:rFonts w:cs="Arial"/>
                <w:szCs w:val="24"/>
                <w:highlight w:val="lightGray"/>
              </w:rPr>
              <w:instrText xml:space="preserve"> FORMTEXT </w:instrText>
            </w:r>
            <w:r w:rsidRPr="00AE092F">
              <w:rPr>
                <w:rFonts w:cs="Arial"/>
                <w:szCs w:val="24"/>
                <w:highlight w:val="lightGray"/>
              </w:rPr>
            </w:r>
            <w:r w:rsidRPr="00AE092F">
              <w:rPr>
                <w:rFonts w:cs="Arial"/>
                <w:szCs w:val="24"/>
                <w:highlight w:val="lightGray"/>
              </w:rPr>
              <w:fldChar w:fldCharType="separate"/>
            </w:r>
            <w:r w:rsidRPr="00AE092F">
              <w:rPr>
                <w:rFonts w:cs="Arial"/>
                <w:noProof/>
                <w:szCs w:val="24"/>
                <w:highlight w:val="lightGray"/>
              </w:rPr>
              <w:t> </w:t>
            </w:r>
            <w:r w:rsidRPr="00AE092F">
              <w:rPr>
                <w:rFonts w:cs="Arial"/>
                <w:noProof/>
                <w:szCs w:val="24"/>
                <w:highlight w:val="lightGray"/>
              </w:rPr>
              <w:t> </w:t>
            </w:r>
            <w:r w:rsidRPr="00AE092F">
              <w:rPr>
                <w:rFonts w:cs="Arial"/>
                <w:noProof/>
                <w:szCs w:val="24"/>
                <w:highlight w:val="lightGray"/>
              </w:rPr>
              <w:t> </w:t>
            </w:r>
            <w:r w:rsidRPr="00AE092F">
              <w:rPr>
                <w:rFonts w:cs="Arial"/>
                <w:noProof/>
                <w:szCs w:val="24"/>
                <w:highlight w:val="lightGray"/>
              </w:rPr>
              <w:t> </w:t>
            </w:r>
            <w:r w:rsidRPr="00AE092F">
              <w:rPr>
                <w:rFonts w:cs="Arial"/>
                <w:noProof/>
                <w:szCs w:val="24"/>
                <w:highlight w:val="lightGray"/>
              </w:rPr>
              <w:t> </w:t>
            </w:r>
            <w:r w:rsidRPr="00AE092F">
              <w:rPr>
                <w:rFonts w:cs="Arial"/>
                <w:szCs w:val="24"/>
                <w:highlight w:val="lightGray"/>
              </w:rPr>
              <w:fldChar w:fldCharType="end"/>
            </w:r>
          </w:p>
        </w:tc>
      </w:tr>
      <w:tr w:rsidR="00F67E9E" w:rsidRPr="00AE092F" w14:paraId="50E442FB" w14:textId="77777777" w:rsidTr="007F74AA">
        <w:tc>
          <w:tcPr>
            <w:tcW w:w="10205" w:type="dxa"/>
          </w:tcPr>
          <w:p w14:paraId="1160FD5B" w14:textId="2384A04F" w:rsidR="00F67E9E" w:rsidRPr="00AE092F" w:rsidRDefault="00F67E9E" w:rsidP="007F74AA">
            <w:pPr>
              <w:rPr>
                <w:rFonts w:cs="Arial"/>
                <w:szCs w:val="24"/>
              </w:rPr>
            </w:pPr>
            <w:r w:rsidRPr="00AE092F">
              <w:rPr>
                <w:rFonts w:cs="Arial"/>
                <w:szCs w:val="24"/>
              </w:rPr>
              <w:t xml:space="preserve">Annex </w:t>
            </w:r>
            <w:r w:rsidRPr="00DA2DC2">
              <w:rPr>
                <w:rFonts w:cs="Arial"/>
                <w:szCs w:val="24"/>
              </w:rPr>
              <w:fldChar w:fldCharType="begin"/>
            </w:r>
            <w:r w:rsidRPr="00DA2DC2">
              <w:rPr>
                <w:rFonts w:cs="Arial"/>
                <w:szCs w:val="24"/>
              </w:rPr>
              <w:instrText xml:space="preserve"> REF Schedule_31_Annex_III \h </w:instrText>
            </w:r>
            <w:r w:rsidRPr="004B5F27">
              <w:rPr>
                <w:rFonts w:cs="Arial"/>
                <w:szCs w:val="24"/>
              </w:rPr>
              <w:instrText xml:space="preserve"> \* MERGEFORMAT </w:instrText>
            </w:r>
            <w:r w:rsidRPr="00DA2DC2">
              <w:rPr>
                <w:rFonts w:cs="Arial"/>
                <w:szCs w:val="24"/>
              </w:rPr>
            </w:r>
            <w:r w:rsidRPr="00DA2DC2">
              <w:rPr>
                <w:rFonts w:cs="Arial"/>
                <w:szCs w:val="24"/>
              </w:rPr>
              <w:fldChar w:fldCharType="separate"/>
            </w:r>
            <w:r w:rsidR="00302D39" w:rsidRPr="00302D39">
              <w:rPr>
                <w:rFonts w:eastAsia="Arial" w:cs="Arial"/>
                <w:color w:val="000000"/>
                <w:szCs w:val="24"/>
                <w:lang w:eastAsia="en-GB"/>
              </w:rPr>
              <w:t>III</w:t>
            </w:r>
            <w:r w:rsidRPr="00DA2DC2">
              <w:rPr>
                <w:rFonts w:cs="Arial"/>
                <w:szCs w:val="24"/>
              </w:rPr>
              <w:fldChar w:fldCharType="end"/>
            </w:r>
            <w:r w:rsidRPr="00AE092F">
              <w:rPr>
                <w:rFonts w:cs="Arial"/>
                <w:szCs w:val="24"/>
              </w:rPr>
              <w:t xml:space="preserve">: List of Sub processors (Modules 2 and 3 only): </w:t>
            </w:r>
            <w:r w:rsidRPr="00AE092F">
              <w:rPr>
                <w:rFonts w:cs="Arial"/>
                <w:szCs w:val="24"/>
                <w:highlight w:val="lightGray"/>
              </w:rPr>
              <w:fldChar w:fldCharType="begin" w:fldLock="1">
                <w:ffData>
                  <w:name w:val="Text2"/>
                  <w:enabled/>
                  <w:calcOnExit w:val="0"/>
                  <w:textInput/>
                </w:ffData>
              </w:fldChar>
            </w:r>
            <w:r w:rsidRPr="00AE092F">
              <w:rPr>
                <w:rFonts w:cs="Arial"/>
                <w:szCs w:val="24"/>
                <w:highlight w:val="lightGray"/>
              </w:rPr>
              <w:instrText xml:space="preserve"> FORMTEXT </w:instrText>
            </w:r>
            <w:r w:rsidRPr="00AE092F">
              <w:rPr>
                <w:rFonts w:cs="Arial"/>
                <w:szCs w:val="24"/>
                <w:highlight w:val="lightGray"/>
              </w:rPr>
            </w:r>
            <w:r w:rsidRPr="00AE092F">
              <w:rPr>
                <w:rFonts w:cs="Arial"/>
                <w:szCs w:val="24"/>
                <w:highlight w:val="lightGray"/>
              </w:rPr>
              <w:fldChar w:fldCharType="separate"/>
            </w:r>
            <w:r w:rsidRPr="00AE092F">
              <w:rPr>
                <w:rFonts w:cs="Arial"/>
                <w:noProof/>
                <w:szCs w:val="24"/>
                <w:highlight w:val="lightGray"/>
              </w:rPr>
              <w:t> </w:t>
            </w:r>
            <w:r w:rsidRPr="00AE092F">
              <w:rPr>
                <w:rFonts w:cs="Arial"/>
                <w:noProof/>
                <w:szCs w:val="24"/>
                <w:highlight w:val="lightGray"/>
              </w:rPr>
              <w:t> </w:t>
            </w:r>
            <w:r w:rsidRPr="00AE092F">
              <w:rPr>
                <w:rFonts w:cs="Arial"/>
                <w:noProof/>
                <w:szCs w:val="24"/>
                <w:highlight w:val="lightGray"/>
              </w:rPr>
              <w:t> </w:t>
            </w:r>
            <w:r w:rsidRPr="00AE092F">
              <w:rPr>
                <w:rFonts w:cs="Arial"/>
                <w:noProof/>
                <w:szCs w:val="24"/>
                <w:highlight w:val="lightGray"/>
              </w:rPr>
              <w:t> </w:t>
            </w:r>
            <w:r w:rsidRPr="00AE092F">
              <w:rPr>
                <w:rFonts w:cs="Arial"/>
                <w:noProof/>
                <w:szCs w:val="24"/>
                <w:highlight w:val="lightGray"/>
              </w:rPr>
              <w:t> </w:t>
            </w:r>
            <w:r w:rsidRPr="00AE092F">
              <w:rPr>
                <w:rFonts w:cs="Arial"/>
                <w:szCs w:val="24"/>
                <w:highlight w:val="lightGray"/>
              </w:rPr>
              <w:fldChar w:fldCharType="end"/>
            </w:r>
          </w:p>
        </w:tc>
      </w:tr>
    </w:tbl>
    <w:p w14:paraId="5FEA767E" w14:textId="77777777" w:rsidR="00F67E9E" w:rsidRPr="00F41965" w:rsidRDefault="00F67E9E" w:rsidP="00F67E9E">
      <w:pPr>
        <w:keepNext/>
        <w:keepLines/>
        <w:spacing w:before="200" w:after="100"/>
        <w:rPr>
          <w:b/>
          <w:bCs/>
        </w:rPr>
      </w:pPr>
      <w:bookmarkStart w:id="3166" w:name="Schedule_31_Table_4"/>
      <w:r w:rsidRPr="00F41965">
        <w:rPr>
          <w:b/>
          <w:bCs/>
        </w:rPr>
        <w:t>Table 4</w:t>
      </w:r>
      <w:bookmarkEnd w:id="3166"/>
      <w:r w:rsidRPr="00F41965">
        <w:rPr>
          <w:b/>
          <w:bCs/>
        </w:rPr>
        <w:t>: Ending this Addendum when the Approved Addendum Changes</w:t>
      </w:r>
    </w:p>
    <w:tbl>
      <w:tblPr>
        <w:tblStyle w:val="MSATable-header"/>
        <w:tblW w:w="5000" w:type="pct"/>
        <w:tblLook w:val="0600" w:firstRow="0" w:lastRow="0" w:firstColumn="0" w:lastColumn="0" w:noHBand="1" w:noVBand="1"/>
      </w:tblPr>
      <w:tblGrid>
        <w:gridCol w:w="1950"/>
        <w:gridCol w:w="8238"/>
      </w:tblGrid>
      <w:tr w:rsidR="00F67E9E" w:rsidRPr="00AE092F" w14:paraId="1E95BD1C" w14:textId="77777777" w:rsidTr="007F74AA">
        <w:tc>
          <w:tcPr>
            <w:tcW w:w="957" w:type="pct"/>
          </w:tcPr>
          <w:p w14:paraId="40D09B69" w14:textId="77777777" w:rsidR="00F67E9E" w:rsidRPr="008A0ECD" w:rsidRDefault="00F67E9E" w:rsidP="007F74AA">
            <w:pPr>
              <w:rPr>
                <w:rFonts w:cs="Arial"/>
                <w:b/>
                <w:bCs/>
                <w:szCs w:val="24"/>
              </w:rPr>
            </w:pPr>
            <w:r w:rsidRPr="008A0ECD">
              <w:rPr>
                <w:rFonts w:cs="Arial"/>
                <w:b/>
                <w:bCs/>
                <w:szCs w:val="24"/>
              </w:rPr>
              <w:t>Ending this Addendum when the Approved Addendum changes</w:t>
            </w:r>
          </w:p>
        </w:tc>
        <w:tc>
          <w:tcPr>
            <w:tcW w:w="4043" w:type="pct"/>
          </w:tcPr>
          <w:p w14:paraId="1DE6EA9B" w14:textId="46F3AB3C" w:rsidR="00F67E9E" w:rsidRPr="00AE092F" w:rsidRDefault="00F67E9E" w:rsidP="007F74AA">
            <w:pPr>
              <w:spacing w:after="120"/>
              <w:rPr>
                <w:rFonts w:cs="Arial"/>
                <w:szCs w:val="24"/>
              </w:rPr>
            </w:pPr>
            <w:r w:rsidRPr="00AE092F">
              <w:rPr>
                <w:rFonts w:cs="Arial"/>
                <w:szCs w:val="24"/>
              </w:rPr>
              <w:t xml:space="preserve">Which Parties may end this Addendum as set out in Section </w:t>
            </w:r>
            <w:r w:rsidRPr="00AE092F">
              <w:rPr>
                <w:rFonts w:cs="Arial"/>
                <w:szCs w:val="24"/>
              </w:rPr>
              <w:fldChar w:fldCharType="begin"/>
            </w:r>
            <w:r w:rsidRPr="00AE092F">
              <w:rPr>
                <w:rFonts w:cs="Arial"/>
                <w:szCs w:val="24"/>
              </w:rPr>
              <w:instrText xml:space="preserve"> REF _Ref93329888 \r \h  \* MERGEFORMAT </w:instrText>
            </w:r>
            <w:r w:rsidRPr="00AE092F">
              <w:rPr>
                <w:rFonts w:cs="Arial"/>
                <w:szCs w:val="24"/>
              </w:rPr>
            </w:r>
            <w:r w:rsidRPr="00AE092F">
              <w:rPr>
                <w:rFonts w:cs="Arial"/>
                <w:szCs w:val="24"/>
              </w:rPr>
              <w:fldChar w:fldCharType="separate"/>
            </w:r>
            <w:r w:rsidR="00302D39">
              <w:rPr>
                <w:rFonts w:cs="Arial"/>
                <w:szCs w:val="24"/>
              </w:rPr>
              <w:t>19</w:t>
            </w:r>
            <w:r w:rsidRPr="00AE092F">
              <w:rPr>
                <w:rFonts w:cs="Arial"/>
                <w:szCs w:val="24"/>
              </w:rPr>
              <w:fldChar w:fldCharType="end"/>
            </w:r>
            <w:r w:rsidRPr="00AE092F">
              <w:rPr>
                <w:rFonts w:cs="Arial"/>
                <w:szCs w:val="24"/>
              </w:rPr>
              <w:t>:</w:t>
            </w:r>
          </w:p>
          <w:p w14:paraId="3EC2FF85" w14:textId="77777777" w:rsidR="00F67E9E" w:rsidRPr="00AE092F" w:rsidRDefault="00F67E9E" w:rsidP="007F74AA">
            <w:pPr>
              <w:spacing w:after="120"/>
              <w:rPr>
                <w:rFonts w:cs="Arial"/>
                <w:szCs w:val="24"/>
              </w:rPr>
            </w:pPr>
            <w:r w:rsidRPr="00AE092F">
              <w:rPr>
                <w:rFonts w:cs="Arial"/>
                <w:szCs w:val="24"/>
              </w:rPr>
              <w:fldChar w:fldCharType="begin" w:fldLock="1">
                <w:ffData>
                  <w:name w:val=""/>
                  <w:enabled/>
                  <w:calcOnExit w:val="0"/>
                  <w:checkBox>
                    <w:size w:val="16"/>
                    <w:default w:val="0"/>
                  </w:checkBox>
                </w:ffData>
              </w:fldChar>
            </w:r>
            <w:r w:rsidRPr="00AE092F">
              <w:rPr>
                <w:rFonts w:cs="Arial"/>
                <w:szCs w:val="24"/>
              </w:rPr>
              <w:instrText xml:space="preserve"> FORMCHECKBOX </w:instrText>
            </w:r>
            <w:r w:rsidR="000D7DE5">
              <w:rPr>
                <w:rFonts w:cs="Arial"/>
                <w:szCs w:val="24"/>
              </w:rPr>
            </w:r>
            <w:r w:rsidR="000D7DE5">
              <w:rPr>
                <w:rFonts w:cs="Arial"/>
                <w:szCs w:val="24"/>
              </w:rPr>
              <w:fldChar w:fldCharType="separate"/>
            </w:r>
            <w:r w:rsidRPr="00AE092F">
              <w:rPr>
                <w:rFonts w:cs="Arial"/>
                <w:szCs w:val="24"/>
              </w:rPr>
              <w:fldChar w:fldCharType="end"/>
            </w:r>
            <w:r w:rsidRPr="00AE092F">
              <w:rPr>
                <w:rFonts w:cs="Arial"/>
                <w:szCs w:val="24"/>
              </w:rPr>
              <w:t xml:space="preserve"> Importer</w:t>
            </w:r>
          </w:p>
          <w:p w14:paraId="59D16888" w14:textId="77777777" w:rsidR="00F67E9E" w:rsidRPr="00AE092F" w:rsidRDefault="00F67E9E" w:rsidP="007F74AA">
            <w:pPr>
              <w:spacing w:after="120"/>
              <w:rPr>
                <w:rFonts w:cs="Arial"/>
                <w:szCs w:val="24"/>
              </w:rPr>
            </w:pPr>
            <w:r w:rsidRPr="00AE092F">
              <w:rPr>
                <w:rFonts w:cs="Arial"/>
                <w:szCs w:val="24"/>
              </w:rPr>
              <w:fldChar w:fldCharType="begin" w:fldLock="1">
                <w:ffData>
                  <w:name w:val=""/>
                  <w:enabled/>
                  <w:calcOnExit w:val="0"/>
                  <w:checkBox>
                    <w:size w:val="16"/>
                    <w:default w:val="0"/>
                  </w:checkBox>
                </w:ffData>
              </w:fldChar>
            </w:r>
            <w:r w:rsidRPr="00AE092F">
              <w:rPr>
                <w:rFonts w:cs="Arial"/>
                <w:szCs w:val="24"/>
              </w:rPr>
              <w:instrText xml:space="preserve"> FORMCHECKBOX </w:instrText>
            </w:r>
            <w:r w:rsidR="000D7DE5">
              <w:rPr>
                <w:rFonts w:cs="Arial"/>
                <w:szCs w:val="24"/>
              </w:rPr>
            </w:r>
            <w:r w:rsidR="000D7DE5">
              <w:rPr>
                <w:rFonts w:cs="Arial"/>
                <w:szCs w:val="24"/>
              </w:rPr>
              <w:fldChar w:fldCharType="separate"/>
            </w:r>
            <w:r w:rsidRPr="00AE092F">
              <w:rPr>
                <w:rFonts w:cs="Arial"/>
                <w:szCs w:val="24"/>
              </w:rPr>
              <w:fldChar w:fldCharType="end"/>
            </w:r>
            <w:r w:rsidRPr="00AE092F">
              <w:rPr>
                <w:rFonts w:cs="Arial"/>
                <w:szCs w:val="24"/>
              </w:rPr>
              <w:t xml:space="preserve"> Exporter</w:t>
            </w:r>
          </w:p>
          <w:p w14:paraId="51A413BB" w14:textId="77777777" w:rsidR="00F67E9E" w:rsidRPr="00AE092F" w:rsidRDefault="00F67E9E" w:rsidP="007F74AA">
            <w:pPr>
              <w:rPr>
                <w:rFonts w:cs="Arial"/>
                <w:szCs w:val="24"/>
              </w:rPr>
            </w:pPr>
            <w:r w:rsidRPr="00AE092F">
              <w:rPr>
                <w:rFonts w:cs="Arial"/>
                <w:szCs w:val="24"/>
              </w:rPr>
              <w:fldChar w:fldCharType="begin" w:fldLock="1">
                <w:ffData>
                  <w:name w:val=""/>
                  <w:enabled/>
                  <w:calcOnExit w:val="0"/>
                  <w:checkBox>
                    <w:size w:val="16"/>
                    <w:default w:val="0"/>
                  </w:checkBox>
                </w:ffData>
              </w:fldChar>
            </w:r>
            <w:r w:rsidRPr="00AE092F">
              <w:rPr>
                <w:rFonts w:cs="Arial"/>
                <w:szCs w:val="24"/>
              </w:rPr>
              <w:instrText xml:space="preserve"> FORMCHECKBOX </w:instrText>
            </w:r>
            <w:r w:rsidR="000D7DE5">
              <w:rPr>
                <w:rFonts w:cs="Arial"/>
                <w:szCs w:val="24"/>
              </w:rPr>
            </w:r>
            <w:r w:rsidR="000D7DE5">
              <w:rPr>
                <w:rFonts w:cs="Arial"/>
                <w:szCs w:val="24"/>
              </w:rPr>
              <w:fldChar w:fldCharType="separate"/>
            </w:r>
            <w:r w:rsidRPr="00AE092F">
              <w:rPr>
                <w:rFonts w:cs="Arial"/>
                <w:szCs w:val="24"/>
              </w:rPr>
              <w:fldChar w:fldCharType="end"/>
            </w:r>
            <w:r w:rsidRPr="00AE092F">
              <w:rPr>
                <w:rFonts w:cs="Arial"/>
                <w:szCs w:val="24"/>
              </w:rPr>
              <w:t xml:space="preserve"> neither Party</w:t>
            </w:r>
          </w:p>
        </w:tc>
      </w:tr>
    </w:tbl>
    <w:p w14:paraId="71849C48" w14:textId="77777777" w:rsidR="00F67E9E" w:rsidRPr="000F1668" w:rsidRDefault="00F67E9E" w:rsidP="00F67E9E"/>
    <w:p w14:paraId="076C7071" w14:textId="77777777" w:rsidR="00F67E9E" w:rsidRPr="00477926" w:rsidRDefault="00F67E9E" w:rsidP="00F67E9E">
      <w:pPr>
        <w:pStyle w:val="Heading3"/>
      </w:pPr>
      <w:r w:rsidRPr="00477926">
        <w:t xml:space="preserve">Part </w:t>
      </w:r>
      <w:bookmarkStart w:id="3167" w:name="Sch31PartBPart2"/>
      <w:r w:rsidRPr="00477926">
        <w:t>2</w:t>
      </w:r>
      <w:bookmarkEnd w:id="3167"/>
      <w:r w:rsidRPr="00477926">
        <w:t>: Mandatory Clauses</w:t>
      </w:r>
    </w:p>
    <w:p w14:paraId="6622634F" w14:textId="77777777" w:rsidR="00F67E9E" w:rsidRPr="00F41965" w:rsidRDefault="00F67E9E" w:rsidP="00F67E9E">
      <w:pPr>
        <w:keepNext/>
        <w:keepLines/>
        <w:spacing w:before="100" w:after="100"/>
        <w:rPr>
          <w:b/>
          <w:bCs/>
        </w:rPr>
      </w:pPr>
      <w:r w:rsidRPr="00F41965">
        <w:rPr>
          <w:b/>
          <w:bCs/>
        </w:rPr>
        <w:t>Entering into this Addendum</w:t>
      </w:r>
    </w:p>
    <w:p w14:paraId="5048B9BF" w14:textId="77777777" w:rsidR="00F67E9E" w:rsidRPr="008A0ECD" w:rsidRDefault="00F67E9E" w:rsidP="00F67E9E">
      <w:pPr>
        <w:pStyle w:val="AppendixText1"/>
        <w:keepNext w:val="0"/>
        <w:numPr>
          <w:ilvl w:val="0"/>
          <w:numId w:val="86"/>
        </w:numPr>
        <w:tabs>
          <w:tab w:val="clear" w:pos="720"/>
          <w:tab w:val="num" w:pos="900"/>
        </w:tabs>
        <w:rPr>
          <w:b w:val="0"/>
          <w:bCs/>
        </w:rPr>
      </w:pPr>
      <w:r w:rsidRPr="008A0ECD">
        <w:rPr>
          <w:b w:val="0"/>
          <w:bCs/>
        </w:rPr>
        <w:t>Each Party agrees to be bound by the terms and conditions set out in this Addendum, in exchange for the other Party also agreeing to be bound by this Addendum.</w:t>
      </w:r>
    </w:p>
    <w:p w14:paraId="110AAB62" w14:textId="77777777" w:rsidR="00F67E9E" w:rsidRPr="008A0ECD" w:rsidRDefault="00F67E9E" w:rsidP="00F67E9E">
      <w:pPr>
        <w:pStyle w:val="AppendixText1"/>
        <w:keepNext w:val="0"/>
        <w:numPr>
          <w:ilvl w:val="0"/>
          <w:numId w:val="86"/>
        </w:numPr>
        <w:tabs>
          <w:tab w:val="clear" w:pos="720"/>
          <w:tab w:val="num" w:pos="900"/>
        </w:tabs>
        <w:rPr>
          <w:b w:val="0"/>
          <w:bCs/>
        </w:rPr>
      </w:pPr>
      <w:bookmarkStart w:id="3168" w:name="_Ref90904580"/>
      <w:r w:rsidRPr="008A0ECD">
        <w:rPr>
          <w:b w:val="0"/>
          <w:bCs/>
        </w:rPr>
        <w:t>Although Annex 1A and Clause 7 of the Approved EU SCCs require signature by the Parties, for the purpose of making Restricted Transfers, the Parties may enter into this Addendum in any way that makes them legally binding on the Parties and allows data subjects to enforce their rights as set out in this Addendum. Entering into this Addendum will have the same effect as signing the Approved EU SCCs and any part of the Approved EU SCCs.</w:t>
      </w:r>
      <w:bookmarkEnd w:id="3168"/>
    </w:p>
    <w:p w14:paraId="615D7DA8" w14:textId="77777777" w:rsidR="00F67E9E" w:rsidRPr="00F41965" w:rsidRDefault="00F67E9E" w:rsidP="00F67E9E">
      <w:pPr>
        <w:keepNext/>
        <w:keepLines/>
        <w:spacing w:before="100" w:after="100"/>
        <w:rPr>
          <w:b/>
          <w:bCs/>
        </w:rPr>
      </w:pPr>
      <w:bookmarkStart w:id="3169" w:name="_Hlk92885712"/>
      <w:r w:rsidRPr="00F41965">
        <w:rPr>
          <w:b/>
          <w:bCs/>
        </w:rPr>
        <w:t xml:space="preserve">Interpretation of this Addendum </w:t>
      </w:r>
    </w:p>
    <w:p w14:paraId="5AAA7291" w14:textId="77777777" w:rsidR="00F67E9E" w:rsidRPr="008A0ECD" w:rsidRDefault="00F67E9E" w:rsidP="00F67E9E">
      <w:pPr>
        <w:pStyle w:val="AppendixText1"/>
        <w:keepNext w:val="0"/>
        <w:numPr>
          <w:ilvl w:val="0"/>
          <w:numId w:val="86"/>
        </w:numPr>
        <w:tabs>
          <w:tab w:val="clear" w:pos="720"/>
          <w:tab w:val="num" w:pos="900"/>
        </w:tabs>
        <w:rPr>
          <w:b w:val="0"/>
          <w:bCs/>
        </w:rPr>
      </w:pPr>
      <w:r w:rsidRPr="008A0ECD">
        <w:rPr>
          <w:b w:val="0"/>
          <w:bCs/>
        </w:rPr>
        <w:t>Where this Addendum uses terms that are defined in the Approved EU SCCs those terms shall have the same meaning as in the Approved EU SCCs. In addition, the following terms have the following meanings:</w:t>
      </w:r>
    </w:p>
    <w:tbl>
      <w:tblPr>
        <w:tblStyle w:val="MSATable-header"/>
        <w:tblW w:w="5003" w:type="pct"/>
        <w:tblLook w:val="0600" w:firstRow="0" w:lastRow="0" w:firstColumn="0" w:lastColumn="0" w:noHBand="1" w:noVBand="1"/>
      </w:tblPr>
      <w:tblGrid>
        <w:gridCol w:w="2881"/>
        <w:gridCol w:w="7313"/>
      </w:tblGrid>
      <w:tr w:rsidR="00F67E9E" w:rsidRPr="00AE092F" w14:paraId="626FEA41" w14:textId="77777777" w:rsidTr="007F74AA">
        <w:tc>
          <w:tcPr>
            <w:tcW w:w="1413" w:type="pct"/>
          </w:tcPr>
          <w:p w14:paraId="57FA0B07" w14:textId="77777777" w:rsidR="00F67E9E" w:rsidRPr="008A0ECD" w:rsidRDefault="00F67E9E" w:rsidP="007F74AA">
            <w:pPr>
              <w:rPr>
                <w:rFonts w:cs="Arial"/>
                <w:b/>
                <w:bCs/>
                <w:szCs w:val="24"/>
              </w:rPr>
            </w:pPr>
            <w:r w:rsidRPr="008A0ECD">
              <w:rPr>
                <w:rFonts w:cs="Arial"/>
                <w:b/>
                <w:bCs/>
                <w:szCs w:val="24"/>
              </w:rPr>
              <w:t xml:space="preserve">Addendum </w:t>
            </w:r>
          </w:p>
        </w:tc>
        <w:tc>
          <w:tcPr>
            <w:tcW w:w="3587" w:type="pct"/>
          </w:tcPr>
          <w:p w14:paraId="2E85EA07" w14:textId="77777777" w:rsidR="00F67E9E" w:rsidRPr="00AE092F" w:rsidRDefault="00F67E9E" w:rsidP="007F74AA">
            <w:pPr>
              <w:rPr>
                <w:rFonts w:cs="Arial"/>
                <w:szCs w:val="24"/>
              </w:rPr>
            </w:pPr>
            <w:r w:rsidRPr="00AE092F">
              <w:rPr>
                <w:rFonts w:cs="Arial"/>
                <w:szCs w:val="24"/>
              </w:rPr>
              <w:t>This International Data Transfer Addendum which is made up of this Addendum</w:t>
            </w:r>
            <w:r w:rsidRPr="006B3F51">
              <w:rPr>
                <w:rFonts w:cs="Arial"/>
                <w:szCs w:val="24"/>
              </w:rPr>
              <w:t xml:space="preserve"> incorporating</w:t>
            </w:r>
            <w:r w:rsidRPr="00AE092F">
              <w:rPr>
                <w:rFonts w:cs="Arial"/>
                <w:szCs w:val="24"/>
              </w:rPr>
              <w:t xml:space="preserve"> the Addendum EU SCCs.</w:t>
            </w:r>
          </w:p>
        </w:tc>
      </w:tr>
      <w:tr w:rsidR="00F67E9E" w:rsidRPr="00AE092F" w14:paraId="23232ABC" w14:textId="77777777" w:rsidTr="007F74AA">
        <w:tc>
          <w:tcPr>
            <w:tcW w:w="1413" w:type="pct"/>
          </w:tcPr>
          <w:p w14:paraId="7A7AA609" w14:textId="77777777" w:rsidR="00F67E9E" w:rsidRPr="008A0ECD" w:rsidRDefault="00F67E9E" w:rsidP="007F74AA">
            <w:pPr>
              <w:rPr>
                <w:rFonts w:cs="Arial"/>
                <w:b/>
                <w:bCs/>
                <w:szCs w:val="24"/>
              </w:rPr>
            </w:pPr>
            <w:r w:rsidRPr="008A0ECD">
              <w:rPr>
                <w:rFonts w:cs="Arial"/>
                <w:b/>
                <w:bCs/>
                <w:szCs w:val="24"/>
              </w:rPr>
              <w:t>Addendum EU SCCs</w:t>
            </w:r>
          </w:p>
        </w:tc>
        <w:tc>
          <w:tcPr>
            <w:tcW w:w="3587" w:type="pct"/>
          </w:tcPr>
          <w:p w14:paraId="4E40B316" w14:textId="64B1005C" w:rsidR="00F67E9E" w:rsidRPr="00AE092F" w:rsidRDefault="00F67E9E" w:rsidP="007F74AA">
            <w:pPr>
              <w:rPr>
                <w:rFonts w:cs="Arial"/>
                <w:szCs w:val="24"/>
              </w:rPr>
            </w:pPr>
            <w:r w:rsidRPr="00AE092F">
              <w:rPr>
                <w:rFonts w:cs="Arial"/>
                <w:szCs w:val="24"/>
              </w:rPr>
              <w:t xml:space="preserve">The version(s) of the Approved EU SCCs which this Addendum is appended to, as set out in </w:t>
            </w:r>
            <w:r w:rsidRPr="005E1F42">
              <w:rPr>
                <w:rFonts w:cs="Arial"/>
                <w:szCs w:val="24"/>
              </w:rPr>
              <w:fldChar w:fldCharType="begin"/>
            </w:r>
            <w:r w:rsidRPr="005E1F42">
              <w:rPr>
                <w:rFonts w:cs="Arial"/>
                <w:szCs w:val="24"/>
              </w:rPr>
              <w:instrText xml:space="preserve"> REF Schedule_31_Table_2 \h </w:instrText>
            </w:r>
            <w:r w:rsidRPr="007C54BD">
              <w:rPr>
                <w:rFonts w:cs="Arial"/>
                <w:szCs w:val="24"/>
              </w:rPr>
              <w:instrText xml:space="preserve"> \* MERGEFORMAT </w:instrText>
            </w:r>
            <w:r w:rsidRPr="005E1F42">
              <w:rPr>
                <w:rFonts w:cs="Arial"/>
                <w:szCs w:val="24"/>
              </w:rPr>
            </w:r>
            <w:r w:rsidRPr="005E1F42">
              <w:rPr>
                <w:rFonts w:cs="Arial"/>
                <w:szCs w:val="24"/>
              </w:rPr>
              <w:fldChar w:fldCharType="separate"/>
            </w:r>
            <w:r w:rsidR="00302D39" w:rsidRPr="00302D39">
              <w:t>Table 2</w:t>
            </w:r>
            <w:r w:rsidRPr="005E1F42">
              <w:rPr>
                <w:rFonts w:cs="Arial"/>
                <w:szCs w:val="24"/>
              </w:rPr>
              <w:fldChar w:fldCharType="end"/>
            </w:r>
            <w:r w:rsidRPr="00AE092F">
              <w:rPr>
                <w:rFonts w:cs="Arial"/>
                <w:szCs w:val="24"/>
              </w:rPr>
              <w:t>, including the Appendix Information.</w:t>
            </w:r>
          </w:p>
        </w:tc>
      </w:tr>
      <w:tr w:rsidR="00F67E9E" w:rsidRPr="00AE092F" w14:paraId="1419BE16" w14:textId="77777777" w:rsidTr="007F74AA">
        <w:tc>
          <w:tcPr>
            <w:tcW w:w="1413" w:type="pct"/>
          </w:tcPr>
          <w:p w14:paraId="172B3CAD" w14:textId="77777777" w:rsidR="00F67E9E" w:rsidRPr="008A0ECD" w:rsidRDefault="00F67E9E" w:rsidP="007F74AA">
            <w:pPr>
              <w:rPr>
                <w:rFonts w:cs="Arial"/>
                <w:b/>
                <w:bCs/>
                <w:szCs w:val="24"/>
              </w:rPr>
            </w:pPr>
            <w:r w:rsidRPr="008A0ECD">
              <w:rPr>
                <w:rFonts w:cs="Arial"/>
                <w:b/>
                <w:bCs/>
                <w:szCs w:val="24"/>
              </w:rPr>
              <w:t>Appendix Information</w:t>
            </w:r>
          </w:p>
        </w:tc>
        <w:tc>
          <w:tcPr>
            <w:tcW w:w="3587" w:type="pct"/>
          </w:tcPr>
          <w:p w14:paraId="70C36C2C" w14:textId="47A6530F" w:rsidR="00F67E9E" w:rsidRPr="00AE092F" w:rsidRDefault="00F67E9E" w:rsidP="007F74AA">
            <w:pPr>
              <w:rPr>
                <w:rFonts w:cs="Arial"/>
                <w:szCs w:val="24"/>
                <w:highlight w:val="green"/>
              </w:rPr>
            </w:pPr>
            <w:r w:rsidRPr="00AE092F">
              <w:rPr>
                <w:rFonts w:cs="Arial"/>
                <w:szCs w:val="24"/>
              </w:rPr>
              <w:t xml:space="preserve">As set out in </w:t>
            </w:r>
            <w:r w:rsidRPr="005E1F42">
              <w:rPr>
                <w:rFonts w:cs="Arial"/>
                <w:szCs w:val="24"/>
              </w:rPr>
              <w:fldChar w:fldCharType="begin"/>
            </w:r>
            <w:r w:rsidRPr="005E1F42">
              <w:rPr>
                <w:rFonts w:cs="Arial"/>
                <w:szCs w:val="24"/>
              </w:rPr>
              <w:instrText xml:space="preserve"> REF Schedule_31_Table_3 \h </w:instrText>
            </w:r>
            <w:r w:rsidRPr="007C54BD">
              <w:rPr>
                <w:rFonts w:cs="Arial"/>
                <w:szCs w:val="24"/>
              </w:rPr>
              <w:instrText xml:space="preserve"> \* MERGEFORMAT </w:instrText>
            </w:r>
            <w:r w:rsidRPr="005E1F42">
              <w:rPr>
                <w:rFonts w:cs="Arial"/>
                <w:szCs w:val="24"/>
              </w:rPr>
            </w:r>
            <w:r w:rsidRPr="005E1F42">
              <w:rPr>
                <w:rFonts w:cs="Arial"/>
                <w:szCs w:val="24"/>
              </w:rPr>
              <w:fldChar w:fldCharType="separate"/>
            </w:r>
            <w:r w:rsidR="00302D39" w:rsidRPr="00302D39">
              <w:t>Table 3</w:t>
            </w:r>
            <w:r w:rsidRPr="005E1F42">
              <w:rPr>
                <w:rFonts w:cs="Arial"/>
                <w:szCs w:val="24"/>
              </w:rPr>
              <w:fldChar w:fldCharType="end"/>
            </w:r>
            <w:r w:rsidRPr="00AE092F">
              <w:rPr>
                <w:rFonts w:cs="Arial"/>
                <w:szCs w:val="24"/>
              </w:rPr>
              <w:t>.</w:t>
            </w:r>
          </w:p>
        </w:tc>
      </w:tr>
      <w:tr w:rsidR="00F67E9E" w:rsidRPr="00AE092F" w14:paraId="3F1374B9" w14:textId="77777777" w:rsidTr="007F74AA">
        <w:tc>
          <w:tcPr>
            <w:tcW w:w="1413" w:type="pct"/>
          </w:tcPr>
          <w:p w14:paraId="3A9E0D43" w14:textId="77777777" w:rsidR="00F67E9E" w:rsidRPr="008A0ECD" w:rsidRDefault="00F67E9E" w:rsidP="007F74AA">
            <w:pPr>
              <w:rPr>
                <w:rFonts w:cs="Arial"/>
                <w:b/>
                <w:bCs/>
                <w:szCs w:val="24"/>
              </w:rPr>
            </w:pPr>
            <w:r w:rsidRPr="008A0ECD">
              <w:rPr>
                <w:rFonts w:cs="Arial"/>
                <w:b/>
                <w:bCs/>
                <w:szCs w:val="24"/>
              </w:rPr>
              <w:t>Appropriate Safeguards</w:t>
            </w:r>
          </w:p>
        </w:tc>
        <w:tc>
          <w:tcPr>
            <w:tcW w:w="3587" w:type="pct"/>
          </w:tcPr>
          <w:p w14:paraId="5C6F90D0" w14:textId="77777777" w:rsidR="00F67E9E" w:rsidRPr="00AE092F" w:rsidRDefault="00F67E9E" w:rsidP="007F74AA">
            <w:pPr>
              <w:rPr>
                <w:rFonts w:cs="Arial"/>
                <w:szCs w:val="24"/>
              </w:rPr>
            </w:pPr>
            <w:r w:rsidRPr="00AE092F">
              <w:rPr>
                <w:rFonts w:cs="Arial"/>
                <w:szCs w:val="24"/>
              </w:rPr>
              <w:t>The standard of protection over the personal data and of data subjects</w:t>
            </w:r>
            <w:r>
              <w:rPr>
                <w:rFonts w:cs="Arial"/>
                <w:szCs w:val="24"/>
              </w:rPr>
              <w:t>’</w:t>
            </w:r>
            <w:r w:rsidRPr="00AE092F">
              <w:rPr>
                <w:rFonts w:cs="Arial"/>
                <w:szCs w:val="24"/>
              </w:rPr>
              <w:t xml:space="preserve"> rights, which is required by UK Data Protection Laws when you are making a Restricted Transfer relying on standard data protection clauses under Article 46(2)(d) UK GDPR.</w:t>
            </w:r>
          </w:p>
        </w:tc>
      </w:tr>
      <w:tr w:rsidR="00F67E9E" w:rsidRPr="00AE092F" w14:paraId="46C6535E" w14:textId="77777777" w:rsidTr="007F74AA">
        <w:tc>
          <w:tcPr>
            <w:tcW w:w="1413" w:type="pct"/>
          </w:tcPr>
          <w:p w14:paraId="6871AC08" w14:textId="77777777" w:rsidR="00F67E9E" w:rsidRPr="008A0ECD" w:rsidRDefault="00F67E9E" w:rsidP="007F74AA">
            <w:pPr>
              <w:rPr>
                <w:rFonts w:cs="Arial"/>
                <w:b/>
                <w:bCs/>
                <w:szCs w:val="24"/>
              </w:rPr>
            </w:pPr>
            <w:r w:rsidRPr="008A0ECD">
              <w:rPr>
                <w:rFonts w:cs="Arial"/>
                <w:b/>
                <w:bCs/>
                <w:szCs w:val="24"/>
              </w:rPr>
              <w:t>Approved Addendum</w:t>
            </w:r>
          </w:p>
        </w:tc>
        <w:tc>
          <w:tcPr>
            <w:tcW w:w="3587" w:type="pct"/>
          </w:tcPr>
          <w:p w14:paraId="6BE18C0A" w14:textId="29B1CB54" w:rsidR="00F67E9E" w:rsidRPr="00AE092F" w:rsidRDefault="00F67E9E" w:rsidP="007F74AA">
            <w:pPr>
              <w:rPr>
                <w:rFonts w:cs="Arial"/>
                <w:szCs w:val="24"/>
              </w:rPr>
            </w:pPr>
            <w:r w:rsidRPr="00AE092F">
              <w:rPr>
                <w:rFonts w:cs="Arial"/>
                <w:szCs w:val="24"/>
              </w:rPr>
              <w:t xml:space="preserve">The template Addendum issued by the ICO and laid before Parliament in accordance with s119A of the Data Protection Act 2018 on 2 February 2022, as it is revised under Section </w:t>
            </w:r>
            <w:r w:rsidRPr="00AE092F">
              <w:rPr>
                <w:rFonts w:cs="Arial"/>
                <w:szCs w:val="24"/>
              </w:rPr>
              <w:fldChar w:fldCharType="begin"/>
            </w:r>
            <w:r w:rsidRPr="00AE092F">
              <w:rPr>
                <w:rFonts w:cs="Arial"/>
                <w:szCs w:val="24"/>
              </w:rPr>
              <w:instrText xml:space="preserve"> REF _Ref90907400 \r \h  \* MERGEFORMAT </w:instrText>
            </w:r>
            <w:r w:rsidRPr="00AE092F">
              <w:rPr>
                <w:rFonts w:cs="Arial"/>
                <w:szCs w:val="24"/>
              </w:rPr>
            </w:r>
            <w:r w:rsidRPr="00AE092F">
              <w:rPr>
                <w:rFonts w:cs="Arial"/>
                <w:szCs w:val="24"/>
              </w:rPr>
              <w:fldChar w:fldCharType="separate"/>
            </w:r>
            <w:r w:rsidR="00302D39">
              <w:rPr>
                <w:rFonts w:cs="Arial"/>
                <w:szCs w:val="24"/>
              </w:rPr>
              <w:t>18</w:t>
            </w:r>
            <w:r w:rsidRPr="00AE092F">
              <w:rPr>
                <w:rFonts w:cs="Arial"/>
                <w:szCs w:val="24"/>
              </w:rPr>
              <w:fldChar w:fldCharType="end"/>
            </w:r>
            <w:r w:rsidRPr="00AE092F">
              <w:rPr>
                <w:rFonts w:cs="Arial"/>
                <w:szCs w:val="24"/>
              </w:rPr>
              <w:t>.</w:t>
            </w:r>
          </w:p>
        </w:tc>
      </w:tr>
      <w:tr w:rsidR="00F67E9E" w:rsidRPr="00AE092F" w14:paraId="510BA3A6" w14:textId="77777777" w:rsidTr="007F74AA">
        <w:tc>
          <w:tcPr>
            <w:tcW w:w="1413" w:type="pct"/>
          </w:tcPr>
          <w:p w14:paraId="4179212E" w14:textId="77777777" w:rsidR="00F67E9E" w:rsidRPr="008A0ECD" w:rsidRDefault="00F67E9E" w:rsidP="007F74AA">
            <w:pPr>
              <w:rPr>
                <w:rFonts w:cs="Arial"/>
                <w:b/>
                <w:bCs/>
                <w:szCs w:val="24"/>
              </w:rPr>
            </w:pPr>
            <w:r w:rsidRPr="008A0ECD">
              <w:rPr>
                <w:rFonts w:cs="Arial"/>
                <w:b/>
                <w:bCs/>
                <w:szCs w:val="24"/>
              </w:rPr>
              <w:t xml:space="preserve">Approved EU SCCs </w:t>
            </w:r>
          </w:p>
        </w:tc>
        <w:tc>
          <w:tcPr>
            <w:tcW w:w="3587" w:type="pct"/>
          </w:tcPr>
          <w:p w14:paraId="5EFAA7FE" w14:textId="77777777" w:rsidR="00F67E9E" w:rsidRPr="00AE092F" w:rsidRDefault="00F67E9E" w:rsidP="007F74AA">
            <w:pPr>
              <w:rPr>
                <w:rFonts w:cs="Arial"/>
                <w:szCs w:val="24"/>
              </w:rPr>
            </w:pPr>
            <w:r w:rsidRPr="00AE092F">
              <w:rPr>
                <w:rFonts w:cs="Arial"/>
                <w:szCs w:val="24"/>
              </w:rPr>
              <w:t>The Standard Contractual Clauses set out in the Annex of Commission Implementing Decision (EU) 2021/914 of 4 June 2021.</w:t>
            </w:r>
          </w:p>
        </w:tc>
      </w:tr>
      <w:tr w:rsidR="00F67E9E" w:rsidRPr="00AE092F" w14:paraId="3AA19481" w14:textId="77777777" w:rsidTr="007F74AA">
        <w:tc>
          <w:tcPr>
            <w:tcW w:w="1413" w:type="pct"/>
          </w:tcPr>
          <w:p w14:paraId="4691F21E" w14:textId="77777777" w:rsidR="00F67E9E" w:rsidRPr="008A0ECD" w:rsidRDefault="00F67E9E" w:rsidP="007F74AA">
            <w:pPr>
              <w:rPr>
                <w:rFonts w:cs="Arial"/>
                <w:b/>
                <w:bCs/>
                <w:szCs w:val="24"/>
              </w:rPr>
            </w:pPr>
            <w:r w:rsidRPr="008A0ECD">
              <w:rPr>
                <w:rFonts w:cs="Arial"/>
                <w:b/>
                <w:bCs/>
                <w:szCs w:val="24"/>
              </w:rPr>
              <w:t>ICO</w:t>
            </w:r>
          </w:p>
        </w:tc>
        <w:tc>
          <w:tcPr>
            <w:tcW w:w="3587" w:type="pct"/>
          </w:tcPr>
          <w:p w14:paraId="6802486E" w14:textId="77777777" w:rsidR="00F67E9E" w:rsidRPr="00AE092F" w:rsidRDefault="00F67E9E" w:rsidP="007F74AA">
            <w:pPr>
              <w:rPr>
                <w:rFonts w:cs="Arial"/>
                <w:szCs w:val="24"/>
              </w:rPr>
            </w:pPr>
            <w:r w:rsidRPr="00AE092F">
              <w:rPr>
                <w:rFonts w:cs="Arial"/>
                <w:szCs w:val="24"/>
              </w:rPr>
              <w:t>The Information Commissioner.</w:t>
            </w:r>
          </w:p>
        </w:tc>
      </w:tr>
      <w:tr w:rsidR="00F67E9E" w:rsidRPr="00AE092F" w14:paraId="58E6C60B" w14:textId="77777777" w:rsidTr="007F74AA">
        <w:tc>
          <w:tcPr>
            <w:tcW w:w="1413" w:type="pct"/>
          </w:tcPr>
          <w:p w14:paraId="63CAEBF5" w14:textId="77777777" w:rsidR="00F67E9E" w:rsidRPr="008A0ECD" w:rsidRDefault="00F67E9E" w:rsidP="007F74AA">
            <w:pPr>
              <w:rPr>
                <w:rFonts w:cs="Arial"/>
                <w:b/>
                <w:bCs/>
                <w:szCs w:val="24"/>
              </w:rPr>
            </w:pPr>
            <w:r w:rsidRPr="008A0ECD">
              <w:rPr>
                <w:rFonts w:cs="Arial"/>
                <w:b/>
                <w:bCs/>
                <w:szCs w:val="24"/>
              </w:rPr>
              <w:t>Restricted Transfer</w:t>
            </w:r>
          </w:p>
        </w:tc>
        <w:tc>
          <w:tcPr>
            <w:tcW w:w="3587" w:type="pct"/>
          </w:tcPr>
          <w:p w14:paraId="7ACB00B3" w14:textId="77777777" w:rsidR="00F67E9E" w:rsidRPr="00AE092F" w:rsidRDefault="00F67E9E" w:rsidP="007F74AA">
            <w:pPr>
              <w:rPr>
                <w:rFonts w:cs="Arial"/>
                <w:szCs w:val="24"/>
              </w:rPr>
            </w:pPr>
            <w:r w:rsidRPr="00AE092F">
              <w:rPr>
                <w:rFonts w:cs="Arial"/>
                <w:szCs w:val="24"/>
              </w:rPr>
              <w:t>A transfer which is covered by Chapter V of the UK GDPR.</w:t>
            </w:r>
          </w:p>
        </w:tc>
      </w:tr>
      <w:tr w:rsidR="00F67E9E" w:rsidRPr="00AE092F" w14:paraId="6F25B9F4" w14:textId="77777777" w:rsidTr="007F74AA">
        <w:tc>
          <w:tcPr>
            <w:tcW w:w="1413" w:type="pct"/>
          </w:tcPr>
          <w:p w14:paraId="284866F2" w14:textId="77777777" w:rsidR="00F67E9E" w:rsidRPr="008A0ECD" w:rsidRDefault="00F67E9E" w:rsidP="007F74AA">
            <w:pPr>
              <w:rPr>
                <w:rFonts w:cs="Arial"/>
                <w:b/>
                <w:bCs/>
                <w:szCs w:val="24"/>
              </w:rPr>
            </w:pPr>
            <w:r w:rsidRPr="008A0ECD">
              <w:rPr>
                <w:rFonts w:cs="Arial"/>
                <w:b/>
                <w:bCs/>
                <w:szCs w:val="24"/>
              </w:rPr>
              <w:t xml:space="preserve">UK </w:t>
            </w:r>
          </w:p>
        </w:tc>
        <w:tc>
          <w:tcPr>
            <w:tcW w:w="3587" w:type="pct"/>
          </w:tcPr>
          <w:p w14:paraId="7CA2084F" w14:textId="77777777" w:rsidR="00F67E9E" w:rsidRPr="00AE092F" w:rsidRDefault="00F67E9E" w:rsidP="007F74AA">
            <w:pPr>
              <w:rPr>
                <w:rFonts w:cs="Arial"/>
                <w:szCs w:val="24"/>
              </w:rPr>
            </w:pPr>
            <w:r w:rsidRPr="00AE092F">
              <w:rPr>
                <w:rFonts w:cs="Arial"/>
                <w:szCs w:val="24"/>
              </w:rPr>
              <w:t>The United Kingdom of Great Britain and Northern Ireland.</w:t>
            </w:r>
          </w:p>
        </w:tc>
      </w:tr>
      <w:tr w:rsidR="00F67E9E" w:rsidRPr="00AE092F" w14:paraId="40100A7E" w14:textId="77777777" w:rsidTr="007F74AA">
        <w:tc>
          <w:tcPr>
            <w:tcW w:w="1413" w:type="pct"/>
          </w:tcPr>
          <w:p w14:paraId="155BBE34" w14:textId="77777777" w:rsidR="00F67E9E" w:rsidRPr="008A0ECD" w:rsidRDefault="00F67E9E" w:rsidP="007F74AA">
            <w:pPr>
              <w:rPr>
                <w:rFonts w:cs="Arial"/>
                <w:b/>
                <w:bCs/>
                <w:szCs w:val="24"/>
              </w:rPr>
            </w:pPr>
            <w:r w:rsidRPr="008A0ECD">
              <w:rPr>
                <w:rFonts w:cs="Arial"/>
                <w:b/>
                <w:bCs/>
                <w:szCs w:val="24"/>
              </w:rPr>
              <w:t xml:space="preserve">UK Data Protection Laws </w:t>
            </w:r>
          </w:p>
        </w:tc>
        <w:tc>
          <w:tcPr>
            <w:tcW w:w="3587" w:type="pct"/>
          </w:tcPr>
          <w:p w14:paraId="7B9C8E67" w14:textId="77777777" w:rsidR="00F67E9E" w:rsidRPr="00AE092F" w:rsidRDefault="00F67E9E" w:rsidP="007F74AA">
            <w:pPr>
              <w:rPr>
                <w:rFonts w:cs="Arial"/>
                <w:szCs w:val="24"/>
              </w:rPr>
            </w:pPr>
            <w:r w:rsidRPr="00AE092F">
              <w:rPr>
                <w:rFonts w:cs="Arial"/>
                <w:szCs w:val="24"/>
              </w:rPr>
              <w:t>All laws relating to data protection, the processing of personal data, privacy and/or electronic communications in force from time to time in the UK, including the UK GDPR and the Data Protection Act 2018.</w:t>
            </w:r>
          </w:p>
        </w:tc>
      </w:tr>
      <w:tr w:rsidR="00F67E9E" w:rsidRPr="00AE092F" w14:paraId="074EECE4" w14:textId="77777777" w:rsidTr="007F74AA">
        <w:tc>
          <w:tcPr>
            <w:tcW w:w="1413" w:type="pct"/>
          </w:tcPr>
          <w:p w14:paraId="426F4E07" w14:textId="77777777" w:rsidR="00F67E9E" w:rsidRPr="008A0ECD" w:rsidRDefault="00F67E9E" w:rsidP="007F74AA">
            <w:pPr>
              <w:rPr>
                <w:rFonts w:cs="Arial"/>
                <w:b/>
                <w:bCs/>
                <w:szCs w:val="24"/>
              </w:rPr>
            </w:pPr>
            <w:r w:rsidRPr="008A0ECD">
              <w:rPr>
                <w:rFonts w:cs="Arial"/>
                <w:b/>
                <w:bCs/>
                <w:szCs w:val="24"/>
              </w:rPr>
              <w:t xml:space="preserve">UK GDPR </w:t>
            </w:r>
          </w:p>
        </w:tc>
        <w:tc>
          <w:tcPr>
            <w:tcW w:w="3587" w:type="pct"/>
          </w:tcPr>
          <w:p w14:paraId="43113C9B" w14:textId="77777777" w:rsidR="00F67E9E" w:rsidRPr="00AE092F" w:rsidRDefault="00F67E9E" w:rsidP="007F74AA">
            <w:pPr>
              <w:rPr>
                <w:rFonts w:cs="Arial"/>
                <w:szCs w:val="24"/>
              </w:rPr>
            </w:pPr>
            <w:r w:rsidRPr="00AE092F">
              <w:rPr>
                <w:rFonts w:cs="Arial"/>
                <w:szCs w:val="24"/>
              </w:rPr>
              <w:t>As defined in section 3 of the Data Protection Act 2018.</w:t>
            </w:r>
          </w:p>
        </w:tc>
      </w:tr>
      <w:bookmarkEnd w:id="3160"/>
    </w:tbl>
    <w:p w14:paraId="79E28D7D" w14:textId="77777777" w:rsidR="00F67E9E" w:rsidRDefault="00F67E9E" w:rsidP="00F67E9E"/>
    <w:p w14:paraId="035AEA20" w14:textId="77777777" w:rsidR="00F67E9E" w:rsidRPr="008A0ECD" w:rsidRDefault="00F67E9E" w:rsidP="00F67E9E">
      <w:pPr>
        <w:pStyle w:val="AppendixText1"/>
        <w:keepNext w:val="0"/>
        <w:numPr>
          <w:ilvl w:val="0"/>
          <w:numId w:val="86"/>
        </w:numPr>
        <w:tabs>
          <w:tab w:val="clear" w:pos="720"/>
          <w:tab w:val="num" w:pos="900"/>
        </w:tabs>
        <w:rPr>
          <w:b w:val="0"/>
          <w:bCs/>
        </w:rPr>
      </w:pPr>
      <w:r w:rsidRPr="008A0ECD">
        <w:rPr>
          <w:b w:val="0"/>
          <w:bCs/>
        </w:rPr>
        <w:t xml:space="preserve">This Addendum must always be interpreted in a manner that is consistent with UK Data Protection Laws and so that it fulfils the Parties’ obligation to provide the Appropriate Safeguards. </w:t>
      </w:r>
    </w:p>
    <w:p w14:paraId="51D48EE3" w14:textId="77777777" w:rsidR="00F67E9E" w:rsidRPr="008A0ECD" w:rsidRDefault="00F67E9E" w:rsidP="00F67E9E">
      <w:pPr>
        <w:pStyle w:val="AppendixText1"/>
        <w:keepNext w:val="0"/>
        <w:numPr>
          <w:ilvl w:val="0"/>
          <w:numId w:val="86"/>
        </w:numPr>
        <w:tabs>
          <w:tab w:val="clear" w:pos="720"/>
          <w:tab w:val="num" w:pos="900"/>
        </w:tabs>
        <w:rPr>
          <w:b w:val="0"/>
          <w:bCs/>
        </w:rPr>
      </w:pPr>
      <w:r w:rsidRPr="008A0ECD">
        <w:rPr>
          <w:b w:val="0"/>
          <w:bCs/>
        </w:rPr>
        <w:t>If the provisions included in the Addendum EU SCCs amend the Approved SCCs in any way which is not permitted under the Approved EU SCCs or the Approved Addendum, such amendment(s) will not be incorporated in this Addendum and the equivalent provision of the Approved EU SCCs will take their place.</w:t>
      </w:r>
    </w:p>
    <w:p w14:paraId="627A7C52" w14:textId="77777777" w:rsidR="00F67E9E" w:rsidRPr="008A0ECD" w:rsidRDefault="00F67E9E" w:rsidP="00F67E9E">
      <w:pPr>
        <w:pStyle w:val="AppendixText1"/>
        <w:keepNext w:val="0"/>
        <w:numPr>
          <w:ilvl w:val="0"/>
          <w:numId w:val="86"/>
        </w:numPr>
        <w:tabs>
          <w:tab w:val="clear" w:pos="720"/>
          <w:tab w:val="num" w:pos="900"/>
        </w:tabs>
        <w:rPr>
          <w:b w:val="0"/>
          <w:bCs/>
        </w:rPr>
      </w:pPr>
      <w:r w:rsidRPr="008A0ECD">
        <w:rPr>
          <w:b w:val="0"/>
          <w:bCs/>
        </w:rPr>
        <w:t>If there is any inconsistency or conflict between UK Data Protection Laws and this Addendum, UK Data Protection Laws applies.</w:t>
      </w:r>
    </w:p>
    <w:p w14:paraId="1000382C" w14:textId="77777777" w:rsidR="00F67E9E" w:rsidRPr="008A0ECD" w:rsidRDefault="00F67E9E" w:rsidP="00F67E9E">
      <w:pPr>
        <w:pStyle w:val="AppendixText1"/>
        <w:keepNext w:val="0"/>
        <w:numPr>
          <w:ilvl w:val="0"/>
          <w:numId w:val="86"/>
        </w:numPr>
        <w:tabs>
          <w:tab w:val="clear" w:pos="720"/>
          <w:tab w:val="num" w:pos="900"/>
        </w:tabs>
        <w:rPr>
          <w:b w:val="0"/>
          <w:bCs/>
        </w:rPr>
      </w:pPr>
      <w:r w:rsidRPr="008A0ECD">
        <w:rPr>
          <w:b w:val="0"/>
          <w:bCs/>
        </w:rPr>
        <w:t xml:space="preserve">If the meaning of this Addendum is unclear or there is more than one meaning, the meaning which most closely aligns with UK Data Protection Laws applies. </w:t>
      </w:r>
    </w:p>
    <w:p w14:paraId="7377B66A" w14:textId="77777777" w:rsidR="00F67E9E" w:rsidRPr="008A0ECD" w:rsidRDefault="00F67E9E" w:rsidP="00F67E9E">
      <w:pPr>
        <w:pStyle w:val="AppendixText1"/>
        <w:keepNext w:val="0"/>
        <w:numPr>
          <w:ilvl w:val="0"/>
          <w:numId w:val="86"/>
        </w:numPr>
        <w:tabs>
          <w:tab w:val="clear" w:pos="720"/>
          <w:tab w:val="num" w:pos="900"/>
        </w:tabs>
        <w:rPr>
          <w:b w:val="0"/>
          <w:bCs/>
        </w:rPr>
      </w:pPr>
      <w:r w:rsidRPr="008A0ECD">
        <w:rPr>
          <w:b w:val="0"/>
          <w:bCs/>
        </w:rPr>
        <w:t xml:space="preserve">Any references to legislation (or specific provisions of legislation) means that legislation (or specific provision) as it may change over time. This includes where that legislation (or specific provision) has been consolidated, re-enacted and/or replaced after this Addendum has been entered into. </w:t>
      </w:r>
    </w:p>
    <w:p w14:paraId="529DF6D2" w14:textId="77777777" w:rsidR="00F67E9E" w:rsidRPr="00F41965" w:rsidRDefault="00F67E9E" w:rsidP="00F67E9E">
      <w:pPr>
        <w:keepNext/>
        <w:keepLines/>
        <w:spacing w:before="100" w:after="100"/>
        <w:rPr>
          <w:b/>
          <w:bCs/>
        </w:rPr>
      </w:pPr>
      <w:r w:rsidRPr="00F41965">
        <w:rPr>
          <w:b/>
          <w:bCs/>
        </w:rPr>
        <w:t xml:space="preserve">Hierarchy </w:t>
      </w:r>
    </w:p>
    <w:p w14:paraId="1112A8F0" w14:textId="2CC61ADF" w:rsidR="00F67E9E" w:rsidRPr="008A0ECD" w:rsidRDefault="00F67E9E" w:rsidP="00F67E9E">
      <w:pPr>
        <w:pStyle w:val="AppendixText1"/>
        <w:keepNext w:val="0"/>
        <w:numPr>
          <w:ilvl w:val="0"/>
          <w:numId w:val="86"/>
        </w:numPr>
        <w:tabs>
          <w:tab w:val="clear" w:pos="720"/>
          <w:tab w:val="num" w:pos="900"/>
        </w:tabs>
        <w:rPr>
          <w:b w:val="0"/>
          <w:bCs/>
        </w:rPr>
      </w:pPr>
      <w:bookmarkStart w:id="3170" w:name="_Ref90905648"/>
      <w:r w:rsidRPr="008A0ECD">
        <w:rPr>
          <w:b w:val="0"/>
          <w:bCs/>
        </w:rPr>
        <w:t xml:space="preserve">Although Clause 5 of the Approved EU SCCs sets out that the Approved EU SCCs prevail over all related agreements between the parties, the parties agree that, for Restricted Transfers, the hierarchy in Section </w:t>
      </w:r>
      <w:r w:rsidRPr="008A0ECD">
        <w:rPr>
          <w:b w:val="0"/>
          <w:bCs/>
        </w:rPr>
        <w:fldChar w:fldCharType="begin"/>
      </w:r>
      <w:r w:rsidRPr="008A0ECD">
        <w:rPr>
          <w:b w:val="0"/>
          <w:bCs/>
        </w:rPr>
        <w:instrText xml:space="preserve"> REF _Ref90905652 \r \h  \* MERGEFORMAT </w:instrText>
      </w:r>
      <w:r w:rsidRPr="008A0ECD">
        <w:rPr>
          <w:b w:val="0"/>
          <w:bCs/>
        </w:rPr>
      </w:r>
      <w:r w:rsidRPr="008A0ECD">
        <w:rPr>
          <w:b w:val="0"/>
          <w:bCs/>
        </w:rPr>
        <w:fldChar w:fldCharType="separate"/>
      </w:r>
      <w:r w:rsidR="00302D39">
        <w:rPr>
          <w:b w:val="0"/>
          <w:bCs/>
        </w:rPr>
        <w:t>10</w:t>
      </w:r>
      <w:r w:rsidRPr="008A0ECD">
        <w:rPr>
          <w:b w:val="0"/>
          <w:bCs/>
        </w:rPr>
        <w:fldChar w:fldCharType="end"/>
      </w:r>
      <w:r w:rsidRPr="008A0ECD">
        <w:rPr>
          <w:b w:val="0"/>
          <w:bCs/>
        </w:rPr>
        <w:t xml:space="preserve"> will prevail.</w:t>
      </w:r>
      <w:bookmarkEnd w:id="3170"/>
    </w:p>
    <w:p w14:paraId="13E7C014" w14:textId="77777777" w:rsidR="00F67E9E" w:rsidRPr="008A0ECD" w:rsidRDefault="00F67E9E" w:rsidP="00F67E9E">
      <w:pPr>
        <w:pStyle w:val="AppendixText1"/>
        <w:keepNext w:val="0"/>
        <w:numPr>
          <w:ilvl w:val="0"/>
          <w:numId w:val="86"/>
        </w:numPr>
        <w:tabs>
          <w:tab w:val="clear" w:pos="720"/>
          <w:tab w:val="num" w:pos="900"/>
        </w:tabs>
        <w:rPr>
          <w:b w:val="0"/>
          <w:bCs/>
        </w:rPr>
      </w:pPr>
      <w:bookmarkStart w:id="3171" w:name="_Ref90905652"/>
      <w:r w:rsidRPr="008A0ECD">
        <w:rPr>
          <w:b w:val="0"/>
          <w:bCs/>
        </w:rPr>
        <w:t>Where there is any inconsistency or conflict between the Approved Addendum and the Addendum EU SCCs (as applicable), the Approved Addendum overrides the Addendum EU SCCs, except where (and in so far as) the inconsistent or conflicting terms of the Addendum EU SCCs provides greater protection for data subjects, in which case those terms will override the Approved Addendum.</w:t>
      </w:r>
    </w:p>
    <w:p w14:paraId="3CC07E48" w14:textId="77777777" w:rsidR="00F67E9E" w:rsidRPr="008A0ECD" w:rsidRDefault="00F67E9E" w:rsidP="00F67E9E">
      <w:pPr>
        <w:pStyle w:val="AppendixText1"/>
        <w:keepNext w:val="0"/>
        <w:numPr>
          <w:ilvl w:val="0"/>
          <w:numId w:val="86"/>
        </w:numPr>
        <w:tabs>
          <w:tab w:val="clear" w:pos="720"/>
          <w:tab w:val="num" w:pos="900"/>
        </w:tabs>
        <w:rPr>
          <w:b w:val="0"/>
          <w:bCs/>
        </w:rPr>
      </w:pPr>
      <w:bookmarkStart w:id="3172" w:name="_Ref90906696"/>
      <w:r w:rsidRPr="008A0ECD">
        <w:rPr>
          <w:b w:val="0"/>
          <w:bCs/>
        </w:rPr>
        <w:t>Where this Addendum incorporates Addendum EU SCCs which have been entered into to protect transfers subject to the General Data Protection Regulation (EU) 2016/679 then the Parties acknowledge that nothing in this Addendum impacts those Addendum EU SCCs.</w:t>
      </w:r>
      <w:bookmarkEnd w:id="3171"/>
      <w:bookmarkEnd w:id="3172"/>
    </w:p>
    <w:p w14:paraId="3FB960C8" w14:textId="77777777" w:rsidR="00F67E9E" w:rsidRPr="00F41965" w:rsidRDefault="00F67E9E" w:rsidP="00F67E9E">
      <w:pPr>
        <w:keepNext/>
        <w:keepLines/>
        <w:spacing w:before="100" w:after="100"/>
        <w:rPr>
          <w:b/>
          <w:bCs/>
        </w:rPr>
      </w:pPr>
      <w:r w:rsidRPr="00F41965">
        <w:rPr>
          <w:b/>
          <w:bCs/>
        </w:rPr>
        <w:t>Incorporation of and changes to the EU SCCs</w:t>
      </w:r>
    </w:p>
    <w:p w14:paraId="45C29D37" w14:textId="77777777" w:rsidR="00F67E9E" w:rsidRPr="008A0ECD" w:rsidRDefault="00F67E9E" w:rsidP="00F67E9E">
      <w:pPr>
        <w:pStyle w:val="AppendixText1"/>
        <w:keepNext w:val="0"/>
        <w:numPr>
          <w:ilvl w:val="0"/>
          <w:numId w:val="86"/>
        </w:numPr>
        <w:tabs>
          <w:tab w:val="clear" w:pos="720"/>
          <w:tab w:val="num" w:pos="900"/>
        </w:tabs>
        <w:rPr>
          <w:b w:val="0"/>
          <w:bCs/>
        </w:rPr>
      </w:pPr>
      <w:bookmarkStart w:id="3173" w:name="_Ref90906729"/>
      <w:bookmarkStart w:id="3174" w:name="_Hlk92876330"/>
      <w:r w:rsidRPr="008A0ECD">
        <w:rPr>
          <w:b w:val="0"/>
          <w:bCs/>
        </w:rPr>
        <w:t>This Addendum incorporates the Addendum EU SCCs which are amended to the extent necessary so that:</w:t>
      </w:r>
      <w:bookmarkEnd w:id="3173"/>
    </w:p>
    <w:p w14:paraId="56162889" w14:textId="77777777" w:rsidR="00F67E9E" w:rsidRPr="00AE092F" w:rsidRDefault="00F67E9E" w:rsidP="00F67E9E">
      <w:pPr>
        <w:pStyle w:val="AppendixText4"/>
        <w:numPr>
          <w:ilvl w:val="3"/>
          <w:numId w:val="87"/>
        </w:numPr>
        <w:tabs>
          <w:tab w:val="clear" w:pos="2520"/>
          <w:tab w:val="num" w:pos="1800"/>
        </w:tabs>
        <w:ind w:left="1440"/>
      </w:pPr>
      <w:r w:rsidRPr="00AE092F">
        <w:t>together they operate for data transfers made by the data exporter to the data importer, to the extent that UK Data Protection Laws apply to the data exporter</w:t>
      </w:r>
      <w:r>
        <w:t>’</w:t>
      </w:r>
      <w:r w:rsidRPr="00AE092F">
        <w:t xml:space="preserve">s processing when making that data transfer, and they provide Appropriate Safeguards for those data transfers; </w:t>
      </w:r>
    </w:p>
    <w:p w14:paraId="2B1DFCA4" w14:textId="3E73F219" w:rsidR="00F67E9E" w:rsidRPr="00C368EE" w:rsidRDefault="00F67E9E" w:rsidP="00F67E9E">
      <w:pPr>
        <w:pStyle w:val="AppendixText4"/>
        <w:numPr>
          <w:ilvl w:val="3"/>
          <w:numId w:val="87"/>
        </w:numPr>
        <w:tabs>
          <w:tab w:val="clear" w:pos="2520"/>
          <w:tab w:val="num" w:pos="1800"/>
        </w:tabs>
        <w:ind w:left="1440"/>
      </w:pPr>
      <w:r w:rsidRPr="00AE092F">
        <w:rPr>
          <w:rFonts w:cs="Arial"/>
        </w:rPr>
        <w:t xml:space="preserve">Sections </w:t>
      </w:r>
      <w:r w:rsidRPr="00AE092F">
        <w:rPr>
          <w:rFonts w:cs="Arial"/>
        </w:rPr>
        <w:fldChar w:fldCharType="begin"/>
      </w:r>
      <w:r w:rsidRPr="00AE092F">
        <w:rPr>
          <w:rFonts w:cs="Arial"/>
        </w:rPr>
        <w:instrText xml:space="preserve"> REF _Ref90905648 \r \h  \* MERGEFORMAT </w:instrText>
      </w:r>
      <w:r w:rsidRPr="00AE092F">
        <w:rPr>
          <w:rFonts w:cs="Arial"/>
        </w:rPr>
      </w:r>
      <w:r w:rsidRPr="00AE092F">
        <w:rPr>
          <w:rFonts w:cs="Arial"/>
        </w:rPr>
        <w:fldChar w:fldCharType="separate"/>
      </w:r>
      <w:r w:rsidR="00302D39">
        <w:rPr>
          <w:rFonts w:cs="Arial"/>
        </w:rPr>
        <w:t>9</w:t>
      </w:r>
      <w:r w:rsidRPr="00AE092F">
        <w:rPr>
          <w:rFonts w:cs="Arial"/>
        </w:rPr>
        <w:fldChar w:fldCharType="end"/>
      </w:r>
      <w:r w:rsidRPr="00AE092F">
        <w:rPr>
          <w:rFonts w:cs="Arial"/>
        </w:rPr>
        <w:t xml:space="preserve"> t</w:t>
      </w:r>
      <w:r w:rsidRPr="00C368EE">
        <w:t xml:space="preserve">o </w:t>
      </w:r>
      <w:r w:rsidRPr="00C368EE">
        <w:fldChar w:fldCharType="begin"/>
      </w:r>
      <w:r w:rsidRPr="00C368EE">
        <w:instrText xml:space="preserve"> REF _Ref90906696 \r \h  \* MERGEFORMAT </w:instrText>
      </w:r>
      <w:r w:rsidRPr="00C368EE">
        <w:fldChar w:fldCharType="separate"/>
      </w:r>
      <w:r w:rsidR="00302D39">
        <w:t>11</w:t>
      </w:r>
      <w:r w:rsidRPr="00C368EE">
        <w:fldChar w:fldCharType="end"/>
      </w:r>
      <w:r w:rsidRPr="00C368EE">
        <w:t xml:space="preserve"> override Clause 5 (</w:t>
      </w:r>
      <w:r w:rsidRPr="005514A5">
        <w:rPr>
          <w:i/>
          <w:iCs/>
        </w:rPr>
        <w:t>Hierarchy</w:t>
      </w:r>
      <w:r w:rsidRPr="00C368EE">
        <w:t>) of the Addendum EU SCCs; and</w:t>
      </w:r>
    </w:p>
    <w:p w14:paraId="3871F67F" w14:textId="77777777" w:rsidR="00F67E9E" w:rsidRPr="00AE092F" w:rsidRDefault="00F67E9E" w:rsidP="00F67E9E">
      <w:pPr>
        <w:pStyle w:val="AppendixText4"/>
        <w:numPr>
          <w:ilvl w:val="3"/>
          <w:numId w:val="87"/>
        </w:numPr>
        <w:tabs>
          <w:tab w:val="clear" w:pos="2520"/>
          <w:tab w:val="num" w:pos="1800"/>
        </w:tabs>
        <w:ind w:left="1440"/>
        <w:rPr>
          <w:rFonts w:cs="Arial"/>
        </w:rPr>
      </w:pPr>
      <w:r w:rsidRPr="00C368EE">
        <w:t>this Addend</w:t>
      </w:r>
      <w:r w:rsidRPr="00AE092F">
        <w:rPr>
          <w:rFonts w:cs="Arial"/>
        </w:rPr>
        <w:t xml:space="preserve">um (including the Addendum EU SCCs incorporated into it) is (1) governed by the laws of England and Wales and (2) any dispute arising from it is </w:t>
      </w:r>
      <w:r w:rsidRPr="00E02061">
        <w:t>resolved</w:t>
      </w:r>
      <w:r w:rsidRPr="00AE092F">
        <w:rPr>
          <w:rFonts w:cs="Arial"/>
        </w:rPr>
        <w:t xml:space="preserve"> by the courts of England and Wales, in each case unless the laws and/or courts of Scotland or Northern Ireland have been expressly selected by the Parties.</w:t>
      </w:r>
    </w:p>
    <w:p w14:paraId="070A3497" w14:textId="66CEC7D4" w:rsidR="00F67E9E" w:rsidRPr="008A0ECD" w:rsidRDefault="00F67E9E" w:rsidP="00F67E9E">
      <w:pPr>
        <w:pStyle w:val="AppendixText1"/>
        <w:keepNext w:val="0"/>
        <w:numPr>
          <w:ilvl w:val="0"/>
          <w:numId w:val="86"/>
        </w:numPr>
        <w:tabs>
          <w:tab w:val="clear" w:pos="720"/>
          <w:tab w:val="num" w:pos="900"/>
        </w:tabs>
        <w:rPr>
          <w:b w:val="0"/>
          <w:bCs/>
        </w:rPr>
      </w:pPr>
      <w:bookmarkStart w:id="3175" w:name="_Ref90907070"/>
      <w:bookmarkEnd w:id="3174"/>
      <w:r w:rsidRPr="008A0ECD">
        <w:rPr>
          <w:b w:val="0"/>
          <w:bCs/>
        </w:rPr>
        <w:t xml:space="preserve">Unless the Parties have agreed alternative amendments which meet the requirements of Section </w:t>
      </w:r>
      <w:r w:rsidRPr="008A0ECD">
        <w:rPr>
          <w:b w:val="0"/>
          <w:bCs/>
        </w:rPr>
        <w:fldChar w:fldCharType="begin"/>
      </w:r>
      <w:r w:rsidRPr="008A0ECD">
        <w:rPr>
          <w:b w:val="0"/>
          <w:bCs/>
        </w:rPr>
        <w:instrText xml:space="preserve"> REF _Ref90906729 \r \h  \* MERGEFORMAT </w:instrText>
      </w:r>
      <w:r w:rsidRPr="008A0ECD">
        <w:rPr>
          <w:b w:val="0"/>
          <w:bCs/>
        </w:rPr>
      </w:r>
      <w:r w:rsidRPr="008A0ECD">
        <w:rPr>
          <w:b w:val="0"/>
          <w:bCs/>
        </w:rPr>
        <w:fldChar w:fldCharType="separate"/>
      </w:r>
      <w:r w:rsidR="00302D39">
        <w:rPr>
          <w:b w:val="0"/>
          <w:bCs/>
        </w:rPr>
        <w:t>12</w:t>
      </w:r>
      <w:r w:rsidRPr="008A0ECD">
        <w:rPr>
          <w:b w:val="0"/>
          <w:bCs/>
        </w:rPr>
        <w:fldChar w:fldCharType="end"/>
      </w:r>
      <w:r w:rsidRPr="008A0ECD">
        <w:rPr>
          <w:b w:val="0"/>
          <w:bCs/>
        </w:rPr>
        <w:t xml:space="preserve">, the provisions of Section </w:t>
      </w:r>
      <w:r w:rsidRPr="008A0ECD">
        <w:rPr>
          <w:b w:val="0"/>
          <w:bCs/>
        </w:rPr>
        <w:fldChar w:fldCharType="begin"/>
      </w:r>
      <w:r w:rsidRPr="008A0ECD">
        <w:rPr>
          <w:b w:val="0"/>
          <w:bCs/>
        </w:rPr>
        <w:instrText xml:space="preserve"> REF _Ref90907321 \r \h  \* MERGEFORMAT </w:instrText>
      </w:r>
      <w:r w:rsidRPr="008A0ECD">
        <w:rPr>
          <w:b w:val="0"/>
          <w:bCs/>
        </w:rPr>
      </w:r>
      <w:r w:rsidRPr="008A0ECD">
        <w:rPr>
          <w:b w:val="0"/>
          <w:bCs/>
        </w:rPr>
        <w:fldChar w:fldCharType="separate"/>
      </w:r>
      <w:r w:rsidR="00302D39">
        <w:rPr>
          <w:b w:val="0"/>
          <w:bCs/>
        </w:rPr>
        <w:t>15</w:t>
      </w:r>
      <w:r w:rsidRPr="008A0ECD">
        <w:rPr>
          <w:b w:val="0"/>
          <w:bCs/>
        </w:rPr>
        <w:fldChar w:fldCharType="end"/>
      </w:r>
      <w:r w:rsidRPr="008A0ECD">
        <w:rPr>
          <w:b w:val="0"/>
          <w:bCs/>
        </w:rPr>
        <w:t xml:space="preserve"> will apply.</w:t>
      </w:r>
    </w:p>
    <w:p w14:paraId="2D903F27" w14:textId="750DBD5D" w:rsidR="00F67E9E" w:rsidRPr="008A0ECD" w:rsidRDefault="00F67E9E" w:rsidP="00F67E9E">
      <w:pPr>
        <w:pStyle w:val="AppendixText1"/>
        <w:keepNext w:val="0"/>
        <w:numPr>
          <w:ilvl w:val="0"/>
          <w:numId w:val="86"/>
        </w:numPr>
        <w:tabs>
          <w:tab w:val="clear" w:pos="720"/>
          <w:tab w:val="num" w:pos="900"/>
        </w:tabs>
        <w:rPr>
          <w:b w:val="0"/>
          <w:bCs/>
        </w:rPr>
      </w:pPr>
      <w:r w:rsidRPr="008A0ECD">
        <w:rPr>
          <w:b w:val="0"/>
          <w:bCs/>
        </w:rPr>
        <w:t xml:space="preserve">No amendments to the Approved EU SCCs other than to meet the requirements of Section </w:t>
      </w:r>
      <w:r w:rsidRPr="008A0ECD">
        <w:rPr>
          <w:b w:val="0"/>
          <w:bCs/>
        </w:rPr>
        <w:fldChar w:fldCharType="begin"/>
      </w:r>
      <w:r w:rsidRPr="008A0ECD">
        <w:rPr>
          <w:b w:val="0"/>
          <w:bCs/>
        </w:rPr>
        <w:instrText xml:space="preserve"> REF _Ref90906729 \r \h  \* MERGEFORMAT </w:instrText>
      </w:r>
      <w:r w:rsidRPr="008A0ECD">
        <w:rPr>
          <w:b w:val="0"/>
          <w:bCs/>
        </w:rPr>
      </w:r>
      <w:r w:rsidRPr="008A0ECD">
        <w:rPr>
          <w:b w:val="0"/>
          <w:bCs/>
        </w:rPr>
        <w:fldChar w:fldCharType="separate"/>
      </w:r>
      <w:r w:rsidR="00302D39">
        <w:rPr>
          <w:b w:val="0"/>
          <w:bCs/>
        </w:rPr>
        <w:t>12</w:t>
      </w:r>
      <w:r w:rsidRPr="008A0ECD">
        <w:rPr>
          <w:b w:val="0"/>
          <w:bCs/>
        </w:rPr>
        <w:fldChar w:fldCharType="end"/>
      </w:r>
      <w:r w:rsidRPr="008A0ECD">
        <w:rPr>
          <w:b w:val="0"/>
          <w:bCs/>
        </w:rPr>
        <w:t xml:space="preserve"> may be made.</w:t>
      </w:r>
    </w:p>
    <w:p w14:paraId="11D37AC9" w14:textId="09F45141" w:rsidR="00F67E9E" w:rsidRPr="008A0ECD" w:rsidRDefault="00F67E9E" w:rsidP="00F67E9E">
      <w:pPr>
        <w:pStyle w:val="AppendixText1"/>
        <w:keepNext w:val="0"/>
        <w:numPr>
          <w:ilvl w:val="0"/>
          <w:numId w:val="86"/>
        </w:numPr>
        <w:tabs>
          <w:tab w:val="clear" w:pos="720"/>
          <w:tab w:val="num" w:pos="900"/>
        </w:tabs>
        <w:rPr>
          <w:b w:val="0"/>
          <w:bCs/>
        </w:rPr>
      </w:pPr>
      <w:bookmarkStart w:id="3176" w:name="_Ref90907321"/>
      <w:r w:rsidRPr="008A0ECD">
        <w:rPr>
          <w:b w:val="0"/>
          <w:bCs/>
        </w:rPr>
        <w:t xml:space="preserve">The following amendments to the Addendum EU SCCs (for the purpose of Section </w:t>
      </w:r>
      <w:r w:rsidRPr="008A0ECD">
        <w:rPr>
          <w:b w:val="0"/>
          <w:bCs/>
        </w:rPr>
        <w:fldChar w:fldCharType="begin"/>
      </w:r>
      <w:r w:rsidRPr="008A0ECD">
        <w:rPr>
          <w:b w:val="0"/>
          <w:bCs/>
        </w:rPr>
        <w:instrText xml:space="preserve"> REF _Ref90906729 \r \h  \* MERGEFORMAT </w:instrText>
      </w:r>
      <w:r w:rsidRPr="008A0ECD">
        <w:rPr>
          <w:b w:val="0"/>
          <w:bCs/>
        </w:rPr>
      </w:r>
      <w:r w:rsidRPr="008A0ECD">
        <w:rPr>
          <w:b w:val="0"/>
          <w:bCs/>
        </w:rPr>
        <w:fldChar w:fldCharType="separate"/>
      </w:r>
      <w:r w:rsidR="00302D39">
        <w:rPr>
          <w:b w:val="0"/>
          <w:bCs/>
        </w:rPr>
        <w:t>12</w:t>
      </w:r>
      <w:r w:rsidRPr="008A0ECD">
        <w:rPr>
          <w:b w:val="0"/>
          <w:bCs/>
        </w:rPr>
        <w:fldChar w:fldCharType="end"/>
      </w:r>
      <w:r w:rsidRPr="008A0ECD">
        <w:rPr>
          <w:b w:val="0"/>
          <w:bCs/>
        </w:rPr>
        <w:t>) are made:</w:t>
      </w:r>
      <w:bookmarkEnd w:id="3175"/>
      <w:bookmarkEnd w:id="3176"/>
      <w:r w:rsidRPr="008A0ECD">
        <w:rPr>
          <w:b w:val="0"/>
          <w:bCs/>
        </w:rPr>
        <w:t xml:space="preserve"> </w:t>
      </w:r>
    </w:p>
    <w:p w14:paraId="791A2CA9" w14:textId="77777777" w:rsidR="00F67E9E" w:rsidRPr="00C368EE" w:rsidRDefault="00F67E9E" w:rsidP="00F67E9E">
      <w:pPr>
        <w:pStyle w:val="AppendixText4"/>
        <w:numPr>
          <w:ilvl w:val="3"/>
          <w:numId w:val="87"/>
        </w:numPr>
        <w:tabs>
          <w:tab w:val="clear" w:pos="2520"/>
          <w:tab w:val="num" w:pos="1800"/>
        </w:tabs>
        <w:ind w:left="1440"/>
      </w:pPr>
      <w:r w:rsidRPr="008A0ECD">
        <w:rPr>
          <w:rFonts w:cs="Arial"/>
        </w:rPr>
        <w:t>Refer</w:t>
      </w:r>
      <w:r w:rsidRPr="00C368EE">
        <w:t xml:space="preserve">ences to the </w:t>
      </w:r>
      <w:r>
        <w:t>“</w:t>
      </w:r>
      <w:r w:rsidRPr="00C368EE">
        <w:t>Clauses</w:t>
      </w:r>
      <w:r>
        <w:t>”</w:t>
      </w:r>
      <w:r w:rsidRPr="00C368EE">
        <w:t xml:space="preserve"> means this Addendum, incorporating the Addendum EU SCCs;</w:t>
      </w:r>
    </w:p>
    <w:p w14:paraId="7C303FB5" w14:textId="77777777" w:rsidR="00F67E9E" w:rsidRPr="00AE092F" w:rsidRDefault="00F67E9E" w:rsidP="00F67E9E">
      <w:pPr>
        <w:pStyle w:val="AppendixText4"/>
        <w:numPr>
          <w:ilvl w:val="3"/>
          <w:numId w:val="87"/>
        </w:numPr>
        <w:tabs>
          <w:tab w:val="clear" w:pos="2520"/>
          <w:tab w:val="num" w:pos="1800"/>
        </w:tabs>
        <w:ind w:left="1440"/>
        <w:rPr>
          <w:rFonts w:cs="Arial"/>
        </w:rPr>
      </w:pPr>
      <w:r w:rsidRPr="00C368EE">
        <w:t xml:space="preserve">In </w:t>
      </w:r>
      <w:r w:rsidRPr="00020216">
        <w:rPr>
          <w:rFonts w:cs="Arial"/>
        </w:rPr>
        <w:t>Clause</w:t>
      </w:r>
      <w:r w:rsidRPr="00AE092F">
        <w:rPr>
          <w:rFonts w:cs="Arial"/>
        </w:rPr>
        <w:t xml:space="preserve"> 2, delete the words:</w:t>
      </w:r>
    </w:p>
    <w:p w14:paraId="62090DBE" w14:textId="77777777" w:rsidR="00F67E9E" w:rsidRPr="00AE092F" w:rsidRDefault="00F67E9E" w:rsidP="00F67E9E">
      <w:pPr>
        <w:pStyle w:val="AppendixText3continued"/>
        <w:ind w:left="1440"/>
      </w:pPr>
      <w:r>
        <w:t>“</w:t>
      </w:r>
      <w:r w:rsidRPr="00AE092F">
        <w:t xml:space="preserve">and, with respect to data transfers from controllers to processors and/or </w:t>
      </w:r>
      <w:r w:rsidRPr="00C368EE">
        <w:t>processors</w:t>
      </w:r>
      <w:r w:rsidRPr="00AE092F">
        <w:t xml:space="preserve"> to processors, standard contractual clauses pursuant to Article 28(7) of Regulation (EU) 2016/679</w:t>
      </w:r>
      <w:r>
        <w:t>”</w:t>
      </w:r>
      <w:r w:rsidRPr="00AE092F">
        <w:t>;</w:t>
      </w:r>
    </w:p>
    <w:p w14:paraId="10613022" w14:textId="77777777" w:rsidR="00F67E9E" w:rsidRPr="00AE092F" w:rsidRDefault="00F67E9E" w:rsidP="00F67E9E">
      <w:pPr>
        <w:pStyle w:val="AppendixText4"/>
        <w:numPr>
          <w:ilvl w:val="3"/>
          <w:numId w:val="87"/>
        </w:numPr>
        <w:tabs>
          <w:tab w:val="clear" w:pos="2520"/>
          <w:tab w:val="num" w:pos="1800"/>
        </w:tabs>
        <w:ind w:left="1440"/>
        <w:rPr>
          <w:rFonts w:cs="Arial"/>
        </w:rPr>
      </w:pPr>
      <w:r w:rsidRPr="00C368EE">
        <w:t>Clause</w:t>
      </w:r>
      <w:r w:rsidRPr="00AE092F">
        <w:rPr>
          <w:rFonts w:cs="Arial"/>
        </w:rPr>
        <w:t xml:space="preserve"> 6 (Description of the transfer(s)) is replaced with:</w:t>
      </w:r>
    </w:p>
    <w:p w14:paraId="7B80305C" w14:textId="77777777" w:rsidR="00F67E9E" w:rsidRPr="00AE092F" w:rsidRDefault="00F67E9E" w:rsidP="00F67E9E">
      <w:pPr>
        <w:pStyle w:val="AppendixText3continued"/>
        <w:ind w:left="1440"/>
      </w:pPr>
      <w:r>
        <w:t>“</w:t>
      </w:r>
      <w:r w:rsidRPr="00AE092F">
        <w:t>The details of the transfers(s) and in particular the categories of personal data that are transferred and the purpose(s) for which they are transferred) are those specified in Annex I.B where UK Data Protection Laws apply to the data exporter</w:t>
      </w:r>
      <w:r>
        <w:t>’</w:t>
      </w:r>
      <w:r w:rsidRPr="00AE092F">
        <w:t>s processing when making that transfer.</w:t>
      </w:r>
      <w:r>
        <w:t>”</w:t>
      </w:r>
      <w:r w:rsidRPr="00AE092F">
        <w:t>;</w:t>
      </w:r>
    </w:p>
    <w:p w14:paraId="7FCC3979" w14:textId="77777777" w:rsidR="00F67E9E" w:rsidRPr="00AE092F" w:rsidRDefault="00F67E9E" w:rsidP="00F67E9E">
      <w:pPr>
        <w:pStyle w:val="AppendixText4"/>
        <w:numPr>
          <w:ilvl w:val="3"/>
          <w:numId w:val="87"/>
        </w:numPr>
        <w:tabs>
          <w:tab w:val="clear" w:pos="2520"/>
          <w:tab w:val="num" w:pos="1800"/>
        </w:tabs>
        <w:ind w:left="1440"/>
        <w:rPr>
          <w:rFonts w:cs="Arial"/>
        </w:rPr>
      </w:pPr>
      <w:r w:rsidRPr="00020216">
        <w:rPr>
          <w:rFonts w:cs="Arial"/>
        </w:rPr>
        <w:t>Clause</w:t>
      </w:r>
      <w:r w:rsidRPr="00AE092F">
        <w:rPr>
          <w:rFonts w:cs="Arial"/>
        </w:rPr>
        <w:t xml:space="preserve"> 8.7(i) of Module 1 is replaced with:</w:t>
      </w:r>
    </w:p>
    <w:p w14:paraId="58C5C121" w14:textId="77777777" w:rsidR="00F67E9E" w:rsidRPr="00AE092F" w:rsidRDefault="00F67E9E" w:rsidP="00F67E9E">
      <w:pPr>
        <w:pStyle w:val="AppendixText3continued"/>
        <w:ind w:left="1440"/>
        <w:rPr>
          <w:rFonts w:cs="Arial"/>
        </w:rPr>
      </w:pPr>
      <w:r>
        <w:rPr>
          <w:rFonts w:cs="Arial"/>
        </w:rPr>
        <w:t>“</w:t>
      </w:r>
      <w:r w:rsidRPr="00AE092F">
        <w:rPr>
          <w:rFonts w:cs="Arial"/>
        </w:rPr>
        <w:t xml:space="preserve">it is to a country benefitting from adequacy regulations pursuant to Section 17A of </w:t>
      </w:r>
      <w:r w:rsidRPr="00020216">
        <w:t>the</w:t>
      </w:r>
      <w:r w:rsidRPr="00AE092F">
        <w:rPr>
          <w:rFonts w:cs="Arial"/>
        </w:rPr>
        <w:t xml:space="preserve"> UK GDPR that covers the onward transfer</w:t>
      </w:r>
      <w:r>
        <w:rPr>
          <w:rFonts w:cs="Arial"/>
        </w:rPr>
        <w:t>”</w:t>
      </w:r>
      <w:r w:rsidRPr="00AE092F">
        <w:rPr>
          <w:rFonts w:cs="Arial"/>
        </w:rPr>
        <w:t>;</w:t>
      </w:r>
    </w:p>
    <w:p w14:paraId="358EF7AA" w14:textId="77777777" w:rsidR="00F67E9E" w:rsidRPr="00AE092F" w:rsidRDefault="00F67E9E" w:rsidP="00F67E9E">
      <w:pPr>
        <w:pStyle w:val="AppendixText4"/>
        <w:numPr>
          <w:ilvl w:val="3"/>
          <w:numId w:val="87"/>
        </w:numPr>
        <w:tabs>
          <w:tab w:val="clear" w:pos="2520"/>
          <w:tab w:val="num" w:pos="1800"/>
        </w:tabs>
        <w:ind w:left="1440"/>
        <w:rPr>
          <w:rFonts w:cs="Arial"/>
        </w:rPr>
      </w:pPr>
      <w:r w:rsidRPr="00C368EE">
        <w:t>Clause</w:t>
      </w:r>
      <w:r w:rsidRPr="00AE092F">
        <w:rPr>
          <w:rFonts w:cs="Arial"/>
        </w:rPr>
        <w:t xml:space="preserve"> 8.8(i) of Modules 2 and 3 is replaced with:</w:t>
      </w:r>
    </w:p>
    <w:p w14:paraId="48C00515" w14:textId="77777777" w:rsidR="00F67E9E" w:rsidRPr="00AE092F" w:rsidRDefault="00F67E9E" w:rsidP="00F67E9E">
      <w:pPr>
        <w:pStyle w:val="AppendixText3continued"/>
        <w:ind w:left="1440"/>
        <w:rPr>
          <w:rFonts w:cs="Arial"/>
        </w:rPr>
      </w:pPr>
      <w:r>
        <w:rPr>
          <w:rFonts w:cs="Arial"/>
        </w:rPr>
        <w:t>“</w:t>
      </w:r>
      <w:r w:rsidRPr="00AE092F">
        <w:rPr>
          <w:rFonts w:cs="Arial"/>
        </w:rPr>
        <w:t xml:space="preserve">the </w:t>
      </w:r>
      <w:r w:rsidRPr="009211A8">
        <w:t>onward</w:t>
      </w:r>
      <w:r w:rsidRPr="00AE092F">
        <w:rPr>
          <w:rFonts w:cs="Arial"/>
        </w:rPr>
        <w:t xml:space="preserve"> transfer is to a country benefitting from adequacy regulations </w:t>
      </w:r>
      <w:r w:rsidRPr="00020216">
        <w:t>pursuant</w:t>
      </w:r>
      <w:r w:rsidRPr="00AE092F">
        <w:rPr>
          <w:rFonts w:cs="Arial"/>
        </w:rPr>
        <w:t xml:space="preserve"> to </w:t>
      </w:r>
      <w:r w:rsidRPr="00C368EE">
        <w:t>Section</w:t>
      </w:r>
      <w:r w:rsidRPr="00AE092F">
        <w:rPr>
          <w:rFonts w:cs="Arial"/>
        </w:rPr>
        <w:t xml:space="preserve"> 17A of the UK GDPR that covers the onward transfer;</w:t>
      </w:r>
      <w:r>
        <w:rPr>
          <w:rFonts w:cs="Arial"/>
        </w:rPr>
        <w:t>”</w:t>
      </w:r>
    </w:p>
    <w:p w14:paraId="098FC5AF" w14:textId="77777777" w:rsidR="00F67E9E" w:rsidRPr="00AE092F" w:rsidRDefault="00F67E9E" w:rsidP="00F67E9E">
      <w:pPr>
        <w:pStyle w:val="AppendixText4"/>
        <w:numPr>
          <w:ilvl w:val="3"/>
          <w:numId w:val="87"/>
        </w:numPr>
        <w:tabs>
          <w:tab w:val="clear" w:pos="2520"/>
          <w:tab w:val="num" w:pos="1800"/>
        </w:tabs>
        <w:ind w:left="1440"/>
        <w:rPr>
          <w:rFonts w:cs="Arial"/>
        </w:rPr>
      </w:pPr>
      <w:r w:rsidRPr="00AE092F">
        <w:rPr>
          <w:rFonts w:cs="Arial"/>
        </w:rPr>
        <w:t xml:space="preserve">References to </w:t>
      </w:r>
      <w:r>
        <w:rPr>
          <w:rFonts w:cs="Arial"/>
        </w:rPr>
        <w:t>“</w:t>
      </w:r>
      <w:r w:rsidRPr="00AE092F">
        <w:rPr>
          <w:rFonts w:cs="Arial"/>
        </w:rPr>
        <w:t>Regulation (EU) 2016/679</w:t>
      </w:r>
      <w:r>
        <w:rPr>
          <w:rFonts w:cs="Arial"/>
        </w:rPr>
        <w:t>”</w:t>
      </w:r>
      <w:r w:rsidRPr="00AE092F">
        <w:rPr>
          <w:rFonts w:cs="Arial"/>
        </w:rPr>
        <w:t xml:space="preserve">, </w:t>
      </w:r>
      <w:r>
        <w:rPr>
          <w:rFonts w:cs="Arial"/>
        </w:rPr>
        <w:t>“</w:t>
      </w:r>
      <w:r w:rsidRPr="00AE092F">
        <w:rPr>
          <w:rFonts w:cs="Arial"/>
        </w:rPr>
        <w:t xml:space="preserve">Regulation (EU) 2016/679 of the European </w:t>
      </w:r>
      <w:r w:rsidRPr="00C368EE">
        <w:t>Parliament</w:t>
      </w:r>
      <w:r w:rsidRPr="00AE092F">
        <w:rPr>
          <w:rFonts w:cs="Arial"/>
        </w:rPr>
        <w:t xml:space="preserve"> and of the Council of 27 April 2016 on the protection of natural persons with regard to the processing of personal data and on the free movement of such data (General Data Protection Regulation)</w:t>
      </w:r>
      <w:r>
        <w:rPr>
          <w:rFonts w:cs="Arial"/>
        </w:rPr>
        <w:t>”</w:t>
      </w:r>
      <w:r w:rsidRPr="00AE092F">
        <w:rPr>
          <w:rFonts w:cs="Arial"/>
        </w:rPr>
        <w:t xml:space="preserve"> and </w:t>
      </w:r>
      <w:r>
        <w:rPr>
          <w:rFonts w:cs="Arial"/>
        </w:rPr>
        <w:t>“</w:t>
      </w:r>
      <w:r w:rsidRPr="00AE092F">
        <w:rPr>
          <w:rFonts w:cs="Arial"/>
        </w:rPr>
        <w:t>that Regulation</w:t>
      </w:r>
      <w:r>
        <w:rPr>
          <w:rFonts w:cs="Arial"/>
        </w:rPr>
        <w:t>”</w:t>
      </w:r>
      <w:r w:rsidRPr="00AE092F">
        <w:rPr>
          <w:rFonts w:cs="Arial"/>
        </w:rPr>
        <w:t xml:space="preserve"> are all replaced by </w:t>
      </w:r>
      <w:r>
        <w:rPr>
          <w:rFonts w:cs="Arial"/>
        </w:rPr>
        <w:t>“</w:t>
      </w:r>
      <w:r w:rsidRPr="00AE092F">
        <w:rPr>
          <w:rFonts w:cs="Arial"/>
        </w:rPr>
        <w:t>UK Data Protection Laws</w:t>
      </w:r>
      <w:r>
        <w:rPr>
          <w:rFonts w:cs="Arial"/>
        </w:rPr>
        <w:t>”</w:t>
      </w:r>
      <w:r w:rsidRPr="00AE092F">
        <w:rPr>
          <w:rFonts w:cs="Arial"/>
        </w:rPr>
        <w:t xml:space="preserve">. References to specific Article(s) of </w:t>
      </w:r>
      <w:r>
        <w:rPr>
          <w:rFonts w:cs="Arial"/>
        </w:rPr>
        <w:t>“</w:t>
      </w:r>
      <w:r w:rsidRPr="00AE092F">
        <w:rPr>
          <w:rFonts w:cs="Arial"/>
        </w:rPr>
        <w:t>Regulation (EU) 2016/679</w:t>
      </w:r>
      <w:r>
        <w:rPr>
          <w:rFonts w:cs="Arial"/>
        </w:rPr>
        <w:t>”</w:t>
      </w:r>
      <w:r w:rsidRPr="00AE092F">
        <w:rPr>
          <w:rFonts w:cs="Arial"/>
        </w:rPr>
        <w:t xml:space="preserve"> are replaced with the equivalent Article or Section of UK Data Protection Laws;</w:t>
      </w:r>
    </w:p>
    <w:p w14:paraId="6B9F6FE3" w14:textId="77777777" w:rsidR="00F67E9E" w:rsidRPr="00C368EE" w:rsidRDefault="00F67E9E" w:rsidP="00F67E9E">
      <w:pPr>
        <w:pStyle w:val="AppendixText4"/>
        <w:numPr>
          <w:ilvl w:val="3"/>
          <w:numId w:val="87"/>
        </w:numPr>
        <w:tabs>
          <w:tab w:val="clear" w:pos="2520"/>
          <w:tab w:val="num" w:pos="1800"/>
        </w:tabs>
        <w:ind w:left="1440"/>
      </w:pPr>
      <w:r w:rsidRPr="00AE092F">
        <w:rPr>
          <w:rFonts w:cs="Arial"/>
        </w:rPr>
        <w:t>Ref</w:t>
      </w:r>
      <w:r w:rsidRPr="00C368EE">
        <w:t>erences to Regulation (EU) 2018/1725 are removed;</w:t>
      </w:r>
    </w:p>
    <w:p w14:paraId="5E9442D6" w14:textId="77777777" w:rsidR="00F67E9E" w:rsidRPr="00020216" w:rsidRDefault="00F67E9E" w:rsidP="00F67E9E">
      <w:pPr>
        <w:pStyle w:val="AppendixText4"/>
        <w:numPr>
          <w:ilvl w:val="3"/>
          <w:numId w:val="87"/>
        </w:numPr>
        <w:tabs>
          <w:tab w:val="clear" w:pos="2520"/>
          <w:tab w:val="num" w:pos="1800"/>
        </w:tabs>
        <w:ind w:left="1440"/>
        <w:rPr>
          <w:rFonts w:cs="Arial"/>
        </w:rPr>
      </w:pPr>
      <w:r w:rsidRPr="00020216">
        <w:rPr>
          <w:rFonts w:cs="Arial"/>
        </w:rPr>
        <w:t>References to the “European Union”, “Union”, “EU”, “EU Member State”, “Member State” and “EU or Member State” are all replaced with the “UK”;</w:t>
      </w:r>
    </w:p>
    <w:p w14:paraId="78D4F0D1" w14:textId="77777777" w:rsidR="00F67E9E" w:rsidRPr="00020216" w:rsidRDefault="00F67E9E" w:rsidP="00F67E9E">
      <w:pPr>
        <w:pStyle w:val="AppendixText4"/>
        <w:numPr>
          <w:ilvl w:val="3"/>
          <w:numId w:val="87"/>
        </w:numPr>
        <w:tabs>
          <w:tab w:val="clear" w:pos="2520"/>
          <w:tab w:val="num" w:pos="1800"/>
        </w:tabs>
        <w:ind w:left="1440"/>
        <w:rPr>
          <w:rFonts w:cs="Arial"/>
        </w:rPr>
      </w:pPr>
      <w:r w:rsidRPr="00020216">
        <w:rPr>
          <w:rFonts w:cs="Arial"/>
        </w:rPr>
        <w:t>The reference to “Clause 12(c)(i)” at Clause 10(b)(i) of Module one, is replaced with “Clause 11(c)(i)”;</w:t>
      </w:r>
    </w:p>
    <w:p w14:paraId="1C278368" w14:textId="77777777" w:rsidR="00F67E9E" w:rsidRPr="00020216" w:rsidRDefault="00F67E9E" w:rsidP="00F67E9E">
      <w:pPr>
        <w:pStyle w:val="AppendixText4"/>
        <w:numPr>
          <w:ilvl w:val="3"/>
          <w:numId w:val="87"/>
        </w:numPr>
        <w:tabs>
          <w:tab w:val="clear" w:pos="2520"/>
          <w:tab w:val="num" w:pos="1800"/>
        </w:tabs>
        <w:ind w:left="1440"/>
        <w:rPr>
          <w:rFonts w:cs="Arial"/>
        </w:rPr>
      </w:pPr>
      <w:r w:rsidRPr="00020216">
        <w:rPr>
          <w:rFonts w:cs="Arial"/>
        </w:rPr>
        <w:t xml:space="preserve">Clause 13(a) and Part C of Annex I are not used; </w:t>
      </w:r>
    </w:p>
    <w:p w14:paraId="32E8DB76" w14:textId="77777777" w:rsidR="00F67E9E" w:rsidRPr="00020216" w:rsidRDefault="00F67E9E" w:rsidP="00F67E9E">
      <w:pPr>
        <w:pStyle w:val="AppendixText4"/>
        <w:numPr>
          <w:ilvl w:val="3"/>
          <w:numId w:val="87"/>
        </w:numPr>
        <w:tabs>
          <w:tab w:val="clear" w:pos="2520"/>
          <w:tab w:val="num" w:pos="1800"/>
        </w:tabs>
        <w:ind w:left="1440"/>
        <w:rPr>
          <w:rFonts w:cs="Arial"/>
        </w:rPr>
      </w:pPr>
      <w:r w:rsidRPr="00020216">
        <w:rPr>
          <w:rFonts w:cs="Arial"/>
        </w:rPr>
        <w:t>The “competent supervisory authority” and “supervisory authority” are both replaced with the “Information Commissioner”;</w:t>
      </w:r>
    </w:p>
    <w:p w14:paraId="2A381DED" w14:textId="77777777" w:rsidR="00F67E9E" w:rsidRPr="00AE092F" w:rsidRDefault="00F67E9E" w:rsidP="00F67E9E">
      <w:pPr>
        <w:pStyle w:val="AppendixText4"/>
        <w:numPr>
          <w:ilvl w:val="3"/>
          <w:numId w:val="87"/>
        </w:numPr>
        <w:tabs>
          <w:tab w:val="clear" w:pos="2520"/>
          <w:tab w:val="num" w:pos="1800"/>
        </w:tabs>
        <w:ind w:left="1440"/>
        <w:rPr>
          <w:rFonts w:cs="Arial"/>
        </w:rPr>
      </w:pPr>
      <w:r w:rsidRPr="00020216">
        <w:rPr>
          <w:rFonts w:cs="Arial"/>
        </w:rPr>
        <w:t>In Cl</w:t>
      </w:r>
      <w:r w:rsidRPr="00AE092F">
        <w:rPr>
          <w:rFonts w:cs="Arial"/>
        </w:rPr>
        <w:t>ause 16(e), subsection (i) is replaced with:</w:t>
      </w:r>
    </w:p>
    <w:p w14:paraId="45E0E1B1" w14:textId="77777777" w:rsidR="00F67E9E" w:rsidRPr="00AE092F" w:rsidRDefault="00F67E9E" w:rsidP="00F67E9E">
      <w:pPr>
        <w:pStyle w:val="AppendixText3continued"/>
        <w:ind w:left="1440"/>
        <w:rPr>
          <w:rFonts w:cs="Arial"/>
        </w:rPr>
      </w:pPr>
      <w:r>
        <w:rPr>
          <w:rFonts w:cs="Arial"/>
        </w:rPr>
        <w:t>“</w:t>
      </w:r>
      <w:r w:rsidRPr="00AE092F">
        <w:rPr>
          <w:rFonts w:cs="Arial"/>
        </w:rPr>
        <w:t xml:space="preserve">the </w:t>
      </w:r>
      <w:r w:rsidRPr="00020216">
        <w:t>Secretary</w:t>
      </w:r>
      <w:r w:rsidRPr="00AE092F">
        <w:rPr>
          <w:rFonts w:cs="Arial"/>
        </w:rPr>
        <w:t xml:space="preserve"> of State makes regulations pursuant to Section 17A of the Data Protection </w:t>
      </w:r>
      <w:r w:rsidRPr="009211A8">
        <w:t>Act</w:t>
      </w:r>
      <w:r w:rsidRPr="00AE092F">
        <w:rPr>
          <w:rFonts w:cs="Arial"/>
        </w:rPr>
        <w:t xml:space="preserve"> 2018 that cover the transfer of personal data to which these clauses apply;</w:t>
      </w:r>
      <w:r>
        <w:rPr>
          <w:rFonts w:cs="Arial"/>
        </w:rPr>
        <w:t>”</w:t>
      </w:r>
      <w:r w:rsidRPr="00AE092F">
        <w:rPr>
          <w:rFonts w:cs="Arial"/>
        </w:rPr>
        <w:t>;</w:t>
      </w:r>
    </w:p>
    <w:p w14:paraId="5F3F1FE9" w14:textId="77777777" w:rsidR="00F67E9E" w:rsidRPr="00AE092F" w:rsidRDefault="00F67E9E" w:rsidP="00F67E9E">
      <w:pPr>
        <w:pStyle w:val="AppendixText4"/>
        <w:numPr>
          <w:ilvl w:val="3"/>
          <w:numId w:val="87"/>
        </w:numPr>
        <w:tabs>
          <w:tab w:val="clear" w:pos="2520"/>
          <w:tab w:val="num" w:pos="1800"/>
        </w:tabs>
        <w:ind w:left="1440"/>
        <w:rPr>
          <w:rFonts w:cs="Arial"/>
        </w:rPr>
      </w:pPr>
      <w:r w:rsidRPr="00AE092F">
        <w:rPr>
          <w:rFonts w:cs="Arial"/>
        </w:rPr>
        <w:t>Clause 17 is replaced with:</w:t>
      </w:r>
    </w:p>
    <w:p w14:paraId="13B81AF8" w14:textId="77777777" w:rsidR="00F67E9E" w:rsidRPr="00AE092F" w:rsidRDefault="00F67E9E" w:rsidP="00F67E9E">
      <w:pPr>
        <w:pStyle w:val="AppendixText3continued"/>
        <w:ind w:left="1440"/>
        <w:rPr>
          <w:rFonts w:cs="Arial"/>
        </w:rPr>
      </w:pPr>
      <w:r>
        <w:rPr>
          <w:rFonts w:cs="Arial"/>
        </w:rPr>
        <w:t>“</w:t>
      </w:r>
      <w:r w:rsidRPr="00AE092F">
        <w:rPr>
          <w:rFonts w:cs="Arial"/>
        </w:rPr>
        <w:t xml:space="preserve">These </w:t>
      </w:r>
      <w:r w:rsidRPr="00C368EE">
        <w:t>Clauses</w:t>
      </w:r>
      <w:r w:rsidRPr="00AE092F">
        <w:rPr>
          <w:rFonts w:cs="Arial"/>
        </w:rPr>
        <w:t xml:space="preserve"> are governed by the laws of England and Wales.</w:t>
      </w:r>
      <w:r>
        <w:rPr>
          <w:rFonts w:cs="Arial"/>
        </w:rPr>
        <w:t>”</w:t>
      </w:r>
      <w:r w:rsidRPr="00AE092F">
        <w:rPr>
          <w:rFonts w:cs="Arial"/>
        </w:rPr>
        <w:t>;</w:t>
      </w:r>
    </w:p>
    <w:p w14:paraId="18EF5019" w14:textId="77777777" w:rsidR="00F67E9E" w:rsidRPr="00AE092F" w:rsidRDefault="00F67E9E" w:rsidP="00F67E9E">
      <w:pPr>
        <w:pStyle w:val="AppendixText4"/>
        <w:numPr>
          <w:ilvl w:val="3"/>
          <w:numId w:val="87"/>
        </w:numPr>
        <w:tabs>
          <w:tab w:val="clear" w:pos="2520"/>
          <w:tab w:val="num" w:pos="1800"/>
        </w:tabs>
        <w:ind w:left="1440"/>
        <w:rPr>
          <w:rFonts w:cs="Arial"/>
        </w:rPr>
      </w:pPr>
      <w:r w:rsidRPr="00C368EE">
        <w:t>Clause</w:t>
      </w:r>
      <w:r w:rsidRPr="00AE092F">
        <w:rPr>
          <w:rFonts w:cs="Arial"/>
        </w:rPr>
        <w:t xml:space="preserve"> 18 is replaced with:</w:t>
      </w:r>
    </w:p>
    <w:p w14:paraId="2FE084CF" w14:textId="77777777" w:rsidR="00F67E9E" w:rsidRPr="00AE092F" w:rsidRDefault="00F67E9E" w:rsidP="00F67E9E">
      <w:pPr>
        <w:pStyle w:val="AppendixText3continued"/>
        <w:ind w:left="1440"/>
        <w:rPr>
          <w:rFonts w:cs="Arial"/>
        </w:rPr>
      </w:pPr>
      <w:bookmarkStart w:id="3177" w:name="_Hlk92820147"/>
      <w:r>
        <w:rPr>
          <w:rFonts w:cs="Arial"/>
        </w:rPr>
        <w:t>“</w:t>
      </w:r>
      <w:r w:rsidRPr="00AE092F">
        <w:rPr>
          <w:rFonts w:cs="Arial"/>
        </w:rPr>
        <w:t>Any dispute arising from these Clauses shall be resolved by the courts of England and Wales. A data subject may also bring legal proceedings against the data exporter and/or data importer before the courts of any country in the UK. The Parties agree to submit themselves to the jurisdiction of such courts.</w:t>
      </w:r>
      <w:r>
        <w:rPr>
          <w:rFonts w:cs="Arial"/>
        </w:rPr>
        <w:t>”</w:t>
      </w:r>
      <w:r w:rsidRPr="00AE092F">
        <w:rPr>
          <w:rFonts w:cs="Arial"/>
        </w:rPr>
        <w:t>; and</w:t>
      </w:r>
    </w:p>
    <w:bookmarkEnd w:id="3177"/>
    <w:p w14:paraId="5353B5BE" w14:textId="77777777" w:rsidR="00F67E9E" w:rsidRPr="00AE092F" w:rsidRDefault="00F67E9E" w:rsidP="00F67E9E">
      <w:pPr>
        <w:pStyle w:val="AppendixText4"/>
        <w:numPr>
          <w:ilvl w:val="3"/>
          <w:numId w:val="87"/>
        </w:numPr>
        <w:tabs>
          <w:tab w:val="clear" w:pos="2520"/>
          <w:tab w:val="num" w:pos="1800"/>
        </w:tabs>
        <w:ind w:left="1440"/>
        <w:rPr>
          <w:rFonts w:cs="Arial"/>
        </w:rPr>
      </w:pPr>
      <w:r w:rsidRPr="00AE092F">
        <w:rPr>
          <w:rFonts w:cs="Arial"/>
        </w:rPr>
        <w:t xml:space="preserve">The </w:t>
      </w:r>
      <w:r w:rsidRPr="00C368EE">
        <w:t>footnotes</w:t>
      </w:r>
      <w:r w:rsidRPr="00AE092F">
        <w:rPr>
          <w:rFonts w:cs="Arial"/>
        </w:rPr>
        <w:t xml:space="preserve"> to the Approved EU SCCs do not form part of the Addendum, except for footnotes 8, 9, 10 and 11. </w:t>
      </w:r>
    </w:p>
    <w:p w14:paraId="4D700ADF" w14:textId="77777777" w:rsidR="00F67E9E" w:rsidRPr="00F41965" w:rsidRDefault="00F67E9E" w:rsidP="00F67E9E">
      <w:pPr>
        <w:keepNext/>
        <w:keepLines/>
        <w:spacing w:before="100" w:after="100"/>
        <w:rPr>
          <w:b/>
          <w:bCs/>
        </w:rPr>
      </w:pPr>
      <w:r w:rsidRPr="00F41965">
        <w:rPr>
          <w:b/>
          <w:bCs/>
        </w:rPr>
        <w:t xml:space="preserve">Amendments to this Addendum </w:t>
      </w:r>
    </w:p>
    <w:p w14:paraId="5E5DE679" w14:textId="77777777" w:rsidR="00F67E9E" w:rsidRPr="008A0ECD" w:rsidRDefault="00F67E9E" w:rsidP="00F67E9E">
      <w:pPr>
        <w:pStyle w:val="AppendixText1"/>
        <w:keepNext w:val="0"/>
        <w:rPr>
          <w:b w:val="0"/>
          <w:bCs/>
        </w:rPr>
      </w:pPr>
      <w:bookmarkStart w:id="3178" w:name="_Ref90906380"/>
      <w:r w:rsidRPr="008A0ECD">
        <w:rPr>
          <w:b w:val="0"/>
          <w:bCs/>
        </w:rPr>
        <w:t>The Parties may agree to change Clauses 17 and/or 18 of the Addendum EU SCCs to refer to the laws and/or courts of Scotland or Northern Ireland.</w:t>
      </w:r>
      <w:bookmarkEnd w:id="3178"/>
    </w:p>
    <w:p w14:paraId="535FAB83" w14:textId="7CE3A6C8" w:rsidR="00F67E9E" w:rsidRPr="008A0ECD" w:rsidRDefault="00F67E9E" w:rsidP="00F67E9E">
      <w:pPr>
        <w:pStyle w:val="AppendixText1"/>
        <w:keepNext w:val="0"/>
        <w:rPr>
          <w:b w:val="0"/>
          <w:bCs/>
        </w:rPr>
      </w:pPr>
      <w:r w:rsidRPr="008A0ECD">
        <w:rPr>
          <w:b w:val="0"/>
          <w:bCs/>
        </w:rPr>
        <w:t>If the Parties wish to change the format of the information included in Part </w:t>
      </w:r>
      <w:r w:rsidRPr="008A0ECD">
        <w:rPr>
          <w:b w:val="0"/>
          <w:bCs/>
        </w:rPr>
        <w:fldChar w:fldCharType="begin"/>
      </w:r>
      <w:r w:rsidRPr="008A0ECD">
        <w:rPr>
          <w:b w:val="0"/>
          <w:bCs/>
        </w:rPr>
        <w:instrText xml:space="preserve"> REF Sch31PartBPart1 \h  \* MERGEFORMAT </w:instrText>
      </w:r>
      <w:r w:rsidRPr="008A0ECD">
        <w:rPr>
          <w:b w:val="0"/>
          <w:bCs/>
        </w:rPr>
      </w:r>
      <w:r w:rsidRPr="008A0ECD">
        <w:rPr>
          <w:b w:val="0"/>
          <w:bCs/>
        </w:rPr>
        <w:fldChar w:fldCharType="separate"/>
      </w:r>
      <w:r w:rsidR="00302D39" w:rsidRPr="00302D39">
        <w:rPr>
          <w:b w:val="0"/>
          <w:bCs/>
        </w:rPr>
        <w:t>1</w:t>
      </w:r>
      <w:r w:rsidRPr="008A0ECD">
        <w:rPr>
          <w:b w:val="0"/>
          <w:bCs/>
        </w:rPr>
        <w:fldChar w:fldCharType="end"/>
      </w:r>
      <w:r w:rsidRPr="008A0ECD">
        <w:rPr>
          <w:b w:val="0"/>
          <w:bCs/>
        </w:rPr>
        <w:t>: Tables of the Approved Addendum, they may do so by agreeing to the change in writing, provided that the change does not reduce the Appropriate Safeguards.</w:t>
      </w:r>
    </w:p>
    <w:p w14:paraId="1843AE96" w14:textId="77777777" w:rsidR="00F67E9E" w:rsidRPr="008A0ECD" w:rsidRDefault="00F67E9E" w:rsidP="00F67E9E">
      <w:pPr>
        <w:pStyle w:val="AppendixText1"/>
        <w:rPr>
          <w:b w:val="0"/>
          <w:bCs/>
        </w:rPr>
      </w:pPr>
      <w:bookmarkStart w:id="3179" w:name="_Ref90907400"/>
      <w:r w:rsidRPr="008A0ECD">
        <w:rPr>
          <w:b w:val="0"/>
          <w:bCs/>
        </w:rPr>
        <w:t>From time to time, the ICO may issue a revised Approved Addendum which:</w:t>
      </w:r>
      <w:bookmarkEnd w:id="3179"/>
      <w:r w:rsidRPr="008A0ECD">
        <w:rPr>
          <w:b w:val="0"/>
          <w:bCs/>
        </w:rPr>
        <w:t xml:space="preserve"> </w:t>
      </w:r>
    </w:p>
    <w:p w14:paraId="778D7CD7" w14:textId="77777777" w:rsidR="00F67E9E" w:rsidRPr="00020216" w:rsidRDefault="00F67E9E" w:rsidP="00F67E9E">
      <w:pPr>
        <w:pStyle w:val="AppendixText4"/>
        <w:numPr>
          <w:ilvl w:val="3"/>
          <w:numId w:val="87"/>
        </w:numPr>
        <w:tabs>
          <w:tab w:val="clear" w:pos="2520"/>
          <w:tab w:val="num" w:pos="1800"/>
        </w:tabs>
        <w:ind w:left="1440"/>
        <w:rPr>
          <w:rFonts w:cs="Arial"/>
        </w:rPr>
      </w:pPr>
      <w:r w:rsidRPr="00020216">
        <w:rPr>
          <w:rFonts w:cs="Arial"/>
        </w:rPr>
        <w:t>makes reasonable and proportionate changes to the Approved Addendum, including correcting errors in the Approved Addendum; and/or</w:t>
      </w:r>
    </w:p>
    <w:p w14:paraId="09FB47D5" w14:textId="77777777" w:rsidR="00F67E9E" w:rsidRPr="00020216" w:rsidRDefault="00F67E9E" w:rsidP="00F67E9E">
      <w:pPr>
        <w:pStyle w:val="AppendixText4"/>
        <w:numPr>
          <w:ilvl w:val="3"/>
          <w:numId w:val="87"/>
        </w:numPr>
        <w:tabs>
          <w:tab w:val="clear" w:pos="2520"/>
          <w:tab w:val="num" w:pos="1800"/>
        </w:tabs>
        <w:ind w:left="1440"/>
        <w:rPr>
          <w:rFonts w:cs="Arial"/>
        </w:rPr>
      </w:pPr>
      <w:r w:rsidRPr="00020216">
        <w:rPr>
          <w:rFonts w:cs="Arial"/>
        </w:rPr>
        <w:t>reflects changes to UK Data Protection Laws;</w:t>
      </w:r>
    </w:p>
    <w:p w14:paraId="07FF7672" w14:textId="77777777" w:rsidR="00F67E9E" w:rsidRPr="00AE092F" w:rsidRDefault="00F67E9E" w:rsidP="00F67E9E">
      <w:pPr>
        <w:pStyle w:val="AppendixText2continued"/>
      </w:pPr>
      <w:r w:rsidRPr="00AE092F">
        <w:t xml:space="preserve">The revised Approved Addendum will specify the start date from which the changes to the Approved Addendum are effective and whether the Parties need to review this Addendum including the </w:t>
      </w:r>
      <w:r w:rsidRPr="009211A8">
        <w:t>Appendix</w:t>
      </w:r>
      <w:r w:rsidRPr="00AE092F">
        <w:t xml:space="preserve"> Information. This Addendum is automatically amended as set out in the revised Approved Addendum from the start date specified. </w:t>
      </w:r>
    </w:p>
    <w:p w14:paraId="6E6FB280" w14:textId="496CDBF6" w:rsidR="00F67E9E" w:rsidRPr="008A0ECD" w:rsidRDefault="00F67E9E" w:rsidP="00F67E9E">
      <w:pPr>
        <w:pStyle w:val="AppendixText1"/>
        <w:keepNext w:val="0"/>
        <w:rPr>
          <w:b w:val="0"/>
          <w:bCs/>
        </w:rPr>
      </w:pPr>
      <w:bookmarkStart w:id="3180" w:name="_Ref93329888"/>
      <w:bookmarkStart w:id="3181" w:name="_Ref92725699"/>
      <w:r w:rsidRPr="008A0ECD">
        <w:rPr>
          <w:b w:val="0"/>
          <w:bCs/>
        </w:rPr>
        <w:t xml:space="preserve">If the ICO issues a revised Approved Addendum under Section </w:t>
      </w:r>
      <w:r w:rsidRPr="008A0ECD">
        <w:rPr>
          <w:b w:val="0"/>
          <w:bCs/>
        </w:rPr>
        <w:fldChar w:fldCharType="begin"/>
      </w:r>
      <w:r w:rsidRPr="008A0ECD">
        <w:rPr>
          <w:b w:val="0"/>
          <w:bCs/>
        </w:rPr>
        <w:instrText xml:space="preserve"> REF _Ref90907400 \r \h  \* MERGEFORMAT </w:instrText>
      </w:r>
      <w:r w:rsidRPr="008A0ECD">
        <w:rPr>
          <w:b w:val="0"/>
          <w:bCs/>
        </w:rPr>
      </w:r>
      <w:r w:rsidRPr="008A0ECD">
        <w:rPr>
          <w:b w:val="0"/>
          <w:bCs/>
        </w:rPr>
        <w:fldChar w:fldCharType="separate"/>
      </w:r>
      <w:r w:rsidR="00302D39">
        <w:rPr>
          <w:b w:val="0"/>
          <w:bCs/>
        </w:rPr>
        <w:t>18</w:t>
      </w:r>
      <w:r w:rsidRPr="008A0ECD">
        <w:rPr>
          <w:b w:val="0"/>
          <w:bCs/>
        </w:rPr>
        <w:fldChar w:fldCharType="end"/>
      </w:r>
      <w:r w:rsidRPr="008A0ECD">
        <w:rPr>
          <w:b w:val="0"/>
          <w:bCs/>
        </w:rPr>
        <w:t>, if any Party selected in Table 4 “Ending the Addendum when the Approved Addendum changes”, will as a direct result of the changes in the Approved Addendum have a substantial, disproportionate and demonstrable increase in:</w:t>
      </w:r>
      <w:bookmarkEnd w:id="3180"/>
      <w:r w:rsidRPr="008A0ECD">
        <w:rPr>
          <w:b w:val="0"/>
          <w:bCs/>
        </w:rPr>
        <w:t xml:space="preserve"> </w:t>
      </w:r>
    </w:p>
    <w:p w14:paraId="4E1FD674" w14:textId="77777777" w:rsidR="00F67E9E" w:rsidRPr="009211A8" w:rsidRDefault="00F67E9E" w:rsidP="00F67E9E">
      <w:pPr>
        <w:pStyle w:val="AppendixText4"/>
        <w:numPr>
          <w:ilvl w:val="3"/>
          <w:numId w:val="87"/>
        </w:numPr>
        <w:tabs>
          <w:tab w:val="clear" w:pos="2520"/>
          <w:tab w:val="num" w:pos="1800"/>
        </w:tabs>
        <w:ind w:left="1440"/>
      </w:pPr>
      <w:r w:rsidRPr="009211A8">
        <w:t xml:space="preserve">its direct costs of performing its obligations under the Addendum; and/or </w:t>
      </w:r>
    </w:p>
    <w:p w14:paraId="36730705" w14:textId="77777777" w:rsidR="00F67E9E" w:rsidRPr="009211A8" w:rsidRDefault="00F67E9E" w:rsidP="00F67E9E">
      <w:pPr>
        <w:pStyle w:val="AppendixText4"/>
        <w:numPr>
          <w:ilvl w:val="3"/>
          <w:numId w:val="87"/>
        </w:numPr>
        <w:tabs>
          <w:tab w:val="clear" w:pos="2520"/>
          <w:tab w:val="num" w:pos="1800"/>
        </w:tabs>
        <w:ind w:left="1440"/>
      </w:pPr>
      <w:r w:rsidRPr="009211A8">
        <w:t xml:space="preserve">its risk under the Addendum, </w:t>
      </w:r>
    </w:p>
    <w:p w14:paraId="75E10D5A" w14:textId="77777777" w:rsidR="00F67E9E" w:rsidRPr="00AE092F" w:rsidRDefault="00F67E9E" w:rsidP="00F67E9E">
      <w:pPr>
        <w:pStyle w:val="AppendixText2continued"/>
        <w:rPr>
          <w:rFonts w:cs="Arial"/>
          <w:szCs w:val="24"/>
        </w:rPr>
      </w:pPr>
      <w:r w:rsidRPr="00AE092F">
        <w:rPr>
          <w:rFonts w:cs="Arial"/>
          <w:szCs w:val="24"/>
        </w:rPr>
        <w:t xml:space="preserve">and in either case it has first taken reasonable steps to reduce those costs or risks so that it is not substantial and disproportionate, then that Party may end this Addendum at the end of a </w:t>
      </w:r>
      <w:r w:rsidRPr="009211A8">
        <w:t>reasonable</w:t>
      </w:r>
      <w:r w:rsidRPr="00AE092F">
        <w:rPr>
          <w:rFonts w:cs="Arial"/>
          <w:szCs w:val="24"/>
        </w:rPr>
        <w:t xml:space="preserve"> notice period, by providing written notice for that period to the other Party before the start date of the revised Approved Addendum.</w:t>
      </w:r>
      <w:bookmarkEnd w:id="3181"/>
    </w:p>
    <w:p w14:paraId="55CA1AEC" w14:textId="77777777" w:rsidR="00F67E9E" w:rsidRPr="008A0ECD" w:rsidRDefault="00F67E9E" w:rsidP="00F67E9E">
      <w:pPr>
        <w:pStyle w:val="AppendixText1"/>
        <w:rPr>
          <w:b w:val="0"/>
          <w:bCs/>
        </w:rPr>
      </w:pPr>
      <w:bookmarkStart w:id="3182" w:name="_Ref90906389"/>
      <w:r w:rsidRPr="008A0ECD">
        <w:rPr>
          <w:b w:val="0"/>
          <w:bCs/>
        </w:rPr>
        <w:t>The Parties do not need the consent of any third party to make changes to this Addendum, but any changes must be made in accordance with its terms.</w:t>
      </w:r>
      <w:bookmarkEnd w:id="3182"/>
    </w:p>
    <w:p w14:paraId="4577B8DC" w14:textId="77777777" w:rsidR="00F67E9E" w:rsidRDefault="00F67E9E" w:rsidP="00F67E9E">
      <w:pPr>
        <w:pStyle w:val="Heading3"/>
      </w:pPr>
      <w:r w:rsidRPr="00AE092F">
        <w:t>Alternative Part 2 Mandatory Clauses:</w:t>
      </w:r>
    </w:p>
    <w:tbl>
      <w:tblPr>
        <w:tblStyle w:val="MSATable-header"/>
        <w:tblW w:w="5003" w:type="pct"/>
        <w:tblLook w:val="0600" w:firstRow="0" w:lastRow="0" w:firstColumn="0" w:lastColumn="0" w:noHBand="1" w:noVBand="1"/>
      </w:tblPr>
      <w:tblGrid>
        <w:gridCol w:w="2398"/>
        <w:gridCol w:w="7796"/>
      </w:tblGrid>
      <w:tr w:rsidR="00F67E9E" w:rsidRPr="00AE092F" w14:paraId="76F74CD5" w14:textId="77777777" w:rsidTr="007F74AA">
        <w:tc>
          <w:tcPr>
            <w:tcW w:w="1176" w:type="pct"/>
          </w:tcPr>
          <w:p w14:paraId="1CFBA3B2" w14:textId="77777777" w:rsidR="00F67E9E" w:rsidRPr="00020216" w:rsidRDefault="00F67E9E" w:rsidP="007F74AA">
            <w:pPr>
              <w:rPr>
                <w:rFonts w:cs="Arial"/>
                <w:b/>
                <w:bCs/>
                <w:szCs w:val="24"/>
              </w:rPr>
            </w:pPr>
            <w:r w:rsidRPr="00020216">
              <w:rPr>
                <w:rFonts w:cs="Arial"/>
                <w:b/>
                <w:bCs/>
                <w:szCs w:val="24"/>
              </w:rPr>
              <w:t>Mandatory Clauses</w:t>
            </w:r>
          </w:p>
        </w:tc>
        <w:tc>
          <w:tcPr>
            <w:tcW w:w="3824" w:type="pct"/>
          </w:tcPr>
          <w:p w14:paraId="7CC399FC" w14:textId="5449A2A4" w:rsidR="00F67E9E" w:rsidRPr="00020216" w:rsidRDefault="00F67E9E" w:rsidP="007F74AA">
            <w:pPr>
              <w:rPr>
                <w:rFonts w:cs="Arial"/>
                <w:szCs w:val="24"/>
              </w:rPr>
            </w:pPr>
            <w:r w:rsidRPr="00020216">
              <w:rPr>
                <w:rFonts w:cs="Arial"/>
                <w:szCs w:val="24"/>
              </w:rPr>
              <w:t xml:space="preserve">Part 2: Mandatory Clauses of the Approved Addendum, being the template Addendum B.1.0 issued by the ICO and laid before Parliament in accordance with s119A of the Data Protection Act 2018 on 2 February 2022, as it is revised under Section </w:t>
            </w:r>
            <w:r w:rsidRPr="00020216">
              <w:rPr>
                <w:rFonts w:cs="Arial"/>
                <w:szCs w:val="24"/>
                <w:cs/>
              </w:rPr>
              <w:t>‎</w:t>
            </w:r>
            <w:r w:rsidRPr="00020216">
              <w:rPr>
                <w:rFonts w:cs="Arial"/>
                <w:szCs w:val="24"/>
              </w:rPr>
              <w:fldChar w:fldCharType="begin"/>
            </w:r>
            <w:r w:rsidRPr="00020216">
              <w:rPr>
                <w:rFonts w:cs="Arial"/>
                <w:szCs w:val="24"/>
              </w:rPr>
              <w:instrText xml:space="preserve"> REF _Ref90907400 \r \h  \* MERGEFORMAT </w:instrText>
            </w:r>
            <w:r w:rsidRPr="00020216">
              <w:rPr>
                <w:rFonts w:cs="Arial"/>
                <w:szCs w:val="24"/>
              </w:rPr>
            </w:r>
            <w:r w:rsidRPr="00020216">
              <w:rPr>
                <w:rFonts w:cs="Arial"/>
                <w:szCs w:val="24"/>
              </w:rPr>
              <w:fldChar w:fldCharType="separate"/>
            </w:r>
            <w:r w:rsidR="00302D39">
              <w:rPr>
                <w:rFonts w:cs="Arial"/>
                <w:szCs w:val="24"/>
              </w:rPr>
              <w:t>18</w:t>
            </w:r>
            <w:r w:rsidRPr="00020216">
              <w:rPr>
                <w:rFonts w:cs="Arial"/>
                <w:szCs w:val="24"/>
              </w:rPr>
              <w:fldChar w:fldCharType="end"/>
            </w:r>
            <w:r w:rsidRPr="00020216">
              <w:rPr>
                <w:rFonts w:cs="Arial"/>
                <w:szCs w:val="24"/>
              </w:rPr>
              <w:t xml:space="preserve"> of those Mandatory Clauses.</w:t>
            </w:r>
          </w:p>
        </w:tc>
      </w:tr>
    </w:tbl>
    <w:p w14:paraId="084B83FD" w14:textId="77777777" w:rsidR="00F67E9E" w:rsidRPr="00AE092F" w:rsidRDefault="00F67E9E" w:rsidP="00F67E9E"/>
    <w:p w14:paraId="54133715" w14:textId="77777777" w:rsidR="00F67E9E" w:rsidRPr="00F6471A" w:rsidRDefault="00F67E9E" w:rsidP="00F67E9E">
      <w:pPr>
        <w:pStyle w:val="Heading2"/>
        <w:pageBreakBefore/>
      </w:pPr>
      <w:bookmarkStart w:id="3183" w:name="_Ref99088417"/>
      <w:bookmarkStart w:id="3184" w:name="_Toc141712003"/>
      <w:bookmarkEnd w:id="3169"/>
      <w:r w:rsidRPr="00016234">
        <w:t xml:space="preserve">Annex </w:t>
      </w:r>
      <w:bookmarkStart w:id="3185" w:name="ANNEX3HEADING_SCHEDULE31"/>
      <w:bookmarkStart w:id="3186" w:name="ANNEX3SCHEDULE31"/>
      <w:r w:rsidRPr="00016234">
        <w:t>3</w:t>
      </w:r>
      <w:bookmarkEnd w:id="3185"/>
      <w:bookmarkEnd w:id="3186"/>
      <w:r w:rsidRPr="00016234">
        <w:t xml:space="preserve">: Standard Contractual Clauses </w:t>
      </w:r>
      <w:r>
        <w:t>f</w:t>
      </w:r>
      <w:r w:rsidRPr="00016234">
        <w:t>or EU GDPR Compliant Transfers</w:t>
      </w:r>
      <w:bookmarkEnd w:id="3183"/>
      <w:bookmarkEnd w:id="3184"/>
    </w:p>
    <w:p w14:paraId="003506FC" w14:textId="77777777" w:rsidR="00F67E9E" w:rsidRPr="00991135" w:rsidRDefault="00F67E9E" w:rsidP="00F67E9E">
      <w:pPr>
        <w:rPr>
          <w:rFonts w:cs="Arial"/>
          <w:b/>
          <w:bCs/>
          <w:i/>
          <w:iCs/>
        </w:rPr>
      </w:pPr>
      <w:r w:rsidRPr="00991135">
        <w:rPr>
          <w:rFonts w:cs="Arial"/>
          <w:b/>
          <w:bCs/>
          <w:i/>
          <w:iCs/>
          <w:highlight w:val="yellow"/>
        </w:rPr>
        <w:t>[Guidance: Delete this Annex and replace with the text ‘NOT USED’ if the Authority has chosen to refer out to the IDTA, rather than incorporating the text, that is, by selecting the first set of square brackets in Clause 21 of the Core Terms and in this Schedule.]</w:t>
      </w:r>
    </w:p>
    <w:p w14:paraId="0D59A9AC" w14:textId="77777777" w:rsidR="00F67E9E" w:rsidRDefault="00F67E9E" w:rsidP="00F67E9E">
      <w:pPr>
        <w:pStyle w:val="Heading2"/>
      </w:pPr>
      <w:bookmarkStart w:id="3187" w:name="_Toc141712004"/>
      <w:bookmarkStart w:id="3188" w:name="a000003"/>
      <w:r w:rsidRPr="00016234">
        <w:t>Part A: Processor to Controller Standard Contractual Clauses</w:t>
      </w:r>
      <w:bookmarkEnd w:id="3187"/>
    </w:p>
    <w:p w14:paraId="43CEE0D6" w14:textId="77777777" w:rsidR="00F67E9E" w:rsidRDefault="00F67E9E" w:rsidP="00F67E9E">
      <w:pPr>
        <w:pStyle w:val="Heading4"/>
        <w:spacing w:after="240"/>
      </w:pPr>
      <w:r w:rsidRPr="00490DD0">
        <w:t>Standard</w:t>
      </w:r>
      <w:r w:rsidRPr="00016234">
        <w:t xml:space="preserve"> Contractual Clauses for Personal Data Transfers from an EU Processor to a Controller Established in a Third Country (Processor-to-Controller Transfers)</w:t>
      </w:r>
      <w:bookmarkEnd w:id="3188"/>
    </w:p>
    <w:p w14:paraId="7294402C" w14:textId="77777777" w:rsidR="00F67E9E" w:rsidRPr="00102034" w:rsidRDefault="00F67E9E" w:rsidP="00F67E9E">
      <w:pPr>
        <w:pBdr>
          <w:top w:val="nil"/>
          <w:left w:val="nil"/>
          <w:bottom w:val="nil"/>
          <w:right w:val="nil"/>
          <w:between w:val="nil"/>
        </w:pBdr>
        <w:spacing w:before="120"/>
        <w:jc w:val="center"/>
        <w:rPr>
          <w:rFonts w:eastAsia="Arial" w:cs="Arial"/>
          <w:b/>
          <w:color w:val="000000"/>
          <w:szCs w:val="24"/>
          <w:lang w:eastAsia="en-GB"/>
        </w:rPr>
      </w:pPr>
      <w:bookmarkStart w:id="3189" w:name="_Hlk126049377"/>
      <w:r w:rsidRPr="00102034">
        <w:rPr>
          <w:rFonts w:eastAsia="Arial" w:cs="Arial"/>
          <w:b/>
          <w:color w:val="000000"/>
          <w:szCs w:val="24"/>
          <w:lang w:eastAsia="en-GB"/>
        </w:rPr>
        <w:t>SECTION I</w:t>
      </w:r>
    </w:p>
    <w:p w14:paraId="3C6EC083" w14:textId="77777777" w:rsidR="00F67E9E" w:rsidRPr="00102034" w:rsidRDefault="00F67E9E" w:rsidP="00F67E9E">
      <w:pPr>
        <w:pBdr>
          <w:top w:val="nil"/>
          <w:left w:val="nil"/>
          <w:bottom w:val="nil"/>
          <w:right w:val="nil"/>
          <w:between w:val="nil"/>
        </w:pBdr>
        <w:spacing w:before="120"/>
        <w:jc w:val="center"/>
        <w:rPr>
          <w:rFonts w:eastAsia="Arial" w:cs="Arial"/>
          <w:b/>
          <w:color w:val="000000"/>
          <w:szCs w:val="24"/>
          <w:lang w:eastAsia="en-GB"/>
        </w:rPr>
      </w:pPr>
      <w:r w:rsidRPr="00102034">
        <w:rPr>
          <w:rFonts w:eastAsia="Arial" w:cs="Arial"/>
          <w:b/>
          <w:color w:val="000000"/>
          <w:szCs w:val="24"/>
          <w:lang w:eastAsia="en-GB"/>
        </w:rPr>
        <w:t>CLAUSE 1</w:t>
      </w:r>
    </w:p>
    <w:p w14:paraId="7FDC240C" w14:textId="77777777" w:rsidR="00F67E9E" w:rsidRPr="00102034" w:rsidRDefault="00F67E9E" w:rsidP="00F67E9E">
      <w:pPr>
        <w:pBdr>
          <w:top w:val="nil"/>
          <w:left w:val="nil"/>
          <w:bottom w:val="nil"/>
          <w:right w:val="nil"/>
          <w:between w:val="nil"/>
        </w:pBdr>
        <w:spacing w:before="240" w:after="240"/>
        <w:ind w:firstLine="90"/>
        <w:rPr>
          <w:rFonts w:eastAsia="Arial" w:cs="Arial"/>
          <w:b/>
          <w:color w:val="000000"/>
          <w:szCs w:val="24"/>
          <w:lang w:eastAsia="en-GB"/>
        </w:rPr>
      </w:pPr>
      <w:bookmarkStart w:id="3190" w:name="bookmark=id.35xuupr" w:colFirst="0" w:colLast="0"/>
      <w:bookmarkEnd w:id="3190"/>
      <w:r w:rsidRPr="00102034">
        <w:rPr>
          <w:rFonts w:eastAsia="Arial" w:cs="Arial"/>
          <w:b/>
          <w:color w:val="000000"/>
          <w:szCs w:val="24"/>
          <w:lang w:eastAsia="en-GB"/>
        </w:rPr>
        <w:t>Purpose and scope</w:t>
      </w:r>
    </w:p>
    <w:p w14:paraId="3B5FE4FC" w14:textId="77777777" w:rsidR="00F67E9E" w:rsidRPr="00102034" w:rsidRDefault="00F67E9E" w:rsidP="00F67E9E">
      <w:pPr>
        <w:pStyle w:val="AppendixText4"/>
        <w:numPr>
          <w:ilvl w:val="3"/>
          <w:numId w:val="87"/>
        </w:numPr>
        <w:tabs>
          <w:tab w:val="clear" w:pos="2520"/>
          <w:tab w:val="num" w:pos="1800"/>
        </w:tabs>
        <w:ind w:left="1440"/>
        <w:rPr>
          <w:rFonts w:eastAsia="Arial" w:cs="Arial"/>
          <w:color w:val="000000"/>
        </w:rPr>
      </w:pPr>
      <w:bookmarkStart w:id="3191" w:name="bookmark=id.1l354xk" w:colFirst="0" w:colLast="0"/>
      <w:bookmarkEnd w:id="3191"/>
      <w:r w:rsidRPr="00102034">
        <w:rPr>
          <w:rFonts w:eastAsia="Arial" w:cs="Arial"/>
          <w:color w:val="000000"/>
        </w:rPr>
        <w:t xml:space="preserve">The </w:t>
      </w:r>
      <w:r w:rsidRPr="00CF67FD">
        <w:t>purpose</w:t>
      </w:r>
      <w:r w:rsidRPr="00102034">
        <w:rPr>
          <w:rFonts w:eastAsia="Arial" w:cs="Arial"/>
          <w:color w:val="000000"/>
        </w:rPr>
        <w:t xml:space="preserve"> of these standard contractual clauses is to ensure compliance with the requirements of Regulation (EU) 2016/679 of the European Parliament and of the Council of 27 April 2016 on the protection of natural persons with regard to the processing of personal data and on the free movement of such data (General Data Protection Regulation)[</w:t>
      </w:r>
      <w:hyperlink w:anchor="bookmark=id.2coe5ab">
        <w:r w:rsidRPr="00102034">
          <w:rPr>
            <w:rFonts w:eastAsia="Arial" w:cs="Arial"/>
            <w:color w:val="0000FF"/>
            <w:u w:val="single"/>
          </w:rPr>
          <w:t>FN1</w:t>
        </w:r>
      </w:hyperlink>
      <w:r w:rsidRPr="00102034">
        <w:rPr>
          <w:rFonts w:eastAsia="Arial" w:cs="Arial"/>
          <w:color w:val="000000"/>
        </w:rPr>
        <w:t>] for the transfer of personal data to a third country.</w:t>
      </w:r>
    </w:p>
    <w:p w14:paraId="68E05E80" w14:textId="77777777" w:rsidR="00F67E9E" w:rsidRPr="00102034" w:rsidRDefault="00F67E9E" w:rsidP="00F67E9E">
      <w:pPr>
        <w:pStyle w:val="AppendixText4"/>
        <w:numPr>
          <w:ilvl w:val="3"/>
          <w:numId w:val="87"/>
        </w:numPr>
        <w:tabs>
          <w:tab w:val="clear" w:pos="2520"/>
          <w:tab w:val="num" w:pos="1800"/>
        </w:tabs>
        <w:ind w:left="1440"/>
        <w:rPr>
          <w:rFonts w:eastAsia="Arial" w:cs="Arial"/>
          <w:color w:val="000000"/>
        </w:rPr>
      </w:pPr>
      <w:bookmarkStart w:id="3192" w:name="bookmark=id.452snld" w:colFirst="0" w:colLast="0"/>
      <w:bookmarkEnd w:id="3192"/>
      <w:r w:rsidRPr="00102034">
        <w:rPr>
          <w:rFonts w:eastAsia="Arial" w:cs="Arial"/>
          <w:color w:val="000000"/>
        </w:rPr>
        <w:t xml:space="preserve">The </w:t>
      </w:r>
      <w:r w:rsidRPr="00CF67FD">
        <w:t>Parties</w:t>
      </w:r>
      <w:r w:rsidRPr="00102034">
        <w:rPr>
          <w:rFonts w:eastAsia="Arial" w:cs="Arial"/>
          <w:color w:val="000000"/>
        </w:rPr>
        <w:t>:</w:t>
      </w:r>
    </w:p>
    <w:p w14:paraId="0296553B" w14:textId="77777777" w:rsidR="00F67E9E" w:rsidRPr="00CF67FD" w:rsidRDefault="00F67E9E" w:rsidP="00F67E9E">
      <w:pPr>
        <w:pStyle w:val="Numbered111ai"/>
        <w:tabs>
          <w:tab w:val="clear" w:pos="3240"/>
          <w:tab w:val="num" w:pos="2160"/>
        </w:tabs>
        <w:ind w:left="2160"/>
      </w:pPr>
      <w:bookmarkStart w:id="3193" w:name="bookmark=id.2k82xt6" w:colFirst="0" w:colLast="0"/>
      <w:bookmarkEnd w:id="3193"/>
      <w:r w:rsidRPr="00CF67FD">
        <w:t>the natural or legal person(s), public authority/ies, agency/ies or other body/ies (hereinafter 'entity/ies') transferring the personal data, as listed in Annex I.A (hereinafter each 'data exporter'), and</w:t>
      </w:r>
    </w:p>
    <w:p w14:paraId="5C506E28" w14:textId="77777777" w:rsidR="00F67E9E" w:rsidRPr="00102034" w:rsidRDefault="00F67E9E" w:rsidP="00F67E9E">
      <w:pPr>
        <w:pStyle w:val="Numbered111ai"/>
        <w:tabs>
          <w:tab w:val="clear" w:pos="3240"/>
          <w:tab w:val="num" w:pos="2160"/>
        </w:tabs>
        <w:ind w:left="2160"/>
        <w:rPr>
          <w:rFonts w:cs="Arial"/>
          <w:color w:val="000000"/>
          <w:lang w:eastAsia="en-GB"/>
        </w:rPr>
      </w:pPr>
      <w:bookmarkStart w:id="3194" w:name="bookmark=id.zdd80z" w:colFirst="0" w:colLast="0"/>
      <w:bookmarkEnd w:id="3194"/>
      <w:r w:rsidRPr="00102034">
        <w:rPr>
          <w:rFonts w:cs="Arial"/>
          <w:color w:val="000000"/>
          <w:lang w:eastAsia="en-GB"/>
        </w:rPr>
        <w:t xml:space="preserve">the entity/ies in a third country receiving the personal data from the data exporter, </w:t>
      </w:r>
      <w:r w:rsidRPr="00CF67FD">
        <w:t>directly</w:t>
      </w:r>
      <w:r w:rsidRPr="00102034">
        <w:rPr>
          <w:rFonts w:cs="Arial"/>
          <w:color w:val="000000"/>
          <w:lang w:eastAsia="en-GB"/>
        </w:rPr>
        <w:t xml:space="preserve"> or indirectly via another entity also Party to these Clauses, as listed in Annex I.A (hereinafter each 'data importer')</w:t>
      </w:r>
    </w:p>
    <w:p w14:paraId="149ED771" w14:textId="77777777" w:rsidR="00F67E9E" w:rsidRPr="00102034" w:rsidRDefault="00F67E9E" w:rsidP="00F67E9E">
      <w:pPr>
        <w:pBdr>
          <w:top w:val="nil"/>
          <w:left w:val="nil"/>
          <w:bottom w:val="nil"/>
          <w:right w:val="nil"/>
          <w:between w:val="nil"/>
        </w:pBdr>
        <w:spacing w:before="120" w:after="240"/>
        <w:ind w:firstLine="1440"/>
        <w:rPr>
          <w:rFonts w:eastAsia="Arial" w:cs="Arial"/>
          <w:color w:val="000000"/>
          <w:szCs w:val="24"/>
          <w:lang w:eastAsia="en-GB"/>
        </w:rPr>
      </w:pPr>
      <w:bookmarkStart w:id="3195" w:name="bookmark=id.3jd0qos" w:colFirst="0" w:colLast="0"/>
      <w:bookmarkEnd w:id="3195"/>
      <w:r w:rsidRPr="00102034">
        <w:rPr>
          <w:rFonts w:eastAsia="Arial" w:cs="Arial"/>
          <w:color w:val="000000"/>
          <w:szCs w:val="24"/>
          <w:lang w:eastAsia="en-GB"/>
        </w:rPr>
        <w:t>have agreed to these standard contractual clauses (hereinafter: 'Clauses').</w:t>
      </w:r>
    </w:p>
    <w:p w14:paraId="2CBBCB8A" w14:textId="77777777" w:rsidR="00F67E9E" w:rsidRPr="00102034" w:rsidRDefault="00F67E9E" w:rsidP="00F67E9E">
      <w:pPr>
        <w:pStyle w:val="AppendixText4"/>
        <w:numPr>
          <w:ilvl w:val="3"/>
          <w:numId w:val="87"/>
        </w:numPr>
        <w:tabs>
          <w:tab w:val="clear" w:pos="2520"/>
          <w:tab w:val="num" w:pos="1800"/>
        </w:tabs>
        <w:ind w:left="1440"/>
        <w:rPr>
          <w:rFonts w:eastAsia="Arial" w:cs="Arial"/>
          <w:color w:val="000000"/>
        </w:rPr>
      </w:pPr>
      <w:bookmarkStart w:id="3196" w:name="bookmark=id.1yib0wl" w:colFirst="0" w:colLast="0"/>
      <w:bookmarkEnd w:id="3196"/>
      <w:r w:rsidRPr="00CF67FD">
        <w:t>These</w:t>
      </w:r>
      <w:r w:rsidRPr="00102034">
        <w:rPr>
          <w:rFonts w:eastAsia="Arial" w:cs="Arial"/>
          <w:color w:val="000000"/>
        </w:rPr>
        <w:t xml:space="preserve"> Clauses apply with respect to the transfer of personal data as specified in Annex I.B.</w:t>
      </w:r>
    </w:p>
    <w:p w14:paraId="3B7C3D88" w14:textId="71473E04" w:rsidR="00F67E9E" w:rsidRPr="00102034" w:rsidRDefault="00F67E9E" w:rsidP="00F67E9E">
      <w:pPr>
        <w:pStyle w:val="AppendixText4"/>
        <w:numPr>
          <w:ilvl w:val="3"/>
          <w:numId w:val="87"/>
        </w:numPr>
        <w:tabs>
          <w:tab w:val="clear" w:pos="2520"/>
          <w:tab w:val="num" w:pos="1800"/>
        </w:tabs>
        <w:ind w:left="1440"/>
        <w:rPr>
          <w:rFonts w:eastAsia="Arial" w:cs="Arial"/>
          <w:color w:val="000000"/>
        </w:rPr>
      </w:pPr>
      <w:bookmarkStart w:id="3197" w:name="bookmark=id.4ihyjke" w:colFirst="0" w:colLast="0"/>
      <w:bookmarkEnd w:id="3197"/>
      <w:r w:rsidRPr="00102034">
        <w:rPr>
          <w:rFonts w:eastAsia="Arial" w:cs="Arial"/>
          <w:color w:val="000000"/>
        </w:rPr>
        <w:t xml:space="preserve">The </w:t>
      </w:r>
      <w:r w:rsidRPr="00F6639A">
        <w:rPr>
          <w:rFonts w:eastAsia="Arial" w:cs="Arial"/>
          <w:color w:val="000000"/>
        </w:rPr>
        <w:fldChar w:fldCharType="begin"/>
      </w:r>
      <w:r w:rsidRPr="00F6639A">
        <w:rPr>
          <w:rFonts w:eastAsia="Arial" w:cs="Arial"/>
          <w:color w:val="000000"/>
        </w:rPr>
        <w:instrText xml:space="preserve"> REF  Schedule_31_PartB_Annex3_PartA_Appendix \* Caps \h  \* MERGEFORMAT </w:instrText>
      </w:r>
      <w:r w:rsidRPr="00F6639A">
        <w:rPr>
          <w:rFonts w:eastAsia="Arial" w:cs="Arial"/>
          <w:color w:val="000000"/>
        </w:rPr>
      </w:r>
      <w:r w:rsidRPr="00F6639A">
        <w:rPr>
          <w:rFonts w:eastAsia="Arial" w:cs="Arial"/>
          <w:color w:val="000000"/>
        </w:rPr>
        <w:fldChar w:fldCharType="separate"/>
      </w:r>
      <w:r w:rsidR="00302D39" w:rsidRPr="00302D39">
        <w:rPr>
          <w:rFonts w:eastAsia="Arial" w:cs="Arial"/>
          <w:color w:val="000000"/>
        </w:rPr>
        <w:t>Appendix</w:t>
      </w:r>
      <w:r w:rsidRPr="00F6639A">
        <w:rPr>
          <w:rFonts w:eastAsia="Arial" w:cs="Arial"/>
          <w:color w:val="000000"/>
        </w:rPr>
        <w:fldChar w:fldCharType="end"/>
      </w:r>
      <w:r>
        <w:rPr>
          <w:rFonts w:eastAsia="Arial" w:cs="Arial"/>
          <w:color w:val="000000"/>
        </w:rPr>
        <w:t xml:space="preserve"> </w:t>
      </w:r>
      <w:r w:rsidRPr="00102034">
        <w:rPr>
          <w:rFonts w:eastAsia="Arial" w:cs="Arial"/>
          <w:color w:val="000000"/>
        </w:rPr>
        <w:t xml:space="preserve">to these Clauses containing the Annexes referred to therein forms an integral </w:t>
      </w:r>
      <w:r w:rsidRPr="00CF67FD">
        <w:t>part</w:t>
      </w:r>
      <w:r w:rsidRPr="00102034">
        <w:rPr>
          <w:rFonts w:eastAsia="Arial" w:cs="Arial"/>
          <w:color w:val="000000"/>
        </w:rPr>
        <w:t xml:space="preserve"> of these Clauses.</w:t>
      </w:r>
    </w:p>
    <w:p w14:paraId="2851606D" w14:textId="77777777" w:rsidR="00F67E9E" w:rsidRPr="00102034" w:rsidRDefault="00F67E9E" w:rsidP="00F67E9E">
      <w:pPr>
        <w:pBdr>
          <w:top w:val="nil"/>
          <w:left w:val="nil"/>
          <w:bottom w:val="nil"/>
          <w:right w:val="nil"/>
          <w:between w:val="nil"/>
        </w:pBdr>
        <w:spacing w:before="120"/>
        <w:jc w:val="center"/>
        <w:rPr>
          <w:rFonts w:eastAsia="Arial" w:cs="Arial"/>
          <w:b/>
          <w:color w:val="000000"/>
          <w:szCs w:val="24"/>
          <w:lang w:eastAsia="en-GB"/>
        </w:rPr>
      </w:pPr>
      <w:r w:rsidRPr="00102034">
        <w:rPr>
          <w:rFonts w:eastAsia="Arial" w:cs="Arial"/>
          <w:b/>
          <w:color w:val="000000"/>
          <w:szCs w:val="24"/>
          <w:lang w:eastAsia="en-GB"/>
        </w:rPr>
        <w:t>CLAUSE 2</w:t>
      </w:r>
    </w:p>
    <w:p w14:paraId="54ECFD27" w14:textId="77777777" w:rsidR="00F67E9E" w:rsidRPr="00102034" w:rsidRDefault="00F67E9E" w:rsidP="00F67E9E">
      <w:pPr>
        <w:pBdr>
          <w:top w:val="nil"/>
          <w:left w:val="nil"/>
          <w:bottom w:val="nil"/>
          <w:right w:val="nil"/>
          <w:between w:val="nil"/>
        </w:pBdr>
        <w:spacing w:before="240" w:after="240"/>
        <w:ind w:firstLine="90"/>
        <w:rPr>
          <w:rFonts w:eastAsia="Arial" w:cs="Arial"/>
          <w:b/>
          <w:color w:val="000000"/>
          <w:szCs w:val="24"/>
          <w:lang w:eastAsia="en-GB"/>
        </w:rPr>
      </w:pPr>
      <w:bookmarkStart w:id="3198" w:name="bookmark=id.2xn8ts7" w:colFirst="0" w:colLast="0"/>
      <w:bookmarkEnd w:id="3198"/>
      <w:r w:rsidRPr="00102034">
        <w:rPr>
          <w:rFonts w:eastAsia="Arial" w:cs="Arial"/>
          <w:b/>
          <w:color w:val="000000"/>
          <w:szCs w:val="24"/>
          <w:lang w:eastAsia="en-GB"/>
        </w:rPr>
        <w:t>Effect and invariability of the Clauses</w:t>
      </w:r>
    </w:p>
    <w:p w14:paraId="22B8ACEB" w14:textId="7E83F8D0" w:rsidR="00F67E9E" w:rsidRPr="00CF67FD" w:rsidRDefault="00F67E9E" w:rsidP="00F67E9E">
      <w:pPr>
        <w:pStyle w:val="AppendixText4"/>
        <w:numPr>
          <w:ilvl w:val="3"/>
          <w:numId w:val="221"/>
        </w:numPr>
        <w:tabs>
          <w:tab w:val="clear" w:pos="2520"/>
          <w:tab w:val="num" w:pos="720"/>
        </w:tabs>
        <w:ind w:left="1440"/>
        <w:rPr>
          <w:rFonts w:eastAsia="Arial" w:cs="Arial"/>
          <w:color w:val="000000"/>
        </w:rPr>
      </w:pPr>
      <w:bookmarkStart w:id="3199" w:name="bookmark=id.1csj400" w:colFirst="0" w:colLast="0"/>
      <w:bookmarkEnd w:id="3199"/>
      <w:r w:rsidRPr="00CF67FD">
        <w:rPr>
          <w:rFonts w:eastAsia="Arial" w:cs="Arial"/>
          <w:color w:val="000000"/>
        </w:rPr>
        <w:t xml:space="preserve">These Clauses set out appropriate safeguards, including enforceable data subject rights and effective legal remedies, pursuant to Article 46(1) and Article 46(2)(c) of Regulation (EU) 2016/679 and, with respect to data transfers from controllers to processors and/or </w:t>
      </w:r>
      <w:r w:rsidRPr="00CF67FD">
        <w:t>processors</w:t>
      </w:r>
      <w:r w:rsidRPr="00CF67FD">
        <w:rPr>
          <w:rFonts w:eastAsia="Arial" w:cs="Arial"/>
          <w:color w:val="000000"/>
        </w:rPr>
        <w:t xml:space="preserve"> to processors, standard contractual clauses pursuant to Article 28(7) of Regulation (EU) 2016/679, provided they are not modified, except to select the appropriate Module(s) or to add or update information in the </w:t>
      </w:r>
      <w:r w:rsidRPr="00F6639A">
        <w:rPr>
          <w:rFonts w:eastAsia="Arial" w:cs="Arial"/>
          <w:color w:val="000000"/>
        </w:rPr>
        <w:fldChar w:fldCharType="begin"/>
      </w:r>
      <w:r w:rsidRPr="00F6639A">
        <w:rPr>
          <w:rFonts w:eastAsia="Arial" w:cs="Arial"/>
          <w:color w:val="000000"/>
        </w:rPr>
        <w:instrText xml:space="preserve"> REF  Schedule_31_PartB_Annex3_PartA_Appendix \* Caps \h  \* MERGEFORMAT </w:instrText>
      </w:r>
      <w:r w:rsidRPr="00F6639A">
        <w:rPr>
          <w:rFonts w:eastAsia="Arial" w:cs="Arial"/>
          <w:color w:val="000000"/>
        </w:rPr>
      </w:r>
      <w:r w:rsidRPr="00F6639A">
        <w:rPr>
          <w:rFonts w:eastAsia="Arial" w:cs="Arial"/>
          <w:color w:val="000000"/>
        </w:rPr>
        <w:fldChar w:fldCharType="separate"/>
      </w:r>
      <w:r w:rsidR="00302D39" w:rsidRPr="00302D39">
        <w:rPr>
          <w:rFonts w:eastAsia="Arial" w:cs="Arial"/>
          <w:color w:val="000000"/>
        </w:rPr>
        <w:t>Appendix</w:t>
      </w:r>
      <w:r w:rsidRPr="00F6639A">
        <w:rPr>
          <w:rFonts w:eastAsia="Arial" w:cs="Arial"/>
          <w:color w:val="000000"/>
        </w:rPr>
        <w:fldChar w:fldCharType="end"/>
      </w:r>
      <w:r w:rsidRPr="00CF67FD">
        <w:rPr>
          <w:rFonts w:eastAsia="Arial" w:cs="Arial"/>
          <w:color w:val="000000"/>
        </w:rPr>
        <w:t>. This does not prevent the Parties from including the standard contractual clauses laid down in these Clauses in a wider contract and/or to add other clauses or additional safeguards, provided that they do not contradict, directly or indirectly, these Clauses or prejudice the fundamental rights or freedoms of data subjects.</w:t>
      </w:r>
    </w:p>
    <w:p w14:paraId="21CE6E7E" w14:textId="77777777" w:rsidR="00F67E9E" w:rsidRPr="00102034" w:rsidRDefault="00F67E9E" w:rsidP="00F67E9E">
      <w:pPr>
        <w:pStyle w:val="AppendixText4"/>
        <w:numPr>
          <w:ilvl w:val="3"/>
          <w:numId w:val="87"/>
        </w:numPr>
        <w:tabs>
          <w:tab w:val="clear" w:pos="2520"/>
          <w:tab w:val="num" w:pos="1800"/>
        </w:tabs>
        <w:ind w:left="1440"/>
        <w:rPr>
          <w:rFonts w:eastAsia="Arial" w:cs="Arial"/>
          <w:color w:val="000000"/>
        </w:rPr>
      </w:pPr>
      <w:bookmarkStart w:id="3200" w:name="bookmark=id.3ws6mnt" w:colFirst="0" w:colLast="0"/>
      <w:bookmarkEnd w:id="3200"/>
      <w:r w:rsidRPr="00102034">
        <w:rPr>
          <w:rFonts w:eastAsia="Arial" w:cs="Arial"/>
          <w:color w:val="000000"/>
        </w:rPr>
        <w:t>These Clauses are without prejudice to obligations to which the data exporter is subject by virtue of Regulation (EU) 2016/679.</w:t>
      </w:r>
    </w:p>
    <w:p w14:paraId="07719751" w14:textId="77777777" w:rsidR="00F67E9E" w:rsidRPr="00102034" w:rsidRDefault="00F67E9E" w:rsidP="00F67E9E">
      <w:pPr>
        <w:pBdr>
          <w:top w:val="nil"/>
          <w:left w:val="nil"/>
          <w:bottom w:val="nil"/>
          <w:right w:val="nil"/>
          <w:between w:val="nil"/>
        </w:pBdr>
        <w:spacing w:before="120"/>
        <w:jc w:val="center"/>
        <w:rPr>
          <w:rFonts w:eastAsia="Arial" w:cs="Arial"/>
          <w:b/>
          <w:color w:val="000000"/>
          <w:szCs w:val="24"/>
          <w:lang w:eastAsia="en-GB"/>
        </w:rPr>
      </w:pPr>
      <w:r w:rsidRPr="00102034">
        <w:rPr>
          <w:rFonts w:eastAsia="Arial" w:cs="Arial"/>
          <w:b/>
          <w:color w:val="000000"/>
          <w:szCs w:val="24"/>
          <w:lang w:eastAsia="en-GB"/>
        </w:rPr>
        <w:t>CLAUSE 3</w:t>
      </w:r>
    </w:p>
    <w:p w14:paraId="2BC6B31A" w14:textId="77777777" w:rsidR="00F67E9E" w:rsidRPr="00102034" w:rsidRDefault="00F67E9E" w:rsidP="00F67E9E">
      <w:pPr>
        <w:pBdr>
          <w:top w:val="nil"/>
          <w:left w:val="nil"/>
          <w:bottom w:val="nil"/>
          <w:right w:val="nil"/>
          <w:between w:val="nil"/>
        </w:pBdr>
        <w:spacing w:before="240" w:after="240"/>
        <w:ind w:firstLine="90"/>
        <w:rPr>
          <w:rFonts w:eastAsia="Arial" w:cs="Arial"/>
          <w:b/>
          <w:color w:val="000000"/>
          <w:szCs w:val="24"/>
          <w:lang w:eastAsia="en-GB"/>
        </w:rPr>
      </w:pPr>
      <w:bookmarkStart w:id="3201" w:name="bookmark=id.2bxgwvm" w:colFirst="0" w:colLast="0"/>
      <w:bookmarkEnd w:id="3201"/>
      <w:r w:rsidRPr="00102034">
        <w:rPr>
          <w:rFonts w:eastAsia="Arial" w:cs="Arial"/>
          <w:b/>
          <w:color w:val="000000"/>
          <w:szCs w:val="24"/>
          <w:lang w:eastAsia="en-GB"/>
        </w:rPr>
        <w:t>Third-party beneficiaries</w:t>
      </w:r>
    </w:p>
    <w:p w14:paraId="00D1BA86" w14:textId="77777777" w:rsidR="00F67E9E" w:rsidRPr="00B44B25" w:rsidRDefault="00F67E9E" w:rsidP="00F67E9E">
      <w:pPr>
        <w:pStyle w:val="AppendixText4"/>
        <w:numPr>
          <w:ilvl w:val="3"/>
          <w:numId w:val="222"/>
        </w:numPr>
        <w:tabs>
          <w:tab w:val="clear" w:pos="2520"/>
          <w:tab w:val="num" w:pos="-360"/>
        </w:tabs>
        <w:ind w:left="1440"/>
        <w:rPr>
          <w:rFonts w:eastAsia="Arial" w:cs="Arial"/>
          <w:color w:val="000000"/>
        </w:rPr>
      </w:pPr>
      <w:bookmarkStart w:id="3202" w:name="bookmark=id.r2r73f" w:colFirst="0" w:colLast="0"/>
      <w:bookmarkStart w:id="3203" w:name="_Ref141272947"/>
      <w:bookmarkEnd w:id="3202"/>
      <w:r w:rsidRPr="00B44B25">
        <w:rPr>
          <w:rFonts w:eastAsia="Arial" w:cs="Arial"/>
          <w:color w:val="000000"/>
        </w:rPr>
        <w:t>Data subjects may invoke and enforce these Clauses, as third-party beneficiaries, against the data exporter and/or data importer, with the following exceptions:</w:t>
      </w:r>
      <w:bookmarkEnd w:id="3203"/>
    </w:p>
    <w:p w14:paraId="08ED6480" w14:textId="77777777" w:rsidR="00F67E9E" w:rsidRPr="00B44B25" w:rsidRDefault="00F67E9E" w:rsidP="00F67E9E">
      <w:pPr>
        <w:pStyle w:val="Numbered111ai"/>
        <w:numPr>
          <w:ilvl w:val="4"/>
          <w:numId w:val="223"/>
        </w:numPr>
        <w:tabs>
          <w:tab w:val="clear" w:pos="3240"/>
          <w:tab w:val="num" w:pos="1080"/>
        </w:tabs>
        <w:ind w:left="2160"/>
        <w:rPr>
          <w:rFonts w:cs="Arial"/>
          <w:color w:val="000000"/>
          <w:lang w:eastAsia="en-GB"/>
        </w:rPr>
      </w:pPr>
      <w:bookmarkStart w:id="3204" w:name="bookmark=id.3b2epr8" w:colFirst="0" w:colLast="0"/>
      <w:bookmarkEnd w:id="3204"/>
      <w:r w:rsidRPr="00B44B25">
        <w:rPr>
          <w:rFonts w:cs="Arial"/>
          <w:color w:val="000000"/>
          <w:lang w:eastAsia="en-GB"/>
        </w:rPr>
        <w:t xml:space="preserve">Clause 1, Clause 2, Clause 3, Clause 6, Clause 7; </w:t>
      </w:r>
    </w:p>
    <w:p w14:paraId="1635305C" w14:textId="77777777" w:rsidR="00F67E9E" w:rsidRPr="00102034" w:rsidRDefault="00F67E9E" w:rsidP="00F67E9E">
      <w:pPr>
        <w:pStyle w:val="Numbered111ai"/>
        <w:tabs>
          <w:tab w:val="clear" w:pos="3240"/>
          <w:tab w:val="num" w:pos="2160"/>
        </w:tabs>
        <w:ind w:left="2160"/>
        <w:rPr>
          <w:rFonts w:cs="Arial"/>
          <w:color w:val="000000"/>
          <w:lang w:eastAsia="en-GB"/>
        </w:rPr>
      </w:pPr>
      <w:bookmarkStart w:id="3205" w:name="bookmark=id.1q7ozz1" w:colFirst="0" w:colLast="0"/>
      <w:bookmarkEnd w:id="3205"/>
      <w:r w:rsidRPr="00102034">
        <w:rPr>
          <w:rFonts w:cs="Arial"/>
          <w:color w:val="000000"/>
          <w:lang w:eastAsia="en-GB"/>
        </w:rPr>
        <w:t>Clause 8 – Module One: Clause 8.5 (e) and Clause 8.9(b); Module Two: Clause 8.1(b), 8.9(a), (c), (d) and (e); Module Three: Clause 8.1(a), (c) and (d) and Clause 8.9(a), (c), (d), (e), (f) and (g); Module Four: Clause 8.1 (b) and Clause 8.3(b);</w:t>
      </w:r>
    </w:p>
    <w:p w14:paraId="118CFEB2" w14:textId="77777777" w:rsidR="00F67E9E" w:rsidRPr="00102034" w:rsidRDefault="00F67E9E" w:rsidP="00F67E9E">
      <w:pPr>
        <w:pStyle w:val="Numbered111ai"/>
        <w:tabs>
          <w:tab w:val="clear" w:pos="3240"/>
          <w:tab w:val="num" w:pos="2160"/>
        </w:tabs>
        <w:ind w:left="2160"/>
        <w:rPr>
          <w:rFonts w:cs="Arial"/>
          <w:color w:val="000000"/>
          <w:lang w:eastAsia="en-GB"/>
        </w:rPr>
      </w:pPr>
      <w:bookmarkStart w:id="3206" w:name="bookmark=id.4a7cimu" w:colFirst="0" w:colLast="0"/>
      <w:bookmarkEnd w:id="3206"/>
      <w:r w:rsidRPr="00102034">
        <w:rPr>
          <w:rFonts w:cs="Arial"/>
          <w:color w:val="000000"/>
          <w:lang w:eastAsia="en-GB"/>
        </w:rPr>
        <w:t>Clause 9 – Module Two: Clause 9(a), (c), (d) and (e); Module Three: Clause 9(a), (c), (d) and (e);</w:t>
      </w:r>
    </w:p>
    <w:p w14:paraId="6913B682" w14:textId="77777777" w:rsidR="00F67E9E" w:rsidRPr="00102034" w:rsidRDefault="00F67E9E" w:rsidP="00F67E9E">
      <w:pPr>
        <w:pStyle w:val="Numbered111ai"/>
        <w:tabs>
          <w:tab w:val="clear" w:pos="3240"/>
          <w:tab w:val="num" w:pos="2160"/>
        </w:tabs>
        <w:ind w:left="2160"/>
        <w:rPr>
          <w:rFonts w:cs="Arial"/>
          <w:color w:val="000000"/>
          <w:lang w:eastAsia="en-GB"/>
        </w:rPr>
      </w:pPr>
      <w:bookmarkStart w:id="3207" w:name="bookmark=id.2pcmsun" w:colFirst="0" w:colLast="0"/>
      <w:bookmarkEnd w:id="3207"/>
      <w:r w:rsidRPr="00102034">
        <w:rPr>
          <w:rFonts w:cs="Arial"/>
          <w:color w:val="000000"/>
          <w:lang w:eastAsia="en-GB"/>
        </w:rPr>
        <w:t>Clause 12 – Module One: Clause 12(a) and (d); Modules Two and Three: Clause 12(a), (d) and (f);</w:t>
      </w:r>
    </w:p>
    <w:p w14:paraId="344D987E" w14:textId="77777777" w:rsidR="00F67E9E" w:rsidRPr="00102034" w:rsidRDefault="00F67E9E" w:rsidP="00F67E9E">
      <w:pPr>
        <w:pStyle w:val="Numbered111ai"/>
        <w:tabs>
          <w:tab w:val="clear" w:pos="3240"/>
          <w:tab w:val="num" w:pos="2160"/>
        </w:tabs>
        <w:ind w:left="2160"/>
        <w:rPr>
          <w:rFonts w:cs="Arial"/>
          <w:color w:val="000000"/>
          <w:lang w:eastAsia="en-GB"/>
        </w:rPr>
      </w:pPr>
      <w:bookmarkStart w:id="3208" w:name="bookmark=id.14hx32g" w:colFirst="0" w:colLast="0"/>
      <w:bookmarkEnd w:id="3208"/>
      <w:r w:rsidRPr="00102034">
        <w:rPr>
          <w:rFonts w:cs="Arial"/>
          <w:color w:val="000000"/>
          <w:lang w:eastAsia="en-GB"/>
        </w:rPr>
        <w:t>Clause 13;</w:t>
      </w:r>
    </w:p>
    <w:p w14:paraId="1FDFF44A" w14:textId="77777777" w:rsidR="00F67E9E" w:rsidRPr="00102034" w:rsidRDefault="00F67E9E" w:rsidP="00F67E9E">
      <w:pPr>
        <w:pStyle w:val="Numbered111ai"/>
        <w:tabs>
          <w:tab w:val="clear" w:pos="3240"/>
          <w:tab w:val="num" w:pos="2160"/>
        </w:tabs>
        <w:ind w:left="2160"/>
        <w:rPr>
          <w:rFonts w:cs="Arial"/>
          <w:color w:val="000000"/>
          <w:lang w:eastAsia="en-GB"/>
        </w:rPr>
      </w:pPr>
      <w:bookmarkStart w:id="3209" w:name="bookmark=id.3ohklq9" w:colFirst="0" w:colLast="0"/>
      <w:bookmarkEnd w:id="3209"/>
      <w:r w:rsidRPr="00102034">
        <w:rPr>
          <w:rFonts w:cs="Arial"/>
          <w:color w:val="000000"/>
          <w:lang w:eastAsia="en-GB"/>
        </w:rPr>
        <w:t>Clause 15.1(c), (d) and (e);</w:t>
      </w:r>
    </w:p>
    <w:p w14:paraId="6DAB7E8A" w14:textId="77777777" w:rsidR="00F67E9E" w:rsidRPr="00102034" w:rsidRDefault="00F67E9E" w:rsidP="00F67E9E">
      <w:pPr>
        <w:pStyle w:val="Numbered111ai"/>
        <w:tabs>
          <w:tab w:val="clear" w:pos="3240"/>
          <w:tab w:val="num" w:pos="2160"/>
        </w:tabs>
        <w:ind w:left="2160"/>
        <w:rPr>
          <w:rFonts w:cs="Arial"/>
          <w:color w:val="000000"/>
          <w:lang w:eastAsia="en-GB"/>
        </w:rPr>
      </w:pPr>
      <w:bookmarkStart w:id="3210" w:name="bookmark=id.23muvy2" w:colFirst="0" w:colLast="0"/>
      <w:bookmarkEnd w:id="3210"/>
      <w:r w:rsidRPr="00102034">
        <w:rPr>
          <w:rFonts w:cs="Arial"/>
          <w:color w:val="000000"/>
          <w:lang w:eastAsia="en-GB"/>
        </w:rPr>
        <w:t>Clause 16(e);</w:t>
      </w:r>
    </w:p>
    <w:p w14:paraId="67227528" w14:textId="77777777" w:rsidR="00F67E9E" w:rsidRPr="00102034" w:rsidRDefault="00F67E9E" w:rsidP="00F67E9E">
      <w:pPr>
        <w:pStyle w:val="Numbered111ai"/>
        <w:tabs>
          <w:tab w:val="clear" w:pos="3240"/>
          <w:tab w:val="num" w:pos="2160"/>
        </w:tabs>
        <w:ind w:left="2160"/>
        <w:rPr>
          <w:rFonts w:cs="Arial"/>
          <w:color w:val="000000"/>
          <w:lang w:eastAsia="en-GB"/>
        </w:rPr>
      </w:pPr>
      <w:bookmarkStart w:id="3211" w:name="bookmark=id.is565v" w:colFirst="0" w:colLast="0"/>
      <w:bookmarkEnd w:id="3211"/>
      <w:r w:rsidRPr="00102034">
        <w:rPr>
          <w:rFonts w:cs="Arial"/>
          <w:color w:val="000000"/>
          <w:lang w:eastAsia="en-GB"/>
        </w:rPr>
        <w:t>Clause 18 – Modules One, Two and Three: Clause 18(a) and (b); Module Four: Clause 18.</w:t>
      </w:r>
    </w:p>
    <w:p w14:paraId="2FF577A5" w14:textId="5308B6A3" w:rsidR="00F67E9E" w:rsidRPr="00102034" w:rsidRDefault="00F67E9E" w:rsidP="00F67E9E">
      <w:pPr>
        <w:pStyle w:val="AppendixText4"/>
        <w:numPr>
          <w:ilvl w:val="3"/>
          <w:numId w:val="222"/>
        </w:numPr>
        <w:tabs>
          <w:tab w:val="clear" w:pos="2520"/>
          <w:tab w:val="num" w:pos="-360"/>
        </w:tabs>
        <w:ind w:left="1440"/>
        <w:rPr>
          <w:rFonts w:eastAsia="Arial" w:cs="Arial"/>
          <w:color w:val="000000"/>
        </w:rPr>
      </w:pPr>
      <w:bookmarkStart w:id="3212" w:name="bookmark=id.32rsoto" w:colFirst="0" w:colLast="0"/>
      <w:bookmarkEnd w:id="3212"/>
      <w:r w:rsidRPr="00102034">
        <w:rPr>
          <w:rFonts w:eastAsia="Arial" w:cs="Arial"/>
          <w:color w:val="000000"/>
        </w:rPr>
        <w:t xml:space="preserve">Paragraph </w:t>
      </w:r>
      <w:r>
        <w:rPr>
          <w:rFonts w:eastAsia="Arial" w:cs="Arial"/>
          <w:color w:val="000000"/>
        </w:rPr>
        <w:fldChar w:fldCharType="begin"/>
      </w:r>
      <w:r>
        <w:rPr>
          <w:rFonts w:eastAsia="Arial" w:cs="Arial"/>
          <w:color w:val="000000"/>
        </w:rPr>
        <w:instrText xml:space="preserve"> REF _Ref141272947 \n \h </w:instrText>
      </w:r>
      <w:r>
        <w:rPr>
          <w:rFonts w:eastAsia="Arial" w:cs="Arial"/>
          <w:color w:val="000000"/>
        </w:rPr>
      </w:r>
      <w:r>
        <w:rPr>
          <w:rFonts w:eastAsia="Arial" w:cs="Arial"/>
          <w:color w:val="000000"/>
        </w:rPr>
        <w:fldChar w:fldCharType="separate"/>
      </w:r>
      <w:r w:rsidR="00302D39">
        <w:rPr>
          <w:rFonts w:eastAsia="Arial" w:cs="Arial"/>
          <w:color w:val="000000"/>
        </w:rPr>
        <w:t>(a)</w:t>
      </w:r>
      <w:r>
        <w:rPr>
          <w:rFonts w:eastAsia="Arial" w:cs="Arial"/>
          <w:color w:val="000000"/>
        </w:rPr>
        <w:fldChar w:fldCharType="end"/>
      </w:r>
      <w:r w:rsidRPr="00102034">
        <w:rPr>
          <w:rFonts w:eastAsia="Arial" w:cs="Arial"/>
          <w:color w:val="000000"/>
        </w:rPr>
        <w:t xml:space="preserve"> is without prejudice to rights of data subjects under Regulation (EU) 2016/679. </w:t>
      </w:r>
    </w:p>
    <w:p w14:paraId="76FBAEEF" w14:textId="77777777" w:rsidR="00F67E9E" w:rsidRPr="00102034" w:rsidRDefault="00F67E9E" w:rsidP="00F67E9E">
      <w:pPr>
        <w:keepNext/>
        <w:pBdr>
          <w:top w:val="nil"/>
          <w:left w:val="nil"/>
          <w:bottom w:val="nil"/>
          <w:right w:val="nil"/>
          <w:between w:val="nil"/>
        </w:pBdr>
        <w:spacing w:before="120"/>
        <w:jc w:val="center"/>
        <w:rPr>
          <w:rFonts w:eastAsia="Arial" w:cs="Arial"/>
          <w:b/>
          <w:color w:val="000000"/>
          <w:szCs w:val="24"/>
          <w:lang w:eastAsia="en-GB"/>
        </w:rPr>
      </w:pPr>
      <w:r w:rsidRPr="00102034">
        <w:rPr>
          <w:rFonts w:eastAsia="Arial" w:cs="Arial"/>
          <w:b/>
          <w:color w:val="000000"/>
          <w:szCs w:val="24"/>
          <w:lang w:eastAsia="en-GB"/>
        </w:rPr>
        <w:t>CLAUSE 4</w:t>
      </w:r>
    </w:p>
    <w:p w14:paraId="3072F74B" w14:textId="77777777" w:rsidR="00F67E9E" w:rsidRPr="00102034" w:rsidRDefault="00F67E9E" w:rsidP="00F67E9E">
      <w:pPr>
        <w:pBdr>
          <w:top w:val="nil"/>
          <w:left w:val="nil"/>
          <w:bottom w:val="nil"/>
          <w:right w:val="nil"/>
          <w:between w:val="nil"/>
        </w:pBdr>
        <w:spacing w:before="240" w:after="240"/>
        <w:ind w:firstLine="90"/>
        <w:rPr>
          <w:rFonts w:eastAsia="Arial" w:cs="Arial"/>
          <w:b/>
          <w:color w:val="000000"/>
          <w:szCs w:val="24"/>
          <w:lang w:eastAsia="en-GB"/>
        </w:rPr>
      </w:pPr>
      <w:bookmarkStart w:id="3213" w:name="bookmark=id.1hx2z1h" w:colFirst="0" w:colLast="0"/>
      <w:bookmarkEnd w:id="3213"/>
      <w:r w:rsidRPr="00102034">
        <w:rPr>
          <w:rFonts w:eastAsia="Arial" w:cs="Arial"/>
          <w:b/>
          <w:color w:val="000000"/>
          <w:szCs w:val="24"/>
          <w:lang w:eastAsia="en-GB"/>
        </w:rPr>
        <w:t>Interpretation</w:t>
      </w:r>
    </w:p>
    <w:p w14:paraId="4585C473" w14:textId="77777777" w:rsidR="00F67E9E" w:rsidRPr="00B44B25" w:rsidRDefault="00F67E9E" w:rsidP="00F67E9E">
      <w:pPr>
        <w:pStyle w:val="AppendixText4"/>
        <w:numPr>
          <w:ilvl w:val="3"/>
          <w:numId w:val="224"/>
        </w:numPr>
        <w:tabs>
          <w:tab w:val="clear" w:pos="2520"/>
          <w:tab w:val="num" w:pos="-1440"/>
        </w:tabs>
        <w:ind w:left="1440"/>
        <w:rPr>
          <w:rFonts w:eastAsia="Arial" w:cs="Arial"/>
          <w:color w:val="000000"/>
        </w:rPr>
      </w:pPr>
      <w:bookmarkStart w:id="3214" w:name="bookmark=id.41wqhpa" w:colFirst="0" w:colLast="0"/>
      <w:bookmarkEnd w:id="3214"/>
      <w:r w:rsidRPr="00B44B25">
        <w:rPr>
          <w:rFonts w:eastAsia="Arial" w:cs="Arial"/>
          <w:color w:val="000000"/>
        </w:rPr>
        <w:t>Where these Clauses use terms that are defined in Regulation (EU) 2016/679, those terms shall have the same meaning as in that Regulation.</w:t>
      </w:r>
    </w:p>
    <w:p w14:paraId="37CE3F34" w14:textId="77777777" w:rsidR="00F67E9E" w:rsidRPr="00102034" w:rsidRDefault="00F67E9E" w:rsidP="00F67E9E">
      <w:pPr>
        <w:pStyle w:val="AppendixText4"/>
        <w:numPr>
          <w:ilvl w:val="3"/>
          <w:numId w:val="222"/>
        </w:numPr>
        <w:tabs>
          <w:tab w:val="clear" w:pos="2520"/>
          <w:tab w:val="num" w:pos="-360"/>
        </w:tabs>
        <w:ind w:left="1440"/>
        <w:rPr>
          <w:rFonts w:eastAsia="Arial" w:cs="Arial"/>
          <w:color w:val="000000"/>
        </w:rPr>
      </w:pPr>
      <w:bookmarkStart w:id="3215" w:name="bookmark=id.2h20rx3" w:colFirst="0" w:colLast="0"/>
      <w:bookmarkEnd w:id="3215"/>
      <w:r w:rsidRPr="00102034">
        <w:rPr>
          <w:rFonts w:eastAsia="Arial" w:cs="Arial"/>
          <w:color w:val="000000"/>
        </w:rPr>
        <w:t>These Clauses shall be read and interpreted in the light of the provisions of Regulation (EU) 2016/679.</w:t>
      </w:r>
    </w:p>
    <w:p w14:paraId="7E5B760B" w14:textId="77777777" w:rsidR="00F67E9E" w:rsidRPr="00102034" w:rsidRDefault="00F67E9E" w:rsidP="00F67E9E">
      <w:pPr>
        <w:pStyle w:val="AppendixText4"/>
        <w:numPr>
          <w:ilvl w:val="3"/>
          <w:numId w:val="222"/>
        </w:numPr>
        <w:tabs>
          <w:tab w:val="clear" w:pos="2520"/>
          <w:tab w:val="num" w:pos="-360"/>
        </w:tabs>
        <w:ind w:left="1440"/>
        <w:rPr>
          <w:rFonts w:eastAsia="Arial" w:cs="Arial"/>
          <w:color w:val="000000"/>
        </w:rPr>
      </w:pPr>
      <w:bookmarkStart w:id="3216" w:name="bookmark=id.w7b24w" w:colFirst="0" w:colLast="0"/>
      <w:bookmarkEnd w:id="3216"/>
      <w:r w:rsidRPr="00102034">
        <w:rPr>
          <w:rFonts w:eastAsia="Arial" w:cs="Arial"/>
          <w:color w:val="000000"/>
        </w:rPr>
        <w:t>These Clauses shall not be interpreted in a way that conflicts with rights and obligations provided for in Regulation (EU) 2016/679.</w:t>
      </w:r>
    </w:p>
    <w:p w14:paraId="15CC8121" w14:textId="77777777" w:rsidR="00F67E9E" w:rsidRPr="00102034" w:rsidRDefault="00F67E9E" w:rsidP="00F67E9E">
      <w:pPr>
        <w:keepNext/>
        <w:pBdr>
          <w:top w:val="nil"/>
          <w:left w:val="nil"/>
          <w:bottom w:val="nil"/>
          <w:right w:val="nil"/>
          <w:between w:val="nil"/>
        </w:pBdr>
        <w:spacing w:before="120"/>
        <w:jc w:val="center"/>
        <w:rPr>
          <w:rFonts w:eastAsia="Arial" w:cs="Arial"/>
          <w:b/>
          <w:color w:val="000000"/>
          <w:szCs w:val="24"/>
          <w:lang w:eastAsia="en-GB"/>
        </w:rPr>
      </w:pPr>
      <w:r w:rsidRPr="00102034">
        <w:rPr>
          <w:rFonts w:eastAsia="Arial" w:cs="Arial"/>
          <w:b/>
          <w:color w:val="000000"/>
          <w:szCs w:val="24"/>
          <w:lang w:eastAsia="en-GB"/>
        </w:rPr>
        <w:t>CLAUSE 5</w:t>
      </w:r>
    </w:p>
    <w:p w14:paraId="61828FA6" w14:textId="77777777" w:rsidR="00F67E9E" w:rsidRPr="00102034" w:rsidRDefault="00F67E9E" w:rsidP="00F67E9E">
      <w:pPr>
        <w:pBdr>
          <w:top w:val="nil"/>
          <w:left w:val="nil"/>
          <w:bottom w:val="nil"/>
          <w:right w:val="nil"/>
          <w:between w:val="nil"/>
        </w:pBdr>
        <w:spacing w:before="240" w:after="240"/>
        <w:ind w:firstLine="90"/>
        <w:rPr>
          <w:rFonts w:eastAsia="Arial" w:cs="Arial"/>
          <w:b/>
          <w:color w:val="000000"/>
          <w:szCs w:val="24"/>
          <w:lang w:eastAsia="en-GB"/>
        </w:rPr>
      </w:pPr>
      <w:bookmarkStart w:id="3217" w:name="bookmark=id.3g6yksp" w:colFirst="0" w:colLast="0"/>
      <w:bookmarkEnd w:id="3217"/>
      <w:r w:rsidRPr="00102034">
        <w:rPr>
          <w:rFonts w:eastAsia="Arial" w:cs="Arial"/>
          <w:b/>
          <w:color w:val="000000"/>
          <w:szCs w:val="24"/>
          <w:lang w:eastAsia="en-GB"/>
        </w:rPr>
        <w:t>Hierarchy</w:t>
      </w:r>
    </w:p>
    <w:p w14:paraId="68CDCA24" w14:textId="77777777" w:rsidR="00F67E9E" w:rsidRPr="00102034" w:rsidRDefault="00F67E9E" w:rsidP="00F67E9E">
      <w:pPr>
        <w:pBdr>
          <w:top w:val="nil"/>
          <w:left w:val="nil"/>
          <w:bottom w:val="nil"/>
          <w:right w:val="nil"/>
          <w:between w:val="nil"/>
        </w:pBdr>
        <w:spacing w:before="120" w:after="240"/>
        <w:ind w:left="720"/>
        <w:rPr>
          <w:rFonts w:eastAsia="Arial" w:cs="Arial"/>
          <w:color w:val="000000"/>
          <w:szCs w:val="24"/>
          <w:lang w:eastAsia="en-GB"/>
        </w:rPr>
      </w:pPr>
      <w:bookmarkStart w:id="3218" w:name="bookmark=id.1vc8v0i" w:colFirst="0" w:colLast="0"/>
      <w:bookmarkEnd w:id="3218"/>
      <w:r w:rsidRPr="00102034">
        <w:rPr>
          <w:rFonts w:eastAsia="Arial" w:cs="Arial"/>
          <w:color w:val="000000"/>
          <w:szCs w:val="24"/>
          <w:lang w:eastAsia="en-GB"/>
        </w:rPr>
        <w:t>In the event of a contradiction between these Clauses and the provisions of related agreements between the Parties, existing at the time these Clauses are agreed or entered into thereafter, these Clauses shall prevail.</w:t>
      </w:r>
    </w:p>
    <w:p w14:paraId="39D0A411" w14:textId="77777777" w:rsidR="00F67E9E" w:rsidRPr="00102034" w:rsidRDefault="00F67E9E" w:rsidP="00F67E9E">
      <w:pPr>
        <w:pBdr>
          <w:top w:val="nil"/>
          <w:left w:val="nil"/>
          <w:bottom w:val="nil"/>
          <w:right w:val="nil"/>
          <w:between w:val="nil"/>
        </w:pBdr>
        <w:spacing w:before="120"/>
        <w:jc w:val="center"/>
        <w:rPr>
          <w:rFonts w:eastAsia="Arial" w:cs="Arial"/>
          <w:b/>
          <w:color w:val="000000"/>
          <w:szCs w:val="24"/>
          <w:lang w:eastAsia="en-GB"/>
        </w:rPr>
      </w:pPr>
      <w:r w:rsidRPr="00102034">
        <w:rPr>
          <w:rFonts w:eastAsia="Arial" w:cs="Arial"/>
          <w:b/>
          <w:color w:val="000000"/>
          <w:szCs w:val="24"/>
          <w:lang w:eastAsia="en-GB"/>
        </w:rPr>
        <w:t>CLAUSE 6</w:t>
      </w:r>
    </w:p>
    <w:p w14:paraId="1432E39D" w14:textId="77777777" w:rsidR="00F67E9E" w:rsidRPr="00102034" w:rsidRDefault="00F67E9E" w:rsidP="00F67E9E">
      <w:pPr>
        <w:pBdr>
          <w:top w:val="nil"/>
          <w:left w:val="nil"/>
          <w:bottom w:val="nil"/>
          <w:right w:val="nil"/>
          <w:between w:val="nil"/>
        </w:pBdr>
        <w:spacing w:before="240" w:after="240"/>
        <w:ind w:firstLine="90"/>
        <w:rPr>
          <w:rFonts w:eastAsia="Arial" w:cs="Arial"/>
          <w:b/>
          <w:color w:val="000000"/>
          <w:szCs w:val="24"/>
          <w:lang w:eastAsia="en-GB"/>
        </w:rPr>
      </w:pPr>
      <w:bookmarkStart w:id="3219" w:name="bookmark=id.4fbwdob" w:colFirst="0" w:colLast="0"/>
      <w:bookmarkEnd w:id="3219"/>
      <w:r w:rsidRPr="00102034">
        <w:rPr>
          <w:rFonts w:eastAsia="Arial" w:cs="Arial"/>
          <w:b/>
          <w:color w:val="000000"/>
          <w:szCs w:val="24"/>
          <w:lang w:eastAsia="en-GB"/>
        </w:rPr>
        <w:t>Description of the transfer(s)</w:t>
      </w:r>
    </w:p>
    <w:p w14:paraId="7F52C3CA" w14:textId="77777777" w:rsidR="00F67E9E" w:rsidRPr="00102034" w:rsidRDefault="00F67E9E" w:rsidP="00F67E9E">
      <w:pPr>
        <w:pBdr>
          <w:top w:val="nil"/>
          <w:left w:val="nil"/>
          <w:bottom w:val="nil"/>
          <w:right w:val="nil"/>
          <w:between w:val="nil"/>
        </w:pBdr>
        <w:spacing w:before="120" w:after="240"/>
        <w:ind w:left="720"/>
        <w:rPr>
          <w:rFonts w:eastAsia="Arial" w:cs="Arial"/>
          <w:color w:val="000000"/>
          <w:szCs w:val="24"/>
          <w:lang w:eastAsia="en-GB"/>
        </w:rPr>
      </w:pPr>
      <w:bookmarkStart w:id="3220" w:name="bookmark=id.2uh6nw4" w:colFirst="0" w:colLast="0"/>
      <w:bookmarkEnd w:id="3220"/>
      <w:r w:rsidRPr="00102034">
        <w:rPr>
          <w:rFonts w:eastAsia="Arial" w:cs="Arial"/>
          <w:color w:val="000000"/>
          <w:szCs w:val="24"/>
          <w:lang w:eastAsia="en-GB"/>
        </w:rPr>
        <w:t>The details of the transfer(s), and in particular the categories of personal data that are transferred and the purpose(s) for which they are transferred, are specified in Annex I.B.</w:t>
      </w:r>
    </w:p>
    <w:p w14:paraId="252E20B5" w14:textId="77777777" w:rsidR="00F67E9E" w:rsidRPr="00315C00" w:rsidRDefault="00F67E9E" w:rsidP="00F67E9E">
      <w:pPr>
        <w:pBdr>
          <w:top w:val="nil"/>
          <w:left w:val="nil"/>
          <w:bottom w:val="nil"/>
          <w:right w:val="nil"/>
          <w:between w:val="nil"/>
        </w:pBdr>
        <w:spacing w:before="120"/>
        <w:jc w:val="center"/>
        <w:rPr>
          <w:rFonts w:eastAsia="Arial" w:cs="Arial"/>
          <w:b/>
          <w:color w:val="000000"/>
          <w:szCs w:val="24"/>
          <w:highlight w:val="yellow"/>
          <w:lang w:eastAsia="en-GB"/>
        </w:rPr>
      </w:pPr>
      <w:r w:rsidRPr="00102034">
        <w:rPr>
          <w:rFonts w:eastAsia="Arial" w:cs="Arial"/>
          <w:b/>
          <w:color w:val="000000"/>
          <w:szCs w:val="24"/>
          <w:lang w:eastAsia="en-GB"/>
        </w:rPr>
        <w:t>[</w:t>
      </w:r>
      <w:r w:rsidRPr="00315C00">
        <w:rPr>
          <w:rFonts w:eastAsia="Arial" w:cs="Arial"/>
          <w:b/>
          <w:color w:val="000000"/>
          <w:szCs w:val="24"/>
          <w:highlight w:val="yellow"/>
          <w:lang w:eastAsia="en-GB"/>
        </w:rPr>
        <w:t>Optional</w:t>
      </w:r>
      <w:r>
        <w:rPr>
          <w:rFonts w:eastAsia="Arial" w:cs="Arial"/>
          <w:b/>
          <w:color w:val="000000"/>
          <w:szCs w:val="24"/>
          <w:highlight w:val="yellow"/>
          <w:lang w:eastAsia="en-GB"/>
        </w:rPr>
        <w:t xml:space="preserve">: </w:t>
      </w:r>
      <w:r w:rsidRPr="00315C00">
        <w:rPr>
          <w:rFonts w:eastAsia="Arial" w:cs="Arial"/>
          <w:b/>
          <w:color w:val="000000"/>
          <w:szCs w:val="24"/>
          <w:highlight w:val="yellow"/>
          <w:lang w:eastAsia="en-GB"/>
        </w:rPr>
        <w:t xml:space="preserve">CLAUSE 7 </w:t>
      </w:r>
    </w:p>
    <w:p w14:paraId="75A99133" w14:textId="77777777" w:rsidR="00F67E9E" w:rsidRPr="00315C00" w:rsidRDefault="00F67E9E" w:rsidP="00F67E9E">
      <w:pPr>
        <w:pBdr>
          <w:top w:val="nil"/>
          <w:left w:val="nil"/>
          <w:bottom w:val="nil"/>
          <w:right w:val="nil"/>
          <w:between w:val="nil"/>
        </w:pBdr>
        <w:spacing w:before="240" w:after="240"/>
        <w:ind w:firstLine="90"/>
        <w:rPr>
          <w:rFonts w:eastAsia="Arial" w:cs="Arial"/>
          <w:b/>
          <w:color w:val="000000"/>
          <w:szCs w:val="24"/>
          <w:highlight w:val="yellow"/>
          <w:lang w:eastAsia="en-GB"/>
        </w:rPr>
      </w:pPr>
      <w:bookmarkStart w:id="3221" w:name="bookmark=id.19mgy3x" w:colFirst="0" w:colLast="0"/>
      <w:bookmarkEnd w:id="3221"/>
      <w:r w:rsidRPr="00315C00">
        <w:rPr>
          <w:rFonts w:eastAsia="Arial" w:cs="Arial"/>
          <w:b/>
          <w:color w:val="000000"/>
          <w:szCs w:val="24"/>
          <w:highlight w:val="yellow"/>
          <w:lang w:eastAsia="en-GB"/>
        </w:rPr>
        <w:t>Docking clause</w:t>
      </w:r>
    </w:p>
    <w:p w14:paraId="05343C61" w14:textId="728E64A1" w:rsidR="00F67E9E" w:rsidRPr="00315C00" w:rsidRDefault="00F67E9E" w:rsidP="00F67E9E">
      <w:pPr>
        <w:pStyle w:val="AppendixText4"/>
        <w:numPr>
          <w:ilvl w:val="3"/>
          <w:numId w:val="225"/>
        </w:numPr>
        <w:tabs>
          <w:tab w:val="clear" w:pos="2520"/>
          <w:tab w:val="num" w:pos="-2520"/>
        </w:tabs>
        <w:ind w:left="1440"/>
        <w:rPr>
          <w:rFonts w:eastAsia="Arial" w:cs="Arial"/>
          <w:color w:val="000000"/>
          <w:highlight w:val="yellow"/>
        </w:rPr>
      </w:pPr>
      <w:bookmarkStart w:id="3222" w:name="bookmark=id.3tm4grq" w:colFirst="0" w:colLast="0"/>
      <w:bookmarkEnd w:id="3222"/>
      <w:r w:rsidRPr="00315C00">
        <w:rPr>
          <w:rFonts w:eastAsia="Arial" w:cs="Arial"/>
          <w:color w:val="000000"/>
          <w:highlight w:val="yellow"/>
        </w:rPr>
        <w:t xml:space="preserve">An entity that is not a Party to these Clauses may, with the agreement of the Parties, accede to these Clauses at any time, either as a data exporter or as a data importer, by completing the </w:t>
      </w:r>
      <w:r w:rsidRPr="00F6639A">
        <w:rPr>
          <w:rFonts w:eastAsia="Arial" w:cs="Arial"/>
          <w:color w:val="000000"/>
          <w:highlight w:val="yellow"/>
        </w:rPr>
        <w:fldChar w:fldCharType="begin"/>
      </w:r>
      <w:r w:rsidRPr="00F6639A">
        <w:rPr>
          <w:rFonts w:eastAsia="Arial" w:cs="Arial"/>
          <w:color w:val="000000"/>
          <w:highlight w:val="yellow"/>
        </w:rPr>
        <w:instrText xml:space="preserve"> REF  Schedule_31_PartB_Annex3_PartA_Appendix \* Caps \h  \* MERGEFORMAT </w:instrText>
      </w:r>
      <w:r w:rsidRPr="00F6639A">
        <w:rPr>
          <w:rFonts w:eastAsia="Arial" w:cs="Arial"/>
          <w:color w:val="000000"/>
          <w:highlight w:val="yellow"/>
        </w:rPr>
      </w:r>
      <w:r w:rsidRPr="00F6639A">
        <w:rPr>
          <w:rFonts w:eastAsia="Arial" w:cs="Arial"/>
          <w:color w:val="000000"/>
          <w:highlight w:val="yellow"/>
        </w:rPr>
        <w:fldChar w:fldCharType="separate"/>
      </w:r>
      <w:r w:rsidR="00302D39" w:rsidRPr="00302D39">
        <w:rPr>
          <w:rFonts w:eastAsia="Arial" w:cs="Arial"/>
          <w:color w:val="000000"/>
          <w:highlight w:val="yellow"/>
        </w:rPr>
        <w:t>Appendix</w:t>
      </w:r>
      <w:r w:rsidRPr="00F6639A">
        <w:rPr>
          <w:rFonts w:eastAsia="Arial" w:cs="Arial"/>
          <w:color w:val="000000"/>
          <w:highlight w:val="yellow"/>
        </w:rPr>
        <w:fldChar w:fldCharType="end"/>
      </w:r>
      <w:r w:rsidRPr="00F6639A">
        <w:rPr>
          <w:rFonts w:eastAsia="Arial" w:cs="Arial"/>
          <w:color w:val="000000"/>
          <w:highlight w:val="yellow"/>
        </w:rPr>
        <w:t xml:space="preserve"> and signing Annex I.A.</w:t>
      </w:r>
    </w:p>
    <w:p w14:paraId="3FFD099D" w14:textId="7FE1AD97" w:rsidR="00F67E9E" w:rsidRPr="00315C00" w:rsidRDefault="00F67E9E" w:rsidP="00F67E9E">
      <w:pPr>
        <w:pStyle w:val="AppendixText4"/>
        <w:numPr>
          <w:ilvl w:val="3"/>
          <w:numId w:val="224"/>
        </w:numPr>
        <w:tabs>
          <w:tab w:val="clear" w:pos="2520"/>
          <w:tab w:val="num" w:pos="-1440"/>
        </w:tabs>
        <w:ind w:left="1440"/>
        <w:rPr>
          <w:rFonts w:eastAsia="Arial" w:cs="Arial"/>
          <w:color w:val="000000"/>
          <w:highlight w:val="yellow"/>
        </w:rPr>
      </w:pPr>
      <w:bookmarkStart w:id="3223" w:name="bookmark=id.28reqzj" w:colFirst="0" w:colLast="0"/>
      <w:bookmarkEnd w:id="3223"/>
      <w:r w:rsidRPr="00315C00">
        <w:rPr>
          <w:rFonts w:eastAsia="Arial" w:cs="Arial"/>
          <w:color w:val="000000"/>
          <w:highlight w:val="yellow"/>
        </w:rPr>
        <w:t xml:space="preserve">Once it has completed the </w:t>
      </w:r>
      <w:r w:rsidRPr="00F6639A">
        <w:rPr>
          <w:rFonts w:eastAsia="Arial" w:cs="Arial"/>
          <w:color w:val="000000"/>
          <w:highlight w:val="yellow"/>
        </w:rPr>
        <w:fldChar w:fldCharType="begin"/>
      </w:r>
      <w:r w:rsidRPr="00F6639A">
        <w:rPr>
          <w:rFonts w:eastAsia="Arial" w:cs="Arial"/>
          <w:color w:val="000000"/>
          <w:highlight w:val="yellow"/>
        </w:rPr>
        <w:instrText xml:space="preserve"> REF  Schedule_31_PartB_Annex3_PartA_Appendix \* Caps \h  \* MERGEFORMAT </w:instrText>
      </w:r>
      <w:r w:rsidRPr="00F6639A">
        <w:rPr>
          <w:rFonts w:eastAsia="Arial" w:cs="Arial"/>
          <w:color w:val="000000"/>
          <w:highlight w:val="yellow"/>
        </w:rPr>
      </w:r>
      <w:r w:rsidRPr="00F6639A">
        <w:rPr>
          <w:rFonts w:eastAsia="Arial" w:cs="Arial"/>
          <w:color w:val="000000"/>
          <w:highlight w:val="yellow"/>
        </w:rPr>
        <w:fldChar w:fldCharType="separate"/>
      </w:r>
      <w:r w:rsidR="00302D39" w:rsidRPr="00302D39">
        <w:rPr>
          <w:rFonts w:eastAsia="Arial" w:cs="Arial"/>
          <w:color w:val="000000"/>
          <w:highlight w:val="yellow"/>
        </w:rPr>
        <w:t>Appendix</w:t>
      </w:r>
      <w:r w:rsidRPr="00F6639A">
        <w:rPr>
          <w:rFonts w:eastAsia="Arial" w:cs="Arial"/>
          <w:color w:val="000000"/>
          <w:highlight w:val="yellow"/>
        </w:rPr>
        <w:fldChar w:fldCharType="end"/>
      </w:r>
      <w:r w:rsidRPr="00F6639A">
        <w:rPr>
          <w:rFonts w:eastAsia="Arial" w:cs="Arial"/>
          <w:color w:val="000000"/>
          <w:highlight w:val="yellow"/>
        </w:rPr>
        <w:t xml:space="preserve"> and </w:t>
      </w:r>
      <w:r w:rsidRPr="00315C00">
        <w:rPr>
          <w:rFonts w:eastAsia="Arial" w:cs="Arial"/>
          <w:color w:val="000000"/>
          <w:highlight w:val="yellow"/>
        </w:rPr>
        <w:t>signed Annex I.A, the acceding entity shall become a Party to these Clauses and have the rights and obligations of a data exporter or data importer in accordance with its designation in Annex I.A.</w:t>
      </w:r>
    </w:p>
    <w:p w14:paraId="6966A499" w14:textId="77777777" w:rsidR="00F67E9E" w:rsidRPr="00102034" w:rsidRDefault="00F67E9E" w:rsidP="00F67E9E">
      <w:pPr>
        <w:pStyle w:val="AppendixText4"/>
        <w:numPr>
          <w:ilvl w:val="3"/>
          <w:numId w:val="224"/>
        </w:numPr>
        <w:tabs>
          <w:tab w:val="clear" w:pos="2520"/>
          <w:tab w:val="num" w:pos="-1440"/>
        </w:tabs>
        <w:ind w:left="1440"/>
        <w:rPr>
          <w:rFonts w:eastAsia="Arial" w:cs="Arial"/>
          <w:color w:val="000000"/>
        </w:rPr>
      </w:pPr>
      <w:bookmarkStart w:id="3224" w:name="bookmark=id.nwp17c" w:colFirst="0" w:colLast="0"/>
      <w:bookmarkEnd w:id="3224"/>
      <w:r w:rsidRPr="00315C00">
        <w:rPr>
          <w:rFonts w:eastAsia="Arial" w:cs="Arial"/>
          <w:color w:val="000000"/>
          <w:highlight w:val="yellow"/>
        </w:rPr>
        <w:t>The acceding entity shall have no rights or obligations arising under these Clauses from the period prior to becoming a Party</w:t>
      </w:r>
      <w:r w:rsidRPr="00102034">
        <w:rPr>
          <w:rFonts w:eastAsia="Arial" w:cs="Arial"/>
          <w:color w:val="000000"/>
        </w:rPr>
        <w:t>.]</w:t>
      </w:r>
    </w:p>
    <w:p w14:paraId="21C5763F" w14:textId="77777777" w:rsidR="00F67E9E" w:rsidRPr="00102034" w:rsidRDefault="00F67E9E" w:rsidP="00F67E9E">
      <w:pPr>
        <w:keepNext/>
        <w:pBdr>
          <w:top w:val="nil"/>
          <w:left w:val="nil"/>
          <w:bottom w:val="nil"/>
          <w:right w:val="nil"/>
          <w:between w:val="nil"/>
        </w:pBdr>
        <w:spacing w:before="120"/>
        <w:jc w:val="center"/>
        <w:rPr>
          <w:rFonts w:eastAsia="Arial" w:cs="Arial"/>
          <w:b/>
          <w:color w:val="000000"/>
          <w:szCs w:val="24"/>
          <w:lang w:eastAsia="en-GB"/>
        </w:rPr>
      </w:pPr>
      <w:r w:rsidRPr="00102034">
        <w:rPr>
          <w:rFonts w:eastAsia="Arial" w:cs="Arial"/>
          <w:b/>
          <w:color w:val="000000"/>
          <w:szCs w:val="24"/>
          <w:lang w:eastAsia="en-GB"/>
        </w:rPr>
        <w:t>SECTION II – OBLIGATIONS OF THE PARTIES</w:t>
      </w:r>
    </w:p>
    <w:p w14:paraId="2F56219C" w14:textId="77777777" w:rsidR="00F67E9E" w:rsidRPr="00102034" w:rsidRDefault="00F67E9E" w:rsidP="00F67E9E">
      <w:pPr>
        <w:keepNext/>
        <w:pBdr>
          <w:top w:val="nil"/>
          <w:left w:val="nil"/>
          <w:bottom w:val="nil"/>
          <w:right w:val="nil"/>
          <w:between w:val="nil"/>
        </w:pBdr>
        <w:spacing w:before="120"/>
        <w:jc w:val="center"/>
        <w:rPr>
          <w:rFonts w:eastAsia="Arial" w:cs="Arial"/>
          <w:b/>
          <w:color w:val="000000"/>
          <w:szCs w:val="24"/>
          <w:lang w:eastAsia="en-GB"/>
        </w:rPr>
      </w:pPr>
      <w:r w:rsidRPr="00102034">
        <w:rPr>
          <w:rFonts w:eastAsia="Arial" w:cs="Arial"/>
          <w:b/>
          <w:color w:val="000000"/>
          <w:szCs w:val="24"/>
          <w:lang w:eastAsia="en-GB"/>
        </w:rPr>
        <w:t>CLAUSE 8</w:t>
      </w:r>
    </w:p>
    <w:p w14:paraId="16542588" w14:textId="77777777" w:rsidR="00F67E9E" w:rsidRPr="00102034" w:rsidRDefault="00F67E9E" w:rsidP="00F67E9E">
      <w:pPr>
        <w:pBdr>
          <w:top w:val="nil"/>
          <w:left w:val="nil"/>
          <w:bottom w:val="nil"/>
          <w:right w:val="nil"/>
          <w:between w:val="nil"/>
        </w:pBdr>
        <w:spacing w:before="240" w:after="240"/>
        <w:ind w:firstLine="90"/>
        <w:rPr>
          <w:rFonts w:eastAsia="Arial" w:cs="Arial"/>
          <w:b/>
          <w:color w:val="000000"/>
          <w:szCs w:val="24"/>
          <w:lang w:eastAsia="en-GB"/>
        </w:rPr>
      </w:pPr>
      <w:bookmarkStart w:id="3225" w:name="bookmark=id.37wcjv5" w:colFirst="0" w:colLast="0"/>
      <w:bookmarkEnd w:id="3225"/>
      <w:r w:rsidRPr="00102034">
        <w:rPr>
          <w:rFonts w:eastAsia="Arial" w:cs="Arial"/>
          <w:b/>
          <w:color w:val="000000"/>
          <w:szCs w:val="24"/>
          <w:lang w:eastAsia="en-GB"/>
        </w:rPr>
        <w:t>Data protection safeguards</w:t>
      </w:r>
    </w:p>
    <w:p w14:paraId="35308D4D" w14:textId="77777777" w:rsidR="00F67E9E" w:rsidRPr="00102034" w:rsidRDefault="00F67E9E" w:rsidP="00F67E9E">
      <w:pPr>
        <w:pBdr>
          <w:top w:val="nil"/>
          <w:left w:val="nil"/>
          <w:bottom w:val="nil"/>
          <w:right w:val="nil"/>
          <w:between w:val="nil"/>
        </w:pBdr>
        <w:spacing w:before="120" w:after="240"/>
        <w:ind w:left="720"/>
        <w:rPr>
          <w:rFonts w:eastAsia="Arial" w:cs="Arial"/>
          <w:color w:val="000000"/>
          <w:szCs w:val="24"/>
          <w:lang w:eastAsia="en-GB"/>
        </w:rPr>
      </w:pPr>
      <w:bookmarkStart w:id="3226" w:name="bookmark=id.1n1mu2y" w:colFirst="0" w:colLast="0"/>
      <w:bookmarkEnd w:id="3226"/>
      <w:r w:rsidRPr="00102034">
        <w:rPr>
          <w:rFonts w:eastAsia="Arial" w:cs="Arial"/>
          <w:color w:val="000000"/>
          <w:szCs w:val="24"/>
          <w:lang w:eastAsia="en-GB"/>
        </w:rPr>
        <w:t>The data exporter warrants that it has used reasonable efforts to determine that the data importer is able, through the implementation of appropriate technical and organisational measures, to satisfy its obligations under these Clauses.</w:t>
      </w:r>
    </w:p>
    <w:p w14:paraId="22A993F9" w14:textId="77777777" w:rsidR="00F67E9E" w:rsidRPr="00CE44CB" w:rsidRDefault="00F67E9E" w:rsidP="00F67E9E">
      <w:pPr>
        <w:pStyle w:val="AppendixText2"/>
        <w:numPr>
          <w:ilvl w:val="0"/>
          <w:numId w:val="0"/>
        </w:numPr>
        <w:ind w:left="720" w:hanging="720"/>
        <w:rPr>
          <w:b/>
          <w:bCs/>
        </w:rPr>
      </w:pPr>
      <w:bookmarkStart w:id="3227" w:name="bookmark=id.471acqr" w:colFirst="0" w:colLast="0"/>
      <w:bookmarkStart w:id="3228" w:name="Sched31SecIIclause8"/>
      <w:bookmarkEnd w:id="3227"/>
      <w:r w:rsidRPr="00CE44CB">
        <w:rPr>
          <w:b/>
          <w:bCs/>
        </w:rPr>
        <w:t>8.1</w:t>
      </w:r>
      <w:bookmarkEnd w:id="3228"/>
      <w:r w:rsidRPr="00CE44CB">
        <w:rPr>
          <w:b/>
          <w:bCs/>
        </w:rPr>
        <w:tab/>
        <w:t>Instructions</w:t>
      </w:r>
    </w:p>
    <w:p w14:paraId="5E9E787E" w14:textId="77777777" w:rsidR="00F67E9E" w:rsidRPr="00CE44CB" w:rsidRDefault="00F67E9E" w:rsidP="00F67E9E">
      <w:pPr>
        <w:pStyle w:val="AppendixText4"/>
        <w:numPr>
          <w:ilvl w:val="3"/>
          <w:numId w:val="226"/>
        </w:numPr>
        <w:tabs>
          <w:tab w:val="clear" w:pos="2520"/>
          <w:tab w:val="num" w:pos="-2520"/>
        </w:tabs>
        <w:ind w:left="1440"/>
        <w:rPr>
          <w:rFonts w:eastAsia="Arial" w:cs="Arial"/>
          <w:color w:val="000000"/>
        </w:rPr>
      </w:pPr>
      <w:bookmarkStart w:id="3229" w:name="bookmark=id.2m6kmyk" w:colFirst="0" w:colLast="0"/>
      <w:bookmarkEnd w:id="3229"/>
      <w:r w:rsidRPr="00CE44CB">
        <w:rPr>
          <w:rFonts w:eastAsia="Arial" w:cs="Arial"/>
          <w:color w:val="000000"/>
        </w:rPr>
        <w:t>The data exporter shall process the personal data only on documented instructions from the data importer acting as its controller.</w:t>
      </w:r>
    </w:p>
    <w:p w14:paraId="00816D18" w14:textId="77777777" w:rsidR="00F67E9E" w:rsidRPr="00102034" w:rsidRDefault="00F67E9E" w:rsidP="00F67E9E">
      <w:pPr>
        <w:pStyle w:val="AppendixText4"/>
        <w:numPr>
          <w:ilvl w:val="3"/>
          <w:numId w:val="224"/>
        </w:numPr>
        <w:tabs>
          <w:tab w:val="clear" w:pos="2520"/>
          <w:tab w:val="num" w:pos="-1440"/>
        </w:tabs>
        <w:ind w:left="1440"/>
        <w:rPr>
          <w:rFonts w:eastAsia="Arial" w:cs="Arial"/>
          <w:color w:val="000000"/>
        </w:rPr>
      </w:pPr>
      <w:bookmarkStart w:id="3230" w:name="bookmark=id.11bux6d" w:colFirst="0" w:colLast="0"/>
      <w:bookmarkEnd w:id="3230"/>
      <w:r w:rsidRPr="00102034">
        <w:rPr>
          <w:rFonts w:eastAsia="Arial" w:cs="Arial"/>
          <w:color w:val="000000"/>
        </w:rPr>
        <w:t>The data exporter shall immediately inform the data importer if it is unable to follow those instructions, including if such instructions infringe Regulation (EU) 2016/679 or other Union or Member State data protection law.</w:t>
      </w:r>
    </w:p>
    <w:p w14:paraId="0042D3BE" w14:textId="77777777" w:rsidR="00F67E9E" w:rsidRPr="00102034" w:rsidRDefault="00F67E9E" w:rsidP="00F67E9E">
      <w:pPr>
        <w:pStyle w:val="AppendixText4"/>
        <w:numPr>
          <w:ilvl w:val="3"/>
          <w:numId w:val="224"/>
        </w:numPr>
        <w:tabs>
          <w:tab w:val="clear" w:pos="2520"/>
          <w:tab w:val="num" w:pos="-1440"/>
        </w:tabs>
        <w:ind w:left="1440"/>
        <w:rPr>
          <w:rFonts w:eastAsia="Arial" w:cs="Arial"/>
          <w:color w:val="000000"/>
        </w:rPr>
      </w:pPr>
      <w:bookmarkStart w:id="3231" w:name="bookmark=id.3lbifu6" w:colFirst="0" w:colLast="0"/>
      <w:bookmarkEnd w:id="3231"/>
      <w:r w:rsidRPr="00102034">
        <w:rPr>
          <w:rFonts w:eastAsia="Arial" w:cs="Arial"/>
          <w:color w:val="000000"/>
        </w:rPr>
        <w:t>The data importer shall refrain from any action that would prevent the data exporter from fulfilling its obligations under Regulation (EU) 2016/679, including in the context of sub-processing or as regards cooperation with competent supervisory authorities.</w:t>
      </w:r>
    </w:p>
    <w:p w14:paraId="1EC1BEF9" w14:textId="77777777" w:rsidR="00F67E9E" w:rsidRPr="00102034" w:rsidRDefault="00F67E9E" w:rsidP="00F67E9E">
      <w:pPr>
        <w:pStyle w:val="AppendixText4"/>
        <w:numPr>
          <w:ilvl w:val="3"/>
          <w:numId w:val="224"/>
        </w:numPr>
        <w:tabs>
          <w:tab w:val="clear" w:pos="2520"/>
          <w:tab w:val="num" w:pos="-1440"/>
        </w:tabs>
        <w:ind w:left="1440"/>
        <w:rPr>
          <w:rFonts w:eastAsia="Arial" w:cs="Arial"/>
          <w:color w:val="000000"/>
        </w:rPr>
      </w:pPr>
      <w:bookmarkStart w:id="3232" w:name="bookmark=id.20gsq1z" w:colFirst="0" w:colLast="0"/>
      <w:bookmarkEnd w:id="3232"/>
      <w:r w:rsidRPr="00102034">
        <w:rPr>
          <w:rFonts w:eastAsia="Arial" w:cs="Arial"/>
          <w:color w:val="000000"/>
        </w:rPr>
        <w:t>After the end of the provision of the processing services, the data exporter shall, at the choice of the data importer, delete all personal data processed on behalf of the data importer and certify to the data importer that it has done so, or return to the data importer all personal data processed on its behalf and delete existing copies.</w:t>
      </w:r>
    </w:p>
    <w:p w14:paraId="09C8161C" w14:textId="77777777" w:rsidR="00F67E9E" w:rsidRPr="00102034" w:rsidRDefault="00F67E9E" w:rsidP="00F67E9E">
      <w:pPr>
        <w:pStyle w:val="AppendixText2"/>
        <w:numPr>
          <w:ilvl w:val="0"/>
          <w:numId w:val="0"/>
        </w:numPr>
        <w:ind w:left="720" w:hanging="720"/>
        <w:rPr>
          <w:rFonts w:eastAsia="Arial" w:cs="Arial"/>
          <w:b/>
          <w:color w:val="000000"/>
        </w:rPr>
      </w:pPr>
      <w:bookmarkStart w:id="3233" w:name="bookmark=id.4kgg8ps" w:colFirst="0" w:colLast="0"/>
      <w:bookmarkStart w:id="3234" w:name="Schedule31SecIIclause882"/>
      <w:bookmarkEnd w:id="3233"/>
      <w:r w:rsidRPr="00102034">
        <w:rPr>
          <w:rFonts w:eastAsia="Arial" w:cs="Arial"/>
          <w:b/>
          <w:color w:val="000000"/>
        </w:rPr>
        <w:t>8.2</w:t>
      </w:r>
      <w:bookmarkEnd w:id="3234"/>
      <w:r>
        <w:rPr>
          <w:rFonts w:eastAsia="Arial" w:cs="Arial"/>
          <w:b/>
          <w:color w:val="000000"/>
        </w:rPr>
        <w:tab/>
      </w:r>
      <w:r w:rsidRPr="00102034">
        <w:rPr>
          <w:rFonts w:eastAsia="Arial" w:cs="Arial"/>
          <w:b/>
          <w:color w:val="000000"/>
        </w:rPr>
        <w:t>Security of processing</w:t>
      </w:r>
    </w:p>
    <w:p w14:paraId="5C04EE5C" w14:textId="77777777" w:rsidR="00F67E9E" w:rsidRPr="00CE53CE" w:rsidRDefault="00F67E9E" w:rsidP="00F67E9E">
      <w:pPr>
        <w:pStyle w:val="AppendixText4"/>
        <w:numPr>
          <w:ilvl w:val="3"/>
          <w:numId w:val="227"/>
        </w:numPr>
        <w:tabs>
          <w:tab w:val="clear" w:pos="2520"/>
          <w:tab w:val="num" w:pos="-2520"/>
        </w:tabs>
        <w:ind w:left="1440"/>
        <w:rPr>
          <w:rFonts w:eastAsia="Arial" w:cs="Arial"/>
          <w:color w:val="000000"/>
        </w:rPr>
      </w:pPr>
      <w:bookmarkStart w:id="3235" w:name="bookmark=id.2zlqixl" w:colFirst="0" w:colLast="0"/>
      <w:bookmarkStart w:id="3236" w:name="_Ref141247572"/>
      <w:bookmarkEnd w:id="3235"/>
      <w:r w:rsidRPr="00CE53CE">
        <w:rPr>
          <w:rFonts w:eastAsia="Arial" w:cs="Arial"/>
          <w:color w:val="000000"/>
        </w:rPr>
        <w:t>The Parties shall implement appropriate technical and organisational measures to ensure the security of the data, including during transmission, and protection against a breach of security leading to accidental or unlawful destruction, loss, alteration, unauthorised disclosure or access (hereinafter 'personal data breach'). In assessing the appropriate level of security, they shall take due account of the state of the art, the costs of implementation, the nature of the personal data[</w:t>
      </w:r>
      <w:hyperlink w:anchor="bookmark=id.rtofi4">
        <w:r w:rsidRPr="00CE53CE">
          <w:rPr>
            <w:rFonts w:eastAsia="Arial" w:cs="Arial"/>
            <w:color w:val="0000FF"/>
            <w:u w:val="single"/>
          </w:rPr>
          <w:t>FN7</w:t>
        </w:r>
      </w:hyperlink>
      <w:r w:rsidRPr="00CE53CE">
        <w:rPr>
          <w:rFonts w:eastAsia="Arial" w:cs="Arial"/>
          <w:color w:val="000000"/>
        </w:rPr>
        <w:t>], the nature, scope, context and purpose(s) of processing and the risks involved in the processing for the data subjects, and in particular consider having recourse to encryption or pseudonymisation, including during transmission, where the purpose of processing can be fulfilled in that manner.</w:t>
      </w:r>
      <w:bookmarkEnd w:id="3236"/>
    </w:p>
    <w:p w14:paraId="4439367C" w14:textId="7E5707F2" w:rsidR="00F67E9E" w:rsidRPr="00102034" w:rsidRDefault="00F67E9E" w:rsidP="00F67E9E">
      <w:pPr>
        <w:pStyle w:val="AppendixText4"/>
        <w:numPr>
          <w:ilvl w:val="3"/>
          <w:numId w:val="224"/>
        </w:numPr>
        <w:tabs>
          <w:tab w:val="clear" w:pos="2520"/>
          <w:tab w:val="num" w:pos="-1440"/>
        </w:tabs>
        <w:ind w:left="1440"/>
        <w:rPr>
          <w:rFonts w:eastAsia="Arial" w:cs="Arial"/>
          <w:color w:val="000000"/>
        </w:rPr>
      </w:pPr>
      <w:bookmarkStart w:id="3237" w:name="bookmark=id.1er0t5e" w:colFirst="0" w:colLast="0"/>
      <w:bookmarkEnd w:id="3237"/>
      <w:r w:rsidRPr="00102034">
        <w:rPr>
          <w:rFonts w:eastAsia="Arial" w:cs="Arial"/>
          <w:color w:val="000000"/>
        </w:rPr>
        <w:t xml:space="preserve">The data exporter shall assist the data importer in ensuring appropriate security of the data in accordance with paragraph </w:t>
      </w:r>
      <w:r w:rsidRPr="0093539C">
        <w:rPr>
          <w:rFonts w:eastAsia="Arial" w:cs="Arial"/>
          <w:color w:val="000000"/>
        </w:rPr>
        <w:fldChar w:fldCharType="begin"/>
      </w:r>
      <w:r w:rsidRPr="0093539C">
        <w:rPr>
          <w:rFonts w:eastAsia="Arial" w:cs="Arial"/>
          <w:color w:val="000000"/>
        </w:rPr>
        <w:instrText xml:space="preserve"> REF Schedule31SecIIclause882 \h  \* MERGEFORMAT </w:instrText>
      </w:r>
      <w:r w:rsidRPr="0093539C">
        <w:rPr>
          <w:rFonts w:eastAsia="Arial" w:cs="Arial"/>
          <w:color w:val="000000"/>
        </w:rPr>
      </w:r>
      <w:r w:rsidRPr="0093539C">
        <w:rPr>
          <w:rFonts w:eastAsia="Arial" w:cs="Arial"/>
          <w:color w:val="000000"/>
        </w:rPr>
        <w:fldChar w:fldCharType="separate"/>
      </w:r>
      <w:r w:rsidR="00302D39" w:rsidRPr="00302D39">
        <w:rPr>
          <w:rFonts w:eastAsia="Arial" w:cs="Arial"/>
          <w:color w:val="000000"/>
        </w:rPr>
        <w:t>8.2</w:t>
      </w:r>
      <w:r w:rsidRPr="0093539C">
        <w:rPr>
          <w:rFonts w:eastAsia="Arial" w:cs="Arial"/>
          <w:color w:val="000000"/>
        </w:rPr>
        <w:fldChar w:fldCharType="end"/>
      </w:r>
      <w:r>
        <w:rPr>
          <w:rFonts w:eastAsia="Arial" w:cs="Arial"/>
          <w:color w:val="000000"/>
        </w:rPr>
        <w:fldChar w:fldCharType="begin"/>
      </w:r>
      <w:r>
        <w:rPr>
          <w:rFonts w:eastAsia="Arial" w:cs="Arial"/>
          <w:color w:val="000000"/>
        </w:rPr>
        <w:instrText xml:space="preserve"> REF _Ref141247572 \n \h </w:instrText>
      </w:r>
      <w:r>
        <w:rPr>
          <w:rFonts w:eastAsia="Arial" w:cs="Arial"/>
          <w:color w:val="000000"/>
        </w:rPr>
      </w:r>
      <w:r>
        <w:rPr>
          <w:rFonts w:eastAsia="Arial" w:cs="Arial"/>
          <w:color w:val="000000"/>
        </w:rPr>
        <w:fldChar w:fldCharType="separate"/>
      </w:r>
      <w:r w:rsidR="00302D39">
        <w:rPr>
          <w:rFonts w:eastAsia="Arial" w:cs="Arial"/>
          <w:color w:val="000000"/>
        </w:rPr>
        <w:t>(a)</w:t>
      </w:r>
      <w:r>
        <w:rPr>
          <w:rFonts w:eastAsia="Arial" w:cs="Arial"/>
          <w:color w:val="000000"/>
        </w:rPr>
        <w:fldChar w:fldCharType="end"/>
      </w:r>
      <w:r w:rsidRPr="00102034">
        <w:rPr>
          <w:rFonts w:eastAsia="Arial" w:cs="Arial"/>
          <w:color w:val="000000"/>
        </w:rPr>
        <w:t>‎. In case of a personal data breach concerning the personal data processed by the data exporter under these Clauses, the data exporter shall notify the data importer without undue delay after becoming aware of it and assist the data importer in addressing the breach.</w:t>
      </w:r>
    </w:p>
    <w:p w14:paraId="61EBFE93" w14:textId="77777777" w:rsidR="00F67E9E" w:rsidRPr="00102034" w:rsidRDefault="00F67E9E" w:rsidP="00F67E9E">
      <w:pPr>
        <w:pStyle w:val="AppendixText4"/>
        <w:numPr>
          <w:ilvl w:val="3"/>
          <w:numId w:val="224"/>
        </w:numPr>
        <w:tabs>
          <w:tab w:val="clear" w:pos="2520"/>
          <w:tab w:val="num" w:pos="-1440"/>
        </w:tabs>
        <w:ind w:left="1440"/>
        <w:rPr>
          <w:rFonts w:eastAsia="Arial" w:cs="Arial"/>
          <w:color w:val="000000"/>
        </w:rPr>
      </w:pPr>
      <w:bookmarkStart w:id="3238" w:name="bookmark=id.3yqobt7" w:colFirst="0" w:colLast="0"/>
      <w:bookmarkEnd w:id="3238"/>
      <w:r w:rsidRPr="00102034">
        <w:rPr>
          <w:rFonts w:eastAsia="Arial" w:cs="Arial"/>
          <w:color w:val="000000"/>
        </w:rPr>
        <w:t>The data exporter shall ensure that persons authorised to process the personal data have committed themselves to confidentiality or are under an appropriate statutory obligation of confidentiality.</w:t>
      </w:r>
    </w:p>
    <w:p w14:paraId="35922AD7" w14:textId="77777777" w:rsidR="00F67E9E" w:rsidRPr="00102034" w:rsidRDefault="00F67E9E" w:rsidP="00F67E9E">
      <w:pPr>
        <w:pStyle w:val="AppendixText2"/>
        <w:numPr>
          <w:ilvl w:val="0"/>
          <w:numId w:val="0"/>
        </w:numPr>
        <w:ind w:left="720" w:hanging="720"/>
        <w:rPr>
          <w:rFonts w:eastAsia="Arial" w:cs="Arial"/>
          <w:b/>
          <w:color w:val="000000"/>
        </w:rPr>
      </w:pPr>
      <w:bookmarkStart w:id="3239" w:name="bookmark=id.2dvym10" w:colFirst="0" w:colLast="0"/>
      <w:bookmarkStart w:id="3240" w:name="Schedule31SecIIclause883"/>
      <w:bookmarkEnd w:id="3239"/>
      <w:r w:rsidRPr="00102034">
        <w:rPr>
          <w:rFonts w:eastAsia="Arial" w:cs="Arial"/>
          <w:b/>
          <w:color w:val="000000"/>
        </w:rPr>
        <w:t>8.3</w:t>
      </w:r>
      <w:bookmarkEnd w:id="3240"/>
      <w:r>
        <w:rPr>
          <w:rFonts w:eastAsia="Arial" w:cs="Arial"/>
          <w:b/>
          <w:color w:val="000000"/>
        </w:rPr>
        <w:tab/>
      </w:r>
      <w:r w:rsidRPr="00102034">
        <w:rPr>
          <w:rFonts w:eastAsia="Arial" w:cs="Arial"/>
          <w:b/>
          <w:color w:val="000000"/>
        </w:rPr>
        <w:t>Documentation and compliance</w:t>
      </w:r>
    </w:p>
    <w:p w14:paraId="438240FD" w14:textId="77777777" w:rsidR="00F67E9E" w:rsidRPr="00102034" w:rsidRDefault="00F67E9E" w:rsidP="00F67E9E">
      <w:pPr>
        <w:numPr>
          <w:ilvl w:val="1"/>
          <w:numId w:val="16"/>
        </w:numPr>
        <w:pBdr>
          <w:top w:val="nil"/>
          <w:left w:val="nil"/>
          <w:bottom w:val="nil"/>
          <w:right w:val="nil"/>
          <w:between w:val="nil"/>
        </w:pBdr>
        <w:spacing w:before="120" w:after="240" w:line="276" w:lineRule="auto"/>
        <w:ind w:left="0"/>
        <w:rPr>
          <w:rFonts w:eastAsia="Arial" w:cs="Arial"/>
          <w:color w:val="000000"/>
          <w:szCs w:val="24"/>
          <w:lang w:eastAsia="en-GB"/>
        </w:rPr>
      </w:pPr>
      <w:bookmarkStart w:id="3241" w:name="bookmark=id.t18w8t" w:colFirst="0" w:colLast="0"/>
      <w:bookmarkEnd w:id="3241"/>
      <w:r w:rsidRPr="00102034">
        <w:rPr>
          <w:rFonts w:eastAsia="Arial" w:cs="Arial"/>
          <w:color w:val="000000"/>
          <w:szCs w:val="24"/>
          <w:lang w:eastAsia="en-GB"/>
        </w:rPr>
        <w:t>The Parties shall be able to demonstrate compliance with these Clauses.</w:t>
      </w:r>
    </w:p>
    <w:p w14:paraId="7703FD4D" w14:textId="77777777" w:rsidR="00F67E9E" w:rsidRPr="00102034" w:rsidRDefault="00F67E9E" w:rsidP="00F67E9E">
      <w:pPr>
        <w:numPr>
          <w:ilvl w:val="1"/>
          <w:numId w:val="16"/>
        </w:numPr>
        <w:pBdr>
          <w:top w:val="nil"/>
          <w:left w:val="nil"/>
          <w:bottom w:val="nil"/>
          <w:right w:val="nil"/>
          <w:between w:val="nil"/>
        </w:pBdr>
        <w:spacing w:before="120" w:after="240" w:line="276" w:lineRule="auto"/>
        <w:ind w:left="1440" w:hanging="720"/>
        <w:rPr>
          <w:rFonts w:eastAsia="Arial" w:cs="Arial"/>
          <w:color w:val="000000"/>
          <w:szCs w:val="24"/>
          <w:lang w:eastAsia="en-GB"/>
        </w:rPr>
      </w:pPr>
      <w:bookmarkStart w:id="3242" w:name="bookmark=id.3d0wewm" w:colFirst="0" w:colLast="0"/>
      <w:bookmarkEnd w:id="3242"/>
      <w:r w:rsidRPr="00102034">
        <w:rPr>
          <w:rFonts w:eastAsia="Arial" w:cs="Arial"/>
          <w:color w:val="000000"/>
          <w:szCs w:val="24"/>
          <w:lang w:eastAsia="en-GB"/>
        </w:rPr>
        <w:t>The data exporter shall make available to the data importer all information necessary to demonstrate compliance with its obligations under these Clauses and allow for and contribute to audits.</w:t>
      </w:r>
    </w:p>
    <w:p w14:paraId="6F19798B" w14:textId="77777777" w:rsidR="00F67E9E" w:rsidRPr="00102034" w:rsidRDefault="00F67E9E" w:rsidP="00F67E9E">
      <w:pPr>
        <w:pBdr>
          <w:top w:val="nil"/>
          <w:left w:val="nil"/>
          <w:bottom w:val="nil"/>
          <w:right w:val="nil"/>
          <w:between w:val="nil"/>
        </w:pBdr>
        <w:spacing w:before="120"/>
        <w:jc w:val="center"/>
        <w:rPr>
          <w:rFonts w:eastAsia="Arial" w:cs="Arial"/>
          <w:b/>
          <w:color w:val="000000"/>
          <w:szCs w:val="24"/>
          <w:lang w:eastAsia="en-GB"/>
        </w:rPr>
      </w:pPr>
      <w:r w:rsidRPr="00102034">
        <w:rPr>
          <w:rFonts w:eastAsia="Arial" w:cs="Arial"/>
          <w:b/>
          <w:color w:val="000000"/>
          <w:szCs w:val="24"/>
          <w:lang w:eastAsia="en-GB"/>
        </w:rPr>
        <w:t>CLAUSE 9</w:t>
      </w:r>
    </w:p>
    <w:p w14:paraId="3F58AC07" w14:textId="77777777" w:rsidR="00F67E9E" w:rsidRPr="00102034" w:rsidRDefault="00F67E9E" w:rsidP="00F67E9E">
      <w:pPr>
        <w:pBdr>
          <w:top w:val="nil"/>
          <w:left w:val="nil"/>
          <w:bottom w:val="nil"/>
          <w:right w:val="nil"/>
          <w:between w:val="nil"/>
        </w:pBdr>
        <w:spacing w:before="240" w:after="240"/>
        <w:ind w:firstLine="90"/>
        <w:rPr>
          <w:rFonts w:eastAsia="Arial" w:cs="Arial"/>
          <w:b/>
          <w:color w:val="000000"/>
          <w:szCs w:val="24"/>
          <w:lang w:eastAsia="en-GB"/>
        </w:rPr>
      </w:pPr>
      <w:bookmarkStart w:id="3243" w:name="bookmark=id.1s66p4f" w:colFirst="0" w:colLast="0"/>
      <w:bookmarkEnd w:id="3243"/>
      <w:r w:rsidRPr="00102034">
        <w:rPr>
          <w:rFonts w:eastAsia="Arial" w:cs="Arial"/>
          <w:b/>
          <w:color w:val="000000"/>
          <w:szCs w:val="24"/>
          <w:lang w:eastAsia="en-GB"/>
        </w:rPr>
        <w:t>Use of sub-processors</w:t>
      </w:r>
    </w:p>
    <w:p w14:paraId="47CC5CFD" w14:textId="77777777" w:rsidR="00F67E9E" w:rsidRPr="00102034" w:rsidRDefault="00F67E9E" w:rsidP="00F67E9E">
      <w:pPr>
        <w:pBdr>
          <w:top w:val="nil"/>
          <w:left w:val="nil"/>
          <w:bottom w:val="nil"/>
          <w:right w:val="nil"/>
          <w:between w:val="nil"/>
        </w:pBdr>
        <w:spacing w:before="120"/>
        <w:ind w:left="720"/>
        <w:rPr>
          <w:rFonts w:eastAsia="Arial" w:cs="Arial"/>
          <w:color w:val="000000"/>
          <w:szCs w:val="24"/>
          <w:lang w:eastAsia="en-GB"/>
        </w:rPr>
      </w:pPr>
      <w:r w:rsidRPr="00102034">
        <w:rPr>
          <w:rFonts w:eastAsia="Arial" w:cs="Arial"/>
          <w:color w:val="000000"/>
          <w:szCs w:val="24"/>
          <w:lang w:eastAsia="en-GB"/>
        </w:rPr>
        <w:t>N/A</w:t>
      </w:r>
    </w:p>
    <w:p w14:paraId="06182497" w14:textId="77777777" w:rsidR="00F67E9E" w:rsidRPr="00102034" w:rsidRDefault="00F67E9E" w:rsidP="00F67E9E">
      <w:pPr>
        <w:pBdr>
          <w:top w:val="nil"/>
          <w:left w:val="nil"/>
          <w:bottom w:val="nil"/>
          <w:right w:val="nil"/>
          <w:between w:val="nil"/>
        </w:pBdr>
        <w:spacing w:before="120"/>
        <w:jc w:val="center"/>
        <w:rPr>
          <w:rFonts w:eastAsia="Arial" w:cs="Arial"/>
          <w:b/>
          <w:color w:val="000000"/>
          <w:szCs w:val="24"/>
          <w:lang w:eastAsia="en-GB"/>
        </w:rPr>
      </w:pPr>
      <w:r w:rsidRPr="00102034">
        <w:rPr>
          <w:rFonts w:eastAsia="Arial" w:cs="Arial"/>
          <w:b/>
          <w:color w:val="000000"/>
          <w:szCs w:val="24"/>
          <w:lang w:eastAsia="en-GB"/>
        </w:rPr>
        <w:t>CLAUSE 10</w:t>
      </w:r>
    </w:p>
    <w:p w14:paraId="67405DB0" w14:textId="77777777" w:rsidR="00F67E9E" w:rsidRPr="00102034" w:rsidRDefault="00F67E9E" w:rsidP="00F67E9E">
      <w:pPr>
        <w:pBdr>
          <w:top w:val="nil"/>
          <w:left w:val="nil"/>
          <w:bottom w:val="nil"/>
          <w:right w:val="nil"/>
          <w:between w:val="nil"/>
        </w:pBdr>
        <w:spacing w:before="240" w:after="240"/>
        <w:ind w:firstLine="90"/>
        <w:rPr>
          <w:rFonts w:eastAsia="Arial" w:cs="Arial"/>
          <w:b/>
          <w:color w:val="000000"/>
          <w:szCs w:val="24"/>
          <w:lang w:eastAsia="en-GB"/>
        </w:rPr>
      </w:pPr>
      <w:bookmarkStart w:id="3244" w:name="bookmark=id.4c5u7s8" w:colFirst="0" w:colLast="0"/>
      <w:bookmarkEnd w:id="3244"/>
      <w:r w:rsidRPr="00102034">
        <w:rPr>
          <w:rFonts w:eastAsia="Arial" w:cs="Arial"/>
          <w:b/>
          <w:color w:val="000000"/>
          <w:szCs w:val="24"/>
          <w:lang w:eastAsia="en-GB"/>
        </w:rPr>
        <w:t>Data subject rights</w:t>
      </w:r>
    </w:p>
    <w:p w14:paraId="2B5728EB" w14:textId="77777777" w:rsidR="00F67E9E" w:rsidRPr="00102034" w:rsidRDefault="00F67E9E" w:rsidP="00F67E9E">
      <w:pPr>
        <w:pBdr>
          <w:top w:val="nil"/>
          <w:left w:val="nil"/>
          <w:bottom w:val="nil"/>
          <w:right w:val="nil"/>
          <w:between w:val="nil"/>
        </w:pBdr>
        <w:spacing w:before="120" w:after="240"/>
        <w:ind w:left="720"/>
        <w:rPr>
          <w:rFonts w:eastAsia="Arial" w:cs="Arial"/>
          <w:color w:val="000000"/>
          <w:szCs w:val="24"/>
          <w:lang w:eastAsia="en-GB"/>
        </w:rPr>
      </w:pPr>
      <w:bookmarkStart w:id="3245" w:name="bookmark=id.2rb4i01" w:colFirst="0" w:colLast="0"/>
      <w:bookmarkEnd w:id="3245"/>
      <w:r w:rsidRPr="00102034">
        <w:rPr>
          <w:rFonts w:eastAsia="Arial" w:cs="Arial"/>
          <w:color w:val="000000"/>
          <w:szCs w:val="24"/>
          <w:lang w:eastAsia="en-GB"/>
        </w:rPr>
        <w:t xml:space="preserve">The Parties shall assist each other in responding to enquiries and requests made by data subjects under the local law applicable to the data importer or, for data processing by the data exporter in the EU, under Regulation (EU) 2016/679. </w:t>
      </w:r>
    </w:p>
    <w:p w14:paraId="49C97C23" w14:textId="77777777" w:rsidR="00F67E9E" w:rsidRPr="00102034" w:rsidRDefault="00F67E9E" w:rsidP="00F67E9E">
      <w:pPr>
        <w:keepNext/>
        <w:pBdr>
          <w:top w:val="nil"/>
          <w:left w:val="nil"/>
          <w:bottom w:val="nil"/>
          <w:right w:val="nil"/>
          <w:between w:val="nil"/>
        </w:pBdr>
        <w:spacing w:before="120"/>
        <w:jc w:val="center"/>
        <w:rPr>
          <w:rFonts w:eastAsia="Arial" w:cs="Arial"/>
          <w:b/>
          <w:color w:val="000000"/>
          <w:szCs w:val="24"/>
          <w:lang w:eastAsia="en-GB"/>
        </w:rPr>
      </w:pPr>
      <w:r w:rsidRPr="00102034">
        <w:rPr>
          <w:rFonts w:eastAsia="Arial" w:cs="Arial"/>
          <w:b/>
          <w:color w:val="000000"/>
          <w:szCs w:val="24"/>
          <w:lang w:eastAsia="en-GB"/>
        </w:rPr>
        <w:t>CLAUSE 11</w:t>
      </w:r>
    </w:p>
    <w:p w14:paraId="51AC3077" w14:textId="77777777" w:rsidR="00F67E9E" w:rsidRPr="00102034" w:rsidRDefault="00F67E9E" w:rsidP="00F67E9E">
      <w:pPr>
        <w:keepNext/>
        <w:pBdr>
          <w:top w:val="nil"/>
          <w:left w:val="nil"/>
          <w:bottom w:val="nil"/>
          <w:right w:val="nil"/>
          <w:between w:val="nil"/>
        </w:pBdr>
        <w:spacing w:before="240" w:after="240"/>
        <w:ind w:firstLine="90"/>
        <w:rPr>
          <w:rFonts w:eastAsia="Arial" w:cs="Arial"/>
          <w:b/>
          <w:color w:val="000000"/>
          <w:szCs w:val="24"/>
          <w:lang w:eastAsia="en-GB"/>
        </w:rPr>
      </w:pPr>
      <w:bookmarkStart w:id="3246" w:name="bookmark=id.16ges7u" w:colFirst="0" w:colLast="0"/>
      <w:bookmarkEnd w:id="3246"/>
      <w:r w:rsidRPr="00102034">
        <w:rPr>
          <w:rFonts w:eastAsia="Arial" w:cs="Arial"/>
          <w:b/>
          <w:color w:val="000000"/>
          <w:szCs w:val="24"/>
          <w:lang w:eastAsia="en-GB"/>
        </w:rPr>
        <w:t>Redress</w:t>
      </w:r>
    </w:p>
    <w:p w14:paraId="55CC38B2" w14:textId="77777777" w:rsidR="00F67E9E" w:rsidRPr="00CE53CE" w:rsidRDefault="00F67E9E" w:rsidP="00F67E9E">
      <w:pPr>
        <w:pStyle w:val="AppendixText4"/>
        <w:numPr>
          <w:ilvl w:val="3"/>
          <w:numId w:val="228"/>
        </w:numPr>
        <w:tabs>
          <w:tab w:val="clear" w:pos="2520"/>
          <w:tab w:val="num" w:pos="-2520"/>
        </w:tabs>
        <w:ind w:left="1440"/>
        <w:rPr>
          <w:rFonts w:eastAsia="Arial" w:cs="Arial"/>
          <w:color w:val="000000"/>
        </w:rPr>
      </w:pPr>
      <w:bookmarkStart w:id="3247" w:name="bookmark=id.3qg2avn" w:colFirst="0" w:colLast="0"/>
      <w:bookmarkStart w:id="3248" w:name="_Ref141247781"/>
      <w:bookmarkEnd w:id="3247"/>
      <w:r w:rsidRPr="00CE53CE">
        <w:rPr>
          <w:rFonts w:eastAsia="Arial" w:cs="Arial"/>
          <w:color w:val="000000"/>
        </w:rPr>
        <w:t>The data importer shall inform data subjects in a transparent and easily accessible format, through individual notice or on its website, of a contact point authorised to handle complaints. It shall deal promptly with any complaints it receives from a data subject.</w:t>
      </w:r>
      <w:bookmarkEnd w:id="3248"/>
    </w:p>
    <w:p w14:paraId="16A7DAFC" w14:textId="78B69665" w:rsidR="00F67E9E" w:rsidRPr="00102034" w:rsidRDefault="00F67E9E" w:rsidP="00F67E9E">
      <w:pPr>
        <w:pBdr>
          <w:top w:val="nil"/>
          <w:left w:val="nil"/>
          <w:bottom w:val="nil"/>
          <w:right w:val="nil"/>
          <w:between w:val="nil"/>
        </w:pBdr>
        <w:spacing w:before="120" w:after="240"/>
        <w:ind w:left="720"/>
        <w:rPr>
          <w:rFonts w:eastAsia="Arial" w:cs="Arial"/>
          <w:color w:val="000000"/>
          <w:szCs w:val="24"/>
          <w:lang w:eastAsia="en-GB"/>
        </w:rPr>
      </w:pPr>
      <w:bookmarkStart w:id="3249" w:name="bookmark=id.25lcl3g" w:colFirst="0" w:colLast="0"/>
      <w:bookmarkEnd w:id="3249"/>
      <w:r w:rsidRPr="009954CA">
        <w:rPr>
          <w:rFonts w:eastAsia="Arial" w:cs="Arial"/>
          <w:color w:val="000000"/>
          <w:szCs w:val="24"/>
          <w:highlight w:val="yellow"/>
          <w:lang w:eastAsia="en-GB"/>
        </w:rPr>
        <w:t>[</w:t>
      </w:r>
      <w:r w:rsidRPr="009954CA">
        <w:rPr>
          <w:rFonts w:eastAsia="Arial" w:cs="Arial"/>
          <w:b/>
          <w:bCs/>
          <w:color w:val="000000"/>
          <w:szCs w:val="24"/>
          <w:highlight w:val="yellow"/>
          <w:lang w:eastAsia="en-GB"/>
        </w:rPr>
        <w:t>Option</w:t>
      </w:r>
      <w:r>
        <w:rPr>
          <w:rFonts w:eastAsia="Arial" w:cs="Arial"/>
          <w:b/>
          <w:bCs/>
          <w:color w:val="000000"/>
          <w:szCs w:val="24"/>
          <w:highlight w:val="yellow"/>
          <w:lang w:eastAsia="en-GB"/>
        </w:rPr>
        <w:t>al</w:t>
      </w:r>
      <w:r w:rsidRPr="009954CA">
        <w:rPr>
          <w:rFonts w:eastAsia="Arial" w:cs="Arial"/>
          <w:color w:val="000000"/>
          <w:szCs w:val="24"/>
          <w:highlight w:val="yellow"/>
          <w:lang w:eastAsia="en-GB"/>
        </w:rPr>
        <w:t>: The data importer agrees that data subjects may also lodge a complaint with an independent dispute resolution body[</w:t>
      </w:r>
      <w:hyperlink w:anchor="bookmark=id.3btby5x">
        <w:r w:rsidRPr="009954CA">
          <w:rPr>
            <w:rFonts w:eastAsia="Arial" w:cs="Arial"/>
            <w:color w:val="0000FF"/>
            <w:szCs w:val="24"/>
            <w:highlight w:val="yellow"/>
            <w:u w:val="single"/>
            <w:lang w:eastAsia="en-GB"/>
          </w:rPr>
          <w:t>FN11</w:t>
        </w:r>
      </w:hyperlink>
      <w:r w:rsidRPr="009954CA">
        <w:rPr>
          <w:rFonts w:eastAsia="Arial" w:cs="Arial"/>
          <w:color w:val="000000"/>
          <w:szCs w:val="24"/>
          <w:highlight w:val="yellow"/>
          <w:lang w:eastAsia="en-GB"/>
        </w:rPr>
        <w:t>] at no cost to the data subject. It shall inform the data subjects, in the manner set out in paragraph </w:t>
      </w:r>
      <w:r w:rsidRPr="009954CA">
        <w:rPr>
          <w:rFonts w:eastAsia="Arial" w:cs="Arial"/>
          <w:color w:val="000000"/>
          <w:szCs w:val="24"/>
          <w:highlight w:val="yellow"/>
          <w:lang w:eastAsia="en-GB"/>
        </w:rPr>
        <w:fldChar w:fldCharType="begin"/>
      </w:r>
      <w:r w:rsidRPr="009954CA">
        <w:rPr>
          <w:rFonts w:eastAsia="Arial" w:cs="Arial"/>
          <w:color w:val="000000"/>
          <w:szCs w:val="24"/>
          <w:highlight w:val="yellow"/>
          <w:lang w:eastAsia="en-GB"/>
        </w:rPr>
        <w:instrText xml:space="preserve"> REF _Ref141247781 \n \h </w:instrText>
      </w:r>
      <w:r>
        <w:rPr>
          <w:rFonts w:eastAsia="Arial" w:cs="Arial"/>
          <w:color w:val="000000"/>
          <w:szCs w:val="24"/>
          <w:highlight w:val="yellow"/>
          <w:lang w:eastAsia="en-GB"/>
        </w:rPr>
        <w:instrText xml:space="preserve"> \* MERGEFORMAT </w:instrText>
      </w:r>
      <w:r w:rsidRPr="009954CA">
        <w:rPr>
          <w:rFonts w:eastAsia="Arial" w:cs="Arial"/>
          <w:color w:val="000000"/>
          <w:szCs w:val="24"/>
          <w:highlight w:val="yellow"/>
          <w:lang w:eastAsia="en-GB"/>
        </w:rPr>
      </w:r>
      <w:r w:rsidRPr="009954CA">
        <w:rPr>
          <w:rFonts w:eastAsia="Arial" w:cs="Arial"/>
          <w:color w:val="000000"/>
          <w:szCs w:val="24"/>
          <w:highlight w:val="yellow"/>
          <w:lang w:eastAsia="en-GB"/>
        </w:rPr>
        <w:fldChar w:fldCharType="separate"/>
      </w:r>
      <w:r w:rsidR="00302D39">
        <w:rPr>
          <w:rFonts w:eastAsia="Arial" w:cs="Arial"/>
          <w:color w:val="000000"/>
          <w:szCs w:val="24"/>
          <w:highlight w:val="yellow"/>
          <w:lang w:eastAsia="en-GB"/>
        </w:rPr>
        <w:t>(a)</w:t>
      </w:r>
      <w:r w:rsidRPr="009954CA">
        <w:rPr>
          <w:rFonts w:eastAsia="Arial" w:cs="Arial"/>
          <w:color w:val="000000"/>
          <w:szCs w:val="24"/>
          <w:highlight w:val="yellow"/>
          <w:lang w:eastAsia="en-GB"/>
        </w:rPr>
        <w:fldChar w:fldCharType="end"/>
      </w:r>
      <w:r w:rsidRPr="009954CA">
        <w:rPr>
          <w:rFonts w:eastAsia="Arial" w:cs="Arial"/>
          <w:color w:val="000000"/>
          <w:szCs w:val="24"/>
          <w:highlight w:val="yellow"/>
          <w:lang w:eastAsia="en-GB"/>
        </w:rPr>
        <w:t>‎, of such redress mechanism and that they are not required to use it, or follow a particular sequence in seeking redress.]</w:t>
      </w:r>
    </w:p>
    <w:p w14:paraId="4088B29D" w14:textId="77777777" w:rsidR="00F67E9E" w:rsidRPr="00102034" w:rsidRDefault="00F67E9E" w:rsidP="00F67E9E">
      <w:pPr>
        <w:pBdr>
          <w:top w:val="nil"/>
          <w:left w:val="nil"/>
          <w:bottom w:val="nil"/>
          <w:right w:val="nil"/>
          <w:between w:val="nil"/>
        </w:pBdr>
        <w:spacing w:before="120"/>
        <w:jc w:val="center"/>
        <w:rPr>
          <w:rFonts w:eastAsia="Arial" w:cs="Arial"/>
          <w:b/>
          <w:color w:val="000000"/>
          <w:szCs w:val="24"/>
          <w:lang w:eastAsia="en-GB"/>
        </w:rPr>
      </w:pPr>
      <w:r w:rsidRPr="00102034">
        <w:rPr>
          <w:rFonts w:eastAsia="Arial" w:cs="Arial"/>
          <w:b/>
          <w:color w:val="000000"/>
          <w:szCs w:val="24"/>
          <w:lang w:eastAsia="en-GB"/>
        </w:rPr>
        <w:t>CLAUSE 12</w:t>
      </w:r>
    </w:p>
    <w:p w14:paraId="57390C4C" w14:textId="77777777" w:rsidR="00F67E9E" w:rsidRPr="00102034" w:rsidRDefault="00F67E9E" w:rsidP="00F67E9E">
      <w:pPr>
        <w:pBdr>
          <w:top w:val="nil"/>
          <w:left w:val="nil"/>
          <w:bottom w:val="nil"/>
          <w:right w:val="nil"/>
          <w:between w:val="nil"/>
        </w:pBdr>
        <w:spacing w:before="240" w:after="240"/>
        <w:ind w:firstLine="90"/>
        <w:rPr>
          <w:rFonts w:eastAsia="Arial" w:cs="Arial"/>
          <w:b/>
          <w:color w:val="000000"/>
          <w:szCs w:val="24"/>
          <w:lang w:eastAsia="en-GB"/>
        </w:rPr>
      </w:pPr>
      <w:bookmarkStart w:id="3250" w:name="bookmark=id.kqmvb9" w:colFirst="0" w:colLast="0"/>
      <w:bookmarkEnd w:id="3250"/>
      <w:r w:rsidRPr="00102034">
        <w:rPr>
          <w:rFonts w:eastAsia="Arial" w:cs="Arial"/>
          <w:b/>
          <w:color w:val="000000"/>
          <w:szCs w:val="24"/>
          <w:lang w:eastAsia="en-GB"/>
        </w:rPr>
        <w:t>Liability</w:t>
      </w:r>
    </w:p>
    <w:p w14:paraId="4299A297" w14:textId="77777777" w:rsidR="00F67E9E" w:rsidRPr="00CE53CE" w:rsidRDefault="00F67E9E" w:rsidP="00F67E9E">
      <w:pPr>
        <w:pStyle w:val="AppendixText4"/>
        <w:numPr>
          <w:ilvl w:val="3"/>
          <w:numId w:val="229"/>
        </w:numPr>
        <w:tabs>
          <w:tab w:val="clear" w:pos="2520"/>
          <w:tab w:val="num" w:pos="-3600"/>
        </w:tabs>
        <w:ind w:left="1440"/>
        <w:rPr>
          <w:rFonts w:eastAsia="Arial" w:cs="Arial"/>
          <w:color w:val="000000"/>
        </w:rPr>
      </w:pPr>
      <w:bookmarkStart w:id="3251" w:name="bookmark=id.34qadz2" w:colFirst="0" w:colLast="0"/>
      <w:bookmarkEnd w:id="3251"/>
      <w:r w:rsidRPr="00CE53CE">
        <w:rPr>
          <w:rFonts w:eastAsia="Arial" w:cs="Arial"/>
          <w:color w:val="000000"/>
        </w:rPr>
        <w:t>Each Party shall be liable to the other Party/ies for any damages it causes the other Party/ies by any breach of these Clauses.</w:t>
      </w:r>
    </w:p>
    <w:p w14:paraId="1AFF52AD" w14:textId="77777777" w:rsidR="00F67E9E" w:rsidRPr="00102034" w:rsidRDefault="00F67E9E" w:rsidP="00F67E9E">
      <w:pPr>
        <w:pStyle w:val="AppendixText4"/>
        <w:numPr>
          <w:ilvl w:val="3"/>
          <w:numId w:val="228"/>
        </w:numPr>
        <w:tabs>
          <w:tab w:val="clear" w:pos="2520"/>
          <w:tab w:val="num" w:pos="-2520"/>
        </w:tabs>
        <w:ind w:left="1440"/>
        <w:rPr>
          <w:rFonts w:eastAsia="Arial" w:cs="Arial"/>
          <w:color w:val="000000"/>
        </w:rPr>
      </w:pPr>
      <w:bookmarkStart w:id="3252" w:name="bookmark=id.1jvko6v" w:colFirst="0" w:colLast="0"/>
      <w:bookmarkEnd w:id="3252"/>
      <w:r w:rsidRPr="00102034">
        <w:rPr>
          <w:rFonts w:eastAsia="Arial" w:cs="Arial"/>
          <w:color w:val="000000"/>
        </w:rPr>
        <w:t>Each Party shall be liable to the data subject, and the data subject shall be entitled to receive compensation, for any material or non-material damages that the Party causes the data subject by breaching the third-party beneficiary rights under these Clauses. This is without prejudice to the liability of the data exporter under Regulation (EU) 2016/679.</w:t>
      </w:r>
    </w:p>
    <w:p w14:paraId="501365D4" w14:textId="77777777" w:rsidR="00F67E9E" w:rsidRPr="00102034" w:rsidRDefault="00F67E9E" w:rsidP="00F67E9E">
      <w:pPr>
        <w:pStyle w:val="AppendixText4"/>
        <w:numPr>
          <w:ilvl w:val="3"/>
          <w:numId w:val="228"/>
        </w:numPr>
        <w:tabs>
          <w:tab w:val="clear" w:pos="2520"/>
          <w:tab w:val="num" w:pos="-2520"/>
        </w:tabs>
        <w:ind w:left="1440"/>
        <w:rPr>
          <w:rFonts w:eastAsia="Arial" w:cs="Arial"/>
          <w:color w:val="000000"/>
        </w:rPr>
      </w:pPr>
      <w:bookmarkStart w:id="3253" w:name="bookmark=id.43v86uo" w:colFirst="0" w:colLast="0"/>
      <w:bookmarkStart w:id="3254" w:name="_Ref141247801"/>
      <w:bookmarkEnd w:id="3253"/>
      <w:r w:rsidRPr="00102034">
        <w:rPr>
          <w:rFonts w:eastAsia="Arial" w:cs="Arial"/>
          <w:color w:val="000000"/>
        </w:rPr>
        <w:t>Where more than one Party is responsible for any damage caused to the data subject as a result of a breach of these Clauses, all responsible Parties shall be jointly and severally liable and the data subject is entitled to bring an action in court against any of these Parties.</w:t>
      </w:r>
      <w:bookmarkEnd w:id="3254"/>
    </w:p>
    <w:p w14:paraId="13364B96" w14:textId="2136AFCD" w:rsidR="00F67E9E" w:rsidRPr="00102034" w:rsidRDefault="00F67E9E" w:rsidP="00F67E9E">
      <w:pPr>
        <w:pStyle w:val="AppendixText4"/>
        <w:numPr>
          <w:ilvl w:val="3"/>
          <w:numId w:val="228"/>
        </w:numPr>
        <w:tabs>
          <w:tab w:val="clear" w:pos="2520"/>
          <w:tab w:val="num" w:pos="-2520"/>
        </w:tabs>
        <w:ind w:left="1440"/>
        <w:rPr>
          <w:rFonts w:eastAsia="Arial" w:cs="Arial"/>
          <w:color w:val="000000"/>
        </w:rPr>
      </w:pPr>
      <w:bookmarkStart w:id="3255" w:name="bookmark=id.2j0ih2h" w:colFirst="0" w:colLast="0"/>
      <w:bookmarkEnd w:id="3255"/>
      <w:r w:rsidRPr="00102034">
        <w:rPr>
          <w:rFonts w:eastAsia="Arial" w:cs="Arial"/>
          <w:color w:val="000000"/>
        </w:rPr>
        <w:t xml:space="preserve">The Parties agree that if one Party is held liable under paragraph </w:t>
      </w:r>
      <w:r>
        <w:rPr>
          <w:rFonts w:eastAsia="Arial" w:cs="Arial"/>
          <w:color w:val="000000"/>
        </w:rPr>
        <w:fldChar w:fldCharType="begin"/>
      </w:r>
      <w:r>
        <w:rPr>
          <w:rFonts w:eastAsia="Arial" w:cs="Arial"/>
          <w:color w:val="000000"/>
        </w:rPr>
        <w:instrText xml:space="preserve"> REF _Ref141247801 \n \h </w:instrText>
      </w:r>
      <w:r>
        <w:rPr>
          <w:rFonts w:eastAsia="Arial" w:cs="Arial"/>
          <w:color w:val="000000"/>
        </w:rPr>
      </w:r>
      <w:r>
        <w:rPr>
          <w:rFonts w:eastAsia="Arial" w:cs="Arial"/>
          <w:color w:val="000000"/>
        </w:rPr>
        <w:fldChar w:fldCharType="separate"/>
      </w:r>
      <w:r w:rsidR="00302D39">
        <w:rPr>
          <w:rFonts w:eastAsia="Arial" w:cs="Arial"/>
          <w:color w:val="000000"/>
        </w:rPr>
        <w:t>(c)</w:t>
      </w:r>
      <w:r>
        <w:rPr>
          <w:rFonts w:eastAsia="Arial" w:cs="Arial"/>
          <w:color w:val="000000"/>
        </w:rPr>
        <w:fldChar w:fldCharType="end"/>
      </w:r>
      <w:r w:rsidRPr="00102034">
        <w:rPr>
          <w:rFonts w:eastAsia="Arial" w:cs="Arial"/>
          <w:color w:val="000000"/>
        </w:rPr>
        <w:t>, it shall be entitled to claim back from the other Party/ies that part of the compensation corresponding to its/their responsibility for the damage.</w:t>
      </w:r>
    </w:p>
    <w:p w14:paraId="24FE7D9B" w14:textId="77777777" w:rsidR="00F67E9E" w:rsidRPr="00102034" w:rsidRDefault="00F67E9E" w:rsidP="00F67E9E">
      <w:pPr>
        <w:pStyle w:val="AppendixText4"/>
        <w:numPr>
          <w:ilvl w:val="3"/>
          <w:numId w:val="228"/>
        </w:numPr>
        <w:tabs>
          <w:tab w:val="clear" w:pos="2520"/>
          <w:tab w:val="num" w:pos="-2520"/>
        </w:tabs>
        <w:ind w:left="1440"/>
        <w:rPr>
          <w:rFonts w:eastAsia="Arial" w:cs="Arial"/>
          <w:color w:val="000000"/>
        </w:rPr>
      </w:pPr>
      <w:bookmarkStart w:id="3256" w:name="bookmark=id.y5sraa" w:colFirst="0" w:colLast="0"/>
      <w:bookmarkEnd w:id="3256"/>
      <w:r w:rsidRPr="00102034">
        <w:rPr>
          <w:rFonts w:eastAsia="Arial" w:cs="Arial"/>
          <w:color w:val="000000"/>
        </w:rPr>
        <w:t>The data importer may not invoke the conduct of a processor or sub-processor to avoid its own liability.</w:t>
      </w:r>
    </w:p>
    <w:p w14:paraId="52255B0E" w14:textId="77777777" w:rsidR="00F67E9E" w:rsidRPr="00102034" w:rsidRDefault="00F67E9E" w:rsidP="00F67E9E">
      <w:pPr>
        <w:pBdr>
          <w:top w:val="nil"/>
          <w:left w:val="nil"/>
          <w:bottom w:val="nil"/>
          <w:right w:val="nil"/>
          <w:between w:val="nil"/>
        </w:pBdr>
        <w:spacing w:before="120"/>
        <w:jc w:val="center"/>
        <w:rPr>
          <w:rFonts w:eastAsia="Arial" w:cs="Arial"/>
          <w:b/>
          <w:color w:val="000000"/>
          <w:szCs w:val="24"/>
          <w:lang w:eastAsia="en-GB"/>
        </w:rPr>
      </w:pPr>
      <w:r w:rsidRPr="00102034">
        <w:rPr>
          <w:rFonts w:eastAsia="Arial" w:cs="Arial"/>
          <w:b/>
          <w:color w:val="000000"/>
          <w:szCs w:val="24"/>
          <w:lang w:eastAsia="en-GB"/>
        </w:rPr>
        <w:t>CLAUSE 13</w:t>
      </w:r>
    </w:p>
    <w:p w14:paraId="7E230751" w14:textId="77777777" w:rsidR="00F67E9E" w:rsidRPr="00102034" w:rsidRDefault="00F67E9E" w:rsidP="00F67E9E">
      <w:pPr>
        <w:pBdr>
          <w:top w:val="nil"/>
          <w:left w:val="nil"/>
          <w:bottom w:val="nil"/>
          <w:right w:val="nil"/>
          <w:between w:val="nil"/>
        </w:pBdr>
        <w:spacing w:before="240" w:after="240"/>
        <w:ind w:firstLine="90"/>
        <w:rPr>
          <w:rFonts w:eastAsia="Arial" w:cs="Arial"/>
          <w:b/>
          <w:color w:val="000000"/>
          <w:szCs w:val="24"/>
          <w:lang w:eastAsia="en-GB"/>
        </w:rPr>
      </w:pPr>
      <w:bookmarkStart w:id="3257" w:name="bookmark=id.3i5g9y3" w:colFirst="0" w:colLast="0"/>
      <w:bookmarkEnd w:id="3257"/>
      <w:r w:rsidRPr="00102034">
        <w:rPr>
          <w:rFonts w:eastAsia="Arial" w:cs="Arial"/>
          <w:b/>
          <w:color w:val="000000"/>
          <w:szCs w:val="24"/>
          <w:lang w:eastAsia="en-GB"/>
        </w:rPr>
        <w:t>Supervision</w:t>
      </w:r>
    </w:p>
    <w:p w14:paraId="20DCA976" w14:textId="77777777" w:rsidR="00F67E9E" w:rsidRPr="00102034" w:rsidRDefault="00F67E9E" w:rsidP="00F67E9E">
      <w:pPr>
        <w:pBdr>
          <w:top w:val="nil"/>
          <w:left w:val="nil"/>
          <w:bottom w:val="nil"/>
          <w:right w:val="nil"/>
          <w:between w:val="nil"/>
        </w:pBdr>
        <w:spacing w:before="120" w:after="240"/>
        <w:ind w:left="720"/>
        <w:rPr>
          <w:rFonts w:eastAsia="Arial" w:cs="Arial"/>
          <w:color w:val="000000"/>
          <w:szCs w:val="24"/>
          <w:lang w:eastAsia="en-GB"/>
        </w:rPr>
      </w:pPr>
      <w:r w:rsidRPr="00102034">
        <w:rPr>
          <w:rFonts w:eastAsia="Arial" w:cs="Arial"/>
          <w:color w:val="000000"/>
          <w:szCs w:val="24"/>
          <w:lang w:eastAsia="en-GB"/>
        </w:rPr>
        <w:t>N/A</w:t>
      </w:r>
    </w:p>
    <w:p w14:paraId="4C5DD13C" w14:textId="77777777" w:rsidR="00F67E9E" w:rsidRPr="00102034" w:rsidRDefault="00F67E9E" w:rsidP="00F67E9E">
      <w:pPr>
        <w:keepNext/>
        <w:pBdr>
          <w:top w:val="nil"/>
          <w:left w:val="nil"/>
          <w:bottom w:val="nil"/>
          <w:right w:val="nil"/>
          <w:between w:val="nil"/>
        </w:pBdr>
        <w:spacing w:before="120"/>
        <w:jc w:val="center"/>
        <w:rPr>
          <w:rFonts w:eastAsia="Arial" w:cs="Arial"/>
          <w:b/>
          <w:color w:val="000000"/>
          <w:szCs w:val="24"/>
          <w:lang w:eastAsia="en-GB"/>
        </w:rPr>
      </w:pPr>
      <w:r w:rsidRPr="00102034">
        <w:rPr>
          <w:rFonts w:eastAsia="Arial" w:cs="Arial"/>
          <w:b/>
          <w:color w:val="000000"/>
          <w:szCs w:val="24"/>
          <w:lang w:eastAsia="en-GB"/>
        </w:rPr>
        <w:t>SECTION III – LOCAL LAWS AND OBLIGATIONS IN CASE OF ACCESS BY PUBLIC AUTHORITIES</w:t>
      </w:r>
    </w:p>
    <w:p w14:paraId="4630BB92" w14:textId="77777777" w:rsidR="00F67E9E" w:rsidRPr="00102034" w:rsidRDefault="00F67E9E" w:rsidP="00F67E9E">
      <w:pPr>
        <w:keepNext/>
        <w:pBdr>
          <w:top w:val="nil"/>
          <w:left w:val="nil"/>
          <w:bottom w:val="nil"/>
          <w:right w:val="nil"/>
          <w:between w:val="nil"/>
        </w:pBdr>
        <w:spacing w:before="240"/>
        <w:jc w:val="center"/>
        <w:rPr>
          <w:rFonts w:eastAsia="Arial" w:cs="Arial"/>
          <w:b/>
          <w:color w:val="000000"/>
          <w:szCs w:val="24"/>
          <w:lang w:eastAsia="en-GB"/>
        </w:rPr>
      </w:pPr>
      <w:r w:rsidRPr="00102034">
        <w:rPr>
          <w:rFonts w:eastAsia="Arial" w:cs="Arial"/>
          <w:b/>
          <w:color w:val="000000"/>
          <w:szCs w:val="24"/>
          <w:lang w:eastAsia="en-GB"/>
        </w:rPr>
        <w:t>CLAUSE 14</w:t>
      </w:r>
    </w:p>
    <w:p w14:paraId="5698A289" w14:textId="77777777" w:rsidR="00F67E9E" w:rsidRPr="00102034" w:rsidRDefault="00F67E9E" w:rsidP="00F67E9E">
      <w:pPr>
        <w:keepNext/>
        <w:pBdr>
          <w:top w:val="nil"/>
          <w:left w:val="nil"/>
          <w:bottom w:val="nil"/>
          <w:right w:val="nil"/>
          <w:between w:val="nil"/>
        </w:pBdr>
        <w:spacing w:before="120" w:after="240"/>
        <w:ind w:left="720"/>
        <w:rPr>
          <w:rFonts w:eastAsia="Arial" w:cs="Arial"/>
          <w:i/>
          <w:color w:val="000000"/>
          <w:szCs w:val="24"/>
          <w:lang w:eastAsia="en-GB"/>
        </w:rPr>
      </w:pPr>
      <w:bookmarkStart w:id="3258" w:name="bookmark=id.1xaqk5w" w:colFirst="0" w:colLast="0"/>
      <w:bookmarkEnd w:id="3258"/>
      <w:r w:rsidRPr="00102034">
        <w:rPr>
          <w:rFonts w:eastAsia="Arial" w:cs="Arial"/>
          <w:b/>
          <w:color w:val="000000"/>
          <w:szCs w:val="24"/>
          <w:lang w:eastAsia="en-GB"/>
        </w:rPr>
        <w:t xml:space="preserve">Local laws and practices affecting compliance with the Clauses </w:t>
      </w:r>
      <w:r w:rsidRPr="00102034">
        <w:rPr>
          <w:rFonts w:eastAsia="Arial" w:cs="Arial"/>
          <w:i/>
          <w:color w:val="000000"/>
          <w:szCs w:val="24"/>
          <w:lang w:eastAsia="en-GB"/>
        </w:rPr>
        <w:t xml:space="preserve">(where the EU processor combines the personal data received from the third country-controller with personal data collected by the </w:t>
      </w:r>
      <w:r w:rsidRPr="00110396">
        <w:rPr>
          <w:rFonts w:eastAsia="Arial" w:cs="Arial"/>
          <w:color w:val="000000"/>
          <w:szCs w:val="24"/>
          <w:lang w:eastAsia="en-GB"/>
        </w:rPr>
        <w:t>processor</w:t>
      </w:r>
      <w:r w:rsidRPr="00102034">
        <w:rPr>
          <w:rFonts w:eastAsia="Arial" w:cs="Arial"/>
          <w:i/>
          <w:color w:val="000000"/>
          <w:szCs w:val="24"/>
          <w:lang w:eastAsia="en-GB"/>
        </w:rPr>
        <w:t xml:space="preserve"> in the EU)</w:t>
      </w:r>
    </w:p>
    <w:p w14:paraId="38A03B16" w14:textId="77777777" w:rsidR="00F67E9E" w:rsidRPr="00110396" w:rsidRDefault="00F67E9E" w:rsidP="00F67E9E">
      <w:pPr>
        <w:pStyle w:val="AppendixText4"/>
        <w:numPr>
          <w:ilvl w:val="3"/>
          <w:numId w:val="230"/>
        </w:numPr>
        <w:tabs>
          <w:tab w:val="clear" w:pos="2520"/>
          <w:tab w:val="num" w:pos="-3600"/>
        </w:tabs>
        <w:ind w:left="1440"/>
        <w:rPr>
          <w:rFonts w:eastAsia="Arial" w:cs="Arial"/>
          <w:color w:val="000000"/>
        </w:rPr>
      </w:pPr>
      <w:bookmarkStart w:id="3259" w:name="bookmark=id.4hae2tp" w:colFirst="0" w:colLast="0"/>
      <w:bookmarkStart w:id="3260" w:name="_Ref141247827"/>
      <w:bookmarkEnd w:id="3259"/>
      <w:r w:rsidRPr="00110396">
        <w:rPr>
          <w:rFonts w:eastAsia="Arial" w:cs="Arial"/>
          <w:color w:val="000000"/>
        </w:rPr>
        <w:t>The Parties warrant that they have no reason to believe that the laws and practices in the third country of destination applicable to the processing of the personal data by the data importer, including any requirements to disclose personal data or measures authorising access by public authorities, prevent the data importer from fulfilling its obligations under these Clauses. This is based on the understanding that laws and practices that respect the essence of the fundamental rights and freedoms and do not exceed what is necessary and proportionate in a democratic society to safeguard one of the objectives listed in Article 23(1) of Regulation (EU) 2016/679, are not in contradiction with these Clauses.</w:t>
      </w:r>
      <w:bookmarkEnd w:id="3260"/>
    </w:p>
    <w:p w14:paraId="7607823F" w14:textId="718B0FF8" w:rsidR="00F67E9E" w:rsidRPr="00102034" w:rsidRDefault="00F67E9E" w:rsidP="00F67E9E">
      <w:pPr>
        <w:pStyle w:val="AppendixText4"/>
        <w:numPr>
          <w:ilvl w:val="3"/>
          <w:numId w:val="228"/>
        </w:numPr>
        <w:tabs>
          <w:tab w:val="clear" w:pos="2520"/>
          <w:tab w:val="num" w:pos="-2520"/>
        </w:tabs>
        <w:ind w:left="1440"/>
        <w:rPr>
          <w:rFonts w:eastAsia="Arial" w:cs="Arial"/>
          <w:color w:val="000000"/>
        </w:rPr>
      </w:pPr>
      <w:bookmarkStart w:id="3261" w:name="bookmark=id.2wfod1i" w:colFirst="0" w:colLast="0"/>
      <w:bookmarkStart w:id="3262" w:name="_Ref141247849"/>
      <w:bookmarkEnd w:id="3261"/>
      <w:r w:rsidRPr="00102034">
        <w:rPr>
          <w:rFonts w:eastAsia="Arial" w:cs="Arial"/>
          <w:color w:val="000000"/>
        </w:rPr>
        <w:t>The Parties declare that in providing the warranty in paragraph ‎</w:t>
      </w:r>
      <w:r>
        <w:rPr>
          <w:rFonts w:eastAsia="Arial" w:cs="Arial"/>
          <w:color w:val="000000"/>
        </w:rPr>
        <w:fldChar w:fldCharType="begin"/>
      </w:r>
      <w:r>
        <w:rPr>
          <w:rFonts w:eastAsia="Arial" w:cs="Arial"/>
          <w:color w:val="000000"/>
        </w:rPr>
        <w:instrText xml:space="preserve"> REF _Ref141247827 \n \h </w:instrText>
      </w:r>
      <w:r>
        <w:rPr>
          <w:rFonts w:eastAsia="Arial" w:cs="Arial"/>
          <w:color w:val="000000"/>
        </w:rPr>
      </w:r>
      <w:r>
        <w:rPr>
          <w:rFonts w:eastAsia="Arial" w:cs="Arial"/>
          <w:color w:val="000000"/>
        </w:rPr>
        <w:fldChar w:fldCharType="separate"/>
      </w:r>
      <w:r w:rsidR="00302D39">
        <w:rPr>
          <w:rFonts w:eastAsia="Arial" w:cs="Arial"/>
          <w:color w:val="000000"/>
        </w:rPr>
        <w:t>(a)</w:t>
      </w:r>
      <w:r>
        <w:rPr>
          <w:rFonts w:eastAsia="Arial" w:cs="Arial"/>
          <w:color w:val="000000"/>
        </w:rPr>
        <w:fldChar w:fldCharType="end"/>
      </w:r>
      <w:r w:rsidRPr="00102034">
        <w:rPr>
          <w:rFonts w:eastAsia="Arial" w:cs="Arial"/>
          <w:color w:val="000000"/>
        </w:rPr>
        <w:t>, they have taken due account in particular of the following elements:</w:t>
      </w:r>
      <w:bookmarkEnd w:id="3262"/>
    </w:p>
    <w:p w14:paraId="191CA120" w14:textId="77777777" w:rsidR="00F67E9E" w:rsidRPr="00102034" w:rsidRDefault="00F67E9E" w:rsidP="00F67E9E">
      <w:pPr>
        <w:numPr>
          <w:ilvl w:val="2"/>
          <w:numId w:val="30"/>
        </w:numPr>
        <w:pBdr>
          <w:top w:val="nil"/>
          <w:left w:val="nil"/>
          <w:bottom w:val="nil"/>
          <w:right w:val="nil"/>
          <w:between w:val="nil"/>
        </w:pBdr>
        <w:spacing w:before="120" w:after="240" w:line="276" w:lineRule="auto"/>
        <w:ind w:left="2160" w:hanging="720"/>
        <w:rPr>
          <w:rFonts w:eastAsia="Arial" w:cs="Arial"/>
          <w:color w:val="000000"/>
          <w:szCs w:val="24"/>
          <w:lang w:eastAsia="en-GB"/>
        </w:rPr>
      </w:pPr>
      <w:bookmarkStart w:id="3263" w:name="bookmark=id.1bkyn9b" w:colFirst="0" w:colLast="0"/>
      <w:bookmarkEnd w:id="3263"/>
      <w:r w:rsidRPr="00102034">
        <w:rPr>
          <w:rFonts w:eastAsia="Arial" w:cs="Arial"/>
          <w:color w:val="000000"/>
          <w:szCs w:val="24"/>
          <w:lang w:eastAsia="en-GB"/>
        </w:rPr>
        <w:t>the specific circumstances of the transfer, including the length of the processing chain, the number of actors involved and the transmission channels used; intended onward transfers; the type of recipient; the purpose of processing; the categories and format of the transferred personal data; the economic sector in which the transfer occurs; the storage location of the data transferred;</w:t>
      </w:r>
    </w:p>
    <w:p w14:paraId="7A5E1460" w14:textId="77777777" w:rsidR="00F67E9E" w:rsidRPr="00102034" w:rsidRDefault="00F67E9E" w:rsidP="00F67E9E">
      <w:pPr>
        <w:numPr>
          <w:ilvl w:val="2"/>
          <w:numId w:val="30"/>
        </w:numPr>
        <w:pBdr>
          <w:top w:val="nil"/>
          <w:left w:val="nil"/>
          <w:bottom w:val="nil"/>
          <w:right w:val="nil"/>
          <w:between w:val="nil"/>
        </w:pBdr>
        <w:spacing w:before="120" w:after="240" w:line="276" w:lineRule="auto"/>
        <w:ind w:left="2160" w:hanging="720"/>
        <w:rPr>
          <w:rFonts w:eastAsia="Arial" w:cs="Arial"/>
          <w:color w:val="000000"/>
          <w:szCs w:val="24"/>
          <w:lang w:eastAsia="en-GB"/>
        </w:rPr>
      </w:pPr>
      <w:bookmarkStart w:id="3264" w:name="bookmark=id.3vkm5x4" w:colFirst="0" w:colLast="0"/>
      <w:bookmarkEnd w:id="3264"/>
      <w:r w:rsidRPr="00102034">
        <w:rPr>
          <w:rFonts w:eastAsia="Arial" w:cs="Arial"/>
          <w:color w:val="000000"/>
          <w:szCs w:val="24"/>
          <w:lang w:eastAsia="en-GB"/>
        </w:rPr>
        <w:t>the laws and practices of the third country of destination – including those requiring the disclosure of data to public authorities or authorising access by such authorities – relevant in light of the specific circumstances of the transfer, and the applicable limitations and safeguards[</w:t>
      </w:r>
      <w:hyperlink w:anchor="bookmark=id.1qym8dq">
        <w:r w:rsidRPr="00102034">
          <w:rPr>
            <w:rFonts w:eastAsia="Arial" w:cs="Arial"/>
            <w:color w:val="0000FF"/>
            <w:szCs w:val="24"/>
            <w:u w:val="single"/>
            <w:lang w:eastAsia="en-GB"/>
          </w:rPr>
          <w:t>FN12</w:t>
        </w:r>
      </w:hyperlink>
      <w:r w:rsidRPr="00102034">
        <w:rPr>
          <w:rFonts w:eastAsia="Arial" w:cs="Arial"/>
          <w:color w:val="000000"/>
          <w:szCs w:val="24"/>
          <w:lang w:eastAsia="en-GB"/>
        </w:rPr>
        <w:t>];</w:t>
      </w:r>
    </w:p>
    <w:p w14:paraId="06409938" w14:textId="77777777" w:rsidR="00F67E9E" w:rsidRPr="00102034" w:rsidRDefault="00F67E9E" w:rsidP="00F67E9E">
      <w:pPr>
        <w:numPr>
          <w:ilvl w:val="2"/>
          <w:numId w:val="30"/>
        </w:numPr>
        <w:pBdr>
          <w:top w:val="nil"/>
          <w:left w:val="nil"/>
          <w:bottom w:val="nil"/>
          <w:right w:val="nil"/>
          <w:between w:val="nil"/>
        </w:pBdr>
        <w:spacing w:before="120" w:after="240" w:line="276" w:lineRule="auto"/>
        <w:ind w:left="2160" w:hanging="720"/>
        <w:rPr>
          <w:rFonts w:eastAsia="Arial" w:cs="Arial"/>
          <w:color w:val="000000"/>
          <w:szCs w:val="24"/>
          <w:lang w:eastAsia="en-GB"/>
        </w:rPr>
      </w:pPr>
      <w:bookmarkStart w:id="3265" w:name="bookmark=id.2apwg4x" w:colFirst="0" w:colLast="0"/>
      <w:bookmarkEnd w:id="3265"/>
      <w:r w:rsidRPr="00102034">
        <w:rPr>
          <w:rFonts w:eastAsia="Arial" w:cs="Arial"/>
          <w:color w:val="000000"/>
          <w:szCs w:val="24"/>
          <w:lang w:eastAsia="en-GB"/>
        </w:rPr>
        <w:t>any relevant contractual, technical or organisational safeguards put in place to supplement the safeguards under these Clauses, including measures applied during transmission and to the processing of the personal data in the country of destination.</w:t>
      </w:r>
    </w:p>
    <w:p w14:paraId="7742B402" w14:textId="70229A87" w:rsidR="00F67E9E" w:rsidRPr="00102034" w:rsidRDefault="00F67E9E" w:rsidP="00F67E9E">
      <w:pPr>
        <w:pStyle w:val="AppendixText4"/>
        <w:numPr>
          <w:ilvl w:val="3"/>
          <w:numId w:val="228"/>
        </w:numPr>
        <w:tabs>
          <w:tab w:val="clear" w:pos="2520"/>
          <w:tab w:val="num" w:pos="-2520"/>
        </w:tabs>
        <w:ind w:left="1440"/>
        <w:rPr>
          <w:rFonts w:eastAsia="Arial" w:cs="Arial"/>
          <w:color w:val="000000"/>
        </w:rPr>
      </w:pPr>
      <w:bookmarkStart w:id="3266" w:name="bookmark=id.pv6qcq" w:colFirst="0" w:colLast="0"/>
      <w:bookmarkEnd w:id="3266"/>
      <w:r w:rsidRPr="00102034">
        <w:rPr>
          <w:rFonts w:eastAsia="Arial" w:cs="Arial"/>
          <w:color w:val="000000"/>
        </w:rPr>
        <w:t xml:space="preserve">The data importer warrants that, in carrying out the assessment under paragraph </w:t>
      </w:r>
      <w:r>
        <w:rPr>
          <w:rFonts w:eastAsia="Arial" w:cs="Arial"/>
          <w:color w:val="000000"/>
        </w:rPr>
        <w:fldChar w:fldCharType="begin"/>
      </w:r>
      <w:r>
        <w:rPr>
          <w:rFonts w:eastAsia="Arial" w:cs="Arial"/>
          <w:color w:val="000000"/>
        </w:rPr>
        <w:instrText xml:space="preserve"> REF _Ref141247849 \n \h </w:instrText>
      </w:r>
      <w:r>
        <w:rPr>
          <w:rFonts w:eastAsia="Arial" w:cs="Arial"/>
          <w:color w:val="000000"/>
        </w:rPr>
      </w:r>
      <w:r>
        <w:rPr>
          <w:rFonts w:eastAsia="Arial" w:cs="Arial"/>
          <w:color w:val="000000"/>
        </w:rPr>
        <w:fldChar w:fldCharType="separate"/>
      </w:r>
      <w:r w:rsidR="00302D39">
        <w:rPr>
          <w:rFonts w:eastAsia="Arial" w:cs="Arial"/>
          <w:color w:val="000000"/>
        </w:rPr>
        <w:t>(b)</w:t>
      </w:r>
      <w:r>
        <w:rPr>
          <w:rFonts w:eastAsia="Arial" w:cs="Arial"/>
          <w:color w:val="000000"/>
        </w:rPr>
        <w:fldChar w:fldCharType="end"/>
      </w:r>
      <w:r w:rsidRPr="00102034">
        <w:rPr>
          <w:rFonts w:eastAsia="Arial" w:cs="Arial"/>
          <w:color w:val="000000"/>
        </w:rPr>
        <w:t>, it has made its best efforts to provide the data exporter with relevant information and agrees that it will continue to cooperate with the data exporter in ensuring compliance with these Clauses.</w:t>
      </w:r>
    </w:p>
    <w:p w14:paraId="5500B98B" w14:textId="610FA3E9" w:rsidR="00F67E9E" w:rsidRPr="00102034" w:rsidRDefault="00F67E9E" w:rsidP="00F67E9E">
      <w:pPr>
        <w:pStyle w:val="AppendixText4"/>
        <w:numPr>
          <w:ilvl w:val="3"/>
          <w:numId w:val="228"/>
        </w:numPr>
        <w:tabs>
          <w:tab w:val="clear" w:pos="2520"/>
          <w:tab w:val="num" w:pos="-2520"/>
        </w:tabs>
        <w:ind w:left="1440"/>
        <w:rPr>
          <w:rFonts w:eastAsia="Arial" w:cs="Arial"/>
          <w:color w:val="000000"/>
        </w:rPr>
      </w:pPr>
      <w:bookmarkStart w:id="3267" w:name="bookmark=id.39uu90j" w:colFirst="0" w:colLast="0"/>
      <w:bookmarkEnd w:id="3267"/>
      <w:r w:rsidRPr="00102034">
        <w:rPr>
          <w:rFonts w:eastAsia="Arial" w:cs="Arial"/>
          <w:color w:val="000000"/>
        </w:rPr>
        <w:t>The Parties agree to document the assessment under paragraph ‎</w:t>
      </w:r>
      <w:r>
        <w:rPr>
          <w:rFonts w:eastAsia="Arial" w:cs="Arial"/>
          <w:color w:val="000000"/>
        </w:rPr>
        <w:fldChar w:fldCharType="begin"/>
      </w:r>
      <w:r>
        <w:rPr>
          <w:rFonts w:eastAsia="Arial" w:cs="Arial"/>
          <w:color w:val="000000"/>
        </w:rPr>
        <w:instrText xml:space="preserve"> REF _Ref141247849 \n \h </w:instrText>
      </w:r>
      <w:r>
        <w:rPr>
          <w:rFonts w:eastAsia="Arial" w:cs="Arial"/>
          <w:color w:val="000000"/>
        </w:rPr>
      </w:r>
      <w:r>
        <w:rPr>
          <w:rFonts w:eastAsia="Arial" w:cs="Arial"/>
          <w:color w:val="000000"/>
        </w:rPr>
        <w:fldChar w:fldCharType="separate"/>
      </w:r>
      <w:r w:rsidR="00302D39">
        <w:rPr>
          <w:rFonts w:eastAsia="Arial" w:cs="Arial"/>
          <w:color w:val="000000"/>
        </w:rPr>
        <w:t>(b)</w:t>
      </w:r>
      <w:r>
        <w:rPr>
          <w:rFonts w:eastAsia="Arial" w:cs="Arial"/>
          <w:color w:val="000000"/>
        </w:rPr>
        <w:fldChar w:fldCharType="end"/>
      </w:r>
      <w:r w:rsidRPr="00102034">
        <w:rPr>
          <w:rFonts w:eastAsia="Arial" w:cs="Arial"/>
          <w:color w:val="000000"/>
        </w:rPr>
        <w:t xml:space="preserve"> and make it available to the competent supervisory authority on request.</w:t>
      </w:r>
    </w:p>
    <w:p w14:paraId="17DAFD6A" w14:textId="295189F7" w:rsidR="00F67E9E" w:rsidRPr="00102034" w:rsidRDefault="00F67E9E" w:rsidP="00F67E9E">
      <w:pPr>
        <w:pStyle w:val="AppendixText4"/>
        <w:numPr>
          <w:ilvl w:val="3"/>
          <w:numId w:val="228"/>
        </w:numPr>
        <w:tabs>
          <w:tab w:val="clear" w:pos="2520"/>
          <w:tab w:val="num" w:pos="-2520"/>
        </w:tabs>
        <w:ind w:left="1440"/>
        <w:rPr>
          <w:rFonts w:eastAsia="Arial" w:cs="Arial"/>
          <w:color w:val="000000"/>
        </w:rPr>
      </w:pPr>
      <w:bookmarkStart w:id="3268" w:name="bookmark=id.48zs1w5" w:colFirst="0" w:colLast="0"/>
      <w:bookmarkStart w:id="3269" w:name="_heading=h.1p04j8c" w:colFirst="0" w:colLast="0"/>
      <w:bookmarkStart w:id="3270" w:name="_Ref141247906"/>
      <w:bookmarkEnd w:id="3268"/>
      <w:bookmarkEnd w:id="3269"/>
      <w:r w:rsidRPr="00102034">
        <w:rPr>
          <w:rFonts w:eastAsia="Arial" w:cs="Arial"/>
          <w:color w:val="000000"/>
        </w:rPr>
        <w:t xml:space="preserve">The data importer agrees to notify the data exporter promptly if, after having agreed to these Clauses and for the duration of the contract, it has reason to believe that it is or has become subject to laws or practices not in line with the requirements under paragraph </w:t>
      </w:r>
      <w:r>
        <w:rPr>
          <w:rFonts w:eastAsia="Arial" w:cs="Arial"/>
          <w:color w:val="000000"/>
        </w:rPr>
        <w:fldChar w:fldCharType="begin"/>
      </w:r>
      <w:r>
        <w:rPr>
          <w:rFonts w:eastAsia="Arial" w:cs="Arial"/>
          <w:color w:val="000000"/>
        </w:rPr>
        <w:instrText xml:space="preserve"> REF _Ref141247827 \n \h </w:instrText>
      </w:r>
      <w:r>
        <w:rPr>
          <w:rFonts w:eastAsia="Arial" w:cs="Arial"/>
          <w:color w:val="000000"/>
        </w:rPr>
      </w:r>
      <w:r>
        <w:rPr>
          <w:rFonts w:eastAsia="Arial" w:cs="Arial"/>
          <w:color w:val="000000"/>
        </w:rPr>
        <w:fldChar w:fldCharType="separate"/>
      </w:r>
      <w:r w:rsidR="00302D39">
        <w:rPr>
          <w:rFonts w:eastAsia="Arial" w:cs="Arial"/>
          <w:color w:val="000000"/>
        </w:rPr>
        <w:t>(a)</w:t>
      </w:r>
      <w:r>
        <w:rPr>
          <w:rFonts w:eastAsia="Arial" w:cs="Arial"/>
          <w:color w:val="000000"/>
        </w:rPr>
        <w:fldChar w:fldCharType="end"/>
      </w:r>
      <w:r w:rsidRPr="00102034">
        <w:rPr>
          <w:rFonts w:eastAsia="Arial" w:cs="Arial"/>
          <w:color w:val="000000"/>
        </w:rPr>
        <w:t xml:space="preserve">, including following a change in the laws of the third country or a measure (such as a disclosure request) indicating an application of such laws in practice that is not in line with the requirements in paragraph </w:t>
      </w:r>
      <w:r>
        <w:rPr>
          <w:rFonts w:eastAsia="Arial" w:cs="Arial"/>
          <w:color w:val="000000"/>
        </w:rPr>
        <w:fldChar w:fldCharType="begin"/>
      </w:r>
      <w:r>
        <w:rPr>
          <w:rFonts w:eastAsia="Arial" w:cs="Arial"/>
          <w:color w:val="000000"/>
        </w:rPr>
        <w:instrText xml:space="preserve"> REF _Ref141247827 \n \h </w:instrText>
      </w:r>
      <w:r>
        <w:rPr>
          <w:rFonts w:eastAsia="Arial" w:cs="Arial"/>
          <w:color w:val="000000"/>
        </w:rPr>
      </w:r>
      <w:r>
        <w:rPr>
          <w:rFonts w:eastAsia="Arial" w:cs="Arial"/>
          <w:color w:val="000000"/>
        </w:rPr>
        <w:fldChar w:fldCharType="separate"/>
      </w:r>
      <w:r w:rsidR="00302D39">
        <w:rPr>
          <w:rFonts w:eastAsia="Arial" w:cs="Arial"/>
          <w:color w:val="000000"/>
        </w:rPr>
        <w:t>(a)</w:t>
      </w:r>
      <w:r>
        <w:rPr>
          <w:rFonts w:eastAsia="Arial" w:cs="Arial"/>
          <w:color w:val="000000"/>
        </w:rPr>
        <w:fldChar w:fldCharType="end"/>
      </w:r>
      <w:r w:rsidRPr="00102034">
        <w:rPr>
          <w:rFonts w:eastAsia="Arial" w:cs="Arial"/>
          <w:color w:val="000000"/>
        </w:rPr>
        <w:t>‎.</w:t>
      </w:r>
      <w:bookmarkEnd w:id="3270"/>
      <w:r w:rsidRPr="00102034">
        <w:rPr>
          <w:rFonts w:eastAsia="Arial" w:cs="Arial"/>
          <w:color w:val="000000"/>
        </w:rPr>
        <w:t xml:space="preserve"> </w:t>
      </w:r>
    </w:p>
    <w:p w14:paraId="47387EE9" w14:textId="1090E01E" w:rsidR="00F67E9E" w:rsidRPr="00102034" w:rsidRDefault="00F67E9E" w:rsidP="00F67E9E">
      <w:pPr>
        <w:pStyle w:val="AppendixText4"/>
        <w:numPr>
          <w:ilvl w:val="3"/>
          <w:numId w:val="228"/>
        </w:numPr>
        <w:tabs>
          <w:tab w:val="clear" w:pos="2520"/>
          <w:tab w:val="num" w:pos="-2520"/>
        </w:tabs>
        <w:ind w:left="1440"/>
        <w:rPr>
          <w:rFonts w:eastAsia="Arial" w:cs="Arial"/>
          <w:color w:val="000000"/>
        </w:rPr>
      </w:pPr>
      <w:bookmarkStart w:id="3271" w:name="bookmark=id.2o52c3y" w:colFirst="0" w:colLast="0"/>
      <w:bookmarkStart w:id="3272" w:name="_Ref141273382"/>
      <w:bookmarkEnd w:id="3271"/>
      <w:r w:rsidRPr="00102034">
        <w:rPr>
          <w:rFonts w:eastAsia="Arial" w:cs="Arial"/>
          <w:color w:val="000000"/>
        </w:rPr>
        <w:t>Following a notification pursuant to paragraph</w:t>
      </w:r>
      <w:r>
        <w:rPr>
          <w:rFonts w:eastAsia="Arial" w:cs="Arial"/>
          <w:color w:val="000000"/>
        </w:rPr>
        <w:t> </w:t>
      </w:r>
      <w:r>
        <w:rPr>
          <w:rFonts w:eastAsia="Arial" w:cs="Arial"/>
          <w:color w:val="000000"/>
        </w:rPr>
        <w:fldChar w:fldCharType="begin"/>
      </w:r>
      <w:r>
        <w:rPr>
          <w:rFonts w:eastAsia="Arial" w:cs="Arial"/>
          <w:color w:val="000000"/>
        </w:rPr>
        <w:instrText xml:space="preserve"> REF _Ref141247906 \n \h </w:instrText>
      </w:r>
      <w:r>
        <w:rPr>
          <w:rFonts w:eastAsia="Arial" w:cs="Arial"/>
          <w:color w:val="000000"/>
        </w:rPr>
      </w:r>
      <w:r>
        <w:rPr>
          <w:rFonts w:eastAsia="Arial" w:cs="Arial"/>
          <w:color w:val="000000"/>
        </w:rPr>
        <w:fldChar w:fldCharType="separate"/>
      </w:r>
      <w:r w:rsidR="00302D39">
        <w:rPr>
          <w:rFonts w:eastAsia="Arial" w:cs="Arial"/>
          <w:color w:val="000000"/>
        </w:rPr>
        <w:t>(e)</w:t>
      </w:r>
      <w:r>
        <w:rPr>
          <w:rFonts w:eastAsia="Arial" w:cs="Arial"/>
          <w:color w:val="000000"/>
        </w:rPr>
        <w:fldChar w:fldCharType="end"/>
      </w:r>
      <w:r w:rsidRPr="00102034">
        <w:rPr>
          <w:rFonts w:eastAsia="Arial" w:cs="Arial"/>
          <w:color w:val="000000"/>
        </w:rPr>
        <w:t>, or if the data exporter otherwise has reason to believe that the data importer can no longer fulfil its obligations under these Clauses, the data exporter shall promptly identify appropriate measures (e.g. technical or organisational measures to ensure security and confidentiality) to be adopted by the data exporter and/or data importer to address the situation. The data exporter shall suspend the data transfer if it considers that no appropriate safeguards for such transfer can be ensured, or if instructed by the competent supervisory authority to do so. In this case, the data exporter shall be entitled to terminate the contract, insofar as it concerns the processing of personal data under these Clauses. If the contract involves more than two Parties, the data exporter may exercise this right to termination only with respect to the relevant Party, unless the Parties have agreed otherwise. Where the contract is terminated pursuant to this Clause, Clause</w:t>
      </w:r>
      <w:r>
        <w:rPr>
          <w:rFonts w:eastAsia="Arial" w:cs="Arial"/>
          <w:color w:val="000000"/>
        </w:rPr>
        <w:t> </w:t>
      </w:r>
      <w:r w:rsidRPr="00C739D3">
        <w:rPr>
          <w:rFonts w:eastAsia="Arial" w:cs="Arial"/>
          <w:color w:val="000000"/>
        </w:rPr>
        <w:fldChar w:fldCharType="begin"/>
      </w:r>
      <w:r w:rsidRPr="00C739D3">
        <w:rPr>
          <w:rFonts w:eastAsia="Arial" w:cs="Arial"/>
          <w:color w:val="000000"/>
        </w:rPr>
        <w:instrText xml:space="preserve"> REF clause16sche31 \h  \* MERGEFORMAT </w:instrText>
      </w:r>
      <w:r w:rsidRPr="00C739D3">
        <w:rPr>
          <w:rFonts w:eastAsia="Arial" w:cs="Arial"/>
          <w:color w:val="000000"/>
        </w:rPr>
      </w:r>
      <w:r w:rsidRPr="00C739D3">
        <w:rPr>
          <w:rFonts w:eastAsia="Arial" w:cs="Arial"/>
          <w:color w:val="000000"/>
        </w:rPr>
        <w:fldChar w:fldCharType="separate"/>
      </w:r>
      <w:r w:rsidR="00302D39" w:rsidRPr="00302D39">
        <w:rPr>
          <w:rFonts w:eastAsia="Arial" w:cs="Arial"/>
          <w:color w:val="000000"/>
        </w:rPr>
        <w:t>16</w:t>
      </w:r>
      <w:r w:rsidRPr="00C739D3">
        <w:rPr>
          <w:rFonts w:eastAsia="Arial" w:cs="Arial"/>
          <w:color w:val="000000"/>
        </w:rPr>
        <w:fldChar w:fldCharType="end"/>
      </w:r>
      <w:r>
        <w:rPr>
          <w:rFonts w:eastAsia="Arial" w:cs="Arial"/>
          <w:color w:val="000000"/>
        </w:rPr>
        <w:fldChar w:fldCharType="begin"/>
      </w:r>
      <w:r>
        <w:rPr>
          <w:rFonts w:eastAsia="Arial" w:cs="Arial"/>
          <w:color w:val="000000"/>
        </w:rPr>
        <w:instrText xml:space="preserve"> REF _Ref141273168 \n \h </w:instrText>
      </w:r>
      <w:r>
        <w:rPr>
          <w:rFonts w:eastAsia="Arial" w:cs="Arial"/>
          <w:color w:val="000000"/>
        </w:rPr>
      </w:r>
      <w:r>
        <w:rPr>
          <w:rFonts w:eastAsia="Arial" w:cs="Arial"/>
          <w:color w:val="000000"/>
        </w:rPr>
        <w:fldChar w:fldCharType="separate"/>
      </w:r>
      <w:r w:rsidR="00302D39">
        <w:rPr>
          <w:rFonts w:eastAsia="Arial" w:cs="Arial"/>
          <w:color w:val="000000"/>
        </w:rPr>
        <w:t>(d)</w:t>
      </w:r>
      <w:r>
        <w:rPr>
          <w:rFonts w:eastAsia="Arial" w:cs="Arial"/>
          <w:color w:val="000000"/>
        </w:rPr>
        <w:fldChar w:fldCharType="end"/>
      </w:r>
      <w:r w:rsidRPr="00102034">
        <w:rPr>
          <w:rFonts w:eastAsia="Arial" w:cs="Arial"/>
          <w:color w:val="000000"/>
        </w:rPr>
        <w:t xml:space="preserve"> and </w:t>
      </w:r>
      <w:r w:rsidRPr="00C739D3">
        <w:rPr>
          <w:rFonts w:eastAsia="Arial" w:cs="Arial"/>
          <w:color w:val="000000"/>
        </w:rPr>
        <w:fldChar w:fldCharType="begin"/>
      </w:r>
      <w:r w:rsidRPr="00C739D3">
        <w:rPr>
          <w:rFonts w:eastAsia="Arial" w:cs="Arial"/>
          <w:color w:val="000000"/>
        </w:rPr>
        <w:instrText xml:space="preserve"> REF clause16sche31 \h  \* MERGEFORMAT </w:instrText>
      </w:r>
      <w:r w:rsidRPr="00C739D3">
        <w:rPr>
          <w:rFonts w:eastAsia="Arial" w:cs="Arial"/>
          <w:color w:val="000000"/>
        </w:rPr>
      </w:r>
      <w:r w:rsidRPr="00C739D3">
        <w:rPr>
          <w:rFonts w:eastAsia="Arial" w:cs="Arial"/>
          <w:color w:val="000000"/>
        </w:rPr>
        <w:fldChar w:fldCharType="separate"/>
      </w:r>
      <w:r w:rsidR="00302D39" w:rsidRPr="00302D39">
        <w:rPr>
          <w:rFonts w:eastAsia="Arial" w:cs="Arial"/>
          <w:color w:val="000000"/>
        </w:rPr>
        <w:t>16</w:t>
      </w:r>
      <w:r w:rsidRPr="00C739D3">
        <w:rPr>
          <w:rFonts w:eastAsia="Arial" w:cs="Arial"/>
          <w:color w:val="000000"/>
        </w:rPr>
        <w:fldChar w:fldCharType="end"/>
      </w:r>
      <w:r>
        <w:rPr>
          <w:rFonts w:eastAsia="Arial" w:cs="Arial"/>
          <w:color w:val="000000"/>
        </w:rPr>
        <w:fldChar w:fldCharType="begin"/>
      </w:r>
      <w:r>
        <w:rPr>
          <w:rFonts w:eastAsia="Arial" w:cs="Arial"/>
          <w:color w:val="000000"/>
        </w:rPr>
        <w:instrText xml:space="preserve"> REF _Ref141273199 \n \h </w:instrText>
      </w:r>
      <w:r>
        <w:rPr>
          <w:rFonts w:eastAsia="Arial" w:cs="Arial"/>
          <w:color w:val="000000"/>
        </w:rPr>
      </w:r>
      <w:r>
        <w:rPr>
          <w:rFonts w:eastAsia="Arial" w:cs="Arial"/>
          <w:color w:val="000000"/>
        </w:rPr>
        <w:fldChar w:fldCharType="separate"/>
      </w:r>
      <w:r w:rsidR="00302D39">
        <w:rPr>
          <w:rFonts w:eastAsia="Arial" w:cs="Arial"/>
          <w:color w:val="000000"/>
        </w:rPr>
        <w:t>(e)</w:t>
      </w:r>
      <w:r>
        <w:rPr>
          <w:rFonts w:eastAsia="Arial" w:cs="Arial"/>
          <w:color w:val="000000"/>
        </w:rPr>
        <w:fldChar w:fldCharType="end"/>
      </w:r>
      <w:r w:rsidRPr="00102034">
        <w:rPr>
          <w:rFonts w:eastAsia="Arial" w:cs="Arial"/>
          <w:color w:val="000000"/>
        </w:rPr>
        <w:t xml:space="preserve"> shall apply.</w:t>
      </w:r>
      <w:bookmarkEnd w:id="3272"/>
    </w:p>
    <w:p w14:paraId="5D697B59" w14:textId="77777777" w:rsidR="00F67E9E" w:rsidRPr="00102034" w:rsidRDefault="00F67E9E" w:rsidP="00F67E9E">
      <w:pPr>
        <w:keepNext/>
        <w:pBdr>
          <w:top w:val="nil"/>
          <w:left w:val="nil"/>
          <w:bottom w:val="nil"/>
          <w:right w:val="nil"/>
          <w:between w:val="nil"/>
        </w:pBdr>
        <w:spacing w:before="120"/>
        <w:jc w:val="center"/>
        <w:rPr>
          <w:rFonts w:eastAsia="Arial" w:cs="Arial"/>
          <w:b/>
          <w:color w:val="000000"/>
          <w:szCs w:val="24"/>
          <w:lang w:eastAsia="en-GB"/>
        </w:rPr>
      </w:pPr>
      <w:r w:rsidRPr="00102034">
        <w:rPr>
          <w:rFonts w:eastAsia="Arial" w:cs="Arial"/>
          <w:b/>
          <w:color w:val="000000"/>
          <w:szCs w:val="24"/>
          <w:lang w:eastAsia="en-GB"/>
        </w:rPr>
        <w:t>CLAUSE 15</w:t>
      </w:r>
    </w:p>
    <w:p w14:paraId="32ADE2D8" w14:textId="77777777" w:rsidR="00F67E9E" w:rsidRPr="00102034" w:rsidRDefault="00F67E9E" w:rsidP="00F67E9E">
      <w:pPr>
        <w:pBdr>
          <w:top w:val="nil"/>
          <w:left w:val="nil"/>
          <w:bottom w:val="nil"/>
          <w:right w:val="nil"/>
          <w:between w:val="nil"/>
        </w:pBdr>
        <w:spacing w:before="240" w:after="240"/>
        <w:ind w:firstLine="1440"/>
        <w:rPr>
          <w:rFonts w:eastAsia="Arial" w:cs="Arial"/>
          <w:i/>
          <w:color w:val="000000"/>
          <w:szCs w:val="24"/>
          <w:lang w:eastAsia="en-GB"/>
        </w:rPr>
      </w:pPr>
      <w:bookmarkStart w:id="3273" w:name="bookmark=id.13acmbr" w:colFirst="0" w:colLast="0"/>
      <w:bookmarkEnd w:id="3273"/>
      <w:r w:rsidRPr="00102034">
        <w:rPr>
          <w:rFonts w:eastAsia="Arial" w:cs="Arial"/>
          <w:b/>
          <w:color w:val="000000"/>
          <w:szCs w:val="24"/>
          <w:lang w:eastAsia="en-GB"/>
        </w:rPr>
        <w:t xml:space="preserve">Obligations of the data importer in case of access by public authorities </w:t>
      </w:r>
      <w:r w:rsidRPr="00102034">
        <w:rPr>
          <w:rFonts w:eastAsia="Arial" w:cs="Arial"/>
          <w:i/>
          <w:color w:val="000000"/>
          <w:szCs w:val="24"/>
          <w:lang w:eastAsia="en-GB"/>
        </w:rPr>
        <w:t>(where the EU processor combines the personal data received from the third country-controller with personal data collected by the processor in the EU)</w:t>
      </w:r>
    </w:p>
    <w:p w14:paraId="53E44651" w14:textId="77777777" w:rsidR="00F67E9E" w:rsidRPr="00102034" w:rsidRDefault="00F67E9E" w:rsidP="00F67E9E">
      <w:pPr>
        <w:pBdr>
          <w:top w:val="nil"/>
          <w:left w:val="nil"/>
          <w:bottom w:val="nil"/>
          <w:right w:val="nil"/>
          <w:between w:val="nil"/>
        </w:pBdr>
        <w:spacing w:before="240" w:after="240"/>
        <w:rPr>
          <w:rFonts w:eastAsia="Arial" w:cs="Arial"/>
          <w:b/>
          <w:color w:val="000000"/>
          <w:szCs w:val="24"/>
          <w:lang w:eastAsia="en-GB"/>
        </w:rPr>
      </w:pPr>
      <w:bookmarkStart w:id="3274" w:name="bookmark=id.3na04zk" w:colFirst="0" w:colLast="0"/>
      <w:bookmarkStart w:id="3275" w:name="Clause151"/>
      <w:bookmarkEnd w:id="3274"/>
      <w:r w:rsidRPr="00102034">
        <w:rPr>
          <w:rFonts w:eastAsia="Arial" w:cs="Arial"/>
          <w:b/>
          <w:color w:val="000000"/>
          <w:szCs w:val="24"/>
          <w:lang w:eastAsia="en-GB"/>
        </w:rPr>
        <w:t>15.1</w:t>
      </w:r>
      <w:bookmarkEnd w:id="3275"/>
      <w:r w:rsidRPr="00102034">
        <w:rPr>
          <w:rFonts w:eastAsia="Arial" w:cs="Arial"/>
          <w:b/>
          <w:color w:val="000000"/>
          <w:szCs w:val="24"/>
          <w:lang w:eastAsia="en-GB"/>
        </w:rPr>
        <w:t xml:space="preserve"> Notification</w:t>
      </w:r>
    </w:p>
    <w:p w14:paraId="776A870F" w14:textId="77777777" w:rsidR="00F67E9E" w:rsidRPr="00CE2A84" w:rsidRDefault="00F67E9E" w:rsidP="00F67E9E">
      <w:pPr>
        <w:pStyle w:val="AppendixText4"/>
        <w:numPr>
          <w:ilvl w:val="3"/>
          <w:numId w:val="231"/>
        </w:numPr>
        <w:tabs>
          <w:tab w:val="clear" w:pos="2520"/>
          <w:tab w:val="num" w:pos="-3600"/>
        </w:tabs>
        <w:ind w:left="1440"/>
        <w:rPr>
          <w:rFonts w:eastAsia="Arial" w:cs="Arial"/>
          <w:color w:val="000000"/>
        </w:rPr>
      </w:pPr>
      <w:bookmarkStart w:id="3276" w:name="bookmark=id.22faf7d" w:colFirst="0" w:colLast="0"/>
      <w:bookmarkStart w:id="3277" w:name="_Ref141248149"/>
      <w:bookmarkEnd w:id="3276"/>
      <w:r w:rsidRPr="00CE2A84">
        <w:rPr>
          <w:rFonts w:eastAsia="Arial" w:cs="Arial"/>
          <w:color w:val="000000"/>
        </w:rPr>
        <w:t>The data importer agrees to notify the data exporter and, where possible, the data subject promptly (if necessary with the help of the data exporter) if it:</w:t>
      </w:r>
      <w:bookmarkEnd w:id="3277"/>
    </w:p>
    <w:p w14:paraId="4CCC5165" w14:textId="77777777" w:rsidR="00F67E9E" w:rsidRPr="00102034" w:rsidRDefault="00F67E9E" w:rsidP="00F67E9E">
      <w:pPr>
        <w:numPr>
          <w:ilvl w:val="2"/>
          <w:numId w:val="7"/>
        </w:numPr>
        <w:pBdr>
          <w:top w:val="nil"/>
          <w:left w:val="nil"/>
          <w:bottom w:val="nil"/>
          <w:right w:val="nil"/>
          <w:between w:val="nil"/>
        </w:pBdr>
        <w:spacing w:before="100" w:after="200"/>
        <w:ind w:left="2160" w:hanging="720"/>
        <w:rPr>
          <w:rFonts w:eastAsia="Arial" w:cs="Arial"/>
          <w:color w:val="000000"/>
          <w:szCs w:val="24"/>
          <w:lang w:eastAsia="en-GB"/>
        </w:rPr>
      </w:pPr>
      <w:bookmarkStart w:id="3278" w:name="bookmark=id.hkkpf6" w:colFirst="0" w:colLast="0"/>
      <w:bookmarkEnd w:id="3278"/>
      <w:r w:rsidRPr="00102034">
        <w:rPr>
          <w:rFonts w:eastAsia="Arial" w:cs="Arial"/>
          <w:color w:val="000000"/>
          <w:szCs w:val="24"/>
          <w:lang w:eastAsia="en-GB"/>
        </w:rPr>
        <w:t>receives a legally binding request from a public authority, including judicial authorities, under the laws of the country of destination for the disclosure of personal data transferred pursuant to these Clauses; such notification shall include information about the personal data requested, the requesting authority, the legal basis for the request and the response provided; or</w:t>
      </w:r>
    </w:p>
    <w:p w14:paraId="555B6EC6" w14:textId="77777777" w:rsidR="00F67E9E" w:rsidRPr="00102034" w:rsidRDefault="00F67E9E" w:rsidP="00F67E9E">
      <w:pPr>
        <w:numPr>
          <w:ilvl w:val="2"/>
          <w:numId w:val="7"/>
        </w:numPr>
        <w:pBdr>
          <w:top w:val="nil"/>
          <w:left w:val="nil"/>
          <w:bottom w:val="nil"/>
          <w:right w:val="nil"/>
          <w:between w:val="nil"/>
        </w:pBdr>
        <w:spacing w:before="100" w:after="200"/>
        <w:ind w:left="2160" w:hanging="720"/>
        <w:rPr>
          <w:rFonts w:eastAsia="Arial" w:cs="Arial"/>
          <w:color w:val="000000"/>
          <w:szCs w:val="24"/>
          <w:lang w:eastAsia="en-GB"/>
        </w:rPr>
      </w:pPr>
      <w:bookmarkStart w:id="3279" w:name="bookmark=id.31k882z" w:colFirst="0" w:colLast="0"/>
      <w:bookmarkEnd w:id="3279"/>
      <w:r w:rsidRPr="00102034">
        <w:rPr>
          <w:rFonts w:eastAsia="Arial" w:cs="Arial"/>
          <w:color w:val="000000"/>
          <w:szCs w:val="24"/>
          <w:lang w:eastAsia="en-GB"/>
        </w:rPr>
        <w:t>becomes aware of any direct access by public authorities to personal data transferred pursuant to these Clauses in accordance with the laws of the country of destination; such notification shall include all information available to the importer.</w:t>
      </w:r>
    </w:p>
    <w:p w14:paraId="2FB58F07" w14:textId="77777777" w:rsidR="00F67E9E" w:rsidRPr="00102034" w:rsidRDefault="00F67E9E" w:rsidP="00F67E9E">
      <w:pPr>
        <w:pStyle w:val="AppendixText4"/>
        <w:numPr>
          <w:ilvl w:val="3"/>
          <w:numId w:val="228"/>
        </w:numPr>
        <w:tabs>
          <w:tab w:val="clear" w:pos="2520"/>
          <w:tab w:val="num" w:pos="-2520"/>
        </w:tabs>
        <w:ind w:left="1440"/>
        <w:rPr>
          <w:rFonts w:eastAsia="Arial" w:cs="Arial"/>
          <w:color w:val="000000"/>
        </w:rPr>
      </w:pPr>
      <w:bookmarkStart w:id="3280" w:name="bookmark=id.1gpiias" w:colFirst="0" w:colLast="0"/>
      <w:bookmarkEnd w:id="3280"/>
      <w:r w:rsidRPr="00102034">
        <w:rPr>
          <w:rFonts w:eastAsia="Arial" w:cs="Arial"/>
          <w:color w:val="000000"/>
        </w:rPr>
        <w:t>If the data importer is prohibited from notifying the data exporter and/or the data subject under the laws of the country of destination, the data importer agrees to use its best efforts to obtain a waiver of the prohibition, with a view to communicating as much information as possible, as soon as possible. The data importer agrees to document its best efforts in order to be able to demonstrate them on request of the data exporter.</w:t>
      </w:r>
    </w:p>
    <w:p w14:paraId="633CC500" w14:textId="77777777" w:rsidR="00F67E9E" w:rsidRPr="00102034" w:rsidRDefault="00F67E9E" w:rsidP="00F67E9E">
      <w:pPr>
        <w:pStyle w:val="AppendixText4"/>
        <w:numPr>
          <w:ilvl w:val="3"/>
          <w:numId w:val="228"/>
        </w:numPr>
        <w:tabs>
          <w:tab w:val="clear" w:pos="2520"/>
          <w:tab w:val="num" w:pos="-2520"/>
        </w:tabs>
        <w:ind w:left="1440"/>
        <w:rPr>
          <w:rFonts w:eastAsia="Arial" w:cs="Arial"/>
          <w:color w:val="000000"/>
        </w:rPr>
      </w:pPr>
      <w:bookmarkStart w:id="3281" w:name="bookmark=id.2fugb6e" w:colFirst="0" w:colLast="0"/>
      <w:bookmarkStart w:id="3282" w:name="_heading=h.40p60yl" w:colFirst="0" w:colLast="0"/>
      <w:bookmarkStart w:id="3283" w:name="_Ref141248169"/>
      <w:bookmarkEnd w:id="3281"/>
      <w:bookmarkEnd w:id="3282"/>
      <w:r w:rsidRPr="00102034">
        <w:rPr>
          <w:rFonts w:eastAsia="Arial" w:cs="Arial"/>
          <w:color w:val="000000"/>
        </w:rPr>
        <w:t>Where permissible under the laws of the country of destination, the data importer agrees to provide the data exporter, at regular intervals for the duration of the contract, with as much relevant information as possible on the requests received (in particular, number of requests, type of data requested, requesting authority/ies, whether requests have been challenged and the outcome of such challenges, etc.).</w:t>
      </w:r>
      <w:bookmarkEnd w:id="3283"/>
      <w:r w:rsidRPr="00102034">
        <w:rPr>
          <w:rFonts w:eastAsia="Arial" w:cs="Arial"/>
          <w:color w:val="000000"/>
        </w:rPr>
        <w:t xml:space="preserve"> </w:t>
      </w:r>
    </w:p>
    <w:p w14:paraId="2D5E7974" w14:textId="7EBDDD26" w:rsidR="00F67E9E" w:rsidRPr="00102034" w:rsidRDefault="00F67E9E" w:rsidP="00F67E9E">
      <w:pPr>
        <w:pStyle w:val="AppendixText4"/>
        <w:numPr>
          <w:ilvl w:val="3"/>
          <w:numId w:val="228"/>
        </w:numPr>
        <w:tabs>
          <w:tab w:val="clear" w:pos="2520"/>
          <w:tab w:val="num" w:pos="-2520"/>
        </w:tabs>
        <w:ind w:left="1440"/>
        <w:rPr>
          <w:rFonts w:eastAsia="Arial" w:cs="Arial"/>
          <w:color w:val="000000"/>
        </w:rPr>
      </w:pPr>
      <w:bookmarkStart w:id="3284" w:name="bookmark=id.uzqle7" w:colFirst="0" w:colLast="0"/>
      <w:bookmarkEnd w:id="3284"/>
      <w:r w:rsidRPr="00102034">
        <w:rPr>
          <w:rFonts w:eastAsia="Arial" w:cs="Arial"/>
          <w:color w:val="000000"/>
        </w:rPr>
        <w:t>The data importer agrees to preserve the information pursuant to paragraphs ‎</w:t>
      </w:r>
      <w:r>
        <w:rPr>
          <w:rFonts w:eastAsia="Arial" w:cs="Arial"/>
          <w:color w:val="000000"/>
        </w:rPr>
        <w:fldChar w:fldCharType="begin"/>
      </w:r>
      <w:r>
        <w:rPr>
          <w:rFonts w:eastAsia="Arial" w:cs="Arial"/>
          <w:color w:val="000000"/>
        </w:rPr>
        <w:instrText xml:space="preserve"> REF _Ref141248149 \n \h </w:instrText>
      </w:r>
      <w:r>
        <w:rPr>
          <w:rFonts w:eastAsia="Arial" w:cs="Arial"/>
          <w:color w:val="000000"/>
        </w:rPr>
      </w:r>
      <w:r>
        <w:rPr>
          <w:rFonts w:eastAsia="Arial" w:cs="Arial"/>
          <w:color w:val="000000"/>
        </w:rPr>
        <w:fldChar w:fldCharType="separate"/>
      </w:r>
      <w:r w:rsidR="00302D39">
        <w:rPr>
          <w:rFonts w:eastAsia="Arial" w:cs="Arial"/>
          <w:color w:val="000000"/>
        </w:rPr>
        <w:t>(a)</w:t>
      </w:r>
      <w:r>
        <w:rPr>
          <w:rFonts w:eastAsia="Arial" w:cs="Arial"/>
          <w:color w:val="000000"/>
        </w:rPr>
        <w:fldChar w:fldCharType="end"/>
      </w:r>
      <w:r w:rsidRPr="00102034">
        <w:rPr>
          <w:rFonts w:eastAsia="Arial" w:cs="Arial"/>
          <w:color w:val="000000"/>
        </w:rPr>
        <w:t xml:space="preserve">‎ to </w:t>
      </w:r>
      <w:r>
        <w:rPr>
          <w:rFonts w:eastAsia="Arial" w:cs="Arial"/>
          <w:color w:val="000000"/>
        </w:rPr>
        <w:fldChar w:fldCharType="begin"/>
      </w:r>
      <w:r>
        <w:rPr>
          <w:rFonts w:eastAsia="Arial" w:cs="Arial"/>
          <w:color w:val="000000"/>
        </w:rPr>
        <w:instrText xml:space="preserve"> REF _Ref141248169 \n \h </w:instrText>
      </w:r>
      <w:r>
        <w:rPr>
          <w:rFonts w:eastAsia="Arial" w:cs="Arial"/>
          <w:color w:val="000000"/>
        </w:rPr>
      </w:r>
      <w:r>
        <w:rPr>
          <w:rFonts w:eastAsia="Arial" w:cs="Arial"/>
          <w:color w:val="000000"/>
        </w:rPr>
        <w:fldChar w:fldCharType="separate"/>
      </w:r>
      <w:r w:rsidR="00302D39">
        <w:rPr>
          <w:rFonts w:eastAsia="Arial" w:cs="Arial"/>
          <w:color w:val="000000"/>
        </w:rPr>
        <w:t>(c)</w:t>
      </w:r>
      <w:r>
        <w:rPr>
          <w:rFonts w:eastAsia="Arial" w:cs="Arial"/>
          <w:color w:val="000000"/>
        </w:rPr>
        <w:fldChar w:fldCharType="end"/>
      </w:r>
      <w:r w:rsidRPr="00102034">
        <w:rPr>
          <w:rFonts w:eastAsia="Arial" w:cs="Arial"/>
          <w:color w:val="000000"/>
        </w:rPr>
        <w:t xml:space="preserve"> for the duration of the contract and make it available to the competent supervisory authority on request.</w:t>
      </w:r>
    </w:p>
    <w:p w14:paraId="1C661290" w14:textId="292D16D1" w:rsidR="00F67E9E" w:rsidRPr="00102034" w:rsidRDefault="00F67E9E" w:rsidP="00F67E9E">
      <w:pPr>
        <w:pStyle w:val="AppendixText4"/>
        <w:numPr>
          <w:ilvl w:val="3"/>
          <w:numId w:val="228"/>
        </w:numPr>
        <w:tabs>
          <w:tab w:val="clear" w:pos="2520"/>
          <w:tab w:val="num" w:pos="-2520"/>
        </w:tabs>
        <w:ind w:left="1440"/>
        <w:rPr>
          <w:rFonts w:eastAsia="Arial" w:cs="Arial"/>
          <w:color w:val="000000"/>
        </w:rPr>
      </w:pPr>
      <w:bookmarkStart w:id="3285" w:name="bookmark=id.3eze420" w:colFirst="0" w:colLast="0"/>
      <w:bookmarkEnd w:id="3285"/>
      <w:r w:rsidRPr="00102034">
        <w:rPr>
          <w:rFonts w:eastAsia="Arial" w:cs="Arial"/>
          <w:color w:val="000000"/>
        </w:rPr>
        <w:t xml:space="preserve">Paragraphs </w:t>
      </w:r>
      <w:r>
        <w:rPr>
          <w:rFonts w:eastAsia="Arial" w:cs="Arial"/>
          <w:color w:val="000000"/>
        </w:rPr>
        <w:fldChar w:fldCharType="begin"/>
      </w:r>
      <w:r>
        <w:rPr>
          <w:rFonts w:eastAsia="Arial" w:cs="Arial"/>
          <w:color w:val="000000"/>
        </w:rPr>
        <w:instrText xml:space="preserve"> REF _Ref141248149 \n \h </w:instrText>
      </w:r>
      <w:r>
        <w:rPr>
          <w:rFonts w:eastAsia="Arial" w:cs="Arial"/>
          <w:color w:val="000000"/>
        </w:rPr>
      </w:r>
      <w:r>
        <w:rPr>
          <w:rFonts w:eastAsia="Arial" w:cs="Arial"/>
          <w:color w:val="000000"/>
        </w:rPr>
        <w:fldChar w:fldCharType="separate"/>
      </w:r>
      <w:r w:rsidR="00302D39">
        <w:rPr>
          <w:rFonts w:eastAsia="Arial" w:cs="Arial"/>
          <w:color w:val="000000"/>
        </w:rPr>
        <w:t>(a)</w:t>
      </w:r>
      <w:r>
        <w:rPr>
          <w:rFonts w:eastAsia="Arial" w:cs="Arial"/>
          <w:color w:val="000000"/>
        </w:rPr>
        <w:fldChar w:fldCharType="end"/>
      </w:r>
      <w:r w:rsidRPr="00102034">
        <w:rPr>
          <w:rFonts w:eastAsia="Arial" w:cs="Arial"/>
          <w:color w:val="000000"/>
        </w:rPr>
        <w:t xml:space="preserve">‎ to </w:t>
      </w:r>
      <w:r>
        <w:rPr>
          <w:rFonts w:eastAsia="Arial" w:cs="Arial"/>
          <w:color w:val="000000"/>
        </w:rPr>
        <w:fldChar w:fldCharType="begin"/>
      </w:r>
      <w:r>
        <w:rPr>
          <w:rFonts w:eastAsia="Arial" w:cs="Arial"/>
          <w:color w:val="000000"/>
        </w:rPr>
        <w:instrText xml:space="preserve"> REF _Ref141248169 \n \h </w:instrText>
      </w:r>
      <w:r>
        <w:rPr>
          <w:rFonts w:eastAsia="Arial" w:cs="Arial"/>
          <w:color w:val="000000"/>
        </w:rPr>
      </w:r>
      <w:r>
        <w:rPr>
          <w:rFonts w:eastAsia="Arial" w:cs="Arial"/>
          <w:color w:val="000000"/>
        </w:rPr>
        <w:fldChar w:fldCharType="separate"/>
      </w:r>
      <w:r w:rsidR="00302D39">
        <w:rPr>
          <w:rFonts w:eastAsia="Arial" w:cs="Arial"/>
          <w:color w:val="000000"/>
        </w:rPr>
        <w:t>(c)</w:t>
      </w:r>
      <w:r>
        <w:rPr>
          <w:rFonts w:eastAsia="Arial" w:cs="Arial"/>
          <w:color w:val="000000"/>
        </w:rPr>
        <w:fldChar w:fldCharType="end"/>
      </w:r>
      <w:r w:rsidRPr="00102034">
        <w:rPr>
          <w:rFonts w:eastAsia="Arial" w:cs="Arial"/>
          <w:color w:val="000000"/>
        </w:rPr>
        <w:t xml:space="preserve"> are without prejudice to the obligation of the data importer pursuant to Clause </w:t>
      </w:r>
      <w:r w:rsidRPr="00903C64">
        <w:rPr>
          <w:rFonts w:eastAsia="Arial" w:cs="Arial"/>
          <w:color w:val="000000"/>
        </w:rPr>
        <w:fldChar w:fldCharType="begin"/>
      </w:r>
      <w:r w:rsidRPr="00903C64">
        <w:rPr>
          <w:rFonts w:eastAsia="Arial" w:cs="Arial"/>
          <w:color w:val="000000"/>
        </w:rPr>
        <w:instrText xml:space="preserve"> REF clause14sch31 \h  \* MERGEFORMAT </w:instrText>
      </w:r>
      <w:r w:rsidRPr="00903C64">
        <w:rPr>
          <w:rFonts w:eastAsia="Arial" w:cs="Arial"/>
          <w:color w:val="000000"/>
        </w:rPr>
      </w:r>
      <w:r w:rsidRPr="00903C64">
        <w:rPr>
          <w:rFonts w:eastAsia="Arial" w:cs="Arial"/>
          <w:color w:val="000000"/>
        </w:rPr>
        <w:fldChar w:fldCharType="separate"/>
      </w:r>
      <w:r w:rsidR="00302D39" w:rsidRPr="00302D39">
        <w:rPr>
          <w:rFonts w:eastAsia="Arial" w:cs="Arial"/>
          <w:color w:val="000000"/>
        </w:rPr>
        <w:t>14</w:t>
      </w:r>
      <w:r w:rsidRPr="00903C64">
        <w:rPr>
          <w:rFonts w:eastAsia="Arial" w:cs="Arial"/>
          <w:color w:val="000000"/>
        </w:rPr>
        <w:fldChar w:fldCharType="end"/>
      </w:r>
      <w:r>
        <w:rPr>
          <w:rFonts w:eastAsia="Arial" w:cs="Arial"/>
          <w:color w:val="000000"/>
        </w:rPr>
        <w:fldChar w:fldCharType="begin"/>
      </w:r>
      <w:r>
        <w:rPr>
          <w:rFonts w:eastAsia="Arial" w:cs="Arial"/>
          <w:color w:val="000000"/>
        </w:rPr>
        <w:instrText xml:space="preserve"> REF _Ref141247906 \n \h </w:instrText>
      </w:r>
      <w:r>
        <w:rPr>
          <w:rFonts w:eastAsia="Arial" w:cs="Arial"/>
          <w:color w:val="000000"/>
        </w:rPr>
      </w:r>
      <w:r>
        <w:rPr>
          <w:rFonts w:eastAsia="Arial" w:cs="Arial"/>
          <w:color w:val="000000"/>
        </w:rPr>
        <w:fldChar w:fldCharType="separate"/>
      </w:r>
      <w:r w:rsidR="00302D39">
        <w:rPr>
          <w:rFonts w:eastAsia="Arial" w:cs="Arial"/>
          <w:color w:val="000000"/>
        </w:rPr>
        <w:t>(e)</w:t>
      </w:r>
      <w:r>
        <w:rPr>
          <w:rFonts w:eastAsia="Arial" w:cs="Arial"/>
          <w:color w:val="000000"/>
        </w:rPr>
        <w:fldChar w:fldCharType="end"/>
      </w:r>
      <w:r w:rsidRPr="00102034">
        <w:rPr>
          <w:rFonts w:eastAsia="Arial" w:cs="Arial"/>
          <w:color w:val="000000"/>
        </w:rPr>
        <w:t xml:space="preserve"> and Clause </w:t>
      </w:r>
      <w:r w:rsidRPr="00903C64">
        <w:rPr>
          <w:rFonts w:eastAsia="Arial" w:cs="Arial"/>
          <w:color w:val="000000"/>
        </w:rPr>
        <w:fldChar w:fldCharType="begin"/>
      </w:r>
      <w:r w:rsidRPr="00903C64">
        <w:rPr>
          <w:rFonts w:eastAsia="Arial" w:cs="Arial"/>
          <w:color w:val="000000"/>
        </w:rPr>
        <w:instrText xml:space="preserve"> REF clause16sche31 \h  \* MERGEFORMAT </w:instrText>
      </w:r>
      <w:r w:rsidRPr="00903C64">
        <w:rPr>
          <w:rFonts w:eastAsia="Arial" w:cs="Arial"/>
          <w:color w:val="000000"/>
        </w:rPr>
      </w:r>
      <w:r w:rsidRPr="00903C64">
        <w:rPr>
          <w:rFonts w:eastAsia="Arial" w:cs="Arial"/>
          <w:color w:val="000000"/>
        </w:rPr>
        <w:fldChar w:fldCharType="separate"/>
      </w:r>
      <w:r w:rsidR="00302D39" w:rsidRPr="00302D39">
        <w:rPr>
          <w:rFonts w:eastAsia="Arial" w:cs="Arial"/>
          <w:color w:val="000000"/>
        </w:rPr>
        <w:t>16</w:t>
      </w:r>
      <w:r w:rsidRPr="00903C64">
        <w:rPr>
          <w:rFonts w:eastAsia="Arial" w:cs="Arial"/>
          <w:color w:val="000000"/>
        </w:rPr>
        <w:fldChar w:fldCharType="end"/>
      </w:r>
      <w:r w:rsidRPr="00102034">
        <w:rPr>
          <w:rFonts w:eastAsia="Arial" w:cs="Arial"/>
          <w:color w:val="000000"/>
        </w:rPr>
        <w:t xml:space="preserve"> to inform the data exporter promptly where it is unable to comply with these Clauses.</w:t>
      </w:r>
    </w:p>
    <w:p w14:paraId="12E2D35D" w14:textId="77777777" w:rsidR="00F67E9E" w:rsidRPr="00102034" w:rsidRDefault="00F67E9E" w:rsidP="00F67E9E">
      <w:pPr>
        <w:pBdr>
          <w:top w:val="nil"/>
          <w:left w:val="nil"/>
          <w:bottom w:val="nil"/>
          <w:right w:val="nil"/>
          <w:between w:val="nil"/>
        </w:pBdr>
        <w:spacing w:before="240" w:after="240"/>
        <w:rPr>
          <w:rFonts w:eastAsia="Arial" w:cs="Arial"/>
          <w:b/>
          <w:color w:val="000000"/>
          <w:szCs w:val="24"/>
          <w:lang w:eastAsia="en-GB"/>
        </w:rPr>
      </w:pPr>
      <w:bookmarkStart w:id="3286" w:name="bookmark=id.1u4oe9t" w:colFirst="0" w:colLast="0"/>
      <w:bookmarkStart w:id="3287" w:name="Clause15152"/>
      <w:bookmarkEnd w:id="3286"/>
      <w:r w:rsidRPr="00102034">
        <w:rPr>
          <w:rFonts w:eastAsia="Arial" w:cs="Arial"/>
          <w:b/>
          <w:color w:val="000000"/>
          <w:szCs w:val="24"/>
          <w:lang w:eastAsia="en-GB"/>
        </w:rPr>
        <w:t>15.2</w:t>
      </w:r>
      <w:bookmarkEnd w:id="3287"/>
      <w:r>
        <w:rPr>
          <w:rFonts w:eastAsia="Arial" w:cs="Arial"/>
          <w:b/>
          <w:color w:val="000000"/>
          <w:szCs w:val="24"/>
          <w:lang w:eastAsia="en-GB"/>
        </w:rPr>
        <w:tab/>
      </w:r>
      <w:r w:rsidRPr="00102034">
        <w:rPr>
          <w:rFonts w:eastAsia="Arial" w:cs="Arial"/>
          <w:b/>
          <w:color w:val="000000"/>
          <w:szCs w:val="24"/>
          <w:lang w:eastAsia="en-GB"/>
        </w:rPr>
        <w:t>Review of legality and data minimisation</w:t>
      </w:r>
    </w:p>
    <w:p w14:paraId="22D36157" w14:textId="1DAC705D" w:rsidR="00F67E9E" w:rsidRPr="00CE2A84" w:rsidRDefault="00F67E9E" w:rsidP="00F67E9E">
      <w:pPr>
        <w:pStyle w:val="AppendixText4"/>
        <w:numPr>
          <w:ilvl w:val="3"/>
          <w:numId w:val="232"/>
        </w:numPr>
        <w:tabs>
          <w:tab w:val="clear" w:pos="2520"/>
          <w:tab w:val="num" w:pos="-3600"/>
        </w:tabs>
        <w:ind w:left="1440"/>
        <w:rPr>
          <w:rFonts w:eastAsia="Arial" w:cs="Arial"/>
          <w:color w:val="000000"/>
        </w:rPr>
      </w:pPr>
      <w:bookmarkStart w:id="3288" w:name="bookmark=id.4e4bwxm" w:colFirst="0" w:colLast="0"/>
      <w:bookmarkEnd w:id="3288"/>
      <w:r w:rsidRPr="00CE2A84">
        <w:rPr>
          <w:rFonts w:eastAsia="Arial" w:cs="Arial"/>
          <w:color w:val="000000"/>
        </w:rPr>
        <w:t xml:space="preserve">The data importer agrees to review the legality of the request for disclosure, in particular whether it remains within the powers granted to the requesting public authority, and to challenge the request if, after careful assessment, it concludes that there are reasonable grounds to consider that the request is unlawful under the laws of the country of destination, applicable obligations under international law and principles of international comity. The data importer shall, under the same conditions, pursue possibilities of appeal. When challenging a request, the data importer shall seek interim measures with a view to suspending the effects of the request until the competent judicial authority has decided on its merits. It shall not disclose the personal data requested until required to do so under the applicable procedural rules. These requirements are without prejudice to the obligations of the data importer under Clause </w:t>
      </w:r>
      <w:r w:rsidRPr="00903C64">
        <w:rPr>
          <w:rFonts w:eastAsia="Arial" w:cs="Arial"/>
          <w:color w:val="000000"/>
        </w:rPr>
        <w:fldChar w:fldCharType="begin"/>
      </w:r>
      <w:r w:rsidRPr="00903C64">
        <w:rPr>
          <w:rFonts w:eastAsia="Arial" w:cs="Arial"/>
          <w:color w:val="000000"/>
        </w:rPr>
        <w:instrText xml:space="preserve"> REF clause14sch31 \h  \* MERGEFORMAT </w:instrText>
      </w:r>
      <w:r w:rsidRPr="00903C64">
        <w:rPr>
          <w:rFonts w:eastAsia="Arial" w:cs="Arial"/>
          <w:color w:val="000000"/>
        </w:rPr>
      </w:r>
      <w:r w:rsidRPr="00903C64">
        <w:rPr>
          <w:rFonts w:eastAsia="Arial" w:cs="Arial"/>
          <w:color w:val="000000"/>
        </w:rPr>
        <w:fldChar w:fldCharType="separate"/>
      </w:r>
      <w:r w:rsidR="00302D39" w:rsidRPr="00302D39">
        <w:rPr>
          <w:rFonts w:eastAsia="Arial" w:cs="Arial"/>
          <w:color w:val="000000"/>
        </w:rPr>
        <w:t>14</w:t>
      </w:r>
      <w:r w:rsidRPr="00903C64">
        <w:rPr>
          <w:rFonts w:eastAsia="Arial" w:cs="Arial"/>
          <w:color w:val="000000"/>
        </w:rPr>
        <w:fldChar w:fldCharType="end"/>
      </w:r>
      <w:r>
        <w:rPr>
          <w:rFonts w:eastAsia="Arial" w:cs="Arial"/>
          <w:color w:val="000000"/>
        </w:rPr>
        <w:fldChar w:fldCharType="begin"/>
      </w:r>
      <w:r>
        <w:rPr>
          <w:rFonts w:eastAsia="Arial" w:cs="Arial"/>
          <w:color w:val="000000"/>
        </w:rPr>
        <w:instrText xml:space="preserve"> REF _Ref141247906 \n \h </w:instrText>
      </w:r>
      <w:r>
        <w:rPr>
          <w:rFonts w:eastAsia="Arial" w:cs="Arial"/>
          <w:color w:val="000000"/>
        </w:rPr>
      </w:r>
      <w:r>
        <w:rPr>
          <w:rFonts w:eastAsia="Arial" w:cs="Arial"/>
          <w:color w:val="000000"/>
        </w:rPr>
        <w:fldChar w:fldCharType="separate"/>
      </w:r>
      <w:r w:rsidR="00302D39">
        <w:rPr>
          <w:rFonts w:eastAsia="Arial" w:cs="Arial"/>
          <w:color w:val="000000"/>
        </w:rPr>
        <w:t>(e)</w:t>
      </w:r>
      <w:r>
        <w:rPr>
          <w:rFonts w:eastAsia="Arial" w:cs="Arial"/>
          <w:color w:val="000000"/>
        </w:rPr>
        <w:fldChar w:fldCharType="end"/>
      </w:r>
      <w:r w:rsidRPr="00CE2A84">
        <w:rPr>
          <w:rFonts w:eastAsia="Arial" w:cs="Arial"/>
          <w:color w:val="000000"/>
        </w:rPr>
        <w:t>.</w:t>
      </w:r>
    </w:p>
    <w:p w14:paraId="224A162E" w14:textId="77777777" w:rsidR="00F67E9E" w:rsidRPr="00102034" w:rsidRDefault="00F67E9E" w:rsidP="00F67E9E">
      <w:pPr>
        <w:pStyle w:val="AppendixText4"/>
        <w:numPr>
          <w:ilvl w:val="3"/>
          <w:numId w:val="228"/>
        </w:numPr>
        <w:tabs>
          <w:tab w:val="clear" w:pos="2520"/>
          <w:tab w:val="num" w:pos="-2520"/>
        </w:tabs>
        <w:ind w:left="1440"/>
        <w:rPr>
          <w:rFonts w:eastAsia="Arial" w:cs="Arial"/>
          <w:color w:val="000000"/>
        </w:rPr>
      </w:pPr>
      <w:bookmarkStart w:id="3289" w:name="bookmark=id.2t9m75f" w:colFirst="0" w:colLast="0"/>
      <w:bookmarkEnd w:id="3289"/>
      <w:r w:rsidRPr="00102034">
        <w:rPr>
          <w:rFonts w:eastAsia="Arial" w:cs="Arial"/>
          <w:color w:val="000000"/>
        </w:rPr>
        <w:t xml:space="preserve">The data importer agrees to document its legal assessment and any challenge to the request for disclosure and, to the extent permissible under the laws of the country of destination, make the documentation available to the data exporter. It shall also make it available to the competent supervisory authority on request. </w:t>
      </w:r>
    </w:p>
    <w:p w14:paraId="0F41B8CF" w14:textId="77777777" w:rsidR="00F67E9E" w:rsidRPr="00102034" w:rsidRDefault="00F67E9E" w:rsidP="00F67E9E">
      <w:pPr>
        <w:pStyle w:val="AppendixText4"/>
        <w:numPr>
          <w:ilvl w:val="3"/>
          <w:numId w:val="228"/>
        </w:numPr>
        <w:tabs>
          <w:tab w:val="clear" w:pos="2520"/>
          <w:tab w:val="num" w:pos="-2520"/>
        </w:tabs>
        <w:ind w:left="1440"/>
        <w:rPr>
          <w:rFonts w:eastAsia="Arial" w:cs="Arial"/>
          <w:color w:val="000000"/>
        </w:rPr>
      </w:pPr>
      <w:bookmarkStart w:id="3290" w:name="bookmark=id.18ewhd8" w:colFirst="0" w:colLast="0"/>
      <w:bookmarkEnd w:id="3290"/>
      <w:r w:rsidRPr="00102034">
        <w:rPr>
          <w:rFonts w:eastAsia="Arial" w:cs="Arial"/>
          <w:color w:val="000000"/>
        </w:rPr>
        <w:t>The data importer agrees to provide the minimum amount of information permissible when responding to a request for disclosure, based on a reasonable interpretation of the request.</w:t>
      </w:r>
    </w:p>
    <w:p w14:paraId="675B855C" w14:textId="77777777" w:rsidR="00F67E9E" w:rsidRPr="00102034" w:rsidRDefault="00F67E9E" w:rsidP="00F67E9E">
      <w:pPr>
        <w:pBdr>
          <w:top w:val="nil"/>
          <w:left w:val="nil"/>
          <w:bottom w:val="nil"/>
          <w:right w:val="nil"/>
          <w:between w:val="nil"/>
        </w:pBdr>
        <w:spacing w:before="120"/>
        <w:jc w:val="center"/>
        <w:rPr>
          <w:rFonts w:eastAsia="Arial" w:cs="Arial"/>
          <w:b/>
          <w:color w:val="000000"/>
          <w:szCs w:val="24"/>
          <w:lang w:eastAsia="en-GB"/>
        </w:rPr>
      </w:pPr>
      <w:r w:rsidRPr="00102034">
        <w:rPr>
          <w:rFonts w:eastAsia="Arial" w:cs="Arial"/>
          <w:b/>
          <w:color w:val="000000"/>
          <w:szCs w:val="24"/>
          <w:lang w:eastAsia="en-GB"/>
        </w:rPr>
        <w:t>SECTION IV – FINAL PROVISIONS</w:t>
      </w:r>
    </w:p>
    <w:p w14:paraId="3D18020C" w14:textId="77777777" w:rsidR="00F67E9E" w:rsidRPr="00102034" w:rsidRDefault="00F67E9E" w:rsidP="00F67E9E">
      <w:pPr>
        <w:pBdr>
          <w:top w:val="nil"/>
          <w:left w:val="nil"/>
          <w:bottom w:val="nil"/>
          <w:right w:val="nil"/>
          <w:between w:val="nil"/>
        </w:pBdr>
        <w:spacing w:before="120"/>
        <w:jc w:val="center"/>
        <w:rPr>
          <w:rFonts w:eastAsia="Arial" w:cs="Arial"/>
          <w:b/>
          <w:color w:val="000000"/>
          <w:szCs w:val="24"/>
          <w:lang w:eastAsia="en-GB"/>
        </w:rPr>
      </w:pPr>
      <w:r w:rsidRPr="00102034">
        <w:rPr>
          <w:rFonts w:eastAsia="Arial" w:cs="Arial"/>
          <w:b/>
          <w:color w:val="000000"/>
          <w:szCs w:val="24"/>
          <w:lang w:eastAsia="en-GB"/>
        </w:rPr>
        <w:t xml:space="preserve">CLAUSE </w:t>
      </w:r>
      <w:bookmarkStart w:id="3291" w:name="clause16sche31"/>
      <w:r w:rsidRPr="00102034">
        <w:rPr>
          <w:rFonts w:eastAsia="Arial" w:cs="Arial"/>
          <w:b/>
          <w:color w:val="000000"/>
          <w:szCs w:val="24"/>
          <w:lang w:eastAsia="en-GB"/>
        </w:rPr>
        <w:t>16</w:t>
      </w:r>
      <w:bookmarkEnd w:id="3291"/>
    </w:p>
    <w:p w14:paraId="5D136837" w14:textId="77777777" w:rsidR="00F67E9E" w:rsidRPr="00102034" w:rsidRDefault="00F67E9E" w:rsidP="00F67E9E">
      <w:pPr>
        <w:pBdr>
          <w:top w:val="nil"/>
          <w:left w:val="nil"/>
          <w:bottom w:val="nil"/>
          <w:right w:val="nil"/>
          <w:between w:val="nil"/>
        </w:pBdr>
        <w:spacing w:before="240" w:after="240"/>
        <w:ind w:firstLine="90"/>
        <w:rPr>
          <w:rFonts w:eastAsia="Arial" w:cs="Arial"/>
          <w:b/>
          <w:color w:val="000000"/>
          <w:szCs w:val="24"/>
          <w:lang w:eastAsia="en-GB"/>
        </w:rPr>
      </w:pPr>
      <w:bookmarkStart w:id="3292" w:name="bookmark=id.3sek011" w:colFirst="0" w:colLast="0"/>
      <w:bookmarkEnd w:id="3292"/>
      <w:r w:rsidRPr="00102034">
        <w:rPr>
          <w:rFonts w:eastAsia="Arial" w:cs="Arial"/>
          <w:b/>
          <w:color w:val="000000"/>
          <w:szCs w:val="24"/>
          <w:lang w:eastAsia="en-GB"/>
        </w:rPr>
        <w:t>Non-compliance with the Clauses and termination</w:t>
      </w:r>
    </w:p>
    <w:p w14:paraId="4C91E85C" w14:textId="77777777" w:rsidR="00F67E9E" w:rsidRPr="00CE2A84" w:rsidRDefault="00F67E9E" w:rsidP="00F67E9E">
      <w:pPr>
        <w:pStyle w:val="AppendixText4"/>
        <w:numPr>
          <w:ilvl w:val="3"/>
          <w:numId w:val="233"/>
        </w:numPr>
        <w:tabs>
          <w:tab w:val="clear" w:pos="2520"/>
          <w:tab w:val="num" w:pos="-3600"/>
        </w:tabs>
        <w:ind w:left="1440"/>
        <w:rPr>
          <w:rFonts w:eastAsia="Arial" w:cs="Arial"/>
          <w:color w:val="000000"/>
        </w:rPr>
      </w:pPr>
      <w:bookmarkStart w:id="3293" w:name="bookmark=id.27jua8u" w:colFirst="0" w:colLast="0"/>
      <w:bookmarkEnd w:id="3293"/>
      <w:r w:rsidRPr="00CE2A84">
        <w:rPr>
          <w:rFonts w:eastAsia="Arial" w:cs="Arial"/>
          <w:color w:val="000000"/>
        </w:rPr>
        <w:t>The data importer shall promptly inform the data exporter if it is unable to comply with these Clauses, for whatever reason.</w:t>
      </w:r>
    </w:p>
    <w:p w14:paraId="148BFE39" w14:textId="68A4E7B1" w:rsidR="00F67E9E" w:rsidRPr="00102034" w:rsidRDefault="00F67E9E" w:rsidP="00F67E9E">
      <w:pPr>
        <w:pStyle w:val="AppendixText4"/>
        <w:numPr>
          <w:ilvl w:val="3"/>
          <w:numId w:val="228"/>
        </w:numPr>
        <w:tabs>
          <w:tab w:val="clear" w:pos="2520"/>
          <w:tab w:val="num" w:pos="-2520"/>
        </w:tabs>
        <w:ind w:left="1440"/>
        <w:rPr>
          <w:rFonts w:eastAsia="Arial" w:cs="Arial"/>
          <w:color w:val="000000"/>
        </w:rPr>
      </w:pPr>
      <w:bookmarkStart w:id="3294" w:name="bookmark=id.mp4kgn" w:colFirst="0" w:colLast="0"/>
      <w:bookmarkStart w:id="3295" w:name="_Ref141248216"/>
      <w:bookmarkEnd w:id="3294"/>
      <w:r w:rsidRPr="00102034">
        <w:rPr>
          <w:rFonts w:eastAsia="Arial" w:cs="Arial"/>
          <w:color w:val="000000"/>
        </w:rPr>
        <w:t xml:space="preserve">In the event that the data importer is in breach of these Clauses or unable to comply with these Clauses, the data exporter shall suspend the transfer of personal data to the data importer until compliance is again ensured or the contract is terminated. This is without prejudice to Clause </w:t>
      </w:r>
      <w:r w:rsidRPr="00EB4FEE">
        <w:rPr>
          <w:rFonts w:eastAsia="Arial" w:cs="Arial"/>
          <w:color w:val="000000"/>
        </w:rPr>
        <w:fldChar w:fldCharType="begin"/>
      </w:r>
      <w:r w:rsidRPr="00EB4FEE">
        <w:rPr>
          <w:rFonts w:eastAsia="Arial" w:cs="Arial"/>
          <w:color w:val="000000"/>
        </w:rPr>
        <w:instrText xml:space="preserve"> REF clause14sch31 \h  \* MERGEFORMAT </w:instrText>
      </w:r>
      <w:r w:rsidRPr="00EB4FEE">
        <w:rPr>
          <w:rFonts w:eastAsia="Arial" w:cs="Arial"/>
          <w:color w:val="000000"/>
        </w:rPr>
      </w:r>
      <w:r w:rsidRPr="00EB4FEE">
        <w:rPr>
          <w:rFonts w:eastAsia="Arial" w:cs="Arial"/>
          <w:color w:val="000000"/>
        </w:rPr>
        <w:fldChar w:fldCharType="separate"/>
      </w:r>
      <w:r w:rsidR="00302D39" w:rsidRPr="00302D39">
        <w:rPr>
          <w:rFonts w:eastAsia="Arial" w:cs="Arial"/>
          <w:color w:val="000000"/>
        </w:rPr>
        <w:t>14</w:t>
      </w:r>
      <w:r w:rsidRPr="00EB4FEE">
        <w:rPr>
          <w:rFonts w:eastAsia="Arial" w:cs="Arial"/>
          <w:color w:val="000000"/>
        </w:rPr>
        <w:fldChar w:fldCharType="end"/>
      </w:r>
      <w:r>
        <w:rPr>
          <w:rFonts w:eastAsia="Arial" w:cs="Arial"/>
          <w:color w:val="000000"/>
        </w:rPr>
        <w:fldChar w:fldCharType="begin"/>
      </w:r>
      <w:r>
        <w:rPr>
          <w:rFonts w:eastAsia="Arial" w:cs="Arial"/>
          <w:color w:val="000000"/>
        </w:rPr>
        <w:instrText xml:space="preserve"> REF _Ref141273382 \n \h </w:instrText>
      </w:r>
      <w:r>
        <w:rPr>
          <w:rFonts w:eastAsia="Arial" w:cs="Arial"/>
          <w:color w:val="000000"/>
        </w:rPr>
      </w:r>
      <w:r>
        <w:rPr>
          <w:rFonts w:eastAsia="Arial" w:cs="Arial"/>
          <w:color w:val="000000"/>
        </w:rPr>
        <w:fldChar w:fldCharType="separate"/>
      </w:r>
      <w:r w:rsidR="00302D39">
        <w:rPr>
          <w:rFonts w:eastAsia="Arial" w:cs="Arial"/>
          <w:color w:val="000000"/>
        </w:rPr>
        <w:t>(f)</w:t>
      </w:r>
      <w:r>
        <w:rPr>
          <w:rFonts w:eastAsia="Arial" w:cs="Arial"/>
          <w:color w:val="000000"/>
        </w:rPr>
        <w:fldChar w:fldCharType="end"/>
      </w:r>
      <w:r w:rsidRPr="00102034">
        <w:rPr>
          <w:rFonts w:eastAsia="Arial" w:cs="Arial"/>
          <w:color w:val="000000"/>
        </w:rPr>
        <w:t>.</w:t>
      </w:r>
      <w:bookmarkEnd w:id="3295"/>
    </w:p>
    <w:p w14:paraId="59A47A4A" w14:textId="77777777" w:rsidR="00F67E9E" w:rsidRPr="00102034" w:rsidRDefault="00F67E9E" w:rsidP="00F67E9E">
      <w:pPr>
        <w:pStyle w:val="AppendixText4"/>
        <w:numPr>
          <w:ilvl w:val="3"/>
          <w:numId w:val="228"/>
        </w:numPr>
        <w:tabs>
          <w:tab w:val="clear" w:pos="2520"/>
          <w:tab w:val="num" w:pos="-2520"/>
        </w:tabs>
        <w:ind w:left="1440"/>
        <w:rPr>
          <w:rFonts w:eastAsia="Arial" w:cs="Arial"/>
          <w:color w:val="000000"/>
        </w:rPr>
      </w:pPr>
      <w:bookmarkStart w:id="3296" w:name="bookmark=id.36os34g" w:colFirst="0" w:colLast="0"/>
      <w:bookmarkStart w:id="3297" w:name="_Ref141248241"/>
      <w:bookmarkEnd w:id="3296"/>
      <w:r w:rsidRPr="00102034">
        <w:rPr>
          <w:rFonts w:eastAsia="Arial" w:cs="Arial"/>
          <w:color w:val="000000"/>
        </w:rPr>
        <w:t>The data exporter shall be entitled to terminate the contract, insofar as it concerns the processing of personal data under these Clauses, where:</w:t>
      </w:r>
      <w:bookmarkEnd w:id="3297"/>
    </w:p>
    <w:p w14:paraId="15F461D2" w14:textId="15CA6800" w:rsidR="00F67E9E" w:rsidRPr="00102034" w:rsidRDefault="00F67E9E" w:rsidP="00F67E9E">
      <w:pPr>
        <w:numPr>
          <w:ilvl w:val="2"/>
          <w:numId w:val="234"/>
        </w:numPr>
        <w:pBdr>
          <w:top w:val="nil"/>
          <w:left w:val="nil"/>
          <w:bottom w:val="nil"/>
          <w:right w:val="nil"/>
          <w:between w:val="nil"/>
        </w:pBdr>
        <w:spacing w:before="100" w:after="200"/>
        <w:ind w:left="2160" w:hanging="720"/>
        <w:rPr>
          <w:rFonts w:eastAsia="Arial" w:cs="Arial"/>
          <w:color w:val="000000"/>
          <w:szCs w:val="24"/>
          <w:lang w:eastAsia="en-GB"/>
        </w:rPr>
      </w:pPr>
      <w:bookmarkStart w:id="3298" w:name="bookmark=id.1lu2dc9" w:colFirst="0" w:colLast="0"/>
      <w:bookmarkEnd w:id="3298"/>
      <w:r w:rsidRPr="00102034">
        <w:rPr>
          <w:rFonts w:eastAsia="Arial" w:cs="Arial"/>
          <w:color w:val="000000"/>
          <w:szCs w:val="24"/>
          <w:lang w:eastAsia="en-GB"/>
        </w:rPr>
        <w:t xml:space="preserve">the data exporter has suspended the transfer of personal data to the data importer pursuant to paragraph </w:t>
      </w:r>
      <w:r>
        <w:rPr>
          <w:rFonts w:eastAsia="Arial" w:cs="Arial"/>
          <w:color w:val="000000"/>
          <w:szCs w:val="24"/>
          <w:lang w:eastAsia="en-GB"/>
        </w:rPr>
        <w:fldChar w:fldCharType="begin"/>
      </w:r>
      <w:r>
        <w:rPr>
          <w:rFonts w:eastAsia="Arial" w:cs="Arial"/>
          <w:color w:val="000000"/>
          <w:szCs w:val="24"/>
          <w:lang w:eastAsia="en-GB"/>
        </w:rPr>
        <w:instrText xml:space="preserve"> REF _Ref141248216 \n \h </w:instrText>
      </w:r>
      <w:r>
        <w:rPr>
          <w:rFonts w:eastAsia="Arial" w:cs="Arial"/>
          <w:color w:val="000000"/>
          <w:szCs w:val="24"/>
          <w:lang w:eastAsia="en-GB"/>
        </w:rPr>
      </w:r>
      <w:r>
        <w:rPr>
          <w:rFonts w:eastAsia="Arial" w:cs="Arial"/>
          <w:color w:val="000000"/>
          <w:szCs w:val="24"/>
          <w:lang w:eastAsia="en-GB"/>
        </w:rPr>
        <w:fldChar w:fldCharType="separate"/>
      </w:r>
      <w:r w:rsidR="00302D39">
        <w:rPr>
          <w:rFonts w:eastAsia="Arial" w:cs="Arial"/>
          <w:color w:val="000000"/>
          <w:szCs w:val="24"/>
          <w:lang w:eastAsia="en-GB"/>
        </w:rPr>
        <w:t>(b)</w:t>
      </w:r>
      <w:r>
        <w:rPr>
          <w:rFonts w:eastAsia="Arial" w:cs="Arial"/>
          <w:color w:val="000000"/>
          <w:szCs w:val="24"/>
          <w:lang w:eastAsia="en-GB"/>
        </w:rPr>
        <w:fldChar w:fldCharType="end"/>
      </w:r>
      <w:r w:rsidRPr="00102034">
        <w:rPr>
          <w:rFonts w:eastAsia="Arial" w:cs="Arial"/>
          <w:color w:val="000000"/>
          <w:szCs w:val="24"/>
          <w:lang w:eastAsia="en-GB"/>
        </w:rPr>
        <w:t>‎ and compliance with these Clauses is not restored within a reasonable time and in any event within one month of suspension;</w:t>
      </w:r>
    </w:p>
    <w:p w14:paraId="5B596F35" w14:textId="77777777" w:rsidR="00F67E9E" w:rsidRPr="00102034" w:rsidRDefault="00F67E9E" w:rsidP="00F67E9E">
      <w:pPr>
        <w:numPr>
          <w:ilvl w:val="2"/>
          <w:numId w:val="234"/>
        </w:numPr>
        <w:pBdr>
          <w:top w:val="nil"/>
          <w:left w:val="nil"/>
          <w:bottom w:val="nil"/>
          <w:right w:val="nil"/>
          <w:between w:val="nil"/>
        </w:pBdr>
        <w:spacing w:before="100" w:after="200"/>
        <w:ind w:left="2160" w:hanging="720"/>
        <w:rPr>
          <w:rFonts w:eastAsia="Arial" w:cs="Arial"/>
          <w:color w:val="000000"/>
          <w:szCs w:val="24"/>
          <w:lang w:eastAsia="en-GB"/>
        </w:rPr>
      </w:pPr>
      <w:bookmarkStart w:id="3299" w:name="bookmark=id.45tpw02" w:colFirst="0" w:colLast="0"/>
      <w:bookmarkEnd w:id="3299"/>
      <w:r w:rsidRPr="00102034">
        <w:rPr>
          <w:rFonts w:eastAsia="Arial" w:cs="Arial"/>
          <w:color w:val="000000"/>
          <w:szCs w:val="24"/>
          <w:lang w:eastAsia="en-GB"/>
        </w:rPr>
        <w:t>the data importer is in substantial or persistent breach of these Clauses; or</w:t>
      </w:r>
    </w:p>
    <w:p w14:paraId="110C2DC2" w14:textId="77777777" w:rsidR="00F67E9E" w:rsidRPr="00102034" w:rsidRDefault="00F67E9E" w:rsidP="00F67E9E">
      <w:pPr>
        <w:numPr>
          <w:ilvl w:val="2"/>
          <w:numId w:val="234"/>
        </w:numPr>
        <w:pBdr>
          <w:top w:val="nil"/>
          <w:left w:val="nil"/>
          <w:bottom w:val="nil"/>
          <w:right w:val="nil"/>
          <w:between w:val="nil"/>
        </w:pBdr>
        <w:spacing w:before="100" w:after="200"/>
        <w:ind w:left="2160" w:hanging="720"/>
        <w:rPr>
          <w:rFonts w:eastAsia="Arial" w:cs="Arial"/>
          <w:color w:val="000000"/>
          <w:szCs w:val="24"/>
          <w:lang w:eastAsia="en-GB"/>
        </w:rPr>
      </w:pPr>
      <w:bookmarkStart w:id="3300" w:name="bookmark=id.2kz067v" w:colFirst="0" w:colLast="0"/>
      <w:bookmarkEnd w:id="3300"/>
      <w:r w:rsidRPr="00102034">
        <w:rPr>
          <w:rFonts w:eastAsia="Arial" w:cs="Arial"/>
          <w:color w:val="000000"/>
          <w:szCs w:val="24"/>
          <w:lang w:eastAsia="en-GB"/>
        </w:rPr>
        <w:t>the data importer fails to comply with a binding decision of a competent court or supervisory authority regarding its obligations under these Clauses.</w:t>
      </w:r>
    </w:p>
    <w:p w14:paraId="1B44155D" w14:textId="77777777" w:rsidR="00F67E9E" w:rsidRPr="00102034" w:rsidRDefault="00F67E9E" w:rsidP="00F67E9E">
      <w:pPr>
        <w:pBdr>
          <w:top w:val="nil"/>
          <w:left w:val="nil"/>
          <w:bottom w:val="nil"/>
          <w:right w:val="nil"/>
          <w:between w:val="nil"/>
        </w:pBdr>
        <w:spacing w:before="120" w:after="240"/>
        <w:ind w:left="1440"/>
        <w:rPr>
          <w:rFonts w:eastAsia="Arial" w:cs="Arial"/>
          <w:color w:val="000000"/>
          <w:szCs w:val="24"/>
          <w:lang w:eastAsia="en-GB"/>
        </w:rPr>
      </w:pPr>
      <w:bookmarkStart w:id="3301" w:name="bookmark=id.104agfo" w:colFirst="0" w:colLast="0"/>
      <w:bookmarkEnd w:id="3301"/>
      <w:r w:rsidRPr="00102034">
        <w:rPr>
          <w:rFonts w:eastAsia="Arial" w:cs="Arial"/>
          <w:color w:val="000000"/>
          <w:szCs w:val="24"/>
          <w:lang w:eastAsia="en-GB"/>
        </w:rPr>
        <w:t>In these cases, it shall inform the competent supervisory authority of such non-compliance. Where the contract involves more than two Parties, the data exporter may exercise this right to termination only with respect to the relevant Party, unless the Parties have agreed otherwise.</w:t>
      </w:r>
    </w:p>
    <w:p w14:paraId="1DF458DE" w14:textId="331725B0" w:rsidR="00F67E9E" w:rsidRPr="00102034" w:rsidRDefault="00F67E9E" w:rsidP="00F67E9E">
      <w:pPr>
        <w:pStyle w:val="AppendixText4"/>
        <w:numPr>
          <w:ilvl w:val="3"/>
          <w:numId w:val="228"/>
        </w:numPr>
        <w:tabs>
          <w:tab w:val="clear" w:pos="2520"/>
          <w:tab w:val="num" w:pos="-2520"/>
        </w:tabs>
        <w:ind w:left="1440"/>
        <w:rPr>
          <w:rFonts w:eastAsia="Arial" w:cs="Arial"/>
          <w:color w:val="000000"/>
        </w:rPr>
      </w:pPr>
      <w:bookmarkStart w:id="3302" w:name="bookmark=id.3k3xz3h" w:colFirst="0" w:colLast="0"/>
      <w:bookmarkStart w:id="3303" w:name="_Ref141273168"/>
      <w:bookmarkEnd w:id="3302"/>
      <w:r w:rsidRPr="00102034">
        <w:rPr>
          <w:rFonts w:eastAsia="Arial" w:cs="Arial"/>
          <w:color w:val="000000"/>
        </w:rPr>
        <w:t>Personal data collected by the data exporter in the EU that has been transferred prior to the termination of the contract pursuant to paragraph </w:t>
      </w:r>
      <w:r>
        <w:rPr>
          <w:rFonts w:eastAsia="Arial" w:cs="Arial"/>
          <w:color w:val="000000"/>
        </w:rPr>
        <w:fldChar w:fldCharType="begin"/>
      </w:r>
      <w:r>
        <w:rPr>
          <w:rFonts w:eastAsia="Arial" w:cs="Arial"/>
          <w:color w:val="000000"/>
        </w:rPr>
        <w:instrText xml:space="preserve"> REF _Ref141248241 \n \h </w:instrText>
      </w:r>
      <w:r>
        <w:rPr>
          <w:rFonts w:eastAsia="Arial" w:cs="Arial"/>
          <w:color w:val="000000"/>
        </w:rPr>
      </w:r>
      <w:r>
        <w:rPr>
          <w:rFonts w:eastAsia="Arial" w:cs="Arial"/>
          <w:color w:val="000000"/>
        </w:rPr>
        <w:fldChar w:fldCharType="separate"/>
      </w:r>
      <w:r w:rsidR="00302D39">
        <w:rPr>
          <w:rFonts w:eastAsia="Arial" w:cs="Arial"/>
          <w:color w:val="000000"/>
        </w:rPr>
        <w:t>(c)</w:t>
      </w:r>
      <w:r>
        <w:rPr>
          <w:rFonts w:eastAsia="Arial" w:cs="Arial"/>
          <w:color w:val="000000"/>
        </w:rPr>
        <w:fldChar w:fldCharType="end"/>
      </w:r>
      <w:r w:rsidRPr="00102034">
        <w:rPr>
          <w:rFonts w:eastAsia="Arial" w:cs="Arial"/>
          <w:color w:val="000000"/>
        </w:rPr>
        <w:t xml:space="preserve"> shall immediately be deleted in its entirety, including any copy thereof. The data importer shall certify the deletion of the data to the data exporter. Until the data is deleted or returned, the data importer shall continue to ensure compliance with these Clauses. In case of local laws applicable to the data importer that prohibit the return or deletion of the transferred personal data, the data importer warrants that it will continue to ensure compliance with these Clauses and will only process the data to the extent and for as long as required under that local law.</w:t>
      </w:r>
      <w:bookmarkEnd w:id="3303"/>
    </w:p>
    <w:p w14:paraId="42020C73" w14:textId="77777777" w:rsidR="00F67E9E" w:rsidRPr="00102034" w:rsidRDefault="00F67E9E" w:rsidP="00F67E9E">
      <w:pPr>
        <w:pStyle w:val="AppendixText4"/>
        <w:numPr>
          <w:ilvl w:val="3"/>
          <w:numId w:val="228"/>
        </w:numPr>
        <w:tabs>
          <w:tab w:val="clear" w:pos="2520"/>
          <w:tab w:val="num" w:pos="-2520"/>
        </w:tabs>
        <w:ind w:left="1440"/>
        <w:rPr>
          <w:rFonts w:eastAsia="Arial" w:cs="Arial"/>
          <w:color w:val="000000"/>
        </w:rPr>
      </w:pPr>
      <w:bookmarkStart w:id="3304" w:name="bookmark=id.1z989ba" w:colFirst="0" w:colLast="0"/>
      <w:bookmarkStart w:id="3305" w:name="_Ref141273199"/>
      <w:bookmarkEnd w:id="3304"/>
      <w:r w:rsidRPr="00102034">
        <w:rPr>
          <w:rFonts w:eastAsia="Arial" w:cs="Arial"/>
          <w:color w:val="000000"/>
        </w:rPr>
        <w:t>Either Party may revoke its agreement to be bound by these Clauses where (i) the European Commission adopts a decision pursuant to Article 45(3) of Regulation (EU) 2016/679 that covers the transfer of personal data to which these Clauses apply; or (ii) Regulation (EU) 2016/679 becomes part of the legal framework of the country to which the personal data is transferred. This is without prejudice to other obligations applying to the processing in question under Regulation (EU) 2016/679.</w:t>
      </w:r>
      <w:bookmarkEnd w:id="3305"/>
    </w:p>
    <w:p w14:paraId="63A45C69" w14:textId="77777777" w:rsidR="00F67E9E" w:rsidRPr="00102034" w:rsidRDefault="00F67E9E" w:rsidP="00F67E9E">
      <w:pPr>
        <w:pBdr>
          <w:top w:val="nil"/>
          <w:left w:val="nil"/>
          <w:bottom w:val="nil"/>
          <w:right w:val="nil"/>
          <w:between w:val="nil"/>
        </w:pBdr>
        <w:spacing w:before="120"/>
        <w:jc w:val="center"/>
        <w:rPr>
          <w:rFonts w:eastAsia="Arial" w:cs="Arial"/>
          <w:b/>
          <w:color w:val="000000"/>
          <w:szCs w:val="24"/>
          <w:lang w:eastAsia="en-GB"/>
        </w:rPr>
      </w:pPr>
      <w:r w:rsidRPr="00102034">
        <w:rPr>
          <w:rFonts w:eastAsia="Arial" w:cs="Arial"/>
          <w:b/>
          <w:color w:val="000000"/>
          <w:szCs w:val="24"/>
          <w:lang w:eastAsia="en-GB"/>
        </w:rPr>
        <w:t>CLAUSE 17</w:t>
      </w:r>
    </w:p>
    <w:p w14:paraId="337A10AC" w14:textId="77777777" w:rsidR="00F67E9E" w:rsidRPr="00102034" w:rsidRDefault="00F67E9E" w:rsidP="00F67E9E">
      <w:pPr>
        <w:pBdr>
          <w:top w:val="nil"/>
          <w:left w:val="nil"/>
          <w:bottom w:val="nil"/>
          <w:right w:val="nil"/>
          <w:between w:val="nil"/>
        </w:pBdr>
        <w:spacing w:before="240" w:after="240"/>
        <w:rPr>
          <w:rFonts w:eastAsia="Arial" w:cs="Arial"/>
          <w:b/>
          <w:color w:val="000000"/>
          <w:szCs w:val="24"/>
          <w:lang w:eastAsia="en-GB"/>
        </w:rPr>
      </w:pPr>
      <w:bookmarkStart w:id="3306" w:name="bookmark=id.4j8vrz3" w:colFirst="0" w:colLast="0"/>
      <w:bookmarkEnd w:id="3306"/>
      <w:r w:rsidRPr="00102034">
        <w:rPr>
          <w:rFonts w:eastAsia="Arial" w:cs="Arial"/>
          <w:b/>
          <w:color w:val="000000"/>
          <w:szCs w:val="24"/>
          <w:lang w:eastAsia="en-GB"/>
        </w:rPr>
        <w:t>Governing law</w:t>
      </w:r>
    </w:p>
    <w:p w14:paraId="6CDE58DE" w14:textId="77777777" w:rsidR="00F67E9E" w:rsidRPr="00102034" w:rsidRDefault="00F67E9E" w:rsidP="00F67E9E">
      <w:pPr>
        <w:pBdr>
          <w:top w:val="nil"/>
          <w:left w:val="nil"/>
          <w:bottom w:val="nil"/>
          <w:right w:val="nil"/>
          <w:between w:val="nil"/>
        </w:pBdr>
        <w:spacing w:before="240" w:after="360"/>
        <w:rPr>
          <w:rFonts w:eastAsia="Arial" w:cs="Arial"/>
          <w:color w:val="000000"/>
          <w:szCs w:val="24"/>
          <w:lang w:eastAsia="en-GB"/>
        </w:rPr>
      </w:pPr>
      <w:bookmarkStart w:id="3307" w:name="bookmark=id.2ye626w" w:colFirst="0" w:colLast="0"/>
      <w:bookmarkEnd w:id="3307"/>
      <w:r w:rsidRPr="00102034">
        <w:rPr>
          <w:rFonts w:eastAsia="Arial" w:cs="Arial"/>
          <w:color w:val="000000"/>
          <w:szCs w:val="24"/>
          <w:lang w:eastAsia="en-GB"/>
        </w:rPr>
        <w:t>These Clauses shall be governed by the law of a country allowing for third-party beneficiary rights. The Parties agree that this shall be the law of _______ (</w:t>
      </w:r>
      <w:r w:rsidRPr="00102034">
        <w:rPr>
          <w:rFonts w:eastAsia="Arial" w:cs="Arial"/>
          <w:i/>
          <w:color w:val="000000"/>
          <w:szCs w:val="24"/>
          <w:lang w:eastAsia="en-GB"/>
        </w:rPr>
        <w:t>specify country</w:t>
      </w:r>
      <w:r w:rsidRPr="00102034">
        <w:rPr>
          <w:rFonts w:eastAsia="Arial" w:cs="Arial"/>
          <w:color w:val="000000"/>
          <w:szCs w:val="24"/>
          <w:lang w:eastAsia="en-GB"/>
        </w:rPr>
        <w:t>).</w:t>
      </w:r>
    </w:p>
    <w:p w14:paraId="29043A4E" w14:textId="77777777" w:rsidR="00F67E9E" w:rsidRPr="00102034" w:rsidRDefault="00F67E9E" w:rsidP="00F67E9E">
      <w:pPr>
        <w:pBdr>
          <w:top w:val="nil"/>
          <w:left w:val="nil"/>
          <w:bottom w:val="nil"/>
          <w:right w:val="nil"/>
          <w:between w:val="nil"/>
        </w:pBdr>
        <w:spacing w:before="240"/>
        <w:jc w:val="center"/>
        <w:rPr>
          <w:rFonts w:eastAsia="Arial" w:cs="Arial"/>
          <w:b/>
          <w:color w:val="000000"/>
          <w:szCs w:val="24"/>
          <w:lang w:eastAsia="en-GB"/>
        </w:rPr>
      </w:pPr>
      <w:r w:rsidRPr="00102034">
        <w:rPr>
          <w:rFonts w:eastAsia="Arial" w:cs="Arial"/>
          <w:b/>
          <w:color w:val="000000"/>
          <w:szCs w:val="24"/>
          <w:lang w:eastAsia="en-GB"/>
        </w:rPr>
        <w:t>CLAUSE 18</w:t>
      </w:r>
    </w:p>
    <w:p w14:paraId="223D8D57" w14:textId="77777777" w:rsidR="00F67E9E" w:rsidRPr="00102034" w:rsidRDefault="00F67E9E" w:rsidP="00F67E9E">
      <w:pPr>
        <w:pBdr>
          <w:top w:val="nil"/>
          <w:left w:val="nil"/>
          <w:bottom w:val="nil"/>
          <w:right w:val="nil"/>
          <w:between w:val="nil"/>
        </w:pBdr>
        <w:spacing w:before="240" w:after="240"/>
        <w:rPr>
          <w:rFonts w:eastAsia="Arial" w:cs="Arial"/>
          <w:b/>
          <w:color w:val="000000"/>
          <w:szCs w:val="24"/>
          <w:lang w:eastAsia="en-GB"/>
        </w:rPr>
      </w:pPr>
      <w:bookmarkStart w:id="3308" w:name="bookmark=id.1djgcep" w:colFirst="0" w:colLast="0"/>
      <w:bookmarkEnd w:id="3308"/>
      <w:r w:rsidRPr="00102034">
        <w:rPr>
          <w:rFonts w:eastAsia="Arial" w:cs="Arial"/>
          <w:b/>
          <w:color w:val="000000"/>
          <w:szCs w:val="24"/>
          <w:lang w:eastAsia="en-GB"/>
        </w:rPr>
        <w:t>Choice of forum and jurisdiction</w:t>
      </w:r>
    </w:p>
    <w:p w14:paraId="2E6415A1" w14:textId="77777777" w:rsidR="00F67E9E" w:rsidRPr="00102034" w:rsidRDefault="00F67E9E" w:rsidP="00F67E9E">
      <w:pPr>
        <w:pBdr>
          <w:top w:val="nil"/>
          <w:left w:val="nil"/>
          <w:bottom w:val="nil"/>
          <w:right w:val="nil"/>
          <w:between w:val="nil"/>
        </w:pBdr>
        <w:spacing w:before="240" w:after="240"/>
        <w:ind w:firstLine="1440"/>
        <w:rPr>
          <w:rFonts w:eastAsia="Arial" w:cs="Arial"/>
          <w:color w:val="000000"/>
          <w:szCs w:val="24"/>
          <w:lang w:eastAsia="en-GB"/>
        </w:rPr>
      </w:pPr>
      <w:bookmarkStart w:id="3309" w:name="bookmark=id.3xj3v2i" w:colFirst="0" w:colLast="0"/>
      <w:bookmarkEnd w:id="3309"/>
      <w:r w:rsidRPr="00102034">
        <w:rPr>
          <w:rFonts w:eastAsia="Arial" w:cs="Arial"/>
          <w:color w:val="000000"/>
          <w:szCs w:val="24"/>
          <w:lang w:eastAsia="en-GB"/>
        </w:rPr>
        <w:t>Any dispute arising from these Clauses shall be resolved by the courts of _____ (</w:t>
      </w:r>
      <w:r w:rsidRPr="00102034">
        <w:rPr>
          <w:rFonts w:eastAsia="Arial" w:cs="Arial"/>
          <w:i/>
          <w:color w:val="000000"/>
          <w:szCs w:val="24"/>
          <w:lang w:eastAsia="en-GB"/>
        </w:rPr>
        <w:t>specify country</w:t>
      </w:r>
      <w:r w:rsidRPr="00102034">
        <w:rPr>
          <w:rFonts w:eastAsia="Arial" w:cs="Arial"/>
          <w:color w:val="000000"/>
          <w:szCs w:val="24"/>
          <w:lang w:eastAsia="en-GB"/>
        </w:rPr>
        <w:t>).</w:t>
      </w:r>
    </w:p>
    <w:p w14:paraId="509E7EDB" w14:textId="77777777" w:rsidR="00F67E9E" w:rsidRPr="00102034" w:rsidRDefault="00F67E9E" w:rsidP="00F67E9E">
      <w:pPr>
        <w:pBdr>
          <w:top w:val="nil"/>
          <w:left w:val="nil"/>
          <w:bottom w:val="nil"/>
          <w:right w:val="nil"/>
          <w:between w:val="nil"/>
        </w:pBdr>
        <w:spacing w:before="120"/>
        <w:rPr>
          <w:rFonts w:eastAsia="Arial" w:cs="Arial"/>
          <w:color w:val="000000"/>
          <w:szCs w:val="24"/>
          <w:lang w:eastAsia="en-GB"/>
        </w:rPr>
      </w:pPr>
    </w:p>
    <w:p w14:paraId="6B756854" w14:textId="77777777" w:rsidR="00F67E9E" w:rsidRPr="00102034" w:rsidRDefault="00F67E9E" w:rsidP="00F67E9E">
      <w:pPr>
        <w:keepNext/>
        <w:pBdr>
          <w:top w:val="nil"/>
          <w:left w:val="nil"/>
          <w:bottom w:val="nil"/>
          <w:right w:val="nil"/>
          <w:between w:val="nil"/>
        </w:pBdr>
        <w:spacing w:before="120"/>
        <w:jc w:val="center"/>
        <w:rPr>
          <w:rFonts w:eastAsia="Arial" w:cs="Arial"/>
          <w:b/>
          <w:color w:val="000000"/>
          <w:szCs w:val="24"/>
          <w:lang w:eastAsia="en-GB"/>
        </w:rPr>
      </w:pPr>
      <w:r w:rsidRPr="00102034">
        <w:rPr>
          <w:rFonts w:eastAsia="Arial" w:cs="Arial"/>
          <w:b/>
          <w:color w:val="000000"/>
          <w:szCs w:val="24"/>
          <w:lang w:eastAsia="en-GB"/>
        </w:rPr>
        <w:t>Official European Commission Footnotes</w:t>
      </w:r>
    </w:p>
    <w:bookmarkStart w:id="3310" w:name="bookmark=id.2coe5ab" w:colFirst="0" w:colLast="0"/>
    <w:bookmarkEnd w:id="3310"/>
    <w:p w14:paraId="12305761" w14:textId="77777777" w:rsidR="00F67E9E" w:rsidRPr="00102034" w:rsidRDefault="00F67E9E" w:rsidP="00F67E9E">
      <w:pPr>
        <w:keepNext/>
        <w:pBdr>
          <w:top w:val="nil"/>
          <w:left w:val="nil"/>
          <w:bottom w:val="nil"/>
          <w:right w:val="nil"/>
          <w:between w:val="nil"/>
        </w:pBdr>
        <w:spacing w:before="240" w:after="240"/>
        <w:ind w:firstLine="1440"/>
        <w:rPr>
          <w:rFonts w:eastAsia="Arial" w:cs="Arial"/>
          <w:color w:val="000000"/>
          <w:szCs w:val="24"/>
          <w:lang w:eastAsia="en-GB"/>
        </w:rPr>
      </w:pPr>
      <w:r w:rsidRPr="00102034">
        <w:rPr>
          <w:rFonts w:ascii="Calibri" w:eastAsia="Calibri" w:hAnsi="Calibri" w:cs="Calibri"/>
          <w:sz w:val="22"/>
          <w:szCs w:val="22"/>
          <w:lang w:eastAsia="en-GB"/>
        </w:rPr>
        <w:fldChar w:fldCharType="begin"/>
      </w:r>
      <w:r w:rsidRPr="00102034">
        <w:rPr>
          <w:rFonts w:ascii="Calibri" w:eastAsia="Calibri" w:hAnsi="Calibri" w:cs="Calibri"/>
          <w:sz w:val="22"/>
          <w:szCs w:val="22"/>
          <w:lang w:eastAsia="en-GB"/>
        </w:rPr>
        <w:instrText xml:space="preserve"> HYPERLINK \l "bookmark=id.1l354xk" \h </w:instrText>
      </w:r>
      <w:r w:rsidRPr="00102034">
        <w:rPr>
          <w:rFonts w:ascii="Calibri" w:eastAsia="Calibri" w:hAnsi="Calibri" w:cs="Calibri"/>
          <w:sz w:val="22"/>
          <w:szCs w:val="22"/>
          <w:lang w:eastAsia="en-GB"/>
        </w:rPr>
        <w:fldChar w:fldCharType="separate"/>
      </w:r>
      <w:r w:rsidRPr="00102034">
        <w:rPr>
          <w:rFonts w:eastAsia="Arial" w:cs="Arial"/>
          <w:color w:val="0000FF"/>
          <w:szCs w:val="24"/>
          <w:u w:val="single"/>
          <w:lang w:eastAsia="en-GB"/>
        </w:rPr>
        <w:t>FN1</w:t>
      </w:r>
      <w:r w:rsidRPr="00102034">
        <w:rPr>
          <w:rFonts w:eastAsia="Arial" w:cs="Arial"/>
          <w:color w:val="0000FF"/>
          <w:szCs w:val="24"/>
          <w:u w:val="single"/>
          <w:lang w:eastAsia="en-GB"/>
        </w:rPr>
        <w:fldChar w:fldCharType="end"/>
      </w:r>
      <w:r w:rsidRPr="00102034">
        <w:rPr>
          <w:rFonts w:eastAsia="Arial" w:cs="Arial"/>
          <w:color w:val="000000"/>
          <w:szCs w:val="24"/>
          <w:lang w:eastAsia="en-GB"/>
        </w:rPr>
        <w:t xml:space="preserve">: Where the data exporter is a processor subject to Regulation (EU) 2016/679 acting on behalf of a Union institution or body as controller, reliance on these Clauses when engaging another processor (sub-processing) not subject to Regulation (EU) 2016/679 also ensures compliance with Article 29(4) of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w:t>
      </w:r>
      <w:r w:rsidRPr="00102034">
        <w:rPr>
          <w:rFonts w:eastAsia="Arial" w:cs="Arial"/>
          <w:color w:val="0000FF"/>
          <w:szCs w:val="24"/>
          <w:u w:val="single"/>
          <w:lang w:eastAsia="en-GB"/>
        </w:rPr>
        <w:t>(OJ L 295, 21.11.2018, p. 39</w:t>
      </w:r>
      <w:r w:rsidRPr="00102034">
        <w:rPr>
          <w:rFonts w:eastAsia="Arial" w:cs="Arial"/>
          <w:color w:val="000000"/>
          <w:szCs w:val="24"/>
          <w:lang w:eastAsia="en-GB"/>
        </w:rPr>
        <w:t xml:space="preserve">), to the extent these Clauses and the data protection obligations as set out in the contract or other legal act between the controller and the processor pursuant to Article 29(3) of Regulation (EU) 2018/1725 are aligned. This will in particular be the case where the controller and processor rely on the standard contractual clauses included in Decision 2021/915. </w:t>
      </w:r>
    </w:p>
    <w:bookmarkStart w:id="3311" w:name="bookmark=id.rtofi4" w:colFirst="0" w:colLast="0"/>
    <w:bookmarkEnd w:id="3311"/>
    <w:p w14:paraId="6394D743" w14:textId="77777777" w:rsidR="00F67E9E" w:rsidRPr="00102034" w:rsidRDefault="00F67E9E" w:rsidP="00F67E9E">
      <w:pPr>
        <w:pBdr>
          <w:top w:val="nil"/>
          <w:left w:val="nil"/>
          <w:bottom w:val="nil"/>
          <w:right w:val="nil"/>
          <w:between w:val="nil"/>
        </w:pBdr>
        <w:spacing w:before="240" w:after="240"/>
        <w:ind w:firstLine="1440"/>
        <w:rPr>
          <w:rFonts w:eastAsia="Arial" w:cs="Arial"/>
          <w:color w:val="000000"/>
          <w:szCs w:val="24"/>
          <w:lang w:eastAsia="en-GB"/>
        </w:rPr>
      </w:pPr>
      <w:r w:rsidRPr="00102034">
        <w:rPr>
          <w:rFonts w:ascii="Calibri" w:eastAsia="Calibri" w:hAnsi="Calibri" w:cs="Calibri"/>
          <w:sz w:val="22"/>
          <w:szCs w:val="22"/>
          <w:lang w:eastAsia="en-GB"/>
        </w:rPr>
        <w:fldChar w:fldCharType="begin"/>
      </w:r>
      <w:r w:rsidRPr="00102034">
        <w:rPr>
          <w:rFonts w:ascii="Calibri" w:eastAsia="Calibri" w:hAnsi="Calibri" w:cs="Calibri"/>
          <w:sz w:val="22"/>
          <w:szCs w:val="22"/>
          <w:lang w:eastAsia="en-GB"/>
        </w:rPr>
        <w:instrText xml:space="preserve"> HYPERLINK \l "bookmark=id.2zlqixl" \h </w:instrText>
      </w:r>
      <w:r w:rsidRPr="00102034">
        <w:rPr>
          <w:rFonts w:ascii="Calibri" w:eastAsia="Calibri" w:hAnsi="Calibri" w:cs="Calibri"/>
          <w:sz w:val="22"/>
          <w:szCs w:val="22"/>
          <w:lang w:eastAsia="en-GB"/>
        </w:rPr>
        <w:fldChar w:fldCharType="separate"/>
      </w:r>
      <w:r w:rsidRPr="00102034">
        <w:rPr>
          <w:rFonts w:eastAsia="Arial" w:cs="Arial"/>
          <w:color w:val="0000FF"/>
          <w:szCs w:val="24"/>
          <w:u w:val="single"/>
          <w:lang w:eastAsia="en-GB"/>
        </w:rPr>
        <w:t>FN7</w:t>
      </w:r>
      <w:r w:rsidRPr="00102034">
        <w:rPr>
          <w:rFonts w:eastAsia="Arial" w:cs="Arial"/>
          <w:color w:val="0000FF"/>
          <w:szCs w:val="24"/>
          <w:u w:val="single"/>
          <w:lang w:eastAsia="en-GB"/>
        </w:rPr>
        <w:fldChar w:fldCharType="end"/>
      </w:r>
      <w:r w:rsidRPr="00102034">
        <w:rPr>
          <w:rFonts w:eastAsia="Arial" w:cs="Arial"/>
          <w:color w:val="000000"/>
          <w:szCs w:val="24"/>
          <w:lang w:eastAsia="en-GB"/>
        </w:rPr>
        <w:t>: This includes whether the transfer and further processing involves personal data revealing racial or ethnic origin, political opinions, religious or philosophical beliefs, or trade union membership, genetic data or biometric data for the purpose of uniquely identifying a natural person, data concerning health or a person's sex life or sexual orientation, or data relating to criminal convictions or offences.</w:t>
      </w:r>
    </w:p>
    <w:bookmarkStart w:id="3312" w:name="bookmark=id.3btby5x" w:colFirst="0" w:colLast="0"/>
    <w:bookmarkEnd w:id="3312"/>
    <w:p w14:paraId="601319ED" w14:textId="77777777" w:rsidR="00F67E9E" w:rsidRPr="00102034" w:rsidRDefault="00F67E9E" w:rsidP="00F67E9E">
      <w:pPr>
        <w:pBdr>
          <w:top w:val="nil"/>
          <w:left w:val="nil"/>
          <w:bottom w:val="nil"/>
          <w:right w:val="nil"/>
          <w:between w:val="nil"/>
        </w:pBdr>
        <w:spacing w:before="240" w:after="240"/>
        <w:ind w:firstLine="1440"/>
        <w:rPr>
          <w:rFonts w:eastAsia="Arial" w:cs="Arial"/>
          <w:color w:val="000000"/>
          <w:szCs w:val="24"/>
          <w:lang w:eastAsia="en-GB"/>
        </w:rPr>
      </w:pPr>
      <w:r w:rsidRPr="00102034">
        <w:rPr>
          <w:rFonts w:ascii="Calibri" w:eastAsia="Calibri" w:hAnsi="Calibri" w:cs="Calibri"/>
          <w:sz w:val="22"/>
          <w:szCs w:val="22"/>
          <w:lang w:eastAsia="en-GB"/>
        </w:rPr>
        <w:fldChar w:fldCharType="begin"/>
      </w:r>
      <w:r w:rsidRPr="00102034">
        <w:rPr>
          <w:rFonts w:ascii="Calibri" w:eastAsia="Calibri" w:hAnsi="Calibri" w:cs="Calibri"/>
          <w:sz w:val="22"/>
          <w:szCs w:val="22"/>
          <w:lang w:eastAsia="en-GB"/>
        </w:rPr>
        <w:instrText xml:space="preserve"> HYPERLINK \l "bookmark=id.25lcl3g" \h </w:instrText>
      </w:r>
      <w:r w:rsidRPr="00102034">
        <w:rPr>
          <w:rFonts w:ascii="Calibri" w:eastAsia="Calibri" w:hAnsi="Calibri" w:cs="Calibri"/>
          <w:sz w:val="22"/>
          <w:szCs w:val="22"/>
          <w:lang w:eastAsia="en-GB"/>
        </w:rPr>
        <w:fldChar w:fldCharType="separate"/>
      </w:r>
      <w:r w:rsidRPr="00102034">
        <w:rPr>
          <w:rFonts w:eastAsia="Arial" w:cs="Arial"/>
          <w:color w:val="0000FF"/>
          <w:szCs w:val="24"/>
          <w:u w:val="single"/>
          <w:lang w:eastAsia="en-GB"/>
        </w:rPr>
        <w:t>FN11</w:t>
      </w:r>
      <w:r w:rsidRPr="00102034">
        <w:rPr>
          <w:rFonts w:eastAsia="Arial" w:cs="Arial"/>
          <w:color w:val="0000FF"/>
          <w:szCs w:val="24"/>
          <w:u w:val="single"/>
          <w:lang w:eastAsia="en-GB"/>
        </w:rPr>
        <w:fldChar w:fldCharType="end"/>
      </w:r>
      <w:r w:rsidRPr="00102034">
        <w:rPr>
          <w:rFonts w:eastAsia="Arial" w:cs="Arial"/>
          <w:color w:val="000000"/>
          <w:szCs w:val="24"/>
          <w:lang w:eastAsia="en-GB"/>
        </w:rPr>
        <w:t>: The data importer may offer independent dispute resolution through an arbitration body only if it is established in a country that has ratified the New York Convention on Enforcement of Arbitration Awards.</w:t>
      </w:r>
    </w:p>
    <w:bookmarkStart w:id="3313" w:name="bookmark=id.1qym8dq" w:colFirst="0" w:colLast="0"/>
    <w:bookmarkEnd w:id="3313"/>
    <w:p w14:paraId="57D68B36" w14:textId="77777777" w:rsidR="00F67E9E" w:rsidRPr="00102034" w:rsidRDefault="00F67E9E" w:rsidP="00F67E9E">
      <w:pPr>
        <w:pBdr>
          <w:top w:val="nil"/>
          <w:left w:val="nil"/>
          <w:bottom w:val="nil"/>
          <w:right w:val="nil"/>
          <w:between w:val="nil"/>
        </w:pBdr>
        <w:spacing w:before="240" w:after="240"/>
        <w:ind w:firstLine="1440"/>
        <w:rPr>
          <w:rFonts w:eastAsia="Arial" w:cs="Arial"/>
          <w:color w:val="000000"/>
          <w:szCs w:val="24"/>
          <w:lang w:eastAsia="en-GB"/>
        </w:rPr>
      </w:pPr>
      <w:r w:rsidRPr="00102034">
        <w:rPr>
          <w:rFonts w:ascii="Calibri" w:eastAsia="Calibri" w:hAnsi="Calibri" w:cs="Calibri"/>
          <w:sz w:val="22"/>
          <w:szCs w:val="22"/>
          <w:lang w:eastAsia="en-GB"/>
        </w:rPr>
        <w:fldChar w:fldCharType="begin"/>
      </w:r>
      <w:r w:rsidRPr="00102034">
        <w:rPr>
          <w:rFonts w:ascii="Calibri" w:eastAsia="Calibri" w:hAnsi="Calibri" w:cs="Calibri"/>
          <w:sz w:val="22"/>
          <w:szCs w:val="22"/>
          <w:lang w:eastAsia="en-GB"/>
        </w:rPr>
        <w:instrText xml:space="preserve"> HYPERLINK \l "bookmark=id.3vkm5x4" \h </w:instrText>
      </w:r>
      <w:r w:rsidRPr="00102034">
        <w:rPr>
          <w:rFonts w:ascii="Calibri" w:eastAsia="Calibri" w:hAnsi="Calibri" w:cs="Calibri"/>
          <w:sz w:val="22"/>
          <w:szCs w:val="22"/>
          <w:lang w:eastAsia="en-GB"/>
        </w:rPr>
        <w:fldChar w:fldCharType="separate"/>
      </w:r>
      <w:r w:rsidRPr="00102034">
        <w:rPr>
          <w:rFonts w:eastAsia="Arial" w:cs="Arial"/>
          <w:color w:val="0000FF"/>
          <w:szCs w:val="24"/>
          <w:u w:val="single"/>
          <w:lang w:eastAsia="en-GB"/>
        </w:rPr>
        <w:t>FN12</w:t>
      </w:r>
      <w:r w:rsidRPr="00102034">
        <w:rPr>
          <w:rFonts w:eastAsia="Arial" w:cs="Arial"/>
          <w:color w:val="0000FF"/>
          <w:szCs w:val="24"/>
          <w:u w:val="single"/>
          <w:lang w:eastAsia="en-GB"/>
        </w:rPr>
        <w:fldChar w:fldCharType="end"/>
      </w:r>
      <w:r w:rsidRPr="00102034">
        <w:rPr>
          <w:rFonts w:eastAsia="Arial" w:cs="Arial"/>
          <w:color w:val="000000"/>
          <w:szCs w:val="24"/>
          <w:lang w:eastAsia="en-GB"/>
        </w:rPr>
        <w:t>: As regards the impact of such laws and practices on compliance with these Clauses, different elements may be considered as part of an overall assessment. Such elements may include relevant and documented practical experience with prior instances of requests for disclosure from public authorities, or the absence of such requests, covering a sufficiently representative time-frame. This refers in particular to internal records or other documentation, drawn up on a continuous basis in accordance with due diligence and certified at senior management level, provided that this information can be lawfully shared with third parties. Where this practical experience is relied upon to conclude that the data importer will not be prevented from complying with these Clauses, it needs to be supported by other relevant, objective elements, and it is for the Parties to consider carefully whether these elements together carry sufficient weight, in terms of their reliability and representativeness, to support this conclusion. In particular, the Parties have to take into account whether their practical experience is corroborated and not contradicted by publicly available or otherwise accessible, reliable information on the existence or absence of requests within the same sector and/or the application of the law in practice, such as case law and reports by independent oversight bodies.</w:t>
      </w:r>
    </w:p>
    <w:p w14:paraId="5CA788F5" w14:textId="77777777" w:rsidR="00F67E9E" w:rsidRPr="00102034" w:rsidRDefault="00F67E9E" w:rsidP="00F67E9E">
      <w:pPr>
        <w:pageBreakBefore/>
        <w:pBdr>
          <w:top w:val="nil"/>
          <w:left w:val="nil"/>
          <w:bottom w:val="nil"/>
          <w:right w:val="nil"/>
          <w:between w:val="nil"/>
        </w:pBdr>
        <w:spacing w:before="120"/>
        <w:jc w:val="center"/>
        <w:rPr>
          <w:rFonts w:eastAsia="Arial" w:cs="Arial"/>
          <w:b/>
          <w:color w:val="000000"/>
          <w:szCs w:val="24"/>
          <w:lang w:eastAsia="en-GB"/>
        </w:rPr>
      </w:pPr>
      <w:bookmarkStart w:id="3314" w:name="Schedule_31_PartB_Annex3_PartA_Appendix"/>
      <w:r w:rsidRPr="00102034">
        <w:rPr>
          <w:rFonts w:eastAsia="Arial" w:cs="Arial"/>
          <w:b/>
          <w:color w:val="000000"/>
          <w:szCs w:val="24"/>
          <w:lang w:eastAsia="en-GB"/>
        </w:rPr>
        <w:t>APPENDIX</w:t>
      </w:r>
      <w:bookmarkEnd w:id="3314"/>
    </w:p>
    <w:p w14:paraId="223DFFE3" w14:textId="77777777" w:rsidR="00F67E9E" w:rsidRPr="00102034" w:rsidRDefault="00F67E9E" w:rsidP="00F67E9E">
      <w:pPr>
        <w:pBdr>
          <w:top w:val="nil"/>
          <w:left w:val="nil"/>
          <w:bottom w:val="nil"/>
          <w:right w:val="nil"/>
          <w:between w:val="nil"/>
        </w:pBdr>
        <w:spacing w:before="120"/>
        <w:rPr>
          <w:rFonts w:eastAsia="Arial" w:cs="Arial"/>
          <w:color w:val="000000"/>
          <w:sz w:val="32"/>
          <w:szCs w:val="32"/>
          <w:lang w:eastAsia="en-GB"/>
        </w:rPr>
      </w:pPr>
    </w:p>
    <w:tbl>
      <w:tblPr>
        <w:tblW w:w="9900" w:type="dxa"/>
        <w:tblBorders>
          <w:top w:val="nil"/>
          <w:left w:val="nil"/>
          <w:bottom w:val="nil"/>
          <w:right w:val="nil"/>
          <w:insideH w:val="nil"/>
          <w:insideV w:val="nil"/>
        </w:tblBorders>
        <w:tblLayout w:type="fixed"/>
        <w:tblLook w:val="0400" w:firstRow="0" w:lastRow="0" w:firstColumn="0" w:lastColumn="0" w:noHBand="0" w:noVBand="1"/>
      </w:tblPr>
      <w:tblGrid>
        <w:gridCol w:w="9900"/>
      </w:tblGrid>
      <w:tr w:rsidR="00F67E9E" w:rsidRPr="00102034" w14:paraId="5BD94AE1" w14:textId="77777777" w:rsidTr="007F74AA">
        <w:tc>
          <w:tcPr>
            <w:tcW w:w="9900" w:type="dxa"/>
          </w:tcPr>
          <w:p w14:paraId="3F8E7BFC" w14:textId="77777777" w:rsidR="00F67E9E" w:rsidRPr="00102034" w:rsidRDefault="00F67E9E" w:rsidP="007F74AA">
            <w:pPr>
              <w:pBdr>
                <w:top w:val="nil"/>
                <w:left w:val="nil"/>
                <w:bottom w:val="nil"/>
                <w:right w:val="nil"/>
                <w:between w:val="nil"/>
              </w:pBdr>
              <w:spacing w:before="120"/>
              <w:rPr>
                <w:rFonts w:eastAsia="Arial" w:cs="Arial"/>
                <w:b/>
                <w:color w:val="000000"/>
                <w:szCs w:val="24"/>
                <w:lang w:eastAsia="en-GB"/>
              </w:rPr>
            </w:pPr>
            <w:r w:rsidRPr="00102034">
              <w:rPr>
                <w:rFonts w:eastAsia="Arial" w:cs="Arial"/>
                <w:color w:val="000000"/>
                <w:szCs w:val="24"/>
                <w:lang w:eastAsia="en-GB"/>
              </w:rPr>
              <w:t>EXPLANATORY NOTE:</w:t>
            </w:r>
          </w:p>
          <w:p w14:paraId="58374830" w14:textId="77777777" w:rsidR="00F67E9E" w:rsidRPr="00102034" w:rsidRDefault="00F67E9E" w:rsidP="007F74AA">
            <w:pPr>
              <w:pBdr>
                <w:top w:val="nil"/>
                <w:left w:val="nil"/>
                <w:bottom w:val="nil"/>
                <w:right w:val="nil"/>
                <w:between w:val="nil"/>
              </w:pBdr>
              <w:spacing w:before="120"/>
              <w:rPr>
                <w:rFonts w:eastAsia="Arial" w:cs="Arial"/>
                <w:b/>
                <w:color w:val="000000"/>
                <w:szCs w:val="24"/>
                <w:lang w:eastAsia="en-GB"/>
              </w:rPr>
            </w:pPr>
            <w:r w:rsidRPr="00102034">
              <w:rPr>
                <w:rFonts w:eastAsia="Arial" w:cs="Arial"/>
                <w:color w:val="000000"/>
                <w:szCs w:val="24"/>
                <w:lang w:eastAsia="en-GB"/>
              </w:rPr>
              <w:t>It must be possible to clearly distinguish the information applicable to each transfer or category of transfers and, in this regard, to determine the respective role(s) of the Parties as data exporter(s) and/or data importer(s). This does not necessarily require completing and signing separate appendices for each transfer/category of transfers and/or contractual relationship, where this transparency can achieved through one appendix. However, where necessary to ensure sufficient clarity, separate appendices should be used.</w:t>
            </w:r>
          </w:p>
        </w:tc>
      </w:tr>
    </w:tbl>
    <w:p w14:paraId="3A1A73BA" w14:textId="77777777" w:rsidR="00F67E9E" w:rsidRPr="00102034" w:rsidRDefault="00F67E9E" w:rsidP="00F67E9E">
      <w:pPr>
        <w:pBdr>
          <w:top w:val="nil"/>
          <w:left w:val="nil"/>
          <w:bottom w:val="nil"/>
          <w:right w:val="nil"/>
          <w:between w:val="nil"/>
        </w:pBdr>
        <w:spacing w:before="120"/>
        <w:rPr>
          <w:rFonts w:eastAsia="Arial" w:cs="Arial"/>
          <w:color w:val="000000"/>
          <w:szCs w:val="24"/>
          <w:lang w:eastAsia="en-GB"/>
        </w:rPr>
      </w:pPr>
    </w:p>
    <w:p w14:paraId="23D6862E" w14:textId="77777777" w:rsidR="00F67E9E" w:rsidRPr="00102034" w:rsidRDefault="00F67E9E" w:rsidP="00F67E9E">
      <w:pPr>
        <w:pageBreakBefore/>
        <w:pBdr>
          <w:top w:val="nil"/>
          <w:left w:val="nil"/>
          <w:bottom w:val="nil"/>
          <w:right w:val="nil"/>
          <w:between w:val="nil"/>
        </w:pBdr>
        <w:spacing w:before="120"/>
        <w:jc w:val="center"/>
        <w:rPr>
          <w:rFonts w:eastAsia="Arial" w:cs="Arial"/>
          <w:b/>
          <w:color w:val="000000"/>
          <w:szCs w:val="24"/>
          <w:lang w:eastAsia="en-GB"/>
        </w:rPr>
      </w:pPr>
      <w:r w:rsidRPr="00102034">
        <w:rPr>
          <w:rFonts w:eastAsia="Arial" w:cs="Arial"/>
          <w:b/>
          <w:color w:val="000000"/>
          <w:szCs w:val="24"/>
          <w:lang w:eastAsia="en-GB"/>
        </w:rPr>
        <w:t xml:space="preserve">ANNEX </w:t>
      </w:r>
      <w:bookmarkStart w:id="3315" w:name="bookmark=id.4ay9r1j" w:colFirst="0" w:colLast="0"/>
      <w:bookmarkEnd w:id="3315"/>
      <w:r w:rsidRPr="00102034">
        <w:rPr>
          <w:rFonts w:eastAsia="Arial" w:cs="Arial"/>
          <w:b/>
          <w:color w:val="000000"/>
          <w:szCs w:val="24"/>
          <w:lang w:eastAsia="en-GB"/>
        </w:rPr>
        <w:t>I</w:t>
      </w:r>
    </w:p>
    <w:p w14:paraId="77E663DB" w14:textId="77777777" w:rsidR="00F67E9E" w:rsidRPr="00102034" w:rsidRDefault="00F67E9E" w:rsidP="00F67E9E">
      <w:pPr>
        <w:pBdr>
          <w:top w:val="nil"/>
          <w:left w:val="nil"/>
          <w:bottom w:val="nil"/>
          <w:right w:val="nil"/>
          <w:between w:val="nil"/>
        </w:pBdr>
        <w:tabs>
          <w:tab w:val="left" w:pos="720"/>
        </w:tabs>
        <w:spacing w:before="120"/>
        <w:rPr>
          <w:rFonts w:eastAsia="Arial" w:cs="Arial"/>
          <w:b/>
          <w:color w:val="000000"/>
          <w:szCs w:val="24"/>
          <w:lang w:eastAsia="en-GB"/>
        </w:rPr>
      </w:pPr>
      <w:bookmarkStart w:id="3316" w:name="bookmark=id.158ubh5" w:colFirst="0" w:colLast="0"/>
      <w:bookmarkStart w:id="3317" w:name="bookmark=id.2q3k19c" w:colFirst="0" w:colLast="0"/>
      <w:bookmarkEnd w:id="3316"/>
      <w:bookmarkEnd w:id="3317"/>
      <w:r w:rsidRPr="00102034">
        <w:rPr>
          <w:rFonts w:eastAsia="Arial" w:cs="Arial"/>
          <w:b/>
          <w:color w:val="000000"/>
          <w:szCs w:val="24"/>
          <w:lang w:eastAsia="en-GB"/>
        </w:rPr>
        <w:t xml:space="preserve">A. </w:t>
      </w:r>
      <w:r>
        <w:rPr>
          <w:rFonts w:eastAsia="Arial" w:cs="Arial"/>
          <w:b/>
          <w:color w:val="000000"/>
          <w:szCs w:val="24"/>
          <w:lang w:eastAsia="en-GB"/>
        </w:rPr>
        <w:tab/>
      </w:r>
      <w:r w:rsidRPr="00102034">
        <w:rPr>
          <w:rFonts w:eastAsia="Arial" w:cs="Arial"/>
          <w:b/>
          <w:color w:val="000000"/>
          <w:szCs w:val="24"/>
          <w:lang w:eastAsia="en-GB"/>
        </w:rPr>
        <w:t>LIST OF PARTIES</w:t>
      </w:r>
    </w:p>
    <w:p w14:paraId="5C91BDE5" w14:textId="77777777" w:rsidR="00F67E9E" w:rsidRPr="00102034" w:rsidRDefault="00F67E9E" w:rsidP="00F67E9E">
      <w:pPr>
        <w:pBdr>
          <w:top w:val="nil"/>
          <w:left w:val="nil"/>
          <w:bottom w:val="nil"/>
          <w:right w:val="nil"/>
          <w:between w:val="nil"/>
        </w:pBdr>
        <w:tabs>
          <w:tab w:val="left" w:pos="2880"/>
        </w:tabs>
        <w:spacing w:before="240" w:after="240"/>
        <w:ind w:left="720"/>
        <w:rPr>
          <w:rFonts w:eastAsia="Arial" w:cs="Arial"/>
          <w:color w:val="000000"/>
          <w:szCs w:val="24"/>
          <w:lang w:eastAsia="en-GB"/>
        </w:rPr>
      </w:pPr>
      <w:bookmarkStart w:id="3318" w:name="bookmark=id.3p8hu4y" w:colFirst="0" w:colLast="0"/>
      <w:bookmarkEnd w:id="3318"/>
      <w:r w:rsidRPr="00102034">
        <w:rPr>
          <w:rFonts w:eastAsia="Arial" w:cs="Arial"/>
          <w:b/>
          <w:color w:val="000000"/>
          <w:szCs w:val="24"/>
          <w:lang w:eastAsia="en-GB"/>
        </w:rPr>
        <w:t>Data exporter(s):</w:t>
      </w:r>
      <w:r w:rsidRPr="00102034">
        <w:rPr>
          <w:rFonts w:eastAsia="Arial" w:cs="Arial"/>
          <w:color w:val="000000"/>
          <w:szCs w:val="24"/>
          <w:lang w:eastAsia="en-GB"/>
        </w:rPr>
        <w:t xml:space="preserve"> [</w:t>
      </w:r>
      <w:r w:rsidRPr="00102034">
        <w:rPr>
          <w:rFonts w:eastAsia="Arial" w:cs="Arial"/>
          <w:i/>
          <w:color w:val="000000"/>
          <w:szCs w:val="24"/>
          <w:lang w:eastAsia="en-GB"/>
        </w:rPr>
        <w:t>Identity and contact details of the data exporter(s) and, where applicable, of its/their data protection officer and/or representative in the European Union</w:t>
      </w:r>
      <w:r w:rsidRPr="00102034">
        <w:rPr>
          <w:rFonts w:eastAsia="Arial" w:cs="Arial"/>
          <w:color w:val="000000"/>
          <w:szCs w:val="24"/>
          <w:lang w:eastAsia="en-GB"/>
        </w:rPr>
        <w:t>]</w:t>
      </w:r>
    </w:p>
    <w:p w14:paraId="5E2EE56A" w14:textId="77777777" w:rsidR="00F67E9E" w:rsidRPr="00102034" w:rsidRDefault="00F67E9E" w:rsidP="00F67E9E">
      <w:pPr>
        <w:pBdr>
          <w:top w:val="nil"/>
          <w:left w:val="nil"/>
          <w:bottom w:val="nil"/>
          <w:right w:val="nil"/>
          <w:between w:val="nil"/>
        </w:pBdr>
        <w:tabs>
          <w:tab w:val="left" w:pos="2160"/>
          <w:tab w:val="left" w:pos="2880"/>
        </w:tabs>
        <w:spacing w:before="120" w:after="240"/>
        <w:ind w:firstLine="1440"/>
        <w:rPr>
          <w:rFonts w:eastAsia="Arial" w:cs="Arial"/>
          <w:color w:val="000000"/>
          <w:szCs w:val="24"/>
          <w:lang w:eastAsia="en-GB"/>
        </w:rPr>
      </w:pPr>
      <w:bookmarkStart w:id="3319" w:name="bookmark=id.24ds4cr" w:colFirst="0" w:colLast="0"/>
      <w:bookmarkEnd w:id="3319"/>
      <w:r w:rsidRPr="00102034">
        <w:rPr>
          <w:rFonts w:eastAsia="Arial" w:cs="Arial"/>
          <w:color w:val="000000"/>
          <w:szCs w:val="24"/>
          <w:lang w:eastAsia="en-GB"/>
        </w:rPr>
        <w:t xml:space="preserve">1. </w:t>
      </w:r>
      <w:r>
        <w:rPr>
          <w:rFonts w:eastAsia="Arial" w:cs="Arial"/>
          <w:color w:val="000000"/>
          <w:szCs w:val="24"/>
          <w:lang w:eastAsia="en-GB"/>
        </w:rPr>
        <w:tab/>
      </w:r>
      <w:r w:rsidRPr="00102034">
        <w:rPr>
          <w:rFonts w:eastAsia="Arial" w:cs="Arial"/>
          <w:color w:val="000000"/>
          <w:szCs w:val="24"/>
          <w:lang w:eastAsia="en-GB"/>
        </w:rPr>
        <w:t>Name: …</w:t>
      </w:r>
      <w:r>
        <w:rPr>
          <w:rFonts w:eastAsia="Arial" w:cs="Arial"/>
          <w:color w:val="000000"/>
          <w:szCs w:val="24"/>
          <w:lang w:eastAsia="en-GB"/>
        </w:rPr>
        <w:t>………………….</w:t>
      </w:r>
    </w:p>
    <w:p w14:paraId="4823EA93" w14:textId="77777777" w:rsidR="00F67E9E" w:rsidRPr="00102034" w:rsidRDefault="00F67E9E" w:rsidP="00F67E9E">
      <w:pPr>
        <w:pBdr>
          <w:top w:val="nil"/>
          <w:left w:val="nil"/>
          <w:bottom w:val="nil"/>
          <w:right w:val="nil"/>
          <w:between w:val="nil"/>
        </w:pBdr>
        <w:spacing w:before="120" w:after="240"/>
        <w:ind w:left="720" w:firstLine="1440"/>
        <w:rPr>
          <w:rFonts w:eastAsia="Arial" w:cs="Arial"/>
          <w:color w:val="000000"/>
          <w:szCs w:val="24"/>
          <w:lang w:eastAsia="en-GB"/>
        </w:rPr>
      </w:pPr>
      <w:bookmarkStart w:id="3320" w:name="bookmark=id.jj2ekk" w:colFirst="0" w:colLast="0"/>
      <w:bookmarkEnd w:id="3320"/>
      <w:r w:rsidRPr="00102034">
        <w:rPr>
          <w:rFonts w:eastAsia="Arial" w:cs="Arial"/>
          <w:color w:val="000000"/>
          <w:szCs w:val="24"/>
          <w:lang w:eastAsia="en-GB"/>
        </w:rPr>
        <w:t>Address: …</w:t>
      </w:r>
      <w:r>
        <w:rPr>
          <w:rFonts w:eastAsia="Arial" w:cs="Arial"/>
          <w:color w:val="000000"/>
          <w:szCs w:val="24"/>
          <w:lang w:eastAsia="en-GB"/>
        </w:rPr>
        <w:t>………………….</w:t>
      </w:r>
    </w:p>
    <w:p w14:paraId="24EAE5CA" w14:textId="77777777" w:rsidR="00F67E9E" w:rsidRPr="00102034" w:rsidRDefault="00F67E9E" w:rsidP="00F67E9E">
      <w:pPr>
        <w:pBdr>
          <w:top w:val="nil"/>
          <w:left w:val="nil"/>
          <w:bottom w:val="nil"/>
          <w:right w:val="nil"/>
          <w:between w:val="nil"/>
        </w:pBdr>
        <w:spacing w:before="120" w:after="240"/>
        <w:ind w:left="720" w:firstLine="1440"/>
        <w:rPr>
          <w:rFonts w:eastAsia="Arial" w:cs="Arial"/>
          <w:color w:val="000000"/>
          <w:szCs w:val="24"/>
          <w:lang w:eastAsia="en-GB"/>
        </w:rPr>
      </w:pPr>
      <w:bookmarkStart w:id="3321" w:name="bookmark=id.33ipx8d" w:colFirst="0" w:colLast="0"/>
      <w:bookmarkEnd w:id="3321"/>
      <w:r w:rsidRPr="00102034">
        <w:rPr>
          <w:rFonts w:eastAsia="Arial" w:cs="Arial"/>
          <w:color w:val="000000"/>
          <w:szCs w:val="24"/>
          <w:lang w:eastAsia="en-GB"/>
        </w:rPr>
        <w:t xml:space="preserve">Contact person's name, position and contact details: </w:t>
      </w:r>
      <w:r>
        <w:rPr>
          <w:rFonts w:eastAsia="Arial" w:cs="Arial"/>
          <w:color w:val="000000"/>
          <w:szCs w:val="24"/>
          <w:lang w:eastAsia="en-GB"/>
        </w:rPr>
        <w:t>……………...</w:t>
      </w:r>
      <w:r w:rsidRPr="00102034">
        <w:rPr>
          <w:rFonts w:eastAsia="Arial" w:cs="Arial"/>
          <w:color w:val="000000"/>
          <w:szCs w:val="24"/>
          <w:lang w:eastAsia="en-GB"/>
        </w:rPr>
        <w:t>…</w:t>
      </w:r>
    </w:p>
    <w:p w14:paraId="627E4ECC" w14:textId="77777777" w:rsidR="00F67E9E" w:rsidRPr="00102034" w:rsidRDefault="00F67E9E" w:rsidP="00F67E9E">
      <w:pPr>
        <w:pBdr>
          <w:top w:val="nil"/>
          <w:left w:val="nil"/>
          <w:bottom w:val="nil"/>
          <w:right w:val="nil"/>
          <w:between w:val="nil"/>
        </w:pBdr>
        <w:spacing w:before="120" w:after="240"/>
        <w:ind w:left="720" w:firstLine="1440"/>
        <w:rPr>
          <w:rFonts w:eastAsia="Arial" w:cs="Arial"/>
          <w:color w:val="000000"/>
          <w:szCs w:val="24"/>
          <w:lang w:eastAsia="en-GB"/>
        </w:rPr>
      </w:pPr>
      <w:bookmarkStart w:id="3322" w:name="bookmark=id.1io07g6" w:colFirst="0" w:colLast="0"/>
      <w:bookmarkEnd w:id="3322"/>
      <w:r w:rsidRPr="00102034">
        <w:rPr>
          <w:rFonts w:eastAsia="Arial" w:cs="Arial"/>
          <w:color w:val="000000"/>
          <w:szCs w:val="24"/>
          <w:lang w:eastAsia="en-GB"/>
        </w:rPr>
        <w:t xml:space="preserve">Activities relevant to the data transferred under these Clauses: </w:t>
      </w:r>
      <w:r>
        <w:rPr>
          <w:rFonts w:eastAsia="Arial" w:cs="Arial"/>
          <w:color w:val="000000"/>
          <w:szCs w:val="24"/>
          <w:lang w:eastAsia="en-GB"/>
        </w:rPr>
        <w:t>…..</w:t>
      </w:r>
      <w:r w:rsidRPr="00102034">
        <w:rPr>
          <w:rFonts w:eastAsia="Arial" w:cs="Arial"/>
          <w:color w:val="000000"/>
          <w:szCs w:val="24"/>
          <w:lang w:eastAsia="en-GB"/>
        </w:rPr>
        <w:t>…</w:t>
      </w:r>
    </w:p>
    <w:p w14:paraId="22A1CED7" w14:textId="77777777" w:rsidR="00F67E9E" w:rsidRPr="00102034" w:rsidRDefault="00F67E9E" w:rsidP="00F67E9E">
      <w:pPr>
        <w:pBdr>
          <w:top w:val="nil"/>
          <w:left w:val="nil"/>
          <w:bottom w:val="nil"/>
          <w:right w:val="nil"/>
          <w:between w:val="nil"/>
        </w:pBdr>
        <w:spacing w:before="120" w:after="240"/>
        <w:ind w:left="720" w:firstLine="1440"/>
        <w:rPr>
          <w:rFonts w:eastAsia="Arial" w:cs="Arial"/>
          <w:color w:val="000000"/>
          <w:szCs w:val="24"/>
          <w:lang w:eastAsia="en-GB"/>
        </w:rPr>
      </w:pPr>
      <w:bookmarkStart w:id="3323" w:name="bookmark=id.42nnq3z" w:colFirst="0" w:colLast="0"/>
      <w:bookmarkEnd w:id="3323"/>
      <w:r w:rsidRPr="00102034">
        <w:rPr>
          <w:rFonts w:eastAsia="Arial" w:cs="Arial"/>
          <w:color w:val="000000"/>
          <w:szCs w:val="24"/>
          <w:lang w:eastAsia="en-GB"/>
        </w:rPr>
        <w:t xml:space="preserve">Signature and date: </w:t>
      </w:r>
      <w:r>
        <w:rPr>
          <w:rFonts w:eastAsia="Arial" w:cs="Arial"/>
          <w:color w:val="000000"/>
          <w:szCs w:val="24"/>
          <w:lang w:eastAsia="en-GB"/>
        </w:rPr>
        <w:t>………………….</w:t>
      </w:r>
      <w:r w:rsidRPr="00102034">
        <w:rPr>
          <w:rFonts w:eastAsia="Arial" w:cs="Arial"/>
          <w:color w:val="000000"/>
          <w:szCs w:val="24"/>
          <w:lang w:eastAsia="en-GB"/>
        </w:rPr>
        <w:t>…</w:t>
      </w:r>
    </w:p>
    <w:p w14:paraId="3488C2B5" w14:textId="77777777" w:rsidR="00F67E9E" w:rsidRPr="00102034" w:rsidRDefault="00F67E9E" w:rsidP="00F67E9E">
      <w:pPr>
        <w:pBdr>
          <w:top w:val="nil"/>
          <w:left w:val="nil"/>
          <w:bottom w:val="nil"/>
          <w:right w:val="nil"/>
          <w:between w:val="nil"/>
        </w:pBdr>
        <w:spacing w:before="120" w:after="240"/>
        <w:ind w:left="720" w:firstLine="1440"/>
        <w:rPr>
          <w:rFonts w:eastAsia="Arial" w:cs="Arial"/>
          <w:color w:val="000000"/>
          <w:szCs w:val="24"/>
          <w:lang w:eastAsia="en-GB"/>
        </w:rPr>
      </w:pPr>
      <w:bookmarkStart w:id="3324" w:name="bookmark=id.2hsy0bs" w:colFirst="0" w:colLast="0"/>
      <w:bookmarkEnd w:id="3324"/>
      <w:r w:rsidRPr="00102034">
        <w:rPr>
          <w:rFonts w:eastAsia="Arial" w:cs="Arial"/>
          <w:color w:val="000000"/>
          <w:szCs w:val="24"/>
          <w:lang w:eastAsia="en-GB"/>
        </w:rPr>
        <w:t xml:space="preserve">Role (controller/processor): </w:t>
      </w:r>
      <w:r>
        <w:rPr>
          <w:rFonts w:eastAsia="Arial" w:cs="Arial"/>
          <w:color w:val="000000"/>
          <w:szCs w:val="24"/>
          <w:lang w:eastAsia="en-GB"/>
        </w:rPr>
        <w:t>……………………..</w:t>
      </w:r>
      <w:r w:rsidRPr="00102034">
        <w:rPr>
          <w:rFonts w:eastAsia="Arial" w:cs="Arial"/>
          <w:color w:val="000000"/>
          <w:szCs w:val="24"/>
          <w:lang w:eastAsia="en-GB"/>
        </w:rPr>
        <w:t>…</w:t>
      </w:r>
    </w:p>
    <w:p w14:paraId="7DA260DB" w14:textId="77777777" w:rsidR="00F67E9E" w:rsidRPr="00102034" w:rsidRDefault="00F67E9E" w:rsidP="00F67E9E">
      <w:pPr>
        <w:pBdr>
          <w:top w:val="nil"/>
          <w:left w:val="nil"/>
          <w:bottom w:val="nil"/>
          <w:right w:val="nil"/>
          <w:between w:val="nil"/>
        </w:pBdr>
        <w:spacing w:before="120" w:after="240"/>
        <w:ind w:firstLine="1440"/>
        <w:rPr>
          <w:rFonts w:eastAsia="Arial" w:cs="Arial"/>
          <w:color w:val="000000"/>
          <w:szCs w:val="24"/>
          <w:lang w:eastAsia="en-GB"/>
        </w:rPr>
      </w:pPr>
      <w:bookmarkStart w:id="3325" w:name="bookmark=id.wy8ajl" w:colFirst="0" w:colLast="0"/>
      <w:bookmarkEnd w:id="3325"/>
      <w:r w:rsidRPr="00102034">
        <w:rPr>
          <w:rFonts w:eastAsia="Arial" w:cs="Arial"/>
          <w:color w:val="000000"/>
          <w:szCs w:val="24"/>
          <w:lang w:eastAsia="en-GB"/>
        </w:rPr>
        <w:t xml:space="preserve">2. </w:t>
      </w:r>
      <w:r>
        <w:rPr>
          <w:rFonts w:eastAsia="Arial" w:cs="Arial"/>
          <w:color w:val="000000"/>
          <w:szCs w:val="24"/>
          <w:lang w:eastAsia="en-GB"/>
        </w:rPr>
        <w:tab/>
      </w:r>
      <w:r w:rsidRPr="00102034">
        <w:rPr>
          <w:rFonts w:eastAsia="Arial" w:cs="Arial"/>
          <w:color w:val="000000"/>
          <w:szCs w:val="24"/>
          <w:lang w:eastAsia="en-GB"/>
        </w:rPr>
        <w:t>…</w:t>
      </w:r>
    </w:p>
    <w:p w14:paraId="596AC039" w14:textId="77777777" w:rsidR="00F67E9E" w:rsidRPr="00102034" w:rsidRDefault="00F67E9E" w:rsidP="00F67E9E">
      <w:pPr>
        <w:pBdr>
          <w:top w:val="nil"/>
          <w:left w:val="nil"/>
          <w:bottom w:val="nil"/>
          <w:right w:val="nil"/>
          <w:between w:val="nil"/>
        </w:pBdr>
        <w:spacing w:before="240" w:after="240"/>
        <w:ind w:left="720"/>
        <w:rPr>
          <w:rFonts w:eastAsia="Arial" w:cs="Arial"/>
          <w:color w:val="000000"/>
          <w:szCs w:val="24"/>
          <w:lang w:eastAsia="en-GB"/>
        </w:rPr>
      </w:pPr>
      <w:bookmarkStart w:id="3326" w:name="bookmark=id.3gxvt7e" w:colFirst="0" w:colLast="0"/>
      <w:bookmarkEnd w:id="3326"/>
      <w:r w:rsidRPr="00102034">
        <w:rPr>
          <w:rFonts w:eastAsia="Arial" w:cs="Arial"/>
          <w:b/>
          <w:color w:val="000000"/>
          <w:szCs w:val="24"/>
          <w:lang w:eastAsia="en-GB"/>
        </w:rPr>
        <w:t>Data importer(s):</w:t>
      </w:r>
      <w:r w:rsidRPr="00102034">
        <w:rPr>
          <w:rFonts w:eastAsia="Arial" w:cs="Arial"/>
          <w:color w:val="000000"/>
          <w:szCs w:val="24"/>
          <w:lang w:eastAsia="en-GB"/>
        </w:rPr>
        <w:t xml:space="preserve"> [</w:t>
      </w:r>
      <w:r w:rsidRPr="00102034">
        <w:rPr>
          <w:rFonts w:eastAsia="Arial" w:cs="Arial"/>
          <w:i/>
          <w:color w:val="000000"/>
          <w:szCs w:val="24"/>
          <w:lang w:eastAsia="en-GB"/>
        </w:rPr>
        <w:t>Identity and contact details of the data importer(s), including any contact person with responsibility for data protection</w:t>
      </w:r>
      <w:r w:rsidRPr="00102034">
        <w:rPr>
          <w:rFonts w:eastAsia="Arial" w:cs="Arial"/>
          <w:color w:val="000000"/>
          <w:szCs w:val="24"/>
          <w:lang w:eastAsia="en-GB"/>
        </w:rPr>
        <w:t>]</w:t>
      </w:r>
    </w:p>
    <w:p w14:paraId="6F5D1E8D" w14:textId="77777777" w:rsidR="00F67E9E" w:rsidRPr="00102034" w:rsidRDefault="00F67E9E" w:rsidP="00F67E9E">
      <w:pPr>
        <w:pBdr>
          <w:top w:val="nil"/>
          <w:left w:val="nil"/>
          <w:bottom w:val="nil"/>
          <w:right w:val="nil"/>
          <w:between w:val="nil"/>
        </w:pBdr>
        <w:tabs>
          <w:tab w:val="left" w:pos="2160"/>
        </w:tabs>
        <w:spacing w:before="120" w:after="240"/>
        <w:ind w:firstLine="1440"/>
        <w:rPr>
          <w:rFonts w:eastAsia="Arial" w:cs="Arial"/>
          <w:color w:val="000000"/>
          <w:szCs w:val="24"/>
          <w:lang w:eastAsia="en-GB"/>
        </w:rPr>
      </w:pPr>
      <w:bookmarkStart w:id="3327" w:name="bookmark=id.1w363f7" w:colFirst="0" w:colLast="0"/>
      <w:bookmarkStart w:id="3328" w:name="bookmark=id.38n9s9u" w:colFirst="0" w:colLast="0"/>
      <w:bookmarkStart w:id="3329" w:name="bookmark=id.1nsk2hn" w:colFirst="0" w:colLast="0"/>
      <w:bookmarkEnd w:id="3327"/>
      <w:bookmarkEnd w:id="3328"/>
      <w:bookmarkEnd w:id="3329"/>
      <w:r w:rsidRPr="00102034">
        <w:rPr>
          <w:rFonts w:eastAsia="Arial" w:cs="Arial"/>
          <w:color w:val="000000"/>
          <w:szCs w:val="24"/>
          <w:lang w:eastAsia="en-GB"/>
        </w:rPr>
        <w:t xml:space="preserve">1. </w:t>
      </w:r>
      <w:r>
        <w:rPr>
          <w:rFonts w:eastAsia="Arial" w:cs="Arial"/>
          <w:color w:val="000000"/>
          <w:szCs w:val="24"/>
          <w:lang w:eastAsia="en-GB"/>
        </w:rPr>
        <w:tab/>
      </w:r>
      <w:r w:rsidRPr="00102034">
        <w:rPr>
          <w:rFonts w:eastAsia="Arial" w:cs="Arial"/>
          <w:color w:val="000000"/>
          <w:szCs w:val="24"/>
          <w:lang w:eastAsia="en-GB"/>
        </w:rPr>
        <w:t>Name: …</w:t>
      </w:r>
      <w:r>
        <w:rPr>
          <w:rFonts w:eastAsia="Arial" w:cs="Arial"/>
          <w:color w:val="000000"/>
          <w:szCs w:val="24"/>
          <w:lang w:eastAsia="en-GB"/>
        </w:rPr>
        <w:t>………………….</w:t>
      </w:r>
    </w:p>
    <w:p w14:paraId="6269EAE0" w14:textId="77777777" w:rsidR="00F67E9E" w:rsidRPr="00102034" w:rsidRDefault="00F67E9E" w:rsidP="00F67E9E">
      <w:pPr>
        <w:pBdr>
          <w:top w:val="nil"/>
          <w:left w:val="nil"/>
          <w:bottom w:val="nil"/>
          <w:right w:val="nil"/>
          <w:between w:val="nil"/>
        </w:pBdr>
        <w:spacing w:before="120" w:after="240"/>
        <w:ind w:left="720" w:firstLine="1440"/>
        <w:rPr>
          <w:rFonts w:eastAsia="Arial" w:cs="Arial"/>
          <w:color w:val="000000"/>
          <w:szCs w:val="24"/>
          <w:lang w:eastAsia="en-GB"/>
        </w:rPr>
      </w:pPr>
      <w:r w:rsidRPr="00102034">
        <w:rPr>
          <w:rFonts w:eastAsia="Arial" w:cs="Arial"/>
          <w:color w:val="000000"/>
          <w:szCs w:val="24"/>
          <w:lang w:eastAsia="en-GB"/>
        </w:rPr>
        <w:t>Address: …</w:t>
      </w:r>
      <w:r>
        <w:rPr>
          <w:rFonts w:eastAsia="Arial" w:cs="Arial"/>
          <w:color w:val="000000"/>
          <w:szCs w:val="24"/>
          <w:lang w:eastAsia="en-GB"/>
        </w:rPr>
        <w:t>………………….</w:t>
      </w:r>
    </w:p>
    <w:p w14:paraId="146483B2" w14:textId="77777777" w:rsidR="00F67E9E" w:rsidRPr="00102034" w:rsidRDefault="00F67E9E" w:rsidP="00F67E9E">
      <w:pPr>
        <w:pBdr>
          <w:top w:val="nil"/>
          <w:left w:val="nil"/>
          <w:bottom w:val="nil"/>
          <w:right w:val="nil"/>
          <w:between w:val="nil"/>
        </w:pBdr>
        <w:spacing w:before="120" w:after="240"/>
        <w:ind w:left="720" w:firstLine="1440"/>
        <w:rPr>
          <w:rFonts w:eastAsia="Arial" w:cs="Arial"/>
          <w:color w:val="000000"/>
          <w:szCs w:val="24"/>
          <w:lang w:eastAsia="en-GB"/>
        </w:rPr>
      </w:pPr>
      <w:r w:rsidRPr="00102034">
        <w:rPr>
          <w:rFonts w:eastAsia="Arial" w:cs="Arial"/>
          <w:color w:val="000000"/>
          <w:szCs w:val="24"/>
          <w:lang w:eastAsia="en-GB"/>
        </w:rPr>
        <w:t xml:space="preserve">Contact person's name, position and contact details: </w:t>
      </w:r>
      <w:r>
        <w:rPr>
          <w:rFonts w:eastAsia="Arial" w:cs="Arial"/>
          <w:color w:val="000000"/>
          <w:szCs w:val="24"/>
          <w:lang w:eastAsia="en-GB"/>
        </w:rPr>
        <w:t>……………...</w:t>
      </w:r>
      <w:r w:rsidRPr="00102034">
        <w:rPr>
          <w:rFonts w:eastAsia="Arial" w:cs="Arial"/>
          <w:color w:val="000000"/>
          <w:szCs w:val="24"/>
          <w:lang w:eastAsia="en-GB"/>
        </w:rPr>
        <w:t>…</w:t>
      </w:r>
    </w:p>
    <w:p w14:paraId="6F1D01DA" w14:textId="77777777" w:rsidR="00F67E9E" w:rsidRPr="00102034" w:rsidRDefault="00F67E9E" w:rsidP="00F67E9E">
      <w:pPr>
        <w:pBdr>
          <w:top w:val="nil"/>
          <w:left w:val="nil"/>
          <w:bottom w:val="nil"/>
          <w:right w:val="nil"/>
          <w:between w:val="nil"/>
        </w:pBdr>
        <w:spacing w:before="120" w:after="240"/>
        <w:ind w:left="720" w:firstLine="1440"/>
        <w:rPr>
          <w:rFonts w:eastAsia="Arial" w:cs="Arial"/>
          <w:color w:val="000000"/>
          <w:szCs w:val="24"/>
          <w:lang w:eastAsia="en-GB"/>
        </w:rPr>
      </w:pPr>
      <w:r w:rsidRPr="00102034">
        <w:rPr>
          <w:rFonts w:eastAsia="Arial" w:cs="Arial"/>
          <w:color w:val="000000"/>
          <w:szCs w:val="24"/>
          <w:lang w:eastAsia="en-GB"/>
        </w:rPr>
        <w:t xml:space="preserve">Activities relevant to the data transferred under these Clauses: </w:t>
      </w:r>
      <w:r>
        <w:rPr>
          <w:rFonts w:eastAsia="Arial" w:cs="Arial"/>
          <w:color w:val="000000"/>
          <w:szCs w:val="24"/>
          <w:lang w:eastAsia="en-GB"/>
        </w:rPr>
        <w:t>…..</w:t>
      </w:r>
      <w:r w:rsidRPr="00102034">
        <w:rPr>
          <w:rFonts w:eastAsia="Arial" w:cs="Arial"/>
          <w:color w:val="000000"/>
          <w:szCs w:val="24"/>
          <w:lang w:eastAsia="en-GB"/>
        </w:rPr>
        <w:t>…</w:t>
      </w:r>
    </w:p>
    <w:p w14:paraId="46DCFF42" w14:textId="77777777" w:rsidR="00F67E9E" w:rsidRPr="00102034" w:rsidRDefault="00F67E9E" w:rsidP="00F67E9E">
      <w:pPr>
        <w:pBdr>
          <w:top w:val="nil"/>
          <w:left w:val="nil"/>
          <w:bottom w:val="nil"/>
          <w:right w:val="nil"/>
          <w:between w:val="nil"/>
        </w:pBdr>
        <w:spacing w:before="120" w:after="240"/>
        <w:ind w:left="720" w:firstLine="1440"/>
        <w:rPr>
          <w:rFonts w:eastAsia="Arial" w:cs="Arial"/>
          <w:color w:val="000000"/>
          <w:szCs w:val="24"/>
          <w:lang w:eastAsia="en-GB"/>
        </w:rPr>
      </w:pPr>
      <w:r w:rsidRPr="00102034">
        <w:rPr>
          <w:rFonts w:eastAsia="Arial" w:cs="Arial"/>
          <w:color w:val="000000"/>
          <w:szCs w:val="24"/>
          <w:lang w:eastAsia="en-GB"/>
        </w:rPr>
        <w:t xml:space="preserve">Signature and date: </w:t>
      </w:r>
      <w:r>
        <w:rPr>
          <w:rFonts w:eastAsia="Arial" w:cs="Arial"/>
          <w:color w:val="000000"/>
          <w:szCs w:val="24"/>
          <w:lang w:eastAsia="en-GB"/>
        </w:rPr>
        <w:t>………………….</w:t>
      </w:r>
      <w:r w:rsidRPr="00102034">
        <w:rPr>
          <w:rFonts w:eastAsia="Arial" w:cs="Arial"/>
          <w:color w:val="000000"/>
          <w:szCs w:val="24"/>
          <w:lang w:eastAsia="en-GB"/>
        </w:rPr>
        <w:t>…</w:t>
      </w:r>
    </w:p>
    <w:p w14:paraId="27395295" w14:textId="77777777" w:rsidR="00F67E9E" w:rsidRPr="00102034" w:rsidRDefault="00F67E9E" w:rsidP="00F67E9E">
      <w:pPr>
        <w:pBdr>
          <w:top w:val="nil"/>
          <w:left w:val="nil"/>
          <w:bottom w:val="nil"/>
          <w:right w:val="nil"/>
          <w:between w:val="nil"/>
        </w:pBdr>
        <w:spacing w:before="120" w:after="240"/>
        <w:ind w:left="720" w:firstLine="1440"/>
        <w:rPr>
          <w:rFonts w:eastAsia="Arial" w:cs="Arial"/>
          <w:color w:val="000000"/>
          <w:szCs w:val="24"/>
          <w:lang w:eastAsia="en-GB"/>
        </w:rPr>
      </w:pPr>
      <w:r w:rsidRPr="00102034">
        <w:rPr>
          <w:rFonts w:eastAsia="Arial" w:cs="Arial"/>
          <w:color w:val="000000"/>
          <w:szCs w:val="24"/>
          <w:lang w:eastAsia="en-GB"/>
        </w:rPr>
        <w:t xml:space="preserve">Role (controller/processor): </w:t>
      </w:r>
      <w:r>
        <w:rPr>
          <w:rFonts w:eastAsia="Arial" w:cs="Arial"/>
          <w:color w:val="000000"/>
          <w:szCs w:val="24"/>
          <w:lang w:eastAsia="en-GB"/>
        </w:rPr>
        <w:t>……………………..</w:t>
      </w:r>
      <w:r w:rsidRPr="00102034">
        <w:rPr>
          <w:rFonts w:eastAsia="Arial" w:cs="Arial"/>
          <w:color w:val="000000"/>
          <w:szCs w:val="24"/>
          <w:lang w:eastAsia="en-GB"/>
        </w:rPr>
        <w:t>…</w:t>
      </w:r>
    </w:p>
    <w:p w14:paraId="5D21DC2B" w14:textId="77777777" w:rsidR="00F67E9E" w:rsidRPr="00102034" w:rsidRDefault="00F67E9E" w:rsidP="00F67E9E">
      <w:pPr>
        <w:pBdr>
          <w:top w:val="nil"/>
          <w:left w:val="nil"/>
          <w:bottom w:val="nil"/>
          <w:right w:val="nil"/>
          <w:between w:val="nil"/>
        </w:pBdr>
        <w:spacing w:before="120" w:after="240"/>
        <w:ind w:firstLine="1440"/>
        <w:rPr>
          <w:rFonts w:eastAsia="Arial" w:cs="Arial"/>
          <w:color w:val="000000"/>
          <w:szCs w:val="24"/>
          <w:lang w:eastAsia="en-GB"/>
        </w:rPr>
      </w:pPr>
      <w:r w:rsidRPr="00102034">
        <w:rPr>
          <w:rFonts w:eastAsia="Arial" w:cs="Arial"/>
          <w:color w:val="000000"/>
          <w:szCs w:val="24"/>
          <w:lang w:eastAsia="en-GB"/>
        </w:rPr>
        <w:t xml:space="preserve">2. </w:t>
      </w:r>
      <w:r>
        <w:rPr>
          <w:rFonts w:eastAsia="Arial" w:cs="Arial"/>
          <w:color w:val="000000"/>
          <w:szCs w:val="24"/>
          <w:lang w:eastAsia="en-GB"/>
        </w:rPr>
        <w:tab/>
      </w:r>
      <w:r w:rsidRPr="00102034">
        <w:rPr>
          <w:rFonts w:eastAsia="Arial" w:cs="Arial"/>
          <w:color w:val="000000"/>
          <w:szCs w:val="24"/>
          <w:lang w:eastAsia="en-GB"/>
        </w:rPr>
        <w:t>…</w:t>
      </w:r>
    </w:p>
    <w:p w14:paraId="770846BE" w14:textId="77777777" w:rsidR="00F67E9E" w:rsidRPr="00102034" w:rsidRDefault="00F67E9E" w:rsidP="00F67E9E">
      <w:pPr>
        <w:pBdr>
          <w:top w:val="nil"/>
          <w:left w:val="nil"/>
          <w:bottom w:val="nil"/>
          <w:right w:val="nil"/>
          <w:between w:val="nil"/>
        </w:pBdr>
        <w:tabs>
          <w:tab w:val="left" w:pos="720"/>
        </w:tabs>
        <w:spacing w:before="120"/>
        <w:rPr>
          <w:rFonts w:eastAsia="Arial" w:cs="Arial"/>
          <w:b/>
          <w:color w:val="000000"/>
          <w:szCs w:val="24"/>
          <w:lang w:eastAsia="en-GB"/>
        </w:rPr>
      </w:pPr>
      <w:r w:rsidRPr="00102034">
        <w:rPr>
          <w:rFonts w:eastAsia="Arial" w:cs="Arial"/>
          <w:b/>
          <w:color w:val="000000"/>
          <w:szCs w:val="24"/>
          <w:lang w:eastAsia="en-GB"/>
        </w:rPr>
        <w:t>B.</w:t>
      </w:r>
      <w:r>
        <w:rPr>
          <w:rFonts w:eastAsia="Arial" w:cs="Arial"/>
          <w:b/>
          <w:color w:val="000000"/>
          <w:szCs w:val="24"/>
          <w:lang w:eastAsia="en-GB"/>
        </w:rPr>
        <w:tab/>
      </w:r>
      <w:r w:rsidRPr="00102034">
        <w:rPr>
          <w:rFonts w:eastAsia="Arial" w:cs="Arial"/>
          <w:b/>
          <w:color w:val="000000"/>
          <w:szCs w:val="24"/>
          <w:lang w:eastAsia="en-GB"/>
        </w:rPr>
        <w:t>DESCRIPTION OF TRANSFER</w:t>
      </w:r>
    </w:p>
    <w:p w14:paraId="138EE129" w14:textId="77777777" w:rsidR="00F67E9E" w:rsidRPr="00102034" w:rsidRDefault="00F67E9E" w:rsidP="00F67E9E">
      <w:pPr>
        <w:pBdr>
          <w:top w:val="nil"/>
          <w:left w:val="nil"/>
          <w:bottom w:val="nil"/>
          <w:right w:val="nil"/>
          <w:between w:val="nil"/>
        </w:pBdr>
        <w:spacing w:before="240" w:after="240"/>
        <w:ind w:left="720"/>
        <w:rPr>
          <w:rFonts w:eastAsia="Arial" w:cs="Arial"/>
          <w:i/>
          <w:color w:val="000000"/>
          <w:szCs w:val="24"/>
          <w:lang w:eastAsia="en-GB"/>
        </w:rPr>
      </w:pPr>
      <w:bookmarkStart w:id="3330" w:name="bookmark=id.47s7l5g" w:colFirst="0" w:colLast="0"/>
      <w:bookmarkEnd w:id="3330"/>
      <w:r w:rsidRPr="00102034">
        <w:rPr>
          <w:rFonts w:eastAsia="Arial" w:cs="Arial"/>
          <w:i/>
          <w:color w:val="000000"/>
          <w:szCs w:val="24"/>
          <w:lang w:eastAsia="en-GB"/>
        </w:rPr>
        <w:t>Categories of data subjects whose personal data is transferred</w:t>
      </w:r>
    </w:p>
    <w:p w14:paraId="6B60985D" w14:textId="77777777" w:rsidR="00F67E9E" w:rsidRPr="00102034" w:rsidRDefault="00F67E9E" w:rsidP="00F67E9E">
      <w:pPr>
        <w:pBdr>
          <w:top w:val="nil"/>
          <w:left w:val="nil"/>
          <w:bottom w:val="nil"/>
          <w:right w:val="nil"/>
          <w:between w:val="nil"/>
        </w:pBdr>
        <w:spacing w:before="240" w:after="240"/>
        <w:ind w:firstLine="1440"/>
        <w:rPr>
          <w:rFonts w:eastAsia="Arial" w:cs="Arial"/>
          <w:i/>
          <w:color w:val="000000"/>
          <w:szCs w:val="24"/>
          <w:lang w:eastAsia="en-GB"/>
        </w:rPr>
      </w:pPr>
      <w:bookmarkStart w:id="3331" w:name="bookmark=id.2mxhvd9" w:colFirst="0" w:colLast="0"/>
      <w:bookmarkEnd w:id="3331"/>
      <w:r w:rsidRPr="00102034">
        <w:rPr>
          <w:rFonts w:eastAsia="Arial" w:cs="Arial"/>
          <w:i/>
          <w:color w:val="000000"/>
          <w:szCs w:val="24"/>
          <w:lang w:eastAsia="en-GB"/>
        </w:rPr>
        <w:t>…</w:t>
      </w:r>
      <w:r>
        <w:rPr>
          <w:rFonts w:eastAsia="Arial" w:cs="Arial"/>
          <w:i/>
          <w:color w:val="000000"/>
          <w:szCs w:val="24"/>
          <w:lang w:eastAsia="en-GB"/>
        </w:rPr>
        <w:t>…………………………..</w:t>
      </w:r>
    </w:p>
    <w:p w14:paraId="73C22A02" w14:textId="77777777" w:rsidR="00F67E9E" w:rsidRPr="00102034" w:rsidRDefault="00F67E9E" w:rsidP="00F67E9E">
      <w:pPr>
        <w:pBdr>
          <w:top w:val="nil"/>
          <w:left w:val="nil"/>
          <w:bottom w:val="nil"/>
          <w:right w:val="nil"/>
          <w:between w:val="nil"/>
        </w:pBdr>
        <w:spacing w:before="240" w:after="240"/>
        <w:ind w:left="720"/>
        <w:rPr>
          <w:rFonts w:eastAsia="Arial" w:cs="Arial"/>
          <w:i/>
          <w:color w:val="000000"/>
          <w:szCs w:val="24"/>
          <w:lang w:eastAsia="en-GB"/>
        </w:rPr>
      </w:pPr>
      <w:bookmarkStart w:id="3332" w:name="bookmark=id.122s5l2" w:colFirst="0" w:colLast="0"/>
      <w:bookmarkEnd w:id="3332"/>
      <w:r w:rsidRPr="00102034">
        <w:rPr>
          <w:rFonts w:eastAsia="Arial" w:cs="Arial"/>
          <w:i/>
          <w:color w:val="000000"/>
          <w:szCs w:val="24"/>
          <w:lang w:eastAsia="en-GB"/>
        </w:rPr>
        <w:t>Categories of personal data transferred</w:t>
      </w:r>
    </w:p>
    <w:p w14:paraId="7AD2833D" w14:textId="77777777" w:rsidR="00F67E9E" w:rsidRPr="00102034" w:rsidRDefault="00F67E9E" w:rsidP="00F67E9E">
      <w:pPr>
        <w:pBdr>
          <w:top w:val="nil"/>
          <w:left w:val="nil"/>
          <w:bottom w:val="nil"/>
          <w:right w:val="nil"/>
          <w:between w:val="nil"/>
        </w:pBdr>
        <w:spacing w:before="240" w:after="240"/>
        <w:ind w:firstLine="1440"/>
        <w:rPr>
          <w:rFonts w:eastAsia="Arial" w:cs="Arial"/>
          <w:i/>
          <w:color w:val="000000"/>
          <w:szCs w:val="24"/>
          <w:lang w:eastAsia="en-GB"/>
        </w:rPr>
      </w:pPr>
      <w:bookmarkStart w:id="3333" w:name="bookmark=id.3m2fo8v" w:colFirst="0" w:colLast="0"/>
      <w:bookmarkStart w:id="3334" w:name="bookmark=id.217pygo" w:colFirst="0" w:colLast="0"/>
      <w:bookmarkEnd w:id="3333"/>
      <w:bookmarkEnd w:id="3334"/>
      <w:r w:rsidRPr="00102034">
        <w:rPr>
          <w:rFonts w:eastAsia="Arial" w:cs="Arial"/>
          <w:i/>
          <w:color w:val="000000"/>
          <w:szCs w:val="24"/>
          <w:lang w:eastAsia="en-GB"/>
        </w:rPr>
        <w:t>…</w:t>
      </w:r>
      <w:r>
        <w:rPr>
          <w:rFonts w:eastAsia="Arial" w:cs="Arial"/>
          <w:i/>
          <w:color w:val="000000"/>
          <w:szCs w:val="24"/>
          <w:lang w:eastAsia="en-GB"/>
        </w:rPr>
        <w:t>…………………………..</w:t>
      </w:r>
    </w:p>
    <w:p w14:paraId="7901A661" w14:textId="77777777" w:rsidR="00F67E9E" w:rsidRPr="00102034" w:rsidRDefault="00F67E9E" w:rsidP="00F67E9E">
      <w:pPr>
        <w:pBdr>
          <w:top w:val="nil"/>
          <w:left w:val="nil"/>
          <w:bottom w:val="nil"/>
          <w:right w:val="nil"/>
          <w:between w:val="nil"/>
        </w:pBdr>
        <w:spacing w:before="240" w:after="240"/>
        <w:ind w:left="720"/>
        <w:rPr>
          <w:rFonts w:eastAsia="Arial" w:cs="Arial"/>
          <w:i/>
          <w:color w:val="000000"/>
          <w:szCs w:val="24"/>
          <w:lang w:eastAsia="en-GB"/>
        </w:rPr>
      </w:pPr>
      <w:r w:rsidRPr="00102034">
        <w:rPr>
          <w:rFonts w:eastAsia="Arial" w:cs="Arial"/>
          <w:i/>
          <w:color w:val="000000"/>
          <w:szCs w:val="24"/>
          <w:lang w:eastAsia="en-GB"/>
        </w:rPr>
        <w:t>Sensitive data transferred (if applicable) and applied restrictions or safeguards that fully take into consideration the nature of the data and the risks involved, such as for instance strict purpose limitation, access restrictions (including access only for staff having followed specialised training), keeping a record of access to the data, restrictions for onward transfers or additional security measures.</w:t>
      </w:r>
    </w:p>
    <w:p w14:paraId="4F58D4BE" w14:textId="77777777" w:rsidR="00F67E9E" w:rsidRPr="00102034" w:rsidRDefault="00F67E9E" w:rsidP="00F67E9E">
      <w:pPr>
        <w:pBdr>
          <w:top w:val="nil"/>
          <w:left w:val="nil"/>
          <w:bottom w:val="nil"/>
          <w:right w:val="nil"/>
          <w:between w:val="nil"/>
        </w:pBdr>
        <w:spacing w:before="240" w:after="240"/>
        <w:ind w:firstLine="1440"/>
        <w:rPr>
          <w:rFonts w:eastAsia="Arial" w:cs="Arial"/>
          <w:i/>
          <w:color w:val="000000"/>
          <w:szCs w:val="24"/>
          <w:lang w:eastAsia="en-GB"/>
        </w:rPr>
      </w:pPr>
      <w:bookmarkStart w:id="3335" w:name="bookmark=id.4l7dh4h" w:colFirst="0" w:colLast="0"/>
      <w:bookmarkStart w:id="3336" w:name="bookmark=id.30cnrca" w:colFirst="0" w:colLast="0"/>
      <w:bookmarkEnd w:id="3335"/>
      <w:bookmarkEnd w:id="3336"/>
      <w:r w:rsidRPr="00102034">
        <w:rPr>
          <w:rFonts w:eastAsia="Arial" w:cs="Arial"/>
          <w:i/>
          <w:color w:val="000000"/>
          <w:szCs w:val="24"/>
          <w:lang w:eastAsia="en-GB"/>
        </w:rPr>
        <w:t>…</w:t>
      </w:r>
      <w:r>
        <w:rPr>
          <w:rFonts w:eastAsia="Arial" w:cs="Arial"/>
          <w:i/>
          <w:color w:val="000000"/>
          <w:szCs w:val="24"/>
          <w:lang w:eastAsia="en-GB"/>
        </w:rPr>
        <w:t>…………………………..</w:t>
      </w:r>
    </w:p>
    <w:p w14:paraId="1DE66075" w14:textId="77777777" w:rsidR="00F67E9E" w:rsidRPr="00102034" w:rsidRDefault="00F67E9E" w:rsidP="00F67E9E">
      <w:pPr>
        <w:pBdr>
          <w:top w:val="nil"/>
          <w:left w:val="nil"/>
          <w:bottom w:val="nil"/>
          <w:right w:val="nil"/>
          <w:between w:val="nil"/>
        </w:pBdr>
        <w:spacing w:before="240" w:after="240"/>
        <w:ind w:left="720"/>
        <w:rPr>
          <w:rFonts w:eastAsia="Arial" w:cs="Arial"/>
          <w:i/>
          <w:color w:val="000000"/>
          <w:szCs w:val="24"/>
          <w:lang w:eastAsia="en-GB"/>
        </w:rPr>
      </w:pPr>
      <w:r w:rsidRPr="00102034">
        <w:rPr>
          <w:rFonts w:eastAsia="Arial" w:cs="Arial"/>
          <w:i/>
          <w:color w:val="000000"/>
          <w:szCs w:val="24"/>
          <w:lang w:eastAsia="en-GB"/>
        </w:rPr>
        <w:t>The frequency of the transfer (e.g. whether the data is transferred on a one-off or continuous basis).</w:t>
      </w:r>
    </w:p>
    <w:p w14:paraId="2A0F1D68" w14:textId="77777777" w:rsidR="00F67E9E" w:rsidRPr="00102034" w:rsidRDefault="00F67E9E" w:rsidP="00F67E9E">
      <w:pPr>
        <w:pBdr>
          <w:top w:val="nil"/>
          <w:left w:val="nil"/>
          <w:bottom w:val="nil"/>
          <w:right w:val="nil"/>
          <w:between w:val="nil"/>
        </w:pBdr>
        <w:spacing w:before="240" w:after="240"/>
        <w:ind w:firstLine="1440"/>
        <w:rPr>
          <w:rFonts w:eastAsia="Arial" w:cs="Arial"/>
          <w:i/>
          <w:color w:val="000000"/>
          <w:szCs w:val="24"/>
          <w:lang w:eastAsia="en-GB"/>
        </w:rPr>
      </w:pPr>
      <w:bookmarkStart w:id="3337" w:name="bookmark=id.1fhy1k3" w:colFirst="0" w:colLast="0"/>
      <w:bookmarkStart w:id="3338" w:name="bookmark=id.3zhlk7w" w:colFirst="0" w:colLast="0"/>
      <w:bookmarkEnd w:id="3337"/>
      <w:bookmarkEnd w:id="3338"/>
      <w:r w:rsidRPr="00102034">
        <w:rPr>
          <w:rFonts w:eastAsia="Arial" w:cs="Arial"/>
          <w:i/>
          <w:color w:val="000000"/>
          <w:szCs w:val="24"/>
          <w:lang w:eastAsia="en-GB"/>
        </w:rPr>
        <w:t>…</w:t>
      </w:r>
      <w:r>
        <w:rPr>
          <w:rFonts w:eastAsia="Arial" w:cs="Arial"/>
          <w:i/>
          <w:color w:val="000000"/>
          <w:szCs w:val="24"/>
          <w:lang w:eastAsia="en-GB"/>
        </w:rPr>
        <w:t>…………………………..</w:t>
      </w:r>
    </w:p>
    <w:p w14:paraId="20E7DB67" w14:textId="77777777" w:rsidR="00F67E9E" w:rsidRPr="00102034" w:rsidRDefault="00F67E9E" w:rsidP="00F67E9E">
      <w:pPr>
        <w:pBdr>
          <w:top w:val="nil"/>
          <w:left w:val="nil"/>
          <w:bottom w:val="nil"/>
          <w:right w:val="nil"/>
          <w:between w:val="nil"/>
        </w:pBdr>
        <w:spacing w:before="240" w:after="240"/>
        <w:ind w:left="720"/>
        <w:rPr>
          <w:rFonts w:eastAsia="Arial" w:cs="Arial"/>
          <w:i/>
          <w:color w:val="000000"/>
          <w:szCs w:val="24"/>
          <w:lang w:eastAsia="en-GB"/>
        </w:rPr>
      </w:pPr>
      <w:r w:rsidRPr="00102034">
        <w:rPr>
          <w:rFonts w:eastAsia="Arial" w:cs="Arial"/>
          <w:i/>
          <w:color w:val="000000"/>
          <w:szCs w:val="24"/>
          <w:lang w:eastAsia="en-GB"/>
        </w:rPr>
        <w:t>Nature of the processing</w:t>
      </w:r>
    </w:p>
    <w:p w14:paraId="79D8AFDE" w14:textId="77777777" w:rsidR="00F67E9E" w:rsidRPr="00102034" w:rsidRDefault="00F67E9E" w:rsidP="00F67E9E">
      <w:pPr>
        <w:pBdr>
          <w:top w:val="nil"/>
          <w:left w:val="nil"/>
          <w:bottom w:val="nil"/>
          <w:right w:val="nil"/>
          <w:between w:val="nil"/>
        </w:pBdr>
        <w:spacing w:before="240" w:after="240"/>
        <w:ind w:firstLine="1440"/>
        <w:rPr>
          <w:rFonts w:eastAsia="Arial" w:cs="Arial"/>
          <w:i/>
          <w:color w:val="000000"/>
          <w:szCs w:val="24"/>
          <w:lang w:eastAsia="en-GB"/>
        </w:rPr>
      </w:pPr>
      <w:bookmarkStart w:id="3339" w:name="bookmark=id.2emvufp" w:colFirst="0" w:colLast="0"/>
      <w:bookmarkStart w:id="3340" w:name="bookmark=id.ts64ni" w:colFirst="0" w:colLast="0"/>
      <w:bookmarkEnd w:id="3339"/>
      <w:bookmarkEnd w:id="3340"/>
      <w:r w:rsidRPr="00102034">
        <w:rPr>
          <w:rFonts w:eastAsia="Arial" w:cs="Arial"/>
          <w:i/>
          <w:color w:val="000000"/>
          <w:szCs w:val="24"/>
          <w:lang w:eastAsia="en-GB"/>
        </w:rPr>
        <w:t>…</w:t>
      </w:r>
      <w:r>
        <w:rPr>
          <w:rFonts w:eastAsia="Arial" w:cs="Arial"/>
          <w:i/>
          <w:color w:val="000000"/>
          <w:szCs w:val="24"/>
          <w:lang w:eastAsia="en-GB"/>
        </w:rPr>
        <w:t>…………………………..</w:t>
      </w:r>
    </w:p>
    <w:p w14:paraId="08DFD35C" w14:textId="77777777" w:rsidR="00F67E9E" w:rsidRPr="00102034" w:rsidRDefault="00F67E9E" w:rsidP="00F67E9E">
      <w:pPr>
        <w:pBdr>
          <w:top w:val="nil"/>
          <w:left w:val="nil"/>
          <w:bottom w:val="nil"/>
          <w:right w:val="nil"/>
          <w:between w:val="nil"/>
        </w:pBdr>
        <w:spacing w:before="240" w:after="240"/>
        <w:ind w:left="720"/>
        <w:rPr>
          <w:rFonts w:eastAsia="Arial" w:cs="Arial"/>
          <w:i/>
          <w:color w:val="000000"/>
          <w:szCs w:val="24"/>
          <w:lang w:eastAsia="en-GB"/>
        </w:rPr>
      </w:pPr>
      <w:r w:rsidRPr="00102034">
        <w:rPr>
          <w:rFonts w:eastAsia="Arial" w:cs="Arial"/>
          <w:i/>
          <w:color w:val="000000"/>
          <w:szCs w:val="24"/>
          <w:lang w:eastAsia="en-GB"/>
        </w:rPr>
        <w:t>Purpose(s) of the data transfer and further processing</w:t>
      </w:r>
    </w:p>
    <w:p w14:paraId="0DBC1FB4" w14:textId="77777777" w:rsidR="00F67E9E" w:rsidRPr="00102034" w:rsidRDefault="00F67E9E" w:rsidP="00F67E9E">
      <w:pPr>
        <w:pBdr>
          <w:top w:val="nil"/>
          <w:left w:val="nil"/>
          <w:bottom w:val="nil"/>
          <w:right w:val="nil"/>
          <w:between w:val="nil"/>
        </w:pBdr>
        <w:spacing w:before="240" w:after="240"/>
        <w:ind w:firstLine="1440"/>
        <w:rPr>
          <w:rFonts w:eastAsia="Arial" w:cs="Arial"/>
          <w:i/>
          <w:color w:val="000000"/>
          <w:szCs w:val="24"/>
          <w:lang w:eastAsia="en-GB"/>
        </w:rPr>
      </w:pPr>
      <w:bookmarkStart w:id="3341" w:name="bookmark=id.3drtnbb" w:colFirst="0" w:colLast="0"/>
      <w:bookmarkStart w:id="3342" w:name="bookmark=id.1sx3xj4" w:colFirst="0" w:colLast="0"/>
      <w:bookmarkEnd w:id="3341"/>
      <w:bookmarkEnd w:id="3342"/>
      <w:r w:rsidRPr="00102034">
        <w:rPr>
          <w:rFonts w:eastAsia="Arial" w:cs="Arial"/>
          <w:i/>
          <w:color w:val="000000"/>
          <w:szCs w:val="24"/>
          <w:lang w:eastAsia="en-GB"/>
        </w:rPr>
        <w:t>…</w:t>
      </w:r>
      <w:r>
        <w:rPr>
          <w:rFonts w:eastAsia="Arial" w:cs="Arial"/>
          <w:i/>
          <w:color w:val="000000"/>
          <w:szCs w:val="24"/>
          <w:lang w:eastAsia="en-GB"/>
        </w:rPr>
        <w:t>…………………………..</w:t>
      </w:r>
    </w:p>
    <w:p w14:paraId="05190779" w14:textId="77777777" w:rsidR="00F67E9E" w:rsidRPr="00102034" w:rsidRDefault="00F67E9E" w:rsidP="00F67E9E">
      <w:pPr>
        <w:pBdr>
          <w:top w:val="nil"/>
          <w:left w:val="nil"/>
          <w:bottom w:val="nil"/>
          <w:right w:val="nil"/>
          <w:between w:val="nil"/>
        </w:pBdr>
        <w:spacing w:before="240" w:after="240"/>
        <w:ind w:left="720"/>
        <w:rPr>
          <w:rFonts w:eastAsia="Arial" w:cs="Arial"/>
          <w:i/>
          <w:color w:val="000000"/>
          <w:szCs w:val="24"/>
          <w:lang w:eastAsia="en-GB"/>
        </w:rPr>
      </w:pPr>
      <w:r w:rsidRPr="00102034">
        <w:rPr>
          <w:rFonts w:eastAsia="Arial" w:cs="Arial"/>
          <w:i/>
          <w:color w:val="000000"/>
          <w:szCs w:val="24"/>
          <w:lang w:eastAsia="en-GB"/>
        </w:rPr>
        <w:t>The period for which the personal data will be retained, or, if that is not possible, the criteria used to determine that period</w:t>
      </w:r>
    </w:p>
    <w:p w14:paraId="2C406096" w14:textId="77777777" w:rsidR="00F67E9E" w:rsidRPr="00102034" w:rsidRDefault="00F67E9E" w:rsidP="00F67E9E">
      <w:pPr>
        <w:pBdr>
          <w:top w:val="nil"/>
          <w:left w:val="nil"/>
          <w:bottom w:val="nil"/>
          <w:right w:val="nil"/>
          <w:between w:val="nil"/>
        </w:pBdr>
        <w:spacing w:before="240" w:after="240"/>
        <w:ind w:firstLine="1440"/>
        <w:rPr>
          <w:rFonts w:eastAsia="Arial" w:cs="Arial"/>
          <w:i/>
          <w:color w:val="000000"/>
          <w:szCs w:val="24"/>
          <w:lang w:eastAsia="en-GB"/>
        </w:rPr>
      </w:pPr>
      <w:bookmarkStart w:id="3343" w:name="bookmark=id.4cwrg6x" w:colFirst="0" w:colLast="0"/>
      <w:bookmarkStart w:id="3344" w:name="bookmark=id.2s21qeq" w:colFirst="0" w:colLast="0"/>
      <w:bookmarkEnd w:id="3343"/>
      <w:bookmarkEnd w:id="3344"/>
      <w:r w:rsidRPr="00102034">
        <w:rPr>
          <w:rFonts w:eastAsia="Arial" w:cs="Arial"/>
          <w:i/>
          <w:color w:val="000000"/>
          <w:szCs w:val="24"/>
          <w:lang w:eastAsia="en-GB"/>
        </w:rPr>
        <w:t>…</w:t>
      </w:r>
      <w:r>
        <w:rPr>
          <w:rFonts w:eastAsia="Arial" w:cs="Arial"/>
          <w:i/>
          <w:color w:val="000000"/>
          <w:szCs w:val="24"/>
          <w:lang w:eastAsia="en-GB"/>
        </w:rPr>
        <w:t>…………………………..</w:t>
      </w:r>
    </w:p>
    <w:p w14:paraId="3CC613BD" w14:textId="77777777" w:rsidR="00F67E9E" w:rsidRPr="00102034" w:rsidRDefault="00F67E9E" w:rsidP="00F67E9E">
      <w:pPr>
        <w:pBdr>
          <w:top w:val="nil"/>
          <w:left w:val="nil"/>
          <w:bottom w:val="nil"/>
          <w:right w:val="nil"/>
          <w:between w:val="nil"/>
        </w:pBdr>
        <w:spacing w:before="240" w:after="240"/>
        <w:ind w:left="720"/>
        <w:rPr>
          <w:rFonts w:eastAsia="Arial" w:cs="Arial"/>
          <w:i/>
          <w:color w:val="000000"/>
          <w:szCs w:val="24"/>
          <w:lang w:eastAsia="en-GB"/>
        </w:rPr>
      </w:pPr>
      <w:r w:rsidRPr="00102034">
        <w:rPr>
          <w:rFonts w:eastAsia="Arial" w:cs="Arial"/>
          <w:i/>
          <w:color w:val="000000"/>
          <w:szCs w:val="24"/>
          <w:lang w:eastAsia="en-GB"/>
        </w:rPr>
        <w:t>For transfers to (sub-) processors, also specify subject matter, nature and duration of the processing</w:t>
      </w:r>
    </w:p>
    <w:p w14:paraId="15F00ACF" w14:textId="77777777" w:rsidR="00F67E9E" w:rsidRPr="00102034" w:rsidRDefault="00F67E9E" w:rsidP="00F67E9E">
      <w:pPr>
        <w:pBdr>
          <w:top w:val="nil"/>
          <w:left w:val="nil"/>
          <w:bottom w:val="nil"/>
          <w:right w:val="nil"/>
          <w:between w:val="nil"/>
        </w:pBdr>
        <w:spacing w:before="240" w:after="240"/>
        <w:ind w:firstLine="1440"/>
        <w:rPr>
          <w:rFonts w:eastAsia="Arial" w:cs="Arial"/>
          <w:i/>
          <w:color w:val="000000"/>
          <w:szCs w:val="24"/>
          <w:lang w:eastAsia="en-GB"/>
        </w:rPr>
      </w:pPr>
      <w:bookmarkStart w:id="3345" w:name="bookmark=id.177c0mj" w:colFirst="0" w:colLast="0"/>
      <w:bookmarkEnd w:id="3345"/>
      <w:r w:rsidRPr="00102034">
        <w:rPr>
          <w:rFonts w:eastAsia="Arial" w:cs="Arial"/>
          <w:i/>
          <w:color w:val="000000"/>
          <w:szCs w:val="24"/>
          <w:lang w:eastAsia="en-GB"/>
        </w:rPr>
        <w:t>…</w:t>
      </w:r>
      <w:r>
        <w:rPr>
          <w:rFonts w:eastAsia="Arial" w:cs="Arial"/>
          <w:i/>
          <w:color w:val="000000"/>
          <w:szCs w:val="24"/>
          <w:lang w:eastAsia="en-GB"/>
        </w:rPr>
        <w:t>…………………………..</w:t>
      </w:r>
    </w:p>
    <w:p w14:paraId="34DB762D" w14:textId="77777777" w:rsidR="00F67E9E" w:rsidRPr="00102034" w:rsidRDefault="00F67E9E" w:rsidP="00F67E9E">
      <w:pPr>
        <w:spacing w:after="200" w:line="276" w:lineRule="auto"/>
        <w:rPr>
          <w:rFonts w:ascii="Calibri" w:eastAsia="Calibri" w:hAnsi="Calibri" w:cs="Calibri"/>
          <w:sz w:val="22"/>
          <w:szCs w:val="22"/>
          <w:lang w:eastAsia="en-GB"/>
        </w:rPr>
      </w:pPr>
      <w:r w:rsidRPr="00102034">
        <w:rPr>
          <w:rFonts w:ascii="Calibri" w:eastAsia="Calibri" w:hAnsi="Calibri" w:cs="Calibri"/>
          <w:sz w:val="22"/>
          <w:szCs w:val="22"/>
          <w:lang w:eastAsia="en-GB"/>
        </w:rPr>
        <w:br w:type="page"/>
      </w:r>
    </w:p>
    <w:p w14:paraId="6251610E" w14:textId="77777777" w:rsidR="00F67E9E" w:rsidRPr="000F11A9" w:rsidRDefault="00F67E9E" w:rsidP="000F11A9">
      <w:pPr>
        <w:pStyle w:val="Heading2"/>
      </w:pPr>
      <w:bookmarkStart w:id="3346" w:name="_Toc141712005"/>
      <w:r w:rsidRPr="000F11A9">
        <w:t>Part B: Controller to Processor Standard Contractual Clauses</w:t>
      </w:r>
      <w:bookmarkEnd w:id="3346"/>
    </w:p>
    <w:p w14:paraId="67054594" w14:textId="77777777" w:rsidR="00F67E9E" w:rsidRPr="00102034" w:rsidRDefault="00F67E9E" w:rsidP="00F67E9E">
      <w:pPr>
        <w:pBdr>
          <w:top w:val="nil"/>
          <w:left w:val="nil"/>
          <w:bottom w:val="nil"/>
          <w:right w:val="nil"/>
          <w:between w:val="nil"/>
        </w:pBdr>
        <w:spacing w:before="120" w:after="240"/>
        <w:jc w:val="center"/>
        <w:rPr>
          <w:rFonts w:eastAsia="Arial" w:cs="Arial"/>
          <w:b/>
          <w:color w:val="000000"/>
          <w:szCs w:val="24"/>
          <w:lang w:eastAsia="en-GB"/>
        </w:rPr>
      </w:pPr>
      <w:r w:rsidRPr="00102034">
        <w:rPr>
          <w:rFonts w:eastAsia="Arial" w:cs="Arial"/>
          <w:b/>
          <w:color w:val="000000"/>
          <w:szCs w:val="24"/>
          <w:lang w:eastAsia="en-GB"/>
        </w:rPr>
        <w:t>Standard Contractual Clauses for Personal Data Transfers from an EU Controller to a Processor Established in a Third Country (Controller-to-Processor Transfers)</w:t>
      </w:r>
    </w:p>
    <w:p w14:paraId="504B2365" w14:textId="77777777" w:rsidR="00F67E9E" w:rsidRPr="00102034" w:rsidRDefault="00F67E9E" w:rsidP="00F67E9E">
      <w:pPr>
        <w:pBdr>
          <w:top w:val="nil"/>
          <w:left w:val="nil"/>
          <w:bottom w:val="nil"/>
          <w:right w:val="nil"/>
          <w:between w:val="nil"/>
        </w:pBdr>
        <w:spacing w:before="120"/>
        <w:jc w:val="center"/>
        <w:rPr>
          <w:rFonts w:eastAsia="Arial" w:cs="Arial"/>
          <w:b/>
          <w:color w:val="000000"/>
          <w:szCs w:val="24"/>
          <w:lang w:eastAsia="en-GB"/>
        </w:rPr>
      </w:pPr>
      <w:r w:rsidRPr="00102034">
        <w:rPr>
          <w:rFonts w:eastAsia="Arial" w:cs="Arial"/>
          <w:b/>
          <w:color w:val="000000"/>
          <w:szCs w:val="24"/>
          <w:lang w:eastAsia="en-GB"/>
        </w:rPr>
        <w:t>SECTION I</w:t>
      </w:r>
    </w:p>
    <w:p w14:paraId="6D99B15B" w14:textId="77777777" w:rsidR="00F67E9E" w:rsidRPr="00102034" w:rsidRDefault="00F67E9E" w:rsidP="00F67E9E">
      <w:pPr>
        <w:pBdr>
          <w:top w:val="nil"/>
          <w:left w:val="nil"/>
          <w:bottom w:val="nil"/>
          <w:right w:val="nil"/>
          <w:between w:val="nil"/>
        </w:pBdr>
        <w:spacing w:before="120"/>
        <w:jc w:val="center"/>
        <w:rPr>
          <w:rFonts w:eastAsia="Arial" w:cs="Arial"/>
          <w:b/>
          <w:color w:val="000000"/>
          <w:szCs w:val="24"/>
          <w:lang w:eastAsia="en-GB"/>
        </w:rPr>
      </w:pPr>
      <w:r w:rsidRPr="00102034">
        <w:rPr>
          <w:rFonts w:eastAsia="Arial" w:cs="Arial"/>
          <w:b/>
          <w:color w:val="000000"/>
          <w:szCs w:val="24"/>
          <w:lang w:eastAsia="en-GB"/>
        </w:rPr>
        <w:t>CLAUSE 1</w:t>
      </w:r>
    </w:p>
    <w:p w14:paraId="3C35DDD4" w14:textId="77777777" w:rsidR="00F67E9E" w:rsidRPr="00102034" w:rsidRDefault="00F67E9E" w:rsidP="00F67E9E">
      <w:pPr>
        <w:pBdr>
          <w:top w:val="nil"/>
          <w:left w:val="nil"/>
          <w:bottom w:val="nil"/>
          <w:right w:val="nil"/>
          <w:between w:val="nil"/>
        </w:pBdr>
        <w:spacing w:before="240" w:after="240"/>
        <w:rPr>
          <w:rFonts w:eastAsia="Arial" w:cs="Arial"/>
          <w:b/>
          <w:color w:val="000000"/>
          <w:szCs w:val="24"/>
          <w:lang w:eastAsia="en-GB"/>
        </w:rPr>
      </w:pPr>
      <w:r w:rsidRPr="00102034">
        <w:rPr>
          <w:rFonts w:eastAsia="Arial" w:cs="Arial"/>
          <w:b/>
          <w:color w:val="000000"/>
          <w:szCs w:val="24"/>
          <w:lang w:eastAsia="en-GB"/>
        </w:rPr>
        <w:t>Purpose and scope</w:t>
      </w:r>
    </w:p>
    <w:p w14:paraId="798BEBE6" w14:textId="77777777" w:rsidR="00F67E9E" w:rsidRPr="00102034" w:rsidRDefault="00F67E9E" w:rsidP="00F67E9E">
      <w:pPr>
        <w:numPr>
          <w:ilvl w:val="1"/>
          <w:numId w:val="29"/>
        </w:numPr>
        <w:pBdr>
          <w:top w:val="nil"/>
          <w:left w:val="nil"/>
          <w:bottom w:val="nil"/>
          <w:right w:val="nil"/>
          <w:between w:val="nil"/>
        </w:pBdr>
        <w:spacing w:before="120" w:after="240" w:line="276" w:lineRule="auto"/>
        <w:ind w:left="1440" w:hanging="720"/>
        <w:rPr>
          <w:rFonts w:eastAsia="Arial" w:cs="Arial"/>
          <w:color w:val="000000"/>
          <w:szCs w:val="24"/>
          <w:lang w:eastAsia="en-GB"/>
        </w:rPr>
      </w:pPr>
      <w:r w:rsidRPr="00102034">
        <w:rPr>
          <w:rFonts w:eastAsia="Arial" w:cs="Arial"/>
          <w:color w:val="000000"/>
          <w:szCs w:val="24"/>
          <w:lang w:eastAsia="en-GB"/>
        </w:rPr>
        <w:t>The purpose of these standard contractual clauses is to ensure compliance with the requirements of Regulation (EU) 2016/679 of the European Parliament and of the Council of 27 April 2016 on the protection of natural persons with regard to the processing of personal data and on the free movement of such data (General Data Protection Regulation)[</w:t>
      </w:r>
      <w:hyperlink w:anchor="bookmark=id.1qhz01q">
        <w:r w:rsidRPr="00102034">
          <w:rPr>
            <w:rFonts w:eastAsia="Arial" w:cs="Arial"/>
            <w:color w:val="0000FF"/>
            <w:szCs w:val="24"/>
            <w:u w:val="single"/>
            <w:lang w:eastAsia="en-GB"/>
          </w:rPr>
          <w:t>FN1</w:t>
        </w:r>
      </w:hyperlink>
      <w:r w:rsidRPr="00102034">
        <w:rPr>
          <w:rFonts w:eastAsia="Arial" w:cs="Arial"/>
          <w:color w:val="000000"/>
          <w:szCs w:val="24"/>
          <w:lang w:eastAsia="en-GB"/>
        </w:rPr>
        <w:t>] for the transfer of personal data to a third country.</w:t>
      </w:r>
    </w:p>
    <w:p w14:paraId="07E5C740" w14:textId="77777777" w:rsidR="00F67E9E" w:rsidRPr="00102034" w:rsidRDefault="00F67E9E" w:rsidP="00F67E9E">
      <w:pPr>
        <w:numPr>
          <w:ilvl w:val="1"/>
          <w:numId w:val="29"/>
        </w:numPr>
        <w:pBdr>
          <w:top w:val="nil"/>
          <w:left w:val="nil"/>
          <w:bottom w:val="nil"/>
          <w:right w:val="nil"/>
          <w:between w:val="nil"/>
        </w:pBdr>
        <w:spacing w:before="120" w:after="240" w:line="276" w:lineRule="auto"/>
        <w:ind w:left="1440" w:hanging="720"/>
        <w:rPr>
          <w:rFonts w:eastAsia="Arial" w:cs="Arial"/>
          <w:color w:val="000000"/>
          <w:szCs w:val="24"/>
          <w:lang w:eastAsia="en-GB"/>
        </w:rPr>
      </w:pPr>
      <w:bookmarkStart w:id="3347" w:name="bookmark=id.3r6zjac" w:colFirst="0" w:colLast="0"/>
      <w:bookmarkEnd w:id="3347"/>
      <w:r w:rsidRPr="00102034">
        <w:rPr>
          <w:rFonts w:eastAsia="Arial" w:cs="Arial"/>
          <w:color w:val="000000"/>
          <w:szCs w:val="24"/>
          <w:lang w:eastAsia="en-GB"/>
        </w:rPr>
        <w:t>The Parties:</w:t>
      </w:r>
    </w:p>
    <w:p w14:paraId="15199CEC" w14:textId="77777777" w:rsidR="00F67E9E" w:rsidRPr="00102034" w:rsidRDefault="00F67E9E" w:rsidP="00F67E9E">
      <w:pPr>
        <w:numPr>
          <w:ilvl w:val="2"/>
          <w:numId w:val="29"/>
        </w:numPr>
        <w:pBdr>
          <w:top w:val="nil"/>
          <w:left w:val="nil"/>
          <w:bottom w:val="nil"/>
          <w:right w:val="nil"/>
          <w:between w:val="nil"/>
        </w:pBdr>
        <w:spacing w:before="120" w:after="240" w:line="276" w:lineRule="auto"/>
        <w:ind w:left="2160" w:hanging="720"/>
        <w:rPr>
          <w:rFonts w:eastAsia="Arial" w:cs="Arial"/>
          <w:color w:val="000000"/>
          <w:szCs w:val="24"/>
          <w:lang w:eastAsia="en-GB"/>
        </w:rPr>
      </w:pPr>
      <w:r w:rsidRPr="00102034">
        <w:rPr>
          <w:rFonts w:eastAsia="Arial" w:cs="Arial"/>
          <w:color w:val="000000"/>
          <w:szCs w:val="24"/>
          <w:lang w:eastAsia="en-GB"/>
        </w:rPr>
        <w:t>the natural or legal person(s), public authority/ies, agency/ies or other body/ies (hereinafter 'entity/ies') transferring the personal data, as listed in Annex I.A (hereinafter each 'data exporter'), and</w:t>
      </w:r>
    </w:p>
    <w:p w14:paraId="12A5C5D4" w14:textId="77777777" w:rsidR="00F67E9E" w:rsidRPr="00102034" w:rsidRDefault="00F67E9E" w:rsidP="00F67E9E">
      <w:pPr>
        <w:numPr>
          <w:ilvl w:val="2"/>
          <w:numId w:val="29"/>
        </w:numPr>
        <w:pBdr>
          <w:top w:val="nil"/>
          <w:left w:val="nil"/>
          <w:bottom w:val="nil"/>
          <w:right w:val="nil"/>
          <w:between w:val="nil"/>
        </w:pBdr>
        <w:spacing w:before="120" w:after="240" w:line="276" w:lineRule="auto"/>
        <w:ind w:left="2160" w:hanging="720"/>
        <w:rPr>
          <w:rFonts w:eastAsia="Arial" w:cs="Arial"/>
          <w:color w:val="000000"/>
          <w:szCs w:val="24"/>
          <w:lang w:eastAsia="en-GB"/>
        </w:rPr>
      </w:pPr>
      <w:r w:rsidRPr="00102034">
        <w:rPr>
          <w:rFonts w:eastAsia="Arial" w:cs="Arial"/>
          <w:color w:val="000000"/>
          <w:szCs w:val="24"/>
          <w:lang w:eastAsia="en-GB"/>
        </w:rPr>
        <w:t>the entity/ies in a third country receiving the personal data from the data exporter, directly or indirectly via another entity also Party to these Clauses, as listed in Annex I.A (hereinafter each 'data importer')</w:t>
      </w:r>
    </w:p>
    <w:p w14:paraId="7CA3236A" w14:textId="77777777" w:rsidR="00F67E9E" w:rsidRPr="00102034" w:rsidRDefault="00F67E9E" w:rsidP="00F67E9E">
      <w:pPr>
        <w:pBdr>
          <w:top w:val="nil"/>
          <w:left w:val="nil"/>
          <w:bottom w:val="nil"/>
          <w:right w:val="nil"/>
          <w:between w:val="nil"/>
        </w:pBdr>
        <w:spacing w:before="120" w:after="240"/>
        <w:ind w:firstLine="1440"/>
        <w:rPr>
          <w:rFonts w:eastAsia="Arial" w:cs="Arial"/>
          <w:color w:val="000000"/>
          <w:szCs w:val="24"/>
          <w:lang w:eastAsia="en-GB"/>
        </w:rPr>
      </w:pPr>
      <w:r w:rsidRPr="00102034">
        <w:rPr>
          <w:rFonts w:eastAsia="Arial" w:cs="Arial"/>
          <w:color w:val="000000"/>
          <w:szCs w:val="24"/>
          <w:lang w:eastAsia="en-GB"/>
        </w:rPr>
        <w:t>have agreed to these standard contractual clauses (hereinafter: 'Clauses').</w:t>
      </w:r>
    </w:p>
    <w:p w14:paraId="19928BB4" w14:textId="77777777" w:rsidR="00F67E9E" w:rsidRPr="00102034" w:rsidRDefault="00F67E9E" w:rsidP="00F67E9E">
      <w:pPr>
        <w:numPr>
          <w:ilvl w:val="1"/>
          <w:numId w:val="29"/>
        </w:numPr>
        <w:pBdr>
          <w:top w:val="nil"/>
          <w:left w:val="nil"/>
          <w:bottom w:val="nil"/>
          <w:right w:val="nil"/>
          <w:between w:val="nil"/>
        </w:pBdr>
        <w:spacing w:before="120" w:after="240" w:line="276" w:lineRule="auto"/>
        <w:ind w:left="1440" w:hanging="720"/>
        <w:rPr>
          <w:rFonts w:eastAsia="Arial" w:cs="Arial"/>
          <w:color w:val="000000"/>
          <w:szCs w:val="24"/>
          <w:lang w:eastAsia="en-GB"/>
        </w:rPr>
      </w:pPr>
      <w:r w:rsidRPr="00102034">
        <w:rPr>
          <w:rFonts w:eastAsia="Arial" w:cs="Arial"/>
          <w:color w:val="000000"/>
          <w:szCs w:val="24"/>
          <w:lang w:eastAsia="en-GB"/>
        </w:rPr>
        <w:t>These Clauses apply with respect to the transfer of personal data as specified in Annex I.B.</w:t>
      </w:r>
    </w:p>
    <w:p w14:paraId="260624FA" w14:textId="61A25572" w:rsidR="00F67E9E" w:rsidRPr="00102034" w:rsidRDefault="00F67E9E" w:rsidP="00F67E9E">
      <w:pPr>
        <w:numPr>
          <w:ilvl w:val="1"/>
          <w:numId w:val="29"/>
        </w:numPr>
        <w:pBdr>
          <w:top w:val="nil"/>
          <w:left w:val="nil"/>
          <w:bottom w:val="nil"/>
          <w:right w:val="nil"/>
          <w:between w:val="nil"/>
        </w:pBdr>
        <w:spacing w:before="120" w:after="240" w:line="276" w:lineRule="auto"/>
        <w:ind w:left="1440" w:hanging="720"/>
        <w:rPr>
          <w:rFonts w:eastAsia="Arial" w:cs="Arial"/>
          <w:color w:val="000000"/>
          <w:szCs w:val="24"/>
          <w:lang w:eastAsia="en-GB"/>
        </w:rPr>
      </w:pPr>
      <w:r w:rsidRPr="00102034">
        <w:rPr>
          <w:rFonts w:eastAsia="Arial" w:cs="Arial"/>
          <w:color w:val="000000"/>
          <w:szCs w:val="24"/>
          <w:lang w:eastAsia="en-GB"/>
        </w:rPr>
        <w:t xml:space="preserve">The </w:t>
      </w:r>
      <w:r w:rsidRPr="00874B93">
        <w:rPr>
          <w:rFonts w:eastAsia="Arial" w:cs="Arial"/>
          <w:color w:val="000000"/>
        </w:rPr>
        <w:fldChar w:fldCharType="begin"/>
      </w:r>
      <w:r w:rsidRPr="00874B93">
        <w:rPr>
          <w:rFonts w:eastAsia="Arial" w:cs="Arial"/>
          <w:color w:val="000000"/>
        </w:rPr>
        <w:instrText xml:space="preserve"> REF  Schedule_31_PartB_Annex3_PartB_Appendix \* Caps \h  \* MERGEFORMAT </w:instrText>
      </w:r>
      <w:r w:rsidRPr="00874B93">
        <w:rPr>
          <w:rFonts w:eastAsia="Arial" w:cs="Arial"/>
          <w:color w:val="000000"/>
        </w:rPr>
      </w:r>
      <w:r w:rsidRPr="00874B93">
        <w:rPr>
          <w:rFonts w:eastAsia="Arial" w:cs="Arial"/>
          <w:color w:val="000000"/>
        </w:rPr>
        <w:fldChar w:fldCharType="separate"/>
      </w:r>
      <w:r w:rsidR="00302D39" w:rsidRPr="00302D39">
        <w:rPr>
          <w:rFonts w:eastAsia="Arial" w:cs="Arial"/>
          <w:color w:val="000000"/>
          <w:szCs w:val="24"/>
          <w:lang w:eastAsia="en-GB"/>
        </w:rPr>
        <w:t>Appendix</w:t>
      </w:r>
      <w:r w:rsidRPr="00874B93">
        <w:rPr>
          <w:rFonts w:eastAsia="Arial" w:cs="Arial"/>
          <w:color w:val="000000"/>
        </w:rPr>
        <w:fldChar w:fldCharType="end"/>
      </w:r>
      <w:r>
        <w:rPr>
          <w:rFonts w:eastAsia="Arial" w:cs="Arial"/>
          <w:color w:val="000000"/>
        </w:rPr>
        <w:t xml:space="preserve"> </w:t>
      </w:r>
      <w:r w:rsidRPr="00102034">
        <w:rPr>
          <w:rFonts w:eastAsia="Arial" w:cs="Arial"/>
          <w:color w:val="000000"/>
          <w:szCs w:val="24"/>
          <w:lang w:eastAsia="en-GB"/>
        </w:rPr>
        <w:t>to these Clauses containing the Annexes referred to therein forms an integral part of these Clauses.</w:t>
      </w:r>
    </w:p>
    <w:p w14:paraId="54C54138" w14:textId="77777777" w:rsidR="00F67E9E" w:rsidRPr="00102034" w:rsidRDefault="00F67E9E" w:rsidP="00F67E9E">
      <w:pPr>
        <w:pBdr>
          <w:top w:val="nil"/>
          <w:left w:val="nil"/>
          <w:bottom w:val="nil"/>
          <w:right w:val="nil"/>
          <w:between w:val="nil"/>
        </w:pBdr>
        <w:spacing w:before="120"/>
        <w:jc w:val="center"/>
        <w:rPr>
          <w:rFonts w:eastAsia="Arial" w:cs="Arial"/>
          <w:b/>
          <w:color w:val="000000"/>
          <w:szCs w:val="24"/>
          <w:lang w:eastAsia="en-GB"/>
        </w:rPr>
      </w:pPr>
      <w:r w:rsidRPr="00102034">
        <w:rPr>
          <w:rFonts w:eastAsia="Arial" w:cs="Arial"/>
          <w:b/>
          <w:color w:val="000000"/>
          <w:szCs w:val="24"/>
          <w:lang w:eastAsia="en-GB"/>
        </w:rPr>
        <w:t>CLAUSE 2</w:t>
      </w:r>
    </w:p>
    <w:p w14:paraId="2E63D63D" w14:textId="77777777" w:rsidR="00F67E9E" w:rsidRPr="00102034" w:rsidRDefault="00F67E9E" w:rsidP="00F67E9E">
      <w:pPr>
        <w:pBdr>
          <w:top w:val="nil"/>
          <w:left w:val="nil"/>
          <w:bottom w:val="nil"/>
          <w:right w:val="nil"/>
          <w:between w:val="nil"/>
        </w:pBdr>
        <w:spacing w:before="240" w:after="240"/>
        <w:rPr>
          <w:rFonts w:eastAsia="Arial" w:cs="Arial"/>
          <w:b/>
          <w:color w:val="000000"/>
          <w:szCs w:val="24"/>
          <w:lang w:eastAsia="en-GB"/>
        </w:rPr>
      </w:pPr>
      <w:r w:rsidRPr="00102034">
        <w:rPr>
          <w:rFonts w:eastAsia="Arial" w:cs="Arial"/>
          <w:b/>
          <w:color w:val="000000"/>
          <w:szCs w:val="24"/>
          <w:lang w:eastAsia="en-GB"/>
        </w:rPr>
        <w:t>Effect and invariability of the Clauses</w:t>
      </w:r>
    </w:p>
    <w:p w14:paraId="471EB448" w14:textId="3E82CDDD" w:rsidR="00F67E9E" w:rsidRPr="00102034" w:rsidRDefault="00F67E9E" w:rsidP="00F67E9E">
      <w:pPr>
        <w:numPr>
          <w:ilvl w:val="1"/>
          <w:numId w:val="235"/>
        </w:numPr>
        <w:pBdr>
          <w:top w:val="nil"/>
          <w:left w:val="nil"/>
          <w:bottom w:val="nil"/>
          <w:right w:val="nil"/>
          <w:between w:val="nil"/>
        </w:pBdr>
        <w:spacing w:before="120" w:after="240" w:line="276" w:lineRule="auto"/>
        <w:ind w:left="1440" w:hanging="720"/>
        <w:rPr>
          <w:rFonts w:eastAsia="Arial" w:cs="Arial"/>
          <w:color w:val="000000"/>
          <w:szCs w:val="24"/>
          <w:lang w:eastAsia="en-GB"/>
        </w:rPr>
      </w:pPr>
      <w:r w:rsidRPr="00102034">
        <w:rPr>
          <w:rFonts w:eastAsia="Arial" w:cs="Arial"/>
          <w:color w:val="000000"/>
          <w:szCs w:val="24"/>
          <w:lang w:eastAsia="en-GB"/>
        </w:rPr>
        <w:t xml:space="preserve">These Clauses set out appropriate safeguards, including enforceable data subject rights and effective legal remedies, pursuant to Article 46(1) and Article 46(2)(c) of Regulation (EU) 2016/679 and, with respect to data transfers from controllers to processors and/or processors to processors, standard contractual clauses pursuant to Article 28(7) of Regulation (EU) 2016/679, provided they are not modified, except to select the appropriate Module(s) or to add or update information in the </w:t>
      </w:r>
      <w:r w:rsidRPr="00874B93">
        <w:rPr>
          <w:rFonts w:eastAsia="Arial" w:cs="Arial"/>
          <w:color w:val="000000"/>
        </w:rPr>
        <w:fldChar w:fldCharType="begin"/>
      </w:r>
      <w:r w:rsidRPr="00874B93">
        <w:rPr>
          <w:rFonts w:eastAsia="Arial" w:cs="Arial"/>
          <w:color w:val="000000"/>
        </w:rPr>
        <w:instrText xml:space="preserve"> REF  Schedule_31_PartB_Annex3_PartB_Appendix \* Caps \h  \* MERGEFORMAT </w:instrText>
      </w:r>
      <w:r w:rsidRPr="00874B93">
        <w:rPr>
          <w:rFonts w:eastAsia="Arial" w:cs="Arial"/>
          <w:color w:val="000000"/>
        </w:rPr>
      </w:r>
      <w:r w:rsidRPr="00874B93">
        <w:rPr>
          <w:rFonts w:eastAsia="Arial" w:cs="Arial"/>
          <w:color w:val="000000"/>
        </w:rPr>
        <w:fldChar w:fldCharType="separate"/>
      </w:r>
      <w:r w:rsidR="00302D39" w:rsidRPr="00302D39">
        <w:rPr>
          <w:rFonts w:eastAsia="Arial" w:cs="Arial"/>
          <w:color w:val="000000"/>
          <w:szCs w:val="24"/>
          <w:lang w:eastAsia="en-GB"/>
        </w:rPr>
        <w:t>Appendix</w:t>
      </w:r>
      <w:r w:rsidRPr="00874B93">
        <w:rPr>
          <w:rFonts w:eastAsia="Arial" w:cs="Arial"/>
          <w:color w:val="000000"/>
        </w:rPr>
        <w:fldChar w:fldCharType="end"/>
      </w:r>
      <w:r w:rsidRPr="00102034">
        <w:rPr>
          <w:rFonts w:eastAsia="Arial" w:cs="Arial"/>
          <w:color w:val="000000"/>
          <w:szCs w:val="24"/>
          <w:lang w:eastAsia="en-GB"/>
        </w:rPr>
        <w:t>. This does not prevent the Parties from including the standard contractual clauses laid down in these Clauses in a wider contract and/or to add other clauses or additional safeguards, provided that they do not contradict, directly or indirectly, these Clauses or prejudice the fundamental rights or freedoms of data subjects.</w:t>
      </w:r>
    </w:p>
    <w:p w14:paraId="7FF70AFD" w14:textId="77777777" w:rsidR="00F67E9E" w:rsidRPr="00102034" w:rsidRDefault="00F67E9E" w:rsidP="00F67E9E">
      <w:pPr>
        <w:numPr>
          <w:ilvl w:val="1"/>
          <w:numId w:val="235"/>
        </w:numPr>
        <w:pBdr>
          <w:top w:val="nil"/>
          <w:left w:val="nil"/>
          <w:bottom w:val="nil"/>
          <w:right w:val="nil"/>
          <w:between w:val="nil"/>
        </w:pBdr>
        <w:spacing w:before="120" w:after="240" w:line="276" w:lineRule="auto"/>
        <w:ind w:left="1440" w:hanging="720"/>
        <w:rPr>
          <w:rFonts w:eastAsia="Arial" w:cs="Arial"/>
          <w:color w:val="000000"/>
          <w:szCs w:val="24"/>
          <w:lang w:eastAsia="en-GB"/>
        </w:rPr>
      </w:pPr>
      <w:r w:rsidRPr="00102034">
        <w:rPr>
          <w:rFonts w:eastAsia="Arial" w:cs="Arial"/>
          <w:color w:val="000000"/>
          <w:szCs w:val="24"/>
          <w:lang w:eastAsia="en-GB"/>
        </w:rPr>
        <w:t>These Clauses are without prejudice to obligations to which the data exporter is subject by virtue of Regulation (EU) 2016/679.</w:t>
      </w:r>
    </w:p>
    <w:p w14:paraId="436D8E23" w14:textId="77777777" w:rsidR="00F67E9E" w:rsidRPr="00102034" w:rsidRDefault="00F67E9E" w:rsidP="00F67E9E">
      <w:pPr>
        <w:pBdr>
          <w:top w:val="nil"/>
          <w:left w:val="nil"/>
          <w:bottom w:val="nil"/>
          <w:right w:val="nil"/>
          <w:between w:val="nil"/>
        </w:pBdr>
        <w:spacing w:before="120"/>
        <w:jc w:val="center"/>
        <w:rPr>
          <w:rFonts w:eastAsia="Arial" w:cs="Arial"/>
          <w:b/>
          <w:color w:val="000000"/>
          <w:szCs w:val="24"/>
          <w:lang w:eastAsia="en-GB"/>
        </w:rPr>
      </w:pPr>
      <w:r w:rsidRPr="00102034">
        <w:rPr>
          <w:rFonts w:eastAsia="Arial" w:cs="Arial"/>
          <w:b/>
          <w:color w:val="000000"/>
          <w:szCs w:val="24"/>
          <w:lang w:eastAsia="en-GB"/>
        </w:rPr>
        <w:t>CLAUSE 3</w:t>
      </w:r>
    </w:p>
    <w:p w14:paraId="5CF2A2DD" w14:textId="77777777" w:rsidR="00F67E9E" w:rsidRPr="00102034" w:rsidRDefault="00F67E9E" w:rsidP="00F67E9E">
      <w:pPr>
        <w:pBdr>
          <w:top w:val="nil"/>
          <w:left w:val="nil"/>
          <w:bottom w:val="nil"/>
          <w:right w:val="nil"/>
          <w:between w:val="nil"/>
        </w:pBdr>
        <w:spacing w:before="240" w:after="240"/>
        <w:rPr>
          <w:rFonts w:eastAsia="Arial" w:cs="Arial"/>
          <w:b/>
          <w:color w:val="000000"/>
          <w:szCs w:val="24"/>
          <w:lang w:eastAsia="en-GB"/>
        </w:rPr>
      </w:pPr>
      <w:r w:rsidRPr="00102034">
        <w:rPr>
          <w:rFonts w:eastAsia="Arial" w:cs="Arial"/>
          <w:b/>
          <w:color w:val="000000"/>
          <w:szCs w:val="24"/>
          <w:lang w:eastAsia="en-GB"/>
        </w:rPr>
        <w:t>Third-party beneficiaries</w:t>
      </w:r>
    </w:p>
    <w:p w14:paraId="635EE36E" w14:textId="77777777" w:rsidR="00F67E9E" w:rsidRPr="00102034" w:rsidRDefault="00F67E9E" w:rsidP="00F67E9E">
      <w:pPr>
        <w:numPr>
          <w:ilvl w:val="1"/>
          <w:numId w:val="236"/>
        </w:numPr>
        <w:pBdr>
          <w:top w:val="nil"/>
          <w:left w:val="nil"/>
          <w:bottom w:val="nil"/>
          <w:right w:val="nil"/>
          <w:between w:val="nil"/>
        </w:pBdr>
        <w:spacing w:before="120" w:after="240" w:line="276" w:lineRule="auto"/>
        <w:ind w:left="1440" w:hanging="720"/>
        <w:rPr>
          <w:rFonts w:eastAsia="Arial" w:cs="Arial"/>
          <w:color w:val="000000"/>
          <w:szCs w:val="24"/>
          <w:lang w:eastAsia="en-GB"/>
        </w:rPr>
      </w:pPr>
      <w:bookmarkStart w:id="3348" w:name="_heading=h.26c9ti5" w:colFirst="0" w:colLast="0"/>
      <w:bookmarkStart w:id="3349" w:name="_Ref141248278"/>
      <w:bookmarkEnd w:id="3348"/>
      <w:r w:rsidRPr="00102034">
        <w:rPr>
          <w:rFonts w:eastAsia="Arial" w:cs="Arial"/>
          <w:color w:val="000000"/>
          <w:szCs w:val="24"/>
          <w:lang w:eastAsia="en-GB"/>
        </w:rPr>
        <w:t>Data subjects may invoke and enforce these Clauses, as third-party beneficiaries, against the data exporter and/or data importer, with the following exceptions:</w:t>
      </w:r>
      <w:bookmarkEnd w:id="3349"/>
    </w:p>
    <w:p w14:paraId="4A47E96C" w14:textId="77777777" w:rsidR="00F67E9E" w:rsidRPr="00102034" w:rsidRDefault="00F67E9E" w:rsidP="00F67E9E">
      <w:pPr>
        <w:numPr>
          <w:ilvl w:val="2"/>
          <w:numId w:val="29"/>
        </w:numPr>
        <w:pBdr>
          <w:top w:val="nil"/>
          <w:left w:val="nil"/>
          <w:bottom w:val="nil"/>
          <w:right w:val="nil"/>
          <w:between w:val="nil"/>
        </w:pBdr>
        <w:spacing w:before="120" w:after="240" w:line="276" w:lineRule="auto"/>
        <w:ind w:left="2160" w:hanging="720"/>
        <w:rPr>
          <w:rFonts w:eastAsia="Arial" w:cs="Arial"/>
          <w:color w:val="000000"/>
          <w:szCs w:val="24"/>
          <w:lang w:eastAsia="en-GB"/>
        </w:rPr>
      </w:pPr>
      <w:r w:rsidRPr="00102034">
        <w:rPr>
          <w:rFonts w:eastAsia="Arial" w:cs="Arial"/>
          <w:color w:val="000000"/>
          <w:szCs w:val="24"/>
          <w:lang w:eastAsia="en-GB"/>
        </w:rPr>
        <w:t xml:space="preserve">Clause 1, Clause 2, Clause 3, Clause 6, Clause 7; </w:t>
      </w:r>
    </w:p>
    <w:p w14:paraId="43D2B4BE" w14:textId="77777777" w:rsidR="00F67E9E" w:rsidRPr="00102034" w:rsidRDefault="00F67E9E" w:rsidP="00F67E9E">
      <w:pPr>
        <w:numPr>
          <w:ilvl w:val="2"/>
          <w:numId w:val="29"/>
        </w:numPr>
        <w:pBdr>
          <w:top w:val="nil"/>
          <w:left w:val="nil"/>
          <w:bottom w:val="nil"/>
          <w:right w:val="nil"/>
          <w:between w:val="nil"/>
        </w:pBdr>
        <w:spacing w:before="120" w:after="240" w:line="276" w:lineRule="auto"/>
        <w:ind w:left="2160" w:hanging="720"/>
        <w:rPr>
          <w:rFonts w:eastAsia="Arial" w:cs="Arial"/>
          <w:color w:val="000000"/>
          <w:szCs w:val="24"/>
          <w:lang w:eastAsia="en-GB"/>
        </w:rPr>
      </w:pPr>
      <w:r w:rsidRPr="00102034">
        <w:rPr>
          <w:rFonts w:eastAsia="Arial" w:cs="Arial"/>
          <w:color w:val="000000"/>
          <w:szCs w:val="24"/>
          <w:lang w:eastAsia="en-GB"/>
        </w:rPr>
        <w:t>Clause 8 – Module One: Clause 8.5 (e) and Clause 8.9(b); Module Two: Clause 8.1(b), 8.9(a), (c), (d) and (e); Module Three: Clause 8.1(a), (c) and (d) and Clause 8.9(a), (c), (d), (e), (f) and (g); Module Four: Clause 8.1 (b) and Clause 8.3(b);</w:t>
      </w:r>
    </w:p>
    <w:p w14:paraId="056CB511" w14:textId="77777777" w:rsidR="00F67E9E" w:rsidRPr="00102034" w:rsidRDefault="00F67E9E" w:rsidP="00F67E9E">
      <w:pPr>
        <w:numPr>
          <w:ilvl w:val="2"/>
          <w:numId w:val="29"/>
        </w:numPr>
        <w:pBdr>
          <w:top w:val="nil"/>
          <w:left w:val="nil"/>
          <w:bottom w:val="nil"/>
          <w:right w:val="nil"/>
          <w:between w:val="nil"/>
        </w:pBdr>
        <w:spacing w:before="120" w:after="240" w:line="276" w:lineRule="auto"/>
        <w:ind w:left="2160" w:hanging="720"/>
        <w:rPr>
          <w:rFonts w:eastAsia="Arial" w:cs="Arial"/>
          <w:color w:val="000000"/>
          <w:szCs w:val="24"/>
          <w:lang w:eastAsia="en-GB"/>
        </w:rPr>
      </w:pPr>
      <w:r w:rsidRPr="00102034">
        <w:rPr>
          <w:rFonts w:eastAsia="Arial" w:cs="Arial"/>
          <w:color w:val="000000"/>
          <w:szCs w:val="24"/>
          <w:lang w:eastAsia="en-GB"/>
        </w:rPr>
        <w:t>Clause 9 – Module Two: Clause 9(a), (c), (d) and (e); Module Three: Clause 9(a), (c), (d) and (e);</w:t>
      </w:r>
    </w:p>
    <w:p w14:paraId="366B1110" w14:textId="77777777" w:rsidR="00F67E9E" w:rsidRPr="00102034" w:rsidRDefault="00F67E9E" w:rsidP="00F67E9E">
      <w:pPr>
        <w:numPr>
          <w:ilvl w:val="2"/>
          <w:numId w:val="29"/>
        </w:numPr>
        <w:pBdr>
          <w:top w:val="nil"/>
          <w:left w:val="nil"/>
          <w:bottom w:val="nil"/>
          <w:right w:val="nil"/>
          <w:between w:val="nil"/>
        </w:pBdr>
        <w:spacing w:before="120" w:after="240" w:line="276" w:lineRule="auto"/>
        <w:ind w:left="2160" w:hanging="720"/>
        <w:rPr>
          <w:rFonts w:eastAsia="Arial" w:cs="Arial"/>
          <w:color w:val="000000"/>
          <w:szCs w:val="24"/>
          <w:lang w:eastAsia="en-GB"/>
        </w:rPr>
      </w:pPr>
      <w:r w:rsidRPr="00102034">
        <w:rPr>
          <w:rFonts w:eastAsia="Arial" w:cs="Arial"/>
          <w:color w:val="000000"/>
          <w:szCs w:val="24"/>
          <w:lang w:eastAsia="en-GB"/>
        </w:rPr>
        <w:t>Clause 12 – Module One: Clause 12(a) and (d); Modules Two and Three: Clause 12(a), (d) and (f);</w:t>
      </w:r>
    </w:p>
    <w:p w14:paraId="447A5C04" w14:textId="77777777" w:rsidR="00F67E9E" w:rsidRPr="00102034" w:rsidRDefault="00F67E9E" w:rsidP="00F67E9E">
      <w:pPr>
        <w:numPr>
          <w:ilvl w:val="2"/>
          <w:numId w:val="29"/>
        </w:numPr>
        <w:pBdr>
          <w:top w:val="nil"/>
          <w:left w:val="nil"/>
          <w:bottom w:val="nil"/>
          <w:right w:val="nil"/>
          <w:between w:val="nil"/>
        </w:pBdr>
        <w:spacing w:before="120" w:after="240" w:line="276" w:lineRule="auto"/>
        <w:ind w:left="2160" w:hanging="720"/>
        <w:rPr>
          <w:rFonts w:eastAsia="Arial" w:cs="Arial"/>
          <w:color w:val="000000"/>
          <w:szCs w:val="24"/>
          <w:lang w:eastAsia="en-GB"/>
        </w:rPr>
      </w:pPr>
      <w:r w:rsidRPr="00102034">
        <w:rPr>
          <w:rFonts w:eastAsia="Arial" w:cs="Arial"/>
          <w:color w:val="000000"/>
          <w:szCs w:val="24"/>
          <w:lang w:eastAsia="en-GB"/>
        </w:rPr>
        <w:t>Clause 13;</w:t>
      </w:r>
    </w:p>
    <w:p w14:paraId="2528F10D" w14:textId="77777777" w:rsidR="00F67E9E" w:rsidRPr="00102034" w:rsidRDefault="00F67E9E" w:rsidP="00F67E9E">
      <w:pPr>
        <w:numPr>
          <w:ilvl w:val="2"/>
          <w:numId w:val="29"/>
        </w:numPr>
        <w:pBdr>
          <w:top w:val="nil"/>
          <w:left w:val="nil"/>
          <w:bottom w:val="nil"/>
          <w:right w:val="nil"/>
          <w:between w:val="nil"/>
        </w:pBdr>
        <w:spacing w:before="120" w:after="240" w:line="276" w:lineRule="auto"/>
        <w:ind w:left="2160" w:hanging="720"/>
        <w:rPr>
          <w:rFonts w:eastAsia="Arial" w:cs="Arial"/>
          <w:color w:val="000000"/>
          <w:szCs w:val="24"/>
          <w:lang w:eastAsia="en-GB"/>
        </w:rPr>
      </w:pPr>
      <w:r w:rsidRPr="00102034">
        <w:rPr>
          <w:rFonts w:eastAsia="Arial" w:cs="Arial"/>
          <w:color w:val="000000"/>
          <w:szCs w:val="24"/>
          <w:lang w:eastAsia="en-GB"/>
        </w:rPr>
        <w:t>Clause 15.1(c), (d) and (e);</w:t>
      </w:r>
    </w:p>
    <w:p w14:paraId="2EB45345" w14:textId="77777777" w:rsidR="00F67E9E" w:rsidRPr="00102034" w:rsidRDefault="00F67E9E" w:rsidP="00F67E9E">
      <w:pPr>
        <w:numPr>
          <w:ilvl w:val="2"/>
          <w:numId w:val="29"/>
        </w:numPr>
        <w:pBdr>
          <w:top w:val="nil"/>
          <w:left w:val="nil"/>
          <w:bottom w:val="nil"/>
          <w:right w:val="nil"/>
          <w:between w:val="nil"/>
        </w:pBdr>
        <w:spacing w:before="120" w:after="240" w:line="276" w:lineRule="auto"/>
        <w:ind w:left="2160" w:hanging="720"/>
        <w:rPr>
          <w:rFonts w:eastAsia="Arial" w:cs="Arial"/>
          <w:color w:val="000000"/>
          <w:szCs w:val="24"/>
          <w:lang w:eastAsia="en-GB"/>
        </w:rPr>
      </w:pPr>
      <w:r w:rsidRPr="00102034">
        <w:rPr>
          <w:rFonts w:eastAsia="Arial" w:cs="Arial"/>
          <w:color w:val="000000"/>
          <w:szCs w:val="24"/>
          <w:lang w:eastAsia="en-GB"/>
        </w:rPr>
        <w:t>Clause 16(e);</w:t>
      </w:r>
    </w:p>
    <w:p w14:paraId="56EB45D9" w14:textId="77777777" w:rsidR="00F67E9E" w:rsidRPr="00102034" w:rsidRDefault="00F67E9E" w:rsidP="00F67E9E">
      <w:pPr>
        <w:numPr>
          <w:ilvl w:val="2"/>
          <w:numId w:val="29"/>
        </w:numPr>
        <w:pBdr>
          <w:top w:val="nil"/>
          <w:left w:val="nil"/>
          <w:bottom w:val="nil"/>
          <w:right w:val="nil"/>
          <w:between w:val="nil"/>
        </w:pBdr>
        <w:spacing w:before="120" w:after="240" w:line="276" w:lineRule="auto"/>
        <w:ind w:left="2160" w:hanging="720"/>
        <w:rPr>
          <w:rFonts w:eastAsia="Arial" w:cs="Arial"/>
          <w:color w:val="000000"/>
          <w:szCs w:val="24"/>
          <w:lang w:eastAsia="en-GB"/>
        </w:rPr>
      </w:pPr>
      <w:r w:rsidRPr="00102034">
        <w:rPr>
          <w:rFonts w:eastAsia="Arial" w:cs="Arial"/>
          <w:color w:val="000000"/>
          <w:szCs w:val="24"/>
          <w:lang w:eastAsia="en-GB"/>
        </w:rPr>
        <w:t>Clause 18 – Modules One, Two and Three: Clause 18(a) and (b); Module Four: Clause 18.</w:t>
      </w:r>
    </w:p>
    <w:p w14:paraId="1AE37020" w14:textId="636A8F48" w:rsidR="00F67E9E" w:rsidRPr="00102034" w:rsidRDefault="00F67E9E" w:rsidP="00F67E9E">
      <w:pPr>
        <w:numPr>
          <w:ilvl w:val="1"/>
          <w:numId w:val="236"/>
        </w:numPr>
        <w:pBdr>
          <w:top w:val="nil"/>
          <w:left w:val="nil"/>
          <w:bottom w:val="nil"/>
          <w:right w:val="nil"/>
          <w:between w:val="nil"/>
        </w:pBdr>
        <w:spacing w:before="120" w:after="240" w:line="276" w:lineRule="auto"/>
        <w:ind w:left="1440" w:hanging="720"/>
        <w:rPr>
          <w:rFonts w:eastAsia="Arial" w:cs="Arial"/>
          <w:color w:val="000000"/>
          <w:szCs w:val="24"/>
          <w:lang w:eastAsia="en-GB"/>
        </w:rPr>
      </w:pPr>
      <w:r w:rsidRPr="00102034">
        <w:rPr>
          <w:rFonts w:eastAsia="Arial" w:cs="Arial"/>
          <w:color w:val="000000"/>
          <w:szCs w:val="24"/>
          <w:lang w:eastAsia="en-GB"/>
        </w:rPr>
        <w:t>Paragraph ‎</w:t>
      </w:r>
      <w:r>
        <w:rPr>
          <w:rFonts w:eastAsia="Arial" w:cs="Arial"/>
          <w:color w:val="000000"/>
          <w:szCs w:val="24"/>
          <w:lang w:eastAsia="en-GB"/>
        </w:rPr>
        <w:fldChar w:fldCharType="begin"/>
      </w:r>
      <w:r>
        <w:rPr>
          <w:rFonts w:eastAsia="Arial" w:cs="Arial"/>
          <w:color w:val="000000"/>
          <w:szCs w:val="24"/>
          <w:lang w:eastAsia="en-GB"/>
        </w:rPr>
        <w:instrText xml:space="preserve"> REF _Ref141248278 \n \h </w:instrText>
      </w:r>
      <w:r>
        <w:rPr>
          <w:rFonts w:eastAsia="Arial" w:cs="Arial"/>
          <w:color w:val="000000"/>
          <w:szCs w:val="24"/>
          <w:lang w:eastAsia="en-GB"/>
        </w:rPr>
      </w:r>
      <w:r>
        <w:rPr>
          <w:rFonts w:eastAsia="Arial" w:cs="Arial"/>
          <w:color w:val="000000"/>
          <w:szCs w:val="24"/>
          <w:lang w:eastAsia="en-GB"/>
        </w:rPr>
        <w:fldChar w:fldCharType="separate"/>
      </w:r>
      <w:r w:rsidR="00302D39">
        <w:rPr>
          <w:rFonts w:eastAsia="Arial" w:cs="Arial"/>
          <w:color w:val="000000"/>
          <w:szCs w:val="24"/>
          <w:lang w:eastAsia="en-GB"/>
        </w:rPr>
        <w:t>(a)</w:t>
      </w:r>
      <w:r>
        <w:rPr>
          <w:rFonts w:eastAsia="Arial" w:cs="Arial"/>
          <w:color w:val="000000"/>
          <w:szCs w:val="24"/>
          <w:lang w:eastAsia="en-GB"/>
        </w:rPr>
        <w:fldChar w:fldCharType="end"/>
      </w:r>
      <w:r w:rsidRPr="00102034">
        <w:rPr>
          <w:rFonts w:eastAsia="Arial" w:cs="Arial"/>
          <w:color w:val="000000"/>
          <w:szCs w:val="24"/>
          <w:lang w:eastAsia="en-GB"/>
        </w:rPr>
        <w:t xml:space="preserve"> is without prejudice to rights of data subjects under Regulation (EU) 2016/679. </w:t>
      </w:r>
    </w:p>
    <w:p w14:paraId="22512A62" w14:textId="77777777" w:rsidR="00F67E9E" w:rsidRPr="00102034" w:rsidRDefault="00F67E9E" w:rsidP="00F67E9E">
      <w:pPr>
        <w:pBdr>
          <w:top w:val="nil"/>
          <w:left w:val="nil"/>
          <w:bottom w:val="nil"/>
          <w:right w:val="nil"/>
          <w:between w:val="nil"/>
        </w:pBdr>
        <w:spacing w:before="120"/>
        <w:jc w:val="center"/>
        <w:rPr>
          <w:rFonts w:eastAsia="Arial" w:cs="Arial"/>
          <w:b/>
          <w:color w:val="000000"/>
          <w:szCs w:val="24"/>
          <w:lang w:eastAsia="en-GB"/>
        </w:rPr>
      </w:pPr>
      <w:r w:rsidRPr="00102034">
        <w:rPr>
          <w:rFonts w:eastAsia="Arial" w:cs="Arial"/>
          <w:b/>
          <w:color w:val="000000"/>
          <w:szCs w:val="24"/>
          <w:lang w:eastAsia="en-GB"/>
        </w:rPr>
        <w:t>CLAUSE 4</w:t>
      </w:r>
    </w:p>
    <w:p w14:paraId="1ED3B244" w14:textId="77777777" w:rsidR="00F67E9E" w:rsidRPr="00102034" w:rsidRDefault="00F67E9E" w:rsidP="00F67E9E">
      <w:pPr>
        <w:pBdr>
          <w:top w:val="nil"/>
          <w:left w:val="nil"/>
          <w:bottom w:val="nil"/>
          <w:right w:val="nil"/>
          <w:between w:val="nil"/>
        </w:pBdr>
        <w:spacing w:before="240" w:after="240"/>
        <w:rPr>
          <w:rFonts w:eastAsia="Arial" w:cs="Arial"/>
          <w:b/>
          <w:color w:val="000000"/>
          <w:szCs w:val="24"/>
          <w:lang w:eastAsia="en-GB"/>
        </w:rPr>
      </w:pPr>
      <w:r w:rsidRPr="00102034">
        <w:rPr>
          <w:rFonts w:eastAsia="Arial" w:cs="Arial"/>
          <w:b/>
          <w:color w:val="000000"/>
          <w:szCs w:val="24"/>
          <w:lang w:eastAsia="en-GB"/>
        </w:rPr>
        <w:t>Interpretation</w:t>
      </w:r>
    </w:p>
    <w:p w14:paraId="3A6AAB2D" w14:textId="77777777" w:rsidR="00F67E9E" w:rsidRPr="00102034" w:rsidRDefault="00F67E9E" w:rsidP="00F67E9E">
      <w:pPr>
        <w:numPr>
          <w:ilvl w:val="1"/>
          <w:numId w:val="237"/>
        </w:numPr>
        <w:pBdr>
          <w:top w:val="nil"/>
          <w:left w:val="nil"/>
          <w:bottom w:val="nil"/>
          <w:right w:val="nil"/>
          <w:between w:val="nil"/>
        </w:pBdr>
        <w:spacing w:before="120" w:after="240" w:line="276" w:lineRule="auto"/>
        <w:ind w:left="1440" w:hanging="720"/>
        <w:rPr>
          <w:rFonts w:eastAsia="Arial" w:cs="Arial"/>
          <w:color w:val="000000"/>
          <w:szCs w:val="24"/>
          <w:lang w:eastAsia="en-GB"/>
        </w:rPr>
      </w:pPr>
      <w:r w:rsidRPr="00102034">
        <w:rPr>
          <w:rFonts w:eastAsia="Arial" w:cs="Arial"/>
          <w:color w:val="000000"/>
          <w:szCs w:val="24"/>
          <w:lang w:eastAsia="en-GB"/>
        </w:rPr>
        <w:t>Where these Clauses use terms that are defined in Regulation (EU) 2016/679, those terms shall have the same meaning as in that Regulation.</w:t>
      </w:r>
    </w:p>
    <w:p w14:paraId="2935BA56" w14:textId="77777777" w:rsidR="00F67E9E" w:rsidRPr="00102034" w:rsidRDefault="00F67E9E" w:rsidP="00F67E9E">
      <w:pPr>
        <w:numPr>
          <w:ilvl w:val="1"/>
          <w:numId w:val="237"/>
        </w:numPr>
        <w:pBdr>
          <w:top w:val="nil"/>
          <w:left w:val="nil"/>
          <w:bottom w:val="nil"/>
          <w:right w:val="nil"/>
          <w:between w:val="nil"/>
        </w:pBdr>
        <w:spacing w:before="120" w:after="240" w:line="276" w:lineRule="auto"/>
        <w:ind w:left="1440" w:hanging="720"/>
        <w:rPr>
          <w:rFonts w:eastAsia="Arial" w:cs="Arial"/>
          <w:color w:val="000000"/>
          <w:szCs w:val="24"/>
          <w:lang w:eastAsia="en-GB"/>
        </w:rPr>
      </w:pPr>
      <w:r w:rsidRPr="00102034">
        <w:rPr>
          <w:rFonts w:eastAsia="Arial" w:cs="Arial"/>
          <w:color w:val="000000"/>
          <w:szCs w:val="24"/>
          <w:lang w:eastAsia="en-GB"/>
        </w:rPr>
        <w:t>These Clauses shall be read and interpreted in the light of the provisions of Regulation (EU) 2016/679.</w:t>
      </w:r>
    </w:p>
    <w:p w14:paraId="0D3A38AE" w14:textId="77777777" w:rsidR="00F67E9E" w:rsidRPr="00102034" w:rsidRDefault="00F67E9E" w:rsidP="00F67E9E">
      <w:pPr>
        <w:numPr>
          <w:ilvl w:val="1"/>
          <w:numId w:val="237"/>
        </w:numPr>
        <w:pBdr>
          <w:top w:val="nil"/>
          <w:left w:val="nil"/>
          <w:bottom w:val="nil"/>
          <w:right w:val="nil"/>
          <w:between w:val="nil"/>
        </w:pBdr>
        <w:spacing w:before="120" w:after="240" w:line="276" w:lineRule="auto"/>
        <w:ind w:left="1440" w:hanging="720"/>
        <w:rPr>
          <w:rFonts w:eastAsia="Arial" w:cs="Arial"/>
          <w:color w:val="000000"/>
          <w:szCs w:val="24"/>
          <w:lang w:eastAsia="en-GB"/>
        </w:rPr>
      </w:pPr>
      <w:r w:rsidRPr="00102034">
        <w:rPr>
          <w:rFonts w:eastAsia="Arial" w:cs="Arial"/>
          <w:color w:val="000000"/>
          <w:szCs w:val="24"/>
          <w:lang w:eastAsia="en-GB"/>
        </w:rPr>
        <w:t>These Clauses shall not be interpreted in a way that conflicts with rights and obligations provided for in Regulation (EU) 2016/679.</w:t>
      </w:r>
    </w:p>
    <w:p w14:paraId="0D9D30F9" w14:textId="77777777" w:rsidR="00F67E9E" w:rsidRPr="00102034" w:rsidRDefault="00F67E9E" w:rsidP="00F67E9E">
      <w:pPr>
        <w:pBdr>
          <w:top w:val="nil"/>
          <w:left w:val="nil"/>
          <w:bottom w:val="nil"/>
          <w:right w:val="nil"/>
          <w:between w:val="nil"/>
        </w:pBdr>
        <w:spacing w:before="120"/>
        <w:jc w:val="center"/>
        <w:rPr>
          <w:rFonts w:eastAsia="Arial" w:cs="Arial"/>
          <w:b/>
          <w:color w:val="000000"/>
          <w:szCs w:val="24"/>
          <w:lang w:eastAsia="en-GB"/>
        </w:rPr>
      </w:pPr>
      <w:r w:rsidRPr="00102034">
        <w:rPr>
          <w:rFonts w:eastAsia="Arial" w:cs="Arial"/>
          <w:b/>
          <w:color w:val="000000"/>
          <w:szCs w:val="24"/>
          <w:lang w:eastAsia="en-GB"/>
        </w:rPr>
        <w:t>CLAUSE 5</w:t>
      </w:r>
    </w:p>
    <w:p w14:paraId="626C780D" w14:textId="77777777" w:rsidR="00F67E9E" w:rsidRPr="00102034" w:rsidRDefault="00F67E9E" w:rsidP="00F67E9E">
      <w:pPr>
        <w:pBdr>
          <w:top w:val="nil"/>
          <w:left w:val="nil"/>
          <w:bottom w:val="nil"/>
          <w:right w:val="nil"/>
          <w:between w:val="nil"/>
        </w:pBdr>
        <w:spacing w:before="240" w:after="240"/>
        <w:rPr>
          <w:rFonts w:eastAsia="Arial" w:cs="Arial"/>
          <w:b/>
          <w:color w:val="000000"/>
          <w:szCs w:val="24"/>
          <w:lang w:eastAsia="en-GB"/>
        </w:rPr>
      </w:pPr>
      <w:r w:rsidRPr="00102034">
        <w:rPr>
          <w:rFonts w:eastAsia="Arial" w:cs="Arial"/>
          <w:b/>
          <w:color w:val="000000"/>
          <w:szCs w:val="24"/>
          <w:lang w:eastAsia="en-GB"/>
        </w:rPr>
        <w:t>Hierarchy</w:t>
      </w:r>
    </w:p>
    <w:p w14:paraId="76468261" w14:textId="77777777" w:rsidR="00F67E9E" w:rsidRPr="00102034" w:rsidRDefault="00F67E9E" w:rsidP="00F67E9E">
      <w:pPr>
        <w:pBdr>
          <w:top w:val="nil"/>
          <w:left w:val="nil"/>
          <w:bottom w:val="nil"/>
          <w:right w:val="nil"/>
          <w:between w:val="nil"/>
        </w:pBdr>
        <w:spacing w:before="120" w:after="240"/>
        <w:ind w:left="720"/>
        <w:rPr>
          <w:rFonts w:eastAsia="Arial" w:cs="Arial"/>
          <w:color w:val="000000"/>
          <w:szCs w:val="24"/>
          <w:lang w:eastAsia="en-GB"/>
        </w:rPr>
      </w:pPr>
      <w:r w:rsidRPr="00102034">
        <w:rPr>
          <w:rFonts w:eastAsia="Arial" w:cs="Arial"/>
          <w:color w:val="000000"/>
          <w:szCs w:val="24"/>
          <w:lang w:eastAsia="en-GB"/>
        </w:rPr>
        <w:t>In the event of a contradiction between these Clauses and the provisions of related agreements between the Parties, existing at the time these Clauses are agreed or entered into thereafter, these Clauses shall prevail.</w:t>
      </w:r>
    </w:p>
    <w:p w14:paraId="0A04C684" w14:textId="77777777" w:rsidR="00F67E9E" w:rsidRPr="00102034" w:rsidRDefault="00F67E9E" w:rsidP="00F67E9E">
      <w:pPr>
        <w:pBdr>
          <w:top w:val="nil"/>
          <w:left w:val="nil"/>
          <w:bottom w:val="nil"/>
          <w:right w:val="nil"/>
          <w:between w:val="nil"/>
        </w:pBdr>
        <w:spacing w:before="120"/>
        <w:jc w:val="center"/>
        <w:rPr>
          <w:rFonts w:eastAsia="Arial" w:cs="Arial"/>
          <w:b/>
          <w:color w:val="000000"/>
          <w:szCs w:val="24"/>
          <w:lang w:eastAsia="en-GB"/>
        </w:rPr>
      </w:pPr>
      <w:r w:rsidRPr="00102034">
        <w:rPr>
          <w:rFonts w:eastAsia="Arial" w:cs="Arial"/>
          <w:b/>
          <w:color w:val="000000"/>
          <w:szCs w:val="24"/>
          <w:lang w:eastAsia="en-GB"/>
        </w:rPr>
        <w:t>CLAUSE 6</w:t>
      </w:r>
    </w:p>
    <w:p w14:paraId="7440726B" w14:textId="77777777" w:rsidR="00F67E9E" w:rsidRPr="00102034" w:rsidRDefault="00F67E9E" w:rsidP="00F67E9E">
      <w:pPr>
        <w:pBdr>
          <w:top w:val="nil"/>
          <w:left w:val="nil"/>
          <w:bottom w:val="nil"/>
          <w:right w:val="nil"/>
          <w:between w:val="nil"/>
        </w:pBdr>
        <w:spacing w:before="240" w:after="240"/>
        <w:rPr>
          <w:rFonts w:eastAsia="Arial" w:cs="Arial"/>
          <w:b/>
          <w:color w:val="000000"/>
          <w:szCs w:val="24"/>
          <w:lang w:eastAsia="en-GB"/>
        </w:rPr>
      </w:pPr>
      <w:r w:rsidRPr="00102034">
        <w:rPr>
          <w:rFonts w:eastAsia="Arial" w:cs="Arial"/>
          <w:b/>
          <w:color w:val="000000"/>
          <w:szCs w:val="24"/>
          <w:lang w:eastAsia="en-GB"/>
        </w:rPr>
        <w:t>Description of the transfer(s)</w:t>
      </w:r>
    </w:p>
    <w:p w14:paraId="6772631D" w14:textId="77777777" w:rsidR="00F67E9E" w:rsidRPr="00102034" w:rsidRDefault="00F67E9E" w:rsidP="00F67E9E">
      <w:pPr>
        <w:pBdr>
          <w:top w:val="nil"/>
          <w:left w:val="nil"/>
          <w:bottom w:val="nil"/>
          <w:right w:val="nil"/>
          <w:between w:val="nil"/>
        </w:pBdr>
        <w:spacing w:before="120" w:after="240"/>
        <w:ind w:left="720"/>
        <w:rPr>
          <w:rFonts w:eastAsia="Arial" w:cs="Arial"/>
          <w:color w:val="000000"/>
          <w:szCs w:val="24"/>
          <w:lang w:eastAsia="en-GB"/>
        </w:rPr>
      </w:pPr>
      <w:r w:rsidRPr="00102034">
        <w:rPr>
          <w:rFonts w:eastAsia="Arial" w:cs="Arial"/>
          <w:color w:val="000000"/>
          <w:szCs w:val="24"/>
          <w:lang w:eastAsia="en-GB"/>
        </w:rPr>
        <w:t>The details of the transfer(s), and in particular the categories of personal data that are transferred and the purpose(s) for which they are transferred, are specified in Annex I.B.</w:t>
      </w:r>
    </w:p>
    <w:p w14:paraId="2A512D46" w14:textId="77777777" w:rsidR="00F67E9E" w:rsidRPr="00315C00" w:rsidRDefault="00F67E9E" w:rsidP="00F67E9E">
      <w:pPr>
        <w:pBdr>
          <w:top w:val="nil"/>
          <w:left w:val="nil"/>
          <w:bottom w:val="nil"/>
          <w:right w:val="nil"/>
          <w:between w:val="nil"/>
        </w:pBdr>
        <w:spacing w:before="120"/>
        <w:jc w:val="center"/>
        <w:rPr>
          <w:rFonts w:eastAsia="Arial" w:cs="Arial"/>
          <w:b/>
          <w:color w:val="000000"/>
          <w:szCs w:val="24"/>
          <w:highlight w:val="yellow"/>
          <w:lang w:eastAsia="en-GB"/>
        </w:rPr>
      </w:pPr>
      <w:r w:rsidRPr="00102034">
        <w:rPr>
          <w:rFonts w:eastAsia="Arial" w:cs="Arial"/>
          <w:b/>
          <w:color w:val="000000"/>
          <w:szCs w:val="24"/>
          <w:lang w:eastAsia="en-GB"/>
        </w:rPr>
        <w:t>[</w:t>
      </w:r>
      <w:r w:rsidRPr="00315C00">
        <w:rPr>
          <w:rFonts w:eastAsia="Arial" w:cs="Arial"/>
          <w:b/>
          <w:color w:val="000000"/>
          <w:szCs w:val="24"/>
          <w:highlight w:val="yellow"/>
          <w:lang w:eastAsia="en-GB"/>
        </w:rPr>
        <w:t>Optional: CLAUSE 7</w:t>
      </w:r>
    </w:p>
    <w:p w14:paraId="074292D3" w14:textId="77777777" w:rsidR="00F67E9E" w:rsidRPr="00315C00" w:rsidRDefault="00F67E9E" w:rsidP="00F67E9E">
      <w:pPr>
        <w:pBdr>
          <w:top w:val="nil"/>
          <w:left w:val="nil"/>
          <w:bottom w:val="nil"/>
          <w:right w:val="nil"/>
          <w:between w:val="nil"/>
        </w:pBdr>
        <w:spacing w:before="240" w:after="240"/>
        <w:rPr>
          <w:rFonts w:eastAsia="Arial" w:cs="Arial"/>
          <w:b/>
          <w:color w:val="000000"/>
          <w:szCs w:val="24"/>
          <w:highlight w:val="yellow"/>
          <w:lang w:eastAsia="en-GB"/>
        </w:rPr>
      </w:pPr>
      <w:r w:rsidRPr="00315C00">
        <w:rPr>
          <w:rFonts w:eastAsia="Arial" w:cs="Arial"/>
          <w:b/>
          <w:color w:val="000000"/>
          <w:szCs w:val="24"/>
          <w:highlight w:val="yellow"/>
          <w:lang w:eastAsia="en-GB"/>
        </w:rPr>
        <w:t>Docking clause</w:t>
      </w:r>
    </w:p>
    <w:p w14:paraId="20076B91" w14:textId="0AFF2507" w:rsidR="00F67E9E" w:rsidRPr="00315C00" w:rsidRDefault="00F67E9E" w:rsidP="00F67E9E">
      <w:pPr>
        <w:numPr>
          <w:ilvl w:val="1"/>
          <w:numId w:val="238"/>
        </w:numPr>
        <w:pBdr>
          <w:top w:val="nil"/>
          <w:left w:val="nil"/>
          <w:bottom w:val="nil"/>
          <w:right w:val="nil"/>
          <w:between w:val="nil"/>
        </w:pBdr>
        <w:spacing w:before="120" w:after="240" w:line="276" w:lineRule="auto"/>
        <w:ind w:left="1440" w:hanging="720"/>
        <w:rPr>
          <w:rFonts w:eastAsia="Arial" w:cs="Arial"/>
          <w:color w:val="000000"/>
          <w:szCs w:val="24"/>
          <w:highlight w:val="yellow"/>
          <w:lang w:eastAsia="en-GB"/>
        </w:rPr>
      </w:pPr>
      <w:r w:rsidRPr="001B0D5D">
        <w:rPr>
          <w:rFonts w:eastAsia="Arial" w:cs="Arial"/>
          <w:color w:val="000000"/>
          <w:szCs w:val="24"/>
          <w:highlight w:val="yellow"/>
          <w:lang w:eastAsia="en-GB"/>
        </w:rPr>
        <w:t xml:space="preserve">An entity that is not a Party to these Clauses may, with the agreement of the Parties, accede to these Clauses at any time, either as a data exporter or as a data importer, by completing the </w:t>
      </w:r>
      <w:r w:rsidRPr="00874B93">
        <w:rPr>
          <w:rFonts w:eastAsia="Arial" w:cs="Arial"/>
          <w:color w:val="000000"/>
          <w:highlight w:val="yellow"/>
        </w:rPr>
        <w:fldChar w:fldCharType="begin"/>
      </w:r>
      <w:r w:rsidRPr="00874B93">
        <w:rPr>
          <w:rFonts w:eastAsia="Arial" w:cs="Arial"/>
          <w:color w:val="000000"/>
          <w:highlight w:val="yellow"/>
        </w:rPr>
        <w:instrText xml:space="preserve"> REF  Schedule_31_PartB_Annex3_PartB_Appendix \* Caps \h  \* MERGEFORMAT </w:instrText>
      </w:r>
      <w:r w:rsidRPr="00874B93">
        <w:rPr>
          <w:rFonts w:eastAsia="Arial" w:cs="Arial"/>
          <w:color w:val="000000"/>
          <w:highlight w:val="yellow"/>
        </w:rPr>
      </w:r>
      <w:r w:rsidRPr="00874B93">
        <w:rPr>
          <w:rFonts w:eastAsia="Arial" w:cs="Arial"/>
          <w:color w:val="000000"/>
          <w:highlight w:val="yellow"/>
        </w:rPr>
        <w:fldChar w:fldCharType="separate"/>
      </w:r>
      <w:r w:rsidR="00302D39" w:rsidRPr="00302D39">
        <w:rPr>
          <w:rFonts w:eastAsia="Arial" w:cs="Arial"/>
          <w:color w:val="000000"/>
          <w:szCs w:val="24"/>
          <w:highlight w:val="yellow"/>
          <w:lang w:eastAsia="en-GB"/>
        </w:rPr>
        <w:t>Appendix</w:t>
      </w:r>
      <w:r w:rsidRPr="00874B93">
        <w:rPr>
          <w:rFonts w:eastAsia="Arial" w:cs="Arial"/>
          <w:color w:val="000000"/>
          <w:highlight w:val="yellow"/>
        </w:rPr>
        <w:fldChar w:fldCharType="end"/>
      </w:r>
      <w:r w:rsidRPr="00874B93">
        <w:rPr>
          <w:rFonts w:eastAsia="Arial" w:cs="Arial"/>
          <w:color w:val="000000"/>
          <w:highlight w:val="yellow"/>
        </w:rPr>
        <w:t xml:space="preserve"> </w:t>
      </w:r>
      <w:r w:rsidRPr="00874B93">
        <w:rPr>
          <w:rFonts w:eastAsia="Arial" w:cs="Arial"/>
          <w:color w:val="000000"/>
          <w:szCs w:val="24"/>
          <w:highlight w:val="yellow"/>
          <w:lang w:eastAsia="en-GB"/>
        </w:rPr>
        <w:t>and signing Annex I.A.</w:t>
      </w:r>
    </w:p>
    <w:p w14:paraId="57B65505" w14:textId="2BB142B2" w:rsidR="00F67E9E" w:rsidRPr="00315C00" w:rsidRDefault="00F67E9E" w:rsidP="00F67E9E">
      <w:pPr>
        <w:numPr>
          <w:ilvl w:val="1"/>
          <w:numId w:val="238"/>
        </w:numPr>
        <w:pBdr>
          <w:top w:val="nil"/>
          <w:left w:val="nil"/>
          <w:bottom w:val="nil"/>
          <w:right w:val="nil"/>
          <w:between w:val="nil"/>
        </w:pBdr>
        <w:spacing w:before="120" w:after="240" w:line="276" w:lineRule="auto"/>
        <w:ind w:left="1440" w:hanging="720"/>
        <w:rPr>
          <w:rFonts w:eastAsia="Arial" w:cs="Arial"/>
          <w:color w:val="000000"/>
          <w:szCs w:val="24"/>
          <w:highlight w:val="yellow"/>
          <w:lang w:eastAsia="en-GB"/>
        </w:rPr>
      </w:pPr>
      <w:r w:rsidRPr="001B0D5D">
        <w:rPr>
          <w:rFonts w:eastAsia="Arial" w:cs="Arial"/>
          <w:color w:val="000000"/>
          <w:szCs w:val="24"/>
          <w:highlight w:val="yellow"/>
          <w:lang w:eastAsia="en-GB"/>
        </w:rPr>
        <w:t xml:space="preserve">Once it has completed the </w:t>
      </w:r>
      <w:r w:rsidRPr="00874B93">
        <w:rPr>
          <w:rFonts w:eastAsia="Arial" w:cs="Arial"/>
          <w:color w:val="000000"/>
          <w:highlight w:val="yellow"/>
        </w:rPr>
        <w:fldChar w:fldCharType="begin"/>
      </w:r>
      <w:r w:rsidRPr="00874B93">
        <w:rPr>
          <w:rFonts w:eastAsia="Arial" w:cs="Arial"/>
          <w:color w:val="000000"/>
          <w:highlight w:val="yellow"/>
        </w:rPr>
        <w:instrText xml:space="preserve"> REF  Schedule_31_PartB_Annex3_PartB_Appendix \* Caps \h  \* MERGEFORMAT </w:instrText>
      </w:r>
      <w:r w:rsidRPr="00874B93">
        <w:rPr>
          <w:rFonts w:eastAsia="Arial" w:cs="Arial"/>
          <w:color w:val="000000"/>
          <w:highlight w:val="yellow"/>
        </w:rPr>
      </w:r>
      <w:r w:rsidRPr="00874B93">
        <w:rPr>
          <w:rFonts w:eastAsia="Arial" w:cs="Arial"/>
          <w:color w:val="000000"/>
          <w:highlight w:val="yellow"/>
        </w:rPr>
        <w:fldChar w:fldCharType="separate"/>
      </w:r>
      <w:r w:rsidR="00302D39" w:rsidRPr="00302D39">
        <w:rPr>
          <w:rFonts w:eastAsia="Arial" w:cs="Arial"/>
          <w:color w:val="000000"/>
          <w:szCs w:val="24"/>
          <w:highlight w:val="yellow"/>
          <w:lang w:eastAsia="en-GB"/>
        </w:rPr>
        <w:t>Appendix</w:t>
      </w:r>
      <w:r w:rsidRPr="00874B93">
        <w:rPr>
          <w:rFonts w:eastAsia="Arial" w:cs="Arial"/>
          <w:color w:val="000000"/>
          <w:highlight w:val="yellow"/>
        </w:rPr>
        <w:fldChar w:fldCharType="end"/>
      </w:r>
      <w:r w:rsidRPr="00874B93">
        <w:rPr>
          <w:rFonts w:eastAsia="Arial" w:cs="Arial"/>
          <w:color w:val="000000"/>
          <w:highlight w:val="yellow"/>
        </w:rPr>
        <w:t xml:space="preserve"> </w:t>
      </w:r>
      <w:r w:rsidRPr="00874B93">
        <w:rPr>
          <w:rFonts w:eastAsia="Arial" w:cs="Arial"/>
          <w:color w:val="000000"/>
          <w:szCs w:val="24"/>
          <w:highlight w:val="yellow"/>
          <w:lang w:eastAsia="en-GB"/>
        </w:rPr>
        <w:t>and signed Annex I.A</w:t>
      </w:r>
      <w:r w:rsidRPr="001B0D5D">
        <w:rPr>
          <w:rFonts w:eastAsia="Arial" w:cs="Arial"/>
          <w:color w:val="000000"/>
          <w:szCs w:val="24"/>
          <w:highlight w:val="yellow"/>
          <w:lang w:eastAsia="en-GB"/>
        </w:rPr>
        <w:t>, the acceding entity shall become a Party to these Clauses and have the rights and obligations of a data exporter or data importer in accordance with its designation in Annex I.A.</w:t>
      </w:r>
    </w:p>
    <w:p w14:paraId="08E87544" w14:textId="77777777" w:rsidR="00F67E9E" w:rsidRPr="00315C00" w:rsidRDefault="00F67E9E" w:rsidP="00F67E9E">
      <w:pPr>
        <w:numPr>
          <w:ilvl w:val="1"/>
          <w:numId w:val="238"/>
        </w:numPr>
        <w:pBdr>
          <w:top w:val="nil"/>
          <w:left w:val="nil"/>
          <w:bottom w:val="nil"/>
          <w:right w:val="nil"/>
          <w:between w:val="nil"/>
        </w:pBdr>
        <w:spacing w:before="120" w:after="240" w:line="276" w:lineRule="auto"/>
        <w:ind w:left="1440" w:hanging="720"/>
        <w:rPr>
          <w:rFonts w:eastAsia="Arial" w:cs="Arial"/>
          <w:color w:val="000000"/>
          <w:szCs w:val="24"/>
          <w:highlight w:val="yellow"/>
          <w:lang w:eastAsia="en-GB"/>
        </w:rPr>
      </w:pPr>
      <w:r w:rsidRPr="00315C00">
        <w:rPr>
          <w:rFonts w:eastAsia="Arial" w:cs="Arial"/>
          <w:color w:val="000000"/>
          <w:szCs w:val="24"/>
          <w:highlight w:val="yellow"/>
          <w:lang w:eastAsia="en-GB"/>
        </w:rPr>
        <w:t>The acceding entity shall have no rights or obligations arising under these Clauses from the period prior to becoming a Party.]</w:t>
      </w:r>
    </w:p>
    <w:p w14:paraId="58E75A03" w14:textId="77777777" w:rsidR="00F67E9E" w:rsidRPr="00102034" w:rsidRDefault="00F67E9E" w:rsidP="00F67E9E">
      <w:pPr>
        <w:pBdr>
          <w:top w:val="nil"/>
          <w:left w:val="nil"/>
          <w:bottom w:val="nil"/>
          <w:right w:val="nil"/>
          <w:between w:val="nil"/>
        </w:pBdr>
        <w:spacing w:before="120"/>
        <w:jc w:val="center"/>
        <w:rPr>
          <w:rFonts w:eastAsia="Arial" w:cs="Arial"/>
          <w:b/>
          <w:color w:val="000000"/>
          <w:szCs w:val="24"/>
          <w:lang w:eastAsia="en-GB"/>
        </w:rPr>
      </w:pPr>
      <w:r w:rsidRPr="00102034">
        <w:rPr>
          <w:rFonts w:eastAsia="Arial" w:cs="Arial"/>
          <w:b/>
          <w:color w:val="000000"/>
          <w:szCs w:val="24"/>
          <w:lang w:eastAsia="en-GB"/>
        </w:rPr>
        <w:t>SECTION II – OBLIGATIONS OF THE PARTIES</w:t>
      </w:r>
    </w:p>
    <w:p w14:paraId="3E751AA7" w14:textId="77777777" w:rsidR="00F67E9E" w:rsidRPr="00102034" w:rsidRDefault="00F67E9E" w:rsidP="00F67E9E">
      <w:pPr>
        <w:pBdr>
          <w:top w:val="nil"/>
          <w:left w:val="nil"/>
          <w:bottom w:val="nil"/>
          <w:right w:val="nil"/>
          <w:between w:val="nil"/>
        </w:pBdr>
        <w:spacing w:before="120"/>
        <w:jc w:val="center"/>
        <w:rPr>
          <w:rFonts w:eastAsia="Arial" w:cs="Arial"/>
          <w:b/>
          <w:color w:val="000000"/>
          <w:szCs w:val="24"/>
          <w:lang w:eastAsia="en-GB"/>
        </w:rPr>
      </w:pPr>
      <w:r w:rsidRPr="00102034">
        <w:rPr>
          <w:rFonts w:eastAsia="Arial" w:cs="Arial"/>
          <w:b/>
          <w:color w:val="000000"/>
          <w:szCs w:val="24"/>
          <w:lang w:eastAsia="en-GB"/>
        </w:rPr>
        <w:t>CLAUSE 8</w:t>
      </w:r>
    </w:p>
    <w:p w14:paraId="2D8C5249" w14:textId="77777777" w:rsidR="00F67E9E" w:rsidRPr="00102034" w:rsidRDefault="00F67E9E" w:rsidP="00F67E9E">
      <w:pPr>
        <w:pBdr>
          <w:top w:val="nil"/>
          <w:left w:val="nil"/>
          <w:bottom w:val="nil"/>
          <w:right w:val="nil"/>
          <w:between w:val="nil"/>
        </w:pBdr>
        <w:spacing w:before="240" w:after="240"/>
        <w:rPr>
          <w:rFonts w:eastAsia="Arial" w:cs="Arial"/>
          <w:b/>
          <w:color w:val="000000"/>
          <w:szCs w:val="24"/>
          <w:lang w:eastAsia="en-GB"/>
        </w:rPr>
      </w:pPr>
      <w:r w:rsidRPr="00102034">
        <w:rPr>
          <w:rFonts w:eastAsia="Arial" w:cs="Arial"/>
          <w:b/>
          <w:color w:val="000000"/>
          <w:szCs w:val="24"/>
          <w:lang w:eastAsia="en-GB"/>
        </w:rPr>
        <w:t>Data protection safeguards</w:t>
      </w:r>
    </w:p>
    <w:p w14:paraId="7B3D7748" w14:textId="77777777" w:rsidR="00F67E9E" w:rsidRPr="00102034" w:rsidRDefault="00F67E9E" w:rsidP="00F67E9E">
      <w:pPr>
        <w:pBdr>
          <w:top w:val="nil"/>
          <w:left w:val="nil"/>
          <w:bottom w:val="nil"/>
          <w:right w:val="nil"/>
          <w:between w:val="nil"/>
        </w:pBdr>
        <w:spacing w:before="120" w:after="240"/>
        <w:ind w:left="720"/>
        <w:rPr>
          <w:rFonts w:eastAsia="Arial" w:cs="Arial"/>
          <w:color w:val="000000"/>
          <w:szCs w:val="24"/>
          <w:lang w:eastAsia="en-GB"/>
        </w:rPr>
      </w:pPr>
      <w:bookmarkStart w:id="3350" w:name="bookmark=id.lhk3py" w:colFirst="0" w:colLast="0"/>
      <w:bookmarkEnd w:id="3350"/>
      <w:r w:rsidRPr="00102034">
        <w:rPr>
          <w:rFonts w:eastAsia="Arial" w:cs="Arial"/>
          <w:color w:val="000000"/>
          <w:szCs w:val="24"/>
          <w:lang w:eastAsia="en-GB"/>
        </w:rPr>
        <w:t>The data exporter warrants that it has used reasonable efforts to determine that the data importer is able, through the implementation of appropriate technical and organisational measures, to satisfy its obligations under these Clauses.</w:t>
      </w:r>
    </w:p>
    <w:p w14:paraId="00161147" w14:textId="77777777" w:rsidR="00F67E9E" w:rsidRPr="00102034" w:rsidRDefault="00F67E9E" w:rsidP="00F67E9E">
      <w:pPr>
        <w:pBdr>
          <w:top w:val="nil"/>
          <w:left w:val="nil"/>
          <w:bottom w:val="nil"/>
          <w:right w:val="nil"/>
          <w:between w:val="nil"/>
        </w:pBdr>
        <w:tabs>
          <w:tab w:val="left" w:pos="720"/>
        </w:tabs>
        <w:spacing w:before="240" w:after="240"/>
        <w:rPr>
          <w:rFonts w:eastAsia="Arial" w:cs="Arial"/>
          <w:b/>
          <w:color w:val="000000"/>
          <w:szCs w:val="24"/>
          <w:lang w:eastAsia="en-GB"/>
        </w:rPr>
      </w:pPr>
      <w:bookmarkStart w:id="3351" w:name="bookmark=id.35h7mdr" w:colFirst="0" w:colLast="0"/>
      <w:bookmarkStart w:id="3352" w:name="Schedule31clause81"/>
      <w:bookmarkEnd w:id="3351"/>
      <w:r w:rsidRPr="00102034">
        <w:rPr>
          <w:rFonts w:eastAsia="Arial" w:cs="Arial"/>
          <w:b/>
          <w:color w:val="000000"/>
          <w:szCs w:val="24"/>
          <w:lang w:eastAsia="en-GB"/>
        </w:rPr>
        <w:t>8.1</w:t>
      </w:r>
      <w:bookmarkEnd w:id="3352"/>
      <w:r w:rsidRPr="00102034">
        <w:rPr>
          <w:rFonts w:eastAsia="Arial" w:cs="Arial"/>
          <w:b/>
          <w:color w:val="000000"/>
          <w:szCs w:val="24"/>
          <w:lang w:eastAsia="en-GB"/>
        </w:rPr>
        <w:t xml:space="preserve"> </w:t>
      </w:r>
      <w:r>
        <w:rPr>
          <w:rFonts w:eastAsia="Arial" w:cs="Arial"/>
          <w:b/>
          <w:color w:val="000000"/>
          <w:szCs w:val="24"/>
          <w:lang w:eastAsia="en-GB"/>
        </w:rPr>
        <w:tab/>
      </w:r>
      <w:r w:rsidRPr="00102034">
        <w:rPr>
          <w:rFonts w:eastAsia="Arial" w:cs="Arial"/>
          <w:b/>
          <w:color w:val="000000"/>
          <w:szCs w:val="24"/>
          <w:lang w:eastAsia="en-GB"/>
        </w:rPr>
        <w:t>Instructions</w:t>
      </w:r>
    </w:p>
    <w:p w14:paraId="69A177AE" w14:textId="77777777" w:rsidR="00F67E9E" w:rsidRPr="00102034" w:rsidRDefault="00F67E9E" w:rsidP="00F67E9E">
      <w:pPr>
        <w:numPr>
          <w:ilvl w:val="1"/>
          <w:numId w:val="239"/>
        </w:numPr>
        <w:pBdr>
          <w:top w:val="nil"/>
          <w:left w:val="nil"/>
          <w:bottom w:val="nil"/>
          <w:right w:val="nil"/>
          <w:between w:val="nil"/>
        </w:pBdr>
        <w:spacing w:before="120" w:after="240" w:line="276" w:lineRule="auto"/>
        <w:ind w:left="1440" w:hanging="720"/>
        <w:rPr>
          <w:rFonts w:eastAsia="Arial" w:cs="Arial"/>
          <w:color w:val="000000"/>
          <w:szCs w:val="24"/>
          <w:lang w:eastAsia="en-GB"/>
        </w:rPr>
      </w:pPr>
      <w:bookmarkStart w:id="3353" w:name="bookmark=id.1kmhwlk" w:colFirst="0" w:colLast="0"/>
      <w:bookmarkEnd w:id="3353"/>
      <w:r w:rsidRPr="00102034">
        <w:rPr>
          <w:rFonts w:eastAsia="Arial" w:cs="Arial"/>
          <w:color w:val="000000"/>
          <w:szCs w:val="24"/>
          <w:lang w:eastAsia="en-GB"/>
        </w:rPr>
        <w:t>The data importer shall process the personal data only on documented instructions from the data exporter. The data exporter may give such instructions throughout the duration of the contract.</w:t>
      </w:r>
    </w:p>
    <w:p w14:paraId="72793277" w14:textId="77777777" w:rsidR="00F67E9E" w:rsidRPr="00102034" w:rsidRDefault="00F67E9E" w:rsidP="00F67E9E">
      <w:pPr>
        <w:numPr>
          <w:ilvl w:val="1"/>
          <w:numId w:val="239"/>
        </w:numPr>
        <w:pBdr>
          <w:top w:val="nil"/>
          <w:left w:val="nil"/>
          <w:bottom w:val="nil"/>
          <w:right w:val="nil"/>
          <w:between w:val="nil"/>
        </w:pBdr>
        <w:spacing w:before="120" w:after="240" w:line="276" w:lineRule="auto"/>
        <w:ind w:left="1440" w:hanging="720"/>
        <w:rPr>
          <w:rFonts w:eastAsia="Arial" w:cs="Arial"/>
          <w:color w:val="000000"/>
          <w:szCs w:val="24"/>
          <w:lang w:eastAsia="en-GB"/>
        </w:rPr>
      </w:pPr>
      <w:bookmarkStart w:id="3354" w:name="bookmark=id.44m5f9d" w:colFirst="0" w:colLast="0"/>
      <w:bookmarkEnd w:id="3354"/>
      <w:r w:rsidRPr="00102034">
        <w:rPr>
          <w:rFonts w:eastAsia="Arial" w:cs="Arial"/>
          <w:color w:val="000000"/>
          <w:szCs w:val="24"/>
          <w:lang w:eastAsia="en-GB"/>
        </w:rPr>
        <w:t>The data importer shall immediately inform the data exporter if it is unable to follow those instructions.</w:t>
      </w:r>
    </w:p>
    <w:p w14:paraId="2E91E80E" w14:textId="77777777" w:rsidR="00F67E9E" w:rsidRPr="00102034" w:rsidRDefault="00F67E9E" w:rsidP="00F67E9E">
      <w:pPr>
        <w:pBdr>
          <w:top w:val="nil"/>
          <w:left w:val="nil"/>
          <w:bottom w:val="nil"/>
          <w:right w:val="nil"/>
          <w:between w:val="nil"/>
        </w:pBdr>
        <w:tabs>
          <w:tab w:val="left" w:pos="720"/>
        </w:tabs>
        <w:spacing w:before="240" w:after="240"/>
        <w:rPr>
          <w:rFonts w:eastAsia="Arial" w:cs="Arial"/>
          <w:b/>
          <w:color w:val="000000"/>
          <w:szCs w:val="24"/>
          <w:lang w:eastAsia="en-GB"/>
        </w:rPr>
      </w:pPr>
      <w:bookmarkStart w:id="3355" w:name="bookmark=id.2jrfph6" w:colFirst="0" w:colLast="0"/>
      <w:bookmarkEnd w:id="3355"/>
      <w:r w:rsidRPr="00102034">
        <w:rPr>
          <w:rFonts w:eastAsia="Arial" w:cs="Arial"/>
          <w:b/>
          <w:color w:val="000000"/>
          <w:szCs w:val="24"/>
          <w:lang w:eastAsia="en-GB"/>
        </w:rPr>
        <w:t xml:space="preserve">8.2 </w:t>
      </w:r>
      <w:r>
        <w:rPr>
          <w:rFonts w:eastAsia="Arial" w:cs="Arial"/>
          <w:b/>
          <w:color w:val="000000"/>
          <w:szCs w:val="24"/>
          <w:lang w:eastAsia="en-GB"/>
        </w:rPr>
        <w:tab/>
      </w:r>
      <w:r w:rsidRPr="00102034">
        <w:rPr>
          <w:rFonts w:eastAsia="Arial" w:cs="Arial"/>
          <w:b/>
          <w:color w:val="000000"/>
          <w:szCs w:val="24"/>
          <w:lang w:eastAsia="en-GB"/>
        </w:rPr>
        <w:t>Purpose limitation</w:t>
      </w:r>
    </w:p>
    <w:p w14:paraId="2E803F6C" w14:textId="77777777" w:rsidR="00F67E9E" w:rsidRPr="00102034" w:rsidRDefault="00F67E9E" w:rsidP="00F67E9E">
      <w:pPr>
        <w:pBdr>
          <w:top w:val="nil"/>
          <w:left w:val="nil"/>
          <w:bottom w:val="nil"/>
          <w:right w:val="nil"/>
          <w:between w:val="nil"/>
        </w:pBdr>
        <w:spacing w:before="120" w:after="240"/>
        <w:ind w:left="720"/>
        <w:rPr>
          <w:rFonts w:eastAsia="Arial" w:cs="Arial"/>
          <w:color w:val="000000"/>
          <w:szCs w:val="24"/>
          <w:lang w:eastAsia="en-GB"/>
        </w:rPr>
      </w:pPr>
      <w:bookmarkStart w:id="3356" w:name="bookmark=id.ywpzoz" w:colFirst="0" w:colLast="0"/>
      <w:bookmarkEnd w:id="3356"/>
      <w:r w:rsidRPr="00102034">
        <w:rPr>
          <w:rFonts w:eastAsia="Arial" w:cs="Arial"/>
          <w:color w:val="000000"/>
          <w:szCs w:val="24"/>
          <w:lang w:eastAsia="en-GB"/>
        </w:rPr>
        <w:t>The data importer shall process the personal data only for the specific purpose(s) of the transfer, as set out in Annex I.B, unless on further instructions from the data exporter.</w:t>
      </w:r>
    </w:p>
    <w:p w14:paraId="090DE003" w14:textId="77777777" w:rsidR="00F67E9E" w:rsidRPr="00102034" w:rsidRDefault="00F67E9E" w:rsidP="00F67E9E">
      <w:pPr>
        <w:pBdr>
          <w:top w:val="nil"/>
          <w:left w:val="nil"/>
          <w:bottom w:val="nil"/>
          <w:right w:val="nil"/>
          <w:between w:val="nil"/>
        </w:pBdr>
        <w:tabs>
          <w:tab w:val="left" w:pos="720"/>
        </w:tabs>
        <w:spacing w:before="240" w:after="240"/>
        <w:rPr>
          <w:rFonts w:eastAsia="Arial" w:cs="Arial"/>
          <w:b/>
          <w:color w:val="000000"/>
          <w:szCs w:val="24"/>
          <w:lang w:eastAsia="en-GB"/>
        </w:rPr>
      </w:pPr>
      <w:bookmarkStart w:id="3357" w:name="bookmark=id.3iwdics" w:colFirst="0" w:colLast="0"/>
      <w:bookmarkEnd w:id="3357"/>
      <w:r w:rsidRPr="00102034">
        <w:rPr>
          <w:rFonts w:eastAsia="Arial" w:cs="Arial"/>
          <w:b/>
          <w:color w:val="000000"/>
          <w:szCs w:val="24"/>
          <w:lang w:eastAsia="en-GB"/>
        </w:rPr>
        <w:t xml:space="preserve">8.3 </w:t>
      </w:r>
      <w:r>
        <w:rPr>
          <w:rFonts w:eastAsia="Arial" w:cs="Arial"/>
          <w:b/>
          <w:color w:val="000000"/>
          <w:szCs w:val="24"/>
          <w:lang w:eastAsia="en-GB"/>
        </w:rPr>
        <w:tab/>
      </w:r>
      <w:r w:rsidRPr="00102034">
        <w:rPr>
          <w:rFonts w:eastAsia="Arial" w:cs="Arial"/>
          <w:b/>
          <w:color w:val="000000"/>
          <w:szCs w:val="24"/>
          <w:lang w:eastAsia="en-GB"/>
        </w:rPr>
        <w:t>Transparency</w:t>
      </w:r>
    </w:p>
    <w:p w14:paraId="74579B65" w14:textId="04B0A9AA" w:rsidR="00F67E9E" w:rsidRPr="00102034" w:rsidRDefault="00F67E9E" w:rsidP="00F67E9E">
      <w:pPr>
        <w:pBdr>
          <w:top w:val="nil"/>
          <w:left w:val="nil"/>
          <w:bottom w:val="nil"/>
          <w:right w:val="nil"/>
          <w:between w:val="nil"/>
        </w:pBdr>
        <w:spacing w:before="120" w:after="240"/>
        <w:ind w:left="720"/>
        <w:rPr>
          <w:rFonts w:eastAsia="Arial" w:cs="Arial"/>
          <w:color w:val="000000"/>
          <w:szCs w:val="24"/>
          <w:lang w:eastAsia="en-GB"/>
        </w:rPr>
      </w:pPr>
      <w:bookmarkStart w:id="3358" w:name="bookmark=id.1y1nskl" w:colFirst="0" w:colLast="0"/>
      <w:bookmarkEnd w:id="3358"/>
      <w:r w:rsidRPr="00102034">
        <w:rPr>
          <w:rFonts w:eastAsia="Arial" w:cs="Arial"/>
          <w:color w:val="000000"/>
          <w:szCs w:val="24"/>
          <w:lang w:eastAsia="en-GB"/>
        </w:rPr>
        <w:t xml:space="preserve">On request, the data exporter shall make a copy of these Clauses, including the Appendix as completed by the Parties, available to the data subject free of charge. To the extent necessary to protect business secrets or other confidential information, including the measures described in Annex </w:t>
      </w:r>
      <w:r w:rsidRPr="00556E35">
        <w:rPr>
          <w:rFonts w:eastAsia="Arial" w:cs="Arial"/>
          <w:color w:val="000000"/>
          <w:szCs w:val="24"/>
          <w:lang w:eastAsia="en-GB"/>
        </w:rPr>
        <w:fldChar w:fldCharType="begin"/>
      </w:r>
      <w:r w:rsidRPr="00556E35">
        <w:rPr>
          <w:rFonts w:eastAsia="Arial" w:cs="Arial"/>
          <w:color w:val="000000"/>
          <w:szCs w:val="24"/>
          <w:lang w:eastAsia="en-GB"/>
        </w:rPr>
        <w:instrText xml:space="preserve"> REF Schedule_31_Annex_II \h </w:instrText>
      </w:r>
      <w:r w:rsidRPr="00BB0C30">
        <w:rPr>
          <w:rFonts w:eastAsia="Arial" w:cs="Arial"/>
          <w:color w:val="000000"/>
          <w:szCs w:val="24"/>
          <w:lang w:eastAsia="en-GB"/>
        </w:rPr>
        <w:instrText xml:space="preserve"> \* MERGEFORMAT </w:instrText>
      </w:r>
      <w:r w:rsidRPr="00556E35">
        <w:rPr>
          <w:rFonts w:eastAsia="Arial" w:cs="Arial"/>
          <w:color w:val="000000"/>
          <w:szCs w:val="24"/>
          <w:lang w:eastAsia="en-GB"/>
        </w:rPr>
      </w:r>
      <w:r w:rsidRPr="00556E35">
        <w:rPr>
          <w:rFonts w:eastAsia="Arial" w:cs="Arial"/>
          <w:color w:val="000000"/>
          <w:szCs w:val="24"/>
          <w:lang w:eastAsia="en-GB"/>
        </w:rPr>
        <w:fldChar w:fldCharType="separate"/>
      </w:r>
      <w:r w:rsidR="00302D39" w:rsidRPr="00302D39">
        <w:rPr>
          <w:rFonts w:eastAsia="Arial" w:cs="Arial"/>
          <w:color w:val="000000"/>
          <w:szCs w:val="24"/>
          <w:lang w:eastAsia="en-GB"/>
        </w:rPr>
        <w:t>II</w:t>
      </w:r>
      <w:r w:rsidRPr="00556E35">
        <w:rPr>
          <w:rFonts w:eastAsia="Arial" w:cs="Arial"/>
          <w:color w:val="000000"/>
          <w:szCs w:val="24"/>
          <w:lang w:eastAsia="en-GB"/>
        </w:rPr>
        <w:fldChar w:fldCharType="end"/>
      </w:r>
      <w:r w:rsidRPr="00102034">
        <w:rPr>
          <w:rFonts w:eastAsia="Arial" w:cs="Arial"/>
          <w:color w:val="000000"/>
          <w:szCs w:val="24"/>
          <w:lang w:eastAsia="en-GB"/>
        </w:rPr>
        <w:t xml:space="preserve"> and personal data, the data exporter may redact part of the text of the Appendix to these Clauses prior to sharing a copy, but shall provide a meaningful summary where the data subject would otherwise not be able to understand the its content or exercise his/her rights. On request, the Parties shall provide the data subject with the reasons for the redactions, to the extent possible without revealing the redacted information. This Clause is without prejudice to the obligations of the data exporter under Articles 13 and 14 of Regulation (EU) 2016/679.</w:t>
      </w:r>
    </w:p>
    <w:p w14:paraId="5FF15665" w14:textId="77777777" w:rsidR="00F67E9E" w:rsidRPr="00102034" w:rsidRDefault="00F67E9E" w:rsidP="00F67E9E">
      <w:pPr>
        <w:pBdr>
          <w:top w:val="nil"/>
          <w:left w:val="nil"/>
          <w:bottom w:val="nil"/>
          <w:right w:val="nil"/>
          <w:between w:val="nil"/>
        </w:pBdr>
        <w:tabs>
          <w:tab w:val="left" w:pos="720"/>
        </w:tabs>
        <w:spacing w:before="240" w:after="240"/>
        <w:rPr>
          <w:rFonts w:eastAsia="Arial" w:cs="Arial"/>
          <w:b/>
          <w:color w:val="000000"/>
          <w:szCs w:val="24"/>
          <w:lang w:eastAsia="en-GB"/>
        </w:rPr>
      </w:pPr>
      <w:bookmarkStart w:id="3359" w:name="bookmark=id.4i1bb8e" w:colFirst="0" w:colLast="0"/>
      <w:bookmarkEnd w:id="3359"/>
      <w:r w:rsidRPr="00102034">
        <w:rPr>
          <w:rFonts w:eastAsia="Arial" w:cs="Arial"/>
          <w:b/>
          <w:color w:val="000000"/>
          <w:szCs w:val="24"/>
          <w:lang w:eastAsia="en-GB"/>
        </w:rPr>
        <w:t xml:space="preserve">8.4 </w:t>
      </w:r>
      <w:r>
        <w:rPr>
          <w:rFonts w:eastAsia="Arial" w:cs="Arial"/>
          <w:b/>
          <w:color w:val="000000"/>
          <w:szCs w:val="24"/>
          <w:lang w:eastAsia="en-GB"/>
        </w:rPr>
        <w:tab/>
      </w:r>
      <w:r w:rsidRPr="00102034">
        <w:rPr>
          <w:rFonts w:eastAsia="Arial" w:cs="Arial"/>
          <w:b/>
          <w:color w:val="000000"/>
          <w:szCs w:val="24"/>
          <w:lang w:eastAsia="en-GB"/>
        </w:rPr>
        <w:t>Accuracy</w:t>
      </w:r>
    </w:p>
    <w:p w14:paraId="488C3F53" w14:textId="77777777" w:rsidR="00F67E9E" w:rsidRPr="00102034" w:rsidRDefault="00F67E9E" w:rsidP="00F67E9E">
      <w:pPr>
        <w:pBdr>
          <w:top w:val="nil"/>
          <w:left w:val="nil"/>
          <w:bottom w:val="nil"/>
          <w:right w:val="nil"/>
          <w:between w:val="nil"/>
        </w:pBdr>
        <w:spacing w:before="120" w:after="240"/>
        <w:ind w:left="720"/>
        <w:rPr>
          <w:rFonts w:eastAsia="Arial" w:cs="Arial"/>
          <w:color w:val="000000"/>
          <w:szCs w:val="24"/>
          <w:lang w:eastAsia="en-GB"/>
        </w:rPr>
      </w:pPr>
      <w:bookmarkStart w:id="3360" w:name="bookmark=id.2x6llg7" w:colFirst="0" w:colLast="0"/>
      <w:bookmarkEnd w:id="3360"/>
      <w:r w:rsidRPr="00102034">
        <w:rPr>
          <w:rFonts w:eastAsia="Arial" w:cs="Arial"/>
          <w:color w:val="000000"/>
          <w:szCs w:val="24"/>
          <w:lang w:eastAsia="en-GB"/>
        </w:rPr>
        <w:t>If the data importer becomes aware that the personal data it has received is inaccurate, or has become outdated, it shall inform the data exporter without undue delay. In this case, the data importer shall cooperate with the data exporter to erase or rectify the data.</w:t>
      </w:r>
    </w:p>
    <w:p w14:paraId="47663CCD" w14:textId="77777777" w:rsidR="00F67E9E" w:rsidRPr="00102034" w:rsidRDefault="00F67E9E" w:rsidP="00F67E9E">
      <w:pPr>
        <w:pBdr>
          <w:top w:val="nil"/>
          <w:left w:val="nil"/>
          <w:bottom w:val="nil"/>
          <w:right w:val="nil"/>
          <w:between w:val="nil"/>
        </w:pBdr>
        <w:tabs>
          <w:tab w:val="left" w:pos="720"/>
        </w:tabs>
        <w:spacing w:before="240" w:after="240"/>
        <w:rPr>
          <w:rFonts w:eastAsia="Arial" w:cs="Arial"/>
          <w:b/>
          <w:color w:val="000000"/>
          <w:szCs w:val="24"/>
          <w:lang w:eastAsia="en-GB"/>
        </w:rPr>
      </w:pPr>
      <w:bookmarkStart w:id="3361" w:name="bookmark=id.1cbvvo0" w:colFirst="0" w:colLast="0"/>
      <w:bookmarkEnd w:id="3361"/>
      <w:r w:rsidRPr="00102034">
        <w:rPr>
          <w:rFonts w:eastAsia="Arial" w:cs="Arial"/>
          <w:b/>
          <w:color w:val="000000"/>
          <w:szCs w:val="24"/>
          <w:lang w:eastAsia="en-GB"/>
        </w:rPr>
        <w:t xml:space="preserve">8.5 </w:t>
      </w:r>
      <w:r>
        <w:rPr>
          <w:rFonts w:eastAsia="Arial" w:cs="Arial"/>
          <w:b/>
          <w:color w:val="000000"/>
          <w:szCs w:val="24"/>
          <w:lang w:eastAsia="en-GB"/>
        </w:rPr>
        <w:tab/>
      </w:r>
      <w:r w:rsidRPr="00102034">
        <w:rPr>
          <w:rFonts w:eastAsia="Arial" w:cs="Arial"/>
          <w:b/>
          <w:color w:val="000000"/>
          <w:szCs w:val="24"/>
          <w:lang w:eastAsia="en-GB"/>
        </w:rPr>
        <w:t>Duration of processing and erasure or return of data</w:t>
      </w:r>
    </w:p>
    <w:p w14:paraId="383762A9" w14:textId="77777777" w:rsidR="00F67E9E" w:rsidRPr="00102034" w:rsidRDefault="00F67E9E" w:rsidP="00F67E9E">
      <w:pPr>
        <w:pBdr>
          <w:top w:val="nil"/>
          <w:left w:val="nil"/>
          <w:bottom w:val="nil"/>
          <w:right w:val="nil"/>
          <w:between w:val="nil"/>
        </w:pBdr>
        <w:spacing w:before="120" w:after="240"/>
        <w:ind w:left="720"/>
        <w:rPr>
          <w:rFonts w:eastAsia="Arial" w:cs="Arial"/>
          <w:color w:val="000000"/>
          <w:szCs w:val="24"/>
          <w:lang w:eastAsia="en-GB"/>
        </w:rPr>
      </w:pPr>
      <w:bookmarkStart w:id="3362" w:name="bookmark=id.3wbjebt" w:colFirst="0" w:colLast="0"/>
      <w:bookmarkEnd w:id="3362"/>
      <w:r w:rsidRPr="00102034">
        <w:rPr>
          <w:rFonts w:eastAsia="Arial" w:cs="Arial"/>
          <w:color w:val="000000"/>
          <w:szCs w:val="24"/>
          <w:lang w:eastAsia="en-GB"/>
        </w:rPr>
        <w:t>Processing by the data importer shall only take place for the duration specified in Annex I.B. After the end of the provision of the processing services, the data importer shall, at the choice of the data exporter, delete all personal data processed on behalf of the data exporter and certify to the data exporter that it has done so, or return to the data exporter all personal data processed on its behalf and delete existing copies. Until the data is deleted or returned, the data importer shall continue to ensure compliance with these Clauses. In case of local laws applicable to the data importer that prohibit return or deletion of the personal data, the data importer warrants that it will continue to ensure compliance with these Clauses and will only process it to the extent and for as long as required under that local law. This is without prejudice to Clause 14, in particular the requirement for the data importer under Clause 14(e) to notify the data exporter throughout the duration of the contract if it has reason to believe that it is or has become subject to laws or practices not in line with the requirements under Clause 14(a).</w:t>
      </w:r>
    </w:p>
    <w:p w14:paraId="3FD0AD3C" w14:textId="77777777" w:rsidR="00F67E9E" w:rsidRPr="00102034" w:rsidRDefault="00F67E9E" w:rsidP="00F67E9E">
      <w:pPr>
        <w:pBdr>
          <w:top w:val="nil"/>
          <w:left w:val="nil"/>
          <w:bottom w:val="nil"/>
          <w:right w:val="nil"/>
          <w:between w:val="nil"/>
        </w:pBdr>
        <w:tabs>
          <w:tab w:val="left" w:pos="720"/>
        </w:tabs>
        <w:spacing w:before="240" w:after="240"/>
        <w:rPr>
          <w:rFonts w:eastAsia="Arial" w:cs="Arial"/>
          <w:b/>
          <w:color w:val="000000"/>
          <w:szCs w:val="24"/>
          <w:lang w:eastAsia="en-GB"/>
        </w:rPr>
      </w:pPr>
      <w:bookmarkStart w:id="3363" w:name="bookmark=id.2bgtojm" w:colFirst="0" w:colLast="0"/>
      <w:bookmarkEnd w:id="3363"/>
      <w:r w:rsidRPr="00102034">
        <w:rPr>
          <w:rFonts w:eastAsia="Arial" w:cs="Arial"/>
          <w:b/>
          <w:color w:val="000000"/>
          <w:szCs w:val="24"/>
          <w:lang w:eastAsia="en-GB"/>
        </w:rPr>
        <w:t xml:space="preserve">8.6 </w:t>
      </w:r>
      <w:r>
        <w:rPr>
          <w:rFonts w:eastAsia="Arial" w:cs="Arial"/>
          <w:b/>
          <w:color w:val="000000"/>
          <w:szCs w:val="24"/>
          <w:lang w:eastAsia="en-GB"/>
        </w:rPr>
        <w:tab/>
      </w:r>
      <w:r w:rsidRPr="00102034">
        <w:rPr>
          <w:rFonts w:eastAsia="Arial" w:cs="Arial"/>
          <w:b/>
          <w:color w:val="000000"/>
          <w:szCs w:val="24"/>
          <w:lang w:eastAsia="en-GB"/>
        </w:rPr>
        <w:t>Security of processing</w:t>
      </w:r>
    </w:p>
    <w:p w14:paraId="4392A758" w14:textId="786E820D" w:rsidR="00F67E9E" w:rsidRPr="00102034" w:rsidRDefault="00F67E9E" w:rsidP="00F67E9E">
      <w:pPr>
        <w:numPr>
          <w:ilvl w:val="1"/>
          <w:numId w:val="240"/>
        </w:numPr>
        <w:pBdr>
          <w:top w:val="nil"/>
          <w:left w:val="nil"/>
          <w:bottom w:val="nil"/>
          <w:right w:val="nil"/>
          <w:between w:val="nil"/>
        </w:pBdr>
        <w:spacing w:before="120" w:after="240"/>
        <w:ind w:left="1440" w:hanging="720"/>
        <w:rPr>
          <w:rFonts w:eastAsia="Arial" w:cs="Arial"/>
          <w:color w:val="000000"/>
          <w:szCs w:val="24"/>
          <w:lang w:eastAsia="en-GB"/>
        </w:rPr>
      </w:pPr>
      <w:bookmarkStart w:id="3364" w:name="bookmark=id.qm3yrf" w:colFirst="0" w:colLast="0"/>
      <w:bookmarkEnd w:id="3364"/>
      <w:r w:rsidRPr="00102034">
        <w:rPr>
          <w:rFonts w:eastAsia="Arial" w:cs="Arial"/>
          <w:color w:val="000000"/>
          <w:szCs w:val="24"/>
          <w:lang w:eastAsia="en-GB"/>
        </w:rPr>
        <w:t xml:space="preserve">The data importer and, during transmission, also the data exporter shall implement appropriate technical and organisational measures to ensure the security of the data, including protection against a breach of security leading to accidental or unlawful destruction, loss, alteration, unauthorised disclosure or access to that data (hereinafter 'personal data breach'). In assessing the appropriate level of security, the Parties shall take due account of the state of the art, the costs of implementation, the nature, scope, context and purpose(s) of processing and the risks involved in the processing for the data subjects. The Parties shall in particular consider having recourse to encryption or pseudonymisation, including during transmission, where the purpose of processing can be fulfilled in that manner. In case of pseudonymisation, the additional information for attributing the personal data to a specific data subject shall, where possible, remain under the exclusive control of the data exporter. In complying with its obligations under this paragraph, the data importer shall at least implement the technical and organisational measures specified in Annex </w:t>
      </w:r>
      <w:r w:rsidRPr="00556E35">
        <w:rPr>
          <w:rFonts w:eastAsia="Arial" w:cs="Arial"/>
          <w:color w:val="000000"/>
          <w:szCs w:val="24"/>
          <w:lang w:eastAsia="en-GB"/>
        </w:rPr>
        <w:fldChar w:fldCharType="begin"/>
      </w:r>
      <w:r w:rsidRPr="00556E35">
        <w:rPr>
          <w:rFonts w:eastAsia="Arial" w:cs="Arial"/>
          <w:color w:val="000000"/>
          <w:szCs w:val="24"/>
          <w:lang w:eastAsia="en-GB"/>
        </w:rPr>
        <w:instrText xml:space="preserve"> REF Schedule_31_Annex_II \h </w:instrText>
      </w:r>
      <w:r w:rsidRPr="004B5F27">
        <w:rPr>
          <w:rFonts w:eastAsia="Arial" w:cs="Arial"/>
          <w:color w:val="000000"/>
          <w:szCs w:val="24"/>
          <w:lang w:eastAsia="en-GB"/>
        </w:rPr>
        <w:instrText xml:space="preserve"> \* MERGEFORMAT </w:instrText>
      </w:r>
      <w:r w:rsidRPr="00556E35">
        <w:rPr>
          <w:rFonts w:eastAsia="Arial" w:cs="Arial"/>
          <w:color w:val="000000"/>
          <w:szCs w:val="24"/>
          <w:lang w:eastAsia="en-GB"/>
        </w:rPr>
      </w:r>
      <w:r w:rsidRPr="00556E35">
        <w:rPr>
          <w:rFonts w:eastAsia="Arial" w:cs="Arial"/>
          <w:color w:val="000000"/>
          <w:szCs w:val="24"/>
          <w:lang w:eastAsia="en-GB"/>
        </w:rPr>
        <w:fldChar w:fldCharType="separate"/>
      </w:r>
      <w:r w:rsidR="00302D39" w:rsidRPr="00302D39">
        <w:rPr>
          <w:rFonts w:eastAsia="Arial" w:cs="Arial"/>
          <w:color w:val="000000"/>
          <w:szCs w:val="24"/>
          <w:lang w:eastAsia="en-GB"/>
        </w:rPr>
        <w:t>II</w:t>
      </w:r>
      <w:r w:rsidRPr="00556E35">
        <w:rPr>
          <w:rFonts w:eastAsia="Arial" w:cs="Arial"/>
          <w:color w:val="000000"/>
          <w:szCs w:val="24"/>
          <w:lang w:eastAsia="en-GB"/>
        </w:rPr>
        <w:fldChar w:fldCharType="end"/>
      </w:r>
      <w:r w:rsidRPr="00102034">
        <w:rPr>
          <w:rFonts w:eastAsia="Arial" w:cs="Arial"/>
          <w:color w:val="000000"/>
          <w:szCs w:val="24"/>
          <w:lang w:eastAsia="en-GB"/>
        </w:rPr>
        <w:t>. The data importer shall carry out regular checks to ensure that these measures continue to provide an appropriate level of security.</w:t>
      </w:r>
    </w:p>
    <w:p w14:paraId="6C2ABEEC" w14:textId="77777777" w:rsidR="00F67E9E" w:rsidRPr="00102034" w:rsidRDefault="00F67E9E" w:rsidP="00F67E9E">
      <w:pPr>
        <w:numPr>
          <w:ilvl w:val="1"/>
          <w:numId w:val="240"/>
        </w:numPr>
        <w:pBdr>
          <w:top w:val="nil"/>
          <w:left w:val="nil"/>
          <w:bottom w:val="nil"/>
          <w:right w:val="nil"/>
          <w:between w:val="nil"/>
        </w:pBdr>
        <w:spacing w:before="120" w:after="240"/>
        <w:ind w:left="1440" w:hanging="720"/>
        <w:rPr>
          <w:rFonts w:eastAsia="Arial" w:cs="Arial"/>
          <w:color w:val="000000"/>
          <w:szCs w:val="24"/>
          <w:lang w:eastAsia="en-GB"/>
        </w:rPr>
      </w:pPr>
      <w:bookmarkStart w:id="3365" w:name="bookmark=id.3alrhf8" w:colFirst="0" w:colLast="0"/>
      <w:bookmarkEnd w:id="3365"/>
      <w:r w:rsidRPr="00102034">
        <w:rPr>
          <w:rFonts w:eastAsia="Arial" w:cs="Arial"/>
          <w:color w:val="000000"/>
          <w:szCs w:val="24"/>
          <w:lang w:eastAsia="en-GB"/>
        </w:rPr>
        <w:t>The data importer shall grant access to the personal data to members of its personnel only to the extent strictly necessary for the implementation, management and monitoring of the contract. It shall ensure that persons authorised to process the personal data have committed themselves to confidentiality or are under an appropriate statutory obligation of confidentiality.</w:t>
      </w:r>
    </w:p>
    <w:p w14:paraId="3EEB496A" w14:textId="77777777" w:rsidR="00F67E9E" w:rsidRPr="00102034" w:rsidRDefault="00F67E9E" w:rsidP="00F67E9E">
      <w:pPr>
        <w:numPr>
          <w:ilvl w:val="1"/>
          <w:numId w:val="240"/>
        </w:numPr>
        <w:pBdr>
          <w:top w:val="nil"/>
          <w:left w:val="nil"/>
          <w:bottom w:val="nil"/>
          <w:right w:val="nil"/>
          <w:between w:val="nil"/>
        </w:pBdr>
        <w:spacing w:before="120" w:after="240"/>
        <w:ind w:left="1440" w:hanging="720"/>
        <w:rPr>
          <w:rFonts w:eastAsia="Arial" w:cs="Arial"/>
          <w:color w:val="000000"/>
          <w:szCs w:val="24"/>
          <w:lang w:eastAsia="en-GB"/>
        </w:rPr>
      </w:pPr>
      <w:bookmarkStart w:id="3366" w:name="bookmark=id.1pr1rn1" w:colFirst="0" w:colLast="0"/>
      <w:bookmarkEnd w:id="3366"/>
      <w:r w:rsidRPr="00102034">
        <w:rPr>
          <w:rFonts w:eastAsia="Arial" w:cs="Arial"/>
          <w:color w:val="000000"/>
          <w:szCs w:val="24"/>
          <w:lang w:eastAsia="en-GB"/>
        </w:rPr>
        <w:t>In the event of a personal data breach concerning personal data processed by the data importer under these Clauses, the data importer shall take appropriate measures to address the breach, including measures to mitigate its adverse effects. The data importer shall also notify the data exporter without undue delay after having become aware of the breach. Such notification shall contain the details of a contact point where more information can be obtained, a description of the nature of the breach (including, where possible, categories and approximate number of data subjects and personal data records concerned), its likely consequences and the measures taken or proposed to address the breach including, where appropriate, measures to mitigate its possible adverse effects. Where, and in so far as, it is not possible to provide all information at the same time, the initial notification shall contain the information then available and further information shall, as it becomes available, subsequently be provided without undue delay.</w:t>
      </w:r>
    </w:p>
    <w:p w14:paraId="636C2DB7" w14:textId="77777777" w:rsidR="00F67E9E" w:rsidRPr="00102034" w:rsidRDefault="00F67E9E" w:rsidP="00F67E9E">
      <w:pPr>
        <w:numPr>
          <w:ilvl w:val="1"/>
          <w:numId w:val="240"/>
        </w:numPr>
        <w:pBdr>
          <w:top w:val="nil"/>
          <w:left w:val="nil"/>
          <w:bottom w:val="nil"/>
          <w:right w:val="nil"/>
          <w:between w:val="nil"/>
        </w:pBdr>
        <w:spacing w:before="120" w:after="240"/>
        <w:ind w:left="1440" w:hanging="720"/>
        <w:rPr>
          <w:rFonts w:eastAsia="Arial" w:cs="Arial"/>
          <w:color w:val="000000"/>
          <w:szCs w:val="24"/>
          <w:lang w:eastAsia="en-GB"/>
        </w:rPr>
      </w:pPr>
      <w:bookmarkStart w:id="3367" w:name="bookmark=id.49qpaau" w:colFirst="0" w:colLast="0"/>
      <w:bookmarkEnd w:id="3367"/>
      <w:r w:rsidRPr="00102034">
        <w:rPr>
          <w:rFonts w:eastAsia="Arial" w:cs="Arial"/>
          <w:color w:val="000000"/>
          <w:szCs w:val="24"/>
          <w:lang w:eastAsia="en-GB"/>
        </w:rPr>
        <w:t>The data importer shall cooperate with and assist the data exporter to enable the data exporter to comply with its obligations under Regulation (EU) 2016/679, in particular to notify the competent supervisory authority and the affected data subjects, taking into account the nature of processing and the information available to the data importer.</w:t>
      </w:r>
    </w:p>
    <w:p w14:paraId="4822A6E3" w14:textId="77777777" w:rsidR="00F67E9E" w:rsidRPr="00102034" w:rsidRDefault="00F67E9E" w:rsidP="00F67E9E">
      <w:pPr>
        <w:pBdr>
          <w:top w:val="nil"/>
          <w:left w:val="nil"/>
          <w:bottom w:val="nil"/>
          <w:right w:val="nil"/>
          <w:between w:val="nil"/>
        </w:pBdr>
        <w:tabs>
          <w:tab w:val="left" w:pos="720"/>
        </w:tabs>
        <w:spacing w:before="240" w:after="240"/>
        <w:rPr>
          <w:rFonts w:eastAsia="Arial" w:cs="Arial"/>
          <w:b/>
          <w:color w:val="000000"/>
          <w:szCs w:val="24"/>
          <w:lang w:eastAsia="en-GB"/>
        </w:rPr>
      </w:pPr>
      <w:bookmarkStart w:id="3368" w:name="bookmark=id.2ovzkin" w:colFirst="0" w:colLast="0"/>
      <w:bookmarkEnd w:id="3368"/>
      <w:r w:rsidRPr="00102034">
        <w:rPr>
          <w:rFonts w:eastAsia="Arial" w:cs="Arial"/>
          <w:b/>
          <w:color w:val="000000"/>
          <w:szCs w:val="24"/>
          <w:lang w:eastAsia="en-GB"/>
        </w:rPr>
        <w:t xml:space="preserve">8.7 </w:t>
      </w:r>
      <w:r>
        <w:rPr>
          <w:rFonts w:eastAsia="Arial" w:cs="Arial"/>
          <w:b/>
          <w:color w:val="000000"/>
          <w:szCs w:val="24"/>
          <w:lang w:eastAsia="en-GB"/>
        </w:rPr>
        <w:tab/>
      </w:r>
      <w:r w:rsidRPr="00102034">
        <w:rPr>
          <w:rFonts w:eastAsia="Arial" w:cs="Arial"/>
          <w:b/>
          <w:color w:val="000000"/>
          <w:szCs w:val="24"/>
          <w:lang w:eastAsia="en-GB"/>
        </w:rPr>
        <w:t>Sensitive data</w:t>
      </w:r>
    </w:p>
    <w:p w14:paraId="74693165" w14:textId="77777777" w:rsidR="00F67E9E" w:rsidRPr="00102034" w:rsidRDefault="00F67E9E" w:rsidP="00F67E9E">
      <w:pPr>
        <w:pBdr>
          <w:top w:val="nil"/>
          <w:left w:val="nil"/>
          <w:bottom w:val="nil"/>
          <w:right w:val="nil"/>
          <w:between w:val="nil"/>
        </w:pBdr>
        <w:spacing w:before="120" w:after="240"/>
        <w:ind w:left="720"/>
        <w:rPr>
          <w:rFonts w:eastAsia="Arial" w:cs="Arial"/>
          <w:color w:val="000000"/>
          <w:szCs w:val="24"/>
          <w:lang w:eastAsia="en-GB"/>
        </w:rPr>
      </w:pPr>
      <w:bookmarkStart w:id="3369" w:name="bookmark=id.1419uqg" w:colFirst="0" w:colLast="0"/>
      <w:bookmarkEnd w:id="3369"/>
      <w:r w:rsidRPr="00102034">
        <w:rPr>
          <w:rFonts w:eastAsia="Arial" w:cs="Arial"/>
          <w:color w:val="000000"/>
          <w:szCs w:val="24"/>
          <w:lang w:eastAsia="en-GB"/>
        </w:rPr>
        <w:t>Where the transfer involves personal data revealing racial or ethnic origin, political opinions, religious or philosophical beliefs, or trade union membership, genetic data, or biometric data for the purpose of uniquely identifying a natural person, data concerning health or a person's sex life or sexual orientation, or data relating to criminal convictions and offences (hereinafter 'sensitive data'), the data importer shall apply the specific restrictions and/or additional safeguards described in Annex I.B.</w:t>
      </w:r>
    </w:p>
    <w:p w14:paraId="0298F538" w14:textId="77777777" w:rsidR="00F67E9E" w:rsidRPr="00102034" w:rsidRDefault="00F67E9E" w:rsidP="00F67E9E">
      <w:pPr>
        <w:pBdr>
          <w:top w:val="nil"/>
          <w:left w:val="nil"/>
          <w:bottom w:val="nil"/>
          <w:right w:val="nil"/>
          <w:between w:val="nil"/>
        </w:pBdr>
        <w:tabs>
          <w:tab w:val="left" w:pos="720"/>
        </w:tabs>
        <w:spacing w:before="240" w:after="240"/>
        <w:rPr>
          <w:rFonts w:eastAsia="Arial" w:cs="Arial"/>
          <w:b/>
          <w:color w:val="000000"/>
          <w:szCs w:val="24"/>
          <w:lang w:eastAsia="en-GB"/>
        </w:rPr>
      </w:pPr>
      <w:bookmarkStart w:id="3370" w:name="bookmark=id.3o0xde9" w:colFirst="0" w:colLast="0"/>
      <w:bookmarkEnd w:id="3370"/>
      <w:r w:rsidRPr="00102034">
        <w:rPr>
          <w:rFonts w:eastAsia="Arial" w:cs="Arial"/>
          <w:b/>
          <w:color w:val="000000"/>
          <w:szCs w:val="24"/>
          <w:lang w:eastAsia="en-GB"/>
        </w:rPr>
        <w:t xml:space="preserve">8.8 </w:t>
      </w:r>
      <w:r>
        <w:rPr>
          <w:rFonts w:eastAsia="Arial" w:cs="Arial"/>
          <w:b/>
          <w:color w:val="000000"/>
          <w:szCs w:val="24"/>
          <w:lang w:eastAsia="en-GB"/>
        </w:rPr>
        <w:tab/>
      </w:r>
      <w:r w:rsidRPr="00102034">
        <w:rPr>
          <w:rFonts w:eastAsia="Arial" w:cs="Arial"/>
          <w:b/>
          <w:color w:val="000000"/>
          <w:szCs w:val="24"/>
          <w:lang w:eastAsia="en-GB"/>
        </w:rPr>
        <w:t>Onward transfers</w:t>
      </w:r>
    </w:p>
    <w:p w14:paraId="41040CD5" w14:textId="77777777" w:rsidR="00F67E9E" w:rsidRPr="00102034" w:rsidRDefault="00F67E9E" w:rsidP="00F67E9E">
      <w:pPr>
        <w:numPr>
          <w:ilvl w:val="1"/>
          <w:numId w:val="241"/>
        </w:numPr>
        <w:pBdr>
          <w:top w:val="nil"/>
          <w:left w:val="nil"/>
          <w:bottom w:val="nil"/>
          <w:right w:val="nil"/>
          <w:between w:val="nil"/>
        </w:pBdr>
        <w:spacing w:before="120" w:after="240"/>
        <w:ind w:left="1440" w:hanging="720"/>
        <w:rPr>
          <w:rFonts w:eastAsia="Arial" w:cs="Arial"/>
          <w:color w:val="000000"/>
          <w:szCs w:val="24"/>
          <w:lang w:eastAsia="en-GB"/>
        </w:rPr>
      </w:pPr>
      <w:bookmarkStart w:id="3371" w:name="bookmark=id.2367nm2" w:colFirst="0" w:colLast="0"/>
      <w:bookmarkEnd w:id="3371"/>
      <w:r w:rsidRPr="00102034">
        <w:rPr>
          <w:rFonts w:eastAsia="Arial" w:cs="Arial"/>
          <w:color w:val="000000"/>
          <w:szCs w:val="24"/>
          <w:lang w:eastAsia="en-GB"/>
        </w:rPr>
        <w:t>The data importer shall only disclose the personal data to a third party on documented instructions from the data exporter. In addition, the data may only be disclosed to a third party located outside the European Union[</w:t>
      </w:r>
      <w:hyperlink w:anchor="bookmark=id.4ahmipj">
        <w:r w:rsidRPr="00102034">
          <w:rPr>
            <w:rFonts w:eastAsia="Arial" w:cs="Arial"/>
            <w:color w:val="0000FF"/>
            <w:szCs w:val="24"/>
            <w:u w:val="single"/>
            <w:lang w:eastAsia="en-GB"/>
          </w:rPr>
          <w:t>FN4</w:t>
        </w:r>
      </w:hyperlink>
      <w:r w:rsidRPr="00102034">
        <w:rPr>
          <w:rFonts w:eastAsia="Arial" w:cs="Arial"/>
          <w:color w:val="000000"/>
          <w:szCs w:val="24"/>
          <w:lang w:eastAsia="en-GB"/>
        </w:rPr>
        <w:t>] (in the same country as the data importer or in another third country, hereinafter 'onward transfer') if the third party is or agrees to be bound by these Clauses, under the appropriate Module, or if:</w:t>
      </w:r>
    </w:p>
    <w:p w14:paraId="536D16A8" w14:textId="77777777" w:rsidR="00F67E9E" w:rsidRPr="00102034" w:rsidRDefault="00F67E9E" w:rsidP="00F67E9E">
      <w:pPr>
        <w:numPr>
          <w:ilvl w:val="2"/>
          <w:numId w:val="35"/>
        </w:numPr>
        <w:pBdr>
          <w:top w:val="nil"/>
          <w:left w:val="nil"/>
          <w:bottom w:val="nil"/>
          <w:right w:val="nil"/>
          <w:between w:val="nil"/>
        </w:pBdr>
        <w:spacing w:before="120" w:after="240"/>
        <w:ind w:left="2160" w:hanging="720"/>
        <w:rPr>
          <w:rFonts w:eastAsia="Arial" w:cs="Arial"/>
          <w:color w:val="000000"/>
          <w:szCs w:val="24"/>
          <w:lang w:eastAsia="en-GB"/>
        </w:rPr>
      </w:pPr>
      <w:bookmarkStart w:id="3372" w:name="bookmark=id.ibhxtv" w:colFirst="0" w:colLast="0"/>
      <w:bookmarkEnd w:id="3372"/>
      <w:r w:rsidRPr="00102034">
        <w:rPr>
          <w:rFonts w:eastAsia="Arial" w:cs="Arial"/>
          <w:color w:val="000000"/>
          <w:szCs w:val="24"/>
          <w:lang w:eastAsia="en-GB"/>
        </w:rPr>
        <w:t>the onward transfer is to a country benefitting from an adequacy decision pursuant to Article 45 of Regulation (EU) 2016/679 that covers the onward transfer;</w:t>
      </w:r>
    </w:p>
    <w:p w14:paraId="1B0AFC42" w14:textId="77777777" w:rsidR="00F67E9E" w:rsidRPr="00102034" w:rsidRDefault="00F67E9E" w:rsidP="00F67E9E">
      <w:pPr>
        <w:numPr>
          <w:ilvl w:val="2"/>
          <w:numId w:val="35"/>
        </w:numPr>
        <w:pBdr>
          <w:top w:val="nil"/>
          <w:left w:val="nil"/>
          <w:bottom w:val="nil"/>
          <w:right w:val="nil"/>
          <w:between w:val="nil"/>
        </w:pBdr>
        <w:spacing w:before="120" w:after="240"/>
        <w:ind w:left="2160" w:hanging="720"/>
        <w:rPr>
          <w:rFonts w:eastAsia="Arial" w:cs="Arial"/>
          <w:color w:val="000000"/>
          <w:szCs w:val="24"/>
          <w:lang w:eastAsia="en-GB"/>
        </w:rPr>
      </w:pPr>
      <w:bookmarkStart w:id="3373" w:name="bookmark=id.32b5gho" w:colFirst="0" w:colLast="0"/>
      <w:bookmarkEnd w:id="3373"/>
      <w:r w:rsidRPr="00102034">
        <w:rPr>
          <w:rFonts w:eastAsia="Arial" w:cs="Arial"/>
          <w:color w:val="000000"/>
          <w:szCs w:val="24"/>
          <w:lang w:eastAsia="en-GB"/>
        </w:rPr>
        <w:t>the third party otherwise ensures appropriate safeguards pursuant to Articles 46 or 47 Regulation of (EU) 2016/679 with respect to the processing in question;</w:t>
      </w:r>
    </w:p>
    <w:p w14:paraId="0F7C1F8F" w14:textId="77777777" w:rsidR="00F67E9E" w:rsidRPr="00102034" w:rsidRDefault="00F67E9E" w:rsidP="00F67E9E">
      <w:pPr>
        <w:numPr>
          <w:ilvl w:val="2"/>
          <w:numId w:val="35"/>
        </w:numPr>
        <w:pBdr>
          <w:top w:val="nil"/>
          <w:left w:val="nil"/>
          <w:bottom w:val="nil"/>
          <w:right w:val="nil"/>
          <w:between w:val="nil"/>
        </w:pBdr>
        <w:spacing w:before="120" w:after="240"/>
        <w:ind w:left="2160" w:hanging="720"/>
        <w:rPr>
          <w:rFonts w:eastAsia="Arial" w:cs="Arial"/>
          <w:color w:val="000000"/>
          <w:szCs w:val="24"/>
          <w:lang w:eastAsia="en-GB"/>
        </w:rPr>
      </w:pPr>
      <w:bookmarkStart w:id="3374" w:name="bookmark=id.1hgfqph" w:colFirst="0" w:colLast="0"/>
      <w:bookmarkEnd w:id="3374"/>
      <w:r w:rsidRPr="00102034">
        <w:rPr>
          <w:rFonts w:eastAsia="Arial" w:cs="Arial"/>
          <w:color w:val="000000"/>
          <w:szCs w:val="24"/>
          <w:lang w:eastAsia="en-GB"/>
        </w:rPr>
        <w:t>the onward transfer is necessary for the establishment, exercise or defence of legal claims in the context of specific administrative, regulatory or judicial proceedings; or</w:t>
      </w:r>
    </w:p>
    <w:p w14:paraId="27D3718A" w14:textId="77777777" w:rsidR="00F67E9E" w:rsidRPr="00102034" w:rsidRDefault="00F67E9E" w:rsidP="00F67E9E">
      <w:pPr>
        <w:numPr>
          <w:ilvl w:val="2"/>
          <w:numId w:val="35"/>
        </w:numPr>
        <w:pBdr>
          <w:top w:val="nil"/>
          <w:left w:val="nil"/>
          <w:bottom w:val="nil"/>
          <w:right w:val="nil"/>
          <w:between w:val="nil"/>
        </w:pBdr>
        <w:spacing w:before="120" w:after="240"/>
        <w:ind w:left="2160" w:hanging="720"/>
        <w:rPr>
          <w:rFonts w:eastAsia="Arial" w:cs="Arial"/>
          <w:color w:val="000000"/>
          <w:szCs w:val="24"/>
          <w:lang w:eastAsia="en-GB"/>
        </w:rPr>
      </w:pPr>
      <w:bookmarkStart w:id="3375" w:name="bookmark=id.41g39da" w:colFirst="0" w:colLast="0"/>
      <w:bookmarkEnd w:id="3375"/>
      <w:r w:rsidRPr="00102034">
        <w:rPr>
          <w:rFonts w:eastAsia="Arial" w:cs="Arial"/>
          <w:color w:val="000000"/>
          <w:szCs w:val="24"/>
          <w:lang w:eastAsia="en-GB"/>
        </w:rPr>
        <w:t>the onward transfer is necessary in order to protect the vital interests of the data subject or of another natural person.</w:t>
      </w:r>
    </w:p>
    <w:p w14:paraId="75B784A2" w14:textId="77777777" w:rsidR="00F67E9E" w:rsidRPr="00102034" w:rsidRDefault="00F67E9E" w:rsidP="00F67E9E">
      <w:pPr>
        <w:numPr>
          <w:ilvl w:val="1"/>
          <w:numId w:val="241"/>
        </w:numPr>
        <w:pBdr>
          <w:top w:val="nil"/>
          <w:left w:val="nil"/>
          <w:bottom w:val="nil"/>
          <w:right w:val="nil"/>
          <w:between w:val="nil"/>
        </w:pBdr>
        <w:spacing w:before="120" w:after="240" w:line="276" w:lineRule="auto"/>
        <w:ind w:left="1440" w:hanging="720"/>
        <w:rPr>
          <w:rFonts w:eastAsia="Arial" w:cs="Arial"/>
          <w:color w:val="000000"/>
          <w:szCs w:val="24"/>
          <w:lang w:eastAsia="en-GB"/>
        </w:rPr>
      </w:pPr>
      <w:bookmarkStart w:id="3376" w:name="bookmark=id.2gldjl3" w:colFirst="0" w:colLast="0"/>
      <w:bookmarkEnd w:id="3376"/>
      <w:r w:rsidRPr="00102034">
        <w:rPr>
          <w:rFonts w:eastAsia="Arial" w:cs="Arial"/>
          <w:color w:val="000000"/>
          <w:szCs w:val="24"/>
          <w:lang w:eastAsia="en-GB"/>
        </w:rPr>
        <w:t>Any onward transfer is subject to compliance by the data importer with all the other safeguards under these Clauses, in particular purpose limitation.</w:t>
      </w:r>
    </w:p>
    <w:p w14:paraId="1C684253" w14:textId="77777777" w:rsidR="00F67E9E" w:rsidRPr="00102034" w:rsidRDefault="00F67E9E" w:rsidP="00F67E9E">
      <w:pPr>
        <w:pBdr>
          <w:top w:val="nil"/>
          <w:left w:val="nil"/>
          <w:bottom w:val="nil"/>
          <w:right w:val="nil"/>
          <w:between w:val="nil"/>
        </w:pBdr>
        <w:tabs>
          <w:tab w:val="left" w:pos="720"/>
        </w:tabs>
        <w:spacing w:before="240" w:after="240"/>
        <w:rPr>
          <w:rFonts w:eastAsia="Arial" w:cs="Arial"/>
          <w:b/>
          <w:color w:val="000000"/>
          <w:szCs w:val="24"/>
          <w:lang w:eastAsia="en-GB"/>
        </w:rPr>
      </w:pPr>
      <w:bookmarkStart w:id="3377" w:name="bookmark=id.vqntsw" w:colFirst="0" w:colLast="0"/>
      <w:bookmarkEnd w:id="3377"/>
      <w:r w:rsidRPr="00102034">
        <w:rPr>
          <w:rFonts w:eastAsia="Arial" w:cs="Arial"/>
          <w:b/>
          <w:color w:val="000000"/>
          <w:szCs w:val="24"/>
          <w:lang w:eastAsia="en-GB"/>
        </w:rPr>
        <w:t xml:space="preserve">8.9 </w:t>
      </w:r>
      <w:r>
        <w:rPr>
          <w:rFonts w:eastAsia="Arial" w:cs="Arial"/>
          <w:b/>
          <w:color w:val="000000"/>
          <w:szCs w:val="24"/>
          <w:lang w:eastAsia="en-GB"/>
        </w:rPr>
        <w:tab/>
      </w:r>
      <w:r w:rsidRPr="00102034">
        <w:rPr>
          <w:rFonts w:eastAsia="Arial" w:cs="Arial"/>
          <w:b/>
          <w:color w:val="000000"/>
          <w:szCs w:val="24"/>
          <w:lang w:eastAsia="en-GB"/>
        </w:rPr>
        <w:t>Documentation and compliance</w:t>
      </w:r>
    </w:p>
    <w:p w14:paraId="66C52D36" w14:textId="77777777" w:rsidR="00F67E9E" w:rsidRPr="00102034" w:rsidRDefault="00F67E9E" w:rsidP="00F67E9E">
      <w:pPr>
        <w:numPr>
          <w:ilvl w:val="1"/>
          <w:numId w:val="242"/>
        </w:numPr>
        <w:pBdr>
          <w:top w:val="nil"/>
          <w:left w:val="nil"/>
          <w:bottom w:val="nil"/>
          <w:right w:val="nil"/>
          <w:between w:val="nil"/>
        </w:pBdr>
        <w:spacing w:before="120" w:after="240"/>
        <w:ind w:left="1440" w:hanging="720"/>
        <w:rPr>
          <w:rFonts w:eastAsia="Arial" w:cs="Arial"/>
          <w:color w:val="000000"/>
          <w:szCs w:val="24"/>
          <w:lang w:eastAsia="en-GB"/>
        </w:rPr>
      </w:pPr>
      <w:bookmarkStart w:id="3378" w:name="bookmark=id.3fqbcgp" w:colFirst="0" w:colLast="0"/>
      <w:bookmarkEnd w:id="3378"/>
      <w:r w:rsidRPr="00102034">
        <w:rPr>
          <w:rFonts w:eastAsia="Arial" w:cs="Arial"/>
          <w:color w:val="000000"/>
          <w:szCs w:val="24"/>
          <w:lang w:eastAsia="en-GB"/>
        </w:rPr>
        <w:t>The data importer shall promptly and adequately deal with enquiries from the data exporter that relate to the processing under these Clauses.</w:t>
      </w:r>
    </w:p>
    <w:p w14:paraId="35646043" w14:textId="77777777" w:rsidR="00F67E9E" w:rsidRPr="00102034" w:rsidRDefault="00F67E9E" w:rsidP="00F67E9E">
      <w:pPr>
        <w:numPr>
          <w:ilvl w:val="1"/>
          <w:numId w:val="242"/>
        </w:numPr>
        <w:pBdr>
          <w:top w:val="nil"/>
          <w:left w:val="nil"/>
          <w:bottom w:val="nil"/>
          <w:right w:val="nil"/>
          <w:between w:val="nil"/>
        </w:pBdr>
        <w:spacing w:before="120" w:after="240"/>
        <w:ind w:left="1440" w:hanging="720"/>
        <w:rPr>
          <w:rFonts w:eastAsia="Arial" w:cs="Arial"/>
          <w:color w:val="000000"/>
          <w:szCs w:val="24"/>
          <w:lang w:eastAsia="en-GB"/>
        </w:rPr>
      </w:pPr>
      <w:bookmarkStart w:id="3379" w:name="bookmark=id.1uvlmoi" w:colFirst="0" w:colLast="0"/>
      <w:bookmarkStart w:id="3380" w:name="_Ref141248370"/>
      <w:bookmarkEnd w:id="3379"/>
      <w:r w:rsidRPr="00102034">
        <w:rPr>
          <w:rFonts w:eastAsia="Arial" w:cs="Arial"/>
          <w:color w:val="000000"/>
          <w:szCs w:val="24"/>
          <w:lang w:eastAsia="en-GB"/>
        </w:rPr>
        <w:t>The Parties shall be able to demonstrate compliance with these Clauses. In particular, the data importer shall keep appropriate documentation on the processing activities carried out on behalf of the data exporter.</w:t>
      </w:r>
      <w:bookmarkEnd w:id="3380"/>
    </w:p>
    <w:p w14:paraId="66CDB68A" w14:textId="77777777" w:rsidR="00F67E9E" w:rsidRPr="00102034" w:rsidRDefault="00F67E9E" w:rsidP="00F67E9E">
      <w:pPr>
        <w:numPr>
          <w:ilvl w:val="1"/>
          <w:numId w:val="242"/>
        </w:numPr>
        <w:pBdr>
          <w:top w:val="nil"/>
          <w:left w:val="nil"/>
          <w:bottom w:val="nil"/>
          <w:right w:val="nil"/>
          <w:between w:val="nil"/>
        </w:pBdr>
        <w:spacing w:before="120" w:after="240"/>
        <w:ind w:left="1440" w:hanging="720"/>
        <w:rPr>
          <w:rFonts w:eastAsia="Arial" w:cs="Arial"/>
          <w:color w:val="000000"/>
          <w:szCs w:val="24"/>
          <w:lang w:eastAsia="en-GB"/>
        </w:rPr>
      </w:pPr>
      <w:bookmarkStart w:id="3381" w:name="bookmark=id.4ev95cb" w:colFirst="0" w:colLast="0"/>
      <w:bookmarkStart w:id="3382" w:name="_Ref141248388"/>
      <w:bookmarkEnd w:id="3381"/>
      <w:r w:rsidRPr="00102034">
        <w:rPr>
          <w:rFonts w:eastAsia="Arial" w:cs="Arial"/>
          <w:color w:val="000000"/>
          <w:szCs w:val="24"/>
          <w:lang w:eastAsia="en-GB"/>
        </w:rPr>
        <w:t>The data importer shall make available to the data exporter all information necessary to demonstrate compliance with the obligations set out in these Clauses and at the data exporter's request, allow for and contribute to audits of the processing activities covered by these Clauses, at reasonable intervals or if there are indications of non-compliance. In deciding on a review or audit, the data exporter may take into account relevant certifications held by the data importer.</w:t>
      </w:r>
      <w:bookmarkEnd w:id="3382"/>
    </w:p>
    <w:p w14:paraId="7CE0C1EB" w14:textId="77777777" w:rsidR="00F67E9E" w:rsidRPr="00102034" w:rsidRDefault="00F67E9E" w:rsidP="00F67E9E">
      <w:pPr>
        <w:numPr>
          <w:ilvl w:val="1"/>
          <w:numId w:val="242"/>
        </w:numPr>
        <w:pBdr>
          <w:top w:val="nil"/>
          <w:left w:val="nil"/>
          <w:bottom w:val="nil"/>
          <w:right w:val="nil"/>
          <w:between w:val="nil"/>
        </w:pBdr>
        <w:spacing w:before="120" w:after="240"/>
        <w:ind w:left="1440" w:hanging="720"/>
        <w:rPr>
          <w:rFonts w:eastAsia="Arial" w:cs="Arial"/>
          <w:color w:val="000000"/>
          <w:szCs w:val="24"/>
          <w:lang w:eastAsia="en-GB"/>
        </w:rPr>
      </w:pPr>
      <w:bookmarkStart w:id="3383" w:name="bookmark=id.2u0jfk4" w:colFirst="0" w:colLast="0"/>
      <w:bookmarkEnd w:id="3383"/>
      <w:r w:rsidRPr="00102034">
        <w:rPr>
          <w:rFonts w:eastAsia="Arial" w:cs="Arial"/>
          <w:color w:val="000000"/>
          <w:szCs w:val="24"/>
          <w:lang w:eastAsia="en-GB"/>
        </w:rPr>
        <w:t>The data exporter may choose to conduct the audit by itself or mandate an independent auditor. Audits may include inspections at the premises or physical facilities of the data importer and shall, where appropriate, be carried out with reasonable notice.</w:t>
      </w:r>
    </w:p>
    <w:p w14:paraId="557C42E4" w14:textId="0B147A37" w:rsidR="00F67E9E" w:rsidRPr="00E26939" w:rsidRDefault="00F67E9E" w:rsidP="00F67E9E">
      <w:pPr>
        <w:numPr>
          <w:ilvl w:val="1"/>
          <w:numId w:val="242"/>
        </w:numPr>
        <w:pBdr>
          <w:top w:val="nil"/>
          <w:left w:val="nil"/>
          <w:bottom w:val="nil"/>
          <w:right w:val="nil"/>
          <w:between w:val="nil"/>
        </w:pBdr>
        <w:spacing w:before="120" w:after="240"/>
        <w:ind w:left="1440" w:hanging="720"/>
        <w:rPr>
          <w:rFonts w:eastAsia="Arial" w:cs="Arial"/>
          <w:color w:val="000000"/>
          <w:szCs w:val="24"/>
          <w:lang w:eastAsia="en-GB"/>
        </w:rPr>
      </w:pPr>
      <w:bookmarkStart w:id="3384" w:name="bookmark=id.195tprx" w:colFirst="0" w:colLast="0"/>
      <w:bookmarkEnd w:id="3384"/>
      <w:r w:rsidRPr="00102034">
        <w:rPr>
          <w:rFonts w:eastAsia="Arial" w:cs="Arial"/>
          <w:color w:val="000000"/>
          <w:szCs w:val="24"/>
          <w:lang w:eastAsia="en-GB"/>
        </w:rPr>
        <w:t>The Parties shall make the information referred to in paragraphs ‎</w:t>
      </w:r>
      <w:r>
        <w:rPr>
          <w:rFonts w:eastAsia="Arial" w:cs="Arial"/>
          <w:color w:val="000000"/>
          <w:szCs w:val="24"/>
          <w:lang w:eastAsia="en-GB"/>
        </w:rPr>
        <w:fldChar w:fldCharType="begin"/>
      </w:r>
      <w:r>
        <w:rPr>
          <w:rFonts w:eastAsia="Arial" w:cs="Arial"/>
          <w:color w:val="000000"/>
          <w:szCs w:val="24"/>
          <w:lang w:eastAsia="en-GB"/>
        </w:rPr>
        <w:instrText xml:space="preserve"> REF _Ref141248370 \n \h </w:instrText>
      </w:r>
      <w:r>
        <w:rPr>
          <w:rFonts w:eastAsia="Arial" w:cs="Arial"/>
          <w:color w:val="000000"/>
          <w:szCs w:val="24"/>
          <w:lang w:eastAsia="en-GB"/>
        </w:rPr>
      </w:r>
      <w:r>
        <w:rPr>
          <w:rFonts w:eastAsia="Arial" w:cs="Arial"/>
          <w:color w:val="000000"/>
          <w:szCs w:val="24"/>
          <w:lang w:eastAsia="en-GB"/>
        </w:rPr>
        <w:fldChar w:fldCharType="separate"/>
      </w:r>
      <w:r w:rsidR="00302D39">
        <w:rPr>
          <w:rFonts w:eastAsia="Arial" w:cs="Arial"/>
          <w:color w:val="000000"/>
          <w:szCs w:val="24"/>
          <w:lang w:eastAsia="en-GB"/>
        </w:rPr>
        <w:t>(b)</w:t>
      </w:r>
      <w:r>
        <w:rPr>
          <w:rFonts w:eastAsia="Arial" w:cs="Arial"/>
          <w:color w:val="000000"/>
          <w:szCs w:val="24"/>
          <w:lang w:eastAsia="en-GB"/>
        </w:rPr>
        <w:fldChar w:fldCharType="end"/>
      </w:r>
      <w:r w:rsidRPr="00102034">
        <w:rPr>
          <w:rFonts w:eastAsia="Arial" w:cs="Arial"/>
          <w:color w:val="000000"/>
          <w:szCs w:val="24"/>
          <w:lang w:eastAsia="en-GB"/>
        </w:rPr>
        <w:t xml:space="preserve"> and </w:t>
      </w:r>
      <w:r>
        <w:rPr>
          <w:rFonts w:eastAsia="Arial" w:cs="Arial"/>
          <w:color w:val="000000"/>
          <w:szCs w:val="24"/>
          <w:lang w:eastAsia="en-GB"/>
        </w:rPr>
        <w:fldChar w:fldCharType="begin"/>
      </w:r>
      <w:r>
        <w:rPr>
          <w:rFonts w:eastAsia="Arial" w:cs="Arial"/>
          <w:color w:val="000000"/>
          <w:szCs w:val="24"/>
          <w:lang w:eastAsia="en-GB"/>
        </w:rPr>
        <w:instrText xml:space="preserve"> REF _Ref141248388 \n \h </w:instrText>
      </w:r>
      <w:r>
        <w:rPr>
          <w:rFonts w:eastAsia="Arial" w:cs="Arial"/>
          <w:color w:val="000000"/>
          <w:szCs w:val="24"/>
          <w:lang w:eastAsia="en-GB"/>
        </w:rPr>
      </w:r>
      <w:r>
        <w:rPr>
          <w:rFonts w:eastAsia="Arial" w:cs="Arial"/>
          <w:color w:val="000000"/>
          <w:szCs w:val="24"/>
          <w:lang w:eastAsia="en-GB"/>
        </w:rPr>
        <w:fldChar w:fldCharType="separate"/>
      </w:r>
      <w:r w:rsidR="00302D39">
        <w:rPr>
          <w:rFonts w:eastAsia="Arial" w:cs="Arial"/>
          <w:color w:val="000000"/>
          <w:szCs w:val="24"/>
          <w:lang w:eastAsia="en-GB"/>
        </w:rPr>
        <w:t>(c)</w:t>
      </w:r>
      <w:r>
        <w:rPr>
          <w:rFonts w:eastAsia="Arial" w:cs="Arial"/>
          <w:color w:val="000000"/>
          <w:szCs w:val="24"/>
          <w:lang w:eastAsia="en-GB"/>
        </w:rPr>
        <w:fldChar w:fldCharType="end"/>
      </w:r>
      <w:r w:rsidRPr="00102034">
        <w:rPr>
          <w:rFonts w:eastAsia="Arial" w:cs="Arial"/>
          <w:color w:val="000000"/>
          <w:szCs w:val="24"/>
          <w:lang w:eastAsia="en-GB"/>
        </w:rPr>
        <w:t xml:space="preserve">, including the results of any audits, available to the competent supervisory </w:t>
      </w:r>
      <w:r w:rsidRPr="00E26939">
        <w:rPr>
          <w:rFonts w:eastAsia="Arial" w:cs="Arial"/>
          <w:color w:val="000000"/>
          <w:szCs w:val="24"/>
          <w:lang w:eastAsia="en-GB"/>
        </w:rPr>
        <w:t>authority on request.</w:t>
      </w:r>
    </w:p>
    <w:p w14:paraId="1B1EFBAC" w14:textId="77777777" w:rsidR="00F67E9E" w:rsidRPr="00E26939" w:rsidRDefault="00F67E9E" w:rsidP="00F67E9E">
      <w:pPr>
        <w:pBdr>
          <w:top w:val="nil"/>
          <w:left w:val="nil"/>
          <w:bottom w:val="nil"/>
          <w:right w:val="nil"/>
          <w:between w:val="nil"/>
        </w:pBdr>
        <w:spacing w:before="120"/>
        <w:jc w:val="center"/>
        <w:rPr>
          <w:rFonts w:eastAsia="Arial" w:cs="Arial"/>
          <w:b/>
          <w:color w:val="000000"/>
          <w:szCs w:val="24"/>
          <w:lang w:eastAsia="en-GB"/>
        </w:rPr>
      </w:pPr>
      <w:r w:rsidRPr="00E26939">
        <w:rPr>
          <w:rFonts w:eastAsia="Arial" w:cs="Arial"/>
          <w:b/>
          <w:color w:val="000000"/>
          <w:szCs w:val="24"/>
          <w:lang w:eastAsia="en-GB"/>
        </w:rPr>
        <w:t>CLAUSE 9</w:t>
      </w:r>
    </w:p>
    <w:p w14:paraId="0EA9BCF8" w14:textId="77777777" w:rsidR="00F67E9E" w:rsidRPr="00102034" w:rsidRDefault="00F67E9E" w:rsidP="00F67E9E">
      <w:pPr>
        <w:pBdr>
          <w:top w:val="nil"/>
          <w:left w:val="nil"/>
          <w:bottom w:val="nil"/>
          <w:right w:val="nil"/>
          <w:between w:val="nil"/>
        </w:pBdr>
        <w:spacing w:before="240" w:after="240"/>
        <w:rPr>
          <w:rFonts w:eastAsia="Arial" w:cs="Arial"/>
          <w:b/>
          <w:color w:val="000000"/>
          <w:szCs w:val="24"/>
          <w:lang w:eastAsia="en-GB"/>
        </w:rPr>
      </w:pPr>
      <w:r w:rsidRPr="00E26939">
        <w:rPr>
          <w:rFonts w:eastAsia="Arial" w:cs="Arial"/>
          <w:b/>
          <w:color w:val="000000"/>
          <w:szCs w:val="24"/>
          <w:lang w:eastAsia="en-GB"/>
        </w:rPr>
        <w:t>Use of sub-processors</w:t>
      </w:r>
    </w:p>
    <w:p w14:paraId="20C33483" w14:textId="3338D3B0" w:rsidR="00F67E9E" w:rsidRPr="00102034" w:rsidRDefault="00F67E9E" w:rsidP="00F67E9E">
      <w:pPr>
        <w:pBdr>
          <w:top w:val="nil"/>
          <w:left w:val="nil"/>
          <w:bottom w:val="nil"/>
          <w:right w:val="nil"/>
          <w:between w:val="nil"/>
        </w:pBdr>
        <w:spacing w:before="120" w:after="240"/>
        <w:ind w:left="720" w:firstLine="1440"/>
        <w:rPr>
          <w:rFonts w:eastAsia="Arial" w:cs="Arial"/>
          <w:color w:val="000000"/>
          <w:szCs w:val="24"/>
          <w:lang w:eastAsia="en-GB"/>
        </w:rPr>
      </w:pPr>
      <w:bookmarkStart w:id="3385" w:name="bookmark=id.3t5h8fq" w:colFirst="0" w:colLast="0"/>
      <w:bookmarkEnd w:id="3385"/>
      <w:r w:rsidRPr="00102034">
        <w:rPr>
          <w:rFonts w:eastAsia="Arial" w:cs="Arial"/>
          <w:color w:val="000000"/>
          <w:szCs w:val="24"/>
          <w:lang w:eastAsia="en-GB"/>
        </w:rPr>
        <w:t>OPTION 1: SPECIFIC PRIOR AUTHORISATION The data importer shall not sub-contract any of its processing activities performed on behalf of the data exporter under these Clauses to a sub-processor without the data exporter's prior specific written authorisation. The data importer shall submit the request for specific authorisation at least [</w:t>
      </w:r>
      <w:r w:rsidRPr="00102034">
        <w:rPr>
          <w:rFonts w:eastAsia="Arial" w:cs="Arial"/>
          <w:i/>
          <w:color w:val="000000"/>
          <w:szCs w:val="24"/>
          <w:lang w:eastAsia="en-GB"/>
        </w:rPr>
        <w:t>Specify time period</w:t>
      </w:r>
      <w:r w:rsidRPr="00102034">
        <w:rPr>
          <w:rFonts w:eastAsia="Arial" w:cs="Arial"/>
          <w:color w:val="000000"/>
          <w:szCs w:val="24"/>
          <w:lang w:eastAsia="en-GB"/>
        </w:rPr>
        <w:t xml:space="preserve">] prior to the engagement of the sub-processor, together with the information necessary to enable the data exporter to decide on the authorisation. The list of sub-processors already authorised by the data exporter can be found in Annex </w:t>
      </w:r>
      <w:r w:rsidRPr="00556E35">
        <w:rPr>
          <w:rFonts w:eastAsia="Arial" w:cs="Arial"/>
          <w:color w:val="000000"/>
          <w:szCs w:val="24"/>
          <w:lang w:eastAsia="en-GB"/>
        </w:rPr>
        <w:fldChar w:fldCharType="begin"/>
      </w:r>
      <w:r w:rsidRPr="00556E35">
        <w:rPr>
          <w:rFonts w:eastAsia="Arial" w:cs="Arial"/>
          <w:color w:val="000000"/>
          <w:szCs w:val="24"/>
          <w:lang w:eastAsia="en-GB"/>
        </w:rPr>
        <w:instrText xml:space="preserve"> REF Schedule_31_Annex_III \h </w:instrText>
      </w:r>
      <w:r w:rsidRPr="004B5F27">
        <w:rPr>
          <w:rFonts w:eastAsia="Arial" w:cs="Arial"/>
          <w:color w:val="000000"/>
          <w:szCs w:val="24"/>
          <w:lang w:eastAsia="en-GB"/>
        </w:rPr>
        <w:instrText xml:space="preserve"> \* MERGEFORMAT </w:instrText>
      </w:r>
      <w:r w:rsidRPr="00556E35">
        <w:rPr>
          <w:rFonts w:eastAsia="Arial" w:cs="Arial"/>
          <w:color w:val="000000"/>
          <w:szCs w:val="24"/>
          <w:lang w:eastAsia="en-GB"/>
        </w:rPr>
      </w:r>
      <w:r w:rsidRPr="00556E35">
        <w:rPr>
          <w:rFonts w:eastAsia="Arial" w:cs="Arial"/>
          <w:color w:val="000000"/>
          <w:szCs w:val="24"/>
          <w:lang w:eastAsia="en-GB"/>
        </w:rPr>
        <w:fldChar w:fldCharType="separate"/>
      </w:r>
      <w:r w:rsidR="00302D39" w:rsidRPr="00302D39">
        <w:rPr>
          <w:rFonts w:eastAsia="Arial" w:cs="Arial"/>
          <w:color w:val="000000"/>
          <w:szCs w:val="24"/>
          <w:lang w:eastAsia="en-GB"/>
        </w:rPr>
        <w:t>III</w:t>
      </w:r>
      <w:r w:rsidRPr="00556E35">
        <w:rPr>
          <w:rFonts w:eastAsia="Arial" w:cs="Arial"/>
          <w:color w:val="000000"/>
          <w:szCs w:val="24"/>
          <w:lang w:eastAsia="en-GB"/>
        </w:rPr>
        <w:fldChar w:fldCharType="end"/>
      </w:r>
      <w:r w:rsidRPr="00102034">
        <w:rPr>
          <w:rFonts w:eastAsia="Arial" w:cs="Arial"/>
          <w:color w:val="000000"/>
          <w:szCs w:val="24"/>
          <w:lang w:eastAsia="en-GB"/>
        </w:rPr>
        <w:t>. The Parties shall keep Annex III up to date.</w:t>
      </w:r>
    </w:p>
    <w:p w14:paraId="7BC244D3" w14:textId="77777777" w:rsidR="00F67E9E" w:rsidRPr="00102034" w:rsidRDefault="00F67E9E" w:rsidP="00F67E9E">
      <w:pPr>
        <w:pBdr>
          <w:top w:val="nil"/>
          <w:left w:val="nil"/>
          <w:bottom w:val="nil"/>
          <w:right w:val="nil"/>
          <w:between w:val="nil"/>
        </w:pBdr>
        <w:spacing w:before="120" w:after="240"/>
        <w:ind w:left="720" w:firstLine="1440"/>
        <w:rPr>
          <w:rFonts w:eastAsia="Arial" w:cs="Arial"/>
          <w:color w:val="000000"/>
          <w:szCs w:val="24"/>
          <w:lang w:eastAsia="en-GB"/>
        </w:rPr>
      </w:pPr>
      <w:bookmarkStart w:id="3386" w:name="bookmark=id.28arinj" w:colFirst="0" w:colLast="0"/>
      <w:bookmarkEnd w:id="3386"/>
      <w:r w:rsidRPr="00102034">
        <w:rPr>
          <w:rFonts w:eastAsia="Arial" w:cs="Arial"/>
          <w:color w:val="000000"/>
          <w:szCs w:val="24"/>
          <w:lang w:eastAsia="en-GB"/>
        </w:rPr>
        <w:t>OPTION 2: GENERAL WRITTEN AUTHORISATION The data importer has the data exporter's general authorisation for the engagement of sub-processor(s) from an agreed list. The data importer shall specifically inform the data exporter in writing of any intended changes to that list through the addition or replacement of sub-processors at least [</w:t>
      </w:r>
      <w:r w:rsidRPr="00102034">
        <w:rPr>
          <w:rFonts w:eastAsia="Arial" w:cs="Arial"/>
          <w:i/>
          <w:color w:val="000000"/>
          <w:szCs w:val="24"/>
          <w:lang w:eastAsia="en-GB"/>
        </w:rPr>
        <w:t>Specify time period</w:t>
      </w:r>
      <w:r w:rsidRPr="00102034">
        <w:rPr>
          <w:rFonts w:eastAsia="Arial" w:cs="Arial"/>
          <w:color w:val="000000"/>
          <w:szCs w:val="24"/>
          <w:lang w:eastAsia="en-GB"/>
        </w:rPr>
        <w:t>] in advance, thereby giving the data exporter sufficient time to be able to object to such changes prior to the engagement of the sub-processor(s). The data importer shall provide the data exporter with the information necessary to enable the data exporter to exercise its right to object.</w:t>
      </w:r>
    </w:p>
    <w:p w14:paraId="66D75E8B" w14:textId="77777777" w:rsidR="00F67E9E" w:rsidRPr="00102034" w:rsidRDefault="00F67E9E" w:rsidP="00F67E9E">
      <w:pPr>
        <w:numPr>
          <w:ilvl w:val="1"/>
          <w:numId w:val="31"/>
        </w:numPr>
        <w:pBdr>
          <w:top w:val="nil"/>
          <w:left w:val="nil"/>
          <w:bottom w:val="nil"/>
          <w:right w:val="nil"/>
          <w:between w:val="nil"/>
        </w:pBdr>
        <w:spacing w:before="120" w:after="240"/>
        <w:ind w:left="1440" w:hanging="720"/>
        <w:rPr>
          <w:rFonts w:eastAsia="Arial" w:cs="Arial"/>
          <w:color w:val="000000"/>
          <w:szCs w:val="24"/>
          <w:lang w:eastAsia="en-GB"/>
        </w:rPr>
      </w:pPr>
      <w:bookmarkStart w:id="3387" w:name="bookmark=id.ng1svc" w:colFirst="0" w:colLast="0"/>
      <w:bookmarkEnd w:id="3387"/>
      <w:r w:rsidRPr="00102034">
        <w:rPr>
          <w:rFonts w:eastAsia="Arial" w:cs="Arial"/>
          <w:color w:val="000000"/>
          <w:szCs w:val="24"/>
          <w:lang w:eastAsia="en-GB"/>
        </w:rPr>
        <w:t>Where the data importer engages a sub-processor to carry out specific processing activities (on behalf of the data exporter), it shall do so by way of a written contract that provides for, in substance, the same data protection obligations as those binding the data importer under these Clauses, including in terms of third-party beneficiary rights for data subjects. [</w:t>
      </w:r>
      <w:hyperlink w:anchor="bookmark=id.2pmwsxc">
        <w:r w:rsidRPr="00102034">
          <w:rPr>
            <w:rFonts w:eastAsia="Arial" w:cs="Arial"/>
            <w:color w:val="0000FF"/>
            <w:szCs w:val="24"/>
            <w:u w:val="single"/>
            <w:lang w:eastAsia="en-GB"/>
          </w:rPr>
          <w:t>FN8</w:t>
        </w:r>
      </w:hyperlink>
      <w:r w:rsidRPr="00102034">
        <w:rPr>
          <w:rFonts w:eastAsia="Arial" w:cs="Arial"/>
          <w:color w:val="000000"/>
          <w:szCs w:val="24"/>
          <w:lang w:eastAsia="en-GB"/>
        </w:rPr>
        <w:t>] The Parties agree that, by complying with this Clause, the data importer fulfils its obligations under Clause 8.8. The data importer shall ensure that the sub-processor complies with the obligations to which the data importer is subject pursuant to these Clauses.</w:t>
      </w:r>
    </w:p>
    <w:p w14:paraId="6F52D921" w14:textId="77777777" w:rsidR="00F67E9E" w:rsidRPr="00102034" w:rsidRDefault="00F67E9E" w:rsidP="00F67E9E">
      <w:pPr>
        <w:numPr>
          <w:ilvl w:val="1"/>
          <w:numId w:val="31"/>
        </w:numPr>
        <w:pBdr>
          <w:top w:val="nil"/>
          <w:left w:val="nil"/>
          <w:bottom w:val="nil"/>
          <w:right w:val="nil"/>
          <w:between w:val="nil"/>
        </w:pBdr>
        <w:spacing w:before="120" w:after="240"/>
        <w:ind w:left="1440" w:hanging="720"/>
        <w:rPr>
          <w:rFonts w:eastAsia="Arial" w:cs="Arial"/>
          <w:color w:val="000000"/>
          <w:szCs w:val="24"/>
          <w:lang w:eastAsia="en-GB"/>
        </w:rPr>
      </w:pPr>
      <w:bookmarkStart w:id="3388" w:name="bookmark=id.37fpbj5" w:colFirst="0" w:colLast="0"/>
      <w:bookmarkEnd w:id="3388"/>
      <w:r w:rsidRPr="00102034">
        <w:rPr>
          <w:rFonts w:eastAsia="Arial" w:cs="Arial"/>
          <w:color w:val="000000"/>
          <w:szCs w:val="24"/>
          <w:lang w:eastAsia="en-GB"/>
        </w:rPr>
        <w:t>The data importer shall provide, at the data exporter's request, a copy of such a sub-processor agreement and any subsequent amendments to the data exporter. To the extent necessary to protect business secrets or other confidential information, including personal data, the data importer may redact the text of the agreement prior to sharing a copy.</w:t>
      </w:r>
    </w:p>
    <w:p w14:paraId="5860B0A3" w14:textId="77777777" w:rsidR="00F67E9E" w:rsidRPr="00102034" w:rsidRDefault="00F67E9E" w:rsidP="00F67E9E">
      <w:pPr>
        <w:numPr>
          <w:ilvl w:val="1"/>
          <w:numId w:val="31"/>
        </w:numPr>
        <w:pBdr>
          <w:top w:val="nil"/>
          <w:left w:val="nil"/>
          <w:bottom w:val="nil"/>
          <w:right w:val="nil"/>
          <w:between w:val="nil"/>
        </w:pBdr>
        <w:spacing w:before="120" w:after="240"/>
        <w:ind w:left="1440" w:hanging="720"/>
        <w:rPr>
          <w:rFonts w:eastAsia="Arial" w:cs="Arial"/>
          <w:color w:val="000000"/>
          <w:szCs w:val="24"/>
          <w:lang w:eastAsia="en-GB"/>
        </w:rPr>
      </w:pPr>
      <w:bookmarkStart w:id="3389" w:name="bookmark=id.1mkzlqy" w:colFirst="0" w:colLast="0"/>
      <w:bookmarkEnd w:id="3389"/>
      <w:r w:rsidRPr="00102034">
        <w:rPr>
          <w:rFonts w:eastAsia="Arial" w:cs="Arial"/>
          <w:color w:val="000000"/>
          <w:szCs w:val="24"/>
          <w:lang w:eastAsia="en-GB"/>
        </w:rPr>
        <w:t>The data importer shall remain fully responsible to the data exporter for the performance of the sub-processor's obligations under its contract with the data importer. The data importer shall notify the data exporter of any failure by the sub-processor to fulfil its obligations under that contract.</w:t>
      </w:r>
    </w:p>
    <w:p w14:paraId="10653B8E" w14:textId="77777777" w:rsidR="00F67E9E" w:rsidRPr="00102034" w:rsidRDefault="00F67E9E" w:rsidP="00F67E9E">
      <w:pPr>
        <w:numPr>
          <w:ilvl w:val="1"/>
          <w:numId w:val="31"/>
        </w:numPr>
        <w:pBdr>
          <w:top w:val="nil"/>
          <w:left w:val="nil"/>
          <w:bottom w:val="nil"/>
          <w:right w:val="nil"/>
          <w:between w:val="nil"/>
        </w:pBdr>
        <w:spacing w:before="120" w:after="240"/>
        <w:ind w:left="1440" w:hanging="720"/>
        <w:rPr>
          <w:rFonts w:eastAsia="Arial" w:cs="Arial"/>
          <w:color w:val="000000"/>
          <w:szCs w:val="24"/>
          <w:lang w:eastAsia="en-GB"/>
        </w:rPr>
      </w:pPr>
      <w:bookmarkStart w:id="3390" w:name="bookmark=id.46kn4er" w:colFirst="0" w:colLast="0"/>
      <w:bookmarkEnd w:id="3390"/>
      <w:r w:rsidRPr="00102034">
        <w:rPr>
          <w:rFonts w:eastAsia="Arial" w:cs="Arial"/>
          <w:color w:val="000000"/>
          <w:szCs w:val="24"/>
          <w:lang w:eastAsia="en-GB"/>
        </w:rPr>
        <w:t>The data importer shall agree a third-party beneficiary clause with the sub-processor whereby – in the event the data importer has factually disappeared, ceased to exist in law or has become insolvent – the data exporter shall have the right to terminate the sub-processor contract and to instruct the sub-processor to erase or return the personal data.</w:t>
      </w:r>
    </w:p>
    <w:p w14:paraId="16AA5E00" w14:textId="77777777" w:rsidR="00F67E9E" w:rsidRPr="00102034" w:rsidRDefault="00F67E9E" w:rsidP="00F67E9E">
      <w:pPr>
        <w:pBdr>
          <w:top w:val="nil"/>
          <w:left w:val="nil"/>
          <w:bottom w:val="nil"/>
          <w:right w:val="nil"/>
          <w:between w:val="nil"/>
        </w:pBdr>
        <w:spacing w:before="120"/>
        <w:jc w:val="center"/>
        <w:rPr>
          <w:rFonts w:eastAsia="Arial" w:cs="Arial"/>
          <w:b/>
          <w:color w:val="000000"/>
          <w:szCs w:val="24"/>
          <w:lang w:eastAsia="en-GB"/>
        </w:rPr>
      </w:pPr>
      <w:r w:rsidRPr="00102034">
        <w:rPr>
          <w:rFonts w:eastAsia="Arial" w:cs="Arial"/>
          <w:b/>
          <w:color w:val="000000"/>
          <w:szCs w:val="24"/>
          <w:lang w:eastAsia="en-GB"/>
        </w:rPr>
        <w:t>CLAUSE 10</w:t>
      </w:r>
    </w:p>
    <w:p w14:paraId="20E4EE4F" w14:textId="77777777" w:rsidR="00F67E9E" w:rsidRPr="00102034" w:rsidRDefault="00F67E9E" w:rsidP="00F67E9E">
      <w:pPr>
        <w:pBdr>
          <w:top w:val="nil"/>
          <w:left w:val="nil"/>
          <w:bottom w:val="nil"/>
          <w:right w:val="nil"/>
          <w:between w:val="nil"/>
        </w:pBdr>
        <w:spacing w:before="240" w:after="240"/>
        <w:rPr>
          <w:rFonts w:eastAsia="Arial" w:cs="Arial"/>
          <w:b/>
          <w:color w:val="000000"/>
          <w:szCs w:val="24"/>
          <w:lang w:eastAsia="en-GB"/>
        </w:rPr>
      </w:pPr>
      <w:r w:rsidRPr="00102034">
        <w:rPr>
          <w:rFonts w:eastAsia="Arial" w:cs="Arial"/>
          <w:b/>
          <w:color w:val="000000"/>
          <w:szCs w:val="24"/>
          <w:lang w:eastAsia="en-GB"/>
        </w:rPr>
        <w:t>Data subject rights</w:t>
      </w:r>
    </w:p>
    <w:p w14:paraId="09970B0B" w14:textId="77777777" w:rsidR="00F67E9E" w:rsidRPr="00102034" w:rsidRDefault="00F67E9E" w:rsidP="00F67E9E">
      <w:pPr>
        <w:numPr>
          <w:ilvl w:val="1"/>
          <w:numId w:val="243"/>
        </w:numPr>
        <w:pBdr>
          <w:top w:val="nil"/>
          <w:left w:val="nil"/>
          <w:bottom w:val="nil"/>
          <w:right w:val="nil"/>
          <w:between w:val="nil"/>
        </w:pBdr>
        <w:spacing w:before="120" w:after="240"/>
        <w:ind w:left="1440" w:hanging="720"/>
        <w:rPr>
          <w:rFonts w:eastAsia="Arial" w:cs="Arial"/>
          <w:color w:val="000000"/>
          <w:szCs w:val="24"/>
          <w:lang w:eastAsia="en-GB"/>
        </w:rPr>
      </w:pPr>
      <w:bookmarkStart w:id="3391" w:name="bookmark=id.2lpxemk" w:colFirst="0" w:colLast="0"/>
      <w:bookmarkStart w:id="3392" w:name="_Ref141248426"/>
      <w:bookmarkEnd w:id="3391"/>
      <w:r w:rsidRPr="00102034">
        <w:rPr>
          <w:rFonts w:eastAsia="Arial" w:cs="Arial"/>
          <w:color w:val="000000"/>
          <w:szCs w:val="24"/>
          <w:lang w:eastAsia="en-GB"/>
        </w:rPr>
        <w:t>The data importer shall promptly notify the data exporter of any request it has received from a data subject. It shall not respond to that request itself unless it has been authorised to do so by the data exporter.</w:t>
      </w:r>
      <w:bookmarkEnd w:id="3392"/>
    </w:p>
    <w:p w14:paraId="028F5D45" w14:textId="10F42065" w:rsidR="00F67E9E" w:rsidRPr="00102034" w:rsidRDefault="00F67E9E" w:rsidP="00F67E9E">
      <w:pPr>
        <w:numPr>
          <w:ilvl w:val="1"/>
          <w:numId w:val="243"/>
        </w:numPr>
        <w:pBdr>
          <w:top w:val="nil"/>
          <w:left w:val="nil"/>
          <w:bottom w:val="nil"/>
          <w:right w:val="nil"/>
          <w:between w:val="nil"/>
        </w:pBdr>
        <w:spacing w:before="120" w:after="240"/>
        <w:ind w:left="1440" w:hanging="720"/>
        <w:rPr>
          <w:rFonts w:eastAsia="Arial" w:cs="Arial"/>
          <w:color w:val="000000"/>
          <w:szCs w:val="24"/>
          <w:lang w:eastAsia="en-GB"/>
        </w:rPr>
      </w:pPr>
      <w:bookmarkStart w:id="3393" w:name="bookmark=id.10v7oud" w:colFirst="0" w:colLast="0"/>
      <w:bookmarkStart w:id="3394" w:name="_Ref141248446"/>
      <w:bookmarkEnd w:id="3393"/>
      <w:r w:rsidRPr="00102034">
        <w:rPr>
          <w:rFonts w:eastAsia="Arial" w:cs="Arial"/>
          <w:color w:val="000000"/>
          <w:szCs w:val="24"/>
          <w:lang w:eastAsia="en-GB"/>
        </w:rPr>
        <w:t xml:space="preserve">The data importer shall assist the data exporter in fulfilling its obligations to respond to data subjects' requests for the exercise of their rights under Regulation (EU) 2016/679. In this regard, the Parties shall set out in Annex </w:t>
      </w:r>
      <w:r w:rsidRPr="00556E35">
        <w:rPr>
          <w:rFonts w:eastAsia="Arial" w:cs="Arial"/>
          <w:color w:val="000000"/>
          <w:szCs w:val="24"/>
          <w:lang w:eastAsia="en-GB"/>
        </w:rPr>
        <w:fldChar w:fldCharType="begin"/>
      </w:r>
      <w:r w:rsidRPr="00556E35">
        <w:rPr>
          <w:rFonts w:eastAsia="Arial" w:cs="Arial"/>
          <w:color w:val="000000"/>
          <w:szCs w:val="24"/>
          <w:lang w:eastAsia="en-GB"/>
        </w:rPr>
        <w:instrText xml:space="preserve"> REF Schedule_31_Annex_II \h </w:instrText>
      </w:r>
      <w:r w:rsidRPr="004B5F27">
        <w:rPr>
          <w:rFonts w:eastAsia="Arial" w:cs="Arial"/>
          <w:color w:val="000000"/>
          <w:szCs w:val="24"/>
          <w:lang w:eastAsia="en-GB"/>
        </w:rPr>
        <w:instrText xml:space="preserve"> \* MERGEFORMAT </w:instrText>
      </w:r>
      <w:r w:rsidRPr="00556E35">
        <w:rPr>
          <w:rFonts w:eastAsia="Arial" w:cs="Arial"/>
          <w:color w:val="000000"/>
          <w:szCs w:val="24"/>
          <w:lang w:eastAsia="en-GB"/>
        </w:rPr>
      </w:r>
      <w:r w:rsidRPr="00556E35">
        <w:rPr>
          <w:rFonts w:eastAsia="Arial" w:cs="Arial"/>
          <w:color w:val="000000"/>
          <w:szCs w:val="24"/>
          <w:lang w:eastAsia="en-GB"/>
        </w:rPr>
        <w:fldChar w:fldCharType="separate"/>
      </w:r>
      <w:r w:rsidR="00302D39" w:rsidRPr="00302D39">
        <w:rPr>
          <w:rFonts w:eastAsia="Arial" w:cs="Arial"/>
          <w:color w:val="000000"/>
          <w:szCs w:val="24"/>
          <w:lang w:eastAsia="en-GB"/>
        </w:rPr>
        <w:t>II</w:t>
      </w:r>
      <w:r w:rsidRPr="00556E35">
        <w:rPr>
          <w:rFonts w:eastAsia="Arial" w:cs="Arial"/>
          <w:color w:val="000000"/>
          <w:szCs w:val="24"/>
          <w:lang w:eastAsia="en-GB"/>
        </w:rPr>
        <w:fldChar w:fldCharType="end"/>
      </w:r>
      <w:r w:rsidRPr="00102034">
        <w:rPr>
          <w:rFonts w:eastAsia="Arial" w:cs="Arial"/>
          <w:color w:val="000000"/>
          <w:szCs w:val="24"/>
          <w:lang w:eastAsia="en-GB"/>
        </w:rPr>
        <w:t xml:space="preserve"> the appropriate technical and organisational measures, taking into account the nature of the processing, by which the assistance shall be provided, as well as the scope and the extent of the assistance required.</w:t>
      </w:r>
      <w:bookmarkEnd w:id="3394"/>
    </w:p>
    <w:p w14:paraId="50F9E35A" w14:textId="321C6DEC" w:rsidR="00F67E9E" w:rsidRPr="00102034" w:rsidRDefault="00F67E9E" w:rsidP="00F67E9E">
      <w:pPr>
        <w:numPr>
          <w:ilvl w:val="1"/>
          <w:numId w:val="243"/>
        </w:numPr>
        <w:pBdr>
          <w:top w:val="nil"/>
          <w:left w:val="nil"/>
          <w:bottom w:val="nil"/>
          <w:right w:val="nil"/>
          <w:between w:val="nil"/>
        </w:pBdr>
        <w:spacing w:before="120" w:after="240"/>
        <w:ind w:left="1440" w:hanging="720"/>
        <w:rPr>
          <w:rFonts w:eastAsia="Arial" w:cs="Arial"/>
          <w:color w:val="000000"/>
          <w:szCs w:val="24"/>
          <w:lang w:eastAsia="en-GB"/>
        </w:rPr>
      </w:pPr>
      <w:bookmarkStart w:id="3395" w:name="bookmark=id.3kuv7i6" w:colFirst="0" w:colLast="0"/>
      <w:bookmarkEnd w:id="3395"/>
      <w:r w:rsidRPr="00102034">
        <w:rPr>
          <w:rFonts w:eastAsia="Arial" w:cs="Arial"/>
          <w:color w:val="000000"/>
          <w:szCs w:val="24"/>
          <w:lang w:eastAsia="en-GB"/>
        </w:rPr>
        <w:t>In fulfilling its obligations under paragraphs ‎</w:t>
      </w:r>
      <w:r>
        <w:rPr>
          <w:rFonts w:eastAsia="Arial" w:cs="Arial"/>
          <w:color w:val="000000"/>
          <w:szCs w:val="24"/>
          <w:lang w:eastAsia="en-GB"/>
        </w:rPr>
        <w:fldChar w:fldCharType="begin"/>
      </w:r>
      <w:r>
        <w:rPr>
          <w:rFonts w:eastAsia="Arial" w:cs="Arial"/>
          <w:color w:val="000000"/>
          <w:szCs w:val="24"/>
          <w:lang w:eastAsia="en-GB"/>
        </w:rPr>
        <w:instrText xml:space="preserve"> REF _Ref141248426 \n \h </w:instrText>
      </w:r>
      <w:r>
        <w:rPr>
          <w:rFonts w:eastAsia="Arial" w:cs="Arial"/>
          <w:color w:val="000000"/>
          <w:szCs w:val="24"/>
          <w:lang w:eastAsia="en-GB"/>
        </w:rPr>
      </w:r>
      <w:r>
        <w:rPr>
          <w:rFonts w:eastAsia="Arial" w:cs="Arial"/>
          <w:color w:val="000000"/>
          <w:szCs w:val="24"/>
          <w:lang w:eastAsia="en-GB"/>
        </w:rPr>
        <w:fldChar w:fldCharType="separate"/>
      </w:r>
      <w:r w:rsidR="00302D39">
        <w:rPr>
          <w:rFonts w:eastAsia="Arial" w:cs="Arial"/>
          <w:color w:val="000000"/>
          <w:szCs w:val="24"/>
          <w:lang w:eastAsia="en-GB"/>
        </w:rPr>
        <w:t>(a)</w:t>
      </w:r>
      <w:r>
        <w:rPr>
          <w:rFonts w:eastAsia="Arial" w:cs="Arial"/>
          <w:color w:val="000000"/>
          <w:szCs w:val="24"/>
          <w:lang w:eastAsia="en-GB"/>
        </w:rPr>
        <w:fldChar w:fldCharType="end"/>
      </w:r>
      <w:r w:rsidRPr="00102034">
        <w:rPr>
          <w:rFonts w:eastAsia="Arial" w:cs="Arial"/>
          <w:color w:val="000000"/>
          <w:szCs w:val="24"/>
          <w:lang w:eastAsia="en-GB"/>
        </w:rPr>
        <w:t xml:space="preserve"> and </w:t>
      </w:r>
      <w:r>
        <w:rPr>
          <w:rFonts w:eastAsia="Arial" w:cs="Arial"/>
          <w:color w:val="000000"/>
          <w:szCs w:val="24"/>
          <w:lang w:eastAsia="en-GB"/>
        </w:rPr>
        <w:fldChar w:fldCharType="begin"/>
      </w:r>
      <w:r>
        <w:rPr>
          <w:rFonts w:eastAsia="Arial" w:cs="Arial"/>
          <w:color w:val="000000"/>
          <w:szCs w:val="24"/>
          <w:lang w:eastAsia="en-GB"/>
        </w:rPr>
        <w:instrText xml:space="preserve"> REF _Ref141248446 \n \h </w:instrText>
      </w:r>
      <w:r>
        <w:rPr>
          <w:rFonts w:eastAsia="Arial" w:cs="Arial"/>
          <w:color w:val="000000"/>
          <w:szCs w:val="24"/>
          <w:lang w:eastAsia="en-GB"/>
        </w:rPr>
      </w:r>
      <w:r>
        <w:rPr>
          <w:rFonts w:eastAsia="Arial" w:cs="Arial"/>
          <w:color w:val="000000"/>
          <w:szCs w:val="24"/>
          <w:lang w:eastAsia="en-GB"/>
        </w:rPr>
        <w:fldChar w:fldCharType="separate"/>
      </w:r>
      <w:r w:rsidR="00302D39">
        <w:rPr>
          <w:rFonts w:eastAsia="Arial" w:cs="Arial"/>
          <w:color w:val="000000"/>
          <w:szCs w:val="24"/>
          <w:lang w:eastAsia="en-GB"/>
        </w:rPr>
        <w:t>(b)</w:t>
      </w:r>
      <w:r>
        <w:rPr>
          <w:rFonts w:eastAsia="Arial" w:cs="Arial"/>
          <w:color w:val="000000"/>
          <w:szCs w:val="24"/>
          <w:lang w:eastAsia="en-GB"/>
        </w:rPr>
        <w:fldChar w:fldCharType="end"/>
      </w:r>
      <w:r w:rsidRPr="00102034">
        <w:rPr>
          <w:rFonts w:eastAsia="Arial" w:cs="Arial"/>
          <w:color w:val="000000"/>
          <w:szCs w:val="24"/>
          <w:lang w:eastAsia="en-GB"/>
        </w:rPr>
        <w:t>, the data importer shall comply with the instructions from the data exporter.</w:t>
      </w:r>
    </w:p>
    <w:p w14:paraId="1D93D1E3" w14:textId="77777777" w:rsidR="00F67E9E" w:rsidRPr="00102034" w:rsidRDefault="00F67E9E" w:rsidP="00F67E9E">
      <w:pPr>
        <w:pBdr>
          <w:top w:val="nil"/>
          <w:left w:val="nil"/>
          <w:bottom w:val="nil"/>
          <w:right w:val="nil"/>
          <w:between w:val="nil"/>
        </w:pBdr>
        <w:spacing w:before="120"/>
        <w:jc w:val="center"/>
        <w:rPr>
          <w:rFonts w:eastAsia="Arial" w:cs="Arial"/>
          <w:b/>
          <w:color w:val="000000"/>
          <w:szCs w:val="24"/>
          <w:lang w:eastAsia="en-GB"/>
        </w:rPr>
      </w:pPr>
      <w:r w:rsidRPr="00102034">
        <w:rPr>
          <w:rFonts w:eastAsia="Arial" w:cs="Arial"/>
          <w:b/>
          <w:color w:val="000000"/>
          <w:szCs w:val="24"/>
          <w:lang w:eastAsia="en-GB"/>
        </w:rPr>
        <w:t>CLAUSE 11</w:t>
      </w:r>
    </w:p>
    <w:p w14:paraId="4AE7A1F1" w14:textId="77777777" w:rsidR="00F67E9E" w:rsidRPr="00102034" w:rsidRDefault="00F67E9E" w:rsidP="00F67E9E">
      <w:pPr>
        <w:pBdr>
          <w:top w:val="nil"/>
          <w:left w:val="nil"/>
          <w:bottom w:val="nil"/>
          <w:right w:val="nil"/>
          <w:between w:val="nil"/>
        </w:pBdr>
        <w:spacing w:before="240" w:after="240"/>
        <w:rPr>
          <w:rFonts w:eastAsia="Arial" w:cs="Arial"/>
          <w:b/>
          <w:color w:val="000000"/>
          <w:szCs w:val="24"/>
          <w:lang w:eastAsia="en-GB"/>
        </w:rPr>
      </w:pPr>
      <w:r w:rsidRPr="00102034">
        <w:rPr>
          <w:rFonts w:eastAsia="Arial" w:cs="Arial"/>
          <w:b/>
          <w:color w:val="000000"/>
          <w:szCs w:val="24"/>
          <w:lang w:eastAsia="en-GB"/>
        </w:rPr>
        <w:t>Redress</w:t>
      </w:r>
    </w:p>
    <w:p w14:paraId="333C8866" w14:textId="77777777" w:rsidR="00F67E9E" w:rsidRPr="00102034" w:rsidRDefault="00F67E9E" w:rsidP="00F67E9E">
      <w:pPr>
        <w:numPr>
          <w:ilvl w:val="1"/>
          <w:numId w:val="244"/>
        </w:numPr>
        <w:pBdr>
          <w:top w:val="nil"/>
          <w:left w:val="nil"/>
          <w:bottom w:val="nil"/>
          <w:right w:val="nil"/>
          <w:between w:val="nil"/>
        </w:pBdr>
        <w:spacing w:before="120" w:after="240"/>
        <w:ind w:left="1440" w:hanging="720"/>
        <w:rPr>
          <w:rFonts w:eastAsia="Arial" w:cs="Arial"/>
          <w:color w:val="000000"/>
          <w:szCs w:val="24"/>
          <w:lang w:eastAsia="en-GB"/>
        </w:rPr>
      </w:pPr>
      <w:bookmarkStart w:id="3396" w:name="_heading=h.2005hpz" w:colFirst="0" w:colLast="0"/>
      <w:bookmarkStart w:id="3397" w:name="_Ref141248466"/>
      <w:bookmarkEnd w:id="3396"/>
      <w:r w:rsidRPr="00102034">
        <w:rPr>
          <w:rFonts w:eastAsia="Arial" w:cs="Arial"/>
          <w:color w:val="000000"/>
          <w:szCs w:val="24"/>
          <w:lang w:eastAsia="en-GB"/>
        </w:rPr>
        <w:t>The data importer shall inform data subjects in a transparent and easily accessible format, through individual notice or on its website, of a contact point authorised to handle complaints. It shall deal promptly with any complaints it receives from a data subject.</w:t>
      </w:r>
      <w:bookmarkEnd w:id="3397"/>
    </w:p>
    <w:p w14:paraId="34496F79" w14:textId="4A1FFA25" w:rsidR="00F67E9E" w:rsidRPr="00102034" w:rsidRDefault="00F67E9E" w:rsidP="00F67E9E">
      <w:pPr>
        <w:pBdr>
          <w:top w:val="nil"/>
          <w:left w:val="nil"/>
          <w:bottom w:val="nil"/>
          <w:right w:val="nil"/>
          <w:between w:val="nil"/>
        </w:pBdr>
        <w:spacing w:before="120" w:after="240"/>
        <w:ind w:left="720" w:firstLine="1440"/>
        <w:rPr>
          <w:rFonts w:eastAsia="Arial" w:cs="Arial"/>
          <w:color w:val="000000"/>
          <w:szCs w:val="24"/>
          <w:lang w:eastAsia="en-GB"/>
        </w:rPr>
      </w:pPr>
      <w:r w:rsidRPr="009954CA">
        <w:rPr>
          <w:rFonts w:eastAsia="Arial" w:cs="Arial"/>
          <w:color w:val="000000"/>
          <w:szCs w:val="24"/>
          <w:highlight w:val="yellow"/>
          <w:lang w:eastAsia="en-GB"/>
        </w:rPr>
        <w:t>[</w:t>
      </w:r>
      <w:r w:rsidRPr="009954CA">
        <w:rPr>
          <w:rFonts w:eastAsia="Arial" w:cs="Arial"/>
          <w:b/>
          <w:bCs/>
          <w:color w:val="000000"/>
          <w:szCs w:val="24"/>
          <w:highlight w:val="yellow"/>
          <w:lang w:eastAsia="en-GB"/>
        </w:rPr>
        <w:t>Optional</w:t>
      </w:r>
      <w:r w:rsidRPr="009954CA">
        <w:rPr>
          <w:rFonts w:eastAsia="Arial" w:cs="Arial"/>
          <w:color w:val="000000"/>
          <w:szCs w:val="24"/>
          <w:highlight w:val="yellow"/>
          <w:lang w:eastAsia="en-GB"/>
        </w:rPr>
        <w:t>: The data importer agrees that data subjects may also lodge a complaint with an independent dispute resolution body[</w:t>
      </w:r>
      <w:hyperlink w:anchor="bookmark=id.14s7355">
        <w:r w:rsidRPr="009954CA">
          <w:rPr>
            <w:rFonts w:eastAsia="Arial" w:cs="Arial"/>
            <w:color w:val="0000FF"/>
            <w:szCs w:val="24"/>
            <w:highlight w:val="yellow"/>
            <w:u w:val="single"/>
            <w:lang w:eastAsia="en-GB"/>
          </w:rPr>
          <w:t>FN11</w:t>
        </w:r>
      </w:hyperlink>
      <w:r w:rsidRPr="009954CA">
        <w:rPr>
          <w:rFonts w:eastAsia="Arial" w:cs="Arial"/>
          <w:color w:val="000000"/>
          <w:szCs w:val="24"/>
          <w:highlight w:val="yellow"/>
          <w:lang w:eastAsia="en-GB"/>
        </w:rPr>
        <w:t xml:space="preserve">] at no cost to the data subject. It shall inform the data subjects, in the manner set out in paragraph </w:t>
      </w:r>
      <w:r w:rsidRPr="009954CA">
        <w:rPr>
          <w:rFonts w:eastAsia="Arial" w:cs="Arial"/>
          <w:color w:val="000000"/>
          <w:szCs w:val="24"/>
          <w:highlight w:val="yellow"/>
          <w:lang w:eastAsia="en-GB"/>
        </w:rPr>
        <w:fldChar w:fldCharType="begin"/>
      </w:r>
      <w:r w:rsidRPr="009954CA">
        <w:rPr>
          <w:rFonts w:eastAsia="Arial" w:cs="Arial"/>
          <w:color w:val="000000"/>
          <w:szCs w:val="24"/>
          <w:highlight w:val="yellow"/>
          <w:lang w:eastAsia="en-GB"/>
        </w:rPr>
        <w:instrText xml:space="preserve"> REF _Ref141248466 \n \h </w:instrText>
      </w:r>
      <w:r>
        <w:rPr>
          <w:rFonts w:eastAsia="Arial" w:cs="Arial"/>
          <w:color w:val="000000"/>
          <w:szCs w:val="24"/>
          <w:highlight w:val="yellow"/>
          <w:lang w:eastAsia="en-GB"/>
        </w:rPr>
        <w:instrText xml:space="preserve"> \* MERGEFORMAT </w:instrText>
      </w:r>
      <w:r w:rsidRPr="009954CA">
        <w:rPr>
          <w:rFonts w:eastAsia="Arial" w:cs="Arial"/>
          <w:color w:val="000000"/>
          <w:szCs w:val="24"/>
          <w:highlight w:val="yellow"/>
          <w:lang w:eastAsia="en-GB"/>
        </w:rPr>
      </w:r>
      <w:r w:rsidRPr="009954CA">
        <w:rPr>
          <w:rFonts w:eastAsia="Arial" w:cs="Arial"/>
          <w:color w:val="000000"/>
          <w:szCs w:val="24"/>
          <w:highlight w:val="yellow"/>
          <w:lang w:eastAsia="en-GB"/>
        </w:rPr>
        <w:fldChar w:fldCharType="separate"/>
      </w:r>
      <w:r w:rsidR="00302D39">
        <w:rPr>
          <w:rFonts w:eastAsia="Arial" w:cs="Arial"/>
          <w:color w:val="000000"/>
          <w:szCs w:val="24"/>
          <w:highlight w:val="yellow"/>
          <w:lang w:eastAsia="en-GB"/>
        </w:rPr>
        <w:t>(a)</w:t>
      </w:r>
      <w:r w:rsidRPr="009954CA">
        <w:rPr>
          <w:rFonts w:eastAsia="Arial" w:cs="Arial"/>
          <w:color w:val="000000"/>
          <w:szCs w:val="24"/>
          <w:highlight w:val="yellow"/>
          <w:lang w:eastAsia="en-GB"/>
        </w:rPr>
        <w:fldChar w:fldCharType="end"/>
      </w:r>
      <w:r w:rsidRPr="009954CA">
        <w:rPr>
          <w:rFonts w:eastAsia="Arial" w:cs="Arial"/>
          <w:color w:val="000000"/>
          <w:szCs w:val="24"/>
          <w:highlight w:val="yellow"/>
          <w:lang w:eastAsia="en-GB"/>
        </w:rPr>
        <w:t>‎, of such redress mechanism and that they are not required to use it, or follow a particular sequence in seeking redress.</w:t>
      </w:r>
      <w:r w:rsidRPr="009954CA">
        <w:rPr>
          <w:rFonts w:eastAsia="Arial" w:cs="Arial"/>
          <w:color w:val="000000"/>
          <w:szCs w:val="24"/>
          <w:lang w:eastAsia="en-GB"/>
        </w:rPr>
        <w:t>]</w:t>
      </w:r>
    </w:p>
    <w:p w14:paraId="00463433" w14:textId="77777777" w:rsidR="00F67E9E" w:rsidRPr="00102034" w:rsidRDefault="00F67E9E" w:rsidP="00F67E9E">
      <w:pPr>
        <w:numPr>
          <w:ilvl w:val="1"/>
          <w:numId w:val="244"/>
        </w:numPr>
        <w:pBdr>
          <w:top w:val="nil"/>
          <w:left w:val="nil"/>
          <w:bottom w:val="nil"/>
          <w:right w:val="nil"/>
          <w:between w:val="nil"/>
        </w:pBdr>
        <w:spacing w:before="120" w:after="240"/>
        <w:ind w:left="1440" w:hanging="720"/>
        <w:rPr>
          <w:rFonts w:eastAsia="Arial" w:cs="Arial"/>
          <w:color w:val="000000"/>
          <w:szCs w:val="24"/>
          <w:lang w:eastAsia="en-GB"/>
        </w:rPr>
      </w:pPr>
      <w:bookmarkStart w:id="3398" w:name="bookmark=id.4jzt0ds" w:colFirst="0" w:colLast="0"/>
      <w:bookmarkEnd w:id="3398"/>
      <w:r w:rsidRPr="00102034">
        <w:rPr>
          <w:rFonts w:eastAsia="Arial" w:cs="Arial"/>
          <w:color w:val="000000"/>
          <w:szCs w:val="24"/>
          <w:lang w:eastAsia="en-GB"/>
        </w:rPr>
        <w:t>In case of a dispute between a data subject and one of the Parties as regards compliance with these Clauses, that Party shall use its best efforts to resolve the issue amicably in a timely fashion. The Parties shall keep each other informed about such disputes and, where appropriate, cooperate in resolving them.</w:t>
      </w:r>
    </w:p>
    <w:p w14:paraId="204D47B2" w14:textId="77777777" w:rsidR="00F67E9E" w:rsidRPr="00102034" w:rsidRDefault="00F67E9E" w:rsidP="00F67E9E">
      <w:pPr>
        <w:numPr>
          <w:ilvl w:val="1"/>
          <w:numId w:val="244"/>
        </w:numPr>
        <w:pBdr>
          <w:top w:val="nil"/>
          <w:left w:val="nil"/>
          <w:bottom w:val="nil"/>
          <w:right w:val="nil"/>
          <w:between w:val="nil"/>
        </w:pBdr>
        <w:spacing w:before="120" w:after="240"/>
        <w:ind w:left="1440" w:hanging="720"/>
        <w:rPr>
          <w:rFonts w:eastAsia="Arial" w:cs="Arial"/>
          <w:color w:val="000000"/>
          <w:szCs w:val="24"/>
          <w:lang w:eastAsia="en-GB"/>
        </w:rPr>
      </w:pPr>
      <w:bookmarkStart w:id="3399" w:name="bookmark=id.2z53all" w:colFirst="0" w:colLast="0"/>
      <w:bookmarkEnd w:id="3399"/>
      <w:r w:rsidRPr="00102034">
        <w:rPr>
          <w:rFonts w:eastAsia="Arial" w:cs="Arial"/>
          <w:color w:val="000000"/>
          <w:szCs w:val="24"/>
          <w:lang w:eastAsia="en-GB"/>
        </w:rPr>
        <w:t>Where the data subject invokes a third-party beneficiary right pursuant to Clause</w:t>
      </w:r>
      <w:r>
        <w:rPr>
          <w:rFonts w:eastAsia="Arial" w:cs="Arial"/>
          <w:color w:val="000000"/>
          <w:szCs w:val="24"/>
          <w:lang w:eastAsia="en-GB"/>
        </w:rPr>
        <w:t> </w:t>
      </w:r>
      <w:r w:rsidRPr="00102034">
        <w:rPr>
          <w:rFonts w:eastAsia="Arial" w:cs="Arial"/>
          <w:color w:val="000000"/>
          <w:szCs w:val="24"/>
          <w:lang w:eastAsia="en-GB"/>
        </w:rPr>
        <w:t>3, the data importer shall accept the decision of the data subject to:</w:t>
      </w:r>
    </w:p>
    <w:p w14:paraId="4FC42FDC" w14:textId="77777777" w:rsidR="00F67E9E" w:rsidRPr="00102034" w:rsidRDefault="00F67E9E" w:rsidP="00F67E9E">
      <w:pPr>
        <w:numPr>
          <w:ilvl w:val="2"/>
          <w:numId w:val="32"/>
        </w:numPr>
        <w:pBdr>
          <w:top w:val="nil"/>
          <w:left w:val="nil"/>
          <w:bottom w:val="nil"/>
          <w:right w:val="nil"/>
          <w:between w:val="nil"/>
        </w:pBdr>
        <w:spacing w:before="120" w:after="240"/>
        <w:ind w:left="2160" w:hanging="720"/>
        <w:rPr>
          <w:rFonts w:eastAsia="Arial" w:cs="Arial"/>
          <w:color w:val="000000"/>
          <w:szCs w:val="24"/>
          <w:lang w:eastAsia="en-GB"/>
        </w:rPr>
      </w:pPr>
      <w:bookmarkStart w:id="3400" w:name="bookmark=id.1eadkte" w:colFirst="0" w:colLast="0"/>
      <w:bookmarkEnd w:id="3400"/>
      <w:r w:rsidRPr="00102034">
        <w:rPr>
          <w:rFonts w:eastAsia="Arial" w:cs="Arial"/>
          <w:color w:val="000000"/>
          <w:szCs w:val="24"/>
          <w:lang w:eastAsia="en-GB"/>
        </w:rPr>
        <w:t>lodge a complaint with the supervisory authority in the Member State of his/her habitual residence or place of work, or the competent supervisory authority pursuant to Clause 13;</w:t>
      </w:r>
    </w:p>
    <w:p w14:paraId="346CFBFD" w14:textId="77777777" w:rsidR="00F67E9E" w:rsidRPr="00102034" w:rsidRDefault="00F67E9E" w:rsidP="00F67E9E">
      <w:pPr>
        <w:numPr>
          <w:ilvl w:val="2"/>
          <w:numId w:val="32"/>
        </w:numPr>
        <w:pBdr>
          <w:top w:val="nil"/>
          <w:left w:val="nil"/>
          <w:bottom w:val="nil"/>
          <w:right w:val="nil"/>
          <w:between w:val="nil"/>
        </w:pBdr>
        <w:spacing w:before="120" w:after="240"/>
        <w:ind w:left="2160" w:hanging="720"/>
        <w:rPr>
          <w:rFonts w:eastAsia="Arial" w:cs="Arial"/>
          <w:color w:val="000000"/>
          <w:szCs w:val="24"/>
          <w:lang w:eastAsia="en-GB"/>
        </w:rPr>
      </w:pPr>
      <w:bookmarkStart w:id="3401" w:name="bookmark=id.3ya13h7" w:colFirst="0" w:colLast="0"/>
      <w:bookmarkEnd w:id="3401"/>
      <w:r w:rsidRPr="00102034">
        <w:rPr>
          <w:rFonts w:eastAsia="Arial" w:cs="Arial"/>
          <w:color w:val="000000"/>
          <w:szCs w:val="24"/>
          <w:lang w:eastAsia="en-GB"/>
        </w:rPr>
        <w:t>refer the dispute to the competent courts within the meaning of Clause 18.</w:t>
      </w:r>
    </w:p>
    <w:p w14:paraId="540BF66B" w14:textId="77777777" w:rsidR="00F67E9E" w:rsidRPr="00102034" w:rsidRDefault="00F67E9E" w:rsidP="00F67E9E">
      <w:pPr>
        <w:numPr>
          <w:ilvl w:val="1"/>
          <w:numId w:val="244"/>
        </w:numPr>
        <w:pBdr>
          <w:top w:val="nil"/>
          <w:left w:val="nil"/>
          <w:bottom w:val="nil"/>
          <w:right w:val="nil"/>
          <w:between w:val="nil"/>
        </w:pBdr>
        <w:spacing w:before="120" w:after="240"/>
        <w:ind w:left="1440" w:hanging="720"/>
        <w:rPr>
          <w:rFonts w:eastAsia="Arial" w:cs="Arial"/>
          <w:color w:val="000000"/>
          <w:szCs w:val="24"/>
          <w:lang w:eastAsia="en-GB"/>
        </w:rPr>
      </w:pPr>
      <w:bookmarkStart w:id="3402" w:name="bookmark=id.2dfbdp0" w:colFirst="0" w:colLast="0"/>
      <w:bookmarkEnd w:id="3402"/>
      <w:r w:rsidRPr="00102034">
        <w:rPr>
          <w:rFonts w:eastAsia="Arial" w:cs="Arial"/>
          <w:color w:val="000000"/>
          <w:szCs w:val="24"/>
          <w:lang w:eastAsia="en-GB"/>
        </w:rPr>
        <w:t>The Parties accept that the data subject may be represented by a not-for-profit body, organisation or association under the conditions set out in Article 80(1) of Regulation (EU) 2016/679.</w:t>
      </w:r>
    </w:p>
    <w:p w14:paraId="69F95B15" w14:textId="77777777" w:rsidR="00F67E9E" w:rsidRPr="00102034" w:rsidRDefault="00F67E9E" w:rsidP="00F67E9E">
      <w:pPr>
        <w:numPr>
          <w:ilvl w:val="1"/>
          <w:numId w:val="244"/>
        </w:numPr>
        <w:pBdr>
          <w:top w:val="nil"/>
          <w:left w:val="nil"/>
          <w:bottom w:val="nil"/>
          <w:right w:val="nil"/>
          <w:between w:val="nil"/>
        </w:pBdr>
        <w:spacing w:before="120" w:after="240"/>
        <w:ind w:left="1440" w:hanging="720"/>
        <w:rPr>
          <w:rFonts w:eastAsia="Arial" w:cs="Arial"/>
          <w:color w:val="000000"/>
          <w:szCs w:val="24"/>
          <w:lang w:eastAsia="en-GB"/>
        </w:rPr>
      </w:pPr>
      <w:bookmarkStart w:id="3403" w:name="bookmark=id.sklnwt" w:colFirst="0" w:colLast="0"/>
      <w:bookmarkEnd w:id="3403"/>
      <w:r w:rsidRPr="00102034">
        <w:rPr>
          <w:rFonts w:eastAsia="Arial" w:cs="Arial"/>
          <w:color w:val="000000"/>
          <w:szCs w:val="24"/>
          <w:lang w:eastAsia="en-GB"/>
        </w:rPr>
        <w:t>The data importer shall abide by a decision that is binding under the applicable EU or Member State law.</w:t>
      </w:r>
    </w:p>
    <w:p w14:paraId="1E282A45" w14:textId="77777777" w:rsidR="00F67E9E" w:rsidRPr="00102034" w:rsidRDefault="00F67E9E" w:rsidP="00F67E9E">
      <w:pPr>
        <w:numPr>
          <w:ilvl w:val="1"/>
          <w:numId w:val="244"/>
        </w:numPr>
        <w:pBdr>
          <w:top w:val="nil"/>
          <w:left w:val="nil"/>
          <w:bottom w:val="nil"/>
          <w:right w:val="nil"/>
          <w:between w:val="nil"/>
        </w:pBdr>
        <w:spacing w:before="120" w:after="240"/>
        <w:ind w:left="1440" w:hanging="720"/>
        <w:rPr>
          <w:rFonts w:eastAsia="Arial" w:cs="Arial"/>
          <w:color w:val="000000"/>
          <w:szCs w:val="24"/>
          <w:lang w:eastAsia="en-GB"/>
        </w:rPr>
      </w:pPr>
      <w:bookmarkStart w:id="3404" w:name="bookmark=id.3ck96km" w:colFirst="0" w:colLast="0"/>
      <w:bookmarkEnd w:id="3404"/>
      <w:r w:rsidRPr="00102034">
        <w:rPr>
          <w:rFonts w:eastAsia="Arial" w:cs="Arial"/>
          <w:color w:val="000000"/>
          <w:szCs w:val="24"/>
          <w:lang w:eastAsia="en-GB"/>
        </w:rPr>
        <w:t>The data importer agrees that the choice made by the data subject will not prejudice his/her substantive and procedural rights to seek remedies in accordance with applicable laws.</w:t>
      </w:r>
    </w:p>
    <w:p w14:paraId="05EA534A" w14:textId="77777777" w:rsidR="00F67E9E" w:rsidRPr="00102034" w:rsidRDefault="00F67E9E" w:rsidP="00F67E9E">
      <w:pPr>
        <w:keepNext/>
        <w:pBdr>
          <w:top w:val="nil"/>
          <w:left w:val="nil"/>
          <w:bottom w:val="nil"/>
          <w:right w:val="nil"/>
          <w:between w:val="nil"/>
        </w:pBdr>
        <w:spacing w:before="120"/>
        <w:jc w:val="center"/>
        <w:rPr>
          <w:rFonts w:eastAsia="Arial" w:cs="Arial"/>
          <w:b/>
          <w:color w:val="000000"/>
          <w:szCs w:val="24"/>
          <w:lang w:eastAsia="en-GB"/>
        </w:rPr>
      </w:pPr>
      <w:r w:rsidRPr="00102034">
        <w:rPr>
          <w:rFonts w:eastAsia="Arial" w:cs="Arial"/>
          <w:b/>
          <w:color w:val="000000"/>
          <w:szCs w:val="24"/>
          <w:lang w:eastAsia="en-GB"/>
        </w:rPr>
        <w:t>CLAUSE 12</w:t>
      </w:r>
    </w:p>
    <w:p w14:paraId="0989F688" w14:textId="77777777" w:rsidR="00F67E9E" w:rsidRPr="00102034" w:rsidRDefault="00F67E9E" w:rsidP="00F67E9E">
      <w:pPr>
        <w:pBdr>
          <w:top w:val="nil"/>
          <w:left w:val="nil"/>
          <w:bottom w:val="nil"/>
          <w:right w:val="nil"/>
          <w:between w:val="nil"/>
        </w:pBdr>
        <w:spacing w:before="240" w:after="240"/>
        <w:rPr>
          <w:rFonts w:eastAsia="Arial" w:cs="Arial"/>
          <w:color w:val="000000"/>
          <w:szCs w:val="24"/>
          <w:lang w:eastAsia="en-GB"/>
        </w:rPr>
      </w:pPr>
      <w:bookmarkStart w:id="3405" w:name="bookmark=id.1rpjgsf" w:colFirst="0" w:colLast="0"/>
      <w:bookmarkEnd w:id="3405"/>
      <w:r w:rsidRPr="00102034">
        <w:rPr>
          <w:rFonts w:eastAsia="Arial" w:cs="Arial"/>
          <w:b/>
          <w:color w:val="000000"/>
          <w:szCs w:val="24"/>
          <w:lang w:eastAsia="en-GB"/>
        </w:rPr>
        <w:t>Liability</w:t>
      </w:r>
    </w:p>
    <w:p w14:paraId="0CC37F2C" w14:textId="77777777" w:rsidR="00F67E9E" w:rsidRPr="00102034" w:rsidRDefault="00F67E9E" w:rsidP="00F67E9E">
      <w:pPr>
        <w:numPr>
          <w:ilvl w:val="1"/>
          <w:numId w:val="245"/>
        </w:numPr>
        <w:pBdr>
          <w:top w:val="nil"/>
          <w:left w:val="nil"/>
          <w:bottom w:val="nil"/>
          <w:right w:val="nil"/>
          <w:between w:val="nil"/>
        </w:pBdr>
        <w:tabs>
          <w:tab w:val="left" w:pos="1440"/>
        </w:tabs>
        <w:spacing w:before="120" w:after="240"/>
        <w:ind w:left="1440" w:hanging="720"/>
        <w:rPr>
          <w:rFonts w:eastAsia="Arial" w:cs="Arial"/>
          <w:color w:val="000000"/>
          <w:szCs w:val="24"/>
          <w:lang w:eastAsia="en-GB"/>
        </w:rPr>
      </w:pPr>
      <w:bookmarkStart w:id="3406" w:name="bookmark=id.4bp6zg8" w:colFirst="0" w:colLast="0"/>
      <w:bookmarkEnd w:id="3406"/>
      <w:r w:rsidRPr="00102034">
        <w:rPr>
          <w:rFonts w:eastAsia="Arial" w:cs="Arial"/>
          <w:color w:val="000000"/>
          <w:szCs w:val="24"/>
          <w:lang w:eastAsia="en-GB"/>
        </w:rPr>
        <w:t>Each Party shall be liable to the other Party/ies for any damages it causes the other Party/ies by any breach of these Clauses.</w:t>
      </w:r>
    </w:p>
    <w:p w14:paraId="42F28490" w14:textId="77777777" w:rsidR="00F67E9E" w:rsidRPr="00102034" w:rsidRDefault="00F67E9E" w:rsidP="00F67E9E">
      <w:pPr>
        <w:numPr>
          <w:ilvl w:val="1"/>
          <w:numId w:val="245"/>
        </w:numPr>
        <w:pBdr>
          <w:top w:val="nil"/>
          <w:left w:val="nil"/>
          <w:bottom w:val="nil"/>
          <w:right w:val="nil"/>
          <w:between w:val="nil"/>
        </w:pBdr>
        <w:tabs>
          <w:tab w:val="left" w:pos="1440"/>
        </w:tabs>
        <w:spacing w:before="120" w:after="240"/>
        <w:ind w:left="1440" w:hanging="720"/>
        <w:rPr>
          <w:rFonts w:eastAsia="Arial" w:cs="Arial"/>
          <w:color w:val="000000"/>
          <w:szCs w:val="24"/>
          <w:lang w:eastAsia="en-GB"/>
        </w:rPr>
      </w:pPr>
      <w:bookmarkStart w:id="3407" w:name="bookmark=id.2quh9o1" w:colFirst="0" w:colLast="0"/>
      <w:bookmarkStart w:id="3408" w:name="_Ref141248490"/>
      <w:bookmarkEnd w:id="3407"/>
      <w:r w:rsidRPr="00102034">
        <w:rPr>
          <w:rFonts w:eastAsia="Arial" w:cs="Arial"/>
          <w:color w:val="000000"/>
          <w:szCs w:val="24"/>
          <w:lang w:eastAsia="en-GB"/>
        </w:rPr>
        <w:t>The data importer shall be liable to the data subject, and the data subject shall be entitled to receive compensation, for any material or non-material damages the data importer or its sub-processor causes the data subject by breaching the third-party beneficiary rights under these Clauses.</w:t>
      </w:r>
      <w:bookmarkEnd w:id="3408"/>
    </w:p>
    <w:p w14:paraId="6CD47063" w14:textId="0168CBB6" w:rsidR="00F67E9E" w:rsidRPr="00102034" w:rsidRDefault="00F67E9E" w:rsidP="00F67E9E">
      <w:pPr>
        <w:numPr>
          <w:ilvl w:val="1"/>
          <w:numId w:val="245"/>
        </w:numPr>
        <w:pBdr>
          <w:top w:val="nil"/>
          <w:left w:val="nil"/>
          <w:bottom w:val="nil"/>
          <w:right w:val="nil"/>
          <w:between w:val="nil"/>
        </w:pBdr>
        <w:tabs>
          <w:tab w:val="left" w:pos="1440"/>
        </w:tabs>
        <w:spacing w:before="120" w:after="240"/>
        <w:ind w:left="1440" w:hanging="720"/>
        <w:rPr>
          <w:rFonts w:eastAsia="Arial" w:cs="Arial"/>
          <w:color w:val="000000"/>
          <w:szCs w:val="24"/>
          <w:lang w:eastAsia="en-GB"/>
        </w:rPr>
      </w:pPr>
      <w:bookmarkStart w:id="3409" w:name="bookmark=id.15zrjvu" w:colFirst="0" w:colLast="0"/>
      <w:bookmarkStart w:id="3410" w:name="_Ref141248509"/>
      <w:bookmarkEnd w:id="3409"/>
      <w:r w:rsidRPr="00102034">
        <w:rPr>
          <w:rFonts w:eastAsia="Arial" w:cs="Arial"/>
          <w:color w:val="000000"/>
          <w:szCs w:val="24"/>
          <w:lang w:eastAsia="en-GB"/>
        </w:rPr>
        <w:t xml:space="preserve">Notwithstanding paragraph </w:t>
      </w:r>
      <w:r>
        <w:rPr>
          <w:rFonts w:eastAsia="Arial" w:cs="Arial"/>
          <w:color w:val="000000"/>
          <w:szCs w:val="24"/>
          <w:lang w:eastAsia="en-GB"/>
        </w:rPr>
        <w:fldChar w:fldCharType="begin"/>
      </w:r>
      <w:r>
        <w:rPr>
          <w:rFonts w:eastAsia="Arial" w:cs="Arial"/>
          <w:color w:val="000000"/>
          <w:szCs w:val="24"/>
          <w:lang w:eastAsia="en-GB"/>
        </w:rPr>
        <w:instrText xml:space="preserve"> REF _Ref141248490 \n \h </w:instrText>
      </w:r>
      <w:r>
        <w:rPr>
          <w:rFonts w:eastAsia="Arial" w:cs="Arial"/>
          <w:color w:val="000000"/>
          <w:szCs w:val="24"/>
          <w:lang w:eastAsia="en-GB"/>
        </w:rPr>
      </w:r>
      <w:r>
        <w:rPr>
          <w:rFonts w:eastAsia="Arial" w:cs="Arial"/>
          <w:color w:val="000000"/>
          <w:szCs w:val="24"/>
          <w:lang w:eastAsia="en-GB"/>
        </w:rPr>
        <w:fldChar w:fldCharType="separate"/>
      </w:r>
      <w:r w:rsidR="00302D39">
        <w:rPr>
          <w:rFonts w:eastAsia="Arial" w:cs="Arial"/>
          <w:color w:val="000000"/>
          <w:szCs w:val="24"/>
          <w:lang w:eastAsia="en-GB"/>
        </w:rPr>
        <w:t>(b)</w:t>
      </w:r>
      <w:r>
        <w:rPr>
          <w:rFonts w:eastAsia="Arial" w:cs="Arial"/>
          <w:color w:val="000000"/>
          <w:szCs w:val="24"/>
          <w:lang w:eastAsia="en-GB"/>
        </w:rPr>
        <w:fldChar w:fldCharType="end"/>
      </w:r>
      <w:r w:rsidRPr="00102034">
        <w:rPr>
          <w:rFonts w:eastAsia="Arial" w:cs="Arial"/>
          <w:color w:val="000000"/>
          <w:szCs w:val="24"/>
          <w:lang w:eastAsia="en-GB"/>
        </w:rPr>
        <w:t>, the data exporter shall be liable to the data subject, and the data subject shall be entitled to receive compensation, for any material or non-material damages the data exporter or the data importer (or its sub-processor) causes the data subject by breaching the third-party beneficiary rights under these Clauses. This is without prejudice to the liability of the data exporter and, where the data exporter is a processor acting on behalf of a controller, to the liability of the controller under Regulation (EU) 2016/679 or Regulation (EU) 2018/1725, as applicable.</w:t>
      </w:r>
      <w:bookmarkEnd w:id="3410"/>
    </w:p>
    <w:p w14:paraId="2CE86B45" w14:textId="54558172" w:rsidR="00F67E9E" w:rsidRPr="00102034" w:rsidRDefault="00F67E9E" w:rsidP="00F67E9E">
      <w:pPr>
        <w:numPr>
          <w:ilvl w:val="1"/>
          <w:numId w:val="245"/>
        </w:numPr>
        <w:pBdr>
          <w:top w:val="nil"/>
          <w:left w:val="nil"/>
          <w:bottom w:val="nil"/>
          <w:right w:val="nil"/>
          <w:between w:val="nil"/>
        </w:pBdr>
        <w:tabs>
          <w:tab w:val="left" w:pos="1440"/>
        </w:tabs>
        <w:spacing w:before="120" w:after="240"/>
        <w:ind w:left="1440" w:hanging="720"/>
        <w:rPr>
          <w:rFonts w:eastAsia="Arial" w:cs="Arial"/>
          <w:color w:val="000000"/>
          <w:szCs w:val="24"/>
          <w:lang w:eastAsia="en-GB"/>
        </w:rPr>
      </w:pPr>
      <w:bookmarkStart w:id="3411" w:name="bookmark=id.3pzf2jn" w:colFirst="0" w:colLast="0"/>
      <w:bookmarkEnd w:id="3411"/>
      <w:r w:rsidRPr="00102034">
        <w:rPr>
          <w:rFonts w:eastAsia="Arial" w:cs="Arial"/>
          <w:color w:val="000000"/>
          <w:szCs w:val="24"/>
          <w:lang w:eastAsia="en-GB"/>
        </w:rPr>
        <w:t xml:space="preserve">The Parties agree that if the data exporter is held liable under paragraph </w:t>
      </w:r>
      <w:r>
        <w:rPr>
          <w:rFonts w:eastAsia="Arial" w:cs="Arial"/>
          <w:color w:val="000000"/>
          <w:szCs w:val="24"/>
          <w:lang w:eastAsia="en-GB"/>
        </w:rPr>
        <w:fldChar w:fldCharType="begin"/>
      </w:r>
      <w:r>
        <w:rPr>
          <w:rFonts w:eastAsia="Arial" w:cs="Arial"/>
          <w:color w:val="000000"/>
          <w:szCs w:val="24"/>
          <w:lang w:eastAsia="en-GB"/>
        </w:rPr>
        <w:instrText xml:space="preserve"> REF _Ref141248509 \n \h </w:instrText>
      </w:r>
      <w:r>
        <w:rPr>
          <w:rFonts w:eastAsia="Arial" w:cs="Arial"/>
          <w:color w:val="000000"/>
          <w:szCs w:val="24"/>
          <w:lang w:eastAsia="en-GB"/>
        </w:rPr>
      </w:r>
      <w:r>
        <w:rPr>
          <w:rFonts w:eastAsia="Arial" w:cs="Arial"/>
          <w:color w:val="000000"/>
          <w:szCs w:val="24"/>
          <w:lang w:eastAsia="en-GB"/>
        </w:rPr>
        <w:fldChar w:fldCharType="separate"/>
      </w:r>
      <w:r w:rsidR="00302D39">
        <w:rPr>
          <w:rFonts w:eastAsia="Arial" w:cs="Arial"/>
          <w:color w:val="000000"/>
          <w:szCs w:val="24"/>
          <w:lang w:eastAsia="en-GB"/>
        </w:rPr>
        <w:t>(c)</w:t>
      </w:r>
      <w:r>
        <w:rPr>
          <w:rFonts w:eastAsia="Arial" w:cs="Arial"/>
          <w:color w:val="000000"/>
          <w:szCs w:val="24"/>
          <w:lang w:eastAsia="en-GB"/>
        </w:rPr>
        <w:fldChar w:fldCharType="end"/>
      </w:r>
      <w:r w:rsidRPr="00102034">
        <w:rPr>
          <w:rFonts w:eastAsia="Arial" w:cs="Arial"/>
          <w:color w:val="000000"/>
          <w:szCs w:val="24"/>
          <w:lang w:eastAsia="en-GB"/>
        </w:rPr>
        <w:t xml:space="preserve"> for damages caused by the data importer (or its sub-processor), it shall be entitled to claim back from the data importer that part of the compensation corresponding to the data importer's responsibility for the damage.</w:t>
      </w:r>
    </w:p>
    <w:p w14:paraId="6B67FFB8" w14:textId="77777777" w:rsidR="00F67E9E" w:rsidRPr="00102034" w:rsidRDefault="00F67E9E" w:rsidP="00F67E9E">
      <w:pPr>
        <w:numPr>
          <w:ilvl w:val="1"/>
          <w:numId w:val="245"/>
        </w:numPr>
        <w:pBdr>
          <w:top w:val="nil"/>
          <w:left w:val="nil"/>
          <w:bottom w:val="nil"/>
          <w:right w:val="nil"/>
          <w:between w:val="nil"/>
        </w:pBdr>
        <w:tabs>
          <w:tab w:val="left" w:pos="1440"/>
        </w:tabs>
        <w:spacing w:before="120" w:after="240"/>
        <w:ind w:left="1440" w:hanging="720"/>
        <w:rPr>
          <w:rFonts w:eastAsia="Arial" w:cs="Arial"/>
          <w:color w:val="000000"/>
          <w:szCs w:val="24"/>
          <w:lang w:eastAsia="en-GB"/>
        </w:rPr>
      </w:pPr>
      <w:bookmarkStart w:id="3412" w:name="bookmark=id.254pcrg" w:colFirst="0" w:colLast="0"/>
      <w:bookmarkStart w:id="3413" w:name="_Ref141248521"/>
      <w:bookmarkEnd w:id="3412"/>
      <w:r w:rsidRPr="00102034">
        <w:rPr>
          <w:rFonts w:eastAsia="Arial" w:cs="Arial"/>
          <w:color w:val="000000"/>
          <w:szCs w:val="24"/>
          <w:lang w:eastAsia="en-GB"/>
        </w:rPr>
        <w:t>Where more than one Party is responsible for any damage caused to the data subject as a result of a breach of these Clauses, all responsible Parties shall be jointly and severally liable and the data subject is entitled to bring an action in court against any of these Parties.</w:t>
      </w:r>
      <w:bookmarkEnd w:id="3413"/>
    </w:p>
    <w:p w14:paraId="0FCA24E4" w14:textId="7D07B8CC" w:rsidR="00F67E9E" w:rsidRPr="00102034" w:rsidRDefault="00F67E9E" w:rsidP="00F67E9E">
      <w:pPr>
        <w:numPr>
          <w:ilvl w:val="1"/>
          <w:numId w:val="245"/>
        </w:numPr>
        <w:pBdr>
          <w:top w:val="nil"/>
          <w:left w:val="nil"/>
          <w:bottom w:val="nil"/>
          <w:right w:val="nil"/>
          <w:between w:val="nil"/>
        </w:pBdr>
        <w:tabs>
          <w:tab w:val="left" w:pos="1440"/>
        </w:tabs>
        <w:spacing w:before="120" w:after="240"/>
        <w:ind w:left="1440" w:hanging="720"/>
        <w:rPr>
          <w:rFonts w:eastAsia="Arial" w:cs="Arial"/>
          <w:color w:val="000000"/>
          <w:szCs w:val="24"/>
          <w:lang w:eastAsia="en-GB"/>
        </w:rPr>
      </w:pPr>
      <w:bookmarkStart w:id="3414" w:name="bookmark=id.k9zmz9" w:colFirst="0" w:colLast="0"/>
      <w:bookmarkEnd w:id="3414"/>
      <w:r w:rsidRPr="00102034">
        <w:rPr>
          <w:rFonts w:eastAsia="Arial" w:cs="Arial"/>
          <w:color w:val="000000"/>
          <w:szCs w:val="24"/>
          <w:lang w:eastAsia="en-GB"/>
        </w:rPr>
        <w:t>The Parties agree that if one Party is held liable under paragraph ‎</w:t>
      </w:r>
      <w:r>
        <w:rPr>
          <w:rFonts w:eastAsia="Arial" w:cs="Arial"/>
          <w:color w:val="000000"/>
          <w:szCs w:val="24"/>
          <w:lang w:eastAsia="en-GB"/>
        </w:rPr>
        <w:fldChar w:fldCharType="begin"/>
      </w:r>
      <w:r>
        <w:rPr>
          <w:rFonts w:eastAsia="Arial" w:cs="Arial"/>
          <w:color w:val="000000"/>
          <w:szCs w:val="24"/>
          <w:lang w:eastAsia="en-GB"/>
        </w:rPr>
        <w:instrText xml:space="preserve"> REF _Ref141248521 \n \h </w:instrText>
      </w:r>
      <w:r>
        <w:rPr>
          <w:rFonts w:eastAsia="Arial" w:cs="Arial"/>
          <w:color w:val="000000"/>
          <w:szCs w:val="24"/>
          <w:lang w:eastAsia="en-GB"/>
        </w:rPr>
      </w:r>
      <w:r>
        <w:rPr>
          <w:rFonts w:eastAsia="Arial" w:cs="Arial"/>
          <w:color w:val="000000"/>
          <w:szCs w:val="24"/>
          <w:lang w:eastAsia="en-GB"/>
        </w:rPr>
        <w:fldChar w:fldCharType="separate"/>
      </w:r>
      <w:r w:rsidR="00302D39">
        <w:rPr>
          <w:rFonts w:eastAsia="Arial" w:cs="Arial"/>
          <w:color w:val="000000"/>
          <w:szCs w:val="24"/>
          <w:lang w:eastAsia="en-GB"/>
        </w:rPr>
        <w:t>(e)</w:t>
      </w:r>
      <w:r>
        <w:rPr>
          <w:rFonts w:eastAsia="Arial" w:cs="Arial"/>
          <w:color w:val="000000"/>
          <w:szCs w:val="24"/>
          <w:lang w:eastAsia="en-GB"/>
        </w:rPr>
        <w:fldChar w:fldCharType="end"/>
      </w:r>
      <w:r w:rsidRPr="00102034">
        <w:rPr>
          <w:rFonts w:eastAsia="Arial" w:cs="Arial"/>
          <w:color w:val="000000"/>
          <w:szCs w:val="24"/>
          <w:lang w:eastAsia="en-GB"/>
        </w:rPr>
        <w:t>, it shall be entitled to claim back from the other Party/ies that part of the compensation corresponding to its/their responsibility for the damage.</w:t>
      </w:r>
    </w:p>
    <w:p w14:paraId="58F5F9CC" w14:textId="77777777" w:rsidR="00F67E9E" w:rsidRPr="00102034" w:rsidRDefault="00F67E9E" w:rsidP="00F67E9E">
      <w:pPr>
        <w:numPr>
          <w:ilvl w:val="1"/>
          <w:numId w:val="245"/>
        </w:numPr>
        <w:pBdr>
          <w:top w:val="nil"/>
          <w:left w:val="nil"/>
          <w:bottom w:val="nil"/>
          <w:right w:val="nil"/>
          <w:between w:val="nil"/>
        </w:pBdr>
        <w:tabs>
          <w:tab w:val="left" w:pos="1440"/>
        </w:tabs>
        <w:spacing w:before="120" w:after="240"/>
        <w:ind w:left="1440" w:hanging="720"/>
        <w:rPr>
          <w:rFonts w:eastAsia="Arial" w:cs="Arial"/>
          <w:color w:val="000000"/>
          <w:szCs w:val="24"/>
          <w:lang w:eastAsia="en-GB"/>
        </w:rPr>
      </w:pPr>
      <w:bookmarkStart w:id="3415" w:name="bookmark=id.349n5n2" w:colFirst="0" w:colLast="0"/>
      <w:bookmarkEnd w:id="3415"/>
      <w:r w:rsidRPr="00102034">
        <w:rPr>
          <w:rFonts w:eastAsia="Arial" w:cs="Arial"/>
          <w:color w:val="000000"/>
          <w:szCs w:val="24"/>
          <w:lang w:eastAsia="en-GB"/>
        </w:rPr>
        <w:t>The data importer may not invoke the conduct of a sub-processor to avoid its own liability.</w:t>
      </w:r>
    </w:p>
    <w:p w14:paraId="6F7CDF13" w14:textId="77777777" w:rsidR="00F67E9E" w:rsidRPr="00102034" w:rsidRDefault="00F67E9E" w:rsidP="00F67E9E">
      <w:pPr>
        <w:pBdr>
          <w:top w:val="nil"/>
          <w:left w:val="nil"/>
          <w:bottom w:val="nil"/>
          <w:right w:val="nil"/>
          <w:between w:val="nil"/>
        </w:pBdr>
        <w:spacing w:before="120"/>
        <w:jc w:val="center"/>
        <w:rPr>
          <w:rFonts w:eastAsia="Arial" w:cs="Arial"/>
          <w:b/>
          <w:color w:val="000000"/>
          <w:szCs w:val="24"/>
          <w:lang w:eastAsia="en-GB"/>
        </w:rPr>
      </w:pPr>
      <w:r w:rsidRPr="00102034">
        <w:rPr>
          <w:rFonts w:eastAsia="Arial" w:cs="Arial"/>
          <w:b/>
          <w:color w:val="000000"/>
          <w:szCs w:val="24"/>
          <w:lang w:eastAsia="en-GB"/>
        </w:rPr>
        <w:t>CLAUSE 13</w:t>
      </w:r>
    </w:p>
    <w:p w14:paraId="2486BF2F" w14:textId="77777777" w:rsidR="00F67E9E" w:rsidRPr="00102034" w:rsidRDefault="00F67E9E" w:rsidP="00F67E9E">
      <w:pPr>
        <w:pBdr>
          <w:top w:val="nil"/>
          <w:left w:val="nil"/>
          <w:bottom w:val="nil"/>
          <w:right w:val="nil"/>
          <w:between w:val="nil"/>
        </w:pBdr>
        <w:spacing w:before="240" w:after="240"/>
        <w:rPr>
          <w:rFonts w:eastAsia="Arial" w:cs="Arial"/>
          <w:color w:val="000000"/>
          <w:szCs w:val="24"/>
          <w:lang w:eastAsia="en-GB"/>
        </w:rPr>
      </w:pPr>
      <w:bookmarkStart w:id="3416" w:name="bookmark=id.1jexfuv" w:colFirst="0" w:colLast="0"/>
      <w:bookmarkEnd w:id="3416"/>
      <w:r w:rsidRPr="00102034">
        <w:rPr>
          <w:rFonts w:eastAsia="Arial" w:cs="Arial"/>
          <w:b/>
          <w:color w:val="000000"/>
          <w:szCs w:val="24"/>
          <w:lang w:eastAsia="en-GB"/>
        </w:rPr>
        <w:t>Supervision</w:t>
      </w:r>
    </w:p>
    <w:p w14:paraId="60613B79" w14:textId="77777777" w:rsidR="00F67E9E" w:rsidRPr="00102034" w:rsidRDefault="00F67E9E" w:rsidP="00F67E9E">
      <w:pPr>
        <w:numPr>
          <w:ilvl w:val="1"/>
          <w:numId w:val="246"/>
        </w:numPr>
        <w:pBdr>
          <w:top w:val="nil"/>
          <w:left w:val="nil"/>
          <w:bottom w:val="nil"/>
          <w:right w:val="nil"/>
          <w:between w:val="nil"/>
        </w:pBdr>
        <w:tabs>
          <w:tab w:val="left" w:pos="1440"/>
        </w:tabs>
        <w:spacing w:before="120" w:after="240"/>
        <w:ind w:left="1440" w:hanging="720"/>
        <w:rPr>
          <w:rFonts w:eastAsia="Arial" w:cs="Arial"/>
          <w:color w:val="000000"/>
          <w:szCs w:val="24"/>
          <w:lang w:eastAsia="en-GB"/>
        </w:rPr>
      </w:pPr>
      <w:bookmarkStart w:id="3417" w:name="bookmark=id.43ekyio" w:colFirst="0" w:colLast="0"/>
      <w:bookmarkEnd w:id="3417"/>
      <w:r w:rsidRPr="00102034">
        <w:rPr>
          <w:rFonts w:eastAsia="Arial" w:cs="Arial"/>
          <w:color w:val="000000"/>
          <w:szCs w:val="24"/>
          <w:lang w:eastAsia="en-GB"/>
        </w:rPr>
        <w:t>[Where the data exporter is established in an EU Member State:] The supervisory authority with responsibility for ensuring compliance by the data exporter with Regulation (EU) 2016/679 as regards the data transfer, as indicated in Annex I.C, shall act as competent supervisory authority.</w:t>
      </w:r>
    </w:p>
    <w:p w14:paraId="0D338327" w14:textId="77777777" w:rsidR="00F67E9E" w:rsidRPr="00102034" w:rsidRDefault="00F67E9E" w:rsidP="00F67E9E">
      <w:pPr>
        <w:pBdr>
          <w:top w:val="nil"/>
          <w:left w:val="nil"/>
          <w:bottom w:val="nil"/>
          <w:right w:val="nil"/>
          <w:between w:val="nil"/>
        </w:pBdr>
        <w:spacing w:before="120" w:after="240"/>
        <w:ind w:left="720" w:firstLine="1440"/>
        <w:rPr>
          <w:rFonts w:eastAsia="Arial" w:cs="Arial"/>
          <w:color w:val="000000"/>
          <w:szCs w:val="24"/>
          <w:lang w:eastAsia="en-GB"/>
        </w:rPr>
      </w:pPr>
      <w:bookmarkStart w:id="3418" w:name="bookmark=id.2ijv8qh" w:colFirst="0" w:colLast="0"/>
      <w:bookmarkEnd w:id="3418"/>
      <w:r w:rsidRPr="00102034">
        <w:rPr>
          <w:rFonts w:eastAsia="Arial" w:cs="Arial"/>
          <w:color w:val="000000"/>
          <w:szCs w:val="24"/>
          <w:lang w:eastAsia="en-GB"/>
        </w:rPr>
        <w:t>[Where the data exporter is not established in an EU Member State, but falls within the territorial scope of application of Regulation (EU) 2016/679 in accordance with its Article 3(2) and has appointed a representative pursuant to Article 27(1) of Regulation (EU) 2016/679:] The supervisory authority of the Member State in which the representative within the meaning of Article 27(1) of Regulation (EU) 2016/679 is established, as indicated in Annex I.C, shall act as competent supervisory authority.</w:t>
      </w:r>
    </w:p>
    <w:p w14:paraId="0C3B1BC1" w14:textId="77777777" w:rsidR="00F67E9E" w:rsidRPr="00102034" w:rsidRDefault="00F67E9E" w:rsidP="00F67E9E">
      <w:pPr>
        <w:pBdr>
          <w:top w:val="nil"/>
          <w:left w:val="nil"/>
          <w:bottom w:val="nil"/>
          <w:right w:val="nil"/>
          <w:between w:val="nil"/>
        </w:pBdr>
        <w:spacing w:before="120" w:after="240"/>
        <w:ind w:left="720" w:firstLine="1440"/>
        <w:rPr>
          <w:rFonts w:eastAsia="Arial" w:cs="Arial"/>
          <w:color w:val="000000"/>
          <w:szCs w:val="24"/>
          <w:lang w:eastAsia="en-GB"/>
        </w:rPr>
      </w:pPr>
      <w:bookmarkStart w:id="3419" w:name="bookmark=id.xp5iya" w:colFirst="0" w:colLast="0"/>
      <w:bookmarkEnd w:id="3419"/>
      <w:r w:rsidRPr="00102034">
        <w:rPr>
          <w:rFonts w:eastAsia="Arial" w:cs="Arial"/>
          <w:color w:val="000000"/>
          <w:szCs w:val="24"/>
          <w:lang w:eastAsia="en-GB"/>
        </w:rPr>
        <w:t>[Where the data exporter is not established in an EU Member State, but falls within the territorial scope of application of Regulation (EU) 2016/679 in accordance with its Article 3(2) without however having to appoint a representative pursuant to Article 27(2) of Regulation (EU) 2016/679:] The supervisory authority of one of the Member States in which the data subjects whose personal data is transferred under these Clauses in relation to the offering of goods or services to them, or whose behaviour is monitored, are located, as indicated in Annex I.C, shall act as competent supervisory authority.</w:t>
      </w:r>
    </w:p>
    <w:p w14:paraId="52A47183" w14:textId="77777777" w:rsidR="00F67E9E" w:rsidRPr="00102034" w:rsidRDefault="00F67E9E" w:rsidP="00F67E9E">
      <w:pPr>
        <w:numPr>
          <w:ilvl w:val="1"/>
          <w:numId w:val="246"/>
        </w:numPr>
        <w:pBdr>
          <w:top w:val="nil"/>
          <w:left w:val="nil"/>
          <w:bottom w:val="nil"/>
          <w:right w:val="nil"/>
          <w:between w:val="nil"/>
        </w:pBdr>
        <w:tabs>
          <w:tab w:val="left" w:pos="1440"/>
        </w:tabs>
        <w:spacing w:before="120" w:after="240"/>
        <w:ind w:left="1440" w:hanging="720"/>
        <w:rPr>
          <w:rFonts w:eastAsia="Arial" w:cs="Arial"/>
          <w:color w:val="000000"/>
          <w:szCs w:val="24"/>
          <w:lang w:eastAsia="en-GB"/>
        </w:rPr>
      </w:pPr>
      <w:bookmarkStart w:id="3420" w:name="bookmark=id.3hot1m3" w:colFirst="0" w:colLast="0"/>
      <w:bookmarkEnd w:id="3420"/>
      <w:r w:rsidRPr="00102034">
        <w:rPr>
          <w:rFonts w:eastAsia="Arial" w:cs="Arial"/>
          <w:color w:val="000000"/>
          <w:szCs w:val="24"/>
          <w:lang w:eastAsia="en-GB"/>
        </w:rPr>
        <w:t>The data importer agrees to submit itself to the jurisdiction of and cooperate with the competent supervisory authority in any procedures aimed at ensuring compliance with these Clauses. In particular, the data importer agrees to respond to enquiries, submit to audits and comply with the measures adopted by the supervisory authority, including remedial and compensatory measures. It shall provide the supervisory authority with written confirmation that the necessary actions have been taken.</w:t>
      </w:r>
    </w:p>
    <w:p w14:paraId="09A3837D" w14:textId="77777777" w:rsidR="00F67E9E" w:rsidRPr="00102034" w:rsidRDefault="00F67E9E" w:rsidP="00F67E9E">
      <w:pPr>
        <w:pBdr>
          <w:top w:val="nil"/>
          <w:left w:val="nil"/>
          <w:bottom w:val="nil"/>
          <w:right w:val="nil"/>
          <w:between w:val="nil"/>
        </w:pBdr>
        <w:spacing w:before="120"/>
        <w:jc w:val="center"/>
        <w:rPr>
          <w:rFonts w:eastAsia="Arial" w:cs="Arial"/>
          <w:b/>
          <w:color w:val="000000"/>
          <w:szCs w:val="24"/>
          <w:lang w:eastAsia="en-GB"/>
        </w:rPr>
      </w:pPr>
      <w:r w:rsidRPr="00102034">
        <w:rPr>
          <w:rFonts w:eastAsia="Arial" w:cs="Arial"/>
          <w:b/>
          <w:color w:val="000000"/>
          <w:szCs w:val="24"/>
          <w:lang w:eastAsia="en-GB"/>
        </w:rPr>
        <w:t>SECTION III – LOCAL LAWS AND OBLIGATIONS IN CASE OF ACCESS BY PUBLIC AUTHORITIES</w:t>
      </w:r>
    </w:p>
    <w:p w14:paraId="60F7FE2B" w14:textId="77777777" w:rsidR="00F67E9E" w:rsidRPr="00102034" w:rsidRDefault="00F67E9E" w:rsidP="00F67E9E">
      <w:pPr>
        <w:pBdr>
          <w:top w:val="nil"/>
          <w:left w:val="nil"/>
          <w:bottom w:val="nil"/>
          <w:right w:val="nil"/>
          <w:between w:val="nil"/>
        </w:pBdr>
        <w:spacing w:before="120"/>
        <w:jc w:val="center"/>
        <w:rPr>
          <w:rFonts w:eastAsia="Arial" w:cs="Arial"/>
          <w:b/>
          <w:color w:val="000000"/>
          <w:szCs w:val="24"/>
          <w:lang w:eastAsia="en-GB"/>
        </w:rPr>
      </w:pPr>
      <w:r w:rsidRPr="00102034">
        <w:rPr>
          <w:rFonts w:eastAsia="Arial" w:cs="Arial"/>
          <w:b/>
          <w:color w:val="000000"/>
          <w:szCs w:val="24"/>
          <w:lang w:eastAsia="en-GB"/>
        </w:rPr>
        <w:t xml:space="preserve">CLAUSE </w:t>
      </w:r>
      <w:bookmarkStart w:id="3421" w:name="clause14sch31"/>
      <w:r w:rsidRPr="00102034">
        <w:rPr>
          <w:rFonts w:eastAsia="Arial" w:cs="Arial"/>
          <w:b/>
          <w:color w:val="000000"/>
          <w:szCs w:val="24"/>
          <w:lang w:eastAsia="en-GB"/>
        </w:rPr>
        <w:t>14</w:t>
      </w:r>
      <w:bookmarkEnd w:id="3421"/>
    </w:p>
    <w:p w14:paraId="24DE9476" w14:textId="77777777" w:rsidR="00F67E9E" w:rsidRPr="00102034" w:rsidRDefault="00F67E9E" w:rsidP="00F67E9E">
      <w:pPr>
        <w:pBdr>
          <w:top w:val="nil"/>
          <w:left w:val="nil"/>
          <w:bottom w:val="nil"/>
          <w:right w:val="nil"/>
          <w:between w:val="nil"/>
        </w:pBdr>
        <w:spacing w:before="240" w:after="240"/>
        <w:rPr>
          <w:rFonts w:eastAsia="Arial" w:cs="Arial"/>
          <w:b/>
          <w:color w:val="000000"/>
          <w:szCs w:val="24"/>
          <w:lang w:eastAsia="en-GB"/>
        </w:rPr>
      </w:pPr>
      <w:bookmarkStart w:id="3422" w:name="bookmark=id.1wu3btw" w:colFirst="0" w:colLast="0"/>
      <w:bookmarkEnd w:id="3422"/>
      <w:r w:rsidRPr="00102034">
        <w:rPr>
          <w:rFonts w:eastAsia="Arial" w:cs="Arial"/>
          <w:b/>
          <w:color w:val="000000"/>
          <w:szCs w:val="24"/>
          <w:lang w:eastAsia="en-GB"/>
        </w:rPr>
        <w:t>Local laws and practices affecting compliance with the Clauses</w:t>
      </w:r>
    </w:p>
    <w:p w14:paraId="09F2285F" w14:textId="77777777" w:rsidR="00F67E9E" w:rsidRPr="00102034" w:rsidRDefault="00F67E9E" w:rsidP="00F67E9E">
      <w:pPr>
        <w:numPr>
          <w:ilvl w:val="1"/>
          <w:numId w:val="247"/>
        </w:numPr>
        <w:pBdr>
          <w:top w:val="nil"/>
          <w:left w:val="nil"/>
          <w:bottom w:val="nil"/>
          <w:right w:val="nil"/>
          <w:between w:val="nil"/>
        </w:pBdr>
        <w:tabs>
          <w:tab w:val="left" w:pos="1440"/>
        </w:tabs>
        <w:spacing w:before="120" w:after="240"/>
        <w:ind w:left="1440" w:hanging="720"/>
        <w:rPr>
          <w:rFonts w:eastAsia="Arial" w:cs="Arial"/>
          <w:color w:val="000000"/>
          <w:szCs w:val="24"/>
          <w:lang w:eastAsia="en-GB"/>
        </w:rPr>
      </w:pPr>
      <w:bookmarkStart w:id="3423" w:name="bookmark=id.4gtquhp" w:colFirst="0" w:colLast="0"/>
      <w:bookmarkStart w:id="3424" w:name="_Ref141248545"/>
      <w:bookmarkEnd w:id="3423"/>
      <w:r w:rsidRPr="00102034">
        <w:rPr>
          <w:rFonts w:eastAsia="Arial" w:cs="Arial"/>
          <w:color w:val="000000"/>
          <w:szCs w:val="24"/>
          <w:lang w:eastAsia="en-GB"/>
        </w:rPr>
        <w:t>The Parties warrant that they have no reason to believe that the laws and practices in the third country of destination applicable to the processing of the personal data by the data importer, including any requirements to disclose personal data or measures authorising access by public authorities, prevent the data importer from fulfilling its obligations under these Clauses. This is based on the understanding that laws and practices that respect the essence of the fundamental rights and freedoms and do not exceed what is necessary and proportionate in a democratic society to safeguard one of the objectives listed in Article 23(1) of Regulation (EU) 2016/679, are not in contradiction with these Clauses.</w:t>
      </w:r>
      <w:bookmarkEnd w:id="3424"/>
    </w:p>
    <w:p w14:paraId="2A036C27" w14:textId="176951D9" w:rsidR="00F67E9E" w:rsidRPr="00102034" w:rsidRDefault="00F67E9E" w:rsidP="00F67E9E">
      <w:pPr>
        <w:numPr>
          <w:ilvl w:val="1"/>
          <w:numId w:val="247"/>
        </w:numPr>
        <w:pBdr>
          <w:top w:val="nil"/>
          <w:left w:val="nil"/>
          <w:bottom w:val="nil"/>
          <w:right w:val="nil"/>
          <w:between w:val="nil"/>
        </w:pBdr>
        <w:tabs>
          <w:tab w:val="left" w:pos="1440"/>
        </w:tabs>
        <w:spacing w:before="120" w:after="240"/>
        <w:ind w:left="1440" w:hanging="720"/>
        <w:rPr>
          <w:rFonts w:eastAsia="Arial" w:cs="Arial"/>
          <w:color w:val="000000"/>
          <w:szCs w:val="24"/>
          <w:lang w:eastAsia="en-GB"/>
        </w:rPr>
      </w:pPr>
      <w:bookmarkStart w:id="3425" w:name="bookmark=id.2vz14pi" w:colFirst="0" w:colLast="0"/>
      <w:bookmarkStart w:id="3426" w:name="_Ref141248571"/>
      <w:bookmarkEnd w:id="3425"/>
      <w:r w:rsidRPr="00102034">
        <w:rPr>
          <w:rFonts w:eastAsia="Arial" w:cs="Arial"/>
          <w:color w:val="000000"/>
          <w:szCs w:val="24"/>
          <w:lang w:eastAsia="en-GB"/>
        </w:rPr>
        <w:t>The Parties declare that in providing the warranty in paragraph ‎</w:t>
      </w:r>
      <w:r>
        <w:rPr>
          <w:rFonts w:eastAsia="Arial" w:cs="Arial"/>
          <w:color w:val="000000"/>
          <w:szCs w:val="24"/>
          <w:lang w:eastAsia="en-GB"/>
        </w:rPr>
        <w:fldChar w:fldCharType="begin"/>
      </w:r>
      <w:r>
        <w:rPr>
          <w:rFonts w:eastAsia="Arial" w:cs="Arial"/>
          <w:color w:val="000000"/>
          <w:szCs w:val="24"/>
          <w:lang w:eastAsia="en-GB"/>
        </w:rPr>
        <w:instrText xml:space="preserve"> REF _Ref141248545 \n \h </w:instrText>
      </w:r>
      <w:r>
        <w:rPr>
          <w:rFonts w:eastAsia="Arial" w:cs="Arial"/>
          <w:color w:val="000000"/>
          <w:szCs w:val="24"/>
          <w:lang w:eastAsia="en-GB"/>
        </w:rPr>
      </w:r>
      <w:r>
        <w:rPr>
          <w:rFonts w:eastAsia="Arial" w:cs="Arial"/>
          <w:color w:val="000000"/>
          <w:szCs w:val="24"/>
          <w:lang w:eastAsia="en-GB"/>
        </w:rPr>
        <w:fldChar w:fldCharType="separate"/>
      </w:r>
      <w:r w:rsidR="00302D39">
        <w:rPr>
          <w:rFonts w:eastAsia="Arial" w:cs="Arial"/>
          <w:color w:val="000000"/>
          <w:szCs w:val="24"/>
          <w:lang w:eastAsia="en-GB"/>
        </w:rPr>
        <w:t>(a)</w:t>
      </w:r>
      <w:r>
        <w:rPr>
          <w:rFonts w:eastAsia="Arial" w:cs="Arial"/>
          <w:color w:val="000000"/>
          <w:szCs w:val="24"/>
          <w:lang w:eastAsia="en-GB"/>
        </w:rPr>
        <w:fldChar w:fldCharType="end"/>
      </w:r>
      <w:r w:rsidRPr="00102034">
        <w:rPr>
          <w:rFonts w:eastAsia="Arial" w:cs="Arial"/>
          <w:color w:val="000000"/>
          <w:szCs w:val="24"/>
          <w:lang w:eastAsia="en-GB"/>
        </w:rPr>
        <w:t>, they have taken due account in particular of the following elements:</w:t>
      </w:r>
      <w:bookmarkEnd w:id="3426"/>
    </w:p>
    <w:p w14:paraId="6058CB04" w14:textId="77777777" w:rsidR="00F67E9E" w:rsidRPr="00102034" w:rsidRDefault="00F67E9E" w:rsidP="00F67E9E">
      <w:pPr>
        <w:numPr>
          <w:ilvl w:val="2"/>
          <w:numId w:val="33"/>
        </w:numPr>
        <w:pBdr>
          <w:top w:val="nil"/>
          <w:left w:val="nil"/>
          <w:bottom w:val="nil"/>
          <w:right w:val="nil"/>
          <w:between w:val="nil"/>
        </w:pBdr>
        <w:spacing w:before="120" w:after="240"/>
        <w:ind w:left="2160" w:hanging="720"/>
        <w:rPr>
          <w:rFonts w:eastAsia="Arial" w:cs="Arial"/>
          <w:color w:val="000000"/>
          <w:szCs w:val="24"/>
          <w:lang w:eastAsia="en-GB"/>
        </w:rPr>
      </w:pPr>
      <w:bookmarkStart w:id="3427" w:name="bookmark=id.1b4bexb" w:colFirst="0" w:colLast="0"/>
      <w:bookmarkEnd w:id="3427"/>
      <w:r w:rsidRPr="00102034">
        <w:rPr>
          <w:rFonts w:eastAsia="Arial" w:cs="Arial"/>
          <w:color w:val="000000"/>
          <w:szCs w:val="24"/>
          <w:lang w:eastAsia="en-GB"/>
        </w:rPr>
        <w:t>the specific circumstances of the transfer, including the length of the processing chain, the number of actors involved and the transmission channels used; intended onward transfers; the type of recipient; the purpose of processing; the categories and format of the transferred personal data; the economic sector in which the transfer occurs; the storage location of the data transferred;</w:t>
      </w:r>
    </w:p>
    <w:p w14:paraId="497130CB" w14:textId="77777777" w:rsidR="00F67E9E" w:rsidRPr="00102034" w:rsidRDefault="00F67E9E" w:rsidP="00F67E9E">
      <w:pPr>
        <w:numPr>
          <w:ilvl w:val="2"/>
          <w:numId w:val="33"/>
        </w:numPr>
        <w:pBdr>
          <w:top w:val="nil"/>
          <w:left w:val="nil"/>
          <w:bottom w:val="nil"/>
          <w:right w:val="nil"/>
          <w:between w:val="nil"/>
        </w:pBdr>
        <w:spacing w:before="120" w:after="240"/>
        <w:ind w:left="2160" w:hanging="720"/>
        <w:rPr>
          <w:rFonts w:eastAsia="Arial" w:cs="Arial"/>
          <w:color w:val="000000"/>
          <w:szCs w:val="24"/>
          <w:lang w:eastAsia="en-GB"/>
        </w:rPr>
      </w:pPr>
      <w:bookmarkStart w:id="3428" w:name="bookmark=id.3v3yxl4" w:colFirst="0" w:colLast="0"/>
      <w:bookmarkEnd w:id="3428"/>
      <w:r w:rsidRPr="00102034">
        <w:rPr>
          <w:rFonts w:eastAsia="Arial" w:cs="Arial"/>
          <w:color w:val="000000"/>
          <w:szCs w:val="24"/>
          <w:lang w:eastAsia="en-GB"/>
        </w:rPr>
        <w:t>the laws and practices of the third country of destination – including those requiring the disclosure of data to public authorities or authorising access by such authorities – relevant in light of the specific circumstances of the transfer, and the applicable limitations and safeguards[</w:t>
      </w:r>
      <w:hyperlink w:anchor="bookmark=id.3orulsy">
        <w:r w:rsidRPr="00102034">
          <w:rPr>
            <w:rFonts w:eastAsia="Arial" w:cs="Arial"/>
            <w:color w:val="0000FF"/>
            <w:szCs w:val="24"/>
            <w:u w:val="single"/>
            <w:lang w:eastAsia="en-GB"/>
          </w:rPr>
          <w:t>FN12</w:t>
        </w:r>
      </w:hyperlink>
      <w:r w:rsidRPr="00102034">
        <w:rPr>
          <w:rFonts w:eastAsia="Arial" w:cs="Arial"/>
          <w:color w:val="000000"/>
          <w:szCs w:val="24"/>
          <w:lang w:eastAsia="en-GB"/>
        </w:rPr>
        <w:t>];</w:t>
      </w:r>
    </w:p>
    <w:p w14:paraId="1669BB82" w14:textId="77777777" w:rsidR="00F67E9E" w:rsidRPr="00102034" w:rsidRDefault="00F67E9E" w:rsidP="00F67E9E">
      <w:pPr>
        <w:numPr>
          <w:ilvl w:val="2"/>
          <w:numId w:val="33"/>
        </w:numPr>
        <w:pBdr>
          <w:top w:val="nil"/>
          <w:left w:val="nil"/>
          <w:bottom w:val="nil"/>
          <w:right w:val="nil"/>
          <w:between w:val="nil"/>
        </w:pBdr>
        <w:spacing w:before="120" w:after="240"/>
        <w:ind w:left="2160" w:hanging="720"/>
        <w:rPr>
          <w:rFonts w:eastAsia="Arial" w:cs="Arial"/>
          <w:color w:val="000000"/>
          <w:szCs w:val="24"/>
          <w:lang w:eastAsia="en-GB"/>
        </w:rPr>
      </w:pPr>
      <w:bookmarkStart w:id="3429" w:name="bookmark=id.2a997sx" w:colFirst="0" w:colLast="0"/>
      <w:bookmarkEnd w:id="3429"/>
      <w:r w:rsidRPr="00102034">
        <w:rPr>
          <w:rFonts w:eastAsia="Arial" w:cs="Arial"/>
          <w:color w:val="000000"/>
          <w:szCs w:val="24"/>
          <w:lang w:eastAsia="en-GB"/>
        </w:rPr>
        <w:t>any relevant contractual, technical or organisational safeguards put in place to supplement the safeguards under these Clauses, including measures applied during transmission and to the processing of the personal data in the country of destination.</w:t>
      </w:r>
    </w:p>
    <w:p w14:paraId="714B22F2" w14:textId="427EB76E" w:rsidR="00F67E9E" w:rsidRPr="00102034" w:rsidRDefault="00F67E9E" w:rsidP="00F67E9E">
      <w:pPr>
        <w:numPr>
          <w:ilvl w:val="1"/>
          <w:numId w:val="247"/>
        </w:numPr>
        <w:pBdr>
          <w:top w:val="nil"/>
          <w:left w:val="nil"/>
          <w:bottom w:val="nil"/>
          <w:right w:val="nil"/>
          <w:between w:val="nil"/>
        </w:pBdr>
        <w:tabs>
          <w:tab w:val="left" w:pos="1440"/>
        </w:tabs>
        <w:spacing w:before="120" w:after="240"/>
        <w:ind w:left="1440" w:hanging="720"/>
        <w:rPr>
          <w:rFonts w:eastAsia="Arial" w:cs="Arial"/>
          <w:color w:val="000000"/>
          <w:szCs w:val="24"/>
          <w:lang w:eastAsia="en-GB"/>
        </w:rPr>
      </w:pPr>
      <w:bookmarkStart w:id="3430" w:name="bookmark=id.peji0q" w:colFirst="0" w:colLast="0"/>
      <w:bookmarkEnd w:id="3430"/>
      <w:r w:rsidRPr="00102034">
        <w:rPr>
          <w:rFonts w:eastAsia="Arial" w:cs="Arial"/>
          <w:color w:val="000000"/>
          <w:szCs w:val="24"/>
          <w:lang w:eastAsia="en-GB"/>
        </w:rPr>
        <w:t xml:space="preserve">The data importer warrants that, in carrying out the assessment under paragraph </w:t>
      </w:r>
      <w:r>
        <w:rPr>
          <w:rFonts w:eastAsia="Arial" w:cs="Arial"/>
          <w:color w:val="000000"/>
          <w:szCs w:val="24"/>
          <w:lang w:eastAsia="en-GB"/>
        </w:rPr>
        <w:fldChar w:fldCharType="begin"/>
      </w:r>
      <w:r>
        <w:rPr>
          <w:rFonts w:eastAsia="Arial" w:cs="Arial"/>
          <w:color w:val="000000"/>
          <w:szCs w:val="24"/>
          <w:lang w:eastAsia="en-GB"/>
        </w:rPr>
        <w:instrText xml:space="preserve"> REF _Ref141248571 \n \h </w:instrText>
      </w:r>
      <w:r>
        <w:rPr>
          <w:rFonts w:eastAsia="Arial" w:cs="Arial"/>
          <w:color w:val="000000"/>
          <w:szCs w:val="24"/>
          <w:lang w:eastAsia="en-GB"/>
        </w:rPr>
      </w:r>
      <w:r>
        <w:rPr>
          <w:rFonts w:eastAsia="Arial" w:cs="Arial"/>
          <w:color w:val="000000"/>
          <w:szCs w:val="24"/>
          <w:lang w:eastAsia="en-GB"/>
        </w:rPr>
        <w:fldChar w:fldCharType="separate"/>
      </w:r>
      <w:r w:rsidR="00302D39">
        <w:rPr>
          <w:rFonts w:eastAsia="Arial" w:cs="Arial"/>
          <w:color w:val="000000"/>
          <w:szCs w:val="24"/>
          <w:lang w:eastAsia="en-GB"/>
        </w:rPr>
        <w:t>(b)</w:t>
      </w:r>
      <w:r>
        <w:rPr>
          <w:rFonts w:eastAsia="Arial" w:cs="Arial"/>
          <w:color w:val="000000"/>
          <w:szCs w:val="24"/>
          <w:lang w:eastAsia="en-GB"/>
        </w:rPr>
        <w:fldChar w:fldCharType="end"/>
      </w:r>
      <w:r w:rsidRPr="00102034">
        <w:rPr>
          <w:rFonts w:eastAsia="Arial" w:cs="Arial"/>
          <w:color w:val="000000"/>
          <w:szCs w:val="24"/>
          <w:lang w:eastAsia="en-GB"/>
        </w:rPr>
        <w:t>, it has made its best efforts to provide the data exporter with relevant information and agrees that it will continue to cooperate with the data exporter in ensuring compliance with these Clauses.</w:t>
      </w:r>
    </w:p>
    <w:p w14:paraId="6A888B02" w14:textId="1D34E130" w:rsidR="00F67E9E" w:rsidRPr="00102034" w:rsidRDefault="00F67E9E" w:rsidP="00F67E9E">
      <w:pPr>
        <w:numPr>
          <w:ilvl w:val="1"/>
          <w:numId w:val="247"/>
        </w:numPr>
        <w:pBdr>
          <w:top w:val="nil"/>
          <w:left w:val="nil"/>
          <w:bottom w:val="nil"/>
          <w:right w:val="nil"/>
          <w:between w:val="nil"/>
        </w:pBdr>
        <w:tabs>
          <w:tab w:val="left" w:pos="1440"/>
        </w:tabs>
        <w:spacing w:before="120" w:after="240"/>
        <w:ind w:left="1440" w:hanging="720"/>
        <w:rPr>
          <w:rFonts w:eastAsia="Arial" w:cs="Arial"/>
          <w:color w:val="000000"/>
          <w:szCs w:val="24"/>
          <w:lang w:eastAsia="en-GB"/>
        </w:rPr>
      </w:pPr>
      <w:bookmarkStart w:id="3431" w:name="bookmark=id.39e70oj" w:colFirst="0" w:colLast="0"/>
      <w:bookmarkEnd w:id="3431"/>
      <w:r w:rsidRPr="00102034">
        <w:rPr>
          <w:rFonts w:eastAsia="Arial" w:cs="Arial"/>
          <w:color w:val="000000"/>
          <w:szCs w:val="24"/>
          <w:lang w:eastAsia="en-GB"/>
        </w:rPr>
        <w:t>The Parties agree to document the assessment under paragraph</w:t>
      </w:r>
      <w:r>
        <w:rPr>
          <w:rFonts w:eastAsia="Arial" w:cs="Arial"/>
          <w:color w:val="000000"/>
          <w:szCs w:val="24"/>
          <w:lang w:eastAsia="en-GB"/>
        </w:rPr>
        <w:t> </w:t>
      </w:r>
      <w:r>
        <w:rPr>
          <w:rFonts w:eastAsia="Arial" w:cs="Arial"/>
          <w:color w:val="000000"/>
          <w:szCs w:val="24"/>
          <w:lang w:eastAsia="en-GB"/>
        </w:rPr>
        <w:fldChar w:fldCharType="begin"/>
      </w:r>
      <w:r>
        <w:rPr>
          <w:rFonts w:eastAsia="Arial" w:cs="Arial"/>
          <w:color w:val="000000"/>
          <w:szCs w:val="24"/>
          <w:lang w:eastAsia="en-GB"/>
        </w:rPr>
        <w:instrText xml:space="preserve"> REF _Ref141248571 \n \h </w:instrText>
      </w:r>
      <w:r>
        <w:rPr>
          <w:rFonts w:eastAsia="Arial" w:cs="Arial"/>
          <w:color w:val="000000"/>
          <w:szCs w:val="24"/>
          <w:lang w:eastAsia="en-GB"/>
        </w:rPr>
      </w:r>
      <w:r>
        <w:rPr>
          <w:rFonts w:eastAsia="Arial" w:cs="Arial"/>
          <w:color w:val="000000"/>
          <w:szCs w:val="24"/>
          <w:lang w:eastAsia="en-GB"/>
        </w:rPr>
        <w:fldChar w:fldCharType="separate"/>
      </w:r>
      <w:r w:rsidR="00302D39">
        <w:rPr>
          <w:rFonts w:eastAsia="Arial" w:cs="Arial"/>
          <w:color w:val="000000"/>
          <w:szCs w:val="24"/>
          <w:lang w:eastAsia="en-GB"/>
        </w:rPr>
        <w:t>(b)</w:t>
      </w:r>
      <w:r>
        <w:rPr>
          <w:rFonts w:eastAsia="Arial" w:cs="Arial"/>
          <w:color w:val="000000"/>
          <w:szCs w:val="24"/>
          <w:lang w:eastAsia="en-GB"/>
        </w:rPr>
        <w:fldChar w:fldCharType="end"/>
      </w:r>
      <w:r w:rsidRPr="00102034">
        <w:rPr>
          <w:rFonts w:eastAsia="Arial" w:cs="Arial"/>
          <w:color w:val="000000"/>
          <w:szCs w:val="24"/>
          <w:lang w:eastAsia="en-GB"/>
        </w:rPr>
        <w:t xml:space="preserve"> and make it available to the competent supervisory authority on request.</w:t>
      </w:r>
    </w:p>
    <w:p w14:paraId="1349B78D" w14:textId="7C053FBB" w:rsidR="00F67E9E" w:rsidRPr="00102034" w:rsidRDefault="00F67E9E" w:rsidP="00F67E9E">
      <w:pPr>
        <w:numPr>
          <w:ilvl w:val="1"/>
          <w:numId w:val="247"/>
        </w:numPr>
        <w:pBdr>
          <w:top w:val="nil"/>
          <w:left w:val="nil"/>
          <w:bottom w:val="nil"/>
          <w:right w:val="nil"/>
          <w:between w:val="nil"/>
        </w:pBdr>
        <w:tabs>
          <w:tab w:val="left" w:pos="1440"/>
        </w:tabs>
        <w:spacing w:before="120" w:after="240"/>
        <w:ind w:left="1440" w:hanging="720"/>
        <w:rPr>
          <w:rFonts w:eastAsia="Arial" w:cs="Arial"/>
          <w:color w:val="000000"/>
          <w:szCs w:val="24"/>
          <w:lang w:eastAsia="en-GB"/>
        </w:rPr>
      </w:pPr>
      <w:bookmarkStart w:id="3432" w:name="bookmark=id.48j4tk5" w:colFirst="0" w:colLast="0"/>
      <w:bookmarkStart w:id="3433" w:name="_heading=h.1ojhawc" w:colFirst="0" w:colLast="0"/>
      <w:bookmarkStart w:id="3434" w:name="_Ref141248616"/>
      <w:bookmarkEnd w:id="3432"/>
      <w:bookmarkEnd w:id="3433"/>
      <w:r w:rsidRPr="00102034">
        <w:rPr>
          <w:rFonts w:eastAsia="Arial" w:cs="Arial"/>
          <w:color w:val="000000"/>
          <w:szCs w:val="24"/>
          <w:lang w:eastAsia="en-GB"/>
        </w:rPr>
        <w:t xml:space="preserve">The data importer agrees to notify the data exporter promptly if, after having agreed to these Clauses and for the duration of the contract, it has reason to believe that it is or has become subject to laws or practices not in line with the requirements under paragraph </w:t>
      </w:r>
      <w:r>
        <w:rPr>
          <w:rFonts w:eastAsia="Arial" w:cs="Arial"/>
          <w:color w:val="000000"/>
          <w:szCs w:val="24"/>
          <w:lang w:eastAsia="en-GB"/>
        </w:rPr>
        <w:fldChar w:fldCharType="begin"/>
      </w:r>
      <w:r>
        <w:rPr>
          <w:rFonts w:eastAsia="Arial" w:cs="Arial"/>
          <w:color w:val="000000"/>
          <w:szCs w:val="24"/>
          <w:lang w:eastAsia="en-GB"/>
        </w:rPr>
        <w:instrText xml:space="preserve"> REF _Ref141248545 \n \h </w:instrText>
      </w:r>
      <w:r>
        <w:rPr>
          <w:rFonts w:eastAsia="Arial" w:cs="Arial"/>
          <w:color w:val="000000"/>
          <w:szCs w:val="24"/>
          <w:lang w:eastAsia="en-GB"/>
        </w:rPr>
      </w:r>
      <w:r>
        <w:rPr>
          <w:rFonts w:eastAsia="Arial" w:cs="Arial"/>
          <w:color w:val="000000"/>
          <w:szCs w:val="24"/>
          <w:lang w:eastAsia="en-GB"/>
        </w:rPr>
        <w:fldChar w:fldCharType="separate"/>
      </w:r>
      <w:r w:rsidR="00302D39">
        <w:rPr>
          <w:rFonts w:eastAsia="Arial" w:cs="Arial"/>
          <w:color w:val="000000"/>
          <w:szCs w:val="24"/>
          <w:lang w:eastAsia="en-GB"/>
        </w:rPr>
        <w:t>(a)</w:t>
      </w:r>
      <w:r>
        <w:rPr>
          <w:rFonts w:eastAsia="Arial" w:cs="Arial"/>
          <w:color w:val="000000"/>
          <w:szCs w:val="24"/>
          <w:lang w:eastAsia="en-GB"/>
        </w:rPr>
        <w:fldChar w:fldCharType="end"/>
      </w:r>
      <w:r w:rsidRPr="00102034">
        <w:rPr>
          <w:rFonts w:eastAsia="Arial" w:cs="Arial"/>
          <w:color w:val="000000"/>
          <w:szCs w:val="24"/>
          <w:lang w:eastAsia="en-GB"/>
        </w:rPr>
        <w:t>, including following a change in the laws of the third country or a measure (such as a disclosure request) indicating an application of such laws in practice that is not in line with the requirements in paragraph ‎</w:t>
      </w:r>
      <w:r>
        <w:rPr>
          <w:rFonts w:eastAsia="Arial" w:cs="Arial"/>
          <w:color w:val="000000"/>
          <w:szCs w:val="24"/>
          <w:lang w:eastAsia="en-GB"/>
        </w:rPr>
        <w:fldChar w:fldCharType="begin"/>
      </w:r>
      <w:r>
        <w:rPr>
          <w:rFonts w:eastAsia="Arial" w:cs="Arial"/>
          <w:color w:val="000000"/>
          <w:szCs w:val="24"/>
          <w:lang w:eastAsia="en-GB"/>
        </w:rPr>
        <w:instrText xml:space="preserve"> REF _Ref141248545 \n \h </w:instrText>
      </w:r>
      <w:r>
        <w:rPr>
          <w:rFonts w:eastAsia="Arial" w:cs="Arial"/>
          <w:color w:val="000000"/>
          <w:szCs w:val="24"/>
          <w:lang w:eastAsia="en-GB"/>
        </w:rPr>
      </w:r>
      <w:r>
        <w:rPr>
          <w:rFonts w:eastAsia="Arial" w:cs="Arial"/>
          <w:color w:val="000000"/>
          <w:szCs w:val="24"/>
          <w:lang w:eastAsia="en-GB"/>
        </w:rPr>
        <w:fldChar w:fldCharType="separate"/>
      </w:r>
      <w:r w:rsidR="00302D39">
        <w:rPr>
          <w:rFonts w:eastAsia="Arial" w:cs="Arial"/>
          <w:color w:val="000000"/>
          <w:szCs w:val="24"/>
          <w:lang w:eastAsia="en-GB"/>
        </w:rPr>
        <w:t>(a)</w:t>
      </w:r>
      <w:r>
        <w:rPr>
          <w:rFonts w:eastAsia="Arial" w:cs="Arial"/>
          <w:color w:val="000000"/>
          <w:szCs w:val="24"/>
          <w:lang w:eastAsia="en-GB"/>
        </w:rPr>
        <w:fldChar w:fldCharType="end"/>
      </w:r>
      <w:r w:rsidRPr="00102034">
        <w:rPr>
          <w:rFonts w:eastAsia="Arial" w:cs="Arial"/>
          <w:color w:val="000000"/>
          <w:szCs w:val="24"/>
          <w:lang w:eastAsia="en-GB"/>
        </w:rPr>
        <w:t>.</w:t>
      </w:r>
      <w:bookmarkEnd w:id="3434"/>
      <w:r w:rsidRPr="00102034">
        <w:rPr>
          <w:rFonts w:eastAsia="Arial" w:cs="Arial"/>
          <w:color w:val="000000"/>
          <w:szCs w:val="24"/>
          <w:lang w:eastAsia="en-GB"/>
        </w:rPr>
        <w:t xml:space="preserve"> </w:t>
      </w:r>
    </w:p>
    <w:p w14:paraId="0E135E50" w14:textId="4E3CEF88" w:rsidR="00F67E9E" w:rsidRPr="00102034" w:rsidRDefault="00F67E9E" w:rsidP="00F67E9E">
      <w:pPr>
        <w:numPr>
          <w:ilvl w:val="1"/>
          <w:numId w:val="247"/>
        </w:numPr>
        <w:pBdr>
          <w:top w:val="nil"/>
          <w:left w:val="nil"/>
          <w:bottom w:val="nil"/>
          <w:right w:val="nil"/>
          <w:between w:val="nil"/>
        </w:pBdr>
        <w:tabs>
          <w:tab w:val="left" w:pos="1440"/>
        </w:tabs>
        <w:spacing w:before="120" w:after="240"/>
        <w:ind w:left="1440" w:hanging="720"/>
        <w:rPr>
          <w:rFonts w:eastAsia="Arial" w:cs="Arial"/>
          <w:color w:val="000000"/>
          <w:szCs w:val="24"/>
          <w:lang w:eastAsia="en-GB"/>
        </w:rPr>
      </w:pPr>
      <w:bookmarkStart w:id="3435" w:name="bookmark=id.2nof3ry" w:colFirst="0" w:colLast="0"/>
      <w:bookmarkEnd w:id="3435"/>
      <w:r w:rsidRPr="00102034">
        <w:rPr>
          <w:rFonts w:eastAsia="Arial" w:cs="Arial"/>
          <w:color w:val="000000"/>
          <w:szCs w:val="24"/>
          <w:lang w:eastAsia="en-GB"/>
        </w:rPr>
        <w:t xml:space="preserve">Following a notification pursuant to paragraph </w:t>
      </w:r>
      <w:r>
        <w:rPr>
          <w:rFonts w:eastAsia="Arial" w:cs="Arial"/>
          <w:color w:val="000000"/>
          <w:szCs w:val="24"/>
          <w:lang w:eastAsia="en-GB"/>
        </w:rPr>
        <w:fldChar w:fldCharType="begin"/>
      </w:r>
      <w:r>
        <w:rPr>
          <w:rFonts w:eastAsia="Arial" w:cs="Arial"/>
          <w:color w:val="000000"/>
          <w:szCs w:val="24"/>
          <w:lang w:eastAsia="en-GB"/>
        </w:rPr>
        <w:instrText xml:space="preserve"> REF _Ref141248616 \n \h </w:instrText>
      </w:r>
      <w:r>
        <w:rPr>
          <w:rFonts w:eastAsia="Arial" w:cs="Arial"/>
          <w:color w:val="000000"/>
          <w:szCs w:val="24"/>
          <w:lang w:eastAsia="en-GB"/>
        </w:rPr>
      </w:r>
      <w:r>
        <w:rPr>
          <w:rFonts w:eastAsia="Arial" w:cs="Arial"/>
          <w:color w:val="000000"/>
          <w:szCs w:val="24"/>
          <w:lang w:eastAsia="en-GB"/>
        </w:rPr>
        <w:fldChar w:fldCharType="separate"/>
      </w:r>
      <w:r w:rsidR="00302D39">
        <w:rPr>
          <w:rFonts w:eastAsia="Arial" w:cs="Arial"/>
          <w:color w:val="000000"/>
          <w:szCs w:val="24"/>
          <w:lang w:eastAsia="en-GB"/>
        </w:rPr>
        <w:t>(e)</w:t>
      </w:r>
      <w:r>
        <w:rPr>
          <w:rFonts w:eastAsia="Arial" w:cs="Arial"/>
          <w:color w:val="000000"/>
          <w:szCs w:val="24"/>
          <w:lang w:eastAsia="en-GB"/>
        </w:rPr>
        <w:fldChar w:fldCharType="end"/>
      </w:r>
      <w:r w:rsidRPr="00102034">
        <w:rPr>
          <w:rFonts w:eastAsia="Arial" w:cs="Arial"/>
          <w:color w:val="000000"/>
          <w:szCs w:val="24"/>
          <w:lang w:eastAsia="en-GB"/>
        </w:rPr>
        <w:t>, or if the data exporter otherwise has reason to believe that the data importer can no longer fulfil its obligations under these Clauses, the data exporter shall promptly identify appropriate measures (e.g. technical or organisational measures to ensure security and confidentiality) to be adopted by the data exporter and/or data importer to address the situation. The data exporter shall suspend the data transfer if it considers that no appropriate safeguards for such transfer can be ensured, or if instructed by the competent supervisory authority to do so. In this case, the data exporter shall be entitled to terminate the contract, insofar as it concerns the processing of personal data under these Clauses. If the contract involves more than two Parties, the data exporter may exercise this right to termination only with respect to the relevant Party, unless the Parties have agreed otherwise. Where the contract is terminated pursuant to this Clause, Clause 16(d) and (e) shall apply.</w:t>
      </w:r>
    </w:p>
    <w:p w14:paraId="1815DE7C" w14:textId="77777777" w:rsidR="00F67E9E" w:rsidRPr="00102034" w:rsidRDefault="00F67E9E" w:rsidP="00F67E9E">
      <w:pPr>
        <w:pBdr>
          <w:top w:val="nil"/>
          <w:left w:val="nil"/>
          <w:bottom w:val="nil"/>
          <w:right w:val="nil"/>
          <w:between w:val="nil"/>
        </w:pBdr>
        <w:spacing w:before="120"/>
        <w:jc w:val="center"/>
        <w:rPr>
          <w:rFonts w:eastAsia="Arial" w:cs="Arial"/>
          <w:b/>
          <w:color w:val="000000"/>
          <w:szCs w:val="24"/>
          <w:lang w:eastAsia="en-GB"/>
        </w:rPr>
      </w:pPr>
      <w:r w:rsidRPr="00102034">
        <w:rPr>
          <w:rFonts w:eastAsia="Arial" w:cs="Arial"/>
          <w:b/>
          <w:color w:val="000000"/>
          <w:szCs w:val="24"/>
          <w:lang w:eastAsia="en-GB"/>
        </w:rPr>
        <w:t>CLAUSE 15</w:t>
      </w:r>
    </w:p>
    <w:p w14:paraId="1A04F019" w14:textId="77777777" w:rsidR="00F67E9E" w:rsidRPr="00102034" w:rsidRDefault="00F67E9E" w:rsidP="00F67E9E">
      <w:pPr>
        <w:pBdr>
          <w:top w:val="nil"/>
          <w:left w:val="nil"/>
          <w:bottom w:val="nil"/>
          <w:right w:val="nil"/>
          <w:between w:val="nil"/>
        </w:pBdr>
        <w:spacing w:before="240" w:after="240"/>
        <w:rPr>
          <w:rFonts w:eastAsia="Arial" w:cs="Arial"/>
          <w:b/>
          <w:color w:val="000000"/>
          <w:szCs w:val="24"/>
          <w:lang w:eastAsia="en-GB"/>
        </w:rPr>
      </w:pPr>
      <w:bookmarkStart w:id="3436" w:name="bookmark=id.12tpdzr" w:colFirst="0" w:colLast="0"/>
      <w:bookmarkEnd w:id="3436"/>
      <w:r w:rsidRPr="00102034">
        <w:rPr>
          <w:rFonts w:eastAsia="Arial" w:cs="Arial"/>
          <w:b/>
          <w:color w:val="000000"/>
          <w:szCs w:val="24"/>
          <w:lang w:eastAsia="en-GB"/>
        </w:rPr>
        <w:t>Obligations of the data importer in case of access by public authorities</w:t>
      </w:r>
    </w:p>
    <w:p w14:paraId="4A7BB9A3" w14:textId="77777777" w:rsidR="00F67E9E" w:rsidRPr="00102034" w:rsidRDefault="00F67E9E" w:rsidP="00F67E9E">
      <w:pPr>
        <w:pBdr>
          <w:top w:val="nil"/>
          <w:left w:val="nil"/>
          <w:bottom w:val="nil"/>
          <w:right w:val="nil"/>
          <w:between w:val="nil"/>
        </w:pBdr>
        <w:tabs>
          <w:tab w:val="left" w:pos="720"/>
        </w:tabs>
        <w:spacing w:before="240" w:after="240"/>
        <w:rPr>
          <w:rFonts w:eastAsia="Arial" w:cs="Arial"/>
          <w:b/>
          <w:color w:val="000000"/>
          <w:szCs w:val="24"/>
          <w:lang w:eastAsia="en-GB"/>
        </w:rPr>
      </w:pPr>
      <w:bookmarkStart w:id="3437" w:name="bookmark=id.3mtcwnk" w:colFirst="0" w:colLast="0"/>
      <w:bookmarkStart w:id="3438" w:name="Schedule31151"/>
      <w:bookmarkEnd w:id="3437"/>
      <w:r w:rsidRPr="00102034">
        <w:rPr>
          <w:rFonts w:eastAsia="Arial" w:cs="Arial"/>
          <w:b/>
          <w:color w:val="000000"/>
          <w:szCs w:val="24"/>
          <w:lang w:eastAsia="en-GB"/>
        </w:rPr>
        <w:t>15.1</w:t>
      </w:r>
      <w:bookmarkEnd w:id="3438"/>
      <w:r w:rsidRPr="00102034">
        <w:rPr>
          <w:rFonts w:eastAsia="Arial" w:cs="Arial"/>
          <w:b/>
          <w:color w:val="000000"/>
          <w:szCs w:val="24"/>
          <w:lang w:eastAsia="en-GB"/>
        </w:rPr>
        <w:t xml:space="preserve"> </w:t>
      </w:r>
      <w:r>
        <w:rPr>
          <w:rFonts w:eastAsia="Arial" w:cs="Arial"/>
          <w:b/>
          <w:color w:val="000000"/>
          <w:szCs w:val="24"/>
          <w:lang w:eastAsia="en-GB"/>
        </w:rPr>
        <w:tab/>
      </w:r>
      <w:r w:rsidRPr="00102034">
        <w:rPr>
          <w:rFonts w:eastAsia="Arial" w:cs="Arial"/>
          <w:b/>
          <w:color w:val="000000"/>
          <w:szCs w:val="24"/>
          <w:lang w:eastAsia="en-GB"/>
        </w:rPr>
        <w:t>Notification</w:t>
      </w:r>
    </w:p>
    <w:p w14:paraId="078D71CB" w14:textId="77777777" w:rsidR="00F67E9E" w:rsidRPr="00102034" w:rsidRDefault="00F67E9E" w:rsidP="00F67E9E">
      <w:pPr>
        <w:numPr>
          <w:ilvl w:val="1"/>
          <w:numId w:val="248"/>
        </w:numPr>
        <w:pBdr>
          <w:top w:val="nil"/>
          <w:left w:val="nil"/>
          <w:bottom w:val="nil"/>
          <w:right w:val="nil"/>
          <w:between w:val="nil"/>
        </w:pBdr>
        <w:tabs>
          <w:tab w:val="left" w:pos="1440"/>
        </w:tabs>
        <w:spacing w:before="120" w:after="240"/>
        <w:ind w:left="1440" w:hanging="720"/>
        <w:rPr>
          <w:lang w:eastAsia="en-GB"/>
        </w:rPr>
      </w:pPr>
      <w:bookmarkStart w:id="3439" w:name="bookmark=id.21yn6vd" w:colFirst="0" w:colLast="0"/>
      <w:bookmarkStart w:id="3440" w:name="_Ref141248649"/>
      <w:bookmarkEnd w:id="3439"/>
      <w:r w:rsidRPr="00102034">
        <w:rPr>
          <w:lang w:eastAsia="en-GB"/>
        </w:rPr>
        <w:t xml:space="preserve">The data importer agrees to notify the data exporter and, where possible, the data subject </w:t>
      </w:r>
      <w:r w:rsidRPr="0012334E">
        <w:rPr>
          <w:rFonts w:eastAsia="Arial" w:cs="Arial"/>
          <w:color w:val="000000"/>
          <w:szCs w:val="24"/>
          <w:lang w:eastAsia="en-GB"/>
        </w:rPr>
        <w:t>promptly</w:t>
      </w:r>
      <w:r w:rsidRPr="00102034">
        <w:rPr>
          <w:lang w:eastAsia="en-GB"/>
        </w:rPr>
        <w:t xml:space="preserve"> (if necessary with the help of the data exporter) if it:</w:t>
      </w:r>
      <w:bookmarkEnd w:id="3440"/>
    </w:p>
    <w:p w14:paraId="58532879" w14:textId="77777777" w:rsidR="00F67E9E" w:rsidRPr="00102034" w:rsidRDefault="00F67E9E" w:rsidP="00F67E9E">
      <w:pPr>
        <w:numPr>
          <w:ilvl w:val="2"/>
          <w:numId w:val="248"/>
        </w:numPr>
        <w:pBdr>
          <w:top w:val="nil"/>
          <w:left w:val="nil"/>
          <w:bottom w:val="nil"/>
          <w:right w:val="nil"/>
          <w:between w:val="nil"/>
        </w:pBdr>
        <w:tabs>
          <w:tab w:val="left" w:pos="1440"/>
        </w:tabs>
        <w:spacing w:before="120" w:after="240"/>
        <w:ind w:left="2160" w:hanging="720"/>
        <w:rPr>
          <w:lang w:eastAsia="en-GB"/>
        </w:rPr>
      </w:pPr>
      <w:bookmarkStart w:id="3441" w:name="bookmark=id.h3xh36" w:colFirst="0" w:colLast="0"/>
      <w:bookmarkEnd w:id="3441"/>
      <w:r w:rsidRPr="00102034">
        <w:rPr>
          <w:lang w:eastAsia="en-GB"/>
        </w:rPr>
        <w:t>receives a legally binding request from a public authority, including judicial authorities, under the laws of the country of destination for the disclosure of personal data transferred pursuant to these Clauses; such notification shall include information about the personal data requested, the requesting authority, the legal basis for the request and the response provided; or</w:t>
      </w:r>
    </w:p>
    <w:p w14:paraId="09449ED9" w14:textId="77777777" w:rsidR="00F67E9E" w:rsidRPr="00102034" w:rsidRDefault="00F67E9E" w:rsidP="00F67E9E">
      <w:pPr>
        <w:numPr>
          <w:ilvl w:val="2"/>
          <w:numId w:val="248"/>
        </w:numPr>
        <w:pBdr>
          <w:top w:val="nil"/>
          <w:left w:val="nil"/>
          <w:bottom w:val="nil"/>
          <w:right w:val="nil"/>
          <w:between w:val="nil"/>
        </w:pBdr>
        <w:tabs>
          <w:tab w:val="left" w:pos="1440"/>
        </w:tabs>
        <w:spacing w:before="120" w:after="240"/>
        <w:ind w:left="2160" w:hanging="720"/>
        <w:rPr>
          <w:lang w:eastAsia="en-GB"/>
        </w:rPr>
      </w:pPr>
      <w:bookmarkStart w:id="3442" w:name="bookmark=id.313kzqz" w:colFirst="0" w:colLast="0"/>
      <w:bookmarkEnd w:id="3442"/>
      <w:r w:rsidRPr="00102034">
        <w:rPr>
          <w:lang w:eastAsia="en-GB"/>
        </w:rPr>
        <w:t>becomes aware of any direct access by public authorities to personal data transferred pursuant to these Clauses in accordance with the laws of the country of destination; such notification shall include all information available to the importer.</w:t>
      </w:r>
    </w:p>
    <w:p w14:paraId="288EAC19" w14:textId="77777777" w:rsidR="00F67E9E" w:rsidRPr="00102034" w:rsidRDefault="00F67E9E" w:rsidP="00F67E9E">
      <w:pPr>
        <w:numPr>
          <w:ilvl w:val="1"/>
          <w:numId w:val="248"/>
        </w:numPr>
        <w:pBdr>
          <w:top w:val="nil"/>
          <w:left w:val="nil"/>
          <w:bottom w:val="nil"/>
          <w:right w:val="nil"/>
          <w:between w:val="nil"/>
        </w:pBdr>
        <w:tabs>
          <w:tab w:val="left" w:pos="1440"/>
        </w:tabs>
        <w:spacing w:before="120" w:after="240"/>
        <w:ind w:left="1440" w:hanging="720"/>
        <w:rPr>
          <w:lang w:eastAsia="en-GB"/>
        </w:rPr>
      </w:pPr>
      <w:bookmarkStart w:id="3443" w:name="bookmark=id.1g8v9ys" w:colFirst="0" w:colLast="0"/>
      <w:bookmarkEnd w:id="3443"/>
      <w:r w:rsidRPr="00102034">
        <w:rPr>
          <w:lang w:eastAsia="en-GB"/>
        </w:rPr>
        <w:t>If the data importer is prohibited from notifying the data exporter and/or the data subject under the laws of the country of destination, the data importer agrees to use its best efforts to obtain a waiver of the prohibition, with a view to communicating as much information as possible, as soon as possible. The data importer agrees to document its best efforts in order to be able to demonstrate them on request of the data exporter.</w:t>
      </w:r>
    </w:p>
    <w:p w14:paraId="046CF694" w14:textId="77777777" w:rsidR="00F67E9E" w:rsidRPr="00102034" w:rsidRDefault="00F67E9E" w:rsidP="00F67E9E">
      <w:pPr>
        <w:numPr>
          <w:ilvl w:val="1"/>
          <w:numId w:val="248"/>
        </w:numPr>
        <w:pBdr>
          <w:top w:val="nil"/>
          <w:left w:val="nil"/>
          <w:bottom w:val="nil"/>
          <w:right w:val="nil"/>
          <w:between w:val="nil"/>
        </w:pBdr>
        <w:tabs>
          <w:tab w:val="left" w:pos="1440"/>
        </w:tabs>
        <w:spacing w:before="120" w:after="240"/>
        <w:ind w:left="1440" w:hanging="720"/>
        <w:rPr>
          <w:lang w:eastAsia="en-GB"/>
        </w:rPr>
      </w:pPr>
      <w:bookmarkStart w:id="3444" w:name="bookmark=id.2fdt2ue" w:colFirst="0" w:colLast="0"/>
      <w:bookmarkStart w:id="3445" w:name="_heading=h.408isml" w:colFirst="0" w:colLast="0"/>
      <w:bookmarkStart w:id="3446" w:name="_Ref141248670"/>
      <w:bookmarkEnd w:id="3444"/>
      <w:bookmarkEnd w:id="3445"/>
      <w:r w:rsidRPr="00102034">
        <w:rPr>
          <w:lang w:eastAsia="en-GB"/>
        </w:rPr>
        <w:t xml:space="preserve">Where permissible under the laws of the country of destination, the data importer agrees to provide the data exporter, at regular intervals for the duration of the contract, with as much </w:t>
      </w:r>
      <w:r w:rsidRPr="0012334E">
        <w:rPr>
          <w:rFonts w:eastAsia="Arial" w:cs="Arial"/>
          <w:color w:val="000000"/>
          <w:szCs w:val="24"/>
          <w:lang w:eastAsia="en-GB"/>
        </w:rPr>
        <w:t>relevant</w:t>
      </w:r>
      <w:r w:rsidRPr="00102034">
        <w:rPr>
          <w:lang w:eastAsia="en-GB"/>
        </w:rPr>
        <w:t xml:space="preserve"> information as possible on the requests received (in particular, number of requests, type of data requested, requesting authority/ies, whether requests have been challenged and the outcome of such challenges, etc.).</w:t>
      </w:r>
      <w:bookmarkEnd w:id="3446"/>
      <w:r w:rsidRPr="00102034">
        <w:rPr>
          <w:lang w:eastAsia="en-GB"/>
        </w:rPr>
        <w:t xml:space="preserve"> </w:t>
      </w:r>
    </w:p>
    <w:p w14:paraId="633C47C8" w14:textId="0498F528" w:rsidR="00F67E9E" w:rsidRPr="00102034" w:rsidRDefault="00F67E9E" w:rsidP="00F67E9E">
      <w:pPr>
        <w:numPr>
          <w:ilvl w:val="1"/>
          <w:numId w:val="248"/>
        </w:numPr>
        <w:pBdr>
          <w:top w:val="nil"/>
          <w:left w:val="nil"/>
          <w:bottom w:val="nil"/>
          <w:right w:val="nil"/>
          <w:between w:val="nil"/>
        </w:pBdr>
        <w:tabs>
          <w:tab w:val="left" w:pos="1440"/>
        </w:tabs>
        <w:spacing w:before="120" w:after="240"/>
        <w:ind w:left="1440" w:hanging="720"/>
        <w:rPr>
          <w:lang w:eastAsia="en-GB"/>
        </w:rPr>
      </w:pPr>
      <w:bookmarkStart w:id="3447" w:name="bookmark=id.uj3d27" w:colFirst="0" w:colLast="0"/>
      <w:bookmarkEnd w:id="3447"/>
      <w:r w:rsidRPr="00102034">
        <w:rPr>
          <w:lang w:eastAsia="en-GB"/>
        </w:rPr>
        <w:t>The data importer agrees to preserve the information pursuant to paragraphs ‎</w:t>
      </w:r>
      <w:r>
        <w:rPr>
          <w:lang w:eastAsia="en-GB"/>
        </w:rPr>
        <w:fldChar w:fldCharType="begin"/>
      </w:r>
      <w:r>
        <w:rPr>
          <w:lang w:eastAsia="en-GB"/>
        </w:rPr>
        <w:instrText xml:space="preserve"> REF _Ref141248649 \n \h </w:instrText>
      </w:r>
      <w:r>
        <w:rPr>
          <w:lang w:eastAsia="en-GB"/>
        </w:rPr>
      </w:r>
      <w:r>
        <w:rPr>
          <w:lang w:eastAsia="en-GB"/>
        </w:rPr>
        <w:fldChar w:fldCharType="separate"/>
      </w:r>
      <w:r w:rsidR="00302D39">
        <w:rPr>
          <w:lang w:eastAsia="en-GB"/>
        </w:rPr>
        <w:t>(a)</w:t>
      </w:r>
      <w:r>
        <w:rPr>
          <w:lang w:eastAsia="en-GB"/>
        </w:rPr>
        <w:fldChar w:fldCharType="end"/>
      </w:r>
      <w:r w:rsidRPr="00102034">
        <w:rPr>
          <w:lang w:eastAsia="en-GB"/>
        </w:rPr>
        <w:t xml:space="preserve"> to ‎</w:t>
      </w:r>
      <w:r>
        <w:rPr>
          <w:lang w:eastAsia="en-GB"/>
        </w:rPr>
        <w:fldChar w:fldCharType="begin"/>
      </w:r>
      <w:r>
        <w:rPr>
          <w:lang w:eastAsia="en-GB"/>
        </w:rPr>
        <w:instrText xml:space="preserve"> REF _Ref141248670 \n \h </w:instrText>
      </w:r>
      <w:r>
        <w:rPr>
          <w:lang w:eastAsia="en-GB"/>
        </w:rPr>
      </w:r>
      <w:r>
        <w:rPr>
          <w:lang w:eastAsia="en-GB"/>
        </w:rPr>
        <w:fldChar w:fldCharType="separate"/>
      </w:r>
      <w:r w:rsidR="00302D39">
        <w:rPr>
          <w:lang w:eastAsia="en-GB"/>
        </w:rPr>
        <w:t>(c)</w:t>
      </w:r>
      <w:r>
        <w:rPr>
          <w:lang w:eastAsia="en-GB"/>
        </w:rPr>
        <w:fldChar w:fldCharType="end"/>
      </w:r>
      <w:r w:rsidRPr="00102034">
        <w:rPr>
          <w:lang w:eastAsia="en-GB"/>
        </w:rPr>
        <w:t xml:space="preserve"> for the </w:t>
      </w:r>
      <w:r w:rsidRPr="0012334E">
        <w:rPr>
          <w:rFonts w:eastAsia="Arial" w:cs="Arial"/>
          <w:color w:val="000000"/>
          <w:szCs w:val="24"/>
          <w:lang w:eastAsia="en-GB"/>
        </w:rPr>
        <w:t>duration</w:t>
      </w:r>
      <w:r w:rsidRPr="00102034">
        <w:rPr>
          <w:lang w:eastAsia="en-GB"/>
        </w:rPr>
        <w:t xml:space="preserve"> of the contract and make it available to the competent supervisory authority on request.</w:t>
      </w:r>
    </w:p>
    <w:p w14:paraId="1A9AB074" w14:textId="5921F37F" w:rsidR="00F67E9E" w:rsidRPr="00102034" w:rsidRDefault="00F67E9E" w:rsidP="00F67E9E">
      <w:pPr>
        <w:numPr>
          <w:ilvl w:val="1"/>
          <w:numId w:val="248"/>
        </w:numPr>
        <w:pBdr>
          <w:top w:val="nil"/>
          <w:left w:val="nil"/>
          <w:bottom w:val="nil"/>
          <w:right w:val="nil"/>
          <w:between w:val="nil"/>
        </w:pBdr>
        <w:tabs>
          <w:tab w:val="left" w:pos="1440"/>
        </w:tabs>
        <w:spacing w:before="120" w:after="240"/>
        <w:ind w:left="1440" w:hanging="720"/>
        <w:rPr>
          <w:lang w:eastAsia="en-GB"/>
        </w:rPr>
      </w:pPr>
      <w:bookmarkStart w:id="3448" w:name="bookmark=id.3eiqvq0" w:colFirst="0" w:colLast="0"/>
      <w:bookmarkEnd w:id="3448"/>
      <w:r w:rsidRPr="00102034">
        <w:rPr>
          <w:lang w:eastAsia="en-GB"/>
        </w:rPr>
        <w:t xml:space="preserve">Paragraphs </w:t>
      </w:r>
      <w:r>
        <w:rPr>
          <w:lang w:eastAsia="en-GB"/>
        </w:rPr>
        <w:fldChar w:fldCharType="begin"/>
      </w:r>
      <w:r>
        <w:rPr>
          <w:lang w:eastAsia="en-GB"/>
        </w:rPr>
        <w:instrText xml:space="preserve"> REF _Ref141248649 \n \h </w:instrText>
      </w:r>
      <w:r>
        <w:rPr>
          <w:lang w:eastAsia="en-GB"/>
        </w:rPr>
      </w:r>
      <w:r>
        <w:rPr>
          <w:lang w:eastAsia="en-GB"/>
        </w:rPr>
        <w:fldChar w:fldCharType="separate"/>
      </w:r>
      <w:r w:rsidR="00302D39">
        <w:rPr>
          <w:lang w:eastAsia="en-GB"/>
        </w:rPr>
        <w:t>(a)</w:t>
      </w:r>
      <w:r>
        <w:rPr>
          <w:lang w:eastAsia="en-GB"/>
        </w:rPr>
        <w:fldChar w:fldCharType="end"/>
      </w:r>
      <w:r w:rsidRPr="00102034">
        <w:rPr>
          <w:lang w:eastAsia="en-GB"/>
        </w:rPr>
        <w:t xml:space="preserve"> to ‎</w:t>
      </w:r>
      <w:r>
        <w:rPr>
          <w:lang w:eastAsia="en-GB"/>
        </w:rPr>
        <w:fldChar w:fldCharType="begin"/>
      </w:r>
      <w:r>
        <w:rPr>
          <w:lang w:eastAsia="en-GB"/>
        </w:rPr>
        <w:instrText xml:space="preserve"> REF _Ref141248670 \n \h </w:instrText>
      </w:r>
      <w:r>
        <w:rPr>
          <w:lang w:eastAsia="en-GB"/>
        </w:rPr>
      </w:r>
      <w:r>
        <w:rPr>
          <w:lang w:eastAsia="en-GB"/>
        </w:rPr>
        <w:fldChar w:fldCharType="separate"/>
      </w:r>
      <w:r w:rsidR="00302D39">
        <w:rPr>
          <w:lang w:eastAsia="en-GB"/>
        </w:rPr>
        <w:t>(c)</w:t>
      </w:r>
      <w:r>
        <w:rPr>
          <w:lang w:eastAsia="en-GB"/>
        </w:rPr>
        <w:fldChar w:fldCharType="end"/>
      </w:r>
      <w:r w:rsidRPr="00102034">
        <w:rPr>
          <w:lang w:eastAsia="en-GB"/>
        </w:rPr>
        <w:t xml:space="preserve"> are without prejudice to the obligation of the data importer pursuant to Clause </w:t>
      </w:r>
      <w:r w:rsidRPr="00B05374">
        <w:rPr>
          <w:lang w:eastAsia="en-GB"/>
        </w:rPr>
        <w:fldChar w:fldCharType="begin"/>
      </w:r>
      <w:r w:rsidRPr="00B05374">
        <w:rPr>
          <w:lang w:eastAsia="en-GB"/>
        </w:rPr>
        <w:instrText xml:space="preserve"> REF clause14sch31 \h  \* MERGEFORMAT </w:instrText>
      </w:r>
      <w:r w:rsidRPr="00B05374">
        <w:rPr>
          <w:lang w:eastAsia="en-GB"/>
        </w:rPr>
      </w:r>
      <w:r w:rsidRPr="00B05374">
        <w:rPr>
          <w:lang w:eastAsia="en-GB"/>
        </w:rPr>
        <w:fldChar w:fldCharType="separate"/>
      </w:r>
      <w:r w:rsidR="00302D39" w:rsidRPr="00302D39">
        <w:rPr>
          <w:rFonts w:eastAsia="Arial" w:cs="Arial"/>
          <w:color w:val="000000"/>
          <w:szCs w:val="24"/>
          <w:lang w:eastAsia="en-GB"/>
        </w:rPr>
        <w:t>14</w:t>
      </w:r>
      <w:r w:rsidRPr="00B05374">
        <w:rPr>
          <w:lang w:eastAsia="en-GB"/>
        </w:rPr>
        <w:fldChar w:fldCharType="end"/>
      </w:r>
      <w:r>
        <w:rPr>
          <w:lang w:eastAsia="en-GB"/>
        </w:rPr>
        <w:fldChar w:fldCharType="begin"/>
      </w:r>
      <w:r>
        <w:rPr>
          <w:lang w:eastAsia="en-GB"/>
        </w:rPr>
        <w:instrText xml:space="preserve"> REF _Ref141247906 \n \h </w:instrText>
      </w:r>
      <w:r>
        <w:rPr>
          <w:lang w:eastAsia="en-GB"/>
        </w:rPr>
      </w:r>
      <w:r>
        <w:rPr>
          <w:lang w:eastAsia="en-GB"/>
        </w:rPr>
        <w:fldChar w:fldCharType="separate"/>
      </w:r>
      <w:r w:rsidR="00302D39">
        <w:rPr>
          <w:lang w:eastAsia="en-GB"/>
        </w:rPr>
        <w:t>(e)</w:t>
      </w:r>
      <w:r>
        <w:rPr>
          <w:lang w:eastAsia="en-GB"/>
        </w:rPr>
        <w:fldChar w:fldCharType="end"/>
      </w:r>
      <w:r w:rsidRPr="00102034">
        <w:rPr>
          <w:lang w:eastAsia="en-GB"/>
        </w:rPr>
        <w:t xml:space="preserve"> and Clause </w:t>
      </w:r>
      <w:r w:rsidRPr="00B05374">
        <w:rPr>
          <w:lang w:eastAsia="en-GB"/>
        </w:rPr>
        <w:fldChar w:fldCharType="begin"/>
      </w:r>
      <w:r w:rsidRPr="00B05374">
        <w:rPr>
          <w:lang w:eastAsia="en-GB"/>
        </w:rPr>
        <w:instrText xml:space="preserve"> REF clause16sche31 \h  \* MERGEFORMAT </w:instrText>
      </w:r>
      <w:r w:rsidRPr="00B05374">
        <w:rPr>
          <w:lang w:eastAsia="en-GB"/>
        </w:rPr>
      </w:r>
      <w:r w:rsidRPr="00B05374">
        <w:rPr>
          <w:lang w:eastAsia="en-GB"/>
        </w:rPr>
        <w:fldChar w:fldCharType="separate"/>
      </w:r>
      <w:r w:rsidR="00302D39" w:rsidRPr="00302D39">
        <w:rPr>
          <w:rFonts w:eastAsia="Arial" w:cs="Arial"/>
          <w:color w:val="000000"/>
          <w:szCs w:val="24"/>
          <w:lang w:eastAsia="en-GB"/>
        </w:rPr>
        <w:t>16</w:t>
      </w:r>
      <w:r w:rsidRPr="00B05374">
        <w:rPr>
          <w:lang w:eastAsia="en-GB"/>
        </w:rPr>
        <w:fldChar w:fldCharType="end"/>
      </w:r>
      <w:r w:rsidRPr="00102034">
        <w:rPr>
          <w:lang w:eastAsia="en-GB"/>
        </w:rPr>
        <w:t xml:space="preserve"> to inform the data exporter promptly where it is unable to comply with these </w:t>
      </w:r>
      <w:r w:rsidRPr="0012334E">
        <w:rPr>
          <w:rFonts w:eastAsia="Arial" w:cs="Arial"/>
          <w:color w:val="000000"/>
          <w:szCs w:val="24"/>
          <w:lang w:eastAsia="en-GB"/>
        </w:rPr>
        <w:t>Clauses</w:t>
      </w:r>
      <w:r w:rsidRPr="00102034">
        <w:rPr>
          <w:lang w:eastAsia="en-GB"/>
        </w:rPr>
        <w:t>.</w:t>
      </w:r>
    </w:p>
    <w:p w14:paraId="3B702217" w14:textId="77777777" w:rsidR="00F67E9E" w:rsidRPr="00102034" w:rsidRDefault="00F67E9E" w:rsidP="00F67E9E">
      <w:pPr>
        <w:pBdr>
          <w:top w:val="nil"/>
          <w:left w:val="nil"/>
          <w:bottom w:val="nil"/>
          <w:right w:val="nil"/>
          <w:between w:val="nil"/>
        </w:pBdr>
        <w:tabs>
          <w:tab w:val="left" w:pos="720"/>
        </w:tabs>
        <w:spacing w:before="240" w:after="240"/>
        <w:rPr>
          <w:rFonts w:eastAsia="Arial" w:cs="Arial"/>
          <w:b/>
          <w:color w:val="000000"/>
          <w:szCs w:val="24"/>
          <w:lang w:eastAsia="en-GB"/>
        </w:rPr>
      </w:pPr>
      <w:bookmarkStart w:id="3449" w:name="bookmark=id.1to15xt" w:colFirst="0" w:colLast="0"/>
      <w:bookmarkStart w:id="3450" w:name="Schedule31152"/>
      <w:bookmarkEnd w:id="3449"/>
      <w:r w:rsidRPr="00102034">
        <w:rPr>
          <w:rFonts w:eastAsia="Arial" w:cs="Arial"/>
          <w:b/>
          <w:color w:val="000000"/>
          <w:szCs w:val="24"/>
          <w:lang w:eastAsia="en-GB"/>
        </w:rPr>
        <w:t>15.2</w:t>
      </w:r>
      <w:bookmarkEnd w:id="3450"/>
      <w:r w:rsidRPr="00102034">
        <w:rPr>
          <w:rFonts w:eastAsia="Arial" w:cs="Arial"/>
          <w:b/>
          <w:color w:val="000000"/>
          <w:szCs w:val="24"/>
          <w:lang w:eastAsia="en-GB"/>
        </w:rPr>
        <w:t xml:space="preserve"> </w:t>
      </w:r>
      <w:r>
        <w:rPr>
          <w:rFonts w:eastAsia="Arial" w:cs="Arial"/>
          <w:b/>
          <w:color w:val="000000"/>
          <w:szCs w:val="24"/>
          <w:lang w:eastAsia="en-GB"/>
        </w:rPr>
        <w:tab/>
      </w:r>
      <w:r w:rsidRPr="00102034">
        <w:rPr>
          <w:rFonts w:eastAsia="Arial" w:cs="Arial"/>
          <w:b/>
          <w:color w:val="000000"/>
          <w:szCs w:val="24"/>
          <w:lang w:eastAsia="en-GB"/>
        </w:rPr>
        <w:t>Review of legality and data minimisation</w:t>
      </w:r>
    </w:p>
    <w:p w14:paraId="57D89EED" w14:textId="5E5F35FF" w:rsidR="00F67E9E" w:rsidRPr="00102034" w:rsidRDefault="00F67E9E" w:rsidP="00F67E9E">
      <w:pPr>
        <w:numPr>
          <w:ilvl w:val="1"/>
          <w:numId w:val="249"/>
        </w:numPr>
        <w:pBdr>
          <w:top w:val="nil"/>
          <w:left w:val="nil"/>
          <w:bottom w:val="nil"/>
          <w:right w:val="nil"/>
          <w:between w:val="nil"/>
        </w:pBdr>
        <w:tabs>
          <w:tab w:val="left" w:pos="1440"/>
        </w:tabs>
        <w:spacing w:before="120" w:after="240"/>
        <w:ind w:left="1440" w:hanging="720"/>
        <w:rPr>
          <w:rFonts w:eastAsia="Arial" w:cs="Arial"/>
          <w:color w:val="000000"/>
          <w:szCs w:val="24"/>
          <w:lang w:eastAsia="en-GB"/>
        </w:rPr>
      </w:pPr>
      <w:bookmarkStart w:id="3451" w:name="bookmark=id.4dnoolm" w:colFirst="0" w:colLast="0"/>
      <w:bookmarkEnd w:id="3451"/>
      <w:r w:rsidRPr="00102034">
        <w:rPr>
          <w:rFonts w:eastAsia="Arial" w:cs="Arial"/>
          <w:color w:val="000000"/>
          <w:szCs w:val="24"/>
          <w:lang w:eastAsia="en-GB"/>
        </w:rPr>
        <w:t xml:space="preserve">The data importer agrees to review the legality of the request for disclosure, in particular whether it remains within the powers granted to the requesting public authority, and to challenge the request if, after careful assessment, it concludes that there are reasonable grounds to consider </w:t>
      </w:r>
      <w:r w:rsidRPr="0012334E">
        <w:rPr>
          <w:lang w:eastAsia="en-GB"/>
        </w:rPr>
        <w:t>that</w:t>
      </w:r>
      <w:r w:rsidRPr="00102034">
        <w:rPr>
          <w:rFonts w:eastAsia="Arial" w:cs="Arial"/>
          <w:color w:val="000000"/>
          <w:szCs w:val="24"/>
          <w:lang w:eastAsia="en-GB"/>
        </w:rPr>
        <w:t xml:space="preserve"> the request is unlawful under the laws of the country of destination, applicable obligations under international law and principles of international comity. The data importer shall, under the same conditions, pursue possibilities of appeal. When challenging a request, the data importer shall seek interim measures with a view to suspending the effects of the request until the competent judicial authority has decided on its merits. It shall not disclose the personal data requested until required to do so under the applicable procedural rules. These requirements are without prejudice to the obligations of the data importer under Clause </w:t>
      </w:r>
      <w:r w:rsidRPr="00B05374">
        <w:rPr>
          <w:lang w:eastAsia="en-GB"/>
        </w:rPr>
        <w:fldChar w:fldCharType="begin"/>
      </w:r>
      <w:r w:rsidRPr="00B05374">
        <w:rPr>
          <w:lang w:eastAsia="en-GB"/>
        </w:rPr>
        <w:instrText xml:space="preserve"> REF clause14sch31 \h  \* MERGEFORMAT </w:instrText>
      </w:r>
      <w:r w:rsidRPr="00B05374">
        <w:rPr>
          <w:lang w:eastAsia="en-GB"/>
        </w:rPr>
      </w:r>
      <w:r w:rsidRPr="00B05374">
        <w:rPr>
          <w:lang w:eastAsia="en-GB"/>
        </w:rPr>
        <w:fldChar w:fldCharType="separate"/>
      </w:r>
      <w:r w:rsidR="00302D39" w:rsidRPr="00302D39">
        <w:rPr>
          <w:rFonts w:eastAsia="Arial" w:cs="Arial"/>
          <w:color w:val="000000"/>
          <w:szCs w:val="24"/>
          <w:lang w:eastAsia="en-GB"/>
        </w:rPr>
        <w:t>14</w:t>
      </w:r>
      <w:r w:rsidRPr="00B05374">
        <w:rPr>
          <w:lang w:eastAsia="en-GB"/>
        </w:rPr>
        <w:fldChar w:fldCharType="end"/>
      </w:r>
      <w:r>
        <w:rPr>
          <w:lang w:eastAsia="en-GB"/>
        </w:rPr>
        <w:fldChar w:fldCharType="begin"/>
      </w:r>
      <w:r>
        <w:rPr>
          <w:lang w:eastAsia="en-GB"/>
        </w:rPr>
        <w:instrText xml:space="preserve"> REF _Ref141247906 \n \h </w:instrText>
      </w:r>
      <w:r>
        <w:rPr>
          <w:lang w:eastAsia="en-GB"/>
        </w:rPr>
      </w:r>
      <w:r>
        <w:rPr>
          <w:lang w:eastAsia="en-GB"/>
        </w:rPr>
        <w:fldChar w:fldCharType="separate"/>
      </w:r>
      <w:r w:rsidR="00302D39">
        <w:rPr>
          <w:lang w:eastAsia="en-GB"/>
        </w:rPr>
        <w:t>(e)</w:t>
      </w:r>
      <w:r>
        <w:rPr>
          <w:lang w:eastAsia="en-GB"/>
        </w:rPr>
        <w:fldChar w:fldCharType="end"/>
      </w:r>
      <w:r w:rsidRPr="00102034">
        <w:rPr>
          <w:rFonts w:eastAsia="Arial" w:cs="Arial"/>
          <w:color w:val="000000"/>
          <w:szCs w:val="24"/>
          <w:lang w:eastAsia="en-GB"/>
        </w:rPr>
        <w:t>.</w:t>
      </w:r>
    </w:p>
    <w:p w14:paraId="2C55CA62" w14:textId="77777777" w:rsidR="00F67E9E" w:rsidRPr="00102034" w:rsidRDefault="00F67E9E" w:rsidP="00F67E9E">
      <w:pPr>
        <w:numPr>
          <w:ilvl w:val="1"/>
          <w:numId w:val="249"/>
        </w:numPr>
        <w:pBdr>
          <w:top w:val="nil"/>
          <w:left w:val="nil"/>
          <w:bottom w:val="nil"/>
          <w:right w:val="nil"/>
          <w:between w:val="nil"/>
        </w:pBdr>
        <w:tabs>
          <w:tab w:val="left" w:pos="1440"/>
        </w:tabs>
        <w:spacing w:before="120" w:after="240"/>
        <w:ind w:left="1440" w:hanging="720"/>
        <w:rPr>
          <w:rFonts w:eastAsia="Arial" w:cs="Arial"/>
          <w:color w:val="000000"/>
          <w:szCs w:val="24"/>
          <w:lang w:eastAsia="en-GB"/>
        </w:rPr>
      </w:pPr>
      <w:bookmarkStart w:id="3452" w:name="bookmark=id.2ssyytf" w:colFirst="0" w:colLast="0"/>
      <w:bookmarkEnd w:id="3452"/>
      <w:r w:rsidRPr="00102034">
        <w:rPr>
          <w:rFonts w:eastAsia="Arial" w:cs="Arial"/>
          <w:color w:val="000000"/>
          <w:szCs w:val="24"/>
          <w:lang w:eastAsia="en-GB"/>
        </w:rPr>
        <w:t xml:space="preserve">The data importer agrees to document its legal assessment and any challenge to the request for disclosure and, to the extent permissible under the laws of the country of </w:t>
      </w:r>
      <w:r w:rsidRPr="0012334E">
        <w:rPr>
          <w:lang w:eastAsia="en-GB"/>
        </w:rPr>
        <w:t>destination</w:t>
      </w:r>
      <w:r w:rsidRPr="00102034">
        <w:rPr>
          <w:rFonts w:eastAsia="Arial" w:cs="Arial"/>
          <w:color w:val="000000"/>
          <w:szCs w:val="24"/>
          <w:lang w:eastAsia="en-GB"/>
        </w:rPr>
        <w:t xml:space="preserve">, make the documentation available to the data exporter. It shall also make it available to the competent supervisory authority on request. </w:t>
      </w:r>
    </w:p>
    <w:p w14:paraId="7241D4BC" w14:textId="77777777" w:rsidR="00F67E9E" w:rsidRPr="00102034" w:rsidRDefault="00F67E9E" w:rsidP="00F67E9E">
      <w:pPr>
        <w:numPr>
          <w:ilvl w:val="1"/>
          <w:numId w:val="249"/>
        </w:numPr>
        <w:pBdr>
          <w:top w:val="nil"/>
          <w:left w:val="nil"/>
          <w:bottom w:val="nil"/>
          <w:right w:val="nil"/>
          <w:between w:val="nil"/>
        </w:pBdr>
        <w:tabs>
          <w:tab w:val="left" w:pos="1440"/>
        </w:tabs>
        <w:spacing w:before="120" w:after="240"/>
        <w:ind w:left="1440" w:hanging="720"/>
        <w:rPr>
          <w:rFonts w:eastAsia="Arial" w:cs="Arial"/>
          <w:color w:val="000000"/>
          <w:szCs w:val="24"/>
          <w:lang w:eastAsia="en-GB"/>
        </w:rPr>
      </w:pPr>
      <w:bookmarkStart w:id="3453" w:name="bookmark=id.17y9918" w:colFirst="0" w:colLast="0"/>
      <w:bookmarkEnd w:id="3453"/>
      <w:r w:rsidRPr="00102034">
        <w:rPr>
          <w:rFonts w:eastAsia="Arial" w:cs="Arial"/>
          <w:color w:val="000000"/>
          <w:szCs w:val="24"/>
          <w:lang w:eastAsia="en-GB"/>
        </w:rPr>
        <w:t xml:space="preserve">The data importer agrees to provide the minimum amount of information permissible when </w:t>
      </w:r>
      <w:r w:rsidRPr="0012334E">
        <w:rPr>
          <w:lang w:eastAsia="en-GB"/>
        </w:rPr>
        <w:t>responding</w:t>
      </w:r>
      <w:r w:rsidRPr="00102034">
        <w:rPr>
          <w:rFonts w:eastAsia="Arial" w:cs="Arial"/>
          <w:color w:val="000000"/>
          <w:szCs w:val="24"/>
          <w:lang w:eastAsia="en-GB"/>
        </w:rPr>
        <w:t xml:space="preserve"> to a request for disclosure, based on a reasonable interpretation of the request.</w:t>
      </w:r>
    </w:p>
    <w:p w14:paraId="628B26E8" w14:textId="77777777" w:rsidR="00F67E9E" w:rsidRPr="00102034" w:rsidRDefault="00F67E9E" w:rsidP="00F67E9E">
      <w:pPr>
        <w:pBdr>
          <w:top w:val="nil"/>
          <w:left w:val="nil"/>
          <w:bottom w:val="nil"/>
          <w:right w:val="nil"/>
          <w:between w:val="nil"/>
        </w:pBdr>
        <w:spacing w:before="120"/>
        <w:rPr>
          <w:rFonts w:eastAsia="Arial" w:cs="Arial"/>
          <w:color w:val="000000"/>
          <w:szCs w:val="24"/>
          <w:lang w:eastAsia="en-GB"/>
        </w:rPr>
      </w:pPr>
    </w:p>
    <w:p w14:paraId="0F6080CE" w14:textId="77777777" w:rsidR="00F67E9E" w:rsidRPr="00102034" w:rsidRDefault="00F67E9E" w:rsidP="00F67E9E">
      <w:pPr>
        <w:keepNext/>
        <w:pBdr>
          <w:top w:val="nil"/>
          <w:left w:val="nil"/>
          <w:bottom w:val="nil"/>
          <w:right w:val="nil"/>
          <w:between w:val="nil"/>
        </w:pBdr>
        <w:spacing w:before="120"/>
        <w:jc w:val="center"/>
        <w:rPr>
          <w:rFonts w:eastAsia="Arial" w:cs="Arial"/>
          <w:b/>
          <w:color w:val="000000"/>
          <w:szCs w:val="24"/>
          <w:lang w:eastAsia="en-GB"/>
        </w:rPr>
      </w:pPr>
      <w:r w:rsidRPr="00102034">
        <w:rPr>
          <w:rFonts w:eastAsia="Arial" w:cs="Arial"/>
          <w:b/>
          <w:color w:val="000000"/>
          <w:szCs w:val="24"/>
          <w:lang w:eastAsia="en-GB"/>
        </w:rPr>
        <w:t>SECTION IV – FINAL PROVISIONS</w:t>
      </w:r>
    </w:p>
    <w:p w14:paraId="043A0F3E" w14:textId="77777777" w:rsidR="00F67E9E" w:rsidRPr="00102034" w:rsidRDefault="00F67E9E" w:rsidP="00F67E9E">
      <w:pPr>
        <w:keepNext/>
        <w:pBdr>
          <w:top w:val="nil"/>
          <w:left w:val="nil"/>
          <w:bottom w:val="nil"/>
          <w:right w:val="nil"/>
          <w:between w:val="nil"/>
        </w:pBdr>
        <w:spacing w:before="120"/>
        <w:jc w:val="center"/>
        <w:rPr>
          <w:rFonts w:eastAsia="Arial" w:cs="Arial"/>
          <w:b/>
          <w:color w:val="000000"/>
          <w:szCs w:val="24"/>
          <w:lang w:eastAsia="en-GB"/>
        </w:rPr>
      </w:pPr>
      <w:r w:rsidRPr="00102034">
        <w:rPr>
          <w:rFonts w:eastAsia="Arial" w:cs="Arial"/>
          <w:b/>
          <w:color w:val="000000"/>
          <w:szCs w:val="24"/>
          <w:lang w:eastAsia="en-GB"/>
        </w:rPr>
        <w:t>CLAUSE 16</w:t>
      </w:r>
    </w:p>
    <w:p w14:paraId="42677E09" w14:textId="77777777" w:rsidR="00F67E9E" w:rsidRPr="00102034" w:rsidRDefault="00F67E9E" w:rsidP="00F67E9E">
      <w:pPr>
        <w:keepNext/>
        <w:pBdr>
          <w:top w:val="nil"/>
          <w:left w:val="nil"/>
          <w:bottom w:val="nil"/>
          <w:right w:val="nil"/>
          <w:between w:val="nil"/>
        </w:pBdr>
        <w:spacing w:before="120"/>
        <w:rPr>
          <w:rFonts w:eastAsia="Arial" w:cs="Arial"/>
          <w:b/>
          <w:color w:val="000000"/>
          <w:szCs w:val="24"/>
          <w:lang w:eastAsia="en-GB"/>
        </w:rPr>
      </w:pPr>
      <w:r w:rsidRPr="00102034">
        <w:rPr>
          <w:rFonts w:eastAsia="Arial" w:cs="Arial"/>
          <w:b/>
          <w:color w:val="000000"/>
          <w:szCs w:val="24"/>
          <w:lang w:eastAsia="en-GB"/>
        </w:rPr>
        <w:t>Non-compliance with the Clauses and termination</w:t>
      </w:r>
    </w:p>
    <w:p w14:paraId="175B082C" w14:textId="77777777" w:rsidR="00F67E9E" w:rsidRPr="00102034" w:rsidRDefault="00F67E9E" w:rsidP="00F67E9E">
      <w:pPr>
        <w:numPr>
          <w:ilvl w:val="1"/>
          <w:numId w:val="250"/>
        </w:numPr>
        <w:pBdr>
          <w:top w:val="nil"/>
          <w:left w:val="nil"/>
          <w:bottom w:val="nil"/>
          <w:right w:val="nil"/>
          <w:between w:val="nil"/>
        </w:pBdr>
        <w:tabs>
          <w:tab w:val="left" w:pos="1440"/>
        </w:tabs>
        <w:spacing w:before="120" w:after="240"/>
        <w:ind w:left="1440" w:hanging="720"/>
        <w:rPr>
          <w:rFonts w:eastAsia="Arial" w:cs="Arial"/>
          <w:color w:val="000000"/>
          <w:szCs w:val="24"/>
          <w:lang w:eastAsia="en-GB"/>
        </w:rPr>
      </w:pPr>
      <w:bookmarkStart w:id="3454" w:name="bookmark=id.3rxwrp1" w:colFirst="0" w:colLast="0"/>
      <w:bookmarkEnd w:id="3454"/>
      <w:r w:rsidRPr="00102034">
        <w:rPr>
          <w:rFonts w:eastAsia="Arial" w:cs="Arial"/>
          <w:color w:val="000000"/>
          <w:szCs w:val="24"/>
          <w:lang w:eastAsia="en-GB"/>
        </w:rPr>
        <w:t>The data importer shall promptly inform the data exporter if it is unable to comply with these Clauses, for whatever reason.</w:t>
      </w:r>
    </w:p>
    <w:p w14:paraId="1A553EDA" w14:textId="1E543364" w:rsidR="00F67E9E" w:rsidRPr="00102034" w:rsidRDefault="00F67E9E" w:rsidP="00F67E9E">
      <w:pPr>
        <w:numPr>
          <w:ilvl w:val="1"/>
          <w:numId w:val="250"/>
        </w:numPr>
        <w:pBdr>
          <w:top w:val="nil"/>
          <w:left w:val="nil"/>
          <w:bottom w:val="nil"/>
          <w:right w:val="nil"/>
          <w:between w:val="nil"/>
        </w:pBdr>
        <w:tabs>
          <w:tab w:val="left" w:pos="1440"/>
        </w:tabs>
        <w:spacing w:before="120" w:after="240"/>
        <w:ind w:left="1440" w:hanging="720"/>
        <w:rPr>
          <w:rFonts w:eastAsia="Arial" w:cs="Arial"/>
          <w:color w:val="000000"/>
          <w:szCs w:val="24"/>
          <w:lang w:eastAsia="en-GB"/>
        </w:rPr>
      </w:pPr>
      <w:bookmarkStart w:id="3455" w:name="bookmark=id.27371wu" w:colFirst="0" w:colLast="0"/>
      <w:bookmarkStart w:id="3456" w:name="_Ref141248759"/>
      <w:bookmarkEnd w:id="3455"/>
      <w:r w:rsidRPr="00102034">
        <w:rPr>
          <w:rFonts w:eastAsia="Arial" w:cs="Arial"/>
          <w:color w:val="000000"/>
          <w:szCs w:val="24"/>
          <w:lang w:eastAsia="en-GB"/>
        </w:rPr>
        <w:t xml:space="preserve">In the event that the data importer is in breach of these Clauses or unable to comply with these Clauses, the data exporter shall suspend the transfer of personal data to the data importer until compliance is again ensured or the contract is terminated. This is without prejudice to Clause </w:t>
      </w:r>
      <w:r w:rsidRPr="00B05374">
        <w:rPr>
          <w:rFonts w:eastAsia="Arial" w:cs="Arial"/>
          <w:color w:val="000000"/>
          <w:szCs w:val="24"/>
          <w:lang w:eastAsia="en-GB"/>
        </w:rPr>
        <w:fldChar w:fldCharType="begin"/>
      </w:r>
      <w:r w:rsidRPr="00B05374">
        <w:rPr>
          <w:rFonts w:eastAsia="Arial" w:cs="Arial"/>
          <w:color w:val="000000"/>
          <w:szCs w:val="24"/>
          <w:lang w:eastAsia="en-GB"/>
        </w:rPr>
        <w:instrText xml:space="preserve"> REF clause14sch31 \h  \* MERGEFORMAT </w:instrText>
      </w:r>
      <w:r w:rsidRPr="00B05374">
        <w:rPr>
          <w:rFonts w:eastAsia="Arial" w:cs="Arial"/>
          <w:color w:val="000000"/>
          <w:szCs w:val="24"/>
          <w:lang w:eastAsia="en-GB"/>
        </w:rPr>
      </w:r>
      <w:r w:rsidRPr="00B05374">
        <w:rPr>
          <w:rFonts w:eastAsia="Arial" w:cs="Arial"/>
          <w:color w:val="000000"/>
          <w:szCs w:val="24"/>
          <w:lang w:eastAsia="en-GB"/>
        </w:rPr>
        <w:fldChar w:fldCharType="separate"/>
      </w:r>
      <w:r w:rsidR="00302D39" w:rsidRPr="00302D39">
        <w:rPr>
          <w:rFonts w:eastAsia="Arial" w:cs="Arial"/>
          <w:color w:val="000000"/>
          <w:szCs w:val="24"/>
          <w:lang w:eastAsia="en-GB"/>
        </w:rPr>
        <w:t>14</w:t>
      </w:r>
      <w:r w:rsidRPr="00B05374">
        <w:rPr>
          <w:rFonts w:eastAsia="Arial" w:cs="Arial"/>
          <w:color w:val="000000"/>
          <w:szCs w:val="24"/>
          <w:lang w:eastAsia="en-GB"/>
        </w:rPr>
        <w:fldChar w:fldCharType="end"/>
      </w:r>
      <w:r>
        <w:rPr>
          <w:rFonts w:eastAsia="Arial" w:cs="Arial"/>
          <w:color w:val="000000"/>
          <w:szCs w:val="24"/>
          <w:lang w:eastAsia="en-GB"/>
        </w:rPr>
        <w:fldChar w:fldCharType="begin"/>
      </w:r>
      <w:r>
        <w:rPr>
          <w:rFonts w:eastAsia="Arial" w:cs="Arial"/>
          <w:color w:val="000000"/>
          <w:szCs w:val="24"/>
          <w:lang w:eastAsia="en-GB"/>
        </w:rPr>
        <w:instrText xml:space="preserve"> REF _Ref141273382 \n \h </w:instrText>
      </w:r>
      <w:r>
        <w:rPr>
          <w:rFonts w:eastAsia="Arial" w:cs="Arial"/>
          <w:color w:val="000000"/>
          <w:szCs w:val="24"/>
          <w:lang w:eastAsia="en-GB"/>
        </w:rPr>
      </w:r>
      <w:r>
        <w:rPr>
          <w:rFonts w:eastAsia="Arial" w:cs="Arial"/>
          <w:color w:val="000000"/>
          <w:szCs w:val="24"/>
          <w:lang w:eastAsia="en-GB"/>
        </w:rPr>
        <w:fldChar w:fldCharType="separate"/>
      </w:r>
      <w:r w:rsidR="00302D39">
        <w:rPr>
          <w:rFonts w:eastAsia="Arial" w:cs="Arial"/>
          <w:color w:val="000000"/>
          <w:szCs w:val="24"/>
          <w:lang w:eastAsia="en-GB"/>
        </w:rPr>
        <w:t>(f)</w:t>
      </w:r>
      <w:r>
        <w:rPr>
          <w:rFonts w:eastAsia="Arial" w:cs="Arial"/>
          <w:color w:val="000000"/>
          <w:szCs w:val="24"/>
          <w:lang w:eastAsia="en-GB"/>
        </w:rPr>
        <w:fldChar w:fldCharType="end"/>
      </w:r>
      <w:r w:rsidRPr="00102034">
        <w:rPr>
          <w:rFonts w:eastAsia="Arial" w:cs="Arial"/>
          <w:color w:val="000000"/>
          <w:szCs w:val="24"/>
          <w:lang w:eastAsia="en-GB"/>
        </w:rPr>
        <w:t>.</w:t>
      </w:r>
      <w:bookmarkEnd w:id="3456"/>
    </w:p>
    <w:p w14:paraId="5358F3E1" w14:textId="77777777" w:rsidR="00F67E9E" w:rsidRPr="00102034" w:rsidRDefault="00F67E9E" w:rsidP="00F67E9E">
      <w:pPr>
        <w:numPr>
          <w:ilvl w:val="1"/>
          <w:numId w:val="250"/>
        </w:numPr>
        <w:pBdr>
          <w:top w:val="nil"/>
          <w:left w:val="nil"/>
          <w:bottom w:val="nil"/>
          <w:right w:val="nil"/>
          <w:between w:val="nil"/>
        </w:pBdr>
        <w:tabs>
          <w:tab w:val="left" w:pos="1440"/>
        </w:tabs>
        <w:spacing w:before="120" w:after="240"/>
        <w:ind w:left="1440" w:hanging="720"/>
        <w:rPr>
          <w:rFonts w:eastAsia="Arial" w:cs="Arial"/>
          <w:color w:val="000000"/>
          <w:szCs w:val="24"/>
          <w:lang w:eastAsia="en-GB"/>
        </w:rPr>
      </w:pPr>
      <w:bookmarkStart w:id="3457" w:name="bookmark=id.m8hc4n" w:colFirst="0" w:colLast="0"/>
      <w:bookmarkStart w:id="3458" w:name="_Ref141248785"/>
      <w:bookmarkEnd w:id="3457"/>
      <w:r w:rsidRPr="00102034">
        <w:rPr>
          <w:rFonts w:eastAsia="Arial" w:cs="Arial"/>
          <w:color w:val="000000"/>
          <w:szCs w:val="24"/>
          <w:lang w:eastAsia="en-GB"/>
        </w:rPr>
        <w:t>The data exporter shall be entitled to terminate the contract, insofar as it concerns the processing of personal data under these Clauses, where:</w:t>
      </w:r>
      <w:bookmarkEnd w:id="3458"/>
    </w:p>
    <w:p w14:paraId="1690F1E8" w14:textId="1AABE3D5" w:rsidR="00F67E9E" w:rsidRPr="009B0EEB" w:rsidRDefault="00F67E9E" w:rsidP="00F67E9E">
      <w:pPr>
        <w:numPr>
          <w:ilvl w:val="2"/>
          <w:numId w:val="248"/>
        </w:numPr>
        <w:pBdr>
          <w:top w:val="nil"/>
          <w:left w:val="nil"/>
          <w:bottom w:val="nil"/>
          <w:right w:val="nil"/>
          <w:between w:val="nil"/>
        </w:pBdr>
        <w:tabs>
          <w:tab w:val="left" w:pos="1440"/>
        </w:tabs>
        <w:spacing w:before="120" w:after="240"/>
        <w:ind w:left="2160" w:hanging="720"/>
        <w:rPr>
          <w:lang w:eastAsia="en-GB"/>
        </w:rPr>
      </w:pPr>
      <w:bookmarkStart w:id="3459" w:name="bookmark=id.3684usg" w:colFirst="0" w:colLast="0"/>
      <w:bookmarkEnd w:id="3459"/>
      <w:r w:rsidRPr="009B0EEB">
        <w:rPr>
          <w:lang w:eastAsia="en-GB"/>
        </w:rPr>
        <w:t>the data exporter has suspended the transfer of personal data to the data importer pursuant to paragraph</w:t>
      </w:r>
      <w:r>
        <w:rPr>
          <w:lang w:eastAsia="en-GB"/>
        </w:rPr>
        <w:fldChar w:fldCharType="begin"/>
      </w:r>
      <w:r>
        <w:rPr>
          <w:lang w:eastAsia="en-GB"/>
        </w:rPr>
        <w:instrText xml:space="preserve"> REF _Ref141248759 \n \h </w:instrText>
      </w:r>
      <w:r>
        <w:rPr>
          <w:lang w:eastAsia="en-GB"/>
        </w:rPr>
      </w:r>
      <w:r>
        <w:rPr>
          <w:lang w:eastAsia="en-GB"/>
        </w:rPr>
        <w:fldChar w:fldCharType="separate"/>
      </w:r>
      <w:r w:rsidR="00302D39">
        <w:rPr>
          <w:lang w:eastAsia="en-GB"/>
        </w:rPr>
        <w:t>(b)</w:t>
      </w:r>
      <w:r>
        <w:rPr>
          <w:lang w:eastAsia="en-GB"/>
        </w:rPr>
        <w:fldChar w:fldCharType="end"/>
      </w:r>
      <w:r w:rsidRPr="009B0EEB">
        <w:rPr>
          <w:lang w:eastAsia="en-GB"/>
        </w:rPr>
        <w:t xml:space="preserve"> and compliance with these Clauses is not restored within a reasonable time and in any event within one month of suspension;</w:t>
      </w:r>
    </w:p>
    <w:p w14:paraId="519D0BB9" w14:textId="77777777" w:rsidR="00F67E9E" w:rsidRPr="009B0EEB" w:rsidRDefault="00F67E9E" w:rsidP="00F67E9E">
      <w:pPr>
        <w:numPr>
          <w:ilvl w:val="2"/>
          <w:numId w:val="248"/>
        </w:numPr>
        <w:pBdr>
          <w:top w:val="nil"/>
          <w:left w:val="nil"/>
          <w:bottom w:val="nil"/>
          <w:right w:val="nil"/>
          <w:between w:val="nil"/>
        </w:pBdr>
        <w:tabs>
          <w:tab w:val="left" w:pos="1440"/>
        </w:tabs>
        <w:spacing w:before="120" w:after="240"/>
        <w:ind w:left="2160" w:hanging="720"/>
        <w:rPr>
          <w:lang w:eastAsia="en-GB"/>
        </w:rPr>
      </w:pPr>
      <w:bookmarkStart w:id="3460" w:name="bookmark=id.1ldf509" w:colFirst="0" w:colLast="0"/>
      <w:bookmarkEnd w:id="3460"/>
      <w:r w:rsidRPr="009B0EEB">
        <w:rPr>
          <w:lang w:eastAsia="en-GB"/>
        </w:rPr>
        <w:t>the data importer is in substantial or persistent breach of these Clauses; or</w:t>
      </w:r>
    </w:p>
    <w:p w14:paraId="10D7AC20" w14:textId="77777777" w:rsidR="00F67E9E" w:rsidRPr="009B0EEB" w:rsidRDefault="00F67E9E" w:rsidP="00F67E9E">
      <w:pPr>
        <w:numPr>
          <w:ilvl w:val="2"/>
          <w:numId w:val="248"/>
        </w:numPr>
        <w:pBdr>
          <w:top w:val="nil"/>
          <w:left w:val="nil"/>
          <w:bottom w:val="nil"/>
          <w:right w:val="nil"/>
          <w:between w:val="nil"/>
        </w:pBdr>
        <w:tabs>
          <w:tab w:val="left" w:pos="1440"/>
        </w:tabs>
        <w:spacing w:before="120" w:after="240"/>
        <w:ind w:left="2160" w:hanging="720"/>
        <w:rPr>
          <w:lang w:eastAsia="en-GB"/>
        </w:rPr>
      </w:pPr>
      <w:bookmarkStart w:id="3461" w:name="bookmark=id.45d2no2" w:colFirst="0" w:colLast="0"/>
      <w:bookmarkEnd w:id="3461"/>
      <w:r w:rsidRPr="009B0EEB">
        <w:rPr>
          <w:lang w:eastAsia="en-GB"/>
        </w:rPr>
        <w:t>the data importer fails to comply with a binding decision of a competent court or supervisory authority regarding its obligations under these Clauses.</w:t>
      </w:r>
    </w:p>
    <w:p w14:paraId="3CF2FB07" w14:textId="77777777" w:rsidR="00F67E9E" w:rsidRPr="00102034" w:rsidRDefault="00F67E9E" w:rsidP="00F67E9E">
      <w:pPr>
        <w:pBdr>
          <w:top w:val="nil"/>
          <w:left w:val="nil"/>
          <w:bottom w:val="nil"/>
          <w:right w:val="nil"/>
          <w:between w:val="nil"/>
        </w:pBdr>
        <w:spacing w:before="120" w:after="240"/>
        <w:ind w:left="1440"/>
        <w:rPr>
          <w:rFonts w:eastAsia="Arial" w:cs="Arial"/>
          <w:color w:val="000000"/>
          <w:szCs w:val="24"/>
          <w:lang w:eastAsia="en-GB"/>
        </w:rPr>
      </w:pPr>
      <w:bookmarkStart w:id="3462" w:name="bookmark=id.2kicxvv" w:colFirst="0" w:colLast="0"/>
      <w:bookmarkEnd w:id="3462"/>
      <w:r w:rsidRPr="00102034">
        <w:rPr>
          <w:rFonts w:eastAsia="Arial" w:cs="Arial"/>
          <w:color w:val="000000"/>
          <w:szCs w:val="24"/>
          <w:lang w:eastAsia="en-GB"/>
        </w:rPr>
        <w:t>In these cases, it shall inform the competent supervisory authority of such non-compliance. Where the contract involves more than two Parties, the data exporter may exercise this right to termination only with respect to the relevant Party, unless the Parties have agreed otherwise.</w:t>
      </w:r>
    </w:p>
    <w:p w14:paraId="5095063F" w14:textId="517CA089" w:rsidR="00F67E9E" w:rsidRPr="00102034" w:rsidRDefault="00F67E9E" w:rsidP="00F67E9E">
      <w:pPr>
        <w:numPr>
          <w:ilvl w:val="1"/>
          <w:numId w:val="250"/>
        </w:numPr>
        <w:pBdr>
          <w:top w:val="nil"/>
          <w:left w:val="nil"/>
          <w:bottom w:val="nil"/>
          <w:right w:val="nil"/>
          <w:between w:val="nil"/>
        </w:pBdr>
        <w:tabs>
          <w:tab w:val="left" w:pos="1440"/>
        </w:tabs>
        <w:spacing w:before="120" w:after="240"/>
        <w:ind w:left="1440" w:hanging="720"/>
        <w:rPr>
          <w:rFonts w:eastAsia="Arial" w:cs="Arial"/>
          <w:color w:val="000000"/>
          <w:szCs w:val="24"/>
          <w:lang w:eastAsia="en-GB"/>
        </w:rPr>
      </w:pPr>
      <w:bookmarkStart w:id="3463" w:name="bookmark=id.znn83o" w:colFirst="0" w:colLast="0"/>
      <w:bookmarkEnd w:id="3463"/>
      <w:r w:rsidRPr="00102034">
        <w:rPr>
          <w:rFonts w:eastAsia="Arial" w:cs="Arial"/>
          <w:color w:val="000000"/>
          <w:szCs w:val="24"/>
          <w:lang w:eastAsia="en-GB"/>
        </w:rPr>
        <w:t>Personal data that has been transferred prior to the termination of the contract pursuant to paragraph ‎</w:t>
      </w:r>
      <w:r>
        <w:rPr>
          <w:rFonts w:eastAsia="Arial" w:cs="Arial"/>
          <w:color w:val="000000"/>
          <w:szCs w:val="24"/>
          <w:lang w:eastAsia="en-GB"/>
        </w:rPr>
        <w:fldChar w:fldCharType="begin"/>
      </w:r>
      <w:r>
        <w:rPr>
          <w:rFonts w:eastAsia="Arial" w:cs="Arial"/>
          <w:color w:val="000000"/>
          <w:szCs w:val="24"/>
          <w:lang w:eastAsia="en-GB"/>
        </w:rPr>
        <w:instrText xml:space="preserve"> REF _Ref141248785 \n \h </w:instrText>
      </w:r>
      <w:r>
        <w:rPr>
          <w:rFonts w:eastAsia="Arial" w:cs="Arial"/>
          <w:color w:val="000000"/>
          <w:szCs w:val="24"/>
          <w:lang w:eastAsia="en-GB"/>
        </w:rPr>
      </w:r>
      <w:r>
        <w:rPr>
          <w:rFonts w:eastAsia="Arial" w:cs="Arial"/>
          <w:color w:val="000000"/>
          <w:szCs w:val="24"/>
          <w:lang w:eastAsia="en-GB"/>
        </w:rPr>
        <w:fldChar w:fldCharType="separate"/>
      </w:r>
      <w:r w:rsidR="00302D39">
        <w:rPr>
          <w:rFonts w:eastAsia="Arial" w:cs="Arial"/>
          <w:color w:val="000000"/>
          <w:szCs w:val="24"/>
          <w:lang w:eastAsia="en-GB"/>
        </w:rPr>
        <w:t>(c)</w:t>
      </w:r>
      <w:r>
        <w:rPr>
          <w:rFonts w:eastAsia="Arial" w:cs="Arial"/>
          <w:color w:val="000000"/>
          <w:szCs w:val="24"/>
          <w:lang w:eastAsia="en-GB"/>
        </w:rPr>
        <w:fldChar w:fldCharType="end"/>
      </w:r>
      <w:r w:rsidRPr="00102034">
        <w:rPr>
          <w:rFonts w:eastAsia="Arial" w:cs="Arial"/>
          <w:color w:val="000000"/>
          <w:szCs w:val="24"/>
          <w:lang w:eastAsia="en-GB"/>
        </w:rPr>
        <w:t xml:space="preserve"> shall at the choice of the data exporter immediately be returned to the data exporter or deleted in its entirety. The same shall apply to any copies of the data. The data importer shall certify the deletion of the data to the data exporter. Until the data is deleted or returned, the data importer shall continue to ensure compliance with these Clauses. In case of local laws applicable to the data importer that prohibit the return or deletion of the transferred personal data, the data importer warrants that it will continue to ensure compliance with these Clauses and will only process the data to the extent and for as long as required under that local law.</w:t>
      </w:r>
    </w:p>
    <w:p w14:paraId="001D7C67" w14:textId="77777777" w:rsidR="00F67E9E" w:rsidRPr="00102034" w:rsidRDefault="00F67E9E" w:rsidP="00F67E9E">
      <w:pPr>
        <w:numPr>
          <w:ilvl w:val="1"/>
          <w:numId w:val="250"/>
        </w:numPr>
        <w:pBdr>
          <w:top w:val="nil"/>
          <w:left w:val="nil"/>
          <w:bottom w:val="nil"/>
          <w:right w:val="nil"/>
          <w:between w:val="nil"/>
        </w:pBdr>
        <w:tabs>
          <w:tab w:val="left" w:pos="1440"/>
        </w:tabs>
        <w:spacing w:before="120" w:after="240"/>
        <w:ind w:left="1440" w:hanging="720"/>
        <w:rPr>
          <w:rFonts w:eastAsia="Arial" w:cs="Arial"/>
          <w:color w:val="000000"/>
          <w:szCs w:val="24"/>
          <w:lang w:eastAsia="en-GB"/>
        </w:rPr>
      </w:pPr>
      <w:bookmarkStart w:id="3464" w:name="bookmark=id.3jnaqrh" w:colFirst="0" w:colLast="0"/>
      <w:bookmarkEnd w:id="3464"/>
      <w:r w:rsidRPr="00102034">
        <w:rPr>
          <w:rFonts w:eastAsia="Arial" w:cs="Arial"/>
          <w:color w:val="000000"/>
          <w:szCs w:val="24"/>
          <w:lang w:eastAsia="en-GB"/>
        </w:rPr>
        <w:t>Either Party may revoke its agreement to be bound by these Clauses where (i) the European Commission adopts a decision pursuant to Article 45(3) of Regulation (EU) 2016/679 that covers the transfer of personal data to which these Clauses apply; or (ii) Regulation (EU) 2016/679 becomes part of the legal framework of the country to which the personal data is transferred. This is without prejudice to other obligations applying to the processing in question under Regulation (EU) 2016/679.</w:t>
      </w:r>
    </w:p>
    <w:p w14:paraId="063A22E9" w14:textId="77777777" w:rsidR="00F67E9E" w:rsidRPr="00102034" w:rsidRDefault="00F67E9E" w:rsidP="00F67E9E">
      <w:pPr>
        <w:keepNext/>
        <w:pBdr>
          <w:top w:val="nil"/>
          <w:left w:val="nil"/>
          <w:bottom w:val="nil"/>
          <w:right w:val="nil"/>
          <w:between w:val="nil"/>
        </w:pBdr>
        <w:spacing w:before="120"/>
        <w:jc w:val="center"/>
        <w:rPr>
          <w:rFonts w:eastAsia="Arial" w:cs="Arial"/>
          <w:b/>
          <w:color w:val="000000"/>
          <w:szCs w:val="24"/>
          <w:lang w:eastAsia="en-GB"/>
        </w:rPr>
      </w:pPr>
      <w:r w:rsidRPr="00102034">
        <w:rPr>
          <w:rFonts w:eastAsia="Arial" w:cs="Arial"/>
          <w:b/>
          <w:color w:val="000000"/>
          <w:szCs w:val="24"/>
          <w:lang w:eastAsia="en-GB"/>
        </w:rPr>
        <w:t>CLAUSE 17</w:t>
      </w:r>
    </w:p>
    <w:p w14:paraId="7F59ED8E" w14:textId="77777777" w:rsidR="00F67E9E" w:rsidRPr="00102034" w:rsidRDefault="00F67E9E" w:rsidP="00F67E9E">
      <w:pPr>
        <w:pBdr>
          <w:top w:val="nil"/>
          <w:left w:val="nil"/>
          <w:bottom w:val="nil"/>
          <w:right w:val="nil"/>
          <w:between w:val="nil"/>
        </w:pBdr>
        <w:spacing w:before="240" w:after="240"/>
        <w:rPr>
          <w:rFonts w:eastAsia="Arial" w:cs="Arial"/>
          <w:b/>
          <w:color w:val="000000"/>
          <w:szCs w:val="24"/>
          <w:lang w:eastAsia="en-GB"/>
        </w:rPr>
      </w:pPr>
      <w:bookmarkStart w:id="3465" w:name="bookmark=id.1ysl0za" w:colFirst="0" w:colLast="0"/>
      <w:bookmarkEnd w:id="3465"/>
      <w:r w:rsidRPr="00102034">
        <w:rPr>
          <w:rFonts w:eastAsia="Arial" w:cs="Arial"/>
          <w:b/>
          <w:color w:val="000000"/>
          <w:szCs w:val="24"/>
          <w:lang w:eastAsia="en-GB"/>
        </w:rPr>
        <w:t>Governing law</w:t>
      </w:r>
    </w:p>
    <w:p w14:paraId="37FB4F8B" w14:textId="77777777" w:rsidR="00F67E9E" w:rsidRPr="00102034" w:rsidRDefault="00F67E9E" w:rsidP="00F67E9E">
      <w:pPr>
        <w:pBdr>
          <w:top w:val="nil"/>
          <w:left w:val="nil"/>
          <w:bottom w:val="nil"/>
          <w:right w:val="nil"/>
          <w:between w:val="nil"/>
        </w:pBdr>
        <w:spacing w:before="120" w:after="240"/>
        <w:ind w:left="720" w:firstLine="1440"/>
        <w:rPr>
          <w:rFonts w:eastAsia="Arial" w:cs="Arial"/>
          <w:color w:val="000000"/>
          <w:szCs w:val="24"/>
          <w:lang w:eastAsia="en-GB"/>
        </w:rPr>
      </w:pPr>
      <w:bookmarkStart w:id="3466" w:name="bookmark=id.4is8jn3" w:colFirst="0" w:colLast="0"/>
      <w:bookmarkEnd w:id="3466"/>
      <w:r w:rsidRPr="00102034">
        <w:rPr>
          <w:rFonts w:eastAsia="Arial" w:cs="Arial"/>
          <w:color w:val="000000"/>
          <w:szCs w:val="24"/>
          <w:lang w:eastAsia="en-GB"/>
        </w:rPr>
        <w:t>[OPTION 1: These Clauses shall be governed by the law of one of the EU Member States, provided such law allows for third-party beneficiary rights. The Parties agree that this shall be the law of _______ (</w:t>
      </w:r>
      <w:r w:rsidRPr="00102034">
        <w:rPr>
          <w:rFonts w:eastAsia="Arial" w:cs="Arial"/>
          <w:i/>
          <w:color w:val="000000"/>
          <w:szCs w:val="24"/>
          <w:lang w:eastAsia="en-GB"/>
        </w:rPr>
        <w:t>specify Member State</w:t>
      </w:r>
      <w:r w:rsidRPr="00102034">
        <w:rPr>
          <w:rFonts w:eastAsia="Arial" w:cs="Arial"/>
          <w:color w:val="000000"/>
          <w:szCs w:val="24"/>
          <w:lang w:eastAsia="en-GB"/>
        </w:rPr>
        <w:t>).]</w:t>
      </w:r>
    </w:p>
    <w:p w14:paraId="3F274ADB" w14:textId="77777777" w:rsidR="00F67E9E" w:rsidRPr="00102034" w:rsidRDefault="00F67E9E" w:rsidP="00F67E9E">
      <w:pPr>
        <w:pBdr>
          <w:top w:val="nil"/>
          <w:left w:val="nil"/>
          <w:bottom w:val="nil"/>
          <w:right w:val="nil"/>
          <w:between w:val="nil"/>
        </w:pBdr>
        <w:spacing w:before="120" w:after="240"/>
        <w:ind w:left="720" w:firstLine="1440"/>
        <w:rPr>
          <w:rFonts w:eastAsia="Arial" w:cs="Arial"/>
          <w:color w:val="000000"/>
          <w:szCs w:val="24"/>
          <w:lang w:eastAsia="en-GB"/>
        </w:rPr>
      </w:pPr>
      <w:bookmarkStart w:id="3467" w:name="bookmark=id.2xxituw" w:colFirst="0" w:colLast="0"/>
      <w:bookmarkEnd w:id="3467"/>
      <w:r w:rsidRPr="00102034">
        <w:rPr>
          <w:rFonts w:eastAsia="Arial" w:cs="Arial"/>
          <w:color w:val="000000"/>
          <w:szCs w:val="24"/>
          <w:lang w:eastAsia="en-GB"/>
        </w:rPr>
        <w:t>[OPTION 2: These Clauses shall be governed by the law of the EU Member State in which the data exporter is established. Where such law does not allow for third-party beneficiary rights, they shall be governed by the law of another EU Member State that does allow for third-party beneficiary rights. The Parties agree that this shall be the law of _______ (</w:t>
      </w:r>
      <w:r w:rsidRPr="00102034">
        <w:rPr>
          <w:rFonts w:eastAsia="Arial" w:cs="Arial"/>
          <w:i/>
          <w:color w:val="000000"/>
          <w:szCs w:val="24"/>
          <w:lang w:eastAsia="en-GB"/>
        </w:rPr>
        <w:t>specify Member State</w:t>
      </w:r>
      <w:r w:rsidRPr="00102034">
        <w:rPr>
          <w:rFonts w:eastAsia="Arial" w:cs="Arial"/>
          <w:color w:val="000000"/>
          <w:szCs w:val="24"/>
          <w:lang w:eastAsia="en-GB"/>
        </w:rPr>
        <w:t>).]</w:t>
      </w:r>
    </w:p>
    <w:p w14:paraId="616F98B6" w14:textId="77777777" w:rsidR="00F67E9E" w:rsidRPr="00102034" w:rsidRDefault="00F67E9E" w:rsidP="00F67E9E">
      <w:pPr>
        <w:pBdr>
          <w:top w:val="nil"/>
          <w:left w:val="nil"/>
          <w:bottom w:val="nil"/>
          <w:right w:val="nil"/>
          <w:between w:val="nil"/>
        </w:pBdr>
        <w:spacing w:before="120"/>
        <w:jc w:val="center"/>
        <w:rPr>
          <w:rFonts w:eastAsia="Arial" w:cs="Arial"/>
          <w:b/>
          <w:color w:val="000000"/>
          <w:szCs w:val="24"/>
          <w:lang w:eastAsia="en-GB"/>
        </w:rPr>
      </w:pPr>
      <w:r w:rsidRPr="00102034">
        <w:rPr>
          <w:rFonts w:eastAsia="Arial" w:cs="Arial"/>
          <w:b/>
          <w:color w:val="000000"/>
          <w:szCs w:val="24"/>
          <w:lang w:eastAsia="en-GB"/>
        </w:rPr>
        <w:t>CLAUSE 18</w:t>
      </w:r>
    </w:p>
    <w:p w14:paraId="11426034" w14:textId="77777777" w:rsidR="00F67E9E" w:rsidRPr="00102034" w:rsidRDefault="00F67E9E" w:rsidP="00F67E9E">
      <w:pPr>
        <w:pBdr>
          <w:top w:val="nil"/>
          <w:left w:val="nil"/>
          <w:bottom w:val="nil"/>
          <w:right w:val="nil"/>
          <w:between w:val="nil"/>
        </w:pBdr>
        <w:spacing w:before="240" w:after="240"/>
        <w:rPr>
          <w:rFonts w:eastAsia="Arial" w:cs="Arial"/>
          <w:b/>
          <w:color w:val="000000"/>
          <w:szCs w:val="24"/>
          <w:lang w:eastAsia="en-GB"/>
        </w:rPr>
      </w:pPr>
      <w:bookmarkStart w:id="3468" w:name="bookmark=id.1d2t42p" w:colFirst="0" w:colLast="0"/>
      <w:bookmarkEnd w:id="3468"/>
      <w:r w:rsidRPr="00102034">
        <w:rPr>
          <w:rFonts w:eastAsia="Arial" w:cs="Arial"/>
          <w:b/>
          <w:color w:val="000000"/>
          <w:szCs w:val="24"/>
          <w:lang w:eastAsia="en-GB"/>
        </w:rPr>
        <w:t>Choice of forum and jurisdiction</w:t>
      </w:r>
    </w:p>
    <w:p w14:paraId="3A715573" w14:textId="77777777" w:rsidR="00F67E9E" w:rsidRPr="00102034" w:rsidRDefault="00F67E9E" w:rsidP="00F67E9E">
      <w:pPr>
        <w:numPr>
          <w:ilvl w:val="1"/>
          <w:numId w:val="251"/>
        </w:numPr>
        <w:pBdr>
          <w:top w:val="nil"/>
          <w:left w:val="nil"/>
          <w:bottom w:val="nil"/>
          <w:right w:val="nil"/>
          <w:between w:val="nil"/>
        </w:pBdr>
        <w:spacing w:before="120" w:after="240"/>
        <w:ind w:left="1440" w:hanging="720"/>
        <w:rPr>
          <w:rFonts w:eastAsia="Arial" w:cs="Arial"/>
          <w:color w:val="000000"/>
          <w:szCs w:val="24"/>
          <w:lang w:eastAsia="en-GB"/>
        </w:rPr>
      </w:pPr>
      <w:bookmarkStart w:id="3469" w:name="bookmark=id.3x2gmqi" w:colFirst="0" w:colLast="0"/>
      <w:bookmarkEnd w:id="3469"/>
      <w:r w:rsidRPr="00102034">
        <w:rPr>
          <w:rFonts w:eastAsia="Arial" w:cs="Arial"/>
          <w:color w:val="000000"/>
          <w:szCs w:val="24"/>
          <w:lang w:eastAsia="en-GB"/>
        </w:rPr>
        <w:t>Any dispute arising from these Clauses shall be resolved by the courts of an EU Member State.</w:t>
      </w:r>
    </w:p>
    <w:p w14:paraId="28E7FD36" w14:textId="77777777" w:rsidR="00F67E9E" w:rsidRPr="00102034" w:rsidRDefault="00F67E9E" w:rsidP="00F67E9E">
      <w:pPr>
        <w:numPr>
          <w:ilvl w:val="1"/>
          <w:numId w:val="251"/>
        </w:numPr>
        <w:pBdr>
          <w:top w:val="nil"/>
          <w:left w:val="nil"/>
          <w:bottom w:val="nil"/>
          <w:right w:val="nil"/>
          <w:between w:val="nil"/>
        </w:pBdr>
        <w:tabs>
          <w:tab w:val="left" w:pos="1440"/>
        </w:tabs>
        <w:spacing w:before="120" w:after="240"/>
        <w:ind w:left="1440" w:hanging="720"/>
        <w:rPr>
          <w:rFonts w:eastAsia="Arial" w:cs="Arial"/>
          <w:color w:val="000000"/>
          <w:szCs w:val="24"/>
          <w:lang w:eastAsia="en-GB"/>
        </w:rPr>
      </w:pPr>
      <w:bookmarkStart w:id="3470" w:name="bookmark=id.2c7qwyb" w:colFirst="0" w:colLast="0"/>
      <w:bookmarkEnd w:id="3470"/>
      <w:r w:rsidRPr="00102034">
        <w:rPr>
          <w:rFonts w:eastAsia="Arial" w:cs="Arial"/>
          <w:color w:val="000000"/>
          <w:szCs w:val="24"/>
          <w:lang w:eastAsia="en-GB"/>
        </w:rPr>
        <w:t xml:space="preserve">The Parties agree that those shall be the courts of _____ </w:t>
      </w:r>
      <w:r w:rsidRPr="00102034">
        <w:rPr>
          <w:rFonts w:eastAsia="Arial" w:cs="Arial"/>
          <w:i/>
          <w:color w:val="000000"/>
          <w:szCs w:val="24"/>
          <w:lang w:eastAsia="en-GB"/>
        </w:rPr>
        <w:t>(specify Member State)</w:t>
      </w:r>
      <w:r w:rsidRPr="00102034">
        <w:rPr>
          <w:rFonts w:eastAsia="Arial" w:cs="Arial"/>
          <w:color w:val="000000"/>
          <w:szCs w:val="24"/>
          <w:lang w:eastAsia="en-GB"/>
        </w:rPr>
        <w:t>.</w:t>
      </w:r>
    </w:p>
    <w:p w14:paraId="66E9D1B0" w14:textId="77777777" w:rsidR="00F67E9E" w:rsidRPr="00102034" w:rsidRDefault="00F67E9E" w:rsidP="00F67E9E">
      <w:pPr>
        <w:numPr>
          <w:ilvl w:val="1"/>
          <w:numId w:val="251"/>
        </w:numPr>
        <w:pBdr>
          <w:top w:val="nil"/>
          <w:left w:val="nil"/>
          <w:bottom w:val="nil"/>
          <w:right w:val="nil"/>
          <w:between w:val="nil"/>
        </w:pBdr>
        <w:tabs>
          <w:tab w:val="left" w:pos="1440"/>
        </w:tabs>
        <w:spacing w:before="120" w:after="240"/>
        <w:ind w:left="1440" w:hanging="720"/>
        <w:rPr>
          <w:rFonts w:eastAsia="Arial" w:cs="Arial"/>
          <w:color w:val="000000"/>
          <w:szCs w:val="24"/>
          <w:lang w:eastAsia="en-GB"/>
        </w:rPr>
      </w:pPr>
      <w:bookmarkStart w:id="3471" w:name="bookmark=id.rd1764" w:colFirst="0" w:colLast="0"/>
      <w:bookmarkEnd w:id="3471"/>
      <w:r w:rsidRPr="00102034">
        <w:rPr>
          <w:rFonts w:eastAsia="Arial" w:cs="Arial"/>
          <w:color w:val="000000"/>
          <w:szCs w:val="24"/>
          <w:lang w:eastAsia="en-GB"/>
        </w:rPr>
        <w:t>A data subject may also bring legal proceedings against the data exporter and/or data importer before the courts of the Member State in which he/she has his/her habitual residence.</w:t>
      </w:r>
    </w:p>
    <w:p w14:paraId="331E3B4F" w14:textId="77777777" w:rsidR="00F67E9E" w:rsidRPr="00102034" w:rsidRDefault="00F67E9E" w:rsidP="00F67E9E">
      <w:pPr>
        <w:numPr>
          <w:ilvl w:val="1"/>
          <w:numId w:val="251"/>
        </w:numPr>
        <w:pBdr>
          <w:top w:val="nil"/>
          <w:left w:val="nil"/>
          <w:bottom w:val="nil"/>
          <w:right w:val="nil"/>
          <w:between w:val="nil"/>
        </w:pBdr>
        <w:tabs>
          <w:tab w:val="left" w:pos="1440"/>
        </w:tabs>
        <w:spacing w:before="120" w:after="240"/>
        <w:ind w:left="1440" w:hanging="720"/>
        <w:rPr>
          <w:rFonts w:eastAsia="Arial" w:cs="Arial"/>
          <w:color w:val="000000"/>
          <w:szCs w:val="24"/>
          <w:lang w:eastAsia="en-GB"/>
        </w:rPr>
      </w:pPr>
      <w:bookmarkStart w:id="3472" w:name="bookmark=id.3bcoptx" w:colFirst="0" w:colLast="0"/>
      <w:bookmarkEnd w:id="3472"/>
      <w:r w:rsidRPr="00102034">
        <w:rPr>
          <w:rFonts w:eastAsia="Arial" w:cs="Arial"/>
          <w:color w:val="000000"/>
          <w:szCs w:val="24"/>
          <w:lang w:eastAsia="en-GB"/>
        </w:rPr>
        <w:t>The Parties agree to submit themselves to the jurisdiction of such courts.</w:t>
      </w:r>
    </w:p>
    <w:p w14:paraId="29D60E88" w14:textId="77777777" w:rsidR="00F67E9E" w:rsidRPr="00102034" w:rsidRDefault="00F67E9E" w:rsidP="00F67E9E">
      <w:pPr>
        <w:pBdr>
          <w:top w:val="nil"/>
          <w:left w:val="nil"/>
          <w:bottom w:val="nil"/>
          <w:right w:val="nil"/>
          <w:between w:val="nil"/>
        </w:pBdr>
        <w:spacing w:before="120"/>
        <w:rPr>
          <w:rFonts w:eastAsia="Arial" w:cs="Arial"/>
          <w:color w:val="000000"/>
          <w:szCs w:val="24"/>
          <w:lang w:eastAsia="en-GB"/>
        </w:rPr>
      </w:pPr>
    </w:p>
    <w:p w14:paraId="13F8402A" w14:textId="77777777" w:rsidR="00F67E9E" w:rsidRPr="00102034" w:rsidRDefault="00F67E9E" w:rsidP="00F67E9E">
      <w:pPr>
        <w:pBdr>
          <w:top w:val="nil"/>
          <w:left w:val="nil"/>
          <w:bottom w:val="nil"/>
          <w:right w:val="nil"/>
          <w:between w:val="nil"/>
        </w:pBdr>
        <w:spacing w:before="120"/>
        <w:jc w:val="center"/>
        <w:rPr>
          <w:rFonts w:eastAsia="Arial" w:cs="Arial"/>
          <w:b/>
          <w:color w:val="000000"/>
          <w:szCs w:val="24"/>
          <w:lang w:eastAsia="en-GB"/>
        </w:rPr>
      </w:pPr>
      <w:r w:rsidRPr="00102034">
        <w:rPr>
          <w:rFonts w:eastAsia="Arial" w:cs="Arial"/>
          <w:b/>
          <w:color w:val="000000"/>
          <w:szCs w:val="24"/>
          <w:lang w:eastAsia="en-GB"/>
        </w:rPr>
        <w:t>Official European Commission Footnotes</w:t>
      </w:r>
    </w:p>
    <w:bookmarkStart w:id="3473" w:name="bookmark=id.1qhz01q" w:colFirst="0" w:colLast="0"/>
    <w:bookmarkEnd w:id="3473"/>
    <w:p w14:paraId="35C24D0C" w14:textId="77777777" w:rsidR="00F67E9E" w:rsidRPr="00102034" w:rsidRDefault="00F67E9E" w:rsidP="00F67E9E">
      <w:pPr>
        <w:pBdr>
          <w:top w:val="nil"/>
          <w:left w:val="nil"/>
          <w:bottom w:val="nil"/>
          <w:right w:val="nil"/>
          <w:between w:val="nil"/>
        </w:pBdr>
        <w:spacing w:before="240" w:after="240"/>
        <w:ind w:firstLine="1440"/>
        <w:rPr>
          <w:rFonts w:eastAsia="Arial" w:cs="Arial"/>
          <w:color w:val="000000"/>
          <w:szCs w:val="24"/>
          <w:lang w:eastAsia="en-GB"/>
        </w:rPr>
      </w:pPr>
      <w:r w:rsidRPr="00102034">
        <w:rPr>
          <w:rFonts w:ascii="Calibri" w:eastAsia="Calibri" w:hAnsi="Calibri" w:cs="Calibri"/>
          <w:sz w:val="22"/>
          <w:szCs w:val="22"/>
          <w:lang w:eastAsia="en-GB"/>
        </w:rPr>
        <w:fldChar w:fldCharType="begin"/>
      </w:r>
      <w:r w:rsidRPr="00102034">
        <w:rPr>
          <w:rFonts w:ascii="Calibri" w:eastAsia="Calibri" w:hAnsi="Calibri" w:cs="Calibri"/>
          <w:sz w:val="22"/>
          <w:szCs w:val="22"/>
          <w:lang w:eastAsia="en-GB"/>
        </w:rPr>
        <w:instrText xml:space="preserve"> HYPERLINK \l "bookmark=id.1l354xk" \h </w:instrText>
      </w:r>
      <w:r w:rsidRPr="00102034">
        <w:rPr>
          <w:rFonts w:ascii="Calibri" w:eastAsia="Calibri" w:hAnsi="Calibri" w:cs="Calibri"/>
          <w:sz w:val="22"/>
          <w:szCs w:val="22"/>
          <w:lang w:eastAsia="en-GB"/>
        </w:rPr>
        <w:fldChar w:fldCharType="separate"/>
      </w:r>
      <w:r w:rsidRPr="00102034">
        <w:rPr>
          <w:rFonts w:eastAsia="Arial" w:cs="Arial"/>
          <w:color w:val="0000FF"/>
          <w:szCs w:val="24"/>
          <w:u w:val="single"/>
          <w:lang w:eastAsia="en-GB"/>
        </w:rPr>
        <w:t>FN1</w:t>
      </w:r>
      <w:r w:rsidRPr="00102034">
        <w:rPr>
          <w:rFonts w:eastAsia="Arial" w:cs="Arial"/>
          <w:color w:val="0000FF"/>
          <w:szCs w:val="24"/>
          <w:u w:val="single"/>
          <w:lang w:eastAsia="en-GB"/>
        </w:rPr>
        <w:fldChar w:fldCharType="end"/>
      </w:r>
      <w:r w:rsidRPr="00102034">
        <w:rPr>
          <w:rFonts w:eastAsia="Arial" w:cs="Arial"/>
          <w:color w:val="000000"/>
          <w:szCs w:val="24"/>
          <w:lang w:eastAsia="en-GB"/>
        </w:rPr>
        <w:t>: Where the data exporter is a processor subject to Regulation (EU) 2016/679 acting on behalf of a Union institution or body as controller, reliance on these Clauses when engaging another processor (sub-processing) not subject to Regulation (EU) 2016/679 also ensures compliance with Article 29(4) of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w:t>
      </w:r>
      <w:r w:rsidRPr="00102034">
        <w:rPr>
          <w:rFonts w:eastAsia="Arial" w:cs="Arial"/>
          <w:color w:val="0000FF"/>
          <w:szCs w:val="24"/>
          <w:u w:val="single"/>
          <w:lang w:eastAsia="en-GB"/>
        </w:rPr>
        <w:t>OJ L 295, 21.11.2018, p. 39</w:t>
      </w:r>
      <w:r w:rsidRPr="00102034">
        <w:rPr>
          <w:rFonts w:eastAsia="Arial" w:cs="Arial"/>
          <w:color w:val="000000"/>
          <w:szCs w:val="24"/>
          <w:lang w:eastAsia="en-GB"/>
        </w:rPr>
        <w:t>), to the extent these Clauses and the data protection obligations as set out in the contract or other legal act between the controller and the processor pursuant to Article 29(3) of Regulation (EU) 2018/1725 are aligned. This will in particular be the case where the controller and processor rely on the standard contractual clauses included in Decision 2021/915.</w:t>
      </w:r>
    </w:p>
    <w:bookmarkStart w:id="3474" w:name="bookmark=id.4ahmipj" w:colFirst="0" w:colLast="0"/>
    <w:bookmarkEnd w:id="3474"/>
    <w:p w14:paraId="7A128B44" w14:textId="77777777" w:rsidR="00F67E9E" w:rsidRPr="00102034" w:rsidRDefault="00F67E9E" w:rsidP="00F67E9E">
      <w:pPr>
        <w:pBdr>
          <w:top w:val="nil"/>
          <w:left w:val="nil"/>
          <w:bottom w:val="nil"/>
          <w:right w:val="nil"/>
          <w:between w:val="nil"/>
        </w:pBdr>
        <w:spacing w:before="240" w:after="240"/>
        <w:ind w:firstLine="1440"/>
        <w:rPr>
          <w:rFonts w:eastAsia="Arial" w:cs="Arial"/>
          <w:color w:val="000000"/>
          <w:szCs w:val="24"/>
          <w:lang w:eastAsia="en-GB"/>
        </w:rPr>
      </w:pPr>
      <w:r w:rsidRPr="00102034">
        <w:rPr>
          <w:rFonts w:ascii="Calibri" w:eastAsia="Calibri" w:hAnsi="Calibri" w:cs="Calibri"/>
          <w:sz w:val="22"/>
          <w:szCs w:val="22"/>
          <w:lang w:eastAsia="en-GB"/>
        </w:rPr>
        <w:fldChar w:fldCharType="begin"/>
      </w:r>
      <w:r w:rsidRPr="00102034">
        <w:rPr>
          <w:rFonts w:ascii="Calibri" w:eastAsia="Calibri" w:hAnsi="Calibri" w:cs="Calibri"/>
          <w:sz w:val="22"/>
          <w:szCs w:val="22"/>
          <w:lang w:eastAsia="en-GB"/>
        </w:rPr>
        <w:instrText xml:space="preserve"> HYPERLINK \l "bookmark=id.2367nm2" \h </w:instrText>
      </w:r>
      <w:r w:rsidRPr="00102034">
        <w:rPr>
          <w:rFonts w:ascii="Calibri" w:eastAsia="Calibri" w:hAnsi="Calibri" w:cs="Calibri"/>
          <w:sz w:val="22"/>
          <w:szCs w:val="22"/>
          <w:lang w:eastAsia="en-GB"/>
        </w:rPr>
        <w:fldChar w:fldCharType="separate"/>
      </w:r>
      <w:r w:rsidRPr="00102034">
        <w:rPr>
          <w:rFonts w:eastAsia="Arial" w:cs="Arial"/>
          <w:color w:val="0000FF"/>
          <w:szCs w:val="24"/>
          <w:u w:val="single"/>
          <w:lang w:eastAsia="en-GB"/>
        </w:rPr>
        <w:t>FN4</w:t>
      </w:r>
      <w:r w:rsidRPr="00102034">
        <w:rPr>
          <w:rFonts w:eastAsia="Arial" w:cs="Arial"/>
          <w:color w:val="0000FF"/>
          <w:szCs w:val="24"/>
          <w:u w:val="single"/>
          <w:lang w:eastAsia="en-GB"/>
        </w:rPr>
        <w:fldChar w:fldCharType="end"/>
      </w:r>
      <w:r w:rsidRPr="00102034">
        <w:rPr>
          <w:rFonts w:eastAsia="Arial" w:cs="Arial"/>
          <w:color w:val="000000"/>
          <w:szCs w:val="24"/>
          <w:lang w:eastAsia="en-GB"/>
        </w:rPr>
        <w:t>: The Agreement on the European Economic Area (EEA Agreement) provides for the extension of the European Union’s internal market to the three EEA States Iceland, Liechtenstein and Norway. The Union data protection legislation, including Regulation (EU) 2016/679, is covered by the EEA Agreement and has been incorporated into Annex XI thereto. Therefore, any disclosure by the data importer to a third party located in the EEA does not qualify as an onward transfer for the purpose of these Clauses.</w:t>
      </w:r>
    </w:p>
    <w:bookmarkStart w:id="3475" w:name="bookmark=id.2pmwsxc" w:colFirst="0" w:colLast="0"/>
    <w:bookmarkEnd w:id="3475"/>
    <w:p w14:paraId="34759B9A" w14:textId="77777777" w:rsidR="00F67E9E" w:rsidRPr="00102034" w:rsidRDefault="00F67E9E" w:rsidP="00F67E9E">
      <w:pPr>
        <w:pBdr>
          <w:top w:val="nil"/>
          <w:left w:val="nil"/>
          <w:bottom w:val="nil"/>
          <w:right w:val="nil"/>
          <w:between w:val="nil"/>
        </w:pBdr>
        <w:spacing w:before="240" w:after="240"/>
        <w:ind w:firstLine="1440"/>
        <w:rPr>
          <w:rFonts w:eastAsia="Arial" w:cs="Arial"/>
          <w:color w:val="000000"/>
          <w:szCs w:val="24"/>
          <w:lang w:eastAsia="en-GB"/>
        </w:rPr>
      </w:pPr>
      <w:r w:rsidRPr="00102034">
        <w:rPr>
          <w:rFonts w:ascii="Calibri" w:eastAsia="Calibri" w:hAnsi="Calibri" w:cs="Calibri"/>
          <w:sz w:val="22"/>
          <w:szCs w:val="22"/>
          <w:lang w:eastAsia="en-GB"/>
        </w:rPr>
        <w:fldChar w:fldCharType="begin"/>
      </w:r>
      <w:r w:rsidRPr="00102034">
        <w:rPr>
          <w:rFonts w:ascii="Calibri" w:eastAsia="Calibri" w:hAnsi="Calibri" w:cs="Calibri"/>
          <w:sz w:val="22"/>
          <w:szCs w:val="22"/>
          <w:lang w:eastAsia="en-GB"/>
        </w:rPr>
        <w:instrText xml:space="preserve"> HYPERLINK \l "bookmark=id.ng1svc" \h </w:instrText>
      </w:r>
      <w:r w:rsidRPr="00102034">
        <w:rPr>
          <w:rFonts w:ascii="Calibri" w:eastAsia="Calibri" w:hAnsi="Calibri" w:cs="Calibri"/>
          <w:sz w:val="22"/>
          <w:szCs w:val="22"/>
          <w:lang w:eastAsia="en-GB"/>
        </w:rPr>
        <w:fldChar w:fldCharType="separate"/>
      </w:r>
      <w:r w:rsidRPr="00102034">
        <w:rPr>
          <w:rFonts w:eastAsia="Arial" w:cs="Arial"/>
          <w:color w:val="0000FF"/>
          <w:szCs w:val="24"/>
          <w:u w:val="single"/>
          <w:lang w:eastAsia="en-GB"/>
        </w:rPr>
        <w:t>FN8</w:t>
      </w:r>
      <w:r w:rsidRPr="00102034">
        <w:rPr>
          <w:rFonts w:eastAsia="Arial" w:cs="Arial"/>
          <w:color w:val="0000FF"/>
          <w:szCs w:val="24"/>
          <w:u w:val="single"/>
          <w:lang w:eastAsia="en-GB"/>
        </w:rPr>
        <w:fldChar w:fldCharType="end"/>
      </w:r>
      <w:r w:rsidRPr="00102034">
        <w:rPr>
          <w:rFonts w:eastAsia="Arial" w:cs="Arial"/>
          <w:color w:val="000000"/>
          <w:szCs w:val="24"/>
          <w:lang w:eastAsia="en-GB"/>
        </w:rPr>
        <w:t>: This requirement may be satisfied by the sub-processor acceding to these Clauses under the appropriate Module, in accordance with Clause 7.</w:t>
      </w:r>
    </w:p>
    <w:bookmarkStart w:id="3476" w:name="bookmark=id.14s7355" w:colFirst="0" w:colLast="0"/>
    <w:bookmarkEnd w:id="3476"/>
    <w:p w14:paraId="1EDF2C01" w14:textId="77777777" w:rsidR="00F67E9E" w:rsidRPr="00102034" w:rsidRDefault="00F67E9E" w:rsidP="00F67E9E">
      <w:pPr>
        <w:pBdr>
          <w:top w:val="nil"/>
          <w:left w:val="nil"/>
          <w:bottom w:val="nil"/>
          <w:right w:val="nil"/>
          <w:between w:val="nil"/>
        </w:pBdr>
        <w:spacing w:before="240" w:after="240"/>
        <w:ind w:firstLine="1440"/>
        <w:rPr>
          <w:rFonts w:eastAsia="Arial" w:cs="Arial"/>
          <w:color w:val="000000"/>
          <w:szCs w:val="24"/>
          <w:lang w:eastAsia="en-GB"/>
        </w:rPr>
      </w:pPr>
      <w:r w:rsidRPr="00102034">
        <w:rPr>
          <w:rFonts w:ascii="Calibri" w:eastAsia="Calibri" w:hAnsi="Calibri" w:cs="Calibri"/>
          <w:sz w:val="22"/>
          <w:szCs w:val="22"/>
          <w:lang w:eastAsia="en-GB"/>
        </w:rPr>
        <w:fldChar w:fldCharType="begin"/>
      </w:r>
      <w:r w:rsidRPr="00102034">
        <w:rPr>
          <w:rFonts w:ascii="Calibri" w:eastAsia="Calibri" w:hAnsi="Calibri" w:cs="Calibri"/>
          <w:sz w:val="22"/>
          <w:szCs w:val="22"/>
          <w:lang w:eastAsia="en-GB"/>
        </w:rPr>
        <w:instrText xml:space="preserve"> HYPERLINK \l "bookmark=id.3qg2avn" \h </w:instrText>
      </w:r>
      <w:r w:rsidRPr="00102034">
        <w:rPr>
          <w:rFonts w:ascii="Calibri" w:eastAsia="Calibri" w:hAnsi="Calibri" w:cs="Calibri"/>
          <w:sz w:val="22"/>
          <w:szCs w:val="22"/>
          <w:lang w:eastAsia="en-GB"/>
        </w:rPr>
        <w:fldChar w:fldCharType="separate"/>
      </w:r>
      <w:r w:rsidRPr="00102034">
        <w:rPr>
          <w:rFonts w:eastAsia="Arial" w:cs="Arial"/>
          <w:color w:val="0000FF"/>
          <w:szCs w:val="24"/>
          <w:u w:val="single"/>
          <w:lang w:eastAsia="en-GB"/>
        </w:rPr>
        <w:t>FN11</w:t>
      </w:r>
      <w:r w:rsidRPr="00102034">
        <w:rPr>
          <w:rFonts w:eastAsia="Arial" w:cs="Arial"/>
          <w:color w:val="0000FF"/>
          <w:szCs w:val="24"/>
          <w:u w:val="single"/>
          <w:lang w:eastAsia="en-GB"/>
        </w:rPr>
        <w:fldChar w:fldCharType="end"/>
      </w:r>
      <w:r w:rsidRPr="00102034">
        <w:rPr>
          <w:rFonts w:eastAsia="Arial" w:cs="Arial"/>
          <w:color w:val="000000"/>
          <w:szCs w:val="24"/>
          <w:lang w:eastAsia="en-GB"/>
        </w:rPr>
        <w:t>: The data importer may offer independent dispute resolution through an arbitration body only if it is established in a country that has ratified the New York Convention on Enforcement of Arbitration Awards.</w:t>
      </w:r>
    </w:p>
    <w:bookmarkStart w:id="3477" w:name="bookmark=id.3orulsy" w:colFirst="0" w:colLast="0"/>
    <w:bookmarkEnd w:id="3477"/>
    <w:p w14:paraId="72A7D9A8" w14:textId="77777777" w:rsidR="00F67E9E" w:rsidRPr="00102034" w:rsidRDefault="00F67E9E" w:rsidP="00F67E9E">
      <w:pPr>
        <w:pBdr>
          <w:top w:val="nil"/>
          <w:left w:val="nil"/>
          <w:bottom w:val="nil"/>
          <w:right w:val="nil"/>
          <w:between w:val="nil"/>
        </w:pBdr>
        <w:spacing w:before="240" w:after="240"/>
        <w:ind w:firstLine="1440"/>
        <w:rPr>
          <w:rFonts w:eastAsia="Arial" w:cs="Arial"/>
          <w:color w:val="000000"/>
          <w:szCs w:val="24"/>
          <w:lang w:eastAsia="en-GB"/>
        </w:rPr>
      </w:pPr>
      <w:r w:rsidRPr="00102034">
        <w:rPr>
          <w:rFonts w:ascii="Calibri" w:eastAsia="Calibri" w:hAnsi="Calibri" w:cs="Calibri"/>
          <w:sz w:val="22"/>
          <w:szCs w:val="22"/>
          <w:lang w:eastAsia="en-GB"/>
        </w:rPr>
        <w:fldChar w:fldCharType="begin"/>
      </w:r>
      <w:r w:rsidRPr="00102034">
        <w:rPr>
          <w:rFonts w:ascii="Calibri" w:eastAsia="Calibri" w:hAnsi="Calibri" w:cs="Calibri"/>
          <w:sz w:val="22"/>
          <w:szCs w:val="22"/>
          <w:lang w:eastAsia="en-GB"/>
        </w:rPr>
        <w:instrText xml:space="preserve"> HYPERLINK \l "bookmark=id.3v3yxl4" \h </w:instrText>
      </w:r>
      <w:r w:rsidRPr="00102034">
        <w:rPr>
          <w:rFonts w:ascii="Calibri" w:eastAsia="Calibri" w:hAnsi="Calibri" w:cs="Calibri"/>
          <w:sz w:val="22"/>
          <w:szCs w:val="22"/>
          <w:lang w:eastAsia="en-GB"/>
        </w:rPr>
        <w:fldChar w:fldCharType="separate"/>
      </w:r>
      <w:r w:rsidRPr="00102034">
        <w:rPr>
          <w:rFonts w:eastAsia="Arial" w:cs="Arial"/>
          <w:color w:val="0000FF"/>
          <w:szCs w:val="24"/>
          <w:u w:val="single"/>
          <w:lang w:eastAsia="en-GB"/>
        </w:rPr>
        <w:t>FN12</w:t>
      </w:r>
      <w:r w:rsidRPr="00102034">
        <w:rPr>
          <w:rFonts w:eastAsia="Arial" w:cs="Arial"/>
          <w:color w:val="0000FF"/>
          <w:szCs w:val="24"/>
          <w:u w:val="single"/>
          <w:lang w:eastAsia="en-GB"/>
        </w:rPr>
        <w:fldChar w:fldCharType="end"/>
      </w:r>
      <w:r w:rsidRPr="00102034">
        <w:rPr>
          <w:rFonts w:eastAsia="Arial" w:cs="Arial"/>
          <w:color w:val="000000"/>
          <w:szCs w:val="24"/>
          <w:lang w:eastAsia="en-GB"/>
        </w:rPr>
        <w:t>: As regards the impact of such laws and practices on compliance with these Clauses, different elements may be considered as part of an overall assessment. Such elements may include relevant and documented practical experience with prior instances of requests for disclosure from public authorities, or the absence of such requests, covering a sufficiently representative time-frame. This refers in particular to internal records or other documentation, drawn up on a continuous basis in accordance with due diligence and certified at senior management level, provided that this information can be lawfully shared with third parties. Where this practical experience is relied upon to conclude that the data importer will not be prevented from complying with these Clauses, it needs to be supported by other relevant, objective elements, and it is for the Parties to consider carefully whether these elements together carry sufficient weight, in terms of their reliability and representativeness, to support this conclusion. In particular, the Parties have to take into account whether their practical experience is corroborated and not contradicted by publicly available or otherwise accessible, reliable information on the existence or absence of requests within the same sector and/or the application of the law in practice, such as case law and reports by independent oversight bodies.</w:t>
      </w:r>
    </w:p>
    <w:p w14:paraId="2C56042F" w14:textId="77777777" w:rsidR="00F67E9E" w:rsidRPr="00102034" w:rsidRDefault="00F67E9E" w:rsidP="00F67E9E">
      <w:pPr>
        <w:pageBreakBefore/>
        <w:pBdr>
          <w:top w:val="nil"/>
          <w:left w:val="nil"/>
          <w:bottom w:val="nil"/>
          <w:right w:val="nil"/>
          <w:between w:val="nil"/>
        </w:pBdr>
        <w:spacing w:before="120"/>
        <w:jc w:val="center"/>
        <w:rPr>
          <w:rFonts w:eastAsia="Arial" w:cs="Arial"/>
          <w:b/>
          <w:color w:val="000000"/>
          <w:szCs w:val="24"/>
          <w:lang w:eastAsia="en-GB"/>
        </w:rPr>
      </w:pPr>
      <w:bookmarkStart w:id="3478" w:name="Schedule_31_PartB_Annex3_PartB_Appendix"/>
      <w:r w:rsidRPr="00102034">
        <w:rPr>
          <w:rFonts w:eastAsia="Arial" w:cs="Arial"/>
          <w:b/>
          <w:color w:val="000000"/>
          <w:szCs w:val="24"/>
          <w:lang w:eastAsia="en-GB"/>
        </w:rPr>
        <w:t>APPENDIX</w:t>
      </w:r>
      <w:bookmarkEnd w:id="3478"/>
    </w:p>
    <w:p w14:paraId="7AEB462E" w14:textId="77777777" w:rsidR="00F67E9E" w:rsidRPr="00102034" w:rsidRDefault="00F67E9E" w:rsidP="00F67E9E">
      <w:pPr>
        <w:pBdr>
          <w:top w:val="nil"/>
          <w:left w:val="nil"/>
          <w:bottom w:val="nil"/>
          <w:right w:val="nil"/>
          <w:between w:val="nil"/>
        </w:pBdr>
        <w:spacing w:before="120"/>
        <w:rPr>
          <w:rFonts w:eastAsia="Arial" w:cs="Arial"/>
          <w:color w:val="000000"/>
          <w:szCs w:val="24"/>
          <w:lang w:eastAsia="en-GB"/>
        </w:rPr>
      </w:pPr>
    </w:p>
    <w:tbl>
      <w:tblPr>
        <w:tblW w:w="9810" w:type="dxa"/>
        <w:tblBorders>
          <w:top w:val="nil"/>
          <w:left w:val="nil"/>
          <w:bottom w:val="nil"/>
          <w:right w:val="nil"/>
          <w:insideH w:val="nil"/>
          <w:insideV w:val="nil"/>
        </w:tblBorders>
        <w:tblLayout w:type="fixed"/>
        <w:tblLook w:val="0400" w:firstRow="0" w:lastRow="0" w:firstColumn="0" w:lastColumn="0" w:noHBand="0" w:noVBand="1"/>
      </w:tblPr>
      <w:tblGrid>
        <w:gridCol w:w="9810"/>
      </w:tblGrid>
      <w:tr w:rsidR="00F67E9E" w:rsidRPr="00102034" w14:paraId="2294757B" w14:textId="77777777" w:rsidTr="007F74AA">
        <w:tc>
          <w:tcPr>
            <w:tcW w:w="9810" w:type="dxa"/>
          </w:tcPr>
          <w:p w14:paraId="2EF03B03" w14:textId="77777777" w:rsidR="00F67E9E" w:rsidRPr="00102034" w:rsidRDefault="00F67E9E" w:rsidP="007F74AA">
            <w:pPr>
              <w:pBdr>
                <w:top w:val="nil"/>
                <w:left w:val="nil"/>
                <w:bottom w:val="nil"/>
                <w:right w:val="nil"/>
                <w:between w:val="nil"/>
              </w:pBdr>
              <w:spacing w:before="120"/>
              <w:rPr>
                <w:rFonts w:eastAsia="Arial" w:cs="Arial"/>
                <w:b/>
                <w:color w:val="000000"/>
                <w:szCs w:val="24"/>
                <w:lang w:eastAsia="en-GB"/>
              </w:rPr>
            </w:pPr>
            <w:r w:rsidRPr="00102034">
              <w:rPr>
                <w:rFonts w:eastAsia="Arial" w:cs="Arial"/>
                <w:color w:val="000000"/>
                <w:szCs w:val="24"/>
                <w:lang w:eastAsia="en-GB"/>
              </w:rPr>
              <w:t>EXPLANATORY NOTE:</w:t>
            </w:r>
          </w:p>
          <w:p w14:paraId="5114B5EF" w14:textId="77777777" w:rsidR="00F67E9E" w:rsidRPr="00102034" w:rsidRDefault="00F67E9E" w:rsidP="007F74AA">
            <w:pPr>
              <w:pBdr>
                <w:top w:val="nil"/>
                <w:left w:val="nil"/>
                <w:bottom w:val="nil"/>
                <w:right w:val="nil"/>
                <w:between w:val="nil"/>
              </w:pBdr>
              <w:spacing w:before="120"/>
              <w:rPr>
                <w:rFonts w:eastAsia="Arial" w:cs="Arial"/>
                <w:b/>
                <w:color w:val="000000"/>
                <w:szCs w:val="24"/>
                <w:lang w:eastAsia="en-GB"/>
              </w:rPr>
            </w:pPr>
            <w:r w:rsidRPr="00102034">
              <w:rPr>
                <w:rFonts w:eastAsia="Arial" w:cs="Arial"/>
                <w:color w:val="000000"/>
                <w:szCs w:val="24"/>
                <w:lang w:eastAsia="en-GB"/>
              </w:rPr>
              <w:t>It must be possible to clearly distinguish the information applicable to each transfer or category of transfers and, in this regard, to determine the respective role(s) of the Parties as data exporter(s) and/or data importer(s). This does not necessarily require completing and signing separate appendices for each transfer/category of transfers and/or contractual relationship, where this transparency can achieved through one appendix. However, where necessary to ensure sufficient clarity, separate appendices should be used.</w:t>
            </w:r>
          </w:p>
        </w:tc>
      </w:tr>
    </w:tbl>
    <w:p w14:paraId="346BB97D" w14:textId="77777777" w:rsidR="00F67E9E" w:rsidRPr="00102034" w:rsidRDefault="00F67E9E" w:rsidP="00F67E9E">
      <w:pPr>
        <w:pBdr>
          <w:top w:val="nil"/>
          <w:left w:val="nil"/>
          <w:bottom w:val="nil"/>
          <w:right w:val="nil"/>
          <w:between w:val="nil"/>
        </w:pBdr>
        <w:spacing w:before="120"/>
        <w:rPr>
          <w:rFonts w:eastAsia="Arial" w:cs="Arial"/>
          <w:color w:val="000000"/>
          <w:szCs w:val="24"/>
          <w:lang w:eastAsia="en-GB"/>
        </w:rPr>
      </w:pPr>
    </w:p>
    <w:p w14:paraId="23B7C708" w14:textId="77777777" w:rsidR="00F67E9E" w:rsidRPr="00102034" w:rsidRDefault="00F67E9E" w:rsidP="00F67E9E">
      <w:pPr>
        <w:pageBreakBefore/>
        <w:pBdr>
          <w:top w:val="nil"/>
          <w:left w:val="nil"/>
          <w:bottom w:val="nil"/>
          <w:right w:val="nil"/>
          <w:between w:val="nil"/>
        </w:pBdr>
        <w:spacing w:before="120"/>
        <w:jc w:val="center"/>
        <w:rPr>
          <w:rFonts w:eastAsia="Arial" w:cs="Arial"/>
          <w:b/>
          <w:color w:val="000000"/>
          <w:szCs w:val="24"/>
          <w:lang w:eastAsia="en-GB"/>
        </w:rPr>
      </w:pPr>
      <w:r w:rsidRPr="00102034">
        <w:rPr>
          <w:rFonts w:eastAsia="Arial" w:cs="Arial"/>
          <w:b/>
          <w:color w:val="000000"/>
          <w:szCs w:val="24"/>
          <w:lang w:eastAsia="en-GB"/>
        </w:rPr>
        <w:t xml:space="preserve">ANNEX </w:t>
      </w:r>
      <w:bookmarkStart w:id="3479" w:name="bookmark=id.23x4w0r" w:colFirst="0" w:colLast="0"/>
      <w:bookmarkEnd w:id="3479"/>
      <w:r w:rsidRPr="00102034">
        <w:rPr>
          <w:rFonts w:eastAsia="Arial" w:cs="Arial"/>
          <w:b/>
          <w:color w:val="000000"/>
          <w:szCs w:val="24"/>
          <w:lang w:eastAsia="en-GB"/>
        </w:rPr>
        <w:t>I</w:t>
      </w:r>
    </w:p>
    <w:p w14:paraId="5C5B307B" w14:textId="77777777" w:rsidR="00F67E9E" w:rsidRPr="00102034" w:rsidRDefault="00F67E9E" w:rsidP="00F67E9E">
      <w:pPr>
        <w:pBdr>
          <w:top w:val="nil"/>
          <w:left w:val="nil"/>
          <w:bottom w:val="nil"/>
          <w:right w:val="nil"/>
          <w:between w:val="nil"/>
        </w:pBdr>
        <w:tabs>
          <w:tab w:val="left" w:pos="720"/>
        </w:tabs>
        <w:spacing w:before="240" w:after="240"/>
        <w:rPr>
          <w:rFonts w:eastAsia="Arial" w:cs="Arial"/>
          <w:b/>
          <w:color w:val="000000"/>
          <w:szCs w:val="24"/>
          <w:lang w:eastAsia="en-GB"/>
        </w:rPr>
      </w:pPr>
      <w:bookmarkStart w:id="3480" w:name="bookmark=id.j2f68k" w:colFirst="0" w:colLast="0"/>
      <w:bookmarkEnd w:id="3480"/>
      <w:r w:rsidRPr="00102034">
        <w:rPr>
          <w:rFonts w:eastAsia="Arial" w:cs="Arial"/>
          <w:b/>
          <w:color w:val="000000"/>
          <w:szCs w:val="24"/>
          <w:lang w:eastAsia="en-GB"/>
        </w:rPr>
        <w:t xml:space="preserve">A. </w:t>
      </w:r>
      <w:r>
        <w:rPr>
          <w:rFonts w:eastAsia="Arial" w:cs="Arial"/>
          <w:b/>
          <w:color w:val="000000"/>
          <w:szCs w:val="24"/>
          <w:lang w:eastAsia="en-GB"/>
        </w:rPr>
        <w:tab/>
      </w:r>
      <w:r w:rsidRPr="00102034">
        <w:rPr>
          <w:rFonts w:eastAsia="Arial" w:cs="Arial"/>
          <w:b/>
          <w:color w:val="000000"/>
          <w:szCs w:val="24"/>
          <w:lang w:eastAsia="en-GB"/>
        </w:rPr>
        <w:t>LIST OF PARTIES</w:t>
      </w:r>
    </w:p>
    <w:p w14:paraId="315FCFD4" w14:textId="77777777" w:rsidR="00F67E9E" w:rsidRPr="00102034" w:rsidRDefault="00F67E9E" w:rsidP="00F67E9E">
      <w:pPr>
        <w:pBdr>
          <w:top w:val="nil"/>
          <w:left w:val="nil"/>
          <w:bottom w:val="nil"/>
          <w:right w:val="nil"/>
          <w:between w:val="nil"/>
        </w:pBdr>
        <w:spacing w:before="240" w:after="240"/>
        <w:ind w:left="720"/>
        <w:rPr>
          <w:rFonts w:eastAsia="Arial" w:cs="Arial"/>
          <w:color w:val="000000"/>
          <w:szCs w:val="24"/>
          <w:lang w:eastAsia="en-GB"/>
        </w:rPr>
      </w:pPr>
      <w:r w:rsidRPr="00102034">
        <w:rPr>
          <w:rFonts w:eastAsia="Arial" w:cs="Arial"/>
          <w:b/>
          <w:color w:val="000000"/>
          <w:szCs w:val="24"/>
          <w:lang w:eastAsia="en-GB"/>
        </w:rPr>
        <w:t>Data exporter(s):</w:t>
      </w:r>
      <w:r w:rsidRPr="00102034">
        <w:rPr>
          <w:rFonts w:eastAsia="Arial" w:cs="Arial"/>
          <w:color w:val="000000"/>
          <w:szCs w:val="24"/>
          <w:lang w:eastAsia="en-GB"/>
        </w:rPr>
        <w:t xml:space="preserve"> [</w:t>
      </w:r>
      <w:r w:rsidRPr="00102034">
        <w:rPr>
          <w:rFonts w:eastAsia="Arial" w:cs="Arial"/>
          <w:i/>
          <w:color w:val="000000"/>
          <w:szCs w:val="24"/>
          <w:lang w:eastAsia="en-GB"/>
        </w:rPr>
        <w:t>Identity and contact details of the data exporter(s) and, where applicable, of its/their data protection officer and/or representative in the European Union</w:t>
      </w:r>
      <w:r w:rsidRPr="00102034">
        <w:rPr>
          <w:rFonts w:eastAsia="Arial" w:cs="Arial"/>
          <w:color w:val="000000"/>
          <w:szCs w:val="24"/>
          <w:lang w:eastAsia="en-GB"/>
        </w:rPr>
        <w:t>]</w:t>
      </w:r>
    </w:p>
    <w:p w14:paraId="43B4B622" w14:textId="77777777" w:rsidR="00F67E9E" w:rsidRPr="00102034" w:rsidRDefault="00F67E9E" w:rsidP="00F67E9E">
      <w:pPr>
        <w:pBdr>
          <w:top w:val="nil"/>
          <w:left w:val="nil"/>
          <w:bottom w:val="nil"/>
          <w:right w:val="nil"/>
          <w:between w:val="nil"/>
        </w:pBdr>
        <w:tabs>
          <w:tab w:val="left" w:pos="2880"/>
        </w:tabs>
        <w:spacing w:before="120" w:after="240"/>
        <w:ind w:left="720" w:firstLine="1440"/>
        <w:rPr>
          <w:rFonts w:eastAsia="Arial" w:cs="Arial"/>
          <w:color w:val="000000"/>
          <w:szCs w:val="24"/>
          <w:lang w:eastAsia="en-GB"/>
        </w:rPr>
      </w:pPr>
      <w:bookmarkStart w:id="3481" w:name="bookmark=id.1i7cz46" w:colFirst="0" w:colLast="0"/>
      <w:bookmarkEnd w:id="3481"/>
      <w:r w:rsidRPr="00102034">
        <w:rPr>
          <w:rFonts w:eastAsia="Arial" w:cs="Arial"/>
          <w:color w:val="000000"/>
          <w:szCs w:val="24"/>
          <w:lang w:eastAsia="en-GB"/>
        </w:rPr>
        <w:t xml:space="preserve">1. </w:t>
      </w:r>
      <w:r>
        <w:rPr>
          <w:rFonts w:eastAsia="Arial" w:cs="Arial"/>
          <w:color w:val="000000"/>
          <w:szCs w:val="24"/>
          <w:lang w:eastAsia="en-GB"/>
        </w:rPr>
        <w:tab/>
      </w:r>
      <w:r w:rsidRPr="00102034">
        <w:rPr>
          <w:rFonts w:eastAsia="Arial" w:cs="Arial"/>
          <w:color w:val="000000"/>
          <w:szCs w:val="24"/>
          <w:lang w:eastAsia="en-GB"/>
        </w:rPr>
        <w:t>Name: …</w:t>
      </w:r>
      <w:r>
        <w:rPr>
          <w:rFonts w:eastAsia="Arial" w:cs="Arial"/>
          <w:color w:val="000000"/>
          <w:szCs w:val="24"/>
          <w:lang w:eastAsia="en-GB"/>
        </w:rPr>
        <w:t>………………….</w:t>
      </w:r>
    </w:p>
    <w:p w14:paraId="06BC0016" w14:textId="77777777" w:rsidR="00F67E9E" w:rsidRPr="00102034" w:rsidRDefault="00F67E9E" w:rsidP="00F67E9E">
      <w:pPr>
        <w:pBdr>
          <w:top w:val="nil"/>
          <w:left w:val="nil"/>
          <w:bottom w:val="nil"/>
          <w:right w:val="nil"/>
          <w:between w:val="nil"/>
        </w:pBdr>
        <w:spacing w:before="120" w:after="240"/>
        <w:ind w:left="1440" w:firstLine="1440"/>
        <w:rPr>
          <w:rFonts w:eastAsia="Arial" w:cs="Arial"/>
          <w:color w:val="000000"/>
          <w:szCs w:val="24"/>
          <w:lang w:eastAsia="en-GB"/>
        </w:rPr>
      </w:pPr>
      <w:r w:rsidRPr="00102034">
        <w:rPr>
          <w:rFonts w:eastAsia="Arial" w:cs="Arial"/>
          <w:color w:val="000000"/>
          <w:szCs w:val="24"/>
          <w:lang w:eastAsia="en-GB"/>
        </w:rPr>
        <w:t>Address: …</w:t>
      </w:r>
      <w:r>
        <w:rPr>
          <w:rFonts w:eastAsia="Arial" w:cs="Arial"/>
          <w:color w:val="000000"/>
          <w:szCs w:val="24"/>
          <w:lang w:eastAsia="en-GB"/>
        </w:rPr>
        <w:t>………………….</w:t>
      </w:r>
    </w:p>
    <w:p w14:paraId="755BF546" w14:textId="77777777" w:rsidR="00F67E9E" w:rsidRPr="00102034" w:rsidRDefault="00F67E9E" w:rsidP="00F67E9E">
      <w:pPr>
        <w:pBdr>
          <w:top w:val="nil"/>
          <w:left w:val="nil"/>
          <w:bottom w:val="nil"/>
          <w:right w:val="nil"/>
          <w:between w:val="nil"/>
        </w:pBdr>
        <w:spacing w:before="120" w:after="240"/>
        <w:ind w:left="1440" w:firstLine="1440"/>
        <w:rPr>
          <w:rFonts w:eastAsia="Arial" w:cs="Arial"/>
          <w:color w:val="000000"/>
          <w:szCs w:val="24"/>
          <w:lang w:eastAsia="en-GB"/>
        </w:rPr>
      </w:pPr>
      <w:r w:rsidRPr="00102034">
        <w:rPr>
          <w:rFonts w:eastAsia="Arial" w:cs="Arial"/>
          <w:color w:val="000000"/>
          <w:szCs w:val="24"/>
          <w:lang w:eastAsia="en-GB"/>
        </w:rPr>
        <w:t xml:space="preserve">Contact person's name, position and contact details: </w:t>
      </w:r>
      <w:r>
        <w:rPr>
          <w:rFonts w:eastAsia="Arial" w:cs="Arial"/>
          <w:color w:val="000000"/>
          <w:szCs w:val="24"/>
          <w:lang w:eastAsia="en-GB"/>
        </w:rPr>
        <w:t>……………...</w:t>
      </w:r>
      <w:r w:rsidRPr="00102034">
        <w:rPr>
          <w:rFonts w:eastAsia="Arial" w:cs="Arial"/>
          <w:color w:val="000000"/>
          <w:szCs w:val="24"/>
          <w:lang w:eastAsia="en-GB"/>
        </w:rPr>
        <w:t>…</w:t>
      </w:r>
    </w:p>
    <w:p w14:paraId="63DD81DA" w14:textId="77777777" w:rsidR="00F67E9E" w:rsidRPr="00102034" w:rsidRDefault="00F67E9E" w:rsidP="00F67E9E">
      <w:pPr>
        <w:pBdr>
          <w:top w:val="nil"/>
          <w:left w:val="nil"/>
          <w:bottom w:val="nil"/>
          <w:right w:val="nil"/>
          <w:between w:val="nil"/>
        </w:pBdr>
        <w:spacing w:before="120" w:after="240"/>
        <w:ind w:left="1440" w:firstLine="1440"/>
        <w:rPr>
          <w:rFonts w:eastAsia="Arial" w:cs="Arial"/>
          <w:color w:val="000000"/>
          <w:szCs w:val="24"/>
          <w:lang w:eastAsia="en-GB"/>
        </w:rPr>
      </w:pPr>
      <w:r w:rsidRPr="00102034">
        <w:rPr>
          <w:rFonts w:eastAsia="Arial" w:cs="Arial"/>
          <w:color w:val="000000"/>
          <w:szCs w:val="24"/>
          <w:lang w:eastAsia="en-GB"/>
        </w:rPr>
        <w:t xml:space="preserve">Activities relevant to the data transferred under these Clauses: </w:t>
      </w:r>
      <w:r>
        <w:rPr>
          <w:rFonts w:eastAsia="Arial" w:cs="Arial"/>
          <w:color w:val="000000"/>
          <w:szCs w:val="24"/>
          <w:lang w:eastAsia="en-GB"/>
        </w:rPr>
        <w:t>…..</w:t>
      </w:r>
      <w:r w:rsidRPr="00102034">
        <w:rPr>
          <w:rFonts w:eastAsia="Arial" w:cs="Arial"/>
          <w:color w:val="000000"/>
          <w:szCs w:val="24"/>
          <w:lang w:eastAsia="en-GB"/>
        </w:rPr>
        <w:t>…</w:t>
      </w:r>
    </w:p>
    <w:p w14:paraId="43CB791D" w14:textId="77777777" w:rsidR="00F67E9E" w:rsidRPr="00102034" w:rsidRDefault="00F67E9E" w:rsidP="00F67E9E">
      <w:pPr>
        <w:pBdr>
          <w:top w:val="nil"/>
          <w:left w:val="nil"/>
          <w:bottom w:val="nil"/>
          <w:right w:val="nil"/>
          <w:between w:val="nil"/>
        </w:pBdr>
        <w:spacing w:before="120" w:after="240"/>
        <w:ind w:left="1440" w:firstLine="1440"/>
        <w:rPr>
          <w:rFonts w:eastAsia="Arial" w:cs="Arial"/>
          <w:color w:val="000000"/>
          <w:szCs w:val="24"/>
          <w:lang w:eastAsia="en-GB"/>
        </w:rPr>
      </w:pPr>
      <w:r w:rsidRPr="00102034">
        <w:rPr>
          <w:rFonts w:eastAsia="Arial" w:cs="Arial"/>
          <w:color w:val="000000"/>
          <w:szCs w:val="24"/>
          <w:lang w:eastAsia="en-GB"/>
        </w:rPr>
        <w:t xml:space="preserve">Signature and date: </w:t>
      </w:r>
      <w:r>
        <w:rPr>
          <w:rFonts w:eastAsia="Arial" w:cs="Arial"/>
          <w:color w:val="000000"/>
          <w:szCs w:val="24"/>
          <w:lang w:eastAsia="en-GB"/>
        </w:rPr>
        <w:t>………………….</w:t>
      </w:r>
      <w:r w:rsidRPr="00102034">
        <w:rPr>
          <w:rFonts w:eastAsia="Arial" w:cs="Arial"/>
          <w:color w:val="000000"/>
          <w:szCs w:val="24"/>
          <w:lang w:eastAsia="en-GB"/>
        </w:rPr>
        <w:t>…</w:t>
      </w:r>
    </w:p>
    <w:p w14:paraId="6FF21D1B" w14:textId="77777777" w:rsidR="00F67E9E" w:rsidRPr="00102034" w:rsidRDefault="00F67E9E" w:rsidP="00F67E9E">
      <w:pPr>
        <w:pBdr>
          <w:top w:val="nil"/>
          <w:left w:val="nil"/>
          <w:bottom w:val="nil"/>
          <w:right w:val="nil"/>
          <w:between w:val="nil"/>
        </w:pBdr>
        <w:spacing w:before="120" w:after="240"/>
        <w:ind w:left="1440" w:firstLine="1440"/>
        <w:rPr>
          <w:rFonts w:eastAsia="Arial" w:cs="Arial"/>
          <w:color w:val="000000"/>
          <w:szCs w:val="24"/>
          <w:lang w:eastAsia="en-GB"/>
        </w:rPr>
      </w:pPr>
      <w:r w:rsidRPr="00102034">
        <w:rPr>
          <w:rFonts w:eastAsia="Arial" w:cs="Arial"/>
          <w:color w:val="000000"/>
          <w:szCs w:val="24"/>
          <w:lang w:eastAsia="en-GB"/>
        </w:rPr>
        <w:t xml:space="preserve">Role (controller/processor): </w:t>
      </w:r>
      <w:r>
        <w:rPr>
          <w:rFonts w:eastAsia="Arial" w:cs="Arial"/>
          <w:color w:val="000000"/>
          <w:szCs w:val="24"/>
          <w:lang w:eastAsia="en-GB"/>
        </w:rPr>
        <w:t>……………………..</w:t>
      </w:r>
      <w:r w:rsidRPr="00102034">
        <w:rPr>
          <w:rFonts w:eastAsia="Arial" w:cs="Arial"/>
          <w:color w:val="000000"/>
          <w:szCs w:val="24"/>
          <w:lang w:eastAsia="en-GB"/>
        </w:rPr>
        <w:t>…</w:t>
      </w:r>
    </w:p>
    <w:p w14:paraId="36539144" w14:textId="77777777" w:rsidR="00F67E9E" w:rsidRPr="00102034" w:rsidRDefault="00F67E9E" w:rsidP="00F67E9E">
      <w:pPr>
        <w:pBdr>
          <w:top w:val="nil"/>
          <w:left w:val="nil"/>
          <w:bottom w:val="nil"/>
          <w:right w:val="nil"/>
          <w:between w:val="nil"/>
        </w:pBdr>
        <w:spacing w:before="120" w:after="240"/>
        <w:ind w:left="720" w:firstLine="1440"/>
        <w:rPr>
          <w:rFonts w:eastAsia="Arial" w:cs="Arial"/>
          <w:color w:val="000000"/>
          <w:szCs w:val="24"/>
          <w:lang w:eastAsia="en-GB"/>
        </w:rPr>
      </w:pPr>
      <w:r w:rsidRPr="00102034">
        <w:rPr>
          <w:rFonts w:eastAsia="Arial" w:cs="Arial"/>
          <w:color w:val="000000"/>
          <w:szCs w:val="24"/>
          <w:lang w:eastAsia="en-GB"/>
        </w:rPr>
        <w:t xml:space="preserve">2. </w:t>
      </w:r>
      <w:r>
        <w:rPr>
          <w:rFonts w:eastAsia="Arial" w:cs="Arial"/>
          <w:color w:val="000000"/>
          <w:szCs w:val="24"/>
          <w:lang w:eastAsia="en-GB"/>
        </w:rPr>
        <w:tab/>
      </w:r>
      <w:r w:rsidRPr="00102034">
        <w:rPr>
          <w:rFonts w:eastAsia="Arial" w:cs="Arial"/>
          <w:color w:val="000000"/>
          <w:szCs w:val="24"/>
          <w:lang w:eastAsia="en-GB"/>
        </w:rPr>
        <w:t>…</w:t>
      </w:r>
    </w:p>
    <w:p w14:paraId="3EF8AC4E" w14:textId="77777777" w:rsidR="00F67E9E" w:rsidRPr="00102034" w:rsidRDefault="00F67E9E" w:rsidP="00F67E9E">
      <w:pPr>
        <w:pBdr>
          <w:top w:val="nil"/>
          <w:left w:val="nil"/>
          <w:bottom w:val="nil"/>
          <w:right w:val="nil"/>
          <w:between w:val="nil"/>
        </w:pBdr>
        <w:spacing w:before="240" w:after="240"/>
        <w:ind w:left="720"/>
        <w:rPr>
          <w:rFonts w:eastAsia="Arial" w:cs="Arial"/>
          <w:color w:val="000000"/>
          <w:szCs w:val="24"/>
          <w:lang w:eastAsia="en-GB"/>
        </w:rPr>
      </w:pPr>
      <w:r w:rsidRPr="00102034">
        <w:rPr>
          <w:rFonts w:eastAsia="Arial" w:cs="Arial"/>
          <w:b/>
          <w:color w:val="000000"/>
          <w:szCs w:val="24"/>
          <w:lang w:eastAsia="en-GB"/>
        </w:rPr>
        <w:t>Data importer(s):</w:t>
      </w:r>
      <w:r w:rsidRPr="00102034">
        <w:rPr>
          <w:rFonts w:eastAsia="Arial" w:cs="Arial"/>
          <w:color w:val="000000"/>
          <w:szCs w:val="24"/>
          <w:lang w:eastAsia="en-GB"/>
        </w:rPr>
        <w:t xml:space="preserve"> [</w:t>
      </w:r>
      <w:r w:rsidRPr="00102034">
        <w:rPr>
          <w:rFonts w:eastAsia="Arial" w:cs="Arial"/>
          <w:i/>
          <w:color w:val="000000"/>
          <w:szCs w:val="24"/>
          <w:lang w:eastAsia="en-GB"/>
        </w:rPr>
        <w:t>Identity and contact details of the data importer(s), including any contact person with responsibility for data protection</w:t>
      </w:r>
      <w:r w:rsidRPr="00102034">
        <w:rPr>
          <w:rFonts w:eastAsia="Arial" w:cs="Arial"/>
          <w:color w:val="000000"/>
          <w:szCs w:val="24"/>
          <w:lang w:eastAsia="en-GB"/>
        </w:rPr>
        <w:t>]</w:t>
      </w:r>
    </w:p>
    <w:p w14:paraId="64F6F491" w14:textId="77777777" w:rsidR="00F67E9E" w:rsidRPr="00102034" w:rsidRDefault="00F67E9E" w:rsidP="00F67E9E">
      <w:pPr>
        <w:pBdr>
          <w:top w:val="nil"/>
          <w:left w:val="nil"/>
          <w:bottom w:val="nil"/>
          <w:right w:val="nil"/>
          <w:between w:val="nil"/>
        </w:pBdr>
        <w:tabs>
          <w:tab w:val="left" w:pos="2880"/>
        </w:tabs>
        <w:spacing w:before="120" w:after="240"/>
        <w:ind w:left="720" w:firstLine="1440"/>
        <w:rPr>
          <w:rFonts w:eastAsia="Arial" w:cs="Arial"/>
          <w:color w:val="000000"/>
          <w:szCs w:val="24"/>
          <w:lang w:eastAsia="en-GB"/>
        </w:rPr>
      </w:pPr>
      <w:bookmarkStart w:id="3482" w:name="bookmark=id.2hcarzs" w:colFirst="0" w:colLast="0"/>
      <w:bookmarkEnd w:id="3482"/>
      <w:r w:rsidRPr="00102034">
        <w:rPr>
          <w:rFonts w:eastAsia="Arial" w:cs="Arial"/>
          <w:color w:val="000000"/>
          <w:szCs w:val="24"/>
          <w:lang w:eastAsia="en-GB"/>
        </w:rPr>
        <w:t xml:space="preserve">1. </w:t>
      </w:r>
      <w:r>
        <w:rPr>
          <w:rFonts w:eastAsia="Arial" w:cs="Arial"/>
          <w:color w:val="000000"/>
          <w:szCs w:val="24"/>
          <w:lang w:eastAsia="en-GB"/>
        </w:rPr>
        <w:tab/>
      </w:r>
      <w:r w:rsidRPr="00102034">
        <w:rPr>
          <w:rFonts w:eastAsia="Arial" w:cs="Arial"/>
          <w:color w:val="000000"/>
          <w:szCs w:val="24"/>
          <w:lang w:eastAsia="en-GB"/>
        </w:rPr>
        <w:t>Name: …</w:t>
      </w:r>
      <w:r>
        <w:rPr>
          <w:rFonts w:eastAsia="Arial" w:cs="Arial"/>
          <w:color w:val="000000"/>
          <w:szCs w:val="24"/>
          <w:lang w:eastAsia="en-GB"/>
        </w:rPr>
        <w:t>………………….</w:t>
      </w:r>
    </w:p>
    <w:p w14:paraId="71113C69" w14:textId="77777777" w:rsidR="00F67E9E" w:rsidRPr="00102034" w:rsidRDefault="00F67E9E" w:rsidP="00F67E9E">
      <w:pPr>
        <w:pBdr>
          <w:top w:val="nil"/>
          <w:left w:val="nil"/>
          <w:bottom w:val="nil"/>
          <w:right w:val="nil"/>
          <w:between w:val="nil"/>
        </w:pBdr>
        <w:spacing w:before="120" w:after="240"/>
        <w:ind w:left="1440" w:firstLine="1440"/>
        <w:rPr>
          <w:rFonts w:eastAsia="Arial" w:cs="Arial"/>
          <w:color w:val="000000"/>
          <w:szCs w:val="24"/>
          <w:lang w:eastAsia="en-GB"/>
        </w:rPr>
      </w:pPr>
      <w:r w:rsidRPr="00102034">
        <w:rPr>
          <w:rFonts w:eastAsia="Arial" w:cs="Arial"/>
          <w:color w:val="000000"/>
          <w:szCs w:val="24"/>
          <w:lang w:eastAsia="en-GB"/>
        </w:rPr>
        <w:t>Address: …</w:t>
      </w:r>
      <w:r>
        <w:rPr>
          <w:rFonts w:eastAsia="Arial" w:cs="Arial"/>
          <w:color w:val="000000"/>
          <w:szCs w:val="24"/>
          <w:lang w:eastAsia="en-GB"/>
        </w:rPr>
        <w:t>………………….</w:t>
      </w:r>
    </w:p>
    <w:p w14:paraId="3D476AE7" w14:textId="77777777" w:rsidR="00F67E9E" w:rsidRPr="00102034" w:rsidRDefault="00F67E9E" w:rsidP="00F67E9E">
      <w:pPr>
        <w:pBdr>
          <w:top w:val="nil"/>
          <w:left w:val="nil"/>
          <w:bottom w:val="nil"/>
          <w:right w:val="nil"/>
          <w:between w:val="nil"/>
        </w:pBdr>
        <w:spacing w:before="120" w:after="240"/>
        <w:ind w:left="1440" w:firstLine="1440"/>
        <w:rPr>
          <w:rFonts w:eastAsia="Arial" w:cs="Arial"/>
          <w:color w:val="000000"/>
          <w:szCs w:val="24"/>
          <w:lang w:eastAsia="en-GB"/>
        </w:rPr>
      </w:pPr>
      <w:r w:rsidRPr="00102034">
        <w:rPr>
          <w:rFonts w:eastAsia="Arial" w:cs="Arial"/>
          <w:color w:val="000000"/>
          <w:szCs w:val="24"/>
          <w:lang w:eastAsia="en-GB"/>
        </w:rPr>
        <w:t xml:space="preserve">Contact person's name, position and contact details: </w:t>
      </w:r>
      <w:r>
        <w:rPr>
          <w:rFonts w:eastAsia="Arial" w:cs="Arial"/>
          <w:color w:val="000000"/>
          <w:szCs w:val="24"/>
          <w:lang w:eastAsia="en-GB"/>
        </w:rPr>
        <w:t>……………...</w:t>
      </w:r>
      <w:r w:rsidRPr="00102034">
        <w:rPr>
          <w:rFonts w:eastAsia="Arial" w:cs="Arial"/>
          <w:color w:val="000000"/>
          <w:szCs w:val="24"/>
          <w:lang w:eastAsia="en-GB"/>
        </w:rPr>
        <w:t>…</w:t>
      </w:r>
    </w:p>
    <w:p w14:paraId="77DCE2FA" w14:textId="77777777" w:rsidR="00F67E9E" w:rsidRPr="00102034" w:rsidRDefault="00F67E9E" w:rsidP="00F67E9E">
      <w:pPr>
        <w:pBdr>
          <w:top w:val="nil"/>
          <w:left w:val="nil"/>
          <w:bottom w:val="nil"/>
          <w:right w:val="nil"/>
          <w:between w:val="nil"/>
        </w:pBdr>
        <w:spacing w:before="120" w:after="240"/>
        <w:ind w:left="1440" w:firstLine="1440"/>
        <w:rPr>
          <w:rFonts w:eastAsia="Arial" w:cs="Arial"/>
          <w:color w:val="000000"/>
          <w:szCs w:val="24"/>
          <w:lang w:eastAsia="en-GB"/>
        </w:rPr>
      </w:pPr>
      <w:r w:rsidRPr="00102034">
        <w:rPr>
          <w:rFonts w:eastAsia="Arial" w:cs="Arial"/>
          <w:color w:val="000000"/>
          <w:szCs w:val="24"/>
          <w:lang w:eastAsia="en-GB"/>
        </w:rPr>
        <w:t xml:space="preserve">Activities relevant to the data transferred under these Clauses: </w:t>
      </w:r>
      <w:r>
        <w:rPr>
          <w:rFonts w:eastAsia="Arial" w:cs="Arial"/>
          <w:color w:val="000000"/>
          <w:szCs w:val="24"/>
          <w:lang w:eastAsia="en-GB"/>
        </w:rPr>
        <w:t>…..</w:t>
      </w:r>
      <w:r w:rsidRPr="00102034">
        <w:rPr>
          <w:rFonts w:eastAsia="Arial" w:cs="Arial"/>
          <w:color w:val="000000"/>
          <w:szCs w:val="24"/>
          <w:lang w:eastAsia="en-GB"/>
        </w:rPr>
        <w:t>…</w:t>
      </w:r>
    </w:p>
    <w:p w14:paraId="6FFC8076" w14:textId="77777777" w:rsidR="00F67E9E" w:rsidRPr="00102034" w:rsidRDefault="00F67E9E" w:rsidP="00F67E9E">
      <w:pPr>
        <w:pBdr>
          <w:top w:val="nil"/>
          <w:left w:val="nil"/>
          <w:bottom w:val="nil"/>
          <w:right w:val="nil"/>
          <w:between w:val="nil"/>
        </w:pBdr>
        <w:spacing w:before="120" w:after="240"/>
        <w:ind w:left="1440" w:firstLine="1440"/>
        <w:rPr>
          <w:rFonts w:eastAsia="Arial" w:cs="Arial"/>
          <w:color w:val="000000"/>
          <w:szCs w:val="24"/>
          <w:lang w:eastAsia="en-GB"/>
        </w:rPr>
      </w:pPr>
      <w:r w:rsidRPr="00102034">
        <w:rPr>
          <w:rFonts w:eastAsia="Arial" w:cs="Arial"/>
          <w:color w:val="000000"/>
          <w:szCs w:val="24"/>
          <w:lang w:eastAsia="en-GB"/>
        </w:rPr>
        <w:t xml:space="preserve">Signature and date: </w:t>
      </w:r>
      <w:r>
        <w:rPr>
          <w:rFonts w:eastAsia="Arial" w:cs="Arial"/>
          <w:color w:val="000000"/>
          <w:szCs w:val="24"/>
          <w:lang w:eastAsia="en-GB"/>
        </w:rPr>
        <w:t>………………….</w:t>
      </w:r>
      <w:r w:rsidRPr="00102034">
        <w:rPr>
          <w:rFonts w:eastAsia="Arial" w:cs="Arial"/>
          <w:color w:val="000000"/>
          <w:szCs w:val="24"/>
          <w:lang w:eastAsia="en-GB"/>
        </w:rPr>
        <w:t>…</w:t>
      </w:r>
    </w:p>
    <w:p w14:paraId="44D92195" w14:textId="77777777" w:rsidR="00F67E9E" w:rsidRPr="00102034" w:rsidRDefault="00F67E9E" w:rsidP="00F67E9E">
      <w:pPr>
        <w:pBdr>
          <w:top w:val="nil"/>
          <w:left w:val="nil"/>
          <w:bottom w:val="nil"/>
          <w:right w:val="nil"/>
          <w:between w:val="nil"/>
        </w:pBdr>
        <w:spacing w:before="120" w:after="240"/>
        <w:ind w:left="1440" w:firstLine="1440"/>
        <w:rPr>
          <w:rFonts w:eastAsia="Arial" w:cs="Arial"/>
          <w:color w:val="000000"/>
          <w:szCs w:val="24"/>
          <w:lang w:eastAsia="en-GB"/>
        </w:rPr>
      </w:pPr>
      <w:r w:rsidRPr="00102034">
        <w:rPr>
          <w:rFonts w:eastAsia="Arial" w:cs="Arial"/>
          <w:color w:val="000000"/>
          <w:szCs w:val="24"/>
          <w:lang w:eastAsia="en-GB"/>
        </w:rPr>
        <w:t xml:space="preserve">Role (controller/processor): </w:t>
      </w:r>
      <w:r>
        <w:rPr>
          <w:rFonts w:eastAsia="Arial" w:cs="Arial"/>
          <w:color w:val="000000"/>
          <w:szCs w:val="24"/>
          <w:lang w:eastAsia="en-GB"/>
        </w:rPr>
        <w:t>……………………..</w:t>
      </w:r>
      <w:r w:rsidRPr="00102034">
        <w:rPr>
          <w:rFonts w:eastAsia="Arial" w:cs="Arial"/>
          <w:color w:val="000000"/>
          <w:szCs w:val="24"/>
          <w:lang w:eastAsia="en-GB"/>
        </w:rPr>
        <w:t>…</w:t>
      </w:r>
    </w:p>
    <w:p w14:paraId="58EA2E90" w14:textId="77777777" w:rsidR="00F67E9E" w:rsidRPr="00102034" w:rsidRDefault="00F67E9E" w:rsidP="00F67E9E">
      <w:pPr>
        <w:pBdr>
          <w:top w:val="nil"/>
          <w:left w:val="nil"/>
          <w:bottom w:val="nil"/>
          <w:right w:val="nil"/>
          <w:between w:val="nil"/>
        </w:pBdr>
        <w:spacing w:before="120" w:after="240"/>
        <w:ind w:left="720" w:firstLine="1440"/>
        <w:rPr>
          <w:rFonts w:eastAsia="Arial" w:cs="Arial"/>
          <w:color w:val="000000"/>
          <w:szCs w:val="24"/>
          <w:lang w:eastAsia="en-GB"/>
        </w:rPr>
      </w:pPr>
      <w:r w:rsidRPr="00102034">
        <w:rPr>
          <w:rFonts w:eastAsia="Arial" w:cs="Arial"/>
          <w:color w:val="000000"/>
          <w:szCs w:val="24"/>
          <w:lang w:eastAsia="en-GB"/>
        </w:rPr>
        <w:t xml:space="preserve">2. </w:t>
      </w:r>
      <w:r>
        <w:rPr>
          <w:rFonts w:eastAsia="Arial" w:cs="Arial"/>
          <w:color w:val="000000"/>
          <w:szCs w:val="24"/>
          <w:lang w:eastAsia="en-GB"/>
        </w:rPr>
        <w:tab/>
      </w:r>
      <w:r w:rsidRPr="00102034">
        <w:rPr>
          <w:rFonts w:eastAsia="Arial" w:cs="Arial"/>
          <w:color w:val="000000"/>
          <w:szCs w:val="24"/>
          <w:lang w:eastAsia="en-GB"/>
        </w:rPr>
        <w:t>…</w:t>
      </w:r>
    </w:p>
    <w:p w14:paraId="2B09378F" w14:textId="77777777" w:rsidR="00F67E9E" w:rsidRPr="00102034" w:rsidRDefault="00F67E9E" w:rsidP="00F67E9E">
      <w:pPr>
        <w:pBdr>
          <w:top w:val="nil"/>
          <w:left w:val="nil"/>
          <w:bottom w:val="nil"/>
          <w:right w:val="nil"/>
          <w:between w:val="nil"/>
        </w:pBdr>
        <w:tabs>
          <w:tab w:val="left" w:pos="720"/>
        </w:tabs>
        <w:spacing w:before="240" w:after="240"/>
        <w:rPr>
          <w:rFonts w:eastAsia="Arial" w:cs="Arial"/>
          <w:b/>
          <w:color w:val="000000"/>
          <w:szCs w:val="24"/>
          <w:lang w:eastAsia="en-GB"/>
        </w:rPr>
      </w:pPr>
      <w:r w:rsidRPr="00102034">
        <w:rPr>
          <w:rFonts w:eastAsia="Arial" w:cs="Arial"/>
          <w:b/>
          <w:color w:val="000000"/>
          <w:szCs w:val="24"/>
          <w:lang w:eastAsia="en-GB"/>
        </w:rPr>
        <w:t xml:space="preserve">B. </w:t>
      </w:r>
      <w:r>
        <w:rPr>
          <w:rFonts w:eastAsia="Arial" w:cs="Arial"/>
          <w:b/>
          <w:color w:val="000000"/>
          <w:szCs w:val="24"/>
          <w:lang w:eastAsia="en-GB"/>
        </w:rPr>
        <w:tab/>
      </w:r>
      <w:r w:rsidRPr="00102034">
        <w:rPr>
          <w:rFonts w:eastAsia="Arial" w:cs="Arial"/>
          <w:b/>
          <w:color w:val="000000"/>
          <w:szCs w:val="24"/>
          <w:lang w:eastAsia="en-GB"/>
        </w:rPr>
        <w:t>DESCRIPTION OF TRANSFER</w:t>
      </w:r>
    </w:p>
    <w:p w14:paraId="1BA53C59" w14:textId="77777777" w:rsidR="00F67E9E" w:rsidRPr="00102034" w:rsidRDefault="00F67E9E" w:rsidP="00F67E9E">
      <w:pPr>
        <w:pBdr>
          <w:top w:val="nil"/>
          <w:left w:val="nil"/>
          <w:bottom w:val="nil"/>
          <w:right w:val="nil"/>
          <w:between w:val="nil"/>
        </w:pBdr>
        <w:spacing w:before="240" w:after="240"/>
        <w:ind w:left="720"/>
        <w:rPr>
          <w:rFonts w:eastAsia="Arial" w:cs="Arial"/>
          <w:i/>
          <w:color w:val="000000"/>
          <w:szCs w:val="24"/>
          <w:lang w:eastAsia="en-GB"/>
        </w:rPr>
      </w:pPr>
      <w:r w:rsidRPr="00102034">
        <w:rPr>
          <w:rFonts w:eastAsia="Arial" w:cs="Arial"/>
          <w:i/>
          <w:color w:val="000000"/>
          <w:szCs w:val="24"/>
          <w:lang w:eastAsia="en-GB"/>
        </w:rPr>
        <w:t>Categories of data subjects whose personal data is transferred</w:t>
      </w:r>
    </w:p>
    <w:p w14:paraId="2D08DC2E" w14:textId="77777777" w:rsidR="00F67E9E" w:rsidRPr="00102034" w:rsidRDefault="00F67E9E" w:rsidP="00F67E9E">
      <w:pPr>
        <w:pBdr>
          <w:top w:val="nil"/>
          <w:left w:val="nil"/>
          <w:bottom w:val="nil"/>
          <w:right w:val="nil"/>
          <w:between w:val="nil"/>
        </w:pBdr>
        <w:spacing w:before="240" w:after="240"/>
        <w:ind w:firstLine="1440"/>
        <w:rPr>
          <w:rFonts w:eastAsia="Arial" w:cs="Arial"/>
          <w:i/>
          <w:color w:val="000000"/>
          <w:szCs w:val="24"/>
          <w:lang w:eastAsia="en-GB"/>
        </w:rPr>
      </w:pPr>
      <w:r w:rsidRPr="00102034">
        <w:rPr>
          <w:rFonts w:eastAsia="Arial" w:cs="Arial"/>
          <w:i/>
          <w:color w:val="000000"/>
          <w:szCs w:val="24"/>
          <w:lang w:eastAsia="en-GB"/>
        </w:rPr>
        <w:t>…</w:t>
      </w:r>
      <w:r>
        <w:rPr>
          <w:rFonts w:eastAsia="Arial" w:cs="Arial"/>
          <w:i/>
          <w:color w:val="000000"/>
          <w:szCs w:val="24"/>
          <w:lang w:eastAsia="en-GB"/>
        </w:rPr>
        <w:t>……………….</w:t>
      </w:r>
    </w:p>
    <w:p w14:paraId="47F38CE1" w14:textId="77777777" w:rsidR="00F67E9E" w:rsidRPr="00102034" w:rsidRDefault="00F67E9E" w:rsidP="00F67E9E">
      <w:pPr>
        <w:pBdr>
          <w:top w:val="nil"/>
          <w:left w:val="nil"/>
          <w:bottom w:val="nil"/>
          <w:right w:val="nil"/>
          <w:between w:val="nil"/>
        </w:pBdr>
        <w:spacing w:before="240" w:after="240"/>
        <w:ind w:left="720"/>
        <w:rPr>
          <w:rFonts w:eastAsia="Arial" w:cs="Arial"/>
          <w:i/>
          <w:color w:val="000000"/>
          <w:szCs w:val="24"/>
          <w:lang w:eastAsia="en-GB"/>
        </w:rPr>
      </w:pPr>
      <w:r w:rsidRPr="00102034">
        <w:rPr>
          <w:rFonts w:eastAsia="Arial" w:cs="Arial"/>
          <w:i/>
          <w:color w:val="000000"/>
          <w:szCs w:val="24"/>
          <w:lang w:eastAsia="en-GB"/>
        </w:rPr>
        <w:t>Categories of personal data transferred</w:t>
      </w:r>
    </w:p>
    <w:p w14:paraId="6570681B" w14:textId="77777777" w:rsidR="00F67E9E" w:rsidRPr="00102034" w:rsidRDefault="00F67E9E" w:rsidP="00F67E9E">
      <w:pPr>
        <w:pBdr>
          <w:top w:val="nil"/>
          <w:left w:val="nil"/>
          <w:bottom w:val="nil"/>
          <w:right w:val="nil"/>
          <w:between w:val="nil"/>
        </w:pBdr>
        <w:spacing w:before="240" w:after="240"/>
        <w:ind w:firstLine="1440"/>
        <w:rPr>
          <w:rFonts w:eastAsia="Arial" w:cs="Arial"/>
          <w:i/>
          <w:color w:val="000000"/>
          <w:szCs w:val="24"/>
          <w:lang w:eastAsia="en-GB"/>
        </w:rPr>
      </w:pPr>
      <w:r w:rsidRPr="00102034">
        <w:rPr>
          <w:rFonts w:eastAsia="Arial" w:cs="Arial"/>
          <w:i/>
          <w:color w:val="000000"/>
          <w:szCs w:val="24"/>
          <w:lang w:eastAsia="en-GB"/>
        </w:rPr>
        <w:t>…</w:t>
      </w:r>
      <w:r>
        <w:rPr>
          <w:rFonts w:eastAsia="Arial" w:cs="Arial"/>
          <w:i/>
          <w:color w:val="000000"/>
          <w:szCs w:val="24"/>
          <w:lang w:eastAsia="en-GB"/>
        </w:rPr>
        <w:t>……………….</w:t>
      </w:r>
    </w:p>
    <w:p w14:paraId="2456C1E1" w14:textId="77777777" w:rsidR="00F67E9E" w:rsidRPr="00102034" w:rsidRDefault="00F67E9E" w:rsidP="00F67E9E">
      <w:pPr>
        <w:pBdr>
          <w:top w:val="nil"/>
          <w:left w:val="nil"/>
          <w:bottom w:val="nil"/>
          <w:right w:val="nil"/>
          <w:between w:val="nil"/>
        </w:pBdr>
        <w:spacing w:before="240" w:after="240"/>
        <w:ind w:left="720"/>
        <w:rPr>
          <w:rFonts w:eastAsia="Arial" w:cs="Arial"/>
          <w:i/>
          <w:color w:val="000000"/>
          <w:szCs w:val="24"/>
          <w:lang w:eastAsia="en-GB"/>
        </w:rPr>
      </w:pPr>
      <w:r w:rsidRPr="00102034">
        <w:rPr>
          <w:rFonts w:eastAsia="Arial" w:cs="Arial"/>
          <w:i/>
          <w:color w:val="000000"/>
          <w:szCs w:val="24"/>
          <w:lang w:eastAsia="en-GB"/>
        </w:rPr>
        <w:t>Sensitive data transferred (if applicable) and applied restrictions or safeguards that fully take into consideration the nature of the data and the risks involved, such as for instance strict purpose limitation, access restrictions (including access only for staff having followed specialised training), keeping a record of access to the data, restrictions for onward transfers or additional security measures.</w:t>
      </w:r>
    </w:p>
    <w:p w14:paraId="2F58A80F" w14:textId="77777777" w:rsidR="00F67E9E" w:rsidRPr="00102034" w:rsidRDefault="00F67E9E" w:rsidP="00F67E9E">
      <w:pPr>
        <w:pBdr>
          <w:top w:val="nil"/>
          <w:left w:val="nil"/>
          <w:bottom w:val="nil"/>
          <w:right w:val="nil"/>
          <w:between w:val="nil"/>
        </w:pBdr>
        <w:spacing w:before="240" w:after="240"/>
        <w:ind w:firstLine="1440"/>
        <w:rPr>
          <w:rFonts w:eastAsia="Arial" w:cs="Arial"/>
          <w:i/>
          <w:color w:val="000000"/>
          <w:szCs w:val="24"/>
          <w:lang w:eastAsia="en-GB"/>
        </w:rPr>
      </w:pPr>
      <w:r w:rsidRPr="00102034">
        <w:rPr>
          <w:rFonts w:eastAsia="Arial" w:cs="Arial"/>
          <w:i/>
          <w:color w:val="000000"/>
          <w:szCs w:val="24"/>
          <w:lang w:eastAsia="en-GB"/>
        </w:rPr>
        <w:t>…</w:t>
      </w:r>
      <w:r>
        <w:rPr>
          <w:rFonts w:eastAsia="Arial" w:cs="Arial"/>
          <w:i/>
          <w:color w:val="000000"/>
          <w:szCs w:val="24"/>
          <w:lang w:eastAsia="en-GB"/>
        </w:rPr>
        <w:t>……………….</w:t>
      </w:r>
    </w:p>
    <w:p w14:paraId="773420B0" w14:textId="77777777" w:rsidR="00F67E9E" w:rsidRPr="00102034" w:rsidRDefault="00F67E9E" w:rsidP="00F67E9E">
      <w:pPr>
        <w:pBdr>
          <w:top w:val="nil"/>
          <w:left w:val="nil"/>
          <w:bottom w:val="nil"/>
          <w:right w:val="nil"/>
          <w:between w:val="nil"/>
        </w:pBdr>
        <w:spacing w:before="240" w:after="240"/>
        <w:ind w:left="720"/>
        <w:rPr>
          <w:rFonts w:eastAsia="Arial" w:cs="Arial"/>
          <w:i/>
          <w:color w:val="000000"/>
          <w:szCs w:val="24"/>
          <w:lang w:eastAsia="en-GB"/>
        </w:rPr>
      </w:pPr>
      <w:r w:rsidRPr="00102034">
        <w:rPr>
          <w:rFonts w:eastAsia="Arial" w:cs="Arial"/>
          <w:i/>
          <w:color w:val="000000"/>
          <w:szCs w:val="24"/>
          <w:lang w:eastAsia="en-GB"/>
        </w:rPr>
        <w:t>The frequency of the transfer (e.g. whether the data is transferred on a one-off or continuous basis).</w:t>
      </w:r>
    </w:p>
    <w:p w14:paraId="25D6E697" w14:textId="77777777" w:rsidR="00F67E9E" w:rsidRPr="00102034" w:rsidRDefault="00F67E9E" w:rsidP="00F67E9E">
      <w:pPr>
        <w:pBdr>
          <w:top w:val="nil"/>
          <w:left w:val="nil"/>
          <w:bottom w:val="nil"/>
          <w:right w:val="nil"/>
          <w:between w:val="nil"/>
        </w:pBdr>
        <w:spacing w:before="240" w:after="240"/>
        <w:ind w:firstLine="1440"/>
        <w:rPr>
          <w:rFonts w:eastAsia="Arial" w:cs="Arial"/>
          <w:i/>
          <w:color w:val="000000"/>
          <w:szCs w:val="24"/>
          <w:lang w:eastAsia="en-GB"/>
        </w:rPr>
      </w:pPr>
      <w:r w:rsidRPr="00102034">
        <w:rPr>
          <w:rFonts w:eastAsia="Arial" w:cs="Arial"/>
          <w:i/>
          <w:color w:val="000000"/>
          <w:szCs w:val="24"/>
          <w:lang w:eastAsia="en-GB"/>
        </w:rPr>
        <w:t>…</w:t>
      </w:r>
      <w:r>
        <w:rPr>
          <w:rFonts w:eastAsia="Arial" w:cs="Arial"/>
          <w:i/>
          <w:color w:val="000000"/>
          <w:szCs w:val="24"/>
          <w:lang w:eastAsia="en-GB"/>
        </w:rPr>
        <w:t>……………….</w:t>
      </w:r>
    </w:p>
    <w:p w14:paraId="40590300" w14:textId="77777777" w:rsidR="00F67E9E" w:rsidRPr="00102034" w:rsidRDefault="00F67E9E" w:rsidP="00F67E9E">
      <w:pPr>
        <w:pBdr>
          <w:top w:val="nil"/>
          <w:left w:val="nil"/>
          <w:bottom w:val="nil"/>
          <w:right w:val="nil"/>
          <w:between w:val="nil"/>
        </w:pBdr>
        <w:spacing w:before="240" w:after="240"/>
        <w:ind w:left="720"/>
        <w:rPr>
          <w:rFonts w:eastAsia="Arial" w:cs="Arial"/>
          <w:i/>
          <w:color w:val="000000"/>
          <w:szCs w:val="24"/>
          <w:lang w:eastAsia="en-GB"/>
        </w:rPr>
      </w:pPr>
      <w:r w:rsidRPr="00102034">
        <w:rPr>
          <w:rFonts w:eastAsia="Arial" w:cs="Arial"/>
          <w:i/>
          <w:color w:val="000000"/>
          <w:szCs w:val="24"/>
          <w:lang w:eastAsia="en-GB"/>
        </w:rPr>
        <w:t>Nature of the processing</w:t>
      </w:r>
    </w:p>
    <w:p w14:paraId="31D4F02A" w14:textId="77777777" w:rsidR="00F67E9E" w:rsidRPr="00102034" w:rsidRDefault="00F67E9E" w:rsidP="00F67E9E">
      <w:pPr>
        <w:pBdr>
          <w:top w:val="nil"/>
          <w:left w:val="nil"/>
          <w:bottom w:val="nil"/>
          <w:right w:val="nil"/>
          <w:between w:val="nil"/>
        </w:pBdr>
        <w:spacing w:before="240" w:after="240"/>
        <w:ind w:firstLine="1440"/>
        <w:rPr>
          <w:rFonts w:eastAsia="Arial" w:cs="Arial"/>
          <w:i/>
          <w:color w:val="000000"/>
          <w:szCs w:val="24"/>
          <w:lang w:eastAsia="en-GB"/>
        </w:rPr>
      </w:pPr>
      <w:r w:rsidRPr="00102034">
        <w:rPr>
          <w:rFonts w:eastAsia="Arial" w:cs="Arial"/>
          <w:i/>
          <w:color w:val="000000"/>
          <w:szCs w:val="24"/>
          <w:lang w:eastAsia="en-GB"/>
        </w:rPr>
        <w:t>…</w:t>
      </w:r>
      <w:r>
        <w:rPr>
          <w:rFonts w:eastAsia="Arial" w:cs="Arial"/>
          <w:i/>
          <w:color w:val="000000"/>
          <w:szCs w:val="24"/>
          <w:lang w:eastAsia="en-GB"/>
        </w:rPr>
        <w:t>……………….</w:t>
      </w:r>
    </w:p>
    <w:p w14:paraId="510E5AF1" w14:textId="77777777" w:rsidR="00F67E9E" w:rsidRPr="00102034" w:rsidRDefault="00F67E9E" w:rsidP="00F67E9E">
      <w:pPr>
        <w:pBdr>
          <w:top w:val="nil"/>
          <w:left w:val="nil"/>
          <w:bottom w:val="nil"/>
          <w:right w:val="nil"/>
          <w:between w:val="nil"/>
        </w:pBdr>
        <w:spacing w:before="240" w:after="240"/>
        <w:ind w:left="720"/>
        <w:rPr>
          <w:rFonts w:eastAsia="Arial" w:cs="Arial"/>
          <w:i/>
          <w:color w:val="000000"/>
          <w:szCs w:val="24"/>
          <w:lang w:eastAsia="en-GB"/>
        </w:rPr>
      </w:pPr>
      <w:r w:rsidRPr="00102034">
        <w:rPr>
          <w:rFonts w:eastAsia="Arial" w:cs="Arial"/>
          <w:i/>
          <w:color w:val="000000"/>
          <w:szCs w:val="24"/>
          <w:lang w:eastAsia="en-GB"/>
        </w:rPr>
        <w:t>Purpose(s) of the data transfer and further processing</w:t>
      </w:r>
    </w:p>
    <w:p w14:paraId="2EC3A7AB" w14:textId="77777777" w:rsidR="00F67E9E" w:rsidRPr="00102034" w:rsidRDefault="00F67E9E" w:rsidP="00F67E9E">
      <w:pPr>
        <w:pBdr>
          <w:top w:val="nil"/>
          <w:left w:val="nil"/>
          <w:bottom w:val="nil"/>
          <w:right w:val="nil"/>
          <w:between w:val="nil"/>
        </w:pBdr>
        <w:spacing w:before="240" w:after="240"/>
        <w:ind w:firstLine="1440"/>
        <w:rPr>
          <w:rFonts w:eastAsia="Arial" w:cs="Arial"/>
          <w:i/>
          <w:color w:val="000000"/>
          <w:szCs w:val="24"/>
          <w:lang w:eastAsia="en-GB"/>
        </w:rPr>
      </w:pPr>
      <w:r w:rsidRPr="00102034">
        <w:rPr>
          <w:rFonts w:eastAsia="Arial" w:cs="Arial"/>
          <w:i/>
          <w:color w:val="000000"/>
          <w:szCs w:val="24"/>
          <w:lang w:eastAsia="en-GB"/>
        </w:rPr>
        <w:t>…</w:t>
      </w:r>
      <w:r>
        <w:rPr>
          <w:rFonts w:eastAsia="Arial" w:cs="Arial"/>
          <w:i/>
          <w:color w:val="000000"/>
          <w:szCs w:val="24"/>
          <w:lang w:eastAsia="en-GB"/>
        </w:rPr>
        <w:t>……………….</w:t>
      </w:r>
    </w:p>
    <w:p w14:paraId="230415FA" w14:textId="77777777" w:rsidR="00F67E9E" w:rsidRPr="00102034" w:rsidRDefault="00F67E9E" w:rsidP="00F67E9E">
      <w:pPr>
        <w:pBdr>
          <w:top w:val="nil"/>
          <w:left w:val="nil"/>
          <w:bottom w:val="nil"/>
          <w:right w:val="nil"/>
          <w:between w:val="nil"/>
        </w:pBdr>
        <w:spacing w:before="240" w:after="240"/>
        <w:ind w:left="720"/>
        <w:rPr>
          <w:rFonts w:eastAsia="Arial" w:cs="Arial"/>
          <w:i/>
          <w:color w:val="000000"/>
          <w:szCs w:val="24"/>
          <w:lang w:eastAsia="en-GB"/>
        </w:rPr>
      </w:pPr>
      <w:r w:rsidRPr="00102034">
        <w:rPr>
          <w:rFonts w:eastAsia="Arial" w:cs="Arial"/>
          <w:i/>
          <w:color w:val="000000"/>
          <w:szCs w:val="24"/>
          <w:lang w:eastAsia="en-GB"/>
        </w:rPr>
        <w:t>The period for which the personal data will be retained, or, if that is not possible, the criteria used to determine that period</w:t>
      </w:r>
    </w:p>
    <w:p w14:paraId="6ECBDCE7" w14:textId="77777777" w:rsidR="00F67E9E" w:rsidRPr="00102034" w:rsidRDefault="00F67E9E" w:rsidP="00F67E9E">
      <w:pPr>
        <w:pBdr>
          <w:top w:val="nil"/>
          <w:left w:val="nil"/>
          <w:bottom w:val="nil"/>
          <w:right w:val="nil"/>
          <w:between w:val="nil"/>
        </w:pBdr>
        <w:spacing w:before="240" w:after="240"/>
        <w:ind w:firstLine="1440"/>
        <w:rPr>
          <w:rFonts w:eastAsia="Arial" w:cs="Arial"/>
          <w:i/>
          <w:color w:val="000000"/>
          <w:szCs w:val="24"/>
          <w:lang w:eastAsia="en-GB"/>
        </w:rPr>
      </w:pPr>
      <w:r w:rsidRPr="00102034">
        <w:rPr>
          <w:rFonts w:eastAsia="Arial" w:cs="Arial"/>
          <w:i/>
          <w:color w:val="000000"/>
          <w:szCs w:val="24"/>
          <w:lang w:eastAsia="en-GB"/>
        </w:rPr>
        <w:t>…</w:t>
      </w:r>
      <w:r>
        <w:rPr>
          <w:rFonts w:eastAsia="Arial" w:cs="Arial"/>
          <w:i/>
          <w:color w:val="000000"/>
          <w:szCs w:val="24"/>
          <w:lang w:eastAsia="en-GB"/>
        </w:rPr>
        <w:t>……………….</w:t>
      </w:r>
    </w:p>
    <w:p w14:paraId="1DE675E4" w14:textId="77777777" w:rsidR="00F67E9E" w:rsidRPr="00102034" w:rsidRDefault="00F67E9E" w:rsidP="00F67E9E">
      <w:pPr>
        <w:pBdr>
          <w:top w:val="nil"/>
          <w:left w:val="nil"/>
          <w:bottom w:val="nil"/>
          <w:right w:val="nil"/>
          <w:between w:val="nil"/>
        </w:pBdr>
        <w:spacing w:before="240" w:after="240"/>
        <w:ind w:left="720"/>
        <w:rPr>
          <w:rFonts w:eastAsia="Arial" w:cs="Arial"/>
          <w:i/>
          <w:color w:val="000000"/>
          <w:szCs w:val="24"/>
          <w:lang w:eastAsia="en-GB"/>
        </w:rPr>
      </w:pPr>
      <w:r w:rsidRPr="00102034">
        <w:rPr>
          <w:rFonts w:eastAsia="Arial" w:cs="Arial"/>
          <w:i/>
          <w:color w:val="000000"/>
          <w:szCs w:val="24"/>
          <w:lang w:eastAsia="en-GB"/>
        </w:rPr>
        <w:t>For transfers to (sub-) processors, also specify subject matter, nature and duration of the processing</w:t>
      </w:r>
    </w:p>
    <w:p w14:paraId="2D457BEE" w14:textId="77777777" w:rsidR="00F67E9E" w:rsidRPr="00102034" w:rsidRDefault="00F67E9E" w:rsidP="00F67E9E">
      <w:pPr>
        <w:pBdr>
          <w:top w:val="nil"/>
          <w:left w:val="nil"/>
          <w:bottom w:val="nil"/>
          <w:right w:val="nil"/>
          <w:between w:val="nil"/>
        </w:pBdr>
        <w:spacing w:before="240" w:after="240"/>
        <w:ind w:firstLine="1440"/>
        <w:rPr>
          <w:rFonts w:eastAsia="Arial" w:cs="Arial"/>
          <w:i/>
          <w:color w:val="000000"/>
          <w:szCs w:val="24"/>
          <w:lang w:eastAsia="en-GB"/>
        </w:rPr>
      </w:pPr>
      <w:bookmarkStart w:id="3483" w:name="bookmark=id.3gh8kve" w:colFirst="0" w:colLast="0"/>
      <w:bookmarkStart w:id="3484" w:name="bookmark=id.whl27l" w:colFirst="0" w:colLast="0"/>
      <w:bookmarkEnd w:id="3483"/>
      <w:bookmarkEnd w:id="3484"/>
      <w:r w:rsidRPr="00102034">
        <w:rPr>
          <w:rFonts w:eastAsia="Arial" w:cs="Arial"/>
          <w:i/>
          <w:color w:val="000000"/>
          <w:szCs w:val="24"/>
          <w:lang w:eastAsia="en-GB"/>
        </w:rPr>
        <w:t>…</w:t>
      </w:r>
      <w:r>
        <w:rPr>
          <w:rFonts w:eastAsia="Arial" w:cs="Arial"/>
          <w:i/>
          <w:color w:val="000000"/>
          <w:szCs w:val="24"/>
          <w:lang w:eastAsia="en-GB"/>
        </w:rPr>
        <w:t>……………….</w:t>
      </w:r>
    </w:p>
    <w:p w14:paraId="5DB0139B" w14:textId="77777777" w:rsidR="00F67E9E" w:rsidRPr="00102034" w:rsidRDefault="00F67E9E" w:rsidP="00F67E9E">
      <w:pPr>
        <w:pBdr>
          <w:top w:val="nil"/>
          <w:left w:val="nil"/>
          <w:bottom w:val="nil"/>
          <w:right w:val="nil"/>
          <w:between w:val="nil"/>
        </w:pBdr>
        <w:tabs>
          <w:tab w:val="left" w:pos="720"/>
        </w:tabs>
        <w:spacing w:before="240" w:after="240"/>
        <w:rPr>
          <w:rFonts w:eastAsia="Arial" w:cs="Arial"/>
          <w:b/>
          <w:color w:val="000000"/>
          <w:szCs w:val="24"/>
          <w:lang w:eastAsia="en-GB"/>
        </w:rPr>
      </w:pPr>
      <w:r w:rsidRPr="00102034">
        <w:rPr>
          <w:rFonts w:eastAsia="Arial" w:cs="Arial"/>
          <w:b/>
          <w:color w:val="000000"/>
          <w:szCs w:val="24"/>
          <w:lang w:eastAsia="en-GB"/>
        </w:rPr>
        <w:t xml:space="preserve">C. </w:t>
      </w:r>
      <w:r>
        <w:rPr>
          <w:rFonts w:eastAsia="Arial" w:cs="Arial"/>
          <w:b/>
          <w:color w:val="000000"/>
          <w:szCs w:val="24"/>
          <w:lang w:eastAsia="en-GB"/>
        </w:rPr>
        <w:tab/>
      </w:r>
      <w:r w:rsidRPr="00102034">
        <w:rPr>
          <w:rFonts w:eastAsia="Arial" w:cs="Arial"/>
          <w:b/>
          <w:color w:val="000000"/>
          <w:szCs w:val="24"/>
          <w:lang w:eastAsia="en-GB"/>
        </w:rPr>
        <w:t>COMPETENT SUPERVISORY AUTHORITY</w:t>
      </w:r>
    </w:p>
    <w:p w14:paraId="46ECF959" w14:textId="77777777" w:rsidR="00F67E9E" w:rsidRPr="00102034" w:rsidRDefault="00F67E9E" w:rsidP="00F67E9E">
      <w:pPr>
        <w:pBdr>
          <w:top w:val="nil"/>
          <w:left w:val="nil"/>
          <w:bottom w:val="nil"/>
          <w:right w:val="nil"/>
          <w:between w:val="nil"/>
        </w:pBdr>
        <w:spacing w:before="240" w:after="240"/>
        <w:ind w:left="720"/>
        <w:rPr>
          <w:rFonts w:eastAsia="Arial" w:cs="Arial"/>
          <w:i/>
          <w:color w:val="000000"/>
          <w:szCs w:val="24"/>
          <w:lang w:eastAsia="en-GB"/>
        </w:rPr>
      </w:pPr>
      <w:bookmarkStart w:id="3485" w:name="bookmark=id.1vmiv37" w:colFirst="0" w:colLast="0"/>
      <w:bookmarkEnd w:id="3485"/>
      <w:r w:rsidRPr="00102034">
        <w:rPr>
          <w:rFonts w:eastAsia="Arial" w:cs="Arial"/>
          <w:i/>
          <w:color w:val="000000"/>
          <w:szCs w:val="24"/>
          <w:lang w:eastAsia="en-GB"/>
        </w:rPr>
        <w:t>Identify the competent supervisory authority/ies in accordance with Clause 13</w:t>
      </w:r>
      <w:r>
        <w:rPr>
          <w:rFonts w:eastAsia="Arial" w:cs="Arial"/>
          <w:i/>
          <w:color w:val="000000"/>
          <w:szCs w:val="24"/>
          <w:lang w:eastAsia="en-GB"/>
        </w:rPr>
        <w:t>.</w:t>
      </w:r>
    </w:p>
    <w:p w14:paraId="0C26B595" w14:textId="77777777" w:rsidR="00F67E9E" w:rsidRPr="00102034" w:rsidRDefault="00F67E9E" w:rsidP="00F67E9E">
      <w:pPr>
        <w:pBdr>
          <w:top w:val="nil"/>
          <w:left w:val="nil"/>
          <w:bottom w:val="nil"/>
          <w:right w:val="nil"/>
          <w:between w:val="nil"/>
        </w:pBdr>
        <w:spacing w:before="120"/>
        <w:ind w:left="1800"/>
        <w:rPr>
          <w:rFonts w:eastAsia="Arial" w:cs="Arial"/>
          <w:color w:val="000000"/>
          <w:szCs w:val="24"/>
          <w:lang w:eastAsia="en-GB"/>
        </w:rPr>
      </w:pPr>
    </w:p>
    <w:p w14:paraId="4410DE55" w14:textId="77777777" w:rsidR="00F67E9E" w:rsidRPr="00102034" w:rsidRDefault="00F67E9E" w:rsidP="00F67E9E">
      <w:pPr>
        <w:pageBreakBefore/>
        <w:pBdr>
          <w:top w:val="nil"/>
          <w:left w:val="nil"/>
          <w:bottom w:val="nil"/>
          <w:right w:val="nil"/>
          <w:between w:val="nil"/>
        </w:pBdr>
        <w:spacing w:before="120"/>
        <w:jc w:val="center"/>
        <w:rPr>
          <w:rFonts w:eastAsia="Arial" w:cs="Arial"/>
          <w:b/>
          <w:color w:val="000000"/>
          <w:szCs w:val="24"/>
          <w:lang w:eastAsia="en-GB"/>
        </w:rPr>
      </w:pPr>
      <w:r w:rsidRPr="00102034">
        <w:rPr>
          <w:rFonts w:eastAsia="Arial" w:cs="Arial"/>
          <w:b/>
          <w:color w:val="000000"/>
          <w:szCs w:val="24"/>
          <w:lang w:eastAsia="en-GB"/>
        </w:rPr>
        <w:t xml:space="preserve">ANNEX </w:t>
      </w:r>
      <w:bookmarkStart w:id="3486" w:name="bookmark=id.4fm6dr0" w:colFirst="0" w:colLast="0"/>
      <w:bookmarkStart w:id="3487" w:name="Schedule_31_Annex_II"/>
      <w:bookmarkEnd w:id="3486"/>
      <w:r w:rsidRPr="00102034">
        <w:rPr>
          <w:rFonts w:eastAsia="Arial" w:cs="Arial"/>
          <w:b/>
          <w:color w:val="000000"/>
          <w:szCs w:val="24"/>
          <w:lang w:eastAsia="en-GB"/>
        </w:rPr>
        <w:t>II</w:t>
      </w:r>
      <w:bookmarkEnd w:id="3487"/>
    </w:p>
    <w:p w14:paraId="562E4E7A" w14:textId="77777777" w:rsidR="00F67E9E" w:rsidRPr="00102034" w:rsidRDefault="00F67E9E" w:rsidP="00F67E9E">
      <w:pPr>
        <w:pBdr>
          <w:top w:val="nil"/>
          <w:left w:val="nil"/>
          <w:bottom w:val="nil"/>
          <w:right w:val="nil"/>
          <w:between w:val="nil"/>
        </w:pBdr>
        <w:spacing w:before="240" w:after="240"/>
        <w:ind w:firstLine="1440"/>
        <w:jc w:val="center"/>
        <w:rPr>
          <w:rFonts w:eastAsia="Arial" w:cs="Arial"/>
          <w:b/>
          <w:color w:val="000000"/>
          <w:szCs w:val="24"/>
          <w:lang w:eastAsia="en-GB"/>
        </w:rPr>
      </w:pPr>
      <w:bookmarkStart w:id="3488" w:name="bookmark=id.2urgnyt" w:colFirst="0" w:colLast="0"/>
      <w:bookmarkEnd w:id="3488"/>
      <w:r w:rsidRPr="00102034">
        <w:rPr>
          <w:rFonts w:eastAsia="Arial" w:cs="Arial"/>
          <w:b/>
          <w:color w:val="000000"/>
          <w:szCs w:val="24"/>
          <w:lang w:eastAsia="en-GB"/>
        </w:rPr>
        <w:t>TECHNICAL AND ORGANISATIONAL MEASURES INCLUDING TECHNICAL AND ORGANISATIONAL MEASURES TO ENSURE THE SECURITY OF THE DATA</w:t>
      </w:r>
    </w:p>
    <w:tbl>
      <w:tblPr>
        <w:tblW w:w="9810" w:type="dxa"/>
        <w:tblBorders>
          <w:top w:val="nil"/>
          <w:left w:val="nil"/>
          <w:bottom w:val="nil"/>
          <w:right w:val="nil"/>
          <w:insideH w:val="nil"/>
          <w:insideV w:val="nil"/>
        </w:tblBorders>
        <w:tblLayout w:type="fixed"/>
        <w:tblLook w:val="0400" w:firstRow="0" w:lastRow="0" w:firstColumn="0" w:lastColumn="0" w:noHBand="0" w:noVBand="1"/>
      </w:tblPr>
      <w:tblGrid>
        <w:gridCol w:w="9810"/>
      </w:tblGrid>
      <w:tr w:rsidR="00F67E9E" w:rsidRPr="00102034" w14:paraId="5DD26B3F" w14:textId="77777777" w:rsidTr="007F74AA">
        <w:tc>
          <w:tcPr>
            <w:tcW w:w="9810" w:type="dxa"/>
          </w:tcPr>
          <w:p w14:paraId="498571DD" w14:textId="77777777" w:rsidR="00F67E9E" w:rsidRPr="00102034" w:rsidRDefault="00F67E9E" w:rsidP="007F74AA">
            <w:pPr>
              <w:pBdr>
                <w:top w:val="nil"/>
                <w:left w:val="nil"/>
                <w:bottom w:val="nil"/>
                <w:right w:val="nil"/>
                <w:between w:val="nil"/>
              </w:pBdr>
              <w:spacing w:before="120"/>
              <w:rPr>
                <w:rFonts w:eastAsia="Arial" w:cs="Arial"/>
                <w:b/>
                <w:color w:val="000000"/>
                <w:szCs w:val="24"/>
                <w:lang w:eastAsia="en-GB"/>
              </w:rPr>
            </w:pPr>
            <w:r w:rsidRPr="00102034">
              <w:rPr>
                <w:rFonts w:eastAsia="Arial" w:cs="Arial"/>
                <w:color w:val="000000"/>
                <w:szCs w:val="24"/>
                <w:lang w:eastAsia="en-GB"/>
              </w:rPr>
              <w:t>EXPLANATORY NOTE:</w:t>
            </w:r>
          </w:p>
          <w:p w14:paraId="1F6E196F" w14:textId="7FACBBE3" w:rsidR="00F67E9E" w:rsidRPr="00102034" w:rsidRDefault="00F67E9E" w:rsidP="007F74AA">
            <w:pPr>
              <w:pBdr>
                <w:top w:val="nil"/>
                <w:left w:val="nil"/>
                <w:bottom w:val="nil"/>
                <w:right w:val="nil"/>
                <w:between w:val="nil"/>
              </w:pBdr>
              <w:spacing w:before="120"/>
              <w:rPr>
                <w:rFonts w:eastAsia="Arial" w:cs="Arial"/>
                <w:b/>
                <w:color w:val="000000"/>
                <w:szCs w:val="24"/>
                <w:lang w:eastAsia="en-GB"/>
              </w:rPr>
            </w:pPr>
            <w:r w:rsidRPr="00102034">
              <w:rPr>
                <w:rFonts w:eastAsia="Arial" w:cs="Arial"/>
                <w:color w:val="000000"/>
                <w:szCs w:val="24"/>
                <w:lang w:eastAsia="en-GB"/>
              </w:rPr>
              <w:t xml:space="preserve">The technical and organisational measures must be described in specific (and not generic) terms. See also the general comment on the first page of the </w:t>
            </w:r>
            <w:r w:rsidRPr="009E7653">
              <w:rPr>
                <w:rFonts w:eastAsia="Arial" w:cs="Arial"/>
                <w:color w:val="000000"/>
              </w:rPr>
              <w:fldChar w:fldCharType="begin"/>
            </w:r>
            <w:r w:rsidRPr="009E7653">
              <w:rPr>
                <w:rFonts w:eastAsia="Arial" w:cs="Arial"/>
                <w:color w:val="000000"/>
              </w:rPr>
              <w:instrText xml:space="preserve"> REF  Schedule_31_PartB_Annex3_PartA_Appendix \* Caps \h  \* MERGEFORMAT </w:instrText>
            </w:r>
            <w:r w:rsidRPr="009E7653">
              <w:rPr>
                <w:rFonts w:eastAsia="Arial" w:cs="Arial"/>
                <w:color w:val="000000"/>
              </w:rPr>
            </w:r>
            <w:r w:rsidRPr="009E7653">
              <w:rPr>
                <w:rFonts w:eastAsia="Arial" w:cs="Arial"/>
                <w:color w:val="000000"/>
              </w:rPr>
              <w:fldChar w:fldCharType="separate"/>
            </w:r>
            <w:r w:rsidR="00302D39" w:rsidRPr="00302D39">
              <w:rPr>
                <w:rFonts w:eastAsia="Arial" w:cs="Arial"/>
                <w:color w:val="000000"/>
                <w:szCs w:val="24"/>
                <w:lang w:eastAsia="en-GB"/>
              </w:rPr>
              <w:t>Appendix</w:t>
            </w:r>
            <w:r w:rsidRPr="009E7653">
              <w:rPr>
                <w:rFonts w:eastAsia="Arial" w:cs="Arial"/>
                <w:color w:val="000000"/>
              </w:rPr>
              <w:fldChar w:fldCharType="end"/>
            </w:r>
            <w:r w:rsidRPr="00102034">
              <w:rPr>
                <w:rFonts w:eastAsia="Arial" w:cs="Arial"/>
                <w:color w:val="000000"/>
                <w:szCs w:val="24"/>
                <w:lang w:eastAsia="en-GB"/>
              </w:rPr>
              <w:t>, in particular on the need to clearly indicate which measures apply to each transfer/set of transfers.</w:t>
            </w:r>
          </w:p>
        </w:tc>
      </w:tr>
    </w:tbl>
    <w:p w14:paraId="6C694B5E" w14:textId="77777777" w:rsidR="00F67E9E" w:rsidRPr="00102034" w:rsidRDefault="00F67E9E" w:rsidP="00F67E9E">
      <w:pPr>
        <w:pBdr>
          <w:top w:val="nil"/>
          <w:left w:val="nil"/>
          <w:bottom w:val="nil"/>
          <w:right w:val="nil"/>
          <w:between w:val="nil"/>
        </w:pBdr>
        <w:spacing w:before="240" w:after="240"/>
        <w:ind w:firstLine="720"/>
        <w:rPr>
          <w:rFonts w:eastAsia="Arial" w:cs="Arial"/>
          <w:i/>
          <w:color w:val="000000"/>
          <w:szCs w:val="24"/>
          <w:lang w:eastAsia="en-GB"/>
        </w:rPr>
      </w:pPr>
      <w:bookmarkStart w:id="3489" w:name="bookmark=id.19wqy6m" w:colFirst="0" w:colLast="0"/>
      <w:bookmarkEnd w:id="3489"/>
      <w:r w:rsidRPr="00102034">
        <w:rPr>
          <w:rFonts w:eastAsia="Arial" w:cs="Arial"/>
          <w:i/>
          <w:color w:val="000000"/>
          <w:szCs w:val="24"/>
          <w:lang w:eastAsia="en-GB"/>
        </w:rPr>
        <w:t>Description of the technical and organisational measures implemented by the data importer(s) (including any relevant certifications) to ensure an appropriate level of security, taking into account the nature, scope, context and purpose of the processing, and the risks for the rights and freedoms of natural persons.</w:t>
      </w:r>
    </w:p>
    <w:p w14:paraId="1E7D3C2D" w14:textId="77777777" w:rsidR="00F67E9E" w:rsidRPr="00102034" w:rsidRDefault="00F67E9E" w:rsidP="00F67E9E">
      <w:pPr>
        <w:pBdr>
          <w:top w:val="nil"/>
          <w:left w:val="nil"/>
          <w:bottom w:val="nil"/>
          <w:right w:val="nil"/>
          <w:between w:val="nil"/>
        </w:pBdr>
        <w:spacing w:before="240" w:after="240"/>
        <w:ind w:firstLine="720"/>
        <w:rPr>
          <w:rFonts w:eastAsia="Arial" w:cs="Arial"/>
          <w:i/>
          <w:color w:val="000000"/>
          <w:szCs w:val="24"/>
          <w:lang w:eastAsia="en-GB"/>
        </w:rPr>
      </w:pPr>
      <w:bookmarkStart w:id="3490" w:name="bookmark=id.3tweguf" w:colFirst="0" w:colLast="0"/>
      <w:bookmarkEnd w:id="3490"/>
      <w:r w:rsidRPr="00102034">
        <w:rPr>
          <w:rFonts w:eastAsia="Arial" w:cs="Arial"/>
          <w:i/>
          <w:color w:val="000000"/>
          <w:szCs w:val="24"/>
          <w:lang w:eastAsia="en-GB"/>
        </w:rPr>
        <w:t>[Examples of possible measures:</w:t>
      </w:r>
    </w:p>
    <w:p w14:paraId="457A5AE5" w14:textId="77777777" w:rsidR="00F67E9E" w:rsidRPr="00102034" w:rsidRDefault="00F67E9E" w:rsidP="00F67E9E">
      <w:pPr>
        <w:pBdr>
          <w:top w:val="nil"/>
          <w:left w:val="nil"/>
          <w:bottom w:val="nil"/>
          <w:right w:val="nil"/>
          <w:between w:val="nil"/>
        </w:pBdr>
        <w:spacing w:before="240" w:after="240"/>
        <w:ind w:firstLine="1440"/>
        <w:rPr>
          <w:rFonts w:eastAsia="Arial" w:cs="Arial"/>
          <w:i/>
          <w:color w:val="000000"/>
          <w:szCs w:val="24"/>
          <w:lang w:eastAsia="en-GB"/>
        </w:rPr>
      </w:pPr>
      <w:bookmarkStart w:id="3491" w:name="bookmark=id.291or28" w:colFirst="0" w:colLast="0"/>
      <w:bookmarkEnd w:id="3491"/>
      <w:r w:rsidRPr="00102034">
        <w:rPr>
          <w:rFonts w:eastAsia="Arial" w:cs="Arial"/>
          <w:i/>
          <w:color w:val="000000"/>
          <w:szCs w:val="24"/>
          <w:lang w:eastAsia="en-GB"/>
        </w:rPr>
        <w:t>Measures of pseudonymisation and encryption of personal data</w:t>
      </w:r>
    </w:p>
    <w:p w14:paraId="01FDE726" w14:textId="77777777" w:rsidR="00F67E9E" w:rsidRPr="00102034" w:rsidRDefault="00F67E9E" w:rsidP="00F67E9E">
      <w:pPr>
        <w:pBdr>
          <w:top w:val="nil"/>
          <w:left w:val="nil"/>
          <w:bottom w:val="nil"/>
          <w:right w:val="nil"/>
          <w:between w:val="nil"/>
        </w:pBdr>
        <w:spacing w:before="240" w:after="240"/>
        <w:ind w:left="1440"/>
        <w:rPr>
          <w:rFonts w:eastAsia="Arial" w:cs="Arial"/>
          <w:i/>
          <w:color w:val="000000"/>
          <w:szCs w:val="24"/>
          <w:lang w:eastAsia="en-GB"/>
        </w:rPr>
      </w:pPr>
      <w:bookmarkStart w:id="3492" w:name="bookmark=id.o6z1a1" w:colFirst="0" w:colLast="0"/>
      <w:bookmarkEnd w:id="3492"/>
      <w:r w:rsidRPr="00102034">
        <w:rPr>
          <w:rFonts w:eastAsia="Arial" w:cs="Arial"/>
          <w:i/>
          <w:color w:val="000000"/>
          <w:szCs w:val="24"/>
          <w:lang w:eastAsia="en-GB"/>
        </w:rPr>
        <w:t>Measures for ensuring ongoing confidentiality, integrity, availability and resilience of processing systems and services</w:t>
      </w:r>
    </w:p>
    <w:p w14:paraId="04995C20" w14:textId="77777777" w:rsidR="00F67E9E" w:rsidRPr="00102034" w:rsidRDefault="00F67E9E" w:rsidP="00F67E9E">
      <w:pPr>
        <w:pBdr>
          <w:top w:val="nil"/>
          <w:left w:val="nil"/>
          <w:bottom w:val="nil"/>
          <w:right w:val="nil"/>
          <w:between w:val="nil"/>
        </w:pBdr>
        <w:spacing w:before="240" w:after="240"/>
        <w:ind w:left="1440"/>
        <w:rPr>
          <w:rFonts w:eastAsia="Arial" w:cs="Arial"/>
          <w:i/>
          <w:color w:val="000000"/>
          <w:szCs w:val="24"/>
          <w:lang w:eastAsia="en-GB"/>
        </w:rPr>
      </w:pPr>
      <w:bookmarkStart w:id="3493" w:name="bookmark=id.386mjxu" w:colFirst="0" w:colLast="0"/>
      <w:bookmarkEnd w:id="3493"/>
      <w:r w:rsidRPr="00102034">
        <w:rPr>
          <w:rFonts w:eastAsia="Arial" w:cs="Arial"/>
          <w:i/>
          <w:color w:val="000000"/>
          <w:szCs w:val="24"/>
          <w:lang w:eastAsia="en-GB"/>
        </w:rPr>
        <w:t>Measures for ensuring the ability to restore the availability and access to personal data in a timely manner in the event of a physical or technical incident</w:t>
      </w:r>
    </w:p>
    <w:p w14:paraId="0A6FD767" w14:textId="77777777" w:rsidR="00F67E9E" w:rsidRPr="00102034" w:rsidRDefault="00F67E9E" w:rsidP="00F67E9E">
      <w:pPr>
        <w:pBdr>
          <w:top w:val="nil"/>
          <w:left w:val="nil"/>
          <w:bottom w:val="nil"/>
          <w:right w:val="nil"/>
          <w:between w:val="nil"/>
        </w:pBdr>
        <w:spacing w:before="240" w:after="240"/>
        <w:ind w:left="1440"/>
        <w:rPr>
          <w:rFonts w:eastAsia="Arial" w:cs="Arial"/>
          <w:i/>
          <w:color w:val="000000"/>
          <w:szCs w:val="24"/>
          <w:lang w:eastAsia="en-GB"/>
        </w:rPr>
      </w:pPr>
      <w:bookmarkStart w:id="3494" w:name="bookmark=id.1nbwu5n" w:colFirst="0" w:colLast="0"/>
      <w:bookmarkEnd w:id="3494"/>
      <w:r w:rsidRPr="00102034">
        <w:rPr>
          <w:rFonts w:eastAsia="Arial" w:cs="Arial"/>
          <w:i/>
          <w:color w:val="000000"/>
          <w:szCs w:val="24"/>
          <w:lang w:eastAsia="en-GB"/>
        </w:rPr>
        <w:t>Processes for regularly testing, assessing and evaluating the effectiveness of technical and organisational measures in order to ensure the security of the processing</w:t>
      </w:r>
    </w:p>
    <w:p w14:paraId="7FA72F1F" w14:textId="77777777" w:rsidR="00F67E9E" w:rsidRPr="00102034" w:rsidRDefault="00F67E9E" w:rsidP="00F67E9E">
      <w:pPr>
        <w:pBdr>
          <w:top w:val="nil"/>
          <w:left w:val="nil"/>
          <w:bottom w:val="nil"/>
          <w:right w:val="nil"/>
          <w:between w:val="nil"/>
        </w:pBdr>
        <w:spacing w:before="240" w:after="240"/>
        <w:ind w:firstLine="1440"/>
        <w:rPr>
          <w:rFonts w:eastAsia="Arial" w:cs="Arial"/>
          <w:i/>
          <w:color w:val="000000"/>
          <w:szCs w:val="24"/>
          <w:lang w:eastAsia="en-GB"/>
        </w:rPr>
      </w:pPr>
      <w:bookmarkStart w:id="3495" w:name="bookmark=id.47bkctg" w:colFirst="0" w:colLast="0"/>
      <w:bookmarkEnd w:id="3495"/>
      <w:r w:rsidRPr="00102034">
        <w:rPr>
          <w:rFonts w:eastAsia="Arial" w:cs="Arial"/>
          <w:i/>
          <w:color w:val="000000"/>
          <w:szCs w:val="24"/>
          <w:lang w:eastAsia="en-GB"/>
        </w:rPr>
        <w:t>Measures for user identification and authorisation</w:t>
      </w:r>
    </w:p>
    <w:p w14:paraId="4BC7A95B" w14:textId="77777777" w:rsidR="00F67E9E" w:rsidRPr="00102034" w:rsidRDefault="00F67E9E" w:rsidP="00F67E9E">
      <w:pPr>
        <w:pBdr>
          <w:top w:val="nil"/>
          <w:left w:val="nil"/>
          <w:bottom w:val="nil"/>
          <w:right w:val="nil"/>
          <w:between w:val="nil"/>
        </w:pBdr>
        <w:spacing w:before="240" w:after="240"/>
        <w:ind w:firstLine="1440"/>
        <w:rPr>
          <w:rFonts w:eastAsia="Arial" w:cs="Arial"/>
          <w:i/>
          <w:color w:val="000000"/>
          <w:szCs w:val="24"/>
          <w:lang w:eastAsia="en-GB"/>
        </w:rPr>
      </w:pPr>
      <w:bookmarkStart w:id="3496" w:name="bookmark=id.2mgun19" w:colFirst="0" w:colLast="0"/>
      <w:bookmarkEnd w:id="3496"/>
      <w:r w:rsidRPr="00102034">
        <w:rPr>
          <w:rFonts w:eastAsia="Arial" w:cs="Arial"/>
          <w:i/>
          <w:color w:val="000000"/>
          <w:szCs w:val="24"/>
          <w:lang w:eastAsia="en-GB"/>
        </w:rPr>
        <w:t>Measures for the protection of data during transmission</w:t>
      </w:r>
    </w:p>
    <w:p w14:paraId="45B8ECFD" w14:textId="77777777" w:rsidR="00F67E9E" w:rsidRPr="00102034" w:rsidRDefault="00F67E9E" w:rsidP="00F67E9E">
      <w:pPr>
        <w:pBdr>
          <w:top w:val="nil"/>
          <w:left w:val="nil"/>
          <w:bottom w:val="nil"/>
          <w:right w:val="nil"/>
          <w:between w:val="nil"/>
        </w:pBdr>
        <w:spacing w:before="240" w:after="240"/>
        <w:ind w:firstLine="1440"/>
        <w:rPr>
          <w:rFonts w:eastAsia="Arial" w:cs="Arial"/>
          <w:i/>
          <w:color w:val="000000"/>
          <w:szCs w:val="24"/>
          <w:lang w:eastAsia="en-GB"/>
        </w:rPr>
      </w:pPr>
      <w:bookmarkStart w:id="3497" w:name="bookmark=id.11m4x92" w:colFirst="0" w:colLast="0"/>
      <w:bookmarkEnd w:id="3497"/>
      <w:r w:rsidRPr="00102034">
        <w:rPr>
          <w:rFonts w:eastAsia="Arial" w:cs="Arial"/>
          <w:i/>
          <w:color w:val="000000"/>
          <w:szCs w:val="24"/>
          <w:lang w:eastAsia="en-GB"/>
        </w:rPr>
        <w:t>Measures for the protection of data during storage</w:t>
      </w:r>
    </w:p>
    <w:p w14:paraId="62687316" w14:textId="77777777" w:rsidR="00F67E9E" w:rsidRPr="00102034" w:rsidRDefault="00F67E9E" w:rsidP="00F67E9E">
      <w:pPr>
        <w:pBdr>
          <w:top w:val="nil"/>
          <w:left w:val="nil"/>
          <w:bottom w:val="nil"/>
          <w:right w:val="nil"/>
          <w:between w:val="nil"/>
        </w:pBdr>
        <w:spacing w:before="240" w:after="240"/>
        <w:ind w:left="1440"/>
        <w:rPr>
          <w:rFonts w:eastAsia="Arial" w:cs="Arial"/>
          <w:i/>
          <w:color w:val="000000"/>
          <w:szCs w:val="24"/>
          <w:lang w:eastAsia="en-GB"/>
        </w:rPr>
      </w:pPr>
      <w:bookmarkStart w:id="3498" w:name="bookmark=id.3llsfwv" w:colFirst="0" w:colLast="0"/>
      <w:bookmarkEnd w:id="3498"/>
      <w:r w:rsidRPr="00102034">
        <w:rPr>
          <w:rFonts w:eastAsia="Arial" w:cs="Arial"/>
          <w:i/>
          <w:color w:val="000000"/>
          <w:szCs w:val="24"/>
          <w:lang w:eastAsia="en-GB"/>
        </w:rPr>
        <w:t>Measures for ensuring physical security of locations at which personal data are processed</w:t>
      </w:r>
    </w:p>
    <w:p w14:paraId="5C13F047" w14:textId="77777777" w:rsidR="00F67E9E" w:rsidRPr="00102034" w:rsidRDefault="00F67E9E" w:rsidP="00F67E9E">
      <w:pPr>
        <w:pBdr>
          <w:top w:val="nil"/>
          <w:left w:val="nil"/>
          <w:bottom w:val="nil"/>
          <w:right w:val="nil"/>
          <w:between w:val="nil"/>
        </w:pBdr>
        <w:spacing w:before="240" w:after="240"/>
        <w:ind w:firstLine="1440"/>
        <w:rPr>
          <w:rFonts w:eastAsia="Arial" w:cs="Arial"/>
          <w:i/>
          <w:color w:val="000000"/>
          <w:szCs w:val="24"/>
          <w:lang w:eastAsia="en-GB"/>
        </w:rPr>
      </w:pPr>
      <w:bookmarkStart w:id="3499" w:name="bookmark=id.20r2q4o" w:colFirst="0" w:colLast="0"/>
      <w:bookmarkEnd w:id="3499"/>
      <w:r w:rsidRPr="00102034">
        <w:rPr>
          <w:rFonts w:eastAsia="Arial" w:cs="Arial"/>
          <w:i/>
          <w:color w:val="000000"/>
          <w:szCs w:val="24"/>
          <w:lang w:eastAsia="en-GB"/>
        </w:rPr>
        <w:t>Measures for ensuring events logging</w:t>
      </w:r>
    </w:p>
    <w:p w14:paraId="03F5B31B" w14:textId="77777777" w:rsidR="00F67E9E" w:rsidRPr="00102034" w:rsidRDefault="00F67E9E" w:rsidP="00F67E9E">
      <w:pPr>
        <w:pBdr>
          <w:top w:val="nil"/>
          <w:left w:val="nil"/>
          <w:bottom w:val="nil"/>
          <w:right w:val="nil"/>
          <w:between w:val="nil"/>
        </w:pBdr>
        <w:spacing w:before="240" w:after="240"/>
        <w:ind w:firstLine="1440"/>
        <w:rPr>
          <w:rFonts w:eastAsia="Arial" w:cs="Arial"/>
          <w:i/>
          <w:color w:val="000000"/>
          <w:szCs w:val="24"/>
          <w:lang w:eastAsia="en-GB"/>
        </w:rPr>
      </w:pPr>
      <w:bookmarkStart w:id="3500" w:name="bookmark=id.4kqq8sh" w:colFirst="0" w:colLast="0"/>
      <w:bookmarkEnd w:id="3500"/>
      <w:r w:rsidRPr="00102034">
        <w:rPr>
          <w:rFonts w:eastAsia="Arial" w:cs="Arial"/>
          <w:i/>
          <w:color w:val="000000"/>
          <w:szCs w:val="24"/>
          <w:lang w:eastAsia="en-GB"/>
        </w:rPr>
        <w:t>Measures for ensuring system configuration, including default configuration</w:t>
      </w:r>
    </w:p>
    <w:p w14:paraId="03E4C816" w14:textId="77777777" w:rsidR="00F67E9E" w:rsidRPr="00102034" w:rsidRDefault="00F67E9E" w:rsidP="00F67E9E">
      <w:pPr>
        <w:pBdr>
          <w:top w:val="nil"/>
          <w:left w:val="nil"/>
          <w:bottom w:val="nil"/>
          <w:right w:val="nil"/>
          <w:between w:val="nil"/>
        </w:pBdr>
        <w:spacing w:before="240" w:after="240"/>
        <w:ind w:firstLine="1440"/>
        <w:rPr>
          <w:rFonts w:eastAsia="Arial" w:cs="Arial"/>
          <w:i/>
          <w:color w:val="000000"/>
          <w:szCs w:val="24"/>
          <w:lang w:eastAsia="en-GB"/>
        </w:rPr>
      </w:pPr>
      <w:bookmarkStart w:id="3501" w:name="bookmark=id.2zw0j0a" w:colFirst="0" w:colLast="0"/>
      <w:bookmarkEnd w:id="3501"/>
      <w:r w:rsidRPr="00102034">
        <w:rPr>
          <w:rFonts w:eastAsia="Arial" w:cs="Arial"/>
          <w:i/>
          <w:color w:val="000000"/>
          <w:szCs w:val="24"/>
          <w:lang w:eastAsia="en-GB"/>
        </w:rPr>
        <w:t>Measures for internal IT and IT security governance and management</w:t>
      </w:r>
    </w:p>
    <w:p w14:paraId="7ADCAD16" w14:textId="77777777" w:rsidR="00F67E9E" w:rsidRPr="00102034" w:rsidRDefault="00F67E9E" w:rsidP="00F67E9E">
      <w:pPr>
        <w:pBdr>
          <w:top w:val="nil"/>
          <w:left w:val="nil"/>
          <w:bottom w:val="nil"/>
          <w:right w:val="nil"/>
          <w:between w:val="nil"/>
        </w:pBdr>
        <w:spacing w:before="240" w:after="240"/>
        <w:ind w:firstLine="1440"/>
        <w:rPr>
          <w:rFonts w:eastAsia="Arial" w:cs="Arial"/>
          <w:i/>
          <w:color w:val="000000"/>
          <w:szCs w:val="24"/>
          <w:lang w:eastAsia="en-GB"/>
        </w:rPr>
      </w:pPr>
      <w:bookmarkStart w:id="3502" w:name="bookmark=id.1f1at83" w:colFirst="0" w:colLast="0"/>
      <w:bookmarkEnd w:id="3502"/>
      <w:r w:rsidRPr="00102034">
        <w:rPr>
          <w:rFonts w:eastAsia="Arial" w:cs="Arial"/>
          <w:i/>
          <w:color w:val="000000"/>
          <w:szCs w:val="24"/>
          <w:lang w:eastAsia="en-GB"/>
        </w:rPr>
        <w:t>Measures for certification/assurance of processes and products</w:t>
      </w:r>
    </w:p>
    <w:p w14:paraId="7EE90E90" w14:textId="77777777" w:rsidR="00F67E9E" w:rsidRPr="00102034" w:rsidRDefault="00F67E9E" w:rsidP="00F67E9E">
      <w:pPr>
        <w:pBdr>
          <w:top w:val="nil"/>
          <w:left w:val="nil"/>
          <w:bottom w:val="nil"/>
          <w:right w:val="nil"/>
          <w:between w:val="nil"/>
        </w:pBdr>
        <w:spacing w:before="240" w:after="240"/>
        <w:ind w:firstLine="1440"/>
        <w:rPr>
          <w:rFonts w:eastAsia="Arial" w:cs="Arial"/>
          <w:i/>
          <w:color w:val="000000"/>
          <w:szCs w:val="24"/>
          <w:lang w:eastAsia="en-GB"/>
        </w:rPr>
      </w:pPr>
      <w:bookmarkStart w:id="3503" w:name="bookmark=id.3z0ybvw" w:colFirst="0" w:colLast="0"/>
      <w:bookmarkEnd w:id="3503"/>
      <w:r w:rsidRPr="00102034">
        <w:rPr>
          <w:rFonts w:eastAsia="Arial" w:cs="Arial"/>
          <w:i/>
          <w:color w:val="000000"/>
          <w:szCs w:val="24"/>
          <w:lang w:eastAsia="en-GB"/>
        </w:rPr>
        <w:t>Measures for ensuring data minimisation</w:t>
      </w:r>
    </w:p>
    <w:p w14:paraId="4DE0A7F7" w14:textId="77777777" w:rsidR="00F67E9E" w:rsidRPr="00102034" w:rsidRDefault="00F67E9E" w:rsidP="00F67E9E">
      <w:pPr>
        <w:pBdr>
          <w:top w:val="nil"/>
          <w:left w:val="nil"/>
          <w:bottom w:val="nil"/>
          <w:right w:val="nil"/>
          <w:between w:val="nil"/>
        </w:pBdr>
        <w:spacing w:before="240" w:after="240"/>
        <w:ind w:firstLine="1440"/>
        <w:rPr>
          <w:rFonts w:eastAsia="Arial" w:cs="Arial"/>
          <w:i/>
          <w:color w:val="000000"/>
          <w:szCs w:val="24"/>
          <w:lang w:eastAsia="en-GB"/>
        </w:rPr>
      </w:pPr>
      <w:bookmarkStart w:id="3504" w:name="bookmark=id.2e68m3p" w:colFirst="0" w:colLast="0"/>
      <w:bookmarkEnd w:id="3504"/>
      <w:r w:rsidRPr="00102034">
        <w:rPr>
          <w:rFonts w:eastAsia="Arial" w:cs="Arial"/>
          <w:i/>
          <w:color w:val="000000"/>
          <w:szCs w:val="24"/>
          <w:lang w:eastAsia="en-GB"/>
        </w:rPr>
        <w:t>Measures for ensuring data quality</w:t>
      </w:r>
    </w:p>
    <w:p w14:paraId="3E98A019" w14:textId="77777777" w:rsidR="00F67E9E" w:rsidRPr="00102034" w:rsidRDefault="00F67E9E" w:rsidP="00F67E9E">
      <w:pPr>
        <w:pBdr>
          <w:top w:val="nil"/>
          <w:left w:val="nil"/>
          <w:bottom w:val="nil"/>
          <w:right w:val="nil"/>
          <w:between w:val="nil"/>
        </w:pBdr>
        <w:spacing w:before="240" w:after="240"/>
        <w:ind w:firstLine="1440"/>
        <w:rPr>
          <w:rFonts w:eastAsia="Arial" w:cs="Arial"/>
          <w:i/>
          <w:color w:val="000000"/>
          <w:szCs w:val="24"/>
          <w:lang w:eastAsia="en-GB"/>
        </w:rPr>
      </w:pPr>
      <w:bookmarkStart w:id="3505" w:name="bookmark=id.tbiwbi" w:colFirst="0" w:colLast="0"/>
      <w:bookmarkEnd w:id="3505"/>
      <w:r w:rsidRPr="00102034">
        <w:rPr>
          <w:rFonts w:eastAsia="Arial" w:cs="Arial"/>
          <w:i/>
          <w:color w:val="000000"/>
          <w:szCs w:val="24"/>
          <w:lang w:eastAsia="en-GB"/>
        </w:rPr>
        <w:t>Measures for ensuring limited data retention</w:t>
      </w:r>
    </w:p>
    <w:p w14:paraId="0042B21B" w14:textId="77777777" w:rsidR="00F67E9E" w:rsidRPr="00102034" w:rsidRDefault="00F67E9E" w:rsidP="00F67E9E">
      <w:pPr>
        <w:pBdr>
          <w:top w:val="nil"/>
          <w:left w:val="nil"/>
          <w:bottom w:val="nil"/>
          <w:right w:val="nil"/>
          <w:between w:val="nil"/>
        </w:pBdr>
        <w:spacing w:before="240" w:after="240"/>
        <w:ind w:firstLine="1440"/>
        <w:rPr>
          <w:rFonts w:eastAsia="Arial" w:cs="Arial"/>
          <w:i/>
          <w:color w:val="000000"/>
          <w:szCs w:val="24"/>
          <w:lang w:eastAsia="en-GB"/>
        </w:rPr>
      </w:pPr>
      <w:bookmarkStart w:id="3506" w:name="bookmark=id.3db6ezb" w:colFirst="0" w:colLast="0"/>
      <w:bookmarkEnd w:id="3506"/>
      <w:r w:rsidRPr="00102034">
        <w:rPr>
          <w:rFonts w:eastAsia="Arial" w:cs="Arial"/>
          <w:i/>
          <w:color w:val="000000"/>
          <w:szCs w:val="24"/>
          <w:lang w:eastAsia="en-GB"/>
        </w:rPr>
        <w:t>Measures for ensuring accountability</w:t>
      </w:r>
    </w:p>
    <w:p w14:paraId="19B7732D" w14:textId="77777777" w:rsidR="00F67E9E" w:rsidRPr="00102034" w:rsidRDefault="00F67E9E" w:rsidP="00F67E9E">
      <w:pPr>
        <w:pBdr>
          <w:top w:val="nil"/>
          <w:left w:val="nil"/>
          <w:bottom w:val="nil"/>
          <w:right w:val="nil"/>
          <w:between w:val="nil"/>
        </w:pBdr>
        <w:spacing w:before="240" w:after="240"/>
        <w:ind w:firstLine="1440"/>
        <w:rPr>
          <w:rFonts w:eastAsia="Arial" w:cs="Arial"/>
          <w:i/>
          <w:color w:val="000000"/>
          <w:szCs w:val="24"/>
          <w:lang w:eastAsia="en-GB"/>
        </w:rPr>
      </w:pPr>
      <w:bookmarkStart w:id="3507" w:name="bookmark=id.1sggp74" w:colFirst="0" w:colLast="0"/>
      <w:bookmarkEnd w:id="3507"/>
      <w:r w:rsidRPr="00102034">
        <w:rPr>
          <w:rFonts w:eastAsia="Arial" w:cs="Arial"/>
          <w:i/>
          <w:color w:val="000000"/>
          <w:szCs w:val="24"/>
          <w:lang w:eastAsia="en-GB"/>
        </w:rPr>
        <w:t>Measures for allowing data portability and ensuring erasure]</w:t>
      </w:r>
    </w:p>
    <w:p w14:paraId="2DCA5620" w14:textId="77777777" w:rsidR="00F67E9E" w:rsidRPr="00102034" w:rsidRDefault="00F67E9E" w:rsidP="00F67E9E">
      <w:pPr>
        <w:pBdr>
          <w:top w:val="nil"/>
          <w:left w:val="nil"/>
          <w:bottom w:val="nil"/>
          <w:right w:val="nil"/>
          <w:between w:val="nil"/>
        </w:pBdr>
        <w:spacing w:before="240" w:after="240"/>
        <w:ind w:firstLine="720"/>
        <w:rPr>
          <w:rFonts w:eastAsia="Arial" w:cs="Arial"/>
          <w:color w:val="000000"/>
          <w:szCs w:val="24"/>
          <w:lang w:eastAsia="en-GB"/>
        </w:rPr>
      </w:pPr>
      <w:bookmarkStart w:id="3508" w:name="bookmark=id.4cg47ux" w:colFirst="0" w:colLast="0"/>
      <w:bookmarkEnd w:id="3508"/>
      <w:r w:rsidRPr="00102034">
        <w:rPr>
          <w:rFonts w:eastAsia="Arial" w:cs="Arial"/>
          <w:i/>
          <w:color w:val="000000"/>
          <w:szCs w:val="24"/>
          <w:lang w:eastAsia="en-GB"/>
        </w:rPr>
        <w:t>For transfers to (sub-) processors, also describe the specific technical and organisational measures to be taken by the (sub-) processor to be able to provide assistance to the</w:t>
      </w:r>
      <w:r w:rsidRPr="00102034">
        <w:rPr>
          <w:rFonts w:eastAsia="Arial" w:cs="Arial"/>
          <w:color w:val="000000"/>
          <w:szCs w:val="24"/>
          <w:lang w:eastAsia="en-GB"/>
        </w:rPr>
        <w:t xml:space="preserve"> </w:t>
      </w:r>
      <w:r w:rsidRPr="00102034">
        <w:rPr>
          <w:rFonts w:eastAsia="Arial" w:cs="Arial"/>
          <w:i/>
          <w:color w:val="000000"/>
          <w:szCs w:val="24"/>
          <w:lang w:eastAsia="en-GB"/>
        </w:rPr>
        <w:t>controller and, for transfers from a processor to a sub-processor, to the data exporter</w:t>
      </w:r>
    </w:p>
    <w:p w14:paraId="4656C420" w14:textId="77777777" w:rsidR="00F67E9E" w:rsidRPr="00102034" w:rsidRDefault="00F67E9E" w:rsidP="00F67E9E">
      <w:pPr>
        <w:pBdr>
          <w:top w:val="nil"/>
          <w:left w:val="nil"/>
          <w:bottom w:val="nil"/>
          <w:right w:val="nil"/>
          <w:between w:val="nil"/>
        </w:pBdr>
        <w:spacing w:before="120"/>
        <w:jc w:val="center"/>
        <w:rPr>
          <w:rFonts w:eastAsia="Arial" w:cs="Arial"/>
          <w:b/>
          <w:color w:val="000000"/>
          <w:szCs w:val="24"/>
          <w:lang w:eastAsia="en-GB"/>
        </w:rPr>
      </w:pPr>
      <w:r w:rsidRPr="00102034">
        <w:rPr>
          <w:rFonts w:eastAsia="Arial" w:cs="Arial"/>
          <w:b/>
          <w:color w:val="000000"/>
          <w:szCs w:val="24"/>
          <w:lang w:eastAsia="en-GB"/>
        </w:rPr>
        <w:t xml:space="preserve">ANNEX </w:t>
      </w:r>
      <w:bookmarkStart w:id="3509" w:name="bookmark=id.2rlei2q" w:colFirst="0" w:colLast="0"/>
      <w:bookmarkStart w:id="3510" w:name="Schedule_31_Annex_III"/>
      <w:bookmarkEnd w:id="3509"/>
      <w:r w:rsidRPr="00102034">
        <w:rPr>
          <w:rFonts w:eastAsia="Arial" w:cs="Arial"/>
          <w:b/>
          <w:color w:val="000000"/>
          <w:szCs w:val="24"/>
          <w:lang w:eastAsia="en-GB"/>
        </w:rPr>
        <w:t>III</w:t>
      </w:r>
      <w:bookmarkEnd w:id="3510"/>
    </w:p>
    <w:p w14:paraId="09AEDC04" w14:textId="77777777" w:rsidR="00F67E9E" w:rsidRPr="00102034" w:rsidRDefault="00F67E9E" w:rsidP="00F67E9E">
      <w:pPr>
        <w:pBdr>
          <w:top w:val="nil"/>
          <w:left w:val="nil"/>
          <w:bottom w:val="nil"/>
          <w:right w:val="nil"/>
          <w:between w:val="nil"/>
        </w:pBdr>
        <w:spacing w:before="240" w:after="240"/>
        <w:jc w:val="center"/>
        <w:rPr>
          <w:rFonts w:eastAsia="Arial" w:cs="Arial"/>
          <w:b/>
          <w:color w:val="000000"/>
          <w:szCs w:val="24"/>
          <w:lang w:eastAsia="en-GB"/>
        </w:rPr>
      </w:pPr>
      <w:bookmarkStart w:id="3511" w:name="bookmark=id.16qosaj" w:colFirst="0" w:colLast="0"/>
      <w:bookmarkEnd w:id="3511"/>
      <w:r w:rsidRPr="00102034">
        <w:rPr>
          <w:rFonts w:eastAsia="Arial" w:cs="Arial"/>
          <w:b/>
          <w:color w:val="000000"/>
          <w:szCs w:val="24"/>
          <w:lang w:eastAsia="en-GB"/>
        </w:rPr>
        <w:t>LIST OF SUB-PROCESSORS</w:t>
      </w:r>
    </w:p>
    <w:tbl>
      <w:tblPr>
        <w:tblW w:w="9720" w:type="dxa"/>
        <w:tblBorders>
          <w:top w:val="nil"/>
          <w:left w:val="nil"/>
          <w:bottom w:val="nil"/>
          <w:right w:val="nil"/>
          <w:insideH w:val="nil"/>
          <w:insideV w:val="nil"/>
        </w:tblBorders>
        <w:tblLayout w:type="fixed"/>
        <w:tblLook w:val="0400" w:firstRow="0" w:lastRow="0" w:firstColumn="0" w:lastColumn="0" w:noHBand="0" w:noVBand="1"/>
      </w:tblPr>
      <w:tblGrid>
        <w:gridCol w:w="9720"/>
      </w:tblGrid>
      <w:tr w:rsidR="00F67E9E" w:rsidRPr="00102034" w14:paraId="61B419D1" w14:textId="77777777" w:rsidTr="007F74AA">
        <w:tc>
          <w:tcPr>
            <w:tcW w:w="9720" w:type="dxa"/>
          </w:tcPr>
          <w:p w14:paraId="143B3782" w14:textId="77777777" w:rsidR="00F67E9E" w:rsidRPr="00102034" w:rsidRDefault="00F67E9E" w:rsidP="007F74AA">
            <w:pPr>
              <w:pBdr>
                <w:top w:val="nil"/>
                <w:left w:val="nil"/>
                <w:bottom w:val="nil"/>
                <w:right w:val="nil"/>
                <w:between w:val="nil"/>
              </w:pBdr>
              <w:spacing w:before="120"/>
              <w:rPr>
                <w:rFonts w:eastAsia="Arial" w:cs="Arial"/>
                <w:b/>
                <w:color w:val="000000"/>
                <w:szCs w:val="24"/>
                <w:lang w:eastAsia="en-GB"/>
              </w:rPr>
            </w:pPr>
            <w:r w:rsidRPr="00102034">
              <w:rPr>
                <w:rFonts w:eastAsia="Arial" w:cs="Arial"/>
                <w:color w:val="000000"/>
                <w:szCs w:val="24"/>
                <w:lang w:eastAsia="en-GB"/>
              </w:rPr>
              <w:t>EXPLANATORY NOTE:</w:t>
            </w:r>
          </w:p>
          <w:p w14:paraId="3ECD3697" w14:textId="77777777" w:rsidR="00F67E9E" w:rsidRPr="00102034" w:rsidRDefault="00F67E9E" w:rsidP="007F74AA">
            <w:pPr>
              <w:pBdr>
                <w:top w:val="nil"/>
                <w:left w:val="nil"/>
                <w:bottom w:val="nil"/>
                <w:right w:val="nil"/>
                <w:between w:val="nil"/>
              </w:pBdr>
              <w:spacing w:before="120"/>
              <w:rPr>
                <w:rFonts w:eastAsia="Arial" w:cs="Arial"/>
                <w:b/>
                <w:color w:val="000000"/>
                <w:szCs w:val="24"/>
                <w:lang w:eastAsia="en-GB"/>
              </w:rPr>
            </w:pPr>
            <w:r w:rsidRPr="00102034">
              <w:rPr>
                <w:rFonts w:eastAsia="Arial" w:cs="Arial"/>
                <w:color w:val="000000"/>
                <w:szCs w:val="24"/>
                <w:lang w:eastAsia="en-GB"/>
              </w:rPr>
              <w:t xml:space="preserve">This Annex must be completed in case of the specific authorization of sub-processors (Clause 9(a), Option 1). </w:t>
            </w:r>
          </w:p>
        </w:tc>
      </w:tr>
    </w:tbl>
    <w:p w14:paraId="554F5465" w14:textId="77777777" w:rsidR="00F67E9E" w:rsidRPr="00102034" w:rsidRDefault="00F67E9E" w:rsidP="00F67E9E">
      <w:pPr>
        <w:pBdr>
          <w:top w:val="nil"/>
          <w:left w:val="nil"/>
          <w:bottom w:val="nil"/>
          <w:right w:val="nil"/>
          <w:between w:val="nil"/>
        </w:pBdr>
        <w:spacing w:before="240" w:after="240"/>
        <w:ind w:firstLine="1440"/>
        <w:rPr>
          <w:rFonts w:eastAsia="Arial" w:cs="Arial"/>
          <w:color w:val="000000"/>
          <w:szCs w:val="24"/>
          <w:lang w:eastAsia="en-GB"/>
        </w:rPr>
      </w:pPr>
      <w:bookmarkStart w:id="3512" w:name="bookmark=id.3qqcayc" w:colFirst="0" w:colLast="0"/>
      <w:bookmarkEnd w:id="3512"/>
      <w:r w:rsidRPr="00102034">
        <w:rPr>
          <w:rFonts w:eastAsia="Arial" w:cs="Arial"/>
          <w:color w:val="000000"/>
          <w:szCs w:val="24"/>
          <w:lang w:eastAsia="en-GB"/>
        </w:rPr>
        <w:t>The controller has authorised the use of the following sub-processors:</w:t>
      </w:r>
    </w:p>
    <w:p w14:paraId="5F658EFD" w14:textId="77777777" w:rsidR="00F67E9E" w:rsidRPr="00102034" w:rsidRDefault="00F67E9E" w:rsidP="00F67E9E">
      <w:pPr>
        <w:pBdr>
          <w:top w:val="nil"/>
          <w:left w:val="nil"/>
          <w:bottom w:val="nil"/>
          <w:right w:val="nil"/>
          <w:between w:val="nil"/>
        </w:pBdr>
        <w:tabs>
          <w:tab w:val="left" w:pos="2880"/>
        </w:tabs>
        <w:spacing w:before="120" w:after="240"/>
        <w:ind w:left="720" w:firstLine="1440"/>
        <w:rPr>
          <w:rFonts w:eastAsia="Arial" w:cs="Arial"/>
          <w:color w:val="000000"/>
          <w:szCs w:val="24"/>
          <w:lang w:eastAsia="en-GB"/>
        </w:rPr>
      </w:pPr>
      <w:bookmarkStart w:id="3513" w:name="bookmark=id.25vml65" w:colFirst="0" w:colLast="0"/>
      <w:bookmarkEnd w:id="3513"/>
      <w:r w:rsidRPr="00102034">
        <w:rPr>
          <w:rFonts w:eastAsia="Arial" w:cs="Arial"/>
          <w:color w:val="000000"/>
          <w:szCs w:val="24"/>
          <w:lang w:eastAsia="en-GB"/>
        </w:rPr>
        <w:t xml:space="preserve">1. </w:t>
      </w:r>
      <w:r>
        <w:rPr>
          <w:rFonts w:eastAsia="Arial" w:cs="Arial"/>
          <w:color w:val="000000"/>
          <w:szCs w:val="24"/>
          <w:lang w:eastAsia="en-GB"/>
        </w:rPr>
        <w:tab/>
      </w:r>
      <w:r w:rsidRPr="00102034">
        <w:rPr>
          <w:rFonts w:eastAsia="Arial" w:cs="Arial"/>
          <w:color w:val="000000"/>
          <w:szCs w:val="24"/>
          <w:lang w:eastAsia="en-GB"/>
        </w:rPr>
        <w:t>Name: …</w:t>
      </w:r>
      <w:r>
        <w:rPr>
          <w:rFonts w:eastAsia="Arial" w:cs="Arial"/>
          <w:color w:val="000000"/>
          <w:szCs w:val="24"/>
          <w:lang w:eastAsia="en-GB"/>
        </w:rPr>
        <w:t>……………………</w:t>
      </w:r>
    </w:p>
    <w:p w14:paraId="562B7A1E" w14:textId="77777777" w:rsidR="00F67E9E" w:rsidRPr="00102034" w:rsidRDefault="00F67E9E" w:rsidP="00F67E9E">
      <w:pPr>
        <w:pBdr>
          <w:top w:val="nil"/>
          <w:left w:val="nil"/>
          <w:bottom w:val="nil"/>
          <w:right w:val="nil"/>
          <w:between w:val="nil"/>
        </w:pBdr>
        <w:spacing w:before="120" w:after="240"/>
        <w:ind w:left="1440" w:firstLine="1440"/>
        <w:rPr>
          <w:rFonts w:eastAsia="Arial" w:cs="Arial"/>
          <w:color w:val="000000"/>
          <w:szCs w:val="24"/>
          <w:lang w:eastAsia="en-GB"/>
        </w:rPr>
      </w:pPr>
      <w:bookmarkStart w:id="3514" w:name="bookmark=id.l0wvdy" w:colFirst="0" w:colLast="0"/>
      <w:bookmarkEnd w:id="3514"/>
      <w:r w:rsidRPr="00102034">
        <w:rPr>
          <w:rFonts w:eastAsia="Arial" w:cs="Arial"/>
          <w:color w:val="000000"/>
          <w:szCs w:val="24"/>
          <w:lang w:eastAsia="en-GB"/>
        </w:rPr>
        <w:t>Address: …</w:t>
      </w:r>
      <w:r>
        <w:rPr>
          <w:rFonts w:eastAsia="Arial" w:cs="Arial"/>
          <w:color w:val="000000"/>
          <w:szCs w:val="24"/>
          <w:lang w:eastAsia="en-GB"/>
        </w:rPr>
        <w:t>…………………</w:t>
      </w:r>
    </w:p>
    <w:p w14:paraId="5CF8B48D" w14:textId="77777777" w:rsidR="00F67E9E" w:rsidRPr="00102034" w:rsidRDefault="00F67E9E" w:rsidP="00F67E9E">
      <w:pPr>
        <w:pBdr>
          <w:top w:val="nil"/>
          <w:left w:val="nil"/>
          <w:bottom w:val="nil"/>
          <w:right w:val="nil"/>
          <w:between w:val="nil"/>
        </w:pBdr>
        <w:spacing w:before="120" w:after="240"/>
        <w:ind w:left="2880"/>
        <w:rPr>
          <w:rFonts w:eastAsia="Arial" w:cs="Arial"/>
          <w:color w:val="000000"/>
          <w:szCs w:val="24"/>
          <w:lang w:eastAsia="en-GB"/>
        </w:rPr>
      </w:pPr>
      <w:bookmarkStart w:id="3515" w:name="bookmark=id.350ke1r" w:colFirst="0" w:colLast="0"/>
      <w:bookmarkEnd w:id="3515"/>
      <w:r w:rsidRPr="00102034">
        <w:rPr>
          <w:rFonts w:eastAsia="Arial" w:cs="Arial"/>
          <w:color w:val="000000"/>
          <w:szCs w:val="24"/>
          <w:lang w:eastAsia="en-GB"/>
        </w:rPr>
        <w:t>Contact person's name, position and contact details: …</w:t>
      </w:r>
      <w:r>
        <w:rPr>
          <w:rFonts w:eastAsia="Arial" w:cs="Arial"/>
          <w:color w:val="000000"/>
          <w:szCs w:val="24"/>
          <w:lang w:eastAsia="en-GB"/>
        </w:rPr>
        <w:t>………………………..….</w:t>
      </w:r>
    </w:p>
    <w:p w14:paraId="4C337564" w14:textId="77777777" w:rsidR="00F67E9E" w:rsidRPr="00102034" w:rsidRDefault="00F67E9E" w:rsidP="00F67E9E">
      <w:pPr>
        <w:pBdr>
          <w:top w:val="nil"/>
          <w:left w:val="nil"/>
          <w:bottom w:val="nil"/>
          <w:right w:val="nil"/>
          <w:between w:val="nil"/>
        </w:pBdr>
        <w:spacing w:before="120" w:after="240"/>
        <w:ind w:left="2880"/>
        <w:rPr>
          <w:rFonts w:eastAsia="Arial" w:cs="Arial"/>
          <w:color w:val="000000"/>
          <w:szCs w:val="24"/>
          <w:lang w:eastAsia="en-GB"/>
        </w:rPr>
      </w:pPr>
      <w:bookmarkStart w:id="3516" w:name="bookmark=id.1k5uo9k" w:colFirst="0" w:colLast="0"/>
      <w:bookmarkEnd w:id="3516"/>
      <w:r w:rsidRPr="00102034">
        <w:rPr>
          <w:rFonts w:eastAsia="Arial" w:cs="Arial"/>
          <w:color w:val="000000"/>
          <w:szCs w:val="24"/>
          <w:lang w:eastAsia="en-GB"/>
        </w:rPr>
        <w:t>Description of processing (including a clear delimitation of responsibilities in case several sub-processors are authorised): …</w:t>
      </w:r>
      <w:r>
        <w:rPr>
          <w:rFonts w:eastAsia="Arial" w:cs="Arial"/>
          <w:color w:val="000000"/>
          <w:szCs w:val="24"/>
          <w:lang w:eastAsia="en-GB"/>
        </w:rPr>
        <w:t>………………………………..</w:t>
      </w:r>
    </w:p>
    <w:p w14:paraId="6D2B53F1" w14:textId="77777777" w:rsidR="00F67E9E" w:rsidRPr="00102034" w:rsidRDefault="00F67E9E" w:rsidP="00F67E9E">
      <w:pPr>
        <w:pBdr>
          <w:top w:val="nil"/>
          <w:left w:val="nil"/>
          <w:bottom w:val="nil"/>
          <w:right w:val="nil"/>
          <w:between w:val="nil"/>
        </w:pBdr>
        <w:tabs>
          <w:tab w:val="left" w:pos="2880"/>
        </w:tabs>
        <w:spacing w:before="120" w:after="240"/>
        <w:ind w:left="720" w:firstLine="1440"/>
        <w:rPr>
          <w:rFonts w:eastAsia="Arial" w:cs="Arial"/>
          <w:color w:val="000000"/>
          <w:szCs w:val="24"/>
          <w:lang w:eastAsia="en-GB"/>
        </w:rPr>
      </w:pPr>
      <w:bookmarkStart w:id="3517" w:name="bookmark=id.445i6xd" w:colFirst="0" w:colLast="0"/>
      <w:bookmarkEnd w:id="3517"/>
      <w:r w:rsidRPr="00102034">
        <w:rPr>
          <w:rFonts w:eastAsia="Arial" w:cs="Arial"/>
          <w:color w:val="000000"/>
          <w:szCs w:val="24"/>
          <w:lang w:eastAsia="en-GB"/>
        </w:rPr>
        <w:t xml:space="preserve">2. </w:t>
      </w:r>
      <w:r>
        <w:rPr>
          <w:rFonts w:eastAsia="Arial" w:cs="Arial"/>
          <w:color w:val="000000"/>
          <w:szCs w:val="24"/>
          <w:lang w:eastAsia="en-GB"/>
        </w:rPr>
        <w:tab/>
      </w:r>
      <w:r w:rsidRPr="00102034">
        <w:rPr>
          <w:rFonts w:eastAsia="Arial" w:cs="Arial"/>
          <w:color w:val="000000"/>
          <w:szCs w:val="24"/>
          <w:lang w:eastAsia="en-GB"/>
        </w:rPr>
        <w:t>…</w:t>
      </w:r>
      <w:r>
        <w:rPr>
          <w:rFonts w:eastAsia="Arial" w:cs="Arial"/>
          <w:color w:val="000000"/>
          <w:szCs w:val="24"/>
          <w:lang w:eastAsia="en-GB"/>
        </w:rPr>
        <w:t>…..</w:t>
      </w:r>
    </w:p>
    <w:p w14:paraId="324043DB" w14:textId="77777777" w:rsidR="00F67E9E" w:rsidRPr="00102034" w:rsidRDefault="00F67E9E" w:rsidP="00F67E9E">
      <w:pPr>
        <w:spacing w:after="200" w:line="276" w:lineRule="auto"/>
        <w:rPr>
          <w:rFonts w:ascii="Calibri" w:eastAsia="Calibri" w:hAnsi="Calibri" w:cs="Calibri"/>
          <w:sz w:val="22"/>
          <w:szCs w:val="22"/>
          <w:lang w:eastAsia="en-GB"/>
        </w:rPr>
      </w:pPr>
      <w:r w:rsidRPr="00102034">
        <w:rPr>
          <w:rFonts w:ascii="Calibri" w:eastAsia="Calibri" w:hAnsi="Calibri" w:cs="Calibri"/>
          <w:sz w:val="22"/>
          <w:szCs w:val="22"/>
          <w:lang w:eastAsia="en-GB"/>
        </w:rPr>
        <w:br w:type="page"/>
      </w:r>
    </w:p>
    <w:p w14:paraId="6677F369" w14:textId="77777777" w:rsidR="00F67E9E" w:rsidRPr="000F11A9" w:rsidRDefault="00F67E9E" w:rsidP="000F11A9">
      <w:pPr>
        <w:pStyle w:val="Heading2"/>
      </w:pPr>
      <w:bookmarkStart w:id="3518" w:name="_Toc141712006"/>
      <w:r w:rsidRPr="000F11A9">
        <w:t xml:space="preserve">Part </w:t>
      </w:r>
      <w:bookmarkStart w:id="3519" w:name="bookmark=id.2jash56" w:colFirst="0" w:colLast="0"/>
      <w:bookmarkEnd w:id="3519"/>
      <w:r w:rsidRPr="000F11A9">
        <w:t>C: Processor to Processor Standard Contractual Clauses</w:t>
      </w:r>
      <w:bookmarkEnd w:id="3518"/>
    </w:p>
    <w:p w14:paraId="22C1EE98" w14:textId="77777777" w:rsidR="00F67E9E" w:rsidRPr="00102034" w:rsidRDefault="00F67E9E" w:rsidP="00F67E9E">
      <w:pPr>
        <w:pBdr>
          <w:top w:val="nil"/>
          <w:left w:val="nil"/>
          <w:bottom w:val="nil"/>
          <w:right w:val="nil"/>
          <w:between w:val="nil"/>
        </w:pBdr>
        <w:spacing w:before="120" w:after="240"/>
        <w:jc w:val="center"/>
        <w:rPr>
          <w:rFonts w:eastAsia="Arial" w:cs="Arial"/>
          <w:b/>
          <w:color w:val="000000"/>
          <w:szCs w:val="24"/>
          <w:lang w:eastAsia="en-GB"/>
        </w:rPr>
      </w:pPr>
      <w:r w:rsidRPr="00102034">
        <w:rPr>
          <w:rFonts w:eastAsia="Arial" w:cs="Arial"/>
          <w:b/>
          <w:color w:val="000000"/>
          <w:szCs w:val="24"/>
          <w:lang w:eastAsia="en-GB"/>
        </w:rPr>
        <w:t>Standard Contractual Clauses for Personal Data Transfers from an EU Processor to a Processor Established in a Third Country (Processor-to-Processor Transfers)</w:t>
      </w:r>
    </w:p>
    <w:p w14:paraId="04EB02D5" w14:textId="77777777" w:rsidR="00F67E9E" w:rsidRPr="00102034" w:rsidRDefault="00F67E9E" w:rsidP="00F67E9E">
      <w:pPr>
        <w:pBdr>
          <w:top w:val="nil"/>
          <w:left w:val="nil"/>
          <w:bottom w:val="nil"/>
          <w:right w:val="nil"/>
          <w:between w:val="nil"/>
        </w:pBdr>
        <w:spacing w:before="120"/>
        <w:jc w:val="center"/>
        <w:rPr>
          <w:rFonts w:eastAsia="Arial" w:cs="Arial"/>
          <w:b/>
          <w:color w:val="000000"/>
          <w:szCs w:val="24"/>
          <w:lang w:eastAsia="en-GB"/>
        </w:rPr>
      </w:pPr>
      <w:r w:rsidRPr="00102034">
        <w:rPr>
          <w:rFonts w:eastAsia="Arial" w:cs="Arial"/>
          <w:b/>
          <w:color w:val="000000"/>
          <w:szCs w:val="24"/>
          <w:lang w:eastAsia="en-GB"/>
        </w:rPr>
        <w:t>SECTION I</w:t>
      </w:r>
    </w:p>
    <w:p w14:paraId="46D84F0A" w14:textId="77777777" w:rsidR="00F67E9E" w:rsidRPr="00102034" w:rsidRDefault="00F67E9E" w:rsidP="00F67E9E">
      <w:pPr>
        <w:pBdr>
          <w:top w:val="nil"/>
          <w:left w:val="nil"/>
          <w:bottom w:val="nil"/>
          <w:right w:val="nil"/>
          <w:between w:val="nil"/>
        </w:pBdr>
        <w:spacing w:before="120"/>
        <w:jc w:val="center"/>
        <w:rPr>
          <w:rFonts w:eastAsia="Arial" w:cs="Arial"/>
          <w:b/>
          <w:color w:val="000000"/>
          <w:szCs w:val="24"/>
          <w:lang w:eastAsia="en-GB"/>
        </w:rPr>
      </w:pPr>
      <w:r w:rsidRPr="00102034">
        <w:rPr>
          <w:rFonts w:eastAsia="Arial" w:cs="Arial"/>
          <w:b/>
          <w:color w:val="000000"/>
          <w:szCs w:val="24"/>
          <w:lang w:eastAsia="en-GB"/>
        </w:rPr>
        <w:t>CLAUSE 1</w:t>
      </w:r>
    </w:p>
    <w:p w14:paraId="735D0C2B" w14:textId="77777777" w:rsidR="00F67E9E" w:rsidRPr="00102034" w:rsidRDefault="00F67E9E" w:rsidP="00F67E9E">
      <w:pPr>
        <w:pBdr>
          <w:top w:val="nil"/>
          <w:left w:val="nil"/>
          <w:bottom w:val="nil"/>
          <w:right w:val="nil"/>
          <w:between w:val="nil"/>
        </w:pBdr>
        <w:spacing w:before="240" w:after="240"/>
        <w:rPr>
          <w:rFonts w:eastAsia="Arial" w:cs="Arial"/>
          <w:b/>
          <w:color w:val="000000"/>
          <w:szCs w:val="24"/>
          <w:lang w:eastAsia="en-GB"/>
        </w:rPr>
      </w:pPr>
      <w:r w:rsidRPr="00102034">
        <w:rPr>
          <w:rFonts w:eastAsia="Arial" w:cs="Arial"/>
          <w:b/>
          <w:color w:val="000000"/>
          <w:szCs w:val="24"/>
          <w:lang w:eastAsia="en-GB"/>
        </w:rPr>
        <w:t>Purpose and scope</w:t>
      </w:r>
    </w:p>
    <w:p w14:paraId="53A8D025" w14:textId="77777777" w:rsidR="00F67E9E" w:rsidRPr="00102034" w:rsidRDefault="00F67E9E" w:rsidP="00F67E9E">
      <w:pPr>
        <w:numPr>
          <w:ilvl w:val="1"/>
          <w:numId w:val="252"/>
        </w:numPr>
        <w:pBdr>
          <w:top w:val="nil"/>
          <w:left w:val="nil"/>
          <w:bottom w:val="nil"/>
          <w:right w:val="nil"/>
          <w:between w:val="nil"/>
        </w:pBdr>
        <w:tabs>
          <w:tab w:val="left" w:pos="1440"/>
        </w:tabs>
        <w:spacing w:before="120" w:after="240"/>
        <w:ind w:left="1440" w:hanging="720"/>
        <w:rPr>
          <w:rFonts w:eastAsia="Arial" w:cs="Arial"/>
          <w:color w:val="000000"/>
          <w:szCs w:val="24"/>
          <w:lang w:eastAsia="en-GB"/>
        </w:rPr>
      </w:pPr>
      <w:r w:rsidRPr="00102034">
        <w:rPr>
          <w:rFonts w:eastAsia="Arial" w:cs="Arial"/>
          <w:color w:val="000000"/>
          <w:szCs w:val="24"/>
          <w:lang w:eastAsia="en-GB"/>
        </w:rPr>
        <w:t>The purpose of these standard contractual clauses is to ensure compliance with the requirements of Regulation (EU) 2016/679 of the European Parliament and of the Council of 27 April 2016 on the protection of natural persons with regard to the processing of personal data and on the free movement of such data (General Data Protection Regulation)[</w:t>
      </w:r>
      <w:hyperlink w:anchor="bookmark=id.32lfgkd">
        <w:r w:rsidRPr="00102034">
          <w:rPr>
            <w:rFonts w:eastAsia="Arial" w:cs="Arial"/>
            <w:color w:val="0000FF"/>
            <w:szCs w:val="24"/>
            <w:u w:val="single"/>
            <w:lang w:eastAsia="en-GB"/>
          </w:rPr>
          <w:t>FN1</w:t>
        </w:r>
      </w:hyperlink>
      <w:r w:rsidRPr="00102034">
        <w:rPr>
          <w:rFonts w:eastAsia="Arial" w:cs="Arial"/>
          <w:color w:val="000000"/>
          <w:szCs w:val="24"/>
          <w:lang w:eastAsia="en-GB"/>
        </w:rPr>
        <w:t>] for the transfer of personal data to a third country.</w:t>
      </w:r>
    </w:p>
    <w:p w14:paraId="0E460578" w14:textId="77777777" w:rsidR="00F67E9E" w:rsidRPr="00102034" w:rsidRDefault="00F67E9E" w:rsidP="00F67E9E">
      <w:pPr>
        <w:numPr>
          <w:ilvl w:val="1"/>
          <w:numId w:val="252"/>
        </w:numPr>
        <w:pBdr>
          <w:top w:val="nil"/>
          <w:left w:val="nil"/>
          <w:bottom w:val="nil"/>
          <w:right w:val="nil"/>
          <w:between w:val="nil"/>
        </w:pBdr>
        <w:tabs>
          <w:tab w:val="left" w:pos="1440"/>
        </w:tabs>
        <w:spacing w:before="120" w:after="240"/>
        <w:ind w:left="1440" w:hanging="720"/>
        <w:rPr>
          <w:rFonts w:eastAsia="Arial" w:cs="Arial"/>
          <w:color w:val="000000"/>
          <w:szCs w:val="24"/>
          <w:lang w:eastAsia="en-GB"/>
        </w:rPr>
      </w:pPr>
      <w:bookmarkStart w:id="3520" w:name="bookmark=id.yg2rcz" w:colFirst="0" w:colLast="0"/>
      <w:bookmarkEnd w:id="3520"/>
      <w:r w:rsidRPr="00102034">
        <w:rPr>
          <w:rFonts w:eastAsia="Arial" w:cs="Arial"/>
          <w:color w:val="000000"/>
          <w:szCs w:val="24"/>
          <w:lang w:eastAsia="en-GB"/>
        </w:rPr>
        <w:t>The Parties:</w:t>
      </w:r>
    </w:p>
    <w:p w14:paraId="2F4C80E5" w14:textId="77777777" w:rsidR="00F67E9E" w:rsidRPr="00102034" w:rsidRDefault="00F67E9E" w:rsidP="00F67E9E">
      <w:pPr>
        <w:numPr>
          <w:ilvl w:val="2"/>
          <w:numId w:val="27"/>
        </w:numPr>
        <w:pBdr>
          <w:top w:val="nil"/>
          <w:left w:val="nil"/>
          <w:bottom w:val="nil"/>
          <w:right w:val="nil"/>
          <w:between w:val="nil"/>
        </w:pBdr>
        <w:spacing w:before="120" w:after="240" w:line="276" w:lineRule="auto"/>
        <w:ind w:left="2160" w:hanging="720"/>
        <w:rPr>
          <w:rFonts w:eastAsia="Arial" w:cs="Arial"/>
          <w:color w:val="000000"/>
          <w:szCs w:val="24"/>
          <w:lang w:eastAsia="en-GB"/>
        </w:rPr>
      </w:pPr>
      <w:r w:rsidRPr="00102034">
        <w:rPr>
          <w:rFonts w:eastAsia="Arial" w:cs="Arial"/>
          <w:color w:val="000000"/>
          <w:szCs w:val="24"/>
          <w:lang w:eastAsia="en-GB"/>
        </w:rPr>
        <w:t>the natural or legal person(s), public authority/ies, agency/ies or other body/ies (hereinafter 'entity/ies') transferring the personal data, as listed in Annex I.A (hereinafter each 'data exporter'), and</w:t>
      </w:r>
    </w:p>
    <w:p w14:paraId="24F9A2CA" w14:textId="77777777" w:rsidR="00F67E9E" w:rsidRPr="00102034" w:rsidRDefault="00F67E9E" w:rsidP="00F67E9E">
      <w:pPr>
        <w:numPr>
          <w:ilvl w:val="2"/>
          <w:numId w:val="27"/>
        </w:numPr>
        <w:pBdr>
          <w:top w:val="nil"/>
          <w:left w:val="nil"/>
          <w:bottom w:val="nil"/>
          <w:right w:val="nil"/>
          <w:between w:val="nil"/>
        </w:pBdr>
        <w:spacing w:before="120" w:after="240" w:line="276" w:lineRule="auto"/>
        <w:ind w:left="2160" w:hanging="720"/>
        <w:rPr>
          <w:rFonts w:eastAsia="Arial" w:cs="Arial"/>
          <w:color w:val="000000"/>
          <w:szCs w:val="24"/>
          <w:lang w:eastAsia="en-GB"/>
        </w:rPr>
      </w:pPr>
      <w:r w:rsidRPr="00102034">
        <w:rPr>
          <w:rFonts w:eastAsia="Arial" w:cs="Arial"/>
          <w:color w:val="000000"/>
          <w:szCs w:val="24"/>
          <w:lang w:eastAsia="en-GB"/>
        </w:rPr>
        <w:t>the entity/ies in a third country receiving the personal data from the data exporter, directly or indirectly via another entity also Party to these Clauses, as listed in Annex I.A (hereinafter each 'data importer')</w:t>
      </w:r>
    </w:p>
    <w:p w14:paraId="17E6F1CF" w14:textId="77777777" w:rsidR="00F67E9E" w:rsidRPr="00102034" w:rsidRDefault="00F67E9E" w:rsidP="00F67E9E">
      <w:pPr>
        <w:pBdr>
          <w:top w:val="nil"/>
          <w:left w:val="nil"/>
          <w:bottom w:val="nil"/>
          <w:right w:val="nil"/>
          <w:between w:val="nil"/>
        </w:pBdr>
        <w:spacing w:before="120" w:after="240"/>
        <w:ind w:firstLine="1440"/>
        <w:rPr>
          <w:rFonts w:eastAsia="Arial" w:cs="Arial"/>
          <w:color w:val="000000"/>
          <w:szCs w:val="24"/>
          <w:lang w:eastAsia="en-GB"/>
        </w:rPr>
      </w:pPr>
      <w:r w:rsidRPr="00102034">
        <w:rPr>
          <w:rFonts w:eastAsia="Arial" w:cs="Arial"/>
          <w:color w:val="000000"/>
          <w:szCs w:val="24"/>
          <w:lang w:eastAsia="en-GB"/>
        </w:rPr>
        <w:t>have agreed to these standard contractual clauses (hereinafter: 'Clauses').</w:t>
      </w:r>
    </w:p>
    <w:p w14:paraId="11D73E2F" w14:textId="77777777" w:rsidR="00F67E9E" w:rsidRPr="00102034" w:rsidRDefault="00F67E9E" w:rsidP="00F67E9E">
      <w:pPr>
        <w:numPr>
          <w:ilvl w:val="1"/>
          <w:numId w:val="252"/>
        </w:numPr>
        <w:pBdr>
          <w:top w:val="nil"/>
          <w:left w:val="nil"/>
          <w:bottom w:val="nil"/>
          <w:right w:val="nil"/>
          <w:between w:val="nil"/>
        </w:pBdr>
        <w:tabs>
          <w:tab w:val="left" w:pos="1440"/>
        </w:tabs>
        <w:spacing w:before="120" w:after="240"/>
        <w:ind w:left="1440" w:hanging="720"/>
        <w:rPr>
          <w:rFonts w:eastAsia="Arial" w:cs="Arial"/>
          <w:color w:val="000000"/>
          <w:szCs w:val="24"/>
          <w:lang w:eastAsia="en-GB"/>
        </w:rPr>
      </w:pPr>
      <w:r w:rsidRPr="00102034">
        <w:rPr>
          <w:rFonts w:eastAsia="Arial" w:cs="Arial"/>
          <w:color w:val="000000"/>
          <w:szCs w:val="24"/>
          <w:lang w:eastAsia="en-GB"/>
        </w:rPr>
        <w:t>These Clauses apply with respect to the transfer of personal data as specified in Annex I.B.</w:t>
      </w:r>
    </w:p>
    <w:p w14:paraId="09795C75" w14:textId="26865978" w:rsidR="00F67E9E" w:rsidRPr="00102034" w:rsidRDefault="00F67E9E" w:rsidP="00F67E9E">
      <w:pPr>
        <w:numPr>
          <w:ilvl w:val="1"/>
          <w:numId w:val="252"/>
        </w:numPr>
        <w:pBdr>
          <w:top w:val="nil"/>
          <w:left w:val="nil"/>
          <w:bottom w:val="nil"/>
          <w:right w:val="nil"/>
          <w:between w:val="nil"/>
        </w:pBdr>
        <w:tabs>
          <w:tab w:val="left" w:pos="1440"/>
        </w:tabs>
        <w:spacing w:before="120" w:after="240"/>
        <w:ind w:left="1440" w:hanging="720"/>
        <w:rPr>
          <w:rFonts w:eastAsia="Arial" w:cs="Arial"/>
          <w:color w:val="000000"/>
          <w:szCs w:val="24"/>
          <w:lang w:eastAsia="en-GB"/>
        </w:rPr>
      </w:pPr>
      <w:r w:rsidRPr="00102034">
        <w:rPr>
          <w:rFonts w:eastAsia="Arial" w:cs="Arial"/>
          <w:color w:val="000000"/>
          <w:szCs w:val="24"/>
          <w:lang w:eastAsia="en-GB"/>
        </w:rPr>
        <w:t xml:space="preserve">The </w:t>
      </w:r>
      <w:r w:rsidRPr="00BF6836">
        <w:rPr>
          <w:rFonts w:eastAsia="Arial" w:cs="Arial"/>
          <w:color w:val="000000"/>
        </w:rPr>
        <w:fldChar w:fldCharType="begin"/>
      </w:r>
      <w:r w:rsidRPr="00BF6836">
        <w:rPr>
          <w:rFonts w:eastAsia="Arial" w:cs="Arial"/>
          <w:color w:val="000000"/>
        </w:rPr>
        <w:instrText xml:space="preserve"> REF  Schedule_31_PartC_Appendix \* Caps \h  \* MERGEFORMAT </w:instrText>
      </w:r>
      <w:r w:rsidRPr="00BF6836">
        <w:rPr>
          <w:rFonts w:eastAsia="Arial" w:cs="Arial"/>
          <w:color w:val="000000"/>
        </w:rPr>
      </w:r>
      <w:r w:rsidRPr="00BF6836">
        <w:rPr>
          <w:rFonts w:eastAsia="Arial" w:cs="Arial"/>
          <w:color w:val="000000"/>
        </w:rPr>
        <w:fldChar w:fldCharType="separate"/>
      </w:r>
      <w:r w:rsidR="00302D39" w:rsidRPr="00302D39">
        <w:rPr>
          <w:rFonts w:eastAsia="Arial" w:cs="Arial"/>
          <w:color w:val="000000"/>
          <w:szCs w:val="24"/>
          <w:lang w:eastAsia="en-GB"/>
        </w:rPr>
        <w:t>Appendix</w:t>
      </w:r>
      <w:r w:rsidRPr="00BF6836">
        <w:rPr>
          <w:rFonts w:eastAsia="Arial" w:cs="Arial"/>
          <w:color w:val="000000"/>
        </w:rPr>
        <w:fldChar w:fldCharType="end"/>
      </w:r>
      <w:r>
        <w:rPr>
          <w:rFonts w:eastAsia="Arial" w:cs="Arial"/>
          <w:color w:val="000000"/>
        </w:rPr>
        <w:t xml:space="preserve"> </w:t>
      </w:r>
      <w:r w:rsidRPr="00102034">
        <w:rPr>
          <w:rFonts w:eastAsia="Arial" w:cs="Arial"/>
          <w:color w:val="000000"/>
          <w:szCs w:val="24"/>
          <w:lang w:eastAsia="en-GB"/>
        </w:rPr>
        <w:t>to these Clauses containing the Annexes referred to therein forms an integral part of these Clauses.</w:t>
      </w:r>
    </w:p>
    <w:p w14:paraId="0FDC9DA5" w14:textId="77777777" w:rsidR="00F67E9E" w:rsidRPr="00102034" w:rsidRDefault="00F67E9E" w:rsidP="00F67E9E">
      <w:pPr>
        <w:pBdr>
          <w:top w:val="nil"/>
          <w:left w:val="nil"/>
          <w:bottom w:val="nil"/>
          <w:right w:val="nil"/>
          <w:between w:val="nil"/>
        </w:pBdr>
        <w:spacing w:before="120"/>
        <w:jc w:val="center"/>
        <w:rPr>
          <w:rFonts w:eastAsia="Arial" w:cs="Arial"/>
          <w:b/>
          <w:color w:val="000000"/>
          <w:szCs w:val="24"/>
          <w:lang w:eastAsia="en-GB"/>
        </w:rPr>
      </w:pPr>
      <w:r w:rsidRPr="00102034">
        <w:rPr>
          <w:rFonts w:eastAsia="Arial" w:cs="Arial"/>
          <w:b/>
          <w:color w:val="000000"/>
          <w:szCs w:val="24"/>
          <w:lang w:eastAsia="en-GB"/>
        </w:rPr>
        <w:t>CLAUSE 2</w:t>
      </w:r>
    </w:p>
    <w:p w14:paraId="1D986BB4" w14:textId="77777777" w:rsidR="00F67E9E" w:rsidRPr="00102034" w:rsidRDefault="00F67E9E" w:rsidP="00F67E9E">
      <w:pPr>
        <w:pBdr>
          <w:top w:val="nil"/>
          <w:left w:val="nil"/>
          <w:bottom w:val="nil"/>
          <w:right w:val="nil"/>
          <w:between w:val="nil"/>
        </w:pBdr>
        <w:spacing w:before="240" w:after="240"/>
        <w:rPr>
          <w:rFonts w:eastAsia="Arial" w:cs="Arial"/>
          <w:b/>
          <w:color w:val="000000"/>
          <w:szCs w:val="24"/>
          <w:lang w:eastAsia="en-GB"/>
        </w:rPr>
      </w:pPr>
      <w:r w:rsidRPr="00102034">
        <w:rPr>
          <w:rFonts w:eastAsia="Arial" w:cs="Arial"/>
          <w:b/>
          <w:color w:val="000000"/>
          <w:szCs w:val="24"/>
          <w:lang w:eastAsia="en-GB"/>
        </w:rPr>
        <w:t>Effect and invariability of the Clauses</w:t>
      </w:r>
    </w:p>
    <w:p w14:paraId="7B68AB09" w14:textId="13093C53" w:rsidR="00F67E9E" w:rsidRPr="00102034" w:rsidRDefault="00F67E9E" w:rsidP="00F67E9E">
      <w:pPr>
        <w:numPr>
          <w:ilvl w:val="1"/>
          <w:numId w:val="253"/>
        </w:numPr>
        <w:pBdr>
          <w:top w:val="nil"/>
          <w:left w:val="nil"/>
          <w:bottom w:val="nil"/>
          <w:right w:val="nil"/>
          <w:between w:val="nil"/>
        </w:pBdr>
        <w:tabs>
          <w:tab w:val="left" w:pos="1440"/>
        </w:tabs>
        <w:spacing w:before="120" w:after="240"/>
        <w:ind w:left="1440" w:hanging="720"/>
        <w:rPr>
          <w:rFonts w:eastAsia="Arial" w:cs="Arial"/>
          <w:color w:val="000000"/>
          <w:szCs w:val="24"/>
          <w:lang w:eastAsia="en-GB"/>
        </w:rPr>
      </w:pPr>
      <w:r w:rsidRPr="00102034">
        <w:rPr>
          <w:rFonts w:eastAsia="Arial" w:cs="Arial"/>
          <w:color w:val="000000"/>
          <w:szCs w:val="24"/>
          <w:lang w:eastAsia="en-GB"/>
        </w:rPr>
        <w:t xml:space="preserve">These Clauses set out appropriate safeguards, including enforceable data subject rights and effective legal remedies, pursuant to Article 46(1) and Article 46(2)(c) of Regulation (EU) 2016/679 and, with respect to data transfers from controllers to processors and/or processors to processors, standard contractual clauses pursuant to Article 28(7) of Regulation (EU) 2016/679, provided they are not modified, except to select the appropriate Module(s) or to add or update information in the </w:t>
      </w:r>
      <w:r w:rsidRPr="00BF6836">
        <w:rPr>
          <w:rFonts w:eastAsia="Arial" w:cs="Arial"/>
          <w:color w:val="000000"/>
        </w:rPr>
        <w:fldChar w:fldCharType="begin"/>
      </w:r>
      <w:r w:rsidRPr="00BF6836">
        <w:rPr>
          <w:rFonts w:eastAsia="Arial" w:cs="Arial"/>
          <w:color w:val="000000"/>
        </w:rPr>
        <w:instrText xml:space="preserve"> REF  Schedule_31_PartC_Appendix \* Caps \h  \* MERGEFORMAT </w:instrText>
      </w:r>
      <w:r w:rsidRPr="00BF6836">
        <w:rPr>
          <w:rFonts w:eastAsia="Arial" w:cs="Arial"/>
          <w:color w:val="000000"/>
        </w:rPr>
      </w:r>
      <w:r w:rsidRPr="00BF6836">
        <w:rPr>
          <w:rFonts w:eastAsia="Arial" w:cs="Arial"/>
          <w:color w:val="000000"/>
        </w:rPr>
        <w:fldChar w:fldCharType="separate"/>
      </w:r>
      <w:r w:rsidR="00302D39" w:rsidRPr="00302D39">
        <w:rPr>
          <w:rFonts w:eastAsia="Arial" w:cs="Arial"/>
          <w:color w:val="000000"/>
          <w:szCs w:val="24"/>
          <w:lang w:eastAsia="en-GB"/>
        </w:rPr>
        <w:t>Appendix</w:t>
      </w:r>
      <w:r w:rsidRPr="00BF6836">
        <w:rPr>
          <w:rFonts w:eastAsia="Arial" w:cs="Arial"/>
          <w:color w:val="000000"/>
        </w:rPr>
        <w:fldChar w:fldCharType="end"/>
      </w:r>
      <w:r w:rsidRPr="00102034">
        <w:rPr>
          <w:rFonts w:eastAsia="Arial" w:cs="Arial"/>
          <w:color w:val="000000"/>
          <w:szCs w:val="24"/>
          <w:lang w:eastAsia="en-GB"/>
        </w:rPr>
        <w:t>. This does not prevent the Parties from including the standard contractual clauses laid down in these Clauses in a wider contract and/or to add other clauses or additional safeguards, provided that they do not contradict, directly or indirectly, these Clauses or prejudice the fundamental rights or freedoms of data subjects.</w:t>
      </w:r>
    </w:p>
    <w:p w14:paraId="79765F84" w14:textId="77777777" w:rsidR="00F67E9E" w:rsidRPr="00102034" w:rsidRDefault="00F67E9E" w:rsidP="00F67E9E">
      <w:pPr>
        <w:numPr>
          <w:ilvl w:val="1"/>
          <w:numId w:val="253"/>
        </w:numPr>
        <w:pBdr>
          <w:top w:val="nil"/>
          <w:left w:val="nil"/>
          <w:bottom w:val="nil"/>
          <w:right w:val="nil"/>
          <w:between w:val="nil"/>
        </w:pBdr>
        <w:tabs>
          <w:tab w:val="left" w:pos="1440"/>
        </w:tabs>
        <w:spacing w:before="120" w:after="240"/>
        <w:ind w:left="1440" w:hanging="720"/>
        <w:rPr>
          <w:rFonts w:eastAsia="Arial" w:cs="Arial"/>
          <w:color w:val="000000"/>
          <w:szCs w:val="24"/>
          <w:lang w:eastAsia="en-GB"/>
        </w:rPr>
      </w:pPr>
      <w:r w:rsidRPr="00102034">
        <w:rPr>
          <w:rFonts w:eastAsia="Arial" w:cs="Arial"/>
          <w:color w:val="000000"/>
          <w:szCs w:val="24"/>
          <w:lang w:eastAsia="en-GB"/>
        </w:rPr>
        <w:t>These Clauses are without prejudice to obligations to which the data exporter is subject by virtue of Regulation (EU) 2016/679.</w:t>
      </w:r>
    </w:p>
    <w:p w14:paraId="4D3B56D8" w14:textId="77777777" w:rsidR="00F67E9E" w:rsidRPr="00102034" w:rsidRDefault="00F67E9E" w:rsidP="00F67E9E">
      <w:pPr>
        <w:pBdr>
          <w:top w:val="nil"/>
          <w:left w:val="nil"/>
          <w:bottom w:val="nil"/>
          <w:right w:val="nil"/>
          <w:between w:val="nil"/>
        </w:pBdr>
        <w:spacing w:before="120"/>
        <w:jc w:val="center"/>
        <w:rPr>
          <w:rFonts w:eastAsia="Arial" w:cs="Arial"/>
          <w:b/>
          <w:color w:val="000000"/>
          <w:szCs w:val="24"/>
          <w:lang w:eastAsia="en-GB"/>
        </w:rPr>
      </w:pPr>
      <w:r w:rsidRPr="00102034">
        <w:rPr>
          <w:rFonts w:eastAsia="Arial" w:cs="Arial"/>
          <w:b/>
          <w:color w:val="000000"/>
          <w:szCs w:val="24"/>
          <w:lang w:eastAsia="en-GB"/>
        </w:rPr>
        <w:t>CLAUSE 3</w:t>
      </w:r>
    </w:p>
    <w:p w14:paraId="787F7B1A" w14:textId="77777777" w:rsidR="00F67E9E" w:rsidRPr="00102034" w:rsidRDefault="00F67E9E" w:rsidP="00F67E9E">
      <w:pPr>
        <w:pBdr>
          <w:top w:val="nil"/>
          <w:left w:val="nil"/>
          <w:bottom w:val="nil"/>
          <w:right w:val="nil"/>
          <w:between w:val="nil"/>
        </w:pBdr>
        <w:spacing w:before="240" w:after="240"/>
        <w:rPr>
          <w:rFonts w:eastAsia="Arial" w:cs="Arial"/>
          <w:b/>
          <w:color w:val="000000"/>
          <w:szCs w:val="24"/>
          <w:lang w:eastAsia="en-GB"/>
        </w:rPr>
      </w:pPr>
      <w:r w:rsidRPr="00102034">
        <w:rPr>
          <w:rFonts w:eastAsia="Arial" w:cs="Arial"/>
          <w:b/>
          <w:color w:val="000000"/>
          <w:szCs w:val="24"/>
          <w:lang w:eastAsia="en-GB"/>
        </w:rPr>
        <w:t>Third-party beneficiaries</w:t>
      </w:r>
    </w:p>
    <w:p w14:paraId="4DA27E18" w14:textId="77777777" w:rsidR="00F67E9E" w:rsidRPr="00102034" w:rsidRDefault="00F67E9E" w:rsidP="00F67E9E">
      <w:pPr>
        <w:numPr>
          <w:ilvl w:val="1"/>
          <w:numId w:val="254"/>
        </w:numPr>
        <w:pBdr>
          <w:top w:val="nil"/>
          <w:left w:val="nil"/>
          <w:bottom w:val="nil"/>
          <w:right w:val="nil"/>
          <w:between w:val="nil"/>
        </w:pBdr>
        <w:tabs>
          <w:tab w:val="left" w:pos="1440"/>
        </w:tabs>
        <w:spacing w:before="120" w:after="240"/>
        <w:ind w:left="1440" w:hanging="720"/>
        <w:rPr>
          <w:rFonts w:eastAsia="Arial" w:cs="Arial"/>
          <w:color w:val="000000"/>
          <w:szCs w:val="24"/>
          <w:lang w:eastAsia="en-GB"/>
        </w:rPr>
      </w:pPr>
      <w:bookmarkStart w:id="3521" w:name="_heading=h.3ifqa0s" w:colFirst="0" w:colLast="0"/>
      <w:bookmarkStart w:id="3522" w:name="_Ref141248825"/>
      <w:bookmarkEnd w:id="3521"/>
      <w:r w:rsidRPr="00102034">
        <w:rPr>
          <w:rFonts w:eastAsia="Arial" w:cs="Arial"/>
          <w:color w:val="000000"/>
          <w:szCs w:val="24"/>
          <w:lang w:eastAsia="en-GB"/>
        </w:rPr>
        <w:t>Data subjects may invoke and enforce these Clauses, as third-party beneficiaries, against the data exporter and/or data importer, with the following exceptions:</w:t>
      </w:r>
      <w:bookmarkEnd w:id="3522"/>
    </w:p>
    <w:p w14:paraId="6DCC3D0D" w14:textId="77777777" w:rsidR="00F67E9E" w:rsidRPr="00102034" w:rsidRDefault="00F67E9E" w:rsidP="00F67E9E">
      <w:pPr>
        <w:numPr>
          <w:ilvl w:val="2"/>
          <w:numId w:val="1"/>
        </w:numPr>
        <w:pBdr>
          <w:top w:val="nil"/>
          <w:left w:val="nil"/>
          <w:bottom w:val="nil"/>
          <w:right w:val="nil"/>
          <w:between w:val="nil"/>
        </w:pBdr>
        <w:spacing w:before="120" w:after="240"/>
        <w:ind w:firstLine="0"/>
        <w:rPr>
          <w:rFonts w:eastAsia="Arial" w:cs="Arial"/>
          <w:color w:val="000000"/>
          <w:szCs w:val="24"/>
          <w:lang w:eastAsia="en-GB"/>
        </w:rPr>
      </w:pPr>
      <w:r w:rsidRPr="00102034">
        <w:rPr>
          <w:rFonts w:eastAsia="Arial" w:cs="Arial"/>
          <w:color w:val="000000"/>
          <w:szCs w:val="24"/>
          <w:lang w:eastAsia="en-GB"/>
        </w:rPr>
        <w:t xml:space="preserve">Clause 1, Clause 2, Clause 3, Clause 6, Clause 7; </w:t>
      </w:r>
    </w:p>
    <w:p w14:paraId="4F4F0FDC" w14:textId="77777777" w:rsidR="00F67E9E" w:rsidRPr="00102034" w:rsidRDefault="00F67E9E" w:rsidP="00F67E9E">
      <w:pPr>
        <w:numPr>
          <w:ilvl w:val="2"/>
          <w:numId w:val="1"/>
        </w:numPr>
        <w:pBdr>
          <w:top w:val="nil"/>
          <w:left w:val="nil"/>
          <w:bottom w:val="nil"/>
          <w:right w:val="nil"/>
          <w:between w:val="nil"/>
        </w:pBdr>
        <w:spacing w:before="120" w:after="240"/>
        <w:ind w:left="2160" w:hanging="720"/>
        <w:rPr>
          <w:rFonts w:eastAsia="Arial" w:cs="Arial"/>
          <w:color w:val="000000"/>
          <w:szCs w:val="24"/>
          <w:lang w:eastAsia="en-GB"/>
        </w:rPr>
      </w:pPr>
      <w:r w:rsidRPr="00102034">
        <w:rPr>
          <w:rFonts w:eastAsia="Arial" w:cs="Arial"/>
          <w:color w:val="000000"/>
          <w:szCs w:val="24"/>
          <w:lang w:eastAsia="en-GB"/>
        </w:rPr>
        <w:t>Clause 8 – Module One: Clause 8.5 (e) and Clause 8.9(b); Module Two: Clause 8.1(b), 8.9(a), (c), (d) and (e); Module Three: Clause 8.1(a), (c) and (d) and Clause 8.9(a), (c), (d), (e), (f) and (g); Module Four: Clause 8.1 (b) and Clause 8.3(b);</w:t>
      </w:r>
    </w:p>
    <w:p w14:paraId="272059BE" w14:textId="77777777" w:rsidR="00F67E9E" w:rsidRPr="00102034" w:rsidRDefault="00F67E9E" w:rsidP="00F67E9E">
      <w:pPr>
        <w:numPr>
          <w:ilvl w:val="2"/>
          <w:numId w:val="1"/>
        </w:numPr>
        <w:pBdr>
          <w:top w:val="nil"/>
          <w:left w:val="nil"/>
          <w:bottom w:val="nil"/>
          <w:right w:val="nil"/>
          <w:between w:val="nil"/>
        </w:pBdr>
        <w:spacing w:before="120" w:after="240"/>
        <w:ind w:left="2160" w:hanging="720"/>
        <w:rPr>
          <w:rFonts w:eastAsia="Arial" w:cs="Arial"/>
          <w:color w:val="000000"/>
          <w:szCs w:val="24"/>
          <w:lang w:eastAsia="en-GB"/>
        </w:rPr>
      </w:pPr>
      <w:r w:rsidRPr="00102034">
        <w:rPr>
          <w:rFonts w:eastAsia="Arial" w:cs="Arial"/>
          <w:color w:val="000000"/>
          <w:szCs w:val="24"/>
          <w:lang w:eastAsia="en-GB"/>
        </w:rPr>
        <w:t>Clause 9 – Module Two: Clause 9(a), (c), (d) and (e); Module Three: Clause 9(a), (c), (d) and (e);</w:t>
      </w:r>
    </w:p>
    <w:p w14:paraId="1F1F9A4E" w14:textId="77777777" w:rsidR="00F67E9E" w:rsidRPr="00102034" w:rsidRDefault="00F67E9E" w:rsidP="00F67E9E">
      <w:pPr>
        <w:numPr>
          <w:ilvl w:val="2"/>
          <w:numId w:val="1"/>
        </w:numPr>
        <w:pBdr>
          <w:top w:val="nil"/>
          <w:left w:val="nil"/>
          <w:bottom w:val="nil"/>
          <w:right w:val="nil"/>
          <w:between w:val="nil"/>
        </w:pBdr>
        <w:spacing w:before="120" w:after="240"/>
        <w:ind w:left="2160" w:hanging="720"/>
        <w:rPr>
          <w:rFonts w:eastAsia="Arial" w:cs="Arial"/>
          <w:color w:val="000000"/>
          <w:szCs w:val="24"/>
          <w:lang w:eastAsia="en-GB"/>
        </w:rPr>
      </w:pPr>
      <w:r w:rsidRPr="00102034">
        <w:rPr>
          <w:rFonts w:eastAsia="Arial" w:cs="Arial"/>
          <w:color w:val="000000"/>
          <w:szCs w:val="24"/>
          <w:lang w:eastAsia="en-GB"/>
        </w:rPr>
        <w:t>Clause 12 – Module One: Clause 12(a) and (d); Modules Two and Three: Clause 12(a), (d) and (f);</w:t>
      </w:r>
    </w:p>
    <w:p w14:paraId="1A6F525E" w14:textId="77777777" w:rsidR="00F67E9E" w:rsidRPr="00102034" w:rsidRDefault="00F67E9E" w:rsidP="00F67E9E">
      <w:pPr>
        <w:numPr>
          <w:ilvl w:val="2"/>
          <w:numId w:val="1"/>
        </w:numPr>
        <w:pBdr>
          <w:top w:val="nil"/>
          <w:left w:val="nil"/>
          <w:bottom w:val="nil"/>
          <w:right w:val="nil"/>
          <w:between w:val="nil"/>
        </w:pBdr>
        <w:spacing w:before="120" w:after="240"/>
        <w:ind w:firstLine="0"/>
        <w:rPr>
          <w:rFonts w:eastAsia="Arial" w:cs="Arial"/>
          <w:color w:val="000000"/>
          <w:szCs w:val="24"/>
          <w:lang w:eastAsia="en-GB"/>
        </w:rPr>
      </w:pPr>
      <w:r w:rsidRPr="00102034">
        <w:rPr>
          <w:rFonts w:eastAsia="Arial" w:cs="Arial"/>
          <w:color w:val="000000"/>
          <w:szCs w:val="24"/>
          <w:lang w:eastAsia="en-GB"/>
        </w:rPr>
        <w:t>Clause 13;</w:t>
      </w:r>
    </w:p>
    <w:p w14:paraId="3BB7A42F" w14:textId="77777777" w:rsidR="00F67E9E" w:rsidRPr="00102034" w:rsidRDefault="00F67E9E" w:rsidP="00F67E9E">
      <w:pPr>
        <w:numPr>
          <w:ilvl w:val="2"/>
          <w:numId w:val="1"/>
        </w:numPr>
        <w:pBdr>
          <w:top w:val="nil"/>
          <w:left w:val="nil"/>
          <w:bottom w:val="nil"/>
          <w:right w:val="nil"/>
          <w:between w:val="nil"/>
        </w:pBdr>
        <w:spacing w:before="120" w:after="240"/>
        <w:ind w:firstLine="0"/>
        <w:rPr>
          <w:rFonts w:eastAsia="Arial" w:cs="Arial"/>
          <w:color w:val="000000"/>
          <w:szCs w:val="24"/>
          <w:lang w:eastAsia="en-GB"/>
        </w:rPr>
      </w:pPr>
      <w:r w:rsidRPr="00102034">
        <w:rPr>
          <w:rFonts w:eastAsia="Arial" w:cs="Arial"/>
          <w:color w:val="000000"/>
          <w:szCs w:val="24"/>
          <w:lang w:eastAsia="en-GB"/>
        </w:rPr>
        <w:t>Clause 15.1(c), (d) and (e);</w:t>
      </w:r>
    </w:p>
    <w:p w14:paraId="0F227638" w14:textId="77777777" w:rsidR="00F67E9E" w:rsidRPr="00102034" w:rsidRDefault="00F67E9E" w:rsidP="00F67E9E">
      <w:pPr>
        <w:numPr>
          <w:ilvl w:val="2"/>
          <w:numId w:val="1"/>
        </w:numPr>
        <w:pBdr>
          <w:top w:val="nil"/>
          <w:left w:val="nil"/>
          <w:bottom w:val="nil"/>
          <w:right w:val="nil"/>
          <w:between w:val="nil"/>
        </w:pBdr>
        <w:spacing w:before="120" w:after="240"/>
        <w:ind w:firstLine="0"/>
        <w:rPr>
          <w:rFonts w:eastAsia="Arial" w:cs="Arial"/>
          <w:color w:val="000000"/>
          <w:szCs w:val="24"/>
          <w:lang w:eastAsia="en-GB"/>
        </w:rPr>
      </w:pPr>
      <w:r w:rsidRPr="00102034">
        <w:rPr>
          <w:rFonts w:eastAsia="Arial" w:cs="Arial"/>
          <w:color w:val="000000"/>
          <w:szCs w:val="24"/>
          <w:lang w:eastAsia="en-GB"/>
        </w:rPr>
        <w:t>Clause 16(e);</w:t>
      </w:r>
    </w:p>
    <w:p w14:paraId="381DFF56" w14:textId="77777777" w:rsidR="00F67E9E" w:rsidRPr="00102034" w:rsidRDefault="00F67E9E" w:rsidP="00F67E9E">
      <w:pPr>
        <w:numPr>
          <w:ilvl w:val="2"/>
          <w:numId w:val="1"/>
        </w:numPr>
        <w:pBdr>
          <w:top w:val="nil"/>
          <w:left w:val="nil"/>
          <w:bottom w:val="nil"/>
          <w:right w:val="nil"/>
          <w:between w:val="nil"/>
        </w:pBdr>
        <w:spacing w:before="120" w:after="240"/>
        <w:ind w:left="2160" w:hanging="720"/>
        <w:rPr>
          <w:rFonts w:eastAsia="Arial" w:cs="Arial"/>
          <w:color w:val="000000"/>
          <w:szCs w:val="24"/>
          <w:lang w:eastAsia="en-GB"/>
        </w:rPr>
      </w:pPr>
      <w:r w:rsidRPr="00102034">
        <w:rPr>
          <w:rFonts w:eastAsia="Arial" w:cs="Arial"/>
          <w:color w:val="000000"/>
          <w:szCs w:val="24"/>
          <w:lang w:eastAsia="en-GB"/>
        </w:rPr>
        <w:t>Clause 18 – Modules One, Two and Three: Clause 18(a) and (b); Module Four: Clause 18.</w:t>
      </w:r>
    </w:p>
    <w:p w14:paraId="71D95A89" w14:textId="35248F40" w:rsidR="00F67E9E" w:rsidRPr="00102034" w:rsidRDefault="00F67E9E" w:rsidP="00F67E9E">
      <w:pPr>
        <w:numPr>
          <w:ilvl w:val="1"/>
          <w:numId w:val="254"/>
        </w:numPr>
        <w:pBdr>
          <w:top w:val="nil"/>
          <w:left w:val="nil"/>
          <w:bottom w:val="nil"/>
          <w:right w:val="nil"/>
          <w:between w:val="nil"/>
        </w:pBdr>
        <w:tabs>
          <w:tab w:val="left" w:pos="1440"/>
        </w:tabs>
        <w:spacing w:before="120" w:after="240"/>
        <w:ind w:left="1440" w:hanging="720"/>
        <w:rPr>
          <w:rFonts w:eastAsia="Arial" w:cs="Arial"/>
          <w:color w:val="000000"/>
          <w:szCs w:val="24"/>
          <w:lang w:eastAsia="en-GB"/>
        </w:rPr>
      </w:pPr>
      <w:r w:rsidRPr="00102034">
        <w:rPr>
          <w:rFonts w:eastAsia="Arial" w:cs="Arial"/>
          <w:color w:val="000000"/>
          <w:szCs w:val="24"/>
          <w:lang w:eastAsia="en-GB"/>
        </w:rPr>
        <w:t xml:space="preserve">Paragraph </w:t>
      </w:r>
      <w:r>
        <w:rPr>
          <w:rFonts w:eastAsia="Arial" w:cs="Arial"/>
          <w:color w:val="000000"/>
          <w:szCs w:val="24"/>
          <w:lang w:eastAsia="en-GB"/>
        </w:rPr>
        <w:fldChar w:fldCharType="begin"/>
      </w:r>
      <w:r>
        <w:rPr>
          <w:rFonts w:eastAsia="Arial" w:cs="Arial"/>
          <w:color w:val="000000"/>
          <w:szCs w:val="24"/>
          <w:lang w:eastAsia="en-GB"/>
        </w:rPr>
        <w:instrText xml:space="preserve"> REF _Ref141248825 \n \h </w:instrText>
      </w:r>
      <w:r>
        <w:rPr>
          <w:rFonts w:eastAsia="Arial" w:cs="Arial"/>
          <w:color w:val="000000"/>
          <w:szCs w:val="24"/>
          <w:lang w:eastAsia="en-GB"/>
        </w:rPr>
      </w:r>
      <w:r>
        <w:rPr>
          <w:rFonts w:eastAsia="Arial" w:cs="Arial"/>
          <w:color w:val="000000"/>
          <w:szCs w:val="24"/>
          <w:lang w:eastAsia="en-GB"/>
        </w:rPr>
        <w:fldChar w:fldCharType="separate"/>
      </w:r>
      <w:r w:rsidR="00302D39">
        <w:rPr>
          <w:rFonts w:eastAsia="Arial" w:cs="Arial"/>
          <w:color w:val="000000"/>
          <w:szCs w:val="24"/>
          <w:lang w:eastAsia="en-GB"/>
        </w:rPr>
        <w:t>(a)</w:t>
      </w:r>
      <w:r>
        <w:rPr>
          <w:rFonts w:eastAsia="Arial" w:cs="Arial"/>
          <w:color w:val="000000"/>
          <w:szCs w:val="24"/>
          <w:lang w:eastAsia="en-GB"/>
        </w:rPr>
        <w:fldChar w:fldCharType="end"/>
      </w:r>
      <w:r w:rsidRPr="00102034">
        <w:rPr>
          <w:rFonts w:eastAsia="Arial" w:cs="Arial"/>
          <w:color w:val="000000"/>
          <w:szCs w:val="24"/>
          <w:lang w:eastAsia="en-GB"/>
        </w:rPr>
        <w:t xml:space="preserve">‎ is without prejudice to rights of data subjects under Regulation (EU) 2016/679. </w:t>
      </w:r>
    </w:p>
    <w:p w14:paraId="3A7320DF" w14:textId="77777777" w:rsidR="00F67E9E" w:rsidRPr="00102034" w:rsidRDefault="00F67E9E" w:rsidP="00F67E9E">
      <w:pPr>
        <w:pBdr>
          <w:top w:val="nil"/>
          <w:left w:val="nil"/>
          <w:bottom w:val="nil"/>
          <w:right w:val="nil"/>
          <w:between w:val="nil"/>
        </w:pBdr>
        <w:spacing w:before="120"/>
        <w:jc w:val="center"/>
        <w:rPr>
          <w:rFonts w:eastAsia="Arial" w:cs="Arial"/>
          <w:b/>
          <w:color w:val="000000"/>
          <w:szCs w:val="24"/>
          <w:lang w:eastAsia="en-GB"/>
        </w:rPr>
      </w:pPr>
      <w:r w:rsidRPr="00102034">
        <w:rPr>
          <w:rFonts w:eastAsia="Arial" w:cs="Arial"/>
          <w:b/>
          <w:color w:val="000000"/>
          <w:szCs w:val="24"/>
          <w:lang w:eastAsia="en-GB"/>
        </w:rPr>
        <w:t>CLAUSE 4</w:t>
      </w:r>
    </w:p>
    <w:p w14:paraId="6DC0E273" w14:textId="77777777" w:rsidR="00F67E9E" w:rsidRPr="00102034" w:rsidRDefault="00F67E9E" w:rsidP="00F67E9E">
      <w:pPr>
        <w:pBdr>
          <w:top w:val="nil"/>
          <w:left w:val="nil"/>
          <w:bottom w:val="nil"/>
          <w:right w:val="nil"/>
          <w:between w:val="nil"/>
        </w:pBdr>
        <w:spacing w:before="240" w:after="240"/>
        <w:rPr>
          <w:rFonts w:eastAsia="Arial" w:cs="Arial"/>
          <w:b/>
          <w:color w:val="000000"/>
          <w:szCs w:val="24"/>
          <w:lang w:eastAsia="en-GB"/>
        </w:rPr>
      </w:pPr>
      <w:r w:rsidRPr="00102034">
        <w:rPr>
          <w:rFonts w:eastAsia="Arial" w:cs="Arial"/>
          <w:b/>
          <w:color w:val="000000"/>
          <w:szCs w:val="24"/>
          <w:lang w:eastAsia="en-GB"/>
        </w:rPr>
        <w:t>Interpretation</w:t>
      </w:r>
    </w:p>
    <w:p w14:paraId="1BBC5502" w14:textId="77777777" w:rsidR="00F67E9E" w:rsidRPr="00102034" w:rsidRDefault="00F67E9E" w:rsidP="00F67E9E">
      <w:pPr>
        <w:numPr>
          <w:ilvl w:val="1"/>
          <w:numId w:val="255"/>
        </w:numPr>
        <w:pBdr>
          <w:top w:val="nil"/>
          <w:left w:val="nil"/>
          <w:bottom w:val="nil"/>
          <w:right w:val="nil"/>
          <w:between w:val="nil"/>
        </w:pBdr>
        <w:tabs>
          <w:tab w:val="left" w:pos="1440"/>
        </w:tabs>
        <w:spacing w:before="120" w:after="240"/>
        <w:ind w:left="1440" w:hanging="720"/>
        <w:rPr>
          <w:rFonts w:eastAsia="Arial" w:cs="Arial"/>
          <w:color w:val="000000"/>
          <w:szCs w:val="24"/>
          <w:lang w:eastAsia="en-GB"/>
        </w:rPr>
      </w:pPr>
      <w:r w:rsidRPr="00102034">
        <w:rPr>
          <w:rFonts w:eastAsia="Arial" w:cs="Arial"/>
          <w:color w:val="000000"/>
          <w:szCs w:val="24"/>
          <w:lang w:eastAsia="en-GB"/>
        </w:rPr>
        <w:t>Where these Clauses use terms that are defined in Regulation (EU) 2016/679, those terms shall have the same meaning as in that Regulation.</w:t>
      </w:r>
    </w:p>
    <w:p w14:paraId="2315F1B0" w14:textId="77777777" w:rsidR="00F67E9E" w:rsidRPr="00102034" w:rsidRDefault="00F67E9E" w:rsidP="00F67E9E">
      <w:pPr>
        <w:numPr>
          <w:ilvl w:val="1"/>
          <w:numId w:val="255"/>
        </w:numPr>
        <w:pBdr>
          <w:top w:val="nil"/>
          <w:left w:val="nil"/>
          <w:bottom w:val="nil"/>
          <w:right w:val="nil"/>
          <w:between w:val="nil"/>
        </w:pBdr>
        <w:tabs>
          <w:tab w:val="left" w:pos="1440"/>
        </w:tabs>
        <w:spacing w:before="120" w:after="240"/>
        <w:ind w:left="1440" w:hanging="720"/>
        <w:rPr>
          <w:rFonts w:eastAsia="Arial" w:cs="Arial"/>
          <w:color w:val="000000"/>
          <w:szCs w:val="24"/>
          <w:lang w:eastAsia="en-GB"/>
        </w:rPr>
      </w:pPr>
      <w:r w:rsidRPr="00102034">
        <w:rPr>
          <w:rFonts w:eastAsia="Arial" w:cs="Arial"/>
          <w:color w:val="000000"/>
          <w:szCs w:val="24"/>
          <w:lang w:eastAsia="en-GB"/>
        </w:rPr>
        <w:t>These Clauses shall be read and interpreted in the light of the provisions of Regulation (EU) 2016/679.</w:t>
      </w:r>
    </w:p>
    <w:p w14:paraId="1BE5BD1D" w14:textId="77777777" w:rsidR="00F67E9E" w:rsidRPr="00102034" w:rsidRDefault="00F67E9E" w:rsidP="00F67E9E">
      <w:pPr>
        <w:numPr>
          <w:ilvl w:val="1"/>
          <w:numId w:val="255"/>
        </w:numPr>
        <w:pBdr>
          <w:top w:val="nil"/>
          <w:left w:val="nil"/>
          <w:bottom w:val="nil"/>
          <w:right w:val="nil"/>
          <w:between w:val="nil"/>
        </w:pBdr>
        <w:tabs>
          <w:tab w:val="left" w:pos="1440"/>
        </w:tabs>
        <w:spacing w:before="120" w:after="240"/>
        <w:ind w:left="1440" w:hanging="720"/>
        <w:rPr>
          <w:rFonts w:eastAsia="Arial" w:cs="Arial"/>
          <w:color w:val="000000"/>
          <w:szCs w:val="24"/>
          <w:lang w:eastAsia="en-GB"/>
        </w:rPr>
      </w:pPr>
      <w:r w:rsidRPr="00102034">
        <w:rPr>
          <w:rFonts w:eastAsia="Arial" w:cs="Arial"/>
          <w:color w:val="000000"/>
          <w:szCs w:val="24"/>
          <w:lang w:eastAsia="en-GB"/>
        </w:rPr>
        <w:t>These Clauses shall not be interpreted in a way that conflicts with rights and obligations provided for in Regulation (EU) 2016/679.</w:t>
      </w:r>
    </w:p>
    <w:p w14:paraId="5794C2A6" w14:textId="77777777" w:rsidR="00F67E9E" w:rsidRPr="00102034" w:rsidRDefault="00F67E9E" w:rsidP="00F67E9E">
      <w:pPr>
        <w:keepNext/>
        <w:pBdr>
          <w:top w:val="nil"/>
          <w:left w:val="nil"/>
          <w:bottom w:val="nil"/>
          <w:right w:val="nil"/>
          <w:between w:val="nil"/>
        </w:pBdr>
        <w:spacing w:before="120"/>
        <w:jc w:val="center"/>
        <w:rPr>
          <w:rFonts w:eastAsia="Arial" w:cs="Arial"/>
          <w:b/>
          <w:color w:val="000000"/>
          <w:szCs w:val="24"/>
          <w:lang w:eastAsia="en-GB"/>
        </w:rPr>
      </w:pPr>
      <w:r w:rsidRPr="00102034">
        <w:rPr>
          <w:rFonts w:eastAsia="Arial" w:cs="Arial"/>
          <w:b/>
          <w:color w:val="000000"/>
          <w:szCs w:val="24"/>
          <w:lang w:eastAsia="en-GB"/>
        </w:rPr>
        <w:t>CLAUSE 5</w:t>
      </w:r>
    </w:p>
    <w:p w14:paraId="00FC2E3B" w14:textId="77777777" w:rsidR="00F67E9E" w:rsidRPr="00102034" w:rsidRDefault="00F67E9E" w:rsidP="00F67E9E">
      <w:pPr>
        <w:keepNext/>
        <w:pBdr>
          <w:top w:val="nil"/>
          <w:left w:val="nil"/>
          <w:bottom w:val="nil"/>
          <w:right w:val="nil"/>
          <w:between w:val="nil"/>
        </w:pBdr>
        <w:spacing w:before="240" w:after="240"/>
        <w:rPr>
          <w:rFonts w:eastAsia="Arial" w:cs="Arial"/>
          <w:b/>
          <w:color w:val="000000"/>
          <w:szCs w:val="24"/>
          <w:lang w:eastAsia="en-GB"/>
        </w:rPr>
      </w:pPr>
      <w:r w:rsidRPr="00102034">
        <w:rPr>
          <w:rFonts w:eastAsia="Arial" w:cs="Arial"/>
          <w:b/>
          <w:color w:val="000000"/>
          <w:szCs w:val="24"/>
          <w:lang w:eastAsia="en-GB"/>
        </w:rPr>
        <w:t>Hierarchy</w:t>
      </w:r>
    </w:p>
    <w:p w14:paraId="65862B54" w14:textId="77777777" w:rsidR="00F67E9E" w:rsidRPr="00102034" w:rsidRDefault="00F67E9E" w:rsidP="00F67E9E">
      <w:pPr>
        <w:pBdr>
          <w:top w:val="nil"/>
          <w:left w:val="nil"/>
          <w:bottom w:val="nil"/>
          <w:right w:val="nil"/>
          <w:between w:val="nil"/>
        </w:pBdr>
        <w:spacing w:before="120" w:after="240"/>
        <w:ind w:left="720"/>
        <w:rPr>
          <w:rFonts w:eastAsia="Arial" w:cs="Arial"/>
          <w:color w:val="000000"/>
          <w:szCs w:val="24"/>
          <w:lang w:eastAsia="en-GB"/>
        </w:rPr>
      </w:pPr>
      <w:r w:rsidRPr="00102034">
        <w:rPr>
          <w:rFonts w:eastAsia="Arial" w:cs="Arial"/>
          <w:color w:val="000000"/>
          <w:szCs w:val="24"/>
          <w:lang w:eastAsia="en-GB"/>
        </w:rPr>
        <w:t>In the event of a contradiction between these Clauses and the provisions of related agreements between the Parties, existing at the time these Clauses are agreed or entered into thereafter, these Clauses shall prevail.</w:t>
      </w:r>
    </w:p>
    <w:p w14:paraId="67392190" w14:textId="77777777" w:rsidR="00F67E9E" w:rsidRPr="00102034" w:rsidRDefault="00F67E9E" w:rsidP="00F67E9E">
      <w:pPr>
        <w:pBdr>
          <w:top w:val="nil"/>
          <w:left w:val="nil"/>
          <w:bottom w:val="nil"/>
          <w:right w:val="nil"/>
          <w:between w:val="nil"/>
        </w:pBdr>
        <w:spacing w:before="120"/>
        <w:jc w:val="center"/>
        <w:rPr>
          <w:rFonts w:eastAsia="Arial" w:cs="Arial"/>
          <w:b/>
          <w:color w:val="000000"/>
          <w:szCs w:val="24"/>
          <w:lang w:eastAsia="en-GB"/>
        </w:rPr>
      </w:pPr>
      <w:r w:rsidRPr="00102034">
        <w:rPr>
          <w:rFonts w:eastAsia="Arial" w:cs="Arial"/>
          <w:b/>
          <w:color w:val="000000"/>
          <w:szCs w:val="24"/>
          <w:lang w:eastAsia="en-GB"/>
        </w:rPr>
        <w:t>CLAUSE 6</w:t>
      </w:r>
    </w:p>
    <w:p w14:paraId="15C973C5" w14:textId="77777777" w:rsidR="00F67E9E" w:rsidRPr="00102034" w:rsidRDefault="00F67E9E" w:rsidP="00F67E9E">
      <w:pPr>
        <w:pBdr>
          <w:top w:val="nil"/>
          <w:left w:val="nil"/>
          <w:bottom w:val="nil"/>
          <w:right w:val="nil"/>
          <w:between w:val="nil"/>
        </w:pBdr>
        <w:spacing w:before="240" w:after="240"/>
        <w:rPr>
          <w:rFonts w:eastAsia="Arial" w:cs="Arial"/>
          <w:b/>
          <w:color w:val="000000"/>
          <w:szCs w:val="24"/>
          <w:lang w:eastAsia="en-GB"/>
        </w:rPr>
      </w:pPr>
      <w:r w:rsidRPr="00102034">
        <w:rPr>
          <w:rFonts w:eastAsia="Arial" w:cs="Arial"/>
          <w:b/>
          <w:color w:val="000000"/>
          <w:szCs w:val="24"/>
          <w:lang w:eastAsia="en-GB"/>
        </w:rPr>
        <w:t>Description of the transfer(s)</w:t>
      </w:r>
    </w:p>
    <w:p w14:paraId="6C6B19F7" w14:textId="77777777" w:rsidR="00F67E9E" w:rsidRPr="00102034" w:rsidRDefault="00F67E9E" w:rsidP="00F67E9E">
      <w:pPr>
        <w:pBdr>
          <w:top w:val="nil"/>
          <w:left w:val="nil"/>
          <w:bottom w:val="nil"/>
          <w:right w:val="nil"/>
          <w:between w:val="nil"/>
        </w:pBdr>
        <w:spacing w:before="120" w:after="240"/>
        <w:ind w:left="720"/>
        <w:rPr>
          <w:rFonts w:eastAsia="Arial" w:cs="Arial"/>
          <w:color w:val="000000"/>
          <w:szCs w:val="24"/>
          <w:lang w:eastAsia="en-GB"/>
        </w:rPr>
      </w:pPr>
      <w:r w:rsidRPr="00102034">
        <w:rPr>
          <w:rFonts w:eastAsia="Arial" w:cs="Arial"/>
          <w:color w:val="000000"/>
          <w:szCs w:val="24"/>
          <w:lang w:eastAsia="en-GB"/>
        </w:rPr>
        <w:t>The details of the transfer(s), and in particular the categories of personal data that are transferred and the purpose(s) for which they are transferred, are specified in Annex I.B.</w:t>
      </w:r>
    </w:p>
    <w:p w14:paraId="63D00AEB" w14:textId="77777777" w:rsidR="00F67E9E" w:rsidRPr="00102034" w:rsidRDefault="00F67E9E" w:rsidP="00F67E9E">
      <w:pPr>
        <w:pBdr>
          <w:top w:val="nil"/>
          <w:left w:val="nil"/>
          <w:bottom w:val="nil"/>
          <w:right w:val="nil"/>
          <w:between w:val="nil"/>
        </w:pBdr>
        <w:spacing w:before="120"/>
        <w:jc w:val="center"/>
        <w:rPr>
          <w:rFonts w:eastAsia="Arial" w:cs="Arial"/>
          <w:b/>
          <w:color w:val="000000"/>
          <w:szCs w:val="24"/>
          <w:lang w:eastAsia="en-GB"/>
        </w:rPr>
      </w:pPr>
      <w:r w:rsidRPr="00102034">
        <w:rPr>
          <w:rFonts w:eastAsia="Arial" w:cs="Arial"/>
          <w:b/>
          <w:color w:val="000000"/>
          <w:szCs w:val="24"/>
          <w:lang w:eastAsia="en-GB"/>
        </w:rPr>
        <w:t>[CLAUSE 7 - Optional</w:t>
      </w:r>
    </w:p>
    <w:p w14:paraId="3F3FD2AE" w14:textId="77777777" w:rsidR="00F67E9E" w:rsidRPr="00102034" w:rsidRDefault="00F67E9E" w:rsidP="00F67E9E">
      <w:pPr>
        <w:pBdr>
          <w:top w:val="nil"/>
          <w:left w:val="nil"/>
          <w:bottom w:val="nil"/>
          <w:right w:val="nil"/>
          <w:between w:val="nil"/>
        </w:pBdr>
        <w:spacing w:before="240" w:after="240"/>
        <w:rPr>
          <w:rFonts w:eastAsia="Arial" w:cs="Arial"/>
          <w:b/>
          <w:color w:val="000000"/>
          <w:szCs w:val="24"/>
          <w:lang w:eastAsia="en-GB"/>
        </w:rPr>
      </w:pPr>
      <w:r w:rsidRPr="00102034">
        <w:rPr>
          <w:rFonts w:eastAsia="Arial" w:cs="Arial"/>
          <w:b/>
          <w:color w:val="000000"/>
          <w:szCs w:val="24"/>
          <w:lang w:eastAsia="en-GB"/>
        </w:rPr>
        <w:t>Docking clause</w:t>
      </w:r>
    </w:p>
    <w:p w14:paraId="0E8239FA" w14:textId="2F26D4B0" w:rsidR="00F67E9E" w:rsidRPr="00102034" w:rsidRDefault="00F67E9E" w:rsidP="00F67E9E">
      <w:pPr>
        <w:numPr>
          <w:ilvl w:val="1"/>
          <w:numId w:val="256"/>
        </w:numPr>
        <w:pBdr>
          <w:top w:val="nil"/>
          <w:left w:val="nil"/>
          <w:bottom w:val="nil"/>
          <w:right w:val="nil"/>
          <w:between w:val="nil"/>
        </w:pBdr>
        <w:tabs>
          <w:tab w:val="left" w:pos="1440"/>
        </w:tabs>
        <w:spacing w:before="120" w:after="240"/>
        <w:ind w:left="1440" w:hanging="720"/>
        <w:rPr>
          <w:rFonts w:eastAsia="Arial" w:cs="Arial"/>
          <w:color w:val="000000"/>
          <w:szCs w:val="24"/>
          <w:lang w:eastAsia="en-GB"/>
        </w:rPr>
      </w:pPr>
      <w:r w:rsidRPr="00102034">
        <w:rPr>
          <w:rFonts w:eastAsia="Arial" w:cs="Arial"/>
          <w:color w:val="000000"/>
          <w:szCs w:val="24"/>
          <w:lang w:eastAsia="en-GB"/>
        </w:rPr>
        <w:t xml:space="preserve">An entity that is not a Party to these Clauses may, with the agreement of the Parties, accede to these Clauses at any time, either as a data exporter or as a data importer, by completing the </w:t>
      </w:r>
      <w:r w:rsidRPr="00BF6836">
        <w:rPr>
          <w:rFonts w:eastAsia="Arial" w:cs="Arial"/>
          <w:color w:val="000000"/>
        </w:rPr>
        <w:fldChar w:fldCharType="begin"/>
      </w:r>
      <w:r w:rsidRPr="00BF6836">
        <w:rPr>
          <w:rFonts w:eastAsia="Arial" w:cs="Arial"/>
          <w:color w:val="000000"/>
        </w:rPr>
        <w:instrText xml:space="preserve"> REF  Schedule_31_PartC_Appendix \* Caps \h  \* MERGEFORMAT </w:instrText>
      </w:r>
      <w:r w:rsidRPr="00BF6836">
        <w:rPr>
          <w:rFonts w:eastAsia="Arial" w:cs="Arial"/>
          <w:color w:val="000000"/>
        </w:rPr>
      </w:r>
      <w:r w:rsidRPr="00BF6836">
        <w:rPr>
          <w:rFonts w:eastAsia="Arial" w:cs="Arial"/>
          <w:color w:val="000000"/>
        </w:rPr>
        <w:fldChar w:fldCharType="separate"/>
      </w:r>
      <w:r w:rsidR="00302D39" w:rsidRPr="00302D39">
        <w:rPr>
          <w:rFonts w:eastAsia="Arial" w:cs="Arial"/>
          <w:color w:val="000000"/>
          <w:szCs w:val="24"/>
          <w:lang w:eastAsia="en-GB"/>
        </w:rPr>
        <w:t>Appendix</w:t>
      </w:r>
      <w:r w:rsidRPr="00BF6836">
        <w:rPr>
          <w:rFonts w:eastAsia="Arial" w:cs="Arial"/>
          <w:color w:val="000000"/>
        </w:rPr>
        <w:fldChar w:fldCharType="end"/>
      </w:r>
      <w:r>
        <w:rPr>
          <w:rFonts w:eastAsia="Arial" w:cs="Arial"/>
          <w:color w:val="000000"/>
        </w:rPr>
        <w:t xml:space="preserve"> </w:t>
      </w:r>
      <w:r w:rsidRPr="00102034">
        <w:rPr>
          <w:rFonts w:eastAsia="Arial" w:cs="Arial"/>
          <w:color w:val="000000"/>
          <w:szCs w:val="24"/>
          <w:lang w:eastAsia="en-GB"/>
        </w:rPr>
        <w:t>and signing Annex I.A.</w:t>
      </w:r>
    </w:p>
    <w:p w14:paraId="34F6DA5A" w14:textId="50534859" w:rsidR="00F67E9E" w:rsidRPr="00102034" w:rsidRDefault="00F67E9E" w:rsidP="00F67E9E">
      <w:pPr>
        <w:numPr>
          <w:ilvl w:val="1"/>
          <w:numId w:val="256"/>
        </w:numPr>
        <w:pBdr>
          <w:top w:val="nil"/>
          <w:left w:val="nil"/>
          <w:bottom w:val="nil"/>
          <w:right w:val="nil"/>
          <w:between w:val="nil"/>
        </w:pBdr>
        <w:tabs>
          <w:tab w:val="left" w:pos="1440"/>
        </w:tabs>
        <w:spacing w:before="120" w:after="240"/>
        <w:ind w:left="1440" w:hanging="720"/>
        <w:rPr>
          <w:rFonts w:eastAsia="Arial" w:cs="Arial"/>
          <w:color w:val="000000"/>
          <w:szCs w:val="24"/>
          <w:lang w:eastAsia="en-GB"/>
        </w:rPr>
      </w:pPr>
      <w:r w:rsidRPr="00102034">
        <w:rPr>
          <w:rFonts w:eastAsia="Arial" w:cs="Arial"/>
          <w:color w:val="000000"/>
          <w:szCs w:val="24"/>
          <w:lang w:eastAsia="en-GB"/>
        </w:rPr>
        <w:t xml:space="preserve">Once it has completed the </w:t>
      </w:r>
      <w:r w:rsidRPr="00BF6836">
        <w:rPr>
          <w:rFonts w:eastAsia="Arial" w:cs="Arial"/>
          <w:color w:val="000000"/>
        </w:rPr>
        <w:fldChar w:fldCharType="begin"/>
      </w:r>
      <w:r w:rsidRPr="00BF6836">
        <w:rPr>
          <w:rFonts w:eastAsia="Arial" w:cs="Arial"/>
          <w:color w:val="000000"/>
        </w:rPr>
        <w:instrText xml:space="preserve"> REF  Schedule_31_PartC_Appendix \* Caps \h  \* MERGEFORMAT </w:instrText>
      </w:r>
      <w:r w:rsidRPr="00BF6836">
        <w:rPr>
          <w:rFonts w:eastAsia="Arial" w:cs="Arial"/>
          <w:color w:val="000000"/>
        </w:rPr>
      </w:r>
      <w:r w:rsidRPr="00BF6836">
        <w:rPr>
          <w:rFonts w:eastAsia="Arial" w:cs="Arial"/>
          <w:color w:val="000000"/>
        </w:rPr>
        <w:fldChar w:fldCharType="separate"/>
      </w:r>
      <w:r w:rsidR="00302D39" w:rsidRPr="00302D39">
        <w:rPr>
          <w:rFonts w:eastAsia="Arial" w:cs="Arial"/>
          <w:color w:val="000000"/>
          <w:szCs w:val="24"/>
          <w:lang w:eastAsia="en-GB"/>
        </w:rPr>
        <w:t>Appendix</w:t>
      </w:r>
      <w:r w:rsidRPr="00BF6836">
        <w:rPr>
          <w:rFonts w:eastAsia="Arial" w:cs="Arial"/>
          <w:color w:val="000000"/>
        </w:rPr>
        <w:fldChar w:fldCharType="end"/>
      </w:r>
      <w:r>
        <w:rPr>
          <w:rFonts w:eastAsia="Arial" w:cs="Arial"/>
          <w:color w:val="000000"/>
        </w:rPr>
        <w:t xml:space="preserve"> </w:t>
      </w:r>
      <w:r w:rsidRPr="00102034">
        <w:rPr>
          <w:rFonts w:eastAsia="Arial" w:cs="Arial"/>
          <w:color w:val="000000"/>
          <w:szCs w:val="24"/>
          <w:lang w:eastAsia="en-GB"/>
        </w:rPr>
        <w:t>and signed Annex I.A, the acceding entity shall become a Party to these Clauses and have the rights and obligations of a data exporter or data importer in accordance with its designation in Annex I.A.</w:t>
      </w:r>
    </w:p>
    <w:p w14:paraId="7D2380D0" w14:textId="77777777" w:rsidR="00F67E9E" w:rsidRPr="00102034" w:rsidRDefault="00F67E9E" w:rsidP="00F67E9E">
      <w:pPr>
        <w:numPr>
          <w:ilvl w:val="1"/>
          <w:numId w:val="256"/>
        </w:numPr>
        <w:pBdr>
          <w:top w:val="nil"/>
          <w:left w:val="nil"/>
          <w:bottom w:val="nil"/>
          <w:right w:val="nil"/>
          <w:between w:val="nil"/>
        </w:pBdr>
        <w:tabs>
          <w:tab w:val="left" w:pos="1440"/>
        </w:tabs>
        <w:spacing w:before="120" w:after="240"/>
        <w:ind w:left="1440" w:hanging="720"/>
        <w:rPr>
          <w:rFonts w:eastAsia="Arial" w:cs="Arial"/>
          <w:color w:val="000000"/>
          <w:szCs w:val="24"/>
          <w:lang w:eastAsia="en-GB"/>
        </w:rPr>
      </w:pPr>
      <w:r w:rsidRPr="00102034">
        <w:rPr>
          <w:rFonts w:eastAsia="Arial" w:cs="Arial"/>
          <w:color w:val="000000"/>
          <w:szCs w:val="24"/>
          <w:lang w:eastAsia="en-GB"/>
        </w:rPr>
        <w:t>The acceding entity shall have no rights or obligations arising under these Clauses from the period prior to becoming a Party.]</w:t>
      </w:r>
    </w:p>
    <w:p w14:paraId="5611AEC3" w14:textId="77777777" w:rsidR="00F67E9E" w:rsidRPr="00102034" w:rsidRDefault="00F67E9E" w:rsidP="00F67E9E">
      <w:pPr>
        <w:pBdr>
          <w:top w:val="nil"/>
          <w:left w:val="nil"/>
          <w:bottom w:val="nil"/>
          <w:right w:val="nil"/>
          <w:between w:val="nil"/>
        </w:pBdr>
        <w:spacing w:before="120"/>
        <w:jc w:val="center"/>
        <w:rPr>
          <w:rFonts w:eastAsia="Arial" w:cs="Arial"/>
          <w:b/>
          <w:color w:val="000000"/>
          <w:szCs w:val="24"/>
          <w:lang w:eastAsia="en-GB"/>
        </w:rPr>
      </w:pPr>
      <w:r w:rsidRPr="00102034">
        <w:rPr>
          <w:rFonts w:eastAsia="Arial" w:cs="Arial"/>
          <w:b/>
          <w:color w:val="000000"/>
          <w:szCs w:val="24"/>
          <w:lang w:eastAsia="en-GB"/>
        </w:rPr>
        <w:t>SECTION II - OBLIGATIONS OF THE PARTIES</w:t>
      </w:r>
    </w:p>
    <w:p w14:paraId="7F6A4AC6" w14:textId="77777777" w:rsidR="00F67E9E" w:rsidRPr="00102034" w:rsidRDefault="00F67E9E" w:rsidP="00F67E9E">
      <w:pPr>
        <w:pBdr>
          <w:top w:val="nil"/>
          <w:left w:val="nil"/>
          <w:bottom w:val="nil"/>
          <w:right w:val="nil"/>
          <w:between w:val="nil"/>
        </w:pBdr>
        <w:spacing w:before="120"/>
        <w:jc w:val="center"/>
        <w:rPr>
          <w:rFonts w:eastAsia="Arial" w:cs="Arial"/>
          <w:b/>
          <w:color w:val="000000"/>
          <w:szCs w:val="24"/>
          <w:lang w:eastAsia="en-GB"/>
        </w:rPr>
      </w:pPr>
      <w:r w:rsidRPr="00102034">
        <w:rPr>
          <w:rFonts w:eastAsia="Arial" w:cs="Arial"/>
          <w:b/>
          <w:color w:val="000000"/>
          <w:szCs w:val="24"/>
          <w:lang w:eastAsia="en-GB"/>
        </w:rPr>
        <w:t>CLAUSE 8</w:t>
      </w:r>
    </w:p>
    <w:p w14:paraId="2BC38943" w14:textId="77777777" w:rsidR="00F67E9E" w:rsidRPr="00102034" w:rsidRDefault="00F67E9E" w:rsidP="00F67E9E">
      <w:pPr>
        <w:pBdr>
          <w:top w:val="nil"/>
          <w:left w:val="nil"/>
          <w:bottom w:val="nil"/>
          <w:right w:val="nil"/>
          <w:between w:val="nil"/>
        </w:pBdr>
        <w:spacing w:before="240" w:after="240"/>
        <w:rPr>
          <w:rFonts w:eastAsia="Arial" w:cs="Arial"/>
          <w:b/>
          <w:color w:val="000000"/>
          <w:szCs w:val="24"/>
          <w:lang w:eastAsia="en-GB"/>
        </w:rPr>
      </w:pPr>
      <w:r w:rsidRPr="00102034">
        <w:rPr>
          <w:rFonts w:eastAsia="Arial" w:cs="Arial"/>
          <w:b/>
          <w:color w:val="000000"/>
          <w:szCs w:val="24"/>
          <w:lang w:eastAsia="en-GB"/>
        </w:rPr>
        <w:t>Data protection safeguards</w:t>
      </w:r>
    </w:p>
    <w:p w14:paraId="0775A895" w14:textId="77777777" w:rsidR="00F67E9E" w:rsidRPr="00102034" w:rsidRDefault="00F67E9E" w:rsidP="00F67E9E">
      <w:pPr>
        <w:pBdr>
          <w:top w:val="nil"/>
          <w:left w:val="nil"/>
          <w:bottom w:val="nil"/>
          <w:right w:val="nil"/>
          <w:between w:val="nil"/>
        </w:pBdr>
        <w:spacing w:before="120" w:after="240"/>
        <w:ind w:left="720"/>
        <w:rPr>
          <w:rFonts w:eastAsia="Arial" w:cs="Arial"/>
          <w:color w:val="000000"/>
          <w:szCs w:val="24"/>
          <w:lang w:eastAsia="en-GB"/>
        </w:rPr>
      </w:pPr>
      <w:r w:rsidRPr="00102034">
        <w:rPr>
          <w:rFonts w:eastAsia="Arial" w:cs="Arial"/>
          <w:color w:val="000000"/>
          <w:szCs w:val="24"/>
          <w:lang w:eastAsia="en-GB"/>
        </w:rPr>
        <w:t>The data exporter warrants that it has used reasonable efforts to determine that the data importer is able, through the implementation of appropriate technical and organisational measures, to satisfy its obligations under these Clauses.</w:t>
      </w:r>
    </w:p>
    <w:p w14:paraId="47D11C6B" w14:textId="77777777" w:rsidR="00F67E9E" w:rsidRPr="00102034" w:rsidRDefault="00F67E9E" w:rsidP="00F67E9E">
      <w:pPr>
        <w:keepNext/>
        <w:pBdr>
          <w:top w:val="nil"/>
          <w:left w:val="nil"/>
          <w:bottom w:val="nil"/>
          <w:right w:val="nil"/>
          <w:between w:val="nil"/>
        </w:pBdr>
        <w:tabs>
          <w:tab w:val="left" w:pos="720"/>
        </w:tabs>
        <w:spacing w:before="240" w:after="240"/>
        <w:rPr>
          <w:rFonts w:eastAsia="Arial" w:cs="Arial"/>
          <w:b/>
          <w:color w:val="000000"/>
          <w:szCs w:val="24"/>
          <w:lang w:eastAsia="en-GB"/>
        </w:rPr>
      </w:pPr>
      <w:bookmarkStart w:id="3523" w:name="bookmark=id.1xl0k8l" w:colFirst="0" w:colLast="0"/>
      <w:bookmarkStart w:id="3524" w:name="Schedule3181"/>
      <w:bookmarkEnd w:id="3523"/>
      <w:r w:rsidRPr="00102034">
        <w:rPr>
          <w:rFonts w:eastAsia="Arial" w:cs="Arial"/>
          <w:b/>
          <w:color w:val="000000"/>
          <w:szCs w:val="24"/>
          <w:lang w:eastAsia="en-GB"/>
        </w:rPr>
        <w:t>8.1</w:t>
      </w:r>
      <w:bookmarkEnd w:id="3524"/>
      <w:r>
        <w:rPr>
          <w:rFonts w:eastAsia="Arial" w:cs="Arial"/>
          <w:b/>
          <w:color w:val="000000"/>
          <w:szCs w:val="24"/>
          <w:lang w:eastAsia="en-GB"/>
        </w:rPr>
        <w:tab/>
      </w:r>
      <w:r w:rsidRPr="00102034">
        <w:rPr>
          <w:rFonts w:eastAsia="Arial" w:cs="Arial"/>
          <w:b/>
          <w:color w:val="000000"/>
          <w:szCs w:val="24"/>
          <w:lang w:eastAsia="en-GB"/>
        </w:rPr>
        <w:t>Instructions</w:t>
      </w:r>
    </w:p>
    <w:p w14:paraId="3C3C08DE" w14:textId="77777777" w:rsidR="00F67E9E" w:rsidRPr="00102034" w:rsidRDefault="00F67E9E" w:rsidP="00F67E9E">
      <w:pPr>
        <w:numPr>
          <w:ilvl w:val="1"/>
          <w:numId w:val="257"/>
        </w:numPr>
        <w:pBdr>
          <w:top w:val="nil"/>
          <w:left w:val="nil"/>
          <w:bottom w:val="nil"/>
          <w:right w:val="nil"/>
          <w:between w:val="nil"/>
        </w:pBdr>
        <w:tabs>
          <w:tab w:val="left" w:pos="1440"/>
        </w:tabs>
        <w:spacing w:before="120" w:after="240"/>
        <w:ind w:left="1440" w:hanging="720"/>
        <w:rPr>
          <w:rFonts w:eastAsia="Arial" w:cs="Arial"/>
          <w:color w:val="000000"/>
          <w:szCs w:val="24"/>
          <w:lang w:eastAsia="en-GB"/>
        </w:rPr>
      </w:pPr>
      <w:bookmarkStart w:id="3525" w:name="bookmark=id.4hko2we" w:colFirst="0" w:colLast="0"/>
      <w:bookmarkEnd w:id="3525"/>
      <w:r w:rsidRPr="00102034">
        <w:rPr>
          <w:rFonts w:eastAsia="Arial" w:cs="Arial"/>
          <w:color w:val="000000"/>
          <w:szCs w:val="24"/>
          <w:lang w:eastAsia="en-GB"/>
        </w:rPr>
        <w:t>The data exporter has informed the data importer that it acts as processor under the instructions of its controller(s), which the data exporter shall make available to the data importer prior to processing.</w:t>
      </w:r>
    </w:p>
    <w:p w14:paraId="662CF7E0" w14:textId="77777777" w:rsidR="00F67E9E" w:rsidRPr="00102034" w:rsidRDefault="00F67E9E" w:rsidP="00F67E9E">
      <w:pPr>
        <w:numPr>
          <w:ilvl w:val="1"/>
          <w:numId w:val="257"/>
        </w:numPr>
        <w:pBdr>
          <w:top w:val="nil"/>
          <w:left w:val="nil"/>
          <w:bottom w:val="nil"/>
          <w:right w:val="nil"/>
          <w:between w:val="nil"/>
        </w:pBdr>
        <w:tabs>
          <w:tab w:val="left" w:pos="1440"/>
        </w:tabs>
        <w:spacing w:before="120" w:after="240"/>
        <w:ind w:left="1440" w:hanging="720"/>
        <w:rPr>
          <w:rFonts w:eastAsia="Arial" w:cs="Arial"/>
          <w:color w:val="000000"/>
          <w:szCs w:val="24"/>
          <w:lang w:eastAsia="en-GB"/>
        </w:rPr>
      </w:pPr>
      <w:bookmarkStart w:id="3526" w:name="bookmark=id.2wpyd47" w:colFirst="0" w:colLast="0"/>
      <w:bookmarkEnd w:id="3526"/>
      <w:r w:rsidRPr="00102034">
        <w:rPr>
          <w:rFonts w:eastAsia="Arial" w:cs="Arial"/>
          <w:color w:val="000000"/>
          <w:szCs w:val="24"/>
          <w:lang w:eastAsia="en-GB"/>
        </w:rPr>
        <w:t>The data importer shall process the personal data only on documented instructions from the controller, as communicated to the data importer by the data exporter, and any additional documented instructions from the data exporter. Such additional instructions shall not conflict with the instructions from the controller. The controller or data exporter may give further documented instructions regarding the data processing throughout the duration of the contract.</w:t>
      </w:r>
    </w:p>
    <w:p w14:paraId="662E344C" w14:textId="77777777" w:rsidR="00F67E9E" w:rsidRPr="00102034" w:rsidRDefault="00F67E9E" w:rsidP="00F67E9E">
      <w:pPr>
        <w:numPr>
          <w:ilvl w:val="1"/>
          <w:numId w:val="257"/>
        </w:numPr>
        <w:pBdr>
          <w:top w:val="nil"/>
          <w:left w:val="nil"/>
          <w:bottom w:val="nil"/>
          <w:right w:val="nil"/>
          <w:between w:val="nil"/>
        </w:pBdr>
        <w:tabs>
          <w:tab w:val="left" w:pos="1440"/>
        </w:tabs>
        <w:spacing w:before="120" w:after="240"/>
        <w:ind w:left="1440" w:hanging="720"/>
        <w:rPr>
          <w:rFonts w:eastAsia="Arial" w:cs="Arial"/>
          <w:color w:val="000000"/>
          <w:szCs w:val="24"/>
          <w:lang w:eastAsia="en-GB"/>
        </w:rPr>
      </w:pPr>
      <w:bookmarkStart w:id="3527" w:name="bookmark=id.1bv8nc0" w:colFirst="0" w:colLast="0"/>
      <w:bookmarkEnd w:id="3527"/>
      <w:r w:rsidRPr="00102034">
        <w:rPr>
          <w:rFonts w:eastAsia="Arial" w:cs="Arial"/>
          <w:color w:val="000000"/>
          <w:szCs w:val="24"/>
          <w:lang w:eastAsia="en-GB"/>
        </w:rPr>
        <w:t>The data importer shall immediately inform the data exporter if it is unable to follow those instructions. Where the data importer is unable to follow the instructions from the controller, the data exporter shall immediately notify the controller.</w:t>
      </w:r>
    </w:p>
    <w:p w14:paraId="15994558" w14:textId="77777777" w:rsidR="00F67E9E" w:rsidRPr="00102034" w:rsidRDefault="00F67E9E" w:rsidP="00F67E9E">
      <w:pPr>
        <w:numPr>
          <w:ilvl w:val="1"/>
          <w:numId w:val="257"/>
        </w:numPr>
        <w:pBdr>
          <w:top w:val="nil"/>
          <w:left w:val="nil"/>
          <w:bottom w:val="nil"/>
          <w:right w:val="nil"/>
          <w:between w:val="nil"/>
        </w:pBdr>
        <w:tabs>
          <w:tab w:val="left" w:pos="1440"/>
        </w:tabs>
        <w:spacing w:before="120" w:after="240"/>
        <w:ind w:left="1440" w:hanging="720"/>
        <w:rPr>
          <w:rFonts w:eastAsia="Arial" w:cs="Arial"/>
          <w:color w:val="000000"/>
          <w:szCs w:val="24"/>
          <w:lang w:eastAsia="en-GB"/>
        </w:rPr>
      </w:pPr>
      <w:bookmarkStart w:id="3528" w:name="bookmark=id.3vuw5zt" w:colFirst="0" w:colLast="0"/>
      <w:bookmarkEnd w:id="3528"/>
      <w:r w:rsidRPr="00102034">
        <w:rPr>
          <w:rFonts w:eastAsia="Arial" w:cs="Arial"/>
          <w:color w:val="000000"/>
          <w:szCs w:val="24"/>
          <w:lang w:eastAsia="en-GB"/>
        </w:rPr>
        <w:t>The data exporter warrants that it has imposed the same data protection obligations on the data importer as set out in the contract or other legal act under Union or Member State law between the controller and the data exporter[</w:t>
      </w:r>
      <w:hyperlink w:anchor="bookmark=id.1hqpqs6">
        <w:r w:rsidRPr="00102034">
          <w:rPr>
            <w:rFonts w:eastAsia="Arial" w:cs="Arial"/>
            <w:color w:val="0000FF"/>
            <w:szCs w:val="24"/>
            <w:u w:val="single"/>
            <w:lang w:eastAsia="en-GB"/>
          </w:rPr>
          <w:t>FN5</w:t>
        </w:r>
      </w:hyperlink>
      <w:r w:rsidRPr="00102034">
        <w:rPr>
          <w:rFonts w:eastAsia="Arial" w:cs="Arial"/>
          <w:color w:val="000000"/>
          <w:szCs w:val="24"/>
          <w:lang w:eastAsia="en-GB"/>
        </w:rPr>
        <w:t xml:space="preserve">]. </w:t>
      </w:r>
    </w:p>
    <w:p w14:paraId="3405EC81" w14:textId="77777777" w:rsidR="00F67E9E" w:rsidRPr="00102034" w:rsidRDefault="00F67E9E" w:rsidP="00F67E9E">
      <w:pPr>
        <w:keepNext/>
        <w:pBdr>
          <w:top w:val="nil"/>
          <w:left w:val="nil"/>
          <w:bottom w:val="nil"/>
          <w:right w:val="nil"/>
          <w:between w:val="nil"/>
        </w:pBdr>
        <w:tabs>
          <w:tab w:val="left" w:pos="720"/>
        </w:tabs>
        <w:spacing w:before="240" w:after="240"/>
        <w:rPr>
          <w:rFonts w:eastAsia="Arial" w:cs="Arial"/>
          <w:b/>
          <w:color w:val="000000"/>
          <w:szCs w:val="24"/>
          <w:lang w:eastAsia="en-GB"/>
        </w:rPr>
      </w:pPr>
      <w:bookmarkStart w:id="3529" w:name="bookmark=id.2b06g7m" w:colFirst="0" w:colLast="0"/>
      <w:bookmarkStart w:id="3530" w:name="Schedule3182"/>
      <w:bookmarkEnd w:id="3529"/>
      <w:r w:rsidRPr="00102034">
        <w:rPr>
          <w:rFonts w:eastAsia="Arial" w:cs="Arial"/>
          <w:b/>
          <w:color w:val="000000"/>
          <w:szCs w:val="24"/>
          <w:lang w:eastAsia="en-GB"/>
        </w:rPr>
        <w:t>8.2</w:t>
      </w:r>
      <w:bookmarkEnd w:id="3530"/>
      <w:r w:rsidRPr="00102034">
        <w:rPr>
          <w:rFonts w:eastAsia="Arial" w:cs="Arial"/>
          <w:b/>
          <w:color w:val="000000"/>
          <w:szCs w:val="24"/>
          <w:lang w:eastAsia="en-GB"/>
        </w:rPr>
        <w:t xml:space="preserve"> </w:t>
      </w:r>
      <w:r>
        <w:rPr>
          <w:rFonts w:eastAsia="Arial" w:cs="Arial"/>
          <w:b/>
          <w:color w:val="000000"/>
          <w:szCs w:val="24"/>
          <w:lang w:eastAsia="en-GB"/>
        </w:rPr>
        <w:tab/>
      </w:r>
      <w:r w:rsidRPr="00102034">
        <w:rPr>
          <w:rFonts w:eastAsia="Arial" w:cs="Arial"/>
          <w:b/>
          <w:color w:val="000000"/>
          <w:szCs w:val="24"/>
          <w:lang w:eastAsia="en-GB"/>
        </w:rPr>
        <w:t>Purpose limitation</w:t>
      </w:r>
    </w:p>
    <w:p w14:paraId="624ED8CB" w14:textId="77777777" w:rsidR="00F67E9E" w:rsidRPr="00102034" w:rsidRDefault="00F67E9E" w:rsidP="00F67E9E">
      <w:pPr>
        <w:pBdr>
          <w:top w:val="nil"/>
          <w:left w:val="nil"/>
          <w:bottom w:val="nil"/>
          <w:right w:val="nil"/>
          <w:between w:val="nil"/>
        </w:pBdr>
        <w:spacing w:before="120" w:after="240"/>
        <w:ind w:left="720"/>
        <w:rPr>
          <w:rFonts w:eastAsia="Arial" w:cs="Arial"/>
          <w:color w:val="000000"/>
          <w:szCs w:val="24"/>
          <w:lang w:eastAsia="en-GB"/>
        </w:rPr>
      </w:pPr>
      <w:bookmarkStart w:id="3531" w:name="bookmark=id.q5gqff" w:colFirst="0" w:colLast="0"/>
      <w:bookmarkEnd w:id="3531"/>
      <w:r w:rsidRPr="00102034">
        <w:rPr>
          <w:rFonts w:eastAsia="Arial" w:cs="Arial"/>
          <w:color w:val="000000"/>
          <w:szCs w:val="24"/>
          <w:lang w:eastAsia="en-GB"/>
        </w:rPr>
        <w:t>The data importer shall process the personal data only for the specific purpose(s) of the transfer, as set out in Annex I.B, unless on further instructions from the controller, as communicated to the data importer by the data exporter, or from the data exporter.</w:t>
      </w:r>
    </w:p>
    <w:p w14:paraId="05DFCBFA" w14:textId="77777777" w:rsidR="00F67E9E" w:rsidRPr="00102034" w:rsidRDefault="00F67E9E" w:rsidP="00F67E9E">
      <w:pPr>
        <w:keepNext/>
        <w:pBdr>
          <w:top w:val="nil"/>
          <w:left w:val="nil"/>
          <w:bottom w:val="nil"/>
          <w:right w:val="nil"/>
          <w:between w:val="nil"/>
        </w:pBdr>
        <w:tabs>
          <w:tab w:val="left" w:pos="720"/>
        </w:tabs>
        <w:spacing w:before="240" w:after="240"/>
        <w:rPr>
          <w:rFonts w:eastAsia="Arial" w:cs="Arial"/>
          <w:b/>
          <w:color w:val="000000"/>
          <w:szCs w:val="24"/>
          <w:lang w:eastAsia="en-GB"/>
        </w:rPr>
      </w:pPr>
      <w:bookmarkStart w:id="3532" w:name="bookmark=id.3a54938" w:colFirst="0" w:colLast="0"/>
      <w:bookmarkStart w:id="3533" w:name="Schedule3183"/>
      <w:bookmarkEnd w:id="3532"/>
      <w:r w:rsidRPr="00102034">
        <w:rPr>
          <w:rFonts w:eastAsia="Arial" w:cs="Arial"/>
          <w:b/>
          <w:color w:val="000000"/>
          <w:szCs w:val="24"/>
          <w:lang w:eastAsia="en-GB"/>
        </w:rPr>
        <w:t>8.3</w:t>
      </w:r>
      <w:bookmarkEnd w:id="3533"/>
      <w:r w:rsidRPr="00102034">
        <w:rPr>
          <w:rFonts w:eastAsia="Arial" w:cs="Arial"/>
          <w:b/>
          <w:color w:val="000000"/>
          <w:szCs w:val="24"/>
          <w:lang w:eastAsia="en-GB"/>
        </w:rPr>
        <w:t xml:space="preserve"> </w:t>
      </w:r>
      <w:r>
        <w:rPr>
          <w:rFonts w:eastAsia="Arial" w:cs="Arial"/>
          <w:b/>
          <w:color w:val="000000"/>
          <w:szCs w:val="24"/>
          <w:lang w:eastAsia="en-GB"/>
        </w:rPr>
        <w:tab/>
      </w:r>
      <w:r w:rsidRPr="00102034">
        <w:rPr>
          <w:rFonts w:eastAsia="Arial" w:cs="Arial"/>
          <w:b/>
          <w:color w:val="000000"/>
          <w:szCs w:val="24"/>
          <w:lang w:eastAsia="en-GB"/>
        </w:rPr>
        <w:t>Transparency</w:t>
      </w:r>
    </w:p>
    <w:p w14:paraId="75A0DC55" w14:textId="0168FD76" w:rsidR="00F67E9E" w:rsidRPr="00102034" w:rsidRDefault="00F67E9E" w:rsidP="00F67E9E">
      <w:pPr>
        <w:pBdr>
          <w:top w:val="nil"/>
          <w:left w:val="nil"/>
          <w:bottom w:val="nil"/>
          <w:right w:val="nil"/>
          <w:between w:val="nil"/>
        </w:pBdr>
        <w:spacing w:before="120" w:after="240"/>
        <w:ind w:left="720"/>
        <w:rPr>
          <w:rFonts w:eastAsia="Arial" w:cs="Arial"/>
          <w:color w:val="000000"/>
          <w:szCs w:val="24"/>
          <w:lang w:eastAsia="en-GB"/>
        </w:rPr>
      </w:pPr>
      <w:bookmarkStart w:id="3534" w:name="bookmark=id.1paejb1" w:colFirst="0" w:colLast="0"/>
      <w:bookmarkEnd w:id="3534"/>
      <w:r w:rsidRPr="00102034">
        <w:rPr>
          <w:rFonts w:eastAsia="Arial" w:cs="Arial"/>
          <w:color w:val="000000"/>
          <w:szCs w:val="24"/>
          <w:lang w:eastAsia="en-GB"/>
        </w:rPr>
        <w:t>On request, the data exporter shall make a copy of these Clauses, including the</w:t>
      </w:r>
      <w:r>
        <w:rPr>
          <w:rFonts w:eastAsia="Arial" w:cs="Arial"/>
          <w:color w:val="000000"/>
          <w:szCs w:val="24"/>
          <w:lang w:eastAsia="en-GB"/>
        </w:rPr>
        <w:t xml:space="preserve"> </w:t>
      </w:r>
      <w:r w:rsidRPr="00BF6836">
        <w:rPr>
          <w:rFonts w:eastAsia="Arial" w:cs="Arial"/>
          <w:color w:val="000000"/>
        </w:rPr>
        <w:fldChar w:fldCharType="begin"/>
      </w:r>
      <w:r w:rsidRPr="00BF6836">
        <w:rPr>
          <w:rFonts w:eastAsia="Arial" w:cs="Arial"/>
          <w:color w:val="000000"/>
        </w:rPr>
        <w:instrText xml:space="preserve"> REF  Schedule_31_PartC_Appendix \* Caps \h  \* MERGEFORMAT </w:instrText>
      </w:r>
      <w:r w:rsidRPr="00BF6836">
        <w:rPr>
          <w:rFonts w:eastAsia="Arial" w:cs="Arial"/>
          <w:color w:val="000000"/>
        </w:rPr>
      </w:r>
      <w:r w:rsidRPr="00BF6836">
        <w:rPr>
          <w:rFonts w:eastAsia="Arial" w:cs="Arial"/>
          <w:color w:val="000000"/>
        </w:rPr>
        <w:fldChar w:fldCharType="separate"/>
      </w:r>
      <w:r w:rsidR="00302D39" w:rsidRPr="00302D39">
        <w:rPr>
          <w:rFonts w:eastAsia="Arial" w:cs="Arial"/>
          <w:color w:val="000000"/>
          <w:szCs w:val="24"/>
          <w:lang w:eastAsia="en-GB"/>
        </w:rPr>
        <w:t>Appendix</w:t>
      </w:r>
      <w:r w:rsidRPr="00BF6836">
        <w:rPr>
          <w:rFonts w:eastAsia="Arial" w:cs="Arial"/>
          <w:color w:val="000000"/>
        </w:rPr>
        <w:fldChar w:fldCharType="end"/>
      </w:r>
      <w:r>
        <w:rPr>
          <w:rFonts w:eastAsia="Arial" w:cs="Arial"/>
          <w:color w:val="000000"/>
        </w:rPr>
        <w:t xml:space="preserve"> </w:t>
      </w:r>
      <w:r w:rsidRPr="00102034">
        <w:rPr>
          <w:rFonts w:eastAsia="Arial" w:cs="Arial"/>
          <w:color w:val="000000"/>
          <w:szCs w:val="24"/>
          <w:lang w:eastAsia="en-GB"/>
        </w:rPr>
        <w:t>as completed by the Parties, available to the data subject free of charge. To the extent necessary to protect business secrets or other confidential information, including personal data, the data exporter may redact part of the text of the Appendix prior to sharing a copy, but shall provide a meaningful summary where the data subject would otherwise not be able to understand its content or exercise his/her rights. On request, the Parties shall provide the data subject with the reasons for the redactions, to the extent possible without revealing the redacted information.</w:t>
      </w:r>
    </w:p>
    <w:p w14:paraId="373190A8" w14:textId="77777777" w:rsidR="00F67E9E" w:rsidRPr="00102034" w:rsidRDefault="00F67E9E" w:rsidP="00F67E9E">
      <w:pPr>
        <w:keepNext/>
        <w:pBdr>
          <w:top w:val="nil"/>
          <w:left w:val="nil"/>
          <w:bottom w:val="nil"/>
          <w:right w:val="nil"/>
          <w:between w:val="nil"/>
        </w:pBdr>
        <w:tabs>
          <w:tab w:val="left" w:pos="720"/>
        </w:tabs>
        <w:spacing w:before="240" w:after="240"/>
        <w:rPr>
          <w:rFonts w:eastAsia="Arial" w:cs="Arial"/>
          <w:b/>
          <w:color w:val="000000"/>
          <w:szCs w:val="24"/>
          <w:lang w:eastAsia="en-GB"/>
        </w:rPr>
      </w:pPr>
      <w:bookmarkStart w:id="3535" w:name="bookmark=id.49a21yu" w:colFirst="0" w:colLast="0"/>
      <w:bookmarkStart w:id="3536" w:name="Schedule3184"/>
      <w:bookmarkEnd w:id="3535"/>
      <w:r w:rsidRPr="00102034">
        <w:rPr>
          <w:rFonts w:eastAsia="Arial" w:cs="Arial"/>
          <w:b/>
          <w:color w:val="000000"/>
          <w:szCs w:val="24"/>
          <w:lang w:eastAsia="en-GB"/>
        </w:rPr>
        <w:t>8.4</w:t>
      </w:r>
      <w:bookmarkEnd w:id="3536"/>
      <w:r w:rsidRPr="00102034">
        <w:rPr>
          <w:rFonts w:eastAsia="Arial" w:cs="Arial"/>
          <w:b/>
          <w:color w:val="000000"/>
          <w:szCs w:val="24"/>
          <w:lang w:eastAsia="en-GB"/>
        </w:rPr>
        <w:t xml:space="preserve"> </w:t>
      </w:r>
      <w:r>
        <w:rPr>
          <w:rFonts w:eastAsia="Arial" w:cs="Arial"/>
          <w:b/>
          <w:color w:val="000000"/>
          <w:szCs w:val="24"/>
          <w:lang w:eastAsia="en-GB"/>
        </w:rPr>
        <w:tab/>
      </w:r>
      <w:r w:rsidRPr="00102034">
        <w:rPr>
          <w:rFonts w:eastAsia="Arial" w:cs="Arial"/>
          <w:b/>
          <w:color w:val="000000"/>
          <w:szCs w:val="24"/>
          <w:lang w:eastAsia="en-GB"/>
        </w:rPr>
        <w:t>Accuracy</w:t>
      </w:r>
    </w:p>
    <w:p w14:paraId="0387468A" w14:textId="77777777" w:rsidR="00F67E9E" w:rsidRPr="00102034" w:rsidRDefault="00F67E9E" w:rsidP="00F67E9E">
      <w:pPr>
        <w:pBdr>
          <w:top w:val="nil"/>
          <w:left w:val="nil"/>
          <w:bottom w:val="nil"/>
          <w:right w:val="nil"/>
          <w:between w:val="nil"/>
        </w:pBdr>
        <w:spacing w:before="120" w:after="240"/>
        <w:ind w:left="720"/>
        <w:rPr>
          <w:rFonts w:eastAsia="Arial" w:cs="Arial"/>
          <w:color w:val="000000"/>
          <w:szCs w:val="24"/>
          <w:lang w:eastAsia="en-GB"/>
        </w:rPr>
      </w:pPr>
      <w:bookmarkStart w:id="3537" w:name="bookmark=id.2ofcc6n" w:colFirst="0" w:colLast="0"/>
      <w:bookmarkEnd w:id="3537"/>
      <w:r w:rsidRPr="00102034">
        <w:rPr>
          <w:rFonts w:eastAsia="Arial" w:cs="Arial"/>
          <w:color w:val="000000"/>
          <w:szCs w:val="24"/>
          <w:lang w:eastAsia="en-GB"/>
        </w:rPr>
        <w:t>If the data importer becomes aware that the personal data it has received is inaccurate, or has become outdated, it shall inform the data exporter without undue delay. In this case, the data importer shall cooperate with the data exporter to rectify or erase the data.</w:t>
      </w:r>
    </w:p>
    <w:p w14:paraId="77A9D6E0" w14:textId="77777777" w:rsidR="00F67E9E" w:rsidRPr="00102034" w:rsidRDefault="00F67E9E" w:rsidP="00F67E9E">
      <w:pPr>
        <w:keepNext/>
        <w:pBdr>
          <w:top w:val="nil"/>
          <w:left w:val="nil"/>
          <w:bottom w:val="nil"/>
          <w:right w:val="nil"/>
          <w:between w:val="nil"/>
        </w:pBdr>
        <w:tabs>
          <w:tab w:val="left" w:pos="720"/>
        </w:tabs>
        <w:spacing w:before="240" w:after="240"/>
        <w:rPr>
          <w:rFonts w:eastAsia="Arial" w:cs="Arial"/>
          <w:b/>
          <w:color w:val="000000"/>
          <w:szCs w:val="24"/>
          <w:lang w:eastAsia="en-GB"/>
        </w:rPr>
      </w:pPr>
      <w:bookmarkStart w:id="3538" w:name="bookmark=id.13kmmeg" w:colFirst="0" w:colLast="0"/>
      <w:bookmarkStart w:id="3539" w:name="Schedule3185"/>
      <w:bookmarkEnd w:id="3538"/>
      <w:r w:rsidRPr="00102034">
        <w:rPr>
          <w:rFonts w:eastAsia="Arial" w:cs="Arial"/>
          <w:b/>
          <w:color w:val="000000"/>
          <w:szCs w:val="24"/>
          <w:lang w:eastAsia="en-GB"/>
        </w:rPr>
        <w:t>8.5</w:t>
      </w:r>
      <w:bookmarkEnd w:id="3539"/>
      <w:r w:rsidRPr="00102034">
        <w:rPr>
          <w:rFonts w:eastAsia="Arial" w:cs="Arial"/>
          <w:b/>
          <w:color w:val="000000"/>
          <w:szCs w:val="24"/>
          <w:lang w:eastAsia="en-GB"/>
        </w:rPr>
        <w:t xml:space="preserve"> </w:t>
      </w:r>
      <w:r>
        <w:rPr>
          <w:rFonts w:eastAsia="Arial" w:cs="Arial"/>
          <w:b/>
          <w:color w:val="000000"/>
          <w:szCs w:val="24"/>
          <w:lang w:eastAsia="en-GB"/>
        </w:rPr>
        <w:tab/>
      </w:r>
      <w:r w:rsidRPr="00102034">
        <w:rPr>
          <w:rFonts w:eastAsia="Arial" w:cs="Arial"/>
          <w:b/>
          <w:color w:val="000000"/>
          <w:szCs w:val="24"/>
          <w:lang w:eastAsia="en-GB"/>
        </w:rPr>
        <w:t>Duration of processing and erasure or return of data</w:t>
      </w:r>
    </w:p>
    <w:p w14:paraId="49A538CD" w14:textId="77777777" w:rsidR="00F67E9E" w:rsidRPr="00102034" w:rsidRDefault="00F67E9E" w:rsidP="00F67E9E">
      <w:pPr>
        <w:pBdr>
          <w:top w:val="nil"/>
          <w:left w:val="nil"/>
          <w:bottom w:val="nil"/>
          <w:right w:val="nil"/>
          <w:between w:val="nil"/>
        </w:pBdr>
        <w:spacing w:before="120" w:after="240"/>
        <w:ind w:left="720"/>
        <w:rPr>
          <w:rFonts w:eastAsia="Arial" w:cs="Arial"/>
          <w:color w:val="000000"/>
          <w:szCs w:val="24"/>
          <w:lang w:eastAsia="en-GB"/>
        </w:rPr>
      </w:pPr>
      <w:bookmarkStart w:id="3540" w:name="bookmark=id.3nka529" w:colFirst="0" w:colLast="0"/>
      <w:bookmarkEnd w:id="3540"/>
      <w:r w:rsidRPr="00102034">
        <w:rPr>
          <w:rFonts w:eastAsia="Arial" w:cs="Arial"/>
          <w:color w:val="000000"/>
          <w:szCs w:val="24"/>
          <w:lang w:eastAsia="en-GB"/>
        </w:rPr>
        <w:t>Processing by the data importer shall only take place for the duration specified in Annex I.B. After the end of the provision of the processing services, the data importer shall, at the choice of the data exporter, delete all personal data processed on behalf of the controller and certify to the data exporter that it has done so, or return to the data exporter all personal data processed on its behalf and delete existing copies. Until the data is deleted or returned, the data importer shall continue to ensure compliance with these Clauses. In case of local laws applicable to the data importer that prohibit return or deletion of the personal data, the data importer warrants that it will continue to ensure compliance with these Clauses and will only process it to the extent and for as long as required under that local law. This is without prejudice to Clause 14, in particular the requirement for the data importer under Clause 14(e) to notify the data exporter throughout the duration of the contract if it has reason to believe that it is or has become subject to laws or practices not in line with the requirements under Clause 14(a).</w:t>
      </w:r>
    </w:p>
    <w:p w14:paraId="6280D9D3" w14:textId="77777777" w:rsidR="00F67E9E" w:rsidRPr="00102034" w:rsidRDefault="00F67E9E" w:rsidP="00F67E9E">
      <w:pPr>
        <w:keepNext/>
        <w:pBdr>
          <w:top w:val="nil"/>
          <w:left w:val="nil"/>
          <w:bottom w:val="nil"/>
          <w:right w:val="nil"/>
          <w:between w:val="nil"/>
        </w:pBdr>
        <w:tabs>
          <w:tab w:val="left" w:pos="720"/>
        </w:tabs>
        <w:spacing w:before="240" w:after="240"/>
        <w:rPr>
          <w:rFonts w:eastAsia="Arial" w:cs="Arial"/>
          <w:b/>
          <w:color w:val="000000"/>
          <w:szCs w:val="24"/>
          <w:lang w:eastAsia="en-GB"/>
        </w:rPr>
      </w:pPr>
      <w:bookmarkStart w:id="3541" w:name="bookmark=id.22pkfa2" w:colFirst="0" w:colLast="0"/>
      <w:bookmarkStart w:id="3542" w:name="Schedule3186"/>
      <w:bookmarkEnd w:id="3541"/>
      <w:r w:rsidRPr="00102034">
        <w:rPr>
          <w:rFonts w:eastAsia="Arial" w:cs="Arial"/>
          <w:b/>
          <w:color w:val="000000"/>
          <w:szCs w:val="24"/>
          <w:lang w:eastAsia="en-GB"/>
        </w:rPr>
        <w:t>8.6</w:t>
      </w:r>
      <w:bookmarkEnd w:id="3542"/>
      <w:r w:rsidRPr="00102034">
        <w:rPr>
          <w:rFonts w:eastAsia="Arial" w:cs="Arial"/>
          <w:b/>
          <w:color w:val="000000"/>
          <w:szCs w:val="24"/>
          <w:lang w:eastAsia="en-GB"/>
        </w:rPr>
        <w:t xml:space="preserve"> </w:t>
      </w:r>
      <w:r>
        <w:rPr>
          <w:rFonts w:eastAsia="Arial" w:cs="Arial"/>
          <w:b/>
          <w:color w:val="000000"/>
          <w:szCs w:val="24"/>
          <w:lang w:eastAsia="en-GB"/>
        </w:rPr>
        <w:tab/>
      </w:r>
      <w:r w:rsidRPr="00102034">
        <w:rPr>
          <w:rFonts w:eastAsia="Arial" w:cs="Arial"/>
          <w:b/>
          <w:color w:val="000000"/>
          <w:szCs w:val="24"/>
          <w:lang w:eastAsia="en-GB"/>
        </w:rPr>
        <w:t>Security of processing</w:t>
      </w:r>
    </w:p>
    <w:p w14:paraId="04316D31" w14:textId="2E618E7B" w:rsidR="00F67E9E" w:rsidRPr="00102034" w:rsidRDefault="00F67E9E" w:rsidP="00F67E9E">
      <w:pPr>
        <w:numPr>
          <w:ilvl w:val="1"/>
          <w:numId w:val="258"/>
        </w:numPr>
        <w:pBdr>
          <w:top w:val="nil"/>
          <w:left w:val="nil"/>
          <w:bottom w:val="nil"/>
          <w:right w:val="nil"/>
          <w:between w:val="nil"/>
        </w:pBdr>
        <w:tabs>
          <w:tab w:val="left" w:pos="1440"/>
        </w:tabs>
        <w:spacing w:before="120" w:after="240"/>
        <w:ind w:left="1440" w:hanging="720"/>
        <w:rPr>
          <w:rFonts w:eastAsia="Arial" w:cs="Arial"/>
          <w:color w:val="000000"/>
          <w:szCs w:val="24"/>
          <w:lang w:eastAsia="en-GB"/>
        </w:rPr>
      </w:pPr>
      <w:bookmarkStart w:id="3543" w:name="bookmark=id.huuphv" w:colFirst="0" w:colLast="0"/>
      <w:bookmarkEnd w:id="3543"/>
      <w:r w:rsidRPr="00102034">
        <w:rPr>
          <w:rFonts w:eastAsia="Arial" w:cs="Arial"/>
          <w:color w:val="000000"/>
          <w:szCs w:val="24"/>
          <w:lang w:eastAsia="en-GB"/>
        </w:rPr>
        <w:t xml:space="preserve">The data importer and, during transmission, also the data exporter shall implement appropriate technical and organisational measures to ensure the security of the data, including protection against a breach of security leading to accidental or unlawful destruction, loss, alteration, unauthorised disclosure or access to that data (hereinafter 'personal data breach'). In assessing the appropriate level of security, they shall take due account of the state of the art, the costs of implementation, the nature, scope, context and purpose(s) of processing and the risks involved in the processing for the data subject. The Parties shall in particular consider having recourse to encryption or pseudonymisation, including during transmission, where the purpose of processing can be fulfilled in that manner. In case of pseudonymisation, the additional information for attributing the personal data to a specific data subject shall, where possible, remain under the exclusive control of the data exporter or the controller. In complying with its obligations under this paragraph, the data importer shall at least implement the technical and organisational measures specified in Annex </w:t>
      </w:r>
      <w:r w:rsidRPr="00E90123">
        <w:rPr>
          <w:rFonts w:eastAsia="Arial" w:cs="Arial"/>
          <w:color w:val="000000"/>
          <w:szCs w:val="24"/>
          <w:lang w:eastAsia="en-GB"/>
        </w:rPr>
        <w:fldChar w:fldCharType="begin"/>
      </w:r>
      <w:r w:rsidRPr="00E90123">
        <w:rPr>
          <w:rFonts w:eastAsia="Arial" w:cs="Arial"/>
          <w:color w:val="000000"/>
          <w:szCs w:val="24"/>
          <w:lang w:eastAsia="en-GB"/>
        </w:rPr>
        <w:instrText xml:space="preserve"> REF Schedule_31_PartC_Annex_II \h </w:instrText>
      </w:r>
      <w:r w:rsidRPr="004B5F27">
        <w:rPr>
          <w:rFonts w:eastAsia="Arial" w:cs="Arial"/>
          <w:color w:val="000000"/>
          <w:szCs w:val="24"/>
          <w:lang w:eastAsia="en-GB"/>
        </w:rPr>
        <w:instrText xml:space="preserve"> \* MERGEFORMAT </w:instrText>
      </w:r>
      <w:r w:rsidRPr="00E90123">
        <w:rPr>
          <w:rFonts w:eastAsia="Arial" w:cs="Arial"/>
          <w:color w:val="000000"/>
          <w:szCs w:val="24"/>
          <w:lang w:eastAsia="en-GB"/>
        </w:rPr>
      </w:r>
      <w:r w:rsidRPr="00E90123">
        <w:rPr>
          <w:rFonts w:eastAsia="Arial" w:cs="Arial"/>
          <w:color w:val="000000"/>
          <w:szCs w:val="24"/>
          <w:lang w:eastAsia="en-GB"/>
        </w:rPr>
        <w:fldChar w:fldCharType="separate"/>
      </w:r>
      <w:r w:rsidR="00302D39" w:rsidRPr="00302D39">
        <w:rPr>
          <w:rFonts w:eastAsia="Arial" w:cs="Arial"/>
          <w:color w:val="000000"/>
          <w:szCs w:val="24"/>
          <w:lang w:eastAsia="en-GB"/>
        </w:rPr>
        <w:t>II</w:t>
      </w:r>
      <w:r w:rsidRPr="00E90123">
        <w:rPr>
          <w:rFonts w:eastAsia="Arial" w:cs="Arial"/>
          <w:color w:val="000000"/>
          <w:szCs w:val="24"/>
          <w:lang w:eastAsia="en-GB"/>
        </w:rPr>
        <w:fldChar w:fldCharType="end"/>
      </w:r>
      <w:r w:rsidRPr="00102034">
        <w:rPr>
          <w:rFonts w:eastAsia="Arial" w:cs="Arial"/>
          <w:color w:val="000000"/>
          <w:szCs w:val="24"/>
          <w:lang w:eastAsia="en-GB"/>
        </w:rPr>
        <w:t>. The data importer shall carry out regular checks to ensure that these measures continue to provide an appropriate level of security.</w:t>
      </w:r>
    </w:p>
    <w:p w14:paraId="773695BD" w14:textId="77777777" w:rsidR="00F67E9E" w:rsidRPr="00102034" w:rsidRDefault="00F67E9E" w:rsidP="00F67E9E">
      <w:pPr>
        <w:numPr>
          <w:ilvl w:val="1"/>
          <w:numId w:val="258"/>
        </w:numPr>
        <w:pBdr>
          <w:top w:val="nil"/>
          <w:left w:val="nil"/>
          <w:bottom w:val="nil"/>
          <w:right w:val="nil"/>
          <w:between w:val="nil"/>
        </w:pBdr>
        <w:tabs>
          <w:tab w:val="left" w:pos="1440"/>
        </w:tabs>
        <w:spacing w:before="120" w:after="240"/>
        <w:ind w:left="1440" w:hanging="720"/>
        <w:rPr>
          <w:rFonts w:eastAsia="Arial" w:cs="Arial"/>
          <w:color w:val="000000"/>
          <w:szCs w:val="24"/>
          <w:lang w:eastAsia="en-GB"/>
        </w:rPr>
      </w:pPr>
      <w:bookmarkStart w:id="3544" w:name="bookmark=id.31ui85o" w:colFirst="0" w:colLast="0"/>
      <w:bookmarkEnd w:id="3544"/>
      <w:r w:rsidRPr="00102034">
        <w:rPr>
          <w:rFonts w:eastAsia="Arial" w:cs="Arial"/>
          <w:color w:val="000000"/>
          <w:szCs w:val="24"/>
          <w:lang w:eastAsia="en-GB"/>
        </w:rPr>
        <w:t>The data importer shall grant access to the data to members of its personnel only to the extent strictly necessary for the implementation, management and monitoring of the contract. It shall ensure that persons authorised to process the personal data have committed themselves to confidentiality or are under an appropriate statutory obligation of confidentiality.</w:t>
      </w:r>
    </w:p>
    <w:p w14:paraId="041B628F" w14:textId="77777777" w:rsidR="00F67E9E" w:rsidRPr="00102034" w:rsidRDefault="00F67E9E" w:rsidP="00F67E9E">
      <w:pPr>
        <w:numPr>
          <w:ilvl w:val="1"/>
          <w:numId w:val="258"/>
        </w:numPr>
        <w:pBdr>
          <w:top w:val="nil"/>
          <w:left w:val="nil"/>
          <w:bottom w:val="nil"/>
          <w:right w:val="nil"/>
          <w:between w:val="nil"/>
        </w:pBdr>
        <w:tabs>
          <w:tab w:val="left" w:pos="1440"/>
        </w:tabs>
        <w:spacing w:before="120" w:after="240"/>
        <w:ind w:left="1440" w:hanging="720"/>
        <w:rPr>
          <w:rFonts w:eastAsia="Arial" w:cs="Arial"/>
          <w:color w:val="000000"/>
          <w:szCs w:val="24"/>
          <w:lang w:eastAsia="en-GB"/>
        </w:rPr>
      </w:pPr>
      <w:bookmarkStart w:id="3545" w:name="bookmark=id.1gzsidh" w:colFirst="0" w:colLast="0"/>
      <w:bookmarkEnd w:id="3545"/>
      <w:r w:rsidRPr="00102034">
        <w:rPr>
          <w:rFonts w:eastAsia="Arial" w:cs="Arial"/>
          <w:color w:val="000000"/>
          <w:szCs w:val="24"/>
          <w:lang w:eastAsia="en-GB"/>
        </w:rPr>
        <w:t>In the event of a personal data breach concerning personal data processed by the data importer under these Clauses, the data importer shall take appropriate measures to address the breach, including measures to mitigate its adverse effects. The data importer shall also notify, without undue delay, the data exporter and, where appropriate and feasible, the controller after having become aware of the breach. Such notification shall contain the details of a contact point where more information can be obtained, a description of the nature of the breach (including, where possible, categories and approximate number of data subjects and personal data records concerned), its likely consequences and the measures taken or proposed to address the data breach, including measures to mitigate its possible adverse effects. Where, and in so far as, it is not possible to provide all information at the same time, the initial notification shall contain the information then available and further information shall, as it becomes available, subsequently be provided without undue delay.</w:t>
      </w:r>
    </w:p>
    <w:p w14:paraId="29A0B4D5" w14:textId="77777777" w:rsidR="00F67E9E" w:rsidRPr="00102034" w:rsidRDefault="00F67E9E" w:rsidP="00F67E9E">
      <w:pPr>
        <w:numPr>
          <w:ilvl w:val="1"/>
          <w:numId w:val="258"/>
        </w:numPr>
        <w:pBdr>
          <w:top w:val="nil"/>
          <w:left w:val="nil"/>
          <w:bottom w:val="nil"/>
          <w:right w:val="nil"/>
          <w:between w:val="nil"/>
        </w:pBdr>
        <w:tabs>
          <w:tab w:val="left" w:pos="1440"/>
        </w:tabs>
        <w:spacing w:before="120" w:after="240"/>
        <w:ind w:left="1440" w:hanging="720"/>
        <w:rPr>
          <w:rFonts w:eastAsia="Arial" w:cs="Arial"/>
          <w:color w:val="000000"/>
          <w:szCs w:val="24"/>
          <w:lang w:eastAsia="en-GB"/>
        </w:rPr>
      </w:pPr>
      <w:bookmarkStart w:id="3546" w:name="bookmark=id.40zg11a" w:colFirst="0" w:colLast="0"/>
      <w:bookmarkEnd w:id="3546"/>
      <w:r w:rsidRPr="00102034">
        <w:rPr>
          <w:rFonts w:eastAsia="Arial" w:cs="Arial"/>
          <w:color w:val="000000"/>
          <w:szCs w:val="24"/>
          <w:lang w:eastAsia="en-GB"/>
        </w:rPr>
        <w:t>The data importer shall cooperate with and assist the data exporter to enable the data exporter to comply with its obligations under Regulation (EU) 2016/679, in particular to notify its controller so that the latter may in turn notify the competent supervisory authority and the affected data subjects, taking into account the nature of processing and the information available to the data importer.</w:t>
      </w:r>
    </w:p>
    <w:p w14:paraId="154621A7" w14:textId="77777777" w:rsidR="00F67E9E" w:rsidRPr="00102034" w:rsidRDefault="00F67E9E" w:rsidP="00F67E9E">
      <w:pPr>
        <w:keepNext/>
        <w:pBdr>
          <w:top w:val="nil"/>
          <w:left w:val="nil"/>
          <w:bottom w:val="nil"/>
          <w:right w:val="nil"/>
          <w:between w:val="nil"/>
        </w:pBdr>
        <w:tabs>
          <w:tab w:val="left" w:pos="720"/>
        </w:tabs>
        <w:spacing w:before="240" w:after="240"/>
        <w:rPr>
          <w:rFonts w:eastAsia="Arial" w:cs="Arial"/>
          <w:b/>
          <w:color w:val="000000"/>
          <w:szCs w:val="24"/>
          <w:lang w:eastAsia="en-GB"/>
        </w:rPr>
      </w:pPr>
      <w:bookmarkStart w:id="3547" w:name="bookmark=id.2g4qb93" w:colFirst="0" w:colLast="0"/>
      <w:bookmarkStart w:id="3548" w:name="Schedule3187"/>
      <w:bookmarkEnd w:id="3547"/>
      <w:r w:rsidRPr="00102034">
        <w:rPr>
          <w:rFonts w:eastAsia="Arial" w:cs="Arial"/>
          <w:b/>
          <w:color w:val="000000"/>
          <w:szCs w:val="24"/>
          <w:lang w:eastAsia="en-GB"/>
        </w:rPr>
        <w:t>8.7</w:t>
      </w:r>
      <w:bookmarkEnd w:id="3548"/>
      <w:r w:rsidRPr="00102034">
        <w:rPr>
          <w:rFonts w:eastAsia="Arial" w:cs="Arial"/>
          <w:b/>
          <w:color w:val="000000"/>
          <w:szCs w:val="24"/>
          <w:lang w:eastAsia="en-GB"/>
        </w:rPr>
        <w:t xml:space="preserve"> </w:t>
      </w:r>
      <w:r>
        <w:rPr>
          <w:rFonts w:eastAsia="Arial" w:cs="Arial"/>
          <w:b/>
          <w:color w:val="000000"/>
          <w:szCs w:val="24"/>
          <w:lang w:eastAsia="en-GB"/>
        </w:rPr>
        <w:tab/>
      </w:r>
      <w:r w:rsidRPr="00102034">
        <w:rPr>
          <w:rFonts w:eastAsia="Arial" w:cs="Arial"/>
          <w:b/>
          <w:color w:val="000000"/>
          <w:szCs w:val="24"/>
          <w:lang w:eastAsia="en-GB"/>
        </w:rPr>
        <w:t>Sensitive data</w:t>
      </w:r>
    </w:p>
    <w:p w14:paraId="3E85C814" w14:textId="77777777" w:rsidR="00F67E9E" w:rsidRPr="00102034" w:rsidRDefault="00F67E9E" w:rsidP="00F67E9E">
      <w:pPr>
        <w:pBdr>
          <w:top w:val="nil"/>
          <w:left w:val="nil"/>
          <w:bottom w:val="nil"/>
          <w:right w:val="nil"/>
          <w:between w:val="nil"/>
        </w:pBdr>
        <w:spacing w:before="120" w:after="240"/>
        <w:ind w:left="720"/>
        <w:rPr>
          <w:rFonts w:eastAsia="Arial" w:cs="Arial"/>
          <w:color w:val="000000"/>
          <w:szCs w:val="24"/>
          <w:lang w:eastAsia="en-GB"/>
        </w:rPr>
      </w:pPr>
      <w:bookmarkStart w:id="3549" w:name="bookmark=id.va0lgw" w:colFirst="0" w:colLast="0"/>
      <w:bookmarkEnd w:id="3549"/>
      <w:r w:rsidRPr="00102034">
        <w:rPr>
          <w:rFonts w:eastAsia="Arial" w:cs="Arial"/>
          <w:color w:val="000000"/>
          <w:szCs w:val="24"/>
          <w:lang w:eastAsia="en-GB"/>
        </w:rPr>
        <w:t>Where the transfer involves personal data revealing racial or ethnic origin, political opinions, religious or philosophical beliefs, or trade union membership, genetic data, or biometric data for the purpose of uniquely identifying a natural person, data concerning health or a person's sex life or sexual orientation, or data relating to criminal convictions and offences (hereinafter 'sensitive data'), the data importer shall apply the specific restrictions and/or additional safeguards set out in Annex I.B.</w:t>
      </w:r>
    </w:p>
    <w:p w14:paraId="2D597AE3" w14:textId="77777777" w:rsidR="00F67E9E" w:rsidRPr="00102034" w:rsidRDefault="00F67E9E" w:rsidP="00F67E9E">
      <w:pPr>
        <w:keepNext/>
        <w:pBdr>
          <w:top w:val="nil"/>
          <w:left w:val="nil"/>
          <w:bottom w:val="nil"/>
          <w:right w:val="nil"/>
          <w:between w:val="nil"/>
        </w:pBdr>
        <w:tabs>
          <w:tab w:val="left" w:pos="720"/>
        </w:tabs>
        <w:spacing w:before="240" w:after="240"/>
        <w:rPr>
          <w:rFonts w:eastAsia="Arial" w:cs="Arial"/>
          <w:b/>
          <w:color w:val="000000"/>
          <w:szCs w:val="24"/>
          <w:lang w:eastAsia="en-GB"/>
        </w:rPr>
      </w:pPr>
      <w:bookmarkStart w:id="3550" w:name="bookmark=id.3f9o44p" w:colFirst="0" w:colLast="0"/>
      <w:bookmarkStart w:id="3551" w:name="Schedule3188"/>
      <w:bookmarkEnd w:id="3550"/>
      <w:r w:rsidRPr="00102034">
        <w:rPr>
          <w:rFonts w:eastAsia="Arial" w:cs="Arial"/>
          <w:b/>
          <w:color w:val="000000"/>
          <w:szCs w:val="24"/>
          <w:lang w:eastAsia="en-GB"/>
        </w:rPr>
        <w:t>8.8</w:t>
      </w:r>
      <w:bookmarkEnd w:id="3551"/>
      <w:r w:rsidRPr="00102034">
        <w:rPr>
          <w:rFonts w:eastAsia="Arial" w:cs="Arial"/>
          <w:b/>
          <w:color w:val="000000"/>
          <w:szCs w:val="24"/>
          <w:lang w:eastAsia="en-GB"/>
        </w:rPr>
        <w:t xml:space="preserve"> </w:t>
      </w:r>
      <w:r>
        <w:rPr>
          <w:rFonts w:eastAsia="Arial" w:cs="Arial"/>
          <w:b/>
          <w:color w:val="000000"/>
          <w:szCs w:val="24"/>
          <w:lang w:eastAsia="en-GB"/>
        </w:rPr>
        <w:tab/>
      </w:r>
      <w:r w:rsidRPr="00102034">
        <w:rPr>
          <w:rFonts w:eastAsia="Arial" w:cs="Arial"/>
          <w:b/>
          <w:color w:val="000000"/>
          <w:szCs w:val="24"/>
          <w:lang w:eastAsia="en-GB"/>
        </w:rPr>
        <w:t>Onward transfers</w:t>
      </w:r>
    </w:p>
    <w:p w14:paraId="5CCC2537" w14:textId="77777777" w:rsidR="00F67E9E" w:rsidRPr="00102034" w:rsidRDefault="00F67E9E" w:rsidP="00F67E9E">
      <w:pPr>
        <w:numPr>
          <w:ilvl w:val="1"/>
          <w:numId w:val="259"/>
        </w:numPr>
        <w:pBdr>
          <w:top w:val="nil"/>
          <w:left w:val="nil"/>
          <w:bottom w:val="nil"/>
          <w:right w:val="nil"/>
          <w:between w:val="nil"/>
        </w:pBdr>
        <w:tabs>
          <w:tab w:val="left" w:pos="1440"/>
        </w:tabs>
        <w:spacing w:before="120" w:after="240"/>
        <w:ind w:left="1440" w:hanging="720"/>
        <w:rPr>
          <w:rFonts w:eastAsia="Arial" w:cs="Arial"/>
          <w:color w:val="000000"/>
          <w:szCs w:val="24"/>
          <w:lang w:eastAsia="en-GB"/>
        </w:rPr>
      </w:pPr>
      <w:bookmarkStart w:id="3552" w:name="bookmark=id.1ueyeci" w:colFirst="0" w:colLast="0"/>
      <w:bookmarkEnd w:id="3552"/>
      <w:r w:rsidRPr="00102034">
        <w:rPr>
          <w:rFonts w:eastAsia="Arial" w:cs="Arial"/>
          <w:color w:val="000000"/>
          <w:szCs w:val="24"/>
          <w:lang w:eastAsia="en-GB"/>
        </w:rPr>
        <w:t>The data importer shall only disclose the personal data to a third party on documented instructions from the controller, as communicated to the data importer by the data exporter. In addition, the data may only be disclosed to a third party located outside the European Union[</w:t>
      </w:r>
      <w:hyperlink w:anchor="bookmark=id.41qd9fz">
        <w:r w:rsidRPr="00102034">
          <w:rPr>
            <w:rFonts w:eastAsia="Arial" w:cs="Arial"/>
            <w:color w:val="0000FF"/>
            <w:szCs w:val="24"/>
            <w:u w:val="single"/>
            <w:lang w:eastAsia="en-GB"/>
          </w:rPr>
          <w:t>FN6</w:t>
        </w:r>
      </w:hyperlink>
      <w:r w:rsidRPr="00102034">
        <w:rPr>
          <w:rFonts w:eastAsia="Arial" w:cs="Arial"/>
          <w:color w:val="000000"/>
          <w:szCs w:val="24"/>
          <w:lang w:eastAsia="en-GB"/>
        </w:rPr>
        <w:t>] (in the same country as the data importer or in another third country, hereinafter 'onward transfer') if the third party is or agrees to be bound by these Clauses, under the appropriate Module, or if:</w:t>
      </w:r>
    </w:p>
    <w:p w14:paraId="1EBC8526" w14:textId="77777777" w:rsidR="00F67E9E" w:rsidRPr="00102034" w:rsidRDefault="00F67E9E" w:rsidP="00F67E9E">
      <w:pPr>
        <w:numPr>
          <w:ilvl w:val="2"/>
          <w:numId w:val="2"/>
        </w:numPr>
        <w:pBdr>
          <w:top w:val="nil"/>
          <w:left w:val="nil"/>
          <w:bottom w:val="nil"/>
          <w:right w:val="nil"/>
          <w:between w:val="nil"/>
        </w:pBdr>
        <w:spacing w:before="120" w:after="240"/>
        <w:ind w:left="2160" w:hanging="720"/>
        <w:rPr>
          <w:rFonts w:eastAsia="Arial" w:cs="Arial"/>
          <w:color w:val="000000"/>
          <w:szCs w:val="24"/>
          <w:lang w:eastAsia="en-GB"/>
        </w:rPr>
      </w:pPr>
      <w:bookmarkStart w:id="3553" w:name="bookmark=id.4eelx0b" w:colFirst="0" w:colLast="0"/>
      <w:bookmarkEnd w:id="3553"/>
      <w:r w:rsidRPr="00102034">
        <w:rPr>
          <w:rFonts w:eastAsia="Arial" w:cs="Arial"/>
          <w:color w:val="000000"/>
          <w:szCs w:val="24"/>
          <w:lang w:eastAsia="en-GB"/>
        </w:rPr>
        <w:t>the onward transfer is to a country benefitting from an adequacy decision pursuant to Article 45 of Regulation (EU) 2016/679 that covers the onward transfer;</w:t>
      </w:r>
    </w:p>
    <w:p w14:paraId="414CD84C" w14:textId="77777777" w:rsidR="00F67E9E" w:rsidRPr="00102034" w:rsidRDefault="00F67E9E" w:rsidP="00F67E9E">
      <w:pPr>
        <w:numPr>
          <w:ilvl w:val="2"/>
          <w:numId w:val="2"/>
        </w:numPr>
        <w:pBdr>
          <w:top w:val="nil"/>
          <w:left w:val="nil"/>
          <w:bottom w:val="nil"/>
          <w:right w:val="nil"/>
          <w:between w:val="nil"/>
        </w:pBdr>
        <w:spacing w:before="120" w:after="240"/>
        <w:ind w:left="2160" w:hanging="720"/>
        <w:rPr>
          <w:rFonts w:eastAsia="Arial" w:cs="Arial"/>
          <w:color w:val="000000"/>
          <w:szCs w:val="24"/>
          <w:lang w:eastAsia="en-GB"/>
        </w:rPr>
      </w:pPr>
      <w:bookmarkStart w:id="3554" w:name="bookmark=id.2tjw784" w:colFirst="0" w:colLast="0"/>
      <w:bookmarkEnd w:id="3554"/>
      <w:r w:rsidRPr="00102034">
        <w:rPr>
          <w:rFonts w:eastAsia="Arial" w:cs="Arial"/>
          <w:color w:val="000000"/>
          <w:szCs w:val="24"/>
          <w:lang w:eastAsia="en-GB"/>
        </w:rPr>
        <w:t>the third party otherwise ensures appropriate safeguards pursuant to Articles 46 or 47 of Regulation (EU) 2016/679;</w:t>
      </w:r>
    </w:p>
    <w:p w14:paraId="3C12BF1D" w14:textId="77777777" w:rsidR="00F67E9E" w:rsidRPr="00102034" w:rsidRDefault="00F67E9E" w:rsidP="00F67E9E">
      <w:pPr>
        <w:numPr>
          <w:ilvl w:val="2"/>
          <w:numId w:val="2"/>
        </w:numPr>
        <w:pBdr>
          <w:top w:val="nil"/>
          <w:left w:val="nil"/>
          <w:bottom w:val="nil"/>
          <w:right w:val="nil"/>
          <w:between w:val="nil"/>
        </w:pBdr>
        <w:spacing w:before="120" w:after="240"/>
        <w:ind w:left="2160" w:hanging="720"/>
        <w:rPr>
          <w:rFonts w:eastAsia="Arial" w:cs="Arial"/>
          <w:color w:val="000000"/>
          <w:szCs w:val="24"/>
          <w:lang w:eastAsia="en-GB"/>
        </w:rPr>
      </w:pPr>
      <w:bookmarkStart w:id="3555" w:name="bookmark=id.18p6hfx" w:colFirst="0" w:colLast="0"/>
      <w:bookmarkEnd w:id="3555"/>
      <w:r w:rsidRPr="00102034">
        <w:rPr>
          <w:rFonts w:eastAsia="Arial" w:cs="Arial"/>
          <w:color w:val="000000"/>
          <w:szCs w:val="24"/>
          <w:lang w:eastAsia="en-GB"/>
        </w:rPr>
        <w:t>the onward transfer is necessary for the establishment, exercise or defence of legal claims in the context of specific administrative, regulatory or judicial proceedings; or</w:t>
      </w:r>
    </w:p>
    <w:p w14:paraId="363A9DC4" w14:textId="77777777" w:rsidR="00F67E9E" w:rsidRPr="00102034" w:rsidRDefault="00F67E9E" w:rsidP="00F67E9E">
      <w:pPr>
        <w:numPr>
          <w:ilvl w:val="2"/>
          <w:numId w:val="2"/>
        </w:numPr>
        <w:pBdr>
          <w:top w:val="nil"/>
          <w:left w:val="nil"/>
          <w:bottom w:val="nil"/>
          <w:right w:val="nil"/>
          <w:between w:val="nil"/>
        </w:pBdr>
        <w:spacing w:before="120" w:after="240"/>
        <w:ind w:left="2160" w:hanging="720"/>
        <w:rPr>
          <w:rFonts w:eastAsia="Arial" w:cs="Arial"/>
          <w:color w:val="000000"/>
          <w:szCs w:val="24"/>
          <w:lang w:eastAsia="en-GB"/>
        </w:rPr>
      </w:pPr>
      <w:bookmarkStart w:id="3556" w:name="bookmark=id.3sou03q" w:colFirst="0" w:colLast="0"/>
      <w:bookmarkEnd w:id="3556"/>
      <w:r w:rsidRPr="00102034">
        <w:rPr>
          <w:rFonts w:eastAsia="Arial" w:cs="Arial"/>
          <w:color w:val="000000"/>
          <w:szCs w:val="24"/>
          <w:lang w:eastAsia="en-GB"/>
        </w:rPr>
        <w:t>the onward transfer is necessary in order to protect the vital interests of the data subject or of another natural person.</w:t>
      </w:r>
    </w:p>
    <w:p w14:paraId="01C34711" w14:textId="77777777" w:rsidR="00F67E9E" w:rsidRPr="00102034" w:rsidRDefault="00F67E9E" w:rsidP="00F67E9E">
      <w:pPr>
        <w:numPr>
          <w:ilvl w:val="1"/>
          <w:numId w:val="259"/>
        </w:numPr>
        <w:pBdr>
          <w:top w:val="nil"/>
          <w:left w:val="nil"/>
          <w:bottom w:val="nil"/>
          <w:right w:val="nil"/>
          <w:between w:val="nil"/>
        </w:pBdr>
        <w:tabs>
          <w:tab w:val="left" w:pos="1440"/>
        </w:tabs>
        <w:spacing w:before="120" w:after="240"/>
        <w:ind w:left="1440" w:hanging="720"/>
        <w:rPr>
          <w:rFonts w:eastAsia="Arial" w:cs="Arial"/>
          <w:color w:val="000000"/>
          <w:szCs w:val="24"/>
          <w:lang w:eastAsia="en-GB"/>
        </w:rPr>
      </w:pPr>
      <w:bookmarkStart w:id="3557" w:name="bookmark=id.27u4abj" w:colFirst="0" w:colLast="0"/>
      <w:bookmarkEnd w:id="3557"/>
      <w:r w:rsidRPr="00102034">
        <w:rPr>
          <w:rFonts w:eastAsia="Arial" w:cs="Arial"/>
          <w:color w:val="000000"/>
          <w:szCs w:val="24"/>
          <w:lang w:eastAsia="en-GB"/>
        </w:rPr>
        <w:t>Any onward transfer is subject to compliance by the data importer with all the other safeguards under these Clauses, in particular purpose limitation.</w:t>
      </w:r>
    </w:p>
    <w:p w14:paraId="3B8A0901" w14:textId="77777777" w:rsidR="00F67E9E" w:rsidRPr="00102034" w:rsidRDefault="00F67E9E" w:rsidP="00F67E9E">
      <w:pPr>
        <w:keepNext/>
        <w:pBdr>
          <w:top w:val="nil"/>
          <w:left w:val="nil"/>
          <w:bottom w:val="nil"/>
          <w:right w:val="nil"/>
          <w:between w:val="nil"/>
        </w:pBdr>
        <w:tabs>
          <w:tab w:val="left" w:pos="720"/>
        </w:tabs>
        <w:spacing w:before="240" w:after="240"/>
        <w:rPr>
          <w:rFonts w:eastAsia="Arial" w:cs="Arial"/>
          <w:b/>
          <w:color w:val="000000"/>
          <w:szCs w:val="24"/>
          <w:lang w:eastAsia="en-GB"/>
        </w:rPr>
      </w:pPr>
      <w:bookmarkStart w:id="3558" w:name="bookmark=id.mzekjc" w:colFirst="0" w:colLast="0"/>
      <w:bookmarkStart w:id="3559" w:name="Schedule3189"/>
      <w:bookmarkEnd w:id="3558"/>
      <w:r w:rsidRPr="00102034">
        <w:rPr>
          <w:rFonts w:eastAsia="Arial" w:cs="Arial"/>
          <w:b/>
          <w:color w:val="000000"/>
          <w:szCs w:val="24"/>
          <w:lang w:eastAsia="en-GB"/>
        </w:rPr>
        <w:t>8.9</w:t>
      </w:r>
      <w:bookmarkEnd w:id="3559"/>
      <w:r w:rsidRPr="00102034">
        <w:rPr>
          <w:rFonts w:eastAsia="Arial" w:cs="Arial"/>
          <w:b/>
          <w:color w:val="000000"/>
          <w:szCs w:val="24"/>
          <w:lang w:eastAsia="en-GB"/>
        </w:rPr>
        <w:t xml:space="preserve"> </w:t>
      </w:r>
      <w:r>
        <w:rPr>
          <w:rFonts w:eastAsia="Arial" w:cs="Arial"/>
          <w:b/>
          <w:color w:val="000000"/>
          <w:szCs w:val="24"/>
          <w:lang w:eastAsia="en-GB"/>
        </w:rPr>
        <w:tab/>
      </w:r>
      <w:r w:rsidRPr="00102034">
        <w:rPr>
          <w:rFonts w:eastAsia="Arial" w:cs="Arial"/>
          <w:b/>
          <w:color w:val="000000"/>
          <w:szCs w:val="24"/>
          <w:lang w:eastAsia="en-GB"/>
        </w:rPr>
        <w:t>Documentation and compliance</w:t>
      </w:r>
    </w:p>
    <w:p w14:paraId="39883D30" w14:textId="77777777" w:rsidR="00F67E9E" w:rsidRPr="00102034" w:rsidRDefault="00F67E9E" w:rsidP="00F67E9E">
      <w:pPr>
        <w:numPr>
          <w:ilvl w:val="1"/>
          <w:numId w:val="260"/>
        </w:numPr>
        <w:pBdr>
          <w:top w:val="nil"/>
          <w:left w:val="nil"/>
          <w:bottom w:val="nil"/>
          <w:right w:val="nil"/>
          <w:between w:val="nil"/>
        </w:pBdr>
        <w:tabs>
          <w:tab w:val="left" w:pos="1440"/>
        </w:tabs>
        <w:spacing w:before="120" w:after="240"/>
        <w:ind w:left="1440" w:hanging="720"/>
        <w:rPr>
          <w:rFonts w:eastAsia="Arial" w:cs="Arial"/>
          <w:color w:val="000000"/>
          <w:szCs w:val="24"/>
          <w:lang w:eastAsia="en-GB"/>
        </w:rPr>
      </w:pPr>
      <w:bookmarkStart w:id="3560" w:name="bookmark=id.36z2375" w:colFirst="0" w:colLast="0"/>
      <w:bookmarkEnd w:id="3560"/>
      <w:r w:rsidRPr="00102034">
        <w:rPr>
          <w:rFonts w:eastAsia="Arial" w:cs="Arial"/>
          <w:color w:val="000000"/>
          <w:szCs w:val="24"/>
          <w:lang w:eastAsia="en-GB"/>
        </w:rPr>
        <w:t>The data importer shall promptly and adequately deal with enquiries from the data exporter or the controller that relate to the processing under these Clauses.</w:t>
      </w:r>
    </w:p>
    <w:p w14:paraId="3AA03267" w14:textId="77777777" w:rsidR="00F67E9E" w:rsidRPr="00102034" w:rsidRDefault="00F67E9E" w:rsidP="00F67E9E">
      <w:pPr>
        <w:numPr>
          <w:ilvl w:val="1"/>
          <w:numId w:val="260"/>
        </w:numPr>
        <w:pBdr>
          <w:top w:val="nil"/>
          <w:left w:val="nil"/>
          <w:bottom w:val="nil"/>
          <w:right w:val="nil"/>
          <w:between w:val="nil"/>
        </w:pBdr>
        <w:tabs>
          <w:tab w:val="left" w:pos="1440"/>
        </w:tabs>
        <w:spacing w:before="120" w:after="240"/>
        <w:ind w:left="1440" w:hanging="720"/>
        <w:rPr>
          <w:rFonts w:eastAsia="Arial" w:cs="Arial"/>
          <w:color w:val="000000"/>
          <w:szCs w:val="24"/>
          <w:lang w:eastAsia="en-GB"/>
        </w:rPr>
      </w:pPr>
      <w:bookmarkStart w:id="3561" w:name="bookmark=id.1m4cdey" w:colFirst="0" w:colLast="0"/>
      <w:bookmarkStart w:id="3562" w:name="_Ref141248892"/>
      <w:bookmarkEnd w:id="3561"/>
      <w:r w:rsidRPr="00102034">
        <w:rPr>
          <w:rFonts w:eastAsia="Arial" w:cs="Arial"/>
          <w:color w:val="000000"/>
          <w:szCs w:val="24"/>
          <w:lang w:eastAsia="en-GB"/>
        </w:rPr>
        <w:t>The Parties shall be able to demonstrate compliance with these Clauses. In particular, the data importer shall keep appropriate documentation on the processing activities carried out on behalf of the controller.</w:t>
      </w:r>
      <w:bookmarkEnd w:id="3562"/>
    </w:p>
    <w:p w14:paraId="2EBA7CB3" w14:textId="77777777" w:rsidR="00F67E9E" w:rsidRPr="00102034" w:rsidRDefault="00F67E9E" w:rsidP="00F67E9E">
      <w:pPr>
        <w:numPr>
          <w:ilvl w:val="1"/>
          <w:numId w:val="260"/>
        </w:numPr>
        <w:pBdr>
          <w:top w:val="nil"/>
          <w:left w:val="nil"/>
          <w:bottom w:val="nil"/>
          <w:right w:val="nil"/>
          <w:between w:val="nil"/>
        </w:pBdr>
        <w:tabs>
          <w:tab w:val="left" w:pos="1440"/>
        </w:tabs>
        <w:spacing w:before="120" w:after="240"/>
        <w:ind w:left="1440" w:hanging="720"/>
        <w:rPr>
          <w:rFonts w:eastAsia="Arial" w:cs="Arial"/>
          <w:color w:val="000000"/>
          <w:szCs w:val="24"/>
          <w:lang w:eastAsia="en-GB"/>
        </w:rPr>
      </w:pPr>
      <w:bookmarkStart w:id="3563" w:name="bookmark=id.463zw2r" w:colFirst="0" w:colLast="0"/>
      <w:bookmarkStart w:id="3564" w:name="_Ref141248911"/>
      <w:bookmarkEnd w:id="3563"/>
      <w:r w:rsidRPr="00102034">
        <w:rPr>
          <w:rFonts w:eastAsia="Arial" w:cs="Arial"/>
          <w:color w:val="000000"/>
          <w:szCs w:val="24"/>
          <w:lang w:eastAsia="en-GB"/>
        </w:rPr>
        <w:t>The data importer shall make all information necessary to demonstrate compliance with the obligations set out in these Clauses available to the data exporter, which shall provide it to the controller.</w:t>
      </w:r>
      <w:bookmarkEnd w:id="3564"/>
    </w:p>
    <w:p w14:paraId="434EAC5A" w14:textId="77777777" w:rsidR="00F67E9E" w:rsidRPr="00102034" w:rsidRDefault="00F67E9E" w:rsidP="00F67E9E">
      <w:pPr>
        <w:numPr>
          <w:ilvl w:val="1"/>
          <w:numId w:val="260"/>
        </w:numPr>
        <w:pBdr>
          <w:top w:val="nil"/>
          <w:left w:val="nil"/>
          <w:bottom w:val="nil"/>
          <w:right w:val="nil"/>
          <w:between w:val="nil"/>
        </w:pBdr>
        <w:tabs>
          <w:tab w:val="left" w:pos="1440"/>
        </w:tabs>
        <w:spacing w:before="120" w:after="240"/>
        <w:ind w:left="1440" w:hanging="720"/>
        <w:rPr>
          <w:rFonts w:eastAsia="Arial" w:cs="Arial"/>
          <w:color w:val="000000"/>
          <w:szCs w:val="24"/>
          <w:lang w:eastAsia="en-GB"/>
        </w:rPr>
      </w:pPr>
      <w:bookmarkStart w:id="3565" w:name="bookmark=id.2l9a6ak" w:colFirst="0" w:colLast="0"/>
      <w:bookmarkEnd w:id="3565"/>
      <w:r w:rsidRPr="00102034">
        <w:rPr>
          <w:rFonts w:eastAsia="Arial" w:cs="Arial"/>
          <w:color w:val="000000"/>
          <w:szCs w:val="24"/>
          <w:lang w:eastAsia="en-GB"/>
        </w:rPr>
        <w:t>The data importer shall allow for and contribute to audits by the data exporter of the processing activities covered by these Clauses, at reasonable intervals or if there are indications of non-compliance. The same shall apply where the data exporter requests an audit on instructions of the controller. In deciding on an audit, the data exporter may take into account relevant certifications held by the data importer.</w:t>
      </w:r>
    </w:p>
    <w:p w14:paraId="3C36E3EB" w14:textId="77777777" w:rsidR="00F67E9E" w:rsidRPr="00102034" w:rsidRDefault="00F67E9E" w:rsidP="00F67E9E">
      <w:pPr>
        <w:numPr>
          <w:ilvl w:val="1"/>
          <w:numId w:val="260"/>
        </w:numPr>
        <w:pBdr>
          <w:top w:val="nil"/>
          <w:left w:val="nil"/>
          <w:bottom w:val="nil"/>
          <w:right w:val="nil"/>
          <w:between w:val="nil"/>
        </w:pBdr>
        <w:tabs>
          <w:tab w:val="left" w:pos="1440"/>
        </w:tabs>
        <w:spacing w:before="120" w:after="240"/>
        <w:ind w:left="1440" w:hanging="720"/>
        <w:rPr>
          <w:rFonts w:eastAsia="Arial" w:cs="Arial"/>
          <w:color w:val="000000"/>
          <w:szCs w:val="24"/>
          <w:lang w:eastAsia="en-GB"/>
        </w:rPr>
      </w:pPr>
      <w:bookmarkStart w:id="3566" w:name="bookmark=id.10ekgid" w:colFirst="0" w:colLast="0"/>
      <w:bookmarkEnd w:id="3566"/>
      <w:r w:rsidRPr="00102034">
        <w:rPr>
          <w:rFonts w:eastAsia="Arial" w:cs="Arial"/>
          <w:color w:val="000000"/>
          <w:szCs w:val="24"/>
          <w:lang w:eastAsia="en-GB"/>
        </w:rPr>
        <w:t>Where the audit is carried out on the instructions of the controller, the data exporter shall make the results available to the controller.</w:t>
      </w:r>
    </w:p>
    <w:p w14:paraId="20D28571" w14:textId="77777777" w:rsidR="00F67E9E" w:rsidRPr="00102034" w:rsidRDefault="00F67E9E" w:rsidP="00F67E9E">
      <w:pPr>
        <w:numPr>
          <w:ilvl w:val="1"/>
          <w:numId w:val="260"/>
        </w:numPr>
        <w:pBdr>
          <w:top w:val="nil"/>
          <w:left w:val="nil"/>
          <w:bottom w:val="nil"/>
          <w:right w:val="nil"/>
          <w:between w:val="nil"/>
        </w:pBdr>
        <w:tabs>
          <w:tab w:val="left" w:pos="1440"/>
        </w:tabs>
        <w:spacing w:before="120" w:after="240"/>
        <w:ind w:left="1440" w:hanging="720"/>
        <w:rPr>
          <w:rFonts w:eastAsia="Arial" w:cs="Arial"/>
          <w:color w:val="000000"/>
          <w:szCs w:val="24"/>
          <w:lang w:eastAsia="en-GB"/>
        </w:rPr>
      </w:pPr>
      <w:bookmarkStart w:id="3567" w:name="bookmark=id.3ke7z66" w:colFirst="0" w:colLast="0"/>
      <w:bookmarkEnd w:id="3567"/>
      <w:r w:rsidRPr="00102034">
        <w:rPr>
          <w:rFonts w:eastAsia="Arial" w:cs="Arial"/>
          <w:color w:val="000000"/>
          <w:szCs w:val="24"/>
          <w:lang w:eastAsia="en-GB"/>
        </w:rPr>
        <w:t>The data exporter may choose to conduct the audit by itself or mandate an independent auditor. Audits may include inspections at the premises or physical facilities of the data importer and shall, where appropriate, be carried out with reasonable notice.</w:t>
      </w:r>
    </w:p>
    <w:p w14:paraId="4755F613" w14:textId="29E9AC71" w:rsidR="00F67E9E" w:rsidRPr="00DA1423" w:rsidRDefault="00F67E9E" w:rsidP="00F67E9E">
      <w:pPr>
        <w:numPr>
          <w:ilvl w:val="1"/>
          <w:numId w:val="260"/>
        </w:numPr>
        <w:pBdr>
          <w:top w:val="nil"/>
          <w:left w:val="nil"/>
          <w:bottom w:val="nil"/>
          <w:right w:val="nil"/>
          <w:between w:val="nil"/>
        </w:pBdr>
        <w:tabs>
          <w:tab w:val="left" w:pos="1440"/>
        </w:tabs>
        <w:spacing w:before="120" w:after="240"/>
        <w:ind w:left="1440" w:hanging="720"/>
        <w:rPr>
          <w:rFonts w:eastAsia="Arial" w:cs="Arial"/>
          <w:color w:val="000000"/>
          <w:szCs w:val="24"/>
          <w:lang w:eastAsia="en-GB"/>
        </w:rPr>
      </w:pPr>
      <w:bookmarkStart w:id="3568" w:name="bookmark=id.1zji9dz" w:colFirst="0" w:colLast="0"/>
      <w:bookmarkEnd w:id="3568"/>
      <w:r w:rsidRPr="00102034">
        <w:rPr>
          <w:rFonts w:eastAsia="Arial" w:cs="Arial"/>
          <w:color w:val="000000"/>
          <w:szCs w:val="24"/>
          <w:lang w:eastAsia="en-GB"/>
        </w:rPr>
        <w:t>The Parties shall make the information referred to in paragraphs ‎</w:t>
      </w:r>
      <w:r>
        <w:rPr>
          <w:rFonts w:eastAsia="Arial" w:cs="Arial"/>
          <w:color w:val="000000"/>
          <w:szCs w:val="24"/>
          <w:lang w:eastAsia="en-GB"/>
        </w:rPr>
        <w:fldChar w:fldCharType="begin"/>
      </w:r>
      <w:r>
        <w:rPr>
          <w:rFonts w:eastAsia="Arial" w:cs="Arial"/>
          <w:color w:val="000000"/>
          <w:szCs w:val="24"/>
          <w:lang w:eastAsia="en-GB"/>
        </w:rPr>
        <w:instrText xml:space="preserve"> REF _Ref141248892 \n \h </w:instrText>
      </w:r>
      <w:r>
        <w:rPr>
          <w:rFonts w:eastAsia="Arial" w:cs="Arial"/>
          <w:color w:val="000000"/>
          <w:szCs w:val="24"/>
          <w:lang w:eastAsia="en-GB"/>
        </w:rPr>
      </w:r>
      <w:r>
        <w:rPr>
          <w:rFonts w:eastAsia="Arial" w:cs="Arial"/>
          <w:color w:val="000000"/>
          <w:szCs w:val="24"/>
          <w:lang w:eastAsia="en-GB"/>
        </w:rPr>
        <w:fldChar w:fldCharType="separate"/>
      </w:r>
      <w:r w:rsidR="00302D39">
        <w:rPr>
          <w:rFonts w:eastAsia="Arial" w:cs="Arial"/>
          <w:color w:val="000000"/>
          <w:szCs w:val="24"/>
          <w:lang w:eastAsia="en-GB"/>
        </w:rPr>
        <w:t>(b)</w:t>
      </w:r>
      <w:r>
        <w:rPr>
          <w:rFonts w:eastAsia="Arial" w:cs="Arial"/>
          <w:color w:val="000000"/>
          <w:szCs w:val="24"/>
          <w:lang w:eastAsia="en-GB"/>
        </w:rPr>
        <w:fldChar w:fldCharType="end"/>
      </w:r>
      <w:r w:rsidRPr="00102034">
        <w:rPr>
          <w:rFonts w:eastAsia="Arial" w:cs="Arial"/>
          <w:color w:val="000000"/>
          <w:szCs w:val="24"/>
          <w:lang w:eastAsia="en-GB"/>
        </w:rPr>
        <w:t xml:space="preserve"> and </w:t>
      </w:r>
      <w:r>
        <w:rPr>
          <w:rFonts w:eastAsia="Arial" w:cs="Arial"/>
          <w:color w:val="000000"/>
          <w:szCs w:val="24"/>
          <w:lang w:eastAsia="en-GB"/>
        </w:rPr>
        <w:fldChar w:fldCharType="begin"/>
      </w:r>
      <w:r>
        <w:rPr>
          <w:rFonts w:eastAsia="Arial" w:cs="Arial"/>
          <w:color w:val="000000"/>
          <w:szCs w:val="24"/>
          <w:lang w:eastAsia="en-GB"/>
        </w:rPr>
        <w:instrText xml:space="preserve"> REF _Ref141248911 \n \h </w:instrText>
      </w:r>
      <w:r>
        <w:rPr>
          <w:rFonts w:eastAsia="Arial" w:cs="Arial"/>
          <w:color w:val="000000"/>
          <w:szCs w:val="24"/>
          <w:lang w:eastAsia="en-GB"/>
        </w:rPr>
      </w:r>
      <w:r>
        <w:rPr>
          <w:rFonts w:eastAsia="Arial" w:cs="Arial"/>
          <w:color w:val="000000"/>
          <w:szCs w:val="24"/>
          <w:lang w:eastAsia="en-GB"/>
        </w:rPr>
        <w:fldChar w:fldCharType="separate"/>
      </w:r>
      <w:r w:rsidR="00302D39">
        <w:rPr>
          <w:rFonts w:eastAsia="Arial" w:cs="Arial"/>
          <w:color w:val="000000"/>
          <w:szCs w:val="24"/>
          <w:lang w:eastAsia="en-GB"/>
        </w:rPr>
        <w:t>(c)</w:t>
      </w:r>
      <w:r>
        <w:rPr>
          <w:rFonts w:eastAsia="Arial" w:cs="Arial"/>
          <w:color w:val="000000"/>
          <w:szCs w:val="24"/>
          <w:lang w:eastAsia="en-GB"/>
        </w:rPr>
        <w:fldChar w:fldCharType="end"/>
      </w:r>
      <w:r w:rsidRPr="00102034">
        <w:rPr>
          <w:rFonts w:eastAsia="Arial" w:cs="Arial"/>
          <w:color w:val="000000"/>
          <w:szCs w:val="24"/>
          <w:lang w:eastAsia="en-GB"/>
        </w:rPr>
        <w:t xml:space="preserve">, including the results of any audits, available to the competent supervisory </w:t>
      </w:r>
      <w:r w:rsidRPr="00DA1423">
        <w:rPr>
          <w:rFonts w:eastAsia="Arial" w:cs="Arial"/>
          <w:color w:val="000000"/>
          <w:szCs w:val="24"/>
          <w:lang w:eastAsia="en-GB"/>
        </w:rPr>
        <w:t>authority on request.</w:t>
      </w:r>
    </w:p>
    <w:p w14:paraId="47CE0F51" w14:textId="77777777" w:rsidR="00F67E9E" w:rsidRPr="00DA1423" w:rsidRDefault="00F67E9E" w:rsidP="00F67E9E">
      <w:pPr>
        <w:pBdr>
          <w:top w:val="nil"/>
          <w:left w:val="nil"/>
          <w:bottom w:val="nil"/>
          <w:right w:val="nil"/>
          <w:between w:val="nil"/>
        </w:pBdr>
        <w:spacing w:before="120"/>
        <w:jc w:val="center"/>
        <w:rPr>
          <w:rFonts w:eastAsia="Arial" w:cs="Arial"/>
          <w:b/>
          <w:color w:val="000000"/>
          <w:szCs w:val="24"/>
          <w:lang w:eastAsia="en-GB"/>
        </w:rPr>
      </w:pPr>
      <w:r w:rsidRPr="00DA1423">
        <w:rPr>
          <w:rFonts w:eastAsia="Arial" w:cs="Arial"/>
          <w:b/>
          <w:color w:val="000000"/>
          <w:szCs w:val="24"/>
          <w:lang w:eastAsia="en-GB"/>
        </w:rPr>
        <w:t>CLAUSE 9</w:t>
      </w:r>
    </w:p>
    <w:p w14:paraId="472E7D27" w14:textId="77777777" w:rsidR="00F67E9E" w:rsidRPr="00102034" w:rsidRDefault="00F67E9E" w:rsidP="00F67E9E">
      <w:pPr>
        <w:pBdr>
          <w:top w:val="nil"/>
          <w:left w:val="nil"/>
          <w:bottom w:val="nil"/>
          <w:right w:val="nil"/>
          <w:between w:val="nil"/>
        </w:pBdr>
        <w:spacing w:before="240" w:after="240"/>
        <w:rPr>
          <w:rFonts w:eastAsia="Arial" w:cs="Arial"/>
          <w:b/>
          <w:color w:val="000000"/>
          <w:szCs w:val="24"/>
          <w:lang w:eastAsia="en-GB"/>
        </w:rPr>
      </w:pPr>
      <w:r w:rsidRPr="00DA1423">
        <w:rPr>
          <w:rFonts w:eastAsia="Arial" w:cs="Arial"/>
          <w:b/>
          <w:color w:val="000000"/>
          <w:szCs w:val="24"/>
          <w:lang w:eastAsia="en-GB"/>
        </w:rPr>
        <w:t>Use of sub-processors</w:t>
      </w:r>
    </w:p>
    <w:p w14:paraId="5D841C21" w14:textId="586D249C" w:rsidR="00F67E9E" w:rsidRPr="00102034" w:rsidRDefault="00F67E9E" w:rsidP="00F67E9E">
      <w:pPr>
        <w:pBdr>
          <w:top w:val="nil"/>
          <w:left w:val="nil"/>
          <w:bottom w:val="nil"/>
          <w:right w:val="nil"/>
          <w:between w:val="nil"/>
        </w:pBdr>
        <w:spacing w:before="120" w:after="240"/>
        <w:ind w:left="720" w:firstLine="1440"/>
        <w:rPr>
          <w:rFonts w:eastAsia="Arial" w:cs="Arial"/>
          <w:color w:val="000000"/>
        </w:rPr>
      </w:pPr>
      <w:bookmarkStart w:id="3569" w:name="bookmark=id.4jj5s1s" w:colFirst="0" w:colLast="0"/>
      <w:bookmarkEnd w:id="3569"/>
      <w:r w:rsidRPr="00102034">
        <w:rPr>
          <w:rFonts w:eastAsia="Arial" w:cs="Arial"/>
          <w:color w:val="000000"/>
        </w:rPr>
        <w:t xml:space="preserve">OPTION 1: SPECIFIC PRIOR AUTHORISATION The data importer shall not sub-contract any of its processing activities performed on behalf of the data exporter under these Clauses to a sub-processor without the prior specific written authorisation of the controller. The data importer shall submit the request for specific authorisation at </w:t>
      </w:r>
      <w:r w:rsidRPr="00DA1423">
        <w:rPr>
          <w:rFonts w:eastAsia="Arial" w:cs="Arial"/>
          <w:color w:val="000000"/>
          <w:szCs w:val="24"/>
          <w:lang w:eastAsia="en-GB"/>
        </w:rPr>
        <w:t>least</w:t>
      </w:r>
      <w:r w:rsidRPr="00102034">
        <w:rPr>
          <w:rFonts w:eastAsia="Arial" w:cs="Arial"/>
          <w:color w:val="000000"/>
        </w:rPr>
        <w:t xml:space="preserve"> [</w:t>
      </w:r>
      <w:r w:rsidRPr="00102034">
        <w:rPr>
          <w:rFonts w:eastAsia="Arial" w:cs="Arial"/>
          <w:i/>
          <w:color w:val="000000"/>
        </w:rPr>
        <w:t>Specify time period</w:t>
      </w:r>
      <w:r w:rsidRPr="00102034">
        <w:rPr>
          <w:rFonts w:eastAsia="Arial" w:cs="Arial"/>
          <w:color w:val="000000"/>
        </w:rPr>
        <w:t xml:space="preserve">] prior to the engagement of the sub-processor, together with the information necessary to enable the controller to decide on the authorisation. It shall inform the data exporter of such engagement. The list of sub-processors already authorised by the controller can be found in Annex </w:t>
      </w:r>
      <w:r w:rsidRPr="00E90123">
        <w:rPr>
          <w:rFonts w:eastAsia="Arial" w:cs="Arial"/>
          <w:color w:val="000000"/>
        </w:rPr>
        <w:fldChar w:fldCharType="begin"/>
      </w:r>
      <w:r w:rsidRPr="00E90123">
        <w:rPr>
          <w:rFonts w:eastAsia="Arial" w:cs="Arial"/>
          <w:color w:val="000000"/>
        </w:rPr>
        <w:instrText xml:space="preserve"> REF Schedule_31_PartC_Annex_III \h </w:instrText>
      </w:r>
      <w:r w:rsidRPr="004B5F27">
        <w:rPr>
          <w:rFonts w:eastAsia="Arial" w:cs="Arial"/>
          <w:color w:val="000000"/>
        </w:rPr>
        <w:instrText xml:space="preserve"> \* MERGEFORMAT </w:instrText>
      </w:r>
      <w:r w:rsidRPr="00E90123">
        <w:rPr>
          <w:rFonts w:eastAsia="Arial" w:cs="Arial"/>
          <w:color w:val="000000"/>
        </w:rPr>
      </w:r>
      <w:r w:rsidRPr="00E90123">
        <w:rPr>
          <w:rFonts w:eastAsia="Arial" w:cs="Arial"/>
          <w:color w:val="000000"/>
        </w:rPr>
        <w:fldChar w:fldCharType="separate"/>
      </w:r>
      <w:r w:rsidR="00302D39" w:rsidRPr="00302D39">
        <w:rPr>
          <w:rFonts w:eastAsia="Arial" w:cs="Arial"/>
          <w:color w:val="000000"/>
          <w:szCs w:val="24"/>
          <w:lang w:eastAsia="en-GB"/>
        </w:rPr>
        <w:t>III</w:t>
      </w:r>
      <w:r w:rsidRPr="00E90123">
        <w:rPr>
          <w:rFonts w:eastAsia="Arial" w:cs="Arial"/>
          <w:color w:val="000000"/>
        </w:rPr>
        <w:fldChar w:fldCharType="end"/>
      </w:r>
      <w:r w:rsidRPr="00102034">
        <w:rPr>
          <w:rFonts w:eastAsia="Arial" w:cs="Arial"/>
          <w:color w:val="000000"/>
        </w:rPr>
        <w:t xml:space="preserve">. The Parties shall keep Annex </w:t>
      </w:r>
      <w:r w:rsidRPr="00E90123">
        <w:rPr>
          <w:rFonts w:eastAsia="Arial" w:cs="Arial"/>
          <w:color w:val="000000"/>
        </w:rPr>
        <w:fldChar w:fldCharType="begin"/>
      </w:r>
      <w:r w:rsidRPr="00E90123">
        <w:rPr>
          <w:rFonts w:eastAsia="Arial" w:cs="Arial"/>
          <w:color w:val="000000"/>
        </w:rPr>
        <w:instrText xml:space="preserve"> REF Schedule_31_PartC_Annex_III \h </w:instrText>
      </w:r>
      <w:r w:rsidRPr="004B5F27">
        <w:rPr>
          <w:rFonts w:eastAsia="Arial" w:cs="Arial"/>
          <w:color w:val="000000"/>
        </w:rPr>
        <w:instrText xml:space="preserve"> \* MERGEFORMAT </w:instrText>
      </w:r>
      <w:r w:rsidRPr="00E90123">
        <w:rPr>
          <w:rFonts w:eastAsia="Arial" w:cs="Arial"/>
          <w:color w:val="000000"/>
        </w:rPr>
      </w:r>
      <w:r w:rsidRPr="00E90123">
        <w:rPr>
          <w:rFonts w:eastAsia="Arial" w:cs="Arial"/>
          <w:color w:val="000000"/>
        </w:rPr>
        <w:fldChar w:fldCharType="separate"/>
      </w:r>
      <w:r w:rsidR="00302D39" w:rsidRPr="00302D39">
        <w:rPr>
          <w:rFonts w:eastAsia="Arial" w:cs="Arial"/>
          <w:color w:val="000000"/>
          <w:szCs w:val="24"/>
          <w:lang w:eastAsia="en-GB"/>
        </w:rPr>
        <w:t>III</w:t>
      </w:r>
      <w:r w:rsidRPr="00E90123">
        <w:rPr>
          <w:rFonts w:eastAsia="Arial" w:cs="Arial"/>
          <w:color w:val="000000"/>
        </w:rPr>
        <w:fldChar w:fldCharType="end"/>
      </w:r>
      <w:r w:rsidRPr="00102034">
        <w:rPr>
          <w:rFonts w:eastAsia="Arial" w:cs="Arial"/>
          <w:color w:val="000000"/>
        </w:rPr>
        <w:t xml:space="preserve"> up to date.</w:t>
      </w:r>
    </w:p>
    <w:p w14:paraId="30380B76" w14:textId="77777777" w:rsidR="00F67E9E" w:rsidRPr="00102034" w:rsidRDefault="00F67E9E" w:rsidP="00F67E9E">
      <w:pPr>
        <w:pBdr>
          <w:top w:val="nil"/>
          <w:left w:val="nil"/>
          <w:bottom w:val="nil"/>
          <w:right w:val="nil"/>
          <w:between w:val="nil"/>
        </w:pBdr>
        <w:spacing w:before="120" w:after="240"/>
        <w:ind w:left="720" w:firstLine="1440"/>
        <w:rPr>
          <w:rFonts w:eastAsia="Arial" w:cs="Arial"/>
          <w:color w:val="000000"/>
          <w:szCs w:val="24"/>
          <w:lang w:eastAsia="en-GB"/>
        </w:rPr>
      </w:pPr>
      <w:bookmarkStart w:id="3570" w:name="bookmark=id.2yog29l" w:colFirst="0" w:colLast="0"/>
      <w:bookmarkEnd w:id="3570"/>
      <w:r w:rsidRPr="00102034">
        <w:rPr>
          <w:rFonts w:eastAsia="Arial" w:cs="Arial"/>
          <w:color w:val="000000"/>
          <w:szCs w:val="24"/>
          <w:lang w:eastAsia="en-GB"/>
        </w:rPr>
        <w:t>OPTION 2: GENERAL WRITTEN AUTHORISATION The data importer has the controller's general authorisation for the engagement of sub-processor(s) from an agreed list. The data importer shall specifically inform the controller in writing of any intended changes to that list through the addition or replacement of sub-processors at least [</w:t>
      </w:r>
      <w:r w:rsidRPr="00102034">
        <w:rPr>
          <w:rFonts w:eastAsia="Arial" w:cs="Arial"/>
          <w:i/>
          <w:color w:val="000000"/>
          <w:szCs w:val="24"/>
          <w:lang w:eastAsia="en-GB"/>
        </w:rPr>
        <w:t>Specify time period</w:t>
      </w:r>
      <w:r w:rsidRPr="00102034">
        <w:rPr>
          <w:rFonts w:eastAsia="Arial" w:cs="Arial"/>
          <w:color w:val="000000"/>
          <w:szCs w:val="24"/>
          <w:lang w:eastAsia="en-GB"/>
        </w:rPr>
        <w:t>] in advance, thereby giving the controller sufficient time to be able to object to such changes prior to the engagement of the sub-processor(s). The data importer shall provide the controller with the information necessary to enable the controller to exercise its right to object. The data importer shall inform the data exporter of the engagement of the sub-processor(s).</w:t>
      </w:r>
    </w:p>
    <w:p w14:paraId="711C6FCD" w14:textId="77777777" w:rsidR="00F67E9E" w:rsidRPr="00102034" w:rsidRDefault="00F67E9E" w:rsidP="00F67E9E">
      <w:pPr>
        <w:numPr>
          <w:ilvl w:val="1"/>
          <w:numId w:val="261"/>
        </w:numPr>
        <w:pBdr>
          <w:top w:val="nil"/>
          <w:left w:val="nil"/>
          <w:bottom w:val="nil"/>
          <w:right w:val="nil"/>
          <w:between w:val="nil"/>
        </w:pBdr>
        <w:tabs>
          <w:tab w:val="left" w:pos="1440"/>
        </w:tabs>
        <w:spacing w:before="120" w:after="240"/>
        <w:ind w:left="1440" w:hanging="720"/>
        <w:rPr>
          <w:rFonts w:eastAsia="Arial" w:cs="Arial"/>
          <w:color w:val="000000"/>
        </w:rPr>
      </w:pPr>
      <w:bookmarkStart w:id="3571" w:name="bookmark=id.1dtqche" w:colFirst="0" w:colLast="0"/>
      <w:bookmarkEnd w:id="3571"/>
      <w:r w:rsidRPr="00102034">
        <w:rPr>
          <w:rFonts w:eastAsia="Arial" w:cs="Arial"/>
          <w:color w:val="000000"/>
        </w:rPr>
        <w:t xml:space="preserve">Where the data importer engages a sub-processor to carry out specific processing activities (on behalf of the controller), it shall do so by way of a written contract that </w:t>
      </w:r>
      <w:r w:rsidRPr="00DA1423">
        <w:rPr>
          <w:rFonts w:eastAsia="Arial" w:cs="Arial"/>
          <w:color w:val="000000"/>
          <w:szCs w:val="24"/>
          <w:lang w:eastAsia="en-GB"/>
        </w:rPr>
        <w:t>provides</w:t>
      </w:r>
      <w:r w:rsidRPr="00102034">
        <w:rPr>
          <w:rFonts w:eastAsia="Arial" w:cs="Arial"/>
          <w:color w:val="000000"/>
        </w:rPr>
        <w:t xml:space="preserve"> for, in substance, the same data protection obligations as those binding the data importer under these Clauses, including in terms of third-party beneficiary rights for data subjects. [</w:t>
      </w:r>
      <w:hyperlink w:anchor="bookmark=id.2gvnjns">
        <w:r w:rsidRPr="00102034">
          <w:rPr>
            <w:rFonts w:eastAsia="Arial" w:cs="Arial"/>
            <w:color w:val="0000FF"/>
            <w:u w:val="single"/>
          </w:rPr>
          <w:t>FN9</w:t>
        </w:r>
      </w:hyperlink>
      <w:r w:rsidRPr="00102034">
        <w:rPr>
          <w:rFonts w:eastAsia="Arial" w:cs="Arial"/>
          <w:color w:val="000000"/>
        </w:rPr>
        <w:t>] The Parties agree that, by complying with this Clause, the data importer fulfils its obligations under Clause 8.8. The data importer shall ensure that the sub-processor complies with the obligations to which the data importer is subject pursuant to these Clauses.</w:t>
      </w:r>
    </w:p>
    <w:p w14:paraId="6AFA05AE" w14:textId="77777777" w:rsidR="00F67E9E" w:rsidRPr="00102034" w:rsidRDefault="00F67E9E" w:rsidP="00F67E9E">
      <w:pPr>
        <w:numPr>
          <w:ilvl w:val="1"/>
          <w:numId w:val="261"/>
        </w:numPr>
        <w:pBdr>
          <w:top w:val="nil"/>
          <w:left w:val="nil"/>
          <w:bottom w:val="nil"/>
          <w:right w:val="nil"/>
          <w:between w:val="nil"/>
        </w:pBdr>
        <w:tabs>
          <w:tab w:val="left" w:pos="1440"/>
        </w:tabs>
        <w:spacing w:before="120" w:after="240"/>
        <w:ind w:left="1440" w:hanging="720"/>
        <w:rPr>
          <w:rFonts w:eastAsia="Arial" w:cs="Arial"/>
          <w:color w:val="000000"/>
        </w:rPr>
      </w:pPr>
      <w:bookmarkStart w:id="3572" w:name="bookmark=id.3xtdv57" w:colFirst="0" w:colLast="0"/>
      <w:bookmarkEnd w:id="3572"/>
      <w:r w:rsidRPr="00102034">
        <w:rPr>
          <w:rFonts w:eastAsia="Arial" w:cs="Arial"/>
          <w:color w:val="000000"/>
        </w:rPr>
        <w:t>The data importer shall provide, at the data exporter's or controller's request, a copy of such a sub-processor agreement and any subsequent amendments. To the extent necessary to protect business secrets or other confidential information, including personal data, the data importer may redact the text of the agreement prior to sharing a copy.</w:t>
      </w:r>
    </w:p>
    <w:p w14:paraId="14B8C7F2" w14:textId="77777777" w:rsidR="00F67E9E" w:rsidRPr="00102034" w:rsidRDefault="00F67E9E" w:rsidP="00F67E9E">
      <w:pPr>
        <w:numPr>
          <w:ilvl w:val="1"/>
          <w:numId w:val="261"/>
        </w:numPr>
        <w:pBdr>
          <w:top w:val="nil"/>
          <w:left w:val="nil"/>
          <w:bottom w:val="nil"/>
          <w:right w:val="nil"/>
          <w:between w:val="nil"/>
        </w:pBdr>
        <w:tabs>
          <w:tab w:val="left" w:pos="1440"/>
        </w:tabs>
        <w:spacing w:before="120" w:after="240"/>
        <w:ind w:left="1440" w:hanging="720"/>
        <w:rPr>
          <w:rFonts w:eastAsia="Arial" w:cs="Arial"/>
          <w:color w:val="000000"/>
        </w:rPr>
      </w:pPr>
      <w:bookmarkStart w:id="3573" w:name="bookmark=id.2cyo5d0" w:colFirst="0" w:colLast="0"/>
      <w:bookmarkEnd w:id="3573"/>
      <w:r w:rsidRPr="00102034">
        <w:rPr>
          <w:rFonts w:eastAsia="Arial" w:cs="Arial"/>
          <w:color w:val="000000"/>
        </w:rPr>
        <w:t>The data importer shall remain fully responsible to the data exporter for the performance of the sub-processor's obligations under its contract with the data importer. The data importer shall notify the data exporter of any failure by the sub-processor to fulfil its obligations under that contract.</w:t>
      </w:r>
    </w:p>
    <w:p w14:paraId="0FDB3967" w14:textId="77777777" w:rsidR="00F67E9E" w:rsidRPr="00102034" w:rsidRDefault="00F67E9E" w:rsidP="00F67E9E">
      <w:pPr>
        <w:numPr>
          <w:ilvl w:val="1"/>
          <w:numId w:val="261"/>
        </w:numPr>
        <w:pBdr>
          <w:top w:val="nil"/>
          <w:left w:val="nil"/>
          <w:bottom w:val="nil"/>
          <w:right w:val="nil"/>
          <w:between w:val="nil"/>
        </w:pBdr>
        <w:tabs>
          <w:tab w:val="left" w:pos="1440"/>
        </w:tabs>
        <w:spacing w:before="120" w:after="240"/>
        <w:ind w:left="1440" w:hanging="720"/>
        <w:rPr>
          <w:rFonts w:eastAsia="Arial" w:cs="Arial"/>
          <w:color w:val="000000"/>
        </w:rPr>
      </w:pPr>
      <w:bookmarkStart w:id="3574" w:name="bookmark=id.s3yfkt" w:colFirst="0" w:colLast="0"/>
      <w:bookmarkEnd w:id="3574"/>
      <w:r w:rsidRPr="00102034">
        <w:rPr>
          <w:rFonts w:eastAsia="Arial" w:cs="Arial"/>
          <w:color w:val="000000"/>
        </w:rPr>
        <w:t>The data importer shall agree a third-party beneficiary clause with the sub-processor whereby – in the event the data importer has factually disappeared, ceased to exist in law or has become insolvent – the data exporter shall have the right to terminate the sub-processor contract and to instruct the sub-processor to erase or return the personal data.</w:t>
      </w:r>
    </w:p>
    <w:p w14:paraId="6835D784" w14:textId="77777777" w:rsidR="00F67E9E" w:rsidRPr="00102034" w:rsidRDefault="00F67E9E" w:rsidP="00F67E9E">
      <w:pPr>
        <w:pBdr>
          <w:top w:val="nil"/>
          <w:left w:val="nil"/>
          <w:bottom w:val="nil"/>
          <w:right w:val="nil"/>
          <w:between w:val="nil"/>
        </w:pBdr>
        <w:spacing w:before="120"/>
        <w:jc w:val="center"/>
        <w:rPr>
          <w:rFonts w:eastAsia="Arial" w:cs="Arial"/>
          <w:b/>
          <w:color w:val="000000"/>
          <w:szCs w:val="24"/>
          <w:lang w:eastAsia="en-GB"/>
        </w:rPr>
      </w:pPr>
      <w:r w:rsidRPr="00102034">
        <w:rPr>
          <w:rFonts w:eastAsia="Arial" w:cs="Arial"/>
          <w:b/>
          <w:color w:val="000000"/>
          <w:szCs w:val="24"/>
          <w:lang w:eastAsia="en-GB"/>
        </w:rPr>
        <w:t>CLAUSE 10</w:t>
      </w:r>
    </w:p>
    <w:p w14:paraId="7499DE82" w14:textId="77777777" w:rsidR="00F67E9E" w:rsidRPr="00102034" w:rsidRDefault="00F67E9E" w:rsidP="00F67E9E">
      <w:pPr>
        <w:pBdr>
          <w:top w:val="nil"/>
          <w:left w:val="nil"/>
          <w:bottom w:val="nil"/>
          <w:right w:val="nil"/>
          <w:between w:val="nil"/>
        </w:pBdr>
        <w:spacing w:before="240" w:after="240"/>
        <w:rPr>
          <w:rFonts w:eastAsia="Arial" w:cs="Arial"/>
          <w:b/>
          <w:color w:val="000000"/>
          <w:szCs w:val="24"/>
          <w:lang w:eastAsia="en-GB"/>
        </w:rPr>
      </w:pPr>
      <w:r w:rsidRPr="00102034">
        <w:rPr>
          <w:rFonts w:eastAsia="Arial" w:cs="Arial"/>
          <w:b/>
          <w:color w:val="000000"/>
          <w:szCs w:val="24"/>
          <w:lang w:eastAsia="en-GB"/>
        </w:rPr>
        <w:t>Data subject rights</w:t>
      </w:r>
    </w:p>
    <w:p w14:paraId="4DFA0F39" w14:textId="77777777" w:rsidR="00F67E9E" w:rsidRPr="00102034" w:rsidRDefault="00F67E9E" w:rsidP="00F67E9E">
      <w:pPr>
        <w:numPr>
          <w:ilvl w:val="1"/>
          <w:numId w:val="262"/>
        </w:numPr>
        <w:pBdr>
          <w:top w:val="nil"/>
          <w:left w:val="nil"/>
          <w:bottom w:val="nil"/>
          <w:right w:val="nil"/>
          <w:between w:val="nil"/>
        </w:pBdr>
        <w:tabs>
          <w:tab w:val="left" w:pos="1440"/>
        </w:tabs>
        <w:spacing w:before="120" w:after="240"/>
        <w:ind w:left="1440" w:hanging="720"/>
        <w:rPr>
          <w:rFonts w:eastAsia="Arial" w:cs="Arial"/>
          <w:color w:val="000000"/>
          <w:szCs w:val="24"/>
          <w:lang w:eastAsia="en-GB"/>
        </w:rPr>
      </w:pPr>
      <w:bookmarkStart w:id="3575" w:name="bookmark=id.3c3ly8m" w:colFirst="0" w:colLast="0"/>
      <w:bookmarkStart w:id="3576" w:name="_Ref141248936"/>
      <w:bookmarkEnd w:id="3575"/>
      <w:r w:rsidRPr="00102034">
        <w:rPr>
          <w:rFonts w:eastAsia="Arial" w:cs="Arial"/>
          <w:color w:val="000000"/>
          <w:szCs w:val="24"/>
          <w:lang w:eastAsia="en-GB"/>
        </w:rPr>
        <w:t xml:space="preserve">The data importer shall promptly notify the data exporter and, where appropriate, the </w:t>
      </w:r>
      <w:r w:rsidRPr="00DA1423">
        <w:rPr>
          <w:rFonts w:eastAsia="Arial" w:cs="Arial"/>
          <w:color w:val="000000"/>
        </w:rPr>
        <w:t>controller</w:t>
      </w:r>
      <w:r w:rsidRPr="00102034">
        <w:rPr>
          <w:rFonts w:eastAsia="Arial" w:cs="Arial"/>
          <w:color w:val="000000"/>
          <w:szCs w:val="24"/>
          <w:lang w:eastAsia="en-GB"/>
        </w:rPr>
        <w:t xml:space="preserve"> of any request it has received from a data subject, without responding to that request unless it has been authorised to do so by the controller.</w:t>
      </w:r>
      <w:bookmarkEnd w:id="3576"/>
    </w:p>
    <w:p w14:paraId="0D26CA10" w14:textId="16FC9B18" w:rsidR="00F67E9E" w:rsidRPr="00102034" w:rsidRDefault="00F67E9E" w:rsidP="00F67E9E">
      <w:pPr>
        <w:numPr>
          <w:ilvl w:val="1"/>
          <w:numId w:val="262"/>
        </w:numPr>
        <w:pBdr>
          <w:top w:val="nil"/>
          <w:left w:val="nil"/>
          <w:bottom w:val="nil"/>
          <w:right w:val="nil"/>
          <w:between w:val="nil"/>
        </w:pBdr>
        <w:tabs>
          <w:tab w:val="left" w:pos="1440"/>
        </w:tabs>
        <w:spacing w:before="120" w:after="240"/>
        <w:ind w:left="1440" w:hanging="720"/>
        <w:rPr>
          <w:rFonts w:eastAsia="Arial" w:cs="Arial"/>
          <w:color w:val="000000"/>
          <w:szCs w:val="24"/>
          <w:lang w:eastAsia="en-GB"/>
        </w:rPr>
      </w:pPr>
      <w:bookmarkStart w:id="3577" w:name="bookmark=id.1r8w8gf" w:colFirst="0" w:colLast="0"/>
      <w:bookmarkStart w:id="3578" w:name="_Ref141248949"/>
      <w:bookmarkEnd w:id="3577"/>
      <w:r w:rsidRPr="00102034">
        <w:rPr>
          <w:rFonts w:eastAsia="Arial" w:cs="Arial"/>
          <w:color w:val="000000"/>
          <w:szCs w:val="24"/>
          <w:lang w:eastAsia="en-GB"/>
        </w:rPr>
        <w:t xml:space="preserve">The data importer shall assist, where appropriate in cooperation with the data exporter, the controller in fulfilling its obligations to respond to data subjects' requests for the </w:t>
      </w:r>
      <w:r w:rsidRPr="00DA1423">
        <w:rPr>
          <w:rFonts w:eastAsia="Arial" w:cs="Arial"/>
          <w:color w:val="000000"/>
        </w:rPr>
        <w:t>exercise</w:t>
      </w:r>
      <w:r w:rsidRPr="00102034">
        <w:rPr>
          <w:rFonts w:eastAsia="Arial" w:cs="Arial"/>
          <w:color w:val="000000"/>
          <w:szCs w:val="24"/>
          <w:lang w:eastAsia="en-GB"/>
        </w:rPr>
        <w:t xml:space="preserve"> of their rights under Regulation (EU) 2016/679 or Regulation (EU) 2018/1725, as applicable. In this regard, the Parties shall set out in Annex </w:t>
      </w:r>
      <w:r w:rsidRPr="00E90123">
        <w:rPr>
          <w:rFonts w:eastAsia="Arial" w:cs="Arial"/>
          <w:color w:val="000000"/>
          <w:szCs w:val="24"/>
          <w:lang w:eastAsia="en-GB"/>
        </w:rPr>
        <w:fldChar w:fldCharType="begin"/>
      </w:r>
      <w:r w:rsidRPr="00E90123">
        <w:rPr>
          <w:rFonts w:eastAsia="Arial" w:cs="Arial"/>
          <w:color w:val="000000"/>
          <w:szCs w:val="24"/>
          <w:lang w:eastAsia="en-GB"/>
        </w:rPr>
        <w:instrText xml:space="preserve"> REF Schedule_31_PartC_Annex_II \h </w:instrText>
      </w:r>
      <w:r w:rsidRPr="004B5F27">
        <w:rPr>
          <w:rFonts w:eastAsia="Arial" w:cs="Arial"/>
          <w:color w:val="000000"/>
          <w:szCs w:val="24"/>
          <w:lang w:eastAsia="en-GB"/>
        </w:rPr>
        <w:instrText xml:space="preserve"> \* MERGEFORMAT </w:instrText>
      </w:r>
      <w:r w:rsidRPr="00E90123">
        <w:rPr>
          <w:rFonts w:eastAsia="Arial" w:cs="Arial"/>
          <w:color w:val="000000"/>
          <w:szCs w:val="24"/>
          <w:lang w:eastAsia="en-GB"/>
        </w:rPr>
      </w:r>
      <w:r w:rsidRPr="00E90123">
        <w:rPr>
          <w:rFonts w:eastAsia="Arial" w:cs="Arial"/>
          <w:color w:val="000000"/>
          <w:szCs w:val="24"/>
          <w:lang w:eastAsia="en-GB"/>
        </w:rPr>
        <w:fldChar w:fldCharType="separate"/>
      </w:r>
      <w:r w:rsidR="00302D39" w:rsidRPr="00302D39">
        <w:rPr>
          <w:rFonts w:eastAsia="Arial" w:cs="Arial"/>
          <w:color w:val="000000"/>
          <w:szCs w:val="24"/>
          <w:lang w:eastAsia="en-GB"/>
        </w:rPr>
        <w:t>II</w:t>
      </w:r>
      <w:r w:rsidRPr="00E90123">
        <w:rPr>
          <w:rFonts w:eastAsia="Arial" w:cs="Arial"/>
          <w:color w:val="000000"/>
          <w:szCs w:val="24"/>
          <w:lang w:eastAsia="en-GB"/>
        </w:rPr>
        <w:fldChar w:fldCharType="end"/>
      </w:r>
      <w:r w:rsidRPr="00102034">
        <w:rPr>
          <w:rFonts w:eastAsia="Arial" w:cs="Arial"/>
          <w:color w:val="000000"/>
          <w:szCs w:val="24"/>
          <w:lang w:eastAsia="en-GB"/>
        </w:rPr>
        <w:t xml:space="preserve"> the appropriate technical and organisational measures, taking into account the nature of the processing, by which the assistance shall be provided, as well as the scope and the extent of the assistance required.</w:t>
      </w:r>
      <w:bookmarkEnd w:id="3578"/>
    </w:p>
    <w:p w14:paraId="24227ED0" w14:textId="1A08DD46" w:rsidR="00F67E9E" w:rsidRPr="00102034" w:rsidRDefault="00F67E9E" w:rsidP="00F67E9E">
      <w:pPr>
        <w:numPr>
          <w:ilvl w:val="1"/>
          <w:numId w:val="262"/>
        </w:numPr>
        <w:pBdr>
          <w:top w:val="nil"/>
          <w:left w:val="nil"/>
          <w:bottom w:val="nil"/>
          <w:right w:val="nil"/>
          <w:between w:val="nil"/>
        </w:pBdr>
        <w:tabs>
          <w:tab w:val="left" w:pos="1440"/>
        </w:tabs>
        <w:spacing w:before="120" w:after="240"/>
        <w:ind w:left="1440" w:hanging="720"/>
        <w:rPr>
          <w:rFonts w:eastAsia="Arial" w:cs="Arial"/>
          <w:color w:val="000000"/>
          <w:szCs w:val="24"/>
          <w:lang w:eastAsia="en-GB"/>
        </w:rPr>
      </w:pPr>
      <w:bookmarkStart w:id="3579" w:name="bookmark=id.4b8jr48" w:colFirst="0" w:colLast="0"/>
      <w:bookmarkEnd w:id="3579"/>
      <w:r w:rsidRPr="00102034">
        <w:rPr>
          <w:rFonts w:eastAsia="Arial" w:cs="Arial"/>
          <w:color w:val="000000"/>
          <w:szCs w:val="24"/>
          <w:lang w:eastAsia="en-GB"/>
        </w:rPr>
        <w:t>In fulfilling its obligations under paragraphs ‎</w:t>
      </w:r>
      <w:r>
        <w:rPr>
          <w:rFonts w:eastAsia="Arial" w:cs="Arial"/>
          <w:color w:val="000000"/>
          <w:szCs w:val="24"/>
          <w:lang w:eastAsia="en-GB"/>
        </w:rPr>
        <w:fldChar w:fldCharType="begin"/>
      </w:r>
      <w:r>
        <w:rPr>
          <w:rFonts w:eastAsia="Arial" w:cs="Arial"/>
          <w:color w:val="000000"/>
          <w:szCs w:val="24"/>
          <w:lang w:eastAsia="en-GB"/>
        </w:rPr>
        <w:instrText xml:space="preserve"> REF _Ref141248936 \n \h </w:instrText>
      </w:r>
      <w:r>
        <w:rPr>
          <w:rFonts w:eastAsia="Arial" w:cs="Arial"/>
          <w:color w:val="000000"/>
          <w:szCs w:val="24"/>
          <w:lang w:eastAsia="en-GB"/>
        </w:rPr>
      </w:r>
      <w:r>
        <w:rPr>
          <w:rFonts w:eastAsia="Arial" w:cs="Arial"/>
          <w:color w:val="000000"/>
          <w:szCs w:val="24"/>
          <w:lang w:eastAsia="en-GB"/>
        </w:rPr>
        <w:fldChar w:fldCharType="separate"/>
      </w:r>
      <w:r w:rsidR="00302D39">
        <w:rPr>
          <w:rFonts w:eastAsia="Arial" w:cs="Arial"/>
          <w:color w:val="000000"/>
          <w:szCs w:val="24"/>
          <w:lang w:eastAsia="en-GB"/>
        </w:rPr>
        <w:t>(a)</w:t>
      </w:r>
      <w:r>
        <w:rPr>
          <w:rFonts w:eastAsia="Arial" w:cs="Arial"/>
          <w:color w:val="000000"/>
          <w:szCs w:val="24"/>
          <w:lang w:eastAsia="en-GB"/>
        </w:rPr>
        <w:fldChar w:fldCharType="end"/>
      </w:r>
      <w:r w:rsidRPr="00102034">
        <w:rPr>
          <w:rFonts w:eastAsia="Arial" w:cs="Arial"/>
          <w:color w:val="000000"/>
          <w:szCs w:val="24"/>
          <w:lang w:eastAsia="en-GB"/>
        </w:rPr>
        <w:t xml:space="preserve"> and </w:t>
      </w:r>
      <w:r>
        <w:rPr>
          <w:rFonts w:eastAsia="Arial" w:cs="Arial"/>
          <w:color w:val="000000"/>
          <w:szCs w:val="24"/>
          <w:lang w:eastAsia="en-GB"/>
        </w:rPr>
        <w:fldChar w:fldCharType="begin"/>
      </w:r>
      <w:r>
        <w:rPr>
          <w:rFonts w:eastAsia="Arial" w:cs="Arial"/>
          <w:color w:val="000000"/>
          <w:szCs w:val="24"/>
          <w:lang w:eastAsia="en-GB"/>
        </w:rPr>
        <w:instrText xml:space="preserve"> REF _Ref141248949 \n \h </w:instrText>
      </w:r>
      <w:r>
        <w:rPr>
          <w:rFonts w:eastAsia="Arial" w:cs="Arial"/>
          <w:color w:val="000000"/>
          <w:szCs w:val="24"/>
          <w:lang w:eastAsia="en-GB"/>
        </w:rPr>
      </w:r>
      <w:r>
        <w:rPr>
          <w:rFonts w:eastAsia="Arial" w:cs="Arial"/>
          <w:color w:val="000000"/>
          <w:szCs w:val="24"/>
          <w:lang w:eastAsia="en-GB"/>
        </w:rPr>
        <w:fldChar w:fldCharType="separate"/>
      </w:r>
      <w:r w:rsidR="00302D39">
        <w:rPr>
          <w:rFonts w:eastAsia="Arial" w:cs="Arial"/>
          <w:color w:val="000000"/>
          <w:szCs w:val="24"/>
          <w:lang w:eastAsia="en-GB"/>
        </w:rPr>
        <w:t>(b)</w:t>
      </w:r>
      <w:r>
        <w:rPr>
          <w:rFonts w:eastAsia="Arial" w:cs="Arial"/>
          <w:color w:val="000000"/>
          <w:szCs w:val="24"/>
          <w:lang w:eastAsia="en-GB"/>
        </w:rPr>
        <w:fldChar w:fldCharType="end"/>
      </w:r>
      <w:r w:rsidRPr="00102034">
        <w:rPr>
          <w:rFonts w:eastAsia="Arial" w:cs="Arial"/>
          <w:color w:val="000000"/>
          <w:szCs w:val="24"/>
          <w:lang w:eastAsia="en-GB"/>
        </w:rPr>
        <w:t>, the data importer shall comply with the instructions from the controller, as communicated by the data exporter.</w:t>
      </w:r>
    </w:p>
    <w:p w14:paraId="5A67B17A" w14:textId="77777777" w:rsidR="00F67E9E" w:rsidRPr="00102034" w:rsidRDefault="00F67E9E" w:rsidP="00F67E9E">
      <w:pPr>
        <w:pBdr>
          <w:top w:val="nil"/>
          <w:left w:val="nil"/>
          <w:bottom w:val="nil"/>
          <w:right w:val="nil"/>
          <w:between w:val="nil"/>
        </w:pBdr>
        <w:spacing w:before="120"/>
        <w:jc w:val="center"/>
        <w:rPr>
          <w:rFonts w:eastAsia="Arial" w:cs="Arial"/>
          <w:b/>
          <w:color w:val="000000"/>
          <w:szCs w:val="24"/>
          <w:lang w:eastAsia="en-GB"/>
        </w:rPr>
      </w:pPr>
      <w:r w:rsidRPr="00102034">
        <w:rPr>
          <w:rFonts w:eastAsia="Arial" w:cs="Arial"/>
          <w:b/>
          <w:color w:val="000000"/>
          <w:szCs w:val="24"/>
          <w:lang w:eastAsia="en-GB"/>
        </w:rPr>
        <w:t>CLAUSE 11</w:t>
      </w:r>
    </w:p>
    <w:p w14:paraId="57106CD6" w14:textId="77777777" w:rsidR="00F67E9E" w:rsidRPr="00102034" w:rsidRDefault="00F67E9E" w:rsidP="00F67E9E">
      <w:pPr>
        <w:pBdr>
          <w:top w:val="nil"/>
          <w:left w:val="nil"/>
          <w:bottom w:val="nil"/>
          <w:right w:val="nil"/>
          <w:between w:val="nil"/>
        </w:pBdr>
        <w:spacing w:before="240" w:after="240"/>
        <w:rPr>
          <w:rFonts w:eastAsia="Arial" w:cs="Arial"/>
          <w:b/>
          <w:color w:val="000000"/>
          <w:szCs w:val="24"/>
          <w:lang w:eastAsia="en-GB"/>
        </w:rPr>
      </w:pPr>
      <w:bookmarkStart w:id="3580" w:name="bookmark=id.2qdu1c1" w:colFirst="0" w:colLast="0"/>
      <w:bookmarkEnd w:id="3580"/>
      <w:r w:rsidRPr="00102034">
        <w:rPr>
          <w:rFonts w:eastAsia="Arial" w:cs="Arial"/>
          <w:b/>
          <w:color w:val="000000"/>
          <w:szCs w:val="24"/>
          <w:lang w:eastAsia="en-GB"/>
        </w:rPr>
        <w:t>Redress</w:t>
      </w:r>
    </w:p>
    <w:p w14:paraId="2C2C2D94" w14:textId="77777777" w:rsidR="00F67E9E" w:rsidRPr="00102034" w:rsidRDefault="00F67E9E" w:rsidP="00F67E9E">
      <w:pPr>
        <w:numPr>
          <w:ilvl w:val="1"/>
          <w:numId w:val="263"/>
        </w:numPr>
        <w:pBdr>
          <w:top w:val="nil"/>
          <w:left w:val="nil"/>
          <w:bottom w:val="nil"/>
          <w:right w:val="nil"/>
          <w:between w:val="nil"/>
        </w:pBdr>
        <w:tabs>
          <w:tab w:val="left" w:pos="1440"/>
        </w:tabs>
        <w:spacing w:before="120" w:after="240"/>
        <w:ind w:left="1440" w:hanging="720"/>
        <w:rPr>
          <w:rFonts w:eastAsia="Arial" w:cs="Arial"/>
          <w:color w:val="000000"/>
          <w:szCs w:val="24"/>
          <w:lang w:eastAsia="en-GB"/>
        </w:rPr>
      </w:pPr>
      <w:bookmarkStart w:id="3581" w:name="bookmark=id.15j4bju" w:colFirst="0" w:colLast="0"/>
      <w:bookmarkStart w:id="3582" w:name="_Ref141248997"/>
      <w:bookmarkEnd w:id="3581"/>
      <w:r w:rsidRPr="00102034">
        <w:rPr>
          <w:rFonts w:eastAsia="Arial" w:cs="Arial"/>
          <w:color w:val="000000"/>
          <w:szCs w:val="24"/>
          <w:lang w:eastAsia="en-GB"/>
        </w:rPr>
        <w:t xml:space="preserve">The data importer shall inform data subjects in a transparent and easily accessible format, </w:t>
      </w:r>
      <w:r w:rsidRPr="00DA1423">
        <w:rPr>
          <w:rFonts w:eastAsia="Arial" w:cs="Arial"/>
          <w:color w:val="000000"/>
        </w:rPr>
        <w:t>through</w:t>
      </w:r>
      <w:r w:rsidRPr="00102034">
        <w:rPr>
          <w:rFonts w:eastAsia="Arial" w:cs="Arial"/>
          <w:color w:val="000000"/>
          <w:szCs w:val="24"/>
          <w:lang w:eastAsia="en-GB"/>
        </w:rPr>
        <w:t xml:space="preserve"> individual notice or on its website, of a contact point authorised to handle complaints. It shall deal promptly with any complaints it receives from a data subject.</w:t>
      </w:r>
      <w:bookmarkEnd w:id="3582"/>
    </w:p>
    <w:p w14:paraId="35DD4675" w14:textId="470D9A96" w:rsidR="00F67E9E" w:rsidRPr="00102034" w:rsidRDefault="00F67E9E" w:rsidP="00F67E9E">
      <w:pPr>
        <w:pBdr>
          <w:top w:val="nil"/>
          <w:left w:val="nil"/>
          <w:bottom w:val="nil"/>
          <w:right w:val="nil"/>
          <w:between w:val="nil"/>
        </w:pBdr>
        <w:spacing w:before="120" w:after="240"/>
        <w:ind w:left="1440" w:firstLine="720"/>
        <w:rPr>
          <w:rFonts w:eastAsia="Arial" w:cs="Arial"/>
          <w:color w:val="000000"/>
          <w:szCs w:val="24"/>
          <w:lang w:eastAsia="en-GB"/>
        </w:rPr>
      </w:pPr>
      <w:bookmarkStart w:id="3583" w:name="bookmark=id.3piru7n" w:colFirst="0" w:colLast="0"/>
      <w:bookmarkEnd w:id="3583"/>
      <w:r w:rsidRPr="00102034">
        <w:rPr>
          <w:rFonts w:eastAsia="Arial" w:cs="Arial"/>
          <w:color w:val="000000"/>
          <w:szCs w:val="24"/>
          <w:lang w:eastAsia="en-GB"/>
        </w:rPr>
        <w:t>[OPTION: The data importer agrees that data subjects may also lodge a complaint with an independent dispute resolution body[</w:t>
      </w:r>
      <w:hyperlink w:anchor="bookmark=id.w0xtvl">
        <w:r w:rsidRPr="00102034">
          <w:rPr>
            <w:rFonts w:eastAsia="Arial" w:cs="Arial"/>
            <w:color w:val="0000FF"/>
            <w:szCs w:val="24"/>
            <w:u w:val="single"/>
            <w:lang w:eastAsia="en-GB"/>
          </w:rPr>
          <w:t>FN11</w:t>
        </w:r>
      </w:hyperlink>
      <w:r w:rsidRPr="00102034">
        <w:rPr>
          <w:rFonts w:eastAsia="Arial" w:cs="Arial"/>
          <w:color w:val="000000"/>
          <w:szCs w:val="24"/>
          <w:lang w:eastAsia="en-GB"/>
        </w:rPr>
        <w:t>] at no cost to the data subject. It shall inform the data subjects, in the manner set out in paragraph ‎</w:t>
      </w:r>
      <w:r>
        <w:rPr>
          <w:rFonts w:eastAsia="Arial" w:cs="Arial"/>
          <w:color w:val="000000"/>
          <w:szCs w:val="24"/>
          <w:lang w:eastAsia="en-GB"/>
        </w:rPr>
        <w:fldChar w:fldCharType="begin"/>
      </w:r>
      <w:r>
        <w:rPr>
          <w:rFonts w:eastAsia="Arial" w:cs="Arial"/>
          <w:color w:val="000000"/>
          <w:szCs w:val="24"/>
          <w:lang w:eastAsia="en-GB"/>
        </w:rPr>
        <w:instrText xml:space="preserve"> REF _Ref141248997 \n \h </w:instrText>
      </w:r>
      <w:r>
        <w:rPr>
          <w:rFonts w:eastAsia="Arial" w:cs="Arial"/>
          <w:color w:val="000000"/>
          <w:szCs w:val="24"/>
          <w:lang w:eastAsia="en-GB"/>
        </w:rPr>
      </w:r>
      <w:r>
        <w:rPr>
          <w:rFonts w:eastAsia="Arial" w:cs="Arial"/>
          <w:color w:val="000000"/>
          <w:szCs w:val="24"/>
          <w:lang w:eastAsia="en-GB"/>
        </w:rPr>
        <w:fldChar w:fldCharType="separate"/>
      </w:r>
      <w:r w:rsidR="00302D39">
        <w:rPr>
          <w:rFonts w:eastAsia="Arial" w:cs="Arial"/>
          <w:color w:val="000000"/>
          <w:szCs w:val="24"/>
          <w:lang w:eastAsia="en-GB"/>
        </w:rPr>
        <w:t>(a)</w:t>
      </w:r>
      <w:r>
        <w:rPr>
          <w:rFonts w:eastAsia="Arial" w:cs="Arial"/>
          <w:color w:val="000000"/>
          <w:szCs w:val="24"/>
          <w:lang w:eastAsia="en-GB"/>
        </w:rPr>
        <w:fldChar w:fldCharType="end"/>
      </w:r>
      <w:r w:rsidRPr="00102034">
        <w:rPr>
          <w:rFonts w:eastAsia="Arial" w:cs="Arial"/>
          <w:color w:val="000000"/>
          <w:szCs w:val="24"/>
          <w:lang w:eastAsia="en-GB"/>
        </w:rPr>
        <w:t>, of such redress mechanism and that they are not required to use it, or follow a particular sequence in seeking redress.]</w:t>
      </w:r>
    </w:p>
    <w:p w14:paraId="04E4B91E" w14:textId="77777777" w:rsidR="00F67E9E" w:rsidRPr="00102034" w:rsidRDefault="00F67E9E" w:rsidP="00F67E9E">
      <w:pPr>
        <w:numPr>
          <w:ilvl w:val="1"/>
          <w:numId w:val="263"/>
        </w:numPr>
        <w:pBdr>
          <w:top w:val="nil"/>
          <w:left w:val="nil"/>
          <w:bottom w:val="nil"/>
          <w:right w:val="nil"/>
          <w:between w:val="nil"/>
        </w:pBdr>
        <w:tabs>
          <w:tab w:val="left" w:pos="1440"/>
        </w:tabs>
        <w:spacing w:before="120" w:after="240"/>
        <w:ind w:left="1440" w:hanging="720"/>
        <w:rPr>
          <w:rFonts w:eastAsia="Arial" w:cs="Arial"/>
          <w:color w:val="000000"/>
          <w:szCs w:val="24"/>
          <w:lang w:eastAsia="en-GB"/>
        </w:rPr>
      </w:pPr>
      <w:bookmarkStart w:id="3584" w:name="bookmark=id.24o24fg" w:colFirst="0" w:colLast="0"/>
      <w:bookmarkEnd w:id="3584"/>
      <w:r w:rsidRPr="00102034">
        <w:rPr>
          <w:rFonts w:eastAsia="Arial" w:cs="Arial"/>
          <w:color w:val="000000"/>
          <w:szCs w:val="24"/>
          <w:lang w:eastAsia="en-GB"/>
        </w:rPr>
        <w:t xml:space="preserve">In case of a dispute between a data subject and one of the Parties as regards compliance with </w:t>
      </w:r>
      <w:r w:rsidRPr="00DA1423">
        <w:rPr>
          <w:rFonts w:eastAsia="Arial" w:cs="Arial"/>
          <w:color w:val="000000"/>
        </w:rPr>
        <w:t>these</w:t>
      </w:r>
      <w:r w:rsidRPr="00102034">
        <w:rPr>
          <w:rFonts w:eastAsia="Arial" w:cs="Arial"/>
          <w:color w:val="000000"/>
          <w:szCs w:val="24"/>
          <w:lang w:eastAsia="en-GB"/>
        </w:rPr>
        <w:t xml:space="preserve"> Clauses, that Party shall use its best efforts to resolve the issue amicably in a timely fashion. The Parties shall keep each other informed about such disputes and, where appropriate, cooperate in resolving them.</w:t>
      </w:r>
    </w:p>
    <w:p w14:paraId="559E79BB" w14:textId="77777777" w:rsidR="00F67E9E" w:rsidRPr="00102034" w:rsidRDefault="00F67E9E" w:rsidP="00F67E9E">
      <w:pPr>
        <w:numPr>
          <w:ilvl w:val="1"/>
          <w:numId w:val="263"/>
        </w:numPr>
        <w:pBdr>
          <w:top w:val="nil"/>
          <w:left w:val="nil"/>
          <w:bottom w:val="nil"/>
          <w:right w:val="nil"/>
          <w:between w:val="nil"/>
        </w:pBdr>
        <w:tabs>
          <w:tab w:val="left" w:pos="1440"/>
        </w:tabs>
        <w:spacing w:before="120" w:after="240"/>
        <w:ind w:left="1440" w:hanging="720"/>
        <w:rPr>
          <w:rFonts w:eastAsia="Arial" w:cs="Arial"/>
          <w:color w:val="000000"/>
          <w:szCs w:val="24"/>
          <w:lang w:eastAsia="en-GB"/>
        </w:rPr>
      </w:pPr>
      <w:bookmarkStart w:id="3585" w:name="bookmark=id.jtcen9" w:colFirst="0" w:colLast="0"/>
      <w:bookmarkEnd w:id="3585"/>
      <w:r w:rsidRPr="00102034">
        <w:rPr>
          <w:rFonts w:eastAsia="Arial" w:cs="Arial"/>
          <w:color w:val="000000"/>
          <w:szCs w:val="24"/>
          <w:lang w:eastAsia="en-GB"/>
        </w:rPr>
        <w:t>Where the data subject invokes a third-party beneficiary right pursuant to Clause</w:t>
      </w:r>
      <w:r>
        <w:rPr>
          <w:rFonts w:eastAsia="Arial" w:cs="Arial"/>
          <w:color w:val="000000"/>
          <w:szCs w:val="24"/>
          <w:lang w:eastAsia="en-GB"/>
        </w:rPr>
        <w:t> </w:t>
      </w:r>
      <w:r w:rsidRPr="00102034">
        <w:rPr>
          <w:rFonts w:eastAsia="Arial" w:cs="Arial"/>
          <w:color w:val="000000"/>
          <w:szCs w:val="24"/>
          <w:lang w:eastAsia="en-GB"/>
        </w:rPr>
        <w:t xml:space="preserve">3, the data </w:t>
      </w:r>
      <w:r w:rsidRPr="00DA1423">
        <w:rPr>
          <w:rFonts w:eastAsia="Arial" w:cs="Arial"/>
          <w:color w:val="000000"/>
        </w:rPr>
        <w:t>importer</w:t>
      </w:r>
      <w:r w:rsidRPr="00102034">
        <w:rPr>
          <w:rFonts w:eastAsia="Arial" w:cs="Arial"/>
          <w:color w:val="000000"/>
          <w:szCs w:val="24"/>
          <w:lang w:eastAsia="en-GB"/>
        </w:rPr>
        <w:t xml:space="preserve"> shall accept the decision of the data subject to:</w:t>
      </w:r>
    </w:p>
    <w:p w14:paraId="3BB0DFDD" w14:textId="77777777" w:rsidR="00F67E9E" w:rsidRPr="00102034" w:rsidRDefault="00F67E9E" w:rsidP="00F67E9E">
      <w:pPr>
        <w:numPr>
          <w:ilvl w:val="2"/>
          <w:numId w:val="18"/>
        </w:numPr>
        <w:pBdr>
          <w:top w:val="nil"/>
          <w:left w:val="nil"/>
          <w:bottom w:val="nil"/>
          <w:right w:val="nil"/>
          <w:between w:val="nil"/>
        </w:pBdr>
        <w:spacing w:before="120" w:after="240"/>
        <w:ind w:left="2160" w:hanging="720"/>
        <w:rPr>
          <w:rFonts w:eastAsia="Arial" w:cs="Arial"/>
          <w:color w:val="000000"/>
          <w:szCs w:val="24"/>
          <w:lang w:eastAsia="en-GB"/>
        </w:rPr>
      </w:pPr>
      <w:bookmarkStart w:id="3586" w:name="bookmark=id.33szxb2" w:colFirst="0" w:colLast="0"/>
      <w:bookmarkEnd w:id="3586"/>
      <w:r w:rsidRPr="00102034">
        <w:rPr>
          <w:rFonts w:eastAsia="Arial" w:cs="Arial"/>
          <w:color w:val="000000"/>
          <w:szCs w:val="24"/>
          <w:lang w:eastAsia="en-GB"/>
        </w:rPr>
        <w:t>lodge a complaint with the supervisory authority in the Member State of his/her habitual residence or place of work, or the competent supervisory authority pursuant to Clause 13;</w:t>
      </w:r>
    </w:p>
    <w:p w14:paraId="0B88EE77" w14:textId="77777777" w:rsidR="00F67E9E" w:rsidRPr="00102034" w:rsidRDefault="00F67E9E" w:rsidP="00F67E9E">
      <w:pPr>
        <w:numPr>
          <w:ilvl w:val="2"/>
          <w:numId w:val="18"/>
        </w:numPr>
        <w:pBdr>
          <w:top w:val="nil"/>
          <w:left w:val="nil"/>
          <w:bottom w:val="nil"/>
          <w:right w:val="nil"/>
          <w:between w:val="nil"/>
        </w:pBdr>
        <w:spacing w:before="120" w:after="240"/>
        <w:ind w:left="2160" w:hanging="720"/>
        <w:rPr>
          <w:rFonts w:eastAsia="Arial" w:cs="Arial"/>
          <w:color w:val="000000"/>
          <w:szCs w:val="24"/>
          <w:lang w:eastAsia="en-GB"/>
        </w:rPr>
      </w:pPr>
      <w:bookmarkStart w:id="3587" w:name="bookmark=id.1iya7iv" w:colFirst="0" w:colLast="0"/>
      <w:bookmarkEnd w:id="3587"/>
      <w:r w:rsidRPr="00102034">
        <w:rPr>
          <w:rFonts w:eastAsia="Arial" w:cs="Arial"/>
          <w:color w:val="000000"/>
          <w:szCs w:val="24"/>
          <w:lang w:eastAsia="en-GB"/>
        </w:rPr>
        <w:t>refer the dispute to the competent courts within the meaning of Clause 18.</w:t>
      </w:r>
    </w:p>
    <w:p w14:paraId="1F310228" w14:textId="77777777" w:rsidR="00F67E9E" w:rsidRPr="00102034" w:rsidRDefault="00F67E9E" w:rsidP="00F67E9E">
      <w:pPr>
        <w:numPr>
          <w:ilvl w:val="1"/>
          <w:numId w:val="263"/>
        </w:numPr>
        <w:pBdr>
          <w:top w:val="nil"/>
          <w:left w:val="nil"/>
          <w:bottom w:val="nil"/>
          <w:right w:val="nil"/>
          <w:between w:val="nil"/>
        </w:pBdr>
        <w:tabs>
          <w:tab w:val="left" w:pos="1440"/>
        </w:tabs>
        <w:spacing w:before="120" w:after="240"/>
        <w:ind w:left="1440" w:hanging="720"/>
        <w:rPr>
          <w:rFonts w:eastAsia="Arial" w:cs="Arial"/>
          <w:color w:val="000000"/>
          <w:szCs w:val="24"/>
          <w:lang w:eastAsia="en-GB"/>
        </w:rPr>
      </w:pPr>
      <w:bookmarkStart w:id="3588" w:name="bookmark=id.42xxq6o" w:colFirst="0" w:colLast="0"/>
      <w:bookmarkEnd w:id="3588"/>
      <w:r w:rsidRPr="00102034">
        <w:rPr>
          <w:rFonts w:eastAsia="Arial" w:cs="Arial"/>
          <w:color w:val="000000"/>
          <w:szCs w:val="24"/>
          <w:lang w:eastAsia="en-GB"/>
        </w:rPr>
        <w:t xml:space="preserve">The Parties accept that the data subject may be represented by a not-for-profit body, organisation or </w:t>
      </w:r>
      <w:r w:rsidRPr="00DA1423">
        <w:rPr>
          <w:rFonts w:eastAsia="Arial" w:cs="Arial"/>
          <w:color w:val="000000"/>
        </w:rPr>
        <w:t>association</w:t>
      </w:r>
      <w:r w:rsidRPr="00102034">
        <w:rPr>
          <w:rFonts w:eastAsia="Arial" w:cs="Arial"/>
          <w:color w:val="000000"/>
          <w:szCs w:val="24"/>
          <w:lang w:eastAsia="en-GB"/>
        </w:rPr>
        <w:t xml:space="preserve"> under the conditions set out in Article 80(1) of Regulation (EU) 2016/679.</w:t>
      </w:r>
    </w:p>
    <w:p w14:paraId="362C717A" w14:textId="77777777" w:rsidR="00F67E9E" w:rsidRPr="00102034" w:rsidRDefault="00F67E9E" w:rsidP="00F67E9E">
      <w:pPr>
        <w:numPr>
          <w:ilvl w:val="1"/>
          <w:numId w:val="263"/>
        </w:numPr>
        <w:pBdr>
          <w:top w:val="nil"/>
          <w:left w:val="nil"/>
          <w:bottom w:val="nil"/>
          <w:right w:val="nil"/>
          <w:between w:val="nil"/>
        </w:pBdr>
        <w:tabs>
          <w:tab w:val="left" w:pos="1440"/>
        </w:tabs>
        <w:spacing w:before="120" w:after="240"/>
        <w:ind w:left="1440" w:hanging="720"/>
        <w:rPr>
          <w:rFonts w:eastAsia="Arial" w:cs="Arial"/>
          <w:color w:val="000000"/>
          <w:szCs w:val="24"/>
          <w:lang w:eastAsia="en-GB"/>
        </w:rPr>
      </w:pPr>
      <w:bookmarkStart w:id="3589" w:name="bookmark=id.2i380eh" w:colFirst="0" w:colLast="0"/>
      <w:bookmarkEnd w:id="3589"/>
      <w:r w:rsidRPr="00102034">
        <w:rPr>
          <w:rFonts w:eastAsia="Arial" w:cs="Arial"/>
          <w:color w:val="000000"/>
          <w:szCs w:val="24"/>
          <w:lang w:eastAsia="en-GB"/>
        </w:rPr>
        <w:t>The data importer shall abide by a decision that is binding under the applicable EU or Member State law.</w:t>
      </w:r>
    </w:p>
    <w:p w14:paraId="620A30F5" w14:textId="77777777" w:rsidR="00F67E9E" w:rsidRPr="00102034" w:rsidRDefault="00F67E9E" w:rsidP="00F67E9E">
      <w:pPr>
        <w:numPr>
          <w:ilvl w:val="1"/>
          <w:numId w:val="263"/>
        </w:numPr>
        <w:pBdr>
          <w:top w:val="nil"/>
          <w:left w:val="nil"/>
          <w:bottom w:val="nil"/>
          <w:right w:val="nil"/>
          <w:between w:val="nil"/>
        </w:pBdr>
        <w:tabs>
          <w:tab w:val="left" w:pos="1440"/>
        </w:tabs>
        <w:spacing w:before="120" w:after="240"/>
        <w:ind w:left="1440" w:hanging="720"/>
        <w:rPr>
          <w:rFonts w:eastAsia="Arial" w:cs="Arial"/>
          <w:color w:val="000000"/>
          <w:szCs w:val="24"/>
          <w:lang w:eastAsia="en-GB"/>
        </w:rPr>
      </w:pPr>
      <w:bookmarkStart w:id="3590" w:name="bookmark=id.x8iama" w:colFirst="0" w:colLast="0"/>
      <w:bookmarkEnd w:id="3590"/>
      <w:r w:rsidRPr="00102034">
        <w:rPr>
          <w:rFonts w:eastAsia="Arial" w:cs="Arial"/>
          <w:color w:val="000000"/>
          <w:szCs w:val="24"/>
          <w:lang w:eastAsia="en-GB"/>
        </w:rPr>
        <w:t xml:space="preserve">The data importer agrees that the choice made by the data subject will not prejudice his/her </w:t>
      </w:r>
      <w:r w:rsidRPr="00DA1423">
        <w:rPr>
          <w:rFonts w:eastAsia="Arial" w:cs="Arial"/>
          <w:color w:val="000000"/>
        </w:rPr>
        <w:t>substantive</w:t>
      </w:r>
      <w:r w:rsidRPr="00102034">
        <w:rPr>
          <w:rFonts w:eastAsia="Arial" w:cs="Arial"/>
          <w:color w:val="000000"/>
          <w:szCs w:val="24"/>
          <w:lang w:eastAsia="en-GB"/>
        </w:rPr>
        <w:t xml:space="preserve"> and procedural rights to seek remedies in accordance with applicable laws.</w:t>
      </w:r>
    </w:p>
    <w:p w14:paraId="3C050677" w14:textId="77777777" w:rsidR="00F67E9E" w:rsidRPr="00102034" w:rsidRDefault="00F67E9E" w:rsidP="00F67E9E">
      <w:pPr>
        <w:pBdr>
          <w:top w:val="nil"/>
          <w:left w:val="nil"/>
          <w:bottom w:val="nil"/>
          <w:right w:val="nil"/>
          <w:between w:val="nil"/>
        </w:pBdr>
        <w:spacing w:before="120"/>
        <w:jc w:val="center"/>
        <w:rPr>
          <w:rFonts w:eastAsia="Arial" w:cs="Arial"/>
          <w:b/>
          <w:color w:val="000000"/>
          <w:szCs w:val="24"/>
          <w:lang w:eastAsia="en-GB"/>
        </w:rPr>
      </w:pPr>
      <w:r w:rsidRPr="00102034">
        <w:rPr>
          <w:rFonts w:eastAsia="Arial" w:cs="Arial"/>
          <w:b/>
          <w:color w:val="000000"/>
          <w:szCs w:val="24"/>
          <w:lang w:eastAsia="en-GB"/>
        </w:rPr>
        <w:t>CLAUSE 12</w:t>
      </w:r>
    </w:p>
    <w:p w14:paraId="27D5C671" w14:textId="77777777" w:rsidR="00F67E9E" w:rsidRPr="00102034" w:rsidRDefault="00F67E9E" w:rsidP="00F67E9E">
      <w:pPr>
        <w:pBdr>
          <w:top w:val="nil"/>
          <w:left w:val="nil"/>
          <w:bottom w:val="nil"/>
          <w:right w:val="nil"/>
          <w:between w:val="nil"/>
        </w:pBdr>
        <w:spacing w:before="240" w:after="240"/>
        <w:rPr>
          <w:rFonts w:eastAsia="Arial" w:cs="Arial"/>
          <w:b/>
          <w:color w:val="000000"/>
          <w:szCs w:val="24"/>
          <w:lang w:eastAsia="en-GB"/>
        </w:rPr>
      </w:pPr>
      <w:r w:rsidRPr="00102034">
        <w:rPr>
          <w:rFonts w:eastAsia="Arial" w:cs="Arial"/>
          <w:b/>
          <w:color w:val="000000"/>
          <w:szCs w:val="24"/>
          <w:lang w:eastAsia="en-GB"/>
        </w:rPr>
        <w:t>Liability</w:t>
      </w:r>
    </w:p>
    <w:p w14:paraId="4F2AB444" w14:textId="77777777" w:rsidR="00F67E9E" w:rsidRPr="00102034" w:rsidRDefault="00F67E9E" w:rsidP="00F67E9E">
      <w:pPr>
        <w:numPr>
          <w:ilvl w:val="1"/>
          <w:numId w:val="264"/>
        </w:numPr>
        <w:pBdr>
          <w:top w:val="nil"/>
          <w:left w:val="nil"/>
          <w:bottom w:val="nil"/>
          <w:right w:val="nil"/>
          <w:between w:val="nil"/>
        </w:pBdr>
        <w:tabs>
          <w:tab w:val="left" w:pos="1440"/>
        </w:tabs>
        <w:spacing w:before="120" w:after="240"/>
        <w:ind w:left="1440" w:hanging="720"/>
        <w:rPr>
          <w:rFonts w:eastAsia="Arial" w:cs="Arial"/>
          <w:color w:val="000000"/>
          <w:szCs w:val="24"/>
          <w:lang w:eastAsia="en-GB"/>
        </w:rPr>
      </w:pPr>
      <w:bookmarkStart w:id="3591" w:name="bookmark=id.3h85ta3" w:colFirst="0" w:colLast="0"/>
      <w:bookmarkEnd w:id="3591"/>
      <w:r w:rsidRPr="00102034">
        <w:rPr>
          <w:rFonts w:eastAsia="Arial" w:cs="Arial"/>
          <w:color w:val="000000"/>
          <w:szCs w:val="24"/>
          <w:lang w:eastAsia="en-GB"/>
        </w:rPr>
        <w:t>Each Party shall be liable to the other Party/ies for any damages it causes the other Party/ies by any breach of these Clauses.</w:t>
      </w:r>
    </w:p>
    <w:p w14:paraId="34527F07" w14:textId="77777777" w:rsidR="00F67E9E" w:rsidRPr="00102034" w:rsidRDefault="00F67E9E" w:rsidP="00F67E9E">
      <w:pPr>
        <w:numPr>
          <w:ilvl w:val="1"/>
          <w:numId w:val="264"/>
        </w:numPr>
        <w:pBdr>
          <w:top w:val="nil"/>
          <w:left w:val="nil"/>
          <w:bottom w:val="nil"/>
          <w:right w:val="nil"/>
          <w:between w:val="nil"/>
        </w:pBdr>
        <w:tabs>
          <w:tab w:val="left" w:pos="1440"/>
        </w:tabs>
        <w:spacing w:before="120" w:after="240"/>
        <w:ind w:left="1440" w:hanging="720"/>
        <w:rPr>
          <w:rFonts w:eastAsia="Arial" w:cs="Arial"/>
          <w:color w:val="000000"/>
          <w:szCs w:val="24"/>
          <w:lang w:eastAsia="en-GB"/>
        </w:rPr>
      </w:pPr>
      <w:bookmarkStart w:id="3592" w:name="bookmark=id.1wdg3hw" w:colFirst="0" w:colLast="0"/>
      <w:bookmarkStart w:id="3593" w:name="_Ref141249036"/>
      <w:bookmarkEnd w:id="3592"/>
      <w:r w:rsidRPr="00102034">
        <w:rPr>
          <w:rFonts w:eastAsia="Arial" w:cs="Arial"/>
          <w:color w:val="000000"/>
          <w:szCs w:val="24"/>
          <w:lang w:eastAsia="en-GB"/>
        </w:rPr>
        <w:t xml:space="preserve">The data importer shall be liable to the data subject, and the data subject shall be entitled to </w:t>
      </w:r>
      <w:r w:rsidRPr="00DA1423">
        <w:rPr>
          <w:rFonts w:eastAsia="Arial" w:cs="Arial"/>
          <w:color w:val="000000"/>
        </w:rPr>
        <w:t>receive</w:t>
      </w:r>
      <w:r w:rsidRPr="00102034">
        <w:rPr>
          <w:rFonts w:eastAsia="Arial" w:cs="Arial"/>
          <w:color w:val="000000"/>
          <w:szCs w:val="24"/>
          <w:lang w:eastAsia="en-GB"/>
        </w:rPr>
        <w:t xml:space="preserve"> compensation, for any material or non-material damages the data importer or its sub-processor causes the data subject by breaching the third-party beneficiary rights under these Clauses.</w:t>
      </w:r>
      <w:bookmarkEnd w:id="3593"/>
    </w:p>
    <w:p w14:paraId="5BDFFFB7" w14:textId="6EB308F7" w:rsidR="00F67E9E" w:rsidRPr="00102034" w:rsidRDefault="00F67E9E" w:rsidP="00F67E9E">
      <w:pPr>
        <w:numPr>
          <w:ilvl w:val="1"/>
          <w:numId w:val="264"/>
        </w:numPr>
        <w:pBdr>
          <w:top w:val="nil"/>
          <w:left w:val="nil"/>
          <w:bottom w:val="nil"/>
          <w:right w:val="nil"/>
          <w:between w:val="nil"/>
        </w:pBdr>
        <w:tabs>
          <w:tab w:val="left" w:pos="1440"/>
        </w:tabs>
        <w:spacing w:before="120" w:after="240"/>
        <w:ind w:left="1440" w:hanging="720"/>
        <w:rPr>
          <w:rFonts w:eastAsia="Arial" w:cs="Arial"/>
          <w:color w:val="000000"/>
          <w:szCs w:val="24"/>
          <w:lang w:eastAsia="en-GB"/>
        </w:rPr>
      </w:pPr>
      <w:bookmarkStart w:id="3594" w:name="bookmark=id.4gd3m5p" w:colFirst="0" w:colLast="0"/>
      <w:bookmarkStart w:id="3595" w:name="_Ref141249056"/>
      <w:bookmarkEnd w:id="3594"/>
      <w:r w:rsidRPr="00102034">
        <w:rPr>
          <w:rFonts w:eastAsia="Arial" w:cs="Arial"/>
          <w:color w:val="000000"/>
          <w:szCs w:val="24"/>
          <w:lang w:eastAsia="en-GB"/>
        </w:rPr>
        <w:t xml:space="preserve">Notwithstanding paragraph </w:t>
      </w:r>
      <w:r>
        <w:rPr>
          <w:rFonts w:eastAsia="Arial" w:cs="Arial"/>
          <w:color w:val="000000"/>
          <w:szCs w:val="24"/>
          <w:lang w:eastAsia="en-GB"/>
        </w:rPr>
        <w:fldChar w:fldCharType="begin"/>
      </w:r>
      <w:r>
        <w:rPr>
          <w:rFonts w:eastAsia="Arial" w:cs="Arial"/>
          <w:color w:val="000000"/>
          <w:szCs w:val="24"/>
          <w:lang w:eastAsia="en-GB"/>
        </w:rPr>
        <w:instrText xml:space="preserve"> REF _Ref141249036 \n \h </w:instrText>
      </w:r>
      <w:r>
        <w:rPr>
          <w:rFonts w:eastAsia="Arial" w:cs="Arial"/>
          <w:color w:val="000000"/>
          <w:szCs w:val="24"/>
          <w:lang w:eastAsia="en-GB"/>
        </w:rPr>
      </w:r>
      <w:r>
        <w:rPr>
          <w:rFonts w:eastAsia="Arial" w:cs="Arial"/>
          <w:color w:val="000000"/>
          <w:szCs w:val="24"/>
          <w:lang w:eastAsia="en-GB"/>
        </w:rPr>
        <w:fldChar w:fldCharType="separate"/>
      </w:r>
      <w:r w:rsidR="00302D39">
        <w:rPr>
          <w:rFonts w:eastAsia="Arial" w:cs="Arial"/>
          <w:color w:val="000000"/>
          <w:szCs w:val="24"/>
          <w:lang w:eastAsia="en-GB"/>
        </w:rPr>
        <w:t>(b)</w:t>
      </w:r>
      <w:r>
        <w:rPr>
          <w:rFonts w:eastAsia="Arial" w:cs="Arial"/>
          <w:color w:val="000000"/>
          <w:szCs w:val="24"/>
          <w:lang w:eastAsia="en-GB"/>
        </w:rPr>
        <w:fldChar w:fldCharType="end"/>
      </w:r>
      <w:r w:rsidRPr="00102034">
        <w:rPr>
          <w:rFonts w:eastAsia="Arial" w:cs="Arial"/>
          <w:color w:val="000000"/>
          <w:szCs w:val="24"/>
          <w:lang w:eastAsia="en-GB"/>
        </w:rPr>
        <w:t xml:space="preserve">, the data exporter shall be liable to the data subject, and the data subject shall be entitled to receive compensation, for any material or non-material damages the data exporter or the data importer (or its sub-processor) causes the data subject by </w:t>
      </w:r>
      <w:r w:rsidRPr="00DA1423">
        <w:rPr>
          <w:rFonts w:eastAsia="Arial" w:cs="Arial"/>
          <w:color w:val="000000"/>
        </w:rPr>
        <w:t>breaching</w:t>
      </w:r>
      <w:r w:rsidRPr="00102034">
        <w:rPr>
          <w:rFonts w:eastAsia="Arial" w:cs="Arial"/>
          <w:color w:val="000000"/>
          <w:szCs w:val="24"/>
          <w:lang w:eastAsia="en-GB"/>
        </w:rPr>
        <w:t xml:space="preserve"> the third-party beneficiary rights under these Clauses. This is without prejudice to the liability of the data exporter and, where the data exporter is a processor acting on behalf of a controller, to the liability of the controller under Regulation (EU) 2016/679 or Regulation (EU) 2018/1725, as applicable.</w:t>
      </w:r>
      <w:bookmarkEnd w:id="3595"/>
    </w:p>
    <w:p w14:paraId="3B61F6F5" w14:textId="7447AF9C" w:rsidR="00F67E9E" w:rsidRPr="00102034" w:rsidRDefault="00F67E9E" w:rsidP="00F67E9E">
      <w:pPr>
        <w:numPr>
          <w:ilvl w:val="1"/>
          <w:numId w:val="264"/>
        </w:numPr>
        <w:pBdr>
          <w:top w:val="nil"/>
          <w:left w:val="nil"/>
          <w:bottom w:val="nil"/>
          <w:right w:val="nil"/>
          <w:between w:val="nil"/>
        </w:pBdr>
        <w:tabs>
          <w:tab w:val="left" w:pos="1440"/>
        </w:tabs>
        <w:spacing w:before="120" w:after="240"/>
        <w:ind w:left="1440" w:hanging="720"/>
        <w:rPr>
          <w:rFonts w:eastAsia="Arial" w:cs="Arial"/>
          <w:color w:val="000000"/>
          <w:szCs w:val="24"/>
          <w:lang w:eastAsia="en-GB"/>
        </w:rPr>
      </w:pPr>
      <w:bookmarkStart w:id="3596" w:name="bookmark=id.2vidwdi" w:colFirst="0" w:colLast="0"/>
      <w:bookmarkEnd w:id="3596"/>
      <w:r w:rsidRPr="00102034">
        <w:rPr>
          <w:rFonts w:eastAsia="Arial" w:cs="Arial"/>
          <w:color w:val="000000"/>
          <w:szCs w:val="24"/>
          <w:lang w:eastAsia="en-GB"/>
        </w:rPr>
        <w:t>The Parties agree that if the data exporter is held liable under paragraph ‎</w:t>
      </w:r>
      <w:r>
        <w:rPr>
          <w:rFonts w:eastAsia="Arial" w:cs="Arial"/>
          <w:color w:val="000000"/>
          <w:szCs w:val="24"/>
          <w:lang w:eastAsia="en-GB"/>
        </w:rPr>
        <w:fldChar w:fldCharType="begin"/>
      </w:r>
      <w:r>
        <w:rPr>
          <w:rFonts w:eastAsia="Arial" w:cs="Arial"/>
          <w:color w:val="000000"/>
          <w:szCs w:val="24"/>
          <w:lang w:eastAsia="en-GB"/>
        </w:rPr>
        <w:instrText xml:space="preserve"> REF _Ref141249056 \n \h </w:instrText>
      </w:r>
      <w:r>
        <w:rPr>
          <w:rFonts w:eastAsia="Arial" w:cs="Arial"/>
          <w:color w:val="000000"/>
          <w:szCs w:val="24"/>
          <w:lang w:eastAsia="en-GB"/>
        </w:rPr>
      </w:r>
      <w:r>
        <w:rPr>
          <w:rFonts w:eastAsia="Arial" w:cs="Arial"/>
          <w:color w:val="000000"/>
          <w:szCs w:val="24"/>
          <w:lang w:eastAsia="en-GB"/>
        </w:rPr>
        <w:fldChar w:fldCharType="separate"/>
      </w:r>
      <w:r w:rsidR="00302D39">
        <w:rPr>
          <w:rFonts w:eastAsia="Arial" w:cs="Arial"/>
          <w:color w:val="000000"/>
          <w:szCs w:val="24"/>
          <w:lang w:eastAsia="en-GB"/>
        </w:rPr>
        <w:t>(c)</w:t>
      </w:r>
      <w:r>
        <w:rPr>
          <w:rFonts w:eastAsia="Arial" w:cs="Arial"/>
          <w:color w:val="000000"/>
          <w:szCs w:val="24"/>
          <w:lang w:eastAsia="en-GB"/>
        </w:rPr>
        <w:fldChar w:fldCharType="end"/>
      </w:r>
      <w:r w:rsidRPr="00102034">
        <w:rPr>
          <w:rFonts w:eastAsia="Arial" w:cs="Arial"/>
          <w:color w:val="000000"/>
          <w:szCs w:val="24"/>
          <w:lang w:eastAsia="en-GB"/>
        </w:rPr>
        <w:t xml:space="preserve"> for damages caused by the data importer (or its sub-processor), it shall be entitled to claim back from the data </w:t>
      </w:r>
      <w:r w:rsidRPr="00DA1423">
        <w:rPr>
          <w:rFonts w:eastAsia="Arial" w:cs="Arial"/>
          <w:color w:val="000000"/>
        </w:rPr>
        <w:t>importer</w:t>
      </w:r>
      <w:r w:rsidRPr="00102034">
        <w:rPr>
          <w:rFonts w:eastAsia="Arial" w:cs="Arial"/>
          <w:color w:val="000000"/>
          <w:szCs w:val="24"/>
          <w:lang w:eastAsia="en-GB"/>
        </w:rPr>
        <w:t xml:space="preserve"> that part of the compensation corresponding to the data importer's responsibility for the damage.</w:t>
      </w:r>
    </w:p>
    <w:p w14:paraId="384BE8ED" w14:textId="77777777" w:rsidR="00F67E9E" w:rsidRPr="00102034" w:rsidRDefault="00F67E9E" w:rsidP="00F67E9E">
      <w:pPr>
        <w:numPr>
          <w:ilvl w:val="1"/>
          <w:numId w:val="264"/>
        </w:numPr>
        <w:pBdr>
          <w:top w:val="nil"/>
          <w:left w:val="nil"/>
          <w:bottom w:val="nil"/>
          <w:right w:val="nil"/>
          <w:between w:val="nil"/>
        </w:pBdr>
        <w:tabs>
          <w:tab w:val="left" w:pos="1440"/>
        </w:tabs>
        <w:spacing w:before="120" w:after="240"/>
        <w:ind w:left="1440" w:hanging="720"/>
        <w:rPr>
          <w:rFonts w:eastAsia="Arial" w:cs="Arial"/>
          <w:color w:val="000000"/>
          <w:szCs w:val="24"/>
          <w:lang w:eastAsia="en-GB"/>
        </w:rPr>
      </w:pPr>
      <w:bookmarkStart w:id="3597" w:name="bookmark=id.1ano6lb" w:colFirst="0" w:colLast="0"/>
      <w:bookmarkStart w:id="3598" w:name="_Ref141249070"/>
      <w:bookmarkEnd w:id="3597"/>
      <w:r w:rsidRPr="00102034">
        <w:rPr>
          <w:rFonts w:eastAsia="Arial" w:cs="Arial"/>
          <w:color w:val="000000"/>
          <w:szCs w:val="24"/>
          <w:lang w:eastAsia="en-GB"/>
        </w:rPr>
        <w:t xml:space="preserve">Where more than one Party is responsible for any damage caused to the data subject as a result of a breach of these Clauses, all responsible Parties shall be jointly and severally </w:t>
      </w:r>
      <w:r w:rsidRPr="00DA1423">
        <w:rPr>
          <w:rFonts w:eastAsia="Arial" w:cs="Arial"/>
          <w:color w:val="000000"/>
        </w:rPr>
        <w:t>liable</w:t>
      </w:r>
      <w:r w:rsidRPr="00102034">
        <w:rPr>
          <w:rFonts w:eastAsia="Arial" w:cs="Arial"/>
          <w:color w:val="000000"/>
          <w:szCs w:val="24"/>
          <w:lang w:eastAsia="en-GB"/>
        </w:rPr>
        <w:t xml:space="preserve"> and the data subject is entitled to bring an action in court against any of these Parties.</w:t>
      </w:r>
      <w:bookmarkEnd w:id="3598"/>
    </w:p>
    <w:p w14:paraId="5333905B" w14:textId="23BF7120" w:rsidR="00F67E9E" w:rsidRPr="00102034" w:rsidRDefault="00F67E9E" w:rsidP="00F67E9E">
      <w:pPr>
        <w:numPr>
          <w:ilvl w:val="1"/>
          <w:numId w:val="264"/>
        </w:numPr>
        <w:pBdr>
          <w:top w:val="nil"/>
          <w:left w:val="nil"/>
          <w:bottom w:val="nil"/>
          <w:right w:val="nil"/>
          <w:between w:val="nil"/>
        </w:pBdr>
        <w:tabs>
          <w:tab w:val="left" w:pos="1440"/>
        </w:tabs>
        <w:spacing w:before="120" w:after="240"/>
        <w:ind w:left="1440" w:hanging="720"/>
        <w:rPr>
          <w:rFonts w:eastAsia="Arial" w:cs="Arial"/>
          <w:color w:val="000000"/>
          <w:szCs w:val="24"/>
          <w:lang w:eastAsia="en-GB"/>
        </w:rPr>
      </w:pPr>
      <w:bookmarkStart w:id="3599" w:name="bookmark=id.3unbp94" w:colFirst="0" w:colLast="0"/>
      <w:bookmarkEnd w:id="3599"/>
      <w:r w:rsidRPr="00102034">
        <w:rPr>
          <w:rFonts w:eastAsia="Arial" w:cs="Arial"/>
          <w:color w:val="000000"/>
          <w:szCs w:val="24"/>
          <w:lang w:eastAsia="en-GB"/>
        </w:rPr>
        <w:t xml:space="preserve">The Parties agree that if one Party is held liable under paragraph </w:t>
      </w:r>
      <w:r>
        <w:rPr>
          <w:rFonts w:eastAsia="Arial" w:cs="Arial"/>
          <w:color w:val="000000"/>
          <w:szCs w:val="24"/>
          <w:lang w:eastAsia="en-GB"/>
        </w:rPr>
        <w:fldChar w:fldCharType="begin"/>
      </w:r>
      <w:r>
        <w:rPr>
          <w:rFonts w:eastAsia="Arial" w:cs="Arial"/>
          <w:color w:val="000000"/>
          <w:szCs w:val="24"/>
          <w:lang w:eastAsia="en-GB"/>
        </w:rPr>
        <w:instrText xml:space="preserve"> REF _Ref141249070 \n \h </w:instrText>
      </w:r>
      <w:r>
        <w:rPr>
          <w:rFonts w:eastAsia="Arial" w:cs="Arial"/>
          <w:color w:val="000000"/>
          <w:szCs w:val="24"/>
          <w:lang w:eastAsia="en-GB"/>
        </w:rPr>
      </w:r>
      <w:r>
        <w:rPr>
          <w:rFonts w:eastAsia="Arial" w:cs="Arial"/>
          <w:color w:val="000000"/>
          <w:szCs w:val="24"/>
          <w:lang w:eastAsia="en-GB"/>
        </w:rPr>
        <w:fldChar w:fldCharType="separate"/>
      </w:r>
      <w:r w:rsidR="00302D39">
        <w:rPr>
          <w:rFonts w:eastAsia="Arial" w:cs="Arial"/>
          <w:color w:val="000000"/>
          <w:szCs w:val="24"/>
          <w:lang w:eastAsia="en-GB"/>
        </w:rPr>
        <w:t>(e)</w:t>
      </w:r>
      <w:r>
        <w:rPr>
          <w:rFonts w:eastAsia="Arial" w:cs="Arial"/>
          <w:color w:val="000000"/>
          <w:szCs w:val="24"/>
          <w:lang w:eastAsia="en-GB"/>
        </w:rPr>
        <w:fldChar w:fldCharType="end"/>
      </w:r>
      <w:r w:rsidRPr="00102034">
        <w:rPr>
          <w:rFonts w:eastAsia="Arial" w:cs="Arial"/>
          <w:color w:val="000000"/>
          <w:szCs w:val="24"/>
          <w:lang w:eastAsia="en-GB"/>
        </w:rPr>
        <w:t>, it shall be entitled to claim back from the other Party/ies that part of the compensation corresponding to its/their responsibility for the damage.</w:t>
      </w:r>
    </w:p>
    <w:p w14:paraId="7C35DF1A" w14:textId="77777777" w:rsidR="00F67E9E" w:rsidRPr="00102034" w:rsidRDefault="00F67E9E" w:rsidP="00F67E9E">
      <w:pPr>
        <w:numPr>
          <w:ilvl w:val="1"/>
          <w:numId w:val="264"/>
        </w:numPr>
        <w:pBdr>
          <w:top w:val="nil"/>
          <w:left w:val="nil"/>
          <w:bottom w:val="nil"/>
          <w:right w:val="nil"/>
          <w:between w:val="nil"/>
        </w:pBdr>
        <w:tabs>
          <w:tab w:val="left" w:pos="1440"/>
        </w:tabs>
        <w:spacing w:before="120" w:after="240"/>
        <w:ind w:left="1440" w:hanging="720"/>
        <w:rPr>
          <w:rFonts w:eastAsia="Arial" w:cs="Arial"/>
          <w:color w:val="000000"/>
          <w:szCs w:val="24"/>
          <w:lang w:eastAsia="en-GB"/>
        </w:rPr>
      </w:pPr>
      <w:bookmarkStart w:id="3600" w:name="bookmark=id.29slzgx" w:colFirst="0" w:colLast="0"/>
      <w:bookmarkEnd w:id="3600"/>
      <w:r w:rsidRPr="00102034">
        <w:rPr>
          <w:rFonts w:eastAsia="Arial" w:cs="Arial"/>
          <w:color w:val="000000"/>
          <w:szCs w:val="24"/>
          <w:lang w:eastAsia="en-GB"/>
        </w:rPr>
        <w:t xml:space="preserve">The data </w:t>
      </w:r>
      <w:r w:rsidRPr="00DA1423">
        <w:rPr>
          <w:rFonts w:eastAsia="Arial" w:cs="Arial"/>
          <w:color w:val="000000"/>
        </w:rPr>
        <w:t>importer</w:t>
      </w:r>
      <w:r w:rsidRPr="00102034">
        <w:rPr>
          <w:rFonts w:eastAsia="Arial" w:cs="Arial"/>
          <w:color w:val="000000"/>
          <w:szCs w:val="24"/>
          <w:lang w:eastAsia="en-GB"/>
        </w:rPr>
        <w:t xml:space="preserve"> may not invoke the conduct of a sub-processor to avoid its own liability.</w:t>
      </w:r>
    </w:p>
    <w:p w14:paraId="39BCE5CD" w14:textId="77777777" w:rsidR="00F67E9E" w:rsidRPr="00102034" w:rsidRDefault="00F67E9E" w:rsidP="00F67E9E">
      <w:pPr>
        <w:keepNext/>
        <w:pBdr>
          <w:top w:val="nil"/>
          <w:left w:val="nil"/>
          <w:bottom w:val="nil"/>
          <w:right w:val="nil"/>
          <w:between w:val="nil"/>
        </w:pBdr>
        <w:spacing w:before="120"/>
        <w:jc w:val="center"/>
        <w:rPr>
          <w:rFonts w:eastAsia="Arial" w:cs="Arial"/>
          <w:b/>
          <w:color w:val="000000"/>
          <w:szCs w:val="24"/>
          <w:lang w:eastAsia="en-GB"/>
        </w:rPr>
      </w:pPr>
      <w:r w:rsidRPr="00102034">
        <w:rPr>
          <w:rFonts w:eastAsia="Arial" w:cs="Arial"/>
          <w:b/>
          <w:color w:val="000000"/>
          <w:szCs w:val="24"/>
          <w:lang w:eastAsia="en-GB"/>
        </w:rPr>
        <w:t>CLAUSE 13</w:t>
      </w:r>
    </w:p>
    <w:p w14:paraId="1EC8BEF8" w14:textId="77777777" w:rsidR="00F67E9E" w:rsidRPr="00102034" w:rsidRDefault="00F67E9E" w:rsidP="00F67E9E">
      <w:pPr>
        <w:pBdr>
          <w:top w:val="nil"/>
          <w:left w:val="nil"/>
          <w:bottom w:val="nil"/>
          <w:right w:val="nil"/>
          <w:between w:val="nil"/>
        </w:pBdr>
        <w:spacing w:before="240" w:after="240"/>
        <w:rPr>
          <w:rFonts w:eastAsia="Arial" w:cs="Arial"/>
          <w:b/>
          <w:color w:val="000000"/>
          <w:szCs w:val="24"/>
          <w:lang w:eastAsia="en-GB"/>
        </w:rPr>
      </w:pPr>
      <w:bookmarkStart w:id="3601" w:name="bookmark=id.oxw9oq" w:colFirst="0" w:colLast="0"/>
      <w:bookmarkEnd w:id="3601"/>
      <w:r w:rsidRPr="00102034">
        <w:rPr>
          <w:rFonts w:eastAsia="Arial" w:cs="Arial"/>
          <w:b/>
          <w:color w:val="000000"/>
          <w:szCs w:val="24"/>
          <w:lang w:eastAsia="en-GB"/>
        </w:rPr>
        <w:t>Supervision</w:t>
      </w:r>
    </w:p>
    <w:p w14:paraId="1652ED3D" w14:textId="77777777" w:rsidR="00F67E9E" w:rsidRPr="00102034" w:rsidRDefault="00F67E9E" w:rsidP="00F67E9E">
      <w:pPr>
        <w:numPr>
          <w:ilvl w:val="1"/>
          <w:numId w:val="265"/>
        </w:numPr>
        <w:pBdr>
          <w:top w:val="nil"/>
          <w:left w:val="nil"/>
          <w:bottom w:val="nil"/>
          <w:right w:val="nil"/>
          <w:between w:val="nil"/>
        </w:pBdr>
        <w:tabs>
          <w:tab w:val="left" w:pos="1440"/>
        </w:tabs>
        <w:spacing w:before="120" w:after="240"/>
        <w:ind w:left="1440" w:hanging="720"/>
        <w:rPr>
          <w:rFonts w:eastAsia="Arial" w:cs="Arial"/>
          <w:color w:val="000000"/>
          <w:szCs w:val="24"/>
          <w:lang w:eastAsia="en-GB"/>
        </w:rPr>
      </w:pPr>
      <w:bookmarkStart w:id="3602" w:name="bookmark=id.38xjscj" w:colFirst="0" w:colLast="0"/>
      <w:bookmarkEnd w:id="3602"/>
      <w:r w:rsidRPr="00102034">
        <w:rPr>
          <w:rFonts w:eastAsia="Arial" w:cs="Arial"/>
          <w:color w:val="000000"/>
          <w:szCs w:val="24"/>
          <w:lang w:eastAsia="en-GB"/>
        </w:rPr>
        <w:t>[Where the data exporter is established in an EU Member State:] The supervisory authority with responsibility for ensuring compliance by the data exporter with Regulation (EU) 2016/679 as regards the data transfer, as indicated in Annex I.C, shall act as competent supervisory authority.</w:t>
      </w:r>
    </w:p>
    <w:p w14:paraId="0663F908" w14:textId="77777777" w:rsidR="00F67E9E" w:rsidRPr="00102034" w:rsidRDefault="00F67E9E" w:rsidP="00F67E9E">
      <w:pPr>
        <w:pBdr>
          <w:top w:val="nil"/>
          <w:left w:val="nil"/>
          <w:bottom w:val="nil"/>
          <w:right w:val="nil"/>
          <w:between w:val="nil"/>
        </w:pBdr>
        <w:spacing w:before="120" w:after="240"/>
        <w:ind w:left="1440" w:firstLine="720"/>
        <w:rPr>
          <w:rFonts w:eastAsia="Arial" w:cs="Arial"/>
          <w:color w:val="000000"/>
          <w:szCs w:val="24"/>
          <w:lang w:eastAsia="en-GB"/>
        </w:rPr>
      </w:pPr>
      <w:bookmarkStart w:id="3603" w:name="bookmark=id.1o2u2kc" w:colFirst="0" w:colLast="0"/>
      <w:bookmarkEnd w:id="3603"/>
      <w:r w:rsidRPr="00102034">
        <w:rPr>
          <w:rFonts w:eastAsia="Arial" w:cs="Arial"/>
          <w:color w:val="000000"/>
          <w:szCs w:val="24"/>
          <w:lang w:eastAsia="en-GB"/>
        </w:rPr>
        <w:t>[Where the data exporter is not established in an EU Member State, but falls within the territorial scope of application of Regulation (EU) 2016/679 in accordance with its Article 3(2) and has appointed a representative pursuant to Article 27(1) of Regulation (EU) 2016/679:] The supervisory authority of the Member State in which the representative within the meaning of Article 27(1) of Regulation (EU) 2016/679 is established, as indicated in Annex I.C, shall act as competent supervisory authority.</w:t>
      </w:r>
    </w:p>
    <w:p w14:paraId="44556067" w14:textId="77777777" w:rsidR="00F67E9E" w:rsidRPr="00102034" w:rsidRDefault="00F67E9E" w:rsidP="00F67E9E">
      <w:pPr>
        <w:pBdr>
          <w:top w:val="nil"/>
          <w:left w:val="nil"/>
          <w:bottom w:val="nil"/>
          <w:right w:val="nil"/>
          <w:between w:val="nil"/>
        </w:pBdr>
        <w:spacing w:before="120" w:after="240"/>
        <w:ind w:left="1440" w:firstLine="720"/>
        <w:rPr>
          <w:rFonts w:eastAsia="Arial" w:cs="Arial"/>
          <w:color w:val="000000"/>
          <w:szCs w:val="24"/>
          <w:lang w:eastAsia="en-GB"/>
        </w:rPr>
      </w:pPr>
      <w:bookmarkStart w:id="3604" w:name="bookmark=id.482hl85" w:colFirst="0" w:colLast="0"/>
      <w:bookmarkEnd w:id="3604"/>
      <w:r w:rsidRPr="00102034">
        <w:rPr>
          <w:rFonts w:eastAsia="Arial" w:cs="Arial"/>
          <w:color w:val="000000"/>
          <w:szCs w:val="24"/>
          <w:lang w:eastAsia="en-GB"/>
        </w:rPr>
        <w:t>[Where the data exporter is not established in an EU Member State, but falls within the territorial scope of application of Regulation (EU) 2016/679 in accordance with its Article 3(2) without however having to appoint a representative pursuant to Article 27(2) of Regulation (EU) 2016/679:] The supervisory authority of one of the Member States in which the data subjects whose personal data is transferred under these Clauses in relation to the offering of goods or services to them, or whose behaviour is monitored, are located, as indicated in Annex I.C, shall act as competent supervisory authority.</w:t>
      </w:r>
    </w:p>
    <w:p w14:paraId="1A60279C" w14:textId="77777777" w:rsidR="00F67E9E" w:rsidRPr="00102034" w:rsidRDefault="00F67E9E" w:rsidP="00F67E9E">
      <w:pPr>
        <w:numPr>
          <w:ilvl w:val="1"/>
          <w:numId w:val="265"/>
        </w:numPr>
        <w:pBdr>
          <w:top w:val="nil"/>
          <w:left w:val="nil"/>
          <w:bottom w:val="nil"/>
          <w:right w:val="nil"/>
          <w:between w:val="nil"/>
        </w:pBdr>
        <w:tabs>
          <w:tab w:val="left" w:pos="1440"/>
        </w:tabs>
        <w:spacing w:before="120" w:after="240"/>
        <w:ind w:left="1440" w:hanging="720"/>
        <w:rPr>
          <w:rFonts w:eastAsia="Arial" w:cs="Arial"/>
          <w:color w:val="000000"/>
          <w:szCs w:val="24"/>
          <w:lang w:eastAsia="en-GB"/>
        </w:rPr>
      </w:pPr>
      <w:bookmarkStart w:id="3605" w:name="bookmark=id.2n7rvfy" w:colFirst="0" w:colLast="0"/>
      <w:bookmarkEnd w:id="3605"/>
      <w:r w:rsidRPr="00102034">
        <w:rPr>
          <w:rFonts w:eastAsia="Arial" w:cs="Arial"/>
          <w:color w:val="000000"/>
          <w:szCs w:val="24"/>
          <w:lang w:eastAsia="en-GB"/>
        </w:rPr>
        <w:t>The data importer agrees to submit itself to the jurisdiction of and cooperate with the competent supervisory authority in any procedures aimed at ensuring compliance with these Clauses. In particular, the data importer agrees to respond to enquiries, submit to audits and comply with the measures adopted by the supervisory authority, including remedial and compensatory measures. It shall provide the supervisory authority with written confirmation that the necessary actions have been taken.</w:t>
      </w:r>
    </w:p>
    <w:p w14:paraId="75DC5D7E" w14:textId="77777777" w:rsidR="00F67E9E" w:rsidRPr="00102034" w:rsidRDefault="00F67E9E" w:rsidP="00F67E9E">
      <w:pPr>
        <w:pBdr>
          <w:top w:val="nil"/>
          <w:left w:val="nil"/>
          <w:bottom w:val="nil"/>
          <w:right w:val="nil"/>
          <w:between w:val="nil"/>
        </w:pBdr>
        <w:spacing w:before="120"/>
        <w:jc w:val="center"/>
        <w:rPr>
          <w:rFonts w:eastAsia="Arial" w:cs="Arial"/>
          <w:b/>
          <w:color w:val="000000"/>
          <w:szCs w:val="24"/>
          <w:lang w:eastAsia="en-GB"/>
        </w:rPr>
      </w:pPr>
      <w:r w:rsidRPr="00102034">
        <w:rPr>
          <w:rFonts w:eastAsia="Arial" w:cs="Arial"/>
          <w:b/>
          <w:color w:val="000000"/>
          <w:szCs w:val="24"/>
          <w:lang w:eastAsia="en-GB"/>
        </w:rPr>
        <w:t>SECTION III – LOCAL LAWS AND OBLIGATIONS IN CASE OF ACCESS BY PUBLIC AUTHORITIES</w:t>
      </w:r>
    </w:p>
    <w:p w14:paraId="21FB921A" w14:textId="77777777" w:rsidR="00F67E9E" w:rsidRPr="00102034" w:rsidRDefault="00F67E9E" w:rsidP="00F67E9E">
      <w:pPr>
        <w:pBdr>
          <w:top w:val="nil"/>
          <w:left w:val="nil"/>
          <w:bottom w:val="nil"/>
          <w:right w:val="nil"/>
          <w:between w:val="nil"/>
        </w:pBdr>
        <w:spacing w:before="120"/>
        <w:jc w:val="center"/>
        <w:rPr>
          <w:rFonts w:eastAsia="Arial" w:cs="Arial"/>
          <w:b/>
          <w:color w:val="000000"/>
          <w:szCs w:val="24"/>
          <w:lang w:eastAsia="en-GB"/>
        </w:rPr>
      </w:pPr>
      <w:r w:rsidRPr="00102034">
        <w:rPr>
          <w:rFonts w:eastAsia="Arial" w:cs="Arial"/>
          <w:b/>
          <w:color w:val="000000"/>
          <w:szCs w:val="24"/>
          <w:lang w:eastAsia="en-GB"/>
        </w:rPr>
        <w:t>CLAUSE 14</w:t>
      </w:r>
    </w:p>
    <w:p w14:paraId="4B20B581" w14:textId="77777777" w:rsidR="00F67E9E" w:rsidRPr="00102034" w:rsidRDefault="00F67E9E" w:rsidP="00F67E9E">
      <w:pPr>
        <w:pBdr>
          <w:top w:val="nil"/>
          <w:left w:val="nil"/>
          <w:bottom w:val="nil"/>
          <w:right w:val="nil"/>
          <w:between w:val="nil"/>
        </w:pBdr>
        <w:spacing w:before="240" w:after="240"/>
        <w:rPr>
          <w:rFonts w:eastAsia="Arial" w:cs="Arial"/>
          <w:b/>
          <w:color w:val="000000"/>
          <w:szCs w:val="24"/>
          <w:lang w:eastAsia="en-GB"/>
        </w:rPr>
      </w:pPr>
      <w:bookmarkStart w:id="3606" w:name="bookmark=id.12d25nr" w:colFirst="0" w:colLast="0"/>
      <w:bookmarkEnd w:id="3606"/>
      <w:r w:rsidRPr="00102034">
        <w:rPr>
          <w:rFonts w:eastAsia="Arial" w:cs="Arial"/>
          <w:b/>
          <w:color w:val="000000"/>
          <w:szCs w:val="24"/>
          <w:lang w:eastAsia="en-GB"/>
        </w:rPr>
        <w:t>Local laws and practices affecting compliance with the Clauses</w:t>
      </w:r>
    </w:p>
    <w:p w14:paraId="40DFE955" w14:textId="77777777" w:rsidR="00F67E9E" w:rsidRPr="00102034" w:rsidRDefault="00F67E9E" w:rsidP="00F67E9E">
      <w:pPr>
        <w:numPr>
          <w:ilvl w:val="1"/>
          <w:numId w:val="266"/>
        </w:numPr>
        <w:pBdr>
          <w:top w:val="nil"/>
          <w:left w:val="nil"/>
          <w:bottom w:val="nil"/>
          <w:right w:val="nil"/>
          <w:between w:val="nil"/>
        </w:pBdr>
        <w:tabs>
          <w:tab w:val="left" w:pos="1440"/>
        </w:tabs>
        <w:spacing w:before="120" w:after="240"/>
        <w:ind w:left="1440" w:hanging="720"/>
        <w:rPr>
          <w:rFonts w:eastAsia="Arial" w:cs="Arial"/>
          <w:color w:val="000000"/>
          <w:szCs w:val="24"/>
          <w:lang w:eastAsia="en-GB"/>
        </w:rPr>
      </w:pPr>
      <w:bookmarkStart w:id="3607" w:name="bookmark=id.3mcpobk" w:colFirst="0" w:colLast="0"/>
      <w:bookmarkStart w:id="3608" w:name="_Ref141249114"/>
      <w:bookmarkEnd w:id="3607"/>
      <w:r w:rsidRPr="00102034">
        <w:rPr>
          <w:rFonts w:eastAsia="Arial" w:cs="Arial"/>
          <w:color w:val="000000"/>
          <w:szCs w:val="24"/>
          <w:lang w:eastAsia="en-GB"/>
        </w:rPr>
        <w:t>The Parties warrant that they have no reason to believe that the laws and practices in the third country of destination applicable to the processing of the personal data by the data importer, including any requirements to disclose personal data or measures authorising access by public authorities, prevent the data importer from fulfilling its obligations under these Clauses. This is based on the understanding that laws and practices that respect the essence of the fundamental rights and freedoms and do not exceed what is necessary and proportionate in a democratic society to safeguard one of the objectives listed in Article 23(1) of Regulation (EU) 2016/679, are not in contradiction with these Clauses.</w:t>
      </w:r>
      <w:bookmarkEnd w:id="3608"/>
    </w:p>
    <w:p w14:paraId="6907490E" w14:textId="43F66598" w:rsidR="00F67E9E" w:rsidRPr="00102034" w:rsidRDefault="00F67E9E" w:rsidP="00F67E9E">
      <w:pPr>
        <w:numPr>
          <w:ilvl w:val="1"/>
          <w:numId w:val="266"/>
        </w:numPr>
        <w:pBdr>
          <w:top w:val="nil"/>
          <w:left w:val="nil"/>
          <w:bottom w:val="nil"/>
          <w:right w:val="nil"/>
          <w:between w:val="nil"/>
        </w:pBdr>
        <w:tabs>
          <w:tab w:val="left" w:pos="1440"/>
        </w:tabs>
        <w:spacing w:before="120" w:after="240"/>
        <w:ind w:left="1440" w:hanging="720"/>
        <w:rPr>
          <w:rFonts w:eastAsia="Arial" w:cs="Arial"/>
          <w:color w:val="000000"/>
          <w:szCs w:val="24"/>
          <w:lang w:eastAsia="en-GB"/>
        </w:rPr>
      </w:pPr>
      <w:bookmarkStart w:id="3609" w:name="bookmark=id.21hzyjd" w:colFirst="0" w:colLast="0"/>
      <w:bookmarkStart w:id="3610" w:name="_Ref141249135"/>
      <w:bookmarkEnd w:id="3609"/>
      <w:r w:rsidRPr="00102034">
        <w:rPr>
          <w:rFonts w:eastAsia="Arial" w:cs="Arial"/>
          <w:color w:val="000000"/>
          <w:szCs w:val="24"/>
          <w:lang w:eastAsia="en-GB"/>
        </w:rPr>
        <w:t>The Parties declare that in providing the warranty in paragraph ‎</w:t>
      </w:r>
      <w:r>
        <w:rPr>
          <w:rFonts w:eastAsia="Arial" w:cs="Arial"/>
          <w:color w:val="000000"/>
          <w:szCs w:val="24"/>
          <w:lang w:eastAsia="en-GB"/>
        </w:rPr>
        <w:fldChar w:fldCharType="begin"/>
      </w:r>
      <w:r>
        <w:rPr>
          <w:rFonts w:eastAsia="Arial" w:cs="Arial"/>
          <w:color w:val="000000"/>
          <w:szCs w:val="24"/>
          <w:lang w:eastAsia="en-GB"/>
        </w:rPr>
        <w:instrText xml:space="preserve"> REF _Ref141249114 \n \h </w:instrText>
      </w:r>
      <w:r>
        <w:rPr>
          <w:rFonts w:eastAsia="Arial" w:cs="Arial"/>
          <w:color w:val="000000"/>
          <w:szCs w:val="24"/>
          <w:lang w:eastAsia="en-GB"/>
        </w:rPr>
      </w:r>
      <w:r>
        <w:rPr>
          <w:rFonts w:eastAsia="Arial" w:cs="Arial"/>
          <w:color w:val="000000"/>
          <w:szCs w:val="24"/>
          <w:lang w:eastAsia="en-GB"/>
        </w:rPr>
        <w:fldChar w:fldCharType="separate"/>
      </w:r>
      <w:r w:rsidR="00302D39">
        <w:rPr>
          <w:rFonts w:eastAsia="Arial" w:cs="Arial"/>
          <w:color w:val="000000"/>
          <w:szCs w:val="24"/>
          <w:lang w:eastAsia="en-GB"/>
        </w:rPr>
        <w:t>(a)</w:t>
      </w:r>
      <w:r>
        <w:rPr>
          <w:rFonts w:eastAsia="Arial" w:cs="Arial"/>
          <w:color w:val="000000"/>
          <w:szCs w:val="24"/>
          <w:lang w:eastAsia="en-GB"/>
        </w:rPr>
        <w:fldChar w:fldCharType="end"/>
      </w:r>
      <w:r w:rsidRPr="00102034">
        <w:rPr>
          <w:rFonts w:eastAsia="Arial" w:cs="Arial"/>
          <w:color w:val="000000"/>
          <w:szCs w:val="24"/>
          <w:lang w:eastAsia="en-GB"/>
        </w:rPr>
        <w:t>, they have taken due account in particular of the following elements:</w:t>
      </w:r>
      <w:bookmarkEnd w:id="3610"/>
    </w:p>
    <w:p w14:paraId="578A7C7F" w14:textId="77777777" w:rsidR="00F67E9E" w:rsidRPr="00C2601C" w:rsidRDefault="00F67E9E" w:rsidP="00F67E9E">
      <w:pPr>
        <w:pStyle w:val="RecitalNumbering3"/>
        <w:numPr>
          <w:ilvl w:val="2"/>
          <w:numId w:val="267"/>
        </w:numPr>
        <w:pBdr>
          <w:top w:val="nil"/>
          <w:left w:val="nil"/>
          <w:bottom w:val="nil"/>
          <w:right w:val="nil"/>
          <w:between w:val="nil"/>
        </w:pBdr>
        <w:spacing w:before="120"/>
        <w:ind w:left="2160" w:hanging="720"/>
        <w:rPr>
          <w:rFonts w:asciiTheme="minorHAnsi" w:eastAsia="Arial" w:hAnsiTheme="minorHAnsi" w:cstheme="minorHAnsi"/>
          <w:color w:val="000000"/>
          <w:sz w:val="24"/>
          <w:szCs w:val="24"/>
          <w:lang w:eastAsia="en-GB"/>
        </w:rPr>
      </w:pPr>
      <w:bookmarkStart w:id="3611" w:name="bookmark=id.gna8r6" w:colFirst="0" w:colLast="0"/>
      <w:bookmarkEnd w:id="3611"/>
      <w:r w:rsidRPr="00C2601C">
        <w:rPr>
          <w:rFonts w:asciiTheme="minorHAnsi" w:eastAsia="Arial" w:hAnsiTheme="minorHAnsi" w:cstheme="minorHAnsi"/>
          <w:color w:val="000000"/>
          <w:sz w:val="24"/>
          <w:szCs w:val="24"/>
          <w:lang w:eastAsia="en-GB"/>
        </w:rPr>
        <w:t>the specific circumstances of the transfer, including the length of the processing chain, the number of actors involved and the transmission channels used; intended onward transfers; the type of recipient; the purpose of processing; the categories and format of the transferred personal data; the economic sector in which the transfer occurs; the storage location of the data transferred;</w:t>
      </w:r>
    </w:p>
    <w:p w14:paraId="76D6E8E1" w14:textId="77777777" w:rsidR="00F67E9E" w:rsidRPr="00102034" w:rsidRDefault="00F67E9E" w:rsidP="00F67E9E">
      <w:pPr>
        <w:numPr>
          <w:ilvl w:val="2"/>
          <w:numId w:val="18"/>
        </w:numPr>
        <w:pBdr>
          <w:top w:val="nil"/>
          <w:left w:val="nil"/>
          <w:bottom w:val="nil"/>
          <w:right w:val="nil"/>
          <w:between w:val="nil"/>
        </w:pBdr>
        <w:spacing w:before="120" w:after="240"/>
        <w:ind w:left="2160" w:hanging="720"/>
        <w:rPr>
          <w:rFonts w:eastAsia="Arial" w:cs="Arial"/>
          <w:color w:val="000000"/>
          <w:szCs w:val="24"/>
          <w:lang w:eastAsia="en-GB"/>
        </w:rPr>
      </w:pPr>
      <w:bookmarkStart w:id="3612" w:name="bookmark=id.30mxrez" w:colFirst="0" w:colLast="0"/>
      <w:bookmarkEnd w:id="3612"/>
      <w:r w:rsidRPr="00102034">
        <w:rPr>
          <w:rFonts w:eastAsia="Arial" w:cs="Arial"/>
          <w:color w:val="000000"/>
          <w:szCs w:val="24"/>
          <w:lang w:eastAsia="en-GB"/>
        </w:rPr>
        <w:t>the laws and practices of the third country of destination – including those requiring the disclosure of data to public authorities or authorising access by such authorities – relevant in light of the specific circumstances of the transfer, and the applicable limitations and safeguards[</w:t>
      </w:r>
      <w:hyperlink w:anchor="bookmark=id.3g0lcje">
        <w:r w:rsidRPr="00102034">
          <w:rPr>
            <w:rFonts w:eastAsia="Arial" w:cs="Arial"/>
            <w:color w:val="0000FF"/>
            <w:szCs w:val="24"/>
            <w:u w:val="single"/>
            <w:lang w:eastAsia="en-GB"/>
          </w:rPr>
          <w:t>FN12</w:t>
        </w:r>
      </w:hyperlink>
      <w:r w:rsidRPr="00102034">
        <w:rPr>
          <w:rFonts w:eastAsia="Arial" w:cs="Arial"/>
          <w:color w:val="000000"/>
          <w:szCs w:val="24"/>
          <w:lang w:eastAsia="en-GB"/>
        </w:rPr>
        <w:t>];</w:t>
      </w:r>
    </w:p>
    <w:p w14:paraId="2DB0EA4A" w14:textId="77777777" w:rsidR="00F67E9E" w:rsidRPr="00102034" w:rsidRDefault="00F67E9E" w:rsidP="00F67E9E">
      <w:pPr>
        <w:numPr>
          <w:ilvl w:val="2"/>
          <w:numId w:val="18"/>
        </w:numPr>
        <w:pBdr>
          <w:top w:val="nil"/>
          <w:left w:val="nil"/>
          <w:bottom w:val="nil"/>
          <w:right w:val="nil"/>
          <w:between w:val="nil"/>
        </w:pBdr>
        <w:spacing w:before="120" w:after="240"/>
        <w:ind w:left="2160" w:hanging="720"/>
        <w:rPr>
          <w:rFonts w:eastAsia="Arial" w:cs="Arial"/>
          <w:color w:val="000000"/>
          <w:szCs w:val="24"/>
          <w:lang w:eastAsia="en-GB"/>
        </w:rPr>
      </w:pPr>
      <w:bookmarkStart w:id="3613" w:name="bookmark=id.1fs81ms" w:colFirst="0" w:colLast="0"/>
      <w:bookmarkEnd w:id="3613"/>
      <w:r w:rsidRPr="00102034">
        <w:rPr>
          <w:rFonts w:eastAsia="Arial" w:cs="Arial"/>
          <w:color w:val="000000"/>
          <w:szCs w:val="24"/>
          <w:lang w:eastAsia="en-GB"/>
        </w:rPr>
        <w:t>any relevant contractual, technical or organisational safeguards put in place to supplement the safeguards under these Clauses, including measures applied during transmission and to the processing of the personal data in the country of destination.</w:t>
      </w:r>
    </w:p>
    <w:p w14:paraId="7718D7BF" w14:textId="61EFA67C" w:rsidR="00F67E9E" w:rsidRPr="00102034" w:rsidRDefault="00F67E9E" w:rsidP="00F67E9E">
      <w:pPr>
        <w:numPr>
          <w:ilvl w:val="1"/>
          <w:numId w:val="266"/>
        </w:numPr>
        <w:pBdr>
          <w:top w:val="nil"/>
          <w:left w:val="nil"/>
          <w:bottom w:val="nil"/>
          <w:right w:val="nil"/>
          <w:between w:val="nil"/>
        </w:pBdr>
        <w:tabs>
          <w:tab w:val="left" w:pos="1440"/>
        </w:tabs>
        <w:spacing w:before="120" w:after="240"/>
        <w:ind w:left="1440" w:hanging="720"/>
        <w:rPr>
          <w:rFonts w:eastAsia="Arial" w:cs="Arial"/>
          <w:color w:val="000000"/>
          <w:szCs w:val="24"/>
          <w:lang w:eastAsia="en-GB"/>
        </w:rPr>
      </w:pPr>
      <w:bookmarkStart w:id="3614" w:name="bookmark=id.3zrvkal" w:colFirst="0" w:colLast="0"/>
      <w:bookmarkEnd w:id="3614"/>
      <w:r w:rsidRPr="00102034">
        <w:rPr>
          <w:rFonts w:eastAsia="Arial" w:cs="Arial"/>
          <w:color w:val="000000"/>
          <w:szCs w:val="24"/>
          <w:lang w:eastAsia="en-GB"/>
        </w:rPr>
        <w:t>The data importer warrants that, in carrying out the assessment under paragraph ‎</w:t>
      </w:r>
      <w:r>
        <w:rPr>
          <w:rFonts w:eastAsia="Arial" w:cs="Arial"/>
          <w:color w:val="000000"/>
          <w:szCs w:val="24"/>
          <w:lang w:eastAsia="en-GB"/>
        </w:rPr>
        <w:fldChar w:fldCharType="begin"/>
      </w:r>
      <w:r>
        <w:rPr>
          <w:rFonts w:eastAsia="Arial" w:cs="Arial"/>
          <w:color w:val="000000"/>
          <w:szCs w:val="24"/>
          <w:lang w:eastAsia="en-GB"/>
        </w:rPr>
        <w:instrText xml:space="preserve"> REF _Ref141249135 \n \h </w:instrText>
      </w:r>
      <w:r>
        <w:rPr>
          <w:rFonts w:eastAsia="Arial" w:cs="Arial"/>
          <w:color w:val="000000"/>
          <w:szCs w:val="24"/>
          <w:lang w:eastAsia="en-GB"/>
        </w:rPr>
      </w:r>
      <w:r>
        <w:rPr>
          <w:rFonts w:eastAsia="Arial" w:cs="Arial"/>
          <w:color w:val="000000"/>
          <w:szCs w:val="24"/>
          <w:lang w:eastAsia="en-GB"/>
        </w:rPr>
        <w:fldChar w:fldCharType="separate"/>
      </w:r>
      <w:r w:rsidR="00302D39">
        <w:rPr>
          <w:rFonts w:eastAsia="Arial" w:cs="Arial"/>
          <w:color w:val="000000"/>
          <w:szCs w:val="24"/>
          <w:lang w:eastAsia="en-GB"/>
        </w:rPr>
        <w:t>(b)</w:t>
      </w:r>
      <w:r>
        <w:rPr>
          <w:rFonts w:eastAsia="Arial" w:cs="Arial"/>
          <w:color w:val="000000"/>
          <w:szCs w:val="24"/>
          <w:lang w:eastAsia="en-GB"/>
        </w:rPr>
        <w:fldChar w:fldCharType="end"/>
      </w:r>
      <w:r w:rsidRPr="00102034">
        <w:rPr>
          <w:rFonts w:eastAsia="Arial" w:cs="Arial"/>
          <w:color w:val="000000"/>
          <w:szCs w:val="24"/>
          <w:lang w:eastAsia="en-GB"/>
        </w:rPr>
        <w:t>, it has made its best efforts to provide the data exporter with relevant information and agrees that it will continue to cooperate with the data exporter in ensuring compliance with these Clauses.</w:t>
      </w:r>
    </w:p>
    <w:p w14:paraId="0F19A371" w14:textId="4D20BC93" w:rsidR="00F67E9E" w:rsidRPr="00102034" w:rsidRDefault="00F67E9E" w:rsidP="00F67E9E">
      <w:pPr>
        <w:numPr>
          <w:ilvl w:val="1"/>
          <w:numId w:val="266"/>
        </w:numPr>
        <w:pBdr>
          <w:top w:val="nil"/>
          <w:left w:val="nil"/>
          <w:bottom w:val="nil"/>
          <w:right w:val="nil"/>
          <w:between w:val="nil"/>
        </w:pBdr>
        <w:tabs>
          <w:tab w:val="left" w:pos="1440"/>
        </w:tabs>
        <w:spacing w:before="120" w:after="240"/>
        <w:ind w:left="1440" w:hanging="720"/>
        <w:rPr>
          <w:rFonts w:eastAsia="Arial" w:cs="Arial"/>
          <w:color w:val="000000"/>
          <w:szCs w:val="24"/>
          <w:lang w:eastAsia="en-GB"/>
        </w:rPr>
      </w:pPr>
      <w:bookmarkStart w:id="3615" w:name="bookmark=id.2ex5uie" w:colFirst="0" w:colLast="0"/>
      <w:bookmarkEnd w:id="3615"/>
      <w:r w:rsidRPr="00102034">
        <w:rPr>
          <w:rFonts w:eastAsia="Arial" w:cs="Arial"/>
          <w:color w:val="000000"/>
          <w:szCs w:val="24"/>
          <w:lang w:eastAsia="en-GB"/>
        </w:rPr>
        <w:t xml:space="preserve">The Parties agree to document the assessment under paragraph </w:t>
      </w:r>
      <w:r>
        <w:rPr>
          <w:rFonts w:eastAsia="Arial" w:cs="Arial"/>
          <w:color w:val="000000"/>
          <w:szCs w:val="24"/>
          <w:lang w:eastAsia="en-GB"/>
        </w:rPr>
        <w:fldChar w:fldCharType="begin"/>
      </w:r>
      <w:r>
        <w:rPr>
          <w:rFonts w:eastAsia="Arial" w:cs="Arial"/>
          <w:color w:val="000000"/>
          <w:szCs w:val="24"/>
          <w:lang w:eastAsia="en-GB"/>
        </w:rPr>
        <w:instrText xml:space="preserve"> REF _Ref141249135 \n \h </w:instrText>
      </w:r>
      <w:r>
        <w:rPr>
          <w:rFonts w:eastAsia="Arial" w:cs="Arial"/>
          <w:color w:val="000000"/>
          <w:szCs w:val="24"/>
          <w:lang w:eastAsia="en-GB"/>
        </w:rPr>
      </w:r>
      <w:r>
        <w:rPr>
          <w:rFonts w:eastAsia="Arial" w:cs="Arial"/>
          <w:color w:val="000000"/>
          <w:szCs w:val="24"/>
          <w:lang w:eastAsia="en-GB"/>
        </w:rPr>
        <w:fldChar w:fldCharType="separate"/>
      </w:r>
      <w:r w:rsidR="00302D39">
        <w:rPr>
          <w:rFonts w:eastAsia="Arial" w:cs="Arial"/>
          <w:color w:val="000000"/>
          <w:szCs w:val="24"/>
          <w:lang w:eastAsia="en-GB"/>
        </w:rPr>
        <w:t>(b)</w:t>
      </w:r>
      <w:r>
        <w:rPr>
          <w:rFonts w:eastAsia="Arial" w:cs="Arial"/>
          <w:color w:val="000000"/>
          <w:szCs w:val="24"/>
          <w:lang w:eastAsia="en-GB"/>
        </w:rPr>
        <w:fldChar w:fldCharType="end"/>
      </w:r>
      <w:r w:rsidRPr="00102034">
        <w:rPr>
          <w:rFonts w:eastAsia="Arial" w:cs="Arial"/>
          <w:color w:val="000000"/>
          <w:szCs w:val="24"/>
          <w:lang w:eastAsia="en-GB"/>
        </w:rPr>
        <w:t xml:space="preserve"> and make it available to the competent supervisory authority on request.</w:t>
      </w:r>
    </w:p>
    <w:p w14:paraId="659FCCA3" w14:textId="3EA5A401" w:rsidR="00F67E9E" w:rsidRPr="00102034" w:rsidRDefault="00F67E9E" w:rsidP="00F67E9E">
      <w:pPr>
        <w:numPr>
          <w:ilvl w:val="1"/>
          <w:numId w:val="266"/>
        </w:numPr>
        <w:pBdr>
          <w:top w:val="nil"/>
          <w:left w:val="nil"/>
          <w:bottom w:val="nil"/>
          <w:right w:val="nil"/>
          <w:between w:val="nil"/>
        </w:pBdr>
        <w:tabs>
          <w:tab w:val="left" w:pos="1440"/>
        </w:tabs>
        <w:spacing w:before="120" w:after="240"/>
        <w:ind w:left="1440" w:hanging="720"/>
        <w:rPr>
          <w:rFonts w:eastAsia="Arial" w:cs="Arial"/>
          <w:color w:val="000000"/>
          <w:szCs w:val="24"/>
          <w:lang w:eastAsia="en-GB"/>
        </w:rPr>
      </w:pPr>
      <w:bookmarkStart w:id="3616" w:name="bookmark=id.u2g4q7" w:colFirst="0" w:colLast="0"/>
      <w:bookmarkStart w:id="3617" w:name="_Ref141249179"/>
      <w:bookmarkEnd w:id="3616"/>
      <w:r w:rsidRPr="00102034">
        <w:rPr>
          <w:rFonts w:eastAsia="Arial" w:cs="Arial"/>
          <w:color w:val="000000"/>
          <w:szCs w:val="24"/>
          <w:lang w:eastAsia="en-GB"/>
        </w:rPr>
        <w:t xml:space="preserve">The data importer agrees to notify the data exporter promptly if, after having agreed to these Clauses and for the duration of the contract, it has reason to believe that it is or has become subject to laws or practices not in line with the requirements under paragraph </w:t>
      </w:r>
      <w:r>
        <w:rPr>
          <w:rFonts w:eastAsia="Arial" w:cs="Arial"/>
          <w:color w:val="000000"/>
          <w:szCs w:val="24"/>
          <w:lang w:eastAsia="en-GB"/>
        </w:rPr>
        <w:fldChar w:fldCharType="begin"/>
      </w:r>
      <w:r>
        <w:rPr>
          <w:rFonts w:eastAsia="Arial" w:cs="Arial"/>
          <w:color w:val="000000"/>
          <w:szCs w:val="24"/>
          <w:lang w:eastAsia="en-GB"/>
        </w:rPr>
        <w:instrText xml:space="preserve"> REF _Ref141249114 \n \h </w:instrText>
      </w:r>
      <w:r>
        <w:rPr>
          <w:rFonts w:eastAsia="Arial" w:cs="Arial"/>
          <w:color w:val="000000"/>
          <w:szCs w:val="24"/>
          <w:lang w:eastAsia="en-GB"/>
        </w:rPr>
      </w:r>
      <w:r>
        <w:rPr>
          <w:rFonts w:eastAsia="Arial" w:cs="Arial"/>
          <w:color w:val="000000"/>
          <w:szCs w:val="24"/>
          <w:lang w:eastAsia="en-GB"/>
        </w:rPr>
        <w:fldChar w:fldCharType="separate"/>
      </w:r>
      <w:r w:rsidR="00302D39">
        <w:rPr>
          <w:rFonts w:eastAsia="Arial" w:cs="Arial"/>
          <w:color w:val="000000"/>
          <w:szCs w:val="24"/>
          <w:lang w:eastAsia="en-GB"/>
        </w:rPr>
        <w:t>(a)</w:t>
      </w:r>
      <w:r>
        <w:rPr>
          <w:rFonts w:eastAsia="Arial" w:cs="Arial"/>
          <w:color w:val="000000"/>
          <w:szCs w:val="24"/>
          <w:lang w:eastAsia="en-GB"/>
        </w:rPr>
        <w:fldChar w:fldCharType="end"/>
      </w:r>
      <w:r w:rsidRPr="00102034">
        <w:rPr>
          <w:rFonts w:eastAsia="Arial" w:cs="Arial"/>
          <w:color w:val="000000"/>
          <w:szCs w:val="24"/>
          <w:lang w:eastAsia="en-GB"/>
        </w:rPr>
        <w:t xml:space="preserve">, including following a change in the laws of the third country or a measure (such as a disclosure request) indicating an application of such laws in practice that is not in line with the requirements in paragraph </w:t>
      </w:r>
      <w:r>
        <w:rPr>
          <w:rFonts w:eastAsia="Arial" w:cs="Arial"/>
          <w:color w:val="000000"/>
          <w:szCs w:val="24"/>
          <w:lang w:eastAsia="en-GB"/>
        </w:rPr>
        <w:fldChar w:fldCharType="begin"/>
      </w:r>
      <w:r>
        <w:rPr>
          <w:rFonts w:eastAsia="Arial" w:cs="Arial"/>
          <w:color w:val="000000"/>
          <w:szCs w:val="24"/>
          <w:lang w:eastAsia="en-GB"/>
        </w:rPr>
        <w:instrText xml:space="preserve"> REF _Ref141249114 \n \h </w:instrText>
      </w:r>
      <w:r>
        <w:rPr>
          <w:rFonts w:eastAsia="Arial" w:cs="Arial"/>
          <w:color w:val="000000"/>
          <w:szCs w:val="24"/>
          <w:lang w:eastAsia="en-GB"/>
        </w:rPr>
      </w:r>
      <w:r>
        <w:rPr>
          <w:rFonts w:eastAsia="Arial" w:cs="Arial"/>
          <w:color w:val="000000"/>
          <w:szCs w:val="24"/>
          <w:lang w:eastAsia="en-GB"/>
        </w:rPr>
        <w:fldChar w:fldCharType="separate"/>
      </w:r>
      <w:r w:rsidR="00302D39">
        <w:rPr>
          <w:rFonts w:eastAsia="Arial" w:cs="Arial"/>
          <w:color w:val="000000"/>
          <w:szCs w:val="24"/>
          <w:lang w:eastAsia="en-GB"/>
        </w:rPr>
        <w:t>(a)</w:t>
      </w:r>
      <w:r>
        <w:rPr>
          <w:rFonts w:eastAsia="Arial" w:cs="Arial"/>
          <w:color w:val="000000"/>
          <w:szCs w:val="24"/>
          <w:lang w:eastAsia="en-GB"/>
        </w:rPr>
        <w:fldChar w:fldCharType="end"/>
      </w:r>
      <w:r w:rsidRPr="00102034">
        <w:rPr>
          <w:rFonts w:eastAsia="Arial" w:cs="Arial"/>
          <w:color w:val="000000"/>
          <w:szCs w:val="24"/>
          <w:lang w:eastAsia="en-GB"/>
        </w:rPr>
        <w:t>. The data exporter shall forward the notification to the controller.</w:t>
      </w:r>
      <w:bookmarkEnd w:id="3617"/>
    </w:p>
    <w:p w14:paraId="3E7A77F6" w14:textId="33F214ED" w:rsidR="00F67E9E" w:rsidRPr="00102034" w:rsidRDefault="00F67E9E" w:rsidP="00F67E9E">
      <w:pPr>
        <w:numPr>
          <w:ilvl w:val="1"/>
          <w:numId w:val="266"/>
        </w:numPr>
        <w:pBdr>
          <w:top w:val="nil"/>
          <w:left w:val="nil"/>
          <w:bottom w:val="nil"/>
          <w:right w:val="nil"/>
          <w:between w:val="nil"/>
        </w:pBdr>
        <w:tabs>
          <w:tab w:val="left" w:pos="1440"/>
        </w:tabs>
        <w:spacing w:before="120" w:after="240"/>
        <w:ind w:left="1440" w:hanging="720"/>
        <w:rPr>
          <w:rFonts w:eastAsia="Arial" w:cs="Arial"/>
          <w:color w:val="000000"/>
          <w:szCs w:val="24"/>
          <w:lang w:eastAsia="en-GB"/>
        </w:rPr>
      </w:pPr>
      <w:bookmarkStart w:id="3618" w:name="bookmark=id.3e23ne0" w:colFirst="0" w:colLast="0"/>
      <w:bookmarkEnd w:id="3618"/>
      <w:r w:rsidRPr="00102034">
        <w:rPr>
          <w:rFonts w:eastAsia="Arial" w:cs="Arial"/>
          <w:color w:val="000000"/>
          <w:szCs w:val="24"/>
          <w:lang w:eastAsia="en-GB"/>
        </w:rPr>
        <w:t>Following a notification pursuant to paragraph ‎</w:t>
      </w:r>
      <w:r>
        <w:rPr>
          <w:rFonts w:eastAsia="Arial" w:cs="Arial"/>
          <w:color w:val="000000"/>
          <w:szCs w:val="24"/>
          <w:lang w:eastAsia="en-GB"/>
        </w:rPr>
        <w:fldChar w:fldCharType="begin"/>
      </w:r>
      <w:r>
        <w:rPr>
          <w:rFonts w:eastAsia="Arial" w:cs="Arial"/>
          <w:color w:val="000000"/>
          <w:szCs w:val="24"/>
          <w:lang w:eastAsia="en-GB"/>
        </w:rPr>
        <w:instrText xml:space="preserve"> REF _Ref141249179 \n \h </w:instrText>
      </w:r>
      <w:r>
        <w:rPr>
          <w:rFonts w:eastAsia="Arial" w:cs="Arial"/>
          <w:color w:val="000000"/>
          <w:szCs w:val="24"/>
          <w:lang w:eastAsia="en-GB"/>
        </w:rPr>
      </w:r>
      <w:r>
        <w:rPr>
          <w:rFonts w:eastAsia="Arial" w:cs="Arial"/>
          <w:color w:val="000000"/>
          <w:szCs w:val="24"/>
          <w:lang w:eastAsia="en-GB"/>
        </w:rPr>
        <w:fldChar w:fldCharType="separate"/>
      </w:r>
      <w:r w:rsidR="00302D39">
        <w:rPr>
          <w:rFonts w:eastAsia="Arial" w:cs="Arial"/>
          <w:color w:val="000000"/>
          <w:szCs w:val="24"/>
          <w:lang w:eastAsia="en-GB"/>
        </w:rPr>
        <w:t>(e)</w:t>
      </w:r>
      <w:r>
        <w:rPr>
          <w:rFonts w:eastAsia="Arial" w:cs="Arial"/>
          <w:color w:val="000000"/>
          <w:szCs w:val="24"/>
          <w:lang w:eastAsia="en-GB"/>
        </w:rPr>
        <w:fldChar w:fldCharType="end"/>
      </w:r>
      <w:r w:rsidRPr="00102034">
        <w:rPr>
          <w:rFonts w:eastAsia="Arial" w:cs="Arial"/>
          <w:color w:val="000000"/>
          <w:szCs w:val="24"/>
          <w:lang w:eastAsia="en-GB"/>
        </w:rPr>
        <w:t>, or if the data exporter otherwise has reason to believe that the data importer can no longer fulfil its obligations under these Clauses, the data exporter shall promptly identify appropriate measures (e.g. technical or organisational measures to ensure security and confidentiality) to be adopted by the data exporter and/or data importer to address the situation, if appropriate in consultation with the controller. The data exporter shall suspend the data transfer if it considers that no appropriate safeguards for such transfer can be ensured, or if instructed by the controller or the competent supervisory authority to do so. In this case, the data exporter shall be entitled to terminate the contract, insofar as it concerns the processing of personal data under these Clauses. If the contract involves more than two Parties, the data exporter may exercise this right to termination only with respect to the relevant Party, unless the Parties have agreed otherwise. Where the contract is terminated pursuant to this Clause, Clause 16(d) and (e) shall apply.</w:t>
      </w:r>
    </w:p>
    <w:p w14:paraId="7B58DDAC" w14:textId="77777777" w:rsidR="00F67E9E" w:rsidRPr="00102034" w:rsidRDefault="00F67E9E" w:rsidP="00F67E9E">
      <w:pPr>
        <w:pBdr>
          <w:top w:val="nil"/>
          <w:left w:val="nil"/>
          <w:bottom w:val="nil"/>
          <w:right w:val="nil"/>
          <w:between w:val="nil"/>
        </w:pBdr>
        <w:spacing w:before="120"/>
        <w:jc w:val="center"/>
        <w:rPr>
          <w:rFonts w:eastAsia="Arial" w:cs="Arial"/>
          <w:b/>
          <w:color w:val="000000"/>
          <w:szCs w:val="24"/>
          <w:lang w:eastAsia="en-GB"/>
        </w:rPr>
      </w:pPr>
      <w:r w:rsidRPr="00102034">
        <w:rPr>
          <w:rFonts w:eastAsia="Arial" w:cs="Arial"/>
          <w:b/>
          <w:color w:val="000000"/>
          <w:szCs w:val="24"/>
          <w:lang w:eastAsia="en-GB"/>
        </w:rPr>
        <w:t>CLAUSE 15</w:t>
      </w:r>
    </w:p>
    <w:p w14:paraId="1B3D105D" w14:textId="77777777" w:rsidR="00F67E9E" w:rsidRPr="00102034" w:rsidRDefault="00F67E9E" w:rsidP="00F67E9E">
      <w:pPr>
        <w:pBdr>
          <w:top w:val="nil"/>
          <w:left w:val="nil"/>
          <w:bottom w:val="nil"/>
          <w:right w:val="nil"/>
          <w:between w:val="nil"/>
        </w:pBdr>
        <w:spacing w:before="240" w:after="240"/>
        <w:rPr>
          <w:rFonts w:eastAsia="Arial" w:cs="Arial"/>
          <w:b/>
          <w:color w:val="000000"/>
          <w:szCs w:val="24"/>
          <w:lang w:eastAsia="en-GB"/>
        </w:rPr>
      </w:pPr>
      <w:r w:rsidRPr="00102034">
        <w:rPr>
          <w:rFonts w:eastAsia="Arial" w:cs="Arial"/>
          <w:b/>
          <w:color w:val="000000"/>
          <w:szCs w:val="24"/>
          <w:lang w:eastAsia="en-GB"/>
        </w:rPr>
        <w:t>Obligations of the data importer in case of access by public authorities</w:t>
      </w:r>
    </w:p>
    <w:p w14:paraId="10A98373" w14:textId="77777777" w:rsidR="00F67E9E" w:rsidRPr="00102034" w:rsidRDefault="00F67E9E" w:rsidP="00F67E9E">
      <w:pPr>
        <w:pBdr>
          <w:top w:val="nil"/>
          <w:left w:val="nil"/>
          <w:bottom w:val="nil"/>
          <w:right w:val="nil"/>
          <w:between w:val="nil"/>
        </w:pBdr>
        <w:tabs>
          <w:tab w:val="left" w:pos="720"/>
        </w:tabs>
        <w:spacing w:before="240" w:after="240"/>
        <w:rPr>
          <w:rFonts w:eastAsia="Arial" w:cs="Arial"/>
          <w:b/>
          <w:color w:val="000000"/>
          <w:szCs w:val="24"/>
          <w:lang w:eastAsia="en-GB"/>
        </w:rPr>
      </w:pPr>
      <w:bookmarkStart w:id="3619" w:name="Sch3115151"/>
      <w:r w:rsidRPr="00102034">
        <w:rPr>
          <w:rFonts w:eastAsia="Arial" w:cs="Arial"/>
          <w:b/>
          <w:color w:val="000000"/>
          <w:szCs w:val="24"/>
          <w:lang w:eastAsia="en-GB"/>
        </w:rPr>
        <w:t>15.1</w:t>
      </w:r>
      <w:bookmarkEnd w:id="3619"/>
      <w:r w:rsidRPr="00102034">
        <w:rPr>
          <w:rFonts w:eastAsia="Arial" w:cs="Arial"/>
          <w:b/>
          <w:color w:val="000000"/>
          <w:szCs w:val="24"/>
          <w:lang w:eastAsia="en-GB"/>
        </w:rPr>
        <w:t xml:space="preserve"> </w:t>
      </w:r>
      <w:r>
        <w:rPr>
          <w:rFonts w:eastAsia="Arial" w:cs="Arial"/>
          <w:b/>
          <w:color w:val="000000"/>
          <w:szCs w:val="24"/>
          <w:lang w:eastAsia="en-GB"/>
        </w:rPr>
        <w:tab/>
      </w:r>
      <w:r w:rsidRPr="00102034">
        <w:rPr>
          <w:rFonts w:eastAsia="Arial" w:cs="Arial"/>
          <w:b/>
          <w:color w:val="000000"/>
          <w:szCs w:val="24"/>
          <w:lang w:eastAsia="en-GB"/>
        </w:rPr>
        <w:t>Notification</w:t>
      </w:r>
    </w:p>
    <w:p w14:paraId="52248714" w14:textId="77777777" w:rsidR="00F67E9E" w:rsidRPr="00102034" w:rsidRDefault="00F67E9E" w:rsidP="00F67E9E">
      <w:pPr>
        <w:numPr>
          <w:ilvl w:val="1"/>
          <w:numId w:val="268"/>
        </w:numPr>
        <w:pBdr>
          <w:top w:val="nil"/>
          <w:left w:val="nil"/>
          <w:bottom w:val="nil"/>
          <w:right w:val="nil"/>
          <w:between w:val="nil"/>
        </w:pBdr>
        <w:tabs>
          <w:tab w:val="left" w:pos="1440"/>
        </w:tabs>
        <w:spacing w:before="120" w:after="240"/>
        <w:ind w:left="1440" w:hanging="720"/>
        <w:rPr>
          <w:rFonts w:eastAsia="Arial" w:cs="Arial"/>
          <w:color w:val="000000"/>
          <w:szCs w:val="24"/>
          <w:lang w:eastAsia="en-GB"/>
        </w:rPr>
      </w:pPr>
      <w:bookmarkStart w:id="3620" w:name="bookmark=id.1t7dxlt" w:colFirst="0" w:colLast="0"/>
      <w:bookmarkStart w:id="3621" w:name="_Ref141249207"/>
      <w:bookmarkEnd w:id="3620"/>
      <w:r w:rsidRPr="00102034">
        <w:rPr>
          <w:rFonts w:eastAsia="Arial" w:cs="Arial"/>
          <w:color w:val="000000"/>
          <w:szCs w:val="24"/>
          <w:lang w:eastAsia="en-GB"/>
        </w:rPr>
        <w:t>The data importer agrees to notify the data exporter and, where possible, the data subject promptly (if necessary with the help of the data exporter) if it:</w:t>
      </w:r>
      <w:bookmarkEnd w:id="3621"/>
    </w:p>
    <w:p w14:paraId="5E5EDBDC" w14:textId="77777777" w:rsidR="00F67E9E" w:rsidRPr="00102034" w:rsidRDefault="00F67E9E" w:rsidP="00F67E9E">
      <w:pPr>
        <w:numPr>
          <w:ilvl w:val="2"/>
          <w:numId w:val="9"/>
        </w:numPr>
        <w:pBdr>
          <w:top w:val="nil"/>
          <w:left w:val="nil"/>
          <w:bottom w:val="nil"/>
          <w:right w:val="nil"/>
          <w:between w:val="nil"/>
        </w:pBdr>
        <w:spacing w:before="120" w:after="240"/>
        <w:ind w:left="2160" w:hanging="720"/>
        <w:rPr>
          <w:rFonts w:eastAsia="Arial" w:cs="Arial"/>
          <w:color w:val="000000"/>
          <w:szCs w:val="24"/>
          <w:lang w:eastAsia="en-GB"/>
        </w:rPr>
      </w:pPr>
      <w:bookmarkStart w:id="3622" w:name="bookmark=id.4d71g9m" w:colFirst="0" w:colLast="0"/>
      <w:bookmarkEnd w:id="3622"/>
      <w:r w:rsidRPr="00102034">
        <w:rPr>
          <w:rFonts w:eastAsia="Arial" w:cs="Arial"/>
          <w:color w:val="000000"/>
          <w:szCs w:val="24"/>
          <w:lang w:eastAsia="en-GB"/>
        </w:rPr>
        <w:t>receives a legally binding request from a public authority, including judicial authorities, under the laws of the country of destination for the disclosure of personal data transferred pursuant to these Clauses; such notification shall include information about the personal data requested, the requesting authority, the legal basis for the request and the response provided; or</w:t>
      </w:r>
    </w:p>
    <w:p w14:paraId="78257FB4" w14:textId="77777777" w:rsidR="00F67E9E" w:rsidRPr="00102034" w:rsidRDefault="00F67E9E" w:rsidP="00F67E9E">
      <w:pPr>
        <w:numPr>
          <w:ilvl w:val="2"/>
          <w:numId w:val="9"/>
        </w:numPr>
        <w:pBdr>
          <w:top w:val="nil"/>
          <w:left w:val="nil"/>
          <w:bottom w:val="nil"/>
          <w:right w:val="nil"/>
          <w:between w:val="nil"/>
        </w:pBdr>
        <w:spacing w:before="120" w:after="240"/>
        <w:ind w:left="2160" w:hanging="720"/>
        <w:rPr>
          <w:rFonts w:eastAsia="Arial" w:cs="Arial"/>
          <w:color w:val="000000"/>
          <w:szCs w:val="24"/>
          <w:lang w:eastAsia="en-GB"/>
        </w:rPr>
      </w:pPr>
      <w:bookmarkStart w:id="3623" w:name="bookmark=id.2scbqhf" w:colFirst="0" w:colLast="0"/>
      <w:bookmarkEnd w:id="3623"/>
      <w:r w:rsidRPr="00102034">
        <w:rPr>
          <w:rFonts w:eastAsia="Arial" w:cs="Arial"/>
          <w:color w:val="000000"/>
          <w:szCs w:val="24"/>
          <w:lang w:eastAsia="en-GB"/>
        </w:rPr>
        <w:t>becomes aware of any direct access by public authorities to personal data transferred pursuant to these Clauses in accordance with the laws of the country of destination; such notification shall include all information available to the importer.</w:t>
      </w:r>
    </w:p>
    <w:p w14:paraId="51A11519" w14:textId="77777777" w:rsidR="00F67E9E" w:rsidRPr="00102034" w:rsidRDefault="00F67E9E" w:rsidP="00F67E9E">
      <w:pPr>
        <w:pBdr>
          <w:top w:val="nil"/>
          <w:left w:val="nil"/>
          <w:bottom w:val="nil"/>
          <w:right w:val="nil"/>
          <w:between w:val="nil"/>
        </w:pBdr>
        <w:spacing w:before="240" w:after="240"/>
        <w:ind w:firstLine="1440"/>
        <w:rPr>
          <w:rFonts w:eastAsia="Arial" w:cs="Arial"/>
          <w:color w:val="000000"/>
          <w:szCs w:val="24"/>
          <w:lang w:eastAsia="en-GB"/>
        </w:rPr>
      </w:pPr>
      <w:bookmarkStart w:id="3624" w:name="bookmark=id.17hm0p8" w:colFirst="0" w:colLast="0"/>
      <w:bookmarkEnd w:id="3624"/>
      <w:r w:rsidRPr="00102034">
        <w:rPr>
          <w:rFonts w:eastAsia="Arial" w:cs="Arial"/>
          <w:color w:val="000000"/>
          <w:szCs w:val="24"/>
          <w:lang w:eastAsia="en-GB"/>
        </w:rPr>
        <w:t>The data exporter shall forward the notification to the controller.</w:t>
      </w:r>
    </w:p>
    <w:p w14:paraId="2BB351E6" w14:textId="77777777" w:rsidR="00F67E9E" w:rsidRPr="00102034" w:rsidRDefault="00F67E9E" w:rsidP="00F67E9E">
      <w:pPr>
        <w:numPr>
          <w:ilvl w:val="1"/>
          <w:numId w:val="268"/>
        </w:numPr>
        <w:pBdr>
          <w:top w:val="nil"/>
          <w:left w:val="nil"/>
          <w:bottom w:val="nil"/>
          <w:right w:val="nil"/>
          <w:between w:val="nil"/>
        </w:pBdr>
        <w:tabs>
          <w:tab w:val="left" w:pos="1440"/>
        </w:tabs>
        <w:spacing w:before="120" w:after="240"/>
        <w:ind w:left="1440" w:hanging="720"/>
        <w:rPr>
          <w:rFonts w:eastAsia="Arial" w:cs="Arial"/>
          <w:color w:val="000000"/>
          <w:szCs w:val="24"/>
          <w:lang w:eastAsia="en-GB"/>
        </w:rPr>
      </w:pPr>
      <w:bookmarkStart w:id="3625" w:name="bookmark=id.3rh9jd1" w:colFirst="0" w:colLast="0"/>
      <w:bookmarkEnd w:id="3625"/>
      <w:r w:rsidRPr="00102034">
        <w:rPr>
          <w:rFonts w:eastAsia="Arial" w:cs="Arial"/>
          <w:color w:val="000000"/>
          <w:szCs w:val="24"/>
          <w:lang w:eastAsia="en-GB"/>
        </w:rPr>
        <w:t>If the data importer is prohibited from notifying the data exporter and/or the data subject under the laws of the country of destination, the data importer agrees to use its best efforts to obtain a waiver of the prohibition, with a view to communicating as much information as possible, as soon as possible. The data importer agrees to document its best efforts in order to be able to demonstrate them on request of the data exporter.</w:t>
      </w:r>
    </w:p>
    <w:p w14:paraId="1959BB06" w14:textId="77777777" w:rsidR="00F67E9E" w:rsidRPr="00102034" w:rsidRDefault="00F67E9E" w:rsidP="00F67E9E">
      <w:pPr>
        <w:numPr>
          <w:ilvl w:val="1"/>
          <w:numId w:val="268"/>
        </w:numPr>
        <w:pBdr>
          <w:top w:val="nil"/>
          <w:left w:val="nil"/>
          <w:bottom w:val="nil"/>
          <w:right w:val="nil"/>
          <w:between w:val="nil"/>
        </w:pBdr>
        <w:tabs>
          <w:tab w:val="left" w:pos="1440"/>
        </w:tabs>
        <w:spacing w:before="120" w:after="240"/>
        <w:ind w:left="1440" w:hanging="720"/>
        <w:rPr>
          <w:rFonts w:eastAsia="Arial" w:cs="Arial"/>
          <w:color w:val="000000"/>
          <w:szCs w:val="24"/>
          <w:lang w:eastAsia="en-GB"/>
        </w:rPr>
      </w:pPr>
      <w:bookmarkStart w:id="3626" w:name="bookmark=id.26mjtku" w:colFirst="0" w:colLast="0"/>
      <w:bookmarkStart w:id="3627" w:name="_Ref141249226"/>
      <w:bookmarkEnd w:id="3626"/>
      <w:r w:rsidRPr="00102034">
        <w:rPr>
          <w:rFonts w:eastAsia="Arial" w:cs="Arial"/>
          <w:color w:val="000000"/>
          <w:szCs w:val="24"/>
          <w:lang w:eastAsia="en-GB"/>
        </w:rPr>
        <w:t>Where permissible under the laws of the country of destination, the data importer agrees to provide the data exporter, at regular intervals for the duration of the contract, with as much relevant information as possible on the requests received (in particular, number of requests, type of data requested, requesting authority/ies, whether requests have been challenged and the outcome of such challenges, etc.). The data exporter shall forward the information to the controller.</w:t>
      </w:r>
      <w:bookmarkEnd w:id="3627"/>
    </w:p>
    <w:p w14:paraId="2268A02F" w14:textId="2743DEBA" w:rsidR="00F67E9E" w:rsidRPr="00102034" w:rsidRDefault="00F67E9E" w:rsidP="00F67E9E">
      <w:pPr>
        <w:numPr>
          <w:ilvl w:val="1"/>
          <w:numId w:val="268"/>
        </w:numPr>
        <w:pBdr>
          <w:top w:val="nil"/>
          <w:left w:val="nil"/>
          <w:bottom w:val="nil"/>
          <w:right w:val="nil"/>
          <w:between w:val="nil"/>
        </w:pBdr>
        <w:tabs>
          <w:tab w:val="left" w:pos="1440"/>
        </w:tabs>
        <w:spacing w:before="120" w:after="240"/>
        <w:ind w:left="1440" w:hanging="720"/>
        <w:rPr>
          <w:rFonts w:eastAsia="Arial" w:cs="Arial"/>
          <w:color w:val="000000"/>
          <w:szCs w:val="24"/>
          <w:lang w:eastAsia="en-GB"/>
        </w:rPr>
      </w:pPr>
      <w:bookmarkStart w:id="3628" w:name="bookmark=id.lru3sn" w:colFirst="0" w:colLast="0"/>
      <w:bookmarkEnd w:id="3628"/>
      <w:r w:rsidRPr="00102034">
        <w:rPr>
          <w:rFonts w:eastAsia="Arial" w:cs="Arial"/>
          <w:color w:val="000000"/>
          <w:szCs w:val="24"/>
          <w:lang w:eastAsia="en-GB"/>
        </w:rPr>
        <w:t xml:space="preserve">The data importer agrees to preserve the information pursuant to paragraphs </w:t>
      </w:r>
      <w:r>
        <w:rPr>
          <w:rFonts w:eastAsia="Arial" w:cs="Arial"/>
          <w:color w:val="000000"/>
          <w:szCs w:val="24"/>
          <w:lang w:eastAsia="en-GB"/>
        </w:rPr>
        <w:fldChar w:fldCharType="begin"/>
      </w:r>
      <w:r>
        <w:rPr>
          <w:rFonts w:eastAsia="Arial" w:cs="Arial"/>
          <w:color w:val="000000"/>
          <w:szCs w:val="24"/>
          <w:lang w:eastAsia="en-GB"/>
        </w:rPr>
        <w:instrText xml:space="preserve"> REF _Ref141249207 \n \h </w:instrText>
      </w:r>
      <w:r>
        <w:rPr>
          <w:rFonts w:eastAsia="Arial" w:cs="Arial"/>
          <w:color w:val="000000"/>
          <w:szCs w:val="24"/>
          <w:lang w:eastAsia="en-GB"/>
        </w:rPr>
      </w:r>
      <w:r>
        <w:rPr>
          <w:rFonts w:eastAsia="Arial" w:cs="Arial"/>
          <w:color w:val="000000"/>
          <w:szCs w:val="24"/>
          <w:lang w:eastAsia="en-GB"/>
        </w:rPr>
        <w:fldChar w:fldCharType="separate"/>
      </w:r>
      <w:r w:rsidR="00302D39">
        <w:rPr>
          <w:rFonts w:eastAsia="Arial" w:cs="Arial"/>
          <w:color w:val="000000"/>
          <w:szCs w:val="24"/>
          <w:lang w:eastAsia="en-GB"/>
        </w:rPr>
        <w:t>(a)</w:t>
      </w:r>
      <w:r>
        <w:rPr>
          <w:rFonts w:eastAsia="Arial" w:cs="Arial"/>
          <w:color w:val="000000"/>
          <w:szCs w:val="24"/>
          <w:lang w:eastAsia="en-GB"/>
        </w:rPr>
        <w:fldChar w:fldCharType="end"/>
      </w:r>
      <w:r w:rsidRPr="00102034">
        <w:rPr>
          <w:rFonts w:eastAsia="Arial" w:cs="Arial"/>
          <w:color w:val="000000"/>
          <w:szCs w:val="24"/>
          <w:lang w:eastAsia="en-GB"/>
        </w:rPr>
        <w:t xml:space="preserve">‎ to </w:t>
      </w:r>
      <w:r>
        <w:rPr>
          <w:rFonts w:eastAsia="Arial" w:cs="Arial"/>
          <w:color w:val="000000"/>
          <w:szCs w:val="24"/>
          <w:lang w:eastAsia="en-GB"/>
        </w:rPr>
        <w:fldChar w:fldCharType="begin"/>
      </w:r>
      <w:r>
        <w:rPr>
          <w:rFonts w:eastAsia="Arial" w:cs="Arial"/>
          <w:color w:val="000000"/>
          <w:szCs w:val="24"/>
          <w:lang w:eastAsia="en-GB"/>
        </w:rPr>
        <w:instrText xml:space="preserve"> REF _Ref141249226 \n \h </w:instrText>
      </w:r>
      <w:r>
        <w:rPr>
          <w:rFonts w:eastAsia="Arial" w:cs="Arial"/>
          <w:color w:val="000000"/>
          <w:szCs w:val="24"/>
          <w:lang w:eastAsia="en-GB"/>
        </w:rPr>
      </w:r>
      <w:r>
        <w:rPr>
          <w:rFonts w:eastAsia="Arial" w:cs="Arial"/>
          <w:color w:val="000000"/>
          <w:szCs w:val="24"/>
          <w:lang w:eastAsia="en-GB"/>
        </w:rPr>
        <w:fldChar w:fldCharType="separate"/>
      </w:r>
      <w:r w:rsidR="00302D39">
        <w:rPr>
          <w:rFonts w:eastAsia="Arial" w:cs="Arial"/>
          <w:color w:val="000000"/>
          <w:szCs w:val="24"/>
          <w:lang w:eastAsia="en-GB"/>
        </w:rPr>
        <w:t>(c)</w:t>
      </w:r>
      <w:r>
        <w:rPr>
          <w:rFonts w:eastAsia="Arial" w:cs="Arial"/>
          <w:color w:val="000000"/>
          <w:szCs w:val="24"/>
          <w:lang w:eastAsia="en-GB"/>
        </w:rPr>
        <w:fldChar w:fldCharType="end"/>
      </w:r>
      <w:r w:rsidRPr="00102034">
        <w:rPr>
          <w:rFonts w:eastAsia="Arial" w:cs="Arial"/>
          <w:color w:val="000000"/>
          <w:szCs w:val="24"/>
          <w:lang w:eastAsia="en-GB"/>
        </w:rPr>
        <w:t xml:space="preserve"> for the duration of the contract and make it available to the competent supervisory authority on request.</w:t>
      </w:r>
    </w:p>
    <w:p w14:paraId="22D5FE19" w14:textId="40BA3498" w:rsidR="00F67E9E" w:rsidRPr="00102034" w:rsidRDefault="00F67E9E" w:rsidP="00F67E9E">
      <w:pPr>
        <w:numPr>
          <w:ilvl w:val="1"/>
          <w:numId w:val="268"/>
        </w:numPr>
        <w:pBdr>
          <w:top w:val="nil"/>
          <w:left w:val="nil"/>
          <w:bottom w:val="nil"/>
          <w:right w:val="nil"/>
          <w:between w:val="nil"/>
        </w:pBdr>
        <w:tabs>
          <w:tab w:val="left" w:pos="1440"/>
        </w:tabs>
        <w:spacing w:before="120" w:after="240"/>
        <w:ind w:left="1440" w:hanging="720"/>
        <w:rPr>
          <w:rFonts w:eastAsia="Arial" w:cs="Arial"/>
          <w:color w:val="000000"/>
          <w:szCs w:val="24"/>
          <w:lang w:eastAsia="en-GB"/>
        </w:rPr>
      </w:pPr>
      <w:bookmarkStart w:id="3629" w:name="bookmark=id.35rhmgg" w:colFirst="0" w:colLast="0"/>
      <w:bookmarkEnd w:id="3629"/>
      <w:r w:rsidRPr="00102034">
        <w:rPr>
          <w:rFonts w:eastAsia="Arial" w:cs="Arial"/>
          <w:color w:val="000000"/>
          <w:szCs w:val="24"/>
          <w:lang w:eastAsia="en-GB"/>
        </w:rPr>
        <w:t xml:space="preserve">Paragraphs </w:t>
      </w:r>
      <w:r>
        <w:rPr>
          <w:rFonts w:eastAsia="Arial" w:cs="Arial"/>
          <w:color w:val="000000"/>
          <w:szCs w:val="24"/>
          <w:lang w:eastAsia="en-GB"/>
        </w:rPr>
        <w:fldChar w:fldCharType="begin"/>
      </w:r>
      <w:r>
        <w:rPr>
          <w:rFonts w:eastAsia="Arial" w:cs="Arial"/>
          <w:color w:val="000000"/>
          <w:szCs w:val="24"/>
          <w:lang w:eastAsia="en-GB"/>
        </w:rPr>
        <w:instrText xml:space="preserve"> REF _Ref141249207 \n \h </w:instrText>
      </w:r>
      <w:r>
        <w:rPr>
          <w:rFonts w:eastAsia="Arial" w:cs="Arial"/>
          <w:color w:val="000000"/>
          <w:szCs w:val="24"/>
          <w:lang w:eastAsia="en-GB"/>
        </w:rPr>
      </w:r>
      <w:r>
        <w:rPr>
          <w:rFonts w:eastAsia="Arial" w:cs="Arial"/>
          <w:color w:val="000000"/>
          <w:szCs w:val="24"/>
          <w:lang w:eastAsia="en-GB"/>
        </w:rPr>
        <w:fldChar w:fldCharType="separate"/>
      </w:r>
      <w:r w:rsidR="00302D39">
        <w:rPr>
          <w:rFonts w:eastAsia="Arial" w:cs="Arial"/>
          <w:color w:val="000000"/>
          <w:szCs w:val="24"/>
          <w:lang w:eastAsia="en-GB"/>
        </w:rPr>
        <w:t>(a)</w:t>
      </w:r>
      <w:r>
        <w:rPr>
          <w:rFonts w:eastAsia="Arial" w:cs="Arial"/>
          <w:color w:val="000000"/>
          <w:szCs w:val="24"/>
          <w:lang w:eastAsia="en-GB"/>
        </w:rPr>
        <w:fldChar w:fldCharType="end"/>
      </w:r>
      <w:r w:rsidRPr="00102034">
        <w:rPr>
          <w:rFonts w:eastAsia="Arial" w:cs="Arial"/>
          <w:color w:val="000000"/>
          <w:szCs w:val="24"/>
          <w:lang w:eastAsia="en-GB"/>
        </w:rPr>
        <w:t xml:space="preserve">‎ to </w:t>
      </w:r>
      <w:r>
        <w:rPr>
          <w:rFonts w:eastAsia="Arial" w:cs="Arial"/>
          <w:color w:val="000000"/>
          <w:szCs w:val="24"/>
          <w:lang w:eastAsia="en-GB"/>
        </w:rPr>
        <w:fldChar w:fldCharType="begin"/>
      </w:r>
      <w:r>
        <w:rPr>
          <w:rFonts w:eastAsia="Arial" w:cs="Arial"/>
          <w:color w:val="000000"/>
          <w:szCs w:val="24"/>
          <w:lang w:eastAsia="en-GB"/>
        </w:rPr>
        <w:instrText xml:space="preserve"> REF _Ref141249226 \n \h </w:instrText>
      </w:r>
      <w:r>
        <w:rPr>
          <w:rFonts w:eastAsia="Arial" w:cs="Arial"/>
          <w:color w:val="000000"/>
          <w:szCs w:val="24"/>
          <w:lang w:eastAsia="en-GB"/>
        </w:rPr>
      </w:r>
      <w:r>
        <w:rPr>
          <w:rFonts w:eastAsia="Arial" w:cs="Arial"/>
          <w:color w:val="000000"/>
          <w:szCs w:val="24"/>
          <w:lang w:eastAsia="en-GB"/>
        </w:rPr>
        <w:fldChar w:fldCharType="separate"/>
      </w:r>
      <w:r w:rsidR="00302D39">
        <w:rPr>
          <w:rFonts w:eastAsia="Arial" w:cs="Arial"/>
          <w:color w:val="000000"/>
          <w:szCs w:val="24"/>
          <w:lang w:eastAsia="en-GB"/>
        </w:rPr>
        <w:t>(c)</w:t>
      </w:r>
      <w:r>
        <w:rPr>
          <w:rFonts w:eastAsia="Arial" w:cs="Arial"/>
          <w:color w:val="000000"/>
          <w:szCs w:val="24"/>
          <w:lang w:eastAsia="en-GB"/>
        </w:rPr>
        <w:fldChar w:fldCharType="end"/>
      </w:r>
      <w:r w:rsidRPr="00102034">
        <w:rPr>
          <w:rFonts w:eastAsia="Arial" w:cs="Arial"/>
          <w:color w:val="000000"/>
          <w:szCs w:val="24"/>
          <w:lang w:eastAsia="en-GB"/>
        </w:rPr>
        <w:t xml:space="preserve"> are without prejudice to the obligation of the data importer pursuant to Clause 14(e) and Clause 16 to inform the data exporter promptly where it is unable to comply with these Clauses.</w:t>
      </w:r>
    </w:p>
    <w:p w14:paraId="0681C274" w14:textId="77777777" w:rsidR="00F67E9E" w:rsidRPr="00102034" w:rsidRDefault="00F67E9E" w:rsidP="00F67E9E">
      <w:pPr>
        <w:pBdr>
          <w:top w:val="nil"/>
          <w:left w:val="nil"/>
          <w:bottom w:val="nil"/>
          <w:right w:val="nil"/>
          <w:between w:val="nil"/>
        </w:pBdr>
        <w:tabs>
          <w:tab w:val="left" w:pos="720"/>
        </w:tabs>
        <w:spacing w:before="240" w:after="240"/>
        <w:rPr>
          <w:rFonts w:eastAsia="Arial" w:cs="Arial"/>
          <w:b/>
          <w:color w:val="000000"/>
          <w:szCs w:val="24"/>
          <w:lang w:eastAsia="en-GB"/>
        </w:rPr>
      </w:pPr>
      <w:bookmarkStart w:id="3630" w:name="bookmark=id.1kwrwo9" w:colFirst="0" w:colLast="0"/>
      <w:bookmarkStart w:id="3631" w:name="Sch3115152"/>
      <w:bookmarkEnd w:id="3630"/>
      <w:r w:rsidRPr="00102034">
        <w:rPr>
          <w:rFonts w:eastAsia="Arial" w:cs="Arial"/>
          <w:b/>
          <w:color w:val="000000"/>
          <w:szCs w:val="24"/>
          <w:lang w:eastAsia="en-GB"/>
        </w:rPr>
        <w:t>15.2</w:t>
      </w:r>
      <w:bookmarkEnd w:id="3631"/>
      <w:r w:rsidRPr="00102034">
        <w:rPr>
          <w:rFonts w:eastAsia="Arial" w:cs="Arial"/>
          <w:b/>
          <w:color w:val="000000"/>
          <w:szCs w:val="24"/>
          <w:lang w:eastAsia="en-GB"/>
        </w:rPr>
        <w:t xml:space="preserve"> </w:t>
      </w:r>
      <w:r>
        <w:rPr>
          <w:rFonts w:eastAsia="Arial" w:cs="Arial"/>
          <w:b/>
          <w:color w:val="000000"/>
          <w:szCs w:val="24"/>
          <w:lang w:eastAsia="en-GB"/>
        </w:rPr>
        <w:tab/>
      </w:r>
      <w:r w:rsidRPr="00102034">
        <w:rPr>
          <w:rFonts w:eastAsia="Arial" w:cs="Arial"/>
          <w:b/>
          <w:color w:val="000000"/>
          <w:szCs w:val="24"/>
          <w:lang w:eastAsia="en-GB"/>
        </w:rPr>
        <w:t>Review of legality and data minimisation</w:t>
      </w:r>
    </w:p>
    <w:p w14:paraId="3B0D868D" w14:textId="77777777" w:rsidR="00F67E9E" w:rsidRPr="00102034" w:rsidRDefault="00F67E9E" w:rsidP="00F67E9E">
      <w:pPr>
        <w:numPr>
          <w:ilvl w:val="1"/>
          <w:numId w:val="269"/>
        </w:numPr>
        <w:pBdr>
          <w:top w:val="nil"/>
          <w:left w:val="nil"/>
          <w:bottom w:val="nil"/>
          <w:right w:val="nil"/>
          <w:between w:val="nil"/>
        </w:pBdr>
        <w:tabs>
          <w:tab w:val="left" w:pos="1440"/>
        </w:tabs>
        <w:spacing w:before="120" w:after="240"/>
        <w:ind w:left="1440" w:hanging="720"/>
        <w:rPr>
          <w:rFonts w:eastAsia="Arial" w:cs="Arial"/>
          <w:color w:val="000000"/>
          <w:szCs w:val="24"/>
          <w:lang w:eastAsia="en-GB"/>
        </w:rPr>
      </w:pPr>
      <w:bookmarkStart w:id="3632" w:name="bookmark=id.44wffc2" w:colFirst="0" w:colLast="0"/>
      <w:bookmarkEnd w:id="3632"/>
      <w:r w:rsidRPr="00102034">
        <w:rPr>
          <w:rFonts w:eastAsia="Arial" w:cs="Arial"/>
          <w:color w:val="000000"/>
          <w:szCs w:val="24"/>
          <w:lang w:eastAsia="en-GB"/>
        </w:rPr>
        <w:t>The data importer agrees to review the legality of the request for disclosure, in particular whether it remains within the powers granted to the requesting public authority, and to challenge the request if, after careful assessment, it concludes that there are reasonable grounds to consider that the request is unlawful under the laws of the country of destination, applicable obligations under international law and principles of international comity. The data importer shall, under the same conditions, pursue possibilities of appeal. When challenging a request, the data importer shall seek interim measures with a view to suspending the effects of the request until the competent judicial authority has decided on its merits. It shall not disclose the personal data requested until required to do so under the applicable procedural rules. These requirements are without prejudice to the obligations of the data importer under Clause 14(e).</w:t>
      </w:r>
    </w:p>
    <w:p w14:paraId="10EFA1B9" w14:textId="77777777" w:rsidR="00F67E9E" w:rsidRPr="00102034" w:rsidRDefault="00F67E9E" w:rsidP="00F67E9E">
      <w:pPr>
        <w:numPr>
          <w:ilvl w:val="1"/>
          <w:numId w:val="269"/>
        </w:numPr>
        <w:pBdr>
          <w:top w:val="nil"/>
          <w:left w:val="nil"/>
          <w:bottom w:val="nil"/>
          <w:right w:val="nil"/>
          <w:between w:val="nil"/>
        </w:pBdr>
        <w:tabs>
          <w:tab w:val="left" w:pos="1440"/>
        </w:tabs>
        <w:spacing w:before="120" w:after="240"/>
        <w:ind w:left="1440" w:hanging="720"/>
        <w:rPr>
          <w:rFonts w:eastAsia="Arial" w:cs="Arial"/>
          <w:color w:val="000000"/>
          <w:szCs w:val="24"/>
          <w:lang w:eastAsia="en-GB"/>
        </w:rPr>
      </w:pPr>
      <w:bookmarkStart w:id="3633" w:name="bookmark=id.2k1ppjv" w:colFirst="0" w:colLast="0"/>
      <w:bookmarkEnd w:id="3633"/>
      <w:r w:rsidRPr="00102034">
        <w:rPr>
          <w:rFonts w:eastAsia="Arial" w:cs="Arial"/>
          <w:color w:val="000000"/>
          <w:szCs w:val="24"/>
          <w:lang w:eastAsia="en-GB"/>
        </w:rPr>
        <w:t xml:space="preserve">The data importer agrees to document its legal assessment and any challenge to the request for disclosure and, to the extent permissible under the laws of the country of destination, make the documentation available to the data exporter. It shall also make it available to the competent supervisory authority on request. The data exporter shall make the assessment available to the controller. </w:t>
      </w:r>
    </w:p>
    <w:p w14:paraId="541BE928" w14:textId="77777777" w:rsidR="00F67E9E" w:rsidRPr="00102034" w:rsidRDefault="00F67E9E" w:rsidP="00F67E9E">
      <w:pPr>
        <w:numPr>
          <w:ilvl w:val="1"/>
          <w:numId w:val="269"/>
        </w:numPr>
        <w:pBdr>
          <w:top w:val="nil"/>
          <w:left w:val="nil"/>
          <w:bottom w:val="nil"/>
          <w:right w:val="nil"/>
          <w:between w:val="nil"/>
        </w:pBdr>
        <w:tabs>
          <w:tab w:val="left" w:pos="1440"/>
        </w:tabs>
        <w:spacing w:before="120" w:after="240"/>
        <w:ind w:left="1440" w:hanging="720"/>
        <w:rPr>
          <w:rFonts w:eastAsia="Arial" w:cs="Arial"/>
          <w:color w:val="000000"/>
          <w:szCs w:val="24"/>
          <w:lang w:eastAsia="en-GB"/>
        </w:rPr>
      </w:pPr>
      <w:bookmarkStart w:id="3634" w:name="bookmark=id.z6zzro" w:colFirst="0" w:colLast="0"/>
      <w:bookmarkEnd w:id="3634"/>
      <w:r w:rsidRPr="00102034">
        <w:rPr>
          <w:rFonts w:eastAsia="Arial" w:cs="Arial"/>
          <w:color w:val="000000"/>
          <w:szCs w:val="24"/>
          <w:lang w:eastAsia="en-GB"/>
        </w:rPr>
        <w:t>The data importer agrees to provide the minimum amount of information permissible when responding to a request for disclosure, based on a reasonable interpretation of the request.</w:t>
      </w:r>
    </w:p>
    <w:p w14:paraId="4DCC9127" w14:textId="77777777" w:rsidR="00F67E9E" w:rsidRPr="00102034" w:rsidRDefault="00F67E9E" w:rsidP="00F67E9E">
      <w:pPr>
        <w:pBdr>
          <w:top w:val="nil"/>
          <w:left w:val="nil"/>
          <w:bottom w:val="nil"/>
          <w:right w:val="nil"/>
          <w:between w:val="nil"/>
        </w:pBdr>
        <w:spacing w:before="120"/>
        <w:jc w:val="center"/>
        <w:rPr>
          <w:rFonts w:eastAsia="Arial" w:cs="Arial"/>
          <w:b/>
          <w:color w:val="000000"/>
          <w:szCs w:val="24"/>
          <w:lang w:eastAsia="en-GB"/>
        </w:rPr>
      </w:pPr>
      <w:r w:rsidRPr="00102034">
        <w:rPr>
          <w:rFonts w:eastAsia="Arial" w:cs="Arial"/>
          <w:b/>
          <w:color w:val="000000"/>
          <w:szCs w:val="24"/>
          <w:lang w:eastAsia="en-GB"/>
        </w:rPr>
        <w:t>SECTION IV – FINAL PROVISIONS</w:t>
      </w:r>
    </w:p>
    <w:p w14:paraId="3BE9550B" w14:textId="77777777" w:rsidR="00F67E9E" w:rsidRPr="00102034" w:rsidRDefault="00F67E9E" w:rsidP="00F67E9E">
      <w:pPr>
        <w:pBdr>
          <w:top w:val="nil"/>
          <w:left w:val="nil"/>
          <w:bottom w:val="nil"/>
          <w:right w:val="nil"/>
          <w:between w:val="nil"/>
        </w:pBdr>
        <w:spacing w:before="120"/>
        <w:jc w:val="center"/>
        <w:rPr>
          <w:rFonts w:eastAsia="Arial" w:cs="Arial"/>
          <w:b/>
          <w:color w:val="000000"/>
          <w:szCs w:val="24"/>
          <w:lang w:eastAsia="en-GB"/>
        </w:rPr>
      </w:pPr>
      <w:r w:rsidRPr="00102034">
        <w:rPr>
          <w:rFonts w:eastAsia="Arial" w:cs="Arial"/>
          <w:b/>
          <w:color w:val="000000"/>
          <w:szCs w:val="24"/>
          <w:lang w:eastAsia="en-GB"/>
        </w:rPr>
        <w:t>CLAUSE 16</w:t>
      </w:r>
    </w:p>
    <w:p w14:paraId="0170529A" w14:textId="77777777" w:rsidR="00F67E9E" w:rsidRPr="00102034" w:rsidRDefault="00F67E9E" w:rsidP="00F67E9E">
      <w:pPr>
        <w:pBdr>
          <w:top w:val="nil"/>
          <w:left w:val="nil"/>
          <w:bottom w:val="nil"/>
          <w:right w:val="nil"/>
          <w:between w:val="nil"/>
        </w:pBdr>
        <w:spacing w:before="240" w:after="240"/>
        <w:rPr>
          <w:rFonts w:eastAsia="Arial" w:cs="Arial"/>
          <w:b/>
          <w:color w:val="000000"/>
          <w:szCs w:val="24"/>
          <w:lang w:eastAsia="en-GB"/>
        </w:rPr>
      </w:pPr>
      <w:bookmarkStart w:id="3635" w:name="bookmark=id.3j6nifh" w:colFirst="0" w:colLast="0"/>
      <w:bookmarkEnd w:id="3635"/>
      <w:r w:rsidRPr="00102034">
        <w:rPr>
          <w:rFonts w:eastAsia="Arial" w:cs="Arial"/>
          <w:b/>
          <w:color w:val="000000"/>
          <w:szCs w:val="24"/>
          <w:lang w:eastAsia="en-GB"/>
        </w:rPr>
        <w:t>Non-compliance with the Clauses and termination</w:t>
      </w:r>
    </w:p>
    <w:p w14:paraId="4D1D9BFC" w14:textId="77777777" w:rsidR="00F67E9E" w:rsidRPr="00102034" w:rsidRDefault="00F67E9E" w:rsidP="00F67E9E">
      <w:pPr>
        <w:numPr>
          <w:ilvl w:val="1"/>
          <w:numId w:val="270"/>
        </w:numPr>
        <w:pBdr>
          <w:top w:val="nil"/>
          <w:left w:val="nil"/>
          <w:bottom w:val="nil"/>
          <w:right w:val="nil"/>
          <w:between w:val="nil"/>
        </w:pBdr>
        <w:tabs>
          <w:tab w:val="left" w:pos="1440"/>
        </w:tabs>
        <w:spacing w:before="120" w:after="240"/>
        <w:ind w:left="1440" w:hanging="720"/>
        <w:rPr>
          <w:rFonts w:eastAsia="Arial" w:cs="Arial"/>
          <w:color w:val="000000"/>
          <w:szCs w:val="24"/>
          <w:lang w:eastAsia="en-GB"/>
        </w:rPr>
      </w:pPr>
      <w:bookmarkStart w:id="3636" w:name="bookmark=id.1ybxsna" w:colFirst="0" w:colLast="0"/>
      <w:bookmarkEnd w:id="3636"/>
      <w:r w:rsidRPr="00102034">
        <w:rPr>
          <w:rFonts w:eastAsia="Arial" w:cs="Arial"/>
          <w:color w:val="000000"/>
          <w:szCs w:val="24"/>
          <w:lang w:eastAsia="en-GB"/>
        </w:rPr>
        <w:t>The data importer shall promptly inform the data exporter if it is unable to comply with these Clauses, for whatever reason.</w:t>
      </w:r>
    </w:p>
    <w:p w14:paraId="03F5FBAD" w14:textId="77777777" w:rsidR="00F67E9E" w:rsidRPr="00102034" w:rsidRDefault="00F67E9E" w:rsidP="00F67E9E">
      <w:pPr>
        <w:numPr>
          <w:ilvl w:val="1"/>
          <w:numId w:val="270"/>
        </w:numPr>
        <w:pBdr>
          <w:top w:val="nil"/>
          <w:left w:val="nil"/>
          <w:bottom w:val="nil"/>
          <w:right w:val="nil"/>
          <w:between w:val="nil"/>
        </w:pBdr>
        <w:tabs>
          <w:tab w:val="left" w:pos="1440"/>
        </w:tabs>
        <w:spacing w:before="120" w:after="240"/>
        <w:ind w:left="1440" w:hanging="720"/>
        <w:rPr>
          <w:rFonts w:eastAsia="Arial" w:cs="Arial"/>
          <w:color w:val="000000"/>
          <w:szCs w:val="24"/>
          <w:lang w:eastAsia="en-GB"/>
        </w:rPr>
      </w:pPr>
      <w:bookmarkStart w:id="3637" w:name="bookmark=id.4iblbb3" w:colFirst="0" w:colLast="0"/>
      <w:bookmarkStart w:id="3638" w:name="_Ref141249267"/>
      <w:bookmarkEnd w:id="3637"/>
      <w:r w:rsidRPr="00102034">
        <w:rPr>
          <w:rFonts w:eastAsia="Arial" w:cs="Arial"/>
          <w:color w:val="000000"/>
          <w:szCs w:val="24"/>
          <w:lang w:eastAsia="en-GB"/>
        </w:rPr>
        <w:t>In the event that the data importer is in breach of these Clauses or unable to comply with these Clauses, the data exporter shall suspend the transfer of personal data to the data importer until compliance is again ensured or the contract is terminated. This is without prejudice to Clause 14(f).</w:t>
      </w:r>
      <w:bookmarkEnd w:id="3638"/>
    </w:p>
    <w:p w14:paraId="0EC4D4B9" w14:textId="77777777" w:rsidR="00F67E9E" w:rsidRPr="00102034" w:rsidRDefault="00F67E9E" w:rsidP="00F67E9E">
      <w:pPr>
        <w:numPr>
          <w:ilvl w:val="1"/>
          <w:numId w:val="270"/>
        </w:numPr>
        <w:pBdr>
          <w:top w:val="nil"/>
          <w:left w:val="nil"/>
          <w:bottom w:val="nil"/>
          <w:right w:val="nil"/>
          <w:between w:val="nil"/>
        </w:pBdr>
        <w:tabs>
          <w:tab w:val="left" w:pos="1440"/>
        </w:tabs>
        <w:spacing w:before="120" w:after="240"/>
        <w:ind w:left="1440" w:hanging="720"/>
        <w:rPr>
          <w:rFonts w:eastAsia="Arial" w:cs="Arial"/>
          <w:color w:val="000000"/>
          <w:szCs w:val="24"/>
          <w:lang w:eastAsia="en-GB"/>
        </w:rPr>
      </w:pPr>
      <w:bookmarkStart w:id="3639" w:name="bookmark=id.2xgvliw" w:colFirst="0" w:colLast="0"/>
      <w:bookmarkStart w:id="3640" w:name="_Ref141249289"/>
      <w:bookmarkEnd w:id="3639"/>
      <w:r w:rsidRPr="00102034">
        <w:rPr>
          <w:rFonts w:eastAsia="Arial" w:cs="Arial"/>
          <w:color w:val="000000"/>
          <w:szCs w:val="24"/>
          <w:lang w:eastAsia="en-GB"/>
        </w:rPr>
        <w:t>The data exporter shall be entitled to terminate the contract, insofar as it concerns the processing of personal data under these Clauses, where:</w:t>
      </w:r>
      <w:bookmarkEnd w:id="3640"/>
    </w:p>
    <w:p w14:paraId="30216B84" w14:textId="58E791D3" w:rsidR="00F67E9E" w:rsidRPr="00102034" w:rsidRDefault="00F67E9E" w:rsidP="00F67E9E">
      <w:pPr>
        <w:numPr>
          <w:ilvl w:val="2"/>
          <w:numId w:val="12"/>
        </w:numPr>
        <w:pBdr>
          <w:top w:val="nil"/>
          <w:left w:val="nil"/>
          <w:bottom w:val="nil"/>
          <w:right w:val="nil"/>
          <w:between w:val="nil"/>
        </w:pBdr>
        <w:spacing w:before="120" w:after="240"/>
        <w:ind w:left="2160" w:hanging="720"/>
        <w:rPr>
          <w:rFonts w:eastAsia="Arial" w:cs="Arial"/>
          <w:color w:val="000000"/>
          <w:szCs w:val="24"/>
          <w:lang w:eastAsia="en-GB"/>
        </w:rPr>
      </w:pPr>
      <w:bookmarkStart w:id="3641" w:name="bookmark=id.1cm5vqp" w:colFirst="0" w:colLast="0"/>
      <w:bookmarkEnd w:id="3641"/>
      <w:r w:rsidRPr="00102034">
        <w:rPr>
          <w:rFonts w:eastAsia="Arial" w:cs="Arial"/>
          <w:color w:val="000000"/>
          <w:szCs w:val="24"/>
          <w:lang w:eastAsia="en-GB"/>
        </w:rPr>
        <w:t xml:space="preserve">the data exporter has suspended the transfer of personal data to the data importer pursuant to paragraph </w:t>
      </w:r>
      <w:r>
        <w:rPr>
          <w:rFonts w:eastAsia="Arial" w:cs="Arial"/>
          <w:color w:val="000000"/>
          <w:szCs w:val="24"/>
          <w:lang w:eastAsia="en-GB"/>
        </w:rPr>
        <w:fldChar w:fldCharType="begin"/>
      </w:r>
      <w:r>
        <w:rPr>
          <w:rFonts w:eastAsia="Arial" w:cs="Arial"/>
          <w:color w:val="000000"/>
          <w:szCs w:val="24"/>
          <w:lang w:eastAsia="en-GB"/>
        </w:rPr>
        <w:instrText xml:space="preserve"> REF _Ref141249267 \n \h </w:instrText>
      </w:r>
      <w:r>
        <w:rPr>
          <w:rFonts w:eastAsia="Arial" w:cs="Arial"/>
          <w:color w:val="000000"/>
          <w:szCs w:val="24"/>
          <w:lang w:eastAsia="en-GB"/>
        </w:rPr>
      </w:r>
      <w:r>
        <w:rPr>
          <w:rFonts w:eastAsia="Arial" w:cs="Arial"/>
          <w:color w:val="000000"/>
          <w:szCs w:val="24"/>
          <w:lang w:eastAsia="en-GB"/>
        </w:rPr>
        <w:fldChar w:fldCharType="separate"/>
      </w:r>
      <w:r w:rsidR="00302D39">
        <w:rPr>
          <w:rFonts w:eastAsia="Arial" w:cs="Arial"/>
          <w:color w:val="000000"/>
          <w:szCs w:val="24"/>
          <w:lang w:eastAsia="en-GB"/>
        </w:rPr>
        <w:t>(b)</w:t>
      </w:r>
      <w:r>
        <w:rPr>
          <w:rFonts w:eastAsia="Arial" w:cs="Arial"/>
          <w:color w:val="000000"/>
          <w:szCs w:val="24"/>
          <w:lang w:eastAsia="en-GB"/>
        </w:rPr>
        <w:fldChar w:fldCharType="end"/>
      </w:r>
      <w:r w:rsidRPr="00102034">
        <w:rPr>
          <w:rFonts w:eastAsia="Arial" w:cs="Arial"/>
          <w:color w:val="000000"/>
          <w:szCs w:val="24"/>
          <w:lang w:eastAsia="en-GB"/>
        </w:rPr>
        <w:t>‎ and compliance with these Clauses is not restored within a reasonable time and in any event within one month of suspension;</w:t>
      </w:r>
    </w:p>
    <w:p w14:paraId="0D26642C" w14:textId="77777777" w:rsidR="00F67E9E" w:rsidRPr="00102034" w:rsidRDefault="00F67E9E" w:rsidP="00F67E9E">
      <w:pPr>
        <w:numPr>
          <w:ilvl w:val="2"/>
          <w:numId w:val="12"/>
        </w:numPr>
        <w:pBdr>
          <w:top w:val="nil"/>
          <w:left w:val="nil"/>
          <w:bottom w:val="nil"/>
          <w:right w:val="nil"/>
          <w:between w:val="nil"/>
        </w:pBdr>
        <w:spacing w:before="120" w:after="240"/>
        <w:ind w:left="2160" w:hanging="720"/>
        <w:rPr>
          <w:rFonts w:eastAsia="Arial" w:cs="Arial"/>
          <w:color w:val="000000"/>
          <w:szCs w:val="24"/>
          <w:lang w:eastAsia="en-GB"/>
        </w:rPr>
      </w:pPr>
      <w:bookmarkStart w:id="3642" w:name="bookmark=id.3wlteei" w:colFirst="0" w:colLast="0"/>
      <w:bookmarkEnd w:id="3642"/>
      <w:r w:rsidRPr="00102034">
        <w:rPr>
          <w:rFonts w:eastAsia="Arial" w:cs="Arial"/>
          <w:color w:val="000000"/>
          <w:szCs w:val="24"/>
          <w:lang w:eastAsia="en-GB"/>
        </w:rPr>
        <w:t>the data importer is in substantial or persistent breach of these Clauses; or</w:t>
      </w:r>
    </w:p>
    <w:p w14:paraId="14DDAED3" w14:textId="77777777" w:rsidR="00F67E9E" w:rsidRPr="00102034" w:rsidRDefault="00F67E9E" w:rsidP="00F67E9E">
      <w:pPr>
        <w:numPr>
          <w:ilvl w:val="2"/>
          <w:numId w:val="12"/>
        </w:numPr>
        <w:pBdr>
          <w:top w:val="nil"/>
          <w:left w:val="nil"/>
          <w:bottom w:val="nil"/>
          <w:right w:val="nil"/>
          <w:between w:val="nil"/>
        </w:pBdr>
        <w:spacing w:before="120" w:after="240"/>
        <w:ind w:left="2160" w:hanging="720"/>
        <w:rPr>
          <w:rFonts w:eastAsia="Arial" w:cs="Arial"/>
          <w:color w:val="000000"/>
          <w:szCs w:val="24"/>
          <w:lang w:eastAsia="en-GB"/>
        </w:rPr>
      </w:pPr>
      <w:bookmarkStart w:id="3643" w:name="bookmark=id.2br3omb" w:colFirst="0" w:colLast="0"/>
      <w:bookmarkEnd w:id="3643"/>
      <w:r w:rsidRPr="00102034">
        <w:rPr>
          <w:rFonts w:eastAsia="Arial" w:cs="Arial"/>
          <w:color w:val="000000"/>
          <w:szCs w:val="24"/>
          <w:lang w:eastAsia="en-GB"/>
        </w:rPr>
        <w:t>the data importer fails to comply with a binding decision of a competent court or supervisory authority regarding its obligations under these Clauses.</w:t>
      </w:r>
    </w:p>
    <w:p w14:paraId="17888908" w14:textId="77777777" w:rsidR="00F67E9E" w:rsidRPr="00102034" w:rsidRDefault="00F67E9E" w:rsidP="00F67E9E">
      <w:pPr>
        <w:pBdr>
          <w:top w:val="nil"/>
          <w:left w:val="nil"/>
          <w:bottom w:val="nil"/>
          <w:right w:val="nil"/>
          <w:between w:val="nil"/>
        </w:pBdr>
        <w:spacing w:before="120" w:after="240"/>
        <w:ind w:left="1440"/>
        <w:rPr>
          <w:rFonts w:eastAsia="Arial" w:cs="Arial"/>
          <w:color w:val="000000"/>
          <w:szCs w:val="24"/>
          <w:lang w:eastAsia="en-GB"/>
        </w:rPr>
      </w:pPr>
      <w:bookmarkStart w:id="3644" w:name="bookmark=id.qwdyu4" w:colFirst="0" w:colLast="0"/>
      <w:bookmarkEnd w:id="3644"/>
      <w:r w:rsidRPr="00102034">
        <w:rPr>
          <w:rFonts w:eastAsia="Arial" w:cs="Arial"/>
          <w:color w:val="000000"/>
          <w:szCs w:val="24"/>
          <w:lang w:eastAsia="en-GB"/>
        </w:rPr>
        <w:t>In these cases, it shall inform the competent supervisory authority and the controller of such non-compliance. Where the contract involves more than two Parties, the data exporter may exercise this right to termination only with respect to the relevant Party, unless the Parties have agreed otherwise.</w:t>
      </w:r>
    </w:p>
    <w:p w14:paraId="6BFDAA1B" w14:textId="09900672" w:rsidR="00F67E9E" w:rsidRPr="00102034" w:rsidRDefault="00F67E9E" w:rsidP="00F67E9E">
      <w:pPr>
        <w:numPr>
          <w:ilvl w:val="1"/>
          <w:numId w:val="270"/>
        </w:numPr>
        <w:pBdr>
          <w:top w:val="nil"/>
          <w:left w:val="nil"/>
          <w:bottom w:val="nil"/>
          <w:right w:val="nil"/>
          <w:between w:val="nil"/>
        </w:pBdr>
        <w:tabs>
          <w:tab w:val="left" w:pos="1440"/>
        </w:tabs>
        <w:spacing w:before="120" w:after="240"/>
        <w:ind w:left="1440" w:hanging="720"/>
        <w:rPr>
          <w:rFonts w:eastAsia="Arial" w:cs="Arial"/>
          <w:color w:val="000000"/>
          <w:szCs w:val="24"/>
          <w:lang w:eastAsia="en-GB"/>
        </w:rPr>
      </w:pPr>
      <w:bookmarkStart w:id="3645" w:name="bookmark=id.3aw1hhx" w:colFirst="0" w:colLast="0"/>
      <w:bookmarkEnd w:id="3645"/>
      <w:r w:rsidRPr="00102034">
        <w:rPr>
          <w:rFonts w:eastAsia="Arial" w:cs="Arial"/>
          <w:color w:val="000000"/>
          <w:szCs w:val="24"/>
          <w:lang w:eastAsia="en-GB"/>
        </w:rPr>
        <w:t>Personal data that has been transferred prior to the termination of the contract pursuant to paragraph ‎</w:t>
      </w:r>
      <w:r>
        <w:rPr>
          <w:rFonts w:eastAsia="Arial" w:cs="Arial"/>
          <w:color w:val="000000"/>
          <w:szCs w:val="24"/>
          <w:lang w:eastAsia="en-GB"/>
        </w:rPr>
        <w:fldChar w:fldCharType="begin"/>
      </w:r>
      <w:r>
        <w:rPr>
          <w:rFonts w:eastAsia="Arial" w:cs="Arial"/>
          <w:color w:val="000000"/>
          <w:szCs w:val="24"/>
          <w:lang w:eastAsia="en-GB"/>
        </w:rPr>
        <w:instrText xml:space="preserve"> REF _Ref141249289 \n \h </w:instrText>
      </w:r>
      <w:r>
        <w:rPr>
          <w:rFonts w:eastAsia="Arial" w:cs="Arial"/>
          <w:color w:val="000000"/>
          <w:szCs w:val="24"/>
          <w:lang w:eastAsia="en-GB"/>
        </w:rPr>
      </w:r>
      <w:r>
        <w:rPr>
          <w:rFonts w:eastAsia="Arial" w:cs="Arial"/>
          <w:color w:val="000000"/>
          <w:szCs w:val="24"/>
          <w:lang w:eastAsia="en-GB"/>
        </w:rPr>
        <w:fldChar w:fldCharType="separate"/>
      </w:r>
      <w:r w:rsidR="00302D39">
        <w:rPr>
          <w:rFonts w:eastAsia="Arial" w:cs="Arial"/>
          <w:color w:val="000000"/>
          <w:szCs w:val="24"/>
          <w:lang w:eastAsia="en-GB"/>
        </w:rPr>
        <w:t>(c)</w:t>
      </w:r>
      <w:r>
        <w:rPr>
          <w:rFonts w:eastAsia="Arial" w:cs="Arial"/>
          <w:color w:val="000000"/>
          <w:szCs w:val="24"/>
          <w:lang w:eastAsia="en-GB"/>
        </w:rPr>
        <w:fldChar w:fldCharType="end"/>
      </w:r>
      <w:r w:rsidRPr="00102034">
        <w:rPr>
          <w:rFonts w:eastAsia="Arial" w:cs="Arial"/>
          <w:color w:val="000000"/>
          <w:szCs w:val="24"/>
          <w:lang w:eastAsia="en-GB"/>
        </w:rPr>
        <w:t xml:space="preserve"> shall at the choice of the data exporter immediately be returned to the data exporter or deleted in its entirety. The same shall apply to any copies of the data. The data importer shall certify the deletion of the data to the data exporter. Until the data is deleted or returned, the data importer shall continue to ensure compliance with these Clauses. In case of local laws applicable to the data importer that prohibit the return or deletion of the transferred personal data, the data importer warrants that it will continue to ensure compliance with these Clauses and will only process the data to the extent and for as long as required under that local law.</w:t>
      </w:r>
    </w:p>
    <w:p w14:paraId="7D73C278" w14:textId="77777777" w:rsidR="00F67E9E" w:rsidRPr="00102034" w:rsidRDefault="00F67E9E" w:rsidP="00F67E9E">
      <w:pPr>
        <w:numPr>
          <w:ilvl w:val="1"/>
          <w:numId w:val="270"/>
        </w:numPr>
        <w:pBdr>
          <w:top w:val="nil"/>
          <w:left w:val="nil"/>
          <w:bottom w:val="nil"/>
          <w:right w:val="nil"/>
          <w:between w:val="nil"/>
        </w:pBdr>
        <w:tabs>
          <w:tab w:val="left" w:pos="1440"/>
        </w:tabs>
        <w:spacing w:before="120" w:after="240"/>
        <w:ind w:left="1440" w:hanging="720"/>
        <w:rPr>
          <w:rFonts w:eastAsia="Arial" w:cs="Arial"/>
          <w:color w:val="000000"/>
          <w:szCs w:val="24"/>
          <w:lang w:eastAsia="en-GB"/>
        </w:rPr>
      </w:pPr>
      <w:bookmarkStart w:id="3646" w:name="bookmark=id.1q1brpq" w:colFirst="0" w:colLast="0"/>
      <w:bookmarkEnd w:id="3646"/>
      <w:r w:rsidRPr="00102034">
        <w:rPr>
          <w:rFonts w:eastAsia="Arial" w:cs="Arial"/>
          <w:color w:val="000000"/>
          <w:szCs w:val="24"/>
          <w:lang w:eastAsia="en-GB"/>
        </w:rPr>
        <w:t>Either Party may revoke its agreement to be bound by these Clauses where (i) the European Commission adopts a decision pursuant to Article 45(3) of Regulation (EU) 2016/679 that covers the transfer of personal data to which these Clauses apply; or (ii) Regulation (EU) 2016/679 becomes part of the legal framework of the country to which the personal data is transferred. This is without prejudice to other obligations applying to the processing in question under Regulation (EU) 2016/679.</w:t>
      </w:r>
    </w:p>
    <w:p w14:paraId="5CF86EC0" w14:textId="77777777" w:rsidR="00F67E9E" w:rsidRPr="00102034" w:rsidRDefault="00F67E9E" w:rsidP="00F67E9E">
      <w:pPr>
        <w:pBdr>
          <w:top w:val="nil"/>
          <w:left w:val="nil"/>
          <w:bottom w:val="nil"/>
          <w:right w:val="nil"/>
          <w:between w:val="nil"/>
        </w:pBdr>
        <w:spacing w:before="120"/>
        <w:jc w:val="center"/>
        <w:rPr>
          <w:rFonts w:eastAsia="Arial" w:cs="Arial"/>
          <w:b/>
          <w:color w:val="000000"/>
          <w:szCs w:val="24"/>
          <w:lang w:eastAsia="en-GB"/>
        </w:rPr>
      </w:pPr>
      <w:r w:rsidRPr="00102034">
        <w:rPr>
          <w:rFonts w:eastAsia="Arial" w:cs="Arial"/>
          <w:b/>
          <w:color w:val="000000"/>
          <w:szCs w:val="24"/>
          <w:lang w:eastAsia="en-GB"/>
        </w:rPr>
        <w:t>CLAUSE 17</w:t>
      </w:r>
    </w:p>
    <w:p w14:paraId="41BDB103" w14:textId="77777777" w:rsidR="00F67E9E" w:rsidRPr="00102034" w:rsidRDefault="00F67E9E" w:rsidP="00F67E9E">
      <w:pPr>
        <w:pBdr>
          <w:top w:val="nil"/>
          <w:left w:val="nil"/>
          <w:bottom w:val="nil"/>
          <w:right w:val="nil"/>
          <w:between w:val="nil"/>
        </w:pBdr>
        <w:spacing w:before="120"/>
        <w:jc w:val="center"/>
        <w:rPr>
          <w:rFonts w:eastAsia="Arial" w:cs="Arial"/>
          <w:b/>
          <w:color w:val="000000"/>
          <w:szCs w:val="24"/>
          <w:lang w:eastAsia="en-GB"/>
        </w:rPr>
      </w:pPr>
      <w:r w:rsidRPr="00102034">
        <w:rPr>
          <w:rFonts w:eastAsia="Arial" w:cs="Arial"/>
          <w:b/>
          <w:color w:val="000000"/>
          <w:szCs w:val="24"/>
          <w:lang w:eastAsia="en-GB"/>
        </w:rPr>
        <w:t>Governing law</w:t>
      </w:r>
    </w:p>
    <w:p w14:paraId="253CA432" w14:textId="77777777" w:rsidR="00F67E9E" w:rsidRPr="00102034" w:rsidRDefault="00F67E9E" w:rsidP="00F67E9E">
      <w:pPr>
        <w:pBdr>
          <w:top w:val="nil"/>
          <w:left w:val="nil"/>
          <w:bottom w:val="nil"/>
          <w:right w:val="nil"/>
          <w:between w:val="nil"/>
        </w:pBdr>
        <w:spacing w:before="240" w:after="240"/>
        <w:ind w:firstLine="1440"/>
        <w:rPr>
          <w:rFonts w:eastAsia="Arial" w:cs="Arial"/>
          <w:color w:val="000000"/>
          <w:szCs w:val="24"/>
          <w:lang w:eastAsia="en-GB"/>
        </w:rPr>
      </w:pPr>
      <w:bookmarkStart w:id="3647" w:name="bookmark=id.4a0zadj" w:colFirst="0" w:colLast="0"/>
      <w:bookmarkEnd w:id="3647"/>
      <w:r w:rsidRPr="00102034">
        <w:rPr>
          <w:rFonts w:eastAsia="Arial" w:cs="Arial"/>
          <w:color w:val="000000"/>
          <w:szCs w:val="24"/>
          <w:lang w:eastAsia="en-GB"/>
        </w:rPr>
        <w:t>[OPTION 1: These Clauses shall be governed by the law of one of the EU Member States, provided such law allows for third-party beneficiary rights. The Parties agree that this shall be the law of _______ (</w:t>
      </w:r>
      <w:r w:rsidRPr="00102034">
        <w:rPr>
          <w:rFonts w:eastAsia="Arial" w:cs="Arial"/>
          <w:i/>
          <w:color w:val="000000"/>
          <w:szCs w:val="24"/>
          <w:lang w:eastAsia="en-GB"/>
        </w:rPr>
        <w:t>specify Member State</w:t>
      </w:r>
      <w:r w:rsidRPr="00102034">
        <w:rPr>
          <w:rFonts w:eastAsia="Arial" w:cs="Arial"/>
          <w:color w:val="000000"/>
          <w:szCs w:val="24"/>
          <w:lang w:eastAsia="en-GB"/>
        </w:rPr>
        <w:t>).]</w:t>
      </w:r>
    </w:p>
    <w:p w14:paraId="2273DF6B" w14:textId="77777777" w:rsidR="00F67E9E" w:rsidRPr="00102034" w:rsidRDefault="00F67E9E" w:rsidP="00F67E9E">
      <w:pPr>
        <w:pBdr>
          <w:top w:val="nil"/>
          <w:left w:val="nil"/>
          <w:bottom w:val="nil"/>
          <w:right w:val="nil"/>
          <w:between w:val="nil"/>
        </w:pBdr>
        <w:spacing w:before="240" w:after="240"/>
        <w:ind w:firstLine="1440"/>
        <w:rPr>
          <w:rFonts w:eastAsia="Arial" w:cs="Arial"/>
          <w:color w:val="000000"/>
          <w:szCs w:val="24"/>
          <w:lang w:eastAsia="en-GB"/>
        </w:rPr>
      </w:pPr>
      <w:bookmarkStart w:id="3648" w:name="bookmark=id.2p69klc" w:colFirst="0" w:colLast="0"/>
      <w:bookmarkEnd w:id="3648"/>
      <w:r w:rsidRPr="00102034">
        <w:rPr>
          <w:rFonts w:eastAsia="Arial" w:cs="Arial"/>
          <w:color w:val="000000"/>
          <w:szCs w:val="24"/>
          <w:lang w:eastAsia="en-GB"/>
        </w:rPr>
        <w:t>[OPTION 2: These Clauses shall be governed by the law of the EU Member State in which the data exporter is established. Where such law does not allow for third-party beneficiary rights, they shall be governed by the law of another EU Member State that does allow for third-party beneficiary rights. The Parties agree that this shall be the law of _______ (</w:t>
      </w:r>
      <w:r w:rsidRPr="00102034">
        <w:rPr>
          <w:rFonts w:eastAsia="Arial" w:cs="Arial"/>
          <w:i/>
          <w:color w:val="000000"/>
          <w:szCs w:val="24"/>
          <w:lang w:eastAsia="en-GB"/>
        </w:rPr>
        <w:t>specify Member State</w:t>
      </w:r>
      <w:r w:rsidRPr="00102034">
        <w:rPr>
          <w:rFonts w:eastAsia="Arial" w:cs="Arial"/>
          <w:color w:val="000000"/>
          <w:szCs w:val="24"/>
          <w:lang w:eastAsia="en-GB"/>
        </w:rPr>
        <w:t>).]</w:t>
      </w:r>
    </w:p>
    <w:p w14:paraId="524EC9C3" w14:textId="77777777" w:rsidR="00F67E9E" w:rsidRPr="00102034" w:rsidRDefault="00F67E9E" w:rsidP="00F67E9E">
      <w:pPr>
        <w:pBdr>
          <w:top w:val="nil"/>
          <w:left w:val="nil"/>
          <w:bottom w:val="nil"/>
          <w:right w:val="nil"/>
          <w:between w:val="nil"/>
        </w:pBdr>
        <w:spacing w:before="120"/>
        <w:jc w:val="center"/>
        <w:rPr>
          <w:rFonts w:eastAsia="Arial" w:cs="Arial"/>
          <w:b/>
          <w:color w:val="000000"/>
          <w:szCs w:val="24"/>
          <w:lang w:eastAsia="en-GB"/>
        </w:rPr>
      </w:pPr>
      <w:r w:rsidRPr="00102034">
        <w:rPr>
          <w:rFonts w:eastAsia="Arial" w:cs="Arial"/>
          <w:b/>
          <w:color w:val="000000"/>
          <w:szCs w:val="24"/>
          <w:lang w:eastAsia="en-GB"/>
        </w:rPr>
        <w:t>CLAUSE 18</w:t>
      </w:r>
    </w:p>
    <w:p w14:paraId="339F1907" w14:textId="77777777" w:rsidR="00F67E9E" w:rsidRPr="00102034" w:rsidRDefault="00F67E9E" w:rsidP="00F67E9E">
      <w:pPr>
        <w:pBdr>
          <w:top w:val="nil"/>
          <w:left w:val="nil"/>
          <w:bottom w:val="nil"/>
          <w:right w:val="nil"/>
          <w:between w:val="nil"/>
        </w:pBdr>
        <w:spacing w:before="120"/>
        <w:jc w:val="center"/>
        <w:rPr>
          <w:rFonts w:eastAsia="Arial" w:cs="Arial"/>
          <w:b/>
          <w:color w:val="000000"/>
          <w:szCs w:val="24"/>
          <w:lang w:eastAsia="en-GB"/>
        </w:rPr>
      </w:pPr>
      <w:r w:rsidRPr="00102034">
        <w:rPr>
          <w:rFonts w:eastAsia="Arial" w:cs="Arial"/>
          <w:b/>
          <w:color w:val="000000"/>
          <w:szCs w:val="24"/>
          <w:lang w:eastAsia="en-GB"/>
        </w:rPr>
        <w:t>Choice of forum and jurisdiction</w:t>
      </w:r>
    </w:p>
    <w:p w14:paraId="798FFD8D" w14:textId="77777777" w:rsidR="00F67E9E" w:rsidRPr="00102034" w:rsidRDefault="00F67E9E" w:rsidP="00F67E9E">
      <w:pPr>
        <w:numPr>
          <w:ilvl w:val="1"/>
          <w:numId w:val="271"/>
        </w:numPr>
        <w:pBdr>
          <w:top w:val="nil"/>
          <w:left w:val="nil"/>
          <w:bottom w:val="nil"/>
          <w:right w:val="nil"/>
          <w:between w:val="nil"/>
        </w:pBdr>
        <w:tabs>
          <w:tab w:val="left" w:pos="1440"/>
        </w:tabs>
        <w:spacing w:before="120" w:after="240"/>
        <w:ind w:left="1440" w:hanging="720"/>
        <w:rPr>
          <w:rFonts w:eastAsia="Arial" w:cs="Arial"/>
          <w:color w:val="000000"/>
          <w:szCs w:val="24"/>
          <w:lang w:eastAsia="en-GB"/>
        </w:rPr>
      </w:pPr>
      <w:bookmarkStart w:id="3649" w:name="bookmark=id.14bjut5" w:colFirst="0" w:colLast="0"/>
      <w:bookmarkEnd w:id="3649"/>
      <w:r w:rsidRPr="00102034">
        <w:rPr>
          <w:rFonts w:eastAsia="Arial" w:cs="Arial"/>
          <w:color w:val="000000"/>
          <w:szCs w:val="24"/>
          <w:lang w:eastAsia="en-GB"/>
        </w:rPr>
        <w:t>Any dispute arising from these Clauses shall be resolved by the courts of an EU Member State.</w:t>
      </w:r>
    </w:p>
    <w:p w14:paraId="23FF0C86" w14:textId="77777777" w:rsidR="00F67E9E" w:rsidRPr="00102034" w:rsidRDefault="00F67E9E" w:rsidP="00F67E9E">
      <w:pPr>
        <w:numPr>
          <w:ilvl w:val="1"/>
          <w:numId w:val="271"/>
        </w:numPr>
        <w:pBdr>
          <w:top w:val="nil"/>
          <w:left w:val="nil"/>
          <w:bottom w:val="nil"/>
          <w:right w:val="nil"/>
          <w:between w:val="nil"/>
        </w:pBdr>
        <w:tabs>
          <w:tab w:val="left" w:pos="1440"/>
        </w:tabs>
        <w:spacing w:before="120" w:after="240"/>
        <w:ind w:left="1440" w:hanging="720"/>
        <w:rPr>
          <w:rFonts w:eastAsia="Arial" w:cs="Arial"/>
          <w:color w:val="000000"/>
          <w:szCs w:val="24"/>
          <w:lang w:eastAsia="en-GB"/>
        </w:rPr>
      </w:pPr>
      <w:bookmarkStart w:id="3650" w:name="bookmark=id.3ob7dgy" w:colFirst="0" w:colLast="0"/>
      <w:bookmarkEnd w:id="3650"/>
      <w:r w:rsidRPr="00102034">
        <w:rPr>
          <w:rFonts w:eastAsia="Arial" w:cs="Arial"/>
          <w:color w:val="000000"/>
          <w:szCs w:val="24"/>
          <w:lang w:eastAsia="en-GB"/>
        </w:rPr>
        <w:t xml:space="preserve">The Parties agree that those shall be the courts of _____ </w:t>
      </w:r>
      <w:r w:rsidRPr="00102034">
        <w:rPr>
          <w:rFonts w:eastAsia="Arial" w:cs="Arial"/>
          <w:i/>
          <w:color w:val="000000"/>
          <w:szCs w:val="24"/>
          <w:lang w:eastAsia="en-GB"/>
        </w:rPr>
        <w:t>(specify Member State)</w:t>
      </w:r>
      <w:r w:rsidRPr="00102034">
        <w:rPr>
          <w:rFonts w:eastAsia="Arial" w:cs="Arial"/>
          <w:color w:val="000000"/>
          <w:szCs w:val="24"/>
          <w:lang w:eastAsia="en-GB"/>
        </w:rPr>
        <w:t>.</w:t>
      </w:r>
    </w:p>
    <w:p w14:paraId="0A9045BA" w14:textId="77777777" w:rsidR="00F67E9E" w:rsidRPr="00102034" w:rsidRDefault="00F67E9E" w:rsidP="00F67E9E">
      <w:pPr>
        <w:numPr>
          <w:ilvl w:val="1"/>
          <w:numId w:val="271"/>
        </w:numPr>
        <w:pBdr>
          <w:top w:val="nil"/>
          <w:left w:val="nil"/>
          <w:bottom w:val="nil"/>
          <w:right w:val="nil"/>
          <w:between w:val="nil"/>
        </w:pBdr>
        <w:tabs>
          <w:tab w:val="left" w:pos="1440"/>
        </w:tabs>
        <w:spacing w:before="120" w:after="240"/>
        <w:ind w:left="1440" w:hanging="720"/>
        <w:rPr>
          <w:rFonts w:eastAsia="Arial" w:cs="Arial"/>
          <w:color w:val="000000"/>
          <w:szCs w:val="24"/>
          <w:lang w:eastAsia="en-GB"/>
        </w:rPr>
      </w:pPr>
      <w:bookmarkStart w:id="3651" w:name="bookmark=id.23ghnor" w:colFirst="0" w:colLast="0"/>
      <w:bookmarkEnd w:id="3651"/>
      <w:r w:rsidRPr="00102034">
        <w:rPr>
          <w:rFonts w:eastAsia="Arial" w:cs="Arial"/>
          <w:color w:val="000000"/>
          <w:szCs w:val="24"/>
          <w:lang w:eastAsia="en-GB"/>
        </w:rPr>
        <w:t>A data subject may also bring legal proceedings against the data exporter and/or data importer before the courts of the Member State in which he/she has his/her habitual residence.</w:t>
      </w:r>
    </w:p>
    <w:p w14:paraId="5BCFAA44" w14:textId="77777777" w:rsidR="00F67E9E" w:rsidRPr="00102034" w:rsidRDefault="00F67E9E" w:rsidP="00F67E9E">
      <w:pPr>
        <w:numPr>
          <w:ilvl w:val="1"/>
          <w:numId w:val="271"/>
        </w:numPr>
        <w:pBdr>
          <w:top w:val="nil"/>
          <w:left w:val="nil"/>
          <w:bottom w:val="nil"/>
          <w:right w:val="nil"/>
          <w:between w:val="nil"/>
        </w:pBdr>
        <w:tabs>
          <w:tab w:val="left" w:pos="1440"/>
        </w:tabs>
        <w:spacing w:before="120" w:after="240"/>
        <w:ind w:left="1440" w:hanging="720"/>
        <w:rPr>
          <w:rFonts w:eastAsia="Arial" w:cs="Arial"/>
          <w:color w:val="000000"/>
          <w:szCs w:val="24"/>
          <w:lang w:eastAsia="en-GB"/>
        </w:rPr>
      </w:pPr>
      <w:bookmarkStart w:id="3652" w:name="bookmark=id.ilrxwk" w:colFirst="0" w:colLast="0"/>
      <w:bookmarkEnd w:id="3652"/>
      <w:r w:rsidRPr="00102034">
        <w:rPr>
          <w:rFonts w:eastAsia="Arial" w:cs="Arial"/>
          <w:color w:val="000000"/>
          <w:szCs w:val="24"/>
          <w:lang w:eastAsia="en-GB"/>
        </w:rPr>
        <w:t>The Parties agree to submit themselves to the jurisdiction of such courts.</w:t>
      </w:r>
    </w:p>
    <w:p w14:paraId="48C3C74C" w14:textId="77777777" w:rsidR="00F67E9E" w:rsidRPr="00102034" w:rsidRDefault="00F67E9E" w:rsidP="00F67E9E">
      <w:pPr>
        <w:pBdr>
          <w:top w:val="nil"/>
          <w:left w:val="nil"/>
          <w:bottom w:val="nil"/>
          <w:right w:val="nil"/>
          <w:between w:val="nil"/>
        </w:pBdr>
        <w:spacing w:before="120"/>
        <w:rPr>
          <w:rFonts w:eastAsia="Arial" w:cs="Arial"/>
          <w:color w:val="000000"/>
          <w:szCs w:val="24"/>
          <w:lang w:eastAsia="en-GB"/>
        </w:rPr>
      </w:pPr>
    </w:p>
    <w:p w14:paraId="19C18B39" w14:textId="77777777" w:rsidR="00F67E9E" w:rsidRPr="00102034" w:rsidRDefault="00F67E9E" w:rsidP="00F67E9E">
      <w:pPr>
        <w:pBdr>
          <w:top w:val="nil"/>
          <w:left w:val="nil"/>
          <w:bottom w:val="nil"/>
          <w:right w:val="nil"/>
          <w:between w:val="nil"/>
        </w:pBdr>
        <w:spacing w:before="120"/>
        <w:jc w:val="center"/>
        <w:rPr>
          <w:rFonts w:eastAsia="Arial" w:cs="Arial"/>
          <w:b/>
          <w:color w:val="000000"/>
          <w:szCs w:val="24"/>
          <w:lang w:eastAsia="en-GB"/>
        </w:rPr>
      </w:pPr>
      <w:r w:rsidRPr="00102034">
        <w:rPr>
          <w:rFonts w:eastAsia="Arial" w:cs="Arial"/>
          <w:b/>
          <w:color w:val="000000"/>
          <w:szCs w:val="24"/>
          <w:lang w:eastAsia="en-GB"/>
        </w:rPr>
        <w:t>Official European Commission Footnotes</w:t>
      </w:r>
    </w:p>
    <w:bookmarkStart w:id="3653" w:name="bookmark=id.32lfgkd" w:colFirst="0" w:colLast="0"/>
    <w:bookmarkEnd w:id="3653"/>
    <w:p w14:paraId="3106D0AA" w14:textId="77777777" w:rsidR="00F67E9E" w:rsidRPr="00102034" w:rsidRDefault="00F67E9E" w:rsidP="00F67E9E">
      <w:pPr>
        <w:pBdr>
          <w:top w:val="nil"/>
          <w:left w:val="nil"/>
          <w:bottom w:val="nil"/>
          <w:right w:val="nil"/>
          <w:between w:val="nil"/>
        </w:pBdr>
        <w:spacing w:before="240" w:after="240"/>
        <w:ind w:firstLine="1440"/>
        <w:rPr>
          <w:rFonts w:eastAsia="Arial" w:cs="Arial"/>
          <w:color w:val="000000"/>
          <w:szCs w:val="24"/>
          <w:lang w:eastAsia="en-GB"/>
        </w:rPr>
      </w:pPr>
      <w:r w:rsidRPr="00102034">
        <w:rPr>
          <w:rFonts w:ascii="Calibri" w:eastAsia="Calibri" w:hAnsi="Calibri" w:cs="Calibri"/>
          <w:sz w:val="22"/>
          <w:szCs w:val="22"/>
          <w:lang w:eastAsia="en-GB"/>
        </w:rPr>
        <w:fldChar w:fldCharType="begin"/>
      </w:r>
      <w:r w:rsidRPr="00102034">
        <w:rPr>
          <w:rFonts w:ascii="Calibri" w:eastAsia="Calibri" w:hAnsi="Calibri" w:cs="Calibri"/>
          <w:sz w:val="22"/>
          <w:szCs w:val="22"/>
          <w:lang w:eastAsia="en-GB"/>
        </w:rPr>
        <w:instrText xml:space="preserve"> HYPERLINK \l "bookmark=id.1l354xk" \h </w:instrText>
      </w:r>
      <w:r w:rsidRPr="00102034">
        <w:rPr>
          <w:rFonts w:ascii="Calibri" w:eastAsia="Calibri" w:hAnsi="Calibri" w:cs="Calibri"/>
          <w:sz w:val="22"/>
          <w:szCs w:val="22"/>
          <w:lang w:eastAsia="en-GB"/>
        </w:rPr>
        <w:fldChar w:fldCharType="separate"/>
      </w:r>
      <w:r w:rsidRPr="00102034">
        <w:rPr>
          <w:rFonts w:eastAsia="Arial" w:cs="Arial"/>
          <w:color w:val="0000FF"/>
          <w:szCs w:val="24"/>
          <w:u w:val="single"/>
          <w:lang w:eastAsia="en-GB"/>
        </w:rPr>
        <w:t>FN1</w:t>
      </w:r>
      <w:r w:rsidRPr="00102034">
        <w:rPr>
          <w:rFonts w:eastAsia="Arial" w:cs="Arial"/>
          <w:color w:val="0000FF"/>
          <w:szCs w:val="24"/>
          <w:u w:val="single"/>
          <w:lang w:eastAsia="en-GB"/>
        </w:rPr>
        <w:fldChar w:fldCharType="end"/>
      </w:r>
      <w:r w:rsidRPr="00102034">
        <w:rPr>
          <w:rFonts w:eastAsia="Arial" w:cs="Arial"/>
          <w:color w:val="000000"/>
          <w:szCs w:val="24"/>
          <w:lang w:eastAsia="en-GB"/>
        </w:rPr>
        <w:t>: Where the data exporter is a processor subject to Regulation (EU) 2016/679 acting on behalf of a Union institution or body as controller, reliance on these Clauses when engaging another processor (sub-processing) not subject to Regulation (EU) 2016/679 also ensures compliance with Article 29(4) of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w:t>
      </w:r>
      <w:r w:rsidRPr="00102034">
        <w:rPr>
          <w:rFonts w:eastAsia="Arial" w:cs="Arial"/>
          <w:color w:val="0000FF"/>
          <w:szCs w:val="24"/>
          <w:u w:val="single"/>
          <w:lang w:eastAsia="en-GB"/>
        </w:rPr>
        <w:t>OJ L 295, 21.11.2018, p. 39</w:t>
      </w:r>
      <w:r w:rsidRPr="00102034">
        <w:rPr>
          <w:rFonts w:eastAsia="Arial" w:cs="Arial"/>
          <w:color w:val="000000"/>
          <w:szCs w:val="24"/>
          <w:lang w:eastAsia="en-GB"/>
        </w:rPr>
        <w:t>), to the extent these Clauses and the data protection obligations as set out in the contract or other legal act between the controller and the processor pursuant to Article 29(3) of Regulation (EU) 2018/1725 are aligned. This will in particular be the case where the controller and processor rely on the standard contractual clauses included in Decision 2021/915.</w:t>
      </w:r>
    </w:p>
    <w:bookmarkStart w:id="3654" w:name="bookmark=id.1hqpqs6" w:colFirst="0" w:colLast="0"/>
    <w:bookmarkEnd w:id="3654"/>
    <w:p w14:paraId="6D7FE41E" w14:textId="77777777" w:rsidR="00F67E9E" w:rsidRPr="00102034" w:rsidRDefault="00F67E9E" w:rsidP="00F67E9E">
      <w:pPr>
        <w:pBdr>
          <w:top w:val="nil"/>
          <w:left w:val="nil"/>
          <w:bottom w:val="nil"/>
          <w:right w:val="nil"/>
          <w:between w:val="nil"/>
        </w:pBdr>
        <w:spacing w:before="240" w:after="240"/>
        <w:ind w:firstLine="1440"/>
        <w:rPr>
          <w:rFonts w:eastAsia="Arial" w:cs="Arial"/>
          <w:color w:val="000000"/>
          <w:szCs w:val="24"/>
          <w:lang w:eastAsia="en-GB"/>
        </w:rPr>
      </w:pPr>
      <w:r w:rsidRPr="00102034">
        <w:rPr>
          <w:rFonts w:ascii="Calibri" w:eastAsia="Calibri" w:hAnsi="Calibri" w:cs="Calibri"/>
          <w:sz w:val="22"/>
          <w:szCs w:val="22"/>
          <w:lang w:eastAsia="en-GB"/>
        </w:rPr>
        <w:fldChar w:fldCharType="begin"/>
      </w:r>
      <w:r w:rsidRPr="00102034">
        <w:rPr>
          <w:rFonts w:ascii="Calibri" w:eastAsia="Calibri" w:hAnsi="Calibri" w:cs="Calibri"/>
          <w:sz w:val="22"/>
          <w:szCs w:val="22"/>
          <w:lang w:eastAsia="en-GB"/>
        </w:rPr>
        <w:instrText xml:space="preserve"> HYPERLINK \l "bookmark=id.3vuw5zt" \h </w:instrText>
      </w:r>
      <w:r w:rsidRPr="00102034">
        <w:rPr>
          <w:rFonts w:ascii="Calibri" w:eastAsia="Calibri" w:hAnsi="Calibri" w:cs="Calibri"/>
          <w:sz w:val="22"/>
          <w:szCs w:val="22"/>
          <w:lang w:eastAsia="en-GB"/>
        </w:rPr>
        <w:fldChar w:fldCharType="separate"/>
      </w:r>
      <w:r w:rsidRPr="00102034">
        <w:rPr>
          <w:rFonts w:eastAsia="Arial" w:cs="Arial"/>
          <w:color w:val="0000FF"/>
          <w:szCs w:val="24"/>
          <w:u w:val="single"/>
          <w:lang w:eastAsia="en-GB"/>
        </w:rPr>
        <w:t>FN5</w:t>
      </w:r>
      <w:r w:rsidRPr="00102034">
        <w:rPr>
          <w:rFonts w:eastAsia="Arial" w:cs="Arial"/>
          <w:color w:val="0000FF"/>
          <w:szCs w:val="24"/>
          <w:u w:val="single"/>
          <w:lang w:eastAsia="en-GB"/>
        </w:rPr>
        <w:fldChar w:fldCharType="end"/>
      </w:r>
      <w:r w:rsidRPr="00102034">
        <w:rPr>
          <w:rFonts w:eastAsia="Arial" w:cs="Arial"/>
          <w:color w:val="000000"/>
          <w:szCs w:val="24"/>
          <w:lang w:eastAsia="en-GB"/>
        </w:rPr>
        <w:t>: See Article 28(4) of Regulation (EU) 2016/679 and, where the controller is an EU institution or body, Article 29(4) of Regulation (EU) 2018/1725.</w:t>
      </w:r>
    </w:p>
    <w:bookmarkStart w:id="3655" w:name="bookmark=id.41qd9fz" w:colFirst="0" w:colLast="0"/>
    <w:bookmarkEnd w:id="3655"/>
    <w:p w14:paraId="5E5F5559" w14:textId="77777777" w:rsidR="00F67E9E" w:rsidRPr="00102034" w:rsidRDefault="00F67E9E" w:rsidP="00F67E9E">
      <w:pPr>
        <w:pBdr>
          <w:top w:val="nil"/>
          <w:left w:val="nil"/>
          <w:bottom w:val="nil"/>
          <w:right w:val="nil"/>
          <w:between w:val="nil"/>
        </w:pBdr>
        <w:spacing w:before="240" w:after="240"/>
        <w:ind w:firstLine="1440"/>
        <w:rPr>
          <w:rFonts w:eastAsia="Arial" w:cs="Arial"/>
          <w:color w:val="000000"/>
          <w:szCs w:val="24"/>
          <w:lang w:eastAsia="en-GB"/>
        </w:rPr>
      </w:pPr>
      <w:r w:rsidRPr="00102034">
        <w:rPr>
          <w:rFonts w:ascii="Calibri" w:eastAsia="Calibri" w:hAnsi="Calibri" w:cs="Calibri"/>
          <w:sz w:val="22"/>
          <w:szCs w:val="22"/>
          <w:lang w:eastAsia="en-GB"/>
        </w:rPr>
        <w:fldChar w:fldCharType="begin"/>
      </w:r>
      <w:r w:rsidRPr="00102034">
        <w:rPr>
          <w:rFonts w:ascii="Calibri" w:eastAsia="Calibri" w:hAnsi="Calibri" w:cs="Calibri"/>
          <w:sz w:val="22"/>
          <w:szCs w:val="22"/>
          <w:lang w:eastAsia="en-GB"/>
        </w:rPr>
        <w:instrText xml:space="preserve"> HYPERLINK \l "bookmark=id.1ueyeci" \h </w:instrText>
      </w:r>
      <w:r w:rsidRPr="00102034">
        <w:rPr>
          <w:rFonts w:ascii="Calibri" w:eastAsia="Calibri" w:hAnsi="Calibri" w:cs="Calibri"/>
          <w:sz w:val="22"/>
          <w:szCs w:val="22"/>
          <w:lang w:eastAsia="en-GB"/>
        </w:rPr>
        <w:fldChar w:fldCharType="separate"/>
      </w:r>
      <w:r w:rsidRPr="00102034">
        <w:rPr>
          <w:rFonts w:eastAsia="Arial" w:cs="Arial"/>
          <w:color w:val="0000FF"/>
          <w:szCs w:val="24"/>
          <w:u w:val="single"/>
          <w:lang w:eastAsia="en-GB"/>
        </w:rPr>
        <w:t>FN6</w:t>
      </w:r>
      <w:r w:rsidRPr="00102034">
        <w:rPr>
          <w:rFonts w:eastAsia="Arial" w:cs="Arial"/>
          <w:color w:val="0000FF"/>
          <w:szCs w:val="24"/>
          <w:u w:val="single"/>
          <w:lang w:eastAsia="en-GB"/>
        </w:rPr>
        <w:fldChar w:fldCharType="end"/>
      </w:r>
      <w:r w:rsidRPr="00102034">
        <w:rPr>
          <w:rFonts w:eastAsia="Arial" w:cs="Arial"/>
          <w:color w:val="000000"/>
          <w:szCs w:val="24"/>
          <w:lang w:eastAsia="en-GB"/>
        </w:rPr>
        <w:t>: The Agreement on the European Economic Area (EEA Agreement) provides for the extension of the European Union's internal market to the three EEA States Iceland, Liechtenstein and Norway. The Union data protection legislation, including Regulation (EU) 2016/679, is covered by the EEA Agreement and has been incorporated into Annex XI thereto. Therefore, any disclosure by the data importer to a third party located in the EEA does not qualify as an onward transfer for the purposes of these Clauses.</w:t>
      </w:r>
    </w:p>
    <w:bookmarkStart w:id="3656" w:name="bookmark=id.2gvnjns" w:colFirst="0" w:colLast="0"/>
    <w:bookmarkEnd w:id="3656"/>
    <w:p w14:paraId="0A5A1A51" w14:textId="77777777" w:rsidR="00F67E9E" w:rsidRPr="00102034" w:rsidRDefault="00F67E9E" w:rsidP="00F67E9E">
      <w:pPr>
        <w:pBdr>
          <w:top w:val="nil"/>
          <w:left w:val="nil"/>
          <w:bottom w:val="nil"/>
          <w:right w:val="nil"/>
          <w:between w:val="nil"/>
        </w:pBdr>
        <w:spacing w:before="240" w:after="240"/>
        <w:ind w:firstLine="1440"/>
        <w:rPr>
          <w:rFonts w:eastAsia="Arial" w:cs="Arial"/>
          <w:color w:val="000000"/>
          <w:szCs w:val="24"/>
          <w:lang w:eastAsia="en-GB"/>
        </w:rPr>
      </w:pPr>
      <w:r w:rsidRPr="00102034">
        <w:rPr>
          <w:rFonts w:ascii="Calibri" w:eastAsia="Calibri" w:hAnsi="Calibri" w:cs="Calibri"/>
          <w:sz w:val="22"/>
          <w:szCs w:val="22"/>
          <w:lang w:eastAsia="en-GB"/>
        </w:rPr>
        <w:fldChar w:fldCharType="begin"/>
      </w:r>
      <w:r w:rsidRPr="00102034">
        <w:rPr>
          <w:rFonts w:ascii="Calibri" w:eastAsia="Calibri" w:hAnsi="Calibri" w:cs="Calibri"/>
          <w:sz w:val="22"/>
          <w:szCs w:val="22"/>
          <w:lang w:eastAsia="en-GB"/>
        </w:rPr>
        <w:instrText xml:space="preserve"> HYPERLINK \l "bookmark=id.1dtqche" \h </w:instrText>
      </w:r>
      <w:r w:rsidRPr="00102034">
        <w:rPr>
          <w:rFonts w:ascii="Calibri" w:eastAsia="Calibri" w:hAnsi="Calibri" w:cs="Calibri"/>
          <w:sz w:val="22"/>
          <w:szCs w:val="22"/>
          <w:lang w:eastAsia="en-GB"/>
        </w:rPr>
        <w:fldChar w:fldCharType="separate"/>
      </w:r>
      <w:r w:rsidRPr="00102034">
        <w:rPr>
          <w:rFonts w:eastAsia="Arial" w:cs="Arial"/>
          <w:color w:val="0000FF"/>
          <w:szCs w:val="24"/>
          <w:u w:val="single"/>
          <w:lang w:eastAsia="en-GB"/>
        </w:rPr>
        <w:t>FN9</w:t>
      </w:r>
      <w:r w:rsidRPr="00102034">
        <w:rPr>
          <w:rFonts w:eastAsia="Arial" w:cs="Arial"/>
          <w:color w:val="0000FF"/>
          <w:szCs w:val="24"/>
          <w:u w:val="single"/>
          <w:lang w:eastAsia="en-GB"/>
        </w:rPr>
        <w:fldChar w:fldCharType="end"/>
      </w:r>
      <w:r w:rsidRPr="00102034">
        <w:rPr>
          <w:rFonts w:eastAsia="Arial" w:cs="Arial"/>
          <w:color w:val="000000"/>
          <w:szCs w:val="24"/>
          <w:lang w:eastAsia="en-GB"/>
        </w:rPr>
        <w:t>: This requirement may be satisfied by the sub-processor acceding to these Clauses under the appropriate Module, in accordance with Clause 7.</w:t>
      </w:r>
    </w:p>
    <w:bookmarkStart w:id="3657" w:name="bookmark=id.w0xtvl" w:colFirst="0" w:colLast="0"/>
    <w:bookmarkEnd w:id="3657"/>
    <w:p w14:paraId="3DB046E1" w14:textId="77777777" w:rsidR="00F67E9E" w:rsidRPr="00102034" w:rsidRDefault="00F67E9E" w:rsidP="00F67E9E">
      <w:pPr>
        <w:pBdr>
          <w:top w:val="nil"/>
          <w:left w:val="nil"/>
          <w:bottom w:val="nil"/>
          <w:right w:val="nil"/>
          <w:between w:val="nil"/>
        </w:pBdr>
        <w:spacing w:before="240" w:after="240"/>
        <w:ind w:firstLine="1440"/>
        <w:rPr>
          <w:rFonts w:eastAsia="Arial" w:cs="Arial"/>
          <w:color w:val="000000"/>
          <w:szCs w:val="24"/>
          <w:lang w:eastAsia="en-GB"/>
        </w:rPr>
      </w:pPr>
      <w:r w:rsidRPr="00102034">
        <w:rPr>
          <w:rFonts w:ascii="Calibri" w:eastAsia="Calibri" w:hAnsi="Calibri" w:cs="Calibri"/>
          <w:sz w:val="22"/>
          <w:szCs w:val="22"/>
          <w:lang w:eastAsia="en-GB"/>
        </w:rPr>
        <w:fldChar w:fldCharType="begin"/>
      </w:r>
      <w:r w:rsidRPr="00102034">
        <w:rPr>
          <w:rFonts w:ascii="Calibri" w:eastAsia="Calibri" w:hAnsi="Calibri" w:cs="Calibri"/>
          <w:sz w:val="22"/>
          <w:szCs w:val="22"/>
          <w:lang w:eastAsia="en-GB"/>
        </w:rPr>
        <w:instrText xml:space="preserve"> HYPERLINK \l "bookmark=id.1dtqche" \h </w:instrText>
      </w:r>
      <w:r w:rsidRPr="00102034">
        <w:rPr>
          <w:rFonts w:ascii="Calibri" w:eastAsia="Calibri" w:hAnsi="Calibri" w:cs="Calibri"/>
          <w:sz w:val="22"/>
          <w:szCs w:val="22"/>
          <w:lang w:eastAsia="en-GB"/>
        </w:rPr>
        <w:fldChar w:fldCharType="separate"/>
      </w:r>
      <w:r w:rsidRPr="00102034">
        <w:rPr>
          <w:rFonts w:eastAsia="Arial" w:cs="Arial"/>
          <w:color w:val="0000FF"/>
          <w:szCs w:val="24"/>
          <w:u w:val="single"/>
          <w:lang w:eastAsia="en-GB"/>
        </w:rPr>
        <w:t>FN11</w:t>
      </w:r>
      <w:r w:rsidRPr="00102034">
        <w:rPr>
          <w:rFonts w:eastAsia="Arial" w:cs="Arial"/>
          <w:color w:val="0000FF"/>
          <w:szCs w:val="24"/>
          <w:u w:val="single"/>
          <w:lang w:eastAsia="en-GB"/>
        </w:rPr>
        <w:fldChar w:fldCharType="end"/>
      </w:r>
      <w:r w:rsidRPr="00102034">
        <w:rPr>
          <w:rFonts w:eastAsia="Arial" w:cs="Arial"/>
          <w:color w:val="000000"/>
          <w:szCs w:val="24"/>
          <w:lang w:eastAsia="en-GB"/>
        </w:rPr>
        <w:t>: The data importer may offer independent dispute resolution through an arbitration body only if it is established in a country that has ratified the New York Convention on Enforcement of Arbitration Awards.</w:t>
      </w:r>
    </w:p>
    <w:bookmarkStart w:id="3658" w:name="bookmark=id.3g0lcje" w:colFirst="0" w:colLast="0"/>
    <w:bookmarkEnd w:id="3658"/>
    <w:p w14:paraId="2E9BFB15" w14:textId="77777777" w:rsidR="00F67E9E" w:rsidRPr="00102034" w:rsidRDefault="00F67E9E" w:rsidP="00F67E9E">
      <w:pPr>
        <w:pBdr>
          <w:top w:val="nil"/>
          <w:left w:val="nil"/>
          <w:bottom w:val="nil"/>
          <w:right w:val="nil"/>
          <w:between w:val="nil"/>
        </w:pBdr>
        <w:spacing w:before="240" w:after="240"/>
        <w:ind w:firstLine="1440"/>
        <w:rPr>
          <w:rFonts w:eastAsia="Arial" w:cs="Arial"/>
          <w:color w:val="000000"/>
          <w:szCs w:val="24"/>
          <w:lang w:eastAsia="en-GB"/>
        </w:rPr>
      </w:pPr>
      <w:r w:rsidRPr="00102034">
        <w:rPr>
          <w:rFonts w:ascii="Calibri" w:eastAsia="Calibri" w:hAnsi="Calibri" w:cs="Calibri"/>
          <w:sz w:val="22"/>
          <w:szCs w:val="22"/>
          <w:lang w:eastAsia="en-GB"/>
        </w:rPr>
        <w:fldChar w:fldCharType="begin"/>
      </w:r>
      <w:r w:rsidRPr="00102034">
        <w:rPr>
          <w:rFonts w:ascii="Calibri" w:eastAsia="Calibri" w:hAnsi="Calibri" w:cs="Calibri"/>
          <w:sz w:val="22"/>
          <w:szCs w:val="22"/>
          <w:lang w:eastAsia="en-GB"/>
        </w:rPr>
        <w:instrText xml:space="preserve"> HYPERLINK \l "bookmark=id.30mxrez" \h </w:instrText>
      </w:r>
      <w:r w:rsidRPr="00102034">
        <w:rPr>
          <w:rFonts w:ascii="Calibri" w:eastAsia="Calibri" w:hAnsi="Calibri" w:cs="Calibri"/>
          <w:sz w:val="22"/>
          <w:szCs w:val="22"/>
          <w:lang w:eastAsia="en-GB"/>
        </w:rPr>
        <w:fldChar w:fldCharType="separate"/>
      </w:r>
      <w:r w:rsidRPr="00102034">
        <w:rPr>
          <w:rFonts w:eastAsia="Arial" w:cs="Arial"/>
          <w:color w:val="0000FF"/>
          <w:szCs w:val="24"/>
          <w:u w:val="single"/>
          <w:lang w:eastAsia="en-GB"/>
        </w:rPr>
        <w:t>FN12</w:t>
      </w:r>
      <w:r w:rsidRPr="00102034">
        <w:rPr>
          <w:rFonts w:eastAsia="Arial" w:cs="Arial"/>
          <w:color w:val="0000FF"/>
          <w:szCs w:val="24"/>
          <w:u w:val="single"/>
          <w:lang w:eastAsia="en-GB"/>
        </w:rPr>
        <w:fldChar w:fldCharType="end"/>
      </w:r>
      <w:r w:rsidRPr="00102034">
        <w:rPr>
          <w:rFonts w:eastAsia="Arial" w:cs="Arial"/>
          <w:color w:val="000000"/>
          <w:szCs w:val="24"/>
          <w:lang w:eastAsia="en-GB"/>
        </w:rPr>
        <w:t>: As regards the impact of such laws and practices on compliance with these Clauses, different elements may be considered as part of an overall assessment. Such elements may include relevant and documented practical experience with prior instances of requests for disclosure from public authorities, or the absence of such requests, covering a sufficiently representative time-frame. This refers in particular to internal records or other documentation, drawn up on a continuous basis in accordance with due diligence and certified at senior management level, provided that this information can be lawfully shared with third parties. Where this practical experience is relied upon to conclude that the data importer will not be prevented from complying with these Clauses, it needs to be supported by other relevant, objective elements, and it is for the Parties to consider carefully whether these elements together carry sufficient weight, in terms of their reliability and representativeness, to support this conclusion. In particular, the Parties have to take into account whether their practical experience is corroborated and not contradicted by publicly available or otherwise accessible, reliable information on the existence or absence of requests within the same sector and/or the application of the law in practice, such as case law and reports by independent oversight bodies.</w:t>
      </w:r>
    </w:p>
    <w:p w14:paraId="30FC2A33" w14:textId="77777777" w:rsidR="00F67E9E" w:rsidRPr="00102034" w:rsidRDefault="00F67E9E" w:rsidP="00F67E9E">
      <w:pPr>
        <w:pageBreakBefore/>
        <w:pBdr>
          <w:top w:val="nil"/>
          <w:left w:val="nil"/>
          <w:bottom w:val="nil"/>
          <w:right w:val="nil"/>
          <w:between w:val="nil"/>
        </w:pBdr>
        <w:spacing w:before="120"/>
        <w:jc w:val="center"/>
        <w:rPr>
          <w:rFonts w:eastAsia="Arial" w:cs="Arial"/>
          <w:b/>
          <w:color w:val="000000"/>
          <w:szCs w:val="24"/>
          <w:lang w:eastAsia="en-GB"/>
        </w:rPr>
      </w:pPr>
      <w:bookmarkStart w:id="3659" w:name="Schedule_31_PartC_Appendix"/>
      <w:r w:rsidRPr="00102034">
        <w:rPr>
          <w:rFonts w:eastAsia="Arial" w:cs="Arial"/>
          <w:b/>
          <w:color w:val="000000"/>
          <w:szCs w:val="24"/>
          <w:lang w:eastAsia="en-GB"/>
        </w:rPr>
        <w:t>APPENDIX</w:t>
      </w:r>
      <w:bookmarkEnd w:id="3659"/>
    </w:p>
    <w:p w14:paraId="54EBAAA3" w14:textId="77777777" w:rsidR="00F67E9E" w:rsidRPr="00102034" w:rsidRDefault="00F67E9E" w:rsidP="00F67E9E">
      <w:pPr>
        <w:pBdr>
          <w:top w:val="nil"/>
          <w:left w:val="nil"/>
          <w:bottom w:val="nil"/>
          <w:right w:val="nil"/>
          <w:between w:val="nil"/>
        </w:pBdr>
        <w:spacing w:before="120"/>
        <w:rPr>
          <w:rFonts w:eastAsia="Arial" w:cs="Arial"/>
          <w:color w:val="000000"/>
          <w:szCs w:val="24"/>
          <w:lang w:eastAsia="en-GB"/>
        </w:rPr>
      </w:pPr>
    </w:p>
    <w:tbl>
      <w:tblPr>
        <w:tblW w:w="9450" w:type="dxa"/>
        <w:tblBorders>
          <w:top w:val="nil"/>
          <w:left w:val="nil"/>
          <w:bottom w:val="nil"/>
          <w:right w:val="nil"/>
          <w:insideH w:val="nil"/>
          <w:insideV w:val="nil"/>
        </w:tblBorders>
        <w:tblLayout w:type="fixed"/>
        <w:tblLook w:val="0400" w:firstRow="0" w:lastRow="0" w:firstColumn="0" w:lastColumn="0" w:noHBand="0" w:noVBand="1"/>
      </w:tblPr>
      <w:tblGrid>
        <w:gridCol w:w="9450"/>
      </w:tblGrid>
      <w:tr w:rsidR="00F67E9E" w:rsidRPr="00102034" w14:paraId="661892B5" w14:textId="77777777" w:rsidTr="007F74AA">
        <w:tc>
          <w:tcPr>
            <w:tcW w:w="9450" w:type="dxa"/>
          </w:tcPr>
          <w:p w14:paraId="6FFE0D52" w14:textId="77777777" w:rsidR="00F67E9E" w:rsidRPr="00102034" w:rsidRDefault="00F67E9E" w:rsidP="007F74AA">
            <w:pPr>
              <w:pBdr>
                <w:top w:val="nil"/>
                <w:left w:val="nil"/>
                <w:bottom w:val="nil"/>
                <w:right w:val="nil"/>
                <w:between w:val="nil"/>
              </w:pBdr>
              <w:spacing w:before="120"/>
              <w:rPr>
                <w:rFonts w:eastAsia="Arial" w:cs="Arial"/>
                <w:b/>
                <w:color w:val="000000"/>
                <w:szCs w:val="24"/>
                <w:lang w:eastAsia="en-GB"/>
              </w:rPr>
            </w:pPr>
            <w:r w:rsidRPr="00102034">
              <w:rPr>
                <w:rFonts w:eastAsia="Arial" w:cs="Arial"/>
                <w:color w:val="000000"/>
                <w:szCs w:val="24"/>
                <w:lang w:eastAsia="en-GB"/>
              </w:rPr>
              <w:t>EXPLANATORY NOTE:</w:t>
            </w:r>
          </w:p>
          <w:p w14:paraId="00520864" w14:textId="77777777" w:rsidR="00F67E9E" w:rsidRPr="00102034" w:rsidRDefault="00F67E9E" w:rsidP="007F74AA">
            <w:pPr>
              <w:pBdr>
                <w:top w:val="nil"/>
                <w:left w:val="nil"/>
                <w:bottom w:val="nil"/>
                <w:right w:val="nil"/>
                <w:between w:val="nil"/>
              </w:pBdr>
              <w:spacing w:before="120"/>
              <w:rPr>
                <w:rFonts w:eastAsia="Arial" w:cs="Arial"/>
                <w:b/>
                <w:color w:val="000000"/>
                <w:szCs w:val="24"/>
                <w:lang w:eastAsia="en-GB"/>
              </w:rPr>
            </w:pPr>
            <w:r w:rsidRPr="00102034">
              <w:rPr>
                <w:rFonts w:eastAsia="Arial" w:cs="Arial"/>
                <w:color w:val="000000"/>
                <w:szCs w:val="24"/>
                <w:lang w:eastAsia="en-GB"/>
              </w:rPr>
              <w:t>It must be possible to clearly distinguish the information applicable to each transfer or category of transfers and, in this regard, to determine the respective role(s) of the Parties as data exporter(s) and/or data importer(s). This does not necessarily require completing and signing separate appendices for each transfer/category of transfers and/or contractual relationship, where this transparency can achieved through one appendix. However, where necessary to ensure sufficient clarity, separate appendices should be used.</w:t>
            </w:r>
          </w:p>
        </w:tc>
      </w:tr>
    </w:tbl>
    <w:p w14:paraId="57C1144D" w14:textId="77777777" w:rsidR="00F67E9E" w:rsidRPr="00102034" w:rsidRDefault="00F67E9E" w:rsidP="00F67E9E">
      <w:pPr>
        <w:pBdr>
          <w:top w:val="nil"/>
          <w:left w:val="nil"/>
          <w:bottom w:val="nil"/>
          <w:right w:val="nil"/>
          <w:between w:val="nil"/>
        </w:pBdr>
        <w:spacing w:before="120"/>
        <w:rPr>
          <w:rFonts w:eastAsia="Arial" w:cs="Arial"/>
          <w:color w:val="000000"/>
          <w:szCs w:val="24"/>
          <w:lang w:eastAsia="en-GB"/>
        </w:rPr>
      </w:pPr>
    </w:p>
    <w:p w14:paraId="2534C170" w14:textId="77777777" w:rsidR="00F67E9E" w:rsidRPr="00102034" w:rsidRDefault="00F67E9E" w:rsidP="00F67E9E">
      <w:pPr>
        <w:pageBreakBefore/>
        <w:pBdr>
          <w:top w:val="nil"/>
          <w:left w:val="nil"/>
          <w:bottom w:val="nil"/>
          <w:right w:val="nil"/>
          <w:between w:val="nil"/>
        </w:pBdr>
        <w:spacing w:before="120"/>
        <w:jc w:val="center"/>
        <w:rPr>
          <w:rFonts w:eastAsia="Arial" w:cs="Arial"/>
          <w:b/>
          <w:color w:val="000000"/>
          <w:szCs w:val="24"/>
          <w:lang w:eastAsia="en-GB"/>
        </w:rPr>
      </w:pPr>
      <w:r w:rsidRPr="00102034">
        <w:rPr>
          <w:rFonts w:eastAsia="Arial" w:cs="Arial"/>
          <w:b/>
          <w:color w:val="000000"/>
          <w:szCs w:val="24"/>
          <w:lang w:eastAsia="en-GB"/>
        </w:rPr>
        <w:t xml:space="preserve">ANNEX </w:t>
      </w:r>
      <w:bookmarkStart w:id="3660" w:name="bookmark=id.1v5vmr7" w:colFirst="0" w:colLast="0"/>
      <w:bookmarkStart w:id="3661" w:name="Schedule_31_PartC_Annex_I"/>
      <w:bookmarkEnd w:id="3660"/>
      <w:r w:rsidRPr="00102034">
        <w:rPr>
          <w:rFonts w:eastAsia="Arial" w:cs="Arial"/>
          <w:b/>
          <w:color w:val="000000"/>
          <w:szCs w:val="24"/>
          <w:lang w:eastAsia="en-GB"/>
        </w:rPr>
        <w:t>I</w:t>
      </w:r>
      <w:bookmarkEnd w:id="3661"/>
    </w:p>
    <w:p w14:paraId="73EDBC01" w14:textId="77777777" w:rsidR="00F67E9E" w:rsidRPr="00102034" w:rsidRDefault="00F67E9E" w:rsidP="00F67E9E">
      <w:pPr>
        <w:pBdr>
          <w:top w:val="nil"/>
          <w:left w:val="nil"/>
          <w:bottom w:val="nil"/>
          <w:right w:val="nil"/>
          <w:between w:val="nil"/>
        </w:pBdr>
        <w:tabs>
          <w:tab w:val="left" w:pos="720"/>
        </w:tabs>
        <w:spacing w:before="240" w:after="240"/>
        <w:rPr>
          <w:rFonts w:eastAsia="Arial" w:cs="Arial"/>
          <w:b/>
          <w:color w:val="000000"/>
          <w:szCs w:val="24"/>
          <w:lang w:eastAsia="en-GB"/>
        </w:rPr>
      </w:pPr>
      <w:bookmarkStart w:id="3662" w:name="bookmark=id.4f5j5f0" w:colFirst="0" w:colLast="0"/>
      <w:bookmarkEnd w:id="3662"/>
      <w:r w:rsidRPr="00102034">
        <w:rPr>
          <w:rFonts w:eastAsia="Arial" w:cs="Arial"/>
          <w:b/>
          <w:color w:val="000000"/>
          <w:szCs w:val="24"/>
          <w:lang w:eastAsia="en-GB"/>
        </w:rPr>
        <w:t xml:space="preserve">A. </w:t>
      </w:r>
      <w:r>
        <w:rPr>
          <w:rFonts w:eastAsia="Arial" w:cs="Arial"/>
          <w:b/>
          <w:color w:val="000000"/>
          <w:szCs w:val="24"/>
          <w:lang w:eastAsia="en-GB"/>
        </w:rPr>
        <w:tab/>
      </w:r>
      <w:r w:rsidRPr="00102034">
        <w:rPr>
          <w:rFonts w:eastAsia="Arial" w:cs="Arial"/>
          <w:b/>
          <w:color w:val="000000"/>
          <w:szCs w:val="24"/>
          <w:lang w:eastAsia="en-GB"/>
        </w:rPr>
        <w:t>LIST OF PARTIES</w:t>
      </w:r>
    </w:p>
    <w:p w14:paraId="025255CC" w14:textId="77777777" w:rsidR="00F67E9E" w:rsidRPr="00102034" w:rsidRDefault="00F67E9E" w:rsidP="00F67E9E">
      <w:pPr>
        <w:pBdr>
          <w:top w:val="nil"/>
          <w:left w:val="nil"/>
          <w:bottom w:val="nil"/>
          <w:right w:val="nil"/>
          <w:between w:val="nil"/>
        </w:pBdr>
        <w:spacing w:before="240" w:after="240"/>
        <w:ind w:left="720"/>
        <w:rPr>
          <w:rFonts w:eastAsia="Arial" w:cs="Arial"/>
          <w:color w:val="000000"/>
          <w:szCs w:val="24"/>
          <w:lang w:eastAsia="en-GB"/>
        </w:rPr>
      </w:pPr>
      <w:r w:rsidRPr="00102034">
        <w:rPr>
          <w:rFonts w:eastAsia="Arial" w:cs="Arial"/>
          <w:b/>
          <w:color w:val="000000"/>
          <w:szCs w:val="24"/>
          <w:lang w:eastAsia="en-GB"/>
        </w:rPr>
        <w:t>Data exporter(s):</w:t>
      </w:r>
      <w:r w:rsidRPr="00102034">
        <w:rPr>
          <w:rFonts w:eastAsia="Arial" w:cs="Arial"/>
          <w:color w:val="000000"/>
          <w:szCs w:val="24"/>
          <w:lang w:eastAsia="en-GB"/>
        </w:rPr>
        <w:t xml:space="preserve"> [</w:t>
      </w:r>
      <w:r w:rsidRPr="00102034">
        <w:rPr>
          <w:rFonts w:eastAsia="Arial" w:cs="Arial"/>
          <w:i/>
          <w:color w:val="000000"/>
          <w:szCs w:val="24"/>
          <w:lang w:eastAsia="en-GB"/>
        </w:rPr>
        <w:t>Identity and contact details of the data exporter(s) and, where applicable, of its/their data protection officer and/or representative in the European Union</w:t>
      </w:r>
      <w:r w:rsidRPr="00102034">
        <w:rPr>
          <w:rFonts w:eastAsia="Arial" w:cs="Arial"/>
          <w:color w:val="000000"/>
          <w:szCs w:val="24"/>
          <w:lang w:eastAsia="en-GB"/>
        </w:rPr>
        <w:t>]</w:t>
      </w:r>
    </w:p>
    <w:p w14:paraId="2BB22816" w14:textId="77777777" w:rsidR="00F67E9E" w:rsidRPr="00102034" w:rsidRDefault="00F67E9E" w:rsidP="00F67E9E">
      <w:pPr>
        <w:pBdr>
          <w:top w:val="nil"/>
          <w:left w:val="nil"/>
          <w:bottom w:val="nil"/>
          <w:right w:val="nil"/>
          <w:between w:val="nil"/>
        </w:pBdr>
        <w:tabs>
          <w:tab w:val="left" w:pos="2880"/>
        </w:tabs>
        <w:spacing w:before="120" w:after="240"/>
        <w:ind w:left="720" w:firstLine="1440"/>
        <w:rPr>
          <w:rFonts w:eastAsia="Arial" w:cs="Arial"/>
          <w:color w:val="000000"/>
          <w:szCs w:val="24"/>
          <w:lang w:eastAsia="en-GB"/>
        </w:rPr>
      </w:pPr>
      <w:bookmarkStart w:id="3663" w:name="bookmark=id.19g3pum" w:colFirst="0" w:colLast="0"/>
      <w:bookmarkEnd w:id="3663"/>
      <w:r w:rsidRPr="00102034">
        <w:rPr>
          <w:rFonts w:eastAsia="Arial" w:cs="Arial"/>
          <w:color w:val="000000"/>
          <w:szCs w:val="24"/>
          <w:lang w:eastAsia="en-GB"/>
        </w:rPr>
        <w:t xml:space="preserve">1. </w:t>
      </w:r>
      <w:r>
        <w:rPr>
          <w:rFonts w:eastAsia="Arial" w:cs="Arial"/>
          <w:color w:val="000000"/>
          <w:szCs w:val="24"/>
          <w:lang w:eastAsia="en-GB"/>
        </w:rPr>
        <w:tab/>
      </w:r>
      <w:r w:rsidRPr="00102034">
        <w:rPr>
          <w:rFonts w:eastAsia="Arial" w:cs="Arial"/>
          <w:color w:val="000000"/>
          <w:szCs w:val="24"/>
          <w:lang w:eastAsia="en-GB"/>
        </w:rPr>
        <w:t>Name: …</w:t>
      </w:r>
      <w:r>
        <w:rPr>
          <w:rFonts w:eastAsia="Arial" w:cs="Arial"/>
          <w:color w:val="000000"/>
          <w:szCs w:val="24"/>
          <w:lang w:eastAsia="en-GB"/>
        </w:rPr>
        <w:t>………………….</w:t>
      </w:r>
    </w:p>
    <w:p w14:paraId="6CB89794" w14:textId="77777777" w:rsidR="00F67E9E" w:rsidRPr="00102034" w:rsidRDefault="00F67E9E" w:rsidP="00F67E9E">
      <w:pPr>
        <w:pBdr>
          <w:top w:val="nil"/>
          <w:left w:val="nil"/>
          <w:bottom w:val="nil"/>
          <w:right w:val="nil"/>
          <w:between w:val="nil"/>
        </w:pBdr>
        <w:spacing w:before="120" w:after="240"/>
        <w:ind w:left="1440" w:firstLine="1440"/>
        <w:rPr>
          <w:rFonts w:eastAsia="Arial" w:cs="Arial"/>
          <w:color w:val="000000"/>
          <w:szCs w:val="24"/>
          <w:lang w:eastAsia="en-GB"/>
        </w:rPr>
      </w:pPr>
      <w:r w:rsidRPr="00102034">
        <w:rPr>
          <w:rFonts w:eastAsia="Arial" w:cs="Arial"/>
          <w:color w:val="000000"/>
          <w:szCs w:val="24"/>
          <w:lang w:eastAsia="en-GB"/>
        </w:rPr>
        <w:t>Address: …</w:t>
      </w:r>
      <w:r>
        <w:rPr>
          <w:rFonts w:eastAsia="Arial" w:cs="Arial"/>
          <w:color w:val="000000"/>
          <w:szCs w:val="24"/>
          <w:lang w:eastAsia="en-GB"/>
        </w:rPr>
        <w:t>………………….</w:t>
      </w:r>
    </w:p>
    <w:p w14:paraId="009BF378" w14:textId="77777777" w:rsidR="00F67E9E" w:rsidRPr="00102034" w:rsidRDefault="00F67E9E" w:rsidP="00F67E9E">
      <w:pPr>
        <w:pBdr>
          <w:top w:val="nil"/>
          <w:left w:val="nil"/>
          <w:bottom w:val="nil"/>
          <w:right w:val="nil"/>
          <w:between w:val="nil"/>
        </w:pBdr>
        <w:spacing w:before="120" w:after="240"/>
        <w:ind w:left="1440" w:firstLine="1440"/>
        <w:rPr>
          <w:rFonts w:eastAsia="Arial" w:cs="Arial"/>
          <w:color w:val="000000"/>
          <w:szCs w:val="24"/>
          <w:lang w:eastAsia="en-GB"/>
        </w:rPr>
      </w:pPr>
      <w:r w:rsidRPr="00102034">
        <w:rPr>
          <w:rFonts w:eastAsia="Arial" w:cs="Arial"/>
          <w:color w:val="000000"/>
          <w:szCs w:val="24"/>
          <w:lang w:eastAsia="en-GB"/>
        </w:rPr>
        <w:t xml:space="preserve">Contact person's name, position and contact details: </w:t>
      </w:r>
      <w:r>
        <w:rPr>
          <w:rFonts w:eastAsia="Arial" w:cs="Arial"/>
          <w:color w:val="000000"/>
          <w:szCs w:val="24"/>
          <w:lang w:eastAsia="en-GB"/>
        </w:rPr>
        <w:t>……………...</w:t>
      </w:r>
      <w:r w:rsidRPr="00102034">
        <w:rPr>
          <w:rFonts w:eastAsia="Arial" w:cs="Arial"/>
          <w:color w:val="000000"/>
          <w:szCs w:val="24"/>
          <w:lang w:eastAsia="en-GB"/>
        </w:rPr>
        <w:t>…</w:t>
      </w:r>
    </w:p>
    <w:p w14:paraId="79D7E8E1" w14:textId="77777777" w:rsidR="00F67E9E" w:rsidRPr="00102034" w:rsidRDefault="00F67E9E" w:rsidP="00F67E9E">
      <w:pPr>
        <w:pBdr>
          <w:top w:val="nil"/>
          <w:left w:val="nil"/>
          <w:bottom w:val="nil"/>
          <w:right w:val="nil"/>
          <w:between w:val="nil"/>
        </w:pBdr>
        <w:spacing w:before="120" w:after="240"/>
        <w:ind w:left="1440" w:firstLine="1440"/>
        <w:rPr>
          <w:rFonts w:eastAsia="Arial" w:cs="Arial"/>
          <w:color w:val="000000"/>
          <w:szCs w:val="24"/>
          <w:lang w:eastAsia="en-GB"/>
        </w:rPr>
      </w:pPr>
      <w:r w:rsidRPr="00102034">
        <w:rPr>
          <w:rFonts w:eastAsia="Arial" w:cs="Arial"/>
          <w:color w:val="000000"/>
          <w:szCs w:val="24"/>
          <w:lang w:eastAsia="en-GB"/>
        </w:rPr>
        <w:t xml:space="preserve">Activities relevant to the data transferred under these Clauses: </w:t>
      </w:r>
      <w:r>
        <w:rPr>
          <w:rFonts w:eastAsia="Arial" w:cs="Arial"/>
          <w:color w:val="000000"/>
          <w:szCs w:val="24"/>
          <w:lang w:eastAsia="en-GB"/>
        </w:rPr>
        <w:t>…..</w:t>
      </w:r>
      <w:r w:rsidRPr="00102034">
        <w:rPr>
          <w:rFonts w:eastAsia="Arial" w:cs="Arial"/>
          <w:color w:val="000000"/>
          <w:szCs w:val="24"/>
          <w:lang w:eastAsia="en-GB"/>
        </w:rPr>
        <w:t>…</w:t>
      </w:r>
    </w:p>
    <w:p w14:paraId="6B0DF8F9" w14:textId="77777777" w:rsidR="00F67E9E" w:rsidRPr="00102034" w:rsidRDefault="00F67E9E" w:rsidP="00F67E9E">
      <w:pPr>
        <w:pBdr>
          <w:top w:val="nil"/>
          <w:left w:val="nil"/>
          <w:bottom w:val="nil"/>
          <w:right w:val="nil"/>
          <w:between w:val="nil"/>
        </w:pBdr>
        <w:spacing w:before="120" w:after="240"/>
        <w:ind w:left="1440" w:firstLine="1440"/>
        <w:rPr>
          <w:rFonts w:eastAsia="Arial" w:cs="Arial"/>
          <w:color w:val="000000"/>
          <w:szCs w:val="24"/>
          <w:lang w:eastAsia="en-GB"/>
        </w:rPr>
      </w:pPr>
      <w:r w:rsidRPr="00102034">
        <w:rPr>
          <w:rFonts w:eastAsia="Arial" w:cs="Arial"/>
          <w:color w:val="000000"/>
          <w:szCs w:val="24"/>
          <w:lang w:eastAsia="en-GB"/>
        </w:rPr>
        <w:t xml:space="preserve">Signature and date: </w:t>
      </w:r>
      <w:r>
        <w:rPr>
          <w:rFonts w:eastAsia="Arial" w:cs="Arial"/>
          <w:color w:val="000000"/>
          <w:szCs w:val="24"/>
          <w:lang w:eastAsia="en-GB"/>
        </w:rPr>
        <w:t>………………….</w:t>
      </w:r>
      <w:r w:rsidRPr="00102034">
        <w:rPr>
          <w:rFonts w:eastAsia="Arial" w:cs="Arial"/>
          <w:color w:val="000000"/>
          <w:szCs w:val="24"/>
          <w:lang w:eastAsia="en-GB"/>
        </w:rPr>
        <w:t>…</w:t>
      </w:r>
    </w:p>
    <w:p w14:paraId="121549CB" w14:textId="77777777" w:rsidR="00F67E9E" w:rsidRPr="00102034" w:rsidRDefault="00F67E9E" w:rsidP="00F67E9E">
      <w:pPr>
        <w:pBdr>
          <w:top w:val="nil"/>
          <w:left w:val="nil"/>
          <w:bottom w:val="nil"/>
          <w:right w:val="nil"/>
          <w:between w:val="nil"/>
        </w:pBdr>
        <w:spacing w:before="120" w:after="240"/>
        <w:ind w:left="1440" w:firstLine="1440"/>
        <w:rPr>
          <w:rFonts w:eastAsia="Arial" w:cs="Arial"/>
          <w:color w:val="000000"/>
          <w:szCs w:val="24"/>
          <w:lang w:eastAsia="en-GB"/>
        </w:rPr>
      </w:pPr>
      <w:r w:rsidRPr="00102034">
        <w:rPr>
          <w:rFonts w:eastAsia="Arial" w:cs="Arial"/>
          <w:color w:val="000000"/>
          <w:szCs w:val="24"/>
          <w:lang w:eastAsia="en-GB"/>
        </w:rPr>
        <w:t xml:space="preserve">Role (controller/processor): </w:t>
      </w:r>
      <w:r>
        <w:rPr>
          <w:rFonts w:eastAsia="Arial" w:cs="Arial"/>
          <w:color w:val="000000"/>
          <w:szCs w:val="24"/>
          <w:lang w:eastAsia="en-GB"/>
        </w:rPr>
        <w:t>……………………..</w:t>
      </w:r>
      <w:r w:rsidRPr="00102034">
        <w:rPr>
          <w:rFonts w:eastAsia="Arial" w:cs="Arial"/>
          <w:color w:val="000000"/>
          <w:szCs w:val="24"/>
          <w:lang w:eastAsia="en-GB"/>
        </w:rPr>
        <w:t>…</w:t>
      </w:r>
    </w:p>
    <w:p w14:paraId="55BCA26C" w14:textId="77777777" w:rsidR="00F67E9E" w:rsidRPr="00102034" w:rsidRDefault="00F67E9E" w:rsidP="00F67E9E">
      <w:pPr>
        <w:pBdr>
          <w:top w:val="nil"/>
          <w:left w:val="nil"/>
          <w:bottom w:val="nil"/>
          <w:right w:val="nil"/>
          <w:between w:val="nil"/>
        </w:pBdr>
        <w:spacing w:before="120" w:after="240"/>
        <w:ind w:left="720" w:firstLine="1440"/>
        <w:rPr>
          <w:rFonts w:eastAsia="Arial" w:cs="Arial"/>
          <w:color w:val="000000"/>
          <w:szCs w:val="24"/>
          <w:lang w:eastAsia="en-GB"/>
        </w:rPr>
      </w:pPr>
      <w:r w:rsidRPr="00102034">
        <w:rPr>
          <w:rFonts w:eastAsia="Arial" w:cs="Arial"/>
          <w:color w:val="000000"/>
          <w:szCs w:val="24"/>
          <w:lang w:eastAsia="en-GB"/>
        </w:rPr>
        <w:t xml:space="preserve">2. </w:t>
      </w:r>
      <w:r>
        <w:rPr>
          <w:rFonts w:eastAsia="Arial" w:cs="Arial"/>
          <w:color w:val="000000"/>
          <w:szCs w:val="24"/>
          <w:lang w:eastAsia="en-GB"/>
        </w:rPr>
        <w:tab/>
      </w:r>
      <w:r w:rsidRPr="00102034">
        <w:rPr>
          <w:rFonts w:eastAsia="Arial" w:cs="Arial"/>
          <w:color w:val="000000"/>
          <w:szCs w:val="24"/>
          <w:lang w:eastAsia="en-GB"/>
        </w:rPr>
        <w:t>…</w:t>
      </w:r>
    </w:p>
    <w:p w14:paraId="40AFF37C" w14:textId="77777777" w:rsidR="00F67E9E" w:rsidRPr="00102034" w:rsidRDefault="00F67E9E" w:rsidP="00F67E9E">
      <w:pPr>
        <w:pBdr>
          <w:top w:val="nil"/>
          <w:left w:val="nil"/>
          <w:bottom w:val="nil"/>
          <w:right w:val="nil"/>
          <w:between w:val="nil"/>
        </w:pBdr>
        <w:spacing w:before="240" w:after="240"/>
        <w:ind w:left="720"/>
        <w:rPr>
          <w:rFonts w:eastAsia="Arial" w:cs="Arial"/>
          <w:color w:val="000000"/>
          <w:szCs w:val="24"/>
          <w:lang w:eastAsia="en-GB"/>
        </w:rPr>
      </w:pPr>
      <w:r w:rsidRPr="00102034">
        <w:rPr>
          <w:rFonts w:eastAsia="Arial" w:cs="Arial"/>
          <w:b/>
          <w:color w:val="000000"/>
          <w:szCs w:val="24"/>
          <w:lang w:eastAsia="en-GB"/>
        </w:rPr>
        <w:t>Data importer(s):</w:t>
      </w:r>
      <w:r w:rsidRPr="00102034">
        <w:rPr>
          <w:rFonts w:eastAsia="Arial" w:cs="Arial"/>
          <w:color w:val="000000"/>
          <w:szCs w:val="24"/>
          <w:lang w:eastAsia="en-GB"/>
        </w:rPr>
        <w:t xml:space="preserve"> [</w:t>
      </w:r>
      <w:r w:rsidRPr="00102034">
        <w:rPr>
          <w:rFonts w:eastAsia="Arial" w:cs="Arial"/>
          <w:i/>
          <w:color w:val="000000"/>
          <w:szCs w:val="24"/>
          <w:lang w:eastAsia="en-GB"/>
        </w:rPr>
        <w:t>Identity and contact details of the data importer(s), including any contact person with responsibility for data protection</w:t>
      </w:r>
      <w:r w:rsidRPr="00102034">
        <w:rPr>
          <w:rFonts w:eastAsia="Arial" w:cs="Arial"/>
          <w:color w:val="000000"/>
          <w:szCs w:val="24"/>
          <w:lang w:eastAsia="en-GB"/>
        </w:rPr>
        <w:t>]</w:t>
      </w:r>
    </w:p>
    <w:p w14:paraId="391CA541" w14:textId="77777777" w:rsidR="00F67E9E" w:rsidRPr="00102034" w:rsidRDefault="00F67E9E" w:rsidP="00F67E9E">
      <w:pPr>
        <w:pBdr>
          <w:top w:val="nil"/>
          <w:left w:val="nil"/>
          <w:bottom w:val="nil"/>
          <w:right w:val="nil"/>
          <w:between w:val="nil"/>
        </w:pBdr>
        <w:tabs>
          <w:tab w:val="left" w:pos="2880"/>
        </w:tabs>
        <w:spacing w:before="120" w:after="240"/>
        <w:ind w:left="720" w:firstLine="1440"/>
        <w:rPr>
          <w:rFonts w:eastAsia="Arial" w:cs="Arial"/>
          <w:color w:val="000000"/>
          <w:szCs w:val="24"/>
          <w:lang w:eastAsia="en-GB"/>
        </w:rPr>
      </w:pPr>
      <w:bookmarkStart w:id="3664" w:name="bookmark=id.28l1iq8" w:colFirst="0" w:colLast="0"/>
      <w:bookmarkEnd w:id="3664"/>
      <w:r w:rsidRPr="00102034">
        <w:rPr>
          <w:rFonts w:eastAsia="Arial" w:cs="Arial"/>
          <w:color w:val="000000"/>
          <w:szCs w:val="24"/>
          <w:lang w:eastAsia="en-GB"/>
        </w:rPr>
        <w:t xml:space="preserve">1. </w:t>
      </w:r>
      <w:r>
        <w:rPr>
          <w:rFonts w:eastAsia="Arial" w:cs="Arial"/>
          <w:color w:val="000000"/>
          <w:szCs w:val="24"/>
          <w:lang w:eastAsia="en-GB"/>
        </w:rPr>
        <w:tab/>
      </w:r>
      <w:r w:rsidRPr="00102034">
        <w:rPr>
          <w:rFonts w:eastAsia="Arial" w:cs="Arial"/>
          <w:color w:val="000000"/>
          <w:szCs w:val="24"/>
          <w:lang w:eastAsia="en-GB"/>
        </w:rPr>
        <w:t>Name: …</w:t>
      </w:r>
      <w:r>
        <w:rPr>
          <w:rFonts w:eastAsia="Arial" w:cs="Arial"/>
          <w:color w:val="000000"/>
          <w:szCs w:val="24"/>
          <w:lang w:eastAsia="en-GB"/>
        </w:rPr>
        <w:t>………………….</w:t>
      </w:r>
    </w:p>
    <w:p w14:paraId="1AFC73DA" w14:textId="77777777" w:rsidR="00F67E9E" w:rsidRPr="00102034" w:rsidRDefault="00F67E9E" w:rsidP="00F67E9E">
      <w:pPr>
        <w:pBdr>
          <w:top w:val="nil"/>
          <w:left w:val="nil"/>
          <w:bottom w:val="nil"/>
          <w:right w:val="nil"/>
          <w:between w:val="nil"/>
        </w:pBdr>
        <w:spacing w:before="120" w:after="240"/>
        <w:ind w:left="1440" w:firstLine="1440"/>
        <w:rPr>
          <w:rFonts w:eastAsia="Arial" w:cs="Arial"/>
          <w:color w:val="000000"/>
          <w:szCs w:val="24"/>
          <w:lang w:eastAsia="en-GB"/>
        </w:rPr>
      </w:pPr>
      <w:r w:rsidRPr="00102034">
        <w:rPr>
          <w:rFonts w:eastAsia="Arial" w:cs="Arial"/>
          <w:color w:val="000000"/>
          <w:szCs w:val="24"/>
          <w:lang w:eastAsia="en-GB"/>
        </w:rPr>
        <w:t>Address: …</w:t>
      </w:r>
      <w:r>
        <w:rPr>
          <w:rFonts w:eastAsia="Arial" w:cs="Arial"/>
          <w:color w:val="000000"/>
          <w:szCs w:val="24"/>
          <w:lang w:eastAsia="en-GB"/>
        </w:rPr>
        <w:t>………………….</w:t>
      </w:r>
    </w:p>
    <w:p w14:paraId="61F51F60" w14:textId="77777777" w:rsidR="00F67E9E" w:rsidRPr="00102034" w:rsidRDefault="00F67E9E" w:rsidP="00F67E9E">
      <w:pPr>
        <w:pBdr>
          <w:top w:val="nil"/>
          <w:left w:val="nil"/>
          <w:bottom w:val="nil"/>
          <w:right w:val="nil"/>
          <w:between w:val="nil"/>
        </w:pBdr>
        <w:spacing w:before="120" w:after="240"/>
        <w:ind w:left="1440" w:firstLine="1440"/>
        <w:rPr>
          <w:rFonts w:eastAsia="Arial" w:cs="Arial"/>
          <w:color w:val="000000"/>
          <w:szCs w:val="24"/>
          <w:lang w:eastAsia="en-GB"/>
        </w:rPr>
      </w:pPr>
      <w:r w:rsidRPr="00102034">
        <w:rPr>
          <w:rFonts w:eastAsia="Arial" w:cs="Arial"/>
          <w:color w:val="000000"/>
          <w:szCs w:val="24"/>
          <w:lang w:eastAsia="en-GB"/>
        </w:rPr>
        <w:t xml:space="preserve">Contact person's name, position and contact details: </w:t>
      </w:r>
      <w:r>
        <w:rPr>
          <w:rFonts w:eastAsia="Arial" w:cs="Arial"/>
          <w:color w:val="000000"/>
          <w:szCs w:val="24"/>
          <w:lang w:eastAsia="en-GB"/>
        </w:rPr>
        <w:t>……………...</w:t>
      </w:r>
      <w:r w:rsidRPr="00102034">
        <w:rPr>
          <w:rFonts w:eastAsia="Arial" w:cs="Arial"/>
          <w:color w:val="000000"/>
          <w:szCs w:val="24"/>
          <w:lang w:eastAsia="en-GB"/>
        </w:rPr>
        <w:t>…</w:t>
      </w:r>
    </w:p>
    <w:p w14:paraId="13C19406" w14:textId="77777777" w:rsidR="00F67E9E" w:rsidRPr="00102034" w:rsidRDefault="00F67E9E" w:rsidP="00F67E9E">
      <w:pPr>
        <w:pBdr>
          <w:top w:val="nil"/>
          <w:left w:val="nil"/>
          <w:bottom w:val="nil"/>
          <w:right w:val="nil"/>
          <w:between w:val="nil"/>
        </w:pBdr>
        <w:spacing w:before="120" w:after="240"/>
        <w:ind w:left="1440" w:firstLine="1440"/>
        <w:rPr>
          <w:rFonts w:eastAsia="Arial" w:cs="Arial"/>
          <w:color w:val="000000"/>
          <w:szCs w:val="24"/>
          <w:lang w:eastAsia="en-GB"/>
        </w:rPr>
      </w:pPr>
      <w:r w:rsidRPr="00102034">
        <w:rPr>
          <w:rFonts w:eastAsia="Arial" w:cs="Arial"/>
          <w:color w:val="000000"/>
          <w:szCs w:val="24"/>
          <w:lang w:eastAsia="en-GB"/>
        </w:rPr>
        <w:t xml:space="preserve">Activities relevant to the data transferred under these Clauses: </w:t>
      </w:r>
      <w:r>
        <w:rPr>
          <w:rFonts w:eastAsia="Arial" w:cs="Arial"/>
          <w:color w:val="000000"/>
          <w:szCs w:val="24"/>
          <w:lang w:eastAsia="en-GB"/>
        </w:rPr>
        <w:t>…..</w:t>
      </w:r>
      <w:r w:rsidRPr="00102034">
        <w:rPr>
          <w:rFonts w:eastAsia="Arial" w:cs="Arial"/>
          <w:color w:val="000000"/>
          <w:szCs w:val="24"/>
          <w:lang w:eastAsia="en-GB"/>
        </w:rPr>
        <w:t>…</w:t>
      </w:r>
    </w:p>
    <w:p w14:paraId="04585E1C" w14:textId="77777777" w:rsidR="00F67E9E" w:rsidRPr="00102034" w:rsidRDefault="00F67E9E" w:rsidP="00F67E9E">
      <w:pPr>
        <w:pBdr>
          <w:top w:val="nil"/>
          <w:left w:val="nil"/>
          <w:bottom w:val="nil"/>
          <w:right w:val="nil"/>
          <w:between w:val="nil"/>
        </w:pBdr>
        <w:spacing w:before="120" w:after="240"/>
        <w:ind w:left="1440" w:firstLine="1440"/>
        <w:rPr>
          <w:rFonts w:eastAsia="Arial" w:cs="Arial"/>
          <w:color w:val="000000"/>
          <w:szCs w:val="24"/>
          <w:lang w:eastAsia="en-GB"/>
        </w:rPr>
      </w:pPr>
      <w:r w:rsidRPr="00102034">
        <w:rPr>
          <w:rFonts w:eastAsia="Arial" w:cs="Arial"/>
          <w:color w:val="000000"/>
          <w:szCs w:val="24"/>
          <w:lang w:eastAsia="en-GB"/>
        </w:rPr>
        <w:t xml:space="preserve">Signature and date: </w:t>
      </w:r>
      <w:r>
        <w:rPr>
          <w:rFonts w:eastAsia="Arial" w:cs="Arial"/>
          <w:color w:val="000000"/>
          <w:szCs w:val="24"/>
          <w:lang w:eastAsia="en-GB"/>
        </w:rPr>
        <w:t>………………….</w:t>
      </w:r>
      <w:r w:rsidRPr="00102034">
        <w:rPr>
          <w:rFonts w:eastAsia="Arial" w:cs="Arial"/>
          <w:color w:val="000000"/>
          <w:szCs w:val="24"/>
          <w:lang w:eastAsia="en-GB"/>
        </w:rPr>
        <w:t>…</w:t>
      </w:r>
    </w:p>
    <w:p w14:paraId="4D1F06ED" w14:textId="77777777" w:rsidR="00F67E9E" w:rsidRPr="00102034" w:rsidRDefault="00F67E9E" w:rsidP="00F67E9E">
      <w:pPr>
        <w:pBdr>
          <w:top w:val="nil"/>
          <w:left w:val="nil"/>
          <w:bottom w:val="nil"/>
          <w:right w:val="nil"/>
          <w:between w:val="nil"/>
        </w:pBdr>
        <w:spacing w:before="120" w:after="240"/>
        <w:ind w:left="1440" w:firstLine="1440"/>
        <w:rPr>
          <w:rFonts w:eastAsia="Arial" w:cs="Arial"/>
          <w:color w:val="000000"/>
          <w:szCs w:val="24"/>
          <w:lang w:eastAsia="en-GB"/>
        </w:rPr>
      </w:pPr>
      <w:r w:rsidRPr="00102034">
        <w:rPr>
          <w:rFonts w:eastAsia="Arial" w:cs="Arial"/>
          <w:color w:val="000000"/>
          <w:szCs w:val="24"/>
          <w:lang w:eastAsia="en-GB"/>
        </w:rPr>
        <w:t xml:space="preserve">Role (controller/processor): </w:t>
      </w:r>
      <w:r>
        <w:rPr>
          <w:rFonts w:eastAsia="Arial" w:cs="Arial"/>
          <w:color w:val="000000"/>
          <w:szCs w:val="24"/>
          <w:lang w:eastAsia="en-GB"/>
        </w:rPr>
        <w:t>……………………..</w:t>
      </w:r>
      <w:r w:rsidRPr="00102034">
        <w:rPr>
          <w:rFonts w:eastAsia="Arial" w:cs="Arial"/>
          <w:color w:val="000000"/>
          <w:szCs w:val="24"/>
          <w:lang w:eastAsia="en-GB"/>
        </w:rPr>
        <w:t>…</w:t>
      </w:r>
    </w:p>
    <w:p w14:paraId="3A599920" w14:textId="77777777" w:rsidR="00F67E9E" w:rsidRPr="00102034" w:rsidRDefault="00F67E9E" w:rsidP="00F67E9E">
      <w:pPr>
        <w:pBdr>
          <w:top w:val="nil"/>
          <w:left w:val="nil"/>
          <w:bottom w:val="nil"/>
          <w:right w:val="nil"/>
          <w:between w:val="nil"/>
        </w:pBdr>
        <w:spacing w:before="120" w:after="240"/>
        <w:ind w:left="720" w:firstLine="1440"/>
        <w:rPr>
          <w:rFonts w:eastAsia="Arial" w:cs="Arial"/>
          <w:color w:val="000000"/>
          <w:szCs w:val="24"/>
          <w:lang w:eastAsia="en-GB"/>
        </w:rPr>
      </w:pPr>
      <w:r w:rsidRPr="00102034">
        <w:rPr>
          <w:rFonts w:eastAsia="Arial" w:cs="Arial"/>
          <w:color w:val="000000"/>
          <w:szCs w:val="24"/>
          <w:lang w:eastAsia="en-GB"/>
        </w:rPr>
        <w:t xml:space="preserve">2. </w:t>
      </w:r>
      <w:r>
        <w:rPr>
          <w:rFonts w:eastAsia="Arial" w:cs="Arial"/>
          <w:color w:val="000000"/>
          <w:szCs w:val="24"/>
          <w:lang w:eastAsia="en-GB"/>
        </w:rPr>
        <w:tab/>
      </w:r>
      <w:r w:rsidRPr="00102034">
        <w:rPr>
          <w:rFonts w:eastAsia="Arial" w:cs="Arial"/>
          <w:color w:val="000000"/>
          <w:szCs w:val="24"/>
          <w:lang w:eastAsia="en-GB"/>
        </w:rPr>
        <w:t>…</w:t>
      </w:r>
    </w:p>
    <w:p w14:paraId="1A54311A" w14:textId="77777777" w:rsidR="00F67E9E" w:rsidRPr="00102034" w:rsidRDefault="00F67E9E" w:rsidP="00F67E9E">
      <w:pPr>
        <w:pBdr>
          <w:top w:val="nil"/>
          <w:left w:val="nil"/>
          <w:bottom w:val="nil"/>
          <w:right w:val="nil"/>
          <w:between w:val="nil"/>
        </w:pBdr>
        <w:tabs>
          <w:tab w:val="left" w:pos="720"/>
        </w:tabs>
        <w:spacing w:before="240" w:after="240"/>
        <w:rPr>
          <w:rFonts w:eastAsia="Arial" w:cs="Arial"/>
          <w:b/>
          <w:color w:val="000000"/>
          <w:szCs w:val="24"/>
          <w:lang w:eastAsia="en-GB"/>
        </w:rPr>
      </w:pPr>
      <w:r w:rsidRPr="00102034">
        <w:rPr>
          <w:rFonts w:eastAsia="Arial" w:cs="Arial"/>
          <w:b/>
          <w:color w:val="000000"/>
          <w:szCs w:val="24"/>
          <w:lang w:eastAsia="en-GB"/>
        </w:rPr>
        <w:t xml:space="preserve">B. </w:t>
      </w:r>
      <w:r>
        <w:rPr>
          <w:rFonts w:eastAsia="Arial" w:cs="Arial"/>
          <w:b/>
          <w:color w:val="000000"/>
          <w:szCs w:val="24"/>
          <w:lang w:eastAsia="en-GB"/>
        </w:rPr>
        <w:tab/>
      </w:r>
      <w:r w:rsidRPr="00102034">
        <w:rPr>
          <w:rFonts w:eastAsia="Arial" w:cs="Arial"/>
          <w:b/>
          <w:color w:val="000000"/>
          <w:szCs w:val="24"/>
          <w:lang w:eastAsia="en-GB"/>
        </w:rPr>
        <w:t>DESCRIPTION OF TRANSFER</w:t>
      </w:r>
    </w:p>
    <w:p w14:paraId="2AEC6912" w14:textId="77777777" w:rsidR="00F67E9E" w:rsidRPr="00102034" w:rsidRDefault="00F67E9E" w:rsidP="00F67E9E">
      <w:pPr>
        <w:pBdr>
          <w:top w:val="nil"/>
          <w:left w:val="nil"/>
          <w:bottom w:val="nil"/>
          <w:right w:val="nil"/>
          <w:between w:val="nil"/>
        </w:pBdr>
        <w:spacing w:before="240" w:after="240"/>
        <w:ind w:left="720"/>
        <w:rPr>
          <w:rFonts w:eastAsia="Arial" w:cs="Arial"/>
          <w:i/>
          <w:color w:val="000000"/>
          <w:szCs w:val="24"/>
          <w:lang w:eastAsia="en-GB"/>
        </w:rPr>
      </w:pPr>
      <w:r w:rsidRPr="00102034">
        <w:rPr>
          <w:rFonts w:eastAsia="Arial" w:cs="Arial"/>
          <w:i/>
          <w:color w:val="000000"/>
          <w:szCs w:val="24"/>
          <w:lang w:eastAsia="en-GB"/>
        </w:rPr>
        <w:t>Categories of data subjects whose personal data is transferred</w:t>
      </w:r>
    </w:p>
    <w:p w14:paraId="4A879AF9" w14:textId="77777777" w:rsidR="00F67E9E" w:rsidRPr="00102034" w:rsidRDefault="00F67E9E" w:rsidP="00F67E9E">
      <w:pPr>
        <w:pBdr>
          <w:top w:val="nil"/>
          <w:left w:val="nil"/>
          <w:bottom w:val="nil"/>
          <w:right w:val="nil"/>
          <w:between w:val="nil"/>
        </w:pBdr>
        <w:tabs>
          <w:tab w:val="left" w:pos="2880"/>
        </w:tabs>
        <w:spacing w:before="120" w:after="240"/>
        <w:ind w:left="720" w:firstLine="1440"/>
        <w:rPr>
          <w:rFonts w:eastAsia="Arial" w:cs="Arial"/>
          <w:color w:val="000000"/>
          <w:szCs w:val="24"/>
          <w:lang w:eastAsia="en-GB"/>
        </w:rPr>
      </w:pPr>
      <w:r w:rsidRPr="00102034">
        <w:rPr>
          <w:rFonts w:eastAsia="Arial" w:cs="Arial"/>
          <w:color w:val="000000"/>
          <w:szCs w:val="24"/>
          <w:lang w:eastAsia="en-GB"/>
        </w:rPr>
        <w:t>…</w:t>
      </w:r>
      <w:r>
        <w:rPr>
          <w:rFonts w:eastAsia="Arial" w:cs="Arial"/>
          <w:color w:val="000000"/>
          <w:szCs w:val="24"/>
          <w:lang w:eastAsia="en-GB"/>
        </w:rPr>
        <w:t>………………….</w:t>
      </w:r>
    </w:p>
    <w:p w14:paraId="4F512E94" w14:textId="77777777" w:rsidR="00F67E9E" w:rsidRPr="00102034" w:rsidRDefault="00F67E9E" w:rsidP="00F67E9E">
      <w:pPr>
        <w:pBdr>
          <w:top w:val="nil"/>
          <w:left w:val="nil"/>
          <w:bottom w:val="nil"/>
          <w:right w:val="nil"/>
          <w:between w:val="nil"/>
        </w:pBdr>
        <w:spacing w:before="240" w:after="240"/>
        <w:ind w:left="720"/>
        <w:rPr>
          <w:rFonts w:eastAsia="Arial" w:cs="Arial"/>
          <w:i/>
          <w:color w:val="000000"/>
          <w:szCs w:val="24"/>
          <w:lang w:eastAsia="en-GB"/>
        </w:rPr>
      </w:pPr>
      <w:r w:rsidRPr="00102034">
        <w:rPr>
          <w:rFonts w:eastAsia="Arial" w:cs="Arial"/>
          <w:i/>
          <w:color w:val="000000"/>
          <w:szCs w:val="24"/>
          <w:lang w:eastAsia="en-GB"/>
        </w:rPr>
        <w:t>Categories of personal data transferred</w:t>
      </w:r>
    </w:p>
    <w:p w14:paraId="7874C1B9" w14:textId="77777777" w:rsidR="00F67E9E" w:rsidRPr="00102034" w:rsidRDefault="00F67E9E" w:rsidP="00F67E9E">
      <w:pPr>
        <w:pBdr>
          <w:top w:val="nil"/>
          <w:left w:val="nil"/>
          <w:bottom w:val="nil"/>
          <w:right w:val="nil"/>
          <w:between w:val="nil"/>
        </w:pBdr>
        <w:tabs>
          <w:tab w:val="left" w:pos="2880"/>
        </w:tabs>
        <w:spacing w:before="120" w:after="240"/>
        <w:ind w:left="720" w:firstLine="1440"/>
        <w:rPr>
          <w:rFonts w:eastAsia="Arial" w:cs="Arial"/>
          <w:color w:val="000000"/>
          <w:szCs w:val="24"/>
          <w:lang w:eastAsia="en-GB"/>
        </w:rPr>
      </w:pPr>
      <w:r w:rsidRPr="00102034">
        <w:rPr>
          <w:rFonts w:eastAsia="Arial" w:cs="Arial"/>
          <w:color w:val="000000"/>
          <w:szCs w:val="24"/>
          <w:lang w:eastAsia="en-GB"/>
        </w:rPr>
        <w:t>…</w:t>
      </w:r>
      <w:r>
        <w:rPr>
          <w:rFonts w:eastAsia="Arial" w:cs="Arial"/>
          <w:color w:val="000000"/>
          <w:szCs w:val="24"/>
          <w:lang w:eastAsia="en-GB"/>
        </w:rPr>
        <w:t>………………….</w:t>
      </w:r>
    </w:p>
    <w:p w14:paraId="3238CDDE" w14:textId="77777777" w:rsidR="00F67E9E" w:rsidRPr="00102034" w:rsidRDefault="00F67E9E" w:rsidP="00F67E9E">
      <w:pPr>
        <w:pBdr>
          <w:top w:val="nil"/>
          <w:left w:val="nil"/>
          <w:bottom w:val="nil"/>
          <w:right w:val="nil"/>
          <w:between w:val="nil"/>
        </w:pBdr>
        <w:spacing w:before="240" w:after="240"/>
        <w:ind w:left="720"/>
        <w:rPr>
          <w:rFonts w:eastAsia="Arial" w:cs="Arial"/>
          <w:i/>
          <w:color w:val="000000"/>
          <w:szCs w:val="24"/>
          <w:lang w:eastAsia="en-GB"/>
        </w:rPr>
      </w:pPr>
      <w:r w:rsidRPr="00102034">
        <w:rPr>
          <w:rFonts w:eastAsia="Arial" w:cs="Arial"/>
          <w:i/>
          <w:color w:val="000000"/>
          <w:szCs w:val="24"/>
          <w:lang w:eastAsia="en-GB"/>
        </w:rPr>
        <w:t>Sensitive data transferred (if applicable) and applied restrictions or safeguards that fully take into consideration the nature of the data and the risks involved, such as for instance strict purpose limitation, access restrictions (including access only for staff having followed specialised training), keeping a record of access to the data, restrictions for onward transfers or additional security measures.</w:t>
      </w:r>
    </w:p>
    <w:p w14:paraId="483E9AA2" w14:textId="77777777" w:rsidR="00F67E9E" w:rsidRPr="00102034" w:rsidRDefault="00F67E9E" w:rsidP="00F67E9E">
      <w:pPr>
        <w:pBdr>
          <w:top w:val="nil"/>
          <w:left w:val="nil"/>
          <w:bottom w:val="nil"/>
          <w:right w:val="nil"/>
          <w:between w:val="nil"/>
        </w:pBdr>
        <w:tabs>
          <w:tab w:val="left" w:pos="2880"/>
        </w:tabs>
        <w:spacing w:before="120" w:after="240"/>
        <w:ind w:left="720" w:firstLine="1440"/>
        <w:rPr>
          <w:rFonts w:eastAsia="Arial" w:cs="Arial"/>
          <w:color w:val="000000"/>
          <w:szCs w:val="24"/>
          <w:lang w:eastAsia="en-GB"/>
        </w:rPr>
      </w:pPr>
      <w:r w:rsidRPr="00102034">
        <w:rPr>
          <w:rFonts w:eastAsia="Arial" w:cs="Arial"/>
          <w:color w:val="000000"/>
          <w:szCs w:val="24"/>
          <w:lang w:eastAsia="en-GB"/>
        </w:rPr>
        <w:t>…</w:t>
      </w:r>
      <w:r>
        <w:rPr>
          <w:rFonts w:eastAsia="Arial" w:cs="Arial"/>
          <w:color w:val="000000"/>
          <w:szCs w:val="24"/>
          <w:lang w:eastAsia="en-GB"/>
        </w:rPr>
        <w:t>………………….</w:t>
      </w:r>
    </w:p>
    <w:p w14:paraId="24BF22A7" w14:textId="77777777" w:rsidR="00F67E9E" w:rsidRPr="00102034" w:rsidRDefault="00F67E9E" w:rsidP="00F67E9E">
      <w:pPr>
        <w:pBdr>
          <w:top w:val="nil"/>
          <w:left w:val="nil"/>
          <w:bottom w:val="nil"/>
          <w:right w:val="nil"/>
          <w:between w:val="nil"/>
        </w:pBdr>
        <w:spacing w:before="240" w:after="240"/>
        <w:ind w:left="720"/>
        <w:rPr>
          <w:rFonts w:eastAsia="Arial" w:cs="Arial"/>
          <w:i/>
          <w:color w:val="000000"/>
          <w:szCs w:val="24"/>
          <w:lang w:eastAsia="en-GB"/>
        </w:rPr>
      </w:pPr>
      <w:r w:rsidRPr="00102034">
        <w:rPr>
          <w:rFonts w:eastAsia="Arial" w:cs="Arial"/>
          <w:i/>
          <w:color w:val="000000"/>
          <w:szCs w:val="24"/>
          <w:lang w:eastAsia="en-GB"/>
        </w:rPr>
        <w:t>The frequency of the transfer (e.g. whether the data is transferred on a one-off or continuous basis).</w:t>
      </w:r>
    </w:p>
    <w:p w14:paraId="53A1266D" w14:textId="77777777" w:rsidR="00F67E9E" w:rsidRPr="00102034" w:rsidRDefault="00F67E9E" w:rsidP="00F67E9E">
      <w:pPr>
        <w:pBdr>
          <w:top w:val="nil"/>
          <w:left w:val="nil"/>
          <w:bottom w:val="nil"/>
          <w:right w:val="nil"/>
          <w:between w:val="nil"/>
        </w:pBdr>
        <w:tabs>
          <w:tab w:val="left" w:pos="2880"/>
        </w:tabs>
        <w:spacing w:before="120" w:after="240"/>
        <w:ind w:left="720" w:firstLine="1440"/>
        <w:rPr>
          <w:rFonts w:eastAsia="Arial" w:cs="Arial"/>
          <w:color w:val="000000"/>
          <w:szCs w:val="24"/>
          <w:lang w:eastAsia="en-GB"/>
        </w:rPr>
      </w:pPr>
      <w:r w:rsidRPr="00102034">
        <w:rPr>
          <w:rFonts w:eastAsia="Arial" w:cs="Arial"/>
          <w:color w:val="000000"/>
          <w:szCs w:val="24"/>
          <w:lang w:eastAsia="en-GB"/>
        </w:rPr>
        <w:t>…</w:t>
      </w:r>
      <w:r>
        <w:rPr>
          <w:rFonts w:eastAsia="Arial" w:cs="Arial"/>
          <w:color w:val="000000"/>
          <w:szCs w:val="24"/>
          <w:lang w:eastAsia="en-GB"/>
        </w:rPr>
        <w:t>………………….</w:t>
      </w:r>
    </w:p>
    <w:p w14:paraId="684C018E" w14:textId="77777777" w:rsidR="00F67E9E" w:rsidRPr="00102034" w:rsidRDefault="00F67E9E" w:rsidP="00F67E9E">
      <w:pPr>
        <w:pBdr>
          <w:top w:val="nil"/>
          <w:left w:val="nil"/>
          <w:bottom w:val="nil"/>
          <w:right w:val="nil"/>
          <w:between w:val="nil"/>
        </w:pBdr>
        <w:spacing w:before="240" w:after="240"/>
        <w:ind w:left="720"/>
        <w:rPr>
          <w:rFonts w:eastAsia="Arial" w:cs="Arial"/>
          <w:i/>
          <w:color w:val="000000"/>
          <w:szCs w:val="24"/>
          <w:lang w:eastAsia="en-GB"/>
        </w:rPr>
      </w:pPr>
      <w:r w:rsidRPr="00102034">
        <w:rPr>
          <w:rFonts w:eastAsia="Arial" w:cs="Arial"/>
          <w:i/>
          <w:color w:val="000000"/>
          <w:szCs w:val="24"/>
          <w:lang w:eastAsia="en-GB"/>
        </w:rPr>
        <w:t>Nature of the processing</w:t>
      </w:r>
    </w:p>
    <w:p w14:paraId="46E49C3F" w14:textId="77777777" w:rsidR="00F67E9E" w:rsidRPr="00102034" w:rsidRDefault="00F67E9E" w:rsidP="00F67E9E">
      <w:pPr>
        <w:pBdr>
          <w:top w:val="nil"/>
          <w:left w:val="nil"/>
          <w:bottom w:val="nil"/>
          <w:right w:val="nil"/>
          <w:between w:val="nil"/>
        </w:pBdr>
        <w:tabs>
          <w:tab w:val="left" w:pos="2880"/>
        </w:tabs>
        <w:spacing w:before="120" w:after="240"/>
        <w:ind w:left="720" w:firstLine="1440"/>
        <w:rPr>
          <w:rFonts w:eastAsia="Arial" w:cs="Arial"/>
          <w:color w:val="000000"/>
          <w:szCs w:val="24"/>
          <w:lang w:eastAsia="en-GB"/>
        </w:rPr>
      </w:pPr>
      <w:r w:rsidRPr="00102034">
        <w:rPr>
          <w:rFonts w:eastAsia="Arial" w:cs="Arial"/>
          <w:color w:val="000000"/>
          <w:szCs w:val="24"/>
          <w:lang w:eastAsia="en-GB"/>
        </w:rPr>
        <w:t>…</w:t>
      </w:r>
      <w:r>
        <w:rPr>
          <w:rFonts w:eastAsia="Arial" w:cs="Arial"/>
          <w:color w:val="000000"/>
          <w:szCs w:val="24"/>
          <w:lang w:eastAsia="en-GB"/>
        </w:rPr>
        <w:t>………………….</w:t>
      </w:r>
    </w:p>
    <w:p w14:paraId="4B4AF9CC" w14:textId="77777777" w:rsidR="00F67E9E" w:rsidRPr="00102034" w:rsidRDefault="00F67E9E" w:rsidP="00F67E9E">
      <w:pPr>
        <w:pBdr>
          <w:top w:val="nil"/>
          <w:left w:val="nil"/>
          <w:bottom w:val="nil"/>
          <w:right w:val="nil"/>
          <w:between w:val="nil"/>
        </w:pBdr>
        <w:spacing w:before="240" w:after="240"/>
        <w:ind w:left="720"/>
        <w:rPr>
          <w:rFonts w:eastAsia="Arial" w:cs="Arial"/>
          <w:i/>
          <w:color w:val="000000"/>
          <w:szCs w:val="24"/>
          <w:lang w:eastAsia="en-GB"/>
        </w:rPr>
      </w:pPr>
      <w:r w:rsidRPr="00102034">
        <w:rPr>
          <w:rFonts w:eastAsia="Arial" w:cs="Arial"/>
          <w:i/>
          <w:color w:val="000000"/>
          <w:szCs w:val="24"/>
          <w:lang w:eastAsia="en-GB"/>
        </w:rPr>
        <w:t>Purpose(s) of the data transfer and further processing</w:t>
      </w:r>
    </w:p>
    <w:p w14:paraId="165DE9F1" w14:textId="77777777" w:rsidR="00F67E9E" w:rsidRPr="00102034" w:rsidRDefault="00F67E9E" w:rsidP="00F67E9E">
      <w:pPr>
        <w:pBdr>
          <w:top w:val="nil"/>
          <w:left w:val="nil"/>
          <w:bottom w:val="nil"/>
          <w:right w:val="nil"/>
          <w:between w:val="nil"/>
        </w:pBdr>
        <w:tabs>
          <w:tab w:val="left" w:pos="2880"/>
        </w:tabs>
        <w:spacing w:before="120" w:after="240"/>
        <w:ind w:left="720" w:firstLine="1440"/>
        <w:rPr>
          <w:rFonts w:eastAsia="Arial" w:cs="Arial"/>
          <w:color w:val="000000"/>
          <w:szCs w:val="24"/>
          <w:lang w:eastAsia="en-GB"/>
        </w:rPr>
      </w:pPr>
      <w:r w:rsidRPr="00102034">
        <w:rPr>
          <w:rFonts w:eastAsia="Arial" w:cs="Arial"/>
          <w:color w:val="000000"/>
          <w:szCs w:val="24"/>
          <w:lang w:eastAsia="en-GB"/>
        </w:rPr>
        <w:t>…</w:t>
      </w:r>
      <w:r>
        <w:rPr>
          <w:rFonts w:eastAsia="Arial" w:cs="Arial"/>
          <w:color w:val="000000"/>
          <w:szCs w:val="24"/>
          <w:lang w:eastAsia="en-GB"/>
        </w:rPr>
        <w:t>………………….</w:t>
      </w:r>
    </w:p>
    <w:p w14:paraId="2BE48C6E" w14:textId="77777777" w:rsidR="00F67E9E" w:rsidRPr="00102034" w:rsidRDefault="00F67E9E" w:rsidP="00F67E9E">
      <w:pPr>
        <w:pBdr>
          <w:top w:val="nil"/>
          <w:left w:val="nil"/>
          <w:bottom w:val="nil"/>
          <w:right w:val="nil"/>
          <w:between w:val="nil"/>
        </w:pBdr>
        <w:spacing w:before="240" w:after="240"/>
        <w:ind w:left="720"/>
        <w:rPr>
          <w:rFonts w:eastAsia="Arial" w:cs="Arial"/>
          <w:i/>
          <w:color w:val="000000"/>
          <w:szCs w:val="24"/>
          <w:lang w:eastAsia="en-GB"/>
        </w:rPr>
      </w:pPr>
      <w:r w:rsidRPr="00102034">
        <w:rPr>
          <w:rFonts w:eastAsia="Arial" w:cs="Arial"/>
          <w:i/>
          <w:color w:val="000000"/>
          <w:szCs w:val="24"/>
          <w:lang w:eastAsia="en-GB"/>
        </w:rPr>
        <w:t>The period for which the personal data will be retained, or, if that is not possible, the criteria used to determine that period</w:t>
      </w:r>
    </w:p>
    <w:p w14:paraId="79EC358B" w14:textId="77777777" w:rsidR="00F67E9E" w:rsidRPr="00102034" w:rsidRDefault="00F67E9E" w:rsidP="00F67E9E">
      <w:pPr>
        <w:pBdr>
          <w:top w:val="nil"/>
          <w:left w:val="nil"/>
          <w:bottom w:val="nil"/>
          <w:right w:val="nil"/>
          <w:between w:val="nil"/>
        </w:pBdr>
        <w:tabs>
          <w:tab w:val="left" w:pos="2880"/>
        </w:tabs>
        <w:spacing w:before="120" w:after="240"/>
        <w:ind w:left="720" w:firstLine="1440"/>
        <w:rPr>
          <w:rFonts w:eastAsia="Arial" w:cs="Arial"/>
          <w:color w:val="000000"/>
          <w:szCs w:val="24"/>
          <w:lang w:eastAsia="en-GB"/>
        </w:rPr>
      </w:pPr>
      <w:r w:rsidRPr="00102034">
        <w:rPr>
          <w:rFonts w:eastAsia="Arial" w:cs="Arial"/>
          <w:color w:val="000000"/>
          <w:szCs w:val="24"/>
          <w:lang w:eastAsia="en-GB"/>
        </w:rPr>
        <w:t>…</w:t>
      </w:r>
      <w:r>
        <w:rPr>
          <w:rFonts w:eastAsia="Arial" w:cs="Arial"/>
          <w:color w:val="000000"/>
          <w:szCs w:val="24"/>
          <w:lang w:eastAsia="en-GB"/>
        </w:rPr>
        <w:t>………………….</w:t>
      </w:r>
    </w:p>
    <w:p w14:paraId="75CF10AD" w14:textId="77777777" w:rsidR="00F67E9E" w:rsidRPr="00102034" w:rsidRDefault="00F67E9E" w:rsidP="00F67E9E">
      <w:pPr>
        <w:pBdr>
          <w:top w:val="nil"/>
          <w:left w:val="nil"/>
          <w:bottom w:val="nil"/>
          <w:right w:val="nil"/>
          <w:between w:val="nil"/>
        </w:pBdr>
        <w:spacing w:before="240" w:after="240"/>
        <w:ind w:left="720"/>
        <w:rPr>
          <w:rFonts w:eastAsia="Arial" w:cs="Arial"/>
          <w:i/>
          <w:color w:val="000000"/>
          <w:szCs w:val="24"/>
          <w:lang w:eastAsia="en-GB"/>
        </w:rPr>
      </w:pPr>
      <w:r w:rsidRPr="00102034">
        <w:rPr>
          <w:rFonts w:eastAsia="Arial" w:cs="Arial"/>
          <w:i/>
          <w:color w:val="000000"/>
          <w:szCs w:val="24"/>
          <w:lang w:eastAsia="en-GB"/>
        </w:rPr>
        <w:t>For transfers to (sub-) processors, also specify subject matter, nature and duration of the processing</w:t>
      </w:r>
    </w:p>
    <w:p w14:paraId="23BFAE5E" w14:textId="77777777" w:rsidR="00F67E9E" w:rsidRPr="00102034" w:rsidRDefault="00F67E9E" w:rsidP="00F67E9E">
      <w:pPr>
        <w:pBdr>
          <w:top w:val="nil"/>
          <w:left w:val="nil"/>
          <w:bottom w:val="nil"/>
          <w:right w:val="nil"/>
          <w:between w:val="nil"/>
        </w:pBdr>
        <w:tabs>
          <w:tab w:val="left" w:pos="2880"/>
        </w:tabs>
        <w:spacing w:before="120" w:after="240"/>
        <w:ind w:left="720" w:firstLine="1440"/>
        <w:rPr>
          <w:rFonts w:eastAsia="Arial" w:cs="Arial"/>
          <w:color w:val="000000"/>
          <w:szCs w:val="24"/>
          <w:lang w:eastAsia="en-GB"/>
        </w:rPr>
      </w:pPr>
      <w:bookmarkStart w:id="3665" w:name="bookmark=id.nqbsy1" w:colFirst="0" w:colLast="0"/>
      <w:bookmarkEnd w:id="3665"/>
      <w:r w:rsidRPr="00102034">
        <w:rPr>
          <w:rFonts w:eastAsia="Arial" w:cs="Arial"/>
          <w:color w:val="000000"/>
          <w:szCs w:val="24"/>
          <w:lang w:eastAsia="en-GB"/>
        </w:rPr>
        <w:t>…</w:t>
      </w:r>
      <w:r>
        <w:rPr>
          <w:rFonts w:eastAsia="Arial" w:cs="Arial"/>
          <w:color w:val="000000"/>
          <w:szCs w:val="24"/>
          <w:lang w:eastAsia="en-GB"/>
        </w:rPr>
        <w:t>………………….</w:t>
      </w:r>
    </w:p>
    <w:p w14:paraId="0B9106D2" w14:textId="77777777" w:rsidR="00F67E9E" w:rsidRPr="00102034" w:rsidRDefault="00F67E9E" w:rsidP="00F67E9E">
      <w:pPr>
        <w:pBdr>
          <w:top w:val="nil"/>
          <w:left w:val="nil"/>
          <w:bottom w:val="nil"/>
          <w:right w:val="nil"/>
          <w:between w:val="nil"/>
        </w:pBdr>
        <w:tabs>
          <w:tab w:val="left" w:pos="720"/>
        </w:tabs>
        <w:spacing w:before="240" w:after="240"/>
        <w:rPr>
          <w:rFonts w:eastAsia="Arial" w:cs="Arial"/>
          <w:b/>
          <w:color w:val="000000"/>
          <w:szCs w:val="24"/>
          <w:lang w:eastAsia="en-GB"/>
        </w:rPr>
      </w:pPr>
      <w:r w:rsidRPr="00102034">
        <w:rPr>
          <w:rFonts w:eastAsia="Arial" w:cs="Arial"/>
          <w:b/>
          <w:color w:val="000000"/>
          <w:szCs w:val="24"/>
          <w:lang w:eastAsia="en-GB"/>
        </w:rPr>
        <w:t xml:space="preserve">C. </w:t>
      </w:r>
      <w:r>
        <w:rPr>
          <w:rFonts w:eastAsia="Arial" w:cs="Arial"/>
          <w:b/>
          <w:color w:val="000000"/>
          <w:szCs w:val="24"/>
          <w:lang w:eastAsia="en-GB"/>
        </w:rPr>
        <w:tab/>
      </w:r>
      <w:r w:rsidRPr="00102034">
        <w:rPr>
          <w:rFonts w:eastAsia="Arial" w:cs="Arial"/>
          <w:b/>
          <w:color w:val="000000"/>
          <w:szCs w:val="24"/>
          <w:lang w:eastAsia="en-GB"/>
        </w:rPr>
        <w:t>COMPETENT SUPERVISORY AUTHORITY</w:t>
      </w:r>
    </w:p>
    <w:p w14:paraId="55BF6261" w14:textId="77777777" w:rsidR="00F67E9E" w:rsidRPr="00102034" w:rsidRDefault="00F67E9E" w:rsidP="00F67E9E">
      <w:pPr>
        <w:pBdr>
          <w:top w:val="nil"/>
          <w:left w:val="nil"/>
          <w:bottom w:val="nil"/>
          <w:right w:val="nil"/>
          <w:between w:val="nil"/>
        </w:pBdr>
        <w:spacing w:before="240" w:after="240"/>
        <w:ind w:left="720"/>
        <w:rPr>
          <w:rFonts w:eastAsia="Arial" w:cs="Arial"/>
          <w:i/>
          <w:color w:val="000000"/>
          <w:szCs w:val="24"/>
          <w:lang w:eastAsia="en-GB"/>
        </w:rPr>
      </w:pPr>
      <w:r w:rsidRPr="00102034">
        <w:rPr>
          <w:rFonts w:eastAsia="Arial" w:cs="Arial"/>
          <w:i/>
          <w:color w:val="000000"/>
          <w:szCs w:val="24"/>
          <w:lang w:eastAsia="en-GB"/>
        </w:rPr>
        <w:t>Identify the competent supervisory authority/ies in accordance with Clause 13</w:t>
      </w:r>
    </w:p>
    <w:p w14:paraId="2A2E1701" w14:textId="77777777" w:rsidR="00F67E9E" w:rsidRPr="00102034" w:rsidRDefault="00F67E9E" w:rsidP="00F67E9E">
      <w:pPr>
        <w:pBdr>
          <w:top w:val="nil"/>
          <w:left w:val="nil"/>
          <w:bottom w:val="nil"/>
          <w:right w:val="nil"/>
          <w:between w:val="nil"/>
        </w:pBdr>
        <w:spacing w:before="120"/>
        <w:ind w:left="1800"/>
        <w:rPr>
          <w:rFonts w:eastAsia="Arial" w:cs="Arial"/>
          <w:color w:val="000000"/>
          <w:szCs w:val="24"/>
          <w:lang w:eastAsia="en-GB"/>
        </w:rPr>
      </w:pPr>
    </w:p>
    <w:p w14:paraId="45354D31" w14:textId="77777777" w:rsidR="00F67E9E" w:rsidRPr="00102034" w:rsidRDefault="00F67E9E" w:rsidP="00F67E9E">
      <w:pPr>
        <w:pageBreakBefore/>
        <w:pBdr>
          <w:top w:val="nil"/>
          <w:left w:val="nil"/>
          <w:bottom w:val="nil"/>
          <w:right w:val="nil"/>
          <w:between w:val="nil"/>
        </w:pBdr>
        <w:spacing w:before="120"/>
        <w:jc w:val="center"/>
        <w:rPr>
          <w:rFonts w:eastAsia="Arial" w:cs="Arial"/>
          <w:b/>
          <w:color w:val="000000"/>
          <w:szCs w:val="24"/>
          <w:lang w:eastAsia="en-GB"/>
        </w:rPr>
      </w:pPr>
      <w:r w:rsidRPr="00102034">
        <w:rPr>
          <w:rFonts w:eastAsia="Arial" w:cs="Arial"/>
          <w:b/>
          <w:color w:val="000000"/>
          <w:szCs w:val="24"/>
          <w:lang w:eastAsia="en-GB"/>
        </w:rPr>
        <w:t xml:space="preserve">ANNEX </w:t>
      </w:r>
      <w:bookmarkStart w:id="3666" w:name="bookmark=id.37pzblu" w:colFirst="0" w:colLast="0"/>
      <w:bookmarkStart w:id="3667" w:name="Schedule_31_PartC_Annex_II"/>
      <w:bookmarkEnd w:id="3666"/>
      <w:r w:rsidRPr="00102034">
        <w:rPr>
          <w:rFonts w:eastAsia="Arial" w:cs="Arial"/>
          <w:b/>
          <w:color w:val="000000"/>
          <w:szCs w:val="24"/>
          <w:lang w:eastAsia="en-GB"/>
        </w:rPr>
        <w:t>II</w:t>
      </w:r>
      <w:bookmarkEnd w:id="3667"/>
    </w:p>
    <w:p w14:paraId="28DF23C0" w14:textId="77777777" w:rsidR="00F67E9E" w:rsidRPr="00102034" w:rsidRDefault="00F67E9E" w:rsidP="00F67E9E">
      <w:pPr>
        <w:pBdr>
          <w:top w:val="nil"/>
          <w:left w:val="nil"/>
          <w:bottom w:val="nil"/>
          <w:right w:val="nil"/>
          <w:between w:val="nil"/>
        </w:pBdr>
        <w:spacing w:before="240" w:after="240"/>
        <w:ind w:firstLine="1440"/>
        <w:rPr>
          <w:rFonts w:eastAsia="Arial" w:cs="Arial"/>
          <w:b/>
          <w:color w:val="000000"/>
          <w:szCs w:val="24"/>
          <w:lang w:eastAsia="en-GB"/>
        </w:rPr>
      </w:pPr>
      <w:r w:rsidRPr="00102034">
        <w:rPr>
          <w:rFonts w:eastAsia="Arial" w:cs="Arial"/>
          <w:b/>
          <w:color w:val="000000"/>
          <w:szCs w:val="24"/>
          <w:lang w:eastAsia="en-GB"/>
        </w:rPr>
        <w:t>TECHNICAL AND ORGANISATIONAL MEASURES INCLUDING TECHNICAL AND ORGANISATIONAL MEASURES TO ENSURE THE SECURITY OF THE DATA</w:t>
      </w:r>
    </w:p>
    <w:tbl>
      <w:tblPr>
        <w:tblW w:w="9360" w:type="dxa"/>
        <w:tblBorders>
          <w:top w:val="nil"/>
          <w:left w:val="nil"/>
          <w:bottom w:val="nil"/>
          <w:right w:val="nil"/>
          <w:insideH w:val="nil"/>
          <w:insideV w:val="nil"/>
        </w:tblBorders>
        <w:tblLayout w:type="fixed"/>
        <w:tblLook w:val="0400" w:firstRow="0" w:lastRow="0" w:firstColumn="0" w:lastColumn="0" w:noHBand="0" w:noVBand="1"/>
      </w:tblPr>
      <w:tblGrid>
        <w:gridCol w:w="9360"/>
      </w:tblGrid>
      <w:tr w:rsidR="00F67E9E" w:rsidRPr="00102034" w14:paraId="21985E27" w14:textId="77777777" w:rsidTr="007F74AA">
        <w:tc>
          <w:tcPr>
            <w:tcW w:w="9360" w:type="dxa"/>
          </w:tcPr>
          <w:p w14:paraId="136B3327" w14:textId="77777777" w:rsidR="00F67E9E" w:rsidRPr="00102034" w:rsidRDefault="00F67E9E" w:rsidP="007F74AA">
            <w:pPr>
              <w:pBdr>
                <w:top w:val="nil"/>
                <w:left w:val="nil"/>
                <w:bottom w:val="nil"/>
                <w:right w:val="nil"/>
                <w:between w:val="nil"/>
              </w:pBdr>
              <w:spacing w:before="120"/>
              <w:rPr>
                <w:rFonts w:eastAsia="Arial" w:cs="Arial"/>
                <w:b/>
                <w:color w:val="000000"/>
                <w:szCs w:val="24"/>
                <w:lang w:eastAsia="en-GB"/>
              </w:rPr>
            </w:pPr>
            <w:r w:rsidRPr="00102034">
              <w:rPr>
                <w:rFonts w:eastAsia="Arial" w:cs="Arial"/>
                <w:color w:val="000000"/>
                <w:szCs w:val="24"/>
                <w:lang w:eastAsia="en-GB"/>
              </w:rPr>
              <w:t>EXPLANATORY NOTE:</w:t>
            </w:r>
          </w:p>
          <w:p w14:paraId="12960DB4" w14:textId="75F3D8E6" w:rsidR="00F67E9E" w:rsidRPr="00102034" w:rsidRDefault="00F67E9E" w:rsidP="007F74AA">
            <w:pPr>
              <w:pBdr>
                <w:top w:val="nil"/>
                <w:left w:val="nil"/>
                <w:bottom w:val="nil"/>
                <w:right w:val="nil"/>
                <w:between w:val="nil"/>
              </w:pBdr>
              <w:spacing w:before="120"/>
              <w:rPr>
                <w:rFonts w:eastAsia="Arial" w:cs="Arial"/>
                <w:b/>
                <w:color w:val="000000"/>
                <w:szCs w:val="24"/>
                <w:lang w:eastAsia="en-GB"/>
              </w:rPr>
            </w:pPr>
            <w:r w:rsidRPr="00102034">
              <w:rPr>
                <w:rFonts w:eastAsia="Arial" w:cs="Arial"/>
                <w:color w:val="000000"/>
                <w:szCs w:val="24"/>
                <w:lang w:eastAsia="en-GB"/>
              </w:rPr>
              <w:t xml:space="preserve">The technical and organisational measures must be described in specific (and not generic) terms. See also the general comment on the first page of the </w:t>
            </w:r>
            <w:r w:rsidRPr="009E7653">
              <w:rPr>
                <w:rFonts w:eastAsia="Arial" w:cs="Arial"/>
                <w:color w:val="000000"/>
                <w:szCs w:val="24"/>
                <w:lang w:eastAsia="en-GB"/>
              </w:rPr>
              <w:fldChar w:fldCharType="begin"/>
            </w:r>
            <w:r w:rsidRPr="009E7653">
              <w:rPr>
                <w:rFonts w:eastAsia="Arial" w:cs="Arial"/>
                <w:color w:val="000000"/>
                <w:szCs w:val="24"/>
                <w:lang w:eastAsia="en-GB"/>
              </w:rPr>
              <w:instrText xml:space="preserve"> REF  Schedule_31_PartC_Appendix \* Caps \h  \* MERGEFORMAT </w:instrText>
            </w:r>
            <w:r w:rsidRPr="009E7653">
              <w:rPr>
                <w:rFonts w:eastAsia="Arial" w:cs="Arial"/>
                <w:color w:val="000000"/>
                <w:szCs w:val="24"/>
                <w:lang w:eastAsia="en-GB"/>
              </w:rPr>
            </w:r>
            <w:r w:rsidRPr="009E7653">
              <w:rPr>
                <w:rFonts w:eastAsia="Arial" w:cs="Arial"/>
                <w:color w:val="000000"/>
                <w:szCs w:val="24"/>
                <w:lang w:eastAsia="en-GB"/>
              </w:rPr>
              <w:fldChar w:fldCharType="separate"/>
            </w:r>
            <w:r w:rsidR="00302D39" w:rsidRPr="00302D39">
              <w:rPr>
                <w:rFonts w:eastAsia="Arial" w:cs="Arial"/>
                <w:color w:val="000000"/>
                <w:szCs w:val="24"/>
                <w:lang w:eastAsia="en-GB"/>
              </w:rPr>
              <w:t>Appendix</w:t>
            </w:r>
            <w:r w:rsidRPr="009E7653">
              <w:rPr>
                <w:rFonts w:eastAsia="Arial" w:cs="Arial"/>
                <w:color w:val="000000"/>
                <w:szCs w:val="24"/>
                <w:lang w:eastAsia="en-GB"/>
              </w:rPr>
              <w:fldChar w:fldCharType="end"/>
            </w:r>
            <w:r w:rsidRPr="00102034">
              <w:rPr>
                <w:rFonts w:eastAsia="Arial" w:cs="Arial"/>
                <w:color w:val="000000"/>
                <w:szCs w:val="24"/>
                <w:lang w:eastAsia="en-GB"/>
              </w:rPr>
              <w:t>, in particular on the need to clearly indicate which measures apply to each transfer/set of transfers.</w:t>
            </w:r>
          </w:p>
        </w:tc>
      </w:tr>
    </w:tbl>
    <w:p w14:paraId="6D60B4A3" w14:textId="77777777" w:rsidR="00F67E9E" w:rsidRPr="00102034" w:rsidRDefault="00F67E9E" w:rsidP="00F67E9E">
      <w:pPr>
        <w:pBdr>
          <w:top w:val="nil"/>
          <w:left w:val="nil"/>
          <w:bottom w:val="nil"/>
          <w:right w:val="nil"/>
          <w:between w:val="nil"/>
        </w:pBdr>
        <w:spacing w:before="240" w:after="240"/>
        <w:ind w:firstLine="720"/>
        <w:rPr>
          <w:rFonts w:eastAsia="Arial" w:cs="Arial"/>
          <w:i/>
          <w:color w:val="000000"/>
          <w:szCs w:val="24"/>
          <w:lang w:eastAsia="en-GB"/>
        </w:rPr>
      </w:pPr>
      <w:r w:rsidRPr="00102034">
        <w:rPr>
          <w:rFonts w:eastAsia="Arial" w:cs="Arial"/>
          <w:i/>
          <w:color w:val="000000"/>
          <w:szCs w:val="24"/>
          <w:lang w:eastAsia="en-GB"/>
        </w:rPr>
        <w:t>Description of the technical and organisational measures implemented by the data importer(s) (including any relevant certifications) to ensure an appropriate level of security, taking into account the nature, scope, context and purpose of the processing, and the risks for the rights and freedoms of natural persons.</w:t>
      </w:r>
    </w:p>
    <w:p w14:paraId="31FED371" w14:textId="77777777" w:rsidR="00F67E9E" w:rsidRPr="00102034" w:rsidRDefault="00F67E9E" w:rsidP="00F67E9E">
      <w:pPr>
        <w:pBdr>
          <w:top w:val="nil"/>
          <w:left w:val="nil"/>
          <w:bottom w:val="nil"/>
          <w:right w:val="nil"/>
          <w:between w:val="nil"/>
        </w:pBdr>
        <w:spacing w:before="240" w:after="240"/>
        <w:ind w:firstLine="720"/>
        <w:rPr>
          <w:rFonts w:eastAsia="Arial" w:cs="Arial"/>
          <w:i/>
          <w:color w:val="000000"/>
          <w:szCs w:val="24"/>
          <w:lang w:eastAsia="en-GB"/>
        </w:rPr>
      </w:pPr>
      <w:r w:rsidRPr="00102034">
        <w:rPr>
          <w:rFonts w:eastAsia="Arial" w:cs="Arial"/>
          <w:i/>
          <w:color w:val="000000"/>
          <w:szCs w:val="24"/>
          <w:lang w:eastAsia="en-GB"/>
        </w:rPr>
        <w:t>[Examples of possible measures:</w:t>
      </w:r>
    </w:p>
    <w:p w14:paraId="18026434" w14:textId="77777777" w:rsidR="00F67E9E" w:rsidRPr="00102034" w:rsidRDefault="00F67E9E" w:rsidP="00F67E9E">
      <w:pPr>
        <w:pBdr>
          <w:top w:val="nil"/>
          <w:left w:val="nil"/>
          <w:bottom w:val="nil"/>
          <w:right w:val="nil"/>
          <w:between w:val="nil"/>
        </w:pBdr>
        <w:spacing w:before="240" w:after="240"/>
        <w:ind w:firstLine="1440"/>
        <w:rPr>
          <w:rFonts w:eastAsia="Arial" w:cs="Arial"/>
          <w:i/>
          <w:color w:val="000000"/>
          <w:szCs w:val="24"/>
          <w:lang w:eastAsia="en-GB"/>
        </w:rPr>
      </w:pPr>
      <w:r w:rsidRPr="00102034">
        <w:rPr>
          <w:rFonts w:eastAsia="Arial" w:cs="Arial"/>
          <w:i/>
          <w:color w:val="000000"/>
          <w:szCs w:val="24"/>
          <w:lang w:eastAsia="en-GB"/>
        </w:rPr>
        <w:t>Measures of pseudonymisation and encryption of personal data</w:t>
      </w:r>
    </w:p>
    <w:p w14:paraId="2ECAE3AD" w14:textId="77777777" w:rsidR="00F67E9E" w:rsidRPr="00102034" w:rsidRDefault="00F67E9E" w:rsidP="00F67E9E">
      <w:pPr>
        <w:pBdr>
          <w:top w:val="nil"/>
          <w:left w:val="nil"/>
          <w:bottom w:val="nil"/>
          <w:right w:val="nil"/>
          <w:between w:val="nil"/>
        </w:pBdr>
        <w:spacing w:before="240" w:after="240"/>
        <w:ind w:left="1440"/>
        <w:rPr>
          <w:rFonts w:eastAsia="Arial" w:cs="Arial"/>
          <w:i/>
          <w:color w:val="000000"/>
          <w:szCs w:val="24"/>
          <w:lang w:eastAsia="en-GB"/>
        </w:rPr>
      </w:pPr>
      <w:r w:rsidRPr="00102034">
        <w:rPr>
          <w:rFonts w:eastAsia="Arial" w:cs="Arial"/>
          <w:i/>
          <w:color w:val="000000"/>
          <w:szCs w:val="24"/>
          <w:lang w:eastAsia="en-GB"/>
        </w:rPr>
        <w:t>Measures for ensuring ongoing confidentiality, integrity, availability and resilience of processing systems and services</w:t>
      </w:r>
    </w:p>
    <w:p w14:paraId="388D33F2" w14:textId="77777777" w:rsidR="00F67E9E" w:rsidRPr="00102034" w:rsidRDefault="00F67E9E" w:rsidP="00F67E9E">
      <w:pPr>
        <w:pBdr>
          <w:top w:val="nil"/>
          <w:left w:val="nil"/>
          <w:bottom w:val="nil"/>
          <w:right w:val="nil"/>
          <w:between w:val="nil"/>
        </w:pBdr>
        <w:spacing w:before="240" w:after="240"/>
        <w:ind w:left="1440"/>
        <w:rPr>
          <w:rFonts w:eastAsia="Arial" w:cs="Arial"/>
          <w:i/>
          <w:color w:val="000000"/>
          <w:szCs w:val="24"/>
          <w:lang w:eastAsia="en-GB"/>
        </w:rPr>
      </w:pPr>
      <w:r w:rsidRPr="00102034">
        <w:rPr>
          <w:rFonts w:eastAsia="Arial" w:cs="Arial"/>
          <w:i/>
          <w:color w:val="000000"/>
          <w:szCs w:val="24"/>
          <w:lang w:eastAsia="en-GB"/>
        </w:rPr>
        <w:t>Measures for ensuring the ability to restore the availability and access to personal data in a timely manner in the event of a physical or technical incident</w:t>
      </w:r>
    </w:p>
    <w:p w14:paraId="1C0EAB6D" w14:textId="77777777" w:rsidR="00F67E9E" w:rsidRPr="00102034" w:rsidRDefault="00F67E9E" w:rsidP="00F67E9E">
      <w:pPr>
        <w:pBdr>
          <w:top w:val="nil"/>
          <w:left w:val="nil"/>
          <w:bottom w:val="nil"/>
          <w:right w:val="nil"/>
          <w:between w:val="nil"/>
        </w:pBdr>
        <w:spacing w:before="240" w:after="240"/>
        <w:ind w:left="1440"/>
        <w:rPr>
          <w:rFonts w:eastAsia="Arial" w:cs="Arial"/>
          <w:i/>
          <w:color w:val="000000"/>
          <w:szCs w:val="24"/>
          <w:lang w:eastAsia="en-GB"/>
        </w:rPr>
      </w:pPr>
      <w:r w:rsidRPr="00102034">
        <w:rPr>
          <w:rFonts w:eastAsia="Arial" w:cs="Arial"/>
          <w:i/>
          <w:color w:val="000000"/>
          <w:szCs w:val="24"/>
          <w:lang w:eastAsia="en-GB"/>
        </w:rPr>
        <w:t>Processes for regularly testing, assessing and evaluating the effectiveness of technical and organisational measures in order to ensure the security of the processing</w:t>
      </w:r>
    </w:p>
    <w:p w14:paraId="79D32646" w14:textId="77777777" w:rsidR="00F67E9E" w:rsidRPr="00102034" w:rsidRDefault="00F67E9E" w:rsidP="00F67E9E">
      <w:pPr>
        <w:pBdr>
          <w:top w:val="nil"/>
          <w:left w:val="nil"/>
          <w:bottom w:val="nil"/>
          <w:right w:val="nil"/>
          <w:between w:val="nil"/>
        </w:pBdr>
        <w:spacing w:before="240" w:after="240"/>
        <w:ind w:firstLine="1440"/>
        <w:rPr>
          <w:rFonts w:eastAsia="Arial" w:cs="Arial"/>
          <w:i/>
          <w:color w:val="000000"/>
          <w:szCs w:val="24"/>
          <w:lang w:eastAsia="en-GB"/>
        </w:rPr>
      </w:pPr>
      <w:r w:rsidRPr="00102034">
        <w:rPr>
          <w:rFonts w:eastAsia="Arial" w:cs="Arial"/>
          <w:i/>
          <w:color w:val="000000"/>
          <w:szCs w:val="24"/>
          <w:lang w:eastAsia="en-GB"/>
        </w:rPr>
        <w:t>Measures for user identification and authorisation</w:t>
      </w:r>
    </w:p>
    <w:p w14:paraId="347035AE" w14:textId="77777777" w:rsidR="00F67E9E" w:rsidRPr="00102034" w:rsidRDefault="00F67E9E" w:rsidP="00F67E9E">
      <w:pPr>
        <w:pBdr>
          <w:top w:val="nil"/>
          <w:left w:val="nil"/>
          <w:bottom w:val="nil"/>
          <w:right w:val="nil"/>
          <w:between w:val="nil"/>
        </w:pBdr>
        <w:spacing w:before="240" w:after="240"/>
        <w:ind w:firstLine="1440"/>
        <w:rPr>
          <w:rFonts w:eastAsia="Arial" w:cs="Arial"/>
          <w:i/>
          <w:color w:val="000000"/>
          <w:szCs w:val="24"/>
          <w:lang w:eastAsia="en-GB"/>
        </w:rPr>
      </w:pPr>
      <w:r w:rsidRPr="00102034">
        <w:rPr>
          <w:rFonts w:eastAsia="Arial" w:cs="Arial"/>
          <w:i/>
          <w:color w:val="000000"/>
          <w:szCs w:val="24"/>
          <w:lang w:eastAsia="en-GB"/>
        </w:rPr>
        <w:t>Measures for the protection of data during transmission</w:t>
      </w:r>
    </w:p>
    <w:p w14:paraId="4FC81D91" w14:textId="77777777" w:rsidR="00F67E9E" w:rsidRPr="00102034" w:rsidRDefault="00F67E9E" w:rsidP="00F67E9E">
      <w:pPr>
        <w:pBdr>
          <w:top w:val="nil"/>
          <w:left w:val="nil"/>
          <w:bottom w:val="nil"/>
          <w:right w:val="nil"/>
          <w:between w:val="nil"/>
        </w:pBdr>
        <w:spacing w:before="240" w:after="240"/>
        <w:ind w:firstLine="1440"/>
        <w:rPr>
          <w:rFonts w:eastAsia="Arial" w:cs="Arial"/>
          <w:i/>
          <w:color w:val="000000"/>
          <w:szCs w:val="24"/>
          <w:lang w:eastAsia="en-GB"/>
        </w:rPr>
      </w:pPr>
      <w:r w:rsidRPr="00102034">
        <w:rPr>
          <w:rFonts w:eastAsia="Arial" w:cs="Arial"/>
          <w:i/>
          <w:color w:val="000000"/>
          <w:szCs w:val="24"/>
          <w:lang w:eastAsia="en-GB"/>
        </w:rPr>
        <w:t>Measures for the protection of data during storage</w:t>
      </w:r>
    </w:p>
    <w:p w14:paraId="4B2316D9" w14:textId="77777777" w:rsidR="00F67E9E" w:rsidRPr="00102034" w:rsidRDefault="00F67E9E" w:rsidP="00F67E9E">
      <w:pPr>
        <w:pBdr>
          <w:top w:val="nil"/>
          <w:left w:val="nil"/>
          <w:bottom w:val="nil"/>
          <w:right w:val="nil"/>
          <w:between w:val="nil"/>
        </w:pBdr>
        <w:spacing w:before="240" w:after="240"/>
        <w:ind w:left="1440"/>
        <w:rPr>
          <w:rFonts w:eastAsia="Arial" w:cs="Arial"/>
          <w:i/>
          <w:color w:val="000000"/>
          <w:szCs w:val="24"/>
          <w:lang w:eastAsia="en-GB"/>
        </w:rPr>
      </w:pPr>
      <w:r w:rsidRPr="00102034">
        <w:rPr>
          <w:rFonts w:eastAsia="Arial" w:cs="Arial"/>
          <w:i/>
          <w:color w:val="000000"/>
          <w:szCs w:val="24"/>
          <w:lang w:eastAsia="en-GB"/>
        </w:rPr>
        <w:t>Measures for ensuring physical security of locations at which personal data are processed</w:t>
      </w:r>
    </w:p>
    <w:p w14:paraId="1C304E23" w14:textId="77777777" w:rsidR="00F67E9E" w:rsidRPr="00102034" w:rsidRDefault="00F67E9E" w:rsidP="00F67E9E">
      <w:pPr>
        <w:pBdr>
          <w:top w:val="nil"/>
          <w:left w:val="nil"/>
          <w:bottom w:val="nil"/>
          <w:right w:val="nil"/>
          <w:between w:val="nil"/>
        </w:pBdr>
        <w:spacing w:before="240" w:after="240"/>
        <w:ind w:firstLine="1440"/>
        <w:rPr>
          <w:rFonts w:eastAsia="Arial" w:cs="Arial"/>
          <w:i/>
          <w:color w:val="000000"/>
          <w:szCs w:val="24"/>
          <w:lang w:eastAsia="en-GB"/>
        </w:rPr>
      </w:pPr>
      <w:r w:rsidRPr="00102034">
        <w:rPr>
          <w:rFonts w:eastAsia="Arial" w:cs="Arial"/>
          <w:i/>
          <w:color w:val="000000"/>
          <w:szCs w:val="24"/>
          <w:lang w:eastAsia="en-GB"/>
        </w:rPr>
        <w:t>Measures for ensuring events logging</w:t>
      </w:r>
    </w:p>
    <w:p w14:paraId="04325D40" w14:textId="77777777" w:rsidR="00F67E9E" w:rsidRPr="00102034" w:rsidRDefault="00F67E9E" w:rsidP="00F67E9E">
      <w:pPr>
        <w:pBdr>
          <w:top w:val="nil"/>
          <w:left w:val="nil"/>
          <w:bottom w:val="nil"/>
          <w:right w:val="nil"/>
          <w:between w:val="nil"/>
        </w:pBdr>
        <w:spacing w:before="240" w:after="240"/>
        <w:ind w:firstLine="1440"/>
        <w:rPr>
          <w:rFonts w:eastAsia="Arial" w:cs="Arial"/>
          <w:i/>
          <w:color w:val="000000"/>
          <w:szCs w:val="24"/>
          <w:lang w:eastAsia="en-GB"/>
        </w:rPr>
      </w:pPr>
      <w:r w:rsidRPr="00102034">
        <w:rPr>
          <w:rFonts w:eastAsia="Arial" w:cs="Arial"/>
          <w:i/>
          <w:color w:val="000000"/>
          <w:szCs w:val="24"/>
          <w:lang w:eastAsia="en-GB"/>
        </w:rPr>
        <w:t>Measures for ensuring system configuration, including default configuration</w:t>
      </w:r>
    </w:p>
    <w:p w14:paraId="1B300D22" w14:textId="77777777" w:rsidR="00F67E9E" w:rsidRPr="00102034" w:rsidRDefault="00F67E9E" w:rsidP="00F67E9E">
      <w:pPr>
        <w:pBdr>
          <w:top w:val="nil"/>
          <w:left w:val="nil"/>
          <w:bottom w:val="nil"/>
          <w:right w:val="nil"/>
          <w:between w:val="nil"/>
        </w:pBdr>
        <w:spacing w:before="240" w:after="240"/>
        <w:ind w:firstLine="1440"/>
        <w:rPr>
          <w:rFonts w:eastAsia="Arial" w:cs="Arial"/>
          <w:i/>
          <w:color w:val="000000"/>
          <w:szCs w:val="24"/>
          <w:lang w:eastAsia="en-GB"/>
        </w:rPr>
      </w:pPr>
      <w:r w:rsidRPr="00102034">
        <w:rPr>
          <w:rFonts w:eastAsia="Arial" w:cs="Arial"/>
          <w:i/>
          <w:color w:val="000000"/>
          <w:szCs w:val="24"/>
          <w:lang w:eastAsia="en-GB"/>
        </w:rPr>
        <w:t>Measures for internal IT and IT security governance and management</w:t>
      </w:r>
    </w:p>
    <w:p w14:paraId="1D74A3A0" w14:textId="77777777" w:rsidR="00F67E9E" w:rsidRPr="00102034" w:rsidRDefault="00F67E9E" w:rsidP="00F67E9E">
      <w:pPr>
        <w:pBdr>
          <w:top w:val="nil"/>
          <w:left w:val="nil"/>
          <w:bottom w:val="nil"/>
          <w:right w:val="nil"/>
          <w:between w:val="nil"/>
        </w:pBdr>
        <w:spacing w:before="240" w:after="240"/>
        <w:ind w:firstLine="1440"/>
        <w:rPr>
          <w:rFonts w:eastAsia="Arial" w:cs="Arial"/>
          <w:i/>
          <w:color w:val="000000"/>
          <w:szCs w:val="24"/>
          <w:lang w:eastAsia="en-GB"/>
        </w:rPr>
      </w:pPr>
      <w:r w:rsidRPr="00102034">
        <w:rPr>
          <w:rFonts w:eastAsia="Arial" w:cs="Arial"/>
          <w:i/>
          <w:color w:val="000000"/>
          <w:szCs w:val="24"/>
          <w:lang w:eastAsia="en-GB"/>
        </w:rPr>
        <w:t>Measures for certification/assurance of processes and products</w:t>
      </w:r>
    </w:p>
    <w:p w14:paraId="1EB5F589" w14:textId="77777777" w:rsidR="00F67E9E" w:rsidRPr="00102034" w:rsidRDefault="00F67E9E" w:rsidP="00F67E9E">
      <w:pPr>
        <w:pBdr>
          <w:top w:val="nil"/>
          <w:left w:val="nil"/>
          <w:bottom w:val="nil"/>
          <w:right w:val="nil"/>
          <w:between w:val="nil"/>
        </w:pBdr>
        <w:spacing w:before="240" w:after="240"/>
        <w:ind w:firstLine="1440"/>
        <w:rPr>
          <w:rFonts w:eastAsia="Arial" w:cs="Arial"/>
          <w:i/>
          <w:color w:val="000000"/>
          <w:szCs w:val="24"/>
          <w:lang w:eastAsia="en-GB"/>
        </w:rPr>
      </w:pPr>
      <w:r w:rsidRPr="00102034">
        <w:rPr>
          <w:rFonts w:eastAsia="Arial" w:cs="Arial"/>
          <w:i/>
          <w:color w:val="000000"/>
          <w:szCs w:val="24"/>
          <w:lang w:eastAsia="en-GB"/>
        </w:rPr>
        <w:t>Measures for ensuring data minimisation</w:t>
      </w:r>
    </w:p>
    <w:p w14:paraId="45995C64" w14:textId="77777777" w:rsidR="00F67E9E" w:rsidRPr="00102034" w:rsidRDefault="00F67E9E" w:rsidP="00F67E9E">
      <w:pPr>
        <w:pBdr>
          <w:top w:val="nil"/>
          <w:left w:val="nil"/>
          <w:bottom w:val="nil"/>
          <w:right w:val="nil"/>
          <w:between w:val="nil"/>
        </w:pBdr>
        <w:spacing w:before="240" w:after="240"/>
        <w:ind w:firstLine="1440"/>
        <w:rPr>
          <w:rFonts w:eastAsia="Arial" w:cs="Arial"/>
          <w:i/>
          <w:color w:val="000000"/>
          <w:szCs w:val="24"/>
          <w:lang w:eastAsia="en-GB"/>
        </w:rPr>
      </w:pPr>
      <w:r w:rsidRPr="00102034">
        <w:rPr>
          <w:rFonts w:eastAsia="Arial" w:cs="Arial"/>
          <w:i/>
          <w:color w:val="000000"/>
          <w:szCs w:val="24"/>
          <w:lang w:eastAsia="en-GB"/>
        </w:rPr>
        <w:t>Measures for ensuring data quality</w:t>
      </w:r>
    </w:p>
    <w:p w14:paraId="277A3714" w14:textId="77777777" w:rsidR="00F67E9E" w:rsidRPr="00102034" w:rsidRDefault="00F67E9E" w:rsidP="00F67E9E">
      <w:pPr>
        <w:pBdr>
          <w:top w:val="nil"/>
          <w:left w:val="nil"/>
          <w:bottom w:val="nil"/>
          <w:right w:val="nil"/>
          <w:between w:val="nil"/>
        </w:pBdr>
        <w:spacing w:before="240" w:after="240"/>
        <w:ind w:firstLine="1440"/>
        <w:rPr>
          <w:rFonts w:eastAsia="Arial" w:cs="Arial"/>
          <w:i/>
          <w:color w:val="000000"/>
          <w:szCs w:val="24"/>
          <w:lang w:eastAsia="en-GB"/>
        </w:rPr>
      </w:pPr>
      <w:r w:rsidRPr="00102034">
        <w:rPr>
          <w:rFonts w:eastAsia="Arial" w:cs="Arial"/>
          <w:i/>
          <w:color w:val="000000"/>
          <w:szCs w:val="24"/>
          <w:lang w:eastAsia="en-GB"/>
        </w:rPr>
        <w:t>Measures for ensuring limited data retention</w:t>
      </w:r>
    </w:p>
    <w:p w14:paraId="169FD070" w14:textId="77777777" w:rsidR="00F67E9E" w:rsidRPr="00102034" w:rsidRDefault="00F67E9E" w:rsidP="00F67E9E">
      <w:pPr>
        <w:pBdr>
          <w:top w:val="nil"/>
          <w:left w:val="nil"/>
          <w:bottom w:val="nil"/>
          <w:right w:val="nil"/>
          <w:between w:val="nil"/>
        </w:pBdr>
        <w:spacing w:before="240" w:after="240"/>
        <w:ind w:firstLine="1440"/>
        <w:rPr>
          <w:rFonts w:eastAsia="Arial" w:cs="Arial"/>
          <w:i/>
          <w:color w:val="000000"/>
          <w:szCs w:val="24"/>
          <w:lang w:eastAsia="en-GB"/>
        </w:rPr>
      </w:pPr>
      <w:r w:rsidRPr="00102034">
        <w:rPr>
          <w:rFonts w:eastAsia="Arial" w:cs="Arial"/>
          <w:i/>
          <w:color w:val="000000"/>
          <w:szCs w:val="24"/>
          <w:lang w:eastAsia="en-GB"/>
        </w:rPr>
        <w:t>Measures for ensuring accountability</w:t>
      </w:r>
    </w:p>
    <w:p w14:paraId="0C0C07D2" w14:textId="77777777" w:rsidR="00F67E9E" w:rsidRPr="00102034" w:rsidRDefault="00F67E9E" w:rsidP="00F67E9E">
      <w:pPr>
        <w:pBdr>
          <w:top w:val="nil"/>
          <w:left w:val="nil"/>
          <w:bottom w:val="nil"/>
          <w:right w:val="nil"/>
          <w:between w:val="nil"/>
        </w:pBdr>
        <w:spacing w:before="240" w:after="240"/>
        <w:ind w:firstLine="1440"/>
        <w:rPr>
          <w:rFonts w:eastAsia="Arial" w:cs="Arial"/>
          <w:i/>
          <w:color w:val="000000"/>
          <w:szCs w:val="24"/>
          <w:lang w:eastAsia="en-GB"/>
        </w:rPr>
      </w:pPr>
      <w:r w:rsidRPr="00102034">
        <w:rPr>
          <w:rFonts w:eastAsia="Arial" w:cs="Arial"/>
          <w:i/>
          <w:color w:val="000000"/>
          <w:szCs w:val="24"/>
          <w:lang w:eastAsia="en-GB"/>
        </w:rPr>
        <w:t>Measures for allowing data portability and ensuring erasure]</w:t>
      </w:r>
    </w:p>
    <w:p w14:paraId="4494C06E" w14:textId="77777777" w:rsidR="00F67E9E" w:rsidRPr="00102034" w:rsidRDefault="00F67E9E" w:rsidP="00F67E9E">
      <w:pPr>
        <w:pBdr>
          <w:top w:val="nil"/>
          <w:left w:val="nil"/>
          <w:bottom w:val="nil"/>
          <w:right w:val="nil"/>
          <w:between w:val="nil"/>
        </w:pBdr>
        <w:spacing w:before="240" w:after="240"/>
        <w:ind w:firstLine="720"/>
        <w:rPr>
          <w:rFonts w:eastAsia="Arial" w:cs="Arial"/>
          <w:color w:val="000000"/>
          <w:szCs w:val="24"/>
          <w:lang w:eastAsia="en-GB"/>
        </w:rPr>
      </w:pPr>
      <w:r w:rsidRPr="00102034">
        <w:rPr>
          <w:rFonts w:eastAsia="Arial" w:cs="Arial"/>
          <w:i/>
          <w:color w:val="000000"/>
          <w:szCs w:val="24"/>
          <w:lang w:eastAsia="en-GB"/>
        </w:rPr>
        <w:t>For transfers to (sub-) processors, also describe the specific technical and organisational measures to be taken by the (sub-) processor to be able to provide assistance to the</w:t>
      </w:r>
      <w:r w:rsidRPr="00102034">
        <w:rPr>
          <w:rFonts w:eastAsia="Arial" w:cs="Arial"/>
          <w:color w:val="000000"/>
          <w:szCs w:val="24"/>
          <w:lang w:eastAsia="en-GB"/>
        </w:rPr>
        <w:t xml:space="preserve"> </w:t>
      </w:r>
      <w:r w:rsidRPr="00102034">
        <w:rPr>
          <w:rFonts w:eastAsia="Arial" w:cs="Arial"/>
          <w:i/>
          <w:color w:val="000000"/>
          <w:szCs w:val="24"/>
          <w:lang w:eastAsia="en-GB"/>
        </w:rPr>
        <w:t>controller and, for transfers from a processor to a sub-processor, to the data exporter</w:t>
      </w:r>
    </w:p>
    <w:p w14:paraId="19A71E32" w14:textId="77777777" w:rsidR="00F67E9E" w:rsidRPr="00102034" w:rsidRDefault="00F67E9E" w:rsidP="00F67E9E">
      <w:pPr>
        <w:pBdr>
          <w:top w:val="nil"/>
          <w:left w:val="nil"/>
          <w:bottom w:val="nil"/>
          <w:right w:val="nil"/>
          <w:between w:val="nil"/>
        </w:pBdr>
        <w:spacing w:before="240" w:after="240"/>
        <w:ind w:firstLine="1440"/>
        <w:rPr>
          <w:rFonts w:eastAsia="Arial" w:cs="Arial"/>
          <w:color w:val="000000"/>
          <w:szCs w:val="24"/>
          <w:lang w:eastAsia="en-GB"/>
        </w:rPr>
      </w:pPr>
    </w:p>
    <w:p w14:paraId="3B3E1CA9" w14:textId="77777777" w:rsidR="00F67E9E" w:rsidRPr="00102034" w:rsidRDefault="00F67E9E" w:rsidP="00F67E9E">
      <w:pPr>
        <w:pageBreakBefore/>
        <w:pBdr>
          <w:top w:val="nil"/>
          <w:left w:val="nil"/>
          <w:bottom w:val="nil"/>
          <w:right w:val="nil"/>
          <w:between w:val="nil"/>
        </w:pBdr>
        <w:spacing w:before="120"/>
        <w:jc w:val="center"/>
        <w:rPr>
          <w:rFonts w:eastAsia="Arial" w:cs="Arial"/>
          <w:b/>
          <w:color w:val="000000"/>
          <w:szCs w:val="24"/>
          <w:lang w:eastAsia="en-GB"/>
        </w:rPr>
      </w:pPr>
      <w:r w:rsidRPr="00102034">
        <w:rPr>
          <w:rFonts w:eastAsia="Arial" w:cs="Arial"/>
          <w:b/>
          <w:color w:val="000000"/>
          <w:szCs w:val="24"/>
          <w:lang w:eastAsia="en-GB"/>
        </w:rPr>
        <w:t xml:space="preserve">ANNEX </w:t>
      </w:r>
      <w:bookmarkStart w:id="3668" w:name="bookmark=id.1mv9ltn" w:colFirst="0" w:colLast="0"/>
      <w:bookmarkStart w:id="3669" w:name="Schedule_31_PartC_Annex_III"/>
      <w:bookmarkEnd w:id="3668"/>
      <w:r w:rsidRPr="00102034">
        <w:rPr>
          <w:rFonts w:eastAsia="Arial" w:cs="Arial"/>
          <w:b/>
          <w:color w:val="000000"/>
          <w:szCs w:val="24"/>
          <w:lang w:eastAsia="en-GB"/>
        </w:rPr>
        <w:t>III</w:t>
      </w:r>
      <w:bookmarkEnd w:id="3669"/>
    </w:p>
    <w:tbl>
      <w:tblPr>
        <w:tblW w:w="9026" w:type="dxa"/>
        <w:tblBorders>
          <w:top w:val="nil"/>
          <w:left w:val="nil"/>
          <w:bottom w:val="nil"/>
          <w:right w:val="nil"/>
          <w:insideH w:val="nil"/>
          <w:insideV w:val="nil"/>
        </w:tblBorders>
        <w:tblLayout w:type="fixed"/>
        <w:tblLook w:val="0400" w:firstRow="0" w:lastRow="0" w:firstColumn="0" w:lastColumn="0" w:noHBand="0" w:noVBand="1"/>
      </w:tblPr>
      <w:tblGrid>
        <w:gridCol w:w="9026"/>
      </w:tblGrid>
      <w:tr w:rsidR="00F67E9E" w:rsidRPr="00102034" w14:paraId="0A00CF64" w14:textId="77777777" w:rsidTr="007F74AA">
        <w:tc>
          <w:tcPr>
            <w:tcW w:w="9026" w:type="dxa"/>
          </w:tcPr>
          <w:p w14:paraId="58DE5795" w14:textId="77777777" w:rsidR="00F67E9E" w:rsidRPr="00102034" w:rsidRDefault="00F67E9E" w:rsidP="007F74AA">
            <w:pPr>
              <w:pBdr>
                <w:top w:val="nil"/>
                <w:left w:val="nil"/>
                <w:bottom w:val="nil"/>
                <w:right w:val="nil"/>
                <w:between w:val="nil"/>
              </w:pBdr>
              <w:spacing w:before="120"/>
              <w:rPr>
                <w:rFonts w:eastAsia="Arial" w:cs="Arial"/>
                <w:b/>
                <w:color w:val="000000"/>
                <w:szCs w:val="24"/>
                <w:lang w:eastAsia="en-GB"/>
              </w:rPr>
            </w:pPr>
            <w:r w:rsidRPr="00102034">
              <w:rPr>
                <w:rFonts w:eastAsia="Arial" w:cs="Arial"/>
                <w:color w:val="000000"/>
                <w:szCs w:val="24"/>
                <w:lang w:eastAsia="en-GB"/>
              </w:rPr>
              <w:t>EXPLANATORY NOTE:</w:t>
            </w:r>
          </w:p>
          <w:p w14:paraId="64D2E750" w14:textId="77777777" w:rsidR="00F67E9E" w:rsidRPr="00102034" w:rsidRDefault="00F67E9E" w:rsidP="007F74AA">
            <w:pPr>
              <w:pBdr>
                <w:top w:val="nil"/>
                <w:left w:val="nil"/>
                <w:bottom w:val="nil"/>
                <w:right w:val="nil"/>
                <w:between w:val="nil"/>
              </w:pBdr>
              <w:spacing w:before="120"/>
              <w:rPr>
                <w:rFonts w:eastAsia="Arial" w:cs="Arial"/>
                <w:b/>
                <w:color w:val="000000"/>
                <w:szCs w:val="24"/>
                <w:lang w:eastAsia="en-GB"/>
              </w:rPr>
            </w:pPr>
            <w:r w:rsidRPr="00102034">
              <w:rPr>
                <w:rFonts w:eastAsia="Arial" w:cs="Arial"/>
                <w:color w:val="000000"/>
                <w:szCs w:val="24"/>
                <w:lang w:eastAsia="en-GB"/>
              </w:rPr>
              <w:t xml:space="preserve">This Annex must be completed in case of the specific authorization of sub-processors (Clause 9(a), Option 1). </w:t>
            </w:r>
          </w:p>
        </w:tc>
      </w:tr>
      <w:tr w:rsidR="00F67E9E" w:rsidRPr="00102034" w14:paraId="776FCA90" w14:textId="77777777" w:rsidTr="007F74AA">
        <w:tc>
          <w:tcPr>
            <w:tcW w:w="9026" w:type="dxa"/>
          </w:tcPr>
          <w:p w14:paraId="5C20F54F" w14:textId="77777777" w:rsidR="00F67E9E" w:rsidRPr="00102034" w:rsidRDefault="00F67E9E" w:rsidP="007F74AA">
            <w:pPr>
              <w:pBdr>
                <w:top w:val="nil"/>
                <w:left w:val="nil"/>
                <w:bottom w:val="nil"/>
                <w:right w:val="nil"/>
                <w:between w:val="nil"/>
              </w:pBdr>
              <w:spacing w:before="120"/>
              <w:rPr>
                <w:rFonts w:eastAsia="Arial" w:cs="Arial"/>
                <w:color w:val="000000"/>
                <w:szCs w:val="24"/>
                <w:lang w:eastAsia="en-GB"/>
              </w:rPr>
            </w:pPr>
          </w:p>
        </w:tc>
      </w:tr>
    </w:tbl>
    <w:p w14:paraId="16BAE19D" w14:textId="77777777" w:rsidR="00F67E9E" w:rsidRPr="00102034" w:rsidRDefault="00F67E9E" w:rsidP="00F67E9E">
      <w:pPr>
        <w:pBdr>
          <w:top w:val="nil"/>
          <w:left w:val="nil"/>
          <w:bottom w:val="nil"/>
          <w:right w:val="nil"/>
          <w:between w:val="nil"/>
        </w:pBdr>
        <w:spacing w:before="240" w:after="240"/>
        <w:ind w:firstLine="1440"/>
        <w:rPr>
          <w:rFonts w:eastAsia="Arial" w:cs="Arial"/>
          <w:color w:val="000000"/>
          <w:szCs w:val="24"/>
          <w:lang w:eastAsia="en-GB"/>
        </w:rPr>
      </w:pPr>
      <w:bookmarkStart w:id="3670" w:name="bookmark=id.46ux4hg" w:colFirst="0" w:colLast="0"/>
      <w:bookmarkEnd w:id="3189"/>
      <w:bookmarkEnd w:id="3670"/>
      <w:r w:rsidRPr="00102034">
        <w:rPr>
          <w:rFonts w:eastAsia="Arial" w:cs="Arial"/>
          <w:color w:val="000000"/>
          <w:szCs w:val="24"/>
          <w:lang w:eastAsia="en-GB"/>
        </w:rPr>
        <w:t>The controller has authorised the use of the following sub-processors:</w:t>
      </w:r>
    </w:p>
    <w:p w14:paraId="1A6DFBB6" w14:textId="77777777" w:rsidR="00F67E9E" w:rsidRPr="00102034" w:rsidRDefault="00F67E9E" w:rsidP="00F67E9E">
      <w:pPr>
        <w:pBdr>
          <w:top w:val="nil"/>
          <w:left w:val="nil"/>
          <w:bottom w:val="nil"/>
          <w:right w:val="nil"/>
          <w:between w:val="nil"/>
        </w:pBdr>
        <w:tabs>
          <w:tab w:val="left" w:pos="2880"/>
        </w:tabs>
        <w:spacing w:before="120" w:after="240"/>
        <w:ind w:left="720" w:firstLine="1440"/>
        <w:rPr>
          <w:rFonts w:eastAsia="Arial" w:cs="Arial"/>
          <w:color w:val="000000"/>
          <w:szCs w:val="24"/>
          <w:lang w:eastAsia="en-GB"/>
        </w:rPr>
      </w:pPr>
      <w:r w:rsidRPr="00102034">
        <w:rPr>
          <w:rFonts w:eastAsia="Arial" w:cs="Arial"/>
          <w:color w:val="000000"/>
          <w:szCs w:val="24"/>
          <w:lang w:eastAsia="en-GB"/>
        </w:rPr>
        <w:t xml:space="preserve">1. </w:t>
      </w:r>
      <w:r>
        <w:rPr>
          <w:rFonts w:eastAsia="Arial" w:cs="Arial"/>
          <w:color w:val="000000"/>
          <w:szCs w:val="24"/>
          <w:lang w:eastAsia="en-GB"/>
        </w:rPr>
        <w:tab/>
      </w:r>
      <w:r w:rsidRPr="00102034">
        <w:rPr>
          <w:rFonts w:eastAsia="Arial" w:cs="Arial"/>
          <w:color w:val="000000"/>
          <w:szCs w:val="24"/>
          <w:lang w:eastAsia="en-GB"/>
        </w:rPr>
        <w:t>Name: …</w:t>
      </w:r>
      <w:r>
        <w:rPr>
          <w:rFonts w:eastAsia="Arial" w:cs="Arial"/>
          <w:color w:val="000000"/>
          <w:szCs w:val="24"/>
          <w:lang w:eastAsia="en-GB"/>
        </w:rPr>
        <w:t>……………………</w:t>
      </w:r>
    </w:p>
    <w:p w14:paraId="085E2706" w14:textId="77777777" w:rsidR="00F67E9E" w:rsidRPr="00102034" w:rsidRDefault="00F67E9E" w:rsidP="00F67E9E">
      <w:pPr>
        <w:pBdr>
          <w:top w:val="nil"/>
          <w:left w:val="nil"/>
          <w:bottom w:val="nil"/>
          <w:right w:val="nil"/>
          <w:between w:val="nil"/>
        </w:pBdr>
        <w:spacing w:before="120" w:after="240"/>
        <w:ind w:left="1440" w:firstLine="1440"/>
        <w:rPr>
          <w:rFonts w:eastAsia="Arial" w:cs="Arial"/>
          <w:color w:val="000000"/>
          <w:szCs w:val="24"/>
          <w:lang w:eastAsia="en-GB"/>
        </w:rPr>
      </w:pPr>
      <w:r w:rsidRPr="00102034">
        <w:rPr>
          <w:rFonts w:eastAsia="Arial" w:cs="Arial"/>
          <w:color w:val="000000"/>
          <w:szCs w:val="24"/>
          <w:lang w:eastAsia="en-GB"/>
        </w:rPr>
        <w:t>Address: …</w:t>
      </w:r>
      <w:r>
        <w:rPr>
          <w:rFonts w:eastAsia="Arial" w:cs="Arial"/>
          <w:color w:val="000000"/>
          <w:szCs w:val="24"/>
          <w:lang w:eastAsia="en-GB"/>
        </w:rPr>
        <w:t>…………………</w:t>
      </w:r>
    </w:p>
    <w:p w14:paraId="1F0BC39C" w14:textId="77777777" w:rsidR="00F67E9E" w:rsidRPr="00102034" w:rsidRDefault="00F67E9E" w:rsidP="00F67E9E">
      <w:pPr>
        <w:pBdr>
          <w:top w:val="nil"/>
          <w:left w:val="nil"/>
          <w:bottom w:val="nil"/>
          <w:right w:val="nil"/>
          <w:between w:val="nil"/>
        </w:pBdr>
        <w:spacing w:before="120" w:after="240"/>
        <w:ind w:left="2880"/>
        <w:rPr>
          <w:rFonts w:eastAsia="Arial" w:cs="Arial"/>
          <w:color w:val="000000"/>
          <w:szCs w:val="24"/>
          <w:lang w:eastAsia="en-GB"/>
        </w:rPr>
      </w:pPr>
      <w:r w:rsidRPr="00102034">
        <w:rPr>
          <w:rFonts w:eastAsia="Arial" w:cs="Arial"/>
          <w:color w:val="000000"/>
          <w:szCs w:val="24"/>
          <w:lang w:eastAsia="en-GB"/>
        </w:rPr>
        <w:t>Contact person's name, position and contact details: …</w:t>
      </w:r>
      <w:r>
        <w:rPr>
          <w:rFonts w:eastAsia="Arial" w:cs="Arial"/>
          <w:color w:val="000000"/>
          <w:szCs w:val="24"/>
          <w:lang w:eastAsia="en-GB"/>
        </w:rPr>
        <w:t>………………………..….</w:t>
      </w:r>
    </w:p>
    <w:p w14:paraId="215BF484" w14:textId="77777777" w:rsidR="00F67E9E" w:rsidRPr="00102034" w:rsidRDefault="00F67E9E" w:rsidP="00F67E9E">
      <w:pPr>
        <w:pBdr>
          <w:top w:val="nil"/>
          <w:left w:val="nil"/>
          <w:bottom w:val="nil"/>
          <w:right w:val="nil"/>
          <w:between w:val="nil"/>
        </w:pBdr>
        <w:spacing w:before="120" w:after="240"/>
        <w:ind w:left="2880"/>
        <w:rPr>
          <w:rFonts w:eastAsia="Arial" w:cs="Arial"/>
          <w:color w:val="000000"/>
          <w:szCs w:val="24"/>
          <w:lang w:eastAsia="en-GB"/>
        </w:rPr>
      </w:pPr>
      <w:r w:rsidRPr="00102034">
        <w:rPr>
          <w:rFonts w:eastAsia="Arial" w:cs="Arial"/>
          <w:color w:val="000000"/>
          <w:szCs w:val="24"/>
          <w:lang w:eastAsia="en-GB"/>
        </w:rPr>
        <w:t>Description of processing (including a clear delimitation of responsibilities in case several sub-processors are authorised): …</w:t>
      </w:r>
      <w:r>
        <w:rPr>
          <w:rFonts w:eastAsia="Arial" w:cs="Arial"/>
          <w:color w:val="000000"/>
          <w:szCs w:val="24"/>
          <w:lang w:eastAsia="en-GB"/>
        </w:rPr>
        <w:t>………………………………..</w:t>
      </w:r>
    </w:p>
    <w:p w14:paraId="5FC0324F" w14:textId="77777777" w:rsidR="00F67E9E" w:rsidRPr="00102034" w:rsidRDefault="00F67E9E" w:rsidP="00F67E9E">
      <w:pPr>
        <w:pBdr>
          <w:top w:val="nil"/>
          <w:left w:val="nil"/>
          <w:bottom w:val="nil"/>
          <w:right w:val="nil"/>
          <w:between w:val="nil"/>
        </w:pBdr>
        <w:tabs>
          <w:tab w:val="left" w:pos="2880"/>
        </w:tabs>
        <w:spacing w:before="120" w:after="240"/>
        <w:ind w:left="720" w:firstLine="1440"/>
        <w:rPr>
          <w:rFonts w:eastAsia="Arial" w:cs="Arial"/>
          <w:color w:val="000000"/>
          <w:szCs w:val="24"/>
          <w:lang w:eastAsia="en-GB"/>
        </w:rPr>
      </w:pPr>
      <w:r w:rsidRPr="00102034">
        <w:rPr>
          <w:rFonts w:eastAsia="Arial" w:cs="Arial"/>
          <w:color w:val="000000"/>
          <w:szCs w:val="24"/>
          <w:lang w:eastAsia="en-GB"/>
        </w:rPr>
        <w:t xml:space="preserve">2. </w:t>
      </w:r>
      <w:r>
        <w:rPr>
          <w:rFonts w:eastAsia="Arial" w:cs="Arial"/>
          <w:color w:val="000000"/>
          <w:szCs w:val="24"/>
          <w:lang w:eastAsia="en-GB"/>
        </w:rPr>
        <w:tab/>
      </w:r>
      <w:r w:rsidRPr="00102034">
        <w:rPr>
          <w:rFonts w:eastAsia="Arial" w:cs="Arial"/>
          <w:color w:val="000000"/>
          <w:szCs w:val="24"/>
          <w:lang w:eastAsia="en-GB"/>
        </w:rPr>
        <w:t>…</w:t>
      </w:r>
      <w:r>
        <w:rPr>
          <w:rFonts w:eastAsia="Arial" w:cs="Arial"/>
          <w:color w:val="000000"/>
          <w:szCs w:val="24"/>
          <w:lang w:eastAsia="en-GB"/>
        </w:rPr>
        <w:t>…..</w:t>
      </w:r>
    </w:p>
    <w:p w14:paraId="6B56F00A" w14:textId="77777777" w:rsidR="00F67E9E" w:rsidRPr="00102034" w:rsidRDefault="00F67E9E" w:rsidP="00F67E9E">
      <w:pPr>
        <w:spacing w:after="200" w:line="276" w:lineRule="auto"/>
        <w:rPr>
          <w:rFonts w:eastAsia="Arial" w:cs="Arial"/>
          <w:sz w:val="22"/>
          <w:szCs w:val="22"/>
          <w:lang w:eastAsia="en-GB"/>
        </w:rPr>
      </w:pPr>
    </w:p>
    <w:p w14:paraId="0143ACB1" w14:textId="77777777" w:rsidR="00F67E9E" w:rsidRDefault="00F67E9E" w:rsidP="00F67E9E"/>
    <w:p w14:paraId="1C44BBEC" w14:textId="77777777" w:rsidR="00F67E9E" w:rsidRDefault="00F67E9E" w:rsidP="00F67E9E">
      <w:pPr>
        <w:sectPr w:rsidR="00F67E9E" w:rsidSect="00240D26">
          <w:headerReference w:type="default" r:id="rId143"/>
          <w:footerReference w:type="default" r:id="rId144"/>
          <w:pgSz w:w="11900" w:h="16840"/>
          <w:pgMar w:top="1701" w:right="851" w:bottom="1134" w:left="851" w:header="567" w:footer="567" w:gutter="0"/>
          <w:cols w:space="720"/>
          <w:docGrid w:linePitch="360"/>
        </w:sectPr>
      </w:pPr>
    </w:p>
    <w:p w14:paraId="13EA1A5D" w14:textId="77777777" w:rsidR="00F67E9E" w:rsidRPr="00EE4F10" w:rsidRDefault="00F67E9E" w:rsidP="00F67E9E">
      <w:pPr>
        <w:pStyle w:val="Dividername"/>
      </w:pPr>
      <w:r w:rsidRPr="00EE4F10">
        <w:t>Schedule 32</w:t>
      </w:r>
    </w:p>
    <w:p w14:paraId="170227A9" w14:textId="77777777" w:rsidR="00F67E9E" w:rsidRPr="00EE4F10" w:rsidRDefault="00F67E9E" w:rsidP="00F67E9E">
      <w:pPr>
        <w:pStyle w:val="Dividername"/>
      </w:pPr>
      <w:r w:rsidRPr="00EE4F10">
        <w:t xml:space="preserve">Intellectual </w:t>
      </w:r>
      <w:r>
        <w:t>P</w:t>
      </w:r>
      <w:r w:rsidRPr="00EE4F10">
        <w:t xml:space="preserve">roperty </w:t>
      </w:r>
      <w:r>
        <w:t>R</w:t>
      </w:r>
      <w:r w:rsidRPr="00EE4F10">
        <w:t>ights</w:t>
      </w:r>
    </w:p>
    <w:p w14:paraId="48B82D43" w14:textId="77777777" w:rsidR="00F67E9E" w:rsidRDefault="00F67E9E" w:rsidP="00F67E9E"/>
    <w:p w14:paraId="5CAD41A3" w14:textId="77777777" w:rsidR="00F67E9E" w:rsidRPr="00016234" w:rsidRDefault="00F67E9E" w:rsidP="00F67E9E">
      <w:r w:rsidRPr="00016234">
        <w:br w:type="page"/>
      </w:r>
    </w:p>
    <w:p w14:paraId="7DBBE7B9" w14:textId="77777777" w:rsidR="00F67E9E" w:rsidRPr="00477926" w:rsidRDefault="00F67E9E" w:rsidP="00F67E9E">
      <w:pPr>
        <w:pStyle w:val="Heading1"/>
      </w:pPr>
      <w:bookmarkStart w:id="3671" w:name="Schedule32"/>
      <w:bookmarkStart w:id="3672" w:name="_Ref92200326"/>
      <w:bookmarkStart w:id="3673" w:name="_Toc118293561"/>
      <w:bookmarkStart w:id="3674" w:name="_Toc141712007"/>
      <w:bookmarkStart w:id="3675" w:name="_9kR3WTrAG8687aQx1n7JHMe3F7082uATB3JQQPG"/>
      <w:bookmarkStart w:id="3676" w:name="_9kR3WTr299DEDhQx1n7JHMe3F7082uATB3JQQPG"/>
      <w:bookmarkStart w:id="3677" w:name="_Toc44585081"/>
      <w:r w:rsidRPr="00477926">
        <w:t>Schedule</w:t>
      </w:r>
      <w:r>
        <w:t> </w:t>
      </w:r>
      <w:bookmarkStart w:id="3678" w:name="Sch32"/>
      <w:r w:rsidRPr="00477926">
        <w:t>32</w:t>
      </w:r>
      <w:bookmarkEnd w:id="3671"/>
      <w:bookmarkEnd w:id="3678"/>
      <w:r>
        <w:t xml:space="preserve">: </w:t>
      </w:r>
      <w:bookmarkStart w:id="3679" w:name="Schedule32Heading"/>
      <w:r w:rsidRPr="002223EA">
        <w:t>Intellectual Property Rights</w:t>
      </w:r>
      <w:bookmarkEnd w:id="3672"/>
      <w:bookmarkEnd w:id="3673"/>
      <w:bookmarkEnd w:id="3674"/>
      <w:bookmarkEnd w:id="3679"/>
    </w:p>
    <w:p w14:paraId="2CB5986C" w14:textId="77777777" w:rsidR="00F67E9E" w:rsidRPr="00266335" w:rsidRDefault="00F67E9E" w:rsidP="00F67E9E">
      <w:pPr>
        <w:tabs>
          <w:tab w:val="left" w:pos="2257"/>
        </w:tabs>
        <w:spacing w:before="120" w:after="120"/>
        <w:rPr>
          <w:rFonts w:eastAsia="Arial" w:cs="Arial"/>
          <w:b/>
          <w:i/>
          <w:szCs w:val="24"/>
          <w:highlight w:val="yellow"/>
        </w:rPr>
      </w:pPr>
      <w:r w:rsidRPr="00266335">
        <w:rPr>
          <w:rFonts w:eastAsia="Arial" w:cs="Arial"/>
          <w:b/>
          <w:i/>
          <w:szCs w:val="24"/>
        </w:rPr>
        <w:t>[</w:t>
      </w:r>
      <w:r w:rsidRPr="00266335">
        <w:rPr>
          <w:rFonts w:eastAsia="Arial" w:cs="Arial"/>
          <w:b/>
          <w:i/>
          <w:szCs w:val="24"/>
          <w:highlight w:val="yellow"/>
        </w:rPr>
        <w:t>Guidance note: this Schedule on Intellectual Property Rights (</w:t>
      </w:r>
      <w:r>
        <w:rPr>
          <w:rFonts w:eastAsia="Arial" w:cs="Arial"/>
          <w:b/>
          <w:i/>
          <w:szCs w:val="24"/>
          <w:highlight w:val="yellow"/>
        </w:rPr>
        <w:t>“</w:t>
      </w:r>
      <w:r w:rsidRPr="00266335">
        <w:rPr>
          <w:rFonts w:eastAsia="Arial" w:cs="Arial"/>
          <w:b/>
          <w:i/>
          <w:szCs w:val="24"/>
          <w:highlight w:val="yellow"/>
        </w:rPr>
        <w:t>IPRs</w:t>
      </w:r>
      <w:r>
        <w:rPr>
          <w:rFonts w:eastAsia="Arial" w:cs="Arial"/>
          <w:b/>
          <w:i/>
          <w:szCs w:val="24"/>
          <w:highlight w:val="yellow"/>
        </w:rPr>
        <w:t>”</w:t>
      </w:r>
      <w:r w:rsidRPr="00266335">
        <w:rPr>
          <w:rFonts w:eastAsia="Arial" w:cs="Arial"/>
          <w:b/>
          <w:i/>
          <w:szCs w:val="24"/>
          <w:highlight w:val="yellow"/>
        </w:rPr>
        <w:t xml:space="preserve">) can be amended depending on how you need to arrange ownership and licencing of all Specially Written Software and Project Specific IPRs (‘Foreground IPR’) created for or pursuant to the contract. </w:t>
      </w:r>
    </w:p>
    <w:p w14:paraId="4DA53695" w14:textId="77777777" w:rsidR="00F67E9E" w:rsidRPr="00266335" w:rsidRDefault="00F67E9E" w:rsidP="00F67E9E">
      <w:pPr>
        <w:rPr>
          <w:rFonts w:eastAsia="Arial" w:cs="Arial"/>
          <w:b/>
          <w:i/>
          <w:szCs w:val="24"/>
          <w:highlight w:val="yellow"/>
        </w:rPr>
      </w:pPr>
      <w:r w:rsidRPr="00266335">
        <w:rPr>
          <w:rFonts w:eastAsia="Arial" w:cs="Arial"/>
          <w:b/>
          <w:i/>
          <w:szCs w:val="24"/>
          <w:highlight w:val="yellow"/>
        </w:rPr>
        <w:t xml:space="preserve">See the </w:t>
      </w:r>
      <w:hyperlink r:id="rId145" w:history="1">
        <w:r w:rsidRPr="00266335">
          <w:rPr>
            <w:rStyle w:val="Hyperlink"/>
            <w:rFonts w:eastAsia="Arial" w:cs="Arial"/>
            <w:b/>
            <w:i/>
            <w:szCs w:val="24"/>
            <w:highlight w:val="yellow"/>
          </w:rPr>
          <w:t>Intellectual Property Rights Guidance Note</w:t>
        </w:r>
      </w:hyperlink>
      <w:r w:rsidRPr="00266335">
        <w:rPr>
          <w:rFonts w:eastAsia="Arial" w:cs="Arial"/>
          <w:b/>
          <w:i/>
          <w:szCs w:val="24"/>
          <w:highlight w:val="yellow"/>
        </w:rPr>
        <w:t xml:space="preserve">, and para 2.7 of the </w:t>
      </w:r>
      <w:r w:rsidRPr="00266335">
        <w:rPr>
          <w:rFonts w:eastAsia="Arial" w:cs="Arial"/>
          <w:b/>
          <w:i/>
          <w:color w:val="000000"/>
          <w:szCs w:val="24"/>
          <w:highlight w:val="yellow"/>
        </w:rPr>
        <w:t xml:space="preserve">MSC Guidance </w:t>
      </w:r>
      <w:r w:rsidRPr="00266335">
        <w:rPr>
          <w:rFonts w:eastAsia="Arial" w:cs="Arial"/>
          <w:b/>
          <w:i/>
          <w:szCs w:val="24"/>
          <w:highlight w:val="yellow"/>
        </w:rPr>
        <w:t xml:space="preserve">document for further guidance on how to select an appropriate option(s). The General Provisions will apply for every Contract, no matter what option(s) is selected. </w:t>
      </w:r>
    </w:p>
    <w:p w14:paraId="562BD9AE" w14:textId="77777777" w:rsidR="00F67E9E" w:rsidRPr="00266335" w:rsidRDefault="00F67E9E" w:rsidP="00F67E9E">
      <w:pPr>
        <w:tabs>
          <w:tab w:val="left" w:pos="2257"/>
        </w:tabs>
        <w:spacing w:before="120" w:after="120"/>
        <w:rPr>
          <w:rFonts w:eastAsia="Arial" w:cs="Arial"/>
          <w:b/>
          <w:i/>
          <w:szCs w:val="24"/>
          <w:highlight w:val="yellow"/>
        </w:rPr>
      </w:pPr>
      <w:r w:rsidRPr="00266335">
        <w:rPr>
          <w:rFonts w:eastAsia="Arial" w:cs="Arial"/>
          <w:b/>
          <w:i/>
          <w:szCs w:val="24"/>
          <w:highlight w:val="yellow"/>
        </w:rPr>
        <w:t>The options are:</w:t>
      </w:r>
    </w:p>
    <w:p w14:paraId="6B4AC319" w14:textId="0EF8D410" w:rsidR="00F67E9E" w:rsidRPr="00266335" w:rsidRDefault="00F67E9E" w:rsidP="00F67E9E">
      <w:pPr>
        <w:pStyle w:val="ListParagraph"/>
        <w:numPr>
          <w:ilvl w:val="0"/>
          <w:numId w:val="272"/>
        </w:numPr>
        <w:tabs>
          <w:tab w:val="left" w:pos="2257"/>
        </w:tabs>
        <w:suppressAutoHyphens/>
        <w:spacing w:before="120" w:after="120"/>
        <w:contextualSpacing w:val="0"/>
        <w:rPr>
          <w:rFonts w:eastAsia="Arial" w:cs="Arial"/>
          <w:b/>
          <w:i/>
          <w:szCs w:val="24"/>
          <w:highlight w:val="yellow"/>
        </w:rPr>
      </w:pPr>
      <w:r w:rsidRPr="00266335">
        <w:rPr>
          <w:rFonts w:eastAsia="Arial" w:cs="Arial"/>
          <w:b/>
          <w:i/>
          <w:szCs w:val="24"/>
          <w:highlight w:val="yellow"/>
        </w:rPr>
        <w:t xml:space="preserve">Option </w:t>
      </w:r>
      <w:r w:rsidRPr="00266335">
        <w:rPr>
          <w:rFonts w:eastAsia="Arial" w:cs="Arial"/>
          <w:b/>
          <w:i/>
          <w:szCs w:val="24"/>
          <w:highlight w:val="yellow"/>
        </w:rPr>
        <w:fldChar w:fldCharType="begin"/>
      </w:r>
      <w:r w:rsidRPr="00266335">
        <w:rPr>
          <w:rFonts w:eastAsia="Arial" w:cs="Arial"/>
          <w:b/>
          <w:i/>
          <w:szCs w:val="24"/>
          <w:highlight w:val="yellow"/>
        </w:rPr>
        <w:instrText xml:space="preserve"> REF OPTION1_SCHEDULE32 \h  \* MERGEFORMAT </w:instrText>
      </w:r>
      <w:r w:rsidRPr="00266335">
        <w:rPr>
          <w:rFonts w:eastAsia="Arial" w:cs="Arial"/>
          <w:b/>
          <w:i/>
          <w:szCs w:val="24"/>
          <w:highlight w:val="yellow"/>
        </w:rPr>
      </w:r>
      <w:r w:rsidRPr="00266335">
        <w:rPr>
          <w:rFonts w:eastAsia="Arial" w:cs="Arial"/>
          <w:b/>
          <w:i/>
          <w:szCs w:val="24"/>
          <w:highlight w:val="yellow"/>
        </w:rPr>
        <w:fldChar w:fldCharType="separate"/>
      </w:r>
      <w:r w:rsidR="00302D39" w:rsidRPr="00302D39">
        <w:rPr>
          <w:b/>
          <w:i/>
        </w:rPr>
        <w:t>1</w:t>
      </w:r>
      <w:r w:rsidRPr="00266335">
        <w:rPr>
          <w:rFonts w:eastAsia="Arial" w:cs="Arial"/>
          <w:b/>
          <w:i/>
          <w:szCs w:val="24"/>
          <w:highlight w:val="yellow"/>
        </w:rPr>
        <w:fldChar w:fldCharType="end"/>
      </w:r>
      <w:r w:rsidRPr="00266335">
        <w:rPr>
          <w:rFonts w:eastAsia="Arial" w:cs="Arial"/>
          <w:b/>
          <w:i/>
          <w:szCs w:val="24"/>
          <w:highlight w:val="yellow"/>
        </w:rPr>
        <w:t xml:space="preserve">: Authority owns all Specially Written Software and Project Specific IPRs with limited Supplier rights in order to deliver the Contract; </w:t>
      </w:r>
    </w:p>
    <w:p w14:paraId="2E2B7C96" w14:textId="38964C7F" w:rsidR="00F67E9E" w:rsidRPr="00266335" w:rsidRDefault="00F67E9E" w:rsidP="00F67E9E">
      <w:pPr>
        <w:pStyle w:val="ListParagraph"/>
        <w:numPr>
          <w:ilvl w:val="0"/>
          <w:numId w:val="272"/>
        </w:numPr>
        <w:tabs>
          <w:tab w:val="left" w:pos="2257"/>
        </w:tabs>
        <w:suppressAutoHyphens/>
        <w:spacing w:before="120" w:after="120"/>
        <w:contextualSpacing w:val="0"/>
        <w:rPr>
          <w:rFonts w:eastAsia="Arial" w:cs="Arial"/>
          <w:b/>
          <w:i/>
          <w:szCs w:val="24"/>
          <w:highlight w:val="yellow"/>
        </w:rPr>
      </w:pPr>
      <w:r w:rsidRPr="00266335">
        <w:rPr>
          <w:rFonts w:eastAsia="Arial" w:cs="Arial"/>
          <w:b/>
          <w:i/>
          <w:szCs w:val="24"/>
          <w:highlight w:val="yellow"/>
        </w:rPr>
        <w:t xml:space="preserve">Option </w:t>
      </w:r>
      <w:r w:rsidRPr="00266335">
        <w:rPr>
          <w:rFonts w:eastAsia="Arial" w:cs="Arial"/>
          <w:b/>
          <w:i/>
          <w:szCs w:val="24"/>
          <w:highlight w:val="yellow"/>
        </w:rPr>
        <w:fldChar w:fldCharType="begin"/>
      </w:r>
      <w:r w:rsidRPr="00266335">
        <w:rPr>
          <w:rFonts w:eastAsia="Arial" w:cs="Arial"/>
          <w:b/>
          <w:i/>
          <w:szCs w:val="24"/>
          <w:highlight w:val="yellow"/>
        </w:rPr>
        <w:instrText xml:space="preserve"> REF OPTION2_SCHEDULE32 \h  \* MERGEFORMAT </w:instrText>
      </w:r>
      <w:r w:rsidRPr="00266335">
        <w:rPr>
          <w:rFonts w:eastAsia="Arial" w:cs="Arial"/>
          <w:b/>
          <w:i/>
          <w:szCs w:val="24"/>
          <w:highlight w:val="yellow"/>
        </w:rPr>
      </w:r>
      <w:r w:rsidRPr="00266335">
        <w:rPr>
          <w:rFonts w:eastAsia="Arial" w:cs="Arial"/>
          <w:b/>
          <w:i/>
          <w:szCs w:val="24"/>
          <w:highlight w:val="yellow"/>
        </w:rPr>
        <w:fldChar w:fldCharType="separate"/>
      </w:r>
      <w:r w:rsidR="00302D39" w:rsidRPr="00302D39">
        <w:rPr>
          <w:b/>
          <w:i/>
        </w:rPr>
        <w:t>2</w:t>
      </w:r>
      <w:r w:rsidRPr="00266335">
        <w:rPr>
          <w:rFonts w:eastAsia="Arial" w:cs="Arial"/>
          <w:b/>
          <w:i/>
          <w:szCs w:val="24"/>
          <w:highlight w:val="yellow"/>
        </w:rPr>
        <w:fldChar w:fldCharType="end"/>
      </w:r>
      <w:r w:rsidRPr="00266335">
        <w:rPr>
          <w:rFonts w:eastAsia="Arial" w:cs="Arial"/>
          <w:b/>
          <w:i/>
          <w:szCs w:val="24"/>
          <w:highlight w:val="yellow"/>
        </w:rPr>
        <w:t xml:space="preserve">: Authority ownership of all Specially Written Software and Project Specific IPRs with non-exclusive Supplier rights for the Contract and for commercial exploitation; </w:t>
      </w:r>
    </w:p>
    <w:p w14:paraId="55574C8D" w14:textId="0CEF5312" w:rsidR="00F67E9E" w:rsidRPr="00266335" w:rsidRDefault="00F67E9E" w:rsidP="00F67E9E">
      <w:pPr>
        <w:pStyle w:val="ListParagraph"/>
        <w:numPr>
          <w:ilvl w:val="0"/>
          <w:numId w:val="272"/>
        </w:numPr>
        <w:tabs>
          <w:tab w:val="left" w:pos="2257"/>
        </w:tabs>
        <w:suppressAutoHyphens/>
        <w:spacing w:before="120" w:after="120"/>
        <w:contextualSpacing w:val="0"/>
        <w:rPr>
          <w:rFonts w:eastAsia="Arial" w:cs="Arial"/>
          <w:b/>
          <w:i/>
          <w:szCs w:val="24"/>
          <w:highlight w:val="yellow"/>
        </w:rPr>
      </w:pPr>
      <w:r w:rsidRPr="00266335">
        <w:rPr>
          <w:rFonts w:eastAsia="Arial" w:cs="Arial"/>
          <w:b/>
          <w:i/>
          <w:szCs w:val="24"/>
          <w:highlight w:val="yellow"/>
        </w:rPr>
        <w:t xml:space="preserve">Option </w:t>
      </w:r>
      <w:r w:rsidRPr="00266335">
        <w:rPr>
          <w:rFonts w:eastAsia="Arial" w:cs="Arial"/>
          <w:b/>
          <w:i/>
          <w:szCs w:val="24"/>
          <w:highlight w:val="yellow"/>
        </w:rPr>
        <w:fldChar w:fldCharType="begin"/>
      </w:r>
      <w:r w:rsidRPr="00266335">
        <w:rPr>
          <w:rFonts w:eastAsia="Arial" w:cs="Arial"/>
          <w:b/>
          <w:i/>
          <w:szCs w:val="24"/>
          <w:highlight w:val="yellow"/>
        </w:rPr>
        <w:instrText xml:space="preserve"> REF OPTION3_SCHEDULE32 \h  \* MERGEFORMAT </w:instrText>
      </w:r>
      <w:r w:rsidRPr="00266335">
        <w:rPr>
          <w:rFonts w:eastAsia="Arial" w:cs="Arial"/>
          <w:b/>
          <w:i/>
          <w:szCs w:val="24"/>
          <w:highlight w:val="yellow"/>
        </w:rPr>
      </w:r>
      <w:r w:rsidRPr="00266335">
        <w:rPr>
          <w:rFonts w:eastAsia="Arial" w:cs="Arial"/>
          <w:b/>
          <w:i/>
          <w:szCs w:val="24"/>
          <w:highlight w:val="yellow"/>
        </w:rPr>
        <w:fldChar w:fldCharType="separate"/>
      </w:r>
      <w:r w:rsidR="00302D39" w:rsidRPr="00302D39">
        <w:rPr>
          <w:b/>
          <w:i/>
        </w:rPr>
        <w:t>3</w:t>
      </w:r>
      <w:r w:rsidRPr="00266335">
        <w:rPr>
          <w:rFonts w:eastAsia="Arial" w:cs="Arial"/>
          <w:b/>
          <w:i/>
          <w:szCs w:val="24"/>
          <w:highlight w:val="yellow"/>
        </w:rPr>
        <w:fldChar w:fldCharType="end"/>
      </w:r>
      <w:r w:rsidRPr="00266335">
        <w:rPr>
          <w:rFonts w:eastAsia="Arial" w:cs="Arial"/>
          <w:b/>
          <w:i/>
          <w:szCs w:val="24"/>
          <w:highlight w:val="yellow"/>
        </w:rPr>
        <w:t>: Supplier ownership of all Specially Written Software and Project Specific IPRs with Authority rights for the current contract only;</w:t>
      </w:r>
    </w:p>
    <w:p w14:paraId="112090B2" w14:textId="221FA009" w:rsidR="00F67E9E" w:rsidRPr="00266335" w:rsidRDefault="00F67E9E" w:rsidP="00F67E9E">
      <w:pPr>
        <w:pStyle w:val="ListParagraph"/>
        <w:numPr>
          <w:ilvl w:val="0"/>
          <w:numId w:val="272"/>
        </w:numPr>
        <w:tabs>
          <w:tab w:val="left" w:pos="2257"/>
        </w:tabs>
        <w:suppressAutoHyphens/>
        <w:spacing w:before="120" w:after="120"/>
        <w:contextualSpacing w:val="0"/>
        <w:rPr>
          <w:rFonts w:eastAsia="Arial" w:cs="Arial"/>
          <w:b/>
          <w:i/>
          <w:szCs w:val="24"/>
          <w:highlight w:val="yellow"/>
        </w:rPr>
      </w:pPr>
      <w:r w:rsidRPr="00266335">
        <w:rPr>
          <w:rFonts w:eastAsia="Arial" w:cs="Arial"/>
          <w:b/>
          <w:i/>
          <w:szCs w:val="24"/>
          <w:highlight w:val="yellow"/>
        </w:rPr>
        <w:t xml:space="preserve">Option </w:t>
      </w:r>
      <w:r w:rsidRPr="00266335">
        <w:rPr>
          <w:rFonts w:eastAsia="Arial" w:cs="Arial"/>
          <w:b/>
          <w:i/>
          <w:szCs w:val="24"/>
          <w:highlight w:val="yellow"/>
        </w:rPr>
        <w:fldChar w:fldCharType="begin"/>
      </w:r>
      <w:r w:rsidRPr="00266335">
        <w:rPr>
          <w:rFonts w:eastAsia="Arial" w:cs="Arial"/>
          <w:b/>
          <w:i/>
          <w:szCs w:val="24"/>
          <w:highlight w:val="yellow"/>
        </w:rPr>
        <w:instrText xml:space="preserve"> REF OPTION4_SCHEDULE32 \h  \* MERGEFORMAT </w:instrText>
      </w:r>
      <w:r w:rsidRPr="00266335">
        <w:rPr>
          <w:rFonts w:eastAsia="Arial" w:cs="Arial"/>
          <w:b/>
          <w:i/>
          <w:szCs w:val="24"/>
          <w:highlight w:val="yellow"/>
        </w:rPr>
      </w:r>
      <w:r w:rsidRPr="00266335">
        <w:rPr>
          <w:rFonts w:eastAsia="Arial" w:cs="Arial"/>
          <w:b/>
          <w:i/>
          <w:szCs w:val="24"/>
          <w:highlight w:val="yellow"/>
        </w:rPr>
        <w:fldChar w:fldCharType="separate"/>
      </w:r>
      <w:r w:rsidR="00302D39" w:rsidRPr="00302D39">
        <w:rPr>
          <w:b/>
          <w:i/>
        </w:rPr>
        <w:t>4</w:t>
      </w:r>
      <w:r w:rsidRPr="00266335">
        <w:rPr>
          <w:rFonts w:eastAsia="Arial" w:cs="Arial"/>
          <w:b/>
          <w:i/>
          <w:szCs w:val="24"/>
          <w:highlight w:val="yellow"/>
        </w:rPr>
        <w:fldChar w:fldCharType="end"/>
      </w:r>
      <w:r w:rsidRPr="00266335">
        <w:rPr>
          <w:rFonts w:eastAsia="Arial" w:cs="Arial"/>
          <w:b/>
          <w:i/>
          <w:szCs w:val="24"/>
          <w:highlight w:val="yellow"/>
        </w:rPr>
        <w:t>: Supplier ownership of Specially Written Software and Project Specific IPRs with Authority rights for the current contract and broader public sector functions;</w:t>
      </w:r>
    </w:p>
    <w:p w14:paraId="295BBD7B" w14:textId="2F5E0842" w:rsidR="00F67E9E" w:rsidRPr="00266335" w:rsidRDefault="00F67E9E" w:rsidP="00F67E9E">
      <w:pPr>
        <w:pStyle w:val="ListParagraph"/>
        <w:numPr>
          <w:ilvl w:val="0"/>
          <w:numId w:val="272"/>
        </w:numPr>
        <w:tabs>
          <w:tab w:val="left" w:pos="2257"/>
        </w:tabs>
        <w:suppressAutoHyphens/>
        <w:spacing w:before="120" w:after="120"/>
        <w:contextualSpacing w:val="0"/>
        <w:rPr>
          <w:rFonts w:eastAsia="Arial" w:cs="Arial"/>
          <w:b/>
          <w:i/>
          <w:szCs w:val="24"/>
          <w:highlight w:val="yellow"/>
        </w:rPr>
      </w:pPr>
      <w:r w:rsidRPr="00266335">
        <w:rPr>
          <w:rFonts w:eastAsia="Arial" w:cs="Arial"/>
          <w:b/>
          <w:i/>
          <w:szCs w:val="24"/>
          <w:highlight w:val="yellow"/>
        </w:rPr>
        <w:t xml:space="preserve">Option </w:t>
      </w:r>
      <w:r w:rsidRPr="00266335">
        <w:rPr>
          <w:rFonts w:eastAsia="Arial" w:cs="Arial"/>
          <w:b/>
          <w:i/>
          <w:szCs w:val="24"/>
          <w:highlight w:val="yellow"/>
        </w:rPr>
        <w:fldChar w:fldCharType="begin"/>
      </w:r>
      <w:r w:rsidRPr="00266335">
        <w:rPr>
          <w:rFonts w:eastAsia="Arial" w:cs="Arial"/>
          <w:b/>
          <w:i/>
          <w:szCs w:val="24"/>
          <w:highlight w:val="yellow"/>
        </w:rPr>
        <w:instrText xml:space="preserve"> REF OPTION5_SCHEDULE32 \h  \* MERGEFORMAT </w:instrText>
      </w:r>
      <w:r w:rsidRPr="00266335">
        <w:rPr>
          <w:rFonts w:eastAsia="Arial" w:cs="Arial"/>
          <w:b/>
          <w:i/>
          <w:szCs w:val="24"/>
          <w:highlight w:val="yellow"/>
        </w:rPr>
      </w:r>
      <w:r w:rsidRPr="00266335">
        <w:rPr>
          <w:rFonts w:eastAsia="Arial" w:cs="Arial"/>
          <w:b/>
          <w:i/>
          <w:szCs w:val="24"/>
          <w:highlight w:val="yellow"/>
        </w:rPr>
        <w:fldChar w:fldCharType="separate"/>
      </w:r>
      <w:r w:rsidR="00302D39" w:rsidRPr="00302D39">
        <w:rPr>
          <w:b/>
          <w:i/>
        </w:rPr>
        <w:t>5</w:t>
      </w:r>
      <w:r w:rsidRPr="00266335">
        <w:rPr>
          <w:rFonts w:eastAsia="Arial" w:cs="Arial"/>
          <w:b/>
          <w:i/>
          <w:szCs w:val="24"/>
          <w:highlight w:val="yellow"/>
        </w:rPr>
        <w:fldChar w:fldCharType="end"/>
      </w:r>
      <w:r w:rsidRPr="00266335">
        <w:rPr>
          <w:rFonts w:eastAsia="Arial" w:cs="Arial"/>
          <w:b/>
          <w:i/>
          <w:szCs w:val="24"/>
          <w:highlight w:val="yellow"/>
        </w:rPr>
        <w:t xml:space="preserve">: Options </w:t>
      </w:r>
      <w:r w:rsidRPr="00266335">
        <w:rPr>
          <w:rFonts w:eastAsia="Arial" w:cs="Arial"/>
          <w:b/>
          <w:i/>
          <w:szCs w:val="24"/>
          <w:highlight w:val="yellow"/>
        </w:rPr>
        <w:fldChar w:fldCharType="begin"/>
      </w:r>
      <w:r w:rsidRPr="00266335">
        <w:rPr>
          <w:rFonts w:eastAsia="Arial" w:cs="Arial"/>
          <w:b/>
          <w:i/>
          <w:szCs w:val="24"/>
          <w:highlight w:val="yellow"/>
        </w:rPr>
        <w:instrText xml:space="preserve"> REF OPTION2_SCHEDULE32 \h  \* MERGEFORMAT </w:instrText>
      </w:r>
      <w:r w:rsidRPr="00266335">
        <w:rPr>
          <w:rFonts w:eastAsia="Arial" w:cs="Arial"/>
          <w:b/>
          <w:i/>
          <w:szCs w:val="24"/>
          <w:highlight w:val="yellow"/>
        </w:rPr>
      </w:r>
      <w:r w:rsidRPr="00266335">
        <w:rPr>
          <w:rFonts w:eastAsia="Arial" w:cs="Arial"/>
          <w:b/>
          <w:i/>
          <w:szCs w:val="24"/>
          <w:highlight w:val="yellow"/>
        </w:rPr>
        <w:fldChar w:fldCharType="separate"/>
      </w:r>
      <w:r w:rsidR="00302D39" w:rsidRPr="00302D39">
        <w:rPr>
          <w:b/>
          <w:i/>
        </w:rPr>
        <w:t>2</w:t>
      </w:r>
      <w:r w:rsidRPr="00266335">
        <w:rPr>
          <w:rFonts w:eastAsia="Arial" w:cs="Arial"/>
          <w:b/>
          <w:i/>
          <w:szCs w:val="24"/>
          <w:highlight w:val="yellow"/>
        </w:rPr>
        <w:fldChar w:fldCharType="end"/>
      </w:r>
      <w:r w:rsidRPr="00266335">
        <w:rPr>
          <w:rFonts w:eastAsia="Arial" w:cs="Arial"/>
          <w:b/>
          <w:i/>
          <w:szCs w:val="24"/>
          <w:highlight w:val="yellow"/>
        </w:rPr>
        <w:t xml:space="preserve">, </w:t>
      </w:r>
      <w:r w:rsidRPr="00266335">
        <w:rPr>
          <w:rFonts w:eastAsia="Arial" w:cs="Arial"/>
          <w:b/>
          <w:i/>
          <w:szCs w:val="24"/>
          <w:highlight w:val="yellow"/>
        </w:rPr>
        <w:fldChar w:fldCharType="begin"/>
      </w:r>
      <w:r w:rsidRPr="00266335">
        <w:rPr>
          <w:rFonts w:eastAsia="Arial" w:cs="Arial"/>
          <w:b/>
          <w:i/>
          <w:szCs w:val="24"/>
          <w:highlight w:val="yellow"/>
        </w:rPr>
        <w:instrText xml:space="preserve"> REF OPTION3_SCHEDULE32 \h  \* MERGEFORMAT </w:instrText>
      </w:r>
      <w:r w:rsidRPr="00266335">
        <w:rPr>
          <w:rFonts w:eastAsia="Arial" w:cs="Arial"/>
          <w:b/>
          <w:i/>
          <w:szCs w:val="24"/>
          <w:highlight w:val="yellow"/>
        </w:rPr>
      </w:r>
      <w:r w:rsidRPr="00266335">
        <w:rPr>
          <w:rFonts w:eastAsia="Arial" w:cs="Arial"/>
          <w:b/>
          <w:i/>
          <w:szCs w:val="24"/>
          <w:highlight w:val="yellow"/>
        </w:rPr>
        <w:fldChar w:fldCharType="separate"/>
      </w:r>
      <w:r w:rsidR="00302D39" w:rsidRPr="00302D39">
        <w:rPr>
          <w:b/>
          <w:i/>
        </w:rPr>
        <w:t>3</w:t>
      </w:r>
      <w:r w:rsidRPr="00266335">
        <w:rPr>
          <w:rFonts w:eastAsia="Arial" w:cs="Arial"/>
          <w:b/>
          <w:i/>
          <w:szCs w:val="24"/>
          <w:highlight w:val="yellow"/>
        </w:rPr>
        <w:fldChar w:fldCharType="end"/>
      </w:r>
      <w:r w:rsidRPr="00266335">
        <w:rPr>
          <w:rFonts w:eastAsia="Arial" w:cs="Arial"/>
          <w:b/>
          <w:i/>
          <w:szCs w:val="24"/>
          <w:highlight w:val="yellow"/>
        </w:rPr>
        <w:t xml:space="preserve">, or </w:t>
      </w:r>
      <w:r w:rsidRPr="00266335">
        <w:rPr>
          <w:rFonts w:eastAsia="Arial" w:cs="Arial"/>
          <w:b/>
          <w:i/>
          <w:szCs w:val="24"/>
          <w:highlight w:val="yellow"/>
        </w:rPr>
        <w:fldChar w:fldCharType="begin"/>
      </w:r>
      <w:r w:rsidRPr="00266335">
        <w:rPr>
          <w:rFonts w:eastAsia="Arial" w:cs="Arial"/>
          <w:b/>
          <w:i/>
          <w:szCs w:val="24"/>
          <w:highlight w:val="yellow"/>
        </w:rPr>
        <w:instrText xml:space="preserve"> REF OPTION4_SCHEDULE32 \h  \* MERGEFORMAT </w:instrText>
      </w:r>
      <w:r w:rsidRPr="00266335">
        <w:rPr>
          <w:rFonts w:eastAsia="Arial" w:cs="Arial"/>
          <w:b/>
          <w:i/>
          <w:szCs w:val="24"/>
          <w:highlight w:val="yellow"/>
        </w:rPr>
      </w:r>
      <w:r w:rsidRPr="00266335">
        <w:rPr>
          <w:rFonts w:eastAsia="Arial" w:cs="Arial"/>
          <w:b/>
          <w:i/>
          <w:szCs w:val="24"/>
          <w:highlight w:val="yellow"/>
        </w:rPr>
        <w:fldChar w:fldCharType="separate"/>
      </w:r>
      <w:r w:rsidR="00302D39" w:rsidRPr="00302D39">
        <w:rPr>
          <w:b/>
          <w:i/>
        </w:rPr>
        <w:t>4</w:t>
      </w:r>
      <w:r w:rsidRPr="00266335">
        <w:rPr>
          <w:rFonts w:eastAsia="Arial" w:cs="Arial"/>
          <w:b/>
          <w:i/>
          <w:szCs w:val="24"/>
          <w:highlight w:val="yellow"/>
        </w:rPr>
        <w:fldChar w:fldCharType="end"/>
      </w:r>
      <w:r w:rsidRPr="00266335">
        <w:rPr>
          <w:rFonts w:eastAsia="Arial" w:cs="Arial"/>
          <w:b/>
          <w:i/>
          <w:szCs w:val="24"/>
          <w:highlight w:val="yellow"/>
        </w:rPr>
        <w:t>, plus Authority rights to royalties</w:t>
      </w:r>
    </w:p>
    <w:p w14:paraId="3F80CFBB" w14:textId="51D76855" w:rsidR="00F67E9E" w:rsidRPr="00266335" w:rsidRDefault="00F67E9E" w:rsidP="00F67E9E">
      <w:pPr>
        <w:tabs>
          <w:tab w:val="left" w:pos="2257"/>
        </w:tabs>
        <w:spacing w:before="120" w:after="120"/>
        <w:rPr>
          <w:rFonts w:eastAsia="Arial" w:cs="Arial"/>
          <w:b/>
          <w:i/>
          <w:szCs w:val="24"/>
          <w:highlight w:val="yellow"/>
        </w:rPr>
      </w:pPr>
      <w:r w:rsidRPr="00266335">
        <w:rPr>
          <w:rFonts w:cs="Arial"/>
          <w:b/>
          <w:i/>
          <w:szCs w:val="24"/>
          <w:highlight w:val="yellow"/>
        </w:rPr>
        <w:t xml:space="preserve">Option </w:t>
      </w:r>
      <w:r w:rsidRPr="00266335">
        <w:rPr>
          <w:rFonts w:cs="Arial"/>
          <w:b/>
          <w:i/>
          <w:szCs w:val="24"/>
          <w:highlight w:val="yellow"/>
        </w:rPr>
        <w:fldChar w:fldCharType="begin"/>
      </w:r>
      <w:r w:rsidRPr="00266335">
        <w:rPr>
          <w:rFonts w:cs="Arial"/>
          <w:b/>
          <w:i/>
          <w:szCs w:val="24"/>
          <w:highlight w:val="yellow"/>
        </w:rPr>
        <w:instrText xml:space="preserve"> REF OPTION2_SCHEDULE32 \h  \* MERGEFORMAT </w:instrText>
      </w:r>
      <w:r w:rsidRPr="00266335">
        <w:rPr>
          <w:rFonts w:cs="Arial"/>
          <w:b/>
          <w:i/>
          <w:szCs w:val="24"/>
          <w:highlight w:val="yellow"/>
        </w:rPr>
      </w:r>
      <w:r w:rsidRPr="00266335">
        <w:rPr>
          <w:rFonts w:cs="Arial"/>
          <w:b/>
          <w:i/>
          <w:szCs w:val="24"/>
          <w:highlight w:val="yellow"/>
        </w:rPr>
        <w:fldChar w:fldCharType="separate"/>
      </w:r>
      <w:r w:rsidR="00302D39" w:rsidRPr="00302D39">
        <w:rPr>
          <w:b/>
          <w:i/>
        </w:rPr>
        <w:t>2</w:t>
      </w:r>
      <w:r w:rsidRPr="00266335">
        <w:rPr>
          <w:rFonts w:cs="Arial"/>
          <w:b/>
          <w:i/>
          <w:szCs w:val="24"/>
          <w:highlight w:val="yellow"/>
        </w:rPr>
        <w:fldChar w:fldCharType="end"/>
      </w:r>
      <w:r w:rsidRPr="00266335">
        <w:rPr>
          <w:rFonts w:eastAsia="Arial" w:cs="Arial"/>
          <w:b/>
          <w:i/>
          <w:szCs w:val="24"/>
          <w:highlight w:val="yellow"/>
        </w:rPr>
        <w:t xml:space="preserve"> should be considered for use in situations where the Authority should retain ownership of any Specially Written Software and Project Specific IPRs but where the Supplier should be able to use any Specially Written Software and Project Specific IPRs developed, subject to Authority approval. In this situation, the Authority will not look to publish the Specially Written Software and Project Specific IPRs under Open Licence.</w:t>
      </w:r>
    </w:p>
    <w:p w14:paraId="4BAE0DAD" w14:textId="0E362AB7" w:rsidR="00F67E9E" w:rsidRPr="00266335" w:rsidRDefault="00F67E9E" w:rsidP="00F67E9E">
      <w:pPr>
        <w:tabs>
          <w:tab w:val="left" w:pos="2257"/>
        </w:tabs>
        <w:spacing w:before="120" w:after="120"/>
        <w:rPr>
          <w:rFonts w:eastAsia="Arial" w:cs="Arial"/>
          <w:b/>
          <w:i/>
          <w:szCs w:val="24"/>
          <w:highlight w:val="yellow"/>
        </w:rPr>
      </w:pPr>
      <w:r w:rsidRPr="00266335">
        <w:rPr>
          <w:rFonts w:eastAsia="Arial" w:cs="Arial"/>
          <w:b/>
          <w:i/>
          <w:szCs w:val="24"/>
          <w:highlight w:val="yellow"/>
        </w:rPr>
        <w:t xml:space="preserve">Option </w:t>
      </w:r>
      <w:r w:rsidRPr="00266335">
        <w:rPr>
          <w:rFonts w:eastAsia="Arial" w:cs="Arial"/>
          <w:b/>
          <w:i/>
          <w:szCs w:val="24"/>
          <w:highlight w:val="yellow"/>
        </w:rPr>
        <w:fldChar w:fldCharType="begin"/>
      </w:r>
      <w:r w:rsidRPr="00266335">
        <w:rPr>
          <w:rFonts w:eastAsia="Arial" w:cs="Arial"/>
          <w:b/>
          <w:i/>
          <w:szCs w:val="24"/>
          <w:highlight w:val="yellow"/>
        </w:rPr>
        <w:instrText xml:space="preserve"> REF OPTION3_SCHEDULE32 \h  \* MERGEFORMAT </w:instrText>
      </w:r>
      <w:r w:rsidRPr="00266335">
        <w:rPr>
          <w:rFonts w:eastAsia="Arial" w:cs="Arial"/>
          <w:b/>
          <w:i/>
          <w:szCs w:val="24"/>
          <w:highlight w:val="yellow"/>
        </w:rPr>
      </w:r>
      <w:r w:rsidRPr="00266335">
        <w:rPr>
          <w:rFonts w:eastAsia="Arial" w:cs="Arial"/>
          <w:b/>
          <w:i/>
          <w:szCs w:val="24"/>
          <w:highlight w:val="yellow"/>
        </w:rPr>
        <w:fldChar w:fldCharType="separate"/>
      </w:r>
      <w:r w:rsidR="00302D39" w:rsidRPr="00302D39">
        <w:rPr>
          <w:b/>
          <w:i/>
        </w:rPr>
        <w:t>3</w:t>
      </w:r>
      <w:r w:rsidRPr="00266335">
        <w:rPr>
          <w:rFonts w:eastAsia="Arial" w:cs="Arial"/>
          <w:b/>
          <w:i/>
          <w:szCs w:val="24"/>
          <w:highlight w:val="yellow"/>
        </w:rPr>
        <w:fldChar w:fldCharType="end"/>
      </w:r>
      <w:r w:rsidRPr="00266335">
        <w:rPr>
          <w:rFonts w:eastAsia="Arial" w:cs="Arial"/>
          <w:b/>
          <w:i/>
          <w:szCs w:val="24"/>
          <w:highlight w:val="yellow"/>
        </w:rPr>
        <w:t xml:space="preserve"> should be considered for use where (a) there is no clear benefit in the Authority owning the Specially Written Software and Project Specific IPRs, or (b) where any Specially Written Software and Project Specific IPRs created cannot easily be separated from the Supplier’s Existing IPR (e.g. Software As A Service (SAAS)), but where a licence is only needed for the current contracted service and the IPR in question will not be needed for other services. </w:t>
      </w:r>
    </w:p>
    <w:p w14:paraId="6F4F9065" w14:textId="12A2B8C4" w:rsidR="00F67E9E" w:rsidRPr="00266335" w:rsidRDefault="00F67E9E" w:rsidP="00F67E9E">
      <w:pPr>
        <w:tabs>
          <w:tab w:val="left" w:pos="2257"/>
        </w:tabs>
        <w:spacing w:before="120" w:after="120"/>
        <w:rPr>
          <w:rFonts w:eastAsia="Arial" w:cs="Arial"/>
          <w:b/>
          <w:i/>
          <w:szCs w:val="24"/>
          <w:highlight w:val="yellow"/>
        </w:rPr>
      </w:pPr>
      <w:r w:rsidRPr="00266335">
        <w:rPr>
          <w:rFonts w:eastAsia="Arial" w:cs="Arial"/>
          <w:b/>
          <w:i/>
          <w:szCs w:val="24"/>
          <w:highlight w:val="yellow"/>
        </w:rPr>
        <w:t xml:space="preserve">Option </w:t>
      </w:r>
      <w:r w:rsidRPr="00266335">
        <w:rPr>
          <w:rFonts w:eastAsia="Arial" w:cs="Arial"/>
          <w:b/>
          <w:i/>
          <w:szCs w:val="24"/>
          <w:highlight w:val="yellow"/>
        </w:rPr>
        <w:fldChar w:fldCharType="begin"/>
      </w:r>
      <w:r w:rsidRPr="00266335">
        <w:rPr>
          <w:rFonts w:eastAsia="Arial" w:cs="Arial"/>
          <w:b/>
          <w:i/>
          <w:szCs w:val="24"/>
          <w:highlight w:val="yellow"/>
        </w:rPr>
        <w:instrText xml:space="preserve"> REF OPTION4_SCHEDULE32 \h  \* MERGEFORMAT </w:instrText>
      </w:r>
      <w:r w:rsidRPr="00266335">
        <w:rPr>
          <w:rFonts w:eastAsia="Arial" w:cs="Arial"/>
          <w:b/>
          <w:i/>
          <w:szCs w:val="24"/>
          <w:highlight w:val="yellow"/>
        </w:rPr>
      </w:r>
      <w:r w:rsidRPr="00266335">
        <w:rPr>
          <w:rFonts w:eastAsia="Arial" w:cs="Arial"/>
          <w:b/>
          <w:i/>
          <w:szCs w:val="24"/>
          <w:highlight w:val="yellow"/>
        </w:rPr>
        <w:fldChar w:fldCharType="separate"/>
      </w:r>
      <w:r w:rsidR="00302D39" w:rsidRPr="00302D39">
        <w:rPr>
          <w:b/>
          <w:i/>
        </w:rPr>
        <w:t>4</w:t>
      </w:r>
      <w:r w:rsidRPr="00266335">
        <w:rPr>
          <w:rFonts w:eastAsia="Arial" w:cs="Arial"/>
          <w:b/>
          <w:i/>
          <w:szCs w:val="24"/>
          <w:highlight w:val="yellow"/>
        </w:rPr>
        <w:fldChar w:fldCharType="end"/>
      </w:r>
      <w:r w:rsidRPr="00266335">
        <w:rPr>
          <w:rFonts w:eastAsia="Arial" w:cs="Arial"/>
          <w:b/>
          <w:i/>
          <w:szCs w:val="24"/>
          <w:highlight w:val="yellow"/>
        </w:rPr>
        <w:t xml:space="preserve"> is similar to Option </w:t>
      </w:r>
      <w:r w:rsidRPr="00266335">
        <w:rPr>
          <w:rFonts w:eastAsia="Arial" w:cs="Arial"/>
          <w:b/>
          <w:i/>
          <w:szCs w:val="24"/>
          <w:highlight w:val="yellow"/>
        </w:rPr>
        <w:fldChar w:fldCharType="begin"/>
      </w:r>
      <w:r w:rsidRPr="00266335">
        <w:rPr>
          <w:rFonts w:eastAsia="Arial" w:cs="Arial"/>
          <w:b/>
          <w:i/>
          <w:szCs w:val="24"/>
          <w:highlight w:val="yellow"/>
        </w:rPr>
        <w:instrText xml:space="preserve"> REF OPTION3_SCHEDULE32 \h  \* MERGEFORMAT </w:instrText>
      </w:r>
      <w:r w:rsidRPr="00266335">
        <w:rPr>
          <w:rFonts w:eastAsia="Arial" w:cs="Arial"/>
          <w:b/>
          <w:i/>
          <w:szCs w:val="24"/>
          <w:highlight w:val="yellow"/>
        </w:rPr>
      </w:r>
      <w:r w:rsidRPr="00266335">
        <w:rPr>
          <w:rFonts w:eastAsia="Arial" w:cs="Arial"/>
          <w:b/>
          <w:i/>
          <w:szCs w:val="24"/>
          <w:highlight w:val="yellow"/>
        </w:rPr>
        <w:fldChar w:fldCharType="separate"/>
      </w:r>
      <w:r w:rsidR="00302D39" w:rsidRPr="00302D39">
        <w:rPr>
          <w:b/>
          <w:i/>
        </w:rPr>
        <w:t>3</w:t>
      </w:r>
      <w:r w:rsidRPr="00266335">
        <w:rPr>
          <w:rFonts w:eastAsia="Arial" w:cs="Arial"/>
          <w:b/>
          <w:i/>
          <w:szCs w:val="24"/>
          <w:highlight w:val="yellow"/>
        </w:rPr>
        <w:fldChar w:fldCharType="end"/>
      </w:r>
      <w:r w:rsidRPr="00266335">
        <w:rPr>
          <w:rFonts w:eastAsia="Arial" w:cs="Arial"/>
          <w:b/>
          <w:i/>
          <w:szCs w:val="24"/>
          <w:highlight w:val="yellow"/>
        </w:rPr>
        <w:t>, except it should be used where the licence to the Authority for the IPR in question should extend to cover other contracts and services, which may include contracts and services not yet awarded, and broader public sector functions.</w:t>
      </w:r>
    </w:p>
    <w:p w14:paraId="0DE5AE70" w14:textId="34AE129F" w:rsidR="00694991" w:rsidRPr="00694991" w:rsidRDefault="00F67E9E" w:rsidP="00694991">
      <w:pPr>
        <w:tabs>
          <w:tab w:val="left" w:pos="2257"/>
        </w:tabs>
        <w:spacing w:before="120" w:after="120"/>
        <w:rPr>
          <w:rFonts w:eastAsia="Arial" w:cs="Arial"/>
          <w:b/>
          <w:i/>
          <w:szCs w:val="24"/>
          <w:highlight w:val="yellow"/>
        </w:rPr>
      </w:pPr>
      <w:r w:rsidRPr="00266335">
        <w:rPr>
          <w:rFonts w:eastAsia="Arial" w:cs="Arial"/>
          <w:b/>
          <w:i/>
          <w:szCs w:val="24"/>
          <w:highlight w:val="yellow"/>
        </w:rPr>
        <w:t xml:space="preserve">Option </w:t>
      </w:r>
      <w:r w:rsidRPr="00266335">
        <w:rPr>
          <w:rFonts w:eastAsia="Arial" w:cs="Arial"/>
          <w:b/>
          <w:i/>
          <w:szCs w:val="24"/>
          <w:highlight w:val="yellow"/>
        </w:rPr>
        <w:fldChar w:fldCharType="begin"/>
      </w:r>
      <w:r w:rsidRPr="00266335">
        <w:rPr>
          <w:rFonts w:eastAsia="Arial" w:cs="Arial"/>
          <w:b/>
          <w:i/>
          <w:szCs w:val="24"/>
          <w:highlight w:val="yellow"/>
        </w:rPr>
        <w:instrText xml:space="preserve"> REF OPTION5_SCHEDULE32 \h  \* MERGEFORMAT </w:instrText>
      </w:r>
      <w:r w:rsidRPr="00266335">
        <w:rPr>
          <w:rFonts w:eastAsia="Arial" w:cs="Arial"/>
          <w:b/>
          <w:i/>
          <w:szCs w:val="24"/>
          <w:highlight w:val="yellow"/>
        </w:rPr>
      </w:r>
      <w:r w:rsidRPr="00266335">
        <w:rPr>
          <w:rFonts w:eastAsia="Arial" w:cs="Arial"/>
          <w:b/>
          <w:i/>
          <w:szCs w:val="24"/>
          <w:highlight w:val="yellow"/>
        </w:rPr>
        <w:fldChar w:fldCharType="separate"/>
      </w:r>
      <w:r w:rsidR="00302D39" w:rsidRPr="00302D39">
        <w:rPr>
          <w:b/>
          <w:i/>
        </w:rPr>
        <w:t>5</w:t>
      </w:r>
      <w:r w:rsidRPr="00266335">
        <w:rPr>
          <w:rFonts w:eastAsia="Arial" w:cs="Arial"/>
          <w:b/>
          <w:i/>
          <w:szCs w:val="24"/>
          <w:highlight w:val="yellow"/>
        </w:rPr>
        <w:fldChar w:fldCharType="end"/>
      </w:r>
      <w:r w:rsidRPr="00266335">
        <w:rPr>
          <w:rFonts w:eastAsia="Arial" w:cs="Arial"/>
          <w:b/>
          <w:i/>
          <w:szCs w:val="24"/>
          <w:highlight w:val="yellow"/>
        </w:rPr>
        <w:t xml:space="preserve"> should be considered if an Authority has invested significant resource or funding in the development of the project and intends to seek a return on that investment. Includes a right for the Authority to request ownership of unexploited IPR after 3 </w:t>
      </w:r>
      <w:r w:rsidRPr="00694991">
        <w:rPr>
          <w:rFonts w:eastAsia="Arial" w:cs="Arial"/>
          <w:b/>
          <w:i/>
          <w:szCs w:val="24"/>
          <w:highlight w:val="yellow"/>
        </w:rPr>
        <w:t>years</w:t>
      </w:r>
      <w:r w:rsidR="00694991" w:rsidRPr="00694991">
        <w:rPr>
          <w:rFonts w:eastAsia="Arial" w:cs="Arial"/>
          <w:b/>
          <w:i/>
          <w:szCs w:val="24"/>
          <w:highlight w:val="yellow"/>
        </w:rPr>
        <w:t xml:space="preserve"> (except when Option </w:t>
      </w:r>
      <w:r w:rsidR="00694991" w:rsidRPr="00A963DA">
        <w:rPr>
          <w:rFonts w:eastAsia="Arial" w:cs="Arial"/>
          <w:b/>
          <w:i/>
          <w:szCs w:val="24"/>
          <w:highlight w:val="yellow"/>
        </w:rPr>
        <w:fldChar w:fldCharType="begin"/>
      </w:r>
      <w:r w:rsidR="00694991" w:rsidRPr="00A963DA">
        <w:rPr>
          <w:rFonts w:eastAsia="Arial" w:cs="Arial"/>
          <w:b/>
          <w:i/>
          <w:szCs w:val="24"/>
          <w:highlight w:val="yellow"/>
        </w:rPr>
        <w:instrText xml:space="preserve"> REF OPTION2_SCHEDULE32 \h  \* MERGEFORMAT </w:instrText>
      </w:r>
      <w:r w:rsidR="00694991" w:rsidRPr="00A963DA">
        <w:rPr>
          <w:rFonts w:eastAsia="Arial" w:cs="Arial"/>
          <w:b/>
          <w:i/>
          <w:szCs w:val="24"/>
          <w:highlight w:val="yellow"/>
        </w:rPr>
      </w:r>
      <w:r w:rsidR="00694991" w:rsidRPr="00A963DA">
        <w:rPr>
          <w:rFonts w:eastAsia="Arial" w:cs="Arial"/>
          <w:b/>
          <w:i/>
          <w:szCs w:val="24"/>
          <w:highlight w:val="yellow"/>
        </w:rPr>
        <w:fldChar w:fldCharType="separate"/>
      </w:r>
      <w:r w:rsidR="00694991" w:rsidRPr="00A963DA">
        <w:rPr>
          <w:b/>
          <w:i/>
        </w:rPr>
        <w:t>2</w:t>
      </w:r>
      <w:r w:rsidR="00694991" w:rsidRPr="00A963DA">
        <w:rPr>
          <w:rFonts w:eastAsia="Arial" w:cs="Arial"/>
          <w:b/>
          <w:i/>
          <w:szCs w:val="24"/>
          <w:highlight w:val="yellow"/>
        </w:rPr>
        <w:fldChar w:fldCharType="end"/>
      </w:r>
      <w:r w:rsidR="00694991" w:rsidRPr="00694991">
        <w:rPr>
          <w:rFonts w:eastAsia="Arial" w:cs="Arial"/>
          <w:b/>
          <w:i/>
          <w:szCs w:val="24"/>
          <w:highlight w:val="yellow"/>
        </w:rPr>
        <w:t xml:space="preserve"> is used)</w:t>
      </w:r>
      <w:r w:rsidR="00694991">
        <w:rPr>
          <w:rFonts w:eastAsia="Arial" w:cs="Arial"/>
          <w:b/>
          <w:i/>
          <w:szCs w:val="24"/>
          <w:highlight w:val="yellow"/>
        </w:rPr>
        <w:t>.</w:t>
      </w:r>
    </w:p>
    <w:p w14:paraId="5A6357C5" w14:textId="3F61BAA1" w:rsidR="00F67E9E" w:rsidRPr="00694991" w:rsidRDefault="00694991" w:rsidP="00694991">
      <w:pPr>
        <w:tabs>
          <w:tab w:val="left" w:pos="2257"/>
        </w:tabs>
        <w:spacing w:before="120" w:after="120"/>
        <w:rPr>
          <w:rFonts w:eastAsia="Arial" w:cs="Arial"/>
          <w:b/>
          <w:i/>
          <w:szCs w:val="24"/>
          <w:highlight w:val="yellow"/>
        </w:rPr>
      </w:pPr>
      <w:r w:rsidRPr="00694991">
        <w:rPr>
          <w:rFonts w:eastAsia="Arial" w:cs="Arial"/>
          <w:b/>
          <w:i/>
          <w:szCs w:val="24"/>
          <w:highlight w:val="yellow"/>
        </w:rPr>
        <w:t>Carefully check cross-references as these may need to be updated when unused clauses are deleted.]</w:t>
      </w:r>
    </w:p>
    <w:p w14:paraId="302AFBC1" w14:textId="77777777" w:rsidR="00F67E9E" w:rsidRPr="002223EA" w:rsidRDefault="00F67E9E" w:rsidP="00F67E9E">
      <w:pPr>
        <w:rPr>
          <w:iCs/>
          <w:highlight w:val="yellow"/>
        </w:rPr>
      </w:pPr>
    </w:p>
    <w:p w14:paraId="7C08F71F" w14:textId="77777777" w:rsidR="00F67E9E" w:rsidRPr="009E452F" w:rsidRDefault="00F67E9E" w:rsidP="00F67E9E">
      <w:r w:rsidRPr="002223EA">
        <w:rPr>
          <w:iCs/>
        </w:rPr>
        <w:br w:type="page"/>
      </w:r>
    </w:p>
    <w:bookmarkEnd w:id="3675"/>
    <w:bookmarkEnd w:id="3676"/>
    <w:bookmarkEnd w:id="3677"/>
    <w:p w14:paraId="7EFD628F" w14:textId="77777777" w:rsidR="00F67E9E" w:rsidRDefault="00F67E9E" w:rsidP="00F67E9E">
      <w:pPr>
        <w:pStyle w:val="Numbered1"/>
        <w:numPr>
          <w:ilvl w:val="0"/>
          <w:numId w:val="273"/>
        </w:numPr>
      </w:pPr>
      <w:r w:rsidRPr="00F67802">
        <w:t>Intellectual Property Rights – General Provisions</w:t>
      </w:r>
    </w:p>
    <w:p w14:paraId="59BB035B" w14:textId="77777777" w:rsidR="00F67E9E" w:rsidRPr="00016234" w:rsidRDefault="00F67E9E" w:rsidP="00F67E9E">
      <w:pPr>
        <w:pStyle w:val="Numbered11"/>
        <w:numPr>
          <w:ilvl w:val="1"/>
          <w:numId w:val="273"/>
        </w:numPr>
      </w:pPr>
      <w:r w:rsidRPr="00F67802">
        <w:t>Except as expressly provided for in this Contract or otherwise agreed in writing:</w:t>
      </w:r>
    </w:p>
    <w:p w14:paraId="767C9A30" w14:textId="77777777" w:rsidR="00F67E9E" w:rsidRPr="00016234" w:rsidRDefault="00F67E9E" w:rsidP="00F67E9E">
      <w:pPr>
        <w:pStyle w:val="Numbered111"/>
        <w:numPr>
          <w:ilvl w:val="2"/>
          <w:numId w:val="273"/>
        </w:numPr>
      </w:pPr>
      <w:bookmarkStart w:id="3680" w:name="_Ref141105848"/>
      <w:r w:rsidRPr="00F67802">
        <w:t>the Authority does not acquire any right, title or interest in or to the Intellectual Property Rights of the Supplier or its licensors, namely:</w:t>
      </w:r>
      <w:bookmarkEnd w:id="3680"/>
    </w:p>
    <w:p w14:paraId="2534255D" w14:textId="77777777" w:rsidR="00F67E9E" w:rsidRPr="00CE3D3D" w:rsidRDefault="00F67E9E" w:rsidP="00F67E9E">
      <w:pPr>
        <w:pStyle w:val="Numbered111a"/>
        <w:numPr>
          <w:ilvl w:val="3"/>
          <w:numId w:val="273"/>
        </w:numPr>
      </w:pPr>
      <w:r w:rsidRPr="00CE3D3D">
        <w:t>the Supplier Software;</w:t>
      </w:r>
    </w:p>
    <w:p w14:paraId="5C8A396D" w14:textId="77777777" w:rsidR="00F67E9E" w:rsidRPr="00CE3D3D" w:rsidRDefault="00F67E9E" w:rsidP="00F67E9E">
      <w:pPr>
        <w:pStyle w:val="Numbered111a"/>
        <w:numPr>
          <w:ilvl w:val="3"/>
          <w:numId w:val="273"/>
        </w:numPr>
      </w:pPr>
      <w:r w:rsidRPr="00CE3D3D">
        <w:t xml:space="preserve">the Third Party Software; </w:t>
      </w:r>
    </w:p>
    <w:p w14:paraId="3DC9DFDE" w14:textId="77777777" w:rsidR="00F67E9E" w:rsidRPr="00CE3D3D" w:rsidRDefault="00F67E9E" w:rsidP="00F67E9E">
      <w:pPr>
        <w:pStyle w:val="Numbered111a"/>
        <w:numPr>
          <w:ilvl w:val="3"/>
          <w:numId w:val="273"/>
        </w:numPr>
      </w:pPr>
      <w:r w:rsidRPr="00CE3D3D">
        <w:t>the Third Party IPRs;</w:t>
      </w:r>
    </w:p>
    <w:p w14:paraId="049E1641" w14:textId="77777777" w:rsidR="00F67E9E" w:rsidRPr="00CE3D3D" w:rsidRDefault="00F67E9E" w:rsidP="00F67E9E">
      <w:pPr>
        <w:pStyle w:val="Numbered111a"/>
        <w:numPr>
          <w:ilvl w:val="3"/>
          <w:numId w:val="273"/>
        </w:numPr>
      </w:pPr>
      <w:r w:rsidRPr="00CE3D3D">
        <w:t>the Supplier Background IPRs; and</w:t>
      </w:r>
    </w:p>
    <w:p w14:paraId="3FC85D7B" w14:textId="77777777" w:rsidR="00F67E9E" w:rsidRPr="00CE3D3D" w:rsidRDefault="00F67E9E" w:rsidP="00F67E9E">
      <w:pPr>
        <w:pStyle w:val="Numbered111a"/>
        <w:numPr>
          <w:ilvl w:val="3"/>
          <w:numId w:val="273"/>
        </w:numPr>
      </w:pPr>
      <w:r w:rsidRPr="00CE3D3D">
        <w:t>any Know-How, trade secrets or Confidential Information of the Supplier contained in any Specially Written Software or Project Specific IPR; and</w:t>
      </w:r>
    </w:p>
    <w:p w14:paraId="04B7156C" w14:textId="077ADF2F" w:rsidR="00F67E9E" w:rsidRPr="00016234" w:rsidRDefault="00F67E9E" w:rsidP="00F67E9E">
      <w:pPr>
        <w:pStyle w:val="Numbered111"/>
        <w:numPr>
          <w:ilvl w:val="2"/>
          <w:numId w:val="273"/>
        </w:numPr>
      </w:pPr>
      <w:r w:rsidRPr="0028223C">
        <w:t xml:space="preserve">the Supplier does not acquire any right, title or interest in or to the Intellectual Property Rights of the </w:t>
      </w:r>
      <w:r w:rsidR="009B1634">
        <w:t>Authority</w:t>
      </w:r>
      <w:r w:rsidRPr="0028223C">
        <w:t xml:space="preserve"> or its licensors, including:</w:t>
      </w:r>
    </w:p>
    <w:p w14:paraId="7EBD8CA0" w14:textId="77777777" w:rsidR="00F67E9E" w:rsidRDefault="00F67E9E" w:rsidP="00F67E9E">
      <w:pPr>
        <w:pStyle w:val="Numbered111a"/>
        <w:numPr>
          <w:ilvl w:val="0"/>
          <w:numId w:val="274"/>
        </w:numPr>
      </w:pPr>
      <w:r>
        <w:t>the Authority Software;</w:t>
      </w:r>
    </w:p>
    <w:p w14:paraId="48C8BF66" w14:textId="77777777" w:rsidR="00F67E9E" w:rsidRDefault="00F67E9E" w:rsidP="00F67E9E">
      <w:pPr>
        <w:pStyle w:val="Numbered111a"/>
        <w:numPr>
          <w:ilvl w:val="3"/>
          <w:numId w:val="273"/>
        </w:numPr>
      </w:pPr>
      <w:r>
        <w:t>the Authority Data; and</w:t>
      </w:r>
    </w:p>
    <w:p w14:paraId="58638DD6" w14:textId="77777777" w:rsidR="00F67E9E" w:rsidRPr="00016234" w:rsidRDefault="00F67E9E" w:rsidP="00F67E9E">
      <w:pPr>
        <w:pStyle w:val="Numbered111a"/>
        <w:numPr>
          <w:ilvl w:val="3"/>
          <w:numId w:val="273"/>
        </w:numPr>
      </w:pPr>
      <w:r>
        <w:t>the Authority Background IPRs; and</w:t>
      </w:r>
    </w:p>
    <w:p w14:paraId="7E452627" w14:textId="77777777" w:rsidR="00F67E9E" w:rsidRPr="00016234" w:rsidRDefault="00F67E9E" w:rsidP="00F67E9E">
      <w:pPr>
        <w:pStyle w:val="Numbered111"/>
        <w:numPr>
          <w:ilvl w:val="2"/>
          <w:numId w:val="273"/>
        </w:numPr>
      </w:pPr>
      <w:r w:rsidRPr="0028223C">
        <w:t>neither Party has the right to use the other Party’s IPRs, including any use of the other Party’s names, logos or trademarks</w:t>
      </w:r>
      <w:r w:rsidRPr="00016234">
        <w:t xml:space="preserve">. </w:t>
      </w:r>
    </w:p>
    <w:p w14:paraId="3DD59716" w14:textId="7F6235B9" w:rsidR="00F67E9E" w:rsidRDefault="00F67E9E" w:rsidP="00F67E9E">
      <w:pPr>
        <w:pStyle w:val="Numbered11"/>
        <w:numPr>
          <w:ilvl w:val="1"/>
          <w:numId w:val="273"/>
        </w:numPr>
      </w:pPr>
      <w:r w:rsidRPr="0028223C">
        <w:t xml:space="preserve">Where either Party acquires, by operation of law, ownership of Intellectual Property Rights that is inconsistent with the requirements of this </w:t>
      </w:r>
      <w:r>
        <w:fldChar w:fldCharType="begin"/>
      </w:r>
      <w:r>
        <w:instrText xml:space="preserve"> REF Schedule32 \h </w:instrText>
      </w:r>
      <w:r>
        <w:fldChar w:fldCharType="separate"/>
      </w:r>
      <w:r w:rsidR="00302D39" w:rsidRPr="00477926">
        <w:t>Schedule</w:t>
      </w:r>
      <w:r w:rsidR="00302D39">
        <w:t> </w:t>
      </w:r>
      <w:r w:rsidR="00302D39" w:rsidRPr="00477926">
        <w:t>32</w:t>
      </w:r>
      <w:r>
        <w:fldChar w:fldCharType="end"/>
      </w:r>
      <w:r w:rsidRPr="0028223C">
        <w:t xml:space="preserve"> (</w:t>
      </w:r>
      <w:r w:rsidRPr="00473E03">
        <w:rPr>
          <w:i/>
          <w:iCs/>
        </w:rPr>
        <w:fldChar w:fldCharType="begin"/>
      </w:r>
      <w:r w:rsidRPr="00473E03">
        <w:rPr>
          <w:i/>
          <w:iCs/>
        </w:rPr>
        <w:instrText xml:space="preserve"> REF Schedule32Heading \h  \* MERGEFORMAT </w:instrText>
      </w:r>
      <w:r w:rsidRPr="00473E03">
        <w:rPr>
          <w:i/>
          <w:iCs/>
        </w:rPr>
      </w:r>
      <w:r w:rsidRPr="00473E03">
        <w:rPr>
          <w:i/>
          <w:iCs/>
        </w:rPr>
        <w:fldChar w:fldCharType="separate"/>
      </w:r>
      <w:r w:rsidR="00302D39" w:rsidRPr="00302D39">
        <w:rPr>
          <w:i/>
          <w:iCs/>
        </w:rPr>
        <w:t>Intellectual Property Rights</w:t>
      </w:r>
      <w:r w:rsidRPr="00473E03">
        <w:rPr>
          <w:i/>
          <w:iCs/>
        </w:rPr>
        <w:fldChar w:fldCharType="end"/>
      </w:r>
      <w:r w:rsidRPr="0028223C">
        <w:t>), it must assign in writing the Intellectual Property Rights concerned to the other Party on the other Party’s request (whenever made).</w:t>
      </w:r>
    </w:p>
    <w:p w14:paraId="4611F6A4" w14:textId="16C7E9F7" w:rsidR="00F67E9E" w:rsidRPr="00016234" w:rsidRDefault="00F67E9E" w:rsidP="00F67E9E">
      <w:pPr>
        <w:pStyle w:val="StdBodyText2"/>
        <w:tabs>
          <w:tab w:val="left" w:pos="8364"/>
        </w:tabs>
      </w:pPr>
      <w:r w:rsidRPr="00266335">
        <w:rPr>
          <w:highlight w:val="yellow"/>
        </w:rPr>
        <w:t>[</w:t>
      </w:r>
      <w:r w:rsidRPr="00266335">
        <w:rPr>
          <w:b/>
          <w:bCs/>
          <w:i/>
          <w:iCs/>
          <w:highlight w:val="yellow"/>
        </w:rPr>
        <w:t xml:space="preserve">Guidance note: the cross references in Paragraph </w:t>
      </w:r>
      <w:r w:rsidRPr="00266335">
        <w:rPr>
          <w:b/>
          <w:bCs/>
          <w:i/>
          <w:iCs/>
          <w:highlight w:val="yellow"/>
        </w:rPr>
        <w:fldChar w:fldCharType="begin"/>
      </w:r>
      <w:r w:rsidRPr="00266335">
        <w:rPr>
          <w:b/>
          <w:bCs/>
          <w:i/>
          <w:iCs/>
          <w:highlight w:val="yellow"/>
        </w:rPr>
        <w:instrText xml:space="preserve"> REF _Ref141111937 \w \h  \* MERGEFORMAT </w:instrText>
      </w:r>
      <w:r w:rsidRPr="00266335">
        <w:rPr>
          <w:b/>
          <w:bCs/>
          <w:i/>
          <w:iCs/>
          <w:highlight w:val="yellow"/>
        </w:rPr>
      </w:r>
      <w:r w:rsidRPr="00266335">
        <w:rPr>
          <w:b/>
          <w:bCs/>
          <w:i/>
          <w:iCs/>
          <w:highlight w:val="yellow"/>
        </w:rPr>
        <w:fldChar w:fldCharType="separate"/>
      </w:r>
      <w:r w:rsidR="00302D39">
        <w:rPr>
          <w:b/>
          <w:bCs/>
          <w:i/>
          <w:iCs/>
          <w:highlight w:val="yellow"/>
        </w:rPr>
        <w:t>1.3</w:t>
      </w:r>
      <w:r w:rsidRPr="00266335">
        <w:rPr>
          <w:b/>
          <w:bCs/>
          <w:i/>
          <w:iCs/>
          <w:highlight w:val="yellow"/>
        </w:rPr>
        <w:fldChar w:fldCharType="end"/>
      </w:r>
      <w:r w:rsidRPr="00266335">
        <w:rPr>
          <w:b/>
          <w:bCs/>
          <w:i/>
          <w:iCs/>
          <w:highlight w:val="yellow"/>
        </w:rPr>
        <w:t xml:space="preserve"> are for Option </w:t>
      </w:r>
      <w:r w:rsidRPr="00266335">
        <w:rPr>
          <w:b/>
          <w:bCs/>
          <w:i/>
          <w:iCs/>
          <w:highlight w:val="yellow"/>
        </w:rPr>
        <w:fldChar w:fldCharType="begin"/>
      </w:r>
      <w:r w:rsidRPr="00266335">
        <w:rPr>
          <w:b/>
          <w:bCs/>
          <w:i/>
          <w:iCs/>
          <w:highlight w:val="yellow"/>
        </w:rPr>
        <w:instrText xml:space="preserve"> REF OPTION1_SCHEDULE32 \h  \* MERGEFORMAT </w:instrText>
      </w:r>
      <w:r w:rsidRPr="00266335">
        <w:rPr>
          <w:b/>
          <w:bCs/>
          <w:i/>
          <w:iCs/>
          <w:highlight w:val="yellow"/>
        </w:rPr>
      </w:r>
      <w:r w:rsidRPr="00266335">
        <w:rPr>
          <w:b/>
          <w:bCs/>
          <w:i/>
          <w:iCs/>
          <w:highlight w:val="yellow"/>
        </w:rPr>
        <w:fldChar w:fldCharType="separate"/>
      </w:r>
      <w:r w:rsidR="00302D39" w:rsidRPr="00302D39">
        <w:rPr>
          <w:b/>
          <w:bCs/>
          <w:i/>
          <w:iCs/>
          <w:highlight w:val="yellow"/>
        </w:rPr>
        <w:t>1</w:t>
      </w:r>
      <w:r w:rsidRPr="00266335">
        <w:rPr>
          <w:b/>
          <w:bCs/>
          <w:i/>
          <w:iCs/>
          <w:highlight w:val="yellow"/>
        </w:rPr>
        <w:fldChar w:fldCharType="end"/>
      </w:r>
      <w:r w:rsidRPr="00266335">
        <w:rPr>
          <w:b/>
          <w:bCs/>
          <w:i/>
          <w:iCs/>
          <w:highlight w:val="yellow"/>
        </w:rPr>
        <w:t xml:space="preserve"> and should be updated for Option </w:t>
      </w:r>
      <w:r w:rsidRPr="00266335">
        <w:rPr>
          <w:b/>
          <w:bCs/>
          <w:i/>
          <w:iCs/>
          <w:highlight w:val="yellow"/>
        </w:rPr>
        <w:fldChar w:fldCharType="begin"/>
      </w:r>
      <w:r w:rsidRPr="00266335">
        <w:rPr>
          <w:b/>
          <w:bCs/>
          <w:i/>
          <w:iCs/>
          <w:highlight w:val="yellow"/>
        </w:rPr>
        <w:instrText xml:space="preserve"> REF OPTION2_SCHEDULE32 \h  \* MERGEFORMAT </w:instrText>
      </w:r>
      <w:r w:rsidRPr="00266335">
        <w:rPr>
          <w:b/>
          <w:bCs/>
          <w:i/>
          <w:iCs/>
          <w:highlight w:val="yellow"/>
        </w:rPr>
      </w:r>
      <w:r w:rsidRPr="00266335">
        <w:rPr>
          <w:b/>
          <w:bCs/>
          <w:i/>
          <w:iCs/>
          <w:highlight w:val="yellow"/>
        </w:rPr>
        <w:fldChar w:fldCharType="separate"/>
      </w:r>
      <w:r w:rsidR="00302D39" w:rsidRPr="00302D39">
        <w:rPr>
          <w:b/>
          <w:bCs/>
          <w:i/>
          <w:iCs/>
          <w:highlight w:val="yellow"/>
        </w:rPr>
        <w:t>2</w:t>
      </w:r>
      <w:r w:rsidRPr="00266335">
        <w:rPr>
          <w:b/>
          <w:bCs/>
          <w:i/>
          <w:iCs/>
          <w:highlight w:val="yellow"/>
        </w:rPr>
        <w:fldChar w:fldCharType="end"/>
      </w:r>
      <w:r w:rsidRPr="00266335">
        <w:rPr>
          <w:b/>
          <w:bCs/>
          <w:i/>
          <w:iCs/>
          <w:highlight w:val="yellow"/>
        </w:rPr>
        <w:t xml:space="preserve"> to </w:t>
      </w:r>
      <w:r w:rsidRPr="00266335">
        <w:rPr>
          <w:b/>
          <w:bCs/>
          <w:i/>
          <w:iCs/>
          <w:highlight w:val="yellow"/>
        </w:rPr>
        <w:fldChar w:fldCharType="begin"/>
      </w:r>
      <w:r w:rsidRPr="00266335">
        <w:rPr>
          <w:b/>
          <w:bCs/>
          <w:i/>
          <w:iCs/>
          <w:highlight w:val="yellow"/>
        </w:rPr>
        <w:instrText xml:space="preserve"> REF _Ref140100775 \w \h  \* MERGEFORMAT </w:instrText>
      </w:r>
      <w:r w:rsidRPr="00266335">
        <w:rPr>
          <w:b/>
          <w:bCs/>
          <w:i/>
          <w:iCs/>
          <w:highlight w:val="yellow"/>
        </w:rPr>
      </w:r>
      <w:r w:rsidRPr="00266335">
        <w:rPr>
          <w:b/>
          <w:bCs/>
          <w:i/>
          <w:iCs/>
          <w:highlight w:val="yellow"/>
        </w:rPr>
        <w:fldChar w:fldCharType="separate"/>
      </w:r>
      <w:r w:rsidR="00302D39">
        <w:rPr>
          <w:b/>
          <w:bCs/>
          <w:i/>
          <w:iCs/>
          <w:highlight w:val="yellow"/>
        </w:rPr>
        <w:t>2</w:t>
      </w:r>
      <w:r w:rsidRPr="00266335">
        <w:rPr>
          <w:b/>
          <w:bCs/>
          <w:i/>
          <w:iCs/>
          <w:highlight w:val="yellow"/>
        </w:rPr>
        <w:fldChar w:fldCharType="end"/>
      </w:r>
      <w:r w:rsidRPr="00266335">
        <w:rPr>
          <w:b/>
          <w:bCs/>
          <w:i/>
          <w:iCs/>
          <w:highlight w:val="yellow"/>
        </w:rPr>
        <w:t xml:space="preserve">, </w:t>
      </w:r>
      <w:r w:rsidRPr="00266335">
        <w:rPr>
          <w:b/>
          <w:bCs/>
          <w:i/>
          <w:iCs/>
          <w:highlight w:val="yellow"/>
        </w:rPr>
        <w:fldChar w:fldCharType="begin"/>
      </w:r>
      <w:r w:rsidRPr="00266335">
        <w:rPr>
          <w:b/>
          <w:bCs/>
          <w:i/>
          <w:iCs/>
          <w:highlight w:val="yellow"/>
        </w:rPr>
        <w:instrText xml:space="preserve"> REF _Ref140767399 \w \h  \* MERGEFORMAT </w:instrText>
      </w:r>
      <w:r w:rsidRPr="00266335">
        <w:rPr>
          <w:b/>
          <w:bCs/>
          <w:i/>
          <w:iCs/>
          <w:highlight w:val="yellow"/>
        </w:rPr>
      </w:r>
      <w:r w:rsidRPr="00266335">
        <w:rPr>
          <w:b/>
          <w:bCs/>
          <w:i/>
          <w:iCs/>
          <w:highlight w:val="yellow"/>
        </w:rPr>
        <w:fldChar w:fldCharType="separate"/>
      </w:r>
      <w:r w:rsidR="00302D39">
        <w:rPr>
          <w:b/>
          <w:bCs/>
          <w:i/>
          <w:iCs/>
          <w:highlight w:val="yellow"/>
        </w:rPr>
        <w:t>3</w:t>
      </w:r>
      <w:r w:rsidRPr="00266335">
        <w:rPr>
          <w:b/>
          <w:bCs/>
          <w:i/>
          <w:iCs/>
          <w:highlight w:val="yellow"/>
        </w:rPr>
        <w:fldChar w:fldCharType="end"/>
      </w:r>
      <w:r w:rsidRPr="00266335">
        <w:rPr>
          <w:b/>
          <w:bCs/>
          <w:i/>
          <w:iCs/>
          <w:highlight w:val="yellow"/>
        </w:rPr>
        <w:t xml:space="preserve"> and </w:t>
      </w:r>
      <w:r w:rsidRPr="00266335">
        <w:rPr>
          <w:b/>
          <w:bCs/>
          <w:i/>
          <w:iCs/>
          <w:highlight w:val="yellow"/>
        </w:rPr>
        <w:fldChar w:fldCharType="begin"/>
      </w:r>
      <w:r w:rsidRPr="00266335">
        <w:rPr>
          <w:b/>
          <w:bCs/>
          <w:i/>
          <w:iCs/>
          <w:highlight w:val="yellow"/>
        </w:rPr>
        <w:instrText xml:space="preserve"> REF _Ref140100250 \w \h  \* MERGEFORMAT </w:instrText>
      </w:r>
      <w:r w:rsidRPr="00266335">
        <w:rPr>
          <w:b/>
          <w:bCs/>
          <w:i/>
          <w:iCs/>
          <w:highlight w:val="yellow"/>
        </w:rPr>
      </w:r>
      <w:r w:rsidRPr="00266335">
        <w:rPr>
          <w:b/>
          <w:bCs/>
          <w:i/>
          <w:iCs/>
          <w:highlight w:val="yellow"/>
        </w:rPr>
        <w:fldChar w:fldCharType="separate"/>
      </w:r>
      <w:r w:rsidR="00302D39">
        <w:rPr>
          <w:b/>
          <w:bCs/>
          <w:i/>
          <w:iCs/>
          <w:highlight w:val="yellow"/>
        </w:rPr>
        <w:t>7</w:t>
      </w:r>
      <w:r w:rsidRPr="00266335">
        <w:rPr>
          <w:b/>
          <w:bCs/>
          <w:i/>
          <w:iCs/>
          <w:highlight w:val="yellow"/>
        </w:rPr>
        <w:fldChar w:fldCharType="end"/>
      </w:r>
      <w:r w:rsidRPr="00266335">
        <w:rPr>
          <w:b/>
          <w:bCs/>
          <w:i/>
          <w:iCs/>
          <w:highlight w:val="yellow"/>
        </w:rPr>
        <w:t xml:space="preserve">; Option </w:t>
      </w:r>
      <w:r w:rsidRPr="00266335">
        <w:rPr>
          <w:b/>
          <w:bCs/>
          <w:i/>
          <w:iCs/>
          <w:highlight w:val="yellow"/>
        </w:rPr>
        <w:fldChar w:fldCharType="begin"/>
      </w:r>
      <w:r w:rsidRPr="00266335">
        <w:rPr>
          <w:b/>
          <w:bCs/>
          <w:i/>
          <w:iCs/>
          <w:highlight w:val="yellow"/>
        </w:rPr>
        <w:instrText xml:space="preserve"> REF OPTION3_SCHEDULE32 \h  \* MERGEFORMAT </w:instrText>
      </w:r>
      <w:r w:rsidRPr="00266335">
        <w:rPr>
          <w:b/>
          <w:bCs/>
          <w:i/>
          <w:iCs/>
          <w:highlight w:val="yellow"/>
        </w:rPr>
      </w:r>
      <w:r w:rsidRPr="00266335">
        <w:rPr>
          <w:b/>
          <w:bCs/>
          <w:i/>
          <w:iCs/>
          <w:highlight w:val="yellow"/>
        </w:rPr>
        <w:fldChar w:fldCharType="separate"/>
      </w:r>
      <w:r w:rsidR="00302D39" w:rsidRPr="00302D39">
        <w:rPr>
          <w:b/>
          <w:bCs/>
          <w:i/>
          <w:iCs/>
          <w:highlight w:val="yellow"/>
        </w:rPr>
        <w:t>3</w:t>
      </w:r>
      <w:r w:rsidRPr="00266335">
        <w:rPr>
          <w:b/>
          <w:bCs/>
          <w:i/>
          <w:iCs/>
          <w:highlight w:val="yellow"/>
        </w:rPr>
        <w:fldChar w:fldCharType="end"/>
      </w:r>
      <w:r w:rsidRPr="00266335">
        <w:rPr>
          <w:b/>
          <w:bCs/>
          <w:i/>
          <w:iCs/>
          <w:highlight w:val="yellow"/>
        </w:rPr>
        <w:t xml:space="preserve"> to Paragraphs </w:t>
      </w:r>
      <w:r w:rsidRPr="00266335">
        <w:rPr>
          <w:b/>
          <w:bCs/>
          <w:i/>
          <w:iCs/>
          <w:highlight w:val="yellow"/>
        </w:rPr>
        <w:fldChar w:fldCharType="begin"/>
      </w:r>
      <w:r w:rsidRPr="00266335">
        <w:rPr>
          <w:b/>
          <w:bCs/>
          <w:i/>
          <w:iCs/>
          <w:highlight w:val="yellow"/>
        </w:rPr>
        <w:instrText xml:space="preserve"> REF _Ref140133039 \w \h  \* MERGEFORMAT </w:instrText>
      </w:r>
      <w:r w:rsidRPr="00266335">
        <w:rPr>
          <w:b/>
          <w:bCs/>
          <w:i/>
          <w:iCs/>
          <w:highlight w:val="yellow"/>
        </w:rPr>
      </w:r>
      <w:r w:rsidRPr="00266335">
        <w:rPr>
          <w:b/>
          <w:bCs/>
          <w:i/>
          <w:iCs/>
          <w:highlight w:val="yellow"/>
        </w:rPr>
        <w:fldChar w:fldCharType="separate"/>
      </w:r>
      <w:r w:rsidR="00302D39">
        <w:rPr>
          <w:b/>
          <w:bCs/>
          <w:i/>
          <w:iCs/>
          <w:highlight w:val="yellow"/>
        </w:rPr>
        <w:t>2</w:t>
      </w:r>
      <w:r w:rsidRPr="00266335">
        <w:rPr>
          <w:b/>
          <w:bCs/>
          <w:i/>
          <w:iCs/>
          <w:highlight w:val="yellow"/>
        </w:rPr>
        <w:fldChar w:fldCharType="end"/>
      </w:r>
      <w:r w:rsidRPr="00266335">
        <w:rPr>
          <w:b/>
          <w:bCs/>
          <w:i/>
          <w:iCs/>
          <w:highlight w:val="yellow"/>
        </w:rPr>
        <w:t xml:space="preserve"> and </w:t>
      </w:r>
      <w:r w:rsidRPr="00266335">
        <w:rPr>
          <w:b/>
          <w:bCs/>
          <w:i/>
          <w:iCs/>
          <w:highlight w:val="yellow"/>
        </w:rPr>
        <w:fldChar w:fldCharType="begin"/>
      </w:r>
      <w:r w:rsidRPr="00266335">
        <w:rPr>
          <w:b/>
          <w:bCs/>
          <w:i/>
          <w:iCs/>
          <w:highlight w:val="yellow"/>
        </w:rPr>
        <w:instrText xml:space="preserve"> REF _Ref140767086 \w \h  \* MERGEFORMAT </w:instrText>
      </w:r>
      <w:r w:rsidRPr="00266335">
        <w:rPr>
          <w:b/>
          <w:bCs/>
          <w:i/>
          <w:iCs/>
          <w:highlight w:val="yellow"/>
        </w:rPr>
      </w:r>
      <w:r w:rsidRPr="00266335">
        <w:rPr>
          <w:b/>
          <w:bCs/>
          <w:i/>
          <w:iCs/>
          <w:highlight w:val="yellow"/>
        </w:rPr>
        <w:fldChar w:fldCharType="separate"/>
      </w:r>
      <w:r w:rsidR="00302D39">
        <w:rPr>
          <w:b/>
          <w:bCs/>
          <w:i/>
          <w:iCs/>
          <w:highlight w:val="yellow"/>
        </w:rPr>
        <w:t>5</w:t>
      </w:r>
      <w:r w:rsidRPr="00266335">
        <w:rPr>
          <w:b/>
          <w:bCs/>
          <w:i/>
          <w:iCs/>
          <w:highlight w:val="yellow"/>
        </w:rPr>
        <w:fldChar w:fldCharType="end"/>
      </w:r>
      <w:r w:rsidRPr="00266335">
        <w:rPr>
          <w:b/>
          <w:bCs/>
          <w:i/>
          <w:iCs/>
          <w:highlight w:val="yellow"/>
        </w:rPr>
        <w:t xml:space="preserve">; and for Option </w:t>
      </w:r>
      <w:r w:rsidRPr="00266335">
        <w:rPr>
          <w:b/>
          <w:bCs/>
          <w:i/>
          <w:iCs/>
          <w:highlight w:val="yellow"/>
        </w:rPr>
        <w:fldChar w:fldCharType="begin"/>
      </w:r>
      <w:r w:rsidRPr="00266335">
        <w:rPr>
          <w:b/>
          <w:bCs/>
          <w:i/>
          <w:iCs/>
          <w:highlight w:val="yellow"/>
        </w:rPr>
        <w:instrText xml:space="preserve"> REF OPTION4_SCHEDULE32 \h  \* MERGEFORMAT </w:instrText>
      </w:r>
      <w:r w:rsidRPr="00266335">
        <w:rPr>
          <w:b/>
          <w:bCs/>
          <w:i/>
          <w:iCs/>
          <w:highlight w:val="yellow"/>
        </w:rPr>
      </w:r>
      <w:r w:rsidRPr="00266335">
        <w:rPr>
          <w:b/>
          <w:bCs/>
          <w:i/>
          <w:iCs/>
          <w:highlight w:val="yellow"/>
        </w:rPr>
        <w:fldChar w:fldCharType="separate"/>
      </w:r>
      <w:r w:rsidR="00302D39" w:rsidRPr="00302D39">
        <w:rPr>
          <w:b/>
          <w:bCs/>
          <w:i/>
          <w:iCs/>
          <w:highlight w:val="yellow"/>
        </w:rPr>
        <w:t>4</w:t>
      </w:r>
      <w:r w:rsidRPr="00266335">
        <w:rPr>
          <w:b/>
          <w:bCs/>
          <w:i/>
          <w:iCs/>
          <w:highlight w:val="yellow"/>
        </w:rPr>
        <w:fldChar w:fldCharType="end"/>
      </w:r>
      <w:r w:rsidRPr="00266335">
        <w:rPr>
          <w:b/>
          <w:bCs/>
          <w:i/>
          <w:iCs/>
          <w:highlight w:val="yellow"/>
        </w:rPr>
        <w:t xml:space="preserve"> to </w:t>
      </w:r>
      <w:r w:rsidRPr="00266335">
        <w:rPr>
          <w:b/>
          <w:bCs/>
          <w:i/>
          <w:iCs/>
          <w:highlight w:val="yellow"/>
        </w:rPr>
        <w:fldChar w:fldCharType="begin"/>
      </w:r>
      <w:r w:rsidRPr="00266335">
        <w:rPr>
          <w:b/>
          <w:bCs/>
          <w:i/>
          <w:iCs/>
          <w:highlight w:val="yellow"/>
        </w:rPr>
        <w:instrText xml:space="preserve"> REF _Ref140767308 \w \h  \* MERGEFORMAT </w:instrText>
      </w:r>
      <w:r w:rsidRPr="00266335">
        <w:rPr>
          <w:b/>
          <w:bCs/>
          <w:i/>
          <w:iCs/>
          <w:highlight w:val="yellow"/>
        </w:rPr>
      </w:r>
      <w:r w:rsidRPr="00266335">
        <w:rPr>
          <w:b/>
          <w:bCs/>
          <w:i/>
          <w:iCs/>
          <w:highlight w:val="yellow"/>
        </w:rPr>
        <w:fldChar w:fldCharType="separate"/>
      </w:r>
      <w:r w:rsidR="00302D39">
        <w:rPr>
          <w:b/>
          <w:bCs/>
          <w:i/>
          <w:iCs/>
          <w:highlight w:val="yellow"/>
        </w:rPr>
        <w:t>2</w:t>
      </w:r>
      <w:r w:rsidRPr="00266335">
        <w:rPr>
          <w:b/>
          <w:bCs/>
          <w:i/>
          <w:iCs/>
          <w:highlight w:val="yellow"/>
        </w:rPr>
        <w:fldChar w:fldCharType="end"/>
      </w:r>
      <w:r w:rsidRPr="00266335">
        <w:rPr>
          <w:b/>
          <w:bCs/>
          <w:i/>
          <w:iCs/>
          <w:highlight w:val="yellow"/>
        </w:rPr>
        <w:t xml:space="preserve"> and </w:t>
      </w:r>
      <w:r w:rsidRPr="00266335">
        <w:rPr>
          <w:b/>
          <w:bCs/>
          <w:i/>
          <w:iCs/>
          <w:highlight w:val="yellow"/>
        </w:rPr>
        <w:fldChar w:fldCharType="begin"/>
      </w:r>
      <w:r w:rsidRPr="00266335">
        <w:rPr>
          <w:b/>
          <w:bCs/>
          <w:i/>
          <w:iCs/>
          <w:highlight w:val="yellow"/>
        </w:rPr>
        <w:instrText xml:space="preserve"> REF _Ref140767324 \w \h  \* MERGEFORMAT </w:instrText>
      </w:r>
      <w:r w:rsidRPr="00266335">
        <w:rPr>
          <w:b/>
          <w:bCs/>
          <w:i/>
          <w:iCs/>
          <w:highlight w:val="yellow"/>
        </w:rPr>
      </w:r>
      <w:r w:rsidRPr="00266335">
        <w:rPr>
          <w:b/>
          <w:bCs/>
          <w:i/>
          <w:iCs/>
          <w:highlight w:val="yellow"/>
        </w:rPr>
        <w:fldChar w:fldCharType="separate"/>
      </w:r>
      <w:r w:rsidR="00302D39">
        <w:rPr>
          <w:b/>
          <w:bCs/>
          <w:i/>
          <w:iCs/>
          <w:highlight w:val="yellow"/>
        </w:rPr>
        <w:t>5</w:t>
      </w:r>
      <w:r w:rsidRPr="00266335">
        <w:rPr>
          <w:b/>
          <w:bCs/>
          <w:i/>
          <w:iCs/>
          <w:highlight w:val="yellow"/>
        </w:rPr>
        <w:fldChar w:fldCharType="end"/>
      </w:r>
      <w:r>
        <w:rPr>
          <w:b/>
          <w:bCs/>
          <w:i/>
          <w:iCs/>
          <w:highlight w:val="yellow"/>
        </w:rPr>
        <w:t>.</w:t>
      </w:r>
      <w:r w:rsidRPr="00266335">
        <w:rPr>
          <w:highlight w:val="yellow"/>
        </w:rPr>
        <w:t>]</w:t>
      </w:r>
    </w:p>
    <w:p w14:paraId="3A2FCEA4" w14:textId="58B37248" w:rsidR="00F67E9E" w:rsidRDefault="00F67E9E" w:rsidP="00F67E9E">
      <w:pPr>
        <w:pStyle w:val="Numbered11"/>
        <w:numPr>
          <w:ilvl w:val="1"/>
          <w:numId w:val="273"/>
        </w:numPr>
      </w:pPr>
      <w:bookmarkStart w:id="3681" w:name="_Ref141111937"/>
      <w:r w:rsidRPr="0028223C">
        <w:t xml:space="preserve">If the Supplier becomes aware at any time, including after the Term, that, in respect of any Deliverable, the Authority has not received the licences to the Supplier Software, the Third Party Software, the Third Party IPRs and the Supplier Background IPRs required by Paragraphs </w:t>
      </w:r>
      <w:r>
        <w:fldChar w:fldCharType="begin"/>
      </w:r>
      <w:r>
        <w:instrText xml:space="preserve"> REF _Ref140766633 \w \h </w:instrText>
      </w:r>
      <w:r>
        <w:fldChar w:fldCharType="separate"/>
      </w:r>
      <w:r w:rsidR="00302D39">
        <w:t>2</w:t>
      </w:r>
      <w:r>
        <w:fldChar w:fldCharType="end"/>
      </w:r>
      <w:r w:rsidRPr="0028223C">
        <w:t xml:space="preserve">, </w:t>
      </w:r>
      <w:r>
        <w:fldChar w:fldCharType="begin"/>
      </w:r>
      <w:r>
        <w:instrText xml:space="preserve"> REF _Ref140766637 \w \h </w:instrText>
      </w:r>
      <w:r>
        <w:fldChar w:fldCharType="separate"/>
      </w:r>
      <w:r w:rsidR="00302D39">
        <w:t>3</w:t>
      </w:r>
      <w:r>
        <w:fldChar w:fldCharType="end"/>
      </w:r>
      <w:r w:rsidRPr="0028223C">
        <w:t xml:space="preserve"> and </w:t>
      </w:r>
      <w:r>
        <w:fldChar w:fldCharType="begin"/>
      </w:r>
      <w:r>
        <w:instrText xml:space="preserve"> REF _Ref140096688 \w \h </w:instrText>
      </w:r>
      <w:r>
        <w:fldChar w:fldCharType="separate"/>
      </w:r>
      <w:r w:rsidR="00302D39">
        <w:t>5</w:t>
      </w:r>
      <w:r>
        <w:fldChar w:fldCharType="end"/>
      </w:r>
      <w:r w:rsidRPr="0028223C">
        <w:t>, the Supplier must, within 10 Working Days notify the Authority:</w:t>
      </w:r>
      <w:bookmarkEnd w:id="3681"/>
    </w:p>
    <w:p w14:paraId="571733FB" w14:textId="77777777" w:rsidR="00F67E9E" w:rsidRDefault="00F67E9E" w:rsidP="00F67E9E">
      <w:pPr>
        <w:pStyle w:val="Numbered111"/>
        <w:numPr>
          <w:ilvl w:val="2"/>
          <w:numId w:val="273"/>
        </w:numPr>
      </w:pPr>
      <w:r>
        <w:t>the specific Intellectual Property Rights the Authority has not received licences to; and</w:t>
      </w:r>
    </w:p>
    <w:p w14:paraId="30320C2F" w14:textId="77777777" w:rsidR="00F67E9E" w:rsidRPr="00016234" w:rsidRDefault="00F67E9E" w:rsidP="00F67E9E">
      <w:pPr>
        <w:pStyle w:val="Numbered111"/>
        <w:numPr>
          <w:ilvl w:val="2"/>
          <w:numId w:val="273"/>
        </w:numPr>
      </w:pPr>
      <w:r>
        <w:t>the Deliverables affected.</w:t>
      </w:r>
    </w:p>
    <w:p w14:paraId="0B0A456A" w14:textId="77777777" w:rsidR="00F67E9E" w:rsidRPr="00016234" w:rsidRDefault="00F67E9E" w:rsidP="00F67E9E">
      <w:pPr>
        <w:pStyle w:val="Numbered11"/>
        <w:numPr>
          <w:ilvl w:val="1"/>
          <w:numId w:val="273"/>
        </w:numPr>
      </w:pPr>
      <w:r w:rsidRPr="0028223C">
        <w:t>Where a patent owned by the Supplier is infringed by the use of the Specially Written Software or Project Specific IPR by the Authority or any Replacement Supplier, the Supplier hereby grants to the Authority and the Replacement Supplier a non-exclusive, irrevocable, royalty-free, worldwide patent licence to use the infringing methods, materials or software.</w:t>
      </w:r>
    </w:p>
    <w:p w14:paraId="24159AEC" w14:textId="650FD10F" w:rsidR="00F67E9E" w:rsidRDefault="00F67E9E" w:rsidP="00F67E9E">
      <w:pPr>
        <w:pStyle w:val="Numbered11"/>
        <w:numPr>
          <w:ilvl w:val="1"/>
          <w:numId w:val="273"/>
        </w:numPr>
      </w:pPr>
      <w:r w:rsidRPr="0028223C">
        <w:t xml:space="preserve">Unless otherwise agreed in writing, the Supplier will record in the table at Annex </w:t>
      </w:r>
      <w:r>
        <w:fldChar w:fldCharType="begin"/>
      </w:r>
      <w:r>
        <w:instrText xml:space="preserve"> REF ANNEX1_SCHEDULE32 \h </w:instrText>
      </w:r>
      <w:r>
        <w:fldChar w:fldCharType="separate"/>
      </w:r>
      <w:r w:rsidR="00302D39" w:rsidRPr="001B4E17">
        <w:t>1</w:t>
      </w:r>
      <w:r>
        <w:fldChar w:fldCharType="end"/>
      </w:r>
      <w:r w:rsidRPr="0028223C">
        <w:t xml:space="preserve"> to this Schedule and keep updated throughout the Term:</w:t>
      </w:r>
    </w:p>
    <w:p w14:paraId="6BE5180A" w14:textId="77777777" w:rsidR="00F67E9E" w:rsidRDefault="00F67E9E" w:rsidP="00F67E9E">
      <w:pPr>
        <w:pStyle w:val="Numbered111"/>
        <w:numPr>
          <w:ilvl w:val="2"/>
          <w:numId w:val="273"/>
        </w:numPr>
      </w:pPr>
      <w:r>
        <w:t>any Specially Written Software and Project Specific IPR; and</w:t>
      </w:r>
    </w:p>
    <w:p w14:paraId="4ED81C56" w14:textId="77777777" w:rsidR="00F67E9E" w:rsidRDefault="00F67E9E" w:rsidP="00F67E9E">
      <w:pPr>
        <w:pStyle w:val="Numbered111"/>
        <w:numPr>
          <w:ilvl w:val="2"/>
          <w:numId w:val="273"/>
        </w:numPr>
      </w:pPr>
      <w:r>
        <w:t>where:</w:t>
      </w:r>
    </w:p>
    <w:p w14:paraId="53C3EDE0" w14:textId="77777777" w:rsidR="00F67E9E" w:rsidRDefault="00F67E9E" w:rsidP="00F67E9E">
      <w:pPr>
        <w:pStyle w:val="Numbered111a"/>
        <w:numPr>
          <w:ilvl w:val="3"/>
          <w:numId w:val="273"/>
        </w:numPr>
      </w:pPr>
      <w:r>
        <w:t>the Specially Written Software or Project Specific IPR adapts Supplier Software, Third Party Software, Third Party IPRs, or Supplier Background IPRs; or</w:t>
      </w:r>
    </w:p>
    <w:p w14:paraId="1E899407" w14:textId="77777777" w:rsidR="00F67E9E" w:rsidRPr="00016234" w:rsidRDefault="00F67E9E" w:rsidP="00F67E9E">
      <w:pPr>
        <w:pStyle w:val="Numbered111a"/>
        <w:numPr>
          <w:ilvl w:val="3"/>
          <w:numId w:val="273"/>
        </w:numPr>
      </w:pPr>
      <w:r>
        <w:t>Supplier Software, Third Party Software, Third Party IPRs, or Supplier Background IPRs is embedded in, or forms an integral part of, the Specially Written Software or Project Specific IPR;</w:t>
      </w:r>
    </w:p>
    <w:p w14:paraId="1F00885E" w14:textId="77777777" w:rsidR="00F67E9E" w:rsidRDefault="00F67E9E" w:rsidP="00F67E9E">
      <w:pPr>
        <w:pStyle w:val="StdBodyText3"/>
      </w:pPr>
      <w:bookmarkStart w:id="3682" w:name="_Ref_ContractCompanion_9kb9Ur08G"/>
      <w:bookmarkStart w:id="3683" w:name="_Ref_ContractCompanion_9kb9Ur237"/>
      <w:bookmarkStart w:id="3684" w:name="_9kR3WTrAG867DhQx1n7JHNqI0xG9w96376C41DC"/>
      <w:bookmarkStart w:id="3685" w:name="_9kR3WTr299DECgQx1n7JHNqI0xG9w96376C41DC"/>
      <w:bookmarkStart w:id="3686" w:name="_Toc44585082"/>
      <w:r w:rsidRPr="0028223C">
        <w:t>full details of the Supplier Software, Third Party Software, Third Party IPRs, or Supplier Background IPRs.</w:t>
      </w:r>
    </w:p>
    <w:p w14:paraId="727C3DFC" w14:textId="77777777" w:rsidR="00F67E9E" w:rsidRDefault="00F67E9E" w:rsidP="00F67E9E">
      <w:pPr>
        <w:pStyle w:val="Numbered11"/>
        <w:numPr>
          <w:ilvl w:val="1"/>
          <w:numId w:val="273"/>
        </w:numPr>
      </w:pPr>
      <w:r>
        <w:t>For the avoidance of doubt:</w:t>
      </w:r>
    </w:p>
    <w:p w14:paraId="2362E376" w14:textId="6774C0B5" w:rsidR="00F67E9E" w:rsidRDefault="00F67E9E" w:rsidP="00F67E9E">
      <w:pPr>
        <w:pStyle w:val="Numbered111"/>
        <w:numPr>
          <w:ilvl w:val="2"/>
          <w:numId w:val="273"/>
        </w:numPr>
      </w:pPr>
      <w:r>
        <w:t>except as provided for in Paragraph </w:t>
      </w:r>
      <w:r>
        <w:fldChar w:fldCharType="begin"/>
      </w:r>
      <w:r>
        <w:instrText xml:space="preserve"> REF _Ref139986097 \w \h </w:instrText>
      </w:r>
      <w:r>
        <w:fldChar w:fldCharType="separate"/>
      </w:r>
      <w:r w:rsidR="00302D39">
        <w:t>2.2.3(c)(ii)</w:t>
      </w:r>
      <w:r>
        <w:fldChar w:fldCharType="end"/>
      </w:r>
      <w:r>
        <w:t>, the expiry or termination of this Contract does not of itself terminate the licences granted to the Authority under Paragraph </w:t>
      </w:r>
      <w:r>
        <w:fldChar w:fldCharType="begin"/>
      </w:r>
      <w:r>
        <w:instrText xml:space="preserve"> REF _Ref140766633 \w \h </w:instrText>
      </w:r>
      <w:r>
        <w:fldChar w:fldCharType="separate"/>
      </w:r>
      <w:r w:rsidR="00302D39">
        <w:t>2</w:t>
      </w:r>
      <w:r>
        <w:fldChar w:fldCharType="end"/>
      </w:r>
      <w:r>
        <w:t>;</w:t>
      </w:r>
    </w:p>
    <w:p w14:paraId="23BCE389" w14:textId="77777777" w:rsidR="00F67E9E" w:rsidRDefault="00F67E9E" w:rsidP="00F67E9E">
      <w:pPr>
        <w:pStyle w:val="Numbered111"/>
        <w:numPr>
          <w:ilvl w:val="2"/>
          <w:numId w:val="273"/>
        </w:numPr>
      </w:pPr>
      <w:r>
        <w:t>the award of this Contract or the ordering of any Deliverables does not constitute an authorisation by the Crown under:</w:t>
      </w:r>
    </w:p>
    <w:p w14:paraId="2071C50E" w14:textId="77777777" w:rsidR="00F67E9E" w:rsidRDefault="00F67E9E" w:rsidP="00F67E9E">
      <w:pPr>
        <w:pStyle w:val="Numbered111a"/>
        <w:numPr>
          <w:ilvl w:val="3"/>
          <w:numId w:val="273"/>
        </w:numPr>
      </w:pPr>
      <w:r>
        <w:t>Sections 55 and 56 of the Patents Act 1977;</w:t>
      </w:r>
    </w:p>
    <w:p w14:paraId="47A16C19" w14:textId="77777777" w:rsidR="00F67E9E" w:rsidRDefault="00F67E9E" w:rsidP="00F67E9E">
      <w:pPr>
        <w:pStyle w:val="Numbered111a"/>
        <w:numPr>
          <w:ilvl w:val="3"/>
          <w:numId w:val="273"/>
        </w:numPr>
      </w:pPr>
      <w:r>
        <w:t>section 12 of the Registered Designs Act 1949; or</w:t>
      </w:r>
    </w:p>
    <w:p w14:paraId="16BCD5E6" w14:textId="77777777" w:rsidR="00F67E9E" w:rsidRDefault="00F67E9E" w:rsidP="00F67E9E">
      <w:pPr>
        <w:pStyle w:val="Numbered111a"/>
        <w:numPr>
          <w:ilvl w:val="3"/>
          <w:numId w:val="273"/>
        </w:numPr>
      </w:pPr>
      <w:r>
        <w:t>sections 240 to 243 of the Copyright, Designs and Patents Act 1988.</w:t>
      </w:r>
    </w:p>
    <w:p w14:paraId="656691B9" w14:textId="2E5D3F4B" w:rsidR="00F67E9E" w:rsidRPr="00266335" w:rsidRDefault="00F67E9E" w:rsidP="00F67E9E">
      <w:pPr>
        <w:pStyle w:val="StdBodyText4"/>
        <w:ind w:left="0"/>
        <w:rPr>
          <w:b/>
          <w:i/>
        </w:rPr>
      </w:pPr>
      <w:r w:rsidRPr="00266335">
        <w:rPr>
          <w:b/>
          <w:i/>
        </w:rPr>
        <w:t>[</w:t>
      </w:r>
      <w:r w:rsidRPr="00266335">
        <w:rPr>
          <w:b/>
          <w:i/>
          <w:highlight w:val="yellow"/>
        </w:rPr>
        <w:t xml:space="preserve">Guidance note: for </w:t>
      </w:r>
      <w:r w:rsidRPr="00266335">
        <w:rPr>
          <w:b/>
          <w:i/>
          <w:highlight w:val="yellow"/>
          <w:u w:val="single"/>
        </w:rPr>
        <w:t xml:space="preserve">Option </w:t>
      </w:r>
      <w:r w:rsidRPr="00266335">
        <w:rPr>
          <w:b/>
          <w:i/>
          <w:highlight w:val="yellow"/>
          <w:u w:val="single"/>
        </w:rPr>
        <w:fldChar w:fldCharType="begin"/>
      </w:r>
      <w:r w:rsidRPr="00266335">
        <w:rPr>
          <w:b/>
          <w:i/>
          <w:highlight w:val="yellow"/>
          <w:u w:val="single"/>
        </w:rPr>
        <w:instrText xml:space="preserve"> REF OPTION1_SCHEDULE32 \h  \* MERGEFORMAT </w:instrText>
      </w:r>
      <w:r w:rsidRPr="00266335">
        <w:rPr>
          <w:b/>
          <w:i/>
          <w:highlight w:val="yellow"/>
          <w:u w:val="single"/>
        </w:rPr>
      </w:r>
      <w:r w:rsidRPr="00266335">
        <w:rPr>
          <w:b/>
          <w:i/>
          <w:highlight w:val="yellow"/>
          <w:u w:val="single"/>
        </w:rPr>
        <w:fldChar w:fldCharType="separate"/>
      </w:r>
      <w:r w:rsidR="00302D39" w:rsidRPr="00302D39">
        <w:rPr>
          <w:b/>
          <w:i/>
          <w:u w:val="single"/>
        </w:rPr>
        <w:t>1</w:t>
      </w:r>
      <w:r w:rsidRPr="00266335">
        <w:rPr>
          <w:b/>
          <w:i/>
          <w:highlight w:val="yellow"/>
          <w:u w:val="single"/>
        </w:rPr>
        <w:fldChar w:fldCharType="end"/>
      </w:r>
      <w:r w:rsidRPr="00266335">
        <w:rPr>
          <w:b/>
          <w:i/>
          <w:highlight w:val="yellow"/>
        </w:rPr>
        <w:t>: Authority owns all Project Specific IPR and Specially Written Software, with limited Supplier rights to all Project Specific IPR and Specially Written Software in order to deliver the Contract, please include the following drafting.]</w:t>
      </w:r>
    </w:p>
    <w:p w14:paraId="2AF156C0" w14:textId="77777777" w:rsidR="00F67E9E" w:rsidRPr="009E452F" w:rsidRDefault="00F67E9E" w:rsidP="00F67E9E">
      <w:pPr>
        <w:pStyle w:val="Heading2"/>
      </w:pPr>
      <w:bookmarkStart w:id="3687" w:name="_Toc118293562"/>
      <w:bookmarkStart w:id="3688" w:name="_Toc141712008"/>
      <w:r>
        <w:t xml:space="preserve">Option </w:t>
      </w:r>
      <w:bookmarkStart w:id="3689" w:name="OPTION1_SCHEDULE32"/>
      <w:r>
        <w:t>1</w:t>
      </w:r>
      <w:bookmarkEnd w:id="3687"/>
      <w:bookmarkEnd w:id="3688"/>
      <w:bookmarkEnd w:id="3689"/>
    </w:p>
    <w:bookmarkEnd w:id="3682"/>
    <w:bookmarkEnd w:id="3683"/>
    <w:bookmarkEnd w:id="3684"/>
    <w:bookmarkEnd w:id="3685"/>
    <w:bookmarkEnd w:id="3686"/>
    <w:p w14:paraId="0799D6D9" w14:textId="77777777" w:rsidR="00F67E9E" w:rsidRPr="00016234" w:rsidRDefault="00F67E9E" w:rsidP="00F67E9E">
      <w:pPr>
        <w:pStyle w:val="Numbered1"/>
        <w:numPr>
          <w:ilvl w:val="0"/>
          <w:numId w:val="275"/>
        </w:numPr>
      </w:pPr>
      <w:r w:rsidRPr="0028223C">
        <w:t>Ownership and delivery of IPR created under the Contract</w:t>
      </w:r>
    </w:p>
    <w:p w14:paraId="33D4072B" w14:textId="45CBB179" w:rsidR="00F67E9E" w:rsidRPr="00016234" w:rsidRDefault="00F67E9E" w:rsidP="00F67E9E">
      <w:pPr>
        <w:pStyle w:val="Numbered11"/>
        <w:numPr>
          <w:ilvl w:val="1"/>
          <w:numId w:val="273"/>
        </w:numPr>
      </w:pPr>
      <w:r w:rsidRPr="0028223C">
        <w:t>Subject to Paragraph</w:t>
      </w:r>
      <w:r>
        <w:t> </w:t>
      </w:r>
      <w:r>
        <w:fldChar w:fldCharType="begin"/>
      </w:r>
      <w:r>
        <w:instrText xml:space="preserve"> REF _Ref141105848 \w \h </w:instrText>
      </w:r>
      <w:r>
        <w:fldChar w:fldCharType="separate"/>
      </w:r>
      <w:r w:rsidR="00302D39">
        <w:t>1.1.1</w:t>
      </w:r>
      <w:r>
        <w:fldChar w:fldCharType="end"/>
      </w:r>
      <w:r w:rsidRPr="0028223C">
        <w:t>, the Supplier agrees to:</w:t>
      </w:r>
    </w:p>
    <w:p w14:paraId="6823C945" w14:textId="77777777" w:rsidR="00F67E9E" w:rsidRDefault="00F67E9E" w:rsidP="00F67E9E">
      <w:pPr>
        <w:pStyle w:val="Numbered111"/>
        <w:numPr>
          <w:ilvl w:val="2"/>
          <w:numId w:val="273"/>
        </w:numPr>
      </w:pPr>
      <w:bookmarkStart w:id="3690" w:name="_Ref141343497"/>
      <w:r>
        <w:t>transfer to the Authority, or procure the transfer to the Authority of all Intellectual Property Rights in the Specially Written Software and Project Specific IPRs, including:</w:t>
      </w:r>
      <w:bookmarkEnd w:id="3690"/>
    </w:p>
    <w:p w14:paraId="3FED554D" w14:textId="77777777" w:rsidR="00F67E9E" w:rsidRDefault="00F67E9E" w:rsidP="00F67E9E">
      <w:pPr>
        <w:pStyle w:val="Numbered111a"/>
        <w:numPr>
          <w:ilvl w:val="3"/>
          <w:numId w:val="273"/>
        </w:numPr>
      </w:pPr>
      <w:r>
        <w:t>the Documentation, Source Code and the Object Code of the Specially Written Software; and</w:t>
      </w:r>
    </w:p>
    <w:p w14:paraId="0EEE40C5" w14:textId="77777777" w:rsidR="00F67E9E" w:rsidRDefault="00F67E9E" w:rsidP="00F67E9E">
      <w:pPr>
        <w:pStyle w:val="Numbered111a"/>
        <w:numPr>
          <w:ilvl w:val="3"/>
          <w:numId w:val="273"/>
        </w:numPr>
      </w:pPr>
      <w:r>
        <w:t>all build instructions, test instructions, test scripts, test data, operating instructions and other documents and tools necessary for maintaining and supporting the Specially Written Software,</w:t>
      </w:r>
    </w:p>
    <w:p w14:paraId="65377837" w14:textId="77777777" w:rsidR="00F67E9E" w:rsidRDefault="00F67E9E" w:rsidP="00F67E9E">
      <w:pPr>
        <w:pStyle w:val="StdBodyText3"/>
      </w:pPr>
      <w:r>
        <w:t xml:space="preserve">(together the </w:t>
      </w:r>
      <w:r w:rsidRPr="00F90E7F">
        <w:rPr>
          <w:b/>
          <w:bCs/>
        </w:rPr>
        <w:t>"</w:t>
      </w:r>
      <w:r w:rsidRPr="00D71E55">
        <w:rPr>
          <w:b/>
          <w:bCs/>
        </w:rPr>
        <w:t>Software Supporting Materials</w:t>
      </w:r>
      <w:r w:rsidRPr="00F90E7F">
        <w:rPr>
          <w:b/>
          <w:bCs/>
        </w:rPr>
        <w:t>"</w:t>
      </w:r>
      <w:r>
        <w:t>); and</w:t>
      </w:r>
    </w:p>
    <w:p w14:paraId="1C0BCE18" w14:textId="77777777" w:rsidR="00F67E9E" w:rsidRDefault="00F67E9E" w:rsidP="00F67E9E">
      <w:pPr>
        <w:pStyle w:val="Numbered111"/>
        <w:numPr>
          <w:ilvl w:val="2"/>
          <w:numId w:val="273"/>
        </w:numPr>
      </w:pPr>
      <w:r w:rsidRPr="00016234">
        <w:t xml:space="preserve">execute all such assignments required to </w:t>
      </w:r>
      <w:r>
        <w:t xml:space="preserve">transfer properly any </w:t>
      </w:r>
      <w:r w:rsidRPr="00016234">
        <w:t>rights in the Specially Written Software and Project Specific IPRs to the Authority</w:t>
      </w:r>
      <w:r>
        <w:t>.</w:t>
      </w:r>
    </w:p>
    <w:p w14:paraId="0BEE28B7" w14:textId="77777777" w:rsidR="00F67E9E" w:rsidRDefault="00F67E9E" w:rsidP="00F67E9E">
      <w:pPr>
        <w:pStyle w:val="Numbered11"/>
        <w:keepNext/>
        <w:numPr>
          <w:ilvl w:val="1"/>
          <w:numId w:val="273"/>
        </w:numPr>
      </w:pPr>
      <w:bookmarkStart w:id="3691" w:name="_Ref131407379"/>
      <w:r>
        <w:t>The Supplier must deliver to the Authority:</w:t>
      </w:r>
      <w:bookmarkEnd w:id="3691"/>
    </w:p>
    <w:p w14:paraId="4A9CBE96" w14:textId="77777777" w:rsidR="00F67E9E" w:rsidRDefault="00F67E9E" w:rsidP="00F67E9E">
      <w:pPr>
        <w:pStyle w:val="Numbered111"/>
        <w:numPr>
          <w:ilvl w:val="2"/>
          <w:numId w:val="273"/>
        </w:numPr>
      </w:pPr>
      <w:r w:rsidRPr="008C3BB0">
        <w:t>the Specially Written Software</w:t>
      </w:r>
      <w:r>
        <w:t xml:space="preserve">; </w:t>
      </w:r>
    </w:p>
    <w:p w14:paraId="7A484C9E" w14:textId="77777777" w:rsidR="00F67E9E" w:rsidRDefault="00F67E9E" w:rsidP="00F67E9E">
      <w:pPr>
        <w:pStyle w:val="Numbered111"/>
        <w:numPr>
          <w:ilvl w:val="2"/>
          <w:numId w:val="273"/>
        </w:numPr>
      </w:pPr>
      <w:r w:rsidRPr="008C3BB0">
        <w:t xml:space="preserve">any </w:t>
      </w:r>
      <w:r>
        <w:t>software</w:t>
      </w:r>
      <w:r w:rsidRPr="008C3BB0">
        <w:t xml:space="preserve"> elements of the </w:t>
      </w:r>
      <w:r>
        <w:t>Project Specific IPR;</w:t>
      </w:r>
    </w:p>
    <w:p w14:paraId="42B03838" w14:textId="77777777" w:rsidR="00F67E9E" w:rsidRDefault="00F67E9E" w:rsidP="00F67E9E">
      <w:pPr>
        <w:pStyle w:val="Numbered111"/>
        <w:numPr>
          <w:ilvl w:val="2"/>
          <w:numId w:val="273"/>
        </w:numPr>
      </w:pPr>
      <w:r w:rsidRPr="008C3BB0">
        <w:t>relevant Documentation</w:t>
      </w:r>
      <w:r>
        <w:t>; and</w:t>
      </w:r>
    </w:p>
    <w:p w14:paraId="7D6988B1" w14:textId="77777777" w:rsidR="00F67E9E" w:rsidRDefault="00F67E9E" w:rsidP="00F67E9E">
      <w:pPr>
        <w:pStyle w:val="Numbered111"/>
        <w:numPr>
          <w:ilvl w:val="2"/>
          <w:numId w:val="273"/>
        </w:numPr>
      </w:pPr>
      <w:r w:rsidRPr="008C3BB0">
        <w:t>all related Software Supporting Materials</w:t>
      </w:r>
      <w:r>
        <w:t>,</w:t>
      </w:r>
    </w:p>
    <w:p w14:paraId="54ADF206" w14:textId="77777777" w:rsidR="00F67E9E" w:rsidRDefault="00F67E9E" w:rsidP="00F67E9E">
      <w:pPr>
        <w:pStyle w:val="StdBodyText1"/>
      </w:pPr>
      <w:r w:rsidRPr="008C3BB0">
        <w:t>within</w:t>
      </w:r>
      <w:r>
        <w:t xml:space="preserve"> 5 Working D</w:t>
      </w:r>
      <w:r w:rsidRPr="008C3BB0">
        <w:t>ays of</w:t>
      </w:r>
      <w:r>
        <w:t>:</w:t>
      </w:r>
    </w:p>
    <w:p w14:paraId="302AB69C" w14:textId="77777777" w:rsidR="00F67E9E" w:rsidRDefault="00F67E9E" w:rsidP="00F67E9E">
      <w:pPr>
        <w:pStyle w:val="Numbered111"/>
        <w:numPr>
          <w:ilvl w:val="2"/>
          <w:numId w:val="273"/>
        </w:numPr>
      </w:pPr>
      <w:r>
        <w:t>either:</w:t>
      </w:r>
    </w:p>
    <w:p w14:paraId="71AC3DC2" w14:textId="77777777" w:rsidR="00F67E9E" w:rsidRDefault="00F67E9E" w:rsidP="00F67E9E">
      <w:pPr>
        <w:pStyle w:val="Numbered111a"/>
        <w:numPr>
          <w:ilvl w:val="3"/>
          <w:numId w:val="273"/>
        </w:numPr>
      </w:pPr>
      <w:r>
        <w:t>initial release or deployment;</w:t>
      </w:r>
      <w:r w:rsidRPr="008C3BB0">
        <w:t xml:space="preserve"> or</w:t>
      </w:r>
    </w:p>
    <w:p w14:paraId="77CA396E" w14:textId="77777777" w:rsidR="00F67E9E" w:rsidRDefault="00F67E9E" w:rsidP="00F67E9E">
      <w:pPr>
        <w:pStyle w:val="Numbered111a"/>
        <w:numPr>
          <w:ilvl w:val="3"/>
          <w:numId w:val="273"/>
        </w:numPr>
      </w:pPr>
      <w:r w:rsidRPr="008C3BB0">
        <w:t>if a relevant Milestone has been identified in an Implementation Plan, Achievement of that Milestone</w:t>
      </w:r>
      <w:r>
        <w:t>; and</w:t>
      </w:r>
    </w:p>
    <w:p w14:paraId="240A17D7" w14:textId="77777777" w:rsidR="00F67E9E" w:rsidRDefault="00F67E9E" w:rsidP="00F67E9E">
      <w:pPr>
        <w:pStyle w:val="Numbered111"/>
        <w:numPr>
          <w:ilvl w:val="2"/>
          <w:numId w:val="273"/>
        </w:numPr>
      </w:pPr>
      <w:r>
        <w:t>each subsequent release or deployment of the Specially Written Software and any software elements of the Project Specific IPR.</w:t>
      </w:r>
    </w:p>
    <w:p w14:paraId="324155B8" w14:textId="4F1DEB31" w:rsidR="00F67E9E" w:rsidRDefault="00F67E9E" w:rsidP="00F67E9E">
      <w:pPr>
        <w:pStyle w:val="Numbered11"/>
        <w:numPr>
          <w:ilvl w:val="1"/>
          <w:numId w:val="273"/>
        </w:numPr>
      </w:pPr>
      <w:r>
        <w:t>Where the Supplier delivers materials to the Authority under Paragraph </w:t>
      </w:r>
      <w:r>
        <w:fldChar w:fldCharType="begin"/>
      </w:r>
      <w:r>
        <w:instrText xml:space="preserve"> REF _Ref131407379 \n \h  \* MERGEFORMAT </w:instrText>
      </w:r>
      <w:r>
        <w:fldChar w:fldCharType="separate"/>
      </w:r>
      <w:r w:rsidR="00302D39">
        <w:t>1.2</w:t>
      </w:r>
      <w:r>
        <w:fldChar w:fldCharType="end"/>
      </w:r>
      <w:r>
        <w:t>, it must do so in a format specified by the Authority. Where the Authority specifies the material is to be delivered on media, the Authority becomes the owner of the media containing the material on delivery.</w:t>
      </w:r>
    </w:p>
    <w:p w14:paraId="0F8239AE" w14:textId="77777777" w:rsidR="00F67E9E" w:rsidRDefault="00F67E9E" w:rsidP="00F67E9E">
      <w:pPr>
        <w:pStyle w:val="Numbered1"/>
        <w:numPr>
          <w:ilvl w:val="0"/>
          <w:numId w:val="273"/>
        </w:numPr>
      </w:pPr>
      <w:bookmarkStart w:id="3692" w:name="_Toc136451125"/>
      <w:bookmarkStart w:id="3693" w:name="_Ref135302633"/>
      <w:bookmarkStart w:id="3694" w:name="_Ref140766633"/>
      <w:r>
        <w:t xml:space="preserve">Use of Supplier or Third Party </w:t>
      </w:r>
      <w:bookmarkEnd w:id="3692"/>
      <w:bookmarkEnd w:id="3693"/>
      <w:r>
        <w:t>Non-COTS Software or Non-COTS Background IPR</w:t>
      </w:r>
      <w:bookmarkEnd w:id="3694"/>
    </w:p>
    <w:p w14:paraId="11EB86C7" w14:textId="77777777" w:rsidR="00F67E9E" w:rsidRDefault="00F67E9E" w:rsidP="00F67E9E">
      <w:pPr>
        <w:pStyle w:val="Numbered11"/>
        <w:keepNext/>
        <w:numPr>
          <w:ilvl w:val="1"/>
          <w:numId w:val="273"/>
        </w:numPr>
      </w:pPr>
      <w:r w:rsidRPr="00A550B3">
        <w:t xml:space="preserve">The Supplier </w:t>
      </w:r>
      <w:r>
        <w:t xml:space="preserve">must </w:t>
      </w:r>
      <w:r w:rsidRPr="00A550B3">
        <w:t>not use any</w:t>
      </w:r>
      <w:r>
        <w:t>:</w:t>
      </w:r>
    </w:p>
    <w:p w14:paraId="139E4D79" w14:textId="77777777" w:rsidR="00F67E9E" w:rsidRDefault="00F67E9E" w:rsidP="00F67E9E">
      <w:pPr>
        <w:pStyle w:val="Numbered111"/>
        <w:numPr>
          <w:ilvl w:val="2"/>
          <w:numId w:val="273"/>
        </w:numPr>
      </w:pPr>
      <w:r w:rsidRPr="00A550B3">
        <w:t>Supplier Non-COTS Software</w:t>
      </w:r>
      <w:r>
        <w:t>; or</w:t>
      </w:r>
    </w:p>
    <w:p w14:paraId="3B0ED1E1" w14:textId="77777777" w:rsidR="00F67E9E" w:rsidRDefault="00F67E9E" w:rsidP="00F67E9E">
      <w:pPr>
        <w:pStyle w:val="Numbered111"/>
        <w:numPr>
          <w:ilvl w:val="2"/>
          <w:numId w:val="273"/>
        </w:numPr>
      </w:pPr>
      <w:r w:rsidRPr="00A550B3">
        <w:t>Supplier Non-COTS Background IPR</w:t>
      </w:r>
      <w:r>
        <w:t>;</w:t>
      </w:r>
    </w:p>
    <w:p w14:paraId="4296840C" w14:textId="77777777" w:rsidR="00F67E9E" w:rsidRDefault="00F67E9E" w:rsidP="00F67E9E">
      <w:pPr>
        <w:pStyle w:val="StdBodyText2"/>
      </w:pPr>
      <w:r w:rsidRPr="00A550B3">
        <w:t>in the provision of the Services</w:t>
      </w:r>
      <w:r>
        <w:t xml:space="preserve"> or in any Deliverable </w:t>
      </w:r>
      <w:r w:rsidRPr="00016234">
        <w:t>(including in any Specially Written Software or in the software element of Project Specific IPRs)</w:t>
      </w:r>
      <w:r w:rsidRPr="00A550B3">
        <w:t xml:space="preserve"> unless</w:t>
      </w:r>
      <w:r>
        <w:t>:</w:t>
      </w:r>
    </w:p>
    <w:p w14:paraId="23549C00" w14:textId="77777777" w:rsidR="00F67E9E" w:rsidRDefault="00F67E9E" w:rsidP="00F67E9E">
      <w:pPr>
        <w:pStyle w:val="Numbered111"/>
        <w:numPr>
          <w:ilvl w:val="2"/>
          <w:numId w:val="273"/>
        </w:numPr>
      </w:pPr>
      <w:r>
        <w:t>in the case of Supplier Non-COTS Software and the software elements of Supplier</w:t>
      </w:r>
      <w:r w:rsidRPr="00A550B3">
        <w:t xml:space="preserve"> Non-COTS Background IPR</w:t>
      </w:r>
      <w:r>
        <w:t>, it is:</w:t>
      </w:r>
    </w:p>
    <w:p w14:paraId="7FF16517" w14:textId="4D111F75" w:rsidR="00F67E9E" w:rsidRDefault="00F67E9E" w:rsidP="00F67E9E">
      <w:pPr>
        <w:pStyle w:val="Numbered111a"/>
        <w:numPr>
          <w:ilvl w:val="3"/>
          <w:numId w:val="273"/>
        </w:numPr>
      </w:pPr>
      <w:r w:rsidRPr="00A550B3">
        <w:t xml:space="preserve">detailed in </w:t>
      </w:r>
      <w:r>
        <w:fldChar w:fldCharType="begin"/>
      </w:r>
      <w:r>
        <w:instrText xml:space="preserve"> REF Schedule12 \h </w:instrText>
      </w:r>
      <w:r>
        <w:fldChar w:fldCharType="separate"/>
      </w:r>
      <w:r w:rsidR="00302D39" w:rsidRPr="005D0525">
        <w:t>Schedule</w:t>
      </w:r>
      <w:r w:rsidR="00302D39">
        <w:t> </w:t>
      </w:r>
      <w:r w:rsidR="00302D39" w:rsidRPr="005D0525">
        <w:t>12</w:t>
      </w:r>
      <w:r>
        <w:fldChar w:fldCharType="end"/>
      </w:r>
      <w:r w:rsidRPr="00A550B3">
        <w:t xml:space="preserve"> (</w:t>
      </w:r>
      <w:r w:rsidRPr="00212E6C">
        <w:rPr>
          <w:i/>
          <w:iCs/>
        </w:rPr>
        <w:fldChar w:fldCharType="begin"/>
      </w:r>
      <w:r w:rsidRPr="00212E6C">
        <w:rPr>
          <w:i/>
          <w:iCs/>
        </w:rPr>
        <w:instrText xml:space="preserve"> REF Schedule12Heading \h  \* MERGEFORMAT </w:instrText>
      </w:r>
      <w:r w:rsidRPr="00212E6C">
        <w:rPr>
          <w:i/>
          <w:iCs/>
        </w:rPr>
      </w:r>
      <w:r w:rsidRPr="00212E6C">
        <w:rPr>
          <w:i/>
          <w:iCs/>
        </w:rPr>
        <w:fldChar w:fldCharType="separate"/>
      </w:r>
      <w:r w:rsidR="00302D39" w:rsidRPr="00302D39">
        <w:rPr>
          <w:i/>
          <w:iCs/>
        </w:rPr>
        <w:t>Software</w:t>
      </w:r>
      <w:r w:rsidRPr="00212E6C">
        <w:rPr>
          <w:i/>
          <w:iCs/>
        </w:rPr>
        <w:fldChar w:fldCharType="end"/>
      </w:r>
      <w:r w:rsidRPr="00A550B3">
        <w:t>)</w:t>
      </w:r>
      <w:r>
        <w:t>;</w:t>
      </w:r>
      <w:r w:rsidRPr="00A550B3">
        <w:t xml:space="preserve"> or</w:t>
      </w:r>
    </w:p>
    <w:p w14:paraId="6AC0334A" w14:textId="77777777" w:rsidR="00F67E9E" w:rsidRDefault="00F67E9E" w:rsidP="00F67E9E">
      <w:pPr>
        <w:pStyle w:val="Numbered111a"/>
        <w:numPr>
          <w:ilvl w:val="3"/>
          <w:numId w:val="273"/>
        </w:numPr>
      </w:pPr>
      <w:r>
        <w:t>both:</w:t>
      </w:r>
    </w:p>
    <w:p w14:paraId="6A7C9B89" w14:textId="77777777" w:rsidR="00F67E9E" w:rsidRDefault="00F67E9E" w:rsidP="00F67E9E">
      <w:pPr>
        <w:pStyle w:val="Numbered111ai"/>
        <w:numPr>
          <w:ilvl w:val="4"/>
          <w:numId w:val="273"/>
        </w:numPr>
      </w:pPr>
      <w:r>
        <w:t xml:space="preserve">submitted </w:t>
      </w:r>
      <w:r w:rsidRPr="00A550B3">
        <w:t>to the Technical Board for review</w:t>
      </w:r>
      <w:r>
        <w:t>; and</w:t>
      </w:r>
    </w:p>
    <w:p w14:paraId="4967C810" w14:textId="77777777" w:rsidR="00F67E9E" w:rsidRDefault="00F67E9E" w:rsidP="00F67E9E">
      <w:pPr>
        <w:pStyle w:val="Numbered111ai"/>
        <w:numPr>
          <w:ilvl w:val="4"/>
          <w:numId w:val="273"/>
        </w:numPr>
      </w:pPr>
      <w:r>
        <w:t xml:space="preserve">approved </w:t>
      </w:r>
      <w:r w:rsidRPr="00A550B3">
        <w:t>by the Authority</w:t>
      </w:r>
      <w:r>
        <w:t>; and</w:t>
      </w:r>
    </w:p>
    <w:p w14:paraId="2D72D9DE" w14:textId="77777777" w:rsidR="00F67E9E" w:rsidRDefault="00F67E9E" w:rsidP="00F67E9E">
      <w:pPr>
        <w:pStyle w:val="Numbered111"/>
        <w:numPr>
          <w:ilvl w:val="2"/>
          <w:numId w:val="273"/>
        </w:numPr>
      </w:pPr>
      <w:r>
        <w:t>in the case of non-software elements of Supplier</w:t>
      </w:r>
      <w:r w:rsidRPr="00A550B3">
        <w:t xml:space="preserve"> Non-COTS Background IPR</w:t>
      </w:r>
      <w:r>
        <w:t xml:space="preserve">, it is approved by the Authority in writing. </w:t>
      </w:r>
    </w:p>
    <w:p w14:paraId="2A1CDB23" w14:textId="77777777" w:rsidR="00F67E9E" w:rsidRDefault="00F67E9E" w:rsidP="00F67E9E">
      <w:pPr>
        <w:pStyle w:val="Numbered11"/>
        <w:keepNext/>
        <w:numPr>
          <w:ilvl w:val="1"/>
          <w:numId w:val="273"/>
        </w:numPr>
      </w:pPr>
      <w:r w:rsidRPr="00A550B3">
        <w:t xml:space="preserve">The Supplier </w:t>
      </w:r>
      <w:r>
        <w:t xml:space="preserve">must </w:t>
      </w:r>
      <w:r w:rsidRPr="00A550B3">
        <w:t>not use any</w:t>
      </w:r>
      <w:r>
        <w:t>:</w:t>
      </w:r>
    </w:p>
    <w:p w14:paraId="300F9E1D" w14:textId="77777777" w:rsidR="00F67E9E" w:rsidRDefault="00F67E9E" w:rsidP="00F67E9E">
      <w:pPr>
        <w:pStyle w:val="Numbered111"/>
        <w:numPr>
          <w:ilvl w:val="2"/>
          <w:numId w:val="273"/>
        </w:numPr>
      </w:pPr>
      <w:r>
        <w:t>Third Party Non-COTS Software; or</w:t>
      </w:r>
    </w:p>
    <w:p w14:paraId="6231948D" w14:textId="77777777" w:rsidR="00F67E9E" w:rsidRDefault="00F67E9E" w:rsidP="00F67E9E">
      <w:pPr>
        <w:pStyle w:val="Numbered111"/>
        <w:numPr>
          <w:ilvl w:val="2"/>
          <w:numId w:val="273"/>
        </w:numPr>
      </w:pPr>
      <w:r>
        <w:t>Third Party</w:t>
      </w:r>
      <w:r w:rsidRPr="00A550B3">
        <w:t xml:space="preserve"> Non-COTS Background IPR</w:t>
      </w:r>
      <w:r>
        <w:t>,</w:t>
      </w:r>
    </w:p>
    <w:p w14:paraId="231CD325" w14:textId="77777777" w:rsidR="00F67E9E" w:rsidRDefault="00F67E9E" w:rsidP="00F67E9E">
      <w:pPr>
        <w:pStyle w:val="StdBodyText3"/>
      </w:pPr>
      <w:r w:rsidRPr="00A550B3">
        <w:t>in the provision of the Services</w:t>
      </w:r>
      <w:r>
        <w:t xml:space="preserve"> or in any Deliverable </w:t>
      </w:r>
      <w:r w:rsidRPr="00016234">
        <w:t>(including in any Specially Written Software or in the software element of Project Specific IPRs)</w:t>
      </w:r>
      <w:r w:rsidRPr="00A550B3">
        <w:t xml:space="preserve"> unless</w:t>
      </w:r>
      <w:r>
        <w:t xml:space="preserve">: </w:t>
      </w:r>
    </w:p>
    <w:p w14:paraId="23DCF7D4" w14:textId="77777777" w:rsidR="00F67E9E" w:rsidRDefault="00F67E9E" w:rsidP="00F67E9E">
      <w:pPr>
        <w:pStyle w:val="Numbered111"/>
        <w:numPr>
          <w:ilvl w:val="2"/>
          <w:numId w:val="273"/>
        </w:numPr>
      </w:pPr>
      <w:r>
        <w:t>in the case of Third Party Non-COTS Software and the software elements of Third Party</w:t>
      </w:r>
      <w:r w:rsidRPr="00A550B3">
        <w:t xml:space="preserve"> Non-COTS Background IPR</w:t>
      </w:r>
      <w:r>
        <w:t>, it is:</w:t>
      </w:r>
    </w:p>
    <w:p w14:paraId="6F1C3B22" w14:textId="42D862A4" w:rsidR="00F67E9E" w:rsidRDefault="00F67E9E" w:rsidP="00F67E9E">
      <w:pPr>
        <w:pStyle w:val="Numbered111a"/>
        <w:numPr>
          <w:ilvl w:val="3"/>
          <w:numId w:val="273"/>
        </w:numPr>
      </w:pPr>
      <w:r w:rsidRPr="00A550B3">
        <w:t xml:space="preserve">detailed in </w:t>
      </w:r>
      <w:r>
        <w:fldChar w:fldCharType="begin"/>
      </w:r>
      <w:r>
        <w:instrText xml:space="preserve"> REF Schedule12 \h </w:instrText>
      </w:r>
      <w:r>
        <w:fldChar w:fldCharType="separate"/>
      </w:r>
      <w:r w:rsidR="00302D39" w:rsidRPr="005D0525">
        <w:t>Schedule</w:t>
      </w:r>
      <w:r w:rsidR="00302D39">
        <w:t> </w:t>
      </w:r>
      <w:r w:rsidR="00302D39" w:rsidRPr="005D0525">
        <w:t>12</w:t>
      </w:r>
      <w:r>
        <w:fldChar w:fldCharType="end"/>
      </w:r>
      <w:r w:rsidRPr="00A550B3">
        <w:t xml:space="preserve"> (</w:t>
      </w:r>
      <w:r w:rsidRPr="00212E6C">
        <w:rPr>
          <w:i/>
          <w:iCs/>
        </w:rPr>
        <w:fldChar w:fldCharType="begin"/>
      </w:r>
      <w:r w:rsidRPr="00212E6C">
        <w:rPr>
          <w:i/>
          <w:iCs/>
        </w:rPr>
        <w:instrText xml:space="preserve"> REF Schedule12Heading \h  \* MERGEFORMAT </w:instrText>
      </w:r>
      <w:r w:rsidRPr="00212E6C">
        <w:rPr>
          <w:i/>
          <w:iCs/>
        </w:rPr>
      </w:r>
      <w:r w:rsidRPr="00212E6C">
        <w:rPr>
          <w:i/>
          <w:iCs/>
        </w:rPr>
        <w:fldChar w:fldCharType="separate"/>
      </w:r>
      <w:r w:rsidR="00302D39" w:rsidRPr="00302D39">
        <w:rPr>
          <w:i/>
          <w:iCs/>
        </w:rPr>
        <w:t>Software</w:t>
      </w:r>
      <w:r w:rsidRPr="00212E6C">
        <w:rPr>
          <w:i/>
          <w:iCs/>
        </w:rPr>
        <w:fldChar w:fldCharType="end"/>
      </w:r>
      <w:r w:rsidRPr="00A550B3">
        <w:t>)</w:t>
      </w:r>
      <w:r>
        <w:t>;</w:t>
      </w:r>
      <w:r w:rsidRPr="00A550B3">
        <w:t xml:space="preserve"> or</w:t>
      </w:r>
    </w:p>
    <w:p w14:paraId="29156D41" w14:textId="77777777" w:rsidR="00F67E9E" w:rsidRDefault="00F67E9E" w:rsidP="00F67E9E">
      <w:pPr>
        <w:pStyle w:val="Numbered111a"/>
        <w:numPr>
          <w:ilvl w:val="3"/>
          <w:numId w:val="273"/>
        </w:numPr>
      </w:pPr>
      <w:r>
        <w:t>both:</w:t>
      </w:r>
    </w:p>
    <w:p w14:paraId="360D31A7" w14:textId="77777777" w:rsidR="00F67E9E" w:rsidRDefault="00F67E9E" w:rsidP="00F67E9E">
      <w:pPr>
        <w:pStyle w:val="Numbered111ai"/>
        <w:numPr>
          <w:ilvl w:val="4"/>
          <w:numId w:val="273"/>
        </w:numPr>
      </w:pPr>
      <w:r>
        <w:t xml:space="preserve">submitted </w:t>
      </w:r>
      <w:r w:rsidRPr="00A550B3">
        <w:t>to the Technical Board for review</w:t>
      </w:r>
      <w:r>
        <w:t>; and</w:t>
      </w:r>
    </w:p>
    <w:p w14:paraId="3336A1BF" w14:textId="77777777" w:rsidR="00F67E9E" w:rsidRDefault="00F67E9E" w:rsidP="00F67E9E">
      <w:pPr>
        <w:pStyle w:val="Numbered111ai"/>
        <w:numPr>
          <w:ilvl w:val="4"/>
          <w:numId w:val="273"/>
        </w:numPr>
      </w:pPr>
      <w:r>
        <w:t xml:space="preserve">approved </w:t>
      </w:r>
      <w:r w:rsidRPr="00A550B3">
        <w:t>by the Authority</w:t>
      </w:r>
      <w:r>
        <w:t>; and</w:t>
      </w:r>
    </w:p>
    <w:p w14:paraId="51E7DA34" w14:textId="77777777" w:rsidR="00F67E9E" w:rsidRDefault="00F67E9E" w:rsidP="00F67E9E">
      <w:pPr>
        <w:pStyle w:val="Numbered111a"/>
        <w:numPr>
          <w:ilvl w:val="3"/>
          <w:numId w:val="273"/>
        </w:numPr>
      </w:pPr>
      <w:r>
        <w:t>one of the following conditions is met:</w:t>
      </w:r>
    </w:p>
    <w:p w14:paraId="46AAD11C" w14:textId="2424697F" w:rsidR="00F67E9E" w:rsidRDefault="00F67E9E" w:rsidP="00F67E9E">
      <w:pPr>
        <w:pStyle w:val="Numbered111ai"/>
        <w:numPr>
          <w:ilvl w:val="4"/>
          <w:numId w:val="273"/>
        </w:numPr>
      </w:pPr>
      <w:bookmarkStart w:id="3695" w:name="_Ref139985532"/>
      <w:r>
        <w:t>the owner or an authorised licensor of the relevant IPR has granted the Authority a direct licence on the terms equivalent to those set out in Paragraph </w:t>
      </w:r>
      <w:r>
        <w:fldChar w:fldCharType="begin"/>
      </w:r>
      <w:r>
        <w:instrText xml:space="preserve"> REF _Ref140096688 \w \h  \* MERGEFORMAT </w:instrText>
      </w:r>
      <w:r>
        <w:fldChar w:fldCharType="separate"/>
      </w:r>
      <w:r w:rsidR="00302D39">
        <w:t>5</w:t>
      </w:r>
      <w:r>
        <w:fldChar w:fldCharType="end"/>
      </w:r>
      <w:bookmarkEnd w:id="3695"/>
      <w:r>
        <w:t>; or</w:t>
      </w:r>
    </w:p>
    <w:p w14:paraId="2224FF4F" w14:textId="4554CF86" w:rsidR="00F67E9E" w:rsidRDefault="00F67E9E" w:rsidP="00F67E9E">
      <w:pPr>
        <w:pStyle w:val="Numbered111ai"/>
        <w:numPr>
          <w:ilvl w:val="4"/>
          <w:numId w:val="273"/>
        </w:numPr>
      </w:pPr>
      <w:bookmarkStart w:id="3696" w:name="_Ref139986097"/>
      <w:r>
        <w:t>if the Supplier cannot, after commercially reasonable endeavours, meet the condition in Paragraph </w:t>
      </w:r>
      <w:r>
        <w:fldChar w:fldCharType="begin"/>
      </w:r>
      <w:r>
        <w:instrText xml:space="preserve"> REF _Ref139985532 \w \h  \* MERGEFORMAT </w:instrText>
      </w:r>
      <w:r>
        <w:fldChar w:fldCharType="separate"/>
      </w:r>
      <w:r w:rsidR="00302D39">
        <w:t>2.2.3(c)(i)</w:t>
      </w:r>
      <w:r>
        <w:fldChar w:fldCharType="end"/>
      </w:r>
      <w:r>
        <w:t>, all the following conditions are met:</w:t>
      </w:r>
      <w:bookmarkEnd w:id="3696"/>
    </w:p>
    <w:p w14:paraId="00632EE7" w14:textId="77777777" w:rsidR="00F67E9E" w:rsidRDefault="00F67E9E" w:rsidP="00F67E9E">
      <w:pPr>
        <w:pStyle w:val="Numbered111aiA"/>
        <w:numPr>
          <w:ilvl w:val="5"/>
          <w:numId w:val="273"/>
        </w:numPr>
      </w:pPr>
      <w:r>
        <w:t>the Supplier has notified the Authority in writing giving details of:</w:t>
      </w:r>
    </w:p>
    <w:p w14:paraId="780B060B" w14:textId="77777777" w:rsidR="00F67E9E" w:rsidRDefault="00F67E9E" w:rsidP="00F67E9E">
      <w:pPr>
        <w:pStyle w:val="Numbered111aiA1"/>
        <w:numPr>
          <w:ilvl w:val="6"/>
          <w:numId w:val="273"/>
        </w:numPr>
      </w:pPr>
      <w:r>
        <w:t>what licence terms can be obtained from the relevant third party; and</w:t>
      </w:r>
    </w:p>
    <w:p w14:paraId="59F3C1B1" w14:textId="77777777" w:rsidR="00F67E9E" w:rsidRDefault="00F67E9E" w:rsidP="00F67E9E">
      <w:pPr>
        <w:pStyle w:val="Numbered111aiA"/>
        <w:numPr>
          <w:ilvl w:val="6"/>
          <w:numId w:val="273"/>
        </w:numPr>
      </w:pPr>
      <w:r>
        <w:t xml:space="preserve">whether there are providers which the Supplier could seek to use and the licence terms obtainable from those third parties; </w:t>
      </w:r>
    </w:p>
    <w:p w14:paraId="775A8887" w14:textId="77777777" w:rsidR="00F67E9E" w:rsidRDefault="00F67E9E" w:rsidP="00F67E9E">
      <w:pPr>
        <w:pStyle w:val="Numbered111aiA"/>
        <w:numPr>
          <w:ilvl w:val="5"/>
          <w:numId w:val="273"/>
        </w:numPr>
      </w:pPr>
      <w:r>
        <w:t>the Authority approves the licence terms of one of those third parties; and</w:t>
      </w:r>
    </w:p>
    <w:p w14:paraId="67348C17" w14:textId="77777777" w:rsidR="00F67E9E" w:rsidRDefault="00F67E9E" w:rsidP="00F67E9E">
      <w:pPr>
        <w:pStyle w:val="Numbered111aiA"/>
        <w:numPr>
          <w:ilvl w:val="5"/>
          <w:numId w:val="273"/>
        </w:numPr>
      </w:pPr>
      <w:r>
        <w:t>the owner and authorised licensor of the Third Party IPR has granted a direct licence of the Third Party IPR to the Authority on those terms; or</w:t>
      </w:r>
    </w:p>
    <w:p w14:paraId="65EF41AB" w14:textId="5A75EB2D" w:rsidR="00F67E9E" w:rsidRDefault="00F67E9E" w:rsidP="00F67E9E">
      <w:pPr>
        <w:pStyle w:val="Numbered111ai"/>
        <w:numPr>
          <w:ilvl w:val="4"/>
          <w:numId w:val="273"/>
        </w:numPr>
      </w:pPr>
      <w:r>
        <w:t>if the Supplier cannot meet the conditions in Paragraphs </w:t>
      </w:r>
      <w:r>
        <w:fldChar w:fldCharType="begin"/>
      </w:r>
      <w:r>
        <w:instrText xml:space="preserve"> REF _Ref139985532 \w \h  \* MERGEFORMAT </w:instrText>
      </w:r>
      <w:r>
        <w:fldChar w:fldCharType="separate"/>
      </w:r>
      <w:r w:rsidR="00302D39">
        <w:t>2.2.3(c)(i)</w:t>
      </w:r>
      <w:r>
        <w:fldChar w:fldCharType="end"/>
      </w:r>
      <w:r>
        <w:t xml:space="preserve"> and </w:t>
      </w:r>
      <w:r>
        <w:fldChar w:fldCharType="begin"/>
      </w:r>
      <w:r>
        <w:instrText xml:space="preserve"> REF _Ref139986097 \w \h  \* MERGEFORMAT </w:instrText>
      </w:r>
      <w:r>
        <w:fldChar w:fldCharType="separate"/>
      </w:r>
      <w:r w:rsidR="00302D39">
        <w:t>2.2.3(c)(ii)</w:t>
      </w:r>
      <w:r>
        <w:fldChar w:fldCharType="end"/>
      </w:r>
      <w:r>
        <w:t xml:space="preserve">, the Authority has provided written approval to </w:t>
      </w:r>
      <w:r w:rsidRPr="00CE3BEC">
        <w:t xml:space="preserve">use </w:t>
      </w:r>
      <w:r>
        <w:t xml:space="preserve">the relevant IPR </w:t>
      </w:r>
      <w:r w:rsidRPr="00CE3BEC">
        <w:t>without a licence, with reference to the acts authorised and the specific IPR involved</w:t>
      </w:r>
      <w:r>
        <w:t>; or</w:t>
      </w:r>
    </w:p>
    <w:p w14:paraId="26B72BDE" w14:textId="77777777" w:rsidR="00F67E9E" w:rsidRDefault="00F67E9E" w:rsidP="00F67E9E">
      <w:pPr>
        <w:pStyle w:val="Numbered111"/>
        <w:numPr>
          <w:ilvl w:val="2"/>
          <w:numId w:val="273"/>
        </w:numPr>
      </w:pPr>
      <w:r>
        <w:t xml:space="preserve">in the case of non-software elements of </w:t>
      </w:r>
      <w:bookmarkStart w:id="3697" w:name="_Hlk140822560"/>
      <w:r>
        <w:t xml:space="preserve">Third-Party </w:t>
      </w:r>
      <w:r w:rsidRPr="00A550B3">
        <w:t>Non-COTS Background IPR</w:t>
      </w:r>
      <w:bookmarkEnd w:id="3697"/>
      <w:r>
        <w:t xml:space="preserve">, it is approved by the Authority in writing. </w:t>
      </w:r>
    </w:p>
    <w:p w14:paraId="5C1AA8F5" w14:textId="77777777" w:rsidR="00F67E9E" w:rsidRDefault="00F67E9E" w:rsidP="00F67E9E">
      <w:pPr>
        <w:pStyle w:val="Numbered1"/>
        <w:numPr>
          <w:ilvl w:val="0"/>
          <w:numId w:val="273"/>
        </w:numPr>
      </w:pPr>
      <w:bookmarkStart w:id="3698" w:name="_Ref140766637"/>
      <w:r>
        <w:t>Use of Supplier or Third Party COTS Software or COTS Background IPR</w:t>
      </w:r>
      <w:bookmarkEnd w:id="3698"/>
    </w:p>
    <w:p w14:paraId="05D09985" w14:textId="77777777" w:rsidR="00F67E9E" w:rsidRDefault="00F67E9E" w:rsidP="00F67E9E">
      <w:pPr>
        <w:pStyle w:val="Numbered11"/>
        <w:keepNext/>
        <w:numPr>
          <w:ilvl w:val="1"/>
          <w:numId w:val="273"/>
        </w:numPr>
      </w:pPr>
      <w:r w:rsidRPr="00A550B3">
        <w:t xml:space="preserve">The Supplier </w:t>
      </w:r>
      <w:r>
        <w:t xml:space="preserve">must </w:t>
      </w:r>
      <w:r w:rsidRPr="00A550B3">
        <w:t>not use any</w:t>
      </w:r>
      <w:r>
        <w:t>:</w:t>
      </w:r>
    </w:p>
    <w:p w14:paraId="2E9E46FA" w14:textId="77777777" w:rsidR="00F67E9E" w:rsidRDefault="00F67E9E" w:rsidP="00F67E9E">
      <w:pPr>
        <w:pStyle w:val="Numbered111"/>
        <w:numPr>
          <w:ilvl w:val="2"/>
          <w:numId w:val="273"/>
        </w:numPr>
      </w:pPr>
      <w:r w:rsidRPr="00A550B3">
        <w:t>Supplier COTS Software</w:t>
      </w:r>
      <w:r>
        <w:t>;</w:t>
      </w:r>
    </w:p>
    <w:p w14:paraId="0915BF7D" w14:textId="77777777" w:rsidR="00F67E9E" w:rsidRDefault="00F67E9E" w:rsidP="00F67E9E">
      <w:pPr>
        <w:pStyle w:val="Numbered111"/>
        <w:numPr>
          <w:ilvl w:val="2"/>
          <w:numId w:val="273"/>
        </w:numPr>
      </w:pPr>
      <w:r w:rsidRPr="00A550B3">
        <w:t>Supplier COTS Background IPR</w:t>
      </w:r>
      <w:r>
        <w:t>;</w:t>
      </w:r>
    </w:p>
    <w:p w14:paraId="225FC9A5" w14:textId="77777777" w:rsidR="00F67E9E" w:rsidRDefault="00F67E9E" w:rsidP="00F67E9E">
      <w:pPr>
        <w:pStyle w:val="Numbered111"/>
        <w:numPr>
          <w:ilvl w:val="2"/>
          <w:numId w:val="273"/>
        </w:numPr>
      </w:pPr>
      <w:r>
        <w:t>Third Party COTS Software; or</w:t>
      </w:r>
    </w:p>
    <w:p w14:paraId="4FC7915D" w14:textId="77777777" w:rsidR="00F67E9E" w:rsidRDefault="00F67E9E" w:rsidP="00F67E9E">
      <w:pPr>
        <w:pStyle w:val="Numbered111"/>
        <w:numPr>
          <w:ilvl w:val="2"/>
          <w:numId w:val="273"/>
        </w:numPr>
      </w:pPr>
      <w:r>
        <w:t>Third Party</w:t>
      </w:r>
      <w:r w:rsidRPr="00A550B3">
        <w:t xml:space="preserve"> COTS Background IPR</w:t>
      </w:r>
      <w:r>
        <w:t>,</w:t>
      </w:r>
    </w:p>
    <w:p w14:paraId="36206F22" w14:textId="77777777" w:rsidR="00F67E9E" w:rsidRDefault="00F67E9E" w:rsidP="00F67E9E">
      <w:pPr>
        <w:pStyle w:val="StdBodyText2"/>
      </w:pPr>
      <w:r w:rsidRPr="00A550B3">
        <w:t>in the provision of the Services</w:t>
      </w:r>
      <w:r>
        <w:t xml:space="preserve"> </w:t>
      </w:r>
      <w:r w:rsidRPr="00016234">
        <w:t>(including in any Specially Written Software or in the software element of Project Specific IPRs)</w:t>
      </w:r>
      <w:r w:rsidRPr="00A550B3">
        <w:t xml:space="preserve"> unless</w:t>
      </w:r>
      <w:r>
        <w:t>:</w:t>
      </w:r>
    </w:p>
    <w:p w14:paraId="155436BB" w14:textId="77777777" w:rsidR="00F67E9E" w:rsidRDefault="00F67E9E" w:rsidP="00F67E9E">
      <w:pPr>
        <w:pStyle w:val="Numbered111"/>
        <w:keepNext/>
        <w:numPr>
          <w:ilvl w:val="2"/>
          <w:numId w:val="273"/>
        </w:numPr>
      </w:pPr>
      <w:r>
        <w:t xml:space="preserve">in the case of Supplier COTS Software, Third Party COTS Software and the software elements of Supplier </w:t>
      </w:r>
      <w:r w:rsidRPr="00A550B3">
        <w:t>COTS Background IPR</w:t>
      </w:r>
      <w:r>
        <w:t xml:space="preserve"> and Supplier </w:t>
      </w:r>
      <w:r w:rsidRPr="00A550B3">
        <w:t>COTS Background IPR</w:t>
      </w:r>
      <w:r>
        <w:t>, it is either:</w:t>
      </w:r>
    </w:p>
    <w:p w14:paraId="5AC4736E" w14:textId="5A233B63" w:rsidR="00F67E9E" w:rsidRDefault="00F67E9E" w:rsidP="00F67E9E">
      <w:pPr>
        <w:pStyle w:val="Numbered111a"/>
        <w:numPr>
          <w:ilvl w:val="3"/>
          <w:numId w:val="273"/>
        </w:numPr>
      </w:pPr>
      <w:r w:rsidRPr="00A550B3">
        <w:t xml:space="preserve">detailed in </w:t>
      </w:r>
      <w:r>
        <w:fldChar w:fldCharType="begin"/>
      </w:r>
      <w:r>
        <w:instrText xml:space="preserve"> REF Schedule12 \h </w:instrText>
      </w:r>
      <w:r>
        <w:fldChar w:fldCharType="separate"/>
      </w:r>
      <w:r w:rsidR="00302D39" w:rsidRPr="005D0525">
        <w:t>Schedule</w:t>
      </w:r>
      <w:r w:rsidR="00302D39">
        <w:t> </w:t>
      </w:r>
      <w:r w:rsidR="00302D39" w:rsidRPr="005D0525">
        <w:t>12</w:t>
      </w:r>
      <w:r>
        <w:fldChar w:fldCharType="end"/>
      </w:r>
      <w:r w:rsidRPr="00A550B3">
        <w:t xml:space="preserve"> (</w:t>
      </w:r>
      <w:r w:rsidRPr="00212E6C">
        <w:rPr>
          <w:i/>
          <w:iCs/>
        </w:rPr>
        <w:fldChar w:fldCharType="begin"/>
      </w:r>
      <w:r w:rsidRPr="00212E6C">
        <w:rPr>
          <w:i/>
          <w:iCs/>
        </w:rPr>
        <w:instrText xml:space="preserve"> REF Schedule12Heading \h  \* MERGEFORMAT </w:instrText>
      </w:r>
      <w:r w:rsidRPr="00212E6C">
        <w:rPr>
          <w:i/>
          <w:iCs/>
        </w:rPr>
      </w:r>
      <w:r w:rsidRPr="00212E6C">
        <w:rPr>
          <w:i/>
          <w:iCs/>
        </w:rPr>
        <w:fldChar w:fldCharType="separate"/>
      </w:r>
      <w:r w:rsidR="00302D39" w:rsidRPr="00302D39">
        <w:rPr>
          <w:i/>
          <w:iCs/>
        </w:rPr>
        <w:t>Software</w:t>
      </w:r>
      <w:r w:rsidRPr="00212E6C">
        <w:rPr>
          <w:i/>
          <w:iCs/>
        </w:rPr>
        <w:fldChar w:fldCharType="end"/>
      </w:r>
      <w:r w:rsidRPr="00A550B3">
        <w:t>)</w:t>
      </w:r>
      <w:r>
        <w:t>;</w:t>
      </w:r>
      <w:r w:rsidRPr="00A550B3">
        <w:t xml:space="preserve"> or</w:t>
      </w:r>
    </w:p>
    <w:p w14:paraId="3D8D3873" w14:textId="77777777" w:rsidR="00F67E9E" w:rsidRDefault="00F67E9E" w:rsidP="00F67E9E">
      <w:pPr>
        <w:pStyle w:val="Numbered111a"/>
        <w:keepNext/>
        <w:numPr>
          <w:ilvl w:val="3"/>
          <w:numId w:val="273"/>
        </w:numPr>
      </w:pPr>
      <w:r>
        <w:t>both:</w:t>
      </w:r>
    </w:p>
    <w:p w14:paraId="6DBB666C" w14:textId="77777777" w:rsidR="00F67E9E" w:rsidRDefault="00F67E9E" w:rsidP="00F67E9E">
      <w:pPr>
        <w:pStyle w:val="Numbered111ai"/>
        <w:numPr>
          <w:ilvl w:val="4"/>
          <w:numId w:val="273"/>
        </w:numPr>
      </w:pPr>
      <w:r>
        <w:t xml:space="preserve">submitted </w:t>
      </w:r>
      <w:r w:rsidRPr="00A550B3">
        <w:t>to the Technical Board for review</w:t>
      </w:r>
      <w:r>
        <w:t>; and</w:t>
      </w:r>
    </w:p>
    <w:p w14:paraId="4955247C" w14:textId="77777777" w:rsidR="00F67E9E" w:rsidRDefault="00F67E9E" w:rsidP="00F67E9E">
      <w:pPr>
        <w:pStyle w:val="Numbered111ai"/>
        <w:numPr>
          <w:ilvl w:val="4"/>
          <w:numId w:val="273"/>
        </w:numPr>
      </w:pPr>
      <w:r>
        <w:t xml:space="preserve">approved </w:t>
      </w:r>
      <w:r w:rsidRPr="00A550B3">
        <w:t>by the Authority</w:t>
      </w:r>
      <w:r>
        <w:t>; and</w:t>
      </w:r>
    </w:p>
    <w:p w14:paraId="62658E93" w14:textId="77777777" w:rsidR="00F67E9E" w:rsidRDefault="00F67E9E" w:rsidP="00F67E9E">
      <w:pPr>
        <w:pStyle w:val="Numbered111"/>
        <w:keepNext/>
        <w:numPr>
          <w:ilvl w:val="2"/>
          <w:numId w:val="273"/>
        </w:numPr>
      </w:pPr>
      <w:r>
        <w:t>all the following conditions are met:</w:t>
      </w:r>
    </w:p>
    <w:p w14:paraId="6D1B7BF6" w14:textId="77777777" w:rsidR="00F67E9E" w:rsidRDefault="00F67E9E" w:rsidP="00F67E9E">
      <w:pPr>
        <w:pStyle w:val="Numbered111a"/>
        <w:numPr>
          <w:ilvl w:val="3"/>
          <w:numId w:val="273"/>
        </w:numPr>
      </w:pPr>
      <w:r>
        <w:t xml:space="preserve">the Supplier has provided the Authority with the applicable terms for the IPRs (which must be </w:t>
      </w:r>
      <w:r w:rsidRPr="007306D4">
        <w:t>at a price and on terms no less favourable than those standard commercial terms on which such software is usually made commercially available</w:t>
      </w:r>
      <w:r>
        <w:t>); and</w:t>
      </w:r>
    </w:p>
    <w:p w14:paraId="526F6F0C" w14:textId="77777777" w:rsidR="00F67E9E" w:rsidRDefault="00F67E9E" w:rsidP="00F67E9E">
      <w:pPr>
        <w:pStyle w:val="Numbered111a"/>
        <w:numPr>
          <w:ilvl w:val="3"/>
          <w:numId w:val="273"/>
        </w:numPr>
      </w:pPr>
      <w:r>
        <w:t>the Authority has not (in its absolute discretion) rejected those licence terms within 10 Working Days of the date on which they were provided to the Authority.</w:t>
      </w:r>
    </w:p>
    <w:p w14:paraId="180401BE" w14:textId="77777777" w:rsidR="00F67E9E" w:rsidRDefault="00F67E9E" w:rsidP="00F67E9E">
      <w:pPr>
        <w:pStyle w:val="Numbered1"/>
        <w:numPr>
          <w:ilvl w:val="0"/>
          <w:numId w:val="273"/>
        </w:numPr>
      </w:pPr>
      <w:r>
        <w:t>Licences granted by the Authority</w:t>
      </w:r>
      <w:bookmarkStart w:id="3699" w:name="_Hlk133581533"/>
    </w:p>
    <w:p w14:paraId="6CC39C74" w14:textId="77777777" w:rsidR="00F67E9E" w:rsidRDefault="00F67E9E" w:rsidP="00F67E9E">
      <w:pPr>
        <w:pStyle w:val="Numbered11"/>
        <w:keepNext/>
        <w:numPr>
          <w:ilvl w:val="1"/>
          <w:numId w:val="273"/>
        </w:numPr>
      </w:pPr>
      <w:bookmarkStart w:id="3700" w:name="_Ref131410868"/>
      <w:r>
        <w:t xml:space="preserve">The Authority grants the Supplier a licence to the </w:t>
      </w:r>
    </w:p>
    <w:p w14:paraId="27560474" w14:textId="77777777" w:rsidR="00F67E9E" w:rsidRDefault="00F67E9E" w:rsidP="00F67E9E">
      <w:pPr>
        <w:pStyle w:val="Numbered111"/>
        <w:numPr>
          <w:ilvl w:val="2"/>
          <w:numId w:val="273"/>
        </w:numPr>
      </w:pPr>
      <w:r>
        <w:t>the Project-Specific IPR;</w:t>
      </w:r>
    </w:p>
    <w:p w14:paraId="29F5A8CA" w14:textId="77777777" w:rsidR="00F67E9E" w:rsidRDefault="00F67E9E" w:rsidP="00F67E9E">
      <w:pPr>
        <w:pStyle w:val="Numbered111"/>
        <w:numPr>
          <w:ilvl w:val="2"/>
          <w:numId w:val="273"/>
        </w:numPr>
      </w:pPr>
      <w:r>
        <w:t>the Specially Written Software;</w:t>
      </w:r>
    </w:p>
    <w:p w14:paraId="50590E45" w14:textId="77777777" w:rsidR="00F67E9E" w:rsidRDefault="00F67E9E" w:rsidP="00F67E9E">
      <w:pPr>
        <w:pStyle w:val="Numbered111"/>
        <w:numPr>
          <w:ilvl w:val="2"/>
          <w:numId w:val="273"/>
        </w:numPr>
      </w:pPr>
      <w:r>
        <w:t>the Authority Software;</w:t>
      </w:r>
    </w:p>
    <w:p w14:paraId="03855273" w14:textId="77777777" w:rsidR="00F67E9E" w:rsidRDefault="00F67E9E" w:rsidP="00F67E9E">
      <w:pPr>
        <w:pStyle w:val="Numbered111"/>
        <w:numPr>
          <w:ilvl w:val="2"/>
          <w:numId w:val="273"/>
        </w:numPr>
      </w:pPr>
      <w:r>
        <w:t>the Authority Data; and</w:t>
      </w:r>
    </w:p>
    <w:p w14:paraId="2CB8B00A" w14:textId="77777777" w:rsidR="00F67E9E" w:rsidRDefault="00F67E9E" w:rsidP="00F67E9E">
      <w:pPr>
        <w:pStyle w:val="Numbered111"/>
        <w:numPr>
          <w:ilvl w:val="2"/>
          <w:numId w:val="273"/>
        </w:numPr>
      </w:pPr>
      <w:r>
        <w:t>the Authority Background IPRs</w:t>
      </w:r>
    </w:p>
    <w:p w14:paraId="44463431" w14:textId="77777777" w:rsidR="00F67E9E" w:rsidRDefault="00F67E9E" w:rsidP="00F67E9E">
      <w:pPr>
        <w:pStyle w:val="StdBodyText1"/>
      </w:pPr>
      <w:r>
        <w:t>that:</w:t>
      </w:r>
      <w:bookmarkEnd w:id="3700"/>
    </w:p>
    <w:p w14:paraId="544D1D5B" w14:textId="77777777" w:rsidR="00F67E9E" w:rsidRDefault="00F67E9E" w:rsidP="00F67E9E">
      <w:pPr>
        <w:pStyle w:val="Numbered111"/>
        <w:numPr>
          <w:ilvl w:val="2"/>
          <w:numId w:val="273"/>
        </w:numPr>
      </w:pPr>
      <w:r>
        <w:t>is non-exclusive, royalty-free and non-transferable;</w:t>
      </w:r>
    </w:p>
    <w:p w14:paraId="2D6C18EE" w14:textId="77777777" w:rsidR="00F67E9E" w:rsidRDefault="00F67E9E" w:rsidP="00F67E9E">
      <w:pPr>
        <w:pStyle w:val="Numbered111"/>
        <w:keepNext/>
        <w:numPr>
          <w:ilvl w:val="2"/>
          <w:numId w:val="273"/>
        </w:numPr>
      </w:pPr>
      <w:bookmarkStart w:id="3701" w:name="_Ref131498038"/>
      <w:r>
        <w:t>is sub-licensable to any Sub-contractor where</w:t>
      </w:r>
      <w:bookmarkEnd w:id="3701"/>
    </w:p>
    <w:p w14:paraId="27053961" w14:textId="16338E70" w:rsidR="00F67E9E" w:rsidRDefault="00F67E9E" w:rsidP="00F67E9E">
      <w:pPr>
        <w:pStyle w:val="Numbered111a"/>
        <w:numPr>
          <w:ilvl w:val="3"/>
          <w:numId w:val="273"/>
        </w:numPr>
      </w:pPr>
      <w:r>
        <w:t>the Sub-contractor enters into a confidentiality undertaking</w:t>
      </w:r>
      <w:r w:rsidRPr="00E36B93">
        <w:t xml:space="preserve"> with the Supplier on the same terms as set out </w:t>
      </w:r>
      <w:r>
        <w:t xml:space="preserve">in </w:t>
      </w:r>
      <w:r>
        <w:fldChar w:fldCharType="begin"/>
      </w:r>
      <w:r>
        <w:instrText xml:space="preserve"> REF Annex1toschedule12 \h </w:instrText>
      </w:r>
      <w:r>
        <w:fldChar w:fldCharType="separate"/>
      </w:r>
      <w:r w:rsidR="00302D39" w:rsidRPr="00477926">
        <w:t xml:space="preserve">Annex </w:t>
      </w:r>
      <w:r w:rsidR="00302D39">
        <w:t>1</w:t>
      </w:r>
      <w:r>
        <w:fldChar w:fldCharType="end"/>
      </w:r>
      <w:r>
        <w:t xml:space="preserve"> to </w:t>
      </w:r>
      <w:r>
        <w:fldChar w:fldCharType="begin"/>
      </w:r>
      <w:r>
        <w:instrText xml:space="preserve"> REF Schedule12 \h </w:instrText>
      </w:r>
      <w:r>
        <w:fldChar w:fldCharType="separate"/>
      </w:r>
      <w:r w:rsidR="00302D39" w:rsidRPr="005D0525">
        <w:t>Schedule</w:t>
      </w:r>
      <w:r w:rsidR="00302D39">
        <w:t> </w:t>
      </w:r>
      <w:r w:rsidR="00302D39" w:rsidRPr="005D0525">
        <w:t>12</w:t>
      </w:r>
      <w:r>
        <w:fldChar w:fldCharType="end"/>
      </w:r>
      <w:r w:rsidRPr="00A550B3">
        <w:t xml:space="preserve"> (</w:t>
      </w:r>
      <w:r w:rsidRPr="00212E6C">
        <w:rPr>
          <w:i/>
          <w:iCs/>
        </w:rPr>
        <w:fldChar w:fldCharType="begin"/>
      </w:r>
      <w:r w:rsidRPr="00212E6C">
        <w:rPr>
          <w:i/>
          <w:iCs/>
        </w:rPr>
        <w:instrText xml:space="preserve"> REF Schedule12Heading \h  \* MERGEFORMAT </w:instrText>
      </w:r>
      <w:r w:rsidRPr="00212E6C">
        <w:rPr>
          <w:i/>
          <w:iCs/>
        </w:rPr>
      </w:r>
      <w:r w:rsidRPr="00212E6C">
        <w:rPr>
          <w:i/>
          <w:iCs/>
        </w:rPr>
        <w:fldChar w:fldCharType="separate"/>
      </w:r>
      <w:r w:rsidR="00302D39" w:rsidRPr="00302D39">
        <w:rPr>
          <w:i/>
          <w:iCs/>
        </w:rPr>
        <w:t>Software</w:t>
      </w:r>
      <w:r w:rsidRPr="00212E6C">
        <w:rPr>
          <w:i/>
          <w:iCs/>
        </w:rPr>
        <w:fldChar w:fldCharType="end"/>
      </w:r>
      <w:r w:rsidRPr="00A550B3">
        <w:t>)</w:t>
      </w:r>
      <w:r>
        <w:t>; and</w:t>
      </w:r>
    </w:p>
    <w:p w14:paraId="0E770CB1" w14:textId="77777777" w:rsidR="00F67E9E" w:rsidRDefault="00F67E9E" w:rsidP="00F67E9E">
      <w:pPr>
        <w:pStyle w:val="Numbered111a"/>
        <w:numPr>
          <w:ilvl w:val="3"/>
          <w:numId w:val="273"/>
        </w:numPr>
      </w:pPr>
      <w:r>
        <w:t>the sub-licence does not purport to provide the sub-licensee with any wider rights than those granted to the Supplier under this Paragraph;</w:t>
      </w:r>
    </w:p>
    <w:p w14:paraId="082E9C99" w14:textId="77777777" w:rsidR="00F67E9E" w:rsidRDefault="00F67E9E" w:rsidP="00F67E9E">
      <w:pPr>
        <w:pStyle w:val="Numbered111"/>
        <w:numPr>
          <w:ilvl w:val="2"/>
          <w:numId w:val="273"/>
        </w:numPr>
      </w:pPr>
      <w:r>
        <w:t xml:space="preserve">allows the Supplier and any sub-licensee to use, copy and adapt any licensed IPRs for the purpose of fulfilling its obligations under this Contract; and </w:t>
      </w:r>
    </w:p>
    <w:p w14:paraId="7F3A5931" w14:textId="77777777" w:rsidR="00F67E9E" w:rsidRDefault="00F67E9E" w:rsidP="00F67E9E">
      <w:pPr>
        <w:pStyle w:val="Numbered111"/>
        <w:keepNext/>
        <w:numPr>
          <w:ilvl w:val="2"/>
          <w:numId w:val="273"/>
        </w:numPr>
      </w:pPr>
      <w:r>
        <w:t>terminates at the later of:</w:t>
      </w:r>
    </w:p>
    <w:p w14:paraId="7C7CB52B" w14:textId="77777777" w:rsidR="00F67E9E" w:rsidRDefault="00F67E9E" w:rsidP="00F67E9E">
      <w:pPr>
        <w:pStyle w:val="Numbered111a"/>
        <w:numPr>
          <w:ilvl w:val="3"/>
          <w:numId w:val="273"/>
        </w:numPr>
      </w:pPr>
      <w:r>
        <w:t>the expiry of the Term; or</w:t>
      </w:r>
    </w:p>
    <w:p w14:paraId="573F22F0" w14:textId="77777777" w:rsidR="00F67E9E" w:rsidRDefault="00F67E9E" w:rsidP="00F67E9E">
      <w:pPr>
        <w:pStyle w:val="Numbered111a"/>
        <w:numPr>
          <w:ilvl w:val="3"/>
          <w:numId w:val="273"/>
        </w:numPr>
      </w:pPr>
      <w:r>
        <w:t>the end of any Termination Assistance Period.</w:t>
      </w:r>
    </w:p>
    <w:p w14:paraId="2C2C35D1" w14:textId="78F50FCD" w:rsidR="00F67E9E" w:rsidRDefault="00F67E9E" w:rsidP="00F67E9E">
      <w:pPr>
        <w:pStyle w:val="Numbered11"/>
        <w:keepNext/>
        <w:numPr>
          <w:ilvl w:val="1"/>
          <w:numId w:val="273"/>
        </w:numPr>
      </w:pPr>
      <w:r>
        <w:t>When the licence granted under Paragraph </w:t>
      </w:r>
      <w:r>
        <w:fldChar w:fldCharType="begin"/>
      </w:r>
      <w:r>
        <w:instrText xml:space="preserve"> REF _Ref131410868 \n \h  \* MERGEFORMAT </w:instrText>
      </w:r>
      <w:r>
        <w:fldChar w:fldCharType="separate"/>
      </w:r>
      <w:r w:rsidR="00302D39">
        <w:t>4.1</w:t>
      </w:r>
      <w:r>
        <w:fldChar w:fldCharType="end"/>
      </w:r>
      <w:r>
        <w:t xml:space="preserve"> terminates, the Supplier must, and must ensure that each Sub-contractor granted a sub-licence under Paragraph </w:t>
      </w:r>
      <w:r>
        <w:fldChar w:fldCharType="begin"/>
      </w:r>
      <w:r>
        <w:instrText xml:space="preserve"> REF _Ref131498038 \r \h  \* MERGEFORMAT </w:instrText>
      </w:r>
      <w:r>
        <w:fldChar w:fldCharType="separate"/>
      </w:r>
      <w:r w:rsidR="00302D39">
        <w:t>4.1.7</w:t>
      </w:r>
      <w:r>
        <w:fldChar w:fldCharType="end"/>
      </w:r>
      <w:r>
        <w:t>:</w:t>
      </w:r>
    </w:p>
    <w:p w14:paraId="37196A98" w14:textId="77777777" w:rsidR="00F67E9E" w:rsidRDefault="00F67E9E" w:rsidP="00F67E9E">
      <w:pPr>
        <w:pStyle w:val="Numbered111"/>
        <w:numPr>
          <w:ilvl w:val="2"/>
          <w:numId w:val="273"/>
        </w:numPr>
      </w:pPr>
      <w:r>
        <w:t>immediately cease all use of the licensed IPR;</w:t>
      </w:r>
    </w:p>
    <w:p w14:paraId="651B10A0" w14:textId="77777777" w:rsidR="00F67E9E" w:rsidRDefault="00F67E9E" w:rsidP="00F67E9E">
      <w:pPr>
        <w:pStyle w:val="Numbered111"/>
        <w:keepNext/>
        <w:numPr>
          <w:ilvl w:val="2"/>
          <w:numId w:val="273"/>
        </w:numPr>
      </w:pPr>
      <w:r>
        <w:t>either:</w:t>
      </w:r>
    </w:p>
    <w:p w14:paraId="5A59A7EF" w14:textId="77777777" w:rsidR="00F67E9E" w:rsidRDefault="00F67E9E" w:rsidP="00F67E9E">
      <w:pPr>
        <w:pStyle w:val="Numbered111a"/>
        <w:numPr>
          <w:ilvl w:val="3"/>
          <w:numId w:val="273"/>
        </w:numPr>
      </w:pPr>
      <w:r>
        <w:t xml:space="preserve">at the discretion of the Authority, return or destroy documents and other tangible materials that contain any of the licensed IPR; or </w:t>
      </w:r>
    </w:p>
    <w:p w14:paraId="3C8C658C" w14:textId="77777777" w:rsidR="00F67E9E" w:rsidRDefault="00F67E9E" w:rsidP="00F67E9E">
      <w:pPr>
        <w:pStyle w:val="Numbered111a"/>
        <w:numPr>
          <w:ilvl w:val="3"/>
          <w:numId w:val="273"/>
        </w:numPr>
      </w:pPr>
      <w:r>
        <w:t>if the Authority has not made an election within six months of the termination of the licence, destroy the documents and other tangible materials that contain any of the licensed IPR; and</w:t>
      </w:r>
    </w:p>
    <w:p w14:paraId="71209103" w14:textId="77777777" w:rsidR="00F67E9E" w:rsidRDefault="00F67E9E" w:rsidP="00F67E9E">
      <w:pPr>
        <w:pStyle w:val="Numbered111"/>
        <w:numPr>
          <w:ilvl w:val="2"/>
          <w:numId w:val="273"/>
        </w:numPr>
      </w:pPr>
      <w:r>
        <w:t>ensure, so far as reasonably practicable, that any licensed IPR held in electronic, digital or other machine-readable form ceases to be readily accessible from any computer, word processor, voicemail system or any other device of the Supplier.</w:t>
      </w:r>
    </w:p>
    <w:p w14:paraId="0968022D" w14:textId="77777777" w:rsidR="00F67E9E" w:rsidRDefault="00F67E9E" w:rsidP="00F67E9E">
      <w:pPr>
        <w:pStyle w:val="Numbered1"/>
        <w:numPr>
          <w:ilvl w:val="0"/>
          <w:numId w:val="273"/>
        </w:numPr>
      </w:pPr>
      <w:bookmarkStart w:id="3702" w:name="_Toc136451126"/>
      <w:bookmarkStart w:id="3703" w:name="_Ref140096688"/>
      <w:bookmarkEnd w:id="3699"/>
      <w:r w:rsidRPr="007E15D7">
        <w:t xml:space="preserve">Licences </w:t>
      </w:r>
      <w:r>
        <w:t>in respect of</w:t>
      </w:r>
      <w:r w:rsidRPr="007E15D7">
        <w:t xml:space="preserve"> </w:t>
      </w:r>
      <w:bookmarkEnd w:id="3702"/>
      <w:r w:rsidRPr="00A550B3">
        <w:t>Supplier Non-COTS Software</w:t>
      </w:r>
      <w:r>
        <w:t xml:space="preserve"> and </w:t>
      </w:r>
      <w:r w:rsidRPr="00A550B3">
        <w:t>Supplier Non-COTS Background IPR</w:t>
      </w:r>
      <w:bookmarkEnd w:id="3703"/>
    </w:p>
    <w:p w14:paraId="762822FB" w14:textId="76F71048" w:rsidR="00F67E9E" w:rsidRDefault="00F67E9E" w:rsidP="00F67E9E">
      <w:pPr>
        <w:pStyle w:val="Numbered11"/>
        <w:keepNext/>
        <w:numPr>
          <w:ilvl w:val="1"/>
          <w:numId w:val="273"/>
        </w:numPr>
      </w:pPr>
      <w:bookmarkStart w:id="3704" w:name="_Ref131584298"/>
      <w:bookmarkStart w:id="3705" w:name="_Ref135302701"/>
      <w:r>
        <w:t xml:space="preserve">Subject to the Authority approving the use of </w:t>
      </w:r>
      <w:bookmarkStart w:id="3706" w:name="_Hlk140094449"/>
      <w:r w:rsidRPr="00A550B3">
        <w:t>Supplier Non-COTS Software</w:t>
      </w:r>
      <w:r>
        <w:t xml:space="preserve"> and </w:t>
      </w:r>
      <w:r w:rsidRPr="00A550B3">
        <w:t>Supplier Non-COTS Background IPR</w:t>
      </w:r>
      <w:bookmarkEnd w:id="3706"/>
      <w:r>
        <w:t xml:space="preserve"> under Paragraph </w:t>
      </w:r>
      <w:r>
        <w:fldChar w:fldCharType="begin"/>
      </w:r>
      <w:r>
        <w:instrText xml:space="preserve"> REF _Ref135302633 \w \h  \* MERGEFORMAT </w:instrText>
      </w:r>
      <w:r>
        <w:fldChar w:fldCharType="separate"/>
      </w:r>
      <w:r w:rsidR="00302D39">
        <w:t>2</w:t>
      </w:r>
      <w:r>
        <w:fldChar w:fldCharType="end"/>
      </w:r>
      <w:r>
        <w:t>, the Supplier grants the Authority a Supplier Existing IPR Licence on the terms set out in Paragraph </w:t>
      </w:r>
      <w:r>
        <w:fldChar w:fldCharType="begin"/>
      </w:r>
      <w:r>
        <w:instrText xml:space="preserve"> REF _Ref131410802 \n \h  \* MERGEFORMAT </w:instrText>
      </w:r>
      <w:r>
        <w:fldChar w:fldCharType="separate"/>
      </w:r>
      <w:r w:rsidR="00302D39">
        <w:t>5.3</w:t>
      </w:r>
      <w:r>
        <w:fldChar w:fldCharType="end"/>
      </w:r>
      <w:r>
        <w:t xml:space="preserve"> in respect of each Deliverable where:</w:t>
      </w:r>
      <w:bookmarkEnd w:id="3704"/>
      <w:bookmarkEnd w:id="3705"/>
    </w:p>
    <w:p w14:paraId="7CD2DE95" w14:textId="77777777" w:rsidR="00F67E9E" w:rsidRDefault="00F67E9E" w:rsidP="00F67E9E">
      <w:pPr>
        <w:pStyle w:val="Numbered111"/>
        <w:numPr>
          <w:ilvl w:val="2"/>
          <w:numId w:val="273"/>
        </w:numPr>
      </w:pPr>
      <w:r>
        <w:t xml:space="preserve">the </w:t>
      </w:r>
      <w:r w:rsidRPr="00A550B3">
        <w:t>Supplier Non-COTS Software</w:t>
      </w:r>
      <w:r>
        <w:t xml:space="preserve"> and </w:t>
      </w:r>
      <w:r w:rsidRPr="00A550B3">
        <w:t>Supplier Non-COTS Background IPR</w:t>
      </w:r>
      <w:r>
        <w:t xml:space="preserve"> is embedded in the Deliverable;</w:t>
      </w:r>
    </w:p>
    <w:p w14:paraId="40B1ED72" w14:textId="59D64E3A" w:rsidR="00F67E9E" w:rsidRDefault="00F67E9E" w:rsidP="00F67E9E">
      <w:pPr>
        <w:pStyle w:val="Numbered111"/>
        <w:numPr>
          <w:ilvl w:val="2"/>
          <w:numId w:val="273"/>
        </w:numPr>
      </w:pPr>
      <w:r>
        <w:t xml:space="preserve">the </w:t>
      </w:r>
      <w:r w:rsidRPr="00A550B3">
        <w:t>Supplier Non-COTS Software</w:t>
      </w:r>
      <w:r>
        <w:t xml:space="preserve"> and </w:t>
      </w:r>
      <w:r w:rsidRPr="00A550B3">
        <w:t>Supplier Non-COTS Background IPR</w:t>
      </w:r>
      <w:r>
        <w:t xml:space="preserve"> is necessary for the Authority to use the Deliverable for any of the purposes set out in Paragraph </w:t>
      </w:r>
      <w:r>
        <w:fldChar w:fldCharType="begin"/>
      </w:r>
      <w:r>
        <w:instrText xml:space="preserve"> REF _Ref131410738 \n \h  \* MERGEFORMAT </w:instrText>
      </w:r>
      <w:r>
        <w:fldChar w:fldCharType="separate"/>
      </w:r>
      <w:r w:rsidR="00302D39">
        <w:t>5.4</w:t>
      </w:r>
      <w:r>
        <w:fldChar w:fldCharType="end"/>
      </w:r>
      <w:r>
        <w:t>; or</w:t>
      </w:r>
    </w:p>
    <w:p w14:paraId="04EEF6E0" w14:textId="77777777" w:rsidR="00F67E9E" w:rsidRDefault="00F67E9E" w:rsidP="00F67E9E">
      <w:pPr>
        <w:pStyle w:val="Numbered111"/>
        <w:numPr>
          <w:ilvl w:val="2"/>
          <w:numId w:val="273"/>
        </w:numPr>
      </w:pPr>
      <w:r>
        <w:t xml:space="preserve">the Deliverable is a customisation or adaptation of </w:t>
      </w:r>
      <w:r w:rsidRPr="00A550B3">
        <w:t>Supplier Non-COTS Software</w:t>
      </w:r>
      <w:r>
        <w:t xml:space="preserve"> and </w:t>
      </w:r>
      <w:r w:rsidRPr="00A550B3">
        <w:t>Supplier Non-COTS Background IPR</w:t>
      </w:r>
      <w:r>
        <w:t>.</w:t>
      </w:r>
    </w:p>
    <w:p w14:paraId="5E81954A" w14:textId="17D696A1" w:rsidR="00F67E9E" w:rsidRDefault="00F67E9E" w:rsidP="00F67E9E">
      <w:pPr>
        <w:pStyle w:val="Numbered11"/>
        <w:numPr>
          <w:ilvl w:val="1"/>
          <w:numId w:val="273"/>
        </w:numPr>
      </w:pPr>
      <w:r>
        <w:t xml:space="preserve">The categories of </w:t>
      </w:r>
      <w:r w:rsidRPr="00A550B3">
        <w:t>Supplier Non-COTS Software</w:t>
      </w:r>
      <w:r>
        <w:t xml:space="preserve"> and </w:t>
      </w:r>
      <w:r w:rsidRPr="00A550B3">
        <w:t>Supplier Non-COTS Background IPR</w:t>
      </w:r>
      <w:r>
        <w:t xml:space="preserve"> set out in Paragraph </w:t>
      </w:r>
      <w:r>
        <w:fldChar w:fldCharType="begin"/>
      </w:r>
      <w:r>
        <w:instrText xml:space="preserve"> REF _Ref135302701 \w \h  \* MERGEFORMAT </w:instrText>
      </w:r>
      <w:r>
        <w:fldChar w:fldCharType="separate"/>
      </w:r>
      <w:r w:rsidR="00302D39">
        <w:t>5.1</w:t>
      </w:r>
      <w:r>
        <w:fldChar w:fldCharType="end"/>
      </w:r>
      <w:r>
        <w:t xml:space="preserve"> are mutually exclusive.</w:t>
      </w:r>
    </w:p>
    <w:p w14:paraId="2C490E47" w14:textId="77777777" w:rsidR="00F67E9E" w:rsidRDefault="00F67E9E" w:rsidP="00F67E9E">
      <w:pPr>
        <w:pStyle w:val="Numbered11"/>
        <w:keepNext/>
        <w:numPr>
          <w:ilvl w:val="1"/>
          <w:numId w:val="273"/>
        </w:numPr>
      </w:pPr>
      <w:bookmarkStart w:id="3707" w:name="_Ref131410802"/>
      <w:r>
        <w:t>The Supplier Existing IPR Licence granted by the Supplier to the Authority is a non-exclusive, perpetual, royalty-free, irrevocable, transferable, sub-licensable, worldwide licence that:</w:t>
      </w:r>
      <w:bookmarkEnd w:id="3707"/>
    </w:p>
    <w:p w14:paraId="09B57DD5" w14:textId="77777777" w:rsidR="00F67E9E" w:rsidRDefault="00F67E9E" w:rsidP="00F67E9E">
      <w:pPr>
        <w:pStyle w:val="Numbered111"/>
        <w:keepNext/>
        <w:numPr>
          <w:ilvl w:val="2"/>
          <w:numId w:val="273"/>
        </w:numPr>
      </w:pPr>
      <w:r>
        <w:t xml:space="preserve">in the case of </w:t>
      </w:r>
      <w:r w:rsidRPr="00A550B3">
        <w:t>Supplier Non-COTS Software</w:t>
      </w:r>
      <w:r>
        <w:t xml:space="preserve"> and </w:t>
      </w:r>
      <w:r w:rsidRPr="00A550B3">
        <w:t>Supplier Non-COTS Background IPR</w:t>
      </w:r>
      <w:r>
        <w:t xml:space="preserve"> embedded in a Deliverable:</w:t>
      </w:r>
    </w:p>
    <w:p w14:paraId="12A90529" w14:textId="77777777" w:rsidR="00F67E9E" w:rsidRDefault="00F67E9E" w:rsidP="00F67E9E">
      <w:pPr>
        <w:pStyle w:val="Numbered111a"/>
        <w:numPr>
          <w:ilvl w:val="3"/>
          <w:numId w:val="273"/>
        </w:numPr>
      </w:pPr>
      <w:bookmarkStart w:id="3708" w:name="_Ref140096282"/>
      <w:r>
        <w:t>has no restriction on the identity of any transferee or sub-licensee;</w:t>
      </w:r>
      <w:bookmarkEnd w:id="3708"/>
    </w:p>
    <w:p w14:paraId="7937B2E2" w14:textId="7E9F7112" w:rsidR="00F67E9E" w:rsidRDefault="00F67E9E" w:rsidP="00F67E9E">
      <w:pPr>
        <w:pStyle w:val="Numbered111a"/>
        <w:numPr>
          <w:ilvl w:val="3"/>
          <w:numId w:val="273"/>
        </w:numPr>
      </w:pPr>
      <w:r>
        <w:t>is sub-licensable for any of the purposes set out in Paragraph </w:t>
      </w:r>
      <w:r>
        <w:fldChar w:fldCharType="begin"/>
      </w:r>
      <w:r>
        <w:instrText xml:space="preserve"> REF _Ref131410738 \n \h  \* MERGEFORMAT </w:instrText>
      </w:r>
      <w:r>
        <w:fldChar w:fldCharType="separate"/>
      </w:r>
      <w:r w:rsidR="00302D39">
        <w:t>5.4</w:t>
      </w:r>
      <w:r>
        <w:fldChar w:fldCharType="end"/>
      </w:r>
      <w:r>
        <w:t>;</w:t>
      </w:r>
    </w:p>
    <w:p w14:paraId="68D682C2" w14:textId="328FC8AC" w:rsidR="00F67E9E" w:rsidRDefault="00F67E9E" w:rsidP="00F67E9E">
      <w:pPr>
        <w:pStyle w:val="Numbered111a"/>
        <w:numPr>
          <w:ilvl w:val="3"/>
          <w:numId w:val="273"/>
        </w:numPr>
      </w:pPr>
      <w:r>
        <w:t xml:space="preserve">allows the Authority and any transferee or sub-licensee to use, copy and adapt the </w:t>
      </w:r>
      <w:r w:rsidRPr="00A550B3">
        <w:t>Supplier Non-COTS Software</w:t>
      </w:r>
      <w:r>
        <w:t xml:space="preserve"> and </w:t>
      </w:r>
      <w:r w:rsidRPr="00A550B3">
        <w:t>Supplier Non-COTS Background IPR</w:t>
      </w:r>
      <w:r>
        <w:t xml:space="preserve"> for any of the purposes set out in Paragraph </w:t>
      </w:r>
      <w:r>
        <w:fldChar w:fldCharType="begin"/>
      </w:r>
      <w:r>
        <w:instrText xml:space="preserve"> REF _Ref131410738 \n \h  \* MERGEFORMAT </w:instrText>
      </w:r>
      <w:r>
        <w:fldChar w:fldCharType="separate"/>
      </w:r>
      <w:r w:rsidR="00302D39">
        <w:t>5.4</w:t>
      </w:r>
      <w:r>
        <w:fldChar w:fldCharType="end"/>
      </w:r>
      <w:r>
        <w:t>; and</w:t>
      </w:r>
    </w:p>
    <w:p w14:paraId="086333A8" w14:textId="77777777" w:rsidR="00F67E9E" w:rsidRPr="007E15D7" w:rsidRDefault="00F67E9E" w:rsidP="00F67E9E">
      <w:pPr>
        <w:pStyle w:val="Numbered111"/>
        <w:keepNext/>
        <w:numPr>
          <w:ilvl w:val="2"/>
          <w:numId w:val="273"/>
        </w:numPr>
      </w:pPr>
      <w:r w:rsidRPr="007E15D7">
        <w:t xml:space="preserve">in the case of </w:t>
      </w:r>
      <w:r w:rsidRPr="00A550B3">
        <w:t>Supplier Non-COTS Software</w:t>
      </w:r>
      <w:r>
        <w:t xml:space="preserve"> and </w:t>
      </w:r>
      <w:r w:rsidRPr="00A550B3">
        <w:t>Supplier Non-COTS Background IPR</w:t>
      </w:r>
      <w:r w:rsidRPr="007E15D7">
        <w:t xml:space="preserve"> that is necessary for the </w:t>
      </w:r>
      <w:r>
        <w:t>Authority</w:t>
      </w:r>
      <w:r w:rsidRPr="007E15D7">
        <w:t xml:space="preserve"> to use the Deliverable for its intended purpose or has been customised or adapted to provide the Deliverable:</w:t>
      </w:r>
    </w:p>
    <w:p w14:paraId="60C16C13" w14:textId="42A1AA07" w:rsidR="00F67E9E" w:rsidRDefault="00F67E9E" w:rsidP="00F67E9E">
      <w:pPr>
        <w:pStyle w:val="Numbered111a"/>
        <w:numPr>
          <w:ilvl w:val="3"/>
          <w:numId w:val="273"/>
        </w:numPr>
      </w:pPr>
      <w:r>
        <w:t xml:space="preserve">allows the Authority and any transferee or sublicensee to use and copy, but not adapt, disassemble or reverse engineer the relevant </w:t>
      </w:r>
      <w:r w:rsidRPr="00A550B3">
        <w:t>Supplier Non-COTS Software</w:t>
      </w:r>
      <w:r>
        <w:t xml:space="preserve"> and </w:t>
      </w:r>
      <w:r w:rsidRPr="00A550B3">
        <w:t>Supplier Non-COTS Background IPR</w:t>
      </w:r>
      <w:r>
        <w:t xml:space="preserve"> for any of the purposes set out in Paragraph </w:t>
      </w:r>
      <w:r>
        <w:fldChar w:fldCharType="begin"/>
      </w:r>
      <w:r>
        <w:instrText xml:space="preserve"> REF _Ref131410738 \n \h  \* MERGEFORMAT </w:instrText>
      </w:r>
      <w:r>
        <w:fldChar w:fldCharType="separate"/>
      </w:r>
      <w:r w:rsidR="00302D39">
        <w:t>5.4</w:t>
      </w:r>
      <w:r>
        <w:fldChar w:fldCharType="end"/>
      </w:r>
      <w:r>
        <w:t>;</w:t>
      </w:r>
    </w:p>
    <w:p w14:paraId="775C1002" w14:textId="77777777" w:rsidR="00F67E9E" w:rsidRDefault="00F67E9E" w:rsidP="00F67E9E">
      <w:pPr>
        <w:pStyle w:val="Numbered111a"/>
        <w:keepNext/>
        <w:numPr>
          <w:ilvl w:val="3"/>
          <w:numId w:val="273"/>
        </w:numPr>
      </w:pPr>
      <w:bookmarkStart w:id="3709" w:name="_Ref140096285"/>
      <w:r>
        <w:t>is transferrable to only:</w:t>
      </w:r>
      <w:bookmarkEnd w:id="3709"/>
    </w:p>
    <w:p w14:paraId="21DF0747" w14:textId="77777777" w:rsidR="00F67E9E" w:rsidRDefault="00F67E9E" w:rsidP="00F67E9E">
      <w:pPr>
        <w:pStyle w:val="Numbered111ai"/>
        <w:numPr>
          <w:ilvl w:val="4"/>
          <w:numId w:val="273"/>
        </w:numPr>
      </w:pPr>
      <w:r>
        <w:t>a Crown Body;</w:t>
      </w:r>
    </w:p>
    <w:p w14:paraId="0426EDA9" w14:textId="77777777" w:rsidR="00F67E9E" w:rsidRDefault="00F67E9E" w:rsidP="00F67E9E">
      <w:pPr>
        <w:pStyle w:val="Numbered111ai"/>
        <w:numPr>
          <w:ilvl w:val="4"/>
          <w:numId w:val="273"/>
        </w:numPr>
      </w:pPr>
      <w:r w:rsidRPr="00E36B93">
        <w:t xml:space="preserve">any body (including any private sector body) </w:t>
      </w:r>
      <w:r>
        <w:t>that</w:t>
      </w:r>
      <w:r w:rsidRPr="00E36B93">
        <w:t xml:space="preserve"> performs or carries </w:t>
      </w:r>
      <w:r>
        <w:t xml:space="preserve">out </w:t>
      </w:r>
      <w:r w:rsidRPr="00E36B93">
        <w:t xml:space="preserve">any of the functions or activities that </w:t>
      </w:r>
      <w:r>
        <w:t xml:space="preserve">the Authority </w:t>
      </w:r>
      <w:r w:rsidRPr="00E36B93">
        <w:t xml:space="preserve">had </w:t>
      </w:r>
      <w:r>
        <w:t xml:space="preserve">previously </w:t>
      </w:r>
      <w:r w:rsidRPr="00E36B93">
        <w:t xml:space="preserve">performed </w:t>
      </w:r>
      <w:r>
        <w:t xml:space="preserve">or </w:t>
      </w:r>
      <w:r w:rsidRPr="00E36B93">
        <w:t xml:space="preserve">carried </w:t>
      </w:r>
      <w:r>
        <w:t>out; or</w:t>
      </w:r>
    </w:p>
    <w:p w14:paraId="219EC4EF" w14:textId="307921F9" w:rsidR="00694991" w:rsidRDefault="00F67E9E" w:rsidP="00694991">
      <w:pPr>
        <w:pStyle w:val="Numbered111ai"/>
        <w:numPr>
          <w:ilvl w:val="4"/>
          <w:numId w:val="273"/>
        </w:numPr>
      </w:pPr>
      <w:r>
        <w:t>a person or organisation that is not a direct competitor of the Supplier</w:t>
      </w:r>
      <w:r w:rsidR="00694991">
        <w:t>; where that transferee:</w:t>
      </w:r>
    </w:p>
    <w:p w14:paraId="62F5DAFD" w14:textId="3225F9F0" w:rsidR="00694991" w:rsidRDefault="00694991" w:rsidP="00694991">
      <w:pPr>
        <w:pStyle w:val="Numbered111ai"/>
        <w:numPr>
          <w:ilvl w:val="5"/>
          <w:numId w:val="273"/>
        </w:numPr>
      </w:pPr>
      <w:r>
        <w:t xml:space="preserve">enters into a direct arrangement with the Supplier in the form set out in </w:t>
      </w:r>
      <w:r>
        <w:fldChar w:fldCharType="begin"/>
      </w:r>
      <w:r>
        <w:instrText xml:space="preserve"> REF Annex1toschedule12 \h </w:instrText>
      </w:r>
      <w:r>
        <w:fldChar w:fldCharType="separate"/>
      </w:r>
      <w:r w:rsidRPr="00477926">
        <w:t xml:space="preserve">Annex </w:t>
      </w:r>
      <w:r>
        <w:t>1</w:t>
      </w:r>
      <w:r>
        <w:fldChar w:fldCharType="end"/>
      </w:r>
      <w:r>
        <w:t xml:space="preserve"> of </w:t>
      </w:r>
      <w:r>
        <w:fldChar w:fldCharType="begin"/>
      </w:r>
      <w:r>
        <w:instrText xml:space="preserve"> REF Schedule12 \h </w:instrText>
      </w:r>
      <w:r>
        <w:fldChar w:fldCharType="separate"/>
      </w:r>
      <w:r w:rsidRPr="005D0525">
        <w:t>Schedule</w:t>
      </w:r>
      <w:r>
        <w:t> </w:t>
      </w:r>
      <w:r w:rsidRPr="005D0525">
        <w:t>12</w:t>
      </w:r>
      <w:r>
        <w:fldChar w:fldCharType="end"/>
      </w:r>
      <w:r w:rsidRPr="00A550B3">
        <w:t xml:space="preserve"> (</w:t>
      </w:r>
      <w:r w:rsidRPr="00212E6C">
        <w:rPr>
          <w:i/>
          <w:iCs/>
        </w:rPr>
        <w:fldChar w:fldCharType="begin"/>
      </w:r>
      <w:r w:rsidRPr="00212E6C">
        <w:rPr>
          <w:i/>
          <w:iCs/>
        </w:rPr>
        <w:instrText xml:space="preserve"> REF Schedule12Heading \h  \* MERGEFORMAT </w:instrText>
      </w:r>
      <w:r w:rsidRPr="00212E6C">
        <w:rPr>
          <w:i/>
          <w:iCs/>
        </w:rPr>
      </w:r>
      <w:r w:rsidRPr="00212E6C">
        <w:rPr>
          <w:i/>
          <w:iCs/>
        </w:rPr>
        <w:fldChar w:fldCharType="separate"/>
      </w:r>
      <w:r w:rsidRPr="00302D39">
        <w:rPr>
          <w:i/>
          <w:iCs/>
        </w:rPr>
        <w:t>Software</w:t>
      </w:r>
      <w:r w:rsidRPr="00212E6C">
        <w:rPr>
          <w:i/>
          <w:iCs/>
        </w:rPr>
        <w:fldChar w:fldCharType="end"/>
      </w:r>
      <w:r w:rsidRPr="00A550B3">
        <w:t>)</w:t>
      </w:r>
      <w:r>
        <w:t>; or</w:t>
      </w:r>
    </w:p>
    <w:p w14:paraId="0CDF17C5" w14:textId="77777777" w:rsidR="00694991" w:rsidRDefault="00694991" w:rsidP="00694991">
      <w:pPr>
        <w:pStyle w:val="Numbered111ai"/>
        <w:numPr>
          <w:ilvl w:val="5"/>
          <w:numId w:val="273"/>
        </w:numPr>
      </w:pPr>
      <w:r>
        <w:t>enters into a confidentiality arrangement with the Authority in terms equivalent to those set out in set out in Clause 19 (</w:t>
      </w:r>
      <w:r w:rsidRPr="00694991">
        <w:rPr>
          <w:i/>
          <w:iCs/>
        </w:rPr>
        <w:t>Confidentiality</w:t>
      </w:r>
      <w:r>
        <w:t>);</w:t>
      </w:r>
    </w:p>
    <w:p w14:paraId="6BDF5A53" w14:textId="4D782527" w:rsidR="00694991" w:rsidRDefault="00F67E9E" w:rsidP="00694991">
      <w:pPr>
        <w:pStyle w:val="Numbered111a"/>
        <w:numPr>
          <w:ilvl w:val="3"/>
          <w:numId w:val="273"/>
        </w:numPr>
      </w:pPr>
      <w:r w:rsidRPr="007E15D7">
        <w:t>is sub-licensable to the Replacement Supplier (including where the Replacement Supplier is a competitor of the Supplier)</w:t>
      </w:r>
      <w:r w:rsidR="00694991" w:rsidRPr="00694991">
        <w:t xml:space="preserve"> </w:t>
      </w:r>
      <w:r w:rsidR="00694991">
        <w:t>where the Replacement Supplier:</w:t>
      </w:r>
    </w:p>
    <w:p w14:paraId="72991294" w14:textId="6B3BA34A" w:rsidR="00694991" w:rsidRDefault="00694991" w:rsidP="00694991">
      <w:pPr>
        <w:pStyle w:val="Numbered111a"/>
        <w:numPr>
          <w:ilvl w:val="4"/>
          <w:numId w:val="273"/>
        </w:numPr>
      </w:pPr>
      <w:r>
        <w:t xml:space="preserve">enters into a direct arrangement with the Supplier in the form set out in </w:t>
      </w:r>
      <w:r>
        <w:fldChar w:fldCharType="begin"/>
      </w:r>
      <w:r>
        <w:instrText xml:space="preserve"> REF Annex1toschedule12 \h </w:instrText>
      </w:r>
      <w:r>
        <w:fldChar w:fldCharType="separate"/>
      </w:r>
      <w:r w:rsidRPr="00477926">
        <w:t xml:space="preserve">Annex </w:t>
      </w:r>
      <w:r>
        <w:t>1</w:t>
      </w:r>
      <w:r>
        <w:fldChar w:fldCharType="end"/>
      </w:r>
      <w:r>
        <w:t xml:space="preserve"> of </w:t>
      </w:r>
      <w:r>
        <w:fldChar w:fldCharType="begin"/>
      </w:r>
      <w:r>
        <w:instrText xml:space="preserve"> REF Schedule12 \h </w:instrText>
      </w:r>
      <w:r>
        <w:fldChar w:fldCharType="separate"/>
      </w:r>
      <w:r w:rsidRPr="005D0525">
        <w:t>Schedule</w:t>
      </w:r>
      <w:r>
        <w:t> </w:t>
      </w:r>
      <w:r w:rsidRPr="005D0525">
        <w:t>12</w:t>
      </w:r>
      <w:r>
        <w:fldChar w:fldCharType="end"/>
      </w:r>
      <w:r w:rsidRPr="00A550B3">
        <w:t xml:space="preserve"> (</w:t>
      </w:r>
      <w:r w:rsidRPr="00212E6C">
        <w:rPr>
          <w:i/>
          <w:iCs/>
        </w:rPr>
        <w:fldChar w:fldCharType="begin"/>
      </w:r>
      <w:r w:rsidRPr="00212E6C">
        <w:rPr>
          <w:i/>
          <w:iCs/>
        </w:rPr>
        <w:instrText xml:space="preserve"> REF Schedule12Heading \h  \* MERGEFORMAT </w:instrText>
      </w:r>
      <w:r w:rsidRPr="00212E6C">
        <w:rPr>
          <w:i/>
          <w:iCs/>
        </w:rPr>
      </w:r>
      <w:r w:rsidRPr="00212E6C">
        <w:rPr>
          <w:i/>
          <w:iCs/>
        </w:rPr>
        <w:fldChar w:fldCharType="separate"/>
      </w:r>
      <w:r w:rsidRPr="00302D39">
        <w:rPr>
          <w:i/>
          <w:iCs/>
        </w:rPr>
        <w:t>Software</w:t>
      </w:r>
      <w:r w:rsidRPr="00212E6C">
        <w:rPr>
          <w:i/>
          <w:iCs/>
        </w:rPr>
        <w:fldChar w:fldCharType="end"/>
      </w:r>
      <w:r w:rsidRPr="00A550B3">
        <w:t>)</w:t>
      </w:r>
      <w:r>
        <w:t>; or</w:t>
      </w:r>
    </w:p>
    <w:p w14:paraId="756AA2FC" w14:textId="77777777" w:rsidR="00694991" w:rsidRDefault="00694991" w:rsidP="00694991">
      <w:pPr>
        <w:pStyle w:val="Numbered111a"/>
        <w:numPr>
          <w:ilvl w:val="4"/>
          <w:numId w:val="273"/>
        </w:numPr>
      </w:pPr>
      <w:r>
        <w:t>enters into a confidentiality arrangement with the Authority in terms equivalent to those set out in set out in Clause 19 (</w:t>
      </w:r>
      <w:r w:rsidRPr="00694991">
        <w:rPr>
          <w:i/>
          <w:iCs/>
        </w:rPr>
        <w:t>Confidentiality</w:t>
      </w:r>
      <w:r>
        <w:t>);</w:t>
      </w:r>
    </w:p>
    <w:p w14:paraId="7BE42DC4" w14:textId="77777777" w:rsidR="00F67E9E" w:rsidRDefault="00F67E9E" w:rsidP="00F67E9E">
      <w:pPr>
        <w:pStyle w:val="Numbered111"/>
        <w:numPr>
          <w:ilvl w:val="2"/>
          <w:numId w:val="273"/>
        </w:numPr>
      </w:pPr>
      <w:r>
        <w:t xml:space="preserve">includes a perpetual, royalty-free, non-exclusive licence to use, copy and adapt any Know-How, trade secrets or Confidential Information of the Supplier contained within any </w:t>
      </w:r>
      <w:r w:rsidRPr="00A550B3">
        <w:t>Supplier Non-COTS Software</w:t>
      </w:r>
      <w:r>
        <w:t xml:space="preserve"> and </w:t>
      </w:r>
      <w:r w:rsidRPr="00A550B3">
        <w:t>Supplier Non-COTS Background IPR</w:t>
      </w:r>
      <w:r>
        <w:t>;</w:t>
      </w:r>
    </w:p>
    <w:p w14:paraId="7BBCAC1D" w14:textId="77777777" w:rsidR="00F67E9E" w:rsidRDefault="00F67E9E" w:rsidP="00F67E9E">
      <w:pPr>
        <w:pStyle w:val="Numbered111"/>
        <w:numPr>
          <w:ilvl w:val="2"/>
          <w:numId w:val="273"/>
        </w:numPr>
      </w:pPr>
      <w:r>
        <w:t>continues in effect following the expiry or earlier termination of this Contract; and</w:t>
      </w:r>
    </w:p>
    <w:p w14:paraId="1023D4BE" w14:textId="77777777" w:rsidR="00F67E9E" w:rsidRDefault="00F67E9E" w:rsidP="00F67E9E">
      <w:pPr>
        <w:pStyle w:val="Numbered111"/>
        <w:keepNext/>
        <w:numPr>
          <w:ilvl w:val="2"/>
          <w:numId w:val="273"/>
        </w:numPr>
      </w:pPr>
      <w:r>
        <w:t>is subject to the restrictions that:</w:t>
      </w:r>
    </w:p>
    <w:p w14:paraId="49A52868" w14:textId="77777777" w:rsidR="00F67E9E" w:rsidRDefault="00F67E9E" w:rsidP="00F67E9E">
      <w:pPr>
        <w:pStyle w:val="Numbered111a"/>
        <w:numPr>
          <w:ilvl w:val="3"/>
          <w:numId w:val="273"/>
        </w:numPr>
      </w:pPr>
      <w:r>
        <w:t xml:space="preserve">no sub-licence granted to the </w:t>
      </w:r>
      <w:r w:rsidRPr="00A550B3">
        <w:t>Supplier Non-COTS Software</w:t>
      </w:r>
      <w:r>
        <w:t xml:space="preserve"> and </w:t>
      </w:r>
      <w:r w:rsidRPr="00A550B3">
        <w:t>Supplier Non-COTS Background IPR</w:t>
      </w:r>
      <w:r>
        <w:t xml:space="preserve"> shall purport to provide the sub-licensee with any wider rights than those granted to the Authority under this Paragraph; and</w:t>
      </w:r>
    </w:p>
    <w:p w14:paraId="600BFE23" w14:textId="77777777" w:rsidR="00F67E9E" w:rsidRDefault="00F67E9E" w:rsidP="00F67E9E">
      <w:pPr>
        <w:pStyle w:val="Numbered111a"/>
        <w:keepNext/>
        <w:numPr>
          <w:ilvl w:val="3"/>
          <w:numId w:val="273"/>
        </w:numPr>
      </w:pPr>
      <w:r>
        <w:t xml:space="preserve">any transferee or sublicensee of the </w:t>
      </w:r>
      <w:r w:rsidRPr="00A550B3">
        <w:t>Supplier Non-COTS Software</w:t>
      </w:r>
      <w:r>
        <w:t xml:space="preserve"> and </w:t>
      </w:r>
      <w:r w:rsidRPr="00A550B3">
        <w:t>Supplier Non-COTS Background IPR</w:t>
      </w:r>
      <w:r>
        <w:t xml:space="preserve"> must either:</w:t>
      </w:r>
    </w:p>
    <w:p w14:paraId="4721752F" w14:textId="202D938F" w:rsidR="00F67E9E" w:rsidRDefault="00F67E9E" w:rsidP="00F67E9E">
      <w:pPr>
        <w:pStyle w:val="Numbered111ai"/>
        <w:numPr>
          <w:ilvl w:val="4"/>
          <w:numId w:val="273"/>
        </w:numPr>
      </w:pPr>
      <w:r>
        <w:t xml:space="preserve">enter into a direct arrangement with the Supplier in the form set out in </w:t>
      </w:r>
      <w:r>
        <w:fldChar w:fldCharType="begin"/>
      </w:r>
      <w:r>
        <w:instrText xml:space="preserve"> REF Annex1toschedule12 \h </w:instrText>
      </w:r>
      <w:r>
        <w:fldChar w:fldCharType="separate"/>
      </w:r>
      <w:r w:rsidR="00302D39" w:rsidRPr="00477926">
        <w:t xml:space="preserve">Annex </w:t>
      </w:r>
      <w:r w:rsidR="00302D39">
        <w:t>1</w:t>
      </w:r>
      <w:r>
        <w:fldChar w:fldCharType="end"/>
      </w:r>
      <w:r>
        <w:t xml:space="preserve"> of </w:t>
      </w:r>
      <w:r>
        <w:fldChar w:fldCharType="begin"/>
      </w:r>
      <w:r>
        <w:instrText xml:space="preserve"> REF Schedule12 \h </w:instrText>
      </w:r>
      <w:r>
        <w:fldChar w:fldCharType="separate"/>
      </w:r>
      <w:r w:rsidR="00302D39" w:rsidRPr="005D0525">
        <w:t>Schedule</w:t>
      </w:r>
      <w:r w:rsidR="00302D39">
        <w:t> </w:t>
      </w:r>
      <w:r w:rsidR="00302D39" w:rsidRPr="005D0525">
        <w:t>12</w:t>
      </w:r>
      <w:r>
        <w:fldChar w:fldCharType="end"/>
      </w:r>
      <w:r w:rsidRPr="00A550B3">
        <w:t xml:space="preserve"> (</w:t>
      </w:r>
      <w:r w:rsidRPr="00212E6C">
        <w:rPr>
          <w:i/>
          <w:iCs/>
        </w:rPr>
        <w:fldChar w:fldCharType="begin"/>
      </w:r>
      <w:r w:rsidRPr="00212E6C">
        <w:rPr>
          <w:i/>
          <w:iCs/>
        </w:rPr>
        <w:instrText xml:space="preserve"> REF Schedule12Heading \h  \* MERGEFORMAT </w:instrText>
      </w:r>
      <w:r w:rsidRPr="00212E6C">
        <w:rPr>
          <w:i/>
          <w:iCs/>
        </w:rPr>
      </w:r>
      <w:r w:rsidRPr="00212E6C">
        <w:rPr>
          <w:i/>
          <w:iCs/>
        </w:rPr>
        <w:fldChar w:fldCharType="separate"/>
      </w:r>
      <w:r w:rsidR="00302D39" w:rsidRPr="00302D39">
        <w:rPr>
          <w:i/>
          <w:iCs/>
        </w:rPr>
        <w:t>Software</w:t>
      </w:r>
      <w:r w:rsidRPr="00212E6C">
        <w:rPr>
          <w:i/>
          <w:iCs/>
        </w:rPr>
        <w:fldChar w:fldCharType="end"/>
      </w:r>
      <w:r w:rsidRPr="00A550B3">
        <w:t>)</w:t>
      </w:r>
      <w:r>
        <w:t>; or</w:t>
      </w:r>
    </w:p>
    <w:p w14:paraId="69995833" w14:textId="77777777" w:rsidR="00F67E9E" w:rsidRDefault="00F67E9E" w:rsidP="00F67E9E">
      <w:pPr>
        <w:pStyle w:val="Numbered111ai"/>
        <w:numPr>
          <w:ilvl w:val="4"/>
          <w:numId w:val="273"/>
        </w:numPr>
      </w:pPr>
      <w:r>
        <w:t>enter into a confidentiality arrangement with the Authority in terms equivalent to those set out in set out in Clause 19 (</w:t>
      </w:r>
      <w:r>
        <w:rPr>
          <w:i/>
          <w:iCs/>
        </w:rPr>
        <w:t>Confidentiality</w:t>
      </w:r>
      <w:r>
        <w:t xml:space="preserve">). </w:t>
      </w:r>
    </w:p>
    <w:p w14:paraId="3AD98B59" w14:textId="119A5274" w:rsidR="00F67E9E" w:rsidRDefault="00F67E9E" w:rsidP="00F67E9E">
      <w:pPr>
        <w:pStyle w:val="Numbered11"/>
        <w:keepNext/>
        <w:numPr>
          <w:ilvl w:val="1"/>
          <w:numId w:val="273"/>
        </w:numPr>
      </w:pPr>
      <w:bookmarkStart w:id="3710" w:name="_Ref131410738"/>
      <w:r>
        <w:t>For the purposes of Paragraphs </w:t>
      </w:r>
      <w:r>
        <w:fldChar w:fldCharType="begin"/>
      </w:r>
      <w:r>
        <w:instrText xml:space="preserve"> REF _Ref131584298 \r \h  \* MERGEFORMAT </w:instrText>
      </w:r>
      <w:r>
        <w:fldChar w:fldCharType="separate"/>
      </w:r>
      <w:r w:rsidR="00302D39">
        <w:t>5.1</w:t>
      </w:r>
      <w:r>
        <w:fldChar w:fldCharType="end"/>
      </w:r>
      <w:r>
        <w:t xml:space="preserve"> and </w:t>
      </w:r>
      <w:r>
        <w:fldChar w:fldCharType="begin"/>
      </w:r>
      <w:r>
        <w:instrText xml:space="preserve"> REF _Ref131410802 \n \h  \* MERGEFORMAT </w:instrText>
      </w:r>
      <w:r>
        <w:fldChar w:fldCharType="separate"/>
      </w:r>
      <w:r w:rsidR="00302D39">
        <w:t>5.3</w:t>
      </w:r>
      <w:r>
        <w:fldChar w:fldCharType="end"/>
      </w:r>
      <w:r>
        <w:t>, the relevant purposes are:</w:t>
      </w:r>
      <w:bookmarkEnd w:id="3710"/>
    </w:p>
    <w:p w14:paraId="46C3A19C" w14:textId="77777777" w:rsidR="00F67E9E" w:rsidRDefault="00F67E9E" w:rsidP="00F67E9E">
      <w:pPr>
        <w:pStyle w:val="Numbered111"/>
        <w:numPr>
          <w:ilvl w:val="2"/>
          <w:numId w:val="273"/>
        </w:numPr>
      </w:pPr>
      <w:r>
        <w:t>to allow the Authority or any End User to receive and use the Deliverables;</w:t>
      </w:r>
    </w:p>
    <w:p w14:paraId="5A1BB410" w14:textId="77777777" w:rsidR="00F67E9E" w:rsidRDefault="00F67E9E" w:rsidP="00F67E9E">
      <w:pPr>
        <w:pStyle w:val="Numbered111"/>
        <w:numPr>
          <w:ilvl w:val="2"/>
          <w:numId w:val="273"/>
        </w:numPr>
      </w:pPr>
      <w:r>
        <w:t>to commercially exploit (including by publication under Open Licence) the Project Specific IPR, Specially Written Software and Software Supporting Materials; and</w:t>
      </w:r>
    </w:p>
    <w:p w14:paraId="73D7B435" w14:textId="77777777" w:rsidR="00F67E9E" w:rsidRDefault="00F67E9E" w:rsidP="00F67E9E">
      <w:pPr>
        <w:pStyle w:val="Numbered111"/>
        <w:numPr>
          <w:ilvl w:val="2"/>
          <w:numId w:val="273"/>
        </w:numPr>
      </w:pPr>
      <w:r>
        <w:t>for any purpose relating to the exercise of the Authority’s (or, if the Authority is a Public Sector Body, any other Public Sector Body’s) business or function.</w:t>
      </w:r>
    </w:p>
    <w:p w14:paraId="352952C3" w14:textId="77777777" w:rsidR="00F67E9E" w:rsidRDefault="00F67E9E" w:rsidP="00F67E9E">
      <w:pPr>
        <w:pStyle w:val="Numbered11"/>
        <w:numPr>
          <w:ilvl w:val="1"/>
          <w:numId w:val="273"/>
        </w:numPr>
      </w:pPr>
      <w:bookmarkStart w:id="3711" w:name="_Ref140096407"/>
      <w:r>
        <w:t>Where the legal status of the Authority changes, such that it ceases to be a Crown Body:</w:t>
      </w:r>
      <w:bookmarkEnd w:id="3711"/>
    </w:p>
    <w:p w14:paraId="0D58BFE9" w14:textId="77777777" w:rsidR="00F67E9E" w:rsidRDefault="00F67E9E" w:rsidP="00F67E9E">
      <w:pPr>
        <w:pStyle w:val="Numbered111"/>
        <w:numPr>
          <w:ilvl w:val="2"/>
          <w:numId w:val="273"/>
        </w:numPr>
      </w:pPr>
      <w:r>
        <w:t>the Supplier Existing IPR Licence is unaffected; and</w:t>
      </w:r>
    </w:p>
    <w:p w14:paraId="20C7028C" w14:textId="77777777" w:rsidR="00F67E9E" w:rsidRDefault="00F67E9E" w:rsidP="00F67E9E">
      <w:pPr>
        <w:pStyle w:val="Numbered111"/>
        <w:numPr>
          <w:ilvl w:val="2"/>
          <w:numId w:val="273"/>
        </w:numPr>
      </w:pPr>
      <w:r>
        <w:t>any successor body of the Authority that is a Crown Body shall have the benefit of the Supplier Existing IPR Licence.</w:t>
      </w:r>
    </w:p>
    <w:p w14:paraId="0DB9717B" w14:textId="60156DF1" w:rsidR="00F67E9E" w:rsidRDefault="00F67E9E" w:rsidP="00F67E9E">
      <w:pPr>
        <w:pStyle w:val="Numbered11"/>
        <w:numPr>
          <w:ilvl w:val="1"/>
          <w:numId w:val="273"/>
        </w:numPr>
      </w:pPr>
      <w:r>
        <w:t>Where the Supplier Existing IPR Licence is transferred under Paragraph </w:t>
      </w:r>
      <w:r>
        <w:fldChar w:fldCharType="begin"/>
      </w:r>
      <w:r>
        <w:instrText xml:space="preserve"> REF _Ref140096282 \w \h  \* MERGEFORMAT </w:instrText>
      </w:r>
      <w:r>
        <w:fldChar w:fldCharType="separate"/>
      </w:r>
      <w:r w:rsidR="00302D39">
        <w:t>5.3.1(a)</w:t>
      </w:r>
      <w:r>
        <w:fldChar w:fldCharType="end"/>
      </w:r>
      <w:r>
        <w:t xml:space="preserve"> or </w:t>
      </w:r>
      <w:r>
        <w:fldChar w:fldCharType="begin"/>
      </w:r>
      <w:r>
        <w:instrText xml:space="preserve"> REF _Ref140096285 \w \h  \* MERGEFORMAT </w:instrText>
      </w:r>
      <w:r>
        <w:fldChar w:fldCharType="separate"/>
      </w:r>
      <w:r w:rsidR="00302D39">
        <w:t>5.3.2(b)</w:t>
      </w:r>
      <w:r>
        <w:fldChar w:fldCharType="end"/>
      </w:r>
      <w:r>
        <w:t xml:space="preserve"> or there is a change in the Authority’s legal status to which Paragraph </w:t>
      </w:r>
      <w:r>
        <w:fldChar w:fldCharType="begin"/>
      </w:r>
      <w:r>
        <w:instrText xml:space="preserve"> REF _Ref140096407 \w \h  \* MERGEFORMAT </w:instrText>
      </w:r>
      <w:r>
        <w:fldChar w:fldCharType="separate"/>
      </w:r>
      <w:r w:rsidR="00302D39">
        <w:t>5.5</w:t>
      </w:r>
      <w:r>
        <w:fldChar w:fldCharType="end"/>
      </w:r>
      <w:r>
        <w:t xml:space="preserve"> applies, the transferee or successor body do not acquire any wider rights than those granted to the Authority under this Paragraph.</w:t>
      </w:r>
    </w:p>
    <w:p w14:paraId="1E432D23" w14:textId="77777777" w:rsidR="00F67E9E" w:rsidRDefault="00F67E9E" w:rsidP="00F67E9E">
      <w:pPr>
        <w:pStyle w:val="Numbered1"/>
        <w:numPr>
          <w:ilvl w:val="0"/>
          <w:numId w:val="273"/>
        </w:numPr>
      </w:pPr>
      <w:r>
        <w:t>Open Licence Publication</w:t>
      </w:r>
    </w:p>
    <w:p w14:paraId="12276D10" w14:textId="6949DD1A" w:rsidR="00F67E9E" w:rsidRDefault="00F67E9E" w:rsidP="00F67E9E">
      <w:pPr>
        <w:pStyle w:val="Numbered11"/>
        <w:numPr>
          <w:ilvl w:val="1"/>
          <w:numId w:val="273"/>
        </w:numPr>
      </w:pPr>
      <w:r>
        <w:t>Subject to Paragraph </w:t>
      </w:r>
      <w:r>
        <w:fldChar w:fldCharType="begin"/>
      </w:r>
      <w:r>
        <w:instrText xml:space="preserve"> REF _Ref140820522 \r \h  \* MERGEFORMAT </w:instrText>
      </w:r>
      <w:r>
        <w:fldChar w:fldCharType="separate"/>
      </w:r>
      <w:r w:rsidR="00302D39">
        <w:t>6.8</w:t>
      </w:r>
      <w:r>
        <w:fldChar w:fldCharType="end"/>
      </w:r>
      <w:r>
        <w:t>, the Supplier agrees that the Authority may at its sole discretion publish under Open Licence all or part of the Project Specific IPR, the Specially Written Software or the Software Supporting Materials.</w:t>
      </w:r>
    </w:p>
    <w:p w14:paraId="0D8FAE05" w14:textId="77777777" w:rsidR="00F67E9E" w:rsidRDefault="00F67E9E" w:rsidP="00F67E9E">
      <w:pPr>
        <w:pStyle w:val="Numbered11"/>
        <w:keepNext/>
        <w:numPr>
          <w:ilvl w:val="1"/>
          <w:numId w:val="273"/>
        </w:numPr>
      </w:pPr>
      <w:r>
        <w:t>The Supplier warrants that:</w:t>
      </w:r>
    </w:p>
    <w:p w14:paraId="5C13B9ED" w14:textId="77777777" w:rsidR="00F67E9E" w:rsidRDefault="00F67E9E" w:rsidP="00F67E9E">
      <w:pPr>
        <w:pStyle w:val="Numbered111"/>
        <w:numPr>
          <w:ilvl w:val="2"/>
          <w:numId w:val="273"/>
        </w:numPr>
      </w:pPr>
      <w:r>
        <w:t>the Project Specific IPR, the Specially Written Software or the Software Supporting Materials are suitable for release under Open Licence;</w:t>
      </w:r>
    </w:p>
    <w:p w14:paraId="7BD09734" w14:textId="77777777" w:rsidR="00F67E9E" w:rsidRDefault="00F67E9E" w:rsidP="00F67E9E">
      <w:pPr>
        <w:pStyle w:val="Numbered111"/>
        <w:keepNext/>
        <w:numPr>
          <w:ilvl w:val="2"/>
          <w:numId w:val="273"/>
        </w:numPr>
      </w:pPr>
      <w:r>
        <w:t>in developing Project Specific IPR, the Specially Written Software or the Software Supporting Materials it has used reasonable endeavours to ensure that:</w:t>
      </w:r>
    </w:p>
    <w:p w14:paraId="0C45AB7E" w14:textId="77777777" w:rsidR="00F67E9E" w:rsidRDefault="00F67E9E" w:rsidP="00F67E9E">
      <w:pPr>
        <w:pStyle w:val="Numbered111a"/>
        <w:keepNext/>
        <w:numPr>
          <w:ilvl w:val="3"/>
          <w:numId w:val="273"/>
        </w:numPr>
      </w:pPr>
      <w:r>
        <w:t>the publication by the Authority will not:</w:t>
      </w:r>
    </w:p>
    <w:p w14:paraId="67D0AF27" w14:textId="77777777" w:rsidR="00F67E9E" w:rsidRDefault="00F67E9E" w:rsidP="00F67E9E">
      <w:pPr>
        <w:pStyle w:val="Numbered111ai"/>
        <w:numPr>
          <w:ilvl w:val="4"/>
          <w:numId w:val="273"/>
        </w:numPr>
      </w:pPr>
      <w:r>
        <w:t xml:space="preserve">allow a third party to use them in to compromise </w:t>
      </w:r>
      <w:r w:rsidRPr="00DA0C3F">
        <w:t>the operation, running or security of the Specially Written Software, the Project Specific IPRs</w:t>
      </w:r>
      <w:r>
        <w:t>,</w:t>
      </w:r>
      <w:r w:rsidRPr="00DA0C3F">
        <w:t xml:space="preserve"> the Authority System</w:t>
      </w:r>
      <w:r>
        <w:t xml:space="preserve"> or the Supplier System;</w:t>
      </w:r>
    </w:p>
    <w:p w14:paraId="4BDC55B7" w14:textId="77777777" w:rsidR="00F67E9E" w:rsidRDefault="00F67E9E" w:rsidP="00F67E9E">
      <w:pPr>
        <w:pStyle w:val="Numbered111ai"/>
        <w:numPr>
          <w:ilvl w:val="4"/>
          <w:numId w:val="273"/>
        </w:numPr>
      </w:pPr>
      <w:r>
        <w:t>cause any harm or damage to any party using them; or</w:t>
      </w:r>
    </w:p>
    <w:p w14:paraId="5ED1328F" w14:textId="77777777" w:rsidR="00F67E9E" w:rsidRDefault="00F67E9E" w:rsidP="00F67E9E">
      <w:pPr>
        <w:pStyle w:val="Numbered111ai"/>
        <w:numPr>
          <w:ilvl w:val="4"/>
          <w:numId w:val="273"/>
        </w:numPr>
      </w:pPr>
      <w:r>
        <w:t>breach the rights of any third party; and</w:t>
      </w:r>
    </w:p>
    <w:p w14:paraId="1A8D7311" w14:textId="77777777" w:rsidR="00F67E9E" w:rsidRDefault="00F67E9E" w:rsidP="00F67E9E">
      <w:pPr>
        <w:pStyle w:val="Numbered111a"/>
        <w:numPr>
          <w:ilvl w:val="3"/>
          <w:numId w:val="273"/>
        </w:numPr>
      </w:pPr>
      <w:r>
        <w:t xml:space="preserve">they do not contain </w:t>
      </w:r>
      <w:r w:rsidRPr="00307996">
        <w:t>any material which would bring the Authority into disrepute if published</w:t>
      </w:r>
      <w:r>
        <w:t>.</w:t>
      </w:r>
    </w:p>
    <w:p w14:paraId="3F8401DB" w14:textId="77777777" w:rsidR="00F67E9E" w:rsidRDefault="00F67E9E" w:rsidP="00F67E9E">
      <w:pPr>
        <w:pStyle w:val="Numbered11"/>
        <w:numPr>
          <w:ilvl w:val="1"/>
          <w:numId w:val="273"/>
        </w:numPr>
      </w:pPr>
      <w:r>
        <w:t>The Supplier must not include in the</w:t>
      </w:r>
      <w:r w:rsidRPr="00F70171">
        <w:t xml:space="preserve"> </w:t>
      </w:r>
      <w:r>
        <w:t>Project Specific IPR, the Specially Written Software or the Software Supporting Materials provided for publication by Open Licence any Supplier Software, Supplier Background IPR, or Know-How, trade secrets or Confidential Information of the Supplier contained in any Specially Written Software or Project Specific IPR unless the Supplier consents to:</w:t>
      </w:r>
    </w:p>
    <w:p w14:paraId="46480E9E" w14:textId="77777777" w:rsidR="00F67E9E" w:rsidRDefault="00F67E9E" w:rsidP="00F67E9E">
      <w:pPr>
        <w:pStyle w:val="Numbered111"/>
        <w:numPr>
          <w:ilvl w:val="2"/>
          <w:numId w:val="273"/>
        </w:numPr>
      </w:pPr>
      <w:r>
        <w:t>their publication by the Authority under Open Licence; and</w:t>
      </w:r>
    </w:p>
    <w:p w14:paraId="556597FE" w14:textId="77777777" w:rsidR="00F67E9E" w:rsidRDefault="00F67E9E" w:rsidP="00F67E9E">
      <w:pPr>
        <w:pStyle w:val="Numbered111"/>
        <w:numPr>
          <w:ilvl w:val="2"/>
          <w:numId w:val="273"/>
        </w:numPr>
      </w:pPr>
      <w:r>
        <w:t>their subsequent licence and treatment as Open Licence under the terms of the licence chosen by the Authority.</w:t>
      </w:r>
    </w:p>
    <w:p w14:paraId="3584C7E3" w14:textId="77777777" w:rsidR="00F67E9E" w:rsidRDefault="00F67E9E" w:rsidP="00F67E9E">
      <w:pPr>
        <w:pStyle w:val="Numbered11"/>
        <w:numPr>
          <w:ilvl w:val="1"/>
          <w:numId w:val="273"/>
        </w:numPr>
      </w:pPr>
      <w:r>
        <w:t>T</w:t>
      </w:r>
      <w:r w:rsidRPr="00026597">
        <w:t xml:space="preserve">he </w:t>
      </w:r>
      <w:r>
        <w:t xml:space="preserve">Authority </w:t>
      </w:r>
      <w:r w:rsidRPr="00026597">
        <w:t xml:space="preserve">will not be liable in the event that any </w:t>
      </w:r>
      <w:r>
        <w:t xml:space="preserve">Supplier Software, Supplier Background IPR, or Know-How, trade secrets or Confidential Information of the Supplier contained in any Specially Written Software or Project Specific IPR </w:t>
      </w:r>
      <w:r w:rsidRPr="00026597">
        <w:t xml:space="preserve">is included in the Open Licence Publication Material published by the </w:t>
      </w:r>
      <w:r>
        <w:t>Authority</w:t>
      </w:r>
    </w:p>
    <w:p w14:paraId="41F5166C" w14:textId="77777777" w:rsidR="00F67E9E" w:rsidRDefault="00F67E9E" w:rsidP="00F67E9E">
      <w:pPr>
        <w:pStyle w:val="Numbered11"/>
        <w:numPr>
          <w:ilvl w:val="1"/>
          <w:numId w:val="273"/>
        </w:numPr>
      </w:pPr>
      <w:bookmarkStart w:id="3712" w:name="_Ref140819898"/>
      <w:r>
        <w:t xml:space="preserve">The Supplier must supply any or all the Project Specific IPR, the Specially Written Software or the Software Supporting Materials in a format (whether it is provided in any other format or not) suitable for publication under an Open Licence (the </w:t>
      </w:r>
      <w:r w:rsidRPr="00F90E7F">
        <w:rPr>
          <w:b/>
          <w:bCs/>
        </w:rPr>
        <w:t>"</w:t>
      </w:r>
      <w:r w:rsidRPr="001D3888">
        <w:rPr>
          <w:b/>
          <w:bCs/>
        </w:rPr>
        <w:t>Open Licence Publication Material</w:t>
      </w:r>
      <w:r w:rsidRPr="00F90E7F">
        <w:rPr>
          <w:b/>
          <w:bCs/>
        </w:rPr>
        <w:t>"</w:t>
      </w:r>
      <w:r>
        <w:t>) within 30 Working Days of written request from the Authority (</w:t>
      </w:r>
      <w:r w:rsidRPr="00F90E7F">
        <w:rPr>
          <w:b/>
          <w:bCs/>
        </w:rPr>
        <w:t>"</w:t>
      </w:r>
      <w:r>
        <w:rPr>
          <w:b/>
          <w:bCs/>
        </w:rPr>
        <w:t>Authority</w:t>
      </w:r>
      <w:r w:rsidRPr="001D3888">
        <w:rPr>
          <w:b/>
          <w:bCs/>
        </w:rPr>
        <w:t xml:space="preserve"> Open Licence Request</w:t>
      </w:r>
      <w:r w:rsidRPr="00F90E7F">
        <w:rPr>
          <w:b/>
          <w:bCs/>
        </w:rPr>
        <w:t>"</w:t>
      </w:r>
      <w:r>
        <w:t>).</w:t>
      </w:r>
      <w:bookmarkEnd w:id="3712"/>
    </w:p>
    <w:p w14:paraId="726A0798" w14:textId="0418D9E6" w:rsidR="00F67E9E" w:rsidRDefault="00F67E9E" w:rsidP="00F67E9E">
      <w:pPr>
        <w:pStyle w:val="Numbered11"/>
        <w:keepNext/>
        <w:numPr>
          <w:ilvl w:val="1"/>
          <w:numId w:val="273"/>
        </w:numPr>
      </w:pPr>
      <w:r>
        <w:t>The Supplier may within 15 Working Days of Authority Open Licence Request under Paragraph </w:t>
      </w:r>
      <w:r>
        <w:fldChar w:fldCharType="begin"/>
      </w:r>
      <w:r>
        <w:instrText xml:space="preserve"> REF _Ref140819898 \r \h  \* MERGEFORMAT </w:instrText>
      </w:r>
      <w:r>
        <w:fldChar w:fldCharType="separate"/>
      </w:r>
      <w:r w:rsidR="00302D39">
        <w:t>6.5</w:t>
      </w:r>
      <w:r>
        <w:fldChar w:fldCharType="end"/>
      </w:r>
      <w:r>
        <w:t xml:space="preserve"> request in writing that the Authority excludes all or part of:</w:t>
      </w:r>
    </w:p>
    <w:p w14:paraId="68B254AB" w14:textId="77777777" w:rsidR="00F67E9E" w:rsidRDefault="00F67E9E" w:rsidP="00F67E9E">
      <w:pPr>
        <w:pStyle w:val="Numbered111"/>
        <w:numPr>
          <w:ilvl w:val="2"/>
          <w:numId w:val="273"/>
        </w:numPr>
      </w:pPr>
      <w:r>
        <w:t>the Project Specific IPR, the Specially Written Software or the Software Supporting Materials Items; or</w:t>
      </w:r>
    </w:p>
    <w:p w14:paraId="1C67071B" w14:textId="74E4E692" w:rsidR="00F67E9E" w:rsidRDefault="00F67E9E" w:rsidP="00F67E9E">
      <w:pPr>
        <w:pStyle w:val="Numbered111"/>
        <w:numPr>
          <w:ilvl w:val="2"/>
          <w:numId w:val="273"/>
        </w:numPr>
      </w:pPr>
      <w:r>
        <w:t>the Supplier Software, the Third Party Software, the Third Party IPRs, the Supplier Background IPRs, or any Know-How, trade secrets or Confidential Information of the Supplier contained in any Specially Written Software or Project Specific IPR that would otherwise be included in the Open Licence Publication Material supplied to the Authority pursuant to Paragraph </w:t>
      </w:r>
      <w:r>
        <w:fldChar w:fldCharType="begin"/>
      </w:r>
      <w:r>
        <w:instrText xml:space="preserve"> REF _Ref140819898 \r \h  \* MERGEFORMAT </w:instrText>
      </w:r>
      <w:r>
        <w:fldChar w:fldCharType="separate"/>
      </w:r>
      <w:r w:rsidR="00302D39">
        <w:t>6.5</w:t>
      </w:r>
      <w:r>
        <w:fldChar w:fldCharType="end"/>
      </w:r>
      <w:r>
        <w:t>,</w:t>
      </w:r>
    </w:p>
    <w:p w14:paraId="37884843" w14:textId="77777777" w:rsidR="00F67E9E" w:rsidRDefault="00F67E9E" w:rsidP="00F67E9E">
      <w:pPr>
        <w:pStyle w:val="StdBodyText1"/>
      </w:pPr>
      <w:r>
        <w:t>from Open Licence publication.</w:t>
      </w:r>
    </w:p>
    <w:p w14:paraId="024907B0" w14:textId="04102AE1" w:rsidR="00F67E9E" w:rsidRDefault="00F67E9E" w:rsidP="00F67E9E">
      <w:pPr>
        <w:pStyle w:val="Numbered11"/>
        <w:numPr>
          <w:ilvl w:val="1"/>
          <w:numId w:val="273"/>
        </w:numPr>
      </w:pPr>
      <w:r>
        <w:t>The Supplier’s request under Paragraph </w:t>
      </w:r>
      <w:r>
        <w:fldChar w:fldCharType="begin"/>
      </w:r>
      <w:r>
        <w:instrText xml:space="preserve"> REF _Ref140819898 \r \h  \* MERGEFORMAT </w:instrText>
      </w:r>
      <w:r>
        <w:fldChar w:fldCharType="separate"/>
      </w:r>
      <w:r w:rsidR="00302D39">
        <w:t>6.5</w:t>
      </w:r>
      <w:r>
        <w:fldChar w:fldCharType="end"/>
      </w:r>
      <w:r>
        <w:t xml:space="preserve"> must include the Supplier’s assessment of the impact the Authority’s agreeing to the request would have on its ability to publish other Project Specific IPR, Specially Written Software or Software Supporting Materials under an Open Licence.</w:t>
      </w:r>
    </w:p>
    <w:p w14:paraId="46B89A24" w14:textId="5992AA32" w:rsidR="00F67E9E" w:rsidRPr="00FB3CC1" w:rsidRDefault="00F67E9E" w:rsidP="00F67E9E">
      <w:pPr>
        <w:pStyle w:val="Numbered11"/>
        <w:numPr>
          <w:ilvl w:val="1"/>
          <w:numId w:val="273"/>
        </w:numPr>
      </w:pPr>
      <w:bookmarkStart w:id="3713" w:name="_Ref140820522"/>
      <w:r>
        <w:t>Any decision to Approve any such request from the Supplier under Paragraph </w:t>
      </w:r>
      <w:r>
        <w:fldChar w:fldCharType="begin"/>
      </w:r>
      <w:r>
        <w:instrText xml:space="preserve"> REF _Ref140819898 \r \h  \* MERGEFORMAT </w:instrText>
      </w:r>
      <w:r>
        <w:fldChar w:fldCharType="separate"/>
      </w:r>
      <w:r w:rsidR="00302D39">
        <w:t>6.5</w:t>
      </w:r>
      <w:r>
        <w:fldChar w:fldCharType="end"/>
      </w:r>
      <w:r>
        <w:t xml:space="preserve"> shall be at the Authority’s sole discretion, not to be unreasonably withheld or delayed, or made subject to unreasonable conditions.</w:t>
      </w:r>
      <w:bookmarkEnd w:id="3713"/>
    </w:p>
    <w:p w14:paraId="32FE418E" w14:textId="77777777" w:rsidR="00F67E9E" w:rsidRDefault="00F67E9E" w:rsidP="00F67E9E">
      <w:pPr>
        <w:rPr>
          <w:highlight w:val="yellow"/>
        </w:rPr>
      </w:pPr>
      <w:r>
        <w:rPr>
          <w:highlight w:val="yellow"/>
        </w:rPr>
        <w:br w:type="page"/>
      </w:r>
    </w:p>
    <w:p w14:paraId="5F25B356" w14:textId="77A71375" w:rsidR="00F67E9E" w:rsidRPr="00266335" w:rsidRDefault="00F67E9E" w:rsidP="00F67E9E">
      <w:pPr>
        <w:pStyle w:val="StdBodyText"/>
        <w:rPr>
          <w:b/>
          <w:i/>
        </w:rPr>
      </w:pPr>
      <w:r w:rsidRPr="00266335">
        <w:rPr>
          <w:b/>
          <w:i/>
        </w:rPr>
        <w:t>[</w:t>
      </w:r>
      <w:r w:rsidRPr="00266335">
        <w:rPr>
          <w:b/>
          <w:i/>
          <w:highlight w:val="yellow"/>
        </w:rPr>
        <w:t xml:space="preserve">Guidance note: for </w:t>
      </w:r>
      <w:r w:rsidRPr="00266335">
        <w:rPr>
          <w:b/>
          <w:i/>
          <w:highlight w:val="yellow"/>
          <w:u w:val="single"/>
        </w:rPr>
        <w:t xml:space="preserve">Option </w:t>
      </w:r>
      <w:r w:rsidRPr="00266335">
        <w:rPr>
          <w:b/>
          <w:i/>
          <w:highlight w:val="yellow"/>
          <w:u w:val="single"/>
        </w:rPr>
        <w:fldChar w:fldCharType="begin"/>
      </w:r>
      <w:r w:rsidRPr="00266335">
        <w:rPr>
          <w:b/>
          <w:i/>
          <w:highlight w:val="yellow"/>
          <w:u w:val="single"/>
        </w:rPr>
        <w:instrText xml:space="preserve"> REF OPTION2_SCHEDULE32 \h  \* MERGEFORMAT </w:instrText>
      </w:r>
      <w:r w:rsidRPr="00266335">
        <w:rPr>
          <w:b/>
          <w:i/>
          <w:highlight w:val="yellow"/>
          <w:u w:val="single"/>
        </w:rPr>
      </w:r>
      <w:r w:rsidRPr="00266335">
        <w:rPr>
          <w:b/>
          <w:i/>
          <w:highlight w:val="yellow"/>
          <w:u w:val="single"/>
        </w:rPr>
        <w:fldChar w:fldCharType="separate"/>
      </w:r>
      <w:r w:rsidR="00302D39" w:rsidRPr="00302D39">
        <w:rPr>
          <w:b/>
          <w:i/>
          <w:u w:val="single"/>
        </w:rPr>
        <w:t>2</w:t>
      </w:r>
      <w:r w:rsidRPr="00266335">
        <w:rPr>
          <w:b/>
          <w:i/>
          <w:highlight w:val="yellow"/>
          <w:u w:val="single"/>
        </w:rPr>
        <w:fldChar w:fldCharType="end"/>
      </w:r>
      <w:r w:rsidRPr="00266335">
        <w:rPr>
          <w:b/>
          <w:i/>
          <w:highlight w:val="yellow"/>
        </w:rPr>
        <w:t>: Authority owns all Project Specific IPR and Specially Written Software with non-exclusive Supplier rights, please include the following drafting.]</w:t>
      </w:r>
    </w:p>
    <w:p w14:paraId="445DC069" w14:textId="77777777" w:rsidR="00F67E9E" w:rsidRDefault="00F67E9E" w:rsidP="00F67E9E">
      <w:pPr>
        <w:pStyle w:val="Heading2"/>
      </w:pPr>
      <w:bookmarkStart w:id="3714" w:name="_Toc118293563"/>
      <w:bookmarkStart w:id="3715" w:name="_Toc141712009"/>
      <w:r>
        <w:t xml:space="preserve">Option </w:t>
      </w:r>
      <w:bookmarkStart w:id="3716" w:name="OPTION2_SCHEDULE32"/>
      <w:r>
        <w:t>2</w:t>
      </w:r>
      <w:bookmarkEnd w:id="3714"/>
      <w:bookmarkEnd w:id="3715"/>
      <w:bookmarkEnd w:id="3716"/>
    </w:p>
    <w:p w14:paraId="5BAB51A3" w14:textId="77777777" w:rsidR="00F67E9E" w:rsidRDefault="00F67E9E" w:rsidP="00F67E9E">
      <w:pPr>
        <w:pStyle w:val="Numbered1"/>
        <w:numPr>
          <w:ilvl w:val="0"/>
          <w:numId w:val="276"/>
        </w:numPr>
      </w:pPr>
      <w:bookmarkStart w:id="3717" w:name="_Toc136451186"/>
      <w:r>
        <w:t>Ownership and delivery of IPR created under the Contract</w:t>
      </w:r>
      <w:bookmarkEnd w:id="3717"/>
    </w:p>
    <w:p w14:paraId="5667BDB8" w14:textId="76CF370C" w:rsidR="00F67E9E" w:rsidRDefault="00F67E9E" w:rsidP="00F67E9E">
      <w:pPr>
        <w:pStyle w:val="Numbered11"/>
        <w:keepNext/>
        <w:numPr>
          <w:ilvl w:val="1"/>
          <w:numId w:val="273"/>
        </w:numPr>
      </w:pPr>
      <w:r>
        <w:t>Subject to Paragraph </w:t>
      </w:r>
      <w:r>
        <w:fldChar w:fldCharType="begin"/>
      </w:r>
      <w:r>
        <w:instrText xml:space="preserve"> REF _Ref141105848 \w \h </w:instrText>
      </w:r>
      <w:r>
        <w:fldChar w:fldCharType="separate"/>
      </w:r>
      <w:r w:rsidR="00302D39">
        <w:t>1.1.1</w:t>
      </w:r>
      <w:r>
        <w:fldChar w:fldCharType="end"/>
      </w:r>
      <w:r>
        <w:t>, the Supplier agrees to</w:t>
      </w:r>
    </w:p>
    <w:p w14:paraId="64E61E13" w14:textId="77777777" w:rsidR="00F67E9E" w:rsidRDefault="00F67E9E" w:rsidP="00F67E9E">
      <w:pPr>
        <w:pStyle w:val="Numbered111"/>
        <w:keepNext/>
        <w:numPr>
          <w:ilvl w:val="2"/>
          <w:numId w:val="273"/>
        </w:numPr>
      </w:pPr>
      <w:r>
        <w:t>transfer to the Authority, or procure the transfer to the Authority of all Intellectual Property Rights in the Specially Written Software and Project Specific IPRs, including:</w:t>
      </w:r>
    </w:p>
    <w:p w14:paraId="6B1C9DC2" w14:textId="77777777" w:rsidR="00F67E9E" w:rsidRDefault="00F67E9E" w:rsidP="00F67E9E">
      <w:pPr>
        <w:pStyle w:val="Numbered111a"/>
        <w:numPr>
          <w:ilvl w:val="3"/>
          <w:numId w:val="273"/>
        </w:numPr>
      </w:pPr>
      <w:r>
        <w:t>the Documentation, Source Code and the Object Code of the Specially Written Software; and</w:t>
      </w:r>
    </w:p>
    <w:p w14:paraId="43DD1A08" w14:textId="77777777" w:rsidR="00F67E9E" w:rsidRDefault="00F67E9E" w:rsidP="00F67E9E">
      <w:pPr>
        <w:pStyle w:val="Numbered111a"/>
        <w:numPr>
          <w:ilvl w:val="3"/>
          <w:numId w:val="273"/>
        </w:numPr>
      </w:pPr>
      <w:r>
        <w:t>all build instructions, test instructions, test scripts, test data, operating instructions and other documents and tools necessary for maintaining and supporting the Specially Written Software,</w:t>
      </w:r>
    </w:p>
    <w:p w14:paraId="143C76CE" w14:textId="77777777" w:rsidR="00F67E9E" w:rsidRDefault="00F67E9E" w:rsidP="00F67E9E">
      <w:pPr>
        <w:pStyle w:val="StdBodyText3"/>
      </w:pPr>
      <w:r>
        <w:t xml:space="preserve">(together the </w:t>
      </w:r>
      <w:r w:rsidRPr="00F90E7F">
        <w:rPr>
          <w:b/>
          <w:bCs/>
        </w:rPr>
        <w:t>"</w:t>
      </w:r>
      <w:r w:rsidRPr="0043795B">
        <w:rPr>
          <w:b/>
          <w:bCs/>
        </w:rPr>
        <w:t>Software Supporting Materials</w:t>
      </w:r>
      <w:r w:rsidRPr="00F90E7F">
        <w:rPr>
          <w:b/>
          <w:bCs/>
        </w:rPr>
        <w:t>"</w:t>
      </w:r>
      <w:r>
        <w:t>); and</w:t>
      </w:r>
    </w:p>
    <w:p w14:paraId="6EA684C4" w14:textId="77777777" w:rsidR="00F67E9E" w:rsidRDefault="00F67E9E" w:rsidP="00F67E9E">
      <w:pPr>
        <w:pStyle w:val="Numbered111"/>
        <w:numPr>
          <w:ilvl w:val="2"/>
          <w:numId w:val="273"/>
        </w:numPr>
      </w:pPr>
      <w:r w:rsidRPr="00016234">
        <w:t xml:space="preserve">execute all such assignments required to </w:t>
      </w:r>
      <w:r>
        <w:t xml:space="preserve">transfer properly any </w:t>
      </w:r>
      <w:r w:rsidRPr="00016234">
        <w:t>rights in the Specially Written Software and Project Specific IPRs to the Authority</w:t>
      </w:r>
      <w:r>
        <w:t>.</w:t>
      </w:r>
    </w:p>
    <w:p w14:paraId="05403B6F" w14:textId="77777777" w:rsidR="00F67E9E" w:rsidRDefault="00F67E9E" w:rsidP="00F67E9E">
      <w:pPr>
        <w:pStyle w:val="Numbered11"/>
        <w:keepNext/>
        <w:numPr>
          <w:ilvl w:val="1"/>
          <w:numId w:val="273"/>
        </w:numPr>
      </w:pPr>
      <w:bookmarkStart w:id="3718" w:name="_Ref140100191"/>
      <w:r>
        <w:t>The Supplier must deliver to the Authority:</w:t>
      </w:r>
      <w:bookmarkEnd w:id="3718"/>
    </w:p>
    <w:p w14:paraId="0C34B7EA" w14:textId="77777777" w:rsidR="00F67E9E" w:rsidRDefault="00F67E9E" w:rsidP="00F67E9E">
      <w:pPr>
        <w:pStyle w:val="Numbered111"/>
        <w:numPr>
          <w:ilvl w:val="2"/>
          <w:numId w:val="273"/>
        </w:numPr>
      </w:pPr>
      <w:r w:rsidRPr="008C3BB0">
        <w:t>the Specially Written Software</w:t>
      </w:r>
      <w:r>
        <w:t xml:space="preserve">; </w:t>
      </w:r>
    </w:p>
    <w:p w14:paraId="5D805463" w14:textId="77777777" w:rsidR="00F67E9E" w:rsidRDefault="00F67E9E" w:rsidP="00F67E9E">
      <w:pPr>
        <w:pStyle w:val="Numbered111"/>
        <w:numPr>
          <w:ilvl w:val="2"/>
          <w:numId w:val="273"/>
        </w:numPr>
      </w:pPr>
      <w:r w:rsidRPr="008C3BB0">
        <w:t xml:space="preserve">any </w:t>
      </w:r>
      <w:r>
        <w:t>software</w:t>
      </w:r>
      <w:r w:rsidRPr="008C3BB0">
        <w:t xml:space="preserve"> elements of the </w:t>
      </w:r>
      <w:r>
        <w:t>Project Specific IPR;</w:t>
      </w:r>
    </w:p>
    <w:p w14:paraId="1F3245A4" w14:textId="77777777" w:rsidR="00F67E9E" w:rsidRDefault="00F67E9E" w:rsidP="00F67E9E">
      <w:pPr>
        <w:pStyle w:val="Numbered111"/>
        <w:numPr>
          <w:ilvl w:val="2"/>
          <w:numId w:val="273"/>
        </w:numPr>
      </w:pPr>
      <w:r w:rsidRPr="008C3BB0">
        <w:t>relevant Documentation</w:t>
      </w:r>
      <w:r>
        <w:t>; and</w:t>
      </w:r>
    </w:p>
    <w:p w14:paraId="66A658BA" w14:textId="77777777" w:rsidR="00F67E9E" w:rsidRDefault="00F67E9E" w:rsidP="00F67E9E">
      <w:pPr>
        <w:pStyle w:val="Numbered111"/>
        <w:numPr>
          <w:ilvl w:val="2"/>
          <w:numId w:val="273"/>
        </w:numPr>
      </w:pPr>
      <w:r w:rsidRPr="008C3BB0">
        <w:t>all related Software Supporting Materials</w:t>
      </w:r>
      <w:r>
        <w:t>,</w:t>
      </w:r>
    </w:p>
    <w:p w14:paraId="16A6C199" w14:textId="77777777" w:rsidR="00F67E9E" w:rsidRDefault="00F67E9E" w:rsidP="00F67E9E">
      <w:pPr>
        <w:pStyle w:val="StdBodyText2"/>
        <w:keepNext/>
      </w:pPr>
      <w:r w:rsidRPr="008C3BB0">
        <w:t>within</w:t>
      </w:r>
      <w:r>
        <w:t xml:space="preserve"> </w:t>
      </w:r>
      <w:r w:rsidRPr="008C3BB0">
        <w:t>seven days of</w:t>
      </w:r>
      <w:r>
        <w:t>:</w:t>
      </w:r>
    </w:p>
    <w:p w14:paraId="165DBEE3" w14:textId="77777777" w:rsidR="00F67E9E" w:rsidRDefault="00F67E9E" w:rsidP="00F67E9E">
      <w:pPr>
        <w:pStyle w:val="Numbered111"/>
        <w:keepNext/>
        <w:numPr>
          <w:ilvl w:val="2"/>
          <w:numId w:val="273"/>
        </w:numPr>
      </w:pPr>
      <w:r>
        <w:t>either:</w:t>
      </w:r>
    </w:p>
    <w:p w14:paraId="2570B5B3" w14:textId="77777777" w:rsidR="00F67E9E" w:rsidRDefault="00F67E9E" w:rsidP="00F67E9E">
      <w:pPr>
        <w:pStyle w:val="Numbered111a"/>
        <w:numPr>
          <w:ilvl w:val="3"/>
          <w:numId w:val="273"/>
        </w:numPr>
      </w:pPr>
      <w:r>
        <w:t>initial release or deployment;</w:t>
      </w:r>
      <w:r w:rsidRPr="008C3BB0">
        <w:t xml:space="preserve"> or</w:t>
      </w:r>
    </w:p>
    <w:p w14:paraId="6FF76672" w14:textId="77777777" w:rsidR="00F67E9E" w:rsidRDefault="00F67E9E" w:rsidP="00F67E9E">
      <w:pPr>
        <w:pStyle w:val="Numbered111a"/>
        <w:numPr>
          <w:ilvl w:val="3"/>
          <w:numId w:val="273"/>
        </w:numPr>
      </w:pPr>
      <w:r w:rsidRPr="008C3BB0">
        <w:t>if a relevant Milestone has been identified in an Implementation Plan, Achievement of that Milestone</w:t>
      </w:r>
      <w:r>
        <w:t>; and</w:t>
      </w:r>
    </w:p>
    <w:p w14:paraId="01221C21" w14:textId="77777777" w:rsidR="00F67E9E" w:rsidRDefault="00F67E9E" w:rsidP="00F67E9E">
      <w:pPr>
        <w:pStyle w:val="Numbered111"/>
        <w:numPr>
          <w:ilvl w:val="2"/>
          <w:numId w:val="273"/>
        </w:numPr>
      </w:pPr>
      <w:r>
        <w:t>each subsequent release or deployment of the Specially Written Software and any software elements of the Project Specific IPR.</w:t>
      </w:r>
    </w:p>
    <w:p w14:paraId="149DC315" w14:textId="6F14D143" w:rsidR="00F67E9E" w:rsidRDefault="00F67E9E" w:rsidP="00F67E9E">
      <w:pPr>
        <w:pStyle w:val="Numbered11"/>
        <w:numPr>
          <w:ilvl w:val="1"/>
          <w:numId w:val="273"/>
        </w:numPr>
      </w:pPr>
      <w:r>
        <w:t>Where the Supplier delivers materials to the Authority under Paragraph </w:t>
      </w:r>
      <w:r>
        <w:fldChar w:fldCharType="begin"/>
      </w:r>
      <w:r>
        <w:instrText xml:space="preserve"> REF _Ref140100191 \w \h  \* MERGEFORMAT </w:instrText>
      </w:r>
      <w:r>
        <w:fldChar w:fldCharType="separate"/>
      </w:r>
      <w:r w:rsidR="00302D39">
        <w:t>1.2</w:t>
      </w:r>
      <w:r>
        <w:fldChar w:fldCharType="end"/>
      </w:r>
      <w:r>
        <w:t>, it must do so in a format specified by the Authority. Where the Authority specifies the material is to be delivered on media, the Authority becomes the owner of the media containing the material on delivery.</w:t>
      </w:r>
    </w:p>
    <w:p w14:paraId="0351ACBD" w14:textId="77777777" w:rsidR="00F67E9E" w:rsidRDefault="00F67E9E" w:rsidP="00F67E9E">
      <w:pPr>
        <w:pStyle w:val="Numbered1"/>
        <w:numPr>
          <w:ilvl w:val="0"/>
          <w:numId w:val="273"/>
        </w:numPr>
      </w:pPr>
      <w:bookmarkStart w:id="3719" w:name="_Ref140100775"/>
      <w:r>
        <w:t>Use of Supplier or Third Party Non-COTS Software or Non-COTS Background IPR</w:t>
      </w:r>
      <w:bookmarkEnd w:id="3719"/>
    </w:p>
    <w:p w14:paraId="6F5C7ECD" w14:textId="77777777" w:rsidR="00F67E9E" w:rsidRDefault="00F67E9E" w:rsidP="00F67E9E">
      <w:pPr>
        <w:pStyle w:val="Numbered11"/>
        <w:keepNext/>
        <w:numPr>
          <w:ilvl w:val="1"/>
          <w:numId w:val="273"/>
        </w:numPr>
      </w:pPr>
      <w:r w:rsidRPr="00A550B3">
        <w:t xml:space="preserve">The Supplier </w:t>
      </w:r>
      <w:r>
        <w:t xml:space="preserve">must </w:t>
      </w:r>
      <w:r w:rsidRPr="00A550B3">
        <w:t>not use any</w:t>
      </w:r>
      <w:r>
        <w:t>:</w:t>
      </w:r>
    </w:p>
    <w:p w14:paraId="4A796025" w14:textId="77777777" w:rsidR="00F67E9E" w:rsidRDefault="00F67E9E" w:rsidP="00F67E9E">
      <w:pPr>
        <w:pStyle w:val="Numbered111"/>
        <w:numPr>
          <w:ilvl w:val="2"/>
          <w:numId w:val="273"/>
        </w:numPr>
      </w:pPr>
      <w:r w:rsidRPr="00A550B3">
        <w:t>Supplier Non-COTS Software</w:t>
      </w:r>
      <w:r>
        <w:t>; or</w:t>
      </w:r>
    </w:p>
    <w:p w14:paraId="2D6A4056" w14:textId="77777777" w:rsidR="00F67E9E" w:rsidRDefault="00F67E9E" w:rsidP="00F67E9E">
      <w:pPr>
        <w:pStyle w:val="Numbered111"/>
        <w:numPr>
          <w:ilvl w:val="2"/>
          <w:numId w:val="273"/>
        </w:numPr>
      </w:pPr>
      <w:r>
        <w:t xml:space="preserve">any </w:t>
      </w:r>
      <w:r w:rsidRPr="00A550B3">
        <w:t>Supplier Non-COTS Background IPR</w:t>
      </w:r>
      <w:r>
        <w:t>;</w:t>
      </w:r>
    </w:p>
    <w:p w14:paraId="6032F55D" w14:textId="77777777" w:rsidR="00F67E9E" w:rsidRDefault="00F67E9E" w:rsidP="00F67E9E">
      <w:pPr>
        <w:pStyle w:val="StdBodyText1"/>
      </w:pPr>
      <w:r w:rsidRPr="00A550B3">
        <w:t>in the provision of the Services</w:t>
      </w:r>
      <w:r>
        <w:t xml:space="preserve"> or any Deliverables </w:t>
      </w:r>
      <w:r w:rsidRPr="00016234">
        <w:t>(including in any Specially Written Software or in the software element of Project Specific IPRs)</w:t>
      </w:r>
      <w:r w:rsidRPr="00A550B3">
        <w:t xml:space="preserve"> unless</w:t>
      </w:r>
      <w:r>
        <w:t>:</w:t>
      </w:r>
    </w:p>
    <w:p w14:paraId="1DFBCDA0" w14:textId="77777777" w:rsidR="00F67E9E" w:rsidRDefault="00F67E9E" w:rsidP="00F67E9E">
      <w:pPr>
        <w:pStyle w:val="Numbered111"/>
        <w:keepNext/>
        <w:numPr>
          <w:ilvl w:val="2"/>
          <w:numId w:val="273"/>
        </w:numPr>
      </w:pPr>
      <w:r>
        <w:t>in the case of Supplier Non-COTS Software and the software elements of Supplier</w:t>
      </w:r>
      <w:r w:rsidRPr="00A550B3">
        <w:t xml:space="preserve"> Non-COTS Background IPR</w:t>
      </w:r>
      <w:r>
        <w:t>, it is either:</w:t>
      </w:r>
    </w:p>
    <w:p w14:paraId="600C289F" w14:textId="0B37C56C" w:rsidR="00F67E9E" w:rsidRDefault="00F67E9E" w:rsidP="00F67E9E">
      <w:pPr>
        <w:pStyle w:val="Numbered111a"/>
        <w:numPr>
          <w:ilvl w:val="3"/>
          <w:numId w:val="273"/>
        </w:numPr>
      </w:pPr>
      <w:r w:rsidRPr="00A550B3">
        <w:t xml:space="preserve">detailed in </w:t>
      </w:r>
      <w:r>
        <w:fldChar w:fldCharType="begin"/>
      </w:r>
      <w:r>
        <w:instrText xml:space="preserve"> REF Schedule12 \h </w:instrText>
      </w:r>
      <w:r>
        <w:fldChar w:fldCharType="separate"/>
      </w:r>
      <w:r w:rsidR="00302D39" w:rsidRPr="005D0525">
        <w:t>Schedule</w:t>
      </w:r>
      <w:r w:rsidR="00302D39">
        <w:t> </w:t>
      </w:r>
      <w:r w:rsidR="00302D39" w:rsidRPr="005D0525">
        <w:t>12</w:t>
      </w:r>
      <w:r>
        <w:fldChar w:fldCharType="end"/>
      </w:r>
      <w:r w:rsidRPr="00A550B3">
        <w:t xml:space="preserve"> (</w:t>
      </w:r>
      <w:r w:rsidRPr="00212E6C">
        <w:rPr>
          <w:i/>
          <w:iCs/>
        </w:rPr>
        <w:fldChar w:fldCharType="begin"/>
      </w:r>
      <w:r w:rsidRPr="00212E6C">
        <w:rPr>
          <w:i/>
          <w:iCs/>
        </w:rPr>
        <w:instrText xml:space="preserve"> REF Schedule12Heading \h  \* MERGEFORMAT </w:instrText>
      </w:r>
      <w:r w:rsidRPr="00212E6C">
        <w:rPr>
          <w:i/>
          <w:iCs/>
        </w:rPr>
      </w:r>
      <w:r w:rsidRPr="00212E6C">
        <w:rPr>
          <w:i/>
          <w:iCs/>
        </w:rPr>
        <w:fldChar w:fldCharType="separate"/>
      </w:r>
      <w:r w:rsidR="00302D39" w:rsidRPr="00302D39">
        <w:rPr>
          <w:i/>
          <w:iCs/>
        </w:rPr>
        <w:t>Software</w:t>
      </w:r>
      <w:r w:rsidRPr="00212E6C">
        <w:rPr>
          <w:i/>
          <w:iCs/>
        </w:rPr>
        <w:fldChar w:fldCharType="end"/>
      </w:r>
      <w:r w:rsidRPr="00A550B3">
        <w:t>)</w:t>
      </w:r>
      <w:r>
        <w:t>;</w:t>
      </w:r>
      <w:r w:rsidRPr="00A550B3">
        <w:t xml:space="preserve"> or</w:t>
      </w:r>
    </w:p>
    <w:p w14:paraId="4D7F5020" w14:textId="77777777" w:rsidR="00F67E9E" w:rsidRDefault="00F67E9E" w:rsidP="00F67E9E">
      <w:pPr>
        <w:pStyle w:val="Numbered111a"/>
        <w:keepNext/>
        <w:numPr>
          <w:ilvl w:val="3"/>
          <w:numId w:val="273"/>
        </w:numPr>
      </w:pPr>
      <w:r>
        <w:t>both:</w:t>
      </w:r>
    </w:p>
    <w:p w14:paraId="2831B8D6" w14:textId="77777777" w:rsidR="00F67E9E" w:rsidRDefault="00F67E9E" w:rsidP="00F67E9E">
      <w:pPr>
        <w:pStyle w:val="Numbered111ai"/>
        <w:numPr>
          <w:ilvl w:val="4"/>
          <w:numId w:val="273"/>
        </w:numPr>
      </w:pPr>
      <w:r>
        <w:t xml:space="preserve">submitted </w:t>
      </w:r>
      <w:r w:rsidRPr="00A550B3">
        <w:t>to the Technical Board for review</w:t>
      </w:r>
      <w:r>
        <w:t>; and</w:t>
      </w:r>
    </w:p>
    <w:p w14:paraId="168CC216" w14:textId="77777777" w:rsidR="00F67E9E" w:rsidRDefault="00F67E9E" w:rsidP="00F67E9E">
      <w:pPr>
        <w:pStyle w:val="Numbered111ai"/>
        <w:numPr>
          <w:ilvl w:val="4"/>
          <w:numId w:val="273"/>
        </w:numPr>
      </w:pPr>
      <w:r>
        <w:t xml:space="preserve">approved </w:t>
      </w:r>
      <w:r w:rsidRPr="00A550B3">
        <w:t>by the Authority</w:t>
      </w:r>
      <w:r>
        <w:t>; or</w:t>
      </w:r>
    </w:p>
    <w:p w14:paraId="30FE7F63" w14:textId="77777777" w:rsidR="00F67E9E" w:rsidRDefault="00F67E9E" w:rsidP="00F67E9E">
      <w:pPr>
        <w:pStyle w:val="Numbered111"/>
        <w:numPr>
          <w:ilvl w:val="2"/>
          <w:numId w:val="273"/>
        </w:numPr>
      </w:pPr>
      <w:r>
        <w:t>in the case of non-software elements of Supplier</w:t>
      </w:r>
      <w:r w:rsidRPr="00A550B3">
        <w:t xml:space="preserve"> Non-COTS Background IPR</w:t>
      </w:r>
      <w:r>
        <w:t>, it is approved by the Authority in writing.</w:t>
      </w:r>
    </w:p>
    <w:p w14:paraId="2E69D80D" w14:textId="77777777" w:rsidR="00F67E9E" w:rsidRDefault="00F67E9E" w:rsidP="00F67E9E">
      <w:pPr>
        <w:pStyle w:val="Numbered11"/>
        <w:keepNext/>
        <w:numPr>
          <w:ilvl w:val="1"/>
          <w:numId w:val="273"/>
        </w:numPr>
      </w:pPr>
      <w:r w:rsidRPr="00A550B3">
        <w:t xml:space="preserve">The Supplier </w:t>
      </w:r>
      <w:r>
        <w:t xml:space="preserve">must </w:t>
      </w:r>
      <w:r w:rsidRPr="00A550B3">
        <w:t>not use any</w:t>
      </w:r>
      <w:r>
        <w:t>:</w:t>
      </w:r>
    </w:p>
    <w:p w14:paraId="2D923175" w14:textId="77777777" w:rsidR="00F67E9E" w:rsidRDefault="00F67E9E" w:rsidP="00F67E9E">
      <w:pPr>
        <w:pStyle w:val="Numbered111"/>
        <w:numPr>
          <w:ilvl w:val="2"/>
          <w:numId w:val="273"/>
        </w:numPr>
      </w:pPr>
      <w:r>
        <w:t>Third Party Non-COTS Software; or</w:t>
      </w:r>
    </w:p>
    <w:p w14:paraId="5C801AF6" w14:textId="77777777" w:rsidR="00F67E9E" w:rsidRDefault="00F67E9E" w:rsidP="00F67E9E">
      <w:pPr>
        <w:pStyle w:val="Numbered111"/>
        <w:numPr>
          <w:ilvl w:val="2"/>
          <w:numId w:val="273"/>
        </w:numPr>
      </w:pPr>
      <w:r>
        <w:t>Third Party</w:t>
      </w:r>
      <w:r w:rsidRPr="00A550B3">
        <w:t xml:space="preserve"> Non-COTS Background IPR</w:t>
      </w:r>
      <w:r>
        <w:t>,</w:t>
      </w:r>
    </w:p>
    <w:p w14:paraId="399737D1" w14:textId="77777777" w:rsidR="00F67E9E" w:rsidRDefault="00F67E9E" w:rsidP="00F67E9E">
      <w:pPr>
        <w:pStyle w:val="StdBodyText1"/>
      </w:pPr>
      <w:r w:rsidRPr="00A550B3">
        <w:t>in the provision of the Services</w:t>
      </w:r>
      <w:r>
        <w:t xml:space="preserve"> or in any Deliverable </w:t>
      </w:r>
      <w:r w:rsidRPr="00016234">
        <w:t>(including in any Specially Written Software or in the software element of Project Specific IPRs)</w:t>
      </w:r>
      <w:r w:rsidRPr="00A550B3">
        <w:t xml:space="preserve"> unless</w:t>
      </w:r>
      <w:r>
        <w:t>:</w:t>
      </w:r>
    </w:p>
    <w:p w14:paraId="79452EB4" w14:textId="77777777" w:rsidR="00F67E9E" w:rsidRDefault="00F67E9E" w:rsidP="00F67E9E">
      <w:pPr>
        <w:pStyle w:val="Numbered111"/>
        <w:keepNext/>
        <w:numPr>
          <w:ilvl w:val="2"/>
          <w:numId w:val="273"/>
        </w:numPr>
      </w:pPr>
      <w:r>
        <w:t>in the case of Third Party Non-COTS Software and the software elements of Third Party</w:t>
      </w:r>
      <w:r w:rsidRPr="00A550B3">
        <w:t xml:space="preserve"> Non-COTS Background IPR</w:t>
      </w:r>
      <w:r>
        <w:t>, it is either:</w:t>
      </w:r>
    </w:p>
    <w:p w14:paraId="6E1DB12A" w14:textId="417476CD" w:rsidR="00F67E9E" w:rsidRDefault="00F67E9E" w:rsidP="00F67E9E">
      <w:pPr>
        <w:pStyle w:val="Numbered111a"/>
        <w:numPr>
          <w:ilvl w:val="3"/>
          <w:numId w:val="273"/>
        </w:numPr>
      </w:pPr>
      <w:r w:rsidRPr="00A550B3">
        <w:t xml:space="preserve">detailed in </w:t>
      </w:r>
      <w:r>
        <w:fldChar w:fldCharType="begin"/>
      </w:r>
      <w:r>
        <w:instrText xml:space="preserve"> REF Schedule12 \h </w:instrText>
      </w:r>
      <w:r>
        <w:fldChar w:fldCharType="separate"/>
      </w:r>
      <w:r w:rsidR="00302D39" w:rsidRPr="005D0525">
        <w:t>Schedule</w:t>
      </w:r>
      <w:r w:rsidR="00302D39">
        <w:t> </w:t>
      </w:r>
      <w:r w:rsidR="00302D39" w:rsidRPr="005D0525">
        <w:t>12</w:t>
      </w:r>
      <w:r>
        <w:fldChar w:fldCharType="end"/>
      </w:r>
      <w:r w:rsidRPr="00A550B3">
        <w:t xml:space="preserve"> (</w:t>
      </w:r>
      <w:r w:rsidRPr="00212E6C">
        <w:rPr>
          <w:i/>
          <w:iCs/>
        </w:rPr>
        <w:fldChar w:fldCharType="begin"/>
      </w:r>
      <w:r w:rsidRPr="00212E6C">
        <w:rPr>
          <w:i/>
          <w:iCs/>
        </w:rPr>
        <w:instrText xml:space="preserve"> REF Schedule12Heading \h  \* MERGEFORMAT </w:instrText>
      </w:r>
      <w:r w:rsidRPr="00212E6C">
        <w:rPr>
          <w:i/>
          <w:iCs/>
        </w:rPr>
      </w:r>
      <w:r w:rsidRPr="00212E6C">
        <w:rPr>
          <w:i/>
          <w:iCs/>
        </w:rPr>
        <w:fldChar w:fldCharType="separate"/>
      </w:r>
      <w:r w:rsidR="00302D39" w:rsidRPr="00302D39">
        <w:rPr>
          <w:i/>
          <w:iCs/>
        </w:rPr>
        <w:t>Software</w:t>
      </w:r>
      <w:r w:rsidRPr="00212E6C">
        <w:rPr>
          <w:i/>
          <w:iCs/>
        </w:rPr>
        <w:fldChar w:fldCharType="end"/>
      </w:r>
      <w:r w:rsidRPr="00A550B3">
        <w:t>)</w:t>
      </w:r>
      <w:r>
        <w:t>;</w:t>
      </w:r>
      <w:r w:rsidRPr="00A550B3">
        <w:t xml:space="preserve"> or</w:t>
      </w:r>
    </w:p>
    <w:p w14:paraId="0422892E" w14:textId="77777777" w:rsidR="00F67E9E" w:rsidRDefault="00F67E9E" w:rsidP="00F67E9E">
      <w:pPr>
        <w:pStyle w:val="Numbered111a"/>
        <w:keepNext/>
        <w:numPr>
          <w:ilvl w:val="3"/>
          <w:numId w:val="273"/>
        </w:numPr>
      </w:pPr>
      <w:r>
        <w:t>both:</w:t>
      </w:r>
    </w:p>
    <w:p w14:paraId="3BF552FF" w14:textId="77777777" w:rsidR="00F67E9E" w:rsidRDefault="00F67E9E" w:rsidP="00F67E9E">
      <w:pPr>
        <w:pStyle w:val="Numbered111ai"/>
        <w:numPr>
          <w:ilvl w:val="4"/>
          <w:numId w:val="273"/>
        </w:numPr>
      </w:pPr>
      <w:r>
        <w:t xml:space="preserve">submitted </w:t>
      </w:r>
      <w:r w:rsidRPr="00A550B3">
        <w:t>to the Technical Board for review</w:t>
      </w:r>
      <w:r>
        <w:t>; and</w:t>
      </w:r>
    </w:p>
    <w:p w14:paraId="4D7DDDB2" w14:textId="77777777" w:rsidR="00F67E9E" w:rsidRDefault="00F67E9E" w:rsidP="00F67E9E">
      <w:pPr>
        <w:pStyle w:val="Numbered111ai"/>
        <w:numPr>
          <w:ilvl w:val="4"/>
          <w:numId w:val="273"/>
        </w:numPr>
      </w:pPr>
      <w:r>
        <w:t xml:space="preserve">approved </w:t>
      </w:r>
      <w:r w:rsidRPr="00A550B3">
        <w:t>by the Authority</w:t>
      </w:r>
      <w:r>
        <w:t>; and</w:t>
      </w:r>
    </w:p>
    <w:p w14:paraId="70AEE66E" w14:textId="77777777" w:rsidR="00F67E9E" w:rsidRDefault="00F67E9E" w:rsidP="00F67E9E">
      <w:pPr>
        <w:pStyle w:val="Numbered111a"/>
        <w:keepNext/>
        <w:numPr>
          <w:ilvl w:val="3"/>
          <w:numId w:val="273"/>
        </w:numPr>
      </w:pPr>
      <w:r>
        <w:t>one of the following conditions is met:</w:t>
      </w:r>
    </w:p>
    <w:p w14:paraId="00CAF1F7" w14:textId="595B936D" w:rsidR="00F67E9E" w:rsidRDefault="00F67E9E" w:rsidP="00F67E9E">
      <w:pPr>
        <w:pStyle w:val="Numbered111ai"/>
        <w:numPr>
          <w:ilvl w:val="4"/>
          <w:numId w:val="273"/>
        </w:numPr>
      </w:pPr>
      <w:bookmarkStart w:id="3720" w:name="_Ref140100286"/>
      <w:r>
        <w:t>the owner or an authorised licensor of the relevant IPR has granted the Authority a direct licence on the terms equivalent to those set out in Paragraph </w:t>
      </w:r>
      <w:r>
        <w:fldChar w:fldCharType="begin"/>
      </w:r>
      <w:r>
        <w:instrText xml:space="preserve"> REF _Ref140100250 \w \h  \* MERGEFORMAT </w:instrText>
      </w:r>
      <w:r>
        <w:fldChar w:fldCharType="separate"/>
      </w:r>
      <w:r w:rsidR="00302D39">
        <w:t>7</w:t>
      </w:r>
      <w:r>
        <w:fldChar w:fldCharType="end"/>
      </w:r>
      <w:r>
        <w:t>; or</w:t>
      </w:r>
      <w:bookmarkEnd w:id="3720"/>
    </w:p>
    <w:p w14:paraId="04B148B5" w14:textId="3C21CCB8" w:rsidR="00F67E9E" w:rsidRDefault="00F67E9E" w:rsidP="00F67E9E">
      <w:pPr>
        <w:pStyle w:val="Numbered111ai"/>
        <w:keepNext/>
        <w:numPr>
          <w:ilvl w:val="4"/>
          <w:numId w:val="273"/>
        </w:numPr>
      </w:pPr>
      <w:bookmarkStart w:id="3721" w:name="_Ref140100316"/>
      <w:r>
        <w:t>if the Supplier cannot, after commercially reasonable endeavours, meet the condition in Paragraph </w:t>
      </w:r>
      <w:r>
        <w:fldChar w:fldCharType="begin"/>
      </w:r>
      <w:r>
        <w:instrText xml:space="preserve"> REF _Ref140100286 \w \h  \* MERGEFORMAT </w:instrText>
      </w:r>
      <w:r>
        <w:fldChar w:fldCharType="separate"/>
      </w:r>
      <w:r w:rsidR="00302D39">
        <w:t>2.2.3(c)(i)</w:t>
      </w:r>
      <w:r>
        <w:fldChar w:fldCharType="end"/>
      </w:r>
      <w:r>
        <w:t>, all the following conditions are met:</w:t>
      </w:r>
      <w:bookmarkEnd w:id="3721"/>
    </w:p>
    <w:p w14:paraId="203EEF2B" w14:textId="77777777" w:rsidR="00F67E9E" w:rsidRDefault="00F67E9E" w:rsidP="00F67E9E">
      <w:pPr>
        <w:pStyle w:val="Numbered111aiA"/>
        <w:keepNext/>
        <w:numPr>
          <w:ilvl w:val="5"/>
          <w:numId w:val="273"/>
        </w:numPr>
      </w:pPr>
      <w:r>
        <w:t>the Supplier has notified the Authority in writing giving details of:</w:t>
      </w:r>
    </w:p>
    <w:p w14:paraId="296A186D" w14:textId="77777777" w:rsidR="00F67E9E" w:rsidRDefault="00F67E9E" w:rsidP="00F67E9E">
      <w:pPr>
        <w:pStyle w:val="Numbered111aiA1"/>
        <w:numPr>
          <w:ilvl w:val="6"/>
          <w:numId w:val="273"/>
        </w:numPr>
      </w:pPr>
      <w:r>
        <w:t>what licence terms can be obtained from the relevant third party; and</w:t>
      </w:r>
    </w:p>
    <w:p w14:paraId="6637D2F1" w14:textId="77777777" w:rsidR="00F67E9E" w:rsidRDefault="00F67E9E" w:rsidP="00F67E9E">
      <w:pPr>
        <w:pStyle w:val="Numbered111aiA1"/>
        <w:numPr>
          <w:ilvl w:val="6"/>
          <w:numId w:val="273"/>
        </w:numPr>
      </w:pPr>
      <w:r>
        <w:t xml:space="preserve">whether there are providers which the Supplier could seek to use and the licence terms obtainable from those third parties; </w:t>
      </w:r>
    </w:p>
    <w:p w14:paraId="06A458BC" w14:textId="77777777" w:rsidR="00F67E9E" w:rsidRDefault="00F67E9E" w:rsidP="00F67E9E">
      <w:pPr>
        <w:pStyle w:val="Numbered111aiA"/>
        <w:numPr>
          <w:ilvl w:val="5"/>
          <w:numId w:val="273"/>
        </w:numPr>
      </w:pPr>
      <w:r>
        <w:t>the Authority approves the licence terms of one of those third parties; and</w:t>
      </w:r>
    </w:p>
    <w:p w14:paraId="69ECD2C0" w14:textId="77777777" w:rsidR="00F67E9E" w:rsidRDefault="00F67E9E" w:rsidP="00F67E9E">
      <w:pPr>
        <w:pStyle w:val="Numbered111aiA"/>
        <w:numPr>
          <w:ilvl w:val="5"/>
          <w:numId w:val="273"/>
        </w:numPr>
      </w:pPr>
      <w:r>
        <w:t>the owner and authorised licensor of the Third Party IPR has granted a direct licence of the Third Party IPR to the Authority on those terms; or</w:t>
      </w:r>
    </w:p>
    <w:p w14:paraId="3D5E0144" w14:textId="08B1C004" w:rsidR="00F67E9E" w:rsidRDefault="00F67E9E" w:rsidP="00F67E9E">
      <w:pPr>
        <w:pStyle w:val="Numbered111ai"/>
        <w:numPr>
          <w:ilvl w:val="4"/>
          <w:numId w:val="273"/>
        </w:numPr>
      </w:pPr>
      <w:r>
        <w:t>if the Supplier cannot meet the conditions in Paragraphs </w:t>
      </w:r>
      <w:r>
        <w:fldChar w:fldCharType="begin"/>
      </w:r>
      <w:r>
        <w:instrText xml:space="preserve"> REF _Ref140100286 \w \h  \* MERGEFORMAT </w:instrText>
      </w:r>
      <w:r>
        <w:fldChar w:fldCharType="separate"/>
      </w:r>
      <w:r w:rsidR="00302D39">
        <w:t>2.2.3(c)(i)</w:t>
      </w:r>
      <w:r>
        <w:fldChar w:fldCharType="end"/>
      </w:r>
      <w:r>
        <w:t xml:space="preserve"> and </w:t>
      </w:r>
      <w:r>
        <w:fldChar w:fldCharType="begin"/>
      </w:r>
      <w:r>
        <w:instrText xml:space="preserve"> REF _Ref140100316 \w \h  \* MERGEFORMAT </w:instrText>
      </w:r>
      <w:r>
        <w:fldChar w:fldCharType="separate"/>
      </w:r>
      <w:r w:rsidR="00302D39">
        <w:t>2.2.3(c)(ii)</w:t>
      </w:r>
      <w:r>
        <w:fldChar w:fldCharType="end"/>
      </w:r>
      <w:r>
        <w:t xml:space="preserve">, the Authority has provided written approval to </w:t>
      </w:r>
      <w:r w:rsidRPr="00CE3BEC">
        <w:t xml:space="preserve">use </w:t>
      </w:r>
      <w:r>
        <w:t xml:space="preserve">the relevant IPR </w:t>
      </w:r>
      <w:r w:rsidRPr="00CE3BEC">
        <w:t>without a licence, with reference to the acts authorised and the specific IPR involved</w:t>
      </w:r>
      <w:r>
        <w:t>; or</w:t>
      </w:r>
    </w:p>
    <w:p w14:paraId="5A636EA9" w14:textId="77777777" w:rsidR="00F67E9E" w:rsidRDefault="00F67E9E" w:rsidP="00F67E9E">
      <w:pPr>
        <w:pStyle w:val="Numbered111"/>
        <w:numPr>
          <w:ilvl w:val="2"/>
          <w:numId w:val="273"/>
        </w:numPr>
      </w:pPr>
      <w:r>
        <w:t xml:space="preserve">in the case of non-software elements of Third-Party </w:t>
      </w:r>
      <w:r w:rsidRPr="00A550B3">
        <w:t>Non-COTS Background IPR</w:t>
      </w:r>
      <w:r>
        <w:t>, it is approved by the Authority in writing.</w:t>
      </w:r>
    </w:p>
    <w:p w14:paraId="339924E2" w14:textId="77777777" w:rsidR="00F67E9E" w:rsidRDefault="00F67E9E" w:rsidP="00F67E9E">
      <w:pPr>
        <w:pStyle w:val="Numbered1"/>
        <w:numPr>
          <w:ilvl w:val="0"/>
          <w:numId w:val="273"/>
        </w:numPr>
      </w:pPr>
      <w:bookmarkStart w:id="3722" w:name="_Ref140767399"/>
      <w:r>
        <w:t>Use of Supplier or Third Party COTS Software or COTS Background IPR</w:t>
      </w:r>
      <w:bookmarkEnd w:id="3722"/>
    </w:p>
    <w:p w14:paraId="1528C3A0" w14:textId="77777777" w:rsidR="00F67E9E" w:rsidRDefault="00F67E9E" w:rsidP="00F67E9E">
      <w:pPr>
        <w:pStyle w:val="Numbered11"/>
        <w:keepNext/>
        <w:numPr>
          <w:ilvl w:val="1"/>
          <w:numId w:val="273"/>
        </w:numPr>
      </w:pPr>
      <w:r w:rsidRPr="00A550B3">
        <w:t xml:space="preserve">The Supplier </w:t>
      </w:r>
      <w:r>
        <w:t xml:space="preserve">must </w:t>
      </w:r>
      <w:r w:rsidRPr="00A550B3">
        <w:t>not use any</w:t>
      </w:r>
      <w:r>
        <w:t>:</w:t>
      </w:r>
    </w:p>
    <w:p w14:paraId="57E59C94" w14:textId="77777777" w:rsidR="00F67E9E" w:rsidRDefault="00F67E9E" w:rsidP="00F67E9E">
      <w:pPr>
        <w:pStyle w:val="Numbered111"/>
        <w:numPr>
          <w:ilvl w:val="2"/>
          <w:numId w:val="273"/>
        </w:numPr>
      </w:pPr>
      <w:r w:rsidRPr="00A550B3">
        <w:t>Supplier COTS Software</w:t>
      </w:r>
      <w:r>
        <w:t>;</w:t>
      </w:r>
    </w:p>
    <w:p w14:paraId="1EB4B03C" w14:textId="77777777" w:rsidR="00F67E9E" w:rsidRDefault="00F67E9E" w:rsidP="00F67E9E">
      <w:pPr>
        <w:pStyle w:val="Numbered111"/>
        <w:numPr>
          <w:ilvl w:val="2"/>
          <w:numId w:val="273"/>
        </w:numPr>
      </w:pPr>
      <w:r w:rsidRPr="00A550B3">
        <w:t>Supplier COTS Background IPR</w:t>
      </w:r>
      <w:r>
        <w:t>;</w:t>
      </w:r>
    </w:p>
    <w:p w14:paraId="14D9B8CE" w14:textId="77777777" w:rsidR="00F67E9E" w:rsidRDefault="00F67E9E" w:rsidP="00F67E9E">
      <w:pPr>
        <w:pStyle w:val="Numbered111"/>
        <w:numPr>
          <w:ilvl w:val="2"/>
          <w:numId w:val="273"/>
        </w:numPr>
      </w:pPr>
      <w:r>
        <w:t>Third Party COTS Software; or</w:t>
      </w:r>
    </w:p>
    <w:p w14:paraId="7F93637D" w14:textId="77777777" w:rsidR="00F67E9E" w:rsidRDefault="00F67E9E" w:rsidP="00F67E9E">
      <w:pPr>
        <w:pStyle w:val="Numbered111"/>
        <w:numPr>
          <w:ilvl w:val="2"/>
          <w:numId w:val="273"/>
        </w:numPr>
      </w:pPr>
      <w:r>
        <w:t>Third Party</w:t>
      </w:r>
      <w:r w:rsidRPr="00A550B3">
        <w:t xml:space="preserve"> COTS Background IPR</w:t>
      </w:r>
      <w:r>
        <w:t>,</w:t>
      </w:r>
    </w:p>
    <w:p w14:paraId="545CBC81" w14:textId="77777777" w:rsidR="00F67E9E" w:rsidRDefault="00F67E9E" w:rsidP="00F67E9E">
      <w:pPr>
        <w:pStyle w:val="StdBodyText1"/>
        <w:keepNext/>
      </w:pPr>
      <w:r w:rsidRPr="00A550B3">
        <w:t>in the provision of the Services</w:t>
      </w:r>
      <w:r>
        <w:t xml:space="preserve"> </w:t>
      </w:r>
      <w:r w:rsidRPr="00016234">
        <w:t>(including in any Specially Written Software or in the software element of Project Specific IPRs)</w:t>
      </w:r>
      <w:r w:rsidRPr="00A550B3">
        <w:t xml:space="preserve"> unless</w:t>
      </w:r>
      <w:r>
        <w:t>:</w:t>
      </w:r>
    </w:p>
    <w:p w14:paraId="04B871B7" w14:textId="77777777" w:rsidR="00F67E9E" w:rsidRDefault="00F67E9E" w:rsidP="00F67E9E">
      <w:pPr>
        <w:pStyle w:val="Numbered111"/>
        <w:numPr>
          <w:ilvl w:val="2"/>
          <w:numId w:val="273"/>
        </w:numPr>
      </w:pPr>
      <w:r>
        <w:t xml:space="preserve">in the case of Supplier COTS Software, Third Party COTS Software and the software elements of Supplier </w:t>
      </w:r>
      <w:r w:rsidRPr="00A550B3">
        <w:t>COTS Background IPR</w:t>
      </w:r>
      <w:r>
        <w:t xml:space="preserve"> and Supplier </w:t>
      </w:r>
      <w:r w:rsidRPr="00A550B3">
        <w:t>COTS Background IPR</w:t>
      </w:r>
      <w:r>
        <w:t>, it is either:</w:t>
      </w:r>
    </w:p>
    <w:p w14:paraId="32EF2C95" w14:textId="7CF252A0" w:rsidR="00F67E9E" w:rsidRDefault="00F67E9E" w:rsidP="00F67E9E">
      <w:pPr>
        <w:pStyle w:val="Numbered111a"/>
        <w:numPr>
          <w:ilvl w:val="3"/>
          <w:numId w:val="273"/>
        </w:numPr>
      </w:pPr>
      <w:r w:rsidRPr="00A550B3">
        <w:t xml:space="preserve">detailed in </w:t>
      </w:r>
      <w:r>
        <w:fldChar w:fldCharType="begin"/>
      </w:r>
      <w:r>
        <w:instrText xml:space="preserve"> REF Schedule12 \h </w:instrText>
      </w:r>
      <w:r>
        <w:fldChar w:fldCharType="separate"/>
      </w:r>
      <w:r w:rsidR="00302D39" w:rsidRPr="005D0525">
        <w:t>Schedule</w:t>
      </w:r>
      <w:r w:rsidR="00302D39">
        <w:t> </w:t>
      </w:r>
      <w:r w:rsidR="00302D39" w:rsidRPr="005D0525">
        <w:t>12</w:t>
      </w:r>
      <w:r>
        <w:fldChar w:fldCharType="end"/>
      </w:r>
      <w:r w:rsidRPr="00A550B3">
        <w:t xml:space="preserve"> (</w:t>
      </w:r>
      <w:r w:rsidRPr="00212E6C">
        <w:rPr>
          <w:i/>
          <w:iCs/>
        </w:rPr>
        <w:fldChar w:fldCharType="begin"/>
      </w:r>
      <w:r w:rsidRPr="00212E6C">
        <w:rPr>
          <w:i/>
          <w:iCs/>
        </w:rPr>
        <w:instrText xml:space="preserve"> REF Schedule12Heading \h  \* MERGEFORMAT </w:instrText>
      </w:r>
      <w:r w:rsidRPr="00212E6C">
        <w:rPr>
          <w:i/>
          <w:iCs/>
        </w:rPr>
      </w:r>
      <w:r w:rsidRPr="00212E6C">
        <w:rPr>
          <w:i/>
          <w:iCs/>
        </w:rPr>
        <w:fldChar w:fldCharType="separate"/>
      </w:r>
      <w:r w:rsidR="00302D39" w:rsidRPr="00302D39">
        <w:rPr>
          <w:i/>
          <w:iCs/>
        </w:rPr>
        <w:t>Software</w:t>
      </w:r>
      <w:r w:rsidRPr="00212E6C">
        <w:rPr>
          <w:i/>
          <w:iCs/>
        </w:rPr>
        <w:fldChar w:fldCharType="end"/>
      </w:r>
      <w:r w:rsidRPr="00A550B3">
        <w:t>)</w:t>
      </w:r>
      <w:r>
        <w:t>;</w:t>
      </w:r>
      <w:r w:rsidRPr="00A550B3">
        <w:t xml:space="preserve"> or</w:t>
      </w:r>
    </w:p>
    <w:p w14:paraId="1C8E2553" w14:textId="77777777" w:rsidR="00F67E9E" w:rsidRDefault="00F67E9E" w:rsidP="00F67E9E">
      <w:pPr>
        <w:pStyle w:val="Numbered111a"/>
        <w:keepNext/>
        <w:numPr>
          <w:ilvl w:val="3"/>
          <w:numId w:val="273"/>
        </w:numPr>
      </w:pPr>
      <w:r>
        <w:t>both:</w:t>
      </w:r>
    </w:p>
    <w:p w14:paraId="143AA8C9" w14:textId="77777777" w:rsidR="00F67E9E" w:rsidRDefault="00F67E9E" w:rsidP="00F67E9E">
      <w:pPr>
        <w:pStyle w:val="Numbered111ai"/>
        <w:numPr>
          <w:ilvl w:val="4"/>
          <w:numId w:val="273"/>
        </w:numPr>
      </w:pPr>
      <w:r>
        <w:t xml:space="preserve">submitted </w:t>
      </w:r>
      <w:r w:rsidRPr="00A550B3">
        <w:t>to the Technical Board for review</w:t>
      </w:r>
      <w:r>
        <w:t>; and</w:t>
      </w:r>
    </w:p>
    <w:p w14:paraId="2969F360" w14:textId="77777777" w:rsidR="00F67E9E" w:rsidRDefault="00F67E9E" w:rsidP="00F67E9E">
      <w:pPr>
        <w:pStyle w:val="Numbered111ai"/>
        <w:numPr>
          <w:ilvl w:val="4"/>
          <w:numId w:val="273"/>
        </w:numPr>
      </w:pPr>
      <w:r>
        <w:t xml:space="preserve">approved </w:t>
      </w:r>
      <w:r w:rsidRPr="00A550B3">
        <w:t>by the Authority</w:t>
      </w:r>
      <w:r>
        <w:t>; and</w:t>
      </w:r>
    </w:p>
    <w:p w14:paraId="60AA60DF" w14:textId="77777777" w:rsidR="00F67E9E" w:rsidRDefault="00F67E9E" w:rsidP="00F67E9E">
      <w:pPr>
        <w:pStyle w:val="Numbered111"/>
        <w:keepNext/>
        <w:numPr>
          <w:ilvl w:val="2"/>
          <w:numId w:val="273"/>
        </w:numPr>
      </w:pPr>
      <w:r>
        <w:t>all the following conditions are met:</w:t>
      </w:r>
    </w:p>
    <w:p w14:paraId="0353314B" w14:textId="77777777" w:rsidR="00F67E9E" w:rsidRDefault="00F67E9E" w:rsidP="00F67E9E">
      <w:pPr>
        <w:pStyle w:val="Numbered111a"/>
        <w:numPr>
          <w:ilvl w:val="3"/>
          <w:numId w:val="273"/>
        </w:numPr>
      </w:pPr>
      <w:r>
        <w:t xml:space="preserve">the Supplier has provided the Authority with the applicable terms for the IPRs (which must be </w:t>
      </w:r>
      <w:r w:rsidRPr="007306D4">
        <w:t>at a price and on terms no less favourable than those standard commercial terms on which such software is usually made commercially available</w:t>
      </w:r>
      <w:r>
        <w:t>); and</w:t>
      </w:r>
    </w:p>
    <w:p w14:paraId="2996BB67" w14:textId="77777777" w:rsidR="00F67E9E" w:rsidRDefault="00F67E9E" w:rsidP="00F67E9E">
      <w:pPr>
        <w:pStyle w:val="Numbered111a"/>
        <w:numPr>
          <w:ilvl w:val="3"/>
          <w:numId w:val="273"/>
        </w:numPr>
      </w:pPr>
      <w:r>
        <w:t>the Authority has not (in its absolute discretion) rejected those licence terms within 10 Working Days of the date on which they were provided to the Authority.</w:t>
      </w:r>
    </w:p>
    <w:p w14:paraId="16A017E5" w14:textId="77777777" w:rsidR="00F67E9E" w:rsidRDefault="00F67E9E" w:rsidP="00F67E9E">
      <w:pPr>
        <w:pStyle w:val="Numbered1"/>
        <w:numPr>
          <w:ilvl w:val="0"/>
          <w:numId w:val="273"/>
        </w:numPr>
      </w:pPr>
      <w:r>
        <w:t>Licences granted by the Authority</w:t>
      </w:r>
    </w:p>
    <w:p w14:paraId="16C15C86" w14:textId="1FDE8564" w:rsidR="00F67E9E" w:rsidRDefault="00F67E9E" w:rsidP="00F67E9E">
      <w:pPr>
        <w:pStyle w:val="Numbered11"/>
        <w:keepNext/>
        <w:numPr>
          <w:ilvl w:val="1"/>
          <w:numId w:val="273"/>
        </w:numPr>
      </w:pPr>
      <w:bookmarkStart w:id="3723" w:name="_Ref140823882"/>
      <w:r>
        <w:t>Subject to Paragraph </w:t>
      </w:r>
      <w:r>
        <w:fldChar w:fldCharType="begin"/>
      </w:r>
      <w:r>
        <w:instrText xml:space="preserve"> REF _Ref140098796 \w \h  \* MERGEFORMAT </w:instrText>
      </w:r>
      <w:r>
        <w:fldChar w:fldCharType="separate"/>
      </w:r>
      <w:r w:rsidR="00302D39">
        <w:t>5</w:t>
      </w:r>
      <w:r>
        <w:fldChar w:fldCharType="end"/>
      </w:r>
      <w:r>
        <w:t>, the Authority grants the Supplier a licence to the</w:t>
      </w:r>
      <w:bookmarkEnd w:id="3723"/>
      <w:r>
        <w:t xml:space="preserve"> </w:t>
      </w:r>
    </w:p>
    <w:p w14:paraId="13073A3A" w14:textId="77777777" w:rsidR="00F67E9E" w:rsidRDefault="00F67E9E" w:rsidP="00F67E9E">
      <w:pPr>
        <w:pStyle w:val="Numbered111"/>
        <w:numPr>
          <w:ilvl w:val="2"/>
          <w:numId w:val="273"/>
        </w:numPr>
      </w:pPr>
      <w:r>
        <w:t>the Project-Specific IPR;</w:t>
      </w:r>
    </w:p>
    <w:p w14:paraId="175189BB" w14:textId="77777777" w:rsidR="00F67E9E" w:rsidRDefault="00F67E9E" w:rsidP="00F67E9E">
      <w:pPr>
        <w:pStyle w:val="Numbered111"/>
        <w:numPr>
          <w:ilvl w:val="2"/>
          <w:numId w:val="273"/>
        </w:numPr>
      </w:pPr>
      <w:r>
        <w:t>the Specially Written Software;</w:t>
      </w:r>
    </w:p>
    <w:p w14:paraId="2E1D896D" w14:textId="77777777" w:rsidR="00F67E9E" w:rsidRDefault="00F67E9E" w:rsidP="00F67E9E">
      <w:pPr>
        <w:pStyle w:val="Numbered111"/>
        <w:numPr>
          <w:ilvl w:val="2"/>
          <w:numId w:val="273"/>
        </w:numPr>
      </w:pPr>
      <w:r>
        <w:t>the Authority Software;</w:t>
      </w:r>
    </w:p>
    <w:p w14:paraId="3E2DE0CE" w14:textId="77777777" w:rsidR="00F67E9E" w:rsidRDefault="00F67E9E" w:rsidP="00F67E9E">
      <w:pPr>
        <w:pStyle w:val="Numbered111"/>
        <w:numPr>
          <w:ilvl w:val="2"/>
          <w:numId w:val="273"/>
        </w:numPr>
      </w:pPr>
      <w:r>
        <w:t>the Authority Data; and</w:t>
      </w:r>
    </w:p>
    <w:p w14:paraId="0116203F" w14:textId="77777777" w:rsidR="00F67E9E" w:rsidRDefault="00F67E9E" w:rsidP="00F67E9E">
      <w:pPr>
        <w:pStyle w:val="Numbered111"/>
        <w:numPr>
          <w:ilvl w:val="2"/>
          <w:numId w:val="273"/>
        </w:numPr>
      </w:pPr>
      <w:r>
        <w:t>the Authority Background IPRs;</w:t>
      </w:r>
    </w:p>
    <w:p w14:paraId="48DFC975" w14:textId="77777777" w:rsidR="00F67E9E" w:rsidRDefault="00F67E9E" w:rsidP="00F67E9E">
      <w:pPr>
        <w:pStyle w:val="StdBodyText1"/>
        <w:keepNext/>
      </w:pPr>
      <w:r>
        <w:t>that:</w:t>
      </w:r>
    </w:p>
    <w:p w14:paraId="4C406CAA" w14:textId="77777777" w:rsidR="00F67E9E" w:rsidRDefault="00F67E9E" w:rsidP="00F67E9E">
      <w:pPr>
        <w:pStyle w:val="Numbered111"/>
        <w:numPr>
          <w:ilvl w:val="2"/>
          <w:numId w:val="273"/>
        </w:numPr>
      </w:pPr>
      <w:r>
        <w:t>is non-exclusive, royalty-free and non-transferable;</w:t>
      </w:r>
    </w:p>
    <w:p w14:paraId="5E958EEC" w14:textId="40E23555" w:rsidR="00F67E9E" w:rsidRDefault="00F67E9E" w:rsidP="00F67E9E">
      <w:pPr>
        <w:pStyle w:val="Numbered111"/>
        <w:keepNext/>
        <w:numPr>
          <w:ilvl w:val="2"/>
          <w:numId w:val="273"/>
        </w:numPr>
      </w:pPr>
      <w:bookmarkStart w:id="3724" w:name="_Ref140823895"/>
      <w:r>
        <w:t>is sub-licensable to any Sub-contractor where</w:t>
      </w:r>
      <w:bookmarkEnd w:id="3724"/>
      <w:r w:rsidR="00694991">
        <w:t>;</w:t>
      </w:r>
    </w:p>
    <w:p w14:paraId="2A98D36B" w14:textId="454BDB0F" w:rsidR="00F67E9E" w:rsidRDefault="00F67E9E" w:rsidP="00F67E9E">
      <w:pPr>
        <w:pStyle w:val="Numbered111a"/>
        <w:numPr>
          <w:ilvl w:val="3"/>
          <w:numId w:val="273"/>
        </w:numPr>
      </w:pPr>
      <w:r>
        <w:t>the Sub-contractor enters into a confidentiality undertaking</w:t>
      </w:r>
      <w:r w:rsidRPr="00E36B93">
        <w:t xml:space="preserve"> with the Supplier on the same terms as set out </w:t>
      </w:r>
      <w:r>
        <w:t xml:space="preserve">in </w:t>
      </w:r>
      <w:r>
        <w:fldChar w:fldCharType="begin"/>
      </w:r>
      <w:r>
        <w:instrText xml:space="preserve"> REF Annex1toschedule12 \h </w:instrText>
      </w:r>
      <w:r>
        <w:fldChar w:fldCharType="separate"/>
      </w:r>
      <w:r w:rsidR="00302D39" w:rsidRPr="00477926">
        <w:t xml:space="preserve">Annex </w:t>
      </w:r>
      <w:r w:rsidR="00302D39">
        <w:t>1</w:t>
      </w:r>
      <w:r>
        <w:fldChar w:fldCharType="end"/>
      </w:r>
      <w:r>
        <w:t xml:space="preserve"> to </w:t>
      </w:r>
      <w:r>
        <w:fldChar w:fldCharType="begin"/>
      </w:r>
      <w:r>
        <w:instrText xml:space="preserve"> REF Schedule12 \h </w:instrText>
      </w:r>
      <w:r>
        <w:fldChar w:fldCharType="separate"/>
      </w:r>
      <w:r w:rsidR="00302D39" w:rsidRPr="005D0525">
        <w:t>Schedule</w:t>
      </w:r>
      <w:r w:rsidR="00302D39">
        <w:t> </w:t>
      </w:r>
      <w:r w:rsidR="00302D39" w:rsidRPr="005D0525">
        <w:t>12</w:t>
      </w:r>
      <w:r>
        <w:fldChar w:fldCharType="end"/>
      </w:r>
      <w:r w:rsidRPr="00A550B3">
        <w:t xml:space="preserve"> (</w:t>
      </w:r>
      <w:r w:rsidRPr="00212E6C">
        <w:rPr>
          <w:i/>
          <w:iCs/>
        </w:rPr>
        <w:fldChar w:fldCharType="begin"/>
      </w:r>
      <w:r w:rsidRPr="00212E6C">
        <w:rPr>
          <w:i/>
          <w:iCs/>
        </w:rPr>
        <w:instrText xml:space="preserve"> REF Schedule12Heading \h  \* MERGEFORMAT </w:instrText>
      </w:r>
      <w:r w:rsidRPr="00212E6C">
        <w:rPr>
          <w:i/>
          <w:iCs/>
        </w:rPr>
      </w:r>
      <w:r w:rsidRPr="00212E6C">
        <w:rPr>
          <w:i/>
          <w:iCs/>
        </w:rPr>
        <w:fldChar w:fldCharType="separate"/>
      </w:r>
      <w:r w:rsidR="00302D39" w:rsidRPr="00302D39">
        <w:rPr>
          <w:i/>
          <w:iCs/>
        </w:rPr>
        <w:t>Software</w:t>
      </w:r>
      <w:r w:rsidRPr="00212E6C">
        <w:rPr>
          <w:i/>
          <w:iCs/>
        </w:rPr>
        <w:fldChar w:fldCharType="end"/>
      </w:r>
      <w:r w:rsidRPr="00A550B3">
        <w:t>)</w:t>
      </w:r>
      <w:r>
        <w:t>; and</w:t>
      </w:r>
    </w:p>
    <w:p w14:paraId="43F387FD" w14:textId="77777777" w:rsidR="00F67E9E" w:rsidRDefault="00F67E9E" w:rsidP="00F67E9E">
      <w:pPr>
        <w:pStyle w:val="Numbered111a"/>
        <w:numPr>
          <w:ilvl w:val="3"/>
          <w:numId w:val="273"/>
        </w:numPr>
      </w:pPr>
      <w:r>
        <w:t>the sub-licence does not purport to provide the sub-licensee with any wider rights than those granted to the Supplier under this Paragraph;</w:t>
      </w:r>
    </w:p>
    <w:p w14:paraId="70B4BFC3" w14:textId="77777777" w:rsidR="00F67E9E" w:rsidRDefault="00F67E9E" w:rsidP="00F67E9E">
      <w:pPr>
        <w:pStyle w:val="Numbered111"/>
        <w:keepNext/>
        <w:numPr>
          <w:ilvl w:val="2"/>
          <w:numId w:val="273"/>
        </w:numPr>
      </w:pPr>
      <w:r>
        <w:t>allows the Supplier and any sub-licensee to use, copy and adapt any licensed IPRs for the purpose of:</w:t>
      </w:r>
    </w:p>
    <w:p w14:paraId="612D8749" w14:textId="77777777" w:rsidR="00F67E9E" w:rsidRDefault="00F67E9E" w:rsidP="00F67E9E">
      <w:pPr>
        <w:pStyle w:val="Numbered111a"/>
        <w:numPr>
          <w:ilvl w:val="3"/>
          <w:numId w:val="273"/>
        </w:numPr>
      </w:pPr>
      <w:r>
        <w:t>fulfilling its obligations under this Contract; and</w:t>
      </w:r>
    </w:p>
    <w:p w14:paraId="2AABE7A5" w14:textId="77777777" w:rsidR="00F67E9E" w:rsidRDefault="00F67E9E" w:rsidP="00F67E9E">
      <w:pPr>
        <w:pStyle w:val="Numbered111a"/>
        <w:numPr>
          <w:ilvl w:val="3"/>
          <w:numId w:val="273"/>
        </w:numPr>
      </w:pPr>
      <w:r>
        <w:t>commercially exploiting the Project Specific IPR and Specially Written Software; and</w:t>
      </w:r>
    </w:p>
    <w:p w14:paraId="1FE25C8A" w14:textId="77777777" w:rsidR="00F67E9E" w:rsidRDefault="00F67E9E" w:rsidP="00F67E9E">
      <w:pPr>
        <w:pStyle w:val="Numbered111"/>
        <w:keepNext/>
        <w:numPr>
          <w:ilvl w:val="2"/>
          <w:numId w:val="273"/>
        </w:numPr>
      </w:pPr>
      <w:r>
        <w:t>continues in effect following the expiry or earlier termination of this Contract.</w:t>
      </w:r>
    </w:p>
    <w:p w14:paraId="4A04EB6E" w14:textId="7D371D27" w:rsidR="00F67E9E" w:rsidRDefault="00F67E9E" w:rsidP="00F67E9E">
      <w:pPr>
        <w:pStyle w:val="Numbered11"/>
        <w:keepNext/>
        <w:numPr>
          <w:ilvl w:val="1"/>
          <w:numId w:val="273"/>
        </w:numPr>
      </w:pPr>
      <w:r>
        <w:t>When the licence granted under Paragraph </w:t>
      </w:r>
      <w:r>
        <w:fldChar w:fldCharType="begin"/>
      </w:r>
      <w:r>
        <w:instrText xml:space="preserve"> REF _Ref140823882 \r \h  \* MERGEFORMAT </w:instrText>
      </w:r>
      <w:r>
        <w:fldChar w:fldCharType="separate"/>
      </w:r>
      <w:r w:rsidR="00302D39">
        <w:t>4.1</w:t>
      </w:r>
      <w:r>
        <w:fldChar w:fldCharType="end"/>
      </w:r>
      <w:r>
        <w:t>:</w:t>
      </w:r>
    </w:p>
    <w:p w14:paraId="39C8B7DF" w14:textId="5FFA5389" w:rsidR="00F67E9E" w:rsidRDefault="00F67E9E" w:rsidP="00F67E9E">
      <w:pPr>
        <w:pStyle w:val="Numbered111"/>
        <w:numPr>
          <w:ilvl w:val="2"/>
          <w:numId w:val="273"/>
        </w:numPr>
      </w:pPr>
      <w:r>
        <w:t>terminates in accordance with Paragraph </w:t>
      </w:r>
      <w:r>
        <w:fldChar w:fldCharType="begin"/>
      </w:r>
      <w:r>
        <w:instrText xml:space="preserve"> REF _Ref140824054 \r \h  \* MERGEFORMAT </w:instrText>
      </w:r>
      <w:r>
        <w:fldChar w:fldCharType="separate"/>
      </w:r>
      <w:r w:rsidR="00302D39">
        <w:t>5</w:t>
      </w:r>
      <w:r>
        <w:fldChar w:fldCharType="end"/>
      </w:r>
      <w:r>
        <w:t>; or</w:t>
      </w:r>
    </w:p>
    <w:p w14:paraId="6442C8D7" w14:textId="77777777" w:rsidR="00F67E9E" w:rsidRDefault="00F67E9E" w:rsidP="00F67E9E">
      <w:pPr>
        <w:pStyle w:val="Numbered111"/>
        <w:numPr>
          <w:ilvl w:val="2"/>
          <w:numId w:val="273"/>
        </w:numPr>
      </w:pPr>
      <w:r>
        <w:t>no longer has effect at the end of the Term or the expiry of any Termination Assistance Period (whichever is the later),</w:t>
      </w:r>
    </w:p>
    <w:p w14:paraId="711FD058" w14:textId="02BEB760" w:rsidR="00F67E9E" w:rsidRDefault="00F67E9E" w:rsidP="00F67E9E">
      <w:pPr>
        <w:pStyle w:val="StdBodyText1"/>
        <w:keepNext/>
      </w:pPr>
      <w:r>
        <w:t>the Supplier must, and must ensure that each Sub-contractor granted a sub-licence under Paragraph </w:t>
      </w:r>
      <w:r>
        <w:fldChar w:fldCharType="begin"/>
      </w:r>
      <w:r>
        <w:instrText xml:space="preserve"> REF _Ref140823895 \r \h  \* MERGEFORMAT </w:instrText>
      </w:r>
      <w:r>
        <w:fldChar w:fldCharType="separate"/>
      </w:r>
      <w:r w:rsidR="00302D39">
        <w:t>4.1.7</w:t>
      </w:r>
      <w:r>
        <w:fldChar w:fldCharType="end"/>
      </w:r>
      <w:r>
        <w:t>:</w:t>
      </w:r>
    </w:p>
    <w:p w14:paraId="6C88C3EA" w14:textId="77777777" w:rsidR="00F67E9E" w:rsidRDefault="00F67E9E" w:rsidP="00F67E9E">
      <w:pPr>
        <w:pStyle w:val="Numbered111"/>
        <w:numPr>
          <w:ilvl w:val="2"/>
          <w:numId w:val="273"/>
        </w:numPr>
      </w:pPr>
      <w:r>
        <w:t>immediately cease all use of the licensed IPR;</w:t>
      </w:r>
    </w:p>
    <w:p w14:paraId="55D0E344" w14:textId="77777777" w:rsidR="00F67E9E" w:rsidRDefault="00F67E9E" w:rsidP="00F67E9E">
      <w:pPr>
        <w:pStyle w:val="Numbered111"/>
        <w:keepNext/>
        <w:numPr>
          <w:ilvl w:val="2"/>
          <w:numId w:val="273"/>
        </w:numPr>
      </w:pPr>
      <w:r>
        <w:t>either:</w:t>
      </w:r>
    </w:p>
    <w:p w14:paraId="49AB79E6" w14:textId="77777777" w:rsidR="00F67E9E" w:rsidRDefault="00F67E9E" w:rsidP="00F67E9E">
      <w:pPr>
        <w:pStyle w:val="Numbered111a"/>
        <w:numPr>
          <w:ilvl w:val="3"/>
          <w:numId w:val="273"/>
        </w:numPr>
      </w:pPr>
      <w:r>
        <w:t xml:space="preserve">at the discretion of the Authority, return or destroy documents and other tangible materials that contain any of the licensed IPR; or </w:t>
      </w:r>
    </w:p>
    <w:p w14:paraId="5270505C" w14:textId="77777777" w:rsidR="00F67E9E" w:rsidRDefault="00F67E9E" w:rsidP="00F67E9E">
      <w:pPr>
        <w:pStyle w:val="Numbered111a"/>
        <w:numPr>
          <w:ilvl w:val="3"/>
          <w:numId w:val="273"/>
        </w:numPr>
      </w:pPr>
      <w:r>
        <w:t>if the Authority has not made an election within six months of the termination of the licence, destroy the documents and other tangible materials that contain any of the licensed IPR; and</w:t>
      </w:r>
    </w:p>
    <w:p w14:paraId="39C7B12A" w14:textId="77777777" w:rsidR="00F67E9E" w:rsidRDefault="00F67E9E" w:rsidP="00F67E9E">
      <w:pPr>
        <w:pStyle w:val="Numbered111"/>
        <w:numPr>
          <w:ilvl w:val="2"/>
          <w:numId w:val="273"/>
        </w:numPr>
      </w:pPr>
      <w:r>
        <w:t>ensure, so far as reasonably practicable, that any licensed IPR held in electronic, digital or other machine-readable form ceases to be readily accessible from any computer, word processor, voicemail system or any other device of the Supplier.</w:t>
      </w:r>
    </w:p>
    <w:p w14:paraId="3CE466A2" w14:textId="77777777" w:rsidR="00F67E9E" w:rsidRDefault="00F67E9E" w:rsidP="00F67E9E">
      <w:pPr>
        <w:pStyle w:val="Numbered1"/>
        <w:numPr>
          <w:ilvl w:val="0"/>
          <w:numId w:val="273"/>
        </w:numPr>
      </w:pPr>
      <w:bookmarkStart w:id="3725" w:name="_Ref140098796"/>
      <w:bookmarkStart w:id="3726" w:name="_Ref140824054"/>
      <w:r>
        <w:t>Authority approval for Supplier to exploit IPR</w:t>
      </w:r>
      <w:bookmarkEnd w:id="3725"/>
      <w:r>
        <w:t xml:space="preserve"> created under Contract</w:t>
      </w:r>
      <w:bookmarkEnd w:id="3726"/>
    </w:p>
    <w:p w14:paraId="21422E8B" w14:textId="77777777" w:rsidR="00F67E9E" w:rsidRDefault="00F67E9E" w:rsidP="00F67E9E">
      <w:pPr>
        <w:pStyle w:val="Numbered11"/>
        <w:keepNext/>
        <w:numPr>
          <w:ilvl w:val="1"/>
          <w:numId w:val="273"/>
        </w:numPr>
      </w:pPr>
      <w:r>
        <w:t>Before using, copying or adapting any:</w:t>
      </w:r>
    </w:p>
    <w:p w14:paraId="03004E3C" w14:textId="77777777" w:rsidR="00F67E9E" w:rsidRDefault="00F67E9E" w:rsidP="00F67E9E">
      <w:pPr>
        <w:pStyle w:val="Numbered111"/>
        <w:numPr>
          <w:ilvl w:val="2"/>
          <w:numId w:val="273"/>
        </w:numPr>
      </w:pPr>
      <w:r>
        <w:t>Project-Specific IPR;</w:t>
      </w:r>
    </w:p>
    <w:p w14:paraId="3DC60F11" w14:textId="77777777" w:rsidR="00F67E9E" w:rsidRDefault="00F67E9E" w:rsidP="00F67E9E">
      <w:pPr>
        <w:pStyle w:val="Numbered111"/>
        <w:numPr>
          <w:ilvl w:val="2"/>
          <w:numId w:val="273"/>
        </w:numPr>
      </w:pPr>
      <w:r>
        <w:t>Specially Written Software;</w:t>
      </w:r>
    </w:p>
    <w:p w14:paraId="723CCCA7" w14:textId="77777777" w:rsidR="00F67E9E" w:rsidRDefault="00F67E9E" w:rsidP="00F67E9E">
      <w:pPr>
        <w:pStyle w:val="Numbered111"/>
        <w:numPr>
          <w:ilvl w:val="2"/>
          <w:numId w:val="273"/>
        </w:numPr>
      </w:pPr>
      <w:r>
        <w:t>Authority Software;</w:t>
      </w:r>
    </w:p>
    <w:p w14:paraId="21840C78" w14:textId="77777777" w:rsidR="00F67E9E" w:rsidRDefault="00F67E9E" w:rsidP="00F67E9E">
      <w:pPr>
        <w:pStyle w:val="Numbered111"/>
        <w:numPr>
          <w:ilvl w:val="2"/>
          <w:numId w:val="273"/>
        </w:numPr>
      </w:pPr>
      <w:r>
        <w:t>Authority Data; and</w:t>
      </w:r>
    </w:p>
    <w:p w14:paraId="61DF1D5A" w14:textId="77777777" w:rsidR="00F67E9E" w:rsidRDefault="00F67E9E" w:rsidP="00F67E9E">
      <w:pPr>
        <w:pStyle w:val="Numbered111"/>
        <w:numPr>
          <w:ilvl w:val="2"/>
          <w:numId w:val="273"/>
        </w:numPr>
      </w:pPr>
      <w:r>
        <w:t>Authority Background IPRs;</w:t>
      </w:r>
    </w:p>
    <w:p w14:paraId="4775E3A8" w14:textId="77777777" w:rsidR="00F67E9E" w:rsidRDefault="00F67E9E" w:rsidP="00F67E9E">
      <w:pPr>
        <w:pStyle w:val="StdBodyText1"/>
      </w:pPr>
      <w:r>
        <w:t>for any purpose other than fulfilling its obligations under this Contract, the Supplier must seek the approval of the Authority in accordance with the provisions of this Paragraph.</w:t>
      </w:r>
    </w:p>
    <w:p w14:paraId="10AB7555" w14:textId="77777777" w:rsidR="00F67E9E" w:rsidRDefault="00F67E9E" w:rsidP="00F67E9E">
      <w:pPr>
        <w:pStyle w:val="Numbered11"/>
        <w:numPr>
          <w:ilvl w:val="1"/>
          <w:numId w:val="273"/>
        </w:numPr>
      </w:pPr>
      <w:r>
        <w:t>The Authority may terminate any licence it grants under this Paragraph by notice in writing with immediate effect where the Supplier breaches any condition in that licence.</w:t>
      </w:r>
    </w:p>
    <w:p w14:paraId="1CC0F46E" w14:textId="3D599A36" w:rsidR="00F67E9E" w:rsidRPr="00F917B5" w:rsidRDefault="00F67E9E" w:rsidP="00F67E9E">
      <w:pPr>
        <w:pStyle w:val="StdBodyText"/>
      </w:pPr>
      <w:r w:rsidRPr="0038435A">
        <w:t>[</w:t>
      </w:r>
      <w:r w:rsidRPr="00241256">
        <w:rPr>
          <w:b/>
          <w:bCs/>
          <w:i/>
          <w:iCs/>
          <w:highlight w:val="yellow"/>
        </w:rPr>
        <w:t>Guidance note: where Option</w:t>
      </w:r>
      <w:r>
        <w:rPr>
          <w:b/>
          <w:bCs/>
          <w:i/>
          <w:iCs/>
          <w:highlight w:val="yellow"/>
        </w:rPr>
        <w:t> </w:t>
      </w:r>
      <w:r w:rsidRPr="00C26F4C">
        <w:rPr>
          <w:b/>
          <w:bCs/>
          <w:i/>
          <w:iCs/>
          <w:highlight w:val="yellow"/>
        </w:rPr>
        <w:fldChar w:fldCharType="begin"/>
      </w:r>
      <w:r w:rsidRPr="00C26F4C">
        <w:rPr>
          <w:b/>
          <w:bCs/>
          <w:i/>
          <w:iCs/>
          <w:highlight w:val="yellow"/>
        </w:rPr>
        <w:instrText xml:space="preserve"> REF OPTION5_SCHEDULE32 \h  \* MERGEFORMAT </w:instrText>
      </w:r>
      <w:r w:rsidRPr="00C26F4C">
        <w:rPr>
          <w:b/>
          <w:bCs/>
          <w:i/>
          <w:iCs/>
          <w:highlight w:val="yellow"/>
        </w:rPr>
      </w:r>
      <w:r w:rsidRPr="00C26F4C">
        <w:rPr>
          <w:b/>
          <w:bCs/>
          <w:i/>
          <w:iCs/>
          <w:highlight w:val="yellow"/>
        </w:rPr>
        <w:fldChar w:fldCharType="separate"/>
      </w:r>
      <w:r w:rsidR="00302D39" w:rsidRPr="00302D39">
        <w:rPr>
          <w:b/>
          <w:bCs/>
          <w:i/>
          <w:iCs/>
        </w:rPr>
        <w:t>5</w:t>
      </w:r>
      <w:r w:rsidRPr="00C26F4C">
        <w:rPr>
          <w:b/>
          <w:bCs/>
          <w:i/>
          <w:iCs/>
          <w:highlight w:val="yellow"/>
        </w:rPr>
        <w:fldChar w:fldCharType="end"/>
      </w:r>
      <w:r w:rsidRPr="00241256">
        <w:rPr>
          <w:b/>
          <w:bCs/>
          <w:i/>
          <w:iCs/>
          <w:highlight w:val="yellow"/>
        </w:rPr>
        <w:t xml:space="preserve"> is used, replace Paragraphs </w:t>
      </w:r>
      <w:r w:rsidRPr="00241256">
        <w:rPr>
          <w:b/>
          <w:bCs/>
          <w:i/>
          <w:iCs/>
          <w:highlight w:val="yellow"/>
        </w:rPr>
        <w:fldChar w:fldCharType="begin"/>
      </w:r>
      <w:r w:rsidRPr="00241256">
        <w:rPr>
          <w:b/>
          <w:bCs/>
          <w:i/>
          <w:iCs/>
          <w:highlight w:val="yellow"/>
        </w:rPr>
        <w:instrText xml:space="preserve"> REF _Ref140819692 \r \h  \* MERGEFORMAT </w:instrText>
      </w:r>
      <w:r w:rsidRPr="00241256">
        <w:rPr>
          <w:b/>
          <w:bCs/>
          <w:i/>
          <w:iCs/>
          <w:highlight w:val="yellow"/>
        </w:rPr>
      </w:r>
      <w:r w:rsidRPr="00241256">
        <w:rPr>
          <w:b/>
          <w:bCs/>
          <w:i/>
          <w:iCs/>
          <w:highlight w:val="yellow"/>
        </w:rPr>
        <w:fldChar w:fldCharType="separate"/>
      </w:r>
      <w:r w:rsidR="00302D39">
        <w:rPr>
          <w:b/>
          <w:bCs/>
          <w:i/>
          <w:iCs/>
          <w:highlight w:val="yellow"/>
        </w:rPr>
        <w:t>5.3</w:t>
      </w:r>
      <w:r w:rsidRPr="00241256">
        <w:rPr>
          <w:b/>
          <w:bCs/>
          <w:i/>
          <w:iCs/>
          <w:highlight w:val="yellow"/>
        </w:rPr>
        <w:fldChar w:fldCharType="end"/>
      </w:r>
      <w:r w:rsidRPr="00241256">
        <w:rPr>
          <w:b/>
          <w:bCs/>
          <w:i/>
          <w:iCs/>
          <w:highlight w:val="yellow"/>
        </w:rPr>
        <w:t xml:space="preserve">, </w:t>
      </w:r>
      <w:r w:rsidRPr="00241256">
        <w:rPr>
          <w:b/>
          <w:bCs/>
          <w:i/>
          <w:iCs/>
          <w:highlight w:val="yellow"/>
        </w:rPr>
        <w:fldChar w:fldCharType="begin"/>
      </w:r>
      <w:r w:rsidRPr="00241256">
        <w:rPr>
          <w:b/>
          <w:bCs/>
          <w:i/>
          <w:iCs/>
          <w:highlight w:val="yellow"/>
        </w:rPr>
        <w:instrText xml:space="preserve"> REF _Ref140819694 \r \h  \* MERGEFORMAT </w:instrText>
      </w:r>
      <w:r w:rsidRPr="00241256">
        <w:rPr>
          <w:b/>
          <w:bCs/>
          <w:i/>
          <w:iCs/>
          <w:highlight w:val="yellow"/>
        </w:rPr>
      </w:r>
      <w:r w:rsidRPr="00241256">
        <w:rPr>
          <w:b/>
          <w:bCs/>
          <w:i/>
          <w:iCs/>
          <w:highlight w:val="yellow"/>
        </w:rPr>
        <w:fldChar w:fldCharType="separate"/>
      </w:r>
      <w:r w:rsidR="00302D39">
        <w:rPr>
          <w:b/>
          <w:bCs/>
          <w:i/>
          <w:iCs/>
          <w:highlight w:val="yellow"/>
        </w:rPr>
        <w:t>5.4</w:t>
      </w:r>
      <w:r w:rsidRPr="00241256">
        <w:rPr>
          <w:b/>
          <w:bCs/>
          <w:i/>
          <w:iCs/>
          <w:highlight w:val="yellow"/>
        </w:rPr>
        <w:fldChar w:fldCharType="end"/>
      </w:r>
      <w:r w:rsidRPr="00241256">
        <w:rPr>
          <w:b/>
          <w:bCs/>
          <w:i/>
          <w:iCs/>
          <w:highlight w:val="yellow"/>
        </w:rPr>
        <w:t xml:space="preserve"> and </w:t>
      </w:r>
      <w:r w:rsidRPr="00241256">
        <w:rPr>
          <w:b/>
          <w:bCs/>
          <w:i/>
          <w:iCs/>
          <w:highlight w:val="yellow"/>
        </w:rPr>
        <w:fldChar w:fldCharType="begin"/>
      </w:r>
      <w:r w:rsidRPr="00241256">
        <w:rPr>
          <w:b/>
          <w:bCs/>
          <w:i/>
          <w:iCs/>
          <w:highlight w:val="yellow"/>
        </w:rPr>
        <w:instrText xml:space="preserve"> REF _Ref140819698 \r \h  \* MERGEFORMAT </w:instrText>
      </w:r>
      <w:r w:rsidRPr="00241256">
        <w:rPr>
          <w:b/>
          <w:bCs/>
          <w:i/>
          <w:iCs/>
          <w:highlight w:val="yellow"/>
        </w:rPr>
      </w:r>
      <w:r w:rsidRPr="00241256">
        <w:rPr>
          <w:b/>
          <w:bCs/>
          <w:i/>
          <w:iCs/>
          <w:highlight w:val="yellow"/>
        </w:rPr>
        <w:fldChar w:fldCharType="separate"/>
      </w:r>
      <w:r w:rsidR="00302D39">
        <w:rPr>
          <w:b/>
          <w:bCs/>
          <w:i/>
          <w:iCs/>
          <w:highlight w:val="yellow"/>
        </w:rPr>
        <w:t>5.5</w:t>
      </w:r>
      <w:r w:rsidRPr="00241256">
        <w:rPr>
          <w:b/>
          <w:bCs/>
          <w:i/>
          <w:iCs/>
          <w:highlight w:val="yellow"/>
        </w:rPr>
        <w:fldChar w:fldCharType="end"/>
      </w:r>
      <w:r w:rsidRPr="00241256">
        <w:rPr>
          <w:b/>
          <w:bCs/>
          <w:i/>
          <w:iCs/>
          <w:highlight w:val="yellow"/>
        </w:rPr>
        <w:t xml:space="preserve"> with the Paragraphs in Option</w:t>
      </w:r>
      <w:r>
        <w:rPr>
          <w:b/>
          <w:bCs/>
          <w:i/>
          <w:iCs/>
          <w:highlight w:val="yellow"/>
        </w:rPr>
        <w:t> </w:t>
      </w:r>
      <w:r w:rsidRPr="00C26F4C">
        <w:rPr>
          <w:b/>
          <w:bCs/>
          <w:i/>
          <w:iCs/>
          <w:highlight w:val="yellow"/>
        </w:rPr>
        <w:fldChar w:fldCharType="begin"/>
      </w:r>
      <w:r w:rsidRPr="00C26F4C">
        <w:rPr>
          <w:b/>
          <w:bCs/>
          <w:i/>
          <w:iCs/>
          <w:highlight w:val="yellow"/>
        </w:rPr>
        <w:instrText xml:space="preserve"> REF OPTION5_SCHEDULE32 \h  \* MERGEFORMAT </w:instrText>
      </w:r>
      <w:r w:rsidRPr="00C26F4C">
        <w:rPr>
          <w:b/>
          <w:bCs/>
          <w:i/>
          <w:iCs/>
          <w:highlight w:val="yellow"/>
        </w:rPr>
      </w:r>
      <w:r w:rsidRPr="00C26F4C">
        <w:rPr>
          <w:b/>
          <w:bCs/>
          <w:i/>
          <w:iCs/>
          <w:highlight w:val="yellow"/>
        </w:rPr>
        <w:fldChar w:fldCharType="separate"/>
      </w:r>
      <w:r w:rsidR="00302D39" w:rsidRPr="00302D39">
        <w:rPr>
          <w:b/>
          <w:bCs/>
          <w:i/>
          <w:iCs/>
        </w:rPr>
        <w:t>5</w:t>
      </w:r>
      <w:r w:rsidRPr="00C26F4C">
        <w:rPr>
          <w:b/>
          <w:bCs/>
          <w:i/>
          <w:iCs/>
          <w:highlight w:val="yellow"/>
        </w:rPr>
        <w:fldChar w:fldCharType="end"/>
      </w:r>
      <w:r w:rsidRPr="00241256">
        <w:rPr>
          <w:b/>
          <w:bCs/>
          <w:i/>
          <w:iCs/>
          <w:highlight w:val="yellow"/>
        </w:rPr>
        <w:t>.</w:t>
      </w:r>
      <w:r w:rsidRPr="0038435A">
        <w:t>]</w:t>
      </w:r>
    </w:p>
    <w:p w14:paraId="316DDC6E" w14:textId="77777777" w:rsidR="00F67E9E" w:rsidRDefault="00F67E9E" w:rsidP="00F67E9E">
      <w:pPr>
        <w:pStyle w:val="Numbered11"/>
        <w:keepNext/>
        <w:numPr>
          <w:ilvl w:val="1"/>
          <w:numId w:val="273"/>
        </w:numPr>
      </w:pPr>
      <w:bookmarkStart w:id="3727" w:name="_Ref140819692"/>
      <w:r>
        <w:t>The Supplier must provide a proposal setting out:</w:t>
      </w:r>
      <w:bookmarkEnd w:id="3727"/>
    </w:p>
    <w:p w14:paraId="5EAE31D7" w14:textId="77777777" w:rsidR="00F67E9E" w:rsidRDefault="00F67E9E" w:rsidP="00F67E9E">
      <w:pPr>
        <w:pStyle w:val="Numbered111"/>
        <w:numPr>
          <w:ilvl w:val="2"/>
          <w:numId w:val="273"/>
        </w:numPr>
      </w:pPr>
      <w:r>
        <w:t>the purpose for which it proposes to use the IPR;</w:t>
      </w:r>
    </w:p>
    <w:p w14:paraId="5BBAE2B1" w14:textId="77777777" w:rsidR="00F67E9E" w:rsidRDefault="00F67E9E" w:rsidP="00F67E9E">
      <w:pPr>
        <w:pStyle w:val="Numbered111"/>
        <w:numPr>
          <w:ilvl w:val="2"/>
          <w:numId w:val="273"/>
        </w:numPr>
      </w:pPr>
      <w:r>
        <w:t>the activities the Supplier proposes to undertake with or in respect of the IPR;</w:t>
      </w:r>
    </w:p>
    <w:p w14:paraId="2B97751F" w14:textId="77777777" w:rsidR="00F67E9E" w:rsidRDefault="00F67E9E" w:rsidP="00F67E9E">
      <w:pPr>
        <w:pStyle w:val="Numbered111"/>
        <w:numPr>
          <w:ilvl w:val="2"/>
          <w:numId w:val="273"/>
        </w:numPr>
      </w:pPr>
      <w:r>
        <w:t>such further information as the Authority may reasonably require to properly consider the proposal.</w:t>
      </w:r>
    </w:p>
    <w:p w14:paraId="6C74F16A" w14:textId="77777777" w:rsidR="00F67E9E" w:rsidRDefault="00F67E9E" w:rsidP="00F67E9E">
      <w:pPr>
        <w:pStyle w:val="Numbered11"/>
        <w:keepNext/>
        <w:numPr>
          <w:ilvl w:val="1"/>
          <w:numId w:val="273"/>
        </w:numPr>
      </w:pPr>
      <w:bookmarkStart w:id="3728" w:name="_Ref140819694"/>
      <w:r>
        <w:t>The Authority may only refuse the Supplier’s proposal where it considers that if the Supplier were to implement the proposal it would harm:</w:t>
      </w:r>
      <w:bookmarkEnd w:id="3728"/>
    </w:p>
    <w:p w14:paraId="5D5E5077" w14:textId="77777777" w:rsidR="00F67E9E" w:rsidRDefault="00F67E9E" w:rsidP="00F67E9E">
      <w:pPr>
        <w:pStyle w:val="Numbered111"/>
        <w:numPr>
          <w:ilvl w:val="2"/>
          <w:numId w:val="273"/>
        </w:numPr>
      </w:pPr>
      <w:r>
        <w:t>the Authority’s reputation; or</w:t>
      </w:r>
    </w:p>
    <w:p w14:paraId="0641C0DF" w14:textId="77777777" w:rsidR="00F67E9E" w:rsidRDefault="00F67E9E" w:rsidP="00F67E9E">
      <w:pPr>
        <w:pStyle w:val="Numbered111"/>
        <w:numPr>
          <w:ilvl w:val="2"/>
          <w:numId w:val="273"/>
        </w:numPr>
      </w:pPr>
      <w:r>
        <w:t>the Authority’s interests.</w:t>
      </w:r>
    </w:p>
    <w:p w14:paraId="2390E41C" w14:textId="77777777" w:rsidR="00F67E9E" w:rsidRDefault="00F67E9E" w:rsidP="00F67E9E">
      <w:pPr>
        <w:pStyle w:val="Numbered11"/>
        <w:keepNext/>
        <w:numPr>
          <w:ilvl w:val="1"/>
          <w:numId w:val="273"/>
        </w:numPr>
      </w:pPr>
      <w:bookmarkStart w:id="3729" w:name="_Ref140819698"/>
      <w:r>
        <w:t>Where the Authority has not:</w:t>
      </w:r>
      <w:bookmarkEnd w:id="3729"/>
    </w:p>
    <w:p w14:paraId="088BC963" w14:textId="77777777" w:rsidR="00F67E9E" w:rsidRDefault="00F67E9E" w:rsidP="00F67E9E">
      <w:pPr>
        <w:pStyle w:val="Numbered111"/>
        <w:numPr>
          <w:ilvl w:val="2"/>
          <w:numId w:val="273"/>
        </w:numPr>
      </w:pPr>
      <w:r w:rsidRPr="00BE333C">
        <w:t>approved or declined the proposal</w:t>
      </w:r>
      <w:r>
        <w:t>; or</w:t>
      </w:r>
    </w:p>
    <w:p w14:paraId="75B98BD1" w14:textId="77777777" w:rsidR="00F67E9E" w:rsidRDefault="00F67E9E" w:rsidP="00F67E9E">
      <w:pPr>
        <w:pStyle w:val="Numbered111"/>
        <w:numPr>
          <w:ilvl w:val="2"/>
          <w:numId w:val="273"/>
        </w:numPr>
      </w:pPr>
      <w:r>
        <w:t>required further information,</w:t>
      </w:r>
    </w:p>
    <w:p w14:paraId="6A35BB3F" w14:textId="77777777" w:rsidR="00F67E9E" w:rsidRDefault="00F67E9E" w:rsidP="00F67E9E">
      <w:pPr>
        <w:pStyle w:val="StdBodyText1"/>
        <w:keepNext/>
      </w:pPr>
      <w:r>
        <w:t>within 20 Working Days of the later of:</w:t>
      </w:r>
    </w:p>
    <w:p w14:paraId="2A5D5680" w14:textId="77777777" w:rsidR="00F67E9E" w:rsidRDefault="00F67E9E" w:rsidP="00F67E9E">
      <w:pPr>
        <w:pStyle w:val="Numbered111"/>
        <w:numPr>
          <w:ilvl w:val="2"/>
          <w:numId w:val="273"/>
        </w:numPr>
      </w:pPr>
      <w:r>
        <w:t>the date the proposal was first provided to the Authority; or</w:t>
      </w:r>
    </w:p>
    <w:p w14:paraId="59CC3494" w14:textId="77777777" w:rsidR="00F67E9E" w:rsidRDefault="00F67E9E" w:rsidP="00F67E9E">
      <w:pPr>
        <w:pStyle w:val="Numbered111"/>
        <w:numPr>
          <w:ilvl w:val="2"/>
          <w:numId w:val="273"/>
        </w:numPr>
      </w:pPr>
      <w:r>
        <w:t>the date on which further information was provided to the Authority,</w:t>
      </w:r>
    </w:p>
    <w:p w14:paraId="0A0A07EE" w14:textId="77777777" w:rsidR="00F67E9E" w:rsidRDefault="00F67E9E" w:rsidP="00F67E9E">
      <w:pPr>
        <w:pStyle w:val="StdBodyText1"/>
      </w:pPr>
      <w:r>
        <w:t>then the proposal is, for the purposes of this Contract, approved.</w:t>
      </w:r>
    </w:p>
    <w:p w14:paraId="78327ABB" w14:textId="77777777" w:rsidR="00F67E9E" w:rsidRDefault="00F67E9E" w:rsidP="00F67E9E">
      <w:pPr>
        <w:pStyle w:val="Numbered1"/>
        <w:numPr>
          <w:ilvl w:val="0"/>
          <w:numId w:val="273"/>
        </w:numPr>
      </w:pPr>
      <w:r>
        <w:t>Provision of information on Project Specific IPR and Specially Written Software</w:t>
      </w:r>
    </w:p>
    <w:p w14:paraId="439B43AE" w14:textId="77777777" w:rsidR="00F67E9E" w:rsidRDefault="00F67E9E" w:rsidP="00F67E9E">
      <w:pPr>
        <w:pStyle w:val="Numbered11"/>
        <w:keepNext/>
        <w:numPr>
          <w:ilvl w:val="1"/>
          <w:numId w:val="273"/>
        </w:numPr>
      </w:pPr>
      <w:r>
        <w:t>The Authority may, at any time, require the Supplier to provide information on:</w:t>
      </w:r>
    </w:p>
    <w:p w14:paraId="36804BD8" w14:textId="77777777" w:rsidR="00F67E9E" w:rsidRDefault="00F67E9E" w:rsidP="00F67E9E">
      <w:pPr>
        <w:pStyle w:val="Numbered111"/>
        <w:numPr>
          <w:ilvl w:val="2"/>
          <w:numId w:val="273"/>
        </w:numPr>
      </w:pPr>
      <w:r>
        <w:t>the purposes, other than for the purposes of this Contract, for which the Supplier uses Project Specific IPR and Specially Written Software; and</w:t>
      </w:r>
    </w:p>
    <w:p w14:paraId="72EA6AF1" w14:textId="77777777" w:rsidR="00F67E9E" w:rsidRDefault="00F67E9E" w:rsidP="00F67E9E">
      <w:pPr>
        <w:pStyle w:val="Numbered111"/>
        <w:numPr>
          <w:ilvl w:val="2"/>
          <w:numId w:val="273"/>
        </w:numPr>
      </w:pPr>
      <w:r>
        <w:t>the activities the Supplier undertakes, other than under this Contract, with or in respect of the Project Specific IPR and Specially Written Software.</w:t>
      </w:r>
    </w:p>
    <w:p w14:paraId="261598B6" w14:textId="77777777" w:rsidR="00F67E9E" w:rsidRDefault="00F67E9E" w:rsidP="00F67E9E">
      <w:pPr>
        <w:pStyle w:val="Numbered11"/>
        <w:keepNext/>
        <w:numPr>
          <w:ilvl w:val="1"/>
          <w:numId w:val="273"/>
        </w:numPr>
      </w:pPr>
      <w:r>
        <w:t>The Supplier must provide the information required by the Authority:</w:t>
      </w:r>
    </w:p>
    <w:p w14:paraId="25904D05" w14:textId="77777777" w:rsidR="00F67E9E" w:rsidRDefault="00F67E9E" w:rsidP="00F67E9E">
      <w:pPr>
        <w:pStyle w:val="Numbered111"/>
        <w:numPr>
          <w:ilvl w:val="2"/>
          <w:numId w:val="273"/>
        </w:numPr>
      </w:pPr>
      <w:r>
        <w:t>within 20 Working Days of the date of the requirement; and</w:t>
      </w:r>
    </w:p>
    <w:p w14:paraId="2BE7768F" w14:textId="77777777" w:rsidR="00F67E9E" w:rsidRDefault="00F67E9E" w:rsidP="00F67E9E">
      <w:pPr>
        <w:pStyle w:val="Numbered111"/>
        <w:numPr>
          <w:ilvl w:val="2"/>
          <w:numId w:val="273"/>
        </w:numPr>
      </w:pPr>
      <w:r>
        <w:t>in the form and with the content specified by the Authority.</w:t>
      </w:r>
    </w:p>
    <w:p w14:paraId="69BC1933" w14:textId="77777777" w:rsidR="00F67E9E" w:rsidRDefault="00F67E9E" w:rsidP="00F67E9E">
      <w:pPr>
        <w:pStyle w:val="Numbered1"/>
        <w:numPr>
          <w:ilvl w:val="0"/>
          <w:numId w:val="273"/>
        </w:numPr>
      </w:pPr>
      <w:bookmarkStart w:id="3730" w:name="_Ref140100250"/>
      <w:r w:rsidRPr="007E15D7">
        <w:t xml:space="preserve">Licences </w:t>
      </w:r>
      <w:r>
        <w:t>in respect of</w:t>
      </w:r>
      <w:r w:rsidRPr="007E15D7">
        <w:t xml:space="preserve"> </w:t>
      </w:r>
      <w:r w:rsidRPr="00A550B3">
        <w:t>Supplier Non-COTS Software</w:t>
      </w:r>
      <w:r>
        <w:t xml:space="preserve"> and </w:t>
      </w:r>
      <w:r w:rsidRPr="00A550B3">
        <w:t>Supplier Non-COTS Background IPR</w:t>
      </w:r>
      <w:bookmarkEnd w:id="3730"/>
    </w:p>
    <w:p w14:paraId="701F9DC7" w14:textId="312F2E03" w:rsidR="00F67E9E" w:rsidRDefault="00F67E9E" w:rsidP="00F67E9E">
      <w:pPr>
        <w:pStyle w:val="Numbered11"/>
        <w:numPr>
          <w:ilvl w:val="1"/>
          <w:numId w:val="273"/>
        </w:numPr>
      </w:pPr>
      <w:bookmarkStart w:id="3731" w:name="_Ref140100837"/>
      <w:r>
        <w:t xml:space="preserve">Subject to the Authority approving the use of </w:t>
      </w:r>
      <w:r w:rsidRPr="00A550B3">
        <w:t>Supplier Non-COTS Software</w:t>
      </w:r>
      <w:r>
        <w:t xml:space="preserve"> and </w:t>
      </w:r>
      <w:r w:rsidRPr="00A550B3">
        <w:t>Supplier Non-COTS Background IPR</w:t>
      </w:r>
      <w:r>
        <w:t xml:space="preserve"> under Paragraph </w:t>
      </w:r>
      <w:r>
        <w:fldChar w:fldCharType="begin"/>
      </w:r>
      <w:r>
        <w:instrText xml:space="preserve"> REF _Ref140100775 \w \h  \* MERGEFORMAT </w:instrText>
      </w:r>
      <w:r>
        <w:fldChar w:fldCharType="separate"/>
      </w:r>
      <w:r w:rsidR="00302D39">
        <w:t>2</w:t>
      </w:r>
      <w:r>
        <w:fldChar w:fldCharType="end"/>
      </w:r>
      <w:r>
        <w:t>, the Supplier grants the Authority a Supplier Existing IPR Licence on the terms set out in Paragraph </w:t>
      </w:r>
      <w:r>
        <w:fldChar w:fldCharType="begin"/>
      </w:r>
      <w:r>
        <w:instrText xml:space="preserve"> REF _Ref140819998 \r \h  \* MERGEFORMAT </w:instrText>
      </w:r>
      <w:r>
        <w:fldChar w:fldCharType="separate"/>
      </w:r>
      <w:r w:rsidR="00302D39">
        <w:t>7.3</w:t>
      </w:r>
      <w:r>
        <w:fldChar w:fldCharType="end"/>
      </w:r>
      <w:r>
        <w:t xml:space="preserve"> in respect of each Deliverable where:</w:t>
      </w:r>
      <w:bookmarkEnd w:id="3731"/>
    </w:p>
    <w:p w14:paraId="07F4DCD9" w14:textId="77777777" w:rsidR="00F67E9E" w:rsidRDefault="00F67E9E" w:rsidP="00F67E9E">
      <w:pPr>
        <w:pStyle w:val="Numbered111"/>
        <w:numPr>
          <w:ilvl w:val="2"/>
          <w:numId w:val="273"/>
        </w:numPr>
      </w:pPr>
      <w:r>
        <w:t xml:space="preserve">the </w:t>
      </w:r>
      <w:r w:rsidRPr="00A550B3">
        <w:t>Supplier Non-COTS Software</w:t>
      </w:r>
      <w:r>
        <w:t xml:space="preserve"> and </w:t>
      </w:r>
      <w:r w:rsidRPr="00A550B3">
        <w:t>Supplier Non-COTS Background IPR</w:t>
      </w:r>
      <w:r>
        <w:t xml:space="preserve"> is embedded in the Deliverable;</w:t>
      </w:r>
    </w:p>
    <w:p w14:paraId="57C9268E" w14:textId="4988B4E3" w:rsidR="00F67E9E" w:rsidRDefault="00F67E9E" w:rsidP="00F67E9E">
      <w:pPr>
        <w:pStyle w:val="Numbered111"/>
        <w:numPr>
          <w:ilvl w:val="2"/>
          <w:numId w:val="273"/>
        </w:numPr>
      </w:pPr>
      <w:r>
        <w:t xml:space="preserve">the </w:t>
      </w:r>
      <w:r w:rsidRPr="00A550B3">
        <w:t>Supplier Non-COTS Software</w:t>
      </w:r>
      <w:r>
        <w:t xml:space="preserve"> and </w:t>
      </w:r>
      <w:r w:rsidRPr="00A550B3">
        <w:t>Supplier Non-COTS Background IPR</w:t>
      </w:r>
      <w:r>
        <w:t xml:space="preserve"> is necessary for the Authority to use the Deliverable for any of the purposes set out in Paragraph </w:t>
      </w:r>
      <w:r>
        <w:fldChar w:fldCharType="begin"/>
      </w:r>
      <w:r>
        <w:instrText xml:space="preserve"> REF _Ref140100819 \w \h  \* MERGEFORMAT </w:instrText>
      </w:r>
      <w:r>
        <w:fldChar w:fldCharType="separate"/>
      </w:r>
      <w:r w:rsidR="00302D39">
        <w:t>7.4</w:t>
      </w:r>
      <w:r>
        <w:fldChar w:fldCharType="end"/>
      </w:r>
      <w:r>
        <w:t>; or</w:t>
      </w:r>
    </w:p>
    <w:p w14:paraId="5AD8F87D" w14:textId="77777777" w:rsidR="00F67E9E" w:rsidRDefault="00F67E9E" w:rsidP="00F67E9E">
      <w:pPr>
        <w:pStyle w:val="Numbered111"/>
        <w:numPr>
          <w:ilvl w:val="2"/>
          <w:numId w:val="273"/>
        </w:numPr>
      </w:pPr>
      <w:r>
        <w:t xml:space="preserve">the Deliverable is a customisation or adaptation of </w:t>
      </w:r>
      <w:r w:rsidRPr="00A550B3">
        <w:t>Supplier Non-COTS Software</w:t>
      </w:r>
      <w:r>
        <w:t xml:space="preserve"> and </w:t>
      </w:r>
      <w:r w:rsidRPr="00A550B3">
        <w:t>Supplier Non-COTS Background IPR</w:t>
      </w:r>
      <w:r>
        <w:t>.</w:t>
      </w:r>
    </w:p>
    <w:p w14:paraId="50C1CA9F" w14:textId="635292C4" w:rsidR="00F67E9E" w:rsidRDefault="00F67E9E" w:rsidP="00F67E9E">
      <w:pPr>
        <w:pStyle w:val="Numbered11"/>
        <w:numPr>
          <w:ilvl w:val="1"/>
          <w:numId w:val="273"/>
        </w:numPr>
      </w:pPr>
      <w:r>
        <w:t xml:space="preserve">The categories of </w:t>
      </w:r>
      <w:r w:rsidRPr="00A550B3">
        <w:t>Supplier Non-COTS Software</w:t>
      </w:r>
      <w:r>
        <w:t xml:space="preserve"> and </w:t>
      </w:r>
      <w:r w:rsidRPr="00A550B3">
        <w:t>Supplier Non-COTS Background IPR</w:t>
      </w:r>
      <w:r>
        <w:t xml:space="preserve"> set out in Paragraph </w:t>
      </w:r>
      <w:r>
        <w:fldChar w:fldCharType="begin"/>
      </w:r>
      <w:r>
        <w:instrText xml:space="preserve"> REF _Ref140100837 \w \h  \* MERGEFORMAT </w:instrText>
      </w:r>
      <w:r>
        <w:fldChar w:fldCharType="separate"/>
      </w:r>
      <w:r w:rsidR="00302D39">
        <w:t>7.1</w:t>
      </w:r>
      <w:r>
        <w:fldChar w:fldCharType="end"/>
      </w:r>
      <w:r>
        <w:t xml:space="preserve"> are mutually exclusive.</w:t>
      </w:r>
    </w:p>
    <w:p w14:paraId="35870F3A" w14:textId="77777777" w:rsidR="00F67E9E" w:rsidRDefault="00F67E9E" w:rsidP="00F67E9E">
      <w:pPr>
        <w:pStyle w:val="Numbered11"/>
        <w:keepNext/>
        <w:numPr>
          <w:ilvl w:val="1"/>
          <w:numId w:val="273"/>
        </w:numPr>
      </w:pPr>
      <w:bookmarkStart w:id="3732" w:name="_Ref140819998"/>
      <w:r>
        <w:t>The Supplier Existing IPR Licence granted by the Supplier to the Authority is a non-exclusive, perpetual, royalty-free, irrevocable, transferable, sub-licensable, worldwide licence that:</w:t>
      </w:r>
      <w:bookmarkEnd w:id="3732"/>
    </w:p>
    <w:p w14:paraId="195FF944" w14:textId="77777777" w:rsidR="00F67E9E" w:rsidRDefault="00F67E9E" w:rsidP="00F67E9E">
      <w:pPr>
        <w:pStyle w:val="Numbered111"/>
        <w:keepNext/>
        <w:numPr>
          <w:ilvl w:val="2"/>
          <w:numId w:val="273"/>
        </w:numPr>
      </w:pPr>
      <w:r>
        <w:t xml:space="preserve">in the case of </w:t>
      </w:r>
      <w:r w:rsidRPr="00A550B3">
        <w:t>Supplier Non-COTS Software</w:t>
      </w:r>
      <w:r>
        <w:t xml:space="preserve"> and </w:t>
      </w:r>
      <w:r w:rsidRPr="00A550B3">
        <w:t>Supplier Non-COTS Background IPR</w:t>
      </w:r>
      <w:r>
        <w:t xml:space="preserve"> embedded in a Deliverable:</w:t>
      </w:r>
    </w:p>
    <w:p w14:paraId="11EA6D56" w14:textId="77777777" w:rsidR="00F67E9E" w:rsidRDefault="00F67E9E" w:rsidP="00F67E9E">
      <w:pPr>
        <w:pStyle w:val="Numbered111a"/>
        <w:numPr>
          <w:ilvl w:val="3"/>
          <w:numId w:val="273"/>
        </w:numPr>
      </w:pPr>
      <w:bookmarkStart w:id="3733" w:name="_Ref140100920"/>
      <w:r>
        <w:t>has no restriction on the identity of any transferee or sub-licensee;</w:t>
      </w:r>
      <w:bookmarkEnd w:id="3733"/>
    </w:p>
    <w:p w14:paraId="69714898" w14:textId="229E5370" w:rsidR="00F67E9E" w:rsidRDefault="00F67E9E" w:rsidP="00F67E9E">
      <w:pPr>
        <w:pStyle w:val="Numbered111a"/>
        <w:numPr>
          <w:ilvl w:val="3"/>
          <w:numId w:val="273"/>
        </w:numPr>
      </w:pPr>
      <w:r>
        <w:t>is sub-licensable for any of the purposes set out in Paragraph </w:t>
      </w:r>
      <w:r>
        <w:fldChar w:fldCharType="begin"/>
      </w:r>
      <w:r>
        <w:instrText xml:space="preserve"> REF _Ref140100819 \w \h  \* MERGEFORMAT </w:instrText>
      </w:r>
      <w:r>
        <w:fldChar w:fldCharType="separate"/>
      </w:r>
      <w:r w:rsidR="00302D39">
        <w:t>7.4</w:t>
      </w:r>
      <w:r>
        <w:fldChar w:fldCharType="end"/>
      </w:r>
      <w:r>
        <w:t>;</w:t>
      </w:r>
    </w:p>
    <w:p w14:paraId="39FACC95" w14:textId="58509FAE" w:rsidR="00F67E9E" w:rsidRDefault="00F67E9E" w:rsidP="00F67E9E">
      <w:pPr>
        <w:pStyle w:val="Numbered111a"/>
        <w:numPr>
          <w:ilvl w:val="3"/>
          <w:numId w:val="273"/>
        </w:numPr>
      </w:pPr>
      <w:r>
        <w:t xml:space="preserve">allows the Authority and any transferee or sub-licensee to use, copy and adapt the </w:t>
      </w:r>
      <w:r w:rsidRPr="00A550B3">
        <w:t>Supplier Non-COTS Software</w:t>
      </w:r>
      <w:r>
        <w:t xml:space="preserve"> and </w:t>
      </w:r>
      <w:r w:rsidRPr="00A550B3">
        <w:t>Supplier Non-COTS Background IPR</w:t>
      </w:r>
      <w:r>
        <w:t xml:space="preserve"> for any of the purposes set out in Paragraph </w:t>
      </w:r>
      <w:r>
        <w:fldChar w:fldCharType="begin"/>
      </w:r>
      <w:r>
        <w:instrText xml:space="preserve"> REF _Ref140100819 \w \h  \* MERGEFORMAT </w:instrText>
      </w:r>
      <w:r>
        <w:fldChar w:fldCharType="separate"/>
      </w:r>
      <w:r w:rsidR="00302D39">
        <w:t>7.4</w:t>
      </w:r>
      <w:r>
        <w:fldChar w:fldCharType="end"/>
      </w:r>
      <w:r>
        <w:t>; and</w:t>
      </w:r>
    </w:p>
    <w:p w14:paraId="6587300A" w14:textId="77777777" w:rsidR="00F67E9E" w:rsidRPr="007E15D7" w:rsidRDefault="00F67E9E" w:rsidP="00F67E9E">
      <w:pPr>
        <w:pStyle w:val="Numbered111"/>
        <w:keepNext/>
        <w:numPr>
          <w:ilvl w:val="2"/>
          <w:numId w:val="273"/>
        </w:numPr>
      </w:pPr>
      <w:r w:rsidRPr="007E15D7">
        <w:t xml:space="preserve">in the case of </w:t>
      </w:r>
      <w:r w:rsidRPr="00A550B3">
        <w:t>Supplier Non-COTS Software</w:t>
      </w:r>
      <w:r>
        <w:t xml:space="preserve"> and </w:t>
      </w:r>
      <w:r w:rsidRPr="00A550B3">
        <w:t>Supplier Non-COTS Background IPR</w:t>
      </w:r>
      <w:r w:rsidRPr="007E15D7">
        <w:t xml:space="preserve"> that is necessary for the </w:t>
      </w:r>
      <w:r>
        <w:t>Authority</w:t>
      </w:r>
      <w:r w:rsidRPr="007E15D7">
        <w:t xml:space="preserve"> to use the Deliverable for its intended purpose or has been customised or adapted to provide the Deliverable:</w:t>
      </w:r>
    </w:p>
    <w:p w14:paraId="0E4AED84" w14:textId="4074CD57" w:rsidR="00F67E9E" w:rsidRDefault="00F67E9E" w:rsidP="00F67E9E">
      <w:pPr>
        <w:pStyle w:val="Numbered111a"/>
        <w:numPr>
          <w:ilvl w:val="3"/>
          <w:numId w:val="273"/>
        </w:numPr>
      </w:pPr>
      <w:r>
        <w:t xml:space="preserve">allows the Authority and any transferee or sublicensee to use and copy, but not adapt, disassemble or reverse engineer the relevant </w:t>
      </w:r>
      <w:r w:rsidRPr="00A550B3">
        <w:t>Supplier Non-COTS Software</w:t>
      </w:r>
      <w:r>
        <w:t xml:space="preserve"> and </w:t>
      </w:r>
      <w:r w:rsidRPr="00A550B3">
        <w:t>Supplier Non-COTS Background IPR</w:t>
      </w:r>
      <w:r>
        <w:t xml:space="preserve"> for any of the purposes set out in Paragraph </w:t>
      </w:r>
      <w:r>
        <w:fldChar w:fldCharType="begin"/>
      </w:r>
      <w:r>
        <w:instrText xml:space="preserve"> REF _Ref140100819 \w \h  \* MERGEFORMAT </w:instrText>
      </w:r>
      <w:r>
        <w:fldChar w:fldCharType="separate"/>
      </w:r>
      <w:r w:rsidR="00302D39">
        <w:t>7.4</w:t>
      </w:r>
      <w:r>
        <w:fldChar w:fldCharType="end"/>
      </w:r>
      <w:r>
        <w:t>;</w:t>
      </w:r>
    </w:p>
    <w:p w14:paraId="6B869A6C" w14:textId="77777777" w:rsidR="00F67E9E" w:rsidRDefault="00F67E9E" w:rsidP="00F67E9E">
      <w:pPr>
        <w:pStyle w:val="Numbered111a"/>
        <w:keepNext/>
        <w:numPr>
          <w:ilvl w:val="3"/>
          <w:numId w:val="273"/>
        </w:numPr>
      </w:pPr>
      <w:bookmarkStart w:id="3734" w:name="_Ref140100946"/>
      <w:r>
        <w:t>is transferrable to only:</w:t>
      </w:r>
      <w:bookmarkEnd w:id="3734"/>
    </w:p>
    <w:p w14:paraId="25DF074A" w14:textId="77777777" w:rsidR="00F67E9E" w:rsidRDefault="00F67E9E" w:rsidP="00F67E9E">
      <w:pPr>
        <w:pStyle w:val="Numbered111ai"/>
        <w:numPr>
          <w:ilvl w:val="4"/>
          <w:numId w:val="273"/>
        </w:numPr>
      </w:pPr>
      <w:r>
        <w:t>a Crown Body;</w:t>
      </w:r>
    </w:p>
    <w:p w14:paraId="782764A4" w14:textId="77777777" w:rsidR="00F67E9E" w:rsidRDefault="00F67E9E" w:rsidP="00F67E9E">
      <w:pPr>
        <w:pStyle w:val="Numbered111ai"/>
        <w:numPr>
          <w:ilvl w:val="4"/>
          <w:numId w:val="273"/>
        </w:numPr>
      </w:pPr>
      <w:r w:rsidRPr="00E36B93">
        <w:t xml:space="preserve">any body (including any private sector body) </w:t>
      </w:r>
      <w:r>
        <w:t>that</w:t>
      </w:r>
      <w:r w:rsidRPr="00E36B93">
        <w:t xml:space="preserve"> performs or carries </w:t>
      </w:r>
      <w:r>
        <w:t xml:space="preserve">out </w:t>
      </w:r>
      <w:r w:rsidRPr="00E36B93">
        <w:t xml:space="preserve">any of the functions or activities that </w:t>
      </w:r>
      <w:r>
        <w:t xml:space="preserve">the Authority </w:t>
      </w:r>
      <w:r w:rsidRPr="00E36B93">
        <w:t xml:space="preserve">had </w:t>
      </w:r>
      <w:r>
        <w:t xml:space="preserve">previously </w:t>
      </w:r>
      <w:r w:rsidRPr="00E36B93">
        <w:t xml:space="preserve">performed </w:t>
      </w:r>
      <w:r>
        <w:t xml:space="preserve">or </w:t>
      </w:r>
      <w:r w:rsidRPr="00E36B93">
        <w:t xml:space="preserve">carried </w:t>
      </w:r>
      <w:r>
        <w:t>out; or</w:t>
      </w:r>
    </w:p>
    <w:p w14:paraId="5214F2E8" w14:textId="27F725F1" w:rsidR="00694991" w:rsidRDefault="00F67E9E" w:rsidP="00694991">
      <w:pPr>
        <w:pStyle w:val="Numbered111ai"/>
        <w:numPr>
          <w:ilvl w:val="4"/>
          <w:numId w:val="273"/>
        </w:numPr>
      </w:pPr>
      <w:r>
        <w:t>a person or organisation that is not a direct competitor of the Supplier</w:t>
      </w:r>
      <w:r w:rsidR="00694991">
        <w:t>; where that transferee:</w:t>
      </w:r>
    </w:p>
    <w:p w14:paraId="08B78BB8" w14:textId="69F43DE6" w:rsidR="00694991" w:rsidRDefault="00694991" w:rsidP="00694991">
      <w:pPr>
        <w:pStyle w:val="Numbered111ai"/>
        <w:numPr>
          <w:ilvl w:val="5"/>
          <w:numId w:val="273"/>
        </w:numPr>
      </w:pPr>
      <w:r>
        <w:t xml:space="preserve">enters into a direct arrangement with the Supplier in the form set out in </w:t>
      </w:r>
      <w:r>
        <w:fldChar w:fldCharType="begin"/>
      </w:r>
      <w:r>
        <w:instrText xml:space="preserve"> REF Annex1toschedule12 \h </w:instrText>
      </w:r>
      <w:r>
        <w:fldChar w:fldCharType="separate"/>
      </w:r>
      <w:r w:rsidRPr="00477926">
        <w:t xml:space="preserve">Annex </w:t>
      </w:r>
      <w:r>
        <w:t>1</w:t>
      </w:r>
      <w:r>
        <w:fldChar w:fldCharType="end"/>
      </w:r>
      <w:r>
        <w:t xml:space="preserve"> of </w:t>
      </w:r>
      <w:r>
        <w:fldChar w:fldCharType="begin"/>
      </w:r>
      <w:r>
        <w:instrText xml:space="preserve"> REF Schedule12 \h </w:instrText>
      </w:r>
      <w:r>
        <w:fldChar w:fldCharType="separate"/>
      </w:r>
      <w:r w:rsidRPr="005D0525">
        <w:t>Schedule</w:t>
      </w:r>
      <w:r>
        <w:t> </w:t>
      </w:r>
      <w:r w:rsidRPr="005D0525">
        <w:t>12</w:t>
      </w:r>
      <w:r>
        <w:fldChar w:fldCharType="end"/>
      </w:r>
      <w:r w:rsidRPr="00A550B3">
        <w:t xml:space="preserve"> (</w:t>
      </w:r>
      <w:r w:rsidRPr="00212E6C">
        <w:rPr>
          <w:i/>
          <w:iCs/>
        </w:rPr>
        <w:fldChar w:fldCharType="begin"/>
      </w:r>
      <w:r w:rsidRPr="00212E6C">
        <w:rPr>
          <w:i/>
          <w:iCs/>
        </w:rPr>
        <w:instrText xml:space="preserve"> REF Schedule12Heading \h  \* MERGEFORMAT </w:instrText>
      </w:r>
      <w:r w:rsidRPr="00212E6C">
        <w:rPr>
          <w:i/>
          <w:iCs/>
        </w:rPr>
      </w:r>
      <w:r w:rsidRPr="00212E6C">
        <w:rPr>
          <w:i/>
          <w:iCs/>
        </w:rPr>
        <w:fldChar w:fldCharType="separate"/>
      </w:r>
      <w:r w:rsidRPr="00302D39">
        <w:rPr>
          <w:i/>
          <w:iCs/>
        </w:rPr>
        <w:t>Software</w:t>
      </w:r>
      <w:r w:rsidRPr="00212E6C">
        <w:rPr>
          <w:i/>
          <w:iCs/>
        </w:rPr>
        <w:fldChar w:fldCharType="end"/>
      </w:r>
      <w:r w:rsidRPr="00A550B3">
        <w:t>)</w:t>
      </w:r>
      <w:r>
        <w:t>; or</w:t>
      </w:r>
    </w:p>
    <w:p w14:paraId="0477D8BB" w14:textId="77777777" w:rsidR="00694991" w:rsidRDefault="00694991" w:rsidP="00694991">
      <w:pPr>
        <w:pStyle w:val="Numbered111ai"/>
        <w:numPr>
          <w:ilvl w:val="5"/>
          <w:numId w:val="273"/>
        </w:numPr>
      </w:pPr>
      <w:r>
        <w:t>enters into a confidentiality arrangement with the Authority in terms equivalent to those set out in set out in Clause 19 (</w:t>
      </w:r>
      <w:r w:rsidRPr="00694991">
        <w:rPr>
          <w:i/>
          <w:iCs/>
        </w:rPr>
        <w:t>Confidentiality</w:t>
      </w:r>
      <w:r>
        <w:t>);</w:t>
      </w:r>
    </w:p>
    <w:p w14:paraId="7E39C727" w14:textId="1DA71D63" w:rsidR="00694991" w:rsidRDefault="00F67E9E" w:rsidP="00694991">
      <w:pPr>
        <w:pStyle w:val="Numbered111a"/>
        <w:numPr>
          <w:ilvl w:val="3"/>
          <w:numId w:val="273"/>
        </w:numPr>
      </w:pPr>
      <w:r w:rsidRPr="007E15D7">
        <w:t>is sub-licensable to the Replacement Supplier (including where the Replacement Supplier is a competitor of the Supplier)</w:t>
      </w:r>
      <w:r w:rsidR="00694991" w:rsidRPr="00694991">
        <w:t xml:space="preserve"> </w:t>
      </w:r>
      <w:r w:rsidR="00694991">
        <w:t>where the Replacement Supplier:</w:t>
      </w:r>
    </w:p>
    <w:p w14:paraId="099A228D" w14:textId="66B6C11E" w:rsidR="00694991" w:rsidRDefault="00694991" w:rsidP="00694991">
      <w:pPr>
        <w:pStyle w:val="Numbered111a"/>
        <w:numPr>
          <w:ilvl w:val="4"/>
          <w:numId w:val="273"/>
        </w:numPr>
      </w:pPr>
      <w:r>
        <w:t xml:space="preserve">enters into a direct arrangement with the Supplier in the form set out in </w:t>
      </w:r>
      <w:r>
        <w:fldChar w:fldCharType="begin"/>
      </w:r>
      <w:r>
        <w:instrText xml:space="preserve"> REF Annex1toschedule12 \h </w:instrText>
      </w:r>
      <w:r>
        <w:fldChar w:fldCharType="separate"/>
      </w:r>
      <w:r w:rsidRPr="00477926">
        <w:t xml:space="preserve">Annex </w:t>
      </w:r>
      <w:r>
        <w:t>1</w:t>
      </w:r>
      <w:r>
        <w:fldChar w:fldCharType="end"/>
      </w:r>
      <w:r>
        <w:t xml:space="preserve"> of </w:t>
      </w:r>
      <w:r>
        <w:fldChar w:fldCharType="begin"/>
      </w:r>
      <w:r>
        <w:instrText xml:space="preserve"> REF Schedule12 \h </w:instrText>
      </w:r>
      <w:r>
        <w:fldChar w:fldCharType="separate"/>
      </w:r>
      <w:r w:rsidRPr="005D0525">
        <w:t>Schedule</w:t>
      </w:r>
      <w:r>
        <w:t> </w:t>
      </w:r>
      <w:r w:rsidRPr="005D0525">
        <w:t>12</w:t>
      </w:r>
      <w:r>
        <w:fldChar w:fldCharType="end"/>
      </w:r>
      <w:r w:rsidRPr="00A550B3">
        <w:t xml:space="preserve"> (</w:t>
      </w:r>
      <w:r w:rsidRPr="00212E6C">
        <w:rPr>
          <w:i/>
          <w:iCs/>
        </w:rPr>
        <w:fldChar w:fldCharType="begin"/>
      </w:r>
      <w:r w:rsidRPr="00212E6C">
        <w:rPr>
          <w:i/>
          <w:iCs/>
        </w:rPr>
        <w:instrText xml:space="preserve"> REF Schedule12Heading \h  \* MERGEFORMAT </w:instrText>
      </w:r>
      <w:r w:rsidRPr="00212E6C">
        <w:rPr>
          <w:i/>
          <w:iCs/>
        </w:rPr>
      </w:r>
      <w:r w:rsidRPr="00212E6C">
        <w:rPr>
          <w:i/>
          <w:iCs/>
        </w:rPr>
        <w:fldChar w:fldCharType="separate"/>
      </w:r>
      <w:r w:rsidRPr="00302D39">
        <w:rPr>
          <w:i/>
          <w:iCs/>
        </w:rPr>
        <w:t>Software</w:t>
      </w:r>
      <w:r w:rsidRPr="00212E6C">
        <w:rPr>
          <w:i/>
          <w:iCs/>
        </w:rPr>
        <w:fldChar w:fldCharType="end"/>
      </w:r>
      <w:r w:rsidRPr="00A550B3">
        <w:t>)</w:t>
      </w:r>
      <w:r>
        <w:t>; or</w:t>
      </w:r>
    </w:p>
    <w:p w14:paraId="792C34FD" w14:textId="77777777" w:rsidR="00694991" w:rsidRDefault="00694991" w:rsidP="00694991">
      <w:pPr>
        <w:pStyle w:val="Numbered111a"/>
        <w:numPr>
          <w:ilvl w:val="4"/>
          <w:numId w:val="273"/>
        </w:numPr>
      </w:pPr>
      <w:r>
        <w:t>enters into a confidentiality arrangement with the Authority in terms equivalent to those set out in set out in Clause 19 (</w:t>
      </w:r>
      <w:r w:rsidRPr="00694991">
        <w:rPr>
          <w:i/>
          <w:iCs/>
        </w:rPr>
        <w:t>Confidentiality</w:t>
      </w:r>
      <w:r>
        <w:t>);</w:t>
      </w:r>
    </w:p>
    <w:p w14:paraId="354B6F81" w14:textId="77777777" w:rsidR="00F67E9E" w:rsidRDefault="00F67E9E" w:rsidP="00F67E9E">
      <w:pPr>
        <w:pStyle w:val="Numbered111"/>
        <w:numPr>
          <w:ilvl w:val="2"/>
          <w:numId w:val="273"/>
        </w:numPr>
      </w:pPr>
      <w:r>
        <w:t xml:space="preserve">includes a perpetual, royalty-free, non-exclusive licence to use, copy and adapt any Know-How, trade secrets or Confidential Information of the Supplier contained within any </w:t>
      </w:r>
      <w:r w:rsidRPr="00A550B3">
        <w:t>Supplier Non-COTS Software</w:t>
      </w:r>
      <w:r>
        <w:t xml:space="preserve"> and </w:t>
      </w:r>
      <w:r w:rsidRPr="00A550B3">
        <w:t>Supplier Non-COTS Background IPR</w:t>
      </w:r>
      <w:r>
        <w:t>;</w:t>
      </w:r>
    </w:p>
    <w:p w14:paraId="2A0175DE" w14:textId="77777777" w:rsidR="00F67E9E" w:rsidRDefault="00F67E9E" w:rsidP="00F67E9E">
      <w:pPr>
        <w:pStyle w:val="Numbered111"/>
        <w:numPr>
          <w:ilvl w:val="2"/>
          <w:numId w:val="273"/>
        </w:numPr>
      </w:pPr>
      <w:r>
        <w:t>continues in effect following the expiry or earlier termination of this Contract; and</w:t>
      </w:r>
    </w:p>
    <w:p w14:paraId="15137C80" w14:textId="77777777" w:rsidR="00F67E9E" w:rsidRDefault="00F67E9E" w:rsidP="00F67E9E">
      <w:pPr>
        <w:pStyle w:val="Numbered111"/>
        <w:keepNext/>
        <w:numPr>
          <w:ilvl w:val="2"/>
          <w:numId w:val="273"/>
        </w:numPr>
      </w:pPr>
      <w:r>
        <w:t>is subject to the restrictions that:</w:t>
      </w:r>
    </w:p>
    <w:p w14:paraId="279BEC7B" w14:textId="77777777" w:rsidR="00F67E9E" w:rsidRDefault="00F67E9E" w:rsidP="00F67E9E">
      <w:pPr>
        <w:pStyle w:val="Numbered111a"/>
        <w:numPr>
          <w:ilvl w:val="3"/>
          <w:numId w:val="273"/>
        </w:numPr>
      </w:pPr>
      <w:r>
        <w:t xml:space="preserve">no sub-licence granted to the </w:t>
      </w:r>
      <w:r w:rsidRPr="00A550B3">
        <w:t>Supplier Non-COTS Software</w:t>
      </w:r>
      <w:r>
        <w:t xml:space="preserve"> and </w:t>
      </w:r>
      <w:r w:rsidRPr="00A550B3">
        <w:t>Supplier Non-COTS Background IPR</w:t>
      </w:r>
      <w:r>
        <w:t xml:space="preserve"> shall purport to provide the sub-licensee with any wider rights than those granted to the Authority under this Paragraph;</w:t>
      </w:r>
    </w:p>
    <w:p w14:paraId="23CBE415" w14:textId="77777777" w:rsidR="00F67E9E" w:rsidRDefault="00F67E9E" w:rsidP="00F67E9E">
      <w:pPr>
        <w:pStyle w:val="Numbered111a"/>
        <w:keepNext/>
        <w:numPr>
          <w:ilvl w:val="3"/>
          <w:numId w:val="273"/>
        </w:numPr>
      </w:pPr>
      <w:r>
        <w:t xml:space="preserve">any transferee or sublicensee of the </w:t>
      </w:r>
      <w:r w:rsidRPr="00A550B3">
        <w:t>Supplier Non-COTS Software</w:t>
      </w:r>
      <w:r>
        <w:t xml:space="preserve"> and </w:t>
      </w:r>
      <w:r w:rsidRPr="00A550B3">
        <w:t>Supplier Non-COTS Background IPR</w:t>
      </w:r>
      <w:r>
        <w:t xml:space="preserve"> must either:</w:t>
      </w:r>
    </w:p>
    <w:p w14:paraId="5FF9B259" w14:textId="37A993F7" w:rsidR="00F67E9E" w:rsidRDefault="00F67E9E" w:rsidP="00F67E9E">
      <w:pPr>
        <w:pStyle w:val="Numbered111ai"/>
        <w:numPr>
          <w:ilvl w:val="4"/>
          <w:numId w:val="273"/>
        </w:numPr>
      </w:pPr>
      <w:r>
        <w:t xml:space="preserve">enter into a direct arrangement with the Supplier in the form set out in </w:t>
      </w:r>
      <w:r>
        <w:fldChar w:fldCharType="begin"/>
      </w:r>
      <w:r>
        <w:instrText xml:space="preserve"> REF Annex1toschedule12 \h </w:instrText>
      </w:r>
      <w:r>
        <w:fldChar w:fldCharType="separate"/>
      </w:r>
      <w:r w:rsidR="00302D39" w:rsidRPr="00477926">
        <w:t xml:space="preserve">Annex </w:t>
      </w:r>
      <w:r w:rsidR="00302D39">
        <w:t>1</w:t>
      </w:r>
      <w:r>
        <w:fldChar w:fldCharType="end"/>
      </w:r>
      <w:r>
        <w:t xml:space="preserve"> of </w:t>
      </w:r>
      <w:r>
        <w:fldChar w:fldCharType="begin"/>
      </w:r>
      <w:r>
        <w:instrText xml:space="preserve"> REF Schedule12 \h </w:instrText>
      </w:r>
      <w:r>
        <w:fldChar w:fldCharType="separate"/>
      </w:r>
      <w:r w:rsidR="00302D39" w:rsidRPr="005D0525">
        <w:t>Schedule</w:t>
      </w:r>
      <w:r w:rsidR="00302D39">
        <w:t> </w:t>
      </w:r>
      <w:r w:rsidR="00302D39" w:rsidRPr="005D0525">
        <w:t>12</w:t>
      </w:r>
      <w:r>
        <w:fldChar w:fldCharType="end"/>
      </w:r>
      <w:r w:rsidRPr="00A550B3">
        <w:t xml:space="preserve"> (</w:t>
      </w:r>
      <w:r w:rsidRPr="00212E6C">
        <w:rPr>
          <w:i/>
          <w:iCs/>
        </w:rPr>
        <w:fldChar w:fldCharType="begin"/>
      </w:r>
      <w:r w:rsidRPr="00212E6C">
        <w:rPr>
          <w:i/>
          <w:iCs/>
        </w:rPr>
        <w:instrText xml:space="preserve"> REF Schedule12Heading \h  \* MERGEFORMAT </w:instrText>
      </w:r>
      <w:r w:rsidRPr="00212E6C">
        <w:rPr>
          <w:i/>
          <w:iCs/>
        </w:rPr>
      </w:r>
      <w:r w:rsidRPr="00212E6C">
        <w:rPr>
          <w:i/>
          <w:iCs/>
        </w:rPr>
        <w:fldChar w:fldCharType="separate"/>
      </w:r>
      <w:r w:rsidR="00302D39" w:rsidRPr="00302D39">
        <w:rPr>
          <w:i/>
          <w:iCs/>
        </w:rPr>
        <w:t>Software</w:t>
      </w:r>
      <w:r w:rsidRPr="00212E6C">
        <w:rPr>
          <w:i/>
          <w:iCs/>
        </w:rPr>
        <w:fldChar w:fldCharType="end"/>
      </w:r>
      <w:r w:rsidRPr="00A550B3">
        <w:t>)</w:t>
      </w:r>
      <w:r>
        <w:t>; or</w:t>
      </w:r>
    </w:p>
    <w:p w14:paraId="093BED6E" w14:textId="77777777" w:rsidR="00F67E9E" w:rsidRDefault="00F67E9E" w:rsidP="00F67E9E">
      <w:pPr>
        <w:pStyle w:val="Numbered111ai"/>
        <w:numPr>
          <w:ilvl w:val="4"/>
          <w:numId w:val="273"/>
        </w:numPr>
      </w:pPr>
      <w:r>
        <w:t>enter into a confidentiality arrangement with the Authority in terms equivalent to those set out in set out in Clause 19 (</w:t>
      </w:r>
      <w:r>
        <w:rPr>
          <w:i/>
          <w:iCs/>
        </w:rPr>
        <w:t>Confidentiality</w:t>
      </w:r>
      <w:r>
        <w:t xml:space="preserve">). </w:t>
      </w:r>
    </w:p>
    <w:p w14:paraId="5B105A6B" w14:textId="2A2D12B8" w:rsidR="00F67E9E" w:rsidRDefault="00F67E9E" w:rsidP="00F67E9E">
      <w:pPr>
        <w:pStyle w:val="Numbered11"/>
        <w:keepNext/>
        <w:numPr>
          <w:ilvl w:val="1"/>
          <w:numId w:val="273"/>
        </w:numPr>
      </w:pPr>
      <w:bookmarkStart w:id="3735" w:name="_Ref140100819"/>
      <w:r>
        <w:t>For the purposes of Paragraphs </w:t>
      </w:r>
      <w:r>
        <w:fldChar w:fldCharType="begin"/>
      </w:r>
      <w:r>
        <w:instrText xml:space="preserve"> REF _Ref140100837 \r \h  \* MERGEFORMAT </w:instrText>
      </w:r>
      <w:r>
        <w:fldChar w:fldCharType="separate"/>
      </w:r>
      <w:r w:rsidR="00302D39">
        <w:t>7.1</w:t>
      </w:r>
      <w:r>
        <w:fldChar w:fldCharType="end"/>
      </w:r>
      <w:r>
        <w:t xml:space="preserve"> and </w:t>
      </w:r>
      <w:r>
        <w:fldChar w:fldCharType="begin"/>
      </w:r>
      <w:r>
        <w:instrText xml:space="preserve"> REF _Ref140819998 \r \h  \* MERGEFORMAT </w:instrText>
      </w:r>
      <w:r>
        <w:fldChar w:fldCharType="separate"/>
      </w:r>
      <w:r w:rsidR="00302D39">
        <w:t>7.3</w:t>
      </w:r>
      <w:r>
        <w:fldChar w:fldCharType="end"/>
      </w:r>
      <w:r>
        <w:t>, the relevant purposes are:</w:t>
      </w:r>
      <w:bookmarkEnd w:id="3735"/>
    </w:p>
    <w:p w14:paraId="1D69A353" w14:textId="77777777" w:rsidR="00F67E9E" w:rsidRDefault="00F67E9E" w:rsidP="00F67E9E">
      <w:pPr>
        <w:pStyle w:val="Numbered111"/>
        <w:numPr>
          <w:ilvl w:val="2"/>
          <w:numId w:val="273"/>
        </w:numPr>
      </w:pPr>
      <w:r>
        <w:t>to allow the Authority or any End User to receive and use the Deliverables;</w:t>
      </w:r>
    </w:p>
    <w:p w14:paraId="78AB6291" w14:textId="77777777" w:rsidR="00F67E9E" w:rsidRDefault="00F67E9E" w:rsidP="00F67E9E">
      <w:pPr>
        <w:pStyle w:val="Numbered111"/>
        <w:numPr>
          <w:ilvl w:val="2"/>
          <w:numId w:val="273"/>
        </w:numPr>
      </w:pPr>
      <w:r>
        <w:t>to commercially exploit the Project Specific IPR, Specially Written Software and Software Supporting Materials; and</w:t>
      </w:r>
    </w:p>
    <w:p w14:paraId="61F15673" w14:textId="77777777" w:rsidR="00F67E9E" w:rsidRDefault="00F67E9E" w:rsidP="00F67E9E">
      <w:pPr>
        <w:pStyle w:val="Numbered111"/>
        <w:numPr>
          <w:ilvl w:val="2"/>
          <w:numId w:val="273"/>
        </w:numPr>
      </w:pPr>
      <w:r>
        <w:t>for any purpose relating to the exercise of the Authority’s (or, if the Authority is a Public Sector Body, any other Public Sector Body’s) business or function.</w:t>
      </w:r>
    </w:p>
    <w:p w14:paraId="028E6AB3" w14:textId="77777777" w:rsidR="00F67E9E" w:rsidRDefault="00F67E9E" w:rsidP="00F67E9E">
      <w:pPr>
        <w:pStyle w:val="Numbered11"/>
        <w:numPr>
          <w:ilvl w:val="1"/>
          <w:numId w:val="273"/>
        </w:numPr>
      </w:pPr>
      <w:bookmarkStart w:id="3736" w:name="_Ref140100893"/>
      <w:r>
        <w:t>Where the legal status of the Authority changes, such that it ceases to be a Crown Body:</w:t>
      </w:r>
      <w:bookmarkEnd w:id="3736"/>
    </w:p>
    <w:p w14:paraId="2C9FFE3D" w14:textId="77777777" w:rsidR="00F67E9E" w:rsidRDefault="00F67E9E" w:rsidP="00F67E9E">
      <w:pPr>
        <w:pStyle w:val="Numbered111"/>
        <w:numPr>
          <w:ilvl w:val="2"/>
          <w:numId w:val="273"/>
        </w:numPr>
      </w:pPr>
      <w:r>
        <w:t>the Supplier Existing IPR Licence is unaffected; and</w:t>
      </w:r>
    </w:p>
    <w:p w14:paraId="10E94042" w14:textId="77777777" w:rsidR="00F67E9E" w:rsidRDefault="00F67E9E" w:rsidP="00F67E9E">
      <w:pPr>
        <w:pStyle w:val="Numbered111"/>
        <w:numPr>
          <w:ilvl w:val="2"/>
          <w:numId w:val="273"/>
        </w:numPr>
      </w:pPr>
      <w:r>
        <w:t>any successor body of the Authority that is a Crown Body shall have the benefit of the Supplier Existing IPR Licence.</w:t>
      </w:r>
    </w:p>
    <w:p w14:paraId="5F52E324" w14:textId="04ECD2F0" w:rsidR="00F67E9E" w:rsidRPr="00FB3CC1" w:rsidRDefault="00F67E9E" w:rsidP="00F67E9E">
      <w:pPr>
        <w:pStyle w:val="Numbered11"/>
        <w:numPr>
          <w:ilvl w:val="1"/>
          <w:numId w:val="273"/>
        </w:numPr>
      </w:pPr>
      <w:r>
        <w:t>Where the Supplier Existing IPR Licence is transferred under Paragraph </w:t>
      </w:r>
      <w:r>
        <w:fldChar w:fldCharType="begin"/>
      </w:r>
      <w:r>
        <w:instrText xml:space="preserve"> REF _Ref140100920 \w \h  \* MERGEFORMAT </w:instrText>
      </w:r>
      <w:r>
        <w:fldChar w:fldCharType="separate"/>
      </w:r>
      <w:r w:rsidR="00302D39">
        <w:t>7.3.1(a)</w:t>
      </w:r>
      <w:r>
        <w:fldChar w:fldCharType="end"/>
      </w:r>
      <w:r>
        <w:t xml:space="preserve"> or </w:t>
      </w:r>
      <w:r>
        <w:fldChar w:fldCharType="begin"/>
      </w:r>
      <w:r>
        <w:instrText xml:space="preserve"> REF _Ref140100946 \w \h  \* MERGEFORMAT </w:instrText>
      </w:r>
      <w:r>
        <w:fldChar w:fldCharType="separate"/>
      </w:r>
      <w:r w:rsidR="00302D39">
        <w:t>7.3.2(b)</w:t>
      </w:r>
      <w:r>
        <w:fldChar w:fldCharType="end"/>
      </w:r>
      <w:r>
        <w:t xml:space="preserve"> or there is a change in the Authority’s legal status to which Paragraph </w:t>
      </w:r>
      <w:r>
        <w:fldChar w:fldCharType="begin"/>
      </w:r>
      <w:r>
        <w:instrText xml:space="preserve"> REF _Ref140100893 \w \h  \* MERGEFORMAT </w:instrText>
      </w:r>
      <w:r>
        <w:fldChar w:fldCharType="separate"/>
      </w:r>
      <w:r w:rsidR="00302D39">
        <w:t>7.5</w:t>
      </w:r>
      <w:r>
        <w:fldChar w:fldCharType="end"/>
      </w:r>
      <w:r>
        <w:t xml:space="preserve"> applies, the transferee or successor body do not acquire any wider rights than those granted to the Authority under this Paragraph.</w:t>
      </w:r>
    </w:p>
    <w:p w14:paraId="09E0BAA4" w14:textId="77777777" w:rsidR="00F67E9E" w:rsidRDefault="00F67E9E" w:rsidP="00F67E9E">
      <w:r>
        <w:br w:type="page"/>
      </w:r>
    </w:p>
    <w:p w14:paraId="0D64E1E6" w14:textId="1DEDFB70" w:rsidR="00F67E9E" w:rsidRPr="00266335" w:rsidRDefault="00F67E9E" w:rsidP="00F67E9E">
      <w:pPr>
        <w:pStyle w:val="StdBodyText"/>
        <w:rPr>
          <w:b/>
          <w:i/>
        </w:rPr>
      </w:pPr>
      <w:r w:rsidRPr="00266335">
        <w:rPr>
          <w:b/>
          <w:i/>
        </w:rPr>
        <w:t>[</w:t>
      </w:r>
      <w:r w:rsidRPr="00266335">
        <w:rPr>
          <w:b/>
          <w:i/>
          <w:highlight w:val="yellow"/>
        </w:rPr>
        <w:t xml:space="preserve">Guidance note: for </w:t>
      </w:r>
      <w:r w:rsidRPr="00266335">
        <w:rPr>
          <w:b/>
          <w:i/>
          <w:highlight w:val="yellow"/>
          <w:u w:val="single"/>
        </w:rPr>
        <w:t>Option </w:t>
      </w:r>
      <w:r w:rsidRPr="00266335">
        <w:rPr>
          <w:b/>
          <w:i/>
          <w:highlight w:val="yellow"/>
          <w:u w:val="single"/>
        </w:rPr>
        <w:fldChar w:fldCharType="begin"/>
      </w:r>
      <w:r w:rsidRPr="00266335">
        <w:rPr>
          <w:b/>
          <w:i/>
          <w:highlight w:val="yellow"/>
          <w:u w:val="single"/>
        </w:rPr>
        <w:instrText xml:space="preserve"> REF OPTION3_SCHEDULE32 \h  \* MERGEFORMAT </w:instrText>
      </w:r>
      <w:r w:rsidRPr="00266335">
        <w:rPr>
          <w:b/>
          <w:i/>
          <w:highlight w:val="yellow"/>
          <w:u w:val="single"/>
        </w:rPr>
      </w:r>
      <w:r w:rsidRPr="00266335">
        <w:rPr>
          <w:b/>
          <w:i/>
          <w:highlight w:val="yellow"/>
          <w:u w:val="single"/>
        </w:rPr>
        <w:fldChar w:fldCharType="separate"/>
      </w:r>
      <w:r w:rsidR="00302D39" w:rsidRPr="00302D39">
        <w:rPr>
          <w:b/>
          <w:i/>
          <w:u w:val="single"/>
        </w:rPr>
        <w:t>3</w:t>
      </w:r>
      <w:r w:rsidRPr="00266335">
        <w:rPr>
          <w:b/>
          <w:i/>
          <w:highlight w:val="yellow"/>
          <w:u w:val="single"/>
        </w:rPr>
        <w:fldChar w:fldCharType="end"/>
      </w:r>
      <w:r w:rsidRPr="00266335">
        <w:rPr>
          <w:b/>
          <w:i/>
          <w:highlight w:val="yellow"/>
        </w:rPr>
        <w:t xml:space="preserve">: </w:t>
      </w:r>
      <w:r w:rsidRPr="00266335">
        <w:rPr>
          <w:rFonts w:eastAsia="Arial" w:cs="Arial"/>
          <w:b/>
          <w:i/>
          <w:highlight w:val="yellow"/>
        </w:rPr>
        <w:t>Supplier ownership of all Project Specific IPR and Specially Written Software with Authority rights for the current contract only, please include the following drafting.</w:t>
      </w:r>
      <w:r w:rsidRPr="00266335">
        <w:rPr>
          <w:b/>
          <w:i/>
          <w:highlight w:val="yellow"/>
        </w:rPr>
        <w:t>]</w:t>
      </w:r>
    </w:p>
    <w:p w14:paraId="723AF07F" w14:textId="77777777" w:rsidR="00F67E9E" w:rsidRDefault="00F67E9E" w:rsidP="00F67E9E">
      <w:pPr>
        <w:pStyle w:val="Heading2"/>
      </w:pPr>
      <w:bookmarkStart w:id="3737" w:name="_Toc118293564"/>
      <w:bookmarkStart w:id="3738" w:name="_Toc141712010"/>
      <w:r>
        <w:t xml:space="preserve">Option </w:t>
      </w:r>
      <w:bookmarkStart w:id="3739" w:name="OPTION3_SCHEDULE32"/>
      <w:r>
        <w:t>3</w:t>
      </w:r>
      <w:bookmarkEnd w:id="3737"/>
      <w:bookmarkEnd w:id="3738"/>
      <w:bookmarkEnd w:id="3739"/>
    </w:p>
    <w:p w14:paraId="5A291DF7" w14:textId="77777777" w:rsidR="00F67E9E" w:rsidRDefault="00F67E9E" w:rsidP="00F67E9E">
      <w:pPr>
        <w:pStyle w:val="Numbered1"/>
        <w:numPr>
          <w:ilvl w:val="0"/>
          <w:numId w:val="277"/>
        </w:numPr>
      </w:pPr>
      <w:r>
        <w:t>Ownership of IPR created under the Contract</w:t>
      </w:r>
    </w:p>
    <w:p w14:paraId="766F60DF" w14:textId="50D24875" w:rsidR="00F67E9E" w:rsidRDefault="00F67E9E" w:rsidP="00F67E9E">
      <w:pPr>
        <w:pStyle w:val="Numbered11"/>
        <w:keepNext/>
        <w:numPr>
          <w:ilvl w:val="1"/>
          <w:numId w:val="273"/>
        </w:numPr>
      </w:pPr>
      <w:r>
        <w:t>Subject to Paragraph </w:t>
      </w:r>
      <w:r>
        <w:fldChar w:fldCharType="begin"/>
      </w:r>
      <w:r>
        <w:instrText xml:space="preserve"> REF _Ref141105848 \w \h </w:instrText>
      </w:r>
      <w:r>
        <w:fldChar w:fldCharType="separate"/>
      </w:r>
      <w:r w:rsidR="00302D39">
        <w:t>1.1.1</w:t>
      </w:r>
      <w:r>
        <w:fldChar w:fldCharType="end"/>
      </w:r>
      <w:r>
        <w:t>, the Authority agrees to</w:t>
      </w:r>
    </w:p>
    <w:p w14:paraId="29E44A8B" w14:textId="77777777" w:rsidR="00F67E9E" w:rsidRDefault="00F67E9E" w:rsidP="00F67E9E">
      <w:pPr>
        <w:pStyle w:val="Numbered111"/>
        <w:keepNext/>
        <w:numPr>
          <w:ilvl w:val="2"/>
          <w:numId w:val="273"/>
        </w:numPr>
      </w:pPr>
      <w:r>
        <w:t>transfer to the Supplier, or procure the transfer to the Supplier, of all Intellectual Property Rights in the Specially Written Software and Project Specific IPRs not already vesting in the Supplier, including:</w:t>
      </w:r>
    </w:p>
    <w:p w14:paraId="360C6FF8" w14:textId="77777777" w:rsidR="00F67E9E" w:rsidRDefault="00F67E9E" w:rsidP="00F67E9E">
      <w:pPr>
        <w:pStyle w:val="Numbered111a"/>
        <w:numPr>
          <w:ilvl w:val="3"/>
          <w:numId w:val="273"/>
        </w:numPr>
      </w:pPr>
      <w:r>
        <w:t>the Documentation, Source Code and the Object Code of the Specially Written Software; and</w:t>
      </w:r>
    </w:p>
    <w:p w14:paraId="16303CC9" w14:textId="77777777" w:rsidR="00F67E9E" w:rsidRDefault="00F67E9E" w:rsidP="00F67E9E">
      <w:pPr>
        <w:pStyle w:val="Numbered111a"/>
        <w:numPr>
          <w:ilvl w:val="3"/>
          <w:numId w:val="273"/>
        </w:numPr>
      </w:pPr>
      <w:r>
        <w:t>all build instructions, test instructions, test scripts, test data, operating instructions and other documents and tools necessary for maintaining and supporting the Specially Written Software,</w:t>
      </w:r>
    </w:p>
    <w:p w14:paraId="5398ADA1" w14:textId="77777777" w:rsidR="00F67E9E" w:rsidRDefault="00F67E9E" w:rsidP="00F67E9E">
      <w:pPr>
        <w:pStyle w:val="StdBodyText3"/>
      </w:pPr>
      <w:r>
        <w:t xml:space="preserve">(together the </w:t>
      </w:r>
      <w:r w:rsidRPr="00F90E7F">
        <w:rPr>
          <w:b/>
          <w:bCs/>
        </w:rPr>
        <w:t>"</w:t>
      </w:r>
      <w:r w:rsidRPr="002369BF">
        <w:rPr>
          <w:b/>
          <w:bCs/>
        </w:rPr>
        <w:t>Software Supporting Materials</w:t>
      </w:r>
      <w:r w:rsidRPr="00F90E7F">
        <w:rPr>
          <w:b/>
          <w:bCs/>
        </w:rPr>
        <w:t>"</w:t>
      </w:r>
      <w:r>
        <w:t>); and</w:t>
      </w:r>
    </w:p>
    <w:p w14:paraId="2349E5B0" w14:textId="77777777" w:rsidR="00F67E9E" w:rsidRDefault="00F67E9E" w:rsidP="00F67E9E">
      <w:pPr>
        <w:pStyle w:val="Numbered111"/>
        <w:numPr>
          <w:ilvl w:val="2"/>
          <w:numId w:val="273"/>
        </w:numPr>
      </w:pPr>
      <w:r w:rsidRPr="00016234">
        <w:t xml:space="preserve">execute all such assignments required to </w:t>
      </w:r>
      <w:r>
        <w:t xml:space="preserve">transfer properly any </w:t>
      </w:r>
      <w:r w:rsidRPr="00016234">
        <w:t xml:space="preserve">rights in the Specially Written Software and Project Specific IPRs to the </w:t>
      </w:r>
      <w:r>
        <w:t>Supplier.</w:t>
      </w:r>
    </w:p>
    <w:p w14:paraId="64FD4F80" w14:textId="77777777" w:rsidR="00F67E9E" w:rsidRDefault="00F67E9E" w:rsidP="00F67E9E">
      <w:pPr>
        <w:pStyle w:val="Numbered11"/>
        <w:keepNext/>
        <w:numPr>
          <w:ilvl w:val="1"/>
          <w:numId w:val="273"/>
        </w:numPr>
      </w:pPr>
      <w:r>
        <w:t>If, within three years of its creation, the Supplier:</w:t>
      </w:r>
    </w:p>
    <w:p w14:paraId="64DFD50A" w14:textId="77777777" w:rsidR="00F67E9E" w:rsidRDefault="00F67E9E" w:rsidP="00F67E9E">
      <w:pPr>
        <w:pStyle w:val="Numbered111"/>
        <w:numPr>
          <w:ilvl w:val="2"/>
          <w:numId w:val="273"/>
        </w:numPr>
      </w:pPr>
      <w:r>
        <w:t xml:space="preserve">is not commercially exploiting any </w:t>
      </w:r>
      <w:r w:rsidRPr="00016234">
        <w:t>Specially Written Software</w:t>
      </w:r>
      <w:r>
        <w:t>,</w:t>
      </w:r>
      <w:r w:rsidRPr="00016234">
        <w:t xml:space="preserve"> Project Specific IPRs</w:t>
      </w:r>
      <w:r>
        <w:t xml:space="preserve"> or </w:t>
      </w:r>
      <w:r w:rsidRPr="00430DD0">
        <w:t>Software Supporting Materials</w:t>
      </w:r>
      <w:r>
        <w:t>; or</w:t>
      </w:r>
    </w:p>
    <w:p w14:paraId="79FCBDEA" w14:textId="77777777" w:rsidR="00F67E9E" w:rsidRDefault="00F67E9E" w:rsidP="00F67E9E">
      <w:pPr>
        <w:pStyle w:val="Numbered111"/>
        <w:numPr>
          <w:ilvl w:val="2"/>
          <w:numId w:val="273"/>
        </w:numPr>
      </w:pPr>
      <w:r>
        <w:t>where the Supplier is not commercially exploiting that IPR, is not, to the satisfaction of the Authority, using its best endeavours to do so,</w:t>
      </w:r>
    </w:p>
    <w:p w14:paraId="700EBFAD" w14:textId="77777777" w:rsidR="00F67E9E" w:rsidRDefault="00F67E9E" w:rsidP="00F67E9E">
      <w:pPr>
        <w:pStyle w:val="StdBodyText1"/>
        <w:keepNext/>
      </w:pPr>
      <w:r>
        <w:t>then, on written request from the Authority:</w:t>
      </w:r>
    </w:p>
    <w:p w14:paraId="00DC51DA" w14:textId="77777777" w:rsidR="00F67E9E" w:rsidRDefault="00F67E9E" w:rsidP="00F67E9E">
      <w:pPr>
        <w:pStyle w:val="Numbered111"/>
        <w:numPr>
          <w:ilvl w:val="2"/>
          <w:numId w:val="273"/>
        </w:numPr>
      </w:pPr>
      <w:r>
        <w:t xml:space="preserve">the Supplier must promptly assign to the Authority the </w:t>
      </w:r>
      <w:r w:rsidRPr="00016234">
        <w:t>Specially Written Software</w:t>
      </w:r>
      <w:r>
        <w:t>,</w:t>
      </w:r>
      <w:r w:rsidRPr="00016234">
        <w:t xml:space="preserve"> Project Specific IPRs</w:t>
      </w:r>
      <w:r>
        <w:t xml:space="preserve"> and </w:t>
      </w:r>
      <w:r w:rsidRPr="00430DD0">
        <w:t>Software Supporting Materials</w:t>
      </w:r>
      <w:r>
        <w:t>, or any specified items of that IPR; and</w:t>
      </w:r>
    </w:p>
    <w:p w14:paraId="1F3CD15E" w14:textId="63B2E201" w:rsidR="00F67E9E" w:rsidRDefault="00F67E9E" w:rsidP="00F67E9E">
      <w:pPr>
        <w:pStyle w:val="Numbered111"/>
        <w:keepNext/>
        <w:numPr>
          <w:ilvl w:val="2"/>
          <w:numId w:val="273"/>
        </w:numPr>
      </w:pPr>
      <w:r>
        <w:t>the licence to the Authority Software, Authority Data and Authority Background IPRs granted under Paragraph </w:t>
      </w:r>
      <w:r>
        <w:fldChar w:fldCharType="begin"/>
      </w:r>
      <w:r>
        <w:instrText xml:space="preserve"> REF _Ref140134332 \r \h  \* MERGEFORMAT </w:instrText>
      </w:r>
      <w:r>
        <w:fldChar w:fldCharType="separate"/>
      </w:r>
      <w:r w:rsidR="00302D39">
        <w:t>6.1</w:t>
      </w:r>
      <w:r>
        <w:fldChar w:fldCharType="end"/>
      </w:r>
      <w:r>
        <w:t xml:space="preserve"> (insofar as it relates to the commercial exploitation of the Project Specific IPR, the Specially Written Software or the Software Supporting Materials)</w:t>
      </w:r>
      <w:r w:rsidRPr="00C4760F">
        <w:t xml:space="preserve"> terminates</w:t>
      </w:r>
      <w:r>
        <w:t xml:space="preserve"> either:</w:t>
      </w:r>
    </w:p>
    <w:p w14:paraId="7B38CD53" w14:textId="77777777" w:rsidR="00F67E9E" w:rsidRDefault="00F67E9E" w:rsidP="00F67E9E">
      <w:pPr>
        <w:pStyle w:val="Numbered111a"/>
        <w:numPr>
          <w:ilvl w:val="3"/>
          <w:numId w:val="273"/>
        </w:numPr>
      </w:pPr>
      <w:r>
        <w:t>on the date specified in the notice; or</w:t>
      </w:r>
    </w:p>
    <w:p w14:paraId="4D29EE1D" w14:textId="77777777" w:rsidR="00F67E9E" w:rsidRDefault="00F67E9E" w:rsidP="00F67E9E">
      <w:pPr>
        <w:pStyle w:val="Numbered111a"/>
        <w:numPr>
          <w:ilvl w:val="3"/>
          <w:numId w:val="273"/>
        </w:numPr>
      </w:pPr>
      <w:r>
        <w:t>where no date is specified in the notice, on the date the notice is received by the Supplier.</w:t>
      </w:r>
    </w:p>
    <w:p w14:paraId="5CA0A1A1" w14:textId="77777777" w:rsidR="00F67E9E" w:rsidRPr="00A32A56" w:rsidRDefault="00F67E9E" w:rsidP="00F67E9E">
      <w:pPr>
        <w:pStyle w:val="Numbered11"/>
        <w:numPr>
          <w:ilvl w:val="1"/>
          <w:numId w:val="273"/>
        </w:numPr>
      </w:pPr>
      <w:r>
        <w:t>Each Party shall bear its own costs of preparing and executing any assignment required by this Paragraph.</w:t>
      </w:r>
    </w:p>
    <w:p w14:paraId="19658830" w14:textId="77777777" w:rsidR="00F67E9E" w:rsidRDefault="00F67E9E" w:rsidP="00F67E9E">
      <w:pPr>
        <w:pStyle w:val="Numbered1"/>
        <w:numPr>
          <w:ilvl w:val="0"/>
          <w:numId w:val="273"/>
        </w:numPr>
      </w:pPr>
      <w:bookmarkStart w:id="3740" w:name="_Ref140133039"/>
      <w:r>
        <w:t>Licence of Supplier IPR</w:t>
      </w:r>
      <w:bookmarkEnd w:id="3740"/>
    </w:p>
    <w:p w14:paraId="67266616" w14:textId="059F3886" w:rsidR="00F67E9E" w:rsidRDefault="00F67E9E" w:rsidP="00F67E9E">
      <w:pPr>
        <w:pStyle w:val="Numbered11"/>
        <w:keepNext/>
        <w:numPr>
          <w:ilvl w:val="1"/>
          <w:numId w:val="273"/>
        </w:numPr>
      </w:pPr>
      <w:bookmarkStart w:id="3741" w:name="_Ref140102597"/>
      <w:r>
        <w:t>The Supplier grants the Authority a licence on the terms set out in Paragraph </w:t>
      </w:r>
      <w:r>
        <w:fldChar w:fldCharType="begin"/>
      </w:r>
      <w:r>
        <w:instrText xml:space="preserve"> REF _Ref140102259 \w \h  \* MERGEFORMAT </w:instrText>
      </w:r>
      <w:r>
        <w:fldChar w:fldCharType="separate"/>
      </w:r>
      <w:r w:rsidR="00302D39">
        <w:t>2.3</w:t>
      </w:r>
      <w:r>
        <w:fldChar w:fldCharType="end"/>
      </w:r>
      <w:r>
        <w:t xml:space="preserve"> in respect of each Deliverable where </w:t>
      </w:r>
      <w:r w:rsidRPr="00016234">
        <w:t>Specially Written Software</w:t>
      </w:r>
      <w:r>
        <w:t>,</w:t>
      </w:r>
      <w:r w:rsidRPr="00016234">
        <w:t xml:space="preserve"> Project Specific IPRs</w:t>
      </w:r>
      <w:r>
        <w:t xml:space="preserve">, </w:t>
      </w:r>
      <w:r w:rsidRPr="00430DD0">
        <w:t>Software Supporting Materials</w:t>
      </w:r>
      <w:r>
        <w:t>, Supplier Software or Supplier Background IPRs are:</w:t>
      </w:r>
      <w:bookmarkEnd w:id="3741"/>
    </w:p>
    <w:p w14:paraId="4727533A" w14:textId="77777777" w:rsidR="00F67E9E" w:rsidRDefault="00F67E9E" w:rsidP="00F67E9E">
      <w:pPr>
        <w:pStyle w:val="Numbered111"/>
        <w:numPr>
          <w:ilvl w:val="2"/>
          <w:numId w:val="273"/>
        </w:numPr>
      </w:pPr>
      <w:r>
        <w:t>is embedded in the Deliverable;</w:t>
      </w:r>
    </w:p>
    <w:p w14:paraId="4AB0ADDD" w14:textId="77777777" w:rsidR="00F67E9E" w:rsidRDefault="00F67E9E" w:rsidP="00F67E9E">
      <w:pPr>
        <w:pStyle w:val="Numbered111"/>
        <w:numPr>
          <w:ilvl w:val="2"/>
          <w:numId w:val="273"/>
        </w:numPr>
      </w:pPr>
      <w:r>
        <w:t>is necessary for the Authority to use the Deliverable; or</w:t>
      </w:r>
    </w:p>
    <w:p w14:paraId="770AD04C" w14:textId="77777777" w:rsidR="00F67E9E" w:rsidRDefault="00F67E9E" w:rsidP="00F67E9E">
      <w:pPr>
        <w:pStyle w:val="Numbered111"/>
        <w:numPr>
          <w:ilvl w:val="2"/>
          <w:numId w:val="273"/>
        </w:numPr>
      </w:pPr>
      <w:r>
        <w:t>has been customised or adapted to create the Deliverable.</w:t>
      </w:r>
    </w:p>
    <w:p w14:paraId="74E5EBB7" w14:textId="57879B9B" w:rsidR="00F67E9E" w:rsidRDefault="00F67E9E" w:rsidP="00F67E9E">
      <w:pPr>
        <w:pStyle w:val="Numbered11"/>
        <w:numPr>
          <w:ilvl w:val="1"/>
          <w:numId w:val="273"/>
        </w:numPr>
      </w:pPr>
      <w:r>
        <w:t>The categories of relevant IPR set out in Paragraph </w:t>
      </w:r>
      <w:r>
        <w:fldChar w:fldCharType="begin"/>
      </w:r>
      <w:r>
        <w:instrText xml:space="preserve"> REF _Ref140102597 \w \h  \* MERGEFORMAT </w:instrText>
      </w:r>
      <w:r>
        <w:fldChar w:fldCharType="separate"/>
      </w:r>
      <w:r w:rsidR="00302D39">
        <w:t>2.1</w:t>
      </w:r>
      <w:r>
        <w:fldChar w:fldCharType="end"/>
      </w:r>
      <w:r>
        <w:t xml:space="preserve"> are mutually exclusive.</w:t>
      </w:r>
    </w:p>
    <w:p w14:paraId="3390D247" w14:textId="51DECE81" w:rsidR="00F67E9E" w:rsidRDefault="00F67E9E" w:rsidP="00F67E9E">
      <w:pPr>
        <w:pStyle w:val="Numbered11"/>
        <w:keepNext/>
        <w:numPr>
          <w:ilvl w:val="1"/>
          <w:numId w:val="273"/>
        </w:numPr>
      </w:pPr>
      <w:bookmarkStart w:id="3742" w:name="_Ref140102259"/>
      <w:r>
        <w:t>The licence referred to in Paragraph </w:t>
      </w:r>
      <w:r>
        <w:fldChar w:fldCharType="begin"/>
      </w:r>
      <w:r>
        <w:instrText xml:space="preserve"> REF _Ref140102597 \w \h  \* MERGEFORMAT </w:instrText>
      </w:r>
      <w:r>
        <w:fldChar w:fldCharType="separate"/>
      </w:r>
      <w:r w:rsidR="00302D39">
        <w:t>2.1</w:t>
      </w:r>
      <w:r>
        <w:fldChar w:fldCharType="end"/>
      </w:r>
      <w:r>
        <w:t xml:space="preserve"> is a non-exclusive, royalty-free, irrevocable, transferable, sub-licensable, worldwide licence that:</w:t>
      </w:r>
      <w:bookmarkEnd w:id="3742"/>
    </w:p>
    <w:p w14:paraId="55DFBEF0" w14:textId="77777777" w:rsidR="00F67E9E" w:rsidRDefault="00F67E9E" w:rsidP="00F67E9E">
      <w:pPr>
        <w:pStyle w:val="Numbered111"/>
        <w:keepNext/>
        <w:numPr>
          <w:ilvl w:val="2"/>
          <w:numId w:val="273"/>
        </w:numPr>
      </w:pPr>
      <w:r>
        <w:t>in the case of relevant IPR embedded in a Deliverable or is used to provide the Deliverable:</w:t>
      </w:r>
    </w:p>
    <w:p w14:paraId="03ACF287" w14:textId="77777777" w:rsidR="00F67E9E" w:rsidRDefault="00F67E9E" w:rsidP="00F67E9E">
      <w:pPr>
        <w:pStyle w:val="Numbered111a"/>
        <w:numPr>
          <w:ilvl w:val="3"/>
          <w:numId w:val="273"/>
        </w:numPr>
      </w:pPr>
      <w:r>
        <w:t>is sub-licensable;</w:t>
      </w:r>
    </w:p>
    <w:p w14:paraId="1CE0E9C1" w14:textId="77777777" w:rsidR="00F67E9E" w:rsidRDefault="00F67E9E" w:rsidP="00F67E9E">
      <w:pPr>
        <w:pStyle w:val="Numbered111a"/>
        <w:numPr>
          <w:ilvl w:val="3"/>
          <w:numId w:val="273"/>
        </w:numPr>
      </w:pPr>
      <w:bookmarkStart w:id="3743" w:name="_Ref140103076"/>
      <w:r>
        <w:t>has no restriction on the identity of any transferee or sub-licensee;</w:t>
      </w:r>
      <w:bookmarkEnd w:id="3743"/>
    </w:p>
    <w:p w14:paraId="7B745A3D" w14:textId="69FFB360" w:rsidR="00F67E9E" w:rsidRDefault="00F67E9E" w:rsidP="00F67E9E">
      <w:pPr>
        <w:pStyle w:val="Numbered111a"/>
        <w:numPr>
          <w:ilvl w:val="3"/>
          <w:numId w:val="273"/>
        </w:numPr>
      </w:pPr>
      <w:r>
        <w:t>allows the Authority and any transferee or sub-licensee to use, copy and adapt the relevant IPR for any of the purposes set out in Paragraph </w:t>
      </w:r>
      <w:r>
        <w:fldChar w:fldCharType="begin"/>
      </w:r>
      <w:r>
        <w:instrText xml:space="preserve"> REF _Ref140103145 \w \h  \* MERGEFORMAT </w:instrText>
      </w:r>
      <w:r>
        <w:fldChar w:fldCharType="separate"/>
      </w:r>
      <w:r w:rsidR="00302D39">
        <w:t>2.4</w:t>
      </w:r>
      <w:r>
        <w:fldChar w:fldCharType="end"/>
      </w:r>
      <w:r>
        <w:t>;</w:t>
      </w:r>
    </w:p>
    <w:p w14:paraId="39B6E127" w14:textId="77777777" w:rsidR="00F67E9E" w:rsidRPr="007E15D7" w:rsidRDefault="00F67E9E" w:rsidP="00F67E9E">
      <w:pPr>
        <w:pStyle w:val="Numbered111"/>
        <w:keepNext/>
        <w:numPr>
          <w:ilvl w:val="2"/>
          <w:numId w:val="273"/>
        </w:numPr>
      </w:pPr>
      <w:r w:rsidRPr="007E15D7">
        <w:t xml:space="preserve">in the case of </w:t>
      </w:r>
      <w:r>
        <w:t>relevant IPR</w:t>
      </w:r>
      <w:r w:rsidRPr="007E15D7">
        <w:t xml:space="preserve"> that is necessary for the </w:t>
      </w:r>
      <w:r>
        <w:t>Authority</w:t>
      </w:r>
      <w:r w:rsidRPr="007E15D7">
        <w:t xml:space="preserve"> to </w:t>
      </w:r>
      <w:r>
        <w:t xml:space="preserve">receive or </w:t>
      </w:r>
      <w:r w:rsidRPr="007E15D7">
        <w:t>use the Deliverable:</w:t>
      </w:r>
    </w:p>
    <w:p w14:paraId="37E86CE9" w14:textId="117FDFE0" w:rsidR="00F67E9E" w:rsidRDefault="00F67E9E" w:rsidP="00F67E9E">
      <w:pPr>
        <w:pStyle w:val="Numbered111a"/>
        <w:numPr>
          <w:ilvl w:val="3"/>
          <w:numId w:val="273"/>
        </w:numPr>
      </w:pPr>
      <w:r>
        <w:t>allows the Authority and any transferee or sublicensee to use and copy, but not adapt, disassemble or reverse engineer the relevant IPR for any of the purposes set out in Paragraph </w:t>
      </w:r>
      <w:r>
        <w:fldChar w:fldCharType="begin"/>
      </w:r>
      <w:r>
        <w:instrText xml:space="preserve"> REF _Ref140103145 \w \h  \* MERGEFORMAT </w:instrText>
      </w:r>
      <w:r>
        <w:fldChar w:fldCharType="separate"/>
      </w:r>
      <w:r w:rsidR="00302D39">
        <w:t>2.4</w:t>
      </w:r>
      <w:r>
        <w:fldChar w:fldCharType="end"/>
      </w:r>
      <w:r>
        <w:t>;</w:t>
      </w:r>
    </w:p>
    <w:p w14:paraId="6AA6F504" w14:textId="77777777" w:rsidR="00F67E9E" w:rsidRDefault="00F67E9E" w:rsidP="00F67E9E">
      <w:pPr>
        <w:pStyle w:val="Numbered111a"/>
        <w:keepNext/>
        <w:numPr>
          <w:ilvl w:val="3"/>
          <w:numId w:val="273"/>
        </w:numPr>
      </w:pPr>
      <w:bookmarkStart w:id="3744" w:name="_Ref140103090"/>
      <w:r>
        <w:t>is transferrable to only:</w:t>
      </w:r>
      <w:bookmarkEnd w:id="3744"/>
    </w:p>
    <w:p w14:paraId="22129A82" w14:textId="77777777" w:rsidR="00F67E9E" w:rsidRDefault="00F67E9E" w:rsidP="00F67E9E">
      <w:pPr>
        <w:pStyle w:val="Numbered111ai"/>
        <w:numPr>
          <w:ilvl w:val="4"/>
          <w:numId w:val="273"/>
        </w:numPr>
      </w:pPr>
      <w:r>
        <w:t>a Crown Body;</w:t>
      </w:r>
    </w:p>
    <w:p w14:paraId="3EBE30F6" w14:textId="77777777" w:rsidR="00F67E9E" w:rsidRDefault="00F67E9E" w:rsidP="00F67E9E">
      <w:pPr>
        <w:pStyle w:val="Numbered111ai"/>
        <w:numPr>
          <w:ilvl w:val="4"/>
          <w:numId w:val="273"/>
        </w:numPr>
      </w:pPr>
      <w:r w:rsidRPr="00E36B93">
        <w:t xml:space="preserve">any body (including any private sector body) </w:t>
      </w:r>
      <w:r>
        <w:t>that</w:t>
      </w:r>
      <w:r w:rsidRPr="00E36B93">
        <w:t xml:space="preserve"> performs or carries </w:t>
      </w:r>
      <w:r>
        <w:t xml:space="preserve">out </w:t>
      </w:r>
      <w:r w:rsidRPr="00E36B93">
        <w:t xml:space="preserve">any of the functions or activities that </w:t>
      </w:r>
      <w:r>
        <w:t xml:space="preserve">the Authority </w:t>
      </w:r>
      <w:r w:rsidRPr="00E36B93">
        <w:t xml:space="preserve">had </w:t>
      </w:r>
      <w:r>
        <w:t xml:space="preserve">previously </w:t>
      </w:r>
      <w:r w:rsidRPr="00E36B93">
        <w:t xml:space="preserve">performed </w:t>
      </w:r>
      <w:r>
        <w:t xml:space="preserve">or </w:t>
      </w:r>
      <w:r w:rsidRPr="00E36B93">
        <w:t xml:space="preserve">carried </w:t>
      </w:r>
      <w:r>
        <w:t>out; or</w:t>
      </w:r>
    </w:p>
    <w:p w14:paraId="60E4532E" w14:textId="77777777" w:rsidR="00694991" w:rsidRDefault="00F67E9E" w:rsidP="00694991">
      <w:pPr>
        <w:pStyle w:val="Numbered111ai"/>
        <w:numPr>
          <w:ilvl w:val="4"/>
          <w:numId w:val="273"/>
        </w:numPr>
      </w:pPr>
      <w:r>
        <w:t>a person or organisation that is not a direct competitor of the Supplier</w:t>
      </w:r>
      <w:r w:rsidR="00694991">
        <w:t>, where that transferee:</w:t>
      </w:r>
    </w:p>
    <w:p w14:paraId="3257F85C" w14:textId="0C2F1727" w:rsidR="00694991" w:rsidRDefault="00694991" w:rsidP="00694991">
      <w:pPr>
        <w:pStyle w:val="Numbered111ai"/>
        <w:numPr>
          <w:ilvl w:val="5"/>
          <w:numId w:val="273"/>
        </w:numPr>
      </w:pPr>
      <w:r>
        <w:t xml:space="preserve">enters into a direct arrangement with the Supplier in the form set out in </w:t>
      </w:r>
      <w:r>
        <w:fldChar w:fldCharType="begin"/>
      </w:r>
      <w:r>
        <w:instrText xml:space="preserve"> REF Annex1toschedule12 \h </w:instrText>
      </w:r>
      <w:r>
        <w:fldChar w:fldCharType="separate"/>
      </w:r>
      <w:r w:rsidRPr="00477926">
        <w:t xml:space="preserve">Annex </w:t>
      </w:r>
      <w:r>
        <w:t>1</w:t>
      </w:r>
      <w:r>
        <w:fldChar w:fldCharType="end"/>
      </w:r>
      <w:r>
        <w:t xml:space="preserve"> of </w:t>
      </w:r>
      <w:r>
        <w:fldChar w:fldCharType="begin"/>
      </w:r>
      <w:r>
        <w:instrText xml:space="preserve"> REF Schedule12 \h </w:instrText>
      </w:r>
      <w:r>
        <w:fldChar w:fldCharType="separate"/>
      </w:r>
      <w:r w:rsidRPr="005D0525">
        <w:t>Schedule</w:t>
      </w:r>
      <w:r>
        <w:t> </w:t>
      </w:r>
      <w:r w:rsidRPr="005D0525">
        <w:t>12</w:t>
      </w:r>
      <w:r>
        <w:fldChar w:fldCharType="end"/>
      </w:r>
      <w:r w:rsidRPr="00A550B3">
        <w:t xml:space="preserve"> (</w:t>
      </w:r>
      <w:r w:rsidRPr="00212E6C">
        <w:rPr>
          <w:i/>
          <w:iCs/>
        </w:rPr>
        <w:fldChar w:fldCharType="begin"/>
      </w:r>
      <w:r w:rsidRPr="00212E6C">
        <w:rPr>
          <w:i/>
          <w:iCs/>
        </w:rPr>
        <w:instrText xml:space="preserve"> REF Schedule12Heading \h  \* MERGEFORMAT </w:instrText>
      </w:r>
      <w:r w:rsidRPr="00212E6C">
        <w:rPr>
          <w:i/>
          <w:iCs/>
        </w:rPr>
      </w:r>
      <w:r w:rsidRPr="00212E6C">
        <w:rPr>
          <w:i/>
          <w:iCs/>
        </w:rPr>
        <w:fldChar w:fldCharType="separate"/>
      </w:r>
      <w:r w:rsidRPr="00302D39">
        <w:rPr>
          <w:i/>
          <w:iCs/>
        </w:rPr>
        <w:t>Software</w:t>
      </w:r>
      <w:r w:rsidRPr="00212E6C">
        <w:rPr>
          <w:i/>
          <w:iCs/>
        </w:rPr>
        <w:fldChar w:fldCharType="end"/>
      </w:r>
      <w:r w:rsidRPr="00A550B3">
        <w:t>)</w:t>
      </w:r>
      <w:r>
        <w:t>; or</w:t>
      </w:r>
    </w:p>
    <w:p w14:paraId="73DFA36E" w14:textId="77777777" w:rsidR="00694991" w:rsidRDefault="00694991" w:rsidP="00694991">
      <w:pPr>
        <w:pStyle w:val="Numbered111ai"/>
        <w:numPr>
          <w:ilvl w:val="5"/>
          <w:numId w:val="273"/>
        </w:numPr>
      </w:pPr>
      <w:r>
        <w:t>enters into a confidentiality arrangement with the Authority in terms equivalent to those set out in set out in Clause 19 (</w:t>
      </w:r>
      <w:r w:rsidRPr="00694991">
        <w:rPr>
          <w:i/>
          <w:iCs/>
        </w:rPr>
        <w:t>Confidentiality</w:t>
      </w:r>
      <w:r>
        <w:t>);</w:t>
      </w:r>
    </w:p>
    <w:p w14:paraId="224FAC68" w14:textId="3FA561D6" w:rsidR="00694991" w:rsidRDefault="00F67E9E" w:rsidP="00694991">
      <w:pPr>
        <w:pStyle w:val="Numbered111a"/>
        <w:numPr>
          <w:ilvl w:val="3"/>
          <w:numId w:val="273"/>
        </w:numPr>
      </w:pPr>
      <w:r w:rsidRPr="007E15D7">
        <w:t>is sub-licensable to the Replacement Supplier (including where the Replacement Supplier is a competitor of the Supplier)</w:t>
      </w:r>
      <w:r w:rsidR="00694991" w:rsidRPr="00694991">
        <w:t xml:space="preserve"> </w:t>
      </w:r>
      <w:r w:rsidR="00694991">
        <w:t>where the Replacement Supplier:</w:t>
      </w:r>
    </w:p>
    <w:p w14:paraId="6595C3C2" w14:textId="55DFAF3F" w:rsidR="00694991" w:rsidRDefault="00694991" w:rsidP="00694991">
      <w:pPr>
        <w:pStyle w:val="Numbered111a"/>
        <w:numPr>
          <w:ilvl w:val="4"/>
          <w:numId w:val="273"/>
        </w:numPr>
      </w:pPr>
      <w:r>
        <w:t xml:space="preserve">enters into a direct arrangement with the Supplier in the form set out in </w:t>
      </w:r>
      <w:r>
        <w:fldChar w:fldCharType="begin"/>
      </w:r>
      <w:r>
        <w:instrText xml:space="preserve"> REF Annex1toschedule12 \h </w:instrText>
      </w:r>
      <w:r>
        <w:fldChar w:fldCharType="separate"/>
      </w:r>
      <w:r w:rsidRPr="00477926">
        <w:t xml:space="preserve">Annex </w:t>
      </w:r>
      <w:r>
        <w:t>1</w:t>
      </w:r>
      <w:r>
        <w:fldChar w:fldCharType="end"/>
      </w:r>
      <w:r>
        <w:t xml:space="preserve"> of </w:t>
      </w:r>
      <w:r>
        <w:fldChar w:fldCharType="begin"/>
      </w:r>
      <w:r>
        <w:instrText xml:space="preserve"> REF Schedule12 \h </w:instrText>
      </w:r>
      <w:r>
        <w:fldChar w:fldCharType="separate"/>
      </w:r>
      <w:r w:rsidRPr="005D0525">
        <w:t>Schedule</w:t>
      </w:r>
      <w:r>
        <w:t> </w:t>
      </w:r>
      <w:r w:rsidRPr="005D0525">
        <w:t>12</w:t>
      </w:r>
      <w:r>
        <w:fldChar w:fldCharType="end"/>
      </w:r>
      <w:r w:rsidRPr="00A550B3">
        <w:t xml:space="preserve"> (</w:t>
      </w:r>
      <w:r w:rsidRPr="00212E6C">
        <w:rPr>
          <w:i/>
          <w:iCs/>
        </w:rPr>
        <w:fldChar w:fldCharType="begin"/>
      </w:r>
      <w:r w:rsidRPr="00212E6C">
        <w:rPr>
          <w:i/>
          <w:iCs/>
        </w:rPr>
        <w:instrText xml:space="preserve"> REF Schedule12Heading \h  \* MERGEFORMAT </w:instrText>
      </w:r>
      <w:r w:rsidRPr="00212E6C">
        <w:rPr>
          <w:i/>
          <w:iCs/>
        </w:rPr>
      </w:r>
      <w:r w:rsidRPr="00212E6C">
        <w:rPr>
          <w:i/>
          <w:iCs/>
        </w:rPr>
        <w:fldChar w:fldCharType="separate"/>
      </w:r>
      <w:r w:rsidRPr="00302D39">
        <w:rPr>
          <w:i/>
          <w:iCs/>
        </w:rPr>
        <w:t>Software</w:t>
      </w:r>
      <w:r w:rsidRPr="00212E6C">
        <w:rPr>
          <w:i/>
          <w:iCs/>
        </w:rPr>
        <w:fldChar w:fldCharType="end"/>
      </w:r>
      <w:r w:rsidRPr="00A550B3">
        <w:t>)</w:t>
      </w:r>
      <w:r>
        <w:t>; or</w:t>
      </w:r>
    </w:p>
    <w:p w14:paraId="3D83C93C" w14:textId="77777777" w:rsidR="00694991" w:rsidRDefault="00694991" w:rsidP="00694991">
      <w:pPr>
        <w:pStyle w:val="Numbered111a"/>
        <w:numPr>
          <w:ilvl w:val="4"/>
          <w:numId w:val="273"/>
        </w:numPr>
      </w:pPr>
      <w:r>
        <w:t>enters into a confidentiality arrangement with the Authority in terms equivalent to those set out in set out in Clause 19 (</w:t>
      </w:r>
      <w:r w:rsidRPr="00694991">
        <w:rPr>
          <w:i/>
          <w:iCs/>
        </w:rPr>
        <w:t>Confidentiality</w:t>
      </w:r>
      <w:r>
        <w:t>);</w:t>
      </w:r>
    </w:p>
    <w:p w14:paraId="497C7B1E" w14:textId="77777777" w:rsidR="00F67E9E" w:rsidRDefault="00F67E9E" w:rsidP="00F67E9E">
      <w:pPr>
        <w:pStyle w:val="Numbered111"/>
        <w:keepNext/>
        <w:numPr>
          <w:ilvl w:val="2"/>
          <w:numId w:val="273"/>
        </w:numPr>
      </w:pPr>
      <w:r>
        <w:t>expires at the later of</w:t>
      </w:r>
    </w:p>
    <w:p w14:paraId="478BFCB9" w14:textId="77777777" w:rsidR="00F67E9E" w:rsidRDefault="00F67E9E" w:rsidP="00F67E9E">
      <w:pPr>
        <w:pStyle w:val="Numbered111a"/>
        <w:numPr>
          <w:ilvl w:val="3"/>
          <w:numId w:val="273"/>
        </w:numPr>
      </w:pPr>
      <w:r>
        <w:t>the expiry of the Term; or</w:t>
      </w:r>
    </w:p>
    <w:p w14:paraId="606B2257" w14:textId="77777777" w:rsidR="00F67E9E" w:rsidRDefault="00F67E9E" w:rsidP="00F67E9E">
      <w:pPr>
        <w:pStyle w:val="Numbered111a"/>
        <w:numPr>
          <w:ilvl w:val="3"/>
          <w:numId w:val="273"/>
        </w:numPr>
      </w:pPr>
      <w:r>
        <w:t>the expiry of any Termination Assistance Period; and</w:t>
      </w:r>
    </w:p>
    <w:p w14:paraId="09115B58" w14:textId="77777777" w:rsidR="00F67E9E" w:rsidRDefault="00F67E9E" w:rsidP="00F67E9E">
      <w:pPr>
        <w:pStyle w:val="Numbered111"/>
        <w:keepNext/>
        <w:numPr>
          <w:ilvl w:val="2"/>
          <w:numId w:val="273"/>
        </w:numPr>
      </w:pPr>
      <w:r>
        <w:t>is subject to the restrictions that</w:t>
      </w:r>
    </w:p>
    <w:p w14:paraId="79E9FC7B" w14:textId="77777777" w:rsidR="00F67E9E" w:rsidRDefault="00F67E9E" w:rsidP="00F67E9E">
      <w:pPr>
        <w:pStyle w:val="Numbered111a"/>
        <w:keepNext/>
        <w:numPr>
          <w:ilvl w:val="3"/>
          <w:numId w:val="273"/>
        </w:numPr>
      </w:pPr>
      <w:r>
        <w:t>each transferee or sub-licensee either:</w:t>
      </w:r>
    </w:p>
    <w:p w14:paraId="2087FFC2" w14:textId="0A38027A" w:rsidR="00F67E9E" w:rsidRDefault="00F67E9E" w:rsidP="00F67E9E">
      <w:pPr>
        <w:pStyle w:val="Numbered111ai"/>
        <w:numPr>
          <w:ilvl w:val="4"/>
          <w:numId w:val="273"/>
        </w:numPr>
      </w:pPr>
      <w:r>
        <w:t xml:space="preserve">enters into a direct arrangement with the Supplier in the form set out in </w:t>
      </w:r>
      <w:r>
        <w:fldChar w:fldCharType="begin"/>
      </w:r>
      <w:r>
        <w:instrText xml:space="preserve"> REF Annex1toschedule12 \h </w:instrText>
      </w:r>
      <w:r>
        <w:fldChar w:fldCharType="separate"/>
      </w:r>
      <w:r w:rsidR="00302D39" w:rsidRPr="00477926">
        <w:t xml:space="preserve">Annex </w:t>
      </w:r>
      <w:r w:rsidR="00302D39">
        <w:t>1</w:t>
      </w:r>
      <w:r>
        <w:fldChar w:fldCharType="end"/>
      </w:r>
      <w:r>
        <w:t xml:space="preserve"> to </w:t>
      </w:r>
      <w:r>
        <w:fldChar w:fldCharType="begin"/>
      </w:r>
      <w:r>
        <w:instrText xml:space="preserve"> REF Schedule12 \h </w:instrText>
      </w:r>
      <w:r>
        <w:fldChar w:fldCharType="separate"/>
      </w:r>
      <w:r w:rsidR="00302D39" w:rsidRPr="005D0525">
        <w:t>Schedule</w:t>
      </w:r>
      <w:r w:rsidR="00302D39">
        <w:t> </w:t>
      </w:r>
      <w:r w:rsidR="00302D39" w:rsidRPr="005D0525">
        <w:t>12</w:t>
      </w:r>
      <w:r>
        <w:fldChar w:fldCharType="end"/>
      </w:r>
      <w:r w:rsidRPr="00A550B3">
        <w:t xml:space="preserve"> (</w:t>
      </w:r>
      <w:r w:rsidRPr="00212E6C">
        <w:rPr>
          <w:i/>
          <w:iCs/>
        </w:rPr>
        <w:fldChar w:fldCharType="begin"/>
      </w:r>
      <w:r w:rsidRPr="00212E6C">
        <w:rPr>
          <w:i/>
          <w:iCs/>
        </w:rPr>
        <w:instrText xml:space="preserve"> REF Schedule12Heading \h  \* MERGEFORMAT </w:instrText>
      </w:r>
      <w:r w:rsidRPr="00212E6C">
        <w:rPr>
          <w:i/>
          <w:iCs/>
        </w:rPr>
      </w:r>
      <w:r w:rsidRPr="00212E6C">
        <w:rPr>
          <w:i/>
          <w:iCs/>
        </w:rPr>
        <w:fldChar w:fldCharType="separate"/>
      </w:r>
      <w:r w:rsidR="00302D39" w:rsidRPr="00302D39">
        <w:rPr>
          <w:i/>
          <w:iCs/>
        </w:rPr>
        <w:t>Software</w:t>
      </w:r>
      <w:r w:rsidRPr="00212E6C">
        <w:rPr>
          <w:i/>
          <w:iCs/>
        </w:rPr>
        <w:fldChar w:fldCharType="end"/>
      </w:r>
      <w:r w:rsidRPr="00A550B3">
        <w:t>)</w:t>
      </w:r>
      <w:r>
        <w:t>; or</w:t>
      </w:r>
    </w:p>
    <w:p w14:paraId="1C6B7FBC" w14:textId="77777777" w:rsidR="00F67E9E" w:rsidRDefault="00F67E9E" w:rsidP="00F67E9E">
      <w:pPr>
        <w:pStyle w:val="Numbered111ai"/>
        <w:numPr>
          <w:ilvl w:val="4"/>
          <w:numId w:val="273"/>
        </w:numPr>
      </w:pPr>
      <w:r>
        <w:t xml:space="preserve">enters into a confidentiality arrangement with the Authority in terms equivalent to those set out in </w:t>
      </w:r>
      <w:r w:rsidRPr="00E36B93">
        <w:t xml:space="preserve">set out in </w:t>
      </w:r>
      <w:r>
        <w:t>clause 19 (</w:t>
      </w:r>
      <w:r>
        <w:rPr>
          <w:i/>
          <w:iCs/>
        </w:rPr>
        <w:t>Confidentiality</w:t>
      </w:r>
      <w:r>
        <w:t>); and</w:t>
      </w:r>
    </w:p>
    <w:p w14:paraId="631002FF" w14:textId="77777777" w:rsidR="00F67E9E" w:rsidRDefault="00F67E9E" w:rsidP="00F67E9E">
      <w:pPr>
        <w:pStyle w:val="Numbered111a"/>
        <w:numPr>
          <w:ilvl w:val="3"/>
          <w:numId w:val="273"/>
        </w:numPr>
      </w:pPr>
      <w:r>
        <w:t>no sub-licence granted to the relevant IPR shall purport to provide the sub-licensee with any wider rights than those granted to the Authority under this Paragraph.</w:t>
      </w:r>
    </w:p>
    <w:p w14:paraId="784FD736" w14:textId="3D618360" w:rsidR="00F67E9E" w:rsidRDefault="00F67E9E" w:rsidP="00F67E9E">
      <w:pPr>
        <w:pStyle w:val="Numbered11"/>
        <w:keepNext/>
        <w:numPr>
          <w:ilvl w:val="1"/>
          <w:numId w:val="273"/>
        </w:numPr>
      </w:pPr>
      <w:bookmarkStart w:id="3745" w:name="_Ref140103145"/>
      <w:r>
        <w:t>For the purposes of Paragraphs </w:t>
      </w:r>
      <w:r>
        <w:fldChar w:fldCharType="begin"/>
      </w:r>
      <w:r>
        <w:instrText xml:space="preserve"> REF _Ref140102597 \w \h  \* MERGEFORMAT </w:instrText>
      </w:r>
      <w:r>
        <w:fldChar w:fldCharType="separate"/>
      </w:r>
      <w:r w:rsidR="00302D39">
        <w:t>2.1</w:t>
      </w:r>
      <w:r>
        <w:fldChar w:fldCharType="end"/>
      </w:r>
      <w:r>
        <w:t xml:space="preserve"> and </w:t>
      </w:r>
      <w:r>
        <w:fldChar w:fldCharType="begin"/>
      </w:r>
      <w:r>
        <w:instrText xml:space="preserve"> REF _Ref140102259 \w \h  \* MERGEFORMAT </w:instrText>
      </w:r>
      <w:r>
        <w:fldChar w:fldCharType="separate"/>
      </w:r>
      <w:r w:rsidR="00302D39">
        <w:t>2.3</w:t>
      </w:r>
      <w:r>
        <w:fldChar w:fldCharType="end"/>
      </w:r>
      <w:r>
        <w:t>, the relevant purposes are:</w:t>
      </w:r>
      <w:bookmarkEnd w:id="3745"/>
    </w:p>
    <w:p w14:paraId="2A002602" w14:textId="77777777" w:rsidR="00F67E9E" w:rsidRDefault="00F67E9E" w:rsidP="00F67E9E">
      <w:pPr>
        <w:pStyle w:val="Numbered111"/>
        <w:numPr>
          <w:ilvl w:val="2"/>
          <w:numId w:val="273"/>
        </w:numPr>
      </w:pPr>
      <w:r>
        <w:t>to allow the Authority or any End User to receive and use the Deliverables; and</w:t>
      </w:r>
    </w:p>
    <w:p w14:paraId="62BEEA13" w14:textId="77777777" w:rsidR="00F67E9E" w:rsidRDefault="00F67E9E" w:rsidP="00F67E9E">
      <w:pPr>
        <w:pStyle w:val="Numbered111"/>
        <w:numPr>
          <w:ilvl w:val="2"/>
          <w:numId w:val="273"/>
        </w:numPr>
      </w:pPr>
      <w:r>
        <w:t>for any purpose relating to the exercise of the Authority’s (or, if the Authority is a Public Sector Body, any other Public Sector Body’s) business or function.</w:t>
      </w:r>
    </w:p>
    <w:p w14:paraId="5126C274" w14:textId="77777777" w:rsidR="00F67E9E" w:rsidRDefault="00F67E9E" w:rsidP="00F67E9E">
      <w:pPr>
        <w:pStyle w:val="Numbered11"/>
        <w:keepNext/>
        <w:numPr>
          <w:ilvl w:val="1"/>
          <w:numId w:val="273"/>
        </w:numPr>
      </w:pPr>
      <w:bookmarkStart w:id="3746" w:name="_Ref140103108"/>
      <w:r>
        <w:t>Where the legal status of the Authority changes, such that it ceases to be a Crown Body:</w:t>
      </w:r>
      <w:bookmarkEnd w:id="3746"/>
    </w:p>
    <w:p w14:paraId="56FEB707" w14:textId="6CA93EB3" w:rsidR="00F67E9E" w:rsidRDefault="00F67E9E" w:rsidP="00F67E9E">
      <w:pPr>
        <w:pStyle w:val="Numbered111"/>
        <w:numPr>
          <w:ilvl w:val="2"/>
          <w:numId w:val="273"/>
        </w:numPr>
      </w:pPr>
      <w:r>
        <w:t>the licence granted under Paragraph </w:t>
      </w:r>
      <w:r>
        <w:fldChar w:fldCharType="begin"/>
      </w:r>
      <w:r>
        <w:instrText xml:space="preserve"> REF _Ref140102259 \w \h  \* MERGEFORMAT </w:instrText>
      </w:r>
      <w:r>
        <w:fldChar w:fldCharType="separate"/>
      </w:r>
      <w:r w:rsidR="00302D39">
        <w:t>2.3</w:t>
      </w:r>
      <w:r>
        <w:fldChar w:fldCharType="end"/>
      </w:r>
      <w:r>
        <w:t xml:space="preserve"> is unaffected; and</w:t>
      </w:r>
    </w:p>
    <w:p w14:paraId="04C06E0C" w14:textId="672DE21D" w:rsidR="00F67E9E" w:rsidRDefault="00F67E9E" w:rsidP="00F67E9E">
      <w:pPr>
        <w:pStyle w:val="Numbered111"/>
        <w:numPr>
          <w:ilvl w:val="2"/>
          <w:numId w:val="273"/>
        </w:numPr>
      </w:pPr>
      <w:r>
        <w:t>any successor body of the Authority that is a Crown Body shall have the benefit of the licence granted under Paragraph </w:t>
      </w:r>
      <w:r>
        <w:fldChar w:fldCharType="begin"/>
      </w:r>
      <w:r>
        <w:instrText xml:space="preserve"> REF _Ref140102259 \w \h  \* MERGEFORMAT </w:instrText>
      </w:r>
      <w:r>
        <w:fldChar w:fldCharType="separate"/>
      </w:r>
      <w:r w:rsidR="00302D39">
        <w:t>2.3</w:t>
      </w:r>
      <w:r>
        <w:fldChar w:fldCharType="end"/>
      </w:r>
      <w:r>
        <w:t>.</w:t>
      </w:r>
    </w:p>
    <w:p w14:paraId="654A886A" w14:textId="6B8A0DEC" w:rsidR="00F67E9E" w:rsidRDefault="00F67E9E" w:rsidP="00F67E9E">
      <w:pPr>
        <w:pStyle w:val="Numbered11"/>
        <w:numPr>
          <w:ilvl w:val="1"/>
          <w:numId w:val="273"/>
        </w:numPr>
      </w:pPr>
      <w:r>
        <w:t>Where the licence granted under Paragraph </w:t>
      </w:r>
      <w:r>
        <w:fldChar w:fldCharType="begin"/>
      </w:r>
      <w:r>
        <w:instrText xml:space="preserve"> REF _Ref140102259 \w \h  \* MERGEFORMAT </w:instrText>
      </w:r>
      <w:r>
        <w:fldChar w:fldCharType="separate"/>
      </w:r>
      <w:r w:rsidR="00302D39">
        <w:t>2.3</w:t>
      </w:r>
      <w:r>
        <w:fldChar w:fldCharType="end"/>
      </w:r>
      <w:r>
        <w:t xml:space="preserve"> is transferred under Paragraph </w:t>
      </w:r>
      <w:r>
        <w:fldChar w:fldCharType="begin"/>
      </w:r>
      <w:r>
        <w:instrText xml:space="preserve"> REF _Ref140103076 \w \h  \* MERGEFORMAT </w:instrText>
      </w:r>
      <w:r>
        <w:fldChar w:fldCharType="separate"/>
      </w:r>
      <w:r w:rsidR="00302D39">
        <w:t>2.3.1(b)</w:t>
      </w:r>
      <w:r>
        <w:fldChar w:fldCharType="end"/>
      </w:r>
      <w:r>
        <w:t xml:space="preserve"> or </w:t>
      </w:r>
      <w:r>
        <w:fldChar w:fldCharType="begin"/>
      </w:r>
      <w:r>
        <w:instrText xml:space="preserve"> REF _Ref140103090 \w \h  \* MERGEFORMAT </w:instrText>
      </w:r>
      <w:r>
        <w:fldChar w:fldCharType="separate"/>
      </w:r>
      <w:r w:rsidR="00302D39">
        <w:t>2.3.2(b)</w:t>
      </w:r>
      <w:r>
        <w:fldChar w:fldCharType="end"/>
      </w:r>
      <w:r>
        <w:t xml:space="preserve"> or there is a change in the Authority’s legal status to which Paragraph </w:t>
      </w:r>
      <w:r>
        <w:fldChar w:fldCharType="begin"/>
      </w:r>
      <w:r>
        <w:instrText xml:space="preserve"> REF _Ref140103108 \w \h  \* MERGEFORMAT </w:instrText>
      </w:r>
      <w:r>
        <w:fldChar w:fldCharType="separate"/>
      </w:r>
      <w:r w:rsidR="00302D39">
        <w:t>2.5</w:t>
      </w:r>
      <w:r>
        <w:fldChar w:fldCharType="end"/>
      </w:r>
      <w:r>
        <w:t xml:space="preserve"> applies, the transferee or successor body do not acquire any wider rights than those granted to the Authority under this Paragraph.</w:t>
      </w:r>
    </w:p>
    <w:p w14:paraId="77604457" w14:textId="77777777" w:rsidR="00F67E9E" w:rsidRDefault="00F67E9E" w:rsidP="00F67E9E">
      <w:pPr>
        <w:pStyle w:val="Numbered1"/>
        <w:numPr>
          <w:ilvl w:val="0"/>
          <w:numId w:val="273"/>
        </w:numPr>
      </w:pPr>
      <w:bookmarkStart w:id="3747" w:name="_Ref140134668"/>
      <w:r>
        <w:t>Authority approval for Supplier to exploit Authority IPR</w:t>
      </w:r>
      <w:bookmarkEnd w:id="3747"/>
    </w:p>
    <w:p w14:paraId="432AA4C8" w14:textId="77777777" w:rsidR="00F67E9E" w:rsidRDefault="00F67E9E" w:rsidP="00F67E9E">
      <w:pPr>
        <w:pStyle w:val="Numbered11"/>
        <w:keepNext/>
        <w:numPr>
          <w:ilvl w:val="1"/>
          <w:numId w:val="273"/>
        </w:numPr>
      </w:pPr>
      <w:r>
        <w:t>Before using, copying or adapting any:</w:t>
      </w:r>
    </w:p>
    <w:p w14:paraId="56006B24" w14:textId="77777777" w:rsidR="00F67E9E" w:rsidRDefault="00F67E9E" w:rsidP="00F67E9E">
      <w:pPr>
        <w:pStyle w:val="Numbered111"/>
        <w:numPr>
          <w:ilvl w:val="2"/>
          <w:numId w:val="273"/>
        </w:numPr>
      </w:pPr>
      <w:r>
        <w:t>Authority Software;</w:t>
      </w:r>
    </w:p>
    <w:p w14:paraId="691B1FCA" w14:textId="77777777" w:rsidR="00F67E9E" w:rsidRDefault="00F67E9E" w:rsidP="00F67E9E">
      <w:pPr>
        <w:pStyle w:val="Numbered111"/>
        <w:numPr>
          <w:ilvl w:val="2"/>
          <w:numId w:val="273"/>
        </w:numPr>
      </w:pPr>
      <w:r>
        <w:t>Authority Data; and</w:t>
      </w:r>
    </w:p>
    <w:p w14:paraId="509F6ECF" w14:textId="77777777" w:rsidR="00F67E9E" w:rsidRDefault="00F67E9E" w:rsidP="00F67E9E">
      <w:pPr>
        <w:pStyle w:val="Numbered111"/>
        <w:numPr>
          <w:ilvl w:val="2"/>
          <w:numId w:val="273"/>
        </w:numPr>
      </w:pPr>
      <w:r>
        <w:t>Authority Background IPRs;</w:t>
      </w:r>
    </w:p>
    <w:p w14:paraId="0F6AE0A8" w14:textId="77777777" w:rsidR="00F67E9E" w:rsidRDefault="00F67E9E" w:rsidP="00F67E9E">
      <w:pPr>
        <w:pStyle w:val="StdBodyText1"/>
      </w:pPr>
      <w:r>
        <w:t>for any purpose other than fulfilling its obligations under this Contract, the Supplier must seek the approval of the Authority in accordance with the provisions of this Paragraph.</w:t>
      </w:r>
    </w:p>
    <w:p w14:paraId="12393E43" w14:textId="77777777" w:rsidR="00F67E9E" w:rsidRDefault="00F67E9E" w:rsidP="00F67E9E">
      <w:pPr>
        <w:pStyle w:val="Numbered11"/>
        <w:numPr>
          <w:ilvl w:val="1"/>
          <w:numId w:val="273"/>
        </w:numPr>
      </w:pPr>
      <w:r>
        <w:t>The Authority may terminate any licence it grants under this Paragraph by notice in writing with immediate effect where the Supplier breaches any condition in that licence.</w:t>
      </w:r>
    </w:p>
    <w:p w14:paraId="391650C7" w14:textId="47B48707" w:rsidR="00F67E9E" w:rsidRPr="00F917B5" w:rsidRDefault="00F67E9E" w:rsidP="00F67E9E">
      <w:pPr>
        <w:pStyle w:val="StdBodyText"/>
      </w:pPr>
      <w:r w:rsidRPr="00160722">
        <w:t>[</w:t>
      </w:r>
      <w:r w:rsidRPr="00160722">
        <w:rPr>
          <w:b/>
          <w:bCs/>
          <w:i/>
          <w:iCs/>
          <w:highlight w:val="yellow"/>
        </w:rPr>
        <w:t xml:space="preserve">Guidance note: where </w:t>
      </w:r>
      <w:r w:rsidRPr="00C26F4C">
        <w:rPr>
          <w:b/>
          <w:bCs/>
          <w:i/>
          <w:iCs/>
          <w:highlight w:val="yellow"/>
        </w:rPr>
        <w:t>Option </w:t>
      </w:r>
      <w:r w:rsidRPr="00C26F4C">
        <w:rPr>
          <w:b/>
          <w:bCs/>
          <w:i/>
          <w:iCs/>
          <w:highlight w:val="yellow"/>
        </w:rPr>
        <w:fldChar w:fldCharType="begin"/>
      </w:r>
      <w:r w:rsidRPr="00C26F4C">
        <w:rPr>
          <w:b/>
          <w:bCs/>
          <w:i/>
          <w:iCs/>
          <w:highlight w:val="yellow"/>
        </w:rPr>
        <w:instrText xml:space="preserve"> REF OPTION5_SCHEDULE32 \h  \* MERGEFORMAT </w:instrText>
      </w:r>
      <w:r w:rsidRPr="00C26F4C">
        <w:rPr>
          <w:b/>
          <w:bCs/>
          <w:i/>
          <w:iCs/>
          <w:highlight w:val="yellow"/>
        </w:rPr>
      </w:r>
      <w:r w:rsidRPr="00C26F4C">
        <w:rPr>
          <w:b/>
          <w:bCs/>
          <w:i/>
          <w:iCs/>
          <w:highlight w:val="yellow"/>
        </w:rPr>
        <w:fldChar w:fldCharType="separate"/>
      </w:r>
      <w:r w:rsidR="00302D39" w:rsidRPr="00302D39">
        <w:rPr>
          <w:b/>
          <w:bCs/>
          <w:i/>
          <w:iCs/>
        </w:rPr>
        <w:t>5</w:t>
      </w:r>
      <w:r w:rsidRPr="00C26F4C">
        <w:rPr>
          <w:b/>
          <w:bCs/>
          <w:i/>
          <w:iCs/>
          <w:highlight w:val="yellow"/>
        </w:rPr>
        <w:fldChar w:fldCharType="end"/>
      </w:r>
      <w:r w:rsidRPr="00160722">
        <w:rPr>
          <w:b/>
          <w:bCs/>
          <w:i/>
          <w:iCs/>
          <w:highlight w:val="yellow"/>
        </w:rPr>
        <w:t xml:space="preserve"> is used, replace Paragraphs </w:t>
      </w:r>
      <w:r w:rsidRPr="00160722">
        <w:rPr>
          <w:b/>
          <w:bCs/>
          <w:i/>
          <w:iCs/>
          <w:highlight w:val="yellow"/>
        </w:rPr>
        <w:fldChar w:fldCharType="begin"/>
      </w:r>
      <w:r w:rsidRPr="00160722">
        <w:rPr>
          <w:b/>
          <w:bCs/>
          <w:i/>
          <w:iCs/>
          <w:highlight w:val="yellow"/>
        </w:rPr>
        <w:instrText xml:space="preserve"> REF _Ref140818123 \r \h  \* MERGEFORMAT </w:instrText>
      </w:r>
      <w:r w:rsidRPr="00160722">
        <w:rPr>
          <w:b/>
          <w:bCs/>
          <w:i/>
          <w:iCs/>
          <w:highlight w:val="yellow"/>
        </w:rPr>
      </w:r>
      <w:r w:rsidRPr="00160722">
        <w:rPr>
          <w:b/>
          <w:bCs/>
          <w:i/>
          <w:iCs/>
          <w:highlight w:val="yellow"/>
        </w:rPr>
        <w:fldChar w:fldCharType="separate"/>
      </w:r>
      <w:r w:rsidR="00302D39">
        <w:rPr>
          <w:b/>
          <w:bCs/>
          <w:i/>
          <w:iCs/>
          <w:highlight w:val="yellow"/>
        </w:rPr>
        <w:t>3.3</w:t>
      </w:r>
      <w:r w:rsidRPr="00160722">
        <w:rPr>
          <w:b/>
          <w:bCs/>
          <w:i/>
          <w:iCs/>
          <w:highlight w:val="yellow"/>
        </w:rPr>
        <w:fldChar w:fldCharType="end"/>
      </w:r>
      <w:r w:rsidRPr="00160722">
        <w:rPr>
          <w:b/>
          <w:bCs/>
          <w:i/>
          <w:iCs/>
          <w:highlight w:val="yellow"/>
        </w:rPr>
        <w:t xml:space="preserve">, </w:t>
      </w:r>
      <w:r w:rsidRPr="00160722">
        <w:rPr>
          <w:b/>
          <w:bCs/>
          <w:i/>
          <w:iCs/>
          <w:highlight w:val="yellow"/>
        </w:rPr>
        <w:fldChar w:fldCharType="begin"/>
      </w:r>
      <w:r w:rsidRPr="00160722">
        <w:rPr>
          <w:b/>
          <w:bCs/>
          <w:i/>
          <w:iCs/>
          <w:highlight w:val="yellow"/>
        </w:rPr>
        <w:instrText xml:space="preserve"> REF _Ref140818124 \r \h  \* MERGEFORMAT </w:instrText>
      </w:r>
      <w:r w:rsidRPr="00160722">
        <w:rPr>
          <w:b/>
          <w:bCs/>
          <w:i/>
          <w:iCs/>
          <w:highlight w:val="yellow"/>
        </w:rPr>
      </w:r>
      <w:r w:rsidRPr="00160722">
        <w:rPr>
          <w:b/>
          <w:bCs/>
          <w:i/>
          <w:iCs/>
          <w:highlight w:val="yellow"/>
        </w:rPr>
        <w:fldChar w:fldCharType="separate"/>
      </w:r>
      <w:r w:rsidR="00302D39">
        <w:rPr>
          <w:b/>
          <w:bCs/>
          <w:i/>
          <w:iCs/>
          <w:highlight w:val="yellow"/>
        </w:rPr>
        <w:t>3.4</w:t>
      </w:r>
      <w:r w:rsidRPr="00160722">
        <w:rPr>
          <w:b/>
          <w:bCs/>
          <w:i/>
          <w:iCs/>
          <w:highlight w:val="yellow"/>
        </w:rPr>
        <w:fldChar w:fldCharType="end"/>
      </w:r>
      <w:r w:rsidRPr="00160722">
        <w:rPr>
          <w:b/>
          <w:bCs/>
          <w:i/>
          <w:iCs/>
          <w:highlight w:val="yellow"/>
        </w:rPr>
        <w:t xml:space="preserve"> and </w:t>
      </w:r>
      <w:r w:rsidRPr="00160722">
        <w:rPr>
          <w:b/>
          <w:bCs/>
          <w:i/>
          <w:iCs/>
          <w:highlight w:val="yellow"/>
        </w:rPr>
        <w:fldChar w:fldCharType="begin"/>
      </w:r>
      <w:r w:rsidRPr="00160722">
        <w:rPr>
          <w:b/>
          <w:bCs/>
          <w:i/>
          <w:iCs/>
          <w:highlight w:val="yellow"/>
        </w:rPr>
        <w:instrText xml:space="preserve"> REF _Ref140818127 \r \h  \* MERGEFORMAT </w:instrText>
      </w:r>
      <w:r w:rsidRPr="00160722">
        <w:rPr>
          <w:b/>
          <w:bCs/>
          <w:i/>
          <w:iCs/>
          <w:highlight w:val="yellow"/>
        </w:rPr>
      </w:r>
      <w:r w:rsidRPr="00160722">
        <w:rPr>
          <w:b/>
          <w:bCs/>
          <w:i/>
          <w:iCs/>
          <w:highlight w:val="yellow"/>
        </w:rPr>
        <w:fldChar w:fldCharType="separate"/>
      </w:r>
      <w:r w:rsidR="00302D39">
        <w:rPr>
          <w:b/>
          <w:bCs/>
          <w:i/>
          <w:iCs/>
          <w:highlight w:val="yellow"/>
        </w:rPr>
        <w:t>3.5</w:t>
      </w:r>
      <w:r w:rsidRPr="00160722">
        <w:rPr>
          <w:b/>
          <w:bCs/>
          <w:i/>
          <w:iCs/>
          <w:highlight w:val="yellow"/>
        </w:rPr>
        <w:fldChar w:fldCharType="end"/>
      </w:r>
      <w:r w:rsidRPr="00160722">
        <w:rPr>
          <w:b/>
          <w:bCs/>
          <w:i/>
          <w:iCs/>
          <w:highlight w:val="yellow"/>
        </w:rPr>
        <w:t xml:space="preserve"> with the Paragraphs in Option</w:t>
      </w:r>
      <w:r>
        <w:rPr>
          <w:b/>
          <w:bCs/>
          <w:i/>
          <w:iCs/>
          <w:highlight w:val="yellow"/>
        </w:rPr>
        <w:t> </w:t>
      </w:r>
      <w:r w:rsidRPr="00C26F4C">
        <w:rPr>
          <w:b/>
          <w:bCs/>
          <w:i/>
          <w:iCs/>
          <w:highlight w:val="yellow"/>
        </w:rPr>
        <w:fldChar w:fldCharType="begin"/>
      </w:r>
      <w:r w:rsidRPr="00C26F4C">
        <w:rPr>
          <w:b/>
          <w:bCs/>
          <w:i/>
          <w:iCs/>
          <w:highlight w:val="yellow"/>
        </w:rPr>
        <w:instrText xml:space="preserve"> REF OPTION5_SCHEDULE32 \h  \* MERGEFORMAT </w:instrText>
      </w:r>
      <w:r w:rsidRPr="00C26F4C">
        <w:rPr>
          <w:b/>
          <w:bCs/>
          <w:i/>
          <w:iCs/>
          <w:highlight w:val="yellow"/>
        </w:rPr>
      </w:r>
      <w:r w:rsidRPr="00C26F4C">
        <w:rPr>
          <w:b/>
          <w:bCs/>
          <w:i/>
          <w:iCs/>
          <w:highlight w:val="yellow"/>
        </w:rPr>
        <w:fldChar w:fldCharType="separate"/>
      </w:r>
      <w:r w:rsidR="00302D39" w:rsidRPr="00302D39">
        <w:rPr>
          <w:b/>
          <w:bCs/>
          <w:i/>
          <w:iCs/>
        </w:rPr>
        <w:t>5</w:t>
      </w:r>
      <w:r w:rsidRPr="00C26F4C">
        <w:rPr>
          <w:b/>
          <w:bCs/>
          <w:i/>
          <w:iCs/>
          <w:highlight w:val="yellow"/>
        </w:rPr>
        <w:fldChar w:fldCharType="end"/>
      </w:r>
      <w:r w:rsidRPr="00160722">
        <w:rPr>
          <w:b/>
          <w:bCs/>
          <w:i/>
          <w:iCs/>
          <w:highlight w:val="yellow"/>
        </w:rPr>
        <w:t>.</w:t>
      </w:r>
      <w:r w:rsidRPr="00160722">
        <w:t>]</w:t>
      </w:r>
    </w:p>
    <w:p w14:paraId="2825C43A" w14:textId="77777777" w:rsidR="00F67E9E" w:rsidRDefault="00F67E9E" w:rsidP="00F67E9E">
      <w:pPr>
        <w:pStyle w:val="Numbered11"/>
        <w:keepNext/>
        <w:numPr>
          <w:ilvl w:val="1"/>
          <w:numId w:val="273"/>
        </w:numPr>
      </w:pPr>
      <w:bookmarkStart w:id="3748" w:name="_Ref140818123"/>
      <w:r>
        <w:t>The Supplier must provide a proposal setting out:</w:t>
      </w:r>
      <w:bookmarkEnd w:id="3748"/>
    </w:p>
    <w:p w14:paraId="4BE5A80E" w14:textId="77777777" w:rsidR="00F67E9E" w:rsidRDefault="00F67E9E" w:rsidP="00F67E9E">
      <w:pPr>
        <w:pStyle w:val="Numbered111"/>
        <w:numPr>
          <w:ilvl w:val="2"/>
          <w:numId w:val="273"/>
        </w:numPr>
      </w:pPr>
      <w:r>
        <w:t>the purpose for which it proposes to use the IPR;</w:t>
      </w:r>
    </w:p>
    <w:p w14:paraId="446D09C3" w14:textId="77777777" w:rsidR="00F67E9E" w:rsidRDefault="00F67E9E" w:rsidP="00F67E9E">
      <w:pPr>
        <w:pStyle w:val="Numbered111"/>
        <w:numPr>
          <w:ilvl w:val="2"/>
          <w:numId w:val="273"/>
        </w:numPr>
      </w:pPr>
      <w:r>
        <w:t>the activities the Supplier proposes to undertake with or in respect of the IPR;</w:t>
      </w:r>
    </w:p>
    <w:p w14:paraId="261C4E2A" w14:textId="77777777" w:rsidR="00F67E9E" w:rsidRDefault="00F67E9E" w:rsidP="00F67E9E">
      <w:pPr>
        <w:pStyle w:val="Numbered111"/>
        <w:numPr>
          <w:ilvl w:val="2"/>
          <w:numId w:val="273"/>
        </w:numPr>
      </w:pPr>
      <w:r>
        <w:t>such further information as the Authority may reasonably require to properly consider the proposal.</w:t>
      </w:r>
    </w:p>
    <w:p w14:paraId="26EF704F" w14:textId="77777777" w:rsidR="00F67E9E" w:rsidRDefault="00F67E9E" w:rsidP="00F67E9E">
      <w:pPr>
        <w:pStyle w:val="Numbered11"/>
        <w:numPr>
          <w:ilvl w:val="1"/>
          <w:numId w:val="273"/>
        </w:numPr>
      </w:pPr>
      <w:bookmarkStart w:id="3749" w:name="_Ref140818124"/>
      <w:r>
        <w:t>The Authority may only refuse the Supplier’s proposal where it considers that if the Supplier were to implement the proposal it would harm:</w:t>
      </w:r>
      <w:bookmarkEnd w:id="3749"/>
    </w:p>
    <w:p w14:paraId="4AB45260" w14:textId="77777777" w:rsidR="00F67E9E" w:rsidRDefault="00F67E9E" w:rsidP="00F67E9E">
      <w:pPr>
        <w:pStyle w:val="Numbered111"/>
        <w:numPr>
          <w:ilvl w:val="2"/>
          <w:numId w:val="273"/>
        </w:numPr>
      </w:pPr>
      <w:r>
        <w:t>the Authority’s reputation; or</w:t>
      </w:r>
    </w:p>
    <w:p w14:paraId="02C91840" w14:textId="77777777" w:rsidR="00F67E9E" w:rsidRDefault="00F67E9E" w:rsidP="00F67E9E">
      <w:pPr>
        <w:pStyle w:val="Numbered111"/>
        <w:numPr>
          <w:ilvl w:val="2"/>
          <w:numId w:val="273"/>
        </w:numPr>
      </w:pPr>
      <w:r>
        <w:t>the Authority’s interests.</w:t>
      </w:r>
    </w:p>
    <w:p w14:paraId="77B40DE3" w14:textId="77777777" w:rsidR="00F67E9E" w:rsidRDefault="00F67E9E" w:rsidP="00F67E9E">
      <w:pPr>
        <w:pStyle w:val="Numbered11"/>
        <w:keepNext/>
        <w:numPr>
          <w:ilvl w:val="1"/>
          <w:numId w:val="273"/>
        </w:numPr>
      </w:pPr>
      <w:bookmarkStart w:id="3750" w:name="_Ref140818127"/>
      <w:r>
        <w:t>Where the Authority has not:</w:t>
      </w:r>
      <w:bookmarkEnd w:id="3750"/>
    </w:p>
    <w:p w14:paraId="5185B7F9" w14:textId="77777777" w:rsidR="00F67E9E" w:rsidRDefault="00F67E9E" w:rsidP="00F67E9E">
      <w:pPr>
        <w:pStyle w:val="Numbered111"/>
        <w:numPr>
          <w:ilvl w:val="2"/>
          <w:numId w:val="273"/>
        </w:numPr>
      </w:pPr>
      <w:r w:rsidRPr="00BE333C">
        <w:t>approved or declined the proposal</w:t>
      </w:r>
      <w:r>
        <w:t>; or</w:t>
      </w:r>
    </w:p>
    <w:p w14:paraId="11EFBBA1" w14:textId="77777777" w:rsidR="00F67E9E" w:rsidRDefault="00F67E9E" w:rsidP="00F67E9E">
      <w:pPr>
        <w:pStyle w:val="Numbered111"/>
        <w:numPr>
          <w:ilvl w:val="2"/>
          <w:numId w:val="273"/>
        </w:numPr>
      </w:pPr>
      <w:r>
        <w:t>required further information,</w:t>
      </w:r>
    </w:p>
    <w:p w14:paraId="34FDBFBE" w14:textId="77777777" w:rsidR="00F67E9E" w:rsidRDefault="00F67E9E" w:rsidP="00F67E9E">
      <w:pPr>
        <w:pStyle w:val="StdBodyText1"/>
      </w:pPr>
      <w:r>
        <w:t>within 20 Working Days of the later of:</w:t>
      </w:r>
    </w:p>
    <w:p w14:paraId="05B1B4F8" w14:textId="77777777" w:rsidR="00F67E9E" w:rsidRDefault="00F67E9E" w:rsidP="00F67E9E">
      <w:pPr>
        <w:pStyle w:val="Numbered111"/>
        <w:numPr>
          <w:ilvl w:val="2"/>
          <w:numId w:val="273"/>
        </w:numPr>
      </w:pPr>
      <w:r>
        <w:t>the date the proposal was first provided to the Authority; or</w:t>
      </w:r>
    </w:p>
    <w:p w14:paraId="0D783283" w14:textId="77777777" w:rsidR="00F67E9E" w:rsidRDefault="00F67E9E" w:rsidP="00F67E9E">
      <w:pPr>
        <w:pStyle w:val="Numbered111"/>
        <w:numPr>
          <w:ilvl w:val="2"/>
          <w:numId w:val="273"/>
        </w:numPr>
      </w:pPr>
      <w:r>
        <w:t>the date on which further information was provided to the Authority,</w:t>
      </w:r>
    </w:p>
    <w:p w14:paraId="573689B4" w14:textId="77777777" w:rsidR="00F67E9E" w:rsidRDefault="00F67E9E" w:rsidP="00F67E9E">
      <w:pPr>
        <w:pStyle w:val="StdBodyText1"/>
      </w:pPr>
      <w:r>
        <w:t>then the proposal is, for the purposes of this Contract, approved.</w:t>
      </w:r>
    </w:p>
    <w:p w14:paraId="624DAE7B" w14:textId="77777777" w:rsidR="00F67E9E" w:rsidRDefault="00F67E9E" w:rsidP="00F67E9E">
      <w:pPr>
        <w:pStyle w:val="Numbered11"/>
        <w:keepNext/>
        <w:numPr>
          <w:ilvl w:val="1"/>
          <w:numId w:val="273"/>
        </w:numPr>
      </w:pPr>
      <w:r>
        <w:t>Where the Authority approves the Supplier’s proposal, with or without changes, the Supplier may not use, copy or adapt any</w:t>
      </w:r>
    </w:p>
    <w:p w14:paraId="592B9AB2" w14:textId="77777777" w:rsidR="00F67E9E" w:rsidRDefault="00F67E9E" w:rsidP="00F67E9E">
      <w:pPr>
        <w:pStyle w:val="Numbered111"/>
        <w:numPr>
          <w:ilvl w:val="2"/>
          <w:numId w:val="273"/>
        </w:numPr>
      </w:pPr>
      <w:r>
        <w:t>Authority Software;</w:t>
      </w:r>
    </w:p>
    <w:p w14:paraId="78DA7BB9" w14:textId="77777777" w:rsidR="00F67E9E" w:rsidRDefault="00F67E9E" w:rsidP="00F67E9E">
      <w:pPr>
        <w:pStyle w:val="Numbered111"/>
        <w:numPr>
          <w:ilvl w:val="2"/>
          <w:numId w:val="273"/>
        </w:numPr>
      </w:pPr>
      <w:r>
        <w:t>Authority Data; or</w:t>
      </w:r>
    </w:p>
    <w:p w14:paraId="70C958F9" w14:textId="77777777" w:rsidR="00F67E9E" w:rsidRDefault="00F67E9E" w:rsidP="00F67E9E">
      <w:pPr>
        <w:pStyle w:val="Numbered111"/>
        <w:numPr>
          <w:ilvl w:val="2"/>
          <w:numId w:val="273"/>
        </w:numPr>
      </w:pPr>
      <w:r>
        <w:t>Authority Background IPRs,</w:t>
      </w:r>
    </w:p>
    <w:p w14:paraId="77673088" w14:textId="77777777" w:rsidR="00F67E9E" w:rsidRDefault="00F67E9E" w:rsidP="00F67E9E">
      <w:pPr>
        <w:pStyle w:val="StdBodyText1"/>
      </w:pPr>
      <w:r>
        <w:t>other than for the purpose of fulfilling its obligations under this Contract until both Parties have executed:</w:t>
      </w:r>
    </w:p>
    <w:p w14:paraId="4CBDB6C9" w14:textId="77777777" w:rsidR="00F67E9E" w:rsidRDefault="00F67E9E" w:rsidP="00F67E9E">
      <w:pPr>
        <w:pStyle w:val="Numbered111"/>
        <w:numPr>
          <w:ilvl w:val="2"/>
          <w:numId w:val="273"/>
        </w:numPr>
      </w:pPr>
      <w:r>
        <w:t>any additional agreement to give effect to the proposal;</w:t>
      </w:r>
    </w:p>
    <w:p w14:paraId="251A0DB8" w14:textId="77777777" w:rsidR="00F67E9E" w:rsidRDefault="00F67E9E" w:rsidP="00F67E9E">
      <w:pPr>
        <w:pStyle w:val="Numbered111"/>
        <w:numPr>
          <w:ilvl w:val="2"/>
          <w:numId w:val="273"/>
        </w:numPr>
      </w:pPr>
      <w:r>
        <w:t>any consequential Contract Change.</w:t>
      </w:r>
    </w:p>
    <w:p w14:paraId="738D175E" w14:textId="77777777" w:rsidR="00F67E9E" w:rsidRDefault="00F67E9E" w:rsidP="00F67E9E">
      <w:pPr>
        <w:pStyle w:val="Numbered1"/>
        <w:numPr>
          <w:ilvl w:val="0"/>
          <w:numId w:val="273"/>
        </w:numPr>
      </w:pPr>
      <w:r>
        <w:t>Provision of information on Project Specific IPR and Specially Written Software</w:t>
      </w:r>
    </w:p>
    <w:p w14:paraId="06C674F3" w14:textId="77777777" w:rsidR="00F67E9E" w:rsidRDefault="00F67E9E" w:rsidP="00F67E9E">
      <w:pPr>
        <w:pStyle w:val="Numbered11"/>
        <w:keepNext/>
        <w:numPr>
          <w:ilvl w:val="1"/>
          <w:numId w:val="273"/>
        </w:numPr>
      </w:pPr>
      <w:r>
        <w:t>The Authority may, at any time, require the Supplier to provide information on:</w:t>
      </w:r>
    </w:p>
    <w:p w14:paraId="0681553D" w14:textId="77777777" w:rsidR="00F67E9E" w:rsidRDefault="00F67E9E" w:rsidP="00F67E9E">
      <w:pPr>
        <w:pStyle w:val="Numbered111"/>
        <w:numPr>
          <w:ilvl w:val="2"/>
          <w:numId w:val="273"/>
        </w:numPr>
      </w:pPr>
      <w:r>
        <w:t>the purposes, other than for the purposes of this Contract, for which the Supplier uses Project Specific IPR and Specially Written Software; and</w:t>
      </w:r>
    </w:p>
    <w:p w14:paraId="2AAFB929" w14:textId="77777777" w:rsidR="00F67E9E" w:rsidRDefault="00F67E9E" w:rsidP="00F67E9E">
      <w:pPr>
        <w:pStyle w:val="Numbered111"/>
        <w:numPr>
          <w:ilvl w:val="2"/>
          <w:numId w:val="273"/>
        </w:numPr>
      </w:pPr>
      <w:r>
        <w:t>the activities the Supplier undertakes, other than under this Contract, with or in respect of the Project Specific IPR and Specially Written Software.</w:t>
      </w:r>
    </w:p>
    <w:p w14:paraId="325F35FC" w14:textId="77777777" w:rsidR="00F67E9E" w:rsidRDefault="00F67E9E" w:rsidP="00F67E9E">
      <w:pPr>
        <w:pStyle w:val="Numbered11"/>
        <w:keepNext/>
        <w:numPr>
          <w:ilvl w:val="1"/>
          <w:numId w:val="273"/>
        </w:numPr>
      </w:pPr>
      <w:r>
        <w:t>The Supplier must provide the information required by the Authority:</w:t>
      </w:r>
    </w:p>
    <w:p w14:paraId="09A6C118" w14:textId="77777777" w:rsidR="00F67E9E" w:rsidRDefault="00F67E9E" w:rsidP="00F67E9E">
      <w:pPr>
        <w:pStyle w:val="Numbered111"/>
        <w:numPr>
          <w:ilvl w:val="2"/>
          <w:numId w:val="273"/>
        </w:numPr>
      </w:pPr>
      <w:r>
        <w:t>within 20 Working Days of the date of the requirement; and</w:t>
      </w:r>
    </w:p>
    <w:p w14:paraId="5D4A6034" w14:textId="77777777" w:rsidR="00F67E9E" w:rsidRDefault="00F67E9E" w:rsidP="00F67E9E">
      <w:pPr>
        <w:pStyle w:val="Numbered111"/>
        <w:numPr>
          <w:ilvl w:val="2"/>
          <w:numId w:val="273"/>
        </w:numPr>
      </w:pPr>
      <w:r>
        <w:t>in the form and with the content specified by the Authority.</w:t>
      </w:r>
    </w:p>
    <w:p w14:paraId="0959845C" w14:textId="77777777" w:rsidR="00F67E9E" w:rsidRDefault="00F67E9E" w:rsidP="00F67E9E">
      <w:pPr>
        <w:pStyle w:val="Numbered1"/>
        <w:numPr>
          <w:ilvl w:val="0"/>
          <w:numId w:val="273"/>
        </w:numPr>
      </w:pPr>
      <w:bookmarkStart w:id="3751" w:name="_Ref140767086"/>
      <w:bookmarkStart w:id="3752" w:name="_Toc136451195"/>
      <w:r>
        <w:t>Use of Third Party IPR</w:t>
      </w:r>
      <w:bookmarkEnd w:id="3751"/>
    </w:p>
    <w:p w14:paraId="4A376C40" w14:textId="77777777" w:rsidR="00F67E9E" w:rsidRDefault="00F67E9E" w:rsidP="00F67E9E">
      <w:pPr>
        <w:pStyle w:val="Numbered11"/>
        <w:keepNext/>
        <w:numPr>
          <w:ilvl w:val="1"/>
          <w:numId w:val="273"/>
        </w:numPr>
      </w:pPr>
      <w:r w:rsidRPr="00A550B3">
        <w:t xml:space="preserve">The Supplier </w:t>
      </w:r>
      <w:r>
        <w:t xml:space="preserve">must </w:t>
      </w:r>
      <w:r w:rsidRPr="00A550B3">
        <w:t>not use any</w:t>
      </w:r>
      <w:r>
        <w:t>:</w:t>
      </w:r>
    </w:p>
    <w:p w14:paraId="4B40C13F" w14:textId="77777777" w:rsidR="00F67E9E" w:rsidRDefault="00F67E9E" w:rsidP="00F67E9E">
      <w:pPr>
        <w:pStyle w:val="Numbered111"/>
        <w:numPr>
          <w:ilvl w:val="2"/>
          <w:numId w:val="273"/>
        </w:numPr>
      </w:pPr>
      <w:r>
        <w:t>Third Party Non-COTS Software; or</w:t>
      </w:r>
    </w:p>
    <w:p w14:paraId="0E425A3E" w14:textId="77777777" w:rsidR="00F67E9E" w:rsidRDefault="00F67E9E" w:rsidP="00F67E9E">
      <w:pPr>
        <w:pStyle w:val="Numbered111"/>
        <w:numPr>
          <w:ilvl w:val="2"/>
          <w:numId w:val="273"/>
        </w:numPr>
      </w:pPr>
      <w:r>
        <w:t>Third Party</w:t>
      </w:r>
      <w:r w:rsidRPr="00A550B3">
        <w:t xml:space="preserve"> Non-COTS Background IPR</w:t>
      </w:r>
      <w:r>
        <w:t>,</w:t>
      </w:r>
    </w:p>
    <w:p w14:paraId="228CB386" w14:textId="77777777" w:rsidR="00F67E9E" w:rsidRDefault="00F67E9E" w:rsidP="00F67E9E">
      <w:pPr>
        <w:pStyle w:val="StdBodyText1"/>
      </w:pPr>
      <w:r w:rsidRPr="00A550B3">
        <w:t>in the provision of the Services</w:t>
      </w:r>
      <w:r>
        <w:t xml:space="preserve"> </w:t>
      </w:r>
      <w:r w:rsidRPr="00016234">
        <w:t>(including in any Specially Written Software or in the software element of Project Specific IPRs)</w:t>
      </w:r>
      <w:r w:rsidRPr="00A550B3">
        <w:t xml:space="preserve"> unless</w:t>
      </w:r>
      <w:r>
        <w:t xml:space="preserve"> one of the following conditions is met:</w:t>
      </w:r>
    </w:p>
    <w:p w14:paraId="0ACFDB99" w14:textId="4AE922F7" w:rsidR="00F67E9E" w:rsidRDefault="00F67E9E" w:rsidP="00F67E9E">
      <w:pPr>
        <w:pStyle w:val="Numbered111"/>
        <w:numPr>
          <w:ilvl w:val="2"/>
          <w:numId w:val="273"/>
        </w:numPr>
      </w:pPr>
      <w:bookmarkStart w:id="3753" w:name="_Ref140133364"/>
      <w:r>
        <w:t>the owner or an authorised licensor of the relevant IPR has granted the Authority a direct licence on the terms equivalent to those set out in Paragraph </w:t>
      </w:r>
      <w:r>
        <w:fldChar w:fldCharType="begin"/>
      </w:r>
      <w:r>
        <w:instrText xml:space="preserve"> REF _Ref140133039 \w \h  \* MERGEFORMAT </w:instrText>
      </w:r>
      <w:r>
        <w:fldChar w:fldCharType="separate"/>
      </w:r>
      <w:r w:rsidR="00302D39">
        <w:t>2</w:t>
      </w:r>
      <w:r>
        <w:fldChar w:fldCharType="end"/>
      </w:r>
      <w:r>
        <w:t>; or</w:t>
      </w:r>
      <w:bookmarkEnd w:id="3753"/>
    </w:p>
    <w:p w14:paraId="63282DBC" w14:textId="313C21D0" w:rsidR="00F67E9E" w:rsidRDefault="00F67E9E" w:rsidP="00F67E9E">
      <w:pPr>
        <w:pStyle w:val="Numbered111"/>
        <w:keepNext/>
        <w:numPr>
          <w:ilvl w:val="2"/>
          <w:numId w:val="273"/>
        </w:numPr>
      </w:pPr>
      <w:bookmarkStart w:id="3754" w:name="_Ref140133432"/>
      <w:r>
        <w:t>if the Supplier cannot, after commercially reasonable endeavours, meet the condition in Paragraph </w:t>
      </w:r>
      <w:r>
        <w:fldChar w:fldCharType="begin"/>
      </w:r>
      <w:r>
        <w:instrText xml:space="preserve"> REF _Ref140133364 \w \h  \* MERGEFORMAT </w:instrText>
      </w:r>
      <w:r>
        <w:fldChar w:fldCharType="separate"/>
      </w:r>
      <w:r w:rsidR="00302D39">
        <w:t>5.1.3</w:t>
      </w:r>
      <w:r>
        <w:fldChar w:fldCharType="end"/>
      </w:r>
      <w:r>
        <w:t>, all the following conditions are met:</w:t>
      </w:r>
      <w:bookmarkEnd w:id="3754"/>
    </w:p>
    <w:p w14:paraId="176F6522" w14:textId="77777777" w:rsidR="00F67E9E" w:rsidRDefault="00F67E9E" w:rsidP="00F67E9E">
      <w:pPr>
        <w:pStyle w:val="Numbered111a"/>
        <w:keepNext/>
        <w:numPr>
          <w:ilvl w:val="3"/>
          <w:numId w:val="273"/>
        </w:numPr>
      </w:pPr>
      <w:r>
        <w:t>the Supplier has notified the Authority in writing giving details of:</w:t>
      </w:r>
    </w:p>
    <w:p w14:paraId="2787890B" w14:textId="77777777" w:rsidR="00F67E9E" w:rsidRDefault="00F67E9E" w:rsidP="00F67E9E">
      <w:pPr>
        <w:pStyle w:val="Numbered111ai"/>
        <w:numPr>
          <w:ilvl w:val="4"/>
          <w:numId w:val="273"/>
        </w:numPr>
      </w:pPr>
      <w:r>
        <w:t>what licence terms can be obtained from the relevant third party; and</w:t>
      </w:r>
    </w:p>
    <w:p w14:paraId="15A12D9C" w14:textId="77777777" w:rsidR="00F67E9E" w:rsidRDefault="00F67E9E" w:rsidP="00F67E9E">
      <w:pPr>
        <w:pStyle w:val="Numbered111ai"/>
        <w:numPr>
          <w:ilvl w:val="4"/>
          <w:numId w:val="273"/>
        </w:numPr>
      </w:pPr>
      <w:r>
        <w:t xml:space="preserve">whether there are providers which the Supplier could seek to use and the licence terms obtainable from those third parties; </w:t>
      </w:r>
    </w:p>
    <w:p w14:paraId="635F7F81" w14:textId="77777777" w:rsidR="00F67E9E" w:rsidRDefault="00F67E9E" w:rsidP="00F67E9E">
      <w:pPr>
        <w:pStyle w:val="Numbered111a"/>
        <w:numPr>
          <w:ilvl w:val="3"/>
          <w:numId w:val="273"/>
        </w:numPr>
      </w:pPr>
      <w:r>
        <w:t>the Authority approves the licence terms of one of those third parties; and</w:t>
      </w:r>
    </w:p>
    <w:p w14:paraId="61AB5CCA" w14:textId="77777777" w:rsidR="00F67E9E" w:rsidRDefault="00F67E9E" w:rsidP="00F67E9E">
      <w:pPr>
        <w:pStyle w:val="Numbered111a"/>
        <w:numPr>
          <w:ilvl w:val="3"/>
          <w:numId w:val="273"/>
        </w:numPr>
      </w:pPr>
      <w:r>
        <w:t>the owner and authorised licensor of the Third Party IPR has granted a direct licence of the Third Party IPR to the Authority on those terms; or</w:t>
      </w:r>
    </w:p>
    <w:p w14:paraId="0613A4ED" w14:textId="463C0AB5" w:rsidR="00F67E9E" w:rsidRDefault="00F67E9E" w:rsidP="00F67E9E">
      <w:pPr>
        <w:pStyle w:val="Numbered111"/>
        <w:numPr>
          <w:ilvl w:val="2"/>
          <w:numId w:val="273"/>
        </w:numPr>
      </w:pPr>
      <w:r>
        <w:t>if the Supplier cannot meet the conditions in Paragraphs </w:t>
      </w:r>
      <w:r>
        <w:fldChar w:fldCharType="begin"/>
      </w:r>
      <w:r>
        <w:instrText xml:space="preserve"> REF _Ref140133364 \w \h  \* MERGEFORMAT </w:instrText>
      </w:r>
      <w:r>
        <w:fldChar w:fldCharType="separate"/>
      </w:r>
      <w:r w:rsidR="00302D39">
        <w:t>5.1.3</w:t>
      </w:r>
      <w:r>
        <w:fldChar w:fldCharType="end"/>
      </w:r>
      <w:r>
        <w:t xml:space="preserve"> and </w:t>
      </w:r>
      <w:r>
        <w:fldChar w:fldCharType="begin"/>
      </w:r>
      <w:r>
        <w:instrText xml:space="preserve"> REF _Ref140133432 \w \h  \* MERGEFORMAT </w:instrText>
      </w:r>
      <w:r>
        <w:fldChar w:fldCharType="separate"/>
      </w:r>
      <w:r w:rsidR="00302D39">
        <w:t>5.1.4</w:t>
      </w:r>
      <w:r>
        <w:fldChar w:fldCharType="end"/>
      </w:r>
      <w:r>
        <w:t xml:space="preserve">, the Authority has provided written approval to </w:t>
      </w:r>
      <w:r w:rsidRPr="00CE3BEC">
        <w:t xml:space="preserve">use </w:t>
      </w:r>
      <w:r>
        <w:t xml:space="preserve">the relevant IPR </w:t>
      </w:r>
      <w:r w:rsidRPr="00CE3BEC">
        <w:t>without a licence, with reference to the acts authorised and the specific IPR involved</w:t>
      </w:r>
      <w:r>
        <w:t>.</w:t>
      </w:r>
    </w:p>
    <w:p w14:paraId="3AAACF05" w14:textId="77777777" w:rsidR="00F67E9E" w:rsidRDefault="00F67E9E" w:rsidP="00F67E9E">
      <w:pPr>
        <w:pStyle w:val="Numbered11"/>
        <w:keepNext/>
        <w:numPr>
          <w:ilvl w:val="1"/>
          <w:numId w:val="273"/>
        </w:numPr>
      </w:pPr>
      <w:r w:rsidRPr="00A550B3">
        <w:t xml:space="preserve">The Supplier </w:t>
      </w:r>
      <w:r>
        <w:t xml:space="preserve">must </w:t>
      </w:r>
      <w:r w:rsidRPr="00A550B3">
        <w:t>not use any</w:t>
      </w:r>
      <w:r>
        <w:t>:</w:t>
      </w:r>
    </w:p>
    <w:p w14:paraId="45D4D220" w14:textId="77777777" w:rsidR="00F67E9E" w:rsidRDefault="00F67E9E" w:rsidP="00F67E9E">
      <w:pPr>
        <w:pStyle w:val="Numbered111"/>
        <w:numPr>
          <w:ilvl w:val="2"/>
          <w:numId w:val="273"/>
        </w:numPr>
      </w:pPr>
      <w:r>
        <w:t>Third Party COTS Software; or</w:t>
      </w:r>
    </w:p>
    <w:p w14:paraId="108DF144" w14:textId="77777777" w:rsidR="00F67E9E" w:rsidRDefault="00F67E9E" w:rsidP="00F67E9E">
      <w:pPr>
        <w:pStyle w:val="Numbered111"/>
        <w:numPr>
          <w:ilvl w:val="2"/>
          <w:numId w:val="273"/>
        </w:numPr>
      </w:pPr>
      <w:r>
        <w:t>Third Party</w:t>
      </w:r>
      <w:r w:rsidRPr="00A550B3">
        <w:t xml:space="preserve"> COTS Background IPR</w:t>
      </w:r>
      <w:r>
        <w:t>,</w:t>
      </w:r>
    </w:p>
    <w:p w14:paraId="306D76CD" w14:textId="77777777" w:rsidR="00F67E9E" w:rsidRDefault="00F67E9E" w:rsidP="00F67E9E">
      <w:pPr>
        <w:pStyle w:val="StdBodyText1"/>
      </w:pPr>
      <w:r w:rsidRPr="00A550B3">
        <w:t>in the provision of the Services</w:t>
      </w:r>
      <w:r>
        <w:t xml:space="preserve"> </w:t>
      </w:r>
      <w:r w:rsidRPr="00016234">
        <w:t>(including in any Specially Written Software or in the software element of Project Specific IPRs)</w:t>
      </w:r>
      <w:r w:rsidRPr="00A550B3">
        <w:t xml:space="preserve"> unless</w:t>
      </w:r>
      <w:r>
        <w:t xml:space="preserve"> the following conditions are met:</w:t>
      </w:r>
    </w:p>
    <w:p w14:paraId="727359AE" w14:textId="77777777" w:rsidR="00F67E9E" w:rsidRDefault="00F67E9E" w:rsidP="00F67E9E">
      <w:pPr>
        <w:pStyle w:val="Numbered111"/>
        <w:numPr>
          <w:ilvl w:val="2"/>
          <w:numId w:val="273"/>
        </w:numPr>
      </w:pPr>
      <w:r>
        <w:t xml:space="preserve">the Supplier has provided the Authority with the applicable terms for the IPRs (which must be </w:t>
      </w:r>
      <w:r w:rsidRPr="007306D4">
        <w:t>at a price and on terms no less favourable than those standard commercial terms on which such software is usually made commercially available</w:t>
      </w:r>
      <w:r>
        <w:t>); and</w:t>
      </w:r>
    </w:p>
    <w:p w14:paraId="4E4465CA" w14:textId="77777777" w:rsidR="00F67E9E" w:rsidRDefault="00F67E9E" w:rsidP="00F67E9E">
      <w:pPr>
        <w:pStyle w:val="Numbered111"/>
        <w:numPr>
          <w:ilvl w:val="2"/>
          <w:numId w:val="273"/>
        </w:numPr>
      </w:pPr>
      <w:r>
        <w:t>the Authority has not (in its absolute discretion) rejected those licence terms within 10 Working Days of the date on which they were provided to the Authority.</w:t>
      </w:r>
    </w:p>
    <w:p w14:paraId="3101E0B5" w14:textId="77777777" w:rsidR="00F67E9E" w:rsidRDefault="00F67E9E" w:rsidP="00F67E9E">
      <w:pPr>
        <w:pStyle w:val="Numbered1"/>
        <w:numPr>
          <w:ilvl w:val="0"/>
          <w:numId w:val="273"/>
        </w:numPr>
      </w:pPr>
      <w:bookmarkStart w:id="3755" w:name="_Ref141111600"/>
      <w:bookmarkStart w:id="3756" w:name="_Toc136451197"/>
      <w:bookmarkEnd w:id="3752"/>
      <w:r>
        <w:t>Licences granted by the Authority</w:t>
      </w:r>
      <w:bookmarkEnd w:id="3755"/>
    </w:p>
    <w:p w14:paraId="30164FEE" w14:textId="1E690729" w:rsidR="00F67E9E" w:rsidRDefault="00F67E9E" w:rsidP="00F67E9E">
      <w:pPr>
        <w:pStyle w:val="Numbered11"/>
        <w:keepNext/>
        <w:numPr>
          <w:ilvl w:val="1"/>
          <w:numId w:val="273"/>
        </w:numPr>
      </w:pPr>
      <w:bookmarkStart w:id="3757" w:name="_Ref140134332"/>
      <w:r>
        <w:t>Subject to Paragraph </w:t>
      </w:r>
      <w:r>
        <w:fldChar w:fldCharType="begin"/>
      </w:r>
      <w:r>
        <w:instrText xml:space="preserve"> REF _Ref140134668 \w \h  \* MERGEFORMAT </w:instrText>
      </w:r>
      <w:r>
        <w:fldChar w:fldCharType="separate"/>
      </w:r>
      <w:r w:rsidR="00302D39">
        <w:t>3</w:t>
      </w:r>
      <w:r>
        <w:fldChar w:fldCharType="end"/>
      </w:r>
      <w:r>
        <w:t>, the Authority grants the Supplier a licence to the</w:t>
      </w:r>
      <w:bookmarkEnd w:id="3757"/>
      <w:r>
        <w:t xml:space="preserve"> </w:t>
      </w:r>
    </w:p>
    <w:p w14:paraId="63051E92" w14:textId="77777777" w:rsidR="00F67E9E" w:rsidRDefault="00F67E9E" w:rsidP="00F67E9E">
      <w:pPr>
        <w:pStyle w:val="Numbered111"/>
        <w:numPr>
          <w:ilvl w:val="2"/>
          <w:numId w:val="273"/>
        </w:numPr>
      </w:pPr>
      <w:r>
        <w:t>the Authority Software;</w:t>
      </w:r>
    </w:p>
    <w:p w14:paraId="5672C152" w14:textId="77777777" w:rsidR="00F67E9E" w:rsidRDefault="00F67E9E" w:rsidP="00F67E9E">
      <w:pPr>
        <w:pStyle w:val="Numbered111"/>
        <w:numPr>
          <w:ilvl w:val="2"/>
          <w:numId w:val="273"/>
        </w:numPr>
      </w:pPr>
      <w:r>
        <w:t>the Authority Data; and</w:t>
      </w:r>
    </w:p>
    <w:p w14:paraId="0B6F516A" w14:textId="77777777" w:rsidR="00F67E9E" w:rsidRDefault="00F67E9E" w:rsidP="00F67E9E">
      <w:pPr>
        <w:pStyle w:val="Numbered111"/>
        <w:numPr>
          <w:ilvl w:val="2"/>
          <w:numId w:val="273"/>
        </w:numPr>
      </w:pPr>
      <w:r>
        <w:t>the Authority Background IPRs</w:t>
      </w:r>
    </w:p>
    <w:p w14:paraId="48931531" w14:textId="77777777" w:rsidR="00F67E9E" w:rsidRDefault="00F67E9E" w:rsidP="00F67E9E">
      <w:pPr>
        <w:pStyle w:val="StdBodyText1"/>
        <w:keepNext/>
      </w:pPr>
      <w:r>
        <w:t>that:</w:t>
      </w:r>
    </w:p>
    <w:p w14:paraId="4DA0CFCB" w14:textId="77777777" w:rsidR="00F67E9E" w:rsidRDefault="00F67E9E" w:rsidP="00F67E9E">
      <w:pPr>
        <w:pStyle w:val="Numbered111"/>
        <w:numPr>
          <w:ilvl w:val="2"/>
          <w:numId w:val="273"/>
        </w:numPr>
      </w:pPr>
      <w:r>
        <w:t>is perpetual, non-exclusive, royalty-free and non-transferable;</w:t>
      </w:r>
    </w:p>
    <w:p w14:paraId="2D50742A" w14:textId="77777777" w:rsidR="00F67E9E" w:rsidRDefault="00F67E9E" w:rsidP="00F67E9E">
      <w:pPr>
        <w:pStyle w:val="Numbered111"/>
        <w:keepNext/>
        <w:numPr>
          <w:ilvl w:val="2"/>
          <w:numId w:val="273"/>
        </w:numPr>
      </w:pPr>
      <w:bookmarkStart w:id="3758" w:name="_Ref140134591"/>
      <w:r>
        <w:t>is sub-licensable to any Sub-contractor where</w:t>
      </w:r>
      <w:bookmarkEnd w:id="3758"/>
      <w:r>
        <w:t>:</w:t>
      </w:r>
    </w:p>
    <w:p w14:paraId="02854BCC" w14:textId="0F5A95C0" w:rsidR="00F67E9E" w:rsidRDefault="00F67E9E" w:rsidP="00F67E9E">
      <w:pPr>
        <w:pStyle w:val="Numbered111a"/>
        <w:numPr>
          <w:ilvl w:val="3"/>
          <w:numId w:val="273"/>
        </w:numPr>
      </w:pPr>
      <w:r>
        <w:t>the Sub-contractor enters into a confidentiality undertaking</w:t>
      </w:r>
      <w:r w:rsidRPr="00E36B93">
        <w:t xml:space="preserve"> with the Supplier on the same terms as set out </w:t>
      </w:r>
      <w:r>
        <w:t xml:space="preserve">in </w:t>
      </w:r>
      <w:r>
        <w:fldChar w:fldCharType="begin"/>
      </w:r>
      <w:r>
        <w:instrText xml:space="preserve"> REF Annex1toschedule12 \h </w:instrText>
      </w:r>
      <w:r>
        <w:fldChar w:fldCharType="separate"/>
      </w:r>
      <w:r w:rsidR="00302D39" w:rsidRPr="00477926">
        <w:t xml:space="preserve">Annex </w:t>
      </w:r>
      <w:r w:rsidR="00302D39">
        <w:t>1</w:t>
      </w:r>
      <w:r>
        <w:fldChar w:fldCharType="end"/>
      </w:r>
      <w:r>
        <w:t xml:space="preserve"> of </w:t>
      </w:r>
      <w:r>
        <w:fldChar w:fldCharType="begin"/>
      </w:r>
      <w:r>
        <w:instrText xml:space="preserve"> REF Schedule12 \h </w:instrText>
      </w:r>
      <w:r>
        <w:fldChar w:fldCharType="separate"/>
      </w:r>
      <w:r w:rsidR="00302D39" w:rsidRPr="005D0525">
        <w:t>Schedule</w:t>
      </w:r>
      <w:r w:rsidR="00302D39">
        <w:t> </w:t>
      </w:r>
      <w:r w:rsidR="00302D39" w:rsidRPr="005D0525">
        <w:t>12</w:t>
      </w:r>
      <w:r>
        <w:fldChar w:fldCharType="end"/>
      </w:r>
      <w:r w:rsidRPr="00A550B3">
        <w:t xml:space="preserve"> (</w:t>
      </w:r>
      <w:r w:rsidRPr="00212E6C">
        <w:rPr>
          <w:i/>
          <w:iCs/>
        </w:rPr>
        <w:fldChar w:fldCharType="begin"/>
      </w:r>
      <w:r w:rsidRPr="00212E6C">
        <w:rPr>
          <w:i/>
          <w:iCs/>
        </w:rPr>
        <w:instrText xml:space="preserve"> REF Schedule12Heading \h  \* MERGEFORMAT </w:instrText>
      </w:r>
      <w:r w:rsidRPr="00212E6C">
        <w:rPr>
          <w:i/>
          <w:iCs/>
        </w:rPr>
      </w:r>
      <w:r w:rsidRPr="00212E6C">
        <w:rPr>
          <w:i/>
          <w:iCs/>
        </w:rPr>
        <w:fldChar w:fldCharType="separate"/>
      </w:r>
      <w:r w:rsidR="00302D39" w:rsidRPr="00302D39">
        <w:rPr>
          <w:i/>
          <w:iCs/>
        </w:rPr>
        <w:t>Software</w:t>
      </w:r>
      <w:r w:rsidRPr="00212E6C">
        <w:rPr>
          <w:i/>
          <w:iCs/>
        </w:rPr>
        <w:fldChar w:fldCharType="end"/>
      </w:r>
      <w:r w:rsidRPr="00A550B3">
        <w:t>)</w:t>
      </w:r>
      <w:r>
        <w:t>; and</w:t>
      </w:r>
    </w:p>
    <w:p w14:paraId="4EB99119" w14:textId="77777777" w:rsidR="00F67E9E" w:rsidRDefault="00F67E9E" w:rsidP="00F67E9E">
      <w:pPr>
        <w:pStyle w:val="Numbered111a"/>
        <w:numPr>
          <w:ilvl w:val="3"/>
          <w:numId w:val="273"/>
        </w:numPr>
      </w:pPr>
      <w:r>
        <w:t>the sub-licence does not purport to provide the sub-licensee with any wider rights than those granted to the Supplier under this Paragraph;</w:t>
      </w:r>
    </w:p>
    <w:p w14:paraId="40004A92" w14:textId="77777777" w:rsidR="00F67E9E" w:rsidRDefault="00F67E9E" w:rsidP="00F67E9E">
      <w:pPr>
        <w:pStyle w:val="Numbered111"/>
        <w:keepNext/>
        <w:numPr>
          <w:ilvl w:val="2"/>
          <w:numId w:val="273"/>
        </w:numPr>
      </w:pPr>
      <w:r>
        <w:t>allows the Supplier and any sub-licensee to use, copy and adapt any licensed IPRs for the purpose of:</w:t>
      </w:r>
    </w:p>
    <w:p w14:paraId="66398F64" w14:textId="77777777" w:rsidR="00F67E9E" w:rsidRDefault="00F67E9E" w:rsidP="00F67E9E">
      <w:pPr>
        <w:pStyle w:val="Numbered111a"/>
        <w:numPr>
          <w:ilvl w:val="3"/>
          <w:numId w:val="273"/>
        </w:numPr>
      </w:pPr>
      <w:r>
        <w:t>fulfilling its obligations under this Contract; or</w:t>
      </w:r>
    </w:p>
    <w:p w14:paraId="493ECCB0" w14:textId="77777777" w:rsidR="00F67E9E" w:rsidRDefault="00F67E9E" w:rsidP="00F67E9E">
      <w:pPr>
        <w:pStyle w:val="Numbered111a"/>
        <w:numPr>
          <w:ilvl w:val="3"/>
          <w:numId w:val="273"/>
        </w:numPr>
      </w:pPr>
      <w:bookmarkStart w:id="3759" w:name="_Ref140818594"/>
      <w:r>
        <w:t>commercially exploiting the Project Specific IPR, the Specially Written Software or the Software Supporting Materials.</w:t>
      </w:r>
      <w:bookmarkEnd w:id="3759"/>
    </w:p>
    <w:p w14:paraId="093F6238" w14:textId="3C309E3D" w:rsidR="00F67E9E" w:rsidRDefault="00F67E9E" w:rsidP="00F67E9E">
      <w:pPr>
        <w:pStyle w:val="Numbered11"/>
        <w:keepNext/>
        <w:numPr>
          <w:ilvl w:val="1"/>
          <w:numId w:val="273"/>
        </w:numPr>
      </w:pPr>
      <w:r>
        <w:t>When the licence granted under Paragraph </w:t>
      </w:r>
      <w:r>
        <w:fldChar w:fldCharType="begin"/>
      </w:r>
      <w:r>
        <w:instrText xml:space="preserve"> REF _Ref140134332 \w \h  \* MERGEFORMAT </w:instrText>
      </w:r>
      <w:r>
        <w:fldChar w:fldCharType="separate"/>
      </w:r>
      <w:r w:rsidR="00302D39">
        <w:t>6.1</w:t>
      </w:r>
      <w:r>
        <w:fldChar w:fldCharType="end"/>
      </w:r>
      <w:r>
        <w:t>:</w:t>
      </w:r>
    </w:p>
    <w:p w14:paraId="5FA7AF7F" w14:textId="40451204" w:rsidR="00F67E9E" w:rsidRDefault="00F67E9E" w:rsidP="00F67E9E">
      <w:pPr>
        <w:pStyle w:val="Numbered111"/>
        <w:numPr>
          <w:ilvl w:val="2"/>
          <w:numId w:val="273"/>
        </w:numPr>
      </w:pPr>
      <w:r>
        <w:t>terminates in accordance with Paragraph </w:t>
      </w:r>
      <w:r>
        <w:fldChar w:fldCharType="begin"/>
      </w:r>
      <w:r>
        <w:instrText xml:space="preserve"> REF _Ref140134668 \r \h  \* MERGEFORMAT </w:instrText>
      </w:r>
      <w:r>
        <w:fldChar w:fldCharType="separate"/>
      </w:r>
      <w:r w:rsidR="00302D39">
        <w:t>3</w:t>
      </w:r>
      <w:r>
        <w:fldChar w:fldCharType="end"/>
      </w:r>
      <w:r>
        <w:t>; or</w:t>
      </w:r>
    </w:p>
    <w:p w14:paraId="3F047AF8" w14:textId="77777777" w:rsidR="00F67E9E" w:rsidRDefault="00F67E9E" w:rsidP="00F67E9E">
      <w:pPr>
        <w:pStyle w:val="Numbered111"/>
        <w:numPr>
          <w:ilvl w:val="2"/>
          <w:numId w:val="273"/>
        </w:numPr>
      </w:pPr>
      <w:r>
        <w:t>no longer has effect at the end of the Term or the expiry of any Termination Assistance Period (whichever is the later),</w:t>
      </w:r>
    </w:p>
    <w:p w14:paraId="29EE6226" w14:textId="4E9DCE6C" w:rsidR="00F67E9E" w:rsidRDefault="00F67E9E" w:rsidP="00F67E9E">
      <w:pPr>
        <w:pStyle w:val="StdBodyText1"/>
      </w:pPr>
      <w:r>
        <w:t>the Supplier must, and must ensure that each Sub-contractor granted a sub-licence under Paragraph </w:t>
      </w:r>
      <w:r>
        <w:fldChar w:fldCharType="begin"/>
      </w:r>
      <w:r>
        <w:instrText xml:space="preserve"> REF _Ref140134591 \w \h  \* MERGEFORMAT </w:instrText>
      </w:r>
      <w:r>
        <w:fldChar w:fldCharType="separate"/>
      </w:r>
      <w:r w:rsidR="00302D39">
        <w:t>6.1.5</w:t>
      </w:r>
      <w:r>
        <w:fldChar w:fldCharType="end"/>
      </w:r>
      <w:r>
        <w:t>:</w:t>
      </w:r>
    </w:p>
    <w:p w14:paraId="39380E6B" w14:textId="77777777" w:rsidR="00F67E9E" w:rsidRDefault="00F67E9E" w:rsidP="00F67E9E">
      <w:pPr>
        <w:pStyle w:val="Numbered111"/>
        <w:numPr>
          <w:ilvl w:val="2"/>
          <w:numId w:val="273"/>
        </w:numPr>
      </w:pPr>
      <w:r>
        <w:t>immediately cease all use of the licensed IPR;</w:t>
      </w:r>
    </w:p>
    <w:p w14:paraId="368DE4B5" w14:textId="77777777" w:rsidR="00F67E9E" w:rsidRDefault="00F67E9E" w:rsidP="00F67E9E">
      <w:pPr>
        <w:pStyle w:val="Numbered111"/>
        <w:keepNext/>
        <w:numPr>
          <w:ilvl w:val="2"/>
          <w:numId w:val="273"/>
        </w:numPr>
      </w:pPr>
      <w:r>
        <w:t>either:</w:t>
      </w:r>
    </w:p>
    <w:p w14:paraId="7C8BB251" w14:textId="77777777" w:rsidR="00F67E9E" w:rsidRDefault="00F67E9E" w:rsidP="00F67E9E">
      <w:pPr>
        <w:pStyle w:val="Numbered111a"/>
        <w:numPr>
          <w:ilvl w:val="3"/>
          <w:numId w:val="273"/>
        </w:numPr>
      </w:pPr>
      <w:r>
        <w:t xml:space="preserve">at the discretion of the Authority, return or destroy documents and other tangible materials that contain any of the licensed IPR; or </w:t>
      </w:r>
    </w:p>
    <w:p w14:paraId="1644C0F8" w14:textId="77777777" w:rsidR="00F67E9E" w:rsidRDefault="00F67E9E" w:rsidP="00F67E9E">
      <w:pPr>
        <w:pStyle w:val="Numbered111a"/>
        <w:numPr>
          <w:ilvl w:val="3"/>
          <w:numId w:val="273"/>
        </w:numPr>
      </w:pPr>
      <w:r>
        <w:t>if the Authority has not made an election within six months of the termination of the licence, destroy the documents and other tangible materials that contain any of the licensed IPR; and</w:t>
      </w:r>
    </w:p>
    <w:p w14:paraId="66ABA12A" w14:textId="77777777" w:rsidR="00F67E9E" w:rsidRPr="00381CB0" w:rsidRDefault="00F67E9E" w:rsidP="00F67E9E">
      <w:pPr>
        <w:pStyle w:val="Numbered111"/>
        <w:numPr>
          <w:ilvl w:val="2"/>
          <w:numId w:val="273"/>
        </w:numPr>
      </w:pPr>
      <w:r>
        <w:t>ensure, so far as reasonably practicable, that any licensed IPR held in electronic, digital or other machine-readable form ceases to be readily accessible from any computer, word processor, voicemail system or any other device of the Supplier.</w:t>
      </w:r>
      <w:bookmarkEnd w:id="3756"/>
      <w:r w:rsidRPr="00381CB0">
        <w:rPr>
          <w:rFonts w:ascii="Arial Bold" w:hAnsi="Arial Bold"/>
          <w:b/>
          <w:szCs w:val="24"/>
          <w:highlight w:val="yellow"/>
        </w:rPr>
        <w:br w:type="page"/>
      </w:r>
    </w:p>
    <w:p w14:paraId="6152B580" w14:textId="436AE088" w:rsidR="00F67E9E" w:rsidRPr="00DB4F7B" w:rsidRDefault="00F67E9E" w:rsidP="00F67E9E">
      <w:pPr>
        <w:pStyle w:val="StdBodyText"/>
        <w:rPr>
          <w:b/>
          <w:i/>
        </w:rPr>
      </w:pPr>
      <w:r w:rsidRPr="00DB4F7B">
        <w:rPr>
          <w:b/>
          <w:i/>
        </w:rPr>
        <w:t>[</w:t>
      </w:r>
      <w:r w:rsidRPr="00DB4F7B">
        <w:rPr>
          <w:b/>
          <w:i/>
          <w:highlight w:val="yellow"/>
        </w:rPr>
        <w:t xml:space="preserve">Guidance note: for </w:t>
      </w:r>
      <w:r w:rsidRPr="00DB4F7B">
        <w:rPr>
          <w:b/>
          <w:i/>
          <w:highlight w:val="yellow"/>
          <w:u w:val="single"/>
        </w:rPr>
        <w:t xml:space="preserve">Option </w:t>
      </w:r>
      <w:r w:rsidRPr="00DB4F7B">
        <w:rPr>
          <w:b/>
          <w:i/>
          <w:highlight w:val="yellow"/>
          <w:u w:val="single"/>
        </w:rPr>
        <w:fldChar w:fldCharType="begin"/>
      </w:r>
      <w:r w:rsidRPr="00DB4F7B">
        <w:rPr>
          <w:b/>
          <w:i/>
          <w:highlight w:val="yellow"/>
          <w:u w:val="single"/>
        </w:rPr>
        <w:instrText xml:space="preserve"> REF OPTION4_SCHEDULE32 \h  \* MERGEFORMAT </w:instrText>
      </w:r>
      <w:r w:rsidRPr="00DB4F7B">
        <w:rPr>
          <w:b/>
          <w:i/>
          <w:highlight w:val="yellow"/>
          <w:u w:val="single"/>
        </w:rPr>
      </w:r>
      <w:r w:rsidRPr="00DB4F7B">
        <w:rPr>
          <w:b/>
          <w:i/>
          <w:highlight w:val="yellow"/>
          <w:u w:val="single"/>
        </w:rPr>
        <w:fldChar w:fldCharType="separate"/>
      </w:r>
      <w:r w:rsidR="00302D39" w:rsidRPr="00302D39">
        <w:rPr>
          <w:b/>
          <w:i/>
          <w:u w:val="single"/>
        </w:rPr>
        <w:t>4</w:t>
      </w:r>
      <w:r w:rsidRPr="00DB4F7B">
        <w:rPr>
          <w:b/>
          <w:i/>
          <w:highlight w:val="yellow"/>
          <w:u w:val="single"/>
        </w:rPr>
        <w:fldChar w:fldCharType="end"/>
      </w:r>
      <w:r w:rsidRPr="00DB4F7B">
        <w:rPr>
          <w:b/>
          <w:i/>
          <w:highlight w:val="yellow"/>
        </w:rPr>
        <w:t xml:space="preserve">: </w:t>
      </w:r>
      <w:r w:rsidRPr="00DB4F7B">
        <w:rPr>
          <w:rFonts w:eastAsia="Arial" w:cs="Arial"/>
          <w:b/>
          <w:i/>
          <w:highlight w:val="yellow"/>
        </w:rPr>
        <w:t>Supplier ownership of all Specially Written Software and Project Specific IPR with Authority rights for the current contract and broader public sector functions, please include the following drafting.</w:t>
      </w:r>
      <w:r w:rsidRPr="00DB4F7B">
        <w:rPr>
          <w:b/>
          <w:i/>
          <w:highlight w:val="yellow"/>
        </w:rPr>
        <w:t>]</w:t>
      </w:r>
    </w:p>
    <w:p w14:paraId="3D09E942" w14:textId="77777777" w:rsidR="00F67E9E" w:rsidRDefault="00F67E9E" w:rsidP="00F67E9E">
      <w:pPr>
        <w:pStyle w:val="Heading2"/>
      </w:pPr>
      <w:bookmarkStart w:id="3760" w:name="_Toc118293565"/>
      <w:bookmarkStart w:id="3761" w:name="_Toc141712011"/>
      <w:r>
        <w:t xml:space="preserve">Option </w:t>
      </w:r>
      <w:bookmarkStart w:id="3762" w:name="OPTION4_SCHEDULE32"/>
      <w:r>
        <w:t>4</w:t>
      </w:r>
      <w:bookmarkEnd w:id="3760"/>
      <w:bookmarkEnd w:id="3761"/>
      <w:bookmarkEnd w:id="3762"/>
    </w:p>
    <w:p w14:paraId="4046692F" w14:textId="77777777" w:rsidR="00F67E9E" w:rsidRDefault="00F67E9E" w:rsidP="00F67E9E">
      <w:pPr>
        <w:pStyle w:val="Numbered1"/>
        <w:numPr>
          <w:ilvl w:val="0"/>
          <w:numId w:val="278"/>
        </w:numPr>
      </w:pPr>
      <w:r>
        <w:t>Ownership of IPR created under the Contract</w:t>
      </w:r>
    </w:p>
    <w:p w14:paraId="683E129A" w14:textId="58C4CD9F" w:rsidR="00F67E9E" w:rsidRDefault="00F67E9E" w:rsidP="00F67E9E">
      <w:pPr>
        <w:pStyle w:val="Numbered11"/>
        <w:keepNext/>
        <w:numPr>
          <w:ilvl w:val="1"/>
          <w:numId w:val="273"/>
        </w:numPr>
      </w:pPr>
      <w:r>
        <w:t>Subject to Paragraph </w:t>
      </w:r>
      <w:r>
        <w:fldChar w:fldCharType="begin"/>
      </w:r>
      <w:r>
        <w:instrText xml:space="preserve"> REF _Ref141105848 \w \h </w:instrText>
      </w:r>
      <w:r>
        <w:fldChar w:fldCharType="separate"/>
      </w:r>
      <w:r w:rsidR="00302D39">
        <w:t>1.1.1</w:t>
      </w:r>
      <w:r>
        <w:fldChar w:fldCharType="end"/>
      </w:r>
      <w:r>
        <w:t>, the Authority agrees to</w:t>
      </w:r>
    </w:p>
    <w:p w14:paraId="305C98AE" w14:textId="77777777" w:rsidR="00F67E9E" w:rsidRDefault="00F67E9E" w:rsidP="00F67E9E">
      <w:pPr>
        <w:pStyle w:val="Numbered111"/>
        <w:keepNext/>
        <w:numPr>
          <w:ilvl w:val="2"/>
          <w:numId w:val="273"/>
        </w:numPr>
      </w:pPr>
      <w:r>
        <w:t>transfer to the Supplier, or procure the transfer to the Supplier, of all Intellectual Property Rights in the Specially Written Software and Project Specific IPRs not already vesting in the Supplier, including:</w:t>
      </w:r>
    </w:p>
    <w:p w14:paraId="6B5A12EA" w14:textId="77777777" w:rsidR="00F67E9E" w:rsidRDefault="00F67E9E" w:rsidP="00F67E9E">
      <w:pPr>
        <w:pStyle w:val="Numbered111a"/>
        <w:numPr>
          <w:ilvl w:val="3"/>
          <w:numId w:val="273"/>
        </w:numPr>
      </w:pPr>
      <w:r>
        <w:t>the Documentation, Source Code and the Object Code of the Specially Written Software; and</w:t>
      </w:r>
    </w:p>
    <w:p w14:paraId="799494B0" w14:textId="77777777" w:rsidR="00F67E9E" w:rsidRDefault="00F67E9E" w:rsidP="00F67E9E">
      <w:pPr>
        <w:pStyle w:val="Numbered111a"/>
        <w:numPr>
          <w:ilvl w:val="3"/>
          <w:numId w:val="273"/>
        </w:numPr>
      </w:pPr>
      <w:r>
        <w:t>all build instructions, test instructions, test scripts, test data, operating instructions and other documents and tools necessary for maintaining and supporting the Specially Written Software,</w:t>
      </w:r>
    </w:p>
    <w:p w14:paraId="5419238A" w14:textId="77777777" w:rsidR="00F67E9E" w:rsidRDefault="00F67E9E" w:rsidP="00F67E9E">
      <w:pPr>
        <w:pStyle w:val="StdBodyText3"/>
      </w:pPr>
      <w:r>
        <w:t xml:space="preserve">(together the </w:t>
      </w:r>
      <w:r w:rsidRPr="00F90E7F">
        <w:rPr>
          <w:b/>
          <w:bCs/>
        </w:rPr>
        <w:t>"</w:t>
      </w:r>
      <w:r w:rsidRPr="00CC7A15">
        <w:rPr>
          <w:b/>
          <w:bCs/>
        </w:rPr>
        <w:t>Software Supporting Materials</w:t>
      </w:r>
      <w:r w:rsidRPr="00F90E7F">
        <w:rPr>
          <w:b/>
          <w:bCs/>
        </w:rPr>
        <w:t>"</w:t>
      </w:r>
      <w:r>
        <w:t>); and</w:t>
      </w:r>
    </w:p>
    <w:p w14:paraId="63754BDC" w14:textId="77777777" w:rsidR="00F67E9E" w:rsidRDefault="00F67E9E" w:rsidP="00F67E9E">
      <w:pPr>
        <w:pStyle w:val="Numbered111"/>
        <w:numPr>
          <w:ilvl w:val="2"/>
          <w:numId w:val="273"/>
        </w:numPr>
      </w:pPr>
      <w:r w:rsidRPr="00016234">
        <w:t xml:space="preserve">execute all such assignments required to </w:t>
      </w:r>
      <w:r>
        <w:t xml:space="preserve">transfer properly any </w:t>
      </w:r>
      <w:r w:rsidRPr="00016234">
        <w:t xml:space="preserve">rights in the Specially Written Software and Project Specific IPRs to the </w:t>
      </w:r>
      <w:r>
        <w:t>Supplier.</w:t>
      </w:r>
    </w:p>
    <w:p w14:paraId="25EC11E3" w14:textId="77777777" w:rsidR="00F67E9E" w:rsidRDefault="00F67E9E" w:rsidP="00F67E9E">
      <w:pPr>
        <w:pStyle w:val="Numbered11"/>
        <w:keepNext/>
        <w:numPr>
          <w:ilvl w:val="1"/>
          <w:numId w:val="273"/>
        </w:numPr>
      </w:pPr>
      <w:r>
        <w:t>If, within three years of its creation, the Supplier:</w:t>
      </w:r>
    </w:p>
    <w:p w14:paraId="6C76F892" w14:textId="77777777" w:rsidR="00F67E9E" w:rsidRDefault="00F67E9E" w:rsidP="00F67E9E">
      <w:pPr>
        <w:pStyle w:val="Numbered111"/>
        <w:numPr>
          <w:ilvl w:val="2"/>
          <w:numId w:val="273"/>
        </w:numPr>
      </w:pPr>
      <w:r>
        <w:t xml:space="preserve">is not commercially exploiting any </w:t>
      </w:r>
      <w:r w:rsidRPr="00016234">
        <w:t>Specially Written Software</w:t>
      </w:r>
      <w:r>
        <w:t>,</w:t>
      </w:r>
      <w:r w:rsidRPr="00016234">
        <w:t xml:space="preserve"> Project Specific IPRs</w:t>
      </w:r>
      <w:r>
        <w:t xml:space="preserve"> or </w:t>
      </w:r>
      <w:r w:rsidRPr="00430DD0">
        <w:t>Software Supporting Materials</w:t>
      </w:r>
      <w:r>
        <w:t>; or</w:t>
      </w:r>
    </w:p>
    <w:p w14:paraId="2B2AE157" w14:textId="77777777" w:rsidR="00F67E9E" w:rsidRDefault="00F67E9E" w:rsidP="00F67E9E">
      <w:pPr>
        <w:pStyle w:val="Numbered111"/>
        <w:numPr>
          <w:ilvl w:val="2"/>
          <w:numId w:val="273"/>
        </w:numPr>
      </w:pPr>
      <w:r>
        <w:t>where the Supplier is not commercially exploiting that IPR, is not, to the satisfaction of the Authority, using its best endeavours to do so,</w:t>
      </w:r>
    </w:p>
    <w:p w14:paraId="27139A74" w14:textId="77777777" w:rsidR="00F67E9E" w:rsidRDefault="00F67E9E" w:rsidP="00F67E9E">
      <w:pPr>
        <w:pStyle w:val="StdBodyText2"/>
      </w:pPr>
      <w:r>
        <w:t>then, on written request from the Authority:</w:t>
      </w:r>
    </w:p>
    <w:p w14:paraId="3619116F" w14:textId="77777777" w:rsidR="00F67E9E" w:rsidRDefault="00F67E9E" w:rsidP="00F67E9E">
      <w:pPr>
        <w:pStyle w:val="Numbered111"/>
        <w:numPr>
          <w:ilvl w:val="2"/>
          <w:numId w:val="273"/>
        </w:numPr>
      </w:pPr>
      <w:r>
        <w:t xml:space="preserve">the Supplier must promptly assign to the Authority the </w:t>
      </w:r>
      <w:r w:rsidRPr="00016234">
        <w:t>Specially Written Software</w:t>
      </w:r>
      <w:r>
        <w:t>,</w:t>
      </w:r>
      <w:r w:rsidRPr="00016234">
        <w:t xml:space="preserve"> Project Specific IPRs</w:t>
      </w:r>
      <w:r>
        <w:t xml:space="preserve"> and </w:t>
      </w:r>
      <w:r w:rsidRPr="00430DD0">
        <w:t>Software Supporting Materials</w:t>
      </w:r>
      <w:r>
        <w:t>, or any specified items of that IPR; and</w:t>
      </w:r>
    </w:p>
    <w:p w14:paraId="7ABE9920" w14:textId="16818BD6" w:rsidR="00F67E9E" w:rsidRDefault="00F67E9E" w:rsidP="00F67E9E">
      <w:pPr>
        <w:pStyle w:val="Numbered111"/>
        <w:keepNext/>
        <w:numPr>
          <w:ilvl w:val="2"/>
          <w:numId w:val="273"/>
        </w:numPr>
      </w:pPr>
      <w:r>
        <w:t>the licence to the Authority Software, Authority Data and Authority Background IPRs granted under Paragraph </w:t>
      </w:r>
      <w:r>
        <w:fldChar w:fldCharType="begin"/>
      </w:r>
      <w:r>
        <w:instrText xml:space="preserve"> REF _Ref140164815 \r \h  \* MERGEFORMAT </w:instrText>
      </w:r>
      <w:r>
        <w:fldChar w:fldCharType="separate"/>
      </w:r>
      <w:r w:rsidR="00302D39">
        <w:t>6.1</w:t>
      </w:r>
      <w:r>
        <w:fldChar w:fldCharType="end"/>
      </w:r>
      <w:r>
        <w:t xml:space="preserve"> (insofar as it relates to the commercial exploitation of the Project Specific IPR, the Specially Written Software or the Software Supporting Materials)</w:t>
      </w:r>
      <w:r w:rsidRPr="00C4760F">
        <w:t xml:space="preserve"> terminates</w:t>
      </w:r>
      <w:r>
        <w:t xml:space="preserve"> either:</w:t>
      </w:r>
    </w:p>
    <w:p w14:paraId="7D055D9A" w14:textId="77777777" w:rsidR="00F67E9E" w:rsidRDefault="00F67E9E" w:rsidP="00F67E9E">
      <w:pPr>
        <w:pStyle w:val="Numbered111a"/>
        <w:numPr>
          <w:ilvl w:val="3"/>
          <w:numId w:val="273"/>
        </w:numPr>
      </w:pPr>
      <w:r>
        <w:t>on the date specified in the notice; or</w:t>
      </w:r>
    </w:p>
    <w:p w14:paraId="51E4DC3F" w14:textId="77777777" w:rsidR="00F67E9E" w:rsidRDefault="00F67E9E" w:rsidP="00F67E9E">
      <w:pPr>
        <w:pStyle w:val="Numbered111a"/>
        <w:numPr>
          <w:ilvl w:val="3"/>
          <w:numId w:val="273"/>
        </w:numPr>
      </w:pPr>
      <w:r>
        <w:t>where no date is specified in the notice, on the date the notice is received by the Supplier.</w:t>
      </w:r>
    </w:p>
    <w:p w14:paraId="53E24E1A" w14:textId="77777777" w:rsidR="00F67E9E" w:rsidRPr="00A32A56" w:rsidRDefault="00F67E9E" w:rsidP="00F67E9E">
      <w:pPr>
        <w:pStyle w:val="Numbered11"/>
        <w:numPr>
          <w:ilvl w:val="1"/>
          <w:numId w:val="273"/>
        </w:numPr>
      </w:pPr>
      <w:r>
        <w:t>Each Party shall bear its own costs of preparing and executing any assignment required by this Paragraph.</w:t>
      </w:r>
    </w:p>
    <w:p w14:paraId="2BDB26E5" w14:textId="77777777" w:rsidR="00F67E9E" w:rsidRDefault="00F67E9E" w:rsidP="00F67E9E">
      <w:pPr>
        <w:pStyle w:val="Numbered1"/>
        <w:numPr>
          <w:ilvl w:val="0"/>
          <w:numId w:val="273"/>
        </w:numPr>
      </w:pPr>
      <w:bookmarkStart w:id="3763" w:name="_Ref140767308"/>
      <w:r>
        <w:t>Licence of Supplier IPR</w:t>
      </w:r>
      <w:bookmarkEnd w:id="3763"/>
    </w:p>
    <w:p w14:paraId="116FE4CE" w14:textId="26C6092B" w:rsidR="00F67E9E" w:rsidRDefault="00F67E9E" w:rsidP="00F67E9E">
      <w:pPr>
        <w:pStyle w:val="Numbered11"/>
        <w:keepNext/>
        <w:numPr>
          <w:ilvl w:val="1"/>
          <w:numId w:val="273"/>
        </w:numPr>
      </w:pPr>
      <w:bookmarkStart w:id="3764" w:name="_Ref140164143"/>
      <w:r>
        <w:t>The Supplier grants the Authority a licence on the terms set out in Paragraph </w:t>
      </w:r>
      <w:r>
        <w:fldChar w:fldCharType="begin"/>
      </w:r>
      <w:r>
        <w:instrText xml:space="preserve"> REF _Ref140164126 \r \h  \* MERGEFORMAT </w:instrText>
      </w:r>
      <w:r>
        <w:fldChar w:fldCharType="separate"/>
      </w:r>
      <w:r w:rsidR="00302D39">
        <w:t>2.3</w:t>
      </w:r>
      <w:r>
        <w:fldChar w:fldCharType="end"/>
      </w:r>
      <w:r>
        <w:t xml:space="preserve"> in respect of each Deliverable where </w:t>
      </w:r>
      <w:r w:rsidRPr="00016234">
        <w:t>Specially Written Software</w:t>
      </w:r>
      <w:r>
        <w:t>,</w:t>
      </w:r>
      <w:r w:rsidRPr="00016234">
        <w:t xml:space="preserve"> Project Specific IPRs</w:t>
      </w:r>
      <w:r>
        <w:t xml:space="preserve">, </w:t>
      </w:r>
      <w:r w:rsidRPr="00430DD0">
        <w:t>Software Supporting Materials</w:t>
      </w:r>
      <w:r>
        <w:t>, Supplier Software or Supplier Background IPRs are:</w:t>
      </w:r>
      <w:bookmarkEnd w:id="3764"/>
    </w:p>
    <w:p w14:paraId="0CA95C80" w14:textId="77777777" w:rsidR="00F67E9E" w:rsidRDefault="00F67E9E" w:rsidP="00F67E9E">
      <w:pPr>
        <w:pStyle w:val="Numbered111"/>
        <w:numPr>
          <w:ilvl w:val="2"/>
          <w:numId w:val="273"/>
        </w:numPr>
      </w:pPr>
      <w:r>
        <w:t>is embedded in the Deliverable;</w:t>
      </w:r>
    </w:p>
    <w:p w14:paraId="584E4DAD" w14:textId="77777777" w:rsidR="00F67E9E" w:rsidRDefault="00F67E9E" w:rsidP="00F67E9E">
      <w:pPr>
        <w:pStyle w:val="Numbered111"/>
        <w:numPr>
          <w:ilvl w:val="2"/>
          <w:numId w:val="273"/>
        </w:numPr>
      </w:pPr>
      <w:r>
        <w:t>is necessary for the Authority to use the Deliverable;</w:t>
      </w:r>
    </w:p>
    <w:p w14:paraId="4F06C202" w14:textId="77777777" w:rsidR="00F67E9E" w:rsidRDefault="00F67E9E" w:rsidP="00F67E9E">
      <w:pPr>
        <w:pStyle w:val="Numbered111"/>
        <w:numPr>
          <w:ilvl w:val="2"/>
          <w:numId w:val="273"/>
        </w:numPr>
      </w:pPr>
      <w:r>
        <w:t xml:space="preserve">in the case of </w:t>
      </w:r>
      <w:r w:rsidRPr="00016234">
        <w:t>Specially Written Software</w:t>
      </w:r>
      <w:r>
        <w:t>,</w:t>
      </w:r>
      <w:r w:rsidRPr="00016234">
        <w:t xml:space="preserve"> Project Specific IPRs</w:t>
      </w:r>
      <w:r>
        <w:t xml:space="preserve">, </w:t>
      </w:r>
      <w:r w:rsidRPr="00430DD0">
        <w:t>Software Supporting Materials</w:t>
      </w:r>
      <w:r>
        <w:t xml:space="preserve"> is used to provide the Deliverable;</w:t>
      </w:r>
    </w:p>
    <w:p w14:paraId="514DB099" w14:textId="77777777" w:rsidR="00F67E9E" w:rsidRDefault="00F67E9E" w:rsidP="00F67E9E">
      <w:pPr>
        <w:pStyle w:val="Numbered111"/>
        <w:numPr>
          <w:ilvl w:val="2"/>
          <w:numId w:val="273"/>
        </w:numPr>
      </w:pPr>
      <w:r>
        <w:t>in the case of Supplier Software or Supplier Background IPRs has been customised or adapted to create the Deliverable.</w:t>
      </w:r>
    </w:p>
    <w:p w14:paraId="2C7CD0AC" w14:textId="29AFFB34" w:rsidR="00F67E9E" w:rsidRDefault="00F67E9E" w:rsidP="00F67E9E">
      <w:pPr>
        <w:pStyle w:val="Numbered11"/>
        <w:numPr>
          <w:ilvl w:val="1"/>
          <w:numId w:val="273"/>
        </w:numPr>
      </w:pPr>
      <w:r>
        <w:t>The categories of relevant IPR set out in Paragraph </w:t>
      </w:r>
      <w:r>
        <w:fldChar w:fldCharType="begin"/>
      </w:r>
      <w:r>
        <w:instrText xml:space="preserve"> REF _Ref140164143 \r \h  \* MERGEFORMAT </w:instrText>
      </w:r>
      <w:r>
        <w:fldChar w:fldCharType="separate"/>
      </w:r>
      <w:r w:rsidR="00302D39">
        <w:t>2.1</w:t>
      </w:r>
      <w:r>
        <w:fldChar w:fldCharType="end"/>
      </w:r>
      <w:r>
        <w:t xml:space="preserve"> are mutually exclusive.</w:t>
      </w:r>
    </w:p>
    <w:p w14:paraId="4B5E3053" w14:textId="69319B84" w:rsidR="00F67E9E" w:rsidRDefault="00F67E9E" w:rsidP="00F67E9E">
      <w:pPr>
        <w:pStyle w:val="Numbered11"/>
        <w:numPr>
          <w:ilvl w:val="1"/>
          <w:numId w:val="273"/>
        </w:numPr>
      </w:pPr>
      <w:bookmarkStart w:id="3765" w:name="_Ref140164126"/>
      <w:r>
        <w:t>The licence referred to in Paragraph </w:t>
      </w:r>
      <w:r>
        <w:fldChar w:fldCharType="begin"/>
      </w:r>
      <w:r>
        <w:instrText xml:space="preserve"> REF _Ref140164143 \r \h  \* MERGEFORMAT </w:instrText>
      </w:r>
      <w:r>
        <w:fldChar w:fldCharType="separate"/>
      </w:r>
      <w:r w:rsidR="00302D39">
        <w:t>2.1</w:t>
      </w:r>
      <w:r>
        <w:fldChar w:fldCharType="end"/>
      </w:r>
      <w:r>
        <w:t xml:space="preserve"> is a perpetual, non-exclusive, royalty-free, irrevocable, transferable, sub-licensable, worldwide licence that:</w:t>
      </w:r>
      <w:bookmarkEnd w:id="3765"/>
    </w:p>
    <w:p w14:paraId="7770B1D2" w14:textId="77777777" w:rsidR="00F67E9E" w:rsidRDefault="00F67E9E" w:rsidP="00F67E9E">
      <w:pPr>
        <w:pStyle w:val="Numbered111"/>
        <w:keepNext/>
        <w:numPr>
          <w:ilvl w:val="2"/>
          <w:numId w:val="273"/>
        </w:numPr>
      </w:pPr>
      <w:r>
        <w:t>in the case of relevant IPR embedded in a Deliverable, is used to provide the Deliverable, or where the relevant IPR has been customised or adapted to create the Deliverable:</w:t>
      </w:r>
    </w:p>
    <w:p w14:paraId="3962C50B" w14:textId="77777777" w:rsidR="00F67E9E" w:rsidRDefault="00F67E9E" w:rsidP="00F67E9E">
      <w:pPr>
        <w:pStyle w:val="Numbered111a"/>
        <w:numPr>
          <w:ilvl w:val="3"/>
          <w:numId w:val="273"/>
        </w:numPr>
      </w:pPr>
      <w:r>
        <w:t>is sub-licensable;</w:t>
      </w:r>
    </w:p>
    <w:p w14:paraId="1D2E054C" w14:textId="77777777" w:rsidR="00F67E9E" w:rsidRDefault="00F67E9E" w:rsidP="00F67E9E">
      <w:pPr>
        <w:pStyle w:val="Numbered111a"/>
        <w:numPr>
          <w:ilvl w:val="3"/>
          <w:numId w:val="273"/>
        </w:numPr>
      </w:pPr>
      <w:bookmarkStart w:id="3766" w:name="_Ref140164414"/>
      <w:r>
        <w:t>has no restriction on the identity of any transferee or sub-licensee;</w:t>
      </w:r>
      <w:bookmarkEnd w:id="3766"/>
    </w:p>
    <w:p w14:paraId="098E0755" w14:textId="1E9519F7" w:rsidR="00F67E9E" w:rsidRDefault="00F67E9E" w:rsidP="00F67E9E">
      <w:pPr>
        <w:pStyle w:val="Numbered111a"/>
        <w:numPr>
          <w:ilvl w:val="3"/>
          <w:numId w:val="273"/>
        </w:numPr>
      </w:pPr>
      <w:r>
        <w:t>allows the Authority and any transferee or sub-licensee to use, copy and adapt the relevant IPR for any of the purposes set out in Paragraph </w:t>
      </w:r>
      <w:r>
        <w:fldChar w:fldCharType="begin"/>
      </w:r>
      <w:r>
        <w:instrText xml:space="preserve"> REF _Ref140164180 \r \h  \* MERGEFORMAT </w:instrText>
      </w:r>
      <w:r>
        <w:fldChar w:fldCharType="separate"/>
      </w:r>
      <w:r w:rsidR="00302D39">
        <w:t>2.4</w:t>
      </w:r>
      <w:r>
        <w:fldChar w:fldCharType="end"/>
      </w:r>
      <w:r>
        <w:t>;</w:t>
      </w:r>
    </w:p>
    <w:p w14:paraId="28BC0FBD" w14:textId="77777777" w:rsidR="00F67E9E" w:rsidRPr="007E15D7" w:rsidRDefault="00F67E9E" w:rsidP="00F67E9E">
      <w:pPr>
        <w:pStyle w:val="Numbered111"/>
        <w:keepNext/>
        <w:numPr>
          <w:ilvl w:val="2"/>
          <w:numId w:val="273"/>
        </w:numPr>
      </w:pPr>
      <w:r w:rsidRPr="007E15D7">
        <w:t xml:space="preserve">in the case of </w:t>
      </w:r>
      <w:r>
        <w:t>relevant IPR</w:t>
      </w:r>
      <w:r w:rsidRPr="007E15D7">
        <w:t xml:space="preserve"> that is necessary for the </w:t>
      </w:r>
      <w:r>
        <w:t>Authority</w:t>
      </w:r>
      <w:r w:rsidRPr="007E15D7">
        <w:t xml:space="preserve"> to </w:t>
      </w:r>
      <w:r>
        <w:t xml:space="preserve">receive or </w:t>
      </w:r>
      <w:r w:rsidRPr="007E15D7">
        <w:t>use the Deliverable:</w:t>
      </w:r>
    </w:p>
    <w:p w14:paraId="51B4808E" w14:textId="1F576AF0" w:rsidR="00F67E9E" w:rsidRDefault="00F67E9E" w:rsidP="00F67E9E">
      <w:pPr>
        <w:pStyle w:val="Numbered111a"/>
        <w:numPr>
          <w:ilvl w:val="3"/>
          <w:numId w:val="273"/>
        </w:numPr>
      </w:pPr>
      <w:r>
        <w:t>allows the Authority and any transferee or sublicensee to use and copy, but not adapt, disassemble or reverse engineer the relevant IPR for any of the purposes set out in Paragraph </w:t>
      </w:r>
      <w:r>
        <w:fldChar w:fldCharType="begin"/>
      </w:r>
      <w:r>
        <w:instrText xml:space="preserve"> REF _Ref140164180 \r \h  \* MERGEFORMAT </w:instrText>
      </w:r>
      <w:r>
        <w:fldChar w:fldCharType="separate"/>
      </w:r>
      <w:r w:rsidR="00302D39">
        <w:t>2.4</w:t>
      </w:r>
      <w:r>
        <w:fldChar w:fldCharType="end"/>
      </w:r>
      <w:r>
        <w:t>;</w:t>
      </w:r>
    </w:p>
    <w:p w14:paraId="14B49896" w14:textId="77777777" w:rsidR="00F67E9E" w:rsidRDefault="00F67E9E" w:rsidP="00F67E9E">
      <w:pPr>
        <w:pStyle w:val="Numbered111a"/>
        <w:keepNext/>
        <w:numPr>
          <w:ilvl w:val="3"/>
          <w:numId w:val="273"/>
        </w:numPr>
      </w:pPr>
      <w:bookmarkStart w:id="3767" w:name="_Ref140164445"/>
      <w:r>
        <w:t>is transferrable to only:</w:t>
      </w:r>
      <w:bookmarkEnd w:id="3767"/>
    </w:p>
    <w:p w14:paraId="6F4E7387" w14:textId="77777777" w:rsidR="00F67E9E" w:rsidRDefault="00F67E9E" w:rsidP="00F67E9E">
      <w:pPr>
        <w:pStyle w:val="Numbered111ai"/>
        <w:numPr>
          <w:ilvl w:val="4"/>
          <w:numId w:val="273"/>
        </w:numPr>
      </w:pPr>
      <w:r>
        <w:t>a Crown Body;</w:t>
      </w:r>
    </w:p>
    <w:p w14:paraId="2FB2F55C" w14:textId="77777777" w:rsidR="00F67E9E" w:rsidRDefault="00F67E9E" w:rsidP="00F67E9E">
      <w:pPr>
        <w:pStyle w:val="Numbered111ai"/>
        <w:numPr>
          <w:ilvl w:val="4"/>
          <w:numId w:val="273"/>
        </w:numPr>
      </w:pPr>
      <w:r w:rsidRPr="00E36B93">
        <w:t xml:space="preserve">any body (including any private sector body) </w:t>
      </w:r>
      <w:r>
        <w:t>that</w:t>
      </w:r>
      <w:r w:rsidRPr="00E36B93">
        <w:t xml:space="preserve"> performs or carries </w:t>
      </w:r>
      <w:r>
        <w:t xml:space="preserve">out </w:t>
      </w:r>
      <w:r w:rsidRPr="00E36B93">
        <w:t xml:space="preserve">any of the functions or activities that </w:t>
      </w:r>
      <w:r>
        <w:t xml:space="preserve">the Authority </w:t>
      </w:r>
      <w:r w:rsidRPr="00E36B93">
        <w:t xml:space="preserve">had </w:t>
      </w:r>
      <w:r>
        <w:t xml:space="preserve">previously </w:t>
      </w:r>
      <w:r w:rsidRPr="00E36B93">
        <w:t xml:space="preserve">performed </w:t>
      </w:r>
      <w:r>
        <w:t xml:space="preserve">or </w:t>
      </w:r>
      <w:r w:rsidRPr="00E36B93">
        <w:t xml:space="preserve">carried </w:t>
      </w:r>
      <w:r>
        <w:t>out; or</w:t>
      </w:r>
    </w:p>
    <w:p w14:paraId="2B1D4C7E" w14:textId="77777777" w:rsidR="00694991" w:rsidRDefault="00F67E9E" w:rsidP="00694991">
      <w:pPr>
        <w:pStyle w:val="Numbered111ai"/>
        <w:numPr>
          <w:ilvl w:val="4"/>
          <w:numId w:val="273"/>
        </w:numPr>
      </w:pPr>
      <w:r>
        <w:t>a person or organisation that is not a direct competitor of the Supplier</w:t>
      </w:r>
      <w:r w:rsidR="00694991">
        <w:t>, where that transferee:</w:t>
      </w:r>
    </w:p>
    <w:p w14:paraId="1E0C4D0D" w14:textId="5B7D8101" w:rsidR="00694991" w:rsidRDefault="00694991" w:rsidP="00694991">
      <w:pPr>
        <w:pStyle w:val="Numbered111ai"/>
        <w:numPr>
          <w:ilvl w:val="5"/>
          <w:numId w:val="273"/>
        </w:numPr>
      </w:pPr>
      <w:r>
        <w:t xml:space="preserve">enters into a direct arrangement with the Supplier in the form set out in </w:t>
      </w:r>
      <w:r>
        <w:fldChar w:fldCharType="begin"/>
      </w:r>
      <w:r>
        <w:instrText xml:space="preserve"> REF Annex1toschedule12 \h </w:instrText>
      </w:r>
      <w:r>
        <w:fldChar w:fldCharType="separate"/>
      </w:r>
      <w:r w:rsidRPr="00477926">
        <w:t xml:space="preserve">Annex </w:t>
      </w:r>
      <w:r>
        <w:t>1</w:t>
      </w:r>
      <w:r>
        <w:fldChar w:fldCharType="end"/>
      </w:r>
      <w:r>
        <w:t xml:space="preserve"> of </w:t>
      </w:r>
      <w:r>
        <w:fldChar w:fldCharType="begin"/>
      </w:r>
      <w:r>
        <w:instrText xml:space="preserve"> REF Schedule12 \h </w:instrText>
      </w:r>
      <w:r>
        <w:fldChar w:fldCharType="separate"/>
      </w:r>
      <w:r w:rsidRPr="005D0525">
        <w:t>Schedule</w:t>
      </w:r>
      <w:r>
        <w:t> </w:t>
      </w:r>
      <w:r w:rsidRPr="005D0525">
        <w:t>12</w:t>
      </w:r>
      <w:r>
        <w:fldChar w:fldCharType="end"/>
      </w:r>
      <w:r w:rsidRPr="00A550B3">
        <w:t xml:space="preserve"> (</w:t>
      </w:r>
      <w:r w:rsidRPr="00212E6C">
        <w:rPr>
          <w:i/>
          <w:iCs/>
        </w:rPr>
        <w:fldChar w:fldCharType="begin"/>
      </w:r>
      <w:r w:rsidRPr="00212E6C">
        <w:rPr>
          <w:i/>
          <w:iCs/>
        </w:rPr>
        <w:instrText xml:space="preserve"> REF Schedule12Heading \h  \* MERGEFORMAT </w:instrText>
      </w:r>
      <w:r w:rsidRPr="00212E6C">
        <w:rPr>
          <w:i/>
          <w:iCs/>
        </w:rPr>
      </w:r>
      <w:r w:rsidRPr="00212E6C">
        <w:rPr>
          <w:i/>
          <w:iCs/>
        </w:rPr>
        <w:fldChar w:fldCharType="separate"/>
      </w:r>
      <w:r w:rsidRPr="00302D39">
        <w:rPr>
          <w:i/>
          <w:iCs/>
        </w:rPr>
        <w:t>Software</w:t>
      </w:r>
      <w:r w:rsidRPr="00212E6C">
        <w:rPr>
          <w:i/>
          <w:iCs/>
        </w:rPr>
        <w:fldChar w:fldCharType="end"/>
      </w:r>
      <w:r w:rsidRPr="00A550B3">
        <w:t>)</w:t>
      </w:r>
      <w:r>
        <w:t>; or</w:t>
      </w:r>
    </w:p>
    <w:p w14:paraId="58F4A5F1" w14:textId="77777777" w:rsidR="00694991" w:rsidRDefault="00694991" w:rsidP="00694991">
      <w:pPr>
        <w:pStyle w:val="Numbered111ai"/>
        <w:numPr>
          <w:ilvl w:val="5"/>
          <w:numId w:val="273"/>
        </w:numPr>
      </w:pPr>
      <w:r>
        <w:t>enters into a confidentiality arrangement with the Authority in terms equivalent to those set out in set out in Clause 19 (</w:t>
      </w:r>
      <w:r w:rsidRPr="00694991">
        <w:rPr>
          <w:i/>
          <w:iCs/>
        </w:rPr>
        <w:t>Confidentiality</w:t>
      </w:r>
      <w:r>
        <w:t xml:space="preserve">); </w:t>
      </w:r>
    </w:p>
    <w:p w14:paraId="5345C265" w14:textId="70C3A166" w:rsidR="00694991" w:rsidRDefault="00F67E9E" w:rsidP="00694991">
      <w:pPr>
        <w:pStyle w:val="Numbered111a"/>
        <w:numPr>
          <w:ilvl w:val="3"/>
          <w:numId w:val="273"/>
        </w:numPr>
      </w:pPr>
      <w:r w:rsidRPr="007E15D7">
        <w:t>is sub-licensable to the Replacement Supplier (including where the Replacement Supplier is a competitor of the Supplier)</w:t>
      </w:r>
      <w:r w:rsidR="00694991" w:rsidRPr="00694991">
        <w:t xml:space="preserve"> </w:t>
      </w:r>
      <w:r w:rsidR="00694991">
        <w:t>where the Replacement Supplier:</w:t>
      </w:r>
    </w:p>
    <w:p w14:paraId="363F9015" w14:textId="13DB4B42" w:rsidR="00694991" w:rsidRDefault="00694991" w:rsidP="00694991">
      <w:pPr>
        <w:pStyle w:val="Numbered111a"/>
        <w:numPr>
          <w:ilvl w:val="4"/>
          <w:numId w:val="273"/>
        </w:numPr>
      </w:pPr>
      <w:r>
        <w:t xml:space="preserve">enters into a direct arrangement with the Supplier in the form set out in </w:t>
      </w:r>
      <w:r>
        <w:fldChar w:fldCharType="begin"/>
      </w:r>
      <w:r>
        <w:instrText xml:space="preserve"> REF Annex1toschedule12 \h </w:instrText>
      </w:r>
      <w:r>
        <w:fldChar w:fldCharType="separate"/>
      </w:r>
      <w:r w:rsidRPr="00477926">
        <w:t xml:space="preserve">Annex </w:t>
      </w:r>
      <w:r>
        <w:t>1</w:t>
      </w:r>
      <w:r>
        <w:fldChar w:fldCharType="end"/>
      </w:r>
      <w:r>
        <w:t xml:space="preserve"> of </w:t>
      </w:r>
      <w:r>
        <w:fldChar w:fldCharType="begin"/>
      </w:r>
      <w:r>
        <w:instrText xml:space="preserve"> REF Schedule12 \h </w:instrText>
      </w:r>
      <w:r>
        <w:fldChar w:fldCharType="separate"/>
      </w:r>
      <w:r w:rsidRPr="005D0525">
        <w:t>Schedule</w:t>
      </w:r>
      <w:r>
        <w:t> </w:t>
      </w:r>
      <w:r w:rsidRPr="005D0525">
        <w:t>12</w:t>
      </w:r>
      <w:r>
        <w:fldChar w:fldCharType="end"/>
      </w:r>
      <w:r w:rsidRPr="00A550B3">
        <w:t xml:space="preserve"> (</w:t>
      </w:r>
      <w:r w:rsidRPr="00212E6C">
        <w:rPr>
          <w:i/>
          <w:iCs/>
        </w:rPr>
        <w:fldChar w:fldCharType="begin"/>
      </w:r>
      <w:r w:rsidRPr="00212E6C">
        <w:rPr>
          <w:i/>
          <w:iCs/>
        </w:rPr>
        <w:instrText xml:space="preserve"> REF Schedule12Heading \h  \* MERGEFORMAT </w:instrText>
      </w:r>
      <w:r w:rsidRPr="00212E6C">
        <w:rPr>
          <w:i/>
          <w:iCs/>
        </w:rPr>
      </w:r>
      <w:r w:rsidRPr="00212E6C">
        <w:rPr>
          <w:i/>
          <w:iCs/>
        </w:rPr>
        <w:fldChar w:fldCharType="separate"/>
      </w:r>
      <w:r w:rsidRPr="00302D39">
        <w:rPr>
          <w:i/>
          <w:iCs/>
        </w:rPr>
        <w:t>Software</w:t>
      </w:r>
      <w:r w:rsidRPr="00212E6C">
        <w:rPr>
          <w:i/>
          <w:iCs/>
        </w:rPr>
        <w:fldChar w:fldCharType="end"/>
      </w:r>
      <w:r w:rsidRPr="00A550B3">
        <w:t>)</w:t>
      </w:r>
      <w:r>
        <w:t>; or</w:t>
      </w:r>
    </w:p>
    <w:p w14:paraId="3F8744FA" w14:textId="77777777" w:rsidR="00694991" w:rsidRDefault="00694991" w:rsidP="00694991">
      <w:pPr>
        <w:pStyle w:val="Numbered111a"/>
        <w:numPr>
          <w:ilvl w:val="4"/>
          <w:numId w:val="273"/>
        </w:numPr>
      </w:pPr>
      <w:r>
        <w:t>enters into a confidentiality arrangement with the Authority in terms equivalent to those set out in set out in Clause 19 (</w:t>
      </w:r>
      <w:r w:rsidRPr="00694991">
        <w:rPr>
          <w:i/>
          <w:iCs/>
        </w:rPr>
        <w:t>Confidentiality</w:t>
      </w:r>
      <w:r>
        <w:t>);</w:t>
      </w:r>
    </w:p>
    <w:p w14:paraId="235B05FF" w14:textId="77777777" w:rsidR="00F67E9E" w:rsidRDefault="00F67E9E" w:rsidP="00F67E9E">
      <w:pPr>
        <w:pStyle w:val="Numbered111"/>
        <w:keepNext/>
        <w:numPr>
          <w:ilvl w:val="2"/>
          <w:numId w:val="273"/>
        </w:numPr>
      </w:pPr>
      <w:r>
        <w:t>expires at the later of</w:t>
      </w:r>
    </w:p>
    <w:p w14:paraId="7601D99B" w14:textId="77777777" w:rsidR="00F67E9E" w:rsidRDefault="00F67E9E" w:rsidP="00F67E9E">
      <w:pPr>
        <w:pStyle w:val="Numbered111a"/>
        <w:numPr>
          <w:ilvl w:val="3"/>
          <w:numId w:val="273"/>
        </w:numPr>
      </w:pPr>
      <w:r>
        <w:t>the expiry of the Term; or</w:t>
      </w:r>
    </w:p>
    <w:p w14:paraId="40060492" w14:textId="77777777" w:rsidR="00F67E9E" w:rsidRDefault="00F67E9E" w:rsidP="00F67E9E">
      <w:pPr>
        <w:pStyle w:val="Numbered111a"/>
        <w:numPr>
          <w:ilvl w:val="3"/>
          <w:numId w:val="273"/>
        </w:numPr>
      </w:pPr>
      <w:r>
        <w:t>the expiry of any Termination Assistance Period; and</w:t>
      </w:r>
    </w:p>
    <w:p w14:paraId="41EA3938" w14:textId="77777777" w:rsidR="00F67E9E" w:rsidRDefault="00F67E9E" w:rsidP="00F67E9E">
      <w:pPr>
        <w:pStyle w:val="Numbered111"/>
        <w:keepNext/>
        <w:numPr>
          <w:ilvl w:val="2"/>
          <w:numId w:val="273"/>
        </w:numPr>
      </w:pPr>
      <w:r>
        <w:t>is subject to the restrictions that</w:t>
      </w:r>
    </w:p>
    <w:p w14:paraId="51A1ED90" w14:textId="77777777" w:rsidR="00F67E9E" w:rsidRDefault="00F67E9E" w:rsidP="00F67E9E">
      <w:pPr>
        <w:pStyle w:val="Numbered111a"/>
        <w:keepNext/>
        <w:numPr>
          <w:ilvl w:val="3"/>
          <w:numId w:val="273"/>
        </w:numPr>
      </w:pPr>
      <w:r>
        <w:t>each transferee or sub-licensee either:</w:t>
      </w:r>
    </w:p>
    <w:p w14:paraId="4C238D72" w14:textId="0EEE12CE" w:rsidR="00F67E9E" w:rsidRDefault="00F67E9E" w:rsidP="00F67E9E">
      <w:pPr>
        <w:pStyle w:val="Numbered111ai"/>
        <w:numPr>
          <w:ilvl w:val="4"/>
          <w:numId w:val="273"/>
        </w:numPr>
      </w:pPr>
      <w:r>
        <w:t xml:space="preserve">enters into a direct arrangement with the Supplier in the form set out in </w:t>
      </w:r>
      <w:r>
        <w:fldChar w:fldCharType="begin"/>
      </w:r>
      <w:r>
        <w:instrText xml:space="preserve"> REF Annex1toschedule12 \h </w:instrText>
      </w:r>
      <w:r>
        <w:fldChar w:fldCharType="separate"/>
      </w:r>
      <w:r w:rsidR="00302D39" w:rsidRPr="00477926">
        <w:t xml:space="preserve">Annex </w:t>
      </w:r>
      <w:r w:rsidR="00302D39">
        <w:t>1</w:t>
      </w:r>
      <w:r>
        <w:fldChar w:fldCharType="end"/>
      </w:r>
      <w:r>
        <w:t xml:space="preserve"> to </w:t>
      </w:r>
      <w:r>
        <w:fldChar w:fldCharType="begin"/>
      </w:r>
      <w:r>
        <w:instrText xml:space="preserve"> REF Schedule12 \h </w:instrText>
      </w:r>
      <w:r>
        <w:fldChar w:fldCharType="separate"/>
      </w:r>
      <w:r w:rsidR="00302D39" w:rsidRPr="005D0525">
        <w:t>Schedule</w:t>
      </w:r>
      <w:r w:rsidR="00302D39">
        <w:t> </w:t>
      </w:r>
      <w:r w:rsidR="00302D39" w:rsidRPr="005D0525">
        <w:t>12</w:t>
      </w:r>
      <w:r>
        <w:fldChar w:fldCharType="end"/>
      </w:r>
      <w:r w:rsidRPr="00A550B3">
        <w:t xml:space="preserve"> (</w:t>
      </w:r>
      <w:r w:rsidRPr="00212E6C">
        <w:rPr>
          <w:i/>
          <w:iCs/>
        </w:rPr>
        <w:fldChar w:fldCharType="begin"/>
      </w:r>
      <w:r w:rsidRPr="00212E6C">
        <w:rPr>
          <w:i/>
          <w:iCs/>
        </w:rPr>
        <w:instrText xml:space="preserve"> REF Schedule12Heading \h  \* MERGEFORMAT </w:instrText>
      </w:r>
      <w:r w:rsidRPr="00212E6C">
        <w:rPr>
          <w:i/>
          <w:iCs/>
        </w:rPr>
      </w:r>
      <w:r w:rsidRPr="00212E6C">
        <w:rPr>
          <w:i/>
          <w:iCs/>
        </w:rPr>
        <w:fldChar w:fldCharType="separate"/>
      </w:r>
      <w:r w:rsidR="00302D39" w:rsidRPr="00302D39">
        <w:rPr>
          <w:i/>
          <w:iCs/>
        </w:rPr>
        <w:t>Software</w:t>
      </w:r>
      <w:r w:rsidRPr="00212E6C">
        <w:rPr>
          <w:i/>
          <w:iCs/>
        </w:rPr>
        <w:fldChar w:fldCharType="end"/>
      </w:r>
      <w:r w:rsidRPr="00A550B3">
        <w:t>)</w:t>
      </w:r>
      <w:r>
        <w:t>; or</w:t>
      </w:r>
    </w:p>
    <w:p w14:paraId="0AF629FB" w14:textId="77777777" w:rsidR="00F67E9E" w:rsidRDefault="00F67E9E" w:rsidP="00F67E9E">
      <w:pPr>
        <w:pStyle w:val="Numbered111ai"/>
        <w:numPr>
          <w:ilvl w:val="4"/>
          <w:numId w:val="273"/>
        </w:numPr>
      </w:pPr>
      <w:r>
        <w:t xml:space="preserve">enters into a confidentiality arrangement with the Authority in terms equivalent to those set out in </w:t>
      </w:r>
      <w:r w:rsidRPr="00E36B93">
        <w:t xml:space="preserve">set out in </w:t>
      </w:r>
      <w:r>
        <w:t>Clause 19 (</w:t>
      </w:r>
      <w:r>
        <w:rPr>
          <w:i/>
          <w:iCs/>
        </w:rPr>
        <w:t>Confidentiality</w:t>
      </w:r>
      <w:r>
        <w:t>)</w:t>
      </w:r>
      <w:r w:rsidDel="008B3791">
        <w:t xml:space="preserve"> </w:t>
      </w:r>
      <w:r>
        <w:t>; and</w:t>
      </w:r>
    </w:p>
    <w:p w14:paraId="20B53450" w14:textId="77777777" w:rsidR="00F67E9E" w:rsidRDefault="00F67E9E" w:rsidP="00F67E9E">
      <w:pPr>
        <w:pStyle w:val="Numbered111a"/>
        <w:numPr>
          <w:ilvl w:val="3"/>
          <w:numId w:val="273"/>
        </w:numPr>
      </w:pPr>
      <w:r>
        <w:t>no sub-licence granted to the relevant IPR shall purport to provide the sub-licensee with any wider rights than those granted to the Authority under this Paragraph.</w:t>
      </w:r>
    </w:p>
    <w:p w14:paraId="62A4A864" w14:textId="4B863431" w:rsidR="00F67E9E" w:rsidRDefault="00F67E9E" w:rsidP="00F67E9E">
      <w:pPr>
        <w:pStyle w:val="Numbered11"/>
        <w:keepNext/>
        <w:numPr>
          <w:ilvl w:val="1"/>
          <w:numId w:val="273"/>
        </w:numPr>
      </w:pPr>
      <w:bookmarkStart w:id="3768" w:name="_Ref140164180"/>
      <w:r>
        <w:t>For the purposes of Paragraphs </w:t>
      </w:r>
      <w:r>
        <w:fldChar w:fldCharType="begin"/>
      </w:r>
      <w:r>
        <w:instrText xml:space="preserve"> REF _Ref140164143 \r \h  \* MERGEFORMAT </w:instrText>
      </w:r>
      <w:r>
        <w:fldChar w:fldCharType="separate"/>
      </w:r>
      <w:r w:rsidR="00302D39">
        <w:t>2.1</w:t>
      </w:r>
      <w:r>
        <w:fldChar w:fldCharType="end"/>
      </w:r>
      <w:r>
        <w:t xml:space="preserve"> and </w:t>
      </w:r>
      <w:r>
        <w:fldChar w:fldCharType="begin"/>
      </w:r>
      <w:r>
        <w:instrText xml:space="preserve"> REF _Ref140164126 \r \h  \* MERGEFORMAT </w:instrText>
      </w:r>
      <w:r>
        <w:fldChar w:fldCharType="separate"/>
      </w:r>
      <w:r w:rsidR="00302D39">
        <w:t>2.3</w:t>
      </w:r>
      <w:r>
        <w:fldChar w:fldCharType="end"/>
      </w:r>
      <w:r>
        <w:t>, the relevant purposes are:</w:t>
      </w:r>
      <w:bookmarkEnd w:id="3768"/>
    </w:p>
    <w:p w14:paraId="61DD0188" w14:textId="77777777" w:rsidR="00F67E9E" w:rsidRDefault="00F67E9E" w:rsidP="00F67E9E">
      <w:pPr>
        <w:pStyle w:val="Numbered111"/>
        <w:numPr>
          <w:ilvl w:val="2"/>
          <w:numId w:val="273"/>
        </w:numPr>
      </w:pPr>
      <w:r>
        <w:t>to allow the Authority or any End User to receive and use the Deliverables; and</w:t>
      </w:r>
    </w:p>
    <w:p w14:paraId="7690AC40" w14:textId="77777777" w:rsidR="00F67E9E" w:rsidRDefault="00F67E9E" w:rsidP="00F67E9E">
      <w:pPr>
        <w:pStyle w:val="Numbered111"/>
        <w:numPr>
          <w:ilvl w:val="2"/>
          <w:numId w:val="273"/>
        </w:numPr>
      </w:pPr>
      <w:r>
        <w:t>for any purpose relating to the exercise of the Authority’s (or, if the Authority is a Public Sector Body, any other Public Sector Body’s) business or function.</w:t>
      </w:r>
    </w:p>
    <w:p w14:paraId="272CF808" w14:textId="77777777" w:rsidR="00F67E9E" w:rsidRDefault="00F67E9E" w:rsidP="00F67E9E">
      <w:pPr>
        <w:pStyle w:val="Numbered11"/>
        <w:keepNext/>
        <w:numPr>
          <w:ilvl w:val="1"/>
          <w:numId w:val="273"/>
        </w:numPr>
      </w:pPr>
      <w:bookmarkStart w:id="3769" w:name="_Ref140164477"/>
      <w:r>
        <w:t>Where the legal status of the Authority changes, such that it ceases to be a Crown Body:</w:t>
      </w:r>
      <w:bookmarkEnd w:id="3769"/>
    </w:p>
    <w:p w14:paraId="03340A3A" w14:textId="5E641CFD" w:rsidR="00F67E9E" w:rsidRDefault="00F67E9E" w:rsidP="00F67E9E">
      <w:pPr>
        <w:pStyle w:val="Numbered111"/>
        <w:numPr>
          <w:ilvl w:val="2"/>
          <w:numId w:val="273"/>
        </w:numPr>
      </w:pPr>
      <w:r>
        <w:t>the licence granted under Paragraph </w:t>
      </w:r>
      <w:r>
        <w:fldChar w:fldCharType="begin"/>
      </w:r>
      <w:r>
        <w:instrText xml:space="preserve"> REF _Ref140164126 \r \h  \* MERGEFORMAT </w:instrText>
      </w:r>
      <w:r>
        <w:fldChar w:fldCharType="separate"/>
      </w:r>
      <w:r w:rsidR="00302D39">
        <w:t>2.3</w:t>
      </w:r>
      <w:r>
        <w:fldChar w:fldCharType="end"/>
      </w:r>
      <w:r>
        <w:t xml:space="preserve"> is unaffected; and</w:t>
      </w:r>
    </w:p>
    <w:p w14:paraId="7E78F2D6" w14:textId="707057CC" w:rsidR="00F67E9E" w:rsidRDefault="00F67E9E" w:rsidP="00F67E9E">
      <w:pPr>
        <w:pStyle w:val="Numbered111"/>
        <w:numPr>
          <w:ilvl w:val="2"/>
          <w:numId w:val="273"/>
        </w:numPr>
      </w:pPr>
      <w:r>
        <w:t>any successor body of the Authority that is a Crown Body shall have the benefit of the licence granted under Paragraph </w:t>
      </w:r>
      <w:r>
        <w:fldChar w:fldCharType="begin"/>
      </w:r>
      <w:r>
        <w:instrText xml:space="preserve"> REF _Ref140164126 \r \h  \* MERGEFORMAT </w:instrText>
      </w:r>
      <w:r>
        <w:fldChar w:fldCharType="separate"/>
      </w:r>
      <w:r w:rsidR="00302D39">
        <w:t>2.3</w:t>
      </w:r>
      <w:r>
        <w:fldChar w:fldCharType="end"/>
      </w:r>
      <w:r>
        <w:t>.</w:t>
      </w:r>
    </w:p>
    <w:p w14:paraId="0108FC8D" w14:textId="17BD2A0B" w:rsidR="00F67E9E" w:rsidRDefault="00F67E9E" w:rsidP="00F67E9E">
      <w:pPr>
        <w:pStyle w:val="Numbered11"/>
        <w:numPr>
          <w:ilvl w:val="1"/>
          <w:numId w:val="273"/>
        </w:numPr>
      </w:pPr>
      <w:r>
        <w:t>Where the licence granted under Paragraph </w:t>
      </w:r>
      <w:r>
        <w:fldChar w:fldCharType="begin"/>
      </w:r>
      <w:r>
        <w:instrText xml:space="preserve"> REF _Ref140164126 \r \h  \* MERGEFORMAT </w:instrText>
      </w:r>
      <w:r>
        <w:fldChar w:fldCharType="separate"/>
      </w:r>
      <w:r w:rsidR="00302D39">
        <w:t>2.3</w:t>
      </w:r>
      <w:r>
        <w:fldChar w:fldCharType="end"/>
      </w:r>
      <w:r>
        <w:t xml:space="preserve"> is transferred under Paragraph </w:t>
      </w:r>
      <w:r>
        <w:fldChar w:fldCharType="begin"/>
      </w:r>
      <w:r>
        <w:instrText xml:space="preserve"> REF _Ref140164414 \r \h  \* MERGEFORMAT </w:instrText>
      </w:r>
      <w:r>
        <w:fldChar w:fldCharType="separate"/>
      </w:r>
      <w:r w:rsidR="00302D39">
        <w:t>2.3.1(b)</w:t>
      </w:r>
      <w:r>
        <w:fldChar w:fldCharType="end"/>
      </w:r>
      <w:r>
        <w:t xml:space="preserve"> or </w:t>
      </w:r>
      <w:r>
        <w:fldChar w:fldCharType="begin"/>
      </w:r>
      <w:r>
        <w:instrText xml:space="preserve"> REF _Ref140164445 \r \h  \* MERGEFORMAT </w:instrText>
      </w:r>
      <w:r>
        <w:fldChar w:fldCharType="separate"/>
      </w:r>
      <w:r w:rsidR="00302D39">
        <w:t>2.3.2(b)</w:t>
      </w:r>
      <w:r>
        <w:fldChar w:fldCharType="end"/>
      </w:r>
      <w:r>
        <w:t xml:space="preserve"> or there is a change in the Authority’s legal status to which Paragraph </w:t>
      </w:r>
      <w:r>
        <w:fldChar w:fldCharType="begin"/>
      </w:r>
      <w:r>
        <w:instrText xml:space="preserve"> REF _Ref140164477 \r \h  \* MERGEFORMAT </w:instrText>
      </w:r>
      <w:r>
        <w:fldChar w:fldCharType="separate"/>
      </w:r>
      <w:r w:rsidR="00302D39">
        <w:t>2.5</w:t>
      </w:r>
      <w:r>
        <w:fldChar w:fldCharType="end"/>
      </w:r>
      <w:r>
        <w:t xml:space="preserve"> applies, the transferee or successor body do not acquire any wider rights than those granted to the Authority under this Paragraph.</w:t>
      </w:r>
    </w:p>
    <w:p w14:paraId="50CD5A8E" w14:textId="77777777" w:rsidR="00F67E9E" w:rsidRDefault="00F67E9E" w:rsidP="00F67E9E">
      <w:pPr>
        <w:pStyle w:val="Numbered1"/>
        <w:numPr>
          <w:ilvl w:val="0"/>
          <w:numId w:val="273"/>
        </w:numPr>
      </w:pPr>
      <w:bookmarkStart w:id="3770" w:name="_Ref140164769"/>
      <w:r>
        <w:t>Authority approval for Supplier to exploit Authority IPR</w:t>
      </w:r>
      <w:bookmarkEnd w:id="3770"/>
    </w:p>
    <w:p w14:paraId="7117CF4D" w14:textId="77777777" w:rsidR="00F67E9E" w:rsidRDefault="00F67E9E" w:rsidP="00F67E9E">
      <w:pPr>
        <w:pStyle w:val="Numbered11"/>
        <w:keepNext/>
        <w:numPr>
          <w:ilvl w:val="1"/>
          <w:numId w:val="273"/>
        </w:numPr>
      </w:pPr>
      <w:r>
        <w:t>Before using, copying or adapting any:</w:t>
      </w:r>
    </w:p>
    <w:p w14:paraId="3978C0D9" w14:textId="77777777" w:rsidR="00F67E9E" w:rsidRDefault="00F67E9E" w:rsidP="00F67E9E">
      <w:pPr>
        <w:pStyle w:val="Numbered111"/>
        <w:numPr>
          <w:ilvl w:val="2"/>
          <w:numId w:val="273"/>
        </w:numPr>
      </w:pPr>
      <w:r>
        <w:t>Authority Software;</w:t>
      </w:r>
    </w:p>
    <w:p w14:paraId="688B12AE" w14:textId="77777777" w:rsidR="00F67E9E" w:rsidRDefault="00F67E9E" w:rsidP="00F67E9E">
      <w:pPr>
        <w:pStyle w:val="Numbered111"/>
        <w:numPr>
          <w:ilvl w:val="2"/>
          <w:numId w:val="273"/>
        </w:numPr>
      </w:pPr>
      <w:r>
        <w:t>Authority Data; and</w:t>
      </w:r>
    </w:p>
    <w:p w14:paraId="3A5892D9" w14:textId="77777777" w:rsidR="00F67E9E" w:rsidRDefault="00F67E9E" w:rsidP="00F67E9E">
      <w:pPr>
        <w:pStyle w:val="Numbered111"/>
        <w:numPr>
          <w:ilvl w:val="2"/>
          <w:numId w:val="273"/>
        </w:numPr>
      </w:pPr>
      <w:r>
        <w:t>Authority Background IPRs;</w:t>
      </w:r>
    </w:p>
    <w:p w14:paraId="73066F69" w14:textId="77777777" w:rsidR="00F67E9E" w:rsidRDefault="00F67E9E" w:rsidP="00F67E9E">
      <w:pPr>
        <w:pStyle w:val="StdBodyText1"/>
      </w:pPr>
      <w:r>
        <w:t>for any purpose other than fulfilling its obligations under this Contract, the Supplier must seek the approval of the Authority in accordance with the provisions of this Paragraph.</w:t>
      </w:r>
    </w:p>
    <w:p w14:paraId="58ED1484" w14:textId="77777777" w:rsidR="00F67E9E" w:rsidRDefault="00F67E9E" w:rsidP="00F67E9E">
      <w:pPr>
        <w:pStyle w:val="Numbered11"/>
        <w:numPr>
          <w:ilvl w:val="1"/>
          <w:numId w:val="273"/>
        </w:numPr>
      </w:pPr>
      <w:r>
        <w:t>The Authority may terminate any licence it grants under this Paragraph by notice in writing with immediate effect where the Supplier breaches any condition in that licence.</w:t>
      </w:r>
    </w:p>
    <w:p w14:paraId="1A38F215" w14:textId="64396FEF" w:rsidR="00F67E9E" w:rsidRPr="00F917B5" w:rsidRDefault="00F67E9E" w:rsidP="00F67E9E">
      <w:pPr>
        <w:pStyle w:val="StdBodyText"/>
      </w:pPr>
      <w:bookmarkStart w:id="3771" w:name="_Hlk140818074"/>
      <w:r w:rsidRPr="00524A21">
        <w:t>[</w:t>
      </w:r>
      <w:r w:rsidRPr="00524A21">
        <w:rPr>
          <w:b/>
          <w:bCs/>
          <w:i/>
          <w:iCs/>
          <w:highlight w:val="yellow"/>
        </w:rPr>
        <w:t>Guidance note: where Option</w:t>
      </w:r>
      <w:r>
        <w:rPr>
          <w:b/>
          <w:bCs/>
          <w:i/>
          <w:iCs/>
          <w:highlight w:val="yellow"/>
        </w:rPr>
        <w:t> </w:t>
      </w:r>
      <w:r w:rsidRPr="00C26F4C">
        <w:rPr>
          <w:b/>
          <w:bCs/>
          <w:i/>
          <w:iCs/>
          <w:highlight w:val="yellow"/>
        </w:rPr>
        <w:fldChar w:fldCharType="begin"/>
      </w:r>
      <w:r w:rsidRPr="00C26F4C">
        <w:rPr>
          <w:b/>
          <w:bCs/>
          <w:i/>
          <w:iCs/>
          <w:highlight w:val="yellow"/>
        </w:rPr>
        <w:instrText xml:space="preserve"> REF OPTION5_SCHEDULE32 \h  \* MERGEFORMAT </w:instrText>
      </w:r>
      <w:r w:rsidRPr="00C26F4C">
        <w:rPr>
          <w:b/>
          <w:bCs/>
          <w:i/>
          <w:iCs/>
          <w:highlight w:val="yellow"/>
        </w:rPr>
      </w:r>
      <w:r w:rsidRPr="00C26F4C">
        <w:rPr>
          <w:b/>
          <w:bCs/>
          <w:i/>
          <w:iCs/>
          <w:highlight w:val="yellow"/>
        </w:rPr>
        <w:fldChar w:fldCharType="separate"/>
      </w:r>
      <w:r w:rsidR="00302D39" w:rsidRPr="00302D39">
        <w:rPr>
          <w:b/>
          <w:bCs/>
          <w:i/>
          <w:iCs/>
        </w:rPr>
        <w:t>5</w:t>
      </w:r>
      <w:r w:rsidRPr="00C26F4C">
        <w:rPr>
          <w:b/>
          <w:bCs/>
          <w:i/>
          <w:iCs/>
          <w:highlight w:val="yellow"/>
        </w:rPr>
        <w:fldChar w:fldCharType="end"/>
      </w:r>
      <w:r w:rsidRPr="00524A21">
        <w:rPr>
          <w:b/>
          <w:bCs/>
          <w:i/>
          <w:iCs/>
          <w:highlight w:val="yellow"/>
        </w:rPr>
        <w:t xml:space="preserve"> is used, replace Paragraphs </w:t>
      </w:r>
      <w:r w:rsidRPr="00524A21">
        <w:rPr>
          <w:b/>
          <w:bCs/>
          <w:i/>
          <w:iCs/>
          <w:highlight w:val="yellow"/>
        </w:rPr>
        <w:fldChar w:fldCharType="begin"/>
      </w:r>
      <w:r w:rsidRPr="00524A21">
        <w:rPr>
          <w:b/>
          <w:bCs/>
          <w:i/>
          <w:iCs/>
          <w:highlight w:val="yellow"/>
        </w:rPr>
        <w:instrText xml:space="preserve"> REF _Ref140818730 \r \h  \* MERGEFORMAT </w:instrText>
      </w:r>
      <w:r w:rsidRPr="00524A21">
        <w:rPr>
          <w:b/>
          <w:bCs/>
          <w:i/>
          <w:iCs/>
          <w:highlight w:val="yellow"/>
        </w:rPr>
      </w:r>
      <w:r w:rsidRPr="00524A21">
        <w:rPr>
          <w:b/>
          <w:bCs/>
          <w:i/>
          <w:iCs/>
          <w:highlight w:val="yellow"/>
        </w:rPr>
        <w:fldChar w:fldCharType="separate"/>
      </w:r>
      <w:r w:rsidR="00302D39">
        <w:rPr>
          <w:b/>
          <w:bCs/>
          <w:i/>
          <w:iCs/>
          <w:highlight w:val="yellow"/>
        </w:rPr>
        <w:t>3.3</w:t>
      </w:r>
      <w:r w:rsidRPr="00524A21">
        <w:rPr>
          <w:b/>
          <w:bCs/>
          <w:i/>
          <w:iCs/>
          <w:highlight w:val="yellow"/>
        </w:rPr>
        <w:fldChar w:fldCharType="end"/>
      </w:r>
      <w:r w:rsidRPr="00524A21">
        <w:rPr>
          <w:b/>
          <w:bCs/>
          <w:i/>
          <w:iCs/>
          <w:highlight w:val="yellow"/>
        </w:rPr>
        <w:t xml:space="preserve">, </w:t>
      </w:r>
      <w:r w:rsidRPr="00524A21">
        <w:rPr>
          <w:b/>
          <w:bCs/>
          <w:i/>
          <w:iCs/>
          <w:highlight w:val="yellow"/>
        </w:rPr>
        <w:fldChar w:fldCharType="begin"/>
      </w:r>
      <w:r w:rsidRPr="00524A21">
        <w:rPr>
          <w:b/>
          <w:bCs/>
          <w:i/>
          <w:iCs/>
          <w:highlight w:val="yellow"/>
        </w:rPr>
        <w:instrText xml:space="preserve"> REF _Ref140818732 \r \h  \* MERGEFORMAT </w:instrText>
      </w:r>
      <w:r w:rsidRPr="00524A21">
        <w:rPr>
          <w:b/>
          <w:bCs/>
          <w:i/>
          <w:iCs/>
          <w:highlight w:val="yellow"/>
        </w:rPr>
      </w:r>
      <w:r w:rsidRPr="00524A21">
        <w:rPr>
          <w:b/>
          <w:bCs/>
          <w:i/>
          <w:iCs/>
          <w:highlight w:val="yellow"/>
        </w:rPr>
        <w:fldChar w:fldCharType="separate"/>
      </w:r>
      <w:r w:rsidR="00302D39">
        <w:rPr>
          <w:b/>
          <w:bCs/>
          <w:i/>
          <w:iCs/>
          <w:highlight w:val="yellow"/>
        </w:rPr>
        <w:t>3.4</w:t>
      </w:r>
      <w:r w:rsidRPr="00524A21">
        <w:rPr>
          <w:b/>
          <w:bCs/>
          <w:i/>
          <w:iCs/>
          <w:highlight w:val="yellow"/>
        </w:rPr>
        <w:fldChar w:fldCharType="end"/>
      </w:r>
      <w:r w:rsidRPr="00524A21">
        <w:rPr>
          <w:b/>
          <w:bCs/>
          <w:i/>
          <w:iCs/>
          <w:highlight w:val="yellow"/>
        </w:rPr>
        <w:t xml:space="preserve">, </w:t>
      </w:r>
      <w:r w:rsidRPr="00524A21">
        <w:rPr>
          <w:b/>
          <w:bCs/>
          <w:i/>
          <w:iCs/>
          <w:highlight w:val="yellow"/>
        </w:rPr>
        <w:fldChar w:fldCharType="begin"/>
      </w:r>
      <w:r w:rsidRPr="00524A21">
        <w:rPr>
          <w:b/>
          <w:bCs/>
          <w:i/>
          <w:iCs/>
          <w:highlight w:val="yellow"/>
        </w:rPr>
        <w:instrText xml:space="preserve"> REF _Ref140818737 \r \h  \* MERGEFORMAT </w:instrText>
      </w:r>
      <w:r w:rsidRPr="00524A21">
        <w:rPr>
          <w:b/>
          <w:bCs/>
          <w:i/>
          <w:iCs/>
          <w:highlight w:val="yellow"/>
        </w:rPr>
      </w:r>
      <w:r w:rsidRPr="00524A21">
        <w:rPr>
          <w:b/>
          <w:bCs/>
          <w:i/>
          <w:iCs/>
          <w:highlight w:val="yellow"/>
        </w:rPr>
        <w:fldChar w:fldCharType="separate"/>
      </w:r>
      <w:r w:rsidR="00302D39">
        <w:rPr>
          <w:b/>
          <w:bCs/>
          <w:i/>
          <w:iCs/>
          <w:highlight w:val="yellow"/>
        </w:rPr>
        <w:t>3.5</w:t>
      </w:r>
      <w:r w:rsidRPr="00524A21">
        <w:rPr>
          <w:b/>
          <w:bCs/>
          <w:i/>
          <w:iCs/>
          <w:highlight w:val="yellow"/>
        </w:rPr>
        <w:fldChar w:fldCharType="end"/>
      </w:r>
      <w:r w:rsidRPr="00524A21">
        <w:rPr>
          <w:b/>
          <w:bCs/>
          <w:i/>
          <w:iCs/>
          <w:highlight w:val="yellow"/>
        </w:rPr>
        <w:t xml:space="preserve"> with the Paragraphs in Option</w:t>
      </w:r>
      <w:r>
        <w:rPr>
          <w:b/>
          <w:bCs/>
          <w:i/>
          <w:iCs/>
          <w:highlight w:val="yellow"/>
        </w:rPr>
        <w:t> </w:t>
      </w:r>
      <w:r w:rsidRPr="00C26F4C">
        <w:rPr>
          <w:b/>
          <w:bCs/>
          <w:i/>
          <w:iCs/>
          <w:highlight w:val="yellow"/>
        </w:rPr>
        <w:fldChar w:fldCharType="begin"/>
      </w:r>
      <w:r w:rsidRPr="00C26F4C">
        <w:rPr>
          <w:b/>
          <w:bCs/>
          <w:i/>
          <w:iCs/>
          <w:highlight w:val="yellow"/>
        </w:rPr>
        <w:instrText xml:space="preserve"> REF OPTION5_SCHEDULE32 \h  \* MERGEFORMAT </w:instrText>
      </w:r>
      <w:r w:rsidRPr="00C26F4C">
        <w:rPr>
          <w:b/>
          <w:bCs/>
          <w:i/>
          <w:iCs/>
          <w:highlight w:val="yellow"/>
        </w:rPr>
      </w:r>
      <w:r w:rsidRPr="00C26F4C">
        <w:rPr>
          <w:b/>
          <w:bCs/>
          <w:i/>
          <w:iCs/>
          <w:highlight w:val="yellow"/>
        </w:rPr>
        <w:fldChar w:fldCharType="separate"/>
      </w:r>
      <w:r w:rsidR="00302D39" w:rsidRPr="00302D39">
        <w:rPr>
          <w:b/>
          <w:bCs/>
          <w:i/>
          <w:iCs/>
        </w:rPr>
        <w:t>5</w:t>
      </w:r>
      <w:r w:rsidRPr="00C26F4C">
        <w:rPr>
          <w:b/>
          <w:bCs/>
          <w:i/>
          <w:iCs/>
          <w:highlight w:val="yellow"/>
        </w:rPr>
        <w:fldChar w:fldCharType="end"/>
      </w:r>
      <w:r w:rsidRPr="00524A21">
        <w:rPr>
          <w:b/>
          <w:bCs/>
          <w:i/>
          <w:iCs/>
          <w:highlight w:val="yellow"/>
        </w:rPr>
        <w:t>.</w:t>
      </w:r>
      <w:r w:rsidRPr="00524A21">
        <w:t>]</w:t>
      </w:r>
    </w:p>
    <w:p w14:paraId="15ABD936" w14:textId="77777777" w:rsidR="00F67E9E" w:rsidRDefault="00F67E9E" w:rsidP="00F67E9E">
      <w:pPr>
        <w:pStyle w:val="Numbered11"/>
        <w:keepNext/>
        <w:numPr>
          <w:ilvl w:val="1"/>
          <w:numId w:val="273"/>
        </w:numPr>
      </w:pPr>
      <w:bookmarkStart w:id="3772" w:name="_Ref140818730"/>
      <w:bookmarkEnd w:id="3771"/>
      <w:r>
        <w:t>The Supplier must provide a proposal setting out:</w:t>
      </w:r>
      <w:bookmarkEnd w:id="3772"/>
    </w:p>
    <w:p w14:paraId="7CB8AE53" w14:textId="77777777" w:rsidR="00F67E9E" w:rsidRDefault="00F67E9E" w:rsidP="00F67E9E">
      <w:pPr>
        <w:pStyle w:val="Numbered111"/>
        <w:numPr>
          <w:ilvl w:val="2"/>
          <w:numId w:val="273"/>
        </w:numPr>
      </w:pPr>
      <w:r>
        <w:t>the purpose for which it proposes to use the IPR;</w:t>
      </w:r>
    </w:p>
    <w:p w14:paraId="5404B1D1" w14:textId="77777777" w:rsidR="00F67E9E" w:rsidRDefault="00F67E9E" w:rsidP="00F67E9E">
      <w:pPr>
        <w:pStyle w:val="Numbered111"/>
        <w:numPr>
          <w:ilvl w:val="2"/>
          <w:numId w:val="273"/>
        </w:numPr>
      </w:pPr>
      <w:r>
        <w:t>the activities the Supplier proposes to undertake with or in respect of the IPR;</w:t>
      </w:r>
    </w:p>
    <w:p w14:paraId="53268EF1" w14:textId="77777777" w:rsidR="00F67E9E" w:rsidRDefault="00F67E9E" w:rsidP="00F67E9E">
      <w:pPr>
        <w:pStyle w:val="Numbered111"/>
        <w:numPr>
          <w:ilvl w:val="2"/>
          <w:numId w:val="273"/>
        </w:numPr>
      </w:pPr>
      <w:r>
        <w:t>such further information as the Authority may reasonably require to properly consider the proposal.</w:t>
      </w:r>
    </w:p>
    <w:p w14:paraId="0946A299" w14:textId="77777777" w:rsidR="00F67E9E" w:rsidRDefault="00F67E9E" w:rsidP="00F67E9E">
      <w:pPr>
        <w:pStyle w:val="Numbered11"/>
        <w:keepNext/>
        <w:numPr>
          <w:ilvl w:val="1"/>
          <w:numId w:val="273"/>
        </w:numPr>
      </w:pPr>
      <w:bookmarkStart w:id="3773" w:name="_Ref140818732"/>
      <w:r>
        <w:t>The Authority may only refuse the Supplier’s proposal where it considers that if the Supplier were to implement the proposal it would harm:</w:t>
      </w:r>
      <w:bookmarkEnd w:id="3773"/>
    </w:p>
    <w:p w14:paraId="75D88266" w14:textId="77777777" w:rsidR="00F67E9E" w:rsidRDefault="00F67E9E" w:rsidP="00F67E9E">
      <w:pPr>
        <w:pStyle w:val="Numbered111"/>
        <w:numPr>
          <w:ilvl w:val="2"/>
          <w:numId w:val="273"/>
        </w:numPr>
      </w:pPr>
      <w:r>
        <w:t>the Authority’s reputation; or</w:t>
      </w:r>
    </w:p>
    <w:p w14:paraId="0E0F7373" w14:textId="77777777" w:rsidR="00F67E9E" w:rsidRDefault="00F67E9E" w:rsidP="00F67E9E">
      <w:pPr>
        <w:pStyle w:val="Numbered111"/>
        <w:numPr>
          <w:ilvl w:val="2"/>
          <w:numId w:val="273"/>
        </w:numPr>
      </w:pPr>
      <w:r>
        <w:t>the Authority’s interests.</w:t>
      </w:r>
    </w:p>
    <w:p w14:paraId="01CCC7F1" w14:textId="77777777" w:rsidR="00F67E9E" w:rsidRPr="00B10F86" w:rsidRDefault="00F67E9E" w:rsidP="00F67E9E">
      <w:pPr>
        <w:pStyle w:val="Numbered11"/>
        <w:keepNext/>
        <w:numPr>
          <w:ilvl w:val="1"/>
          <w:numId w:val="273"/>
        </w:numPr>
      </w:pPr>
      <w:bookmarkStart w:id="3774" w:name="_Ref140818737"/>
      <w:r w:rsidRPr="00B10F86">
        <w:t>Where the Authority has not:</w:t>
      </w:r>
      <w:bookmarkEnd w:id="3774"/>
    </w:p>
    <w:p w14:paraId="281F0EC4" w14:textId="77777777" w:rsidR="00F67E9E" w:rsidRPr="00B10F86" w:rsidRDefault="00F67E9E" w:rsidP="00F67E9E">
      <w:pPr>
        <w:pStyle w:val="Numbered111"/>
        <w:numPr>
          <w:ilvl w:val="2"/>
          <w:numId w:val="273"/>
        </w:numPr>
      </w:pPr>
      <w:r w:rsidRPr="00B10F86">
        <w:t>approved or declined the proposal; or</w:t>
      </w:r>
    </w:p>
    <w:p w14:paraId="4A86411C" w14:textId="77777777" w:rsidR="00F67E9E" w:rsidRPr="00B10F86" w:rsidRDefault="00F67E9E" w:rsidP="00F67E9E">
      <w:pPr>
        <w:pStyle w:val="Numbered111"/>
        <w:numPr>
          <w:ilvl w:val="2"/>
          <w:numId w:val="273"/>
        </w:numPr>
      </w:pPr>
      <w:r w:rsidRPr="00B10F86">
        <w:t>required further information,</w:t>
      </w:r>
    </w:p>
    <w:p w14:paraId="1B7C99BA" w14:textId="77777777" w:rsidR="00F67E9E" w:rsidRDefault="00F67E9E" w:rsidP="00F67E9E">
      <w:pPr>
        <w:pStyle w:val="StdBodyText1"/>
        <w:keepNext/>
      </w:pPr>
      <w:r>
        <w:t>within 20 Working Days of the later of:</w:t>
      </w:r>
    </w:p>
    <w:p w14:paraId="16224426" w14:textId="77777777" w:rsidR="00F67E9E" w:rsidRDefault="00F67E9E" w:rsidP="00F67E9E">
      <w:pPr>
        <w:pStyle w:val="Numbered111"/>
        <w:numPr>
          <w:ilvl w:val="2"/>
          <w:numId w:val="273"/>
        </w:numPr>
      </w:pPr>
      <w:r>
        <w:t>the date the proposal was first provided to the Authority; or</w:t>
      </w:r>
    </w:p>
    <w:p w14:paraId="3B9D1589" w14:textId="77777777" w:rsidR="00F67E9E" w:rsidRDefault="00F67E9E" w:rsidP="00F67E9E">
      <w:pPr>
        <w:pStyle w:val="Numbered111"/>
        <w:numPr>
          <w:ilvl w:val="2"/>
          <w:numId w:val="273"/>
        </w:numPr>
      </w:pPr>
      <w:r>
        <w:t>the date on which further information was provided to the Authority,</w:t>
      </w:r>
    </w:p>
    <w:p w14:paraId="144FF74C" w14:textId="77777777" w:rsidR="00F67E9E" w:rsidRDefault="00F67E9E" w:rsidP="00F67E9E">
      <w:pPr>
        <w:pStyle w:val="StdBodyText2"/>
      </w:pPr>
      <w:r>
        <w:t>then the proposal is, for the purposes of this Contract, approved.</w:t>
      </w:r>
    </w:p>
    <w:p w14:paraId="24007D10" w14:textId="77777777" w:rsidR="00F67E9E" w:rsidRDefault="00F67E9E" w:rsidP="00F67E9E">
      <w:pPr>
        <w:pStyle w:val="Numbered1"/>
        <w:numPr>
          <w:ilvl w:val="0"/>
          <w:numId w:val="273"/>
        </w:numPr>
      </w:pPr>
      <w:bookmarkStart w:id="3775" w:name="_Ref140164832"/>
      <w:r>
        <w:t>Provision of information on Project Specific IPR and Specially Written Software</w:t>
      </w:r>
    </w:p>
    <w:p w14:paraId="41CA9F10" w14:textId="77777777" w:rsidR="00F67E9E" w:rsidRDefault="00F67E9E" w:rsidP="00F67E9E">
      <w:pPr>
        <w:pStyle w:val="Numbered11"/>
        <w:keepNext/>
        <w:numPr>
          <w:ilvl w:val="1"/>
          <w:numId w:val="273"/>
        </w:numPr>
      </w:pPr>
      <w:r>
        <w:t>The Authority may, at any time, require the Supplier to provide information on:</w:t>
      </w:r>
    </w:p>
    <w:p w14:paraId="1544F0E5" w14:textId="77777777" w:rsidR="00F67E9E" w:rsidRDefault="00F67E9E" w:rsidP="00F67E9E">
      <w:pPr>
        <w:pStyle w:val="Numbered111"/>
        <w:numPr>
          <w:ilvl w:val="2"/>
          <w:numId w:val="273"/>
        </w:numPr>
      </w:pPr>
      <w:r>
        <w:t>the purposes, other than for the purposes of this Contract, for which the Supplier uses Project Specific IPR and Specially Written Software; and</w:t>
      </w:r>
    </w:p>
    <w:p w14:paraId="10DA50FE" w14:textId="77777777" w:rsidR="00F67E9E" w:rsidRDefault="00F67E9E" w:rsidP="00F67E9E">
      <w:pPr>
        <w:pStyle w:val="Numbered111"/>
        <w:numPr>
          <w:ilvl w:val="2"/>
          <w:numId w:val="273"/>
        </w:numPr>
      </w:pPr>
      <w:r>
        <w:t>the activities the Supplier undertakes, other than under this Contract, with or in respect of the Project Specific IPR and Specially Written Software.</w:t>
      </w:r>
    </w:p>
    <w:p w14:paraId="2261E4E9" w14:textId="77777777" w:rsidR="00F67E9E" w:rsidRDefault="00F67E9E" w:rsidP="00F67E9E">
      <w:pPr>
        <w:pStyle w:val="Numbered11"/>
        <w:keepNext/>
        <w:numPr>
          <w:ilvl w:val="1"/>
          <w:numId w:val="273"/>
        </w:numPr>
      </w:pPr>
      <w:r>
        <w:t>The Supplier must provide the information required by the Authority:</w:t>
      </w:r>
    </w:p>
    <w:p w14:paraId="209780CF" w14:textId="77777777" w:rsidR="00F67E9E" w:rsidRDefault="00F67E9E" w:rsidP="00F67E9E">
      <w:pPr>
        <w:pStyle w:val="Numbered111"/>
        <w:numPr>
          <w:ilvl w:val="2"/>
          <w:numId w:val="273"/>
        </w:numPr>
      </w:pPr>
      <w:r>
        <w:t>within 20 Working Days of the date of the requirement; and</w:t>
      </w:r>
    </w:p>
    <w:p w14:paraId="6F354795" w14:textId="77777777" w:rsidR="00F67E9E" w:rsidRDefault="00F67E9E" w:rsidP="00F67E9E">
      <w:pPr>
        <w:pStyle w:val="Numbered111"/>
        <w:numPr>
          <w:ilvl w:val="2"/>
          <w:numId w:val="273"/>
        </w:numPr>
      </w:pPr>
      <w:r>
        <w:t>in the form and with the content specified by the Authority.</w:t>
      </w:r>
    </w:p>
    <w:p w14:paraId="6A081CC8" w14:textId="77777777" w:rsidR="00F67E9E" w:rsidRDefault="00F67E9E" w:rsidP="00F67E9E">
      <w:pPr>
        <w:pStyle w:val="Numbered1"/>
        <w:numPr>
          <w:ilvl w:val="0"/>
          <w:numId w:val="273"/>
        </w:numPr>
      </w:pPr>
      <w:bookmarkStart w:id="3776" w:name="_Ref140767324"/>
      <w:bookmarkEnd w:id="3775"/>
      <w:r>
        <w:t>Use of Third Party IPR</w:t>
      </w:r>
      <w:bookmarkEnd w:id="3776"/>
    </w:p>
    <w:p w14:paraId="54451606" w14:textId="77777777" w:rsidR="00F67E9E" w:rsidRDefault="00F67E9E" w:rsidP="00F67E9E">
      <w:pPr>
        <w:pStyle w:val="Numbered11"/>
        <w:keepNext/>
        <w:numPr>
          <w:ilvl w:val="1"/>
          <w:numId w:val="273"/>
        </w:numPr>
      </w:pPr>
      <w:r w:rsidRPr="00A550B3">
        <w:t xml:space="preserve">The Supplier </w:t>
      </w:r>
      <w:r>
        <w:t xml:space="preserve">must </w:t>
      </w:r>
      <w:r w:rsidRPr="00A550B3">
        <w:t>not use any</w:t>
      </w:r>
      <w:r>
        <w:t>:</w:t>
      </w:r>
    </w:p>
    <w:p w14:paraId="796AB732" w14:textId="77777777" w:rsidR="00F67E9E" w:rsidRDefault="00F67E9E" w:rsidP="00F67E9E">
      <w:pPr>
        <w:pStyle w:val="Numbered111"/>
        <w:numPr>
          <w:ilvl w:val="2"/>
          <w:numId w:val="273"/>
        </w:numPr>
      </w:pPr>
      <w:r>
        <w:t>Third Party Non-COTS Software; or</w:t>
      </w:r>
    </w:p>
    <w:p w14:paraId="0E030343" w14:textId="77777777" w:rsidR="00F67E9E" w:rsidRDefault="00F67E9E" w:rsidP="00F67E9E">
      <w:pPr>
        <w:pStyle w:val="Numbered111"/>
        <w:numPr>
          <w:ilvl w:val="2"/>
          <w:numId w:val="273"/>
        </w:numPr>
      </w:pPr>
      <w:r>
        <w:t>Third Party</w:t>
      </w:r>
      <w:r w:rsidRPr="00A550B3">
        <w:t xml:space="preserve"> Non-COTS Background IPR</w:t>
      </w:r>
      <w:r>
        <w:t>,</w:t>
      </w:r>
    </w:p>
    <w:p w14:paraId="24A0CBD4" w14:textId="77777777" w:rsidR="00F67E9E" w:rsidRDefault="00F67E9E" w:rsidP="00F67E9E">
      <w:pPr>
        <w:pStyle w:val="StdBodyText1"/>
      </w:pPr>
      <w:r w:rsidRPr="00A550B3">
        <w:t>in the provision of the Services</w:t>
      </w:r>
      <w:r>
        <w:t xml:space="preserve"> </w:t>
      </w:r>
      <w:r w:rsidRPr="00016234">
        <w:t>(including in any Specially Written Software or in the software element of Project Specific IPRs)</w:t>
      </w:r>
      <w:r w:rsidRPr="00A550B3">
        <w:t xml:space="preserve"> unless</w:t>
      </w:r>
      <w:r>
        <w:t xml:space="preserve"> one of the following conditions is met:</w:t>
      </w:r>
    </w:p>
    <w:p w14:paraId="47B8371E" w14:textId="1ED77C00" w:rsidR="00F67E9E" w:rsidRDefault="00F67E9E" w:rsidP="00F67E9E">
      <w:pPr>
        <w:pStyle w:val="Numbered111"/>
        <w:numPr>
          <w:ilvl w:val="2"/>
          <w:numId w:val="273"/>
        </w:numPr>
      </w:pPr>
      <w:bookmarkStart w:id="3777" w:name="_Ref140164629"/>
      <w:r>
        <w:t>the owner or an authorised licensor of the relevant IPR has granted the Authority a direct licence on the terms equivalent to those set out in Paragraph </w:t>
      </w:r>
      <w:r>
        <w:fldChar w:fldCharType="begin"/>
      </w:r>
      <w:r>
        <w:instrText xml:space="preserve"> REF _Ref140164126 \r \h  \* MERGEFORMAT </w:instrText>
      </w:r>
      <w:r>
        <w:fldChar w:fldCharType="separate"/>
      </w:r>
      <w:r w:rsidR="00302D39">
        <w:t>2.3</w:t>
      </w:r>
      <w:r>
        <w:fldChar w:fldCharType="end"/>
      </w:r>
      <w:r>
        <w:t>; or</w:t>
      </w:r>
      <w:bookmarkEnd w:id="3777"/>
    </w:p>
    <w:p w14:paraId="01274F19" w14:textId="2349BA26" w:rsidR="00F67E9E" w:rsidRDefault="00F67E9E" w:rsidP="00F67E9E">
      <w:pPr>
        <w:pStyle w:val="Numbered111"/>
        <w:keepNext/>
        <w:numPr>
          <w:ilvl w:val="2"/>
          <w:numId w:val="273"/>
        </w:numPr>
      </w:pPr>
      <w:bookmarkStart w:id="3778" w:name="_Ref140164674"/>
      <w:r>
        <w:t>if the Supplier cannot, after commercially reasonable endeavours, meet the condition in Paragraph </w:t>
      </w:r>
      <w:r>
        <w:fldChar w:fldCharType="begin"/>
      </w:r>
      <w:r>
        <w:instrText xml:space="preserve"> REF _Ref140164629 \w \h  \* MERGEFORMAT </w:instrText>
      </w:r>
      <w:r>
        <w:fldChar w:fldCharType="separate"/>
      </w:r>
      <w:r w:rsidR="00302D39">
        <w:t>5.1.3</w:t>
      </w:r>
      <w:r>
        <w:fldChar w:fldCharType="end"/>
      </w:r>
      <w:r>
        <w:t>, all the following conditions are met:</w:t>
      </w:r>
      <w:bookmarkEnd w:id="3778"/>
    </w:p>
    <w:p w14:paraId="5C121359" w14:textId="77777777" w:rsidR="00F67E9E" w:rsidRDefault="00F67E9E" w:rsidP="00F67E9E">
      <w:pPr>
        <w:pStyle w:val="Numbered111a"/>
        <w:keepNext/>
        <w:numPr>
          <w:ilvl w:val="3"/>
          <w:numId w:val="273"/>
        </w:numPr>
      </w:pPr>
      <w:r>
        <w:t>the Supplier has notified the Authority in writing giving details of:</w:t>
      </w:r>
    </w:p>
    <w:p w14:paraId="3C7D300D" w14:textId="77777777" w:rsidR="00F67E9E" w:rsidRDefault="00F67E9E" w:rsidP="00F67E9E">
      <w:pPr>
        <w:pStyle w:val="Numbered111ai"/>
        <w:numPr>
          <w:ilvl w:val="4"/>
          <w:numId w:val="273"/>
        </w:numPr>
      </w:pPr>
      <w:r>
        <w:t>what licence terms can be obtained from the relevant third party; and</w:t>
      </w:r>
    </w:p>
    <w:p w14:paraId="29A92530" w14:textId="77777777" w:rsidR="00F67E9E" w:rsidRDefault="00F67E9E" w:rsidP="00F67E9E">
      <w:pPr>
        <w:pStyle w:val="Numbered111ai"/>
        <w:numPr>
          <w:ilvl w:val="4"/>
          <w:numId w:val="273"/>
        </w:numPr>
      </w:pPr>
      <w:r>
        <w:t xml:space="preserve">whether there are providers which the Supplier could seek to use and the licence terms obtainable from those third parties; </w:t>
      </w:r>
    </w:p>
    <w:p w14:paraId="59045A55" w14:textId="77777777" w:rsidR="00F67E9E" w:rsidRDefault="00F67E9E" w:rsidP="00F67E9E">
      <w:pPr>
        <w:pStyle w:val="Numbered111a"/>
        <w:numPr>
          <w:ilvl w:val="3"/>
          <w:numId w:val="273"/>
        </w:numPr>
      </w:pPr>
      <w:r>
        <w:t>the Authority approves the licence terms of one of those third parties; and</w:t>
      </w:r>
    </w:p>
    <w:p w14:paraId="170A5C0D" w14:textId="77777777" w:rsidR="00F67E9E" w:rsidRDefault="00F67E9E" w:rsidP="00F67E9E">
      <w:pPr>
        <w:pStyle w:val="Numbered111a"/>
        <w:numPr>
          <w:ilvl w:val="3"/>
          <w:numId w:val="273"/>
        </w:numPr>
      </w:pPr>
      <w:r>
        <w:t>the owner and authorised licensor of the Third Party IPR has granted a direct licence of the Third Party IPR to the Authority on those terms; or</w:t>
      </w:r>
    </w:p>
    <w:p w14:paraId="037A2B27" w14:textId="6F6C90E4" w:rsidR="00F67E9E" w:rsidRDefault="00F67E9E" w:rsidP="00F67E9E">
      <w:pPr>
        <w:pStyle w:val="Numbered111"/>
        <w:numPr>
          <w:ilvl w:val="2"/>
          <w:numId w:val="273"/>
        </w:numPr>
      </w:pPr>
      <w:r>
        <w:t>if the Supplier cannot meet the conditions in Paragraphs </w:t>
      </w:r>
      <w:r>
        <w:fldChar w:fldCharType="begin"/>
      </w:r>
      <w:r>
        <w:instrText xml:space="preserve"> REF _Ref140164629 \w \h  \* MERGEFORMAT </w:instrText>
      </w:r>
      <w:r>
        <w:fldChar w:fldCharType="separate"/>
      </w:r>
      <w:r w:rsidR="00302D39">
        <w:t>5.1.3</w:t>
      </w:r>
      <w:r>
        <w:fldChar w:fldCharType="end"/>
      </w:r>
      <w:r>
        <w:t xml:space="preserve"> and </w:t>
      </w:r>
      <w:r>
        <w:fldChar w:fldCharType="begin"/>
      </w:r>
      <w:r>
        <w:instrText xml:space="preserve"> REF _Ref140164674 \w \h  \* MERGEFORMAT </w:instrText>
      </w:r>
      <w:r>
        <w:fldChar w:fldCharType="separate"/>
      </w:r>
      <w:r w:rsidR="00302D39">
        <w:t>5.1.4</w:t>
      </w:r>
      <w:r>
        <w:fldChar w:fldCharType="end"/>
      </w:r>
      <w:r>
        <w:t xml:space="preserve">, the Authority has provided written approval to </w:t>
      </w:r>
      <w:r w:rsidRPr="00CE3BEC">
        <w:t xml:space="preserve">use </w:t>
      </w:r>
      <w:r>
        <w:t xml:space="preserve">the relevant IPR </w:t>
      </w:r>
      <w:r w:rsidRPr="00CE3BEC">
        <w:t>without a licence, with reference to the acts authorised and the specific IPR involved</w:t>
      </w:r>
      <w:r>
        <w:t>.</w:t>
      </w:r>
    </w:p>
    <w:p w14:paraId="00D63523" w14:textId="77777777" w:rsidR="00F67E9E" w:rsidRDefault="00F67E9E" w:rsidP="00F67E9E">
      <w:pPr>
        <w:pStyle w:val="Numbered11"/>
        <w:keepNext/>
        <w:numPr>
          <w:ilvl w:val="1"/>
          <w:numId w:val="273"/>
        </w:numPr>
      </w:pPr>
      <w:r w:rsidRPr="00A550B3">
        <w:t xml:space="preserve">The Supplier </w:t>
      </w:r>
      <w:r>
        <w:t xml:space="preserve">must </w:t>
      </w:r>
      <w:r w:rsidRPr="00A550B3">
        <w:t>not use any</w:t>
      </w:r>
      <w:r>
        <w:t>:</w:t>
      </w:r>
    </w:p>
    <w:p w14:paraId="34C13B82" w14:textId="77777777" w:rsidR="00F67E9E" w:rsidRDefault="00F67E9E" w:rsidP="00F67E9E">
      <w:pPr>
        <w:pStyle w:val="Numbered111"/>
        <w:numPr>
          <w:ilvl w:val="2"/>
          <w:numId w:val="273"/>
        </w:numPr>
      </w:pPr>
      <w:r>
        <w:t>Third Party COTS Software; or</w:t>
      </w:r>
    </w:p>
    <w:p w14:paraId="7414C21E" w14:textId="77777777" w:rsidR="00F67E9E" w:rsidRDefault="00F67E9E" w:rsidP="00F67E9E">
      <w:pPr>
        <w:pStyle w:val="Numbered111"/>
        <w:numPr>
          <w:ilvl w:val="2"/>
          <w:numId w:val="273"/>
        </w:numPr>
      </w:pPr>
      <w:r>
        <w:t>Third Party</w:t>
      </w:r>
      <w:r w:rsidRPr="00A550B3">
        <w:t xml:space="preserve"> COTS Background IPR</w:t>
      </w:r>
      <w:r>
        <w:t>,</w:t>
      </w:r>
    </w:p>
    <w:p w14:paraId="5B67E0B6" w14:textId="77777777" w:rsidR="00F67E9E" w:rsidRDefault="00F67E9E" w:rsidP="00F67E9E">
      <w:pPr>
        <w:pStyle w:val="StdBodyText1"/>
      </w:pPr>
      <w:r w:rsidRPr="00A550B3">
        <w:t>in the provision of the Services</w:t>
      </w:r>
      <w:r>
        <w:t xml:space="preserve"> </w:t>
      </w:r>
      <w:r w:rsidRPr="00016234">
        <w:t>(including in any Specially Written Software or in the software element of Project Specific IPRs)</w:t>
      </w:r>
      <w:r w:rsidRPr="00A550B3">
        <w:t xml:space="preserve"> unless</w:t>
      </w:r>
      <w:r>
        <w:t xml:space="preserve"> the following conditions are met:</w:t>
      </w:r>
    </w:p>
    <w:p w14:paraId="3B248640" w14:textId="77777777" w:rsidR="00F67E9E" w:rsidRDefault="00F67E9E" w:rsidP="00F67E9E">
      <w:pPr>
        <w:pStyle w:val="Numbered111"/>
        <w:numPr>
          <w:ilvl w:val="2"/>
          <w:numId w:val="273"/>
        </w:numPr>
      </w:pPr>
      <w:r>
        <w:t xml:space="preserve">the Supplier has provided the Authority with the applicable terms for the IPRs (which must be </w:t>
      </w:r>
      <w:r w:rsidRPr="007306D4">
        <w:t>at a price and on terms no less favourable than those standard commercial terms on which such software is usually made commercially available</w:t>
      </w:r>
      <w:r>
        <w:t>); and</w:t>
      </w:r>
    </w:p>
    <w:p w14:paraId="033F20D1" w14:textId="77777777" w:rsidR="00F67E9E" w:rsidRDefault="00F67E9E" w:rsidP="00F67E9E">
      <w:pPr>
        <w:pStyle w:val="Numbered111"/>
        <w:numPr>
          <w:ilvl w:val="2"/>
          <w:numId w:val="273"/>
        </w:numPr>
      </w:pPr>
      <w:r>
        <w:t>the Authority has not (in its absolute discretion) rejected those licence terms within 10 Working Days of the date on which they were provided to the Authority.</w:t>
      </w:r>
    </w:p>
    <w:p w14:paraId="27DAA40E" w14:textId="77777777" w:rsidR="00F67E9E" w:rsidRDefault="00F67E9E" w:rsidP="00F67E9E">
      <w:pPr>
        <w:pStyle w:val="Numbered1"/>
        <w:numPr>
          <w:ilvl w:val="0"/>
          <w:numId w:val="273"/>
        </w:numPr>
      </w:pPr>
      <w:bookmarkStart w:id="3779" w:name="_Ref140782233"/>
      <w:r>
        <w:t>Licences granted by the Authority</w:t>
      </w:r>
      <w:bookmarkEnd w:id="3779"/>
    </w:p>
    <w:p w14:paraId="09D4746C" w14:textId="5BBD5FB3" w:rsidR="00F67E9E" w:rsidRDefault="00F67E9E" w:rsidP="00F67E9E">
      <w:pPr>
        <w:pStyle w:val="Numbered11"/>
        <w:keepNext/>
        <w:numPr>
          <w:ilvl w:val="1"/>
          <w:numId w:val="273"/>
        </w:numPr>
      </w:pPr>
      <w:bookmarkStart w:id="3780" w:name="_Ref140164815"/>
      <w:r>
        <w:t>Subject to Paragraph </w:t>
      </w:r>
      <w:r>
        <w:fldChar w:fldCharType="begin"/>
      </w:r>
      <w:r>
        <w:instrText xml:space="preserve"> REF _Ref140164769 \w \h  \* MERGEFORMAT </w:instrText>
      </w:r>
      <w:r>
        <w:fldChar w:fldCharType="separate"/>
      </w:r>
      <w:r w:rsidR="00302D39">
        <w:t>3</w:t>
      </w:r>
      <w:r>
        <w:fldChar w:fldCharType="end"/>
      </w:r>
      <w:r>
        <w:t>, the Authority grants the Supplier a licence to the</w:t>
      </w:r>
      <w:bookmarkEnd w:id="3780"/>
      <w:r>
        <w:t xml:space="preserve"> </w:t>
      </w:r>
    </w:p>
    <w:p w14:paraId="36831AB8" w14:textId="77777777" w:rsidR="00F67E9E" w:rsidRDefault="00F67E9E" w:rsidP="00F67E9E">
      <w:pPr>
        <w:pStyle w:val="Numbered111"/>
        <w:numPr>
          <w:ilvl w:val="2"/>
          <w:numId w:val="273"/>
        </w:numPr>
      </w:pPr>
      <w:r>
        <w:t>the Authority Software;</w:t>
      </w:r>
    </w:p>
    <w:p w14:paraId="5EA4C342" w14:textId="77777777" w:rsidR="00F67E9E" w:rsidRDefault="00F67E9E" w:rsidP="00F67E9E">
      <w:pPr>
        <w:pStyle w:val="Numbered111"/>
        <w:numPr>
          <w:ilvl w:val="2"/>
          <w:numId w:val="273"/>
        </w:numPr>
      </w:pPr>
      <w:r>
        <w:t>the Authority Data; and</w:t>
      </w:r>
    </w:p>
    <w:p w14:paraId="71E3A094" w14:textId="77777777" w:rsidR="00F67E9E" w:rsidRDefault="00F67E9E" w:rsidP="00F67E9E">
      <w:pPr>
        <w:pStyle w:val="Numbered111"/>
        <w:numPr>
          <w:ilvl w:val="2"/>
          <w:numId w:val="273"/>
        </w:numPr>
      </w:pPr>
      <w:r>
        <w:t>the Authority Background IPRs</w:t>
      </w:r>
    </w:p>
    <w:p w14:paraId="4494334B" w14:textId="77777777" w:rsidR="00F67E9E" w:rsidRDefault="00F67E9E" w:rsidP="00F67E9E">
      <w:pPr>
        <w:pStyle w:val="StdBodyText1"/>
        <w:keepNext/>
      </w:pPr>
      <w:r>
        <w:t>that:</w:t>
      </w:r>
    </w:p>
    <w:p w14:paraId="0480A2E2" w14:textId="77777777" w:rsidR="00F67E9E" w:rsidRDefault="00F67E9E" w:rsidP="00F67E9E">
      <w:pPr>
        <w:pStyle w:val="Numbered111"/>
        <w:numPr>
          <w:ilvl w:val="2"/>
          <w:numId w:val="273"/>
        </w:numPr>
      </w:pPr>
      <w:r>
        <w:t>is perpetual, non-exclusive, royalty-free and non-transferable;</w:t>
      </w:r>
    </w:p>
    <w:p w14:paraId="55F57B63" w14:textId="77777777" w:rsidR="00F67E9E" w:rsidRDefault="00F67E9E" w:rsidP="00F67E9E">
      <w:pPr>
        <w:pStyle w:val="Numbered111"/>
        <w:keepNext/>
        <w:numPr>
          <w:ilvl w:val="2"/>
          <w:numId w:val="273"/>
        </w:numPr>
      </w:pPr>
      <w:bookmarkStart w:id="3781" w:name="_Ref140164851"/>
      <w:r>
        <w:t>is sub-licensable to any Sub-contractor where:</w:t>
      </w:r>
      <w:bookmarkEnd w:id="3781"/>
    </w:p>
    <w:p w14:paraId="458B6326" w14:textId="375C3B3D" w:rsidR="00F67E9E" w:rsidRDefault="00F67E9E" w:rsidP="00F67E9E">
      <w:pPr>
        <w:pStyle w:val="Numbered111a"/>
        <w:numPr>
          <w:ilvl w:val="3"/>
          <w:numId w:val="273"/>
        </w:numPr>
      </w:pPr>
      <w:r>
        <w:t>the Sub-contractor enters into a confidentiality undertaking</w:t>
      </w:r>
      <w:r w:rsidRPr="00E36B93">
        <w:t xml:space="preserve"> with the Supplier on the same terms as set out </w:t>
      </w:r>
      <w:r>
        <w:t xml:space="preserve">Annex 2 to </w:t>
      </w:r>
      <w:r>
        <w:fldChar w:fldCharType="begin"/>
      </w:r>
      <w:r>
        <w:instrText xml:space="preserve"> REF Schedule12 \h </w:instrText>
      </w:r>
      <w:r>
        <w:fldChar w:fldCharType="separate"/>
      </w:r>
      <w:r w:rsidR="00302D39" w:rsidRPr="005D0525">
        <w:t>Schedule</w:t>
      </w:r>
      <w:r w:rsidR="00302D39">
        <w:t> </w:t>
      </w:r>
      <w:r w:rsidR="00302D39" w:rsidRPr="005D0525">
        <w:t>12</w:t>
      </w:r>
      <w:r>
        <w:fldChar w:fldCharType="end"/>
      </w:r>
      <w:r w:rsidRPr="00A550B3">
        <w:t xml:space="preserve"> (</w:t>
      </w:r>
      <w:r w:rsidRPr="00212E6C">
        <w:rPr>
          <w:i/>
          <w:iCs/>
        </w:rPr>
        <w:fldChar w:fldCharType="begin"/>
      </w:r>
      <w:r w:rsidRPr="00212E6C">
        <w:rPr>
          <w:i/>
          <w:iCs/>
        </w:rPr>
        <w:instrText xml:space="preserve"> REF Schedule12Heading \h  \* MERGEFORMAT </w:instrText>
      </w:r>
      <w:r w:rsidRPr="00212E6C">
        <w:rPr>
          <w:i/>
          <w:iCs/>
        </w:rPr>
      </w:r>
      <w:r w:rsidRPr="00212E6C">
        <w:rPr>
          <w:i/>
          <w:iCs/>
        </w:rPr>
        <w:fldChar w:fldCharType="separate"/>
      </w:r>
      <w:r w:rsidR="00302D39" w:rsidRPr="00302D39">
        <w:rPr>
          <w:i/>
          <w:iCs/>
        </w:rPr>
        <w:t>Software</w:t>
      </w:r>
      <w:r w:rsidRPr="00212E6C">
        <w:rPr>
          <w:i/>
          <w:iCs/>
        </w:rPr>
        <w:fldChar w:fldCharType="end"/>
      </w:r>
      <w:r w:rsidRPr="00A550B3">
        <w:t>)</w:t>
      </w:r>
      <w:r>
        <w:t>; and</w:t>
      </w:r>
    </w:p>
    <w:p w14:paraId="0F678F03" w14:textId="77777777" w:rsidR="00F67E9E" w:rsidRDefault="00F67E9E" w:rsidP="00F67E9E">
      <w:pPr>
        <w:pStyle w:val="Numbered111a"/>
        <w:numPr>
          <w:ilvl w:val="3"/>
          <w:numId w:val="273"/>
        </w:numPr>
      </w:pPr>
      <w:r>
        <w:t>the sub-licence does not purport to provide the sub-licensee with any wider rights than those granted to the Supplier under this Paragraph;</w:t>
      </w:r>
    </w:p>
    <w:p w14:paraId="12E61047" w14:textId="77777777" w:rsidR="00F67E9E" w:rsidRDefault="00F67E9E" w:rsidP="00F67E9E">
      <w:pPr>
        <w:pStyle w:val="Numbered111"/>
        <w:keepNext/>
        <w:numPr>
          <w:ilvl w:val="2"/>
          <w:numId w:val="273"/>
        </w:numPr>
      </w:pPr>
      <w:r>
        <w:t>allows the Supplier and any sub-licensee to use, copy and adapt any licensed IPRs for the purpose of:</w:t>
      </w:r>
    </w:p>
    <w:p w14:paraId="1F0B3163" w14:textId="77777777" w:rsidR="00F67E9E" w:rsidRDefault="00F67E9E" w:rsidP="00F67E9E">
      <w:pPr>
        <w:pStyle w:val="Numbered111a"/>
        <w:numPr>
          <w:ilvl w:val="3"/>
          <w:numId w:val="273"/>
        </w:numPr>
      </w:pPr>
      <w:r>
        <w:t>fulfilling its obligations under this Contract; or</w:t>
      </w:r>
    </w:p>
    <w:p w14:paraId="0B726248" w14:textId="77777777" w:rsidR="00F67E9E" w:rsidRDefault="00F67E9E" w:rsidP="00F67E9E">
      <w:pPr>
        <w:pStyle w:val="Numbered111a"/>
        <w:numPr>
          <w:ilvl w:val="3"/>
          <w:numId w:val="273"/>
        </w:numPr>
      </w:pPr>
      <w:bookmarkStart w:id="3782" w:name="_Ref140818880"/>
      <w:r>
        <w:t>commercially exploiting the Project Specific IPR, the Specially Written Software or the Software Supporting Materials.</w:t>
      </w:r>
      <w:bookmarkEnd w:id="3782"/>
    </w:p>
    <w:p w14:paraId="3E312A4A" w14:textId="46C92C6D" w:rsidR="00F67E9E" w:rsidRDefault="00F67E9E" w:rsidP="00F67E9E">
      <w:pPr>
        <w:pStyle w:val="Numbered11"/>
        <w:keepNext/>
        <w:numPr>
          <w:ilvl w:val="1"/>
          <w:numId w:val="273"/>
        </w:numPr>
      </w:pPr>
      <w:r>
        <w:t>When the licence granted under Paragraph </w:t>
      </w:r>
      <w:r>
        <w:fldChar w:fldCharType="begin"/>
      </w:r>
      <w:r>
        <w:instrText xml:space="preserve"> REF _Ref140164815 \w \h  \* MERGEFORMAT </w:instrText>
      </w:r>
      <w:r>
        <w:fldChar w:fldCharType="separate"/>
      </w:r>
      <w:r w:rsidR="00302D39">
        <w:t>6.1</w:t>
      </w:r>
      <w:r>
        <w:fldChar w:fldCharType="end"/>
      </w:r>
      <w:r>
        <w:t>:</w:t>
      </w:r>
    </w:p>
    <w:p w14:paraId="7F303351" w14:textId="374697AE" w:rsidR="00F67E9E" w:rsidRDefault="00F67E9E" w:rsidP="00F67E9E">
      <w:pPr>
        <w:pStyle w:val="Numbered111"/>
        <w:numPr>
          <w:ilvl w:val="2"/>
          <w:numId w:val="273"/>
        </w:numPr>
      </w:pPr>
      <w:r>
        <w:t>terminates in accordance with Paragraph </w:t>
      </w:r>
      <w:r>
        <w:fldChar w:fldCharType="begin"/>
      </w:r>
      <w:r>
        <w:instrText xml:space="preserve"> REF _Ref140164832 \w \h  \* MERGEFORMAT </w:instrText>
      </w:r>
      <w:r>
        <w:fldChar w:fldCharType="separate"/>
      </w:r>
      <w:r w:rsidR="00302D39">
        <w:t>3.6</w:t>
      </w:r>
      <w:r>
        <w:fldChar w:fldCharType="end"/>
      </w:r>
      <w:r>
        <w:t>; or</w:t>
      </w:r>
    </w:p>
    <w:p w14:paraId="772DB3D7" w14:textId="77777777" w:rsidR="00F67E9E" w:rsidRDefault="00F67E9E" w:rsidP="00F67E9E">
      <w:pPr>
        <w:pStyle w:val="Numbered111"/>
        <w:numPr>
          <w:ilvl w:val="2"/>
          <w:numId w:val="273"/>
        </w:numPr>
      </w:pPr>
      <w:r>
        <w:t>no longer has effect at the end of the Term or the expiry of any Termination Assistance Period (whichever is the later),</w:t>
      </w:r>
    </w:p>
    <w:p w14:paraId="2F594467" w14:textId="69EFA76C" w:rsidR="00F67E9E" w:rsidRDefault="00F67E9E" w:rsidP="00F67E9E">
      <w:pPr>
        <w:pStyle w:val="StdBodyText1"/>
      </w:pPr>
      <w:r>
        <w:t>the Supplier must, and must ensure that each Sub-contractor granted a sub-licence under Paragraph </w:t>
      </w:r>
      <w:r>
        <w:fldChar w:fldCharType="begin"/>
      </w:r>
      <w:r>
        <w:instrText xml:space="preserve"> REF _Ref140164851 \w \h  \* MERGEFORMAT </w:instrText>
      </w:r>
      <w:r>
        <w:fldChar w:fldCharType="separate"/>
      </w:r>
      <w:r w:rsidR="00302D39">
        <w:t>6.1.5</w:t>
      </w:r>
      <w:r>
        <w:fldChar w:fldCharType="end"/>
      </w:r>
      <w:r>
        <w:t>:</w:t>
      </w:r>
    </w:p>
    <w:p w14:paraId="0EA202A8" w14:textId="77777777" w:rsidR="00F67E9E" w:rsidRDefault="00F67E9E" w:rsidP="00F67E9E">
      <w:pPr>
        <w:pStyle w:val="Numbered111"/>
        <w:numPr>
          <w:ilvl w:val="2"/>
          <w:numId w:val="273"/>
        </w:numPr>
      </w:pPr>
      <w:r>
        <w:t>immediately cease all use of the licensed IPR;</w:t>
      </w:r>
    </w:p>
    <w:p w14:paraId="784C9555" w14:textId="77777777" w:rsidR="00F67E9E" w:rsidRDefault="00F67E9E" w:rsidP="00F67E9E">
      <w:pPr>
        <w:pStyle w:val="Numbered111"/>
        <w:keepNext/>
        <w:numPr>
          <w:ilvl w:val="2"/>
          <w:numId w:val="273"/>
        </w:numPr>
      </w:pPr>
      <w:r>
        <w:t>either:</w:t>
      </w:r>
    </w:p>
    <w:p w14:paraId="2D09E7D3" w14:textId="77777777" w:rsidR="00F67E9E" w:rsidRDefault="00F67E9E" w:rsidP="00F67E9E">
      <w:pPr>
        <w:pStyle w:val="Numbered111a"/>
        <w:numPr>
          <w:ilvl w:val="3"/>
          <w:numId w:val="273"/>
        </w:numPr>
      </w:pPr>
      <w:r>
        <w:t xml:space="preserve">at the discretion of the Authority, return or destroy documents and other tangible materials that contain any of the licensed IPR; or </w:t>
      </w:r>
    </w:p>
    <w:p w14:paraId="700F4C90" w14:textId="77777777" w:rsidR="00F67E9E" w:rsidRDefault="00F67E9E" w:rsidP="00F67E9E">
      <w:pPr>
        <w:pStyle w:val="Numbered111a"/>
        <w:numPr>
          <w:ilvl w:val="3"/>
          <w:numId w:val="273"/>
        </w:numPr>
      </w:pPr>
      <w:r>
        <w:t>if the Authority has not made an election within six months of the termination of the licence, destroy the documents and other tangible materials that contain any of the licensed IPR; and</w:t>
      </w:r>
    </w:p>
    <w:p w14:paraId="15F91206" w14:textId="77777777" w:rsidR="00F67E9E" w:rsidRPr="00DA566F" w:rsidRDefault="00F67E9E" w:rsidP="00F67E9E">
      <w:pPr>
        <w:pStyle w:val="Numbered111"/>
        <w:numPr>
          <w:ilvl w:val="2"/>
          <w:numId w:val="273"/>
        </w:numPr>
      </w:pPr>
      <w:r>
        <w:t>ensure, so far as reasonably practicable, that any licensed IPR held in electronic, digital or other machine-readable form ceases to be readily accessible from any computer, word processor, voicemail system or any other device of the Supplier</w:t>
      </w:r>
    </w:p>
    <w:p w14:paraId="0F351E44" w14:textId="340AF110" w:rsidR="00F67E9E" w:rsidRPr="00DB4F7B" w:rsidRDefault="00F67E9E" w:rsidP="00F67E9E">
      <w:pPr>
        <w:keepNext/>
        <w:pageBreakBefore/>
        <w:spacing w:before="240"/>
        <w:rPr>
          <w:bCs/>
          <w:i/>
          <w:iCs/>
        </w:rPr>
      </w:pPr>
      <w:r w:rsidRPr="00DB4F7B">
        <w:rPr>
          <w:b/>
          <w:i/>
          <w:iCs/>
        </w:rPr>
        <w:t>[</w:t>
      </w:r>
      <w:r w:rsidRPr="00DB4F7B">
        <w:rPr>
          <w:b/>
          <w:i/>
          <w:iCs/>
          <w:highlight w:val="yellow"/>
        </w:rPr>
        <w:t>Guidance note:</w:t>
      </w:r>
      <w:r w:rsidRPr="00DB4F7B">
        <w:rPr>
          <w:bCs/>
          <w:i/>
          <w:iCs/>
          <w:highlight w:val="yellow"/>
        </w:rPr>
        <w:t xml:space="preserve"> </w:t>
      </w:r>
      <w:r w:rsidRPr="00DB4F7B">
        <w:rPr>
          <w:b/>
          <w:i/>
          <w:iCs/>
          <w:highlight w:val="yellow"/>
        </w:rPr>
        <w:t xml:space="preserve">for </w:t>
      </w:r>
      <w:r w:rsidRPr="00DB4F7B">
        <w:rPr>
          <w:b/>
          <w:i/>
          <w:iCs/>
          <w:highlight w:val="yellow"/>
          <w:u w:val="single"/>
        </w:rPr>
        <w:t xml:space="preserve">Option </w:t>
      </w:r>
      <w:r w:rsidRPr="00DB4F7B">
        <w:rPr>
          <w:b/>
          <w:i/>
          <w:iCs/>
          <w:highlight w:val="yellow"/>
          <w:u w:val="single"/>
        </w:rPr>
        <w:fldChar w:fldCharType="begin"/>
      </w:r>
      <w:r w:rsidRPr="00DB4F7B">
        <w:rPr>
          <w:b/>
          <w:i/>
          <w:iCs/>
          <w:highlight w:val="yellow"/>
          <w:u w:val="single"/>
        </w:rPr>
        <w:instrText xml:space="preserve"> REF OPTION5_SCHEDULE32 \h  \* MERGEFORMAT </w:instrText>
      </w:r>
      <w:r w:rsidRPr="00DB4F7B">
        <w:rPr>
          <w:b/>
          <w:i/>
          <w:iCs/>
          <w:highlight w:val="yellow"/>
          <w:u w:val="single"/>
        </w:rPr>
      </w:r>
      <w:r w:rsidRPr="00DB4F7B">
        <w:rPr>
          <w:b/>
          <w:i/>
          <w:iCs/>
          <w:highlight w:val="yellow"/>
          <w:u w:val="single"/>
        </w:rPr>
        <w:fldChar w:fldCharType="separate"/>
      </w:r>
      <w:r w:rsidR="00302D39" w:rsidRPr="00302D39">
        <w:rPr>
          <w:b/>
          <w:i/>
          <w:iCs/>
          <w:u w:val="single"/>
        </w:rPr>
        <w:t>5</w:t>
      </w:r>
      <w:r w:rsidRPr="00DB4F7B">
        <w:rPr>
          <w:b/>
          <w:i/>
          <w:iCs/>
          <w:highlight w:val="yellow"/>
          <w:u w:val="single"/>
        </w:rPr>
        <w:fldChar w:fldCharType="end"/>
      </w:r>
      <w:r w:rsidRPr="00DB4F7B">
        <w:rPr>
          <w:b/>
          <w:i/>
          <w:iCs/>
          <w:highlight w:val="yellow"/>
        </w:rPr>
        <w:t xml:space="preserve">: </w:t>
      </w:r>
      <w:r w:rsidRPr="00DB4F7B">
        <w:rPr>
          <w:rFonts w:eastAsia="Arial" w:cs="Arial"/>
          <w:b/>
          <w:i/>
          <w:iCs/>
          <w:highlight w:val="yellow"/>
        </w:rPr>
        <w:t xml:space="preserve">Supplier rights to all Project Specific IPR and Specially Written Software with </w:t>
      </w:r>
      <w:r w:rsidR="00694991">
        <w:rPr>
          <w:rFonts w:eastAsia="Arial" w:cs="Arial"/>
          <w:b/>
          <w:i/>
          <w:iCs/>
          <w:highlight w:val="yellow"/>
        </w:rPr>
        <w:t>royalties</w:t>
      </w:r>
      <w:r w:rsidRPr="00DB4F7B">
        <w:rPr>
          <w:rFonts w:eastAsia="Arial" w:cs="Arial"/>
          <w:b/>
          <w:i/>
          <w:iCs/>
          <w:highlight w:val="yellow"/>
        </w:rPr>
        <w:t>, please use the appropriate drafting taken from either Options </w:t>
      </w:r>
      <w:r w:rsidRPr="00DB4F7B">
        <w:rPr>
          <w:rFonts w:eastAsia="Arial" w:cs="Arial"/>
          <w:b/>
          <w:i/>
          <w:iCs/>
          <w:highlight w:val="yellow"/>
        </w:rPr>
        <w:fldChar w:fldCharType="begin"/>
      </w:r>
      <w:r w:rsidRPr="00DB4F7B">
        <w:rPr>
          <w:rFonts w:eastAsia="Arial" w:cs="Arial"/>
          <w:b/>
          <w:i/>
          <w:iCs/>
          <w:highlight w:val="yellow"/>
        </w:rPr>
        <w:instrText xml:space="preserve"> REF OPTION2_SCHEDULE32 \h  \* MERGEFORMAT </w:instrText>
      </w:r>
      <w:r w:rsidRPr="00DB4F7B">
        <w:rPr>
          <w:rFonts w:eastAsia="Arial" w:cs="Arial"/>
          <w:b/>
          <w:i/>
          <w:iCs/>
          <w:highlight w:val="yellow"/>
        </w:rPr>
      </w:r>
      <w:r w:rsidRPr="00DB4F7B">
        <w:rPr>
          <w:rFonts w:eastAsia="Arial" w:cs="Arial"/>
          <w:b/>
          <w:i/>
          <w:iCs/>
          <w:highlight w:val="yellow"/>
        </w:rPr>
        <w:fldChar w:fldCharType="separate"/>
      </w:r>
      <w:r w:rsidR="00302D39" w:rsidRPr="00302D39">
        <w:rPr>
          <w:b/>
          <w:i/>
          <w:iCs/>
        </w:rPr>
        <w:t>2</w:t>
      </w:r>
      <w:r w:rsidRPr="00DB4F7B">
        <w:rPr>
          <w:rFonts w:eastAsia="Arial" w:cs="Arial"/>
          <w:b/>
          <w:i/>
          <w:iCs/>
          <w:highlight w:val="yellow"/>
        </w:rPr>
        <w:fldChar w:fldCharType="end"/>
      </w:r>
      <w:r w:rsidRPr="00DB4F7B">
        <w:rPr>
          <w:rFonts w:eastAsia="Arial" w:cs="Arial"/>
          <w:b/>
          <w:i/>
          <w:iCs/>
          <w:highlight w:val="yellow"/>
        </w:rPr>
        <w:t xml:space="preserve">, </w:t>
      </w:r>
      <w:r w:rsidRPr="00DB4F7B">
        <w:rPr>
          <w:rFonts w:eastAsia="Arial" w:cs="Arial"/>
          <w:b/>
          <w:i/>
          <w:iCs/>
          <w:highlight w:val="yellow"/>
        </w:rPr>
        <w:fldChar w:fldCharType="begin"/>
      </w:r>
      <w:r w:rsidRPr="00DB4F7B">
        <w:rPr>
          <w:rFonts w:eastAsia="Arial" w:cs="Arial"/>
          <w:b/>
          <w:i/>
          <w:iCs/>
          <w:highlight w:val="yellow"/>
        </w:rPr>
        <w:instrText xml:space="preserve"> REF OPTION3_SCHEDULE32 \h  \* MERGEFORMAT </w:instrText>
      </w:r>
      <w:r w:rsidRPr="00DB4F7B">
        <w:rPr>
          <w:rFonts w:eastAsia="Arial" w:cs="Arial"/>
          <w:b/>
          <w:i/>
          <w:iCs/>
          <w:highlight w:val="yellow"/>
        </w:rPr>
      </w:r>
      <w:r w:rsidRPr="00DB4F7B">
        <w:rPr>
          <w:rFonts w:eastAsia="Arial" w:cs="Arial"/>
          <w:b/>
          <w:i/>
          <w:iCs/>
          <w:highlight w:val="yellow"/>
        </w:rPr>
        <w:fldChar w:fldCharType="separate"/>
      </w:r>
      <w:r w:rsidR="00302D39" w:rsidRPr="00302D39">
        <w:rPr>
          <w:b/>
          <w:i/>
          <w:iCs/>
        </w:rPr>
        <w:t>3</w:t>
      </w:r>
      <w:r w:rsidRPr="00DB4F7B">
        <w:rPr>
          <w:rFonts w:eastAsia="Arial" w:cs="Arial"/>
          <w:b/>
          <w:i/>
          <w:iCs/>
          <w:highlight w:val="yellow"/>
        </w:rPr>
        <w:fldChar w:fldCharType="end"/>
      </w:r>
      <w:r w:rsidRPr="00DB4F7B">
        <w:rPr>
          <w:rFonts w:eastAsia="Arial" w:cs="Arial"/>
          <w:b/>
          <w:i/>
          <w:iCs/>
          <w:highlight w:val="yellow"/>
        </w:rPr>
        <w:t xml:space="preserve"> or Option </w:t>
      </w:r>
      <w:r w:rsidRPr="00DB4F7B">
        <w:rPr>
          <w:rFonts w:eastAsia="Arial" w:cs="Arial"/>
          <w:b/>
          <w:i/>
          <w:iCs/>
          <w:highlight w:val="yellow"/>
        </w:rPr>
        <w:fldChar w:fldCharType="begin"/>
      </w:r>
      <w:r w:rsidRPr="00DB4F7B">
        <w:rPr>
          <w:rFonts w:eastAsia="Arial" w:cs="Arial"/>
          <w:b/>
          <w:i/>
          <w:iCs/>
          <w:highlight w:val="yellow"/>
        </w:rPr>
        <w:instrText xml:space="preserve"> REF OPTION4_SCHEDULE32 \h  \* MERGEFORMAT </w:instrText>
      </w:r>
      <w:r w:rsidRPr="00DB4F7B">
        <w:rPr>
          <w:rFonts w:eastAsia="Arial" w:cs="Arial"/>
          <w:b/>
          <w:i/>
          <w:iCs/>
          <w:highlight w:val="yellow"/>
        </w:rPr>
      </w:r>
      <w:r w:rsidRPr="00DB4F7B">
        <w:rPr>
          <w:rFonts w:eastAsia="Arial" w:cs="Arial"/>
          <w:b/>
          <w:i/>
          <w:iCs/>
          <w:highlight w:val="yellow"/>
        </w:rPr>
        <w:fldChar w:fldCharType="separate"/>
      </w:r>
      <w:r w:rsidR="00302D39" w:rsidRPr="00302D39">
        <w:rPr>
          <w:b/>
          <w:i/>
          <w:iCs/>
        </w:rPr>
        <w:t>4</w:t>
      </w:r>
      <w:r w:rsidRPr="00DB4F7B">
        <w:rPr>
          <w:rFonts w:eastAsia="Arial" w:cs="Arial"/>
          <w:b/>
          <w:i/>
          <w:iCs/>
          <w:highlight w:val="yellow"/>
        </w:rPr>
        <w:fldChar w:fldCharType="end"/>
      </w:r>
      <w:r w:rsidRPr="00DB4F7B">
        <w:rPr>
          <w:rFonts w:eastAsia="Arial" w:cs="Arial"/>
          <w:b/>
          <w:i/>
          <w:iCs/>
          <w:highlight w:val="yellow"/>
        </w:rPr>
        <w:t>, tailored as appropriate, and include the following additional drafting.</w:t>
      </w:r>
      <w:r w:rsidRPr="00DB4F7B">
        <w:rPr>
          <w:b/>
          <w:i/>
          <w:iCs/>
          <w:highlight w:val="yellow"/>
        </w:rPr>
        <w:t>]</w:t>
      </w:r>
    </w:p>
    <w:p w14:paraId="03D6BF05" w14:textId="77777777" w:rsidR="00F67E9E" w:rsidRDefault="00F67E9E" w:rsidP="00F67E9E">
      <w:pPr>
        <w:pStyle w:val="Heading2"/>
      </w:pPr>
      <w:bookmarkStart w:id="3783" w:name="_Toc118293566"/>
      <w:bookmarkStart w:id="3784" w:name="_Toc141712012"/>
      <w:r>
        <w:t xml:space="preserve">Option </w:t>
      </w:r>
      <w:bookmarkStart w:id="3785" w:name="OPTION5_SCHEDULE32"/>
      <w:r>
        <w:t>5</w:t>
      </w:r>
      <w:bookmarkEnd w:id="3783"/>
      <w:bookmarkEnd w:id="3784"/>
      <w:bookmarkEnd w:id="3785"/>
    </w:p>
    <w:p w14:paraId="606ACBA7" w14:textId="77777777" w:rsidR="00F67E9E" w:rsidRDefault="00F67E9E" w:rsidP="00F67E9E">
      <w:pPr>
        <w:pStyle w:val="Numbered1"/>
        <w:numPr>
          <w:ilvl w:val="0"/>
          <w:numId w:val="279"/>
        </w:numPr>
      </w:pPr>
      <w:bookmarkStart w:id="3786" w:name="_Toc136451207"/>
      <w:r>
        <w:t>Royalties</w:t>
      </w:r>
      <w:bookmarkEnd w:id="3786"/>
    </w:p>
    <w:p w14:paraId="7C139F47" w14:textId="77777777" w:rsidR="00F67E9E" w:rsidRDefault="00F67E9E" w:rsidP="00F67E9E">
      <w:pPr>
        <w:pStyle w:val="Numbered11"/>
        <w:keepNext/>
        <w:numPr>
          <w:ilvl w:val="1"/>
          <w:numId w:val="273"/>
        </w:numPr>
      </w:pPr>
      <w:r>
        <w:t>The Supplier must provide a detailed proposal setting out:</w:t>
      </w:r>
    </w:p>
    <w:p w14:paraId="17D2704A" w14:textId="77777777" w:rsidR="00F67E9E" w:rsidRDefault="00F67E9E" w:rsidP="00F67E9E">
      <w:pPr>
        <w:pStyle w:val="Numbered111"/>
        <w:numPr>
          <w:ilvl w:val="2"/>
          <w:numId w:val="273"/>
        </w:numPr>
      </w:pPr>
      <w:r>
        <w:t>the purpose for which it proposes to use the Project Specific IPR, Specially Written Software, the Authority Software, the Authority Data and/or the Authority Background IPRs;</w:t>
      </w:r>
    </w:p>
    <w:p w14:paraId="7F2A8658" w14:textId="77777777" w:rsidR="00F67E9E" w:rsidRDefault="00F67E9E" w:rsidP="00F67E9E">
      <w:pPr>
        <w:pStyle w:val="Numbered111"/>
        <w:numPr>
          <w:ilvl w:val="2"/>
          <w:numId w:val="273"/>
        </w:numPr>
      </w:pPr>
      <w:r>
        <w:t>the activities the Supplier proposes to undertake with or in respect of the Project Specific IPR, Specially Written Software, the Authority Software, the Authority Data and/or the Authority Background IPRs;</w:t>
      </w:r>
    </w:p>
    <w:p w14:paraId="1D70D867" w14:textId="77777777" w:rsidR="00F67E9E" w:rsidRDefault="00F67E9E" w:rsidP="00F67E9E">
      <w:pPr>
        <w:pStyle w:val="Numbered111"/>
        <w:keepNext/>
        <w:numPr>
          <w:ilvl w:val="2"/>
          <w:numId w:val="273"/>
        </w:numPr>
      </w:pPr>
      <w:r>
        <w:t>its proposed business plan, including:</w:t>
      </w:r>
    </w:p>
    <w:p w14:paraId="0D2AB9C5" w14:textId="77777777" w:rsidR="00F67E9E" w:rsidRDefault="00F67E9E" w:rsidP="00F67E9E">
      <w:pPr>
        <w:pStyle w:val="Numbered111a"/>
        <w:numPr>
          <w:ilvl w:val="3"/>
          <w:numId w:val="273"/>
        </w:numPr>
      </w:pPr>
      <w:r>
        <w:t>the goods, services or software to be offered by the Supplier that use or incorporate the Project Specific IPR, Specially Written Software, the Authority Software, the Authority Data and/or the Authority Background IPRs;</w:t>
      </w:r>
    </w:p>
    <w:p w14:paraId="3B255F95" w14:textId="77777777" w:rsidR="00F67E9E" w:rsidRDefault="00F67E9E" w:rsidP="00F67E9E">
      <w:pPr>
        <w:pStyle w:val="Numbered111a"/>
        <w:numPr>
          <w:ilvl w:val="3"/>
          <w:numId w:val="273"/>
        </w:numPr>
      </w:pPr>
      <w:r>
        <w:t>the relationship between the Project Specific IPR, Specially Written Software, the Authority Software, the Authority Data and/or the Authority Background IPRs, and any Supplier Existing IPR or Third Party IPR to be incorporated into, or used to provide, those goods, services or software;</w:t>
      </w:r>
    </w:p>
    <w:p w14:paraId="23D0A6A1" w14:textId="77777777" w:rsidR="00F67E9E" w:rsidRDefault="00F67E9E" w:rsidP="00F67E9E">
      <w:pPr>
        <w:pStyle w:val="Numbered111a"/>
        <w:numPr>
          <w:ilvl w:val="3"/>
          <w:numId w:val="273"/>
        </w:numPr>
      </w:pPr>
      <w:r>
        <w:t>the target markets for those goods, services or software;</w:t>
      </w:r>
    </w:p>
    <w:p w14:paraId="16953D9E" w14:textId="77777777" w:rsidR="00F67E9E" w:rsidRDefault="00F67E9E" w:rsidP="00F67E9E">
      <w:pPr>
        <w:pStyle w:val="Numbered111a"/>
        <w:numPr>
          <w:ilvl w:val="3"/>
          <w:numId w:val="273"/>
        </w:numPr>
      </w:pPr>
      <w:r>
        <w:t>the estimated level of orders;</w:t>
      </w:r>
    </w:p>
    <w:p w14:paraId="766982AE" w14:textId="77777777" w:rsidR="00F67E9E" w:rsidRDefault="00F67E9E" w:rsidP="00F67E9E">
      <w:pPr>
        <w:pStyle w:val="Numbered111a"/>
        <w:numPr>
          <w:ilvl w:val="3"/>
          <w:numId w:val="273"/>
        </w:numPr>
      </w:pPr>
      <w:r>
        <w:t>its marketing strategy;</w:t>
      </w:r>
    </w:p>
    <w:p w14:paraId="48C73476" w14:textId="77777777" w:rsidR="00F67E9E" w:rsidRDefault="00F67E9E" w:rsidP="00F67E9E">
      <w:pPr>
        <w:pStyle w:val="Numbered111a"/>
        <w:numPr>
          <w:ilvl w:val="3"/>
          <w:numId w:val="273"/>
        </w:numPr>
      </w:pPr>
      <w:r>
        <w:t>details of the estimated costs, prices, revenues and profits;</w:t>
      </w:r>
    </w:p>
    <w:p w14:paraId="1D347866" w14:textId="77777777" w:rsidR="00F67E9E" w:rsidRDefault="00F67E9E" w:rsidP="00F67E9E">
      <w:pPr>
        <w:pStyle w:val="Numbered111a"/>
        <w:numPr>
          <w:ilvl w:val="3"/>
          <w:numId w:val="273"/>
        </w:numPr>
      </w:pPr>
      <w:bookmarkStart w:id="3787" w:name="_Ref135239042"/>
      <w:r>
        <w:t>the proposed financial benefit to the Authority;</w:t>
      </w:r>
      <w:bookmarkEnd w:id="3787"/>
    </w:p>
    <w:p w14:paraId="00FB9941" w14:textId="77777777" w:rsidR="00F67E9E" w:rsidRDefault="00F67E9E" w:rsidP="00F67E9E">
      <w:pPr>
        <w:pStyle w:val="Numbered111"/>
        <w:numPr>
          <w:ilvl w:val="2"/>
          <w:numId w:val="273"/>
        </w:numPr>
      </w:pPr>
      <w:r>
        <w:t>the impact of the proposal on the Services the Supplier provides under the Contract;</w:t>
      </w:r>
    </w:p>
    <w:p w14:paraId="4F330EEE" w14:textId="77777777" w:rsidR="00F67E9E" w:rsidRDefault="00F67E9E" w:rsidP="00F67E9E">
      <w:pPr>
        <w:pStyle w:val="Numbered111"/>
        <w:numPr>
          <w:ilvl w:val="2"/>
          <w:numId w:val="273"/>
        </w:numPr>
      </w:pPr>
      <w:r>
        <w:t>an analysis of the likely terms, including financial terms, on which the Supplier would be able to obtain access to intellectual property equivalent to the Project Specific IPR, Specially Written Software, the Authority Software, the Authority Data and/or the Authority Background IPRs were it to enter into an arm’s length commercial relationship with a third-party;</w:t>
      </w:r>
    </w:p>
    <w:p w14:paraId="74D0A2C4" w14:textId="77777777" w:rsidR="00F67E9E" w:rsidRDefault="00F67E9E" w:rsidP="00F67E9E">
      <w:pPr>
        <w:pStyle w:val="Numbered111"/>
        <w:numPr>
          <w:ilvl w:val="2"/>
          <w:numId w:val="273"/>
        </w:numPr>
      </w:pPr>
      <w:r>
        <w:t>the terms on which the Supplier proposes to licence the Authority Software, the Authority Data and/or the Authority Background IPRs from the Authority;</w:t>
      </w:r>
    </w:p>
    <w:p w14:paraId="03012A80" w14:textId="77777777" w:rsidR="00F67E9E" w:rsidRDefault="00F67E9E" w:rsidP="00F67E9E">
      <w:pPr>
        <w:pStyle w:val="Numbered111"/>
        <w:numPr>
          <w:ilvl w:val="2"/>
          <w:numId w:val="273"/>
        </w:numPr>
      </w:pPr>
      <w:r>
        <w:t>any proposed Contract Change; and</w:t>
      </w:r>
    </w:p>
    <w:p w14:paraId="5EC81630" w14:textId="77777777" w:rsidR="00F67E9E" w:rsidRDefault="00F67E9E" w:rsidP="00F67E9E">
      <w:pPr>
        <w:pStyle w:val="Numbered111"/>
        <w:numPr>
          <w:ilvl w:val="2"/>
          <w:numId w:val="273"/>
        </w:numPr>
      </w:pPr>
      <w:r>
        <w:t>any additional agreement the Supplier proposes that it and the Authority enter into;</w:t>
      </w:r>
    </w:p>
    <w:p w14:paraId="3D08174A" w14:textId="77777777" w:rsidR="00F67E9E" w:rsidRDefault="00F67E9E" w:rsidP="00F67E9E">
      <w:pPr>
        <w:pStyle w:val="Numbered111"/>
        <w:numPr>
          <w:ilvl w:val="2"/>
          <w:numId w:val="273"/>
        </w:numPr>
      </w:pPr>
      <w:r>
        <w:t>any other information the Authority requires to properly assess the Supplier’s proposed; and</w:t>
      </w:r>
    </w:p>
    <w:p w14:paraId="7A725948" w14:textId="77777777" w:rsidR="00F67E9E" w:rsidRDefault="00F67E9E" w:rsidP="00F67E9E">
      <w:pPr>
        <w:pStyle w:val="Numbered111"/>
        <w:numPr>
          <w:ilvl w:val="2"/>
          <w:numId w:val="273"/>
        </w:numPr>
      </w:pPr>
      <w:r>
        <w:t>any other information required by the Authority.</w:t>
      </w:r>
    </w:p>
    <w:p w14:paraId="0FD81279" w14:textId="5022CED6" w:rsidR="00F67E9E" w:rsidRDefault="00F67E9E" w:rsidP="00F67E9E">
      <w:pPr>
        <w:pStyle w:val="Numbered11"/>
        <w:numPr>
          <w:ilvl w:val="1"/>
          <w:numId w:val="273"/>
        </w:numPr>
      </w:pPr>
      <w:r>
        <w:t>Where the proposed financial benefit to the Authority under Paragraph </w:t>
      </w:r>
      <w:r>
        <w:fldChar w:fldCharType="begin"/>
      </w:r>
      <w:r>
        <w:instrText xml:space="preserve"> REF _Ref135239042 \r \h  \* MERGEFORMAT </w:instrText>
      </w:r>
      <w:r>
        <w:fldChar w:fldCharType="separate"/>
      </w:r>
      <w:r w:rsidR="00302D39">
        <w:t>1.1.3(g)</w:t>
      </w:r>
      <w:r>
        <w:fldChar w:fldCharType="end"/>
      </w:r>
      <w:r>
        <w:t xml:space="preserve"> is, in whole or part, a reduction in the Charges under the Contract, the Supplier must set out how it proposes to apply the revenues and profits received to the Charges payable by the Authority.</w:t>
      </w:r>
    </w:p>
    <w:p w14:paraId="6F497469" w14:textId="77777777" w:rsidR="00F67E9E" w:rsidRDefault="00F67E9E" w:rsidP="00F67E9E">
      <w:pPr>
        <w:pStyle w:val="Numbered11"/>
        <w:keepNext/>
        <w:numPr>
          <w:ilvl w:val="1"/>
          <w:numId w:val="273"/>
        </w:numPr>
      </w:pPr>
      <w:r>
        <w:t>Where the Supplier’s proposal provides for the development of new goods, services or software and those goods, services or software are subsequently purchased by the Authority (by whatever means), the terms of that purchase must:</w:t>
      </w:r>
    </w:p>
    <w:p w14:paraId="7003D2C8" w14:textId="23A97C3D" w:rsidR="00F67E9E" w:rsidRDefault="00F67E9E" w:rsidP="00F67E9E">
      <w:pPr>
        <w:pStyle w:val="Numbered111"/>
        <w:numPr>
          <w:ilvl w:val="2"/>
          <w:numId w:val="273"/>
        </w:numPr>
      </w:pPr>
      <w:r>
        <w:t xml:space="preserve">provide for the licencing of the Project Specific IPR and/or the Specially Written Software to the </w:t>
      </w:r>
      <w:r w:rsidR="00694991">
        <w:t>Authority</w:t>
      </w:r>
      <w:r>
        <w:t xml:space="preserve"> on the same terms as in this Contract; and</w:t>
      </w:r>
    </w:p>
    <w:p w14:paraId="5DBA3F8F" w14:textId="77777777" w:rsidR="00F67E9E" w:rsidRDefault="00F67E9E" w:rsidP="00F67E9E">
      <w:pPr>
        <w:pStyle w:val="Numbered111"/>
        <w:numPr>
          <w:ilvl w:val="2"/>
          <w:numId w:val="273"/>
        </w:numPr>
      </w:pPr>
      <w:r>
        <w:t>include a price that reflects the Charges.</w:t>
      </w:r>
    </w:p>
    <w:p w14:paraId="4D25495C" w14:textId="77777777" w:rsidR="00F67E9E" w:rsidRDefault="00F67E9E" w:rsidP="00F67E9E">
      <w:pPr>
        <w:pStyle w:val="Numbered11"/>
        <w:keepNext/>
        <w:numPr>
          <w:ilvl w:val="1"/>
          <w:numId w:val="273"/>
        </w:numPr>
      </w:pPr>
      <w:r>
        <w:t>The Supplier acknowledges that:</w:t>
      </w:r>
    </w:p>
    <w:p w14:paraId="2A7C244B" w14:textId="380FF9D1" w:rsidR="00F67E9E" w:rsidRDefault="00F67E9E" w:rsidP="00F67E9E">
      <w:pPr>
        <w:pStyle w:val="Numbered111"/>
        <w:numPr>
          <w:ilvl w:val="2"/>
          <w:numId w:val="273"/>
        </w:numPr>
      </w:pPr>
      <w:r>
        <w:t xml:space="preserve">the </w:t>
      </w:r>
      <w:r w:rsidR="00694991">
        <w:t>Authority</w:t>
      </w:r>
      <w:r>
        <w:t xml:space="preserve"> may refuse, or require changes to, the Supplier’s proposal in its sole discretion and for any reason; and</w:t>
      </w:r>
    </w:p>
    <w:p w14:paraId="77890ADD" w14:textId="57EF8F9B" w:rsidR="00F67E9E" w:rsidRDefault="00F67E9E" w:rsidP="00F67E9E">
      <w:pPr>
        <w:pStyle w:val="Numbered111"/>
        <w:keepNext/>
        <w:numPr>
          <w:ilvl w:val="2"/>
          <w:numId w:val="273"/>
        </w:numPr>
      </w:pPr>
      <w:r>
        <w:t xml:space="preserve">in considering the Supplier’s proposal, the </w:t>
      </w:r>
      <w:r w:rsidR="00694991">
        <w:t>Authority</w:t>
      </w:r>
      <w:r>
        <w:t xml:space="preserve"> must comply with Law relating to:</w:t>
      </w:r>
    </w:p>
    <w:p w14:paraId="5F72B446" w14:textId="77777777" w:rsidR="00F67E9E" w:rsidRDefault="00F67E9E" w:rsidP="00F67E9E">
      <w:pPr>
        <w:pStyle w:val="Numbered111a"/>
        <w:numPr>
          <w:ilvl w:val="3"/>
          <w:numId w:val="273"/>
        </w:numPr>
      </w:pPr>
      <w:r>
        <w:t>public procurement; and</w:t>
      </w:r>
    </w:p>
    <w:p w14:paraId="4E7AC229" w14:textId="77777777" w:rsidR="00F67E9E" w:rsidRDefault="00F67E9E" w:rsidP="00F67E9E">
      <w:pPr>
        <w:pStyle w:val="Numbered111a"/>
        <w:numPr>
          <w:ilvl w:val="3"/>
          <w:numId w:val="273"/>
        </w:numPr>
      </w:pPr>
      <w:r>
        <w:t>subsidy control.</w:t>
      </w:r>
    </w:p>
    <w:p w14:paraId="56778BD7" w14:textId="1C650E7E" w:rsidR="00F67E9E" w:rsidRDefault="00F67E9E" w:rsidP="00F67E9E">
      <w:pPr>
        <w:pStyle w:val="Numbered11"/>
        <w:keepNext/>
        <w:numPr>
          <w:ilvl w:val="1"/>
          <w:numId w:val="273"/>
        </w:numPr>
      </w:pPr>
      <w:bookmarkStart w:id="3788" w:name="_Ref135298813"/>
      <w:r>
        <w:t xml:space="preserve">Where the </w:t>
      </w:r>
      <w:r w:rsidR="00694991">
        <w:t>Authority</w:t>
      </w:r>
      <w:r>
        <w:t xml:space="preserve"> agrees to the Supplier’s proposal, with or without changes, that proposal will not have effect until both Parties have executed:</w:t>
      </w:r>
      <w:bookmarkEnd w:id="3788"/>
    </w:p>
    <w:p w14:paraId="433C94FE" w14:textId="77777777" w:rsidR="00F67E9E" w:rsidRDefault="00F67E9E" w:rsidP="00F67E9E">
      <w:pPr>
        <w:pStyle w:val="Numbered111"/>
        <w:numPr>
          <w:ilvl w:val="2"/>
          <w:numId w:val="273"/>
        </w:numPr>
      </w:pPr>
      <w:r>
        <w:t>any additional agreement to give effect to the proposal;</w:t>
      </w:r>
    </w:p>
    <w:p w14:paraId="062C9E9B" w14:textId="77777777" w:rsidR="00F67E9E" w:rsidRPr="00452593" w:rsidRDefault="00F67E9E" w:rsidP="00F67E9E">
      <w:pPr>
        <w:pStyle w:val="Numbered111"/>
        <w:numPr>
          <w:ilvl w:val="2"/>
          <w:numId w:val="273"/>
        </w:numPr>
      </w:pPr>
      <w:r>
        <w:t>any consequential Contract Change.</w:t>
      </w:r>
    </w:p>
    <w:p w14:paraId="78CD5AF9" w14:textId="7784BBF4" w:rsidR="00F67E9E" w:rsidRDefault="00F67E9E" w:rsidP="00F67E9E">
      <w:pPr>
        <w:pStyle w:val="Numbered11"/>
        <w:keepNext/>
        <w:numPr>
          <w:ilvl w:val="1"/>
          <w:numId w:val="273"/>
        </w:numPr>
      </w:pPr>
      <w:bookmarkStart w:id="3789" w:name="_Ref140783883"/>
      <w:r>
        <w:t>Any agreement between the Authority and the Supplier entered into under Paragraph </w:t>
      </w:r>
      <w:r>
        <w:fldChar w:fldCharType="begin"/>
      </w:r>
      <w:r>
        <w:instrText xml:space="preserve"> REF _Ref140783883 \r \h  \* MERGEFORMAT </w:instrText>
      </w:r>
      <w:r>
        <w:fldChar w:fldCharType="separate"/>
      </w:r>
      <w:r w:rsidR="00302D39">
        <w:t>1.6</w:t>
      </w:r>
      <w:r>
        <w:fldChar w:fldCharType="end"/>
      </w:r>
      <w:r>
        <w:t xml:space="preserve"> must include provisions to the following effect:</w:t>
      </w:r>
      <w:bookmarkEnd w:id="3789"/>
    </w:p>
    <w:p w14:paraId="79280B46" w14:textId="77777777" w:rsidR="00F67E9E" w:rsidRDefault="00F67E9E" w:rsidP="00F67E9E">
      <w:pPr>
        <w:pStyle w:val="Numbered111"/>
        <w:keepNext/>
        <w:numPr>
          <w:ilvl w:val="2"/>
          <w:numId w:val="273"/>
        </w:numPr>
      </w:pPr>
      <w:r>
        <w:t>the calculation of royalties is based on the following formula:</w:t>
      </w:r>
    </w:p>
    <w:p w14:paraId="10457059" w14:textId="77777777" w:rsidR="00F67E9E" w:rsidRDefault="00F67E9E" w:rsidP="00F67E9E">
      <w:pPr>
        <w:pStyle w:val="StdBodyText3"/>
      </w:pPr>
      <w:r>
        <w:t>R = NSV x RR x P</w:t>
      </w:r>
    </w:p>
    <w:p w14:paraId="52F3B9CF" w14:textId="77777777" w:rsidR="00F67E9E" w:rsidRDefault="00F67E9E" w:rsidP="00F67E9E">
      <w:pPr>
        <w:pStyle w:val="StdBodyText3"/>
      </w:pPr>
      <w:r>
        <w:t>where:</w:t>
      </w:r>
    </w:p>
    <w:p w14:paraId="6B2C0BDE" w14:textId="77777777" w:rsidR="00F67E9E" w:rsidRDefault="00F67E9E" w:rsidP="00F67E9E">
      <w:pPr>
        <w:pStyle w:val="StdBodyText5"/>
      </w:pPr>
      <w:r>
        <w:t>R is the royalty payable on an individual item subject to the agreement;</w:t>
      </w:r>
    </w:p>
    <w:p w14:paraId="13D04367" w14:textId="77777777" w:rsidR="00F67E9E" w:rsidRDefault="00F67E9E" w:rsidP="00F67E9E">
      <w:pPr>
        <w:pStyle w:val="StdBodyText5"/>
      </w:pPr>
      <w:r>
        <w:t>NSV is the net sales value of the item, that is the price for which the Supplier sold the item to a third party after the deduction of normal trade discounts and excluding Value Added Tax or any other tax or duty based directly on the price of the item and payable by the purchaser;</w:t>
      </w:r>
    </w:p>
    <w:p w14:paraId="37B694B8" w14:textId="77777777" w:rsidR="00F67E9E" w:rsidRDefault="00F67E9E" w:rsidP="00F67E9E">
      <w:pPr>
        <w:pStyle w:val="StdBodyText5"/>
      </w:pPr>
      <w:r>
        <w:t xml:space="preserve">RR is </w:t>
      </w:r>
      <w:r w:rsidRPr="00B73DD6">
        <w:rPr>
          <w:b/>
        </w:rPr>
        <w:t>[</w:t>
      </w:r>
      <w:r w:rsidRPr="003F7947">
        <w:rPr>
          <w:b/>
          <w:highlight w:val="yellow"/>
        </w:rPr>
        <w:t>insert</w:t>
      </w:r>
      <w:r w:rsidRPr="003F7947">
        <w:rPr>
          <w:b/>
          <w:bCs/>
          <w:highlight w:val="yellow"/>
        </w:rPr>
        <w:t>:</w:t>
      </w:r>
      <w:r w:rsidRPr="003F7947">
        <w:rPr>
          <w:highlight w:val="yellow"/>
        </w:rPr>
        <w:t xml:space="preserve"> </w:t>
      </w:r>
      <w:r w:rsidRPr="00D879B2">
        <w:rPr>
          <w:highlight w:val="yellow"/>
        </w:rPr>
        <w:t>the royalty payable on the item, expressed as a percentage</w:t>
      </w:r>
      <w:r>
        <w:t>]; and</w:t>
      </w:r>
    </w:p>
    <w:p w14:paraId="72742990" w14:textId="77777777" w:rsidR="00F67E9E" w:rsidRDefault="00F67E9E" w:rsidP="00F67E9E">
      <w:pPr>
        <w:pStyle w:val="StdBodyText5"/>
      </w:pPr>
      <w:r>
        <w:t>P is the proportion that the Project Specific IPR, Specially Written Software, the Authority Software, the Authority Data and/or the Authority Background IPRs bears to the whole of the item, expressed as a percentage, subject to the following:</w:t>
      </w:r>
    </w:p>
    <w:p w14:paraId="6D6B6788" w14:textId="77777777" w:rsidR="00F67E9E" w:rsidRDefault="00F67E9E" w:rsidP="00F67E9E">
      <w:pPr>
        <w:pStyle w:val="Numbered111ai"/>
        <w:numPr>
          <w:ilvl w:val="4"/>
          <w:numId w:val="273"/>
        </w:numPr>
      </w:pPr>
      <w:r>
        <w:t>the proportion that the Project Specific IPR, Specially Written Software, the Authority Software, the Authority Data and/or the Authority Background IPRs bears to the item as a whole is an estimation of the effort required to develop the Project Specific IPR, Specially Written Software, the Authority Software, the Authority Data and/or the Authority Background IPRs</w:t>
      </w:r>
      <w:r w:rsidDel="00E41713">
        <w:t xml:space="preserve"> </w:t>
      </w:r>
      <w:r>
        <w:t>compared to the item as a whole;</w:t>
      </w:r>
    </w:p>
    <w:p w14:paraId="4C6FADBD" w14:textId="77777777" w:rsidR="00F67E9E" w:rsidRDefault="00F67E9E" w:rsidP="00F67E9E">
      <w:pPr>
        <w:pStyle w:val="Numbered111ai"/>
        <w:numPr>
          <w:ilvl w:val="4"/>
          <w:numId w:val="273"/>
        </w:numPr>
      </w:pPr>
      <w:r>
        <w:t>P is 100% where, either:</w:t>
      </w:r>
    </w:p>
    <w:p w14:paraId="736903B3" w14:textId="77777777" w:rsidR="00F67E9E" w:rsidRDefault="00F67E9E" w:rsidP="00F67E9E">
      <w:pPr>
        <w:pStyle w:val="Numbered111aiA"/>
        <w:numPr>
          <w:ilvl w:val="5"/>
          <w:numId w:val="273"/>
        </w:numPr>
      </w:pPr>
      <w:r>
        <w:t>where the proportion of the Project Specific IPR, Specially Written Software, the Authority Software, the Authority Data and/or the Authority Background IPRs to the item as a whole is 80% or greater; or</w:t>
      </w:r>
    </w:p>
    <w:p w14:paraId="1EBFD447" w14:textId="77777777" w:rsidR="00F67E9E" w:rsidRDefault="00F67E9E" w:rsidP="00F67E9E">
      <w:pPr>
        <w:pStyle w:val="Numbered111aiA"/>
        <w:numPr>
          <w:ilvl w:val="5"/>
          <w:numId w:val="273"/>
        </w:numPr>
      </w:pPr>
      <w:r>
        <w:t>it would not be practicable to create or produce the item without the Project Specific IPR, Specially Written Software, the Authority Software, the Authority Data and/or the Authority Background IPRs.</w:t>
      </w:r>
    </w:p>
    <w:p w14:paraId="403F7126" w14:textId="77777777" w:rsidR="00F67E9E" w:rsidRDefault="00F67E9E" w:rsidP="00F67E9E">
      <w:pPr>
        <w:pStyle w:val="Numbered111"/>
        <w:numPr>
          <w:ilvl w:val="2"/>
          <w:numId w:val="273"/>
        </w:numPr>
      </w:pPr>
      <w:r>
        <w:t>all royalties are paid quarterly on the basis of the total sales of the item in that quarter;</w:t>
      </w:r>
    </w:p>
    <w:p w14:paraId="5CE491F9" w14:textId="77777777" w:rsidR="00F67E9E" w:rsidRDefault="00F67E9E" w:rsidP="00F67E9E">
      <w:pPr>
        <w:pStyle w:val="Numbered111"/>
        <w:keepNext/>
        <w:numPr>
          <w:ilvl w:val="2"/>
          <w:numId w:val="273"/>
        </w:numPr>
      </w:pPr>
      <w:r>
        <w:t>each payment of royalties must be accompanied by a detailed statement showing:</w:t>
      </w:r>
    </w:p>
    <w:p w14:paraId="47C0EF20" w14:textId="77777777" w:rsidR="00F67E9E" w:rsidRDefault="00F67E9E" w:rsidP="00F67E9E">
      <w:pPr>
        <w:pStyle w:val="Numbered111a"/>
        <w:numPr>
          <w:ilvl w:val="3"/>
          <w:numId w:val="273"/>
        </w:numPr>
      </w:pPr>
      <w:r>
        <w:t>the number of items sold in that quarter;</w:t>
      </w:r>
    </w:p>
    <w:p w14:paraId="4FA26728" w14:textId="77777777" w:rsidR="00F67E9E" w:rsidRDefault="00F67E9E" w:rsidP="00F67E9E">
      <w:pPr>
        <w:pStyle w:val="Numbered111a"/>
        <w:numPr>
          <w:ilvl w:val="3"/>
          <w:numId w:val="273"/>
        </w:numPr>
      </w:pPr>
      <w:r>
        <w:t>their net sales value; and</w:t>
      </w:r>
    </w:p>
    <w:p w14:paraId="245C3CC7" w14:textId="77777777" w:rsidR="00F67E9E" w:rsidRDefault="00F67E9E" w:rsidP="00F67E9E">
      <w:pPr>
        <w:pStyle w:val="Numbered111a"/>
        <w:numPr>
          <w:ilvl w:val="3"/>
          <w:numId w:val="273"/>
        </w:numPr>
      </w:pPr>
      <w:r>
        <w:t>the royalties due to the Authority;</w:t>
      </w:r>
    </w:p>
    <w:p w14:paraId="01947092" w14:textId="69E554BC" w:rsidR="00F67E9E" w:rsidRDefault="00F67E9E" w:rsidP="00F67E9E">
      <w:pPr>
        <w:pStyle w:val="Numbered111"/>
        <w:numPr>
          <w:ilvl w:val="2"/>
          <w:numId w:val="273"/>
        </w:numPr>
      </w:pPr>
      <w:r>
        <w:t>the Supplier must keep true and accurate records and books of account containing all information and data necessary for the calculation of royalties, including, for the avoidance of doubt, the calculation of the net sales value and the estimation of P in the formula in Paragraph </w:t>
      </w:r>
      <w:r>
        <w:fldChar w:fldCharType="begin"/>
      </w:r>
      <w:r>
        <w:instrText xml:space="preserve"> REF _Ref140783883 \r \h  \* MERGEFORMAT </w:instrText>
      </w:r>
      <w:r>
        <w:fldChar w:fldCharType="separate"/>
      </w:r>
      <w:r w:rsidR="00302D39">
        <w:t>1.6</w:t>
      </w:r>
      <w:r>
        <w:fldChar w:fldCharType="end"/>
      </w:r>
    </w:p>
    <w:p w14:paraId="36AF2F16" w14:textId="00B3DD68" w:rsidR="00F67E9E" w:rsidRDefault="00F67E9E" w:rsidP="00F67E9E">
      <w:pPr>
        <w:pStyle w:val="Numbered111"/>
        <w:numPr>
          <w:ilvl w:val="2"/>
          <w:numId w:val="273"/>
        </w:numPr>
      </w:pPr>
      <w:r>
        <w:t>the Supplier must make such books and records available for inspection by the Authority, or the Authority’s representative, whether physically or virtually, at any reasonable time specified by the Authority.</w:t>
      </w:r>
    </w:p>
    <w:p w14:paraId="412F439D" w14:textId="77777777" w:rsidR="00694991" w:rsidRPr="00694991" w:rsidRDefault="00694991" w:rsidP="00694991">
      <w:pPr>
        <w:pStyle w:val="Numbered1"/>
        <w:numPr>
          <w:ilvl w:val="0"/>
          <w:numId w:val="0"/>
        </w:numPr>
        <w:ind w:left="720"/>
        <w:rPr>
          <w:i/>
          <w:iCs/>
        </w:rPr>
      </w:pPr>
      <w:r w:rsidRPr="00694991">
        <w:rPr>
          <w:i/>
          <w:iCs/>
          <w:highlight w:val="yellow"/>
        </w:rPr>
        <w:t>[Guidance note: if using Option 2, please delete the following drafting, as the Supplier does not own the New IPR under that option]:</w:t>
      </w:r>
    </w:p>
    <w:p w14:paraId="4D41C117" w14:textId="77777777" w:rsidR="00694991" w:rsidRDefault="00694991" w:rsidP="00694991">
      <w:pPr>
        <w:pStyle w:val="Numbered1"/>
      </w:pPr>
      <w:r>
        <w:t>Clawback</w:t>
      </w:r>
    </w:p>
    <w:p w14:paraId="6E996E23" w14:textId="77777777" w:rsidR="00694991" w:rsidRDefault="00694991" w:rsidP="00694991">
      <w:pPr>
        <w:pStyle w:val="Numbered11"/>
      </w:pPr>
      <w:r>
        <w:t>If, within three (3) years of its creation, the Supplier:</w:t>
      </w:r>
    </w:p>
    <w:p w14:paraId="0F232C4E" w14:textId="77777777" w:rsidR="00694991" w:rsidRDefault="00694991" w:rsidP="00694991">
      <w:pPr>
        <w:pStyle w:val="Numbered111"/>
      </w:pPr>
      <w:r>
        <w:t>is not commercially exploiting any Project Specific IPR or Specially Written Software;</w:t>
      </w:r>
    </w:p>
    <w:p w14:paraId="53675BEA" w14:textId="77777777" w:rsidR="00694991" w:rsidRDefault="00694991" w:rsidP="00694991">
      <w:pPr>
        <w:pStyle w:val="Numbered111"/>
      </w:pPr>
      <w:r>
        <w:t>where the Supplier is not commercially exploiting any Project Specific IPR or Specially Written Software, is not, to the satisfaction of the Authority, using its best endeavours to do so,</w:t>
      </w:r>
    </w:p>
    <w:p w14:paraId="3F3E06F6" w14:textId="77777777" w:rsidR="00694991" w:rsidRPr="00694991" w:rsidRDefault="00694991" w:rsidP="00694991">
      <w:pPr>
        <w:pStyle w:val="Numbered1"/>
        <w:numPr>
          <w:ilvl w:val="0"/>
          <w:numId w:val="0"/>
        </w:numPr>
        <w:rPr>
          <w:b w:val="0"/>
          <w:bCs w:val="0"/>
        </w:rPr>
      </w:pPr>
      <w:r w:rsidRPr="00694991">
        <w:rPr>
          <w:b w:val="0"/>
          <w:bCs w:val="0"/>
        </w:rPr>
        <w:t>then, on written request from the Authority:</w:t>
      </w:r>
    </w:p>
    <w:p w14:paraId="499DD4DF" w14:textId="2D1725BA" w:rsidR="00694991" w:rsidRDefault="00694991" w:rsidP="00694991">
      <w:pPr>
        <w:pStyle w:val="Numbered111a"/>
      </w:pPr>
      <w:r>
        <w:t>the Supplier must promptly assign to the Authority the Project Specific IPR or Specially Written Software or any specified items of the Project Specific IPR or Specially Written Software; and</w:t>
      </w:r>
    </w:p>
    <w:p w14:paraId="46FC501E" w14:textId="77777777" w:rsidR="00694991" w:rsidRDefault="00694991" w:rsidP="00694991">
      <w:pPr>
        <w:pStyle w:val="Numbered111a"/>
      </w:pPr>
      <w:r>
        <w:t>the licence to commercially exploit Authority Software, Authority Data or Authority Background IPRs terminates either:</w:t>
      </w:r>
    </w:p>
    <w:p w14:paraId="589A7852" w14:textId="77777777" w:rsidR="00694991" w:rsidRDefault="00694991" w:rsidP="00694991">
      <w:pPr>
        <w:pStyle w:val="Numbered111a"/>
      </w:pPr>
      <w:r>
        <w:t>on the date specified in the notice; or</w:t>
      </w:r>
    </w:p>
    <w:p w14:paraId="3906D16F" w14:textId="77777777" w:rsidR="00694991" w:rsidRDefault="00694991" w:rsidP="00694991">
      <w:pPr>
        <w:pStyle w:val="Numbered111a"/>
      </w:pPr>
      <w:r>
        <w:t>where no date is specified in the notice, on the date the notice is received by the Supplier.</w:t>
      </w:r>
    </w:p>
    <w:p w14:paraId="559D5B86" w14:textId="23B6C773" w:rsidR="00694991" w:rsidRDefault="00694991" w:rsidP="00694991">
      <w:pPr>
        <w:pStyle w:val="Numbered11"/>
      </w:pPr>
      <w:r>
        <w:t xml:space="preserve"> Each Party shall bear its own costs of preparing and executing any such assignment.</w:t>
      </w:r>
    </w:p>
    <w:p w14:paraId="0F417D81" w14:textId="77777777" w:rsidR="00694991" w:rsidRPr="00694991" w:rsidRDefault="00694991" w:rsidP="00694991">
      <w:pPr>
        <w:pStyle w:val="Numbered1"/>
        <w:numPr>
          <w:ilvl w:val="0"/>
          <w:numId w:val="0"/>
        </w:numPr>
        <w:ind w:left="720"/>
      </w:pPr>
    </w:p>
    <w:p w14:paraId="79AE329C" w14:textId="77777777" w:rsidR="00F67E9E" w:rsidRPr="000038E2" w:rsidRDefault="00F67E9E" w:rsidP="00F67E9E">
      <w:pPr>
        <w:pStyle w:val="Heading2"/>
        <w:pageBreakBefore/>
      </w:pPr>
      <w:bookmarkStart w:id="3790" w:name="_Ref92450772"/>
      <w:bookmarkStart w:id="3791" w:name="_Toc118293567"/>
      <w:bookmarkStart w:id="3792" w:name="_Toc141712013"/>
      <w:r w:rsidRPr="001B4E17">
        <w:t xml:space="preserve">Annex </w:t>
      </w:r>
      <w:bookmarkStart w:id="3793" w:name="ANNEX1_SCHEDULE32"/>
      <w:r w:rsidRPr="001B4E17">
        <w:t>1</w:t>
      </w:r>
      <w:bookmarkEnd w:id="3793"/>
      <w:r w:rsidRPr="001B4E17">
        <w:t>: Project Specific IPR</w:t>
      </w:r>
      <w:bookmarkEnd w:id="3790"/>
      <w:bookmarkEnd w:id="3791"/>
      <w:r>
        <w:t xml:space="preserve"> a</w:t>
      </w:r>
      <w:r w:rsidRPr="001B4E17">
        <w:t>nd Specially Written Software</w:t>
      </w:r>
      <w:bookmarkEnd w:id="3792"/>
      <w:r w:rsidRPr="001B4E17">
        <w:t xml:space="preserve"> </w:t>
      </w:r>
    </w:p>
    <w:tbl>
      <w:tblPr>
        <w:tblStyle w:val="MSATable-header"/>
        <w:tblW w:w="10204" w:type="dxa"/>
        <w:tblLook w:val="0620" w:firstRow="1" w:lastRow="0" w:firstColumn="0" w:lastColumn="0" w:noHBand="1" w:noVBand="1"/>
      </w:tblPr>
      <w:tblGrid>
        <w:gridCol w:w="4535"/>
        <w:gridCol w:w="5669"/>
      </w:tblGrid>
      <w:tr w:rsidR="00F67E9E" w:rsidRPr="002E463E" w14:paraId="7CE10833" w14:textId="77777777" w:rsidTr="007F74AA">
        <w:trPr>
          <w:cnfStyle w:val="100000000000" w:firstRow="1" w:lastRow="0" w:firstColumn="0" w:lastColumn="0" w:oddVBand="0" w:evenVBand="0" w:oddHBand="0" w:evenHBand="0" w:firstRowFirstColumn="0" w:firstRowLastColumn="0" w:lastRowFirstColumn="0" w:lastRowLastColumn="0"/>
          <w:tblHeader/>
        </w:trPr>
        <w:tc>
          <w:tcPr>
            <w:tcW w:w="4535" w:type="dxa"/>
            <w:vAlign w:val="bottom"/>
          </w:tcPr>
          <w:p w14:paraId="2AD88B40" w14:textId="77777777" w:rsidR="00F67E9E" w:rsidRPr="002E463E" w:rsidRDefault="00F67E9E" w:rsidP="007F74AA">
            <w:pPr>
              <w:tabs>
                <w:tab w:val="left" w:pos="709"/>
              </w:tabs>
              <w:rPr>
                <w:rFonts w:eastAsia="Arial" w:cs="Arial"/>
                <w:bCs/>
                <w:color w:val="000000"/>
                <w:szCs w:val="24"/>
              </w:rPr>
            </w:pPr>
            <w:r w:rsidRPr="00DA566F">
              <w:rPr>
                <w:rFonts w:eastAsia="Arial" w:cs="Arial"/>
                <w:bCs/>
                <w:szCs w:val="24"/>
              </w:rPr>
              <w:t>Name of Project Specific IPR</w:t>
            </w:r>
          </w:p>
        </w:tc>
        <w:tc>
          <w:tcPr>
            <w:tcW w:w="5669" w:type="dxa"/>
            <w:vAlign w:val="bottom"/>
          </w:tcPr>
          <w:p w14:paraId="5062E466" w14:textId="77777777" w:rsidR="00F67E9E" w:rsidRPr="002E463E" w:rsidRDefault="00F67E9E" w:rsidP="007F74AA">
            <w:pPr>
              <w:tabs>
                <w:tab w:val="left" w:pos="709"/>
              </w:tabs>
              <w:rPr>
                <w:rFonts w:eastAsia="Arial" w:cs="Arial"/>
                <w:bCs/>
                <w:color w:val="000000"/>
                <w:szCs w:val="24"/>
              </w:rPr>
            </w:pPr>
            <w:r w:rsidRPr="007C382B">
              <w:rPr>
                <w:rFonts w:eastAsia="Arial" w:cs="Arial"/>
                <w:bCs/>
                <w:szCs w:val="24"/>
              </w:rPr>
              <w:t>Details</w:t>
            </w:r>
          </w:p>
        </w:tc>
      </w:tr>
      <w:tr w:rsidR="00F67E9E" w14:paraId="3C1334C8" w14:textId="77777777" w:rsidTr="007F74AA">
        <w:tc>
          <w:tcPr>
            <w:tcW w:w="4535" w:type="dxa"/>
          </w:tcPr>
          <w:p w14:paraId="600482FD" w14:textId="77777777" w:rsidR="00F67E9E" w:rsidRDefault="00F67E9E" w:rsidP="007F74AA">
            <w:pPr>
              <w:tabs>
                <w:tab w:val="left" w:pos="709"/>
              </w:tabs>
              <w:rPr>
                <w:rFonts w:eastAsia="Arial" w:cs="Arial"/>
                <w:color w:val="000000"/>
                <w:szCs w:val="24"/>
              </w:rPr>
            </w:pPr>
          </w:p>
        </w:tc>
        <w:tc>
          <w:tcPr>
            <w:tcW w:w="5669" w:type="dxa"/>
          </w:tcPr>
          <w:p w14:paraId="2822047F" w14:textId="77777777" w:rsidR="00F67E9E" w:rsidRDefault="00F67E9E" w:rsidP="007F74AA">
            <w:pPr>
              <w:tabs>
                <w:tab w:val="left" w:pos="709"/>
              </w:tabs>
              <w:rPr>
                <w:rFonts w:eastAsia="Arial" w:cs="Arial"/>
                <w:color w:val="000000"/>
                <w:szCs w:val="24"/>
              </w:rPr>
            </w:pPr>
          </w:p>
        </w:tc>
      </w:tr>
      <w:tr w:rsidR="00F67E9E" w14:paraId="7DB86FA7" w14:textId="77777777" w:rsidTr="007F74AA">
        <w:tc>
          <w:tcPr>
            <w:tcW w:w="4535" w:type="dxa"/>
          </w:tcPr>
          <w:p w14:paraId="47DCC2C9" w14:textId="77777777" w:rsidR="00F67E9E" w:rsidRDefault="00F67E9E" w:rsidP="007F74AA">
            <w:pPr>
              <w:tabs>
                <w:tab w:val="left" w:pos="709"/>
              </w:tabs>
              <w:rPr>
                <w:rFonts w:eastAsia="Arial" w:cs="Arial"/>
                <w:color w:val="000000"/>
                <w:szCs w:val="24"/>
              </w:rPr>
            </w:pPr>
          </w:p>
        </w:tc>
        <w:tc>
          <w:tcPr>
            <w:tcW w:w="5669" w:type="dxa"/>
          </w:tcPr>
          <w:p w14:paraId="7B296299" w14:textId="77777777" w:rsidR="00F67E9E" w:rsidRDefault="00F67E9E" w:rsidP="007F74AA">
            <w:pPr>
              <w:tabs>
                <w:tab w:val="left" w:pos="709"/>
              </w:tabs>
              <w:rPr>
                <w:rFonts w:eastAsia="Arial" w:cs="Arial"/>
                <w:color w:val="000000"/>
                <w:szCs w:val="24"/>
              </w:rPr>
            </w:pPr>
          </w:p>
        </w:tc>
      </w:tr>
    </w:tbl>
    <w:p w14:paraId="27A06569" w14:textId="77777777" w:rsidR="00F67E9E" w:rsidRDefault="00F67E9E" w:rsidP="00F67E9E">
      <w:pPr>
        <w:rPr>
          <w:highlight w:val="yellow"/>
        </w:rPr>
      </w:pPr>
    </w:p>
    <w:tbl>
      <w:tblPr>
        <w:tblStyle w:val="MSATable-header"/>
        <w:tblW w:w="10204" w:type="dxa"/>
        <w:tblLook w:val="0620" w:firstRow="1" w:lastRow="0" w:firstColumn="0" w:lastColumn="0" w:noHBand="1" w:noVBand="1"/>
      </w:tblPr>
      <w:tblGrid>
        <w:gridCol w:w="4535"/>
        <w:gridCol w:w="5669"/>
      </w:tblGrid>
      <w:tr w:rsidR="00F67E9E" w:rsidRPr="002E463E" w14:paraId="5380DE12" w14:textId="77777777" w:rsidTr="007F74AA">
        <w:trPr>
          <w:cnfStyle w:val="100000000000" w:firstRow="1" w:lastRow="0" w:firstColumn="0" w:lastColumn="0" w:oddVBand="0" w:evenVBand="0" w:oddHBand="0" w:evenHBand="0" w:firstRowFirstColumn="0" w:firstRowLastColumn="0" w:lastRowFirstColumn="0" w:lastRowLastColumn="0"/>
          <w:tblHeader/>
        </w:trPr>
        <w:tc>
          <w:tcPr>
            <w:tcW w:w="4535" w:type="dxa"/>
            <w:vAlign w:val="bottom"/>
          </w:tcPr>
          <w:p w14:paraId="4F5F3DD7" w14:textId="77777777" w:rsidR="00F67E9E" w:rsidRPr="002E463E" w:rsidRDefault="00F67E9E" w:rsidP="007F74AA">
            <w:pPr>
              <w:tabs>
                <w:tab w:val="left" w:pos="709"/>
              </w:tabs>
              <w:rPr>
                <w:rFonts w:eastAsia="Arial" w:cs="Arial"/>
                <w:bCs/>
                <w:color w:val="000000"/>
                <w:szCs w:val="24"/>
              </w:rPr>
            </w:pPr>
            <w:r w:rsidRPr="00DA566F">
              <w:rPr>
                <w:rFonts w:eastAsia="Arial" w:cs="Arial"/>
                <w:bCs/>
                <w:szCs w:val="24"/>
              </w:rPr>
              <w:t>Name of Specially Written Software</w:t>
            </w:r>
          </w:p>
        </w:tc>
        <w:tc>
          <w:tcPr>
            <w:tcW w:w="5669" w:type="dxa"/>
            <w:vAlign w:val="bottom"/>
          </w:tcPr>
          <w:p w14:paraId="13D45300" w14:textId="77777777" w:rsidR="00F67E9E" w:rsidRPr="002E463E" w:rsidRDefault="00F67E9E" w:rsidP="007F74AA">
            <w:pPr>
              <w:tabs>
                <w:tab w:val="left" w:pos="709"/>
              </w:tabs>
              <w:rPr>
                <w:rFonts w:eastAsia="Arial" w:cs="Arial"/>
                <w:bCs/>
                <w:color w:val="000000"/>
                <w:szCs w:val="24"/>
              </w:rPr>
            </w:pPr>
            <w:r w:rsidRPr="007C382B">
              <w:rPr>
                <w:rFonts w:eastAsia="Arial" w:cs="Arial"/>
                <w:bCs/>
                <w:szCs w:val="24"/>
              </w:rPr>
              <w:t>Details</w:t>
            </w:r>
          </w:p>
        </w:tc>
      </w:tr>
      <w:tr w:rsidR="00F67E9E" w14:paraId="0B3DD9B8" w14:textId="77777777" w:rsidTr="007F74AA">
        <w:tc>
          <w:tcPr>
            <w:tcW w:w="4535" w:type="dxa"/>
          </w:tcPr>
          <w:p w14:paraId="11D445CA" w14:textId="77777777" w:rsidR="00F67E9E" w:rsidRDefault="00F67E9E" w:rsidP="007F74AA">
            <w:pPr>
              <w:tabs>
                <w:tab w:val="left" w:pos="709"/>
              </w:tabs>
              <w:rPr>
                <w:rFonts w:eastAsia="Arial" w:cs="Arial"/>
                <w:color w:val="000000"/>
                <w:szCs w:val="24"/>
              </w:rPr>
            </w:pPr>
          </w:p>
        </w:tc>
        <w:tc>
          <w:tcPr>
            <w:tcW w:w="5669" w:type="dxa"/>
          </w:tcPr>
          <w:p w14:paraId="1786036B" w14:textId="77777777" w:rsidR="00F67E9E" w:rsidRDefault="00F67E9E" w:rsidP="007F74AA">
            <w:pPr>
              <w:tabs>
                <w:tab w:val="left" w:pos="709"/>
              </w:tabs>
              <w:rPr>
                <w:rFonts w:eastAsia="Arial" w:cs="Arial"/>
                <w:color w:val="000000"/>
                <w:szCs w:val="24"/>
              </w:rPr>
            </w:pPr>
          </w:p>
        </w:tc>
      </w:tr>
      <w:tr w:rsidR="00F67E9E" w14:paraId="52318593" w14:textId="77777777" w:rsidTr="007F74AA">
        <w:tc>
          <w:tcPr>
            <w:tcW w:w="4535" w:type="dxa"/>
          </w:tcPr>
          <w:p w14:paraId="5ED62402" w14:textId="77777777" w:rsidR="00F67E9E" w:rsidRDefault="00F67E9E" w:rsidP="007F74AA">
            <w:pPr>
              <w:tabs>
                <w:tab w:val="left" w:pos="709"/>
              </w:tabs>
              <w:rPr>
                <w:rFonts w:eastAsia="Arial" w:cs="Arial"/>
                <w:color w:val="000000"/>
                <w:szCs w:val="24"/>
              </w:rPr>
            </w:pPr>
          </w:p>
        </w:tc>
        <w:tc>
          <w:tcPr>
            <w:tcW w:w="5669" w:type="dxa"/>
          </w:tcPr>
          <w:p w14:paraId="58305B75" w14:textId="77777777" w:rsidR="00F67E9E" w:rsidRDefault="00F67E9E" w:rsidP="007F74AA">
            <w:pPr>
              <w:tabs>
                <w:tab w:val="left" w:pos="709"/>
              </w:tabs>
              <w:rPr>
                <w:rFonts w:eastAsia="Arial" w:cs="Arial"/>
                <w:color w:val="000000"/>
                <w:szCs w:val="24"/>
              </w:rPr>
            </w:pPr>
          </w:p>
        </w:tc>
      </w:tr>
    </w:tbl>
    <w:p w14:paraId="50DE2BB9" w14:textId="77777777" w:rsidR="00F67E9E" w:rsidRPr="00D44C96" w:rsidRDefault="00F67E9E" w:rsidP="00F67E9E">
      <w:pPr>
        <w:rPr>
          <w:highlight w:val="yellow"/>
        </w:rPr>
      </w:pPr>
    </w:p>
    <w:tbl>
      <w:tblPr>
        <w:tblStyle w:val="MSATable-header"/>
        <w:tblW w:w="10204" w:type="dxa"/>
        <w:tblLook w:val="0620" w:firstRow="1" w:lastRow="0" w:firstColumn="0" w:lastColumn="0" w:noHBand="1" w:noVBand="1"/>
      </w:tblPr>
      <w:tblGrid>
        <w:gridCol w:w="4535"/>
        <w:gridCol w:w="5669"/>
      </w:tblGrid>
      <w:tr w:rsidR="00F67E9E" w:rsidRPr="002E463E" w14:paraId="33EF6552" w14:textId="77777777" w:rsidTr="007F74AA">
        <w:trPr>
          <w:cnfStyle w:val="100000000000" w:firstRow="1" w:lastRow="0" w:firstColumn="0" w:lastColumn="0" w:oddVBand="0" w:evenVBand="0" w:oddHBand="0" w:evenHBand="0" w:firstRowFirstColumn="0" w:firstRowLastColumn="0" w:lastRowFirstColumn="0" w:lastRowLastColumn="0"/>
          <w:tblHeader/>
        </w:trPr>
        <w:tc>
          <w:tcPr>
            <w:tcW w:w="4535" w:type="dxa"/>
            <w:vAlign w:val="bottom"/>
          </w:tcPr>
          <w:p w14:paraId="76403172" w14:textId="77777777" w:rsidR="00F67E9E" w:rsidRPr="002E463E" w:rsidRDefault="00F67E9E" w:rsidP="007F74AA">
            <w:pPr>
              <w:tabs>
                <w:tab w:val="left" w:pos="709"/>
              </w:tabs>
              <w:rPr>
                <w:rFonts w:eastAsia="Arial" w:cs="Arial"/>
                <w:bCs/>
                <w:color w:val="000000"/>
                <w:szCs w:val="24"/>
              </w:rPr>
            </w:pPr>
            <w:r w:rsidRPr="00DA566F">
              <w:rPr>
                <w:rFonts w:eastAsia="Arial" w:cs="Arial"/>
                <w:bCs/>
                <w:szCs w:val="24"/>
              </w:rPr>
              <w:t>Name of adapted or embedded Supplier Software, Third Party Software, Third Party IPRs, or Supplier Background IPRs</w:t>
            </w:r>
          </w:p>
        </w:tc>
        <w:tc>
          <w:tcPr>
            <w:tcW w:w="5669" w:type="dxa"/>
            <w:vAlign w:val="bottom"/>
          </w:tcPr>
          <w:p w14:paraId="17B5C912" w14:textId="77777777" w:rsidR="00F67E9E" w:rsidRPr="002E463E" w:rsidRDefault="00F67E9E" w:rsidP="007F74AA">
            <w:pPr>
              <w:tabs>
                <w:tab w:val="left" w:pos="709"/>
              </w:tabs>
              <w:rPr>
                <w:rFonts w:eastAsia="Arial" w:cs="Arial"/>
                <w:bCs/>
                <w:color w:val="000000"/>
                <w:szCs w:val="24"/>
              </w:rPr>
            </w:pPr>
            <w:r w:rsidRPr="007C382B">
              <w:rPr>
                <w:rFonts w:eastAsia="Arial" w:cs="Arial"/>
                <w:bCs/>
                <w:szCs w:val="24"/>
              </w:rPr>
              <w:t>Details</w:t>
            </w:r>
          </w:p>
        </w:tc>
      </w:tr>
      <w:tr w:rsidR="00F67E9E" w14:paraId="4F19A345" w14:textId="77777777" w:rsidTr="007F74AA">
        <w:tc>
          <w:tcPr>
            <w:tcW w:w="4535" w:type="dxa"/>
          </w:tcPr>
          <w:p w14:paraId="020ED3F5" w14:textId="77777777" w:rsidR="00F67E9E" w:rsidRDefault="00F67E9E" w:rsidP="007F74AA">
            <w:pPr>
              <w:tabs>
                <w:tab w:val="left" w:pos="709"/>
              </w:tabs>
              <w:rPr>
                <w:rFonts w:eastAsia="Arial" w:cs="Arial"/>
                <w:color w:val="000000"/>
                <w:szCs w:val="24"/>
              </w:rPr>
            </w:pPr>
          </w:p>
        </w:tc>
        <w:tc>
          <w:tcPr>
            <w:tcW w:w="5669" w:type="dxa"/>
          </w:tcPr>
          <w:p w14:paraId="0DE61754" w14:textId="77777777" w:rsidR="00F67E9E" w:rsidRDefault="00F67E9E" w:rsidP="007F74AA">
            <w:pPr>
              <w:tabs>
                <w:tab w:val="left" w:pos="709"/>
              </w:tabs>
              <w:rPr>
                <w:rFonts w:eastAsia="Arial" w:cs="Arial"/>
                <w:color w:val="000000"/>
                <w:szCs w:val="24"/>
              </w:rPr>
            </w:pPr>
          </w:p>
        </w:tc>
      </w:tr>
      <w:tr w:rsidR="00F67E9E" w14:paraId="4283AC55" w14:textId="77777777" w:rsidTr="007F74AA">
        <w:tc>
          <w:tcPr>
            <w:tcW w:w="4535" w:type="dxa"/>
          </w:tcPr>
          <w:p w14:paraId="25996FED" w14:textId="77777777" w:rsidR="00F67E9E" w:rsidRDefault="00F67E9E" w:rsidP="007F74AA">
            <w:pPr>
              <w:tabs>
                <w:tab w:val="left" w:pos="709"/>
              </w:tabs>
              <w:rPr>
                <w:rFonts w:eastAsia="Arial" w:cs="Arial"/>
                <w:color w:val="000000"/>
                <w:szCs w:val="24"/>
              </w:rPr>
            </w:pPr>
          </w:p>
        </w:tc>
        <w:tc>
          <w:tcPr>
            <w:tcW w:w="5669" w:type="dxa"/>
          </w:tcPr>
          <w:p w14:paraId="0A67931E" w14:textId="77777777" w:rsidR="00F67E9E" w:rsidRDefault="00F67E9E" w:rsidP="007F74AA">
            <w:pPr>
              <w:tabs>
                <w:tab w:val="left" w:pos="709"/>
              </w:tabs>
              <w:rPr>
                <w:rFonts w:eastAsia="Arial" w:cs="Arial"/>
                <w:color w:val="000000"/>
                <w:szCs w:val="24"/>
              </w:rPr>
            </w:pPr>
          </w:p>
        </w:tc>
      </w:tr>
    </w:tbl>
    <w:p w14:paraId="507708D4" w14:textId="77777777" w:rsidR="00F67E9E" w:rsidRPr="00D44C96" w:rsidRDefault="00F67E9E" w:rsidP="00F67E9E">
      <w:pPr>
        <w:rPr>
          <w:highlight w:val="yellow"/>
        </w:rPr>
      </w:pPr>
    </w:p>
    <w:p w14:paraId="019A7F97" w14:textId="77777777" w:rsidR="00F67E9E" w:rsidRPr="00DB4F7B" w:rsidRDefault="00F67E9E" w:rsidP="00F67E9E">
      <w:pPr>
        <w:rPr>
          <w:rFonts w:cs="Arial"/>
          <w:bCs/>
          <w:i/>
        </w:rPr>
      </w:pPr>
      <w:r>
        <w:rPr>
          <w:rFonts w:cs="Arial"/>
          <w:b/>
          <w:i/>
        </w:rPr>
        <w:t>[Guidance note:</w:t>
      </w:r>
      <w:r w:rsidRPr="00DB4F7B">
        <w:rPr>
          <w:rFonts w:cs="Arial"/>
          <w:b/>
          <w:i/>
          <w:highlight w:val="yellow"/>
        </w:rPr>
        <w:t xml:space="preserve"> This may need to be updated throughout the life of the Contract. The AuthorityAuthority should make clear to the Supplier that the Project Specific IPR and Specially Written Software which must be recorded in this Annex does not include all forms of IPR which may be created by the Supplier and the Supplier Staff during the completion of their obligations under the Contract. Only Project Specific IPR and Specially Written Software which is part of a Deliverable, or is necessary for the use of a Deliverable by the AuthorityAuthority Authoritywill need to be recorded here. IPR such as email communications or documents which do not form part of the Deliverables need not be recorded in this Annex.</w:t>
      </w:r>
      <w:r w:rsidRPr="00DB4F7B">
        <w:rPr>
          <w:rFonts w:cs="Arial"/>
          <w:b/>
          <w:i/>
        </w:rPr>
        <w:t>]</w:t>
      </w:r>
    </w:p>
    <w:p w14:paraId="1F1D7DC7" w14:textId="77777777" w:rsidR="00F67E9E" w:rsidRPr="007D3E82" w:rsidRDefault="00F67E9E" w:rsidP="00F67E9E"/>
    <w:p w14:paraId="496EFE6E" w14:textId="77777777" w:rsidR="00F67E9E" w:rsidRPr="007D3E82" w:rsidRDefault="00F67E9E" w:rsidP="00F67E9E"/>
    <w:p w14:paraId="11949B48" w14:textId="77777777" w:rsidR="00102034" w:rsidRPr="00F67E9E" w:rsidRDefault="00102034" w:rsidP="00F67E9E"/>
    <w:sectPr w:rsidR="00102034" w:rsidRPr="00F67E9E" w:rsidSect="00240D26">
      <w:headerReference w:type="even" r:id="rId146"/>
      <w:headerReference w:type="default" r:id="rId147"/>
      <w:footerReference w:type="even" r:id="rId148"/>
      <w:footerReference w:type="default" r:id="rId149"/>
      <w:headerReference w:type="first" r:id="rId150"/>
      <w:footerReference w:type="first" r:id="rId151"/>
      <w:pgSz w:w="11900" w:h="16840"/>
      <w:pgMar w:top="1701" w:right="851" w:bottom="1134" w:left="85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88355" w14:textId="77777777" w:rsidR="000D7DE5" w:rsidRDefault="000D7DE5" w:rsidP="004A7C2C">
      <w:r>
        <w:separator/>
      </w:r>
    </w:p>
    <w:p w14:paraId="14E339B6" w14:textId="77777777" w:rsidR="000D7DE5" w:rsidRDefault="000D7DE5"/>
  </w:endnote>
  <w:endnote w:type="continuationSeparator" w:id="0">
    <w:p w14:paraId="153E78DA" w14:textId="77777777" w:rsidR="000D7DE5" w:rsidRDefault="000D7DE5" w:rsidP="004A7C2C">
      <w:r>
        <w:continuationSeparator/>
      </w:r>
    </w:p>
    <w:p w14:paraId="18AF00B7" w14:textId="77777777" w:rsidR="000D7DE5" w:rsidRDefault="000D7DE5"/>
  </w:endnote>
  <w:endnote w:type="continuationNotice" w:id="1">
    <w:p w14:paraId="0280A346" w14:textId="77777777" w:rsidR="000D7DE5" w:rsidRDefault="000D7DE5"/>
    <w:p w14:paraId="1C046822" w14:textId="77777777" w:rsidR="000D7DE5" w:rsidRDefault="000D7D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Bold">
    <w:panose1 w:val="020B07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TZhongsong">
    <w:altName w:val="MS Mincho"/>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88E9F" w14:textId="77777777" w:rsidR="0000154C" w:rsidRDefault="0000154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9926864"/>
      <w:docPartObj>
        <w:docPartGallery w:val="Page Numbers (Bottom of Page)"/>
        <w:docPartUnique/>
      </w:docPartObj>
    </w:sdtPr>
    <w:sdtEndPr>
      <w:rPr>
        <w:noProof/>
      </w:rPr>
    </w:sdtEndPr>
    <w:sdtContent>
      <w:p w14:paraId="5C3764CF" w14:textId="12871C8A" w:rsidR="00F67E9E" w:rsidRDefault="00F67E9E" w:rsidP="006A5EAC">
        <w:pPr>
          <w:pStyle w:val="Footer"/>
          <w:tabs>
            <w:tab w:val="clear" w:pos="4513"/>
            <w:tab w:val="clear" w:pos="9026"/>
            <w:tab w:val="right" w:pos="10206"/>
          </w:tabs>
        </w:pPr>
        <w:r>
          <w:t xml:space="preserve">Schedule 4 </w:t>
        </w:r>
        <w:r w:rsidR="00710FC0">
          <w:t>(</w:t>
        </w:r>
        <w:r>
          <w:t>Standards</w:t>
        </w:r>
        <w:r w:rsidR="00710FC0">
          <w:t>)</w:t>
        </w:r>
        <w:r>
          <w:t>, Model Services Contract, v2.1</w:t>
        </w:r>
        <w:r>
          <w:tab/>
        </w:r>
        <w:r>
          <w:fldChar w:fldCharType="begin"/>
        </w:r>
        <w:r>
          <w:instrText xml:space="preserve"> PAGE   \* MERGEFORMAT </w:instrText>
        </w:r>
        <w:r>
          <w:fldChar w:fldCharType="separate"/>
        </w:r>
        <w:r>
          <w:rPr>
            <w:noProof/>
          </w:rPr>
          <w:t>88</w:t>
        </w:r>
        <w:r>
          <w:rPr>
            <w:noProof/>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2B287" w14:textId="77777777" w:rsidR="00F67E9E" w:rsidRPr="00EE0196" w:rsidRDefault="00F67E9E" w:rsidP="00C96862">
    <w:pPr>
      <w:pBdr>
        <w:top w:val="single" w:sz="4" w:space="10" w:color="auto"/>
      </w:pBdr>
      <w:jc w:val="center"/>
      <w:rPr>
        <w:sz w:val="16"/>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1366194"/>
      <w:docPartObj>
        <w:docPartGallery w:val="Page Numbers (Bottom of Page)"/>
        <w:docPartUnique/>
      </w:docPartObj>
    </w:sdtPr>
    <w:sdtEndPr>
      <w:rPr>
        <w:noProof/>
      </w:rPr>
    </w:sdtEndPr>
    <w:sdtContent>
      <w:p w14:paraId="0A414611" w14:textId="57315D70" w:rsidR="00F67E9E" w:rsidRDefault="00F67E9E" w:rsidP="006A5EAC">
        <w:pPr>
          <w:pStyle w:val="Footer"/>
          <w:tabs>
            <w:tab w:val="clear" w:pos="4513"/>
            <w:tab w:val="clear" w:pos="9026"/>
            <w:tab w:val="right" w:pos="10206"/>
          </w:tabs>
        </w:pPr>
        <w:r>
          <w:t xml:space="preserve">Schedule 5 </w:t>
        </w:r>
        <w:r w:rsidR="00710FC0">
          <w:t>(</w:t>
        </w:r>
        <w:r>
          <w:t>Security Management</w:t>
        </w:r>
        <w:r w:rsidR="00710FC0">
          <w:t>)</w:t>
        </w:r>
        <w:r>
          <w:t>, Model Services Contract, v2.1</w:t>
        </w:r>
        <w:r>
          <w:tab/>
        </w:r>
        <w:r>
          <w:fldChar w:fldCharType="begin"/>
        </w:r>
        <w:r>
          <w:instrText xml:space="preserve"> PAGE   \* MERGEFORMAT </w:instrText>
        </w:r>
        <w:r>
          <w:fldChar w:fldCharType="separate"/>
        </w:r>
        <w:r>
          <w:rPr>
            <w:noProof/>
          </w:rPr>
          <w:t>88</w:t>
        </w:r>
        <w:r>
          <w:rPr>
            <w:noProof/>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2193D" w14:textId="77777777" w:rsidR="00F67E9E" w:rsidRPr="00200027" w:rsidRDefault="00F67E9E" w:rsidP="0060661C">
    <w:pPr>
      <w:pStyle w:val="Footer"/>
      <w:rPr>
        <w:sz w:val="20"/>
        <w:lang w:val="fr-FR"/>
      </w:rPr>
    </w:pPr>
    <w:r w:rsidRPr="00200027">
      <w:rPr>
        <w:sz w:val="20"/>
        <w:lang w:val="fr-FR"/>
      </w:rPr>
      <w:t xml:space="preserve">Model Services </w:t>
    </w:r>
    <w:r w:rsidRPr="00200027">
      <w:rPr>
        <w:sz w:val="20"/>
        <w:highlight w:val="green"/>
        <w:lang w:val="fr-FR"/>
      </w:rPr>
      <w:t>Contract</w:t>
    </w:r>
    <w:r w:rsidRPr="00200027">
      <w:rPr>
        <w:sz w:val="20"/>
        <w:lang w:val="fr-FR"/>
      </w:rPr>
      <w:t xml:space="preserve"> Version 2.0</w:t>
    </w:r>
  </w:p>
  <w:p w14:paraId="78EF0895" w14:textId="77777777" w:rsidR="00F67E9E" w:rsidRPr="00200027" w:rsidRDefault="00F67E9E" w:rsidP="0060661C">
    <w:pPr>
      <w:pStyle w:val="Footer"/>
      <w:rPr>
        <w:sz w:val="20"/>
        <w:lang w:val="fr-FR"/>
      </w:rPr>
    </w:pPr>
  </w:p>
  <w:p w14:paraId="05292AA7" w14:textId="77777777" w:rsidR="00F67E9E" w:rsidRPr="00200027" w:rsidRDefault="00F67E9E" w:rsidP="0060661C">
    <w:pPr>
      <w:pStyle w:val="Footer"/>
      <w:rPr>
        <w:sz w:val="20"/>
        <w:lang w:val="fr-FR"/>
      </w:rPr>
    </w:pPr>
    <w:r w:rsidRPr="00200027">
      <w:rPr>
        <w:sz w:val="20"/>
        <w:lang w:val="fr-FR"/>
      </w:rPr>
      <w:t>Project version 1.0</w:t>
    </w:r>
  </w:p>
  <w:p w14:paraId="1755F926" w14:textId="77777777" w:rsidR="00F67E9E" w:rsidRPr="00200027" w:rsidRDefault="00F67E9E" w:rsidP="0060661C">
    <w:pPr>
      <w:pBdr>
        <w:top w:val="single" w:sz="4" w:space="10" w:color="auto"/>
      </w:pBdr>
      <w:jc w:val="center"/>
      <w:rPr>
        <w:sz w:val="16"/>
        <w:lang w:val="fr-FR"/>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9769503"/>
      <w:docPartObj>
        <w:docPartGallery w:val="Page Numbers (Bottom of Page)"/>
        <w:docPartUnique/>
      </w:docPartObj>
    </w:sdtPr>
    <w:sdtEndPr>
      <w:rPr>
        <w:noProof/>
      </w:rPr>
    </w:sdtEndPr>
    <w:sdtContent>
      <w:p w14:paraId="1011C8B0" w14:textId="1DF0F0A9" w:rsidR="00F67E9E" w:rsidRDefault="00F67E9E" w:rsidP="006A5EAC">
        <w:pPr>
          <w:pStyle w:val="Footer"/>
          <w:tabs>
            <w:tab w:val="clear" w:pos="4513"/>
            <w:tab w:val="clear" w:pos="9026"/>
            <w:tab w:val="right" w:pos="10206"/>
          </w:tabs>
        </w:pPr>
        <w:r>
          <w:t xml:space="preserve">Schedule 6 </w:t>
        </w:r>
        <w:r w:rsidR="005279D9">
          <w:t>(</w:t>
        </w:r>
        <w:r>
          <w:t>Insurance Requirements</w:t>
        </w:r>
        <w:r w:rsidR="005279D9">
          <w:t>)</w:t>
        </w:r>
        <w:r>
          <w:t>, Model Services Contract, v2.1</w:t>
        </w:r>
        <w:r>
          <w:tab/>
        </w:r>
        <w:r>
          <w:fldChar w:fldCharType="begin"/>
        </w:r>
        <w:r>
          <w:instrText xml:space="preserve"> PAGE   \* MERGEFORMAT </w:instrText>
        </w:r>
        <w:r>
          <w:fldChar w:fldCharType="separate"/>
        </w:r>
        <w:r>
          <w:rPr>
            <w:noProof/>
          </w:rPr>
          <w:t>88</w:t>
        </w:r>
        <w:r>
          <w:rPr>
            <w:noProof/>
          </w:rP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136E2" w14:textId="77777777" w:rsidR="00F67E9E" w:rsidRPr="00EE0196" w:rsidRDefault="00F67E9E" w:rsidP="0060661C">
    <w:pPr>
      <w:pBdr>
        <w:top w:val="single" w:sz="4" w:space="10" w:color="auto"/>
      </w:pBdr>
      <w:jc w:val="center"/>
      <w:rPr>
        <w:sz w:val="16"/>
      </w:rPr>
    </w:pPr>
    <w:r w:rsidRPr="00EE0196">
      <w:rPr>
        <w:sz w:val="16"/>
      </w:rPr>
      <w:t xml:space="preserve">Model Services </w:t>
    </w:r>
    <w:r w:rsidRPr="00AE6AFD">
      <w:rPr>
        <w:sz w:val="16"/>
        <w:highlight w:val="green"/>
      </w:rPr>
      <w:t>Contract</w:t>
    </w:r>
    <w:r w:rsidRPr="00EE0196">
      <w:rPr>
        <w:sz w:val="16"/>
      </w:rPr>
      <w:t xml:space="preserve"> Combined </w:t>
    </w:r>
    <w:r w:rsidRPr="00E9603F">
      <w:rPr>
        <w:sz w:val="16"/>
        <w:highlight w:val="magenta"/>
      </w:rPr>
      <w:t>Schedule</w:t>
    </w:r>
    <w:r w:rsidRPr="00EE0196">
      <w:rPr>
        <w:sz w:val="16"/>
      </w:rPr>
      <w:t xml:space="preserve">s v1.09 – </w:t>
    </w:r>
    <w:r w:rsidRPr="00E9603F">
      <w:rPr>
        <w:sz w:val="16"/>
        <w:highlight w:val="magenta"/>
      </w:rPr>
      <w:t>Schedule</w:t>
    </w:r>
    <w:r w:rsidRPr="00EE0196">
      <w:rPr>
        <w:sz w:val="16"/>
      </w:rPr>
      <w:t xml:space="preserve"> 5</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7321279"/>
      <w:docPartObj>
        <w:docPartGallery w:val="Page Numbers (Bottom of Page)"/>
        <w:docPartUnique/>
      </w:docPartObj>
    </w:sdtPr>
    <w:sdtEndPr>
      <w:rPr>
        <w:noProof/>
      </w:rPr>
    </w:sdtEndPr>
    <w:sdtContent>
      <w:p w14:paraId="252C7481" w14:textId="0BF111A7" w:rsidR="00F67E9E" w:rsidRDefault="00F67E9E" w:rsidP="006A5EAC">
        <w:pPr>
          <w:pStyle w:val="Footer"/>
          <w:tabs>
            <w:tab w:val="clear" w:pos="4513"/>
            <w:tab w:val="clear" w:pos="9026"/>
            <w:tab w:val="right" w:pos="10206"/>
          </w:tabs>
        </w:pPr>
        <w:r>
          <w:t xml:space="preserve">Schedule 7 </w:t>
        </w:r>
        <w:r w:rsidR="005279D9">
          <w:t>(</w:t>
        </w:r>
        <w:r>
          <w:t>Authority Respnsibilities</w:t>
        </w:r>
        <w:r w:rsidR="005279D9">
          <w:t>)</w:t>
        </w:r>
        <w:r>
          <w:t>, Model Services Contract, v2.1</w:t>
        </w:r>
        <w:r>
          <w:tab/>
        </w:r>
        <w:r>
          <w:fldChar w:fldCharType="begin"/>
        </w:r>
        <w:r>
          <w:instrText xml:space="preserve"> PAGE   \* MERGEFORMAT </w:instrText>
        </w:r>
        <w:r>
          <w:fldChar w:fldCharType="separate"/>
        </w:r>
        <w:r>
          <w:rPr>
            <w:noProof/>
          </w:rPr>
          <w:t>88</w:t>
        </w:r>
        <w:r>
          <w:rPr>
            <w:noProof/>
          </w:rP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050406"/>
      <w:docPartObj>
        <w:docPartGallery w:val="Page Numbers (Bottom of Page)"/>
        <w:docPartUnique/>
      </w:docPartObj>
    </w:sdtPr>
    <w:sdtEndPr>
      <w:rPr>
        <w:noProof/>
      </w:rPr>
    </w:sdtEndPr>
    <w:sdtContent>
      <w:p w14:paraId="6E21E1FF" w14:textId="5ADE146A" w:rsidR="00F67E9E" w:rsidRDefault="00F67E9E" w:rsidP="006A5EAC">
        <w:pPr>
          <w:pStyle w:val="Footer"/>
          <w:tabs>
            <w:tab w:val="clear" w:pos="4513"/>
            <w:tab w:val="clear" w:pos="9026"/>
            <w:tab w:val="right" w:pos="10206"/>
          </w:tabs>
        </w:pPr>
        <w:r>
          <w:t xml:space="preserve">Schedule 8 </w:t>
        </w:r>
        <w:r w:rsidR="005279D9">
          <w:t>(</w:t>
        </w:r>
        <w:r>
          <w:t>Supplier Solution</w:t>
        </w:r>
        <w:r w:rsidR="005279D9">
          <w:t>)</w:t>
        </w:r>
        <w:r>
          <w:t>, Model Services Contract, v2.1</w:t>
        </w:r>
        <w:r>
          <w:tab/>
        </w:r>
        <w:r>
          <w:fldChar w:fldCharType="begin"/>
        </w:r>
        <w:r>
          <w:instrText xml:space="preserve"> PAGE   \* MERGEFORMAT </w:instrText>
        </w:r>
        <w:r>
          <w:fldChar w:fldCharType="separate"/>
        </w:r>
        <w:r>
          <w:rPr>
            <w:noProof/>
          </w:rPr>
          <w:t>88</w:t>
        </w:r>
        <w:r>
          <w:rPr>
            <w:noProof/>
          </w:rPr>
          <w:fldChar w:fldCharType="end"/>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4297333"/>
      <w:docPartObj>
        <w:docPartGallery w:val="Page Numbers (Bottom of Page)"/>
        <w:docPartUnique/>
      </w:docPartObj>
    </w:sdtPr>
    <w:sdtEndPr>
      <w:rPr>
        <w:noProof/>
      </w:rPr>
    </w:sdtEndPr>
    <w:sdtContent>
      <w:p w14:paraId="0A1E90E9" w14:textId="4E316A7E" w:rsidR="00F67E9E" w:rsidRDefault="00F67E9E" w:rsidP="006A5EAC">
        <w:pPr>
          <w:pStyle w:val="Footer"/>
          <w:tabs>
            <w:tab w:val="clear" w:pos="4513"/>
            <w:tab w:val="clear" w:pos="9026"/>
            <w:tab w:val="right" w:pos="10206"/>
          </w:tabs>
        </w:pPr>
        <w:r>
          <w:t>Schedule 9</w:t>
        </w:r>
        <w:r w:rsidR="005279D9">
          <w:t xml:space="preserve"> (</w:t>
        </w:r>
        <w:r>
          <w:t>Commercial Sensitive Information</w:t>
        </w:r>
        <w:r w:rsidR="00F452B0">
          <w:t>),</w:t>
        </w:r>
        <w:r>
          <w:t xml:space="preserve"> Model Services Contract, v2.1</w:t>
        </w:r>
        <w:r>
          <w:tab/>
        </w:r>
        <w:r>
          <w:fldChar w:fldCharType="begin"/>
        </w:r>
        <w:r>
          <w:instrText xml:space="preserve"> PAGE   \* MERGEFORMAT </w:instrText>
        </w:r>
        <w:r>
          <w:fldChar w:fldCharType="separate"/>
        </w:r>
        <w:r>
          <w:rPr>
            <w:noProof/>
          </w:rPr>
          <w:t>88</w:t>
        </w:r>
        <w:r>
          <w:rPr>
            <w:noProof/>
          </w:rPr>
          <w:fldChar w:fldCharType="end"/>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9026301"/>
      <w:docPartObj>
        <w:docPartGallery w:val="Page Numbers (Bottom of Page)"/>
        <w:docPartUnique/>
      </w:docPartObj>
    </w:sdtPr>
    <w:sdtEndPr>
      <w:rPr>
        <w:noProof/>
      </w:rPr>
    </w:sdtEndPr>
    <w:sdtContent>
      <w:p w14:paraId="0C6796C2" w14:textId="5CE7AE10" w:rsidR="00F67E9E" w:rsidRDefault="00F67E9E" w:rsidP="006A5EAC">
        <w:pPr>
          <w:pStyle w:val="Footer"/>
          <w:tabs>
            <w:tab w:val="clear" w:pos="4513"/>
            <w:tab w:val="clear" w:pos="9026"/>
            <w:tab w:val="right" w:pos="10206"/>
          </w:tabs>
        </w:pPr>
        <w:r>
          <w:t xml:space="preserve">Schedule 10 </w:t>
        </w:r>
        <w:r w:rsidR="00E7435D">
          <w:t>(</w:t>
        </w:r>
        <w:r>
          <w:t>Notified Key Sub-Contractors</w:t>
        </w:r>
        <w:r w:rsidR="00115F57">
          <w:t>),</w:t>
        </w:r>
        <w:r>
          <w:t xml:space="preserve"> Model Services Contract</w:t>
        </w:r>
        <w:r w:rsidR="00E7435D">
          <w:t>)</w:t>
        </w:r>
        <w:r>
          <w:t>, v2.1</w:t>
        </w:r>
        <w:r>
          <w:tab/>
        </w:r>
        <w:r>
          <w:fldChar w:fldCharType="begin"/>
        </w:r>
        <w:r>
          <w:instrText xml:space="preserve"> PAGE   \* MERGEFORMAT </w:instrText>
        </w:r>
        <w:r>
          <w:fldChar w:fldCharType="separate"/>
        </w:r>
        <w:r>
          <w:rPr>
            <w:noProof/>
          </w:rPr>
          <w:t>88</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0397181"/>
      <w:docPartObj>
        <w:docPartGallery w:val="Page Numbers (Bottom of Page)"/>
        <w:docPartUnique/>
      </w:docPartObj>
    </w:sdtPr>
    <w:sdtEndPr>
      <w:rPr>
        <w:noProof/>
      </w:rPr>
    </w:sdtEndPr>
    <w:sdtContent>
      <w:p w14:paraId="3B5C9E40" w14:textId="6713E1A1" w:rsidR="00F67E9E" w:rsidRDefault="00710FC0" w:rsidP="00CD26AF">
        <w:pPr>
          <w:pStyle w:val="Footer"/>
          <w:tabs>
            <w:tab w:val="clear" w:pos="4513"/>
            <w:tab w:val="clear" w:pos="9026"/>
            <w:tab w:val="right" w:pos="10206"/>
          </w:tabs>
        </w:pPr>
        <w:r>
          <w:t>(</w:t>
        </w:r>
        <w:r w:rsidR="00F67E9E">
          <w:t>Combined Schedules</w:t>
        </w:r>
        <w:r>
          <w:t>)</w:t>
        </w:r>
        <w:r w:rsidR="00F67E9E">
          <w:t xml:space="preserve"> Model Services Contract, (Version 2.0A)</w:t>
        </w:r>
        <w:r w:rsidR="00F67E9E">
          <w:tab/>
        </w:r>
        <w:r w:rsidR="00F67E9E">
          <w:fldChar w:fldCharType="begin"/>
        </w:r>
        <w:r w:rsidR="00F67E9E">
          <w:instrText xml:space="preserve"> PAGE   \* MERGEFORMAT </w:instrText>
        </w:r>
        <w:r w:rsidR="00F67E9E">
          <w:fldChar w:fldCharType="separate"/>
        </w:r>
        <w:r w:rsidR="00F67E9E">
          <w:rPr>
            <w:noProof/>
          </w:rPr>
          <w:t>34</w:t>
        </w:r>
        <w:r w:rsidR="00F67E9E">
          <w:rPr>
            <w:noProof/>
          </w:rPr>
          <w:fldChar w:fldCharType="end"/>
        </w:r>
      </w:p>
    </w:sdtContent>
  </w:sdt>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3460037"/>
      <w:docPartObj>
        <w:docPartGallery w:val="Page Numbers (Bottom of Page)"/>
        <w:docPartUnique/>
      </w:docPartObj>
    </w:sdtPr>
    <w:sdtEndPr>
      <w:rPr>
        <w:noProof/>
      </w:rPr>
    </w:sdtEndPr>
    <w:sdtContent>
      <w:p w14:paraId="257E6571" w14:textId="701F08B1" w:rsidR="00F67E9E" w:rsidRDefault="00F67E9E" w:rsidP="006A5EAC">
        <w:pPr>
          <w:pStyle w:val="Footer"/>
          <w:tabs>
            <w:tab w:val="clear" w:pos="4513"/>
            <w:tab w:val="clear" w:pos="9026"/>
            <w:tab w:val="right" w:pos="10206"/>
          </w:tabs>
        </w:pPr>
        <w:r w:rsidRPr="001F774E">
          <w:t xml:space="preserve">Schedule 11 </w:t>
        </w:r>
        <w:r w:rsidR="00E7435D">
          <w:t>(</w:t>
        </w:r>
        <w:r w:rsidRPr="001F774E">
          <w:t>Third Party Contracts</w:t>
        </w:r>
        <w:r w:rsidR="00115F57">
          <w:t>)</w:t>
        </w:r>
        <w:r>
          <w:t>, Model Services Contract, v2.1</w:t>
        </w:r>
        <w:r>
          <w:tab/>
        </w:r>
        <w:r>
          <w:fldChar w:fldCharType="begin"/>
        </w:r>
        <w:r>
          <w:instrText xml:space="preserve"> PAGE   \* MERGEFORMAT </w:instrText>
        </w:r>
        <w:r>
          <w:fldChar w:fldCharType="separate"/>
        </w:r>
        <w:r>
          <w:rPr>
            <w:noProof/>
          </w:rPr>
          <w:t>88</w:t>
        </w:r>
        <w:r>
          <w:rPr>
            <w:noProof/>
          </w:rPr>
          <w:fldChar w:fldCharType="end"/>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D856C" w14:textId="4D9C7159" w:rsidR="00F67E9E" w:rsidRDefault="00F67E9E" w:rsidP="006A5EAC">
    <w:pPr>
      <w:pStyle w:val="Footer"/>
      <w:tabs>
        <w:tab w:val="clear" w:pos="4513"/>
        <w:tab w:val="clear" w:pos="9026"/>
        <w:tab w:val="right" w:pos="10206"/>
      </w:tabs>
    </w:pPr>
    <w:r>
      <w:t xml:space="preserve">Schedule 12 </w:t>
    </w:r>
    <w:r w:rsidR="00E7435D">
      <w:t>(</w:t>
    </w:r>
    <w:sdt>
      <w:sdtPr>
        <w:id w:val="829493847"/>
        <w:docPartObj>
          <w:docPartGallery w:val="Page Numbers (Bottom of Page)"/>
          <w:docPartUnique/>
        </w:docPartObj>
      </w:sdtPr>
      <w:sdtEndPr>
        <w:rPr>
          <w:noProof/>
        </w:rPr>
      </w:sdtEndPr>
      <w:sdtContent>
        <w:r>
          <w:t>Software</w:t>
        </w:r>
        <w:r w:rsidR="00E7435D">
          <w:t>)</w:t>
        </w:r>
        <w:r>
          <w:t>, Model Services Contract, v2.1</w:t>
        </w:r>
        <w:r>
          <w:tab/>
        </w:r>
        <w:r>
          <w:fldChar w:fldCharType="begin"/>
        </w:r>
        <w:r>
          <w:instrText xml:space="preserve"> PAGE   \* MERGEFORMAT </w:instrText>
        </w:r>
        <w:r>
          <w:fldChar w:fldCharType="separate"/>
        </w:r>
        <w:r>
          <w:rPr>
            <w:noProof/>
          </w:rPr>
          <w:t>88</w:t>
        </w:r>
        <w:r>
          <w:rPr>
            <w:noProof/>
          </w:rPr>
          <w:fldChar w:fldCharType="end"/>
        </w:r>
      </w:sdtContent>
    </w:sdt>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0973879"/>
      <w:docPartObj>
        <w:docPartGallery w:val="Page Numbers (Bottom of Page)"/>
        <w:docPartUnique/>
      </w:docPartObj>
    </w:sdtPr>
    <w:sdtEndPr>
      <w:rPr>
        <w:noProof/>
      </w:rPr>
    </w:sdtEndPr>
    <w:sdtContent>
      <w:p w14:paraId="0AD39DDF" w14:textId="4B14D7DC" w:rsidR="00F67E9E" w:rsidRDefault="00F67E9E" w:rsidP="00DE49F4">
        <w:pPr>
          <w:pStyle w:val="Footer"/>
          <w:tabs>
            <w:tab w:val="clear" w:pos="4513"/>
            <w:tab w:val="clear" w:pos="9026"/>
            <w:tab w:val="right" w:pos="15139"/>
          </w:tabs>
        </w:pPr>
        <w:r>
          <w:t xml:space="preserve">Schedule 12: </w:t>
        </w:r>
        <w:r w:rsidR="00115F57">
          <w:t>(</w:t>
        </w:r>
        <w:r>
          <w:t>Software</w:t>
        </w:r>
        <w:r w:rsidR="00115F57">
          <w:t>)</w:t>
        </w:r>
        <w:r>
          <w:t>, Model Services Contract, v2.1</w:t>
        </w:r>
        <w:r>
          <w:tab/>
        </w:r>
        <w:r>
          <w:fldChar w:fldCharType="begin"/>
        </w:r>
        <w:r>
          <w:instrText xml:space="preserve"> PAGE   \* MERGEFORMAT </w:instrText>
        </w:r>
        <w:r>
          <w:fldChar w:fldCharType="separate"/>
        </w:r>
        <w:r>
          <w:rPr>
            <w:noProof/>
          </w:rPr>
          <w:t>167</w:t>
        </w:r>
        <w:r>
          <w:rPr>
            <w:noProof/>
          </w:rPr>
          <w:fldChar w:fldCharType="end"/>
        </w:r>
      </w:p>
    </w:sdtContent>
  </w:sdt>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FB3F2" w14:textId="77777777" w:rsidR="00F67E9E" w:rsidRDefault="00F67E9E" w:rsidP="0060661C">
    <w:pPr>
      <w:pBdr>
        <w:top w:val="single" w:sz="4" w:space="10" w:color="auto"/>
      </w:pBdr>
    </w:pPr>
    <w:r w:rsidRPr="008A5D31">
      <w:t xml:space="preserve">Model Services </w:t>
    </w:r>
    <w:r w:rsidRPr="00AE6AFD">
      <w:rPr>
        <w:highlight w:val="green"/>
      </w:rPr>
      <w:t>Contract</w:t>
    </w:r>
    <w:r w:rsidRPr="008A5D31">
      <w:t xml:space="preserve"> Combined </w:t>
    </w:r>
    <w:r w:rsidRPr="00E9603F">
      <w:rPr>
        <w:highlight w:val="magenta"/>
      </w:rPr>
      <w:t>Schedule</w:t>
    </w:r>
    <w:r w:rsidRPr="008A5D31">
      <w:t>s v1.09</w:t>
    </w:r>
    <w:r>
      <w:t xml:space="preserve"> – </w:t>
    </w:r>
    <w:r w:rsidRPr="00E9603F">
      <w:rPr>
        <w:highlight w:val="magenta"/>
      </w:rPr>
      <w:t>Schedule</w:t>
    </w:r>
    <w:r>
      <w:t xml:space="preserve"> 5</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4097161"/>
      <w:docPartObj>
        <w:docPartGallery w:val="Page Numbers (Bottom of Page)"/>
        <w:docPartUnique/>
      </w:docPartObj>
    </w:sdtPr>
    <w:sdtEndPr>
      <w:rPr>
        <w:noProof/>
      </w:rPr>
    </w:sdtEndPr>
    <w:sdtContent>
      <w:p w14:paraId="676A6F45" w14:textId="4E46C936" w:rsidR="00F67E9E" w:rsidRDefault="00F67E9E" w:rsidP="000C5350">
        <w:pPr>
          <w:pStyle w:val="Footer"/>
          <w:tabs>
            <w:tab w:val="clear" w:pos="4513"/>
            <w:tab w:val="clear" w:pos="9026"/>
            <w:tab w:val="right" w:pos="10206"/>
          </w:tabs>
        </w:pPr>
        <w:r>
          <w:t xml:space="preserve">Schedule 12 </w:t>
        </w:r>
        <w:r w:rsidR="00E7435D">
          <w:t>(</w:t>
        </w:r>
        <w:r>
          <w:t>Software</w:t>
        </w:r>
        <w:r w:rsidR="00E7435D">
          <w:t>)</w:t>
        </w:r>
        <w:r>
          <w:t>, Model Services Contract, v2.1</w:t>
        </w:r>
        <w:r>
          <w:tab/>
        </w:r>
        <w:r>
          <w:fldChar w:fldCharType="begin"/>
        </w:r>
        <w:r>
          <w:instrText xml:space="preserve"> PAGE   \* MERGEFORMAT </w:instrText>
        </w:r>
        <w:r>
          <w:fldChar w:fldCharType="separate"/>
        </w:r>
        <w:r>
          <w:rPr>
            <w:noProof/>
          </w:rPr>
          <w:t>222</w:t>
        </w:r>
        <w:r>
          <w:rPr>
            <w:noProof/>
          </w:rPr>
          <w:fldChar w:fldCharType="end"/>
        </w:r>
      </w:p>
    </w:sdtContent>
  </w:sdt>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34D23" w14:textId="77777777" w:rsidR="00F67E9E" w:rsidRPr="00EE0196" w:rsidRDefault="00F67E9E" w:rsidP="0060661C">
    <w:pPr>
      <w:pBdr>
        <w:top w:val="single" w:sz="4" w:space="10" w:color="auto"/>
      </w:pBdr>
      <w:jc w:val="center"/>
      <w:rPr>
        <w:sz w:val="16"/>
      </w:rPr>
    </w:pPr>
    <w:r w:rsidRPr="00EE0196">
      <w:rPr>
        <w:sz w:val="16"/>
      </w:rPr>
      <w:t xml:space="preserve">Model Services </w:t>
    </w:r>
    <w:r w:rsidRPr="00AE6AFD">
      <w:rPr>
        <w:sz w:val="16"/>
        <w:highlight w:val="green"/>
      </w:rPr>
      <w:t>Contract</w:t>
    </w:r>
    <w:r w:rsidRPr="00EE0196">
      <w:rPr>
        <w:sz w:val="16"/>
      </w:rPr>
      <w:t xml:space="preserve"> Combined </w:t>
    </w:r>
    <w:r w:rsidRPr="00E9603F">
      <w:rPr>
        <w:sz w:val="16"/>
        <w:highlight w:val="magenta"/>
      </w:rPr>
      <w:t>Schedule</w:t>
    </w:r>
    <w:r w:rsidRPr="00EE0196">
      <w:rPr>
        <w:sz w:val="16"/>
      </w:rPr>
      <w:t xml:space="preserve">s v1.09 – </w:t>
    </w:r>
    <w:r w:rsidRPr="00E9603F">
      <w:rPr>
        <w:sz w:val="16"/>
        <w:highlight w:val="magenta"/>
      </w:rPr>
      <w:t>Schedule</w:t>
    </w:r>
    <w:r w:rsidRPr="00EE0196">
      <w:rPr>
        <w:sz w:val="16"/>
      </w:rPr>
      <w:t xml:space="preserve"> 6.1</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3835676"/>
      <w:docPartObj>
        <w:docPartGallery w:val="Page Numbers (Bottom of Page)"/>
        <w:docPartUnique/>
      </w:docPartObj>
    </w:sdtPr>
    <w:sdtEndPr>
      <w:rPr>
        <w:noProof/>
      </w:rPr>
    </w:sdtEndPr>
    <w:sdtContent>
      <w:p w14:paraId="49C46DAC" w14:textId="09424304" w:rsidR="00F67E9E" w:rsidRDefault="00F67E9E" w:rsidP="000C5350">
        <w:pPr>
          <w:pStyle w:val="Footer"/>
          <w:tabs>
            <w:tab w:val="clear" w:pos="4513"/>
            <w:tab w:val="clear" w:pos="9026"/>
            <w:tab w:val="right" w:pos="10206"/>
          </w:tabs>
        </w:pPr>
        <w:r>
          <w:t xml:space="preserve">Schedule 13 </w:t>
        </w:r>
        <w:r w:rsidR="00E7435D">
          <w:t>(</w:t>
        </w:r>
        <w:r>
          <w:t>Implementation Plan</w:t>
        </w:r>
        <w:r w:rsidR="00E7435D">
          <w:t>)</w:t>
        </w:r>
        <w:r>
          <w:t>, Model Services Contract, v2.1</w:t>
        </w:r>
        <w:r>
          <w:tab/>
        </w:r>
        <w:r>
          <w:fldChar w:fldCharType="begin"/>
        </w:r>
        <w:r>
          <w:instrText xml:space="preserve"> PAGE   \* MERGEFORMAT </w:instrText>
        </w:r>
        <w:r>
          <w:fldChar w:fldCharType="separate"/>
        </w:r>
        <w:r>
          <w:rPr>
            <w:noProof/>
          </w:rPr>
          <w:t>222</w:t>
        </w:r>
        <w:r>
          <w:rPr>
            <w:noProof/>
          </w:rPr>
          <w:fldChar w:fldCharType="end"/>
        </w:r>
      </w:p>
    </w:sdtContent>
  </w:sdt>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468CC" w14:textId="77777777" w:rsidR="00F67E9E" w:rsidRPr="00EE0196" w:rsidRDefault="00F67E9E" w:rsidP="002C0A0D">
    <w:pPr>
      <w:pBdr>
        <w:top w:val="single" w:sz="4" w:space="10" w:color="auto"/>
      </w:pBdr>
      <w:jc w:val="center"/>
      <w:rPr>
        <w:sz w:val="16"/>
      </w:rPr>
    </w:pPr>
    <w:r w:rsidRPr="00EE0196">
      <w:rPr>
        <w:sz w:val="16"/>
      </w:rPr>
      <w:t xml:space="preserve">Model Services </w:t>
    </w:r>
    <w:r w:rsidRPr="00AE6AFD">
      <w:rPr>
        <w:sz w:val="16"/>
        <w:highlight w:val="green"/>
      </w:rPr>
      <w:t>Contract</w:t>
    </w:r>
    <w:r w:rsidRPr="00EE0196">
      <w:rPr>
        <w:sz w:val="16"/>
      </w:rPr>
      <w:t xml:space="preserve"> Combined </w:t>
    </w:r>
    <w:r w:rsidRPr="00E9603F">
      <w:rPr>
        <w:sz w:val="16"/>
        <w:highlight w:val="magenta"/>
      </w:rPr>
      <w:t>Schedule</w:t>
    </w:r>
    <w:r w:rsidRPr="00EE0196">
      <w:rPr>
        <w:sz w:val="16"/>
      </w:rPr>
      <w:t xml:space="preserve">s v1.09 – </w:t>
    </w:r>
    <w:r w:rsidRPr="00E9603F">
      <w:rPr>
        <w:sz w:val="16"/>
        <w:highlight w:val="magenta"/>
      </w:rPr>
      <w:t>Schedule</w:t>
    </w:r>
    <w:r w:rsidRPr="00EE0196">
      <w:rPr>
        <w:sz w:val="16"/>
      </w:rPr>
      <w:t xml:space="preserve"> 6.2</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5421293"/>
      <w:docPartObj>
        <w:docPartGallery w:val="Page Numbers (Bottom of Page)"/>
        <w:docPartUnique/>
      </w:docPartObj>
    </w:sdtPr>
    <w:sdtEndPr>
      <w:rPr>
        <w:noProof/>
      </w:rPr>
    </w:sdtEndPr>
    <w:sdtContent>
      <w:p w14:paraId="455448A4" w14:textId="269874E7" w:rsidR="00F67E9E" w:rsidRDefault="00F67E9E" w:rsidP="000C5350">
        <w:pPr>
          <w:pStyle w:val="Footer"/>
          <w:tabs>
            <w:tab w:val="clear" w:pos="4513"/>
            <w:tab w:val="clear" w:pos="9026"/>
            <w:tab w:val="right" w:pos="10206"/>
          </w:tabs>
        </w:pPr>
        <w:r>
          <w:t xml:space="preserve">Schedule 14 </w:t>
        </w:r>
        <w:r w:rsidR="00E7435D">
          <w:t>(</w:t>
        </w:r>
        <w:r>
          <w:t>Testing Procedures</w:t>
        </w:r>
        <w:r w:rsidR="00E7435D">
          <w:t>)</w:t>
        </w:r>
        <w:r>
          <w:t>, Model Services Contract, v2.1</w:t>
        </w:r>
        <w:r>
          <w:tab/>
        </w:r>
        <w:r>
          <w:fldChar w:fldCharType="begin"/>
        </w:r>
        <w:r>
          <w:instrText xml:space="preserve"> PAGE   \* MERGEFORMAT </w:instrText>
        </w:r>
        <w:r>
          <w:fldChar w:fldCharType="separate"/>
        </w:r>
        <w:r>
          <w:rPr>
            <w:noProof/>
          </w:rPr>
          <w:t>222</w:t>
        </w:r>
        <w:r>
          <w:rPr>
            <w:noProof/>
          </w:rPr>
          <w:fldChar w:fldCharType="end"/>
        </w:r>
      </w:p>
    </w:sdtContent>
  </w:sdt>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61FE4" w14:textId="77777777" w:rsidR="00F67E9E" w:rsidRPr="00EE0196" w:rsidRDefault="00F67E9E" w:rsidP="002C0A0D">
    <w:pPr>
      <w:pBdr>
        <w:top w:val="single" w:sz="4" w:space="10" w:color="auto"/>
      </w:pBdr>
      <w:jc w:val="center"/>
      <w:rPr>
        <w:sz w:val="16"/>
      </w:rPr>
    </w:pPr>
    <w:r w:rsidRPr="00EE0196">
      <w:rPr>
        <w:sz w:val="16"/>
      </w:rPr>
      <w:t xml:space="preserve">Model Services </w:t>
    </w:r>
    <w:r w:rsidRPr="00AE6AFD">
      <w:rPr>
        <w:sz w:val="16"/>
        <w:highlight w:val="green"/>
      </w:rPr>
      <w:t>Contract</w:t>
    </w:r>
    <w:r w:rsidRPr="00EE0196">
      <w:rPr>
        <w:sz w:val="16"/>
      </w:rPr>
      <w:t xml:space="preserve"> Combined </w:t>
    </w:r>
    <w:r w:rsidRPr="00E9603F">
      <w:rPr>
        <w:sz w:val="16"/>
        <w:highlight w:val="magenta"/>
      </w:rPr>
      <w:t>Schedule</w:t>
    </w:r>
    <w:r w:rsidRPr="00EE0196">
      <w:rPr>
        <w:sz w:val="16"/>
      </w:rPr>
      <w:t xml:space="preserve">s v1.09 – </w:t>
    </w:r>
    <w:r w:rsidRPr="00E9603F">
      <w:rPr>
        <w:sz w:val="16"/>
        <w:highlight w:val="magenta"/>
      </w:rPr>
      <w:t>Schedule</w:t>
    </w:r>
    <w:r w:rsidRPr="00EE0196">
      <w:rPr>
        <w:sz w:val="16"/>
      </w:rPr>
      <w:t xml:space="preserve"> 7.1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2C870" w14:textId="77777777" w:rsidR="00F67E9E" w:rsidRDefault="00F67E9E">
    <w:pPr>
      <w:pBdr>
        <w:top w:val="nil"/>
        <w:left w:val="nil"/>
        <w:bottom w:val="nil"/>
        <w:right w:val="nil"/>
        <w:between w:val="nil"/>
      </w:pBdr>
      <w:tabs>
        <w:tab w:val="center" w:pos="4513"/>
        <w:tab w:val="right" w:pos="9026"/>
      </w:tabs>
      <w:rPr>
        <w:color w:val="000000"/>
        <w:szCs w:val="24"/>
      </w:rPr>
    </w:pPr>
    <w:r>
      <w:rPr>
        <w:color w:val="000000"/>
        <w:szCs w:val="24"/>
      </w:rPr>
      <w:t>[Type here]</w:t>
    </w:r>
  </w:p>
  <w:p w14:paraId="04A05D1D" w14:textId="77777777" w:rsidR="00F67E9E" w:rsidRDefault="00F67E9E">
    <w:pPr>
      <w:pBdr>
        <w:top w:val="single" w:sz="4" w:space="18" w:color="000000"/>
      </w:pBdr>
      <w:rPr>
        <w:sz w:val="16"/>
        <w:szCs w:val="16"/>
      </w:rP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1438843"/>
      <w:docPartObj>
        <w:docPartGallery w:val="Page Numbers (Bottom of Page)"/>
        <w:docPartUnique/>
      </w:docPartObj>
    </w:sdtPr>
    <w:sdtEndPr>
      <w:rPr>
        <w:noProof/>
      </w:rPr>
    </w:sdtEndPr>
    <w:sdtContent>
      <w:p w14:paraId="5612DC7A" w14:textId="203E42F4" w:rsidR="00F67E9E" w:rsidRDefault="00F67E9E" w:rsidP="000C5350">
        <w:pPr>
          <w:pStyle w:val="Footer"/>
          <w:tabs>
            <w:tab w:val="clear" w:pos="4513"/>
            <w:tab w:val="clear" w:pos="9026"/>
            <w:tab w:val="right" w:pos="10206"/>
          </w:tabs>
        </w:pPr>
        <w:r w:rsidRPr="00C53AE0">
          <w:t xml:space="preserve">Schedule 15: </w:t>
        </w:r>
        <w:r w:rsidR="00115F57">
          <w:t>(</w:t>
        </w:r>
        <w:r w:rsidRPr="00C53AE0">
          <w:t>Charges and Invoicing</w:t>
        </w:r>
        <w:r w:rsidR="00115F57">
          <w:t>)</w:t>
        </w:r>
        <w:r>
          <w:t>, Model Services Contract, v2.1</w:t>
        </w:r>
        <w:r>
          <w:tab/>
        </w:r>
        <w:r>
          <w:fldChar w:fldCharType="begin"/>
        </w:r>
        <w:r>
          <w:instrText xml:space="preserve"> PAGE   \* MERGEFORMAT </w:instrText>
        </w:r>
        <w:r>
          <w:fldChar w:fldCharType="separate"/>
        </w:r>
        <w:r>
          <w:rPr>
            <w:noProof/>
          </w:rPr>
          <w:t>222</w:t>
        </w:r>
        <w:r>
          <w:rPr>
            <w:noProof/>
          </w:rPr>
          <w:fldChar w:fldCharType="end"/>
        </w:r>
      </w:p>
    </w:sdtContent>
  </w:sdt>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8752303"/>
      <w:docPartObj>
        <w:docPartGallery w:val="Page Numbers (Bottom of Page)"/>
        <w:docPartUnique/>
      </w:docPartObj>
    </w:sdtPr>
    <w:sdtEndPr>
      <w:rPr>
        <w:noProof/>
      </w:rPr>
    </w:sdtEndPr>
    <w:sdtContent>
      <w:p w14:paraId="397DEE82" w14:textId="20FD0543" w:rsidR="00F67E9E" w:rsidRDefault="00F67E9E" w:rsidP="00240D26">
        <w:pPr>
          <w:pStyle w:val="Footer"/>
          <w:tabs>
            <w:tab w:val="clear" w:pos="4513"/>
            <w:tab w:val="clear" w:pos="9026"/>
            <w:tab w:val="right" w:pos="15139"/>
          </w:tabs>
        </w:pPr>
        <w:r w:rsidRPr="00C53AE0">
          <w:t xml:space="preserve">Schedule 15: </w:t>
        </w:r>
        <w:r w:rsidR="00115F57">
          <w:t>(</w:t>
        </w:r>
        <w:r w:rsidRPr="00C53AE0">
          <w:t>Charges and Invoicing</w:t>
        </w:r>
        <w:r w:rsidR="00115F57">
          <w:t>)</w:t>
        </w:r>
        <w:r>
          <w:t>, Model Services Contract</w:t>
        </w:r>
        <w:r w:rsidR="00115F57">
          <w:t>,</w:t>
        </w:r>
        <w:r>
          <w:t xml:space="preserve"> </w:t>
        </w:r>
        <w:r w:rsidR="00115F57">
          <w:t>v2.1</w:t>
        </w:r>
        <w:r>
          <w:tab/>
        </w:r>
        <w:r>
          <w:fldChar w:fldCharType="begin"/>
        </w:r>
        <w:r>
          <w:instrText xml:space="preserve"> PAGE   \* MERGEFORMAT </w:instrText>
        </w:r>
        <w:r>
          <w:fldChar w:fldCharType="separate"/>
        </w:r>
        <w:r>
          <w:rPr>
            <w:noProof/>
          </w:rPr>
          <w:t>315</w:t>
        </w:r>
        <w:r>
          <w:rPr>
            <w:noProof/>
          </w:rPr>
          <w:fldChar w:fldCharType="end"/>
        </w:r>
      </w:p>
    </w:sdtContent>
  </w:sdt>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1445995"/>
      <w:docPartObj>
        <w:docPartGallery w:val="Page Numbers (Bottom of Page)"/>
        <w:docPartUnique/>
      </w:docPartObj>
    </w:sdtPr>
    <w:sdtEndPr>
      <w:rPr>
        <w:noProof/>
      </w:rPr>
    </w:sdtEndPr>
    <w:sdtContent>
      <w:p w14:paraId="7619DBEB" w14:textId="517B7067" w:rsidR="00F67E9E" w:rsidRDefault="00F67E9E" w:rsidP="00240D26">
        <w:pPr>
          <w:pStyle w:val="Footer"/>
          <w:tabs>
            <w:tab w:val="clear" w:pos="4513"/>
            <w:tab w:val="clear" w:pos="9026"/>
            <w:tab w:val="right" w:pos="15139"/>
          </w:tabs>
        </w:pPr>
        <w:r w:rsidRPr="00E5161E">
          <w:t xml:space="preserve">Schedule 16: </w:t>
        </w:r>
        <w:r w:rsidR="00115F57">
          <w:t>(</w:t>
        </w:r>
        <w:r w:rsidRPr="00E5161E">
          <w:t>Payments on Termination</w:t>
        </w:r>
        <w:r w:rsidR="00115F57">
          <w:t>)</w:t>
        </w:r>
        <w:r>
          <w:t>, Model Services Contract, v2.1</w:t>
        </w:r>
        <w:r>
          <w:tab/>
        </w:r>
        <w:r>
          <w:fldChar w:fldCharType="begin"/>
        </w:r>
        <w:r>
          <w:instrText xml:space="preserve"> PAGE   \* MERGEFORMAT </w:instrText>
        </w:r>
        <w:r>
          <w:fldChar w:fldCharType="separate"/>
        </w:r>
        <w:r>
          <w:rPr>
            <w:noProof/>
          </w:rPr>
          <w:t>315</w:t>
        </w:r>
        <w:r>
          <w:rPr>
            <w:noProof/>
          </w:rPr>
          <w:fldChar w:fldCharType="end"/>
        </w:r>
      </w:p>
    </w:sdtContent>
  </w:sdt>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C9B90" w14:textId="77777777" w:rsidR="00F67E9E" w:rsidRPr="00EE0196" w:rsidRDefault="00F67E9E" w:rsidP="002C0A0D">
    <w:pPr>
      <w:pBdr>
        <w:top w:val="single" w:sz="4" w:space="10" w:color="auto"/>
      </w:pBdr>
      <w:jc w:val="center"/>
      <w:rPr>
        <w:sz w:val="16"/>
      </w:rPr>
    </w:pPr>
    <w:r w:rsidRPr="00EE0196">
      <w:rPr>
        <w:sz w:val="16"/>
      </w:rPr>
      <w:t xml:space="preserve">Model Services </w:t>
    </w:r>
    <w:r w:rsidRPr="00AE6AFD">
      <w:rPr>
        <w:sz w:val="16"/>
        <w:highlight w:val="green"/>
      </w:rPr>
      <w:t>Contract</w:t>
    </w:r>
    <w:r w:rsidRPr="00EE0196">
      <w:rPr>
        <w:sz w:val="16"/>
      </w:rPr>
      <w:t xml:space="preserve"> Combined </w:t>
    </w:r>
    <w:r w:rsidRPr="00E9603F">
      <w:rPr>
        <w:sz w:val="16"/>
        <w:highlight w:val="magenta"/>
      </w:rPr>
      <w:t>Schedule</w:t>
    </w:r>
    <w:r w:rsidRPr="00EE0196">
      <w:rPr>
        <w:sz w:val="16"/>
      </w:rPr>
      <w:t xml:space="preserve">s v1.09 – </w:t>
    </w:r>
    <w:r w:rsidRPr="00E9603F">
      <w:rPr>
        <w:sz w:val="16"/>
        <w:highlight w:val="magenta"/>
      </w:rPr>
      <w:t>Schedule</w:t>
    </w:r>
    <w:r w:rsidRPr="00EE0196">
      <w:rPr>
        <w:sz w:val="16"/>
      </w:rPr>
      <w:t xml:space="preserve"> 7.3</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483019"/>
      <w:docPartObj>
        <w:docPartGallery w:val="Page Numbers (Bottom of Page)"/>
        <w:docPartUnique/>
      </w:docPartObj>
    </w:sdtPr>
    <w:sdtEndPr>
      <w:rPr>
        <w:noProof/>
      </w:rPr>
    </w:sdtEndPr>
    <w:sdtContent>
      <w:p w14:paraId="205542D3" w14:textId="0F1A34EC" w:rsidR="00F67E9E" w:rsidRDefault="00F67E9E" w:rsidP="00240D26">
        <w:pPr>
          <w:pStyle w:val="Footer"/>
          <w:tabs>
            <w:tab w:val="clear" w:pos="4513"/>
            <w:tab w:val="clear" w:pos="9026"/>
            <w:tab w:val="right" w:pos="15139"/>
          </w:tabs>
        </w:pPr>
        <w:r w:rsidRPr="00E5161E">
          <w:t xml:space="preserve">Schedule 17: </w:t>
        </w:r>
        <w:r w:rsidR="00115F57">
          <w:t>(</w:t>
        </w:r>
        <w:r w:rsidRPr="00E5161E">
          <w:t>Benchmarking</w:t>
        </w:r>
        <w:r w:rsidR="00115F57">
          <w:t>)</w:t>
        </w:r>
        <w:r>
          <w:t>, Model Services Contract, v2.1</w:t>
        </w:r>
        <w:r>
          <w:tab/>
        </w:r>
        <w:r>
          <w:fldChar w:fldCharType="begin"/>
        </w:r>
        <w:r>
          <w:instrText xml:space="preserve"> PAGE   \* MERGEFORMAT </w:instrText>
        </w:r>
        <w:r>
          <w:fldChar w:fldCharType="separate"/>
        </w:r>
        <w:r>
          <w:rPr>
            <w:noProof/>
          </w:rPr>
          <w:t>315</w:t>
        </w:r>
        <w:r>
          <w:rPr>
            <w:noProof/>
          </w:rPr>
          <w:fldChar w:fldCharType="end"/>
        </w:r>
      </w:p>
    </w:sdtContent>
  </w:sdt>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5EBAC" w14:textId="77777777" w:rsidR="00F67E9E" w:rsidRPr="00EE0196" w:rsidRDefault="00F67E9E" w:rsidP="002C0A0D">
    <w:pPr>
      <w:pBdr>
        <w:top w:val="single" w:sz="4" w:space="10" w:color="auto"/>
      </w:pBdr>
      <w:jc w:val="center"/>
      <w:rPr>
        <w:sz w:val="16"/>
      </w:rPr>
    </w:pPr>
    <w:r w:rsidRPr="00EE0196">
      <w:rPr>
        <w:sz w:val="16"/>
      </w:rPr>
      <w:t xml:space="preserve">Model Services </w:t>
    </w:r>
    <w:r w:rsidRPr="00AE6AFD">
      <w:rPr>
        <w:sz w:val="16"/>
        <w:highlight w:val="green"/>
      </w:rPr>
      <w:t>Contract</w:t>
    </w:r>
    <w:r w:rsidRPr="00EE0196">
      <w:rPr>
        <w:sz w:val="16"/>
      </w:rPr>
      <w:t xml:space="preserve"> Combined </w:t>
    </w:r>
    <w:r w:rsidRPr="00E9603F">
      <w:rPr>
        <w:sz w:val="16"/>
        <w:highlight w:val="magenta"/>
      </w:rPr>
      <w:t>Schedule</w:t>
    </w:r>
    <w:r w:rsidRPr="00EE0196">
      <w:rPr>
        <w:sz w:val="16"/>
      </w:rPr>
      <w:t xml:space="preserve">s v1.09 – </w:t>
    </w:r>
    <w:r w:rsidRPr="00E9603F">
      <w:rPr>
        <w:sz w:val="16"/>
        <w:highlight w:val="magenta"/>
      </w:rPr>
      <w:t>Schedule</w:t>
    </w:r>
    <w:r w:rsidRPr="00EE0196">
      <w:rPr>
        <w:sz w:val="16"/>
      </w:rPr>
      <w:t xml:space="preserve"> 7.4</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8814948"/>
      <w:docPartObj>
        <w:docPartGallery w:val="Page Numbers (Bottom of Page)"/>
        <w:docPartUnique/>
      </w:docPartObj>
    </w:sdtPr>
    <w:sdtEndPr>
      <w:rPr>
        <w:noProof/>
      </w:rPr>
    </w:sdtEndPr>
    <w:sdtContent>
      <w:p w14:paraId="24396CA2" w14:textId="1754F004" w:rsidR="00F67E9E" w:rsidRDefault="00F67E9E" w:rsidP="00240D26">
        <w:pPr>
          <w:pStyle w:val="Footer"/>
          <w:tabs>
            <w:tab w:val="clear" w:pos="4513"/>
            <w:tab w:val="clear" w:pos="9026"/>
            <w:tab w:val="right" w:pos="15139"/>
          </w:tabs>
        </w:pPr>
        <w:r w:rsidRPr="0076274E">
          <w:t>Schedule</w:t>
        </w:r>
        <w:r>
          <w:t> </w:t>
        </w:r>
        <w:r w:rsidRPr="0076274E">
          <w:t xml:space="preserve">18: </w:t>
        </w:r>
        <w:r w:rsidR="00115F57">
          <w:t>(</w:t>
        </w:r>
        <w:r w:rsidRPr="0076274E">
          <w:t>Financial Distress</w:t>
        </w:r>
        <w:r w:rsidR="00115F57">
          <w:t>)</w:t>
        </w:r>
        <w:r>
          <w:t>, Model Services Contract, v2.1</w:t>
        </w:r>
        <w:r>
          <w:tab/>
        </w:r>
        <w:r>
          <w:fldChar w:fldCharType="begin"/>
        </w:r>
        <w:r>
          <w:instrText xml:space="preserve"> PAGE   \* MERGEFORMAT </w:instrText>
        </w:r>
        <w:r>
          <w:fldChar w:fldCharType="separate"/>
        </w:r>
        <w:r>
          <w:rPr>
            <w:noProof/>
          </w:rPr>
          <w:t>315</w:t>
        </w:r>
        <w:r>
          <w:rPr>
            <w:noProof/>
          </w:rPr>
          <w:fldChar w:fldCharType="end"/>
        </w:r>
      </w:p>
    </w:sdtContent>
  </w:sdt>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06FB8" w14:textId="77777777" w:rsidR="00F67E9E" w:rsidRPr="00EE0196" w:rsidRDefault="00F67E9E" w:rsidP="002C0A0D">
    <w:pPr>
      <w:pBdr>
        <w:top w:val="single" w:sz="4" w:space="10" w:color="auto"/>
      </w:pBdr>
      <w:jc w:val="center"/>
      <w:rPr>
        <w:sz w:val="16"/>
      </w:rPr>
    </w:pPr>
    <w:r w:rsidRPr="00EE0196">
      <w:rPr>
        <w:sz w:val="16"/>
      </w:rPr>
      <w:t xml:space="preserve">Model Services </w:t>
    </w:r>
    <w:r w:rsidRPr="00AE6AFD">
      <w:rPr>
        <w:sz w:val="16"/>
        <w:highlight w:val="green"/>
      </w:rPr>
      <w:t>Contract</w:t>
    </w:r>
    <w:r w:rsidRPr="00EE0196">
      <w:rPr>
        <w:sz w:val="16"/>
      </w:rPr>
      <w:t xml:space="preserve"> Combined </w:t>
    </w:r>
    <w:r w:rsidRPr="00E9603F">
      <w:rPr>
        <w:sz w:val="16"/>
        <w:highlight w:val="magenta"/>
      </w:rPr>
      <w:t>Schedule</w:t>
    </w:r>
    <w:r w:rsidRPr="00EE0196">
      <w:rPr>
        <w:sz w:val="16"/>
      </w:rPr>
      <w:t xml:space="preserve">s v1.09 – </w:t>
    </w:r>
    <w:r w:rsidRPr="00E9603F">
      <w:rPr>
        <w:sz w:val="16"/>
        <w:highlight w:val="magenta"/>
      </w:rPr>
      <w:t>Schedule</w:t>
    </w:r>
    <w:r w:rsidRPr="00EE0196">
      <w:rPr>
        <w:sz w:val="16"/>
      </w:rPr>
      <w:t xml:space="preserve"> 7.5</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8079423"/>
      <w:docPartObj>
        <w:docPartGallery w:val="Page Numbers (Bottom of Page)"/>
        <w:docPartUnique/>
      </w:docPartObj>
    </w:sdtPr>
    <w:sdtEndPr>
      <w:rPr>
        <w:noProof/>
      </w:rPr>
    </w:sdtEndPr>
    <w:sdtContent>
      <w:p w14:paraId="2BCB1BAC" w14:textId="607620B6" w:rsidR="00F67E9E" w:rsidRDefault="00F67E9E" w:rsidP="00240D26">
        <w:pPr>
          <w:pStyle w:val="Footer"/>
          <w:tabs>
            <w:tab w:val="clear" w:pos="4513"/>
            <w:tab w:val="clear" w:pos="9026"/>
            <w:tab w:val="right" w:pos="15139"/>
          </w:tabs>
        </w:pPr>
        <w:r w:rsidRPr="00043A03">
          <w:t>Schedule</w:t>
        </w:r>
        <w:r>
          <w:t> </w:t>
        </w:r>
        <w:r w:rsidRPr="00043A03">
          <w:t xml:space="preserve">19: </w:t>
        </w:r>
        <w:r w:rsidR="00115F57">
          <w:t>(</w:t>
        </w:r>
        <w:r w:rsidRPr="00043A03">
          <w:t>Financial Reports and Audit Rights</w:t>
        </w:r>
        <w:r w:rsidR="00115F57">
          <w:t>)</w:t>
        </w:r>
        <w:r>
          <w:t>, Model Services Contract, v2.1</w:t>
        </w:r>
        <w:r>
          <w:tab/>
        </w:r>
        <w:r>
          <w:fldChar w:fldCharType="begin"/>
        </w:r>
        <w:r>
          <w:instrText xml:space="preserve"> PAGE   \* MERGEFORMAT </w:instrText>
        </w:r>
        <w:r>
          <w:fldChar w:fldCharType="separate"/>
        </w:r>
        <w:r>
          <w:rPr>
            <w:noProof/>
          </w:rPr>
          <w:t>315</w:t>
        </w:r>
        <w:r>
          <w:rPr>
            <w:noProof/>
          </w:rPr>
          <w:fldChar w:fldCharType="end"/>
        </w:r>
      </w:p>
    </w:sdtContent>
  </w:sdt>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4ADC3" w14:textId="77777777" w:rsidR="00F67E9E" w:rsidRPr="00EE0196" w:rsidRDefault="00F67E9E" w:rsidP="002C0A0D">
    <w:pPr>
      <w:pBdr>
        <w:top w:val="single" w:sz="4" w:space="10" w:color="auto"/>
      </w:pBdr>
      <w:jc w:val="center"/>
      <w:rPr>
        <w:sz w:val="16"/>
      </w:rPr>
    </w:pPr>
    <w:r w:rsidRPr="00EE0196">
      <w:rPr>
        <w:sz w:val="16"/>
      </w:rPr>
      <w:t xml:space="preserve">Model Services </w:t>
    </w:r>
    <w:r w:rsidRPr="00AE6AFD">
      <w:rPr>
        <w:sz w:val="16"/>
        <w:highlight w:val="green"/>
      </w:rPr>
      <w:t>Contract</w:t>
    </w:r>
    <w:r w:rsidRPr="00EE0196">
      <w:rPr>
        <w:sz w:val="16"/>
      </w:rPr>
      <w:t xml:space="preserve"> Combined </w:t>
    </w:r>
    <w:r w:rsidRPr="00E9603F">
      <w:rPr>
        <w:sz w:val="16"/>
        <w:highlight w:val="magenta"/>
      </w:rPr>
      <w:t>Schedule</w:t>
    </w:r>
    <w:r w:rsidRPr="00EE0196">
      <w:rPr>
        <w:sz w:val="16"/>
      </w:rPr>
      <w:t xml:space="preserve">s v1.09 – </w:t>
    </w:r>
    <w:r w:rsidRPr="00E9603F">
      <w:rPr>
        <w:sz w:val="16"/>
        <w:highlight w:val="magenta"/>
      </w:rPr>
      <w:t>Schedule</w:t>
    </w:r>
    <w:r w:rsidRPr="00EE0196">
      <w:rPr>
        <w:sz w:val="16"/>
      </w:rPr>
      <w:t xml:space="preserve"> 8.1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339364"/>
      <w:docPartObj>
        <w:docPartGallery w:val="Page Numbers (Bottom of Page)"/>
        <w:docPartUnique/>
      </w:docPartObj>
    </w:sdtPr>
    <w:sdtEndPr>
      <w:rPr>
        <w:noProof/>
      </w:rPr>
    </w:sdtEndPr>
    <w:sdtContent>
      <w:p w14:paraId="2CAB68A4" w14:textId="7C9BBB8E" w:rsidR="00F67E9E" w:rsidRDefault="00F67E9E" w:rsidP="00CD26AF">
        <w:pPr>
          <w:pStyle w:val="Footer"/>
          <w:tabs>
            <w:tab w:val="clear" w:pos="4513"/>
            <w:tab w:val="clear" w:pos="9026"/>
            <w:tab w:val="right" w:pos="10206"/>
          </w:tabs>
        </w:pPr>
        <w:r>
          <w:t xml:space="preserve">Schedule 1 </w:t>
        </w:r>
        <w:r w:rsidR="00710FC0">
          <w:t>(</w:t>
        </w:r>
        <w:r>
          <w:t>Definitions</w:t>
        </w:r>
        <w:r w:rsidR="00710FC0">
          <w:t>)</w:t>
        </w:r>
        <w:r>
          <w:t>, Model Services Contract, v2.1</w:t>
        </w:r>
        <w:r>
          <w:tab/>
        </w:r>
        <w:r>
          <w:fldChar w:fldCharType="begin"/>
        </w:r>
        <w:r>
          <w:instrText xml:space="preserve"> PAGE   \* MERGEFORMAT </w:instrText>
        </w:r>
        <w:r>
          <w:fldChar w:fldCharType="separate"/>
        </w:r>
        <w:r>
          <w:rPr>
            <w:noProof/>
          </w:rPr>
          <w:t>34</w:t>
        </w:r>
        <w:r>
          <w:rPr>
            <w:noProof/>
          </w:rPr>
          <w:fldChar w:fldCharType="end"/>
        </w:r>
      </w:p>
    </w:sdtContent>
  </w:sdt>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6676911"/>
      <w:docPartObj>
        <w:docPartGallery w:val="Page Numbers (Bottom of Page)"/>
        <w:docPartUnique/>
      </w:docPartObj>
    </w:sdtPr>
    <w:sdtEndPr>
      <w:rPr>
        <w:noProof/>
      </w:rPr>
    </w:sdtEndPr>
    <w:sdtContent>
      <w:p w14:paraId="6E04ADBB" w14:textId="5E9B6E2F" w:rsidR="00F67E9E" w:rsidRDefault="00F67E9E" w:rsidP="00240D26">
        <w:pPr>
          <w:pStyle w:val="Footer"/>
          <w:tabs>
            <w:tab w:val="clear" w:pos="4513"/>
            <w:tab w:val="clear" w:pos="9026"/>
            <w:tab w:val="right" w:pos="15139"/>
          </w:tabs>
        </w:pPr>
        <w:r w:rsidRPr="00043A03">
          <w:t xml:space="preserve">Schedule 20: </w:t>
        </w:r>
        <w:r w:rsidR="00115F57">
          <w:t>(</w:t>
        </w:r>
        <w:r w:rsidRPr="00043A03">
          <w:t>Anticipated Savings</w:t>
        </w:r>
        <w:r w:rsidR="00115F57">
          <w:t>)</w:t>
        </w:r>
        <w:r>
          <w:t>, Model Services Contract, v2.1</w:t>
        </w:r>
        <w:r>
          <w:tab/>
        </w:r>
        <w:r>
          <w:fldChar w:fldCharType="begin"/>
        </w:r>
        <w:r>
          <w:instrText xml:space="preserve"> PAGE   \* MERGEFORMAT </w:instrText>
        </w:r>
        <w:r>
          <w:fldChar w:fldCharType="separate"/>
        </w:r>
        <w:r>
          <w:rPr>
            <w:noProof/>
          </w:rPr>
          <w:t>315</w:t>
        </w:r>
        <w:r>
          <w:rPr>
            <w:noProof/>
          </w:rPr>
          <w:fldChar w:fldCharType="end"/>
        </w:r>
      </w:p>
    </w:sdtContent>
  </w:sdt>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5292858"/>
      <w:docPartObj>
        <w:docPartGallery w:val="Page Numbers (Bottom of Page)"/>
        <w:docPartUnique/>
      </w:docPartObj>
    </w:sdtPr>
    <w:sdtEndPr>
      <w:rPr>
        <w:noProof/>
      </w:rPr>
    </w:sdtEndPr>
    <w:sdtContent>
      <w:p w14:paraId="5F6839DE" w14:textId="29744B67" w:rsidR="00F67E9E" w:rsidRDefault="00F67E9E" w:rsidP="00240D26">
        <w:pPr>
          <w:pStyle w:val="Footer"/>
          <w:tabs>
            <w:tab w:val="clear" w:pos="4513"/>
            <w:tab w:val="clear" w:pos="9026"/>
            <w:tab w:val="right" w:pos="15139"/>
          </w:tabs>
        </w:pPr>
        <w:r w:rsidRPr="00043A03">
          <w:t xml:space="preserve">Schedule 21: </w:t>
        </w:r>
        <w:r w:rsidR="00115F57">
          <w:t>(</w:t>
        </w:r>
        <w:r w:rsidRPr="00043A03">
          <w:t>Governance</w:t>
        </w:r>
        <w:r w:rsidR="00115F57">
          <w:t>)</w:t>
        </w:r>
        <w:r>
          <w:t>, Model Services Contract, v2.1</w:t>
        </w:r>
        <w:r>
          <w:tab/>
        </w:r>
        <w:r>
          <w:fldChar w:fldCharType="begin"/>
        </w:r>
        <w:r>
          <w:instrText xml:space="preserve"> PAGE   \* MERGEFORMAT </w:instrText>
        </w:r>
        <w:r>
          <w:fldChar w:fldCharType="separate"/>
        </w:r>
        <w:r>
          <w:rPr>
            <w:noProof/>
          </w:rPr>
          <w:t>315</w:t>
        </w:r>
        <w:r>
          <w:rPr>
            <w:noProof/>
          </w:rPr>
          <w:fldChar w:fldCharType="end"/>
        </w:r>
      </w:p>
    </w:sdtContent>
  </w:sdt>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DBBF5" w14:textId="77777777" w:rsidR="00F67E9E" w:rsidRPr="00AE11D4" w:rsidRDefault="00F67E9E" w:rsidP="002C0A0D">
    <w:pPr>
      <w:pBdr>
        <w:top w:val="single" w:sz="4" w:space="10" w:color="auto"/>
      </w:pBdr>
      <w:jc w:val="center"/>
      <w:rPr>
        <w:sz w:val="16"/>
      </w:rPr>
    </w:pPr>
    <w:r w:rsidRPr="00AE11D4">
      <w:rPr>
        <w:sz w:val="16"/>
      </w:rPr>
      <w:t xml:space="preserve">Model Services </w:t>
    </w:r>
    <w:r w:rsidRPr="00AE6AFD">
      <w:rPr>
        <w:sz w:val="16"/>
        <w:highlight w:val="green"/>
      </w:rPr>
      <w:t>Contract</w:t>
    </w:r>
    <w:r w:rsidRPr="00AE11D4">
      <w:rPr>
        <w:sz w:val="16"/>
      </w:rPr>
      <w:t xml:space="preserve"> Combined </w:t>
    </w:r>
    <w:r w:rsidRPr="00E9603F">
      <w:rPr>
        <w:sz w:val="16"/>
        <w:highlight w:val="magenta"/>
      </w:rPr>
      <w:t>Schedule</w:t>
    </w:r>
    <w:r w:rsidRPr="00AE11D4">
      <w:rPr>
        <w:sz w:val="16"/>
      </w:rPr>
      <w:t xml:space="preserve">s v1.09 – </w:t>
    </w:r>
    <w:r w:rsidRPr="00E9603F">
      <w:rPr>
        <w:sz w:val="16"/>
        <w:highlight w:val="magenta"/>
      </w:rPr>
      <w:t>Schedule</w:t>
    </w:r>
    <w:r w:rsidRPr="00AE11D4">
      <w:rPr>
        <w:sz w:val="16"/>
      </w:rPr>
      <w:t xml:space="preserve"> 8.2</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7108723"/>
      <w:docPartObj>
        <w:docPartGallery w:val="Page Numbers (Bottom of Page)"/>
        <w:docPartUnique/>
      </w:docPartObj>
    </w:sdtPr>
    <w:sdtEndPr>
      <w:rPr>
        <w:noProof/>
      </w:rPr>
    </w:sdtEndPr>
    <w:sdtContent>
      <w:p w14:paraId="04218C0D" w14:textId="7C61466D" w:rsidR="00F67E9E" w:rsidRDefault="00F67E9E" w:rsidP="00240D26">
        <w:pPr>
          <w:pStyle w:val="Footer"/>
          <w:tabs>
            <w:tab w:val="clear" w:pos="4513"/>
            <w:tab w:val="clear" w:pos="9026"/>
            <w:tab w:val="right" w:pos="15139"/>
          </w:tabs>
        </w:pPr>
        <w:r w:rsidRPr="00043A03">
          <w:t xml:space="preserve">Schedule 22: </w:t>
        </w:r>
        <w:r w:rsidR="00115F57">
          <w:t>(</w:t>
        </w:r>
        <w:r w:rsidRPr="00043A03">
          <w:t>Change Control Procedure</w:t>
        </w:r>
        <w:r w:rsidR="00115F57">
          <w:t>)</w:t>
        </w:r>
        <w:r>
          <w:t>, Model Services Contract, v2.1</w:t>
        </w:r>
        <w:r>
          <w:tab/>
        </w:r>
        <w:r>
          <w:fldChar w:fldCharType="begin"/>
        </w:r>
        <w:r>
          <w:instrText xml:space="preserve"> PAGE   \* MERGEFORMAT </w:instrText>
        </w:r>
        <w:r>
          <w:fldChar w:fldCharType="separate"/>
        </w:r>
        <w:r>
          <w:rPr>
            <w:noProof/>
          </w:rPr>
          <w:t>315</w:t>
        </w:r>
        <w:r>
          <w:rPr>
            <w:noProof/>
          </w:rPr>
          <w:fldChar w:fldCharType="end"/>
        </w:r>
      </w:p>
    </w:sdtContent>
  </w:sdt>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A7635" w14:textId="77777777" w:rsidR="00F67E9E" w:rsidRDefault="00F67E9E">
    <w:pPr>
      <w:pStyle w:val="Foote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120501"/>
      <w:docPartObj>
        <w:docPartGallery w:val="Page Numbers (Bottom of Page)"/>
        <w:docPartUnique/>
      </w:docPartObj>
    </w:sdtPr>
    <w:sdtEndPr>
      <w:rPr>
        <w:noProof/>
      </w:rPr>
    </w:sdtEndPr>
    <w:sdtContent>
      <w:p w14:paraId="61163A1F" w14:textId="37E2D54B" w:rsidR="00F67E9E" w:rsidRDefault="00F67E9E" w:rsidP="00240D26">
        <w:pPr>
          <w:pStyle w:val="Footer"/>
          <w:tabs>
            <w:tab w:val="clear" w:pos="4513"/>
            <w:tab w:val="clear" w:pos="9026"/>
            <w:tab w:val="right" w:pos="15139"/>
          </w:tabs>
        </w:pPr>
        <w:r w:rsidRPr="00660448">
          <w:t xml:space="preserve">Schedule 23: </w:t>
        </w:r>
        <w:r w:rsidR="00115F57">
          <w:t>(</w:t>
        </w:r>
        <w:r w:rsidRPr="00660448">
          <w:t>Dispute Resolution Procedure</w:t>
        </w:r>
        <w:r w:rsidR="00115F57">
          <w:t>)</w:t>
        </w:r>
        <w:r>
          <w:t>, Model Services Contract, v2.1</w:t>
        </w:r>
        <w:r>
          <w:tab/>
        </w:r>
        <w:r>
          <w:fldChar w:fldCharType="begin"/>
        </w:r>
        <w:r>
          <w:instrText xml:space="preserve"> PAGE   \* MERGEFORMAT </w:instrText>
        </w:r>
        <w:r>
          <w:fldChar w:fldCharType="separate"/>
        </w:r>
        <w:r>
          <w:rPr>
            <w:noProof/>
          </w:rPr>
          <w:t>315</w:t>
        </w:r>
        <w:r>
          <w:rPr>
            <w:noProof/>
          </w:rPr>
          <w:fldChar w:fldCharType="end"/>
        </w:r>
      </w:p>
    </w:sdtContent>
  </w:sdt>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063E8" w14:textId="77777777" w:rsidR="00F67E9E" w:rsidRPr="00AE11D4" w:rsidRDefault="00F67E9E" w:rsidP="0009218F">
    <w:pPr>
      <w:pBdr>
        <w:top w:val="single" w:sz="4" w:space="10" w:color="auto"/>
      </w:pBdr>
      <w:jc w:val="center"/>
      <w:rPr>
        <w:sz w:val="16"/>
      </w:rPr>
    </w:pPr>
    <w:r w:rsidRPr="00AE11D4">
      <w:rPr>
        <w:sz w:val="16"/>
      </w:rPr>
      <w:t xml:space="preserve">Model Services </w:t>
    </w:r>
    <w:r w:rsidRPr="00AE6AFD">
      <w:rPr>
        <w:sz w:val="16"/>
        <w:highlight w:val="green"/>
      </w:rPr>
      <w:t>Contract</w:t>
    </w:r>
    <w:r w:rsidRPr="00AE11D4">
      <w:rPr>
        <w:sz w:val="16"/>
      </w:rPr>
      <w:t xml:space="preserve"> Combined </w:t>
    </w:r>
    <w:r w:rsidRPr="00E9603F">
      <w:rPr>
        <w:sz w:val="16"/>
        <w:highlight w:val="magenta"/>
      </w:rPr>
      <w:t>Schedule</w:t>
    </w:r>
    <w:r w:rsidRPr="00AE11D4">
      <w:rPr>
        <w:sz w:val="16"/>
      </w:rPr>
      <w:t xml:space="preserve">s v1.09 – </w:t>
    </w:r>
    <w:r w:rsidRPr="00E9603F">
      <w:rPr>
        <w:sz w:val="16"/>
        <w:highlight w:val="magenta"/>
      </w:rPr>
      <w:t>Schedule</w:t>
    </w:r>
    <w:r w:rsidRPr="00AE11D4">
      <w:rPr>
        <w:sz w:val="16"/>
      </w:rPr>
      <w:t xml:space="preserve"> 8.4</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8414524"/>
      <w:docPartObj>
        <w:docPartGallery w:val="Page Numbers (Bottom of Page)"/>
        <w:docPartUnique/>
      </w:docPartObj>
    </w:sdtPr>
    <w:sdtEndPr>
      <w:rPr>
        <w:noProof/>
      </w:rPr>
    </w:sdtEndPr>
    <w:sdtContent>
      <w:p w14:paraId="63FA6C50" w14:textId="6490C50A" w:rsidR="00F67E9E" w:rsidRDefault="00F67E9E" w:rsidP="00240D26">
        <w:pPr>
          <w:pStyle w:val="Footer"/>
          <w:tabs>
            <w:tab w:val="clear" w:pos="4513"/>
            <w:tab w:val="clear" w:pos="9026"/>
            <w:tab w:val="right" w:pos="15139"/>
          </w:tabs>
        </w:pPr>
        <w:r w:rsidRPr="00660448">
          <w:t xml:space="preserve">Schedule 24: </w:t>
        </w:r>
        <w:r w:rsidR="00115F57">
          <w:t>(</w:t>
        </w:r>
        <w:r w:rsidRPr="00660448">
          <w:t>Reports and Records Provisions</w:t>
        </w:r>
        <w:r w:rsidR="00115F57">
          <w:t>)</w:t>
        </w:r>
        <w:r>
          <w:t>, Model Services Contract, v2.1</w:t>
        </w:r>
        <w:r>
          <w:tab/>
        </w:r>
        <w:r>
          <w:fldChar w:fldCharType="begin"/>
        </w:r>
        <w:r>
          <w:instrText xml:space="preserve"> PAGE   \* MERGEFORMAT </w:instrText>
        </w:r>
        <w:r>
          <w:fldChar w:fldCharType="separate"/>
        </w:r>
        <w:r>
          <w:rPr>
            <w:noProof/>
          </w:rPr>
          <w:t>315</w:t>
        </w:r>
        <w:r>
          <w:rPr>
            <w:noProof/>
          </w:rPr>
          <w:fldChar w:fldCharType="end"/>
        </w:r>
      </w:p>
    </w:sdtContent>
  </w:sdt>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9704707"/>
      <w:docPartObj>
        <w:docPartGallery w:val="Page Numbers (Bottom of Page)"/>
        <w:docPartUnique/>
      </w:docPartObj>
    </w:sdtPr>
    <w:sdtEndPr>
      <w:rPr>
        <w:noProof/>
      </w:rPr>
    </w:sdtEndPr>
    <w:sdtContent>
      <w:p w14:paraId="189056E0" w14:textId="487A0D80" w:rsidR="00F67E9E" w:rsidRDefault="00F67E9E" w:rsidP="005E6F6F">
        <w:pPr>
          <w:pStyle w:val="Footer"/>
          <w:tabs>
            <w:tab w:val="clear" w:pos="4513"/>
            <w:tab w:val="clear" w:pos="9026"/>
            <w:tab w:val="right" w:pos="15139"/>
          </w:tabs>
        </w:pPr>
        <w:r w:rsidRPr="00660448">
          <w:t xml:space="preserve">Schedule 24: </w:t>
        </w:r>
        <w:r w:rsidR="00115F57">
          <w:t>(</w:t>
        </w:r>
        <w:r w:rsidRPr="00660448">
          <w:t>Reports and Records Provisions</w:t>
        </w:r>
        <w:r w:rsidR="00115F57">
          <w:t>)</w:t>
        </w:r>
        <w:r>
          <w:t>, Model Services Contract, v2.1</w:t>
        </w:r>
        <w:r>
          <w:tab/>
        </w:r>
        <w:r>
          <w:fldChar w:fldCharType="begin"/>
        </w:r>
        <w:r>
          <w:instrText xml:space="preserve"> PAGE   \* MERGEFORMAT </w:instrText>
        </w:r>
        <w:r>
          <w:fldChar w:fldCharType="separate"/>
        </w:r>
        <w:r>
          <w:rPr>
            <w:noProof/>
          </w:rPr>
          <w:t>325</w:t>
        </w:r>
        <w:r>
          <w:rPr>
            <w:noProof/>
          </w:rPr>
          <w:fldChar w:fldCharType="end"/>
        </w:r>
      </w:p>
    </w:sdtContent>
  </w:sdt>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0027359"/>
      <w:docPartObj>
        <w:docPartGallery w:val="Page Numbers (Bottom of Page)"/>
        <w:docPartUnique/>
      </w:docPartObj>
    </w:sdtPr>
    <w:sdtEndPr>
      <w:rPr>
        <w:noProof/>
      </w:rPr>
    </w:sdtEndPr>
    <w:sdtContent>
      <w:p w14:paraId="12FE82F2" w14:textId="23B470AC" w:rsidR="00F67E9E" w:rsidRDefault="00F67E9E" w:rsidP="00240D26">
        <w:pPr>
          <w:pStyle w:val="Footer"/>
          <w:tabs>
            <w:tab w:val="clear" w:pos="4513"/>
            <w:tab w:val="clear" w:pos="9026"/>
            <w:tab w:val="right" w:pos="10206"/>
          </w:tabs>
        </w:pPr>
        <w:r w:rsidRPr="00E155D8">
          <w:t xml:space="preserve">Schedule 25: </w:t>
        </w:r>
        <w:r w:rsidR="00115F57">
          <w:t>(</w:t>
        </w:r>
        <w:r w:rsidRPr="00E155D8">
          <w:t>Exit Management</w:t>
        </w:r>
        <w:r w:rsidR="00115F57">
          <w:t>)</w:t>
        </w:r>
        <w:r>
          <w:t>, Model Services Contract, v2.1</w:t>
        </w:r>
        <w:r>
          <w:tab/>
        </w:r>
        <w:r>
          <w:fldChar w:fldCharType="begin"/>
        </w:r>
        <w:r>
          <w:instrText xml:space="preserve"> PAGE   \* MERGEFORMAT </w:instrText>
        </w:r>
        <w:r>
          <w:fldChar w:fldCharType="separate"/>
        </w:r>
        <w:r>
          <w:rPr>
            <w:noProof/>
          </w:rPr>
          <w:t>426</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1436823"/>
      <w:docPartObj>
        <w:docPartGallery w:val="Page Numbers (Bottom of Page)"/>
        <w:docPartUnique/>
      </w:docPartObj>
    </w:sdtPr>
    <w:sdtEndPr>
      <w:rPr>
        <w:noProof/>
      </w:rPr>
    </w:sdtEndPr>
    <w:sdtContent>
      <w:p w14:paraId="1FE77CF3" w14:textId="106E5B7C" w:rsidR="00F67E9E" w:rsidRDefault="00F67E9E" w:rsidP="00CD26AF">
        <w:pPr>
          <w:pStyle w:val="Footer"/>
          <w:tabs>
            <w:tab w:val="clear" w:pos="4513"/>
            <w:tab w:val="clear" w:pos="9026"/>
            <w:tab w:val="right" w:pos="10206"/>
          </w:tabs>
        </w:pPr>
        <w:r>
          <w:t xml:space="preserve">Schedule 2 </w:t>
        </w:r>
        <w:r w:rsidR="00710FC0">
          <w:t>(</w:t>
        </w:r>
        <w:r>
          <w:t>Services Description</w:t>
        </w:r>
        <w:r w:rsidR="00710FC0">
          <w:t>)</w:t>
        </w:r>
        <w:r>
          <w:t>, Model Services Contract, v2.1</w:t>
        </w:r>
        <w:r>
          <w:tab/>
        </w:r>
        <w:r>
          <w:fldChar w:fldCharType="begin"/>
        </w:r>
        <w:r>
          <w:instrText xml:space="preserve"> PAGE   \* MERGEFORMAT </w:instrText>
        </w:r>
        <w:r>
          <w:fldChar w:fldCharType="separate"/>
        </w:r>
        <w:r>
          <w:rPr>
            <w:noProof/>
          </w:rPr>
          <w:t>34</w:t>
        </w:r>
        <w:r>
          <w:rPr>
            <w:noProof/>
          </w:rPr>
          <w:fldChar w:fldCharType="end"/>
        </w:r>
      </w:p>
    </w:sdtContent>
  </w:sdt>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0B50C" w14:textId="77777777" w:rsidR="00F67E9E" w:rsidRPr="00AE11D4" w:rsidRDefault="00F67E9E" w:rsidP="0009218F">
    <w:pPr>
      <w:pBdr>
        <w:top w:val="single" w:sz="4" w:space="10" w:color="auto"/>
      </w:pBdr>
      <w:jc w:val="center"/>
      <w:rPr>
        <w:sz w:val="16"/>
      </w:rPr>
    </w:pPr>
    <w:r w:rsidRPr="00AE11D4">
      <w:rPr>
        <w:sz w:val="16"/>
      </w:rPr>
      <w:t xml:space="preserve">Model Services </w:t>
    </w:r>
    <w:r w:rsidRPr="00AE6AFD">
      <w:rPr>
        <w:sz w:val="16"/>
        <w:highlight w:val="green"/>
      </w:rPr>
      <w:t>Contract</w:t>
    </w:r>
    <w:r w:rsidRPr="00AE11D4">
      <w:rPr>
        <w:sz w:val="16"/>
      </w:rPr>
      <w:t xml:space="preserve"> Combined </w:t>
    </w:r>
    <w:r w:rsidRPr="00E9603F">
      <w:rPr>
        <w:sz w:val="16"/>
        <w:highlight w:val="magenta"/>
      </w:rPr>
      <w:t>Schedule</w:t>
    </w:r>
    <w:r w:rsidRPr="00AE11D4">
      <w:rPr>
        <w:sz w:val="16"/>
      </w:rPr>
      <w:t xml:space="preserve">s v1.09 – </w:t>
    </w:r>
    <w:r w:rsidRPr="00E9603F">
      <w:rPr>
        <w:sz w:val="16"/>
        <w:highlight w:val="magenta"/>
      </w:rPr>
      <w:t>Schedule</w:t>
    </w:r>
    <w:r w:rsidRPr="00AE11D4">
      <w:rPr>
        <w:sz w:val="16"/>
      </w:rPr>
      <w:t xml:space="preserve"> 8.6</w: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9856547"/>
      <w:docPartObj>
        <w:docPartGallery w:val="Page Numbers (Bottom of Page)"/>
        <w:docPartUnique/>
      </w:docPartObj>
    </w:sdtPr>
    <w:sdtEndPr>
      <w:rPr>
        <w:noProof/>
      </w:rPr>
    </w:sdtEndPr>
    <w:sdtContent>
      <w:p w14:paraId="67A34360" w14:textId="60F6A409" w:rsidR="00F67E9E" w:rsidRDefault="00F67E9E" w:rsidP="00240D26">
        <w:pPr>
          <w:pStyle w:val="Footer"/>
          <w:tabs>
            <w:tab w:val="clear" w:pos="4513"/>
            <w:tab w:val="clear" w:pos="9026"/>
            <w:tab w:val="right" w:pos="10206"/>
          </w:tabs>
        </w:pPr>
        <w:r w:rsidRPr="003D1189">
          <w:t xml:space="preserve">Schedule 26: </w:t>
        </w:r>
        <w:r w:rsidR="00115F57">
          <w:t>(</w:t>
        </w:r>
        <w:r w:rsidRPr="003D1189">
          <w:t>Service Continuity Plan and Corporate Resolution</w:t>
        </w:r>
        <w:r>
          <w:br/>
        </w:r>
        <w:r w:rsidRPr="003D1189">
          <w:t>Planning</w:t>
        </w:r>
        <w:r w:rsidR="00115F57">
          <w:t>)</w:t>
        </w:r>
        <w:r>
          <w:t>, Model Services Contract, v2.1</w:t>
        </w:r>
        <w:r>
          <w:tab/>
        </w:r>
        <w:r>
          <w:fldChar w:fldCharType="begin"/>
        </w:r>
        <w:r>
          <w:instrText xml:space="preserve"> PAGE   \* MERGEFORMAT </w:instrText>
        </w:r>
        <w:r>
          <w:fldChar w:fldCharType="separate"/>
        </w:r>
        <w:r>
          <w:rPr>
            <w:noProof/>
          </w:rPr>
          <w:t>426</w:t>
        </w:r>
        <w:r>
          <w:rPr>
            <w:noProof/>
          </w:rPr>
          <w:fldChar w:fldCharType="end"/>
        </w:r>
      </w:p>
    </w:sdtContent>
  </w:sdt>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17AC2" w14:textId="77777777" w:rsidR="00F67E9E" w:rsidRPr="00025910" w:rsidRDefault="00F67E9E" w:rsidP="00986047">
    <w:pPr>
      <w:pBdr>
        <w:top w:val="single" w:sz="4" w:space="10" w:color="auto"/>
      </w:pBdr>
      <w:jc w:val="center"/>
      <w:rPr>
        <w:sz w:val="16"/>
      </w:rPr>
    </w:pPr>
    <w:r w:rsidRPr="00025910">
      <w:rPr>
        <w:sz w:val="16"/>
      </w:rPr>
      <w:t>Model Services Contract Combined Schedules v1.09 – Schedule 9.1</w: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0496824"/>
      <w:docPartObj>
        <w:docPartGallery w:val="Page Numbers (Bottom of Page)"/>
        <w:docPartUnique/>
      </w:docPartObj>
    </w:sdtPr>
    <w:sdtEndPr>
      <w:rPr>
        <w:noProof/>
      </w:rPr>
    </w:sdtEndPr>
    <w:sdtContent>
      <w:p w14:paraId="7B5DC40D" w14:textId="5A784984" w:rsidR="00F67E9E" w:rsidRDefault="00F67E9E" w:rsidP="00240D26">
        <w:pPr>
          <w:pStyle w:val="Footer"/>
          <w:tabs>
            <w:tab w:val="clear" w:pos="4513"/>
            <w:tab w:val="clear" w:pos="9026"/>
            <w:tab w:val="right" w:pos="10206"/>
          </w:tabs>
        </w:pPr>
        <w:r w:rsidRPr="003D1189">
          <w:t>Schedule 2</w:t>
        </w:r>
        <w:r>
          <w:t>7</w:t>
        </w:r>
        <w:r w:rsidRPr="003D1189">
          <w:t xml:space="preserve">: </w:t>
        </w:r>
        <w:r w:rsidR="00115F57">
          <w:t>(</w:t>
        </w:r>
        <w:r>
          <w:t>Conduct of Claims</w:t>
        </w:r>
        <w:r w:rsidR="00115F57">
          <w:t>)</w:t>
        </w:r>
        <w:r>
          <w:t>, Model Services Contract, v2.1</w:t>
        </w:r>
        <w:r>
          <w:tab/>
        </w:r>
        <w:r>
          <w:fldChar w:fldCharType="begin"/>
        </w:r>
        <w:r>
          <w:instrText xml:space="preserve"> PAGE   \* MERGEFORMAT </w:instrText>
        </w:r>
        <w:r>
          <w:fldChar w:fldCharType="separate"/>
        </w:r>
        <w:r>
          <w:rPr>
            <w:noProof/>
          </w:rPr>
          <w:t>426</w:t>
        </w:r>
        <w:r>
          <w:rPr>
            <w:noProof/>
          </w:rPr>
          <w:fldChar w:fldCharType="end"/>
        </w:r>
      </w:p>
    </w:sdtContent>
  </w:sdt>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04856"/>
      <w:docPartObj>
        <w:docPartGallery w:val="Page Numbers (Bottom of Page)"/>
        <w:docPartUnique/>
      </w:docPartObj>
    </w:sdtPr>
    <w:sdtEndPr>
      <w:rPr>
        <w:noProof/>
      </w:rPr>
    </w:sdtEndPr>
    <w:sdtContent>
      <w:p w14:paraId="0D9524E7" w14:textId="5741F11C" w:rsidR="00F67E9E" w:rsidRDefault="00F67E9E" w:rsidP="00240D26">
        <w:pPr>
          <w:pStyle w:val="Footer"/>
          <w:tabs>
            <w:tab w:val="clear" w:pos="4513"/>
            <w:tab w:val="clear" w:pos="9026"/>
            <w:tab w:val="right" w:pos="10206"/>
          </w:tabs>
        </w:pPr>
        <w:r w:rsidRPr="003D1189">
          <w:t>Schedule 2</w:t>
        </w:r>
        <w:r>
          <w:t>8</w:t>
        </w:r>
        <w:r w:rsidRPr="003D1189">
          <w:t xml:space="preserve">: </w:t>
        </w:r>
        <w:r w:rsidR="00115F57">
          <w:t>(</w:t>
        </w:r>
        <w:r>
          <w:t>Staff Transfer</w:t>
        </w:r>
        <w:r w:rsidR="00115F57">
          <w:t>)</w:t>
        </w:r>
        <w:r>
          <w:t>, Model Services Contract, v2.1</w:t>
        </w:r>
        <w:r>
          <w:tab/>
        </w:r>
        <w:r>
          <w:fldChar w:fldCharType="begin"/>
        </w:r>
        <w:r>
          <w:instrText xml:space="preserve"> PAGE   \* MERGEFORMAT </w:instrText>
        </w:r>
        <w:r>
          <w:fldChar w:fldCharType="separate"/>
        </w:r>
        <w:r>
          <w:rPr>
            <w:noProof/>
          </w:rPr>
          <w:t>426</w:t>
        </w:r>
        <w:r>
          <w:rPr>
            <w:noProof/>
          </w:rPr>
          <w:fldChar w:fldCharType="end"/>
        </w:r>
      </w:p>
    </w:sdtContent>
  </w:sdt>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5941607"/>
      <w:docPartObj>
        <w:docPartGallery w:val="Page Numbers (Bottom of Page)"/>
        <w:docPartUnique/>
      </w:docPartObj>
    </w:sdtPr>
    <w:sdtEndPr>
      <w:rPr>
        <w:noProof/>
      </w:rPr>
    </w:sdtEndPr>
    <w:sdtContent>
      <w:p w14:paraId="22A0C9A2" w14:textId="7A3F4EE2" w:rsidR="00F67E9E" w:rsidRDefault="00F67E9E" w:rsidP="002E463E">
        <w:pPr>
          <w:pStyle w:val="Footer"/>
          <w:tabs>
            <w:tab w:val="clear" w:pos="4513"/>
            <w:tab w:val="clear" w:pos="9026"/>
            <w:tab w:val="right" w:pos="15139"/>
          </w:tabs>
        </w:pPr>
        <w:r>
          <w:t xml:space="preserve">Schedule 28: </w:t>
        </w:r>
        <w:r w:rsidR="00115F57">
          <w:t>(</w:t>
        </w:r>
        <w:r>
          <w:t>Staff Transfer</w:t>
        </w:r>
        <w:r w:rsidR="00115F57">
          <w:t>)</w:t>
        </w:r>
        <w:r>
          <w:t>, Model Services Contract, v2.1</w:t>
        </w:r>
        <w:r>
          <w:tab/>
        </w:r>
        <w:r>
          <w:fldChar w:fldCharType="begin"/>
        </w:r>
        <w:r>
          <w:instrText xml:space="preserve"> PAGE   \* MERGEFORMAT </w:instrText>
        </w:r>
        <w:r>
          <w:fldChar w:fldCharType="separate"/>
        </w:r>
        <w:r>
          <w:rPr>
            <w:noProof/>
          </w:rPr>
          <w:t>584</w:t>
        </w:r>
        <w:r>
          <w:rPr>
            <w:noProof/>
          </w:rPr>
          <w:fldChar w:fldCharType="end"/>
        </w:r>
      </w:p>
    </w:sdtContent>
  </w:sdt>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0354838"/>
      <w:docPartObj>
        <w:docPartGallery w:val="Page Numbers (Bottom of Page)"/>
        <w:docPartUnique/>
      </w:docPartObj>
    </w:sdtPr>
    <w:sdtEndPr>
      <w:rPr>
        <w:noProof/>
      </w:rPr>
    </w:sdtEndPr>
    <w:sdtContent>
      <w:p w14:paraId="46965F3A" w14:textId="08D6413E" w:rsidR="00F67E9E" w:rsidRDefault="00F67E9E" w:rsidP="002E463E">
        <w:pPr>
          <w:pStyle w:val="Footer"/>
          <w:tabs>
            <w:tab w:val="clear" w:pos="4513"/>
            <w:tab w:val="clear" w:pos="9026"/>
            <w:tab w:val="right" w:pos="15139"/>
          </w:tabs>
        </w:pPr>
        <w:r>
          <w:t xml:space="preserve">Schedule 29: </w:t>
        </w:r>
        <w:r w:rsidR="00115F57">
          <w:t>(</w:t>
        </w:r>
        <w:r>
          <w:t>Key Personnel</w:t>
        </w:r>
        <w:r w:rsidR="00115F57">
          <w:t>)</w:t>
        </w:r>
        <w:r>
          <w:t>, Model Services Contract, v2.1</w:t>
        </w:r>
        <w:r>
          <w:tab/>
        </w:r>
        <w:r>
          <w:fldChar w:fldCharType="begin"/>
        </w:r>
        <w:r>
          <w:instrText xml:space="preserve"> PAGE   \* MERGEFORMAT </w:instrText>
        </w:r>
        <w:r>
          <w:fldChar w:fldCharType="separate"/>
        </w:r>
        <w:r>
          <w:rPr>
            <w:noProof/>
          </w:rPr>
          <w:t>584</w:t>
        </w:r>
        <w:r>
          <w:rPr>
            <w:noProof/>
          </w:rPr>
          <w:fldChar w:fldCharType="end"/>
        </w:r>
      </w:p>
    </w:sdtContent>
  </w:sdt>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6734D" w14:textId="77777777" w:rsidR="00F67E9E" w:rsidRPr="00AE11D4" w:rsidRDefault="00F67E9E" w:rsidP="001D763B">
    <w:pPr>
      <w:pBdr>
        <w:top w:val="single" w:sz="4" w:space="10" w:color="auto"/>
      </w:pBdr>
      <w:jc w:val="center"/>
      <w:rPr>
        <w:sz w:val="16"/>
      </w:rPr>
    </w:pPr>
    <w:r w:rsidRPr="00AE11D4">
      <w:rPr>
        <w:sz w:val="16"/>
      </w:rPr>
      <w:t xml:space="preserve">Model Services </w:t>
    </w:r>
    <w:r w:rsidRPr="00AE6AFD">
      <w:rPr>
        <w:sz w:val="16"/>
        <w:highlight w:val="green"/>
      </w:rPr>
      <w:t>Contract</w:t>
    </w:r>
    <w:r w:rsidRPr="00AE11D4">
      <w:rPr>
        <w:sz w:val="16"/>
      </w:rPr>
      <w:t xml:space="preserve"> Combined </w:t>
    </w:r>
    <w:r w:rsidRPr="00E9603F">
      <w:rPr>
        <w:sz w:val="16"/>
        <w:highlight w:val="magenta"/>
      </w:rPr>
      <w:t>Schedule</w:t>
    </w:r>
    <w:r w:rsidRPr="00AE11D4">
      <w:rPr>
        <w:sz w:val="16"/>
      </w:rPr>
      <w:t xml:space="preserve">s v1.09 – </w:t>
    </w:r>
    <w:r w:rsidRPr="00E9603F">
      <w:rPr>
        <w:sz w:val="16"/>
        <w:highlight w:val="magenta"/>
      </w:rPr>
      <w:t>Schedule</w:t>
    </w:r>
    <w:r w:rsidRPr="00AE11D4">
      <w:rPr>
        <w:sz w:val="16"/>
      </w:rPr>
      <w:t xml:space="preserve"> 10</w: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626163"/>
      <w:docPartObj>
        <w:docPartGallery w:val="Page Numbers (Bottom of Page)"/>
        <w:docPartUnique/>
      </w:docPartObj>
    </w:sdtPr>
    <w:sdtEndPr>
      <w:rPr>
        <w:noProof/>
      </w:rPr>
    </w:sdtEndPr>
    <w:sdtContent>
      <w:p w14:paraId="689EAB82" w14:textId="0AF46A8C" w:rsidR="00F67E9E" w:rsidRDefault="00F67E9E" w:rsidP="002E463E">
        <w:pPr>
          <w:pStyle w:val="Footer"/>
          <w:tabs>
            <w:tab w:val="clear" w:pos="4513"/>
            <w:tab w:val="clear" w:pos="9026"/>
            <w:tab w:val="right" w:pos="15139"/>
          </w:tabs>
        </w:pPr>
        <w:r>
          <w:t xml:space="preserve">Schedule 30: </w:t>
        </w:r>
        <w:r w:rsidR="00115F57">
          <w:t>(</w:t>
        </w:r>
        <w:r>
          <w:t>Deed of Guarantee</w:t>
        </w:r>
        <w:r w:rsidR="00115F57">
          <w:t>)</w:t>
        </w:r>
        <w:r>
          <w:t>, Model Services Contract, v2.1</w:t>
        </w:r>
        <w:r>
          <w:tab/>
        </w:r>
        <w:r>
          <w:fldChar w:fldCharType="begin"/>
        </w:r>
        <w:r>
          <w:instrText xml:space="preserve"> PAGE   \* MERGEFORMAT </w:instrText>
        </w:r>
        <w:r>
          <w:fldChar w:fldCharType="separate"/>
        </w:r>
        <w:r>
          <w:rPr>
            <w:noProof/>
          </w:rPr>
          <w:t>584</w:t>
        </w:r>
        <w:r>
          <w:rPr>
            <w:noProof/>
          </w:rPr>
          <w:fldChar w:fldCharType="end"/>
        </w:r>
      </w:p>
    </w:sdtContent>
  </w:sdt>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8611601"/>
      <w:docPartObj>
        <w:docPartGallery w:val="Page Numbers (Bottom of Page)"/>
        <w:docPartUnique/>
      </w:docPartObj>
    </w:sdtPr>
    <w:sdtEndPr>
      <w:rPr>
        <w:noProof/>
      </w:rPr>
    </w:sdtEndPr>
    <w:sdtContent>
      <w:p w14:paraId="74B4CD41" w14:textId="188B2617" w:rsidR="00F67E9E" w:rsidRDefault="00F67E9E" w:rsidP="002E463E">
        <w:pPr>
          <w:pStyle w:val="Footer"/>
          <w:tabs>
            <w:tab w:val="clear" w:pos="4513"/>
            <w:tab w:val="clear" w:pos="9026"/>
            <w:tab w:val="right" w:pos="15139"/>
          </w:tabs>
        </w:pPr>
        <w:r>
          <w:t xml:space="preserve">Schedule 31: </w:t>
        </w:r>
        <w:r w:rsidR="00115F57">
          <w:t>(</w:t>
        </w:r>
        <w:r>
          <w:t>Processing Personal Data</w:t>
        </w:r>
        <w:r w:rsidR="00115F57">
          <w:t>)</w:t>
        </w:r>
        <w:r>
          <w:t>, Model Services Contract, v2.1</w:t>
        </w:r>
        <w:r>
          <w:tab/>
        </w:r>
        <w:r>
          <w:fldChar w:fldCharType="begin"/>
        </w:r>
        <w:r>
          <w:instrText xml:space="preserve"> PAGE   \* MERGEFORMAT </w:instrText>
        </w:r>
        <w:r>
          <w:fldChar w:fldCharType="separate"/>
        </w:r>
        <w:r>
          <w:rPr>
            <w:noProof/>
          </w:rPr>
          <w:t>584</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6515260"/>
      <w:docPartObj>
        <w:docPartGallery w:val="Page Numbers (Bottom of Page)"/>
        <w:docPartUnique/>
      </w:docPartObj>
    </w:sdtPr>
    <w:sdtEndPr>
      <w:rPr>
        <w:noProof/>
      </w:rPr>
    </w:sdtEndPr>
    <w:sdtContent>
      <w:p w14:paraId="081FC6C7" w14:textId="572216F9" w:rsidR="00F67E9E" w:rsidRDefault="00F67E9E" w:rsidP="00CD26AF">
        <w:pPr>
          <w:pStyle w:val="Footer"/>
          <w:tabs>
            <w:tab w:val="clear" w:pos="4513"/>
            <w:tab w:val="clear" w:pos="9026"/>
            <w:tab w:val="right" w:pos="10206"/>
          </w:tabs>
        </w:pPr>
        <w:r>
          <w:t xml:space="preserve">Schedule 3 </w:t>
        </w:r>
        <w:r w:rsidR="00710FC0">
          <w:t>(</w:t>
        </w:r>
        <w:r>
          <w:t>Performance Levels</w:t>
        </w:r>
        <w:r w:rsidR="00710FC0">
          <w:t>)</w:t>
        </w:r>
        <w:r>
          <w:t>, Model Services Contract, v2.1</w:t>
        </w:r>
        <w:r>
          <w:tab/>
        </w:r>
        <w:r>
          <w:fldChar w:fldCharType="begin"/>
        </w:r>
        <w:r>
          <w:instrText xml:space="preserve"> PAGE   \* MERGEFORMAT </w:instrText>
        </w:r>
        <w:r>
          <w:fldChar w:fldCharType="separate"/>
        </w:r>
        <w:r>
          <w:rPr>
            <w:noProof/>
          </w:rPr>
          <w:t>34</w:t>
        </w:r>
        <w:r>
          <w:rPr>
            <w:noProof/>
          </w:rPr>
          <w:fldChar w:fldCharType="end"/>
        </w:r>
      </w:p>
    </w:sdtContent>
  </w:sdt>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4C19E" w14:textId="77777777" w:rsidR="00830460" w:rsidRDefault="000D7DE5">
    <w:pPr>
      <w:pStyle w:val="Footer"/>
    </w:pP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1537992"/>
      <w:docPartObj>
        <w:docPartGallery w:val="Page Numbers (Bottom of Page)"/>
        <w:docPartUnique/>
      </w:docPartObj>
    </w:sdtPr>
    <w:sdtEndPr>
      <w:rPr>
        <w:noProof/>
      </w:rPr>
    </w:sdtEndPr>
    <w:sdtContent>
      <w:p w14:paraId="631A52F1" w14:textId="4BFE0A6A" w:rsidR="00CF408A" w:rsidRDefault="00182E3A" w:rsidP="00842B48">
        <w:pPr>
          <w:pStyle w:val="Footer"/>
          <w:tabs>
            <w:tab w:val="clear" w:pos="4513"/>
            <w:tab w:val="clear" w:pos="9026"/>
            <w:tab w:val="right" w:pos="15139"/>
          </w:tabs>
        </w:pPr>
        <w:r w:rsidRPr="00F624D8">
          <w:t xml:space="preserve">Schedule 32: </w:t>
        </w:r>
        <w:r w:rsidR="00115F57">
          <w:t>(</w:t>
        </w:r>
        <w:r w:rsidRPr="00F624D8">
          <w:t>Intellectual Property Rights</w:t>
        </w:r>
        <w:r w:rsidR="00115F57">
          <w:t>)</w:t>
        </w:r>
        <w:r w:rsidR="007F1A45">
          <w:t>,</w:t>
        </w:r>
        <w:r>
          <w:t xml:space="preserve"> Model Services Contract, v2.1</w:t>
        </w:r>
        <w:r>
          <w:tab/>
        </w:r>
        <w:r>
          <w:fldChar w:fldCharType="begin"/>
        </w:r>
        <w:r>
          <w:instrText xml:space="preserve"> PAGE   \* MERGEFORMAT </w:instrText>
        </w:r>
        <w:r>
          <w:fldChar w:fldCharType="separate"/>
        </w:r>
        <w:r>
          <w:rPr>
            <w:noProof/>
          </w:rPr>
          <w:t>15</w:t>
        </w:r>
        <w:r>
          <w:rPr>
            <w:noProof/>
          </w:rPr>
          <w:fldChar w:fldCharType="end"/>
        </w:r>
      </w:p>
    </w:sdtContent>
  </w:sdt>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F0FEB" w14:textId="77777777" w:rsidR="00830460" w:rsidRDefault="000D7DE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8766822"/>
      <w:docPartObj>
        <w:docPartGallery w:val="Page Numbers (Bottom of Page)"/>
        <w:docPartUnique/>
      </w:docPartObj>
    </w:sdtPr>
    <w:sdtEndPr>
      <w:rPr>
        <w:noProof/>
      </w:rPr>
    </w:sdtEndPr>
    <w:sdtContent>
      <w:p w14:paraId="5C43FE2A" w14:textId="55D66346" w:rsidR="00F67E9E" w:rsidRDefault="00F67E9E" w:rsidP="006A5EAC">
        <w:pPr>
          <w:pStyle w:val="Footer"/>
          <w:tabs>
            <w:tab w:val="clear" w:pos="4513"/>
            <w:tab w:val="clear" w:pos="9026"/>
            <w:tab w:val="right" w:pos="15139"/>
          </w:tabs>
        </w:pPr>
        <w:r>
          <w:t xml:space="preserve">Schedule 3 </w:t>
        </w:r>
        <w:r w:rsidR="00710FC0">
          <w:t>(</w:t>
        </w:r>
        <w:r>
          <w:t>Performance Levels</w:t>
        </w:r>
        <w:r w:rsidR="00710FC0">
          <w:t>)</w:t>
        </w:r>
        <w:r>
          <w:t>, Model Services Contract, v2.1</w:t>
        </w:r>
        <w:r>
          <w:tab/>
        </w:r>
        <w:r>
          <w:fldChar w:fldCharType="begin"/>
        </w:r>
        <w:r>
          <w:instrText xml:space="preserve"> PAGE   \* MERGEFORMAT </w:instrText>
        </w:r>
        <w:r>
          <w:fldChar w:fldCharType="separate"/>
        </w:r>
        <w:r>
          <w:rPr>
            <w:noProof/>
          </w:rPr>
          <w:t>71</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3556476"/>
      <w:docPartObj>
        <w:docPartGallery w:val="Page Numbers (Bottom of Page)"/>
        <w:docPartUnique/>
      </w:docPartObj>
    </w:sdtPr>
    <w:sdtEndPr>
      <w:rPr>
        <w:noProof/>
      </w:rPr>
    </w:sdtEndPr>
    <w:sdtContent>
      <w:p w14:paraId="706B18BB" w14:textId="194BADD5" w:rsidR="00F67E9E" w:rsidRDefault="00F67E9E" w:rsidP="006A5EAC">
        <w:pPr>
          <w:pStyle w:val="Footer"/>
          <w:tabs>
            <w:tab w:val="clear" w:pos="4513"/>
            <w:tab w:val="clear" w:pos="9026"/>
            <w:tab w:val="right" w:pos="10206"/>
          </w:tabs>
        </w:pPr>
        <w:r>
          <w:t xml:space="preserve">Schedule 3 </w:t>
        </w:r>
        <w:r w:rsidR="00710FC0">
          <w:t>(</w:t>
        </w:r>
        <w:r>
          <w:t>Performance Levels</w:t>
        </w:r>
        <w:r w:rsidR="00710FC0">
          <w:t>)</w:t>
        </w:r>
        <w:r>
          <w:t>, Model Services Contract, v2.1</w:t>
        </w:r>
        <w:r>
          <w:tab/>
        </w:r>
        <w:r>
          <w:fldChar w:fldCharType="begin"/>
        </w:r>
        <w:r>
          <w:instrText xml:space="preserve"> PAGE   \* MERGEFORMAT </w:instrText>
        </w:r>
        <w:r>
          <w:fldChar w:fldCharType="separate"/>
        </w:r>
        <w:r>
          <w:rPr>
            <w:noProof/>
          </w:rPr>
          <w:t>88</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79F41" w14:textId="77777777" w:rsidR="00F67E9E" w:rsidRPr="00EE0196" w:rsidRDefault="00F67E9E" w:rsidP="0060661C">
    <w:pPr>
      <w:pBdr>
        <w:top w:val="single" w:sz="4" w:space="10" w:color="auto"/>
      </w:pBdr>
      <w:jc w:val="center"/>
      <w:rPr>
        <w:sz w:val="16"/>
      </w:rPr>
    </w:pPr>
    <w:r w:rsidRPr="00EE0196">
      <w:rPr>
        <w:sz w:val="16"/>
      </w:rPr>
      <w:t xml:space="preserve">Model Services </w:t>
    </w:r>
    <w:r w:rsidRPr="00AE6AFD">
      <w:rPr>
        <w:sz w:val="16"/>
        <w:highlight w:val="green"/>
      </w:rPr>
      <w:t>Contract</w:t>
    </w:r>
    <w:r w:rsidRPr="00EE0196">
      <w:rPr>
        <w:sz w:val="16"/>
      </w:rPr>
      <w:t xml:space="preserve"> Combined </w:t>
    </w:r>
    <w:r w:rsidRPr="00E9603F">
      <w:rPr>
        <w:sz w:val="16"/>
        <w:highlight w:val="magenta"/>
      </w:rPr>
      <w:t>Schedule</w:t>
    </w:r>
    <w:r w:rsidRPr="00EE0196">
      <w:rPr>
        <w:sz w:val="16"/>
      </w:rPr>
      <w:t xml:space="preserve">s v1.09 – </w:t>
    </w:r>
    <w:r w:rsidRPr="00E9603F">
      <w:rPr>
        <w:sz w:val="16"/>
        <w:highlight w:val="magenta"/>
      </w:rPr>
      <w:t>Schedule</w:t>
    </w:r>
    <w:r w:rsidRPr="00EE0196">
      <w:rPr>
        <w:sz w:val="16"/>
      </w:rPr>
      <w:t xml:space="preserve"> 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C67BF" w14:textId="77777777" w:rsidR="000D7DE5" w:rsidRDefault="000D7DE5" w:rsidP="004A7C2C">
      <w:r>
        <w:separator/>
      </w:r>
    </w:p>
    <w:p w14:paraId="6E6511A1" w14:textId="77777777" w:rsidR="000D7DE5" w:rsidRDefault="000D7DE5"/>
  </w:footnote>
  <w:footnote w:type="continuationSeparator" w:id="0">
    <w:p w14:paraId="73821A19" w14:textId="77777777" w:rsidR="000D7DE5" w:rsidRDefault="000D7DE5" w:rsidP="004A7C2C">
      <w:r>
        <w:continuationSeparator/>
      </w:r>
    </w:p>
    <w:p w14:paraId="6130255E" w14:textId="77777777" w:rsidR="000D7DE5" w:rsidRDefault="000D7DE5"/>
  </w:footnote>
  <w:footnote w:type="continuationNotice" w:id="1">
    <w:p w14:paraId="6DC95F93" w14:textId="77777777" w:rsidR="000D7DE5" w:rsidRDefault="000D7DE5"/>
    <w:p w14:paraId="616469C9" w14:textId="77777777" w:rsidR="000D7DE5" w:rsidRDefault="000D7D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11BAC" w14:textId="77777777" w:rsidR="0000154C" w:rsidRDefault="0000154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EBAB6" w14:textId="77777777" w:rsidR="00F67E9E" w:rsidRPr="004A7C2C" w:rsidRDefault="00F67E9E" w:rsidP="00534BE5">
    <w:pPr>
      <w:pStyle w:val="Header"/>
    </w:pPr>
    <w:r w:rsidRPr="00E9603F">
      <w:rPr>
        <w:highlight w:val="magenta"/>
      </w:rPr>
      <w:t>Schedule</w:t>
    </w:r>
    <w:r w:rsidRPr="004A7C2C">
      <w:t xml:space="preserve"> </w:t>
    </w:r>
    <w:r>
      <w:t>6</w:t>
    </w:r>
    <w:r w:rsidRPr="004A7C2C">
      <w:t xml:space="preserve"> (</w:t>
    </w:r>
    <w:r>
      <w:t>Insurance Requirements</w:t>
    </w:r>
    <w:r w:rsidRPr="004A7C2C">
      <w:t>)</w:t>
    </w:r>
  </w:p>
  <w:p w14:paraId="5D7D92DC" w14:textId="77777777" w:rsidR="00F67E9E" w:rsidRPr="004A7C2C" w:rsidRDefault="00F67E9E" w:rsidP="00534BE5">
    <w:pPr>
      <w:pStyle w:val="Header"/>
    </w:pPr>
    <w:r w:rsidRPr="004A7C2C">
      <w:t>Crown copyright 2021</w:t>
    </w:r>
  </w:p>
  <w:p w14:paraId="3577EB59" w14:textId="77777777" w:rsidR="00F67E9E" w:rsidRDefault="00F67E9E" w:rsidP="00534BE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94B4C" w14:textId="7A0F417B" w:rsidR="00F67E9E" w:rsidRPr="0077466E" w:rsidRDefault="00F67E9E" w:rsidP="005B59F3">
    <w:pPr>
      <w:pBdr>
        <w:top w:val="nil"/>
        <w:left w:val="nil"/>
        <w:bottom w:val="nil"/>
        <w:right w:val="nil"/>
        <w:between w:val="nil"/>
      </w:pBdr>
      <w:tabs>
        <w:tab w:val="center" w:pos="4513"/>
        <w:tab w:val="right" w:pos="9026"/>
      </w:tabs>
      <w:rPr>
        <w:b/>
        <w:color w:val="000000"/>
        <w:sz w:val="22"/>
        <w:szCs w:val="22"/>
      </w:rPr>
    </w:pPr>
    <w:r w:rsidRPr="0077466E">
      <w:rPr>
        <w:b/>
        <w:color w:val="000000"/>
        <w:sz w:val="22"/>
        <w:szCs w:val="22"/>
      </w:rPr>
      <w:t>Schedule 6</w:t>
    </w:r>
    <w:r>
      <w:rPr>
        <w:b/>
        <w:color w:val="000000"/>
        <w:sz w:val="22"/>
        <w:szCs w:val="22"/>
      </w:rPr>
      <w:t xml:space="preserve"> </w:t>
    </w:r>
    <w:r w:rsidR="005279D9">
      <w:rPr>
        <w:b/>
        <w:color w:val="000000"/>
        <w:sz w:val="22"/>
        <w:szCs w:val="22"/>
      </w:rPr>
      <w:t>(</w:t>
    </w:r>
    <w:r w:rsidRPr="0077466E">
      <w:rPr>
        <w:b/>
        <w:color w:val="000000"/>
        <w:sz w:val="22"/>
        <w:szCs w:val="22"/>
      </w:rPr>
      <w:t>Insurance Requirements</w:t>
    </w:r>
    <w:r w:rsidR="005279D9">
      <w:rPr>
        <w:b/>
        <w:color w:val="000000"/>
        <w:sz w:val="22"/>
        <w:szCs w:val="22"/>
      </w:rPr>
      <w:t>)</w:t>
    </w:r>
  </w:p>
  <w:p w14:paraId="026A8837" w14:textId="77777777" w:rsidR="00F67E9E" w:rsidRPr="00534BE5" w:rsidRDefault="00F67E9E" w:rsidP="006A2450">
    <w:pPr>
      <w:pStyle w:val="Header"/>
    </w:pPr>
    <w:r w:rsidRPr="00AB0447">
      <w:t xml:space="preserve">[Subject to </w:t>
    </w:r>
    <w:r>
      <w:t>C</w:t>
    </w:r>
    <w:r w:rsidRPr="00AB0447">
      <w:t>ontract]</w:t>
    </w:r>
  </w:p>
  <w:p w14:paraId="4BF86525" w14:textId="77777777" w:rsidR="00F67E9E" w:rsidRPr="00534BE5" w:rsidRDefault="00F67E9E" w:rsidP="006A2450">
    <w:pPr>
      <w:pStyle w:val="Header"/>
    </w:pPr>
    <w:r w:rsidRPr="00534BE5">
      <w:t xml:space="preserve">Crown </w:t>
    </w:r>
    <w:r>
      <w:t>C</w:t>
    </w:r>
    <w:r w:rsidRPr="00534BE5">
      <w:t>opyright 202</w:t>
    </w:r>
    <w:r>
      <w:t>3</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7A437" w14:textId="77777777" w:rsidR="00F67E9E" w:rsidRPr="004A7C2C" w:rsidRDefault="00F67E9E" w:rsidP="00534BE5">
    <w:pPr>
      <w:pStyle w:val="Header"/>
    </w:pPr>
    <w:r w:rsidRPr="00E9603F">
      <w:rPr>
        <w:highlight w:val="magenta"/>
      </w:rPr>
      <w:t>Schedule</w:t>
    </w:r>
    <w:r w:rsidRPr="004A7C2C">
      <w:t xml:space="preserve"> 1 (Definitions)</w:t>
    </w:r>
  </w:p>
  <w:p w14:paraId="2953A5FA" w14:textId="77777777" w:rsidR="00F67E9E" w:rsidRPr="004A7C2C" w:rsidRDefault="00F67E9E" w:rsidP="00534BE5">
    <w:pPr>
      <w:pStyle w:val="Header"/>
    </w:pPr>
    <w:r w:rsidRPr="004A7C2C">
      <w:t>Crown copyright 2021</w:t>
    </w:r>
  </w:p>
  <w:p w14:paraId="0913330D" w14:textId="77777777" w:rsidR="00F67E9E" w:rsidRDefault="00F67E9E" w:rsidP="00534BE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3DBCB" w14:textId="783231C7" w:rsidR="00F67E9E" w:rsidRPr="0080013D" w:rsidRDefault="00F67E9E" w:rsidP="00534BE5">
    <w:pPr>
      <w:pStyle w:val="Header"/>
      <w:rPr>
        <w:b/>
        <w:bCs/>
      </w:rPr>
    </w:pPr>
    <w:r w:rsidRPr="0080013D">
      <w:rPr>
        <w:b/>
        <w:bCs/>
      </w:rPr>
      <w:t>Schedule 7</w:t>
    </w:r>
    <w:r>
      <w:rPr>
        <w:b/>
        <w:bCs/>
      </w:rPr>
      <w:t xml:space="preserve"> </w:t>
    </w:r>
    <w:r w:rsidR="005279D9">
      <w:rPr>
        <w:b/>
        <w:bCs/>
      </w:rPr>
      <w:t>(</w:t>
    </w:r>
    <w:r w:rsidRPr="0080013D">
      <w:rPr>
        <w:b/>
        <w:bCs/>
      </w:rPr>
      <w:t>Authority Responsibilities</w:t>
    </w:r>
    <w:r w:rsidR="005279D9">
      <w:rPr>
        <w:b/>
        <w:bCs/>
      </w:rPr>
      <w:t>)</w:t>
    </w:r>
  </w:p>
  <w:p w14:paraId="4C63C393" w14:textId="77777777" w:rsidR="00F67E9E" w:rsidRPr="00534BE5" w:rsidRDefault="00F67E9E" w:rsidP="006A2450">
    <w:pPr>
      <w:pStyle w:val="Header"/>
    </w:pPr>
    <w:r w:rsidRPr="00AB0447">
      <w:t xml:space="preserve">[Subject to </w:t>
    </w:r>
    <w:r>
      <w:t>C</w:t>
    </w:r>
    <w:r w:rsidRPr="00AB0447">
      <w:t>ontract]</w:t>
    </w:r>
  </w:p>
  <w:p w14:paraId="2A52CD86" w14:textId="77777777" w:rsidR="00F67E9E" w:rsidRPr="00534BE5" w:rsidRDefault="00F67E9E" w:rsidP="006A2450">
    <w:pPr>
      <w:pStyle w:val="Header"/>
    </w:pPr>
    <w:r w:rsidRPr="00534BE5">
      <w:t xml:space="preserve">Crown </w:t>
    </w:r>
    <w:r>
      <w:t>C</w:t>
    </w:r>
    <w:r w:rsidRPr="00534BE5">
      <w:t>opyright 202</w:t>
    </w:r>
    <w:r>
      <w:t>3</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C981C" w14:textId="11C4049A" w:rsidR="00F67E9E" w:rsidRPr="0080013D" w:rsidRDefault="00F67E9E" w:rsidP="00534BE5">
    <w:pPr>
      <w:pStyle w:val="Header"/>
      <w:rPr>
        <w:b/>
        <w:bCs/>
      </w:rPr>
    </w:pPr>
    <w:r w:rsidRPr="0080013D">
      <w:rPr>
        <w:b/>
        <w:bCs/>
      </w:rPr>
      <w:t>Schedule 8</w:t>
    </w:r>
    <w:r>
      <w:rPr>
        <w:b/>
        <w:bCs/>
      </w:rPr>
      <w:t xml:space="preserve"> </w:t>
    </w:r>
    <w:r w:rsidR="005279D9">
      <w:rPr>
        <w:b/>
        <w:bCs/>
      </w:rPr>
      <w:t>(</w:t>
    </w:r>
    <w:r w:rsidRPr="0080013D">
      <w:rPr>
        <w:b/>
        <w:bCs/>
      </w:rPr>
      <w:t>Supplier Solution</w:t>
    </w:r>
    <w:r w:rsidR="005279D9">
      <w:rPr>
        <w:b/>
        <w:bCs/>
      </w:rPr>
      <w:t>)</w:t>
    </w:r>
  </w:p>
  <w:p w14:paraId="14D447D6" w14:textId="77777777" w:rsidR="00F67E9E" w:rsidRPr="00534BE5" w:rsidRDefault="00F67E9E" w:rsidP="006A2450">
    <w:pPr>
      <w:pStyle w:val="Header"/>
    </w:pPr>
    <w:r w:rsidRPr="00AB0447">
      <w:t xml:space="preserve">[Subject to </w:t>
    </w:r>
    <w:r>
      <w:t>C</w:t>
    </w:r>
    <w:r w:rsidRPr="00AB0447">
      <w:t>ontract]</w:t>
    </w:r>
  </w:p>
  <w:p w14:paraId="2ED4922B" w14:textId="77777777" w:rsidR="00F67E9E" w:rsidRPr="00534BE5" w:rsidRDefault="00F67E9E" w:rsidP="006A2450">
    <w:pPr>
      <w:pStyle w:val="Header"/>
    </w:pPr>
    <w:r w:rsidRPr="00534BE5">
      <w:t xml:space="preserve">Crown </w:t>
    </w:r>
    <w:r>
      <w:t>C</w:t>
    </w:r>
    <w:r w:rsidRPr="00534BE5">
      <w:t>opyright 202</w:t>
    </w:r>
    <w:r>
      <w:t>3</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A7428" w14:textId="477F95A3" w:rsidR="00F67E9E" w:rsidRPr="0080013D" w:rsidRDefault="00F67E9E" w:rsidP="00534BE5">
    <w:pPr>
      <w:pStyle w:val="Header"/>
      <w:rPr>
        <w:b/>
        <w:bCs/>
      </w:rPr>
    </w:pPr>
    <w:r w:rsidRPr="0080013D">
      <w:rPr>
        <w:b/>
        <w:bCs/>
      </w:rPr>
      <w:t>Schedule 9</w:t>
    </w:r>
    <w:r>
      <w:rPr>
        <w:b/>
        <w:bCs/>
      </w:rPr>
      <w:t xml:space="preserve"> </w:t>
    </w:r>
    <w:r w:rsidR="005279D9">
      <w:rPr>
        <w:b/>
        <w:bCs/>
      </w:rPr>
      <w:t>(</w:t>
    </w:r>
    <w:r w:rsidRPr="0080013D">
      <w:rPr>
        <w:b/>
        <w:bCs/>
      </w:rPr>
      <w:t>Commercially Sensitive Information</w:t>
    </w:r>
    <w:r w:rsidR="005279D9">
      <w:rPr>
        <w:b/>
        <w:bCs/>
      </w:rPr>
      <w:t>)</w:t>
    </w:r>
  </w:p>
  <w:p w14:paraId="6A872428" w14:textId="77777777" w:rsidR="00F67E9E" w:rsidRPr="00534BE5" w:rsidRDefault="00F67E9E" w:rsidP="006A2450">
    <w:pPr>
      <w:pStyle w:val="Header"/>
    </w:pPr>
    <w:r w:rsidRPr="00AB0447">
      <w:t xml:space="preserve">[Subject to </w:t>
    </w:r>
    <w:r>
      <w:t>C</w:t>
    </w:r>
    <w:r w:rsidRPr="00AB0447">
      <w:t>ontract]</w:t>
    </w:r>
  </w:p>
  <w:p w14:paraId="5D82F5A9" w14:textId="77777777" w:rsidR="00F67E9E" w:rsidRPr="00534BE5" w:rsidRDefault="00F67E9E" w:rsidP="006A2450">
    <w:pPr>
      <w:pStyle w:val="Header"/>
    </w:pPr>
    <w:r w:rsidRPr="00534BE5">
      <w:t xml:space="preserve">Crown </w:t>
    </w:r>
    <w:r>
      <w:t>C</w:t>
    </w:r>
    <w:r w:rsidRPr="00534BE5">
      <w:t>opyright 202</w:t>
    </w:r>
    <w:r>
      <w:t>3</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9D302" w14:textId="63229D14" w:rsidR="00F67E9E" w:rsidRPr="0080013D" w:rsidRDefault="00F67E9E" w:rsidP="00534BE5">
    <w:pPr>
      <w:pStyle w:val="Header"/>
      <w:rPr>
        <w:b/>
        <w:bCs/>
      </w:rPr>
    </w:pPr>
    <w:r w:rsidRPr="0080013D">
      <w:rPr>
        <w:b/>
        <w:bCs/>
      </w:rPr>
      <w:t>Schedule 10</w:t>
    </w:r>
    <w:r>
      <w:rPr>
        <w:b/>
        <w:bCs/>
      </w:rPr>
      <w:t xml:space="preserve"> </w:t>
    </w:r>
    <w:r w:rsidR="00E7435D">
      <w:rPr>
        <w:b/>
        <w:bCs/>
      </w:rPr>
      <w:t>(</w:t>
    </w:r>
    <w:r w:rsidRPr="0080013D">
      <w:rPr>
        <w:b/>
        <w:bCs/>
      </w:rPr>
      <w:t>Notified Key Sub-</w:t>
    </w:r>
    <w:r>
      <w:rPr>
        <w:b/>
        <w:bCs/>
      </w:rPr>
      <w:t>c</w:t>
    </w:r>
    <w:r w:rsidRPr="0080013D">
      <w:rPr>
        <w:b/>
        <w:bCs/>
      </w:rPr>
      <w:t>ontractors</w:t>
    </w:r>
    <w:r w:rsidR="00E7435D">
      <w:rPr>
        <w:b/>
        <w:bCs/>
      </w:rPr>
      <w:t>)</w:t>
    </w:r>
  </w:p>
  <w:p w14:paraId="6E40F55A" w14:textId="77777777" w:rsidR="00F67E9E" w:rsidRPr="00534BE5" w:rsidRDefault="00F67E9E" w:rsidP="006A2450">
    <w:pPr>
      <w:pStyle w:val="Header"/>
    </w:pPr>
    <w:r w:rsidRPr="00AB0447">
      <w:t xml:space="preserve">[Subject to </w:t>
    </w:r>
    <w:r>
      <w:t>C</w:t>
    </w:r>
    <w:r w:rsidRPr="00AB0447">
      <w:t>ontract]</w:t>
    </w:r>
  </w:p>
  <w:p w14:paraId="4D1160D3" w14:textId="77777777" w:rsidR="00F67E9E" w:rsidRPr="00534BE5" w:rsidRDefault="00F67E9E" w:rsidP="006A2450">
    <w:pPr>
      <w:pStyle w:val="Header"/>
    </w:pPr>
    <w:r w:rsidRPr="00534BE5">
      <w:t xml:space="preserve">Crown </w:t>
    </w:r>
    <w:r>
      <w:t>C</w:t>
    </w:r>
    <w:r w:rsidRPr="00534BE5">
      <w:t>opyright 202</w:t>
    </w:r>
    <w:r>
      <w:t>3</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98681" w14:textId="5E751596" w:rsidR="00F67E9E" w:rsidRPr="0080013D" w:rsidRDefault="00F67E9E" w:rsidP="00534BE5">
    <w:pPr>
      <w:pStyle w:val="Header"/>
      <w:rPr>
        <w:b/>
        <w:bCs/>
      </w:rPr>
    </w:pPr>
    <w:r w:rsidRPr="0080013D">
      <w:rPr>
        <w:b/>
        <w:bCs/>
      </w:rPr>
      <w:t>Schedule 11</w:t>
    </w:r>
    <w:r>
      <w:rPr>
        <w:b/>
        <w:bCs/>
      </w:rPr>
      <w:t xml:space="preserve"> </w:t>
    </w:r>
    <w:r w:rsidR="00E7435D">
      <w:rPr>
        <w:b/>
        <w:bCs/>
      </w:rPr>
      <w:t>(</w:t>
    </w:r>
    <w:r w:rsidRPr="0080013D">
      <w:rPr>
        <w:b/>
        <w:bCs/>
      </w:rPr>
      <w:t>Third Party Contracts</w:t>
    </w:r>
    <w:r w:rsidR="00E7435D">
      <w:rPr>
        <w:b/>
        <w:bCs/>
      </w:rPr>
      <w:t>)</w:t>
    </w:r>
  </w:p>
  <w:p w14:paraId="52F9DA9A" w14:textId="77777777" w:rsidR="00F67E9E" w:rsidRPr="00534BE5" w:rsidRDefault="00F67E9E" w:rsidP="006A2450">
    <w:pPr>
      <w:pStyle w:val="Header"/>
    </w:pPr>
    <w:r w:rsidRPr="00AB0447">
      <w:t xml:space="preserve">[Subject to </w:t>
    </w:r>
    <w:r>
      <w:t>C</w:t>
    </w:r>
    <w:r w:rsidRPr="00AB0447">
      <w:t>ontract]</w:t>
    </w:r>
  </w:p>
  <w:p w14:paraId="56443AAF" w14:textId="77777777" w:rsidR="00F67E9E" w:rsidRPr="00534BE5" w:rsidRDefault="00F67E9E" w:rsidP="006A2450">
    <w:pPr>
      <w:pStyle w:val="Header"/>
    </w:pPr>
    <w:r w:rsidRPr="00534BE5">
      <w:t xml:space="preserve">Crown </w:t>
    </w:r>
    <w:r>
      <w:t>C</w:t>
    </w:r>
    <w:r w:rsidRPr="00534BE5">
      <w:t>opyright 202</w:t>
    </w:r>
    <w:r>
      <w:t>3</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A2643" w14:textId="1345C72B" w:rsidR="00F67E9E" w:rsidRPr="0080013D" w:rsidRDefault="00F67E9E" w:rsidP="00534BE5">
    <w:pPr>
      <w:pStyle w:val="Header"/>
      <w:rPr>
        <w:b/>
        <w:bCs/>
      </w:rPr>
    </w:pPr>
    <w:r w:rsidRPr="0080013D">
      <w:rPr>
        <w:b/>
        <w:bCs/>
      </w:rPr>
      <w:t>Schedule 12</w:t>
    </w:r>
    <w:r w:rsidR="00E7435D">
      <w:rPr>
        <w:b/>
        <w:bCs/>
      </w:rPr>
      <w:t xml:space="preserve"> (</w:t>
    </w:r>
    <w:r w:rsidRPr="0080013D">
      <w:rPr>
        <w:b/>
        <w:bCs/>
      </w:rPr>
      <w:t>Software</w:t>
    </w:r>
    <w:r w:rsidR="00E7435D">
      <w:rPr>
        <w:b/>
        <w:bCs/>
      </w:rPr>
      <w:t>)</w:t>
    </w:r>
  </w:p>
  <w:p w14:paraId="6CCAD1A5" w14:textId="77777777" w:rsidR="00F67E9E" w:rsidRPr="00534BE5" w:rsidRDefault="00F67E9E" w:rsidP="006A2450">
    <w:pPr>
      <w:pStyle w:val="Header"/>
    </w:pPr>
    <w:r w:rsidRPr="00AB0447">
      <w:t xml:space="preserve">[Subject to </w:t>
    </w:r>
    <w:r>
      <w:t>C</w:t>
    </w:r>
    <w:r w:rsidRPr="00AB0447">
      <w:t>ontract]</w:t>
    </w:r>
  </w:p>
  <w:p w14:paraId="3BD9AA24" w14:textId="77777777" w:rsidR="00F67E9E" w:rsidRPr="00534BE5" w:rsidRDefault="00F67E9E" w:rsidP="006A2450">
    <w:pPr>
      <w:pStyle w:val="Header"/>
    </w:pPr>
    <w:r w:rsidRPr="00534BE5">
      <w:t xml:space="preserve">Crown </w:t>
    </w:r>
    <w:r>
      <w:t>C</w:t>
    </w:r>
    <w:r w:rsidRPr="00534BE5">
      <w:t>opyright 202</w:t>
    </w:r>
    <w:r>
      <w:t>3</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12115" w14:textId="6C012C1F" w:rsidR="00F67E9E" w:rsidRPr="0080013D" w:rsidRDefault="00F67E9E" w:rsidP="00534BE5">
    <w:pPr>
      <w:pStyle w:val="Header"/>
      <w:rPr>
        <w:b/>
        <w:bCs/>
      </w:rPr>
    </w:pPr>
    <w:r w:rsidRPr="0080013D">
      <w:rPr>
        <w:b/>
        <w:bCs/>
      </w:rPr>
      <w:t>Schedule 13</w:t>
    </w:r>
    <w:r>
      <w:rPr>
        <w:b/>
        <w:bCs/>
      </w:rPr>
      <w:t xml:space="preserve"> </w:t>
    </w:r>
    <w:r w:rsidR="00E7435D">
      <w:rPr>
        <w:b/>
        <w:bCs/>
      </w:rPr>
      <w:t>(</w:t>
    </w:r>
    <w:r w:rsidRPr="0080013D">
      <w:rPr>
        <w:b/>
        <w:bCs/>
      </w:rPr>
      <w:t>Implementation Plan</w:t>
    </w:r>
    <w:r w:rsidR="00E7435D">
      <w:rPr>
        <w:b/>
        <w:bCs/>
      </w:rPr>
      <w:t>)</w:t>
    </w:r>
  </w:p>
  <w:p w14:paraId="1B8F2BC0" w14:textId="77777777" w:rsidR="00F67E9E" w:rsidRPr="00534BE5" w:rsidRDefault="00F67E9E" w:rsidP="006A2450">
    <w:pPr>
      <w:pStyle w:val="Header"/>
    </w:pPr>
    <w:r w:rsidRPr="00AB0447">
      <w:t xml:space="preserve">[Subject to </w:t>
    </w:r>
    <w:r>
      <w:t>C</w:t>
    </w:r>
    <w:r w:rsidRPr="00AB0447">
      <w:t>ontract]</w:t>
    </w:r>
  </w:p>
  <w:p w14:paraId="5E8E27CF" w14:textId="77777777" w:rsidR="00F67E9E" w:rsidRPr="00534BE5" w:rsidRDefault="00F67E9E" w:rsidP="006A2450">
    <w:pPr>
      <w:pStyle w:val="Header"/>
    </w:pPr>
    <w:r w:rsidRPr="00534BE5">
      <w:t xml:space="preserve">Crown </w:t>
    </w:r>
    <w:r>
      <w:t>C</w:t>
    </w:r>
    <w:r w:rsidRPr="00534BE5">
      <w:t>opyright 202</w:t>
    </w:r>
    <w: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D3616" w14:textId="77777777" w:rsidR="00F67E9E" w:rsidRPr="006A2450" w:rsidRDefault="00F67E9E" w:rsidP="00534BE5">
    <w:pPr>
      <w:pStyle w:val="Header"/>
      <w:rPr>
        <w:b/>
        <w:bCs/>
      </w:rPr>
    </w:pPr>
    <w:r w:rsidRPr="006A2450">
      <w:rPr>
        <w:b/>
        <w:bCs/>
      </w:rPr>
      <w:t>Schedules</w:t>
    </w:r>
  </w:p>
  <w:p w14:paraId="0040BD64" w14:textId="77777777" w:rsidR="00F67E9E" w:rsidRDefault="00F67E9E" w:rsidP="00534BE5">
    <w:pPr>
      <w:pStyle w:val="Header"/>
      <w:rPr>
        <w:b/>
        <w:color w:val="000000"/>
      </w:rPr>
    </w:pPr>
    <w:r w:rsidRPr="004D49FE">
      <w:t xml:space="preserve">[Subject </w:t>
    </w:r>
    <w:r w:rsidRPr="00724541">
      <w:t xml:space="preserve">to </w:t>
    </w:r>
    <w:r>
      <w:t>C</w:t>
    </w:r>
    <w:r w:rsidRPr="00724541">
      <w:t>ontract]</w:t>
    </w:r>
  </w:p>
  <w:p w14:paraId="4EAE5F2C" w14:textId="77777777" w:rsidR="00F67E9E" w:rsidRPr="00534BE5" w:rsidRDefault="00F67E9E" w:rsidP="00534BE5">
    <w:pPr>
      <w:pStyle w:val="Header"/>
    </w:pPr>
    <w:r w:rsidRPr="00534BE5">
      <w:t xml:space="preserve">Crown </w:t>
    </w:r>
    <w:r>
      <w:t>C</w:t>
    </w:r>
    <w:r w:rsidRPr="00534BE5">
      <w:t>opyright 202</w:t>
    </w:r>
    <w:r>
      <w:t>3</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0A630" w14:textId="0DDEA8AB" w:rsidR="00F67E9E" w:rsidRPr="0080013D" w:rsidRDefault="00F67E9E" w:rsidP="00534BE5">
    <w:pPr>
      <w:pStyle w:val="Header"/>
      <w:rPr>
        <w:b/>
        <w:bCs/>
      </w:rPr>
    </w:pPr>
    <w:r w:rsidRPr="0080013D">
      <w:rPr>
        <w:b/>
        <w:bCs/>
      </w:rPr>
      <w:t>Schedule 14</w:t>
    </w:r>
    <w:r w:rsidR="00E7435D">
      <w:rPr>
        <w:b/>
        <w:bCs/>
      </w:rPr>
      <w:t xml:space="preserve"> (</w:t>
    </w:r>
    <w:r w:rsidRPr="0080013D">
      <w:rPr>
        <w:b/>
        <w:bCs/>
      </w:rPr>
      <w:t>Testing Procedures</w:t>
    </w:r>
    <w:r w:rsidR="00E7435D">
      <w:rPr>
        <w:b/>
        <w:bCs/>
      </w:rPr>
      <w:t>)</w:t>
    </w:r>
  </w:p>
  <w:p w14:paraId="58D44FE9" w14:textId="77777777" w:rsidR="00F67E9E" w:rsidRPr="00534BE5" w:rsidRDefault="00F67E9E" w:rsidP="006A2450">
    <w:pPr>
      <w:pStyle w:val="Header"/>
    </w:pPr>
    <w:r w:rsidRPr="00AB0447">
      <w:t xml:space="preserve">[Subject to </w:t>
    </w:r>
    <w:r>
      <w:t>C</w:t>
    </w:r>
    <w:r w:rsidRPr="00AB0447">
      <w:t>ontract]</w:t>
    </w:r>
  </w:p>
  <w:p w14:paraId="640A7AA1" w14:textId="77777777" w:rsidR="00F67E9E" w:rsidRPr="00534BE5" w:rsidRDefault="00F67E9E" w:rsidP="006A2450">
    <w:pPr>
      <w:pStyle w:val="Header"/>
    </w:pPr>
    <w:r w:rsidRPr="00534BE5">
      <w:t xml:space="preserve">Crown </w:t>
    </w:r>
    <w:r>
      <w:t>C</w:t>
    </w:r>
    <w:r w:rsidRPr="00534BE5">
      <w:t>opyright 202</w:t>
    </w:r>
    <w:r>
      <w:t>3</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6431C" w14:textId="7C3F634B" w:rsidR="00F67E9E" w:rsidRPr="00EC3902" w:rsidRDefault="00F67E9E" w:rsidP="00534BE5">
    <w:pPr>
      <w:pStyle w:val="Header"/>
      <w:rPr>
        <w:b/>
        <w:bCs/>
      </w:rPr>
    </w:pPr>
    <w:r w:rsidRPr="00EC3902">
      <w:rPr>
        <w:b/>
        <w:bCs/>
      </w:rPr>
      <w:t>Schedule 15</w:t>
    </w:r>
    <w:r>
      <w:rPr>
        <w:b/>
        <w:bCs/>
      </w:rPr>
      <w:t xml:space="preserve"> </w:t>
    </w:r>
    <w:r w:rsidR="00E7435D">
      <w:rPr>
        <w:b/>
        <w:bCs/>
      </w:rPr>
      <w:t>(</w:t>
    </w:r>
    <w:r w:rsidRPr="00EC3902">
      <w:rPr>
        <w:b/>
        <w:bCs/>
      </w:rPr>
      <w:t xml:space="preserve">Charges </w:t>
    </w:r>
    <w:r>
      <w:rPr>
        <w:b/>
        <w:bCs/>
      </w:rPr>
      <w:t>a</w:t>
    </w:r>
    <w:r w:rsidRPr="00EC3902">
      <w:rPr>
        <w:b/>
        <w:bCs/>
      </w:rPr>
      <w:t>nd Invoicing</w:t>
    </w:r>
    <w:r w:rsidR="00E7435D">
      <w:rPr>
        <w:b/>
        <w:bCs/>
      </w:rPr>
      <w:t>)</w:t>
    </w:r>
  </w:p>
  <w:p w14:paraId="2CD98C5F" w14:textId="77777777" w:rsidR="00F67E9E" w:rsidRPr="00534BE5" w:rsidRDefault="00F67E9E" w:rsidP="006A2450">
    <w:pPr>
      <w:pStyle w:val="Header"/>
    </w:pPr>
    <w:r w:rsidRPr="00AB0447">
      <w:t xml:space="preserve">[Subject to </w:t>
    </w:r>
    <w:r>
      <w:t>C</w:t>
    </w:r>
    <w:r w:rsidRPr="00AB0447">
      <w:t>ontract]</w:t>
    </w:r>
  </w:p>
  <w:p w14:paraId="30EAF473" w14:textId="77777777" w:rsidR="00F67E9E" w:rsidRPr="00534BE5" w:rsidRDefault="00F67E9E" w:rsidP="006A2450">
    <w:pPr>
      <w:pStyle w:val="Header"/>
    </w:pPr>
    <w:r w:rsidRPr="00534BE5">
      <w:t xml:space="preserve">Crown </w:t>
    </w:r>
    <w:r>
      <w:t>C</w:t>
    </w:r>
    <w:r w:rsidRPr="00534BE5">
      <w:t>opyright 202</w:t>
    </w:r>
    <w:r>
      <w:t>3</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4D75B" w14:textId="5965B5A9" w:rsidR="00F67E9E" w:rsidRPr="00EC3902" w:rsidRDefault="00F67E9E" w:rsidP="00534BE5">
    <w:pPr>
      <w:pStyle w:val="Header"/>
      <w:rPr>
        <w:b/>
        <w:bCs/>
      </w:rPr>
    </w:pPr>
    <w:r w:rsidRPr="00EC3902">
      <w:rPr>
        <w:b/>
        <w:bCs/>
      </w:rPr>
      <w:t>Schedule 16</w:t>
    </w:r>
    <w:r>
      <w:rPr>
        <w:b/>
        <w:bCs/>
      </w:rPr>
      <w:t xml:space="preserve">: </w:t>
    </w:r>
    <w:r w:rsidR="00302D39">
      <w:rPr>
        <w:b/>
        <w:bCs/>
      </w:rPr>
      <w:t>(</w:t>
    </w:r>
    <w:r w:rsidRPr="00EC3902">
      <w:rPr>
        <w:b/>
        <w:bCs/>
      </w:rPr>
      <w:t xml:space="preserve">Payments </w:t>
    </w:r>
    <w:r>
      <w:rPr>
        <w:b/>
        <w:bCs/>
      </w:rPr>
      <w:t>o</w:t>
    </w:r>
    <w:r w:rsidRPr="00EC3902">
      <w:rPr>
        <w:b/>
        <w:bCs/>
      </w:rPr>
      <w:t>n Termination</w:t>
    </w:r>
    <w:r w:rsidR="00302D39">
      <w:rPr>
        <w:b/>
        <w:bCs/>
      </w:rPr>
      <w:t>)</w:t>
    </w:r>
  </w:p>
  <w:p w14:paraId="2AB6BEA3" w14:textId="77777777" w:rsidR="00F67E9E" w:rsidRPr="00534BE5" w:rsidRDefault="00F67E9E" w:rsidP="006A2450">
    <w:pPr>
      <w:pStyle w:val="Header"/>
    </w:pPr>
    <w:r w:rsidRPr="00AB0447">
      <w:t xml:space="preserve">[Subject to </w:t>
    </w:r>
    <w:r>
      <w:t>C</w:t>
    </w:r>
    <w:r w:rsidRPr="00AB0447">
      <w:t>ontract]</w:t>
    </w:r>
  </w:p>
  <w:p w14:paraId="3FBC415E" w14:textId="77777777" w:rsidR="00F67E9E" w:rsidRPr="00534BE5" w:rsidRDefault="00F67E9E" w:rsidP="006A2450">
    <w:pPr>
      <w:pStyle w:val="Header"/>
    </w:pPr>
    <w:r w:rsidRPr="00534BE5">
      <w:t xml:space="preserve">Crown </w:t>
    </w:r>
    <w:r>
      <w:t>C</w:t>
    </w:r>
    <w:r w:rsidRPr="00534BE5">
      <w:t>opyright 202</w:t>
    </w:r>
    <w:r>
      <w:t>3</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2D685" w14:textId="78B61C15" w:rsidR="00F67E9E" w:rsidRPr="00EC3902" w:rsidRDefault="00F67E9E" w:rsidP="00534BE5">
    <w:pPr>
      <w:pStyle w:val="Header"/>
      <w:rPr>
        <w:b/>
        <w:bCs/>
      </w:rPr>
    </w:pPr>
    <w:r w:rsidRPr="00EC3902">
      <w:rPr>
        <w:b/>
        <w:bCs/>
      </w:rPr>
      <w:t>Schedule 17</w:t>
    </w:r>
    <w:r>
      <w:rPr>
        <w:b/>
        <w:bCs/>
      </w:rPr>
      <w:t xml:space="preserve">: </w:t>
    </w:r>
    <w:r w:rsidR="00302D39">
      <w:rPr>
        <w:b/>
        <w:bCs/>
      </w:rPr>
      <w:t>(</w:t>
    </w:r>
    <w:r w:rsidRPr="00EC3902">
      <w:rPr>
        <w:b/>
        <w:bCs/>
      </w:rPr>
      <w:t>Benchmarking</w:t>
    </w:r>
    <w:r w:rsidR="00302D39">
      <w:rPr>
        <w:b/>
        <w:bCs/>
      </w:rPr>
      <w:t>)</w:t>
    </w:r>
  </w:p>
  <w:p w14:paraId="379C71A0" w14:textId="77777777" w:rsidR="00F67E9E" w:rsidRPr="00534BE5" w:rsidRDefault="00F67E9E" w:rsidP="006A2450">
    <w:pPr>
      <w:pStyle w:val="Header"/>
    </w:pPr>
    <w:r w:rsidRPr="00AB0447">
      <w:t xml:space="preserve">[Subject to </w:t>
    </w:r>
    <w:r>
      <w:t>C</w:t>
    </w:r>
    <w:r w:rsidRPr="00AB0447">
      <w:t>ontract]</w:t>
    </w:r>
  </w:p>
  <w:p w14:paraId="07BFE1A4" w14:textId="77777777" w:rsidR="00F67E9E" w:rsidRPr="00534BE5" w:rsidRDefault="00F67E9E" w:rsidP="006A2450">
    <w:pPr>
      <w:pStyle w:val="Header"/>
    </w:pPr>
    <w:r w:rsidRPr="00534BE5">
      <w:t xml:space="preserve">Crown </w:t>
    </w:r>
    <w:r>
      <w:t>C</w:t>
    </w:r>
    <w:r w:rsidRPr="00534BE5">
      <w:t>opyright 202</w:t>
    </w:r>
    <w:r>
      <w:t>3</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688C2" w14:textId="58CF7E73" w:rsidR="00F67E9E" w:rsidRPr="00EC3902" w:rsidRDefault="00F67E9E" w:rsidP="00534BE5">
    <w:pPr>
      <w:pStyle w:val="Header"/>
      <w:rPr>
        <w:b/>
        <w:bCs/>
      </w:rPr>
    </w:pPr>
    <w:r w:rsidRPr="00EC3902">
      <w:rPr>
        <w:b/>
        <w:bCs/>
      </w:rPr>
      <w:t>Schedule 18</w:t>
    </w:r>
    <w:r>
      <w:rPr>
        <w:b/>
        <w:bCs/>
      </w:rPr>
      <w:t xml:space="preserve">: </w:t>
    </w:r>
    <w:r w:rsidR="00302D39">
      <w:rPr>
        <w:b/>
        <w:bCs/>
      </w:rPr>
      <w:t>(</w:t>
    </w:r>
    <w:r w:rsidRPr="00EC3902">
      <w:rPr>
        <w:b/>
        <w:bCs/>
      </w:rPr>
      <w:t>Financial Distress</w:t>
    </w:r>
    <w:r w:rsidR="00302D39">
      <w:rPr>
        <w:b/>
        <w:bCs/>
      </w:rPr>
      <w:t>)</w:t>
    </w:r>
  </w:p>
  <w:p w14:paraId="64996745" w14:textId="77777777" w:rsidR="00F67E9E" w:rsidRPr="00534BE5" w:rsidRDefault="00F67E9E" w:rsidP="006A2450">
    <w:pPr>
      <w:pStyle w:val="Header"/>
    </w:pPr>
    <w:r w:rsidRPr="00AB0447">
      <w:t xml:space="preserve">[Subject to </w:t>
    </w:r>
    <w:r>
      <w:t>C</w:t>
    </w:r>
    <w:r w:rsidRPr="00AB0447">
      <w:t>ontract]</w:t>
    </w:r>
  </w:p>
  <w:p w14:paraId="6C1BB860" w14:textId="77777777" w:rsidR="00F67E9E" w:rsidRPr="00534BE5" w:rsidRDefault="00F67E9E" w:rsidP="006A2450">
    <w:pPr>
      <w:pStyle w:val="Header"/>
    </w:pPr>
    <w:r w:rsidRPr="00534BE5">
      <w:t xml:space="preserve">Crown </w:t>
    </w:r>
    <w:r>
      <w:t>C</w:t>
    </w:r>
    <w:r w:rsidRPr="00534BE5">
      <w:t>opyright 202</w:t>
    </w:r>
    <w:r>
      <w:t>3</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852F9" w14:textId="77777777" w:rsidR="00F67E9E" w:rsidRPr="004A7C2C" w:rsidRDefault="00F67E9E" w:rsidP="00534BE5">
    <w:pPr>
      <w:pStyle w:val="Header"/>
    </w:pPr>
    <w:r w:rsidRPr="00E9603F">
      <w:rPr>
        <w:highlight w:val="magenta"/>
      </w:rPr>
      <w:t>Schedule</w:t>
    </w:r>
    <w:r w:rsidRPr="004A7C2C">
      <w:t xml:space="preserve"> 1</w:t>
    </w:r>
    <w:r>
      <w:t>9</w:t>
    </w:r>
    <w:r w:rsidRPr="004A7C2C">
      <w:t xml:space="preserve"> (</w:t>
    </w:r>
    <w:r>
      <w:t>Financial Reports and Audit Rights</w:t>
    </w:r>
    <w:r w:rsidRPr="004A7C2C">
      <w:t>)</w:t>
    </w:r>
  </w:p>
  <w:p w14:paraId="05C40589" w14:textId="77777777" w:rsidR="00F67E9E" w:rsidRPr="004A7C2C" w:rsidRDefault="00F67E9E" w:rsidP="00534BE5">
    <w:pPr>
      <w:pStyle w:val="Header"/>
    </w:pPr>
    <w:r w:rsidRPr="004A7C2C">
      <w:t>Crown copyright 2021</w:t>
    </w:r>
  </w:p>
  <w:p w14:paraId="4C14FB89" w14:textId="77777777" w:rsidR="00F67E9E" w:rsidRDefault="00F67E9E" w:rsidP="00534BE5">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50BEB" w14:textId="5881F52F" w:rsidR="00F67E9E" w:rsidRPr="00EC3902" w:rsidRDefault="00F67E9E" w:rsidP="00534BE5">
    <w:pPr>
      <w:pStyle w:val="Header"/>
      <w:rPr>
        <w:b/>
        <w:bCs/>
      </w:rPr>
    </w:pPr>
    <w:r w:rsidRPr="00EC3902">
      <w:rPr>
        <w:b/>
        <w:bCs/>
      </w:rPr>
      <w:t>Schedule 19</w:t>
    </w:r>
    <w:r>
      <w:rPr>
        <w:b/>
        <w:bCs/>
      </w:rPr>
      <w:t xml:space="preserve">: </w:t>
    </w:r>
    <w:r w:rsidR="00302D39">
      <w:rPr>
        <w:b/>
        <w:bCs/>
      </w:rPr>
      <w:t>(</w:t>
    </w:r>
    <w:r w:rsidRPr="00EC3902">
      <w:rPr>
        <w:b/>
        <w:bCs/>
      </w:rPr>
      <w:t xml:space="preserve">Financial Reports </w:t>
    </w:r>
    <w:r>
      <w:rPr>
        <w:b/>
        <w:bCs/>
      </w:rPr>
      <w:t>a</w:t>
    </w:r>
    <w:r w:rsidRPr="00EC3902">
      <w:rPr>
        <w:b/>
        <w:bCs/>
      </w:rPr>
      <w:t>nd Audit Rights</w:t>
    </w:r>
    <w:r w:rsidR="00302D39">
      <w:rPr>
        <w:b/>
        <w:bCs/>
      </w:rPr>
      <w:t>)</w:t>
    </w:r>
  </w:p>
  <w:p w14:paraId="02972724" w14:textId="77777777" w:rsidR="00F67E9E" w:rsidRPr="00534BE5" w:rsidRDefault="00F67E9E" w:rsidP="006A2450">
    <w:pPr>
      <w:pStyle w:val="Header"/>
    </w:pPr>
    <w:r w:rsidRPr="00AB0447">
      <w:t xml:space="preserve">[Subject to </w:t>
    </w:r>
    <w:r>
      <w:t>C</w:t>
    </w:r>
    <w:r w:rsidRPr="00AB0447">
      <w:t>ontract]</w:t>
    </w:r>
  </w:p>
  <w:p w14:paraId="7BC551C9" w14:textId="77777777" w:rsidR="00F67E9E" w:rsidRPr="00534BE5" w:rsidRDefault="00F67E9E" w:rsidP="006A2450">
    <w:pPr>
      <w:pStyle w:val="Header"/>
    </w:pPr>
    <w:r w:rsidRPr="00534BE5">
      <w:t xml:space="preserve">Crown </w:t>
    </w:r>
    <w:r>
      <w:t>C</w:t>
    </w:r>
    <w:r w:rsidRPr="00534BE5">
      <w:t>opyright 202</w:t>
    </w:r>
    <w:r>
      <w:t>3</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5D610" w14:textId="77777777" w:rsidR="00F67E9E" w:rsidRPr="004A7C2C" w:rsidRDefault="00F67E9E" w:rsidP="00534BE5">
    <w:pPr>
      <w:pStyle w:val="Header"/>
    </w:pPr>
    <w:r w:rsidRPr="00E9603F">
      <w:rPr>
        <w:highlight w:val="magenta"/>
      </w:rPr>
      <w:t>Schedule</w:t>
    </w:r>
    <w:r w:rsidRPr="004A7C2C">
      <w:t xml:space="preserve"> 1 (Definitions)</w:t>
    </w:r>
  </w:p>
  <w:p w14:paraId="7CD1EE23" w14:textId="77777777" w:rsidR="00F67E9E" w:rsidRPr="004A7C2C" w:rsidRDefault="00F67E9E" w:rsidP="00534BE5">
    <w:pPr>
      <w:pStyle w:val="Header"/>
    </w:pPr>
    <w:r w:rsidRPr="004A7C2C">
      <w:t>Crown copyright 2021</w:t>
    </w:r>
  </w:p>
  <w:p w14:paraId="1CA9BC1D" w14:textId="77777777" w:rsidR="00F67E9E" w:rsidRDefault="00F67E9E" w:rsidP="00534BE5">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8A32D" w14:textId="1F93BA89" w:rsidR="00F67E9E" w:rsidRPr="00EC3902" w:rsidRDefault="00F67E9E" w:rsidP="00534BE5">
    <w:pPr>
      <w:pStyle w:val="Header"/>
      <w:rPr>
        <w:b/>
        <w:bCs/>
      </w:rPr>
    </w:pPr>
    <w:r w:rsidRPr="00EC3902">
      <w:rPr>
        <w:b/>
        <w:bCs/>
      </w:rPr>
      <w:t>Schedule 20</w:t>
    </w:r>
    <w:r>
      <w:rPr>
        <w:b/>
        <w:bCs/>
      </w:rPr>
      <w:t xml:space="preserve">: </w:t>
    </w:r>
    <w:r w:rsidR="00302D39">
      <w:rPr>
        <w:b/>
        <w:bCs/>
      </w:rPr>
      <w:t>(</w:t>
    </w:r>
    <w:r w:rsidRPr="00EC3902">
      <w:rPr>
        <w:b/>
        <w:bCs/>
      </w:rPr>
      <w:t>Anticipated Savings</w:t>
    </w:r>
    <w:r w:rsidR="00302D39">
      <w:rPr>
        <w:b/>
        <w:bCs/>
      </w:rPr>
      <w:t>)</w:t>
    </w:r>
  </w:p>
  <w:p w14:paraId="5708F4F3" w14:textId="77777777" w:rsidR="00F67E9E" w:rsidRPr="00534BE5" w:rsidRDefault="00F67E9E" w:rsidP="006A2450">
    <w:pPr>
      <w:pStyle w:val="Header"/>
    </w:pPr>
    <w:r w:rsidRPr="00AB0447">
      <w:t xml:space="preserve">[Subject to </w:t>
    </w:r>
    <w:r>
      <w:t>C</w:t>
    </w:r>
    <w:r w:rsidRPr="00AB0447">
      <w:t>ontract]</w:t>
    </w:r>
  </w:p>
  <w:p w14:paraId="0DA9F4EF" w14:textId="77777777" w:rsidR="00F67E9E" w:rsidRPr="00534BE5" w:rsidRDefault="00F67E9E" w:rsidP="006A2450">
    <w:pPr>
      <w:pStyle w:val="Header"/>
    </w:pPr>
    <w:r w:rsidRPr="00534BE5">
      <w:t xml:space="preserve">Crown </w:t>
    </w:r>
    <w:r>
      <w:t>C</w:t>
    </w:r>
    <w:r w:rsidRPr="00534BE5">
      <w:t>opyright 202</w:t>
    </w:r>
    <w:r>
      <w:t>3</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EBD5C" w14:textId="0A24EE6D" w:rsidR="00F67E9E" w:rsidRPr="00EC3902" w:rsidRDefault="00F67E9E" w:rsidP="00534BE5">
    <w:pPr>
      <w:pStyle w:val="Header"/>
      <w:rPr>
        <w:b/>
        <w:bCs/>
      </w:rPr>
    </w:pPr>
    <w:r w:rsidRPr="00EC3902">
      <w:rPr>
        <w:b/>
        <w:bCs/>
      </w:rPr>
      <w:t>Schedule 21</w:t>
    </w:r>
    <w:r>
      <w:rPr>
        <w:b/>
        <w:bCs/>
      </w:rPr>
      <w:t xml:space="preserve">: </w:t>
    </w:r>
    <w:r w:rsidR="00302D39">
      <w:rPr>
        <w:b/>
        <w:bCs/>
      </w:rPr>
      <w:t>(</w:t>
    </w:r>
    <w:r w:rsidRPr="00EC3902">
      <w:rPr>
        <w:b/>
        <w:bCs/>
      </w:rPr>
      <w:t>Governance</w:t>
    </w:r>
    <w:r w:rsidR="00302D39">
      <w:rPr>
        <w:b/>
        <w:bCs/>
      </w:rPr>
      <w:t>)</w:t>
    </w:r>
  </w:p>
  <w:p w14:paraId="08D371A7" w14:textId="77777777" w:rsidR="00F67E9E" w:rsidRPr="00534BE5" w:rsidRDefault="00F67E9E" w:rsidP="006A2450">
    <w:pPr>
      <w:pStyle w:val="Header"/>
    </w:pPr>
    <w:r w:rsidRPr="00AB0447">
      <w:t xml:space="preserve">[Subject to </w:t>
    </w:r>
    <w:r>
      <w:t>C</w:t>
    </w:r>
    <w:r w:rsidRPr="00AB0447">
      <w:t>ontract]</w:t>
    </w:r>
  </w:p>
  <w:p w14:paraId="32BBD7A1" w14:textId="77777777" w:rsidR="00F67E9E" w:rsidRPr="00534BE5" w:rsidRDefault="00F67E9E" w:rsidP="006A2450">
    <w:pPr>
      <w:pStyle w:val="Header"/>
    </w:pPr>
    <w:r w:rsidRPr="00534BE5">
      <w:t xml:space="preserve">Crown </w:t>
    </w:r>
    <w:r>
      <w:t>C</w:t>
    </w:r>
    <w:r w:rsidRPr="00534BE5">
      <w:t>opyright 202</w:t>
    </w:r>
    <w: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C6857" w14:textId="77777777" w:rsidR="00F67E9E" w:rsidRDefault="00F67E9E">
    <w:pPr>
      <w:pBdr>
        <w:top w:val="nil"/>
        <w:left w:val="nil"/>
        <w:bottom w:val="nil"/>
        <w:right w:val="nil"/>
        <w:between w:val="nil"/>
      </w:pBdr>
      <w:tabs>
        <w:tab w:val="center" w:pos="4513"/>
        <w:tab w:val="right" w:pos="9026"/>
      </w:tabs>
      <w:rPr>
        <w:b/>
        <w:color w:val="000000"/>
        <w:sz w:val="22"/>
        <w:szCs w:val="22"/>
      </w:rPr>
    </w:pPr>
    <w:r w:rsidRPr="00E9603F">
      <w:rPr>
        <w:b/>
        <w:color w:val="000000"/>
        <w:sz w:val="22"/>
        <w:szCs w:val="22"/>
        <w:highlight w:val="magenta"/>
      </w:rPr>
      <w:t>Schedule</w:t>
    </w:r>
    <w:r>
      <w:rPr>
        <w:b/>
        <w:color w:val="000000"/>
        <w:sz w:val="22"/>
        <w:szCs w:val="22"/>
      </w:rPr>
      <w:t xml:space="preserve"> 3 (Performance Levels)</w:t>
    </w:r>
  </w:p>
  <w:p w14:paraId="398BA0F5" w14:textId="77777777" w:rsidR="00F67E9E" w:rsidRDefault="00F67E9E">
    <w:pPr>
      <w:pBdr>
        <w:top w:val="nil"/>
        <w:left w:val="nil"/>
        <w:bottom w:val="nil"/>
        <w:right w:val="nil"/>
        <w:between w:val="nil"/>
      </w:pBdr>
      <w:tabs>
        <w:tab w:val="center" w:pos="4513"/>
        <w:tab w:val="right" w:pos="9026"/>
      </w:tabs>
      <w:rPr>
        <w:color w:val="000000"/>
        <w:sz w:val="22"/>
        <w:szCs w:val="22"/>
      </w:rPr>
    </w:pPr>
    <w:r>
      <w:rPr>
        <w:color w:val="000000"/>
        <w:sz w:val="22"/>
        <w:szCs w:val="22"/>
      </w:rPr>
      <w:t>Crown copyright 2021</w:t>
    </w:r>
  </w:p>
  <w:p w14:paraId="3CAA9831" w14:textId="77777777" w:rsidR="00F67E9E" w:rsidRDefault="00F67E9E">
    <w:pPr>
      <w:pBdr>
        <w:top w:val="nil"/>
        <w:left w:val="nil"/>
        <w:bottom w:val="nil"/>
        <w:right w:val="nil"/>
        <w:between w:val="nil"/>
      </w:pBdr>
      <w:tabs>
        <w:tab w:val="center" w:pos="4513"/>
        <w:tab w:val="right" w:pos="9026"/>
      </w:tabs>
      <w:rPr>
        <w:color w:val="000000"/>
        <w:szCs w:val="24"/>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1FD0A" w14:textId="37A460D4" w:rsidR="00F67E9E" w:rsidRPr="00EC3902" w:rsidRDefault="00F67E9E" w:rsidP="00534BE5">
    <w:pPr>
      <w:pStyle w:val="Header"/>
      <w:rPr>
        <w:b/>
        <w:bCs/>
      </w:rPr>
    </w:pPr>
    <w:r w:rsidRPr="00EC3902">
      <w:rPr>
        <w:b/>
        <w:bCs/>
      </w:rPr>
      <w:t>Schedule 22</w:t>
    </w:r>
    <w:r>
      <w:rPr>
        <w:b/>
        <w:bCs/>
      </w:rPr>
      <w:t xml:space="preserve">: </w:t>
    </w:r>
    <w:r w:rsidR="00302D39">
      <w:rPr>
        <w:b/>
        <w:bCs/>
      </w:rPr>
      <w:t>(</w:t>
    </w:r>
    <w:r w:rsidRPr="00EC3902">
      <w:rPr>
        <w:b/>
        <w:bCs/>
      </w:rPr>
      <w:t>Change Control Procedure</w:t>
    </w:r>
    <w:r w:rsidR="00302D39">
      <w:rPr>
        <w:b/>
        <w:bCs/>
      </w:rPr>
      <w:t>)</w:t>
    </w:r>
  </w:p>
  <w:p w14:paraId="7D6560E4" w14:textId="77777777" w:rsidR="00F67E9E" w:rsidRPr="00534BE5" w:rsidRDefault="00F67E9E" w:rsidP="006A2450">
    <w:pPr>
      <w:pStyle w:val="Header"/>
    </w:pPr>
    <w:r w:rsidRPr="00AB0447">
      <w:t xml:space="preserve">[Subject to </w:t>
    </w:r>
    <w:r>
      <w:t>C</w:t>
    </w:r>
    <w:r w:rsidRPr="00AB0447">
      <w:t>ontract]</w:t>
    </w:r>
  </w:p>
  <w:p w14:paraId="3542F933" w14:textId="77777777" w:rsidR="00F67E9E" w:rsidRPr="00534BE5" w:rsidRDefault="00F67E9E" w:rsidP="006A2450">
    <w:pPr>
      <w:pStyle w:val="Header"/>
    </w:pPr>
    <w:r w:rsidRPr="00534BE5">
      <w:t xml:space="preserve">Crown </w:t>
    </w:r>
    <w:r>
      <w:t>C</w:t>
    </w:r>
    <w:r w:rsidRPr="00534BE5">
      <w:t>opyright 202</w:t>
    </w:r>
    <w:r>
      <w:t>3</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49E9D" w14:textId="77777777" w:rsidR="00F67E9E" w:rsidRDefault="00F67E9E" w:rsidP="00534BE5">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93A2C" w14:textId="45C07DFB" w:rsidR="00F67E9E" w:rsidRPr="00EC3902" w:rsidRDefault="00F67E9E" w:rsidP="00534BE5">
    <w:pPr>
      <w:pStyle w:val="Header"/>
      <w:rPr>
        <w:b/>
        <w:bCs/>
      </w:rPr>
    </w:pPr>
    <w:r w:rsidRPr="00EC3902">
      <w:rPr>
        <w:b/>
        <w:bCs/>
      </w:rPr>
      <w:t>Schedule 23</w:t>
    </w:r>
    <w:r>
      <w:rPr>
        <w:b/>
        <w:bCs/>
      </w:rPr>
      <w:t xml:space="preserve">: </w:t>
    </w:r>
    <w:r w:rsidR="00302D39">
      <w:rPr>
        <w:b/>
        <w:bCs/>
      </w:rPr>
      <w:t>(</w:t>
    </w:r>
    <w:r w:rsidRPr="00EC3902">
      <w:rPr>
        <w:b/>
        <w:bCs/>
      </w:rPr>
      <w:t>Dispute Resolution Procedure</w:t>
    </w:r>
    <w:r w:rsidR="00302D39">
      <w:rPr>
        <w:b/>
        <w:bCs/>
      </w:rPr>
      <w:t>)</w:t>
    </w:r>
  </w:p>
  <w:p w14:paraId="67598984" w14:textId="77777777" w:rsidR="00F67E9E" w:rsidRPr="00534BE5" w:rsidRDefault="00F67E9E" w:rsidP="006A2450">
    <w:pPr>
      <w:pStyle w:val="Header"/>
    </w:pPr>
    <w:r w:rsidRPr="00AB0447">
      <w:t xml:space="preserve">[Subject to </w:t>
    </w:r>
    <w:r>
      <w:t>C</w:t>
    </w:r>
    <w:r w:rsidRPr="00AB0447">
      <w:t>ontract]</w:t>
    </w:r>
  </w:p>
  <w:p w14:paraId="70FD7D7E" w14:textId="77777777" w:rsidR="00F67E9E" w:rsidRPr="00534BE5" w:rsidRDefault="00F67E9E" w:rsidP="006A2450">
    <w:pPr>
      <w:pStyle w:val="Header"/>
    </w:pPr>
    <w:r w:rsidRPr="00534BE5">
      <w:t xml:space="preserve">Crown </w:t>
    </w:r>
    <w:r>
      <w:t>C</w:t>
    </w:r>
    <w:r w:rsidRPr="00534BE5">
      <w:t>opyright 202</w:t>
    </w:r>
    <w:r>
      <w:t>3</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E483C" w14:textId="77777777" w:rsidR="00F67E9E" w:rsidRPr="004A7C2C" w:rsidRDefault="00F67E9E" w:rsidP="00534BE5">
    <w:pPr>
      <w:pStyle w:val="Header"/>
    </w:pPr>
    <w:r w:rsidRPr="00E9603F">
      <w:rPr>
        <w:highlight w:val="magenta"/>
      </w:rPr>
      <w:t>Schedule</w:t>
    </w:r>
    <w:r w:rsidRPr="004A7C2C">
      <w:t xml:space="preserve"> 1 (Definitions)</w:t>
    </w:r>
  </w:p>
  <w:p w14:paraId="59E62FAA" w14:textId="77777777" w:rsidR="00F67E9E" w:rsidRPr="004A7C2C" w:rsidRDefault="00F67E9E" w:rsidP="00534BE5">
    <w:pPr>
      <w:pStyle w:val="Header"/>
    </w:pPr>
    <w:r w:rsidRPr="004A7C2C">
      <w:t>Crown copyright 2021</w:t>
    </w:r>
  </w:p>
  <w:p w14:paraId="6EBF6EFC" w14:textId="77777777" w:rsidR="00F67E9E" w:rsidRDefault="00F67E9E" w:rsidP="00534BE5">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9ADB7" w14:textId="1B6A0F85" w:rsidR="00F67E9E" w:rsidRPr="00EC3902" w:rsidRDefault="00F67E9E" w:rsidP="00534BE5">
    <w:pPr>
      <w:pStyle w:val="Header"/>
      <w:rPr>
        <w:b/>
        <w:bCs/>
      </w:rPr>
    </w:pPr>
    <w:r w:rsidRPr="00EC3902">
      <w:rPr>
        <w:b/>
        <w:bCs/>
      </w:rPr>
      <w:t>Schedule 24</w:t>
    </w:r>
    <w:r>
      <w:rPr>
        <w:b/>
        <w:bCs/>
      </w:rPr>
      <w:t xml:space="preserve">: </w:t>
    </w:r>
    <w:r w:rsidR="00302D39">
      <w:rPr>
        <w:b/>
        <w:bCs/>
      </w:rPr>
      <w:t>(</w:t>
    </w:r>
    <w:r w:rsidRPr="00EC3902">
      <w:rPr>
        <w:b/>
        <w:bCs/>
      </w:rPr>
      <w:t xml:space="preserve">Reports </w:t>
    </w:r>
    <w:r>
      <w:rPr>
        <w:b/>
        <w:bCs/>
      </w:rPr>
      <w:t>a</w:t>
    </w:r>
    <w:r w:rsidRPr="00EC3902">
      <w:rPr>
        <w:b/>
        <w:bCs/>
      </w:rPr>
      <w:t>nd Records Provisions</w:t>
    </w:r>
    <w:r w:rsidR="00302D39">
      <w:rPr>
        <w:b/>
        <w:bCs/>
      </w:rPr>
      <w:t>)</w:t>
    </w:r>
  </w:p>
  <w:p w14:paraId="3C3A3294" w14:textId="77777777" w:rsidR="00F67E9E" w:rsidRPr="00534BE5" w:rsidRDefault="00F67E9E" w:rsidP="006A2450">
    <w:pPr>
      <w:pStyle w:val="Header"/>
    </w:pPr>
    <w:r w:rsidRPr="00AB0447">
      <w:t xml:space="preserve">[Subject to </w:t>
    </w:r>
    <w:r>
      <w:t>C</w:t>
    </w:r>
    <w:r w:rsidRPr="00AB0447">
      <w:t>ontract]</w:t>
    </w:r>
  </w:p>
  <w:p w14:paraId="1FB31D3A" w14:textId="77777777" w:rsidR="00F67E9E" w:rsidRPr="00534BE5" w:rsidRDefault="00F67E9E" w:rsidP="006A2450">
    <w:pPr>
      <w:pStyle w:val="Header"/>
    </w:pPr>
    <w:r w:rsidRPr="00534BE5">
      <w:t xml:space="preserve">Crown </w:t>
    </w:r>
    <w:r>
      <w:t>C</w:t>
    </w:r>
    <w:r w:rsidRPr="00534BE5">
      <w:t>opyright 202</w:t>
    </w:r>
    <w:r>
      <w:t>3</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BA65E" w14:textId="55FBF69C" w:rsidR="00F67E9E" w:rsidRPr="00EC3902" w:rsidRDefault="00F67E9E" w:rsidP="00534BE5">
    <w:pPr>
      <w:pStyle w:val="Header"/>
      <w:rPr>
        <w:b/>
        <w:bCs/>
      </w:rPr>
    </w:pPr>
    <w:r w:rsidRPr="00EC3902">
      <w:rPr>
        <w:b/>
        <w:bCs/>
      </w:rPr>
      <w:t>Schedule 25</w:t>
    </w:r>
    <w:r>
      <w:rPr>
        <w:b/>
        <w:bCs/>
      </w:rPr>
      <w:t xml:space="preserve">: </w:t>
    </w:r>
    <w:r w:rsidR="00302D39">
      <w:rPr>
        <w:b/>
        <w:bCs/>
      </w:rPr>
      <w:t>(</w:t>
    </w:r>
    <w:r w:rsidRPr="00EC3902">
      <w:rPr>
        <w:b/>
        <w:bCs/>
      </w:rPr>
      <w:t>Exit Management</w:t>
    </w:r>
    <w:r w:rsidR="00302D39">
      <w:rPr>
        <w:b/>
        <w:bCs/>
      </w:rPr>
      <w:t>)</w:t>
    </w:r>
  </w:p>
  <w:p w14:paraId="1FCA591D" w14:textId="77777777" w:rsidR="00F67E9E" w:rsidRPr="00534BE5" w:rsidRDefault="00F67E9E" w:rsidP="006A2450">
    <w:pPr>
      <w:pStyle w:val="Header"/>
    </w:pPr>
    <w:r w:rsidRPr="00AB0447">
      <w:t xml:space="preserve">[Subject to </w:t>
    </w:r>
    <w:r>
      <w:t>C</w:t>
    </w:r>
    <w:r w:rsidRPr="00AB0447">
      <w:t>ontract]</w:t>
    </w:r>
  </w:p>
  <w:p w14:paraId="30C975C4" w14:textId="77777777" w:rsidR="00F67E9E" w:rsidRPr="00534BE5" w:rsidRDefault="00F67E9E" w:rsidP="006A2450">
    <w:pPr>
      <w:pStyle w:val="Header"/>
    </w:pPr>
    <w:r w:rsidRPr="00534BE5">
      <w:t xml:space="preserve">Crown </w:t>
    </w:r>
    <w:r>
      <w:t>C</w:t>
    </w:r>
    <w:r w:rsidRPr="00534BE5">
      <w:t>opyright 202</w:t>
    </w:r>
    <w:r>
      <w:t>3</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DC05D" w14:textId="77777777" w:rsidR="00F67E9E" w:rsidRPr="004A7C2C" w:rsidRDefault="00F67E9E" w:rsidP="00534BE5">
    <w:pPr>
      <w:pStyle w:val="Header"/>
    </w:pPr>
    <w:r w:rsidRPr="00E9603F">
      <w:rPr>
        <w:highlight w:val="magenta"/>
      </w:rPr>
      <w:t>Schedule</w:t>
    </w:r>
    <w:r w:rsidRPr="004A7C2C">
      <w:t xml:space="preserve"> </w:t>
    </w:r>
    <w:r>
      <w:t>26</w:t>
    </w:r>
    <w:r w:rsidRPr="004A7C2C">
      <w:t xml:space="preserve"> (</w:t>
    </w:r>
    <w:r>
      <w:t>Service Continuity Plan and Corporate Resolution Planning</w:t>
    </w:r>
    <w:r w:rsidRPr="004A7C2C">
      <w:t>)</w:t>
    </w:r>
  </w:p>
  <w:p w14:paraId="74B95DDD" w14:textId="77777777" w:rsidR="00F67E9E" w:rsidRPr="004A7C2C" w:rsidRDefault="00F67E9E" w:rsidP="00534BE5">
    <w:pPr>
      <w:pStyle w:val="Header"/>
    </w:pPr>
    <w:r w:rsidRPr="004A7C2C">
      <w:t>Crown copyright 2021</w:t>
    </w:r>
  </w:p>
  <w:p w14:paraId="0652DC54" w14:textId="77777777" w:rsidR="00F67E9E" w:rsidRDefault="00F67E9E" w:rsidP="00534BE5">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1DD40" w14:textId="6C309A03" w:rsidR="00F67E9E" w:rsidRPr="00EC3902" w:rsidRDefault="00F67E9E" w:rsidP="00534BE5">
    <w:pPr>
      <w:pStyle w:val="Header"/>
      <w:rPr>
        <w:b/>
        <w:bCs/>
      </w:rPr>
    </w:pPr>
    <w:r w:rsidRPr="00EC3902">
      <w:rPr>
        <w:b/>
        <w:bCs/>
      </w:rPr>
      <w:t>Schedule 26</w:t>
    </w:r>
    <w:r>
      <w:rPr>
        <w:b/>
        <w:bCs/>
      </w:rPr>
      <w:t xml:space="preserve">: </w:t>
    </w:r>
    <w:r w:rsidR="00302D39">
      <w:rPr>
        <w:b/>
        <w:bCs/>
      </w:rPr>
      <w:t>(</w:t>
    </w:r>
    <w:r w:rsidRPr="00EC3902">
      <w:rPr>
        <w:b/>
        <w:bCs/>
      </w:rPr>
      <w:t xml:space="preserve">Service Continuity Plan </w:t>
    </w:r>
    <w:r>
      <w:rPr>
        <w:b/>
        <w:bCs/>
      </w:rPr>
      <w:t>a</w:t>
    </w:r>
    <w:r w:rsidRPr="00EC3902">
      <w:rPr>
        <w:b/>
        <w:bCs/>
      </w:rPr>
      <w:t>nd Corporate Resolution Planning</w:t>
    </w:r>
    <w:r w:rsidR="00302D39">
      <w:rPr>
        <w:b/>
        <w:bCs/>
      </w:rPr>
      <w:t>)</w:t>
    </w:r>
  </w:p>
  <w:p w14:paraId="17D1AD47" w14:textId="77777777" w:rsidR="00F67E9E" w:rsidRPr="00534BE5" w:rsidRDefault="00F67E9E" w:rsidP="006A2450">
    <w:pPr>
      <w:pStyle w:val="Header"/>
    </w:pPr>
    <w:r w:rsidRPr="00AB0447">
      <w:t xml:space="preserve">[Subject to </w:t>
    </w:r>
    <w:r>
      <w:t>C</w:t>
    </w:r>
    <w:r w:rsidRPr="00AB0447">
      <w:t>ontract]</w:t>
    </w:r>
  </w:p>
  <w:p w14:paraId="61F14C24" w14:textId="77777777" w:rsidR="00F67E9E" w:rsidRPr="00534BE5" w:rsidRDefault="00F67E9E" w:rsidP="006A2450">
    <w:pPr>
      <w:pStyle w:val="Header"/>
    </w:pPr>
    <w:r w:rsidRPr="00534BE5">
      <w:t xml:space="preserve">Crown </w:t>
    </w:r>
    <w:r>
      <w:t>C</w:t>
    </w:r>
    <w:r w:rsidRPr="00534BE5">
      <w:t>opyright 202</w:t>
    </w:r>
    <w:r>
      <w:t>3</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E51B8" w14:textId="2760A600" w:rsidR="00F67E9E" w:rsidRPr="00EC3902" w:rsidRDefault="00F67E9E" w:rsidP="00534BE5">
    <w:pPr>
      <w:pStyle w:val="Header"/>
      <w:rPr>
        <w:b/>
        <w:bCs/>
      </w:rPr>
    </w:pPr>
    <w:r w:rsidRPr="00EC3902">
      <w:rPr>
        <w:b/>
        <w:bCs/>
      </w:rPr>
      <w:t>Schedule 27</w:t>
    </w:r>
    <w:r>
      <w:rPr>
        <w:b/>
        <w:bCs/>
      </w:rPr>
      <w:t xml:space="preserve">: </w:t>
    </w:r>
    <w:r w:rsidR="00302D39">
      <w:rPr>
        <w:b/>
        <w:bCs/>
      </w:rPr>
      <w:t>(</w:t>
    </w:r>
    <w:r w:rsidRPr="00EC3902">
      <w:rPr>
        <w:b/>
        <w:bCs/>
      </w:rPr>
      <w:t xml:space="preserve">Conduct </w:t>
    </w:r>
    <w:r>
      <w:rPr>
        <w:b/>
        <w:bCs/>
      </w:rPr>
      <w:t>o</w:t>
    </w:r>
    <w:r w:rsidRPr="00EC3902">
      <w:rPr>
        <w:b/>
        <w:bCs/>
      </w:rPr>
      <w:t>f Claims</w:t>
    </w:r>
    <w:r w:rsidR="00302D39">
      <w:rPr>
        <w:b/>
        <w:bCs/>
      </w:rPr>
      <w:t>)</w:t>
    </w:r>
  </w:p>
  <w:p w14:paraId="0B81A47D" w14:textId="77777777" w:rsidR="00F67E9E" w:rsidRPr="00534BE5" w:rsidRDefault="00F67E9E" w:rsidP="006A2450">
    <w:pPr>
      <w:pStyle w:val="Header"/>
    </w:pPr>
    <w:r w:rsidRPr="00AB0447">
      <w:t xml:space="preserve">[Subject to </w:t>
    </w:r>
    <w:r>
      <w:t>C</w:t>
    </w:r>
    <w:r w:rsidRPr="00AB0447">
      <w:t>ontract]</w:t>
    </w:r>
  </w:p>
  <w:p w14:paraId="078FFC12" w14:textId="77777777" w:rsidR="00F67E9E" w:rsidRPr="00534BE5" w:rsidRDefault="00F67E9E" w:rsidP="006A2450">
    <w:pPr>
      <w:pStyle w:val="Header"/>
    </w:pPr>
    <w:r w:rsidRPr="00534BE5">
      <w:t xml:space="preserve">Crown </w:t>
    </w:r>
    <w:r>
      <w:t>C</w:t>
    </w:r>
    <w:r w:rsidRPr="00534BE5">
      <w:t>opyright 202</w:t>
    </w:r>
    <w:r>
      <w:t>3</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37084" w14:textId="70F51488" w:rsidR="00F67E9E" w:rsidRPr="00EC3902" w:rsidRDefault="00F67E9E" w:rsidP="00534BE5">
    <w:pPr>
      <w:pStyle w:val="Header"/>
      <w:rPr>
        <w:b/>
        <w:bCs/>
      </w:rPr>
    </w:pPr>
    <w:r w:rsidRPr="00EC3902">
      <w:rPr>
        <w:b/>
        <w:bCs/>
      </w:rPr>
      <w:t>Schedule 28</w:t>
    </w:r>
    <w:r>
      <w:rPr>
        <w:b/>
        <w:bCs/>
      </w:rPr>
      <w:t xml:space="preserve">: </w:t>
    </w:r>
    <w:r w:rsidR="00302D39">
      <w:rPr>
        <w:b/>
        <w:bCs/>
      </w:rPr>
      <w:t>(</w:t>
    </w:r>
    <w:r w:rsidRPr="00EC3902">
      <w:rPr>
        <w:b/>
        <w:bCs/>
      </w:rPr>
      <w:t>Staff Transfer</w:t>
    </w:r>
    <w:r w:rsidR="00302D39">
      <w:rPr>
        <w:b/>
        <w:bCs/>
      </w:rPr>
      <w:t>)</w:t>
    </w:r>
  </w:p>
  <w:p w14:paraId="7CC06C8A" w14:textId="77777777" w:rsidR="00F67E9E" w:rsidRPr="00534BE5" w:rsidRDefault="00F67E9E" w:rsidP="006A2450">
    <w:pPr>
      <w:pStyle w:val="Header"/>
    </w:pPr>
    <w:r w:rsidRPr="00AB0447">
      <w:t xml:space="preserve">[Subject to </w:t>
    </w:r>
    <w:r>
      <w:t>C</w:t>
    </w:r>
    <w:r w:rsidRPr="00AB0447">
      <w:t>ontract]</w:t>
    </w:r>
  </w:p>
  <w:p w14:paraId="7D10DC3F" w14:textId="77777777" w:rsidR="00F67E9E" w:rsidRPr="00534BE5" w:rsidRDefault="00F67E9E" w:rsidP="006A2450">
    <w:pPr>
      <w:pStyle w:val="Header"/>
    </w:pPr>
    <w:r w:rsidRPr="00534BE5">
      <w:t xml:space="preserve">Crown </w:t>
    </w:r>
    <w:r>
      <w:t>C</w:t>
    </w:r>
    <w:r w:rsidRPr="00534BE5">
      <w:t>opyright 202</w:t>
    </w:r>
    <w:r>
      <w:t>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730A0" w14:textId="1A4FF9B9" w:rsidR="00F67E9E" w:rsidRPr="00534BE5" w:rsidRDefault="00F67E9E" w:rsidP="00534BE5">
    <w:pPr>
      <w:pStyle w:val="Header"/>
      <w:rPr>
        <w:b/>
        <w:bCs/>
      </w:rPr>
    </w:pPr>
    <w:r w:rsidRPr="00534BE5">
      <w:rPr>
        <w:b/>
        <w:bCs/>
      </w:rPr>
      <w:t>Schedule 1</w:t>
    </w:r>
    <w:r w:rsidR="00710FC0">
      <w:rPr>
        <w:b/>
        <w:bCs/>
      </w:rPr>
      <w:t xml:space="preserve"> (</w:t>
    </w:r>
    <w:r w:rsidRPr="00534BE5">
      <w:rPr>
        <w:b/>
        <w:bCs/>
      </w:rPr>
      <w:t>Definitions</w:t>
    </w:r>
    <w:r w:rsidR="00710FC0">
      <w:rPr>
        <w:b/>
        <w:bCs/>
      </w:rPr>
      <w:t>)</w:t>
    </w:r>
  </w:p>
  <w:p w14:paraId="0901446B" w14:textId="77777777" w:rsidR="00F67E9E" w:rsidRPr="00534BE5" w:rsidRDefault="00F67E9E" w:rsidP="00534BE5">
    <w:pPr>
      <w:pStyle w:val="Header"/>
    </w:pPr>
    <w:r w:rsidRPr="00AB0447">
      <w:t xml:space="preserve">[Subject to </w:t>
    </w:r>
    <w:r>
      <w:t>C</w:t>
    </w:r>
    <w:r w:rsidRPr="00AB0447">
      <w:t>ontract]</w:t>
    </w:r>
  </w:p>
  <w:p w14:paraId="10AA6BA1" w14:textId="77777777" w:rsidR="00F67E9E" w:rsidRPr="00534BE5" w:rsidRDefault="00F67E9E" w:rsidP="00534BE5">
    <w:pPr>
      <w:pStyle w:val="Header"/>
    </w:pPr>
    <w:r w:rsidRPr="00534BE5">
      <w:t xml:space="preserve">Crown </w:t>
    </w:r>
    <w:r>
      <w:t>C</w:t>
    </w:r>
    <w:r w:rsidRPr="00534BE5">
      <w:t>opyright 202</w:t>
    </w:r>
    <w:r>
      <w:t>3</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7C7E1" w14:textId="2924A46D" w:rsidR="00F67E9E" w:rsidRPr="00EC3902" w:rsidRDefault="00F67E9E" w:rsidP="00534BE5">
    <w:pPr>
      <w:pStyle w:val="Header"/>
      <w:rPr>
        <w:b/>
        <w:bCs/>
      </w:rPr>
    </w:pPr>
    <w:r w:rsidRPr="00EC3902">
      <w:rPr>
        <w:b/>
        <w:bCs/>
      </w:rPr>
      <w:t>Schedule 29</w:t>
    </w:r>
    <w:r>
      <w:rPr>
        <w:b/>
        <w:bCs/>
      </w:rPr>
      <w:t xml:space="preserve"> </w:t>
    </w:r>
    <w:r w:rsidR="00302D39">
      <w:rPr>
        <w:b/>
        <w:bCs/>
      </w:rPr>
      <w:t>(</w:t>
    </w:r>
    <w:r w:rsidRPr="00EC3902">
      <w:rPr>
        <w:b/>
        <w:bCs/>
      </w:rPr>
      <w:t>Key Personnel</w:t>
    </w:r>
    <w:r w:rsidR="00521E9F">
      <w:rPr>
        <w:b/>
        <w:bCs/>
      </w:rPr>
      <w:t>)</w:t>
    </w:r>
  </w:p>
  <w:p w14:paraId="699BF5FA" w14:textId="77777777" w:rsidR="00F67E9E" w:rsidRPr="00534BE5" w:rsidRDefault="00F67E9E" w:rsidP="006A2450">
    <w:pPr>
      <w:pStyle w:val="Header"/>
    </w:pPr>
    <w:r w:rsidRPr="00AB0447">
      <w:t xml:space="preserve">[Subject to </w:t>
    </w:r>
    <w:r>
      <w:t>C</w:t>
    </w:r>
    <w:r w:rsidRPr="00AB0447">
      <w:t>ontract]</w:t>
    </w:r>
  </w:p>
  <w:p w14:paraId="1F385F99" w14:textId="77777777" w:rsidR="00F67E9E" w:rsidRPr="00534BE5" w:rsidRDefault="00F67E9E" w:rsidP="006A2450">
    <w:pPr>
      <w:pStyle w:val="Header"/>
    </w:pPr>
    <w:r w:rsidRPr="00534BE5">
      <w:t xml:space="preserve">Crown </w:t>
    </w:r>
    <w:r>
      <w:t>C</w:t>
    </w:r>
    <w:r w:rsidRPr="00534BE5">
      <w:t>opyright 202</w:t>
    </w:r>
    <w:r>
      <w:t>3</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CEE7C" w14:textId="765D85A6" w:rsidR="00F67E9E" w:rsidRPr="00EC3902" w:rsidRDefault="00F67E9E" w:rsidP="00534BE5">
    <w:pPr>
      <w:pStyle w:val="Header"/>
      <w:rPr>
        <w:b/>
        <w:bCs/>
      </w:rPr>
    </w:pPr>
    <w:r w:rsidRPr="00EC3902">
      <w:rPr>
        <w:b/>
        <w:bCs/>
      </w:rPr>
      <w:t>Schedule 30</w:t>
    </w:r>
    <w:r>
      <w:rPr>
        <w:b/>
        <w:bCs/>
      </w:rPr>
      <w:t xml:space="preserve"> </w:t>
    </w:r>
    <w:r w:rsidR="00521E9F">
      <w:rPr>
        <w:b/>
        <w:bCs/>
      </w:rPr>
      <w:t>(</w:t>
    </w:r>
    <w:r w:rsidRPr="00EC3902">
      <w:rPr>
        <w:b/>
        <w:bCs/>
      </w:rPr>
      <w:t xml:space="preserve">Deed </w:t>
    </w:r>
    <w:r>
      <w:rPr>
        <w:b/>
        <w:bCs/>
      </w:rPr>
      <w:t>o</w:t>
    </w:r>
    <w:r w:rsidRPr="00EC3902">
      <w:rPr>
        <w:b/>
        <w:bCs/>
      </w:rPr>
      <w:t>f Guarantee</w:t>
    </w:r>
    <w:r w:rsidR="00521E9F">
      <w:rPr>
        <w:b/>
        <w:bCs/>
      </w:rPr>
      <w:t>)</w:t>
    </w:r>
  </w:p>
  <w:p w14:paraId="39A5AAF8" w14:textId="77777777" w:rsidR="00F67E9E" w:rsidRPr="00534BE5" w:rsidRDefault="00F67E9E" w:rsidP="006A2450">
    <w:pPr>
      <w:pStyle w:val="Header"/>
    </w:pPr>
    <w:r w:rsidRPr="00AB0447">
      <w:t xml:space="preserve">[Subject to </w:t>
    </w:r>
    <w:r>
      <w:t>C</w:t>
    </w:r>
    <w:r w:rsidRPr="00AB0447">
      <w:t>ontract]</w:t>
    </w:r>
  </w:p>
  <w:p w14:paraId="239CAE1C" w14:textId="77777777" w:rsidR="00F67E9E" w:rsidRPr="00534BE5" w:rsidRDefault="00F67E9E" w:rsidP="006A2450">
    <w:pPr>
      <w:pStyle w:val="Header"/>
    </w:pPr>
    <w:r w:rsidRPr="00534BE5">
      <w:t xml:space="preserve">Crown </w:t>
    </w:r>
    <w:r>
      <w:t>C</w:t>
    </w:r>
    <w:r w:rsidRPr="00534BE5">
      <w:t>opyright 202</w:t>
    </w:r>
    <w:r>
      <w:t>3</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57781" w14:textId="7A56DF90" w:rsidR="00F67E9E" w:rsidRPr="00EC3902" w:rsidRDefault="00F67E9E" w:rsidP="00EC3902">
    <w:pPr>
      <w:pStyle w:val="Header"/>
      <w:rPr>
        <w:b/>
        <w:bCs/>
      </w:rPr>
    </w:pPr>
    <w:r w:rsidRPr="00EC3902">
      <w:rPr>
        <w:b/>
        <w:bCs/>
      </w:rPr>
      <w:t>Schedule 3</w:t>
    </w:r>
    <w:r>
      <w:rPr>
        <w:b/>
        <w:bCs/>
      </w:rPr>
      <w:t xml:space="preserve">1 </w:t>
    </w:r>
    <w:r w:rsidR="00521E9F">
      <w:rPr>
        <w:b/>
        <w:bCs/>
      </w:rPr>
      <w:t>(</w:t>
    </w:r>
    <w:r>
      <w:rPr>
        <w:b/>
        <w:bCs/>
      </w:rPr>
      <w:t>Processing Personal Data</w:t>
    </w:r>
    <w:r w:rsidR="00521E9F">
      <w:rPr>
        <w:b/>
        <w:bCs/>
      </w:rPr>
      <w:t>)</w:t>
    </w:r>
  </w:p>
  <w:p w14:paraId="3566527A" w14:textId="77777777" w:rsidR="00F67E9E" w:rsidRPr="00534BE5" w:rsidRDefault="00F67E9E" w:rsidP="006A2450">
    <w:pPr>
      <w:pStyle w:val="Header"/>
    </w:pPr>
    <w:r w:rsidRPr="00AB0447">
      <w:t xml:space="preserve">[Subject to </w:t>
    </w:r>
    <w:r>
      <w:t>C</w:t>
    </w:r>
    <w:r w:rsidRPr="00AB0447">
      <w:t>ontract]</w:t>
    </w:r>
  </w:p>
  <w:p w14:paraId="3176D828" w14:textId="77777777" w:rsidR="00F67E9E" w:rsidRPr="00534BE5" w:rsidRDefault="00F67E9E" w:rsidP="006A2450">
    <w:pPr>
      <w:pStyle w:val="Header"/>
    </w:pPr>
    <w:r w:rsidRPr="00534BE5">
      <w:t xml:space="preserve">Crown </w:t>
    </w:r>
    <w:r>
      <w:t>C</w:t>
    </w:r>
    <w:r w:rsidRPr="00534BE5">
      <w:t>opyright 202</w:t>
    </w:r>
    <w:r>
      <w:t>3</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D2D9A" w14:textId="77777777" w:rsidR="00830460" w:rsidRDefault="000D7DE5">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C9181" w14:textId="13CFF9C9" w:rsidR="00CF408A" w:rsidRPr="00EC3902" w:rsidRDefault="00182E3A" w:rsidP="00EC3902">
    <w:pPr>
      <w:pStyle w:val="Header"/>
      <w:rPr>
        <w:b/>
        <w:bCs/>
      </w:rPr>
    </w:pPr>
    <w:r w:rsidRPr="00EC3902">
      <w:rPr>
        <w:b/>
        <w:bCs/>
      </w:rPr>
      <w:t>Schedule 32</w:t>
    </w:r>
    <w:r>
      <w:rPr>
        <w:b/>
        <w:bCs/>
      </w:rPr>
      <w:t xml:space="preserve"> </w:t>
    </w:r>
    <w:r w:rsidR="00521E9F">
      <w:rPr>
        <w:b/>
        <w:bCs/>
      </w:rPr>
      <w:t>(</w:t>
    </w:r>
    <w:r w:rsidRPr="00EC3902">
      <w:rPr>
        <w:b/>
        <w:bCs/>
      </w:rPr>
      <w:t>Intellectual Property Rights</w:t>
    </w:r>
    <w:r w:rsidR="00521E9F">
      <w:rPr>
        <w:b/>
        <w:bCs/>
      </w:rPr>
      <w:t>)</w:t>
    </w:r>
  </w:p>
  <w:p w14:paraId="39D6B68A" w14:textId="77777777" w:rsidR="00CF408A" w:rsidRPr="00534BE5" w:rsidRDefault="00182E3A" w:rsidP="006A2450">
    <w:pPr>
      <w:pStyle w:val="Header"/>
    </w:pPr>
    <w:r w:rsidRPr="00AB0447">
      <w:t xml:space="preserve">[Subject to </w:t>
    </w:r>
    <w:r>
      <w:t>C</w:t>
    </w:r>
    <w:r w:rsidRPr="00AB0447">
      <w:t>ontract]</w:t>
    </w:r>
  </w:p>
  <w:p w14:paraId="7D259A34" w14:textId="77777777" w:rsidR="00CF408A" w:rsidRPr="00534BE5" w:rsidRDefault="00182E3A" w:rsidP="006A2450">
    <w:pPr>
      <w:pStyle w:val="Header"/>
    </w:pPr>
    <w:r w:rsidRPr="00534BE5">
      <w:t xml:space="preserve">Crown </w:t>
    </w:r>
    <w:r>
      <w:t>C</w:t>
    </w:r>
    <w:r w:rsidRPr="00534BE5">
      <w:t>opyright 202</w:t>
    </w:r>
    <w:r>
      <w:t>3</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E8CAF" w14:textId="77777777" w:rsidR="00830460" w:rsidRDefault="000D7DE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E95DA" w14:textId="0C06D090" w:rsidR="00F67E9E" w:rsidRPr="00534BE5" w:rsidRDefault="00F67E9E" w:rsidP="00534BE5">
    <w:pPr>
      <w:pStyle w:val="Header"/>
      <w:rPr>
        <w:b/>
        <w:bCs/>
      </w:rPr>
    </w:pPr>
    <w:r w:rsidRPr="00534BE5">
      <w:rPr>
        <w:b/>
        <w:bCs/>
      </w:rPr>
      <w:t>Schedule 2</w:t>
    </w:r>
    <w:r w:rsidR="00710FC0">
      <w:rPr>
        <w:b/>
        <w:bCs/>
      </w:rPr>
      <w:t xml:space="preserve"> (</w:t>
    </w:r>
    <w:r w:rsidRPr="00534BE5">
      <w:rPr>
        <w:b/>
        <w:bCs/>
      </w:rPr>
      <w:t>Services Description</w:t>
    </w:r>
    <w:r w:rsidR="00710FC0">
      <w:rPr>
        <w:b/>
        <w:bCs/>
      </w:rPr>
      <w:t>)</w:t>
    </w:r>
  </w:p>
  <w:p w14:paraId="7687B012" w14:textId="77777777" w:rsidR="00F67E9E" w:rsidRPr="00534BE5" w:rsidRDefault="00F67E9E" w:rsidP="006A2450">
    <w:pPr>
      <w:pStyle w:val="Header"/>
    </w:pPr>
    <w:r w:rsidRPr="00AB0447">
      <w:t xml:space="preserve">[Subject to </w:t>
    </w:r>
    <w:r>
      <w:t>C</w:t>
    </w:r>
    <w:r w:rsidRPr="00AB0447">
      <w:t>ontract]</w:t>
    </w:r>
  </w:p>
  <w:p w14:paraId="4E7AA79C" w14:textId="77777777" w:rsidR="00F67E9E" w:rsidRPr="00534BE5" w:rsidRDefault="00F67E9E" w:rsidP="006A2450">
    <w:pPr>
      <w:pStyle w:val="Header"/>
    </w:pPr>
    <w:r w:rsidRPr="00534BE5">
      <w:t xml:space="preserve">Crown </w:t>
    </w:r>
    <w:r>
      <w:t>C</w:t>
    </w:r>
    <w:r w:rsidRPr="00534BE5">
      <w:t>opyright 202</w:t>
    </w:r>
    <w:r>
      <w:t>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44CCD" w14:textId="65525B29" w:rsidR="00F67E9E" w:rsidRPr="00534BE5" w:rsidRDefault="00F67E9E" w:rsidP="00534BE5">
    <w:pPr>
      <w:pStyle w:val="Header"/>
      <w:rPr>
        <w:b/>
        <w:bCs/>
      </w:rPr>
    </w:pPr>
    <w:r w:rsidRPr="00534BE5">
      <w:rPr>
        <w:b/>
        <w:bCs/>
      </w:rPr>
      <w:t>Schedule 3</w:t>
    </w:r>
    <w:r w:rsidR="00710FC0">
      <w:rPr>
        <w:b/>
        <w:bCs/>
      </w:rPr>
      <w:t xml:space="preserve"> (</w:t>
    </w:r>
    <w:r w:rsidRPr="00534BE5">
      <w:rPr>
        <w:b/>
        <w:bCs/>
      </w:rPr>
      <w:t>Performance Levels</w:t>
    </w:r>
    <w:r w:rsidR="00710FC0">
      <w:rPr>
        <w:b/>
        <w:bCs/>
      </w:rPr>
      <w:t>)</w:t>
    </w:r>
  </w:p>
  <w:p w14:paraId="518323D2" w14:textId="77777777" w:rsidR="00F67E9E" w:rsidRPr="00534BE5" w:rsidRDefault="00F67E9E" w:rsidP="006A2450">
    <w:pPr>
      <w:pStyle w:val="Header"/>
    </w:pPr>
    <w:r w:rsidRPr="00AB0447">
      <w:t xml:space="preserve">[Subject to </w:t>
    </w:r>
    <w:r>
      <w:t>C</w:t>
    </w:r>
    <w:r w:rsidRPr="00AB0447">
      <w:t>ontract]</w:t>
    </w:r>
  </w:p>
  <w:p w14:paraId="2F0216D7" w14:textId="77777777" w:rsidR="00F67E9E" w:rsidRPr="00534BE5" w:rsidRDefault="00F67E9E" w:rsidP="006A2450">
    <w:pPr>
      <w:pStyle w:val="Header"/>
    </w:pPr>
    <w:r w:rsidRPr="00534BE5">
      <w:t xml:space="preserve">Crown </w:t>
    </w:r>
    <w:r>
      <w:t>C</w:t>
    </w:r>
    <w:r w:rsidRPr="00534BE5">
      <w:t>opyright 202</w:t>
    </w:r>
    <w:r>
      <w:t>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66664" w14:textId="2A5E3B10" w:rsidR="00F67E9E" w:rsidRPr="00534BE5" w:rsidRDefault="00F67E9E" w:rsidP="00534BE5">
    <w:pPr>
      <w:pStyle w:val="Header"/>
      <w:rPr>
        <w:b/>
        <w:bCs/>
      </w:rPr>
    </w:pPr>
    <w:r w:rsidRPr="00534BE5">
      <w:rPr>
        <w:b/>
        <w:bCs/>
      </w:rPr>
      <w:t>Schedule 4</w:t>
    </w:r>
    <w:r>
      <w:rPr>
        <w:b/>
        <w:bCs/>
      </w:rPr>
      <w:t xml:space="preserve"> </w:t>
    </w:r>
    <w:r w:rsidR="00710FC0">
      <w:rPr>
        <w:b/>
        <w:bCs/>
      </w:rPr>
      <w:t>(</w:t>
    </w:r>
    <w:r w:rsidRPr="00534BE5">
      <w:rPr>
        <w:b/>
        <w:bCs/>
      </w:rPr>
      <w:t>Standards</w:t>
    </w:r>
    <w:r w:rsidR="00710FC0">
      <w:rPr>
        <w:b/>
        <w:bCs/>
      </w:rPr>
      <w:t>)</w:t>
    </w:r>
  </w:p>
  <w:p w14:paraId="3582B962" w14:textId="77777777" w:rsidR="00F67E9E" w:rsidRPr="00534BE5" w:rsidRDefault="00F67E9E" w:rsidP="006A2450">
    <w:pPr>
      <w:pStyle w:val="Header"/>
    </w:pPr>
    <w:r w:rsidRPr="00AB0447">
      <w:t xml:space="preserve">[Subject to </w:t>
    </w:r>
    <w:r>
      <w:t>C</w:t>
    </w:r>
    <w:r w:rsidRPr="00AB0447">
      <w:t>ontract]</w:t>
    </w:r>
  </w:p>
  <w:p w14:paraId="730EC123" w14:textId="77777777" w:rsidR="00F67E9E" w:rsidRPr="00534BE5" w:rsidRDefault="00F67E9E" w:rsidP="006A2450">
    <w:pPr>
      <w:pStyle w:val="Header"/>
    </w:pPr>
    <w:r w:rsidRPr="00534BE5">
      <w:t xml:space="preserve">Crown </w:t>
    </w:r>
    <w:r>
      <w:t>C</w:t>
    </w:r>
    <w:r w:rsidRPr="00534BE5">
      <w:t>opyright 202</w:t>
    </w:r>
    <w:r>
      <w:t>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85D04" w14:textId="77777777" w:rsidR="00F67E9E" w:rsidRPr="004A7C2C" w:rsidRDefault="00F67E9E" w:rsidP="00534BE5">
    <w:pPr>
      <w:pStyle w:val="Header"/>
    </w:pPr>
    <w:r w:rsidRPr="00E9603F">
      <w:rPr>
        <w:highlight w:val="magenta"/>
      </w:rPr>
      <w:t>Schedule</w:t>
    </w:r>
    <w:r w:rsidRPr="004A7C2C">
      <w:t xml:space="preserve"> </w:t>
    </w:r>
    <w:r>
      <w:t>5</w:t>
    </w:r>
    <w:r w:rsidRPr="004A7C2C">
      <w:t xml:space="preserve"> (</w:t>
    </w:r>
    <w:r>
      <w:t>Security Management</w:t>
    </w:r>
    <w:r w:rsidRPr="004A7C2C">
      <w:t>)</w:t>
    </w:r>
  </w:p>
  <w:p w14:paraId="0CA548A9" w14:textId="77777777" w:rsidR="00F67E9E" w:rsidRPr="004A7C2C" w:rsidRDefault="00F67E9E" w:rsidP="00534BE5">
    <w:pPr>
      <w:pStyle w:val="Header"/>
    </w:pPr>
    <w:r w:rsidRPr="004A7C2C">
      <w:t>Crown copyright 2021</w:t>
    </w:r>
  </w:p>
  <w:p w14:paraId="3BE12594" w14:textId="77777777" w:rsidR="00F67E9E" w:rsidRDefault="00F67E9E" w:rsidP="00534BE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EFA02" w14:textId="4A1725FB" w:rsidR="00F67E9E" w:rsidRPr="00534BE5" w:rsidRDefault="00F67E9E" w:rsidP="00534BE5">
    <w:pPr>
      <w:rPr>
        <w:b/>
        <w:bCs/>
      </w:rPr>
    </w:pPr>
    <w:r w:rsidRPr="00534BE5">
      <w:rPr>
        <w:b/>
        <w:bCs/>
      </w:rPr>
      <w:t>Schedule 5</w:t>
    </w:r>
    <w:r>
      <w:rPr>
        <w:b/>
        <w:bCs/>
      </w:rPr>
      <w:t xml:space="preserve"> </w:t>
    </w:r>
    <w:r w:rsidR="00710FC0">
      <w:rPr>
        <w:b/>
        <w:bCs/>
      </w:rPr>
      <w:t>(</w:t>
    </w:r>
    <w:r w:rsidRPr="00534BE5">
      <w:rPr>
        <w:b/>
        <w:bCs/>
      </w:rPr>
      <w:t>Security Management</w:t>
    </w:r>
    <w:r w:rsidR="00710FC0">
      <w:rPr>
        <w:b/>
        <w:bCs/>
      </w:rPr>
      <w:t>)</w:t>
    </w:r>
  </w:p>
  <w:p w14:paraId="1449CC10" w14:textId="77777777" w:rsidR="00F67E9E" w:rsidRPr="00534BE5" w:rsidRDefault="00F67E9E" w:rsidP="006A2450">
    <w:pPr>
      <w:pStyle w:val="Header"/>
    </w:pPr>
    <w:r w:rsidRPr="00AB0447">
      <w:t xml:space="preserve">[Subject to </w:t>
    </w:r>
    <w:r>
      <w:t>C</w:t>
    </w:r>
    <w:r w:rsidRPr="00AB0447">
      <w:t>ontract]</w:t>
    </w:r>
  </w:p>
  <w:p w14:paraId="6E26312A" w14:textId="77777777" w:rsidR="00F67E9E" w:rsidRPr="00534BE5" w:rsidRDefault="00F67E9E" w:rsidP="006A2450">
    <w:pPr>
      <w:pStyle w:val="Header"/>
    </w:pPr>
    <w:r w:rsidRPr="00534BE5">
      <w:t xml:space="preserve">Crown </w:t>
    </w:r>
    <w:r>
      <w:t>C</w:t>
    </w:r>
    <w:r w:rsidRPr="00534BE5">
      <w:t>opyright 202</w:t>
    </w:r>
    <w: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F5A548B"/>
    <w:multiLevelType w:val="multilevel"/>
    <w:tmpl w:val="72B2A5CE"/>
    <w:styleLink w:val="Scheduletext"/>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03" w:hanging="1083"/>
      </w:pPr>
      <w:rPr>
        <w:rFonts w:hint="default"/>
      </w:rPr>
    </w:lvl>
    <w:lvl w:ilvl="3">
      <w:start w:val="1"/>
      <w:numFmt w:val="lowerLetter"/>
      <w:lvlText w:val="(%4)"/>
      <w:lvlJc w:val="left"/>
      <w:pPr>
        <w:ind w:left="1803" w:hanging="1083"/>
      </w:pPr>
      <w:rPr>
        <w:rFonts w:hint="default"/>
      </w:rPr>
    </w:lvl>
    <w:lvl w:ilvl="4">
      <w:start w:val="1"/>
      <w:numFmt w:val="lowerRoman"/>
      <w:lvlText w:val="(%5)"/>
      <w:lvlJc w:val="left"/>
      <w:pPr>
        <w:tabs>
          <w:tab w:val="num" w:pos="1803"/>
        </w:tabs>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1" w15:restartNumberingAfterBreak="0">
    <w:nsid w:val="B63E8A33"/>
    <w:multiLevelType w:val="multilevel"/>
    <w:tmpl w:val="A984B39C"/>
    <w:styleLink w:val="Level"/>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03" w:hanging="1083"/>
      </w:pPr>
      <w:rPr>
        <w:rFonts w:hint="default"/>
      </w:rPr>
    </w:lvl>
    <w:lvl w:ilvl="3">
      <w:start w:val="1"/>
      <w:numFmt w:val="lowerLetter"/>
      <w:lvlText w:val="(%4)"/>
      <w:lvlJc w:val="left"/>
      <w:pPr>
        <w:ind w:left="1803" w:hanging="1083"/>
      </w:pPr>
      <w:rPr>
        <w:rFonts w:hint="default"/>
      </w:rPr>
    </w:lvl>
    <w:lvl w:ilvl="4">
      <w:start w:val="1"/>
      <w:numFmt w:val="lowerRoman"/>
      <w:lvlText w:val="(%5)"/>
      <w:lvlJc w:val="left"/>
      <w:pPr>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2" w15:restartNumberingAfterBreak="0">
    <w:nsid w:val="DD4045A6"/>
    <w:multiLevelType w:val="multilevel"/>
    <w:tmpl w:val="9A0EAD0C"/>
    <w:styleLink w:val="Scheduleheading"/>
    <w:lvl w:ilvl="0">
      <w:start w:val="1"/>
      <w:numFmt w:val="decimal"/>
      <w:suff w:val="nothing"/>
      <w:lvlText w:val="Schedule %1"/>
      <w:lvlJc w:val="center"/>
      <w:pPr>
        <w:ind w:left="0" w:firstLine="567"/>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008677F"/>
    <w:multiLevelType w:val="multilevel"/>
    <w:tmpl w:val="7292C104"/>
    <w:lvl w:ilvl="0">
      <w:start w:val="1"/>
      <w:numFmt w:val="decimal"/>
      <w:lvlText w:val="%1."/>
      <w:lvlJc w:val="left"/>
      <w:pPr>
        <w:ind w:left="0" w:firstLine="720"/>
      </w:pPr>
      <w:rPr>
        <w:color w:val="000000"/>
      </w:rPr>
    </w:lvl>
    <w:lvl w:ilvl="1">
      <w:start w:val="1"/>
      <w:numFmt w:val="lowerLetter"/>
      <w:lvlText w:val="(%2)"/>
      <w:lvlJc w:val="left"/>
      <w:pPr>
        <w:ind w:left="720" w:firstLine="720"/>
      </w:pPr>
      <w:rPr>
        <w:color w:val="000000"/>
      </w:rPr>
    </w:lvl>
    <w:lvl w:ilvl="2">
      <w:start w:val="1"/>
      <w:numFmt w:val="lowerRoman"/>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4" w15:restartNumberingAfterBreak="0">
    <w:nsid w:val="0057389D"/>
    <w:multiLevelType w:val="multilevel"/>
    <w:tmpl w:val="A8D0AD70"/>
    <w:name w:val="Plato Schedule Numbering List"/>
    <w:lvl w:ilvl="0">
      <w:start w:val="1"/>
      <w:numFmt w:val="decimal"/>
      <w:lvlText w:val="%1."/>
      <w:lvlJc w:val="left"/>
      <w:pPr>
        <w:tabs>
          <w:tab w:val="num" w:pos="720"/>
        </w:tabs>
        <w:ind w:left="720" w:hanging="720"/>
      </w:pPr>
      <w:rPr>
        <w:caps w:val="0"/>
        <w:effect w:val="none"/>
      </w:rPr>
    </w:lvl>
    <w:lvl w:ilvl="1">
      <w:start w:val="1"/>
      <w:numFmt w:val="decimal"/>
      <w:lvlText w:val="%1.%2"/>
      <w:lvlJc w:val="left"/>
      <w:pPr>
        <w:tabs>
          <w:tab w:val="num" w:pos="720"/>
        </w:tabs>
        <w:ind w:left="720" w:hanging="720"/>
      </w:pPr>
      <w:rPr>
        <w:caps w:val="0"/>
        <w:effect w:val="none"/>
      </w:rPr>
    </w:lvl>
    <w:lvl w:ilvl="2">
      <w:start w:val="1"/>
      <w:numFmt w:val="decimal"/>
      <w:lvlText w:val="%1.%2.%3"/>
      <w:lvlJc w:val="left"/>
      <w:pPr>
        <w:tabs>
          <w:tab w:val="num" w:pos="1800"/>
        </w:tabs>
        <w:ind w:left="1800" w:hanging="1080"/>
      </w:pPr>
      <w:rPr>
        <w:caps w:val="0"/>
        <w:effect w:val="none"/>
      </w:rPr>
    </w:lvl>
    <w:lvl w:ilvl="3">
      <w:start w:val="1"/>
      <w:numFmt w:val="decimal"/>
      <w:lvlText w:val="%1.%2.%3.%4"/>
      <w:lvlJc w:val="left"/>
      <w:pPr>
        <w:tabs>
          <w:tab w:val="num" w:pos="2880"/>
        </w:tabs>
        <w:ind w:left="2880" w:hanging="1080"/>
      </w:pPr>
      <w:rPr>
        <w:caps w:val="0"/>
        <w:effect w:val="none"/>
      </w:rPr>
    </w:lvl>
    <w:lvl w:ilvl="4">
      <w:start w:val="1"/>
      <w:numFmt w:val="lowerLetter"/>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5" w15:restartNumberingAfterBreak="0">
    <w:nsid w:val="00DE00E5"/>
    <w:multiLevelType w:val="multilevel"/>
    <w:tmpl w:val="7292C104"/>
    <w:lvl w:ilvl="0">
      <w:start w:val="1"/>
      <w:numFmt w:val="decimal"/>
      <w:lvlText w:val="%1."/>
      <w:lvlJc w:val="left"/>
      <w:pPr>
        <w:ind w:left="0" w:firstLine="720"/>
      </w:pPr>
      <w:rPr>
        <w:color w:val="000000"/>
      </w:rPr>
    </w:lvl>
    <w:lvl w:ilvl="1">
      <w:start w:val="1"/>
      <w:numFmt w:val="lowerLetter"/>
      <w:lvlText w:val="(%2)"/>
      <w:lvlJc w:val="left"/>
      <w:pPr>
        <w:ind w:left="720" w:firstLine="720"/>
      </w:pPr>
      <w:rPr>
        <w:color w:val="000000"/>
      </w:rPr>
    </w:lvl>
    <w:lvl w:ilvl="2">
      <w:start w:val="1"/>
      <w:numFmt w:val="lowerRoman"/>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6" w15:restartNumberingAfterBreak="0">
    <w:nsid w:val="00FF73B1"/>
    <w:multiLevelType w:val="multilevel"/>
    <w:tmpl w:val="7292C104"/>
    <w:lvl w:ilvl="0">
      <w:start w:val="1"/>
      <w:numFmt w:val="decimal"/>
      <w:lvlText w:val="%1."/>
      <w:lvlJc w:val="left"/>
      <w:pPr>
        <w:ind w:left="0" w:firstLine="720"/>
      </w:pPr>
      <w:rPr>
        <w:color w:val="000000"/>
      </w:rPr>
    </w:lvl>
    <w:lvl w:ilvl="1">
      <w:start w:val="1"/>
      <w:numFmt w:val="lowerLetter"/>
      <w:lvlText w:val="(%2)"/>
      <w:lvlJc w:val="left"/>
      <w:pPr>
        <w:ind w:left="720" w:firstLine="720"/>
      </w:pPr>
      <w:rPr>
        <w:color w:val="000000"/>
      </w:rPr>
    </w:lvl>
    <w:lvl w:ilvl="2">
      <w:start w:val="1"/>
      <w:numFmt w:val="lowerRoman"/>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7" w15:restartNumberingAfterBreak="0">
    <w:nsid w:val="01136EA3"/>
    <w:multiLevelType w:val="multilevel"/>
    <w:tmpl w:val="5AFE3D60"/>
    <w:lvl w:ilvl="0">
      <w:start w:val="1"/>
      <w:numFmt w:val="decimal"/>
      <w:pStyle w:val="Recitals"/>
      <w:lvlText w:val="%1."/>
      <w:lvlJc w:val="left"/>
      <w:pPr>
        <w:ind w:left="0" w:firstLine="720"/>
      </w:pPr>
      <w:rPr>
        <w:color w:val="000000"/>
      </w:rPr>
    </w:lvl>
    <w:lvl w:ilvl="1">
      <w:start w:val="1"/>
      <w:numFmt w:val="lowerLetter"/>
      <w:lvlText w:val="(%2)"/>
      <w:lvlJc w:val="left"/>
      <w:pPr>
        <w:ind w:left="720" w:firstLine="720"/>
      </w:pPr>
      <w:rPr>
        <w:color w:val="000000"/>
      </w:rPr>
    </w:lvl>
    <w:lvl w:ilvl="2">
      <w:start w:val="1"/>
      <w:numFmt w:val="lowerRoman"/>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8" w15:restartNumberingAfterBreak="0">
    <w:nsid w:val="02774E20"/>
    <w:multiLevelType w:val="multilevel"/>
    <w:tmpl w:val="FC5626AC"/>
    <w:styleLink w:val="CurrentList3"/>
    <w:lvl w:ilvl="0">
      <w:start w:val="1"/>
      <w:numFmt w:val="decimal"/>
      <w:lvlText w:val="%1."/>
      <w:lvlJc w:val="left"/>
      <w:pPr>
        <w:tabs>
          <w:tab w:val="num" w:pos="720"/>
        </w:tabs>
        <w:ind w:left="720" w:hanging="720"/>
      </w:pPr>
      <w:rPr>
        <w:rFonts w:hint="default"/>
        <w:color w:val="auto"/>
      </w:rPr>
    </w:lvl>
    <w:lvl w:ilvl="1">
      <w:start w:val="1"/>
      <w:numFmt w:val="decimal"/>
      <w:lvlText w:val="%1.%2"/>
      <w:lvlJc w:val="left"/>
      <w:pPr>
        <w:ind w:left="720" w:hanging="720"/>
      </w:pPr>
      <w:rPr>
        <w:rFonts w:hint="default"/>
      </w:rPr>
    </w:lvl>
    <w:lvl w:ilvl="2">
      <w:start w:val="1"/>
      <w:numFmt w:val="decimal"/>
      <w:lvlText w:val="%1.%2.%3"/>
      <w:lvlJc w:val="left"/>
      <w:pPr>
        <w:tabs>
          <w:tab w:val="num" w:pos="1800"/>
        </w:tabs>
        <w:ind w:left="1800" w:hanging="1080"/>
      </w:pPr>
      <w:rPr>
        <w:rFonts w:hint="default"/>
      </w:rPr>
    </w:lvl>
    <w:lvl w:ilvl="3">
      <w:start w:val="1"/>
      <w:numFmt w:val="lowerLetter"/>
      <w:lvlText w:val="(%4)"/>
      <w:lvlJc w:val="left"/>
      <w:pPr>
        <w:tabs>
          <w:tab w:val="num" w:pos="2520"/>
        </w:tabs>
        <w:ind w:left="252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02D89BBD"/>
    <w:multiLevelType w:val="multilevel"/>
    <w:tmpl w:val="A3B62992"/>
    <w:styleLink w:val="Appendix"/>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03" w:hanging="1083"/>
      </w:pPr>
      <w:rPr>
        <w:rFonts w:hint="default"/>
      </w:rPr>
    </w:lvl>
    <w:lvl w:ilvl="3">
      <w:start w:val="1"/>
      <w:numFmt w:val="lowerLetter"/>
      <w:lvlText w:val="(%4)"/>
      <w:lvlJc w:val="left"/>
      <w:pPr>
        <w:ind w:left="1803" w:hanging="1083"/>
      </w:pPr>
      <w:rPr>
        <w:rFonts w:hint="default"/>
      </w:rPr>
    </w:lvl>
    <w:lvl w:ilvl="4">
      <w:start w:val="1"/>
      <w:numFmt w:val="lowerRoman"/>
      <w:lvlText w:val="(%5)"/>
      <w:lvlJc w:val="left"/>
      <w:pPr>
        <w:tabs>
          <w:tab w:val="num" w:pos="1803"/>
        </w:tabs>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10" w15:restartNumberingAfterBreak="0">
    <w:nsid w:val="0329717F"/>
    <w:multiLevelType w:val="multilevel"/>
    <w:tmpl w:val="7292C104"/>
    <w:lvl w:ilvl="0">
      <w:start w:val="1"/>
      <w:numFmt w:val="decimal"/>
      <w:lvlText w:val="%1."/>
      <w:lvlJc w:val="left"/>
      <w:pPr>
        <w:ind w:left="0" w:firstLine="720"/>
      </w:pPr>
      <w:rPr>
        <w:color w:val="000000"/>
      </w:rPr>
    </w:lvl>
    <w:lvl w:ilvl="1">
      <w:start w:val="1"/>
      <w:numFmt w:val="lowerLetter"/>
      <w:lvlText w:val="(%2)"/>
      <w:lvlJc w:val="left"/>
      <w:pPr>
        <w:ind w:left="720" w:firstLine="720"/>
      </w:pPr>
      <w:rPr>
        <w:color w:val="000000"/>
      </w:rPr>
    </w:lvl>
    <w:lvl w:ilvl="2">
      <w:start w:val="1"/>
      <w:numFmt w:val="lowerRoman"/>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11" w15:restartNumberingAfterBreak="0">
    <w:nsid w:val="04502A12"/>
    <w:multiLevelType w:val="multilevel"/>
    <w:tmpl w:val="40A68C3E"/>
    <w:lvl w:ilvl="0">
      <w:start w:val="1"/>
      <w:numFmt w:val="decimal"/>
      <w:pStyle w:val="Level1"/>
      <w:lvlText w:val="%1."/>
      <w:lvlJc w:val="left"/>
      <w:pPr>
        <w:ind w:left="0" w:firstLine="720"/>
      </w:pPr>
      <w:rPr>
        <w:color w:val="000000"/>
      </w:rPr>
    </w:lvl>
    <w:lvl w:ilvl="1">
      <w:start w:val="1"/>
      <w:numFmt w:val="lowerLetter"/>
      <w:pStyle w:val="Level2"/>
      <w:lvlText w:val="(%2)"/>
      <w:lvlJc w:val="left"/>
      <w:pPr>
        <w:ind w:left="720" w:firstLine="720"/>
      </w:pPr>
      <w:rPr>
        <w:color w:val="000000"/>
      </w:rPr>
    </w:lvl>
    <w:lvl w:ilvl="2">
      <w:start w:val="1"/>
      <w:numFmt w:val="lowerRoman"/>
      <w:pStyle w:val="Level3"/>
      <w:lvlText w:val="(%3)"/>
      <w:lvlJc w:val="left"/>
      <w:pPr>
        <w:ind w:left="1440" w:firstLine="720"/>
      </w:pPr>
      <w:rPr>
        <w:color w:val="000000"/>
      </w:rPr>
    </w:lvl>
    <w:lvl w:ilvl="3">
      <w:start w:val="1"/>
      <w:numFmt w:val="upperLetter"/>
      <w:pStyle w:val="Level4"/>
      <w:lvlText w:val="(%4)"/>
      <w:lvlJc w:val="left"/>
      <w:pPr>
        <w:ind w:left="2160" w:firstLine="720"/>
      </w:pPr>
    </w:lvl>
    <w:lvl w:ilvl="4">
      <w:start w:val="1"/>
      <w:numFmt w:val="decimal"/>
      <w:pStyle w:val="Level5"/>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12" w15:restartNumberingAfterBreak="0">
    <w:nsid w:val="063F54A1"/>
    <w:multiLevelType w:val="multilevel"/>
    <w:tmpl w:val="DE7A839A"/>
    <w:lvl w:ilvl="0">
      <w:start w:val="1"/>
      <w:numFmt w:val="decimal"/>
      <w:pStyle w:val="GPSL1CLAUSEHEADING"/>
      <w:lvlText w:val="%1."/>
      <w:lvlJc w:val="left"/>
      <w:pPr>
        <w:ind w:left="0" w:firstLine="720"/>
      </w:pPr>
      <w:rPr>
        <w:color w:val="000000"/>
      </w:rPr>
    </w:lvl>
    <w:lvl w:ilvl="1">
      <w:start w:val="1"/>
      <w:numFmt w:val="lowerLetter"/>
      <w:pStyle w:val="GPSL2numberedclause"/>
      <w:lvlText w:val="(%2)"/>
      <w:lvlJc w:val="left"/>
      <w:pPr>
        <w:ind w:left="720" w:firstLine="720"/>
      </w:pPr>
      <w:rPr>
        <w:color w:val="000000"/>
      </w:rPr>
    </w:lvl>
    <w:lvl w:ilvl="2">
      <w:start w:val="1"/>
      <w:numFmt w:val="lowerRoman"/>
      <w:pStyle w:val="GPSL3numberedclause"/>
      <w:lvlText w:val="(%3)"/>
      <w:lvlJc w:val="left"/>
      <w:pPr>
        <w:ind w:left="1440" w:firstLine="720"/>
      </w:pPr>
      <w:rPr>
        <w:color w:val="000000"/>
      </w:rPr>
    </w:lvl>
    <w:lvl w:ilvl="3">
      <w:start w:val="1"/>
      <w:numFmt w:val="upperLetter"/>
      <w:pStyle w:val="GPSL4numberedclause"/>
      <w:lvlText w:val="(%4)"/>
      <w:lvlJc w:val="left"/>
      <w:pPr>
        <w:ind w:left="2160" w:firstLine="720"/>
      </w:pPr>
    </w:lvl>
    <w:lvl w:ilvl="4">
      <w:start w:val="1"/>
      <w:numFmt w:val="decimal"/>
      <w:pStyle w:val="GPSL5numberedclause"/>
      <w:lvlText w:val=""/>
      <w:lvlJc w:val="left"/>
      <w:pPr>
        <w:ind w:left="4320" w:hanging="720"/>
      </w:pPr>
      <w:rPr>
        <w:color w:val="000000"/>
      </w:rPr>
    </w:lvl>
    <w:lvl w:ilvl="5">
      <w:start w:val="1"/>
      <w:numFmt w:val="decimal"/>
      <w:pStyle w:val="GPSL6numbered"/>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13" w15:restartNumberingAfterBreak="0">
    <w:nsid w:val="070BAAE5"/>
    <w:multiLevelType w:val="multilevel"/>
    <w:tmpl w:val="0F745380"/>
    <w:styleLink w:val="Bullets"/>
    <w:lvl w:ilvl="0">
      <w:start w:val="1"/>
      <w:numFmt w:val="bullet"/>
      <w:lvlText w:val=""/>
      <w:lvlJc w:val="left"/>
      <w:pPr>
        <w:tabs>
          <w:tab w:val="num" w:pos="720"/>
        </w:tabs>
        <w:ind w:left="720" w:hanging="720"/>
      </w:pPr>
      <w:rPr>
        <w:rFonts w:ascii="Symbol" w:hAnsi="Symbol" w:hint="default"/>
        <w:color w:val="auto"/>
      </w:rPr>
    </w:lvl>
    <w:lvl w:ilvl="1">
      <w:start w:val="1"/>
      <w:numFmt w:val="bullet"/>
      <w:lvlText w:val=""/>
      <w:lvlJc w:val="left"/>
      <w:pPr>
        <w:tabs>
          <w:tab w:val="num" w:pos="720"/>
        </w:tabs>
        <w:ind w:left="1803" w:hanging="1083"/>
      </w:pPr>
      <w:rPr>
        <w:rFonts w:ascii="Symbol" w:hAnsi="Symbol" w:hint="default"/>
        <w:color w:val="auto"/>
      </w:rPr>
    </w:lvl>
    <w:lvl w:ilvl="2">
      <w:start w:val="1"/>
      <w:numFmt w:val="none"/>
      <w:suff w:val="nothing"/>
      <w:lvlText w:val=""/>
      <w:lvlJc w:val="left"/>
      <w:pPr>
        <w:ind w:left="1803" w:hanging="1083"/>
      </w:pPr>
      <w:rPr>
        <w:rFonts w:hint="default"/>
      </w:rPr>
    </w:lvl>
    <w:lvl w:ilvl="3">
      <w:start w:val="1"/>
      <w:numFmt w:val="none"/>
      <w:suff w:val="nothing"/>
      <w:lvlText w:val=""/>
      <w:lvlJc w:val="left"/>
      <w:pPr>
        <w:ind w:left="1803" w:hanging="1083"/>
      </w:pPr>
      <w:rPr>
        <w:rFonts w:hint="default"/>
      </w:rPr>
    </w:lvl>
    <w:lvl w:ilvl="4">
      <w:start w:val="1"/>
      <w:numFmt w:val="none"/>
      <w:suff w:val="nothing"/>
      <w:lvlText w:val=""/>
      <w:lvlJc w:val="left"/>
      <w:pPr>
        <w:ind w:left="1803" w:hanging="1083"/>
      </w:pPr>
      <w:rPr>
        <w:rFonts w:hint="default"/>
      </w:rPr>
    </w:lvl>
    <w:lvl w:ilvl="5">
      <w:start w:val="1"/>
      <w:numFmt w:val="none"/>
      <w:suff w:val="nothing"/>
      <w:lvlText w:val=""/>
      <w:lvlJc w:val="left"/>
      <w:pPr>
        <w:ind w:left="1803" w:hanging="1083"/>
      </w:pPr>
      <w:rPr>
        <w:rFonts w:hint="default"/>
      </w:rPr>
    </w:lvl>
    <w:lvl w:ilvl="6">
      <w:start w:val="1"/>
      <w:numFmt w:val="none"/>
      <w:suff w:val="nothing"/>
      <w:lvlText w:val=""/>
      <w:lvlJc w:val="left"/>
      <w:pPr>
        <w:ind w:left="1803" w:hanging="1083"/>
      </w:pPr>
      <w:rPr>
        <w:rFonts w:hint="default"/>
      </w:rPr>
    </w:lvl>
    <w:lvl w:ilvl="7">
      <w:start w:val="1"/>
      <w:numFmt w:val="none"/>
      <w:suff w:val="nothing"/>
      <w:lvlText w:val=""/>
      <w:lvlJc w:val="left"/>
      <w:pPr>
        <w:ind w:left="1803" w:hanging="1083"/>
      </w:pPr>
      <w:rPr>
        <w:rFonts w:hint="default"/>
      </w:rPr>
    </w:lvl>
    <w:lvl w:ilvl="8">
      <w:start w:val="1"/>
      <w:numFmt w:val="none"/>
      <w:suff w:val="nothing"/>
      <w:lvlText w:val=""/>
      <w:lvlJc w:val="left"/>
      <w:pPr>
        <w:ind w:left="1803" w:hanging="1083"/>
      </w:pPr>
      <w:rPr>
        <w:rFonts w:hint="default"/>
      </w:rPr>
    </w:lvl>
  </w:abstractNum>
  <w:abstractNum w:abstractNumId="14" w15:restartNumberingAfterBreak="0">
    <w:nsid w:val="071D254E"/>
    <w:multiLevelType w:val="multilevel"/>
    <w:tmpl w:val="7292C104"/>
    <w:lvl w:ilvl="0">
      <w:start w:val="1"/>
      <w:numFmt w:val="decimal"/>
      <w:lvlText w:val="%1."/>
      <w:lvlJc w:val="left"/>
      <w:pPr>
        <w:ind w:left="0" w:firstLine="720"/>
      </w:pPr>
      <w:rPr>
        <w:color w:val="000000"/>
      </w:rPr>
    </w:lvl>
    <w:lvl w:ilvl="1">
      <w:start w:val="1"/>
      <w:numFmt w:val="lowerLetter"/>
      <w:lvlText w:val="(%2)"/>
      <w:lvlJc w:val="left"/>
      <w:pPr>
        <w:ind w:left="720" w:firstLine="720"/>
      </w:pPr>
      <w:rPr>
        <w:color w:val="000000"/>
      </w:rPr>
    </w:lvl>
    <w:lvl w:ilvl="2">
      <w:start w:val="1"/>
      <w:numFmt w:val="lowerRoman"/>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15" w15:restartNumberingAfterBreak="0">
    <w:nsid w:val="0C4329A2"/>
    <w:multiLevelType w:val="multilevel"/>
    <w:tmpl w:val="7292C104"/>
    <w:lvl w:ilvl="0">
      <w:start w:val="1"/>
      <w:numFmt w:val="decimal"/>
      <w:lvlText w:val="%1."/>
      <w:lvlJc w:val="left"/>
      <w:pPr>
        <w:ind w:left="0" w:firstLine="720"/>
      </w:pPr>
      <w:rPr>
        <w:color w:val="000000"/>
      </w:rPr>
    </w:lvl>
    <w:lvl w:ilvl="1">
      <w:start w:val="1"/>
      <w:numFmt w:val="lowerLetter"/>
      <w:lvlText w:val="(%2)"/>
      <w:lvlJc w:val="left"/>
      <w:pPr>
        <w:ind w:left="720" w:firstLine="720"/>
      </w:pPr>
      <w:rPr>
        <w:color w:val="000000"/>
      </w:rPr>
    </w:lvl>
    <w:lvl w:ilvl="2">
      <w:start w:val="1"/>
      <w:numFmt w:val="lowerRoman"/>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16" w15:restartNumberingAfterBreak="0">
    <w:nsid w:val="0D411667"/>
    <w:multiLevelType w:val="hybridMultilevel"/>
    <w:tmpl w:val="4F328094"/>
    <w:lvl w:ilvl="0" w:tplc="E33C14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0D5E1308"/>
    <w:multiLevelType w:val="multilevel"/>
    <w:tmpl w:val="7292C104"/>
    <w:lvl w:ilvl="0">
      <w:start w:val="1"/>
      <w:numFmt w:val="decimal"/>
      <w:lvlText w:val="%1."/>
      <w:lvlJc w:val="left"/>
      <w:pPr>
        <w:ind w:left="0" w:firstLine="720"/>
      </w:pPr>
      <w:rPr>
        <w:color w:val="000000"/>
      </w:rPr>
    </w:lvl>
    <w:lvl w:ilvl="1">
      <w:start w:val="1"/>
      <w:numFmt w:val="lowerLetter"/>
      <w:lvlText w:val="(%2)"/>
      <w:lvlJc w:val="left"/>
      <w:pPr>
        <w:ind w:left="720" w:firstLine="720"/>
      </w:pPr>
      <w:rPr>
        <w:color w:val="000000"/>
      </w:rPr>
    </w:lvl>
    <w:lvl w:ilvl="2">
      <w:start w:val="1"/>
      <w:numFmt w:val="lowerRoman"/>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18" w15:restartNumberingAfterBreak="0">
    <w:nsid w:val="0DB9257A"/>
    <w:multiLevelType w:val="multilevel"/>
    <w:tmpl w:val="7292C104"/>
    <w:lvl w:ilvl="0">
      <w:start w:val="1"/>
      <w:numFmt w:val="decimal"/>
      <w:lvlText w:val="%1."/>
      <w:lvlJc w:val="left"/>
      <w:pPr>
        <w:ind w:left="0" w:firstLine="720"/>
      </w:pPr>
      <w:rPr>
        <w:color w:val="000000"/>
      </w:rPr>
    </w:lvl>
    <w:lvl w:ilvl="1">
      <w:start w:val="1"/>
      <w:numFmt w:val="lowerLetter"/>
      <w:lvlText w:val="(%2)"/>
      <w:lvlJc w:val="left"/>
      <w:pPr>
        <w:ind w:left="720" w:firstLine="720"/>
      </w:pPr>
      <w:rPr>
        <w:color w:val="000000"/>
      </w:rPr>
    </w:lvl>
    <w:lvl w:ilvl="2">
      <w:start w:val="1"/>
      <w:numFmt w:val="lowerRoman"/>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19" w15:restartNumberingAfterBreak="0">
    <w:nsid w:val="0EF15835"/>
    <w:multiLevelType w:val="multilevel"/>
    <w:tmpl w:val="7292C104"/>
    <w:lvl w:ilvl="0">
      <w:start w:val="1"/>
      <w:numFmt w:val="decimal"/>
      <w:lvlText w:val="%1."/>
      <w:lvlJc w:val="left"/>
      <w:pPr>
        <w:ind w:left="0" w:firstLine="720"/>
      </w:pPr>
      <w:rPr>
        <w:color w:val="000000"/>
      </w:rPr>
    </w:lvl>
    <w:lvl w:ilvl="1">
      <w:start w:val="1"/>
      <w:numFmt w:val="lowerLetter"/>
      <w:lvlText w:val="(%2)"/>
      <w:lvlJc w:val="left"/>
      <w:pPr>
        <w:ind w:left="720" w:firstLine="720"/>
      </w:pPr>
      <w:rPr>
        <w:color w:val="000000"/>
      </w:rPr>
    </w:lvl>
    <w:lvl w:ilvl="2">
      <w:start w:val="1"/>
      <w:numFmt w:val="lowerRoman"/>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20" w15:restartNumberingAfterBreak="0">
    <w:nsid w:val="108857AB"/>
    <w:multiLevelType w:val="multilevel"/>
    <w:tmpl w:val="1682DEBC"/>
    <w:lvl w:ilvl="0">
      <w:start w:val="1"/>
      <w:numFmt w:val="decimal"/>
      <w:lvlText w:val="%1."/>
      <w:lvlJc w:val="left"/>
      <w:pPr>
        <w:ind w:left="0" w:firstLine="720"/>
      </w:pPr>
      <w:rPr>
        <w:color w:val="000000"/>
      </w:rPr>
    </w:lvl>
    <w:lvl w:ilvl="1">
      <w:start w:val="1"/>
      <w:numFmt w:val="lowerLetter"/>
      <w:lvlText w:val="(%2)"/>
      <w:lvlJc w:val="left"/>
      <w:pPr>
        <w:ind w:left="720" w:firstLine="720"/>
      </w:pPr>
      <w:rPr>
        <w:color w:val="000000"/>
      </w:rPr>
    </w:lvl>
    <w:lvl w:ilvl="2">
      <w:start w:val="1"/>
      <w:numFmt w:val="lowerRoman"/>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21" w15:restartNumberingAfterBreak="0">
    <w:nsid w:val="12BB3707"/>
    <w:multiLevelType w:val="multilevel"/>
    <w:tmpl w:val="8CD6678A"/>
    <w:lvl w:ilvl="0">
      <w:start w:val="1"/>
      <w:numFmt w:val="decimal"/>
      <w:lvlText w:val="%1."/>
      <w:lvlJc w:val="left"/>
      <w:pPr>
        <w:ind w:left="0" w:firstLine="720"/>
      </w:pPr>
      <w:rPr>
        <w:color w:val="000000"/>
      </w:rPr>
    </w:lvl>
    <w:lvl w:ilvl="1">
      <w:start w:val="1"/>
      <w:numFmt w:val="lowerLetter"/>
      <w:lvlText w:val="(%2)"/>
      <w:lvlJc w:val="left"/>
      <w:pPr>
        <w:ind w:left="720" w:firstLine="720"/>
      </w:pPr>
      <w:rPr>
        <w:color w:val="000000"/>
      </w:rPr>
    </w:lvl>
    <w:lvl w:ilvl="2">
      <w:start w:val="1"/>
      <w:numFmt w:val="lowerRoman"/>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22" w15:restartNumberingAfterBreak="0">
    <w:nsid w:val="13D629EC"/>
    <w:multiLevelType w:val="multilevel"/>
    <w:tmpl w:val="7292C104"/>
    <w:lvl w:ilvl="0">
      <w:start w:val="1"/>
      <w:numFmt w:val="decimal"/>
      <w:lvlText w:val="%1."/>
      <w:lvlJc w:val="left"/>
      <w:pPr>
        <w:ind w:left="0" w:firstLine="720"/>
      </w:pPr>
      <w:rPr>
        <w:color w:val="000000"/>
      </w:rPr>
    </w:lvl>
    <w:lvl w:ilvl="1">
      <w:start w:val="1"/>
      <w:numFmt w:val="lowerLetter"/>
      <w:lvlText w:val="(%2)"/>
      <w:lvlJc w:val="left"/>
      <w:pPr>
        <w:ind w:left="720" w:firstLine="720"/>
      </w:pPr>
      <w:rPr>
        <w:color w:val="000000"/>
      </w:rPr>
    </w:lvl>
    <w:lvl w:ilvl="2">
      <w:start w:val="1"/>
      <w:numFmt w:val="lowerRoman"/>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23" w15:restartNumberingAfterBreak="0">
    <w:nsid w:val="1A380133"/>
    <w:multiLevelType w:val="multilevel"/>
    <w:tmpl w:val="7714B104"/>
    <w:lvl w:ilvl="0">
      <w:start w:val="1"/>
      <w:numFmt w:val="decimal"/>
      <w:lvlText w:val="%1."/>
      <w:lvlJc w:val="left"/>
      <w:pPr>
        <w:ind w:left="0" w:firstLine="720"/>
      </w:pPr>
      <w:rPr>
        <w:color w:val="000000"/>
      </w:rPr>
    </w:lvl>
    <w:lvl w:ilvl="1">
      <w:start w:val="1"/>
      <w:numFmt w:val="lowerLetter"/>
      <w:lvlText w:val="(%2)"/>
      <w:lvlJc w:val="left"/>
      <w:pPr>
        <w:ind w:left="720" w:firstLine="720"/>
      </w:pPr>
      <w:rPr>
        <w:color w:val="000000"/>
      </w:rPr>
    </w:lvl>
    <w:lvl w:ilvl="2">
      <w:start w:val="1"/>
      <w:numFmt w:val="lowerRoman"/>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24" w15:restartNumberingAfterBreak="0">
    <w:nsid w:val="1AA27F3D"/>
    <w:multiLevelType w:val="multilevel"/>
    <w:tmpl w:val="5B788CB8"/>
    <w:name w:val="Definition Numbering List"/>
    <w:lvl w:ilvl="0">
      <w:start w:val="1"/>
      <w:numFmt w:val="none"/>
      <w:suff w:val="nothing"/>
      <w:lvlText w:val=""/>
      <w:lvlJc w:val="left"/>
      <w:pPr>
        <w:tabs>
          <w:tab w:val="num" w:pos="720"/>
        </w:tabs>
        <w:ind w:left="720" w:firstLine="0"/>
      </w:pPr>
      <w:rPr>
        <w:caps w:val="0"/>
        <w:effect w:val="none"/>
      </w:rPr>
    </w:lvl>
    <w:lvl w:ilvl="1">
      <w:start w:val="1"/>
      <w:numFmt w:val="none"/>
      <w:lvlRestart w:val="0"/>
      <w:suff w:val="nothing"/>
      <w:lvlText w:val=""/>
      <w:lvlJc w:val="left"/>
      <w:pPr>
        <w:tabs>
          <w:tab w:val="num" w:pos="720"/>
        </w:tabs>
        <w:ind w:left="720" w:firstLine="0"/>
      </w:pPr>
      <w:rPr>
        <w:caps w:val="0"/>
        <w:effect w:val="none"/>
      </w:rPr>
    </w:lvl>
    <w:lvl w:ilvl="2">
      <w:start w:val="1"/>
      <w:numFmt w:val="lowerLetter"/>
      <w:lvlText w:val="(%3)"/>
      <w:lvlJc w:val="left"/>
      <w:pPr>
        <w:tabs>
          <w:tab w:val="num" w:pos="1800"/>
        </w:tabs>
        <w:ind w:left="1800" w:hanging="1080"/>
      </w:pPr>
      <w:rPr>
        <w:caps w:val="0"/>
        <w:effect w:val="none"/>
      </w:rPr>
    </w:lvl>
    <w:lvl w:ilvl="3">
      <w:start w:val="1"/>
      <w:numFmt w:val="lowerRoman"/>
      <w:lvlText w:val="(%4)"/>
      <w:lvlJc w:val="left"/>
      <w:pPr>
        <w:tabs>
          <w:tab w:val="num" w:pos="2880"/>
        </w:tabs>
        <w:ind w:left="2880" w:hanging="1080"/>
      </w:pPr>
      <w:rPr>
        <w:caps w:val="0"/>
        <w:effect w:val="none"/>
      </w:rPr>
    </w:lvl>
    <w:lvl w:ilvl="4">
      <w:start w:val="1"/>
      <w:numFmt w:val="upperLetter"/>
      <w:lvlText w:val="(%5)"/>
      <w:lvlJc w:val="left"/>
      <w:pPr>
        <w:tabs>
          <w:tab w:val="num" w:pos="3600"/>
        </w:tabs>
        <w:ind w:left="3600" w:hanging="72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lvlText w:val=""/>
      <w:lvlJc w:val="left"/>
      <w:pPr>
        <w:tabs>
          <w:tab w:val="num" w:pos="2880"/>
        </w:tabs>
        <w:ind w:left="2880" w:hanging="1080"/>
      </w:pPr>
      <w:rPr>
        <w:caps w:val="0"/>
        <w:effect w:val="none"/>
      </w:rPr>
    </w:lvl>
    <w:lvl w:ilvl="8">
      <w:start w:val="1"/>
      <w:numFmt w:val="none"/>
      <w:lvlText w:val=""/>
      <w:lvlJc w:val="left"/>
      <w:pPr>
        <w:tabs>
          <w:tab w:val="num" w:pos="2880"/>
        </w:tabs>
        <w:ind w:left="2880" w:hanging="1080"/>
      </w:pPr>
      <w:rPr>
        <w:caps w:val="0"/>
        <w:effect w:val="none"/>
      </w:rPr>
    </w:lvl>
  </w:abstractNum>
  <w:abstractNum w:abstractNumId="25" w15:restartNumberingAfterBreak="0">
    <w:nsid w:val="1B3275B4"/>
    <w:multiLevelType w:val="multilevel"/>
    <w:tmpl w:val="7292C104"/>
    <w:lvl w:ilvl="0">
      <w:start w:val="1"/>
      <w:numFmt w:val="decimal"/>
      <w:lvlText w:val="%1."/>
      <w:lvlJc w:val="left"/>
      <w:pPr>
        <w:ind w:left="0" w:firstLine="720"/>
      </w:pPr>
      <w:rPr>
        <w:color w:val="000000"/>
      </w:rPr>
    </w:lvl>
    <w:lvl w:ilvl="1">
      <w:start w:val="1"/>
      <w:numFmt w:val="lowerLetter"/>
      <w:lvlText w:val="(%2)"/>
      <w:lvlJc w:val="left"/>
      <w:pPr>
        <w:ind w:left="720" w:firstLine="720"/>
      </w:pPr>
      <w:rPr>
        <w:color w:val="000000"/>
      </w:rPr>
    </w:lvl>
    <w:lvl w:ilvl="2">
      <w:start w:val="1"/>
      <w:numFmt w:val="lowerRoman"/>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26" w15:restartNumberingAfterBreak="0">
    <w:nsid w:val="1BF076C2"/>
    <w:multiLevelType w:val="multilevel"/>
    <w:tmpl w:val="7292C104"/>
    <w:lvl w:ilvl="0">
      <w:start w:val="1"/>
      <w:numFmt w:val="decimal"/>
      <w:lvlText w:val="%1."/>
      <w:lvlJc w:val="left"/>
      <w:pPr>
        <w:ind w:left="0" w:firstLine="720"/>
      </w:pPr>
      <w:rPr>
        <w:color w:val="000000"/>
      </w:rPr>
    </w:lvl>
    <w:lvl w:ilvl="1">
      <w:start w:val="1"/>
      <w:numFmt w:val="lowerLetter"/>
      <w:lvlText w:val="(%2)"/>
      <w:lvlJc w:val="left"/>
      <w:pPr>
        <w:ind w:left="720" w:firstLine="720"/>
      </w:pPr>
      <w:rPr>
        <w:color w:val="000000"/>
      </w:rPr>
    </w:lvl>
    <w:lvl w:ilvl="2">
      <w:start w:val="1"/>
      <w:numFmt w:val="lowerRoman"/>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27" w15:restartNumberingAfterBreak="0">
    <w:nsid w:val="1C7E33A2"/>
    <w:multiLevelType w:val="multilevel"/>
    <w:tmpl w:val="7292C104"/>
    <w:lvl w:ilvl="0">
      <w:start w:val="1"/>
      <w:numFmt w:val="decimal"/>
      <w:lvlText w:val="%1."/>
      <w:lvlJc w:val="left"/>
      <w:pPr>
        <w:ind w:left="0" w:firstLine="720"/>
      </w:pPr>
      <w:rPr>
        <w:color w:val="000000"/>
      </w:rPr>
    </w:lvl>
    <w:lvl w:ilvl="1">
      <w:start w:val="1"/>
      <w:numFmt w:val="lowerLetter"/>
      <w:lvlText w:val="(%2)"/>
      <w:lvlJc w:val="left"/>
      <w:pPr>
        <w:ind w:left="720" w:firstLine="720"/>
      </w:pPr>
      <w:rPr>
        <w:color w:val="000000"/>
      </w:rPr>
    </w:lvl>
    <w:lvl w:ilvl="2">
      <w:start w:val="1"/>
      <w:numFmt w:val="lowerRoman"/>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28" w15:restartNumberingAfterBreak="0">
    <w:nsid w:val="1DC423B3"/>
    <w:multiLevelType w:val="multilevel"/>
    <w:tmpl w:val="9A983724"/>
    <w:lvl w:ilvl="0">
      <w:start w:val="1"/>
      <w:numFmt w:val="decimal"/>
      <w:pStyle w:val="SchHead"/>
      <w:lvlText w:val="%1."/>
      <w:lvlJc w:val="left"/>
      <w:pPr>
        <w:ind w:left="0" w:firstLine="720"/>
      </w:pPr>
      <w:rPr>
        <w:color w:val="000000"/>
      </w:rPr>
    </w:lvl>
    <w:lvl w:ilvl="1">
      <w:start w:val="1"/>
      <w:numFmt w:val="lowerLetter"/>
      <w:pStyle w:val="SchPart"/>
      <w:lvlText w:val="(%2)"/>
      <w:lvlJc w:val="left"/>
      <w:pPr>
        <w:ind w:left="720" w:firstLine="720"/>
      </w:pPr>
      <w:rPr>
        <w:color w:val="000000"/>
      </w:rPr>
    </w:lvl>
    <w:lvl w:ilvl="2">
      <w:start w:val="1"/>
      <w:numFmt w:val="lowerRoman"/>
      <w:pStyle w:val="SchSection"/>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29" w15:restartNumberingAfterBreak="0">
    <w:nsid w:val="1EC06D56"/>
    <w:multiLevelType w:val="multilevel"/>
    <w:tmpl w:val="7292C104"/>
    <w:lvl w:ilvl="0">
      <w:start w:val="1"/>
      <w:numFmt w:val="decimal"/>
      <w:lvlText w:val="%1."/>
      <w:lvlJc w:val="left"/>
      <w:pPr>
        <w:ind w:left="0" w:firstLine="720"/>
      </w:pPr>
      <w:rPr>
        <w:color w:val="000000"/>
      </w:rPr>
    </w:lvl>
    <w:lvl w:ilvl="1">
      <w:start w:val="1"/>
      <w:numFmt w:val="lowerLetter"/>
      <w:lvlText w:val="(%2)"/>
      <w:lvlJc w:val="left"/>
      <w:pPr>
        <w:ind w:left="720" w:firstLine="720"/>
      </w:pPr>
      <w:rPr>
        <w:color w:val="000000"/>
      </w:rPr>
    </w:lvl>
    <w:lvl w:ilvl="2">
      <w:start w:val="1"/>
      <w:numFmt w:val="lowerRoman"/>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30" w15:restartNumberingAfterBreak="0">
    <w:nsid w:val="1FB173D2"/>
    <w:multiLevelType w:val="multilevel"/>
    <w:tmpl w:val="7292C104"/>
    <w:lvl w:ilvl="0">
      <w:start w:val="1"/>
      <w:numFmt w:val="decimal"/>
      <w:lvlText w:val="%1."/>
      <w:lvlJc w:val="left"/>
      <w:pPr>
        <w:ind w:left="0" w:firstLine="720"/>
      </w:pPr>
      <w:rPr>
        <w:color w:val="000000"/>
      </w:rPr>
    </w:lvl>
    <w:lvl w:ilvl="1">
      <w:start w:val="1"/>
      <w:numFmt w:val="lowerLetter"/>
      <w:lvlText w:val="(%2)"/>
      <w:lvlJc w:val="left"/>
      <w:pPr>
        <w:ind w:left="720" w:firstLine="720"/>
      </w:pPr>
      <w:rPr>
        <w:color w:val="000000"/>
      </w:rPr>
    </w:lvl>
    <w:lvl w:ilvl="2">
      <w:start w:val="1"/>
      <w:numFmt w:val="lowerRoman"/>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31" w15:restartNumberingAfterBreak="0">
    <w:nsid w:val="2088424D"/>
    <w:multiLevelType w:val="multilevel"/>
    <w:tmpl w:val="14AC4A3E"/>
    <w:lvl w:ilvl="0">
      <w:start w:val="1"/>
      <w:numFmt w:val="decimal"/>
      <w:lvlText w:val="%1."/>
      <w:lvlJc w:val="left"/>
      <w:pPr>
        <w:ind w:left="0" w:firstLine="720"/>
      </w:pPr>
      <w:rPr>
        <w:color w:val="000000"/>
      </w:rPr>
    </w:lvl>
    <w:lvl w:ilvl="1">
      <w:start w:val="1"/>
      <w:numFmt w:val="lowerLetter"/>
      <w:lvlText w:val="(%2)"/>
      <w:lvlJc w:val="left"/>
      <w:pPr>
        <w:ind w:left="720" w:firstLine="720"/>
      </w:pPr>
      <w:rPr>
        <w:color w:val="000000"/>
      </w:rPr>
    </w:lvl>
    <w:lvl w:ilvl="2">
      <w:start w:val="1"/>
      <w:numFmt w:val="lowerRoman"/>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32" w15:restartNumberingAfterBreak="0">
    <w:nsid w:val="21BE33DF"/>
    <w:multiLevelType w:val="multilevel"/>
    <w:tmpl w:val="77E4F8EC"/>
    <w:lvl w:ilvl="0">
      <w:start w:val="1"/>
      <w:numFmt w:val="decimal"/>
      <w:lvlText w:val="%1."/>
      <w:lvlJc w:val="left"/>
      <w:pPr>
        <w:ind w:left="0" w:firstLine="720"/>
      </w:pPr>
      <w:rPr>
        <w:color w:val="000000"/>
      </w:rPr>
    </w:lvl>
    <w:lvl w:ilvl="1">
      <w:start w:val="1"/>
      <w:numFmt w:val="lowerLetter"/>
      <w:lvlText w:val="(%2)"/>
      <w:lvlJc w:val="left"/>
      <w:pPr>
        <w:ind w:left="720" w:firstLine="720"/>
      </w:pPr>
      <w:rPr>
        <w:color w:val="000000"/>
      </w:rPr>
    </w:lvl>
    <w:lvl w:ilvl="2">
      <w:start w:val="1"/>
      <w:numFmt w:val="lowerRoman"/>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33" w15:restartNumberingAfterBreak="0">
    <w:nsid w:val="230A6775"/>
    <w:multiLevelType w:val="multilevel"/>
    <w:tmpl w:val="8886E29E"/>
    <w:lvl w:ilvl="0">
      <w:start w:val="1"/>
      <w:numFmt w:val="decimal"/>
      <w:lvlText w:val="%1."/>
      <w:lvlJc w:val="left"/>
      <w:pPr>
        <w:ind w:left="0" w:firstLine="720"/>
      </w:pPr>
      <w:rPr>
        <w:color w:val="000000"/>
      </w:rPr>
    </w:lvl>
    <w:lvl w:ilvl="1">
      <w:start w:val="1"/>
      <w:numFmt w:val="lowerLetter"/>
      <w:lvlText w:val="(%2)"/>
      <w:lvlJc w:val="left"/>
      <w:pPr>
        <w:ind w:left="720" w:firstLine="720"/>
      </w:pPr>
      <w:rPr>
        <w:color w:val="000000"/>
      </w:rPr>
    </w:lvl>
    <w:lvl w:ilvl="2">
      <w:start w:val="1"/>
      <w:numFmt w:val="lowerRoman"/>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34" w15:restartNumberingAfterBreak="0">
    <w:nsid w:val="230C2EC6"/>
    <w:multiLevelType w:val="multilevel"/>
    <w:tmpl w:val="766C966C"/>
    <w:styleLink w:val="111111"/>
    <w:lvl w:ilvl="0">
      <w:start w:val="1"/>
      <w:numFmt w:val="decimal"/>
      <w:lvlText w:val="%1."/>
      <w:lvlJc w:val="left"/>
      <w:pPr>
        <w:tabs>
          <w:tab w:val="num" w:pos="720"/>
        </w:tabs>
        <w:ind w:left="720" w:hanging="720"/>
      </w:pPr>
      <w:rPr>
        <w:rFonts w:hint="default"/>
        <w:dstrike w:val="0"/>
        <w:snapToGrid/>
        <w:color w:val="auto"/>
        <w:w w:val="100"/>
        <w:kern w:val="28"/>
        <w:sz w:val="22"/>
        <w:szCs w:val="2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35" w15:restartNumberingAfterBreak="0">
    <w:nsid w:val="23231DDA"/>
    <w:multiLevelType w:val="multilevel"/>
    <w:tmpl w:val="7292C104"/>
    <w:lvl w:ilvl="0">
      <w:start w:val="1"/>
      <w:numFmt w:val="decimal"/>
      <w:lvlText w:val="%1."/>
      <w:lvlJc w:val="left"/>
      <w:pPr>
        <w:ind w:left="0" w:firstLine="720"/>
      </w:pPr>
      <w:rPr>
        <w:color w:val="000000"/>
      </w:rPr>
    </w:lvl>
    <w:lvl w:ilvl="1">
      <w:start w:val="1"/>
      <w:numFmt w:val="lowerLetter"/>
      <w:lvlText w:val="(%2)"/>
      <w:lvlJc w:val="left"/>
      <w:pPr>
        <w:ind w:left="720" w:firstLine="720"/>
      </w:pPr>
      <w:rPr>
        <w:color w:val="000000"/>
      </w:rPr>
    </w:lvl>
    <w:lvl w:ilvl="2">
      <w:start w:val="1"/>
      <w:numFmt w:val="lowerRoman"/>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36" w15:restartNumberingAfterBreak="0">
    <w:nsid w:val="25FA1479"/>
    <w:multiLevelType w:val="multilevel"/>
    <w:tmpl w:val="510CA900"/>
    <w:lvl w:ilvl="0">
      <w:start w:val="1"/>
      <w:numFmt w:val="decimal"/>
      <w:lvlText w:val="%1."/>
      <w:lvlJc w:val="left"/>
      <w:pPr>
        <w:ind w:left="0" w:firstLine="720"/>
      </w:pPr>
      <w:rPr>
        <w:color w:val="000000"/>
      </w:rPr>
    </w:lvl>
    <w:lvl w:ilvl="1">
      <w:start w:val="1"/>
      <w:numFmt w:val="lowerLetter"/>
      <w:lvlText w:val="(%2)"/>
      <w:lvlJc w:val="left"/>
      <w:pPr>
        <w:ind w:left="720" w:firstLine="720"/>
      </w:pPr>
      <w:rPr>
        <w:color w:val="000000"/>
      </w:rPr>
    </w:lvl>
    <w:lvl w:ilvl="2">
      <w:start w:val="1"/>
      <w:numFmt w:val="lowerRoman"/>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37" w15:restartNumberingAfterBreak="0">
    <w:nsid w:val="27063A99"/>
    <w:multiLevelType w:val="multilevel"/>
    <w:tmpl w:val="78CCC0B4"/>
    <w:lvl w:ilvl="0">
      <w:start w:val="1"/>
      <w:numFmt w:val="decimal"/>
      <w:pStyle w:val="ListNumber2"/>
      <w:lvlText w:val="%1."/>
      <w:lvlJc w:val="left"/>
      <w:pPr>
        <w:ind w:left="0" w:firstLine="720"/>
      </w:pPr>
      <w:rPr>
        <w:color w:val="000000"/>
      </w:rPr>
    </w:lvl>
    <w:lvl w:ilvl="1">
      <w:start w:val="1"/>
      <w:numFmt w:val="lowerLetter"/>
      <w:lvlText w:val="(%2)"/>
      <w:lvlJc w:val="left"/>
      <w:pPr>
        <w:ind w:left="720" w:firstLine="720"/>
      </w:pPr>
      <w:rPr>
        <w:color w:val="000000"/>
      </w:rPr>
    </w:lvl>
    <w:lvl w:ilvl="2">
      <w:start w:val="1"/>
      <w:numFmt w:val="lowerRoman"/>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38" w15:restartNumberingAfterBreak="0">
    <w:nsid w:val="281F6D9B"/>
    <w:multiLevelType w:val="hybridMultilevel"/>
    <w:tmpl w:val="55DAE3B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286147E2"/>
    <w:multiLevelType w:val="multilevel"/>
    <w:tmpl w:val="C818B9B4"/>
    <w:lvl w:ilvl="0">
      <w:start w:val="1"/>
      <w:numFmt w:val="decimal"/>
      <w:pStyle w:val="RecitalNumbering"/>
      <w:lvlText w:val="%1."/>
      <w:lvlJc w:val="left"/>
      <w:pPr>
        <w:ind w:left="0" w:firstLine="720"/>
      </w:pPr>
      <w:rPr>
        <w:color w:val="000000"/>
      </w:rPr>
    </w:lvl>
    <w:lvl w:ilvl="1">
      <w:start w:val="1"/>
      <w:numFmt w:val="lowerLetter"/>
      <w:pStyle w:val="RecitalNumbering2"/>
      <w:lvlText w:val="(%2)"/>
      <w:lvlJc w:val="left"/>
      <w:pPr>
        <w:ind w:left="720" w:firstLine="720"/>
      </w:pPr>
      <w:rPr>
        <w:color w:val="000000"/>
      </w:rPr>
    </w:lvl>
    <w:lvl w:ilvl="2">
      <w:start w:val="1"/>
      <w:numFmt w:val="lowerRoman"/>
      <w:pStyle w:val="RecitalNumbering3"/>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40" w15:restartNumberingAfterBreak="0">
    <w:nsid w:val="2A664158"/>
    <w:multiLevelType w:val="multilevel"/>
    <w:tmpl w:val="1ED076FC"/>
    <w:lvl w:ilvl="0">
      <w:start w:val="1"/>
      <w:numFmt w:val="lowerLetter"/>
      <w:pStyle w:val="DefinitionList"/>
      <w:lvlText w:val="(%1)"/>
      <w:lvlJc w:val="left"/>
      <w:pPr>
        <w:tabs>
          <w:tab w:val="num" w:pos="720"/>
        </w:tabs>
        <w:ind w:left="720" w:hanging="720"/>
      </w:pPr>
      <w:rPr>
        <w:rFonts w:hint="default"/>
        <w:b w:val="0"/>
        <w:bCs/>
        <w:i w:val="0"/>
        <w:iCs/>
        <w:color w:val="000000"/>
      </w:rPr>
    </w:lvl>
    <w:lvl w:ilvl="1">
      <w:start w:val="1"/>
      <w:numFmt w:val="lowerRoman"/>
      <w:pStyle w:val="DefinitionListLevel1"/>
      <w:lvlText w:val="(%2)"/>
      <w:lvlJc w:val="left"/>
      <w:pPr>
        <w:tabs>
          <w:tab w:val="num" w:pos="1440"/>
        </w:tabs>
        <w:ind w:left="1440" w:hanging="720"/>
      </w:pPr>
      <w:rPr>
        <w:rFonts w:hint="default"/>
        <w:color w:val="000000"/>
      </w:rPr>
    </w:lvl>
    <w:lvl w:ilvl="2">
      <w:start w:val="1"/>
      <w:numFmt w:val="decimal"/>
      <w:pStyle w:val="DefinitionListLevel2"/>
      <w:lvlText w:val="(%3)"/>
      <w:lvlJc w:val="left"/>
      <w:pPr>
        <w:tabs>
          <w:tab w:val="num" w:pos="2880"/>
        </w:tabs>
        <w:ind w:left="2880" w:hanging="720"/>
      </w:pPr>
      <w:rPr>
        <w:rFonts w:hint="default"/>
        <w:color w:val="000000"/>
      </w:rPr>
    </w:lvl>
    <w:lvl w:ilvl="3">
      <w:start w:val="1"/>
      <w:numFmt w:val="upperLetter"/>
      <w:lvlText w:val="(%4)"/>
      <w:lvlJc w:val="left"/>
      <w:pPr>
        <w:ind w:left="2880" w:firstLine="720"/>
      </w:pPr>
      <w:rPr>
        <w:rFonts w:hint="default"/>
      </w:rPr>
    </w:lvl>
    <w:lvl w:ilvl="4">
      <w:start w:val="1"/>
      <w:numFmt w:val="decimal"/>
      <w:lvlText w:val=""/>
      <w:lvlJc w:val="left"/>
      <w:pPr>
        <w:ind w:left="5040" w:hanging="720"/>
      </w:pPr>
      <w:rPr>
        <w:rFonts w:hint="default"/>
        <w:color w:val="000000"/>
      </w:rPr>
    </w:lvl>
    <w:lvl w:ilvl="5">
      <w:start w:val="1"/>
      <w:numFmt w:val="decimal"/>
      <w:lvlText w:val=""/>
      <w:lvlJc w:val="left"/>
      <w:pPr>
        <w:ind w:left="5760" w:hanging="720"/>
      </w:pPr>
      <w:rPr>
        <w:rFonts w:hint="default"/>
      </w:rPr>
    </w:lvl>
    <w:lvl w:ilvl="6">
      <w:start w:val="1"/>
      <w:numFmt w:val="decimal"/>
      <w:lvlText w:val=""/>
      <w:lvlJc w:val="left"/>
      <w:pPr>
        <w:ind w:left="6480" w:hanging="720"/>
      </w:pPr>
      <w:rPr>
        <w:rFonts w:hint="default"/>
      </w:rPr>
    </w:lvl>
    <w:lvl w:ilvl="7">
      <w:start w:val="1"/>
      <w:numFmt w:val="decimal"/>
      <w:lvlText w:val=""/>
      <w:lvlJc w:val="left"/>
      <w:pPr>
        <w:ind w:left="7200" w:hanging="720"/>
      </w:pPr>
      <w:rPr>
        <w:rFonts w:hint="default"/>
      </w:rPr>
    </w:lvl>
    <w:lvl w:ilvl="8">
      <w:start w:val="1"/>
      <w:numFmt w:val="decimal"/>
      <w:lvlText w:val=""/>
      <w:lvlJc w:val="left"/>
      <w:pPr>
        <w:ind w:left="7920" w:hanging="720"/>
      </w:pPr>
      <w:rPr>
        <w:rFonts w:hint="default"/>
      </w:rPr>
    </w:lvl>
  </w:abstractNum>
  <w:abstractNum w:abstractNumId="41" w15:restartNumberingAfterBreak="0">
    <w:nsid w:val="2B6B50A1"/>
    <w:multiLevelType w:val="multilevel"/>
    <w:tmpl w:val="7292C104"/>
    <w:lvl w:ilvl="0">
      <w:start w:val="1"/>
      <w:numFmt w:val="decimal"/>
      <w:lvlText w:val="%1."/>
      <w:lvlJc w:val="left"/>
      <w:pPr>
        <w:ind w:left="0" w:firstLine="720"/>
      </w:pPr>
      <w:rPr>
        <w:color w:val="000000"/>
      </w:rPr>
    </w:lvl>
    <w:lvl w:ilvl="1">
      <w:start w:val="1"/>
      <w:numFmt w:val="lowerLetter"/>
      <w:lvlText w:val="(%2)"/>
      <w:lvlJc w:val="left"/>
      <w:pPr>
        <w:ind w:left="720" w:firstLine="720"/>
      </w:pPr>
      <w:rPr>
        <w:color w:val="000000"/>
      </w:rPr>
    </w:lvl>
    <w:lvl w:ilvl="2">
      <w:start w:val="1"/>
      <w:numFmt w:val="lowerRoman"/>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42" w15:restartNumberingAfterBreak="0">
    <w:nsid w:val="2C101B10"/>
    <w:multiLevelType w:val="multilevel"/>
    <w:tmpl w:val="C060D274"/>
    <w:lvl w:ilvl="0">
      <w:start w:val="1"/>
      <w:numFmt w:val="decimal"/>
      <w:lvlText w:val="%1."/>
      <w:lvlJc w:val="left"/>
      <w:pPr>
        <w:ind w:left="0" w:firstLine="720"/>
      </w:pPr>
      <w:rPr>
        <w:color w:val="000000"/>
      </w:rPr>
    </w:lvl>
    <w:lvl w:ilvl="1">
      <w:start w:val="1"/>
      <w:numFmt w:val="lowerLetter"/>
      <w:lvlText w:val="(%2)"/>
      <w:lvlJc w:val="left"/>
      <w:pPr>
        <w:ind w:left="720" w:firstLine="720"/>
      </w:pPr>
      <w:rPr>
        <w:color w:val="000000"/>
      </w:rPr>
    </w:lvl>
    <w:lvl w:ilvl="2">
      <w:start w:val="1"/>
      <w:numFmt w:val="lowerRoman"/>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43" w15:restartNumberingAfterBreak="0">
    <w:nsid w:val="2ECA2B43"/>
    <w:multiLevelType w:val="multilevel"/>
    <w:tmpl w:val="7292C104"/>
    <w:lvl w:ilvl="0">
      <w:start w:val="1"/>
      <w:numFmt w:val="decimal"/>
      <w:lvlText w:val="%1."/>
      <w:lvlJc w:val="left"/>
      <w:pPr>
        <w:ind w:left="0" w:firstLine="720"/>
      </w:pPr>
      <w:rPr>
        <w:color w:val="000000"/>
      </w:rPr>
    </w:lvl>
    <w:lvl w:ilvl="1">
      <w:start w:val="1"/>
      <w:numFmt w:val="lowerLetter"/>
      <w:lvlText w:val="(%2)"/>
      <w:lvlJc w:val="left"/>
      <w:pPr>
        <w:ind w:left="720" w:firstLine="720"/>
      </w:pPr>
      <w:rPr>
        <w:color w:val="000000"/>
      </w:rPr>
    </w:lvl>
    <w:lvl w:ilvl="2">
      <w:start w:val="1"/>
      <w:numFmt w:val="lowerRoman"/>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44" w15:restartNumberingAfterBreak="0">
    <w:nsid w:val="2EEE0E30"/>
    <w:multiLevelType w:val="multilevel"/>
    <w:tmpl w:val="0900C5D0"/>
    <w:lvl w:ilvl="0">
      <w:start w:val="1"/>
      <w:numFmt w:val="decimal"/>
      <w:pStyle w:val="ListNumber3"/>
      <w:lvlText w:val="%1."/>
      <w:lvlJc w:val="left"/>
      <w:pPr>
        <w:ind w:left="0" w:firstLine="720"/>
      </w:pPr>
      <w:rPr>
        <w:color w:val="000000"/>
      </w:rPr>
    </w:lvl>
    <w:lvl w:ilvl="1">
      <w:start w:val="1"/>
      <w:numFmt w:val="lowerLetter"/>
      <w:lvlText w:val="(%2)"/>
      <w:lvlJc w:val="left"/>
      <w:pPr>
        <w:ind w:left="720" w:firstLine="720"/>
      </w:pPr>
      <w:rPr>
        <w:color w:val="000000"/>
      </w:rPr>
    </w:lvl>
    <w:lvl w:ilvl="2">
      <w:start w:val="1"/>
      <w:numFmt w:val="lowerRoman"/>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45" w15:restartNumberingAfterBreak="0">
    <w:nsid w:val="303051C3"/>
    <w:multiLevelType w:val="multilevel"/>
    <w:tmpl w:val="20C6AA4A"/>
    <w:name w:val="Appendicies Heading List"/>
    <w:lvl w:ilvl="0">
      <w:start w:val="1"/>
      <w:numFmt w:val="decimal"/>
      <w:suff w:val="space"/>
      <w:lvlText w:val="APPENDIX %1: "/>
      <w:lvlJc w:val="left"/>
      <w:pPr>
        <w:tabs>
          <w:tab w:val="num" w:pos="0"/>
        </w:tabs>
        <w:ind w:left="0" w:firstLine="0"/>
      </w:pPr>
      <w:rPr>
        <w:caps w:val="0"/>
        <w:effect w:val="none"/>
      </w:rPr>
    </w:lvl>
    <w:lvl w:ilvl="1">
      <w:start w:val="1"/>
      <w:numFmt w:val="decimal"/>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46" w15:restartNumberingAfterBreak="0">
    <w:nsid w:val="30D21483"/>
    <w:multiLevelType w:val="multilevel"/>
    <w:tmpl w:val="14AC4A3E"/>
    <w:lvl w:ilvl="0">
      <w:start w:val="1"/>
      <w:numFmt w:val="decimal"/>
      <w:lvlText w:val="%1."/>
      <w:lvlJc w:val="left"/>
      <w:pPr>
        <w:ind w:left="0" w:firstLine="720"/>
      </w:pPr>
      <w:rPr>
        <w:color w:val="000000"/>
      </w:rPr>
    </w:lvl>
    <w:lvl w:ilvl="1">
      <w:start w:val="1"/>
      <w:numFmt w:val="lowerLetter"/>
      <w:lvlText w:val="(%2)"/>
      <w:lvlJc w:val="left"/>
      <w:pPr>
        <w:ind w:left="720" w:firstLine="720"/>
      </w:pPr>
      <w:rPr>
        <w:color w:val="000000"/>
      </w:rPr>
    </w:lvl>
    <w:lvl w:ilvl="2">
      <w:start w:val="1"/>
      <w:numFmt w:val="lowerRoman"/>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47" w15:restartNumberingAfterBreak="0">
    <w:nsid w:val="329E2557"/>
    <w:multiLevelType w:val="multilevel"/>
    <w:tmpl w:val="7292C104"/>
    <w:lvl w:ilvl="0">
      <w:start w:val="1"/>
      <w:numFmt w:val="decimal"/>
      <w:lvlText w:val="%1."/>
      <w:lvlJc w:val="left"/>
      <w:pPr>
        <w:ind w:left="0" w:firstLine="720"/>
      </w:pPr>
      <w:rPr>
        <w:color w:val="000000"/>
      </w:rPr>
    </w:lvl>
    <w:lvl w:ilvl="1">
      <w:start w:val="1"/>
      <w:numFmt w:val="lowerLetter"/>
      <w:lvlText w:val="(%2)"/>
      <w:lvlJc w:val="left"/>
      <w:pPr>
        <w:ind w:left="720" w:firstLine="720"/>
      </w:pPr>
      <w:rPr>
        <w:color w:val="000000"/>
      </w:rPr>
    </w:lvl>
    <w:lvl w:ilvl="2">
      <w:start w:val="1"/>
      <w:numFmt w:val="lowerRoman"/>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48" w15:restartNumberingAfterBreak="0">
    <w:nsid w:val="338B28A5"/>
    <w:multiLevelType w:val="multilevel"/>
    <w:tmpl w:val="28FEF948"/>
    <w:styleLink w:val="Appendixheading"/>
    <w:lvl w:ilvl="0">
      <w:start w:val="1"/>
      <w:numFmt w:val="upperLetter"/>
      <w:suff w:val="nothing"/>
      <w:lvlText w:val="Appendix %1"/>
      <w:lvlJc w:val="center"/>
      <w:pPr>
        <w:ind w:left="0" w:firstLine="567"/>
      </w:pPr>
      <w:rPr>
        <w:rFonts w:hint="default"/>
      </w:rPr>
    </w:lvl>
    <w:lvl w:ilvl="1">
      <w:start w:val="1"/>
      <w:numFmt w:val="none"/>
      <w:lvlText w:val=""/>
      <w:lvlJc w:val="left"/>
      <w:pPr>
        <w:tabs>
          <w:tab w:val="num" w:pos="567"/>
        </w:tabs>
        <w:ind w:left="0" w:firstLine="0"/>
      </w:pPr>
      <w:rPr>
        <w:rFonts w:hint="default"/>
      </w:rPr>
    </w:lvl>
    <w:lvl w:ilvl="2">
      <w:start w:val="1"/>
      <w:numFmt w:val="none"/>
      <w:lvlText w:val=""/>
      <w:lvlJc w:val="left"/>
      <w:pPr>
        <w:tabs>
          <w:tab w:val="num" w:pos="567"/>
        </w:tabs>
        <w:ind w:left="0" w:firstLine="0"/>
      </w:pPr>
      <w:rPr>
        <w:rFonts w:hint="default"/>
      </w:rPr>
    </w:lvl>
    <w:lvl w:ilvl="3">
      <w:start w:val="1"/>
      <w:numFmt w:val="none"/>
      <w:lvlText w:val=""/>
      <w:lvlJc w:val="left"/>
      <w:pPr>
        <w:tabs>
          <w:tab w:val="num" w:pos="567"/>
        </w:tabs>
        <w:ind w:left="0" w:firstLine="0"/>
      </w:pPr>
      <w:rPr>
        <w:rFonts w:hint="default"/>
      </w:rPr>
    </w:lvl>
    <w:lvl w:ilvl="4">
      <w:start w:val="1"/>
      <w:numFmt w:val="none"/>
      <w:lvlText w:val=""/>
      <w:lvlJc w:val="left"/>
      <w:pPr>
        <w:tabs>
          <w:tab w:val="num" w:pos="567"/>
        </w:tabs>
        <w:ind w:left="0" w:firstLine="0"/>
      </w:pPr>
      <w:rPr>
        <w:rFonts w:hint="default"/>
      </w:rPr>
    </w:lvl>
    <w:lvl w:ilvl="5">
      <w:start w:val="1"/>
      <w:numFmt w:val="none"/>
      <w:lvlText w:val=""/>
      <w:lvlJc w:val="left"/>
      <w:pPr>
        <w:tabs>
          <w:tab w:val="num" w:pos="567"/>
        </w:tabs>
        <w:ind w:left="0" w:firstLine="0"/>
      </w:pPr>
      <w:rPr>
        <w:rFonts w:hint="default"/>
      </w:rPr>
    </w:lvl>
    <w:lvl w:ilvl="6">
      <w:start w:val="1"/>
      <w:numFmt w:val="none"/>
      <w:lvlText w:val=""/>
      <w:lvlJc w:val="left"/>
      <w:pPr>
        <w:tabs>
          <w:tab w:val="num" w:pos="567"/>
        </w:tabs>
        <w:ind w:left="0" w:firstLine="0"/>
      </w:pPr>
      <w:rPr>
        <w:rFonts w:hint="default"/>
      </w:rPr>
    </w:lvl>
    <w:lvl w:ilvl="7">
      <w:start w:val="1"/>
      <w:numFmt w:val="none"/>
      <w:lvlText w:val=""/>
      <w:lvlJc w:val="left"/>
      <w:pPr>
        <w:tabs>
          <w:tab w:val="num" w:pos="567"/>
        </w:tabs>
        <w:ind w:left="0" w:firstLine="0"/>
      </w:pPr>
      <w:rPr>
        <w:rFonts w:hint="default"/>
      </w:rPr>
    </w:lvl>
    <w:lvl w:ilvl="8">
      <w:start w:val="1"/>
      <w:numFmt w:val="none"/>
      <w:lvlText w:val=""/>
      <w:lvlJc w:val="left"/>
      <w:pPr>
        <w:tabs>
          <w:tab w:val="num" w:pos="567"/>
        </w:tabs>
        <w:ind w:left="0" w:firstLine="0"/>
      </w:pPr>
      <w:rPr>
        <w:rFonts w:hint="default"/>
      </w:rPr>
    </w:lvl>
  </w:abstractNum>
  <w:abstractNum w:abstractNumId="49" w15:restartNumberingAfterBreak="0">
    <w:nsid w:val="35D85EEE"/>
    <w:multiLevelType w:val="multilevel"/>
    <w:tmpl w:val="7292C104"/>
    <w:lvl w:ilvl="0">
      <w:start w:val="1"/>
      <w:numFmt w:val="decimal"/>
      <w:lvlText w:val="%1."/>
      <w:lvlJc w:val="left"/>
      <w:pPr>
        <w:ind w:left="0" w:firstLine="720"/>
      </w:pPr>
      <w:rPr>
        <w:color w:val="000000"/>
      </w:rPr>
    </w:lvl>
    <w:lvl w:ilvl="1">
      <w:start w:val="1"/>
      <w:numFmt w:val="lowerLetter"/>
      <w:lvlText w:val="(%2)"/>
      <w:lvlJc w:val="left"/>
      <w:pPr>
        <w:ind w:left="720" w:firstLine="720"/>
      </w:pPr>
      <w:rPr>
        <w:color w:val="000000"/>
      </w:rPr>
    </w:lvl>
    <w:lvl w:ilvl="2">
      <w:start w:val="1"/>
      <w:numFmt w:val="lowerRoman"/>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50" w15:restartNumberingAfterBreak="0">
    <w:nsid w:val="35F54335"/>
    <w:multiLevelType w:val="multilevel"/>
    <w:tmpl w:val="7292C104"/>
    <w:lvl w:ilvl="0">
      <w:start w:val="1"/>
      <w:numFmt w:val="decimal"/>
      <w:lvlText w:val="%1."/>
      <w:lvlJc w:val="left"/>
      <w:pPr>
        <w:ind w:left="0" w:firstLine="720"/>
      </w:pPr>
      <w:rPr>
        <w:color w:val="000000"/>
      </w:rPr>
    </w:lvl>
    <w:lvl w:ilvl="1">
      <w:start w:val="1"/>
      <w:numFmt w:val="lowerLetter"/>
      <w:lvlText w:val="(%2)"/>
      <w:lvlJc w:val="left"/>
      <w:pPr>
        <w:ind w:left="720" w:firstLine="720"/>
      </w:pPr>
      <w:rPr>
        <w:color w:val="000000"/>
      </w:rPr>
    </w:lvl>
    <w:lvl w:ilvl="2">
      <w:start w:val="1"/>
      <w:numFmt w:val="lowerRoman"/>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51" w15:restartNumberingAfterBreak="0">
    <w:nsid w:val="374E5FF8"/>
    <w:multiLevelType w:val="multilevel"/>
    <w:tmpl w:val="7292C104"/>
    <w:lvl w:ilvl="0">
      <w:start w:val="1"/>
      <w:numFmt w:val="decimal"/>
      <w:lvlText w:val="%1."/>
      <w:lvlJc w:val="left"/>
      <w:pPr>
        <w:ind w:left="0" w:firstLine="720"/>
      </w:pPr>
      <w:rPr>
        <w:color w:val="000000"/>
      </w:rPr>
    </w:lvl>
    <w:lvl w:ilvl="1">
      <w:start w:val="1"/>
      <w:numFmt w:val="lowerLetter"/>
      <w:lvlText w:val="(%2)"/>
      <w:lvlJc w:val="left"/>
      <w:pPr>
        <w:ind w:left="720" w:firstLine="720"/>
      </w:pPr>
      <w:rPr>
        <w:color w:val="000000"/>
      </w:rPr>
    </w:lvl>
    <w:lvl w:ilvl="2">
      <w:start w:val="1"/>
      <w:numFmt w:val="lowerRoman"/>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52" w15:restartNumberingAfterBreak="0">
    <w:nsid w:val="380421E4"/>
    <w:multiLevelType w:val="multilevel"/>
    <w:tmpl w:val="EEBC25EA"/>
    <w:lvl w:ilvl="0">
      <w:start w:val="1"/>
      <w:numFmt w:val="decimal"/>
      <w:lvlText w:val="%1"/>
      <w:lvlJc w:val="left"/>
      <w:pPr>
        <w:ind w:left="720" w:hanging="720"/>
      </w:pPr>
      <w:rPr>
        <w:rFonts w:hint="default"/>
        <w:sz w:val="24"/>
        <w:szCs w:val="24"/>
      </w:rPr>
    </w:lvl>
    <w:lvl w:ilvl="1">
      <w:start w:val="1"/>
      <w:numFmt w:val="decimal"/>
      <w:lvlText w:val="%1.%2"/>
      <w:lvlJc w:val="left"/>
      <w:pPr>
        <w:ind w:left="720" w:hanging="720"/>
      </w:pPr>
      <w:rPr>
        <w:rFonts w:hint="default"/>
      </w:rPr>
    </w:lvl>
    <w:lvl w:ilvl="2">
      <w:start w:val="1"/>
      <w:numFmt w:val="decimal"/>
      <w:lvlText w:val="%1.%2.%3"/>
      <w:lvlJc w:val="left"/>
      <w:pPr>
        <w:ind w:left="1803" w:hanging="1083"/>
      </w:pPr>
      <w:rPr>
        <w:rFonts w:hint="default"/>
      </w:rPr>
    </w:lvl>
    <w:lvl w:ilvl="3">
      <w:start w:val="1"/>
      <w:numFmt w:val="lowerLetter"/>
      <w:lvlText w:val="(%4)"/>
      <w:lvlJc w:val="left"/>
      <w:pPr>
        <w:tabs>
          <w:tab w:val="num" w:pos="2523"/>
        </w:tabs>
        <w:ind w:left="2523" w:hanging="720"/>
      </w:pPr>
      <w:rPr>
        <w:rFonts w:hint="default"/>
      </w:rPr>
    </w:lvl>
    <w:lvl w:ilvl="4">
      <w:start w:val="1"/>
      <w:numFmt w:val="lowerRoman"/>
      <w:lvlText w:val="(%5)"/>
      <w:lvlJc w:val="left"/>
      <w:pPr>
        <w:tabs>
          <w:tab w:val="num" w:pos="3243"/>
        </w:tabs>
        <w:ind w:left="3243" w:hanging="720"/>
      </w:pPr>
      <w:rPr>
        <w:rFonts w:hint="default"/>
      </w:rPr>
    </w:lvl>
    <w:lvl w:ilvl="5">
      <w:start w:val="1"/>
      <w:numFmt w:val="upperLetter"/>
      <w:lvlText w:val="(%6)"/>
      <w:lvlJc w:val="left"/>
      <w:pPr>
        <w:tabs>
          <w:tab w:val="num" w:pos="3963"/>
        </w:tabs>
        <w:ind w:left="3963" w:hanging="720"/>
      </w:pPr>
      <w:rPr>
        <w:rFonts w:hint="default"/>
      </w:rPr>
    </w:lvl>
    <w:lvl w:ilvl="6">
      <w:start w:val="1"/>
      <w:numFmt w:val="decimal"/>
      <w:lvlText w:val="(%7)"/>
      <w:lvlJc w:val="left"/>
      <w:pPr>
        <w:tabs>
          <w:tab w:val="num" w:pos="4683"/>
        </w:tabs>
        <w:ind w:left="468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53" w15:restartNumberingAfterBreak="0">
    <w:nsid w:val="39CC05AC"/>
    <w:multiLevelType w:val="multilevel"/>
    <w:tmpl w:val="14AC4A3E"/>
    <w:lvl w:ilvl="0">
      <w:start w:val="1"/>
      <w:numFmt w:val="decimal"/>
      <w:lvlText w:val="%1."/>
      <w:lvlJc w:val="left"/>
      <w:pPr>
        <w:ind w:left="0" w:firstLine="720"/>
      </w:pPr>
      <w:rPr>
        <w:color w:val="000000"/>
      </w:rPr>
    </w:lvl>
    <w:lvl w:ilvl="1">
      <w:start w:val="1"/>
      <w:numFmt w:val="lowerLetter"/>
      <w:lvlText w:val="(%2)"/>
      <w:lvlJc w:val="left"/>
      <w:pPr>
        <w:ind w:left="720" w:firstLine="720"/>
      </w:pPr>
      <w:rPr>
        <w:color w:val="000000"/>
      </w:rPr>
    </w:lvl>
    <w:lvl w:ilvl="2">
      <w:start w:val="1"/>
      <w:numFmt w:val="lowerRoman"/>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54" w15:restartNumberingAfterBreak="0">
    <w:nsid w:val="3A311CE2"/>
    <w:multiLevelType w:val="multilevel"/>
    <w:tmpl w:val="8BEC6E02"/>
    <w:lvl w:ilvl="0">
      <w:start w:val="1"/>
      <w:numFmt w:val="decimal"/>
      <w:pStyle w:val="ListNumber4"/>
      <w:lvlText w:val="%1."/>
      <w:lvlJc w:val="left"/>
      <w:pPr>
        <w:ind w:left="0" w:firstLine="720"/>
      </w:pPr>
      <w:rPr>
        <w:color w:val="000000"/>
      </w:rPr>
    </w:lvl>
    <w:lvl w:ilvl="1">
      <w:start w:val="1"/>
      <w:numFmt w:val="lowerLetter"/>
      <w:lvlText w:val="(%2)"/>
      <w:lvlJc w:val="left"/>
      <w:pPr>
        <w:ind w:left="720" w:firstLine="720"/>
      </w:pPr>
      <w:rPr>
        <w:color w:val="000000"/>
      </w:rPr>
    </w:lvl>
    <w:lvl w:ilvl="2">
      <w:start w:val="1"/>
      <w:numFmt w:val="lowerRoman"/>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55" w15:restartNumberingAfterBreak="0">
    <w:nsid w:val="3B0D14EF"/>
    <w:multiLevelType w:val="multilevel"/>
    <w:tmpl w:val="B7221F12"/>
    <w:lvl w:ilvl="0">
      <w:start w:val="1"/>
      <w:numFmt w:val="decimal"/>
      <w:lvlText w:val="%1."/>
      <w:lvlJc w:val="left"/>
      <w:pPr>
        <w:ind w:left="0" w:firstLine="720"/>
      </w:pPr>
      <w:rPr>
        <w:color w:val="000000"/>
      </w:rPr>
    </w:lvl>
    <w:lvl w:ilvl="1">
      <w:start w:val="1"/>
      <w:numFmt w:val="lowerLetter"/>
      <w:lvlText w:val="(%2)"/>
      <w:lvlJc w:val="left"/>
      <w:pPr>
        <w:ind w:left="720" w:firstLine="720"/>
      </w:pPr>
      <w:rPr>
        <w:color w:val="000000"/>
      </w:rPr>
    </w:lvl>
    <w:lvl w:ilvl="2">
      <w:start w:val="1"/>
      <w:numFmt w:val="lowerRoman"/>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56" w15:restartNumberingAfterBreak="0">
    <w:nsid w:val="3B195AFC"/>
    <w:multiLevelType w:val="hybridMultilevel"/>
    <w:tmpl w:val="698EEA60"/>
    <w:lvl w:ilvl="0" w:tplc="C82A73BE">
      <w:start w:val="1"/>
      <w:numFmt w:val="lowerLetter"/>
      <w:lvlText w:val="(%1)"/>
      <w:lvlJc w:val="left"/>
      <w:pPr>
        <w:tabs>
          <w:tab w:val="num" w:pos="2523"/>
        </w:tabs>
        <w:ind w:left="720" w:firstLine="1083"/>
      </w:pPr>
      <w:rPr>
        <w:rFonts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lang w:bidi="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7" w15:restartNumberingAfterBreak="0">
    <w:nsid w:val="3E226B8E"/>
    <w:multiLevelType w:val="multilevel"/>
    <w:tmpl w:val="98BCD534"/>
    <w:styleLink w:val="MainNumbering"/>
    <w:lvl w:ilvl="0">
      <w:start w:val="1"/>
      <w:numFmt w:val="none"/>
      <w:suff w:val="nothing"/>
      <w:lvlText w:val="%1"/>
      <w:lvlJc w:val="left"/>
      <w:pPr>
        <w:ind w:left="0" w:firstLine="0"/>
      </w:pPr>
      <w:rPr>
        <w:rFonts w:hint="default"/>
      </w:rPr>
    </w:lvl>
    <w:lvl w:ilvl="1">
      <w:start w:val="1"/>
      <w:numFmt w:val="decimal"/>
      <w:lvlText w:val="%2"/>
      <w:lvlJc w:val="left"/>
      <w:pPr>
        <w:ind w:left="720" w:hanging="720"/>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720" w:hanging="720"/>
      </w:pPr>
      <w:rPr>
        <w:rFonts w:hint="default"/>
        <w:b w:val="0"/>
        <w:bCs w:val="0"/>
        <w:i w:val="0"/>
        <w:iCs w:val="0"/>
      </w:rPr>
    </w:lvl>
    <w:lvl w:ilvl="4">
      <w:start w:val="1"/>
      <w:numFmt w:val="lowerLetter"/>
      <w:lvlText w:val="(%5)"/>
      <w:lvlJc w:val="left"/>
      <w:pPr>
        <w:ind w:left="1440" w:hanging="720"/>
      </w:pPr>
      <w:rPr>
        <w:rFonts w:hint="default"/>
        <w:b w:val="0"/>
        <w:bCs w:val="0"/>
        <w:i w:val="0"/>
        <w:iCs w:val="0"/>
      </w:rPr>
    </w:lvl>
    <w:lvl w:ilvl="5">
      <w:start w:val="1"/>
      <w:numFmt w:val="lowerRoman"/>
      <w:lvlText w:val="(%6)"/>
      <w:lvlJc w:val="left"/>
      <w:pPr>
        <w:ind w:left="2160" w:hanging="720"/>
      </w:pPr>
      <w:rPr>
        <w:rFonts w:hint="default"/>
      </w:rPr>
    </w:lvl>
    <w:lvl w:ilvl="6">
      <w:start w:val="1"/>
      <w:numFmt w:val="upperLetter"/>
      <w:lvlText w:val="(%7)"/>
      <w:lvlJc w:val="left"/>
      <w:pPr>
        <w:ind w:left="2880" w:hanging="720"/>
      </w:pPr>
      <w:rPr>
        <w:rFonts w:hint="default"/>
      </w:rPr>
    </w:lvl>
    <w:lvl w:ilvl="7">
      <w:start w:val="1"/>
      <w:numFmt w:val="decimal"/>
      <w:lvlText w:val="%8)"/>
      <w:lvlJc w:val="left"/>
      <w:pPr>
        <w:ind w:left="3600" w:hanging="720"/>
      </w:pPr>
      <w:rPr>
        <w:rFonts w:hint="default"/>
      </w:rPr>
    </w:lvl>
    <w:lvl w:ilvl="8">
      <w:start w:val="1"/>
      <w:numFmt w:val="lowerLetter"/>
      <w:lvlText w:val="%9)"/>
      <w:lvlJc w:val="left"/>
      <w:pPr>
        <w:tabs>
          <w:tab w:val="num" w:pos="3600"/>
        </w:tabs>
        <w:ind w:left="4321" w:hanging="721"/>
      </w:pPr>
      <w:rPr>
        <w:rFonts w:hint="default"/>
      </w:rPr>
    </w:lvl>
  </w:abstractNum>
  <w:abstractNum w:abstractNumId="58" w15:restartNumberingAfterBreak="0">
    <w:nsid w:val="3E366B82"/>
    <w:multiLevelType w:val="multilevel"/>
    <w:tmpl w:val="7292C104"/>
    <w:lvl w:ilvl="0">
      <w:start w:val="1"/>
      <w:numFmt w:val="decimal"/>
      <w:lvlText w:val="%1."/>
      <w:lvlJc w:val="left"/>
      <w:pPr>
        <w:ind w:left="0" w:firstLine="720"/>
      </w:pPr>
      <w:rPr>
        <w:color w:val="000000"/>
      </w:rPr>
    </w:lvl>
    <w:lvl w:ilvl="1">
      <w:start w:val="1"/>
      <w:numFmt w:val="lowerLetter"/>
      <w:lvlText w:val="(%2)"/>
      <w:lvlJc w:val="left"/>
      <w:pPr>
        <w:ind w:left="720" w:firstLine="720"/>
      </w:pPr>
      <w:rPr>
        <w:color w:val="000000"/>
      </w:rPr>
    </w:lvl>
    <w:lvl w:ilvl="2">
      <w:start w:val="1"/>
      <w:numFmt w:val="lowerRoman"/>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59" w15:restartNumberingAfterBreak="0">
    <w:nsid w:val="3E4E09B1"/>
    <w:multiLevelType w:val="multilevel"/>
    <w:tmpl w:val="BB2E627A"/>
    <w:name w:val="Recital Numbering List"/>
    <w:lvl w:ilvl="0">
      <w:start w:val="1"/>
      <w:numFmt w:val="upperLetter"/>
      <w:lvlText w:val="%1"/>
      <w:lvlJc w:val="left"/>
      <w:pPr>
        <w:tabs>
          <w:tab w:val="num" w:pos="720"/>
        </w:tabs>
        <w:ind w:left="720" w:hanging="720"/>
      </w:pPr>
      <w:rPr>
        <w:caps w:val="0"/>
        <w:effect w:val="none"/>
      </w:rPr>
    </w:lvl>
    <w:lvl w:ilvl="1">
      <w:start w:val="1"/>
      <w:numFmt w:val="lowerRoman"/>
      <w:lvlText w:val="(%2)"/>
      <w:lvlJc w:val="left"/>
      <w:pPr>
        <w:tabs>
          <w:tab w:val="num" w:pos="1800"/>
        </w:tabs>
        <w:ind w:left="1800" w:hanging="1080"/>
      </w:pPr>
      <w:rPr>
        <w:caps w:val="0"/>
        <w:effect w:val="none"/>
      </w:rPr>
    </w:lvl>
    <w:lvl w:ilvl="2">
      <w:start w:val="1"/>
      <w:numFmt w:val="lowerLetter"/>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60" w15:restartNumberingAfterBreak="0">
    <w:nsid w:val="40F40D0C"/>
    <w:multiLevelType w:val="multilevel"/>
    <w:tmpl w:val="6054E688"/>
    <w:lvl w:ilvl="0">
      <w:start w:val="1"/>
      <w:numFmt w:val="decimal"/>
      <w:pStyle w:val="PartHeading"/>
      <w:lvlText w:val="%1."/>
      <w:lvlJc w:val="left"/>
      <w:pPr>
        <w:ind w:left="0" w:firstLine="720"/>
      </w:pPr>
      <w:rPr>
        <w:color w:val="000000"/>
      </w:rPr>
    </w:lvl>
    <w:lvl w:ilvl="1">
      <w:start w:val="1"/>
      <w:numFmt w:val="lowerLetter"/>
      <w:lvlText w:val="(%2)"/>
      <w:lvlJc w:val="left"/>
      <w:pPr>
        <w:ind w:left="720" w:firstLine="720"/>
      </w:pPr>
      <w:rPr>
        <w:color w:val="000000"/>
      </w:rPr>
    </w:lvl>
    <w:lvl w:ilvl="2">
      <w:start w:val="1"/>
      <w:numFmt w:val="lowerRoman"/>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61" w15:restartNumberingAfterBreak="0">
    <w:nsid w:val="41D419C4"/>
    <w:multiLevelType w:val="multilevel"/>
    <w:tmpl w:val="4E7E95D4"/>
    <w:lvl w:ilvl="0">
      <w:start w:val="1"/>
      <w:numFmt w:val="decimal"/>
      <w:pStyle w:val="ListNumber"/>
      <w:lvlText w:val="%1."/>
      <w:lvlJc w:val="left"/>
      <w:pPr>
        <w:ind w:left="0" w:firstLine="720"/>
      </w:pPr>
      <w:rPr>
        <w:color w:val="000000"/>
      </w:rPr>
    </w:lvl>
    <w:lvl w:ilvl="1">
      <w:start w:val="1"/>
      <w:numFmt w:val="lowerLetter"/>
      <w:lvlText w:val="(%2)"/>
      <w:lvlJc w:val="left"/>
      <w:pPr>
        <w:ind w:left="720" w:firstLine="720"/>
      </w:pPr>
      <w:rPr>
        <w:color w:val="000000"/>
      </w:rPr>
    </w:lvl>
    <w:lvl w:ilvl="2">
      <w:start w:val="1"/>
      <w:numFmt w:val="lowerRoman"/>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62" w15:restartNumberingAfterBreak="0">
    <w:nsid w:val="426026F2"/>
    <w:multiLevelType w:val="multilevel"/>
    <w:tmpl w:val="B65C7BB8"/>
    <w:lvl w:ilvl="0">
      <w:start w:val="1"/>
      <w:numFmt w:val="decimal"/>
      <w:pStyle w:val="ScheduleHeading0"/>
      <w:lvlText w:val="%1."/>
      <w:lvlJc w:val="left"/>
      <w:pPr>
        <w:ind w:left="0" w:firstLine="720"/>
      </w:pPr>
      <w:rPr>
        <w:color w:val="000000"/>
      </w:rPr>
    </w:lvl>
    <w:lvl w:ilvl="1">
      <w:start w:val="1"/>
      <w:numFmt w:val="lowerLetter"/>
      <w:pStyle w:val="ScheduleHeading2"/>
      <w:lvlText w:val="(%2)"/>
      <w:lvlJc w:val="left"/>
      <w:pPr>
        <w:ind w:left="720" w:firstLine="720"/>
      </w:pPr>
      <w:rPr>
        <w:color w:val="000000"/>
      </w:rPr>
    </w:lvl>
    <w:lvl w:ilvl="2">
      <w:start w:val="1"/>
      <w:numFmt w:val="lowerRoman"/>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63" w15:restartNumberingAfterBreak="0">
    <w:nsid w:val="42B73578"/>
    <w:multiLevelType w:val="hybridMultilevel"/>
    <w:tmpl w:val="EF0AEE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44A52CF6"/>
    <w:multiLevelType w:val="multilevel"/>
    <w:tmpl w:val="14AC4A3E"/>
    <w:lvl w:ilvl="0">
      <w:start w:val="1"/>
      <w:numFmt w:val="decimal"/>
      <w:lvlText w:val="%1."/>
      <w:lvlJc w:val="left"/>
      <w:pPr>
        <w:ind w:left="0" w:firstLine="720"/>
      </w:pPr>
      <w:rPr>
        <w:color w:val="000000"/>
      </w:rPr>
    </w:lvl>
    <w:lvl w:ilvl="1">
      <w:start w:val="1"/>
      <w:numFmt w:val="lowerLetter"/>
      <w:lvlText w:val="(%2)"/>
      <w:lvlJc w:val="left"/>
      <w:pPr>
        <w:ind w:left="720" w:firstLine="720"/>
      </w:pPr>
      <w:rPr>
        <w:color w:val="000000"/>
      </w:rPr>
    </w:lvl>
    <w:lvl w:ilvl="2">
      <w:start w:val="1"/>
      <w:numFmt w:val="lowerRoman"/>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65" w15:restartNumberingAfterBreak="0">
    <w:nsid w:val="44C57C59"/>
    <w:multiLevelType w:val="multilevel"/>
    <w:tmpl w:val="9684B990"/>
    <w:styleLink w:val="CurrentList2"/>
    <w:lvl w:ilvl="0">
      <w:start w:val="1"/>
      <w:numFmt w:val="lowerLetter"/>
      <w:lvlText w:val="(%1)"/>
      <w:lvlJc w:val="left"/>
      <w:pPr>
        <w:tabs>
          <w:tab w:val="num" w:pos="720"/>
        </w:tabs>
        <w:ind w:left="720" w:hanging="720"/>
      </w:pPr>
      <w:rPr>
        <w:rFonts w:hint="default"/>
        <w:color w:val="000000"/>
      </w:rPr>
    </w:lvl>
    <w:lvl w:ilvl="1">
      <w:start w:val="1"/>
      <w:numFmt w:val="lowerRoman"/>
      <w:lvlText w:val="(%2)"/>
      <w:lvlJc w:val="left"/>
      <w:pPr>
        <w:tabs>
          <w:tab w:val="num" w:pos="1440"/>
        </w:tabs>
        <w:ind w:left="1440" w:hanging="720"/>
      </w:pPr>
      <w:rPr>
        <w:rFonts w:hint="default"/>
        <w:color w:val="000000"/>
      </w:rPr>
    </w:lvl>
    <w:lvl w:ilvl="2">
      <w:start w:val="1"/>
      <w:numFmt w:val="decimal"/>
      <w:lvlText w:val="(%3)"/>
      <w:lvlJc w:val="left"/>
      <w:pPr>
        <w:tabs>
          <w:tab w:val="num" w:pos="2160"/>
        </w:tabs>
        <w:ind w:left="2160" w:hanging="720"/>
      </w:pPr>
      <w:rPr>
        <w:rFonts w:hint="default"/>
        <w:color w:val="000000"/>
      </w:rPr>
    </w:lvl>
    <w:lvl w:ilvl="3">
      <w:start w:val="1"/>
      <w:numFmt w:val="upperLetter"/>
      <w:lvlText w:val="(%4)"/>
      <w:lvlJc w:val="left"/>
      <w:pPr>
        <w:ind w:left="2160" w:firstLine="720"/>
      </w:pPr>
      <w:rPr>
        <w:rFonts w:hint="default"/>
      </w:rPr>
    </w:lvl>
    <w:lvl w:ilvl="4">
      <w:start w:val="1"/>
      <w:numFmt w:val="decimal"/>
      <w:lvlText w:val=""/>
      <w:lvlJc w:val="left"/>
      <w:pPr>
        <w:ind w:left="4320" w:hanging="720"/>
      </w:pPr>
      <w:rPr>
        <w:rFonts w:hint="default"/>
        <w:color w:val="000000"/>
      </w:rPr>
    </w:lvl>
    <w:lvl w:ilvl="5">
      <w:start w:val="1"/>
      <w:numFmt w:val="decimal"/>
      <w:lvlText w:val=""/>
      <w:lvlJc w:val="left"/>
      <w:pPr>
        <w:ind w:left="5040" w:hanging="720"/>
      </w:pPr>
      <w:rPr>
        <w:rFonts w:hint="default"/>
      </w:rPr>
    </w:lvl>
    <w:lvl w:ilvl="6">
      <w:start w:val="1"/>
      <w:numFmt w:val="decimal"/>
      <w:lvlText w:val=""/>
      <w:lvlJc w:val="left"/>
      <w:pPr>
        <w:ind w:left="5760" w:hanging="720"/>
      </w:pPr>
      <w:rPr>
        <w:rFonts w:hint="default"/>
      </w:rPr>
    </w:lvl>
    <w:lvl w:ilvl="7">
      <w:start w:val="1"/>
      <w:numFmt w:val="decimal"/>
      <w:lvlText w:val=""/>
      <w:lvlJc w:val="left"/>
      <w:pPr>
        <w:ind w:left="6480" w:hanging="720"/>
      </w:pPr>
      <w:rPr>
        <w:rFonts w:hint="default"/>
      </w:rPr>
    </w:lvl>
    <w:lvl w:ilvl="8">
      <w:start w:val="1"/>
      <w:numFmt w:val="decimal"/>
      <w:lvlText w:val=""/>
      <w:lvlJc w:val="left"/>
      <w:pPr>
        <w:ind w:left="7200" w:hanging="720"/>
      </w:pPr>
      <w:rPr>
        <w:rFonts w:hint="default"/>
      </w:rPr>
    </w:lvl>
  </w:abstractNum>
  <w:abstractNum w:abstractNumId="66" w15:restartNumberingAfterBreak="0">
    <w:nsid w:val="47665FD0"/>
    <w:multiLevelType w:val="multilevel"/>
    <w:tmpl w:val="5C129AB6"/>
    <w:styleLink w:val="Definitions"/>
    <w:lvl w:ilvl="0">
      <w:start w:val="1"/>
      <w:numFmt w:val="lowerLetter"/>
      <w:lvlText w:val="(%1)"/>
      <w:lvlJc w:val="left"/>
      <w:pPr>
        <w:ind w:left="720" w:hanging="720"/>
      </w:pPr>
      <w:rPr>
        <w:rFonts w:hint="default"/>
      </w:rPr>
    </w:lvl>
    <w:lvl w:ilvl="1">
      <w:start w:val="1"/>
      <w:numFmt w:val="lowerRoman"/>
      <w:lvlText w:val="(%2)"/>
      <w:lvlJc w:val="left"/>
      <w:pPr>
        <w:ind w:left="1440" w:hanging="720"/>
      </w:pPr>
      <w:rPr>
        <w:rFonts w:hint="default"/>
      </w:rPr>
    </w:lvl>
    <w:lvl w:ilvl="2">
      <w:start w:val="1"/>
      <w:numFmt w:val="none"/>
      <w:suff w:val="nothing"/>
      <w:lvlText w:val=""/>
      <w:lvlJc w:val="left"/>
      <w:pPr>
        <w:ind w:left="1440" w:hanging="720"/>
      </w:pPr>
      <w:rPr>
        <w:rFonts w:hint="default"/>
      </w:rPr>
    </w:lvl>
    <w:lvl w:ilvl="3">
      <w:start w:val="1"/>
      <w:numFmt w:val="none"/>
      <w:suff w:val="nothing"/>
      <w:lvlText w:val=""/>
      <w:lvlJc w:val="left"/>
      <w:pPr>
        <w:ind w:left="1440" w:hanging="720"/>
      </w:pPr>
      <w:rPr>
        <w:rFonts w:hint="default"/>
      </w:rPr>
    </w:lvl>
    <w:lvl w:ilvl="4">
      <w:start w:val="1"/>
      <w:numFmt w:val="none"/>
      <w:suff w:val="nothing"/>
      <w:lvlText w:val=""/>
      <w:lvlJc w:val="left"/>
      <w:pPr>
        <w:ind w:left="1440" w:hanging="720"/>
      </w:pPr>
      <w:rPr>
        <w:rFonts w:hint="default"/>
      </w:rPr>
    </w:lvl>
    <w:lvl w:ilvl="5">
      <w:start w:val="1"/>
      <w:numFmt w:val="none"/>
      <w:suff w:val="nothing"/>
      <w:lvlText w:val=""/>
      <w:lvlJc w:val="left"/>
      <w:pPr>
        <w:ind w:left="1440" w:hanging="720"/>
      </w:pPr>
      <w:rPr>
        <w:rFonts w:hint="default"/>
      </w:rPr>
    </w:lvl>
    <w:lvl w:ilvl="6">
      <w:start w:val="1"/>
      <w:numFmt w:val="none"/>
      <w:suff w:val="nothing"/>
      <w:lvlText w:val=""/>
      <w:lvlJc w:val="left"/>
      <w:pPr>
        <w:ind w:left="1440" w:hanging="720"/>
      </w:pPr>
      <w:rPr>
        <w:rFonts w:hint="default"/>
      </w:rPr>
    </w:lvl>
    <w:lvl w:ilvl="7">
      <w:start w:val="1"/>
      <w:numFmt w:val="none"/>
      <w:suff w:val="nothing"/>
      <w:lvlText w:val=""/>
      <w:lvlJc w:val="left"/>
      <w:pPr>
        <w:ind w:left="1440" w:hanging="720"/>
      </w:pPr>
      <w:rPr>
        <w:rFonts w:hint="default"/>
      </w:rPr>
    </w:lvl>
    <w:lvl w:ilvl="8">
      <w:start w:val="1"/>
      <w:numFmt w:val="none"/>
      <w:suff w:val="nothing"/>
      <w:lvlText w:val=""/>
      <w:lvlJc w:val="left"/>
      <w:pPr>
        <w:ind w:left="1440" w:hanging="720"/>
      </w:pPr>
      <w:rPr>
        <w:rFonts w:hint="default"/>
      </w:rPr>
    </w:lvl>
  </w:abstractNum>
  <w:abstractNum w:abstractNumId="67" w15:restartNumberingAfterBreak="0">
    <w:nsid w:val="47F67907"/>
    <w:multiLevelType w:val="multilevel"/>
    <w:tmpl w:val="14AC4A3E"/>
    <w:lvl w:ilvl="0">
      <w:start w:val="1"/>
      <w:numFmt w:val="decimal"/>
      <w:lvlText w:val="%1."/>
      <w:lvlJc w:val="left"/>
      <w:pPr>
        <w:ind w:left="0" w:firstLine="720"/>
      </w:pPr>
      <w:rPr>
        <w:color w:val="000000"/>
      </w:rPr>
    </w:lvl>
    <w:lvl w:ilvl="1">
      <w:start w:val="1"/>
      <w:numFmt w:val="lowerLetter"/>
      <w:lvlText w:val="(%2)"/>
      <w:lvlJc w:val="left"/>
      <w:pPr>
        <w:ind w:left="720" w:firstLine="720"/>
      </w:pPr>
      <w:rPr>
        <w:color w:val="000000"/>
      </w:rPr>
    </w:lvl>
    <w:lvl w:ilvl="2">
      <w:start w:val="1"/>
      <w:numFmt w:val="lowerRoman"/>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68" w15:restartNumberingAfterBreak="0">
    <w:nsid w:val="49021F1E"/>
    <w:multiLevelType w:val="multilevel"/>
    <w:tmpl w:val="5602FC62"/>
    <w:name w:val="Plato Heading List"/>
    <w:lvl w:ilvl="0">
      <w:start w:val="1"/>
      <w:numFmt w:val="decimal"/>
      <w:lvlText w:val="%1."/>
      <w:lvlJc w:val="left"/>
      <w:pPr>
        <w:tabs>
          <w:tab w:val="num" w:pos="720"/>
        </w:tabs>
        <w:ind w:left="720" w:hanging="720"/>
      </w:pPr>
      <w:rPr>
        <w:caps w:val="0"/>
        <w:effect w:val="none"/>
      </w:rPr>
    </w:lvl>
    <w:lvl w:ilvl="1">
      <w:start w:val="1"/>
      <w:numFmt w:val="bullet"/>
      <w:lvlText w:val=""/>
      <w:lvlJc w:val="left"/>
      <w:pPr>
        <w:tabs>
          <w:tab w:val="num" w:pos="720"/>
        </w:tabs>
        <w:ind w:left="720" w:hanging="720"/>
      </w:pPr>
      <w:rPr>
        <w:rFonts w:ascii="Symbol" w:hAnsi="Symbol" w:hint="default"/>
        <w:caps w:val="0"/>
        <w:effect w:val="none"/>
      </w:rPr>
    </w:lvl>
    <w:lvl w:ilvl="2">
      <w:start w:val="1"/>
      <w:numFmt w:val="decimal"/>
      <w:lvlText w:val="%1.%2.%3"/>
      <w:lvlJc w:val="left"/>
      <w:pPr>
        <w:tabs>
          <w:tab w:val="num" w:pos="1800"/>
        </w:tabs>
        <w:ind w:left="1800" w:hanging="1080"/>
      </w:pPr>
      <w:rPr>
        <w:caps w:val="0"/>
        <w:effect w:val="none"/>
      </w:rPr>
    </w:lvl>
    <w:lvl w:ilvl="3">
      <w:start w:val="1"/>
      <w:numFmt w:val="decimal"/>
      <w:lvlText w:val="%1.%2.%3.%4"/>
      <w:lvlJc w:val="left"/>
      <w:pPr>
        <w:tabs>
          <w:tab w:val="num" w:pos="2880"/>
        </w:tabs>
        <w:ind w:left="2880" w:hanging="1080"/>
      </w:pPr>
      <w:rPr>
        <w:caps w:val="0"/>
        <w:effect w:val="none"/>
      </w:rPr>
    </w:lvl>
    <w:lvl w:ilvl="4">
      <w:start w:val="1"/>
      <w:numFmt w:val="lowerLetter"/>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69" w15:restartNumberingAfterBreak="0">
    <w:nsid w:val="4BA13652"/>
    <w:multiLevelType w:val="multilevel"/>
    <w:tmpl w:val="5F3017F4"/>
    <w:lvl w:ilvl="0">
      <w:start w:val="1"/>
      <w:numFmt w:val="decimal"/>
      <w:pStyle w:val="ListBullet1"/>
      <w:lvlText w:val="%1."/>
      <w:lvlJc w:val="left"/>
      <w:pPr>
        <w:ind w:left="0" w:firstLine="720"/>
      </w:pPr>
      <w:rPr>
        <w:color w:val="000000"/>
      </w:rPr>
    </w:lvl>
    <w:lvl w:ilvl="1">
      <w:start w:val="1"/>
      <w:numFmt w:val="lowerLetter"/>
      <w:pStyle w:val="ListBullet2"/>
      <w:lvlText w:val="(%2)"/>
      <w:lvlJc w:val="left"/>
      <w:pPr>
        <w:ind w:left="720" w:firstLine="720"/>
      </w:pPr>
      <w:rPr>
        <w:color w:val="000000"/>
      </w:rPr>
    </w:lvl>
    <w:lvl w:ilvl="2">
      <w:start w:val="1"/>
      <w:numFmt w:val="lowerRoman"/>
      <w:pStyle w:val="ListBullet3"/>
      <w:lvlText w:val="(%3)"/>
      <w:lvlJc w:val="left"/>
      <w:pPr>
        <w:ind w:left="1440" w:firstLine="720"/>
      </w:pPr>
      <w:rPr>
        <w:color w:val="000000"/>
      </w:rPr>
    </w:lvl>
    <w:lvl w:ilvl="3">
      <w:start w:val="1"/>
      <w:numFmt w:val="upperLetter"/>
      <w:pStyle w:val="ListBullet4"/>
      <w:lvlText w:val="(%4)"/>
      <w:lvlJc w:val="left"/>
      <w:pPr>
        <w:ind w:left="2160" w:firstLine="720"/>
      </w:pPr>
    </w:lvl>
    <w:lvl w:ilvl="4">
      <w:start w:val="1"/>
      <w:numFmt w:val="decimal"/>
      <w:pStyle w:val="ListBullet5"/>
      <w:lvlText w:val=""/>
      <w:lvlJc w:val="left"/>
      <w:pPr>
        <w:ind w:left="4320" w:hanging="720"/>
      </w:pPr>
      <w:rPr>
        <w:color w:val="000000"/>
      </w:rPr>
    </w:lvl>
    <w:lvl w:ilvl="5">
      <w:start w:val="1"/>
      <w:numFmt w:val="decimal"/>
      <w:pStyle w:val="ListBullet6"/>
      <w:lvlText w:val=""/>
      <w:lvlJc w:val="left"/>
      <w:pPr>
        <w:ind w:left="5040" w:hanging="720"/>
      </w:pPr>
    </w:lvl>
    <w:lvl w:ilvl="6">
      <w:start w:val="1"/>
      <w:numFmt w:val="decimal"/>
      <w:pStyle w:val="ListBullet7"/>
      <w:lvlText w:val=""/>
      <w:lvlJc w:val="left"/>
      <w:pPr>
        <w:ind w:left="5760" w:hanging="720"/>
      </w:pPr>
    </w:lvl>
    <w:lvl w:ilvl="7">
      <w:start w:val="1"/>
      <w:numFmt w:val="decimal"/>
      <w:pStyle w:val="ListBullet8"/>
      <w:lvlText w:val=""/>
      <w:lvlJc w:val="left"/>
      <w:pPr>
        <w:ind w:left="6480" w:hanging="720"/>
      </w:pPr>
    </w:lvl>
    <w:lvl w:ilvl="8">
      <w:start w:val="1"/>
      <w:numFmt w:val="decimal"/>
      <w:pStyle w:val="ListBullet9"/>
      <w:lvlText w:val=""/>
      <w:lvlJc w:val="left"/>
      <w:pPr>
        <w:ind w:left="7200" w:hanging="720"/>
      </w:pPr>
    </w:lvl>
  </w:abstractNum>
  <w:abstractNum w:abstractNumId="70" w15:restartNumberingAfterBreak="0">
    <w:nsid w:val="4BCA56B4"/>
    <w:multiLevelType w:val="multilevel"/>
    <w:tmpl w:val="F30EEC38"/>
    <w:lvl w:ilvl="0">
      <w:start w:val="1"/>
      <w:numFmt w:val="decimal"/>
      <w:pStyle w:val="bulletsrightcolumn"/>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1" w15:restartNumberingAfterBreak="0">
    <w:nsid w:val="4E1F4B45"/>
    <w:multiLevelType w:val="multilevel"/>
    <w:tmpl w:val="BEAC7C8C"/>
    <w:lvl w:ilvl="0">
      <w:start w:val="1"/>
      <w:numFmt w:val="decimal"/>
      <w:lvlText w:val="%1."/>
      <w:lvlJc w:val="left"/>
      <w:pPr>
        <w:ind w:left="0" w:firstLine="720"/>
      </w:pPr>
      <w:rPr>
        <w:color w:val="000000"/>
      </w:rPr>
    </w:lvl>
    <w:lvl w:ilvl="1">
      <w:start w:val="1"/>
      <w:numFmt w:val="lowerLetter"/>
      <w:lvlText w:val="(%2)"/>
      <w:lvlJc w:val="left"/>
      <w:pPr>
        <w:ind w:left="720" w:firstLine="720"/>
      </w:pPr>
      <w:rPr>
        <w:color w:val="000000"/>
      </w:rPr>
    </w:lvl>
    <w:lvl w:ilvl="2">
      <w:start w:val="1"/>
      <w:numFmt w:val="lowerRoman"/>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72" w15:restartNumberingAfterBreak="0">
    <w:nsid w:val="4E8C18EE"/>
    <w:multiLevelType w:val="multilevel"/>
    <w:tmpl w:val="7292C104"/>
    <w:lvl w:ilvl="0">
      <w:start w:val="1"/>
      <w:numFmt w:val="decimal"/>
      <w:lvlText w:val="%1."/>
      <w:lvlJc w:val="left"/>
      <w:pPr>
        <w:ind w:left="0" w:firstLine="720"/>
      </w:pPr>
      <w:rPr>
        <w:color w:val="000000"/>
      </w:rPr>
    </w:lvl>
    <w:lvl w:ilvl="1">
      <w:start w:val="1"/>
      <w:numFmt w:val="lowerLetter"/>
      <w:lvlText w:val="(%2)"/>
      <w:lvlJc w:val="left"/>
      <w:pPr>
        <w:ind w:left="720" w:firstLine="720"/>
      </w:pPr>
      <w:rPr>
        <w:color w:val="000000"/>
      </w:rPr>
    </w:lvl>
    <w:lvl w:ilvl="2">
      <w:start w:val="1"/>
      <w:numFmt w:val="lowerRoman"/>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73" w15:restartNumberingAfterBreak="0">
    <w:nsid w:val="50ED512F"/>
    <w:multiLevelType w:val="multilevel"/>
    <w:tmpl w:val="26980E22"/>
    <w:lvl w:ilvl="0">
      <w:start w:val="1"/>
      <w:numFmt w:val="decimal"/>
      <w:pStyle w:val="PartiesBodyText"/>
      <w:lvlText w:val="(%1)"/>
      <w:lvlJc w:val="left"/>
      <w:pPr>
        <w:tabs>
          <w:tab w:val="num" w:pos="720"/>
        </w:tabs>
        <w:ind w:left="720" w:hanging="720"/>
      </w:pPr>
      <w:rPr>
        <w:rFonts w:hint="default"/>
        <w:color w:val="000000"/>
      </w:rPr>
    </w:lvl>
    <w:lvl w:ilvl="1">
      <w:start w:val="1"/>
      <w:numFmt w:val="lowerLetter"/>
      <w:lvlText w:val="(%2)"/>
      <w:lvlJc w:val="left"/>
      <w:pPr>
        <w:ind w:left="720" w:firstLine="720"/>
      </w:pPr>
      <w:rPr>
        <w:rFonts w:hint="default"/>
        <w:color w:val="000000"/>
      </w:rPr>
    </w:lvl>
    <w:lvl w:ilvl="2">
      <w:start w:val="1"/>
      <w:numFmt w:val="lowerRoman"/>
      <w:lvlText w:val="(%3)"/>
      <w:lvlJc w:val="left"/>
      <w:pPr>
        <w:ind w:left="1440" w:firstLine="720"/>
      </w:pPr>
      <w:rPr>
        <w:rFonts w:hint="default"/>
        <w:color w:val="000000"/>
      </w:rPr>
    </w:lvl>
    <w:lvl w:ilvl="3">
      <w:start w:val="1"/>
      <w:numFmt w:val="upperLetter"/>
      <w:lvlText w:val="(%4)"/>
      <w:lvlJc w:val="left"/>
      <w:pPr>
        <w:ind w:left="2160" w:firstLine="720"/>
      </w:pPr>
      <w:rPr>
        <w:rFonts w:hint="default"/>
      </w:rPr>
    </w:lvl>
    <w:lvl w:ilvl="4">
      <w:start w:val="1"/>
      <w:numFmt w:val="decimal"/>
      <w:lvlText w:val=""/>
      <w:lvlJc w:val="left"/>
      <w:pPr>
        <w:ind w:left="4320" w:hanging="720"/>
      </w:pPr>
      <w:rPr>
        <w:rFonts w:hint="default"/>
        <w:color w:val="000000"/>
      </w:rPr>
    </w:lvl>
    <w:lvl w:ilvl="5">
      <w:start w:val="1"/>
      <w:numFmt w:val="decimal"/>
      <w:lvlText w:val=""/>
      <w:lvlJc w:val="left"/>
      <w:pPr>
        <w:ind w:left="5040" w:hanging="720"/>
      </w:pPr>
      <w:rPr>
        <w:rFonts w:hint="default"/>
      </w:rPr>
    </w:lvl>
    <w:lvl w:ilvl="6">
      <w:start w:val="1"/>
      <w:numFmt w:val="decimal"/>
      <w:lvlText w:val=""/>
      <w:lvlJc w:val="left"/>
      <w:pPr>
        <w:ind w:left="5760" w:hanging="720"/>
      </w:pPr>
      <w:rPr>
        <w:rFonts w:hint="default"/>
      </w:rPr>
    </w:lvl>
    <w:lvl w:ilvl="7">
      <w:start w:val="1"/>
      <w:numFmt w:val="decimal"/>
      <w:lvlText w:val=""/>
      <w:lvlJc w:val="left"/>
      <w:pPr>
        <w:ind w:left="6480" w:hanging="720"/>
      </w:pPr>
      <w:rPr>
        <w:rFonts w:hint="default"/>
      </w:rPr>
    </w:lvl>
    <w:lvl w:ilvl="8">
      <w:start w:val="1"/>
      <w:numFmt w:val="decimal"/>
      <w:lvlText w:val=""/>
      <w:lvlJc w:val="left"/>
      <w:pPr>
        <w:ind w:left="7200" w:hanging="720"/>
      </w:pPr>
      <w:rPr>
        <w:rFonts w:hint="default"/>
      </w:rPr>
    </w:lvl>
  </w:abstractNum>
  <w:abstractNum w:abstractNumId="74" w15:restartNumberingAfterBreak="0">
    <w:nsid w:val="53C44AA5"/>
    <w:multiLevelType w:val="multilevel"/>
    <w:tmpl w:val="7292C104"/>
    <w:lvl w:ilvl="0">
      <w:start w:val="1"/>
      <w:numFmt w:val="decimal"/>
      <w:lvlText w:val="%1."/>
      <w:lvlJc w:val="left"/>
      <w:pPr>
        <w:ind w:left="0" w:firstLine="720"/>
      </w:pPr>
      <w:rPr>
        <w:color w:val="000000"/>
      </w:rPr>
    </w:lvl>
    <w:lvl w:ilvl="1">
      <w:start w:val="1"/>
      <w:numFmt w:val="lowerLetter"/>
      <w:lvlText w:val="(%2)"/>
      <w:lvlJc w:val="left"/>
      <w:pPr>
        <w:ind w:left="720" w:firstLine="720"/>
      </w:pPr>
      <w:rPr>
        <w:color w:val="000000"/>
      </w:rPr>
    </w:lvl>
    <w:lvl w:ilvl="2">
      <w:start w:val="1"/>
      <w:numFmt w:val="lowerRoman"/>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75" w15:restartNumberingAfterBreak="0">
    <w:nsid w:val="53E6591E"/>
    <w:multiLevelType w:val="multilevel"/>
    <w:tmpl w:val="4DD65CE2"/>
    <w:lvl w:ilvl="0">
      <w:start w:val="1"/>
      <w:numFmt w:val="decimal"/>
      <w:pStyle w:val="MFPara-Clause"/>
      <w:lvlText w:val="%1."/>
      <w:lvlJc w:val="left"/>
      <w:pPr>
        <w:ind w:left="851" w:hanging="851"/>
      </w:pPr>
      <w:rPr>
        <w:b/>
        <w:color w:val="54534A"/>
      </w:rPr>
    </w:lvl>
    <w:lvl w:ilvl="1">
      <w:start w:val="1"/>
      <w:numFmt w:val="decimal"/>
      <w:pStyle w:val="MFParasubclause1"/>
      <w:lvlText w:val="%1.%2"/>
      <w:lvlJc w:val="left"/>
      <w:pPr>
        <w:ind w:left="851" w:hanging="851"/>
      </w:pPr>
      <w:rPr>
        <w:b w:val="0"/>
        <w:i w:val="0"/>
        <w:u w:val="none"/>
      </w:rPr>
    </w:lvl>
    <w:lvl w:ilvl="2">
      <w:start w:val="1"/>
      <w:numFmt w:val="decimal"/>
      <w:pStyle w:val="MFParasubclause2"/>
      <w:lvlText w:val="%1.%2.%3"/>
      <w:lvlJc w:val="left"/>
      <w:pPr>
        <w:ind w:left="1843" w:hanging="991"/>
      </w:pPr>
      <w:rPr>
        <w:b w:val="0"/>
        <w:i w:val="0"/>
        <w:u w:val="none"/>
      </w:rPr>
    </w:lvl>
    <w:lvl w:ilvl="3">
      <w:start w:val="1"/>
      <w:numFmt w:val="decimal"/>
      <w:pStyle w:val="MFParasubclause3"/>
      <w:lvlText w:val="%1.%2.%3.%4"/>
      <w:lvlJc w:val="left"/>
      <w:pPr>
        <w:ind w:left="3119" w:hanging="1276"/>
      </w:pPr>
      <w:rPr>
        <w:b w:val="0"/>
        <w:i w:val="0"/>
        <w:u w:val="none"/>
      </w:rPr>
    </w:lvl>
    <w:lvl w:ilvl="4">
      <w:start w:val="1"/>
      <w:numFmt w:val="lowerLetter"/>
      <w:pStyle w:val="MFParasubclause4"/>
      <w:lvlText w:val="(%5)"/>
      <w:lvlJc w:val="left"/>
      <w:pPr>
        <w:ind w:left="3119" w:hanging="1276"/>
      </w:pPr>
      <w:rPr>
        <w:b w:val="0"/>
        <w:i w:val="0"/>
        <w:u w:val="none"/>
      </w:rPr>
    </w:lvl>
    <w:lvl w:ilvl="5">
      <w:start w:val="1"/>
      <w:numFmt w:val="decimal"/>
      <w:lvlText w:val="(%6)"/>
      <w:lvlJc w:val="left"/>
      <w:pPr>
        <w:ind w:left="3686" w:hanging="566"/>
      </w:pPr>
    </w:lvl>
    <w:lvl w:ilvl="6">
      <w:start w:val="1"/>
      <w:numFmt w:val="upperLetter"/>
      <w:lvlText w:val="(%7)"/>
      <w:lvlJc w:val="left"/>
      <w:pPr>
        <w:ind w:left="4253" w:hanging="567"/>
      </w:pPr>
    </w:lvl>
    <w:lvl w:ilvl="7">
      <w:start w:val="1"/>
      <w:numFmt w:val="decimal"/>
      <w:lvlText w:val="(Not Defined)"/>
      <w:lvlJc w:val="left"/>
      <w:pPr>
        <w:ind w:left="3744" w:hanging="1224"/>
      </w:pPr>
    </w:lvl>
    <w:lvl w:ilvl="8">
      <w:start w:val="1"/>
      <w:numFmt w:val="decimal"/>
      <w:lvlText w:val="(Not Defined)"/>
      <w:lvlJc w:val="left"/>
      <w:pPr>
        <w:ind w:left="4320" w:hanging="1440"/>
      </w:pPr>
    </w:lvl>
  </w:abstractNum>
  <w:abstractNum w:abstractNumId="76" w15:restartNumberingAfterBreak="0">
    <w:nsid w:val="570F3306"/>
    <w:multiLevelType w:val="multilevel"/>
    <w:tmpl w:val="40EC0B2E"/>
    <w:lvl w:ilvl="0">
      <w:start w:val="1"/>
      <w:numFmt w:val="decimal"/>
      <w:pStyle w:val="BulletsBody"/>
      <w:lvlText w:val="%1."/>
      <w:lvlJc w:val="left"/>
      <w:pPr>
        <w:ind w:left="0" w:firstLine="720"/>
      </w:pPr>
      <w:rPr>
        <w:color w:val="000000"/>
      </w:rPr>
    </w:lvl>
    <w:lvl w:ilvl="1">
      <w:start w:val="1"/>
      <w:numFmt w:val="lowerLetter"/>
      <w:pStyle w:val="BulletsLevel1"/>
      <w:lvlText w:val="(%2)"/>
      <w:lvlJc w:val="left"/>
      <w:pPr>
        <w:ind w:left="720" w:firstLine="720"/>
      </w:pPr>
      <w:rPr>
        <w:color w:val="000000"/>
      </w:rPr>
    </w:lvl>
    <w:lvl w:ilvl="2">
      <w:start w:val="1"/>
      <w:numFmt w:val="lowerRoman"/>
      <w:pStyle w:val="BulletsLevel2"/>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77" w15:restartNumberingAfterBreak="0">
    <w:nsid w:val="5B7431F0"/>
    <w:multiLevelType w:val="multilevel"/>
    <w:tmpl w:val="8688B3EC"/>
    <w:name w:val="SchHead Numbering List"/>
    <w:lvl w:ilvl="0">
      <w:start w:val="1"/>
      <w:numFmt w:val="decimal"/>
      <w:suff w:val="space"/>
      <w:lvlText w:val="SCHEDULE %1: "/>
      <w:lvlJc w:val="left"/>
      <w:pPr>
        <w:tabs>
          <w:tab w:val="num" w:pos="0"/>
        </w:tabs>
        <w:ind w:left="0" w:firstLine="0"/>
      </w:pPr>
      <w:rPr>
        <w:caps w:val="0"/>
        <w:effect w:val="none"/>
      </w:rPr>
    </w:lvl>
    <w:lvl w:ilvl="1">
      <w:start w:val="1"/>
      <w:numFmt w:val="decimal"/>
      <w:suff w:val="space"/>
      <w:lvlText w:val="Part %2: "/>
      <w:lvlJc w:val="left"/>
      <w:pPr>
        <w:tabs>
          <w:tab w:val="num" w:pos="0"/>
        </w:tabs>
        <w:ind w:left="0" w:firstLine="0"/>
      </w:pPr>
      <w:rPr>
        <w:caps w:val="0"/>
        <w:effect w:val="none"/>
      </w:rPr>
    </w:lvl>
    <w:lvl w:ilvl="2">
      <w:start w:val="1"/>
      <w:numFmt w:val="decimal"/>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8" w15:restartNumberingAfterBreak="0">
    <w:nsid w:val="605C7446"/>
    <w:multiLevelType w:val="multilevel"/>
    <w:tmpl w:val="EAEE6AF4"/>
    <w:name w:val="List Bullet "/>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rPr>
    </w:lvl>
    <w:lvl w:ilvl="2">
      <w:start w:val="1"/>
      <w:numFmt w:val="bullet"/>
      <w:lvlText w:val="·"/>
      <w:lvlJc w:val="left"/>
      <w:pPr>
        <w:tabs>
          <w:tab w:val="num" w:pos="1800"/>
        </w:tabs>
        <w:ind w:left="1800" w:hanging="1080"/>
      </w:pPr>
      <w:rPr>
        <w:rFonts w:ascii="Symbol" w:hAnsi="Symbol" w:hint="default"/>
      </w:rPr>
    </w:lvl>
    <w:lvl w:ilvl="3">
      <w:start w:val="1"/>
      <w:numFmt w:val="bullet"/>
      <w:lvlText w:val="·"/>
      <w:lvlJc w:val="left"/>
      <w:pPr>
        <w:tabs>
          <w:tab w:val="num" w:pos="2880"/>
        </w:tabs>
        <w:ind w:left="2880" w:hanging="108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040"/>
        </w:tabs>
        <w:ind w:left="5040" w:hanging="720"/>
      </w:pPr>
    </w:lvl>
    <w:lvl w:ilvl="8">
      <w:start w:val="1"/>
      <w:numFmt w:val="bullet"/>
      <w:lvlText w:val=""/>
      <w:lvlJc w:val="left"/>
      <w:pPr>
        <w:tabs>
          <w:tab w:val="num" w:pos="5040"/>
        </w:tabs>
        <w:ind w:left="5040" w:hanging="720"/>
      </w:pPr>
    </w:lvl>
  </w:abstractNum>
  <w:abstractNum w:abstractNumId="79" w15:restartNumberingAfterBreak="0">
    <w:nsid w:val="62355241"/>
    <w:multiLevelType w:val="multilevel"/>
    <w:tmpl w:val="BF04985C"/>
    <w:lvl w:ilvl="0">
      <w:start w:val="1"/>
      <w:numFmt w:val="decimal"/>
      <w:pStyle w:val="AnnexHeading"/>
      <w:lvlText w:val="%1."/>
      <w:lvlJc w:val="left"/>
      <w:pPr>
        <w:ind w:left="0" w:firstLine="720"/>
      </w:pPr>
      <w:rPr>
        <w:color w:val="000000"/>
      </w:rPr>
    </w:lvl>
    <w:lvl w:ilvl="1">
      <w:start w:val="1"/>
      <w:numFmt w:val="lowerLetter"/>
      <w:lvlText w:val="(%2)"/>
      <w:lvlJc w:val="left"/>
      <w:pPr>
        <w:ind w:left="720" w:firstLine="720"/>
      </w:pPr>
      <w:rPr>
        <w:color w:val="000000"/>
      </w:rPr>
    </w:lvl>
    <w:lvl w:ilvl="2">
      <w:start w:val="1"/>
      <w:numFmt w:val="lowerRoman"/>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80" w15:restartNumberingAfterBreak="0">
    <w:nsid w:val="624D5CF9"/>
    <w:multiLevelType w:val="multilevel"/>
    <w:tmpl w:val="1682DEBC"/>
    <w:lvl w:ilvl="0">
      <w:start w:val="1"/>
      <w:numFmt w:val="decimal"/>
      <w:lvlText w:val="%1."/>
      <w:lvlJc w:val="left"/>
      <w:pPr>
        <w:ind w:left="0" w:firstLine="720"/>
      </w:pPr>
      <w:rPr>
        <w:color w:val="000000"/>
      </w:rPr>
    </w:lvl>
    <w:lvl w:ilvl="1">
      <w:start w:val="1"/>
      <w:numFmt w:val="lowerLetter"/>
      <w:lvlText w:val="(%2)"/>
      <w:lvlJc w:val="left"/>
      <w:pPr>
        <w:ind w:left="720" w:firstLine="720"/>
      </w:pPr>
      <w:rPr>
        <w:color w:val="000000"/>
      </w:rPr>
    </w:lvl>
    <w:lvl w:ilvl="2">
      <w:start w:val="1"/>
      <w:numFmt w:val="lowerRoman"/>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81" w15:restartNumberingAfterBreak="0">
    <w:nsid w:val="62954985"/>
    <w:multiLevelType w:val="multilevel"/>
    <w:tmpl w:val="8E3E58CC"/>
    <w:lvl w:ilvl="0">
      <w:start w:val="1"/>
      <w:numFmt w:val="decimal"/>
      <w:pStyle w:val="Numbered1"/>
      <w:lvlText w:val="%1."/>
      <w:lvlJc w:val="left"/>
      <w:pPr>
        <w:tabs>
          <w:tab w:val="num" w:pos="720"/>
        </w:tabs>
        <w:ind w:left="720" w:hanging="720"/>
      </w:pPr>
      <w:rPr>
        <w:rFonts w:hint="default"/>
        <w:color w:val="auto"/>
      </w:rPr>
    </w:lvl>
    <w:lvl w:ilvl="1">
      <w:start w:val="1"/>
      <w:numFmt w:val="decimal"/>
      <w:pStyle w:val="Numbered11"/>
      <w:lvlText w:val="%1.%2"/>
      <w:lvlJc w:val="left"/>
      <w:pPr>
        <w:tabs>
          <w:tab w:val="num" w:pos="720"/>
        </w:tabs>
        <w:ind w:left="720" w:hanging="720"/>
      </w:pPr>
      <w:rPr>
        <w:rFonts w:hint="default"/>
        <w:b w:val="0"/>
        <w:bCs w:val="0"/>
      </w:rPr>
    </w:lvl>
    <w:lvl w:ilvl="2">
      <w:start w:val="1"/>
      <w:numFmt w:val="decimal"/>
      <w:pStyle w:val="Numbered111"/>
      <w:lvlText w:val="%1.%2.%3"/>
      <w:lvlJc w:val="left"/>
      <w:pPr>
        <w:tabs>
          <w:tab w:val="num" w:pos="1800"/>
        </w:tabs>
        <w:ind w:left="1800" w:hanging="1080"/>
      </w:pPr>
      <w:rPr>
        <w:rFonts w:hint="default"/>
      </w:rPr>
    </w:lvl>
    <w:lvl w:ilvl="3">
      <w:start w:val="1"/>
      <w:numFmt w:val="lowerLetter"/>
      <w:pStyle w:val="Numbered111a"/>
      <w:lvlText w:val="(%4)"/>
      <w:lvlJc w:val="left"/>
      <w:pPr>
        <w:tabs>
          <w:tab w:val="num" w:pos="2520"/>
        </w:tabs>
        <w:ind w:left="2520" w:hanging="720"/>
      </w:pPr>
      <w:rPr>
        <w:rFonts w:hint="default"/>
      </w:rPr>
    </w:lvl>
    <w:lvl w:ilvl="4">
      <w:start w:val="1"/>
      <w:numFmt w:val="lowerRoman"/>
      <w:pStyle w:val="Numbered111ai"/>
      <w:lvlText w:val="(%5)"/>
      <w:lvlJc w:val="left"/>
      <w:pPr>
        <w:tabs>
          <w:tab w:val="num" w:pos="3240"/>
        </w:tabs>
        <w:ind w:left="3240" w:hanging="720"/>
      </w:pPr>
      <w:rPr>
        <w:rFonts w:hint="default"/>
        <w:b w:val="0"/>
        <w:bCs w:val="0"/>
        <w:i w:val="0"/>
        <w:iCs w:val="0"/>
        <w:color w:val="000000"/>
      </w:rPr>
    </w:lvl>
    <w:lvl w:ilvl="5">
      <w:start w:val="1"/>
      <w:numFmt w:val="decimal"/>
      <w:lvlText w:val=""/>
      <w:lvlJc w:val="left"/>
      <w:pPr>
        <w:ind w:left="5040" w:hanging="720"/>
      </w:pPr>
      <w:rPr>
        <w:rFonts w:hint="default"/>
      </w:rPr>
    </w:lvl>
    <w:lvl w:ilvl="6">
      <w:start w:val="1"/>
      <w:numFmt w:val="decimal"/>
      <w:lvlText w:val=""/>
      <w:lvlJc w:val="left"/>
      <w:pPr>
        <w:ind w:left="5760" w:hanging="720"/>
      </w:pPr>
      <w:rPr>
        <w:rFonts w:hint="default"/>
      </w:rPr>
    </w:lvl>
    <w:lvl w:ilvl="7">
      <w:start w:val="1"/>
      <w:numFmt w:val="decimal"/>
      <w:lvlText w:val=""/>
      <w:lvlJc w:val="left"/>
      <w:pPr>
        <w:ind w:left="6480" w:hanging="720"/>
      </w:pPr>
      <w:rPr>
        <w:rFonts w:hint="default"/>
      </w:rPr>
    </w:lvl>
    <w:lvl w:ilvl="8">
      <w:start w:val="1"/>
      <w:numFmt w:val="decimal"/>
      <w:lvlText w:val=""/>
      <w:lvlJc w:val="left"/>
      <w:pPr>
        <w:ind w:left="7200" w:hanging="720"/>
      </w:pPr>
      <w:rPr>
        <w:rFonts w:hint="default"/>
      </w:rPr>
    </w:lvl>
  </w:abstractNum>
  <w:abstractNum w:abstractNumId="82" w15:restartNumberingAfterBreak="0">
    <w:nsid w:val="636F5CB0"/>
    <w:multiLevelType w:val="multilevel"/>
    <w:tmpl w:val="14AC4A3E"/>
    <w:lvl w:ilvl="0">
      <w:start w:val="1"/>
      <w:numFmt w:val="decimal"/>
      <w:lvlText w:val="%1."/>
      <w:lvlJc w:val="left"/>
      <w:pPr>
        <w:ind w:left="0" w:firstLine="720"/>
      </w:pPr>
      <w:rPr>
        <w:color w:val="000000"/>
      </w:rPr>
    </w:lvl>
    <w:lvl w:ilvl="1">
      <w:start w:val="1"/>
      <w:numFmt w:val="lowerLetter"/>
      <w:lvlText w:val="(%2)"/>
      <w:lvlJc w:val="left"/>
      <w:pPr>
        <w:ind w:left="720" w:firstLine="720"/>
      </w:pPr>
      <w:rPr>
        <w:color w:val="000000"/>
      </w:rPr>
    </w:lvl>
    <w:lvl w:ilvl="2">
      <w:start w:val="1"/>
      <w:numFmt w:val="lowerRoman"/>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83" w15:restartNumberingAfterBreak="0">
    <w:nsid w:val="68375A55"/>
    <w:multiLevelType w:val="multilevel"/>
    <w:tmpl w:val="6E0EA924"/>
    <w:styleLink w:val="CurrentList1"/>
    <w:lvl w:ilvl="0">
      <w:start w:val="1"/>
      <w:numFmt w:val="decimal"/>
      <w:lvlText w:val="%1."/>
      <w:lvlJc w:val="left"/>
      <w:pPr>
        <w:tabs>
          <w:tab w:val="num" w:pos="720"/>
        </w:tabs>
        <w:ind w:left="720" w:hanging="720"/>
      </w:pPr>
      <w:rPr>
        <w:rFonts w:hint="default"/>
        <w:bCs w:val="0"/>
        <w:iCs w:val="0"/>
        <w:caps w:val="0"/>
        <w:strike w:val="0"/>
        <w:dstrike w:val="0"/>
        <w:outline w:val="0"/>
        <w:shadow w:val="0"/>
        <w:emboss w:val="0"/>
        <w:imprint w:val="0"/>
        <w:vanish w:val="0"/>
        <w:spacing w:val="0"/>
        <w:kern w:val="0"/>
        <w:position w:val="0"/>
        <w:szCs w:val="24"/>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687520D2"/>
    <w:multiLevelType w:val="multilevel"/>
    <w:tmpl w:val="14AC4A3E"/>
    <w:lvl w:ilvl="0">
      <w:start w:val="1"/>
      <w:numFmt w:val="decimal"/>
      <w:lvlText w:val="%1."/>
      <w:lvlJc w:val="left"/>
      <w:pPr>
        <w:ind w:left="0" w:firstLine="720"/>
      </w:pPr>
      <w:rPr>
        <w:color w:val="000000"/>
      </w:rPr>
    </w:lvl>
    <w:lvl w:ilvl="1">
      <w:start w:val="1"/>
      <w:numFmt w:val="lowerLetter"/>
      <w:lvlText w:val="(%2)"/>
      <w:lvlJc w:val="left"/>
      <w:pPr>
        <w:ind w:left="720" w:firstLine="720"/>
      </w:pPr>
      <w:rPr>
        <w:color w:val="000000"/>
      </w:rPr>
    </w:lvl>
    <w:lvl w:ilvl="2">
      <w:start w:val="1"/>
      <w:numFmt w:val="lowerRoman"/>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85" w15:restartNumberingAfterBreak="0">
    <w:nsid w:val="695C4390"/>
    <w:multiLevelType w:val="multilevel"/>
    <w:tmpl w:val="7292C104"/>
    <w:lvl w:ilvl="0">
      <w:start w:val="1"/>
      <w:numFmt w:val="decimal"/>
      <w:lvlText w:val="%1."/>
      <w:lvlJc w:val="left"/>
      <w:pPr>
        <w:ind w:left="0" w:firstLine="720"/>
      </w:pPr>
      <w:rPr>
        <w:color w:val="000000"/>
      </w:rPr>
    </w:lvl>
    <w:lvl w:ilvl="1">
      <w:start w:val="1"/>
      <w:numFmt w:val="lowerLetter"/>
      <w:lvlText w:val="(%2)"/>
      <w:lvlJc w:val="left"/>
      <w:pPr>
        <w:ind w:left="720" w:firstLine="720"/>
      </w:pPr>
      <w:rPr>
        <w:color w:val="000000"/>
      </w:rPr>
    </w:lvl>
    <w:lvl w:ilvl="2">
      <w:start w:val="1"/>
      <w:numFmt w:val="lowerRoman"/>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86" w15:restartNumberingAfterBreak="0">
    <w:nsid w:val="6A5C26DB"/>
    <w:multiLevelType w:val="multilevel"/>
    <w:tmpl w:val="B010F05A"/>
    <w:lvl w:ilvl="0">
      <w:start w:val="1"/>
      <w:numFmt w:val="decimal"/>
      <w:pStyle w:val="BodyTextIndent"/>
      <w:lvlText w:val="%1."/>
      <w:lvlJc w:val="left"/>
      <w:pPr>
        <w:ind w:left="0" w:firstLine="720"/>
      </w:pPr>
      <w:rPr>
        <w:color w:val="000000"/>
      </w:rPr>
    </w:lvl>
    <w:lvl w:ilvl="1">
      <w:start w:val="1"/>
      <w:numFmt w:val="lowerLetter"/>
      <w:pStyle w:val="BodyTextIndent2"/>
      <w:lvlText w:val="(%2)"/>
      <w:lvlJc w:val="left"/>
      <w:pPr>
        <w:ind w:left="720" w:firstLine="720"/>
      </w:pPr>
      <w:rPr>
        <w:color w:val="000000"/>
      </w:rPr>
    </w:lvl>
    <w:lvl w:ilvl="2">
      <w:start w:val="1"/>
      <w:numFmt w:val="lowerRoman"/>
      <w:pStyle w:val="DefinitionNumbering1"/>
      <w:lvlText w:val="(%3)"/>
      <w:lvlJc w:val="left"/>
      <w:pPr>
        <w:ind w:left="1440" w:firstLine="720"/>
      </w:pPr>
      <w:rPr>
        <w:color w:val="000000"/>
      </w:rPr>
    </w:lvl>
    <w:lvl w:ilvl="3">
      <w:start w:val="1"/>
      <w:numFmt w:val="upperLetter"/>
      <w:pStyle w:val="DefinitionNumbering2"/>
      <w:lvlText w:val="(%4)"/>
      <w:lvlJc w:val="left"/>
      <w:pPr>
        <w:ind w:left="2160" w:firstLine="720"/>
      </w:pPr>
    </w:lvl>
    <w:lvl w:ilvl="4">
      <w:start w:val="1"/>
      <w:numFmt w:val="decimal"/>
      <w:pStyle w:val="DefinitionNumbering3"/>
      <w:lvlText w:val=""/>
      <w:lvlJc w:val="left"/>
      <w:pPr>
        <w:ind w:left="4320" w:hanging="720"/>
      </w:pPr>
      <w:rPr>
        <w:color w:val="000000"/>
      </w:rPr>
    </w:lvl>
    <w:lvl w:ilvl="5">
      <w:start w:val="1"/>
      <w:numFmt w:val="decimal"/>
      <w:pStyle w:val="DefinitionNumbering4"/>
      <w:lvlText w:val=""/>
      <w:lvlJc w:val="left"/>
      <w:pPr>
        <w:ind w:left="5040" w:hanging="720"/>
      </w:pPr>
    </w:lvl>
    <w:lvl w:ilvl="6">
      <w:start w:val="1"/>
      <w:numFmt w:val="decimal"/>
      <w:pStyle w:val="DefinitionNumbering5"/>
      <w:lvlText w:val=""/>
      <w:lvlJc w:val="left"/>
      <w:pPr>
        <w:ind w:left="5760" w:hanging="720"/>
      </w:pPr>
    </w:lvl>
    <w:lvl w:ilvl="7">
      <w:start w:val="1"/>
      <w:numFmt w:val="decimal"/>
      <w:pStyle w:val="DefinitionNumbering6"/>
      <w:lvlText w:val=""/>
      <w:lvlJc w:val="left"/>
      <w:pPr>
        <w:ind w:left="6480" w:hanging="720"/>
      </w:pPr>
    </w:lvl>
    <w:lvl w:ilvl="8">
      <w:start w:val="1"/>
      <w:numFmt w:val="decimal"/>
      <w:pStyle w:val="DefinitionNumbering7"/>
      <w:lvlText w:val=""/>
      <w:lvlJc w:val="left"/>
      <w:pPr>
        <w:ind w:left="7200" w:hanging="720"/>
      </w:pPr>
    </w:lvl>
  </w:abstractNum>
  <w:abstractNum w:abstractNumId="87" w15:restartNumberingAfterBreak="0">
    <w:nsid w:val="6C640749"/>
    <w:multiLevelType w:val="hybridMultilevel"/>
    <w:tmpl w:val="4726CFD2"/>
    <w:lvl w:ilvl="0" w:tplc="0C09000F">
      <w:start w:val="1"/>
      <w:numFmt w:val="decimal"/>
      <w:lvlText w:val="%1."/>
      <w:lvlJc w:val="left"/>
      <w:pPr>
        <w:ind w:left="2523" w:hanging="360"/>
      </w:pPr>
    </w:lvl>
    <w:lvl w:ilvl="1" w:tplc="0C090019" w:tentative="1">
      <w:start w:val="1"/>
      <w:numFmt w:val="lowerLetter"/>
      <w:lvlText w:val="%2."/>
      <w:lvlJc w:val="left"/>
      <w:pPr>
        <w:ind w:left="3243" w:hanging="360"/>
      </w:pPr>
    </w:lvl>
    <w:lvl w:ilvl="2" w:tplc="0C09001B" w:tentative="1">
      <w:start w:val="1"/>
      <w:numFmt w:val="lowerRoman"/>
      <w:lvlText w:val="%3."/>
      <w:lvlJc w:val="right"/>
      <w:pPr>
        <w:ind w:left="3963" w:hanging="180"/>
      </w:pPr>
    </w:lvl>
    <w:lvl w:ilvl="3" w:tplc="0C09000F" w:tentative="1">
      <w:start w:val="1"/>
      <w:numFmt w:val="decimal"/>
      <w:lvlText w:val="%4."/>
      <w:lvlJc w:val="left"/>
      <w:pPr>
        <w:ind w:left="4683" w:hanging="360"/>
      </w:pPr>
    </w:lvl>
    <w:lvl w:ilvl="4" w:tplc="0C090019" w:tentative="1">
      <w:start w:val="1"/>
      <w:numFmt w:val="lowerLetter"/>
      <w:lvlText w:val="%5."/>
      <w:lvlJc w:val="left"/>
      <w:pPr>
        <w:ind w:left="5403" w:hanging="360"/>
      </w:pPr>
    </w:lvl>
    <w:lvl w:ilvl="5" w:tplc="0C09001B" w:tentative="1">
      <w:start w:val="1"/>
      <w:numFmt w:val="lowerRoman"/>
      <w:lvlText w:val="%6."/>
      <w:lvlJc w:val="right"/>
      <w:pPr>
        <w:ind w:left="6123" w:hanging="180"/>
      </w:pPr>
    </w:lvl>
    <w:lvl w:ilvl="6" w:tplc="0C09000F" w:tentative="1">
      <w:start w:val="1"/>
      <w:numFmt w:val="decimal"/>
      <w:lvlText w:val="%7."/>
      <w:lvlJc w:val="left"/>
      <w:pPr>
        <w:ind w:left="6843" w:hanging="360"/>
      </w:pPr>
    </w:lvl>
    <w:lvl w:ilvl="7" w:tplc="0C090019" w:tentative="1">
      <w:start w:val="1"/>
      <w:numFmt w:val="lowerLetter"/>
      <w:lvlText w:val="%8."/>
      <w:lvlJc w:val="left"/>
      <w:pPr>
        <w:ind w:left="7563" w:hanging="360"/>
      </w:pPr>
    </w:lvl>
    <w:lvl w:ilvl="8" w:tplc="0C09001B" w:tentative="1">
      <w:start w:val="1"/>
      <w:numFmt w:val="lowerRoman"/>
      <w:lvlText w:val="%9."/>
      <w:lvlJc w:val="right"/>
      <w:pPr>
        <w:ind w:left="8283" w:hanging="180"/>
      </w:pPr>
    </w:lvl>
  </w:abstractNum>
  <w:abstractNum w:abstractNumId="88" w15:restartNumberingAfterBreak="0">
    <w:nsid w:val="6D7D1174"/>
    <w:multiLevelType w:val="multilevel"/>
    <w:tmpl w:val="7292C104"/>
    <w:lvl w:ilvl="0">
      <w:start w:val="1"/>
      <w:numFmt w:val="decimal"/>
      <w:lvlText w:val="%1."/>
      <w:lvlJc w:val="left"/>
      <w:pPr>
        <w:ind w:left="0" w:firstLine="720"/>
      </w:pPr>
      <w:rPr>
        <w:color w:val="000000"/>
      </w:rPr>
    </w:lvl>
    <w:lvl w:ilvl="1">
      <w:start w:val="1"/>
      <w:numFmt w:val="lowerLetter"/>
      <w:lvlText w:val="(%2)"/>
      <w:lvlJc w:val="left"/>
      <w:pPr>
        <w:ind w:left="720" w:firstLine="720"/>
      </w:pPr>
      <w:rPr>
        <w:color w:val="000000"/>
      </w:rPr>
    </w:lvl>
    <w:lvl w:ilvl="2">
      <w:start w:val="1"/>
      <w:numFmt w:val="lowerRoman"/>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89" w15:restartNumberingAfterBreak="0">
    <w:nsid w:val="6DFF272D"/>
    <w:multiLevelType w:val="multilevel"/>
    <w:tmpl w:val="14AC4A3E"/>
    <w:lvl w:ilvl="0">
      <w:start w:val="1"/>
      <w:numFmt w:val="decimal"/>
      <w:lvlText w:val="%1."/>
      <w:lvlJc w:val="left"/>
      <w:pPr>
        <w:ind w:left="0" w:firstLine="720"/>
      </w:pPr>
      <w:rPr>
        <w:color w:val="000000"/>
      </w:rPr>
    </w:lvl>
    <w:lvl w:ilvl="1">
      <w:start w:val="1"/>
      <w:numFmt w:val="lowerLetter"/>
      <w:lvlText w:val="(%2)"/>
      <w:lvlJc w:val="left"/>
      <w:pPr>
        <w:ind w:left="720" w:firstLine="720"/>
      </w:pPr>
      <w:rPr>
        <w:color w:val="000000"/>
      </w:rPr>
    </w:lvl>
    <w:lvl w:ilvl="2">
      <w:start w:val="1"/>
      <w:numFmt w:val="lowerRoman"/>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90" w15:restartNumberingAfterBreak="0">
    <w:nsid w:val="6E2E322A"/>
    <w:multiLevelType w:val="multilevel"/>
    <w:tmpl w:val="71CE5942"/>
    <w:lvl w:ilvl="0">
      <w:start w:val="1"/>
      <w:numFmt w:val="decimal"/>
      <w:pStyle w:val="AppHead"/>
      <w:lvlText w:val="%1."/>
      <w:lvlJc w:val="left"/>
      <w:pPr>
        <w:ind w:left="0" w:firstLine="720"/>
      </w:pPr>
      <w:rPr>
        <w:color w:val="000000"/>
      </w:rPr>
    </w:lvl>
    <w:lvl w:ilvl="1">
      <w:start w:val="1"/>
      <w:numFmt w:val="lowerLetter"/>
      <w:pStyle w:val="AppPart"/>
      <w:lvlText w:val="(%2)"/>
      <w:lvlJc w:val="left"/>
      <w:pPr>
        <w:ind w:left="720" w:firstLine="720"/>
      </w:pPr>
      <w:rPr>
        <w:color w:val="000000"/>
      </w:rPr>
    </w:lvl>
    <w:lvl w:ilvl="2">
      <w:start w:val="1"/>
      <w:numFmt w:val="lowerRoman"/>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91" w15:restartNumberingAfterBreak="0">
    <w:nsid w:val="6EAE6B73"/>
    <w:multiLevelType w:val="multilevel"/>
    <w:tmpl w:val="7292C104"/>
    <w:lvl w:ilvl="0">
      <w:start w:val="1"/>
      <w:numFmt w:val="decimal"/>
      <w:lvlText w:val="%1."/>
      <w:lvlJc w:val="left"/>
      <w:pPr>
        <w:ind w:left="0" w:firstLine="720"/>
      </w:pPr>
      <w:rPr>
        <w:color w:val="000000"/>
      </w:rPr>
    </w:lvl>
    <w:lvl w:ilvl="1">
      <w:start w:val="1"/>
      <w:numFmt w:val="lowerLetter"/>
      <w:lvlText w:val="(%2)"/>
      <w:lvlJc w:val="left"/>
      <w:pPr>
        <w:ind w:left="720" w:firstLine="720"/>
      </w:pPr>
      <w:rPr>
        <w:color w:val="000000"/>
      </w:rPr>
    </w:lvl>
    <w:lvl w:ilvl="2">
      <w:start w:val="1"/>
      <w:numFmt w:val="lowerRoman"/>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92" w15:restartNumberingAfterBreak="0">
    <w:nsid w:val="6FDD44B5"/>
    <w:multiLevelType w:val="multilevel"/>
    <w:tmpl w:val="3BB4B43A"/>
    <w:lvl w:ilvl="0">
      <w:start w:val="1"/>
      <w:numFmt w:val="decimal"/>
      <w:lvlText w:val="%1."/>
      <w:lvlJc w:val="left"/>
      <w:pPr>
        <w:ind w:left="0" w:firstLine="720"/>
      </w:pPr>
      <w:rPr>
        <w:color w:val="000000"/>
      </w:rPr>
    </w:lvl>
    <w:lvl w:ilvl="1">
      <w:start w:val="1"/>
      <w:numFmt w:val="lowerLetter"/>
      <w:lvlText w:val="(%2)"/>
      <w:lvlJc w:val="left"/>
      <w:pPr>
        <w:ind w:left="720" w:firstLine="720"/>
      </w:pPr>
      <w:rPr>
        <w:color w:val="000000"/>
      </w:rPr>
    </w:lvl>
    <w:lvl w:ilvl="2">
      <w:start w:val="1"/>
      <w:numFmt w:val="lowerRoman"/>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pStyle w:val="DefinitionNumbering8"/>
      <w:lvlText w:val=""/>
      <w:lvlJc w:val="left"/>
      <w:pPr>
        <w:ind w:left="6480" w:hanging="720"/>
      </w:pPr>
    </w:lvl>
    <w:lvl w:ilvl="8">
      <w:start w:val="1"/>
      <w:numFmt w:val="decimal"/>
      <w:pStyle w:val="DefinitionNumbering9"/>
      <w:lvlText w:val=""/>
      <w:lvlJc w:val="left"/>
      <w:pPr>
        <w:ind w:left="7200" w:hanging="720"/>
      </w:pPr>
    </w:lvl>
  </w:abstractNum>
  <w:abstractNum w:abstractNumId="93" w15:restartNumberingAfterBreak="0">
    <w:nsid w:val="70182178"/>
    <w:multiLevelType w:val="multilevel"/>
    <w:tmpl w:val="45BED9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4" w15:restartNumberingAfterBreak="0">
    <w:nsid w:val="72615230"/>
    <w:multiLevelType w:val="multilevel"/>
    <w:tmpl w:val="830E406A"/>
    <w:lvl w:ilvl="0">
      <w:start w:val="1"/>
      <w:numFmt w:val="decimal"/>
      <w:pStyle w:val="ScheduleL1"/>
      <w:lvlText w:val="%1."/>
      <w:lvlJc w:val="left"/>
      <w:pPr>
        <w:ind w:left="0" w:firstLine="720"/>
      </w:pPr>
      <w:rPr>
        <w:color w:val="000000"/>
      </w:rPr>
    </w:lvl>
    <w:lvl w:ilvl="1">
      <w:start w:val="1"/>
      <w:numFmt w:val="lowerLetter"/>
      <w:pStyle w:val="ScheduleL2"/>
      <w:lvlText w:val="(%2)"/>
      <w:lvlJc w:val="left"/>
      <w:pPr>
        <w:ind w:left="720" w:firstLine="720"/>
      </w:pPr>
      <w:rPr>
        <w:color w:val="000000"/>
      </w:rPr>
    </w:lvl>
    <w:lvl w:ilvl="2">
      <w:start w:val="1"/>
      <w:numFmt w:val="lowerRoman"/>
      <w:pStyle w:val="ScheduleL3"/>
      <w:lvlText w:val="(%3)"/>
      <w:lvlJc w:val="left"/>
      <w:pPr>
        <w:ind w:left="1440" w:firstLine="720"/>
      </w:pPr>
      <w:rPr>
        <w:color w:val="000000"/>
      </w:rPr>
    </w:lvl>
    <w:lvl w:ilvl="3">
      <w:start w:val="1"/>
      <w:numFmt w:val="upperLetter"/>
      <w:pStyle w:val="ScheduleL4"/>
      <w:lvlText w:val="(%4)"/>
      <w:lvlJc w:val="left"/>
      <w:pPr>
        <w:ind w:left="2160" w:firstLine="720"/>
      </w:pPr>
    </w:lvl>
    <w:lvl w:ilvl="4">
      <w:start w:val="1"/>
      <w:numFmt w:val="decimal"/>
      <w:pStyle w:val="ScheduleL5"/>
      <w:lvlText w:val=""/>
      <w:lvlJc w:val="left"/>
      <w:pPr>
        <w:ind w:left="4320" w:hanging="720"/>
      </w:pPr>
      <w:rPr>
        <w:color w:val="000000"/>
      </w:rPr>
    </w:lvl>
    <w:lvl w:ilvl="5">
      <w:start w:val="1"/>
      <w:numFmt w:val="decimal"/>
      <w:pStyle w:val="ScheduleL6"/>
      <w:lvlText w:val=""/>
      <w:lvlJc w:val="left"/>
      <w:pPr>
        <w:ind w:left="5040" w:hanging="720"/>
      </w:pPr>
    </w:lvl>
    <w:lvl w:ilvl="6">
      <w:start w:val="1"/>
      <w:numFmt w:val="decimal"/>
      <w:pStyle w:val="ScheduleL7"/>
      <w:lvlText w:val=""/>
      <w:lvlJc w:val="left"/>
      <w:pPr>
        <w:ind w:left="5760" w:hanging="720"/>
      </w:pPr>
    </w:lvl>
    <w:lvl w:ilvl="7">
      <w:start w:val="1"/>
      <w:numFmt w:val="decimal"/>
      <w:pStyle w:val="ScheduleL8"/>
      <w:lvlText w:val=""/>
      <w:lvlJc w:val="left"/>
      <w:pPr>
        <w:ind w:left="6480" w:hanging="720"/>
      </w:pPr>
    </w:lvl>
    <w:lvl w:ilvl="8">
      <w:start w:val="1"/>
      <w:numFmt w:val="decimal"/>
      <w:pStyle w:val="ScheduleL9"/>
      <w:lvlText w:val=""/>
      <w:lvlJc w:val="left"/>
      <w:pPr>
        <w:ind w:left="7200" w:hanging="720"/>
      </w:pPr>
    </w:lvl>
  </w:abstractNum>
  <w:abstractNum w:abstractNumId="95" w15:restartNumberingAfterBreak="0">
    <w:nsid w:val="72E22A43"/>
    <w:multiLevelType w:val="multilevel"/>
    <w:tmpl w:val="1DC8D016"/>
    <w:lvl w:ilvl="0">
      <w:start w:val="1"/>
      <w:numFmt w:val="decimal"/>
      <w:pStyle w:val="tickbulletrightcolumn"/>
      <w:lvlText w:val="%1"/>
      <w:lvlJc w:val="left"/>
      <w:pPr>
        <w:ind w:left="720" w:hanging="720"/>
      </w:pPr>
    </w:lvl>
    <w:lvl w:ilvl="1">
      <w:start w:val="1"/>
      <w:numFmt w:val="decimal"/>
      <w:lvlText w:val="%1.%2"/>
      <w:lvlJc w:val="left"/>
      <w:pPr>
        <w:ind w:left="720" w:hanging="720"/>
      </w:pPr>
      <w:rPr>
        <w:b w:val="0"/>
      </w:rPr>
    </w:lvl>
    <w:lvl w:ilvl="2">
      <w:start w:val="1"/>
      <w:numFmt w:val="decimal"/>
      <w:lvlText w:val="%1.%2.%3"/>
      <w:lvlJc w:val="left"/>
      <w:pPr>
        <w:ind w:left="1803" w:hanging="1083"/>
      </w:pPr>
      <w:rPr>
        <w:b w:val="0"/>
      </w:r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upperLetter"/>
      <w:lvlText w:val="(%6)"/>
      <w:lvlJc w:val="left"/>
      <w:pPr>
        <w:ind w:left="3243" w:hanging="720"/>
      </w:pPr>
    </w:lvl>
    <w:lvl w:ilvl="6">
      <w:start w:val="1"/>
      <w:numFmt w:val="decimal"/>
      <w:lvlText w:val=""/>
      <w:lvlJc w:val="left"/>
      <w:pPr>
        <w:ind w:left="2523" w:hanging="720"/>
      </w:pPr>
    </w:lvl>
    <w:lvl w:ilvl="7">
      <w:start w:val="1"/>
      <w:numFmt w:val="decimal"/>
      <w:lvlText w:val=""/>
      <w:lvlJc w:val="left"/>
      <w:pPr>
        <w:ind w:left="2523" w:hanging="720"/>
      </w:pPr>
    </w:lvl>
    <w:lvl w:ilvl="8">
      <w:start w:val="1"/>
      <w:numFmt w:val="decimal"/>
      <w:lvlText w:val=""/>
      <w:lvlJc w:val="left"/>
      <w:pPr>
        <w:ind w:left="2523" w:hanging="720"/>
      </w:pPr>
    </w:lvl>
  </w:abstractNum>
  <w:abstractNum w:abstractNumId="96" w15:restartNumberingAfterBreak="0">
    <w:nsid w:val="73280379"/>
    <w:multiLevelType w:val="multilevel"/>
    <w:tmpl w:val="B6F20FD4"/>
    <w:lvl w:ilvl="0">
      <w:start w:val="1"/>
      <w:numFmt w:val="decimal"/>
      <w:pStyle w:val="ListNumber5"/>
      <w:lvlText w:val="%1."/>
      <w:lvlJc w:val="left"/>
      <w:pPr>
        <w:ind w:left="360" w:hanging="360"/>
      </w:pPr>
      <w:rPr>
        <w:rFonts w:ascii="Verdana" w:eastAsia="Verdana" w:hAnsi="Verdana" w:cs="Verdana"/>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Verdana" w:eastAsia="Verdana" w:hAnsi="Verdana" w:cs="Verdana"/>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Verdana" w:eastAsia="Verdana" w:hAnsi="Verdana" w:cs="Verdana"/>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Verdana" w:eastAsia="Verdana" w:hAnsi="Verdana" w:cs="Verdana"/>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Verdana" w:eastAsia="Verdana" w:hAnsi="Verdana" w:cs="Verdana"/>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Verdana" w:eastAsia="Verdana" w:hAnsi="Verdana" w:cs="Verdana"/>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Verdana" w:eastAsia="Verdana" w:hAnsi="Verdana" w:cs="Verdana"/>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Verdana" w:eastAsia="Verdana" w:hAnsi="Verdana" w:cs="Verdana"/>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Verdana" w:eastAsia="Verdana" w:hAnsi="Verdana" w:cs="Verdana"/>
        <w:b w:val="0"/>
        <w:i w:val="0"/>
        <w:strike w:val="0"/>
        <w:color w:val="000000"/>
        <w:sz w:val="22"/>
        <w:szCs w:val="22"/>
        <w:u w:val="none"/>
        <w:shd w:val="clear" w:color="auto" w:fill="auto"/>
        <w:vertAlign w:val="baseline"/>
      </w:rPr>
    </w:lvl>
  </w:abstractNum>
  <w:abstractNum w:abstractNumId="97" w15:restartNumberingAfterBreak="0">
    <w:nsid w:val="73845996"/>
    <w:multiLevelType w:val="multilevel"/>
    <w:tmpl w:val="7292C104"/>
    <w:lvl w:ilvl="0">
      <w:start w:val="1"/>
      <w:numFmt w:val="decimal"/>
      <w:lvlText w:val="%1."/>
      <w:lvlJc w:val="left"/>
      <w:pPr>
        <w:ind w:left="0" w:firstLine="720"/>
      </w:pPr>
      <w:rPr>
        <w:color w:val="000000"/>
      </w:rPr>
    </w:lvl>
    <w:lvl w:ilvl="1">
      <w:start w:val="1"/>
      <w:numFmt w:val="lowerLetter"/>
      <w:lvlText w:val="(%2)"/>
      <w:lvlJc w:val="left"/>
      <w:pPr>
        <w:ind w:left="720" w:firstLine="720"/>
      </w:pPr>
      <w:rPr>
        <w:color w:val="000000"/>
      </w:rPr>
    </w:lvl>
    <w:lvl w:ilvl="2">
      <w:start w:val="1"/>
      <w:numFmt w:val="lowerRoman"/>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abstractNum w:abstractNumId="98" w15:restartNumberingAfterBreak="0">
    <w:nsid w:val="790B5C40"/>
    <w:multiLevelType w:val="multilevel"/>
    <w:tmpl w:val="177A270C"/>
    <w:lvl w:ilvl="0">
      <w:start w:val="1"/>
      <w:numFmt w:val="decimal"/>
      <w:pStyle w:val="AppendixText1"/>
      <w:lvlText w:val="%1."/>
      <w:lvlJc w:val="left"/>
      <w:pPr>
        <w:tabs>
          <w:tab w:val="num" w:pos="720"/>
        </w:tabs>
        <w:ind w:left="720" w:hanging="720"/>
      </w:pPr>
      <w:rPr>
        <w:rFonts w:hint="default"/>
        <w:color w:val="auto"/>
      </w:rPr>
    </w:lvl>
    <w:lvl w:ilvl="1">
      <w:start w:val="1"/>
      <w:numFmt w:val="decimal"/>
      <w:pStyle w:val="AppendixText2"/>
      <w:lvlText w:val="%1.%2"/>
      <w:lvlJc w:val="left"/>
      <w:pPr>
        <w:ind w:left="720" w:hanging="720"/>
      </w:pPr>
      <w:rPr>
        <w:rFonts w:hint="default"/>
        <w:b w:val="0"/>
        <w:bCs w:val="0"/>
      </w:rPr>
    </w:lvl>
    <w:lvl w:ilvl="2">
      <w:start w:val="1"/>
      <w:numFmt w:val="decimal"/>
      <w:pStyle w:val="AppendixText3"/>
      <w:lvlText w:val="%1.%2.%3"/>
      <w:lvlJc w:val="left"/>
      <w:pPr>
        <w:tabs>
          <w:tab w:val="num" w:pos="1800"/>
        </w:tabs>
        <w:ind w:left="1800" w:hanging="1080"/>
      </w:pPr>
      <w:rPr>
        <w:rFonts w:hint="default"/>
      </w:rPr>
    </w:lvl>
    <w:lvl w:ilvl="3">
      <w:start w:val="1"/>
      <w:numFmt w:val="lowerLetter"/>
      <w:pStyle w:val="AppendixText4"/>
      <w:lvlText w:val="(%4)"/>
      <w:lvlJc w:val="left"/>
      <w:pPr>
        <w:tabs>
          <w:tab w:val="num" w:pos="2520"/>
        </w:tabs>
        <w:ind w:left="2520" w:hanging="720"/>
      </w:pPr>
      <w:rPr>
        <w:rFonts w:hint="default"/>
      </w:rPr>
    </w:lvl>
    <w:lvl w:ilvl="4">
      <w:start w:val="1"/>
      <w:numFmt w:val="decimal"/>
      <w:pStyle w:val="AppendixText5"/>
      <w:lvlText w:val="%5."/>
      <w:lvlJc w:val="left"/>
      <w:pPr>
        <w:tabs>
          <w:tab w:val="num" w:pos="3600"/>
        </w:tabs>
        <w:ind w:left="3600" w:hanging="720"/>
      </w:pPr>
      <w:rPr>
        <w:rFonts w:hint="default"/>
      </w:rPr>
    </w:lvl>
    <w:lvl w:ilvl="5">
      <w:start w:val="1"/>
      <w:numFmt w:val="decimal"/>
      <w:pStyle w:val="AppendixText6"/>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9" w15:restartNumberingAfterBreak="0">
    <w:nsid w:val="7E044052"/>
    <w:multiLevelType w:val="multilevel"/>
    <w:tmpl w:val="14AC4A3E"/>
    <w:lvl w:ilvl="0">
      <w:start w:val="1"/>
      <w:numFmt w:val="decimal"/>
      <w:lvlText w:val="%1."/>
      <w:lvlJc w:val="left"/>
      <w:pPr>
        <w:ind w:left="0" w:firstLine="720"/>
      </w:pPr>
      <w:rPr>
        <w:color w:val="000000"/>
      </w:rPr>
    </w:lvl>
    <w:lvl w:ilvl="1">
      <w:start w:val="1"/>
      <w:numFmt w:val="lowerLetter"/>
      <w:lvlText w:val="(%2)"/>
      <w:lvlJc w:val="left"/>
      <w:pPr>
        <w:ind w:left="720" w:firstLine="720"/>
      </w:pPr>
      <w:rPr>
        <w:color w:val="000000"/>
      </w:rPr>
    </w:lvl>
    <w:lvl w:ilvl="2">
      <w:start w:val="1"/>
      <w:numFmt w:val="lowerRoman"/>
      <w:lvlText w:val="(%3)"/>
      <w:lvlJc w:val="left"/>
      <w:pPr>
        <w:ind w:left="1440" w:firstLine="720"/>
      </w:pPr>
      <w:rPr>
        <w:color w:val="000000"/>
      </w:rPr>
    </w:lvl>
    <w:lvl w:ilvl="3">
      <w:start w:val="1"/>
      <w:numFmt w:val="upperLetter"/>
      <w:lvlText w:val="(%4)"/>
      <w:lvlJc w:val="left"/>
      <w:pPr>
        <w:ind w:left="2160" w:firstLine="720"/>
      </w:pPr>
    </w:lvl>
    <w:lvl w:ilvl="4">
      <w:start w:val="1"/>
      <w:numFmt w:val="decimal"/>
      <w:lvlText w:val=""/>
      <w:lvlJc w:val="left"/>
      <w:pPr>
        <w:ind w:left="4320" w:hanging="720"/>
      </w:pPr>
      <w:rPr>
        <w:color w:val="000000"/>
      </w:rPr>
    </w:lvl>
    <w:lvl w:ilvl="5">
      <w:start w:val="1"/>
      <w:numFmt w:val="decimal"/>
      <w:lvlText w:val=""/>
      <w:lvlJc w:val="left"/>
      <w:pPr>
        <w:ind w:left="5040" w:hanging="720"/>
      </w:pPr>
    </w:lvl>
    <w:lvl w:ilvl="6">
      <w:start w:val="1"/>
      <w:numFmt w:val="decimal"/>
      <w:lvlText w:val=""/>
      <w:lvlJc w:val="left"/>
      <w:pPr>
        <w:ind w:left="5760" w:hanging="720"/>
      </w:pPr>
    </w:lvl>
    <w:lvl w:ilvl="7">
      <w:start w:val="1"/>
      <w:numFmt w:val="decimal"/>
      <w:lvlText w:val=""/>
      <w:lvlJc w:val="left"/>
      <w:pPr>
        <w:ind w:left="6480" w:hanging="720"/>
      </w:pPr>
    </w:lvl>
    <w:lvl w:ilvl="8">
      <w:start w:val="1"/>
      <w:numFmt w:val="decimal"/>
      <w:lvlText w:val=""/>
      <w:lvlJc w:val="left"/>
      <w:pPr>
        <w:ind w:left="7200" w:hanging="720"/>
      </w:pPr>
    </w:lvl>
  </w:abstractNum>
  <w:num w:numId="1">
    <w:abstractNumId w:val="36"/>
  </w:num>
  <w:num w:numId="2">
    <w:abstractNumId w:val="21"/>
  </w:num>
  <w:num w:numId="3">
    <w:abstractNumId w:val="76"/>
  </w:num>
  <w:num w:numId="4">
    <w:abstractNumId w:val="79"/>
  </w:num>
  <w:num w:numId="5">
    <w:abstractNumId w:val="60"/>
  </w:num>
  <w:num w:numId="6">
    <w:abstractNumId w:val="73"/>
  </w:num>
  <w:num w:numId="7">
    <w:abstractNumId w:val="20"/>
  </w:num>
  <w:num w:numId="8">
    <w:abstractNumId w:val="62"/>
  </w:num>
  <w:num w:numId="9">
    <w:abstractNumId w:val="32"/>
  </w:num>
  <w:num w:numId="10">
    <w:abstractNumId w:val="7"/>
  </w:num>
  <w:num w:numId="11">
    <w:abstractNumId w:val="12"/>
  </w:num>
  <w:num w:numId="12">
    <w:abstractNumId w:val="33"/>
  </w:num>
  <w:num w:numId="13">
    <w:abstractNumId w:val="90"/>
  </w:num>
  <w:num w:numId="14">
    <w:abstractNumId w:val="86"/>
  </w:num>
  <w:num w:numId="15">
    <w:abstractNumId w:val="28"/>
  </w:num>
  <w:num w:numId="16">
    <w:abstractNumId w:val="94"/>
  </w:num>
  <w:num w:numId="17">
    <w:abstractNumId w:val="69"/>
  </w:num>
  <w:num w:numId="18">
    <w:abstractNumId w:val="39"/>
  </w:num>
  <w:num w:numId="19">
    <w:abstractNumId w:val="92"/>
  </w:num>
  <w:num w:numId="20">
    <w:abstractNumId w:val="61"/>
  </w:num>
  <w:num w:numId="21">
    <w:abstractNumId w:val="37"/>
  </w:num>
  <w:num w:numId="22">
    <w:abstractNumId w:val="44"/>
  </w:num>
  <w:num w:numId="23">
    <w:abstractNumId w:val="54"/>
  </w:num>
  <w:num w:numId="24">
    <w:abstractNumId w:val="96"/>
  </w:num>
  <w:num w:numId="25">
    <w:abstractNumId w:val="70"/>
  </w:num>
  <w:num w:numId="26">
    <w:abstractNumId w:val="95"/>
  </w:num>
  <w:num w:numId="27">
    <w:abstractNumId w:val="71"/>
  </w:num>
  <w:num w:numId="28">
    <w:abstractNumId w:val="75"/>
  </w:num>
  <w:num w:numId="29">
    <w:abstractNumId w:val="82"/>
  </w:num>
  <w:num w:numId="30">
    <w:abstractNumId w:val="55"/>
  </w:num>
  <w:num w:numId="31">
    <w:abstractNumId w:val="47"/>
  </w:num>
  <w:num w:numId="32">
    <w:abstractNumId w:val="23"/>
  </w:num>
  <w:num w:numId="33">
    <w:abstractNumId w:val="11"/>
  </w:num>
  <w:num w:numId="34">
    <w:abstractNumId w:val="81"/>
  </w:num>
  <w:num w:numId="35">
    <w:abstractNumId w:val="42"/>
  </w:num>
  <w:num w:numId="3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1"/>
  </w:num>
  <w:num w:numId="39">
    <w:abstractNumId w:val="2"/>
  </w:num>
  <w:num w:numId="40">
    <w:abstractNumId w:val="9"/>
  </w:num>
  <w:num w:numId="41">
    <w:abstractNumId w:val="13"/>
  </w:num>
  <w:num w:numId="42">
    <w:abstractNumId w:val="34"/>
  </w:num>
  <w:num w:numId="43">
    <w:abstractNumId w:val="48"/>
  </w:num>
  <w:num w:numId="44">
    <w:abstractNumId w:val="57"/>
  </w:num>
  <w:num w:numId="45">
    <w:abstractNumId w:val="66"/>
  </w:num>
  <w:num w:numId="46">
    <w:abstractNumId w:val="98"/>
  </w:num>
  <w:num w:numId="4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0"/>
  </w:num>
  <w:num w:numId="10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40"/>
  </w:num>
  <w:num w:numId="134">
    <w:abstractNumId w:val="83"/>
  </w:num>
  <w:num w:numId="13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65"/>
  </w:num>
  <w:num w:numId="15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80"/>
  </w:num>
  <w:num w:numId="235">
    <w:abstractNumId w:val="89"/>
  </w:num>
  <w:num w:numId="236">
    <w:abstractNumId w:val="84"/>
  </w:num>
  <w:num w:numId="237">
    <w:abstractNumId w:val="46"/>
  </w:num>
  <w:num w:numId="238">
    <w:abstractNumId w:val="67"/>
  </w:num>
  <w:num w:numId="239">
    <w:abstractNumId w:val="53"/>
  </w:num>
  <w:num w:numId="240">
    <w:abstractNumId w:val="99"/>
  </w:num>
  <w:num w:numId="241">
    <w:abstractNumId w:val="31"/>
  </w:num>
  <w:num w:numId="242">
    <w:abstractNumId w:val="64"/>
  </w:num>
  <w:num w:numId="243">
    <w:abstractNumId w:val="29"/>
  </w:num>
  <w:num w:numId="244">
    <w:abstractNumId w:val="22"/>
  </w:num>
  <w:num w:numId="245">
    <w:abstractNumId w:val="26"/>
  </w:num>
  <w:num w:numId="246">
    <w:abstractNumId w:val="43"/>
  </w:num>
  <w:num w:numId="247">
    <w:abstractNumId w:val="15"/>
  </w:num>
  <w:num w:numId="248">
    <w:abstractNumId w:val="18"/>
  </w:num>
  <w:num w:numId="249">
    <w:abstractNumId w:val="72"/>
  </w:num>
  <w:num w:numId="250">
    <w:abstractNumId w:val="50"/>
  </w:num>
  <w:num w:numId="251">
    <w:abstractNumId w:val="49"/>
  </w:num>
  <w:num w:numId="252">
    <w:abstractNumId w:val="6"/>
  </w:num>
  <w:num w:numId="253">
    <w:abstractNumId w:val="85"/>
  </w:num>
  <w:num w:numId="254">
    <w:abstractNumId w:val="3"/>
  </w:num>
  <w:num w:numId="255">
    <w:abstractNumId w:val="19"/>
  </w:num>
  <w:num w:numId="256">
    <w:abstractNumId w:val="25"/>
  </w:num>
  <w:num w:numId="257">
    <w:abstractNumId w:val="27"/>
  </w:num>
  <w:num w:numId="258">
    <w:abstractNumId w:val="88"/>
  </w:num>
  <w:num w:numId="259">
    <w:abstractNumId w:val="10"/>
  </w:num>
  <w:num w:numId="260">
    <w:abstractNumId w:val="30"/>
  </w:num>
  <w:num w:numId="261">
    <w:abstractNumId w:val="41"/>
  </w:num>
  <w:num w:numId="262">
    <w:abstractNumId w:val="74"/>
  </w:num>
  <w:num w:numId="263">
    <w:abstractNumId w:val="97"/>
  </w:num>
  <w:num w:numId="264">
    <w:abstractNumId w:val="17"/>
  </w:num>
  <w:num w:numId="265">
    <w:abstractNumId w:val="5"/>
  </w:num>
  <w:num w:numId="266">
    <w:abstractNumId w:val="14"/>
  </w:num>
  <w:num w:numId="26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35"/>
  </w:num>
  <w:num w:numId="269">
    <w:abstractNumId w:val="51"/>
  </w:num>
  <w:num w:numId="270">
    <w:abstractNumId w:val="58"/>
  </w:num>
  <w:num w:numId="271">
    <w:abstractNumId w:val="91"/>
  </w:num>
  <w:num w:numId="272">
    <w:abstractNumId w:val="63"/>
  </w:num>
  <w:num w:numId="273">
    <w:abstractNumId w:val="52"/>
  </w:num>
  <w:num w:numId="274">
    <w:abstractNumId w:val="56"/>
    <w:lvlOverride w:ilvl="0">
      <w:startOverride w:val="1"/>
    </w:lvlOverride>
  </w:num>
  <w:num w:numId="27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38"/>
  </w:num>
  <w:num w:numId="292">
    <w:abstractNumId w:val="87"/>
  </w:num>
  <w:num w:numId="293">
    <w:abstractNumId w:val="16"/>
  </w:num>
  <w:num w:numId="29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81"/>
  </w:num>
  <w:num w:numId="297">
    <w:abstractNumId w:val="56"/>
  </w:num>
  <w:num w:numId="29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81"/>
  </w:num>
  <w:num w:numId="300">
    <w:abstractNumId w:val="81"/>
  </w:num>
  <w:num w:numId="301">
    <w:abstractNumId w:val="81"/>
  </w:num>
  <w:num w:numId="30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81"/>
  </w:num>
  <w:num w:numId="304">
    <w:abstractNumId w:val="8"/>
  </w:num>
  <w:num w:numId="305">
    <w:abstractNumId w:val="40"/>
  </w:num>
  <w:num w:numId="306">
    <w:abstractNumId w:val="98"/>
  </w:num>
  <w:num w:numId="307">
    <w:abstractNumId w:val="98"/>
  </w:num>
  <w:numIdMacAtCleanup w:val="3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activeWritingStyle w:appName="MSWord" w:lang="fr-FR" w:vendorID="64" w:dllVersion="6" w:nlCheck="1" w:checkStyle="0"/>
  <w:activeWritingStyle w:appName="MSWord" w:lang="en-GB" w:vendorID="64" w:dllVersion="6" w:nlCheck="1" w:checkStyle="1"/>
  <w:activeWritingStyle w:appName="MSWord" w:lang="es-ES" w:vendorID="64" w:dllVersion="6" w:nlCheck="1" w:checkStyle="0"/>
  <w:activeWritingStyle w:appName="MSWord" w:lang="es-AR" w:vendorID="64" w:dllVersion="6" w:nlCheck="1" w:checkStyle="0"/>
  <w:activeWritingStyle w:appName="MSWord" w:lang="en-GB"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es-AR" w:vendorID="64" w:dllVersion="4096" w:nlCheck="1" w:checkStyle="0"/>
  <w:activeWritingStyle w:appName="MSWord" w:lang="en-GB" w:vendorID="64" w:dllVersion="0" w:nlCheck="1" w:checkStyle="0"/>
  <w:activeWritingStyle w:appName="MSWord" w:lang="fr-FR" w:vendorID="64" w:dllVersion="0" w:nlCheck="1" w:checkStyle="0"/>
  <w:activeWritingStyle w:appName="MSWord" w:lang="es-ES" w:vendorID="64" w:dllVersion="0" w:nlCheck="1" w:checkStyle="0"/>
  <w:activeWritingStyle w:appName="MSWord" w:lang="es-AR" w:vendorID="64" w:dllVersion="0" w:nlCheck="1" w:checkStyle="0"/>
  <w:activeWritingStyle w:appName="MSWord" w:lang="nl-NL" w:vendorID="64" w:dllVersion="0" w:nlCheck="1" w:checkStyle="0"/>
  <w:activeWritingStyle w:appName="MSWord" w:lang="en-US" w:vendorID="64" w:dllVersion="0" w:nlCheck="1" w:checkStyle="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gemDN1|JONESTRA|23 March 2022 15:14:50" w:val="Continued on from Lorna"/>
    <w:docVar w:name="gemDN2|Wendy.Albrecht|Thursday, 24 March 2022 6:32:05" w:val="continued"/>
    <w:docVar w:name="gemDN3|BIRKETTE|24 March 2022 05:23:55" w:val="Continued from page 596 from Julie Scott"/>
    <w:docVar w:name="gemDN4|KITCHINE|24 March 2022 16:32:30" w:val="V2 - Amends - retain existing trk"/>
    <w:docVar w:name="gemDN5|ROBINSSU|25 July 2023 08:02:01" w:val="V3 Amends - accept trk - New V2 created"/>
    <w:docVar w:name="gemDN6|DELANEYS|25 July 2023 17:34:28" w:val="Continued from Sue"/>
    <w:docVar w:name="gemDN7|STOTTI|Wednesday, 26 July 2023 8:27:05 AM" w:val="Continuation"/>
    <w:docVar w:name="gemDN8|OAKLEYJ|26 July 2023 19:56:29" w:val="V4 - New iManage V4 created and amended."/>
    <w:docVar w:name="gemDN9|WATSONK|27 July 2023 15:19:10" w:val="V5 Amend"/>
    <w:docVar w:name="gemDocNotesCount" w:val="9"/>
  </w:docVars>
  <w:rsids>
    <w:rsidRoot w:val="004A7C2C"/>
    <w:rsid w:val="0000154C"/>
    <w:rsid w:val="00001D85"/>
    <w:rsid w:val="000024F7"/>
    <w:rsid w:val="000035DE"/>
    <w:rsid w:val="00003830"/>
    <w:rsid w:val="000038E2"/>
    <w:rsid w:val="00004AEC"/>
    <w:rsid w:val="00005253"/>
    <w:rsid w:val="00005507"/>
    <w:rsid w:val="00005BA9"/>
    <w:rsid w:val="00006F5E"/>
    <w:rsid w:val="000070C8"/>
    <w:rsid w:val="00010313"/>
    <w:rsid w:val="00010983"/>
    <w:rsid w:val="00010B92"/>
    <w:rsid w:val="00010E59"/>
    <w:rsid w:val="000111C9"/>
    <w:rsid w:val="0001420D"/>
    <w:rsid w:val="00014919"/>
    <w:rsid w:val="00015B06"/>
    <w:rsid w:val="00016234"/>
    <w:rsid w:val="00020216"/>
    <w:rsid w:val="00022C3F"/>
    <w:rsid w:val="00023BFE"/>
    <w:rsid w:val="00024F2F"/>
    <w:rsid w:val="00025910"/>
    <w:rsid w:val="00027FE9"/>
    <w:rsid w:val="000328D7"/>
    <w:rsid w:val="00032FB5"/>
    <w:rsid w:val="00033593"/>
    <w:rsid w:val="000341C4"/>
    <w:rsid w:val="000350F6"/>
    <w:rsid w:val="000369A3"/>
    <w:rsid w:val="00037EB7"/>
    <w:rsid w:val="00040234"/>
    <w:rsid w:val="00042884"/>
    <w:rsid w:val="000428BE"/>
    <w:rsid w:val="0004357F"/>
    <w:rsid w:val="00043A03"/>
    <w:rsid w:val="000453A2"/>
    <w:rsid w:val="00045FB3"/>
    <w:rsid w:val="00050613"/>
    <w:rsid w:val="00054993"/>
    <w:rsid w:val="00054C72"/>
    <w:rsid w:val="000564E6"/>
    <w:rsid w:val="00057B5A"/>
    <w:rsid w:val="0006118A"/>
    <w:rsid w:val="0006508E"/>
    <w:rsid w:val="00066209"/>
    <w:rsid w:val="0006632F"/>
    <w:rsid w:val="00067435"/>
    <w:rsid w:val="00070DE8"/>
    <w:rsid w:val="0007119B"/>
    <w:rsid w:val="000714C9"/>
    <w:rsid w:val="00074825"/>
    <w:rsid w:val="00074A42"/>
    <w:rsid w:val="00074D49"/>
    <w:rsid w:val="00075B78"/>
    <w:rsid w:val="00076F07"/>
    <w:rsid w:val="0007705F"/>
    <w:rsid w:val="00080B30"/>
    <w:rsid w:val="0008270F"/>
    <w:rsid w:val="000845D5"/>
    <w:rsid w:val="00084A3F"/>
    <w:rsid w:val="00085AC2"/>
    <w:rsid w:val="00085B75"/>
    <w:rsid w:val="000868B1"/>
    <w:rsid w:val="00086B0D"/>
    <w:rsid w:val="00087161"/>
    <w:rsid w:val="00087BFD"/>
    <w:rsid w:val="00087C57"/>
    <w:rsid w:val="00090B1E"/>
    <w:rsid w:val="00090E62"/>
    <w:rsid w:val="0009218F"/>
    <w:rsid w:val="000947CA"/>
    <w:rsid w:val="000950FC"/>
    <w:rsid w:val="000967BF"/>
    <w:rsid w:val="00096D04"/>
    <w:rsid w:val="000A0D10"/>
    <w:rsid w:val="000A6AA5"/>
    <w:rsid w:val="000A7B06"/>
    <w:rsid w:val="000A7E56"/>
    <w:rsid w:val="000A7F3E"/>
    <w:rsid w:val="000B15E8"/>
    <w:rsid w:val="000B292F"/>
    <w:rsid w:val="000B4593"/>
    <w:rsid w:val="000B4884"/>
    <w:rsid w:val="000B55E6"/>
    <w:rsid w:val="000B6D29"/>
    <w:rsid w:val="000B6F69"/>
    <w:rsid w:val="000C01BF"/>
    <w:rsid w:val="000C0A75"/>
    <w:rsid w:val="000C35BA"/>
    <w:rsid w:val="000C3721"/>
    <w:rsid w:val="000C396A"/>
    <w:rsid w:val="000C5163"/>
    <w:rsid w:val="000C5244"/>
    <w:rsid w:val="000C5350"/>
    <w:rsid w:val="000C5554"/>
    <w:rsid w:val="000D0A8F"/>
    <w:rsid w:val="000D25D4"/>
    <w:rsid w:val="000D7722"/>
    <w:rsid w:val="000D7DE5"/>
    <w:rsid w:val="000E141F"/>
    <w:rsid w:val="000E1BBB"/>
    <w:rsid w:val="000E45AE"/>
    <w:rsid w:val="000E4B1B"/>
    <w:rsid w:val="000E7E2D"/>
    <w:rsid w:val="000F11A9"/>
    <w:rsid w:val="000F14AA"/>
    <w:rsid w:val="000F29AC"/>
    <w:rsid w:val="000F2A39"/>
    <w:rsid w:val="000F2BA1"/>
    <w:rsid w:val="000F3DB5"/>
    <w:rsid w:val="000F3E80"/>
    <w:rsid w:val="000F4661"/>
    <w:rsid w:val="000F4F84"/>
    <w:rsid w:val="000F5046"/>
    <w:rsid w:val="000F7964"/>
    <w:rsid w:val="00100DD0"/>
    <w:rsid w:val="00102034"/>
    <w:rsid w:val="00103CB5"/>
    <w:rsid w:val="001045EF"/>
    <w:rsid w:val="00110396"/>
    <w:rsid w:val="001108D9"/>
    <w:rsid w:val="00111AD6"/>
    <w:rsid w:val="00113F49"/>
    <w:rsid w:val="00115F57"/>
    <w:rsid w:val="00115FDD"/>
    <w:rsid w:val="00117CBB"/>
    <w:rsid w:val="00117D2A"/>
    <w:rsid w:val="00120F5C"/>
    <w:rsid w:val="001213FD"/>
    <w:rsid w:val="001216A4"/>
    <w:rsid w:val="00121E97"/>
    <w:rsid w:val="00122216"/>
    <w:rsid w:val="001229F7"/>
    <w:rsid w:val="00122A27"/>
    <w:rsid w:val="0012334E"/>
    <w:rsid w:val="00124BE7"/>
    <w:rsid w:val="00130D94"/>
    <w:rsid w:val="00133BD5"/>
    <w:rsid w:val="0013711E"/>
    <w:rsid w:val="001371F3"/>
    <w:rsid w:val="001401F8"/>
    <w:rsid w:val="001409FB"/>
    <w:rsid w:val="00140BDF"/>
    <w:rsid w:val="0014291F"/>
    <w:rsid w:val="00142EFF"/>
    <w:rsid w:val="00144811"/>
    <w:rsid w:val="0014593C"/>
    <w:rsid w:val="001467C0"/>
    <w:rsid w:val="00146B61"/>
    <w:rsid w:val="00147F02"/>
    <w:rsid w:val="001540E3"/>
    <w:rsid w:val="00154D56"/>
    <w:rsid w:val="00155460"/>
    <w:rsid w:val="00155ED6"/>
    <w:rsid w:val="00155FA0"/>
    <w:rsid w:val="00156928"/>
    <w:rsid w:val="00157B71"/>
    <w:rsid w:val="0016479C"/>
    <w:rsid w:val="001662AF"/>
    <w:rsid w:val="0016636F"/>
    <w:rsid w:val="00166697"/>
    <w:rsid w:val="00166DAE"/>
    <w:rsid w:val="0017027D"/>
    <w:rsid w:val="00172865"/>
    <w:rsid w:val="00173336"/>
    <w:rsid w:val="0017368D"/>
    <w:rsid w:val="00174F30"/>
    <w:rsid w:val="00175FFA"/>
    <w:rsid w:val="001827D0"/>
    <w:rsid w:val="00182E3A"/>
    <w:rsid w:val="001840CB"/>
    <w:rsid w:val="00184F3F"/>
    <w:rsid w:val="001851A8"/>
    <w:rsid w:val="00190716"/>
    <w:rsid w:val="00190AA9"/>
    <w:rsid w:val="0019266B"/>
    <w:rsid w:val="00194B0E"/>
    <w:rsid w:val="00197CEC"/>
    <w:rsid w:val="001A06D9"/>
    <w:rsid w:val="001A08A8"/>
    <w:rsid w:val="001A16DF"/>
    <w:rsid w:val="001A17D8"/>
    <w:rsid w:val="001A28FF"/>
    <w:rsid w:val="001A46F2"/>
    <w:rsid w:val="001A549C"/>
    <w:rsid w:val="001A6135"/>
    <w:rsid w:val="001B0D5D"/>
    <w:rsid w:val="001B101B"/>
    <w:rsid w:val="001B45A0"/>
    <w:rsid w:val="001B4E17"/>
    <w:rsid w:val="001B5832"/>
    <w:rsid w:val="001B74ED"/>
    <w:rsid w:val="001C08C6"/>
    <w:rsid w:val="001C21D0"/>
    <w:rsid w:val="001C24E0"/>
    <w:rsid w:val="001C252E"/>
    <w:rsid w:val="001C2A33"/>
    <w:rsid w:val="001C3E16"/>
    <w:rsid w:val="001C4B30"/>
    <w:rsid w:val="001C4C7A"/>
    <w:rsid w:val="001C58EE"/>
    <w:rsid w:val="001C5C0D"/>
    <w:rsid w:val="001C7DBA"/>
    <w:rsid w:val="001D0BC3"/>
    <w:rsid w:val="001D0E8B"/>
    <w:rsid w:val="001D1BC6"/>
    <w:rsid w:val="001D28AE"/>
    <w:rsid w:val="001D2CFA"/>
    <w:rsid w:val="001D5A91"/>
    <w:rsid w:val="001D6446"/>
    <w:rsid w:val="001D763B"/>
    <w:rsid w:val="001E0688"/>
    <w:rsid w:val="001E0B4F"/>
    <w:rsid w:val="001E2688"/>
    <w:rsid w:val="001E53A2"/>
    <w:rsid w:val="001E5885"/>
    <w:rsid w:val="001E5ACB"/>
    <w:rsid w:val="001E6D31"/>
    <w:rsid w:val="001F7350"/>
    <w:rsid w:val="001F774E"/>
    <w:rsid w:val="00200027"/>
    <w:rsid w:val="002004B8"/>
    <w:rsid w:val="00200CC3"/>
    <w:rsid w:val="002025E5"/>
    <w:rsid w:val="00202C60"/>
    <w:rsid w:val="0020560C"/>
    <w:rsid w:val="002104FF"/>
    <w:rsid w:val="00211A99"/>
    <w:rsid w:val="00212E6C"/>
    <w:rsid w:val="00214A89"/>
    <w:rsid w:val="00215631"/>
    <w:rsid w:val="00216663"/>
    <w:rsid w:val="00216894"/>
    <w:rsid w:val="00217E64"/>
    <w:rsid w:val="002218CA"/>
    <w:rsid w:val="002223EA"/>
    <w:rsid w:val="00222BA0"/>
    <w:rsid w:val="002237C8"/>
    <w:rsid w:val="00224731"/>
    <w:rsid w:val="00225726"/>
    <w:rsid w:val="00231DC4"/>
    <w:rsid w:val="002337A6"/>
    <w:rsid w:val="00234101"/>
    <w:rsid w:val="00235D93"/>
    <w:rsid w:val="00235E40"/>
    <w:rsid w:val="00236F49"/>
    <w:rsid w:val="00237519"/>
    <w:rsid w:val="00240454"/>
    <w:rsid w:val="002404C6"/>
    <w:rsid w:val="002406FD"/>
    <w:rsid w:val="00240D26"/>
    <w:rsid w:val="00241D61"/>
    <w:rsid w:val="002438D2"/>
    <w:rsid w:val="002439EF"/>
    <w:rsid w:val="00243D18"/>
    <w:rsid w:val="00244D74"/>
    <w:rsid w:val="00245231"/>
    <w:rsid w:val="00245B0B"/>
    <w:rsid w:val="0024652A"/>
    <w:rsid w:val="00250746"/>
    <w:rsid w:val="002515AF"/>
    <w:rsid w:val="00253700"/>
    <w:rsid w:val="00254458"/>
    <w:rsid w:val="00255E44"/>
    <w:rsid w:val="00257AB2"/>
    <w:rsid w:val="00261286"/>
    <w:rsid w:val="00264138"/>
    <w:rsid w:val="00264CD1"/>
    <w:rsid w:val="00264D65"/>
    <w:rsid w:val="00266335"/>
    <w:rsid w:val="00266488"/>
    <w:rsid w:val="00266501"/>
    <w:rsid w:val="00266E0A"/>
    <w:rsid w:val="00267665"/>
    <w:rsid w:val="0027011C"/>
    <w:rsid w:val="002725CE"/>
    <w:rsid w:val="0027261A"/>
    <w:rsid w:val="0027502A"/>
    <w:rsid w:val="00280741"/>
    <w:rsid w:val="00281055"/>
    <w:rsid w:val="00282BE9"/>
    <w:rsid w:val="00293A7A"/>
    <w:rsid w:val="00295D4D"/>
    <w:rsid w:val="00295E0B"/>
    <w:rsid w:val="00295FCC"/>
    <w:rsid w:val="0029780A"/>
    <w:rsid w:val="002A5229"/>
    <w:rsid w:val="002B1E78"/>
    <w:rsid w:val="002B1F57"/>
    <w:rsid w:val="002B54D3"/>
    <w:rsid w:val="002B7A50"/>
    <w:rsid w:val="002C0A0D"/>
    <w:rsid w:val="002C4626"/>
    <w:rsid w:val="002C6CF9"/>
    <w:rsid w:val="002C716D"/>
    <w:rsid w:val="002D21BE"/>
    <w:rsid w:val="002D22FC"/>
    <w:rsid w:val="002D2615"/>
    <w:rsid w:val="002D277E"/>
    <w:rsid w:val="002D31E3"/>
    <w:rsid w:val="002D5C96"/>
    <w:rsid w:val="002D5E50"/>
    <w:rsid w:val="002D6F21"/>
    <w:rsid w:val="002D7EC8"/>
    <w:rsid w:val="002E0B58"/>
    <w:rsid w:val="002E2C29"/>
    <w:rsid w:val="002E3D72"/>
    <w:rsid w:val="002E463E"/>
    <w:rsid w:val="002E7013"/>
    <w:rsid w:val="002E7C89"/>
    <w:rsid w:val="002F1CCE"/>
    <w:rsid w:val="002F232A"/>
    <w:rsid w:val="002F23C2"/>
    <w:rsid w:val="002F2E6A"/>
    <w:rsid w:val="002F2FF2"/>
    <w:rsid w:val="002F30DB"/>
    <w:rsid w:val="002F4405"/>
    <w:rsid w:val="002F4866"/>
    <w:rsid w:val="002F7298"/>
    <w:rsid w:val="002F79D9"/>
    <w:rsid w:val="00302D39"/>
    <w:rsid w:val="0030312A"/>
    <w:rsid w:val="00303318"/>
    <w:rsid w:val="003048EC"/>
    <w:rsid w:val="003053E3"/>
    <w:rsid w:val="00307478"/>
    <w:rsid w:val="00310C9F"/>
    <w:rsid w:val="00310E75"/>
    <w:rsid w:val="00315AAE"/>
    <w:rsid w:val="00315C00"/>
    <w:rsid w:val="003172AB"/>
    <w:rsid w:val="0032048E"/>
    <w:rsid w:val="003214FA"/>
    <w:rsid w:val="00322670"/>
    <w:rsid w:val="00323A2D"/>
    <w:rsid w:val="0032470C"/>
    <w:rsid w:val="003250BB"/>
    <w:rsid w:val="00325B15"/>
    <w:rsid w:val="003272F4"/>
    <w:rsid w:val="003275AF"/>
    <w:rsid w:val="00331A90"/>
    <w:rsid w:val="00331D15"/>
    <w:rsid w:val="00333A25"/>
    <w:rsid w:val="0033651A"/>
    <w:rsid w:val="00336587"/>
    <w:rsid w:val="00342569"/>
    <w:rsid w:val="0034321B"/>
    <w:rsid w:val="0034598C"/>
    <w:rsid w:val="00350DCA"/>
    <w:rsid w:val="00350EF8"/>
    <w:rsid w:val="00351552"/>
    <w:rsid w:val="00352050"/>
    <w:rsid w:val="0035268F"/>
    <w:rsid w:val="00352B12"/>
    <w:rsid w:val="00352D28"/>
    <w:rsid w:val="003535B2"/>
    <w:rsid w:val="0035361F"/>
    <w:rsid w:val="0035591D"/>
    <w:rsid w:val="003565BD"/>
    <w:rsid w:val="00356F49"/>
    <w:rsid w:val="003700FE"/>
    <w:rsid w:val="00370619"/>
    <w:rsid w:val="00373027"/>
    <w:rsid w:val="003731B9"/>
    <w:rsid w:val="0037353F"/>
    <w:rsid w:val="003817B8"/>
    <w:rsid w:val="003843A3"/>
    <w:rsid w:val="00385171"/>
    <w:rsid w:val="003855FA"/>
    <w:rsid w:val="00385E5F"/>
    <w:rsid w:val="003900C3"/>
    <w:rsid w:val="00392B08"/>
    <w:rsid w:val="00392F5F"/>
    <w:rsid w:val="00393DBD"/>
    <w:rsid w:val="0039417F"/>
    <w:rsid w:val="00394DE2"/>
    <w:rsid w:val="00396CF1"/>
    <w:rsid w:val="0039705F"/>
    <w:rsid w:val="00397366"/>
    <w:rsid w:val="003979AB"/>
    <w:rsid w:val="003A0C12"/>
    <w:rsid w:val="003A12B6"/>
    <w:rsid w:val="003A2635"/>
    <w:rsid w:val="003A3EDF"/>
    <w:rsid w:val="003A4A9A"/>
    <w:rsid w:val="003A54D2"/>
    <w:rsid w:val="003A79CC"/>
    <w:rsid w:val="003B034F"/>
    <w:rsid w:val="003B052F"/>
    <w:rsid w:val="003B1012"/>
    <w:rsid w:val="003B3D15"/>
    <w:rsid w:val="003B5A16"/>
    <w:rsid w:val="003C054B"/>
    <w:rsid w:val="003C0633"/>
    <w:rsid w:val="003C18D2"/>
    <w:rsid w:val="003C3454"/>
    <w:rsid w:val="003C4C9C"/>
    <w:rsid w:val="003C65B0"/>
    <w:rsid w:val="003C6937"/>
    <w:rsid w:val="003D07D0"/>
    <w:rsid w:val="003D1189"/>
    <w:rsid w:val="003D1B9F"/>
    <w:rsid w:val="003D278C"/>
    <w:rsid w:val="003D2D7C"/>
    <w:rsid w:val="003D320B"/>
    <w:rsid w:val="003E0B2A"/>
    <w:rsid w:val="003E6B10"/>
    <w:rsid w:val="003F0FD8"/>
    <w:rsid w:val="003F4F8D"/>
    <w:rsid w:val="003F7947"/>
    <w:rsid w:val="003F7D05"/>
    <w:rsid w:val="0040049C"/>
    <w:rsid w:val="00401120"/>
    <w:rsid w:val="00405265"/>
    <w:rsid w:val="00405898"/>
    <w:rsid w:val="004058BD"/>
    <w:rsid w:val="00407114"/>
    <w:rsid w:val="0040711A"/>
    <w:rsid w:val="00407DA2"/>
    <w:rsid w:val="004109A0"/>
    <w:rsid w:val="004121BF"/>
    <w:rsid w:val="00412DB7"/>
    <w:rsid w:val="004136FC"/>
    <w:rsid w:val="004145B0"/>
    <w:rsid w:val="00415C0E"/>
    <w:rsid w:val="00416527"/>
    <w:rsid w:val="004260AE"/>
    <w:rsid w:val="0042638E"/>
    <w:rsid w:val="004278DC"/>
    <w:rsid w:val="0043055A"/>
    <w:rsid w:val="0043229C"/>
    <w:rsid w:val="00432623"/>
    <w:rsid w:val="0043675B"/>
    <w:rsid w:val="00436D9D"/>
    <w:rsid w:val="00437341"/>
    <w:rsid w:val="00437398"/>
    <w:rsid w:val="00437570"/>
    <w:rsid w:val="00437CCB"/>
    <w:rsid w:val="00440B73"/>
    <w:rsid w:val="004412EC"/>
    <w:rsid w:val="0044181F"/>
    <w:rsid w:val="00443D28"/>
    <w:rsid w:val="004442E5"/>
    <w:rsid w:val="004472FD"/>
    <w:rsid w:val="00451833"/>
    <w:rsid w:val="004524CE"/>
    <w:rsid w:val="0045305E"/>
    <w:rsid w:val="004533C0"/>
    <w:rsid w:val="00454FF7"/>
    <w:rsid w:val="00455880"/>
    <w:rsid w:val="00464933"/>
    <w:rsid w:val="00464B25"/>
    <w:rsid w:val="00465FBB"/>
    <w:rsid w:val="004675BA"/>
    <w:rsid w:val="0047109F"/>
    <w:rsid w:val="00472C5C"/>
    <w:rsid w:val="00473E03"/>
    <w:rsid w:val="00477926"/>
    <w:rsid w:val="0048059C"/>
    <w:rsid w:val="00480945"/>
    <w:rsid w:val="0048114C"/>
    <w:rsid w:val="00481797"/>
    <w:rsid w:val="00484F3C"/>
    <w:rsid w:val="00485B41"/>
    <w:rsid w:val="0048602D"/>
    <w:rsid w:val="0048649D"/>
    <w:rsid w:val="0048716D"/>
    <w:rsid w:val="00487D92"/>
    <w:rsid w:val="00490DD0"/>
    <w:rsid w:val="00495BEA"/>
    <w:rsid w:val="00496A26"/>
    <w:rsid w:val="00497BCF"/>
    <w:rsid w:val="004A07CC"/>
    <w:rsid w:val="004A5EF2"/>
    <w:rsid w:val="004A5EF3"/>
    <w:rsid w:val="004A680E"/>
    <w:rsid w:val="004A7C2C"/>
    <w:rsid w:val="004B01D8"/>
    <w:rsid w:val="004B30F8"/>
    <w:rsid w:val="004B3795"/>
    <w:rsid w:val="004B5249"/>
    <w:rsid w:val="004B5F27"/>
    <w:rsid w:val="004C01AB"/>
    <w:rsid w:val="004C17DF"/>
    <w:rsid w:val="004C2002"/>
    <w:rsid w:val="004C3427"/>
    <w:rsid w:val="004C6CE8"/>
    <w:rsid w:val="004C7469"/>
    <w:rsid w:val="004D367E"/>
    <w:rsid w:val="004D5D04"/>
    <w:rsid w:val="004D61AE"/>
    <w:rsid w:val="004E08FC"/>
    <w:rsid w:val="004E3B86"/>
    <w:rsid w:val="004E4A71"/>
    <w:rsid w:val="004E522A"/>
    <w:rsid w:val="004E5944"/>
    <w:rsid w:val="004E6D76"/>
    <w:rsid w:val="004E7DA4"/>
    <w:rsid w:val="004F3875"/>
    <w:rsid w:val="004F3BB4"/>
    <w:rsid w:val="004F4200"/>
    <w:rsid w:val="004F6202"/>
    <w:rsid w:val="004F6A18"/>
    <w:rsid w:val="00500A50"/>
    <w:rsid w:val="00502326"/>
    <w:rsid w:val="00502DA1"/>
    <w:rsid w:val="005049B8"/>
    <w:rsid w:val="00505365"/>
    <w:rsid w:val="005069A7"/>
    <w:rsid w:val="00507B8E"/>
    <w:rsid w:val="0051062F"/>
    <w:rsid w:val="0051122B"/>
    <w:rsid w:val="00514302"/>
    <w:rsid w:val="00515BAC"/>
    <w:rsid w:val="00515C83"/>
    <w:rsid w:val="00517ADC"/>
    <w:rsid w:val="00521E9F"/>
    <w:rsid w:val="00522A9E"/>
    <w:rsid w:val="005236A9"/>
    <w:rsid w:val="00523735"/>
    <w:rsid w:val="00524226"/>
    <w:rsid w:val="00527948"/>
    <w:rsid w:val="005279D9"/>
    <w:rsid w:val="005309B2"/>
    <w:rsid w:val="005323C7"/>
    <w:rsid w:val="00534BE5"/>
    <w:rsid w:val="00535337"/>
    <w:rsid w:val="005356F1"/>
    <w:rsid w:val="0053637A"/>
    <w:rsid w:val="00536C6C"/>
    <w:rsid w:val="00543626"/>
    <w:rsid w:val="00544B1A"/>
    <w:rsid w:val="00544B36"/>
    <w:rsid w:val="00545060"/>
    <w:rsid w:val="00545A87"/>
    <w:rsid w:val="00547044"/>
    <w:rsid w:val="00547EB2"/>
    <w:rsid w:val="005514A5"/>
    <w:rsid w:val="00553F71"/>
    <w:rsid w:val="0055412E"/>
    <w:rsid w:val="00554461"/>
    <w:rsid w:val="00556881"/>
    <w:rsid w:val="00556E35"/>
    <w:rsid w:val="0055779C"/>
    <w:rsid w:val="0056014F"/>
    <w:rsid w:val="00560554"/>
    <w:rsid w:val="00560BA2"/>
    <w:rsid w:val="00561F27"/>
    <w:rsid w:val="005620A5"/>
    <w:rsid w:val="00562C7F"/>
    <w:rsid w:val="005632A2"/>
    <w:rsid w:val="00564156"/>
    <w:rsid w:val="00564187"/>
    <w:rsid w:val="0056496F"/>
    <w:rsid w:val="00566D8C"/>
    <w:rsid w:val="005679CD"/>
    <w:rsid w:val="00571438"/>
    <w:rsid w:val="00573314"/>
    <w:rsid w:val="00573A67"/>
    <w:rsid w:val="00573F4D"/>
    <w:rsid w:val="0057441C"/>
    <w:rsid w:val="0057488C"/>
    <w:rsid w:val="00574E77"/>
    <w:rsid w:val="00575FCD"/>
    <w:rsid w:val="00577E60"/>
    <w:rsid w:val="00582732"/>
    <w:rsid w:val="00583E9D"/>
    <w:rsid w:val="00584044"/>
    <w:rsid w:val="00585097"/>
    <w:rsid w:val="00586F54"/>
    <w:rsid w:val="005870ED"/>
    <w:rsid w:val="00594FC2"/>
    <w:rsid w:val="0059550B"/>
    <w:rsid w:val="00595C45"/>
    <w:rsid w:val="005969C4"/>
    <w:rsid w:val="00597C4B"/>
    <w:rsid w:val="005A04B8"/>
    <w:rsid w:val="005A1665"/>
    <w:rsid w:val="005A2D63"/>
    <w:rsid w:val="005A3826"/>
    <w:rsid w:val="005A42FD"/>
    <w:rsid w:val="005A63E1"/>
    <w:rsid w:val="005B052D"/>
    <w:rsid w:val="005B3E02"/>
    <w:rsid w:val="005B492C"/>
    <w:rsid w:val="005B49E5"/>
    <w:rsid w:val="005B59F3"/>
    <w:rsid w:val="005C2A49"/>
    <w:rsid w:val="005C54AE"/>
    <w:rsid w:val="005C6159"/>
    <w:rsid w:val="005C7D7B"/>
    <w:rsid w:val="005D0525"/>
    <w:rsid w:val="005D4CED"/>
    <w:rsid w:val="005D55A3"/>
    <w:rsid w:val="005D73EF"/>
    <w:rsid w:val="005D768B"/>
    <w:rsid w:val="005E0895"/>
    <w:rsid w:val="005E1B22"/>
    <w:rsid w:val="005E541B"/>
    <w:rsid w:val="005E6515"/>
    <w:rsid w:val="005E6F6F"/>
    <w:rsid w:val="005F1047"/>
    <w:rsid w:val="005F14DA"/>
    <w:rsid w:val="005F41FB"/>
    <w:rsid w:val="005F473D"/>
    <w:rsid w:val="005F4CFB"/>
    <w:rsid w:val="005F4E68"/>
    <w:rsid w:val="005F4E83"/>
    <w:rsid w:val="0060090B"/>
    <w:rsid w:val="00603746"/>
    <w:rsid w:val="006053AF"/>
    <w:rsid w:val="0060661C"/>
    <w:rsid w:val="00607359"/>
    <w:rsid w:val="006075E8"/>
    <w:rsid w:val="006079B5"/>
    <w:rsid w:val="00610AEA"/>
    <w:rsid w:val="006119FF"/>
    <w:rsid w:val="0061274F"/>
    <w:rsid w:val="006140A4"/>
    <w:rsid w:val="006143E7"/>
    <w:rsid w:val="00614637"/>
    <w:rsid w:val="00617224"/>
    <w:rsid w:val="00620079"/>
    <w:rsid w:val="006202C8"/>
    <w:rsid w:val="00621420"/>
    <w:rsid w:val="00621B3D"/>
    <w:rsid w:val="00622BE6"/>
    <w:rsid w:val="006231DD"/>
    <w:rsid w:val="0062418B"/>
    <w:rsid w:val="00631338"/>
    <w:rsid w:val="0063175D"/>
    <w:rsid w:val="006324A1"/>
    <w:rsid w:val="006366B6"/>
    <w:rsid w:val="006372AC"/>
    <w:rsid w:val="006401A4"/>
    <w:rsid w:val="006412C0"/>
    <w:rsid w:val="00644039"/>
    <w:rsid w:val="00646219"/>
    <w:rsid w:val="0065054C"/>
    <w:rsid w:val="006522FA"/>
    <w:rsid w:val="00654859"/>
    <w:rsid w:val="0065607D"/>
    <w:rsid w:val="00660448"/>
    <w:rsid w:val="00662B49"/>
    <w:rsid w:val="00663388"/>
    <w:rsid w:val="00666B85"/>
    <w:rsid w:val="00667202"/>
    <w:rsid w:val="0067085E"/>
    <w:rsid w:val="00672CC6"/>
    <w:rsid w:val="00674247"/>
    <w:rsid w:val="00675316"/>
    <w:rsid w:val="00676BAE"/>
    <w:rsid w:val="006776ED"/>
    <w:rsid w:val="00680F14"/>
    <w:rsid w:val="00681B4B"/>
    <w:rsid w:val="00682ACB"/>
    <w:rsid w:val="00684DA1"/>
    <w:rsid w:val="00686548"/>
    <w:rsid w:val="006874A8"/>
    <w:rsid w:val="0069248E"/>
    <w:rsid w:val="00693913"/>
    <w:rsid w:val="00693AEC"/>
    <w:rsid w:val="00694991"/>
    <w:rsid w:val="0069778F"/>
    <w:rsid w:val="006A23C2"/>
    <w:rsid w:val="006A2450"/>
    <w:rsid w:val="006A54F8"/>
    <w:rsid w:val="006A5C5B"/>
    <w:rsid w:val="006A5EAC"/>
    <w:rsid w:val="006A642A"/>
    <w:rsid w:val="006A74B7"/>
    <w:rsid w:val="006B0978"/>
    <w:rsid w:val="006B0C4B"/>
    <w:rsid w:val="006B22FC"/>
    <w:rsid w:val="006B2422"/>
    <w:rsid w:val="006B3F51"/>
    <w:rsid w:val="006B6657"/>
    <w:rsid w:val="006B7764"/>
    <w:rsid w:val="006C519B"/>
    <w:rsid w:val="006C57AB"/>
    <w:rsid w:val="006C682E"/>
    <w:rsid w:val="006C741F"/>
    <w:rsid w:val="006D032A"/>
    <w:rsid w:val="006D078C"/>
    <w:rsid w:val="006D2175"/>
    <w:rsid w:val="006D2212"/>
    <w:rsid w:val="006D2B6A"/>
    <w:rsid w:val="006D5F41"/>
    <w:rsid w:val="006D66EE"/>
    <w:rsid w:val="006D6901"/>
    <w:rsid w:val="006D6989"/>
    <w:rsid w:val="006D6AB5"/>
    <w:rsid w:val="006E27F2"/>
    <w:rsid w:val="006E598D"/>
    <w:rsid w:val="006E5ABC"/>
    <w:rsid w:val="006E6C40"/>
    <w:rsid w:val="006E78E2"/>
    <w:rsid w:val="006F064F"/>
    <w:rsid w:val="006F18B1"/>
    <w:rsid w:val="006F3285"/>
    <w:rsid w:val="006F56D3"/>
    <w:rsid w:val="006F641F"/>
    <w:rsid w:val="006F6733"/>
    <w:rsid w:val="006F71AA"/>
    <w:rsid w:val="00700CE8"/>
    <w:rsid w:val="00701801"/>
    <w:rsid w:val="00703CA0"/>
    <w:rsid w:val="007054B8"/>
    <w:rsid w:val="00705C2F"/>
    <w:rsid w:val="00710FC0"/>
    <w:rsid w:val="00711A0D"/>
    <w:rsid w:val="00711F26"/>
    <w:rsid w:val="00711FB4"/>
    <w:rsid w:val="007159CB"/>
    <w:rsid w:val="00717EB2"/>
    <w:rsid w:val="00721109"/>
    <w:rsid w:val="00721608"/>
    <w:rsid w:val="007216EA"/>
    <w:rsid w:val="007217D5"/>
    <w:rsid w:val="00723015"/>
    <w:rsid w:val="00724541"/>
    <w:rsid w:val="007310EA"/>
    <w:rsid w:val="0073455D"/>
    <w:rsid w:val="0073455F"/>
    <w:rsid w:val="007361F3"/>
    <w:rsid w:val="00737256"/>
    <w:rsid w:val="00740E89"/>
    <w:rsid w:val="00746939"/>
    <w:rsid w:val="007470E3"/>
    <w:rsid w:val="00747B9D"/>
    <w:rsid w:val="007527F4"/>
    <w:rsid w:val="00752B31"/>
    <w:rsid w:val="00755CD1"/>
    <w:rsid w:val="00757751"/>
    <w:rsid w:val="0076173A"/>
    <w:rsid w:val="0076274E"/>
    <w:rsid w:val="00763445"/>
    <w:rsid w:val="00763D34"/>
    <w:rsid w:val="007651C2"/>
    <w:rsid w:val="007670DE"/>
    <w:rsid w:val="00767483"/>
    <w:rsid w:val="00772237"/>
    <w:rsid w:val="00772DD5"/>
    <w:rsid w:val="0077466E"/>
    <w:rsid w:val="00782A20"/>
    <w:rsid w:val="00790117"/>
    <w:rsid w:val="00790146"/>
    <w:rsid w:val="00790A54"/>
    <w:rsid w:val="00791BBC"/>
    <w:rsid w:val="0079778D"/>
    <w:rsid w:val="00797862"/>
    <w:rsid w:val="007979BD"/>
    <w:rsid w:val="007A0C02"/>
    <w:rsid w:val="007A1313"/>
    <w:rsid w:val="007A2EEC"/>
    <w:rsid w:val="007A3C18"/>
    <w:rsid w:val="007A55BD"/>
    <w:rsid w:val="007A5E8D"/>
    <w:rsid w:val="007A5F97"/>
    <w:rsid w:val="007B0FED"/>
    <w:rsid w:val="007B182C"/>
    <w:rsid w:val="007B26C2"/>
    <w:rsid w:val="007B56E1"/>
    <w:rsid w:val="007C23AF"/>
    <w:rsid w:val="007C24DA"/>
    <w:rsid w:val="007C261E"/>
    <w:rsid w:val="007C2926"/>
    <w:rsid w:val="007C382B"/>
    <w:rsid w:val="007C43AC"/>
    <w:rsid w:val="007C55B2"/>
    <w:rsid w:val="007C5A12"/>
    <w:rsid w:val="007D0D2E"/>
    <w:rsid w:val="007D101C"/>
    <w:rsid w:val="007D14BC"/>
    <w:rsid w:val="007D3601"/>
    <w:rsid w:val="007D3E82"/>
    <w:rsid w:val="007E446C"/>
    <w:rsid w:val="007E5839"/>
    <w:rsid w:val="007F1A45"/>
    <w:rsid w:val="007F2FC9"/>
    <w:rsid w:val="007F4DE1"/>
    <w:rsid w:val="007F51C2"/>
    <w:rsid w:val="007F5AC2"/>
    <w:rsid w:val="007F7387"/>
    <w:rsid w:val="0080013D"/>
    <w:rsid w:val="008046E3"/>
    <w:rsid w:val="00805F4C"/>
    <w:rsid w:val="008072B0"/>
    <w:rsid w:val="008113BF"/>
    <w:rsid w:val="008119FE"/>
    <w:rsid w:val="00811E73"/>
    <w:rsid w:val="00814B25"/>
    <w:rsid w:val="00817001"/>
    <w:rsid w:val="00817D35"/>
    <w:rsid w:val="00820382"/>
    <w:rsid w:val="00820D2E"/>
    <w:rsid w:val="00822A23"/>
    <w:rsid w:val="0082514D"/>
    <w:rsid w:val="00825953"/>
    <w:rsid w:val="00827665"/>
    <w:rsid w:val="00830534"/>
    <w:rsid w:val="00830C78"/>
    <w:rsid w:val="00831B1E"/>
    <w:rsid w:val="00831B96"/>
    <w:rsid w:val="00833D69"/>
    <w:rsid w:val="008372E6"/>
    <w:rsid w:val="00840190"/>
    <w:rsid w:val="00843860"/>
    <w:rsid w:val="008448AD"/>
    <w:rsid w:val="00846085"/>
    <w:rsid w:val="008471A6"/>
    <w:rsid w:val="00847CE9"/>
    <w:rsid w:val="00850126"/>
    <w:rsid w:val="00851A5C"/>
    <w:rsid w:val="008559DB"/>
    <w:rsid w:val="00855CED"/>
    <w:rsid w:val="008607B6"/>
    <w:rsid w:val="00860F53"/>
    <w:rsid w:val="00863151"/>
    <w:rsid w:val="00864C57"/>
    <w:rsid w:val="0086575E"/>
    <w:rsid w:val="00865981"/>
    <w:rsid w:val="008700DD"/>
    <w:rsid w:val="00873647"/>
    <w:rsid w:val="008737A2"/>
    <w:rsid w:val="00874021"/>
    <w:rsid w:val="0087475A"/>
    <w:rsid w:val="00874B93"/>
    <w:rsid w:val="008758E7"/>
    <w:rsid w:val="00876E36"/>
    <w:rsid w:val="00880700"/>
    <w:rsid w:val="00882309"/>
    <w:rsid w:val="00885209"/>
    <w:rsid w:val="008855DA"/>
    <w:rsid w:val="00885D23"/>
    <w:rsid w:val="0088795B"/>
    <w:rsid w:val="00887DCF"/>
    <w:rsid w:val="00890C73"/>
    <w:rsid w:val="0089148E"/>
    <w:rsid w:val="00892D64"/>
    <w:rsid w:val="0089405F"/>
    <w:rsid w:val="0089429B"/>
    <w:rsid w:val="0089622E"/>
    <w:rsid w:val="00896CB5"/>
    <w:rsid w:val="008971A7"/>
    <w:rsid w:val="008A07B0"/>
    <w:rsid w:val="008A086C"/>
    <w:rsid w:val="008A0ECD"/>
    <w:rsid w:val="008A212F"/>
    <w:rsid w:val="008A2138"/>
    <w:rsid w:val="008A3F14"/>
    <w:rsid w:val="008A478F"/>
    <w:rsid w:val="008A6525"/>
    <w:rsid w:val="008A65A0"/>
    <w:rsid w:val="008A68F3"/>
    <w:rsid w:val="008B1481"/>
    <w:rsid w:val="008B3FFD"/>
    <w:rsid w:val="008B46E2"/>
    <w:rsid w:val="008B5F6C"/>
    <w:rsid w:val="008B60E2"/>
    <w:rsid w:val="008C01F0"/>
    <w:rsid w:val="008C1AF5"/>
    <w:rsid w:val="008C223E"/>
    <w:rsid w:val="008C2A33"/>
    <w:rsid w:val="008C2CFB"/>
    <w:rsid w:val="008C33D5"/>
    <w:rsid w:val="008C58BE"/>
    <w:rsid w:val="008C5AB1"/>
    <w:rsid w:val="008C5D8C"/>
    <w:rsid w:val="008C5F77"/>
    <w:rsid w:val="008C7838"/>
    <w:rsid w:val="008D0504"/>
    <w:rsid w:val="008D1200"/>
    <w:rsid w:val="008D2551"/>
    <w:rsid w:val="008D4135"/>
    <w:rsid w:val="008D6A63"/>
    <w:rsid w:val="008E5BE2"/>
    <w:rsid w:val="008F0C70"/>
    <w:rsid w:val="008F1C4B"/>
    <w:rsid w:val="008F44C6"/>
    <w:rsid w:val="008F5C5B"/>
    <w:rsid w:val="0090174B"/>
    <w:rsid w:val="0090330E"/>
    <w:rsid w:val="0090376D"/>
    <w:rsid w:val="00903C64"/>
    <w:rsid w:val="00903FB8"/>
    <w:rsid w:val="00906512"/>
    <w:rsid w:val="009070C0"/>
    <w:rsid w:val="00910061"/>
    <w:rsid w:val="00910954"/>
    <w:rsid w:val="009119B9"/>
    <w:rsid w:val="00914807"/>
    <w:rsid w:val="00915276"/>
    <w:rsid w:val="009164CD"/>
    <w:rsid w:val="009211A8"/>
    <w:rsid w:val="009212BA"/>
    <w:rsid w:val="00922B86"/>
    <w:rsid w:val="00923EB2"/>
    <w:rsid w:val="00927492"/>
    <w:rsid w:val="00927E8F"/>
    <w:rsid w:val="00930714"/>
    <w:rsid w:val="00930A05"/>
    <w:rsid w:val="0093145D"/>
    <w:rsid w:val="0093202B"/>
    <w:rsid w:val="009347F6"/>
    <w:rsid w:val="0093539C"/>
    <w:rsid w:val="009362FD"/>
    <w:rsid w:val="00937EDF"/>
    <w:rsid w:val="0094700A"/>
    <w:rsid w:val="0095007D"/>
    <w:rsid w:val="0095009B"/>
    <w:rsid w:val="00950471"/>
    <w:rsid w:val="00953F3C"/>
    <w:rsid w:val="0095698F"/>
    <w:rsid w:val="00961F5D"/>
    <w:rsid w:val="00963792"/>
    <w:rsid w:val="009641BD"/>
    <w:rsid w:val="00965471"/>
    <w:rsid w:val="009671B7"/>
    <w:rsid w:val="009716A7"/>
    <w:rsid w:val="009719A4"/>
    <w:rsid w:val="00972126"/>
    <w:rsid w:val="00972321"/>
    <w:rsid w:val="00972C2D"/>
    <w:rsid w:val="00973218"/>
    <w:rsid w:val="00973CD9"/>
    <w:rsid w:val="00973F9D"/>
    <w:rsid w:val="009746F3"/>
    <w:rsid w:val="00976A3F"/>
    <w:rsid w:val="00976F0A"/>
    <w:rsid w:val="00980373"/>
    <w:rsid w:val="00981EC8"/>
    <w:rsid w:val="0098324B"/>
    <w:rsid w:val="00983E2C"/>
    <w:rsid w:val="00985A22"/>
    <w:rsid w:val="00986047"/>
    <w:rsid w:val="0099027A"/>
    <w:rsid w:val="0099084E"/>
    <w:rsid w:val="00991135"/>
    <w:rsid w:val="00993510"/>
    <w:rsid w:val="00994D72"/>
    <w:rsid w:val="009954CA"/>
    <w:rsid w:val="00995964"/>
    <w:rsid w:val="00996FED"/>
    <w:rsid w:val="009A2838"/>
    <w:rsid w:val="009A5275"/>
    <w:rsid w:val="009A56FE"/>
    <w:rsid w:val="009A6C4F"/>
    <w:rsid w:val="009A6EEF"/>
    <w:rsid w:val="009A7335"/>
    <w:rsid w:val="009A7CA9"/>
    <w:rsid w:val="009B0154"/>
    <w:rsid w:val="009B0616"/>
    <w:rsid w:val="009B0EEB"/>
    <w:rsid w:val="009B1634"/>
    <w:rsid w:val="009B1AE2"/>
    <w:rsid w:val="009B39B0"/>
    <w:rsid w:val="009B51F9"/>
    <w:rsid w:val="009B67E0"/>
    <w:rsid w:val="009B681D"/>
    <w:rsid w:val="009B682F"/>
    <w:rsid w:val="009B7012"/>
    <w:rsid w:val="009B7D0C"/>
    <w:rsid w:val="009C0668"/>
    <w:rsid w:val="009C510F"/>
    <w:rsid w:val="009C6F5E"/>
    <w:rsid w:val="009C7441"/>
    <w:rsid w:val="009C7A0A"/>
    <w:rsid w:val="009D1DA9"/>
    <w:rsid w:val="009D3750"/>
    <w:rsid w:val="009D39B4"/>
    <w:rsid w:val="009D576F"/>
    <w:rsid w:val="009D5863"/>
    <w:rsid w:val="009D5CCD"/>
    <w:rsid w:val="009D6B69"/>
    <w:rsid w:val="009E06FF"/>
    <w:rsid w:val="009E1FEF"/>
    <w:rsid w:val="009E2C4D"/>
    <w:rsid w:val="009E3AE5"/>
    <w:rsid w:val="009E3F09"/>
    <w:rsid w:val="009E4169"/>
    <w:rsid w:val="009E6AAC"/>
    <w:rsid w:val="009E7653"/>
    <w:rsid w:val="009E7DA0"/>
    <w:rsid w:val="009F0B5C"/>
    <w:rsid w:val="009F2E5B"/>
    <w:rsid w:val="009F3854"/>
    <w:rsid w:val="009F54BB"/>
    <w:rsid w:val="009F668E"/>
    <w:rsid w:val="009F6BD5"/>
    <w:rsid w:val="009F79A8"/>
    <w:rsid w:val="00A0011E"/>
    <w:rsid w:val="00A00CBD"/>
    <w:rsid w:val="00A03FC2"/>
    <w:rsid w:val="00A03FEC"/>
    <w:rsid w:val="00A0671F"/>
    <w:rsid w:val="00A06C24"/>
    <w:rsid w:val="00A0724E"/>
    <w:rsid w:val="00A075F6"/>
    <w:rsid w:val="00A10006"/>
    <w:rsid w:val="00A10867"/>
    <w:rsid w:val="00A119F0"/>
    <w:rsid w:val="00A11D6F"/>
    <w:rsid w:val="00A122AF"/>
    <w:rsid w:val="00A134BE"/>
    <w:rsid w:val="00A13C64"/>
    <w:rsid w:val="00A14C8E"/>
    <w:rsid w:val="00A14CCA"/>
    <w:rsid w:val="00A15D18"/>
    <w:rsid w:val="00A16A83"/>
    <w:rsid w:val="00A1755B"/>
    <w:rsid w:val="00A175AF"/>
    <w:rsid w:val="00A17F9F"/>
    <w:rsid w:val="00A2089A"/>
    <w:rsid w:val="00A22335"/>
    <w:rsid w:val="00A22B48"/>
    <w:rsid w:val="00A22C54"/>
    <w:rsid w:val="00A23F8C"/>
    <w:rsid w:val="00A2558A"/>
    <w:rsid w:val="00A25B67"/>
    <w:rsid w:val="00A26B0A"/>
    <w:rsid w:val="00A26D0A"/>
    <w:rsid w:val="00A301A6"/>
    <w:rsid w:val="00A30540"/>
    <w:rsid w:val="00A318B8"/>
    <w:rsid w:val="00A32BBA"/>
    <w:rsid w:val="00A3495C"/>
    <w:rsid w:val="00A34F46"/>
    <w:rsid w:val="00A3787B"/>
    <w:rsid w:val="00A4118F"/>
    <w:rsid w:val="00A43C37"/>
    <w:rsid w:val="00A44D3E"/>
    <w:rsid w:val="00A45727"/>
    <w:rsid w:val="00A4669C"/>
    <w:rsid w:val="00A50E1B"/>
    <w:rsid w:val="00A52BBD"/>
    <w:rsid w:val="00A54A71"/>
    <w:rsid w:val="00A562D8"/>
    <w:rsid w:val="00A5657A"/>
    <w:rsid w:val="00A577BB"/>
    <w:rsid w:val="00A6113A"/>
    <w:rsid w:val="00A62E7B"/>
    <w:rsid w:val="00A64242"/>
    <w:rsid w:val="00A64D4A"/>
    <w:rsid w:val="00A64D62"/>
    <w:rsid w:val="00A67FDB"/>
    <w:rsid w:val="00A77438"/>
    <w:rsid w:val="00A8707E"/>
    <w:rsid w:val="00A879B9"/>
    <w:rsid w:val="00A913FF"/>
    <w:rsid w:val="00A91FAF"/>
    <w:rsid w:val="00A921DD"/>
    <w:rsid w:val="00A94D1A"/>
    <w:rsid w:val="00A9621D"/>
    <w:rsid w:val="00A96811"/>
    <w:rsid w:val="00AA5727"/>
    <w:rsid w:val="00AB0361"/>
    <w:rsid w:val="00AB0447"/>
    <w:rsid w:val="00AB2F8D"/>
    <w:rsid w:val="00AB3957"/>
    <w:rsid w:val="00AB3D9C"/>
    <w:rsid w:val="00AB3E6C"/>
    <w:rsid w:val="00AB698E"/>
    <w:rsid w:val="00AB6E22"/>
    <w:rsid w:val="00AC098F"/>
    <w:rsid w:val="00AC22E9"/>
    <w:rsid w:val="00AC2F8D"/>
    <w:rsid w:val="00AC3F91"/>
    <w:rsid w:val="00AC4462"/>
    <w:rsid w:val="00AC72A2"/>
    <w:rsid w:val="00AC7458"/>
    <w:rsid w:val="00AD0FDD"/>
    <w:rsid w:val="00AD459C"/>
    <w:rsid w:val="00AD4B13"/>
    <w:rsid w:val="00AD79D7"/>
    <w:rsid w:val="00AE02C1"/>
    <w:rsid w:val="00AE092F"/>
    <w:rsid w:val="00AE1B7C"/>
    <w:rsid w:val="00AE1BBD"/>
    <w:rsid w:val="00AE3E6C"/>
    <w:rsid w:val="00AE5CB4"/>
    <w:rsid w:val="00AE5E59"/>
    <w:rsid w:val="00AE6AFD"/>
    <w:rsid w:val="00AE7147"/>
    <w:rsid w:val="00AE7BF6"/>
    <w:rsid w:val="00AE7F35"/>
    <w:rsid w:val="00AF32C1"/>
    <w:rsid w:val="00AF4E9F"/>
    <w:rsid w:val="00AF7DD0"/>
    <w:rsid w:val="00B00B73"/>
    <w:rsid w:val="00B04C1D"/>
    <w:rsid w:val="00B04EF4"/>
    <w:rsid w:val="00B05374"/>
    <w:rsid w:val="00B0605D"/>
    <w:rsid w:val="00B066EC"/>
    <w:rsid w:val="00B07A20"/>
    <w:rsid w:val="00B11168"/>
    <w:rsid w:val="00B113B5"/>
    <w:rsid w:val="00B12EFA"/>
    <w:rsid w:val="00B13444"/>
    <w:rsid w:val="00B14DA0"/>
    <w:rsid w:val="00B1698D"/>
    <w:rsid w:val="00B202AA"/>
    <w:rsid w:val="00B224EC"/>
    <w:rsid w:val="00B23813"/>
    <w:rsid w:val="00B26D9C"/>
    <w:rsid w:val="00B31C3D"/>
    <w:rsid w:val="00B34128"/>
    <w:rsid w:val="00B349CB"/>
    <w:rsid w:val="00B34A3A"/>
    <w:rsid w:val="00B34BE5"/>
    <w:rsid w:val="00B40291"/>
    <w:rsid w:val="00B40A87"/>
    <w:rsid w:val="00B410DE"/>
    <w:rsid w:val="00B419B7"/>
    <w:rsid w:val="00B42372"/>
    <w:rsid w:val="00B428DE"/>
    <w:rsid w:val="00B43683"/>
    <w:rsid w:val="00B4393F"/>
    <w:rsid w:val="00B43D52"/>
    <w:rsid w:val="00B44B25"/>
    <w:rsid w:val="00B463F2"/>
    <w:rsid w:val="00B47102"/>
    <w:rsid w:val="00B5081A"/>
    <w:rsid w:val="00B51757"/>
    <w:rsid w:val="00B51BBD"/>
    <w:rsid w:val="00B52AFA"/>
    <w:rsid w:val="00B55153"/>
    <w:rsid w:val="00B602AA"/>
    <w:rsid w:val="00B60C16"/>
    <w:rsid w:val="00B642F6"/>
    <w:rsid w:val="00B64410"/>
    <w:rsid w:val="00B6475F"/>
    <w:rsid w:val="00B6750E"/>
    <w:rsid w:val="00B67A6A"/>
    <w:rsid w:val="00B7056C"/>
    <w:rsid w:val="00B70A1B"/>
    <w:rsid w:val="00B70B36"/>
    <w:rsid w:val="00B73DD6"/>
    <w:rsid w:val="00B73E4D"/>
    <w:rsid w:val="00B740A3"/>
    <w:rsid w:val="00B74235"/>
    <w:rsid w:val="00B753FD"/>
    <w:rsid w:val="00B77EA8"/>
    <w:rsid w:val="00B80662"/>
    <w:rsid w:val="00B80F21"/>
    <w:rsid w:val="00B820CF"/>
    <w:rsid w:val="00B856E3"/>
    <w:rsid w:val="00B868C6"/>
    <w:rsid w:val="00B86A7D"/>
    <w:rsid w:val="00B87B2B"/>
    <w:rsid w:val="00B91437"/>
    <w:rsid w:val="00B9164B"/>
    <w:rsid w:val="00B920ED"/>
    <w:rsid w:val="00B92DFF"/>
    <w:rsid w:val="00B9310C"/>
    <w:rsid w:val="00B95C97"/>
    <w:rsid w:val="00BA075B"/>
    <w:rsid w:val="00BA0CAC"/>
    <w:rsid w:val="00BA12F7"/>
    <w:rsid w:val="00BA535F"/>
    <w:rsid w:val="00BA5402"/>
    <w:rsid w:val="00BA56A1"/>
    <w:rsid w:val="00BA6055"/>
    <w:rsid w:val="00BA6102"/>
    <w:rsid w:val="00BA6318"/>
    <w:rsid w:val="00BA6861"/>
    <w:rsid w:val="00BA6ACA"/>
    <w:rsid w:val="00BA746D"/>
    <w:rsid w:val="00BB0646"/>
    <w:rsid w:val="00BB0C30"/>
    <w:rsid w:val="00BB0CEA"/>
    <w:rsid w:val="00BB1368"/>
    <w:rsid w:val="00BB1581"/>
    <w:rsid w:val="00BB5B53"/>
    <w:rsid w:val="00BB68A0"/>
    <w:rsid w:val="00BC0ADD"/>
    <w:rsid w:val="00BC22FA"/>
    <w:rsid w:val="00BC27FD"/>
    <w:rsid w:val="00BC630A"/>
    <w:rsid w:val="00BC69AC"/>
    <w:rsid w:val="00BC6E72"/>
    <w:rsid w:val="00BD24CD"/>
    <w:rsid w:val="00BD2995"/>
    <w:rsid w:val="00BD325C"/>
    <w:rsid w:val="00BD3BF4"/>
    <w:rsid w:val="00BD4155"/>
    <w:rsid w:val="00BD4353"/>
    <w:rsid w:val="00BD59BA"/>
    <w:rsid w:val="00BD6F4A"/>
    <w:rsid w:val="00BD71F9"/>
    <w:rsid w:val="00BE1AAD"/>
    <w:rsid w:val="00BE2223"/>
    <w:rsid w:val="00BE2397"/>
    <w:rsid w:val="00BE2A9D"/>
    <w:rsid w:val="00BE2BE3"/>
    <w:rsid w:val="00BE2FDD"/>
    <w:rsid w:val="00BE627F"/>
    <w:rsid w:val="00BF2D9D"/>
    <w:rsid w:val="00BF3508"/>
    <w:rsid w:val="00BF6836"/>
    <w:rsid w:val="00BF736C"/>
    <w:rsid w:val="00C0024C"/>
    <w:rsid w:val="00C006FE"/>
    <w:rsid w:val="00C009AD"/>
    <w:rsid w:val="00C0141E"/>
    <w:rsid w:val="00C03D2C"/>
    <w:rsid w:val="00C04AB8"/>
    <w:rsid w:val="00C04B2F"/>
    <w:rsid w:val="00C07D00"/>
    <w:rsid w:val="00C12E2A"/>
    <w:rsid w:val="00C15E6B"/>
    <w:rsid w:val="00C166BF"/>
    <w:rsid w:val="00C16D65"/>
    <w:rsid w:val="00C16F40"/>
    <w:rsid w:val="00C20547"/>
    <w:rsid w:val="00C20A3C"/>
    <w:rsid w:val="00C24255"/>
    <w:rsid w:val="00C2504D"/>
    <w:rsid w:val="00C2534E"/>
    <w:rsid w:val="00C2601C"/>
    <w:rsid w:val="00C2625E"/>
    <w:rsid w:val="00C26690"/>
    <w:rsid w:val="00C27495"/>
    <w:rsid w:val="00C275B1"/>
    <w:rsid w:val="00C31669"/>
    <w:rsid w:val="00C32390"/>
    <w:rsid w:val="00C32961"/>
    <w:rsid w:val="00C33A1D"/>
    <w:rsid w:val="00C35AD5"/>
    <w:rsid w:val="00C368EE"/>
    <w:rsid w:val="00C373F3"/>
    <w:rsid w:val="00C41E7A"/>
    <w:rsid w:val="00C42267"/>
    <w:rsid w:val="00C46022"/>
    <w:rsid w:val="00C51197"/>
    <w:rsid w:val="00C52CC6"/>
    <w:rsid w:val="00C52FA9"/>
    <w:rsid w:val="00C53AE0"/>
    <w:rsid w:val="00C53C56"/>
    <w:rsid w:val="00C542C5"/>
    <w:rsid w:val="00C5430A"/>
    <w:rsid w:val="00C554E2"/>
    <w:rsid w:val="00C56B9D"/>
    <w:rsid w:val="00C60725"/>
    <w:rsid w:val="00C61633"/>
    <w:rsid w:val="00C62510"/>
    <w:rsid w:val="00C63315"/>
    <w:rsid w:val="00C662C8"/>
    <w:rsid w:val="00C729B0"/>
    <w:rsid w:val="00C739D3"/>
    <w:rsid w:val="00C74CBE"/>
    <w:rsid w:val="00C77DFF"/>
    <w:rsid w:val="00C77E8B"/>
    <w:rsid w:val="00C80521"/>
    <w:rsid w:val="00C80B26"/>
    <w:rsid w:val="00C8261A"/>
    <w:rsid w:val="00C837D2"/>
    <w:rsid w:val="00C84117"/>
    <w:rsid w:val="00C8414D"/>
    <w:rsid w:val="00C858F7"/>
    <w:rsid w:val="00C860CC"/>
    <w:rsid w:val="00C86A87"/>
    <w:rsid w:val="00C96862"/>
    <w:rsid w:val="00C97AA1"/>
    <w:rsid w:val="00CA0328"/>
    <w:rsid w:val="00CA367B"/>
    <w:rsid w:val="00CA533F"/>
    <w:rsid w:val="00CA6751"/>
    <w:rsid w:val="00CB0482"/>
    <w:rsid w:val="00CB1A95"/>
    <w:rsid w:val="00CB1DAA"/>
    <w:rsid w:val="00CB211D"/>
    <w:rsid w:val="00CB319E"/>
    <w:rsid w:val="00CB3590"/>
    <w:rsid w:val="00CB4963"/>
    <w:rsid w:val="00CC45FB"/>
    <w:rsid w:val="00CD1AC6"/>
    <w:rsid w:val="00CD26AF"/>
    <w:rsid w:val="00CD309D"/>
    <w:rsid w:val="00CD4D88"/>
    <w:rsid w:val="00CD6833"/>
    <w:rsid w:val="00CD7BE7"/>
    <w:rsid w:val="00CE0AD7"/>
    <w:rsid w:val="00CE2A84"/>
    <w:rsid w:val="00CE3282"/>
    <w:rsid w:val="00CE377D"/>
    <w:rsid w:val="00CE44CB"/>
    <w:rsid w:val="00CE53CE"/>
    <w:rsid w:val="00CE5643"/>
    <w:rsid w:val="00CF0332"/>
    <w:rsid w:val="00CF1918"/>
    <w:rsid w:val="00CF2521"/>
    <w:rsid w:val="00CF67FD"/>
    <w:rsid w:val="00CF680C"/>
    <w:rsid w:val="00CF767F"/>
    <w:rsid w:val="00D00D9A"/>
    <w:rsid w:val="00D013F2"/>
    <w:rsid w:val="00D10A05"/>
    <w:rsid w:val="00D14151"/>
    <w:rsid w:val="00D1451D"/>
    <w:rsid w:val="00D152F4"/>
    <w:rsid w:val="00D17B7E"/>
    <w:rsid w:val="00D17DF9"/>
    <w:rsid w:val="00D2024A"/>
    <w:rsid w:val="00D225F3"/>
    <w:rsid w:val="00D249A4"/>
    <w:rsid w:val="00D24F50"/>
    <w:rsid w:val="00D25F54"/>
    <w:rsid w:val="00D260A8"/>
    <w:rsid w:val="00D27D50"/>
    <w:rsid w:val="00D30090"/>
    <w:rsid w:val="00D302D7"/>
    <w:rsid w:val="00D305DD"/>
    <w:rsid w:val="00D30852"/>
    <w:rsid w:val="00D30903"/>
    <w:rsid w:val="00D318EE"/>
    <w:rsid w:val="00D33684"/>
    <w:rsid w:val="00D36908"/>
    <w:rsid w:val="00D36FFF"/>
    <w:rsid w:val="00D40626"/>
    <w:rsid w:val="00D4140B"/>
    <w:rsid w:val="00D416D9"/>
    <w:rsid w:val="00D41A02"/>
    <w:rsid w:val="00D447E4"/>
    <w:rsid w:val="00D4727F"/>
    <w:rsid w:val="00D47BE6"/>
    <w:rsid w:val="00D47C78"/>
    <w:rsid w:val="00D515BC"/>
    <w:rsid w:val="00D52B44"/>
    <w:rsid w:val="00D52FB9"/>
    <w:rsid w:val="00D5341B"/>
    <w:rsid w:val="00D563EE"/>
    <w:rsid w:val="00D6019B"/>
    <w:rsid w:val="00D60C14"/>
    <w:rsid w:val="00D60DA9"/>
    <w:rsid w:val="00D6202F"/>
    <w:rsid w:val="00D624C5"/>
    <w:rsid w:val="00D6376E"/>
    <w:rsid w:val="00D640B7"/>
    <w:rsid w:val="00D64654"/>
    <w:rsid w:val="00D657A9"/>
    <w:rsid w:val="00D664B2"/>
    <w:rsid w:val="00D6784E"/>
    <w:rsid w:val="00D70CBD"/>
    <w:rsid w:val="00D713DE"/>
    <w:rsid w:val="00D726FD"/>
    <w:rsid w:val="00D733C7"/>
    <w:rsid w:val="00D7519B"/>
    <w:rsid w:val="00D75E38"/>
    <w:rsid w:val="00D7728B"/>
    <w:rsid w:val="00D8273C"/>
    <w:rsid w:val="00D83757"/>
    <w:rsid w:val="00D84470"/>
    <w:rsid w:val="00D87FA9"/>
    <w:rsid w:val="00D902B7"/>
    <w:rsid w:val="00D956D6"/>
    <w:rsid w:val="00D9715E"/>
    <w:rsid w:val="00DA1423"/>
    <w:rsid w:val="00DA2043"/>
    <w:rsid w:val="00DA2DC2"/>
    <w:rsid w:val="00DA33A6"/>
    <w:rsid w:val="00DA359A"/>
    <w:rsid w:val="00DA5029"/>
    <w:rsid w:val="00DA61B5"/>
    <w:rsid w:val="00DA62C4"/>
    <w:rsid w:val="00DA7FB0"/>
    <w:rsid w:val="00DB0377"/>
    <w:rsid w:val="00DB15C7"/>
    <w:rsid w:val="00DB18D1"/>
    <w:rsid w:val="00DB3A68"/>
    <w:rsid w:val="00DB4BF6"/>
    <w:rsid w:val="00DB4F7B"/>
    <w:rsid w:val="00DB5AF0"/>
    <w:rsid w:val="00DC0238"/>
    <w:rsid w:val="00DC04FB"/>
    <w:rsid w:val="00DC0E2F"/>
    <w:rsid w:val="00DC0E4A"/>
    <w:rsid w:val="00DC4C80"/>
    <w:rsid w:val="00DC5CB4"/>
    <w:rsid w:val="00DD03F1"/>
    <w:rsid w:val="00DD0412"/>
    <w:rsid w:val="00DD07AB"/>
    <w:rsid w:val="00DD242C"/>
    <w:rsid w:val="00DD2A74"/>
    <w:rsid w:val="00DD40F3"/>
    <w:rsid w:val="00DD4CC2"/>
    <w:rsid w:val="00DD51A1"/>
    <w:rsid w:val="00DD52A0"/>
    <w:rsid w:val="00DD7D7B"/>
    <w:rsid w:val="00DE0C19"/>
    <w:rsid w:val="00DE3E9C"/>
    <w:rsid w:val="00DE49F4"/>
    <w:rsid w:val="00DF288F"/>
    <w:rsid w:val="00DF2C89"/>
    <w:rsid w:val="00DF377C"/>
    <w:rsid w:val="00DF43A1"/>
    <w:rsid w:val="00DF6991"/>
    <w:rsid w:val="00DF6BD1"/>
    <w:rsid w:val="00E01BAA"/>
    <w:rsid w:val="00E02061"/>
    <w:rsid w:val="00E02827"/>
    <w:rsid w:val="00E032E2"/>
    <w:rsid w:val="00E04087"/>
    <w:rsid w:val="00E112C8"/>
    <w:rsid w:val="00E1348F"/>
    <w:rsid w:val="00E14082"/>
    <w:rsid w:val="00E147E9"/>
    <w:rsid w:val="00E155D8"/>
    <w:rsid w:val="00E169BF"/>
    <w:rsid w:val="00E170E2"/>
    <w:rsid w:val="00E17774"/>
    <w:rsid w:val="00E20763"/>
    <w:rsid w:val="00E20A55"/>
    <w:rsid w:val="00E21269"/>
    <w:rsid w:val="00E227A9"/>
    <w:rsid w:val="00E26939"/>
    <w:rsid w:val="00E26AED"/>
    <w:rsid w:val="00E3094F"/>
    <w:rsid w:val="00E3147A"/>
    <w:rsid w:val="00E3225A"/>
    <w:rsid w:val="00E327ED"/>
    <w:rsid w:val="00E336A4"/>
    <w:rsid w:val="00E3380F"/>
    <w:rsid w:val="00E33BAF"/>
    <w:rsid w:val="00E34031"/>
    <w:rsid w:val="00E349F4"/>
    <w:rsid w:val="00E34B66"/>
    <w:rsid w:val="00E405DB"/>
    <w:rsid w:val="00E4262F"/>
    <w:rsid w:val="00E42F6F"/>
    <w:rsid w:val="00E447CD"/>
    <w:rsid w:val="00E44D5A"/>
    <w:rsid w:val="00E46067"/>
    <w:rsid w:val="00E46253"/>
    <w:rsid w:val="00E5161E"/>
    <w:rsid w:val="00E51D9F"/>
    <w:rsid w:val="00E52E0A"/>
    <w:rsid w:val="00E5365E"/>
    <w:rsid w:val="00E53C13"/>
    <w:rsid w:val="00E562A1"/>
    <w:rsid w:val="00E57535"/>
    <w:rsid w:val="00E60720"/>
    <w:rsid w:val="00E608BF"/>
    <w:rsid w:val="00E623FC"/>
    <w:rsid w:val="00E62DE6"/>
    <w:rsid w:val="00E62EBA"/>
    <w:rsid w:val="00E6346F"/>
    <w:rsid w:val="00E66024"/>
    <w:rsid w:val="00E66372"/>
    <w:rsid w:val="00E67C7B"/>
    <w:rsid w:val="00E70551"/>
    <w:rsid w:val="00E70CCC"/>
    <w:rsid w:val="00E71EEA"/>
    <w:rsid w:val="00E737CD"/>
    <w:rsid w:val="00E7435D"/>
    <w:rsid w:val="00E75FC5"/>
    <w:rsid w:val="00E80C10"/>
    <w:rsid w:val="00E81CA5"/>
    <w:rsid w:val="00E82CA1"/>
    <w:rsid w:val="00E82D9F"/>
    <w:rsid w:val="00E845CF"/>
    <w:rsid w:val="00E8558F"/>
    <w:rsid w:val="00E87E37"/>
    <w:rsid w:val="00E90123"/>
    <w:rsid w:val="00E90ED4"/>
    <w:rsid w:val="00E92ACB"/>
    <w:rsid w:val="00E92C2B"/>
    <w:rsid w:val="00E943E4"/>
    <w:rsid w:val="00E9524D"/>
    <w:rsid w:val="00E9603F"/>
    <w:rsid w:val="00E96496"/>
    <w:rsid w:val="00E96B47"/>
    <w:rsid w:val="00EA0E93"/>
    <w:rsid w:val="00EA1343"/>
    <w:rsid w:val="00EA4736"/>
    <w:rsid w:val="00EA5622"/>
    <w:rsid w:val="00EA5FFD"/>
    <w:rsid w:val="00EA78E1"/>
    <w:rsid w:val="00EA7F9C"/>
    <w:rsid w:val="00EB0CFF"/>
    <w:rsid w:val="00EB4FEE"/>
    <w:rsid w:val="00EB61CE"/>
    <w:rsid w:val="00EB67D9"/>
    <w:rsid w:val="00EB7A87"/>
    <w:rsid w:val="00EB7CAF"/>
    <w:rsid w:val="00EC0036"/>
    <w:rsid w:val="00EC2459"/>
    <w:rsid w:val="00EC2B54"/>
    <w:rsid w:val="00EC3902"/>
    <w:rsid w:val="00EC6379"/>
    <w:rsid w:val="00ED2060"/>
    <w:rsid w:val="00ED2F29"/>
    <w:rsid w:val="00ED4F82"/>
    <w:rsid w:val="00ED6493"/>
    <w:rsid w:val="00ED71AB"/>
    <w:rsid w:val="00EE3CCD"/>
    <w:rsid w:val="00EE41F0"/>
    <w:rsid w:val="00EE4691"/>
    <w:rsid w:val="00EE4885"/>
    <w:rsid w:val="00EE4F10"/>
    <w:rsid w:val="00EE5678"/>
    <w:rsid w:val="00EE6134"/>
    <w:rsid w:val="00EE66CA"/>
    <w:rsid w:val="00EF0A4F"/>
    <w:rsid w:val="00EF2107"/>
    <w:rsid w:val="00EF41C4"/>
    <w:rsid w:val="00EF5BA5"/>
    <w:rsid w:val="00EF6C95"/>
    <w:rsid w:val="00EF6F70"/>
    <w:rsid w:val="00F033C7"/>
    <w:rsid w:val="00F0375C"/>
    <w:rsid w:val="00F0495A"/>
    <w:rsid w:val="00F05BA6"/>
    <w:rsid w:val="00F10D9F"/>
    <w:rsid w:val="00F11637"/>
    <w:rsid w:val="00F11CD2"/>
    <w:rsid w:val="00F12443"/>
    <w:rsid w:val="00F1368A"/>
    <w:rsid w:val="00F1398C"/>
    <w:rsid w:val="00F143D3"/>
    <w:rsid w:val="00F161E7"/>
    <w:rsid w:val="00F17B88"/>
    <w:rsid w:val="00F20695"/>
    <w:rsid w:val="00F23D2F"/>
    <w:rsid w:val="00F248F0"/>
    <w:rsid w:val="00F25961"/>
    <w:rsid w:val="00F30401"/>
    <w:rsid w:val="00F30402"/>
    <w:rsid w:val="00F3052F"/>
    <w:rsid w:val="00F306D2"/>
    <w:rsid w:val="00F339F3"/>
    <w:rsid w:val="00F35EAD"/>
    <w:rsid w:val="00F36483"/>
    <w:rsid w:val="00F367A8"/>
    <w:rsid w:val="00F36982"/>
    <w:rsid w:val="00F4057B"/>
    <w:rsid w:val="00F41795"/>
    <w:rsid w:val="00F41965"/>
    <w:rsid w:val="00F445CA"/>
    <w:rsid w:val="00F44D24"/>
    <w:rsid w:val="00F452B0"/>
    <w:rsid w:val="00F5034A"/>
    <w:rsid w:val="00F50C4A"/>
    <w:rsid w:val="00F511A1"/>
    <w:rsid w:val="00F55457"/>
    <w:rsid w:val="00F55DDF"/>
    <w:rsid w:val="00F570EF"/>
    <w:rsid w:val="00F60C7E"/>
    <w:rsid w:val="00F60D87"/>
    <w:rsid w:val="00F613BA"/>
    <w:rsid w:val="00F61F55"/>
    <w:rsid w:val="00F62024"/>
    <w:rsid w:val="00F62C08"/>
    <w:rsid w:val="00F635FC"/>
    <w:rsid w:val="00F6471A"/>
    <w:rsid w:val="00F6639A"/>
    <w:rsid w:val="00F66533"/>
    <w:rsid w:val="00F67E9E"/>
    <w:rsid w:val="00F72D9A"/>
    <w:rsid w:val="00F73A08"/>
    <w:rsid w:val="00F74B6E"/>
    <w:rsid w:val="00F75C32"/>
    <w:rsid w:val="00F76003"/>
    <w:rsid w:val="00F804ED"/>
    <w:rsid w:val="00F817A1"/>
    <w:rsid w:val="00F82DDB"/>
    <w:rsid w:val="00F850D2"/>
    <w:rsid w:val="00F85CF1"/>
    <w:rsid w:val="00F8607B"/>
    <w:rsid w:val="00F8685D"/>
    <w:rsid w:val="00F90A52"/>
    <w:rsid w:val="00F90E7F"/>
    <w:rsid w:val="00F910B5"/>
    <w:rsid w:val="00F9146E"/>
    <w:rsid w:val="00F93115"/>
    <w:rsid w:val="00F95A86"/>
    <w:rsid w:val="00F95D62"/>
    <w:rsid w:val="00F97284"/>
    <w:rsid w:val="00FA3EBF"/>
    <w:rsid w:val="00FA4BBC"/>
    <w:rsid w:val="00FA4ED5"/>
    <w:rsid w:val="00FB1E47"/>
    <w:rsid w:val="00FB26CA"/>
    <w:rsid w:val="00FB2939"/>
    <w:rsid w:val="00FB3292"/>
    <w:rsid w:val="00FB5CB9"/>
    <w:rsid w:val="00FB63A1"/>
    <w:rsid w:val="00FB76A1"/>
    <w:rsid w:val="00FC1124"/>
    <w:rsid w:val="00FC322D"/>
    <w:rsid w:val="00FC452B"/>
    <w:rsid w:val="00FC47D9"/>
    <w:rsid w:val="00FC4C03"/>
    <w:rsid w:val="00FC54BE"/>
    <w:rsid w:val="00FC55C9"/>
    <w:rsid w:val="00FC6BD6"/>
    <w:rsid w:val="00FC6BE5"/>
    <w:rsid w:val="00FC72B8"/>
    <w:rsid w:val="00FD2D91"/>
    <w:rsid w:val="00FD31FC"/>
    <w:rsid w:val="00FD56A9"/>
    <w:rsid w:val="00FD59B8"/>
    <w:rsid w:val="00FE1CB1"/>
    <w:rsid w:val="00FE79A5"/>
    <w:rsid w:val="00FE7D29"/>
    <w:rsid w:val="00FF2EA0"/>
    <w:rsid w:val="00FF468B"/>
    <w:rsid w:val="00FF557B"/>
    <w:rsid w:val="00FF5FB7"/>
    <w:rsid w:val="00FF64C1"/>
    <w:rsid w:val="00FF670F"/>
    <w:rsid w:val="00FF7041"/>
    <w:rsid w:val="00FF73C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621F0"/>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qFormat="1"/>
    <w:lsdException w:name="table of figures" w:semiHidden="1" w:uiPriority="99" w:unhideWhenUsed="1"/>
    <w:lsdException w:name="envelope address" w:semiHidden="1"/>
    <w:lsdException w:name="envelope return" w:semiHidden="1"/>
    <w:lsdException w:name="footnote reference" w:semiHidden="1" w:uiPriority="99" w:unhideWhenUsed="1"/>
    <w:lsdException w:name="annotation reference" w:semiHidden="1" w:uiPriority="99" w:unhideWhenUsed="1"/>
    <w:lsdException w:name="line number" w:semiHidden="1"/>
    <w:lsdException w:name="page number" w:semiHidden="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lsdException w:name="toa heading" w:semiHidden="1" w:uiPriority="99"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99" w:qFormat="1"/>
    <w:lsdException w:name="Closing" w:semiHidden="1"/>
    <w:lsdException w:name="Signature" w:semiHidden="1" w:uiPriority="99" w:unhideWhenUsed="1"/>
    <w:lsdException w:name="Default Paragraph Font" w:semiHidden="1" w:uiPriority="1" w:unhideWhenUsed="1"/>
    <w:lsdException w:name="Body Text" w:semiHidden="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99"/>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unhideWhenUsed="1" w:qFormat="1"/>
    <w:lsdException w:name="FollowedHyperlink" w:semiHidden="1" w:uiPriority="99" w:unhideWhenUsed="1"/>
    <w:lsdException w:name="Strong" w:uiPriority="99" w:qFormat="1"/>
    <w:lsdException w:name="Emphasis" w:uiPriority="99" w:qFormat="1"/>
    <w:lsdException w:name="Document Map" w:semiHidden="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uiPriority="99"/>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99"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99"/>
    <w:semiHidden/>
    <w:rsid w:val="002D2615"/>
    <w:rPr>
      <w:rFonts w:ascii="Arial" w:hAnsi="Arial"/>
      <w:szCs w:val="20"/>
    </w:rPr>
  </w:style>
  <w:style w:type="paragraph" w:styleId="Heading1">
    <w:name w:val="heading 1"/>
    <w:next w:val="Normal"/>
    <w:link w:val="Heading1Char"/>
    <w:qFormat/>
    <w:rsid w:val="00F62024"/>
    <w:pPr>
      <w:keepNext/>
      <w:keepLines/>
      <w:pageBreakBefore/>
      <w:spacing w:after="480"/>
      <w:outlineLvl w:val="0"/>
    </w:pPr>
    <w:rPr>
      <w:rFonts w:asciiTheme="majorHAnsi" w:eastAsiaTheme="majorEastAsia" w:hAnsiTheme="majorHAnsi" w:cstheme="majorBidi"/>
      <w:b/>
      <w:bCs/>
      <w:color w:val="1F497D"/>
      <w:sz w:val="36"/>
      <w:szCs w:val="28"/>
    </w:rPr>
  </w:style>
  <w:style w:type="paragraph" w:styleId="Heading2">
    <w:name w:val="heading 2"/>
    <w:basedOn w:val="Normal"/>
    <w:next w:val="Normal"/>
    <w:link w:val="Heading2Char"/>
    <w:qFormat/>
    <w:rsid w:val="003535B2"/>
    <w:pPr>
      <w:keepNext/>
      <w:keepLines/>
      <w:spacing w:before="200" w:after="300"/>
      <w:outlineLvl w:val="1"/>
    </w:pPr>
    <w:rPr>
      <w:rFonts w:asciiTheme="majorHAnsi" w:eastAsiaTheme="majorEastAsia" w:hAnsiTheme="majorHAnsi" w:cstheme="majorBidi"/>
      <w:b/>
      <w:bCs/>
      <w:color w:val="1F497D" w:themeColor="text2"/>
      <w:sz w:val="32"/>
      <w:szCs w:val="26"/>
    </w:rPr>
  </w:style>
  <w:style w:type="paragraph" w:styleId="Heading3">
    <w:name w:val="heading 3"/>
    <w:basedOn w:val="Normal"/>
    <w:next w:val="Normal"/>
    <w:link w:val="Heading3Char"/>
    <w:qFormat/>
    <w:rsid w:val="005F4E68"/>
    <w:pPr>
      <w:keepNext/>
      <w:keepLines/>
      <w:spacing w:before="200" w:after="100"/>
      <w:outlineLvl w:val="2"/>
    </w:pPr>
    <w:rPr>
      <w:rFonts w:asciiTheme="majorHAnsi" w:eastAsiaTheme="majorEastAsia" w:hAnsiTheme="majorHAnsi" w:cstheme="majorBidi"/>
      <w:b/>
      <w:bCs/>
    </w:rPr>
  </w:style>
  <w:style w:type="paragraph" w:styleId="Heading4">
    <w:name w:val="heading 4"/>
    <w:basedOn w:val="Heading3"/>
    <w:next w:val="Normal"/>
    <w:link w:val="Heading4Char"/>
    <w:qFormat/>
    <w:rsid w:val="006A23C2"/>
    <w:pPr>
      <w:jc w:val="center"/>
      <w:outlineLvl w:val="3"/>
    </w:pPr>
  </w:style>
  <w:style w:type="paragraph" w:styleId="Heading5">
    <w:name w:val="heading 5"/>
    <w:basedOn w:val="Heading3"/>
    <w:next w:val="Normal"/>
    <w:link w:val="Heading5Char"/>
    <w:qFormat/>
    <w:rsid w:val="006A23C2"/>
    <w:pPr>
      <w:outlineLvl w:val="4"/>
    </w:pPr>
  </w:style>
  <w:style w:type="paragraph" w:styleId="Heading6">
    <w:name w:val="heading 6"/>
    <w:basedOn w:val="Normal"/>
    <w:next w:val="Normal"/>
    <w:link w:val="Heading6Char"/>
    <w:uiPriority w:val="99"/>
    <w:qFormat/>
    <w:rsid w:val="004A7C2C"/>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9"/>
    <w:qFormat/>
    <w:rsid w:val="004A7C2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qFormat/>
    <w:rsid w:val="004A7C2C"/>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9"/>
    <w:qFormat/>
    <w:rsid w:val="004A7C2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2024"/>
    <w:rPr>
      <w:rFonts w:asciiTheme="majorHAnsi" w:eastAsiaTheme="majorEastAsia" w:hAnsiTheme="majorHAnsi" w:cstheme="majorBidi"/>
      <w:b/>
      <w:bCs/>
      <w:color w:val="1F497D"/>
      <w:sz w:val="36"/>
      <w:szCs w:val="28"/>
    </w:rPr>
  </w:style>
  <w:style w:type="character" w:customStyle="1" w:styleId="Heading2Char">
    <w:name w:val="Heading 2 Char"/>
    <w:basedOn w:val="DefaultParagraphFont"/>
    <w:link w:val="Heading2"/>
    <w:rsid w:val="003535B2"/>
    <w:rPr>
      <w:rFonts w:asciiTheme="majorHAnsi" w:eastAsiaTheme="majorEastAsia" w:hAnsiTheme="majorHAnsi" w:cstheme="majorBidi"/>
      <w:b/>
      <w:bCs/>
      <w:color w:val="1F497D" w:themeColor="text2"/>
      <w:sz w:val="32"/>
      <w:szCs w:val="26"/>
    </w:rPr>
  </w:style>
  <w:style w:type="character" w:customStyle="1" w:styleId="Heading3Char">
    <w:name w:val="Heading 3 Char"/>
    <w:basedOn w:val="DefaultParagraphFont"/>
    <w:link w:val="Heading3"/>
    <w:rsid w:val="005F4E68"/>
    <w:rPr>
      <w:rFonts w:asciiTheme="majorHAnsi" w:eastAsiaTheme="majorEastAsia" w:hAnsiTheme="majorHAnsi" w:cstheme="majorBidi"/>
      <w:b/>
      <w:bCs/>
      <w:szCs w:val="20"/>
    </w:rPr>
  </w:style>
  <w:style w:type="character" w:customStyle="1" w:styleId="Heading4Char">
    <w:name w:val="Heading 4 Char"/>
    <w:basedOn w:val="DefaultParagraphFont"/>
    <w:link w:val="Heading4"/>
    <w:rsid w:val="006A23C2"/>
    <w:rPr>
      <w:rFonts w:asciiTheme="majorHAnsi" w:eastAsiaTheme="majorEastAsia" w:hAnsiTheme="majorHAnsi" w:cstheme="majorBidi"/>
      <w:b/>
      <w:bCs/>
      <w:szCs w:val="20"/>
    </w:rPr>
  </w:style>
  <w:style w:type="character" w:customStyle="1" w:styleId="Heading5Char">
    <w:name w:val="Heading 5 Char"/>
    <w:basedOn w:val="DefaultParagraphFont"/>
    <w:link w:val="Heading5"/>
    <w:rsid w:val="006A23C2"/>
    <w:rPr>
      <w:rFonts w:asciiTheme="majorHAnsi" w:eastAsiaTheme="majorEastAsia" w:hAnsiTheme="majorHAnsi" w:cstheme="majorBidi"/>
      <w:b/>
      <w:bCs/>
      <w:szCs w:val="20"/>
    </w:rPr>
  </w:style>
  <w:style w:type="character" w:customStyle="1" w:styleId="Heading6Char">
    <w:name w:val="Heading 6 Char"/>
    <w:basedOn w:val="DefaultParagraphFont"/>
    <w:link w:val="Heading6"/>
    <w:uiPriority w:val="99"/>
    <w:rsid w:val="00863151"/>
    <w:rPr>
      <w:rFonts w:asciiTheme="majorHAnsi" w:eastAsiaTheme="majorEastAsia" w:hAnsiTheme="majorHAnsi" w:cstheme="majorBidi"/>
      <w:i/>
      <w:iCs/>
      <w:color w:val="1F3763" w:themeColor="accent1" w:themeShade="7F"/>
      <w:szCs w:val="20"/>
    </w:rPr>
  </w:style>
  <w:style w:type="character" w:customStyle="1" w:styleId="Heading7Char">
    <w:name w:val="Heading 7 Char"/>
    <w:basedOn w:val="DefaultParagraphFont"/>
    <w:link w:val="Heading7"/>
    <w:uiPriority w:val="99"/>
    <w:rsid w:val="00863151"/>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uiPriority w:val="99"/>
    <w:rsid w:val="00863151"/>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9"/>
    <w:rsid w:val="00863151"/>
    <w:rPr>
      <w:rFonts w:asciiTheme="majorHAnsi" w:eastAsiaTheme="majorEastAsia" w:hAnsiTheme="majorHAnsi" w:cstheme="majorBidi"/>
      <w:i/>
      <w:iCs/>
      <w:color w:val="404040" w:themeColor="text1" w:themeTint="BF"/>
      <w:szCs w:val="20"/>
    </w:rPr>
  </w:style>
  <w:style w:type="paragraph" w:styleId="Header">
    <w:name w:val="header"/>
    <w:link w:val="HeaderChar"/>
    <w:uiPriority w:val="99"/>
    <w:rsid w:val="005A04B8"/>
    <w:pPr>
      <w:pBdr>
        <w:top w:val="nil"/>
        <w:left w:val="nil"/>
        <w:bottom w:val="nil"/>
        <w:right w:val="nil"/>
        <w:between w:val="nil"/>
      </w:pBdr>
    </w:pPr>
    <w:rPr>
      <w:rFonts w:ascii="Arial" w:hAnsi="Arial"/>
      <w:sz w:val="22"/>
      <w:szCs w:val="22"/>
    </w:rPr>
  </w:style>
  <w:style w:type="character" w:customStyle="1" w:styleId="HeaderChar">
    <w:name w:val="Header Char"/>
    <w:basedOn w:val="DefaultParagraphFont"/>
    <w:link w:val="Header"/>
    <w:uiPriority w:val="99"/>
    <w:rsid w:val="005A04B8"/>
    <w:rPr>
      <w:rFonts w:ascii="Arial" w:hAnsi="Arial"/>
      <w:sz w:val="22"/>
      <w:szCs w:val="22"/>
    </w:rPr>
  </w:style>
  <w:style w:type="paragraph" w:styleId="Footer">
    <w:name w:val="footer"/>
    <w:basedOn w:val="Normal"/>
    <w:link w:val="FooterChar"/>
    <w:uiPriority w:val="99"/>
    <w:rsid w:val="00216894"/>
    <w:pPr>
      <w:pBdr>
        <w:top w:val="single" w:sz="4" w:space="4" w:color="auto"/>
      </w:pBdr>
      <w:tabs>
        <w:tab w:val="center" w:pos="4513"/>
        <w:tab w:val="right" w:pos="9026"/>
      </w:tabs>
    </w:pPr>
    <w:rPr>
      <w:sz w:val="22"/>
    </w:rPr>
  </w:style>
  <w:style w:type="character" w:customStyle="1" w:styleId="FooterChar">
    <w:name w:val="Footer Char"/>
    <w:basedOn w:val="DefaultParagraphFont"/>
    <w:link w:val="Footer"/>
    <w:uiPriority w:val="99"/>
    <w:rsid w:val="00863151"/>
    <w:rPr>
      <w:rFonts w:ascii="Arial" w:hAnsi="Arial"/>
      <w:sz w:val="22"/>
      <w:szCs w:val="20"/>
    </w:rPr>
  </w:style>
  <w:style w:type="paragraph" w:styleId="Revision">
    <w:name w:val="Revision"/>
    <w:hidden/>
    <w:uiPriority w:val="99"/>
    <w:semiHidden/>
    <w:rsid w:val="004A7C2C"/>
    <w:rPr>
      <w:rFonts w:ascii="Arial" w:hAnsi="Arial"/>
      <w:sz w:val="20"/>
      <w:lang w:eastAsia="en-GB"/>
    </w:rPr>
  </w:style>
  <w:style w:type="numbering" w:customStyle="1" w:styleId="Level">
    <w:name w:val="Level"/>
    <w:uiPriority w:val="99"/>
    <w:rsid w:val="004A7C2C"/>
    <w:pPr>
      <w:numPr>
        <w:numId w:val="38"/>
      </w:numPr>
    </w:pPr>
  </w:style>
  <w:style w:type="numbering" w:customStyle="1" w:styleId="Scheduletext">
    <w:name w:val="Schedule text"/>
    <w:uiPriority w:val="99"/>
    <w:rsid w:val="004A7C2C"/>
    <w:pPr>
      <w:numPr>
        <w:numId w:val="37"/>
      </w:numPr>
    </w:pPr>
  </w:style>
  <w:style w:type="numbering" w:customStyle="1" w:styleId="Appendix">
    <w:name w:val="Appendix"/>
    <w:uiPriority w:val="99"/>
    <w:rsid w:val="004A7C2C"/>
    <w:pPr>
      <w:numPr>
        <w:numId w:val="40"/>
      </w:numPr>
    </w:pPr>
  </w:style>
  <w:style w:type="numbering" w:customStyle="1" w:styleId="Scheduleheading">
    <w:name w:val="Schedule heading"/>
    <w:uiPriority w:val="99"/>
    <w:rsid w:val="004A7C2C"/>
    <w:pPr>
      <w:numPr>
        <w:numId w:val="39"/>
      </w:numPr>
    </w:pPr>
  </w:style>
  <w:style w:type="numbering" w:customStyle="1" w:styleId="Bullets">
    <w:name w:val="Bullets"/>
    <w:uiPriority w:val="99"/>
    <w:rsid w:val="004A7C2C"/>
    <w:pPr>
      <w:numPr>
        <w:numId w:val="41"/>
      </w:numPr>
    </w:pPr>
  </w:style>
  <w:style w:type="numbering" w:customStyle="1" w:styleId="Definitions">
    <w:name w:val="Definitions"/>
    <w:uiPriority w:val="99"/>
    <w:rsid w:val="004A7C2C"/>
    <w:pPr>
      <w:numPr>
        <w:numId w:val="45"/>
      </w:numPr>
    </w:pPr>
  </w:style>
  <w:style w:type="paragraph" w:customStyle="1" w:styleId="AppendixText4manuallynumbered">
    <w:name w:val="Appendix Text 4 manually numbered"/>
    <w:basedOn w:val="Level4"/>
    <w:uiPriority w:val="1"/>
    <w:rsid w:val="00D515BC"/>
    <w:pPr>
      <w:numPr>
        <w:ilvl w:val="0"/>
        <w:numId w:val="0"/>
      </w:numPr>
      <w:tabs>
        <w:tab w:val="clear" w:pos="720"/>
        <w:tab w:val="clear" w:pos="1803"/>
      </w:tabs>
      <w:ind w:left="2835" w:hanging="1077"/>
    </w:pPr>
  </w:style>
  <w:style w:type="paragraph" w:customStyle="1" w:styleId="AppendixText4continued">
    <w:name w:val="Appendix Text 4 continued"/>
    <w:basedOn w:val="AppendixText4"/>
    <w:uiPriority w:val="1"/>
    <w:semiHidden/>
    <w:rsid w:val="009211A8"/>
    <w:pPr>
      <w:numPr>
        <w:ilvl w:val="0"/>
        <w:numId w:val="0"/>
      </w:numPr>
      <w:ind w:left="1803"/>
    </w:pPr>
  </w:style>
  <w:style w:type="paragraph" w:customStyle="1" w:styleId="AppendixText1">
    <w:name w:val="Appendix Text 1"/>
    <w:basedOn w:val="Normal"/>
    <w:next w:val="StdBodyText1"/>
    <w:rsid w:val="00E60720"/>
    <w:pPr>
      <w:keepNext/>
      <w:numPr>
        <w:numId w:val="46"/>
      </w:numPr>
      <w:spacing w:before="100" w:after="200"/>
    </w:pPr>
    <w:rPr>
      <w:rFonts w:eastAsia="Verdana" w:cs="Times New Roman"/>
      <w:b/>
      <w:szCs w:val="24"/>
      <w:lang w:eastAsia="en-GB"/>
    </w:rPr>
  </w:style>
  <w:style w:type="paragraph" w:customStyle="1" w:styleId="AppendixText2">
    <w:name w:val="Appendix Text 2"/>
    <w:basedOn w:val="AppendixText1"/>
    <w:next w:val="StdBodyText2"/>
    <w:rsid w:val="00E60720"/>
    <w:pPr>
      <w:keepNext w:val="0"/>
      <w:numPr>
        <w:ilvl w:val="1"/>
      </w:numPr>
    </w:pPr>
    <w:rPr>
      <w:b w:val="0"/>
    </w:rPr>
  </w:style>
  <w:style w:type="paragraph" w:customStyle="1" w:styleId="AppendixText3">
    <w:name w:val="Appendix Text 3"/>
    <w:basedOn w:val="Normal"/>
    <w:next w:val="StdBodyText3"/>
    <w:qFormat/>
    <w:rsid w:val="002E7013"/>
    <w:pPr>
      <w:widowControl w:val="0"/>
      <w:numPr>
        <w:ilvl w:val="2"/>
        <w:numId w:val="46"/>
      </w:numPr>
      <w:autoSpaceDE w:val="0"/>
      <w:autoSpaceDN w:val="0"/>
      <w:spacing w:before="100" w:after="200"/>
    </w:pPr>
    <w:rPr>
      <w:rFonts w:eastAsia="Times New Roman" w:cs="Times New Roman"/>
      <w:szCs w:val="24"/>
      <w:lang w:eastAsia="en-GB"/>
    </w:rPr>
  </w:style>
  <w:style w:type="paragraph" w:customStyle="1" w:styleId="AppendixText4">
    <w:name w:val="Appendix Text 4"/>
    <w:basedOn w:val="Normal"/>
    <w:next w:val="StdBodyText4"/>
    <w:rsid w:val="00E60720"/>
    <w:pPr>
      <w:numPr>
        <w:ilvl w:val="3"/>
        <w:numId w:val="46"/>
      </w:numPr>
      <w:spacing w:before="100" w:after="200"/>
    </w:pPr>
    <w:rPr>
      <w:rFonts w:eastAsia="Times New Roman" w:cs="Times New Roman"/>
      <w:szCs w:val="24"/>
      <w:lang w:eastAsia="en-GB"/>
    </w:rPr>
  </w:style>
  <w:style w:type="paragraph" w:customStyle="1" w:styleId="AppendixText5">
    <w:name w:val="Appendix Text 5"/>
    <w:basedOn w:val="Normal"/>
    <w:next w:val="StdBodyText5"/>
    <w:rsid w:val="004A7C2C"/>
    <w:pPr>
      <w:numPr>
        <w:ilvl w:val="4"/>
        <w:numId w:val="46"/>
      </w:numPr>
      <w:tabs>
        <w:tab w:val="left" w:pos="2523"/>
      </w:tabs>
      <w:spacing w:before="100" w:after="200"/>
    </w:pPr>
    <w:rPr>
      <w:rFonts w:eastAsia="Times New Roman" w:cs="Times New Roman"/>
      <w:szCs w:val="24"/>
      <w:lang w:eastAsia="en-GB"/>
    </w:rPr>
  </w:style>
  <w:style w:type="paragraph" w:customStyle="1" w:styleId="BlankDocumentTitle">
    <w:name w:val="Blank Document Title"/>
    <w:basedOn w:val="Normal"/>
    <w:next w:val="StdBodyText"/>
    <w:uiPriority w:val="99"/>
    <w:rsid w:val="004A7C2C"/>
    <w:pPr>
      <w:spacing w:after="200"/>
      <w:jc w:val="center"/>
    </w:pPr>
    <w:rPr>
      <w:rFonts w:eastAsia="Times New Roman" w:cs="Times New Roman"/>
      <w:b/>
      <w:szCs w:val="24"/>
      <w:lang w:eastAsia="en-GB"/>
    </w:rPr>
  </w:style>
  <w:style w:type="paragraph" w:customStyle="1" w:styleId="StdBodyText">
    <w:name w:val="Std Body Text"/>
    <w:basedOn w:val="Normal"/>
    <w:uiPriority w:val="99"/>
    <w:qFormat/>
    <w:rsid w:val="004A7C2C"/>
    <w:pPr>
      <w:spacing w:before="100" w:after="200"/>
    </w:pPr>
    <w:rPr>
      <w:rFonts w:eastAsia="Times New Roman" w:cs="Times New Roman"/>
      <w:szCs w:val="24"/>
      <w:lang w:eastAsia="en-GB"/>
    </w:rPr>
  </w:style>
  <w:style w:type="paragraph" w:customStyle="1" w:styleId="StdBodyText1">
    <w:name w:val="Std Body Text 1"/>
    <w:basedOn w:val="StdBodyText"/>
    <w:uiPriority w:val="99"/>
    <w:rsid w:val="004A7C2C"/>
    <w:pPr>
      <w:ind w:left="720"/>
    </w:pPr>
  </w:style>
  <w:style w:type="paragraph" w:customStyle="1" w:styleId="StdBodyText2">
    <w:name w:val="Std Body Text 2"/>
    <w:basedOn w:val="StdBodyText1"/>
    <w:uiPriority w:val="99"/>
    <w:rsid w:val="004A7C2C"/>
  </w:style>
  <w:style w:type="paragraph" w:customStyle="1" w:styleId="StdBodyText3">
    <w:name w:val="Std Body Text 3"/>
    <w:basedOn w:val="StdBodyText2"/>
    <w:uiPriority w:val="99"/>
    <w:rsid w:val="004A7C2C"/>
    <w:pPr>
      <w:ind w:left="1803"/>
    </w:pPr>
  </w:style>
  <w:style w:type="paragraph" w:customStyle="1" w:styleId="StdBodyText4">
    <w:name w:val="Std Body Text 4"/>
    <w:basedOn w:val="StdBodyText3"/>
    <w:uiPriority w:val="99"/>
    <w:rsid w:val="004A7C2C"/>
  </w:style>
  <w:style w:type="paragraph" w:customStyle="1" w:styleId="StdBodyText5">
    <w:name w:val="Std Body Text 5"/>
    <w:basedOn w:val="StdBodyText4"/>
    <w:uiPriority w:val="99"/>
    <w:rsid w:val="004A7C2C"/>
    <w:pPr>
      <w:ind w:left="2523"/>
    </w:pPr>
  </w:style>
  <w:style w:type="paragraph" w:customStyle="1" w:styleId="StdBodyTextBold">
    <w:name w:val="Std Body Text Bold"/>
    <w:basedOn w:val="Normal"/>
    <w:next w:val="StdBodyText"/>
    <w:link w:val="StdBodyTextBoldChar"/>
    <w:uiPriority w:val="99"/>
    <w:qFormat/>
    <w:rsid w:val="004A7C2C"/>
    <w:pPr>
      <w:spacing w:before="100" w:after="200"/>
    </w:pPr>
    <w:rPr>
      <w:rFonts w:eastAsia="Times New Roman" w:cs="Times New Roman"/>
      <w:b/>
      <w:szCs w:val="24"/>
      <w:lang w:eastAsia="en-GB"/>
    </w:rPr>
  </w:style>
  <w:style w:type="character" w:customStyle="1" w:styleId="StdBodyTextBoldChar">
    <w:name w:val="Std Body Text Bold Char"/>
    <w:basedOn w:val="DefaultParagraphFont"/>
    <w:link w:val="StdBodyTextBold"/>
    <w:uiPriority w:val="99"/>
    <w:rsid w:val="00863151"/>
    <w:rPr>
      <w:rFonts w:ascii="Arial" w:eastAsia="Times New Roman" w:hAnsi="Arial" w:cs="Times New Roman"/>
      <w:b/>
      <w:lang w:eastAsia="en-GB"/>
    </w:rPr>
  </w:style>
  <w:style w:type="paragraph" w:customStyle="1" w:styleId="DefinitionList">
    <w:name w:val="Definition List"/>
    <w:basedOn w:val="Normal"/>
    <w:uiPriority w:val="99"/>
    <w:rsid w:val="004A7C2C"/>
    <w:pPr>
      <w:numPr>
        <w:numId w:val="133"/>
      </w:numPr>
      <w:spacing w:before="100" w:after="200"/>
    </w:pPr>
    <w:rPr>
      <w:rFonts w:eastAsia="Times New Roman" w:cs="Times New Roman"/>
      <w:szCs w:val="24"/>
      <w:lang w:eastAsia="en-GB"/>
    </w:rPr>
  </w:style>
  <w:style w:type="paragraph" w:customStyle="1" w:styleId="PartHeading">
    <w:name w:val="Part Heading"/>
    <w:basedOn w:val="Normal"/>
    <w:next w:val="StdBodyText"/>
    <w:uiPriority w:val="99"/>
    <w:rsid w:val="004A7C2C"/>
    <w:pPr>
      <w:numPr>
        <w:numId w:val="5"/>
      </w:numPr>
      <w:spacing w:before="100" w:after="200"/>
      <w:jc w:val="center"/>
    </w:pPr>
    <w:rPr>
      <w:rFonts w:ascii="Arial Bold" w:eastAsia="Times New Roman" w:hAnsi="Arial Bold" w:cs="Times New Roman"/>
      <w:b/>
      <w:caps/>
      <w:szCs w:val="24"/>
      <w:lang w:eastAsia="en-GB"/>
    </w:rPr>
  </w:style>
  <w:style w:type="paragraph" w:customStyle="1" w:styleId="PartiesBodyText">
    <w:name w:val="Parties Body Text"/>
    <w:basedOn w:val="Normal"/>
    <w:rsid w:val="004A7C2C"/>
    <w:pPr>
      <w:numPr>
        <w:numId w:val="6"/>
      </w:numPr>
      <w:spacing w:before="100" w:after="200"/>
    </w:pPr>
    <w:rPr>
      <w:rFonts w:eastAsia="Times New Roman" w:cs="Times New Roman"/>
      <w:szCs w:val="24"/>
      <w:lang w:eastAsia="en-GB"/>
    </w:rPr>
  </w:style>
  <w:style w:type="paragraph" w:customStyle="1" w:styleId="ScheduleText1">
    <w:name w:val="Schedule Text 1"/>
    <w:basedOn w:val="Normal"/>
    <w:next w:val="StdBodyText1"/>
    <w:qFormat/>
    <w:rsid w:val="00F3052F"/>
    <w:pPr>
      <w:keepNext/>
      <w:keepLines/>
      <w:spacing w:before="100" w:after="200"/>
      <w:ind w:left="720" w:hanging="720"/>
      <w:outlineLvl w:val="1"/>
    </w:pPr>
    <w:rPr>
      <w:rFonts w:eastAsia="Times New Roman" w:cs="Times New Roman"/>
      <w:b/>
      <w:szCs w:val="24"/>
      <w:lang w:eastAsia="en-GB"/>
    </w:rPr>
  </w:style>
  <w:style w:type="paragraph" w:customStyle="1" w:styleId="ScheduleText2">
    <w:name w:val="Schedule Text 2"/>
    <w:basedOn w:val="ScheduleText1"/>
    <w:next w:val="StdBodyText2"/>
    <w:qFormat/>
    <w:rsid w:val="00F3052F"/>
    <w:pPr>
      <w:keepNext w:val="0"/>
      <w:keepLines w:val="0"/>
      <w:numPr>
        <w:ilvl w:val="1"/>
      </w:numPr>
      <w:ind w:left="720" w:hanging="720"/>
      <w:outlineLvl w:val="2"/>
    </w:pPr>
    <w:rPr>
      <w:b w:val="0"/>
    </w:rPr>
  </w:style>
  <w:style w:type="paragraph" w:customStyle="1" w:styleId="ScheduleText3">
    <w:name w:val="Schedule Text 3"/>
    <w:basedOn w:val="Normal"/>
    <w:next w:val="StdBodyText3"/>
    <w:qFormat/>
    <w:rsid w:val="004A7C2C"/>
    <w:pPr>
      <w:tabs>
        <w:tab w:val="left" w:pos="720"/>
        <w:tab w:val="left" w:pos="1803"/>
      </w:tabs>
      <w:spacing w:before="100" w:after="200"/>
      <w:ind w:left="1803" w:hanging="1083"/>
    </w:pPr>
    <w:rPr>
      <w:rFonts w:eastAsia="Times New Roman" w:cs="Times New Roman"/>
      <w:szCs w:val="24"/>
      <w:lang w:eastAsia="en-GB"/>
    </w:rPr>
  </w:style>
  <w:style w:type="paragraph" w:customStyle="1" w:styleId="ScheduleText4">
    <w:name w:val="Schedule Text 4"/>
    <w:basedOn w:val="Normal"/>
    <w:next w:val="StdBodyText4"/>
    <w:qFormat/>
    <w:rsid w:val="004A7C2C"/>
    <w:pPr>
      <w:tabs>
        <w:tab w:val="left" w:pos="1803"/>
      </w:tabs>
      <w:spacing w:before="100" w:after="200"/>
    </w:pPr>
    <w:rPr>
      <w:rFonts w:eastAsia="Times New Roman" w:cs="Times New Roman"/>
      <w:szCs w:val="24"/>
      <w:lang w:eastAsia="en-GB"/>
    </w:rPr>
  </w:style>
  <w:style w:type="paragraph" w:customStyle="1" w:styleId="StdSignature">
    <w:name w:val="Std Signature"/>
    <w:basedOn w:val="Normal"/>
    <w:uiPriority w:val="99"/>
    <w:rsid w:val="004A7C2C"/>
    <w:rPr>
      <w:rFonts w:eastAsia="Times New Roman" w:cs="Times New Roman"/>
      <w:b/>
      <w:szCs w:val="24"/>
      <w:lang w:eastAsia="en-GB"/>
    </w:rPr>
  </w:style>
  <w:style w:type="table" w:styleId="TableGrid">
    <w:name w:val="Table Grid"/>
    <w:basedOn w:val="TableNormal"/>
    <w:uiPriority w:val="39"/>
    <w:rsid w:val="004A7C2C"/>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1">
    <w:name w:val="Dark List Accent 1"/>
    <w:basedOn w:val="TableNormal"/>
    <w:uiPriority w:val="70"/>
    <w:rsid w:val="004A7C2C"/>
    <w:rPr>
      <w:rFonts w:ascii="Arial" w:hAnsi="Arial"/>
      <w:color w:val="FFFFFF" w:themeColor="background1"/>
      <w:sz w:val="20"/>
      <w:szCs w:val="20"/>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LightList-Accent1">
    <w:name w:val="Light List Accent 1"/>
    <w:basedOn w:val="TableNormal"/>
    <w:uiPriority w:val="61"/>
    <w:rsid w:val="004A7C2C"/>
    <w:rPr>
      <w:rFonts w:ascii="Arial" w:hAnsi="Arial"/>
      <w:sz w:val="20"/>
      <w:szCs w:val="20"/>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ColorfulShading">
    <w:name w:val="Colorful Shading"/>
    <w:basedOn w:val="TableNormal"/>
    <w:uiPriority w:val="71"/>
    <w:rsid w:val="004A7C2C"/>
    <w:rPr>
      <w:rFonts w:ascii="Arial" w:hAnsi="Arial"/>
      <w:color w:val="000000" w:themeColor="text1"/>
      <w:sz w:val="20"/>
      <w:szCs w:val="20"/>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ediumGrid2-Accent3">
    <w:name w:val="Medium Grid 2 Accent 3"/>
    <w:basedOn w:val="TableNormal"/>
    <w:uiPriority w:val="68"/>
    <w:rsid w:val="004A7C2C"/>
    <w:rPr>
      <w:rFonts w:asciiTheme="majorHAnsi" w:eastAsiaTheme="majorEastAsia" w:hAnsiTheme="majorHAnsi" w:cstheme="majorBidi"/>
      <w:color w:val="000000" w:themeColor="text1"/>
      <w:sz w:val="20"/>
      <w:szCs w:val="2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4A7C2C"/>
    <w:rPr>
      <w:rFonts w:asciiTheme="majorHAnsi" w:eastAsiaTheme="majorEastAsia" w:hAnsiTheme="majorHAnsi" w:cstheme="majorBidi"/>
      <w:color w:val="000000" w:themeColor="text1"/>
      <w:sz w:val="20"/>
      <w:szCs w:val="20"/>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LightShading">
    <w:name w:val="Light Shading"/>
    <w:basedOn w:val="TableNormal"/>
    <w:uiPriority w:val="60"/>
    <w:rsid w:val="004A7C2C"/>
    <w:rPr>
      <w:rFonts w:ascii="Arial" w:hAnsi="Arial"/>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Grid-Accent6">
    <w:name w:val="Colorful Grid Accent 6"/>
    <w:basedOn w:val="TableNormal"/>
    <w:uiPriority w:val="73"/>
    <w:rsid w:val="004A7C2C"/>
    <w:rPr>
      <w:rFonts w:ascii="Arial" w:hAnsi="Arial"/>
      <w:color w:val="000000" w:themeColor="text1"/>
      <w:sz w:val="20"/>
      <w:szCs w:val="20"/>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Shading1-Accent2">
    <w:name w:val="Medium Shading 1 Accent 2"/>
    <w:basedOn w:val="TableNormal"/>
    <w:uiPriority w:val="63"/>
    <w:rsid w:val="004A7C2C"/>
    <w:rPr>
      <w:rFonts w:ascii="Arial" w:hAnsi="Arial"/>
      <w:sz w:val="20"/>
      <w:szCs w:val="20"/>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4A7C2C"/>
    <w:rPr>
      <w:rFonts w:ascii="Arial" w:hAnsi="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6">
    <w:name w:val="Light Grid Accent 6"/>
    <w:basedOn w:val="TableNormal"/>
    <w:uiPriority w:val="62"/>
    <w:rsid w:val="004A7C2C"/>
    <w:rPr>
      <w:rFonts w:ascii="Arial" w:hAnsi="Arial"/>
      <w:sz w:val="20"/>
      <w:szCs w:val="20"/>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numbering" w:customStyle="1" w:styleId="Appendixheading">
    <w:name w:val="Appendix heading"/>
    <w:uiPriority w:val="99"/>
    <w:rsid w:val="004A7C2C"/>
    <w:pPr>
      <w:numPr>
        <w:numId w:val="43"/>
      </w:numPr>
    </w:pPr>
  </w:style>
  <w:style w:type="paragraph" w:customStyle="1" w:styleId="DefinitionListLevel1">
    <w:name w:val="Definition List Level 1"/>
    <w:basedOn w:val="DefinitionList"/>
    <w:uiPriority w:val="99"/>
    <w:rsid w:val="004A7C2C"/>
    <w:pPr>
      <w:numPr>
        <w:ilvl w:val="1"/>
      </w:numPr>
    </w:pPr>
  </w:style>
  <w:style w:type="paragraph" w:styleId="ListParagraph">
    <w:name w:val="List Paragraph"/>
    <w:basedOn w:val="Normal"/>
    <w:link w:val="ListParagraphChar"/>
    <w:uiPriority w:val="99"/>
    <w:qFormat/>
    <w:rsid w:val="004A7C2C"/>
    <w:pPr>
      <w:ind w:left="720"/>
      <w:contextualSpacing/>
    </w:pPr>
  </w:style>
  <w:style w:type="paragraph" w:customStyle="1" w:styleId="DefinitionListLevel2">
    <w:name w:val="Definition List Level 2"/>
    <w:basedOn w:val="DefinitionListLevel1"/>
    <w:uiPriority w:val="99"/>
    <w:rsid w:val="004A7C2C"/>
    <w:pPr>
      <w:numPr>
        <w:ilvl w:val="2"/>
      </w:numPr>
    </w:pPr>
  </w:style>
  <w:style w:type="paragraph" w:customStyle="1" w:styleId="AppendixText6">
    <w:name w:val="Appendix Text 6"/>
    <w:basedOn w:val="AppendixText5"/>
    <w:rsid w:val="004A7C2C"/>
    <w:pPr>
      <w:numPr>
        <w:ilvl w:val="5"/>
      </w:numPr>
    </w:pPr>
  </w:style>
  <w:style w:type="paragraph" w:styleId="FootnoteText">
    <w:name w:val="footnote text"/>
    <w:basedOn w:val="Normal"/>
    <w:link w:val="FootnoteTextChar"/>
    <w:uiPriority w:val="99"/>
    <w:rsid w:val="004A7C2C"/>
    <w:rPr>
      <w:sz w:val="20"/>
    </w:rPr>
  </w:style>
  <w:style w:type="character" w:customStyle="1" w:styleId="FootnoteTextChar">
    <w:name w:val="Footnote Text Char"/>
    <w:basedOn w:val="DefaultParagraphFont"/>
    <w:link w:val="FootnoteText"/>
    <w:uiPriority w:val="99"/>
    <w:rsid w:val="00863151"/>
    <w:rPr>
      <w:rFonts w:ascii="Arial" w:hAnsi="Arial"/>
      <w:sz w:val="20"/>
      <w:szCs w:val="20"/>
    </w:rPr>
  </w:style>
  <w:style w:type="character" w:styleId="FootnoteReference">
    <w:name w:val="footnote reference"/>
    <w:basedOn w:val="DefaultParagraphFont"/>
    <w:uiPriority w:val="99"/>
    <w:rsid w:val="004A7C2C"/>
    <w:rPr>
      <w:vertAlign w:val="superscript"/>
    </w:rPr>
  </w:style>
  <w:style w:type="character" w:styleId="Hyperlink">
    <w:name w:val="Hyperlink"/>
    <w:basedOn w:val="DefaultParagraphFont"/>
    <w:uiPriority w:val="99"/>
    <w:qFormat/>
    <w:rsid w:val="008C33D5"/>
    <w:rPr>
      <w:color w:val="1F497D"/>
      <w:u w:val="dotted"/>
    </w:rPr>
  </w:style>
  <w:style w:type="paragraph" w:customStyle="1" w:styleId="StdHeading1">
    <w:name w:val="Std Heading 1"/>
    <w:basedOn w:val="Normal"/>
    <w:next w:val="StdBodyText"/>
    <w:uiPriority w:val="99"/>
    <w:rsid w:val="004A7C2C"/>
    <w:pPr>
      <w:keepNext/>
      <w:spacing w:before="300" w:after="100"/>
    </w:pPr>
    <w:rPr>
      <w:rFonts w:eastAsia="Times New Roman" w:cs="Times New Roman"/>
      <w:b/>
      <w:szCs w:val="24"/>
      <w:lang w:eastAsia="en-GB"/>
    </w:rPr>
  </w:style>
  <w:style w:type="paragraph" w:customStyle="1" w:styleId="Level1">
    <w:name w:val="Level 1"/>
    <w:basedOn w:val="StdBodyText"/>
    <w:next w:val="StdBodyText1"/>
    <w:uiPriority w:val="99"/>
    <w:qFormat/>
    <w:rsid w:val="00F12443"/>
    <w:pPr>
      <w:numPr>
        <w:numId w:val="33"/>
      </w:numPr>
      <w:tabs>
        <w:tab w:val="left" w:pos="720"/>
      </w:tabs>
    </w:pPr>
    <w:rPr>
      <w:b/>
      <w:u w:val="single"/>
    </w:rPr>
  </w:style>
  <w:style w:type="paragraph" w:customStyle="1" w:styleId="Level2">
    <w:name w:val="Level 2"/>
    <w:basedOn w:val="Level1"/>
    <w:next w:val="StdBodyText2"/>
    <w:link w:val="Level2Char"/>
    <w:uiPriority w:val="99"/>
    <w:qFormat/>
    <w:rsid w:val="00F12443"/>
    <w:pPr>
      <w:numPr>
        <w:ilvl w:val="1"/>
      </w:numPr>
    </w:pPr>
    <w:rPr>
      <w:b w:val="0"/>
      <w:u w:val="none"/>
    </w:rPr>
  </w:style>
  <w:style w:type="paragraph" w:customStyle="1" w:styleId="Level3">
    <w:name w:val="Level 3"/>
    <w:basedOn w:val="Level2"/>
    <w:next w:val="StdBodyText3"/>
    <w:link w:val="Level3Char"/>
    <w:uiPriority w:val="99"/>
    <w:qFormat/>
    <w:rsid w:val="00F12443"/>
    <w:pPr>
      <w:numPr>
        <w:ilvl w:val="2"/>
      </w:numPr>
      <w:tabs>
        <w:tab w:val="left" w:pos="1803"/>
      </w:tabs>
    </w:pPr>
  </w:style>
  <w:style w:type="paragraph" w:customStyle="1" w:styleId="Level4">
    <w:name w:val="Level 4"/>
    <w:basedOn w:val="Level3"/>
    <w:next w:val="StdBodyText4"/>
    <w:uiPriority w:val="99"/>
    <w:qFormat/>
    <w:rsid w:val="00F12443"/>
    <w:pPr>
      <w:numPr>
        <w:ilvl w:val="3"/>
      </w:numPr>
    </w:pPr>
  </w:style>
  <w:style w:type="paragraph" w:customStyle="1" w:styleId="Level5">
    <w:name w:val="Level 5"/>
    <w:basedOn w:val="Level4"/>
    <w:next w:val="StdBodyText5"/>
    <w:uiPriority w:val="99"/>
    <w:qFormat/>
    <w:rsid w:val="00F12443"/>
    <w:pPr>
      <w:numPr>
        <w:ilvl w:val="4"/>
      </w:numPr>
      <w:tabs>
        <w:tab w:val="left" w:pos="2523"/>
      </w:tabs>
    </w:pPr>
  </w:style>
  <w:style w:type="character" w:styleId="CommentReference">
    <w:name w:val="annotation reference"/>
    <w:basedOn w:val="DefaultParagraphFont"/>
    <w:uiPriority w:val="99"/>
    <w:rsid w:val="000947CA"/>
    <w:rPr>
      <w:sz w:val="16"/>
      <w:szCs w:val="16"/>
    </w:rPr>
  </w:style>
  <w:style w:type="paragraph" w:styleId="CommentText">
    <w:name w:val="annotation text"/>
    <w:basedOn w:val="Normal"/>
    <w:link w:val="CommentTextChar"/>
    <w:uiPriority w:val="99"/>
    <w:rsid w:val="009A6EEF"/>
    <w:rPr>
      <w:sz w:val="20"/>
    </w:rPr>
  </w:style>
  <w:style w:type="character" w:customStyle="1" w:styleId="CommentTextChar">
    <w:name w:val="Comment Text Char"/>
    <w:basedOn w:val="DefaultParagraphFont"/>
    <w:link w:val="CommentText"/>
    <w:uiPriority w:val="99"/>
    <w:rsid w:val="00863151"/>
    <w:rPr>
      <w:rFonts w:ascii="Arial" w:hAnsi="Arial"/>
      <w:sz w:val="20"/>
      <w:szCs w:val="20"/>
    </w:rPr>
  </w:style>
  <w:style w:type="paragraph" w:styleId="CommentSubject">
    <w:name w:val="annotation subject"/>
    <w:basedOn w:val="CommentText"/>
    <w:next w:val="CommentText"/>
    <w:link w:val="CommentSubjectChar"/>
    <w:uiPriority w:val="99"/>
    <w:rsid w:val="000947CA"/>
    <w:rPr>
      <w:b/>
      <w:bCs/>
    </w:rPr>
  </w:style>
  <w:style w:type="character" w:customStyle="1" w:styleId="CommentSubjectChar">
    <w:name w:val="Comment Subject Char"/>
    <w:basedOn w:val="CommentTextChar"/>
    <w:link w:val="CommentSubject"/>
    <w:uiPriority w:val="99"/>
    <w:rsid w:val="00863151"/>
    <w:rPr>
      <w:rFonts w:ascii="Arial" w:hAnsi="Arial"/>
      <w:b/>
      <w:bCs/>
      <w:sz w:val="20"/>
      <w:szCs w:val="20"/>
    </w:rPr>
  </w:style>
  <w:style w:type="character" w:customStyle="1" w:styleId="UnresolvedMention1">
    <w:name w:val="Unresolved Mention1"/>
    <w:basedOn w:val="DefaultParagraphFont"/>
    <w:uiPriority w:val="99"/>
    <w:semiHidden/>
    <w:rsid w:val="00D52B44"/>
    <w:rPr>
      <w:color w:val="605E5C"/>
      <w:shd w:val="clear" w:color="auto" w:fill="E1DFDD"/>
    </w:rPr>
  </w:style>
  <w:style w:type="paragraph" w:styleId="Title">
    <w:name w:val="Title"/>
    <w:basedOn w:val="Normal"/>
    <w:next w:val="Normal"/>
    <w:link w:val="TitleChar"/>
    <w:uiPriority w:val="99"/>
    <w:qFormat/>
    <w:rsid w:val="00C8261A"/>
    <w:pPr>
      <w:keepNext/>
      <w:keepLines/>
      <w:spacing w:before="480" w:after="120"/>
    </w:pPr>
    <w:rPr>
      <w:rFonts w:eastAsia="Arial" w:cs="Arial"/>
      <w:b/>
      <w:sz w:val="72"/>
      <w:szCs w:val="72"/>
      <w:lang w:eastAsia="en-GB"/>
    </w:rPr>
  </w:style>
  <w:style w:type="character" w:customStyle="1" w:styleId="TitleChar">
    <w:name w:val="Title Char"/>
    <w:basedOn w:val="DefaultParagraphFont"/>
    <w:link w:val="Title"/>
    <w:uiPriority w:val="99"/>
    <w:rsid w:val="00863151"/>
    <w:rPr>
      <w:rFonts w:ascii="Arial" w:eastAsia="Arial" w:hAnsi="Arial" w:cs="Arial"/>
      <w:b/>
      <w:sz w:val="72"/>
      <w:szCs w:val="72"/>
      <w:lang w:eastAsia="en-GB"/>
    </w:rPr>
  </w:style>
  <w:style w:type="paragraph" w:styleId="Subtitle">
    <w:name w:val="Subtitle"/>
    <w:basedOn w:val="Normal"/>
    <w:next w:val="Normal"/>
    <w:link w:val="SubtitleChar"/>
    <w:uiPriority w:val="99"/>
    <w:rsid w:val="00C8261A"/>
    <w:pPr>
      <w:keepNext/>
      <w:keepLines/>
      <w:spacing w:before="360" w:after="80"/>
    </w:pPr>
    <w:rPr>
      <w:rFonts w:ascii="Georgia" w:eastAsia="Georgia" w:hAnsi="Georgia" w:cs="Georgia"/>
      <w:i/>
      <w:color w:val="666666"/>
      <w:sz w:val="48"/>
      <w:szCs w:val="48"/>
      <w:lang w:eastAsia="en-GB"/>
    </w:rPr>
  </w:style>
  <w:style w:type="character" w:customStyle="1" w:styleId="SubtitleChar">
    <w:name w:val="Subtitle Char"/>
    <w:basedOn w:val="DefaultParagraphFont"/>
    <w:link w:val="Subtitle"/>
    <w:uiPriority w:val="99"/>
    <w:rsid w:val="00863151"/>
    <w:rPr>
      <w:rFonts w:ascii="Georgia" w:eastAsia="Georgia" w:hAnsi="Georgia" w:cs="Georgia"/>
      <w:i/>
      <w:color w:val="666666"/>
      <w:sz w:val="48"/>
      <w:szCs w:val="48"/>
      <w:lang w:eastAsia="en-GB"/>
    </w:rPr>
  </w:style>
  <w:style w:type="character" w:customStyle="1" w:styleId="UnresolvedMention2">
    <w:name w:val="Unresolved Mention2"/>
    <w:basedOn w:val="DefaultParagraphFont"/>
    <w:uiPriority w:val="99"/>
    <w:semiHidden/>
    <w:rsid w:val="008971A7"/>
    <w:rPr>
      <w:color w:val="605E5C"/>
      <w:shd w:val="clear" w:color="auto" w:fill="E1DFDD"/>
    </w:rPr>
  </w:style>
  <w:style w:type="paragraph" w:styleId="TOAHeading">
    <w:name w:val="toa heading"/>
    <w:basedOn w:val="Normal"/>
    <w:next w:val="Normal"/>
    <w:uiPriority w:val="99"/>
    <w:semiHidden/>
    <w:rsid w:val="001D763B"/>
    <w:pPr>
      <w:overflowPunct w:val="0"/>
      <w:autoSpaceDE w:val="0"/>
      <w:autoSpaceDN w:val="0"/>
      <w:adjustRightInd w:val="0"/>
      <w:spacing w:before="120" w:after="240" w:line="360" w:lineRule="auto"/>
      <w:jc w:val="both"/>
      <w:textAlignment w:val="baseline"/>
    </w:pPr>
    <w:rPr>
      <w:rFonts w:ascii="Times New Roman" w:eastAsia="Times New Roman" w:hAnsi="Times New Roman" w:cs="Times New Roman"/>
      <w:b/>
      <w:sz w:val="22"/>
    </w:rPr>
  </w:style>
  <w:style w:type="numbering" w:styleId="111111">
    <w:name w:val="Outline List 2"/>
    <w:basedOn w:val="NoList"/>
    <w:rsid w:val="001D763B"/>
    <w:pPr>
      <w:numPr>
        <w:numId w:val="42"/>
      </w:numPr>
    </w:pPr>
  </w:style>
  <w:style w:type="paragraph" w:styleId="TOC1">
    <w:name w:val="toc 1"/>
    <w:uiPriority w:val="39"/>
    <w:rsid w:val="00F62024"/>
    <w:pPr>
      <w:tabs>
        <w:tab w:val="right" w:leader="dot" w:pos="10206"/>
      </w:tabs>
      <w:adjustRightInd w:val="0"/>
      <w:spacing w:before="240" w:after="60"/>
    </w:pPr>
    <w:rPr>
      <w:rFonts w:eastAsia="STZhongsong" w:cs="Times New Roman"/>
      <w:b/>
      <w:color w:val="1F497D"/>
      <w:szCs w:val="20"/>
      <w:lang w:eastAsia="zh-CN"/>
    </w:rPr>
  </w:style>
  <w:style w:type="paragraph" w:styleId="TOC2">
    <w:name w:val="toc 2"/>
    <w:uiPriority w:val="39"/>
    <w:rsid w:val="008C33D5"/>
    <w:pPr>
      <w:tabs>
        <w:tab w:val="right" w:leader="dot" w:pos="10206"/>
      </w:tabs>
      <w:adjustRightInd w:val="0"/>
      <w:spacing w:after="60"/>
      <w:ind w:left="851" w:hanging="851"/>
    </w:pPr>
    <w:rPr>
      <w:rFonts w:eastAsia="STZhongsong" w:cs="Times New Roman"/>
      <w:szCs w:val="20"/>
      <w:lang w:eastAsia="zh-CN"/>
    </w:rPr>
  </w:style>
  <w:style w:type="paragraph" w:styleId="TOC3">
    <w:name w:val="toc 3"/>
    <w:uiPriority w:val="39"/>
    <w:rsid w:val="001D763B"/>
    <w:pPr>
      <w:tabs>
        <w:tab w:val="left" w:pos="2160"/>
        <w:tab w:val="right" w:leader="dot" w:pos="9029"/>
      </w:tabs>
      <w:adjustRightInd w:val="0"/>
      <w:spacing w:after="120"/>
      <w:ind w:left="2160" w:hanging="720"/>
    </w:pPr>
    <w:rPr>
      <w:rFonts w:ascii="Times New Roman" w:eastAsia="STZhongsong" w:hAnsi="Times New Roman" w:cs="Times New Roman"/>
      <w:sz w:val="22"/>
      <w:szCs w:val="20"/>
      <w:lang w:eastAsia="zh-CN"/>
    </w:rPr>
  </w:style>
  <w:style w:type="paragraph" w:styleId="TOC4">
    <w:name w:val="toc 4"/>
    <w:uiPriority w:val="39"/>
    <w:rsid w:val="001D763B"/>
    <w:pPr>
      <w:tabs>
        <w:tab w:val="left" w:pos="2880"/>
        <w:tab w:val="right" w:leader="dot" w:pos="9029"/>
      </w:tabs>
      <w:adjustRightInd w:val="0"/>
      <w:spacing w:after="120"/>
      <w:ind w:left="2880" w:hanging="720"/>
    </w:pPr>
    <w:rPr>
      <w:rFonts w:ascii="Times New Roman" w:eastAsia="STZhongsong" w:hAnsi="Times New Roman" w:cs="Times New Roman"/>
      <w:sz w:val="22"/>
      <w:szCs w:val="20"/>
      <w:lang w:eastAsia="zh-CN"/>
    </w:rPr>
  </w:style>
  <w:style w:type="paragraph" w:styleId="TOC5">
    <w:name w:val="toc 5"/>
    <w:uiPriority w:val="39"/>
    <w:rsid w:val="001D763B"/>
    <w:pPr>
      <w:tabs>
        <w:tab w:val="left" w:pos="3600"/>
        <w:tab w:val="right" w:leader="dot" w:pos="9029"/>
      </w:tabs>
      <w:adjustRightInd w:val="0"/>
      <w:spacing w:after="120"/>
      <w:ind w:left="3600" w:hanging="720"/>
    </w:pPr>
    <w:rPr>
      <w:rFonts w:ascii="Times New Roman" w:eastAsia="STZhongsong" w:hAnsi="Times New Roman" w:cs="Times New Roman"/>
      <w:sz w:val="22"/>
      <w:szCs w:val="20"/>
      <w:lang w:eastAsia="zh-CN"/>
    </w:rPr>
  </w:style>
  <w:style w:type="paragraph" w:styleId="TOC6">
    <w:name w:val="toc 6"/>
    <w:uiPriority w:val="39"/>
    <w:rsid w:val="001D763B"/>
    <w:pPr>
      <w:tabs>
        <w:tab w:val="left" w:pos="4320"/>
        <w:tab w:val="right" w:leader="dot" w:pos="9029"/>
      </w:tabs>
      <w:adjustRightInd w:val="0"/>
      <w:spacing w:after="120"/>
      <w:ind w:left="4320" w:hanging="720"/>
    </w:pPr>
    <w:rPr>
      <w:rFonts w:ascii="Times New Roman" w:eastAsia="STZhongsong" w:hAnsi="Times New Roman" w:cs="Times New Roman"/>
      <w:sz w:val="22"/>
      <w:szCs w:val="20"/>
      <w:lang w:eastAsia="zh-CN"/>
    </w:rPr>
  </w:style>
  <w:style w:type="paragraph" w:styleId="TOC7">
    <w:name w:val="toc 7"/>
    <w:uiPriority w:val="39"/>
    <w:rsid w:val="001D763B"/>
    <w:pPr>
      <w:tabs>
        <w:tab w:val="left" w:pos="5040"/>
        <w:tab w:val="right" w:leader="dot" w:pos="9029"/>
      </w:tabs>
      <w:adjustRightInd w:val="0"/>
      <w:spacing w:after="120"/>
      <w:ind w:left="5040" w:hanging="720"/>
    </w:pPr>
    <w:rPr>
      <w:rFonts w:ascii="Times New Roman" w:eastAsia="STZhongsong" w:hAnsi="Times New Roman" w:cs="Times New Roman"/>
      <w:sz w:val="22"/>
      <w:szCs w:val="20"/>
      <w:lang w:eastAsia="zh-CN"/>
    </w:rPr>
  </w:style>
  <w:style w:type="paragraph" w:styleId="TOC8">
    <w:name w:val="toc 8"/>
    <w:uiPriority w:val="39"/>
    <w:rsid w:val="001D763B"/>
    <w:pPr>
      <w:tabs>
        <w:tab w:val="right" w:leader="dot" w:pos="9029"/>
      </w:tabs>
      <w:adjustRightInd w:val="0"/>
      <w:spacing w:after="120"/>
    </w:pPr>
    <w:rPr>
      <w:rFonts w:ascii="Times New Roman" w:eastAsia="STZhongsong" w:hAnsi="Times New Roman" w:cs="Times New Roman"/>
      <w:caps/>
      <w:sz w:val="22"/>
      <w:szCs w:val="20"/>
      <w:lang w:eastAsia="zh-CN"/>
    </w:rPr>
  </w:style>
  <w:style w:type="paragraph" w:styleId="TOC9">
    <w:name w:val="toc 9"/>
    <w:uiPriority w:val="39"/>
    <w:rsid w:val="001D763B"/>
    <w:pPr>
      <w:tabs>
        <w:tab w:val="right" w:leader="dot" w:pos="9029"/>
      </w:tabs>
      <w:adjustRightInd w:val="0"/>
      <w:spacing w:after="120"/>
      <w:ind w:left="720"/>
    </w:pPr>
    <w:rPr>
      <w:rFonts w:ascii="Times New Roman" w:eastAsia="STZhongsong" w:hAnsi="Times New Roman" w:cs="Times New Roman"/>
      <w:sz w:val="22"/>
      <w:szCs w:val="20"/>
      <w:lang w:eastAsia="zh-CN"/>
    </w:rPr>
  </w:style>
  <w:style w:type="paragraph" w:styleId="EndnoteText">
    <w:name w:val="endnote text"/>
    <w:basedOn w:val="Normal"/>
    <w:link w:val="EndnoteTextChar"/>
    <w:uiPriority w:val="99"/>
    <w:semiHidden/>
    <w:rsid w:val="000D0A8F"/>
    <w:pPr>
      <w:adjustRightInd w:val="0"/>
      <w:spacing w:after="120"/>
      <w:ind w:left="720" w:hanging="720"/>
      <w:jc w:val="both"/>
    </w:pPr>
    <w:rPr>
      <w:rFonts w:ascii="Times New Roman" w:eastAsia="STZhongsong" w:hAnsi="Times New Roman" w:cs="Times New Roman"/>
      <w:sz w:val="18"/>
      <w:lang w:eastAsia="zh-CN"/>
    </w:rPr>
  </w:style>
  <w:style w:type="character" w:customStyle="1" w:styleId="EndnoteTextChar">
    <w:name w:val="Endnote Text Char"/>
    <w:basedOn w:val="DefaultParagraphFont"/>
    <w:link w:val="EndnoteText"/>
    <w:uiPriority w:val="99"/>
    <w:semiHidden/>
    <w:rsid w:val="00863151"/>
    <w:rPr>
      <w:rFonts w:ascii="Times New Roman" w:eastAsia="STZhongsong" w:hAnsi="Times New Roman" w:cs="Times New Roman"/>
      <w:sz w:val="18"/>
      <w:szCs w:val="20"/>
      <w:lang w:eastAsia="zh-CN"/>
    </w:rPr>
  </w:style>
  <w:style w:type="character" w:styleId="EndnoteReference">
    <w:name w:val="endnote reference"/>
    <w:uiPriority w:val="99"/>
    <w:semiHidden/>
    <w:rsid w:val="001D763B"/>
    <w:rPr>
      <w:rFonts w:ascii="Times New Roman" w:hAnsi="Times New Roman" w:cs="Times New Roman"/>
      <w:b w:val="0"/>
      <w:bCs w:val="0"/>
      <w:i w:val="0"/>
      <w:iCs w:val="0"/>
      <w:caps w:val="0"/>
      <w:smallCaps w:val="0"/>
      <w:strike w:val="0"/>
      <w:dstrike w:val="0"/>
      <w:outline w:val="0"/>
      <w:shadow w:val="0"/>
      <w:emboss w:val="0"/>
      <w:imprint w:val="0"/>
      <w:snapToGrid w:val="0"/>
      <w:vanish w:val="0"/>
      <w:color w:val="auto"/>
      <w:kern w:val="0"/>
      <w:sz w:val="22"/>
      <w:u w:val="none"/>
      <w:effect w:val="none"/>
      <w:vertAlign w:val="superscript"/>
    </w:rPr>
  </w:style>
  <w:style w:type="paragraph" w:customStyle="1" w:styleId="Table-followingparagraph">
    <w:name w:val="Table - following paragraph"/>
    <w:basedOn w:val="Normal"/>
    <w:next w:val="Normal"/>
    <w:uiPriority w:val="99"/>
    <w:rsid w:val="000D0A8F"/>
    <w:pPr>
      <w:adjustRightInd w:val="0"/>
      <w:jc w:val="both"/>
    </w:pPr>
    <w:rPr>
      <w:rFonts w:ascii="Times New Roman" w:eastAsia="STZhongsong" w:hAnsi="Times New Roman" w:cs="Times New Roman"/>
      <w:sz w:val="22"/>
      <w:lang w:eastAsia="zh-CN"/>
    </w:rPr>
  </w:style>
  <w:style w:type="paragraph" w:customStyle="1" w:styleId="Table-Text">
    <w:name w:val="Table - Text"/>
    <w:basedOn w:val="Normal"/>
    <w:uiPriority w:val="99"/>
    <w:rsid w:val="000D0A8F"/>
    <w:pPr>
      <w:adjustRightInd w:val="0"/>
      <w:spacing w:before="120" w:after="120"/>
    </w:pPr>
    <w:rPr>
      <w:rFonts w:ascii="Times New Roman" w:eastAsia="STZhongsong" w:hAnsi="Times New Roman" w:cs="Times New Roman"/>
      <w:sz w:val="22"/>
      <w:lang w:eastAsia="zh-CN"/>
    </w:rPr>
  </w:style>
  <w:style w:type="paragraph" w:styleId="Bibliography">
    <w:name w:val="Bibliography"/>
    <w:basedOn w:val="Normal"/>
    <w:next w:val="Normal"/>
    <w:uiPriority w:val="99"/>
    <w:semiHidden/>
    <w:rsid w:val="001D763B"/>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2"/>
    </w:rPr>
  </w:style>
  <w:style w:type="character" w:styleId="BookTitle">
    <w:name w:val="Book Title"/>
    <w:uiPriority w:val="99"/>
    <w:qFormat/>
    <w:rsid w:val="001D763B"/>
    <w:rPr>
      <w:b/>
      <w:bCs/>
      <w:smallCaps/>
      <w:spacing w:val="5"/>
    </w:rPr>
  </w:style>
  <w:style w:type="table" w:styleId="ColorfulGrid">
    <w:name w:val="Colorful Grid"/>
    <w:basedOn w:val="TableNormal"/>
    <w:uiPriority w:val="73"/>
    <w:rsid w:val="001D763B"/>
    <w:rPr>
      <w:rFonts w:ascii="Times New Roman" w:eastAsia="Times New Roman" w:hAnsi="Times New Roman" w:cs="Times New Roman"/>
      <w:color w:val="000000"/>
      <w:sz w:val="20"/>
      <w:szCs w:val="20"/>
      <w:lang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1D763B"/>
    <w:rPr>
      <w:rFonts w:ascii="Times New Roman" w:eastAsia="Times New Roman" w:hAnsi="Times New Roman" w:cs="Times New Roman"/>
      <w:color w:val="000000"/>
      <w:sz w:val="20"/>
      <w:szCs w:val="20"/>
      <w:lang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1D763B"/>
    <w:rPr>
      <w:rFonts w:ascii="Times New Roman" w:eastAsia="Times New Roman" w:hAnsi="Times New Roman" w:cs="Times New Roman"/>
      <w:color w:val="000000"/>
      <w:sz w:val="20"/>
      <w:szCs w:val="20"/>
      <w:lang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1D763B"/>
    <w:rPr>
      <w:rFonts w:ascii="Times New Roman" w:eastAsia="Times New Roman" w:hAnsi="Times New Roman" w:cs="Times New Roman"/>
      <w:color w:val="000000"/>
      <w:sz w:val="20"/>
      <w:szCs w:val="20"/>
      <w:lang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1D763B"/>
    <w:rPr>
      <w:rFonts w:ascii="Times New Roman" w:eastAsia="Times New Roman" w:hAnsi="Times New Roman" w:cs="Times New Roman"/>
      <w:color w:val="000000"/>
      <w:sz w:val="20"/>
      <w:szCs w:val="20"/>
      <w:lang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1D763B"/>
    <w:rPr>
      <w:rFonts w:ascii="Times New Roman" w:eastAsia="Times New Roman" w:hAnsi="Times New Roman" w:cs="Times New Roman"/>
      <w:color w:val="000000"/>
      <w:sz w:val="20"/>
      <w:szCs w:val="20"/>
      <w:lang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List">
    <w:name w:val="Colorful List"/>
    <w:basedOn w:val="TableNormal"/>
    <w:uiPriority w:val="72"/>
    <w:rsid w:val="001D763B"/>
    <w:rPr>
      <w:rFonts w:ascii="Times New Roman" w:eastAsia="Times New Roman" w:hAnsi="Times New Roman" w:cs="Times New Roman"/>
      <w:color w:val="000000"/>
      <w:sz w:val="20"/>
      <w:szCs w:val="20"/>
      <w:lang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1D763B"/>
    <w:rPr>
      <w:rFonts w:ascii="Times New Roman" w:eastAsia="Times New Roman" w:hAnsi="Times New Roman" w:cs="Times New Roman"/>
      <w:color w:val="000000"/>
      <w:sz w:val="20"/>
      <w:szCs w:val="20"/>
      <w:lang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1D763B"/>
    <w:rPr>
      <w:rFonts w:ascii="Times New Roman" w:eastAsia="Times New Roman" w:hAnsi="Times New Roman" w:cs="Times New Roman"/>
      <w:color w:val="000000"/>
      <w:sz w:val="20"/>
      <w:szCs w:val="20"/>
      <w:lang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1D763B"/>
    <w:rPr>
      <w:rFonts w:ascii="Times New Roman" w:eastAsia="Times New Roman" w:hAnsi="Times New Roman" w:cs="Times New Roman"/>
      <w:color w:val="000000"/>
      <w:sz w:val="20"/>
      <w:szCs w:val="20"/>
      <w:lang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1D763B"/>
    <w:rPr>
      <w:rFonts w:ascii="Times New Roman" w:eastAsia="Times New Roman" w:hAnsi="Times New Roman" w:cs="Times New Roman"/>
      <w:color w:val="000000"/>
      <w:sz w:val="20"/>
      <w:szCs w:val="20"/>
      <w:lang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1D763B"/>
    <w:rPr>
      <w:rFonts w:ascii="Times New Roman" w:eastAsia="Times New Roman" w:hAnsi="Times New Roman" w:cs="Times New Roman"/>
      <w:color w:val="000000"/>
      <w:sz w:val="20"/>
      <w:szCs w:val="20"/>
      <w:lang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1D763B"/>
    <w:rPr>
      <w:rFonts w:ascii="Times New Roman" w:eastAsia="Times New Roman" w:hAnsi="Times New Roman" w:cs="Times New Roman"/>
      <w:color w:val="000000"/>
      <w:sz w:val="20"/>
      <w:szCs w:val="20"/>
      <w:lang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Accent1">
    <w:name w:val="Colorful Shading Accent 1"/>
    <w:basedOn w:val="TableNormal"/>
    <w:uiPriority w:val="71"/>
    <w:rsid w:val="001D763B"/>
    <w:rPr>
      <w:rFonts w:ascii="Times New Roman" w:eastAsia="Times New Roman" w:hAnsi="Times New Roman" w:cs="Times New Roman"/>
      <w:color w:val="000000"/>
      <w:sz w:val="20"/>
      <w:szCs w:val="20"/>
      <w:lang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1D763B"/>
    <w:rPr>
      <w:rFonts w:ascii="Times New Roman" w:eastAsia="Times New Roman" w:hAnsi="Times New Roman" w:cs="Times New Roman"/>
      <w:color w:val="000000"/>
      <w:sz w:val="20"/>
      <w:szCs w:val="20"/>
      <w:lang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1D763B"/>
    <w:rPr>
      <w:rFonts w:ascii="Times New Roman" w:eastAsia="Times New Roman" w:hAnsi="Times New Roman" w:cs="Times New Roman"/>
      <w:color w:val="000000"/>
      <w:sz w:val="20"/>
      <w:szCs w:val="20"/>
      <w:lang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1D763B"/>
    <w:rPr>
      <w:rFonts w:ascii="Times New Roman" w:eastAsia="Times New Roman" w:hAnsi="Times New Roman" w:cs="Times New Roman"/>
      <w:color w:val="000000"/>
      <w:sz w:val="20"/>
      <w:szCs w:val="20"/>
      <w:lang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1D763B"/>
    <w:rPr>
      <w:rFonts w:ascii="Times New Roman" w:eastAsia="Times New Roman" w:hAnsi="Times New Roman" w:cs="Times New Roman"/>
      <w:color w:val="000000"/>
      <w:sz w:val="20"/>
      <w:szCs w:val="20"/>
      <w:lang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1D763B"/>
    <w:rPr>
      <w:rFonts w:ascii="Times New Roman" w:eastAsia="Times New Roman" w:hAnsi="Times New Roman" w:cs="Times New Roman"/>
      <w:color w:val="000000"/>
      <w:sz w:val="20"/>
      <w:szCs w:val="20"/>
      <w:lang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1D763B"/>
    <w:rPr>
      <w:rFonts w:ascii="Times New Roman" w:eastAsia="Times New Roman" w:hAnsi="Times New Roman" w:cs="Times New Roman"/>
      <w:color w:val="FFFFFF"/>
      <w:sz w:val="20"/>
      <w:szCs w:val="20"/>
      <w:lang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2">
    <w:name w:val="Dark List Accent 2"/>
    <w:basedOn w:val="TableNormal"/>
    <w:uiPriority w:val="70"/>
    <w:rsid w:val="001D763B"/>
    <w:rPr>
      <w:rFonts w:ascii="Times New Roman" w:eastAsia="Times New Roman" w:hAnsi="Times New Roman" w:cs="Times New Roman"/>
      <w:color w:val="FFFFFF"/>
      <w:sz w:val="20"/>
      <w:szCs w:val="20"/>
      <w:lang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1D763B"/>
    <w:rPr>
      <w:rFonts w:ascii="Times New Roman" w:eastAsia="Times New Roman" w:hAnsi="Times New Roman" w:cs="Times New Roman"/>
      <w:color w:val="FFFFFF"/>
      <w:sz w:val="20"/>
      <w:szCs w:val="20"/>
      <w:lang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1D763B"/>
    <w:rPr>
      <w:rFonts w:ascii="Times New Roman" w:eastAsia="Times New Roman" w:hAnsi="Times New Roman" w:cs="Times New Roman"/>
      <w:color w:val="FFFFFF"/>
      <w:sz w:val="20"/>
      <w:szCs w:val="20"/>
      <w:lang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1D763B"/>
    <w:rPr>
      <w:rFonts w:ascii="Times New Roman" w:eastAsia="Times New Roman" w:hAnsi="Times New Roman" w:cs="Times New Roman"/>
      <w:color w:val="FFFFFF"/>
      <w:sz w:val="20"/>
      <w:szCs w:val="20"/>
      <w:lang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1D763B"/>
    <w:rPr>
      <w:rFonts w:ascii="Times New Roman" w:eastAsia="Times New Roman" w:hAnsi="Times New Roman" w:cs="Times New Roman"/>
      <w:color w:val="FFFFFF"/>
      <w:sz w:val="20"/>
      <w:szCs w:val="20"/>
      <w:lang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Emphasis">
    <w:name w:val="Emphasis"/>
    <w:uiPriority w:val="99"/>
    <w:qFormat/>
    <w:rsid w:val="001D763B"/>
    <w:rPr>
      <w:i/>
      <w:iCs/>
    </w:rPr>
  </w:style>
  <w:style w:type="character" w:styleId="FollowedHyperlink">
    <w:name w:val="FollowedHyperlink"/>
    <w:uiPriority w:val="99"/>
    <w:rsid w:val="001D763B"/>
    <w:rPr>
      <w:color w:val="800080"/>
      <w:u w:val="single"/>
    </w:rPr>
  </w:style>
  <w:style w:type="character" w:styleId="HTMLAcronym">
    <w:name w:val="HTML Acronym"/>
    <w:basedOn w:val="DefaultParagraphFont"/>
    <w:uiPriority w:val="99"/>
    <w:rsid w:val="001D763B"/>
  </w:style>
  <w:style w:type="paragraph" w:styleId="HTMLAddress">
    <w:name w:val="HTML Address"/>
    <w:basedOn w:val="Normal"/>
    <w:link w:val="HTMLAddressChar"/>
    <w:uiPriority w:val="99"/>
    <w:rsid w:val="001D763B"/>
    <w:pPr>
      <w:overflowPunct w:val="0"/>
      <w:autoSpaceDE w:val="0"/>
      <w:autoSpaceDN w:val="0"/>
      <w:adjustRightInd w:val="0"/>
      <w:spacing w:after="240" w:line="360" w:lineRule="auto"/>
      <w:jc w:val="both"/>
      <w:textAlignment w:val="baseline"/>
    </w:pPr>
    <w:rPr>
      <w:rFonts w:ascii="Times New Roman" w:eastAsia="Times New Roman" w:hAnsi="Times New Roman" w:cs="Times New Roman"/>
      <w:i/>
      <w:iCs/>
      <w:sz w:val="22"/>
    </w:rPr>
  </w:style>
  <w:style w:type="character" w:customStyle="1" w:styleId="HTMLAddressChar">
    <w:name w:val="HTML Address Char"/>
    <w:basedOn w:val="DefaultParagraphFont"/>
    <w:link w:val="HTMLAddress"/>
    <w:uiPriority w:val="99"/>
    <w:rsid w:val="00863151"/>
    <w:rPr>
      <w:rFonts w:ascii="Times New Roman" w:eastAsia="Times New Roman" w:hAnsi="Times New Roman" w:cs="Times New Roman"/>
      <w:i/>
      <w:iCs/>
      <w:sz w:val="22"/>
      <w:szCs w:val="20"/>
    </w:rPr>
  </w:style>
  <w:style w:type="character" w:styleId="HTMLCite">
    <w:name w:val="HTML Cite"/>
    <w:uiPriority w:val="99"/>
    <w:rsid w:val="001D763B"/>
    <w:rPr>
      <w:i/>
      <w:iCs/>
    </w:rPr>
  </w:style>
  <w:style w:type="character" w:styleId="HTMLCode">
    <w:name w:val="HTML Code"/>
    <w:uiPriority w:val="99"/>
    <w:rsid w:val="001D763B"/>
    <w:rPr>
      <w:rFonts w:ascii="Courier New" w:hAnsi="Courier New" w:cs="Courier New"/>
      <w:sz w:val="20"/>
      <w:szCs w:val="20"/>
    </w:rPr>
  </w:style>
  <w:style w:type="character" w:styleId="HTMLDefinition">
    <w:name w:val="HTML Definition"/>
    <w:uiPriority w:val="99"/>
    <w:rsid w:val="001D763B"/>
    <w:rPr>
      <w:i/>
      <w:iCs/>
    </w:rPr>
  </w:style>
  <w:style w:type="character" w:styleId="HTMLKeyboard">
    <w:name w:val="HTML Keyboard"/>
    <w:uiPriority w:val="99"/>
    <w:rsid w:val="001D763B"/>
    <w:rPr>
      <w:rFonts w:ascii="Courier New" w:hAnsi="Courier New" w:cs="Courier New"/>
      <w:sz w:val="20"/>
      <w:szCs w:val="20"/>
    </w:rPr>
  </w:style>
  <w:style w:type="paragraph" w:styleId="HTMLPreformatted">
    <w:name w:val="HTML Preformatted"/>
    <w:basedOn w:val="Normal"/>
    <w:link w:val="HTMLPreformattedChar"/>
    <w:uiPriority w:val="99"/>
    <w:rsid w:val="001D763B"/>
    <w:pPr>
      <w:overflowPunct w:val="0"/>
      <w:autoSpaceDE w:val="0"/>
      <w:autoSpaceDN w:val="0"/>
      <w:adjustRightInd w:val="0"/>
      <w:spacing w:after="240" w:line="360" w:lineRule="auto"/>
      <w:jc w:val="both"/>
      <w:textAlignment w:val="baseline"/>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863151"/>
    <w:rPr>
      <w:rFonts w:ascii="Courier New" w:eastAsia="Times New Roman" w:hAnsi="Courier New" w:cs="Courier New"/>
      <w:sz w:val="20"/>
      <w:szCs w:val="20"/>
    </w:rPr>
  </w:style>
  <w:style w:type="character" w:styleId="HTMLSample">
    <w:name w:val="HTML Sample"/>
    <w:uiPriority w:val="99"/>
    <w:rsid w:val="001D763B"/>
    <w:rPr>
      <w:rFonts w:ascii="Courier New" w:hAnsi="Courier New" w:cs="Courier New"/>
    </w:rPr>
  </w:style>
  <w:style w:type="character" w:styleId="HTMLTypewriter">
    <w:name w:val="HTML Typewriter"/>
    <w:uiPriority w:val="99"/>
    <w:rsid w:val="001D763B"/>
    <w:rPr>
      <w:rFonts w:ascii="Courier New" w:hAnsi="Courier New" w:cs="Courier New"/>
      <w:sz w:val="20"/>
      <w:szCs w:val="20"/>
    </w:rPr>
  </w:style>
  <w:style w:type="character" w:styleId="HTMLVariable">
    <w:name w:val="HTML Variable"/>
    <w:uiPriority w:val="99"/>
    <w:rsid w:val="001D763B"/>
    <w:rPr>
      <w:i/>
      <w:iCs/>
    </w:rPr>
  </w:style>
  <w:style w:type="paragraph" w:styleId="Index1">
    <w:name w:val="index 1"/>
    <w:basedOn w:val="Normal"/>
    <w:next w:val="Normal"/>
    <w:autoRedefine/>
    <w:uiPriority w:val="99"/>
    <w:rsid w:val="001D763B"/>
    <w:pPr>
      <w:overflowPunct w:val="0"/>
      <w:autoSpaceDE w:val="0"/>
      <w:autoSpaceDN w:val="0"/>
      <w:adjustRightInd w:val="0"/>
      <w:spacing w:after="240" w:line="360" w:lineRule="auto"/>
      <w:ind w:left="220" w:hanging="220"/>
      <w:jc w:val="both"/>
      <w:textAlignment w:val="baseline"/>
    </w:pPr>
    <w:rPr>
      <w:rFonts w:ascii="Times New Roman" w:eastAsia="Times New Roman" w:hAnsi="Times New Roman" w:cs="Times New Roman"/>
      <w:sz w:val="22"/>
    </w:rPr>
  </w:style>
  <w:style w:type="paragraph" w:styleId="Index2">
    <w:name w:val="index 2"/>
    <w:basedOn w:val="Normal"/>
    <w:next w:val="Normal"/>
    <w:autoRedefine/>
    <w:uiPriority w:val="99"/>
    <w:rsid w:val="001D763B"/>
    <w:pPr>
      <w:overflowPunct w:val="0"/>
      <w:autoSpaceDE w:val="0"/>
      <w:autoSpaceDN w:val="0"/>
      <w:adjustRightInd w:val="0"/>
      <w:spacing w:after="240" w:line="360" w:lineRule="auto"/>
      <w:ind w:left="440" w:hanging="220"/>
      <w:jc w:val="both"/>
      <w:textAlignment w:val="baseline"/>
    </w:pPr>
    <w:rPr>
      <w:rFonts w:ascii="Times New Roman" w:eastAsia="Times New Roman" w:hAnsi="Times New Roman" w:cs="Times New Roman"/>
      <w:sz w:val="22"/>
    </w:rPr>
  </w:style>
  <w:style w:type="paragraph" w:styleId="Index3">
    <w:name w:val="index 3"/>
    <w:basedOn w:val="Normal"/>
    <w:next w:val="Normal"/>
    <w:autoRedefine/>
    <w:uiPriority w:val="99"/>
    <w:rsid w:val="001D763B"/>
    <w:pPr>
      <w:overflowPunct w:val="0"/>
      <w:autoSpaceDE w:val="0"/>
      <w:autoSpaceDN w:val="0"/>
      <w:adjustRightInd w:val="0"/>
      <w:spacing w:after="240" w:line="360" w:lineRule="auto"/>
      <w:ind w:left="660" w:hanging="220"/>
      <w:jc w:val="both"/>
      <w:textAlignment w:val="baseline"/>
    </w:pPr>
    <w:rPr>
      <w:rFonts w:ascii="Times New Roman" w:eastAsia="Times New Roman" w:hAnsi="Times New Roman" w:cs="Times New Roman"/>
      <w:sz w:val="22"/>
    </w:rPr>
  </w:style>
  <w:style w:type="paragraph" w:styleId="Index4">
    <w:name w:val="index 4"/>
    <w:basedOn w:val="Normal"/>
    <w:next w:val="Normal"/>
    <w:autoRedefine/>
    <w:uiPriority w:val="99"/>
    <w:rsid w:val="001D763B"/>
    <w:pPr>
      <w:overflowPunct w:val="0"/>
      <w:autoSpaceDE w:val="0"/>
      <w:autoSpaceDN w:val="0"/>
      <w:adjustRightInd w:val="0"/>
      <w:spacing w:after="240" w:line="360" w:lineRule="auto"/>
      <w:ind w:left="880" w:hanging="220"/>
      <w:jc w:val="both"/>
      <w:textAlignment w:val="baseline"/>
    </w:pPr>
    <w:rPr>
      <w:rFonts w:ascii="Times New Roman" w:eastAsia="Times New Roman" w:hAnsi="Times New Roman" w:cs="Times New Roman"/>
      <w:sz w:val="22"/>
    </w:rPr>
  </w:style>
  <w:style w:type="paragraph" w:styleId="Index5">
    <w:name w:val="index 5"/>
    <w:basedOn w:val="Normal"/>
    <w:next w:val="Normal"/>
    <w:autoRedefine/>
    <w:uiPriority w:val="99"/>
    <w:rsid w:val="001D763B"/>
    <w:pPr>
      <w:overflowPunct w:val="0"/>
      <w:autoSpaceDE w:val="0"/>
      <w:autoSpaceDN w:val="0"/>
      <w:adjustRightInd w:val="0"/>
      <w:spacing w:after="240" w:line="360" w:lineRule="auto"/>
      <w:ind w:left="1100" w:hanging="220"/>
      <w:jc w:val="both"/>
      <w:textAlignment w:val="baseline"/>
    </w:pPr>
    <w:rPr>
      <w:rFonts w:ascii="Times New Roman" w:eastAsia="Times New Roman" w:hAnsi="Times New Roman" w:cs="Times New Roman"/>
      <w:sz w:val="22"/>
    </w:rPr>
  </w:style>
  <w:style w:type="paragraph" w:styleId="Index6">
    <w:name w:val="index 6"/>
    <w:basedOn w:val="Normal"/>
    <w:next w:val="Normal"/>
    <w:autoRedefine/>
    <w:uiPriority w:val="99"/>
    <w:rsid w:val="001D763B"/>
    <w:pPr>
      <w:overflowPunct w:val="0"/>
      <w:autoSpaceDE w:val="0"/>
      <w:autoSpaceDN w:val="0"/>
      <w:adjustRightInd w:val="0"/>
      <w:spacing w:after="240" w:line="360" w:lineRule="auto"/>
      <w:ind w:left="1320" w:hanging="220"/>
      <w:jc w:val="both"/>
      <w:textAlignment w:val="baseline"/>
    </w:pPr>
    <w:rPr>
      <w:rFonts w:ascii="Times New Roman" w:eastAsia="Times New Roman" w:hAnsi="Times New Roman" w:cs="Times New Roman"/>
      <w:sz w:val="22"/>
    </w:rPr>
  </w:style>
  <w:style w:type="paragraph" w:styleId="Index7">
    <w:name w:val="index 7"/>
    <w:basedOn w:val="Normal"/>
    <w:next w:val="Normal"/>
    <w:autoRedefine/>
    <w:uiPriority w:val="99"/>
    <w:rsid w:val="001D763B"/>
    <w:pPr>
      <w:overflowPunct w:val="0"/>
      <w:autoSpaceDE w:val="0"/>
      <w:autoSpaceDN w:val="0"/>
      <w:adjustRightInd w:val="0"/>
      <w:spacing w:after="240" w:line="360" w:lineRule="auto"/>
      <w:ind w:left="1540" w:hanging="220"/>
      <w:jc w:val="both"/>
      <w:textAlignment w:val="baseline"/>
    </w:pPr>
    <w:rPr>
      <w:rFonts w:ascii="Times New Roman" w:eastAsia="Times New Roman" w:hAnsi="Times New Roman" w:cs="Times New Roman"/>
      <w:sz w:val="22"/>
    </w:rPr>
  </w:style>
  <w:style w:type="paragraph" w:styleId="Index8">
    <w:name w:val="index 8"/>
    <w:basedOn w:val="Normal"/>
    <w:next w:val="Normal"/>
    <w:autoRedefine/>
    <w:uiPriority w:val="99"/>
    <w:rsid w:val="001D763B"/>
    <w:pPr>
      <w:overflowPunct w:val="0"/>
      <w:autoSpaceDE w:val="0"/>
      <w:autoSpaceDN w:val="0"/>
      <w:adjustRightInd w:val="0"/>
      <w:spacing w:after="240" w:line="360" w:lineRule="auto"/>
      <w:ind w:left="1760" w:hanging="220"/>
      <w:jc w:val="both"/>
      <w:textAlignment w:val="baseline"/>
    </w:pPr>
    <w:rPr>
      <w:rFonts w:ascii="Times New Roman" w:eastAsia="Times New Roman" w:hAnsi="Times New Roman" w:cs="Times New Roman"/>
      <w:sz w:val="22"/>
    </w:rPr>
  </w:style>
  <w:style w:type="paragraph" w:styleId="Index9">
    <w:name w:val="index 9"/>
    <w:basedOn w:val="Normal"/>
    <w:next w:val="Normal"/>
    <w:autoRedefine/>
    <w:uiPriority w:val="99"/>
    <w:rsid w:val="001D763B"/>
    <w:pPr>
      <w:overflowPunct w:val="0"/>
      <w:autoSpaceDE w:val="0"/>
      <w:autoSpaceDN w:val="0"/>
      <w:adjustRightInd w:val="0"/>
      <w:spacing w:after="240" w:line="360" w:lineRule="auto"/>
      <w:ind w:left="1980" w:hanging="220"/>
      <w:jc w:val="both"/>
      <w:textAlignment w:val="baseline"/>
    </w:pPr>
    <w:rPr>
      <w:rFonts w:ascii="Times New Roman" w:eastAsia="Times New Roman" w:hAnsi="Times New Roman" w:cs="Times New Roman"/>
      <w:sz w:val="22"/>
    </w:rPr>
  </w:style>
  <w:style w:type="paragraph" w:styleId="IndexHeading">
    <w:name w:val="index heading"/>
    <w:basedOn w:val="Normal"/>
    <w:next w:val="Index1"/>
    <w:uiPriority w:val="99"/>
    <w:rsid w:val="001D763B"/>
    <w:pPr>
      <w:overflowPunct w:val="0"/>
      <w:autoSpaceDE w:val="0"/>
      <w:autoSpaceDN w:val="0"/>
      <w:adjustRightInd w:val="0"/>
      <w:spacing w:after="240" w:line="360" w:lineRule="auto"/>
      <w:jc w:val="both"/>
      <w:textAlignment w:val="baseline"/>
    </w:pPr>
    <w:rPr>
      <w:rFonts w:ascii="Cambria" w:eastAsia="Times New Roman" w:hAnsi="Cambria" w:cs="Times New Roman"/>
      <w:b/>
      <w:bCs/>
      <w:sz w:val="22"/>
    </w:rPr>
  </w:style>
  <w:style w:type="character" w:styleId="IntenseEmphasis">
    <w:name w:val="Intense Emphasis"/>
    <w:uiPriority w:val="99"/>
    <w:qFormat/>
    <w:rsid w:val="001D763B"/>
    <w:rPr>
      <w:b/>
      <w:bCs/>
      <w:i/>
      <w:iCs/>
      <w:color w:val="4F81BD"/>
    </w:rPr>
  </w:style>
  <w:style w:type="paragraph" w:styleId="IntenseQuote">
    <w:name w:val="Intense Quote"/>
    <w:basedOn w:val="Normal"/>
    <w:next w:val="Normal"/>
    <w:link w:val="IntenseQuoteChar"/>
    <w:uiPriority w:val="99"/>
    <w:qFormat/>
    <w:rsid w:val="001D763B"/>
    <w:pPr>
      <w:pBdr>
        <w:bottom w:val="single" w:sz="4" w:space="4" w:color="4F81BD"/>
      </w:pBdr>
      <w:overflowPunct w:val="0"/>
      <w:autoSpaceDE w:val="0"/>
      <w:autoSpaceDN w:val="0"/>
      <w:adjustRightInd w:val="0"/>
      <w:spacing w:before="200" w:after="280" w:line="360" w:lineRule="auto"/>
      <w:ind w:left="936" w:right="936"/>
      <w:jc w:val="both"/>
      <w:textAlignment w:val="baseline"/>
    </w:pPr>
    <w:rPr>
      <w:rFonts w:ascii="Times New Roman" w:eastAsia="Times New Roman" w:hAnsi="Times New Roman" w:cs="Times New Roman"/>
      <w:b/>
      <w:bCs/>
      <w:i/>
      <w:iCs/>
      <w:color w:val="4F81BD"/>
      <w:sz w:val="22"/>
    </w:rPr>
  </w:style>
  <w:style w:type="character" w:customStyle="1" w:styleId="IntenseQuoteChar">
    <w:name w:val="Intense Quote Char"/>
    <w:basedOn w:val="DefaultParagraphFont"/>
    <w:link w:val="IntenseQuote"/>
    <w:uiPriority w:val="99"/>
    <w:rsid w:val="00863151"/>
    <w:rPr>
      <w:rFonts w:ascii="Times New Roman" w:eastAsia="Times New Roman" w:hAnsi="Times New Roman" w:cs="Times New Roman"/>
      <w:b/>
      <w:bCs/>
      <w:i/>
      <w:iCs/>
      <w:color w:val="4F81BD"/>
      <w:sz w:val="22"/>
      <w:szCs w:val="20"/>
    </w:rPr>
  </w:style>
  <w:style w:type="character" w:styleId="IntenseReference">
    <w:name w:val="Intense Reference"/>
    <w:uiPriority w:val="99"/>
    <w:qFormat/>
    <w:rsid w:val="001D763B"/>
    <w:rPr>
      <w:b/>
      <w:bCs/>
      <w:smallCaps/>
      <w:color w:val="C0504D"/>
      <w:spacing w:val="5"/>
      <w:u w:val="single"/>
    </w:rPr>
  </w:style>
  <w:style w:type="table" w:styleId="LightGrid">
    <w:name w:val="Light Grid"/>
    <w:basedOn w:val="TableNormal"/>
    <w:uiPriority w:val="62"/>
    <w:rsid w:val="001D763B"/>
    <w:rPr>
      <w:rFonts w:ascii="Times New Roman" w:eastAsia="Times New Roman" w:hAnsi="Times New Roman" w:cs="Times New Roman"/>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1D763B"/>
    <w:rPr>
      <w:rFonts w:ascii="Times New Roman" w:eastAsia="Times New Roman" w:hAnsi="Times New Roman" w:cs="Times New Roman"/>
      <w:sz w:val="20"/>
      <w:szCs w:val="20"/>
      <w:lang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1D763B"/>
    <w:rPr>
      <w:rFonts w:ascii="Times New Roman" w:eastAsia="Times New Roman" w:hAnsi="Times New Roman" w:cs="Times New Roman"/>
      <w:sz w:val="20"/>
      <w:szCs w:val="20"/>
      <w:lang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Times New Roman" w:hAnsi="Times New Rom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1D763B"/>
    <w:rPr>
      <w:rFonts w:ascii="Times New Roman" w:eastAsia="Times New Roman" w:hAnsi="Times New Roman" w:cs="Times New Roman"/>
      <w:sz w:val="20"/>
      <w:szCs w:val="20"/>
      <w:lang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Times New Roman" w:hAnsi="Times New Rom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1D763B"/>
    <w:rPr>
      <w:rFonts w:ascii="Times New Roman" w:eastAsia="Times New Roman" w:hAnsi="Times New Roman" w:cs="Times New Roman"/>
      <w:sz w:val="20"/>
      <w:szCs w:val="20"/>
      <w:lang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Times New Roman" w:hAnsi="Times New Rom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1D763B"/>
    <w:rPr>
      <w:rFonts w:ascii="Times New Roman" w:eastAsia="Times New Roman" w:hAnsi="Times New Roman" w:cs="Times New Roman"/>
      <w:sz w:val="20"/>
      <w:szCs w:val="20"/>
      <w:lang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List">
    <w:name w:val="Light List"/>
    <w:basedOn w:val="TableNormal"/>
    <w:uiPriority w:val="61"/>
    <w:rsid w:val="001D763B"/>
    <w:rPr>
      <w:rFonts w:ascii="Times New Roman" w:eastAsia="Times New Roman" w:hAnsi="Times New Roman" w:cs="Times New Roman"/>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2">
    <w:name w:val="Light List Accent 2"/>
    <w:basedOn w:val="TableNormal"/>
    <w:uiPriority w:val="61"/>
    <w:rsid w:val="001D763B"/>
    <w:rPr>
      <w:rFonts w:ascii="Times New Roman" w:eastAsia="Times New Roman" w:hAnsi="Times New Roman" w:cs="Times New Roman"/>
      <w:sz w:val="20"/>
      <w:szCs w:val="20"/>
      <w:lang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1D763B"/>
    <w:rPr>
      <w:rFonts w:ascii="Times New Roman" w:eastAsia="Times New Roman" w:hAnsi="Times New Roman" w:cs="Times New Roman"/>
      <w:sz w:val="20"/>
      <w:szCs w:val="20"/>
      <w:lang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1D763B"/>
    <w:rPr>
      <w:rFonts w:ascii="Times New Roman" w:eastAsia="Times New Roman" w:hAnsi="Times New Roman" w:cs="Times New Roman"/>
      <w:sz w:val="20"/>
      <w:szCs w:val="20"/>
      <w:lang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1D763B"/>
    <w:rPr>
      <w:rFonts w:ascii="Times New Roman" w:eastAsia="Times New Roman" w:hAnsi="Times New Roman" w:cs="Times New Roman"/>
      <w:sz w:val="20"/>
      <w:szCs w:val="20"/>
      <w:lang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1D763B"/>
    <w:rPr>
      <w:rFonts w:ascii="Times New Roman" w:eastAsia="Times New Roman" w:hAnsi="Times New Roman" w:cs="Times New Roman"/>
      <w:sz w:val="20"/>
      <w:szCs w:val="20"/>
      <w:lang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Accent1">
    <w:name w:val="Light Shading Accent 1"/>
    <w:basedOn w:val="TableNormal"/>
    <w:uiPriority w:val="60"/>
    <w:rsid w:val="001D763B"/>
    <w:rPr>
      <w:rFonts w:ascii="Times New Roman" w:eastAsia="Times New Roman" w:hAnsi="Times New Roman" w:cs="Times New Roman"/>
      <w:color w:val="365F91"/>
      <w:sz w:val="20"/>
      <w:szCs w:val="20"/>
      <w:lang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1D763B"/>
    <w:rPr>
      <w:rFonts w:ascii="Times New Roman" w:eastAsia="Times New Roman" w:hAnsi="Times New Roman" w:cs="Times New Roman"/>
      <w:color w:val="943634"/>
      <w:sz w:val="20"/>
      <w:szCs w:val="20"/>
      <w:lang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1D763B"/>
    <w:rPr>
      <w:rFonts w:ascii="Times New Roman" w:eastAsia="Times New Roman" w:hAnsi="Times New Roman" w:cs="Times New Roman"/>
      <w:color w:val="76923C"/>
      <w:sz w:val="20"/>
      <w:szCs w:val="20"/>
      <w:lang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1D763B"/>
    <w:rPr>
      <w:rFonts w:ascii="Times New Roman" w:eastAsia="Times New Roman" w:hAnsi="Times New Roman" w:cs="Times New Roman"/>
      <w:color w:val="5F497A"/>
      <w:sz w:val="20"/>
      <w:szCs w:val="20"/>
      <w:lang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1D763B"/>
    <w:rPr>
      <w:rFonts w:ascii="Times New Roman" w:eastAsia="Times New Roman" w:hAnsi="Times New Roman" w:cs="Times New Roman"/>
      <w:color w:val="31849B"/>
      <w:sz w:val="20"/>
      <w:szCs w:val="20"/>
      <w:lang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1D763B"/>
    <w:rPr>
      <w:rFonts w:ascii="Times New Roman" w:eastAsia="Times New Roman" w:hAnsi="Times New Roman" w:cs="Times New Roman"/>
      <w:color w:val="E36C0A"/>
      <w:sz w:val="20"/>
      <w:szCs w:val="20"/>
      <w:lang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1D763B"/>
    <w:rPr>
      <w:rFonts w:ascii="Times New Roman" w:eastAsia="Times New Roman" w:hAnsi="Times New Roman" w:cs="Times New Roman"/>
      <w:sz w:val="20"/>
      <w:szCs w:val="20"/>
      <w:lang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1D763B"/>
    <w:rPr>
      <w:rFonts w:ascii="Times New Roman" w:eastAsia="Times New Roman" w:hAnsi="Times New Roman" w:cs="Times New Roman"/>
      <w:sz w:val="20"/>
      <w:szCs w:val="20"/>
      <w:lang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1D763B"/>
    <w:rPr>
      <w:rFonts w:ascii="Times New Roman" w:eastAsia="Times New Roman" w:hAnsi="Times New Roman" w:cs="Times New Roman"/>
      <w:sz w:val="20"/>
      <w:szCs w:val="20"/>
      <w:lang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1D763B"/>
    <w:rPr>
      <w:rFonts w:ascii="Times New Roman" w:eastAsia="Times New Roman" w:hAnsi="Times New Roman" w:cs="Times New Roman"/>
      <w:sz w:val="20"/>
      <w:szCs w:val="20"/>
      <w:lang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1D763B"/>
    <w:rPr>
      <w:rFonts w:ascii="Times New Roman" w:eastAsia="Times New Roman" w:hAnsi="Times New Roman" w:cs="Times New Roman"/>
      <w:sz w:val="20"/>
      <w:szCs w:val="20"/>
      <w:lang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1D763B"/>
    <w:rPr>
      <w:rFonts w:ascii="Times New Roman" w:eastAsia="Times New Roman" w:hAnsi="Times New Roman" w:cs="Times New Roman"/>
      <w:sz w:val="20"/>
      <w:szCs w:val="20"/>
      <w:lang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1D763B"/>
    <w:rPr>
      <w:rFonts w:ascii="Times New Roman" w:eastAsia="Times New Roman" w:hAnsi="Times New Roman" w:cs="Times New Roman"/>
      <w:sz w:val="20"/>
      <w:szCs w:val="20"/>
      <w:lang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1D763B"/>
    <w:rPr>
      <w:rFonts w:ascii="Cambria" w:eastAsia="Times New Roman" w:hAnsi="Cambria" w:cs="Times New Roman"/>
      <w:color w:val="000000"/>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1D763B"/>
    <w:rPr>
      <w:rFonts w:ascii="Cambria" w:eastAsia="Times New Roman" w:hAnsi="Cambria" w:cs="Times New Roman"/>
      <w:color w:val="000000"/>
      <w:sz w:val="20"/>
      <w:szCs w:val="20"/>
      <w:lang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1D763B"/>
    <w:rPr>
      <w:rFonts w:ascii="Cambria" w:eastAsia="Times New Roman" w:hAnsi="Cambria" w:cs="Times New Roman"/>
      <w:color w:val="000000"/>
      <w:sz w:val="20"/>
      <w:szCs w:val="20"/>
      <w:lang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4">
    <w:name w:val="Medium Grid 2 Accent 4"/>
    <w:basedOn w:val="TableNormal"/>
    <w:uiPriority w:val="68"/>
    <w:rsid w:val="001D763B"/>
    <w:rPr>
      <w:rFonts w:ascii="Cambria" w:eastAsia="Times New Roman" w:hAnsi="Cambria" w:cs="Times New Roman"/>
      <w:color w:val="000000"/>
      <w:sz w:val="20"/>
      <w:szCs w:val="20"/>
      <w:lang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1D763B"/>
    <w:rPr>
      <w:rFonts w:ascii="Cambria" w:eastAsia="Times New Roman" w:hAnsi="Cambria" w:cs="Times New Roman"/>
      <w:color w:val="000000"/>
      <w:sz w:val="20"/>
      <w:szCs w:val="20"/>
      <w:lang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3">
    <w:name w:val="Medium Grid 3"/>
    <w:basedOn w:val="TableNormal"/>
    <w:uiPriority w:val="69"/>
    <w:rsid w:val="001D763B"/>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1D763B"/>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1D763B"/>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1D763B"/>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1D763B"/>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1D763B"/>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1D763B"/>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1D763B"/>
    <w:rPr>
      <w:rFonts w:ascii="Times New Roman" w:eastAsia="Times New Roman" w:hAnsi="Times New Roman" w:cs="Times New Roman"/>
      <w:color w:val="000000"/>
      <w:sz w:val="20"/>
      <w:szCs w:val="20"/>
      <w:lang w:eastAsia="en-GB"/>
    </w:rPr>
    <w:tblPr>
      <w:tblStyleRowBandSize w:val="1"/>
      <w:tblStyleColBandSize w:val="1"/>
      <w:tblBorders>
        <w:top w:val="single" w:sz="8" w:space="0" w:color="000000"/>
        <w:bottom w:val="single" w:sz="8" w:space="0" w:color="000000"/>
      </w:tblBorders>
    </w:tblPr>
    <w:tblStylePr w:type="firstRow">
      <w:rPr>
        <w:rFonts w:ascii="Times New Roman" w:eastAsia="Times New Roman" w:hAnsi="Times New Ro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1D763B"/>
    <w:rPr>
      <w:rFonts w:ascii="Times New Roman" w:eastAsia="Times New Roman" w:hAnsi="Times New Roman" w:cs="Times New Roman"/>
      <w:color w:val="000000"/>
      <w:sz w:val="20"/>
      <w:szCs w:val="20"/>
      <w:lang w:eastAsia="en-GB"/>
    </w:rPr>
    <w:tblPr>
      <w:tblStyleRowBandSize w:val="1"/>
      <w:tblStyleColBandSize w:val="1"/>
      <w:tblBorders>
        <w:top w:val="single" w:sz="8" w:space="0" w:color="4F81BD"/>
        <w:bottom w:val="single" w:sz="8" w:space="0" w:color="4F81BD"/>
      </w:tblBorders>
    </w:tblPr>
    <w:tblStylePr w:type="firstRow">
      <w:rPr>
        <w:rFonts w:ascii="Times New Roman" w:eastAsia="Times New Roman" w:hAnsi="Times New Rom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1D763B"/>
    <w:rPr>
      <w:rFonts w:ascii="Times New Roman" w:eastAsia="Times New Roman" w:hAnsi="Times New Roman" w:cs="Times New Roman"/>
      <w:color w:val="000000"/>
      <w:sz w:val="20"/>
      <w:szCs w:val="20"/>
      <w:lang w:eastAsia="en-GB"/>
    </w:rPr>
    <w:tblPr>
      <w:tblStyleRowBandSize w:val="1"/>
      <w:tblStyleColBandSize w:val="1"/>
      <w:tblBorders>
        <w:top w:val="single" w:sz="8" w:space="0" w:color="C0504D"/>
        <w:bottom w:val="single" w:sz="8" w:space="0" w:color="C0504D"/>
      </w:tblBorders>
    </w:tblPr>
    <w:tblStylePr w:type="firstRow">
      <w:rPr>
        <w:rFonts w:ascii="Times New Roman" w:eastAsia="Times New Roman" w:hAnsi="Times New Rom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1D763B"/>
    <w:rPr>
      <w:rFonts w:ascii="Times New Roman" w:eastAsia="Times New Roman" w:hAnsi="Times New Roman" w:cs="Times New Roman"/>
      <w:color w:val="000000"/>
      <w:sz w:val="20"/>
      <w:szCs w:val="20"/>
      <w:lang w:eastAsia="en-GB"/>
    </w:rPr>
    <w:tblPr>
      <w:tblStyleRowBandSize w:val="1"/>
      <w:tblStyleColBandSize w:val="1"/>
      <w:tblBorders>
        <w:top w:val="single" w:sz="8" w:space="0" w:color="9BBB59"/>
        <w:bottom w:val="single" w:sz="8" w:space="0" w:color="9BBB59"/>
      </w:tblBorders>
    </w:tblPr>
    <w:tblStylePr w:type="firstRow">
      <w:rPr>
        <w:rFonts w:ascii="Times New Roman" w:eastAsia="Times New Roman" w:hAnsi="Times New Rom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1D763B"/>
    <w:rPr>
      <w:rFonts w:ascii="Times New Roman" w:eastAsia="Times New Roman" w:hAnsi="Times New Roman" w:cs="Times New Roman"/>
      <w:color w:val="000000"/>
      <w:sz w:val="20"/>
      <w:szCs w:val="20"/>
      <w:lang w:eastAsia="en-GB"/>
    </w:rPr>
    <w:tblPr>
      <w:tblStyleRowBandSize w:val="1"/>
      <w:tblStyleColBandSize w:val="1"/>
      <w:tblBorders>
        <w:top w:val="single" w:sz="8" w:space="0" w:color="8064A2"/>
        <w:bottom w:val="single" w:sz="8" w:space="0" w:color="8064A2"/>
      </w:tblBorders>
    </w:tblPr>
    <w:tblStylePr w:type="firstRow">
      <w:rPr>
        <w:rFonts w:ascii="Times New Roman" w:eastAsia="Times New Roman" w:hAnsi="Times New Rom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1D763B"/>
    <w:rPr>
      <w:rFonts w:ascii="Times New Roman" w:eastAsia="Times New Roman" w:hAnsi="Times New Roman" w:cs="Times New Roman"/>
      <w:color w:val="000000"/>
      <w:sz w:val="20"/>
      <w:szCs w:val="20"/>
      <w:lang w:eastAsia="en-GB"/>
    </w:rPr>
    <w:tblPr>
      <w:tblStyleRowBandSize w:val="1"/>
      <w:tblStyleColBandSize w:val="1"/>
      <w:tblBorders>
        <w:top w:val="single" w:sz="8" w:space="0" w:color="4BACC6"/>
        <w:bottom w:val="single" w:sz="8" w:space="0" w:color="4BACC6"/>
      </w:tblBorders>
    </w:tblPr>
    <w:tblStylePr w:type="firstRow">
      <w:rPr>
        <w:rFonts w:ascii="Times New Roman" w:eastAsia="Times New Roman" w:hAnsi="Times New Rom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1D763B"/>
    <w:rPr>
      <w:rFonts w:ascii="Times New Roman" w:eastAsia="Times New Roman" w:hAnsi="Times New Roman" w:cs="Times New Roman"/>
      <w:color w:val="000000"/>
      <w:sz w:val="20"/>
      <w:szCs w:val="20"/>
      <w:lang w:eastAsia="en-GB"/>
    </w:rPr>
    <w:tblPr>
      <w:tblStyleRowBandSize w:val="1"/>
      <w:tblStyleColBandSize w:val="1"/>
      <w:tblBorders>
        <w:top w:val="single" w:sz="8" w:space="0" w:color="F79646"/>
        <w:bottom w:val="single" w:sz="8" w:space="0" w:color="F79646"/>
      </w:tblBorders>
    </w:tblPr>
    <w:tblStylePr w:type="firstRow">
      <w:rPr>
        <w:rFonts w:ascii="Times New Roman" w:eastAsia="Times New Roman" w:hAnsi="Times New Rom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1D763B"/>
    <w:rPr>
      <w:rFonts w:ascii="Cambria" w:eastAsia="Times New Roman" w:hAnsi="Cambria" w:cs="Times New Roman"/>
      <w:color w:val="000000"/>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1D763B"/>
    <w:rPr>
      <w:rFonts w:ascii="Cambria" w:eastAsia="Times New Roman" w:hAnsi="Cambria" w:cs="Times New Roman"/>
      <w:color w:val="000000"/>
      <w:sz w:val="20"/>
      <w:szCs w:val="20"/>
      <w:lang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1D763B"/>
    <w:rPr>
      <w:rFonts w:ascii="Cambria" w:eastAsia="Times New Roman" w:hAnsi="Cambria" w:cs="Times New Roman"/>
      <w:color w:val="000000"/>
      <w:sz w:val="20"/>
      <w:szCs w:val="20"/>
      <w:lang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1D763B"/>
    <w:rPr>
      <w:rFonts w:ascii="Cambria" w:eastAsia="Times New Roman" w:hAnsi="Cambria" w:cs="Times New Roman"/>
      <w:color w:val="000000"/>
      <w:sz w:val="20"/>
      <w:szCs w:val="20"/>
      <w:lang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1D763B"/>
    <w:rPr>
      <w:rFonts w:ascii="Cambria" w:eastAsia="Times New Roman" w:hAnsi="Cambria" w:cs="Times New Roman"/>
      <w:color w:val="000000"/>
      <w:sz w:val="20"/>
      <w:szCs w:val="20"/>
      <w:lang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1D763B"/>
    <w:rPr>
      <w:rFonts w:ascii="Cambria" w:eastAsia="Times New Roman" w:hAnsi="Cambria" w:cs="Times New Roman"/>
      <w:color w:val="000000"/>
      <w:sz w:val="20"/>
      <w:szCs w:val="20"/>
      <w:lang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1D763B"/>
    <w:rPr>
      <w:rFonts w:ascii="Cambria" w:eastAsia="Times New Roman" w:hAnsi="Cambria" w:cs="Times New Roman"/>
      <w:color w:val="000000"/>
      <w:sz w:val="20"/>
      <w:szCs w:val="20"/>
      <w:lang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1D763B"/>
    <w:rPr>
      <w:rFonts w:ascii="Times New Roman" w:eastAsia="Times New Roman" w:hAnsi="Times New Roman" w:cs="Times New Roman"/>
      <w:sz w:val="20"/>
      <w:szCs w:val="20"/>
      <w:lang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D763B"/>
    <w:rPr>
      <w:rFonts w:ascii="Times New Roman" w:eastAsia="Times New Roman" w:hAnsi="Times New Roman" w:cs="Times New Roman"/>
      <w:sz w:val="20"/>
      <w:szCs w:val="20"/>
      <w:lang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D763B"/>
    <w:rPr>
      <w:rFonts w:ascii="Times New Roman" w:eastAsia="Times New Roman" w:hAnsi="Times New Roman" w:cs="Times New Roman"/>
      <w:sz w:val="20"/>
      <w:szCs w:val="20"/>
      <w:lang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D763B"/>
    <w:rPr>
      <w:rFonts w:ascii="Times New Roman" w:eastAsia="Times New Roman" w:hAnsi="Times New Roman" w:cs="Times New Roman"/>
      <w:sz w:val="20"/>
      <w:szCs w:val="20"/>
      <w:lang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D763B"/>
    <w:rPr>
      <w:rFonts w:ascii="Times New Roman" w:eastAsia="Times New Roman" w:hAnsi="Times New Roman" w:cs="Times New Roman"/>
      <w:sz w:val="20"/>
      <w:szCs w:val="20"/>
      <w:lang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1D763B"/>
    <w:rPr>
      <w:rFonts w:ascii="Times New Roman" w:eastAsia="Times New Roman" w:hAnsi="Times New Roman" w:cs="Times New Roman"/>
      <w:sz w:val="20"/>
      <w:szCs w:val="20"/>
      <w:lang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1D763B"/>
    <w:rPr>
      <w:rFonts w:ascii="Times New Roman" w:eastAsia="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1D763B"/>
    <w:rPr>
      <w:rFonts w:ascii="Times New Roman" w:eastAsia="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1D763B"/>
    <w:rPr>
      <w:rFonts w:ascii="Times New Roman" w:eastAsia="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D763B"/>
    <w:rPr>
      <w:rFonts w:ascii="Times New Roman" w:eastAsia="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1D763B"/>
    <w:rPr>
      <w:rFonts w:ascii="Times New Roman" w:eastAsia="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D763B"/>
    <w:rPr>
      <w:rFonts w:ascii="Times New Roman" w:eastAsia="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uiPriority w:val="99"/>
    <w:semiHidden/>
    <w:rsid w:val="001D763B"/>
    <w:rPr>
      <w:color w:val="808080"/>
    </w:rPr>
  </w:style>
  <w:style w:type="paragraph" w:styleId="Quote">
    <w:name w:val="Quote"/>
    <w:basedOn w:val="Normal"/>
    <w:next w:val="Normal"/>
    <w:link w:val="QuoteChar"/>
    <w:uiPriority w:val="99"/>
    <w:qFormat/>
    <w:rsid w:val="001D763B"/>
    <w:pPr>
      <w:overflowPunct w:val="0"/>
      <w:autoSpaceDE w:val="0"/>
      <w:autoSpaceDN w:val="0"/>
      <w:adjustRightInd w:val="0"/>
      <w:spacing w:after="240" w:line="360" w:lineRule="auto"/>
      <w:jc w:val="both"/>
      <w:textAlignment w:val="baseline"/>
    </w:pPr>
    <w:rPr>
      <w:rFonts w:ascii="Times New Roman" w:eastAsia="Times New Roman" w:hAnsi="Times New Roman" w:cs="Times New Roman"/>
      <w:i/>
      <w:iCs/>
      <w:color w:val="000000"/>
      <w:sz w:val="22"/>
    </w:rPr>
  </w:style>
  <w:style w:type="character" w:customStyle="1" w:styleId="QuoteChar">
    <w:name w:val="Quote Char"/>
    <w:basedOn w:val="DefaultParagraphFont"/>
    <w:link w:val="Quote"/>
    <w:uiPriority w:val="99"/>
    <w:rsid w:val="00863151"/>
    <w:rPr>
      <w:rFonts w:ascii="Times New Roman" w:eastAsia="Times New Roman" w:hAnsi="Times New Roman" w:cs="Times New Roman"/>
      <w:i/>
      <w:iCs/>
      <w:color w:val="000000"/>
      <w:sz w:val="22"/>
      <w:szCs w:val="20"/>
    </w:rPr>
  </w:style>
  <w:style w:type="paragraph" w:styleId="Signature">
    <w:name w:val="Signature"/>
    <w:basedOn w:val="Normal"/>
    <w:link w:val="SignatureChar"/>
    <w:uiPriority w:val="99"/>
    <w:rsid w:val="001D763B"/>
    <w:pPr>
      <w:overflowPunct w:val="0"/>
      <w:autoSpaceDE w:val="0"/>
      <w:autoSpaceDN w:val="0"/>
      <w:adjustRightInd w:val="0"/>
      <w:spacing w:after="240" w:line="360" w:lineRule="auto"/>
      <w:ind w:left="4252"/>
      <w:jc w:val="both"/>
      <w:textAlignment w:val="baseline"/>
    </w:pPr>
    <w:rPr>
      <w:rFonts w:ascii="Times New Roman" w:eastAsia="Times New Roman" w:hAnsi="Times New Roman" w:cs="Times New Roman"/>
      <w:sz w:val="22"/>
    </w:rPr>
  </w:style>
  <w:style w:type="character" w:customStyle="1" w:styleId="SignatureChar">
    <w:name w:val="Signature Char"/>
    <w:basedOn w:val="DefaultParagraphFont"/>
    <w:link w:val="Signature"/>
    <w:uiPriority w:val="99"/>
    <w:rsid w:val="00863151"/>
    <w:rPr>
      <w:rFonts w:ascii="Times New Roman" w:eastAsia="Times New Roman" w:hAnsi="Times New Roman" w:cs="Times New Roman"/>
      <w:sz w:val="22"/>
      <w:szCs w:val="20"/>
    </w:rPr>
  </w:style>
  <w:style w:type="character" w:styleId="Strong">
    <w:name w:val="Strong"/>
    <w:uiPriority w:val="99"/>
    <w:qFormat/>
    <w:rsid w:val="001D763B"/>
    <w:rPr>
      <w:b/>
      <w:bCs/>
    </w:rPr>
  </w:style>
  <w:style w:type="character" w:styleId="SubtleEmphasis">
    <w:name w:val="Subtle Emphasis"/>
    <w:uiPriority w:val="99"/>
    <w:qFormat/>
    <w:rsid w:val="001D763B"/>
    <w:rPr>
      <w:i/>
      <w:iCs/>
      <w:color w:val="808080"/>
    </w:rPr>
  </w:style>
  <w:style w:type="character" w:styleId="SubtleReference">
    <w:name w:val="Subtle Reference"/>
    <w:uiPriority w:val="99"/>
    <w:qFormat/>
    <w:rsid w:val="001D763B"/>
    <w:rPr>
      <w:smallCaps/>
      <w:color w:val="C0504D"/>
      <w:u w:val="single"/>
    </w:rPr>
  </w:style>
  <w:style w:type="table" w:styleId="Table3Deffects1">
    <w:name w:val="Table 3D effects 1"/>
    <w:basedOn w:val="TableNormal"/>
    <w:rsid w:val="001D763B"/>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D763B"/>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D763B"/>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D763B"/>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D763B"/>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D763B"/>
    <w:pPr>
      <w:overflowPunct w:val="0"/>
      <w:autoSpaceDE w:val="0"/>
      <w:autoSpaceDN w:val="0"/>
      <w:adjustRightInd w:val="0"/>
      <w:spacing w:after="240" w:line="360" w:lineRule="auto"/>
      <w:jc w:val="both"/>
      <w:textAlignment w:val="baseline"/>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D763B"/>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D763B"/>
    <w:pPr>
      <w:overflowPunct w:val="0"/>
      <w:autoSpaceDE w:val="0"/>
      <w:autoSpaceDN w:val="0"/>
      <w:adjustRightInd w:val="0"/>
      <w:spacing w:after="240" w:line="360" w:lineRule="auto"/>
      <w:jc w:val="both"/>
      <w:textAlignment w:val="baseline"/>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D763B"/>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D763B"/>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D763B"/>
    <w:pPr>
      <w:overflowPunct w:val="0"/>
      <w:autoSpaceDE w:val="0"/>
      <w:autoSpaceDN w:val="0"/>
      <w:adjustRightInd w:val="0"/>
      <w:spacing w:after="240" w:line="360" w:lineRule="auto"/>
      <w:jc w:val="both"/>
      <w:textAlignment w:val="baseline"/>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D763B"/>
    <w:pPr>
      <w:overflowPunct w:val="0"/>
      <w:autoSpaceDE w:val="0"/>
      <w:autoSpaceDN w:val="0"/>
      <w:adjustRightInd w:val="0"/>
      <w:spacing w:after="240" w:line="360" w:lineRule="auto"/>
      <w:jc w:val="both"/>
      <w:textAlignment w:val="baseline"/>
    </w:pPr>
    <w:rPr>
      <w:rFonts w:ascii="Times New Roman" w:eastAsia="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D763B"/>
    <w:pPr>
      <w:overflowPunct w:val="0"/>
      <w:autoSpaceDE w:val="0"/>
      <w:autoSpaceDN w:val="0"/>
      <w:adjustRightInd w:val="0"/>
      <w:spacing w:after="240" w:line="360" w:lineRule="auto"/>
      <w:jc w:val="both"/>
      <w:textAlignment w:val="baseline"/>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D763B"/>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D763B"/>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D763B"/>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D763B"/>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1D763B"/>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D763B"/>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D763B"/>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D763B"/>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D763B"/>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6">
    <w:name w:val="Table Grid 6"/>
    <w:basedOn w:val="TableNormal"/>
    <w:rsid w:val="001D763B"/>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7">
    <w:name w:val="Table Grid 7"/>
    <w:basedOn w:val="TableNormal"/>
    <w:rsid w:val="001D763B"/>
    <w:pPr>
      <w:overflowPunct w:val="0"/>
      <w:autoSpaceDE w:val="0"/>
      <w:autoSpaceDN w:val="0"/>
      <w:adjustRightInd w:val="0"/>
      <w:spacing w:after="240" w:line="360" w:lineRule="auto"/>
      <w:jc w:val="both"/>
      <w:textAlignment w:val="baseline"/>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8">
    <w:name w:val="Table Grid 8"/>
    <w:basedOn w:val="TableNormal"/>
    <w:rsid w:val="001D763B"/>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D763B"/>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D763B"/>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D763B"/>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D763B"/>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D763B"/>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D763B"/>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D763B"/>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D763B"/>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1D763B"/>
    <w:pPr>
      <w:overflowPunct w:val="0"/>
      <w:autoSpaceDE w:val="0"/>
      <w:autoSpaceDN w:val="0"/>
      <w:adjustRightInd w:val="0"/>
      <w:spacing w:after="240" w:line="360" w:lineRule="auto"/>
      <w:ind w:left="220" w:hanging="220"/>
      <w:jc w:val="both"/>
      <w:textAlignment w:val="baseline"/>
    </w:pPr>
    <w:rPr>
      <w:rFonts w:ascii="Times New Roman" w:eastAsia="Times New Roman" w:hAnsi="Times New Roman" w:cs="Times New Roman"/>
      <w:sz w:val="22"/>
    </w:rPr>
  </w:style>
  <w:style w:type="paragraph" w:styleId="TableofFigures">
    <w:name w:val="table of figures"/>
    <w:basedOn w:val="Normal"/>
    <w:next w:val="Normal"/>
    <w:uiPriority w:val="99"/>
    <w:rsid w:val="001D763B"/>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2"/>
    </w:rPr>
  </w:style>
  <w:style w:type="table" w:styleId="TableProfessional">
    <w:name w:val="Table Professional"/>
    <w:basedOn w:val="TableNormal"/>
    <w:rsid w:val="001D763B"/>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D763B"/>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D763B"/>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D763B"/>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D763B"/>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D763B"/>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D763B"/>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D763B"/>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D763B"/>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D763B"/>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99"/>
    <w:qFormat/>
    <w:rsid w:val="001D763B"/>
    <w:pPr>
      <w:keepLines w:val="0"/>
      <w:overflowPunct w:val="0"/>
      <w:autoSpaceDE w:val="0"/>
      <w:autoSpaceDN w:val="0"/>
      <w:adjustRightInd w:val="0"/>
      <w:spacing w:before="240" w:after="60" w:line="360" w:lineRule="auto"/>
      <w:jc w:val="both"/>
      <w:textAlignment w:val="baseline"/>
      <w:outlineLvl w:val="9"/>
    </w:pPr>
    <w:rPr>
      <w:rFonts w:ascii="Cambria" w:eastAsia="Times New Roman" w:hAnsi="Cambria" w:cs="Times New Roman"/>
      <w:kern w:val="32"/>
      <w:sz w:val="32"/>
      <w:szCs w:val="32"/>
    </w:rPr>
  </w:style>
  <w:style w:type="paragraph" w:customStyle="1" w:styleId="SFParasubclause1">
    <w:name w:val="SF Para subclause 1"/>
    <w:link w:val="SFParasubclause1Char"/>
    <w:uiPriority w:val="99"/>
    <w:qFormat/>
    <w:rsid w:val="001D763B"/>
    <w:pPr>
      <w:tabs>
        <w:tab w:val="num" w:pos="1440"/>
      </w:tabs>
      <w:spacing w:before="120" w:after="240"/>
      <w:ind w:left="1440" w:hanging="720"/>
      <w:outlineLvl w:val="1"/>
    </w:pPr>
    <w:rPr>
      <w:rFonts w:ascii="Times New Roman" w:eastAsia="Times New Roman" w:hAnsi="Times New Roman" w:cs="Times New Roman"/>
      <w:color w:val="000000"/>
      <w:lang w:eastAsia="en-GB"/>
    </w:rPr>
  </w:style>
  <w:style w:type="paragraph" w:customStyle="1" w:styleId="SFParasubclause2">
    <w:name w:val="SF Para subclause 2"/>
    <w:link w:val="SFParasubclause2Char"/>
    <w:uiPriority w:val="99"/>
    <w:qFormat/>
    <w:rsid w:val="001D763B"/>
    <w:pPr>
      <w:tabs>
        <w:tab w:val="num" w:pos="2160"/>
      </w:tabs>
      <w:spacing w:before="120" w:after="240"/>
      <w:ind w:left="2160" w:hanging="720"/>
      <w:outlineLvl w:val="2"/>
    </w:pPr>
    <w:rPr>
      <w:rFonts w:ascii="Times New Roman" w:eastAsia="Times New Roman" w:hAnsi="Times New Roman" w:cs="Times New Roman"/>
      <w:color w:val="000000"/>
      <w:lang w:eastAsia="en-GB"/>
    </w:rPr>
  </w:style>
  <w:style w:type="character" w:customStyle="1" w:styleId="SFParasubclause1Char">
    <w:name w:val="SF Para subclause 1 Char"/>
    <w:basedOn w:val="DefaultParagraphFont"/>
    <w:link w:val="SFParasubclause1"/>
    <w:uiPriority w:val="99"/>
    <w:locked/>
    <w:rsid w:val="00863151"/>
    <w:rPr>
      <w:rFonts w:ascii="Times New Roman" w:eastAsia="Times New Roman" w:hAnsi="Times New Roman" w:cs="Times New Roman"/>
      <w:color w:val="000000"/>
      <w:lang w:eastAsia="en-GB"/>
    </w:rPr>
  </w:style>
  <w:style w:type="paragraph" w:customStyle="1" w:styleId="SLPara-Clause">
    <w:name w:val="SL Para - Clause"/>
    <w:uiPriority w:val="99"/>
    <w:semiHidden/>
    <w:qFormat/>
    <w:rsid w:val="001D763B"/>
    <w:pPr>
      <w:tabs>
        <w:tab w:val="num" w:pos="720"/>
      </w:tabs>
      <w:spacing w:before="120" w:after="240"/>
      <w:ind w:left="720" w:hanging="720"/>
      <w:outlineLvl w:val="0"/>
    </w:pPr>
    <w:rPr>
      <w:rFonts w:ascii="Times New Roman" w:eastAsia="Times New Roman" w:hAnsi="Times New Roman" w:cs="Times New Roman"/>
      <w:color w:val="000000"/>
      <w:lang w:eastAsia="en-GB"/>
    </w:rPr>
  </w:style>
  <w:style w:type="character" w:customStyle="1" w:styleId="SFParasubclause2Char">
    <w:name w:val="SF Para subclause 2 Char"/>
    <w:basedOn w:val="DefaultParagraphFont"/>
    <w:link w:val="SFParasubclause2"/>
    <w:uiPriority w:val="99"/>
    <w:locked/>
    <w:rsid w:val="00863151"/>
    <w:rPr>
      <w:rFonts w:ascii="Times New Roman" w:eastAsia="Times New Roman" w:hAnsi="Times New Roman" w:cs="Times New Roman"/>
      <w:color w:val="000000"/>
      <w:lang w:eastAsia="en-GB"/>
    </w:rPr>
  </w:style>
  <w:style w:type="paragraph" w:customStyle="1" w:styleId="SFParasubclause1-nonum">
    <w:name w:val="SF Para subclause 1 - no num"/>
    <w:uiPriority w:val="99"/>
    <w:qFormat/>
    <w:rsid w:val="001D763B"/>
    <w:pPr>
      <w:spacing w:before="120" w:after="240"/>
      <w:ind w:left="720" w:firstLine="1440"/>
      <w:outlineLvl w:val="1"/>
    </w:pPr>
    <w:rPr>
      <w:rFonts w:ascii="Times New Roman" w:eastAsia="Times New Roman" w:hAnsi="Times New Roman" w:cs="Times New Roman"/>
      <w:color w:val="000000"/>
      <w:lang w:eastAsia="en-GB"/>
    </w:rPr>
  </w:style>
  <w:style w:type="paragraph" w:customStyle="1" w:styleId="Heading1-ICO">
    <w:name w:val="Heading 1 - ICO"/>
    <w:basedOn w:val="Heading1"/>
    <w:uiPriority w:val="99"/>
    <w:semiHidden/>
    <w:rsid w:val="00157B71"/>
    <w:pPr>
      <w:outlineLvl w:val="9"/>
    </w:pPr>
  </w:style>
  <w:style w:type="paragraph" w:customStyle="1" w:styleId="Heading2-ICO">
    <w:name w:val="Heading 2 - ICO"/>
    <w:basedOn w:val="Heading2"/>
    <w:uiPriority w:val="99"/>
    <w:semiHidden/>
    <w:rsid w:val="00157B71"/>
    <w:pPr>
      <w:outlineLvl w:val="9"/>
    </w:pPr>
  </w:style>
  <w:style w:type="paragraph" w:customStyle="1" w:styleId="Leader">
    <w:name w:val="Leader"/>
    <w:basedOn w:val="Normal"/>
    <w:next w:val="Normal"/>
    <w:uiPriority w:val="99"/>
    <w:rsid w:val="000D0A8F"/>
    <w:pPr>
      <w:spacing w:before="120" w:after="240" w:line="276" w:lineRule="auto"/>
    </w:pPr>
    <w:rPr>
      <w:rFonts w:eastAsia="Arial" w:cs="Times New Roman"/>
      <w:b/>
      <w:sz w:val="22"/>
      <w:szCs w:val="22"/>
    </w:rPr>
  </w:style>
  <w:style w:type="paragraph" w:customStyle="1" w:styleId="Level1Heading">
    <w:name w:val="Level 1 Heading"/>
    <w:basedOn w:val="Normal"/>
    <w:next w:val="Normal"/>
    <w:uiPriority w:val="99"/>
    <w:qFormat/>
    <w:rsid w:val="000D0A8F"/>
    <w:pPr>
      <w:keepNext/>
      <w:tabs>
        <w:tab w:val="num" w:pos="1440"/>
      </w:tabs>
      <w:spacing w:after="240" w:line="276" w:lineRule="auto"/>
      <w:ind w:left="1440" w:hanging="720"/>
      <w:outlineLvl w:val="0"/>
    </w:pPr>
    <w:rPr>
      <w:rFonts w:eastAsia="Arial" w:cs="Times New Roman"/>
      <w:b/>
      <w:bCs/>
      <w:sz w:val="22"/>
      <w:szCs w:val="24"/>
    </w:rPr>
  </w:style>
  <w:style w:type="paragraph" w:customStyle="1" w:styleId="Level2Number">
    <w:name w:val="Level 2 Number"/>
    <w:basedOn w:val="Normal"/>
    <w:uiPriority w:val="99"/>
    <w:qFormat/>
    <w:rsid w:val="000D0A8F"/>
    <w:pPr>
      <w:tabs>
        <w:tab w:val="num" w:pos="2160"/>
      </w:tabs>
      <w:spacing w:after="240" w:line="276" w:lineRule="auto"/>
      <w:ind w:left="2160" w:hanging="720"/>
    </w:pPr>
    <w:rPr>
      <w:rFonts w:eastAsia="Arial" w:cs="Times New Roman"/>
      <w:sz w:val="20"/>
      <w:szCs w:val="22"/>
    </w:rPr>
  </w:style>
  <w:style w:type="paragraph" w:customStyle="1" w:styleId="Level3Number">
    <w:name w:val="Level 3 Number"/>
    <w:basedOn w:val="Normal"/>
    <w:uiPriority w:val="99"/>
    <w:qFormat/>
    <w:rsid w:val="000D0A8F"/>
    <w:pPr>
      <w:tabs>
        <w:tab w:val="num" w:pos="2880"/>
      </w:tabs>
      <w:spacing w:after="240" w:line="276" w:lineRule="auto"/>
      <w:ind w:left="2880" w:hanging="720"/>
    </w:pPr>
    <w:rPr>
      <w:rFonts w:eastAsia="Arial" w:cs="Times New Roman"/>
      <w:sz w:val="20"/>
      <w:szCs w:val="22"/>
    </w:rPr>
  </w:style>
  <w:style w:type="numbering" w:customStyle="1" w:styleId="MainNumbering">
    <w:name w:val="Main Numbering"/>
    <w:uiPriority w:val="99"/>
    <w:rsid w:val="00882309"/>
    <w:pPr>
      <w:numPr>
        <w:numId w:val="44"/>
      </w:numPr>
    </w:pPr>
  </w:style>
  <w:style w:type="paragraph" w:customStyle="1" w:styleId="Schedule">
    <w:name w:val="Schedule"/>
    <w:basedOn w:val="Normal"/>
    <w:uiPriority w:val="99"/>
    <w:semiHidden/>
    <w:rsid w:val="00AE092F"/>
    <w:pPr>
      <w:keepNext/>
      <w:tabs>
        <w:tab w:val="num" w:pos="720"/>
      </w:tabs>
      <w:spacing w:after="240" w:line="276" w:lineRule="auto"/>
      <w:ind w:left="720" w:hanging="720"/>
      <w:jc w:val="center"/>
    </w:pPr>
    <w:rPr>
      <w:rFonts w:ascii="Verdana" w:eastAsia="Times New Roman" w:hAnsi="Verdana" w:cs="Times New Roman"/>
      <w:b/>
      <w:caps/>
      <w:szCs w:val="18"/>
      <w:lang w:eastAsia="zh-CN"/>
    </w:rPr>
  </w:style>
  <w:style w:type="character" w:customStyle="1" w:styleId="Level2Char">
    <w:name w:val="Level 2 Char"/>
    <w:link w:val="Level2"/>
    <w:uiPriority w:val="99"/>
    <w:rsid w:val="00863151"/>
    <w:rPr>
      <w:rFonts w:ascii="Arial" w:eastAsia="Times New Roman" w:hAnsi="Arial" w:cs="Times New Roman"/>
      <w:lang w:eastAsia="en-GB"/>
    </w:rPr>
  </w:style>
  <w:style w:type="character" w:customStyle="1" w:styleId="Level3Char">
    <w:name w:val="Level 3 Char"/>
    <w:link w:val="Level3"/>
    <w:uiPriority w:val="99"/>
    <w:rsid w:val="00863151"/>
    <w:rPr>
      <w:rFonts w:ascii="Arial" w:eastAsia="Times New Roman" w:hAnsi="Arial" w:cs="Times New Roman"/>
      <w:lang w:eastAsia="en-GB"/>
    </w:rPr>
  </w:style>
  <w:style w:type="character" w:customStyle="1" w:styleId="CommentSubjectChar1">
    <w:name w:val="Comment Subject Char1"/>
    <w:basedOn w:val="CommentTextChar"/>
    <w:uiPriority w:val="99"/>
    <w:semiHidden/>
    <w:rsid w:val="00AE092F"/>
    <w:rPr>
      <w:rFonts w:ascii="Arial" w:hAnsi="Arial"/>
      <w:b/>
      <w:bCs/>
      <w:sz w:val="20"/>
      <w:szCs w:val="20"/>
    </w:rPr>
  </w:style>
  <w:style w:type="character" w:customStyle="1" w:styleId="UnresolvedMention3">
    <w:name w:val="Unresolved Mention3"/>
    <w:basedOn w:val="DefaultParagraphFont"/>
    <w:uiPriority w:val="99"/>
    <w:semiHidden/>
    <w:rsid w:val="00AE092F"/>
    <w:rPr>
      <w:color w:val="605E5C"/>
      <w:shd w:val="clear" w:color="auto" w:fill="E1DFDD"/>
    </w:rPr>
  </w:style>
  <w:style w:type="paragraph" w:customStyle="1" w:styleId="Tablebullets">
    <w:name w:val="Table bullets"/>
    <w:basedOn w:val="ListParagraph"/>
    <w:link w:val="TablebulletsChar"/>
    <w:uiPriority w:val="99"/>
    <w:qFormat/>
    <w:rsid w:val="0090330E"/>
    <w:pPr>
      <w:tabs>
        <w:tab w:val="num" w:pos="720"/>
      </w:tabs>
      <w:spacing w:before="120" w:after="120" w:line="276" w:lineRule="auto"/>
      <w:ind w:left="227" w:hanging="227"/>
    </w:pPr>
    <w:rPr>
      <w:rFonts w:asciiTheme="minorHAnsi" w:hAnsiTheme="minorHAnsi"/>
      <w:szCs w:val="18"/>
      <w:shd w:val="clear" w:color="auto" w:fill="FFFFFF"/>
    </w:rPr>
  </w:style>
  <w:style w:type="character" w:customStyle="1" w:styleId="TablebulletsChar">
    <w:name w:val="Table bullets Char"/>
    <w:basedOn w:val="DefaultParagraphFont"/>
    <w:link w:val="Tablebullets"/>
    <w:uiPriority w:val="99"/>
    <w:rsid w:val="00863151"/>
    <w:rPr>
      <w:szCs w:val="18"/>
    </w:rPr>
  </w:style>
  <w:style w:type="character" w:customStyle="1" w:styleId="ListParagraphChar">
    <w:name w:val="List Paragraph Char"/>
    <w:basedOn w:val="DefaultParagraphFont"/>
    <w:link w:val="ListParagraph"/>
    <w:uiPriority w:val="99"/>
    <w:rsid w:val="00863151"/>
    <w:rPr>
      <w:rFonts w:ascii="Arial" w:hAnsi="Arial"/>
      <w:szCs w:val="20"/>
    </w:rPr>
  </w:style>
  <w:style w:type="table" w:customStyle="1" w:styleId="MSATable-header">
    <w:name w:val="MSA Table - header"/>
    <w:basedOn w:val="TableNormal"/>
    <w:uiPriority w:val="99"/>
    <w:rsid w:val="002E4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0F0F0"/>
      </w:tcPr>
    </w:tblStylePr>
  </w:style>
  <w:style w:type="table" w:customStyle="1" w:styleId="MSAdefinitions">
    <w:name w:val="MSA definitions"/>
    <w:basedOn w:val="TableNormal"/>
    <w:uiPriority w:val="99"/>
    <w:rsid w:val="00BA6055"/>
    <w:tblPr>
      <w:tblInd w:w="624" w:type="dxa"/>
      <w:tblCellMar>
        <w:right w:w="0" w:type="dxa"/>
      </w:tblCellMar>
    </w:tblPr>
  </w:style>
  <w:style w:type="character" w:customStyle="1" w:styleId="UnresolvedMention4">
    <w:name w:val="Unresolved Mention4"/>
    <w:basedOn w:val="DefaultParagraphFont"/>
    <w:uiPriority w:val="99"/>
    <w:semiHidden/>
    <w:rsid w:val="005D0525"/>
    <w:rPr>
      <w:color w:val="605E5C"/>
      <w:shd w:val="clear" w:color="auto" w:fill="E1DFDD"/>
    </w:rPr>
  </w:style>
  <w:style w:type="paragraph" w:customStyle="1" w:styleId="Dividername">
    <w:name w:val="Divider name"/>
    <w:uiPriority w:val="2"/>
    <w:rsid w:val="00F62024"/>
    <w:pPr>
      <w:spacing w:after="360"/>
      <w:jc w:val="center"/>
    </w:pPr>
    <w:rPr>
      <w:rFonts w:ascii="Arial" w:hAnsi="Arial"/>
      <w:b/>
      <w:color w:val="1F497D"/>
      <w:sz w:val="36"/>
      <w:szCs w:val="36"/>
    </w:rPr>
  </w:style>
  <w:style w:type="paragraph" w:customStyle="1" w:styleId="AppendixText2continued">
    <w:name w:val="Appendix Text 2 continued"/>
    <w:next w:val="AppendixText2"/>
    <w:uiPriority w:val="1"/>
    <w:semiHidden/>
    <w:rsid w:val="00006F5E"/>
    <w:pPr>
      <w:spacing w:before="100" w:after="200"/>
      <w:ind w:left="709"/>
    </w:pPr>
    <w:rPr>
      <w:rFonts w:ascii="Arial" w:hAnsi="Arial"/>
      <w:szCs w:val="20"/>
    </w:rPr>
  </w:style>
  <w:style w:type="paragraph" w:customStyle="1" w:styleId="TableText">
    <w:name w:val="Table Text"/>
    <w:basedOn w:val="StdBodyText"/>
    <w:uiPriority w:val="99"/>
    <w:semiHidden/>
    <w:rsid w:val="0086575E"/>
    <w:pPr>
      <w:spacing w:before="120" w:after="120"/>
    </w:pPr>
    <w:rPr>
      <w:rFonts w:cs="Arial"/>
    </w:rPr>
  </w:style>
  <w:style w:type="paragraph" w:customStyle="1" w:styleId="TableTextNumbered">
    <w:name w:val="Table Text Numbered"/>
    <w:basedOn w:val="TableText"/>
    <w:uiPriority w:val="99"/>
    <w:semiHidden/>
    <w:rsid w:val="0086575E"/>
    <w:pPr>
      <w:tabs>
        <w:tab w:val="num" w:pos="720"/>
      </w:tabs>
      <w:ind w:left="720" w:hanging="720"/>
    </w:pPr>
    <w:rPr>
      <w:b/>
      <w:bCs/>
    </w:rPr>
  </w:style>
  <w:style w:type="paragraph" w:customStyle="1" w:styleId="AppendixText3continued">
    <w:name w:val="Appendix Text 3 continued"/>
    <w:basedOn w:val="AppendixText3"/>
    <w:uiPriority w:val="1"/>
    <w:semiHidden/>
    <w:rsid w:val="00D902B7"/>
    <w:pPr>
      <w:numPr>
        <w:ilvl w:val="0"/>
        <w:numId w:val="0"/>
      </w:numPr>
      <w:ind w:left="1803"/>
    </w:pPr>
  </w:style>
  <w:style w:type="paragraph" w:customStyle="1" w:styleId="ScheduleText5">
    <w:name w:val="Schedule Text 5"/>
    <w:basedOn w:val="Normal"/>
    <w:next w:val="StdBodyText5"/>
    <w:qFormat/>
    <w:rsid w:val="003250BB"/>
    <w:pPr>
      <w:tabs>
        <w:tab w:val="left" w:pos="2523"/>
      </w:tabs>
      <w:spacing w:before="100" w:after="200"/>
    </w:pPr>
    <w:rPr>
      <w:rFonts w:eastAsia="Times New Roman" w:cs="Arial"/>
      <w:szCs w:val="24"/>
      <w:lang w:eastAsia="en-GB"/>
    </w:rPr>
  </w:style>
  <w:style w:type="paragraph" w:customStyle="1" w:styleId="ScheduleText6">
    <w:name w:val="Schedule Text 6"/>
    <w:basedOn w:val="ScheduleText5"/>
    <w:rsid w:val="003250BB"/>
    <w:pPr>
      <w:tabs>
        <w:tab w:val="num" w:pos="3243"/>
      </w:tabs>
      <w:ind w:left="3243"/>
    </w:pPr>
  </w:style>
  <w:style w:type="paragraph" w:customStyle="1" w:styleId="ScheduleText7">
    <w:name w:val="Schedule Text 7"/>
    <w:basedOn w:val="ScheduleText6"/>
    <w:rsid w:val="003250BB"/>
    <w:pPr>
      <w:tabs>
        <w:tab w:val="clear" w:pos="3243"/>
        <w:tab w:val="num" w:pos="3963"/>
      </w:tabs>
      <w:ind w:left="3963"/>
    </w:pPr>
  </w:style>
  <w:style w:type="paragraph" w:customStyle="1" w:styleId="Guidancenumbered">
    <w:name w:val="Guidance numbered"/>
    <w:uiPriority w:val="4"/>
    <w:rsid w:val="008C01F0"/>
    <w:pPr>
      <w:tabs>
        <w:tab w:val="num" w:pos="720"/>
      </w:tabs>
      <w:spacing w:before="100" w:after="200"/>
      <w:ind w:left="720" w:hanging="720"/>
    </w:pPr>
    <w:rPr>
      <w:rFonts w:ascii="Arial" w:eastAsia="Times New Roman" w:hAnsi="Arial" w:cs="Arial"/>
      <w:b/>
      <w:i/>
      <w:lang w:eastAsia="en-GB"/>
    </w:rPr>
  </w:style>
  <w:style w:type="paragraph" w:customStyle="1" w:styleId="Tabletext0">
    <w:name w:val="Table text"/>
    <w:uiPriority w:val="1"/>
    <w:qFormat/>
    <w:rsid w:val="00A45727"/>
    <w:pPr>
      <w:widowControl w:val="0"/>
      <w:autoSpaceDE w:val="0"/>
      <w:autoSpaceDN w:val="0"/>
    </w:pPr>
    <w:rPr>
      <w:rFonts w:ascii="Arial" w:eastAsia="Times New Roman" w:hAnsi="Arial" w:cs="Times New Roman"/>
      <w:lang w:eastAsia="en-GB"/>
    </w:rPr>
  </w:style>
  <w:style w:type="paragraph" w:customStyle="1" w:styleId="Numbered1">
    <w:name w:val="Numbered 1"/>
    <w:qFormat/>
    <w:rsid w:val="008C33D5"/>
    <w:pPr>
      <w:keepNext/>
      <w:keepLines/>
      <w:numPr>
        <w:numId w:val="34"/>
      </w:numPr>
      <w:autoSpaceDE w:val="0"/>
      <w:autoSpaceDN w:val="0"/>
      <w:spacing w:before="100" w:after="200"/>
      <w:outlineLvl w:val="1"/>
    </w:pPr>
    <w:rPr>
      <w:rFonts w:ascii="Arial" w:eastAsia="Arial" w:hAnsi="Arial" w:cs="Arial"/>
      <w:b/>
      <w:bCs/>
      <w:color w:val="1F497D" w:themeColor="text2"/>
      <w:szCs w:val="22"/>
      <w:lang w:bidi="en-US"/>
    </w:rPr>
  </w:style>
  <w:style w:type="paragraph" w:customStyle="1" w:styleId="Numbered11">
    <w:name w:val="Numbered 1.1"/>
    <w:qFormat/>
    <w:rsid w:val="008C33D5"/>
    <w:pPr>
      <w:widowControl w:val="0"/>
      <w:numPr>
        <w:ilvl w:val="1"/>
        <w:numId w:val="34"/>
      </w:numPr>
      <w:autoSpaceDE w:val="0"/>
      <w:autoSpaceDN w:val="0"/>
      <w:spacing w:before="100" w:after="200"/>
      <w:outlineLvl w:val="2"/>
    </w:pPr>
    <w:rPr>
      <w:rFonts w:eastAsia="Arial" w:cstheme="minorHAnsi"/>
      <w:lang w:bidi="en-US"/>
    </w:rPr>
  </w:style>
  <w:style w:type="paragraph" w:customStyle="1" w:styleId="Numbered111">
    <w:name w:val="Numbered 1.1.1"/>
    <w:next w:val="Numbered111a"/>
    <w:qFormat/>
    <w:rsid w:val="008C33D5"/>
    <w:pPr>
      <w:widowControl w:val="0"/>
      <w:numPr>
        <w:ilvl w:val="2"/>
        <w:numId w:val="34"/>
      </w:numPr>
      <w:autoSpaceDE w:val="0"/>
      <w:autoSpaceDN w:val="0"/>
      <w:spacing w:before="100" w:after="200"/>
    </w:pPr>
    <w:rPr>
      <w:rFonts w:ascii="Arial" w:eastAsia="Arial" w:hAnsi="Arial" w:cs="Arial"/>
      <w:szCs w:val="22"/>
      <w:lang w:bidi="en-US"/>
    </w:rPr>
  </w:style>
  <w:style w:type="paragraph" w:customStyle="1" w:styleId="Numbered111a">
    <w:name w:val="Numbered 1.1.1(a)"/>
    <w:qFormat/>
    <w:rsid w:val="005D55A3"/>
    <w:pPr>
      <w:widowControl w:val="0"/>
      <w:numPr>
        <w:ilvl w:val="3"/>
        <w:numId w:val="34"/>
      </w:numPr>
      <w:autoSpaceDE w:val="0"/>
      <w:autoSpaceDN w:val="0"/>
      <w:spacing w:before="100" w:after="200"/>
    </w:pPr>
    <w:rPr>
      <w:rFonts w:ascii="Arial" w:eastAsia="Arial" w:hAnsi="Arial" w:cs="Arial"/>
      <w:lang w:bidi="en-US"/>
    </w:rPr>
  </w:style>
  <w:style w:type="paragraph" w:customStyle="1" w:styleId="Numbered111ai">
    <w:name w:val="Numbered 1.1.1(a)(i)"/>
    <w:basedOn w:val="ListParagraph"/>
    <w:qFormat/>
    <w:rsid w:val="00F36483"/>
    <w:pPr>
      <w:widowControl w:val="0"/>
      <w:numPr>
        <w:ilvl w:val="4"/>
        <w:numId w:val="34"/>
      </w:numPr>
      <w:autoSpaceDE w:val="0"/>
      <w:autoSpaceDN w:val="0"/>
      <w:spacing w:before="100" w:after="200"/>
      <w:contextualSpacing w:val="0"/>
    </w:pPr>
    <w:rPr>
      <w:rFonts w:asciiTheme="minorHAnsi" w:eastAsia="Arial" w:hAnsiTheme="minorHAnsi" w:cstheme="minorHAnsi"/>
      <w:szCs w:val="24"/>
      <w:lang w:bidi="en-US"/>
    </w:rPr>
  </w:style>
  <w:style w:type="paragraph" w:customStyle="1" w:styleId="Numbered111aiA">
    <w:name w:val="Numbered 1.1.1(a)(i)(A)"/>
    <w:qFormat/>
    <w:rsid w:val="00F36483"/>
    <w:pPr>
      <w:widowControl w:val="0"/>
      <w:tabs>
        <w:tab w:val="num" w:pos="3963"/>
      </w:tabs>
      <w:autoSpaceDE w:val="0"/>
      <w:autoSpaceDN w:val="0"/>
      <w:spacing w:before="100" w:after="200"/>
      <w:ind w:left="3963" w:hanging="720"/>
    </w:pPr>
    <w:rPr>
      <w:rFonts w:eastAsia="Arial" w:cstheme="minorHAnsi"/>
      <w:lang w:bidi="en-US"/>
    </w:rPr>
  </w:style>
  <w:style w:type="paragraph" w:customStyle="1" w:styleId="Tablea">
    <w:name w:val="Table (a)"/>
    <w:uiPriority w:val="1"/>
    <w:qFormat/>
    <w:rsid w:val="005F4E68"/>
    <w:pPr>
      <w:widowControl w:val="0"/>
      <w:tabs>
        <w:tab w:val="num" w:pos="720"/>
        <w:tab w:val="left" w:pos="880"/>
      </w:tabs>
      <w:autoSpaceDE w:val="0"/>
      <w:autoSpaceDN w:val="0"/>
      <w:ind w:left="720" w:hanging="720"/>
    </w:pPr>
    <w:rPr>
      <w:rFonts w:ascii="Arial" w:eastAsia="Arial" w:hAnsi="Arial" w:cstheme="minorHAnsi"/>
      <w:lang w:bidi="en-US"/>
    </w:rPr>
  </w:style>
  <w:style w:type="paragraph" w:customStyle="1" w:styleId="Tableai">
    <w:name w:val="Table (a)(i)"/>
    <w:basedOn w:val="Normal"/>
    <w:uiPriority w:val="1"/>
    <w:qFormat/>
    <w:rsid w:val="005F4E68"/>
    <w:pPr>
      <w:widowControl w:val="0"/>
      <w:tabs>
        <w:tab w:val="num" w:pos="1440"/>
        <w:tab w:val="left" w:pos="1637"/>
      </w:tabs>
      <w:autoSpaceDE w:val="0"/>
      <w:autoSpaceDN w:val="0"/>
      <w:ind w:left="1440" w:hanging="720"/>
    </w:pPr>
    <w:rPr>
      <w:rFonts w:asciiTheme="minorHAnsi" w:eastAsia="Arial" w:hAnsiTheme="minorHAnsi" w:cstheme="minorHAnsi"/>
      <w:szCs w:val="24"/>
      <w:lang w:bidi="en-US"/>
    </w:rPr>
  </w:style>
  <w:style w:type="paragraph" w:customStyle="1" w:styleId="Tableai1">
    <w:name w:val="Table (a)(i)(1)"/>
    <w:uiPriority w:val="1"/>
    <w:qFormat/>
    <w:rsid w:val="005F4E68"/>
    <w:pPr>
      <w:widowControl w:val="0"/>
      <w:tabs>
        <w:tab w:val="left" w:pos="2160"/>
      </w:tabs>
      <w:autoSpaceDE w:val="0"/>
      <w:autoSpaceDN w:val="0"/>
      <w:ind w:left="2160" w:hanging="720"/>
    </w:pPr>
    <w:rPr>
      <w:rFonts w:eastAsia="Arial" w:cstheme="minorHAnsi"/>
      <w:lang w:bidi="en-US"/>
    </w:rPr>
  </w:style>
  <w:style w:type="paragraph" w:customStyle="1" w:styleId="Centered">
    <w:name w:val="Centered"/>
    <w:basedOn w:val="Normal"/>
    <w:next w:val="StdBodyText"/>
    <w:rsid w:val="00495BEA"/>
    <w:pPr>
      <w:spacing w:before="100" w:after="200"/>
      <w:jc w:val="center"/>
    </w:pPr>
    <w:rPr>
      <w:rFonts w:eastAsia="Times New Roman" w:cs="Times New Roman"/>
      <w:szCs w:val="24"/>
      <w:lang w:eastAsia="en-GB"/>
    </w:rPr>
  </w:style>
  <w:style w:type="paragraph" w:styleId="BalloonText">
    <w:name w:val="Balloon Text"/>
    <w:basedOn w:val="Normal"/>
    <w:link w:val="BalloonTextChar"/>
    <w:uiPriority w:val="99"/>
    <w:rsid w:val="009F79A8"/>
    <w:rPr>
      <w:rFonts w:ascii="Segoe UI" w:hAnsi="Segoe UI" w:cs="Segoe UI"/>
      <w:sz w:val="18"/>
      <w:szCs w:val="18"/>
    </w:rPr>
  </w:style>
  <w:style w:type="character" w:customStyle="1" w:styleId="BalloonTextChar">
    <w:name w:val="Balloon Text Char"/>
    <w:basedOn w:val="DefaultParagraphFont"/>
    <w:link w:val="BalloonText"/>
    <w:uiPriority w:val="99"/>
    <w:rsid w:val="009F79A8"/>
    <w:rPr>
      <w:rFonts w:ascii="Segoe UI" w:hAnsi="Segoe UI" w:cs="Segoe UI"/>
      <w:sz w:val="18"/>
      <w:szCs w:val="18"/>
    </w:rPr>
  </w:style>
  <w:style w:type="numbering" w:customStyle="1" w:styleId="NoList1">
    <w:name w:val="No List1"/>
    <w:next w:val="NoList"/>
    <w:uiPriority w:val="99"/>
    <w:semiHidden/>
    <w:unhideWhenUsed/>
    <w:rsid w:val="00102034"/>
  </w:style>
  <w:style w:type="numbering" w:customStyle="1" w:styleId="Level10">
    <w:name w:val="Level1"/>
    <w:uiPriority w:val="99"/>
    <w:rsid w:val="00102034"/>
  </w:style>
  <w:style w:type="numbering" w:customStyle="1" w:styleId="Scheduletext10">
    <w:name w:val="Schedule text1"/>
    <w:uiPriority w:val="99"/>
    <w:rsid w:val="00102034"/>
  </w:style>
  <w:style w:type="numbering" w:customStyle="1" w:styleId="Appendix1">
    <w:name w:val="Appendix1"/>
    <w:uiPriority w:val="99"/>
    <w:rsid w:val="00102034"/>
  </w:style>
  <w:style w:type="numbering" w:customStyle="1" w:styleId="Scheduleheading1">
    <w:name w:val="Schedule heading1"/>
    <w:uiPriority w:val="99"/>
    <w:rsid w:val="00102034"/>
  </w:style>
  <w:style w:type="numbering" w:customStyle="1" w:styleId="Bullets1">
    <w:name w:val="Bullets1"/>
    <w:uiPriority w:val="99"/>
    <w:rsid w:val="00102034"/>
  </w:style>
  <w:style w:type="numbering" w:customStyle="1" w:styleId="Definitions1">
    <w:name w:val="Definitions1"/>
    <w:uiPriority w:val="99"/>
    <w:rsid w:val="00102034"/>
  </w:style>
  <w:style w:type="paragraph" w:customStyle="1" w:styleId="Address">
    <w:name w:val="Address"/>
    <w:basedOn w:val="Normal"/>
    <w:rsid w:val="00102034"/>
    <w:rPr>
      <w:rFonts w:eastAsia="Times New Roman" w:cs="Times New Roman"/>
      <w:szCs w:val="24"/>
      <w:lang w:eastAsia="en-GB"/>
    </w:rPr>
  </w:style>
  <w:style w:type="paragraph" w:customStyle="1" w:styleId="AnnexHeading">
    <w:name w:val="Annex Heading"/>
    <w:basedOn w:val="Normal"/>
    <w:next w:val="Normal"/>
    <w:rsid w:val="00102034"/>
    <w:pPr>
      <w:numPr>
        <w:numId w:val="4"/>
      </w:numPr>
      <w:spacing w:before="100" w:after="300"/>
      <w:jc w:val="center"/>
    </w:pPr>
    <w:rPr>
      <w:rFonts w:ascii="Arial Bold" w:eastAsia="Times New Roman" w:hAnsi="Arial Bold" w:cs="Times New Roman"/>
      <w:b/>
      <w:caps/>
      <w:szCs w:val="24"/>
      <w:lang w:eastAsia="en-GB"/>
    </w:rPr>
  </w:style>
  <w:style w:type="paragraph" w:customStyle="1" w:styleId="BulletsBody">
    <w:name w:val="Bullets Body"/>
    <w:basedOn w:val="StdBodyText"/>
    <w:rsid w:val="00102034"/>
    <w:pPr>
      <w:numPr>
        <w:numId w:val="3"/>
      </w:numPr>
    </w:pPr>
  </w:style>
  <w:style w:type="paragraph" w:customStyle="1" w:styleId="BulletsLevel1">
    <w:name w:val="Bullets Level 1"/>
    <w:basedOn w:val="StdBodyText1"/>
    <w:rsid w:val="00102034"/>
    <w:pPr>
      <w:numPr>
        <w:ilvl w:val="1"/>
        <w:numId w:val="3"/>
      </w:numPr>
      <w:tabs>
        <w:tab w:val="left" w:pos="1797"/>
      </w:tabs>
    </w:pPr>
  </w:style>
  <w:style w:type="paragraph" w:customStyle="1" w:styleId="Centre">
    <w:name w:val="Centre"/>
    <w:basedOn w:val="Normal"/>
    <w:next w:val="Normal"/>
    <w:rsid w:val="00102034"/>
    <w:pPr>
      <w:spacing w:before="100" w:after="600"/>
      <w:jc w:val="center"/>
    </w:pPr>
    <w:rPr>
      <w:rFonts w:eastAsia="Times New Roman" w:cs="Times New Roman"/>
      <w:szCs w:val="24"/>
      <w:lang w:eastAsia="en-GB"/>
    </w:rPr>
  </w:style>
  <w:style w:type="paragraph" w:customStyle="1" w:styleId="LetterTitle">
    <w:name w:val="Letter Title"/>
    <w:basedOn w:val="Normal"/>
    <w:next w:val="StdBodyText"/>
    <w:rsid w:val="00102034"/>
    <w:pPr>
      <w:spacing w:before="100" w:after="200"/>
    </w:pPr>
    <w:rPr>
      <w:rFonts w:eastAsia="Times New Roman" w:cs="Times New Roman"/>
      <w:b/>
      <w:szCs w:val="24"/>
      <w:lang w:eastAsia="en-GB"/>
    </w:rPr>
  </w:style>
  <w:style w:type="paragraph" w:customStyle="1" w:styleId="Recitals">
    <w:name w:val="Recitals"/>
    <w:basedOn w:val="Normal"/>
    <w:rsid w:val="00102034"/>
    <w:pPr>
      <w:numPr>
        <w:numId w:val="10"/>
      </w:numPr>
      <w:spacing w:before="100" w:after="200"/>
    </w:pPr>
    <w:rPr>
      <w:rFonts w:eastAsia="Times New Roman" w:cs="Times New Roman"/>
      <w:szCs w:val="24"/>
      <w:lang w:eastAsia="en-GB"/>
    </w:rPr>
  </w:style>
  <w:style w:type="paragraph" w:customStyle="1" w:styleId="ScheduleHeading2">
    <w:name w:val="Schedule Heading 2"/>
    <w:basedOn w:val="Normal"/>
    <w:next w:val="ScheduleSubHeading"/>
    <w:rsid w:val="00102034"/>
    <w:pPr>
      <w:numPr>
        <w:ilvl w:val="1"/>
        <w:numId w:val="8"/>
      </w:numPr>
      <w:spacing w:before="100" w:after="300"/>
      <w:jc w:val="center"/>
    </w:pPr>
    <w:rPr>
      <w:rFonts w:eastAsia="Times New Roman" w:cs="Times New Roman"/>
      <w:b/>
      <w:szCs w:val="24"/>
      <w:lang w:eastAsia="en-GB"/>
    </w:rPr>
  </w:style>
  <w:style w:type="paragraph" w:customStyle="1" w:styleId="ScheduleSubHeading">
    <w:name w:val="Schedule Sub Heading"/>
    <w:basedOn w:val="Normal"/>
    <w:next w:val="PartHeading"/>
    <w:rsid w:val="00102034"/>
    <w:pPr>
      <w:spacing w:before="100" w:after="300"/>
      <w:jc w:val="center"/>
    </w:pPr>
    <w:rPr>
      <w:rFonts w:eastAsia="Times New Roman" w:cs="Times New Roman"/>
      <w:b/>
      <w:szCs w:val="24"/>
      <w:lang w:eastAsia="en-GB"/>
    </w:rPr>
  </w:style>
  <w:style w:type="table" w:customStyle="1" w:styleId="TableGrid10">
    <w:name w:val="Table Grid1"/>
    <w:basedOn w:val="TableNormal"/>
    <w:next w:val="TableGrid"/>
    <w:uiPriority w:val="39"/>
    <w:rsid w:val="00102034"/>
    <w:rPr>
      <w:rFonts w:ascii="Arial" w:eastAsia="Calibri" w:hAnsi="Arial" w:cs="Calibri"/>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
    <w:name w:val="Dark List - Accent 11"/>
    <w:basedOn w:val="TableNormal"/>
    <w:next w:val="DarkList-Accent1"/>
    <w:uiPriority w:val="70"/>
    <w:rsid w:val="00102034"/>
    <w:rPr>
      <w:rFonts w:ascii="Arial" w:eastAsia="Calibri" w:hAnsi="Arial" w:cs="Calibri"/>
      <w:color w:val="FFFFFF"/>
      <w:sz w:val="20"/>
      <w:szCs w:val="20"/>
      <w:lang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LightList-Accent11">
    <w:name w:val="Light List - Accent 11"/>
    <w:basedOn w:val="TableNormal"/>
    <w:next w:val="LightList-Accent1"/>
    <w:uiPriority w:val="61"/>
    <w:rsid w:val="00102034"/>
    <w:rPr>
      <w:rFonts w:ascii="Arial" w:eastAsia="Calibri" w:hAnsi="Arial" w:cs="Calibri"/>
      <w:sz w:val="20"/>
      <w:szCs w:val="20"/>
      <w:lang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olourfulShading1">
    <w:name w:val="Colourful Shading1"/>
    <w:basedOn w:val="TableNormal"/>
    <w:next w:val="ColorfulShading"/>
    <w:uiPriority w:val="71"/>
    <w:rsid w:val="00102034"/>
    <w:rPr>
      <w:rFonts w:ascii="Arial" w:eastAsia="Calibri" w:hAnsi="Arial" w:cs="Calibri"/>
      <w:color w:val="000000"/>
      <w:sz w:val="20"/>
      <w:szCs w:val="20"/>
      <w:lang w:eastAsia="en-GB"/>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MediumGrid2-Accent31">
    <w:name w:val="Medium Grid 2 - Accent 31"/>
    <w:basedOn w:val="TableNormal"/>
    <w:next w:val="MediumGrid2-Accent3"/>
    <w:uiPriority w:val="68"/>
    <w:rsid w:val="00102034"/>
    <w:rPr>
      <w:rFonts w:ascii="Cambria" w:eastAsia="Times New Roman" w:hAnsi="Cambria" w:cs="Times New Roman"/>
      <w:color w:val="000000"/>
      <w:sz w:val="20"/>
      <w:szCs w:val="20"/>
      <w:lang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61">
    <w:name w:val="Medium Grid 2 - Accent 61"/>
    <w:basedOn w:val="TableNormal"/>
    <w:next w:val="MediumGrid2-Accent6"/>
    <w:uiPriority w:val="68"/>
    <w:rsid w:val="00102034"/>
    <w:rPr>
      <w:rFonts w:ascii="Cambria" w:eastAsia="Times New Roman" w:hAnsi="Cambria" w:cs="Times New Roman"/>
      <w:color w:val="000000"/>
      <w:sz w:val="20"/>
      <w:szCs w:val="20"/>
      <w:lang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LightShading1">
    <w:name w:val="Light Shading1"/>
    <w:basedOn w:val="TableNormal"/>
    <w:next w:val="LightShading"/>
    <w:uiPriority w:val="60"/>
    <w:rsid w:val="00102034"/>
    <w:rPr>
      <w:rFonts w:ascii="Arial" w:eastAsia="Calibri" w:hAnsi="Arial" w:cs="Calibri"/>
      <w:color w:val="000000"/>
      <w:sz w:val="20"/>
      <w:szCs w:val="20"/>
      <w:lang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olourfulGridAccent61">
    <w:name w:val="Colourful Grid – Accent 61"/>
    <w:basedOn w:val="TableNormal"/>
    <w:next w:val="ColorfulGrid-Accent6"/>
    <w:uiPriority w:val="73"/>
    <w:rsid w:val="00102034"/>
    <w:rPr>
      <w:rFonts w:ascii="Arial" w:eastAsia="Calibri" w:hAnsi="Arial" w:cs="Calibri"/>
      <w:color w:val="000000"/>
      <w:sz w:val="20"/>
      <w:szCs w:val="20"/>
      <w:lang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MediumShading1-Accent21">
    <w:name w:val="Medium Shading 1 - Accent 21"/>
    <w:basedOn w:val="TableNormal"/>
    <w:next w:val="MediumShading1-Accent2"/>
    <w:uiPriority w:val="63"/>
    <w:rsid w:val="00102034"/>
    <w:rPr>
      <w:rFonts w:ascii="Arial" w:eastAsia="Calibri" w:hAnsi="Arial" w:cs="Calibri"/>
      <w:sz w:val="20"/>
      <w:szCs w:val="20"/>
      <w:lang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2-Accent61">
    <w:name w:val="Medium Shading 2 - Accent 61"/>
    <w:basedOn w:val="TableNormal"/>
    <w:next w:val="MediumShading2-Accent6"/>
    <w:uiPriority w:val="64"/>
    <w:rsid w:val="00102034"/>
    <w:rPr>
      <w:rFonts w:ascii="Arial" w:eastAsia="Calibri" w:hAnsi="Arial" w:cs="Calibri"/>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Grid-Accent61">
    <w:name w:val="Light Grid - Accent 61"/>
    <w:basedOn w:val="TableNormal"/>
    <w:next w:val="LightGrid-Accent6"/>
    <w:uiPriority w:val="62"/>
    <w:rsid w:val="00102034"/>
    <w:rPr>
      <w:rFonts w:ascii="Arial" w:eastAsia="Calibri" w:hAnsi="Arial" w:cs="Calibri"/>
      <w:sz w:val="20"/>
      <w:szCs w:val="20"/>
      <w:lang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numbering" w:customStyle="1" w:styleId="Appendixheading1">
    <w:name w:val="Appendix heading1"/>
    <w:uiPriority w:val="99"/>
    <w:rsid w:val="00102034"/>
  </w:style>
  <w:style w:type="paragraph" w:customStyle="1" w:styleId="BulletsLevel2">
    <w:name w:val="Bullets Level 2"/>
    <w:basedOn w:val="BulletsLevel1"/>
    <w:rsid w:val="00102034"/>
    <w:pPr>
      <w:numPr>
        <w:ilvl w:val="2"/>
      </w:numPr>
      <w:tabs>
        <w:tab w:val="clear" w:pos="1797"/>
      </w:tabs>
    </w:pPr>
  </w:style>
  <w:style w:type="paragraph" w:customStyle="1" w:styleId="ScheduleHeading0">
    <w:name w:val="Schedule Heading"/>
    <w:basedOn w:val="ScheduleHeading2"/>
    <w:rsid w:val="00102034"/>
    <w:pPr>
      <w:numPr>
        <w:ilvl w:val="0"/>
      </w:numPr>
    </w:pPr>
  </w:style>
  <w:style w:type="paragraph" w:customStyle="1" w:styleId="AnnextoPart">
    <w:name w:val="Annex to Part"/>
    <w:basedOn w:val="PartHeading"/>
    <w:rsid w:val="00102034"/>
    <w:pPr>
      <w:numPr>
        <w:numId w:val="0"/>
      </w:numPr>
      <w:ind w:left="720" w:firstLine="720"/>
    </w:pPr>
    <w:rPr>
      <w:caps w:val="0"/>
    </w:rPr>
  </w:style>
  <w:style w:type="paragraph" w:customStyle="1" w:styleId="PartiesFrontSheet">
    <w:name w:val="Parties Front Sheet"/>
    <w:basedOn w:val="Normal"/>
    <w:rsid w:val="00102034"/>
    <w:pPr>
      <w:tabs>
        <w:tab w:val="num" w:pos="720"/>
      </w:tabs>
      <w:ind w:left="720" w:hanging="720"/>
    </w:pPr>
    <w:rPr>
      <w:rFonts w:eastAsia="Times New Roman" w:cs="Times New Roman"/>
      <w:szCs w:val="24"/>
      <w:lang w:eastAsia="en-GB"/>
    </w:rPr>
  </w:style>
  <w:style w:type="paragraph" w:customStyle="1" w:styleId="ContentsHeading">
    <w:name w:val="Contents Heading"/>
    <w:basedOn w:val="Normal"/>
    <w:next w:val="ContentsSubHeading"/>
    <w:rsid w:val="00102034"/>
    <w:pPr>
      <w:spacing w:before="100" w:after="200"/>
      <w:jc w:val="center"/>
    </w:pPr>
    <w:rPr>
      <w:rFonts w:eastAsia="Times New Roman" w:cs="Times New Roman"/>
      <w:b/>
      <w:szCs w:val="24"/>
      <w:lang w:eastAsia="en-GB"/>
    </w:rPr>
  </w:style>
  <w:style w:type="paragraph" w:customStyle="1" w:styleId="ContentsSubHeading">
    <w:name w:val="Contents Sub Heading"/>
    <w:basedOn w:val="Normal"/>
    <w:next w:val="StdBodyText"/>
    <w:rsid w:val="00102034"/>
    <w:pPr>
      <w:spacing w:before="400" w:after="200"/>
    </w:pPr>
    <w:rPr>
      <w:rFonts w:eastAsia="Times New Roman" w:cs="Times New Roman"/>
      <w:b/>
      <w:szCs w:val="24"/>
      <w:lang w:eastAsia="en-GB"/>
    </w:rPr>
  </w:style>
  <w:style w:type="paragraph" w:customStyle="1" w:styleId="GPSL1CLAUSEHEADING">
    <w:name w:val="GPS L1 CLAUSE HEADING"/>
    <w:basedOn w:val="Normal"/>
    <w:next w:val="Normal"/>
    <w:link w:val="GPSL1CLAUSEHEADINGChar"/>
    <w:qFormat/>
    <w:rsid w:val="00102034"/>
    <w:pPr>
      <w:numPr>
        <w:numId w:val="11"/>
      </w:numPr>
      <w:tabs>
        <w:tab w:val="left" w:pos="0"/>
      </w:tabs>
      <w:adjustRightInd w:val="0"/>
      <w:spacing w:before="240" w:after="240"/>
      <w:jc w:val="both"/>
      <w:outlineLvl w:val="1"/>
    </w:pPr>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rsid w:val="00102034"/>
    <w:pPr>
      <w:numPr>
        <w:ilvl w:val="1"/>
        <w:numId w:val="11"/>
      </w:numPr>
      <w:tabs>
        <w:tab w:val="left" w:pos="1134"/>
      </w:tabs>
      <w:adjustRightInd w:val="0"/>
      <w:spacing w:before="120" w:after="120"/>
      <w:ind w:left="1134" w:hanging="567"/>
      <w:jc w:val="both"/>
    </w:pPr>
    <w:rPr>
      <w:rFonts w:ascii="Calibri" w:eastAsia="Times New Roman" w:hAnsi="Calibri" w:cs="Arial"/>
      <w:sz w:val="22"/>
      <w:szCs w:val="22"/>
      <w:lang w:eastAsia="zh-CN"/>
    </w:rPr>
  </w:style>
  <w:style w:type="paragraph" w:customStyle="1" w:styleId="GPSL3numberedclause">
    <w:name w:val="GPS L3 numbered clause"/>
    <w:basedOn w:val="GPSL2numberedclause"/>
    <w:link w:val="GPSL3numberedclauseChar"/>
    <w:qFormat/>
    <w:rsid w:val="00102034"/>
    <w:pPr>
      <w:numPr>
        <w:ilvl w:val="2"/>
      </w:numPr>
      <w:tabs>
        <w:tab w:val="clear" w:pos="1134"/>
        <w:tab w:val="left" w:pos="1985"/>
        <w:tab w:val="left" w:pos="2127"/>
      </w:tabs>
    </w:pPr>
  </w:style>
  <w:style w:type="paragraph" w:customStyle="1" w:styleId="GPSL4numberedclause">
    <w:name w:val="GPS L4 numbered clause"/>
    <w:basedOn w:val="GPSL3numberedclause"/>
    <w:qFormat/>
    <w:rsid w:val="00102034"/>
    <w:pPr>
      <w:numPr>
        <w:ilvl w:val="3"/>
      </w:numPr>
      <w:tabs>
        <w:tab w:val="clear" w:pos="2127"/>
      </w:tabs>
    </w:pPr>
    <w:rPr>
      <w:szCs w:val="20"/>
    </w:rPr>
  </w:style>
  <w:style w:type="paragraph" w:customStyle="1" w:styleId="GPSL5numberedclause">
    <w:name w:val="GPS L5 numbered clause"/>
    <w:basedOn w:val="GPSL4numberedclause"/>
    <w:qFormat/>
    <w:rsid w:val="00102034"/>
    <w:pPr>
      <w:numPr>
        <w:ilvl w:val="4"/>
      </w:numPr>
      <w:tabs>
        <w:tab w:val="num" w:pos="360"/>
        <w:tab w:val="left" w:pos="3402"/>
      </w:tabs>
      <w:ind w:left="2523"/>
    </w:pPr>
  </w:style>
  <w:style w:type="paragraph" w:customStyle="1" w:styleId="GPSL6numbered">
    <w:name w:val="GPS L6 numbered"/>
    <w:basedOn w:val="GPSL5numberedclause"/>
    <w:qFormat/>
    <w:rsid w:val="00102034"/>
    <w:pPr>
      <w:numPr>
        <w:ilvl w:val="5"/>
      </w:numPr>
      <w:tabs>
        <w:tab w:val="num" w:pos="360"/>
        <w:tab w:val="left" w:pos="4253"/>
      </w:tabs>
      <w:ind w:left="4253" w:hanging="709"/>
    </w:pPr>
  </w:style>
  <w:style w:type="character" w:customStyle="1" w:styleId="GPSL3numberedclauseChar">
    <w:name w:val="GPS L3 numbered clause Char"/>
    <w:link w:val="GPSL3numberedclause"/>
    <w:rsid w:val="00102034"/>
    <w:rPr>
      <w:rFonts w:ascii="Calibri" w:eastAsia="Times New Roman" w:hAnsi="Calibri" w:cs="Arial"/>
      <w:sz w:val="22"/>
      <w:szCs w:val="22"/>
      <w:lang w:eastAsia="zh-CN"/>
    </w:rPr>
  </w:style>
  <w:style w:type="character" w:customStyle="1" w:styleId="GPSL2numberedclauseChar1">
    <w:name w:val="GPS L2 numbered clause Char1"/>
    <w:link w:val="GPSL2numberedclause"/>
    <w:rsid w:val="00102034"/>
    <w:rPr>
      <w:rFonts w:ascii="Calibri" w:eastAsia="Times New Roman" w:hAnsi="Calibri" w:cs="Arial"/>
      <w:sz w:val="22"/>
      <w:szCs w:val="22"/>
      <w:lang w:eastAsia="zh-CN"/>
    </w:rPr>
  </w:style>
  <w:style w:type="paragraph" w:customStyle="1" w:styleId="Level6">
    <w:name w:val="Level 6"/>
    <w:basedOn w:val="Level5"/>
    <w:rsid w:val="00102034"/>
    <w:pPr>
      <w:numPr>
        <w:ilvl w:val="0"/>
        <w:numId w:val="0"/>
      </w:numPr>
      <w:tabs>
        <w:tab w:val="clear" w:pos="2523"/>
      </w:tabs>
      <w:ind w:left="5040" w:hanging="720"/>
    </w:pPr>
  </w:style>
  <w:style w:type="paragraph" w:customStyle="1" w:styleId="GPSL4numbered">
    <w:name w:val="GPS L4 numbered"/>
    <w:basedOn w:val="Normal"/>
    <w:rsid w:val="00102034"/>
    <w:pPr>
      <w:pBdr>
        <w:top w:val="nil"/>
        <w:left w:val="nil"/>
        <w:bottom w:val="nil"/>
        <w:right w:val="nil"/>
        <w:between w:val="nil"/>
      </w:pBdr>
      <w:spacing w:after="200" w:line="276" w:lineRule="auto"/>
    </w:pPr>
    <w:rPr>
      <w:rFonts w:ascii="Times New Roman" w:eastAsia="Calibri" w:hAnsi="Times New Roman" w:cs="Calibri"/>
      <w:color w:val="000000"/>
      <w:szCs w:val="22"/>
      <w:lang w:eastAsia="en-GB"/>
    </w:rPr>
  </w:style>
  <w:style w:type="paragraph" w:customStyle="1" w:styleId="GPSL1Numbered">
    <w:name w:val="GPS L1 Numbered"/>
    <w:basedOn w:val="Normal"/>
    <w:rsid w:val="00102034"/>
    <w:pPr>
      <w:keepNext/>
      <w:pBdr>
        <w:top w:val="nil"/>
        <w:left w:val="nil"/>
        <w:bottom w:val="nil"/>
        <w:right w:val="nil"/>
        <w:between w:val="nil"/>
      </w:pBdr>
      <w:spacing w:before="120" w:after="240"/>
    </w:pPr>
    <w:rPr>
      <w:rFonts w:ascii="Times New Roman" w:eastAsia="Calibri" w:hAnsi="Times New Roman" w:cs="Calibri"/>
      <w:b/>
      <w:color w:val="000000"/>
      <w:szCs w:val="22"/>
      <w:lang w:eastAsia="en-GB"/>
    </w:rPr>
  </w:style>
  <w:style w:type="paragraph" w:customStyle="1" w:styleId="GPSL2NumberedBoldHeading">
    <w:name w:val="GPS L2 Numbered Bold Heading"/>
    <w:basedOn w:val="Normal"/>
    <w:qFormat/>
    <w:rsid w:val="00102034"/>
    <w:pPr>
      <w:tabs>
        <w:tab w:val="left" w:pos="1134"/>
      </w:tabs>
      <w:adjustRightInd w:val="0"/>
      <w:spacing w:before="120" w:after="120"/>
      <w:ind w:left="644" w:hanging="218"/>
      <w:jc w:val="both"/>
    </w:pPr>
    <w:rPr>
      <w:rFonts w:ascii="Calibri" w:eastAsia="Times New Roman" w:hAnsi="Calibri" w:cs="Arial"/>
      <w:b/>
      <w:sz w:val="22"/>
      <w:szCs w:val="22"/>
      <w:lang w:eastAsia="zh-CN"/>
    </w:rPr>
  </w:style>
  <w:style w:type="paragraph" w:customStyle="1" w:styleId="GPSL2Numbered">
    <w:name w:val="GPS L2 Numbered"/>
    <w:basedOn w:val="GPSL2NumberedBoldHeading"/>
    <w:link w:val="GPSL2NumberedChar"/>
    <w:qFormat/>
    <w:rsid w:val="00102034"/>
    <w:pPr>
      <w:tabs>
        <w:tab w:val="clear" w:pos="1134"/>
      </w:tabs>
      <w:ind w:left="936" w:hanging="576"/>
    </w:pPr>
    <w:rPr>
      <w:b w:val="0"/>
    </w:rPr>
  </w:style>
  <w:style w:type="character" w:customStyle="1" w:styleId="GPSL2NumberedChar">
    <w:name w:val="GPS L2 Numbered Char"/>
    <w:link w:val="GPSL2Numbered"/>
    <w:locked/>
    <w:rsid w:val="00102034"/>
    <w:rPr>
      <w:rFonts w:ascii="Calibri" w:eastAsia="Times New Roman" w:hAnsi="Calibri" w:cs="Arial"/>
      <w:sz w:val="22"/>
      <w:szCs w:val="22"/>
      <w:lang w:eastAsia="zh-CN"/>
    </w:rPr>
  </w:style>
  <w:style w:type="character" w:customStyle="1" w:styleId="GPSL1CLAUSEHEADINGChar">
    <w:name w:val="GPS L1 CLAUSE HEADING Char"/>
    <w:link w:val="GPSL1CLAUSEHEADING"/>
    <w:rsid w:val="00102034"/>
    <w:rPr>
      <w:rFonts w:ascii="Arial Bold" w:eastAsia="STZhongsong" w:hAnsi="Arial Bold" w:cs="Arial"/>
      <w:b/>
      <w:caps/>
      <w:sz w:val="22"/>
      <w:szCs w:val="22"/>
      <w:lang w:eastAsia="zh-CN"/>
    </w:rPr>
  </w:style>
  <w:style w:type="paragraph" w:styleId="BodyTextIndent">
    <w:name w:val="Body Text Indent"/>
    <w:basedOn w:val="HouseStyleBase"/>
    <w:link w:val="BodyTextIndentChar"/>
    <w:rsid w:val="00102034"/>
    <w:pPr>
      <w:numPr>
        <w:numId w:val="14"/>
      </w:numPr>
      <w:tabs>
        <w:tab w:val="num" w:pos="360"/>
      </w:tabs>
      <w:ind w:hanging="720"/>
    </w:pPr>
  </w:style>
  <w:style w:type="character" w:customStyle="1" w:styleId="BodyTextIndentChar">
    <w:name w:val="Body Text Indent Char"/>
    <w:basedOn w:val="DefaultParagraphFont"/>
    <w:link w:val="BodyTextIndent"/>
    <w:rsid w:val="00102034"/>
    <w:rPr>
      <w:rFonts w:ascii="Times New Roman" w:eastAsia="STZhongsong" w:hAnsi="Times New Roman" w:cs="Times New Roman"/>
      <w:sz w:val="22"/>
      <w:szCs w:val="20"/>
      <w:lang w:eastAsia="zh-CN"/>
    </w:rPr>
  </w:style>
  <w:style w:type="paragraph" w:styleId="BodyTextIndent2">
    <w:name w:val="Body Text Indent 2"/>
    <w:basedOn w:val="HouseStyleBase"/>
    <w:link w:val="BodyTextIndent2Char"/>
    <w:rsid w:val="00102034"/>
    <w:pPr>
      <w:numPr>
        <w:ilvl w:val="1"/>
        <w:numId w:val="14"/>
      </w:numPr>
      <w:tabs>
        <w:tab w:val="num" w:pos="360"/>
      </w:tabs>
      <w:ind w:left="1440" w:hanging="720"/>
    </w:pPr>
  </w:style>
  <w:style w:type="character" w:customStyle="1" w:styleId="BodyTextIndent2Char">
    <w:name w:val="Body Text Indent 2 Char"/>
    <w:basedOn w:val="DefaultParagraphFont"/>
    <w:link w:val="BodyTextIndent2"/>
    <w:rsid w:val="00102034"/>
    <w:rPr>
      <w:rFonts w:ascii="Times New Roman" w:eastAsia="STZhongsong" w:hAnsi="Times New Roman" w:cs="Times New Roman"/>
      <w:sz w:val="22"/>
      <w:szCs w:val="20"/>
      <w:lang w:eastAsia="zh-CN"/>
    </w:rPr>
  </w:style>
  <w:style w:type="paragraph" w:styleId="BodyTextIndent3">
    <w:name w:val="Body Text Indent 3"/>
    <w:basedOn w:val="HouseStyleBase"/>
    <w:link w:val="BodyTextIndent3Char"/>
    <w:rsid w:val="00102034"/>
    <w:pPr>
      <w:ind w:left="1800"/>
    </w:pPr>
  </w:style>
  <w:style w:type="character" w:customStyle="1" w:styleId="BodyTextIndent3Char">
    <w:name w:val="Body Text Indent 3 Char"/>
    <w:basedOn w:val="DefaultParagraphFont"/>
    <w:link w:val="BodyTextIndent3"/>
    <w:rsid w:val="00102034"/>
    <w:rPr>
      <w:rFonts w:ascii="Times New Roman" w:eastAsia="STZhongsong" w:hAnsi="Times New Roman" w:cs="Times New Roman"/>
      <w:sz w:val="22"/>
      <w:szCs w:val="20"/>
      <w:lang w:eastAsia="zh-CN"/>
    </w:rPr>
  </w:style>
  <w:style w:type="paragraph" w:customStyle="1" w:styleId="BodyTextIndent4">
    <w:name w:val="Body Text Indent 4"/>
    <w:basedOn w:val="HouseStyleBase"/>
    <w:rsid w:val="00102034"/>
    <w:pPr>
      <w:ind w:left="2880"/>
    </w:pPr>
  </w:style>
  <w:style w:type="paragraph" w:customStyle="1" w:styleId="BodyTextIndent5">
    <w:name w:val="Body Text Indent 5"/>
    <w:basedOn w:val="HouseStyleBase"/>
    <w:rsid w:val="00102034"/>
    <w:pPr>
      <w:ind w:left="3600"/>
    </w:pPr>
  </w:style>
  <w:style w:type="paragraph" w:customStyle="1" w:styleId="MarginText">
    <w:name w:val="Margin Text"/>
    <w:basedOn w:val="HouseStyleBase"/>
    <w:rsid w:val="00B740A3"/>
    <w:rPr>
      <w:rFonts w:asciiTheme="minorHAnsi" w:hAnsiTheme="minorHAnsi"/>
      <w:sz w:val="24"/>
    </w:rPr>
  </w:style>
  <w:style w:type="paragraph" w:styleId="BodyText">
    <w:name w:val="Body Text"/>
    <w:basedOn w:val="Normal"/>
    <w:link w:val="BodyTextChar"/>
    <w:qFormat/>
    <w:rsid w:val="00102034"/>
    <w:pPr>
      <w:overflowPunct w:val="0"/>
      <w:autoSpaceDE w:val="0"/>
      <w:autoSpaceDN w:val="0"/>
      <w:adjustRightInd w:val="0"/>
      <w:spacing w:after="120" w:line="360" w:lineRule="auto"/>
      <w:jc w:val="both"/>
      <w:textAlignment w:val="baseline"/>
    </w:pPr>
    <w:rPr>
      <w:rFonts w:ascii="Times New Roman" w:eastAsia="Times New Roman" w:hAnsi="Times New Roman" w:cs="Times New Roman"/>
      <w:sz w:val="22"/>
      <w:lang w:eastAsia="en-GB"/>
    </w:rPr>
  </w:style>
  <w:style w:type="character" w:customStyle="1" w:styleId="BodyTextChar">
    <w:name w:val="Body Text Char"/>
    <w:basedOn w:val="DefaultParagraphFont"/>
    <w:link w:val="BodyText"/>
    <w:rsid w:val="00102034"/>
    <w:rPr>
      <w:rFonts w:ascii="Times New Roman" w:eastAsia="Times New Roman" w:hAnsi="Times New Roman" w:cs="Times New Roman"/>
      <w:sz w:val="22"/>
      <w:szCs w:val="20"/>
      <w:lang w:eastAsia="en-GB"/>
    </w:rPr>
  </w:style>
  <w:style w:type="character" w:styleId="PageNumber">
    <w:name w:val="page number"/>
    <w:rsid w:val="00102034"/>
    <w:rPr>
      <w:sz w:val="22"/>
    </w:rPr>
  </w:style>
  <w:style w:type="paragraph" w:customStyle="1" w:styleId="BodyTextIndent6">
    <w:name w:val="Body Text Indent 6"/>
    <w:basedOn w:val="HouseStyleBase"/>
    <w:rsid w:val="00102034"/>
    <w:pPr>
      <w:ind w:left="4320"/>
    </w:pPr>
  </w:style>
  <w:style w:type="paragraph" w:customStyle="1" w:styleId="BodyTextIndent7">
    <w:name w:val="Body Text Indent 7"/>
    <w:basedOn w:val="HouseStyleBase"/>
    <w:rsid w:val="00102034"/>
    <w:pPr>
      <w:ind w:left="5040"/>
    </w:pPr>
  </w:style>
  <w:style w:type="paragraph" w:customStyle="1" w:styleId="SchHead">
    <w:name w:val="SchHead"/>
    <w:basedOn w:val="HouseStyleBaseCentred"/>
    <w:next w:val="SchPart"/>
    <w:rsid w:val="00102034"/>
    <w:pPr>
      <w:keepNext/>
      <w:numPr>
        <w:numId w:val="15"/>
      </w:numPr>
      <w:jc w:val="center"/>
      <w:outlineLvl w:val="0"/>
    </w:pPr>
    <w:rPr>
      <w:b/>
      <w:caps/>
    </w:rPr>
  </w:style>
  <w:style w:type="paragraph" w:customStyle="1" w:styleId="ScheduleL1">
    <w:name w:val="Schedule L1"/>
    <w:basedOn w:val="HouseStyleBase"/>
    <w:rsid w:val="00FF73CF"/>
    <w:pPr>
      <w:numPr>
        <w:numId w:val="16"/>
      </w:numPr>
      <w:outlineLvl w:val="0"/>
    </w:pPr>
    <w:rPr>
      <w:rFonts w:ascii="Arial" w:hAnsi="Arial"/>
      <w:sz w:val="24"/>
    </w:rPr>
  </w:style>
  <w:style w:type="paragraph" w:styleId="ListBullet">
    <w:name w:val="List Bullet"/>
    <w:basedOn w:val="Normal"/>
    <w:rsid w:val="00102034"/>
    <w:pPr>
      <w:numPr>
        <w:ilvl w:val="10"/>
      </w:numPr>
      <w:overflowPunct w:val="0"/>
      <w:autoSpaceDE w:val="0"/>
      <w:autoSpaceDN w:val="0"/>
      <w:adjustRightInd w:val="0"/>
      <w:spacing w:after="240" w:line="360" w:lineRule="auto"/>
      <w:ind w:left="720" w:hanging="720"/>
      <w:jc w:val="both"/>
      <w:textAlignment w:val="baseline"/>
    </w:pPr>
    <w:rPr>
      <w:rFonts w:ascii="Times New Roman" w:eastAsia="Times New Roman" w:hAnsi="Times New Roman" w:cs="Times New Roman"/>
      <w:sz w:val="22"/>
      <w:lang w:eastAsia="en-GB"/>
    </w:rPr>
  </w:style>
  <w:style w:type="paragraph" w:styleId="ListBullet2">
    <w:name w:val="List Bullet 2"/>
    <w:basedOn w:val="HouseStyleBase"/>
    <w:rsid w:val="00102034"/>
    <w:pPr>
      <w:numPr>
        <w:ilvl w:val="1"/>
        <w:numId w:val="17"/>
      </w:numPr>
      <w:tabs>
        <w:tab w:val="num" w:pos="360"/>
      </w:tabs>
      <w:ind w:left="1440" w:firstLine="0"/>
    </w:pPr>
  </w:style>
  <w:style w:type="paragraph" w:customStyle="1" w:styleId="HouseStyleBase">
    <w:name w:val="House Style Base"/>
    <w:link w:val="HouseStyleBaseChar"/>
    <w:rsid w:val="00102034"/>
    <w:pPr>
      <w:adjustRightInd w:val="0"/>
      <w:spacing w:after="240"/>
      <w:jc w:val="both"/>
    </w:pPr>
    <w:rPr>
      <w:rFonts w:ascii="Times New Roman" w:eastAsia="STZhongsong" w:hAnsi="Times New Roman" w:cs="Times New Roman"/>
      <w:sz w:val="22"/>
      <w:szCs w:val="20"/>
      <w:lang w:eastAsia="zh-CN"/>
    </w:rPr>
  </w:style>
  <w:style w:type="numbering" w:customStyle="1" w:styleId="1111111">
    <w:name w:val="1 / 1.1 / 1.1.11"/>
    <w:basedOn w:val="NoList"/>
    <w:next w:val="111111"/>
    <w:rsid w:val="00102034"/>
  </w:style>
  <w:style w:type="paragraph" w:customStyle="1" w:styleId="HouseStyleBaseCentred">
    <w:name w:val="House Style Base Centred"/>
    <w:rsid w:val="00102034"/>
    <w:pPr>
      <w:adjustRightInd w:val="0"/>
      <w:spacing w:after="240"/>
    </w:pPr>
    <w:rPr>
      <w:rFonts w:ascii="Times New Roman" w:eastAsia="STZhongsong" w:hAnsi="Times New Roman" w:cs="Times New Roman"/>
      <w:sz w:val="22"/>
      <w:szCs w:val="20"/>
      <w:lang w:eastAsia="zh-CN"/>
    </w:rPr>
  </w:style>
  <w:style w:type="paragraph" w:customStyle="1" w:styleId="Heading">
    <w:name w:val="Heading"/>
    <w:basedOn w:val="HouseStyleBaseCentred"/>
    <w:next w:val="MarginText"/>
    <w:rsid w:val="00102034"/>
    <w:pPr>
      <w:keepNext/>
      <w:jc w:val="center"/>
    </w:pPr>
    <w:rPr>
      <w:b/>
      <w:caps/>
    </w:rPr>
  </w:style>
  <w:style w:type="paragraph" w:customStyle="1" w:styleId="AppHead">
    <w:name w:val="AppHead"/>
    <w:basedOn w:val="HouseStyleBaseCentred"/>
    <w:rsid w:val="00102034"/>
    <w:pPr>
      <w:numPr>
        <w:numId w:val="13"/>
      </w:numPr>
      <w:jc w:val="center"/>
      <w:outlineLvl w:val="0"/>
    </w:pPr>
    <w:rPr>
      <w:b/>
      <w:caps/>
    </w:rPr>
  </w:style>
  <w:style w:type="paragraph" w:customStyle="1" w:styleId="RecitalNumbering">
    <w:name w:val="Recital Numbering"/>
    <w:basedOn w:val="HouseStyleBase"/>
    <w:rsid w:val="00102034"/>
    <w:pPr>
      <w:numPr>
        <w:numId w:val="18"/>
      </w:numPr>
      <w:tabs>
        <w:tab w:val="num" w:pos="360"/>
      </w:tabs>
      <w:ind w:firstLine="0"/>
      <w:outlineLvl w:val="0"/>
    </w:pPr>
  </w:style>
  <w:style w:type="paragraph" w:customStyle="1" w:styleId="DefinitionNumbering1">
    <w:name w:val="Definition Numbering 1"/>
    <w:basedOn w:val="HouseStyleBase"/>
    <w:rsid w:val="00102034"/>
    <w:pPr>
      <w:numPr>
        <w:ilvl w:val="2"/>
        <w:numId w:val="14"/>
      </w:numPr>
      <w:tabs>
        <w:tab w:val="num" w:pos="360"/>
      </w:tabs>
      <w:ind w:left="1803" w:hanging="1083"/>
      <w:outlineLvl w:val="0"/>
    </w:pPr>
  </w:style>
  <w:style w:type="paragraph" w:customStyle="1" w:styleId="DefinitionNumbering2">
    <w:name w:val="Definition Numbering 2"/>
    <w:basedOn w:val="HouseStyleBase"/>
    <w:rsid w:val="00102034"/>
    <w:pPr>
      <w:numPr>
        <w:ilvl w:val="3"/>
        <w:numId w:val="14"/>
      </w:numPr>
      <w:tabs>
        <w:tab w:val="num" w:pos="360"/>
      </w:tabs>
      <w:ind w:left="1803" w:hanging="1083"/>
      <w:outlineLvl w:val="1"/>
    </w:pPr>
  </w:style>
  <w:style w:type="paragraph" w:customStyle="1" w:styleId="DefinitionNumbering3">
    <w:name w:val="Definition Numbering 3"/>
    <w:basedOn w:val="HouseStyleBase"/>
    <w:rsid w:val="00102034"/>
    <w:pPr>
      <w:numPr>
        <w:ilvl w:val="4"/>
        <w:numId w:val="14"/>
      </w:numPr>
      <w:tabs>
        <w:tab w:val="num" w:pos="360"/>
        <w:tab w:val="num" w:pos="1803"/>
      </w:tabs>
      <w:ind w:left="2523" w:hanging="360"/>
      <w:outlineLvl w:val="2"/>
    </w:pPr>
  </w:style>
  <w:style w:type="paragraph" w:customStyle="1" w:styleId="DefinitionNumbering4">
    <w:name w:val="Definition Numbering 4"/>
    <w:basedOn w:val="HouseStyleBase"/>
    <w:rsid w:val="00102034"/>
    <w:pPr>
      <w:numPr>
        <w:ilvl w:val="5"/>
        <w:numId w:val="14"/>
      </w:numPr>
      <w:tabs>
        <w:tab w:val="num" w:pos="360"/>
        <w:tab w:val="num" w:pos="3243"/>
      </w:tabs>
      <w:ind w:left="3243"/>
      <w:outlineLvl w:val="3"/>
    </w:pPr>
  </w:style>
  <w:style w:type="paragraph" w:customStyle="1" w:styleId="DefinitionNumbering5">
    <w:name w:val="Definition Numbering 5"/>
    <w:basedOn w:val="HouseStyleBase"/>
    <w:rsid w:val="00102034"/>
    <w:pPr>
      <w:numPr>
        <w:ilvl w:val="6"/>
        <w:numId w:val="14"/>
      </w:numPr>
      <w:tabs>
        <w:tab w:val="num" w:pos="360"/>
        <w:tab w:val="num" w:pos="3963"/>
      </w:tabs>
      <w:ind w:left="3963"/>
      <w:outlineLvl w:val="4"/>
    </w:pPr>
  </w:style>
  <w:style w:type="paragraph" w:customStyle="1" w:styleId="DefinitionNumbering6">
    <w:name w:val="Definition Numbering 6"/>
    <w:basedOn w:val="HouseStyleBase"/>
    <w:rsid w:val="00102034"/>
    <w:pPr>
      <w:numPr>
        <w:ilvl w:val="7"/>
        <w:numId w:val="14"/>
      </w:numPr>
      <w:tabs>
        <w:tab w:val="num" w:pos="360"/>
      </w:tabs>
      <w:ind w:left="2523"/>
      <w:outlineLvl w:val="5"/>
    </w:pPr>
  </w:style>
  <w:style w:type="paragraph" w:customStyle="1" w:styleId="DefinitionNumbering7">
    <w:name w:val="Definition Numbering 7"/>
    <w:basedOn w:val="HouseStyleBase"/>
    <w:rsid w:val="00102034"/>
    <w:pPr>
      <w:numPr>
        <w:ilvl w:val="8"/>
        <w:numId w:val="14"/>
      </w:numPr>
      <w:tabs>
        <w:tab w:val="num" w:pos="360"/>
      </w:tabs>
      <w:ind w:left="2523"/>
      <w:outlineLvl w:val="6"/>
    </w:pPr>
  </w:style>
  <w:style w:type="paragraph" w:customStyle="1" w:styleId="DefinitionNumbering8">
    <w:name w:val="Definition Numbering 8"/>
    <w:basedOn w:val="HouseStyleBase"/>
    <w:rsid w:val="00102034"/>
    <w:pPr>
      <w:numPr>
        <w:ilvl w:val="7"/>
        <w:numId w:val="19"/>
      </w:numPr>
      <w:tabs>
        <w:tab w:val="num" w:pos="360"/>
      </w:tabs>
      <w:ind w:left="2523"/>
      <w:outlineLvl w:val="7"/>
    </w:pPr>
  </w:style>
  <w:style w:type="paragraph" w:customStyle="1" w:styleId="DefinitionNumbering9">
    <w:name w:val="Definition Numbering 9"/>
    <w:basedOn w:val="HouseStyleBase"/>
    <w:rsid w:val="00102034"/>
    <w:pPr>
      <w:numPr>
        <w:ilvl w:val="8"/>
        <w:numId w:val="19"/>
      </w:numPr>
      <w:tabs>
        <w:tab w:val="num" w:pos="360"/>
      </w:tabs>
      <w:ind w:left="2523"/>
      <w:outlineLvl w:val="8"/>
    </w:pPr>
  </w:style>
  <w:style w:type="paragraph" w:customStyle="1" w:styleId="ListBullet1">
    <w:name w:val="List Bullet 1"/>
    <w:basedOn w:val="HouseStyleBase"/>
    <w:rsid w:val="00102034"/>
    <w:pPr>
      <w:numPr>
        <w:numId w:val="17"/>
      </w:numPr>
      <w:tabs>
        <w:tab w:val="num" w:pos="360"/>
      </w:tabs>
      <w:ind w:firstLine="0"/>
    </w:pPr>
  </w:style>
  <w:style w:type="paragraph" w:styleId="ListBullet3">
    <w:name w:val="List Bullet 3"/>
    <w:basedOn w:val="HouseStyleBase"/>
    <w:rsid w:val="00102034"/>
    <w:pPr>
      <w:numPr>
        <w:ilvl w:val="2"/>
        <w:numId w:val="17"/>
      </w:numPr>
      <w:tabs>
        <w:tab w:val="num" w:pos="360"/>
        <w:tab w:val="num" w:pos="1440"/>
      </w:tabs>
      <w:ind w:left="1803" w:hanging="1083"/>
    </w:pPr>
  </w:style>
  <w:style w:type="paragraph" w:styleId="ListBullet4">
    <w:name w:val="List Bullet 4"/>
    <w:basedOn w:val="HouseStyleBase"/>
    <w:rsid w:val="00102034"/>
    <w:pPr>
      <w:numPr>
        <w:ilvl w:val="3"/>
        <w:numId w:val="17"/>
      </w:numPr>
      <w:tabs>
        <w:tab w:val="num" w:pos="360"/>
      </w:tabs>
      <w:ind w:left="1803" w:hanging="1083"/>
    </w:pPr>
  </w:style>
  <w:style w:type="paragraph" w:styleId="ListBullet5">
    <w:name w:val="List Bullet 5"/>
    <w:basedOn w:val="HouseStyleBase"/>
    <w:rsid w:val="00102034"/>
    <w:pPr>
      <w:numPr>
        <w:ilvl w:val="4"/>
        <w:numId w:val="17"/>
      </w:numPr>
      <w:tabs>
        <w:tab w:val="num" w:pos="360"/>
        <w:tab w:val="num" w:pos="1803"/>
      </w:tabs>
      <w:ind w:left="2523" w:firstLine="0"/>
    </w:pPr>
  </w:style>
  <w:style w:type="paragraph" w:customStyle="1" w:styleId="ListBullet6">
    <w:name w:val="List Bullet 6"/>
    <w:basedOn w:val="HouseStyleBase"/>
    <w:rsid w:val="00102034"/>
    <w:pPr>
      <w:numPr>
        <w:ilvl w:val="5"/>
        <w:numId w:val="17"/>
      </w:numPr>
      <w:tabs>
        <w:tab w:val="num" w:pos="360"/>
        <w:tab w:val="num" w:pos="3243"/>
      </w:tabs>
      <w:ind w:left="3243" w:firstLine="0"/>
    </w:pPr>
  </w:style>
  <w:style w:type="paragraph" w:customStyle="1" w:styleId="ListBullet7">
    <w:name w:val="List Bullet 7"/>
    <w:basedOn w:val="HouseStyleBase"/>
    <w:rsid w:val="00102034"/>
    <w:pPr>
      <w:numPr>
        <w:ilvl w:val="6"/>
        <w:numId w:val="17"/>
      </w:numPr>
      <w:tabs>
        <w:tab w:val="num" w:pos="360"/>
      </w:tabs>
      <w:ind w:left="2523" w:firstLine="0"/>
    </w:pPr>
  </w:style>
  <w:style w:type="paragraph" w:customStyle="1" w:styleId="ListBullet8">
    <w:name w:val="List Bullet 8"/>
    <w:basedOn w:val="HouseStyleBase"/>
    <w:rsid w:val="00102034"/>
    <w:pPr>
      <w:numPr>
        <w:ilvl w:val="7"/>
        <w:numId w:val="17"/>
      </w:numPr>
      <w:tabs>
        <w:tab w:val="num" w:pos="360"/>
      </w:tabs>
      <w:ind w:left="2523" w:firstLine="0"/>
    </w:pPr>
  </w:style>
  <w:style w:type="paragraph" w:customStyle="1" w:styleId="ListBullet9">
    <w:name w:val="List Bullet 9"/>
    <w:basedOn w:val="HouseStyleBase"/>
    <w:rsid w:val="00102034"/>
    <w:pPr>
      <w:numPr>
        <w:ilvl w:val="8"/>
        <w:numId w:val="17"/>
      </w:numPr>
      <w:tabs>
        <w:tab w:val="num" w:pos="360"/>
      </w:tabs>
      <w:ind w:left="2523" w:firstLine="0"/>
    </w:pPr>
  </w:style>
  <w:style w:type="paragraph" w:customStyle="1" w:styleId="SchPart">
    <w:name w:val="SchPart"/>
    <w:basedOn w:val="HouseStyleBaseCentred"/>
    <w:next w:val="MarginText"/>
    <w:rsid w:val="00102034"/>
    <w:pPr>
      <w:keepNext/>
      <w:numPr>
        <w:ilvl w:val="1"/>
        <w:numId w:val="15"/>
      </w:numPr>
      <w:jc w:val="center"/>
      <w:outlineLvl w:val="1"/>
    </w:pPr>
    <w:rPr>
      <w:b/>
    </w:rPr>
  </w:style>
  <w:style w:type="paragraph" w:customStyle="1" w:styleId="ScheduleL2">
    <w:name w:val="Schedule L2"/>
    <w:basedOn w:val="HouseStyleBase"/>
    <w:rsid w:val="00102034"/>
    <w:pPr>
      <w:numPr>
        <w:ilvl w:val="1"/>
        <w:numId w:val="16"/>
      </w:numPr>
      <w:tabs>
        <w:tab w:val="num" w:pos="360"/>
        <w:tab w:val="num" w:pos="567"/>
      </w:tabs>
      <w:ind w:left="0" w:firstLine="0"/>
      <w:outlineLvl w:val="1"/>
    </w:pPr>
  </w:style>
  <w:style w:type="paragraph" w:customStyle="1" w:styleId="ScheduleL3">
    <w:name w:val="Schedule L3"/>
    <w:basedOn w:val="HouseStyleBase"/>
    <w:rsid w:val="00102034"/>
    <w:pPr>
      <w:numPr>
        <w:ilvl w:val="2"/>
        <w:numId w:val="16"/>
      </w:numPr>
      <w:tabs>
        <w:tab w:val="num" w:pos="360"/>
        <w:tab w:val="num" w:pos="567"/>
        <w:tab w:val="num" w:pos="1440"/>
      </w:tabs>
      <w:ind w:left="0" w:firstLine="0"/>
      <w:outlineLvl w:val="2"/>
    </w:pPr>
  </w:style>
  <w:style w:type="paragraph" w:customStyle="1" w:styleId="ScheduleL4">
    <w:name w:val="Schedule L4"/>
    <w:basedOn w:val="HouseStyleBase"/>
    <w:rsid w:val="00102034"/>
    <w:pPr>
      <w:numPr>
        <w:ilvl w:val="3"/>
        <w:numId w:val="16"/>
      </w:numPr>
      <w:tabs>
        <w:tab w:val="num" w:pos="360"/>
        <w:tab w:val="num" w:pos="567"/>
      </w:tabs>
      <w:ind w:left="0" w:firstLine="0"/>
      <w:outlineLvl w:val="3"/>
    </w:pPr>
  </w:style>
  <w:style w:type="paragraph" w:customStyle="1" w:styleId="ScheduleL5">
    <w:name w:val="Schedule L5"/>
    <w:basedOn w:val="HouseStyleBase"/>
    <w:rsid w:val="00102034"/>
    <w:pPr>
      <w:numPr>
        <w:ilvl w:val="4"/>
        <w:numId w:val="16"/>
      </w:numPr>
      <w:tabs>
        <w:tab w:val="num" w:pos="360"/>
        <w:tab w:val="num" w:pos="567"/>
      </w:tabs>
      <w:ind w:left="0" w:firstLine="0"/>
      <w:outlineLvl w:val="4"/>
    </w:pPr>
  </w:style>
  <w:style w:type="paragraph" w:customStyle="1" w:styleId="ScheduleL6">
    <w:name w:val="Schedule L6"/>
    <w:basedOn w:val="HouseStyleBase"/>
    <w:rsid w:val="00102034"/>
    <w:pPr>
      <w:numPr>
        <w:ilvl w:val="5"/>
        <w:numId w:val="16"/>
      </w:numPr>
      <w:tabs>
        <w:tab w:val="num" w:pos="360"/>
        <w:tab w:val="num" w:pos="567"/>
      </w:tabs>
      <w:ind w:left="0" w:firstLine="0"/>
      <w:outlineLvl w:val="5"/>
    </w:pPr>
  </w:style>
  <w:style w:type="paragraph" w:customStyle="1" w:styleId="ScheduleL7">
    <w:name w:val="Schedule L7"/>
    <w:basedOn w:val="HouseStyleBase"/>
    <w:rsid w:val="00102034"/>
    <w:pPr>
      <w:numPr>
        <w:ilvl w:val="6"/>
        <w:numId w:val="16"/>
      </w:numPr>
      <w:tabs>
        <w:tab w:val="num" w:pos="360"/>
        <w:tab w:val="num" w:pos="567"/>
      </w:tabs>
      <w:ind w:left="0" w:firstLine="0"/>
      <w:outlineLvl w:val="6"/>
    </w:pPr>
  </w:style>
  <w:style w:type="paragraph" w:customStyle="1" w:styleId="ScheduleL8">
    <w:name w:val="Schedule L8"/>
    <w:basedOn w:val="HouseStyleBase"/>
    <w:rsid w:val="00102034"/>
    <w:pPr>
      <w:numPr>
        <w:ilvl w:val="7"/>
        <w:numId w:val="16"/>
      </w:numPr>
      <w:tabs>
        <w:tab w:val="num" w:pos="360"/>
        <w:tab w:val="num" w:pos="567"/>
      </w:tabs>
      <w:ind w:left="0" w:firstLine="0"/>
      <w:outlineLvl w:val="7"/>
    </w:pPr>
  </w:style>
  <w:style w:type="paragraph" w:customStyle="1" w:styleId="ScheduleL9">
    <w:name w:val="Schedule L9"/>
    <w:basedOn w:val="HouseStyleBase"/>
    <w:rsid w:val="00102034"/>
    <w:pPr>
      <w:numPr>
        <w:ilvl w:val="8"/>
        <w:numId w:val="16"/>
      </w:numPr>
      <w:tabs>
        <w:tab w:val="num" w:pos="360"/>
        <w:tab w:val="num" w:pos="567"/>
      </w:tabs>
      <w:ind w:left="0" w:firstLine="0"/>
      <w:outlineLvl w:val="8"/>
    </w:pPr>
  </w:style>
  <w:style w:type="paragraph" w:customStyle="1" w:styleId="SchSection">
    <w:name w:val="SchSection"/>
    <w:basedOn w:val="HouseStyleBaseCentred"/>
    <w:next w:val="MarginText"/>
    <w:rsid w:val="00102034"/>
    <w:pPr>
      <w:keepNext/>
      <w:numPr>
        <w:ilvl w:val="2"/>
        <w:numId w:val="15"/>
      </w:numPr>
      <w:jc w:val="center"/>
      <w:outlineLvl w:val="2"/>
    </w:pPr>
    <w:rPr>
      <w:b/>
    </w:rPr>
  </w:style>
  <w:style w:type="paragraph" w:customStyle="1" w:styleId="AppPart">
    <w:name w:val="AppPart"/>
    <w:basedOn w:val="HouseStyleBaseCentred"/>
    <w:rsid w:val="00102034"/>
    <w:pPr>
      <w:numPr>
        <w:ilvl w:val="1"/>
        <w:numId w:val="13"/>
      </w:numPr>
      <w:jc w:val="center"/>
      <w:outlineLvl w:val="1"/>
    </w:pPr>
    <w:rPr>
      <w:b/>
    </w:rPr>
  </w:style>
  <w:style w:type="paragraph" w:customStyle="1" w:styleId="RecitalNumbering2">
    <w:name w:val="Recital Numbering 2"/>
    <w:basedOn w:val="HouseStyleBase"/>
    <w:rsid w:val="00102034"/>
    <w:pPr>
      <w:numPr>
        <w:ilvl w:val="1"/>
        <w:numId w:val="18"/>
      </w:numPr>
      <w:tabs>
        <w:tab w:val="num" w:pos="360"/>
      </w:tabs>
      <w:overflowPunct w:val="0"/>
      <w:autoSpaceDE w:val="0"/>
      <w:autoSpaceDN w:val="0"/>
      <w:ind w:hanging="720"/>
      <w:textAlignment w:val="baseline"/>
    </w:pPr>
  </w:style>
  <w:style w:type="paragraph" w:customStyle="1" w:styleId="RecitalNumbering3">
    <w:name w:val="Recital Numbering 3"/>
    <w:basedOn w:val="HouseStyleBase"/>
    <w:rsid w:val="00102034"/>
    <w:pPr>
      <w:numPr>
        <w:ilvl w:val="2"/>
        <w:numId w:val="18"/>
      </w:numPr>
      <w:tabs>
        <w:tab w:val="num" w:pos="360"/>
        <w:tab w:val="num" w:pos="1440"/>
      </w:tabs>
      <w:overflowPunct w:val="0"/>
      <w:autoSpaceDE w:val="0"/>
      <w:autoSpaceDN w:val="0"/>
      <w:ind w:left="1803" w:hanging="1083"/>
      <w:textAlignment w:val="baseline"/>
    </w:pPr>
  </w:style>
  <w:style w:type="paragraph" w:styleId="BlockText">
    <w:name w:val="Block Text"/>
    <w:basedOn w:val="Normal"/>
    <w:rsid w:val="00102034"/>
    <w:pPr>
      <w:overflowPunct w:val="0"/>
      <w:autoSpaceDE w:val="0"/>
      <w:autoSpaceDN w:val="0"/>
      <w:adjustRightInd w:val="0"/>
      <w:spacing w:after="120" w:line="360" w:lineRule="auto"/>
      <w:ind w:left="1440" w:right="1440"/>
      <w:jc w:val="both"/>
      <w:textAlignment w:val="baseline"/>
    </w:pPr>
    <w:rPr>
      <w:rFonts w:ascii="Times New Roman" w:eastAsia="Times New Roman" w:hAnsi="Times New Roman" w:cs="Times New Roman"/>
      <w:sz w:val="22"/>
      <w:lang w:eastAsia="en-GB"/>
    </w:rPr>
  </w:style>
  <w:style w:type="paragraph" w:styleId="BodyText2">
    <w:name w:val="Body Text 2"/>
    <w:basedOn w:val="Normal"/>
    <w:link w:val="BodyText2Char"/>
    <w:rsid w:val="00102034"/>
    <w:pPr>
      <w:overflowPunct w:val="0"/>
      <w:autoSpaceDE w:val="0"/>
      <w:autoSpaceDN w:val="0"/>
      <w:adjustRightInd w:val="0"/>
      <w:spacing w:after="120" w:line="480" w:lineRule="auto"/>
      <w:jc w:val="both"/>
      <w:textAlignment w:val="baseline"/>
    </w:pPr>
    <w:rPr>
      <w:rFonts w:ascii="Times New Roman" w:eastAsia="Times New Roman" w:hAnsi="Times New Roman" w:cs="Times New Roman"/>
      <w:sz w:val="22"/>
      <w:lang w:eastAsia="en-GB"/>
    </w:rPr>
  </w:style>
  <w:style w:type="character" w:customStyle="1" w:styleId="BodyText2Char">
    <w:name w:val="Body Text 2 Char"/>
    <w:basedOn w:val="DefaultParagraphFont"/>
    <w:link w:val="BodyText2"/>
    <w:rsid w:val="00102034"/>
    <w:rPr>
      <w:rFonts w:ascii="Times New Roman" w:eastAsia="Times New Roman" w:hAnsi="Times New Roman" w:cs="Times New Roman"/>
      <w:sz w:val="22"/>
      <w:szCs w:val="20"/>
      <w:lang w:eastAsia="en-GB"/>
    </w:rPr>
  </w:style>
  <w:style w:type="paragraph" w:styleId="BodyText3">
    <w:name w:val="Body Text 3"/>
    <w:basedOn w:val="Normal"/>
    <w:link w:val="BodyText3Char"/>
    <w:rsid w:val="00102034"/>
    <w:pPr>
      <w:overflowPunct w:val="0"/>
      <w:autoSpaceDE w:val="0"/>
      <w:autoSpaceDN w:val="0"/>
      <w:adjustRightInd w:val="0"/>
      <w:spacing w:after="120" w:line="360" w:lineRule="auto"/>
      <w:jc w:val="both"/>
      <w:textAlignment w:val="baseline"/>
    </w:pPr>
    <w:rPr>
      <w:rFonts w:ascii="Times New Roman" w:eastAsia="Times New Roman" w:hAnsi="Times New Roman" w:cs="Times New Roman"/>
      <w:sz w:val="16"/>
      <w:szCs w:val="16"/>
      <w:lang w:eastAsia="en-GB"/>
    </w:rPr>
  </w:style>
  <w:style w:type="character" w:customStyle="1" w:styleId="BodyText3Char">
    <w:name w:val="Body Text 3 Char"/>
    <w:basedOn w:val="DefaultParagraphFont"/>
    <w:link w:val="BodyText3"/>
    <w:rsid w:val="00102034"/>
    <w:rPr>
      <w:rFonts w:ascii="Times New Roman" w:eastAsia="Times New Roman" w:hAnsi="Times New Roman" w:cs="Times New Roman"/>
      <w:sz w:val="16"/>
      <w:szCs w:val="16"/>
      <w:lang w:eastAsia="en-GB"/>
    </w:rPr>
  </w:style>
  <w:style w:type="paragraph" w:styleId="BodyTextFirstIndent">
    <w:name w:val="Body Text First Indent"/>
    <w:basedOn w:val="BodyText"/>
    <w:link w:val="BodyTextFirstIndentChar"/>
    <w:rsid w:val="00102034"/>
    <w:pPr>
      <w:ind w:firstLine="210"/>
    </w:pPr>
  </w:style>
  <w:style w:type="character" w:customStyle="1" w:styleId="BodyTextFirstIndentChar">
    <w:name w:val="Body Text First Indent Char"/>
    <w:basedOn w:val="BodyTextChar"/>
    <w:link w:val="BodyTextFirstIndent"/>
    <w:rsid w:val="00102034"/>
    <w:rPr>
      <w:rFonts w:ascii="Times New Roman" w:eastAsia="Times New Roman" w:hAnsi="Times New Roman" w:cs="Times New Roman"/>
      <w:sz w:val="22"/>
      <w:szCs w:val="20"/>
      <w:lang w:eastAsia="en-GB"/>
    </w:rPr>
  </w:style>
  <w:style w:type="paragraph" w:styleId="BodyTextFirstIndent2">
    <w:name w:val="Body Text First Indent 2"/>
    <w:basedOn w:val="BodyTextIndent"/>
    <w:link w:val="BodyTextFirstIndent2Char"/>
    <w:rsid w:val="00102034"/>
    <w:pPr>
      <w:numPr>
        <w:numId w:val="0"/>
      </w:numPr>
      <w:overflowPunct w:val="0"/>
      <w:autoSpaceDE w:val="0"/>
      <w:autoSpaceDN w:val="0"/>
      <w:spacing w:after="120" w:line="360" w:lineRule="auto"/>
      <w:ind w:left="283" w:firstLine="210"/>
      <w:textAlignment w:val="baseline"/>
    </w:pPr>
    <w:rPr>
      <w:rFonts w:eastAsia="Times New Roman"/>
      <w:lang w:eastAsia="en-US"/>
    </w:rPr>
  </w:style>
  <w:style w:type="character" w:customStyle="1" w:styleId="BodyTextFirstIndent2Char">
    <w:name w:val="Body Text First Indent 2 Char"/>
    <w:basedOn w:val="BodyTextIndentChar"/>
    <w:link w:val="BodyTextFirstIndent2"/>
    <w:rsid w:val="00102034"/>
    <w:rPr>
      <w:rFonts w:ascii="Times New Roman" w:eastAsia="Times New Roman" w:hAnsi="Times New Roman" w:cs="Times New Roman"/>
      <w:sz w:val="22"/>
      <w:szCs w:val="20"/>
      <w:lang w:eastAsia="zh-CN"/>
    </w:rPr>
  </w:style>
  <w:style w:type="character" w:customStyle="1" w:styleId="HouseStyleBaseChar">
    <w:name w:val="House Style Base Char"/>
    <w:link w:val="HouseStyleBase"/>
    <w:rsid w:val="00102034"/>
    <w:rPr>
      <w:rFonts w:ascii="Times New Roman" w:eastAsia="STZhongsong" w:hAnsi="Times New Roman" w:cs="Times New Roman"/>
      <w:sz w:val="22"/>
      <w:szCs w:val="20"/>
      <w:lang w:eastAsia="zh-CN"/>
    </w:rPr>
  </w:style>
  <w:style w:type="paragraph" w:styleId="Caption">
    <w:name w:val="caption"/>
    <w:basedOn w:val="Normal"/>
    <w:next w:val="Normal"/>
    <w:qFormat/>
    <w:rsid w:val="00102034"/>
    <w:pPr>
      <w:overflowPunct w:val="0"/>
      <w:autoSpaceDE w:val="0"/>
      <w:autoSpaceDN w:val="0"/>
      <w:adjustRightInd w:val="0"/>
      <w:spacing w:after="240" w:line="360" w:lineRule="auto"/>
      <w:jc w:val="both"/>
      <w:textAlignment w:val="baseline"/>
    </w:pPr>
    <w:rPr>
      <w:rFonts w:ascii="Times New Roman" w:eastAsia="Times New Roman" w:hAnsi="Times New Roman" w:cs="Times New Roman"/>
      <w:b/>
      <w:bCs/>
      <w:sz w:val="20"/>
      <w:lang w:eastAsia="en-GB"/>
    </w:rPr>
  </w:style>
  <w:style w:type="paragraph" w:styleId="Closing">
    <w:name w:val="Closing"/>
    <w:basedOn w:val="Normal"/>
    <w:link w:val="ClosingChar"/>
    <w:rsid w:val="00102034"/>
    <w:pPr>
      <w:overflowPunct w:val="0"/>
      <w:autoSpaceDE w:val="0"/>
      <w:autoSpaceDN w:val="0"/>
      <w:adjustRightInd w:val="0"/>
      <w:spacing w:after="240" w:line="360" w:lineRule="auto"/>
      <w:ind w:left="4252"/>
      <w:jc w:val="both"/>
      <w:textAlignment w:val="baseline"/>
    </w:pPr>
    <w:rPr>
      <w:rFonts w:ascii="Times New Roman" w:eastAsia="Times New Roman" w:hAnsi="Times New Roman" w:cs="Times New Roman"/>
      <w:sz w:val="22"/>
      <w:lang w:eastAsia="en-GB"/>
    </w:rPr>
  </w:style>
  <w:style w:type="character" w:customStyle="1" w:styleId="ClosingChar">
    <w:name w:val="Closing Char"/>
    <w:basedOn w:val="DefaultParagraphFont"/>
    <w:link w:val="Closing"/>
    <w:rsid w:val="00102034"/>
    <w:rPr>
      <w:rFonts w:ascii="Times New Roman" w:eastAsia="Times New Roman" w:hAnsi="Times New Roman" w:cs="Times New Roman"/>
      <w:sz w:val="22"/>
      <w:szCs w:val="20"/>
      <w:lang w:eastAsia="en-GB"/>
    </w:rPr>
  </w:style>
  <w:style w:type="table" w:customStyle="1" w:styleId="ColourfulGrid1">
    <w:name w:val="Colourful Grid1"/>
    <w:basedOn w:val="TableNormal"/>
    <w:next w:val="ColorfulGrid"/>
    <w:uiPriority w:val="73"/>
    <w:rsid w:val="00102034"/>
    <w:rPr>
      <w:rFonts w:ascii="Times New Roman" w:eastAsia="Times New Roman" w:hAnsi="Times New Roman" w:cs="Times New Roman"/>
      <w:color w:val="000000"/>
      <w:sz w:val="20"/>
      <w:szCs w:val="20"/>
      <w:lang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urfulGridAccent11">
    <w:name w:val="Colourful Grid – Accent 11"/>
    <w:basedOn w:val="TableNormal"/>
    <w:next w:val="ColorfulGrid-Accent1"/>
    <w:uiPriority w:val="73"/>
    <w:rsid w:val="00102034"/>
    <w:rPr>
      <w:rFonts w:ascii="Times New Roman" w:eastAsia="Times New Roman" w:hAnsi="Times New Roman" w:cs="Times New Roman"/>
      <w:color w:val="000000"/>
      <w:sz w:val="20"/>
      <w:szCs w:val="20"/>
      <w:lang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urfulGridAccent21">
    <w:name w:val="Colourful Grid – Accent 21"/>
    <w:basedOn w:val="TableNormal"/>
    <w:next w:val="ColorfulGrid-Accent2"/>
    <w:uiPriority w:val="73"/>
    <w:rsid w:val="00102034"/>
    <w:rPr>
      <w:rFonts w:ascii="Times New Roman" w:eastAsia="Times New Roman" w:hAnsi="Times New Roman" w:cs="Times New Roman"/>
      <w:color w:val="000000"/>
      <w:sz w:val="20"/>
      <w:szCs w:val="20"/>
      <w:lang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urfulGridAccent31">
    <w:name w:val="Colourful Grid – Accent 31"/>
    <w:basedOn w:val="TableNormal"/>
    <w:next w:val="ColorfulGrid-Accent3"/>
    <w:uiPriority w:val="73"/>
    <w:rsid w:val="00102034"/>
    <w:rPr>
      <w:rFonts w:ascii="Times New Roman" w:eastAsia="Times New Roman" w:hAnsi="Times New Roman" w:cs="Times New Roman"/>
      <w:color w:val="000000"/>
      <w:sz w:val="20"/>
      <w:szCs w:val="20"/>
      <w:lang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urfulGridAccent41">
    <w:name w:val="Colourful Grid – Accent 41"/>
    <w:basedOn w:val="TableNormal"/>
    <w:next w:val="ColorfulGrid-Accent4"/>
    <w:uiPriority w:val="73"/>
    <w:rsid w:val="00102034"/>
    <w:rPr>
      <w:rFonts w:ascii="Times New Roman" w:eastAsia="Times New Roman" w:hAnsi="Times New Roman" w:cs="Times New Roman"/>
      <w:color w:val="000000"/>
      <w:sz w:val="20"/>
      <w:szCs w:val="20"/>
      <w:lang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urfulGridAccent51">
    <w:name w:val="Colourful Grid – Accent 51"/>
    <w:basedOn w:val="TableNormal"/>
    <w:next w:val="ColorfulGrid-Accent5"/>
    <w:uiPriority w:val="73"/>
    <w:rsid w:val="00102034"/>
    <w:rPr>
      <w:rFonts w:ascii="Times New Roman" w:eastAsia="Times New Roman" w:hAnsi="Times New Roman" w:cs="Times New Roman"/>
      <w:color w:val="000000"/>
      <w:sz w:val="20"/>
      <w:szCs w:val="20"/>
      <w:lang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urfulList1">
    <w:name w:val="Colourful List1"/>
    <w:basedOn w:val="TableNormal"/>
    <w:next w:val="ColorfulList"/>
    <w:uiPriority w:val="72"/>
    <w:rsid w:val="00102034"/>
    <w:rPr>
      <w:rFonts w:ascii="Times New Roman" w:eastAsia="Times New Roman" w:hAnsi="Times New Roman" w:cs="Times New Roman"/>
      <w:color w:val="000000"/>
      <w:sz w:val="20"/>
      <w:szCs w:val="20"/>
      <w:lang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urfulListAccent11">
    <w:name w:val="Colourful List – Accent 11"/>
    <w:basedOn w:val="TableNormal"/>
    <w:next w:val="ColorfulList-Accent1"/>
    <w:uiPriority w:val="72"/>
    <w:rsid w:val="00102034"/>
    <w:rPr>
      <w:rFonts w:ascii="Times New Roman" w:eastAsia="Times New Roman" w:hAnsi="Times New Roman" w:cs="Times New Roman"/>
      <w:color w:val="000000"/>
      <w:sz w:val="20"/>
      <w:szCs w:val="20"/>
      <w:lang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urfulListAccent21">
    <w:name w:val="Colourful List – Accent 21"/>
    <w:basedOn w:val="TableNormal"/>
    <w:next w:val="ColorfulList-Accent2"/>
    <w:uiPriority w:val="72"/>
    <w:rsid w:val="00102034"/>
    <w:rPr>
      <w:rFonts w:ascii="Times New Roman" w:eastAsia="Times New Roman" w:hAnsi="Times New Roman" w:cs="Times New Roman"/>
      <w:color w:val="000000"/>
      <w:sz w:val="20"/>
      <w:szCs w:val="20"/>
      <w:lang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urfulListAccent31">
    <w:name w:val="Colourful List – Accent 31"/>
    <w:basedOn w:val="TableNormal"/>
    <w:next w:val="ColorfulList-Accent3"/>
    <w:uiPriority w:val="72"/>
    <w:rsid w:val="00102034"/>
    <w:rPr>
      <w:rFonts w:ascii="Times New Roman" w:eastAsia="Times New Roman" w:hAnsi="Times New Roman" w:cs="Times New Roman"/>
      <w:color w:val="000000"/>
      <w:sz w:val="20"/>
      <w:szCs w:val="20"/>
      <w:lang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urfulListAccent41">
    <w:name w:val="Colourful List – Accent 41"/>
    <w:basedOn w:val="TableNormal"/>
    <w:next w:val="ColorfulList-Accent4"/>
    <w:uiPriority w:val="72"/>
    <w:rsid w:val="00102034"/>
    <w:rPr>
      <w:rFonts w:ascii="Times New Roman" w:eastAsia="Times New Roman" w:hAnsi="Times New Roman" w:cs="Times New Roman"/>
      <w:color w:val="000000"/>
      <w:sz w:val="20"/>
      <w:szCs w:val="20"/>
      <w:lang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urfulListAccent51">
    <w:name w:val="Colourful List – Accent 51"/>
    <w:basedOn w:val="TableNormal"/>
    <w:next w:val="ColorfulList-Accent5"/>
    <w:uiPriority w:val="72"/>
    <w:rsid w:val="00102034"/>
    <w:rPr>
      <w:rFonts w:ascii="Times New Roman" w:eastAsia="Times New Roman" w:hAnsi="Times New Roman" w:cs="Times New Roman"/>
      <w:color w:val="000000"/>
      <w:sz w:val="20"/>
      <w:szCs w:val="20"/>
      <w:lang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urfulListAccent61">
    <w:name w:val="Colourful List – Accent 61"/>
    <w:basedOn w:val="TableNormal"/>
    <w:next w:val="ColorfulList-Accent6"/>
    <w:uiPriority w:val="72"/>
    <w:rsid w:val="00102034"/>
    <w:rPr>
      <w:rFonts w:ascii="Times New Roman" w:eastAsia="Times New Roman" w:hAnsi="Times New Roman" w:cs="Times New Roman"/>
      <w:color w:val="000000"/>
      <w:sz w:val="20"/>
      <w:szCs w:val="20"/>
      <w:lang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urfulShadingAccent11">
    <w:name w:val="Colourful Shading – Accent 11"/>
    <w:basedOn w:val="TableNormal"/>
    <w:next w:val="ColorfulShading-Accent1"/>
    <w:uiPriority w:val="71"/>
    <w:rsid w:val="00102034"/>
    <w:rPr>
      <w:rFonts w:ascii="Times New Roman" w:eastAsia="Times New Roman" w:hAnsi="Times New Roman" w:cs="Times New Roman"/>
      <w:color w:val="000000"/>
      <w:sz w:val="20"/>
      <w:szCs w:val="20"/>
      <w:lang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urfulShadingAccent21">
    <w:name w:val="Colourful Shading – Accent 21"/>
    <w:basedOn w:val="TableNormal"/>
    <w:next w:val="ColorfulShading-Accent2"/>
    <w:uiPriority w:val="71"/>
    <w:rsid w:val="00102034"/>
    <w:rPr>
      <w:rFonts w:ascii="Times New Roman" w:eastAsia="Times New Roman" w:hAnsi="Times New Roman" w:cs="Times New Roman"/>
      <w:color w:val="000000"/>
      <w:sz w:val="20"/>
      <w:szCs w:val="20"/>
      <w:lang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urfulShadingAccent31">
    <w:name w:val="Colourful Shading – Accent 31"/>
    <w:basedOn w:val="TableNormal"/>
    <w:next w:val="ColorfulShading-Accent3"/>
    <w:uiPriority w:val="71"/>
    <w:rsid w:val="00102034"/>
    <w:rPr>
      <w:rFonts w:ascii="Times New Roman" w:eastAsia="Times New Roman" w:hAnsi="Times New Roman" w:cs="Times New Roman"/>
      <w:color w:val="000000"/>
      <w:sz w:val="20"/>
      <w:szCs w:val="20"/>
      <w:lang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urfulShadingAccent41">
    <w:name w:val="Colourful Shading – Accent 41"/>
    <w:basedOn w:val="TableNormal"/>
    <w:next w:val="ColorfulShading-Accent4"/>
    <w:uiPriority w:val="71"/>
    <w:rsid w:val="00102034"/>
    <w:rPr>
      <w:rFonts w:ascii="Times New Roman" w:eastAsia="Times New Roman" w:hAnsi="Times New Roman" w:cs="Times New Roman"/>
      <w:color w:val="000000"/>
      <w:sz w:val="20"/>
      <w:szCs w:val="20"/>
      <w:lang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urfulShadingAccent51">
    <w:name w:val="Colourful Shading – Accent 51"/>
    <w:basedOn w:val="TableNormal"/>
    <w:next w:val="ColorfulShading-Accent5"/>
    <w:uiPriority w:val="71"/>
    <w:rsid w:val="00102034"/>
    <w:rPr>
      <w:rFonts w:ascii="Times New Roman" w:eastAsia="Times New Roman" w:hAnsi="Times New Roman" w:cs="Times New Roman"/>
      <w:color w:val="000000"/>
      <w:sz w:val="20"/>
      <w:szCs w:val="20"/>
      <w:lang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urfulShadingAccent61">
    <w:name w:val="Colourful Shading – Accent 61"/>
    <w:basedOn w:val="TableNormal"/>
    <w:next w:val="ColorfulShading-Accent6"/>
    <w:uiPriority w:val="71"/>
    <w:rsid w:val="00102034"/>
    <w:rPr>
      <w:rFonts w:ascii="Times New Roman" w:eastAsia="Times New Roman" w:hAnsi="Times New Roman" w:cs="Times New Roman"/>
      <w:color w:val="000000"/>
      <w:sz w:val="20"/>
      <w:szCs w:val="20"/>
      <w:lang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next w:val="DarkList"/>
    <w:uiPriority w:val="70"/>
    <w:rsid w:val="00102034"/>
    <w:rPr>
      <w:rFonts w:ascii="Times New Roman" w:eastAsia="Times New Roman" w:hAnsi="Times New Roman" w:cs="Times New Roman"/>
      <w:color w:val="FFFFFF"/>
      <w:sz w:val="20"/>
      <w:szCs w:val="20"/>
      <w:lang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21">
    <w:name w:val="Dark List - Accent 21"/>
    <w:basedOn w:val="TableNormal"/>
    <w:next w:val="DarkList-Accent2"/>
    <w:uiPriority w:val="70"/>
    <w:rsid w:val="00102034"/>
    <w:rPr>
      <w:rFonts w:ascii="Times New Roman" w:eastAsia="Times New Roman" w:hAnsi="Times New Roman" w:cs="Times New Roman"/>
      <w:color w:val="FFFFFF"/>
      <w:sz w:val="20"/>
      <w:szCs w:val="20"/>
      <w:lang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
    <w:name w:val="Dark List - Accent 31"/>
    <w:basedOn w:val="TableNormal"/>
    <w:next w:val="DarkList-Accent3"/>
    <w:uiPriority w:val="70"/>
    <w:rsid w:val="00102034"/>
    <w:rPr>
      <w:rFonts w:ascii="Times New Roman" w:eastAsia="Times New Roman" w:hAnsi="Times New Roman" w:cs="Times New Roman"/>
      <w:color w:val="FFFFFF"/>
      <w:sz w:val="20"/>
      <w:szCs w:val="20"/>
      <w:lang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
    <w:name w:val="Dark List - Accent 41"/>
    <w:basedOn w:val="TableNormal"/>
    <w:next w:val="DarkList-Accent4"/>
    <w:uiPriority w:val="70"/>
    <w:rsid w:val="00102034"/>
    <w:rPr>
      <w:rFonts w:ascii="Times New Roman" w:eastAsia="Times New Roman" w:hAnsi="Times New Roman" w:cs="Times New Roman"/>
      <w:color w:val="FFFFFF"/>
      <w:sz w:val="20"/>
      <w:szCs w:val="20"/>
      <w:lang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
    <w:name w:val="Dark List - Accent 51"/>
    <w:basedOn w:val="TableNormal"/>
    <w:next w:val="DarkList-Accent5"/>
    <w:uiPriority w:val="70"/>
    <w:rsid w:val="00102034"/>
    <w:rPr>
      <w:rFonts w:ascii="Times New Roman" w:eastAsia="Times New Roman" w:hAnsi="Times New Roman" w:cs="Times New Roman"/>
      <w:color w:val="FFFFFF"/>
      <w:sz w:val="20"/>
      <w:szCs w:val="20"/>
      <w:lang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
    <w:name w:val="Dark List - Accent 61"/>
    <w:basedOn w:val="TableNormal"/>
    <w:next w:val="DarkList-Accent6"/>
    <w:uiPriority w:val="70"/>
    <w:rsid w:val="00102034"/>
    <w:rPr>
      <w:rFonts w:ascii="Times New Roman" w:eastAsia="Times New Roman" w:hAnsi="Times New Roman" w:cs="Times New Roman"/>
      <w:color w:val="FFFFFF"/>
      <w:sz w:val="20"/>
      <w:szCs w:val="20"/>
      <w:lang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102034"/>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2"/>
      <w:lang w:eastAsia="en-GB"/>
    </w:rPr>
  </w:style>
  <w:style w:type="character" w:customStyle="1" w:styleId="DateChar">
    <w:name w:val="Date Char"/>
    <w:basedOn w:val="DefaultParagraphFont"/>
    <w:link w:val="Date"/>
    <w:rsid w:val="00102034"/>
    <w:rPr>
      <w:rFonts w:ascii="Times New Roman" w:eastAsia="Times New Roman" w:hAnsi="Times New Roman" w:cs="Times New Roman"/>
      <w:sz w:val="22"/>
      <w:szCs w:val="20"/>
      <w:lang w:eastAsia="en-GB"/>
    </w:rPr>
  </w:style>
  <w:style w:type="paragraph" w:styleId="DocumentMap">
    <w:name w:val="Document Map"/>
    <w:basedOn w:val="Normal"/>
    <w:link w:val="DocumentMapChar"/>
    <w:rsid w:val="00102034"/>
    <w:pPr>
      <w:overflowPunct w:val="0"/>
      <w:autoSpaceDE w:val="0"/>
      <w:autoSpaceDN w:val="0"/>
      <w:adjustRightInd w:val="0"/>
      <w:spacing w:after="240" w:line="360" w:lineRule="auto"/>
      <w:jc w:val="both"/>
      <w:textAlignment w:val="baseline"/>
    </w:pPr>
    <w:rPr>
      <w:rFonts w:ascii="Tahoma" w:eastAsia="Times New Roman" w:hAnsi="Tahoma" w:cs="Tahoma"/>
      <w:sz w:val="16"/>
      <w:szCs w:val="16"/>
      <w:lang w:eastAsia="en-GB"/>
    </w:rPr>
  </w:style>
  <w:style w:type="character" w:customStyle="1" w:styleId="DocumentMapChar">
    <w:name w:val="Document Map Char"/>
    <w:basedOn w:val="DefaultParagraphFont"/>
    <w:link w:val="DocumentMap"/>
    <w:rsid w:val="00102034"/>
    <w:rPr>
      <w:rFonts w:ascii="Tahoma" w:eastAsia="Times New Roman" w:hAnsi="Tahoma" w:cs="Tahoma"/>
      <w:sz w:val="16"/>
      <w:szCs w:val="16"/>
      <w:lang w:eastAsia="en-GB"/>
    </w:rPr>
  </w:style>
  <w:style w:type="paragraph" w:styleId="E-mailSignature">
    <w:name w:val="E-mail Signature"/>
    <w:basedOn w:val="Normal"/>
    <w:link w:val="E-mailSignatureChar"/>
    <w:rsid w:val="00102034"/>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2"/>
      <w:lang w:eastAsia="en-GB"/>
    </w:rPr>
  </w:style>
  <w:style w:type="character" w:customStyle="1" w:styleId="E-mailSignatureChar">
    <w:name w:val="E-mail Signature Char"/>
    <w:basedOn w:val="DefaultParagraphFont"/>
    <w:link w:val="E-mailSignature"/>
    <w:rsid w:val="00102034"/>
    <w:rPr>
      <w:rFonts w:ascii="Times New Roman" w:eastAsia="Times New Roman" w:hAnsi="Times New Roman" w:cs="Times New Roman"/>
      <w:sz w:val="22"/>
      <w:szCs w:val="20"/>
      <w:lang w:eastAsia="en-GB"/>
    </w:rPr>
  </w:style>
  <w:style w:type="paragraph" w:styleId="EnvelopeAddress">
    <w:name w:val="envelope address"/>
    <w:basedOn w:val="Normal"/>
    <w:rsid w:val="00102034"/>
    <w:pPr>
      <w:framePr w:w="7920" w:h="1980" w:hRule="exact" w:hSpace="180" w:wrap="auto" w:hAnchor="page" w:xAlign="center" w:yAlign="bottom"/>
      <w:overflowPunct w:val="0"/>
      <w:autoSpaceDE w:val="0"/>
      <w:autoSpaceDN w:val="0"/>
      <w:adjustRightInd w:val="0"/>
      <w:spacing w:after="240" w:line="360" w:lineRule="auto"/>
      <w:ind w:left="2880"/>
      <w:jc w:val="both"/>
      <w:textAlignment w:val="baseline"/>
    </w:pPr>
    <w:rPr>
      <w:rFonts w:ascii="Cambria" w:eastAsia="Times New Roman" w:hAnsi="Cambria" w:cs="Times New Roman"/>
      <w:szCs w:val="24"/>
      <w:lang w:eastAsia="en-GB"/>
    </w:rPr>
  </w:style>
  <w:style w:type="paragraph" w:styleId="EnvelopeReturn">
    <w:name w:val="envelope return"/>
    <w:basedOn w:val="Normal"/>
    <w:rsid w:val="00102034"/>
    <w:pPr>
      <w:overflowPunct w:val="0"/>
      <w:autoSpaceDE w:val="0"/>
      <w:autoSpaceDN w:val="0"/>
      <w:adjustRightInd w:val="0"/>
      <w:spacing w:after="240" w:line="360" w:lineRule="auto"/>
      <w:jc w:val="both"/>
      <w:textAlignment w:val="baseline"/>
    </w:pPr>
    <w:rPr>
      <w:rFonts w:ascii="Cambria" w:eastAsia="Times New Roman" w:hAnsi="Cambria" w:cs="Times New Roman"/>
      <w:sz w:val="20"/>
      <w:lang w:eastAsia="en-GB"/>
    </w:rPr>
  </w:style>
  <w:style w:type="table" w:customStyle="1" w:styleId="LightGrid1">
    <w:name w:val="Light Grid1"/>
    <w:basedOn w:val="TableNormal"/>
    <w:next w:val="LightGrid"/>
    <w:uiPriority w:val="62"/>
    <w:rsid w:val="00102034"/>
    <w:rPr>
      <w:rFonts w:ascii="Times New Roman" w:eastAsia="Times New Roman" w:hAnsi="Times New Roman" w:cs="Times New Roman"/>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next w:val="LightGrid-Accent1"/>
    <w:uiPriority w:val="62"/>
    <w:rsid w:val="00102034"/>
    <w:rPr>
      <w:rFonts w:ascii="Times New Roman" w:eastAsia="Times New Roman" w:hAnsi="Times New Roman" w:cs="Times New Roman"/>
      <w:sz w:val="20"/>
      <w:szCs w:val="20"/>
      <w:lang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1">
    <w:name w:val="Light Grid - Accent 21"/>
    <w:basedOn w:val="TableNormal"/>
    <w:next w:val="LightGrid-Accent2"/>
    <w:uiPriority w:val="62"/>
    <w:rsid w:val="00102034"/>
    <w:rPr>
      <w:rFonts w:ascii="Times New Roman" w:eastAsia="Times New Roman" w:hAnsi="Times New Roman" w:cs="Times New Roman"/>
      <w:sz w:val="20"/>
      <w:szCs w:val="20"/>
      <w:lang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Times New Roman" w:hAnsi="Times New Rom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
    <w:name w:val="Light Grid - Accent 31"/>
    <w:basedOn w:val="TableNormal"/>
    <w:next w:val="LightGrid-Accent3"/>
    <w:uiPriority w:val="62"/>
    <w:rsid w:val="00102034"/>
    <w:rPr>
      <w:rFonts w:ascii="Times New Roman" w:eastAsia="Times New Roman" w:hAnsi="Times New Roman" w:cs="Times New Roman"/>
      <w:sz w:val="20"/>
      <w:szCs w:val="20"/>
      <w:lang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Times New Roman" w:hAnsi="Times New Rom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
    <w:name w:val="Light Grid - Accent 41"/>
    <w:basedOn w:val="TableNormal"/>
    <w:next w:val="LightGrid-Accent4"/>
    <w:uiPriority w:val="62"/>
    <w:rsid w:val="00102034"/>
    <w:rPr>
      <w:rFonts w:ascii="Times New Roman" w:eastAsia="Times New Roman" w:hAnsi="Times New Roman" w:cs="Times New Roman"/>
      <w:sz w:val="20"/>
      <w:szCs w:val="20"/>
      <w:lang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Times New Roman" w:hAnsi="Times New Rom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
    <w:name w:val="Light Grid - Accent 51"/>
    <w:basedOn w:val="TableNormal"/>
    <w:next w:val="LightGrid-Accent5"/>
    <w:uiPriority w:val="62"/>
    <w:rsid w:val="00102034"/>
    <w:rPr>
      <w:rFonts w:ascii="Times New Roman" w:eastAsia="Times New Roman" w:hAnsi="Times New Roman" w:cs="Times New Roman"/>
      <w:sz w:val="20"/>
      <w:szCs w:val="20"/>
      <w:lang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List1">
    <w:name w:val="Light List1"/>
    <w:basedOn w:val="TableNormal"/>
    <w:next w:val="LightList"/>
    <w:uiPriority w:val="61"/>
    <w:rsid w:val="00102034"/>
    <w:rPr>
      <w:rFonts w:ascii="Times New Roman" w:eastAsia="Times New Roman" w:hAnsi="Times New Roman" w:cs="Times New Roman"/>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TableNormal"/>
    <w:next w:val="LightList-Accent2"/>
    <w:uiPriority w:val="61"/>
    <w:rsid w:val="00102034"/>
    <w:rPr>
      <w:rFonts w:ascii="Times New Roman" w:eastAsia="Times New Roman" w:hAnsi="Times New Roman" w:cs="Times New Roman"/>
      <w:sz w:val="20"/>
      <w:szCs w:val="20"/>
      <w:lang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
    <w:name w:val="Light List - Accent 31"/>
    <w:basedOn w:val="TableNormal"/>
    <w:next w:val="LightList-Accent3"/>
    <w:uiPriority w:val="61"/>
    <w:rsid w:val="00102034"/>
    <w:rPr>
      <w:rFonts w:ascii="Times New Roman" w:eastAsia="Times New Roman" w:hAnsi="Times New Roman" w:cs="Times New Roman"/>
      <w:sz w:val="20"/>
      <w:szCs w:val="20"/>
      <w:lang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
    <w:name w:val="Light List - Accent 41"/>
    <w:basedOn w:val="TableNormal"/>
    <w:next w:val="LightList-Accent4"/>
    <w:uiPriority w:val="61"/>
    <w:rsid w:val="00102034"/>
    <w:rPr>
      <w:rFonts w:ascii="Times New Roman" w:eastAsia="Times New Roman" w:hAnsi="Times New Roman" w:cs="Times New Roman"/>
      <w:sz w:val="20"/>
      <w:szCs w:val="20"/>
      <w:lang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
    <w:name w:val="Light List - Accent 51"/>
    <w:basedOn w:val="TableNormal"/>
    <w:next w:val="LightList-Accent5"/>
    <w:uiPriority w:val="61"/>
    <w:rsid w:val="00102034"/>
    <w:rPr>
      <w:rFonts w:ascii="Times New Roman" w:eastAsia="Times New Roman" w:hAnsi="Times New Roman" w:cs="Times New Roman"/>
      <w:sz w:val="20"/>
      <w:szCs w:val="20"/>
      <w:lang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
    <w:name w:val="Light List - Accent 61"/>
    <w:basedOn w:val="TableNormal"/>
    <w:next w:val="LightList-Accent6"/>
    <w:uiPriority w:val="61"/>
    <w:rsid w:val="00102034"/>
    <w:rPr>
      <w:rFonts w:ascii="Times New Roman" w:eastAsia="Times New Roman" w:hAnsi="Times New Roman" w:cs="Times New Roman"/>
      <w:sz w:val="20"/>
      <w:szCs w:val="20"/>
      <w:lang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11">
    <w:name w:val="Light Shading - Accent 11"/>
    <w:basedOn w:val="TableNormal"/>
    <w:next w:val="LightShading-Accent1"/>
    <w:uiPriority w:val="60"/>
    <w:rsid w:val="00102034"/>
    <w:rPr>
      <w:rFonts w:ascii="Times New Roman" w:eastAsia="Times New Roman" w:hAnsi="Times New Roman" w:cs="Times New Roman"/>
      <w:color w:val="365F91"/>
      <w:sz w:val="20"/>
      <w:szCs w:val="20"/>
      <w:lang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TableNormal"/>
    <w:next w:val="LightShading-Accent2"/>
    <w:uiPriority w:val="60"/>
    <w:rsid w:val="00102034"/>
    <w:rPr>
      <w:rFonts w:ascii="Times New Roman" w:eastAsia="Times New Roman" w:hAnsi="Times New Roman" w:cs="Times New Roman"/>
      <w:color w:val="943634"/>
      <w:sz w:val="20"/>
      <w:szCs w:val="20"/>
      <w:lang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next w:val="LightShading-Accent3"/>
    <w:uiPriority w:val="60"/>
    <w:rsid w:val="00102034"/>
    <w:rPr>
      <w:rFonts w:ascii="Times New Roman" w:eastAsia="Times New Roman" w:hAnsi="Times New Roman" w:cs="Times New Roman"/>
      <w:color w:val="76923C"/>
      <w:sz w:val="20"/>
      <w:szCs w:val="20"/>
      <w:lang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TableNormal"/>
    <w:next w:val="LightShading-Accent4"/>
    <w:uiPriority w:val="60"/>
    <w:rsid w:val="00102034"/>
    <w:rPr>
      <w:rFonts w:ascii="Times New Roman" w:eastAsia="Times New Roman" w:hAnsi="Times New Roman" w:cs="Times New Roman"/>
      <w:color w:val="5F497A"/>
      <w:sz w:val="20"/>
      <w:szCs w:val="20"/>
      <w:lang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TableNormal"/>
    <w:next w:val="LightShading-Accent5"/>
    <w:uiPriority w:val="60"/>
    <w:rsid w:val="00102034"/>
    <w:rPr>
      <w:rFonts w:ascii="Times New Roman" w:eastAsia="Times New Roman" w:hAnsi="Times New Roman" w:cs="Times New Roman"/>
      <w:color w:val="31849B"/>
      <w:sz w:val="20"/>
      <w:szCs w:val="20"/>
      <w:lang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
    <w:name w:val="Light Shading - Accent 61"/>
    <w:basedOn w:val="TableNormal"/>
    <w:next w:val="LightShading-Accent6"/>
    <w:uiPriority w:val="60"/>
    <w:rsid w:val="00102034"/>
    <w:rPr>
      <w:rFonts w:ascii="Times New Roman" w:eastAsia="Times New Roman" w:hAnsi="Times New Roman" w:cs="Times New Roman"/>
      <w:color w:val="E36C0A"/>
      <w:sz w:val="20"/>
      <w:szCs w:val="20"/>
      <w:lang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rsid w:val="00102034"/>
  </w:style>
  <w:style w:type="paragraph" w:styleId="List">
    <w:name w:val="List"/>
    <w:basedOn w:val="Normal"/>
    <w:rsid w:val="00102034"/>
    <w:pPr>
      <w:overflowPunct w:val="0"/>
      <w:autoSpaceDE w:val="0"/>
      <w:autoSpaceDN w:val="0"/>
      <w:adjustRightInd w:val="0"/>
      <w:spacing w:after="240" w:line="360" w:lineRule="auto"/>
      <w:ind w:left="283" w:hanging="283"/>
      <w:contextualSpacing/>
      <w:jc w:val="both"/>
      <w:textAlignment w:val="baseline"/>
    </w:pPr>
    <w:rPr>
      <w:rFonts w:ascii="Times New Roman" w:eastAsia="Times New Roman" w:hAnsi="Times New Roman" w:cs="Times New Roman"/>
      <w:sz w:val="22"/>
      <w:lang w:eastAsia="en-GB"/>
    </w:rPr>
  </w:style>
  <w:style w:type="paragraph" w:styleId="List2">
    <w:name w:val="List 2"/>
    <w:basedOn w:val="Normal"/>
    <w:rsid w:val="00102034"/>
    <w:pPr>
      <w:overflowPunct w:val="0"/>
      <w:autoSpaceDE w:val="0"/>
      <w:autoSpaceDN w:val="0"/>
      <w:adjustRightInd w:val="0"/>
      <w:spacing w:after="240" w:line="360" w:lineRule="auto"/>
      <w:ind w:left="566" w:hanging="283"/>
      <w:contextualSpacing/>
      <w:jc w:val="both"/>
      <w:textAlignment w:val="baseline"/>
    </w:pPr>
    <w:rPr>
      <w:rFonts w:ascii="Times New Roman" w:eastAsia="Times New Roman" w:hAnsi="Times New Roman" w:cs="Times New Roman"/>
      <w:sz w:val="22"/>
      <w:lang w:eastAsia="en-GB"/>
    </w:rPr>
  </w:style>
  <w:style w:type="paragraph" w:styleId="List3">
    <w:name w:val="List 3"/>
    <w:basedOn w:val="Normal"/>
    <w:rsid w:val="00102034"/>
    <w:pPr>
      <w:overflowPunct w:val="0"/>
      <w:autoSpaceDE w:val="0"/>
      <w:autoSpaceDN w:val="0"/>
      <w:adjustRightInd w:val="0"/>
      <w:spacing w:after="240" w:line="360" w:lineRule="auto"/>
      <w:ind w:left="849" w:hanging="283"/>
      <w:contextualSpacing/>
      <w:jc w:val="both"/>
      <w:textAlignment w:val="baseline"/>
    </w:pPr>
    <w:rPr>
      <w:rFonts w:ascii="Times New Roman" w:eastAsia="Times New Roman" w:hAnsi="Times New Roman" w:cs="Times New Roman"/>
      <w:sz w:val="22"/>
      <w:lang w:eastAsia="en-GB"/>
    </w:rPr>
  </w:style>
  <w:style w:type="paragraph" w:styleId="List4">
    <w:name w:val="List 4"/>
    <w:basedOn w:val="Normal"/>
    <w:rsid w:val="00102034"/>
    <w:pPr>
      <w:overflowPunct w:val="0"/>
      <w:autoSpaceDE w:val="0"/>
      <w:autoSpaceDN w:val="0"/>
      <w:adjustRightInd w:val="0"/>
      <w:spacing w:after="240" w:line="360" w:lineRule="auto"/>
      <w:ind w:left="1132" w:hanging="283"/>
      <w:contextualSpacing/>
      <w:jc w:val="both"/>
      <w:textAlignment w:val="baseline"/>
    </w:pPr>
    <w:rPr>
      <w:rFonts w:ascii="Times New Roman" w:eastAsia="Times New Roman" w:hAnsi="Times New Roman" w:cs="Times New Roman"/>
      <w:sz w:val="22"/>
      <w:lang w:eastAsia="en-GB"/>
    </w:rPr>
  </w:style>
  <w:style w:type="paragraph" w:styleId="List5">
    <w:name w:val="List 5"/>
    <w:basedOn w:val="Normal"/>
    <w:rsid w:val="00102034"/>
    <w:pPr>
      <w:overflowPunct w:val="0"/>
      <w:autoSpaceDE w:val="0"/>
      <w:autoSpaceDN w:val="0"/>
      <w:adjustRightInd w:val="0"/>
      <w:spacing w:after="240" w:line="360" w:lineRule="auto"/>
      <w:ind w:left="1415" w:hanging="283"/>
      <w:contextualSpacing/>
      <w:jc w:val="both"/>
      <w:textAlignment w:val="baseline"/>
    </w:pPr>
    <w:rPr>
      <w:rFonts w:ascii="Times New Roman" w:eastAsia="Times New Roman" w:hAnsi="Times New Roman" w:cs="Times New Roman"/>
      <w:sz w:val="22"/>
      <w:lang w:eastAsia="en-GB"/>
    </w:rPr>
  </w:style>
  <w:style w:type="paragraph" w:styleId="ListContinue">
    <w:name w:val="List Continue"/>
    <w:basedOn w:val="Normal"/>
    <w:rsid w:val="00102034"/>
    <w:pPr>
      <w:overflowPunct w:val="0"/>
      <w:autoSpaceDE w:val="0"/>
      <w:autoSpaceDN w:val="0"/>
      <w:adjustRightInd w:val="0"/>
      <w:spacing w:after="120" w:line="360" w:lineRule="auto"/>
      <w:ind w:left="283"/>
      <w:contextualSpacing/>
      <w:jc w:val="both"/>
      <w:textAlignment w:val="baseline"/>
    </w:pPr>
    <w:rPr>
      <w:rFonts w:ascii="Times New Roman" w:eastAsia="Times New Roman" w:hAnsi="Times New Roman" w:cs="Times New Roman"/>
      <w:sz w:val="22"/>
      <w:lang w:eastAsia="en-GB"/>
    </w:rPr>
  </w:style>
  <w:style w:type="paragraph" w:styleId="ListContinue2">
    <w:name w:val="List Continue 2"/>
    <w:basedOn w:val="Normal"/>
    <w:rsid w:val="00102034"/>
    <w:pPr>
      <w:overflowPunct w:val="0"/>
      <w:autoSpaceDE w:val="0"/>
      <w:autoSpaceDN w:val="0"/>
      <w:adjustRightInd w:val="0"/>
      <w:spacing w:after="120" w:line="360" w:lineRule="auto"/>
      <w:ind w:left="566"/>
      <w:contextualSpacing/>
      <w:jc w:val="both"/>
      <w:textAlignment w:val="baseline"/>
    </w:pPr>
    <w:rPr>
      <w:rFonts w:ascii="Times New Roman" w:eastAsia="Times New Roman" w:hAnsi="Times New Roman" w:cs="Times New Roman"/>
      <w:sz w:val="22"/>
      <w:lang w:eastAsia="en-GB"/>
    </w:rPr>
  </w:style>
  <w:style w:type="paragraph" w:styleId="ListContinue3">
    <w:name w:val="List Continue 3"/>
    <w:basedOn w:val="Normal"/>
    <w:rsid w:val="00102034"/>
    <w:pPr>
      <w:overflowPunct w:val="0"/>
      <w:autoSpaceDE w:val="0"/>
      <w:autoSpaceDN w:val="0"/>
      <w:adjustRightInd w:val="0"/>
      <w:spacing w:after="120" w:line="360" w:lineRule="auto"/>
      <w:ind w:left="849"/>
      <w:contextualSpacing/>
      <w:jc w:val="both"/>
      <w:textAlignment w:val="baseline"/>
    </w:pPr>
    <w:rPr>
      <w:rFonts w:ascii="Times New Roman" w:eastAsia="Times New Roman" w:hAnsi="Times New Roman" w:cs="Times New Roman"/>
      <w:sz w:val="22"/>
      <w:lang w:eastAsia="en-GB"/>
    </w:rPr>
  </w:style>
  <w:style w:type="paragraph" w:styleId="ListContinue4">
    <w:name w:val="List Continue 4"/>
    <w:basedOn w:val="Normal"/>
    <w:rsid w:val="00102034"/>
    <w:pPr>
      <w:overflowPunct w:val="0"/>
      <w:autoSpaceDE w:val="0"/>
      <w:autoSpaceDN w:val="0"/>
      <w:adjustRightInd w:val="0"/>
      <w:spacing w:after="120" w:line="360" w:lineRule="auto"/>
      <w:ind w:left="1132"/>
      <w:contextualSpacing/>
      <w:jc w:val="both"/>
      <w:textAlignment w:val="baseline"/>
    </w:pPr>
    <w:rPr>
      <w:rFonts w:ascii="Times New Roman" w:eastAsia="Times New Roman" w:hAnsi="Times New Roman" w:cs="Times New Roman"/>
      <w:sz w:val="22"/>
      <w:lang w:eastAsia="en-GB"/>
    </w:rPr>
  </w:style>
  <w:style w:type="paragraph" w:styleId="ListContinue5">
    <w:name w:val="List Continue 5"/>
    <w:basedOn w:val="Normal"/>
    <w:rsid w:val="00102034"/>
    <w:pPr>
      <w:overflowPunct w:val="0"/>
      <w:autoSpaceDE w:val="0"/>
      <w:autoSpaceDN w:val="0"/>
      <w:adjustRightInd w:val="0"/>
      <w:spacing w:after="120" w:line="360" w:lineRule="auto"/>
      <w:ind w:left="1415"/>
      <w:contextualSpacing/>
      <w:jc w:val="both"/>
      <w:textAlignment w:val="baseline"/>
    </w:pPr>
    <w:rPr>
      <w:rFonts w:ascii="Times New Roman" w:eastAsia="Times New Roman" w:hAnsi="Times New Roman" w:cs="Times New Roman"/>
      <w:sz w:val="22"/>
      <w:lang w:eastAsia="en-GB"/>
    </w:rPr>
  </w:style>
  <w:style w:type="paragraph" w:styleId="ListNumber">
    <w:name w:val="List Number"/>
    <w:basedOn w:val="Normal"/>
    <w:rsid w:val="00102034"/>
    <w:pPr>
      <w:numPr>
        <w:numId w:val="20"/>
      </w:numPr>
      <w:overflowPunct w:val="0"/>
      <w:autoSpaceDE w:val="0"/>
      <w:autoSpaceDN w:val="0"/>
      <w:adjustRightInd w:val="0"/>
      <w:spacing w:after="240" w:line="360" w:lineRule="auto"/>
      <w:contextualSpacing/>
      <w:jc w:val="both"/>
      <w:textAlignment w:val="baseline"/>
    </w:pPr>
    <w:rPr>
      <w:rFonts w:ascii="Times New Roman" w:eastAsia="Times New Roman" w:hAnsi="Times New Roman" w:cs="Times New Roman"/>
      <w:sz w:val="22"/>
      <w:lang w:eastAsia="en-GB"/>
    </w:rPr>
  </w:style>
  <w:style w:type="paragraph" w:styleId="ListNumber2">
    <w:name w:val="List Number 2"/>
    <w:basedOn w:val="Normal"/>
    <w:rsid w:val="00102034"/>
    <w:pPr>
      <w:numPr>
        <w:numId w:val="21"/>
      </w:numPr>
      <w:overflowPunct w:val="0"/>
      <w:autoSpaceDE w:val="0"/>
      <w:autoSpaceDN w:val="0"/>
      <w:adjustRightInd w:val="0"/>
      <w:spacing w:after="240" w:line="360" w:lineRule="auto"/>
      <w:contextualSpacing/>
      <w:jc w:val="both"/>
      <w:textAlignment w:val="baseline"/>
    </w:pPr>
    <w:rPr>
      <w:rFonts w:ascii="Times New Roman" w:eastAsia="Times New Roman" w:hAnsi="Times New Roman" w:cs="Times New Roman"/>
      <w:sz w:val="22"/>
      <w:lang w:eastAsia="en-GB"/>
    </w:rPr>
  </w:style>
  <w:style w:type="paragraph" w:styleId="ListNumber3">
    <w:name w:val="List Number 3"/>
    <w:basedOn w:val="Normal"/>
    <w:rsid w:val="00102034"/>
    <w:pPr>
      <w:numPr>
        <w:numId w:val="22"/>
      </w:numPr>
      <w:overflowPunct w:val="0"/>
      <w:autoSpaceDE w:val="0"/>
      <w:autoSpaceDN w:val="0"/>
      <w:adjustRightInd w:val="0"/>
      <w:spacing w:after="240" w:line="360" w:lineRule="auto"/>
      <w:contextualSpacing/>
      <w:jc w:val="both"/>
      <w:textAlignment w:val="baseline"/>
    </w:pPr>
    <w:rPr>
      <w:rFonts w:ascii="Times New Roman" w:eastAsia="Times New Roman" w:hAnsi="Times New Roman" w:cs="Times New Roman"/>
      <w:sz w:val="22"/>
      <w:lang w:eastAsia="en-GB"/>
    </w:rPr>
  </w:style>
  <w:style w:type="paragraph" w:styleId="ListNumber4">
    <w:name w:val="List Number 4"/>
    <w:basedOn w:val="Normal"/>
    <w:rsid w:val="00102034"/>
    <w:pPr>
      <w:numPr>
        <w:numId w:val="23"/>
      </w:numPr>
      <w:overflowPunct w:val="0"/>
      <w:autoSpaceDE w:val="0"/>
      <w:autoSpaceDN w:val="0"/>
      <w:adjustRightInd w:val="0"/>
      <w:spacing w:after="240" w:line="360" w:lineRule="auto"/>
      <w:contextualSpacing/>
      <w:jc w:val="both"/>
      <w:textAlignment w:val="baseline"/>
    </w:pPr>
    <w:rPr>
      <w:rFonts w:ascii="Times New Roman" w:eastAsia="Times New Roman" w:hAnsi="Times New Roman" w:cs="Times New Roman"/>
      <w:sz w:val="22"/>
      <w:lang w:eastAsia="en-GB"/>
    </w:rPr>
  </w:style>
  <w:style w:type="paragraph" w:styleId="ListNumber5">
    <w:name w:val="List Number 5"/>
    <w:basedOn w:val="Normal"/>
    <w:rsid w:val="00102034"/>
    <w:pPr>
      <w:numPr>
        <w:numId w:val="24"/>
      </w:numPr>
      <w:overflowPunct w:val="0"/>
      <w:autoSpaceDE w:val="0"/>
      <w:autoSpaceDN w:val="0"/>
      <w:adjustRightInd w:val="0"/>
      <w:spacing w:after="240" w:line="360" w:lineRule="auto"/>
      <w:contextualSpacing/>
      <w:jc w:val="both"/>
      <w:textAlignment w:val="baseline"/>
    </w:pPr>
    <w:rPr>
      <w:rFonts w:ascii="Times New Roman" w:eastAsia="Times New Roman" w:hAnsi="Times New Roman" w:cs="Times New Roman"/>
      <w:sz w:val="22"/>
      <w:lang w:eastAsia="en-GB"/>
    </w:rPr>
  </w:style>
  <w:style w:type="paragraph" w:styleId="MacroText">
    <w:name w:val="macro"/>
    <w:link w:val="MacroTextChar"/>
    <w:rsid w:val="0010203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textAlignment w:val="baseline"/>
    </w:pPr>
    <w:rPr>
      <w:rFonts w:ascii="Courier New" w:eastAsia="Times New Roman" w:hAnsi="Courier New" w:cs="Courier New"/>
      <w:sz w:val="20"/>
      <w:szCs w:val="20"/>
      <w:lang w:eastAsia="en-GB"/>
    </w:rPr>
  </w:style>
  <w:style w:type="character" w:customStyle="1" w:styleId="MacroTextChar">
    <w:name w:val="Macro Text Char"/>
    <w:basedOn w:val="DefaultParagraphFont"/>
    <w:link w:val="MacroText"/>
    <w:rsid w:val="00102034"/>
    <w:rPr>
      <w:rFonts w:ascii="Courier New" w:eastAsia="Times New Roman" w:hAnsi="Courier New" w:cs="Courier New"/>
      <w:sz w:val="20"/>
      <w:szCs w:val="20"/>
      <w:lang w:eastAsia="en-GB"/>
    </w:rPr>
  </w:style>
  <w:style w:type="table" w:customStyle="1" w:styleId="MediumGrid11">
    <w:name w:val="Medium Grid 11"/>
    <w:basedOn w:val="TableNormal"/>
    <w:next w:val="MediumGrid1"/>
    <w:uiPriority w:val="67"/>
    <w:rsid w:val="00102034"/>
    <w:rPr>
      <w:rFonts w:ascii="Times New Roman" w:eastAsia="Times New Roman" w:hAnsi="Times New Roman" w:cs="Times New Roman"/>
      <w:sz w:val="20"/>
      <w:szCs w:val="20"/>
      <w:lang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1">
    <w:name w:val="Medium Grid 1 - Accent 11"/>
    <w:basedOn w:val="TableNormal"/>
    <w:next w:val="MediumGrid1-Accent1"/>
    <w:uiPriority w:val="67"/>
    <w:rsid w:val="00102034"/>
    <w:rPr>
      <w:rFonts w:ascii="Times New Roman" w:eastAsia="Times New Roman" w:hAnsi="Times New Roman" w:cs="Times New Roman"/>
      <w:sz w:val="20"/>
      <w:szCs w:val="20"/>
      <w:lang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
    <w:name w:val="Medium Grid 1 - Accent 21"/>
    <w:basedOn w:val="TableNormal"/>
    <w:next w:val="MediumGrid1-Accent2"/>
    <w:uiPriority w:val="67"/>
    <w:rsid w:val="00102034"/>
    <w:rPr>
      <w:rFonts w:ascii="Times New Roman" w:eastAsia="Times New Roman" w:hAnsi="Times New Roman" w:cs="Times New Roman"/>
      <w:sz w:val="20"/>
      <w:szCs w:val="20"/>
      <w:lang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
    <w:name w:val="Medium Grid 1 - Accent 31"/>
    <w:basedOn w:val="TableNormal"/>
    <w:next w:val="MediumGrid1-Accent3"/>
    <w:uiPriority w:val="67"/>
    <w:rsid w:val="00102034"/>
    <w:rPr>
      <w:rFonts w:ascii="Times New Roman" w:eastAsia="Times New Roman" w:hAnsi="Times New Roman" w:cs="Times New Roman"/>
      <w:sz w:val="20"/>
      <w:szCs w:val="20"/>
      <w:lang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
    <w:name w:val="Medium Grid 1 - Accent 41"/>
    <w:basedOn w:val="TableNormal"/>
    <w:next w:val="MediumGrid1-Accent4"/>
    <w:uiPriority w:val="67"/>
    <w:rsid w:val="00102034"/>
    <w:rPr>
      <w:rFonts w:ascii="Times New Roman" w:eastAsia="Times New Roman" w:hAnsi="Times New Roman" w:cs="Times New Roman"/>
      <w:sz w:val="20"/>
      <w:szCs w:val="20"/>
      <w:lang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
    <w:name w:val="Medium Grid 1 - Accent 51"/>
    <w:basedOn w:val="TableNormal"/>
    <w:next w:val="MediumGrid1-Accent5"/>
    <w:uiPriority w:val="67"/>
    <w:rsid w:val="00102034"/>
    <w:rPr>
      <w:rFonts w:ascii="Times New Roman" w:eastAsia="Times New Roman" w:hAnsi="Times New Roman" w:cs="Times New Roman"/>
      <w:sz w:val="20"/>
      <w:szCs w:val="20"/>
      <w:lang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
    <w:name w:val="Medium Grid 1 - Accent 61"/>
    <w:basedOn w:val="TableNormal"/>
    <w:next w:val="MediumGrid1-Accent6"/>
    <w:uiPriority w:val="67"/>
    <w:rsid w:val="00102034"/>
    <w:rPr>
      <w:rFonts w:ascii="Times New Roman" w:eastAsia="Times New Roman" w:hAnsi="Times New Roman" w:cs="Times New Roman"/>
      <w:sz w:val="20"/>
      <w:szCs w:val="20"/>
      <w:lang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next w:val="MediumGrid2"/>
    <w:uiPriority w:val="68"/>
    <w:rsid w:val="00102034"/>
    <w:rPr>
      <w:rFonts w:ascii="Cambria" w:eastAsia="Times New Roman" w:hAnsi="Cambria" w:cs="Times New Roman"/>
      <w:color w:val="000000"/>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TableNormal"/>
    <w:next w:val="MediumGrid2-Accent1"/>
    <w:uiPriority w:val="68"/>
    <w:rsid w:val="00102034"/>
    <w:rPr>
      <w:rFonts w:ascii="Cambria" w:eastAsia="Times New Roman" w:hAnsi="Cambria" w:cs="Times New Roman"/>
      <w:color w:val="000000"/>
      <w:sz w:val="20"/>
      <w:szCs w:val="20"/>
      <w:lang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
    <w:name w:val="Medium Grid 2 - Accent 21"/>
    <w:basedOn w:val="TableNormal"/>
    <w:next w:val="MediumGrid2-Accent2"/>
    <w:uiPriority w:val="68"/>
    <w:rsid w:val="00102034"/>
    <w:rPr>
      <w:rFonts w:ascii="Cambria" w:eastAsia="Times New Roman" w:hAnsi="Cambria" w:cs="Times New Roman"/>
      <w:color w:val="000000"/>
      <w:sz w:val="20"/>
      <w:szCs w:val="20"/>
      <w:lang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41">
    <w:name w:val="Medium Grid 2 - Accent 41"/>
    <w:basedOn w:val="TableNormal"/>
    <w:next w:val="MediumGrid2-Accent4"/>
    <w:uiPriority w:val="68"/>
    <w:rsid w:val="00102034"/>
    <w:rPr>
      <w:rFonts w:ascii="Cambria" w:eastAsia="Times New Roman" w:hAnsi="Cambria" w:cs="Times New Roman"/>
      <w:color w:val="000000"/>
      <w:sz w:val="20"/>
      <w:szCs w:val="20"/>
      <w:lang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
    <w:name w:val="Medium Grid 2 - Accent 51"/>
    <w:basedOn w:val="TableNormal"/>
    <w:next w:val="MediumGrid2-Accent5"/>
    <w:uiPriority w:val="68"/>
    <w:rsid w:val="00102034"/>
    <w:rPr>
      <w:rFonts w:ascii="Cambria" w:eastAsia="Times New Roman" w:hAnsi="Cambria" w:cs="Times New Roman"/>
      <w:color w:val="000000"/>
      <w:sz w:val="20"/>
      <w:szCs w:val="20"/>
      <w:lang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31">
    <w:name w:val="Medium Grid 31"/>
    <w:basedOn w:val="TableNormal"/>
    <w:next w:val="MediumGrid3"/>
    <w:uiPriority w:val="69"/>
    <w:rsid w:val="00102034"/>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1">
    <w:name w:val="Medium Grid 3 - Accent 11"/>
    <w:basedOn w:val="TableNormal"/>
    <w:next w:val="MediumGrid3-Accent1"/>
    <w:uiPriority w:val="69"/>
    <w:rsid w:val="00102034"/>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
    <w:name w:val="Medium Grid 3 - Accent 21"/>
    <w:basedOn w:val="TableNormal"/>
    <w:next w:val="MediumGrid3-Accent2"/>
    <w:uiPriority w:val="69"/>
    <w:rsid w:val="00102034"/>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
    <w:name w:val="Medium Grid 3 - Accent 31"/>
    <w:basedOn w:val="TableNormal"/>
    <w:next w:val="MediumGrid3-Accent3"/>
    <w:uiPriority w:val="69"/>
    <w:rsid w:val="00102034"/>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
    <w:name w:val="Medium Grid 3 - Accent 41"/>
    <w:basedOn w:val="TableNormal"/>
    <w:next w:val="MediumGrid3-Accent4"/>
    <w:uiPriority w:val="69"/>
    <w:rsid w:val="00102034"/>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
    <w:name w:val="Medium Grid 3 - Accent 51"/>
    <w:basedOn w:val="TableNormal"/>
    <w:next w:val="MediumGrid3-Accent5"/>
    <w:uiPriority w:val="69"/>
    <w:rsid w:val="00102034"/>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
    <w:name w:val="Medium Grid 3 - Accent 61"/>
    <w:basedOn w:val="TableNormal"/>
    <w:next w:val="MediumGrid3-Accent6"/>
    <w:uiPriority w:val="69"/>
    <w:rsid w:val="00102034"/>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next w:val="MediumList1"/>
    <w:uiPriority w:val="65"/>
    <w:rsid w:val="00102034"/>
    <w:rPr>
      <w:rFonts w:ascii="Times New Roman" w:eastAsia="Times New Roman" w:hAnsi="Times New Roman" w:cs="Times New Roman"/>
      <w:color w:val="000000"/>
      <w:sz w:val="20"/>
      <w:szCs w:val="20"/>
      <w:lang w:eastAsia="en-GB"/>
    </w:rPr>
    <w:tblPr>
      <w:tblStyleRowBandSize w:val="1"/>
      <w:tblStyleColBandSize w:val="1"/>
      <w:tblBorders>
        <w:top w:val="single" w:sz="8" w:space="0" w:color="000000"/>
        <w:bottom w:val="single" w:sz="8" w:space="0" w:color="000000"/>
      </w:tblBorders>
    </w:tblPr>
    <w:tblStylePr w:type="firstRow">
      <w:rPr>
        <w:rFonts w:ascii="Times New Roman" w:eastAsia="Times New Roman" w:hAnsi="Times New Ro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next w:val="MediumList1-Accent1"/>
    <w:uiPriority w:val="65"/>
    <w:rsid w:val="00102034"/>
    <w:rPr>
      <w:rFonts w:ascii="Times New Roman" w:eastAsia="Times New Roman" w:hAnsi="Times New Roman" w:cs="Times New Roman"/>
      <w:color w:val="000000"/>
      <w:sz w:val="20"/>
      <w:szCs w:val="20"/>
      <w:lang w:eastAsia="en-GB"/>
    </w:rPr>
    <w:tblPr>
      <w:tblStyleRowBandSize w:val="1"/>
      <w:tblStyleColBandSize w:val="1"/>
      <w:tblBorders>
        <w:top w:val="single" w:sz="8" w:space="0" w:color="4F81BD"/>
        <w:bottom w:val="single" w:sz="8" w:space="0" w:color="4F81BD"/>
      </w:tblBorders>
    </w:tblPr>
    <w:tblStylePr w:type="firstRow">
      <w:rPr>
        <w:rFonts w:ascii="Times New Roman" w:eastAsia="Times New Roman" w:hAnsi="Times New Rom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1">
    <w:name w:val="Medium List 1 - Accent 21"/>
    <w:basedOn w:val="TableNormal"/>
    <w:next w:val="MediumList1-Accent2"/>
    <w:uiPriority w:val="65"/>
    <w:rsid w:val="00102034"/>
    <w:rPr>
      <w:rFonts w:ascii="Times New Roman" w:eastAsia="Times New Roman" w:hAnsi="Times New Roman" w:cs="Times New Roman"/>
      <w:color w:val="000000"/>
      <w:sz w:val="20"/>
      <w:szCs w:val="20"/>
      <w:lang w:eastAsia="en-GB"/>
    </w:rPr>
    <w:tblPr>
      <w:tblStyleRowBandSize w:val="1"/>
      <w:tblStyleColBandSize w:val="1"/>
      <w:tblBorders>
        <w:top w:val="single" w:sz="8" w:space="0" w:color="C0504D"/>
        <w:bottom w:val="single" w:sz="8" w:space="0" w:color="C0504D"/>
      </w:tblBorders>
    </w:tblPr>
    <w:tblStylePr w:type="firstRow">
      <w:rPr>
        <w:rFonts w:ascii="Times New Roman" w:eastAsia="Times New Roman" w:hAnsi="Times New Rom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
    <w:name w:val="Medium List 1 - Accent 31"/>
    <w:basedOn w:val="TableNormal"/>
    <w:next w:val="MediumList1-Accent3"/>
    <w:uiPriority w:val="65"/>
    <w:rsid w:val="00102034"/>
    <w:rPr>
      <w:rFonts w:ascii="Times New Roman" w:eastAsia="Times New Roman" w:hAnsi="Times New Roman" w:cs="Times New Roman"/>
      <w:color w:val="000000"/>
      <w:sz w:val="20"/>
      <w:szCs w:val="20"/>
      <w:lang w:eastAsia="en-GB"/>
    </w:rPr>
    <w:tblPr>
      <w:tblStyleRowBandSize w:val="1"/>
      <w:tblStyleColBandSize w:val="1"/>
      <w:tblBorders>
        <w:top w:val="single" w:sz="8" w:space="0" w:color="9BBB59"/>
        <w:bottom w:val="single" w:sz="8" w:space="0" w:color="9BBB59"/>
      </w:tblBorders>
    </w:tblPr>
    <w:tblStylePr w:type="firstRow">
      <w:rPr>
        <w:rFonts w:ascii="Times New Roman" w:eastAsia="Times New Roman" w:hAnsi="Times New Rom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
    <w:name w:val="Medium List 1 - Accent 41"/>
    <w:basedOn w:val="TableNormal"/>
    <w:next w:val="MediumList1-Accent4"/>
    <w:uiPriority w:val="65"/>
    <w:rsid w:val="00102034"/>
    <w:rPr>
      <w:rFonts w:ascii="Times New Roman" w:eastAsia="Times New Roman" w:hAnsi="Times New Roman" w:cs="Times New Roman"/>
      <w:color w:val="000000"/>
      <w:sz w:val="20"/>
      <w:szCs w:val="20"/>
      <w:lang w:eastAsia="en-GB"/>
    </w:rPr>
    <w:tblPr>
      <w:tblStyleRowBandSize w:val="1"/>
      <w:tblStyleColBandSize w:val="1"/>
      <w:tblBorders>
        <w:top w:val="single" w:sz="8" w:space="0" w:color="8064A2"/>
        <w:bottom w:val="single" w:sz="8" w:space="0" w:color="8064A2"/>
      </w:tblBorders>
    </w:tblPr>
    <w:tblStylePr w:type="firstRow">
      <w:rPr>
        <w:rFonts w:ascii="Times New Roman" w:eastAsia="Times New Roman" w:hAnsi="Times New Rom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
    <w:name w:val="Medium List 1 - Accent 51"/>
    <w:basedOn w:val="TableNormal"/>
    <w:next w:val="MediumList1-Accent5"/>
    <w:uiPriority w:val="65"/>
    <w:rsid w:val="00102034"/>
    <w:rPr>
      <w:rFonts w:ascii="Times New Roman" w:eastAsia="Times New Roman" w:hAnsi="Times New Roman" w:cs="Times New Roman"/>
      <w:color w:val="000000"/>
      <w:sz w:val="20"/>
      <w:szCs w:val="20"/>
      <w:lang w:eastAsia="en-GB"/>
    </w:rPr>
    <w:tblPr>
      <w:tblStyleRowBandSize w:val="1"/>
      <w:tblStyleColBandSize w:val="1"/>
      <w:tblBorders>
        <w:top w:val="single" w:sz="8" w:space="0" w:color="4BACC6"/>
        <w:bottom w:val="single" w:sz="8" w:space="0" w:color="4BACC6"/>
      </w:tblBorders>
    </w:tblPr>
    <w:tblStylePr w:type="firstRow">
      <w:rPr>
        <w:rFonts w:ascii="Times New Roman" w:eastAsia="Times New Roman" w:hAnsi="Times New Rom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
    <w:name w:val="Medium List 1 - Accent 61"/>
    <w:basedOn w:val="TableNormal"/>
    <w:next w:val="MediumList1-Accent6"/>
    <w:uiPriority w:val="65"/>
    <w:rsid w:val="00102034"/>
    <w:rPr>
      <w:rFonts w:ascii="Times New Roman" w:eastAsia="Times New Roman" w:hAnsi="Times New Roman" w:cs="Times New Roman"/>
      <w:color w:val="000000"/>
      <w:sz w:val="20"/>
      <w:szCs w:val="20"/>
      <w:lang w:eastAsia="en-GB"/>
    </w:rPr>
    <w:tblPr>
      <w:tblStyleRowBandSize w:val="1"/>
      <w:tblStyleColBandSize w:val="1"/>
      <w:tblBorders>
        <w:top w:val="single" w:sz="8" w:space="0" w:color="F79646"/>
        <w:bottom w:val="single" w:sz="8" w:space="0" w:color="F79646"/>
      </w:tblBorders>
    </w:tblPr>
    <w:tblStylePr w:type="firstRow">
      <w:rPr>
        <w:rFonts w:ascii="Times New Roman" w:eastAsia="Times New Roman" w:hAnsi="Times New Rom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next w:val="MediumList2"/>
    <w:uiPriority w:val="66"/>
    <w:rsid w:val="00102034"/>
    <w:rPr>
      <w:rFonts w:ascii="Cambria" w:eastAsia="Times New Roman" w:hAnsi="Cambria" w:cs="Times New Roman"/>
      <w:color w:val="000000"/>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rsid w:val="00102034"/>
    <w:rPr>
      <w:rFonts w:ascii="Cambria" w:eastAsia="Times New Roman" w:hAnsi="Cambria" w:cs="Times New Roman"/>
      <w:color w:val="000000"/>
      <w:sz w:val="20"/>
      <w:szCs w:val="20"/>
      <w:lang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rsid w:val="00102034"/>
    <w:rPr>
      <w:rFonts w:ascii="Cambria" w:eastAsia="Times New Roman" w:hAnsi="Cambria" w:cs="Times New Roman"/>
      <w:color w:val="000000"/>
      <w:sz w:val="20"/>
      <w:szCs w:val="20"/>
      <w:lang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rsid w:val="00102034"/>
    <w:rPr>
      <w:rFonts w:ascii="Cambria" w:eastAsia="Times New Roman" w:hAnsi="Cambria" w:cs="Times New Roman"/>
      <w:color w:val="000000"/>
      <w:sz w:val="20"/>
      <w:szCs w:val="20"/>
      <w:lang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rsid w:val="00102034"/>
    <w:rPr>
      <w:rFonts w:ascii="Cambria" w:eastAsia="Times New Roman" w:hAnsi="Cambria" w:cs="Times New Roman"/>
      <w:color w:val="000000"/>
      <w:sz w:val="20"/>
      <w:szCs w:val="20"/>
      <w:lang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rsid w:val="00102034"/>
    <w:rPr>
      <w:rFonts w:ascii="Cambria" w:eastAsia="Times New Roman" w:hAnsi="Cambria" w:cs="Times New Roman"/>
      <w:color w:val="000000"/>
      <w:sz w:val="20"/>
      <w:szCs w:val="20"/>
      <w:lang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rsid w:val="00102034"/>
    <w:rPr>
      <w:rFonts w:ascii="Cambria" w:eastAsia="Times New Roman" w:hAnsi="Cambria" w:cs="Times New Roman"/>
      <w:color w:val="000000"/>
      <w:sz w:val="20"/>
      <w:szCs w:val="20"/>
      <w:lang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next w:val="MediumShading1"/>
    <w:uiPriority w:val="63"/>
    <w:rsid w:val="00102034"/>
    <w:rPr>
      <w:rFonts w:ascii="Times New Roman" w:eastAsia="Times New Roman" w:hAnsi="Times New Roman" w:cs="Times New Roman"/>
      <w:sz w:val="20"/>
      <w:szCs w:val="20"/>
      <w:lang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rsid w:val="00102034"/>
    <w:rPr>
      <w:rFonts w:ascii="Times New Roman" w:eastAsia="Times New Roman" w:hAnsi="Times New Roman" w:cs="Times New Roman"/>
      <w:sz w:val="20"/>
      <w:szCs w:val="20"/>
      <w:lang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rsid w:val="00102034"/>
    <w:rPr>
      <w:rFonts w:ascii="Times New Roman" w:eastAsia="Times New Roman" w:hAnsi="Times New Roman" w:cs="Times New Roman"/>
      <w:sz w:val="20"/>
      <w:szCs w:val="20"/>
      <w:lang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rsid w:val="00102034"/>
    <w:rPr>
      <w:rFonts w:ascii="Times New Roman" w:eastAsia="Times New Roman" w:hAnsi="Times New Roman" w:cs="Times New Roman"/>
      <w:sz w:val="20"/>
      <w:szCs w:val="20"/>
      <w:lang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rsid w:val="00102034"/>
    <w:rPr>
      <w:rFonts w:ascii="Times New Roman" w:eastAsia="Times New Roman" w:hAnsi="Times New Roman" w:cs="Times New Roman"/>
      <w:sz w:val="20"/>
      <w:szCs w:val="20"/>
      <w:lang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rsid w:val="00102034"/>
    <w:rPr>
      <w:rFonts w:ascii="Times New Roman" w:eastAsia="Times New Roman" w:hAnsi="Times New Roman" w:cs="Times New Roman"/>
      <w:sz w:val="20"/>
      <w:szCs w:val="20"/>
      <w:lang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rsid w:val="00102034"/>
    <w:rPr>
      <w:rFonts w:ascii="Times New Roman" w:eastAsia="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rsid w:val="00102034"/>
    <w:rPr>
      <w:rFonts w:ascii="Times New Roman" w:eastAsia="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rsid w:val="00102034"/>
    <w:rPr>
      <w:rFonts w:ascii="Times New Roman" w:eastAsia="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rsid w:val="00102034"/>
    <w:rPr>
      <w:rFonts w:ascii="Times New Roman" w:eastAsia="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rsid w:val="00102034"/>
    <w:rPr>
      <w:rFonts w:ascii="Times New Roman" w:eastAsia="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rsid w:val="00102034"/>
    <w:rPr>
      <w:rFonts w:ascii="Times New Roman" w:eastAsia="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102034"/>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240" w:line="360" w:lineRule="auto"/>
      <w:ind w:left="1134" w:hanging="1134"/>
      <w:jc w:val="both"/>
      <w:textAlignment w:val="baseline"/>
    </w:pPr>
    <w:rPr>
      <w:rFonts w:ascii="Cambria" w:eastAsia="Times New Roman" w:hAnsi="Cambria" w:cs="Times New Roman"/>
      <w:szCs w:val="24"/>
      <w:lang w:eastAsia="en-GB"/>
    </w:rPr>
  </w:style>
  <w:style w:type="character" w:customStyle="1" w:styleId="MessageHeaderChar">
    <w:name w:val="Message Header Char"/>
    <w:basedOn w:val="DefaultParagraphFont"/>
    <w:link w:val="MessageHeader"/>
    <w:rsid w:val="00102034"/>
    <w:rPr>
      <w:rFonts w:ascii="Cambria" w:eastAsia="Times New Roman" w:hAnsi="Cambria" w:cs="Times New Roman"/>
      <w:shd w:val="pct20" w:color="auto" w:fill="auto"/>
      <w:lang w:eastAsia="en-GB"/>
    </w:rPr>
  </w:style>
  <w:style w:type="paragraph" w:styleId="NoSpacing">
    <w:name w:val="No Spacing"/>
    <w:uiPriority w:val="1"/>
    <w:qFormat/>
    <w:rsid w:val="00102034"/>
    <w:pPr>
      <w:overflowPunct w:val="0"/>
      <w:autoSpaceDE w:val="0"/>
      <w:autoSpaceDN w:val="0"/>
      <w:adjustRightInd w:val="0"/>
      <w:jc w:val="both"/>
      <w:textAlignment w:val="baseline"/>
    </w:pPr>
    <w:rPr>
      <w:rFonts w:ascii="Times New Roman" w:eastAsia="Times New Roman" w:hAnsi="Times New Roman" w:cs="Times New Roman"/>
      <w:sz w:val="22"/>
      <w:szCs w:val="20"/>
      <w:lang w:eastAsia="en-GB"/>
    </w:rPr>
  </w:style>
  <w:style w:type="paragraph" w:styleId="NormalWeb">
    <w:name w:val="Normal (Web)"/>
    <w:basedOn w:val="Normal"/>
    <w:uiPriority w:val="99"/>
    <w:rsid w:val="00102034"/>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4"/>
      <w:lang w:eastAsia="en-GB"/>
    </w:rPr>
  </w:style>
  <w:style w:type="paragraph" w:styleId="NormalIndent">
    <w:name w:val="Normal Indent"/>
    <w:basedOn w:val="Normal"/>
    <w:rsid w:val="00102034"/>
    <w:pPr>
      <w:overflowPunct w:val="0"/>
      <w:autoSpaceDE w:val="0"/>
      <w:autoSpaceDN w:val="0"/>
      <w:adjustRightInd w:val="0"/>
      <w:spacing w:after="240" w:line="360" w:lineRule="auto"/>
      <w:ind w:left="720"/>
      <w:jc w:val="both"/>
      <w:textAlignment w:val="baseline"/>
    </w:pPr>
    <w:rPr>
      <w:rFonts w:ascii="Times New Roman" w:eastAsia="Times New Roman" w:hAnsi="Times New Roman" w:cs="Times New Roman"/>
      <w:sz w:val="22"/>
      <w:lang w:eastAsia="en-GB"/>
    </w:rPr>
  </w:style>
  <w:style w:type="paragraph" w:styleId="NoteHeading">
    <w:name w:val="Note Heading"/>
    <w:basedOn w:val="Normal"/>
    <w:next w:val="Normal"/>
    <w:link w:val="NoteHeadingChar"/>
    <w:rsid w:val="00102034"/>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2"/>
      <w:lang w:eastAsia="en-GB"/>
    </w:rPr>
  </w:style>
  <w:style w:type="character" w:customStyle="1" w:styleId="NoteHeadingChar">
    <w:name w:val="Note Heading Char"/>
    <w:basedOn w:val="DefaultParagraphFont"/>
    <w:link w:val="NoteHeading"/>
    <w:rsid w:val="00102034"/>
    <w:rPr>
      <w:rFonts w:ascii="Times New Roman" w:eastAsia="Times New Roman" w:hAnsi="Times New Roman" w:cs="Times New Roman"/>
      <w:sz w:val="22"/>
      <w:szCs w:val="20"/>
      <w:lang w:eastAsia="en-GB"/>
    </w:rPr>
  </w:style>
  <w:style w:type="paragraph" w:styleId="PlainText">
    <w:name w:val="Plain Text"/>
    <w:basedOn w:val="Normal"/>
    <w:link w:val="PlainTextChar"/>
    <w:rsid w:val="00102034"/>
    <w:pPr>
      <w:overflowPunct w:val="0"/>
      <w:autoSpaceDE w:val="0"/>
      <w:autoSpaceDN w:val="0"/>
      <w:adjustRightInd w:val="0"/>
      <w:spacing w:after="240" w:line="360" w:lineRule="auto"/>
      <w:jc w:val="both"/>
      <w:textAlignment w:val="baseline"/>
    </w:pPr>
    <w:rPr>
      <w:rFonts w:ascii="Courier New" w:eastAsia="Times New Roman" w:hAnsi="Courier New" w:cs="Courier New"/>
      <w:sz w:val="20"/>
      <w:lang w:eastAsia="en-GB"/>
    </w:rPr>
  </w:style>
  <w:style w:type="character" w:customStyle="1" w:styleId="PlainTextChar">
    <w:name w:val="Plain Text Char"/>
    <w:basedOn w:val="DefaultParagraphFont"/>
    <w:link w:val="PlainText"/>
    <w:rsid w:val="00102034"/>
    <w:rPr>
      <w:rFonts w:ascii="Courier New" w:eastAsia="Times New Roman" w:hAnsi="Courier New" w:cs="Courier New"/>
      <w:sz w:val="20"/>
      <w:szCs w:val="20"/>
      <w:lang w:eastAsia="en-GB"/>
    </w:rPr>
  </w:style>
  <w:style w:type="paragraph" w:styleId="Salutation">
    <w:name w:val="Salutation"/>
    <w:basedOn w:val="Normal"/>
    <w:next w:val="Normal"/>
    <w:link w:val="SalutationChar"/>
    <w:rsid w:val="00102034"/>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2"/>
      <w:lang w:eastAsia="en-GB"/>
    </w:rPr>
  </w:style>
  <w:style w:type="character" w:customStyle="1" w:styleId="SalutationChar">
    <w:name w:val="Salutation Char"/>
    <w:basedOn w:val="DefaultParagraphFont"/>
    <w:link w:val="Salutation"/>
    <w:rsid w:val="00102034"/>
    <w:rPr>
      <w:rFonts w:ascii="Times New Roman" w:eastAsia="Times New Roman" w:hAnsi="Times New Roman" w:cs="Times New Roman"/>
      <w:sz w:val="22"/>
      <w:szCs w:val="20"/>
      <w:lang w:eastAsia="en-GB"/>
    </w:rPr>
  </w:style>
  <w:style w:type="table" w:customStyle="1" w:styleId="Table3Deffects11">
    <w:name w:val="Table 3D effects 11"/>
    <w:basedOn w:val="TableNormal"/>
    <w:next w:val="Table3Deffects1"/>
    <w:rsid w:val="00102034"/>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102034"/>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102034"/>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102034"/>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102034"/>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102034"/>
    <w:pPr>
      <w:overflowPunct w:val="0"/>
      <w:autoSpaceDE w:val="0"/>
      <w:autoSpaceDN w:val="0"/>
      <w:adjustRightInd w:val="0"/>
      <w:spacing w:after="240" w:line="360" w:lineRule="auto"/>
      <w:jc w:val="both"/>
      <w:textAlignment w:val="baseline"/>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102034"/>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urful11">
    <w:name w:val="Table Colourful 11"/>
    <w:basedOn w:val="TableNormal"/>
    <w:next w:val="TableColorful1"/>
    <w:rsid w:val="00102034"/>
    <w:pPr>
      <w:overflowPunct w:val="0"/>
      <w:autoSpaceDE w:val="0"/>
      <w:autoSpaceDN w:val="0"/>
      <w:adjustRightInd w:val="0"/>
      <w:spacing w:after="240" w:line="360" w:lineRule="auto"/>
      <w:jc w:val="both"/>
      <w:textAlignment w:val="baseline"/>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urful21">
    <w:name w:val="Table Colourful 21"/>
    <w:basedOn w:val="TableNormal"/>
    <w:next w:val="TableColorful2"/>
    <w:rsid w:val="00102034"/>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urful31">
    <w:name w:val="Table Colourful 31"/>
    <w:basedOn w:val="TableNormal"/>
    <w:next w:val="TableColorful3"/>
    <w:rsid w:val="00102034"/>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102034"/>
    <w:pPr>
      <w:overflowPunct w:val="0"/>
      <w:autoSpaceDE w:val="0"/>
      <w:autoSpaceDN w:val="0"/>
      <w:adjustRightInd w:val="0"/>
      <w:spacing w:after="240" w:line="360" w:lineRule="auto"/>
      <w:jc w:val="both"/>
      <w:textAlignment w:val="baseline"/>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102034"/>
    <w:pPr>
      <w:overflowPunct w:val="0"/>
      <w:autoSpaceDE w:val="0"/>
      <w:autoSpaceDN w:val="0"/>
      <w:adjustRightInd w:val="0"/>
      <w:spacing w:after="240" w:line="360" w:lineRule="auto"/>
      <w:jc w:val="both"/>
      <w:textAlignment w:val="baseline"/>
    </w:pPr>
    <w:rPr>
      <w:rFonts w:ascii="Times New Roman" w:eastAsia="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102034"/>
    <w:pPr>
      <w:overflowPunct w:val="0"/>
      <w:autoSpaceDE w:val="0"/>
      <w:autoSpaceDN w:val="0"/>
      <w:adjustRightInd w:val="0"/>
      <w:spacing w:after="240" w:line="360" w:lineRule="auto"/>
      <w:jc w:val="both"/>
      <w:textAlignment w:val="baseline"/>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102034"/>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102034"/>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102034"/>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102034"/>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rsid w:val="00102034"/>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102034"/>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102034"/>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102034"/>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rsid w:val="00102034"/>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customStyle="1" w:styleId="TableGrid61">
    <w:name w:val="Table Grid 61"/>
    <w:basedOn w:val="TableNormal"/>
    <w:next w:val="TableGrid6"/>
    <w:rsid w:val="00102034"/>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customStyle="1" w:styleId="TableGrid71">
    <w:name w:val="Table Grid 71"/>
    <w:basedOn w:val="TableNormal"/>
    <w:next w:val="TableGrid7"/>
    <w:rsid w:val="00102034"/>
    <w:pPr>
      <w:overflowPunct w:val="0"/>
      <w:autoSpaceDE w:val="0"/>
      <w:autoSpaceDN w:val="0"/>
      <w:adjustRightInd w:val="0"/>
      <w:spacing w:after="240" w:line="360" w:lineRule="auto"/>
      <w:jc w:val="both"/>
      <w:textAlignment w:val="baseline"/>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customStyle="1" w:styleId="TableGrid81">
    <w:name w:val="Table Grid 81"/>
    <w:basedOn w:val="TableNormal"/>
    <w:next w:val="TableGrid8"/>
    <w:rsid w:val="00102034"/>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102034"/>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102034"/>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102034"/>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102034"/>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102034"/>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102034"/>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102034"/>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102034"/>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102034"/>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102034"/>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102034"/>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102034"/>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102034"/>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102034"/>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102034"/>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102034"/>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102034"/>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102034"/>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1">
    <w:name w:val="Normal1"/>
    <w:basedOn w:val="Normal"/>
    <w:rsid w:val="00102034"/>
    <w:pPr>
      <w:spacing w:before="100" w:beforeAutospacing="1" w:after="100" w:afterAutospacing="1"/>
    </w:pPr>
    <w:rPr>
      <w:rFonts w:ascii="Times New Roman" w:eastAsia="Times New Roman" w:hAnsi="Times New Roman" w:cs="Times New Roman"/>
      <w:szCs w:val="24"/>
      <w:lang w:eastAsia="en-GB"/>
    </w:rPr>
  </w:style>
  <w:style w:type="character" w:customStyle="1" w:styleId="italic">
    <w:name w:val="italic"/>
    <w:rsid w:val="00102034"/>
  </w:style>
  <w:style w:type="character" w:customStyle="1" w:styleId="bold">
    <w:name w:val="bold"/>
    <w:rsid w:val="00102034"/>
  </w:style>
  <w:style w:type="character" w:customStyle="1" w:styleId="cohidesearchterm">
    <w:name w:val="co_hidesearchterm"/>
    <w:rsid w:val="00102034"/>
  </w:style>
  <w:style w:type="character" w:customStyle="1" w:styleId="super">
    <w:name w:val="super"/>
    <w:rsid w:val="00102034"/>
  </w:style>
  <w:style w:type="paragraph" w:customStyle="1" w:styleId="bulletsrightcolumn">
    <w:name w:val="bullets right column"/>
    <w:basedOn w:val="CommentText"/>
    <w:qFormat/>
    <w:rsid w:val="00102034"/>
    <w:pPr>
      <w:numPr>
        <w:numId w:val="25"/>
      </w:numPr>
      <w:spacing w:after="60" w:line="276" w:lineRule="auto"/>
    </w:pPr>
    <w:rPr>
      <w:rFonts w:ascii="Verdana" w:eastAsia="STZhongsong" w:hAnsi="Verdana" w:cs="Calibri"/>
      <w:sz w:val="18"/>
      <w:szCs w:val="18"/>
      <w:lang w:eastAsia="zh-CN"/>
    </w:rPr>
  </w:style>
  <w:style w:type="paragraph" w:customStyle="1" w:styleId="letteredbullets">
    <w:name w:val="lettered bullets"/>
    <w:basedOn w:val="Heading2"/>
    <w:qFormat/>
    <w:rsid w:val="00102034"/>
    <w:pPr>
      <w:keepNext w:val="0"/>
      <w:keepLines w:val="0"/>
      <w:adjustRightInd w:val="0"/>
      <w:spacing w:before="0" w:after="0" w:line="276" w:lineRule="auto"/>
      <w:ind w:left="401" w:hanging="295"/>
    </w:pPr>
    <w:rPr>
      <w:rFonts w:ascii="Verdana" w:eastAsia="STZhongsong" w:hAnsi="Verdana" w:cs="Calibri"/>
      <w:b w:val="0"/>
      <w:bCs w:val="0"/>
      <w:color w:val="auto"/>
      <w:sz w:val="18"/>
      <w:szCs w:val="18"/>
      <w:lang w:eastAsia="zh-CN"/>
    </w:rPr>
  </w:style>
  <w:style w:type="paragraph" w:customStyle="1" w:styleId="tickbulletrightcolumn">
    <w:name w:val="tick bullet right column"/>
    <w:basedOn w:val="Heading2"/>
    <w:qFormat/>
    <w:rsid w:val="00102034"/>
    <w:pPr>
      <w:keepNext w:val="0"/>
      <w:keepLines w:val="0"/>
      <w:numPr>
        <w:numId w:val="26"/>
      </w:numPr>
      <w:tabs>
        <w:tab w:val="num" w:pos="360"/>
      </w:tabs>
      <w:overflowPunct w:val="0"/>
      <w:autoSpaceDE w:val="0"/>
      <w:autoSpaceDN w:val="0"/>
      <w:adjustRightInd w:val="0"/>
      <w:spacing w:before="0" w:after="0" w:line="276" w:lineRule="auto"/>
      <w:ind w:left="360" w:hanging="360"/>
      <w:textAlignment w:val="baseline"/>
    </w:pPr>
    <w:rPr>
      <w:rFonts w:ascii="Verdana" w:eastAsia="STZhongsong" w:hAnsi="Verdana" w:cs="Calibri"/>
      <w:b w:val="0"/>
      <w:bCs w:val="0"/>
      <w:color w:val="auto"/>
      <w:sz w:val="18"/>
      <w:szCs w:val="18"/>
      <w:lang w:eastAsia="zh-CN"/>
    </w:rPr>
  </w:style>
  <w:style w:type="paragraph" w:customStyle="1" w:styleId="guidancebullets">
    <w:name w:val="guidance bullets"/>
    <w:basedOn w:val="Heading2"/>
    <w:link w:val="guidancebulletsChar"/>
    <w:qFormat/>
    <w:rsid w:val="00102034"/>
    <w:pPr>
      <w:keepNext w:val="0"/>
      <w:keepLines w:val="0"/>
      <w:tabs>
        <w:tab w:val="num" w:pos="720"/>
      </w:tabs>
      <w:spacing w:before="0" w:after="120" w:line="276" w:lineRule="auto"/>
      <w:ind w:left="311" w:hanging="215"/>
    </w:pPr>
    <w:rPr>
      <w:rFonts w:ascii="Verdana" w:eastAsia="STZhongsong" w:hAnsi="Verdana"/>
      <w:b w:val="0"/>
      <w:bCs w:val="0"/>
      <w:color w:val="4F81BD"/>
      <w:sz w:val="18"/>
      <w:szCs w:val="18"/>
      <w:lang w:eastAsia="zh-CN"/>
    </w:rPr>
  </w:style>
  <w:style w:type="character" w:customStyle="1" w:styleId="guidancebulletsChar">
    <w:name w:val="guidance bullets Char"/>
    <w:basedOn w:val="Heading2Char"/>
    <w:link w:val="guidancebullets"/>
    <w:rsid w:val="00102034"/>
    <w:rPr>
      <w:rFonts w:ascii="Verdana" w:eastAsia="STZhongsong" w:hAnsi="Verdana" w:cstheme="majorBidi"/>
      <w:b w:val="0"/>
      <w:bCs w:val="0"/>
      <w:color w:val="4F81BD"/>
      <w:sz w:val="18"/>
      <w:szCs w:val="18"/>
      <w:lang w:eastAsia="zh-CN"/>
    </w:rPr>
  </w:style>
  <w:style w:type="paragraph" w:customStyle="1" w:styleId="SFPara-Clause">
    <w:name w:val="SF Para - Clause"/>
    <w:qFormat/>
    <w:rsid w:val="00102034"/>
    <w:pPr>
      <w:spacing w:before="240" w:after="240"/>
      <w:ind w:firstLine="720"/>
      <w:outlineLvl w:val="0"/>
    </w:pPr>
    <w:rPr>
      <w:rFonts w:ascii="Times New Roman" w:eastAsia="Times New Roman" w:hAnsi="Times New Roman" w:cs="Times New Roman"/>
      <w:color w:val="000000"/>
      <w:lang w:eastAsia="en-GB"/>
    </w:rPr>
  </w:style>
  <w:style w:type="paragraph" w:customStyle="1" w:styleId="SFParasubclause3">
    <w:name w:val="SF Para subclause 3"/>
    <w:qFormat/>
    <w:rsid w:val="00102034"/>
    <w:pPr>
      <w:spacing w:before="120" w:after="240"/>
      <w:ind w:left="2160" w:firstLine="720"/>
      <w:outlineLvl w:val="3"/>
    </w:pPr>
    <w:rPr>
      <w:rFonts w:ascii="Times New Roman" w:eastAsia="Times New Roman" w:hAnsi="Times New Roman" w:cs="Times New Roman"/>
      <w:color w:val="000000"/>
      <w:lang w:eastAsia="en-GB"/>
    </w:rPr>
  </w:style>
  <w:style w:type="character" w:customStyle="1" w:styleId="DocumentTitleChar">
    <w:name w:val="Document Title Char"/>
    <w:basedOn w:val="DefaultParagraphFont"/>
    <w:link w:val="DocumentTitle"/>
    <w:rsid w:val="00102034"/>
    <w:rPr>
      <w:rFonts w:ascii="Times New Roman" w:hAnsi="Times New Roman"/>
      <w:b/>
      <w:color w:val="000000"/>
      <w:sz w:val="32"/>
    </w:rPr>
  </w:style>
  <w:style w:type="paragraph" w:customStyle="1" w:styleId="CustomizableHeading">
    <w:name w:val="Customizable Heading"/>
    <w:link w:val="CustomizableHeadingChar"/>
    <w:qFormat/>
    <w:rsid w:val="00102034"/>
    <w:pPr>
      <w:spacing w:before="120"/>
      <w:jc w:val="center"/>
      <w:outlineLvl w:val="0"/>
    </w:pPr>
    <w:rPr>
      <w:rFonts w:ascii="Times New Roman" w:eastAsia="Times New Roman" w:hAnsi="Times New Roman" w:cs="Times New Roman"/>
      <w:b/>
      <w:color w:val="000000"/>
      <w:szCs w:val="22"/>
      <w:lang w:eastAsia="en-GB"/>
    </w:rPr>
  </w:style>
  <w:style w:type="character" w:customStyle="1" w:styleId="CustomizableHeadingChar">
    <w:name w:val="Customizable Heading Char"/>
    <w:basedOn w:val="DefaultParagraphFont"/>
    <w:link w:val="CustomizableHeading"/>
    <w:rsid w:val="00102034"/>
    <w:rPr>
      <w:rFonts w:ascii="Times New Roman" w:eastAsia="Times New Roman" w:hAnsi="Times New Roman" w:cs="Times New Roman"/>
      <w:b/>
      <w:color w:val="000000"/>
      <w:szCs w:val="22"/>
      <w:lang w:eastAsia="en-GB"/>
    </w:rPr>
  </w:style>
  <w:style w:type="paragraph" w:customStyle="1" w:styleId="MFPara-Clause">
    <w:name w:val="MF Para - Clause"/>
    <w:qFormat/>
    <w:rsid w:val="00102034"/>
    <w:pPr>
      <w:numPr>
        <w:numId w:val="28"/>
      </w:numPr>
      <w:spacing w:before="240" w:after="240"/>
      <w:ind w:firstLine="431"/>
      <w:outlineLvl w:val="0"/>
    </w:pPr>
    <w:rPr>
      <w:rFonts w:ascii="Times New Roman" w:eastAsia="Times New Roman" w:hAnsi="Times New Roman" w:cs="Times New Roman"/>
      <w:color w:val="000000"/>
      <w:lang w:eastAsia="en-GB"/>
    </w:rPr>
  </w:style>
  <w:style w:type="paragraph" w:customStyle="1" w:styleId="MFParasubclause1">
    <w:name w:val="MF Para subclause 1"/>
    <w:rsid w:val="00102034"/>
    <w:pPr>
      <w:numPr>
        <w:ilvl w:val="1"/>
        <w:numId w:val="28"/>
      </w:numPr>
      <w:spacing w:before="120" w:after="240"/>
      <w:outlineLvl w:val="1"/>
    </w:pPr>
    <w:rPr>
      <w:rFonts w:ascii="Times New Roman" w:eastAsia="Times New Roman" w:hAnsi="Times New Roman" w:cs="Times New Roman"/>
      <w:color w:val="000000"/>
      <w:lang w:eastAsia="en-GB"/>
    </w:rPr>
  </w:style>
  <w:style w:type="paragraph" w:customStyle="1" w:styleId="MFParasubclause2">
    <w:name w:val="MF Para subclause 2"/>
    <w:rsid w:val="00102034"/>
    <w:pPr>
      <w:numPr>
        <w:ilvl w:val="2"/>
        <w:numId w:val="28"/>
      </w:numPr>
      <w:spacing w:before="120" w:after="240"/>
      <w:outlineLvl w:val="2"/>
    </w:pPr>
    <w:rPr>
      <w:rFonts w:ascii="Times New Roman" w:eastAsia="Times New Roman" w:hAnsi="Times New Roman" w:cs="Times New Roman"/>
      <w:color w:val="000000"/>
      <w:lang w:eastAsia="en-GB"/>
    </w:rPr>
  </w:style>
  <w:style w:type="paragraph" w:customStyle="1" w:styleId="MFParasubclause3">
    <w:name w:val="MF Para subclause 3"/>
    <w:rsid w:val="00102034"/>
    <w:pPr>
      <w:numPr>
        <w:ilvl w:val="3"/>
        <w:numId w:val="28"/>
      </w:numPr>
      <w:spacing w:before="120" w:after="240"/>
      <w:outlineLvl w:val="3"/>
    </w:pPr>
    <w:rPr>
      <w:rFonts w:ascii="Times New Roman" w:eastAsia="Times New Roman" w:hAnsi="Times New Roman" w:cs="Times New Roman"/>
      <w:color w:val="000000"/>
      <w:lang w:eastAsia="en-GB"/>
    </w:rPr>
  </w:style>
  <w:style w:type="paragraph" w:customStyle="1" w:styleId="MFParasubclause4">
    <w:name w:val="MF Para subclause 4"/>
    <w:rsid w:val="00102034"/>
    <w:pPr>
      <w:numPr>
        <w:ilvl w:val="4"/>
        <w:numId w:val="28"/>
      </w:numPr>
      <w:spacing w:before="120" w:after="240"/>
      <w:outlineLvl w:val="4"/>
    </w:pPr>
    <w:rPr>
      <w:rFonts w:ascii="Times New Roman" w:eastAsia="Times New Roman" w:hAnsi="Times New Roman" w:cs="Times New Roman"/>
      <w:color w:val="000000"/>
      <w:lang w:eastAsia="en-GB"/>
    </w:rPr>
  </w:style>
  <w:style w:type="paragraph" w:customStyle="1" w:styleId="SFPara-Clause-nonum">
    <w:name w:val="SF Para - Clause - no num"/>
    <w:link w:val="SFPara-Clause-nonumChar"/>
    <w:qFormat/>
    <w:rsid w:val="00102034"/>
    <w:pPr>
      <w:spacing w:before="240" w:after="240"/>
      <w:ind w:firstLine="1440"/>
      <w:outlineLvl w:val="0"/>
    </w:pPr>
    <w:rPr>
      <w:rFonts w:ascii="Times New Roman" w:eastAsia="Times New Roman" w:hAnsi="Times New Roman" w:cs="Times New Roman"/>
      <w:color w:val="000000"/>
      <w:lang w:eastAsia="en-GB"/>
    </w:rPr>
  </w:style>
  <w:style w:type="character" w:customStyle="1" w:styleId="SFPara-Clause-nonumChar">
    <w:name w:val="SF Para - Clause - no num Char"/>
    <w:basedOn w:val="DefaultParagraphFont"/>
    <w:link w:val="SFPara-Clause-nonum"/>
    <w:rsid w:val="00102034"/>
    <w:rPr>
      <w:rFonts w:ascii="Times New Roman" w:eastAsia="Times New Roman" w:hAnsi="Times New Roman" w:cs="Times New Roman"/>
      <w:color w:val="000000"/>
      <w:lang w:eastAsia="en-GB"/>
    </w:rPr>
  </w:style>
  <w:style w:type="paragraph" w:customStyle="1" w:styleId="Paragraph">
    <w:name w:val="Paragraph"/>
    <w:link w:val="ParagraphChar1"/>
    <w:qFormat/>
    <w:rsid w:val="00102034"/>
    <w:pPr>
      <w:spacing w:before="120"/>
    </w:pPr>
    <w:rPr>
      <w:rFonts w:ascii="Times New Roman" w:eastAsia="Times New Roman" w:hAnsi="Times New Roman" w:cs="Times New Roman"/>
      <w:color w:val="000000"/>
      <w:lang w:eastAsia="en-GB"/>
    </w:rPr>
  </w:style>
  <w:style w:type="paragraph" w:customStyle="1" w:styleId="DocumentTitle">
    <w:name w:val="Document Title"/>
    <w:link w:val="DocumentTitleChar"/>
    <w:qFormat/>
    <w:rsid w:val="00102034"/>
    <w:pPr>
      <w:spacing w:before="120" w:after="240"/>
      <w:jc w:val="center"/>
      <w:outlineLvl w:val="0"/>
    </w:pPr>
    <w:rPr>
      <w:rFonts w:ascii="Times New Roman" w:hAnsi="Times New Roman"/>
      <w:b/>
      <w:color w:val="000000"/>
      <w:sz w:val="32"/>
    </w:rPr>
  </w:style>
  <w:style w:type="character" w:customStyle="1" w:styleId="ParagraphChar1">
    <w:name w:val="Paragraph Char1"/>
    <w:basedOn w:val="DefaultParagraphFont"/>
    <w:link w:val="Paragraph"/>
    <w:rsid w:val="00102034"/>
    <w:rPr>
      <w:rFonts w:ascii="Times New Roman" w:eastAsia="Times New Roman" w:hAnsi="Times New Roman" w:cs="Times New Roman"/>
      <w:color w:val="000000"/>
      <w:lang w:eastAsia="en-GB"/>
    </w:rPr>
  </w:style>
  <w:style w:type="character" w:customStyle="1" w:styleId="oj-bold">
    <w:name w:val="oj-bold"/>
    <w:basedOn w:val="DefaultParagraphFont"/>
    <w:rsid w:val="00102034"/>
    <w:rPr>
      <w:color w:val="000000"/>
    </w:rPr>
  </w:style>
  <w:style w:type="paragraph" w:customStyle="1" w:styleId="11table">
    <w:name w:val="1.1 table"/>
    <w:basedOn w:val="Normal"/>
    <w:qFormat/>
    <w:rsid w:val="00102034"/>
    <w:pPr>
      <w:tabs>
        <w:tab w:val="num" w:pos="720"/>
      </w:tabs>
      <w:ind w:left="720" w:hanging="720"/>
    </w:pPr>
    <w:rPr>
      <w:rFonts w:ascii="Calibri" w:eastAsia="STZhongsong" w:hAnsi="Calibri" w:cs="Calibri"/>
      <w:b/>
      <w:sz w:val="22"/>
      <w:szCs w:val="22"/>
      <w:lang w:eastAsia="zh-CN"/>
    </w:rPr>
  </w:style>
  <w:style w:type="paragraph" w:customStyle="1" w:styleId="Parties">
    <w:name w:val="Parties"/>
    <w:basedOn w:val="BodyText"/>
    <w:qFormat/>
    <w:rsid w:val="00102034"/>
    <w:pPr>
      <w:tabs>
        <w:tab w:val="num" w:pos="720"/>
      </w:tabs>
      <w:overflowPunct/>
      <w:autoSpaceDE/>
      <w:autoSpaceDN/>
      <w:adjustRightInd/>
      <w:spacing w:after="240" w:line="276" w:lineRule="auto"/>
      <w:ind w:left="720" w:hanging="720"/>
      <w:jc w:val="left"/>
      <w:textAlignment w:val="auto"/>
    </w:pPr>
    <w:rPr>
      <w:rFonts w:ascii="Arial" w:eastAsia="Arial" w:hAnsi="Arial"/>
      <w:sz w:val="20"/>
      <w:szCs w:val="22"/>
    </w:rPr>
  </w:style>
  <w:style w:type="paragraph" w:customStyle="1" w:styleId="RestartNumbering">
    <w:name w:val="Restart Numbering"/>
    <w:basedOn w:val="Normal"/>
    <w:uiPriority w:val="19"/>
    <w:rsid w:val="00102034"/>
    <w:pPr>
      <w:tabs>
        <w:tab w:val="num" w:pos="720"/>
      </w:tabs>
      <w:spacing w:line="276" w:lineRule="auto"/>
      <w:ind w:left="720" w:hanging="720"/>
    </w:pPr>
    <w:rPr>
      <w:rFonts w:eastAsia="Arial" w:cs="Arial"/>
      <w:sz w:val="20"/>
      <w:szCs w:val="22"/>
      <w:lang w:eastAsia="en-GB"/>
    </w:rPr>
  </w:style>
  <w:style w:type="paragraph" w:customStyle="1" w:styleId="Level4Number">
    <w:name w:val="Level 4 Number"/>
    <w:basedOn w:val="BodyText"/>
    <w:uiPriority w:val="19"/>
    <w:qFormat/>
    <w:rsid w:val="00102034"/>
    <w:pPr>
      <w:tabs>
        <w:tab w:val="num" w:pos="3600"/>
      </w:tabs>
      <w:overflowPunct/>
      <w:autoSpaceDE/>
      <w:autoSpaceDN/>
      <w:adjustRightInd/>
      <w:spacing w:after="240" w:line="276" w:lineRule="auto"/>
      <w:ind w:left="3600" w:hanging="720"/>
      <w:jc w:val="left"/>
      <w:textAlignment w:val="auto"/>
    </w:pPr>
    <w:rPr>
      <w:rFonts w:ascii="Arial" w:eastAsia="Arial" w:hAnsi="Arial"/>
      <w:sz w:val="20"/>
      <w:szCs w:val="22"/>
    </w:rPr>
  </w:style>
  <w:style w:type="paragraph" w:customStyle="1" w:styleId="Level5Number">
    <w:name w:val="Level 5 Number"/>
    <w:basedOn w:val="BodyText"/>
    <w:uiPriority w:val="19"/>
    <w:rsid w:val="00102034"/>
    <w:pPr>
      <w:tabs>
        <w:tab w:val="num" w:pos="4320"/>
      </w:tabs>
      <w:overflowPunct/>
      <w:autoSpaceDE/>
      <w:autoSpaceDN/>
      <w:adjustRightInd/>
      <w:spacing w:after="240" w:line="276" w:lineRule="auto"/>
      <w:ind w:left="4320" w:hanging="720"/>
      <w:jc w:val="left"/>
      <w:textAlignment w:val="auto"/>
    </w:pPr>
    <w:rPr>
      <w:rFonts w:ascii="Arial" w:eastAsia="Arial" w:hAnsi="Arial"/>
      <w:sz w:val="20"/>
      <w:szCs w:val="22"/>
    </w:rPr>
  </w:style>
  <w:style w:type="paragraph" w:customStyle="1" w:styleId="Level6Number">
    <w:name w:val="Level 6 Number"/>
    <w:basedOn w:val="BodyText"/>
    <w:uiPriority w:val="19"/>
    <w:rsid w:val="00102034"/>
    <w:pPr>
      <w:tabs>
        <w:tab w:val="num" w:pos="5040"/>
      </w:tabs>
      <w:overflowPunct/>
      <w:autoSpaceDE/>
      <w:autoSpaceDN/>
      <w:adjustRightInd/>
      <w:spacing w:after="240" w:line="276" w:lineRule="auto"/>
      <w:ind w:left="5040" w:hanging="720"/>
      <w:jc w:val="left"/>
      <w:textAlignment w:val="auto"/>
    </w:pPr>
    <w:rPr>
      <w:rFonts w:ascii="Arial" w:eastAsia="Arial" w:hAnsi="Arial"/>
      <w:sz w:val="20"/>
      <w:szCs w:val="22"/>
    </w:rPr>
  </w:style>
  <w:style w:type="paragraph" w:customStyle="1" w:styleId="Level7Number">
    <w:name w:val="Level 7 Number"/>
    <w:basedOn w:val="BodyText"/>
    <w:uiPriority w:val="19"/>
    <w:rsid w:val="00102034"/>
    <w:pPr>
      <w:tabs>
        <w:tab w:val="num" w:pos="5760"/>
      </w:tabs>
      <w:overflowPunct/>
      <w:autoSpaceDE/>
      <w:autoSpaceDN/>
      <w:adjustRightInd/>
      <w:spacing w:after="240" w:line="276" w:lineRule="auto"/>
      <w:ind w:left="5760" w:hanging="720"/>
      <w:jc w:val="left"/>
      <w:textAlignment w:val="auto"/>
    </w:pPr>
    <w:rPr>
      <w:rFonts w:ascii="Arial" w:eastAsia="Arial" w:hAnsi="Arial"/>
      <w:sz w:val="20"/>
      <w:szCs w:val="22"/>
    </w:rPr>
  </w:style>
  <w:style w:type="paragraph" w:customStyle="1" w:styleId="Level8Number">
    <w:name w:val="Level 8 Number"/>
    <w:basedOn w:val="BodyText"/>
    <w:uiPriority w:val="19"/>
    <w:rsid w:val="00102034"/>
    <w:pPr>
      <w:tabs>
        <w:tab w:val="num" w:pos="6480"/>
      </w:tabs>
      <w:overflowPunct/>
      <w:autoSpaceDE/>
      <w:autoSpaceDN/>
      <w:adjustRightInd/>
      <w:spacing w:after="240" w:line="276" w:lineRule="auto"/>
      <w:ind w:left="6480" w:hanging="720"/>
      <w:jc w:val="left"/>
      <w:textAlignment w:val="auto"/>
    </w:pPr>
    <w:rPr>
      <w:rFonts w:ascii="Arial" w:eastAsia="Arial" w:hAnsi="Arial"/>
      <w:sz w:val="20"/>
      <w:szCs w:val="22"/>
    </w:rPr>
  </w:style>
  <w:style w:type="numbering" w:customStyle="1" w:styleId="MainNumbering1">
    <w:name w:val="Main Numbering1"/>
    <w:uiPriority w:val="99"/>
    <w:rsid w:val="00102034"/>
  </w:style>
  <w:style w:type="paragraph" w:customStyle="1" w:styleId="Body1">
    <w:name w:val="Body1"/>
    <w:basedOn w:val="BodyText"/>
    <w:uiPriority w:val="99"/>
    <w:rsid w:val="00102034"/>
    <w:pPr>
      <w:overflowPunct/>
      <w:autoSpaceDE/>
      <w:autoSpaceDN/>
      <w:adjustRightInd/>
      <w:spacing w:after="220" w:line="240" w:lineRule="auto"/>
      <w:ind w:left="709"/>
      <w:textAlignment w:val="auto"/>
    </w:pPr>
    <w:rPr>
      <w:rFonts w:ascii="Trebuchet MS" w:hAnsi="Trebuchet MS"/>
      <w:sz w:val="20"/>
    </w:rPr>
  </w:style>
  <w:style w:type="paragraph" w:customStyle="1" w:styleId="Body4">
    <w:name w:val="Body4"/>
    <w:basedOn w:val="Body1"/>
    <w:uiPriority w:val="99"/>
    <w:rsid w:val="00102034"/>
    <w:pPr>
      <w:ind w:left="2132"/>
    </w:pPr>
  </w:style>
  <w:style w:type="paragraph" w:customStyle="1" w:styleId="XExecution">
    <w:name w:val="X Execution"/>
    <w:basedOn w:val="Normal"/>
    <w:rsid w:val="00102034"/>
    <w:pPr>
      <w:tabs>
        <w:tab w:val="left" w:pos="0"/>
        <w:tab w:val="left" w:pos="3544"/>
      </w:tabs>
      <w:spacing w:line="300" w:lineRule="atLeast"/>
      <w:ind w:right="459"/>
    </w:pPr>
    <w:rPr>
      <w:rFonts w:ascii="Times New Roman" w:eastAsia="Times New Roman" w:hAnsi="Times New Roman" w:cs="Times New Roman"/>
      <w:color w:val="000000"/>
      <w:sz w:val="22"/>
      <w:lang w:eastAsia="en-GB"/>
    </w:rPr>
  </w:style>
  <w:style w:type="character" w:customStyle="1" w:styleId="bodypartyheadchar">
    <w:name w:val="body party head char"/>
    <w:qFormat/>
    <w:rsid w:val="00102034"/>
    <w:rPr>
      <w:rFonts w:ascii="SimSun" w:eastAsia="SimSun" w:hAnsi="SimSun" w:hint="eastAsia"/>
      <w:b/>
      <w:bCs w:val="0"/>
      <w:caps/>
      <w:sz w:val="22"/>
      <w:szCs w:val="22"/>
      <w:lang w:val="en-GB" w:eastAsia="en-GB" w:bidi="ar-SA"/>
    </w:rPr>
  </w:style>
  <w:style w:type="paragraph" w:customStyle="1" w:styleId="Body">
    <w:name w:val="Body"/>
    <w:basedOn w:val="Normal"/>
    <w:link w:val="BodyChar"/>
    <w:qFormat/>
    <w:rsid w:val="00102034"/>
    <w:pPr>
      <w:tabs>
        <w:tab w:val="left" w:pos="1843"/>
        <w:tab w:val="left" w:pos="3119"/>
        <w:tab w:val="left" w:pos="4253"/>
      </w:tabs>
      <w:spacing w:before="120" w:after="120" w:line="276" w:lineRule="auto"/>
    </w:pPr>
    <w:rPr>
      <w:rFonts w:ascii="Verdana" w:eastAsia="Times New Roman" w:hAnsi="Verdana" w:cs="Times New Roman"/>
      <w:sz w:val="22"/>
      <w:szCs w:val="18"/>
      <w:lang w:eastAsia="zh-CN"/>
    </w:rPr>
  </w:style>
  <w:style w:type="paragraph" w:customStyle="1" w:styleId="aDefinition">
    <w:name w:val="(a) Definition"/>
    <w:basedOn w:val="Body"/>
    <w:qFormat/>
    <w:rsid w:val="00102034"/>
    <w:pPr>
      <w:numPr>
        <w:ilvl w:val="1"/>
      </w:numPr>
      <w:tabs>
        <w:tab w:val="clear" w:pos="1843"/>
        <w:tab w:val="clear" w:pos="3119"/>
        <w:tab w:val="clear" w:pos="4253"/>
      </w:tabs>
    </w:pPr>
  </w:style>
  <w:style w:type="paragraph" w:customStyle="1" w:styleId="iDefinition">
    <w:name w:val="(i) Definition"/>
    <w:basedOn w:val="Body"/>
    <w:qFormat/>
    <w:rsid w:val="00102034"/>
    <w:pPr>
      <w:numPr>
        <w:ilvl w:val="2"/>
      </w:numPr>
      <w:tabs>
        <w:tab w:val="clear" w:pos="1843"/>
        <w:tab w:val="clear" w:pos="3119"/>
        <w:tab w:val="clear" w:pos="4253"/>
      </w:tabs>
    </w:pPr>
  </w:style>
  <w:style w:type="paragraph" w:customStyle="1" w:styleId="Body10">
    <w:name w:val="Body 1"/>
    <w:basedOn w:val="Body"/>
    <w:qFormat/>
    <w:rsid w:val="00102034"/>
    <w:pPr>
      <w:tabs>
        <w:tab w:val="clear" w:pos="1843"/>
        <w:tab w:val="clear" w:pos="3119"/>
        <w:tab w:val="clear" w:pos="4253"/>
      </w:tabs>
    </w:pPr>
  </w:style>
  <w:style w:type="paragraph" w:customStyle="1" w:styleId="Background">
    <w:name w:val="Background"/>
    <w:basedOn w:val="Body10"/>
    <w:rsid w:val="00102034"/>
    <w:pPr>
      <w:tabs>
        <w:tab w:val="num" w:pos="360"/>
        <w:tab w:val="num" w:pos="720"/>
      </w:tabs>
      <w:ind w:left="720" w:hanging="720"/>
    </w:pPr>
  </w:style>
  <w:style w:type="paragraph" w:customStyle="1" w:styleId="Body2">
    <w:name w:val="Body 2"/>
    <w:basedOn w:val="Body10"/>
    <w:qFormat/>
    <w:rsid w:val="00102034"/>
  </w:style>
  <w:style w:type="paragraph" w:customStyle="1" w:styleId="Body3">
    <w:name w:val="Body 3"/>
    <w:basedOn w:val="Body2"/>
    <w:qFormat/>
    <w:rsid w:val="00102034"/>
    <w:pPr>
      <w:ind w:left="1843"/>
    </w:pPr>
  </w:style>
  <w:style w:type="paragraph" w:customStyle="1" w:styleId="Body40">
    <w:name w:val="Body 4"/>
    <w:basedOn w:val="Body3"/>
    <w:qFormat/>
    <w:rsid w:val="00102034"/>
    <w:pPr>
      <w:ind w:left="3119"/>
    </w:pPr>
  </w:style>
  <w:style w:type="paragraph" w:customStyle="1" w:styleId="Body5">
    <w:name w:val="Body 5"/>
    <w:basedOn w:val="Body3"/>
    <w:qFormat/>
    <w:rsid w:val="00102034"/>
    <w:pPr>
      <w:ind w:left="3119"/>
    </w:pPr>
  </w:style>
  <w:style w:type="paragraph" w:customStyle="1" w:styleId="Bullet1">
    <w:name w:val="Bullet 1"/>
    <w:basedOn w:val="Body10"/>
    <w:qFormat/>
    <w:rsid w:val="00102034"/>
    <w:pPr>
      <w:tabs>
        <w:tab w:val="num" w:pos="360"/>
        <w:tab w:val="num" w:pos="720"/>
      </w:tabs>
    </w:pPr>
  </w:style>
  <w:style w:type="paragraph" w:customStyle="1" w:styleId="Bullet2">
    <w:name w:val="Bullet 2"/>
    <w:basedOn w:val="Body2"/>
    <w:qFormat/>
    <w:rsid w:val="00102034"/>
    <w:pPr>
      <w:tabs>
        <w:tab w:val="num" w:pos="360"/>
        <w:tab w:val="num" w:pos="1440"/>
      </w:tabs>
      <w:ind w:left="1440" w:hanging="720"/>
    </w:pPr>
  </w:style>
  <w:style w:type="paragraph" w:customStyle="1" w:styleId="Bullet3">
    <w:name w:val="Bullet 3"/>
    <w:basedOn w:val="Body3"/>
    <w:rsid w:val="00102034"/>
    <w:pPr>
      <w:tabs>
        <w:tab w:val="num" w:pos="360"/>
        <w:tab w:val="num" w:pos="2160"/>
      </w:tabs>
      <w:ind w:left="1440" w:hanging="720"/>
    </w:pPr>
  </w:style>
  <w:style w:type="character" w:customStyle="1" w:styleId="CrossReference">
    <w:name w:val="Cross Reference"/>
    <w:basedOn w:val="DefaultParagraphFont"/>
    <w:qFormat/>
    <w:rsid w:val="00102034"/>
    <w:rPr>
      <w:b w:val="0"/>
    </w:rPr>
  </w:style>
  <w:style w:type="character" w:customStyle="1" w:styleId="Level1asHeadingtext">
    <w:name w:val="Level 1 as Heading (text)"/>
    <w:basedOn w:val="DefaultParagraphFont"/>
    <w:rsid w:val="00102034"/>
    <w:rPr>
      <w:b/>
    </w:rPr>
  </w:style>
  <w:style w:type="character" w:customStyle="1" w:styleId="Level2asHeadingtext">
    <w:name w:val="Level 2 as Heading (text)"/>
    <w:basedOn w:val="DefaultParagraphFont"/>
    <w:rsid w:val="00102034"/>
    <w:rPr>
      <w:b/>
    </w:rPr>
  </w:style>
  <w:style w:type="character" w:customStyle="1" w:styleId="Level3asHeadingtext">
    <w:name w:val="Level 3 as Heading (text)"/>
    <w:basedOn w:val="DefaultParagraphFont"/>
    <w:rsid w:val="00102034"/>
    <w:rPr>
      <w:b/>
    </w:rPr>
  </w:style>
  <w:style w:type="paragraph" w:customStyle="1" w:styleId="ScheduleTitle">
    <w:name w:val="Schedule Title"/>
    <w:basedOn w:val="Body"/>
    <w:qFormat/>
    <w:rsid w:val="00102034"/>
    <w:pPr>
      <w:keepNext/>
      <w:tabs>
        <w:tab w:val="clear" w:pos="1843"/>
        <w:tab w:val="clear" w:pos="3119"/>
        <w:tab w:val="clear" w:pos="4253"/>
      </w:tabs>
      <w:spacing w:after="480"/>
      <w:jc w:val="center"/>
    </w:pPr>
    <w:rPr>
      <w:b/>
    </w:rPr>
  </w:style>
  <w:style w:type="paragraph" w:customStyle="1" w:styleId="aBankingDefinition">
    <w:name w:val="(a) Banking Definition"/>
    <w:basedOn w:val="Body"/>
    <w:rsid w:val="00102034"/>
    <w:pPr>
      <w:tabs>
        <w:tab w:val="clear" w:pos="1843"/>
        <w:tab w:val="clear" w:pos="3119"/>
        <w:tab w:val="clear" w:pos="4253"/>
        <w:tab w:val="num" w:pos="360"/>
        <w:tab w:val="num" w:pos="720"/>
      </w:tabs>
      <w:ind w:left="720" w:hanging="720"/>
    </w:pPr>
  </w:style>
  <w:style w:type="paragraph" w:customStyle="1" w:styleId="Sideheading">
    <w:name w:val="Sideheading"/>
    <w:basedOn w:val="Body"/>
    <w:qFormat/>
    <w:rsid w:val="00102034"/>
    <w:pPr>
      <w:tabs>
        <w:tab w:val="clear" w:pos="1843"/>
        <w:tab w:val="clear" w:pos="3119"/>
        <w:tab w:val="clear" w:pos="4253"/>
      </w:tabs>
    </w:pPr>
    <w:rPr>
      <w:b/>
      <w:caps/>
    </w:rPr>
  </w:style>
  <w:style w:type="paragraph" w:customStyle="1" w:styleId="iBankingDefinition">
    <w:name w:val="(i) Banking Definition"/>
    <w:basedOn w:val="aBankingDefinition"/>
    <w:rsid w:val="00102034"/>
    <w:pPr>
      <w:numPr>
        <w:ilvl w:val="1"/>
      </w:numPr>
      <w:tabs>
        <w:tab w:val="num" w:pos="360"/>
      </w:tabs>
      <w:ind w:left="720" w:hanging="720"/>
    </w:pPr>
  </w:style>
  <w:style w:type="paragraph" w:customStyle="1" w:styleId="FootnoteTextContinuation">
    <w:name w:val="Footnote Text Continuation"/>
    <w:basedOn w:val="FootnoteText"/>
    <w:rsid w:val="00102034"/>
    <w:pPr>
      <w:tabs>
        <w:tab w:val="left" w:pos="851"/>
      </w:tabs>
      <w:spacing w:after="60" w:line="276" w:lineRule="auto"/>
      <w:ind w:left="851"/>
    </w:pPr>
    <w:rPr>
      <w:rFonts w:ascii="Tahoma" w:eastAsia="Times New Roman" w:hAnsi="Tahoma" w:cs="Times New Roman"/>
      <w:sz w:val="16"/>
      <w:szCs w:val="18"/>
      <w:lang w:eastAsia="zh-CN"/>
    </w:rPr>
  </w:style>
  <w:style w:type="paragraph" w:customStyle="1" w:styleId="Part">
    <w:name w:val="Part"/>
    <w:basedOn w:val="Normal"/>
    <w:qFormat/>
    <w:rsid w:val="00102034"/>
    <w:pPr>
      <w:tabs>
        <w:tab w:val="num" w:pos="720"/>
      </w:tabs>
      <w:spacing w:before="360" w:after="200" w:line="276" w:lineRule="auto"/>
      <w:ind w:left="720" w:hanging="720"/>
    </w:pPr>
    <w:rPr>
      <w:rFonts w:ascii="Georgia" w:eastAsia="Times New Roman" w:hAnsi="Georgia" w:cs="Times New Roman"/>
      <w:color w:val="003768"/>
      <w:sz w:val="32"/>
      <w:szCs w:val="18"/>
      <w:lang w:eastAsia="zh-CN"/>
    </w:rPr>
  </w:style>
  <w:style w:type="paragraph" w:customStyle="1" w:styleId="abcdDefinition">
    <w:name w:val="(a) (b) (c) (d) Definition"/>
    <w:basedOn w:val="aDefinition"/>
    <w:rsid w:val="00102034"/>
    <w:pPr>
      <w:numPr>
        <w:ilvl w:val="0"/>
      </w:numPr>
      <w:tabs>
        <w:tab w:val="num" w:pos="360"/>
        <w:tab w:val="num" w:pos="720"/>
        <w:tab w:val="left" w:pos="851"/>
      </w:tabs>
      <w:ind w:left="720" w:hanging="720"/>
    </w:pPr>
  </w:style>
  <w:style w:type="paragraph" w:customStyle="1" w:styleId="Contentheading">
    <w:name w:val="Content heading"/>
    <w:basedOn w:val="Normal"/>
    <w:next w:val="Body"/>
    <w:rsid w:val="00102034"/>
    <w:pPr>
      <w:pageBreakBefore/>
      <w:framePr w:w="9072" w:vSpace="142" w:wrap="notBeside" w:vAnchor="text" w:hAnchor="text" w:y="7"/>
      <w:pBdr>
        <w:bottom w:val="single" w:sz="4" w:space="1" w:color="auto"/>
      </w:pBdr>
      <w:spacing w:after="2200" w:line="276" w:lineRule="auto"/>
    </w:pPr>
    <w:rPr>
      <w:rFonts w:ascii="Verdana" w:eastAsia="Times New Roman" w:hAnsi="Verdana" w:cs="Times New Roman"/>
      <w:sz w:val="40"/>
      <w:szCs w:val="40"/>
      <w:lang w:eastAsia="zh-CN"/>
    </w:rPr>
  </w:style>
  <w:style w:type="paragraph" w:customStyle="1" w:styleId="Contentpage">
    <w:name w:val="Content page"/>
    <w:basedOn w:val="Body"/>
    <w:rsid w:val="00102034"/>
    <w:pPr>
      <w:tabs>
        <w:tab w:val="clear" w:pos="1843"/>
        <w:tab w:val="clear" w:pos="3119"/>
        <w:tab w:val="clear" w:pos="4253"/>
        <w:tab w:val="right" w:pos="9072"/>
      </w:tabs>
    </w:pPr>
    <w:rPr>
      <w:b/>
    </w:rPr>
  </w:style>
  <w:style w:type="paragraph" w:customStyle="1" w:styleId="ExtraInfo">
    <w:name w:val="ExtraInfo"/>
    <w:basedOn w:val="Normal"/>
    <w:rsid w:val="00102034"/>
    <w:pPr>
      <w:framePr w:w="2206" w:h="919" w:hSpace="181" w:wrap="around" w:vAnchor="page" w:hAnchor="page" w:x="9385" w:y="211"/>
      <w:shd w:val="clear" w:color="auto" w:fill="FFFFFF"/>
      <w:spacing w:after="200" w:line="276" w:lineRule="auto"/>
    </w:pPr>
    <w:rPr>
      <w:rFonts w:ascii="Verdana" w:eastAsia="Times New Roman" w:hAnsi="Verdana" w:cs="Times New Roman"/>
      <w:sz w:val="14"/>
      <w:szCs w:val="14"/>
      <w:lang w:eastAsia="zh-CN"/>
    </w:rPr>
  </w:style>
  <w:style w:type="paragraph" w:customStyle="1" w:styleId="Body6">
    <w:name w:val="Body 6"/>
    <w:basedOn w:val="Body5"/>
    <w:rsid w:val="00102034"/>
    <w:pPr>
      <w:ind w:left="3686"/>
    </w:pPr>
  </w:style>
  <w:style w:type="paragraph" w:customStyle="1" w:styleId="Level7">
    <w:name w:val="Level 7"/>
    <w:basedOn w:val="Body7"/>
    <w:rsid w:val="00102034"/>
    <w:pPr>
      <w:ind w:left="1803" w:hanging="1083"/>
    </w:pPr>
  </w:style>
  <w:style w:type="paragraph" w:customStyle="1" w:styleId="Body7">
    <w:name w:val="Body 7"/>
    <w:basedOn w:val="Body6"/>
    <w:rsid w:val="00102034"/>
    <w:pPr>
      <w:ind w:left="4253"/>
    </w:pPr>
  </w:style>
  <w:style w:type="paragraph" w:customStyle="1" w:styleId="PartBanking">
    <w:name w:val="Part (Banking)"/>
    <w:basedOn w:val="Body"/>
    <w:rsid w:val="00102034"/>
    <w:pPr>
      <w:tabs>
        <w:tab w:val="num" w:pos="360"/>
        <w:tab w:val="num" w:pos="720"/>
      </w:tabs>
      <w:ind w:firstLine="567"/>
      <w:jc w:val="center"/>
    </w:pPr>
    <w:rPr>
      <w:b/>
    </w:rPr>
  </w:style>
  <w:style w:type="paragraph" w:customStyle="1" w:styleId="Section">
    <w:name w:val="Section"/>
    <w:basedOn w:val="Normal"/>
    <w:next w:val="Body"/>
    <w:rsid w:val="00102034"/>
    <w:pPr>
      <w:tabs>
        <w:tab w:val="num" w:pos="720"/>
      </w:tabs>
      <w:spacing w:after="200" w:line="480" w:lineRule="auto"/>
      <w:ind w:left="720" w:hanging="720"/>
      <w:jc w:val="center"/>
    </w:pPr>
    <w:rPr>
      <w:rFonts w:ascii="Verdana" w:eastAsia="Times New Roman" w:hAnsi="Verdana" w:cs="Times New Roman"/>
      <w:b/>
      <w:sz w:val="22"/>
      <w:szCs w:val="18"/>
      <w:lang w:eastAsia="zh-CN"/>
    </w:rPr>
  </w:style>
  <w:style w:type="character" w:customStyle="1" w:styleId="BodyChar">
    <w:name w:val="Body Char"/>
    <w:link w:val="Body"/>
    <w:rsid w:val="00102034"/>
    <w:rPr>
      <w:rFonts w:ascii="Verdana" w:eastAsia="Times New Roman" w:hAnsi="Verdana" w:cs="Times New Roman"/>
      <w:sz w:val="22"/>
      <w:szCs w:val="18"/>
      <w:lang w:eastAsia="zh-CN"/>
    </w:rPr>
  </w:style>
  <w:style w:type="paragraph" w:customStyle="1" w:styleId="Rule5">
    <w:name w:val="Rule 5"/>
    <w:basedOn w:val="Normal"/>
    <w:rsid w:val="00102034"/>
    <w:pPr>
      <w:tabs>
        <w:tab w:val="num" w:pos="3600"/>
      </w:tabs>
      <w:spacing w:after="200" w:line="276" w:lineRule="auto"/>
      <w:ind w:left="3600" w:hanging="720"/>
    </w:pPr>
    <w:rPr>
      <w:rFonts w:ascii="Verdana" w:eastAsia="Times New Roman" w:hAnsi="Verdana" w:cs="Times New Roman"/>
      <w:sz w:val="22"/>
      <w:szCs w:val="18"/>
      <w:lang w:eastAsia="zh-CN"/>
    </w:rPr>
  </w:style>
  <w:style w:type="character" w:customStyle="1" w:styleId="hit">
    <w:name w:val="hit"/>
    <w:basedOn w:val="DefaultParagraphFont"/>
    <w:rsid w:val="00102034"/>
  </w:style>
  <w:style w:type="paragraph" w:customStyle="1" w:styleId="Bodyindent">
    <w:name w:val="Body indent"/>
    <w:basedOn w:val="Body"/>
    <w:link w:val="BodyindentChar"/>
    <w:qFormat/>
    <w:rsid w:val="00102034"/>
    <w:pPr>
      <w:ind w:left="261" w:hanging="261"/>
    </w:pPr>
  </w:style>
  <w:style w:type="character" w:customStyle="1" w:styleId="BulletsChar">
    <w:name w:val="Bullets Char"/>
    <w:basedOn w:val="ListParagraphChar"/>
    <w:rsid w:val="00102034"/>
    <w:rPr>
      <w:rFonts w:ascii="Arial" w:hAnsi="Arial"/>
      <w:sz w:val="24"/>
      <w:szCs w:val="20"/>
    </w:rPr>
  </w:style>
  <w:style w:type="character" w:customStyle="1" w:styleId="BodyindentChar">
    <w:name w:val="Body indent Char"/>
    <w:basedOn w:val="BodyChar"/>
    <w:link w:val="Bodyindent"/>
    <w:rsid w:val="00102034"/>
    <w:rPr>
      <w:rFonts w:ascii="Verdana" w:eastAsia="Times New Roman" w:hAnsi="Verdana" w:cs="Times New Roman"/>
      <w:sz w:val="22"/>
      <w:szCs w:val="18"/>
      <w:lang w:eastAsia="zh-CN"/>
    </w:rPr>
  </w:style>
  <w:style w:type="paragraph" w:customStyle="1" w:styleId="NormalNumbered">
    <w:name w:val="Normal Numbered"/>
    <w:basedOn w:val="Normal"/>
    <w:link w:val="NormalNumberedChar"/>
    <w:qFormat/>
    <w:rsid w:val="00102034"/>
    <w:pPr>
      <w:tabs>
        <w:tab w:val="num" w:pos="720"/>
      </w:tabs>
      <w:spacing w:after="200" w:line="276" w:lineRule="auto"/>
      <w:ind w:left="454" w:hanging="454"/>
    </w:pPr>
    <w:rPr>
      <w:rFonts w:ascii="Verdana" w:eastAsia="Verdana" w:hAnsi="Verdana" w:cs="Verdana"/>
      <w:color w:val="000000"/>
      <w:sz w:val="22"/>
      <w:szCs w:val="22"/>
      <w:lang w:eastAsia="en-GB"/>
    </w:rPr>
  </w:style>
  <w:style w:type="character" w:customStyle="1" w:styleId="NormalNumberedChar">
    <w:name w:val="Normal Numbered Char"/>
    <w:basedOn w:val="DefaultParagraphFont"/>
    <w:link w:val="NormalNumbered"/>
    <w:rsid w:val="00102034"/>
    <w:rPr>
      <w:rFonts w:ascii="Verdana" w:eastAsia="Verdana" w:hAnsi="Verdana" w:cs="Verdana"/>
      <w:color w:val="000000"/>
      <w:sz w:val="22"/>
      <w:szCs w:val="22"/>
      <w:lang w:eastAsia="en-GB"/>
    </w:rPr>
  </w:style>
  <w:style w:type="character" w:customStyle="1" w:styleId="gmail-apple-tab-span">
    <w:name w:val="gmail-apple-tab-span"/>
    <w:basedOn w:val="DefaultParagraphFont"/>
    <w:rsid w:val="00102034"/>
  </w:style>
  <w:style w:type="numbering" w:customStyle="1" w:styleId="CurrentList1">
    <w:name w:val="Current List1"/>
    <w:uiPriority w:val="99"/>
    <w:rsid w:val="0047109F"/>
    <w:pPr>
      <w:numPr>
        <w:numId w:val="134"/>
      </w:numPr>
    </w:pPr>
  </w:style>
  <w:style w:type="character" w:styleId="UnresolvedMention">
    <w:name w:val="Unresolved Mention"/>
    <w:basedOn w:val="DefaultParagraphFont"/>
    <w:uiPriority w:val="99"/>
    <w:semiHidden/>
    <w:unhideWhenUsed/>
    <w:rsid w:val="004E7DA4"/>
    <w:rPr>
      <w:color w:val="605E5C"/>
      <w:shd w:val="clear" w:color="auto" w:fill="E1DFDD"/>
    </w:rPr>
  </w:style>
  <w:style w:type="numbering" w:customStyle="1" w:styleId="CurrentList2">
    <w:name w:val="Current List2"/>
    <w:uiPriority w:val="99"/>
    <w:rsid w:val="000A6AA5"/>
    <w:pPr>
      <w:numPr>
        <w:numId w:val="155"/>
      </w:numPr>
    </w:pPr>
  </w:style>
  <w:style w:type="paragraph" w:customStyle="1" w:styleId="Numbered111aiA1">
    <w:name w:val="Numbered 1.1.1(a)(i)(A)(1)"/>
    <w:uiPriority w:val="99"/>
    <w:rsid w:val="004524CE"/>
    <w:pPr>
      <w:tabs>
        <w:tab w:val="num" w:pos="4683"/>
      </w:tabs>
      <w:ind w:left="4683" w:hanging="720"/>
    </w:pPr>
    <w:rPr>
      <w:rFonts w:eastAsia="Arial" w:cstheme="minorHAnsi"/>
      <w:lang w:bidi="en-US"/>
    </w:rPr>
  </w:style>
  <w:style w:type="numbering" w:customStyle="1" w:styleId="CurrentList3">
    <w:name w:val="Current List3"/>
    <w:uiPriority w:val="99"/>
    <w:rsid w:val="004412EC"/>
    <w:pPr>
      <w:numPr>
        <w:numId w:val="30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299794">
      <w:bodyDiv w:val="1"/>
      <w:marLeft w:val="0"/>
      <w:marRight w:val="0"/>
      <w:marTop w:val="0"/>
      <w:marBottom w:val="0"/>
      <w:divBdr>
        <w:top w:val="none" w:sz="0" w:space="0" w:color="auto"/>
        <w:left w:val="none" w:sz="0" w:space="0" w:color="auto"/>
        <w:bottom w:val="none" w:sz="0" w:space="0" w:color="auto"/>
        <w:right w:val="none" w:sz="0" w:space="0" w:color="auto"/>
      </w:divBdr>
    </w:div>
    <w:div w:id="670792364">
      <w:bodyDiv w:val="1"/>
      <w:marLeft w:val="0"/>
      <w:marRight w:val="0"/>
      <w:marTop w:val="0"/>
      <w:marBottom w:val="0"/>
      <w:divBdr>
        <w:top w:val="none" w:sz="0" w:space="0" w:color="auto"/>
        <w:left w:val="none" w:sz="0" w:space="0" w:color="auto"/>
        <w:bottom w:val="none" w:sz="0" w:space="0" w:color="auto"/>
        <w:right w:val="none" w:sz="0" w:space="0" w:color="auto"/>
      </w:divBdr>
    </w:div>
    <w:div w:id="1094133911">
      <w:bodyDiv w:val="1"/>
      <w:marLeft w:val="0"/>
      <w:marRight w:val="0"/>
      <w:marTop w:val="0"/>
      <w:marBottom w:val="0"/>
      <w:divBdr>
        <w:top w:val="none" w:sz="0" w:space="0" w:color="auto"/>
        <w:left w:val="none" w:sz="0" w:space="0" w:color="auto"/>
        <w:bottom w:val="none" w:sz="0" w:space="0" w:color="auto"/>
        <w:right w:val="none" w:sz="0" w:space="0" w:color="auto"/>
      </w:divBdr>
    </w:div>
    <w:div w:id="1177767992">
      <w:bodyDiv w:val="1"/>
      <w:marLeft w:val="0"/>
      <w:marRight w:val="0"/>
      <w:marTop w:val="0"/>
      <w:marBottom w:val="0"/>
      <w:divBdr>
        <w:top w:val="none" w:sz="0" w:space="0" w:color="auto"/>
        <w:left w:val="none" w:sz="0" w:space="0" w:color="auto"/>
        <w:bottom w:val="none" w:sz="0" w:space="0" w:color="auto"/>
        <w:right w:val="none" w:sz="0" w:space="0" w:color="auto"/>
      </w:divBdr>
    </w:div>
    <w:div w:id="1595631689">
      <w:bodyDiv w:val="1"/>
      <w:marLeft w:val="0"/>
      <w:marRight w:val="0"/>
      <w:marTop w:val="0"/>
      <w:marBottom w:val="0"/>
      <w:divBdr>
        <w:top w:val="none" w:sz="0" w:space="0" w:color="auto"/>
        <w:left w:val="none" w:sz="0" w:space="0" w:color="auto"/>
        <w:bottom w:val="none" w:sz="0" w:space="0" w:color="auto"/>
        <w:right w:val="none" w:sz="0" w:space="0" w:color="auto"/>
      </w:divBdr>
    </w:div>
    <w:div w:id="1767965121">
      <w:bodyDiv w:val="1"/>
      <w:marLeft w:val="0"/>
      <w:marRight w:val="0"/>
      <w:marTop w:val="0"/>
      <w:marBottom w:val="0"/>
      <w:divBdr>
        <w:top w:val="none" w:sz="0" w:space="0" w:color="auto"/>
        <w:left w:val="none" w:sz="0" w:space="0" w:color="auto"/>
        <w:bottom w:val="none" w:sz="0" w:space="0" w:color="auto"/>
        <w:right w:val="none" w:sz="0" w:space="0" w:color="auto"/>
      </w:divBdr>
    </w:div>
    <w:div w:id="196040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4.xml"/><Relationship Id="rId117" Type="http://schemas.openxmlformats.org/officeDocument/2006/relationships/footer" Target="footer44.xml"/><Relationship Id="rId21" Type="http://schemas.openxmlformats.org/officeDocument/2006/relationships/hyperlink" Target="https://www.gov.uk/government/publications/open-standards-principles/open-standards-principles" TargetMode="External"/><Relationship Id="rId42" Type="http://schemas.openxmlformats.org/officeDocument/2006/relationships/hyperlink" Target="https://www.gov.uk/guidance/conflict-minerals" TargetMode="External"/><Relationship Id="rId47" Type="http://schemas.openxmlformats.org/officeDocument/2006/relationships/hyperlink" Target="http://nvd.nist.gov/cvss.cfm" TargetMode="External"/><Relationship Id="rId63" Type="http://schemas.openxmlformats.org/officeDocument/2006/relationships/header" Target="header10.xml"/><Relationship Id="rId68" Type="http://schemas.openxmlformats.org/officeDocument/2006/relationships/footer" Target="footer15.xml"/><Relationship Id="rId84" Type="http://schemas.openxmlformats.org/officeDocument/2006/relationships/footer" Target="footer25.xml"/><Relationship Id="rId89" Type="http://schemas.openxmlformats.org/officeDocument/2006/relationships/footer" Target="footer28.xml"/><Relationship Id="rId112" Type="http://schemas.openxmlformats.org/officeDocument/2006/relationships/footer" Target="footer42.xml"/><Relationship Id="rId133" Type="http://schemas.openxmlformats.org/officeDocument/2006/relationships/footer" Target="footer53.xml"/><Relationship Id="rId138" Type="http://schemas.openxmlformats.org/officeDocument/2006/relationships/footer" Target="footer56.xml"/><Relationship Id="rId16" Type="http://schemas.openxmlformats.org/officeDocument/2006/relationships/footer" Target="footer1.xml"/><Relationship Id="rId107" Type="http://schemas.openxmlformats.org/officeDocument/2006/relationships/footer" Target="footer39.xml"/><Relationship Id="rId11" Type="http://schemas.openxmlformats.org/officeDocument/2006/relationships/hyperlink" Target="http://www.nationalarchives.gov.uk/doc/open-government-licence/version/3/" TargetMode="External"/><Relationship Id="rId32" Type="http://schemas.openxmlformats.org/officeDocument/2006/relationships/footer" Target="footer6.xml"/><Relationship Id="rId37" Type="http://schemas.openxmlformats.org/officeDocument/2006/relationships/hyperlink" Target="https://www.gov.uk/service-manual/technology/code-of-practice.html" TargetMode="External"/><Relationship Id="rId53" Type="http://schemas.openxmlformats.org/officeDocument/2006/relationships/hyperlink" Target="https://www.gov.uk/government/publications/government-baseline-personnel-security-standard" TargetMode="External"/><Relationship Id="rId58" Type="http://schemas.openxmlformats.org/officeDocument/2006/relationships/hyperlink" Target="https://www.ncsc.gov.uk/collection/cyber-security-design-principles" TargetMode="External"/><Relationship Id="rId74" Type="http://schemas.openxmlformats.org/officeDocument/2006/relationships/footer" Target="footer18.xml"/><Relationship Id="rId79" Type="http://schemas.openxmlformats.org/officeDocument/2006/relationships/header" Target="header18.xml"/><Relationship Id="rId102" Type="http://schemas.openxmlformats.org/officeDocument/2006/relationships/header" Target="header25.xml"/><Relationship Id="rId123" Type="http://schemas.openxmlformats.org/officeDocument/2006/relationships/footer" Target="footer48.xml"/><Relationship Id="rId128" Type="http://schemas.openxmlformats.org/officeDocument/2006/relationships/hyperlink" Target="https://www.gov.uk/government/publications/the-sourcing-and-consultancy-playbooks" TargetMode="External"/><Relationship Id="rId144" Type="http://schemas.openxmlformats.org/officeDocument/2006/relationships/footer" Target="footer59.xml"/><Relationship Id="rId149" Type="http://schemas.openxmlformats.org/officeDocument/2006/relationships/footer" Target="footer61.xml"/><Relationship Id="rId5" Type="http://schemas.openxmlformats.org/officeDocument/2006/relationships/settings" Target="settings.xml"/><Relationship Id="rId90" Type="http://schemas.openxmlformats.org/officeDocument/2006/relationships/footer" Target="footer29.xml"/><Relationship Id="rId95" Type="http://schemas.openxmlformats.org/officeDocument/2006/relationships/footer" Target="footer32.xml"/><Relationship Id="rId22" Type="http://schemas.openxmlformats.org/officeDocument/2006/relationships/hyperlink" Target="https://www.gov.uk/government/publications/blowing-the-whistle-list-of-prescribed-people-and-bodies--2/whistleblowing-list-of-prescribed-people-and-bodies" TargetMode="External"/><Relationship Id="rId27" Type="http://schemas.openxmlformats.org/officeDocument/2006/relationships/hyperlink" Target="https://www.gov.uk/government/publications/social-value-act-information-and-resources/social-value-act-information-and-resources" TargetMode="External"/><Relationship Id="rId43" Type="http://schemas.openxmlformats.org/officeDocument/2006/relationships/header" Target="header7.xml"/><Relationship Id="rId48" Type="http://schemas.openxmlformats.org/officeDocument/2006/relationships/hyperlink" Target="https://www.ncsc.gov.uk/guidance/security-design-principles-digital-services-main" TargetMode="External"/><Relationship Id="rId64" Type="http://schemas.openxmlformats.org/officeDocument/2006/relationships/footer" Target="footer13.xml"/><Relationship Id="rId69" Type="http://schemas.openxmlformats.org/officeDocument/2006/relationships/header" Target="header13.xml"/><Relationship Id="rId113" Type="http://schemas.openxmlformats.org/officeDocument/2006/relationships/header" Target="header30.xml"/><Relationship Id="rId118" Type="http://schemas.openxmlformats.org/officeDocument/2006/relationships/footer" Target="footer45.xml"/><Relationship Id="rId134" Type="http://schemas.openxmlformats.org/officeDocument/2006/relationships/header" Target="header39.xml"/><Relationship Id="rId139" Type="http://schemas.openxmlformats.org/officeDocument/2006/relationships/footer" Target="footer57.xml"/><Relationship Id="rId80" Type="http://schemas.openxmlformats.org/officeDocument/2006/relationships/footer" Target="footer21.xml"/><Relationship Id="rId85" Type="http://schemas.openxmlformats.org/officeDocument/2006/relationships/header" Target="header19.xml"/><Relationship Id="rId150" Type="http://schemas.openxmlformats.org/officeDocument/2006/relationships/header" Target="header45.xml"/><Relationship Id="rId12" Type="http://schemas.openxmlformats.org/officeDocument/2006/relationships/hyperlink" Target="https://www.nationalarchives.gov.uk/information-management/re-using-public-sector-information/uk-government-licensing-framework/" TargetMode="External"/><Relationship Id="rId17" Type="http://schemas.openxmlformats.org/officeDocument/2006/relationships/footer" Target="footer2.xml"/><Relationship Id="rId25" Type="http://schemas.openxmlformats.org/officeDocument/2006/relationships/header" Target="header4.xml"/><Relationship Id="rId33" Type="http://schemas.openxmlformats.org/officeDocument/2006/relationships/footer" Target="footer7.xml"/><Relationship Id="rId38" Type="http://schemas.openxmlformats.org/officeDocument/2006/relationships/hyperlink" Target="https://www.gov.uk/government/publications/open-standards-principles/open-standards-principles" TargetMode="External"/><Relationship Id="rId46" Type="http://schemas.openxmlformats.org/officeDocument/2006/relationships/footer" Target="footer11.xml"/><Relationship Id="rId59" Type="http://schemas.openxmlformats.org/officeDocument/2006/relationships/hyperlink" Target="https://www.ncsc.gov.uk/collection/cloud-security?curPage=/collection/cloud-security/implementing-the-cloud-security-principles" TargetMode="External"/><Relationship Id="rId67" Type="http://schemas.openxmlformats.org/officeDocument/2006/relationships/header" Target="header12.xml"/><Relationship Id="rId103" Type="http://schemas.openxmlformats.org/officeDocument/2006/relationships/footer" Target="footer37.xml"/><Relationship Id="rId108" Type="http://schemas.openxmlformats.org/officeDocument/2006/relationships/header" Target="header28.xml"/><Relationship Id="rId116" Type="http://schemas.openxmlformats.org/officeDocument/2006/relationships/header" Target="header32.xml"/><Relationship Id="rId124" Type="http://schemas.openxmlformats.org/officeDocument/2006/relationships/header" Target="header35.xml"/><Relationship Id="rId129" Type="http://schemas.openxmlformats.org/officeDocument/2006/relationships/header" Target="header37.xml"/><Relationship Id="rId137" Type="http://schemas.openxmlformats.org/officeDocument/2006/relationships/header" Target="header40.xml"/><Relationship Id="rId20" Type="http://schemas.openxmlformats.org/officeDocument/2006/relationships/hyperlink" Target="https://supplierregistration.cabinetoffice.gov.uk/msat" TargetMode="External"/><Relationship Id="rId41" Type="http://schemas.openxmlformats.org/officeDocument/2006/relationships/hyperlink" Target="https://assets.publishing.service.gov.uk/government/uploads/system/uploads/attachment_data/file/1163536/Supplier_Code_of_Conduct_v3.pdf" TargetMode="External"/><Relationship Id="rId54" Type="http://schemas.openxmlformats.org/officeDocument/2006/relationships/hyperlink" Target="http://nvd.nist.gov/cvss.cfm" TargetMode="External"/><Relationship Id="rId62" Type="http://schemas.openxmlformats.org/officeDocument/2006/relationships/footer" Target="footer12.xml"/><Relationship Id="rId70" Type="http://schemas.openxmlformats.org/officeDocument/2006/relationships/footer" Target="footer16.xml"/><Relationship Id="rId75" Type="http://schemas.openxmlformats.org/officeDocument/2006/relationships/header" Target="header16.xml"/><Relationship Id="rId83" Type="http://schemas.openxmlformats.org/officeDocument/2006/relationships/footer" Target="footer24.xml"/><Relationship Id="rId88" Type="http://schemas.openxmlformats.org/officeDocument/2006/relationships/header" Target="header20.xml"/><Relationship Id="rId91" Type="http://schemas.openxmlformats.org/officeDocument/2006/relationships/header" Target="header21.xml"/><Relationship Id="rId96" Type="http://schemas.openxmlformats.org/officeDocument/2006/relationships/footer" Target="footer33.xml"/><Relationship Id="rId111" Type="http://schemas.openxmlformats.org/officeDocument/2006/relationships/footer" Target="footer41.xml"/><Relationship Id="rId132" Type="http://schemas.openxmlformats.org/officeDocument/2006/relationships/header" Target="header38.xml"/><Relationship Id="rId140" Type="http://schemas.openxmlformats.org/officeDocument/2006/relationships/header" Target="header41.xml"/><Relationship Id="rId145" Type="http://schemas.openxmlformats.org/officeDocument/2006/relationships/hyperlink" Target="https://assets.publishing.service.gov.uk/government/uploads/system/uploads/attachment_data/file/1163541/IPR_Guidance_Note.pdf" TargetMode="External"/><Relationship Id="rId15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www.gov.uk/government/publications/blowing-thewhistle-list-of-prescribed-people-and-bodies--2/whistleblowing-listof-prescribed-people-and-bodies,%20as%20updated%20from%20time%20to%20time;" TargetMode="External"/><Relationship Id="rId28" Type="http://schemas.openxmlformats.org/officeDocument/2006/relationships/hyperlink" Target="https://www.gov.uk/government/publications/procurement-policy-note-0620-taking-account-of-social-value-in-the-award-of-central-government-contracts" TargetMode="External"/><Relationship Id="rId36" Type="http://schemas.openxmlformats.org/officeDocument/2006/relationships/hyperlink" Target="http://standards.data.gov.uk/" TargetMode="External"/><Relationship Id="rId49" Type="http://schemas.openxmlformats.org/officeDocument/2006/relationships/hyperlink" Target="https://www.ncsc.gov.uk/guidance/protecting-bulk-personal-data-main" TargetMode="External"/><Relationship Id="rId57" Type="http://schemas.openxmlformats.org/officeDocument/2006/relationships/hyperlink" Target="https://www.ncsc.gov.uk/guidance/implementing-cloud-security-principles" TargetMode="External"/><Relationship Id="rId106" Type="http://schemas.openxmlformats.org/officeDocument/2006/relationships/header" Target="header27.xml"/><Relationship Id="rId114" Type="http://schemas.openxmlformats.org/officeDocument/2006/relationships/footer" Target="footer43.xml"/><Relationship Id="rId119" Type="http://schemas.openxmlformats.org/officeDocument/2006/relationships/header" Target="header33.xml"/><Relationship Id="rId127" Type="http://schemas.openxmlformats.org/officeDocument/2006/relationships/footer" Target="footer50.xml"/><Relationship Id="rId10" Type="http://schemas.openxmlformats.org/officeDocument/2006/relationships/image" Target="media/image2.png"/><Relationship Id="rId31" Type="http://schemas.openxmlformats.org/officeDocument/2006/relationships/header" Target="header6.xml"/><Relationship Id="rId44" Type="http://schemas.openxmlformats.org/officeDocument/2006/relationships/footer" Target="footer10.xml"/><Relationship Id="rId52" Type="http://schemas.openxmlformats.org/officeDocument/2006/relationships/hyperlink" Target="https://www.ncsc.gov.uk/collection/cloud-security?curPage=/collection/cloud-security/implementing-the-cloud-security-principles" TargetMode="External"/><Relationship Id="rId60" Type="http://schemas.openxmlformats.org/officeDocument/2006/relationships/hyperlink" Target="https://www.gov.uk/government/publications/government-baseline-personnel-security-standard" TargetMode="External"/><Relationship Id="rId65" Type="http://schemas.openxmlformats.org/officeDocument/2006/relationships/header" Target="header11.xml"/><Relationship Id="rId73" Type="http://schemas.openxmlformats.org/officeDocument/2006/relationships/header" Target="header15.xml"/><Relationship Id="rId78" Type="http://schemas.openxmlformats.org/officeDocument/2006/relationships/footer" Target="footer20.xml"/><Relationship Id="rId81" Type="http://schemas.openxmlformats.org/officeDocument/2006/relationships/footer" Target="footer22.xml"/><Relationship Id="rId86" Type="http://schemas.openxmlformats.org/officeDocument/2006/relationships/footer" Target="footer26.xml"/><Relationship Id="rId94" Type="http://schemas.openxmlformats.org/officeDocument/2006/relationships/header" Target="header22.xml"/><Relationship Id="rId99" Type="http://schemas.openxmlformats.org/officeDocument/2006/relationships/footer" Target="footer35.xml"/><Relationship Id="rId101" Type="http://schemas.openxmlformats.org/officeDocument/2006/relationships/footer" Target="footer36.xml"/><Relationship Id="rId122" Type="http://schemas.openxmlformats.org/officeDocument/2006/relationships/footer" Target="footer47.xml"/><Relationship Id="rId130" Type="http://schemas.openxmlformats.org/officeDocument/2006/relationships/footer" Target="footer51.xml"/><Relationship Id="rId135" Type="http://schemas.openxmlformats.org/officeDocument/2006/relationships/footer" Target="footer54.xml"/><Relationship Id="rId143" Type="http://schemas.openxmlformats.org/officeDocument/2006/relationships/header" Target="header42.xml"/><Relationship Id="rId148" Type="http://schemas.openxmlformats.org/officeDocument/2006/relationships/footer" Target="footer60.xml"/><Relationship Id="rId151" Type="http://schemas.openxmlformats.org/officeDocument/2006/relationships/footer" Target="footer62.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https://www.nationalarchives.gov.uk/contact-us/public-sector-information-enquiry/" TargetMode="External"/><Relationship Id="rId18" Type="http://schemas.openxmlformats.org/officeDocument/2006/relationships/header" Target="header3.xml"/><Relationship Id="rId39" Type="http://schemas.openxmlformats.org/officeDocument/2006/relationships/hyperlink" Target="http://standards.data.gov.uk/" TargetMode="External"/><Relationship Id="rId109" Type="http://schemas.openxmlformats.org/officeDocument/2006/relationships/footer" Target="footer40.xml"/><Relationship Id="rId34" Type="http://schemas.openxmlformats.org/officeDocument/2006/relationships/footer" Target="footer8.xml"/><Relationship Id="rId50" Type="http://schemas.openxmlformats.org/officeDocument/2006/relationships/hyperlink" Target="https://www.ncsc.gov.uk/guidance/implementing-cloud-security-principles" TargetMode="External"/><Relationship Id="rId55" Type="http://schemas.openxmlformats.org/officeDocument/2006/relationships/hyperlink" Target="https://www.ncsc.gov.uk/guidance/security-design-principles-digital-services-main" TargetMode="External"/><Relationship Id="rId76" Type="http://schemas.openxmlformats.org/officeDocument/2006/relationships/footer" Target="footer19.xml"/><Relationship Id="rId97" Type="http://schemas.openxmlformats.org/officeDocument/2006/relationships/header" Target="header23.xml"/><Relationship Id="rId104" Type="http://schemas.openxmlformats.org/officeDocument/2006/relationships/header" Target="header26.xml"/><Relationship Id="rId120" Type="http://schemas.openxmlformats.org/officeDocument/2006/relationships/footer" Target="footer46.xml"/><Relationship Id="rId125" Type="http://schemas.openxmlformats.org/officeDocument/2006/relationships/footer" Target="footer49.xml"/><Relationship Id="rId141" Type="http://schemas.openxmlformats.org/officeDocument/2006/relationships/footer" Target="footer58.xml"/><Relationship Id="rId146" Type="http://schemas.openxmlformats.org/officeDocument/2006/relationships/header" Target="header43.xml"/><Relationship Id="rId7" Type="http://schemas.openxmlformats.org/officeDocument/2006/relationships/footnotes" Target="footnotes.xml"/><Relationship Id="rId71" Type="http://schemas.openxmlformats.org/officeDocument/2006/relationships/header" Target="header14.xml"/><Relationship Id="rId92" Type="http://schemas.openxmlformats.org/officeDocument/2006/relationships/footer" Target="footer30.xml"/><Relationship Id="rId2" Type="http://schemas.openxmlformats.org/officeDocument/2006/relationships/customXml" Target="../customXml/item2.xml"/><Relationship Id="rId29" Type="http://schemas.openxmlformats.org/officeDocument/2006/relationships/header" Target="header5.xml"/><Relationship Id="rId24" Type="http://schemas.openxmlformats.org/officeDocument/2006/relationships/hyperlink" Target="https://www.gov.uk/government/publications/strategic-suppliers" TargetMode="External"/><Relationship Id="rId40" Type="http://schemas.openxmlformats.org/officeDocument/2006/relationships/hyperlink" Target="https://www.gov.uk/government/collections/sustainable-procurement-the-government-buying-standards-gbs" TargetMode="External"/><Relationship Id="rId45" Type="http://schemas.openxmlformats.org/officeDocument/2006/relationships/header" Target="header8.xml"/><Relationship Id="rId66" Type="http://schemas.openxmlformats.org/officeDocument/2006/relationships/footer" Target="footer14.xml"/><Relationship Id="rId87" Type="http://schemas.openxmlformats.org/officeDocument/2006/relationships/footer" Target="footer27.xml"/><Relationship Id="rId110" Type="http://schemas.openxmlformats.org/officeDocument/2006/relationships/header" Target="header29.xml"/><Relationship Id="rId115" Type="http://schemas.openxmlformats.org/officeDocument/2006/relationships/header" Target="header31.xml"/><Relationship Id="rId131" Type="http://schemas.openxmlformats.org/officeDocument/2006/relationships/footer" Target="footer52.xml"/><Relationship Id="rId136" Type="http://schemas.openxmlformats.org/officeDocument/2006/relationships/footer" Target="footer55.xml"/><Relationship Id="rId61" Type="http://schemas.openxmlformats.org/officeDocument/2006/relationships/header" Target="header9.xml"/><Relationship Id="rId82" Type="http://schemas.openxmlformats.org/officeDocument/2006/relationships/footer" Target="footer23.xml"/><Relationship Id="rId152" Type="http://schemas.openxmlformats.org/officeDocument/2006/relationships/fontTable" Target="fontTable.xml"/><Relationship Id="rId19" Type="http://schemas.openxmlformats.org/officeDocument/2006/relationships/footer" Target="footer3.xml"/><Relationship Id="rId14" Type="http://schemas.openxmlformats.org/officeDocument/2006/relationships/header" Target="header1.xml"/><Relationship Id="rId30" Type="http://schemas.openxmlformats.org/officeDocument/2006/relationships/footer" Target="footer5.xml"/><Relationship Id="rId35" Type="http://schemas.openxmlformats.org/officeDocument/2006/relationships/footer" Target="footer9.xml"/><Relationship Id="rId56" Type="http://schemas.openxmlformats.org/officeDocument/2006/relationships/hyperlink" Target="https://www.ncsc.gov.uk/guidance/protecting-bulk-personal-data-main" TargetMode="External"/><Relationship Id="rId77" Type="http://schemas.openxmlformats.org/officeDocument/2006/relationships/header" Target="header17.xml"/><Relationship Id="rId100" Type="http://schemas.openxmlformats.org/officeDocument/2006/relationships/header" Target="header24.xml"/><Relationship Id="rId105" Type="http://schemas.openxmlformats.org/officeDocument/2006/relationships/footer" Target="footer38.xml"/><Relationship Id="rId126" Type="http://schemas.openxmlformats.org/officeDocument/2006/relationships/header" Target="header36.xml"/><Relationship Id="rId147" Type="http://schemas.openxmlformats.org/officeDocument/2006/relationships/header" Target="header44.xml"/><Relationship Id="rId8" Type="http://schemas.openxmlformats.org/officeDocument/2006/relationships/endnotes" Target="endnotes.xml"/><Relationship Id="rId51" Type="http://schemas.openxmlformats.org/officeDocument/2006/relationships/hyperlink" Target="https://www.ncsc.gov.uk/collection/cyber-security-design-principles" TargetMode="External"/><Relationship Id="rId72" Type="http://schemas.openxmlformats.org/officeDocument/2006/relationships/footer" Target="footer17.xml"/><Relationship Id="rId93" Type="http://schemas.openxmlformats.org/officeDocument/2006/relationships/footer" Target="footer31.xml"/><Relationship Id="rId98" Type="http://schemas.openxmlformats.org/officeDocument/2006/relationships/footer" Target="footer34.xml"/><Relationship Id="rId121" Type="http://schemas.openxmlformats.org/officeDocument/2006/relationships/header" Target="header34.xml"/><Relationship Id="rId142" Type="http://schemas.openxmlformats.org/officeDocument/2006/relationships/image" Target="media/image3.png"/><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INSSU\AppData\Roaming\plato\data\main\template-files\global-agreement.dotx"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 U K M A T T E R S ! 1 2 7 7 7 8 4 5 3 . 4 < / d o c u m e n t i d >  
     < s e n d e r i d > B I D W E L L R < / s e n d e r i d >  
     < s e n d e r e m a i l > R H I A N N O N . B I D W E L L @ D L A P I P E R . C O M < / s e n d e r e m a i l >  
     < l a s t m o d i f i e d > 2 0 2 3 - 0 7 - 2 9 T 1 2 : 5 8 : 0 0 . 0 0 0 0 0 0 0 + 0 1 : 0 0 < / l a s t m o d i f i e d >  
     < d a t a b a s e > U K M A T T E R S < / 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CE5F8-1EFD-43AA-A2FA-223E188E3783}">
  <ds:schemaRefs>
    <ds:schemaRef ds:uri="http://www.imanage.com/work/xmlschema"/>
  </ds:schemaRefs>
</ds:datastoreItem>
</file>

<file path=customXml/itemProps2.xml><?xml version="1.0" encoding="utf-8"?>
<ds:datastoreItem xmlns:ds="http://schemas.openxmlformats.org/officeDocument/2006/customXml" ds:itemID="{B49B6888-D273-4F7E-B024-A3B84E89F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global-agreement</Template>
  <TotalTime>0</TotalTime>
  <Pages>7</Pages>
  <Words>182672</Words>
  <Characters>1041231</Characters>
  <Application>Microsoft Office Word</Application>
  <DocSecurity>0</DocSecurity>
  <Lines>8676</Lines>
  <Paragraphs>2442</Paragraphs>
  <ScaleCrop>false</ScaleCrop>
  <HeadingPairs>
    <vt:vector size="2" baseType="variant">
      <vt:variant>
        <vt:lpstr>Title</vt:lpstr>
      </vt:variant>
      <vt:variant>
        <vt:i4>1</vt:i4>
      </vt:variant>
    </vt:vector>
  </HeadingPairs>
  <TitlesOfParts>
    <vt:vector size="1" baseType="lpstr">
      <vt:lpstr>Model Services Agreement Combined Schedules</vt:lpstr>
    </vt:vector>
  </TitlesOfParts>
  <Manager/>
  <Company/>
  <LinksUpToDate>false</LinksUpToDate>
  <CharactersWithSpaces>1221461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Services Agreement Combined Schedules</dc:title>
  <dc:subject>Model Services Agreement Combined Schedules</dc:subject>
  <dc:creator/>
  <cp:keywords>Government Legal Department; Model; Services; Agreement; Combined; Schedules</cp:keywords>
  <dc:description/>
  <cp:lastModifiedBy/>
  <cp:revision>1</cp:revision>
  <dcterms:created xsi:type="dcterms:W3CDTF">2023-07-29T11:06:00Z</dcterms:created>
  <dcterms:modified xsi:type="dcterms:W3CDTF">2023-07-31T18:31:00Z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d9e6da13-3cb2-4d4d-8bc1-3bc2ec0122d0</vt:lpwstr>
  </property>
</Properties>
</file>